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893E7" w14:textId="6A17F4B5" w:rsidR="005173AF" w:rsidRDefault="005173AF" w:rsidP="005173AF">
      <w:pPr>
        <w:jc w:val="center"/>
        <w:rPr>
          <w:rFonts w:ascii="Verdana" w:hAnsi="Verdana" w:cs="Verdana"/>
          <w:bCs/>
          <w:color w:val="00B050"/>
          <w:sz w:val="20"/>
          <w:lang w:val="es-ES"/>
        </w:rPr>
      </w:pPr>
    </w:p>
    <w:p w14:paraId="17F04F4B" w14:textId="77777777" w:rsidR="00220B4A" w:rsidRDefault="00220B4A" w:rsidP="005173AF">
      <w:pPr>
        <w:jc w:val="center"/>
        <w:rPr>
          <w:rFonts w:ascii="Verdana" w:hAnsi="Verdana" w:cs="Verdana"/>
          <w:bCs/>
          <w:color w:val="00B050"/>
          <w:sz w:val="20"/>
          <w:lang w:val="es-ES"/>
        </w:rPr>
      </w:pPr>
    </w:p>
    <w:p w14:paraId="791EB2EE" w14:textId="77777777" w:rsidR="00220B4A" w:rsidRDefault="00220B4A" w:rsidP="005173AF">
      <w:pPr>
        <w:jc w:val="center"/>
        <w:rPr>
          <w:rFonts w:ascii="Verdana" w:hAnsi="Verdana" w:cs="Verdana"/>
          <w:bCs/>
          <w:color w:val="00B050"/>
          <w:sz w:val="20"/>
          <w:lang w:val="es-ES"/>
        </w:rPr>
      </w:pPr>
    </w:p>
    <w:p w14:paraId="29C347A1" w14:textId="77777777" w:rsidR="00220B4A" w:rsidRDefault="00220B4A" w:rsidP="005173AF">
      <w:pPr>
        <w:jc w:val="center"/>
        <w:rPr>
          <w:rFonts w:ascii="Verdana" w:hAnsi="Verdana" w:cs="Verdana"/>
          <w:bCs/>
          <w:color w:val="00B050"/>
          <w:sz w:val="20"/>
          <w:lang w:val="es-ES"/>
        </w:rPr>
      </w:pPr>
    </w:p>
    <w:p w14:paraId="439FA602" w14:textId="77777777" w:rsidR="00220B4A" w:rsidRPr="00C53366" w:rsidRDefault="00220B4A" w:rsidP="005173AF">
      <w:pPr>
        <w:jc w:val="center"/>
        <w:rPr>
          <w:rFonts w:ascii="Verdana" w:hAnsi="Verdana" w:cs="Verdana"/>
          <w:bCs/>
          <w:color w:val="00B050"/>
          <w:sz w:val="20"/>
          <w:lang w:val="es-ES"/>
        </w:rPr>
      </w:pPr>
    </w:p>
    <w:p w14:paraId="0AA0080F" w14:textId="77777777" w:rsidR="00C53366" w:rsidRPr="00C53366" w:rsidRDefault="00C53366" w:rsidP="005173AF">
      <w:pPr>
        <w:jc w:val="center"/>
        <w:rPr>
          <w:rFonts w:ascii="Verdana" w:hAnsi="Verdana" w:cs="Verdana"/>
          <w:bCs/>
          <w:color w:val="00B050"/>
          <w:sz w:val="20"/>
          <w:lang w:val="es-ES"/>
        </w:rPr>
      </w:pPr>
    </w:p>
    <w:p w14:paraId="7B270B68" w14:textId="77777777" w:rsidR="00C53366" w:rsidRDefault="00C53366" w:rsidP="005173AF">
      <w:pPr>
        <w:jc w:val="center"/>
        <w:rPr>
          <w:rFonts w:ascii="Verdana" w:hAnsi="Verdana" w:cs="Verdana"/>
          <w:bCs/>
          <w:color w:val="00B050"/>
          <w:sz w:val="20"/>
          <w:lang w:val="es-ES"/>
        </w:rPr>
      </w:pPr>
    </w:p>
    <w:p w14:paraId="1AADBDBB" w14:textId="77777777" w:rsidR="00220B4A" w:rsidRDefault="00220B4A" w:rsidP="005173AF">
      <w:pPr>
        <w:jc w:val="center"/>
        <w:rPr>
          <w:rFonts w:ascii="Verdana" w:hAnsi="Verdana" w:cs="Verdana"/>
          <w:bCs/>
          <w:color w:val="00B050"/>
          <w:sz w:val="20"/>
          <w:lang w:val="es-ES"/>
        </w:rPr>
      </w:pPr>
    </w:p>
    <w:p w14:paraId="16546F73" w14:textId="77777777" w:rsidR="00220B4A" w:rsidRPr="00C53366" w:rsidRDefault="00220B4A" w:rsidP="005173AF">
      <w:pPr>
        <w:jc w:val="center"/>
        <w:rPr>
          <w:rFonts w:ascii="Verdana" w:hAnsi="Verdana" w:cs="Verdana"/>
          <w:bCs/>
          <w:color w:val="00B050"/>
          <w:sz w:val="20"/>
          <w:lang w:val="es-ES"/>
        </w:rPr>
      </w:pPr>
    </w:p>
    <w:p w14:paraId="23ED851A" w14:textId="77777777" w:rsidR="00C53366" w:rsidRPr="00C53366" w:rsidRDefault="00C53366" w:rsidP="005173AF">
      <w:pPr>
        <w:jc w:val="center"/>
        <w:rPr>
          <w:rFonts w:ascii="Verdana" w:hAnsi="Verdana"/>
          <w:b/>
          <w:sz w:val="20"/>
          <w:lang w:val="es-MX"/>
        </w:rPr>
      </w:pPr>
    </w:p>
    <w:p w14:paraId="674EFCE0" w14:textId="77777777" w:rsidR="005173AF" w:rsidRPr="0082778F" w:rsidRDefault="005173AF" w:rsidP="005173AF">
      <w:pPr>
        <w:jc w:val="center"/>
        <w:rPr>
          <w:rFonts w:ascii="Verdana" w:hAnsi="Verdana"/>
          <w:b/>
          <w:sz w:val="20"/>
          <w:lang w:val="es-MX"/>
        </w:rPr>
      </w:pPr>
      <w:r w:rsidRPr="0082778F">
        <w:rPr>
          <w:rFonts w:ascii="Verdana" w:hAnsi="Verdana"/>
          <w:b/>
          <w:sz w:val="20"/>
          <w:lang w:val="es-MX"/>
        </w:rPr>
        <w:t xml:space="preserve">RESOLUCIÓN DE LA </w:t>
      </w:r>
    </w:p>
    <w:p w14:paraId="5C48163C" w14:textId="3413C1C9" w:rsidR="005173AF" w:rsidRDefault="005173AF" w:rsidP="00DE7E59">
      <w:pPr>
        <w:jc w:val="center"/>
        <w:rPr>
          <w:b/>
          <w:lang w:val="es-MX"/>
        </w:rPr>
      </w:pPr>
      <w:r w:rsidRPr="0082778F">
        <w:rPr>
          <w:rFonts w:ascii="Verdana" w:hAnsi="Verdana"/>
          <w:b/>
          <w:sz w:val="20"/>
          <w:lang w:val="es-MX"/>
        </w:rPr>
        <w:t>CORTE INTERAMERICANA DE DERECHOS HUMANOS</w:t>
      </w:r>
    </w:p>
    <w:p w14:paraId="0876BBA0" w14:textId="77777777" w:rsidR="00AA60C6" w:rsidRPr="00DE7E59" w:rsidRDefault="00AA60C6" w:rsidP="00C42FEB">
      <w:pPr>
        <w:rPr>
          <w:rFonts w:ascii="Verdana" w:hAnsi="Verdana"/>
          <w:b/>
          <w:sz w:val="20"/>
          <w:lang w:val="es-MX"/>
        </w:rPr>
      </w:pPr>
    </w:p>
    <w:p w14:paraId="4E088E5D" w14:textId="676A6E4F" w:rsidR="00AA60C6" w:rsidRDefault="008E7292" w:rsidP="00AA60C6">
      <w:pPr>
        <w:jc w:val="center"/>
        <w:rPr>
          <w:rFonts w:ascii="Verdana" w:hAnsi="Verdana"/>
          <w:b/>
          <w:sz w:val="20"/>
          <w:lang w:val="es-CR"/>
        </w:rPr>
      </w:pPr>
      <w:r>
        <w:rPr>
          <w:rFonts w:ascii="Verdana" w:hAnsi="Verdana"/>
          <w:b/>
          <w:sz w:val="20"/>
          <w:lang w:val="es-CR"/>
        </w:rPr>
        <w:t>22</w:t>
      </w:r>
      <w:r w:rsidR="008E5FDE">
        <w:rPr>
          <w:rFonts w:ascii="Verdana" w:hAnsi="Verdana"/>
          <w:b/>
          <w:sz w:val="20"/>
          <w:lang w:val="es-CR"/>
        </w:rPr>
        <w:t xml:space="preserve"> </w:t>
      </w:r>
      <w:r w:rsidR="00EA64C4">
        <w:rPr>
          <w:rFonts w:ascii="Verdana" w:hAnsi="Verdana"/>
          <w:b/>
          <w:sz w:val="20"/>
          <w:lang w:val="es-CR"/>
        </w:rPr>
        <w:t>DE NOVIEMBRE</w:t>
      </w:r>
      <w:r w:rsidR="00AA60C6" w:rsidRPr="00745AE4">
        <w:rPr>
          <w:rFonts w:ascii="Verdana" w:hAnsi="Verdana"/>
          <w:b/>
          <w:sz w:val="20"/>
          <w:lang w:val="es-CR"/>
        </w:rPr>
        <w:t xml:space="preserve"> DE </w:t>
      </w:r>
      <w:r w:rsidR="00EA64C4">
        <w:rPr>
          <w:rFonts w:ascii="Verdana" w:hAnsi="Verdana"/>
          <w:b/>
          <w:sz w:val="20"/>
          <w:lang w:val="es-CR"/>
        </w:rPr>
        <w:t>2019</w:t>
      </w:r>
    </w:p>
    <w:p w14:paraId="394A6A31" w14:textId="77777777" w:rsidR="00AA60C6" w:rsidRPr="00745AE4" w:rsidRDefault="00AA60C6" w:rsidP="00AA60C6">
      <w:pPr>
        <w:jc w:val="center"/>
        <w:rPr>
          <w:rFonts w:ascii="Verdana" w:hAnsi="Verdana"/>
          <w:b/>
          <w:sz w:val="20"/>
          <w:lang w:val="es-CR"/>
        </w:rPr>
      </w:pPr>
    </w:p>
    <w:p w14:paraId="76D89C8F" w14:textId="01E56D3C" w:rsidR="00AA60C6" w:rsidRPr="00EA64C4" w:rsidRDefault="00EA64C4" w:rsidP="00AA60C6">
      <w:pPr>
        <w:jc w:val="center"/>
        <w:rPr>
          <w:rFonts w:ascii="Verdana" w:hAnsi="Verdana"/>
          <w:b/>
          <w:i/>
          <w:sz w:val="20"/>
          <w:lang w:val="es-CR"/>
        </w:rPr>
      </w:pPr>
      <w:r w:rsidRPr="00EA64C4">
        <w:rPr>
          <w:rFonts w:ascii="Verdana" w:hAnsi="Verdana"/>
          <w:b/>
          <w:i/>
          <w:sz w:val="20"/>
        </w:rPr>
        <w:t>CASO</w:t>
      </w:r>
      <w:r w:rsidR="00252F4C">
        <w:rPr>
          <w:rFonts w:ascii="Verdana" w:hAnsi="Verdana"/>
          <w:b/>
          <w:i/>
          <w:sz w:val="20"/>
        </w:rPr>
        <w:t xml:space="preserve"> </w:t>
      </w:r>
      <w:r w:rsidR="000A45EA">
        <w:rPr>
          <w:rFonts w:ascii="Verdana" w:hAnsi="Verdana"/>
          <w:b/>
          <w:i/>
          <w:sz w:val="20"/>
        </w:rPr>
        <w:t>DÍAZ PEÑA</w:t>
      </w:r>
      <w:r w:rsidR="000A45EA" w:rsidRPr="00EA64C4">
        <w:rPr>
          <w:rFonts w:ascii="Verdana" w:hAnsi="Verdana"/>
          <w:b/>
          <w:i/>
          <w:sz w:val="20"/>
        </w:rPr>
        <w:t xml:space="preserve"> </w:t>
      </w:r>
      <w:r w:rsidR="000A45EA">
        <w:rPr>
          <w:rFonts w:ascii="Verdana" w:hAnsi="Verdana"/>
          <w:b/>
          <w:i/>
          <w:sz w:val="20"/>
        </w:rPr>
        <w:t xml:space="preserve">Y </w:t>
      </w:r>
      <w:r w:rsidR="00C53366">
        <w:rPr>
          <w:rFonts w:ascii="Verdana" w:hAnsi="Verdana"/>
          <w:b/>
          <w:i/>
          <w:sz w:val="20"/>
        </w:rPr>
        <w:t xml:space="preserve">CASO </w:t>
      </w:r>
      <w:r w:rsidR="00F82D0B" w:rsidRPr="00EA64C4">
        <w:rPr>
          <w:rFonts w:ascii="Verdana" w:hAnsi="Verdana"/>
          <w:b/>
          <w:i/>
          <w:sz w:val="20"/>
        </w:rPr>
        <w:t>UZCÁTEGUI Y OTROS</w:t>
      </w:r>
      <w:r w:rsidR="00F82D0B">
        <w:rPr>
          <w:rFonts w:ascii="Verdana" w:hAnsi="Verdana"/>
          <w:b/>
          <w:i/>
          <w:sz w:val="20"/>
        </w:rPr>
        <w:t xml:space="preserve"> </w:t>
      </w:r>
      <w:r w:rsidRPr="00EA64C4">
        <w:rPr>
          <w:rFonts w:ascii="Verdana" w:hAnsi="Verdana"/>
          <w:b/>
          <w:i/>
          <w:sz w:val="20"/>
        </w:rPr>
        <w:t>VS. VENEZUELA</w:t>
      </w:r>
    </w:p>
    <w:p w14:paraId="6EFB1414" w14:textId="77777777" w:rsidR="005173AF" w:rsidRPr="0082778F" w:rsidRDefault="005173AF" w:rsidP="005173AF">
      <w:pPr>
        <w:jc w:val="center"/>
        <w:rPr>
          <w:rFonts w:ascii="Verdana" w:hAnsi="Verdana"/>
          <w:b/>
          <w:sz w:val="20"/>
          <w:lang w:val="es-MX"/>
        </w:rPr>
      </w:pPr>
    </w:p>
    <w:p w14:paraId="313E4677" w14:textId="135E5BC1" w:rsidR="005173AF" w:rsidRPr="0082778F" w:rsidRDefault="005173AF" w:rsidP="005173AF">
      <w:pPr>
        <w:jc w:val="center"/>
        <w:rPr>
          <w:rFonts w:ascii="Verdana" w:hAnsi="Verdana"/>
          <w:b/>
          <w:sz w:val="20"/>
          <w:lang w:val="es-MX"/>
        </w:rPr>
      </w:pPr>
      <w:r>
        <w:rPr>
          <w:rFonts w:ascii="Verdana" w:hAnsi="Verdana"/>
          <w:b/>
          <w:sz w:val="20"/>
          <w:lang w:val="es-MX"/>
        </w:rPr>
        <w:t>SUPERVISIÓN DE CUMPLIMIENTO DE SENTENCIA</w:t>
      </w:r>
      <w:r w:rsidR="00C53366">
        <w:rPr>
          <w:rFonts w:ascii="Verdana" w:hAnsi="Verdana"/>
          <w:b/>
          <w:sz w:val="20"/>
          <w:lang w:val="es-MX"/>
        </w:rPr>
        <w:t>S</w:t>
      </w:r>
    </w:p>
    <w:p w14:paraId="3D221F2B" w14:textId="77777777" w:rsidR="005173AF" w:rsidRDefault="005173AF" w:rsidP="005173AF">
      <w:pPr>
        <w:jc w:val="both"/>
        <w:rPr>
          <w:rFonts w:ascii="Verdana" w:hAnsi="Verdana"/>
          <w:b/>
          <w:sz w:val="20"/>
          <w:szCs w:val="22"/>
          <w:lang w:val="es-MX"/>
        </w:rPr>
      </w:pPr>
    </w:p>
    <w:p w14:paraId="61128997" w14:textId="77777777" w:rsidR="005173AF" w:rsidRPr="0082778F" w:rsidRDefault="005173AF" w:rsidP="005173AF">
      <w:pPr>
        <w:jc w:val="both"/>
        <w:rPr>
          <w:rFonts w:ascii="Verdana" w:hAnsi="Verdana"/>
          <w:b/>
          <w:sz w:val="20"/>
          <w:lang w:val="es-MX"/>
        </w:rPr>
      </w:pPr>
      <w:r w:rsidRPr="0082778F">
        <w:rPr>
          <w:rFonts w:ascii="Verdana" w:hAnsi="Verdana"/>
          <w:b/>
          <w:sz w:val="20"/>
          <w:lang w:val="es-MX"/>
        </w:rPr>
        <w:t>VISTO:</w:t>
      </w:r>
    </w:p>
    <w:p w14:paraId="1F353EF3" w14:textId="77777777" w:rsidR="005173AF" w:rsidRDefault="005173AF" w:rsidP="00220B4A">
      <w:pPr>
        <w:spacing w:afterLines="40" w:after="96"/>
        <w:rPr>
          <w:lang w:val="es-MX"/>
        </w:rPr>
      </w:pPr>
    </w:p>
    <w:p w14:paraId="58BCA2A1" w14:textId="77777777" w:rsidR="005173AF" w:rsidRPr="00220B4A" w:rsidRDefault="00252F4C" w:rsidP="00220B4A">
      <w:pPr>
        <w:pStyle w:val="Prrafodelista"/>
        <w:numPr>
          <w:ilvl w:val="0"/>
          <w:numId w:val="1"/>
        </w:numPr>
        <w:spacing w:afterLines="40" w:after="96"/>
        <w:ind w:left="0" w:right="49" w:firstLine="0"/>
        <w:contextualSpacing w:val="0"/>
        <w:jc w:val="both"/>
        <w:rPr>
          <w:rFonts w:ascii="Verdana" w:eastAsia="Times New Roman" w:hAnsi="Verdana"/>
          <w:sz w:val="20"/>
          <w:lang w:val="es-VE"/>
        </w:rPr>
      </w:pPr>
      <w:r w:rsidRPr="008E5E47">
        <w:rPr>
          <w:rFonts w:ascii="Verdana" w:hAnsi="Verdana" w:cs="Arial"/>
          <w:sz w:val="20"/>
        </w:rPr>
        <w:t>Las Sentencias emitidas por la Corte Interamericana de Derechos Humanos (en adelante “la Corte” o “el Tribunal”) el 26 de junio de 2012 y el 3 de septiembre de 2012</w:t>
      </w:r>
      <w:r>
        <w:rPr>
          <w:rFonts w:ascii="Verdana" w:hAnsi="Verdana" w:cs="Arial"/>
          <w:sz w:val="20"/>
        </w:rPr>
        <w:t>, respectivamente,</w:t>
      </w:r>
      <w:r w:rsidRPr="008E5E47">
        <w:rPr>
          <w:rFonts w:ascii="Verdana" w:hAnsi="Verdana" w:cs="Arial"/>
          <w:sz w:val="20"/>
        </w:rPr>
        <w:t xml:space="preserve"> en los siguientes </w:t>
      </w:r>
      <w:r>
        <w:rPr>
          <w:rFonts w:ascii="Verdana" w:hAnsi="Verdana" w:cs="Arial"/>
          <w:sz w:val="20"/>
        </w:rPr>
        <w:t>dos</w:t>
      </w:r>
      <w:r w:rsidRPr="008E5E47">
        <w:rPr>
          <w:rFonts w:ascii="Verdana" w:hAnsi="Verdana" w:cs="Arial"/>
          <w:sz w:val="20"/>
        </w:rPr>
        <w:t xml:space="preserve"> casos contra la República Bolivariana de Venezuela (en adelante “el Estado” o “Venezuela”): (i) </w:t>
      </w:r>
      <w:r w:rsidRPr="008E5E47">
        <w:rPr>
          <w:rFonts w:ascii="Verdana" w:hAnsi="Verdana" w:cs="Arial"/>
          <w:i/>
          <w:sz w:val="20"/>
        </w:rPr>
        <w:t>Díaz Peña</w:t>
      </w:r>
      <w:r w:rsidRPr="0033093C">
        <w:rPr>
          <w:rStyle w:val="Refdenotaalpie"/>
          <w:rFonts w:ascii="Verdana" w:hAnsi="Verdana" w:cs="Arial"/>
          <w:sz w:val="20"/>
        </w:rPr>
        <w:footnoteReference w:id="1"/>
      </w:r>
      <w:r w:rsidRPr="008E5E47">
        <w:rPr>
          <w:rFonts w:ascii="Verdana" w:hAnsi="Verdana" w:cs="Arial"/>
          <w:i/>
          <w:sz w:val="20"/>
        </w:rPr>
        <w:t xml:space="preserve"> </w:t>
      </w:r>
      <w:r w:rsidRPr="008E5E47">
        <w:rPr>
          <w:rFonts w:ascii="Verdana" w:hAnsi="Verdana" w:cs="Arial"/>
          <w:sz w:val="20"/>
        </w:rPr>
        <w:t>y</w:t>
      </w:r>
      <w:r w:rsidRPr="008E5E47">
        <w:rPr>
          <w:rFonts w:ascii="Verdana" w:hAnsi="Verdana" w:cs="Arial"/>
          <w:i/>
          <w:sz w:val="20"/>
        </w:rPr>
        <w:t xml:space="preserve"> </w:t>
      </w:r>
      <w:r w:rsidRPr="008E5E47">
        <w:rPr>
          <w:rFonts w:ascii="Verdana" w:hAnsi="Verdana" w:cs="Arial"/>
          <w:sz w:val="20"/>
        </w:rPr>
        <w:t>(</w:t>
      </w:r>
      <w:proofErr w:type="spellStart"/>
      <w:r w:rsidRPr="008E5E47">
        <w:rPr>
          <w:rFonts w:ascii="Verdana" w:hAnsi="Verdana" w:cs="Arial"/>
          <w:sz w:val="20"/>
        </w:rPr>
        <w:t>ii</w:t>
      </w:r>
      <w:proofErr w:type="spellEnd"/>
      <w:r w:rsidRPr="008E5E47">
        <w:rPr>
          <w:rFonts w:ascii="Verdana" w:hAnsi="Verdana" w:cs="Arial"/>
          <w:sz w:val="20"/>
        </w:rPr>
        <w:t>)</w:t>
      </w:r>
      <w:r w:rsidRPr="008E5E47">
        <w:rPr>
          <w:rFonts w:ascii="Verdana" w:hAnsi="Verdana" w:cs="Arial"/>
          <w:i/>
          <w:sz w:val="20"/>
        </w:rPr>
        <w:t xml:space="preserve"> Uzcátegui y otros</w:t>
      </w:r>
      <w:r w:rsidRPr="0033093C">
        <w:rPr>
          <w:rStyle w:val="Refdenotaalpie"/>
          <w:rFonts w:ascii="Verdana" w:hAnsi="Verdana" w:cs="Arial"/>
          <w:sz w:val="20"/>
        </w:rPr>
        <w:footnoteReference w:id="2"/>
      </w:r>
      <w:r w:rsidRPr="008E5E47">
        <w:rPr>
          <w:rFonts w:ascii="Verdana" w:hAnsi="Verdana" w:cs="Arial"/>
          <w:i/>
          <w:sz w:val="20"/>
        </w:rPr>
        <w:t xml:space="preserve">, </w:t>
      </w:r>
      <w:r w:rsidRPr="008E5E47">
        <w:rPr>
          <w:rFonts w:ascii="Verdana" w:hAnsi="Verdana" w:cs="Arial"/>
          <w:sz w:val="20"/>
        </w:rPr>
        <w:t>en adelante también referidos en su conjunto como los “</w:t>
      </w:r>
      <w:r>
        <w:rPr>
          <w:rFonts w:ascii="Verdana" w:hAnsi="Verdana" w:cs="Arial"/>
          <w:sz w:val="20"/>
        </w:rPr>
        <w:t>dos</w:t>
      </w:r>
      <w:r w:rsidRPr="008E5E47">
        <w:rPr>
          <w:rFonts w:ascii="Verdana" w:hAnsi="Verdana" w:cs="Arial"/>
          <w:sz w:val="20"/>
        </w:rPr>
        <w:t xml:space="preserve"> casos”</w:t>
      </w:r>
      <w:r w:rsidRPr="008E5E47">
        <w:rPr>
          <w:rFonts w:ascii="Verdana" w:hAnsi="Verdana" w:cs="Arial"/>
          <w:i/>
          <w:sz w:val="20"/>
        </w:rPr>
        <w:t xml:space="preserve">. </w:t>
      </w:r>
      <w:r w:rsidRPr="008E5E47">
        <w:rPr>
          <w:rFonts w:ascii="Verdana" w:hAnsi="Verdana" w:cs="Arial"/>
          <w:sz w:val="20"/>
        </w:rPr>
        <w:t>En las respectivas Sentencias de estos casos la Corte declaró la responsabilidad internacional del Estado por diversas violaciones a la Convención Americana sobre Derechos Humanos (en adelante “la Convención Americana” o “la Convención”)</w:t>
      </w:r>
      <w:r w:rsidRPr="008E5E47">
        <w:rPr>
          <w:rStyle w:val="Textoennegrita"/>
          <w:rFonts w:ascii="Verdana" w:hAnsi="Verdana"/>
          <w:b w:val="0"/>
          <w:color w:val="000000"/>
          <w:sz w:val="20"/>
        </w:rPr>
        <w:t xml:space="preserve"> </w:t>
      </w:r>
      <w:r w:rsidRPr="008E5E47">
        <w:rPr>
          <w:rFonts w:ascii="Verdana" w:hAnsi="Verdana" w:cs="Arial"/>
          <w:sz w:val="20"/>
        </w:rPr>
        <w:t xml:space="preserve">y </w:t>
      </w:r>
      <w:r w:rsidRPr="008E5E47">
        <w:rPr>
          <w:rFonts w:ascii="Verdana" w:hAnsi="Verdana"/>
          <w:sz w:val="20"/>
          <w:lang w:val="es-MX"/>
        </w:rPr>
        <w:t>ordenó al Estado determinadas medidas de reparación (</w:t>
      </w:r>
      <w:r w:rsidRPr="008E5E47">
        <w:rPr>
          <w:rFonts w:ascii="Verdana" w:hAnsi="Verdana"/>
          <w:i/>
          <w:sz w:val="20"/>
          <w:lang w:val="es-MX"/>
        </w:rPr>
        <w:t>infra</w:t>
      </w:r>
      <w:r w:rsidRPr="008E5E47">
        <w:rPr>
          <w:rFonts w:ascii="Verdana" w:hAnsi="Verdana"/>
          <w:sz w:val="20"/>
          <w:lang w:val="es-MX"/>
        </w:rPr>
        <w:t xml:space="preserve"> Considerando </w:t>
      </w:r>
      <w:r>
        <w:rPr>
          <w:rFonts w:ascii="Verdana" w:hAnsi="Verdana"/>
          <w:sz w:val="20"/>
          <w:lang w:val="es-MX"/>
        </w:rPr>
        <w:t>1).</w:t>
      </w:r>
    </w:p>
    <w:p w14:paraId="456A50E5" w14:textId="77777777" w:rsidR="00220B4A" w:rsidRPr="00220B4A" w:rsidRDefault="00220B4A" w:rsidP="00220B4A">
      <w:pPr>
        <w:spacing w:afterLines="40" w:after="96"/>
        <w:jc w:val="both"/>
        <w:rPr>
          <w:rFonts w:ascii="Verdana" w:hAnsi="Verdana"/>
          <w:sz w:val="20"/>
          <w:lang w:val="es-MX"/>
        </w:rPr>
      </w:pPr>
    </w:p>
    <w:p w14:paraId="57B7D6B9" w14:textId="22D6C356" w:rsidR="005173AF" w:rsidRPr="00F927DB" w:rsidRDefault="005173AF" w:rsidP="00220B4A">
      <w:pPr>
        <w:numPr>
          <w:ilvl w:val="0"/>
          <w:numId w:val="1"/>
        </w:numPr>
        <w:spacing w:afterLines="40" w:after="96"/>
        <w:ind w:left="0" w:firstLine="0"/>
        <w:jc w:val="both"/>
        <w:rPr>
          <w:rFonts w:ascii="Verdana" w:hAnsi="Verdana"/>
          <w:sz w:val="20"/>
          <w:lang w:val="es-MX"/>
        </w:rPr>
      </w:pPr>
      <w:bookmarkStart w:id="0" w:name="_Ref437587895"/>
      <w:r w:rsidRPr="00D10B91">
        <w:rPr>
          <w:rFonts w:ascii="Verdana" w:hAnsi="Verdana"/>
          <w:bCs/>
          <w:sz w:val="20"/>
          <w:lang w:val="es-MX"/>
        </w:rPr>
        <w:t xml:space="preserve"> Las </w:t>
      </w:r>
      <w:r w:rsidRPr="00D10B91">
        <w:rPr>
          <w:rFonts w:ascii="Verdana" w:hAnsi="Verdana"/>
          <w:sz w:val="20"/>
          <w:lang w:val="es-MX"/>
        </w:rPr>
        <w:t>Resoluciones</w:t>
      </w:r>
      <w:r w:rsidRPr="00D10B91">
        <w:rPr>
          <w:rFonts w:ascii="Verdana" w:hAnsi="Verdana"/>
          <w:bCs/>
          <w:sz w:val="20"/>
          <w:lang w:val="es-MX"/>
        </w:rPr>
        <w:t xml:space="preserve"> de </w:t>
      </w:r>
      <w:r w:rsidR="005D6F72" w:rsidRPr="00D10B91">
        <w:rPr>
          <w:rFonts w:ascii="Verdana" w:hAnsi="Verdana"/>
          <w:bCs/>
          <w:sz w:val="20"/>
          <w:lang w:val="es-MX"/>
        </w:rPr>
        <w:t>supervisión de cumplimiento de S</w:t>
      </w:r>
      <w:r w:rsidRPr="00D10B91">
        <w:rPr>
          <w:rFonts w:ascii="Verdana" w:hAnsi="Verdana"/>
          <w:bCs/>
          <w:sz w:val="20"/>
          <w:lang w:val="es-MX"/>
        </w:rPr>
        <w:t xml:space="preserve">entencia </w:t>
      </w:r>
      <w:r w:rsidR="00C53366">
        <w:rPr>
          <w:rFonts w:ascii="Verdana" w:hAnsi="Verdana"/>
          <w:bCs/>
          <w:sz w:val="20"/>
          <w:lang w:val="es-MX"/>
        </w:rPr>
        <w:t>emitidas</w:t>
      </w:r>
      <w:r w:rsidR="00C53366" w:rsidRPr="00D10B91">
        <w:rPr>
          <w:rFonts w:ascii="Verdana" w:hAnsi="Verdana"/>
          <w:bCs/>
          <w:sz w:val="20"/>
          <w:lang w:val="es-MX"/>
        </w:rPr>
        <w:t xml:space="preserve"> </w:t>
      </w:r>
      <w:r w:rsidRPr="00D10B91">
        <w:rPr>
          <w:rFonts w:ascii="Verdana" w:hAnsi="Verdana"/>
          <w:bCs/>
          <w:sz w:val="20"/>
          <w:lang w:val="es-MX"/>
        </w:rPr>
        <w:t>por la Corte los días</w:t>
      </w:r>
      <w:r w:rsidR="005D6F72" w:rsidRPr="00D10B91">
        <w:rPr>
          <w:rFonts w:ascii="Verdana" w:hAnsi="Verdana"/>
          <w:bCs/>
          <w:sz w:val="20"/>
          <w:lang w:val="es-MX"/>
        </w:rPr>
        <w:t xml:space="preserve"> 20 de noviembre de 2015</w:t>
      </w:r>
      <w:r w:rsidR="005D6F72" w:rsidRPr="00D10B91">
        <w:rPr>
          <w:rStyle w:val="Refdenotaalpie"/>
          <w:rFonts w:ascii="Verdana" w:hAnsi="Verdana"/>
          <w:bCs/>
          <w:sz w:val="20"/>
          <w:lang w:val="es-MX"/>
        </w:rPr>
        <w:footnoteReference w:id="3"/>
      </w:r>
      <w:r w:rsidR="005D6F72" w:rsidRPr="00D10B91">
        <w:rPr>
          <w:rFonts w:ascii="Verdana" w:hAnsi="Verdana"/>
          <w:bCs/>
          <w:sz w:val="20"/>
          <w:lang w:val="es-MX"/>
        </w:rPr>
        <w:t xml:space="preserve"> y 22 de noviembre de 2016</w:t>
      </w:r>
      <w:r w:rsidRPr="00D10B91">
        <w:rPr>
          <w:rStyle w:val="Refdenotaalpie"/>
          <w:rFonts w:ascii="Verdana" w:hAnsi="Verdana"/>
          <w:bCs/>
          <w:sz w:val="20"/>
          <w:lang w:val="es-MX"/>
        </w:rPr>
        <w:footnoteReference w:id="4"/>
      </w:r>
      <w:r w:rsidR="00C53366">
        <w:rPr>
          <w:rFonts w:ascii="Verdana" w:hAnsi="Verdana"/>
          <w:bCs/>
          <w:sz w:val="20"/>
          <w:lang w:val="es-MX"/>
        </w:rPr>
        <w:t>, mediante las cuales declaró que Venezuela estaba incumpliendo su deber de informar a este  Tribunal sobre el cumplimiento de las Sentencias de estos dos casos (</w:t>
      </w:r>
      <w:r w:rsidR="00C53366" w:rsidRPr="00686AC2">
        <w:rPr>
          <w:rFonts w:ascii="Verdana" w:hAnsi="Verdana"/>
          <w:bCs/>
          <w:i/>
          <w:sz w:val="20"/>
          <w:lang w:val="es-MX"/>
        </w:rPr>
        <w:t>infra</w:t>
      </w:r>
      <w:r w:rsidR="00C53366">
        <w:rPr>
          <w:rFonts w:ascii="Verdana" w:hAnsi="Verdana"/>
          <w:bCs/>
          <w:sz w:val="20"/>
          <w:lang w:val="es-MX"/>
        </w:rPr>
        <w:t xml:space="preserve"> Considerandos 3 y 4)</w:t>
      </w:r>
      <w:r w:rsidRPr="00D10B91">
        <w:rPr>
          <w:rFonts w:ascii="Verdana" w:hAnsi="Verdana"/>
          <w:bCs/>
          <w:sz w:val="20"/>
          <w:lang w:val="es-MX"/>
        </w:rPr>
        <w:t>.</w:t>
      </w:r>
      <w:bookmarkEnd w:id="0"/>
    </w:p>
    <w:p w14:paraId="42B5680D" w14:textId="77777777" w:rsidR="00252F4C" w:rsidRPr="00F927DB" w:rsidRDefault="00252F4C" w:rsidP="00220B4A">
      <w:pPr>
        <w:spacing w:afterLines="40" w:after="96"/>
        <w:jc w:val="both"/>
        <w:rPr>
          <w:rFonts w:ascii="Verdana" w:hAnsi="Verdana"/>
          <w:sz w:val="20"/>
          <w:lang w:val="es-MX"/>
        </w:rPr>
      </w:pPr>
    </w:p>
    <w:p w14:paraId="71D8A3F2" w14:textId="5630D3D2" w:rsidR="00C46D78" w:rsidRPr="00024011" w:rsidRDefault="00C46D78" w:rsidP="00220B4A">
      <w:pPr>
        <w:numPr>
          <w:ilvl w:val="0"/>
          <w:numId w:val="1"/>
        </w:numPr>
        <w:spacing w:afterLines="40" w:after="96"/>
        <w:ind w:left="0" w:firstLine="0"/>
        <w:jc w:val="both"/>
        <w:rPr>
          <w:rFonts w:ascii="Verdana" w:hAnsi="Verdana"/>
          <w:sz w:val="20"/>
          <w:lang w:val="es-MX"/>
        </w:rPr>
      </w:pPr>
      <w:r w:rsidRPr="00270FDD">
        <w:rPr>
          <w:rFonts w:ascii="Verdana" w:hAnsi="Verdana" w:cs="Arial"/>
          <w:sz w:val="20"/>
          <w:lang w:val="es-MX"/>
        </w:rPr>
        <w:t xml:space="preserve">La nota de la Secretaría de la Corte de 21 de diciembre de 2017, mediante la cual, siguiendo instrucciones del Presidente del Tribunal, </w:t>
      </w:r>
      <w:r w:rsidRPr="00270FDD">
        <w:rPr>
          <w:rFonts w:ascii="Verdana" w:hAnsi="Verdana"/>
          <w:sz w:val="20"/>
          <w:lang w:val="es-MX"/>
        </w:rPr>
        <w:t>se recordó al Estado</w:t>
      </w:r>
      <w:r w:rsidR="00024011">
        <w:rPr>
          <w:rFonts w:ascii="Verdana" w:hAnsi="Verdana"/>
          <w:sz w:val="20"/>
          <w:lang w:val="es-MX"/>
        </w:rPr>
        <w:t xml:space="preserve"> que</w:t>
      </w:r>
      <w:r w:rsidR="005024CD">
        <w:rPr>
          <w:rFonts w:ascii="Verdana" w:hAnsi="Verdana"/>
          <w:sz w:val="20"/>
          <w:lang w:val="es-MX"/>
        </w:rPr>
        <w:t>,</w:t>
      </w:r>
      <w:r w:rsidR="00024011">
        <w:rPr>
          <w:rFonts w:ascii="Verdana" w:hAnsi="Verdana"/>
          <w:sz w:val="20"/>
          <w:lang w:val="es-MX"/>
        </w:rPr>
        <w:t xml:space="preserve"> </w:t>
      </w:r>
      <w:r w:rsidR="00024011">
        <w:rPr>
          <w:rFonts w:ascii="Verdana" w:hAnsi="Verdana"/>
          <w:sz w:val="20"/>
          <w:lang w:val="es-MX"/>
        </w:rPr>
        <w:lastRenderedPageBreak/>
        <w:t>según lo dispuesto en el punto resolutivo quinto de la Resolución de 20 de novi</w:t>
      </w:r>
      <w:r w:rsidR="005024CD">
        <w:rPr>
          <w:rFonts w:ascii="Verdana" w:hAnsi="Verdana"/>
          <w:sz w:val="20"/>
          <w:lang w:val="es-MX"/>
        </w:rPr>
        <w:t>embre de 2015</w:t>
      </w:r>
      <w:r w:rsidR="00024011">
        <w:rPr>
          <w:rFonts w:ascii="Verdana" w:hAnsi="Verdana"/>
          <w:sz w:val="20"/>
          <w:lang w:val="es-MX"/>
        </w:rPr>
        <w:t xml:space="preserve"> y reiterado en el punto resolutivo séptimo de la Resolución de 22 de noviembre de 2016</w:t>
      </w:r>
      <w:r w:rsidRPr="00024011">
        <w:rPr>
          <w:rFonts w:ascii="Verdana" w:hAnsi="Verdana"/>
          <w:sz w:val="20"/>
          <w:lang w:val="es-CR"/>
        </w:rPr>
        <w:t xml:space="preserve"> (</w:t>
      </w:r>
      <w:r w:rsidRPr="00024011">
        <w:rPr>
          <w:rFonts w:ascii="Verdana" w:hAnsi="Verdana"/>
          <w:i/>
          <w:sz w:val="20"/>
          <w:lang w:val="es-CR"/>
        </w:rPr>
        <w:t xml:space="preserve">supra </w:t>
      </w:r>
      <w:r w:rsidR="00024011">
        <w:rPr>
          <w:rFonts w:ascii="Verdana" w:hAnsi="Verdana"/>
          <w:sz w:val="20"/>
          <w:lang w:val="es-CR"/>
        </w:rPr>
        <w:t>Visto 2</w:t>
      </w:r>
      <w:r w:rsidRPr="00024011">
        <w:rPr>
          <w:rFonts w:ascii="Verdana" w:hAnsi="Verdana"/>
          <w:sz w:val="20"/>
          <w:lang w:val="es-CR"/>
        </w:rPr>
        <w:t xml:space="preserve">), debía remitir </w:t>
      </w:r>
      <w:r w:rsidR="00473DA2">
        <w:rPr>
          <w:rFonts w:ascii="Verdana" w:hAnsi="Verdana"/>
          <w:sz w:val="20"/>
          <w:lang w:val="es-CR"/>
        </w:rPr>
        <w:t xml:space="preserve">a este Tribunal </w:t>
      </w:r>
      <w:r w:rsidRPr="00024011">
        <w:rPr>
          <w:rFonts w:ascii="Verdana" w:hAnsi="Verdana"/>
          <w:sz w:val="20"/>
          <w:lang w:val="es-CR"/>
        </w:rPr>
        <w:t>un informe en cada uno de los casos</w:t>
      </w:r>
      <w:r w:rsidR="00473DA2">
        <w:rPr>
          <w:rFonts w:ascii="Verdana" w:hAnsi="Verdana"/>
          <w:sz w:val="20"/>
          <w:lang w:val="es-CR"/>
        </w:rPr>
        <w:t>, en los cuales, indicara</w:t>
      </w:r>
      <w:r w:rsidRPr="00024011">
        <w:rPr>
          <w:rFonts w:ascii="Verdana" w:hAnsi="Verdana"/>
          <w:sz w:val="20"/>
          <w:lang w:val="es-CR"/>
        </w:rPr>
        <w:t xml:space="preserve"> las medidas adoptadas para cumplir con las reparaciones ordenadas</w:t>
      </w:r>
      <w:r w:rsidR="00473DA2">
        <w:rPr>
          <w:rFonts w:ascii="Verdana" w:hAnsi="Verdana"/>
          <w:sz w:val="20"/>
          <w:lang w:val="es-CR"/>
        </w:rPr>
        <w:t xml:space="preserve"> en las respectivas Sentencias</w:t>
      </w:r>
      <w:r w:rsidRPr="00024011">
        <w:rPr>
          <w:rFonts w:ascii="Verdana" w:hAnsi="Verdana"/>
          <w:sz w:val="20"/>
          <w:lang w:val="es-CR"/>
        </w:rPr>
        <w:t>. Además</w:t>
      </w:r>
      <w:r w:rsidR="00B032F3" w:rsidRPr="00024011">
        <w:rPr>
          <w:rFonts w:ascii="Verdana" w:hAnsi="Verdana"/>
          <w:sz w:val="20"/>
          <w:lang w:val="es-CR"/>
        </w:rPr>
        <w:t>,</w:t>
      </w:r>
      <w:r w:rsidRPr="00024011">
        <w:rPr>
          <w:rFonts w:ascii="Verdana" w:hAnsi="Verdana"/>
          <w:sz w:val="20"/>
          <w:lang w:val="es-CR"/>
        </w:rPr>
        <w:t xml:space="preserve"> se indicó que </w:t>
      </w:r>
      <w:r w:rsidR="00473DA2">
        <w:rPr>
          <w:rFonts w:ascii="Verdana" w:hAnsi="Verdana"/>
          <w:sz w:val="20"/>
          <w:lang w:val="es-CR"/>
        </w:rPr>
        <w:t xml:space="preserve">el </w:t>
      </w:r>
      <w:r w:rsidR="00473DA2" w:rsidRPr="00024011">
        <w:rPr>
          <w:rFonts w:ascii="Verdana" w:hAnsi="Verdana"/>
          <w:sz w:val="20"/>
          <w:lang w:val="es-CR"/>
        </w:rPr>
        <w:t>plazo</w:t>
      </w:r>
      <w:r w:rsidR="00473DA2">
        <w:rPr>
          <w:rFonts w:ascii="Verdana" w:hAnsi="Verdana"/>
          <w:sz w:val="20"/>
          <w:lang w:val="es-CR"/>
        </w:rPr>
        <w:t xml:space="preserve"> otorgado para la remisión de los referidos informes</w:t>
      </w:r>
      <w:r w:rsidR="00473DA2" w:rsidRPr="00024011">
        <w:rPr>
          <w:rFonts w:ascii="Verdana" w:hAnsi="Verdana"/>
          <w:sz w:val="20"/>
          <w:lang w:val="es-CR"/>
        </w:rPr>
        <w:t xml:space="preserve"> </w:t>
      </w:r>
      <w:r w:rsidRPr="00024011">
        <w:rPr>
          <w:rFonts w:ascii="Verdana" w:hAnsi="Verdana"/>
          <w:sz w:val="20"/>
          <w:lang w:val="es-CR"/>
        </w:rPr>
        <w:t>había</w:t>
      </w:r>
      <w:r w:rsidR="005024CD">
        <w:rPr>
          <w:rFonts w:ascii="Verdana" w:hAnsi="Verdana"/>
          <w:sz w:val="20"/>
          <w:lang w:val="es-CR"/>
        </w:rPr>
        <w:t>n</w:t>
      </w:r>
      <w:r w:rsidRPr="00024011">
        <w:rPr>
          <w:rFonts w:ascii="Verdana" w:hAnsi="Verdana"/>
          <w:sz w:val="20"/>
          <w:lang w:val="es-CR"/>
        </w:rPr>
        <w:t xml:space="preserve"> vencido y </w:t>
      </w:r>
      <w:r w:rsidR="005024CD">
        <w:rPr>
          <w:rFonts w:ascii="Verdana" w:hAnsi="Verdana"/>
          <w:sz w:val="20"/>
          <w:lang w:val="es-CR"/>
        </w:rPr>
        <w:t xml:space="preserve">se le </w:t>
      </w:r>
      <w:r w:rsidRPr="00024011">
        <w:rPr>
          <w:rFonts w:ascii="Verdana" w:hAnsi="Verdana"/>
          <w:sz w:val="20"/>
          <w:lang w:val="es-CR"/>
        </w:rPr>
        <w:t>requirió “que los remita a la mayor brevedad posible”.</w:t>
      </w:r>
      <w:r w:rsidR="00024011" w:rsidRPr="00024011">
        <w:rPr>
          <w:rFonts w:ascii="Verdana" w:hAnsi="Verdana"/>
          <w:b/>
          <w:sz w:val="20"/>
          <w:lang w:val="es-CR"/>
        </w:rPr>
        <w:t xml:space="preserve"> </w:t>
      </w:r>
    </w:p>
    <w:p w14:paraId="60B058EE" w14:textId="77777777" w:rsidR="00C46D78" w:rsidRPr="005024CD" w:rsidRDefault="00C46D78" w:rsidP="00220B4A">
      <w:pPr>
        <w:spacing w:afterLines="40" w:after="96"/>
        <w:jc w:val="both"/>
        <w:rPr>
          <w:rFonts w:ascii="Verdana" w:hAnsi="Verdana"/>
          <w:sz w:val="20"/>
          <w:lang w:val="es-MX"/>
        </w:rPr>
      </w:pPr>
    </w:p>
    <w:p w14:paraId="44658354" w14:textId="34BBE9EB" w:rsidR="00252F4C" w:rsidRPr="00473DA2" w:rsidRDefault="00252F4C" w:rsidP="00220B4A">
      <w:pPr>
        <w:numPr>
          <w:ilvl w:val="0"/>
          <w:numId w:val="1"/>
        </w:numPr>
        <w:spacing w:afterLines="40" w:after="96"/>
        <w:ind w:left="0" w:firstLine="0"/>
        <w:jc w:val="both"/>
        <w:rPr>
          <w:rFonts w:ascii="Verdana" w:hAnsi="Verdana"/>
          <w:sz w:val="20"/>
          <w:lang w:val="es-MX"/>
        </w:rPr>
      </w:pPr>
      <w:r>
        <w:rPr>
          <w:rFonts w:ascii="Verdana" w:hAnsi="Verdana"/>
          <w:sz w:val="20"/>
          <w:lang w:val="es-MX"/>
        </w:rPr>
        <w:t xml:space="preserve">La Resolución emitida por la Corte el 21 de noviembre de 2018 </w:t>
      </w:r>
      <w:r w:rsidR="00473DA2">
        <w:rPr>
          <w:rFonts w:ascii="Verdana" w:hAnsi="Verdana"/>
          <w:sz w:val="20"/>
          <w:lang w:val="es-MX"/>
        </w:rPr>
        <w:t xml:space="preserve">en relación con </w:t>
      </w:r>
      <w:r>
        <w:rPr>
          <w:rFonts w:ascii="Verdana" w:hAnsi="Verdana"/>
          <w:sz w:val="20"/>
          <w:lang w:val="es-MX"/>
        </w:rPr>
        <w:t xml:space="preserve"> el reintegro realizado por el Estado al Fondo de Asistencia </w:t>
      </w:r>
      <w:r w:rsidR="00473DA2">
        <w:rPr>
          <w:rFonts w:ascii="Verdana" w:hAnsi="Verdana"/>
          <w:sz w:val="20"/>
          <w:lang w:val="es-MX"/>
        </w:rPr>
        <w:t>L</w:t>
      </w:r>
      <w:r>
        <w:rPr>
          <w:rFonts w:ascii="Verdana" w:hAnsi="Verdana"/>
          <w:sz w:val="20"/>
          <w:lang w:val="es-MX"/>
        </w:rPr>
        <w:t xml:space="preserve">egal de Víctimas de la Corte </w:t>
      </w:r>
      <w:r w:rsidR="00473DA2">
        <w:rPr>
          <w:rFonts w:ascii="Verdana" w:hAnsi="Verdana"/>
          <w:sz w:val="20"/>
          <w:lang w:val="es-MX"/>
        </w:rPr>
        <w:t xml:space="preserve">Interamericana </w:t>
      </w:r>
      <w:r>
        <w:rPr>
          <w:rFonts w:ascii="Verdana" w:hAnsi="Verdana"/>
          <w:sz w:val="20"/>
          <w:lang w:val="es-MX"/>
        </w:rPr>
        <w:t xml:space="preserve">en </w:t>
      </w:r>
      <w:r w:rsidR="00473DA2">
        <w:rPr>
          <w:rFonts w:ascii="Verdana" w:hAnsi="Verdana"/>
          <w:sz w:val="20"/>
          <w:lang w:val="es-MX"/>
        </w:rPr>
        <w:t xml:space="preserve">tres casos contra Venezuela, incluyendo </w:t>
      </w:r>
      <w:r w:rsidRPr="00473DA2">
        <w:rPr>
          <w:rFonts w:ascii="Verdana" w:hAnsi="Verdana"/>
          <w:sz w:val="20"/>
          <w:lang w:val="es-MX"/>
        </w:rPr>
        <w:t xml:space="preserve">el caso </w:t>
      </w:r>
      <w:r w:rsidRPr="00473DA2">
        <w:rPr>
          <w:rFonts w:ascii="Verdana" w:hAnsi="Verdana"/>
          <w:i/>
          <w:sz w:val="20"/>
          <w:lang w:val="es-MX"/>
        </w:rPr>
        <w:t>Uzcátegui y otros</w:t>
      </w:r>
      <w:r w:rsidRPr="00024011">
        <w:rPr>
          <w:rStyle w:val="Refdenotaalpie"/>
          <w:rFonts w:ascii="Verdana" w:hAnsi="Verdana"/>
          <w:sz w:val="20"/>
          <w:lang w:val="es-MX"/>
        </w:rPr>
        <w:footnoteReference w:id="5"/>
      </w:r>
      <w:r w:rsidRPr="00473DA2">
        <w:rPr>
          <w:rFonts w:ascii="Verdana" w:hAnsi="Verdana"/>
          <w:sz w:val="20"/>
          <w:lang w:val="es-MX"/>
        </w:rPr>
        <w:t xml:space="preserve">. </w:t>
      </w:r>
    </w:p>
    <w:p w14:paraId="056C07BC" w14:textId="77777777" w:rsidR="005173AF" w:rsidRPr="00D10B91" w:rsidRDefault="005173AF" w:rsidP="00220B4A">
      <w:pPr>
        <w:spacing w:afterLines="40" w:after="96"/>
        <w:jc w:val="both"/>
        <w:rPr>
          <w:rFonts w:ascii="Times New Roman" w:eastAsiaTheme="minorHAnsi" w:hAnsi="Times New Roman"/>
          <w:szCs w:val="24"/>
          <w:lang w:val="es-CR" w:eastAsia="es-CR"/>
        </w:rPr>
      </w:pPr>
    </w:p>
    <w:p w14:paraId="0A9CF45F" w14:textId="5D4DCF22" w:rsidR="00C46D78" w:rsidRPr="00F927DB" w:rsidRDefault="00C46D78" w:rsidP="00220B4A">
      <w:pPr>
        <w:pStyle w:val="Prrafodelista"/>
        <w:numPr>
          <w:ilvl w:val="0"/>
          <w:numId w:val="1"/>
        </w:numPr>
        <w:spacing w:afterLines="40" w:after="96"/>
        <w:ind w:left="0" w:firstLine="0"/>
        <w:jc w:val="both"/>
        <w:rPr>
          <w:rFonts w:ascii="Verdana" w:hAnsi="Verdana"/>
          <w:color w:val="FF0000"/>
          <w:sz w:val="20"/>
          <w:lang w:val="es-MX"/>
        </w:rPr>
      </w:pPr>
      <w:r w:rsidRPr="00CA1E35">
        <w:rPr>
          <w:rFonts w:ascii="Verdana" w:hAnsi="Verdana" w:cs="Arial"/>
          <w:sz w:val="20"/>
          <w:lang w:val="es-MX"/>
        </w:rPr>
        <w:t xml:space="preserve">La nota de la Secretaría de la Corte de </w:t>
      </w:r>
      <w:r>
        <w:rPr>
          <w:rFonts w:ascii="Verdana" w:hAnsi="Verdana"/>
          <w:color w:val="000000"/>
          <w:sz w:val="20"/>
          <w:lang w:val="es-CR"/>
        </w:rPr>
        <w:t xml:space="preserve">21 </w:t>
      </w:r>
      <w:r w:rsidRPr="007D4C29">
        <w:rPr>
          <w:rFonts w:ascii="Verdana" w:hAnsi="Verdana"/>
          <w:color w:val="000000"/>
          <w:sz w:val="20"/>
          <w:lang w:val="es-CR"/>
        </w:rPr>
        <w:t>de diciembre de 201</w:t>
      </w:r>
      <w:r>
        <w:rPr>
          <w:rFonts w:ascii="Verdana" w:hAnsi="Verdana"/>
          <w:color w:val="000000"/>
          <w:sz w:val="20"/>
          <w:lang w:val="es-CR"/>
        </w:rPr>
        <w:t>8</w:t>
      </w:r>
      <w:r w:rsidRPr="00CA1E35">
        <w:rPr>
          <w:rFonts w:ascii="Verdana" w:hAnsi="Verdana" w:cs="Arial"/>
          <w:sz w:val="20"/>
          <w:lang w:val="es-MX"/>
        </w:rPr>
        <w:t>, mediante la cual, siguiendo instruccion</w:t>
      </w:r>
      <w:r>
        <w:rPr>
          <w:rFonts w:ascii="Verdana" w:hAnsi="Verdana" w:cs="Arial"/>
          <w:sz w:val="20"/>
          <w:lang w:val="es-MX"/>
        </w:rPr>
        <w:t>es del Presidente del Tribunal</w:t>
      </w:r>
      <w:r w:rsidR="00EF1C6A">
        <w:rPr>
          <w:rFonts w:ascii="Verdana" w:hAnsi="Verdana" w:cs="Arial"/>
          <w:sz w:val="20"/>
          <w:lang w:val="es-MX"/>
        </w:rPr>
        <w:t>,</w:t>
      </w:r>
      <w:r>
        <w:rPr>
          <w:rFonts w:ascii="Verdana" w:hAnsi="Verdana" w:cs="Arial"/>
          <w:sz w:val="20"/>
          <w:lang w:val="es-MX"/>
        </w:rPr>
        <w:t xml:space="preserve"> </w:t>
      </w:r>
      <w:r>
        <w:rPr>
          <w:rFonts w:ascii="Verdana" w:hAnsi="Verdana"/>
          <w:sz w:val="20"/>
          <w:lang w:val="es-CR"/>
        </w:rPr>
        <w:t>se recordó, por segunda vez,</w:t>
      </w:r>
      <w:r w:rsidRPr="00C46D78">
        <w:rPr>
          <w:rFonts w:ascii="Verdana" w:hAnsi="Verdana"/>
          <w:sz w:val="20"/>
          <w:lang w:val="es-CR"/>
        </w:rPr>
        <w:t xml:space="preserve"> al Estado </w:t>
      </w:r>
      <w:r>
        <w:rPr>
          <w:rFonts w:ascii="Verdana" w:hAnsi="Verdana"/>
          <w:sz w:val="20"/>
          <w:lang w:val="es-CR"/>
        </w:rPr>
        <w:t xml:space="preserve">lo indicado en </w:t>
      </w:r>
      <w:r w:rsidR="00B032F3">
        <w:rPr>
          <w:rFonts w:ascii="Verdana" w:hAnsi="Verdana"/>
          <w:sz w:val="20"/>
          <w:lang w:val="es-CR"/>
        </w:rPr>
        <w:t>la</w:t>
      </w:r>
      <w:r>
        <w:rPr>
          <w:rFonts w:ascii="Verdana" w:hAnsi="Verdana"/>
          <w:sz w:val="20"/>
          <w:lang w:val="es-CR"/>
        </w:rPr>
        <w:t xml:space="preserve"> nota de la Secretaría de 21 de diciembre de 2017 (s</w:t>
      </w:r>
      <w:r>
        <w:rPr>
          <w:rFonts w:ascii="Verdana" w:hAnsi="Verdana"/>
          <w:i/>
          <w:sz w:val="20"/>
          <w:lang w:val="es-CR"/>
        </w:rPr>
        <w:t xml:space="preserve">upra </w:t>
      </w:r>
      <w:r>
        <w:rPr>
          <w:rFonts w:ascii="Verdana" w:hAnsi="Verdana"/>
          <w:sz w:val="20"/>
          <w:lang w:val="es-CR"/>
        </w:rPr>
        <w:t>Visto 3)</w:t>
      </w:r>
      <w:r w:rsidRPr="006A5F2D">
        <w:rPr>
          <w:rFonts w:ascii="Verdana" w:hAnsi="Verdana"/>
          <w:sz w:val="20"/>
          <w:lang w:val="es-CR"/>
        </w:rPr>
        <w:t>.</w:t>
      </w:r>
      <w:r w:rsidR="00DF60C5">
        <w:rPr>
          <w:rFonts w:ascii="Verdana" w:hAnsi="Verdana"/>
          <w:sz w:val="20"/>
          <w:lang w:val="es-CR"/>
        </w:rPr>
        <w:t xml:space="preserve"> </w:t>
      </w:r>
    </w:p>
    <w:p w14:paraId="3B870964" w14:textId="77777777" w:rsidR="005173AF" w:rsidRDefault="005173AF" w:rsidP="00220B4A">
      <w:pPr>
        <w:pStyle w:val="Prrafodelista"/>
        <w:spacing w:afterLines="40" w:after="96"/>
        <w:ind w:left="0"/>
        <w:jc w:val="both"/>
        <w:rPr>
          <w:lang w:val="es-VE"/>
        </w:rPr>
      </w:pPr>
    </w:p>
    <w:p w14:paraId="468021D6" w14:textId="77777777" w:rsidR="00174292" w:rsidRDefault="00174292" w:rsidP="00220B4A">
      <w:pPr>
        <w:spacing w:afterLines="40" w:after="96"/>
        <w:jc w:val="both"/>
        <w:rPr>
          <w:rFonts w:ascii="Verdana" w:hAnsi="Verdana"/>
          <w:b/>
          <w:sz w:val="20"/>
          <w:lang w:val="es-MX"/>
        </w:rPr>
      </w:pPr>
      <w:r>
        <w:rPr>
          <w:rFonts w:ascii="Verdana" w:hAnsi="Verdana"/>
          <w:b/>
          <w:sz w:val="20"/>
          <w:lang w:val="es-MX"/>
        </w:rPr>
        <w:t xml:space="preserve">CONSIDERANDO QUE: </w:t>
      </w:r>
    </w:p>
    <w:p w14:paraId="3C9EE6C9" w14:textId="77777777" w:rsidR="00174292" w:rsidRPr="00220B4A" w:rsidRDefault="00174292" w:rsidP="00220B4A">
      <w:pPr>
        <w:spacing w:afterLines="40" w:after="96"/>
        <w:jc w:val="both"/>
        <w:rPr>
          <w:rFonts w:ascii="Verdana" w:hAnsi="Verdana"/>
          <w:sz w:val="20"/>
          <w:lang w:val="es-MX"/>
        </w:rPr>
      </w:pPr>
    </w:p>
    <w:p w14:paraId="0AA3A9A6" w14:textId="23D268B2" w:rsidR="00D90E6B" w:rsidRPr="00F927DB" w:rsidRDefault="00174292" w:rsidP="00220B4A">
      <w:pPr>
        <w:pStyle w:val="Prrafodelista"/>
        <w:numPr>
          <w:ilvl w:val="0"/>
          <w:numId w:val="9"/>
        </w:numPr>
        <w:spacing w:afterLines="40" w:after="96"/>
        <w:ind w:left="0" w:firstLine="0"/>
        <w:jc w:val="both"/>
        <w:rPr>
          <w:lang w:val="es-ES"/>
        </w:rPr>
      </w:pPr>
      <w:r w:rsidRPr="00F927DB">
        <w:rPr>
          <w:rFonts w:ascii="Verdana" w:hAnsi="Verdana" w:cs="Verdana"/>
          <w:bCs/>
          <w:sz w:val="20"/>
          <w:lang w:val="es-CR"/>
        </w:rPr>
        <w:t xml:space="preserve">En el ejercicio de su función jurisdiccional de supervisar el cumplimiento de sus </w:t>
      </w:r>
      <w:r w:rsidRPr="00F927DB">
        <w:rPr>
          <w:rFonts w:ascii="Verdana" w:hAnsi="Verdana" w:cs="Verdana"/>
          <w:bCs/>
          <w:sz w:val="20"/>
          <w:lang w:val="es-ES"/>
        </w:rPr>
        <w:t>decisiones</w:t>
      </w:r>
      <w:r w:rsidRPr="00F770CC">
        <w:rPr>
          <w:rStyle w:val="Refdenotaalpie"/>
          <w:rFonts w:ascii="Verdana" w:hAnsi="Verdana" w:cs="Verdana"/>
          <w:bCs/>
          <w:sz w:val="20"/>
          <w:lang w:val="es-CR"/>
        </w:rPr>
        <w:footnoteReference w:id="6"/>
      </w:r>
      <w:r w:rsidRPr="00F927DB">
        <w:rPr>
          <w:rFonts w:ascii="Verdana" w:hAnsi="Verdana" w:cs="Verdana"/>
          <w:bCs/>
          <w:sz w:val="20"/>
          <w:lang w:val="es-CR"/>
        </w:rPr>
        <w:t xml:space="preserve">, la Corte </w:t>
      </w:r>
      <w:r w:rsidRPr="00F927DB">
        <w:rPr>
          <w:rFonts w:ascii="Verdana" w:hAnsi="Verdana"/>
          <w:sz w:val="20"/>
          <w:lang w:val="es-CR" w:eastAsia="es-CR"/>
        </w:rPr>
        <w:t>ha</w:t>
      </w:r>
      <w:r w:rsidRPr="00F927DB">
        <w:rPr>
          <w:rFonts w:ascii="Verdana" w:hAnsi="Verdana" w:cs="Verdana"/>
          <w:bCs/>
          <w:sz w:val="20"/>
          <w:lang w:val="es-CR"/>
        </w:rPr>
        <w:t xml:space="preserve"> venido </w:t>
      </w:r>
      <w:r w:rsidR="00473DA2">
        <w:rPr>
          <w:rFonts w:ascii="Verdana" w:hAnsi="Verdana" w:cs="Verdana"/>
          <w:bCs/>
          <w:sz w:val="20"/>
          <w:lang w:val="es-CR"/>
        </w:rPr>
        <w:t>considerando</w:t>
      </w:r>
      <w:r w:rsidR="00473DA2" w:rsidRPr="00F927DB">
        <w:rPr>
          <w:rFonts w:ascii="Verdana" w:hAnsi="Verdana" w:cs="Verdana"/>
          <w:bCs/>
          <w:sz w:val="20"/>
          <w:lang w:val="es-CR"/>
        </w:rPr>
        <w:t xml:space="preserve"> </w:t>
      </w:r>
      <w:r w:rsidRPr="00F927DB">
        <w:rPr>
          <w:rFonts w:ascii="Verdana" w:hAnsi="Verdana" w:cs="Verdana"/>
          <w:bCs/>
          <w:sz w:val="20"/>
          <w:lang w:val="es-CR"/>
        </w:rPr>
        <w:t>la ejecución de la</w:t>
      </w:r>
      <w:r w:rsidR="00F82D0B" w:rsidRPr="00F927DB">
        <w:rPr>
          <w:rFonts w:ascii="Verdana" w:hAnsi="Verdana" w:cs="Verdana"/>
          <w:bCs/>
          <w:sz w:val="20"/>
          <w:lang w:val="es-CR"/>
        </w:rPr>
        <w:t>s</w:t>
      </w:r>
      <w:r w:rsidRPr="00F927DB">
        <w:rPr>
          <w:rFonts w:ascii="Verdana" w:hAnsi="Verdana" w:cs="Verdana"/>
          <w:bCs/>
          <w:sz w:val="20"/>
          <w:lang w:val="es-CR"/>
        </w:rPr>
        <w:t xml:space="preserve"> Sentencia</w:t>
      </w:r>
      <w:r w:rsidR="00F82D0B" w:rsidRPr="00F927DB">
        <w:rPr>
          <w:rFonts w:ascii="Verdana" w:hAnsi="Verdana" w:cs="Verdana"/>
          <w:bCs/>
          <w:sz w:val="20"/>
          <w:lang w:val="es-CR"/>
        </w:rPr>
        <w:t>s</w:t>
      </w:r>
      <w:r w:rsidRPr="00F927DB">
        <w:rPr>
          <w:rFonts w:ascii="Verdana" w:hAnsi="Verdana" w:cs="Verdana"/>
          <w:bCs/>
          <w:sz w:val="20"/>
          <w:lang w:val="es-CR"/>
        </w:rPr>
        <w:t xml:space="preserve"> emitida</w:t>
      </w:r>
      <w:r w:rsidR="00F82D0B" w:rsidRPr="00F927DB">
        <w:rPr>
          <w:rFonts w:ascii="Verdana" w:hAnsi="Verdana" w:cs="Verdana"/>
          <w:bCs/>
          <w:sz w:val="20"/>
          <w:lang w:val="es-CR"/>
        </w:rPr>
        <w:t>s</w:t>
      </w:r>
      <w:r w:rsidRPr="00F927DB">
        <w:rPr>
          <w:rFonts w:ascii="Verdana" w:hAnsi="Verdana" w:cs="Verdana"/>
          <w:bCs/>
          <w:sz w:val="20"/>
          <w:lang w:val="es-CR"/>
        </w:rPr>
        <w:t xml:space="preserve"> </w:t>
      </w:r>
      <w:r w:rsidR="00473DA2">
        <w:rPr>
          <w:rFonts w:ascii="Verdana" w:hAnsi="Verdana" w:cs="Verdana"/>
          <w:bCs/>
          <w:sz w:val="20"/>
          <w:lang w:val="es-CR"/>
        </w:rPr>
        <w:t xml:space="preserve">en estos dos casos </w:t>
      </w:r>
      <w:r w:rsidRPr="00F927DB">
        <w:rPr>
          <w:rFonts w:ascii="Verdana" w:hAnsi="Verdana" w:cs="Verdana"/>
          <w:bCs/>
          <w:sz w:val="20"/>
          <w:lang w:val="es-CR"/>
        </w:rPr>
        <w:t xml:space="preserve">en </w:t>
      </w:r>
      <w:r w:rsidR="00D10B91" w:rsidRPr="00F927DB">
        <w:rPr>
          <w:rFonts w:ascii="Verdana" w:hAnsi="Verdana" w:cs="Verdana"/>
          <w:bCs/>
          <w:sz w:val="20"/>
          <w:lang w:val="es-CR"/>
        </w:rPr>
        <w:t>el 2012</w:t>
      </w:r>
      <w:r w:rsidRPr="00F927DB">
        <w:rPr>
          <w:rFonts w:ascii="Verdana" w:hAnsi="Verdana" w:cs="Verdana"/>
          <w:bCs/>
          <w:sz w:val="20"/>
          <w:lang w:val="es-CR"/>
        </w:rPr>
        <w:t xml:space="preserve"> (</w:t>
      </w:r>
      <w:r w:rsidRPr="00F927DB">
        <w:rPr>
          <w:rFonts w:ascii="Verdana" w:hAnsi="Verdana" w:cs="Verdana"/>
          <w:bCs/>
          <w:i/>
          <w:sz w:val="20"/>
          <w:lang w:val="es-CR"/>
        </w:rPr>
        <w:t xml:space="preserve">supra </w:t>
      </w:r>
      <w:r w:rsidRPr="00F927DB">
        <w:rPr>
          <w:rFonts w:ascii="Verdana" w:hAnsi="Verdana" w:cs="Verdana"/>
          <w:bCs/>
          <w:sz w:val="20"/>
          <w:lang w:val="es-CR"/>
        </w:rPr>
        <w:t xml:space="preserve">Visto </w:t>
      </w:r>
      <w:r w:rsidR="00C130D0" w:rsidRPr="00F927DB">
        <w:rPr>
          <w:rFonts w:ascii="Verdana" w:hAnsi="Verdana" w:cs="Verdana"/>
          <w:bCs/>
          <w:sz w:val="20"/>
          <w:lang w:val="es-CR"/>
        </w:rPr>
        <w:t>1</w:t>
      </w:r>
      <w:r w:rsidRPr="00BE7BDA">
        <w:rPr>
          <w:rFonts w:ascii="Verdana" w:hAnsi="Verdana" w:cs="Verdana"/>
          <w:bCs/>
          <w:sz w:val="20"/>
          <w:lang w:val="es-CR"/>
        </w:rPr>
        <w:t>).</w:t>
      </w:r>
      <w:r w:rsidR="005C493E" w:rsidRPr="00BE7BDA">
        <w:rPr>
          <w:rFonts w:ascii="Verdana" w:hAnsi="Verdana" w:cs="Verdana"/>
          <w:bCs/>
          <w:sz w:val="20"/>
          <w:lang w:val="es-CR"/>
        </w:rPr>
        <w:t xml:space="preserve"> </w:t>
      </w:r>
      <w:r w:rsidR="00E162E5">
        <w:rPr>
          <w:rFonts w:ascii="Verdana" w:hAnsi="Verdana"/>
          <w:sz w:val="20"/>
        </w:rPr>
        <w:t xml:space="preserve">En la Sentencia del caso </w:t>
      </w:r>
      <w:r w:rsidR="00E162E5" w:rsidRPr="00686AC2">
        <w:rPr>
          <w:rFonts w:ascii="Verdana" w:hAnsi="Verdana"/>
          <w:i/>
          <w:sz w:val="20"/>
        </w:rPr>
        <w:t>Díaz Peña</w:t>
      </w:r>
      <w:r w:rsidR="00E162E5">
        <w:rPr>
          <w:rFonts w:ascii="Verdana" w:hAnsi="Verdana"/>
          <w:sz w:val="20"/>
        </w:rPr>
        <w:t xml:space="preserve"> la Corte ordenó cuatro medidas de reparación</w:t>
      </w:r>
      <w:r w:rsidR="00E162E5">
        <w:rPr>
          <w:rStyle w:val="Refdenotaalpie"/>
          <w:rFonts w:ascii="Verdana" w:hAnsi="Verdana"/>
          <w:sz w:val="20"/>
        </w:rPr>
        <w:footnoteReference w:id="7"/>
      </w:r>
      <w:r w:rsidR="00C71B6A">
        <w:rPr>
          <w:rFonts w:ascii="Verdana" w:hAnsi="Verdana"/>
          <w:sz w:val="20"/>
        </w:rPr>
        <w:t>.</w:t>
      </w:r>
      <w:r w:rsidR="00E162E5">
        <w:rPr>
          <w:rFonts w:ascii="Verdana" w:hAnsi="Verdana"/>
          <w:sz w:val="20"/>
        </w:rPr>
        <w:t xml:space="preserve"> </w:t>
      </w:r>
      <w:r w:rsidR="00C71B6A">
        <w:rPr>
          <w:rFonts w:ascii="Verdana" w:hAnsi="Verdana"/>
          <w:sz w:val="20"/>
        </w:rPr>
        <w:t>E</w:t>
      </w:r>
      <w:r w:rsidR="00DD449A">
        <w:rPr>
          <w:rFonts w:ascii="Verdana" w:hAnsi="Verdana"/>
          <w:sz w:val="20"/>
        </w:rPr>
        <w:t xml:space="preserve">n la Sentencia del caso </w:t>
      </w:r>
      <w:r w:rsidR="00DD449A" w:rsidRPr="00686AC2">
        <w:rPr>
          <w:rFonts w:ascii="Verdana" w:hAnsi="Verdana"/>
          <w:i/>
          <w:sz w:val="20"/>
        </w:rPr>
        <w:t>Uzcátegui y otros</w:t>
      </w:r>
      <w:r w:rsidR="00DD449A">
        <w:rPr>
          <w:rFonts w:ascii="Verdana" w:hAnsi="Verdana"/>
          <w:sz w:val="20"/>
        </w:rPr>
        <w:t xml:space="preserve"> dispuso </w:t>
      </w:r>
      <w:r w:rsidR="00E44DEF">
        <w:rPr>
          <w:rFonts w:ascii="Verdana" w:hAnsi="Verdana"/>
          <w:sz w:val="20"/>
        </w:rPr>
        <w:t>cinco</w:t>
      </w:r>
      <w:r w:rsidR="00DD449A">
        <w:rPr>
          <w:rFonts w:ascii="Verdana" w:hAnsi="Verdana"/>
          <w:sz w:val="20"/>
        </w:rPr>
        <w:t xml:space="preserve"> medidas de reparación</w:t>
      </w:r>
      <w:r w:rsidR="00DD449A">
        <w:rPr>
          <w:rStyle w:val="Refdenotaalpie"/>
          <w:rFonts w:ascii="Verdana" w:hAnsi="Verdana"/>
          <w:sz w:val="20"/>
        </w:rPr>
        <w:footnoteReference w:id="8"/>
      </w:r>
      <w:r w:rsidR="00C71B6A">
        <w:rPr>
          <w:rFonts w:ascii="Verdana" w:hAnsi="Verdana"/>
          <w:sz w:val="20"/>
        </w:rPr>
        <w:t xml:space="preserve"> y</w:t>
      </w:r>
      <w:r w:rsidR="00DD449A">
        <w:rPr>
          <w:rFonts w:ascii="Verdana" w:hAnsi="Verdana"/>
          <w:sz w:val="20"/>
        </w:rPr>
        <w:t xml:space="preserve"> </w:t>
      </w:r>
      <w:r w:rsidR="00402AE3">
        <w:rPr>
          <w:rFonts w:ascii="Verdana" w:hAnsi="Verdana"/>
          <w:sz w:val="20"/>
        </w:rPr>
        <w:t>se ordenó al Estado realizar un reintegro al</w:t>
      </w:r>
      <w:r w:rsidR="00402AE3" w:rsidRPr="00596B3D">
        <w:rPr>
          <w:rFonts w:ascii="Verdana" w:hAnsi="Verdana"/>
          <w:sz w:val="20"/>
        </w:rPr>
        <w:t xml:space="preserve"> Fondo de Asistencia Legal de Víctimas </w:t>
      </w:r>
      <w:r w:rsidR="00402AE3">
        <w:rPr>
          <w:rFonts w:ascii="Verdana" w:hAnsi="Verdana"/>
          <w:sz w:val="20"/>
        </w:rPr>
        <w:t>de la Corte, lo cual fue declarado cumplido por este Tribunal (</w:t>
      </w:r>
      <w:r w:rsidR="00402AE3">
        <w:rPr>
          <w:rFonts w:ascii="Verdana" w:hAnsi="Verdana"/>
          <w:i/>
          <w:sz w:val="20"/>
        </w:rPr>
        <w:t xml:space="preserve">supra </w:t>
      </w:r>
      <w:r w:rsidR="00133DC4">
        <w:rPr>
          <w:rFonts w:ascii="Verdana" w:hAnsi="Verdana"/>
          <w:sz w:val="20"/>
        </w:rPr>
        <w:t>Visto 4</w:t>
      </w:r>
      <w:r w:rsidR="00402AE3">
        <w:rPr>
          <w:rFonts w:ascii="Verdana" w:hAnsi="Verdana"/>
          <w:sz w:val="20"/>
        </w:rPr>
        <w:t>).</w:t>
      </w:r>
      <w:r w:rsidR="00C71B6A">
        <w:rPr>
          <w:rFonts w:ascii="Verdana" w:hAnsi="Verdana"/>
          <w:sz w:val="20"/>
        </w:rPr>
        <w:t xml:space="preserve"> Además, </w:t>
      </w:r>
      <w:bookmarkStart w:id="1" w:name="_Ref437274109"/>
      <w:r w:rsidR="00F2708E">
        <w:rPr>
          <w:rFonts w:ascii="Verdana" w:hAnsi="Verdana"/>
          <w:sz w:val="20"/>
          <w:lang w:val="es-MX"/>
        </w:rPr>
        <w:t xml:space="preserve">en los puntos </w:t>
      </w:r>
      <w:r w:rsidR="00C71B6A">
        <w:rPr>
          <w:rFonts w:ascii="Verdana" w:hAnsi="Verdana"/>
          <w:sz w:val="20"/>
          <w:lang w:val="es-MX"/>
        </w:rPr>
        <w:t xml:space="preserve">dispositivos </w:t>
      </w:r>
      <w:r w:rsidR="00F2708E">
        <w:rPr>
          <w:rFonts w:ascii="Verdana" w:hAnsi="Verdana"/>
          <w:sz w:val="20"/>
          <w:lang w:val="es-MX"/>
        </w:rPr>
        <w:t xml:space="preserve">de </w:t>
      </w:r>
      <w:r w:rsidR="00C71B6A">
        <w:rPr>
          <w:rFonts w:ascii="Verdana" w:hAnsi="Verdana"/>
          <w:sz w:val="20"/>
          <w:lang w:val="es-MX"/>
        </w:rPr>
        <w:t xml:space="preserve">las </w:t>
      </w:r>
      <w:r w:rsidR="00F2708E">
        <w:rPr>
          <w:rFonts w:ascii="Verdana" w:hAnsi="Verdana"/>
          <w:sz w:val="20"/>
          <w:lang w:val="es-MX"/>
        </w:rPr>
        <w:t xml:space="preserve">respectivas Sentencias </w:t>
      </w:r>
      <w:r w:rsidR="00C71B6A">
        <w:rPr>
          <w:rFonts w:ascii="Verdana" w:hAnsi="Verdana"/>
          <w:sz w:val="20"/>
          <w:lang w:val="es-MX"/>
        </w:rPr>
        <w:t xml:space="preserve">de estos dos casos, la Corte dispuso </w:t>
      </w:r>
      <w:r w:rsidR="00F2708E">
        <w:rPr>
          <w:rFonts w:ascii="Verdana" w:hAnsi="Verdana"/>
          <w:sz w:val="20"/>
          <w:lang w:val="es-MX"/>
        </w:rPr>
        <w:t>que el Estado debía rendir</w:t>
      </w:r>
      <w:r w:rsidR="00B979CD">
        <w:rPr>
          <w:rFonts w:ascii="Verdana" w:hAnsi="Verdana"/>
          <w:sz w:val="20"/>
          <w:lang w:val="es-MX"/>
        </w:rPr>
        <w:t>, dentro del plazo de un año</w:t>
      </w:r>
      <w:r w:rsidR="00F2708E">
        <w:rPr>
          <w:rFonts w:ascii="Verdana" w:hAnsi="Verdana"/>
          <w:sz w:val="20"/>
          <w:lang w:val="es-MX"/>
        </w:rPr>
        <w:t xml:space="preserve"> contado a partir de sus notificaciones, un informe sobre las medidas </w:t>
      </w:r>
      <w:r w:rsidR="00F2708E">
        <w:rPr>
          <w:rFonts w:ascii="Verdana" w:hAnsi="Verdana"/>
          <w:sz w:val="20"/>
          <w:lang w:val="es-MX"/>
        </w:rPr>
        <w:lastRenderedPageBreak/>
        <w:t>adoptadas para cumplir con lo dispuesto en las mismas</w:t>
      </w:r>
      <w:r w:rsidR="00F2708E">
        <w:rPr>
          <w:rStyle w:val="Refdenotaalpie"/>
          <w:rFonts w:ascii="Verdana" w:hAnsi="Verdana"/>
          <w:sz w:val="20"/>
          <w:lang w:val="es-MX"/>
        </w:rPr>
        <w:footnoteReference w:id="9"/>
      </w:r>
      <w:r w:rsidR="00F2708E">
        <w:rPr>
          <w:rFonts w:ascii="Verdana" w:hAnsi="Verdana"/>
          <w:sz w:val="20"/>
          <w:lang w:val="es-MX"/>
        </w:rPr>
        <w:t>.</w:t>
      </w:r>
      <w:r w:rsidR="00C71B6A">
        <w:rPr>
          <w:rFonts w:ascii="Verdana" w:hAnsi="Verdana"/>
          <w:sz w:val="20"/>
          <w:lang w:val="es-MX"/>
        </w:rPr>
        <w:t xml:space="preserve"> Dicho plazo era hasta el </w:t>
      </w:r>
      <w:r w:rsidR="00F2708E">
        <w:rPr>
          <w:rFonts w:ascii="Verdana" w:hAnsi="Verdana"/>
          <w:sz w:val="20"/>
          <w:lang w:val="es-MX"/>
        </w:rPr>
        <w:t xml:space="preserve"> </w:t>
      </w:r>
      <w:r w:rsidR="00C71B6A">
        <w:rPr>
          <w:rFonts w:ascii="Verdana" w:hAnsi="Verdana"/>
          <w:sz w:val="20"/>
          <w:lang w:val="es-MX"/>
        </w:rPr>
        <w:t xml:space="preserve">20 de julio de 2013 para el caso </w:t>
      </w:r>
      <w:r w:rsidR="00C71B6A" w:rsidRPr="00686AC2">
        <w:rPr>
          <w:rFonts w:ascii="Verdana" w:hAnsi="Verdana"/>
          <w:i/>
          <w:sz w:val="20"/>
          <w:lang w:val="es-MX"/>
        </w:rPr>
        <w:t>Díaz Peña</w:t>
      </w:r>
      <w:r w:rsidR="00C71B6A">
        <w:rPr>
          <w:rFonts w:ascii="Verdana" w:hAnsi="Verdana"/>
          <w:sz w:val="20"/>
          <w:lang w:val="es-MX"/>
        </w:rPr>
        <w:t xml:space="preserve"> y hasta el 12 de octubre de 2013 para el caso </w:t>
      </w:r>
      <w:r w:rsidR="00C71B6A" w:rsidRPr="00686AC2">
        <w:rPr>
          <w:rFonts w:ascii="Verdana" w:hAnsi="Verdana"/>
          <w:i/>
          <w:sz w:val="20"/>
          <w:lang w:val="es-MX"/>
        </w:rPr>
        <w:t>Uzcátegui y otros</w:t>
      </w:r>
      <w:r w:rsidR="00C71B6A">
        <w:rPr>
          <w:rFonts w:ascii="Verdana" w:hAnsi="Verdana"/>
          <w:sz w:val="20"/>
          <w:lang w:val="es-MX"/>
        </w:rPr>
        <w:t xml:space="preserve">. </w:t>
      </w:r>
      <w:r w:rsidR="00F2708E">
        <w:rPr>
          <w:rFonts w:ascii="Verdana" w:hAnsi="Verdana"/>
          <w:sz w:val="20"/>
          <w:lang w:val="es-MX"/>
        </w:rPr>
        <w:t xml:space="preserve">Venezuela no presentó los informes requeridos en ninguno de estos dos casos. </w:t>
      </w:r>
    </w:p>
    <w:p w14:paraId="43AFF27D" w14:textId="77777777" w:rsidR="00D90E6B" w:rsidRPr="00220B4A" w:rsidRDefault="00D90E6B" w:rsidP="00220B4A">
      <w:pPr>
        <w:pStyle w:val="Prrafodelista"/>
        <w:spacing w:afterLines="40" w:after="96"/>
        <w:ind w:left="0"/>
        <w:jc w:val="both"/>
        <w:rPr>
          <w:rFonts w:ascii="Verdana" w:hAnsi="Verdana"/>
          <w:sz w:val="20"/>
          <w:lang w:val="es-MX"/>
        </w:rPr>
      </w:pPr>
    </w:p>
    <w:p w14:paraId="3BC7CB17" w14:textId="02F13182" w:rsidR="00D90E6B" w:rsidRPr="00A25345" w:rsidRDefault="00CC46A5" w:rsidP="00220B4A">
      <w:pPr>
        <w:pStyle w:val="Prrafodelista"/>
        <w:numPr>
          <w:ilvl w:val="0"/>
          <w:numId w:val="9"/>
        </w:numPr>
        <w:spacing w:afterLines="40" w:after="96"/>
        <w:ind w:left="0" w:firstLine="0"/>
        <w:jc w:val="both"/>
        <w:rPr>
          <w:rFonts w:ascii="Verdana" w:hAnsi="Verdana"/>
          <w:sz w:val="20"/>
          <w:lang w:val="es-MX"/>
        </w:rPr>
      </w:pPr>
      <w:r>
        <w:rPr>
          <w:rFonts w:ascii="Verdana" w:hAnsi="Verdana"/>
          <w:sz w:val="20"/>
          <w:lang w:val="es-MX"/>
        </w:rPr>
        <w:t xml:space="preserve">En la Resolución emitida el 20 de </w:t>
      </w:r>
      <w:r w:rsidR="00F2708E" w:rsidRPr="00A25345">
        <w:rPr>
          <w:rFonts w:ascii="Verdana" w:hAnsi="Verdana"/>
          <w:sz w:val="20"/>
          <w:lang w:val="es-MX"/>
        </w:rPr>
        <w:t xml:space="preserve">noviembre de 2015, la Corte declaró que Venezuela había incumplido con su deber de informar sobre el cumplimiento de las reparaciones ordenadas en las Sentencias </w:t>
      </w:r>
      <w:r w:rsidR="00B979CD">
        <w:rPr>
          <w:rFonts w:ascii="Verdana" w:hAnsi="Verdana"/>
          <w:sz w:val="20"/>
          <w:lang w:val="es-MX"/>
        </w:rPr>
        <w:t xml:space="preserve">de </w:t>
      </w:r>
      <w:r w:rsidR="00BA656B">
        <w:rPr>
          <w:rFonts w:ascii="Verdana" w:hAnsi="Verdana"/>
          <w:sz w:val="20"/>
          <w:lang w:val="es-MX"/>
        </w:rPr>
        <w:t>estos dos</w:t>
      </w:r>
      <w:r w:rsidR="007B1A83" w:rsidRPr="00A25345">
        <w:rPr>
          <w:rFonts w:ascii="Verdana" w:hAnsi="Verdana"/>
          <w:sz w:val="20"/>
          <w:lang w:val="es-MX"/>
        </w:rPr>
        <w:t>,</w:t>
      </w:r>
      <w:r w:rsidR="00F2708E" w:rsidRPr="00A25345">
        <w:rPr>
          <w:rFonts w:ascii="Verdana" w:hAnsi="Verdana"/>
          <w:sz w:val="20"/>
          <w:lang w:val="es-MX"/>
        </w:rPr>
        <w:t xml:space="preserve"> y que por ello no </w:t>
      </w:r>
      <w:r w:rsidR="00D90E6B" w:rsidRPr="00A25345">
        <w:rPr>
          <w:rFonts w:ascii="Verdana" w:hAnsi="Verdana"/>
          <w:sz w:val="20"/>
          <w:lang w:val="es-MX"/>
        </w:rPr>
        <w:t>contaba</w:t>
      </w:r>
      <w:r w:rsidR="00F2708E" w:rsidRPr="00A25345">
        <w:rPr>
          <w:rFonts w:ascii="Verdana" w:hAnsi="Verdana"/>
          <w:sz w:val="20"/>
          <w:lang w:val="es-MX"/>
        </w:rPr>
        <w:t xml:space="preserve"> con elementos que le permitieran conocer si dicho Estado había adoptado medidas orientadas a ese fin. </w:t>
      </w:r>
      <w:r w:rsidR="00BA656B">
        <w:rPr>
          <w:rFonts w:ascii="Verdana" w:hAnsi="Verdana"/>
          <w:sz w:val="20"/>
          <w:lang w:val="es-MX"/>
        </w:rPr>
        <w:t>El Tribunal</w:t>
      </w:r>
      <w:r w:rsidR="00F2708E" w:rsidRPr="00A25345">
        <w:rPr>
          <w:rFonts w:ascii="Verdana" w:hAnsi="Verdana"/>
          <w:sz w:val="20"/>
          <w:lang w:val="es-MX"/>
        </w:rPr>
        <w:t xml:space="preserve"> hizo notar que</w:t>
      </w:r>
      <w:r w:rsidR="00204B1C" w:rsidRPr="00A25345">
        <w:rPr>
          <w:rFonts w:ascii="Verdana" w:hAnsi="Verdana"/>
          <w:sz w:val="20"/>
          <w:lang w:val="es-MX"/>
        </w:rPr>
        <w:t>,</w:t>
      </w:r>
      <w:r w:rsidR="00F2708E" w:rsidRPr="00A25345">
        <w:rPr>
          <w:rFonts w:ascii="Verdana" w:hAnsi="Verdana"/>
          <w:sz w:val="20"/>
          <w:lang w:val="es-MX"/>
        </w:rPr>
        <w:t xml:space="preserve"> a pesar del prolongado tiempo que había transcurrido desde el vencimiento del plazo de un año dispuesto en </w:t>
      </w:r>
      <w:r w:rsidR="00204B1C" w:rsidRPr="00A25345">
        <w:rPr>
          <w:rFonts w:ascii="Verdana" w:hAnsi="Verdana"/>
          <w:sz w:val="20"/>
          <w:lang w:val="es-MX"/>
        </w:rPr>
        <w:t xml:space="preserve">las </w:t>
      </w:r>
      <w:r w:rsidR="00F2708E" w:rsidRPr="00A25345">
        <w:rPr>
          <w:rFonts w:ascii="Verdana" w:hAnsi="Verdana"/>
          <w:sz w:val="20"/>
          <w:lang w:val="es-MX"/>
        </w:rPr>
        <w:t>Sentencias para la presentación del informe sobre cumplimiento requerido en las mismas</w:t>
      </w:r>
      <w:r w:rsidR="00F2708E">
        <w:rPr>
          <w:rStyle w:val="Refdenotaalpie"/>
          <w:rFonts w:ascii="Verdana" w:hAnsi="Verdana"/>
          <w:sz w:val="20"/>
          <w:lang w:val="es-MX"/>
        </w:rPr>
        <w:footnoteReference w:id="10"/>
      </w:r>
      <w:r w:rsidR="00F2708E" w:rsidRPr="00A25345">
        <w:rPr>
          <w:rFonts w:ascii="Verdana" w:hAnsi="Verdana"/>
          <w:sz w:val="20"/>
          <w:lang w:val="es-MX"/>
        </w:rPr>
        <w:t xml:space="preserve"> y de los requerimientos realizados por el Tribunal al respecto</w:t>
      </w:r>
      <w:r w:rsidR="00F2708E">
        <w:rPr>
          <w:rStyle w:val="Refdenotaalpie"/>
          <w:rFonts w:ascii="Verdana" w:hAnsi="Verdana"/>
          <w:sz w:val="20"/>
          <w:lang w:val="es-MX"/>
        </w:rPr>
        <w:footnoteReference w:id="11"/>
      </w:r>
      <w:r w:rsidR="00F2708E" w:rsidRPr="00A25345">
        <w:rPr>
          <w:rFonts w:ascii="Verdana" w:hAnsi="Verdana"/>
          <w:sz w:val="20"/>
          <w:lang w:val="es-MX"/>
        </w:rPr>
        <w:t xml:space="preserve">, Venezuela no había presentado informe o escrito alguno sobre la implementación de estas </w:t>
      </w:r>
      <w:r w:rsidR="00A86F9A" w:rsidRPr="00A25345">
        <w:rPr>
          <w:rFonts w:ascii="Verdana" w:hAnsi="Verdana"/>
          <w:sz w:val="20"/>
          <w:lang w:val="es-MX"/>
        </w:rPr>
        <w:t xml:space="preserve">dos </w:t>
      </w:r>
      <w:r w:rsidR="00F2708E" w:rsidRPr="00A25345">
        <w:rPr>
          <w:rFonts w:ascii="Verdana" w:hAnsi="Verdana"/>
          <w:sz w:val="20"/>
          <w:lang w:val="es-MX"/>
        </w:rPr>
        <w:t>Sentencias. Ante tal situación, en la referida Resolución se otorgó al Estado un nuevo plazo hasta el 31 de marzo de 2016 para que presentara información sobre el cumplimiento de las medidas de reparación ordenadas</w:t>
      </w:r>
      <w:r w:rsidR="00F2708E">
        <w:rPr>
          <w:rStyle w:val="Refdenotaalpie"/>
          <w:rFonts w:ascii="Verdana" w:hAnsi="Verdana"/>
          <w:sz w:val="20"/>
          <w:lang w:val="es-MX"/>
        </w:rPr>
        <w:footnoteReference w:id="12"/>
      </w:r>
      <w:r w:rsidR="00F2708E" w:rsidRPr="00A25345">
        <w:rPr>
          <w:rFonts w:ascii="Verdana" w:hAnsi="Verdana"/>
          <w:sz w:val="20"/>
          <w:lang w:val="es-MX"/>
        </w:rPr>
        <w:t xml:space="preserve">. </w:t>
      </w:r>
    </w:p>
    <w:p w14:paraId="0E0D5777" w14:textId="77777777" w:rsidR="00A25345" w:rsidRPr="00A25345" w:rsidRDefault="00A25345" w:rsidP="00220B4A">
      <w:pPr>
        <w:pStyle w:val="Prrafodelista"/>
        <w:spacing w:afterLines="40" w:after="96"/>
        <w:ind w:left="0"/>
        <w:jc w:val="both"/>
        <w:rPr>
          <w:rFonts w:ascii="Verdana" w:hAnsi="Verdana"/>
          <w:sz w:val="20"/>
          <w:lang w:val="es-MX"/>
        </w:rPr>
      </w:pPr>
    </w:p>
    <w:p w14:paraId="7AC70679" w14:textId="48EAC7CD" w:rsidR="00F2708E" w:rsidRPr="00F927DB" w:rsidRDefault="00BA656B" w:rsidP="00220B4A">
      <w:pPr>
        <w:pStyle w:val="Prrafodelista"/>
        <w:numPr>
          <w:ilvl w:val="0"/>
          <w:numId w:val="9"/>
        </w:numPr>
        <w:spacing w:afterLines="40" w:after="96"/>
        <w:ind w:left="0" w:firstLine="0"/>
        <w:jc w:val="both"/>
        <w:rPr>
          <w:rFonts w:ascii="Verdana" w:hAnsi="Verdana"/>
          <w:sz w:val="20"/>
          <w:lang w:val="es-ES"/>
        </w:rPr>
      </w:pPr>
      <w:r>
        <w:rPr>
          <w:rFonts w:ascii="Verdana" w:hAnsi="Verdana"/>
          <w:sz w:val="20"/>
          <w:lang w:val="es-MX"/>
        </w:rPr>
        <w:t xml:space="preserve">En </w:t>
      </w:r>
      <w:r w:rsidR="00D90E6B">
        <w:rPr>
          <w:rFonts w:ascii="Verdana" w:hAnsi="Verdana"/>
          <w:sz w:val="20"/>
          <w:lang w:val="es-MX"/>
        </w:rPr>
        <w:t xml:space="preserve">la Resolución </w:t>
      </w:r>
      <w:r>
        <w:rPr>
          <w:rFonts w:ascii="Verdana" w:hAnsi="Verdana"/>
          <w:sz w:val="20"/>
          <w:lang w:val="es-MX"/>
        </w:rPr>
        <w:t>emitida el</w:t>
      </w:r>
      <w:r w:rsidR="00D90E6B">
        <w:rPr>
          <w:rFonts w:ascii="Verdana" w:hAnsi="Verdana"/>
          <w:sz w:val="20"/>
          <w:lang w:val="es-MX"/>
        </w:rPr>
        <w:t xml:space="preserve"> 22 de noviembre de 2016</w:t>
      </w:r>
      <w:r>
        <w:rPr>
          <w:rFonts w:ascii="Verdana" w:hAnsi="Verdana"/>
          <w:sz w:val="20"/>
          <w:lang w:val="es-MX"/>
        </w:rPr>
        <w:t>,</w:t>
      </w:r>
      <w:r w:rsidR="00D90E6B">
        <w:rPr>
          <w:rFonts w:ascii="Verdana" w:hAnsi="Verdana"/>
          <w:sz w:val="20"/>
          <w:lang w:val="es-MX"/>
        </w:rPr>
        <w:t xml:space="preserve"> la Corte constató que e</w:t>
      </w:r>
      <w:r w:rsidR="00F2708E" w:rsidRPr="00F927DB">
        <w:rPr>
          <w:rFonts w:ascii="Verdana" w:hAnsi="Verdana"/>
          <w:sz w:val="20"/>
          <w:lang w:val="es-MX"/>
        </w:rPr>
        <w:t xml:space="preserve">l Estado no presentó, en el </w:t>
      </w:r>
      <w:r>
        <w:rPr>
          <w:rFonts w:ascii="Verdana" w:hAnsi="Verdana"/>
          <w:sz w:val="20"/>
          <w:lang w:val="es-MX"/>
        </w:rPr>
        <w:t xml:space="preserve">nuevo </w:t>
      </w:r>
      <w:r w:rsidR="00F2708E" w:rsidRPr="00F927DB">
        <w:rPr>
          <w:rFonts w:ascii="Verdana" w:hAnsi="Verdana"/>
          <w:sz w:val="20"/>
          <w:lang w:val="es-MX"/>
        </w:rPr>
        <w:t>plazo concedido</w:t>
      </w:r>
      <w:r w:rsidR="00CC46A5">
        <w:rPr>
          <w:rFonts w:ascii="Verdana" w:hAnsi="Verdana"/>
          <w:sz w:val="20"/>
          <w:lang w:val="es-MX"/>
        </w:rPr>
        <w:t xml:space="preserve">, los informes </w:t>
      </w:r>
      <w:r w:rsidR="007910C9">
        <w:rPr>
          <w:rFonts w:ascii="Verdana" w:hAnsi="Verdana"/>
          <w:sz w:val="20"/>
          <w:lang w:val="es-MX"/>
        </w:rPr>
        <w:t xml:space="preserve">requeridos mediante </w:t>
      </w:r>
      <w:r>
        <w:rPr>
          <w:rFonts w:ascii="Verdana" w:hAnsi="Verdana"/>
          <w:sz w:val="20"/>
          <w:lang w:val="es-MX"/>
        </w:rPr>
        <w:t xml:space="preserve">la referida </w:t>
      </w:r>
      <w:r w:rsidR="007910C9">
        <w:rPr>
          <w:rFonts w:ascii="Verdana" w:hAnsi="Verdana"/>
          <w:sz w:val="20"/>
          <w:lang w:val="es-MX"/>
        </w:rPr>
        <w:t>Resolución de noviembre de 2015 (</w:t>
      </w:r>
      <w:r w:rsidR="007910C9">
        <w:rPr>
          <w:rFonts w:ascii="Verdana" w:hAnsi="Verdana"/>
          <w:i/>
          <w:sz w:val="20"/>
          <w:lang w:val="es-MX"/>
        </w:rPr>
        <w:t xml:space="preserve">supra </w:t>
      </w:r>
      <w:r w:rsidR="007910C9">
        <w:rPr>
          <w:rFonts w:ascii="Verdana" w:hAnsi="Verdana"/>
          <w:sz w:val="20"/>
          <w:lang w:val="es-MX"/>
        </w:rPr>
        <w:t xml:space="preserve">Considerando </w:t>
      </w:r>
      <w:r>
        <w:rPr>
          <w:rFonts w:ascii="Verdana" w:hAnsi="Verdana"/>
          <w:sz w:val="20"/>
          <w:lang w:val="es-MX"/>
        </w:rPr>
        <w:t>2</w:t>
      </w:r>
      <w:r w:rsidR="007910C9">
        <w:rPr>
          <w:rFonts w:ascii="Verdana" w:hAnsi="Verdana"/>
          <w:sz w:val="20"/>
          <w:lang w:val="es-MX"/>
        </w:rPr>
        <w:t>)</w:t>
      </w:r>
      <w:r w:rsidR="00D90E6B" w:rsidRPr="00F927DB">
        <w:rPr>
          <w:rFonts w:ascii="Verdana" w:hAnsi="Verdana"/>
          <w:sz w:val="20"/>
          <w:lang w:val="es-MX"/>
        </w:rPr>
        <w:t>.</w:t>
      </w:r>
      <w:r w:rsidR="00F2708E" w:rsidRPr="00F927DB">
        <w:rPr>
          <w:rFonts w:ascii="Verdana" w:hAnsi="Verdana"/>
          <w:sz w:val="20"/>
          <w:lang w:val="es-MX"/>
        </w:rPr>
        <w:t xml:space="preserve"> </w:t>
      </w:r>
      <w:r w:rsidR="00B979CD">
        <w:rPr>
          <w:rFonts w:ascii="Verdana" w:hAnsi="Verdana"/>
          <w:sz w:val="20"/>
          <w:lang w:val="es-MX"/>
        </w:rPr>
        <w:t>E</w:t>
      </w:r>
      <w:r w:rsidR="00CC46A5">
        <w:rPr>
          <w:rFonts w:ascii="Verdana" w:hAnsi="Verdana"/>
          <w:sz w:val="20"/>
          <w:lang w:val="es-MX"/>
        </w:rPr>
        <w:t>l Tribunal hizo</w:t>
      </w:r>
      <w:r w:rsidR="007B1A83">
        <w:rPr>
          <w:rFonts w:ascii="Verdana" w:hAnsi="Verdana"/>
          <w:sz w:val="20"/>
          <w:lang w:val="es-MX"/>
        </w:rPr>
        <w:t xml:space="preserve"> constar que al momento de la emisión de </w:t>
      </w:r>
      <w:r>
        <w:rPr>
          <w:rFonts w:ascii="Verdana" w:hAnsi="Verdana"/>
          <w:sz w:val="20"/>
          <w:lang w:val="es-MX"/>
        </w:rPr>
        <w:t xml:space="preserve">esta </w:t>
      </w:r>
      <w:r w:rsidR="007B1A83">
        <w:rPr>
          <w:rFonts w:ascii="Verdana" w:hAnsi="Verdana"/>
          <w:sz w:val="20"/>
          <w:lang w:val="es-MX"/>
        </w:rPr>
        <w:t xml:space="preserve">Resolución </w:t>
      </w:r>
      <w:r>
        <w:rPr>
          <w:rFonts w:ascii="Verdana" w:hAnsi="Verdana"/>
          <w:sz w:val="20"/>
          <w:lang w:val="es-MX"/>
        </w:rPr>
        <w:t xml:space="preserve">de noviembre de 2016, </w:t>
      </w:r>
      <w:r w:rsidR="007B1A83">
        <w:rPr>
          <w:rFonts w:ascii="Verdana" w:hAnsi="Verdana"/>
          <w:sz w:val="20"/>
          <w:lang w:val="es-MX"/>
        </w:rPr>
        <w:t xml:space="preserve">habían transcurrido un total de </w:t>
      </w:r>
      <w:r w:rsidR="007B1A83" w:rsidRPr="00270FDD">
        <w:rPr>
          <w:rFonts w:ascii="Verdana" w:hAnsi="Verdana"/>
          <w:sz w:val="20"/>
          <w:lang w:val="es-MX"/>
        </w:rPr>
        <w:t xml:space="preserve">tres años y cuatro meses en el </w:t>
      </w:r>
      <w:r w:rsidR="007B1A83" w:rsidRPr="00AF6735">
        <w:rPr>
          <w:rFonts w:ascii="Verdana" w:hAnsi="Verdana"/>
          <w:sz w:val="20"/>
          <w:lang w:val="es-MX"/>
        </w:rPr>
        <w:t>caso</w:t>
      </w:r>
      <w:r w:rsidR="007B1A83" w:rsidRPr="00270FDD">
        <w:rPr>
          <w:rFonts w:ascii="Verdana" w:hAnsi="Verdana"/>
          <w:i/>
          <w:sz w:val="20"/>
          <w:lang w:val="es-MX"/>
        </w:rPr>
        <w:t xml:space="preserve"> Díaz Peña</w:t>
      </w:r>
      <w:r w:rsidR="005F57EB">
        <w:rPr>
          <w:rFonts w:ascii="Verdana" w:hAnsi="Verdana"/>
          <w:i/>
          <w:sz w:val="20"/>
          <w:lang w:val="es-MX"/>
        </w:rPr>
        <w:t>,</w:t>
      </w:r>
      <w:r w:rsidR="007B1A83" w:rsidRPr="00270FDD">
        <w:rPr>
          <w:rFonts w:ascii="Verdana" w:hAnsi="Verdana"/>
          <w:sz w:val="20"/>
          <w:lang w:val="es-MX"/>
        </w:rPr>
        <w:t xml:space="preserve"> y tres años y un mes en el </w:t>
      </w:r>
      <w:r w:rsidR="007B1A83" w:rsidRPr="00AF6735">
        <w:rPr>
          <w:rFonts w:ascii="Verdana" w:hAnsi="Verdana"/>
          <w:sz w:val="20"/>
          <w:lang w:val="es-MX"/>
        </w:rPr>
        <w:t>caso</w:t>
      </w:r>
      <w:r w:rsidR="007B1A83" w:rsidRPr="00270FDD">
        <w:rPr>
          <w:rFonts w:ascii="Verdana" w:hAnsi="Verdana"/>
          <w:i/>
          <w:sz w:val="20"/>
          <w:lang w:val="es-MX"/>
        </w:rPr>
        <w:t xml:space="preserve"> Uzcátegui y otros</w:t>
      </w:r>
      <w:r w:rsidR="007B1A83" w:rsidRPr="003E3833">
        <w:rPr>
          <w:rFonts w:ascii="Verdana" w:hAnsi="Verdana"/>
          <w:sz w:val="20"/>
          <w:lang w:val="es-MX"/>
        </w:rPr>
        <w:t>,</w:t>
      </w:r>
      <w:r w:rsidR="007B1A83">
        <w:rPr>
          <w:rFonts w:ascii="Verdana" w:hAnsi="Verdana"/>
          <w:sz w:val="20"/>
          <w:lang w:val="es-MX"/>
        </w:rPr>
        <w:t xml:space="preserve"> contados desde el vencimiento de los plazos de un año dispuestos en las respectivas Sentencias para que </w:t>
      </w:r>
      <w:r w:rsidR="00B979CD">
        <w:rPr>
          <w:rFonts w:ascii="Verdana" w:hAnsi="Verdana"/>
          <w:sz w:val="20"/>
          <w:lang w:val="es-MX"/>
        </w:rPr>
        <w:t xml:space="preserve">Venezuela </w:t>
      </w:r>
      <w:r w:rsidR="007B1A83">
        <w:rPr>
          <w:rFonts w:ascii="Verdana" w:hAnsi="Verdana"/>
          <w:sz w:val="20"/>
          <w:lang w:val="es-MX"/>
        </w:rPr>
        <w:t>presentara los informes sobre el cumplimiento de las medidas de reparación que le fueron requerid</w:t>
      </w:r>
      <w:r w:rsidR="00A34A6D">
        <w:rPr>
          <w:rFonts w:ascii="Verdana" w:hAnsi="Verdana"/>
          <w:sz w:val="20"/>
          <w:lang w:val="es-MX"/>
        </w:rPr>
        <w:t>a</w:t>
      </w:r>
      <w:r w:rsidR="007B1A83">
        <w:rPr>
          <w:rFonts w:ascii="Verdana" w:hAnsi="Verdana"/>
          <w:sz w:val="20"/>
          <w:lang w:val="es-MX"/>
        </w:rPr>
        <w:t>s</w:t>
      </w:r>
      <w:r w:rsidR="00A34A6D">
        <w:rPr>
          <w:rFonts w:ascii="Verdana" w:hAnsi="Verdana"/>
          <w:sz w:val="20"/>
          <w:lang w:val="es-MX"/>
        </w:rPr>
        <w:t xml:space="preserve"> en las mi</w:t>
      </w:r>
      <w:r w:rsidR="00B55DB2">
        <w:rPr>
          <w:rFonts w:ascii="Verdana" w:hAnsi="Verdana"/>
          <w:sz w:val="20"/>
          <w:lang w:val="es-MX"/>
        </w:rPr>
        <w:t>s</w:t>
      </w:r>
      <w:r w:rsidR="00A34A6D">
        <w:rPr>
          <w:rFonts w:ascii="Verdana" w:hAnsi="Verdana"/>
          <w:sz w:val="20"/>
          <w:lang w:val="es-MX"/>
        </w:rPr>
        <w:t>mas</w:t>
      </w:r>
      <w:r w:rsidR="00A86F9A">
        <w:rPr>
          <w:rFonts w:ascii="Verdana" w:hAnsi="Verdana"/>
          <w:sz w:val="20"/>
          <w:lang w:val="es-MX"/>
        </w:rPr>
        <w:t xml:space="preserve">. Además, la Corte señaló que “Venezuela </w:t>
      </w:r>
      <w:proofErr w:type="spellStart"/>
      <w:r w:rsidR="00A86F9A">
        <w:rPr>
          <w:rFonts w:ascii="Verdana" w:hAnsi="Verdana"/>
          <w:sz w:val="20"/>
          <w:lang w:val="es-MX"/>
        </w:rPr>
        <w:t>conti</w:t>
      </w:r>
      <w:proofErr w:type="spellEnd"/>
      <w:r w:rsidR="00A86F9A">
        <w:rPr>
          <w:rFonts w:ascii="Verdana" w:hAnsi="Verdana"/>
          <w:sz w:val="20"/>
          <w:lang w:val="es-MX"/>
        </w:rPr>
        <w:t>[</w:t>
      </w:r>
      <w:proofErr w:type="spellStart"/>
      <w:r w:rsidR="00A86F9A">
        <w:rPr>
          <w:rFonts w:ascii="Verdana" w:hAnsi="Verdana"/>
          <w:sz w:val="20"/>
          <w:lang w:val="es-MX"/>
        </w:rPr>
        <w:t>nuaba</w:t>
      </w:r>
      <w:proofErr w:type="spellEnd"/>
      <w:r w:rsidR="00A86F9A">
        <w:rPr>
          <w:rFonts w:ascii="Verdana" w:hAnsi="Verdana"/>
          <w:sz w:val="20"/>
          <w:lang w:val="es-MX"/>
        </w:rPr>
        <w:t>] sin proporcionar información alguna sobre el cumplimiento de las Sentencias […]</w:t>
      </w:r>
      <w:r w:rsidR="00F10ACF">
        <w:rPr>
          <w:rFonts w:ascii="Verdana" w:hAnsi="Verdana"/>
          <w:sz w:val="20"/>
          <w:lang w:val="es-MX"/>
        </w:rPr>
        <w:t>,</w:t>
      </w:r>
      <w:r w:rsidR="00A86F9A">
        <w:rPr>
          <w:rFonts w:ascii="Verdana" w:hAnsi="Verdana"/>
          <w:sz w:val="20"/>
          <w:lang w:val="es-MX"/>
        </w:rPr>
        <w:t xml:space="preserve"> por lo que la Corte no [tenía] elementos para sostener que el Estado haya adoptado medidas en ese sentido”</w:t>
      </w:r>
      <w:r>
        <w:rPr>
          <w:rFonts w:ascii="Verdana" w:hAnsi="Verdana"/>
          <w:sz w:val="20"/>
          <w:lang w:val="es-MX"/>
        </w:rPr>
        <w:t>,</w:t>
      </w:r>
      <w:r w:rsidR="00A86F9A">
        <w:rPr>
          <w:rFonts w:ascii="Verdana" w:hAnsi="Verdana"/>
          <w:sz w:val="20"/>
          <w:lang w:val="es-MX"/>
        </w:rPr>
        <w:t xml:space="preserve"> lo que configuraba “un grave incumplimiento estatal de la obligación de informar al Tribunal”</w:t>
      </w:r>
      <w:r w:rsidR="00A86F9A">
        <w:rPr>
          <w:rStyle w:val="Refdenotaalpie"/>
          <w:rFonts w:ascii="Verdana" w:hAnsi="Verdana"/>
          <w:sz w:val="20"/>
          <w:lang w:val="es-MX"/>
        </w:rPr>
        <w:footnoteReference w:id="13"/>
      </w:r>
      <w:r w:rsidR="00F2708E" w:rsidRPr="00F927DB">
        <w:rPr>
          <w:rFonts w:ascii="Verdana" w:hAnsi="Verdana"/>
          <w:sz w:val="20"/>
          <w:lang w:val="es-MX"/>
        </w:rPr>
        <w:t>.</w:t>
      </w:r>
      <w:r w:rsidR="00A86F9A">
        <w:rPr>
          <w:rFonts w:ascii="Verdana" w:hAnsi="Verdana"/>
          <w:sz w:val="20"/>
          <w:lang w:val="es-MX"/>
        </w:rPr>
        <w:t xml:space="preserve"> La Corte resolvió requerir al Estado “que, a la mayor brevedad, presente […] un informe en cada uno de los […] </w:t>
      </w:r>
      <w:r w:rsidR="00A86F9A" w:rsidRPr="00F927DB">
        <w:rPr>
          <w:rFonts w:ascii="Verdana" w:hAnsi="Verdana"/>
          <w:sz w:val="20"/>
          <w:lang w:val="es-MX"/>
        </w:rPr>
        <w:t>casos”</w:t>
      </w:r>
      <w:r w:rsidR="00A86F9A" w:rsidRPr="00F927DB">
        <w:rPr>
          <w:rStyle w:val="Refdenotaalpie"/>
          <w:rFonts w:ascii="Verdana" w:hAnsi="Verdana"/>
          <w:sz w:val="20"/>
          <w:lang w:val="es-MX"/>
        </w:rPr>
        <w:footnoteReference w:id="14"/>
      </w:r>
      <w:r w:rsidR="00A86F9A" w:rsidRPr="00F927DB">
        <w:rPr>
          <w:rFonts w:ascii="Verdana" w:hAnsi="Verdana"/>
          <w:sz w:val="20"/>
          <w:lang w:val="es-MX"/>
        </w:rPr>
        <w:t xml:space="preserve">. </w:t>
      </w:r>
    </w:p>
    <w:p w14:paraId="405036FC" w14:textId="77777777" w:rsidR="000D71E3" w:rsidRPr="00F927DB" w:rsidRDefault="000D71E3" w:rsidP="00220B4A">
      <w:pPr>
        <w:pStyle w:val="Prrafodelista"/>
        <w:spacing w:afterLines="40" w:after="96"/>
        <w:ind w:left="0"/>
        <w:jc w:val="both"/>
        <w:rPr>
          <w:rFonts w:ascii="Verdana" w:hAnsi="Verdana"/>
          <w:sz w:val="20"/>
          <w:lang w:val="es-ES"/>
        </w:rPr>
      </w:pPr>
    </w:p>
    <w:p w14:paraId="605A3218" w14:textId="34D5E0F0" w:rsidR="00335839" w:rsidRPr="00F927DB" w:rsidRDefault="009579B8" w:rsidP="00220B4A">
      <w:pPr>
        <w:pStyle w:val="Prrafodelista"/>
        <w:numPr>
          <w:ilvl w:val="0"/>
          <w:numId w:val="9"/>
        </w:numPr>
        <w:spacing w:afterLines="40" w:after="96"/>
        <w:ind w:left="0" w:firstLine="0"/>
        <w:jc w:val="both"/>
        <w:rPr>
          <w:rFonts w:ascii="Verdana" w:hAnsi="Verdana"/>
          <w:sz w:val="20"/>
          <w:lang w:val="es-ES"/>
        </w:rPr>
      </w:pPr>
      <w:r>
        <w:rPr>
          <w:rFonts w:ascii="Verdana" w:hAnsi="Verdana"/>
          <w:sz w:val="20"/>
          <w:lang w:val="es-CR"/>
        </w:rPr>
        <w:t xml:space="preserve">A pesar de que </w:t>
      </w:r>
      <w:r w:rsidR="000E46BE" w:rsidRPr="003E3833">
        <w:rPr>
          <w:rFonts w:ascii="Verdana" w:hAnsi="Verdana"/>
          <w:sz w:val="20"/>
          <w:lang w:val="es-CR"/>
        </w:rPr>
        <w:t xml:space="preserve">han transcurrido seis años y cuatro meses </w:t>
      </w:r>
      <w:r w:rsidR="0090126D" w:rsidRPr="003E3833">
        <w:rPr>
          <w:rFonts w:ascii="Verdana" w:hAnsi="Verdana"/>
          <w:sz w:val="20"/>
          <w:lang w:val="es-CR"/>
        </w:rPr>
        <w:t xml:space="preserve">en el caso </w:t>
      </w:r>
      <w:r w:rsidR="0090126D" w:rsidRPr="003E3833">
        <w:rPr>
          <w:rFonts w:ascii="Verdana" w:hAnsi="Verdana"/>
          <w:i/>
          <w:sz w:val="20"/>
          <w:lang w:val="es-CR"/>
        </w:rPr>
        <w:t>Díaz Peña</w:t>
      </w:r>
      <w:r w:rsidR="000E46BE" w:rsidRPr="003E3833">
        <w:rPr>
          <w:rFonts w:ascii="Verdana" w:hAnsi="Verdana"/>
          <w:sz w:val="20"/>
          <w:lang w:val="es-CR"/>
        </w:rPr>
        <w:t>,</w:t>
      </w:r>
      <w:r w:rsidR="0090126D" w:rsidRPr="003E3833">
        <w:rPr>
          <w:rFonts w:ascii="Verdana" w:hAnsi="Verdana"/>
          <w:sz w:val="20"/>
          <w:lang w:val="es-CR"/>
        </w:rPr>
        <w:t xml:space="preserve"> y </w:t>
      </w:r>
      <w:r w:rsidR="000E46BE" w:rsidRPr="003E3833">
        <w:rPr>
          <w:rFonts w:ascii="Verdana" w:hAnsi="Verdana"/>
          <w:sz w:val="20"/>
          <w:lang w:val="es-CR"/>
        </w:rPr>
        <w:t xml:space="preserve">seis años y un mes </w:t>
      </w:r>
      <w:r w:rsidR="0090126D" w:rsidRPr="003E3833">
        <w:rPr>
          <w:rFonts w:ascii="Verdana" w:hAnsi="Verdana"/>
          <w:sz w:val="20"/>
          <w:lang w:val="es-CR"/>
        </w:rPr>
        <w:t xml:space="preserve">en el caso </w:t>
      </w:r>
      <w:r w:rsidR="0090126D" w:rsidRPr="003E3833">
        <w:rPr>
          <w:rFonts w:ascii="Verdana" w:hAnsi="Verdana"/>
          <w:i/>
          <w:sz w:val="20"/>
          <w:lang w:val="es-CR"/>
        </w:rPr>
        <w:t>Uzcátegui y otros</w:t>
      </w:r>
      <w:r w:rsidR="0090126D" w:rsidRPr="003E3833">
        <w:rPr>
          <w:rFonts w:ascii="Verdana" w:hAnsi="Verdana"/>
          <w:sz w:val="20"/>
          <w:lang w:val="es-CR"/>
        </w:rPr>
        <w:t>, desde el vencimiento del plazo</w:t>
      </w:r>
      <w:r w:rsidR="00A73D2C" w:rsidRPr="003E3833">
        <w:rPr>
          <w:rFonts w:ascii="Verdana" w:hAnsi="Verdana"/>
          <w:sz w:val="20"/>
          <w:lang w:val="es-CR"/>
        </w:rPr>
        <w:t xml:space="preserve"> de un año</w:t>
      </w:r>
      <w:r w:rsidR="0090126D" w:rsidRPr="003E3833">
        <w:rPr>
          <w:rFonts w:ascii="Verdana" w:hAnsi="Verdana"/>
          <w:sz w:val="20"/>
          <w:lang w:val="es-CR"/>
        </w:rPr>
        <w:t xml:space="preserve"> concedido en las respectivas Sentencias para </w:t>
      </w:r>
      <w:r w:rsidR="0029381A">
        <w:rPr>
          <w:rFonts w:ascii="Verdana" w:hAnsi="Verdana"/>
          <w:sz w:val="20"/>
          <w:lang w:val="es-CR"/>
        </w:rPr>
        <w:t>la presentación de los informes</w:t>
      </w:r>
      <w:r w:rsidR="0090126D" w:rsidRPr="003E3833">
        <w:rPr>
          <w:rFonts w:ascii="Verdana" w:hAnsi="Verdana"/>
          <w:sz w:val="20"/>
          <w:lang w:val="es-CR"/>
        </w:rPr>
        <w:t xml:space="preserve"> y</w:t>
      </w:r>
      <w:r w:rsidR="0029381A">
        <w:rPr>
          <w:rFonts w:ascii="Verdana" w:hAnsi="Verdana"/>
          <w:sz w:val="20"/>
          <w:lang w:val="es-CR"/>
        </w:rPr>
        <w:t>,</w:t>
      </w:r>
      <w:r w:rsidR="0090126D" w:rsidRPr="003E3833">
        <w:rPr>
          <w:rFonts w:ascii="Verdana" w:hAnsi="Verdana"/>
          <w:sz w:val="20"/>
          <w:lang w:val="es-CR"/>
        </w:rPr>
        <w:t xml:space="preserve"> de los requerimientos realizados</w:t>
      </w:r>
      <w:r>
        <w:rPr>
          <w:rFonts w:ascii="Verdana" w:hAnsi="Verdana"/>
          <w:sz w:val="20"/>
          <w:lang w:val="es-CR"/>
        </w:rPr>
        <w:t xml:space="preserve"> por la Corte mediante sus Resoluciones de noviembre </w:t>
      </w:r>
      <w:r>
        <w:rPr>
          <w:rFonts w:ascii="Verdana" w:hAnsi="Verdana"/>
          <w:sz w:val="20"/>
          <w:lang w:val="es-CR"/>
        </w:rPr>
        <w:lastRenderedPageBreak/>
        <w:t>de 2015 y de 2016, y de los posteriores requerimientos realizados en 2017 y 2018 por el Presidente del Tribunal (</w:t>
      </w:r>
      <w:r w:rsidRPr="00686AC2">
        <w:rPr>
          <w:rFonts w:ascii="Verdana" w:hAnsi="Verdana"/>
          <w:i/>
          <w:sz w:val="20"/>
          <w:lang w:val="es-CR"/>
        </w:rPr>
        <w:t xml:space="preserve">supra </w:t>
      </w:r>
      <w:r>
        <w:rPr>
          <w:rFonts w:ascii="Verdana" w:hAnsi="Verdana"/>
          <w:sz w:val="20"/>
          <w:lang w:val="es-CR"/>
        </w:rPr>
        <w:t>Vistos 3 y 5)</w:t>
      </w:r>
      <w:r w:rsidR="0090126D" w:rsidRPr="003E3833">
        <w:rPr>
          <w:rFonts w:ascii="Verdana" w:hAnsi="Verdana"/>
          <w:sz w:val="20"/>
          <w:lang w:val="es-CR"/>
        </w:rPr>
        <w:t xml:space="preserve">, el Estado </w:t>
      </w:r>
      <w:r>
        <w:rPr>
          <w:rFonts w:ascii="Verdana" w:hAnsi="Verdana"/>
          <w:sz w:val="20"/>
          <w:lang w:val="es-CR"/>
        </w:rPr>
        <w:t>continúa</w:t>
      </w:r>
      <w:r w:rsidRPr="003E3833">
        <w:rPr>
          <w:rFonts w:ascii="Verdana" w:hAnsi="Verdana"/>
          <w:sz w:val="20"/>
          <w:lang w:val="es-CR"/>
        </w:rPr>
        <w:t xml:space="preserve"> </w:t>
      </w:r>
      <w:r>
        <w:rPr>
          <w:rFonts w:ascii="Verdana" w:hAnsi="Verdana"/>
          <w:sz w:val="20"/>
          <w:lang w:val="es-CR"/>
        </w:rPr>
        <w:t xml:space="preserve">sin </w:t>
      </w:r>
      <w:r w:rsidR="0090126D" w:rsidRPr="003E3833">
        <w:rPr>
          <w:rFonts w:ascii="Verdana" w:hAnsi="Verdana"/>
          <w:sz w:val="20"/>
          <w:lang w:val="es-CR"/>
        </w:rPr>
        <w:t>present</w:t>
      </w:r>
      <w:r>
        <w:rPr>
          <w:rFonts w:ascii="Verdana" w:hAnsi="Verdana"/>
          <w:sz w:val="20"/>
          <w:lang w:val="es-CR"/>
        </w:rPr>
        <w:t>ar</w:t>
      </w:r>
      <w:r w:rsidR="0090126D" w:rsidRPr="003E3833">
        <w:rPr>
          <w:rFonts w:ascii="Verdana" w:hAnsi="Verdana"/>
          <w:sz w:val="20"/>
          <w:lang w:val="es-CR"/>
        </w:rPr>
        <w:t xml:space="preserve"> los informes</w:t>
      </w:r>
      <w:r>
        <w:rPr>
          <w:rFonts w:ascii="Verdana" w:hAnsi="Verdana"/>
          <w:sz w:val="20"/>
          <w:lang w:val="es-CR"/>
        </w:rPr>
        <w:t xml:space="preserve"> sobre la implementación de estas dos Sentencias</w:t>
      </w:r>
      <w:r w:rsidR="0090126D" w:rsidRPr="003E3833">
        <w:rPr>
          <w:rFonts w:ascii="Verdana" w:hAnsi="Verdana"/>
          <w:sz w:val="20"/>
          <w:lang w:val="es-CR"/>
        </w:rPr>
        <w:t>.</w:t>
      </w:r>
      <w:r w:rsidR="0090126D" w:rsidRPr="00F927DB">
        <w:rPr>
          <w:rFonts w:ascii="Verdana" w:hAnsi="Verdana"/>
          <w:sz w:val="20"/>
          <w:lang w:val="es-CR"/>
        </w:rPr>
        <w:t xml:space="preserve"> </w:t>
      </w:r>
      <w:r>
        <w:rPr>
          <w:rFonts w:ascii="Verdana" w:hAnsi="Verdana"/>
          <w:sz w:val="20"/>
          <w:lang w:val="es-CR"/>
        </w:rPr>
        <w:t xml:space="preserve"> </w:t>
      </w:r>
    </w:p>
    <w:p w14:paraId="7F40A6AB" w14:textId="77777777" w:rsidR="00A86F9A" w:rsidRPr="00F927DB" w:rsidRDefault="00A86F9A" w:rsidP="00220B4A">
      <w:pPr>
        <w:pStyle w:val="Prrafodelista"/>
        <w:spacing w:afterLines="40" w:after="96"/>
        <w:rPr>
          <w:rFonts w:ascii="Verdana" w:hAnsi="Verdana"/>
          <w:sz w:val="20"/>
          <w:lang w:val="es-ES"/>
        </w:rPr>
      </w:pPr>
    </w:p>
    <w:p w14:paraId="73B7CECB" w14:textId="0D89AAD4" w:rsidR="00127593" w:rsidRPr="00174292" w:rsidRDefault="00127593" w:rsidP="00220B4A">
      <w:pPr>
        <w:pStyle w:val="Prrafodelista"/>
        <w:numPr>
          <w:ilvl w:val="0"/>
          <w:numId w:val="9"/>
        </w:numPr>
        <w:spacing w:afterLines="40" w:after="96"/>
        <w:ind w:left="0" w:firstLine="0"/>
        <w:jc w:val="both"/>
        <w:rPr>
          <w:lang w:val="es-ES"/>
        </w:rPr>
      </w:pPr>
      <w:r>
        <w:rPr>
          <w:rFonts w:ascii="Verdana" w:hAnsi="Verdana"/>
          <w:sz w:val="20"/>
          <w:lang w:val="es-ES"/>
        </w:rPr>
        <w:t>D</w:t>
      </w:r>
      <w:r w:rsidRPr="00F927DB">
        <w:rPr>
          <w:rFonts w:ascii="Verdana" w:hAnsi="Verdana"/>
          <w:sz w:val="20"/>
          <w:lang w:val="es-MX"/>
        </w:rPr>
        <w:t xml:space="preserve">e </w:t>
      </w:r>
      <w:r w:rsidRPr="00F927DB">
        <w:rPr>
          <w:rFonts w:ascii="Verdana" w:hAnsi="Verdana"/>
          <w:sz w:val="20"/>
        </w:rPr>
        <w:t xml:space="preserve">conformidad con lo establecido en el artículo </w:t>
      </w:r>
      <w:r w:rsidRPr="00F927DB">
        <w:rPr>
          <w:rFonts w:ascii="Verdana" w:hAnsi="Verdana"/>
          <w:color w:val="000000"/>
          <w:sz w:val="20"/>
          <w:lang w:val="es-CO"/>
        </w:rPr>
        <w:t>68.1 de la Convención Americana</w:t>
      </w:r>
      <w:r w:rsidR="00474584">
        <w:rPr>
          <w:rFonts w:ascii="Verdana" w:hAnsi="Verdana"/>
          <w:color w:val="000000"/>
          <w:sz w:val="20"/>
          <w:lang w:val="es-CO"/>
        </w:rPr>
        <w:t xml:space="preserve"> sobre Derechos Humanos</w:t>
      </w:r>
      <w:r w:rsidRPr="00F927DB">
        <w:rPr>
          <w:rFonts w:ascii="Verdana" w:hAnsi="Verdana"/>
          <w:color w:val="000000"/>
          <w:sz w:val="20"/>
          <w:lang w:val="es-CO"/>
        </w:rPr>
        <w:t xml:space="preserve">, “[l]os Estados Partes en la Convención se comprometen a cumplir la decisión de la Corte en todo caso en </w:t>
      </w:r>
      <w:r w:rsidRPr="00F927DB">
        <w:rPr>
          <w:rFonts w:ascii="Verdana" w:hAnsi="Verdana" w:cs="Verdana"/>
          <w:bCs/>
          <w:sz w:val="20"/>
          <w:lang w:val="es-CR"/>
        </w:rPr>
        <w:t>que</w:t>
      </w:r>
      <w:r w:rsidRPr="00F927DB">
        <w:rPr>
          <w:rFonts w:ascii="Verdana" w:hAnsi="Verdana"/>
          <w:color w:val="000000"/>
          <w:sz w:val="20"/>
          <w:lang w:val="es-CO"/>
        </w:rPr>
        <w:t xml:space="preserve"> sean partes”</w:t>
      </w:r>
      <w:r w:rsidRPr="00F927DB">
        <w:rPr>
          <w:rFonts w:ascii="Verdana" w:hAnsi="Verdana" w:cs="Verdana"/>
          <w:sz w:val="20"/>
        </w:rPr>
        <w:t xml:space="preserve">. </w:t>
      </w:r>
      <w:r w:rsidRPr="00F927DB">
        <w:rPr>
          <w:rFonts w:ascii="Verdana" w:hAnsi="Verdana"/>
          <w:sz w:val="20"/>
        </w:rPr>
        <w:t>Esta obligación incluye el deber del Estado de informar a la Corte sobre las medidas adoptadas para cumplir cada uno de los puntos ordenados, lo cual es fundamental para evaluar el estado de cumplimiento de la Sentencia en su conjunto</w:t>
      </w:r>
      <w:r w:rsidRPr="00F82D0B">
        <w:rPr>
          <w:rStyle w:val="Refdenotaalpie"/>
          <w:rFonts w:ascii="Verdana" w:hAnsi="Verdana"/>
          <w:sz w:val="20"/>
        </w:rPr>
        <w:footnoteReference w:id="15"/>
      </w:r>
      <w:r w:rsidRPr="00F927DB">
        <w:rPr>
          <w:rFonts w:ascii="Verdana" w:hAnsi="Verdana"/>
          <w:sz w:val="20"/>
        </w:rPr>
        <w:t xml:space="preserve">. </w:t>
      </w:r>
      <w:r w:rsidRPr="00F927DB">
        <w:rPr>
          <w:rFonts w:ascii="Verdana" w:eastAsia="Times New Roman" w:hAnsi="Verdana"/>
          <w:sz w:val="20"/>
          <w:shd w:val="clear" w:color="auto" w:fill="FFFFFF"/>
        </w:rPr>
        <w:t>Al efecto, cabe tener presente, además, que, según el artículo 67 de la Convención Americana, “[e]</w:t>
      </w:r>
      <w:r w:rsidRPr="00F927DB">
        <w:rPr>
          <w:rFonts w:ascii="Verdana" w:eastAsia="Calibri" w:hAnsi="Verdana" w:cs="Tahoma"/>
          <w:sz w:val="20"/>
          <w:lang w:val="es-CL"/>
        </w:rPr>
        <w:t xml:space="preserve">l fallo de la Corte será definitivo e inapelable”, de manera que, </w:t>
      </w:r>
      <w:r w:rsidRPr="00F927DB">
        <w:rPr>
          <w:rFonts w:ascii="Verdana" w:eastAsia="Times New Roman" w:hAnsi="Verdana"/>
          <w:sz w:val="20"/>
          <w:shd w:val="clear" w:color="auto" w:fill="FFFFFF"/>
        </w:rPr>
        <w:t>una</w:t>
      </w:r>
      <w:r w:rsidRPr="00F927DB">
        <w:rPr>
          <w:rFonts w:ascii="Verdana" w:eastAsia="Times New Roman" w:hAnsi="Verdana"/>
          <w:sz w:val="20"/>
          <w:lang w:val="es-CO"/>
        </w:rPr>
        <w:t xml:space="preserve"> vez que este Tribunal dicta sentencia, ella produce los efectos de cosa juzgada</w:t>
      </w:r>
      <w:r w:rsidRPr="00F927DB">
        <w:rPr>
          <w:rFonts w:ascii="Verdana" w:eastAsia="Times New Roman" w:hAnsi="Verdana"/>
          <w:sz w:val="20"/>
        </w:rPr>
        <w:t xml:space="preserve"> y</w:t>
      </w:r>
      <w:r w:rsidRPr="00F927DB">
        <w:rPr>
          <w:rFonts w:ascii="Verdana" w:eastAsia="Times New Roman" w:hAnsi="Verdana"/>
          <w:sz w:val="20"/>
          <w:shd w:val="clear" w:color="auto" w:fill="FFFFFF"/>
        </w:rPr>
        <w:t xml:space="preserve"> debe ser prontamente cumplida por el Estado en forma íntegra</w:t>
      </w:r>
      <w:r w:rsidR="001F6EA7">
        <w:rPr>
          <w:rStyle w:val="Refdenotaalpie"/>
          <w:rFonts w:ascii="Verdana" w:eastAsia="Times New Roman" w:hAnsi="Verdana"/>
          <w:sz w:val="20"/>
          <w:shd w:val="clear" w:color="auto" w:fill="FFFFFF"/>
        </w:rPr>
        <w:footnoteReference w:id="16"/>
      </w:r>
      <w:r>
        <w:rPr>
          <w:rFonts w:eastAsia="Times New Roman"/>
          <w:shd w:val="clear" w:color="auto" w:fill="FFFFFF"/>
        </w:rPr>
        <w:t>.</w:t>
      </w:r>
    </w:p>
    <w:p w14:paraId="6D853309" w14:textId="77777777" w:rsidR="00127593" w:rsidRDefault="00127593" w:rsidP="00220B4A">
      <w:pPr>
        <w:tabs>
          <w:tab w:val="left" w:pos="851"/>
        </w:tabs>
        <w:spacing w:afterLines="40" w:after="96"/>
        <w:jc w:val="both"/>
        <w:rPr>
          <w:rFonts w:ascii="Verdana" w:hAnsi="Verdana"/>
          <w:sz w:val="20"/>
          <w:lang w:val="es-ES"/>
        </w:rPr>
      </w:pPr>
    </w:p>
    <w:p w14:paraId="2A03D2B0" w14:textId="78548B01" w:rsidR="00127593" w:rsidRPr="00D033C0" w:rsidRDefault="00127593" w:rsidP="00220B4A">
      <w:pPr>
        <w:pStyle w:val="Prrafodelista"/>
        <w:numPr>
          <w:ilvl w:val="0"/>
          <w:numId w:val="9"/>
        </w:numPr>
        <w:spacing w:afterLines="40" w:after="96"/>
        <w:ind w:left="0" w:firstLine="0"/>
        <w:jc w:val="both"/>
        <w:rPr>
          <w:rFonts w:ascii="Verdana" w:hAnsi="Verdana"/>
          <w:sz w:val="20"/>
        </w:rPr>
      </w:pPr>
      <w:r w:rsidRPr="00F927DB">
        <w:rPr>
          <w:rFonts w:ascii="Verdana" w:eastAsia="Times New Roman" w:hAnsi="Verdana"/>
          <w:color w:val="000000"/>
          <w:sz w:val="20"/>
          <w:lang w:val="es-CO"/>
        </w:rPr>
        <w:t xml:space="preserve">De modo, entonces, los Estados Partes de la Convención Americana tienen la obligación convencional de implementar tanto a nivel internacional como interno y </w:t>
      </w:r>
      <w:r w:rsidRPr="00F927DB">
        <w:rPr>
          <w:rFonts w:ascii="Verdana" w:eastAsia="Times New Roman" w:hAnsi="Verdana"/>
          <w:color w:val="000000"/>
          <w:sz w:val="20"/>
        </w:rPr>
        <w:t xml:space="preserve">de forma pronta e íntegra, lo </w:t>
      </w:r>
      <w:r w:rsidRPr="00F927DB">
        <w:rPr>
          <w:rFonts w:ascii="Verdana" w:eastAsia="Times New Roman" w:hAnsi="Verdana"/>
          <w:color w:val="000000"/>
          <w:sz w:val="20"/>
          <w:lang w:val="es-CO"/>
        </w:rPr>
        <w:t>dispuesto por el Tribunal en las Sentencias que a ellos conciernan, obligación que, como lo señala el derecho internacional consuetudinario y lo ha recordado la Corte, vincula a todos los poderes y órganos estatales</w:t>
      </w:r>
      <w:r w:rsidRPr="00F927DB">
        <w:rPr>
          <w:rFonts w:ascii="Verdana" w:eastAsia="Times New Roman" w:hAnsi="Verdana"/>
          <w:color w:val="000000"/>
          <w:sz w:val="20"/>
        </w:rPr>
        <w:t>y, de no cumplirse, se incurre en un ilícito internacional</w:t>
      </w:r>
      <w:r w:rsidR="001F6EA7">
        <w:rPr>
          <w:rStyle w:val="Refdenotaalpie"/>
          <w:rFonts w:ascii="Verdana" w:hAnsi="Verdana" w:cs="Verdana"/>
          <w:sz w:val="20"/>
        </w:rPr>
        <w:footnoteReference w:id="17"/>
      </w:r>
      <w:r w:rsidRPr="00F927DB">
        <w:rPr>
          <w:rFonts w:ascii="Verdana" w:eastAsia="Times New Roman" w:hAnsi="Verdana"/>
          <w:color w:val="000000"/>
          <w:sz w:val="20"/>
          <w:lang w:val="pl-PL"/>
        </w:rPr>
        <w:t>. Al respecto, es menester añadir que siempre, según el derecho internacional consuetudinario y lo afirmado por la Corte, al producirse un hecho ilícito atribuible a un Estado, surge la responsabilidad internacional de éste por violación de una norma internacional, dándose así origen a una relación jurídica nueva que consiste en la obligación de reparar</w:t>
      </w:r>
      <w:r w:rsidRPr="00F927DB">
        <w:rPr>
          <w:rStyle w:val="Refdenotaalpie"/>
          <w:rFonts w:ascii="Verdana" w:hAnsi="Verdana"/>
          <w:sz w:val="20"/>
        </w:rPr>
        <w:footnoteReference w:id="18"/>
      </w:r>
      <w:r w:rsidRPr="00F927DB">
        <w:rPr>
          <w:rFonts w:ascii="Verdana" w:eastAsia="Times New Roman" w:hAnsi="Verdana"/>
          <w:color w:val="000000"/>
          <w:sz w:val="20"/>
          <w:lang w:val="pl-PL"/>
        </w:rPr>
        <w:t xml:space="preserve">. </w:t>
      </w:r>
      <w:r w:rsidRPr="00F927DB">
        <w:rPr>
          <w:rFonts w:ascii="Verdana" w:hAnsi="Verdana"/>
          <w:sz w:val="20"/>
          <w:lang w:val="pl-PL"/>
        </w:rPr>
        <w:t>Tal como ha indicado la Corte</w:t>
      </w:r>
      <w:r w:rsidRPr="00F927DB">
        <w:rPr>
          <w:rStyle w:val="Refdenotaalpie"/>
          <w:rFonts w:ascii="Verdana" w:hAnsi="Verdana"/>
          <w:sz w:val="20"/>
        </w:rPr>
        <w:footnoteReference w:id="19"/>
      </w:r>
      <w:r w:rsidRPr="00F927DB">
        <w:rPr>
          <w:rFonts w:ascii="Verdana" w:hAnsi="Verdana"/>
          <w:sz w:val="20"/>
          <w:lang w:val="pl-PL"/>
        </w:rPr>
        <w:t>, el artículo 63.1 de la Convención reproduce el texto de una norma consuetudinaria que constituye uno de los principios fundamentales del derecho de la responsabilidad internacional de los Estados. La falta de la ejecución de las reparaciones en el ámbito interno implica la negación al derecho de acceso a la justicia internacional</w:t>
      </w:r>
      <w:r w:rsidRPr="00F927DB">
        <w:rPr>
          <w:rStyle w:val="Refdenotaalpie"/>
          <w:rFonts w:ascii="Verdana" w:hAnsi="Verdana"/>
          <w:sz w:val="20"/>
          <w:lang w:val="pl-PL"/>
        </w:rPr>
        <w:footnoteReference w:id="20"/>
      </w:r>
      <w:r w:rsidRPr="00F927DB">
        <w:rPr>
          <w:rFonts w:ascii="Verdana" w:hAnsi="Verdana"/>
          <w:sz w:val="20"/>
          <w:lang w:val="pl-PL"/>
        </w:rPr>
        <w:t>.</w:t>
      </w:r>
    </w:p>
    <w:p w14:paraId="4C103F5B" w14:textId="77777777" w:rsidR="00D033C0" w:rsidRPr="00F927DB" w:rsidRDefault="00D033C0" w:rsidP="00D033C0">
      <w:pPr>
        <w:pStyle w:val="Prrafodelista"/>
        <w:spacing w:afterLines="40" w:after="96"/>
        <w:ind w:left="0"/>
        <w:jc w:val="both"/>
        <w:rPr>
          <w:rFonts w:ascii="Verdana" w:hAnsi="Verdana"/>
          <w:sz w:val="20"/>
        </w:rPr>
      </w:pPr>
    </w:p>
    <w:p w14:paraId="6FB66B7F" w14:textId="776BBD97" w:rsidR="00127593" w:rsidRPr="00D033C0" w:rsidRDefault="00691F39" w:rsidP="00220B4A">
      <w:pPr>
        <w:pStyle w:val="Prrafodelista"/>
        <w:numPr>
          <w:ilvl w:val="0"/>
          <w:numId w:val="9"/>
        </w:numPr>
        <w:spacing w:afterLines="40" w:after="96"/>
        <w:ind w:left="0" w:right="49" w:firstLine="0"/>
        <w:contextualSpacing w:val="0"/>
        <w:jc w:val="both"/>
        <w:rPr>
          <w:rFonts w:ascii="Verdana" w:hAnsi="Verdana"/>
          <w:sz w:val="20"/>
        </w:rPr>
      </w:pPr>
      <w:r>
        <w:rPr>
          <w:rFonts w:ascii="Verdana" w:hAnsi="Verdana"/>
          <w:sz w:val="20"/>
        </w:rPr>
        <w:t>Con l</w:t>
      </w:r>
      <w:r w:rsidR="00127593" w:rsidRPr="0058411C">
        <w:rPr>
          <w:rFonts w:ascii="Verdana" w:eastAsia="Calibri" w:hAnsi="Verdana" w:cs="Verdana"/>
          <w:sz w:val="20"/>
        </w:rPr>
        <w:t xml:space="preserve">a falta de presentación de los informes de cumplimiento en los </w:t>
      </w:r>
      <w:r w:rsidR="00127593">
        <w:rPr>
          <w:rFonts w:ascii="Verdana" w:eastAsia="Calibri" w:hAnsi="Verdana" w:cs="Verdana"/>
          <w:sz w:val="20"/>
        </w:rPr>
        <w:t>dos</w:t>
      </w:r>
      <w:r w:rsidR="00127593" w:rsidRPr="0058411C">
        <w:rPr>
          <w:rFonts w:ascii="Verdana" w:eastAsia="Calibri" w:hAnsi="Verdana" w:cs="Verdana"/>
          <w:sz w:val="20"/>
        </w:rPr>
        <w:t xml:space="preserve"> casos antes</w:t>
      </w:r>
      <w:r w:rsidR="00133DC4">
        <w:rPr>
          <w:rFonts w:ascii="Verdana" w:eastAsia="Calibri" w:hAnsi="Verdana" w:cs="Verdana"/>
          <w:sz w:val="20"/>
        </w:rPr>
        <w:t xml:space="preserve"> citados</w:t>
      </w:r>
      <w:r w:rsidR="00127593" w:rsidRPr="0058411C">
        <w:rPr>
          <w:rFonts w:ascii="Verdana" w:hAnsi="Verdana"/>
          <w:sz w:val="20"/>
          <w:lang w:val="es-MX"/>
        </w:rPr>
        <w:t xml:space="preserve">, habiendo </w:t>
      </w:r>
      <w:r w:rsidR="00465C89">
        <w:rPr>
          <w:rFonts w:ascii="Verdana" w:hAnsi="Verdana"/>
          <w:sz w:val="20"/>
          <w:lang w:val="es-MX"/>
        </w:rPr>
        <w:t xml:space="preserve">transcurrido un prolongado tiempo desde el vencimiento de </w:t>
      </w:r>
      <w:r w:rsidR="003B758F">
        <w:rPr>
          <w:rFonts w:ascii="Verdana" w:hAnsi="Verdana"/>
          <w:sz w:val="20"/>
          <w:lang w:val="es-MX"/>
        </w:rPr>
        <w:lastRenderedPageBreak/>
        <w:t xml:space="preserve">los plazos de un año </w:t>
      </w:r>
      <w:r w:rsidR="00127593" w:rsidRPr="0058411C">
        <w:rPr>
          <w:rFonts w:ascii="Verdana" w:hAnsi="Verdana"/>
          <w:sz w:val="20"/>
          <w:lang w:val="es-MX"/>
        </w:rPr>
        <w:t>dispuestos en las respectivas Sentencias,</w:t>
      </w:r>
      <w:r>
        <w:rPr>
          <w:rFonts w:ascii="Verdana" w:hAnsi="Verdana"/>
          <w:sz w:val="20"/>
          <w:lang w:val="es-MX"/>
        </w:rPr>
        <w:t xml:space="preserve"> y</w:t>
      </w:r>
      <w:r w:rsidR="00127593" w:rsidRPr="0058411C">
        <w:rPr>
          <w:rFonts w:ascii="Verdana" w:hAnsi="Verdana"/>
          <w:sz w:val="20"/>
          <w:lang w:val="es-MX"/>
        </w:rPr>
        <w:t xml:space="preserve"> la falta de respuesta del Estado ante </w:t>
      </w:r>
      <w:r w:rsidR="00127593">
        <w:rPr>
          <w:rFonts w:ascii="Verdana" w:hAnsi="Verdana"/>
          <w:sz w:val="20"/>
          <w:lang w:val="es-MX"/>
        </w:rPr>
        <w:t xml:space="preserve">los </w:t>
      </w:r>
      <w:r>
        <w:rPr>
          <w:rFonts w:ascii="Verdana" w:hAnsi="Verdana"/>
          <w:sz w:val="20"/>
          <w:lang w:val="es-MX"/>
        </w:rPr>
        <w:t xml:space="preserve">múltiples </w:t>
      </w:r>
      <w:r w:rsidR="00127593">
        <w:rPr>
          <w:rFonts w:ascii="Verdana" w:hAnsi="Verdana"/>
          <w:sz w:val="20"/>
          <w:lang w:val="es-MX"/>
        </w:rPr>
        <w:t>requerimientos</w:t>
      </w:r>
      <w:r w:rsidR="00127593" w:rsidRPr="0058411C">
        <w:rPr>
          <w:rFonts w:ascii="Verdana" w:hAnsi="Verdana"/>
          <w:sz w:val="20"/>
          <w:lang w:val="es-MX"/>
        </w:rPr>
        <w:t xml:space="preserve"> </w:t>
      </w:r>
      <w:r w:rsidR="00465C89">
        <w:rPr>
          <w:rFonts w:ascii="Verdana" w:hAnsi="Verdana"/>
          <w:sz w:val="20"/>
          <w:lang w:val="es-MX"/>
        </w:rPr>
        <w:t>de la Presidencia de la Corte y del Tribunal</w:t>
      </w:r>
      <w:r w:rsidR="00127593" w:rsidRPr="0058411C">
        <w:rPr>
          <w:rFonts w:ascii="Verdana" w:hAnsi="Verdana"/>
          <w:sz w:val="20"/>
          <w:lang w:val="es-MX"/>
        </w:rPr>
        <w:t xml:space="preserve">, </w:t>
      </w:r>
      <w:r>
        <w:rPr>
          <w:rFonts w:ascii="Verdana" w:hAnsi="Verdana"/>
          <w:sz w:val="20"/>
          <w:lang w:val="es-MX"/>
        </w:rPr>
        <w:t xml:space="preserve">Venezuela se encuentra en la misma situación de grave incumplimiento estatal </w:t>
      </w:r>
      <w:r w:rsidR="00127593" w:rsidRPr="0058411C">
        <w:rPr>
          <w:rFonts w:ascii="Verdana" w:hAnsi="Verdana"/>
          <w:sz w:val="20"/>
          <w:lang w:val="es-MX"/>
        </w:rPr>
        <w:t xml:space="preserve">de la obligación de informar </w:t>
      </w:r>
      <w:r>
        <w:rPr>
          <w:rFonts w:ascii="Verdana" w:hAnsi="Verdana"/>
          <w:sz w:val="20"/>
          <w:lang w:val="es-MX"/>
        </w:rPr>
        <w:t xml:space="preserve">que ya fue constatada con anterioridad por este </w:t>
      </w:r>
      <w:r w:rsidR="00127593" w:rsidRPr="0058411C">
        <w:rPr>
          <w:rFonts w:ascii="Verdana" w:hAnsi="Verdana"/>
          <w:sz w:val="20"/>
          <w:lang w:val="es-MX"/>
        </w:rPr>
        <w:t>Tribunal</w:t>
      </w:r>
      <w:r>
        <w:rPr>
          <w:rFonts w:ascii="Verdana" w:hAnsi="Verdana"/>
          <w:sz w:val="20"/>
          <w:lang w:val="es-MX"/>
        </w:rPr>
        <w:t>, pues éste ha omitido informar inclusive después de la que Corte emitió resoluciones declarando dicho incumplimiento (</w:t>
      </w:r>
      <w:r>
        <w:rPr>
          <w:rFonts w:ascii="Verdana" w:hAnsi="Verdana"/>
          <w:i/>
          <w:sz w:val="20"/>
          <w:lang w:val="es-MX"/>
        </w:rPr>
        <w:t xml:space="preserve">supra </w:t>
      </w:r>
      <w:r>
        <w:rPr>
          <w:rFonts w:ascii="Verdana" w:hAnsi="Verdana"/>
          <w:sz w:val="20"/>
          <w:lang w:val="es-MX"/>
        </w:rPr>
        <w:t>Considerandos 2 a 4)</w:t>
      </w:r>
      <w:r w:rsidR="00127593" w:rsidRPr="0058411C">
        <w:rPr>
          <w:rFonts w:ascii="Verdana" w:hAnsi="Verdana"/>
          <w:sz w:val="20"/>
          <w:lang w:val="es-MX"/>
        </w:rPr>
        <w:t xml:space="preserve">. </w:t>
      </w:r>
      <w:r>
        <w:rPr>
          <w:rFonts w:ascii="Verdana" w:hAnsi="Verdana"/>
          <w:sz w:val="20"/>
          <w:lang w:val="es-MX"/>
        </w:rPr>
        <w:t>También</w:t>
      </w:r>
      <w:r w:rsidR="00127593" w:rsidRPr="00FF18D7">
        <w:rPr>
          <w:rFonts w:ascii="Verdana" w:hAnsi="Verdana"/>
          <w:sz w:val="20"/>
          <w:lang w:val="es-MX"/>
        </w:rPr>
        <w:t xml:space="preserve"> reitera</w:t>
      </w:r>
      <w:r w:rsidR="00127593" w:rsidRPr="00FF18D7">
        <w:rPr>
          <w:rFonts w:ascii="Verdana" w:hAnsi="Verdana" w:cs="Arial"/>
          <w:sz w:val="20"/>
          <w:lang w:val="es-ES"/>
        </w:rPr>
        <w:t xml:space="preserve"> que la inactividad de un Estado ante una jurisdicción internacional de derechos humanos es contraria al objetivo, fin y espíritu de la Convención Americana</w:t>
      </w:r>
      <w:r w:rsidR="00127593" w:rsidRPr="00FF18D7">
        <w:rPr>
          <w:rStyle w:val="Refdenotaalpie"/>
          <w:rFonts w:ascii="Verdana" w:hAnsi="Verdana" w:cs="Arial"/>
          <w:sz w:val="20"/>
          <w:lang w:val="es-ES"/>
        </w:rPr>
        <w:footnoteReference w:id="21"/>
      </w:r>
      <w:r w:rsidR="00127593" w:rsidRPr="00FF18D7">
        <w:rPr>
          <w:rFonts w:ascii="Verdana" w:hAnsi="Verdana" w:cs="Arial"/>
          <w:sz w:val="20"/>
          <w:lang w:val="es-ES"/>
        </w:rPr>
        <w:t>.</w:t>
      </w:r>
    </w:p>
    <w:p w14:paraId="3CF7D7CA" w14:textId="77777777" w:rsidR="00D033C0" w:rsidRPr="00D033C0" w:rsidRDefault="00D033C0" w:rsidP="00D033C0">
      <w:pPr>
        <w:pStyle w:val="Prrafodelista"/>
        <w:rPr>
          <w:rFonts w:ascii="Verdana" w:hAnsi="Verdana"/>
          <w:sz w:val="20"/>
        </w:rPr>
      </w:pPr>
    </w:p>
    <w:p w14:paraId="4446E4DE" w14:textId="02DCE9C1" w:rsidR="00127593" w:rsidRPr="00D033C0" w:rsidRDefault="00127593" w:rsidP="00220B4A">
      <w:pPr>
        <w:pStyle w:val="Prrafodelista"/>
        <w:numPr>
          <w:ilvl w:val="0"/>
          <w:numId w:val="9"/>
        </w:numPr>
        <w:spacing w:afterLines="40" w:after="96"/>
        <w:ind w:left="0" w:right="49" w:firstLine="0"/>
        <w:contextualSpacing w:val="0"/>
        <w:jc w:val="both"/>
        <w:rPr>
          <w:rFonts w:ascii="Verdana" w:hAnsi="Verdana"/>
          <w:sz w:val="20"/>
        </w:rPr>
      </w:pPr>
      <w:r w:rsidRPr="00F927DB">
        <w:rPr>
          <w:rFonts w:ascii="Verdana" w:hAnsi="Verdana"/>
          <w:sz w:val="20"/>
          <w:lang w:val="es-MX"/>
        </w:rPr>
        <w:t>En este sentido, en la etapa de supervisión de cumplimiento de Sentencia de otros casos</w:t>
      </w:r>
      <w:r w:rsidRPr="00FF18D7">
        <w:rPr>
          <w:rStyle w:val="Refdenotaalpie"/>
          <w:rFonts w:ascii="Verdana" w:hAnsi="Verdana"/>
          <w:sz w:val="20"/>
          <w:lang w:val="es-MX"/>
        </w:rPr>
        <w:footnoteReference w:id="22"/>
      </w:r>
      <w:r w:rsidRPr="00F927DB">
        <w:rPr>
          <w:rFonts w:ascii="Verdana" w:hAnsi="Verdana"/>
          <w:sz w:val="20"/>
          <w:lang w:val="es-MX"/>
        </w:rPr>
        <w:t>, la Corte ha establecido que la falta del Estado a su deber de informar constituye un incumplimiento de las obligaciones convencionales establecidas en los artículos 67 y 68.1 de la Convención Americana.</w:t>
      </w:r>
    </w:p>
    <w:p w14:paraId="459EA55E" w14:textId="77777777" w:rsidR="00D033C0" w:rsidRPr="00D033C0" w:rsidRDefault="00D033C0" w:rsidP="00D033C0">
      <w:pPr>
        <w:pStyle w:val="Prrafodelista"/>
        <w:rPr>
          <w:rFonts w:ascii="Verdana" w:hAnsi="Verdana"/>
          <w:sz w:val="20"/>
        </w:rPr>
      </w:pPr>
    </w:p>
    <w:p w14:paraId="6EC6EAB1" w14:textId="70003BF8" w:rsidR="00127593" w:rsidRPr="00F927DB" w:rsidRDefault="00465C89" w:rsidP="00220B4A">
      <w:pPr>
        <w:pStyle w:val="Prrafodelista"/>
        <w:numPr>
          <w:ilvl w:val="0"/>
          <w:numId w:val="9"/>
        </w:numPr>
        <w:spacing w:afterLines="40" w:after="96"/>
        <w:ind w:left="0" w:firstLine="0"/>
        <w:jc w:val="both"/>
        <w:rPr>
          <w:rFonts w:ascii="Verdana" w:hAnsi="Verdana"/>
          <w:b/>
          <w:sz w:val="20"/>
        </w:rPr>
      </w:pPr>
      <w:r>
        <w:rPr>
          <w:rFonts w:ascii="Verdana" w:hAnsi="Verdana"/>
          <w:sz w:val="20"/>
        </w:rPr>
        <w:t>Teniendo en cuenta dicho incumplimiento del Estado</w:t>
      </w:r>
      <w:r w:rsidR="00127593" w:rsidRPr="00F927DB">
        <w:rPr>
          <w:rFonts w:ascii="Verdana" w:hAnsi="Verdana"/>
          <w:sz w:val="20"/>
          <w:lang w:val="es-MX"/>
        </w:rPr>
        <w:t>, la Corte no tiene elementos que le permitan sostener que Venezuela ha adoptado medidas orientadas a dar cumplimiento a las reparaciones ordenadas en la</w:t>
      </w:r>
      <w:r>
        <w:rPr>
          <w:rFonts w:ascii="Verdana" w:hAnsi="Verdana"/>
          <w:sz w:val="20"/>
          <w:lang w:val="es-MX"/>
        </w:rPr>
        <w:t>s</w:t>
      </w:r>
      <w:r w:rsidR="00127593" w:rsidRPr="00F927DB">
        <w:rPr>
          <w:rFonts w:ascii="Verdana" w:hAnsi="Verdana"/>
          <w:sz w:val="20"/>
          <w:lang w:val="es-MX"/>
        </w:rPr>
        <w:t xml:space="preserve"> Sentencia</w:t>
      </w:r>
      <w:r>
        <w:rPr>
          <w:rFonts w:ascii="Verdana" w:hAnsi="Verdana"/>
          <w:sz w:val="20"/>
          <w:lang w:val="es-MX"/>
        </w:rPr>
        <w:t>s</w:t>
      </w:r>
      <w:r w:rsidR="0065031C">
        <w:rPr>
          <w:rFonts w:ascii="Verdana" w:hAnsi="Verdana"/>
          <w:sz w:val="20"/>
          <w:lang w:val="es-MX"/>
        </w:rPr>
        <w:t xml:space="preserve"> de estos casos</w:t>
      </w:r>
      <w:r w:rsidR="00127593" w:rsidRPr="00F927DB">
        <w:rPr>
          <w:rFonts w:ascii="Verdana" w:hAnsi="Verdana"/>
          <w:sz w:val="20"/>
          <w:lang w:val="es-MX"/>
        </w:rPr>
        <w:t>. En ese sentido, el Tribunal considera que dicho</w:t>
      </w:r>
      <w:r>
        <w:rPr>
          <w:rFonts w:ascii="Verdana" w:hAnsi="Verdana"/>
          <w:sz w:val="20"/>
          <w:lang w:val="es-MX"/>
        </w:rPr>
        <w:t>s</w:t>
      </w:r>
      <w:r w:rsidR="00127593" w:rsidRPr="00F927DB">
        <w:rPr>
          <w:rFonts w:ascii="Verdana" w:hAnsi="Verdana"/>
          <w:sz w:val="20"/>
          <w:lang w:val="es-MX"/>
        </w:rPr>
        <w:t xml:space="preserve"> incumplimiento</w:t>
      </w:r>
      <w:r>
        <w:rPr>
          <w:rFonts w:ascii="Verdana" w:hAnsi="Verdana"/>
          <w:sz w:val="20"/>
          <w:lang w:val="es-MX"/>
        </w:rPr>
        <w:t>s</w:t>
      </w:r>
      <w:r w:rsidR="00127593" w:rsidRPr="00F927DB">
        <w:rPr>
          <w:rFonts w:ascii="Verdana" w:hAnsi="Verdana"/>
          <w:sz w:val="20"/>
          <w:lang w:val="es-MX"/>
        </w:rPr>
        <w:t xml:space="preserve"> impide</w:t>
      </w:r>
      <w:r>
        <w:rPr>
          <w:rFonts w:ascii="Verdana" w:hAnsi="Verdana"/>
          <w:sz w:val="20"/>
          <w:lang w:val="es-MX"/>
        </w:rPr>
        <w:t>n</w:t>
      </w:r>
      <w:r w:rsidR="00127593" w:rsidRPr="00F927DB">
        <w:rPr>
          <w:rFonts w:ascii="Verdana" w:hAnsi="Verdana"/>
          <w:sz w:val="20"/>
          <w:lang w:val="es-MX"/>
        </w:rPr>
        <w:t xml:space="preserve"> que se reparen las violaciones a los derechos humanos declaradas en los </w:t>
      </w:r>
      <w:r w:rsidR="0065031C">
        <w:rPr>
          <w:rFonts w:ascii="Verdana" w:hAnsi="Verdana"/>
          <w:sz w:val="20"/>
          <w:lang w:val="es-MX"/>
        </w:rPr>
        <w:t>f</w:t>
      </w:r>
      <w:r w:rsidR="0065031C" w:rsidRPr="00F927DB">
        <w:rPr>
          <w:rFonts w:ascii="Verdana" w:hAnsi="Verdana"/>
          <w:sz w:val="20"/>
          <w:lang w:val="es-MX"/>
        </w:rPr>
        <w:t>allos</w:t>
      </w:r>
      <w:r w:rsidR="00127593" w:rsidRPr="00F927DB">
        <w:rPr>
          <w:rFonts w:ascii="Verdana" w:hAnsi="Verdana"/>
          <w:sz w:val="20"/>
          <w:lang w:val="es-MX"/>
        </w:rPr>
        <w:t xml:space="preserve">. </w:t>
      </w:r>
    </w:p>
    <w:p w14:paraId="60268488" w14:textId="77777777" w:rsidR="00127593" w:rsidRPr="00F927DB" w:rsidRDefault="00127593" w:rsidP="00220B4A">
      <w:pPr>
        <w:spacing w:afterLines="40" w:after="96"/>
        <w:jc w:val="both"/>
        <w:rPr>
          <w:rFonts w:ascii="Verdana" w:hAnsi="Verdana"/>
          <w:sz w:val="20"/>
          <w:lang w:val="es-MX"/>
        </w:rPr>
      </w:pPr>
    </w:p>
    <w:p w14:paraId="40B7358A" w14:textId="54099567" w:rsidR="00127593" w:rsidRPr="00F927DB" w:rsidRDefault="00127593" w:rsidP="00220B4A">
      <w:pPr>
        <w:numPr>
          <w:ilvl w:val="0"/>
          <w:numId w:val="9"/>
        </w:numPr>
        <w:spacing w:afterLines="40" w:after="96"/>
        <w:ind w:left="0" w:firstLine="0"/>
        <w:jc w:val="both"/>
        <w:rPr>
          <w:rFonts w:ascii="Verdana" w:hAnsi="Verdana"/>
          <w:sz w:val="20"/>
          <w:lang w:val="es-MX"/>
        </w:rPr>
      </w:pPr>
      <w:r w:rsidRPr="00F927DB">
        <w:rPr>
          <w:rFonts w:ascii="Verdana" w:hAnsi="Verdana" w:cs="Arial"/>
          <w:sz w:val="20"/>
          <w:lang w:val="es-ES"/>
        </w:rPr>
        <w:t>La Corte considera que</w:t>
      </w:r>
      <w:r w:rsidR="00133DC4">
        <w:rPr>
          <w:rFonts w:ascii="Verdana" w:hAnsi="Verdana" w:cs="Arial"/>
          <w:sz w:val="20"/>
          <w:lang w:val="es-ES"/>
        </w:rPr>
        <w:t xml:space="preserve"> los referidos incumplimientos (</w:t>
      </w:r>
      <w:r w:rsidR="00133DC4" w:rsidRPr="00133DC4">
        <w:rPr>
          <w:rFonts w:ascii="Verdana" w:hAnsi="Verdana" w:cs="Arial"/>
          <w:i/>
          <w:sz w:val="20"/>
          <w:lang w:val="es-ES"/>
        </w:rPr>
        <w:t>supra</w:t>
      </w:r>
      <w:r w:rsidR="00133DC4">
        <w:rPr>
          <w:rFonts w:ascii="Verdana" w:hAnsi="Verdana" w:cs="Arial"/>
          <w:sz w:val="20"/>
          <w:lang w:val="es-ES"/>
        </w:rPr>
        <w:t xml:space="preserve"> Considerando</w:t>
      </w:r>
      <w:r w:rsidR="0065031C">
        <w:rPr>
          <w:rFonts w:ascii="Verdana" w:hAnsi="Verdana" w:cs="Arial"/>
          <w:sz w:val="20"/>
          <w:lang w:val="es-ES"/>
        </w:rPr>
        <w:t>s</w:t>
      </w:r>
      <w:r w:rsidR="00133DC4">
        <w:rPr>
          <w:rFonts w:ascii="Verdana" w:hAnsi="Verdana" w:cs="Arial"/>
          <w:sz w:val="20"/>
          <w:lang w:val="es-ES"/>
        </w:rPr>
        <w:t xml:space="preserve"> </w:t>
      </w:r>
      <w:r w:rsidR="0065031C">
        <w:rPr>
          <w:rFonts w:ascii="Verdana" w:hAnsi="Verdana" w:cs="Arial"/>
          <w:sz w:val="20"/>
          <w:lang w:val="es-ES"/>
        </w:rPr>
        <w:t>7 y 9</w:t>
      </w:r>
      <w:r w:rsidR="00133DC4">
        <w:rPr>
          <w:rFonts w:ascii="Verdana" w:hAnsi="Verdana" w:cs="Arial"/>
          <w:sz w:val="20"/>
          <w:lang w:val="es-ES"/>
        </w:rPr>
        <w:t xml:space="preserve">) </w:t>
      </w:r>
      <w:r w:rsidRPr="00F927DB">
        <w:rPr>
          <w:rFonts w:ascii="Verdana" w:hAnsi="Verdana" w:cs="Arial"/>
          <w:sz w:val="20"/>
          <w:lang w:val="es-ES"/>
        </w:rPr>
        <w:t>constituyen un desconocimiento de las obligaciones emanadas de la</w:t>
      </w:r>
      <w:r w:rsidR="000A208A">
        <w:rPr>
          <w:rFonts w:ascii="Verdana" w:hAnsi="Verdana" w:cs="Arial"/>
          <w:sz w:val="20"/>
          <w:lang w:val="es-ES"/>
        </w:rPr>
        <w:t>s</w:t>
      </w:r>
      <w:r w:rsidRPr="00F927DB">
        <w:rPr>
          <w:rFonts w:ascii="Verdana" w:hAnsi="Verdana" w:cs="Arial"/>
          <w:sz w:val="20"/>
          <w:lang w:val="es-ES"/>
        </w:rPr>
        <w:t xml:space="preserve"> Sentencia</w:t>
      </w:r>
      <w:r w:rsidR="000A208A">
        <w:rPr>
          <w:rFonts w:ascii="Verdana" w:hAnsi="Verdana" w:cs="Arial"/>
          <w:sz w:val="20"/>
          <w:lang w:val="es-ES"/>
        </w:rPr>
        <w:t>s</w:t>
      </w:r>
      <w:r w:rsidRPr="00F927DB">
        <w:rPr>
          <w:rFonts w:ascii="Verdana" w:hAnsi="Verdana" w:cs="Arial"/>
          <w:sz w:val="20"/>
          <w:lang w:val="es-ES"/>
        </w:rPr>
        <w:t xml:space="preserve"> dictada</w:t>
      </w:r>
      <w:r w:rsidR="000A208A">
        <w:rPr>
          <w:rFonts w:ascii="Verdana" w:hAnsi="Verdana" w:cs="Arial"/>
          <w:sz w:val="20"/>
          <w:lang w:val="es-ES"/>
        </w:rPr>
        <w:t>s</w:t>
      </w:r>
      <w:r w:rsidRPr="00F927DB">
        <w:rPr>
          <w:rFonts w:ascii="Verdana" w:hAnsi="Verdana" w:cs="Arial"/>
          <w:sz w:val="20"/>
          <w:lang w:val="es-ES"/>
        </w:rPr>
        <w:t xml:space="preserve"> por el Tribunal y de </w:t>
      </w:r>
      <w:r w:rsidRPr="00F927DB">
        <w:rPr>
          <w:rFonts w:ascii="Verdana" w:hAnsi="Verdana"/>
          <w:sz w:val="20"/>
          <w:lang w:val="pl-PL"/>
        </w:rPr>
        <w:t>los</w:t>
      </w:r>
      <w:r w:rsidRPr="00F927DB">
        <w:rPr>
          <w:rFonts w:ascii="Verdana" w:hAnsi="Verdana" w:cs="Arial"/>
          <w:sz w:val="20"/>
          <w:lang w:val="es-ES"/>
        </w:rPr>
        <w:t xml:space="preserve"> compromi</w:t>
      </w:r>
      <w:r w:rsidR="00465C89">
        <w:rPr>
          <w:rFonts w:ascii="Verdana" w:hAnsi="Verdana" w:cs="Arial"/>
          <w:sz w:val="20"/>
          <w:lang w:val="es-ES"/>
        </w:rPr>
        <w:t xml:space="preserve">sos convencionales del Estado, e </w:t>
      </w:r>
      <w:r w:rsidRPr="00F927DB">
        <w:rPr>
          <w:rFonts w:ascii="Verdana" w:hAnsi="Verdana" w:cs="Arial"/>
          <w:sz w:val="20"/>
          <w:lang w:val="es-ES"/>
        </w:rPr>
        <w:t>impiden que se reparen las violaciones a los derechos humanos declaradas en los Fallos, y despoja del efecto útil (</w:t>
      </w:r>
      <w:proofErr w:type="spellStart"/>
      <w:r w:rsidRPr="00F927DB">
        <w:rPr>
          <w:rFonts w:ascii="Verdana" w:hAnsi="Verdana" w:cs="Arial"/>
          <w:i/>
          <w:sz w:val="20"/>
          <w:lang w:val="es-ES"/>
        </w:rPr>
        <w:t>effet</w:t>
      </w:r>
      <w:proofErr w:type="spellEnd"/>
      <w:r w:rsidRPr="00F927DB">
        <w:rPr>
          <w:rFonts w:ascii="Verdana" w:hAnsi="Verdana" w:cs="Arial"/>
          <w:i/>
          <w:sz w:val="20"/>
          <w:lang w:val="es-ES"/>
        </w:rPr>
        <w:t xml:space="preserve"> </w:t>
      </w:r>
      <w:proofErr w:type="spellStart"/>
      <w:r w:rsidRPr="00F927DB">
        <w:rPr>
          <w:rFonts w:ascii="Verdana" w:hAnsi="Verdana" w:cs="Arial"/>
          <w:i/>
          <w:sz w:val="20"/>
          <w:lang w:val="es-ES"/>
        </w:rPr>
        <w:t>utile</w:t>
      </w:r>
      <w:proofErr w:type="spellEnd"/>
      <w:r w:rsidRPr="00F927DB">
        <w:rPr>
          <w:rFonts w:ascii="Verdana" w:hAnsi="Verdana" w:cs="Arial"/>
          <w:sz w:val="20"/>
          <w:lang w:val="es-ES"/>
        </w:rPr>
        <w:t>) de la Convención en el caso concreto</w:t>
      </w:r>
      <w:r w:rsidRPr="00F927DB">
        <w:rPr>
          <w:rStyle w:val="Refdenotaalpie"/>
          <w:rFonts w:ascii="Verdana" w:hAnsi="Verdana" w:cs="Arial"/>
          <w:sz w:val="20"/>
          <w:lang w:val="es-ES"/>
        </w:rPr>
        <w:footnoteReference w:id="23"/>
      </w:r>
      <w:r w:rsidRPr="00F927DB">
        <w:rPr>
          <w:rFonts w:ascii="Verdana" w:hAnsi="Verdana" w:cs="Arial"/>
          <w:sz w:val="20"/>
          <w:lang w:val="es-ES"/>
        </w:rPr>
        <w:t xml:space="preserve">. </w:t>
      </w:r>
    </w:p>
    <w:p w14:paraId="4F8DCAB2" w14:textId="77777777" w:rsidR="00127593" w:rsidRPr="00F927DB" w:rsidRDefault="00127593" w:rsidP="00220B4A">
      <w:pPr>
        <w:spacing w:afterLines="40" w:after="96"/>
        <w:jc w:val="both"/>
        <w:rPr>
          <w:rFonts w:ascii="Verdana" w:hAnsi="Verdana"/>
          <w:b/>
          <w:sz w:val="20"/>
          <w:lang w:val="es-MX"/>
        </w:rPr>
      </w:pPr>
    </w:p>
    <w:p w14:paraId="4D74268E" w14:textId="363013DE" w:rsidR="00442DD0" w:rsidRDefault="00127593" w:rsidP="00220B4A">
      <w:pPr>
        <w:numPr>
          <w:ilvl w:val="0"/>
          <w:numId w:val="9"/>
        </w:numPr>
        <w:spacing w:afterLines="40" w:after="96"/>
        <w:ind w:left="0" w:firstLine="0"/>
        <w:jc w:val="both"/>
        <w:rPr>
          <w:rFonts w:ascii="Verdana" w:hAnsi="Verdana"/>
          <w:sz w:val="20"/>
          <w:lang w:val="es-CR"/>
        </w:rPr>
      </w:pPr>
      <w:r>
        <w:rPr>
          <w:rFonts w:ascii="Verdana" w:hAnsi="Verdana"/>
          <w:sz w:val="20"/>
          <w:lang w:val="es-MX"/>
        </w:rPr>
        <w:t>Con base en la situación constatada</w:t>
      </w:r>
      <w:r w:rsidR="0051502B">
        <w:rPr>
          <w:rFonts w:ascii="Verdana" w:hAnsi="Verdana"/>
          <w:sz w:val="20"/>
          <w:lang w:val="es-MX"/>
        </w:rPr>
        <w:t xml:space="preserve"> en los dos casos</w:t>
      </w:r>
      <w:r>
        <w:rPr>
          <w:rFonts w:ascii="Verdana" w:hAnsi="Verdana"/>
          <w:sz w:val="20"/>
          <w:lang w:val="es-MX"/>
        </w:rPr>
        <w:t>, el Tribunal considera necesario dar aplicación a lo dispuesto en los artículos 65 de la Convención Americana</w:t>
      </w:r>
      <w:r>
        <w:rPr>
          <w:rStyle w:val="Refdenotaalpie"/>
          <w:rFonts w:ascii="Verdana" w:hAnsi="Verdana"/>
          <w:sz w:val="20"/>
          <w:lang w:val="es-MX"/>
        </w:rPr>
        <w:footnoteReference w:id="24"/>
      </w:r>
      <w:r>
        <w:rPr>
          <w:rFonts w:ascii="Verdana" w:hAnsi="Verdana"/>
          <w:sz w:val="20"/>
          <w:lang w:val="es-MX"/>
        </w:rPr>
        <w:t xml:space="preserve"> y 30 de su Estatuto</w:t>
      </w:r>
      <w:r>
        <w:rPr>
          <w:rStyle w:val="Refdenotaalpie"/>
          <w:rFonts w:ascii="Verdana" w:hAnsi="Verdana"/>
          <w:sz w:val="20"/>
          <w:lang w:val="es-MX"/>
        </w:rPr>
        <w:footnoteReference w:id="25"/>
      </w:r>
      <w:r>
        <w:rPr>
          <w:rFonts w:ascii="Verdana" w:hAnsi="Verdana"/>
          <w:sz w:val="20"/>
          <w:lang w:val="es-MX"/>
        </w:rPr>
        <w:t>, de manera que en el I</w:t>
      </w:r>
      <w:r w:rsidR="00D80A16">
        <w:rPr>
          <w:rFonts w:ascii="Verdana" w:hAnsi="Verdana"/>
          <w:sz w:val="20"/>
          <w:lang w:val="es-MX"/>
        </w:rPr>
        <w:t>nforme Anual de labores del 2019</w:t>
      </w:r>
      <w:r>
        <w:rPr>
          <w:rFonts w:ascii="Verdana" w:hAnsi="Verdana"/>
          <w:sz w:val="20"/>
          <w:lang w:val="es-MX"/>
        </w:rPr>
        <w:t xml:space="preserve">, que </w:t>
      </w:r>
      <w:r>
        <w:rPr>
          <w:rFonts w:ascii="Verdana" w:hAnsi="Verdana"/>
          <w:sz w:val="20"/>
        </w:rPr>
        <w:t xml:space="preserve">someterá a la consideración de la Asamblea General de la Organización de los </w:t>
      </w:r>
      <w:r w:rsidRPr="0017142D">
        <w:rPr>
          <w:rFonts w:ascii="Verdana" w:hAnsi="Verdana"/>
          <w:sz w:val="20"/>
        </w:rPr>
        <w:t xml:space="preserve">Estados Americanos, incorporará la presente Resolución, señalando que Venezuela ha incumplido durante </w:t>
      </w:r>
      <w:r w:rsidRPr="0017142D">
        <w:rPr>
          <w:rFonts w:ascii="Verdana" w:hAnsi="Verdana"/>
          <w:sz w:val="20"/>
          <w:lang w:val="es-CR"/>
        </w:rPr>
        <w:t xml:space="preserve">seis años y cuatro meses en el caso </w:t>
      </w:r>
      <w:r w:rsidRPr="0017142D">
        <w:rPr>
          <w:rFonts w:ascii="Verdana" w:hAnsi="Verdana"/>
          <w:i/>
          <w:sz w:val="20"/>
          <w:lang w:val="es-CR"/>
        </w:rPr>
        <w:t>Díaz Peña</w:t>
      </w:r>
      <w:r w:rsidRPr="0017142D">
        <w:rPr>
          <w:rFonts w:ascii="Verdana" w:hAnsi="Verdana"/>
          <w:sz w:val="20"/>
          <w:lang w:val="es-CR"/>
        </w:rPr>
        <w:t xml:space="preserve">, y seis años y un mes en el caso </w:t>
      </w:r>
      <w:r w:rsidRPr="0017142D">
        <w:rPr>
          <w:rFonts w:ascii="Verdana" w:hAnsi="Verdana"/>
          <w:i/>
          <w:sz w:val="20"/>
          <w:lang w:val="es-CR"/>
        </w:rPr>
        <w:t>Uzcátegui y otros</w:t>
      </w:r>
      <w:r w:rsidR="00082B07">
        <w:rPr>
          <w:rFonts w:ascii="Verdana" w:hAnsi="Verdana"/>
          <w:i/>
          <w:sz w:val="20"/>
          <w:lang w:val="es-CR"/>
        </w:rPr>
        <w:t>,</w:t>
      </w:r>
      <w:r w:rsidRPr="0017142D">
        <w:rPr>
          <w:rFonts w:ascii="Verdana" w:hAnsi="Verdana"/>
          <w:sz w:val="20"/>
          <w:lang w:val="es-CR"/>
        </w:rPr>
        <w:t xml:space="preserve"> </w:t>
      </w:r>
      <w:r w:rsidRPr="0017142D">
        <w:rPr>
          <w:rFonts w:ascii="Verdana" w:hAnsi="Verdana"/>
          <w:sz w:val="20"/>
        </w:rPr>
        <w:t>su deber de informar sobre la ejecución de la Sentencia</w:t>
      </w:r>
      <w:r w:rsidR="00465C89">
        <w:rPr>
          <w:rFonts w:ascii="Verdana" w:hAnsi="Verdana"/>
          <w:sz w:val="20"/>
        </w:rPr>
        <w:t xml:space="preserve"> y de implementar las reparaciones</w:t>
      </w:r>
      <w:r w:rsidR="00082B07">
        <w:rPr>
          <w:rFonts w:ascii="Verdana" w:hAnsi="Verdana"/>
          <w:sz w:val="20"/>
        </w:rPr>
        <w:t xml:space="preserve"> ordenadas en las Sentencias de estos casos</w:t>
      </w:r>
      <w:r w:rsidR="0086788C">
        <w:rPr>
          <w:rFonts w:ascii="Verdana" w:hAnsi="Verdana"/>
          <w:sz w:val="20"/>
        </w:rPr>
        <w:t xml:space="preserve">. </w:t>
      </w:r>
      <w:r w:rsidR="00465C89" w:rsidRPr="00B1779B">
        <w:rPr>
          <w:rFonts w:ascii="Verdana" w:hAnsi="Verdana"/>
          <w:sz w:val="20"/>
          <w:lang w:val="es-CR"/>
        </w:rPr>
        <w:t xml:space="preserve">Ante esta situación los Estados Americanos han dispuesto un sistema de </w:t>
      </w:r>
      <w:r w:rsidR="00465C89" w:rsidRPr="00B1779B">
        <w:rPr>
          <w:rFonts w:ascii="Verdana" w:hAnsi="Verdana"/>
          <w:sz w:val="20"/>
          <w:lang w:val="es-CR"/>
        </w:rPr>
        <w:lastRenderedPageBreak/>
        <w:t>garantía colectiva en donde todos los Estados Parte deben realizar todos los esfuerzos para que no haya un evidente abandono por parte de los Estados de su obligación de cumplir y acatar las Sentencias de la Corte</w:t>
      </w:r>
      <w:r w:rsidR="00465C89" w:rsidRPr="00B1779B">
        <w:rPr>
          <w:rStyle w:val="Refdenotaalpie"/>
          <w:rFonts w:ascii="Verdana" w:hAnsi="Verdana"/>
          <w:sz w:val="20"/>
        </w:rPr>
        <w:footnoteReference w:id="26"/>
      </w:r>
      <w:r w:rsidR="00465C89" w:rsidRPr="00B1779B">
        <w:rPr>
          <w:rFonts w:ascii="Verdana" w:hAnsi="Verdana"/>
          <w:sz w:val="20"/>
          <w:lang w:val="es-CR"/>
        </w:rPr>
        <w:t>.</w:t>
      </w:r>
    </w:p>
    <w:p w14:paraId="748E98E7" w14:textId="77777777" w:rsidR="00442DD0" w:rsidRDefault="00442DD0" w:rsidP="00220B4A">
      <w:pPr>
        <w:pStyle w:val="Prrafodelista"/>
        <w:spacing w:afterLines="40" w:after="96"/>
        <w:rPr>
          <w:rFonts w:ascii="Verdana" w:hAnsi="Verdana"/>
          <w:spacing w:val="-3"/>
          <w:sz w:val="20"/>
          <w:lang w:val="es-CO"/>
        </w:rPr>
      </w:pPr>
    </w:p>
    <w:p w14:paraId="446D07D9" w14:textId="7BF802C1" w:rsidR="00442DD0" w:rsidRPr="00442DD0" w:rsidRDefault="00127593" w:rsidP="00220B4A">
      <w:pPr>
        <w:numPr>
          <w:ilvl w:val="0"/>
          <w:numId w:val="9"/>
        </w:numPr>
        <w:spacing w:afterLines="40" w:after="96"/>
        <w:ind w:left="0" w:firstLine="0"/>
        <w:jc w:val="both"/>
        <w:rPr>
          <w:rFonts w:ascii="Verdana" w:hAnsi="Verdana"/>
          <w:sz w:val="20"/>
          <w:lang w:val="es-CR"/>
        </w:rPr>
      </w:pPr>
      <w:r w:rsidRPr="00442DD0">
        <w:rPr>
          <w:rFonts w:ascii="Verdana" w:hAnsi="Verdana"/>
          <w:spacing w:val="-3"/>
          <w:sz w:val="20"/>
          <w:lang w:val="es-CO"/>
        </w:rPr>
        <w:t xml:space="preserve">Este Tribunal ha señalado que la Convención Americana, así como los demás tratados de derechos </w:t>
      </w:r>
      <w:r w:rsidRPr="00442DD0">
        <w:rPr>
          <w:rFonts w:ascii="Verdana" w:hAnsi="Verdana"/>
          <w:sz w:val="20"/>
        </w:rPr>
        <w:t>humanos</w:t>
      </w:r>
      <w:r w:rsidRPr="00442DD0">
        <w:rPr>
          <w:rFonts w:ascii="Verdana" w:hAnsi="Verdana"/>
          <w:spacing w:val="-3"/>
          <w:sz w:val="20"/>
          <w:lang w:val="es-CO"/>
        </w:rPr>
        <w:t xml:space="preserve">, se aplican de conformidad con la noción de garantía colectiva y tienen una naturaleza especial, que los diferencian de los demás tratados, los cuales </w:t>
      </w:r>
      <w:r w:rsidRPr="00442DD0">
        <w:rPr>
          <w:rFonts w:ascii="Verdana" w:hAnsi="Verdana"/>
          <w:sz w:val="20"/>
          <w:lang w:val="pl-PL"/>
        </w:rPr>
        <w:t>reglamentan</w:t>
      </w:r>
      <w:r w:rsidRPr="00442DD0">
        <w:rPr>
          <w:rFonts w:ascii="Verdana" w:hAnsi="Verdana"/>
          <w:spacing w:val="-3"/>
          <w:sz w:val="20"/>
          <w:lang w:val="es-CO"/>
        </w:rPr>
        <w:t xml:space="preserve"> intereses recíprocos entre los Estados Partes</w:t>
      </w:r>
      <w:r w:rsidRPr="00686AC2">
        <w:rPr>
          <w:rStyle w:val="Textoennegrita"/>
          <w:rFonts w:ascii="Verdana" w:hAnsi="Verdana"/>
          <w:b w:val="0"/>
          <w:spacing w:val="-3"/>
          <w:sz w:val="20"/>
          <w:vertAlign w:val="superscript"/>
        </w:rPr>
        <w:footnoteReference w:id="27"/>
      </w:r>
      <w:r w:rsidRPr="00442DD0">
        <w:rPr>
          <w:rFonts w:ascii="Verdana" w:hAnsi="Verdana"/>
          <w:spacing w:val="-3"/>
          <w:sz w:val="20"/>
          <w:lang w:val="es-CO"/>
        </w:rPr>
        <w:t xml:space="preserve">. </w:t>
      </w:r>
      <w:r w:rsidR="00442DD0" w:rsidRPr="00442DD0">
        <w:rPr>
          <w:rFonts w:ascii="Verdana" w:hAnsi="Verdana"/>
          <w:spacing w:val="-3"/>
          <w:sz w:val="20"/>
          <w:lang w:val="es-CO"/>
        </w:rPr>
        <w:t xml:space="preserve">Dicha noción de </w:t>
      </w:r>
      <w:r w:rsidR="00442DD0" w:rsidRPr="00442DD0">
        <w:rPr>
          <w:rFonts w:ascii="Verdana" w:hAnsi="Verdana"/>
          <w:sz w:val="20"/>
          <w:lang w:val="es-CO"/>
        </w:rPr>
        <w:t xml:space="preserve">garantía colectiva se encuentra estrechamente relacionada con el efecto útil de las Sentencias de la Corte Interamericana, por cuanto </w:t>
      </w:r>
      <w:r w:rsidR="00442DD0" w:rsidRPr="00442DD0">
        <w:rPr>
          <w:rFonts w:ascii="Verdana" w:hAnsi="Verdana"/>
          <w:sz w:val="20"/>
          <w:lang w:val="es-ES"/>
        </w:rPr>
        <w:t>la Convención Americana consagra un sistema que constituye un verdadero orden público regional, cuyo mantenimiento es de interés de todos y cada uno de los Estados Partes</w:t>
      </w:r>
      <w:r w:rsidR="00442DD0" w:rsidRPr="00B1779B">
        <w:rPr>
          <w:rStyle w:val="Refdenotaalpie"/>
          <w:rFonts w:ascii="Verdana" w:hAnsi="Verdana"/>
          <w:sz w:val="20"/>
          <w:lang w:val="es-ES"/>
        </w:rPr>
        <w:footnoteReference w:id="28"/>
      </w:r>
      <w:r w:rsidR="00442DD0" w:rsidRPr="00442DD0">
        <w:rPr>
          <w:rFonts w:ascii="Verdana" w:hAnsi="Verdana"/>
          <w:sz w:val="20"/>
          <w:lang w:val="es-ES"/>
        </w:rPr>
        <w:t>. El interés de los Estados signatarios es el mantenimiento del sistema de protección de los derechos humanos que ellos mismos han creado, y si un Estado viola su obligación de acatar lo resuelto por el único órgano jurisdiccional sobre la materia se está quebrantando el compromiso asumido hacia los otros Estados de cumplir con las sentencias de la Corte</w:t>
      </w:r>
      <w:r w:rsidR="00442DD0" w:rsidRPr="00B1779B">
        <w:rPr>
          <w:rStyle w:val="Refdenotaalpie"/>
          <w:rFonts w:ascii="Verdana" w:hAnsi="Verdana"/>
          <w:sz w:val="20"/>
          <w:lang w:val="es-ES"/>
        </w:rPr>
        <w:footnoteReference w:id="29"/>
      </w:r>
      <w:r w:rsidR="00442DD0" w:rsidRPr="00442DD0">
        <w:rPr>
          <w:rFonts w:ascii="Verdana" w:hAnsi="Verdana"/>
          <w:sz w:val="20"/>
          <w:lang w:val="es-ES"/>
        </w:rPr>
        <w:t>. Por tanto, la labor de la Asamblea General de la Organización de los Estados Americanos, cuando se le presenta un incumplimiento manifiesto por parte de uno de los Estados de una Sentencia emitida por la Corte Interamericana, es precisamente la de proteger el efecto útil de la Convención Americana y evitar que la justicia interamericana se torne ilusoria al quedar al arbitrio de las decisiones internas de un Estado</w:t>
      </w:r>
      <w:r w:rsidR="00442DD0" w:rsidRPr="00B1779B">
        <w:rPr>
          <w:rStyle w:val="Refdenotaalpie"/>
          <w:rFonts w:ascii="Verdana" w:hAnsi="Verdana"/>
          <w:sz w:val="20"/>
          <w:lang w:val="es-ES"/>
        </w:rPr>
        <w:footnoteReference w:id="30"/>
      </w:r>
      <w:r w:rsidR="00442DD0" w:rsidRPr="00442DD0">
        <w:rPr>
          <w:rFonts w:ascii="Verdana" w:hAnsi="Verdana"/>
          <w:sz w:val="20"/>
          <w:lang w:val="es-ES"/>
        </w:rPr>
        <w:t>.</w:t>
      </w:r>
    </w:p>
    <w:p w14:paraId="2B04EA79" w14:textId="4442741B" w:rsidR="00127593" w:rsidRPr="00442DD0" w:rsidRDefault="00127593" w:rsidP="00220B4A">
      <w:pPr>
        <w:spacing w:afterLines="40" w:after="96"/>
        <w:jc w:val="both"/>
        <w:rPr>
          <w:rFonts w:ascii="Verdana" w:hAnsi="Verdana"/>
          <w:sz w:val="20"/>
          <w:lang w:val="es-ES"/>
        </w:rPr>
      </w:pPr>
    </w:p>
    <w:p w14:paraId="76A3E25F" w14:textId="75AB3758" w:rsidR="00127593" w:rsidRPr="00052A96" w:rsidRDefault="00127593" w:rsidP="00220B4A">
      <w:pPr>
        <w:numPr>
          <w:ilvl w:val="0"/>
          <w:numId w:val="9"/>
        </w:numPr>
        <w:spacing w:afterLines="40" w:after="96"/>
        <w:ind w:left="0" w:firstLine="0"/>
        <w:jc w:val="both"/>
        <w:rPr>
          <w:rFonts w:ascii="Verdana" w:hAnsi="Verdana"/>
          <w:sz w:val="20"/>
          <w:lang w:val="es-MX"/>
        </w:rPr>
      </w:pPr>
      <w:r>
        <w:rPr>
          <w:rFonts w:ascii="Verdana" w:hAnsi="Verdana"/>
          <w:sz w:val="20"/>
          <w:lang w:val="es-CO"/>
        </w:rPr>
        <w:t xml:space="preserve">Una vez que ha determinado la aplicación de los referidos artículos </w:t>
      </w:r>
      <w:r w:rsidR="00465C89">
        <w:rPr>
          <w:rFonts w:ascii="Verdana" w:hAnsi="Verdana"/>
          <w:sz w:val="20"/>
          <w:lang w:val="es-CO"/>
        </w:rPr>
        <w:t>(</w:t>
      </w:r>
      <w:r w:rsidR="00465C89" w:rsidRPr="00AF6735">
        <w:rPr>
          <w:rFonts w:ascii="Verdana" w:hAnsi="Verdana"/>
          <w:i/>
          <w:sz w:val="20"/>
          <w:lang w:val="es-CO"/>
        </w:rPr>
        <w:t xml:space="preserve">supra </w:t>
      </w:r>
      <w:r w:rsidR="00465C89">
        <w:rPr>
          <w:rFonts w:ascii="Verdana" w:hAnsi="Verdana"/>
          <w:sz w:val="20"/>
          <w:lang w:val="es-CO"/>
        </w:rPr>
        <w:t xml:space="preserve">Considerando 12) </w:t>
      </w:r>
      <w:r>
        <w:rPr>
          <w:rFonts w:ascii="Verdana" w:hAnsi="Verdana"/>
          <w:sz w:val="20"/>
          <w:lang w:val="es-CO"/>
        </w:rPr>
        <w:t xml:space="preserve">en casos de incumplimiento </w:t>
      </w:r>
      <w:r w:rsidRPr="006F7CF7">
        <w:rPr>
          <w:rFonts w:ascii="Verdana" w:hAnsi="Verdana"/>
          <w:sz w:val="20"/>
          <w:lang w:val="pl-PL"/>
        </w:rPr>
        <w:t>de</w:t>
      </w:r>
      <w:r>
        <w:rPr>
          <w:rFonts w:ascii="Verdana" w:hAnsi="Verdana"/>
          <w:sz w:val="20"/>
          <w:lang w:val="es-CO"/>
        </w:rPr>
        <w:t xml:space="preserve"> sus Sentencias, y así lo haya informado mediante su Informe Anual para la consideración de la Asamblea General de la Organización de los Estados Americanos, la Corte continuará incluyendo dicho incumplimiento cada año, al presentar su Informe Anual, a menos que el Estado acredite que está adoptando las medidas necesarias para cumplir con las reparaciones ordenadas en la Sentencia, o que los representantes de las víctimas o la Comisión acompañen información sobre la implementación y cumplimiento de los puntos de la Sentencia que requiera ser valorada por este Tribunal</w:t>
      </w:r>
      <w:r>
        <w:rPr>
          <w:rStyle w:val="Refdenotaalpie"/>
          <w:rFonts w:ascii="Verdana" w:hAnsi="Verdana"/>
          <w:sz w:val="20"/>
          <w:lang w:val="es-CO"/>
        </w:rPr>
        <w:footnoteReference w:id="31"/>
      </w:r>
      <w:r>
        <w:rPr>
          <w:rFonts w:ascii="Verdana" w:hAnsi="Verdana"/>
          <w:sz w:val="20"/>
          <w:lang w:val="es-CO"/>
        </w:rPr>
        <w:t xml:space="preserve">. </w:t>
      </w:r>
    </w:p>
    <w:p w14:paraId="08303C1E" w14:textId="77777777" w:rsidR="00127593" w:rsidRDefault="00127593" w:rsidP="00220B4A">
      <w:pPr>
        <w:pStyle w:val="Prrafodelista"/>
        <w:spacing w:afterLines="40" w:after="96"/>
        <w:rPr>
          <w:rFonts w:ascii="Verdana" w:hAnsi="Verdana"/>
          <w:sz w:val="20"/>
          <w:lang w:val="es-MX"/>
        </w:rPr>
      </w:pPr>
    </w:p>
    <w:p w14:paraId="664B42F6" w14:textId="77777777" w:rsidR="00465C89" w:rsidRDefault="00465C89" w:rsidP="00220B4A">
      <w:pPr>
        <w:pStyle w:val="Prrafodelista"/>
        <w:spacing w:afterLines="40" w:after="96"/>
        <w:rPr>
          <w:rFonts w:ascii="Verdana" w:hAnsi="Verdana"/>
          <w:sz w:val="20"/>
          <w:lang w:val="es-MX"/>
        </w:rPr>
      </w:pPr>
    </w:p>
    <w:p w14:paraId="32610E71" w14:textId="77777777" w:rsidR="00465C89" w:rsidRDefault="00465C89" w:rsidP="00220B4A">
      <w:pPr>
        <w:pStyle w:val="Prrafodelista"/>
        <w:spacing w:afterLines="40" w:after="96"/>
        <w:rPr>
          <w:rFonts w:ascii="Verdana" w:hAnsi="Verdana"/>
          <w:sz w:val="20"/>
          <w:lang w:val="es-MX"/>
        </w:rPr>
      </w:pPr>
    </w:p>
    <w:p w14:paraId="6C90E5D8" w14:textId="77777777" w:rsidR="00220B4A" w:rsidRDefault="00220B4A">
      <w:pPr>
        <w:spacing w:after="200" w:line="276" w:lineRule="auto"/>
        <w:rPr>
          <w:rFonts w:ascii="Verdana" w:hAnsi="Verdana"/>
          <w:b/>
          <w:sz w:val="20"/>
          <w:lang w:val="es-MX"/>
        </w:rPr>
      </w:pPr>
      <w:r>
        <w:rPr>
          <w:rFonts w:ascii="Verdana" w:hAnsi="Verdana"/>
          <w:b/>
          <w:sz w:val="20"/>
          <w:lang w:val="es-MX"/>
        </w:rPr>
        <w:br w:type="page"/>
      </w:r>
    </w:p>
    <w:p w14:paraId="3D7F0A10" w14:textId="6424A312" w:rsidR="00127593" w:rsidRDefault="00127593" w:rsidP="00220B4A">
      <w:pPr>
        <w:jc w:val="both"/>
        <w:rPr>
          <w:rFonts w:ascii="Verdana" w:hAnsi="Verdana"/>
          <w:b/>
          <w:sz w:val="20"/>
          <w:lang w:val="es-MX"/>
        </w:rPr>
      </w:pPr>
      <w:r>
        <w:rPr>
          <w:rFonts w:ascii="Verdana" w:hAnsi="Verdana"/>
          <w:b/>
          <w:sz w:val="20"/>
          <w:lang w:val="es-MX"/>
        </w:rPr>
        <w:lastRenderedPageBreak/>
        <w:t>POR TANTO</w:t>
      </w:r>
    </w:p>
    <w:p w14:paraId="4DB1E65F" w14:textId="77777777" w:rsidR="00127593" w:rsidRDefault="00127593" w:rsidP="00220B4A">
      <w:pPr>
        <w:jc w:val="both"/>
        <w:rPr>
          <w:rFonts w:ascii="Verdana" w:hAnsi="Verdana"/>
          <w:b/>
          <w:sz w:val="20"/>
          <w:lang w:val="es-MX"/>
        </w:rPr>
      </w:pPr>
    </w:p>
    <w:p w14:paraId="3CDFAD31" w14:textId="77777777" w:rsidR="00127593" w:rsidRDefault="00127593" w:rsidP="00220B4A">
      <w:pPr>
        <w:jc w:val="both"/>
        <w:rPr>
          <w:rFonts w:ascii="Verdana" w:hAnsi="Verdana"/>
          <w:b/>
          <w:sz w:val="20"/>
          <w:lang w:val="es-MX"/>
        </w:rPr>
      </w:pPr>
      <w:r>
        <w:rPr>
          <w:rFonts w:ascii="Verdana" w:hAnsi="Verdana"/>
          <w:b/>
          <w:sz w:val="20"/>
          <w:lang w:val="es-MX"/>
        </w:rPr>
        <w:t>LA CORTE INTERAMERICANA DE DERECHOS HUMANOS,</w:t>
      </w:r>
    </w:p>
    <w:p w14:paraId="6C04131B" w14:textId="77777777" w:rsidR="00127593" w:rsidRDefault="00127593" w:rsidP="00220B4A">
      <w:pPr>
        <w:jc w:val="both"/>
        <w:rPr>
          <w:rFonts w:ascii="Verdana" w:hAnsi="Verdana"/>
          <w:sz w:val="20"/>
          <w:lang w:val="es-MX"/>
        </w:rPr>
      </w:pPr>
    </w:p>
    <w:p w14:paraId="735DD8A2" w14:textId="0EB56803" w:rsidR="00127593" w:rsidRDefault="00082B07" w:rsidP="00220B4A">
      <w:pPr>
        <w:jc w:val="both"/>
        <w:rPr>
          <w:rFonts w:ascii="Verdana" w:hAnsi="Verdana"/>
          <w:sz w:val="20"/>
          <w:lang w:val="es-MX"/>
        </w:rPr>
      </w:pPr>
      <w:r>
        <w:rPr>
          <w:rFonts w:ascii="Verdana" w:hAnsi="Verdana"/>
          <w:sz w:val="20"/>
          <w:lang w:val="es-MX"/>
        </w:rPr>
        <w:t xml:space="preserve">en </w:t>
      </w:r>
      <w:r w:rsidR="00127593">
        <w:rPr>
          <w:rFonts w:ascii="Verdana" w:hAnsi="Verdana"/>
          <w:sz w:val="20"/>
          <w:lang w:val="es-MX"/>
        </w:rPr>
        <w:t xml:space="preserve">el ejercicio de sus atribuciones de supervisión del cumplimiento de sus decisiones, de conformidad con los artículos 33, 62.1, 62.3, 65, 67 y 68.1 de la Convención Americana sobre Derechos Humanos, 24, 25 y 30 del Estatuto y </w:t>
      </w:r>
      <w:r w:rsidR="00442DD0" w:rsidRPr="001B743D">
        <w:rPr>
          <w:rFonts w:ascii="Verdana" w:hAnsi="Verdana"/>
          <w:sz w:val="20"/>
          <w:lang w:val="es-CR"/>
        </w:rPr>
        <w:t>31</w:t>
      </w:r>
      <w:r w:rsidR="00442DD0">
        <w:rPr>
          <w:rFonts w:ascii="Verdana" w:hAnsi="Verdana"/>
          <w:sz w:val="20"/>
          <w:lang w:val="es-CR"/>
        </w:rPr>
        <w:t>.2 y 69 del Reglamento</w:t>
      </w:r>
      <w:r w:rsidR="00127593">
        <w:rPr>
          <w:rFonts w:ascii="Verdana" w:hAnsi="Verdana"/>
          <w:sz w:val="20"/>
          <w:lang w:val="es-MX"/>
        </w:rPr>
        <w:t>,</w:t>
      </w:r>
    </w:p>
    <w:p w14:paraId="40445150" w14:textId="77777777" w:rsidR="00220B4A" w:rsidRDefault="00220B4A" w:rsidP="00220B4A">
      <w:pPr>
        <w:jc w:val="both"/>
        <w:rPr>
          <w:rFonts w:ascii="Verdana" w:hAnsi="Verdana"/>
          <w:sz w:val="20"/>
          <w:lang w:val="es-MX"/>
        </w:rPr>
      </w:pPr>
    </w:p>
    <w:p w14:paraId="724CB95B" w14:textId="77777777" w:rsidR="00127593" w:rsidRDefault="00127593" w:rsidP="00220B4A">
      <w:pPr>
        <w:jc w:val="both"/>
        <w:rPr>
          <w:rFonts w:ascii="Verdana" w:hAnsi="Verdana"/>
          <w:sz w:val="20"/>
          <w:lang w:val="es-MX"/>
        </w:rPr>
      </w:pPr>
    </w:p>
    <w:p w14:paraId="046FD7AA" w14:textId="77777777" w:rsidR="00127593" w:rsidRDefault="00127593" w:rsidP="00220B4A">
      <w:pPr>
        <w:jc w:val="both"/>
        <w:rPr>
          <w:rFonts w:ascii="Verdana" w:hAnsi="Verdana"/>
          <w:b/>
          <w:sz w:val="20"/>
          <w:lang w:val="es-MX"/>
        </w:rPr>
      </w:pPr>
      <w:r>
        <w:rPr>
          <w:rFonts w:ascii="Verdana" w:hAnsi="Verdana"/>
          <w:b/>
          <w:sz w:val="20"/>
          <w:lang w:val="es-MX"/>
        </w:rPr>
        <w:t>DECLARA QUE:</w:t>
      </w:r>
    </w:p>
    <w:p w14:paraId="51B1551F" w14:textId="77777777" w:rsidR="00127593" w:rsidRDefault="00127593" w:rsidP="00220B4A">
      <w:pPr>
        <w:jc w:val="both"/>
        <w:rPr>
          <w:rFonts w:ascii="Verdana" w:hAnsi="Verdana"/>
          <w:b/>
          <w:sz w:val="20"/>
          <w:lang w:val="es-MX"/>
        </w:rPr>
      </w:pPr>
    </w:p>
    <w:p w14:paraId="1B1B613A" w14:textId="6063FB87" w:rsidR="00127593" w:rsidRPr="00D147EF" w:rsidRDefault="00465C89" w:rsidP="00220B4A">
      <w:pPr>
        <w:numPr>
          <w:ilvl w:val="0"/>
          <w:numId w:val="7"/>
        </w:numPr>
        <w:ind w:left="0" w:hanging="11"/>
        <w:jc w:val="both"/>
        <w:rPr>
          <w:rFonts w:ascii="Verdana" w:hAnsi="Verdana"/>
          <w:sz w:val="20"/>
          <w:lang w:val="es-MX"/>
        </w:rPr>
      </w:pPr>
      <w:r w:rsidRPr="00D147EF">
        <w:rPr>
          <w:rFonts w:ascii="Verdana" w:hAnsi="Verdana"/>
          <w:sz w:val="20"/>
          <w:lang w:val="es-MX"/>
        </w:rPr>
        <w:t>E</w:t>
      </w:r>
      <w:r w:rsidRPr="00D147EF">
        <w:rPr>
          <w:rFonts w:ascii="Verdana" w:hAnsi="Verdana"/>
          <w:sz w:val="20"/>
          <w:lang w:val="es-CR"/>
        </w:rPr>
        <w:t>l Estado ha incurri</w:t>
      </w:r>
      <w:r w:rsidR="00127593" w:rsidRPr="00D147EF">
        <w:rPr>
          <w:rFonts w:ascii="Verdana" w:hAnsi="Verdana"/>
          <w:sz w:val="20"/>
          <w:lang w:val="es-CR"/>
        </w:rPr>
        <w:t xml:space="preserve">do en un grave incumplimiento de su deber de informar </w:t>
      </w:r>
      <w:r w:rsidRPr="00D147EF">
        <w:rPr>
          <w:rFonts w:ascii="Verdana" w:hAnsi="Verdana"/>
          <w:sz w:val="20"/>
          <w:lang w:val="es-CR"/>
        </w:rPr>
        <w:t xml:space="preserve">sobre la ejecución de </w:t>
      </w:r>
      <w:r w:rsidR="00127593" w:rsidRPr="00D147EF">
        <w:rPr>
          <w:rFonts w:ascii="Verdana" w:hAnsi="Verdana"/>
          <w:sz w:val="20"/>
          <w:lang w:val="es-MX"/>
        </w:rPr>
        <w:t xml:space="preserve">las Sentencias de los casos </w:t>
      </w:r>
      <w:r w:rsidR="00127593" w:rsidRPr="00D147EF">
        <w:rPr>
          <w:rFonts w:ascii="Verdana" w:hAnsi="Verdana"/>
          <w:i/>
          <w:sz w:val="20"/>
          <w:lang w:val="es-MX"/>
        </w:rPr>
        <w:t xml:space="preserve">Díaz Peña </w:t>
      </w:r>
      <w:r w:rsidR="00127593" w:rsidRPr="00D147EF">
        <w:rPr>
          <w:rFonts w:ascii="Verdana" w:hAnsi="Verdana"/>
          <w:sz w:val="20"/>
          <w:lang w:val="es-MX"/>
        </w:rPr>
        <w:t xml:space="preserve">y </w:t>
      </w:r>
      <w:r w:rsidR="00127593" w:rsidRPr="00D147EF">
        <w:rPr>
          <w:rFonts w:ascii="Verdana" w:hAnsi="Verdana"/>
          <w:i/>
          <w:sz w:val="20"/>
          <w:lang w:val="es-MX"/>
        </w:rPr>
        <w:t>Uzcátegui y otros</w:t>
      </w:r>
      <w:r w:rsidRPr="00D147EF">
        <w:rPr>
          <w:rFonts w:ascii="Verdana" w:hAnsi="Verdana"/>
          <w:i/>
          <w:sz w:val="20"/>
          <w:lang w:val="es-MX"/>
        </w:rPr>
        <w:t xml:space="preserve">, </w:t>
      </w:r>
      <w:r w:rsidRPr="00D147EF">
        <w:rPr>
          <w:rFonts w:ascii="Verdana" w:hAnsi="Verdana"/>
          <w:sz w:val="20"/>
          <w:lang w:val="es-MX"/>
        </w:rPr>
        <w:t xml:space="preserve">en los términos expuestos en </w:t>
      </w:r>
      <w:r w:rsidR="00AD7CD6">
        <w:rPr>
          <w:rFonts w:ascii="Verdana" w:hAnsi="Verdana"/>
          <w:sz w:val="20"/>
          <w:lang w:val="es-MX"/>
        </w:rPr>
        <w:t>el</w:t>
      </w:r>
      <w:r w:rsidRPr="00D147EF">
        <w:rPr>
          <w:rFonts w:ascii="Verdana" w:hAnsi="Verdana"/>
          <w:sz w:val="20"/>
          <w:lang w:val="es-MX"/>
        </w:rPr>
        <w:t xml:space="preserve"> Considerando </w:t>
      </w:r>
      <w:r w:rsidR="00ED7332">
        <w:rPr>
          <w:rFonts w:ascii="Verdana" w:hAnsi="Verdana"/>
          <w:sz w:val="20"/>
          <w:lang w:val="es-MX"/>
        </w:rPr>
        <w:t>7</w:t>
      </w:r>
      <w:r w:rsidRPr="00D147EF">
        <w:rPr>
          <w:rFonts w:ascii="Verdana" w:hAnsi="Verdana"/>
          <w:sz w:val="20"/>
          <w:lang w:val="es-MX"/>
        </w:rPr>
        <w:t xml:space="preserve"> de la presente Resolución</w:t>
      </w:r>
      <w:r w:rsidR="00127593" w:rsidRPr="00D147EF">
        <w:rPr>
          <w:rFonts w:ascii="Verdana" w:hAnsi="Verdana"/>
          <w:sz w:val="20"/>
          <w:lang w:val="es-MX"/>
        </w:rPr>
        <w:t xml:space="preserve">. </w:t>
      </w:r>
    </w:p>
    <w:p w14:paraId="046DB52E" w14:textId="77777777" w:rsidR="00127593" w:rsidRPr="00D147EF" w:rsidRDefault="00127593" w:rsidP="00220B4A">
      <w:pPr>
        <w:jc w:val="both"/>
        <w:rPr>
          <w:rFonts w:ascii="Verdana" w:hAnsi="Verdana"/>
          <w:sz w:val="20"/>
          <w:lang w:val="es-MX"/>
        </w:rPr>
      </w:pPr>
    </w:p>
    <w:p w14:paraId="5FB11F26" w14:textId="6098B35E" w:rsidR="00127593" w:rsidRPr="00D147EF" w:rsidRDefault="00D147EF" w:rsidP="00220B4A">
      <w:pPr>
        <w:pStyle w:val="Prrafodelista"/>
        <w:numPr>
          <w:ilvl w:val="0"/>
          <w:numId w:val="7"/>
        </w:numPr>
        <w:ind w:left="0" w:firstLine="0"/>
        <w:jc w:val="both"/>
        <w:rPr>
          <w:rFonts w:ascii="Verdana" w:hAnsi="Verdana"/>
          <w:sz w:val="20"/>
          <w:lang w:val="es-MX"/>
        </w:rPr>
      </w:pPr>
      <w:r w:rsidRPr="00D147EF">
        <w:rPr>
          <w:rFonts w:ascii="Verdana" w:hAnsi="Verdana"/>
          <w:sz w:val="20"/>
        </w:rPr>
        <w:t>El Estado no ha dado cumplimiento a las reparaciones ordenadas en las Sentencias de los referidos dos casos</w:t>
      </w:r>
      <w:r>
        <w:rPr>
          <w:rFonts w:ascii="Verdana" w:hAnsi="Verdana"/>
          <w:sz w:val="20"/>
        </w:rPr>
        <w:t>,</w:t>
      </w:r>
      <w:r w:rsidRPr="00D147EF">
        <w:rPr>
          <w:rFonts w:ascii="Verdana" w:hAnsi="Verdana"/>
          <w:sz w:val="20"/>
          <w:lang w:val="es-MX"/>
        </w:rPr>
        <w:t xml:space="preserve"> </w:t>
      </w:r>
      <w:r w:rsidRPr="00D147EF">
        <w:rPr>
          <w:rFonts w:ascii="Verdana" w:hAnsi="Verdana"/>
          <w:sz w:val="20"/>
        </w:rPr>
        <w:t>indicadas en el Considerando 1</w:t>
      </w:r>
      <w:r w:rsidR="005504CB">
        <w:rPr>
          <w:rFonts w:ascii="Verdana" w:hAnsi="Verdana"/>
          <w:sz w:val="20"/>
        </w:rPr>
        <w:t xml:space="preserve"> </w:t>
      </w:r>
      <w:r w:rsidR="00ED7332">
        <w:rPr>
          <w:rFonts w:ascii="Verdana" w:hAnsi="Verdana"/>
          <w:sz w:val="20"/>
        </w:rPr>
        <w:t xml:space="preserve">y las notas al pie </w:t>
      </w:r>
      <w:r w:rsidR="006776FE">
        <w:rPr>
          <w:rFonts w:ascii="Verdana" w:hAnsi="Verdana"/>
          <w:sz w:val="20"/>
        </w:rPr>
        <w:t>7</w:t>
      </w:r>
      <w:r w:rsidR="00ED7332">
        <w:rPr>
          <w:rFonts w:ascii="Verdana" w:hAnsi="Verdana"/>
          <w:sz w:val="20"/>
        </w:rPr>
        <w:t xml:space="preserve"> y </w:t>
      </w:r>
      <w:r w:rsidR="006776FE">
        <w:rPr>
          <w:rFonts w:ascii="Verdana" w:hAnsi="Verdana"/>
          <w:sz w:val="20"/>
        </w:rPr>
        <w:t>8</w:t>
      </w:r>
      <w:r w:rsidR="00ED7332">
        <w:rPr>
          <w:rFonts w:ascii="Verdana" w:hAnsi="Verdana"/>
          <w:sz w:val="20"/>
        </w:rPr>
        <w:t xml:space="preserve"> </w:t>
      </w:r>
      <w:r>
        <w:rPr>
          <w:rFonts w:ascii="Verdana" w:hAnsi="Verdana"/>
          <w:sz w:val="20"/>
        </w:rPr>
        <w:t>de la presente Resolución</w:t>
      </w:r>
      <w:r w:rsidRPr="00D147EF">
        <w:rPr>
          <w:rFonts w:ascii="Verdana" w:hAnsi="Verdana"/>
          <w:sz w:val="20"/>
          <w:lang w:val="es-MX"/>
        </w:rPr>
        <w:t xml:space="preserve">. </w:t>
      </w:r>
    </w:p>
    <w:p w14:paraId="7A7FE60A" w14:textId="77777777" w:rsidR="00D147EF" w:rsidRPr="00D147EF" w:rsidRDefault="00D147EF" w:rsidP="00220B4A">
      <w:pPr>
        <w:pStyle w:val="Prrafodelista"/>
        <w:ind w:left="0"/>
        <w:jc w:val="both"/>
        <w:rPr>
          <w:lang w:val="es-MX"/>
        </w:rPr>
      </w:pPr>
    </w:p>
    <w:p w14:paraId="524BCDA6" w14:textId="77777777" w:rsidR="00E83429" w:rsidRDefault="00E83429" w:rsidP="00220B4A">
      <w:pPr>
        <w:jc w:val="both"/>
        <w:rPr>
          <w:rFonts w:ascii="Verdana" w:hAnsi="Verdana"/>
          <w:b/>
          <w:sz w:val="20"/>
          <w:lang w:val="es-MX"/>
        </w:rPr>
      </w:pPr>
    </w:p>
    <w:p w14:paraId="2904D889" w14:textId="77777777" w:rsidR="00127593" w:rsidRDefault="00127593" w:rsidP="00220B4A">
      <w:pPr>
        <w:jc w:val="both"/>
        <w:rPr>
          <w:rFonts w:ascii="Verdana" w:hAnsi="Verdana"/>
          <w:b/>
          <w:sz w:val="20"/>
          <w:lang w:val="es-MX"/>
        </w:rPr>
      </w:pPr>
      <w:r>
        <w:rPr>
          <w:rFonts w:ascii="Verdana" w:hAnsi="Verdana"/>
          <w:b/>
          <w:sz w:val="20"/>
          <w:lang w:val="es-MX"/>
        </w:rPr>
        <w:t xml:space="preserve">Y RESUELVE: </w:t>
      </w:r>
    </w:p>
    <w:p w14:paraId="39F3D08B" w14:textId="77777777" w:rsidR="00127593" w:rsidRDefault="00127593" w:rsidP="00220B4A">
      <w:pPr>
        <w:jc w:val="both"/>
        <w:rPr>
          <w:rFonts w:ascii="Verdana" w:hAnsi="Verdana"/>
          <w:sz w:val="20"/>
          <w:lang w:val="es-MX"/>
        </w:rPr>
      </w:pPr>
    </w:p>
    <w:p w14:paraId="36611B8D" w14:textId="60608AF9" w:rsidR="004E314E" w:rsidRPr="00D033C0" w:rsidRDefault="004E314E" w:rsidP="00D033C0">
      <w:pPr>
        <w:pStyle w:val="Prrafodelista"/>
        <w:numPr>
          <w:ilvl w:val="0"/>
          <w:numId w:val="7"/>
        </w:numPr>
        <w:ind w:left="0" w:firstLine="0"/>
        <w:jc w:val="both"/>
        <w:rPr>
          <w:rFonts w:ascii="Verdana" w:hAnsi="Verdana"/>
          <w:sz w:val="20"/>
        </w:rPr>
      </w:pPr>
      <w:r w:rsidRPr="00D033C0">
        <w:rPr>
          <w:rFonts w:ascii="Verdana" w:hAnsi="Verdana"/>
          <w:sz w:val="20"/>
        </w:rPr>
        <w:t>Expresar su preocupación por el incumplimiento estatal del deber de informar sobre el cumplimiento de la</w:t>
      </w:r>
      <w:r w:rsidR="00ED7332" w:rsidRPr="00D033C0">
        <w:rPr>
          <w:rFonts w:ascii="Verdana" w:hAnsi="Verdana"/>
          <w:sz w:val="20"/>
        </w:rPr>
        <w:t>s</w:t>
      </w:r>
      <w:r w:rsidRPr="00D033C0">
        <w:rPr>
          <w:rFonts w:ascii="Verdana" w:hAnsi="Verdana"/>
          <w:sz w:val="20"/>
        </w:rPr>
        <w:t xml:space="preserve"> </w:t>
      </w:r>
      <w:r w:rsidR="00AD7CD6" w:rsidRPr="00D033C0">
        <w:rPr>
          <w:rFonts w:ascii="Verdana" w:hAnsi="Verdana"/>
          <w:sz w:val="20"/>
        </w:rPr>
        <w:t>S</w:t>
      </w:r>
      <w:r w:rsidRPr="00D033C0">
        <w:rPr>
          <w:rFonts w:ascii="Verdana" w:hAnsi="Verdana"/>
          <w:sz w:val="20"/>
        </w:rPr>
        <w:t>entencia</w:t>
      </w:r>
      <w:r w:rsidR="00ED7332" w:rsidRPr="00D033C0">
        <w:rPr>
          <w:rFonts w:ascii="Verdana" w:hAnsi="Verdana"/>
          <w:sz w:val="20"/>
        </w:rPr>
        <w:t>s</w:t>
      </w:r>
      <w:r w:rsidRPr="00D033C0">
        <w:rPr>
          <w:rFonts w:ascii="Verdana" w:hAnsi="Verdana"/>
          <w:sz w:val="20"/>
        </w:rPr>
        <w:t xml:space="preserve"> y por la falta de avances en el cumplimiento de las reparaciones ordenadas en la</w:t>
      </w:r>
      <w:r w:rsidR="00ED7332" w:rsidRPr="00D033C0">
        <w:rPr>
          <w:rFonts w:ascii="Verdana" w:hAnsi="Verdana"/>
          <w:sz w:val="20"/>
        </w:rPr>
        <w:t>s</w:t>
      </w:r>
      <w:r w:rsidRPr="00D033C0">
        <w:rPr>
          <w:rFonts w:ascii="Verdana" w:hAnsi="Verdana"/>
          <w:sz w:val="20"/>
        </w:rPr>
        <w:t xml:space="preserve"> misma</w:t>
      </w:r>
      <w:r w:rsidR="00ED7332" w:rsidRPr="00D033C0">
        <w:rPr>
          <w:rFonts w:ascii="Verdana" w:hAnsi="Verdana"/>
          <w:sz w:val="20"/>
        </w:rPr>
        <w:t>s</w:t>
      </w:r>
      <w:r w:rsidRPr="00D033C0">
        <w:rPr>
          <w:rFonts w:ascii="Verdana" w:hAnsi="Verdana"/>
          <w:sz w:val="20"/>
        </w:rPr>
        <w:t xml:space="preserve">. </w:t>
      </w:r>
    </w:p>
    <w:p w14:paraId="3F0188B8" w14:textId="77777777" w:rsidR="004E314E" w:rsidRDefault="004E314E" w:rsidP="00220B4A">
      <w:pPr>
        <w:ind w:right="-93"/>
        <w:jc w:val="both"/>
        <w:rPr>
          <w:rFonts w:ascii="Verdana" w:hAnsi="Verdana"/>
          <w:sz w:val="20"/>
          <w:lang w:val="es-ES"/>
        </w:rPr>
      </w:pPr>
    </w:p>
    <w:p w14:paraId="599436FE" w14:textId="343DB4A8" w:rsidR="00127593" w:rsidRPr="005F525D" w:rsidRDefault="00127593" w:rsidP="00220B4A">
      <w:pPr>
        <w:numPr>
          <w:ilvl w:val="0"/>
          <w:numId w:val="7"/>
        </w:numPr>
        <w:ind w:left="0" w:right="-93" w:hanging="11"/>
        <w:jc w:val="both"/>
        <w:rPr>
          <w:rFonts w:ascii="Verdana" w:hAnsi="Verdana"/>
          <w:sz w:val="20"/>
          <w:lang w:val="es-ES"/>
        </w:rPr>
      </w:pPr>
      <w:r w:rsidRPr="005F525D">
        <w:rPr>
          <w:rFonts w:ascii="Verdana" w:hAnsi="Verdana"/>
          <w:sz w:val="20"/>
          <w:lang w:val="es-ES"/>
        </w:rPr>
        <w:t>Mantener abierto el procedimiento de supervisión de cumplimiento respecto de todas las medidas de reparación ordenadas en las Sentencias de estos dos casos</w:t>
      </w:r>
      <w:r w:rsidR="00ED7332">
        <w:rPr>
          <w:rFonts w:ascii="Verdana" w:hAnsi="Verdana"/>
          <w:sz w:val="20"/>
          <w:lang w:val="es-ES"/>
        </w:rPr>
        <w:t>.</w:t>
      </w:r>
    </w:p>
    <w:p w14:paraId="260E8797" w14:textId="77777777" w:rsidR="00127593" w:rsidRPr="00C42FEB" w:rsidRDefault="00127593" w:rsidP="00220B4A">
      <w:pPr>
        <w:jc w:val="both"/>
        <w:rPr>
          <w:rFonts w:ascii="Verdana" w:hAnsi="Verdana"/>
          <w:sz w:val="20"/>
          <w:lang w:val="es-ES"/>
        </w:rPr>
      </w:pPr>
    </w:p>
    <w:p w14:paraId="1674731D" w14:textId="498226A4" w:rsidR="00127593" w:rsidRPr="005F525D" w:rsidRDefault="00127593" w:rsidP="00220B4A">
      <w:pPr>
        <w:numPr>
          <w:ilvl w:val="0"/>
          <w:numId w:val="7"/>
        </w:numPr>
        <w:ind w:left="0" w:hanging="11"/>
        <w:jc w:val="both"/>
        <w:rPr>
          <w:rFonts w:ascii="Verdana" w:hAnsi="Verdana"/>
          <w:sz w:val="20"/>
          <w:lang w:val="es-MX"/>
        </w:rPr>
      </w:pPr>
      <w:r w:rsidRPr="005F525D">
        <w:rPr>
          <w:rFonts w:ascii="Verdana" w:hAnsi="Verdana"/>
          <w:sz w:val="20"/>
        </w:rPr>
        <w:t xml:space="preserve">Disponer que </w:t>
      </w:r>
      <w:r w:rsidR="00ED7332">
        <w:rPr>
          <w:rFonts w:ascii="Verdana" w:hAnsi="Verdana"/>
          <w:sz w:val="20"/>
        </w:rPr>
        <w:t>Venezuela</w:t>
      </w:r>
      <w:r w:rsidRPr="005F525D">
        <w:rPr>
          <w:rFonts w:ascii="Verdana" w:hAnsi="Verdana"/>
          <w:sz w:val="20"/>
        </w:rPr>
        <w:t xml:space="preserve"> adopte, en definitiva y a la mayor brevedad posible, las medidas que sean necesarias para dar efectivo y pronto </w:t>
      </w:r>
      <w:r w:rsidR="00ED7332">
        <w:rPr>
          <w:rFonts w:ascii="Verdana" w:hAnsi="Verdana"/>
          <w:sz w:val="20"/>
        </w:rPr>
        <w:t>cumplimiento</w:t>
      </w:r>
      <w:r w:rsidR="00ED7332" w:rsidRPr="005F525D">
        <w:rPr>
          <w:rFonts w:ascii="Verdana" w:hAnsi="Verdana"/>
          <w:sz w:val="20"/>
        </w:rPr>
        <w:t xml:space="preserve"> </w:t>
      </w:r>
      <w:r w:rsidRPr="005F525D">
        <w:rPr>
          <w:rFonts w:ascii="Verdana" w:hAnsi="Verdana"/>
          <w:sz w:val="20"/>
        </w:rPr>
        <w:t xml:space="preserve">a </w:t>
      </w:r>
      <w:r w:rsidR="00ED7332">
        <w:rPr>
          <w:rFonts w:ascii="Verdana" w:hAnsi="Verdana"/>
          <w:sz w:val="20"/>
        </w:rPr>
        <w:t>las reparaciones ordenadas en</w:t>
      </w:r>
      <w:r w:rsidRPr="005F525D">
        <w:rPr>
          <w:rFonts w:ascii="Verdana" w:hAnsi="Verdana"/>
          <w:sz w:val="20"/>
        </w:rPr>
        <w:t xml:space="preserve"> las Sentencias dictadas en </w:t>
      </w:r>
      <w:r w:rsidR="00ED7332">
        <w:rPr>
          <w:rFonts w:ascii="Verdana" w:hAnsi="Verdana"/>
          <w:sz w:val="20"/>
        </w:rPr>
        <w:t>estos dos</w:t>
      </w:r>
      <w:r w:rsidRPr="005F525D">
        <w:rPr>
          <w:rFonts w:ascii="Verdana" w:hAnsi="Verdana"/>
          <w:sz w:val="20"/>
        </w:rPr>
        <w:t xml:space="preserve"> casos, de acuerdo con lo considerado en la presente Resolución, y con lo estipulado en el artículo 68.1 de la Convención Americana sobre Derechos Humanos.</w:t>
      </w:r>
    </w:p>
    <w:p w14:paraId="0C70EF6A" w14:textId="77777777" w:rsidR="00127593" w:rsidRPr="005F525D" w:rsidRDefault="00127593" w:rsidP="00220B4A">
      <w:pPr>
        <w:jc w:val="both"/>
        <w:rPr>
          <w:rFonts w:ascii="Verdana" w:hAnsi="Verdana"/>
          <w:sz w:val="20"/>
          <w:lang w:val="es-MX"/>
        </w:rPr>
      </w:pPr>
    </w:p>
    <w:p w14:paraId="639D5ABF" w14:textId="03A48470" w:rsidR="00127593" w:rsidRPr="005F525D" w:rsidRDefault="00127593" w:rsidP="00220B4A">
      <w:pPr>
        <w:numPr>
          <w:ilvl w:val="0"/>
          <w:numId w:val="7"/>
        </w:numPr>
        <w:ind w:left="0" w:hanging="11"/>
        <w:jc w:val="both"/>
        <w:rPr>
          <w:rFonts w:ascii="Verdana" w:hAnsi="Verdana"/>
          <w:sz w:val="20"/>
          <w:lang w:val="es-MX"/>
        </w:rPr>
      </w:pPr>
      <w:r w:rsidRPr="005F525D">
        <w:rPr>
          <w:rFonts w:ascii="Verdana" w:hAnsi="Verdana"/>
          <w:sz w:val="20"/>
          <w:lang w:val="es-CL"/>
        </w:rPr>
        <w:t xml:space="preserve">Incorporar en el próximo Informe Anual de la Corte Interamericana de Derechos Humanos lo decidido en la presente Resolución con el fin de </w:t>
      </w:r>
      <w:r w:rsidRPr="005F525D">
        <w:rPr>
          <w:rFonts w:ascii="Verdana" w:hAnsi="Verdana"/>
          <w:sz w:val="20"/>
        </w:rPr>
        <w:t xml:space="preserve">informar a la Asamblea General de la Organización de los Estados Americanos, en aplicación del artículo 65 de la Convención Americana sobre Derechos Humanos, sobre el incumplimiento por parte del Estado de sus obligaciones señaladas en los puntos resolutivos </w:t>
      </w:r>
      <w:r w:rsidR="004E314E">
        <w:rPr>
          <w:rFonts w:ascii="Verdana" w:hAnsi="Verdana"/>
          <w:sz w:val="20"/>
        </w:rPr>
        <w:t>1 y 2</w:t>
      </w:r>
      <w:r w:rsidRPr="005F525D">
        <w:rPr>
          <w:rFonts w:ascii="Verdana" w:hAnsi="Verdana"/>
          <w:sz w:val="20"/>
        </w:rPr>
        <w:t xml:space="preserve"> de la presente Resolución. </w:t>
      </w:r>
    </w:p>
    <w:p w14:paraId="26AF35CB" w14:textId="77777777" w:rsidR="00127593" w:rsidRDefault="00127593" w:rsidP="00220B4A">
      <w:pPr>
        <w:jc w:val="both"/>
        <w:rPr>
          <w:rFonts w:ascii="Verdana" w:hAnsi="Verdana"/>
          <w:sz w:val="20"/>
          <w:lang w:val="es-MX"/>
        </w:rPr>
      </w:pPr>
    </w:p>
    <w:p w14:paraId="2AAF6F82" w14:textId="104718C4" w:rsidR="00127593" w:rsidRDefault="00127593" w:rsidP="00220B4A">
      <w:pPr>
        <w:numPr>
          <w:ilvl w:val="0"/>
          <w:numId w:val="7"/>
        </w:numPr>
        <w:ind w:left="0" w:hanging="11"/>
        <w:jc w:val="both"/>
        <w:rPr>
          <w:rFonts w:ascii="Verdana" w:hAnsi="Verdana"/>
          <w:sz w:val="20"/>
          <w:lang w:val="es-MX"/>
        </w:rPr>
      </w:pPr>
      <w:r>
        <w:rPr>
          <w:rFonts w:ascii="Verdana" w:hAnsi="Verdana"/>
          <w:sz w:val="20"/>
        </w:rPr>
        <w:t xml:space="preserve">Disponer que la Secretaría de la Corte notifique la presente Resolución al Estado, a los representantes de las víctimas </w:t>
      </w:r>
      <w:r w:rsidR="00ED7332">
        <w:rPr>
          <w:rFonts w:ascii="Verdana" w:hAnsi="Verdana"/>
          <w:sz w:val="20"/>
        </w:rPr>
        <w:t xml:space="preserve">de ambos casos </w:t>
      </w:r>
      <w:r>
        <w:rPr>
          <w:rFonts w:ascii="Verdana" w:hAnsi="Verdana"/>
          <w:sz w:val="20"/>
        </w:rPr>
        <w:t>y a la Comisión Interamericana de Derechos Humanos.</w:t>
      </w:r>
    </w:p>
    <w:p w14:paraId="2755A200" w14:textId="77777777" w:rsidR="00127593" w:rsidRPr="004E314E" w:rsidRDefault="00127593" w:rsidP="00220B4A">
      <w:pPr>
        <w:jc w:val="both"/>
        <w:rPr>
          <w:rFonts w:ascii="Times New Roman" w:hAnsi="Times New Roman"/>
          <w:szCs w:val="24"/>
          <w:lang w:val="es-MX" w:eastAsia="es-CR"/>
        </w:rPr>
      </w:pPr>
    </w:p>
    <w:bookmarkEnd w:id="1"/>
    <w:p w14:paraId="0802C865" w14:textId="149FCF66" w:rsidR="006F7CF7" w:rsidRDefault="006F7CF7" w:rsidP="00BB5E68">
      <w:pPr>
        <w:pStyle w:val="Prrafodelista"/>
        <w:ind w:left="0"/>
        <w:jc w:val="both"/>
        <w:rPr>
          <w:rFonts w:ascii="Times New Roman" w:hAnsi="Times New Roman"/>
          <w:szCs w:val="24"/>
          <w:lang w:val="es-MX" w:eastAsia="es-CR"/>
        </w:rPr>
      </w:pPr>
    </w:p>
    <w:p w14:paraId="51E441E3" w14:textId="3CC08665" w:rsidR="007D2401" w:rsidRDefault="007D2401" w:rsidP="00BB5E68">
      <w:pPr>
        <w:pStyle w:val="Prrafodelista"/>
        <w:ind w:left="0"/>
        <w:jc w:val="both"/>
        <w:rPr>
          <w:rFonts w:ascii="Times New Roman" w:hAnsi="Times New Roman"/>
          <w:szCs w:val="24"/>
          <w:lang w:val="es-MX" w:eastAsia="es-CR"/>
        </w:rPr>
      </w:pPr>
    </w:p>
    <w:p w14:paraId="40F09DDE" w14:textId="69E52AEF" w:rsidR="007D2401" w:rsidRDefault="007D2401" w:rsidP="00BB5E68">
      <w:pPr>
        <w:pStyle w:val="Prrafodelista"/>
        <w:ind w:left="0"/>
        <w:jc w:val="both"/>
        <w:rPr>
          <w:rFonts w:ascii="Times New Roman" w:hAnsi="Times New Roman"/>
          <w:szCs w:val="24"/>
          <w:lang w:val="es-MX" w:eastAsia="es-CR"/>
        </w:rPr>
      </w:pPr>
    </w:p>
    <w:p w14:paraId="17ACF223" w14:textId="60D1DDFD" w:rsidR="007D2401" w:rsidRDefault="007D2401" w:rsidP="00BB5E68">
      <w:pPr>
        <w:pStyle w:val="Prrafodelista"/>
        <w:ind w:left="0"/>
        <w:jc w:val="both"/>
        <w:rPr>
          <w:rFonts w:ascii="Times New Roman" w:hAnsi="Times New Roman"/>
          <w:szCs w:val="24"/>
          <w:lang w:val="es-MX" w:eastAsia="es-CR"/>
        </w:rPr>
      </w:pPr>
    </w:p>
    <w:p w14:paraId="6E3E125E" w14:textId="5E5389B9" w:rsidR="007D2401" w:rsidRDefault="007D2401" w:rsidP="00BB5E68">
      <w:pPr>
        <w:pStyle w:val="Prrafodelista"/>
        <w:ind w:left="0"/>
        <w:jc w:val="both"/>
        <w:rPr>
          <w:rFonts w:ascii="Times New Roman" w:hAnsi="Times New Roman"/>
          <w:szCs w:val="24"/>
          <w:lang w:val="es-MX" w:eastAsia="es-CR"/>
        </w:rPr>
      </w:pPr>
    </w:p>
    <w:p w14:paraId="057C70B8" w14:textId="77777777" w:rsidR="007D2401" w:rsidRDefault="007D2401" w:rsidP="007D2401">
      <w:pPr>
        <w:keepNext/>
        <w:jc w:val="both"/>
        <w:outlineLvl w:val="0"/>
        <w:rPr>
          <w:rFonts w:ascii="Verdana" w:hAnsi="Verdana" w:cs="Arial"/>
          <w:sz w:val="20"/>
        </w:rPr>
      </w:pPr>
      <w:r>
        <w:rPr>
          <w:rFonts w:ascii="Verdana" w:hAnsi="Verdana" w:cs="Courier New"/>
          <w:noProof/>
          <w:sz w:val="20"/>
          <w:lang w:val="es-AR"/>
        </w:rPr>
        <w:lastRenderedPageBreak/>
        <w:t xml:space="preserve">Corte IDH. Corte IDH. </w:t>
      </w:r>
      <w:r>
        <w:rPr>
          <w:rFonts w:ascii="Verdana" w:hAnsi="Verdana"/>
          <w:bCs/>
          <w:i/>
          <w:sz w:val="20"/>
        </w:rPr>
        <w:t xml:space="preserve">Casos Díaz Peña y Uzcátegui y otros Vs. Venezuela. </w:t>
      </w:r>
      <w:r>
        <w:rPr>
          <w:rFonts w:ascii="Verdana" w:hAnsi="Verdana" w:cs="Arial"/>
          <w:sz w:val="20"/>
        </w:rPr>
        <w:t xml:space="preserve">Supervisión de Cumplimiento de Sentencia. </w:t>
      </w:r>
      <w:r>
        <w:rPr>
          <w:rFonts w:ascii="Verdana" w:hAnsi="Verdana"/>
          <w:sz w:val="20"/>
          <w:lang w:val="es-ES"/>
        </w:rPr>
        <w:t>Resolución de la Corte Interamericana de Derechos Humanos de 22 de noviembre</w:t>
      </w:r>
      <w:r>
        <w:rPr>
          <w:rFonts w:ascii="Verdana" w:hAnsi="Verdana"/>
          <w:sz w:val="20"/>
        </w:rPr>
        <w:t xml:space="preserve"> de 2019</w:t>
      </w:r>
      <w:r>
        <w:rPr>
          <w:rFonts w:ascii="Verdana" w:hAnsi="Verdana"/>
          <w:sz w:val="20"/>
          <w:lang w:val="es-ES"/>
        </w:rPr>
        <w:t xml:space="preserve">. </w:t>
      </w:r>
    </w:p>
    <w:p w14:paraId="11FCE7C9" w14:textId="77777777" w:rsidR="007D2401" w:rsidRPr="003D2123" w:rsidRDefault="007D2401" w:rsidP="007D2401">
      <w:pPr>
        <w:rPr>
          <w:rFonts w:ascii="Verdana" w:hAnsi="Verdana"/>
          <w:sz w:val="20"/>
        </w:rPr>
      </w:pPr>
    </w:p>
    <w:p w14:paraId="2E54D28D" w14:textId="77777777" w:rsidR="007D2401" w:rsidRDefault="007D2401" w:rsidP="007D2401">
      <w:pPr>
        <w:rPr>
          <w:rFonts w:ascii="Verdana" w:hAnsi="Verdana"/>
          <w:sz w:val="20"/>
          <w:lang w:val="es-ES"/>
        </w:rPr>
      </w:pPr>
    </w:p>
    <w:p w14:paraId="071E3E79" w14:textId="77777777" w:rsidR="007D2401" w:rsidRDefault="007D2401" w:rsidP="007D2401">
      <w:pPr>
        <w:rPr>
          <w:rFonts w:ascii="Verdana" w:hAnsi="Verdana"/>
          <w:sz w:val="20"/>
          <w:lang w:val="es-ES"/>
        </w:rPr>
      </w:pPr>
    </w:p>
    <w:p w14:paraId="2E4F53DE" w14:textId="77777777" w:rsidR="007D2401" w:rsidRDefault="007D2401" w:rsidP="007D2401">
      <w:pPr>
        <w:rPr>
          <w:rFonts w:ascii="Verdana" w:hAnsi="Verdana"/>
          <w:sz w:val="20"/>
          <w:lang w:val="es-ES"/>
        </w:rPr>
      </w:pPr>
    </w:p>
    <w:p w14:paraId="3451300F" w14:textId="77777777" w:rsidR="007D2401" w:rsidRDefault="007D2401" w:rsidP="007D2401">
      <w:pPr>
        <w:rPr>
          <w:rFonts w:ascii="Verdana" w:hAnsi="Verdana"/>
          <w:sz w:val="20"/>
          <w:lang w:val="es-ES"/>
        </w:rPr>
      </w:pPr>
    </w:p>
    <w:p w14:paraId="29AD8312" w14:textId="77777777" w:rsidR="007D2401" w:rsidRDefault="007D2401" w:rsidP="007D2401">
      <w:pPr>
        <w:jc w:val="center"/>
        <w:rPr>
          <w:rFonts w:ascii="Verdana" w:hAnsi="Verdana"/>
          <w:sz w:val="20"/>
          <w:lang w:val="pt-BR"/>
        </w:rPr>
      </w:pPr>
      <w:r>
        <w:rPr>
          <w:rFonts w:ascii="Verdana" w:hAnsi="Verdana"/>
          <w:sz w:val="20"/>
          <w:lang w:val="pt-BR"/>
        </w:rPr>
        <w:t xml:space="preserve">Eduardo Ferrer </w:t>
      </w:r>
      <w:proofErr w:type="spellStart"/>
      <w:r>
        <w:rPr>
          <w:rFonts w:ascii="Verdana" w:hAnsi="Verdana"/>
          <w:sz w:val="20"/>
          <w:lang w:val="pt-BR"/>
        </w:rPr>
        <w:t>Mac-Gregor</w:t>
      </w:r>
      <w:proofErr w:type="spellEnd"/>
      <w:r>
        <w:rPr>
          <w:rFonts w:ascii="Verdana" w:hAnsi="Verdana"/>
          <w:sz w:val="20"/>
          <w:lang w:val="pt-BR"/>
        </w:rPr>
        <w:t xml:space="preserve"> </w:t>
      </w:r>
      <w:proofErr w:type="spellStart"/>
      <w:r>
        <w:rPr>
          <w:rFonts w:ascii="Verdana" w:hAnsi="Verdana"/>
          <w:sz w:val="20"/>
          <w:lang w:val="pt-BR"/>
        </w:rPr>
        <w:t>Poisot</w:t>
      </w:r>
      <w:proofErr w:type="spellEnd"/>
      <w:r>
        <w:rPr>
          <w:rFonts w:ascii="Verdana" w:hAnsi="Verdana"/>
          <w:sz w:val="20"/>
          <w:lang w:val="pt-BR"/>
        </w:rPr>
        <w:t xml:space="preserve"> </w:t>
      </w:r>
    </w:p>
    <w:p w14:paraId="008A184B" w14:textId="77777777" w:rsidR="007D2401" w:rsidRDefault="007D2401" w:rsidP="007D2401">
      <w:pPr>
        <w:jc w:val="center"/>
        <w:rPr>
          <w:rFonts w:ascii="Verdana" w:hAnsi="Verdana"/>
          <w:sz w:val="20"/>
          <w:lang w:val="pt-BR"/>
        </w:rPr>
      </w:pPr>
      <w:r>
        <w:rPr>
          <w:rFonts w:ascii="Verdana" w:hAnsi="Verdana"/>
          <w:sz w:val="20"/>
          <w:lang w:val="pt-BR"/>
        </w:rPr>
        <w:t>Presidente</w:t>
      </w:r>
    </w:p>
    <w:p w14:paraId="4CD2A50D" w14:textId="77777777" w:rsidR="007D2401" w:rsidRDefault="007D2401" w:rsidP="007D2401">
      <w:pPr>
        <w:jc w:val="both"/>
        <w:rPr>
          <w:rFonts w:ascii="Verdana" w:hAnsi="Verdana"/>
          <w:sz w:val="20"/>
          <w:lang w:val="pt-BR"/>
        </w:rPr>
      </w:pPr>
    </w:p>
    <w:p w14:paraId="4812B938" w14:textId="77777777" w:rsidR="007D2401" w:rsidRDefault="007D2401" w:rsidP="007D2401">
      <w:pPr>
        <w:jc w:val="both"/>
        <w:rPr>
          <w:rFonts w:ascii="Verdana" w:hAnsi="Verdana"/>
          <w:sz w:val="20"/>
          <w:lang w:val="pt-BR"/>
        </w:rPr>
      </w:pPr>
    </w:p>
    <w:p w14:paraId="115861F4" w14:textId="77777777" w:rsidR="007D2401" w:rsidRDefault="007D2401" w:rsidP="007D2401">
      <w:pPr>
        <w:jc w:val="both"/>
        <w:rPr>
          <w:rFonts w:ascii="Verdana" w:hAnsi="Verdana"/>
          <w:sz w:val="20"/>
          <w:lang w:val="pt-BR"/>
        </w:rPr>
      </w:pPr>
    </w:p>
    <w:p w14:paraId="06B2817F" w14:textId="77777777" w:rsidR="007D2401" w:rsidRDefault="007D2401" w:rsidP="007D2401">
      <w:pPr>
        <w:jc w:val="both"/>
        <w:rPr>
          <w:rFonts w:ascii="Verdana" w:hAnsi="Verdana"/>
          <w:sz w:val="20"/>
          <w:lang w:val="pt-BR"/>
        </w:rPr>
      </w:pPr>
    </w:p>
    <w:p w14:paraId="091E8CED" w14:textId="77777777" w:rsidR="007D2401" w:rsidRDefault="007D2401" w:rsidP="007D2401">
      <w:pPr>
        <w:rPr>
          <w:rFonts w:ascii="Verdana" w:hAnsi="Verdana"/>
          <w:sz w:val="20"/>
          <w:lang w:val="pt-BR"/>
        </w:rPr>
      </w:pPr>
      <w:r>
        <w:rPr>
          <w:rFonts w:ascii="Verdana" w:hAnsi="Verdana"/>
          <w:sz w:val="20"/>
          <w:lang w:val="pt-BR"/>
        </w:rPr>
        <w:t xml:space="preserve">Eduardo </w:t>
      </w:r>
      <w:proofErr w:type="spellStart"/>
      <w:r>
        <w:rPr>
          <w:rFonts w:ascii="Verdana" w:hAnsi="Verdana"/>
          <w:sz w:val="20"/>
          <w:lang w:val="pt-BR"/>
        </w:rPr>
        <w:t>Vio</w:t>
      </w:r>
      <w:proofErr w:type="spellEnd"/>
      <w:r>
        <w:rPr>
          <w:rFonts w:ascii="Verdana" w:hAnsi="Verdana"/>
          <w:sz w:val="20"/>
          <w:lang w:val="pt-BR"/>
        </w:rPr>
        <w:t xml:space="preserve"> Grossi</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Humberto </w:t>
      </w:r>
      <w:proofErr w:type="spellStart"/>
      <w:r>
        <w:rPr>
          <w:rFonts w:ascii="Verdana" w:hAnsi="Verdana"/>
          <w:sz w:val="20"/>
          <w:lang w:val="pt-BR"/>
        </w:rPr>
        <w:t>Antonio</w:t>
      </w:r>
      <w:proofErr w:type="spellEnd"/>
      <w:r>
        <w:rPr>
          <w:rFonts w:ascii="Verdana" w:hAnsi="Verdana"/>
          <w:sz w:val="20"/>
          <w:lang w:val="pt-BR"/>
        </w:rPr>
        <w:t xml:space="preserve"> </w:t>
      </w:r>
      <w:proofErr w:type="spellStart"/>
      <w:r>
        <w:rPr>
          <w:rFonts w:ascii="Verdana" w:hAnsi="Verdana"/>
          <w:sz w:val="20"/>
          <w:lang w:val="pt-BR"/>
        </w:rPr>
        <w:t>Sierra</w:t>
      </w:r>
      <w:proofErr w:type="spellEnd"/>
      <w:r>
        <w:rPr>
          <w:rFonts w:ascii="Verdana" w:hAnsi="Verdana"/>
          <w:sz w:val="20"/>
          <w:lang w:val="pt-BR"/>
        </w:rPr>
        <w:t xml:space="preserve"> Porto</w:t>
      </w:r>
    </w:p>
    <w:p w14:paraId="741124E1" w14:textId="77777777" w:rsidR="007D2401" w:rsidRDefault="007D2401" w:rsidP="007D2401">
      <w:pPr>
        <w:rPr>
          <w:rFonts w:ascii="Verdana" w:hAnsi="Verdana"/>
          <w:sz w:val="20"/>
          <w:lang w:val="pt-BR"/>
        </w:rPr>
      </w:pPr>
    </w:p>
    <w:p w14:paraId="50C0C233" w14:textId="77777777" w:rsidR="007D2401" w:rsidRDefault="007D2401" w:rsidP="007D2401">
      <w:pPr>
        <w:rPr>
          <w:rFonts w:ascii="Verdana" w:hAnsi="Verdana"/>
          <w:sz w:val="20"/>
          <w:lang w:val="pt-BR"/>
        </w:rPr>
      </w:pPr>
    </w:p>
    <w:p w14:paraId="0DE6FF1D" w14:textId="77777777" w:rsidR="007D2401" w:rsidRDefault="007D2401" w:rsidP="007D2401">
      <w:pPr>
        <w:rPr>
          <w:rFonts w:ascii="Verdana" w:hAnsi="Verdana"/>
          <w:sz w:val="20"/>
          <w:lang w:val="pt-BR"/>
        </w:rPr>
      </w:pPr>
    </w:p>
    <w:p w14:paraId="71D5B42E" w14:textId="77777777" w:rsidR="007D2401" w:rsidRDefault="007D2401" w:rsidP="007D2401">
      <w:pPr>
        <w:jc w:val="both"/>
        <w:rPr>
          <w:rFonts w:ascii="Verdana" w:hAnsi="Verdana"/>
          <w:sz w:val="20"/>
          <w:lang w:val="pt-BR"/>
        </w:rPr>
      </w:pPr>
    </w:p>
    <w:p w14:paraId="2E6E2ED7" w14:textId="77777777" w:rsidR="007D2401" w:rsidRDefault="007D2401" w:rsidP="007D2401">
      <w:pPr>
        <w:rPr>
          <w:rFonts w:ascii="Verdana" w:hAnsi="Verdana"/>
          <w:sz w:val="20"/>
          <w:lang w:val="pt-BR"/>
        </w:rPr>
      </w:pPr>
      <w:r>
        <w:rPr>
          <w:rFonts w:ascii="Verdana" w:hAnsi="Verdana"/>
          <w:sz w:val="20"/>
          <w:lang w:val="pt-BR"/>
        </w:rPr>
        <w:t xml:space="preserve">Elizabeth </w:t>
      </w:r>
      <w:proofErr w:type="spellStart"/>
      <w:r>
        <w:rPr>
          <w:rFonts w:ascii="Verdana" w:hAnsi="Verdana"/>
          <w:sz w:val="20"/>
          <w:lang w:val="pt-BR"/>
        </w:rPr>
        <w:t>Odio</w:t>
      </w:r>
      <w:proofErr w:type="spellEnd"/>
      <w:r>
        <w:rPr>
          <w:rFonts w:ascii="Verdana" w:hAnsi="Verdana"/>
          <w:sz w:val="20"/>
          <w:lang w:val="pt-BR"/>
        </w:rPr>
        <w:t xml:space="preserve"> Benito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proofErr w:type="gramStart"/>
      <w:r>
        <w:rPr>
          <w:rFonts w:ascii="Verdana" w:hAnsi="Verdana"/>
          <w:sz w:val="20"/>
          <w:lang w:val="pt-BR"/>
        </w:rPr>
        <w:tab/>
        <w:t xml:space="preserve">  Eugenio</w:t>
      </w:r>
      <w:proofErr w:type="gramEnd"/>
      <w:r>
        <w:rPr>
          <w:rFonts w:ascii="Verdana" w:hAnsi="Verdana"/>
          <w:sz w:val="20"/>
          <w:lang w:val="pt-BR"/>
        </w:rPr>
        <w:t xml:space="preserve"> </w:t>
      </w:r>
      <w:proofErr w:type="spellStart"/>
      <w:r>
        <w:rPr>
          <w:rFonts w:ascii="Verdana" w:hAnsi="Verdana"/>
          <w:sz w:val="20"/>
          <w:lang w:val="pt-BR"/>
        </w:rPr>
        <w:t>Raúl</w:t>
      </w:r>
      <w:proofErr w:type="spellEnd"/>
      <w:r>
        <w:rPr>
          <w:rFonts w:ascii="Verdana" w:hAnsi="Verdana"/>
          <w:sz w:val="20"/>
          <w:lang w:val="pt-BR"/>
        </w:rPr>
        <w:t xml:space="preserve"> </w:t>
      </w:r>
      <w:proofErr w:type="spellStart"/>
      <w:r>
        <w:rPr>
          <w:rFonts w:ascii="Verdana" w:hAnsi="Verdana"/>
          <w:sz w:val="20"/>
          <w:lang w:val="pt-BR"/>
        </w:rPr>
        <w:t>Zaffaroni</w:t>
      </w:r>
      <w:proofErr w:type="spellEnd"/>
    </w:p>
    <w:p w14:paraId="5407B7C2" w14:textId="77777777" w:rsidR="007D2401" w:rsidRDefault="007D2401" w:rsidP="007D2401">
      <w:pPr>
        <w:rPr>
          <w:rFonts w:ascii="Verdana" w:hAnsi="Verdana"/>
          <w:sz w:val="20"/>
          <w:lang w:val="pt-BR"/>
        </w:rPr>
      </w:pPr>
    </w:p>
    <w:p w14:paraId="47217C85" w14:textId="77777777" w:rsidR="007D2401" w:rsidRDefault="007D2401" w:rsidP="007D2401">
      <w:pPr>
        <w:rPr>
          <w:rFonts w:ascii="Verdana" w:hAnsi="Verdana"/>
          <w:sz w:val="20"/>
          <w:lang w:val="pt-BR"/>
        </w:rPr>
      </w:pPr>
    </w:p>
    <w:p w14:paraId="6AB2DB7F" w14:textId="77777777" w:rsidR="007D2401" w:rsidRDefault="007D2401" w:rsidP="007D2401">
      <w:pPr>
        <w:rPr>
          <w:rFonts w:ascii="Verdana" w:hAnsi="Verdana"/>
          <w:sz w:val="20"/>
          <w:lang w:val="pt-BR"/>
        </w:rPr>
      </w:pPr>
    </w:p>
    <w:p w14:paraId="6A9B8787" w14:textId="77777777" w:rsidR="007D2401" w:rsidRDefault="007D2401" w:rsidP="007D2401">
      <w:pPr>
        <w:rPr>
          <w:rFonts w:ascii="Verdana" w:hAnsi="Verdana"/>
          <w:sz w:val="20"/>
          <w:lang w:val="pt-BR"/>
        </w:rPr>
      </w:pPr>
    </w:p>
    <w:p w14:paraId="6BAB3190" w14:textId="77777777" w:rsidR="007D2401" w:rsidRDefault="007D2401" w:rsidP="007D2401">
      <w:pPr>
        <w:rPr>
          <w:rFonts w:ascii="Verdana" w:hAnsi="Verdana"/>
          <w:sz w:val="20"/>
        </w:rPr>
      </w:pPr>
      <w:r>
        <w:rPr>
          <w:rFonts w:ascii="Verdana" w:hAnsi="Verdana"/>
          <w:sz w:val="20"/>
          <w:lang w:val="pt-BR"/>
        </w:rPr>
        <w:t xml:space="preserve">L. </w:t>
      </w:r>
      <w:proofErr w:type="spellStart"/>
      <w:r>
        <w:rPr>
          <w:rFonts w:ascii="Verdana" w:hAnsi="Verdana"/>
          <w:sz w:val="20"/>
          <w:lang w:val="pt-BR"/>
        </w:rPr>
        <w:t>Patricio</w:t>
      </w:r>
      <w:proofErr w:type="spellEnd"/>
      <w:r>
        <w:rPr>
          <w:rFonts w:ascii="Verdana" w:hAnsi="Verdana"/>
          <w:sz w:val="20"/>
          <w:lang w:val="pt-BR"/>
        </w:rPr>
        <w:t xml:space="preserve"> </w:t>
      </w:r>
      <w:proofErr w:type="spellStart"/>
      <w:r>
        <w:rPr>
          <w:rFonts w:ascii="Verdana" w:hAnsi="Verdana"/>
          <w:sz w:val="20"/>
          <w:lang w:val="pt-BR"/>
        </w:rPr>
        <w:t>Pazmiño</w:t>
      </w:r>
      <w:proofErr w:type="spellEnd"/>
      <w:r>
        <w:rPr>
          <w:rFonts w:ascii="Verdana" w:hAnsi="Verdana"/>
          <w:sz w:val="20"/>
          <w:lang w:val="pt-BR"/>
        </w:rPr>
        <w:t xml:space="preserve"> Freire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Pr>
          <w:rFonts w:ascii="Verdana" w:hAnsi="Verdana"/>
          <w:sz w:val="20"/>
        </w:rPr>
        <w:t>Ricardo C. Pérez Manrique</w:t>
      </w:r>
    </w:p>
    <w:p w14:paraId="21995441" w14:textId="77777777" w:rsidR="007D2401" w:rsidRDefault="007D2401" w:rsidP="007D2401">
      <w:pPr>
        <w:jc w:val="both"/>
        <w:rPr>
          <w:rFonts w:ascii="Verdana" w:hAnsi="Verdana"/>
          <w:sz w:val="20"/>
          <w:lang w:val="pt-BR"/>
        </w:rPr>
      </w:pPr>
    </w:p>
    <w:p w14:paraId="12420DAB" w14:textId="77777777" w:rsidR="007D2401" w:rsidRDefault="007D2401" w:rsidP="007D2401">
      <w:pPr>
        <w:jc w:val="both"/>
        <w:rPr>
          <w:rFonts w:ascii="Verdana" w:hAnsi="Verdana"/>
          <w:sz w:val="20"/>
          <w:lang w:val="pt-BR"/>
        </w:rPr>
      </w:pPr>
    </w:p>
    <w:p w14:paraId="0B131A9D" w14:textId="77777777" w:rsidR="007D2401" w:rsidRDefault="007D2401" w:rsidP="007D2401">
      <w:pPr>
        <w:jc w:val="both"/>
        <w:rPr>
          <w:rFonts w:ascii="Verdana" w:hAnsi="Verdana"/>
          <w:sz w:val="20"/>
          <w:lang w:val="pt-BR"/>
        </w:rPr>
      </w:pPr>
    </w:p>
    <w:p w14:paraId="76F0A311" w14:textId="77777777" w:rsidR="007D2401" w:rsidRDefault="007D2401" w:rsidP="007D2401">
      <w:pPr>
        <w:jc w:val="both"/>
        <w:rPr>
          <w:rFonts w:ascii="Verdana" w:hAnsi="Verdana"/>
          <w:sz w:val="20"/>
          <w:lang w:val="pt-BR"/>
        </w:rPr>
      </w:pPr>
    </w:p>
    <w:p w14:paraId="08ACBF8F" w14:textId="77777777" w:rsidR="007D2401" w:rsidRDefault="007D2401" w:rsidP="007D2401">
      <w:pPr>
        <w:jc w:val="both"/>
        <w:rPr>
          <w:rFonts w:ascii="Verdana" w:hAnsi="Verdana"/>
          <w:sz w:val="20"/>
          <w:lang w:val="pt-BR"/>
        </w:rPr>
      </w:pPr>
    </w:p>
    <w:p w14:paraId="663D9881" w14:textId="77777777" w:rsidR="007D2401" w:rsidRDefault="007D2401" w:rsidP="007D2401">
      <w:pPr>
        <w:jc w:val="center"/>
        <w:rPr>
          <w:rFonts w:ascii="Verdana" w:hAnsi="Verdana"/>
          <w:sz w:val="20"/>
          <w:lang w:val="pt-BR"/>
        </w:rPr>
      </w:pPr>
      <w:r>
        <w:rPr>
          <w:rFonts w:ascii="Verdana" w:hAnsi="Verdana"/>
          <w:sz w:val="20"/>
          <w:lang w:val="pt-BR"/>
        </w:rPr>
        <w:t xml:space="preserve">Pablo Saavedra </w:t>
      </w:r>
      <w:proofErr w:type="spellStart"/>
      <w:r>
        <w:rPr>
          <w:rFonts w:ascii="Verdana" w:hAnsi="Verdana"/>
          <w:sz w:val="20"/>
          <w:lang w:val="pt-BR"/>
        </w:rPr>
        <w:t>Alessandri</w:t>
      </w:r>
      <w:proofErr w:type="spellEnd"/>
    </w:p>
    <w:p w14:paraId="6410789C" w14:textId="77777777" w:rsidR="007D2401" w:rsidRDefault="007D2401" w:rsidP="007D2401">
      <w:pPr>
        <w:jc w:val="center"/>
        <w:rPr>
          <w:rFonts w:ascii="Verdana" w:hAnsi="Verdana"/>
          <w:sz w:val="20"/>
          <w:lang w:val="pt-BR"/>
        </w:rPr>
      </w:pPr>
      <w:r>
        <w:rPr>
          <w:rFonts w:ascii="Verdana" w:hAnsi="Verdana"/>
          <w:sz w:val="20"/>
          <w:lang w:val="pt-BR"/>
        </w:rPr>
        <w:t>Secretario</w:t>
      </w:r>
    </w:p>
    <w:p w14:paraId="66EFDA27" w14:textId="77777777" w:rsidR="007D2401" w:rsidRDefault="007D2401" w:rsidP="007D2401">
      <w:pPr>
        <w:rPr>
          <w:rFonts w:ascii="Verdana" w:hAnsi="Verdana"/>
          <w:sz w:val="20"/>
          <w:lang w:val="pt-BR"/>
        </w:rPr>
      </w:pPr>
    </w:p>
    <w:p w14:paraId="1A90F013" w14:textId="77777777" w:rsidR="007D2401" w:rsidRDefault="007D2401" w:rsidP="007D2401">
      <w:pPr>
        <w:pStyle w:val="Textonotapie"/>
        <w:rPr>
          <w:rFonts w:ascii="Verdana" w:hAnsi="Verdana"/>
          <w:lang w:val="pt-BR"/>
        </w:rPr>
      </w:pPr>
    </w:p>
    <w:p w14:paraId="4556BD94" w14:textId="77777777" w:rsidR="007D2401" w:rsidRDefault="007D2401" w:rsidP="007D2401">
      <w:pPr>
        <w:pStyle w:val="Textonotapie"/>
        <w:rPr>
          <w:rFonts w:ascii="Verdana" w:hAnsi="Verdana"/>
          <w:lang w:val="pt-BR"/>
        </w:rPr>
      </w:pPr>
    </w:p>
    <w:p w14:paraId="2BB3A4D8" w14:textId="77777777" w:rsidR="007D2401" w:rsidRDefault="007D2401" w:rsidP="007D2401">
      <w:pPr>
        <w:pStyle w:val="Textonotapie"/>
        <w:rPr>
          <w:rFonts w:ascii="Verdana" w:hAnsi="Verdana"/>
          <w:lang w:val="pt-BR"/>
        </w:rPr>
      </w:pPr>
    </w:p>
    <w:p w14:paraId="25C7B049" w14:textId="77777777" w:rsidR="007D2401" w:rsidRDefault="007D2401" w:rsidP="007D2401">
      <w:pPr>
        <w:jc w:val="both"/>
        <w:rPr>
          <w:rFonts w:ascii="Verdana" w:hAnsi="Verdana"/>
          <w:sz w:val="20"/>
          <w:lang w:val="pt-BR"/>
        </w:rPr>
      </w:pPr>
      <w:proofErr w:type="spellStart"/>
      <w:r>
        <w:rPr>
          <w:rFonts w:ascii="Verdana" w:hAnsi="Verdana"/>
          <w:sz w:val="20"/>
          <w:lang w:val="pt-BR"/>
        </w:rPr>
        <w:t>Comuníquese</w:t>
      </w:r>
      <w:proofErr w:type="spellEnd"/>
      <w:r>
        <w:rPr>
          <w:rFonts w:ascii="Verdana" w:hAnsi="Verdana"/>
          <w:sz w:val="20"/>
          <w:lang w:val="pt-BR"/>
        </w:rPr>
        <w:t xml:space="preserve"> y </w:t>
      </w:r>
      <w:proofErr w:type="spellStart"/>
      <w:r>
        <w:rPr>
          <w:rFonts w:ascii="Verdana" w:hAnsi="Verdana"/>
          <w:sz w:val="20"/>
          <w:lang w:val="pt-BR"/>
        </w:rPr>
        <w:t>ejecútese</w:t>
      </w:r>
      <w:proofErr w:type="spellEnd"/>
      <w:r>
        <w:rPr>
          <w:rFonts w:ascii="Verdana" w:hAnsi="Verdana"/>
          <w:sz w:val="20"/>
          <w:lang w:val="pt-BR"/>
        </w:rPr>
        <w:t>,</w:t>
      </w:r>
    </w:p>
    <w:p w14:paraId="78C2B4BC" w14:textId="77777777" w:rsidR="007D2401" w:rsidRDefault="007D2401" w:rsidP="007D2401">
      <w:pPr>
        <w:jc w:val="both"/>
        <w:rPr>
          <w:rFonts w:ascii="Verdana" w:hAnsi="Verdana"/>
          <w:sz w:val="20"/>
          <w:lang w:val="pt-BR"/>
        </w:rPr>
      </w:pPr>
    </w:p>
    <w:p w14:paraId="609C96CB" w14:textId="77777777" w:rsidR="007D2401" w:rsidRDefault="007D2401" w:rsidP="007D2401">
      <w:pPr>
        <w:jc w:val="both"/>
        <w:rPr>
          <w:rFonts w:ascii="Verdana" w:hAnsi="Verdana"/>
          <w:sz w:val="20"/>
          <w:lang w:val="pt-BR"/>
        </w:rPr>
      </w:pPr>
    </w:p>
    <w:p w14:paraId="7251C561" w14:textId="77777777" w:rsidR="007D2401" w:rsidRDefault="007D2401" w:rsidP="007D2401">
      <w:pPr>
        <w:jc w:val="both"/>
        <w:rPr>
          <w:rFonts w:ascii="Verdana" w:hAnsi="Verdana"/>
          <w:sz w:val="20"/>
          <w:lang w:val="pt-BR"/>
        </w:rPr>
      </w:pPr>
    </w:p>
    <w:p w14:paraId="460E200F" w14:textId="77777777" w:rsidR="007D2401" w:rsidRDefault="007D2401" w:rsidP="007D2401">
      <w:pPr>
        <w:jc w:val="both"/>
        <w:rPr>
          <w:rFonts w:ascii="Verdana" w:hAnsi="Verdana"/>
          <w:sz w:val="20"/>
          <w:lang w:val="pt-BR"/>
        </w:rPr>
      </w:pPr>
    </w:p>
    <w:p w14:paraId="26F0C92D" w14:textId="77777777" w:rsidR="007D2401" w:rsidRDefault="007D2401" w:rsidP="007D2401">
      <w:pPr>
        <w:ind w:left="4956"/>
        <w:jc w:val="center"/>
        <w:rPr>
          <w:rFonts w:ascii="Verdana" w:hAnsi="Verdana"/>
          <w:sz w:val="20"/>
          <w:lang w:val="pt-BR"/>
        </w:rPr>
      </w:pPr>
      <w:r>
        <w:rPr>
          <w:rFonts w:ascii="Verdana" w:hAnsi="Verdana"/>
          <w:sz w:val="20"/>
          <w:lang w:val="pt-BR"/>
        </w:rPr>
        <w:t xml:space="preserve">Eduardo Ferrer </w:t>
      </w:r>
      <w:proofErr w:type="spellStart"/>
      <w:r>
        <w:rPr>
          <w:rFonts w:ascii="Verdana" w:hAnsi="Verdana"/>
          <w:sz w:val="20"/>
          <w:lang w:val="pt-BR"/>
        </w:rPr>
        <w:t>Mac-Gregor</w:t>
      </w:r>
      <w:proofErr w:type="spellEnd"/>
      <w:r>
        <w:rPr>
          <w:rFonts w:ascii="Verdana" w:hAnsi="Verdana"/>
          <w:sz w:val="20"/>
          <w:lang w:val="pt-BR"/>
        </w:rPr>
        <w:t xml:space="preserve"> </w:t>
      </w:r>
      <w:proofErr w:type="spellStart"/>
      <w:r>
        <w:rPr>
          <w:rFonts w:ascii="Verdana" w:hAnsi="Verdana"/>
          <w:sz w:val="20"/>
          <w:lang w:val="pt-BR"/>
        </w:rPr>
        <w:t>Poisot</w:t>
      </w:r>
      <w:proofErr w:type="spellEnd"/>
      <w:r>
        <w:rPr>
          <w:rFonts w:ascii="Verdana" w:hAnsi="Verdana"/>
          <w:sz w:val="20"/>
          <w:lang w:val="pt-BR"/>
        </w:rPr>
        <w:t xml:space="preserve"> </w:t>
      </w:r>
    </w:p>
    <w:p w14:paraId="7E628222" w14:textId="77777777" w:rsidR="007D2401" w:rsidRDefault="007D2401" w:rsidP="007D2401">
      <w:pPr>
        <w:ind w:left="4956"/>
        <w:jc w:val="center"/>
        <w:rPr>
          <w:rFonts w:ascii="Verdana" w:hAnsi="Verdana"/>
          <w:sz w:val="20"/>
          <w:lang w:val="pt-BR"/>
        </w:rPr>
      </w:pPr>
      <w:r>
        <w:rPr>
          <w:rFonts w:ascii="Verdana" w:hAnsi="Verdana"/>
          <w:sz w:val="20"/>
          <w:lang w:val="pt-BR"/>
        </w:rPr>
        <w:t>Presidente</w:t>
      </w:r>
    </w:p>
    <w:p w14:paraId="24275ACC" w14:textId="77777777" w:rsidR="007D2401" w:rsidRDefault="007D2401" w:rsidP="007D2401">
      <w:pPr>
        <w:jc w:val="both"/>
        <w:rPr>
          <w:rFonts w:ascii="Verdana" w:hAnsi="Verdana"/>
          <w:sz w:val="20"/>
          <w:lang w:val="pt-BR"/>
        </w:rPr>
      </w:pPr>
    </w:p>
    <w:p w14:paraId="14D3151C" w14:textId="77777777" w:rsidR="007D2401" w:rsidRDefault="007D2401" w:rsidP="007D2401">
      <w:pPr>
        <w:jc w:val="both"/>
        <w:rPr>
          <w:rFonts w:ascii="Verdana" w:hAnsi="Verdana"/>
          <w:sz w:val="20"/>
          <w:lang w:val="pt-BR"/>
        </w:rPr>
      </w:pPr>
    </w:p>
    <w:p w14:paraId="00DD9437" w14:textId="77777777" w:rsidR="007D2401" w:rsidRDefault="007D2401" w:rsidP="007D2401">
      <w:pPr>
        <w:jc w:val="both"/>
        <w:rPr>
          <w:rFonts w:ascii="Verdana" w:hAnsi="Verdana"/>
          <w:sz w:val="20"/>
          <w:lang w:val="pt-BR"/>
        </w:rPr>
      </w:pPr>
    </w:p>
    <w:p w14:paraId="4F8BA891" w14:textId="77777777" w:rsidR="007D2401" w:rsidRDefault="007D2401" w:rsidP="007D2401">
      <w:pPr>
        <w:jc w:val="both"/>
        <w:rPr>
          <w:rFonts w:ascii="Verdana" w:hAnsi="Verdana"/>
          <w:sz w:val="20"/>
          <w:lang w:val="pt-BR"/>
        </w:rPr>
      </w:pPr>
    </w:p>
    <w:p w14:paraId="3BCEB16C" w14:textId="77777777" w:rsidR="007D2401" w:rsidRDefault="007D2401" w:rsidP="007D2401">
      <w:pPr>
        <w:jc w:val="both"/>
        <w:rPr>
          <w:rFonts w:ascii="Verdana" w:hAnsi="Verdana"/>
          <w:sz w:val="20"/>
          <w:lang w:val="es-ES"/>
        </w:rPr>
      </w:pPr>
      <w:r>
        <w:rPr>
          <w:rFonts w:ascii="Verdana" w:hAnsi="Verdana"/>
          <w:sz w:val="20"/>
          <w:lang w:val="es-ES"/>
        </w:rPr>
        <w:t>Pablo Saavedra Alessandri</w:t>
      </w:r>
    </w:p>
    <w:p w14:paraId="03794D03" w14:textId="77777777" w:rsidR="007D2401" w:rsidRDefault="007D2401" w:rsidP="007D2401">
      <w:pPr>
        <w:rPr>
          <w:rFonts w:ascii="Verdana" w:hAnsi="Verdana"/>
          <w:sz w:val="20"/>
        </w:rPr>
      </w:pPr>
      <w:r>
        <w:rPr>
          <w:rFonts w:ascii="Verdana" w:hAnsi="Verdana"/>
          <w:sz w:val="20"/>
          <w:lang w:val="es-ES"/>
        </w:rPr>
        <w:tab/>
      </w:r>
      <w:r>
        <w:rPr>
          <w:rFonts w:ascii="Verdana" w:hAnsi="Verdana"/>
          <w:sz w:val="20"/>
        </w:rPr>
        <w:t>Secretario</w:t>
      </w:r>
    </w:p>
    <w:p w14:paraId="5F8C1839" w14:textId="77777777" w:rsidR="007D2401" w:rsidRDefault="007D2401" w:rsidP="007D2401">
      <w:pPr>
        <w:rPr>
          <w:rFonts w:ascii="Verdana" w:hAnsi="Verdana"/>
          <w:sz w:val="20"/>
        </w:rPr>
      </w:pPr>
    </w:p>
    <w:p w14:paraId="1C8A1C06" w14:textId="77777777" w:rsidR="007D2401" w:rsidRDefault="007D2401" w:rsidP="007D2401"/>
    <w:p w14:paraId="45D75580" w14:textId="77777777" w:rsidR="007D2401" w:rsidRPr="004E314E" w:rsidRDefault="007D2401" w:rsidP="00BB5E68">
      <w:pPr>
        <w:pStyle w:val="Prrafodelista"/>
        <w:ind w:left="0"/>
        <w:jc w:val="both"/>
        <w:rPr>
          <w:rFonts w:ascii="Times New Roman" w:hAnsi="Times New Roman"/>
          <w:szCs w:val="24"/>
          <w:lang w:val="es-MX" w:eastAsia="es-CR"/>
        </w:rPr>
      </w:pPr>
      <w:bookmarkStart w:id="2" w:name="_GoBack"/>
      <w:bookmarkEnd w:id="2"/>
    </w:p>
    <w:sectPr w:rsidR="007D2401" w:rsidRPr="004E314E" w:rsidSect="00AF673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1637" w14:textId="77777777" w:rsidR="002930ED" w:rsidRDefault="002930ED" w:rsidP="005173AF">
      <w:r>
        <w:separator/>
      </w:r>
    </w:p>
  </w:endnote>
  <w:endnote w:type="continuationSeparator" w:id="0">
    <w:p w14:paraId="4AC75383" w14:textId="77777777" w:rsidR="002930ED" w:rsidRDefault="002930ED" w:rsidP="0051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258945"/>
      <w:docPartObj>
        <w:docPartGallery w:val="Page Numbers (Bottom of Page)"/>
        <w:docPartUnique/>
      </w:docPartObj>
    </w:sdtPr>
    <w:sdtEndPr>
      <w:rPr>
        <w:rFonts w:ascii="Verdana" w:hAnsi="Verdana"/>
        <w:sz w:val="16"/>
      </w:rPr>
    </w:sdtEndPr>
    <w:sdtContent>
      <w:p w14:paraId="4129FA50" w14:textId="13D56918" w:rsidR="00EE4553" w:rsidRPr="004E1383" w:rsidRDefault="00582EFA">
        <w:pPr>
          <w:pStyle w:val="Piedepgina"/>
          <w:jc w:val="center"/>
          <w:rPr>
            <w:rFonts w:ascii="Verdana" w:hAnsi="Verdana"/>
            <w:sz w:val="16"/>
          </w:rPr>
        </w:pPr>
        <w:r w:rsidRPr="004E1383">
          <w:rPr>
            <w:sz w:val="20"/>
          </w:rPr>
          <w:t>-</w:t>
        </w:r>
        <w:r w:rsidR="00EE4553" w:rsidRPr="004E1383">
          <w:rPr>
            <w:rFonts w:ascii="Verdana" w:hAnsi="Verdana"/>
            <w:sz w:val="16"/>
          </w:rPr>
          <w:fldChar w:fldCharType="begin"/>
        </w:r>
        <w:r w:rsidR="00EE4553" w:rsidRPr="004E1383">
          <w:rPr>
            <w:rFonts w:ascii="Verdana" w:hAnsi="Verdana"/>
            <w:sz w:val="16"/>
          </w:rPr>
          <w:instrText>PAGE   \* MERGEFORMAT</w:instrText>
        </w:r>
        <w:r w:rsidR="00EE4553" w:rsidRPr="004E1383">
          <w:rPr>
            <w:rFonts w:ascii="Verdana" w:hAnsi="Verdana"/>
            <w:sz w:val="16"/>
          </w:rPr>
          <w:fldChar w:fldCharType="separate"/>
        </w:r>
        <w:r w:rsidR="00D033C0" w:rsidRPr="00D033C0">
          <w:rPr>
            <w:rFonts w:ascii="Verdana" w:hAnsi="Verdana"/>
            <w:noProof/>
            <w:sz w:val="16"/>
            <w:lang w:val="es-ES"/>
          </w:rPr>
          <w:t>7</w:t>
        </w:r>
        <w:r w:rsidR="00EE4553" w:rsidRPr="004E1383">
          <w:rPr>
            <w:rFonts w:ascii="Verdana" w:hAnsi="Verdana"/>
            <w:sz w:val="16"/>
          </w:rPr>
          <w:fldChar w:fldCharType="end"/>
        </w:r>
        <w:r w:rsidRPr="004E1383">
          <w:rPr>
            <w:rFonts w:ascii="Verdana" w:hAnsi="Verdana"/>
            <w:sz w:val="16"/>
          </w:rPr>
          <w:t>-</w:t>
        </w:r>
      </w:p>
    </w:sdtContent>
  </w:sdt>
  <w:p w14:paraId="0274A0A0" w14:textId="77777777" w:rsidR="00EE4553" w:rsidRDefault="00EE45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C84A4" w14:textId="77777777" w:rsidR="002930ED" w:rsidRDefault="002930ED" w:rsidP="005173AF">
      <w:r>
        <w:separator/>
      </w:r>
    </w:p>
  </w:footnote>
  <w:footnote w:type="continuationSeparator" w:id="0">
    <w:p w14:paraId="7898C49A" w14:textId="77777777" w:rsidR="002930ED" w:rsidRDefault="002930ED" w:rsidP="005173AF">
      <w:r>
        <w:continuationSeparator/>
      </w:r>
    </w:p>
  </w:footnote>
  <w:footnote w:id="1">
    <w:p w14:paraId="1B80ADA8" w14:textId="188E6173" w:rsidR="00252F4C" w:rsidRPr="006976FA" w:rsidRDefault="00252F4C" w:rsidP="007A5F46">
      <w:pPr>
        <w:pStyle w:val="Textonotapie"/>
        <w:ind w:right="49"/>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r>
      <w:r w:rsidRPr="006976FA">
        <w:rPr>
          <w:rFonts w:ascii="Verdana" w:hAnsi="Verdana"/>
          <w:i/>
          <w:sz w:val="16"/>
          <w:szCs w:val="16"/>
        </w:rPr>
        <w:t>Cfr.</w:t>
      </w:r>
      <w:r w:rsidRPr="006976FA">
        <w:rPr>
          <w:rFonts w:ascii="Verdana" w:hAnsi="Verdana"/>
          <w:sz w:val="16"/>
          <w:szCs w:val="16"/>
        </w:rPr>
        <w:t xml:space="preserve"> </w:t>
      </w:r>
      <w:r w:rsidRPr="006976FA">
        <w:rPr>
          <w:rStyle w:val="Textoennegrita"/>
          <w:rFonts w:ascii="Verdana" w:hAnsi="Verdana"/>
          <w:b w:val="0"/>
          <w:i/>
          <w:color w:val="000000"/>
          <w:sz w:val="16"/>
          <w:szCs w:val="16"/>
        </w:rPr>
        <w:t>Caso</w:t>
      </w:r>
      <w:r w:rsidRPr="006976FA">
        <w:rPr>
          <w:rStyle w:val="Textoennegrita"/>
          <w:rFonts w:ascii="Verdana" w:hAnsi="Verdana"/>
          <w:b w:val="0"/>
          <w:color w:val="000000"/>
          <w:sz w:val="16"/>
          <w:szCs w:val="16"/>
        </w:rPr>
        <w:t xml:space="preserve"> </w:t>
      </w:r>
      <w:r w:rsidRPr="006976FA">
        <w:rPr>
          <w:rStyle w:val="Textoennegrita"/>
          <w:rFonts w:ascii="Verdana" w:hAnsi="Verdana"/>
          <w:b w:val="0"/>
          <w:i/>
          <w:color w:val="000000"/>
          <w:sz w:val="16"/>
          <w:szCs w:val="16"/>
        </w:rPr>
        <w:t>Díaz Peña Vs. Venezuela. Excepción Preliminar, Fondo, Reparaciones y Costas</w:t>
      </w:r>
      <w:r w:rsidRPr="006976FA">
        <w:rPr>
          <w:rStyle w:val="Textoennegrita"/>
          <w:rFonts w:ascii="Verdana" w:hAnsi="Verdana"/>
          <w:b w:val="0"/>
          <w:color w:val="000000"/>
          <w:sz w:val="16"/>
          <w:szCs w:val="16"/>
        </w:rPr>
        <w:t xml:space="preserve">. Sentencia de 26 de junio de 2012. Serie C No. 244. </w:t>
      </w:r>
      <w:r w:rsidR="00C53366" w:rsidRPr="006976FA">
        <w:rPr>
          <w:rFonts w:ascii="Verdana" w:hAnsi="Verdana"/>
          <w:sz w:val="16"/>
          <w:szCs w:val="16"/>
          <w:lang w:val="es-CR"/>
        </w:rPr>
        <w:t>D</w:t>
      </w:r>
      <w:r w:rsidRPr="006976FA">
        <w:rPr>
          <w:rFonts w:ascii="Verdana" w:hAnsi="Verdana"/>
          <w:sz w:val="16"/>
          <w:szCs w:val="16"/>
          <w:lang w:val="es-CR"/>
        </w:rPr>
        <w:t xml:space="preserve">isponible en: </w:t>
      </w:r>
      <w:hyperlink r:id="rId1" w:history="1">
        <w:r w:rsidRPr="006976FA">
          <w:rPr>
            <w:rStyle w:val="Hipervnculo"/>
            <w:rFonts w:ascii="Verdana" w:hAnsi="Verdana"/>
            <w:sz w:val="16"/>
            <w:szCs w:val="16"/>
            <w:lang w:val="es-CR"/>
          </w:rPr>
          <w:t>http://corteidh.or.cr/docs/casos/articulos/seriec_244_esp.pdf</w:t>
        </w:r>
      </w:hyperlink>
      <w:r w:rsidRPr="006976FA">
        <w:rPr>
          <w:rStyle w:val="Hipervnculo"/>
          <w:rFonts w:ascii="Verdana" w:hAnsi="Verdana"/>
          <w:sz w:val="16"/>
          <w:szCs w:val="16"/>
          <w:lang w:val="es-CR"/>
        </w:rPr>
        <w:t>.</w:t>
      </w:r>
      <w:r w:rsidRPr="006976FA">
        <w:rPr>
          <w:rFonts w:ascii="Verdana" w:hAnsi="Verdana"/>
          <w:sz w:val="16"/>
          <w:szCs w:val="16"/>
          <w:lang w:val="es-CR"/>
        </w:rPr>
        <w:t xml:space="preserve"> </w:t>
      </w:r>
      <w:r w:rsidR="00C53366" w:rsidRPr="006976FA">
        <w:rPr>
          <w:rFonts w:ascii="Verdana" w:hAnsi="Verdana"/>
          <w:sz w:val="16"/>
          <w:szCs w:val="16"/>
          <w:lang w:val="es-CR"/>
        </w:rPr>
        <w:t>La Sentencia fue notificada al Estado el 20 de julio de 2012.</w:t>
      </w:r>
    </w:p>
  </w:footnote>
  <w:footnote w:id="2">
    <w:p w14:paraId="3292CE6A" w14:textId="3082BC6E" w:rsidR="00252F4C" w:rsidRPr="006976FA" w:rsidRDefault="00252F4C" w:rsidP="007A5F46">
      <w:pPr>
        <w:pStyle w:val="Textonotapie"/>
        <w:ind w:right="49"/>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r>
      <w:r w:rsidRPr="006976FA">
        <w:rPr>
          <w:rFonts w:ascii="Verdana" w:hAnsi="Verdana"/>
          <w:i/>
          <w:sz w:val="16"/>
          <w:szCs w:val="16"/>
        </w:rPr>
        <w:t xml:space="preserve">Cfr. </w:t>
      </w:r>
      <w:r w:rsidRPr="006976FA">
        <w:rPr>
          <w:rStyle w:val="Textoennegrita"/>
          <w:rFonts w:ascii="Verdana" w:hAnsi="Verdana"/>
          <w:b w:val="0"/>
          <w:i/>
          <w:color w:val="000000"/>
          <w:sz w:val="16"/>
          <w:szCs w:val="16"/>
        </w:rPr>
        <w:t>Caso</w:t>
      </w:r>
      <w:r w:rsidRPr="006976FA">
        <w:rPr>
          <w:rStyle w:val="Textoennegrita"/>
          <w:rFonts w:ascii="Verdana" w:hAnsi="Verdana"/>
          <w:b w:val="0"/>
          <w:color w:val="000000"/>
          <w:sz w:val="16"/>
          <w:szCs w:val="16"/>
        </w:rPr>
        <w:t xml:space="preserve"> </w:t>
      </w:r>
      <w:r w:rsidRPr="006976FA">
        <w:rPr>
          <w:rStyle w:val="Textoennegrita"/>
          <w:rFonts w:ascii="Verdana" w:hAnsi="Verdana"/>
          <w:b w:val="0"/>
          <w:i/>
          <w:color w:val="000000"/>
          <w:sz w:val="16"/>
          <w:szCs w:val="16"/>
        </w:rPr>
        <w:t>Uzcátegui y otros Vs. Venezuela. Fondo y Reparaciones</w:t>
      </w:r>
      <w:r w:rsidRPr="006976FA">
        <w:rPr>
          <w:rStyle w:val="Textoennegrita"/>
          <w:rFonts w:ascii="Verdana" w:hAnsi="Verdana"/>
          <w:b w:val="0"/>
          <w:color w:val="000000"/>
          <w:sz w:val="16"/>
          <w:szCs w:val="16"/>
        </w:rPr>
        <w:t xml:space="preserve">. Sentencia de 3 de septiembre de 2012 Serie C No. 249.  </w:t>
      </w:r>
      <w:r w:rsidR="00C53366" w:rsidRPr="006976FA">
        <w:rPr>
          <w:rFonts w:ascii="Verdana" w:hAnsi="Verdana"/>
          <w:sz w:val="16"/>
          <w:szCs w:val="16"/>
          <w:lang w:val="es-CR"/>
        </w:rPr>
        <w:t>D</w:t>
      </w:r>
      <w:r w:rsidRPr="006976FA">
        <w:rPr>
          <w:rFonts w:ascii="Verdana" w:hAnsi="Verdana"/>
          <w:sz w:val="16"/>
          <w:szCs w:val="16"/>
          <w:lang w:val="es-CR"/>
        </w:rPr>
        <w:t xml:space="preserve">isponible en: </w:t>
      </w:r>
      <w:hyperlink r:id="rId2" w:history="1">
        <w:r w:rsidRPr="006976FA">
          <w:rPr>
            <w:rStyle w:val="Hipervnculo"/>
            <w:rFonts w:ascii="Verdana" w:hAnsi="Verdana"/>
            <w:sz w:val="16"/>
            <w:szCs w:val="16"/>
            <w:lang w:val="es-CR"/>
          </w:rPr>
          <w:t>http://www.corteidh.or.cr/docs/casos/articulos/seriec_249_esp.pdf</w:t>
        </w:r>
      </w:hyperlink>
      <w:r w:rsidRPr="006976FA">
        <w:rPr>
          <w:rStyle w:val="Hipervnculo"/>
          <w:rFonts w:ascii="Verdana" w:hAnsi="Verdana"/>
          <w:sz w:val="16"/>
          <w:szCs w:val="16"/>
          <w:lang w:val="es-CR"/>
        </w:rPr>
        <w:t>.</w:t>
      </w:r>
      <w:r w:rsidRPr="006976FA">
        <w:rPr>
          <w:rFonts w:ascii="Verdana" w:hAnsi="Verdana"/>
          <w:sz w:val="16"/>
          <w:szCs w:val="16"/>
          <w:lang w:val="es-CR"/>
        </w:rPr>
        <w:t xml:space="preserve"> </w:t>
      </w:r>
      <w:r w:rsidR="00C53366" w:rsidRPr="006976FA">
        <w:rPr>
          <w:rFonts w:ascii="Verdana" w:hAnsi="Verdana"/>
          <w:sz w:val="16"/>
          <w:szCs w:val="16"/>
          <w:lang w:val="es-CR"/>
        </w:rPr>
        <w:t>La Sentencia fue notificada al Estado el 12 de octubre de 2012.</w:t>
      </w:r>
    </w:p>
  </w:footnote>
  <w:footnote w:id="3">
    <w:p w14:paraId="45057DD1" w14:textId="2B708ED9" w:rsidR="005D6F72" w:rsidRPr="006976FA" w:rsidRDefault="005D6F72" w:rsidP="007A5F46">
      <w:pPr>
        <w:pStyle w:val="Textonotapie"/>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r>
      <w:r w:rsidRPr="006976FA">
        <w:rPr>
          <w:rFonts w:ascii="Verdana" w:hAnsi="Verdana"/>
          <w:i/>
          <w:sz w:val="16"/>
          <w:szCs w:val="16"/>
        </w:rPr>
        <w:t xml:space="preserve">Cfr. Casos </w:t>
      </w:r>
      <w:proofErr w:type="spellStart"/>
      <w:r w:rsidRPr="006976FA">
        <w:rPr>
          <w:rFonts w:ascii="Verdana" w:hAnsi="Verdana"/>
          <w:i/>
          <w:sz w:val="16"/>
          <w:szCs w:val="16"/>
        </w:rPr>
        <w:t>Chocrón</w:t>
      </w:r>
      <w:proofErr w:type="spellEnd"/>
      <w:r w:rsidRPr="006976FA">
        <w:rPr>
          <w:rFonts w:ascii="Verdana" w:hAnsi="Verdana"/>
          <w:i/>
          <w:sz w:val="16"/>
          <w:szCs w:val="16"/>
        </w:rPr>
        <w:t xml:space="preserve"> </w:t>
      </w:r>
      <w:proofErr w:type="spellStart"/>
      <w:r w:rsidRPr="006976FA">
        <w:rPr>
          <w:rFonts w:ascii="Verdana" w:hAnsi="Verdana"/>
          <w:i/>
          <w:sz w:val="16"/>
          <w:szCs w:val="16"/>
        </w:rPr>
        <w:t>Chocrón</w:t>
      </w:r>
      <w:proofErr w:type="spellEnd"/>
      <w:r w:rsidRPr="006976FA">
        <w:rPr>
          <w:rFonts w:ascii="Verdana" w:hAnsi="Verdana"/>
          <w:i/>
          <w:sz w:val="16"/>
          <w:szCs w:val="16"/>
        </w:rPr>
        <w:t>, Díaz Peña, y Uzcátegui y otros Vs. Venezuela. Supervisión de Cumplimiento de Sentencias.</w:t>
      </w:r>
      <w:r w:rsidRPr="006976FA">
        <w:rPr>
          <w:rFonts w:ascii="Verdana" w:hAnsi="Verdana"/>
          <w:sz w:val="16"/>
          <w:szCs w:val="16"/>
        </w:rPr>
        <w:t xml:space="preserve"> Resolución de la Corte Interamericana de Derechos Humanos de 20 de noviembre de 2015</w:t>
      </w:r>
      <w:r w:rsidR="00C53366" w:rsidRPr="006976FA">
        <w:rPr>
          <w:rFonts w:ascii="Verdana" w:hAnsi="Verdana"/>
          <w:sz w:val="16"/>
          <w:szCs w:val="16"/>
        </w:rPr>
        <w:t>.</w:t>
      </w:r>
      <w:r w:rsidRPr="006976FA">
        <w:rPr>
          <w:rFonts w:ascii="Verdana" w:hAnsi="Verdana"/>
          <w:sz w:val="16"/>
          <w:szCs w:val="16"/>
        </w:rPr>
        <w:t xml:space="preserve"> </w:t>
      </w:r>
      <w:r w:rsidR="00C53366" w:rsidRPr="006976FA">
        <w:rPr>
          <w:rFonts w:ascii="Verdana" w:hAnsi="Verdana"/>
          <w:sz w:val="16"/>
          <w:szCs w:val="16"/>
        </w:rPr>
        <w:t>D</w:t>
      </w:r>
      <w:r w:rsidRPr="006976FA">
        <w:rPr>
          <w:rFonts w:ascii="Verdana" w:hAnsi="Verdana"/>
          <w:sz w:val="16"/>
          <w:szCs w:val="16"/>
        </w:rPr>
        <w:t xml:space="preserve">isponible en: </w:t>
      </w:r>
      <w:hyperlink r:id="rId3" w:history="1">
        <w:r w:rsidRPr="006976FA">
          <w:rPr>
            <w:rStyle w:val="Hipervnculo"/>
            <w:rFonts w:ascii="Verdana" w:hAnsi="Verdana"/>
            <w:sz w:val="16"/>
            <w:szCs w:val="16"/>
          </w:rPr>
          <w:t>http://www.corteidh.or.cr/docs/supervisiones/chocron_20_11_15.pdf</w:t>
        </w:r>
      </w:hyperlink>
      <w:r w:rsidRPr="006976FA">
        <w:rPr>
          <w:rFonts w:ascii="Verdana" w:hAnsi="Verdana"/>
          <w:sz w:val="16"/>
          <w:szCs w:val="16"/>
        </w:rPr>
        <w:t xml:space="preserve">. </w:t>
      </w:r>
    </w:p>
  </w:footnote>
  <w:footnote w:id="4">
    <w:p w14:paraId="7EB89570" w14:textId="77777777" w:rsidR="005173AF" w:rsidRPr="006976FA" w:rsidRDefault="005173AF" w:rsidP="007A5F46">
      <w:pPr>
        <w:pStyle w:val="Textonotapie"/>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r>
      <w:r w:rsidRPr="006976FA">
        <w:rPr>
          <w:rFonts w:ascii="Verdana" w:hAnsi="Verdana"/>
          <w:i/>
          <w:sz w:val="16"/>
          <w:szCs w:val="16"/>
          <w:lang w:val="es-CR"/>
        </w:rPr>
        <w:t xml:space="preserve">Cfr. </w:t>
      </w:r>
      <w:r w:rsidR="00D90E6B" w:rsidRPr="006976FA">
        <w:rPr>
          <w:rStyle w:val="Textoennegrita"/>
          <w:rFonts w:ascii="Verdana" w:hAnsi="Verdana"/>
          <w:b w:val="0"/>
          <w:i/>
          <w:color w:val="000000"/>
          <w:sz w:val="16"/>
          <w:szCs w:val="16"/>
          <w:shd w:val="clear" w:color="auto" w:fill="FFFFFF"/>
        </w:rPr>
        <w:t xml:space="preserve">Casos </w:t>
      </w:r>
      <w:proofErr w:type="spellStart"/>
      <w:r w:rsidR="00D90E6B" w:rsidRPr="006976FA">
        <w:rPr>
          <w:rStyle w:val="Textoennegrita"/>
          <w:rFonts w:ascii="Verdana" w:hAnsi="Verdana"/>
          <w:b w:val="0"/>
          <w:i/>
          <w:color w:val="000000"/>
          <w:sz w:val="16"/>
          <w:szCs w:val="16"/>
          <w:shd w:val="clear" w:color="auto" w:fill="FFFFFF"/>
        </w:rPr>
        <w:t>Chocrón</w:t>
      </w:r>
      <w:proofErr w:type="spellEnd"/>
      <w:r w:rsidR="00D90E6B" w:rsidRPr="006976FA">
        <w:rPr>
          <w:rStyle w:val="Textoennegrita"/>
          <w:rFonts w:ascii="Verdana" w:hAnsi="Verdana"/>
          <w:b w:val="0"/>
          <w:i/>
          <w:color w:val="000000"/>
          <w:sz w:val="16"/>
          <w:szCs w:val="16"/>
          <w:shd w:val="clear" w:color="auto" w:fill="FFFFFF"/>
        </w:rPr>
        <w:t xml:space="preserve"> </w:t>
      </w:r>
      <w:proofErr w:type="spellStart"/>
      <w:r w:rsidR="00D90E6B" w:rsidRPr="006976FA">
        <w:rPr>
          <w:rStyle w:val="Textoennegrita"/>
          <w:rFonts w:ascii="Verdana" w:hAnsi="Verdana"/>
          <w:b w:val="0"/>
          <w:i/>
          <w:color w:val="000000"/>
          <w:sz w:val="16"/>
          <w:szCs w:val="16"/>
          <w:shd w:val="clear" w:color="auto" w:fill="FFFFFF"/>
        </w:rPr>
        <w:t>Chocrón</w:t>
      </w:r>
      <w:proofErr w:type="spellEnd"/>
      <w:r w:rsidR="00D90E6B" w:rsidRPr="006976FA">
        <w:rPr>
          <w:rStyle w:val="Textoennegrita"/>
          <w:rFonts w:ascii="Verdana" w:hAnsi="Verdana"/>
          <w:b w:val="0"/>
          <w:i/>
          <w:color w:val="000000"/>
          <w:sz w:val="16"/>
          <w:szCs w:val="16"/>
          <w:shd w:val="clear" w:color="auto" w:fill="FFFFFF"/>
        </w:rPr>
        <w:t>, Díaz Peña, y Uzcátegui y otros Vs. Venezuela. Supervisión de Cumplimiento de Sentencia.</w:t>
      </w:r>
      <w:r w:rsidR="00D90E6B" w:rsidRPr="006976FA">
        <w:rPr>
          <w:rStyle w:val="Textoennegrita"/>
          <w:rFonts w:ascii="Verdana" w:hAnsi="Verdana"/>
          <w:b w:val="0"/>
          <w:color w:val="000000"/>
          <w:sz w:val="16"/>
          <w:szCs w:val="16"/>
          <w:shd w:val="clear" w:color="auto" w:fill="FFFFFF"/>
        </w:rPr>
        <w:t xml:space="preserve"> Resolución de la Corte Interamericana de Derechos Humanos de 22 de noviembre de 2016. Disponible en:</w:t>
      </w:r>
      <w:r w:rsidR="00D90E6B" w:rsidRPr="006976FA">
        <w:rPr>
          <w:rStyle w:val="Textoennegrita"/>
          <w:rFonts w:ascii="Verdana" w:hAnsi="Verdana"/>
          <w:color w:val="000000"/>
          <w:sz w:val="16"/>
          <w:szCs w:val="16"/>
          <w:shd w:val="clear" w:color="auto" w:fill="FFFFFF"/>
        </w:rPr>
        <w:t xml:space="preserve"> </w:t>
      </w:r>
      <w:hyperlink r:id="rId4" w:history="1">
        <w:r w:rsidR="00D90E6B" w:rsidRPr="006976FA">
          <w:rPr>
            <w:rStyle w:val="Hipervnculo"/>
            <w:rFonts w:ascii="Verdana" w:hAnsi="Verdana"/>
            <w:sz w:val="16"/>
            <w:szCs w:val="16"/>
          </w:rPr>
          <w:t>http://www.corteidh.or.cr/docs/supervisiones/chocron_22_11_16.pdf</w:t>
        </w:r>
      </w:hyperlink>
      <w:r w:rsidR="00D90E6B" w:rsidRPr="006976FA">
        <w:rPr>
          <w:rFonts w:ascii="Verdana" w:hAnsi="Verdana"/>
          <w:sz w:val="16"/>
          <w:szCs w:val="16"/>
        </w:rPr>
        <w:t xml:space="preserve">. </w:t>
      </w:r>
    </w:p>
  </w:footnote>
  <w:footnote w:id="5">
    <w:p w14:paraId="0A49D3B7" w14:textId="77777777" w:rsidR="00252F4C" w:rsidRPr="006976FA" w:rsidRDefault="00252F4C" w:rsidP="007A5F46">
      <w:pPr>
        <w:pStyle w:val="Textonotapie"/>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r>
      <w:r w:rsidRPr="006976FA">
        <w:rPr>
          <w:rFonts w:ascii="Verdana" w:hAnsi="Verdana"/>
          <w:i/>
          <w:sz w:val="16"/>
          <w:szCs w:val="16"/>
        </w:rPr>
        <w:t xml:space="preserve">Cfr. </w:t>
      </w:r>
      <w:r w:rsidRPr="006976FA">
        <w:rPr>
          <w:rStyle w:val="Textoennegrita"/>
          <w:rFonts w:ascii="Verdana" w:hAnsi="Verdana"/>
          <w:b w:val="0"/>
          <w:i/>
          <w:color w:val="000000"/>
          <w:sz w:val="16"/>
          <w:szCs w:val="16"/>
          <w:shd w:val="clear" w:color="auto" w:fill="FFFFFF"/>
        </w:rPr>
        <w:t>Casos Familia Barrios, Uzcátegui y otros y Hermanos Landaeta Mejías y otros Vs. Venezuela. Reintegro al Fondo de Asistencia Legal de Víctimas</w:t>
      </w:r>
      <w:r w:rsidRPr="006976FA">
        <w:rPr>
          <w:rStyle w:val="Textoennegrita"/>
          <w:rFonts w:ascii="Verdana" w:hAnsi="Verdana"/>
          <w:b w:val="0"/>
          <w:color w:val="000000"/>
          <w:sz w:val="16"/>
          <w:szCs w:val="16"/>
          <w:shd w:val="clear" w:color="auto" w:fill="FFFFFF"/>
        </w:rPr>
        <w:t xml:space="preserve">. Resolución de la Corte Interamericana de Derechos Humanos de 21 de noviembre de 2018. Disponible en: </w:t>
      </w:r>
      <w:hyperlink r:id="rId5" w:history="1">
        <w:r w:rsidRPr="006976FA">
          <w:rPr>
            <w:rStyle w:val="Hipervnculo"/>
            <w:rFonts w:ascii="Verdana" w:hAnsi="Verdana"/>
            <w:sz w:val="16"/>
            <w:szCs w:val="16"/>
          </w:rPr>
          <w:t>http://www.corteidh.or.cr/docs/asuntos/barrios_uzca_landa_fv_18.pdf</w:t>
        </w:r>
      </w:hyperlink>
      <w:r w:rsidRPr="006976FA">
        <w:rPr>
          <w:rFonts w:ascii="Verdana" w:hAnsi="Verdana"/>
          <w:sz w:val="16"/>
          <w:szCs w:val="16"/>
        </w:rPr>
        <w:t xml:space="preserve">. </w:t>
      </w:r>
    </w:p>
  </w:footnote>
  <w:footnote w:id="6">
    <w:p w14:paraId="4D4BC7DB" w14:textId="77777777" w:rsidR="00174292" w:rsidRPr="006976FA" w:rsidRDefault="00174292" w:rsidP="007A5F46">
      <w:pPr>
        <w:pStyle w:val="Textonotapie"/>
        <w:jc w:val="both"/>
        <w:rPr>
          <w:rFonts w:ascii="Verdana" w:hAnsi="Verdana"/>
          <w:sz w:val="16"/>
          <w:szCs w:val="16"/>
          <w:lang w:val="es-CR" w:eastAsia="en-US"/>
        </w:rPr>
      </w:pPr>
      <w:r w:rsidRPr="006976FA">
        <w:rPr>
          <w:rStyle w:val="Refdenotaalpie"/>
          <w:rFonts w:ascii="Verdana" w:hAnsi="Verdana"/>
          <w:sz w:val="16"/>
          <w:szCs w:val="16"/>
        </w:rPr>
        <w:footnoteRef/>
      </w:r>
      <w:r w:rsidRPr="006976FA">
        <w:rPr>
          <w:rFonts w:ascii="Verdana" w:hAnsi="Verdana"/>
          <w:sz w:val="16"/>
          <w:szCs w:val="16"/>
          <w:lang w:val="es-CR"/>
        </w:rPr>
        <w:t xml:space="preserve"> </w:t>
      </w:r>
      <w:r w:rsidRPr="006976FA">
        <w:rPr>
          <w:rFonts w:ascii="Verdana" w:hAnsi="Verdana"/>
          <w:sz w:val="16"/>
          <w:szCs w:val="16"/>
          <w:lang w:val="es-CR"/>
        </w:rPr>
        <w:tab/>
        <w:t>Facultad que además se desprende de lo dispuesto en los artículos 33, 62.1, 62.3 y 65 de la Convención Americana y 30 de su Estatuto y se encuentra regulada en el artículo 69 de su Reglamento.</w:t>
      </w:r>
    </w:p>
  </w:footnote>
  <w:footnote w:id="7">
    <w:p w14:paraId="70C2422B" w14:textId="67A1BEA0" w:rsidR="00E162E5" w:rsidRPr="006976FA" w:rsidRDefault="00E162E5" w:rsidP="00686AC2">
      <w:pPr>
        <w:pStyle w:val="Textonotapie"/>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t xml:space="preserve">En el caso </w:t>
      </w:r>
      <w:r w:rsidRPr="006976FA">
        <w:rPr>
          <w:rFonts w:ascii="Verdana" w:hAnsi="Verdana"/>
          <w:i/>
          <w:sz w:val="16"/>
          <w:szCs w:val="16"/>
        </w:rPr>
        <w:t>Díaz Peña</w:t>
      </w:r>
      <w:r w:rsidRPr="006976FA">
        <w:rPr>
          <w:rFonts w:ascii="Verdana" w:hAnsi="Verdana"/>
          <w:sz w:val="16"/>
          <w:szCs w:val="16"/>
        </w:rPr>
        <w:t xml:space="preserve"> se ordenó como medidas de reparación: </w:t>
      </w:r>
      <w:r w:rsidR="00E44DEF" w:rsidRPr="006976FA">
        <w:rPr>
          <w:rFonts w:ascii="Verdana" w:hAnsi="Verdana"/>
          <w:sz w:val="16"/>
          <w:szCs w:val="16"/>
        </w:rPr>
        <w:t>i</w:t>
      </w:r>
      <w:r w:rsidRPr="006976FA">
        <w:rPr>
          <w:rFonts w:ascii="Verdana" w:hAnsi="Verdana"/>
          <w:sz w:val="16"/>
          <w:szCs w:val="16"/>
        </w:rPr>
        <w:t xml:space="preserve">) realizar las publicaciones de la Sentencia y de su resumen oficial dispuestas en el párrafo 153 de la misma </w:t>
      </w:r>
      <w:r w:rsidRPr="006976FA">
        <w:rPr>
          <w:rFonts w:ascii="Verdana" w:hAnsi="Verdana"/>
          <w:i/>
          <w:sz w:val="16"/>
          <w:szCs w:val="16"/>
        </w:rPr>
        <w:t>(punto resolutivo quinto de la Sentencia)</w:t>
      </w:r>
      <w:r w:rsidRPr="006976FA">
        <w:rPr>
          <w:rFonts w:ascii="Verdana" w:hAnsi="Verdana"/>
          <w:sz w:val="16"/>
          <w:szCs w:val="16"/>
        </w:rPr>
        <w:t xml:space="preserve">; </w:t>
      </w:r>
      <w:r w:rsidR="00E44DEF" w:rsidRPr="006976FA">
        <w:rPr>
          <w:rFonts w:ascii="Verdana" w:hAnsi="Verdana"/>
          <w:sz w:val="16"/>
          <w:szCs w:val="16"/>
        </w:rPr>
        <w:t>ii</w:t>
      </w:r>
      <w:r w:rsidRPr="006976FA">
        <w:rPr>
          <w:rFonts w:ascii="Verdana" w:hAnsi="Verdana"/>
          <w:sz w:val="16"/>
          <w:szCs w:val="16"/>
        </w:rPr>
        <w:t xml:space="preserve">) “adoptar, dentro de un plazo razonable, las medidas necesarias para que las condiciones de detención en el Control de Aprehendidos de la anterior Dirección General de los Servicios de Inteligencia y Prevención, actualmente Servicio Bolivariano de Inteligencia, ubicado en El Helicoide se adecuen a los estándares internacionales relativos a esta materia” </w:t>
      </w:r>
      <w:r w:rsidRPr="006976FA">
        <w:rPr>
          <w:rFonts w:ascii="Verdana" w:hAnsi="Verdana"/>
          <w:i/>
          <w:sz w:val="16"/>
          <w:szCs w:val="16"/>
        </w:rPr>
        <w:t>(punto resolutivo sexto de la Sentencia)</w:t>
      </w:r>
      <w:r w:rsidR="00E44DEF" w:rsidRPr="006976FA">
        <w:rPr>
          <w:rFonts w:ascii="Verdana" w:hAnsi="Verdana"/>
          <w:sz w:val="16"/>
          <w:szCs w:val="16"/>
        </w:rPr>
        <w:t>;</w:t>
      </w:r>
      <w:r w:rsidRPr="006976FA">
        <w:rPr>
          <w:rFonts w:ascii="Verdana" w:hAnsi="Verdana"/>
          <w:sz w:val="16"/>
          <w:szCs w:val="16"/>
        </w:rPr>
        <w:t xml:space="preserve"> </w:t>
      </w:r>
      <w:r w:rsidR="00E44DEF" w:rsidRPr="006976FA">
        <w:rPr>
          <w:rFonts w:ascii="Verdana" w:hAnsi="Verdana"/>
          <w:sz w:val="16"/>
          <w:szCs w:val="16"/>
        </w:rPr>
        <w:t>iii</w:t>
      </w:r>
      <w:r w:rsidRPr="006976FA">
        <w:rPr>
          <w:rFonts w:ascii="Verdana" w:hAnsi="Verdana"/>
          <w:sz w:val="16"/>
          <w:szCs w:val="16"/>
        </w:rPr>
        <w:t>)</w:t>
      </w:r>
      <w:r w:rsidR="00E44DEF" w:rsidRPr="006976FA">
        <w:rPr>
          <w:rFonts w:ascii="Verdana" w:hAnsi="Verdana"/>
          <w:sz w:val="16"/>
          <w:szCs w:val="16"/>
        </w:rPr>
        <w:t xml:space="preserve"> </w:t>
      </w:r>
      <w:r w:rsidRPr="006976FA">
        <w:rPr>
          <w:rFonts w:ascii="Verdana" w:hAnsi="Verdana"/>
          <w:sz w:val="16"/>
          <w:szCs w:val="16"/>
        </w:rPr>
        <w:t>pagar las cantidad</w:t>
      </w:r>
      <w:r w:rsidR="00E44DEF" w:rsidRPr="006976FA">
        <w:rPr>
          <w:rFonts w:ascii="Verdana" w:hAnsi="Verdana"/>
          <w:sz w:val="16"/>
          <w:szCs w:val="16"/>
        </w:rPr>
        <w:t xml:space="preserve">es fijadas en los párrafos 161 y </w:t>
      </w:r>
      <w:r w:rsidRPr="006976FA">
        <w:rPr>
          <w:rFonts w:ascii="Verdana" w:hAnsi="Verdana"/>
          <w:sz w:val="16"/>
          <w:szCs w:val="16"/>
        </w:rPr>
        <w:t xml:space="preserve">167 </w:t>
      </w:r>
      <w:r w:rsidR="00E44DEF" w:rsidRPr="006976FA">
        <w:rPr>
          <w:rFonts w:ascii="Verdana" w:hAnsi="Verdana"/>
          <w:sz w:val="16"/>
          <w:szCs w:val="16"/>
        </w:rPr>
        <w:t xml:space="preserve">de la </w:t>
      </w:r>
      <w:r w:rsidRPr="006976FA">
        <w:rPr>
          <w:rFonts w:ascii="Verdana" w:hAnsi="Verdana"/>
          <w:sz w:val="16"/>
          <w:szCs w:val="16"/>
        </w:rPr>
        <w:t>Sentencia, por concepto de indemnización</w:t>
      </w:r>
      <w:r w:rsidR="00E44DEF" w:rsidRPr="006976FA">
        <w:rPr>
          <w:rFonts w:ascii="Verdana" w:hAnsi="Verdana"/>
          <w:sz w:val="16"/>
          <w:szCs w:val="16"/>
        </w:rPr>
        <w:t xml:space="preserve"> por daño material e inmaterial </w:t>
      </w:r>
      <w:r w:rsidR="00E44DEF" w:rsidRPr="006976FA">
        <w:rPr>
          <w:rFonts w:ascii="Verdana" w:hAnsi="Verdana"/>
          <w:i/>
          <w:sz w:val="16"/>
          <w:szCs w:val="16"/>
        </w:rPr>
        <w:t>(punto resolutivo séptimo de la Sentencia)</w:t>
      </w:r>
      <w:r w:rsidR="00E44DEF" w:rsidRPr="006976FA">
        <w:rPr>
          <w:rFonts w:ascii="Verdana" w:hAnsi="Verdana"/>
          <w:sz w:val="16"/>
          <w:szCs w:val="16"/>
        </w:rPr>
        <w:t xml:space="preserve">, y iv) pagar la cantidad fijada en el párrafo 172 de la Sentencia por concepto de reintegro de costas y gastos </w:t>
      </w:r>
      <w:r w:rsidRPr="006976FA">
        <w:rPr>
          <w:rFonts w:ascii="Verdana" w:hAnsi="Verdana"/>
          <w:i/>
          <w:sz w:val="16"/>
          <w:szCs w:val="16"/>
        </w:rPr>
        <w:t>(punto resolutivo séptimo de la Sentencia)</w:t>
      </w:r>
      <w:r w:rsidRPr="006976FA">
        <w:rPr>
          <w:rFonts w:ascii="Verdana" w:hAnsi="Verdana"/>
          <w:sz w:val="16"/>
          <w:szCs w:val="16"/>
        </w:rPr>
        <w:t>.</w:t>
      </w:r>
    </w:p>
  </w:footnote>
  <w:footnote w:id="8">
    <w:p w14:paraId="74CCA6FD" w14:textId="1E0C4144" w:rsidR="00DD449A" w:rsidRPr="006976FA" w:rsidRDefault="00DD449A" w:rsidP="00686AC2">
      <w:pPr>
        <w:pStyle w:val="Textonotapie"/>
        <w:jc w:val="both"/>
        <w:rPr>
          <w:rFonts w:ascii="Verdana" w:hAnsi="Verdana"/>
          <w:sz w:val="16"/>
          <w:szCs w:val="16"/>
        </w:rPr>
      </w:pPr>
      <w:r w:rsidRPr="006976FA">
        <w:rPr>
          <w:rStyle w:val="Refdenotaalpie"/>
          <w:rFonts w:ascii="Verdana" w:hAnsi="Verdana"/>
          <w:sz w:val="16"/>
          <w:szCs w:val="16"/>
        </w:rPr>
        <w:footnoteRef/>
      </w:r>
      <w:r w:rsidR="00E44DEF" w:rsidRPr="006976FA">
        <w:rPr>
          <w:rFonts w:ascii="Verdana" w:hAnsi="Verdana"/>
          <w:sz w:val="16"/>
          <w:szCs w:val="16"/>
        </w:rPr>
        <w:t xml:space="preserve"> </w:t>
      </w:r>
      <w:r w:rsidR="00E44DEF" w:rsidRPr="006976FA">
        <w:rPr>
          <w:rFonts w:ascii="Verdana" w:hAnsi="Verdana"/>
          <w:sz w:val="16"/>
          <w:szCs w:val="16"/>
        </w:rPr>
        <w:tab/>
        <w:t xml:space="preserve">En el caso </w:t>
      </w:r>
      <w:r w:rsidR="00E44DEF" w:rsidRPr="006976FA">
        <w:rPr>
          <w:rFonts w:ascii="Verdana" w:hAnsi="Verdana"/>
          <w:i/>
          <w:sz w:val="16"/>
          <w:szCs w:val="16"/>
        </w:rPr>
        <w:t>Uzcátegui y otros</w:t>
      </w:r>
      <w:r w:rsidR="00E44DEF" w:rsidRPr="006976FA">
        <w:rPr>
          <w:rFonts w:ascii="Verdana" w:hAnsi="Verdana"/>
          <w:sz w:val="16"/>
          <w:szCs w:val="16"/>
        </w:rPr>
        <w:t xml:space="preserve"> se ordenó como medidas de reparación: i) “conducir eficazmente la investigación de los hechos del presente caso a fin de esclarecerlos, determinar las correspondientes responsabilidades penales y aplicar efectivamente las sanciones y consecuencias que la ley prevea” </w:t>
      </w:r>
      <w:r w:rsidR="00E44DEF" w:rsidRPr="006976FA">
        <w:rPr>
          <w:rFonts w:ascii="Verdana" w:hAnsi="Verdana"/>
          <w:i/>
          <w:sz w:val="16"/>
          <w:szCs w:val="16"/>
        </w:rPr>
        <w:t>(punto dispositivo segundo de la Sentencia)</w:t>
      </w:r>
      <w:r w:rsidR="00E44DEF" w:rsidRPr="006976FA">
        <w:rPr>
          <w:rFonts w:ascii="Verdana" w:hAnsi="Verdana"/>
          <w:sz w:val="16"/>
          <w:szCs w:val="16"/>
        </w:rPr>
        <w:t xml:space="preserve">; ii) “brindar atención médica y psicológica gratuita y de forma inmediata, adecuada y efectiva, a las víctimas que así lo soliciten” </w:t>
      </w:r>
      <w:r w:rsidR="00E44DEF" w:rsidRPr="006976FA">
        <w:rPr>
          <w:rFonts w:ascii="Verdana" w:hAnsi="Verdana"/>
          <w:i/>
          <w:sz w:val="16"/>
          <w:szCs w:val="16"/>
        </w:rPr>
        <w:t>(punto dispositivo tercero de la Sentencia);</w:t>
      </w:r>
      <w:r w:rsidR="00E44DEF" w:rsidRPr="006976FA">
        <w:rPr>
          <w:rFonts w:ascii="Verdana" w:hAnsi="Verdana"/>
          <w:sz w:val="16"/>
          <w:szCs w:val="16"/>
        </w:rPr>
        <w:t xml:space="preserve"> iii) realizar las publicaciones de la Sentencia y de su resumen oficial dispuestas en el párrafo 256 de la misma </w:t>
      </w:r>
      <w:r w:rsidR="00E44DEF" w:rsidRPr="006976FA">
        <w:rPr>
          <w:rFonts w:ascii="Verdana" w:hAnsi="Verdana"/>
          <w:i/>
          <w:sz w:val="16"/>
          <w:szCs w:val="16"/>
        </w:rPr>
        <w:t>(punto dispositivo cuarto de la Sentencia)</w:t>
      </w:r>
      <w:r w:rsidR="00E44DEF" w:rsidRPr="006976FA">
        <w:rPr>
          <w:rFonts w:ascii="Verdana" w:hAnsi="Verdana"/>
          <w:sz w:val="16"/>
          <w:szCs w:val="16"/>
        </w:rPr>
        <w:t xml:space="preserve">; iv) pagar las cantidades fijadas en los párrafos 278, 279 y 281 de la Sentencia, por concepto de indemnizaciones por daño material y por daño inmaterial </w:t>
      </w:r>
      <w:r w:rsidR="00E44DEF" w:rsidRPr="006976FA">
        <w:rPr>
          <w:rFonts w:ascii="Verdana" w:hAnsi="Verdana"/>
          <w:i/>
          <w:sz w:val="16"/>
          <w:szCs w:val="16"/>
        </w:rPr>
        <w:t>(punto dispositivo quinto de la Sentencia)</w:t>
      </w:r>
      <w:r w:rsidR="00E44DEF" w:rsidRPr="006976FA">
        <w:rPr>
          <w:rFonts w:ascii="Verdana" w:hAnsi="Verdana"/>
          <w:sz w:val="16"/>
          <w:szCs w:val="16"/>
        </w:rPr>
        <w:t xml:space="preserve">, y v) pagar la cantidad fijada en el párrafo 285 de la Sentencia por concepto de reintegro de costas y gastos </w:t>
      </w:r>
      <w:r w:rsidR="00E44DEF" w:rsidRPr="006976FA">
        <w:rPr>
          <w:rFonts w:ascii="Verdana" w:hAnsi="Verdana"/>
          <w:i/>
          <w:sz w:val="16"/>
          <w:szCs w:val="16"/>
        </w:rPr>
        <w:t>(punto dispositivo quinto de la Sentencia)</w:t>
      </w:r>
      <w:r w:rsidR="00E44DEF" w:rsidRPr="006976FA">
        <w:rPr>
          <w:rFonts w:ascii="Verdana" w:hAnsi="Verdana"/>
          <w:sz w:val="16"/>
          <w:szCs w:val="16"/>
        </w:rPr>
        <w:t>.</w:t>
      </w:r>
    </w:p>
  </w:footnote>
  <w:footnote w:id="9">
    <w:p w14:paraId="2B6ED83B" w14:textId="757CF7DC" w:rsidR="00F2708E" w:rsidRPr="006976FA" w:rsidRDefault="00F2708E" w:rsidP="007A5F46">
      <w:pPr>
        <w:pStyle w:val="Textonotapie"/>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00F823E5" w:rsidRPr="006976FA">
        <w:rPr>
          <w:rFonts w:ascii="Verdana" w:hAnsi="Verdana"/>
          <w:sz w:val="16"/>
          <w:szCs w:val="16"/>
        </w:rPr>
        <w:tab/>
      </w:r>
      <w:r w:rsidR="00BE36D6" w:rsidRPr="006976FA">
        <w:rPr>
          <w:rFonts w:ascii="Verdana" w:hAnsi="Verdana"/>
          <w:i/>
          <w:sz w:val="16"/>
          <w:szCs w:val="16"/>
        </w:rPr>
        <w:t>Cfr. Caso Díaz Peña Vs. Venezuela</w:t>
      </w:r>
      <w:r w:rsidR="003736F7" w:rsidRPr="006976FA">
        <w:rPr>
          <w:rFonts w:ascii="Verdana" w:hAnsi="Verdana"/>
          <w:i/>
          <w:sz w:val="16"/>
          <w:szCs w:val="16"/>
        </w:rPr>
        <w:t>,</w:t>
      </w:r>
      <w:r w:rsidR="00BE36D6" w:rsidRPr="006976FA">
        <w:rPr>
          <w:rFonts w:ascii="Verdana" w:hAnsi="Verdana"/>
          <w:i/>
          <w:sz w:val="16"/>
          <w:szCs w:val="16"/>
        </w:rPr>
        <w:t xml:space="preserve"> supra </w:t>
      </w:r>
      <w:r w:rsidR="00BE36D6" w:rsidRPr="006976FA">
        <w:rPr>
          <w:rFonts w:ascii="Verdana" w:hAnsi="Verdana"/>
          <w:sz w:val="16"/>
          <w:szCs w:val="16"/>
        </w:rPr>
        <w:t xml:space="preserve">nota </w:t>
      </w:r>
      <w:r w:rsidR="00F277DC" w:rsidRPr="006976FA">
        <w:rPr>
          <w:rFonts w:ascii="Verdana" w:hAnsi="Verdana"/>
          <w:sz w:val="16"/>
          <w:szCs w:val="16"/>
        </w:rPr>
        <w:t>1</w:t>
      </w:r>
      <w:r w:rsidR="00BE36D6" w:rsidRPr="006976FA">
        <w:rPr>
          <w:rFonts w:ascii="Verdana" w:hAnsi="Verdana"/>
          <w:sz w:val="16"/>
          <w:szCs w:val="16"/>
        </w:rPr>
        <w:t xml:space="preserve">, punto dispositivo 8, y </w:t>
      </w:r>
      <w:r w:rsidR="00BE36D6" w:rsidRPr="006976FA">
        <w:rPr>
          <w:rFonts w:ascii="Verdana" w:hAnsi="Verdana"/>
          <w:i/>
          <w:sz w:val="16"/>
          <w:szCs w:val="16"/>
        </w:rPr>
        <w:t xml:space="preserve">Caso Uzcátegui </w:t>
      </w:r>
      <w:r w:rsidR="00C71B6A" w:rsidRPr="006976FA">
        <w:rPr>
          <w:rFonts w:ascii="Verdana" w:hAnsi="Verdana"/>
          <w:i/>
          <w:sz w:val="16"/>
          <w:szCs w:val="16"/>
        </w:rPr>
        <w:t xml:space="preserve">y otros </w:t>
      </w:r>
      <w:r w:rsidR="00BE36D6" w:rsidRPr="006976FA">
        <w:rPr>
          <w:rFonts w:ascii="Verdana" w:hAnsi="Verdana"/>
          <w:i/>
          <w:sz w:val="16"/>
          <w:szCs w:val="16"/>
        </w:rPr>
        <w:t>Vs. Venezuela</w:t>
      </w:r>
      <w:r w:rsidR="003736F7" w:rsidRPr="006976FA">
        <w:rPr>
          <w:rFonts w:ascii="Verdana" w:hAnsi="Verdana"/>
          <w:i/>
          <w:sz w:val="16"/>
          <w:szCs w:val="16"/>
        </w:rPr>
        <w:t>,</w:t>
      </w:r>
      <w:r w:rsidR="00BE36D6" w:rsidRPr="006976FA">
        <w:rPr>
          <w:rFonts w:ascii="Verdana" w:hAnsi="Verdana"/>
          <w:i/>
          <w:sz w:val="16"/>
          <w:szCs w:val="16"/>
        </w:rPr>
        <w:t xml:space="preserve"> supra </w:t>
      </w:r>
      <w:r w:rsidR="00BE36D6" w:rsidRPr="006976FA">
        <w:rPr>
          <w:rFonts w:ascii="Verdana" w:hAnsi="Verdana"/>
          <w:sz w:val="16"/>
          <w:szCs w:val="16"/>
        </w:rPr>
        <w:t>nota</w:t>
      </w:r>
      <w:r w:rsidR="003736F7" w:rsidRPr="006976FA">
        <w:rPr>
          <w:rFonts w:ascii="Verdana" w:hAnsi="Verdana"/>
          <w:sz w:val="16"/>
          <w:szCs w:val="16"/>
        </w:rPr>
        <w:t xml:space="preserve"> </w:t>
      </w:r>
      <w:r w:rsidR="00F277DC" w:rsidRPr="006976FA">
        <w:rPr>
          <w:rFonts w:ascii="Verdana" w:hAnsi="Verdana"/>
          <w:sz w:val="16"/>
          <w:szCs w:val="16"/>
        </w:rPr>
        <w:t>2</w:t>
      </w:r>
      <w:r w:rsidR="00BE36D6" w:rsidRPr="006976FA">
        <w:rPr>
          <w:rFonts w:ascii="Verdana" w:hAnsi="Verdana"/>
          <w:sz w:val="16"/>
          <w:szCs w:val="16"/>
        </w:rPr>
        <w:t>, punto dispositivo 6</w:t>
      </w:r>
      <w:r w:rsidR="00BE36D6" w:rsidRPr="006976FA">
        <w:rPr>
          <w:rFonts w:ascii="Verdana" w:hAnsi="Verdana"/>
          <w:sz w:val="16"/>
          <w:szCs w:val="16"/>
          <w:lang w:val="es-CR"/>
        </w:rPr>
        <w:t>.</w:t>
      </w:r>
    </w:p>
  </w:footnote>
  <w:footnote w:id="10">
    <w:p w14:paraId="566A0CF3" w14:textId="41F26CC2" w:rsidR="00F2708E" w:rsidRPr="006976FA" w:rsidRDefault="00F2708E" w:rsidP="007A5F46">
      <w:pPr>
        <w:pStyle w:val="Textonotapie"/>
        <w:ind w:right="-93"/>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r>
      <w:r w:rsidRPr="006976FA">
        <w:rPr>
          <w:rFonts w:ascii="Verdana" w:hAnsi="Verdana"/>
          <w:i/>
          <w:sz w:val="16"/>
          <w:szCs w:val="16"/>
        </w:rPr>
        <w:t>Cfr.</w:t>
      </w:r>
      <w:r w:rsidRPr="006976FA">
        <w:rPr>
          <w:rFonts w:ascii="Verdana" w:hAnsi="Verdana"/>
          <w:sz w:val="16"/>
          <w:szCs w:val="16"/>
        </w:rPr>
        <w:t xml:space="preserve"> </w:t>
      </w:r>
      <w:r w:rsidRPr="006976FA">
        <w:rPr>
          <w:rStyle w:val="Textoennegrita"/>
          <w:rFonts w:ascii="Verdana" w:hAnsi="Verdana"/>
          <w:b w:val="0"/>
          <w:i/>
          <w:color w:val="000000"/>
          <w:sz w:val="16"/>
          <w:szCs w:val="16"/>
        </w:rPr>
        <w:t>Caso</w:t>
      </w:r>
      <w:r w:rsidRPr="006976FA">
        <w:rPr>
          <w:rStyle w:val="Textoennegrita"/>
          <w:rFonts w:ascii="Verdana" w:hAnsi="Verdana"/>
          <w:b w:val="0"/>
          <w:color w:val="000000"/>
          <w:sz w:val="16"/>
          <w:szCs w:val="16"/>
        </w:rPr>
        <w:t xml:space="preserve"> </w:t>
      </w:r>
      <w:r w:rsidRPr="006976FA">
        <w:rPr>
          <w:rStyle w:val="Textoennegrita"/>
          <w:rFonts w:ascii="Verdana" w:hAnsi="Verdana"/>
          <w:b w:val="0"/>
          <w:i/>
          <w:color w:val="000000"/>
          <w:sz w:val="16"/>
          <w:szCs w:val="16"/>
        </w:rPr>
        <w:t>Díaz Peña</w:t>
      </w:r>
      <w:r w:rsidR="00563756">
        <w:rPr>
          <w:rStyle w:val="Textoennegrita"/>
          <w:rFonts w:ascii="Verdana" w:hAnsi="Verdana"/>
          <w:b w:val="0"/>
          <w:i/>
          <w:color w:val="000000"/>
          <w:sz w:val="16"/>
          <w:szCs w:val="16"/>
        </w:rPr>
        <w:t xml:space="preserve"> </w:t>
      </w:r>
      <w:r w:rsidR="00563756" w:rsidRPr="006976FA">
        <w:rPr>
          <w:rFonts w:ascii="Verdana" w:hAnsi="Verdana"/>
          <w:i/>
          <w:sz w:val="16"/>
          <w:szCs w:val="16"/>
        </w:rPr>
        <w:t>Vs. Venezuela</w:t>
      </w:r>
      <w:r w:rsidRPr="006976FA">
        <w:rPr>
          <w:rStyle w:val="Textoennegrita"/>
          <w:rFonts w:ascii="Verdana" w:hAnsi="Verdana"/>
          <w:b w:val="0"/>
          <w:i/>
          <w:color w:val="000000"/>
          <w:sz w:val="16"/>
          <w:szCs w:val="16"/>
        </w:rPr>
        <w:t xml:space="preserve">, supra </w:t>
      </w:r>
      <w:r w:rsidRPr="006976FA">
        <w:rPr>
          <w:rStyle w:val="Textoennegrita"/>
          <w:rFonts w:ascii="Verdana" w:hAnsi="Verdana"/>
          <w:b w:val="0"/>
          <w:color w:val="000000"/>
          <w:sz w:val="16"/>
          <w:szCs w:val="16"/>
        </w:rPr>
        <w:t xml:space="preserve">nota </w:t>
      </w:r>
      <w:r w:rsidR="00F277DC" w:rsidRPr="006976FA">
        <w:rPr>
          <w:rStyle w:val="Textoennegrita"/>
          <w:rFonts w:ascii="Verdana" w:hAnsi="Verdana"/>
          <w:b w:val="0"/>
          <w:color w:val="000000"/>
          <w:sz w:val="16"/>
          <w:szCs w:val="16"/>
        </w:rPr>
        <w:t>1</w:t>
      </w:r>
      <w:r w:rsidRPr="006976FA">
        <w:rPr>
          <w:rStyle w:val="Textoennegrita"/>
          <w:rFonts w:ascii="Verdana" w:hAnsi="Verdana"/>
          <w:b w:val="0"/>
          <w:color w:val="000000"/>
          <w:sz w:val="16"/>
          <w:szCs w:val="16"/>
        </w:rPr>
        <w:t xml:space="preserve">, punto </w:t>
      </w:r>
      <w:r w:rsidR="00F277DC" w:rsidRPr="006976FA">
        <w:rPr>
          <w:rStyle w:val="Textoennegrita"/>
          <w:rFonts w:ascii="Verdana" w:hAnsi="Verdana"/>
          <w:b w:val="0"/>
          <w:color w:val="000000"/>
          <w:sz w:val="16"/>
          <w:szCs w:val="16"/>
        </w:rPr>
        <w:t>dispositivo 8</w:t>
      </w:r>
      <w:r w:rsidRPr="006976FA">
        <w:rPr>
          <w:rStyle w:val="Textoennegrita"/>
          <w:rFonts w:ascii="Verdana" w:hAnsi="Verdana"/>
          <w:b w:val="0"/>
          <w:color w:val="000000"/>
          <w:sz w:val="16"/>
          <w:szCs w:val="16"/>
        </w:rPr>
        <w:t xml:space="preserve">, y </w:t>
      </w:r>
      <w:r w:rsidRPr="006976FA">
        <w:rPr>
          <w:rFonts w:ascii="Verdana" w:hAnsi="Verdana"/>
          <w:i/>
          <w:sz w:val="16"/>
          <w:szCs w:val="16"/>
        </w:rPr>
        <w:t xml:space="preserve">Cfr. </w:t>
      </w:r>
      <w:r w:rsidRPr="006976FA">
        <w:rPr>
          <w:rStyle w:val="Textoennegrita"/>
          <w:rFonts w:ascii="Verdana" w:hAnsi="Verdana"/>
          <w:b w:val="0"/>
          <w:i/>
          <w:color w:val="000000"/>
          <w:sz w:val="16"/>
          <w:szCs w:val="16"/>
        </w:rPr>
        <w:t>Caso</w:t>
      </w:r>
      <w:r w:rsidRPr="006976FA">
        <w:rPr>
          <w:rStyle w:val="Textoennegrita"/>
          <w:rFonts w:ascii="Verdana" w:hAnsi="Verdana"/>
          <w:b w:val="0"/>
          <w:color w:val="000000"/>
          <w:sz w:val="16"/>
          <w:szCs w:val="16"/>
        </w:rPr>
        <w:t xml:space="preserve"> </w:t>
      </w:r>
      <w:r w:rsidRPr="006976FA">
        <w:rPr>
          <w:rStyle w:val="Textoennegrita"/>
          <w:rFonts w:ascii="Verdana" w:hAnsi="Verdana"/>
          <w:b w:val="0"/>
          <w:i/>
          <w:color w:val="000000"/>
          <w:sz w:val="16"/>
          <w:szCs w:val="16"/>
        </w:rPr>
        <w:t>Uzcátegui y otros</w:t>
      </w:r>
      <w:r w:rsidR="00563756">
        <w:rPr>
          <w:rStyle w:val="Textoennegrita"/>
          <w:rFonts w:ascii="Verdana" w:hAnsi="Verdana"/>
          <w:b w:val="0"/>
          <w:i/>
          <w:color w:val="000000"/>
          <w:sz w:val="16"/>
          <w:szCs w:val="16"/>
        </w:rPr>
        <w:t xml:space="preserve"> </w:t>
      </w:r>
      <w:r w:rsidR="00563756" w:rsidRPr="006976FA">
        <w:rPr>
          <w:rFonts w:ascii="Verdana" w:hAnsi="Verdana"/>
          <w:i/>
          <w:sz w:val="16"/>
          <w:szCs w:val="16"/>
        </w:rPr>
        <w:t>Vs. Venezuela</w:t>
      </w:r>
      <w:r w:rsidRPr="006976FA">
        <w:rPr>
          <w:rStyle w:val="Textoennegrita"/>
          <w:rFonts w:ascii="Verdana" w:hAnsi="Verdana"/>
          <w:b w:val="0"/>
          <w:i/>
          <w:color w:val="000000"/>
          <w:sz w:val="16"/>
          <w:szCs w:val="16"/>
        </w:rPr>
        <w:t xml:space="preserve">, supra </w:t>
      </w:r>
      <w:r w:rsidRPr="006976FA">
        <w:rPr>
          <w:rStyle w:val="Textoennegrita"/>
          <w:rFonts w:ascii="Verdana" w:hAnsi="Verdana"/>
          <w:b w:val="0"/>
          <w:color w:val="000000"/>
          <w:sz w:val="16"/>
          <w:szCs w:val="16"/>
        </w:rPr>
        <w:t xml:space="preserve">nota </w:t>
      </w:r>
      <w:r w:rsidR="00F277DC" w:rsidRPr="006976FA">
        <w:rPr>
          <w:rStyle w:val="Textoennegrita"/>
          <w:rFonts w:ascii="Verdana" w:hAnsi="Verdana"/>
          <w:b w:val="0"/>
          <w:color w:val="000000"/>
          <w:sz w:val="16"/>
          <w:szCs w:val="16"/>
        </w:rPr>
        <w:t>2</w:t>
      </w:r>
      <w:r w:rsidRPr="006976FA">
        <w:rPr>
          <w:rStyle w:val="Textoennegrita"/>
          <w:rFonts w:ascii="Verdana" w:hAnsi="Verdana"/>
          <w:b w:val="0"/>
          <w:color w:val="000000"/>
          <w:sz w:val="16"/>
          <w:szCs w:val="16"/>
        </w:rPr>
        <w:t xml:space="preserve">, punto dispositivo </w:t>
      </w:r>
      <w:r w:rsidR="00F277DC" w:rsidRPr="006976FA">
        <w:rPr>
          <w:rStyle w:val="Textoennegrita"/>
          <w:rFonts w:ascii="Verdana" w:hAnsi="Verdana"/>
          <w:b w:val="0"/>
          <w:color w:val="000000"/>
          <w:sz w:val="16"/>
          <w:szCs w:val="16"/>
        </w:rPr>
        <w:t>6</w:t>
      </w:r>
      <w:r w:rsidRPr="006976FA">
        <w:rPr>
          <w:rStyle w:val="Textoennegrita"/>
          <w:rFonts w:ascii="Verdana" w:hAnsi="Verdana"/>
          <w:b w:val="0"/>
          <w:color w:val="000000"/>
          <w:sz w:val="16"/>
          <w:szCs w:val="16"/>
        </w:rPr>
        <w:t>.</w:t>
      </w:r>
    </w:p>
  </w:footnote>
  <w:footnote w:id="11">
    <w:p w14:paraId="3D7FA4FD" w14:textId="332F3735" w:rsidR="00F2708E" w:rsidRPr="006976FA" w:rsidRDefault="00F2708E" w:rsidP="007A5F46">
      <w:pPr>
        <w:pStyle w:val="Textonotapie"/>
        <w:ind w:right="-93"/>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t xml:space="preserve">La Corte constató que en el caso </w:t>
      </w:r>
      <w:r w:rsidRPr="006976FA">
        <w:rPr>
          <w:rFonts w:ascii="Verdana" w:hAnsi="Verdana"/>
          <w:i/>
          <w:sz w:val="16"/>
          <w:szCs w:val="16"/>
        </w:rPr>
        <w:t>Díaz Peña</w:t>
      </w:r>
      <w:r w:rsidRPr="006976FA">
        <w:rPr>
          <w:rFonts w:ascii="Verdana" w:hAnsi="Verdana"/>
          <w:sz w:val="16"/>
          <w:szCs w:val="16"/>
        </w:rPr>
        <w:t xml:space="preserve"> habían transcurrido dos años y cuatro meses desde el vencimiento del plazo de un año dispuesto en la Sentencia y que se había reiterado al Estado en una ocasión que presentara el informe requerido en el punto resolutivo octavo de la Sentencia, cuyo plazo para su presentación venció el 20 de julio de 2013, y en el caso </w:t>
      </w:r>
      <w:r w:rsidRPr="006976FA">
        <w:rPr>
          <w:rFonts w:ascii="Verdana" w:hAnsi="Verdana"/>
          <w:i/>
          <w:sz w:val="16"/>
          <w:szCs w:val="16"/>
        </w:rPr>
        <w:t>Uzcátegui y otros</w:t>
      </w:r>
      <w:r w:rsidRPr="006976FA">
        <w:rPr>
          <w:rFonts w:ascii="Verdana" w:hAnsi="Verdana"/>
          <w:sz w:val="16"/>
          <w:szCs w:val="16"/>
        </w:rPr>
        <w:t xml:space="preserve"> habían transcurrido dos años y un mes desde el vencimiento del plazo de un año dispuesto en la Sentencia y que se había reiterado al Estado en una ocasión que presentara el informe requerido en el punto resolutivo sexto de la Sentencia, cuyo plazo para su presentación venció el 12 de octubre de 2013. </w:t>
      </w:r>
      <w:r w:rsidRPr="006976FA">
        <w:rPr>
          <w:rFonts w:ascii="Verdana" w:hAnsi="Verdana"/>
          <w:i/>
          <w:sz w:val="16"/>
          <w:szCs w:val="16"/>
        </w:rPr>
        <w:t xml:space="preserve">Cfr. </w:t>
      </w:r>
      <w:r w:rsidRPr="006976FA">
        <w:rPr>
          <w:rStyle w:val="Textoennegrita"/>
          <w:rFonts w:ascii="Verdana" w:hAnsi="Verdana"/>
          <w:b w:val="0"/>
          <w:i/>
          <w:color w:val="000000"/>
          <w:sz w:val="16"/>
          <w:szCs w:val="16"/>
          <w:shd w:val="clear" w:color="auto" w:fill="FFFFFF"/>
        </w:rPr>
        <w:t xml:space="preserve">Casos </w:t>
      </w:r>
      <w:proofErr w:type="spellStart"/>
      <w:r w:rsidRPr="006976FA">
        <w:rPr>
          <w:rStyle w:val="Textoennegrita"/>
          <w:rFonts w:ascii="Verdana" w:hAnsi="Verdana"/>
          <w:b w:val="0"/>
          <w:i/>
          <w:color w:val="000000"/>
          <w:sz w:val="16"/>
          <w:szCs w:val="16"/>
          <w:shd w:val="clear" w:color="auto" w:fill="FFFFFF"/>
        </w:rPr>
        <w:t>Chocrón</w:t>
      </w:r>
      <w:proofErr w:type="spellEnd"/>
      <w:r w:rsidRPr="006976FA">
        <w:rPr>
          <w:rStyle w:val="Textoennegrita"/>
          <w:rFonts w:ascii="Verdana" w:hAnsi="Verdana"/>
          <w:b w:val="0"/>
          <w:i/>
          <w:color w:val="000000"/>
          <w:sz w:val="16"/>
          <w:szCs w:val="16"/>
          <w:shd w:val="clear" w:color="auto" w:fill="FFFFFF"/>
        </w:rPr>
        <w:t xml:space="preserve"> </w:t>
      </w:r>
      <w:proofErr w:type="spellStart"/>
      <w:r w:rsidRPr="006976FA">
        <w:rPr>
          <w:rStyle w:val="Textoennegrita"/>
          <w:rFonts w:ascii="Verdana" w:hAnsi="Verdana"/>
          <w:b w:val="0"/>
          <w:i/>
          <w:color w:val="000000"/>
          <w:sz w:val="16"/>
          <w:szCs w:val="16"/>
          <w:shd w:val="clear" w:color="auto" w:fill="FFFFFF"/>
        </w:rPr>
        <w:t>Chocrón</w:t>
      </w:r>
      <w:proofErr w:type="spellEnd"/>
      <w:r w:rsidRPr="006976FA">
        <w:rPr>
          <w:rStyle w:val="Textoennegrita"/>
          <w:rFonts w:ascii="Verdana" w:hAnsi="Verdana"/>
          <w:b w:val="0"/>
          <w:i/>
          <w:color w:val="000000"/>
          <w:sz w:val="16"/>
          <w:szCs w:val="16"/>
          <w:shd w:val="clear" w:color="auto" w:fill="FFFFFF"/>
        </w:rPr>
        <w:t>, Díaz Peña, y Uzcátegui y otros</w:t>
      </w:r>
      <w:r w:rsidR="0033093C">
        <w:rPr>
          <w:rStyle w:val="Textoennegrita"/>
          <w:rFonts w:ascii="Verdana" w:hAnsi="Verdana"/>
          <w:b w:val="0"/>
          <w:i/>
          <w:color w:val="000000"/>
          <w:sz w:val="16"/>
          <w:szCs w:val="16"/>
          <w:shd w:val="clear" w:color="auto" w:fill="FFFFFF"/>
        </w:rPr>
        <w:t xml:space="preserve"> </w:t>
      </w:r>
      <w:r w:rsidR="0033093C" w:rsidRPr="006976FA">
        <w:rPr>
          <w:rFonts w:ascii="Verdana" w:hAnsi="Verdana"/>
          <w:i/>
          <w:sz w:val="16"/>
          <w:szCs w:val="16"/>
        </w:rPr>
        <w:t>Vs. Venezuela</w:t>
      </w:r>
      <w:r w:rsidRPr="006976FA">
        <w:rPr>
          <w:rStyle w:val="Textoennegrita"/>
          <w:rFonts w:ascii="Verdana" w:hAnsi="Verdana"/>
          <w:b w:val="0"/>
          <w:i/>
          <w:color w:val="000000"/>
          <w:sz w:val="16"/>
          <w:szCs w:val="16"/>
          <w:shd w:val="clear" w:color="auto" w:fill="FFFFFF"/>
        </w:rPr>
        <w:t xml:space="preserve">, supra </w:t>
      </w:r>
      <w:r w:rsidRPr="006976FA">
        <w:rPr>
          <w:rStyle w:val="Textoennegrita"/>
          <w:rFonts w:ascii="Verdana" w:hAnsi="Verdana"/>
          <w:b w:val="0"/>
          <w:color w:val="000000"/>
          <w:sz w:val="16"/>
          <w:szCs w:val="16"/>
          <w:shd w:val="clear" w:color="auto" w:fill="FFFFFF"/>
        </w:rPr>
        <w:t xml:space="preserve">nota </w:t>
      </w:r>
      <w:r w:rsidR="00F10ACF" w:rsidRPr="006976FA">
        <w:rPr>
          <w:rStyle w:val="Textoennegrita"/>
          <w:rFonts w:ascii="Verdana" w:hAnsi="Verdana"/>
          <w:b w:val="0"/>
          <w:color w:val="000000"/>
          <w:sz w:val="16"/>
          <w:szCs w:val="16"/>
          <w:shd w:val="clear" w:color="auto" w:fill="FFFFFF"/>
        </w:rPr>
        <w:t>3</w:t>
      </w:r>
      <w:r w:rsidRPr="006976FA">
        <w:rPr>
          <w:rStyle w:val="Textoennegrita"/>
          <w:rFonts w:ascii="Verdana" w:hAnsi="Verdana"/>
          <w:b w:val="0"/>
          <w:color w:val="000000"/>
          <w:sz w:val="16"/>
          <w:szCs w:val="16"/>
          <w:shd w:val="clear" w:color="auto" w:fill="FFFFFF"/>
        </w:rPr>
        <w:t xml:space="preserve">, Considerando </w:t>
      </w:r>
      <w:r w:rsidR="00BA656B" w:rsidRPr="006976FA">
        <w:rPr>
          <w:rStyle w:val="Textoennegrita"/>
          <w:rFonts w:ascii="Verdana" w:hAnsi="Verdana"/>
          <w:b w:val="0"/>
          <w:color w:val="000000"/>
          <w:sz w:val="16"/>
          <w:szCs w:val="16"/>
          <w:shd w:val="clear" w:color="auto" w:fill="FFFFFF"/>
        </w:rPr>
        <w:t>2</w:t>
      </w:r>
      <w:r w:rsidRPr="006976FA">
        <w:rPr>
          <w:rStyle w:val="Textoennegrita"/>
          <w:rFonts w:ascii="Verdana" w:hAnsi="Verdana"/>
          <w:b w:val="0"/>
          <w:color w:val="000000"/>
          <w:sz w:val="16"/>
          <w:szCs w:val="16"/>
          <w:shd w:val="clear" w:color="auto" w:fill="FFFFFF"/>
        </w:rPr>
        <w:t>.</w:t>
      </w:r>
    </w:p>
  </w:footnote>
  <w:footnote w:id="12">
    <w:p w14:paraId="64E9482A" w14:textId="39581A6B" w:rsidR="00F2708E" w:rsidRPr="006976FA" w:rsidRDefault="00F2708E" w:rsidP="007A5F46">
      <w:pPr>
        <w:pStyle w:val="Textonotapie"/>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r>
      <w:r w:rsidRPr="006976FA">
        <w:rPr>
          <w:rFonts w:ascii="Verdana" w:hAnsi="Verdana"/>
          <w:i/>
          <w:sz w:val="16"/>
          <w:szCs w:val="16"/>
        </w:rPr>
        <w:t xml:space="preserve">Cfr. </w:t>
      </w:r>
      <w:r w:rsidRPr="006976FA">
        <w:rPr>
          <w:rStyle w:val="Textoennegrita"/>
          <w:rFonts w:ascii="Verdana" w:hAnsi="Verdana"/>
          <w:b w:val="0"/>
          <w:i/>
          <w:color w:val="000000"/>
          <w:sz w:val="16"/>
          <w:szCs w:val="16"/>
          <w:shd w:val="clear" w:color="auto" w:fill="FFFFFF"/>
        </w:rPr>
        <w:t xml:space="preserve">Casos </w:t>
      </w:r>
      <w:proofErr w:type="spellStart"/>
      <w:r w:rsidRPr="006976FA">
        <w:rPr>
          <w:rStyle w:val="Textoennegrita"/>
          <w:rFonts w:ascii="Verdana" w:hAnsi="Verdana"/>
          <w:b w:val="0"/>
          <w:i/>
          <w:color w:val="000000"/>
          <w:sz w:val="16"/>
          <w:szCs w:val="16"/>
          <w:shd w:val="clear" w:color="auto" w:fill="FFFFFF"/>
        </w:rPr>
        <w:t>Chocrón</w:t>
      </w:r>
      <w:proofErr w:type="spellEnd"/>
      <w:r w:rsidRPr="006976FA">
        <w:rPr>
          <w:rStyle w:val="Textoennegrita"/>
          <w:rFonts w:ascii="Verdana" w:hAnsi="Verdana"/>
          <w:b w:val="0"/>
          <w:i/>
          <w:color w:val="000000"/>
          <w:sz w:val="16"/>
          <w:szCs w:val="16"/>
          <w:shd w:val="clear" w:color="auto" w:fill="FFFFFF"/>
        </w:rPr>
        <w:t xml:space="preserve"> </w:t>
      </w:r>
      <w:proofErr w:type="spellStart"/>
      <w:r w:rsidRPr="006976FA">
        <w:rPr>
          <w:rStyle w:val="Textoennegrita"/>
          <w:rFonts w:ascii="Verdana" w:hAnsi="Verdana"/>
          <w:b w:val="0"/>
          <w:i/>
          <w:color w:val="000000"/>
          <w:sz w:val="16"/>
          <w:szCs w:val="16"/>
          <w:shd w:val="clear" w:color="auto" w:fill="FFFFFF"/>
        </w:rPr>
        <w:t>Chocrón</w:t>
      </w:r>
      <w:proofErr w:type="spellEnd"/>
      <w:r w:rsidRPr="006976FA">
        <w:rPr>
          <w:rStyle w:val="Textoennegrita"/>
          <w:rFonts w:ascii="Verdana" w:hAnsi="Verdana"/>
          <w:b w:val="0"/>
          <w:i/>
          <w:color w:val="000000"/>
          <w:sz w:val="16"/>
          <w:szCs w:val="16"/>
          <w:shd w:val="clear" w:color="auto" w:fill="FFFFFF"/>
        </w:rPr>
        <w:t>, Díaz Peña, y Uzcátegui y otros</w:t>
      </w:r>
      <w:r w:rsidR="0033093C">
        <w:rPr>
          <w:rStyle w:val="Textoennegrita"/>
          <w:rFonts w:ascii="Verdana" w:hAnsi="Verdana"/>
          <w:b w:val="0"/>
          <w:i/>
          <w:color w:val="000000"/>
          <w:sz w:val="16"/>
          <w:szCs w:val="16"/>
          <w:shd w:val="clear" w:color="auto" w:fill="FFFFFF"/>
        </w:rPr>
        <w:t xml:space="preserve"> </w:t>
      </w:r>
      <w:r w:rsidR="0033093C" w:rsidRPr="006976FA">
        <w:rPr>
          <w:rFonts w:ascii="Verdana" w:hAnsi="Verdana"/>
          <w:i/>
          <w:sz w:val="16"/>
          <w:szCs w:val="16"/>
        </w:rPr>
        <w:t>Vs. Venezuela</w:t>
      </w:r>
      <w:r w:rsidRPr="006976FA">
        <w:rPr>
          <w:rStyle w:val="Textoennegrita"/>
          <w:rFonts w:ascii="Verdana" w:hAnsi="Verdana"/>
          <w:b w:val="0"/>
          <w:i/>
          <w:color w:val="000000"/>
          <w:sz w:val="16"/>
          <w:szCs w:val="16"/>
          <w:shd w:val="clear" w:color="auto" w:fill="FFFFFF"/>
        </w:rPr>
        <w:t xml:space="preserve">, supra </w:t>
      </w:r>
      <w:r w:rsidRPr="006976FA">
        <w:rPr>
          <w:rStyle w:val="Textoennegrita"/>
          <w:rFonts w:ascii="Verdana" w:hAnsi="Verdana"/>
          <w:b w:val="0"/>
          <w:color w:val="000000"/>
          <w:sz w:val="16"/>
          <w:szCs w:val="16"/>
          <w:shd w:val="clear" w:color="auto" w:fill="FFFFFF"/>
        </w:rPr>
        <w:t xml:space="preserve">nota </w:t>
      </w:r>
      <w:r w:rsidR="00F10ACF" w:rsidRPr="006976FA">
        <w:rPr>
          <w:rStyle w:val="Textoennegrita"/>
          <w:rFonts w:ascii="Verdana" w:hAnsi="Verdana"/>
          <w:b w:val="0"/>
          <w:color w:val="000000"/>
          <w:sz w:val="16"/>
          <w:szCs w:val="16"/>
          <w:shd w:val="clear" w:color="auto" w:fill="FFFFFF"/>
        </w:rPr>
        <w:t>3</w:t>
      </w:r>
      <w:r w:rsidRPr="006976FA">
        <w:rPr>
          <w:rStyle w:val="Textoennegrita"/>
          <w:rFonts w:ascii="Verdana" w:hAnsi="Verdana"/>
          <w:b w:val="0"/>
          <w:color w:val="000000"/>
          <w:sz w:val="16"/>
          <w:szCs w:val="16"/>
          <w:shd w:val="clear" w:color="auto" w:fill="FFFFFF"/>
        </w:rPr>
        <w:t xml:space="preserve">, punto resolutivo </w:t>
      </w:r>
      <w:r w:rsidR="00BA656B" w:rsidRPr="006976FA">
        <w:rPr>
          <w:rStyle w:val="Textoennegrita"/>
          <w:rFonts w:ascii="Verdana" w:hAnsi="Verdana"/>
          <w:b w:val="0"/>
          <w:color w:val="000000"/>
          <w:sz w:val="16"/>
          <w:szCs w:val="16"/>
          <w:shd w:val="clear" w:color="auto" w:fill="FFFFFF"/>
        </w:rPr>
        <w:t>5</w:t>
      </w:r>
      <w:r w:rsidRPr="006976FA">
        <w:rPr>
          <w:rStyle w:val="Textoennegrita"/>
          <w:rFonts w:ascii="Verdana" w:hAnsi="Verdana"/>
          <w:b w:val="0"/>
          <w:color w:val="000000"/>
          <w:sz w:val="16"/>
          <w:szCs w:val="16"/>
          <w:shd w:val="clear" w:color="auto" w:fill="FFFFFF"/>
        </w:rPr>
        <w:t>.</w:t>
      </w:r>
    </w:p>
  </w:footnote>
  <w:footnote w:id="13">
    <w:p w14:paraId="75DD295D" w14:textId="1146FBF1" w:rsidR="00A86F9A" w:rsidRPr="006976FA" w:rsidRDefault="00A86F9A" w:rsidP="007A5F46">
      <w:pPr>
        <w:pStyle w:val="Textonotapie"/>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00127593" w:rsidRPr="006976FA">
        <w:rPr>
          <w:rFonts w:ascii="Verdana" w:hAnsi="Verdana"/>
          <w:sz w:val="16"/>
          <w:szCs w:val="16"/>
        </w:rPr>
        <w:tab/>
      </w:r>
      <w:r w:rsidR="0033093C">
        <w:rPr>
          <w:rFonts w:ascii="Verdana" w:hAnsi="Verdana"/>
          <w:i/>
          <w:sz w:val="16"/>
          <w:szCs w:val="16"/>
        </w:rPr>
        <w:t xml:space="preserve">Cfr. </w:t>
      </w:r>
      <w:r w:rsidR="00876809" w:rsidRPr="006976FA">
        <w:rPr>
          <w:rFonts w:ascii="Verdana" w:hAnsi="Verdana"/>
          <w:i/>
          <w:sz w:val="16"/>
          <w:szCs w:val="16"/>
        </w:rPr>
        <w:t xml:space="preserve">Casos </w:t>
      </w:r>
      <w:proofErr w:type="spellStart"/>
      <w:r w:rsidR="00876809" w:rsidRPr="006976FA">
        <w:rPr>
          <w:rFonts w:ascii="Verdana" w:hAnsi="Verdana"/>
          <w:i/>
          <w:sz w:val="16"/>
          <w:szCs w:val="16"/>
        </w:rPr>
        <w:t>Chocrón</w:t>
      </w:r>
      <w:proofErr w:type="spellEnd"/>
      <w:r w:rsidR="00876809" w:rsidRPr="006976FA">
        <w:rPr>
          <w:rFonts w:ascii="Verdana" w:hAnsi="Verdana"/>
          <w:i/>
          <w:sz w:val="16"/>
          <w:szCs w:val="16"/>
        </w:rPr>
        <w:t xml:space="preserve"> </w:t>
      </w:r>
      <w:proofErr w:type="spellStart"/>
      <w:r w:rsidR="00876809" w:rsidRPr="006976FA">
        <w:rPr>
          <w:rFonts w:ascii="Verdana" w:hAnsi="Verdana"/>
          <w:i/>
          <w:sz w:val="16"/>
          <w:szCs w:val="16"/>
        </w:rPr>
        <w:t>Chocrón</w:t>
      </w:r>
      <w:proofErr w:type="spellEnd"/>
      <w:r w:rsidR="00876809" w:rsidRPr="006976FA">
        <w:rPr>
          <w:rFonts w:ascii="Verdana" w:hAnsi="Verdana"/>
          <w:i/>
          <w:sz w:val="16"/>
          <w:szCs w:val="16"/>
        </w:rPr>
        <w:t xml:space="preserve">, Díaz Peña, y Uzcátegui y otros Vs. Venezuela, supra </w:t>
      </w:r>
      <w:r w:rsidR="00876809" w:rsidRPr="006976FA">
        <w:rPr>
          <w:rFonts w:ascii="Verdana" w:hAnsi="Verdana"/>
          <w:sz w:val="16"/>
          <w:szCs w:val="16"/>
        </w:rPr>
        <w:t>nota 4,</w:t>
      </w:r>
      <w:r w:rsidR="00B45D55" w:rsidRPr="006976FA">
        <w:rPr>
          <w:rFonts w:ascii="Verdana" w:hAnsi="Verdana"/>
          <w:i/>
          <w:sz w:val="16"/>
          <w:szCs w:val="16"/>
        </w:rPr>
        <w:t xml:space="preserve"> </w:t>
      </w:r>
      <w:r w:rsidR="00F10ACF" w:rsidRPr="006976FA">
        <w:rPr>
          <w:rFonts w:ascii="Verdana" w:hAnsi="Verdana"/>
          <w:sz w:val="16"/>
          <w:szCs w:val="16"/>
        </w:rPr>
        <w:t>C</w:t>
      </w:r>
      <w:r w:rsidRPr="006976FA">
        <w:rPr>
          <w:rFonts w:ascii="Verdana" w:hAnsi="Verdana"/>
          <w:sz w:val="16"/>
          <w:szCs w:val="16"/>
        </w:rPr>
        <w:t xml:space="preserve">onsiderando 4 y punto resolutivo 1. </w:t>
      </w:r>
    </w:p>
  </w:footnote>
  <w:footnote w:id="14">
    <w:p w14:paraId="4088C82D" w14:textId="42D99608" w:rsidR="00A86F9A" w:rsidRPr="006976FA" w:rsidRDefault="00A86F9A" w:rsidP="007A5F46">
      <w:pPr>
        <w:pStyle w:val="Textonotapie"/>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00127593" w:rsidRPr="006976FA">
        <w:rPr>
          <w:rFonts w:ascii="Verdana" w:hAnsi="Verdana"/>
          <w:sz w:val="16"/>
          <w:szCs w:val="16"/>
        </w:rPr>
        <w:tab/>
      </w:r>
      <w:r w:rsidR="00876809" w:rsidRPr="006976FA">
        <w:rPr>
          <w:rFonts w:ascii="Verdana" w:hAnsi="Verdana"/>
          <w:i/>
          <w:sz w:val="16"/>
          <w:szCs w:val="16"/>
        </w:rPr>
        <w:t xml:space="preserve">Cfr. Casos </w:t>
      </w:r>
      <w:proofErr w:type="spellStart"/>
      <w:r w:rsidR="00876809" w:rsidRPr="006976FA">
        <w:rPr>
          <w:rFonts w:ascii="Verdana" w:hAnsi="Verdana"/>
          <w:i/>
          <w:sz w:val="16"/>
          <w:szCs w:val="16"/>
        </w:rPr>
        <w:t>Chocrón</w:t>
      </w:r>
      <w:proofErr w:type="spellEnd"/>
      <w:r w:rsidR="00876809" w:rsidRPr="006976FA">
        <w:rPr>
          <w:rFonts w:ascii="Verdana" w:hAnsi="Verdana"/>
          <w:i/>
          <w:sz w:val="16"/>
          <w:szCs w:val="16"/>
        </w:rPr>
        <w:t xml:space="preserve"> </w:t>
      </w:r>
      <w:proofErr w:type="spellStart"/>
      <w:r w:rsidR="00876809" w:rsidRPr="006976FA">
        <w:rPr>
          <w:rFonts w:ascii="Verdana" w:hAnsi="Verdana"/>
          <w:i/>
          <w:sz w:val="16"/>
          <w:szCs w:val="16"/>
        </w:rPr>
        <w:t>Chocrón</w:t>
      </w:r>
      <w:proofErr w:type="spellEnd"/>
      <w:r w:rsidR="00876809" w:rsidRPr="006976FA">
        <w:rPr>
          <w:rFonts w:ascii="Verdana" w:hAnsi="Verdana"/>
          <w:i/>
          <w:sz w:val="16"/>
          <w:szCs w:val="16"/>
        </w:rPr>
        <w:t xml:space="preserve">, Díaz Peña, y Uzcátegui y otros Vs. Venezuela, supra </w:t>
      </w:r>
      <w:r w:rsidR="00876809" w:rsidRPr="006976FA">
        <w:rPr>
          <w:rFonts w:ascii="Verdana" w:hAnsi="Verdana"/>
          <w:sz w:val="16"/>
          <w:szCs w:val="16"/>
        </w:rPr>
        <w:t>nota 4,</w:t>
      </w:r>
      <w:r w:rsidR="00876809" w:rsidRPr="006976FA">
        <w:rPr>
          <w:rFonts w:ascii="Verdana" w:hAnsi="Verdana"/>
          <w:i/>
          <w:sz w:val="16"/>
          <w:szCs w:val="16"/>
        </w:rPr>
        <w:t xml:space="preserve"> </w:t>
      </w:r>
      <w:r w:rsidR="00876809" w:rsidRPr="006976FA">
        <w:rPr>
          <w:rFonts w:ascii="Verdana" w:hAnsi="Verdana"/>
          <w:sz w:val="16"/>
          <w:szCs w:val="16"/>
        </w:rPr>
        <w:t>punto resolutivo 7.</w:t>
      </w:r>
    </w:p>
  </w:footnote>
  <w:footnote w:id="15">
    <w:p w14:paraId="4A918E14" w14:textId="69FF9979" w:rsidR="00127593" w:rsidRPr="006976FA" w:rsidRDefault="00127593" w:rsidP="001F6EA7">
      <w:pPr>
        <w:pStyle w:val="Textonotapie"/>
        <w:jc w:val="both"/>
        <w:rPr>
          <w:rFonts w:ascii="Verdana" w:hAnsi="Verdana"/>
          <w:i/>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r>
      <w:r w:rsidR="001F6EA7" w:rsidRPr="006976FA">
        <w:rPr>
          <w:rFonts w:ascii="Verdana" w:hAnsi="Verdana"/>
          <w:i/>
          <w:sz w:val="16"/>
          <w:szCs w:val="16"/>
          <w:lang w:val="es-CR"/>
        </w:rPr>
        <w:t>Cfr. Caso Cinco Pensionistas Vs. Perú.</w:t>
      </w:r>
      <w:r w:rsidR="001F6EA7" w:rsidRPr="006976FA">
        <w:rPr>
          <w:rFonts w:ascii="Verdana" w:hAnsi="Verdana"/>
          <w:sz w:val="16"/>
          <w:szCs w:val="16"/>
          <w:lang w:val="es-CR"/>
        </w:rPr>
        <w:t xml:space="preserve"> </w:t>
      </w:r>
      <w:r w:rsidR="001F6EA7" w:rsidRPr="006976FA">
        <w:rPr>
          <w:rFonts w:ascii="Verdana" w:hAnsi="Verdana"/>
          <w:i/>
          <w:sz w:val="16"/>
          <w:szCs w:val="16"/>
          <w:lang w:val="es-CR"/>
        </w:rPr>
        <w:t>Supervisión de Cumplimiento de Sentencia.</w:t>
      </w:r>
      <w:r w:rsidR="001F6EA7" w:rsidRPr="006976FA">
        <w:rPr>
          <w:rFonts w:ascii="Verdana" w:hAnsi="Verdana"/>
          <w:sz w:val="16"/>
          <w:szCs w:val="16"/>
          <w:lang w:val="es-CR"/>
        </w:rPr>
        <w:t xml:space="preserve"> Resolución de la Corte Interamericana de Derechos Humanos de 17 de noviembre de 2004, Considerando 5,  y </w:t>
      </w:r>
      <w:r w:rsidR="001F6EA7" w:rsidRPr="006976FA">
        <w:rPr>
          <w:rFonts w:ascii="Verdana" w:hAnsi="Verdana"/>
          <w:i/>
          <w:sz w:val="16"/>
          <w:szCs w:val="16"/>
          <w:lang w:val="es-CR"/>
        </w:rPr>
        <w:t xml:space="preserve">Caso </w:t>
      </w:r>
      <w:proofErr w:type="spellStart"/>
      <w:r w:rsidR="001F6EA7" w:rsidRPr="006976FA">
        <w:rPr>
          <w:rFonts w:ascii="Verdana" w:hAnsi="Verdana"/>
          <w:i/>
          <w:sz w:val="16"/>
          <w:szCs w:val="16"/>
          <w:lang w:val="es-CR"/>
        </w:rPr>
        <w:t>Amrhein</w:t>
      </w:r>
      <w:proofErr w:type="spellEnd"/>
      <w:r w:rsidR="001F6EA7" w:rsidRPr="006976FA">
        <w:rPr>
          <w:rFonts w:ascii="Verdana" w:hAnsi="Verdana"/>
          <w:i/>
          <w:sz w:val="16"/>
          <w:szCs w:val="16"/>
          <w:lang w:val="es-CR"/>
        </w:rPr>
        <w:t xml:space="preserve"> y otros Vs. Costa Rica. Supervisión de Cumplimiento de Sentencia y Reintegro al Fondo de Asistencia Legal de Víctimas</w:t>
      </w:r>
      <w:r w:rsidR="001F6EA7" w:rsidRPr="006976FA">
        <w:rPr>
          <w:rFonts w:ascii="Verdana" w:hAnsi="Verdana"/>
          <w:sz w:val="16"/>
          <w:szCs w:val="16"/>
          <w:lang w:val="es-CR"/>
        </w:rPr>
        <w:t>. Resolución de la Corte Interamericana de Derechos Humanos de 7 de octubre de 2019, Considerando 2.</w:t>
      </w:r>
    </w:p>
  </w:footnote>
  <w:footnote w:id="16">
    <w:p w14:paraId="4D235831" w14:textId="5E1481BD" w:rsidR="001F6EA7" w:rsidRPr="006976FA" w:rsidRDefault="001F6EA7" w:rsidP="001F6EA7">
      <w:pPr>
        <w:pStyle w:val="Textonotapie"/>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r>
      <w:r w:rsidRPr="006976FA">
        <w:rPr>
          <w:rFonts w:ascii="Verdana" w:hAnsi="Verdana"/>
          <w:i/>
          <w:sz w:val="16"/>
          <w:szCs w:val="16"/>
          <w:lang w:val="es-CR"/>
        </w:rPr>
        <w:t>Cfr. Caso Gelman Vs. Uruguay. Supervisión de Cumplimiento de Sentencia.</w:t>
      </w:r>
      <w:r w:rsidRPr="006976FA">
        <w:rPr>
          <w:rFonts w:ascii="Verdana" w:hAnsi="Verdana"/>
          <w:sz w:val="16"/>
          <w:szCs w:val="16"/>
          <w:lang w:val="es-CR"/>
        </w:rPr>
        <w:t xml:space="preserve"> Resolución de la Corte Interamericana de Derechos Humanos de 20 de marzo de 2013, Considerandos 61 y 68, y </w:t>
      </w:r>
      <w:r w:rsidRPr="006976FA">
        <w:rPr>
          <w:rStyle w:val="Textoennegrita"/>
          <w:rFonts w:ascii="Verdana" w:hAnsi="Verdana"/>
          <w:b w:val="0"/>
          <w:i/>
          <w:color w:val="000000"/>
          <w:sz w:val="16"/>
          <w:szCs w:val="16"/>
          <w:shd w:val="clear" w:color="auto" w:fill="FFFFFF"/>
          <w:lang w:val="es-CR"/>
        </w:rPr>
        <w:t xml:space="preserve">Caso de las Niñas </w:t>
      </w:r>
      <w:proofErr w:type="spellStart"/>
      <w:r w:rsidRPr="006976FA">
        <w:rPr>
          <w:rStyle w:val="Textoennegrita"/>
          <w:rFonts w:ascii="Verdana" w:hAnsi="Verdana"/>
          <w:b w:val="0"/>
          <w:i/>
          <w:color w:val="000000"/>
          <w:sz w:val="16"/>
          <w:szCs w:val="16"/>
          <w:shd w:val="clear" w:color="auto" w:fill="FFFFFF"/>
          <w:lang w:val="es-CR"/>
        </w:rPr>
        <w:t>Yean</w:t>
      </w:r>
      <w:proofErr w:type="spellEnd"/>
      <w:r w:rsidRPr="006976FA">
        <w:rPr>
          <w:rStyle w:val="Textoennegrita"/>
          <w:rFonts w:ascii="Verdana" w:hAnsi="Verdana"/>
          <w:b w:val="0"/>
          <w:i/>
          <w:color w:val="000000"/>
          <w:sz w:val="16"/>
          <w:szCs w:val="16"/>
          <w:shd w:val="clear" w:color="auto" w:fill="FFFFFF"/>
          <w:lang w:val="es-CR"/>
        </w:rPr>
        <w:t xml:space="preserve"> y </w:t>
      </w:r>
      <w:proofErr w:type="spellStart"/>
      <w:r w:rsidRPr="006976FA">
        <w:rPr>
          <w:rStyle w:val="Textoennegrita"/>
          <w:rFonts w:ascii="Verdana" w:hAnsi="Verdana"/>
          <w:b w:val="0"/>
          <w:i/>
          <w:color w:val="000000"/>
          <w:sz w:val="16"/>
          <w:szCs w:val="16"/>
          <w:shd w:val="clear" w:color="auto" w:fill="FFFFFF"/>
          <w:lang w:val="es-CR"/>
        </w:rPr>
        <w:t>Bosico</w:t>
      </w:r>
      <w:proofErr w:type="spellEnd"/>
      <w:r w:rsidRPr="006976FA">
        <w:rPr>
          <w:rStyle w:val="Textoennegrita"/>
          <w:rFonts w:ascii="Verdana" w:hAnsi="Verdana"/>
          <w:b w:val="0"/>
          <w:i/>
          <w:color w:val="000000"/>
          <w:sz w:val="16"/>
          <w:szCs w:val="16"/>
          <w:shd w:val="clear" w:color="auto" w:fill="FFFFFF"/>
          <w:lang w:val="es-CR"/>
        </w:rPr>
        <w:t xml:space="preserve"> y Caso de Personas dominicanas y haitianas expulsadas Vs. República Dominicana.</w:t>
      </w:r>
      <w:r w:rsidRPr="006976FA">
        <w:rPr>
          <w:rStyle w:val="Textoennegrita"/>
          <w:rFonts w:ascii="Verdana" w:hAnsi="Verdana"/>
          <w:b w:val="0"/>
          <w:color w:val="000000"/>
          <w:sz w:val="16"/>
          <w:szCs w:val="16"/>
          <w:shd w:val="clear" w:color="auto" w:fill="FFFFFF"/>
          <w:lang w:val="es-CR"/>
        </w:rPr>
        <w:t xml:space="preserve"> </w:t>
      </w:r>
      <w:r w:rsidRPr="006976FA">
        <w:rPr>
          <w:rStyle w:val="Textoennegrita"/>
          <w:rFonts w:ascii="Verdana" w:hAnsi="Verdana"/>
          <w:b w:val="0"/>
          <w:i/>
          <w:color w:val="000000"/>
          <w:sz w:val="16"/>
          <w:szCs w:val="16"/>
          <w:shd w:val="clear" w:color="auto" w:fill="FFFFFF"/>
          <w:lang w:val="es-CR"/>
        </w:rPr>
        <w:t>Supervisión de Cumplimiento de Sentencias y Competencia.</w:t>
      </w:r>
      <w:r w:rsidRPr="006976FA">
        <w:rPr>
          <w:rStyle w:val="Textoennegrita"/>
          <w:rFonts w:ascii="Verdana" w:hAnsi="Verdana"/>
          <w:b w:val="0"/>
          <w:color w:val="000000"/>
          <w:sz w:val="16"/>
          <w:szCs w:val="16"/>
          <w:shd w:val="clear" w:color="auto" w:fill="FFFFFF"/>
          <w:lang w:val="es-CR"/>
        </w:rPr>
        <w:t xml:space="preserve"> Resolución de la Corte Interamericana de Derechos Humanos de 12 de marzo de 2019, Considerando 20.</w:t>
      </w:r>
    </w:p>
  </w:footnote>
  <w:footnote w:id="17">
    <w:p w14:paraId="1B4DB3B9" w14:textId="3F1C988F" w:rsidR="001F6EA7" w:rsidRPr="006976FA" w:rsidRDefault="001F6EA7" w:rsidP="001F6EA7">
      <w:pPr>
        <w:pStyle w:val="Textonotapie"/>
        <w:tabs>
          <w:tab w:val="left" w:pos="567"/>
        </w:tabs>
        <w:ind w:right="4"/>
        <w:jc w:val="both"/>
        <w:rPr>
          <w:rFonts w:ascii="Verdana" w:hAnsi="Verdana"/>
          <w:color w:val="000000"/>
          <w:sz w:val="16"/>
          <w:szCs w:val="16"/>
          <w:lang w:val="es-CR"/>
        </w:rPr>
      </w:pPr>
      <w:r w:rsidRPr="006976FA">
        <w:rPr>
          <w:rStyle w:val="Refdenotaalpie"/>
          <w:rFonts w:ascii="Verdana" w:hAnsi="Verdana"/>
          <w:sz w:val="16"/>
          <w:szCs w:val="16"/>
        </w:rPr>
        <w:footnoteRef/>
      </w:r>
      <w:r w:rsidRPr="006976FA">
        <w:rPr>
          <w:rFonts w:ascii="Verdana" w:hAnsi="Verdana"/>
          <w:sz w:val="16"/>
          <w:szCs w:val="16"/>
          <w:lang w:val="es-CR"/>
        </w:rPr>
        <w:t xml:space="preserve"> </w:t>
      </w:r>
      <w:r w:rsidRPr="006976FA">
        <w:rPr>
          <w:rFonts w:ascii="Verdana" w:hAnsi="Verdana"/>
          <w:sz w:val="16"/>
          <w:szCs w:val="16"/>
          <w:lang w:val="es-CR"/>
        </w:rPr>
        <w:tab/>
      </w:r>
      <w:r w:rsidRPr="006976FA">
        <w:rPr>
          <w:rFonts w:ascii="Verdana" w:hAnsi="Verdana"/>
          <w:i/>
          <w:color w:val="000000"/>
          <w:sz w:val="16"/>
          <w:szCs w:val="16"/>
          <w:lang w:val="es-MX"/>
        </w:rPr>
        <w:t xml:space="preserve">Cfr. Caso Castillo </w:t>
      </w:r>
      <w:proofErr w:type="spellStart"/>
      <w:r w:rsidRPr="006976FA">
        <w:rPr>
          <w:rFonts w:ascii="Verdana" w:hAnsi="Verdana"/>
          <w:i/>
          <w:color w:val="000000"/>
          <w:sz w:val="16"/>
          <w:szCs w:val="16"/>
          <w:lang w:val="es-MX"/>
        </w:rPr>
        <w:t>Petruzzi</w:t>
      </w:r>
      <w:proofErr w:type="spellEnd"/>
      <w:r w:rsidRPr="006976FA">
        <w:rPr>
          <w:rFonts w:ascii="Verdana" w:hAnsi="Verdana"/>
          <w:i/>
          <w:color w:val="000000"/>
          <w:sz w:val="16"/>
          <w:szCs w:val="16"/>
          <w:lang w:val="es-MX"/>
        </w:rPr>
        <w:t xml:space="preserve"> y otros Vs. Perú. Supervisión de Cumplimiento de Sentencia. </w:t>
      </w:r>
      <w:r w:rsidRPr="00BE7A33">
        <w:rPr>
          <w:rFonts w:ascii="Verdana" w:hAnsi="Verdana"/>
          <w:color w:val="000000"/>
          <w:sz w:val="16"/>
          <w:szCs w:val="16"/>
          <w:lang w:val="es-MX"/>
        </w:rPr>
        <w:t xml:space="preserve">Resolución de la Corte de 17 de noviembre de 1999, Considerando 3, </w:t>
      </w:r>
      <w:r w:rsidRPr="00BE7A33">
        <w:rPr>
          <w:rFonts w:ascii="Verdana" w:hAnsi="Verdana"/>
          <w:color w:val="000000"/>
          <w:sz w:val="16"/>
          <w:szCs w:val="16"/>
          <w:lang w:val="es-AR"/>
        </w:rPr>
        <w:t>y</w:t>
      </w:r>
      <w:r w:rsidRPr="006976FA">
        <w:rPr>
          <w:rFonts w:ascii="Verdana" w:hAnsi="Verdana"/>
          <w:i/>
          <w:color w:val="000000"/>
          <w:sz w:val="16"/>
          <w:szCs w:val="16"/>
          <w:lang w:val="es-AR"/>
        </w:rPr>
        <w:t xml:space="preserve"> </w:t>
      </w:r>
      <w:r w:rsidRPr="006976FA">
        <w:rPr>
          <w:rStyle w:val="Textoennegrita"/>
          <w:rFonts w:ascii="Verdana" w:hAnsi="Verdana"/>
          <w:b w:val="0"/>
          <w:i/>
          <w:color w:val="000000"/>
          <w:sz w:val="16"/>
          <w:szCs w:val="16"/>
          <w:shd w:val="clear" w:color="auto" w:fill="FFFFFF"/>
        </w:rPr>
        <w:t xml:space="preserve">Caso de las Niñas </w:t>
      </w:r>
      <w:proofErr w:type="spellStart"/>
      <w:r w:rsidRPr="006976FA">
        <w:rPr>
          <w:rStyle w:val="Textoennegrita"/>
          <w:rFonts w:ascii="Verdana" w:hAnsi="Verdana"/>
          <w:b w:val="0"/>
          <w:i/>
          <w:color w:val="000000"/>
          <w:sz w:val="16"/>
          <w:szCs w:val="16"/>
          <w:shd w:val="clear" w:color="auto" w:fill="FFFFFF"/>
        </w:rPr>
        <w:t>Yean</w:t>
      </w:r>
      <w:proofErr w:type="spellEnd"/>
      <w:r w:rsidRPr="006976FA">
        <w:rPr>
          <w:rStyle w:val="Textoennegrita"/>
          <w:rFonts w:ascii="Verdana" w:hAnsi="Verdana"/>
          <w:b w:val="0"/>
          <w:i/>
          <w:color w:val="000000"/>
          <w:sz w:val="16"/>
          <w:szCs w:val="16"/>
          <w:shd w:val="clear" w:color="auto" w:fill="FFFFFF"/>
        </w:rPr>
        <w:t xml:space="preserve"> y </w:t>
      </w:r>
      <w:proofErr w:type="spellStart"/>
      <w:r w:rsidRPr="006976FA">
        <w:rPr>
          <w:rStyle w:val="Textoennegrita"/>
          <w:rFonts w:ascii="Verdana" w:hAnsi="Verdana"/>
          <w:b w:val="0"/>
          <w:i/>
          <w:color w:val="000000"/>
          <w:sz w:val="16"/>
          <w:szCs w:val="16"/>
          <w:shd w:val="clear" w:color="auto" w:fill="FFFFFF"/>
        </w:rPr>
        <w:t>Bosico</w:t>
      </w:r>
      <w:proofErr w:type="spellEnd"/>
      <w:r w:rsidRPr="006976FA">
        <w:rPr>
          <w:rStyle w:val="Textoennegrita"/>
          <w:rFonts w:ascii="Verdana" w:hAnsi="Verdana"/>
          <w:b w:val="0"/>
          <w:i/>
          <w:color w:val="000000"/>
          <w:sz w:val="16"/>
          <w:szCs w:val="16"/>
          <w:shd w:val="clear" w:color="auto" w:fill="FFFFFF"/>
        </w:rPr>
        <w:t xml:space="preserve"> y Caso de Personas dominicanas y haitianas expulsadas Vs. República Dominicana</w:t>
      </w:r>
      <w:r w:rsidRPr="006976FA">
        <w:rPr>
          <w:rStyle w:val="Textoennegrita"/>
          <w:rFonts w:ascii="Verdana" w:hAnsi="Verdana"/>
          <w:b w:val="0"/>
          <w:color w:val="000000"/>
          <w:sz w:val="16"/>
          <w:szCs w:val="16"/>
          <w:shd w:val="clear" w:color="auto" w:fill="FFFFFF"/>
        </w:rPr>
        <w:t xml:space="preserve">, </w:t>
      </w:r>
      <w:r w:rsidRPr="006976FA">
        <w:rPr>
          <w:rStyle w:val="Textoennegrita"/>
          <w:rFonts w:ascii="Verdana" w:hAnsi="Verdana"/>
          <w:b w:val="0"/>
          <w:i/>
          <w:color w:val="000000"/>
          <w:sz w:val="16"/>
          <w:szCs w:val="16"/>
          <w:shd w:val="clear" w:color="auto" w:fill="FFFFFF"/>
        </w:rPr>
        <w:t>supra</w:t>
      </w:r>
      <w:r w:rsidRPr="006976FA">
        <w:rPr>
          <w:rStyle w:val="Textoennegrita"/>
          <w:rFonts w:ascii="Verdana" w:hAnsi="Verdana"/>
          <w:b w:val="0"/>
          <w:color w:val="000000"/>
          <w:sz w:val="16"/>
          <w:szCs w:val="16"/>
          <w:shd w:val="clear" w:color="auto" w:fill="FFFFFF"/>
        </w:rPr>
        <w:t xml:space="preserve"> nota</w:t>
      </w:r>
      <w:r w:rsidR="0080567A" w:rsidRPr="006976FA">
        <w:rPr>
          <w:rStyle w:val="Textoennegrita"/>
          <w:rFonts w:ascii="Verdana" w:hAnsi="Verdana"/>
          <w:b w:val="0"/>
          <w:color w:val="000000"/>
          <w:sz w:val="16"/>
          <w:szCs w:val="16"/>
          <w:shd w:val="clear" w:color="auto" w:fill="FFFFFF"/>
        </w:rPr>
        <w:t xml:space="preserve"> </w:t>
      </w:r>
      <w:r w:rsidR="004E72A0" w:rsidRPr="006976FA">
        <w:rPr>
          <w:rStyle w:val="Textoennegrita"/>
          <w:rFonts w:ascii="Verdana" w:hAnsi="Verdana"/>
          <w:b w:val="0"/>
          <w:color w:val="000000"/>
          <w:sz w:val="16"/>
          <w:szCs w:val="16"/>
          <w:shd w:val="clear" w:color="auto" w:fill="FFFFFF"/>
        </w:rPr>
        <w:t>16</w:t>
      </w:r>
      <w:r w:rsidRPr="006976FA">
        <w:rPr>
          <w:rStyle w:val="Textoennegrita"/>
          <w:rFonts w:ascii="Verdana" w:hAnsi="Verdana"/>
          <w:b w:val="0"/>
          <w:color w:val="000000"/>
          <w:sz w:val="16"/>
          <w:szCs w:val="16"/>
          <w:shd w:val="clear" w:color="auto" w:fill="FFFFFF"/>
        </w:rPr>
        <w:t>, Considerando 21</w:t>
      </w:r>
      <w:r w:rsidRPr="006976FA">
        <w:rPr>
          <w:rFonts w:ascii="Verdana" w:hAnsi="Verdana"/>
          <w:sz w:val="16"/>
          <w:szCs w:val="16"/>
        </w:rPr>
        <w:t>.</w:t>
      </w:r>
    </w:p>
  </w:footnote>
  <w:footnote w:id="18">
    <w:p w14:paraId="3D9D36B0" w14:textId="77777777" w:rsidR="00127593" w:rsidRPr="006976FA" w:rsidRDefault="00127593" w:rsidP="007A5F46">
      <w:pPr>
        <w:pStyle w:val="Textonotapie"/>
        <w:tabs>
          <w:tab w:val="left" w:pos="567"/>
        </w:tabs>
        <w:ind w:right="4"/>
        <w:jc w:val="both"/>
        <w:rPr>
          <w:rFonts w:ascii="Verdana" w:hAnsi="Verdana"/>
          <w:sz w:val="16"/>
          <w:szCs w:val="16"/>
          <w:lang w:val="es-CR"/>
        </w:rPr>
      </w:pPr>
      <w:r w:rsidRPr="006976FA">
        <w:rPr>
          <w:rStyle w:val="Refdenotaalpie"/>
          <w:rFonts w:ascii="Verdana" w:hAnsi="Verdana"/>
          <w:sz w:val="16"/>
          <w:szCs w:val="16"/>
        </w:rPr>
        <w:footnoteRef/>
      </w:r>
      <w:r w:rsidRPr="006976FA">
        <w:rPr>
          <w:rFonts w:ascii="Verdana" w:hAnsi="Verdana"/>
          <w:sz w:val="16"/>
          <w:szCs w:val="16"/>
          <w:lang w:val="es-CR"/>
        </w:rPr>
        <w:t xml:space="preserve"> </w:t>
      </w:r>
      <w:r w:rsidRPr="006976FA">
        <w:rPr>
          <w:rFonts w:ascii="Verdana" w:hAnsi="Verdana"/>
          <w:sz w:val="16"/>
          <w:szCs w:val="16"/>
          <w:lang w:val="es-CR"/>
        </w:rPr>
        <w:tab/>
      </w:r>
      <w:r w:rsidRPr="006976FA">
        <w:rPr>
          <w:rFonts w:ascii="Verdana" w:hAnsi="Verdana"/>
          <w:i/>
          <w:sz w:val="16"/>
          <w:szCs w:val="16"/>
          <w:lang w:val="es-CR"/>
        </w:rPr>
        <w:t>Cfr. Caso Garrido y Baigorria. Reparaciones</w:t>
      </w:r>
      <w:r w:rsidRPr="006976FA">
        <w:rPr>
          <w:rFonts w:ascii="Verdana" w:hAnsi="Verdana"/>
          <w:sz w:val="16"/>
          <w:szCs w:val="16"/>
          <w:lang w:val="es-CR"/>
        </w:rPr>
        <w:t xml:space="preserve"> (art. 63.1 Convención Americana sobre Derechos Humanos). Sentencia de 27 de agosto de 1998. Serie C No. 39, párr. 40, y</w:t>
      </w:r>
      <w:r w:rsidRPr="006976FA">
        <w:rPr>
          <w:rFonts w:ascii="Verdana" w:hAnsi="Verdana"/>
          <w:b/>
          <w:i/>
          <w:sz w:val="16"/>
          <w:szCs w:val="16"/>
          <w:lang w:val="es-CR"/>
        </w:rPr>
        <w:t xml:space="preserve"> </w:t>
      </w:r>
      <w:r w:rsidRPr="006976FA">
        <w:rPr>
          <w:rStyle w:val="Textoennegrita"/>
          <w:rFonts w:ascii="Verdana" w:hAnsi="Verdana"/>
          <w:b w:val="0"/>
          <w:i/>
          <w:color w:val="000000"/>
          <w:sz w:val="16"/>
          <w:szCs w:val="16"/>
          <w:shd w:val="clear" w:color="auto" w:fill="FFFFFF"/>
        </w:rPr>
        <w:t xml:space="preserve">Caso de la Comunidad </w:t>
      </w:r>
      <w:proofErr w:type="spellStart"/>
      <w:r w:rsidRPr="006976FA">
        <w:rPr>
          <w:rStyle w:val="Textoennegrita"/>
          <w:rFonts w:ascii="Verdana" w:hAnsi="Verdana"/>
          <w:b w:val="0"/>
          <w:i/>
          <w:color w:val="000000"/>
          <w:sz w:val="16"/>
          <w:szCs w:val="16"/>
          <w:shd w:val="clear" w:color="auto" w:fill="FFFFFF"/>
        </w:rPr>
        <w:t>Moiwana</w:t>
      </w:r>
      <w:proofErr w:type="spellEnd"/>
      <w:r w:rsidRPr="006976FA">
        <w:rPr>
          <w:rStyle w:val="Textoennegrita"/>
          <w:rFonts w:ascii="Verdana" w:hAnsi="Verdana"/>
          <w:b w:val="0"/>
          <w:i/>
          <w:color w:val="000000"/>
          <w:sz w:val="16"/>
          <w:szCs w:val="16"/>
          <w:shd w:val="clear" w:color="auto" w:fill="FFFFFF"/>
        </w:rPr>
        <w:t xml:space="preserve"> Vs. Surinam. Supervisión de Cumplimiento de Sentencia</w:t>
      </w:r>
      <w:r w:rsidRPr="006976FA">
        <w:rPr>
          <w:rStyle w:val="Textoennegrita"/>
          <w:rFonts w:ascii="Verdana" w:hAnsi="Verdana"/>
          <w:b w:val="0"/>
          <w:color w:val="000000"/>
          <w:sz w:val="16"/>
          <w:szCs w:val="16"/>
          <w:shd w:val="clear" w:color="auto" w:fill="FFFFFF"/>
        </w:rPr>
        <w:t>. Resolución de la Corte Interamericana de Derechos Humanos de 21 de noviembre de 2018, Considerando 3.</w:t>
      </w:r>
      <w:r w:rsidRPr="006976FA">
        <w:rPr>
          <w:rStyle w:val="Textoennegrita"/>
          <w:rFonts w:ascii="Verdana" w:hAnsi="Verdana"/>
          <w:color w:val="000000"/>
          <w:sz w:val="16"/>
          <w:szCs w:val="16"/>
          <w:shd w:val="clear" w:color="auto" w:fill="FFFFFF"/>
        </w:rPr>
        <w:t xml:space="preserve"> </w:t>
      </w:r>
    </w:p>
  </w:footnote>
  <w:footnote w:id="19">
    <w:p w14:paraId="5347DD52" w14:textId="47158E19" w:rsidR="00127593" w:rsidRPr="0033093C" w:rsidRDefault="00127593" w:rsidP="007A5F46">
      <w:pPr>
        <w:pStyle w:val="Textonotapie"/>
        <w:tabs>
          <w:tab w:val="left" w:pos="567"/>
        </w:tabs>
        <w:ind w:right="4"/>
        <w:jc w:val="both"/>
        <w:rPr>
          <w:rFonts w:ascii="Verdana" w:hAnsi="Verdana"/>
          <w:color w:val="000000"/>
          <w:sz w:val="16"/>
          <w:szCs w:val="16"/>
          <w:lang w:val="es-CR"/>
        </w:rPr>
      </w:pPr>
      <w:r w:rsidRPr="006976FA">
        <w:rPr>
          <w:rStyle w:val="Refdenotaalpie"/>
          <w:rFonts w:ascii="Verdana" w:hAnsi="Verdana"/>
          <w:sz w:val="16"/>
          <w:szCs w:val="16"/>
        </w:rPr>
        <w:footnoteRef/>
      </w:r>
      <w:r w:rsidRPr="006976FA">
        <w:rPr>
          <w:rFonts w:ascii="Verdana" w:hAnsi="Verdana"/>
          <w:sz w:val="16"/>
          <w:szCs w:val="16"/>
          <w:lang w:val="es-CR"/>
        </w:rPr>
        <w:t xml:space="preserve"> </w:t>
      </w:r>
      <w:r w:rsidRPr="006976FA">
        <w:rPr>
          <w:rFonts w:ascii="Verdana" w:hAnsi="Verdana"/>
          <w:sz w:val="16"/>
          <w:szCs w:val="16"/>
          <w:lang w:val="es-CR"/>
        </w:rPr>
        <w:tab/>
      </w:r>
      <w:r w:rsidRPr="006976FA">
        <w:rPr>
          <w:rFonts w:ascii="Verdana" w:hAnsi="Verdana"/>
          <w:i/>
          <w:sz w:val="16"/>
          <w:szCs w:val="16"/>
          <w:lang w:val="es-ES"/>
        </w:rPr>
        <w:t>Cfr.</w:t>
      </w:r>
      <w:r w:rsidRPr="006976FA">
        <w:rPr>
          <w:rFonts w:ascii="Verdana" w:hAnsi="Verdana"/>
          <w:b/>
          <w:sz w:val="16"/>
          <w:szCs w:val="16"/>
          <w:lang w:val="es-ES"/>
        </w:rPr>
        <w:t xml:space="preserve"> </w:t>
      </w:r>
      <w:r w:rsidRPr="006976FA">
        <w:rPr>
          <w:rFonts w:ascii="Verdana" w:hAnsi="Verdana"/>
          <w:bCs/>
          <w:i/>
          <w:color w:val="000000"/>
          <w:sz w:val="16"/>
          <w:szCs w:val="16"/>
          <w:lang w:val="es-CR"/>
        </w:rPr>
        <w:t>Caso Castillo Páez Vs. Perú</w:t>
      </w:r>
      <w:r w:rsidRPr="006976FA">
        <w:rPr>
          <w:rFonts w:ascii="Verdana" w:hAnsi="Verdana"/>
          <w:bCs/>
          <w:color w:val="000000"/>
          <w:sz w:val="16"/>
          <w:szCs w:val="16"/>
          <w:lang w:val="es-CR"/>
        </w:rPr>
        <w:t>.</w:t>
      </w:r>
      <w:r w:rsidRPr="006976FA">
        <w:rPr>
          <w:rFonts w:ascii="Verdana" w:hAnsi="Verdana"/>
          <w:b/>
          <w:bCs/>
          <w:color w:val="000000"/>
          <w:sz w:val="16"/>
          <w:szCs w:val="16"/>
          <w:lang w:val="es-CR"/>
        </w:rPr>
        <w:t xml:space="preserve"> </w:t>
      </w:r>
      <w:r w:rsidRPr="006976FA">
        <w:rPr>
          <w:rFonts w:ascii="Verdana" w:hAnsi="Verdana"/>
          <w:i/>
          <w:color w:val="000000"/>
          <w:sz w:val="16"/>
          <w:szCs w:val="16"/>
          <w:lang w:val="es-CR"/>
        </w:rPr>
        <w:t>Reparaciones y Costas.</w:t>
      </w:r>
      <w:r w:rsidRPr="006976FA">
        <w:rPr>
          <w:rFonts w:ascii="Verdana" w:hAnsi="Verdana"/>
          <w:color w:val="000000"/>
          <w:sz w:val="16"/>
          <w:szCs w:val="16"/>
          <w:lang w:val="es-CR"/>
        </w:rPr>
        <w:t xml:space="preserve"> Sentencia de 27 de noviembre de 1998. Serie C No. 43, párr. 50,</w:t>
      </w:r>
      <w:r w:rsidRPr="006976FA">
        <w:rPr>
          <w:rFonts w:ascii="Verdana" w:hAnsi="Verdana"/>
          <w:sz w:val="16"/>
          <w:szCs w:val="16"/>
          <w:lang w:val="es-ES"/>
        </w:rPr>
        <w:t xml:space="preserve"> </w:t>
      </w:r>
      <w:r w:rsidRPr="006976FA">
        <w:rPr>
          <w:rFonts w:ascii="Verdana" w:hAnsi="Verdana"/>
          <w:i/>
          <w:sz w:val="16"/>
          <w:szCs w:val="16"/>
          <w:lang w:val="es-ES"/>
        </w:rPr>
        <w:t xml:space="preserve">y </w:t>
      </w:r>
      <w:r w:rsidRPr="006976FA">
        <w:rPr>
          <w:rStyle w:val="Textoennegrita"/>
          <w:rFonts w:ascii="Verdana" w:hAnsi="Verdana"/>
          <w:b w:val="0"/>
          <w:i/>
          <w:color w:val="000000"/>
          <w:sz w:val="16"/>
          <w:szCs w:val="16"/>
          <w:shd w:val="clear" w:color="auto" w:fill="FFFFFF"/>
        </w:rPr>
        <w:t xml:space="preserve">Caso de la Comunidad </w:t>
      </w:r>
      <w:proofErr w:type="spellStart"/>
      <w:r w:rsidRPr="006976FA">
        <w:rPr>
          <w:rStyle w:val="Textoennegrita"/>
          <w:rFonts w:ascii="Verdana" w:hAnsi="Verdana"/>
          <w:b w:val="0"/>
          <w:i/>
          <w:color w:val="000000"/>
          <w:sz w:val="16"/>
          <w:szCs w:val="16"/>
          <w:shd w:val="clear" w:color="auto" w:fill="FFFFFF"/>
        </w:rPr>
        <w:t>Moiwana</w:t>
      </w:r>
      <w:proofErr w:type="spellEnd"/>
      <w:r w:rsidRPr="006976FA">
        <w:rPr>
          <w:rStyle w:val="Textoennegrita"/>
          <w:rFonts w:ascii="Verdana" w:hAnsi="Verdana"/>
          <w:b w:val="0"/>
          <w:i/>
          <w:color w:val="000000"/>
          <w:sz w:val="16"/>
          <w:szCs w:val="16"/>
          <w:shd w:val="clear" w:color="auto" w:fill="FFFFFF"/>
        </w:rPr>
        <w:t xml:space="preserve"> Vs. Surinam</w:t>
      </w:r>
      <w:r w:rsidR="00F10ACF" w:rsidRPr="006976FA">
        <w:rPr>
          <w:rStyle w:val="Textoennegrita"/>
          <w:rFonts w:ascii="Verdana" w:hAnsi="Verdana"/>
          <w:b w:val="0"/>
          <w:i/>
          <w:color w:val="000000"/>
          <w:sz w:val="16"/>
          <w:szCs w:val="16"/>
          <w:shd w:val="clear" w:color="auto" w:fill="FFFFFF"/>
        </w:rPr>
        <w:t>, supra</w:t>
      </w:r>
      <w:r w:rsidR="001F6EA7" w:rsidRPr="006976FA">
        <w:rPr>
          <w:rStyle w:val="Textoennegrita"/>
          <w:rFonts w:ascii="Verdana" w:hAnsi="Verdana"/>
          <w:b w:val="0"/>
          <w:color w:val="000000"/>
          <w:sz w:val="16"/>
          <w:szCs w:val="16"/>
          <w:shd w:val="clear" w:color="auto" w:fill="FFFFFF"/>
        </w:rPr>
        <w:t xml:space="preserve"> nota </w:t>
      </w:r>
      <w:r w:rsidR="004E72A0" w:rsidRPr="006976FA">
        <w:rPr>
          <w:rStyle w:val="Textoennegrita"/>
          <w:rFonts w:ascii="Verdana" w:hAnsi="Verdana"/>
          <w:b w:val="0"/>
          <w:color w:val="000000"/>
          <w:sz w:val="16"/>
          <w:szCs w:val="16"/>
          <w:shd w:val="clear" w:color="auto" w:fill="FFFFFF"/>
        </w:rPr>
        <w:t>18</w:t>
      </w:r>
      <w:r w:rsidRPr="006976FA">
        <w:rPr>
          <w:rStyle w:val="Textoennegrita"/>
          <w:rFonts w:ascii="Verdana" w:hAnsi="Verdana"/>
          <w:b w:val="0"/>
          <w:color w:val="000000"/>
          <w:sz w:val="16"/>
          <w:szCs w:val="16"/>
          <w:shd w:val="clear" w:color="auto" w:fill="FFFFFF"/>
        </w:rPr>
        <w:t>, Considerando 3.</w:t>
      </w:r>
    </w:p>
  </w:footnote>
  <w:footnote w:id="20">
    <w:p w14:paraId="0F86E9F1" w14:textId="20F9415B" w:rsidR="0080567A" w:rsidRPr="006976FA" w:rsidRDefault="00127593" w:rsidP="007A5F46">
      <w:pPr>
        <w:pStyle w:val="Textonotapie"/>
        <w:jc w:val="both"/>
        <w:rPr>
          <w:rFonts w:ascii="Verdana" w:hAnsi="Verdana"/>
          <w:bCs/>
          <w:color w:val="000000"/>
          <w:sz w:val="16"/>
          <w:szCs w:val="16"/>
          <w:shd w:val="clear" w:color="auto" w:fill="FFFFFF"/>
        </w:rPr>
      </w:pPr>
      <w:r w:rsidRPr="006976FA">
        <w:rPr>
          <w:rStyle w:val="Refdenotaalpie"/>
          <w:rFonts w:ascii="Verdana" w:hAnsi="Verdana"/>
          <w:sz w:val="16"/>
          <w:szCs w:val="16"/>
        </w:rPr>
        <w:footnoteRef/>
      </w:r>
      <w:r w:rsidRPr="006976FA">
        <w:rPr>
          <w:rFonts w:ascii="Verdana" w:hAnsi="Verdana"/>
          <w:b/>
          <w:sz w:val="16"/>
          <w:szCs w:val="16"/>
        </w:rPr>
        <w:t xml:space="preserve">       </w:t>
      </w:r>
      <w:r w:rsidRPr="006976FA">
        <w:rPr>
          <w:rFonts w:ascii="Verdana" w:hAnsi="Verdana"/>
          <w:i/>
          <w:sz w:val="16"/>
          <w:szCs w:val="16"/>
        </w:rPr>
        <w:t>Cfr.</w:t>
      </w:r>
      <w:r w:rsidRPr="006976FA">
        <w:rPr>
          <w:rFonts w:ascii="Verdana" w:hAnsi="Verdana"/>
          <w:sz w:val="16"/>
          <w:szCs w:val="16"/>
        </w:rPr>
        <w:t xml:space="preserve"> </w:t>
      </w:r>
      <w:r w:rsidRPr="006976FA">
        <w:rPr>
          <w:rFonts w:ascii="Verdana" w:hAnsi="Verdana"/>
          <w:i/>
          <w:sz w:val="16"/>
          <w:szCs w:val="16"/>
        </w:rPr>
        <w:t>Caso</w:t>
      </w:r>
      <w:r w:rsidRPr="006976FA">
        <w:rPr>
          <w:rFonts w:ascii="Verdana" w:hAnsi="Verdana"/>
          <w:b/>
          <w:i/>
          <w:sz w:val="16"/>
          <w:szCs w:val="16"/>
        </w:rPr>
        <w:t xml:space="preserve"> </w:t>
      </w:r>
      <w:r w:rsidRPr="006976FA">
        <w:rPr>
          <w:rStyle w:val="Textoennegrita"/>
          <w:rFonts w:ascii="Verdana" w:hAnsi="Verdana"/>
          <w:b w:val="0"/>
          <w:i/>
          <w:sz w:val="16"/>
          <w:szCs w:val="16"/>
        </w:rPr>
        <w:t>Baena Ricardo y otros Vs. Panamá. Competencia.</w:t>
      </w:r>
      <w:r w:rsidRPr="006976FA">
        <w:rPr>
          <w:rStyle w:val="Textoennegrita"/>
          <w:rFonts w:ascii="Verdana" w:hAnsi="Verdana"/>
          <w:b w:val="0"/>
          <w:sz w:val="16"/>
          <w:szCs w:val="16"/>
        </w:rPr>
        <w:t xml:space="preserve"> Sentencia de 28 de noviembre de 2003. Serie C No. 104, párr. 83, y </w:t>
      </w:r>
      <w:r w:rsidR="0080567A" w:rsidRPr="006976FA">
        <w:rPr>
          <w:rStyle w:val="Textoennegrita"/>
          <w:rFonts w:ascii="Verdana" w:hAnsi="Verdana"/>
          <w:b w:val="0"/>
          <w:i/>
          <w:color w:val="000000"/>
          <w:sz w:val="16"/>
          <w:szCs w:val="16"/>
          <w:shd w:val="clear" w:color="auto" w:fill="FFFFFF"/>
          <w:lang w:val="es-CR"/>
        </w:rPr>
        <w:t xml:space="preserve">Caso de las Niñas </w:t>
      </w:r>
      <w:proofErr w:type="spellStart"/>
      <w:r w:rsidR="0080567A" w:rsidRPr="006976FA">
        <w:rPr>
          <w:rStyle w:val="Textoennegrita"/>
          <w:rFonts w:ascii="Verdana" w:hAnsi="Verdana"/>
          <w:b w:val="0"/>
          <w:i/>
          <w:color w:val="000000"/>
          <w:sz w:val="16"/>
          <w:szCs w:val="16"/>
          <w:shd w:val="clear" w:color="auto" w:fill="FFFFFF"/>
          <w:lang w:val="es-CR"/>
        </w:rPr>
        <w:t>Yean</w:t>
      </w:r>
      <w:proofErr w:type="spellEnd"/>
      <w:r w:rsidR="0080567A" w:rsidRPr="006976FA">
        <w:rPr>
          <w:rStyle w:val="Textoennegrita"/>
          <w:rFonts w:ascii="Verdana" w:hAnsi="Verdana"/>
          <w:b w:val="0"/>
          <w:i/>
          <w:color w:val="000000"/>
          <w:sz w:val="16"/>
          <w:szCs w:val="16"/>
          <w:shd w:val="clear" w:color="auto" w:fill="FFFFFF"/>
          <w:lang w:val="es-CR"/>
        </w:rPr>
        <w:t xml:space="preserve"> y </w:t>
      </w:r>
      <w:proofErr w:type="spellStart"/>
      <w:r w:rsidR="0080567A" w:rsidRPr="006976FA">
        <w:rPr>
          <w:rStyle w:val="Textoennegrita"/>
          <w:rFonts w:ascii="Verdana" w:hAnsi="Verdana"/>
          <w:b w:val="0"/>
          <w:i/>
          <w:color w:val="000000"/>
          <w:sz w:val="16"/>
          <w:szCs w:val="16"/>
          <w:shd w:val="clear" w:color="auto" w:fill="FFFFFF"/>
          <w:lang w:val="es-CR"/>
        </w:rPr>
        <w:t>Bosico</w:t>
      </w:r>
      <w:proofErr w:type="spellEnd"/>
      <w:r w:rsidR="0080567A" w:rsidRPr="006976FA">
        <w:rPr>
          <w:rStyle w:val="Textoennegrita"/>
          <w:rFonts w:ascii="Verdana" w:hAnsi="Verdana"/>
          <w:b w:val="0"/>
          <w:i/>
          <w:color w:val="000000"/>
          <w:sz w:val="16"/>
          <w:szCs w:val="16"/>
          <w:shd w:val="clear" w:color="auto" w:fill="FFFFFF"/>
          <w:lang w:val="es-CR"/>
        </w:rPr>
        <w:t xml:space="preserve"> y Caso de Personas dominicanas y haitianas expulsadas Vs. República Dominicana</w:t>
      </w:r>
      <w:r w:rsidR="0080567A" w:rsidRPr="006976FA">
        <w:rPr>
          <w:rStyle w:val="Textoennegrita"/>
          <w:rFonts w:ascii="Verdana" w:hAnsi="Verdana"/>
          <w:b w:val="0"/>
          <w:color w:val="000000"/>
          <w:sz w:val="16"/>
          <w:szCs w:val="16"/>
          <w:shd w:val="clear" w:color="auto" w:fill="FFFFFF"/>
          <w:lang w:val="es-CR"/>
        </w:rPr>
        <w:t xml:space="preserve">, </w:t>
      </w:r>
      <w:r w:rsidR="0080567A" w:rsidRPr="006976FA">
        <w:rPr>
          <w:rStyle w:val="Textoennegrita"/>
          <w:rFonts w:ascii="Verdana" w:hAnsi="Verdana"/>
          <w:b w:val="0"/>
          <w:i/>
          <w:color w:val="000000"/>
          <w:sz w:val="16"/>
          <w:szCs w:val="16"/>
          <w:shd w:val="clear" w:color="auto" w:fill="FFFFFF"/>
          <w:lang w:val="es-CR"/>
        </w:rPr>
        <w:t xml:space="preserve">supra </w:t>
      </w:r>
      <w:r w:rsidR="0080567A" w:rsidRPr="006976FA">
        <w:rPr>
          <w:rStyle w:val="Textoennegrita"/>
          <w:rFonts w:ascii="Verdana" w:hAnsi="Verdana"/>
          <w:b w:val="0"/>
          <w:color w:val="000000"/>
          <w:sz w:val="16"/>
          <w:szCs w:val="16"/>
          <w:shd w:val="clear" w:color="auto" w:fill="FFFFFF"/>
          <w:lang w:val="es-CR"/>
        </w:rPr>
        <w:t xml:space="preserve">nota </w:t>
      </w:r>
      <w:r w:rsidR="004E72A0" w:rsidRPr="006976FA">
        <w:rPr>
          <w:rStyle w:val="Textoennegrita"/>
          <w:rFonts w:ascii="Verdana" w:hAnsi="Verdana"/>
          <w:b w:val="0"/>
          <w:color w:val="000000"/>
          <w:sz w:val="16"/>
          <w:szCs w:val="16"/>
          <w:shd w:val="clear" w:color="auto" w:fill="FFFFFF"/>
          <w:lang w:val="es-CR"/>
        </w:rPr>
        <w:t>16</w:t>
      </w:r>
      <w:r w:rsidR="0080567A" w:rsidRPr="006976FA">
        <w:rPr>
          <w:rStyle w:val="Textoennegrita"/>
          <w:rFonts w:ascii="Verdana" w:hAnsi="Verdana"/>
          <w:b w:val="0"/>
          <w:color w:val="000000"/>
          <w:sz w:val="16"/>
          <w:szCs w:val="16"/>
          <w:shd w:val="clear" w:color="auto" w:fill="FFFFFF"/>
          <w:lang w:val="es-CR"/>
        </w:rPr>
        <w:t>, Considerando 21.</w:t>
      </w:r>
    </w:p>
  </w:footnote>
  <w:footnote w:id="21">
    <w:p w14:paraId="383C197E" w14:textId="1FB38625" w:rsidR="00127593" w:rsidRPr="006976FA" w:rsidRDefault="00127593" w:rsidP="007A5F46">
      <w:pPr>
        <w:pStyle w:val="Textonotapie"/>
        <w:tabs>
          <w:tab w:val="left" w:pos="567"/>
        </w:tabs>
        <w:ind w:right="49"/>
        <w:jc w:val="both"/>
        <w:rPr>
          <w:rFonts w:ascii="Verdana" w:hAnsi="Verdana"/>
          <w:color w:val="000000"/>
          <w:sz w:val="16"/>
          <w:szCs w:val="16"/>
          <w:lang w:val="es-CR"/>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r>
      <w:r w:rsidRPr="006976FA">
        <w:rPr>
          <w:rFonts w:ascii="Verdana" w:hAnsi="Verdana"/>
          <w:i/>
          <w:sz w:val="16"/>
          <w:szCs w:val="16"/>
        </w:rPr>
        <w:t xml:space="preserve">Cfr. Caso </w:t>
      </w:r>
      <w:proofErr w:type="spellStart"/>
      <w:r w:rsidRPr="006976FA">
        <w:rPr>
          <w:rFonts w:ascii="Verdana" w:hAnsi="Verdana"/>
          <w:i/>
          <w:sz w:val="16"/>
          <w:szCs w:val="16"/>
        </w:rPr>
        <w:t>Caesar</w:t>
      </w:r>
      <w:proofErr w:type="spellEnd"/>
      <w:r w:rsidRPr="006976FA">
        <w:rPr>
          <w:rFonts w:ascii="Verdana" w:hAnsi="Verdana"/>
          <w:i/>
          <w:sz w:val="16"/>
          <w:szCs w:val="16"/>
        </w:rPr>
        <w:t xml:space="preserve"> Vs. Trinidad y Tobago. Fondo, Reparaciones y Costas.</w:t>
      </w:r>
      <w:r w:rsidRPr="006976FA">
        <w:rPr>
          <w:rFonts w:ascii="Verdana" w:hAnsi="Verdana"/>
          <w:sz w:val="16"/>
          <w:szCs w:val="16"/>
        </w:rPr>
        <w:t xml:space="preserve"> Sentencia de 11 de marzo de 2005. Serie C No. 123, párr. 38, y</w:t>
      </w:r>
      <w:r w:rsidRPr="006976FA">
        <w:rPr>
          <w:rFonts w:ascii="Verdana" w:hAnsi="Verdana"/>
          <w:i/>
          <w:sz w:val="16"/>
          <w:szCs w:val="16"/>
        </w:rPr>
        <w:t xml:space="preserve"> </w:t>
      </w:r>
      <w:r w:rsidR="004E72A0" w:rsidRPr="00582EFA">
        <w:rPr>
          <w:rFonts w:ascii="Verdana" w:hAnsi="Verdana"/>
          <w:i/>
          <w:sz w:val="16"/>
          <w:szCs w:val="16"/>
        </w:rPr>
        <w:t xml:space="preserve">Cfr. Casos </w:t>
      </w:r>
      <w:proofErr w:type="spellStart"/>
      <w:r w:rsidR="004E72A0" w:rsidRPr="00582EFA">
        <w:rPr>
          <w:rFonts w:ascii="Verdana" w:hAnsi="Verdana"/>
          <w:i/>
          <w:sz w:val="16"/>
          <w:szCs w:val="16"/>
        </w:rPr>
        <w:t>Chocrón</w:t>
      </w:r>
      <w:proofErr w:type="spellEnd"/>
      <w:r w:rsidR="004E72A0" w:rsidRPr="00582EFA">
        <w:rPr>
          <w:rFonts w:ascii="Verdana" w:hAnsi="Verdana"/>
          <w:i/>
          <w:sz w:val="16"/>
          <w:szCs w:val="16"/>
        </w:rPr>
        <w:t xml:space="preserve"> </w:t>
      </w:r>
      <w:proofErr w:type="spellStart"/>
      <w:r w:rsidR="004E72A0" w:rsidRPr="00582EFA">
        <w:rPr>
          <w:rFonts w:ascii="Verdana" w:hAnsi="Verdana"/>
          <w:i/>
          <w:sz w:val="16"/>
          <w:szCs w:val="16"/>
        </w:rPr>
        <w:t>Chocrón</w:t>
      </w:r>
      <w:proofErr w:type="spellEnd"/>
      <w:r w:rsidR="004E72A0" w:rsidRPr="00582EFA">
        <w:rPr>
          <w:rFonts w:ascii="Verdana" w:hAnsi="Verdana"/>
          <w:i/>
          <w:sz w:val="16"/>
          <w:szCs w:val="16"/>
        </w:rPr>
        <w:t xml:space="preserve">, Díaz Peña, y Uzcátegui y otros Vs. Venezuela, supra </w:t>
      </w:r>
      <w:r w:rsidR="004E72A0" w:rsidRPr="00582EFA">
        <w:rPr>
          <w:rFonts w:ascii="Verdana" w:hAnsi="Verdana"/>
          <w:sz w:val="16"/>
          <w:szCs w:val="16"/>
        </w:rPr>
        <w:t>nota 4,</w:t>
      </w:r>
      <w:r w:rsidR="004E72A0" w:rsidRPr="00582EFA">
        <w:rPr>
          <w:rFonts w:ascii="Verdana" w:hAnsi="Verdana"/>
          <w:i/>
          <w:sz w:val="16"/>
          <w:szCs w:val="16"/>
        </w:rPr>
        <w:t xml:space="preserve"> </w:t>
      </w:r>
      <w:r w:rsidR="004E72A0" w:rsidRPr="00582EFA">
        <w:rPr>
          <w:rFonts w:ascii="Verdana" w:hAnsi="Verdana"/>
          <w:sz w:val="16"/>
          <w:szCs w:val="16"/>
        </w:rPr>
        <w:t>punto resolutivo 4.</w:t>
      </w:r>
    </w:p>
  </w:footnote>
  <w:footnote w:id="22">
    <w:p w14:paraId="74AACA77" w14:textId="16DFBB05" w:rsidR="00127593" w:rsidRPr="006976FA" w:rsidRDefault="00127593" w:rsidP="0080567A">
      <w:pPr>
        <w:pStyle w:val="Textonotapie"/>
        <w:jc w:val="both"/>
        <w:rPr>
          <w:rFonts w:ascii="Verdana" w:hAnsi="Verdana"/>
          <w:b/>
          <w:sz w:val="16"/>
          <w:szCs w:val="16"/>
          <w:lang w:val="es-CR"/>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r>
      <w:r w:rsidR="0080567A" w:rsidRPr="006976FA">
        <w:rPr>
          <w:rFonts w:ascii="Verdana" w:hAnsi="Verdana"/>
          <w:i/>
          <w:sz w:val="16"/>
          <w:szCs w:val="16"/>
          <w:lang w:val="es-CR"/>
        </w:rPr>
        <w:t xml:space="preserve">Cfr. Caso </w:t>
      </w:r>
      <w:proofErr w:type="spellStart"/>
      <w:r w:rsidR="0080567A" w:rsidRPr="006976FA">
        <w:rPr>
          <w:rFonts w:ascii="Verdana" w:hAnsi="Verdana"/>
          <w:i/>
          <w:sz w:val="16"/>
          <w:szCs w:val="16"/>
          <w:lang w:val="es-CR"/>
        </w:rPr>
        <w:t>Caesar</w:t>
      </w:r>
      <w:proofErr w:type="spellEnd"/>
      <w:r w:rsidR="0080567A" w:rsidRPr="006976FA">
        <w:rPr>
          <w:rFonts w:ascii="Verdana" w:hAnsi="Verdana"/>
          <w:i/>
          <w:sz w:val="16"/>
          <w:szCs w:val="16"/>
          <w:lang w:val="es-CR"/>
        </w:rPr>
        <w:t xml:space="preserve"> Vs. Trinidad y Tobago</w:t>
      </w:r>
      <w:r w:rsidR="0080567A" w:rsidRPr="006976FA">
        <w:rPr>
          <w:rFonts w:ascii="Verdana" w:hAnsi="Verdana"/>
          <w:sz w:val="16"/>
          <w:szCs w:val="16"/>
          <w:lang w:val="es-CR"/>
        </w:rPr>
        <w:t xml:space="preserve">, </w:t>
      </w:r>
      <w:r w:rsidR="0080567A" w:rsidRPr="006976FA">
        <w:rPr>
          <w:rFonts w:ascii="Verdana" w:hAnsi="Verdana"/>
          <w:i/>
          <w:sz w:val="16"/>
          <w:szCs w:val="16"/>
          <w:lang w:val="es-CR"/>
        </w:rPr>
        <w:t>supra</w:t>
      </w:r>
      <w:r w:rsidR="0080567A" w:rsidRPr="006976FA">
        <w:rPr>
          <w:rFonts w:ascii="Verdana" w:hAnsi="Verdana"/>
          <w:sz w:val="16"/>
          <w:szCs w:val="16"/>
          <w:lang w:val="es-CR"/>
        </w:rPr>
        <w:t xml:space="preserve"> nota </w:t>
      </w:r>
      <w:r w:rsidR="00E5416B">
        <w:rPr>
          <w:rFonts w:ascii="Verdana" w:hAnsi="Verdana"/>
          <w:sz w:val="16"/>
          <w:szCs w:val="16"/>
          <w:lang w:val="es-CR"/>
        </w:rPr>
        <w:t>21</w:t>
      </w:r>
      <w:r w:rsidR="0080567A" w:rsidRPr="006976FA">
        <w:rPr>
          <w:rFonts w:ascii="Verdana" w:hAnsi="Verdana"/>
          <w:sz w:val="16"/>
          <w:szCs w:val="16"/>
          <w:lang w:val="es-CR"/>
        </w:rPr>
        <w:t>, Considerando 11</w:t>
      </w:r>
      <w:r w:rsidR="00CE4856">
        <w:rPr>
          <w:rFonts w:ascii="Verdana" w:hAnsi="Verdana"/>
          <w:sz w:val="16"/>
          <w:szCs w:val="16"/>
          <w:lang w:val="es-CR"/>
        </w:rPr>
        <w:t>,</w:t>
      </w:r>
      <w:r w:rsidR="0080567A" w:rsidRPr="006976FA">
        <w:rPr>
          <w:rFonts w:ascii="Verdana" w:hAnsi="Verdana"/>
          <w:sz w:val="16"/>
          <w:szCs w:val="16"/>
          <w:lang w:val="es-CR"/>
        </w:rPr>
        <w:t xml:space="preserve"> y</w:t>
      </w:r>
      <w:r w:rsidR="0080567A" w:rsidRPr="006976FA">
        <w:rPr>
          <w:rFonts w:ascii="Verdana" w:hAnsi="Verdana"/>
          <w:i/>
          <w:sz w:val="16"/>
          <w:szCs w:val="16"/>
          <w:lang w:val="es-CR"/>
        </w:rPr>
        <w:t xml:space="preserve"> </w:t>
      </w:r>
      <w:r w:rsidR="0080567A" w:rsidRPr="006976FA">
        <w:rPr>
          <w:rFonts w:ascii="Verdana" w:hAnsi="Verdana"/>
          <w:sz w:val="16"/>
          <w:szCs w:val="16"/>
          <w:lang w:val="es-CR"/>
        </w:rPr>
        <w:t xml:space="preserve"> </w:t>
      </w:r>
      <w:r w:rsidR="0080567A" w:rsidRPr="006976FA">
        <w:rPr>
          <w:rStyle w:val="Textoennegrita"/>
          <w:rFonts w:ascii="Verdana" w:hAnsi="Verdana"/>
          <w:b w:val="0"/>
          <w:i/>
          <w:color w:val="000000"/>
          <w:sz w:val="16"/>
          <w:szCs w:val="16"/>
          <w:shd w:val="clear" w:color="auto" w:fill="FFFFFF"/>
          <w:lang w:val="es-CR"/>
        </w:rPr>
        <w:t xml:space="preserve">Caso de las Niñas </w:t>
      </w:r>
      <w:proofErr w:type="spellStart"/>
      <w:r w:rsidR="0080567A" w:rsidRPr="006976FA">
        <w:rPr>
          <w:rStyle w:val="Textoennegrita"/>
          <w:rFonts w:ascii="Verdana" w:hAnsi="Verdana"/>
          <w:b w:val="0"/>
          <w:i/>
          <w:color w:val="000000"/>
          <w:sz w:val="16"/>
          <w:szCs w:val="16"/>
          <w:shd w:val="clear" w:color="auto" w:fill="FFFFFF"/>
          <w:lang w:val="es-CR"/>
        </w:rPr>
        <w:t>Yean</w:t>
      </w:r>
      <w:proofErr w:type="spellEnd"/>
      <w:r w:rsidR="0080567A" w:rsidRPr="006976FA">
        <w:rPr>
          <w:rStyle w:val="Textoennegrita"/>
          <w:rFonts w:ascii="Verdana" w:hAnsi="Verdana"/>
          <w:b w:val="0"/>
          <w:i/>
          <w:color w:val="000000"/>
          <w:sz w:val="16"/>
          <w:szCs w:val="16"/>
          <w:shd w:val="clear" w:color="auto" w:fill="FFFFFF"/>
          <w:lang w:val="es-CR"/>
        </w:rPr>
        <w:t xml:space="preserve"> y </w:t>
      </w:r>
      <w:proofErr w:type="spellStart"/>
      <w:r w:rsidR="0080567A" w:rsidRPr="006976FA">
        <w:rPr>
          <w:rStyle w:val="Textoennegrita"/>
          <w:rFonts w:ascii="Verdana" w:hAnsi="Verdana"/>
          <w:b w:val="0"/>
          <w:i/>
          <w:color w:val="000000"/>
          <w:sz w:val="16"/>
          <w:szCs w:val="16"/>
          <w:shd w:val="clear" w:color="auto" w:fill="FFFFFF"/>
          <w:lang w:val="es-CR"/>
        </w:rPr>
        <w:t>Bosico</w:t>
      </w:r>
      <w:proofErr w:type="spellEnd"/>
      <w:r w:rsidR="0080567A" w:rsidRPr="006976FA">
        <w:rPr>
          <w:rStyle w:val="Textoennegrita"/>
          <w:rFonts w:ascii="Verdana" w:hAnsi="Verdana"/>
          <w:b w:val="0"/>
          <w:i/>
          <w:color w:val="000000"/>
          <w:sz w:val="16"/>
          <w:szCs w:val="16"/>
          <w:shd w:val="clear" w:color="auto" w:fill="FFFFFF"/>
          <w:lang w:val="es-CR"/>
        </w:rPr>
        <w:t xml:space="preserve"> y Caso de Personas dominicanas y haitianas expulsadas Vs. República Dominicana</w:t>
      </w:r>
      <w:r w:rsidR="0080567A" w:rsidRPr="006976FA">
        <w:rPr>
          <w:rStyle w:val="Textoennegrita"/>
          <w:rFonts w:ascii="Verdana" w:hAnsi="Verdana"/>
          <w:b w:val="0"/>
          <w:color w:val="000000"/>
          <w:sz w:val="16"/>
          <w:szCs w:val="16"/>
          <w:shd w:val="clear" w:color="auto" w:fill="FFFFFF"/>
          <w:lang w:val="es-CR"/>
        </w:rPr>
        <w:t xml:space="preserve">, </w:t>
      </w:r>
      <w:r w:rsidR="0080567A" w:rsidRPr="006976FA">
        <w:rPr>
          <w:rStyle w:val="Textoennegrita"/>
          <w:rFonts w:ascii="Verdana" w:hAnsi="Verdana"/>
          <w:b w:val="0"/>
          <w:i/>
          <w:color w:val="000000"/>
          <w:sz w:val="16"/>
          <w:szCs w:val="16"/>
          <w:shd w:val="clear" w:color="auto" w:fill="FFFFFF"/>
          <w:lang w:val="es-CR"/>
        </w:rPr>
        <w:t xml:space="preserve">supra </w:t>
      </w:r>
      <w:r w:rsidR="0080567A" w:rsidRPr="006976FA">
        <w:rPr>
          <w:rStyle w:val="Textoennegrita"/>
          <w:rFonts w:ascii="Verdana" w:hAnsi="Verdana"/>
          <w:b w:val="0"/>
          <w:color w:val="000000"/>
          <w:sz w:val="16"/>
          <w:szCs w:val="16"/>
          <w:shd w:val="clear" w:color="auto" w:fill="FFFFFF"/>
          <w:lang w:val="es-CR"/>
        </w:rPr>
        <w:t xml:space="preserve">nota </w:t>
      </w:r>
      <w:r w:rsidR="004E72A0" w:rsidRPr="006976FA">
        <w:rPr>
          <w:rStyle w:val="Textoennegrita"/>
          <w:rFonts w:ascii="Verdana" w:hAnsi="Verdana"/>
          <w:b w:val="0"/>
          <w:color w:val="000000"/>
          <w:sz w:val="16"/>
          <w:szCs w:val="16"/>
          <w:shd w:val="clear" w:color="auto" w:fill="FFFFFF"/>
          <w:lang w:val="es-CR"/>
        </w:rPr>
        <w:t>16</w:t>
      </w:r>
      <w:r w:rsidR="0080567A" w:rsidRPr="006976FA">
        <w:rPr>
          <w:rStyle w:val="Textoennegrita"/>
          <w:rFonts w:ascii="Verdana" w:hAnsi="Verdana"/>
          <w:b w:val="0"/>
          <w:color w:val="000000"/>
          <w:sz w:val="16"/>
          <w:szCs w:val="16"/>
          <w:shd w:val="clear" w:color="auto" w:fill="FFFFFF"/>
          <w:lang w:val="es-CR"/>
        </w:rPr>
        <w:t>, Considerando 24.</w:t>
      </w:r>
    </w:p>
  </w:footnote>
  <w:footnote w:id="23">
    <w:p w14:paraId="57263350" w14:textId="10D5034B" w:rsidR="00127593" w:rsidRPr="006976FA" w:rsidRDefault="00127593" w:rsidP="007A5F46">
      <w:pPr>
        <w:pStyle w:val="Textonotapie"/>
        <w:jc w:val="both"/>
        <w:rPr>
          <w:rFonts w:ascii="Verdana" w:hAnsi="Verdana"/>
          <w:b/>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r>
      <w:r w:rsidR="0080567A" w:rsidRPr="006976FA">
        <w:rPr>
          <w:rFonts w:ascii="Verdana" w:hAnsi="Verdana"/>
          <w:i/>
          <w:sz w:val="16"/>
          <w:szCs w:val="16"/>
          <w:lang w:val="es-CR"/>
        </w:rPr>
        <w:t>Cfr.</w:t>
      </w:r>
      <w:r w:rsidR="0080567A" w:rsidRPr="006976FA">
        <w:rPr>
          <w:rFonts w:ascii="Verdana" w:hAnsi="Verdana"/>
          <w:sz w:val="16"/>
          <w:szCs w:val="16"/>
          <w:lang w:val="es-CR"/>
        </w:rPr>
        <w:t xml:space="preserve"> </w:t>
      </w:r>
      <w:r w:rsidR="0080567A" w:rsidRPr="006976FA">
        <w:rPr>
          <w:rFonts w:ascii="Verdana" w:hAnsi="Verdana"/>
          <w:i/>
          <w:sz w:val="16"/>
          <w:szCs w:val="16"/>
          <w:lang w:val="es-CR"/>
        </w:rPr>
        <w:t xml:space="preserve">Caso YATAMA Vs. Nicaragua. Supervisión de Cumplimiento de Sentencia. </w:t>
      </w:r>
      <w:r w:rsidR="0080567A" w:rsidRPr="006976FA">
        <w:rPr>
          <w:rFonts w:ascii="Verdana" w:hAnsi="Verdana"/>
          <w:sz w:val="16"/>
          <w:szCs w:val="16"/>
          <w:lang w:val="es-CR"/>
        </w:rPr>
        <w:t xml:space="preserve">Resolución de la Corte Interamericana de Derechos Humanos de 22 de agosto de 2013, Considerando 15, y </w:t>
      </w:r>
      <w:r w:rsidR="0080567A" w:rsidRPr="006976FA">
        <w:rPr>
          <w:rStyle w:val="Textoennegrita"/>
          <w:rFonts w:ascii="Verdana" w:hAnsi="Verdana"/>
          <w:b w:val="0"/>
          <w:i/>
          <w:color w:val="000000"/>
          <w:sz w:val="16"/>
          <w:szCs w:val="16"/>
          <w:shd w:val="clear" w:color="auto" w:fill="FFFFFF"/>
          <w:lang w:val="es-CR"/>
        </w:rPr>
        <w:t xml:space="preserve">Caso de las Niñas </w:t>
      </w:r>
      <w:proofErr w:type="spellStart"/>
      <w:r w:rsidR="0080567A" w:rsidRPr="006976FA">
        <w:rPr>
          <w:rStyle w:val="Textoennegrita"/>
          <w:rFonts w:ascii="Verdana" w:hAnsi="Verdana"/>
          <w:b w:val="0"/>
          <w:i/>
          <w:color w:val="000000"/>
          <w:sz w:val="16"/>
          <w:szCs w:val="16"/>
          <w:shd w:val="clear" w:color="auto" w:fill="FFFFFF"/>
          <w:lang w:val="es-CR"/>
        </w:rPr>
        <w:t>Yean</w:t>
      </w:r>
      <w:proofErr w:type="spellEnd"/>
      <w:r w:rsidR="0080567A" w:rsidRPr="006976FA">
        <w:rPr>
          <w:rStyle w:val="Textoennegrita"/>
          <w:rFonts w:ascii="Verdana" w:hAnsi="Verdana"/>
          <w:b w:val="0"/>
          <w:i/>
          <w:color w:val="000000"/>
          <w:sz w:val="16"/>
          <w:szCs w:val="16"/>
          <w:shd w:val="clear" w:color="auto" w:fill="FFFFFF"/>
          <w:lang w:val="es-CR"/>
        </w:rPr>
        <w:t xml:space="preserve"> y </w:t>
      </w:r>
      <w:proofErr w:type="spellStart"/>
      <w:r w:rsidR="0080567A" w:rsidRPr="006976FA">
        <w:rPr>
          <w:rStyle w:val="Textoennegrita"/>
          <w:rFonts w:ascii="Verdana" w:hAnsi="Verdana"/>
          <w:b w:val="0"/>
          <w:i/>
          <w:color w:val="000000"/>
          <w:sz w:val="16"/>
          <w:szCs w:val="16"/>
          <w:shd w:val="clear" w:color="auto" w:fill="FFFFFF"/>
          <w:lang w:val="es-CR"/>
        </w:rPr>
        <w:t>Bosico</w:t>
      </w:r>
      <w:proofErr w:type="spellEnd"/>
      <w:r w:rsidR="0080567A" w:rsidRPr="006976FA">
        <w:rPr>
          <w:rStyle w:val="Textoennegrita"/>
          <w:rFonts w:ascii="Verdana" w:hAnsi="Verdana"/>
          <w:b w:val="0"/>
          <w:i/>
          <w:color w:val="000000"/>
          <w:sz w:val="16"/>
          <w:szCs w:val="16"/>
          <w:shd w:val="clear" w:color="auto" w:fill="FFFFFF"/>
          <w:lang w:val="es-CR"/>
        </w:rPr>
        <w:t xml:space="preserve"> y Caso de Personas dominicanas y haitianas expulsadas Vs. República Dominicana</w:t>
      </w:r>
      <w:r w:rsidR="0080567A" w:rsidRPr="006976FA">
        <w:rPr>
          <w:rStyle w:val="Textoennegrita"/>
          <w:rFonts w:ascii="Verdana" w:hAnsi="Verdana"/>
          <w:b w:val="0"/>
          <w:color w:val="000000"/>
          <w:sz w:val="16"/>
          <w:szCs w:val="16"/>
          <w:shd w:val="clear" w:color="auto" w:fill="FFFFFF"/>
          <w:lang w:val="es-CR"/>
        </w:rPr>
        <w:t xml:space="preserve">, </w:t>
      </w:r>
      <w:r w:rsidR="0080567A" w:rsidRPr="006976FA">
        <w:rPr>
          <w:rStyle w:val="Textoennegrita"/>
          <w:rFonts w:ascii="Verdana" w:hAnsi="Verdana"/>
          <w:b w:val="0"/>
          <w:i/>
          <w:color w:val="000000"/>
          <w:sz w:val="16"/>
          <w:szCs w:val="16"/>
          <w:shd w:val="clear" w:color="auto" w:fill="FFFFFF"/>
          <w:lang w:val="es-CR"/>
        </w:rPr>
        <w:t>supra</w:t>
      </w:r>
      <w:r w:rsidR="0080567A" w:rsidRPr="006976FA">
        <w:rPr>
          <w:rStyle w:val="Textoennegrita"/>
          <w:rFonts w:ascii="Verdana" w:hAnsi="Verdana"/>
          <w:b w:val="0"/>
          <w:color w:val="000000"/>
          <w:sz w:val="16"/>
          <w:szCs w:val="16"/>
          <w:shd w:val="clear" w:color="auto" w:fill="FFFFFF"/>
          <w:lang w:val="es-CR"/>
        </w:rPr>
        <w:t xml:space="preserve"> nota </w:t>
      </w:r>
      <w:r w:rsidR="004E72A0" w:rsidRPr="006976FA">
        <w:rPr>
          <w:rStyle w:val="Textoennegrita"/>
          <w:rFonts w:ascii="Verdana" w:hAnsi="Verdana"/>
          <w:b w:val="0"/>
          <w:color w:val="000000"/>
          <w:sz w:val="16"/>
          <w:szCs w:val="16"/>
          <w:shd w:val="clear" w:color="auto" w:fill="FFFFFF"/>
          <w:lang w:val="es-CR"/>
        </w:rPr>
        <w:t>16</w:t>
      </w:r>
      <w:r w:rsidR="0080567A" w:rsidRPr="006976FA">
        <w:rPr>
          <w:rStyle w:val="Textoennegrita"/>
          <w:rFonts w:ascii="Verdana" w:hAnsi="Verdana"/>
          <w:b w:val="0"/>
          <w:color w:val="000000"/>
          <w:sz w:val="16"/>
          <w:szCs w:val="16"/>
          <w:shd w:val="clear" w:color="auto" w:fill="FFFFFF"/>
          <w:lang w:val="es-CR"/>
        </w:rPr>
        <w:t>, Considerando 36</w:t>
      </w:r>
      <w:r w:rsidR="0080567A" w:rsidRPr="00CE4856">
        <w:rPr>
          <w:rFonts w:ascii="Verdana" w:hAnsi="Verdana"/>
          <w:sz w:val="16"/>
          <w:szCs w:val="16"/>
          <w:lang w:val="es-CR"/>
        </w:rPr>
        <w:t>.</w:t>
      </w:r>
    </w:p>
  </w:footnote>
  <w:footnote w:id="24">
    <w:p w14:paraId="6F8B561B" w14:textId="77777777" w:rsidR="00127593" w:rsidRPr="006976FA" w:rsidRDefault="00127593" w:rsidP="007A5F46">
      <w:pPr>
        <w:pStyle w:val="Sangradetindependiente"/>
        <w:tabs>
          <w:tab w:val="left" w:pos="567"/>
          <w:tab w:val="left" w:pos="8280"/>
        </w:tabs>
        <w:spacing w:afterLines="20" w:after="48"/>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t xml:space="preserve"> “La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footnote>
  <w:footnote w:id="25">
    <w:p w14:paraId="4F73460A" w14:textId="77777777" w:rsidR="00127593" w:rsidRPr="006976FA" w:rsidRDefault="00127593" w:rsidP="007A5F46">
      <w:pPr>
        <w:pStyle w:val="Textonotapie"/>
        <w:tabs>
          <w:tab w:val="left" w:pos="567"/>
        </w:tabs>
        <w:jc w:val="both"/>
        <w:rPr>
          <w:rFonts w:ascii="Verdana" w:hAnsi="Verdana"/>
          <w:sz w:val="16"/>
          <w:szCs w:val="16"/>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t>“</w:t>
      </w:r>
      <w:r w:rsidRPr="006976FA">
        <w:rPr>
          <w:rFonts w:ascii="Verdana" w:hAnsi="Verdana"/>
          <w:color w:val="000000"/>
          <w:sz w:val="16"/>
          <w:szCs w:val="16"/>
          <w:lang w:val="es-CO"/>
        </w:rPr>
        <w:t>La Corte someterá a la Asamblea General de la OEA, en cada período ordinario de sesiones, un informe de su labor en el año anterior. Señalará los casos en que un Estado no haya dado cumplimiento a sus fallos. Podrá también someter a la Asamblea General de la OEA proposiciones o recomendaciones para el mejoramiento del sistema interamericano de derechos humanos, en lo relacionado con el trabajo de la Corte”.</w:t>
      </w:r>
    </w:p>
  </w:footnote>
  <w:footnote w:id="26">
    <w:p w14:paraId="4E55B3D2" w14:textId="3039775B" w:rsidR="00465C89" w:rsidRPr="006976FA" w:rsidRDefault="00465C89" w:rsidP="00465C89">
      <w:pPr>
        <w:pStyle w:val="Textonotapie"/>
        <w:jc w:val="both"/>
        <w:rPr>
          <w:rFonts w:ascii="Verdana" w:hAnsi="Verdana"/>
          <w:sz w:val="16"/>
          <w:szCs w:val="16"/>
          <w:lang w:val="es-CR"/>
        </w:rPr>
      </w:pPr>
      <w:r w:rsidRPr="006976FA">
        <w:rPr>
          <w:rFonts w:ascii="Verdana" w:hAnsi="Verdana"/>
          <w:sz w:val="16"/>
          <w:szCs w:val="16"/>
          <w:vertAlign w:val="superscript"/>
          <w:lang w:val="es-CR"/>
        </w:rPr>
        <w:footnoteRef/>
      </w:r>
      <w:r w:rsidRPr="006976FA">
        <w:rPr>
          <w:rFonts w:ascii="Verdana" w:hAnsi="Verdana"/>
          <w:sz w:val="16"/>
          <w:szCs w:val="16"/>
          <w:lang w:val="es-CR"/>
        </w:rPr>
        <w:t xml:space="preserve"> </w:t>
      </w:r>
      <w:r w:rsidRPr="006976FA">
        <w:rPr>
          <w:rFonts w:ascii="Verdana" w:hAnsi="Verdana"/>
          <w:sz w:val="16"/>
          <w:szCs w:val="16"/>
          <w:lang w:val="es-CR"/>
        </w:rPr>
        <w:tab/>
      </w:r>
      <w:r w:rsidRPr="006976FA">
        <w:rPr>
          <w:rFonts w:ascii="Verdana" w:hAnsi="Verdana"/>
          <w:i/>
          <w:sz w:val="16"/>
          <w:szCs w:val="16"/>
          <w:lang w:val="es-CR"/>
        </w:rPr>
        <w:t xml:space="preserve">Cfr. </w:t>
      </w:r>
      <w:r w:rsidRPr="006976FA">
        <w:rPr>
          <w:rFonts w:ascii="Verdana" w:hAnsi="Verdana"/>
          <w:bCs/>
          <w:i/>
          <w:sz w:val="16"/>
          <w:szCs w:val="16"/>
          <w:lang w:val="es-CR"/>
        </w:rPr>
        <w:t xml:space="preserve">Caso </w:t>
      </w:r>
      <w:proofErr w:type="spellStart"/>
      <w:r w:rsidRPr="006976FA">
        <w:rPr>
          <w:rFonts w:ascii="Verdana" w:hAnsi="Verdana"/>
          <w:bCs/>
          <w:i/>
          <w:sz w:val="16"/>
          <w:szCs w:val="16"/>
          <w:lang w:val="es-CR"/>
        </w:rPr>
        <w:t>Apitz</w:t>
      </w:r>
      <w:proofErr w:type="spellEnd"/>
      <w:r w:rsidRPr="006976FA">
        <w:rPr>
          <w:rFonts w:ascii="Verdana" w:hAnsi="Verdana"/>
          <w:bCs/>
          <w:i/>
          <w:sz w:val="16"/>
          <w:szCs w:val="16"/>
          <w:lang w:val="es-CR"/>
        </w:rPr>
        <w:t xml:space="preserve"> Barbera y Otros ("Corte Primera de lo Contencioso Administrativo") Vs. Venezuela</w:t>
      </w:r>
      <w:r w:rsidRPr="006976FA">
        <w:rPr>
          <w:rFonts w:ascii="Verdana" w:hAnsi="Verdana"/>
          <w:bCs/>
          <w:sz w:val="16"/>
          <w:szCs w:val="16"/>
          <w:lang w:val="es-CR"/>
        </w:rPr>
        <w:t xml:space="preserve">. Supervisión de Cumplimiento de Sentencia. Resolución de la Corte Interamericana de Derechos Humanos de 23 de noviembre de 2012, Considerando </w:t>
      </w:r>
      <w:r w:rsidR="00CE4856">
        <w:rPr>
          <w:rFonts w:ascii="Verdana" w:hAnsi="Verdana"/>
          <w:bCs/>
          <w:sz w:val="16"/>
          <w:szCs w:val="16"/>
          <w:lang w:val="es-CR"/>
        </w:rPr>
        <w:t>45</w:t>
      </w:r>
      <w:r w:rsidRPr="006976FA">
        <w:rPr>
          <w:rFonts w:ascii="Verdana" w:hAnsi="Verdana"/>
          <w:bCs/>
          <w:sz w:val="16"/>
          <w:szCs w:val="16"/>
          <w:lang w:val="es-CR"/>
        </w:rPr>
        <w:t xml:space="preserve">, y </w:t>
      </w:r>
      <w:r w:rsidR="004E72A0" w:rsidRPr="00582EFA">
        <w:rPr>
          <w:rStyle w:val="Textoennegrita"/>
          <w:rFonts w:ascii="Verdana" w:hAnsi="Verdana"/>
          <w:b w:val="0"/>
          <w:i/>
          <w:color w:val="000000"/>
          <w:sz w:val="16"/>
          <w:szCs w:val="16"/>
          <w:shd w:val="clear" w:color="auto" w:fill="FFFFFF"/>
        </w:rPr>
        <w:t>Casos Ríos y otros, Perozo y otros y Reverón Trujillo Vs. Venezuela. Supervisión de Cumplimiento de Sentencia</w:t>
      </w:r>
      <w:r w:rsidR="004E72A0" w:rsidRPr="00582EFA">
        <w:rPr>
          <w:rStyle w:val="Textoennegrita"/>
          <w:rFonts w:ascii="Verdana" w:hAnsi="Verdana"/>
          <w:b w:val="0"/>
          <w:color w:val="000000"/>
          <w:sz w:val="16"/>
          <w:szCs w:val="16"/>
          <w:shd w:val="clear" w:color="auto" w:fill="FFFFFF"/>
        </w:rPr>
        <w:t>. Resolución de la Corte Interamericana de Derechos Humanos de 20 de noviembre de 2015</w:t>
      </w:r>
      <w:r w:rsidR="00CE4856">
        <w:rPr>
          <w:rStyle w:val="Textoennegrita"/>
          <w:rFonts w:ascii="Verdana" w:hAnsi="Verdana"/>
          <w:b w:val="0"/>
          <w:color w:val="000000"/>
          <w:sz w:val="16"/>
          <w:szCs w:val="16"/>
          <w:shd w:val="clear" w:color="auto" w:fill="FFFFFF"/>
        </w:rPr>
        <w:t>,</w:t>
      </w:r>
      <w:r w:rsidR="004E72A0" w:rsidRPr="00582EFA" w:rsidDel="004E72A0">
        <w:rPr>
          <w:rStyle w:val="Textoennegrita"/>
          <w:rFonts w:ascii="Verdana" w:hAnsi="Verdana"/>
          <w:b w:val="0"/>
          <w:i/>
          <w:color w:val="000000"/>
          <w:sz w:val="16"/>
          <w:szCs w:val="16"/>
          <w:shd w:val="clear" w:color="auto" w:fill="FFFFFF"/>
          <w:lang w:val="es-CR"/>
        </w:rPr>
        <w:t xml:space="preserve"> </w:t>
      </w:r>
      <w:r w:rsidRPr="00582EFA">
        <w:rPr>
          <w:rStyle w:val="Textoennegrita"/>
          <w:rFonts w:ascii="Verdana" w:hAnsi="Verdana"/>
          <w:b w:val="0"/>
          <w:color w:val="000000"/>
          <w:sz w:val="16"/>
          <w:szCs w:val="16"/>
          <w:shd w:val="clear" w:color="auto" w:fill="FFFFFF"/>
          <w:lang w:val="es-CR"/>
        </w:rPr>
        <w:t xml:space="preserve">Considerando </w:t>
      </w:r>
      <w:r w:rsidR="004E72A0" w:rsidRPr="00582EFA">
        <w:rPr>
          <w:rStyle w:val="Textoennegrita"/>
          <w:rFonts w:ascii="Verdana" w:hAnsi="Verdana"/>
          <w:b w:val="0"/>
          <w:color w:val="000000"/>
          <w:sz w:val="16"/>
          <w:szCs w:val="16"/>
          <w:shd w:val="clear" w:color="auto" w:fill="FFFFFF"/>
          <w:lang w:val="es-CR"/>
        </w:rPr>
        <w:t>12</w:t>
      </w:r>
      <w:r w:rsidRPr="00582EFA">
        <w:rPr>
          <w:rFonts w:ascii="Verdana" w:hAnsi="Verdana"/>
          <w:bCs/>
          <w:sz w:val="16"/>
          <w:szCs w:val="16"/>
          <w:lang w:val="es-CR"/>
        </w:rPr>
        <w:t>.</w:t>
      </w:r>
    </w:p>
  </w:footnote>
  <w:footnote w:id="27">
    <w:p w14:paraId="2AE5161F" w14:textId="4782BF57" w:rsidR="0080567A" w:rsidRPr="006976FA" w:rsidRDefault="00127593" w:rsidP="007A5F46">
      <w:pPr>
        <w:pStyle w:val="Textonotapie"/>
        <w:jc w:val="both"/>
        <w:rPr>
          <w:rFonts w:ascii="Verdana" w:hAnsi="Verdana"/>
          <w:sz w:val="16"/>
          <w:szCs w:val="16"/>
          <w:lang w:val="es-CO"/>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sz w:val="16"/>
          <w:szCs w:val="16"/>
        </w:rPr>
        <w:tab/>
      </w:r>
      <w:r w:rsidRPr="006976FA">
        <w:rPr>
          <w:rFonts w:ascii="Verdana" w:hAnsi="Verdana"/>
          <w:i/>
          <w:sz w:val="16"/>
          <w:szCs w:val="16"/>
          <w:lang w:val="es-ES"/>
        </w:rPr>
        <w:t>Cfr</w:t>
      </w:r>
      <w:r w:rsidRPr="006976FA">
        <w:rPr>
          <w:rFonts w:ascii="Verdana" w:hAnsi="Verdana"/>
          <w:sz w:val="16"/>
          <w:szCs w:val="16"/>
          <w:lang w:val="es-ES"/>
        </w:rPr>
        <w:t xml:space="preserve">. </w:t>
      </w:r>
      <w:r w:rsidRPr="006976FA">
        <w:rPr>
          <w:rFonts w:ascii="Verdana" w:hAnsi="Verdana"/>
          <w:i/>
          <w:sz w:val="16"/>
          <w:szCs w:val="16"/>
          <w:lang w:val="es-ES"/>
        </w:rPr>
        <w:t>Caso Baena Ricardo y otros Vs. Panamá</w:t>
      </w:r>
      <w:r w:rsidRPr="006976FA">
        <w:rPr>
          <w:rFonts w:ascii="Verdana" w:hAnsi="Verdana"/>
          <w:sz w:val="16"/>
          <w:szCs w:val="16"/>
          <w:lang w:val="es-ES"/>
        </w:rPr>
        <w:t xml:space="preserve">. </w:t>
      </w:r>
      <w:r w:rsidRPr="006976FA">
        <w:rPr>
          <w:rFonts w:ascii="Verdana" w:hAnsi="Verdana"/>
          <w:i/>
          <w:sz w:val="16"/>
          <w:szCs w:val="16"/>
          <w:lang w:val="es-ES"/>
        </w:rPr>
        <w:t>Competencia,</w:t>
      </w:r>
      <w:r w:rsidRPr="006976FA">
        <w:rPr>
          <w:rFonts w:ascii="Verdana" w:hAnsi="Verdana"/>
          <w:sz w:val="16"/>
          <w:szCs w:val="16"/>
          <w:lang w:val="es-ES"/>
        </w:rPr>
        <w:t xml:space="preserve"> </w:t>
      </w:r>
      <w:r w:rsidRPr="006976FA">
        <w:rPr>
          <w:rFonts w:ascii="Verdana" w:hAnsi="Verdana"/>
          <w:sz w:val="16"/>
          <w:szCs w:val="16"/>
        </w:rPr>
        <w:t xml:space="preserve">párr. 96, </w:t>
      </w:r>
      <w:r w:rsidRPr="006976FA">
        <w:rPr>
          <w:rStyle w:val="Textoennegrita"/>
          <w:rFonts w:ascii="Verdana" w:hAnsi="Verdana"/>
          <w:b w:val="0"/>
          <w:sz w:val="16"/>
          <w:szCs w:val="16"/>
        </w:rPr>
        <w:t xml:space="preserve">y </w:t>
      </w:r>
      <w:r w:rsidR="00700BE1" w:rsidRPr="006976FA">
        <w:rPr>
          <w:rStyle w:val="Textoennegrita"/>
          <w:rFonts w:ascii="Verdana" w:hAnsi="Verdana"/>
          <w:b w:val="0"/>
          <w:i/>
          <w:color w:val="000000"/>
          <w:sz w:val="16"/>
          <w:szCs w:val="16"/>
          <w:shd w:val="clear" w:color="auto" w:fill="FFFFFF"/>
        </w:rPr>
        <w:t xml:space="preserve">Casos Ríos y otros, Perozo y otros y Reverón Trujillo Vs. Venezuela, </w:t>
      </w:r>
      <w:r w:rsidR="0080567A" w:rsidRPr="00582EFA">
        <w:rPr>
          <w:rStyle w:val="Textoennegrita"/>
          <w:rFonts w:ascii="Verdana" w:hAnsi="Verdana"/>
          <w:b w:val="0"/>
          <w:i/>
          <w:color w:val="000000"/>
          <w:sz w:val="16"/>
          <w:szCs w:val="16"/>
          <w:shd w:val="clear" w:color="auto" w:fill="FFFFFF"/>
          <w:lang w:val="es-CR"/>
        </w:rPr>
        <w:t>supra</w:t>
      </w:r>
      <w:r w:rsidR="0080567A" w:rsidRPr="00582EFA">
        <w:rPr>
          <w:rStyle w:val="Textoennegrita"/>
          <w:rFonts w:ascii="Verdana" w:hAnsi="Verdana"/>
          <w:b w:val="0"/>
          <w:color w:val="000000"/>
          <w:sz w:val="16"/>
          <w:szCs w:val="16"/>
          <w:shd w:val="clear" w:color="auto" w:fill="FFFFFF"/>
          <w:lang w:val="es-CR"/>
        </w:rPr>
        <w:t xml:space="preserve"> nota 2</w:t>
      </w:r>
      <w:r w:rsidR="00700BE1" w:rsidRPr="00582EFA">
        <w:rPr>
          <w:rStyle w:val="Textoennegrita"/>
          <w:rFonts w:ascii="Verdana" w:hAnsi="Verdana"/>
          <w:b w:val="0"/>
          <w:color w:val="000000"/>
          <w:sz w:val="16"/>
          <w:szCs w:val="16"/>
          <w:shd w:val="clear" w:color="auto" w:fill="FFFFFF"/>
          <w:lang w:val="es-CR"/>
        </w:rPr>
        <w:t>6</w:t>
      </w:r>
      <w:r w:rsidR="0080567A" w:rsidRPr="00582EFA">
        <w:rPr>
          <w:rStyle w:val="Textoennegrita"/>
          <w:rFonts w:ascii="Verdana" w:hAnsi="Verdana"/>
          <w:b w:val="0"/>
          <w:i/>
          <w:color w:val="000000"/>
          <w:sz w:val="16"/>
          <w:szCs w:val="16"/>
          <w:shd w:val="clear" w:color="auto" w:fill="FFFFFF"/>
          <w:lang w:val="es-CR"/>
        </w:rPr>
        <w:t xml:space="preserve">, </w:t>
      </w:r>
      <w:r w:rsidR="0080567A" w:rsidRPr="00582EFA">
        <w:rPr>
          <w:rStyle w:val="Textoennegrita"/>
          <w:rFonts w:ascii="Verdana" w:hAnsi="Verdana"/>
          <w:b w:val="0"/>
          <w:color w:val="000000"/>
          <w:sz w:val="16"/>
          <w:szCs w:val="16"/>
          <w:shd w:val="clear" w:color="auto" w:fill="FFFFFF"/>
          <w:lang w:val="es-CR"/>
        </w:rPr>
        <w:t>Considerando 1</w:t>
      </w:r>
      <w:r w:rsidR="00700BE1" w:rsidRPr="00582EFA">
        <w:rPr>
          <w:rStyle w:val="Textoennegrita"/>
          <w:rFonts w:ascii="Verdana" w:hAnsi="Verdana"/>
          <w:b w:val="0"/>
          <w:color w:val="000000"/>
          <w:sz w:val="16"/>
          <w:szCs w:val="16"/>
          <w:shd w:val="clear" w:color="auto" w:fill="FFFFFF"/>
          <w:lang w:val="es-CR"/>
        </w:rPr>
        <w:t>3</w:t>
      </w:r>
      <w:r w:rsidR="0080567A" w:rsidRPr="00582EFA">
        <w:rPr>
          <w:rStyle w:val="Textoennegrita"/>
          <w:rFonts w:ascii="Verdana" w:hAnsi="Verdana"/>
          <w:b w:val="0"/>
          <w:color w:val="000000"/>
          <w:sz w:val="16"/>
          <w:szCs w:val="16"/>
          <w:shd w:val="clear" w:color="auto" w:fill="FFFFFF"/>
          <w:lang w:val="es-CR"/>
        </w:rPr>
        <w:t>.</w:t>
      </w:r>
    </w:p>
  </w:footnote>
  <w:footnote w:id="28">
    <w:p w14:paraId="25D2FA15" w14:textId="7312E113" w:rsidR="00442DD0" w:rsidRPr="006976FA" w:rsidRDefault="00442DD0" w:rsidP="00442DD0">
      <w:pPr>
        <w:pStyle w:val="Textonotapie"/>
        <w:jc w:val="both"/>
        <w:rPr>
          <w:rFonts w:ascii="Verdana" w:hAnsi="Verdana"/>
          <w:b/>
          <w:sz w:val="16"/>
          <w:szCs w:val="16"/>
          <w:lang w:val="es-CO"/>
        </w:rPr>
      </w:pPr>
      <w:r w:rsidRPr="006976FA">
        <w:rPr>
          <w:rFonts w:ascii="Verdana" w:hAnsi="Verdana"/>
          <w:sz w:val="16"/>
          <w:szCs w:val="16"/>
          <w:vertAlign w:val="superscript"/>
          <w:lang w:val="es-CR"/>
        </w:rPr>
        <w:footnoteRef/>
      </w:r>
      <w:r w:rsidRPr="006976FA">
        <w:rPr>
          <w:rFonts w:ascii="Verdana" w:hAnsi="Verdana"/>
          <w:sz w:val="16"/>
          <w:szCs w:val="16"/>
          <w:lang w:val="es-CR"/>
        </w:rPr>
        <w:t xml:space="preserve"> </w:t>
      </w:r>
      <w:r w:rsidRPr="006976FA">
        <w:rPr>
          <w:rFonts w:ascii="Verdana" w:hAnsi="Verdana"/>
          <w:b/>
          <w:sz w:val="16"/>
          <w:szCs w:val="16"/>
          <w:lang w:val="es-CR"/>
        </w:rPr>
        <w:tab/>
      </w:r>
      <w:r w:rsidRPr="006976FA">
        <w:rPr>
          <w:rFonts w:ascii="Verdana" w:hAnsi="Verdana"/>
          <w:i/>
          <w:sz w:val="16"/>
          <w:szCs w:val="16"/>
          <w:lang w:val="es-CR"/>
        </w:rPr>
        <w:t xml:space="preserve">Cfr. </w:t>
      </w:r>
      <w:r w:rsidRPr="006976FA">
        <w:rPr>
          <w:rFonts w:ascii="Verdana" w:hAnsi="Verdana"/>
          <w:bCs/>
          <w:i/>
          <w:sz w:val="16"/>
          <w:szCs w:val="16"/>
          <w:lang w:val="es-CR"/>
        </w:rPr>
        <w:t xml:space="preserve">Caso </w:t>
      </w:r>
      <w:proofErr w:type="spellStart"/>
      <w:r w:rsidRPr="006976FA">
        <w:rPr>
          <w:rFonts w:ascii="Verdana" w:hAnsi="Verdana"/>
          <w:bCs/>
          <w:i/>
          <w:sz w:val="16"/>
          <w:szCs w:val="16"/>
          <w:lang w:val="es-CR"/>
        </w:rPr>
        <w:t>Apitz</w:t>
      </w:r>
      <w:proofErr w:type="spellEnd"/>
      <w:r w:rsidRPr="006976FA">
        <w:rPr>
          <w:rFonts w:ascii="Verdana" w:hAnsi="Verdana"/>
          <w:bCs/>
          <w:i/>
          <w:sz w:val="16"/>
          <w:szCs w:val="16"/>
          <w:lang w:val="es-CR"/>
        </w:rPr>
        <w:t xml:space="preserve"> Barbera y Otros Vs. Venezuela</w:t>
      </w:r>
      <w:r w:rsidRPr="00E83429">
        <w:rPr>
          <w:rFonts w:ascii="Verdana" w:hAnsi="Verdana"/>
          <w:bCs/>
          <w:sz w:val="16"/>
          <w:szCs w:val="16"/>
          <w:lang w:val="es-CR"/>
        </w:rPr>
        <w:t>,</w:t>
      </w:r>
      <w:r w:rsidRPr="006976FA">
        <w:rPr>
          <w:rFonts w:ascii="Verdana" w:hAnsi="Verdana"/>
          <w:b/>
          <w:bCs/>
          <w:sz w:val="16"/>
          <w:szCs w:val="16"/>
          <w:lang w:val="es-CR"/>
        </w:rPr>
        <w:t xml:space="preserve"> </w:t>
      </w:r>
      <w:r w:rsidRPr="006976FA">
        <w:rPr>
          <w:rFonts w:ascii="Verdana" w:hAnsi="Verdana"/>
          <w:bCs/>
          <w:i/>
          <w:sz w:val="16"/>
          <w:szCs w:val="16"/>
          <w:lang w:val="es-CR"/>
        </w:rPr>
        <w:t>supra</w:t>
      </w:r>
      <w:r w:rsidRPr="006976FA">
        <w:rPr>
          <w:rFonts w:ascii="Verdana" w:hAnsi="Verdana"/>
          <w:b/>
          <w:bCs/>
          <w:i/>
          <w:sz w:val="16"/>
          <w:szCs w:val="16"/>
          <w:lang w:val="es-CR"/>
        </w:rPr>
        <w:t xml:space="preserve"> </w:t>
      </w:r>
      <w:r w:rsidRPr="006976FA">
        <w:rPr>
          <w:rStyle w:val="Textoennegrita"/>
          <w:rFonts w:ascii="Verdana" w:hAnsi="Verdana"/>
          <w:b w:val="0"/>
          <w:color w:val="000000"/>
          <w:sz w:val="16"/>
          <w:szCs w:val="16"/>
          <w:shd w:val="clear" w:color="auto" w:fill="FFFFFF"/>
          <w:lang w:val="es-CR"/>
        </w:rPr>
        <w:t>nota 2</w:t>
      </w:r>
      <w:r w:rsidR="00700BE1" w:rsidRPr="006976FA">
        <w:rPr>
          <w:rStyle w:val="Textoennegrita"/>
          <w:rFonts w:ascii="Verdana" w:hAnsi="Verdana"/>
          <w:b w:val="0"/>
          <w:color w:val="000000"/>
          <w:sz w:val="16"/>
          <w:szCs w:val="16"/>
          <w:shd w:val="clear" w:color="auto" w:fill="FFFFFF"/>
          <w:lang w:val="es-CR"/>
        </w:rPr>
        <w:t>6</w:t>
      </w:r>
      <w:r w:rsidRPr="006976FA">
        <w:rPr>
          <w:rFonts w:ascii="Verdana" w:hAnsi="Verdana"/>
          <w:bCs/>
          <w:sz w:val="16"/>
          <w:szCs w:val="16"/>
          <w:lang w:val="es-CR"/>
        </w:rPr>
        <w:t>,</w:t>
      </w:r>
      <w:r w:rsidRPr="006976FA">
        <w:rPr>
          <w:rFonts w:ascii="Verdana" w:hAnsi="Verdana"/>
          <w:b/>
          <w:bCs/>
          <w:sz w:val="16"/>
          <w:szCs w:val="16"/>
          <w:lang w:val="es-CR"/>
        </w:rPr>
        <w:t xml:space="preserve"> </w:t>
      </w:r>
      <w:r w:rsidRPr="006976FA">
        <w:rPr>
          <w:rFonts w:ascii="Verdana" w:hAnsi="Verdana"/>
          <w:bCs/>
          <w:sz w:val="16"/>
          <w:szCs w:val="16"/>
          <w:lang w:val="es-CR"/>
        </w:rPr>
        <w:t>Considerando 46</w:t>
      </w:r>
      <w:r w:rsidR="00082B07" w:rsidRPr="006976FA">
        <w:rPr>
          <w:rFonts w:ascii="Verdana" w:hAnsi="Verdana"/>
          <w:bCs/>
          <w:sz w:val="16"/>
          <w:szCs w:val="16"/>
          <w:lang w:val="es-CR"/>
        </w:rPr>
        <w:t>,</w:t>
      </w:r>
      <w:r w:rsidRPr="006976FA">
        <w:rPr>
          <w:rFonts w:ascii="Verdana" w:hAnsi="Verdana"/>
          <w:bCs/>
          <w:sz w:val="16"/>
          <w:szCs w:val="16"/>
          <w:lang w:val="es-CR"/>
        </w:rPr>
        <w:t xml:space="preserve"> y</w:t>
      </w:r>
      <w:r w:rsidRPr="006976FA">
        <w:rPr>
          <w:rFonts w:ascii="Verdana" w:hAnsi="Verdana"/>
          <w:b/>
          <w:bCs/>
          <w:sz w:val="16"/>
          <w:szCs w:val="16"/>
          <w:lang w:val="es-CR"/>
        </w:rPr>
        <w:t xml:space="preserve"> </w:t>
      </w:r>
      <w:r w:rsidR="00700BE1" w:rsidRPr="00582EFA">
        <w:rPr>
          <w:rStyle w:val="Textoennegrita"/>
          <w:rFonts w:ascii="Verdana" w:hAnsi="Verdana"/>
          <w:b w:val="0"/>
          <w:i/>
          <w:color w:val="000000"/>
          <w:sz w:val="16"/>
          <w:szCs w:val="16"/>
          <w:shd w:val="clear" w:color="auto" w:fill="FFFFFF"/>
        </w:rPr>
        <w:t xml:space="preserve">Casos Ríos y otros, Perozo y otros y Reverón Trujillo Vs. Venezuela, </w:t>
      </w:r>
      <w:r w:rsidR="00700BE1" w:rsidRPr="00582EFA">
        <w:rPr>
          <w:rStyle w:val="Textoennegrita"/>
          <w:rFonts w:ascii="Verdana" w:hAnsi="Verdana"/>
          <w:b w:val="0"/>
          <w:i/>
          <w:color w:val="000000"/>
          <w:sz w:val="16"/>
          <w:szCs w:val="16"/>
          <w:shd w:val="clear" w:color="auto" w:fill="FFFFFF"/>
          <w:lang w:val="es-CR"/>
        </w:rPr>
        <w:t>supra</w:t>
      </w:r>
      <w:r w:rsidR="00700BE1" w:rsidRPr="00582EFA">
        <w:rPr>
          <w:rStyle w:val="Textoennegrita"/>
          <w:rFonts w:ascii="Verdana" w:hAnsi="Verdana"/>
          <w:b w:val="0"/>
          <w:color w:val="000000"/>
          <w:sz w:val="16"/>
          <w:szCs w:val="16"/>
          <w:shd w:val="clear" w:color="auto" w:fill="FFFFFF"/>
          <w:lang w:val="es-CR"/>
        </w:rPr>
        <w:t xml:space="preserve"> nota 26</w:t>
      </w:r>
      <w:r w:rsidR="00700BE1" w:rsidRPr="00582EFA">
        <w:rPr>
          <w:rStyle w:val="Textoennegrita"/>
          <w:rFonts w:ascii="Verdana" w:hAnsi="Verdana"/>
          <w:b w:val="0"/>
          <w:i/>
          <w:color w:val="000000"/>
          <w:sz w:val="16"/>
          <w:szCs w:val="16"/>
          <w:shd w:val="clear" w:color="auto" w:fill="FFFFFF"/>
          <w:lang w:val="es-CR"/>
        </w:rPr>
        <w:t xml:space="preserve">, </w:t>
      </w:r>
      <w:r w:rsidR="00700BE1" w:rsidRPr="00582EFA">
        <w:rPr>
          <w:rStyle w:val="Textoennegrita"/>
          <w:rFonts w:ascii="Verdana" w:hAnsi="Verdana"/>
          <w:b w:val="0"/>
          <w:color w:val="000000"/>
          <w:sz w:val="16"/>
          <w:szCs w:val="16"/>
          <w:shd w:val="clear" w:color="auto" w:fill="FFFFFF"/>
          <w:lang w:val="es-CR"/>
        </w:rPr>
        <w:t>Considerando 13.</w:t>
      </w:r>
    </w:p>
  </w:footnote>
  <w:footnote w:id="29">
    <w:p w14:paraId="29D0C0D6" w14:textId="40EC4225" w:rsidR="00442DD0" w:rsidRPr="006976FA" w:rsidRDefault="00442DD0" w:rsidP="00442DD0">
      <w:pPr>
        <w:pStyle w:val="Textonotapie"/>
        <w:jc w:val="both"/>
        <w:rPr>
          <w:rFonts w:ascii="Verdana" w:hAnsi="Verdana"/>
          <w:b/>
          <w:sz w:val="16"/>
          <w:szCs w:val="16"/>
          <w:lang w:val="es-CR"/>
        </w:rPr>
      </w:pPr>
      <w:r w:rsidRPr="006976FA">
        <w:rPr>
          <w:rStyle w:val="Refdenotaalpie"/>
          <w:rFonts w:ascii="Verdana" w:hAnsi="Verdana"/>
          <w:sz w:val="16"/>
          <w:szCs w:val="16"/>
        </w:rPr>
        <w:footnoteRef/>
      </w:r>
      <w:r w:rsidRPr="006976FA">
        <w:rPr>
          <w:rFonts w:ascii="Verdana" w:hAnsi="Verdana"/>
          <w:sz w:val="16"/>
          <w:szCs w:val="16"/>
          <w:lang w:val="es-CR"/>
        </w:rPr>
        <w:t xml:space="preserve"> </w:t>
      </w:r>
      <w:r w:rsidRPr="006976FA">
        <w:rPr>
          <w:rFonts w:ascii="Verdana" w:hAnsi="Verdana"/>
          <w:b/>
          <w:sz w:val="16"/>
          <w:szCs w:val="16"/>
          <w:lang w:val="es-CR"/>
        </w:rPr>
        <w:tab/>
      </w:r>
      <w:r w:rsidRPr="006976FA">
        <w:rPr>
          <w:rFonts w:ascii="Verdana" w:hAnsi="Verdana"/>
          <w:i/>
          <w:sz w:val="16"/>
          <w:szCs w:val="16"/>
          <w:lang w:val="es-CR"/>
        </w:rPr>
        <w:t>Cfr.</w:t>
      </w:r>
      <w:r w:rsidRPr="006976FA">
        <w:rPr>
          <w:rFonts w:ascii="Verdana" w:hAnsi="Verdana"/>
          <w:b/>
          <w:sz w:val="16"/>
          <w:szCs w:val="16"/>
          <w:lang w:val="es-CR"/>
        </w:rPr>
        <w:t xml:space="preserve"> </w:t>
      </w:r>
      <w:r w:rsidRPr="006976FA">
        <w:rPr>
          <w:rStyle w:val="Textoennegrita"/>
          <w:rFonts w:ascii="Verdana" w:hAnsi="Verdana"/>
          <w:b w:val="0"/>
          <w:i/>
          <w:color w:val="000000"/>
          <w:sz w:val="16"/>
          <w:szCs w:val="16"/>
          <w:shd w:val="clear" w:color="auto" w:fill="FFFFFF"/>
          <w:lang w:val="es-CR"/>
        </w:rPr>
        <w:t xml:space="preserve">Caso </w:t>
      </w:r>
      <w:proofErr w:type="spellStart"/>
      <w:r w:rsidRPr="006976FA">
        <w:rPr>
          <w:rStyle w:val="Textoennegrita"/>
          <w:rFonts w:ascii="Verdana" w:hAnsi="Verdana"/>
          <w:b w:val="0"/>
          <w:i/>
          <w:color w:val="000000"/>
          <w:sz w:val="16"/>
          <w:szCs w:val="16"/>
          <w:shd w:val="clear" w:color="auto" w:fill="FFFFFF"/>
          <w:lang w:val="es-CR"/>
        </w:rPr>
        <w:t>Apitz</w:t>
      </w:r>
      <w:proofErr w:type="spellEnd"/>
      <w:r w:rsidRPr="006976FA">
        <w:rPr>
          <w:rStyle w:val="Textoennegrita"/>
          <w:rFonts w:ascii="Verdana" w:hAnsi="Verdana"/>
          <w:b w:val="0"/>
          <w:i/>
          <w:color w:val="000000"/>
          <w:sz w:val="16"/>
          <w:szCs w:val="16"/>
          <w:shd w:val="clear" w:color="auto" w:fill="FFFFFF"/>
          <w:lang w:val="es-CR"/>
        </w:rPr>
        <w:t xml:space="preserve"> Barbera y Otros </w:t>
      </w:r>
      <w:r w:rsidRPr="006976FA">
        <w:rPr>
          <w:rFonts w:ascii="Verdana" w:hAnsi="Verdana"/>
          <w:bCs/>
          <w:i/>
          <w:sz w:val="16"/>
          <w:szCs w:val="16"/>
          <w:lang w:val="es-CR"/>
        </w:rPr>
        <w:t>Vs. Venezuela</w:t>
      </w:r>
      <w:r w:rsidRPr="00E83429">
        <w:rPr>
          <w:rStyle w:val="Textoennegrita"/>
          <w:rFonts w:ascii="Verdana" w:hAnsi="Verdana"/>
          <w:b w:val="0"/>
          <w:i/>
          <w:color w:val="000000"/>
          <w:sz w:val="16"/>
          <w:szCs w:val="16"/>
          <w:shd w:val="clear" w:color="auto" w:fill="FFFFFF"/>
          <w:lang w:val="es-CR"/>
        </w:rPr>
        <w:t>,</w:t>
      </w:r>
      <w:r w:rsidRPr="006976FA">
        <w:rPr>
          <w:rStyle w:val="Textoennegrita"/>
          <w:rFonts w:ascii="Verdana" w:hAnsi="Verdana"/>
          <w:b w:val="0"/>
          <w:i/>
          <w:color w:val="000000"/>
          <w:sz w:val="16"/>
          <w:szCs w:val="16"/>
          <w:shd w:val="clear" w:color="auto" w:fill="FFFFFF"/>
          <w:lang w:val="es-CR"/>
        </w:rPr>
        <w:t xml:space="preserve"> supra </w:t>
      </w:r>
      <w:r w:rsidRPr="006976FA">
        <w:rPr>
          <w:rStyle w:val="Textoennegrita"/>
          <w:rFonts w:ascii="Verdana" w:hAnsi="Verdana"/>
          <w:b w:val="0"/>
          <w:color w:val="000000"/>
          <w:sz w:val="16"/>
          <w:szCs w:val="16"/>
          <w:shd w:val="clear" w:color="auto" w:fill="FFFFFF"/>
          <w:lang w:val="es-CR"/>
        </w:rPr>
        <w:t>nota 2</w:t>
      </w:r>
      <w:r w:rsidR="00700BE1" w:rsidRPr="006976FA">
        <w:rPr>
          <w:rStyle w:val="Textoennegrita"/>
          <w:rFonts w:ascii="Verdana" w:hAnsi="Verdana"/>
          <w:b w:val="0"/>
          <w:color w:val="000000"/>
          <w:sz w:val="16"/>
          <w:szCs w:val="16"/>
          <w:shd w:val="clear" w:color="auto" w:fill="FFFFFF"/>
          <w:lang w:val="es-CR"/>
        </w:rPr>
        <w:t>6</w:t>
      </w:r>
      <w:r w:rsidRPr="006976FA">
        <w:rPr>
          <w:rStyle w:val="Textoennegrita"/>
          <w:rFonts w:ascii="Verdana" w:hAnsi="Verdana"/>
          <w:b w:val="0"/>
          <w:i/>
          <w:color w:val="000000"/>
          <w:sz w:val="16"/>
          <w:szCs w:val="16"/>
          <w:shd w:val="clear" w:color="auto" w:fill="FFFFFF"/>
          <w:lang w:val="es-CR"/>
        </w:rPr>
        <w:t>,</w:t>
      </w:r>
      <w:r w:rsidRPr="006976FA">
        <w:rPr>
          <w:rStyle w:val="Textoennegrita"/>
          <w:rFonts w:ascii="Verdana" w:hAnsi="Verdana"/>
          <w:b w:val="0"/>
          <w:color w:val="000000"/>
          <w:sz w:val="16"/>
          <w:szCs w:val="16"/>
          <w:shd w:val="clear" w:color="auto" w:fill="FFFFFF"/>
          <w:lang w:val="es-CR"/>
        </w:rPr>
        <w:t xml:space="preserve"> Considerando 46</w:t>
      </w:r>
      <w:r w:rsidR="00082B07" w:rsidRPr="006976FA">
        <w:rPr>
          <w:rStyle w:val="Textoennegrita"/>
          <w:rFonts w:ascii="Verdana" w:hAnsi="Verdana"/>
          <w:b w:val="0"/>
          <w:color w:val="000000"/>
          <w:sz w:val="16"/>
          <w:szCs w:val="16"/>
          <w:shd w:val="clear" w:color="auto" w:fill="FFFFFF"/>
          <w:lang w:val="es-CR"/>
        </w:rPr>
        <w:t>,</w:t>
      </w:r>
      <w:r w:rsidRPr="006976FA">
        <w:rPr>
          <w:rStyle w:val="Textoennegrita"/>
          <w:rFonts w:ascii="Verdana" w:hAnsi="Verdana"/>
          <w:b w:val="0"/>
          <w:color w:val="000000"/>
          <w:sz w:val="16"/>
          <w:szCs w:val="16"/>
          <w:shd w:val="clear" w:color="auto" w:fill="FFFFFF"/>
          <w:lang w:val="es-CR"/>
        </w:rPr>
        <w:t xml:space="preserve"> y </w:t>
      </w:r>
      <w:r w:rsidR="00700BE1" w:rsidRPr="00582EFA">
        <w:rPr>
          <w:rStyle w:val="Textoennegrita"/>
          <w:rFonts w:ascii="Verdana" w:hAnsi="Verdana"/>
          <w:b w:val="0"/>
          <w:i/>
          <w:color w:val="000000"/>
          <w:sz w:val="16"/>
          <w:szCs w:val="16"/>
          <w:shd w:val="clear" w:color="auto" w:fill="FFFFFF"/>
        </w:rPr>
        <w:t xml:space="preserve">Casos Ríos y otros, Perozo y otros y Reverón Trujillo Vs. Venezuela, </w:t>
      </w:r>
      <w:r w:rsidR="00700BE1" w:rsidRPr="00582EFA">
        <w:rPr>
          <w:rStyle w:val="Textoennegrita"/>
          <w:rFonts w:ascii="Verdana" w:hAnsi="Verdana"/>
          <w:b w:val="0"/>
          <w:i/>
          <w:color w:val="000000"/>
          <w:sz w:val="16"/>
          <w:szCs w:val="16"/>
          <w:shd w:val="clear" w:color="auto" w:fill="FFFFFF"/>
          <w:lang w:val="es-CR"/>
        </w:rPr>
        <w:t>supra</w:t>
      </w:r>
      <w:r w:rsidR="00700BE1" w:rsidRPr="00582EFA">
        <w:rPr>
          <w:rStyle w:val="Textoennegrita"/>
          <w:rFonts w:ascii="Verdana" w:hAnsi="Verdana"/>
          <w:b w:val="0"/>
          <w:color w:val="000000"/>
          <w:sz w:val="16"/>
          <w:szCs w:val="16"/>
          <w:shd w:val="clear" w:color="auto" w:fill="FFFFFF"/>
          <w:lang w:val="es-CR"/>
        </w:rPr>
        <w:t xml:space="preserve"> nota 26</w:t>
      </w:r>
      <w:r w:rsidR="00700BE1" w:rsidRPr="00582EFA">
        <w:rPr>
          <w:rStyle w:val="Textoennegrita"/>
          <w:rFonts w:ascii="Verdana" w:hAnsi="Verdana"/>
          <w:b w:val="0"/>
          <w:i/>
          <w:color w:val="000000"/>
          <w:sz w:val="16"/>
          <w:szCs w:val="16"/>
          <w:shd w:val="clear" w:color="auto" w:fill="FFFFFF"/>
          <w:lang w:val="es-CR"/>
        </w:rPr>
        <w:t xml:space="preserve">, </w:t>
      </w:r>
      <w:r w:rsidR="00700BE1" w:rsidRPr="00582EFA">
        <w:rPr>
          <w:rStyle w:val="Textoennegrita"/>
          <w:rFonts w:ascii="Verdana" w:hAnsi="Verdana"/>
          <w:b w:val="0"/>
          <w:color w:val="000000"/>
          <w:sz w:val="16"/>
          <w:szCs w:val="16"/>
          <w:shd w:val="clear" w:color="auto" w:fill="FFFFFF"/>
          <w:lang w:val="es-CR"/>
        </w:rPr>
        <w:t>Considerando 13.</w:t>
      </w:r>
    </w:p>
  </w:footnote>
  <w:footnote w:id="30">
    <w:p w14:paraId="488296FA" w14:textId="596F34A0" w:rsidR="00442DD0" w:rsidRPr="006976FA" w:rsidRDefault="00442DD0" w:rsidP="00442DD0">
      <w:pPr>
        <w:pStyle w:val="Textonotapie"/>
        <w:jc w:val="both"/>
        <w:rPr>
          <w:b/>
          <w:lang w:val="es-CR"/>
        </w:rPr>
      </w:pPr>
      <w:r w:rsidRPr="006976FA">
        <w:rPr>
          <w:rStyle w:val="Refdenotaalpie"/>
          <w:rFonts w:ascii="Verdana" w:hAnsi="Verdana"/>
          <w:sz w:val="16"/>
          <w:szCs w:val="16"/>
        </w:rPr>
        <w:footnoteRef/>
      </w:r>
      <w:r w:rsidRPr="006976FA">
        <w:rPr>
          <w:rFonts w:ascii="Verdana" w:hAnsi="Verdana"/>
          <w:sz w:val="16"/>
          <w:szCs w:val="16"/>
          <w:lang w:val="es-CR"/>
        </w:rPr>
        <w:t xml:space="preserve"> </w:t>
      </w:r>
      <w:r w:rsidRPr="006976FA">
        <w:rPr>
          <w:rFonts w:ascii="Verdana" w:hAnsi="Verdana"/>
          <w:b/>
          <w:sz w:val="16"/>
          <w:szCs w:val="16"/>
          <w:lang w:val="es-CR"/>
        </w:rPr>
        <w:tab/>
      </w:r>
      <w:r w:rsidRPr="006976FA">
        <w:rPr>
          <w:rFonts w:ascii="Verdana" w:hAnsi="Verdana"/>
          <w:i/>
          <w:sz w:val="16"/>
          <w:szCs w:val="16"/>
          <w:lang w:val="es-CR"/>
        </w:rPr>
        <w:t>Cfr.</w:t>
      </w:r>
      <w:r w:rsidRPr="006976FA">
        <w:rPr>
          <w:rFonts w:ascii="Verdana" w:hAnsi="Verdana"/>
          <w:b/>
          <w:sz w:val="16"/>
          <w:szCs w:val="16"/>
          <w:lang w:val="es-CR"/>
        </w:rPr>
        <w:t xml:space="preserve"> </w:t>
      </w:r>
      <w:r w:rsidRPr="006976FA">
        <w:rPr>
          <w:rStyle w:val="Textoennegrita"/>
          <w:rFonts w:ascii="Verdana" w:hAnsi="Verdana"/>
          <w:b w:val="0"/>
          <w:i/>
          <w:color w:val="000000"/>
          <w:sz w:val="16"/>
          <w:szCs w:val="16"/>
          <w:shd w:val="clear" w:color="auto" w:fill="FFFFFF"/>
          <w:lang w:val="es-CR"/>
        </w:rPr>
        <w:t xml:space="preserve">Caso </w:t>
      </w:r>
      <w:proofErr w:type="spellStart"/>
      <w:r w:rsidRPr="006976FA">
        <w:rPr>
          <w:rStyle w:val="Textoennegrita"/>
          <w:rFonts w:ascii="Verdana" w:hAnsi="Verdana"/>
          <w:b w:val="0"/>
          <w:i/>
          <w:color w:val="000000"/>
          <w:sz w:val="16"/>
          <w:szCs w:val="16"/>
          <w:shd w:val="clear" w:color="auto" w:fill="FFFFFF"/>
          <w:lang w:val="es-CR"/>
        </w:rPr>
        <w:t>Apitz</w:t>
      </w:r>
      <w:proofErr w:type="spellEnd"/>
      <w:r w:rsidRPr="006976FA">
        <w:rPr>
          <w:rStyle w:val="Textoennegrita"/>
          <w:rFonts w:ascii="Verdana" w:hAnsi="Verdana"/>
          <w:b w:val="0"/>
          <w:i/>
          <w:color w:val="000000"/>
          <w:sz w:val="16"/>
          <w:szCs w:val="16"/>
          <w:shd w:val="clear" w:color="auto" w:fill="FFFFFF"/>
          <w:lang w:val="es-CR"/>
        </w:rPr>
        <w:t xml:space="preserve"> Barbera y Otros </w:t>
      </w:r>
      <w:r w:rsidRPr="006976FA">
        <w:rPr>
          <w:rFonts w:ascii="Verdana" w:hAnsi="Verdana"/>
          <w:bCs/>
          <w:i/>
          <w:sz w:val="16"/>
          <w:szCs w:val="16"/>
          <w:lang w:val="es-CR"/>
        </w:rPr>
        <w:t>Vs. Venezuela</w:t>
      </w:r>
      <w:r w:rsidRPr="00E83429">
        <w:rPr>
          <w:rStyle w:val="Textoennegrita"/>
          <w:rFonts w:ascii="Verdana" w:hAnsi="Verdana"/>
          <w:b w:val="0"/>
          <w:i/>
          <w:color w:val="000000"/>
          <w:sz w:val="16"/>
          <w:szCs w:val="16"/>
          <w:shd w:val="clear" w:color="auto" w:fill="FFFFFF"/>
          <w:lang w:val="es-CR"/>
        </w:rPr>
        <w:t>,</w:t>
      </w:r>
      <w:r w:rsidRPr="006976FA">
        <w:rPr>
          <w:rStyle w:val="Textoennegrita"/>
          <w:rFonts w:ascii="Verdana" w:hAnsi="Verdana"/>
          <w:b w:val="0"/>
          <w:i/>
          <w:color w:val="000000"/>
          <w:sz w:val="16"/>
          <w:szCs w:val="16"/>
          <w:shd w:val="clear" w:color="auto" w:fill="FFFFFF"/>
          <w:lang w:val="es-CR"/>
        </w:rPr>
        <w:t xml:space="preserve"> supra </w:t>
      </w:r>
      <w:r w:rsidRPr="006976FA">
        <w:rPr>
          <w:rStyle w:val="Textoennegrita"/>
          <w:rFonts w:ascii="Verdana" w:hAnsi="Verdana"/>
          <w:b w:val="0"/>
          <w:color w:val="000000"/>
          <w:sz w:val="16"/>
          <w:szCs w:val="16"/>
          <w:shd w:val="clear" w:color="auto" w:fill="FFFFFF"/>
          <w:lang w:val="es-CR"/>
        </w:rPr>
        <w:t>nota 2</w:t>
      </w:r>
      <w:r w:rsidR="00700BE1" w:rsidRPr="006976FA">
        <w:rPr>
          <w:rStyle w:val="Textoennegrita"/>
          <w:rFonts w:ascii="Verdana" w:hAnsi="Verdana"/>
          <w:b w:val="0"/>
          <w:color w:val="000000"/>
          <w:sz w:val="16"/>
          <w:szCs w:val="16"/>
          <w:shd w:val="clear" w:color="auto" w:fill="FFFFFF"/>
          <w:lang w:val="es-CR"/>
        </w:rPr>
        <w:t>6</w:t>
      </w:r>
      <w:r w:rsidRPr="006976FA">
        <w:rPr>
          <w:rStyle w:val="Textoennegrita"/>
          <w:rFonts w:ascii="Verdana" w:hAnsi="Verdana"/>
          <w:b w:val="0"/>
          <w:i/>
          <w:color w:val="000000"/>
          <w:sz w:val="16"/>
          <w:szCs w:val="16"/>
          <w:shd w:val="clear" w:color="auto" w:fill="FFFFFF"/>
          <w:lang w:val="es-CR"/>
        </w:rPr>
        <w:t>,</w:t>
      </w:r>
      <w:r w:rsidRPr="006976FA">
        <w:rPr>
          <w:rStyle w:val="Textoennegrita"/>
          <w:rFonts w:ascii="Verdana" w:hAnsi="Verdana"/>
          <w:b w:val="0"/>
          <w:color w:val="000000"/>
          <w:sz w:val="16"/>
          <w:szCs w:val="16"/>
          <w:shd w:val="clear" w:color="auto" w:fill="FFFFFF"/>
          <w:lang w:val="es-CR"/>
        </w:rPr>
        <w:t xml:space="preserve"> Considerando 46</w:t>
      </w:r>
      <w:r w:rsidR="00082B07" w:rsidRPr="006976FA">
        <w:rPr>
          <w:rStyle w:val="Textoennegrita"/>
          <w:rFonts w:ascii="Verdana" w:hAnsi="Verdana"/>
          <w:b w:val="0"/>
          <w:color w:val="000000"/>
          <w:sz w:val="16"/>
          <w:szCs w:val="16"/>
          <w:shd w:val="clear" w:color="auto" w:fill="FFFFFF"/>
          <w:lang w:val="es-CR"/>
        </w:rPr>
        <w:t>,</w:t>
      </w:r>
      <w:r w:rsidRPr="006976FA">
        <w:rPr>
          <w:rStyle w:val="Textoennegrita"/>
          <w:rFonts w:ascii="Verdana" w:hAnsi="Verdana"/>
          <w:b w:val="0"/>
          <w:color w:val="000000"/>
          <w:sz w:val="16"/>
          <w:szCs w:val="16"/>
          <w:shd w:val="clear" w:color="auto" w:fill="FFFFFF"/>
          <w:lang w:val="es-CR"/>
        </w:rPr>
        <w:t xml:space="preserve"> y </w:t>
      </w:r>
      <w:r w:rsidR="00700BE1" w:rsidRPr="00582EFA">
        <w:rPr>
          <w:rStyle w:val="Textoennegrita"/>
          <w:rFonts w:ascii="Verdana" w:hAnsi="Verdana"/>
          <w:b w:val="0"/>
          <w:i/>
          <w:color w:val="000000"/>
          <w:sz w:val="16"/>
          <w:szCs w:val="16"/>
          <w:shd w:val="clear" w:color="auto" w:fill="FFFFFF"/>
        </w:rPr>
        <w:t xml:space="preserve">Casos Ríos y otros, Perozo y otros y Reverón Trujillo Vs. Venezuela, </w:t>
      </w:r>
      <w:r w:rsidR="00700BE1" w:rsidRPr="00582EFA">
        <w:rPr>
          <w:rStyle w:val="Textoennegrita"/>
          <w:rFonts w:ascii="Verdana" w:hAnsi="Verdana"/>
          <w:b w:val="0"/>
          <w:i/>
          <w:color w:val="000000"/>
          <w:sz w:val="16"/>
          <w:szCs w:val="16"/>
          <w:shd w:val="clear" w:color="auto" w:fill="FFFFFF"/>
          <w:lang w:val="es-CR"/>
        </w:rPr>
        <w:t>supra</w:t>
      </w:r>
      <w:r w:rsidR="00700BE1" w:rsidRPr="00582EFA">
        <w:rPr>
          <w:rStyle w:val="Textoennegrita"/>
          <w:rFonts w:ascii="Verdana" w:hAnsi="Verdana"/>
          <w:b w:val="0"/>
          <w:color w:val="000000"/>
          <w:sz w:val="16"/>
          <w:szCs w:val="16"/>
          <w:shd w:val="clear" w:color="auto" w:fill="FFFFFF"/>
          <w:lang w:val="es-CR"/>
        </w:rPr>
        <w:t xml:space="preserve"> nota 26</w:t>
      </w:r>
      <w:r w:rsidR="00700BE1" w:rsidRPr="00582EFA">
        <w:rPr>
          <w:rStyle w:val="Textoennegrita"/>
          <w:rFonts w:ascii="Verdana" w:hAnsi="Verdana"/>
          <w:b w:val="0"/>
          <w:i/>
          <w:color w:val="000000"/>
          <w:sz w:val="16"/>
          <w:szCs w:val="16"/>
          <w:shd w:val="clear" w:color="auto" w:fill="FFFFFF"/>
          <w:lang w:val="es-CR"/>
        </w:rPr>
        <w:t xml:space="preserve">, </w:t>
      </w:r>
      <w:r w:rsidR="00700BE1" w:rsidRPr="00582EFA">
        <w:rPr>
          <w:rStyle w:val="Textoennegrita"/>
          <w:rFonts w:ascii="Verdana" w:hAnsi="Verdana"/>
          <w:b w:val="0"/>
          <w:color w:val="000000"/>
          <w:sz w:val="16"/>
          <w:szCs w:val="16"/>
          <w:shd w:val="clear" w:color="auto" w:fill="FFFFFF"/>
          <w:lang w:val="es-CR"/>
        </w:rPr>
        <w:t>Considerando 13.</w:t>
      </w:r>
    </w:p>
  </w:footnote>
  <w:footnote w:id="31">
    <w:p w14:paraId="47ACB3C4" w14:textId="67EB685A" w:rsidR="00127593" w:rsidRPr="00BB5E68" w:rsidRDefault="00127593" w:rsidP="007A5F46">
      <w:pPr>
        <w:pStyle w:val="Textonotapie"/>
        <w:tabs>
          <w:tab w:val="left" w:pos="567"/>
        </w:tabs>
        <w:jc w:val="both"/>
        <w:rPr>
          <w:rFonts w:ascii="Verdana" w:hAnsi="Verdana"/>
          <w:b/>
          <w:sz w:val="16"/>
          <w:szCs w:val="16"/>
          <w:lang w:val="es-CR"/>
        </w:rPr>
      </w:pPr>
      <w:r w:rsidRPr="006976FA">
        <w:rPr>
          <w:rStyle w:val="Refdenotaalpie"/>
          <w:rFonts w:ascii="Verdana" w:hAnsi="Verdana"/>
          <w:sz w:val="16"/>
          <w:szCs w:val="16"/>
        </w:rPr>
        <w:footnoteRef/>
      </w:r>
      <w:r w:rsidRPr="006976FA">
        <w:rPr>
          <w:rFonts w:ascii="Verdana" w:hAnsi="Verdana"/>
          <w:sz w:val="16"/>
          <w:szCs w:val="16"/>
        </w:rPr>
        <w:t xml:space="preserve"> </w:t>
      </w:r>
      <w:r w:rsidRPr="006976FA">
        <w:rPr>
          <w:rFonts w:ascii="Verdana" w:hAnsi="Verdana"/>
          <w:b/>
          <w:sz w:val="16"/>
          <w:szCs w:val="16"/>
        </w:rPr>
        <w:tab/>
      </w:r>
      <w:r w:rsidRPr="006976FA">
        <w:rPr>
          <w:rFonts w:ascii="Verdana" w:hAnsi="Verdana"/>
          <w:b/>
          <w:sz w:val="16"/>
          <w:szCs w:val="16"/>
        </w:rPr>
        <w:tab/>
      </w:r>
      <w:r w:rsidR="00442DD0" w:rsidRPr="006976FA">
        <w:rPr>
          <w:rFonts w:ascii="Verdana" w:hAnsi="Verdana"/>
          <w:i/>
          <w:sz w:val="16"/>
          <w:szCs w:val="16"/>
          <w:lang w:val="es-CR"/>
        </w:rPr>
        <w:t>Cfr.</w:t>
      </w:r>
      <w:r w:rsidR="00442DD0" w:rsidRPr="006976FA">
        <w:rPr>
          <w:rFonts w:ascii="Verdana" w:hAnsi="Verdana"/>
          <w:b/>
          <w:sz w:val="16"/>
          <w:szCs w:val="16"/>
          <w:lang w:val="es-CR"/>
        </w:rPr>
        <w:t xml:space="preserve"> </w:t>
      </w:r>
      <w:r w:rsidR="00442DD0" w:rsidRPr="006976FA">
        <w:rPr>
          <w:rStyle w:val="Textoennegrita"/>
          <w:rFonts w:ascii="Verdana" w:hAnsi="Verdana"/>
          <w:b w:val="0"/>
          <w:i/>
          <w:color w:val="000000"/>
          <w:sz w:val="16"/>
          <w:szCs w:val="16"/>
          <w:shd w:val="clear" w:color="auto" w:fill="FFFFFF"/>
          <w:lang w:val="es-CR"/>
        </w:rPr>
        <w:t xml:space="preserve">Caso </w:t>
      </w:r>
      <w:proofErr w:type="spellStart"/>
      <w:r w:rsidR="00442DD0" w:rsidRPr="006976FA">
        <w:rPr>
          <w:rStyle w:val="Textoennegrita"/>
          <w:rFonts w:ascii="Verdana" w:hAnsi="Verdana"/>
          <w:b w:val="0"/>
          <w:i/>
          <w:color w:val="000000"/>
          <w:sz w:val="16"/>
          <w:szCs w:val="16"/>
          <w:shd w:val="clear" w:color="auto" w:fill="FFFFFF"/>
          <w:lang w:val="es-CR"/>
        </w:rPr>
        <w:t>Apitz</w:t>
      </w:r>
      <w:proofErr w:type="spellEnd"/>
      <w:r w:rsidR="00442DD0" w:rsidRPr="006976FA">
        <w:rPr>
          <w:rStyle w:val="Textoennegrita"/>
          <w:rFonts w:ascii="Verdana" w:hAnsi="Verdana"/>
          <w:b w:val="0"/>
          <w:i/>
          <w:color w:val="000000"/>
          <w:sz w:val="16"/>
          <w:szCs w:val="16"/>
          <w:shd w:val="clear" w:color="auto" w:fill="FFFFFF"/>
          <w:lang w:val="es-CR"/>
        </w:rPr>
        <w:t xml:space="preserve"> Barbera y Otros </w:t>
      </w:r>
      <w:r w:rsidR="00442DD0" w:rsidRPr="006976FA">
        <w:rPr>
          <w:rFonts w:ascii="Verdana" w:hAnsi="Verdana"/>
          <w:bCs/>
          <w:i/>
          <w:sz w:val="16"/>
          <w:szCs w:val="16"/>
          <w:lang w:val="es-CR"/>
        </w:rPr>
        <w:t>Vs. Venezuela</w:t>
      </w:r>
      <w:r w:rsidR="00442DD0" w:rsidRPr="00E83429">
        <w:rPr>
          <w:rStyle w:val="Textoennegrita"/>
          <w:rFonts w:ascii="Verdana" w:hAnsi="Verdana"/>
          <w:b w:val="0"/>
          <w:i/>
          <w:color w:val="000000"/>
          <w:sz w:val="16"/>
          <w:szCs w:val="16"/>
          <w:shd w:val="clear" w:color="auto" w:fill="FFFFFF"/>
          <w:lang w:val="es-CR"/>
        </w:rPr>
        <w:t>,</w:t>
      </w:r>
      <w:r w:rsidR="00442DD0" w:rsidRPr="006976FA">
        <w:rPr>
          <w:rStyle w:val="Textoennegrita"/>
          <w:rFonts w:ascii="Verdana" w:hAnsi="Verdana"/>
          <w:b w:val="0"/>
          <w:i/>
          <w:color w:val="000000"/>
          <w:sz w:val="16"/>
          <w:szCs w:val="16"/>
          <w:shd w:val="clear" w:color="auto" w:fill="FFFFFF"/>
          <w:lang w:val="es-CR"/>
        </w:rPr>
        <w:t xml:space="preserve"> supra </w:t>
      </w:r>
      <w:r w:rsidR="00442DD0" w:rsidRPr="006976FA">
        <w:rPr>
          <w:rStyle w:val="Textoennegrita"/>
          <w:rFonts w:ascii="Verdana" w:hAnsi="Verdana"/>
          <w:b w:val="0"/>
          <w:color w:val="000000"/>
          <w:sz w:val="16"/>
          <w:szCs w:val="16"/>
          <w:shd w:val="clear" w:color="auto" w:fill="FFFFFF"/>
          <w:lang w:val="es-CR"/>
        </w:rPr>
        <w:t>nota 2</w:t>
      </w:r>
      <w:r w:rsidR="00700BE1" w:rsidRPr="006976FA">
        <w:rPr>
          <w:rStyle w:val="Textoennegrita"/>
          <w:rFonts w:ascii="Verdana" w:hAnsi="Verdana"/>
          <w:b w:val="0"/>
          <w:color w:val="000000"/>
          <w:sz w:val="16"/>
          <w:szCs w:val="16"/>
          <w:shd w:val="clear" w:color="auto" w:fill="FFFFFF"/>
          <w:lang w:val="es-CR"/>
        </w:rPr>
        <w:t>6</w:t>
      </w:r>
      <w:r w:rsidR="00442DD0" w:rsidRPr="006976FA">
        <w:rPr>
          <w:rStyle w:val="Textoennegrita"/>
          <w:rFonts w:ascii="Verdana" w:hAnsi="Verdana"/>
          <w:b w:val="0"/>
          <w:i/>
          <w:color w:val="000000"/>
          <w:sz w:val="16"/>
          <w:szCs w:val="16"/>
          <w:shd w:val="clear" w:color="auto" w:fill="FFFFFF"/>
          <w:lang w:val="es-CR"/>
        </w:rPr>
        <w:t>,</w:t>
      </w:r>
      <w:r w:rsidR="00442DD0" w:rsidRPr="006976FA">
        <w:rPr>
          <w:rStyle w:val="Textoennegrita"/>
          <w:rFonts w:ascii="Verdana" w:hAnsi="Verdana"/>
          <w:b w:val="0"/>
          <w:color w:val="000000"/>
          <w:sz w:val="16"/>
          <w:szCs w:val="16"/>
          <w:shd w:val="clear" w:color="auto" w:fill="FFFFFF"/>
          <w:lang w:val="es-CR"/>
        </w:rPr>
        <w:t xml:space="preserve"> Considerando 48</w:t>
      </w:r>
      <w:r w:rsidR="00082B07" w:rsidRPr="006976FA">
        <w:rPr>
          <w:rStyle w:val="Textoennegrita"/>
          <w:rFonts w:ascii="Verdana" w:hAnsi="Verdana"/>
          <w:b w:val="0"/>
          <w:color w:val="000000"/>
          <w:sz w:val="16"/>
          <w:szCs w:val="16"/>
          <w:shd w:val="clear" w:color="auto" w:fill="FFFFFF"/>
          <w:lang w:val="es-CR"/>
        </w:rPr>
        <w:t>, y</w:t>
      </w:r>
      <w:r w:rsidR="00442DD0" w:rsidRPr="006976FA">
        <w:rPr>
          <w:rStyle w:val="Textoennegrita"/>
          <w:rFonts w:ascii="Verdana" w:hAnsi="Verdana"/>
          <w:b w:val="0"/>
          <w:color w:val="000000"/>
          <w:sz w:val="16"/>
          <w:szCs w:val="16"/>
          <w:shd w:val="clear" w:color="auto" w:fill="FFFFFF"/>
          <w:lang w:val="es-CR"/>
        </w:rPr>
        <w:t xml:space="preserve"> </w:t>
      </w:r>
      <w:r w:rsidR="00E5416B">
        <w:rPr>
          <w:rStyle w:val="Textoennegrita"/>
          <w:rFonts w:ascii="Verdana" w:hAnsi="Verdana"/>
          <w:b w:val="0"/>
          <w:color w:val="000000"/>
          <w:sz w:val="16"/>
          <w:szCs w:val="16"/>
          <w:shd w:val="clear" w:color="auto" w:fill="FFFFFF"/>
          <w:lang w:val="es-CR"/>
        </w:rPr>
        <w:t xml:space="preserve"> </w:t>
      </w:r>
      <w:r w:rsidR="00E5416B" w:rsidRPr="00582EFA">
        <w:rPr>
          <w:rStyle w:val="Textoennegrita"/>
          <w:rFonts w:ascii="Verdana" w:hAnsi="Verdana"/>
          <w:b w:val="0"/>
          <w:i/>
          <w:color w:val="000000"/>
          <w:sz w:val="16"/>
          <w:szCs w:val="16"/>
          <w:shd w:val="clear" w:color="auto" w:fill="FFFFFF"/>
        </w:rPr>
        <w:t xml:space="preserve">Casos </w:t>
      </w:r>
      <w:r w:rsidR="00700BE1" w:rsidRPr="00582EFA">
        <w:rPr>
          <w:rStyle w:val="Textoennegrita"/>
          <w:rFonts w:ascii="Verdana" w:hAnsi="Verdana"/>
          <w:b w:val="0"/>
          <w:i/>
          <w:color w:val="000000"/>
          <w:sz w:val="16"/>
          <w:szCs w:val="16"/>
          <w:shd w:val="clear" w:color="auto" w:fill="FFFFFF"/>
        </w:rPr>
        <w:t xml:space="preserve">Ríos y otros, Perozo y otros y Reverón Trujillo Vs. Venezuela, </w:t>
      </w:r>
      <w:r w:rsidR="00700BE1" w:rsidRPr="00582EFA">
        <w:rPr>
          <w:rStyle w:val="Textoennegrita"/>
          <w:rFonts w:ascii="Verdana" w:hAnsi="Verdana"/>
          <w:b w:val="0"/>
          <w:i/>
          <w:color w:val="000000"/>
          <w:sz w:val="16"/>
          <w:szCs w:val="16"/>
          <w:shd w:val="clear" w:color="auto" w:fill="FFFFFF"/>
          <w:lang w:val="es-CR"/>
        </w:rPr>
        <w:t>supra</w:t>
      </w:r>
      <w:r w:rsidR="00700BE1" w:rsidRPr="00582EFA">
        <w:rPr>
          <w:rStyle w:val="Textoennegrita"/>
          <w:rFonts w:ascii="Verdana" w:hAnsi="Verdana"/>
          <w:b w:val="0"/>
          <w:color w:val="000000"/>
          <w:sz w:val="16"/>
          <w:szCs w:val="16"/>
          <w:shd w:val="clear" w:color="auto" w:fill="FFFFFF"/>
          <w:lang w:val="es-CR"/>
        </w:rPr>
        <w:t xml:space="preserve"> nota 26</w:t>
      </w:r>
      <w:r w:rsidR="00700BE1" w:rsidRPr="00582EFA">
        <w:rPr>
          <w:rStyle w:val="Textoennegrita"/>
          <w:rFonts w:ascii="Verdana" w:hAnsi="Verdana"/>
          <w:b w:val="0"/>
          <w:i/>
          <w:color w:val="000000"/>
          <w:sz w:val="16"/>
          <w:szCs w:val="16"/>
          <w:shd w:val="clear" w:color="auto" w:fill="FFFFFF"/>
          <w:lang w:val="es-CR"/>
        </w:rPr>
        <w:t xml:space="preserve">, </w:t>
      </w:r>
      <w:r w:rsidR="00700BE1" w:rsidRPr="00582EFA">
        <w:rPr>
          <w:rStyle w:val="Textoennegrita"/>
          <w:rFonts w:ascii="Verdana" w:hAnsi="Verdana"/>
          <w:b w:val="0"/>
          <w:color w:val="000000"/>
          <w:sz w:val="16"/>
          <w:szCs w:val="16"/>
          <w:shd w:val="clear" w:color="auto" w:fill="FFFFFF"/>
          <w:lang w:val="es-CR"/>
        </w:rPr>
        <w:t>Considerando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210FE" w14:textId="5FF30E30" w:rsidR="005173AF" w:rsidRPr="00F927DB" w:rsidRDefault="005173AF" w:rsidP="005173AF">
    <w:pPr>
      <w:pStyle w:val="Encabezad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317E"/>
    <w:multiLevelType w:val="hybridMultilevel"/>
    <w:tmpl w:val="76C6017A"/>
    <w:lvl w:ilvl="0" w:tplc="14C4E594">
      <w:start w:val="1"/>
      <w:numFmt w:val="decimal"/>
      <w:lvlText w:val="%1."/>
      <w:lvlJc w:val="left"/>
      <w:pPr>
        <w:ind w:left="720" w:hanging="360"/>
      </w:pPr>
      <w:rPr>
        <w:rFonts w:ascii="Verdana" w:hAnsi="Verdana" w:cs="Verdana" w:hint="default"/>
        <w:b w:val="0"/>
        <w:color w:val="auto"/>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5A2AE6"/>
    <w:multiLevelType w:val="multilevel"/>
    <w:tmpl w:val="F472575E"/>
    <w:lvl w:ilvl="0">
      <w:start w:val="1"/>
      <w:numFmt w:val="decimal"/>
      <w:lvlText w:val="%1."/>
      <w:lvlJc w:val="left"/>
      <w:pPr>
        <w:ind w:left="720" w:hanging="360"/>
      </w:pPr>
      <w:rPr>
        <w:rFonts w:ascii="Verdana" w:hAnsi="Verdana" w:hint="default"/>
        <w:sz w:val="20"/>
        <w:szCs w:val="20"/>
      </w:rPr>
    </w:lvl>
    <w:lvl w:ilvl="1">
      <w:start w:val="2"/>
      <w:numFmt w:val="decimal"/>
      <w:isLgl/>
      <w:lvlText w:val="%1.%2."/>
      <w:lvlJc w:val="left"/>
      <w:pPr>
        <w:ind w:left="1140" w:hanging="720"/>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2040" w:hanging="1440"/>
      </w:pPr>
    </w:lvl>
    <w:lvl w:ilvl="5">
      <w:start w:val="1"/>
      <w:numFmt w:val="decimal"/>
      <w:isLgl/>
      <w:lvlText w:val="%1.%2.%3.%4.%5.%6."/>
      <w:lvlJc w:val="left"/>
      <w:pPr>
        <w:ind w:left="2100" w:hanging="1440"/>
      </w:pPr>
    </w:lvl>
    <w:lvl w:ilvl="6">
      <w:start w:val="1"/>
      <w:numFmt w:val="decimal"/>
      <w:isLgl/>
      <w:lvlText w:val="%1.%2.%3.%4.%5.%6.%7."/>
      <w:lvlJc w:val="left"/>
      <w:pPr>
        <w:ind w:left="2520" w:hanging="1800"/>
      </w:pPr>
    </w:lvl>
    <w:lvl w:ilvl="7">
      <w:start w:val="1"/>
      <w:numFmt w:val="decimal"/>
      <w:isLgl/>
      <w:lvlText w:val="%1.%2.%3.%4.%5.%6.%7.%8."/>
      <w:lvlJc w:val="left"/>
      <w:pPr>
        <w:ind w:left="2940" w:hanging="2160"/>
      </w:pPr>
    </w:lvl>
    <w:lvl w:ilvl="8">
      <w:start w:val="1"/>
      <w:numFmt w:val="decimal"/>
      <w:isLgl/>
      <w:lvlText w:val="%1.%2.%3.%4.%5.%6.%7.%8.%9."/>
      <w:lvlJc w:val="left"/>
      <w:pPr>
        <w:ind w:left="3000" w:hanging="2160"/>
      </w:pPr>
    </w:lvl>
  </w:abstractNum>
  <w:abstractNum w:abstractNumId="2" w15:restartNumberingAfterBreak="0">
    <w:nsid w:val="188A11C0"/>
    <w:multiLevelType w:val="hybridMultilevel"/>
    <w:tmpl w:val="71B8238A"/>
    <w:lvl w:ilvl="0" w:tplc="7D62995E">
      <w:start w:val="1"/>
      <w:numFmt w:val="decimal"/>
      <w:lvlText w:val="%1."/>
      <w:lvlJc w:val="left"/>
      <w:pPr>
        <w:ind w:left="360" w:hanging="360"/>
      </w:pPr>
      <w:rPr>
        <w:rFonts w:ascii="Verdana" w:hAnsi="Verdana" w:hint="default"/>
        <w:b w:val="0"/>
        <w:i w:val="0"/>
        <w:sz w:val="20"/>
        <w:szCs w:val="20"/>
      </w:rPr>
    </w:lvl>
    <w:lvl w:ilvl="1" w:tplc="140A0019">
      <w:start w:val="1"/>
      <w:numFmt w:val="lowerLetter"/>
      <w:lvlText w:val="%2."/>
      <w:lvlJc w:val="left"/>
      <w:pPr>
        <w:ind w:left="270" w:hanging="360"/>
      </w:pPr>
    </w:lvl>
    <w:lvl w:ilvl="2" w:tplc="140A001B">
      <w:start w:val="1"/>
      <w:numFmt w:val="lowerRoman"/>
      <w:lvlText w:val="%3."/>
      <w:lvlJc w:val="right"/>
      <w:pPr>
        <w:ind w:left="990" w:hanging="180"/>
      </w:pPr>
    </w:lvl>
    <w:lvl w:ilvl="3" w:tplc="140A000F">
      <w:start w:val="1"/>
      <w:numFmt w:val="decimal"/>
      <w:lvlText w:val="%4."/>
      <w:lvlJc w:val="left"/>
      <w:pPr>
        <w:ind w:left="1710" w:hanging="360"/>
      </w:pPr>
    </w:lvl>
    <w:lvl w:ilvl="4" w:tplc="140A0019">
      <w:start w:val="1"/>
      <w:numFmt w:val="lowerLetter"/>
      <w:lvlText w:val="%5."/>
      <w:lvlJc w:val="left"/>
      <w:pPr>
        <w:ind w:left="2430" w:hanging="360"/>
      </w:pPr>
    </w:lvl>
    <w:lvl w:ilvl="5" w:tplc="140A001B">
      <w:start w:val="1"/>
      <w:numFmt w:val="lowerRoman"/>
      <w:lvlText w:val="%6."/>
      <w:lvlJc w:val="right"/>
      <w:pPr>
        <w:ind w:left="3150" w:hanging="180"/>
      </w:pPr>
    </w:lvl>
    <w:lvl w:ilvl="6" w:tplc="140A000F">
      <w:start w:val="1"/>
      <w:numFmt w:val="decimal"/>
      <w:lvlText w:val="%7."/>
      <w:lvlJc w:val="left"/>
      <w:pPr>
        <w:ind w:left="3870" w:hanging="360"/>
      </w:pPr>
    </w:lvl>
    <w:lvl w:ilvl="7" w:tplc="140A0019">
      <w:start w:val="1"/>
      <w:numFmt w:val="lowerLetter"/>
      <w:lvlText w:val="%8."/>
      <w:lvlJc w:val="left"/>
      <w:pPr>
        <w:ind w:left="4590" w:hanging="360"/>
      </w:pPr>
    </w:lvl>
    <w:lvl w:ilvl="8" w:tplc="140A001B">
      <w:start w:val="1"/>
      <w:numFmt w:val="lowerRoman"/>
      <w:lvlText w:val="%9."/>
      <w:lvlJc w:val="right"/>
      <w:pPr>
        <w:ind w:left="5310" w:hanging="180"/>
      </w:pPr>
    </w:lvl>
  </w:abstractNum>
  <w:abstractNum w:abstractNumId="3" w15:restartNumberingAfterBreak="0">
    <w:nsid w:val="1B6059A7"/>
    <w:multiLevelType w:val="hybridMultilevel"/>
    <w:tmpl w:val="4B7A0CBA"/>
    <w:lvl w:ilvl="0" w:tplc="970C12AC">
      <w:start w:val="1"/>
      <w:numFmt w:val="decimal"/>
      <w:lvlText w:val="%1."/>
      <w:lvlJc w:val="left"/>
      <w:pPr>
        <w:ind w:left="360" w:hanging="360"/>
      </w:pPr>
      <w:rPr>
        <w:rFonts w:hint="default"/>
        <w:b w:val="0"/>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284A524C"/>
    <w:multiLevelType w:val="hybridMultilevel"/>
    <w:tmpl w:val="5F56C960"/>
    <w:lvl w:ilvl="0" w:tplc="DB028CCA">
      <w:start w:val="1"/>
      <w:numFmt w:val="decimal"/>
      <w:lvlText w:val="%1."/>
      <w:lvlJc w:val="left"/>
      <w:pPr>
        <w:ind w:left="360" w:hanging="360"/>
      </w:pPr>
      <w:rPr>
        <w:color w:val="auto"/>
        <w:sz w:val="20"/>
        <w:szCs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5" w15:restartNumberingAfterBreak="0">
    <w:nsid w:val="392C0647"/>
    <w:multiLevelType w:val="hybridMultilevel"/>
    <w:tmpl w:val="1898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A4F2C"/>
    <w:multiLevelType w:val="hybridMultilevel"/>
    <w:tmpl w:val="10B0A5D4"/>
    <w:lvl w:ilvl="0" w:tplc="9900014C">
      <w:start w:val="1"/>
      <w:numFmt w:val="decimal"/>
      <w:lvlText w:val="%1."/>
      <w:lvlJc w:val="left"/>
      <w:pPr>
        <w:ind w:left="1065" w:hanging="705"/>
      </w:pPr>
      <w:rPr>
        <w:rFonts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C284E"/>
    <w:multiLevelType w:val="hybridMultilevel"/>
    <w:tmpl w:val="CE02CA78"/>
    <w:lvl w:ilvl="0" w:tplc="09241182">
      <w:start w:val="1"/>
      <w:numFmt w:val="decimal"/>
      <w:lvlText w:val="%1."/>
      <w:lvlJc w:val="left"/>
      <w:pPr>
        <w:ind w:left="1065" w:hanging="705"/>
      </w:pPr>
      <w:rPr>
        <w:rFonts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62EF0"/>
    <w:multiLevelType w:val="hybridMultilevel"/>
    <w:tmpl w:val="0EC4F4FE"/>
    <w:lvl w:ilvl="0" w:tplc="75D2799E">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B4833"/>
    <w:multiLevelType w:val="hybridMultilevel"/>
    <w:tmpl w:val="CF847964"/>
    <w:lvl w:ilvl="0" w:tplc="911A3B3C">
      <w:start w:val="1"/>
      <w:numFmt w:val="decimal"/>
      <w:lvlText w:val="%1."/>
      <w:lvlJc w:val="left"/>
      <w:pPr>
        <w:ind w:left="360" w:hanging="360"/>
      </w:pPr>
      <w:rPr>
        <w:rFonts w:ascii="Verdana" w:hAnsi="Verdana" w:hint="default"/>
        <w:b w:val="0"/>
        <w:sz w:val="20"/>
        <w:szCs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7F622484"/>
    <w:multiLevelType w:val="hybridMultilevel"/>
    <w:tmpl w:val="83DAD4CE"/>
    <w:lvl w:ilvl="0" w:tplc="79287B2A">
      <w:start w:val="1"/>
      <w:numFmt w:val="decimal"/>
      <w:lvlText w:val="%1."/>
      <w:lvlJc w:val="left"/>
      <w:pPr>
        <w:ind w:left="360" w:hanging="360"/>
      </w:pPr>
      <w:rPr>
        <w:rFonts w:ascii="Verdana" w:hAnsi="Verdana" w:hint="default"/>
        <w:b w:val="0"/>
        <w:sz w:val="20"/>
        <w:szCs w:val="20"/>
      </w:rPr>
    </w:lvl>
    <w:lvl w:ilvl="1" w:tplc="140A0019">
      <w:start w:val="1"/>
      <w:numFmt w:val="lowerLetter"/>
      <w:lvlText w:val="%2."/>
      <w:lvlJc w:val="left"/>
      <w:pPr>
        <w:ind w:left="270" w:hanging="360"/>
      </w:pPr>
    </w:lvl>
    <w:lvl w:ilvl="2" w:tplc="140A001B">
      <w:start w:val="1"/>
      <w:numFmt w:val="lowerRoman"/>
      <w:lvlText w:val="%3."/>
      <w:lvlJc w:val="right"/>
      <w:pPr>
        <w:ind w:left="990" w:hanging="180"/>
      </w:pPr>
    </w:lvl>
    <w:lvl w:ilvl="3" w:tplc="140A000F">
      <w:start w:val="1"/>
      <w:numFmt w:val="decimal"/>
      <w:lvlText w:val="%4."/>
      <w:lvlJc w:val="left"/>
      <w:pPr>
        <w:ind w:left="1710" w:hanging="360"/>
      </w:pPr>
    </w:lvl>
    <w:lvl w:ilvl="4" w:tplc="140A0019">
      <w:start w:val="1"/>
      <w:numFmt w:val="lowerLetter"/>
      <w:lvlText w:val="%5."/>
      <w:lvlJc w:val="left"/>
      <w:pPr>
        <w:ind w:left="2430" w:hanging="360"/>
      </w:pPr>
    </w:lvl>
    <w:lvl w:ilvl="5" w:tplc="140A001B">
      <w:start w:val="1"/>
      <w:numFmt w:val="lowerRoman"/>
      <w:lvlText w:val="%6."/>
      <w:lvlJc w:val="right"/>
      <w:pPr>
        <w:ind w:left="3150" w:hanging="180"/>
      </w:pPr>
    </w:lvl>
    <w:lvl w:ilvl="6" w:tplc="140A000F">
      <w:start w:val="1"/>
      <w:numFmt w:val="decimal"/>
      <w:lvlText w:val="%7."/>
      <w:lvlJc w:val="left"/>
      <w:pPr>
        <w:ind w:left="3870" w:hanging="360"/>
      </w:pPr>
    </w:lvl>
    <w:lvl w:ilvl="7" w:tplc="140A0019">
      <w:start w:val="1"/>
      <w:numFmt w:val="lowerLetter"/>
      <w:lvlText w:val="%8."/>
      <w:lvlJc w:val="left"/>
      <w:pPr>
        <w:ind w:left="4590" w:hanging="360"/>
      </w:pPr>
    </w:lvl>
    <w:lvl w:ilvl="8" w:tplc="140A001B">
      <w:start w:val="1"/>
      <w:numFmt w:val="lowerRoman"/>
      <w:lvlText w:val="%9."/>
      <w:lvlJc w:val="right"/>
      <w:pPr>
        <w:ind w:left="531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AF"/>
    <w:rsid w:val="000207DD"/>
    <w:rsid w:val="00024011"/>
    <w:rsid w:val="0002785E"/>
    <w:rsid w:val="00052A96"/>
    <w:rsid w:val="0006733D"/>
    <w:rsid w:val="00082B07"/>
    <w:rsid w:val="00090412"/>
    <w:rsid w:val="000A208A"/>
    <w:rsid w:val="000A45EA"/>
    <w:rsid w:val="000D71E3"/>
    <w:rsid w:val="000E46BE"/>
    <w:rsid w:val="0012421F"/>
    <w:rsid w:val="00127593"/>
    <w:rsid w:val="00133DC4"/>
    <w:rsid w:val="00152C75"/>
    <w:rsid w:val="0015786B"/>
    <w:rsid w:val="00174292"/>
    <w:rsid w:val="001977D9"/>
    <w:rsid w:val="001A13DF"/>
    <w:rsid w:val="001C1BE9"/>
    <w:rsid w:val="001E3B86"/>
    <w:rsid w:val="001F6EA7"/>
    <w:rsid w:val="00204B1C"/>
    <w:rsid w:val="00220B4A"/>
    <w:rsid w:val="00230FE0"/>
    <w:rsid w:val="002441DF"/>
    <w:rsid w:val="00247A88"/>
    <w:rsid w:val="00252F4C"/>
    <w:rsid w:val="002660C8"/>
    <w:rsid w:val="00270FDD"/>
    <w:rsid w:val="002930ED"/>
    <w:rsid w:val="0029381A"/>
    <w:rsid w:val="00295691"/>
    <w:rsid w:val="002A0873"/>
    <w:rsid w:val="002D192A"/>
    <w:rsid w:val="0033093C"/>
    <w:rsid w:val="00335839"/>
    <w:rsid w:val="00355550"/>
    <w:rsid w:val="003736F7"/>
    <w:rsid w:val="00385A0D"/>
    <w:rsid w:val="003B0FA0"/>
    <w:rsid w:val="003B758F"/>
    <w:rsid w:val="003E3833"/>
    <w:rsid w:val="00402AE3"/>
    <w:rsid w:val="00442DD0"/>
    <w:rsid w:val="00462143"/>
    <w:rsid w:val="00464A84"/>
    <w:rsid w:val="00465C89"/>
    <w:rsid w:val="00473DA2"/>
    <w:rsid w:val="00474584"/>
    <w:rsid w:val="004E1383"/>
    <w:rsid w:val="004E314E"/>
    <w:rsid w:val="004E72A0"/>
    <w:rsid w:val="005024CD"/>
    <w:rsid w:val="0051502B"/>
    <w:rsid w:val="005173AF"/>
    <w:rsid w:val="00531C22"/>
    <w:rsid w:val="005504CB"/>
    <w:rsid w:val="00563756"/>
    <w:rsid w:val="00573442"/>
    <w:rsid w:val="00581DF1"/>
    <w:rsid w:val="00582EFA"/>
    <w:rsid w:val="005A67DC"/>
    <w:rsid w:val="005C493E"/>
    <w:rsid w:val="005D6F72"/>
    <w:rsid w:val="005E52FF"/>
    <w:rsid w:val="005E7EBB"/>
    <w:rsid w:val="005F1C8C"/>
    <w:rsid w:val="005F355F"/>
    <w:rsid w:val="005F525D"/>
    <w:rsid w:val="005F57EB"/>
    <w:rsid w:val="006142EE"/>
    <w:rsid w:val="006339DE"/>
    <w:rsid w:val="0065031C"/>
    <w:rsid w:val="00652D68"/>
    <w:rsid w:val="00660243"/>
    <w:rsid w:val="00662752"/>
    <w:rsid w:val="00662F19"/>
    <w:rsid w:val="006776FE"/>
    <w:rsid w:val="00686AC2"/>
    <w:rsid w:val="00691F39"/>
    <w:rsid w:val="00692196"/>
    <w:rsid w:val="006976FA"/>
    <w:rsid w:val="006A5F2D"/>
    <w:rsid w:val="006D16B8"/>
    <w:rsid w:val="006E4787"/>
    <w:rsid w:val="006F7CF7"/>
    <w:rsid w:val="00700BE1"/>
    <w:rsid w:val="0071652E"/>
    <w:rsid w:val="007504B2"/>
    <w:rsid w:val="007910C9"/>
    <w:rsid w:val="007A0453"/>
    <w:rsid w:val="007A5F46"/>
    <w:rsid w:val="007B1A83"/>
    <w:rsid w:val="007D2401"/>
    <w:rsid w:val="007D599C"/>
    <w:rsid w:val="007E3057"/>
    <w:rsid w:val="0080567A"/>
    <w:rsid w:val="0083120E"/>
    <w:rsid w:val="0086788C"/>
    <w:rsid w:val="00876809"/>
    <w:rsid w:val="00894CE6"/>
    <w:rsid w:val="008B731E"/>
    <w:rsid w:val="008C7910"/>
    <w:rsid w:val="008E5FDE"/>
    <w:rsid w:val="008E7292"/>
    <w:rsid w:val="0090126D"/>
    <w:rsid w:val="009234BE"/>
    <w:rsid w:val="00934328"/>
    <w:rsid w:val="00936628"/>
    <w:rsid w:val="009579B8"/>
    <w:rsid w:val="00962F34"/>
    <w:rsid w:val="009722B3"/>
    <w:rsid w:val="009846E5"/>
    <w:rsid w:val="00984D76"/>
    <w:rsid w:val="00A21069"/>
    <w:rsid w:val="00A25345"/>
    <w:rsid w:val="00A26A20"/>
    <w:rsid w:val="00A34A6D"/>
    <w:rsid w:val="00A473FB"/>
    <w:rsid w:val="00A504E4"/>
    <w:rsid w:val="00A53BE4"/>
    <w:rsid w:val="00A60B31"/>
    <w:rsid w:val="00A65F5A"/>
    <w:rsid w:val="00A73D2C"/>
    <w:rsid w:val="00A85A8D"/>
    <w:rsid w:val="00A86F9A"/>
    <w:rsid w:val="00AA0131"/>
    <w:rsid w:val="00AA60C6"/>
    <w:rsid w:val="00AD7CD6"/>
    <w:rsid w:val="00AF1C12"/>
    <w:rsid w:val="00AF6735"/>
    <w:rsid w:val="00AF7FB8"/>
    <w:rsid w:val="00B032F3"/>
    <w:rsid w:val="00B37820"/>
    <w:rsid w:val="00B45D55"/>
    <w:rsid w:val="00B55DB2"/>
    <w:rsid w:val="00B67F66"/>
    <w:rsid w:val="00B979CD"/>
    <w:rsid w:val="00BA3767"/>
    <w:rsid w:val="00BA656B"/>
    <w:rsid w:val="00BB4335"/>
    <w:rsid w:val="00BB5E68"/>
    <w:rsid w:val="00BE36D6"/>
    <w:rsid w:val="00BE7A33"/>
    <w:rsid w:val="00BE7BDA"/>
    <w:rsid w:val="00BF3B79"/>
    <w:rsid w:val="00C130D0"/>
    <w:rsid w:val="00C20289"/>
    <w:rsid w:val="00C24F92"/>
    <w:rsid w:val="00C42FEB"/>
    <w:rsid w:val="00C46D78"/>
    <w:rsid w:val="00C53366"/>
    <w:rsid w:val="00C71B6A"/>
    <w:rsid w:val="00C745F7"/>
    <w:rsid w:val="00C8402A"/>
    <w:rsid w:val="00CC46A5"/>
    <w:rsid w:val="00CD423F"/>
    <w:rsid w:val="00CE4856"/>
    <w:rsid w:val="00D033C0"/>
    <w:rsid w:val="00D10B91"/>
    <w:rsid w:val="00D147EF"/>
    <w:rsid w:val="00D24F36"/>
    <w:rsid w:val="00D80A16"/>
    <w:rsid w:val="00D90E6B"/>
    <w:rsid w:val="00DA24F9"/>
    <w:rsid w:val="00DA6C59"/>
    <w:rsid w:val="00DD449A"/>
    <w:rsid w:val="00DE246D"/>
    <w:rsid w:val="00DE7E59"/>
    <w:rsid w:val="00DF60C5"/>
    <w:rsid w:val="00DF6255"/>
    <w:rsid w:val="00E00908"/>
    <w:rsid w:val="00E162E5"/>
    <w:rsid w:val="00E44DEF"/>
    <w:rsid w:val="00E5416B"/>
    <w:rsid w:val="00E64A68"/>
    <w:rsid w:val="00E74400"/>
    <w:rsid w:val="00E83429"/>
    <w:rsid w:val="00E83824"/>
    <w:rsid w:val="00E92CA1"/>
    <w:rsid w:val="00EA64C4"/>
    <w:rsid w:val="00ED7332"/>
    <w:rsid w:val="00ED759D"/>
    <w:rsid w:val="00EE4553"/>
    <w:rsid w:val="00EF1C6A"/>
    <w:rsid w:val="00EF517A"/>
    <w:rsid w:val="00F10ACF"/>
    <w:rsid w:val="00F2708E"/>
    <w:rsid w:val="00F277DC"/>
    <w:rsid w:val="00F65EEA"/>
    <w:rsid w:val="00F663BE"/>
    <w:rsid w:val="00F770CC"/>
    <w:rsid w:val="00F823E5"/>
    <w:rsid w:val="00F82D0B"/>
    <w:rsid w:val="00F927DB"/>
    <w:rsid w:val="00FB7D79"/>
    <w:rsid w:val="00FD63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D598DA"/>
  <w15:docId w15:val="{3D055A79-72BF-4573-8929-D0359885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AF"/>
    <w:pPr>
      <w:spacing w:after="0" w:line="240" w:lineRule="auto"/>
    </w:pPr>
    <w:rPr>
      <w:rFonts w:ascii="Garamond" w:eastAsia="Times" w:hAnsi="Garamond"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73AF"/>
    <w:pPr>
      <w:tabs>
        <w:tab w:val="center" w:pos="4419"/>
        <w:tab w:val="right" w:pos="8838"/>
      </w:tabs>
    </w:pPr>
  </w:style>
  <w:style w:type="character" w:customStyle="1" w:styleId="EncabezadoCar">
    <w:name w:val="Encabezado Car"/>
    <w:basedOn w:val="Fuentedeprrafopredeter"/>
    <w:link w:val="Encabezado"/>
    <w:uiPriority w:val="99"/>
    <w:rsid w:val="005173AF"/>
  </w:style>
  <w:style w:type="paragraph" w:styleId="Piedepgina">
    <w:name w:val="footer"/>
    <w:basedOn w:val="Normal"/>
    <w:link w:val="PiedepginaCar"/>
    <w:uiPriority w:val="99"/>
    <w:unhideWhenUsed/>
    <w:rsid w:val="005173AF"/>
    <w:pPr>
      <w:tabs>
        <w:tab w:val="center" w:pos="4419"/>
        <w:tab w:val="right" w:pos="8838"/>
      </w:tabs>
    </w:pPr>
  </w:style>
  <w:style w:type="character" w:customStyle="1" w:styleId="PiedepginaCar">
    <w:name w:val="Pie de página Car"/>
    <w:basedOn w:val="Fuentedeprrafopredeter"/>
    <w:link w:val="Piedepgina"/>
    <w:uiPriority w:val="99"/>
    <w:rsid w:val="005173AF"/>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5173AF"/>
    <w:rPr>
      <w:rFonts w:ascii="Times" w:hAnsi="Times"/>
      <w:lang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qFormat/>
    <w:rsid w:val="005173AF"/>
    <w:rPr>
      <w:rFonts w:ascii="Times" w:eastAsia="Times" w:hAnsi="Times" w:cs="Times New Roman"/>
      <w:sz w:val="24"/>
      <w:szCs w:val="20"/>
      <w:lang w:val="es-ES_tradnl"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5173AF"/>
    <w:rPr>
      <w:vertAlign w:val="superscript"/>
    </w:rPr>
  </w:style>
  <w:style w:type="character" w:styleId="Hipervnculo">
    <w:name w:val="Hyperlink"/>
    <w:uiPriority w:val="99"/>
    <w:unhideWhenUsed/>
    <w:rsid w:val="005173AF"/>
    <w:rPr>
      <w:color w:val="0000FF"/>
      <w:u w:val="single"/>
    </w:rPr>
  </w:style>
  <w:style w:type="character" w:styleId="Textoennegrita">
    <w:name w:val="Strong"/>
    <w:uiPriority w:val="22"/>
    <w:qFormat/>
    <w:rsid w:val="005173AF"/>
    <w:rPr>
      <w:b/>
      <w:bCs/>
    </w:rPr>
  </w:style>
  <w:style w:type="paragraph" w:styleId="Prrafodelista">
    <w:name w:val="List Paragraph"/>
    <w:aliases w:val="Footnote,Párrafo de lista1"/>
    <w:basedOn w:val="Normal"/>
    <w:link w:val="PrrafodelistaCar"/>
    <w:uiPriority w:val="34"/>
    <w:qFormat/>
    <w:rsid w:val="005173AF"/>
    <w:pPr>
      <w:ind w:left="720"/>
      <w:contextualSpacing/>
    </w:pPr>
  </w:style>
  <w:style w:type="paragraph" w:customStyle="1" w:styleId="Sangradetindependiente">
    <w:name w:val="SangrÌa de t. independiente"/>
    <w:basedOn w:val="Normal"/>
    <w:rsid w:val="006F7CF7"/>
    <w:pPr>
      <w:ind w:right="12"/>
      <w:jc w:val="both"/>
    </w:pPr>
    <w:rPr>
      <w:rFonts w:eastAsia="Times New Roman"/>
      <w:sz w:val="20"/>
      <w:lang w:eastAsia="es-ES"/>
    </w:rPr>
  </w:style>
  <w:style w:type="character" w:customStyle="1" w:styleId="PrrafodelistaCar">
    <w:name w:val="Párrafo de lista Car"/>
    <w:aliases w:val="Footnote Car,Párrafo de lista1 Car"/>
    <w:link w:val="Prrafodelista"/>
    <w:uiPriority w:val="34"/>
    <w:rsid w:val="00252F4C"/>
    <w:rPr>
      <w:rFonts w:ascii="Garamond" w:eastAsia="Times" w:hAnsi="Garamond" w:cs="Times New Roman"/>
      <w:sz w:val="24"/>
      <w:szCs w:val="20"/>
      <w:lang w:val="es-ES_tradnl"/>
    </w:rPr>
  </w:style>
  <w:style w:type="character" w:styleId="Refdecomentario">
    <w:name w:val="annotation reference"/>
    <w:basedOn w:val="Fuentedeprrafopredeter"/>
    <w:uiPriority w:val="99"/>
    <w:semiHidden/>
    <w:unhideWhenUsed/>
    <w:rsid w:val="00F927DB"/>
    <w:rPr>
      <w:sz w:val="16"/>
      <w:szCs w:val="16"/>
    </w:rPr>
  </w:style>
  <w:style w:type="paragraph" w:styleId="Textocomentario">
    <w:name w:val="annotation text"/>
    <w:basedOn w:val="Normal"/>
    <w:link w:val="TextocomentarioCar"/>
    <w:uiPriority w:val="99"/>
    <w:semiHidden/>
    <w:unhideWhenUsed/>
    <w:rsid w:val="00F927DB"/>
    <w:rPr>
      <w:sz w:val="20"/>
    </w:rPr>
  </w:style>
  <w:style w:type="character" w:customStyle="1" w:styleId="TextocomentarioCar">
    <w:name w:val="Texto comentario Car"/>
    <w:basedOn w:val="Fuentedeprrafopredeter"/>
    <w:link w:val="Textocomentario"/>
    <w:uiPriority w:val="99"/>
    <w:semiHidden/>
    <w:rsid w:val="00F927DB"/>
    <w:rPr>
      <w:rFonts w:ascii="Garamond" w:eastAsia="Times" w:hAnsi="Garamond"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7DB"/>
    <w:rPr>
      <w:b/>
      <w:bCs/>
    </w:rPr>
  </w:style>
  <w:style w:type="character" w:customStyle="1" w:styleId="AsuntodelcomentarioCar">
    <w:name w:val="Asunto del comentario Car"/>
    <w:basedOn w:val="TextocomentarioCar"/>
    <w:link w:val="Asuntodelcomentario"/>
    <w:uiPriority w:val="99"/>
    <w:semiHidden/>
    <w:rsid w:val="00F927DB"/>
    <w:rPr>
      <w:rFonts w:ascii="Garamond" w:eastAsia="Times" w:hAnsi="Garamond" w:cs="Times New Roman"/>
      <w:b/>
      <w:bCs/>
      <w:sz w:val="20"/>
      <w:szCs w:val="20"/>
      <w:lang w:val="es-ES_tradnl"/>
    </w:rPr>
  </w:style>
  <w:style w:type="paragraph" w:styleId="Textodeglobo">
    <w:name w:val="Balloon Text"/>
    <w:basedOn w:val="Normal"/>
    <w:link w:val="TextodegloboCar"/>
    <w:uiPriority w:val="99"/>
    <w:semiHidden/>
    <w:unhideWhenUsed/>
    <w:rsid w:val="00F927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27DB"/>
    <w:rPr>
      <w:rFonts w:ascii="Segoe UI" w:eastAsia="Times" w:hAnsi="Segoe UI" w:cs="Segoe UI"/>
      <w:sz w:val="18"/>
      <w:szCs w:val="18"/>
      <w:lang w:val="es-ES_tradnl"/>
    </w:rPr>
  </w:style>
  <w:style w:type="paragraph" w:styleId="Revisin">
    <w:name w:val="Revision"/>
    <w:hidden/>
    <w:uiPriority w:val="99"/>
    <w:semiHidden/>
    <w:rsid w:val="00355550"/>
    <w:pPr>
      <w:spacing w:after="0" w:line="240" w:lineRule="auto"/>
    </w:pPr>
    <w:rPr>
      <w:rFonts w:ascii="Garamond" w:eastAsia="Times" w:hAnsi="Garamond" w:cs="Times New Roman"/>
      <w:sz w:val="24"/>
      <w:szCs w:val="20"/>
      <w:lang w:val="es-ES_tradnl"/>
    </w:rPr>
  </w:style>
  <w:style w:type="character" w:styleId="Nmerodelnea">
    <w:name w:val="line number"/>
    <w:basedOn w:val="Fuentedeprrafopredeter"/>
    <w:uiPriority w:val="99"/>
    <w:semiHidden/>
    <w:unhideWhenUsed/>
    <w:rsid w:val="00B6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1125">
      <w:bodyDiv w:val="1"/>
      <w:marLeft w:val="0"/>
      <w:marRight w:val="0"/>
      <w:marTop w:val="0"/>
      <w:marBottom w:val="0"/>
      <w:divBdr>
        <w:top w:val="none" w:sz="0" w:space="0" w:color="auto"/>
        <w:left w:val="none" w:sz="0" w:space="0" w:color="auto"/>
        <w:bottom w:val="none" w:sz="0" w:space="0" w:color="auto"/>
        <w:right w:val="none" w:sz="0" w:space="0" w:color="auto"/>
      </w:divBdr>
    </w:div>
    <w:div w:id="91367148">
      <w:bodyDiv w:val="1"/>
      <w:marLeft w:val="0"/>
      <w:marRight w:val="0"/>
      <w:marTop w:val="0"/>
      <w:marBottom w:val="0"/>
      <w:divBdr>
        <w:top w:val="none" w:sz="0" w:space="0" w:color="auto"/>
        <w:left w:val="none" w:sz="0" w:space="0" w:color="auto"/>
        <w:bottom w:val="none" w:sz="0" w:space="0" w:color="auto"/>
        <w:right w:val="none" w:sz="0" w:space="0" w:color="auto"/>
      </w:divBdr>
    </w:div>
    <w:div w:id="340163428">
      <w:bodyDiv w:val="1"/>
      <w:marLeft w:val="0"/>
      <w:marRight w:val="0"/>
      <w:marTop w:val="0"/>
      <w:marBottom w:val="0"/>
      <w:divBdr>
        <w:top w:val="none" w:sz="0" w:space="0" w:color="auto"/>
        <w:left w:val="none" w:sz="0" w:space="0" w:color="auto"/>
        <w:bottom w:val="none" w:sz="0" w:space="0" w:color="auto"/>
        <w:right w:val="none" w:sz="0" w:space="0" w:color="auto"/>
      </w:divBdr>
    </w:div>
    <w:div w:id="353120139">
      <w:bodyDiv w:val="1"/>
      <w:marLeft w:val="0"/>
      <w:marRight w:val="0"/>
      <w:marTop w:val="0"/>
      <w:marBottom w:val="0"/>
      <w:divBdr>
        <w:top w:val="none" w:sz="0" w:space="0" w:color="auto"/>
        <w:left w:val="none" w:sz="0" w:space="0" w:color="auto"/>
        <w:bottom w:val="none" w:sz="0" w:space="0" w:color="auto"/>
        <w:right w:val="none" w:sz="0" w:space="0" w:color="auto"/>
      </w:divBdr>
    </w:div>
    <w:div w:id="616066232">
      <w:bodyDiv w:val="1"/>
      <w:marLeft w:val="0"/>
      <w:marRight w:val="0"/>
      <w:marTop w:val="0"/>
      <w:marBottom w:val="0"/>
      <w:divBdr>
        <w:top w:val="none" w:sz="0" w:space="0" w:color="auto"/>
        <w:left w:val="none" w:sz="0" w:space="0" w:color="auto"/>
        <w:bottom w:val="none" w:sz="0" w:space="0" w:color="auto"/>
        <w:right w:val="none" w:sz="0" w:space="0" w:color="auto"/>
      </w:divBdr>
    </w:div>
    <w:div w:id="628820887">
      <w:bodyDiv w:val="1"/>
      <w:marLeft w:val="0"/>
      <w:marRight w:val="0"/>
      <w:marTop w:val="0"/>
      <w:marBottom w:val="0"/>
      <w:divBdr>
        <w:top w:val="none" w:sz="0" w:space="0" w:color="auto"/>
        <w:left w:val="none" w:sz="0" w:space="0" w:color="auto"/>
        <w:bottom w:val="none" w:sz="0" w:space="0" w:color="auto"/>
        <w:right w:val="none" w:sz="0" w:space="0" w:color="auto"/>
      </w:divBdr>
    </w:div>
    <w:div w:id="939727670">
      <w:bodyDiv w:val="1"/>
      <w:marLeft w:val="0"/>
      <w:marRight w:val="0"/>
      <w:marTop w:val="0"/>
      <w:marBottom w:val="0"/>
      <w:divBdr>
        <w:top w:val="none" w:sz="0" w:space="0" w:color="auto"/>
        <w:left w:val="none" w:sz="0" w:space="0" w:color="auto"/>
        <w:bottom w:val="none" w:sz="0" w:space="0" w:color="auto"/>
        <w:right w:val="none" w:sz="0" w:space="0" w:color="auto"/>
      </w:divBdr>
    </w:div>
    <w:div w:id="1026295837">
      <w:bodyDiv w:val="1"/>
      <w:marLeft w:val="0"/>
      <w:marRight w:val="0"/>
      <w:marTop w:val="0"/>
      <w:marBottom w:val="0"/>
      <w:divBdr>
        <w:top w:val="none" w:sz="0" w:space="0" w:color="auto"/>
        <w:left w:val="none" w:sz="0" w:space="0" w:color="auto"/>
        <w:bottom w:val="none" w:sz="0" w:space="0" w:color="auto"/>
        <w:right w:val="none" w:sz="0" w:space="0" w:color="auto"/>
      </w:divBdr>
    </w:div>
    <w:div w:id="1033270913">
      <w:bodyDiv w:val="1"/>
      <w:marLeft w:val="0"/>
      <w:marRight w:val="0"/>
      <w:marTop w:val="0"/>
      <w:marBottom w:val="0"/>
      <w:divBdr>
        <w:top w:val="none" w:sz="0" w:space="0" w:color="auto"/>
        <w:left w:val="none" w:sz="0" w:space="0" w:color="auto"/>
        <w:bottom w:val="none" w:sz="0" w:space="0" w:color="auto"/>
        <w:right w:val="none" w:sz="0" w:space="0" w:color="auto"/>
      </w:divBdr>
    </w:div>
    <w:div w:id="1129318771">
      <w:bodyDiv w:val="1"/>
      <w:marLeft w:val="0"/>
      <w:marRight w:val="0"/>
      <w:marTop w:val="0"/>
      <w:marBottom w:val="0"/>
      <w:divBdr>
        <w:top w:val="none" w:sz="0" w:space="0" w:color="auto"/>
        <w:left w:val="none" w:sz="0" w:space="0" w:color="auto"/>
        <w:bottom w:val="none" w:sz="0" w:space="0" w:color="auto"/>
        <w:right w:val="none" w:sz="0" w:space="0" w:color="auto"/>
      </w:divBdr>
    </w:div>
    <w:div w:id="1146975229">
      <w:bodyDiv w:val="1"/>
      <w:marLeft w:val="0"/>
      <w:marRight w:val="0"/>
      <w:marTop w:val="0"/>
      <w:marBottom w:val="0"/>
      <w:divBdr>
        <w:top w:val="none" w:sz="0" w:space="0" w:color="auto"/>
        <w:left w:val="none" w:sz="0" w:space="0" w:color="auto"/>
        <w:bottom w:val="none" w:sz="0" w:space="0" w:color="auto"/>
        <w:right w:val="none" w:sz="0" w:space="0" w:color="auto"/>
      </w:divBdr>
    </w:div>
    <w:div w:id="1311985037">
      <w:bodyDiv w:val="1"/>
      <w:marLeft w:val="0"/>
      <w:marRight w:val="0"/>
      <w:marTop w:val="0"/>
      <w:marBottom w:val="0"/>
      <w:divBdr>
        <w:top w:val="none" w:sz="0" w:space="0" w:color="auto"/>
        <w:left w:val="none" w:sz="0" w:space="0" w:color="auto"/>
        <w:bottom w:val="none" w:sz="0" w:space="0" w:color="auto"/>
        <w:right w:val="none" w:sz="0" w:space="0" w:color="auto"/>
      </w:divBdr>
    </w:div>
    <w:div w:id="1439792520">
      <w:bodyDiv w:val="1"/>
      <w:marLeft w:val="0"/>
      <w:marRight w:val="0"/>
      <w:marTop w:val="0"/>
      <w:marBottom w:val="0"/>
      <w:divBdr>
        <w:top w:val="none" w:sz="0" w:space="0" w:color="auto"/>
        <w:left w:val="none" w:sz="0" w:space="0" w:color="auto"/>
        <w:bottom w:val="none" w:sz="0" w:space="0" w:color="auto"/>
        <w:right w:val="none" w:sz="0" w:space="0" w:color="auto"/>
      </w:divBdr>
    </w:div>
    <w:div w:id="1593390469">
      <w:bodyDiv w:val="1"/>
      <w:marLeft w:val="0"/>
      <w:marRight w:val="0"/>
      <w:marTop w:val="0"/>
      <w:marBottom w:val="0"/>
      <w:divBdr>
        <w:top w:val="none" w:sz="0" w:space="0" w:color="auto"/>
        <w:left w:val="none" w:sz="0" w:space="0" w:color="auto"/>
        <w:bottom w:val="none" w:sz="0" w:space="0" w:color="auto"/>
        <w:right w:val="none" w:sz="0" w:space="0" w:color="auto"/>
      </w:divBdr>
    </w:div>
    <w:div w:id="18928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chocron_20_11_15.pdf" TargetMode="External"/><Relationship Id="rId2" Type="http://schemas.openxmlformats.org/officeDocument/2006/relationships/hyperlink" Target="http://www.corteidh.or.cr/docs/casos/articulos/seriec_249_esp.pdf" TargetMode="External"/><Relationship Id="rId1" Type="http://schemas.openxmlformats.org/officeDocument/2006/relationships/hyperlink" Target="http://corteidh.or.cr/docs/casos/articulos/seriec_244_esp.pdf" TargetMode="External"/><Relationship Id="rId5" Type="http://schemas.openxmlformats.org/officeDocument/2006/relationships/hyperlink" Target="http://www.corteidh.or.cr/docs/asuntos/barrios_uzca_landa_fv_18.pdf" TargetMode="External"/><Relationship Id="rId4" Type="http://schemas.openxmlformats.org/officeDocument/2006/relationships/hyperlink" Target="http://www.corteidh.or.cr/docs/supervisiones/chocron_22_11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B3F5-DB52-40FA-A2CC-9CFB7A9F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2439</Words>
  <Characters>13420</Characters>
  <Application>Microsoft Office Word</Application>
  <DocSecurity>4</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2019-12-02T19:10:00Z</cp:lastPrinted>
  <dcterms:created xsi:type="dcterms:W3CDTF">2019-12-11T15:44:00Z</dcterms:created>
  <dcterms:modified xsi:type="dcterms:W3CDTF">2019-12-11T15:44:00Z</dcterms:modified>
</cp:coreProperties>
</file>