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BE5CFC" w14:textId="77777777" w:rsidR="00A571E6" w:rsidRDefault="00A571E6" w:rsidP="00AF2C88">
      <w:pPr>
        <w:jc w:val="center"/>
        <w:rPr>
          <w:rFonts w:ascii="Verdana" w:hAnsi="Verdana"/>
          <w:b/>
          <w:sz w:val="20"/>
        </w:rPr>
      </w:pPr>
      <w:bookmarkStart w:id="0" w:name="_GoBack"/>
      <w:bookmarkEnd w:id="0"/>
    </w:p>
    <w:p w14:paraId="5F022243" w14:textId="77777777" w:rsidR="00A571E6" w:rsidRDefault="00A571E6" w:rsidP="00AF2C88">
      <w:pPr>
        <w:jc w:val="center"/>
        <w:rPr>
          <w:rFonts w:ascii="Verdana" w:hAnsi="Verdana"/>
          <w:b/>
          <w:sz w:val="20"/>
        </w:rPr>
      </w:pPr>
    </w:p>
    <w:p w14:paraId="628A564D" w14:textId="77777777" w:rsidR="00A571E6" w:rsidRDefault="00A571E6" w:rsidP="00AF2C88">
      <w:pPr>
        <w:jc w:val="center"/>
        <w:rPr>
          <w:rFonts w:ascii="Verdana" w:hAnsi="Verdana"/>
          <w:b/>
          <w:sz w:val="20"/>
        </w:rPr>
      </w:pPr>
    </w:p>
    <w:p w14:paraId="701DC5ED" w14:textId="77777777" w:rsidR="00A571E6" w:rsidRDefault="00A571E6" w:rsidP="00AF2C88">
      <w:pPr>
        <w:jc w:val="center"/>
        <w:rPr>
          <w:rFonts w:ascii="Verdana" w:hAnsi="Verdana"/>
          <w:b/>
          <w:sz w:val="20"/>
        </w:rPr>
      </w:pPr>
    </w:p>
    <w:p w14:paraId="413EFBE6" w14:textId="77777777" w:rsidR="00A571E6" w:rsidRDefault="00A571E6" w:rsidP="00AF2C88">
      <w:pPr>
        <w:jc w:val="center"/>
        <w:rPr>
          <w:rFonts w:ascii="Verdana" w:hAnsi="Verdana"/>
          <w:b/>
          <w:sz w:val="20"/>
        </w:rPr>
      </w:pPr>
    </w:p>
    <w:p w14:paraId="2852887D" w14:textId="77777777" w:rsidR="00A571E6" w:rsidRDefault="00A571E6" w:rsidP="00AF2C88">
      <w:pPr>
        <w:jc w:val="center"/>
        <w:rPr>
          <w:rFonts w:ascii="Verdana" w:hAnsi="Verdana"/>
          <w:b/>
          <w:sz w:val="20"/>
        </w:rPr>
      </w:pPr>
    </w:p>
    <w:p w14:paraId="014AE666" w14:textId="77777777" w:rsidR="00A571E6" w:rsidRDefault="00A571E6" w:rsidP="00AF2C88">
      <w:pPr>
        <w:jc w:val="center"/>
        <w:rPr>
          <w:rFonts w:ascii="Verdana" w:hAnsi="Verdana"/>
          <w:b/>
          <w:sz w:val="20"/>
        </w:rPr>
      </w:pPr>
    </w:p>
    <w:p w14:paraId="3175995E" w14:textId="77777777" w:rsidR="004206F3" w:rsidRPr="00CC7A4C" w:rsidRDefault="004206F3" w:rsidP="00AF2C88">
      <w:pPr>
        <w:jc w:val="center"/>
        <w:rPr>
          <w:rFonts w:ascii="Verdana" w:hAnsi="Verdana"/>
          <w:b/>
          <w:sz w:val="20"/>
        </w:rPr>
      </w:pPr>
      <w:r w:rsidRPr="00CC7A4C">
        <w:rPr>
          <w:rFonts w:ascii="Verdana" w:hAnsi="Verdana"/>
          <w:b/>
          <w:sz w:val="20"/>
        </w:rPr>
        <w:t xml:space="preserve">RESOLUCIÓN DE LA </w:t>
      </w:r>
    </w:p>
    <w:p w14:paraId="07897B7A" w14:textId="77777777" w:rsidR="004206F3" w:rsidRPr="00CC7A4C" w:rsidRDefault="004206F3" w:rsidP="00AF2C88">
      <w:pPr>
        <w:jc w:val="center"/>
        <w:rPr>
          <w:rFonts w:ascii="Verdana" w:hAnsi="Verdana"/>
          <w:b/>
          <w:sz w:val="20"/>
        </w:rPr>
      </w:pPr>
    </w:p>
    <w:p w14:paraId="4052AB82" w14:textId="77777777" w:rsidR="004206F3" w:rsidRPr="00CC7A4C" w:rsidRDefault="004206F3" w:rsidP="00AF2C88">
      <w:pPr>
        <w:jc w:val="center"/>
        <w:rPr>
          <w:rFonts w:ascii="Verdana" w:hAnsi="Verdana"/>
          <w:b/>
          <w:sz w:val="20"/>
        </w:rPr>
      </w:pPr>
      <w:r w:rsidRPr="00CC7A4C">
        <w:rPr>
          <w:rFonts w:ascii="Verdana" w:hAnsi="Verdana"/>
          <w:b/>
          <w:sz w:val="20"/>
        </w:rPr>
        <w:t xml:space="preserve">CORTE INTERAMERICANA DE DERECHOS HUMANOS </w:t>
      </w:r>
    </w:p>
    <w:p w14:paraId="3E8A748E" w14:textId="77777777" w:rsidR="004206F3" w:rsidRPr="00CC7A4C" w:rsidRDefault="004206F3" w:rsidP="00AF2C88">
      <w:pPr>
        <w:jc w:val="center"/>
        <w:rPr>
          <w:rFonts w:ascii="Verdana" w:hAnsi="Verdana"/>
          <w:b/>
          <w:sz w:val="20"/>
        </w:rPr>
      </w:pPr>
    </w:p>
    <w:p w14:paraId="60A630F8" w14:textId="088E240D" w:rsidR="004206F3" w:rsidRPr="00CC7A4C" w:rsidRDefault="004206F3" w:rsidP="00AF2C88">
      <w:pPr>
        <w:jc w:val="center"/>
        <w:rPr>
          <w:rFonts w:ascii="Verdana" w:hAnsi="Verdana"/>
          <w:b/>
          <w:sz w:val="20"/>
        </w:rPr>
      </w:pPr>
      <w:r w:rsidRPr="00CC7A4C">
        <w:rPr>
          <w:rFonts w:ascii="Verdana" w:hAnsi="Verdana"/>
          <w:b/>
          <w:sz w:val="20"/>
        </w:rPr>
        <w:t xml:space="preserve">DE </w:t>
      </w:r>
      <w:r w:rsidR="00CB6ACA">
        <w:rPr>
          <w:rFonts w:ascii="Verdana" w:hAnsi="Verdana"/>
          <w:b/>
          <w:sz w:val="20"/>
        </w:rPr>
        <w:t>29</w:t>
      </w:r>
      <w:r w:rsidRPr="00CC7A4C">
        <w:rPr>
          <w:rFonts w:ascii="Verdana" w:hAnsi="Verdana"/>
          <w:b/>
          <w:sz w:val="20"/>
        </w:rPr>
        <w:t xml:space="preserve"> DE AGOSTO DE 2017</w:t>
      </w:r>
    </w:p>
    <w:p w14:paraId="62B17B93" w14:textId="77777777" w:rsidR="004206F3" w:rsidRPr="00CC7A4C" w:rsidRDefault="004206F3" w:rsidP="00AF2C88">
      <w:pPr>
        <w:jc w:val="center"/>
        <w:rPr>
          <w:rFonts w:ascii="Verdana" w:hAnsi="Verdana"/>
          <w:b/>
          <w:sz w:val="20"/>
        </w:rPr>
      </w:pPr>
    </w:p>
    <w:p w14:paraId="4DDE9C4E" w14:textId="2F6210BB" w:rsidR="004206F3" w:rsidRPr="00CC7A4C" w:rsidRDefault="004206F3" w:rsidP="00AF2C88">
      <w:pPr>
        <w:jc w:val="center"/>
        <w:rPr>
          <w:rFonts w:ascii="Verdana" w:hAnsi="Verdana"/>
          <w:b/>
          <w:sz w:val="20"/>
        </w:rPr>
      </w:pPr>
      <w:r w:rsidRPr="00CC7A4C">
        <w:rPr>
          <w:rFonts w:ascii="Verdana" w:hAnsi="Verdana"/>
          <w:b/>
          <w:sz w:val="20"/>
        </w:rPr>
        <w:t>CASO V</w:t>
      </w:r>
      <w:r w:rsidR="000A6202">
        <w:rPr>
          <w:rFonts w:ascii="Verdana" w:hAnsi="Verdana"/>
          <w:b/>
          <w:sz w:val="20"/>
        </w:rPr>
        <w:t>É</w:t>
      </w:r>
      <w:r w:rsidRPr="00CC7A4C">
        <w:rPr>
          <w:rFonts w:ascii="Verdana" w:hAnsi="Verdana"/>
          <w:b/>
          <w:sz w:val="20"/>
        </w:rPr>
        <w:t xml:space="preserve">LIZ FRANCO VS. GUATEMALA </w:t>
      </w:r>
    </w:p>
    <w:p w14:paraId="701F375F" w14:textId="77777777" w:rsidR="004206F3" w:rsidRPr="00CC7A4C" w:rsidRDefault="004206F3" w:rsidP="00AF2C88">
      <w:pPr>
        <w:jc w:val="center"/>
        <w:rPr>
          <w:rFonts w:ascii="Verdana" w:hAnsi="Verdana"/>
          <w:b/>
          <w:sz w:val="20"/>
        </w:rPr>
      </w:pPr>
    </w:p>
    <w:p w14:paraId="789C2BF2" w14:textId="77777777" w:rsidR="004206F3" w:rsidRDefault="004206F3" w:rsidP="00AF2C88">
      <w:pPr>
        <w:jc w:val="center"/>
        <w:rPr>
          <w:rFonts w:ascii="Verdana" w:hAnsi="Verdana"/>
          <w:b/>
          <w:sz w:val="20"/>
        </w:rPr>
      </w:pPr>
      <w:r w:rsidRPr="00CC7A4C">
        <w:rPr>
          <w:rFonts w:ascii="Verdana" w:hAnsi="Verdana"/>
          <w:b/>
          <w:sz w:val="20"/>
        </w:rPr>
        <w:t>SUPERVISIÓN DE CUMPLIMIENTO DE SENTENCIA</w:t>
      </w:r>
    </w:p>
    <w:p w14:paraId="24C26167" w14:textId="77777777" w:rsidR="00DA717A" w:rsidRDefault="00DA717A" w:rsidP="0026120F">
      <w:pPr>
        <w:rPr>
          <w:rFonts w:ascii="Verdana" w:hAnsi="Verdana"/>
          <w:b/>
          <w:sz w:val="20"/>
        </w:rPr>
      </w:pPr>
    </w:p>
    <w:p w14:paraId="501F6F07" w14:textId="60F34BBD" w:rsidR="00DA717A" w:rsidRPr="00CC7A4C" w:rsidRDefault="00DA717A" w:rsidP="0026120F">
      <w:pPr>
        <w:rPr>
          <w:rFonts w:ascii="Verdana" w:hAnsi="Verdana"/>
          <w:b/>
          <w:sz w:val="20"/>
        </w:rPr>
      </w:pPr>
      <w:r>
        <w:rPr>
          <w:rFonts w:ascii="Verdana" w:hAnsi="Verdana"/>
          <w:b/>
          <w:sz w:val="20"/>
        </w:rPr>
        <w:t>VISTO:</w:t>
      </w:r>
    </w:p>
    <w:p w14:paraId="1A4EED9C" w14:textId="77777777" w:rsidR="004206F3" w:rsidRPr="00CC7A4C" w:rsidRDefault="004206F3" w:rsidP="00AF2C88">
      <w:pPr>
        <w:jc w:val="center"/>
        <w:rPr>
          <w:rFonts w:ascii="Verdana" w:hAnsi="Verdana"/>
          <w:b/>
          <w:sz w:val="20"/>
        </w:rPr>
      </w:pPr>
    </w:p>
    <w:p w14:paraId="60FE358A" w14:textId="5FF402F8" w:rsidR="004206F3" w:rsidRPr="0026120F" w:rsidRDefault="004206F3" w:rsidP="00AF2C88">
      <w:pPr>
        <w:pStyle w:val="ListParagraph"/>
        <w:numPr>
          <w:ilvl w:val="0"/>
          <w:numId w:val="1"/>
        </w:numPr>
        <w:ind w:left="0" w:firstLine="0"/>
        <w:jc w:val="both"/>
        <w:rPr>
          <w:rFonts w:ascii="Times New Roman" w:eastAsiaTheme="minorHAnsi" w:hAnsi="Times New Roman"/>
          <w:sz w:val="20"/>
          <w:lang w:val="es-CR" w:eastAsia="es-CR"/>
        </w:rPr>
      </w:pPr>
      <w:bookmarkStart w:id="1" w:name="_Ref492475671"/>
      <w:r w:rsidRPr="00CC7A4C">
        <w:rPr>
          <w:rFonts w:ascii="Verdana" w:hAnsi="Verdana"/>
          <w:sz w:val="20"/>
        </w:rPr>
        <w:t>La Sentencia de excepciones preliminares, fondo, reparaciones y costas (en adelante “la Sentencia”) dictada por la Corte Interamericana de Derechos Humanos (en adelante “la Corte”, “la Corte Interamericana” o “este Tribunal”) el 19 de mayo de 2014</w:t>
      </w:r>
      <w:r w:rsidRPr="00CC7A4C">
        <w:rPr>
          <w:rStyle w:val="FootnoteReference"/>
          <w:rFonts w:ascii="Verdana" w:hAnsi="Verdana"/>
          <w:sz w:val="20"/>
        </w:rPr>
        <w:footnoteReference w:id="1"/>
      </w:r>
      <w:r w:rsidRPr="00CC7A4C">
        <w:rPr>
          <w:rFonts w:ascii="Verdana" w:hAnsi="Verdana"/>
          <w:sz w:val="20"/>
        </w:rPr>
        <w:t xml:space="preserve">. La Corte declaró responsable </w:t>
      </w:r>
      <w:r w:rsidRPr="00CC7A4C">
        <w:rPr>
          <w:rFonts w:ascii="Verdana" w:hAnsi="Verdana"/>
          <w:bCs/>
          <w:sz w:val="20"/>
        </w:rPr>
        <w:t>internacionalmente</w:t>
      </w:r>
      <w:r w:rsidRPr="00CC7A4C">
        <w:rPr>
          <w:rFonts w:ascii="Verdana" w:hAnsi="Verdana"/>
          <w:sz w:val="20"/>
        </w:rPr>
        <w:t xml:space="preserve"> a la República de Guatemala (en adelante “el Estado” o “Guatemala”) por incumplir con su obligación de prevenir la violencia contra la mujer debido a</w:t>
      </w:r>
      <w:r w:rsidRPr="00CC7A4C">
        <w:rPr>
          <w:rFonts w:ascii="Verdana" w:hAnsi="Verdana"/>
          <w:bCs/>
          <w:sz w:val="20"/>
        </w:rPr>
        <w:t xml:space="preserve"> la omisión estatal de realizar acciones de búsqueda de la niña María Isabel Véliz Franco después de que su madre denunció su desaparición el 17 de diciembre de 2001, hecho que se insertaba en un contexto de aumento de la violencia homicida contra las mujeres en Guatemala. Asimismo, la Corte determinó que la investigación penal, iniciada a partir del hallazgo del cadáver de la niña, fue realizada sin una perspectiva de género que permitiera determinar si el homicidio fue cometido por razones de género y si sufrió actos de violencia sexual. También consideró que los funcionarios a cargo de la investigación se basaron en estereotipos de género</w:t>
      </w:r>
      <w:r w:rsidR="00BE1244">
        <w:rPr>
          <w:rFonts w:ascii="Verdana" w:hAnsi="Verdana"/>
          <w:bCs/>
          <w:sz w:val="20"/>
        </w:rPr>
        <w:t>,</w:t>
      </w:r>
      <w:r w:rsidRPr="00CC7A4C">
        <w:rPr>
          <w:rFonts w:ascii="Verdana" w:hAnsi="Verdana"/>
          <w:bCs/>
          <w:sz w:val="20"/>
        </w:rPr>
        <w:t xml:space="preserve"> en perjuicio de la víctima</w:t>
      </w:r>
      <w:r w:rsidR="00BE1244">
        <w:rPr>
          <w:rFonts w:ascii="Verdana" w:hAnsi="Verdana"/>
          <w:bCs/>
          <w:sz w:val="20"/>
        </w:rPr>
        <w:t>,</w:t>
      </w:r>
      <w:r w:rsidRPr="00CC7A4C">
        <w:rPr>
          <w:rFonts w:ascii="Verdana" w:hAnsi="Verdana"/>
          <w:bCs/>
          <w:sz w:val="20"/>
        </w:rPr>
        <w:t xml:space="preserve"> que tuvieron una influencia negativa en la investigación, ya que trasladaron la culpa de lo acontecido a la víctima y sus familiares, cerrando posibles líneas de investigación. Además, la Corte determinó que la investigación penal no garantizó el acceso a la justicia de la madre, hermanos y abuelos de María Isabel Véliz Franco</w:t>
      </w:r>
      <w:r w:rsidRPr="00CC7A4C">
        <w:rPr>
          <w:rStyle w:val="FootnoteReference"/>
          <w:rFonts w:ascii="Verdana" w:hAnsi="Verdana"/>
          <w:bCs/>
          <w:sz w:val="20"/>
        </w:rPr>
        <w:footnoteReference w:id="2"/>
      </w:r>
      <w:r w:rsidRPr="00CC7A4C">
        <w:rPr>
          <w:rFonts w:ascii="Verdana" w:hAnsi="Verdana"/>
          <w:bCs/>
          <w:sz w:val="20"/>
        </w:rPr>
        <w:t xml:space="preserve"> y que, adicionalmente, se configuró una afectación a la integridad personal de la madre. La Corte estableció que la Sentencia constituye </w:t>
      </w:r>
      <w:r w:rsidRPr="00CC7A4C">
        <w:rPr>
          <w:rFonts w:ascii="Verdana" w:hAnsi="Verdana"/>
          <w:bCs/>
          <w:i/>
          <w:sz w:val="20"/>
        </w:rPr>
        <w:t>per se</w:t>
      </w:r>
      <w:r w:rsidRPr="00CC7A4C">
        <w:rPr>
          <w:rFonts w:ascii="Verdana" w:hAnsi="Verdana"/>
          <w:bCs/>
          <w:sz w:val="20"/>
        </w:rPr>
        <w:t xml:space="preserve"> una forma de reparación, y, además, ordenó al Estado determinadas medidas de reparación (</w:t>
      </w:r>
      <w:r w:rsidRPr="00CC7A4C">
        <w:rPr>
          <w:rFonts w:ascii="Verdana" w:hAnsi="Verdana"/>
          <w:bCs/>
          <w:i/>
          <w:sz w:val="20"/>
        </w:rPr>
        <w:t xml:space="preserve">infra </w:t>
      </w:r>
      <w:r w:rsidRPr="00CC7A4C">
        <w:rPr>
          <w:rFonts w:ascii="Verdana" w:hAnsi="Verdana"/>
          <w:bCs/>
          <w:sz w:val="20"/>
        </w:rPr>
        <w:t>Considerando</w:t>
      </w:r>
      <w:r w:rsidR="009D126B">
        <w:rPr>
          <w:rFonts w:ascii="Verdana" w:hAnsi="Verdana"/>
          <w:bCs/>
          <w:sz w:val="20"/>
        </w:rPr>
        <w:t xml:space="preserve"> </w:t>
      </w:r>
      <w:r w:rsidR="0026120F">
        <w:rPr>
          <w:rFonts w:ascii="Verdana" w:hAnsi="Verdana"/>
          <w:bCs/>
          <w:sz w:val="20"/>
        </w:rPr>
        <w:fldChar w:fldCharType="begin"/>
      </w:r>
      <w:r w:rsidR="0026120F">
        <w:rPr>
          <w:rFonts w:ascii="Verdana" w:hAnsi="Verdana"/>
          <w:bCs/>
          <w:sz w:val="20"/>
        </w:rPr>
        <w:instrText xml:space="preserve"> REF _Ref492472524 \r \h </w:instrText>
      </w:r>
      <w:r w:rsidR="0026120F">
        <w:rPr>
          <w:rFonts w:ascii="Verdana" w:hAnsi="Verdana"/>
          <w:bCs/>
          <w:sz w:val="20"/>
        </w:rPr>
      </w:r>
      <w:r w:rsidR="0026120F">
        <w:rPr>
          <w:rFonts w:ascii="Verdana" w:hAnsi="Verdana"/>
          <w:bCs/>
          <w:sz w:val="20"/>
        </w:rPr>
        <w:fldChar w:fldCharType="separate"/>
      </w:r>
      <w:r w:rsidR="00E45BC4">
        <w:rPr>
          <w:rFonts w:ascii="Verdana" w:hAnsi="Verdana"/>
          <w:bCs/>
          <w:sz w:val="20"/>
        </w:rPr>
        <w:t>1</w:t>
      </w:r>
      <w:r w:rsidR="0026120F">
        <w:rPr>
          <w:rFonts w:ascii="Verdana" w:hAnsi="Verdana"/>
          <w:bCs/>
          <w:sz w:val="20"/>
        </w:rPr>
        <w:fldChar w:fldCharType="end"/>
      </w:r>
      <w:r w:rsidR="009D126B">
        <w:rPr>
          <w:rFonts w:ascii="Verdana" w:hAnsi="Verdana"/>
          <w:bCs/>
          <w:sz w:val="20"/>
        </w:rPr>
        <w:t>)</w:t>
      </w:r>
      <w:r w:rsidRPr="00CC7A4C">
        <w:rPr>
          <w:rFonts w:ascii="Verdana" w:hAnsi="Verdana"/>
          <w:bCs/>
          <w:sz w:val="20"/>
        </w:rPr>
        <w:t>.</w:t>
      </w:r>
      <w:bookmarkEnd w:id="1"/>
    </w:p>
    <w:p w14:paraId="0125EF53" w14:textId="77777777" w:rsidR="00453FB6" w:rsidRPr="004D2F16" w:rsidRDefault="00453FB6" w:rsidP="004D2F16">
      <w:pPr>
        <w:pStyle w:val="ListParagraph"/>
        <w:ind w:left="0"/>
        <w:jc w:val="both"/>
        <w:rPr>
          <w:rFonts w:ascii="Times New Roman" w:eastAsiaTheme="minorHAnsi" w:hAnsi="Times New Roman"/>
          <w:sz w:val="20"/>
          <w:lang w:val="es-CR" w:eastAsia="es-CR"/>
        </w:rPr>
      </w:pPr>
    </w:p>
    <w:p w14:paraId="6C227F58" w14:textId="48D04083" w:rsidR="00453FB6" w:rsidRPr="00CC7A4C" w:rsidRDefault="00453FB6" w:rsidP="00AF2C88">
      <w:pPr>
        <w:pStyle w:val="ListParagraph"/>
        <w:numPr>
          <w:ilvl w:val="0"/>
          <w:numId w:val="1"/>
        </w:numPr>
        <w:ind w:left="0" w:firstLine="0"/>
        <w:jc w:val="both"/>
        <w:rPr>
          <w:rFonts w:ascii="Times New Roman" w:eastAsiaTheme="minorHAnsi" w:hAnsi="Times New Roman"/>
          <w:sz w:val="20"/>
          <w:lang w:val="es-CR" w:eastAsia="es-CR"/>
        </w:rPr>
      </w:pPr>
      <w:r>
        <w:rPr>
          <w:rFonts w:ascii="Verdana" w:hAnsi="Verdana"/>
          <w:bCs/>
          <w:sz w:val="20"/>
        </w:rPr>
        <w:t>La Resolución de supervisión de cumplimiento de sentencia emitida por la Corte Interamericana el 3 de mayo de 2016</w:t>
      </w:r>
      <w:r>
        <w:rPr>
          <w:rStyle w:val="FootnoteReference"/>
          <w:rFonts w:ascii="Verdana" w:hAnsi="Verdana"/>
          <w:bCs/>
          <w:sz w:val="20"/>
        </w:rPr>
        <w:footnoteReference w:id="3"/>
      </w:r>
      <w:r>
        <w:rPr>
          <w:rFonts w:ascii="Verdana" w:hAnsi="Verdana"/>
          <w:bCs/>
          <w:sz w:val="20"/>
        </w:rPr>
        <w:t>.</w:t>
      </w:r>
    </w:p>
    <w:p w14:paraId="1358CDFF" w14:textId="77777777" w:rsidR="007819B3" w:rsidRPr="00CC7A4C" w:rsidRDefault="007819B3" w:rsidP="00AF2C88">
      <w:pPr>
        <w:rPr>
          <w:sz w:val="20"/>
          <w:lang w:val="es-CR"/>
        </w:rPr>
      </w:pPr>
    </w:p>
    <w:p w14:paraId="50E36177" w14:textId="77922FDD" w:rsidR="004206F3" w:rsidRPr="00CC7A4C" w:rsidRDefault="004206F3" w:rsidP="00854BD7">
      <w:pPr>
        <w:pStyle w:val="ListParagraph"/>
        <w:numPr>
          <w:ilvl w:val="0"/>
          <w:numId w:val="1"/>
        </w:numPr>
        <w:ind w:left="0" w:firstLine="0"/>
        <w:jc w:val="both"/>
        <w:rPr>
          <w:sz w:val="20"/>
          <w:lang w:val="es-CR"/>
        </w:rPr>
      </w:pPr>
      <w:r w:rsidRPr="00CC7A4C">
        <w:rPr>
          <w:rFonts w:ascii="Verdana" w:hAnsi="Verdana" w:cs="Vani"/>
          <w:sz w:val="20"/>
          <w:lang w:val="es-CR"/>
        </w:rPr>
        <w:t>Los</w:t>
      </w:r>
      <w:r w:rsidR="009D126B">
        <w:rPr>
          <w:rFonts w:ascii="Verdana" w:hAnsi="Verdana" w:cs="Vani"/>
          <w:sz w:val="20"/>
          <w:lang w:val="es-CR"/>
        </w:rPr>
        <w:t xml:space="preserve"> </w:t>
      </w:r>
      <w:r w:rsidR="002C7456">
        <w:rPr>
          <w:rFonts w:ascii="Verdana" w:hAnsi="Verdana" w:cs="Vani"/>
          <w:sz w:val="20"/>
          <w:lang w:val="es-CR"/>
        </w:rPr>
        <w:t xml:space="preserve">tres </w:t>
      </w:r>
      <w:r w:rsidR="009D126B">
        <w:rPr>
          <w:rFonts w:ascii="Verdana" w:hAnsi="Verdana" w:cs="Vani"/>
          <w:sz w:val="20"/>
          <w:lang w:val="es-CR"/>
        </w:rPr>
        <w:t xml:space="preserve">informes presentados por el Estado </w:t>
      </w:r>
      <w:r w:rsidR="00161929">
        <w:rPr>
          <w:rFonts w:ascii="Verdana" w:hAnsi="Verdana" w:cs="Vani"/>
          <w:sz w:val="20"/>
          <w:lang w:val="es-CR"/>
        </w:rPr>
        <w:t>e</w:t>
      </w:r>
      <w:r w:rsidR="002C7456">
        <w:rPr>
          <w:rFonts w:ascii="Verdana" w:hAnsi="Verdana" w:cs="Vani"/>
          <w:sz w:val="20"/>
          <w:lang w:val="es-CR"/>
        </w:rPr>
        <w:t>ntre</w:t>
      </w:r>
      <w:r w:rsidRPr="00CC7A4C">
        <w:rPr>
          <w:rFonts w:ascii="Verdana" w:hAnsi="Verdana" w:cs="Vani"/>
          <w:sz w:val="20"/>
          <w:lang w:val="es-CR"/>
        </w:rPr>
        <w:t xml:space="preserve"> julio </w:t>
      </w:r>
      <w:r w:rsidR="009D126B">
        <w:rPr>
          <w:rFonts w:ascii="Verdana" w:hAnsi="Verdana" w:cs="Vani"/>
          <w:sz w:val="20"/>
          <w:lang w:val="es-CR"/>
        </w:rPr>
        <w:t xml:space="preserve">de 2016 y </w:t>
      </w:r>
      <w:r w:rsidRPr="00CC7A4C">
        <w:rPr>
          <w:rFonts w:ascii="Verdana" w:hAnsi="Verdana" w:cs="Vani"/>
          <w:sz w:val="20"/>
          <w:lang w:val="es-CR"/>
        </w:rPr>
        <w:t>marzo de 2017</w:t>
      </w:r>
      <w:r w:rsidR="002C7456">
        <w:rPr>
          <w:rStyle w:val="FootnoteReference"/>
          <w:rFonts w:ascii="Verdana" w:hAnsi="Verdana" w:cs="Vani"/>
          <w:sz w:val="20"/>
          <w:lang w:val="es-CR"/>
        </w:rPr>
        <w:footnoteReference w:id="4"/>
      </w:r>
      <w:r w:rsidR="004D2F16">
        <w:rPr>
          <w:rFonts w:ascii="Verdana" w:hAnsi="Verdana" w:cs="Vani"/>
          <w:sz w:val="20"/>
          <w:lang w:val="es-CR"/>
        </w:rPr>
        <w:t>.</w:t>
      </w:r>
      <w:r w:rsidRPr="00CC7A4C">
        <w:rPr>
          <w:rFonts w:ascii="Verdana" w:hAnsi="Verdana" w:cs="Vani"/>
          <w:sz w:val="20"/>
          <w:lang w:val="es-CR"/>
        </w:rPr>
        <w:t xml:space="preserve"> </w:t>
      </w:r>
    </w:p>
    <w:p w14:paraId="3E1EE40D" w14:textId="77777777" w:rsidR="004A3367" w:rsidRPr="00CC7A4C" w:rsidRDefault="004A3367" w:rsidP="00AF2C88">
      <w:pPr>
        <w:pStyle w:val="ListParagraph"/>
        <w:rPr>
          <w:rFonts w:ascii="Verdana" w:hAnsi="Verdana"/>
          <w:sz w:val="20"/>
          <w:lang w:val="es-CR"/>
        </w:rPr>
      </w:pPr>
    </w:p>
    <w:p w14:paraId="421FAE0D" w14:textId="0070077F" w:rsidR="00032112" w:rsidRPr="00CC7A4C" w:rsidRDefault="00625521" w:rsidP="00AF2C88">
      <w:pPr>
        <w:pStyle w:val="ListParagraph"/>
        <w:numPr>
          <w:ilvl w:val="0"/>
          <w:numId w:val="1"/>
        </w:numPr>
        <w:ind w:left="0" w:firstLine="0"/>
        <w:jc w:val="both"/>
        <w:rPr>
          <w:rFonts w:ascii="Verdana" w:hAnsi="Verdana"/>
          <w:sz w:val="20"/>
          <w:lang w:val="es-CR"/>
        </w:rPr>
      </w:pPr>
      <w:r>
        <w:rPr>
          <w:rFonts w:ascii="Verdana" w:hAnsi="Verdana"/>
          <w:sz w:val="20"/>
          <w:lang w:val="es-CR"/>
        </w:rPr>
        <w:t>Los</w:t>
      </w:r>
      <w:r w:rsidR="004A3367" w:rsidRPr="00CC7A4C">
        <w:rPr>
          <w:rFonts w:ascii="Verdana" w:hAnsi="Verdana"/>
          <w:sz w:val="20"/>
          <w:lang w:val="es-CR"/>
        </w:rPr>
        <w:t xml:space="preserve"> </w:t>
      </w:r>
      <w:r>
        <w:rPr>
          <w:rFonts w:ascii="Verdana" w:hAnsi="Verdana"/>
          <w:sz w:val="20"/>
          <w:lang w:val="es-CR"/>
        </w:rPr>
        <w:t xml:space="preserve">tres </w:t>
      </w:r>
      <w:r w:rsidR="004A3367" w:rsidRPr="00CC7A4C">
        <w:rPr>
          <w:rFonts w:ascii="Verdana" w:hAnsi="Verdana"/>
          <w:sz w:val="20"/>
          <w:lang w:val="es-CR"/>
        </w:rPr>
        <w:t>escrito</w:t>
      </w:r>
      <w:r>
        <w:rPr>
          <w:rFonts w:ascii="Verdana" w:hAnsi="Verdana"/>
          <w:sz w:val="20"/>
          <w:lang w:val="es-CR"/>
        </w:rPr>
        <w:t>s</w:t>
      </w:r>
      <w:r w:rsidR="004A3367" w:rsidRPr="00CC7A4C">
        <w:rPr>
          <w:rFonts w:ascii="Verdana" w:hAnsi="Verdana"/>
          <w:sz w:val="20"/>
          <w:lang w:val="es-CR"/>
        </w:rPr>
        <w:t xml:space="preserve"> de observaciones </w:t>
      </w:r>
      <w:r w:rsidR="00A73977">
        <w:rPr>
          <w:rFonts w:ascii="Verdana" w:hAnsi="Verdana"/>
          <w:sz w:val="20"/>
          <w:lang w:val="es-CR"/>
        </w:rPr>
        <w:t xml:space="preserve">al informe estatal </w:t>
      </w:r>
      <w:r w:rsidR="009D126B">
        <w:rPr>
          <w:rFonts w:ascii="Verdana" w:hAnsi="Verdana"/>
          <w:sz w:val="20"/>
          <w:lang w:val="es-CR"/>
        </w:rPr>
        <w:t>presentado</w:t>
      </w:r>
      <w:r>
        <w:rPr>
          <w:rFonts w:ascii="Verdana" w:hAnsi="Verdana"/>
          <w:sz w:val="20"/>
          <w:lang w:val="es-CR"/>
        </w:rPr>
        <w:t>s</w:t>
      </w:r>
      <w:r w:rsidR="004A3367" w:rsidRPr="00CC7A4C">
        <w:rPr>
          <w:rFonts w:ascii="Verdana" w:hAnsi="Verdana"/>
          <w:sz w:val="20"/>
          <w:lang w:val="es-CR"/>
        </w:rPr>
        <w:t xml:space="preserve"> por l</w:t>
      </w:r>
      <w:r w:rsidR="00D12044">
        <w:rPr>
          <w:rFonts w:ascii="Verdana" w:hAnsi="Verdana"/>
          <w:sz w:val="20"/>
          <w:lang w:val="es-CR"/>
        </w:rPr>
        <w:t>a</w:t>
      </w:r>
      <w:r w:rsidR="004A3367" w:rsidRPr="00CC7A4C">
        <w:rPr>
          <w:rFonts w:ascii="Verdana" w:hAnsi="Verdana"/>
          <w:sz w:val="20"/>
          <w:lang w:val="es-CR"/>
        </w:rPr>
        <w:t xml:space="preserve"> representante de la</w:t>
      </w:r>
      <w:r w:rsidR="00D12044">
        <w:rPr>
          <w:rFonts w:ascii="Verdana" w:hAnsi="Verdana"/>
          <w:sz w:val="20"/>
          <w:lang w:val="es-CR"/>
        </w:rPr>
        <w:t>s</w:t>
      </w:r>
      <w:r w:rsidR="004A3367" w:rsidRPr="00CC7A4C">
        <w:rPr>
          <w:rFonts w:ascii="Verdana" w:hAnsi="Verdana"/>
          <w:sz w:val="20"/>
          <w:lang w:val="es-CR"/>
        </w:rPr>
        <w:t xml:space="preserve"> víctima</w:t>
      </w:r>
      <w:r w:rsidR="00D12044">
        <w:rPr>
          <w:rFonts w:ascii="Verdana" w:hAnsi="Verdana"/>
          <w:sz w:val="20"/>
          <w:lang w:val="es-CR"/>
        </w:rPr>
        <w:t>s</w:t>
      </w:r>
      <w:r w:rsidR="004A3367" w:rsidRPr="00CC7A4C">
        <w:rPr>
          <w:rStyle w:val="FootnoteReference"/>
          <w:rFonts w:ascii="Verdana" w:hAnsi="Verdana"/>
          <w:sz w:val="20"/>
          <w:lang w:val="es-CR"/>
        </w:rPr>
        <w:footnoteReference w:id="5"/>
      </w:r>
      <w:r w:rsidR="004A3367" w:rsidRPr="00CC7A4C">
        <w:rPr>
          <w:rFonts w:ascii="Verdana" w:hAnsi="Verdana"/>
          <w:sz w:val="20"/>
          <w:lang w:val="es-CR"/>
        </w:rPr>
        <w:t xml:space="preserve"> </w:t>
      </w:r>
      <w:r w:rsidR="00B13E8F">
        <w:rPr>
          <w:rFonts w:ascii="Verdana" w:hAnsi="Verdana"/>
          <w:sz w:val="20"/>
          <w:lang w:val="es-CR"/>
        </w:rPr>
        <w:t>e</w:t>
      </w:r>
      <w:r>
        <w:rPr>
          <w:rFonts w:ascii="Verdana" w:hAnsi="Verdana"/>
          <w:sz w:val="20"/>
          <w:lang w:val="es-CR"/>
        </w:rPr>
        <w:t>ntre</w:t>
      </w:r>
      <w:r w:rsidR="004A3367" w:rsidRPr="00CC7A4C">
        <w:rPr>
          <w:rFonts w:ascii="Verdana" w:hAnsi="Verdana"/>
          <w:sz w:val="20"/>
          <w:lang w:val="es-CR"/>
        </w:rPr>
        <w:t xml:space="preserve"> septiembre </w:t>
      </w:r>
      <w:r w:rsidR="00032112" w:rsidRPr="00CC7A4C">
        <w:rPr>
          <w:rFonts w:ascii="Verdana" w:hAnsi="Verdana"/>
          <w:sz w:val="20"/>
          <w:lang w:val="es-CR"/>
        </w:rPr>
        <w:t>de 2016</w:t>
      </w:r>
      <w:r>
        <w:rPr>
          <w:rFonts w:ascii="Verdana" w:hAnsi="Verdana"/>
          <w:sz w:val="20"/>
          <w:lang w:val="es-CR"/>
        </w:rPr>
        <w:t xml:space="preserve"> y abril de 2017</w:t>
      </w:r>
      <w:r>
        <w:rPr>
          <w:rStyle w:val="FootnoteReference"/>
          <w:rFonts w:ascii="Verdana" w:hAnsi="Verdana"/>
          <w:sz w:val="20"/>
          <w:lang w:val="es-CR"/>
        </w:rPr>
        <w:footnoteReference w:id="6"/>
      </w:r>
      <w:r w:rsidR="00032112" w:rsidRPr="00CC7A4C">
        <w:rPr>
          <w:rFonts w:ascii="Verdana" w:hAnsi="Verdana"/>
          <w:sz w:val="20"/>
          <w:lang w:val="es-CR"/>
        </w:rPr>
        <w:t>.</w:t>
      </w:r>
      <w:r w:rsidR="00773443">
        <w:rPr>
          <w:rFonts w:ascii="Verdana" w:hAnsi="Verdana"/>
          <w:sz w:val="20"/>
          <w:lang w:val="es-CR"/>
        </w:rPr>
        <w:t xml:space="preserve"> </w:t>
      </w:r>
    </w:p>
    <w:p w14:paraId="5464EEB4" w14:textId="77777777" w:rsidR="004A3367" w:rsidRPr="00CC7A4C" w:rsidRDefault="004A3367" w:rsidP="00AF2C88">
      <w:pPr>
        <w:pStyle w:val="ListParagraph"/>
        <w:rPr>
          <w:rFonts w:ascii="Verdana" w:hAnsi="Verdana"/>
          <w:sz w:val="20"/>
          <w:lang w:val="es-CR"/>
        </w:rPr>
      </w:pPr>
    </w:p>
    <w:p w14:paraId="3F266242" w14:textId="749B6944" w:rsidR="004A3367" w:rsidRPr="00CC7A4C" w:rsidRDefault="009D126B" w:rsidP="00AF2C88">
      <w:pPr>
        <w:pStyle w:val="ListParagraph"/>
        <w:numPr>
          <w:ilvl w:val="0"/>
          <w:numId w:val="1"/>
        </w:numPr>
        <w:ind w:left="0" w:firstLine="0"/>
        <w:jc w:val="both"/>
        <w:rPr>
          <w:rFonts w:ascii="Verdana" w:hAnsi="Verdana"/>
          <w:sz w:val="20"/>
          <w:lang w:val="es-CR"/>
        </w:rPr>
      </w:pPr>
      <w:r>
        <w:rPr>
          <w:rFonts w:ascii="Verdana" w:hAnsi="Verdana"/>
          <w:sz w:val="20"/>
          <w:lang w:val="es-CR"/>
        </w:rPr>
        <w:t>El escrito</w:t>
      </w:r>
      <w:r w:rsidR="00032112" w:rsidRPr="00CC7A4C">
        <w:rPr>
          <w:rFonts w:ascii="Verdana" w:hAnsi="Verdana"/>
          <w:sz w:val="20"/>
          <w:lang w:val="es-CR"/>
        </w:rPr>
        <w:t xml:space="preserve"> de observaciones presentado por la Comisión Interamericana de Derechos Humanos (en adelante, “la Comisión Interamericana” o “la Comisión”) e</w:t>
      </w:r>
      <w:r w:rsidR="00625521">
        <w:rPr>
          <w:rFonts w:ascii="Verdana" w:hAnsi="Verdana"/>
          <w:sz w:val="20"/>
          <w:lang w:val="es-CR"/>
        </w:rPr>
        <w:t>l 28 de</w:t>
      </w:r>
      <w:r w:rsidR="004A3367" w:rsidRPr="00CC7A4C">
        <w:rPr>
          <w:rFonts w:ascii="Verdana" w:hAnsi="Verdana"/>
          <w:sz w:val="20"/>
          <w:lang w:val="es-CR"/>
        </w:rPr>
        <w:t xml:space="preserve"> octubre de 2016</w:t>
      </w:r>
      <w:r w:rsidR="002312DF">
        <w:rPr>
          <w:rFonts w:ascii="Verdana" w:hAnsi="Verdana"/>
          <w:sz w:val="20"/>
          <w:lang w:val="es-CR"/>
        </w:rPr>
        <w:t>.</w:t>
      </w:r>
      <w:r w:rsidR="004A3367" w:rsidRPr="00CC7A4C">
        <w:rPr>
          <w:rFonts w:ascii="Verdana" w:hAnsi="Verdana"/>
          <w:sz w:val="20"/>
          <w:lang w:val="es-CR"/>
        </w:rPr>
        <w:t xml:space="preserve"> </w:t>
      </w:r>
    </w:p>
    <w:p w14:paraId="58D7C2AE" w14:textId="77777777" w:rsidR="00854BD7" w:rsidRPr="003002CC" w:rsidRDefault="00854BD7" w:rsidP="003002CC">
      <w:pPr>
        <w:rPr>
          <w:rFonts w:ascii="Verdana" w:hAnsi="Verdana"/>
          <w:sz w:val="20"/>
          <w:lang w:val="es-CR"/>
        </w:rPr>
      </w:pPr>
    </w:p>
    <w:p w14:paraId="68546579" w14:textId="77777777" w:rsidR="00174751" w:rsidRPr="00CC7A4C" w:rsidRDefault="00174751" w:rsidP="00AF2C88">
      <w:pPr>
        <w:jc w:val="both"/>
        <w:rPr>
          <w:rFonts w:ascii="Verdana" w:hAnsi="Verdana"/>
          <w:b/>
          <w:sz w:val="20"/>
          <w:lang w:val="es-CR"/>
        </w:rPr>
      </w:pPr>
      <w:r w:rsidRPr="00CC7A4C">
        <w:rPr>
          <w:rFonts w:ascii="Verdana" w:hAnsi="Verdana"/>
          <w:b/>
          <w:sz w:val="20"/>
          <w:lang w:val="es-CR"/>
        </w:rPr>
        <w:t xml:space="preserve">CONSIDERANDO QUE: </w:t>
      </w:r>
    </w:p>
    <w:p w14:paraId="281A5F61" w14:textId="77777777" w:rsidR="00854BD7" w:rsidRPr="00CC7A4C" w:rsidRDefault="00854BD7" w:rsidP="00AF2C88">
      <w:pPr>
        <w:jc w:val="both"/>
        <w:rPr>
          <w:rFonts w:ascii="Verdana" w:hAnsi="Verdana"/>
          <w:sz w:val="20"/>
          <w:lang w:val="es-CR"/>
        </w:rPr>
      </w:pPr>
    </w:p>
    <w:p w14:paraId="6C9156AA" w14:textId="076910E0" w:rsidR="002A1990" w:rsidRPr="000A4456" w:rsidRDefault="00174751" w:rsidP="00F612B2">
      <w:pPr>
        <w:pStyle w:val="ListParagraph"/>
        <w:numPr>
          <w:ilvl w:val="0"/>
          <w:numId w:val="3"/>
        </w:numPr>
        <w:ind w:left="0" w:firstLine="0"/>
        <w:jc w:val="both"/>
        <w:rPr>
          <w:rFonts w:ascii="Verdana" w:hAnsi="Verdana"/>
          <w:sz w:val="20"/>
        </w:rPr>
      </w:pPr>
      <w:bookmarkStart w:id="2" w:name="_Ref492472524"/>
      <w:r w:rsidRPr="00CC7A4C">
        <w:rPr>
          <w:rFonts w:ascii="Verdana" w:hAnsi="Verdana"/>
          <w:sz w:val="20"/>
          <w:lang w:val="es-CR"/>
        </w:rPr>
        <w:t>En el ejercicio de su función jurisdiccional de supervisar el cumplimiento de sus decisiones</w:t>
      </w:r>
      <w:r w:rsidRPr="00F612B2">
        <w:rPr>
          <w:rFonts w:ascii="Verdana" w:hAnsi="Verdana"/>
          <w:sz w:val="20"/>
          <w:vertAlign w:val="superscript"/>
          <w:lang w:val="es-CR"/>
        </w:rPr>
        <w:footnoteReference w:id="7"/>
      </w:r>
      <w:r w:rsidRPr="00CC7A4C">
        <w:rPr>
          <w:rFonts w:ascii="Verdana" w:hAnsi="Verdana"/>
          <w:sz w:val="20"/>
          <w:lang w:val="es-CR"/>
        </w:rPr>
        <w:t xml:space="preserve">, la Corte ha venido supervisando la ejecución de la Sentencia emitida en el presente caso </w:t>
      </w:r>
      <w:r w:rsidR="00DB3DEE">
        <w:rPr>
          <w:rFonts w:ascii="Verdana" w:hAnsi="Verdana"/>
          <w:sz w:val="20"/>
          <w:lang w:val="es-CR"/>
        </w:rPr>
        <w:t xml:space="preserve">en </w:t>
      </w:r>
      <w:r w:rsidR="00625521">
        <w:rPr>
          <w:rFonts w:ascii="Verdana" w:hAnsi="Verdana"/>
          <w:sz w:val="20"/>
          <w:lang w:val="es-CR"/>
        </w:rPr>
        <w:t>mayo</w:t>
      </w:r>
      <w:r w:rsidR="00DB3DEE">
        <w:rPr>
          <w:rFonts w:ascii="Verdana" w:hAnsi="Verdana"/>
          <w:sz w:val="20"/>
          <w:lang w:val="es-CR"/>
        </w:rPr>
        <w:t xml:space="preserve"> 2014 </w:t>
      </w:r>
      <w:r w:rsidRPr="00CC7A4C">
        <w:rPr>
          <w:rFonts w:ascii="Verdana" w:hAnsi="Verdana"/>
          <w:sz w:val="20"/>
          <w:lang w:val="es-CR"/>
        </w:rPr>
        <w:t>(</w:t>
      </w:r>
      <w:r w:rsidRPr="00CC7A4C">
        <w:rPr>
          <w:rFonts w:ascii="Verdana" w:hAnsi="Verdana"/>
          <w:i/>
          <w:sz w:val="20"/>
          <w:lang w:val="es-CR"/>
        </w:rPr>
        <w:t xml:space="preserve">supra </w:t>
      </w:r>
      <w:r w:rsidRPr="00CC7A4C">
        <w:rPr>
          <w:rFonts w:ascii="Verdana" w:hAnsi="Verdana"/>
          <w:sz w:val="20"/>
          <w:lang w:val="es-CR"/>
        </w:rPr>
        <w:t xml:space="preserve">Visto </w:t>
      </w:r>
      <w:r w:rsidR="00CB10FA">
        <w:rPr>
          <w:rFonts w:ascii="Verdana" w:hAnsi="Verdana"/>
          <w:sz w:val="20"/>
          <w:lang w:val="es-CR"/>
        </w:rPr>
        <w:fldChar w:fldCharType="begin"/>
      </w:r>
      <w:r w:rsidR="00CB10FA">
        <w:rPr>
          <w:rFonts w:ascii="Verdana" w:hAnsi="Verdana"/>
          <w:sz w:val="20"/>
          <w:lang w:val="es-CR"/>
        </w:rPr>
        <w:instrText xml:space="preserve"> REF _Ref492475671 \r \h </w:instrText>
      </w:r>
      <w:r w:rsidR="00CB10FA">
        <w:rPr>
          <w:rFonts w:ascii="Verdana" w:hAnsi="Verdana"/>
          <w:sz w:val="20"/>
          <w:lang w:val="es-CR"/>
        </w:rPr>
      </w:r>
      <w:r w:rsidR="00CB10FA">
        <w:rPr>
          <w:rFonts w:ascii="Verdana" w:hAnsi="Verdana"/>
          <w:sz w:val="20"/>
          <w:lang w:val="es-CR"/>
        </w:rPr>
        <w:fldChar w:fldCharType="separate"/>
      </w:r>
      <w:r w:rsidR="00E45BC4">
        <w:rPr>
          <w:rFonts w:ascii="Verdana" w:hAnsi="Verdana"/>
          <w:sz w:val="20"/>
          <w:lang w:val="es-CR"/>
        </w:rPr>
        <w:t>1</w:t>
      </w:r>
      <w:r w:rsidR="00CB10FA">
        <w:rPr>
          <w:rFonts w:ascii="Verdana" w:hAnsi="Verdana"/>
          <w:sz w:val="20"/>
          <w:lang w:val="es-CR"/>
        </w:rPr>
        <w:fldChar w:fldCharType="end"/>
      </w:r>
      <w:r w:rsidRPr="00CC7A4C">
        <w:rPr>
          <w:rFonts w:ascii="Verdana" w:hAnsi="Verdana"/>
          <w:sz w:val="20"/>
          <w:lang w:val="es-CR"/>
        </w:rPr>
        <w:t xml:space="preserve">). </w:t>
      </w:r>
      <w:r w:rsidR="002A1990">
        <w:rPr>
          <w:rFonts w:ascii="Verdana" w:hAnsi="Verdana"/>
          <w:sz w:val="20"/>
          <w:lang w:val="es-CR"/>
        </w:rPr>
        <w:t xml:space="preserve">El Tribunal emitió una resolución de supervisión de cumplimiento en mayo de 2016, en la cual declaró que Guatemala dio cumplimiento total a </w:t>
      </w:r>
      <w:r w:rsidR="00B1025A">
        <w:rPr>
          <w:rFonts w:ascii="Verdana" w:hAnsi="Verdana"/>
          <w:sz w:val="20"/>
          <w:lang w:val="es-CR"/>
        </w:rPr>
        <w:t>una</w:t>
      </w:r>
      <w:r w:rsidR="002A1990">
        <w:rPr>
          <w:rFonts w:ascii="Verdana" w:hAnsi="Verdana"/>
          <w:sz w:val="20"/>
          <w:lang w:val="es-CR"/>
        </w:rPr>
        <w:t xml:space="preserve"> medida de reparación</w:t>
      </w:r>
      <w:r w:rsidR="00B1025A">
        <w:rPr>
          <w:rStyle w:val="FootnoteReference"/>
          <w:rFonts w:ascii="Verdana" w:hAnsi="Verdana"/>
          <w:sz w:val="20"/>
          <w:lang w:val="es-CR"/>
        </w:rPr>
        <w:footnoteReference w:id="8"/>
      </w:r>
      <w:r w:rsidR="00B1025A">
        <w:rPr>
          <w:rFonts w:ascii="Verdana" w:hAnsi="Verdana"/>
          <w:sz w:val="20"/>
          <w:lang w:val="es-CR"/>
        </w:rPr>
        <w:t xml:space="preserve"> y cumplimiento parcial a otra medida</w:t>
      </w:r>
      <w:r w:rsidR="002A1990">
        <w:rPr>
          <w:rStyle w:val="FootnoteReference"/>
          <w:rFonts w:ascii="Verdana" w:hAnsi="Verdana"/>
          <w:sz w:val="20"/>
          <w:lang w:val="es-CR"/>
        </w:rPr>
        <w:footnoteReference w:id="9"/>
      </w:r>
      <w:r w:rsidR="002A1990">
        <w:rPr>
          <w:rFonts w:ascii="Verdana" w:hAnsi="Verdana"/>
          <w:sz w:val="20"/>
          <w:lang w:val="es-CR"/>
        </w:rPr>
        <w:t xml:space="preserve">, quedando pendientes de cumplimiento </w:t>
      </w:r>
      <w:r w:rsidR="000A6202">
        <w:rPr>
          <w:rFonts w:ascii="Verdana" w:hAnsi="Verdana"/>
          <w:sz w:val="20"/>
          <w:lang w:val="es-CR"/>
        </w:rPr>
        <w:t>ocho</w:t>
      </w:r>
      <w:r w:rsidR="002A1990">
        <w:rPr>
          <w:rFonts w:ascii="Verdana" w:hAnsi="Verdana"/>
          <w:sz w:val="20"/>
          <w:lang w:val="es-CR"/>
        </w:rPr>
        <w:t xml:space="preserve"> medidas</w:t>
      </w:r>
      <w:r w:rsidR="002A1990">
        <w:rPr>
          <w:rStyle w:val="FootnoteReference"/>
          <w:rFonts w:ascii="Verdana" w:hAnsi="Verdana"/>
          <w:sz w:val="20"/>
          <w:lang w:val="es-CR"/>
        </w:rPr>
        <w:footnoteReference w:id="10"/>
      </w:r>
      <w:r w:rsidR="002A1990">
        <w:rPr>
          <w:rFonts w:ascii="Verdana" w:hAnsi="Verdana"/>
          <w:sz w:val="20"/>
          <w:lang w:val="es-CR"/>
        </w:rPr>
        <w:t>.</w:t>
      </w:r>
      <w:bookmarkEnd w:id="2"/>
      <w:r w:rsidR="002A1990">
        <w:rPr>
          <w:rFonts w:ascii="Verdana" w:hAnsi="Verdana"/>
          <w:sz w:val="20"/>
          <w:lang w:val="es-CR"/>
        </w:rPr>
        <w:t xml:space="preserve"> </w:t>
      </w:r>
    </w:p>
    <w:p w14:paraId="6046A65C" w14:textId="77777777" w:rsidR="002A1990" w:rsidRPr="000A4456" w:rsidRDefault="002A1990" w:rsidP="000A4456">
      <w:pPr>
        <w:pStyle w:val="ListParagraph"/>
        <w:ind w:left="0"/>
        <w:jc w:val="both"/>
        <w:rPr>
          <w:rFonts w:ascii="Verdana" w:hAnsi="Verdana"/>
          <w:sz w:val="20"/>
        </w:rPr>
      </w:pPr>
    </w:p>
    <w:p w14:paraId="16C9D299" w14:textId="1EB6A78E" w:rsidR="00174751" w:rsidRPr="00F612B2" w:rsidRDefault="00174751" w:rsidP="00F612B2">
      <w:pPr>
        <w:pStyle w:val="ListParagraph"/>
        <w:numPr>
          <w:ilvl w:val="0"/>
          <w:numId w:val="3"/>
        </w:numPr>
        <w:ind w:left="0" w:firstLine="0"/>
        <w:jc w:val="both"/>
        <w:rPr>
          <w:rFonts w:ascii="Verdana" w:hAnsi="Verdana"/>
          <w:sz w:val="20"/>
        </w:rPr>
      </w:pPr>
      <w:r w:rsidRPr="00CC7A4C">
        <w:rPr>
          <w:rFonts w:ascii="Verdana" w:hAnsi="Verdana"/>
          <w:sz w:val="20"/>
          <w:lang w:val="es-CR"/>
        </w:rPr>
        <w:t xml:space="preserve">De conformidad con lo establecido en el artículo 68.1 de la Convención Americana, “[l]os Estados Partes en la Convención se comprometen a cumplir la decisión de la Corte en todo caso en que sean partes”. </w:t>
      </w:r>
      <w:r w:rsidR="00F612B2">
        <w:rPr>
          <w:rFonts w:ascii="Verdana" w:hAnsi="Verdana"/>
          <w:sz w:val="20"/>
        </w:rPr>
        <w:t xml:space="preserve">Esta obligación incluye el deber del </w:t>
      </w:r>
      <w:r w:rsidR="00F612B2" w:rsidRPr="00F612B2">
        <w:rPr>
          <w:rFonts w:ascii="Verdana" w:hAnsi="Verdana"/>
          <w:sz w:val="20"/>
          <w:lang w:val="es-CR"/>
        </w:rPr>
        <w:t>Estado</w:t>
      </w:r>
      <w:r w:rsidR="00F612B2">
        <w:rPr>
          <w:rFonts w:ascii="Verdana" w:hAnsi="Verdana"/>
          <w:sz w:val="20"/>
        </w:rPr>
        <w:t xml:space="preserve"> de informar a la Corte sobre las medidas adoptadas para cumplir cada uno de los puntos ordenados por ésta, lo cual es fundamental para evaluar el estado de cumplimiento de la Sentencia en su conjunto</w:t>
      </w:r>
      <w:r w:rsidR="00F612B2">
        <w:rPr>
          <w:rStyle w:val="FootnoteReference"/>
          <w:rFonts w:ascii="Verdana" w:hAnsi="Verdana"/>
          <w:sz w:val="20"/>
        </w:rPr>
        <w:footnoteReference w:id="11"/>
      </w:r>
      <w:r w:rsidR="00F612B2">
        <w:rPr>
          <w:rFonts w:ascii="Verdana" w:hAnsi="Verdana"/>
          <w:sz w:val="20"/>
        </w:rPr>
        <w:t xml:space="preserve">. Los Estados Parte en la Convención deben garantizar el cumplimiento de las disposiciones convencionales y sus efectos propios </w:t>
      </w:r>
      <w:r w:rsidR="00F612B2">
        <w:rPr>
          <w:rFonts w:ascii="Verdana" w:hAnsi="Verdana"/>
          <w:i/>
          <w:sz w:val="20"/>
        </w:rPr>
        <w:t xml:space="preserve">(effet utile) </w:t>
      </w:r>
      <w:r w:rsidR="00F612B2">
        <w:rPr>
          <w:rFonts w:ascii="Verdana" w:hAnsi="Verdana"/>
          <w:sz w:val="20"/>
        </w:rPr>
        <w:t xml:space="preserve">en el plano de sus respectivos derechos internos. Estas obligaciones deben ser interpretadas y aplicadas de </w:t>
      </w:r>
      <w:r w:rsidR="00F612B2">
        <w:rPr>
          <w:rFonts w:ascii="Verdana" w:hAnsi="Verdana"/>
          <w:sz w:val="20"/>
        </w:rPr>
        <w:lastRenderedPageBreak/>
        <w:t>manera que la garantía protegida sea verdaderamente práctica y eficaz, teniendo presente la naturaleza especial de los tratados de derechos humanos</w:t>
      </w:r>
      <w:r w:rsidR="00F612B2">
        <w:rPr>
          <w:rStyle w:val="FootnoteReference"/>
          <w:rFonts w:ascii="Verdana" w:hAnsi="Verdana"/>
          <w:sz w:val="20"/>
        </w:rPr>
        <w:footnoteReference w:id="12"/>
      </w:r>
      <w:r w:rsidR="00F612B2">
        <w:rPr>
          <w:rFonts w:ascii="Verdana" w:hAnsi="Verdana"/>
          <w:sz w:val="20"/>
        </w:rPr>
        <w:t>.</w:t>
      </w:r>
    </w:p>
    <w:p w14:paraId="57A10090" w14:textId="77777777" w:rsidR="00174751" w:rsidRPr="00CC7A4C" w:rsidRDefault="00174751" w:rsidP="00AF2C88">
      <w:pPr>
        <w:pStyle w:val="ListParagraph"/>
        <w:ind w:left="0"/>
        <w:jc w:val="both"/>
        <w:rPr>
          <w:rFonts w:ascii="Verdana" w:hAnsi="Verdana"/>
          <w:sz w:val="20"/>
          <w:lang w:val="es-CR"/>
        </w:rPr>
      </w:pPr>
    </w:p>
    <w:p w14:paraId="569F6B01" w14:textId="73273833" w:rsidR="00CC7A4C" w:rsidRPr="009D126B" w:rsidRDefault="00174751" w:rsidP="009D126B">
      <w:pPr>
        <w:pStyle w:val="ListParagraph"/>
        <w:numPr>
          <w:ilvl w:val="0"/>
          <w:numId w:val="3"/>
        </w:numPr>
        <w:ind w:left="0" w:firstLine="0"/>
        <w:jc w:val="both"/>
        <w:rPr>
          <w:rFonts w:ascii="Verdana" w:hAnsi="Verdana"/>
          <w:sz w:val="20"/>
          <w:lang w:val="es-CR"/>
        </w:rPr>
      </w:pPr>
      <w:r w:rsidRPr="00CC7A4C">
        <w:rPr>
          <w:rFonts w:ascii="Verdana" w:hAnsi="Verdana"/>
          <w:sz w:val="20"/>
          <w:lang w:val="es-CR"/>
        </w:rPr>
        <w:t xml:space="preserve">En la presente Resolución, este Tribunal se pronunciará </w:t>
      </w:r>
      <w:r w:rsidR="000A4456">
        <w:rPr>
          <w:rFonts w:ascii="Verdana" w:hAnsi="Verdana"/>
          <w:sz w:val="20"/>
          <w:lang w:val="es-CR"/>
        </w:rPr>
        <w:t>únicamente</w:t>
      </w:r>
      <w:r w:rsidR="00F87C24">
        <w:rPr>
          <w:rFonts w:ascii="Verdana" w:hAnsi="Verdana"/>
          <w:sz w:val="20"/>
          <w:lang w:val="es-CR"/>
        </w:rPr>
        <w:t xml:space="preserve"> </w:t>
      </w:r>
      <w:r w:rsidRPr="00CC7A4C">
        <w:rPr>
          <w:rFonts w:ascii="Verdana" w:hAnsi="Verdana"/>
          <w:sz w:val="20"/>
          <w:lang w:val="es-CR"/>
        </w:rPr>
        <w:t xml:space="preserve">sobre </w:t>
      </w:r>
      <w:r w:rsidR="00037DBE">
        <w:rPr>
          <w:rFonts w:ascii="Verdana" w:hAnsi="Verdana"/>
          <w:sz w:val="20"/>
          <w:lang w:val="es-CR"/>
        </w:rPr>
        <w:t>la</w:t>
      </w:r>
      <w:r w:rsidR="00037DBE" w:rsidRPr="00CC7A4C">
        <w:rPr>
          <w:rFonts w:ascii="Verdana" w:hAnsi="Verdana"/>
          <w:sz w:val="20"/>
          <w:lang w:val="es-CR"/>
        </w:rPr>
        <w:t xml:space="preserve"> </w:t>
      </w:r>
      <w:r w:rsidRPr="00CC7A4C">
        <w:rPr>
          <w:rFonts w:ascii="Verdana" w:hAnsi="Verdana"/>
          <w:sz w:val="20"/>
          <w:lang w:val="es-CR"/>
        </w:rPr>
        <w:t xml:space="preserve">medida </w:t>
      </w:r>
      <w:r w:rsidR="00037DBE">
        <w:rPr>
          <w:rFonts w:ascii="Verdana" w:hAnsi="Verdana"/>
          <w:sz w:val="20"/>
          <w:lang w:val="es-CR"/>
        </w:rPr>
        <w:t>relativa al reintegro de costas y gastos a favor de los representantes de las víctimas,</w:t>
      </w:r>
      <w:r w:rsidRPr="00CC7A4C">
        <w:rPr>
          <w:rFonts w:ascii="Verdana" w:hAnsi="Verdana"/>
          <w:sz w:val="20"/>
          <w:lang w:val="es-CR"/>
        </w:rPr>
        <w:t xml:space="preserve"> respecto de la cual estima que las partes han aportado información suficiente para realizar una valoración acerca de su cumplimiento. En una posterior resolución se pronunciará sobre las demás reparaciones pendientes de cumplimiento</w:t>
      </w:r>
      <w:r w:rsidR="000A6202">
        <w:rPr>
          <w:rFonts w:ascii="Verdana" w:hAnsi="Verdana"/>
          <w:sz w:val="20"/>
          <w:lang w:val="es-CR"/>
        </w:rPr>
        <w:t xml:space="preserve"> (</w:t>
      </w:r>
      <w:r w:rsidR="000A6202">
        <w:rPr>
          <w:rFonts w:ascii="Verdana" w:hAnsi="Verdana"/>
          <w:i/>
          <w:sz w:val="20"/>
          <w:lang w:val="es-CR"/>
        </w:rPr>
        <w:t>supra</w:t>
      </w:r>
      <w:r w:rsidR="000A6202">
        <w:rPr>
          <w:rFonts w:ascii="Verdana" w:hAnsi="Verdana"/>
          <w:sz w:val="20"/>
          <w:lang w:val="es-CR"/>
        </w:rPr>
        <w:t xml:space="preserve"> Considerando </w:t>
      </w:r>
      <w:r w:rsidR="000A6202">
        <w:rPr>
          <w:rFonts w:ascii="Verdana" w:hAnsi="Verdana"/>
          <w:sz w:val="20"/>
          <w:lang w:val="es-CR"/>
        </w:rPr>
        <w:fldChar w:fldCharType="begin"/>
      </w:r>
      <w:r w:rsidR="000A6202">
        <w:rPr>
          <w:rFonts w:ascii="Verdana" w:hAnsi="Verdana"/>
          <w:sz w:val="20"/>
          <w:lang w:val="es-CR"/>
        </w:rPr>
        <w:instrText xml:space="preserve"> REF _Ref492472524 \r \h </w:instrText>
      </w:r>
      <w:r w:rsidR="000A6202">
        <w:rPr>
          <w:rFonts w:ascii="Verdana" w:hAnsi="Verdana"/>
          <w:sz w:val="20"/>
          <w:lang w:val="es-CR"/>
        </w:rPr>
      </w:r>
      <w:r w:rsidR="000A6202">
        <w:rPr>
          <w:rFonts w:ascii="Verdana" w:hAnsi="Verdana"/>
          <w:sz w:val="20"/>
          <w:lang w:val="es-CR"/>
        </w:rPr>
        <w:fldChar w:fldCharType="separate"/>
      </w:r>
      <w:r w:rsidR="00E45BC4">
        <w:rPr>
          <w:rFonts w:ascii="Verdana" w:hAnsi="Verdana"/>
          <w:sz w:val="20"/>
          <w:lang w:val="es-CR"/>
        </w:rPr>
        <w:t>1</w:t>
      </w:r>
      <w:r w:rsidR="000A6202">
        <w:rPr>
          <w:rFonts w:ascii="Verdana" w:hAnsi="Verdana"/>
          <w:sz w:val="20"/>
          <w:lang w:val="es-CR"/>
        </w:rPr>
        <w:fldChar w:fldCharType="end"/>
      </w:r>
      <w:r w:rsidR="000A6202">
        <w:rPr>
          <w:rFonts w:ascii="Verdana" w:hAnsi="Verdana"/>
          <w:sz w:val="20"/>
          <w:lang w:val="es-CR"/>
        </w:rPr>
        <w:t>)</w:t>
      </w:r>
      <w:r w:rsidRPr="00CC7A4C">
        <w:rPr>
          <w:rFonts w:ascii="Verdana" w:hAnsi="Verdana"/>
          <w:sz w:val="20"/>
          <w:lang w:val="es-CR"/>
        </w:rPr>
        <w:t>.</w:t>
      </w:r>
    </w:p>
    <w:p w14:paraId="3CD8E546" w14:textId="77777777" w:rsidR="00CC7A4C" w:rsidRDefault="00CC7A4C" w:rsidP="00AF2C88">
      <w:pPr>
        <w:jc w:val="both"/>
        <w:rPr>
          <w:rFonts w:ascii="Verdana" w:hAnsi="Verdana"/>
          <w:b/>
          <w:i/>
          <w:sz w:val="20"/>
          <w:lang w:val="es-CR"/>
        </w:rPr>
      </w:pPr>
    </w:p>
    <w:p w14:paraId="67E07516" w14:textId="77777777" w:rsidR="00CC7A4C" w:rsidRPr="00CC7A4C" w:rsidRDefault="00CC7A4C" w:rsidP="00F83CE6">
      <w:pPr>
        <w:ind w:firstLine="360"/>
        <w:jc w:val="both"/>
        <w:rPr>
          <w:rFonts w:ascii="Verdana" w:hAnsi="Verdana"/>
          <w:i/>
          <w:sz w:val="20"/>
          <w:lang w:val="es-CR"/>
        </w:rPr>
      </w:pPr>
      <w:r w:rsidRPr="00CC7A4C">
        <w:rPr>
          <w:rFonts w:ascii="Verdana" w:hAnsi="Verdana"/>
          <w:i/>
          <w:sz w:val="20"/>
          <w:lang w:val="es-CR"/>
        </w:rPr>
        <w:t>A</w:t>
      </w:r>
      <w:r w:rsidR="00CF2EC0">
        <w:rPr>
          <w:rFonts w:ascii="Verdana" w:hAnsi="Verdana"/>
          <w:i/>
          <w:sz w:val="20"/>
          <w:lang w:val="es-CR"/>
        </w:rPr>
        <w:t>.</w:t>
      </w:r>
      <w:r w:rsidRPr="00CC7A4C">
        <w:rPr>
          <w:rFonts w:ascii="Verdana" w:hAnsi="Verdana"/>
          <w:i/>
          <w:sz w:val="20"/>
          <w:lang w:val="es-CR"/>
        </w:rPr>
        <w:t xml:space="preserve"> Medida ordenada por la Corte </w:t>
      </w:r>
    </w:p>
    <w:p w14:paraId="28F8B1D9" w14:textId="77777777" w:rsidR="00CC7A4C" w:rsidRPr="00CC7A4C" w:rsidRDefault="00CC7A4C" w:rsidP="00AF2C88">
      <w:pPr>
        <w:jc w:val="both"/>
        <w:rPr>
          <w:rFonts w:ascii="Verdana" w:hAnsi="Verdana"/>
          <w:i/>
          <w:sz w:val="20"/>
          <w:lang w:val="es-CR"/>
        </w:rPr>
      </w:pPr>
    </w:p>
    <w:p w14:paraId="67CB980A" w14:textId="5794FC17" w:rsidR="00CC7A4C" w:rsidRPr="00CF2EC0" w:rsidRDefault="00CC7A4C" w:rsidP="00CF2EC0">
      <w:pPr>
        <w:pStyle w:val="ListParagraph"/>
        <w:numPr>
          <w:ilvl w:val="0"/>
          <w:numId w:val="3"/>
        </w:numPr>
        <w:ind w:left="0" w:firstLine="0"/>
        <w:jc w:val="both"/>
        <w:rPr>
          <w:rFonts w:ascii="Verdana" w:hAnsi="Verdana"/>
          <w:sz w:val="20"/>
          <w:lang w:val="es-CR"/>
        </w:rPr>
      </w:pPr>
      <w:r w:rsidRPr="00CC7A4C">
        <w:rPr>
          <w:rFonts w:ascii="Verdana" w:hAnsi="Verdana"/>
          <w:sz w:val="20"/>
          <w:lang w:val="es-CR"/>
        </w:rPr>
        <w:t xml:space="preserve">En el punto resolutivo </w:t>
      </w:r>
      <w:r w:rsidR="000A6202">
        <w:rPr>
          <w:rFonts w:ascii="Verdana" w:hAnsi="Verdana"/>
          <w:sz w:val="20"/>
          <w:lang w:val="es-CR"/>
        </w:rPr>
        <w:t>décimo cuarto</w:t>
      </w:r>
      <w:r w:rsidRPr="00CC7A4C">
        <w:rPr>
          <w:rFonts w:ascii="Verdana" w:hAnsi="Verdana"/>
          <w:sz w:val="20"/>
          <w:lang w:val="es-CR"/>
        </w:rPr>
        <w:t xml:space="preserve"> y en el párrafo 307 de la Sentencia, la Corte </w:t>
      </w:r>
      <w:r w:rsidR="00037DBE">
        <w:rPr>
          <w:rFonts w:ascii="Verdana" w:hAnsi="Verdana"/>
          <w:sz w:val="20"/>
          <w:lang w:val="es-CR"/>
        </w:rPr>
        <w:t>ordenó al Estado el</w:t>
      </w:r>
      <w:r w:rsidRPr="00CC7A4C">
        <w:rPr>
          <w:rFonts w:ascii="Verdana" w:hAnsi="Verdana"/>
          <w:sz w:val="20"/>
          <w:lang w:val="es-CR"/>
        </w:rPr>
        <w:t xml:space="preserve"> </w:t>
      </w:r>
      <w:r w:rsidR="00037DBE">
        <w:rPr>
          <w:rFonts w:ascii="Verdana" w:hAnsi="Verdana"/>
          <w:sz w:val="20"/>
          <w:lang w:val="es-CR"/>
        </w:rPr>
        <w:t>pago de</w:t>
      </w:r>
      <w:r w:rsidRPr="00CF2EC0">
        <w:rPr>
          <w:rFonts w:ascii="Verdana" w:hAnsi="Verdana"/>
          <w:sz w:val="20"/>
          <w:lang w:val="es-CR"/>
        </w:rPr>
        <w:t xml:space="preserve"> US$10,000.00</w:t>
      </w:r>
      <w:r w:rsidR="000A6202">
        <w:rPr>
          <w:rFonts w:ascii="Verdana" w:hAnsi="Verdana"/>
          <w:sz w:val="20"/>
          <w:lang w:val="es-CR"/>
        </w:rPr>
        <w:t xml:space="preserve"> (diez mil dólares de los Estados Unidos de América) o su equivalente en moneda nacional</w:t>
      </w:r>
      <w:r w:rsidR="00037DBE">
        <w:rPr>
          <w:rFonts w:ascii="Verdana" w:hAnsi="Verdana"/>
          <w:sz w:val="20"/>
          <w:lang w:val="es-CR"/>
        </w:rPr>
        <w:t xml:space="preserve"> a favor de REDNOVI</w:t>
      </w:r>
      <w:r w:rsidRPr="00CF2EC0">
        <w:rPr>
          <w:rFonts w:ascii="Verdana" w:hAnsi="Verdana"/>
          <w:sz w:val="20"/>
          <w:lang w:val="es-CR"/>
        </w:rPr>
        <w:t xml:space="preserve"> </w:t>
      </w:r>
      <w:r w:rsidR="00037DBE">
        <w:rPr>
          <w:rFonts w:ascii="Verdana" w:hAnsi="Verdana"/>
          <w:sz w:val="20"/>
          <w:lang w:val="es-CR"/>
        </w:rPr>
        <w:t>“</w:t>
      </w:r>
      <w:r w:rsidRPr="00CF2EC0">
        <w:rPr>
          <w:rFonts w:ascii="Verdana" w:hAnsi="Verdana"/>
          <w:sz w:val="20"/>
          <w:lang w:val="es-CR"/>
        </w:rPr>
        <w:t>con motivo de los gastos por la tramitación del proceso ante el sistema interamericano de derechos humanos […]</w:t>
      </w:r>
      <w:r w:rsidR="00037DBE">
        <w:rPr>
          <w:rFonts w:ascii="Verdana" w:hAnsi="Verdana"/>
          <w:sz w:val="20"/>
          <w:lang w:val="es-CR"/>
        </w:rPr>
        <w:t>”</w:t>
      </w:r>
      <w:r w:rsidRPr="00CF2EC0">
        <w:rPr>
          <w:rFonts w:ascii="Verdana" w:hAnsi="Verdana"/>
          <w:sz w:val="20"/>
          <w:lang w:val="es-CR"/>
        </w:rPr>
        <w:t>.</w:t>
      </w:r>
    </w:p>
    <w:p w14:paraId="72913F71" w14:textId="77777777" w:rsidR="00854BD7" w:rsidRDefault="00854BD7" w:rsidP="00AF2C88">
      <w:pPr>
        <w:jc w:val="both"/>
        <w:rPr>
          <w:rFonts w:ascii="Verdana" w:hAnsi="Verdana"/>
          <w:sz w:val="20"/>
          <w:lang w:val="es-CR"/>
        </w:rPr>
      </w:pPr>
    </w:p>
    <w:p w14:paraId="493BB9C0" w14:textId="77777777" w:rsidR="00CC7A4C" w:rsidRPr="00CC7A4C" w:rsidRDefault="00037DBE" w:rsidP="00CF2EC0">
      <w:pPr>
        <w:ind w:firstLine="360"/>
        <w:jc w:val="both"/>
        <w:rPr>
          <w:rFonts w:ascii="Verdana" w:hAnsi="Verdana"/>
          <w:i/>
          <w:sz w:val="20"/>
          <w:lang w:val="es-CR"/>
        </w:rPr>
      </w:pPr>
      <w:r>
        <w:rPr>
          <w:rFonts w:ascii="Verdana" w:hAnsi="Verdana"/>
          <w:i/>
          <w:sz w:val="20"/>
          <w:lang w:val="es-CR"/>
        </w:rPr>
        <w:t>B.</w:t>
      </w:r>
      <w:r w:rsidR="00CC7A4C" w:rsidRPr="00CC7A4C">
        <w:rPr>
          <w:rFonts w:ascii="Verdana" w:hAnsi="Verdana"/>
          <w:i/>
          <w:sz w:val="20"/>
          <w:lang w:val="es-CR"/>
        </w:rPr>
        <w:t xml:space="preserve"> Consideraciones de la Corte</w:t>
      </w:r>
    </w:p>
    <w:p w14:paraId="1351E394" w14:textId="77777777" w:rsidR="00CC7A4C" w:rsidRPr="00CC7A4C" w:rsidRDefault="00CC7A4C" w:rsidP="00AF2C88">
      <w:pPr>
        <w:jc w:val="both"/>
        <w:rPr>
          <w:rFonts w:ascii="Verdana" w:hAnsi="Verdana"/>
          <w:sz w:val="20"/>
          <w:lang w:val="es-CR"/>
        </w:rPr>
      </w:pPr>
    </w:p>
    <w:p w14:paraId="47945CA9" w14:textId="47FA839C" w:rsidR="00CC7A4C" w:rsidRDefault="00AF2C88" w:rsidP="00037DBE">
      <w:pPr>
        <w:pStyle w:val="ListParagraph"/>
        <w:numPr>
          <w:ilvl w:val="0"/>
          <w:numId w:val="3"/>
        </w:numPr>
        <w:ind w:left="0" w:firstLine="0"/>
        <w:jc w:val="both"/>
        <w:rPr>
          <w:rFonts w:ascii="Verdana" w:hAnsi="Verdana"/>
          <w:sz w:val="20"/>
          <w:lang w:val="es-CR"/>
        </w:rPr>
      </w:pPr>
      <w:r>
        <w:rPr>
          <w:rFonts w:ascii="Verdana" w:hAnsi="Verdana"/>
          <w:sz w:val="20"/>
          <w:lang w:val="es-CR"/>
        </w:rPr>
        <w:t xml:space="preserve">Con base en la </w:t>
      </w:r>
      <w:r w:rsidR="00037DBE">
        <w:rPr>
          <w:rFonts w:ascii="Verdana" w:hAnsi="Verdana"/>
          <w:sz w:val="20"/>
          <w:lang w:val="es-CR"/>
        </w:rPr>
        <w:t xml:space="preserve">documentación </w:t>
      </w:r>
      <w:r>
        <w:rPr>
          <w:rFonts w:ascii="Verdana" w:hAnsi="Verdana"/>
          <w:sz w:val="20"/>
          <w:lang w:val="es-CR"/>
        </w:rPr>
        <w:t xml:space="preserve">aportada por el </w:t>
      </w:r>
      <w:r w:rsidRPr="00AF2C88">
        <w:rPr>
          <w:rFonts w:ascii="Verdana" w:hAnsi="Verdana"/>
          <w:i/>
          <w:sz w:val="20"/>
          <w:lang w:val="es-CR"/>
        </w:rPr>
        <w:t>Estado</w:t>
      </w:r>
      <w:r>
        <w:rPr>
          <w:rFonts w:ascii="Verdana" w:hAnsi="Verdana"/>
          <w:sz w:val="20"/>
          <w:lang w:val="es-CR"/>
        </w:rPr>
        <w:t xml:space="preserve"> y </w:t>
      </w:r>
      <w:r w:rsidR="00037DBE">
        <w:rPr>
          <w:rFonts w:ascii="Verdana" w:hAnsi="Verdana"/>
          <w:sz w:val="20"/>
          <w:lang w:val="es-CR"/>
        </w:rPr>
        <w:t>confirmada</w:t>
      </w:r>
      <w:r>
        <w:rPr>
          <w:rFonts w:ascii="Verdana" w:hAnsi="Verdana"/>
          <w:sz w:val="20"/>
          <w:lang w:val="es-CR"/>
        </w:rPr>
        <w:t xml:space="preserve"> por l</w:t>
      </w:r>
      <w:r w:rsidR="00D12044">
        <w:rPr>
          <w:rFonts w:ascii="Verdana" w:hAnsi="Verdana"/>
          <w:sz w:val="20"/>
          <w:lang w:val="es-CR"/>
        </w:rPr>
        <w:t>a</w:t>
      </w:r>
      <w:r>
        <w:rPr>
          <w:rFonts w:ascii="Verdana" w:hAnsi="Verdana"/>
          <w:sz w:val="20"/>
          <w:lang w:val="es-CR"/>
        </w:rPr>
        <w:t xml:space="preserve"> </w:t>
      </w:r>
      <w:r w:rsidR="00823CD2">
        <w:rPr>
          <w:rFonts w:ascii="Verdana" w:hAnsi="Verdana"/>
          <w:i/>
          <w:sz w:val="20"/>
          <w:lang w:val="es-CR"/>
        </w:rPr>
        <w:t>r</w:t>
      </w:r>
      <w:r>
        <w:rPr>
          <w:rFonts w:ascii="Verdana" w:hAnsi="Verdana"/>
          <w:i/>
          <w:sz w:val="20"/>
          <w:lang w:val="es-CR"/>
        </w:rPr>
        <w:t>epresentante</w:t>
      </w:r>
      <w:r w:rsidR="00037DBE">
        <w:rPr>
          <w:rStyle w:val="FootnoteReference"/>
          <w:rFonts w:ascii="Verdana" w:hAnsi="Verdana"/>
          <w:i/>
          <w:sz w:val="20"/>
          <w:lang w:val="es-CR"/>
        </w:rPr>
        <w:footnoteReference w:id="13"/>
      </w:r>
      <w:r>
        <w:rPr>
          <w:rFonts w:ascii="Verdana" w:hAnsi="Verdana"/>
          <w:sz w:val="20"/>
          <w:lang w:val="es-CR"/>
        </w:rPr>
        <w:t xml:space="preserve">, </w:t>
      </w:r>
      <w:r w:rsidR="000D06AF">
        <w:rPr>
          <w:rFonts w:ascii="Verdana" w:hAnsi="Verdana"/>
          <w:sz w:val="20"/>
          <w:lang w:val="es-CR"/>
        </w:rPr>
        <w:t>que consiste en una copia de un acta firmada</w:t>
      </w:r>
      <w:r w:rsidR="00C33421">
        <w:rPr>
          <w:rFonts w:ascii="Verdana" w:hAnsi="Verdana"/>
          <w:sz w:val="20"/>
          <w:lang w:val="es-CR"/>
        </w:rPr>
        <w:t xml:space="preserve"> por </w:t>
      </w:r>
      <w:r w:rsidR="00854BD7">
        <w:rPr>
          <w:rFonts w:ascii="Verdana" w:hAnsi="Verdana"/>
          <w:sz w:val="20"/>
          <w:lang w:val="es-CR"/>
        </w:rPr>
        <w:t>ella</w:t>
      </w:r>
      <w:r w:rsidR="000E65E7">
        <w:rPr>
          <w:rStyle w:val="FootnoteReference"/>
          <w:rFonts w:ascii="Verdana" w:hAnsi="Verdana"/>
          <w:sz w:val="20"/>
          <w:lang w:val="es-CR"/>
        </w:rPr>
        <w:footnoteReference w:id="14"/>
      </w:r>
      <w:r w:rsidR="000D06AF">
        <w:rPr>
          <w:rFonts w:ascii="Verdana" w:hAnsi="Verdana"/>
          <w:sz w:val="20"/>
          <w:lang w:val="es-CR"/>
        </w:rPr>
        <w:t xml:space="preserve">, </w:t>
      </w:r>
      <w:r>
        <w:rPr>
          <w:rFonts w:ascii="Verdana" w:hAnsi="Verdana"/>
          <w:sz w:val="20"/>
          <w:lang w:val="es-CR"/>
        </w:rPr>
        <w:t xml:space="preserve">la Corte constata </w:t>
      </w:r>
      <w:r w:rsidR="000D06AF">
        <w:rPr>
          <w:rFonts w:ascii="Verdana" w:hAnsi="Verdana"/>
          <w:sz w:val="20"/>
          <w:lang w:val="es-CR"/>
        </w:rPr>
        <w:t>que</w:t>
      </w:r>
      <w:r w:rsidR="00037DBE">
        <w:rPr>
          <w:rFonts w:ascii="Verdana" w:hAnsi="Verdana"/>
          <w:sz w:val="20"/>
          <w:lang w:val="es-CR"/>
        </w:rPr>
        <w:t xml:space="preserve"> el 13 de diciembre de 2016</w:t>
      </w:r>
      <w:r w:rsidR="000D06AF">
        <w:rPr>
          <w:rFonts w:ascii="Verdana" w:hAnsi="Verdana"/>
          <w:sz w:val="20"/>
          <w:lang w:val="es-CR"/>
        </w:rPr>
        <w:t xml:space="preserve"> </w:t>
      </w:r>
      <w:r w:rsidR="00F83CE6">
        <w:rPr>
          <w:rFonts w:ascii="Verdana" w:hAnsi="Verdana"/>
          <w:sz w:val="20"/>
          <w:lang w:val="es-CR"/>
        </w:rPr>
        <w:t>se hizo “efectivo el pago a nombre de la señora DINORA PATRICIA GRAMAJO ROMERO</w:t>
      </w:r>
      <w:r w:rsidR="00161929">
        <w:rPr>
          <w:rFonts w:ascii="Verdana" w:hAnsi="Verdana"/>
          <w:sz w:val="20"/>
          <w:lang w:val="es-CR"/>
        </w:rPr>
        <w:t xml:space="preserve"> </w:t>
      </w:r>
      <w:r w:rsidR="00F83CE6">
        <w:rPr>
          <w:rFonts w:ascii="Verdana" w:hAnsi="Verdana"/>
          <w:sz w:val="20"/>
          <w:lang w:val="es-CR"/>
        </w:rPr>
        <w:t>[…] por un monto de setenta y cinco mil veinticuatro Quetzales con veinte Centavos (GTQ 75,02420), que es el equivalente al valor indicado en el párrafo trescientos siete de la sentencia mencionada […]”</w:t>
      </w:r>
      <w:r w:rsidR="00161929">
        <w:rPr>
          <w:rStyle w:val="FootnoteReference"/>
          <w:rFonts w:ascii="Verdana" w:hAnsi="Verdana"/>
          <w:sz w:val="20"/>
          <w:lang w:val="es-CR"/>
        </w:rPr>
        <w:footnoteReference w:id="15"/>
      </w:r>
      <w:r w:rsidR="008303C5">
        <w:rPr>
          <w:rFonts w:ascii="Verdana" w:hAnsi="Verdana"/>
          <w:sz w:val="20"/>
          <w:lang w:val="es-CR"/>
        </w:rPr>
        <w:t>.</w:t>
      </w:r>
      <w:r w:rsidR="000A4456">
        <w:rPr>
          <w:rFonts w:ascii="Verdana" w:hAnsi="Verdana"/>
          <w:sz w:val="20"/>
          <w:lang w:val="es-CR"/>
        </w:rPr>
        <w:t xml:space="preserve"> </w:t>
      </w:r>
      <w:r w:rsidR="00F83CE6">
        <w:rPr>
          <w:rFonts w:ascii="Verdana" w:hAnsi="Verdana"/>
          <w:sz w:val="20"/>
          <w:lang w:val="es-CR"/>
        </w:rPr>
        <w:t xml:space="preserve">Por lo anterior, la Corte considera que el Estado ha dado cumplimiento total a la medida de reparación relativa al reintegro de costas y gastos a </w:t>
      </w:r>
      <w:r w:rsidR="006D684B">
        <w:rPr>
          <w:rFonts w:ascii="Verdana" w:hAnsi="Verdana"/>
          <w:sz w:val="20"/>
          <w:lang w:val="es-CR"/>
        </w:rPr>
        <w:t>la representante</w:t>
      </w:r>
      <w:r w:rsidR="00F83CE6">
        <w:rPr>
          <w:rFonts w:ascii="Verdana" w:hAnsi="Verdana"/>
          <w:sz w:val="20"/>
          <w:lang w:val="es-CR"/>
        </w:rPr>
        <w:t xml:space="preserve"> de la</w:t>
      </w:r>
      <w:r w:rsidR="000A6202">
        <w:rPr>
          <w:rFonts w:ascii="Verdana" w:hAnsi="Verdana"/>
          <w:sz w:val="20"/>
          <w:lang w:val="es-CR"/>
        </w:rPr>
        <w:t>s</w:t>
      </w:r>
      <w:r w:rsidR="00F83CE6">
        <w:rPr>
          <w:rFonts w:ascii="Verdana" w:hAnsi="Verdana"/>
          <w:sz w:val="20"/>
          <w:lang w:val="es-CR"/>
        </w:rPr>
        <w:t xml:space="preserve"> víctima</w:t>
      </w:r>
      <w:r w:rsidR="000A6202">
        <w:rPr>
          <w:rFonts w:ascii="Verdana" w:hAnsi="Verdana"/>
          <w:sz w:val="20"/>
          <w:lang w:val="es-CR"/>
        </w:rPr>
        <w:t>s</w:t>
      </w:r>
      <w:r w:rsidR="00F83CE6">
        <w:rPr>
          <w:rFonts w:ascii="Verdana" w:hAnsi="Verdana"/>
          <w:sz w:val="20"/>
          <w:lang w:val="es-CR"/>
        </w:rPr>
        <w:t xml:space="preserve">, ordenada  en el punto resolutivo </w:t>
      </w:r>
      <w:r w:rsidR="000A6202">
        <w:rPr>
          <w:rFonts w:ascii="Verdana" w:hAnsi="Verdana"/>
          <w:sz w:val="20"/>
          <w:lang w:val="es-CR"/>
        </w:rPr>
        <w:t>décimo cuarto</w:t>
      </w:r>
      <w:r w:rsidR="00F83CE6">
        <w:rPr>
          <w:rFonts w:ascii="Verdana" w:hAnsi="Verdana"/>
          <w:sz w:val="20"/>
          <w:lang w:val="es-CR"/>
        </w:rPr>
        <w:t xml:space="preserve"> y en el párrafo 307 de la Sentencia. </w:t>
      </w:r>
    </w:p>
    <w:p w14:paraId="21B3AC91" w14:textId="77777777" w:rsidR="001901D0" w:rsidRDefault="001901D0" w:rsidP="001901D0">
      <w:pPr>
        <w:pStyle w:val="ListParagraph"/>
        <w:rPr>
          <w:rFonts w:ascii="Verdana" w:hAnsi="Verdana"/>
          <w:sz w:val="20"/>
          <w:lang w:val="es-CR"/>
        </w:rPr>
      </w:pPr>
    </w:p>
    <w:p w14:paraId="27D8120F" w14:textId="77777777" w:rsidR="00153249" w:rsidRPr="001901D0" w:rsidRDefault="00153249" w:rsidP="001901D0">
      <w:pPr>
        <w:pStyle w:val="ListParagraph"/>
        <w:rPr>
          <w:rFonts w:ascii="Verdana" w:hAnsi="Verdana"/>
          <w:sz w:val="20"/>
          <w:lang w:val="es-CR"/>
        </w:rPr>
      </w:pPr>
    </w:p>
    <w:p w14:paraId="04F0031B" w14:textId="77777777" w:rsidR="001901D0" w:rsidRDefault="001901D0" w:rsidP="001901D0">
      <w:pPr>
        <w:jc w:val="both"/>
        <w:rPr>
          <w:rFonts w:ascii="Verdana" w:hAnsi="Verdana"/>
          <w:b/>
          <w:sz w:val="20"/>
          <w:lang w:val="es-CR"/>
        </w:rPr>
      </w:pPr>
      <w:r>
        <w:rPr>
          <w:rFonts w:ascii="Verdana" w:hAnsi="Verdana"/>
          <w:b/>
          <w:sz w:val="20"/>
          <w:lang w:val="es-CR"/>
        </w:rPr>
        <w:t>POR TANTO:</w:t>
      </w:r>
    </w:p>
    <w:p w14:paraId="2739902F" w14:textId="77777777" w:rsidR="00153249" w:rsidRDefault="00153249" w:rsidP="001901D0">
      <w:pPr>
        <w:jc w:val="both"/>
        <w:rPr>
          <w:rFonts w:ascii="Verdana" w:hAnsi="Verdana"/>
          <w:b/>
          <w:sz w:val="20"/>
          <w:lang w:val="es-CR"/>
        </w:rPr>
      </w:pPr>
    </w:p>
    <w:p w14:paraId="38F24211" w14:textId="40DD584C" w:rsidR="00C573AF" w:rsidRDefault="00C573AF" w:rsidP="001901D0">
      <w:pPr>
        <w:jc w:val="both"/>
        <w:rPr>
          <w:rFonts w:ascii="Verdana" w:hAnsi="Verdana"/>
          <w:b/>
          <w:sz w:val="20"/>
          <w:lang w:val="es-CR"/>
        </w:rPr>
      </w:pPr>
      <w:r>
        <w:rPr>
          <w:rFonts w:ascii="Verdana" w:hAnsi="Verdana"/>
          <w:b/>
          <w:sz w:val="20"/>
          <w:lang w:val="es-CR"/>
        </w:rPr>
        <w:t>LA CORTE INTERAMERICANA DE DERECHOS HUMANOS:</w:t>
      </w:r>
    </w:p>
    <w:p w14:paraId="06B3E0C7" w14:textId="77777777" w:rsidR="001901D0" w:rsidRDefault="001901D0" w:rsidP="001901D0">
      <w:pPr>
        <w:jc w:val="both"/>
        <w:rPr>
          <w:rFonts w:ascii="Verdana" w:hAnsi="Verdana"/>
          <w:b/>
          <w:sz w:val="20"/>
          <w:lang w:val="es-CR"/>
        </w:rPr>
      </w:pPr>
    </w:p>
    <w:p w14:paraId="3DC2EE16" w14:textId="77777777" w:rsidR="001901D0" w:rsidRDefault="001901D0" w:rsidP="001901D0">
      <w:pPr>
        <w:jc w:val="both"/>
        <w:rPr>
          <w:rFonts w:ascii="Verdana" w:hAnsi="Verdana"/>
          <w:sz w:val="20"/>
          <w:lang w:val="es-CR"/>
        </w:rPr>
      </w:pPr>
      <w:r>
        <w:rPr>
          <w:rFonts w:ascii="Verdana" w:hAnsi="Verdana"/>
          <w:sz w:val="20"/>
          <w:lang w:val="es-CR"/>
        </w:rPr>
        <w:t>en el ejercicio de sus atribuciones de supervisión de cumplimiento de sus decisiones, de conformidad con los artículos 33, 62.1, 62.3, 65 y 67 y 68.1 de la Convención Americana sobre Derechos Humanos, 24, 25 y 30 del Estatuto y 31.2 y 69 de su Reglamento,</w:t>
      </w:r>
    </w:p>
    <w:p w14:paraId="66D95857" w14:textId="77777777" w:rsidR="00153249" w:rsidRDefault="00153249" w:rsidP="001901D0">
      <w:pPr>
        <w:jc w:val="both"/>
        <w:rPr>
          <w:rFonts w:ascii="Verdana" w:hAnsi="Verdana"/>
          <w:sz w:val="20"/>
          <w:lang w:val="es-CR"/>
        </w:rPr>
      </w:pPr>
    </w:p>
    <w:p w14:paraId="4F004F6A" w14:textId="77777777" w:rsidR="001901D0" w:rsidRDefault="001901D0" w:rsidP="001901D0">
      <w:pPr>
        <w:jc w:val="both"/>
        <w:rPr>
          <w:rFonts w:ascii="Verdana" w:hAnsi="Verdana"/>
          <w:b/>
          <w:sz w:val="20"/>
          <w:lang w:val="es-CR"/>
        </w:rPr>
      </w:pPr>
      <w:r>
        <w:rPr>
          <w:rFonts w:ascii="Verdana" w:hAnsi="Verdana"/>
          <w:b/>
          <w:sz w:val="20"/>
          <w:lang w:val="es-CR"/>
        </w:rPr>
        <w:t>RESUELVE:</w:t>
      </w:r>
    </w:p>
    <w:p w14:paraId="59F366F4" w14:textId="77777777" w:rsidR="001901D0" w:rsidRDefault="001901D0" w:rsidP="001901D0">
      <w:pPr>
        <w:jc w:val="both"/>
        <w:rPr>
          <w:rFonts w:ascii="Verdana" w:hAnsi="Verdana"/>
          <w:b/>
          <w:sz w:val="20"/>
          <w:lang w:val="es-CR"/>
        </w:rPr>
      </w:pPr>
    </w:p>
    <w:p w14:paraId="69C1897C" w14:textId="6B2163BE" w:rsidR="001901D0" w:rsidRPr="00823CD2" w:rsidRDefault="001901D0" w:rsidP="00823CD2">
      <w:pPr>
        <w:pStyle w:val="ListParagraph"/>
        <w:numPr>
          <w:ilvl w:val="0"/>
          <w:numId w:val="5"/>
        </w:numPr>
        <w:ind w:left="0" w:firstLine="0"/>
        <w:jc w:val="both"/>
        <w:rPr>
          <w:rFonts w:ascii="Verdana" w:hAnsi="Verdana"/>
          <w:sz w:val="20"/>
          <w:lang w:val="es-CR"/>
        </w:rPr>
      </w:pPr>
      <w:r>
        <w:rPr>
          <w:rFonts w:ascii="Verdana" w:hAnsi="Verdana"/>
          <w:sz w:val="20"/>
          <w:lang w:val="es-CR"/>
        </w:rPr>
        <w:t xml:space="preserve">Declarar, de conformidad con lo señalado </w:t>
      </w:r>
      <w:r w:rsidR="000A6202">
        <w:rPr>
          <w:rFonts w:ascii="Verdana" w:hAnsi="Verdana"/>
          <w:sz w:val="20"/>
          <w:lang w:val="es-CR"/>
        </w:rPr>
        <w:t>en el Considerando 5</w:t>
      </w:r>
      <w:r>
        <w:rPr>
          <w:rFonts w:ascii="Verdana" w:hAnsi="Verdana"/>
          <w:sz w:val="20"/>
          <w:lang w:val="es-CR"/>
        </w:rPr>
        <w:t xml:space="preserve"> de la presente Resolución, que el Estado ha dado cumplimiento </w:t>
      </w:r>
      <w:r w:rsidR="00823CD2">
        <w:rPr>
          <w:rFonts w:ascii="Verdana" w:hAnsi="Verdana"/>
          <w:sz w:val="20"/>
          <w:lang w:val="es-CR"/>
        </w:rPr>
        <w:t xml:space="preserve">total a la medida de reparación relativa a </w:t>
      </w:r>
      <w:r w:rsidR="00823CD2" w:rsidRPr="00823CD2">
        <w:rPr>
          <w:rFonts w:ascii="Verdana" w:hAnsi="Verdana"/>
          <w:sz w:val="20"/>
          <w:lang w:val="es-CR"/>
        </w:rPr>
        <w:lastRenderedPageBreak/>
        <w:t>p</w:t>
      </w:r>
      <w:r w:rsidRPr="00823CD2">
        <w:rPr>
          <w:rFonts w:ascii="Verdana" w:hAnsi="Verdana"/>
          <w:sz w:val="20"/>
          <w:lang w:val="es-CR"/>
        </w:rPr>
        <w:t>agar la cantidad de US$10,000.00 (diez mil dólares de los Estados Unidos de América) a REDNOVI, con motivo de los gastos por la tramitación del proceso ante el sistema interamericano de derechos humanos</w:t>
      </w:r>
      <w:r w:rsidR="00037DBE" w:rsidRPr="00823CD2">
        <w:rPr>
          <w:rFonts w:ascii="Verdana" w:hAnsi="Verdana"/>
          <w:sz w:val="20"/>
          <w:lang w:val="es-CR"/>
        </w:rPr>
        <w:t xml:space="preserve"> (</w:t>
      </w:r>
      <w:r w:rsidR="00037DBE" w:rsidRPr="00823CD2">
        <w:rPr>
          <w:rFonts w:ascii="Verdana" w:hAnsi="Verdana"/>
          <w:i/>
          <w:sz w:val="20"/>
          <w:lang w:val="es-CR"/>
        </w:rPr>
        <w:t xml:space="preserve">punto resolutivo </w:t>
      </w:r>
      <w:r w:rsidR="006D684B" w:rsidRPr="00823CD2">
        <w:rPr>
          <w:rFonts w:ascii="Verdana" w:hAnsi="Verdana"/>
          <w:i/>
          <w:sz w:val="20"/>
          <w:lang w:val="es-CR"/>
        </w:rPr>
        <w:t>décimo cuarto de la Sentencia)</w:t>
      </w:r>
      <w:r w:rsidRPr="00823CD2">
        <w:rPr>
          <w:rFonts w:ascii="Verdana" w:hAnsi="Verdana"/>
          <w:sz w:val="20"/>
          <w:lang w:val="es-CR"/>
        </w:rPr>
        <w:t>.</w:t>
      </w:r>
    </w:p>
    <w:p w14:paraId="40C45B00" w14:textId="77777777" w:rsidR="001901D0" w:rsidRPr="001901D0" w:rsidRDefault="001901D0" w:rsidP="001901D0">
      <w:pPr>
        <w:jc w:val="both"/>
        <w:rPr>
          <w:rFonts w:ascii="Verdana" w:hAnsi="Verdana"/>
          <w:sz w:val="20"/>
          <w:lang w:val="es-CR"/>
        </w:rPr>
      </w:pPr>
    </w:p>
    <w:p w14:paraId="47E3D9A1" w14:textId="77777777" w:rsidR="001901D0" w:rsidRPr="006D684B" w:rsidRDefault="001901D0" w:rsidP="001901D0">
      <w:pPr>
        <w:pStyle w:val="ListParagraph"/>
        <w:numPr>
          <w:ilvl w:val="0"/>
          <w:numId w:val="5"/>
        </w:numPr>
        <w:ind w:left="0" w:firstLine="0"/>
        <w:jc w:val="both"/>
        <w:rPr>
          <w:rFonts w:ascii="Verdana" w:hAnsi="Verdana"/>
          <w:sz w:val="20"/>
          <w:lang w:val="es-CR"/>
        </w:rPr>
      </w:pPr>
      <w:r>
        <w:rPr>
          <w:rFonts w:ascii="Verdana" w:hAnsi="Verdana"/>
          <w:sz w:val="20"/>
          <w:lang w:val="es-CR"/>
        </w:rPr>
        <w:t xml:space="preserve">Mantener abierto el procedimiento de supervisión de cumplimiento respecto de las </w:t>
      </w:r>
      <w:r w:rsidR="006D684B">
        <w:rPr>
          <w:rFonts w:ascii="Verdana" w:hAnsi="Verdana"/>
          <w:sz w:val="20"/>
          <w:lang w:val="es-CR"/>
        </w:rPr>
        <w:t>siguientes</w:t>
      </w:r>
      <w:r>
        <w:rPr>
          <w:rFonts w:ascii="Verdana" w:hAnsi="Verdana"/>
          <w:sz w:val="20"/>
          <w:lang w:val="es-CR"/>
        </w:rPr>
        <w:t xml:space="preserve"> medidas de reparación</w:t>
      </w:r>
      <w:r w:rsidR="006D684B">
        <w:rPr>
          <w:rFonts w:ascii="Verdana" w:hAnsi="Verdana"/>
          <w:sz w:val="20"/>
        </w:rPr>
        <w:t>:</w:t>
      </w:r>
    </w:p>
    <w:p w14:paraId="2A11D35F" w14:textId="77777777" w:rsidR="00153249" w:rsidRDefault="00153249" w:rsidP="006D684B">
      <w:pPr>
        <w:pStyle w:val="ListParagraph"/>
        <w:ind w:left="0"/>
        <w:jc w:val="both"/>
        <w:rPr>
          <w:rFonts w:ascii="Verdana" w:hAnsi="Verdana"/>
          <w:sz w:val="20"/>
          <w:lang w:val="es-CR"/>
        </w:rPr>
      </w:pPr>
    </w:p>
    <w:p w14:paraId="044020E2" w14:textId="03135F8A" w:rsidR="006D684B" w:rsidRDefault="000A4456" w:rsidP="000A4456">
      <w:pPr>
        <w:pStyle w:val="FootnoteText"/>
        <w:ind w:left="720"/>
        <w:jc w:val="both"/>
        <w:rPr>
          <w:rFonts w:ascii="Verdana" w:hAnsi="Verdana"/>
          <w:sz w:val="20"/>
          <w:szCs w:val="20"/>
          <w:lang w:val="es-CR"/>
        </w:rPr>
      </w:pPr>
      <w:r>
        <w:rPr>
          <w:rFonts w:ascii="Verdana" w:hAnsi="Verdana"/>
          <w:sz w:val="20"/>
          <w:szCs w:val="20"/>
          <w:lang w:val="es-CR"/>
        </w:rPr>
        <w:t xml:space="preserve">a) </w:t>
      </w:r>
      <w:r w:rsidR="006D684B" w:rsidRPr="006D684B">
        <w:rPr>
          <w:rFonts w:ascii="Verdana" w:hAnsi="Verdana"/>
          <w:sz w:val="20"/>
          <w:szCs w:val="20"/>
          <w:lang w:val="es-CR"/>
        </w:rPr>
        <w:t>conducir eficazmente la investigación y, en su caso, abrir el proceso penal correspondiente, y de ser pertinente, otros que correspondieren para identificar, procesar y, en su caso, sancionar a los responsables de los vejámenes y privación de la vida de la niña María Isabel Véliz Franco</w:t>
      </w:r>
      <w:r w:rsidR="006D684B">
        <w:rPr>
          <w:rFonts w:ascii="Verdana" w:hAnsi="Verdana"/>
          <w:sz w:val="20"/>
          <w:szCs w:val="20"/>
          <w:lang w:val="es-CR"/>
        </w:rPr>
        <w:t xml:space="preserve"> </w:t>
      </w:r>
      <w:r w:rsidR="006D684B">
        <w:rPr>
          <w:rFonts w:ascii="Verdana" w:hAnsi="Verdana"/>
          <w:i/>
          <w:sz w:val="20"/>
          <w:szCs w:val="20"/>
          <w:lang w:val="es-CR"/>
        </w:rPr>
        <w:t>(punto resolutivo sé</w:t>
      </w:r>
      <w:r w:rsidR="00823CD2">
        <w:rPr>
          <w:rFonts w:ascii="Verdana" w:hAnsi="Verdana"/>
          <w:i/>
          <w:sz w:val="20"/>
          <w:szCs w:val="20"/>
          <w:lang w:val="es-CR"/>
        </w:rPr>
        <w:t>p</w:t>
      </w:r>
      <w:r w:rsidR="006D684B">
        <w:rPr>
          <w:rFonts w:ascii="Verdana" w:hAnsi="Verdana"/>
          <w:i/>
          <w:sz w:val="20"/>
          <w:szCs w:val="20"/>
          <w:lang w:val="es-CR"/>
        </w:rPr>
        <w:t>timo de la Sentencia)</w:t>
      </w:r>
      <w:r w:rsidR="006D684B" w:rsidRPr="006D684B">
        <w:rPr>
          <w:rFonts w:ascii="Verdana" w:hAnsi="Verdana"/>
          <w:sz w:val="20"/>
          <w:szCs w:val="20"/>
          <w:lang w:val="es-CR"/>
        </w:rPr>
        <w:t xml:space="preserve">; </w:t>
      </w:r>
    </w:p>
    <w:p w14:paraId="62FD7439" w14:textId="77777777" w:rsidR="000D20B0" w:rsidRDefault="000D20B0" w:rsidP="000A4456">
      <w:pPr>
        <w:pStyle w:val="FootnoteText"/>
        <w:ind w:left="720"/>
        <w:jc w:val="both"/>
        <w:rPr>
          <w:rFonts w:ascii="Verdana" w:hAnsi="Verdana"/>
          <w:sz w:val="20"/>
          <w:szCs w:val="20"/>
          <w:lang w:val="es-CR"/>
        </w:rPr>
      </w:pPr>
    </w:p>
    <w:p w14:paraId="6A55055F" w14:textId="311F1A04" w:rsidR="000A4456" w:rsidRDefault="000A4456" w:rsidP="000A4456">
      <w:pPr>
        <w:pStyle w:val="FootnoteText"/>
        <w:ind w:left="720"/>
        <w:jc w:val="both"/>
        <w:rPr>
          <w:rFonts w:ascii="Verdana" w:hAnsi="Verdana"/>
          <w:sz w:val="20"/>
          <w:szCs w:val="20"/>
          <w:lang w:val="es-CR"/>
        </w:rPr>
      </w:pPr>
      <w:r>
        <w:rPr>
          <w:rFonts w:ascii="Verdana" w:hAnsi="Verdana"/>
          <w:sz w:val="20"/>
          <w:szCs w:val="20"/>
          <w:lang w:val="es-CR"/>
        </w:rPr>
        <w:t>b) difusión de la sentencia de la Corte en la página web de la Policía Nacional Civil (</w:t>
      </w:r>
      <w:r>
        <w:rPr>
          <w:rFonts w:ascii="Verdana" w:hAnsi="Verdana"/>
          <w:i/>
          <w:sz w:val="20"/>
          <w:szCs w:val="20"/>
          <w:lang w:val="es-CR"/>
        </w:rPr>
        <w:t>punto resolutivo octavo de la Sentencia</w:t>
      </w:r>
      <w:r>
        <w:rPr>
          <w:rFonts w:ascii="Verdana" w:hAnsi="Verdana"/>
          <w:sz w:val="20"/>
          <w:szCs w:val="20"/>
          <w:lang w:val="es-CR"/>
        </w:rPr>
        <w:t>)</w:t>
      </w:r>
      <w:r w:rsidR="000A6202">
        <w:rPr>
          <w:rFonts w:ascii="Verdana" w:hAnsi="Verdana"/>
          <w:sz w:val="20"/>
          <w:szCs w:val="20"/>
          <w:lang w:val="es-CR"/>
        </w:rPr>
        <w:t>;</w:t>
      </w:r>
    </w:p>
    <w:p w14:paraId="737D1EB5" w14:textId="77777777" w:rsidR="000D20B0" w:rsidRPr="000A4456" w:rsidRDefault="000D20B0" w:rsidP="000A4456">
      <w:pPr>
        <w:pStyle w:val="FootnoteText"/>
        <w:ind w:left="720"/>
        <w:jc w:val="both"/>
        <w:rPr>
          <w:sz w:val="20"/>
          <w:szCs w:val="20"/>
          <w:lang w:val="es-CR"/>
        </w:rPr>
      </w:pPr>
    </w:p>
    <w:p w14:paraId="2B3A26A4" w14:textId="00DC513A" w:rsidR="006D684B" w:rsidRDefault="000A4456" w:rsidP="006D684B">
      <w:pPr>
        <w:pStyle w:val="FootnoteText"/>
        <w:ind w:left="720"/>
        <w:jc w:val="both"/>
        <w:rPr>
          <w:rFonts w:ascii="Verdana" w:hAnsi="Verdana"/>
          <w:sz w:val="20"/>
          <w:szCs w:val="20"/>
          <w:lang w:val="es-CR"/>
        </w:rPr>
      </w:pPr>
      <w:r>
        <w:rPr>
          <w:rFonts w:ascii="Verdana" w:hAnsi="Verdana"/>
          <w:sz w:val="20"/>
          <w:szCs w:val="20"/>
          <w:lang w:val="es-CR"/>
        </w:rPr>
        <w:t>c</w:t>
      </w:r>
      <w:r w:rsidR="006D684B" w:rsidRPr="006D684B">
        <w:rPr>
          <w:rFonts w:ascii="Verdana" w:hAnsi="Verdana"/>
          <w:sz w:val="20"/>
          <w:szCs w:val="20"/>
          <w:lang w:val="es-CR"/>
        </w:rPr>
        <w:t>) realizar un acto de disculpas públicas</w:t>
      </w:r>
      <w:r w:rsidR="006D684B">
        <w:rPr>
          <w:rFonts w:ascii="Verdana" w:hAnsi="Verdana"/>
          <w:sz w:val="20"/>
          <w:szCs w:val="20"/>
          <w:lang w:val="es-CR"/>
        </w:rPr>
        <w:t xml:space="preserve"> </w:t>
      </w:r>
      <w:r w:rsidR="006D684B">
        <w:rPr>
          <w:rFonts w:ascii="Verdana" w:hAnsi="Verdana"/>
          <w:i/>
          <w:sz w:val="20"/>
          <w:szCs w:val="20"/>
          <w:lang w:val="es-CR"/>
        </w:rPr>
        <w:t>(punto resolutivo noveno de la Sentencia)</w:t>
      </w:r>
      <w:r w:rsidR="006D684B" w:rsidRPr="006D684B">
        <w:rPr>
          <w:rFonts w:ascii="Verdana" w:hAnsi="Verdana"/>
          <w:sz w:val="20"/>
          <w:szCs w:val="20"/>
          <w:lang w:val="es-CR"/>
        </w:rPr>
        <w:t xml:space="preserve">; </w:t>
      </w:r>
    </w:p>
    <w:p w14:paraId="220FEB52" w14:textId="77777777" w:rsidR="000D20B0" w:rsidRPr="006D684B" w:rsidRDefault="000D20B0" w:rsidP="006D684B">
      <w:pPr>
        <w:pStyle w:val="FootnoteText"/>
        <w:ind w:left="720"/>
        <w:jc w:val="both"/>
        <w:rPr>
          <w:rFonts w:ascii="Verdana" w:hAnsi="Verdana"/>
          <w:sz w:val="20"/>
          <w:szCs w:val="20"/>
          <w:lang w:val="es-CR"/>
        </w:rPr>
      </w:pPr>
    </w:p>
    <w:p w14:paraId="70E91F51" w14:textId="5FC77937" w:rsidR="006D684B" w:rsidRDefault="000A4456" w:rsidP="006D684B">
      <w:pPr>
        <w:pStyle w:val="FootnoteText"/>
        <w:ind w:left="720"/>
        <w:jc w:val="both"/>
        <w:rPr>
          <w:rFonts w:ascii="Verdana" w:hAnsi="Verdana"/>
          <w:sz w:val="20"/>
          <w:szCs w:val="20"/>
          <w:lang w:val="es-CR"/>
        </w:rPr>
      </w:pPr>
      <w:r>
        <w:rPr>
          <w:rFonts w:ascii="Verdana" w:hAnsi="Verdana"/>
          <w:sz w:val="20"/>
          <w:szCs w:val="20"/>
          <w:lang w:val="es-CR"/>
        </w:rPr>
        <w:t>d</w:t>
      </w:r>
      <w:r w:rsidR="006D684B" w:rsidRPr="006D684B">
        <w:rPr>
          <w:rFonts w:ascii="Verdana" w:hAnsi="Verdana"/>
          <w:sz w:val="20"/>
          <w:szCs w:val="20"/>
          <w:lang w:val="es-CR"/>
        </w:rPr>
        <w:t>) elaborar un plan de fortalecimiento calendarizado de</w:t>
      </w:r>
      <w:r w:rsidR="006D684B">
        <w:rPr>
          <w:rFonts w:ascii="Verdana" w:hAnsi="Verdana"/>
          <w:sz w:val="20"/>
          <w:szCs w:val="20"/>
          <w:lang w:val="es-CR"/>
        </w:rPr>
        <w:t>l</w:t>
      </w:r>
      <w:r w:rsidR="006D684B" w:rsidRPr="006D684B">
        <w:rPr>
          <w:rFonts w:ascii="Verdana" w:hAnsi="Verdana"/>
          <w:sz w:val="20"/>
          <w:szCs w:val="20"/>
          <w:lang w:val="es-CR"/>
        </w:rPr>
        <w:t xml:space="preserve"> INACIF, que incluya una asignación adecuada de recursos para ampliar sus actividades en el territorio nacional y el cumplimiento de sus funciones</w:t>
      </w:r>
      <w:r w:rsidR="006D684B">
        <w:rPr>
          <w:rFonts w:ascii="Verdana" w:hAnsi="Verdana"/>
          <w:sz w:val="20"/>
          <w:szCs w:val="20"/>
          <w:lang w:val="es-CR"/>
        </w:rPr>
        <w:t xml:space="preserve"> </w:t>
      </w:r>
      <w:r w:rsidR="006D684B">
        <w:rPr>
          <w:rFonts w:ascii="Verdana" w:hAnsi="Verdana"/>
          <w:i/>
          <w:sz w:val="20"/>
          <w:szCs w:val="20"/>
          <w:lang w:val="es-CR"/>
        </w:rPr>
        <w:t>(punto resolutivo décimo de la Sentencia)</w:t>
      </w:r>
      <w:r w:rsidR="006D684B" w:rsidRPr="006D684B">
        <w:rPr>
          <w:rFonts w:ascii="Verdana" w:hAnsi="Verdana"/>
          <w:sz w:val="20"/>
          <w:szCs w:val="20"/>
          <w:lang w:val="es-CR"/>
        </w:rPr>
        <w:t xml:space="preserve">; </w:t>
      </w:r>
    </w:p>
    <w:p w14:paraId="57C377B0" w14:textId="77777777" w:rsidR="000D20B0" w:rsidRPr="006D684B" w:rsidRDefault="000D20B0" w:rsidP="006D684B">
      <w:pPr>
        <w:pStyle w:val="FootnoteText"/>
        <w:ind w:left="720"/>
        <w:jc w:val="both"/>
        <w:rPr>
          <w:rFonts w:ascii="Verdana" w:hAnsi="Verdana"/>
          <w:sz w:val="20"/>
          <w:szCs w:val="20"/>
          <w:lang w:val="es-CR"/>
        </w:rPr>
      </w:pPr>
    </w:p>
    <w:p w14:paraId="3A635A0A" w14:textId="55AF2DD7" w:rsidR="006D684B" w:rsidRDefault="000A4456" w:rsidP="006D684B">
      <w:pPr>
        <w:pStyle w:val="FootnoteText"/>
        <w:ind w:left="720"/>
        <w:jc w:val="both"/>
        <w:rPr>
          <w:rFonts w:ascii="Verdana" w:hAnsi="Verdana"/>
          <w:sz w:val="20"/>
          <w:szCs w:val="20"/>
          <w:lang w:val="es-CR"/>
        </w:rPr>
      </w:pPr>
      <w:r>
        <w:rPr>
          <w:rFonts w:ascii="Verdana" w:hAnsi="Verdana"/>
          <w:sz w:val="20"/>
          <w:szCs w:val="20"/>
          <w:lang w:val="es-CR"/>
        </w:rPr>
        <w:t>e</w:t>
      </w:r>
      <w:r w:rsidR="006D684B" w:rsidRPr="006D684B">
        <w:rPr>
          <w:rFonts w:ascii="Verdana" w:hAnsi="Verdana"/>
          <w:sz w:val="20"/>
          <w:szCs w:val="20"/>
          <w:lang w:val="es-CR"/>
        </w:rPr>
        <w:t>) implementar el funcionamiento de los “órganos jurisdiccionales especializados”</w:t>
      </w:r>
      <w:r w:rsidR="00823CD2">
        <w:rPr>
          <w:rFonts w:ascii="Verdana" w:hAnsi="Verdana"/>
          <w:sz w:val="20"/>
          <w:szCs w:val="20"/>
          <w:lang w:val="es-CR"/>
        </w:rPr>
        <w:t xml:space="preserve"> previstos en la Ley contra el Femicidio</w:t>
      </w:r>
      <w:r w:rsidR="006D684B" w:rsidRPr="006D684B">
        <w:rPr>
          <w:rFonts w:ascii="Verdana" w:hAnsi="Verdana"/>
          <w:sz w:val="20"/>
          <w:szCs w:val="20"/>
          <w:lang w:val="es-CR"/>
        </w:rPr>
        <w:t xml:space="preserve"> y de la fiscalía especializada</w:t>
      </w:r>
      <w:r w:rsidR="00823CD2">
        <w:rPr>
          <w:rFonts w:ascii="Verdana" w:hAnsi="Verdana"/>
          <w:sz w:val="20"/>
          <w:szCs w:val="20"/>
          <w:lang w:val="es-CR"/>
        </w:rPr>
        <w:t xml:space="preserve"> para investigar los hechos previstos en dicha ley</w:t>
      </w:r>
      <w:r w:rsidR="006D684B">
        <w:rPr>
          <w:rFonts w:ascii="Verdana" w:hAnsi="Verdana"/>
          <w:sz w:val="20"/>
          <w:szCs w:val="20"/>
          <w:lang w:val="es-CR"/>
        </w:rPr>
        <w:t xml:space="preserve"> </w:t>
      </w:r>
      <w:r w:rsidR="006D684B">
        <w:rPr>
          <w:rFonts w:ascii="Verdana" w:hAnsi="Verdana"/>
          <w:i/>
          <w:sz w:val="20"/>
          <w:szCs w:val="20"/>
          <w:lang w:val="es-CR"/>
        </w:rPr>
        <w:t>(punto resolutivo décimo primero de la Sentencia)</w:t>
      </w:r>
      <w:r w:rsidR="006D684B" w:rsidRPr="006D684B">
        <w:rPr>
          <w:rFonts w:ascii="Verdana" w:hAnsi="Verdana"/>
          <w:sz w:val="20"/>
          <w:szCs w:val="20"/>
          <w:lang w:val="es-CR"/>
        </w:rPr>
        <w:t xml:space="preserve">; </w:t>
      </w:r>
    </w:p>
    <w:p w14:paraId="00D37F0C" w14:textId="77777777" w:rsidR="000D20B0" w:rsidRPr="006D684B" w:rsidRDefault="000D20B0" w:rsidP="006D684B">
      <w:pPr>
        <w:pStyle w:val="FootnoteText"/>
        <w:ind w:left="720"/>
        <w:jc w:val="both"/>
        <w:rPr>
          <w:rFonts w:ascii="Verdana" w:hAnsi="Verdana"/>
          <w:sz w:val="20"/>
          <w:szCs w:val="20"/>
          <w:lang w:val="es-CR"/>
        </w:rPr>
      </w:pPr>
    </w:p>
    <w:p w14:paraId="108215F7" w14:textId="51377C94" w:rsidR="006D684B" w:rsidRDefault="000A4456" w:rsidP="006D684B">
      <w:pPr>
        <w:pStyle w:val="FootnoteText"/>
        <w:ind w:left="720"/>
        <w:jc w:val="both"/>
        <w:rPr>
          <w:rFonts w:ascii="Verdana" w:hAnsi="Verdana"/>
          <w:sz w:val="20"/>
          <w:szCs w:val="20"/>
          <w:lang w:val="es-CR"/>
        </w:rPr>
      </w:pPr>
      <w:r>
        <w:rPr>
          <w:rFonts w:ascii="Verdana" w:hAnsi="Verdana"/>
          <w:sz w:val="20"/>
          <w:szCs w:val="20"/>
          <w:lang w:val="es-CR"/>
        </w:rPr>
        <w:t>f</w:t>
      </w:r>
      <w:r w:rsidR="006D684B" w:rsidRPr="006D684B">
        <w:rPr>
          <w:rFonts w:ascii="Verdana" w:hAnsi="Verdana"/>
          <w:sz w:val="20"/>
          <w:szCs w:val="20"/>
          <w:lang w:val="es-CR"/>
        </w:rPr>
        <w:t>) implementar programas y cursos para funcionarios públicos pertenecientes al Poder Judicial, Ministerio Público y Policía Nacional Civil que estén vinculados a la investigación de actos de homicidio de mujeres sobre estándares en materia de prevención, eventual sanción y erradicación de homicidios de mujeres y capacitarlos sobre la debida aplicación de la normativa pertinente en la materia</w:t>
      </w:r>
      <w:r w:rsidR="006D684B">
        <w:rPr>
          <w:rFonts w:ascii="Verdana" w:hAnsi="Verdana"/>
          <w:sz w:val="20"/>
          <w:szCs w:val="20"/>
          <w:lang w:val="es-CR"/>
        </w:rPr>
        <w:t xml:space="preserve"> </w:t>
      </w:r>
      <w:r w:rsidR="006D684B">
        <w:rPr>
          <w:rFonts w:ascii="Verdana" w:hAnsi="Verdana"/>
          <w:i/>
          <w:sz w:val="20"/>
          <w:szCs w:val="20"/>
          <w:lang w:val="es-CR"/>
        </w:rPr>
        <w:t>(punto resolutivo décimo segundo</w:t>
      </w:r>
      <w:r w:rsidR="000A6202">
        <w:rPr>
          <w:rFonts w:ascii="Verdana" w:hAnsi="Verdana"/>
          <w:i/>
          <w:sz w:val="20"/>
          <w:szCs w:val="20"/>
          <w:lang w:val="es-CR"/>
        </w:rPr>
        <w:t xml:space="preserve"> de la Sentencia</w:t>
      </w:r>
      <w:r w:rsidR="006D684B">
        <w:rPr>
          <w:rFonts w:ascii="Verdana" w:hAnsi="Verdana"/>
          <w:i/>
          <w:sz w:val="20"/>
          <w:szCs w:val="20"/>
          <w:lang w:val="es-CR"/>
        </w:rPr>
        <w:t>)</w:t>
      </w:r>
      <w:r w:rsidR="000A6202">
        <w:rPr>
          <w:rFonts w:ascii="Verdana" w:hAnsi="Verdana"/>
          <w:sz w:val="20"/>
          <w:szCs w:val="20"/>
          <w:lang w:val="es-CR"/>
        </w:rPr>
        <w:t>,</w:t>
      </w:r>
      <w:r>
        <w:rPr>
          <w:rFonts w:ascii="Verdana" w:hAnsi="Verdana"/>
          <w:sz w:val="20"/>
          <w:szCs w:val="20"/>
          <w:lang w:val="es-CR"/>
        </w:rPr>
        <w:t xml:space="preserve"> y</w:t>
      </w:r>
    </w:p>
    <w:p w14:paraId="4CBD963F" w14:textId="77777777" w:rsidR="000D20B0" w:rsidRPr="006D684B" w:rsidRDefault="000D20B0" w:rsidP="006D684B">
      <w:pPr>
        <w:pStyle w:val="FootnoteText"/>
        <w:ind w:left="720"/>
        <w:jc w:val="both"/>
        <w:rPr>
          <w:rFonts w:ascii="Verdana" w:hAnsi="Verdana"/>
          <w:sz w:val="20"/>
          <w:szCs w:val="20"/>
          <w:lang w:val="es-CR"/>
        </w:rPr>
      </w:pPr>
    </w:p>
    <w:p w14:paraId="69916085" w14:textId="126ECF19" w:rsidR="006D684B" w:rsidRDefault="000A4456" w:rsidP="006D684B">
      <w:pPr>
        <w:pStyle w:val="FootnoteText"/>
        <w:ind w:left="720"/>
        <w:jc w:val="both"/>
        <w:rPr>
          <w:rFonts w:ascii="Verdana" w:hAnsi="Verdana"/>
          <w:sz w:val="20"/>
          <w:szCs w:val="20"/>
          <w:lang w:val="es-CR"/>
        </w:rPr>
      </w:pPr>
      <w:r>
        <w:rPr>
          <w:rFonts w:ascii="Verdana" w:hAnsi="Verdana"/>
          <w:sz w:val="20"/>
          <w:szCs w:val="20"/>
          <w:lang w:val="es-CR"/>
        </w:rPr>
        <w:t>g</w:t>
      </w:r>
      <w:r w:rsidR="006D684B" w:rsidRPr="006D684B">
        <w:rPr>
          <w:rFonts w:ascii="Verdana" w:hAnsi="Verdana"/>
          <w:sz w:val="20"/>
          <w:szCs w:val="20"/>
          <w:lang w:val="es-CR"/>
        </w:rPr>
        <w:t>) brindar atención médica o psicológica gratuita, de forma inmediata, adecuada y efectiva, a través de instituciones estatales de salud especializadas, a Rosa Elvira Franco Sandoval, si ella así lo desea</w:t>
      </w:r>
      <w:r w:rsidR="006D684B">
        <w:rPr>
          <w:rFonts w:ascii="Verdana" w:hAnsi="Verdana"/>
          <w:sz w:val="20"/>
          <w:szCs w:val="20"/>
          <w:lang w:val="es-CR"/>
        </w:rPr>
        <w:t xml:space="preserve"> </w:t>
      </w:r>
      <w:r w:rsidR="006D684B">
        <w:rPr>
          <w:rFonts w:ascii="Verdana" w:hAnsi="Verdana"/>
          <w:i/>
          <w:sz w:val="20"/>
          <w:szCs w:val="20"/>
          <w:lang w:val="es-CR"/>
        </w:rPr>
        <w:t>(punto resolutivo décimo tercero</w:t>
      </w:r>
      <w:r w:rsidR="000A6202">
        <w:rPr>
          <w:rFonts w:ascii="Verdana" w:hAnsi="Verdana"/>
          <w:i/>
          <w:sz w:val="20"/>
          <w:szCs w:val="20"/>
          <w:lang w:val="es-CR"/>
        </w:rPr>
        <w:t xml:space="preserve"> de la Sentencia</w:t>
      </w:r>
      <w:r w:rsidR="006D684B">
        <w:rPr>
          <w:rFonts w:ascii="Verdana" w:hAnsi="Verdana"/>
          <w:i/>
          <w:sz w:val="20"/>
          <w:szCs w:val="20"/>
          <w:lang w:val="es-CR"/>
        </w:rPr>
        <w:t>)</w:t>
      </w:r>
      <w:r>
        <w:rPr>
          <w:rFonts w:ascii="Verdana" w:hAnsi="Verdana"/>
          <w:sz w:val="20"/>
          <w:szCs w:val="20"/>
          <w:lang w:val="es-CR"/>
        </w:rPr>
        <w:t>.</w:t>
      </w:r>
    </w:p>
    <w:p w14:paraId="0930CC93" w14:textId="77777777" w:rsidR="001901D0" w:rsidRDefault="001901D0" w:rsidP="001901D0">
      <w:pPr>
        <w:pStyle w:val="ListParagraph"/>
        <w:jc w:val="both"/>
        <w:rPr>
          <w:rFonts w:ascii="Verdana" w:hAnsi="Verdana"/>
          <w:sz w:val="20"/>
          <w:lang w:val="es-CR"/>
        </w:rPr>
      </w:pPr>
    </w:p>
    <w:p w14:paraId="3024D95A" w14:textId="77777777" w:rsidR="006D684B" w:rsidRDefault="006D684B" w:rsidP="001901D0">
      <w:pPr>
        <w:pStyle w:val="ListParagraph"/>
        <w:jc w:val="both"/>
        <w:rPr>
          <w:rFonts w:ascii="Verdana" w:hAnsi="Verdana"/>
          <w:sz w:val="20"/>
          <w:lang w:val="es-CR"/>
        </w:rPr>
      </w:pPr>
    </w:p>
    <w:p w14:paraId="10B32325" w14:textId="43A5D179" w:rsidR="001901D0" w:rsidRPr="00FD7552" w:rsidRDefault="001901D0" w:rsidP="00FD7552">
      <w:pPr>
        <w:pStyle w:val="ListParagraph"/>
        <w:numPr>
          <w:ilvl w:val="0"/>
          <w:numId w:val="5"/>
        </w:numPr>
        <w:ind w:left="0" w:firstLine="0"/>
        <w:jc w:val="both"/>
        <w:rPr>
          <w:rFonts w:ascii="Verdana" w:hAnsi="Verdana"/>
          <w:sz w:val="20"/>
          <w:lang w:val="es-CR"/>
        </w:rPr>
      </w:pPr>
      <w:r>
        <w:rPr>
          <w:rFonts w:ascii="Verdana" w:hAnsi="Verdana"/>
          <w:sz w:val="20"/>
          <w:lang w:val="es-CR"/>
        </w:rPr>
        <w:t xml:space="preserve">Requerir al Estado que presente a la Corte Interamericana de Derechos Humanos, a más tardar el </w:t>
      </w:r>
      <w:r w:rsidR="000A4456">
        <w:rPr>
          <w:rFonts w:ascii="Verdana" w:hAnsi="Verdana"/>
          <w:sz w:val="20"/>
          <w:lang w:val="es-CR"/>
        </w:rPr>
        <w:t>19</w:t>
      </w:r>
      <w:r>
        <w:rPr>
          <w:rFonts w:ascii="Verdana" w:hAnsi="Verdana"/>
          <w:sz w:val="20"/>
          <w:lang w:val="es-CR"/>
        </w:rPr>
        <w:t xml:space="preserve"> de </w:t>
      </w:r>
      <w:r w:rsidR="000A4456">
        <w:rPr>
          <w:rFonts w:ascii="Verdana" w:hAnsi="Verdana"/>
          <w:sz w:val="20"/>
          <w:lang w:val="es-CR"/>
        </w:rPr>
        <w:t>enero</w:t>
      </w:r>
      <w:r>
        <w:rPr>
          <w:rFonts w:ascii="Verdana" w:hAnsi="Verdana"/>
          <w:sz w:val="20"/>
          <w:lang w:val="es-CR"/>
        </w:rPr>
        <w:t xml:space="preserve"> de 201</w:t>
      </w:r>
      <w:r w:rsidR="000A4456">
        <w:rPr>
          <w:rFonts w:ascii="Verdana" w:hAnsi="Verdana"/>
          <w:sz w:val="20"/>
          <w:lang w:val="es-CR"/>
        </w:rPr>
        <w:t>8</w:t>
      </w:r>
      <w:r>
        <w:rPr>
          <w:rFonts w:ascii="Verdana" w:hAnsi="Verdana"/>
          <w:sz w:val="20"/>
          <w:lang w:val="es-CR"/>
        </w:rPr>
        <w:t>, un informe sobre el cumplimiento de la Sentencia, en el cual se refiera a todas las reparaciones pendientes de cumplimiento.</w:t>
      </w:r>
    </w:p>
    <w:p w14:paraId="435806ED" w14:textId="77777777" w:rsidR="001901D0" w:rsidRDefault="001901D0" w:rsidP="001901D0">
      <w:pPr>
        <w:pStyle w:val="ListParagraph"/>
        <w:jc w:val="both"/>
        <w:rPr>
          <w:rFonts w:ascii="Verdana" w:hAnsi="Verdana"/>
          <w:sz w:val="20"/>
          <w:lang w:val="es-CR"/>
        </w:rPr>
      </w:pPr>
    </w:p>
    <w:p w14:paraId="08E6B317" w14:textId="77777777" w:rsidR="00153249" w:rsidRDefault="00153249" w:rsidP="001901D0">
      <w:pPr>
        <w:pStyle w:val="ListParagraph"/>
        <w:jc w:val="both"/>
        <w:rPr>
          <w:rFonts w:ascii="Verdana" w:hAnsi="Verdana"/>
          <w:sz w:val="20"/>
          <w:lang w:val="es-CR"/>
        </w:rPr>
      </w:pPr>
    </w:p>
    <w:p w14:paraId="230E8CB0" w14:textId="77777777" w:rsidR="001901D0" w:rsidRDefault="001901D0" w:rsidP="001901D0">
      <w:pPr>
        <w:pStyle w:val="ListParagraph"/>
        <w:numPr>
          <w:ilvl w:val="0"/>
          <w:numId w:val="5"/>
        </w:numPr>
        <w:ind w:left="0" w:firstLine="0"/>
        <w:jc w:val="both"/>
        <w:rPr>
          <w:rFonts w:ascii="Verdana" w:hAnsi="Verdana"/>
          <w:sz w:val="20"/>
          <w:lang w:val="es-CR"/>
        </w:rPr>
      </w:pPr>
      <w:r>
        <w:rPr>
          <w:rFonts w:ascii="Verdana" w:hAnsi="Verdana"/>
          <w:sz w:val="20"/>
          <w:lang w:val="es-CR"/>
        </w:rPr>
        <w:t xml:space="preserve">Requerir a la representante de la víctima y a la Comisión Interamericana de Derechos Humanos que presenten observaciones al informe del Estado mencionado en el punto resolutivo anterior, en los plazos de cuatro y seis semanas, respectivamente, contados a partir de la recepción del informe. </w:t>
      </w:r>
    </w:p>
    <w:p w14:paraId="00380692" w14:textId="77777777" w:rsidR="00FD7552" w:rsidRDefault="00FD7552" w:rsidP="00FD7552">
      <w:pPr>
        <w:pStyle w:val="ListParagraph"/>
        <w:rPr>
          <w:rFonts w:ascii="Verdana" w:hAnsi="Verdana"/>
          <w:sz w:val="20"/>
          <w:lang w:val="es-CR"/>
        </w:rPr>
      </w:pPr>
    </w:p>
    <w:p w14:paraId="15712916" w14:textId="77777777" w:rsidR="00153249" w:rsidRPr="00FD7552" w:rsidRDefault="00153249" w:rsidP="00FD7552">
      <w:pPr>
        <w:pStyle w:val="ListParagraph"/>
        <w:rPr>
          <w:rFonts w:ascii="Verdana" w:hAnsi="Verdana"/>
          <w:sz w:val="20"/>
          <w:lang w:val="es-CR"/>
        </w:rPr>
      </w:pPr>
    </w:p>
    <w:p w14:paraId="2002B7B2" w14:textId="500C20FA" w:rsidR="00E45BC4" w:rsidRDefault="00FD7552" w:rsidP="00E45BC4">
      <w:pPr>
        <w:pStyle w:val="ListParagraph"/>
        <w:numPr>
          <w:ilvl w:val="0"/>
          <w:numId w:val="5"/>
        </w:numPr>
        <w:ind w:left="0" w:firstLine="0"/>
        <w:jc w:val="both"/>
        <w:rPr>
          <w:rFonts w:ascii="Verdana" w:hAnsi="Verdana"/>
          <w:sz w:val="20"/>
          <w:lang w:val="es-CR"/>
        </w:rPr>
      </w:pPr>
      <w:r>
        <w:rPr>
          <w:rFonts w:ascii="Verdana" w:hAnsi="Verdana"/>
          <w:sz w:val="20"/>
          <w:lang w:val="es-CR"/>
        </w:rPr>
        <w:t xml:space="preserve">Requerir a la Secretaría de la Corte que notifique la presente Resolución al Estado, a </w:t>
      </w:r>
      <w:r w:rsidR="00D12044">
        <w:rPr>
          <w:rFonts w:ascii="Verdana" w:hAnsi="Verdana"/>
          <w:sz w:val="20"/>
          <w:lang w:val="es-CR"/>
        </w:rPr>
        <w:t>la representante</w:t>
      </w:r>
      <w:r>
        <w:rPr>
          <w:rFonts w:ascii="Verdana" w:hAnsi="Verdana"/>
          <w:sz w:val="20"/>
          <w:lang w:val="es-CR"/>
        </w:rPr>
        <w:t xml:space="preserve"> de las víctimas y a la Comisión Interamericana de Derechos Humanos. </w:t>
      </w:r>
    </w:p>
    <w:p w14:paraId="7C5A07E2" w14:textId="77777777" w:rsidR="00E45BC4" w:rsidRDefault="00E45BC4" w:rsidP="00E45BC4">
      <w:pPr>
        <w:pStyle w:val="ListParagraph"/>
        <w:ind w:left="0"/>
        <w:jc w:val="both"/>
        <w:rPr>
          <w:rFonts w:ascii="Verdana" w:hAnsi="Verdana"/>
          <w:sz w:val="20"/>
          <w:lang w:val="es-CR"/>
        </w:rPr>
      </w:pPr>
    </w:p>
    <w:p w14:paraId="3647C828" w14:textId="77777777" w:rsidR="008D2B8B" w:rsidRPr="0050042A" w:rsidRDefault="008D2B8B" w:rsidP="008D2B8B">
      <w:pPr>
        <w:keepNext/>
        <w:jc w:val="both"/>
        <w:outlineLvl w:val="0"/>
        <w:rPr>
          <w:rFonts w:ascii="Verdana" w:hAnsi="Verdana" w:cs="Verdana"/>
          <w:b/>
          <w:bCs/>
          <w:sz w:val="20"/>
          <w:lang w:val="es-ES"/>
        </w:rPr>
      </w:pPr>
      <w:r w:rsidRPr="0050042A">
        <w:rPr>
          <w:rFonts w:ascii="Verdana" w:hAnsi="Verdana" w:cs="Courier New"/>
          <w:noProof/>
          <w:sz w:val="20"/>
          <w:lang w:val="es-AR"/>
        </w:rPr>
        <w:t xml:space="preserve">Corte IDH. </w:t>
      </w:r>
      <w:r w:rsidRPr="0050042A">
        <w:rPr>
          <w:rFonts w:ascii="Verdana" w:hAnsi="Verdana"/>
          <w:bCs/>
          <w:i/>
          <w:sz w:val="20"/>
          <w:lang w:val="es-CR"/>
        </w:rPr>
        <w:t xml:space="preserve">Caso </w:t>
      </w:r>
      <w:r>
        <w:rPr>
          <w:rFonts w:ascii="Verdana" w:hAnsi="Verdana"/>
          <w:bCs/>
          <w:i/>
          <w:sz w:val="20"/>
          <w:lang w:val="es-CR"/>
        </w:rPr>
        <w:t xml:space="preserve">Véliz Franco </w:t>
      </w:r>
      <w:r w:rsidRPr="0050042A">
        <w:rPr>
          <w:rFonts w:ascii="Verdana" w:hAnsi="Verdana"/>
          <w:bCs/>
          <w:i/>
          <w:sz w:val="20"/>
          <w:lang w:val="es-CR"/>
        </w:rPr>
        <w:t>Vs. Guatemala</w:t>
      </w:r>
      <w:r w:rsidRPr="0050042A">
        <w:rPr>
          <w:rFonts w:ascii="Verdana" w:hAnsi="Verdana"/>
          <w:i/>
          <w:sz w:val="20"/>
          <w:lang w:val="es-ES"/>
        </w:rPr>
        <w:t>.</w:t>
      </w:r>
      <w:r w:rsidRPr="0050042A">
        <w:rPr>
          <w:rFonts w:ascii="Verdana" w:hAnsi="Verdana" w:cs="Arial"/>
          <w:i/>
          <w:sz w:val="20"/>
          <w:lang w:val="es-CR"/>
        </w:rPr>
        <w:t xml:space="preserve"> </w:t>
      </w:r>
      <w:r w:rsidRPr="0050042A">
        <w:rPr>
          <w:rFonts w:ascii="Verdana" w:hAnsi="Verdana"/>
          <w:sz w:val="20"/>
          <w:lang w:val="es-CR"/>
        </w:rPr>
        <w:t xml:space="preserve">Supervisión de cumplimiento de sentencia. </w:t>
      </w:r>
      <w:r w:rsidRPr="0050042A">
        <w:rPr>
          <w:rFonts w:ascii="Verdana" w:hAnsi="Verdana"/>
          <w:sz w:val="20"/>
          <w:lang w:val="es-ES"/>
        </w:rPr>
        <w:t xml:space="preserve">Resolución de la Corte Interamericana de Derechos Humanos de </w:t>
      </w:r>
      <w:r>
        <w:rPr>
          <w:rFonts w:ascii="Verdana" w:hAnsi="Verdana"/>
          <w:sz w:val="20"/>
          <w:lang w:val="es-CR"/>
        </w:rPr>
        <w:t>29</w:t>
      </w:r>
      <w:r w:rsidRPr="0050042A">
        <w:rPr>
          <w:rFonts w:ascii="Verdana" w:hAnsi="Verdana"/>
          <w:sz w:val="20"/>
          <w:lang w:val="es-CR"/>
        </w:rPr>
        <w:t xml:space="preserve"> de </w:t>
      </w:r>
      <w:r>
        <w:rPr>
          <w:rFonts w:ascii="Verdana" w:hAnsi="Verdana"/>
          <w:sz w:val="20"/>
          <w:lang w:val="es-CR"/>
        </w:rPr>
        <w:t>agosto</w:t>
      </w:r>
      <w:r w:rsidRPr="0050042A">
        <w:rPr>
          <w:rFonts w:ascii="Verdana" w:hAnsi="Verdana"/>
          <w:sz w:val="20"/>
          <w:lang w:val="es-CR"/>
        </w:rPr>
        <w:t xml:space="preserve"> de 2017</w:t>
      </w:r>
      <w:r w:rsidRPr="0050042A">
        <w:rPr>
          <w:rFonts w:ascii="Verdana" w:hAnsi="Verdana"/>
          <w:sz w:val="20"/>
          <w:lang w:val="es-ES"/>
        </w:rPr>
        <w:t xml:space="preserve">. </w:t>
      </w:r>
    </w:p>
    <w:p w14:paraId="7AD6744E" w14:textId="77777777" w:rsidR="008D2B8B" w:rsidRPr="0050042A" w:rsidRDefault="008D2B8B" w:rsidP="008D2B8B">
      <w:pPr>
        <w:jc w:val="center"/>
        <w:rPr>
          <w:rFonts w:ascii="Verdana" w:hAnsi="Verdana"/>
          <w:sz w:val="20"/>
          <w:lang w:val="es-ES"/>
        </w:rPr>
      </w:pPr>
    </w:p>
    <w:p w14:paraId="70105A5C" w14:textId="77777777" w:rsidR="008D2B8B" w:rsidRDefault="008D2B8B" w:rsidP="008D2B8B">
      <w:pPr>
        <w:rPr>
          <w:rFonts w:ascii="Verdana" w:eastAsia="Calibri" w:hAnsi="Verdana"/>
          <w:b/>
          <w:i/>
          <w:sz w:val="20"/>
          <w:lang w:val="es-CR"/>
        </w:rPr>
      </w:pPr>
    </w:p>
    <w:p w14:paraId="3E67813F" w14:textId="77777777" w:rsidR="008D2B8B" w:rsidRPr="00EA2C27" w:rsidRDefault="008D2B8B" w:rsidP="008D2B8B">
      <w:pPr>
        <w:rPr>
          <w:rFonts w:ascii="Verdana" w:hAnsi="Verdana"/>
          <w:sz w:val="20"/>
          <w:lang w:val="es-MX"/>
        </w:rPr>
      </w:pPr>
    </w:p>
    <w:p w14:paraId="23D61119" w14:textId="77777777" w:rsidR="008D2B8B" w:rsidRDefault="008D2B8B" w:rsidP="008D2B8B">
      <w:pPr>
        <w:jc w:val="center"/>
        <w:rPr>
          <w:rFonts w:ascii="Verdana" w:hAnsi="Verdana"/>
          <w:sz w:val="20"/>
          <w:lang w:val="es-ES"/>
        </w:rPr>
      </w:pPr>
    </w:p>
    <w:p w14:paraId="665AC34C" w14:textId="77777777" w:rsidR="008D2B8B" w:rsidRPr="004B7A1D" w:rsidRDefault="008D2B8B" w:rsidP="008D2B8B">
      <w:pPr>
        <w:jc w:val="center"/>
        <w:rPr>
          <w:rFonts w:ascii="Verdana" w:hAnsi="Verdana"/>
          <w:sz w:val="20"/>
          <w:lang w:val="es-ES"/>
        </w:rPr>
      </w:pPr>
      <w:r>
        <w:rPr>
          <w:rFonts w:ascii="Verdana" w:hAnsi="Verdana"/>
          <w:sz w:val="20"/>
          <w:lang w:val="es-ES"/>
        </w:rPr>
        <w:t>Roberto F. Caldas</w:t>
      </w:r>
    </w:p>
    <w:p w14:paraId="430324EF" w14:textId="77777777" w:rsidR="008D2B8B" w:rsidRPr="004B7A1D" w:rsidRDefault="008D2B8B" w:rsidP="008D2B8B">
      <w:pPr>
        <w:jc w:val="center"/>
        <w:rPr>
          <w:rFonts w:ascii="Verdana" w:hAnsi="Verdana"/>
          <w:sz w:val="20"/>
          <w:lang w:val="es-ES"/>
        </w:rPr>
      </w:pPr>
      <w:r w:rsidRPr="004B7A1D">
        <w:rPr>
          <w:rFonts w:ascii="Verdana" w:hAnsi="Verdana"/>
          <w:sz w:val="20"/>
          <w:lang w:val="es-ES"/>
        </w:rPr>
        <w:t xml:space="preserve">Presidente </w:t>
      </w:r>
    </w:p>
    <w:p w14:paraId="6AACB4FF" w14:textId="77777777" w:rsidR="008D2B8B" w:rsidRPr="004B7A1D" w:rsidRDefault="008D2B8B" w:rsidP="008D2B8B">
      <w:pPr>
        <w:jc w:val="both"/>
        <w:rPr>
          <w:rFonts w:ascii="Verdana" w:hAnsi="Verdana"/>
          <w:sz w:val="20"/>
          <w:lang w:val="es-ES"/>
        </w:rPr>
      </w:pPr>
    </w:p>
    <w:p w14:paraId="7EA8821C" w14:textId="77777777" w:rsidR="008D2B8B" w:rsidRPr="004B7A1D" w:rsidRDefault="008D2B8B" w:rsidP="008D2B8B">
      <w:pPr>
        <w:tabs>
          <w:tab w:val="left" w:pos="1485"/>
        </w:tabs>
        <w:jc w:val="both"/>
        <w:rPr>
          <w:rFonts w:ascii="Verdana" w:hAnsi="Verdana"/>
          <w:sz w:val="20"/>
          <w:lang w:val="es-ES"/>
        </w:rPr>
      </w:pPr>
      <w:r>
        <w:rPr>
          <w:rFonts w:ascii="Verdana" w:hAnsi="Verdana"/>
          <w:sz w:val="20"/>
          <w:lang w:val="es-ES"/>
        </w:rPr>
        <w:tab/>
      </w:r>
    </w:p>
    <w:p w14:paraId="552B5AC3" w14:textId="77777777" w:rsidR="008D2B8B" w:rsidRPr="004B7A1D" w:rsidRDefault="008D2B8B" w:rsidP="008D2B8B">
      <w:pPr>
        <w:jc w:val="both"/>
        <w:rPr>
          <w:rFonts w:ascii="Verdana" w:hAnsi="Verdana"/>
          <w:sz w:val="20"/>
          <w:lang w:val="es-ES"/>
        </w:rPr>
      </w:pPr>
    </w:p>
    <w:p w14:paraId="7B45D6E2" w14:textId="77777777" w:rsidR="008D2B8B" w:rsidRPr="004B7A1D" w:rsidRDefault="008D2B8B" w:rsidP="008D2B8B">
      <w:pPr>
        <w:jc w:val="both"/>
        <w:rPr>
          <w:rFonts w:ascii="Verdana" w:hAnsi="Verdana"/>
          <w:sz w:val="20"/>
          <w:lang w:val="es-ES"/>
        </w:rPr>
      </w:pPr>
    </w:p>
    <w:p w14:paraId="41519975" w14:textId="77777777" w:rsidR="008D2B8B" w:rsidRPr="004B7A1D" w:rsidRDefault="008D2B8B" w:rsidP="008D2B8B">
      <w:pPr>
        <w:jc w:val="both"/>
        <w:rPr>
          <w:rFonts w:ascii="Verdana" w:hAnsi="Verdana"/>
          <w:sz w:val="20"/>
          <w:lang w:val="es-ES"/>
        </w:rPr>
      </w:pPr>
      <w:r>
        <w:rPr>
          <w:rFonts w:ascii="Verdana" w:hAnsi="Verdana"/>
          <w:sz w:val="20"/>
          <w:lang w:val="es-ES"/>
        </w:rPr>
        <w:t>Eduardo Ferrer Mac-Gregor Poisot</w:t>
      </w:r>
      <w:r w:rsidRPr="004B7A1D">
        <w:rPr>
          <w:rFonts w:ascii="Verdana" w:hAnsi="Verdana"/>
          <w:sz w:val="20"/>
          <w:lang w:val="es-ES"/>
        </w:rPr>
        <w:tab/>
      </w:r>
      <w:r w:rsidRPr="004B7A1D">
        <w:rPr>
          <w:rFonts w:ascii="Verdana" w:hAnsi="Verdana"/>
          <w:sz w:val="20"/>
          <w:lang w:val="es-ES"/>
        </w:rPr>
        <w:tab/>
      </w:r>
      <w:r w:rsidRPr="004B7A1D">
        <w:rPr>
          <w:rFonts w:ascii="Verdana" w:hAnsi="Verdana"/>
          <w:sz w:val="20"/>
          <w:lang w:val="es-ES"/>
        </w:rPr>
        <w:tab/>
      </w:r>
      <w:r w:rsidRPr="004B7A1D">
        <w:rPr>
          <w:rFonts w:ascii="Verdana" w:hAnsi="Verdana"/>
          <w:sz w:val="20"/>
          <w:lang w:val="es-ES"/>
        </w:rPr>
        <w:tab/>
      </w:r>
      <w:r w:rsidRPr="004B7A1D">
        <w:rPr>
          <w:rFonts w:ascii="Verdana" w:hAnsi="Verdana"/>
          <w:sz w:val="20"/>
          <w:lang w:val="es-ES"/>
        </w:rPr>
        <w:tab/>
      </w:r>
      <w:r>
        <w:rPr>
          <w:rFonts w:ascii="Verdana" w:hAnsi="Verdana"/>
          <w:sz w:val="20"/>
          <w:lang w:val="es-ES"/>
        </w:rPr>
        <w:t xml:space="preserve">       Eduardo Vio Grossi</w:t>
      </w:r>
    </w:p>
    <w:p w14:paraId="7278F2FF" w14:textId="77777777" w:rsidR="008D2B8B" w:rsidRPr="004B7A1D" w:rsidRDefault="008D2B8B" w:rsidP="008D2B8B">
      <w:pPr>
        <w:jc w:val="both"/>
        <w:rPr>
          <w:rFonts w:ascii="Verdana" w:hAnsi="Verdana"/>
          <w:sz w:val="20"/>
          <w:lang w:val="es-ES"/>
        </w:rPr>
      </w:pPr>
    </w:p>
    <w:p w14:paraId="250F0425" w14:textId="77777777" w:rsidR="008D2B8B" w:rsidRPr="004B7A1D" w:rsidRDefault="008D2B8B" w:rsidP="008D2B8B">
      <w:pPr>
        <w:jc w:val="both"/>
        <w:rPr>
          <w:rFonts w:ascii="Verdana" w:hAnsi="Verdana"/>
          <w:sz w:val="20"/>
          <w:lang w:val="es-ES"/>
        </w:rPr>
      </w:pPr>
    </w:p>
    <w:p w14:paraId="4C1EBB4F" w14:textId="77777777" w:rsidR="008D2B8B" w:rsidRPr="004B7A1D" w:rsidRDefault="008D2B8B" w:rsidP="008D2B8B">
      <w:pPr>
        <w:jc w:val="both"/>
        <w:rPr>
          <w:rFonts w:ascii="Verdana" w:hAnsi="Verdana"/>
          <w:sz w:val="20"/>
          <w:lang w:val="es-ES"/>
        </w:rPr>
      </w:pPr>
    </w:p>
    <w:p w14:paraId="1729DA25" w14:textId="77777777" w:rsidR="008D2B8B" w:rsidRPr="004B7A1D" w:rsidRDefault="008D2B8B" w:rsidP="008D2B8B">
      <w:pPr>
        <w:jc w:val="both"/>
        <w:rPr>
          <w:rFonts w:ascii="Verdana" w:hAnsi="Verdana"/>
          <w:sz w:val="20"/>
          <w:lang w:val="es-ES"/>
        </w:rPr>
      </w:pPr>
    </w:p>
    <w:p w14:paraId="3BA268E7" w14:textId="77777777" w:rsidR="008D2B8B" w:rsidRPr="004B7A1D" w:rsidRDefault="008D2B8B" w:rsidP="008D2B8B">
      <w:pPr>
        <w:jc w:val="both"/>
        <w:rPr>
          <w:rFonts w:ascii="Verdana" w:hAnsi="Verdana"/>
          <w:sz w:val="20"/>
          <w:lang w:val="es-ES"/>
        </w:rPr>
      </w:pPr>
      <w:r>
        <w:rPr>
          <w:rFonts w:ascii="Verdana" w:hAnsi="Verdana"/>
          <w:sz w:val="20"/>
          <w:lang w:val="es-ES"/>
        </w:rPr>
        <w:t>Humberto Antonio Sierra Porto</w:t>
      </w:r>
      <w:r>
        <w:rPr>
          <w:rFonts w:ascii="Verdana" w:hAnsi="Verdana"/>
          <w:sz w:val="20"/>
          <w:lang w:val="es-ES"/>
        </w:rPr>
        <w:tab/>
      </w:r>
      <w:r>
        <w:rPr>
          <w:rFonts w:ascii="Verdana" w:hAnsi="Verdana"/>
          <w:sz w:val="20"/>
          <w:lang w:val="es-ES"/>
        </w:rPr>
        <w:tab/>
      </w:r>
      <w:r>
        <w:rPr>
          <w:rFonts w:ascii="Verdana" w:hAnsi="Verdana"/>
          <w:sz w:val="20"/>
          <w:lang w:val="es-ES"/>
        </w:rPr>
        <w:tab/>
      </w:r>
      <w:r>
        <w:rPr>
          <w:rFonts w:ascii="Verdana" w:hAnsi="Verdana"/>
          <w:sz w:val="20"/>
          <w:lang w:val="es-ES"/>
        </w:rPr>
        <w:tab/>
      </w:r>
      <w:r>
        <w:rPr>
          <w:rFonts w:ascii="Verdana" w:hAnsi="Verdana"/>
          <w:sz w:val="20"/>
          <w:lang w:val="es-ES"/>
        </w:rPr>
        <w:tab/>
        <w:t xml:space="preserve">    Elizabeth Odio Benito</w:t>
      </w:r>
      <w:r w:rsidRPr="004B7A1D">
        <w:rPr>
          <w:rFonts w:ascii="Verdana" w:hAnsi="Verdana"/>
          <w:sz w:val="20"/>
          <w:lang w:val="es-ES"/>
        </w:rPr>
        <w:t xml:space="preserve"> </w:t>
      </w:r>
    </w:p>
    <w:p w14:paraId="609F26E1" w14:textId="77777777" w:rsidR="008D2B8B" w:rsidRPr="004B7A1D" w:rsidRDefault="008D2B8B" w:rsidP="008D2B8B">
      <w:pPr>
        <w:jc w:val="both"/>
        <w:rPr>
          <w:rFonts w:ascii="Verdana" w:hAnsi="Verdana"/>
          <w:sz w:val="20"/>
          <w:lang w:val="es-ES"/>
        </w:rPr>
      </w:pPr>
    </w:p>
    <w:p w14:paraId="1D5C827F" w14:textId="77777777" w:rsidR="008D2B8B" w:rsidRPr="004B7A1D" w:rsidRDefault="008D2B8B" w:rsidP="008D2B8B">
      <w:pPr>
        <w:jc w:val="both"/>
        <w:rPr>
          <w:rFonts w:ascii="Verdana" w:hAnsi="Verdana"/>
          <w:sz w:val="20"/>
          <w:lang w:val="es-ES"/>
        </w:rPr>
      </w:pPr>
    </w:p>
    <w:p w14:paraId="01070713" w14:textId="77777777" w:rsidR="008D2B8B" w:rsidRPr="004B7A1D" w:rsidRDefault="008D2B8B" w:rsidP="008D2B8B">
      <w:pPr>
        <w:jc w:val="both"/>
        <w:rPr>
          <w:rFonts w:ascii="Verdana" w:hAnsi="Verdana"/>
          <w:sz w:val="20"/>
          <w:lang w:val="es-ES"/>
        </w:rPr>
      </w:pPr>
    </w:p>
    <w:p w14:paraId="05A71B94" w14:textId="77777777" w:rsidR="008D2B8B" w:rsidRPr="004B7A1D" w:rsidRDefault="008D2B8B" w:rsidP="008D2B8B">
      <w:pPr>
        <w:jc w:val="both"/>
        <w:rPr>
          <w:rFonts w:ascii="Verdana" w:hAnsi="Verdana"/>
          <w:sz w:val="20"/>
          <w:lang w:val="es-ES"/>
        </w:rPr>
      </w:pPr>
    </w:p>
    <w:p w14:paraId="76D9AEAB" w14:textId="77777777" w:rsidR="008D2B8B" w:rsidRPr="004B7A1D" w:rsidRDefault="008D2B8B" w:rsidP="008D2B8B">
      <w:pPr>
        <w:rPr>
          <w:rFonts w:ascii="Verdana" w:hAnsi="Verdana"/>
          <w:sz w:val="20"/>
          <w:lang w:val="es-ES"/>
        </w:rPr>
      </w:pPr>
      <w:r>
        <w:rPr>
          <w:rFonts w:ascii="Verdana" w:hAnsi="Verdana"/>
          <w:sz w:val="20"/>
          <w:lang w:val="es-ES"/>
        </w:rPr>
        <w:t>Eugenio Raúl Zaffaroni</w:t>
      </w:r>
      <w:r w:rsidRPr="004B7A1D">
        <w:rPr>
          <w:rFonts w:ascii="Verdana" w:hAnsi="Verdana"/>
          <w:sz w:val="20"/>
          <w:lang w:val="es-ES"/>
        </w:rPr>
        <w:t xml:space="preserve"> </w:t>
      </w:r>
      <w:r>
        <w:rPr>
          <w:rFonts w:ascii="Verdana" w:hAnsi="Verdana"/>
          <w:sz w:val="20"/>
          <w:lang w:val="es-ES"/>
        </w:rPr>
        <w:tab/>
      </w:r>
      <w:r>
        <w:rPr>
          <w:rFonts w:ascii="Verdana" w:hAnsi="Verdana"/>
          <w:sz w:val="20"/>
          <w:lang w:val="es-ES"/>
        </w:rPr>
        <w:tab/>
      </w:r>
      <w:r>
        <w:rPr>
          <w:rFonts w:ascii="Verdana" w:hAnsi="Verdana"/>
          <w:sz w:val="20"/>
          <w:lang w:val="es-ES"/>
        </w:rPr>
        <w:tab/>
      </w:r>
      <w:r>
        <w:rPr>
          <w:rFonts w:ascii="Verdana" w:hAnsi="Verdana"/>
          <w:sz w:val="20"/>
          <w:lang w:val="es-ES"/>
        </w:rPr>
        <w:tab/>
      </w:r>
      <w:r>
        <w:rPr>
          <w:rFonts w:ascii="Verdana" w:hAnsi="Verdana"/>
          <w:sz w:val="20"/>
          <w:lang w:val="es-ES"/>
        </w:rPr>
        <w:tab/>
        <w:t xml:space="preserve">        L. Patricio Pazmiño Freire</w:t>
      </w:r>
    </w:p>
    <w:p w14:paraId="180EBA6A" w14:textId="77777777" w:rsidR="008D2B8B" w:rsidRPr="004B7A1D" w:rsidRDefault="008D2B8B" w:rsidP="008D2B8B">
      <w:pPr>
        <w:jc w:val="both"/>
        <w:rPr>
          <w:rFonts w:ascii="Verdana" w:hAnsi="Verdana"/>
          <w:sz w:val="20"/>
          <w:lang w:val="es-ES"/>
        </w:rPr>
      </w:pPr>
    </w:p>
    <w:p w14:paraId="08123FF7" w14:textId="77777777" w:rsidR="008D2B8B" w:rsidRPr="004B7A1D" w:rsidRDefault="008D2B8B" w:rsidP="008D2B8B">
      <w:pPr>
        <w:jc w:val="both"/>
        <w:rPr>
          <w:rFonts w:ascii="Verdana" w:hAnsi="Verdana"/>
          <w:sz w:val="20"/>
          <w:lang w:val="es-ES"/>
        </w:rPr>
      </w:pPr>
    </w:p>
    <w:p w14:paraId="3F2C96D6" w14:textId="77777777" w:rsidR="008D2B8B" w:rsidRPr="004B7A1D" w:rsidRDefault="008D2B8B" w:rsidP="008D2B8B">
      <w:pPr>
        <w:jc w:val="both"/>
        <w:rPr>
          <w:rFonts w:ascii="Verdana" w:hAnsi="Verdana"/>
          <w:sz w:val="20"/>
          <w:lang w:val="es-ES"/>
        </w:rPr>
      </w:pPr>
    </w:p>
    <w:p w14:paraId="2CA35ABF" w14:textId="77777777" w:rsidR="008D2B8B" w:rsidRPr="004B7A1D" w:rsidRDefault="008D2B8B" w:rsidP="008D2B8B">
      <w:pPr>
        <w:jc w:val="both"/>
        <w:rPr>
          <w:rFonts w:ascii="Verdana" w:hAnsi="Verdana"/>
          <w:sz w:val="20"/>
          <w:lang w:val="es-CR"/>
        </w:rPr>
      </w:pPr>
    </w:p>
    <w:p w14:paraId="11DD2469" w14:textId="77777777" w:rsidR="008D2B8B" w:rsidRPr="004B7A1D" w:rsidRDefault="008D2B8B" w:rsidP="008D2B8B">
      <w:pPr>
        <w:jc w:val="both"/>
        <w:rPr>
          <w:rFonts w:ascii="Verdana" w:hAnsi="Verdana"/>
          <w:sz w:val="20"/>
          <w:lang w:val="es-ES"/>
        </w:rPr>
      </w:pPr>
    </w:p>
    <w:p w14:paraId="6BCA8D82" w14:textId="77777777" w:rsidR="008D2B8B" w:rsidRPr="004B7A1D" w:rsidRDefault="008D2B8B" w:rsidP="008D2B8B">
      <w:pPr>
        <w:jc w:val="center"/>
        <w:rPr>
          <w:rFonts w:ascii="Verdana" w:hAnsi="Verdana"/>
          <w:sz w:val="20"/>
          <w:lang w:val="es-ES"/>
        </w:rPr>
      </w:pPr>
      <w:r w:rsidRPr="004B7A1D">
        <w:rPr>
          <w:rFonts w:ascii="Verdana" w:hAnsi="Verdana"/>
          <w:sz w:val="20"/>
          <w:lang w:val="es-ES"/>
        </w:rPr>
        <w:t>Pablo Saavedra Alessandri</w:t>
      </w:r>
    </w:p>
    <w:p w14:paraId="54A3AB5D" w14:textId="77777777" w:rsidR="008D2B8B" w:rsidRPr="004B7A1D" w:rsidRDefault="008D2B8B" w:rsidP="008D2B8B">
      <w:pPr>
        <w:jc w:val="center"/>
        <w:rPr>
          <w:rFonts w:ascii="Verdana" w:hAnsi="Verdana"/>
          <w:sz w:val="20"/>
          <w:lang w:val="es-ES"/>
        </w:rPr>
      </w:pPr>
      <w:r w:rsidRPr="004B7A1D">
        <w:rPr>
          <w:rFonts w:ascii="Verdana" w:hAnsi="Verdana"/>
          <w:sz w:val="20"/>
          <w:lang w:val="es-ES"/>
        </w:rPr>
        <w:t>Secretario</w:t>
      </w:r>
    </w:p>
    <w:p w14:paraId="31EDC937" w14:textId="77777777" w:rsidR="008D2B8B" w:rsidRPr="004B7A1D" w:rsidRDefault="008D2B8B" w:rsidP="008D2B8B">
      <w:pPr>
        <w:pStyle w:val="FootnoteText"/>
        <w:rPr>
          <w:rFonts w:ascii="Verdana" w:hAnsi="Verdana"/>
          <w:lang w:val="es-ES"/>
        </w:rPr>
      </w:pPr>
    </w:p>
    <w:p w14:paraId="0A4D12DC" w14:textId="77777777" w:rsidR="008D2B8B" w:rsidRPr="004B7A1D" w:rsidRDefault="008D2B8B" w:rsidP="008D2B8B">
      <w:pPr>
        <w:pStyle w:val="FootnoteText"/>
        <w:rPr>
          <w:rFonts w:ascii="Verdana" w:hAnsi="Verdana"/>
          <w:lang w:val="es-ES"/>
        </w:rPr>
      </w:pPr>
    </w:p>
    <w:p w14:paraId="49D92729" w14:textId="77777777" w:rsidR="008D2B8B" w:rsidRPr="004B7A1D" w:rsidRDefault="008D2B8B" w:rsidP="008D2B8B">
      <w:pPr>
        <w:jc w:val="both"/>
        <w:rPr>
          <w:rFonts w:ascii="Verdana" w:hAnsi="Verdana"/>
          <w:sz w:val="20"/>
          <w:lang w:val="es-ES"/>
        </w:rPr>
      </w:pPr>
      <w:r w:rsidRPr="004B7A1D">
        <w:rPr>
          <w:rFonts w:ascii="Verdana" w:hAnsi="Verdana"/>
          <w:sz w:val="20"/>
          <w:lang w:val="es-ES"/>
        </w:rPr>
        <w:t>Comuníquese y ejecútese,</w:t>
      </w:r>
    </w:p>
    <w:p w14:paraId="2AC0344D" w14:textId="77777777" w:rsidR="008D2B8B" w:rsidRPr="004B7A1D" w:rsidRDefault="008D2B8B" w:rsidP="008D2B8B">
      <w:pPr>
        <w:jc w:val="both"/>
        <w:rPr>
          <w:rFonts w:ascii="Verdana" w:hAnsi="Verdana"/>
          <w:sz w:val="20"/>
          <w:lang w:val="es-ES"/>
        </w:rPr>
      </w:pPr>
    </w:p>
    <w:p w14:paraId="2AA330BC" w14:textId="77777777" w:rsidR="008D2B8B" w:rsidRPr="004B7A1D" w:rsidRDefault="008D2B8B" w:rsidP="008D2B8B">
      <w:pPr>
        <w:jc w:val="both"/>
        <w:rPr>
          <w:rFonts w:ascii="Verdana" w:hAnsi="Verdana"/>
          <w:sz w:val="20"/>
          <w:lang w:val="es-ES"/>
        </w:rPr>
      </w:pPr>
    </w:p>
    <w:p w14:paraId="51917011" w14:textId="77777777" w:rsidR="008D2B8B" w:rsidRDefault="008D2B8B" w:rsidP="008D2B8B">
      <w:pPr>
        <w:jc w:val="both"/>
        <w:rPr>
          <w:rFonts w:ascii="Verdana" w:hAnsi="Verdana"/>
          <w:sz w:val="20"/>
          <w:lang w:val="es-ES"/>
        </w:rPr>
      </w:pPr>
    </w:p>
    <w:p w14:paraId="538518DC" w14:textId="77777777" w:rsidR="008D2B8B" w:rsidRPr="004B7A1D" w:rsidRDefault="008D2B8B" w:rsidP="008D2B8B">
      <w:pPr>
        <w:jc w:val="both"/>
        <w:rPr>
          <w:rFonts w:ascii="Verdana" w:hAnsi="Verdana"/>
          <w:sz w:val="20"/>
          <w:lang w:val="es-ES"/>
        </w:rPr>
      </w:pPr>
    </w:p>
    <w:p w14:paraId="3417A436" w14:textId="77777777" w:rsidR="008D2B8B" w:rsidRPr="004B7A1D" w:rsidRDefault="008D2B8B" w:rsidP="008D2B8B">
      <w:pPr>
        <w:jc w:val="both"/>
        <w:rPr>
          <w:rFonts w:ascii="Verdana" w:hAnsi="Verdana"/>
          <w:sz w:val="20"/>
          <w:lang w:val="es-ES"/>
        </w:rPr>
      </w:pPr>
    </w:p>
    <w:p w14:paraId="0A0381DD" w14:textId="77777777" w:rsidR="008D2B8B" w:rsidRPr="004B7A1D" w:rsidRDefault="008D2B8B" w:rsidP="008D2B8B">
      <w:pPr>
        <w:ind w:left="4956" w:firstLine="708"/>
        <w:jc w:val="center"/>
        <w:rPr>
          <w:rFonts w:ascii="Verdana" w:hAnsi="Verdana"/>
          <w:sz w:val="20"/>
          <w:lang w:val="es-ES"/>
        </w:rPr>
      </w:pPr>
      <w:r>
        <w:rPr>
          <w:rFonts w:ascii="Verdana" w:hAnsi="Verdana"/>
          <w:sz w:val="20"/>
          <w:lang w:val="es-ES"/>
        </w:rPr>
        <w:t>Roberto F. Caldas</w:t>
      </w:r>
    </w:p>
    <w:p w14:paraId="4399B162" w14:textId="77777777" w:rsidR="008D2B8B" w:rsidRPr="004B7A1D" w:rsidRDefault="008D2B8B" w:rsidP="008D2B8B">
      <w:pPr>
        <w:ind w:left="4956" w:firstLine="708"/>
        <w:jc w:val="center"/>
        <w:rPr>
          <w:rFonts w:ascii="Verdana" w:hAnsi="Verdana"/>
          <w:sz w:val="20"/>
          <w:lang w:val="es-ES"/>
        </w:rPr>
      </w:pPr>
      <w:r w:rsidRPr="004B7A1D">
        <w:rPr>
          <w:rFonts w:ascii="Verdana" w:hAnsi="Verdana"/>
          <w:sz w:val="20"/>
          <w:lang w:val="es-ES"/>
        </w:rPr>
        <w:t xml:space="preserve">Presidente </w:t>
      </w:r>
    </w:p>
    <w:p w14:paraId="7A36DBFB" w14:textId="77777777" w:rsidR="008D2B8B" w:rsidRPr="004B7A1D" w:rsidRDefault="008D2B8B" w:rsidP="008D2B8B">
      <w:pPr>
        <w:jc w:val="both"/>
        <w:rPr>
          <w:rFonts w:ascii="Verdana" w:hAnsi="Verdana"/>
          <w:sz w:val="20"/>
          <w:lang w:val="es-ES"/>
        </w:rPr>
      </w:pPr>
    </w:p>
    <w:p w14:paraId="25A23528" w14:textId="77777777" w:rsidR="008D2B8B" w:rsidRPr="004B7A1D" w:rsidRDefault="008D2B8B" w:rsidP="008D2B8B">
      <w:pPr>
        <w:jc w:val="both"/>
        <w:rPr>
          <w:rFonts w:ascii="Verdana" w:hAnsi="Verdana"/>
          <w:sz w:val="20"/>
          <w:lang w:val="es-ES"/>
        </w:rPr>
      </w:pPr>
    </w:p>
    <w:p w14:paraId="5ADDF481" w14:textId="77777777" w:rsidR="008D2B8B" w:rsidRPr="004B7A1D" w:rsidRDefault="008D2B8B" w:rsidP="008D2B8B">
      <w:pPr>
        <w:jc w:val="both"/>
        <w:rPr>
          <w:rFonts w:ascii="Verdana" w:hAnsi="Verdana"/>
          <w:sz w:val="20"/>
          <w:lang w:val="es-ES"/>
        </w:rPr>
      </w:pPr>
    </w:p>
    <w:p w14:paraId="0FF9E2D1" w14:textId="77777777" w:rsidR="008D2B8B" w:rsidRPr="004B7A1D" w:rsidRDefault="008D2B8B" w:rsidP="008D2B8B">
      <w:pPr>
        <w:jc w:val="both"/>
        <w:rPr>
          <w:rFonts w:ascii="Verdana" w:hAnsi="Verdana"/>
          <w:sz w:val="20"/>
          <w:lang w:val="es-ES"/>
        </w:rPr>
      </w:pPr>
    </w:p>
    <w:p w14:paraId="007F1943" w14:textId="77777777" w:rsidR="008D2B8B" w:rsidRPr="004B7A1D" w:rsidRDefault="008D2B8B" w:rsidP="008D2B8B">
      <w:pPr>
        <w:jc w:val="both"/>
        <w:rPr>
          <w:rFonts w:ascii="Verdana" w:hAnsi="Verdana"/>
          <w:sz w:val="20"/>
          <w:lang w:val="es-ES"/>
        </w:rPr>
      </w:pPr>
      <w:r w:rsidRPr="004B7A1D">
        <w:rPr>
          <w:rFonts w:ascii="Verdana" w:hAnsi="Verdana"/>
          <w:sz w:val="20"/>
          <w:lang w:val="es-ES"/>
        </w:rPr>
        <w:t>Pablo Saavedra Alessandri</w:t>
      </w:r>
    </w:p>
    <w:p w14:paraId="26F8CEB2" w14:textId="77777777" w:rsidR="008D2B8B" w:rsidRPr="004B7A1D" w:rsidRDefault="008D2B8B" w:rsidP="008D2B8B">
      <w:pPr>
        <w:rPr>
          <w:rFonts w:ascii="Verdana" w:hAnsi="Verdana"/>
          <w:sz w:val="20"/>
          <w:lang w:val="es-CR"/>
        </w:rPr>
      </w:pPr>
      <w:r w:rsidRPr="004B7A1D">
        <w:rPr>
          <w:rFonts w:ascii="Verdana" w:hAnsi="Verdana"/>
          <w:sz w:val="20"/>
          <w:lang w:val="es-ES"/>
        </w:rPr>
        <w:tab/>
      </w:r>
      <w:r w:rsidRPr="004B7A1D">
        <w:rPr>
          <w:rFonts w:ascii="Verdana" w:hAnsi="Verdana"/>
          <w:sz w:val="20"/>
          <w:lang w:val="es-CR"/>
        </w:rPr>
        <w:t>Secretario</w:t>
      </w:r>
    </w:p>
    <w:p w14:paraId="490ABD97" w14:textId="77777777" w:rsidR="008D2B8B" w:rsidRPr="00E45BC4" w:rsidRDefault="008D2B8B" w:rsidP="00E45BC4">
      <w:pPr>
        <w:pStyle w:val="ListParagraph"/>
        <w:ind w:left="0"/>
        <w:jc w:val="both"/>
        <w:rPr>
          <w:rFonts w:ascii="Verdana" w:hAnsi="Verdana"/>
          <w:sz w:val="20"/>
          <w:lang w:val="es-CR"/>
        </w:rPr>
      </w:pPr>
    </w:p>
    <w:sectPr w:rsidR="008D2B8B" w:rsidRPr="00E45BC4" w:rsidSect="00153249">
      <w:headerReference w:type="default" r:id="rId9"/>
      <w:footerReference w:type="defaul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5D4B76" w14:textId="77777777" w:rsidR="0067679E" w:rsidRDefault="0067679E" w:rsidP="004206F3">
      <w:r>
        <w:separator/>
      </w:r>
    </w:p>
  </w:endnote>
  <w:endnote w:type="continuationSeparator" w:id="0">
    <w:p w14:paraId="2250DBFC" w14:textId="77777777" w:rsidR="0067679E" w:rsidRDefault="0067679E" w:rsidP="00420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ani">
    <w:panose1 w:val="020B0502040204020203"/>
    <w:charset w:val="00"/>
    <w:family w:val="swiss"/>
    <w:pitch w:val="variable"/>
    <w:sig w:usb0="002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60629B" w14:textId="10F1A7FB" w:rsidR="00351587" w:rsidRPr="00351587" w:rsidRDefault="00351587" w:rsidP="00153249">
    <w:pPr>
      <w:pStyle w:val="Footer"/>
      <w:rPr>
        <w:rFonts w:ascii="Verdana" w:hAnsi="Verdana"/>
        <w:sz w:val="20"/>
      </w:rPr>
    </w:pPr>
  </w:p>
  <w:p w14:paraId="31BB6D83" w14:textId="77777777" w:rsidR="00351587" w:rsidRDefault="003515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5D3277" w14:textId="77777777" w:rsidR="0067679E" w:rsidRDefault="0067679E" w:rsidP="004206F3">
      <w:r>
        <w:separator/>
      </w:r>
    </w:p>
  </w:footnote>
  <w:footnote w:type="continuationSeparator" w:id="0">
    <w:p w14:paraId="5DF42ECA" w14:textId="77777777" w:rsidR="0067679E" w:rsidRDefault="0067679E" w:rsidP="004206F3">
      <w:r>
        <w:continuationSeparator/>
      </w:r>
    </w:p>
  </w:footnote>
  <w:footnote w:id="1">
    <w:p w14:paraId="6025F1F4" w14:textId="739D94BE" w:rsidR="007819B3" w:rsidRPr="00032112" w:rsidRDefault="007819B3" w:rsidP="00032112">
      <w:pPr>
        <w:pStyle w:val="FootnoteText"/>
        <w:tabs>
          <w:tab w:val="left" w:pos="567"/>
        </w:tabs>
        <w:jc w:val="both"/>
        <w:rPr>
          <w:rFonts w:ascii="Verdana" w:hAnsi="Verdana"/>
          <w:b/>
          <w:sz w:val="16"/>
          <w:szCs w:val="16"/>
        </w:rPr>
      </w:pPr>
      <w:r w:rsidRPr="00032112">
        <w:rPr>
          <w:rStyle w:val="FootnoteReference"/>
          <w:rFonts w:ascii="Verdana" w:hAnsi="Verdana"/>
          <w:sz w:val="16"/>
          <w:szCs w:val="16"/>
        </w:rPr>
        <w:footnoteRef/>
      </w:r>
      <w:r w:rsidRPr="00032112">
        <w:rPr>
          <w:rFonts w:ascii="Verdana" w:hAnsi="Verdana"/>
          <w:sz w:val="16"/>
          <w:szCs w:val="16"/>
        </w:rPr>
        <w:tab/>
        <w:t xml:space="preserve">  </w:t>
      </w:r>
      <w:r w:rsidRPr="00032112">
        <w:rPr>
          <w:rStyle w:val="Strong"/>
          <w:rFonts w:ascii="Verdana" w:hAnsi="Verdana"/>
          <w:b w:val="0"/>
          <w:i/>
          <w:color w:val="000000"/>
          <w:sz w:val="16"/>
          <w:szCs w:val="16"/>
        </w:rPr>
        <w:t>Caso V</w:t>
      </w:r>
      <w:r w:rsidR="000A6202">
        <w:rPr>
          <w:rStyle w:val="Strong"/>
          <w:rFonts w:ascii="Verdana" w:hAnsi="Verdana"/>
          <w:b w:val="0"/>
          <w:i/>
          <w:color w:val="000000"/>
          <w:sz w:val="16"/>
          <w:szCs w:val="16"/>
        </w:rPr>
        <w:t>é</w:t>
      </w:r>
      <w:r w:rsidRPr="00032112">
        <w:rPr>
          <w:rStyle w:val="Strong"/>
          <w:rFonts w:ascii="Verdana" w:hAnsi="Verdana"/>
          <w:b w:val="0"/>
          <w:i/>
          <w:color w:val="000000"/>
          <w:sz w:val="16"/>
          <w:szCs w:val="16"/>
        </w:rPr>
        <w:t xml:space="preserve">liz Franco y otros Vs. Guatemala. Excepciones Preliminares, Fondo, Reparaciones y Costas. </w:t>
      </w:r>
      <w:r w:rsidRPr="00032112">
        <w:rPr>
          <w:rStyle w:val="Strong"/>
          <w:rFonts w:ascii="Verdana" w:hAnsi="Verdana"/>
          <w:b w:val="0"/>
          <w:color w:val="000000"/>
          <w:sz w:val="16"/>
          <w:szCs w:val="16"/>
        </w:rPr>
        <w:t>Sentencia de 19 de mayo de 2014. Serie C No. 277</w:t>
      </w:r>
      <w:r w:rsidRPr="00032112">
        <w:rPr>
          <w:rStyle w:val="Strong"/>
          <w:rFonts w:ascii="Verdana" w:hAnsi="Verdana"/>
          <w:b w:val="0"/>
          <w:sz w:val="16"/>
          <w:szCs w:val="16"/>
        </w:rPr>
        <w:t>.</w:t>
      </w:r>
      <w:r w:rsidRPr="00032112">
        <w:rPr>
          <w:rFonts w:ascii="Verdana" w:hAnsi="Verdana"/>
          <w:sz w:val="16"/>
          <w:szCs w:val="16"/>
        </w:rPr>
        <w:t xml:space="preserve"> El texto íntegro de la Sentencia se encuentra disponible en: </w:t>
      </w:r>
      <w:hyperlink r:id="rId1" w:history="1">
        <w:r w:rsidRPr="00032112">
          <w:rPr>
            <w:rStyle w:val="Hyperlink"/>
            <w:rFonts w:ascii="Verdana" w:hAnsi="Verdana"/>
            <w:sz w:val="16"/>
            <w:szCs w:val="16"/>
          </w:rPr>
          <w:t>http://www.corteidh.or.cr/docs/casos/articulos/seriec_277_esp.pdf</w:t>
        </w:r>
      </w:hyperlink>
      <w:r w:rsidRPr="00032112">
        <w:rPr>
          <w:rFonts w:ascii="Verdana" w:hAnsi="Verdana"/>
          <w:sz w:val="16"/>
          <w:szCs w:val="16"/>
        </w:rPr>
        <w:t xml:space="preserve">. La Sentencia fue notificada al Estado el 28 de julio de 2014. </w:t>
      </w:r>
    </w:p>
  </w:footnote>
  <w:footnote w:id="2">
    <w:p w14:paraId="2ABFFAB4" w14:textId="77777777" w:rsidR="007819B3" w:rsidRPr="00032112" w:rsidRDefault="007819B3" w:rsidP="00032112">
      <w:pPr>
        <w:pStyle w:val="FootnoteText"/>
        <w:jc w:val="both"/>
        <w:rPr>
          <w:rFonts w:ascii="Verdana" w:hAnsi="Verdana"/>
          <w:sz w:val="16"/>
          <w:szCs w:val="16"/>
        </w:rPr>
      </w:pPr>
      <w:r w:rsidRPr="00032112">
        <w:rPr>
          <w:rStyle w:val="FootnoteReference"/>
          <w:rFonts w:ascii="Verdana" w:hAnsi="Verdana"/>
          <w:sz w:val="16"/>
          <w:szCs w:val="16"/>
        </w:rPr>
        <w:footnoteRef/>
      </w:r>
      <w:r w:rsidRPr="00032112">
        <w:rPr>
          <w:rFonts w:ascii="Verdana" w:hAnsi="Verdana"/>
          <w:sz w:val="16"/>
          <w:szCs w:val="16"/>
        </w:rPr>
        <w:t xml:space="preserve"> </w:t>
      </w:r>
      <w:r w:rsidRPr="00032112">
        <w:rPr>
          <w:rFonts w:ascii="Verdana" w:hAnsi="Verdana"/>
          <w:sz w:val="16"/>
          <w:szCs w:val="16"/>
        </w:rPr>
        <w:tab/>
        <w:t>Su madre, la señora</w:t>
      </w:r>
      <w:r w:rsidRPr="00032112">
        <w:rPr>
          <w:rFonts w:ascii="Verdana" w:hAnsi="Verdana"/>
          <w:bCs/>
          <w:sz w:val="16"/>
          <w:szCs w:val="16"/>
        </w:rPr>
        <w:t xml:space="preserve"> Rosa Elvira Franco Sandoval, sus hermanos Leonel Enrique y José Roberto Franco y sus abuelos maternos Cruz Elvira Sandoval Polanco y Roberto Franco Pérez, con quienes vivía María Isabel.</w:t>
      </w:r>
    </w:p>
  </w:footnote>
  <w:footnote w:id="3">
    <w:p w14:paraId="6472B5AA" w14:textId="26DDD111" w:rsidR="00453FB6" w:rsidRPr="004D2F16" w:rsidRDefault="00453FB6" w:rsidP="004D2F16">
      <w:pPr>
        <w:pStyle w:val="FootnoteText"/>
        <w:jc w:val="both"/>
        <w:rPr>
          <w:rFonts w:ascii="Verdana" w:hAnsi="Verdana"/>
          <w:sz w:val="16"/>
          <w:szCs w:val="16"/>
        </w:rPr>
      </w:pPr>
      <w:r w:rsidRPr="004D2F16">
        <w:rPr>
          <w:rStyle w:val="FootnoteReference"/>
          <w:rFonts w:ascii="Verdana" w:hAnsi="Verdana"/>
          <w:sz w:val="16"/>
          <w:szCs w:val="16"/>
        </w:rPr>
        <w:footnoteRef/>
      </w:r>
      <w:r w:rsidRPr="004D2F16">
        <w:rPr>
          <w:rFonts w:ascii="Verdana" w:hAnsi="Verdana"/>
          <w:sz w:val="16"/>
          <w:szCs w:val="16"/>
        </w:rPr>
        <w:t xml:space="preserve"> </w:t>
      </w:r>
      <w:r w:rsidRPr="004D2F16">
        <w:rPr>
          <w:rFonts w:ascii="Verdana" w:hAnsi="Verdana"/>
          <w:sz w:val="16"/>
          <w:szCs w:val="16"/>
        </w:rPr>
        <w:tab/>
      </w:r>
      <w:r w:rsidRPr="004D2F16">
        <w:rPr>
          <w:rFonts w:ascii="Verdana" w:hAnsi="Verdana"/>
          <w:i/>
          <w:sz w:val="16"/>
          <w:szCs w:val="16"/>
        </w:rPr>
        <w:t>Cfr. Caso V</w:t>
      </w:r>
      <w:r w:rsidR="000A6202">
        <w:rPr>
          <w:rFonts w:ascii="Verdana" w:hAnsi="Verdana"/>
          <w:i/>
          <w:sz w:val="16"/>
          <w:szCs w:val="16"/>
        </w:rPr>
        <w:t>é</w:t>
      </w:r>
      <w:r w:rsidRPr="004D2F16">
        <w:rPr>
          <w:rFonts w:ascii="Verdana" w:hAnsi="Verdana"/>
          <w:i/>
          <w:sz w:val="16"/>
          <w:szCs w:val="16"/>
        </w:rPr>
        <w:t xml:space="preserve">liz Franco Vs. Guatemala. Supervisión de Cumplimiento de Sentencia. </w:t>
      </w:r>
      <w:r w:rsidRPr="004D2F16">
        <w:rPr>
          <w:rFonts w:ascii="Verdana" w:hAnsi="Verdana"/>
          <w:sz w:val="16"/>
          <w:szCs w:val="16"/>
        </w:rPr>
        <w:t xml:space="preserve">Resolución de la Corte Interamericana de Derechos Humanos de 3 de mayo de 2016, disponible en: </w:t>
      </w:r>
      <w:hyperlink r:id="rId2" w:history="1">
        <w:r w:rsidRPr="004D2F16">
          <w:rPr>
            <w:rStyle w:val="Hyperlink"/>
            <w:rFonts w:ascii="Verdana" w:hAnsi="Verdana"/>
            <w:sz w:val="16"/>
            <w:szCs w:val="16"/>
          </w:rPr>
          <w:t>http://www.corteidh.or.cr/docs/supervisiones/veliz_03_05_16.pdf</w:t>
        </w:r>
      </w:hyperlink>
      <w:r w:rsidRPr="004D2F16">
        <w:rPr>
          <w:rFonts w:ascii="Verdana" w:hAnsi="Verdana"/>
          <w:sz w:val="16"/>
          <w:szCs w:val="16"/>
        </w:rPr>
        <w:t xml:space="preserve">. </w:t>
      </w:r>
    </w:p>
  </w:footnote>
  <w:footnote w:id="4">
    <w:p w14:paraId="60437283" w14:textId="7891E152" w:rsidR="002C7456" w:rsidRPr="004D2F16" w:rsidRDefault="002C7456" w:rsidP="004D2F16">
      <w:pPr>
        <w:pStyle w:val="FootnoteText"/>
        <w:jc w:val="both"/>
        <w:rPr>
          <w:rFonts w:ascii="Verdana" w:hAnsi="Verdana"/>
          <w:sz w:val="16"/>
          <w:szCs w:val="16"/>
        </w:rPr>
      </w:pPr>
      <w:r w:rsidRPr="004D2F16">
        <w:rPr>
          <w:rStyle w:val="FootnoteReference"/>
          <w:rFonts w:ascii="Verdana" w:hAnsi="Verdana"/>
          <w:sz w:val="16"/>
          <w:szCs w:val="16"/>
        </w:rPr>
        <w:footnoteRef/>
      </w:r>
      <w:r w:rsidRPr="004D2F16">
        <w:rPr>
          <w:rFonts w:ascii="Verdana" w:hAnsi="Verdana"/>
          <w:sz w:val="16"/>
          <w:szCs w:val="16"/>
        </w:rPr>
        <w:t xml:space="preserve"> </w:t>
      </w:r>
      <w:r w:rsidRPr="004D2F16">
        <w:rPr>
          <w:rFonts w:ascii="Verdana" w:hAnsi="Verdana"/>
          <w:sz w:val="16"/>
          <w:szCs w:val="16"/>
        </w:rPr>
        <w:tab/>
        <w:t xml:space="preserve">Escritos de 28 de julio y </w:t>
      </w:r>
      <w:r w:rsidR="006B27E8" w:rsidRPr="004D2F16">
        <w:rPr>
          <w:rFonts w:ascii="Verdana" w:hAnsi="Verdana"/>
          <w:sz w:val="16"/>
          <w:szCs w:val="16"/>
        </w:rPr>
        <w:t>6 de octubre de 2016 y 9 de marzo de 2017</w:t>
      </w:r>
      <w:r w:rsidR="002F2F4E" w:rsidRPr="004D2F16">
        <w:rPr>
          <w:rFonts w:ascii="Verdana" w:hAnsi="Verdana"/>
          <w:sz w:val="16"/>
          <w:szCs w:val="16"/>
        </w:rPr>
        <w:t>.</w:t>
      </w:r>
    </w:p>
  </w:footnote>
  <w:footnote w:id="5">
    <w:p w14:paraId="220195CC" w14:textId="64DC4FC0" w:rsidR="007819B3" w:rsidRPr="004A3367" w:rsidRDefault="007819B3" w:rsidP="00032112">
      <w:pPr>
        <w:pStyle w:val="FootnoteText"/>
        <w:jc w:val="both"/>
        <w:rPr>
          <w:lang w:val="es-CR"/>
        </w:rPr>
      </w:pPr>
      <w:r w:rsidRPr="00032112">
        <w:rPr>
          <w:rStyle w:val="FootnoteReference"/>
          <w:rFonts w:ascii="Verdana" w:hAnsi="Verdana"/>
          <w:sz w:val="16"/>
          <w:szCs w:val="16"/>
        </w:rPr>
        <w:footnoteRef/>
      </w:r>
      <w:r w:rsidRPr="00032112">
        <w:rPr>
          <w:rFonts w:ascii="Verdana" w:hAnsi="Verdana"/>
          <w:sz w:val="16"/>
          <w:szCs w:val="16"/>
        </w:rPr>
        <w:t xml:space="preserve"> </w:t>
      </w:r>
      <w:r w:rsidRPr="00032112">
        <w:rPr>
          <w:rFonts w:ascii="Verdana" w:hAnsi="Verdana"/>
          <w:sz w:val="16"/>
          <w:szCs w:val="16"/>
          <w:lang w:val="es-CR"/>
        </w:rPr>
        <w:tab/>
      </w:r>
      <w:r w:rsidRPr="00032112">
        <w:rPr>
          <w:rFonts w:ascii="Verdana" w:hAnsi="Verdana"/>
          <w:sz w:val="16"/>
          <w:szCs w:val="16"/>
        </w:rPr>
        <w:t>La Red de No Violencia contra las Mujeres, (REDNOVI) representa a las víctimas en el presente caso.</w:t>
      </w:r>
    </w:p>
  </w:footnote>
  <w:footnote w:id="6">
    <w:p w14:paraId="295DC057" w14:textId="28ED11D8" w:rsidR="00625521" w:rsidRPr="004D2F16" w:rsidRDefault="00625521">
      <w:pPr>
        <w:pStyle w:val="FootnoteText"/>
        <w:rPr>
          <w:rFonts w:ascii="Verdana" w:hAnsi="Verdana"/>
          <w:sz w:val="16"/>
          <w:szCs w:val="16"/>
        </w:rPr>
      </w:pPr>
      <w:r w:rsidRPr="004D2F16">
        <w:rPr>
          <w:rStyle w:val="FootnoteReference"/>
          <w:rFonts w:ascii="Verdana" w:hAnsi="Verdana"/>
          <w:sz w:val="16"/>
          <w:szCs w:val="16"/>
        </w:rPr>
        <w:footnoteRef/>
      </w:r>
      <w:r w:rsidRPr="004D2F16">
        <w:rPr>
          <w:rFonts w:ascii="Verdana" w:hAnsi="Verdana"/>
          <w:sz w:val="16"/>
          <w:szCs w:val="16"/>
        </w:rPr>
        <w:t xml:space="preserve"> </w:t>
      </w:r>
      <w:r w:rsidRPr="004D2F16">
        <w:rPr>
          <w:rFonts w:ascii="Verdana" w:hAnsi="Verdana"/>
          <w:sz w:val="16"/>
          <w:szCs w:val="16"/>
        </w:rPr>
        <w:tab/>
        <w:t xml:space="preserve">Escritos de 28 de julio y 6 de octubre de 2016 y 9 de marzo de 2017. </w:t>
      </w:r>
    </w:p>
  </w:footnote>
  <w:footnote w:id="7">
    <w:p w14:paraId="31DC74BF" w14:textId="77777777" w:rsidR="007819B3" w:rsidRPr="00CC7A4C" w:rsidRDefault="007819B3" w:rsidP="00CC7A4C">
      <w:pPr>
        <w:pStyle w:val="FootnoteText"/>
        <w:jc w:val="both"/>
        <w:rPr>
          <w:rFonts w:ascii="Verdana" w:hAnsi="Verdana"/>
          <w:sz w:val="16"/>
          <w:szCs w:val="16"/>
          <w:lang w:val="es-CR"/>
        </w:rPr>
      </w:pPr>
      <w:r w:rsidRPr="00CC7A4C">
        <w:rPr>
          <w:rStyle w:val="FootnoteReference"/>
          <w:rFonts w:ascii="Verdana" w:hAnsi="Verdana"/>
          <w:sz w:val="16"/>
          <w:szCs w:val="16"/>
        </w:rPr>
        <w:footnoteRef/>
      </w:r>
      <w:r w:rsidRPr="00CC7A4C">
        <w:rPr>
          <w:rFonts w:ascii="Verdana" w:hAnsi="Verdana"/>
          <w:sz w:val="16"/>
          <w:szCs w:val="16"/>
          <w:lang w:val="es-CR"/>
        </w:rPr>
        <w:t xml:space="preserve"> </w:t>
      </w:r>
      <w:r w:rsidRPr="00CC7A4C">
        <w:rPr>
          <w:rFonts w:ascii="Verdana" w:hAnsi="Verdana"/>
          <w:sz w:val="16"/>
          <w:szCs w:val="16"/>
          <w:lang w:val="es-CR"/>
        </w:rPr>
        <w:tab/>
        <w:t xml:space="preserve">Facultad que además se desprende de lo dispuesto en los artículos 33, 62.1, 62.3 y 65 de la Convención Americana y 30 de su Estatuto y se encuentra regulada en el artículo 69 de su Reglamento. </w:t>
      </w:r>
    </w:p>
  </w:footnote>
  <w:footnote w:id="8">
    <w:p w14:paraId="66225428" w14:textId="77777777" w:rsidR="00B1025A" w:rsidRPr="00CB10FA" w:rsidRDefault="00B1025A" w:rsidP="00B1025A">
      <w:pPr>
        <w:pStyle w:val="FootnoteText"/>
        <w:jc w:val="both"/>
        <w:rPr>
          <w:rFonts w:ascii="Verdana" w:hAnsi="Verdana"/>
          <w:sz w:val="16"/>
          <w:szCs w:val="16"/>
        </w:rPr>
      </w:pPr>
      <w:r w:rsidRPr="00CB10FA">
        <w:rPr>
          <w:rStyle w:val="FootnoteReference"/>
          <w:rFonts w:ascii="Verdana" w:hAnsi="Verdana"/>
          <w:sz w:val="16"/>
          <w:szCs w:val="16"/>
        </w:rPr>
        <w:footnoteRef/>
      </w:r>
      <w:r>
        <w:rPr>
          <w:rFonts w:ascii="Verdana" w:hAnsi="Verdana"/>
          <w:sz w:val="16"/>
          <w:szCs w:val="16"/>
        </w:rPr>
        <w:t xml:space="preserve"> </w:t>
      </w:r>
      <w:r>
        <w:rPr>
          <w:rFonts w:ascii="Verdana" w:hAnsi="Verdana"/>
          <w:sz w:val="16"/>
          <w:szCs w:val="16"/>
        </w:rPr>
        <w:tab/>
        <w:t xml:space="preserve">La relativa a </w:t>
      </w:r>
      <w:r w:rsidRPr="00CB10FA">
        <w:rPr>
          <w:rFonts w:ascii="Verdana" w:hAnsi="Verdana"/>
          <w:sz w:val="16"/>
          <w:szCs w:val="16"/>
        </w:rPr>
        <w:t>pagar a las víctimas las cantidades fijadas en el párrafo 300 de la Sentencia por concepto de indemnizaciones por daños materiales e inmateriales (</w:t>
      </w:r>
      <w:r w:rsidRPr="00CB10FA">
        <w:rPr>
          <w:rFonts w:ascii="Verdana" w:hAnsi="Verdana"/>
          <w:i/>
          <w:sz w:val="16"/>
          <w:szCs w:val="16"/>
        </w:rPr>
        <w:t>punto resolutivo décimo cuarto</w:t>
      </w:r>
      <w:r w:rsidRPr="00CB10FA">
        <w:rPr>
          <w:rFonts w:ascii="Verdana" w:hAnsi="Verdana"/>
          <w:sz w:val="16"/>
          <w:szCs w:val="16"/>
        </w:rPr>
        <w:t xml:space="preserve">). </w:t>
      </w:r>
    </w:p>
  </w:footnote>
  <w:footnote w:id="9">
    <w:p w14:paraId="04F06701" w14:textId="7BCC1891" w:rsidR="002A1990" w:rsidRPr="00CB10FA" w:rsidRDefault="002A1990" w:rsidP="00CB10FA">
      <w:pPr>
        <w:pStyle w:val="FootnoteText"/>
        <w:jc w:val="both"/>
        <w:rPr>
          <w:rFonts w:ascii="Verdana" w:hAnsi="Verdana"/>
          <w:sz w:val="16"/>
          <w:szCs w:val="16"/>
        </w:rPr>
      </w:pPr>
      <w:r w:rsidRPr="00CB10FA">
        <w:rPr>
          <w:rStyle w:val="FootnoteReference"/>
          <w:rFonts w:ascii="Verdana" w:hAnsi="Verdana"/>
          <w:sz w:val="16"/>
          <w:szCs w:val="16"/>
        </w:rPr>
        <w:footnoteRef/>
      </w:r>
      <w:r w:rsidR="00CB10FA">
        <w:rPr>
          <w:rFonts w:ascii="Verdana" w:hAnsi="Verdana"/>
          <w:sz w:val="16"/>
          <w:szCs w:val="16"/>
        </w:rPr>
        <w:t xml:space="preserve"> </w:t>
      </w:r>
      <w:r w:rsidR="00CB10FA">
        <w:rPr>
          <w:rFonts w:ascii="Verdana" w:hAnsi="Verdana"/>
          <w:sz w:val="16"/>
          <w:szCs w:val="16"/>
        </w:rPr>
        <w:tab/>
        <w:t xml:space="preserve">La relativa a </w:t>
      </w:r>
      <w:r w:rsidR="00B1025A">
        <w:rPr>
          <w:rFonts w:ascii="Verdana" w:hAnsi="Verdana"/>
          <w:sz w:val="16"/>
          <w:szCs w:val="16"/>
        </w:rPr>
        <w:t xml:space="preserve">las publicaciones de la Sentencia </w:t>
      </w:r>
      <w:r w:rsidRPr="00CB10FA">
        <w:rPr>
          <w:rFonts w:ascii="Verdana" w:hAnsi="Verdana"/>
          <w:sz w:val="16"/>
          <w:szCs w:val="16"/>
        </w:rPr>
        <w:t xml:space="preserve"> (</w:t>
      </w:r>
      <w:r w:rsidRPr="00CB10FA">
        <w:rPr>
          <w:rFonts w:ascii="Verdana" w:hAnsi="Verdana"/>
          <w:i/>
          <w:sz w:val="16"/>
          <w:szCs w:val="16"/>
        </w:rPr>
        <w:t xml:space="preserve">punto resolutivo </w:t>
      </w:r>
      <w:r w:rsidR="00B1025A">
        <w:rPr>
          <w:rFonts w:ascii="Verdana" w:hAnsi="Verdana"/>
          <w:i/>
          <w:sz w:val="16"/>
          <w:szCs w:val="16"/>
        </w:rPr>
        <w:t>octavo</w:t>
      </w:r>
      <w:r w:rsidRPr="00CB10FA">
        <w:rPr>
          <w:rFonts w:ascii="Verdana" w:hAnsi="Verdana"/>
          <w:sz w:val="16"/>
          <w:szCs w:val="16"/>
        </w:rPr>
        <w:t xml:space="preserve">). </w:t>
      </w:r>
    </w:p>
  </w:footnote>
  <w:footnote w:id="10">
    <w:p w14:paraId="3AA3C68B" w14:textId="20112C9B" w:rsidR="002A1990" w:rsidRPr="00B1025A" w:rsidRDefault="002A1990" w:rsidP="00B1025A">
      <w:pPr>
        <w:pStyle w:val="FootnoteText"/>
        <w:jc w:val="both"/>
        <w:rPr>
          <w:rFonts w:ascii="Verdana" w:hAnsi="Verdana"/>
          <w:sz w:val="16"/>
          <w:szCs w:val="16"/>
        </w:rPr>
      </w:pPr>
      <w:r w:rsidRPr="00B1025A">
        <w:rPr>
          <w:rStyle w:val="FootnoteReference"/>
          <w:rFonts w:ascii="Verdana" w:hAnsi="Verdana"/>
          <w:sz w:val="16"/>
          <w:szCs w:val="16"/>
        </w:rPr>
        <w:footnoteRef/>
      </w:r>
      <w:r w:rsidRPr="00B1025A">
        <w:rPr>
          <w:rFonts w:ascii="Verdana" w:hAnsi="Verdana"/>
          <w:sz w:val="16"/>
          <w:szCs w:val="16"/>
        </w:rPr>
        <w:t xml:space="preserve"> </w:t>
      </w:r>
      <w:r w:rsidRPr="00B1025A">
        <w:rPr>
          <w:rFonts w:ascii="Verdana" w:hAnsi="Verdana"/>
          <w:sz w:val="16"/>
          <w:szCs w:val="16"/>
        </w:rPr>
        <w:tab/>
      </w:r>
      <w:r w:rsidRPr="00B1025A">
        <w:rPr>
          <w:rFonts w:ascii="Verdana" w:hAnsi="Verdana"/>
          <w:sz w:val="16"/>
          <w:szCs w:val="16"/>
          <w:lang w:val="es-CR"/>
        </w:rPr>
        <w:t>Las reparaciones ordenadas en la Sentencia que se encuentran pendiente</w:t>
      </w:r>
      <w:r w:rsidR="000A6202">
        <w:rPr>
          <w:rFonts w:ascii="Verdana" w:hAnsi="Verdana"/>
          <w:sz w:val="16"/>
          <w:szCs w:val="16"/>
          <w:lang w:val="es-CR"/>
        </w:rPr>
        <w:t>s</w:t>
      </w:r>
      <w:r w:rsidRPr="00B1025A">
        <w:rPr>
          <w:rFonts w:ascii="Verdana" w:hAnsi="Verdana"/>
          <w:sz w:val="16"/>
          <w:szCs w:val="16"/>
          <w:lang w:val="es-CR"/>
        </w:rPr>
        <w:t xml:space="preserve"> de cumplimiento son:  </w:t>
      </w:r>
      <w:r w:rsidR="000A6202">
        <w:rPr>
          <w:rFonts w:ascii="Verdana" w:hAnsi="Verdana"/>
          <w:sz w:val="16"/>
          <w:szCs w:val="16"/>
          <w:lang w:val="es-CR"/>
        </w:rPr>
        <w:t>i</w:t>
      </w:r>
      <w:r w:rsidRPr="00B1025A">
        <w:rPr>
          <w:rFonts w:ascii="Verdana" w:hAnsi="Verdana"/>
          <w:sz w:val="16"/>
          <w:szCs w:val="16"/>
          <w:lang w:val="es-CR"/>
        </w:rPr>
        <w:t>) conducir eficazmente la investigación y, en su caso, abrir el proceso penal correspondiente, y de ser pertinente, otros que correspondieren para identificar, procesar y, en su caso, sancionar a los responsables de los vejámenes y privación de la vida de la niña María Isabel V</w:t>
      </w:r>
      <w:r w:rsidR="003A66D8" w:rsidRPr="00B1025A">
        <w:rPr>
          <w:rFonts w:ascii="Verdana" w:hAnsi="Verdana"/>
          <w:sz w:val="16"/>
          <w:szCs w:val="16"/>
          <w:lang w:val="es-CR"/>
        </w:rPr>
        <w:t>e</w:t>
      </w:r>
      <w:r w:rsidRPr="00B1025A">
        <w:rPr>
          <w:rFonts w:ascii="Verdana" w:hAnsi="Verdana"/>
          <w:sz w:val="16"/>
          <w:szCs w:val="16"/>
          <w:lang w:val="es-CR"/>
        </w:rPr>
        <w:t>liz Franco</w:t>
      </w:r>
      <w:r w:rsidR="000A4456">
        <w:rPr>
          <w:rFonts w:ascii="Verdana" w:hAnsi="Verdana"/>
          <w:sz w:val="16"/>
          <w:szCs w:val="16"/>
          <w:lang w:val="es-CR"/>
        </w:rPr>
        <w:t xml:space="preserve"> (</w:t>
      </w:r>
      <w:r w:rsidR="000A4456">
        <w:rPr>
          <w:rFonts w:ascii="Verdana" w:hAnsi="Verdana"/>
          <w:i/>
          <w:sz w:val="16"/>
          <w:szCs w:val="16"/>
          <w:lang w:val="es-CR"/>
        </w:rPr>
        <w:t>punto</w:t>
      </w:r>
      <w:r w:rsidR="000A4456">
        <w:rPr>
          <w:rFonts w:ascii="Verdana" w:hAnsi="Verdana"/>
          <w:sz w:val="16"/>
          <w:szCs w:val="16"/>
          <w:lang w:val="es-CR"/>
        </w:rPr>
        <w:t xml:space="preserve"> </w:t>
      </w:r>
      <w:r w:rsidR="000A4456">
        <w:rPr>
          <w:rFonts w:ascii="Verdana" w:hAnsi="Verdana"/>
          <w:i/>
          <w:sz w:val="16"/>
          <w:szCs w:val="16"/>
          <w:lang w:val="es-CR"/>
        </w:rPr>
        <w:t>resolutivo séptimo de la Sentencia)</w:t>
      </w:r>
      <w:r w:rsidRPr="00B1025A">
        <w:rPr>
          <w:rFonts w:ascii="Verdana" w:hAnsi="Verdana"/>
          <w:sz w:val="16"/>
          <w:szCs w:val="16"/>
          <w:lang w:val="es-CR"/>
        </w:rPr>
        <w:t xml:space="preserve">; </w:t>
      </w:r>
      <w:r w:rsidR="000A6202">
        <w:rPr>
          <w:rFonts w:ascii="Verdana" w:hAnsi="Verdana"/>
          <w:sz w:val="16"/>
          <w:szCs w:val="16"/>
          <w:lang w:val="es-CR"/>
        </w:rPr>
        <w:t>ii</w:t>
      </w:r>
      <w:r w:rsidR="000A4456">
        <w:rPr>
          <w:rFonts w:ascii="Verdana" w:hAnsi="Verdana"/>
          <w:sz w:val="16"/>
          <w:szCs w:val="16"/>
          <w:lang w:val="es-CR"/>
        </w:rPr>
        <w:t>) la difusión de la Sentencia en la página web de la Policía Nacional Civil (</w:t>
      </w:r>
      <w:r w:rsidR="000A4456">
        <w:rPr>
          <w:rFonts w:ascii="Verdana" w:hAnsi="Verdana"/>
          <w:i/>
          <w:sz w:val="16"/>
          <w:szCs w:val="16"/>
          <w:lang w:val="es-CR"/>
        </w:rPr>
        <w:t>punto resolutivo octavo de la Sentencia)</w:t>
      </w:r>
      <w:r w:rsidR="000A4456">
        <w:rPr>
          <w:rFonts w:ascii="Verdana" w:hAnsi="Verdana"/>
          <w:sz w:val="16"/>
          <w:szCs w:val="16"/>
          <w:lang w:val="es-CR"/>
        </w:rPr>
        <w:t xml:space="preserve">; </w:t>
      </w:r>
      <w:r w:rsidR="000A6202">
        <w:rPr>
          <w:rFonts w:ascii="Verdana" w:hAnsi="Verdana"/>
          <w:sz w:val="16"/>
          <w:szCs w:val="16"/>
          <w:lang w:val="es-CR"/>
        </w:rPr>
        <w:t>iii</w:t>
      </w:r>
      <w:r w:rsidRPr="00B1025A">
        <w:rPr>
          <w:rFonts w:ascii="Verdana" w:hAnsi="Verdana"/>
          <w:sz w:val="16"/>
          <w:szCs w:val="16"/>
          <w:lang w:val="es-CR"/>
        </w:rPr>
        <w:t>) realizar un acto de disculpas públicas en relación con los hechos del caso ocurridos a María Isabel Veliz Franco</w:t>
      </w:r>
      <w:r w:rsidR="000A4456">
        <w:rPr>
          <w:rFonts w:ascii="Verdana" w:hAnsi="Verdana"/>
          <w:sz w:val="16"/>
          <w:szCs w:val="16"/>
          <w:lang w:val="es-CR"/>
        </w:rPr>
        <w:t xml:space="preserve"> (</w:t>
      </w:r>
      <w:r w:rsidR="000A4456">
        <w:rPr>
          <w:rFonts w:ascii="Verdana" w:hAnsi="Verdana"/>
          <w:i/>
          <w:sz w:val="16"/>
          <w:szCs w:val="16"/>
          <w:lang w:val="es-CR"/>
        </w:rPr>
        <w:t>punto resolutivo noveno de la Sentencia</w:t>
      </w:r>
      <w:r w:rsidR="000A4456">
        <w:rPr>
          <w:rFonts w:ascii="Verdana" w:hAnsi="Verdana"/>
          <w:sz w:val="16"/>
          <w:szCs w:val="16"/>
          <w:lang w:val="es-CR"/>
        </w:rPr>
        <w:t>)</w:t>
      </w:r>
      <w:r w:rsidRPr="00B1025A">
        <w:rPr>
          <w:rFonts w:ascii="Verdana" w:hAnsi="Verdana"/>
          <w:sz w:val="16"/>
          <w:szCs w:val="16"/>
          <w:lang w:val="es-CR"/>
        </w:rPr>
        <w:t xml:space="preserve">; </w:t>
      </w:r>
      <w:r w:rsidR="000A6202">
        <w:rPr>
          <w:rFonts w:ascii="Verdana" w:hAnsi="Verdana"/>
          <w:sz w:val="16"/>
          <w:szCs w:val="16"/>
          <w:lang w:val="es-CR"/>
        </w:rPr>
        <w:t>iv</w:t>
      </w:r>
      <w:r w:rsidRPr="00B1025A">
        <w:rPr>
          <w:rFonts w:ascii="Verdana" w:hAnsi="Verdana"/>
          <w:sz w:val="16"/>
          <w:szCs w:val="16"/>
          <w:lang w:val="es-CR"/>
        </w:rPr>
        <w:t>) elaborar un plan de fortalecimiento calendarizado del Instituto Nacional de Ciencias Forenses de Guatemala, que incluya una asignación adecuada de recursos para ampliar sus actividades en el territorio nacional y el cumplimiento de sus funciones</w:t>
      </w:r>
      <w:r w:rsidR="000A4456">
        <w:rPr>
          <w:rFonts w:ascii="Verdana" w:hAnsi="Verdana"/>
          <w:sz w:val="16"/>
          <w:szCs w:val="16"/>
          <w:lang w:val="es-CR"/>
        </w:rPr>
        <w:t xml:space="preserve"> (</w:t>
      </w:r>
      <w:r w:rsidR="000A4456">
        <w:rPr>
          <w:rFonts w:ascii="Verdana" w:hAnsi="Verdana"/>
          <w:i/>
          <w:sz w:val="16"/>
          <w:szCs w:val="16"/>
          <w:lang w:val="es-CR"/>
        </w:rPr>
        <w:t>punto resolutivo décimo de la Sentencia</w:t>
      </w:r>
      <w:r w:rsidR="000A4456">
        <w:rPr>
          <w:rFonts w:ascii="Verdana" w:hAnsi="Verdana"/>
          <w:sz w:val="16"/>
          <w:szCs w:val="16"/>
          <w:lang w:val="es-CR"/>
        </w:rPr>
        <w:t>)</w:t>
      </w:r>
      <w:r w:rsidRPr="00B1025A">
        <w:rPr>
          <w:rFonts w:ascii="Verdana" w:hAnsi="Verdana"/>
          <w:sz w:val="16"/>
          <w:szCs w:val="16"/>
          <w:lang w:val="es-CR"/>
        </w:rPr>
        <w:t xml:space="preserve">; </w:t>
      </w:r>
      <w:r w:rsidR="000A6202">
        <w:rPr>
          <w:rFonts w:ascii="Verdana" w:hAnsi="Verdana"/>
          <w:sz w:val="16"/>
          <w:szCs w:val="16"/>
          <w:lang w:val="es-CR"/>
        </w:rPr>
        <w:t>v</w:t>
      </w:r>
      <w:r w:rsidRPr="00B1025A">
        <w:rPr>
          <w:rFonts w:ascii="Verdana" w:hAnsi="Verdana"/>
          <w:sz w:val="16"/>
          <w:szCs w:val="16"/>
          <w:lang w:val="es-CR"/>
        </w:rPr>
        <w:t>) implementar el funcionamiento de los “órganos jurisdiccionales especializados” previstos en la Ley contra el Femicidio y de la fiscalía especializada para investigar los hechos previstos en dicha ley</w:t>
      </w:r>
      <w:r w:rsidR="000A4456">
        <w:rPr>
          <w:rFonts w:ascii="Verdana" w:hAnsi="Verdana"/>
          <w:sz w:val="16"/>
          <w:szCs w:val="16"/>
          <w:lang w:val="es-CR"/>
        </w:rPr>
        <w:t xml:space="preserve"> (</w:t>
      </w:r>
      <w:r w:rsidR="000A4456">
        <w:rPr>
          <w:rFonts w:ascii="Verdana" w:hAnsi="Verdana"/>
          <w:i/>
          <w:sz w:val="16"/>
          <w:szCs w:val="16"/>
          <w:lang w:val="es-CR"/>
        </w:rPr>
        <w:t>punto resolutivo décimo primero de la Sentencia</w:t>
      </w:r>
      <w:r w:rsidR="000A4456">
        <w:rPr>
          <w:rFonts w:ascii="Verdana" w:hAnsi="Verdana"/>
          <w:sz w:val="16"/>
          <w:szCs w:val="16"/>
          <w:lang w:val="es-CR"/>
        </w:rPr>
        <w:t>)</w:t>
      </w:r>
      <w:r w:rsidRPr="00B1025A">
        <w:rPr>
          <w:rFonts w:ascii="Verdana" w:hAnsi="Verdana"/>
          <w:sz w:val="16"/>
          <w:szCs w:val="16"/>
          <w:lang w:val="es-CR"/>
        </w:rPr>
        <w:t xml:space="preserve">; </w:t>
      </w:r>
      <w:r w:rsidR="000A6202">
        <w:rPr>
          <w:rFonts w:ascii="Verdana" w:hAnsi="Verdana"/>
          <w:sz w:val="16"/>
          <w:szCs w:val="16"/>
          <w:lang w:val="es-CR"/>
        </w:rPr>
        <w:t>vi</w:t>
      </w:r>
      <w:r w:rsidRPr="00B1025A">
        <w:rPr>
          <w:rFonts w:ascii="Verdana" w:hAnsi="Verdana"/>
          <w:sz w:val="16"/>
          <w:szCs w:val="16"/>
          <w:lang w:val="es-CR"/>
        </w:rPr>
        <w:t>) implementar programas y cursos para funcionarios públicos pertenecientes al Poder Judicial, Ministerio Público y Policía Nacional Civil que estén vinculados a la investigación de actos de homicidio de mujeres sobre estándares en materia de prevención, eventual sanción y erradicación de homicidios de mujeres y capacitarlos sobre la debida aplicación de la normativa pertinente en la materia</w:t>
      </w:r>
      <w:r w:rsidR="000A4456">
        <w:rPr>
          <w:rFonts w:ascii="Verdana" w:hAnsi="Verdana"/>
          <w:sz w:val="16"/>
          <w:szCs w:val="16"/>
          <w:lang w:val="es-CR"/>
        </w:rPr>
        <w:t xml:space="preserve"> (</w:t>
      </w:r>
      <w:r w:rsidR="000A4456">
        <w:rPr>
          <w:rFonts w:ascii="Verdana" w:hAnsi="Verdana"/>
          <w:i/>
          <w:sz w:val="16"/>
          <w:szCs w:val="16"/>
          <w:lang w:val="es-CR"/>
        </w:rPr>
        <w:t>punto resolutivo décimo segundo de la Sentencia</w:t>
      </w:r>
      <w:r w:rsidR="000A4456">
        <w:rPr>
          <w:rFonts w:ascii="Verdana" w:hAnsi="Verdana"/>
          <w:sz w:val="16"/>
          <w:szCs w:val="16"/>
          <w:lang w:val="es-CR"/>
        </w:rPr>
        <w:t xml:space="preserve">); </w:t>
      </w:r>
      <w:r w:rsidR="000A6202">
        <w:rPr>
          <w:rFonts w:ascii="Verdana" w:hAnsi="Verdana"/>
          <w:sz w:val="16"/>
          <w:szCs w:val="16"/>
          <w:lang w:val="es-CR"/>
        </w:rPr>
        <w:t>vii</w:t>
      </w:r>
      <w:r w:rsidRPr="00B1025A">
        <w:rPr>
          <w:rFonts w:ascii="Verdana" w:hAnsi="Verdana"/>
          <w:sz w:val="16"/>
          <w:szCs w:val="16"/>
          <w:lang w:val="es-CR"/>
        </w:rPr>
        <w:t>) brindar atención médica o psicológica a Rosa Elvira Franco Sandoval, si ella así lo desea</w:t>
      </w:r>
      <w:r w:rsidR="000A4456">
        <w:rPr>
          <w:rFonts w:ascii="Verdana" w:hAnsi="Verdana"/>
          <w:sz w:val="16"/>
          <w:szCs w:val="16"/>
          <w:lang w:val="es-CR"/>
        </w:rPr>
        <w:t xml:space="preserve"> (</w:t>
      </w:r>
      <w:r w:rsidR="000A4456">
        <w:rPr>
          <w:rFonts w:ascii="Verdana" w:hAnsi="Verdana"/>
          <w:i/>
          <w:sz w:val="16"/>
          <w:szCs w:val="16"/>
          <w:lang w:val="es-CR"/>
        </w:rPr>
        <w:t>punto resolutivo décimo tercero de la Sentencia</w:t>
      </w:r>
      <w:r w:rsidR="000A4456">
        <w:rPr>
          <w:rFonts w:ascii="Verdana" w:hAnsi="Verdana"/>
          <w:sz w:val="16"/>
          <w:szCs w:val="16"/>
          <w:lang w:val="es-CR"/>
        </w:rPr>
        <w:t xml:space="preserve">), y </w:t>
      </w:r>
      <w:r w:rsidR="000A6202">
        <w:rPr>
          <w:rFonts w:ascii="Verdana" w:hAnsi="Verdana"/>
          <w:sz w:val="16"/>
          <w:szCs w:val="16"/>
          <w:lang w:val="es-CR"/>
        </w:rPr>
        <w:t>viii</w:t>
      </w:r>
      <w:r w:rsidR="000A4456">
        <w:rPr>
          <w:rFonts w:ascii="Verdana" w:hAnsi="Verdana"/>
          <w:sz w:val="16"/>
          <w:szCs w:val="16"/>
          <w:lang w:val="es-CR"/>
        </w:rPr>
        <w:t>) el reintegro de costas y gastos a favor de la representante de las víctimas.</w:t>
      </w:r>
      <w:r w:rsidR="00B1025A">
        <w:rPr>
          <w:rFonts w:ascii="Verdana" w:hAnsi="Verdana"/>
          <w:sz w:val="16"/>
          <w:szCs w:val="16"/>
          <w:lang w:val="es-CR"/>
        </w:rPr>
        <w:t xml:space="preserve"> </w:t>
      </w:r>
    </w:p>
  </w:footnote>
  <w:footnote w:id="11">
    <w:p w14:paraId="78697CCC" w14:textId="37AEFAE4" w:rsidR="00F612B2" w:rsidRDefault="00F612B2" w:rsidP="00F612B2">
      <w:pPr>
        <w:pStyle w:val="FootnoteText"/>
        <w:jc w:val="both"/>
        <w:rPr>
          <w:rFonts w:ascii="Verdana" w:hAnsi="Verdana"/>
          <w:sz w:val="16"/>
          <w:szCs w:val="16"/>
          <w:lang w:val="es-CR"/>
        </w:rPr>
      </w:pPr>
      <w:r>
        <w:rPr>
          <w:rStyle w:val="FootnoteReference"/>
          <w:rFonts w:ascii="Verdana" w:hAnsi="Verdana"/>
          <w:sz w:val="16"/>
          <w:szCs w:val="16"/>
        </w:rPr>
        <w:footnoteRef/>
      </w:r>
      <w:r>
        <w:rPr>
          <w:rFonts w:ascii="Verdana" w:hAnsi="Verdana"/>
          <w:sz w:val="16"/>
          <w:szCs w:val="16"/>
        </w:rPr>
        <w:t xml:space="preserve"> </w:t>
      </w:r>
      <w:r>
        <w:rPr>
          <w:rFonts w:ascii="Verdana" w:hAnsi="Verdana"/>
          <w:sz w:val="16"/>
          <w:szCs w:val="16"/>
          <w:lang w:val="es-CR"/>
        </w:rPr>
        <w:tab/>
      </w:r>
      <w:r>
        <w:rPr>
          <w:rFonts w:ascii="Verdana" w:hAnsi="Verdana"/>
          <w:i/>
          <w:sz w:val="16"/>
          <w:szCs w:val="16"/>
        </w:rPr>
        <w:t xml:space="preserve">Cfr. Caso Cinco Pensionistas Vs. Perú. Supervisión de Cumplimiento de Sentencia. </w:t>
      </w:r>
      <w:r>
        <w:rPr>
          <w:rFonts w:ascii="Verdana" w:hAnsi="Verdana"/>
          <w:sz w:val="16"/>
          <w:szCs w:val="16"/>
        </w:rPr>
        <w:t xml:space="preserve">Resolución de la Corte Interamericana de Derechos Humanos de 17 noviembre de 2004, Considerando </w:t>
      </w:r>
      <w:r w:rsidR="000A4456">
        <w:rPr>
          <w:rFonts w:ascii="Verdana" w:hAnsi="Verdana"/>
          <w:sz w:val="16"/>
          <w:szCs w:val="16"/>
        </w:rPr>
        <w:t>5</w:t>
      </w:r>
      <w:r>
        <w:rPr>
          <w:rFonts w:ascii="Verdana" w:hAnsi="Verdana"/>
          <w:sz w:val="16"/>
          <w:szCs w:val="16"/>
        </w:rPr>
        <w:t xml:space="preserve">, y </w:t>
      </w:r>
      <w:r w:rsidR="000A6202" w:rsidRPr="000A6202">
        <w:rPr>
          <w:rFonts w:ascii="Verdana" w:hAnsi="Verdana"/>
          <w:i/>
          <w:sz w:val="16"/>
          <w:szCs w:val="16"/>
        </w:rPr>
        <w:t xml:space="preserve">Caso Masacre de Plan de Sánchez Vs. Guatemala. Supervisión de Cumplimiento de Sentencia. </w:t>
      </w:r>
      <w:r w:rsidR="000A6202" w:rsidRPr="000A6202">
        <w:rPr>
          <w:rFonts w:ascii="Verdana" w:hAnsi="Verdana"/>
          <w:sz w:val="16"/>
          <w:szCs w:val="16"/>
        </w:rPr>
        <w:t>Resolución de la Corte Interamericana de Derechos Humanos 25 de mayo de 2017</w:t>
      </w:r>
      <w:r w:rsidR="000A6202">
        <w:rPr>
          <w:rFonts w:ascii="Verdana" w:hAnsi="Verdana"/>
          <w:sz w:val="16"/>
          <w:szCs w:val="16"/>
        </w:rPr>
        <w:t>,</w:t>
      </w:r>
      <w:r w:rsidR="002A1990" w:rsidRPr="000A6202">
        <w:rPr>
          <w:rStyle w:val="Strong"/>
          <w:rFonts w:ascii="Verdana" w:hAnsi="Verdana"/>
          <w:b w:val="0"/>
          <w:color w:val="000000"/>
          <w:sz w:val="16"/>
          <w:szCs w:val="16"/>
          <w:shd w:val="clear" w:color="auto" w:fill="FFFFFF"/>
          <w:lang w:val="es-CR"/>
        </w:rPr>
        <w:t xml:space="preserve"> </w:t>
      </w:r>
      <w:r w:rsidRPr="000A6202">
        <w:rPr>
          <w:rFonts w:ascii="Verdana" w:hAnsi="Verdana"/>
          <w:sz w:val="16"/>
          <w:szCs w:val="16"/>
        </w:rPr>
        <w:t xml:space="preserve"> </w:t>
      </w:r>
      <w:r>
        <w:rPr>
          <w:rFonts w:ascii="Verdana" w:hAnsi="Verdana"/>
          <w:sz w:val="16"/>
          <w:szCs w:val="16"/>
        </w:rPr>
        <w:t>Considerando 2.</w:t>
      </w:r>
    </w:p>
  </w:footnote>
  <w:footnote w:id="12">
    <w:p w14:paraId="01E5976C" w14:textId="69AA458D" w:rsidR="00F612B2" w:rsidRPr="000A4456" w:rsidRDefault="00F612B2" w:rsidP="00F612B2">
      <w:pPr>
        <w:pStyle w:val="FootnoteText"/>
        <w:jc w:val="both"/>
        <w:rPr>
          <w:rFonts w:ascii="Verdana" w:hAnsi="Verdana"/>
          <w:b/>
          <w:bCs/>
          <w:color w:val="000000"/>
          <w:sz w:val="16"/>
          <w:szCs w:val="16"/>
          <w:shd w:val="clear" w:color="auto" w:fill="FFFFFF"/>
          <w:lang w:val="es-CR"/>
        </w:rPr>
      </w:pPr>
      <w:r>
        <w:rPr>
          <w:rStyle w:val="FootnoteReference"/>
          <w:rFonts w:ascii="Verdana" w:hAnsi="Verdana"/>
          <w:sz w:val="16"/>
          <w:szCs w:val="16"/>
        </w:rPr>
        <w:footnoteRef/>
      </w:r>
      <w:r>
        <w:rPr>
          <w:rFonts w:ascii="Verdana" w:hAnsi="Verdana"/>
          <w:b/>
          <w:sz w:val="16"/>
          <w:szCs w:val="16"/>
        </w:rPr>
        <w:t xml:space="preserve"> </w:t>
      </w:r>
      <w:r>
        <w:rPr>
          <w:rFonts w:ascii="Verdana" w:hAnsi="Verdana"/>
          <w:b/>
          <w:sz w:val="16"/>
          <w:szCs w:val="16"/>
        </w:rPr>
        <w:tab/>
      </w:r>
      <w:r>
        <w:rPr>
          <w:rFonts w:ascii="Verdana" w:hAnsi="Verdana"/>
          <w:i/>
          <w:sz w:val="16"/>
          <w:szCs w:val="16"/>
        </w:rPr>
        <w:t>Cfr. Caso Ivcher Bronstein Vs. Perú. Competencia.</w:t>
      </w:r>
      <w:r>
        <w:rPr>
          <w:rFonts w:ascii="Verdana" w:hAnsi="Verdana"/>
          <w:sz w:val="16"/>
          <w:szCs w:val="16"/>
        </w:rPr>
        <w:t xml:space="preserve"> Sentencia de la Corte Interamericana de Derechos Humanos de 24 de septiembre de 1999. Serie C No. 54, párr. 37, y </w:t>
      </w:r>
      <w:r w:rsidR="000A6202" w:rsidRPr="000A6202">
        <w:rPr>
          <w:rFonts w:ascii="Verdana" w:hAnsi="Verdana"/>
          <w:i/>
          <w:sz w:val="16"/>
          <w:szCs w:val="16"/>
        </w:rPr>
        <w:t>Caso Masacre de Plan de Sánchez Vs. Guatemala</w:t>
      </w:r>
      <w:r w:rsidR="000A6202">
        <w:rPr>
          <w:rFonts w:ascii="Verdana" w:hAnsi="Verdana"/>
          <w:i/>
          <w:sz w:val="16"/>
          <w:szCs w:val="16"/>
        </w:rPr>
        <w:t>,</w:t>
      </w:r>
      <w:r w:rsidR="000A6202" w:rsidRPr="000A6202">
        <w:rPr>
          <w:rFonts w:ascii="Verdana" w:hAnsi="Verdana"/>
          <w:i/>
          <w:sz w:val="16"/>
          <w:szCs w:val="16"/>
        </w:rPr>
        <w:t xml:space="preserve"> </w:t>
      </w:r>
      <w:r w:rsidR="000A6202">
        <w:rPr>
          <w:rFonts w:ascii="Verdana" w:hAnsi="Verdana"/>
          <w:i/>
          <w:sz w:val="16"/>
          <w:szCs w:val="16"/>
        </w:rPr>
        <w:t>supra</w:t>
      </w:r>
      <w:r w:rsidR="000A6202">
        <w:rPr>
          <w:rFonts w:ascii="Verdana" w:hAnsi="Verdana"/>
          <w:sz w:val="16"/>
          <w:szCs w:val="16"/>
        </w:rPr>
        <w:t xml:space="preserve"> nota 11,</w:t>
      </w:r>
      <w:r w:rsidR="000A6202" w:rsidRPr="000A6202">
        <w:rPr>
          <w:rStyle w:val="Strong"/>
          <w:rFonts w:ascii="Verdana" w:hAnsi="Verdana"/>
          <w:b w:val="0"/>
          <w:color w:val="000000"/>
          <w:sz w:val="16"/>
          <w:szCs w:val="16"/>
          <w:shd w:val="clear" w:color="auto" w:fill="FFFFFF"/>
          <w:lang w:val="es-CR"/>
        </w:rPr>
        <w:t xml:space="preserve"> </w:t>
      </w:r>
      <w:r w:rsidR="000A6202" w:rsidRPr="000A6202">
        <w:rPr>
          <w:rFonts w:ascii="Verdana" w:hAnsi="Verdana"/>
          <w:sz w:val="16"/>
          <w:szCs w:val="16"/>
        </w:rPr>
        <w:t xml:space="preserve"> </w:t>
      </w:r>
      <w:r w:rsidR="000A6202">
        <w:rPr>
          <w:rFonts w:ascii="Verdana" w:hAnsi="Verdana"/>
          <w:sz w:val="16"/>
          <w:szCs w:val="16"/>
        </w:rPr>
        <w:t>Considerando 2.</w:t>
      </w:r>
    </w:p>
  </w:footnote>
  <w:footnote w:id="13">
    <w:p w14:paraId="0499A302" w14:textId="7108BC80" w:rsidR="007819B3" w:rsidRPr="006D684B" w:rsidRDefault="007819B3" w:rsidP="000A4456">
      <w:pPr>
        <w:pStyle w:val="FootnoteText"/>
        <w:jc w:val="both"/>
        <w:rPr>
          <w:rFonts w:ascii="Verdana" w:hAnsi="Verdana"/>
          <w:sz w:val="16"/>
          <w:szCs w:val="16"/>
        </w:rPr>
      </w:pPr>
      <w:r w:rsidRPr="006D684B">
        <w:rPr>
          <w:rStyle w:val="FootnoteReference"/>
          <w:rFonts w:ascii="Verdana" w:hAnsi="Verdana"/>
          <w:sz w:val="16"/>
          <w:szCs w:val="16"/>
        </w:rPr>
        <w:footnoteRef/>
      </w:r>
      <w:r w:rsidRPr="006D684B">
        <w:rPr>
          <w:rFonts w:ascii="Verdana" w:hAnsi="Verdana"/>
          <w:sz w:val="16"/>
          <w:szCs w:val="16"/>
        </w:rPr>
        <w:t xml:space="preserve"> </w:t>
      </w:r>
      <w:r w:rsidRPr="006D684B">
        <w:rPr>
          <w:rFonts w:ascii="Verdana" w:hAnsi="Verdana"/>
          <w:sz w:val="16"/>
          <w:szCs w:val="16"/>
        </w:rPr>
        <w:tab/>
      </w:r>
      <w:r w:rsidRPr="006D684B">
        <w:rPr>
          <w:rFonts w:ascii="Verdana" w:hAnsi="Verdana"/>
          <w:sz w:val="16"/>
          <w:szCs w:val="16"/>
          <w:lang w:val="es-CR"/>
        </w:rPr>
        <w:t xml:space="preserve">La </w:t>
      </w:r>
      <w:r w:rsidR="000A6202">
        <w:rPr>
          <w:rFonts w:ascii="Verdana" w:hAnsi="Verdana"/>
          <w:i/>
          <w:sz w:val="16"/>
          <w:szCs w:val="16"/>
          <w:lang w:val="es-CR"/>
        </w:rPr>
        <w:t>r</w:t>
      </w:r>
      <w:r w:rsidRPr="006D684B">
        <w:rPr>
          <w:rFonts w:ascii="Verdana" w:hAnsi="Verdana"/>
          <w:i/>
          <w:sz w:val="16"/>
          <w:szCs w:val="16"/>
          <w:lang w:val="es-CR"/>
        </w:rPr>
        <w:t xml:space="preserve">epresentante </w:t>
      </w:r>
      <w:r w:rsidRPr="006D684B">
        <w:rPr>
          <w:rFonts w:ascii="Verdana" w:hAnsi="Verdana"/>
          <w:sz w:val="16"/>
          <w:szCs w:val="16"/>
          <w:lang w:val="es-CR"/>
        </w:rPr>
        <w:t>indicó que “efectivamente, el Estado de Guatemala en fecha 13 de diciembre de 2,016; celebró acto privado para hacer entrega del pago de costas a la Red de la No Violencia contra las Mujeres, dando por cumplido este punto”.</w:t>
      </w:r>
    </w:p>
  </w:footnote>
  <w:footnote w:id="14">
    <w:p w14:paraId="150F29A5" w14:textId="5D1C2F7A" w:rsidR="007819B3" w:rsidRPr="000E65E7" w:rsidRDefault="007819B3" w:rsidP="00B16BA8">
      <w:pPr>
        <w:pStyle w:val="FootnoteText"/>
        <w:jc w:val="both"/>
        <w:rPr>
          <w:rFonts w:ascii="Verdana" w:hAnsi="Verdana"/>
          <w:sz w:val="20"/>
          <w:szCs w:val="20"/>
          <w:lang w:val="es-CR"/>
        </w:rPr>
      </w:pPr>
      <w:r w:rsidRPr="006D684B">
        <w:rPr>
          <w:rStyle w:val="FootnoteReference"/>
          <w:rFonts w:ascii="Verdana" w:hAnsi="Verdana"/>
          <w:sz w:val="16"/>
          <w:szCs w:val="16"/>
        </w:rPr>
        <w:footnoteRef/>
      </w:r>
      <w:r w:rsidRPr="006D684B">
        <w:rPr>
          <w:rFonts w:ascii="Verdana" w:hAnsi="Verdana"/>
          <w:sz w:val="16"/>
          <w:szCs w:val="16"/>
        </w:rPr>
        <w:t xml:space="preserve"> </w:t>
      </w:r>
      <w:r w:rsidRPr="006D684B">
        <w:rPr>
          <w:rFonts w:ascii="Verdana" w:hAnsi="Verdana"/>
          <w:sz w:val="16"/>
          <w:szCs w:val="16"/>
        </w:rPr>
        <w:tab/>
      </w:r>
      <w:r w:rsidRPr="006D684B">
        <w:rPr>
          <w:rFonts w:ascii="Verdana" w:hAnsi="Verdana"/>
          <w:sz w:val="16"/>
          <w:szCs w:val="16"/>
          <w:lang w:val="es-CR"/>
        </w:rPr>
        <w:t xml:space="preserve">Acta </w:t>
      </w:r>
      <w:r>
        <w:rPr>
          <w:rFonts w:ascii="Verdana" w:hAnsi="Verdana"/>
          <w:sz w:val="16"/>
          <w:szCs w:val="16"/>
          <w:lang w:val="es-CR"/>
        </w:rPr>
        <w:t>de</w:t>
      </w:r>
      <w:r w:rsidRPr="006D684B">
        <w:rPr>
          <w:rFonts w:ascii="Verdana" w:hAnsi="Verdana"/>
          <w:sz w:val="16"/>
          <w:szCs w:val="16"/>
          <w:lang w:val="es-CR"/>
        </w:rPr>
        <w:t xml:space="preserve"> </w:t>
      </w:r>
      <w:r>
        <w:rPr>
          <w:rFonts w:ascii="Verdana" w:hAnsi="Verdana"/>
          <w:sz w:val="16"/>
          <w:szCs w:val="16"/>
          <w:lang w:val="es-CR"/>
        </w:rPr>
        <w:t>13</w:t>
      </w:r>
      <w:r w:rsidRPr="006D684B">
        <w:rPr>
          <w:rFonts w:ascii="Verdana" w:hAnsi="Verdana"/>
          <w:sz w:val="16"/>
          <w:szCs w:val="16"/>
          <w:lang w:val="es-CR"/>
        </w:rPr>
        <w:t xml:space="preserve"> de diciembre de 2016 </w:t>
      </w:r>
      <w:r>
        <w:rPr>
          <w:rFonts w:ascii="Verdana" w:hAnsi="Verdana"/>
          <w:sz w:val="16"/>
          <w:szCs w:val="16"/>
          <w:lang w:val="es-CR"/>
        </w:rPr>
        <w:t>suscrita por el Presidente de la Comisión Presidencial Coordinadora de la Política del Ejecutivo en Materia de Derechos Humanos, la Directora Ejecutiva de COPREDEH y por la representante legal del Grupo Guatemalteco de Mujeres y la Red de la No Violencia contra las Mujeres</w:t>
      </w:r>
      <w:r w:rsidRPr="006D684B">
        <w:rPr>
          <w:rFonts w:ascii="Verdana" w:hAnsi="Verdana"/>
          <w:sz w:val="16"/>
          <w:szCs w:val="16"/>
          <w:lang w:val="es-CR"/>
        </w:rPr>
        <w:t>.</w:t>
      </w:r>
    </w:p>
  </w:footnote>
  <w:footnote w:id="15">
    <w:p w14:paraId="78E682E2" w14:textId="7AFC6C1A" w:rsidR="00161929" w:rsidRPr="00C33421" w:rsidRDefault="00161929" w:rsidP="00161929">
      <w:pPr>
        <w:pStyle w:val="FootnoteText"/>
        <w:jc w:val="both"/>
        <w:rPr>
          <w:rFonts w:ascii="Verdana" w:hAnsi="Verdana"/>
          <w:b/>
          <w:sz w:val="16"/>
          <w:szCs w:val="16"/>
          <w:lang w:val="es-CR"/>
        </w:rPr>
      </w:pPr>
      <w:r w:rsidRPr="00C33421">
        <w:rPr>
          <w:rStyle w:val="FootnoteReference"/>
          <w:rFonts w:ascii="Verdana" w:hAnsi="Verdana"/>
          <w:sz w:val="16"/>
          <w:szCs w:val="16"/>
        </w:rPr>
        <w:footnoteRef/>
      </w:r>
      <w:r w:rsidRPr="00C33421">
        <w:rPr>
          <w:rFonts w:ascii="Verdana" w:hAnsi="Verdana"/>
          <w:sz w:val="16"/>
          <w:szCs w:val="16"/>
        </w:rPr>
        <w:t xml:space="preserve"> </w:t>
      </w:r>
      <w:r w:rsidRPr="00C33421">
        <w:rPr>
          <w:rFonts w:ascii="Verdana" w:hAnsi="Verdana"/>
          <w:sz w:val="16"/>
          <w:szCs w:val="16"/>
          <w:lang w:val="es-CR"/>
        </w:rPr>
        <w:tab/>
        <w:t>La señora Dinora Patricia Gramajo Romero es presidenta de la Junta Directiva y representante legal del Grupo Guatemalteco de Mujeres y representó a la Red de la No Violencia Contra las Mujeres (REDNOVI)</w:t>
      </w:r>
      <w:r>
        <w:rPr>
          <w:rFonts w:ascii="Verdana" w:hAnsi="Verdana"/>
          <w:sz w:val="16"/>
          <w:szCs w:val="16"/>
          <w:lang w:val="es-CR"/>
        </w:rPr>
        <w:t xml:space="preserve"> en el acto privado celebrado con el Estado</w:t>
      </w:r>
      <w:r w:rsidR="000A6202">
        <w:rPr>
          <w:rFonts w:ascii="Verdana" w:hAnsi="Verdana"/>
          <w:sz w:val="16"/>
          <w:szCs w:val="16"/>
          <w:lang w:val="es-CR"/>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0068515"/>
      <w:docPartObj>
        <w:docPartGallery w:val="Page Numbers (Top of Page)"/>
        <w:docPartUnique/>
      </w:docPartObj>
    </w:sdtPr>
    <w:sdtEndPr>
      <w:rPr>
        <w:noProof/>
      </w:rPr>
    </w:sdtEndPr>
    <w:sdtContent>
      <w:p w14:paraId="26A0905E" w14:textId="3C61B470" w:rsidR="00153249" w:rsidRDefault="00153249">
        <w:pPr>
          <w:pStyle w:val="Header"/>
          <w:jc w:val="center"/>
        </w:pPr>
        <w:r>
          <w:fldChar w:fldCharType="begin"/>
        </w:r>
        <w:r>
          <w:instrText xml:space="preserve"> PAGE   \* MERGEFORMAT </w:instrText>
        </w:r>
        <w:r>
          <w:fldChar w:fldCharType="separate"/>
        </w:r>
        <w:r w:rsidR="00251A22">
          <w:rPr>
            <w:noProof/>
          </w:rPr>
          <w:t>2</w:t>
        </w:r>
        <w:r>
          <w:rPr>
            <w:noProof/>
          </w:rPr>
          <w:fldChar w:fldCharType="end"/>
        </w:r>
      </w:p>
    </w:sdtContent>
  </w:sdt>
  <w:p w14:paraId="2E809A5D" w14:textId="5D1E11F1" w:rsidR="007819B3" w:rsidRPr="004206F3" w:rsidRDefault="007819B3" w:rsidP="004206F3">
    <w:pPr>
      <w:pStyle w:val="Header"/>
      <w:jc w:val="right"/>
      <w:rPr>
        <w:rFonts w:ascii="Verdana" w:hAnsi="Verdana"/>
        <w:i/>
        <w:sz w:val="20"/>
        <w:lang w:val="es-C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9779EB"/>
    <w:multiLevelType w:val="hybridMultilevel"/>
    <w:tmpl w:val="8474D1A8"/>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nsid w:val="2E2C1B85"/>
    <w:multiLevelType w:val="hybridMultilevel"/>
    <w:tmpl w:val="C5DE516A"/>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nsid w:val="31467E34"/>
    <w:multiLevelType w:val="hybridMultilevel"/>
    <w:tmpl w:val="500AFDC0"/>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nsid w:val="4064049E"/>
    <w:multiLevelType w:val="hybridMultilevel"/>
    <w:tmpl w:val="83F6E528"/>
    <w:lvl w:ilvl="0" w:tplc="7020EF86">
      <w:start w:val="1"/>
      <w:numFmt w:val="decimal"/>
      <w:lvlText w:val="%1."/>
      <w:lvlJc w:val="left"/>
      <w:pPr>
        <w:ind w:left="1080" w:hanging="72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4">
    <w:nsid w:val="61A014A0"/>
    <w:multiLevelType w:val="hybridMultilevel"/>
    <w:tmpl w:val="6CF8F426"/>
    <w:lvl w:ilvl="0" w:tplc="2F0C291C">
      <w:start w:val="1"/>
      <w:numFmt w:val="decimal"/>
      <w:lvlText w:val="%1."/>
      <w:lvlJc w:val="left"/>
      <w:pPr>
        <w:ind w:left="720" w:hanging="360"/>
      </w:pPr>
      <w:rPr>
        <w:rFonts w:ascii="Verdana" w:eastAsia="Times" w:hAnsi="Verdana" w:hint="default"/>
        <w:sz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nsid w:val="76DC3104"/>
    <w:multiLevelType w:val="hybridMultilevel"/>
    <w:tmpl w:val="1FF8DA96"/>
    <w:lvl w:ilvl="0" w:tplc="DB9A1BEA">
      <w:start w:val="1"/>
      <w:numFmt w:val="low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6">
    <w:nsid w:val="7A7B161B"/>
    <w:multiLevelType w:val="hybridMultilevel"/>
    <w:tmpl w:val="602292F0"/>
    <w:lvl w:ilvl="0" w:tplc="140A0015">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nsid w:val="7D091A98"/>
    <w:multiLevelType w:val="hybridMultilevel"/>
    <w:tmpl w:val="F006B7DE"/>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4"/>
  </w:num>
  <w:num w:numId="2">
    <w:abstractNumId w:val="1"/>
  </w:num>
  <w:num w:numId="3">
    <w:abstractNumId w:val="7"/>
  </w:num>
  <w:num w:numId="4">
    <w:abstractNumId w:val="6"/>
  </w:num>
  <w:num w:numId="5">
    <w:abstractNumId w:val="0"/>
  </w:num>
  <w:num w:numId="6">
    <w:abstractNumId w:val="2"/>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6F3"/>
    <w:rsid w:val="00032112"/>
    <w:rsid w:val="00037DBE"/>
    <w:rsid w:val="00072E53"/>
    <w:rsid w:val="000A4456"/>
    <w:rsid w:val="000A6202"/>
    <w:rsid w:val="000D06AF"/>
    <w:rsid w:val="000D20B0"/>
    <w:rsid w:val="000E42DB"/>
    <w:rsid w:val="000E65E7"/>
    <w:rsid w:val="0014732F"/>
    <w:rsid w:val="00153249"/>
    <w:rsid w:val="00161929"/>
    <w:rsid w:val="00174751"/>
    <w:rsid w:val="001901D0"/>
    <w:rsid w:val="002312DF"/>
    <w:rsid w:val="00251A22"/>
    <w:rsid w:val="0026120F"/>
    <w:rsid w:val="002A1990"/>
    <w:rsid w:val="002B2AD9"/>
    <w:rsid w:val="002C7456"/>
    <w:rsid w:val="002F2F4E"/>
    <w:rsid w:val="003002CC"/>
    <w:rsid w:val="00351587"/>
    <w:rsid w:val="003A66D8"/>
    <w:rsid w:val="004206F3"/>
    <w:rsid w:val="00421A3D"/>
    <w:rsid w:val="00442B04"/>
    <w:rsid w:val="00453FB6"/>
    <w:rsid w:val="004A3367"/>
    <w:rsid w:val="004D2F16"/>
    <w:rsid w:val="00521B94"/>
    <w:rsid w:val="00530C59"/>
    <w:rsid w:val="00625521"/>
    <w:rsid w:val="0067679E"/>
    <w:rsid w:val="00694E0B"/>
    <w:rsid w:val="006B27E8"/>
    <w:rsid w:val="006C4CA4"/>
    <w:rsid w:val="006D684B"/>
    <w:rsid w:val="006F05A1"/>
    <w:rsid w:val="00773443"/>
    <w:rsid w:val="007819B3"/>
    <w:rsid w:val="00823CD2"/>
    <w:rsid w:val="008303C5"/>
    <w:rsid w:val="00854BD7"/>
    <w:rsid w:val="008D2B8B"/>
    <w:rsid w:val="00990E63"/>
    <w:rsid w:val="009D126B"/>
    <w:rsid w:val="00A04452"/>
    <w:rsid w:val="00A5363F"/>
    <w:rsid w:val="00A571E6"/>
    <w:rsid w:val="00A65E5D"/>
    <w:rsid w:val="00A73977"/>
    <w:rsid w:val="00A835F8"/>
    <w:rsid w:val="00AF2C88"/>
    <w:rsid w:val="00B1025A"/>
    <w:rsid w:val="00B13E8F"/>
    <w:rsid w:val="00B16BA8"/>
    <w:rsid w:val="00BE1244"/>
    <w:rsid w:val="00C33421"/>
    <w:rsid w:val="00C573AF"/>
    <w:rsid w:val="00C97E55"/>
    <w:rsid w:val="00CA51E3"/>
    <w:rsid w:val="00CB10FA"/>
    <w:rsid w:val="00CB6ACA"/>
    <w:rsid w:val="00CC7A4C"/>
    <w:rsid w:val="00CF186D"/>
    <w:rsid w:val="00CF2EC0"/>
    <w:rsid w:val="00D12044"/>
    <w:rsid w:val="00DA717A"/>
    <w:rsid w:val="00DB3DEE"/>
    <w:rsid w:val="00E45BC4"/>
    <w:rsid w:val="00E93A34"/>
    <w:rsid w:val="00F02D10"/>
    <w:rsid w:val="00F612B2"/>
    <w:rsid w:val="00F83CE6"/>
    <w:rsid w:val="00F87C24"/>
    <w:rsid w:val="00FD7552"/>
    <w:rsid w:val="00FF52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BE1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6F3"/>
    <w:pPr>
      <w:spacing w:after="0" w:line="240" w:lineRule="auto"/>
    </w:pPr>
    <w:rPr>
      <w:rFonts w:ascii="Garamond" w:eastAsia="Times" w:hAnsi="Garamond" w:cs="Times New Roman"/>
      <w:sz w:val="24"/>
      <w:szCs w:val="20"/>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06F3"/>
    <w:rPr>
      <w:color w:val="0000FF" w:themeColor="hyperlink"/>
      <w:u w:val="single"/>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C Char"/>
    <w:basedOn w:val="DefaultParagraphFont"/>
    <w:link w:val="FootnoteText"/>
    <w:locked/>
    <w:rsid w:val="004206F3"/>
    <w:rPr>
      <w:rFonts w:ascii="Times" w:eastAsia="Times" w:hAnsi="Times" w:cs="Times"/>
      <w:sz w:val="24"/>
      <w:lang w:val="es-ES_tradnl" w:eastAsia="x-none"/>
    </w:rPr>
  </w:style>
  <w:style w:type="paragraph" w:styleId="FootnoteText">
    <w:name w:val="footnote text"/>
    <w:aliases w:val="Footnote Text Char Char Char Char Char,Footnote Text Char Char Char Char,Footnote reference,FA Fu,Footnote Text Char Char Char,Footnote Text Cha,FA Fußnotentext,FA Fuﬂnotentext,Footnote Text Char Char,FA Fu?notentext,Ca,FA Fu?notente,C,ft"/>
    <w:basedOn w:val="Normal"/>
    <w:link w:val="FootnoteTextChar"/>
    <w:unhideWhenUsed/>
    <w:qFormat/>
    <w:rsid w:val="004206F3"/>
    <w:rPr>
      <w:rFonts w:ascii="Times" w:hAnsi="Times" w:cs="Times"/>
      <w:szCs w:val="22"/>
      <w:lang w:eastAsia="x-none"/>
    </w:rPr>
  </w:style>
  <w:style w:type="character" w:customStyle="1" w:styleId="FootnoteTextChar1">
    <w:name w:val="Footnote Text Char1"/>
    <w:basedOn w:val="DefaultParagraphFont"/>
    <w:uiPriority w:val="99"/>
    <w:semiHidden/>
    <w:rsid w:val="004206F3"/>
    <w:rPr>
      <w:rFonts w:ascii="Garamond" w:eastAsia="Times" w:hAnsi="Garamond" w:cs="Times New Roman"/>
      <w:sz w:val="20"/>
      <w:szCs w:val="20"/>
      <w:lang w:val="es-ES_tradnl"/>
    </w:rPr>
  </w:style>
  <w:style w:type="character" w:styleId="FootnoteReference">
    <w:name w:val="footnote reference"/>
    <w:aliases w:val="Texto de nota al pie,Footnotes refss,Appel note de bas de page,Footnote number,referencia nota al pie,BVI fnr,f,4_G,16 Point,Superscript 6 Point,Texto nota al pie,Footnote Reference Char3,Footnote Reference Char1 Char,Ref. de nota al"/>
    <w:semiHidden/>
    <w:unhideWhenUsed/>
    <w:qFormat/>
    <w:rsid w:val="004206F3"/>
    <w:rPr>
      <w:vertAlign w:val="superscript"/>
    </w:rPr>
  </w:style>
  <w:style w:type="character" w:styleId="Strong">
    <w:name w:val="Strong"/>
    <w:basedOn w:val="DefaultParagraphFont"/>
    <w:uiPriority w:val="22"/>
    <w:qFormat/>
    <w:rsid w:val="004206F3"/>
    <w:rPr>
      <w:b/>
      <w:bCs/>
    </w:rPr>
  </w:style>
  <w:style w:type="paragraph" w:styleId="Header">
    <w:name w:val="header"/>
    <w:basedOn w:val="Normal"/>
    <w:link w:val="HeaderChar"/>
    <w:uiPriority w:val="99"/>
    <w:unhideWhenUsed/>
    <w:rsid w:val="004206F3"/>
    <w:pPr>
      <w:tabs>
        <w:tab w:val="center" w:pos="4680"/>
        <w:tab w:val="right" w:pos="9360"/>
      </w:tabs>
    </w:pPr>
  </w:style>
  <w:style w:type="character" w:customStyle="1" w:styleId="HeaderChar">
    <w:name w:val="Header Char"/>
    <w:basedOn w:val="DefaultParagraphFont"/>
    <w:link w:val="Header"/>
    <w:uiPriority w:val="99"/>
    <w:rsid w:val="004206F3"/>
    <w:rPr>
      <w:rFonts w:ascii="Garamond" w:eastAsia="Times" w:hAnsi="Garamond" w:cs="Times New Roman"/>
      <w:sz w:val="24"/>
      <w:szCs w:val="20"/>
      <w:lang w:val="es-ES_tradnl"/>
    </w:rPr>
  </w:style>
  <w:style w:type="paragraph" w:styleId="Footer">
    <w:name w:val="footer"/>
    <w:basedOn w:val="Normal"/>
    <w:link w:val="FooterChar"/>
    <w:uiPriority w:val="99"/>
    <w:unhideWhenUsed/>
    <w:rsid w:val="004206F3"/>
    <w:pPr>
      <w:tabs>
        <w:tab w:val="center" w:pos="4680"/>
        <w:tab w:val="right" w:pos="9360"/>
      </w:tabs>
    </w:pPr>
  </w:style>
  <w:style w:type="character" w:customStyle="1" w:styleId="FooterChar">
    <w:name w:val="Footer Char"/>
    <w:basedOn w:val="DefaultParagraphFont"/>
    <w:link w:val="Footer"/>
    <w:uiPriority w:val="99"/>
    <w:rsid w:val="004206F3"/>
    <w:rPr>
      <w:rFonts w:ascii="Garamond" w:eastAsia="Times" w:hAnsi="Garamond" w:cs="Times New Roman"/>
      <w:sz w:val="24"/>
      <w:szCs w:val="20"/>
      <w:lang w:val="es-ES_tradnl"/>
    </w:rPr>
  </w:style>
  <w:style w:type="paragraph" w:styleId="ListParagraph">
    <w:name w:val="List Paragraph"/>
    <w:basedOn w:val="Normal"/>
    <w:link w:val="ListParagraphChar"/>
    <w:uiPriority w:val="34"/>
    <w:qFormat/>
    <w:rsid w:val="004206F3"/>
    <w:pPr>
      <w:ind w:left="720"/>
      <w:contextualSpacing/>
    </w:pPr>
  </w:style>
  <w:style w:type="character" w:styleId="LineNumber">
    <w:name w:val="line number"/>
    <w:basedOn w:val="DefaultParagraphFont"/>
    <w:uiPriority w:val="99"/>
    <w:semiHidden/>
    <w:unhideWhenUsed/>
    <w:rsid w:val="00CC7A4C"/>
  </w:style>
  <w:style w:type="character" w:styleId="CommentReference">
    <w:name w:val="annotation reference"/>
    <w:basedOn w:val="DefaultParagraphFont"/>
    <w:uiPriority w:val="99"/>
    <w:semiHidden/>
    <w:unhideWhenUsed/>
    <w:rsid w:val="00037DBE"/>
    <w:rPr>
      <w:sz w:val="16"/>
      <w:szCs w:val="16"/>
    </w:rPr>
  </w:style>
  <w:style w:type="paragraph" w:styleId="CommentText">
    <w:name w:val="annotation text"/>
    <w:basedOn w:val="Normal"/>
    <w:link w:val="CommentTextChar"/>
    <w:uiPriority w:val="99"/>
    <w:semiHidden/>
    <w:unhideWhenUsed/>
    <w:rsid w:val="00037DBE"/>
    <w:rPr>
      <w:sz w:val="20"/>
    </w:rPr>
  </w:style>
  <w:style w:type="character" w:customStyle="1" w:styleId="CommentTextChar">
    <w:name w:val="Comment Text Char"/>
    <w:basedOn w:val="DefaultParagraphFont"/>
    <w:link w:val="CommentText"/>
    <w:uiPriority w:val="99"/>
    <w:semiHidden/>
    <w:rsid w:val="00037DBE"/>
    <w:rPr>
      <w:rFonts w:ascii="Garamond" w:eastAsia="Times" w:hAnsi="Garamond" w:cs="Times New Roman"/>
      <w:sz w:val="20"/>
      <w:szCs w:val="20"/>
      <w:lang w:val="es-ES_tradnl"/>
    </w:rPr>
  </w:style>
  <w:style w:type="paragraph" w:styleId="CommentSubject">
    <w:name w:val="annotation subject"/>
    <w:basedOn w:val="CommentText"/>
    <w:next w:val="CommentText"/>
    <w:link w:val="CommentSubjectChar"/>
    <w:uiPriority w:val="99"/>
    <w:semiHidden/>
    <w:unhideWhenUsed/>
    <w:rsid w:val="00037DBE"/>
    <w:rPr>
      <w:b/>
      <w:bCs/>
    </w:rPr>
  </w:style>
  <w:style w:type="character" w:customStyle="1" w:styleId="CommentSubjectChar">
    <w:name w:val="Comment Subject Char"/>
    <w:basedOn w:val="CommentTextChar"/>
    <w:link w:val="CommentSubject"/>
    <w:uiPriority w:val="99"/>
    <w:semiHidden/>
    <w:rsid w:val="00037DBE"/>
    <w:rPr>
      <w:rFonts w:ascii="Garamond" w:eastAsia="Times" w:hAnsi="Garamond" w:cs="Times New Roman"/>
      <w:b/>
      <w:bCs/>
      <w:sz w:val="20"/>
      <w:szCs w:val="20"/>
      <w:lang w:val="es-ES_tradnl"/>
    </w:rPr>
  </w:style>
  <w:style w:type="paragraph" w:styleId="BalloonText">
    <w:name w:val="Balloon Text"/>
    <w:basedOn w:val="Normal"/>
    <w:link w:val="BalloonTextChar"/>
    <w:uiPriority w:val="99"/>
    <w:semiHidden/>
    <w:unhideWhenUsed/>
    <w:rsid w:val="00037DBE"/>
    <w:rPr>
      <w:rFonts w:ascii="Tahoma" w:hAnsi="Tahoma" w:cs="Tahoma"/>
      <w:sz w:val="16"/>
      <w:szCs w:val="16"/>
    </w:rPr>
  </w:style>
  <w:style w:type="character" w:customStyle="1" w:styleId="BalloonTextChar">
    <w:name w:val="Balloon Text Char"/>
    <w:basedOn w:val="DefaultParagraphFont"/>
    <w:link w:val="BalloonText"/>
    <w:uiPriority w:val="99"/>
    <w:semiHidden/>
    <w:rsid w:val="00037DBE"/>
    <w:rPr>
      <w:rFonts w:ascii="Tahoma" w:eastAsia="Times" w:hAnsi="Tahoma" w:cs="Tahoma"/>
      <w:sz w:val="16"/>
      <w:szCs w:val="16"/>
      <w:lang w:val="es-ES_tradnl"/>
    </w:rPr>
  </w:style>
  <w:style w:type="paragraph" w:styleId="Revision">
    <w:name w:val="Revision"/>
    <w:hidden/>
    <w:uiPriority w:val="99"/>
    <w:semiHidden/>
    <w:rsid w:val="00037DBE"/>
    <w:pPr>
      <w:spacing w:after="0" w:line="240" w:lineRule="auto"/>
    </w:pPr>
    <w:rPr>
      <w:rFonts w:ascii="Garamond" w:eastAsia="Times" w:hAnsi="Garamond" w:cs="Times New Roman"/>
      <w:sz w:val="24"/>
      <w:szCs w:val="20"/>
      <w:lang w:val="es-ES_tradnl"/>
    </w:rPr>
  </w:style>
  <w:style w:type="character" w:customStyle="1" w:styleId="ListParagraphChar">
    <w:name w:val="List Paragraph Char"/>
    <w:link w:val="ListParagraph"/>
    <w:uiPriority w:val="34"/>
    <w:locked/>
    <w:rsid w:val="00F612B2"/>
    <w:rPr>
      <w:rFonts w:ascii="Garamond" w:eastAsia="Times" w:hAnsi="Garamond" w:cs="Times New Roman"/>
      <w:sz w:val="24"/>
      <w:szCs w:val="20"/>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6F3"/>
    <w:pPr>
      <w:spacing w:after="0" w:line="240" w:lineRule="auto"/>
    </w:pPr>
    <w:rPr>
      <w:rFonts w:ascii="Garamond" w:eastAsia="Times" w:hAnsi="Garamond" w:cs="Times New Roman"/>
      <w:sz w:val="24"/>
      <w:szCs w:val="20"/>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06F3"/>
    <w:rPr>
      <w:color w:val="0000FF" w:themeColor="hyperlink"/>
      <w:u w:val="single"/>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C Char"/>
    <w:basedOn w:val="DefaultParagraphFont"/>
    <w:link w:val="FootnoteText"/>
    <w:locked/>
    <w:rsid w:val="004206F3"/>
    <w:rPr>
      <w:rFonts w:ascii="Times" w:eastAsia="Times" w:hAnsi="Times" w:cs="Times"/>
      <w:sz w:val="24"/>
      <w:lang w:val="es-ES_tradnl" w:eastAsia="x-none"/>
    </w:rPr>
  </w:style>
  <w:style w:type="paragraph" w:styleId="FootnoteText">
    <w:name w:val="footnote text"/>
    <w:aliases w:val="Footnote Text Char Char Char Char Char,Footnote Text Char Char Char Char,Footnote reference,FA Fu,Footnote Text Char Char Char,Footnote Text Cha,FA Fußnotentext,FA Fuﬂnotentext,Footnote Text Char Char,FA Fu?notentext,Ca,FA Fu?notente,C,ft"/>
    <w:basedOn w:val="Normal"/>
    <w:link w:val="FootnoteTextChar"/>
    <w:unhideWhenUsed/>
    <w:qFormat/>
    <w:rsid w:val="004206F3"/>
    <w:rPr>
      <w:rFonts w:ascii="Times" w:hAnsi="Times" w:cs="Times"/>
      <w:szCs w:val="22"/>
      <w:lang w:eastAsia="x-none"/>
    </w:rPr>
  </w:style>
  <w:style w:type="character" w:customStyle="1" w:styleId="FootnoteTextChar1">
    <w:name w:val="Footnote Text Char1"/>
    <w:basedOn w:val="DefaultParagraphFont"/>
    <w:uiPriority w:val="99"/>
    <w:semiHidden/>
    <w:rsid w:val="004206F3"/>
    <w:rPr>
      <w:rFonts w:ascii="Garamond" w:eastAsia="Times" w:hAnsi="Garamond" w:cs="Times New Roman"/>
      <w:sz w:val="20"/>
      <w:szCs w:val="20"/>
      <w:lang w:val="es-ES_tradnl"/>
    </w:rPr>
  </w:style>
  <w:style w:type="character" w:styleId="FootnoteReference">
    <w:name w:val="footnote reference"/>
    <w:aliases w:val="Texto de nota al pie,Footnotes refss,Appel note de bas de page,Footnote number,referencia nota al pie,BVI fnr,f,4_G,16 Point,Superscript 6 Point,Texto nota al pie,Footnote Reference Char3,Footnote Reference Char1 Char,Ref. de nota al"/>
    <w:semiHidden/>
    <w:unhideWhenUsed/>
    <w:qFormat/>
    <w:rsid w:val="004206F3"/>
    <w:rPr>
      <w:vertAlign w:val="superscript"/>
    </w:rPr>
  </w:style>
  <w:style w:type="character" w:styleId="Strong">
    <w:name w:val="Strong"/>
    <w:basedOn w:val="DefaultParagraphFont"/>
    <w:uiPriority w:val="22"/>
    <w:qFormat/>
    <w:rsid w:val="004206F3"/>
    <w:rPr>
      <w:b/>
      <w:bCs/>
    </w:rPr>
  </w:style>
  <w:style w:type="paragraph" w:styleId="Header">
    <w:name w:val="header"/>
    <w:basedOn w:val="Normal"/>
    <w:link w:val="HeaderChar"/>
    <w:uiPriority w:val="99"/>
    <w:unhideWhenUsed/>
    <w:rsid w:val="004206F3"/>
    <w:pPr>
      <w:tabs>
        <w:tab w:val="center" w:pos="4680"/>
        <w:tab w:val="right" w:pos="9360"/>
      </w:tabs>
    </w:pPr>
  </w:style>
  <w:style w:type="character" w:customStyle="1" w:styleId="HeaderChar">
    <w:name w:val="Header Char"/>
    <w:basedOn w:val="DefaultParagraphFont"/>
    <w:link w:val="Header"/>
    <w:uiPriority w:val="99"/>
    <w:rsid w:val="004206F3"/>
    <w:rPr>
      <w:rFonts w:ascii="Garamond" w:eastAsia="Times" w:hAnsi="Garamond" w:cs="Times New Roman"/>
      <w:sz w:val="24"/>
      <w:szCs w:val="20"/>
      <w:lang w:val="es-ES_tradnl"/>
    </w:rPr>
  </w:style>
  <w:style w:type="paragraph" w:styleId="Footer">
    <w:name w:val="footer"/>
    <w:basedOn w:val="Normal"/>
    <w:link w:val="FooterChar"/>
    <w:uiPriority w:val="99"/>
    <w:unhideWhenUsed/>
    <w:rsid w:val="004206F3"/>
    <w:pPr>
      <w:tabs>
        <w:tab w:val="center" w:pos="4680"/>
        <w:tab w:val="right" w:pos="9360"/>
      </w:tabs>
    </w:pPr>
  </w:style>
  <w:style w:type="character" w:customStyle="1" w:styleId="FooterChar">
    <w:name w:val="Footer Char"/>
    <w:basedOn w:val="DefaultParagraphFont"/>
    <w:link w:val="Footer"/>
    <w:uiPriority w:val="99"/>
    <w:rsid w:val="004206F3"/>
    <w:rPr>
      <w:rFonts w:ascii="Garamond" w:eastAsia="Times" w:hAnsi="Garamond" w:cs="Times New Roman"/>
      <w:sz w:val="24"/>
      <w:szCs w:val="20"/>
      <w:lang w:val="es-ES_tradnl"/>
    </w:rPr>
  </w:style>
  <w:style w:type="paragraph" w:styleId="ListParagraph">
    <w:name w:val="List Paragraph"/>
    <w:basedOn w:val="Normal"/>
    <w:link w:val="ListParagraphChar"/>
    <w:uiPriority w:val="34"/>
    <w:qFormat/>
    <w:rsid w:val="004206F3"/>
    <w:pPr>
      <w:ind w:left="720"/>
      <w:contextualSpacing/>
    </w:pPr>
  </w:style>
  <w:style w:type="character" w:styleId="LineNumber">
    <w:name w:val="line number"/>
    <w:basedOn w:val="DefaultParagraphFont"/>
    <w:uiPriority w:val="99"/>
    <w:semiHidden/>
    <w:unhideWhenUsed/>
    <w:rsid w:val="00CC7A4C"/>
  </w:style>
  <w:style w:type="character" w:styleId="CommentReference">
    <w:name w:val="annotation reference"/>
    <w:basedOn w:val="DefaultParagraphFont"/>
    <w:uiPriority w:val="99"/>
    <w:semiHidden/>
    <w:unhideWhenUsed/>
    <w:rsid w:val="00037DBE"/>
    <w:rPr>
      <w:sz w:val="16"/>
      <w:szCs w:val="16"/>
    </w:rPr>
  </w:style>
  <w:style w:type="paragraph" w:styleId="CommentText">
    <w:name w:val="annotation text"/>
    <w:basedOn w:val="Normal"/>
    <w:link w:val="CommentTextChar"/>
    <w:uiPriority w:val="99"/>
    <w:semiHidden/>
    <w:unhideWhenUsed/>
    <w:rsid w:val="00037DBE"/>
    <w:rPr>
      <w:sz w:val="20"/>
    </w:rPr>
  </w:style>
  <w:style w:type="character" w:customStyle="1" w:styleId="CommentTextChar">
    <w:name w:val="Comment Text Char"/>
    <w:basedOn w:val="DefaultParagraphFont"/>
    <w:link w:val="CommentText"/>
    <w:uiPriority w:val="99"/>
    <w:semiHidden/>
    <w:rsid w:val="00037DBE"/>
    <w:rPr>
      <w:rFonts w:ascii="Garamond" w:eastAsia="Times" w:hAnsi="Garamond" w:cs="Times New Roman"/>
      <w:sz w:val="20"/>
      <w:szCs w:val="20"/>
      <w:lang w:val="es-ES_tradnl"/>
    </w:rPr>
  </w:style>
  <w:style w:type="paragraph" w:styleId="CommentSubject">
    <w:name w:val="annotation subject"/>
    <w:basedOn w:val="CommentText"/>
    <w:next w:val="CommentText"/>
    <w:link w:val="CommentSubjectChar"/>
    <w:uiPriority w:val="99"/>
    <w:semiHidden/>
    <w:unhideWhenUsed/>
    <w:rsid w:val="00037DBE"/>
    <w:rPr>
      <w:b/>
      <w:bCs/>
    </w:rPr>
  </w:style>
  <w:style w:type="character" w:customStyle="1" w:styleId="CommentSubjectChar">
    <w:name w:val="Comment Subject Char"/>
    <w:basedOn w:val="CommentTextChar"/>
    <w:link w:val="CommentSubject"/>
    <w:uiPriority w:val="99"/>
    <w:semiHidden/>
    <w:rsid w:val="00037DBE"/>
    <w:rPr>
      <w:rFonts w:ascii="Garamond" w:eastAsia="Times" w:hAnsi="Garamond" w:cs="Times New Roman"/>
      <w:b/>
      <w:bCs/>
      <w:sz w:val="20"/>
      <w:szCs w:val="20"/>
      <w:lang w:val="es-ES_tradnl"/>
    </w:rPr>
  </w:style>
  <w:style w:type="paragraph" w:styleId="BalloonText">
    <w:name w:val="Balloon Text"/>
    <w:basedOn w:val="Normal"/>
    <w:link w:val="BalloonTextChar"/>
    <w:uiPriority w:val="99"/>
    <w:semiHidden/>
    <w:unhideWhenUsed/>
    <w:rsid w:val="00037DBE"/>
    <w:rPr>
      <w:rFonts w:ascii="Tahoma" w:hAnsi="Tahoma" w:cs="Tahoma"/>
      <w:sz w:val="16"/>
      <w:szCs w:val="16"/>
    </w:rPr>
  </w:style>
  <w:style w:type="character" w:customStyle="1" w:styleId="BalloonTextChar">
    <w:name w:val="Balloon Text Char"/>
    <w:basedOn w:val="DefaultParagraphFont"/>
    <w:link w:val="BalloonText"/>
    <w:uiPriority w:val="99"/>
    <w:semiHidden/>
    <w:rsid w:val="00037DBE"/>
    <w:rPr>
      <w:rFonts w:ascii="Tahoma" w:eastAsia="Times" w:hAnsi="Tahoma" w:cs="Tahoma"/>
      <w:sz w:val="16"/>
      <w:szCs w:val="16"/>
      <w:lang w:val="es-ES_tradnl"/>
    </w:rPr>
  </w:style>
  <w:style w:type="paragraph" w:styleId="Revision">
    <w:name w:val="Revision"/>
    <w:hidden/>
    <w:uiPriority w:val="99"/>
    <w:semiHidden/>
    <w:rsid w:val="00037DBE"/>
    <w:pPr>
      <w:spacing w:after="0" w:line="240" w:lineRule="auto"/>
    </w:pPr>
    <w:rPr>
      <w:rFonts w:ascii="Garamond" w:eastAsia="Times" w:hAnsi="Garamond" w:cs="Times New Roman"/>
      <w:sz w:val="24"/>
      <w:szCs w:val="20"/>
      <w:lang w:val="es-ES_tradnl"/>
    </w:rPr>
  </w:style>
  <w:style w:type="character" w:customStyle="1" w:styleId="ListParagraphChar">
    <w:name w:val="List Paragraph Char"/>
    <w:link w:val="ListParagraph"/>
    <w:uiPriority w:val="34"/>
    <w:locked/>
    <w:rsid w:val="00F612B2"/>
    <w:rPr>
      <w:rFonts w:ascii="Garamond" w:eastAsia="Times" w:hAnsi="Garamond" w:cs="Times New Roman"/>
      <w:sz w:val="24"/>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426862">
      <w:bodyDiv w:val="1"/>
      <w:marLeft w:val="0"/>
      <w:marRight w:val="0"/>
      <w:marTop w:val="0"/>
      <w:marBottom w:val="0"/>
      <w:divBdr>
        <w:top w:val="none" w:sz="0" w:space="0" w:color="auto"/>
        <w:left w:val="none" w:sz="0" w:space="0" w:color="auto"/>
        <w:bottom w:val="none" w:sz="0" w:space="0" w:color="auto"/>
        <w:right w:val="none" w:sz="0" w:space="0" w:color="auto"/>
      </w:divBdr>
    </w:div>
    <w:div w:id="251397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corteidh.or.cr/docs/supervisiones/veliz_03_05_16.pdf" TargetMode="External"/><Relationship Id="rId1" Type="http://schemas.openxmlformats.org/officeDocument/2006/relationships/hyperlink" Target="http://www.corteidh.or.cr/docs/casos/articulos/seriec_277_esp.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1A6E0E-7098-40AF-A19F-088B43A29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1434</Words>
  <Characters>7890</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Corte IDH</cp:lastModifiedBy>
  <cp:revision>2</cp:revision>
  <cp:lastPrinted>2017-09-12T20:14:00Z</cp:lastPrinted>
  <dcterms:created xsi:type="dcterms:W3CDTF">2017-09-13T15:18:00Z</dcterms:created>
  <dcterms:modified xsi:type="dcterms:W3CDTF">2017-09-13T15:18:00Z</dcterms:modified>
</cp:coreProperties>
</file>