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6AE" w:rsidRDefault="009F16AE" w:rsidP="00104EC6">
      <w:pPr>
        <w:pStyle w:val="ListParagraph"/>
        <w:spacing w:after="100"/>
        <w:rPr>
          <w:lang w:val="es-CR"/>
        </w:rPr>
      </w:pPr>
    </w:p>
    <w:p w:rsidR="009F16AE" w:rsidRDefault="009F16AE" w:rsidP="00104EC6">
      <w:pPr>
        <w:spacing w:after="100" w:line="240" w:lineRule="auto"/>
        <w:jc w:val="center"/>
        <w:rPr>
          <w:rFonts w:ascii="Verdana" w:hAnsi="Verdana"/>
          <w:b/>
          <w:sz w:val="20"/>
          <w:szCs w:val="20"/>
          <w:lang w:val="es-CR"/>
        </w:rPr>
      </w:pPr>
    </w:p>
    <w:p w:rsidR="009F16AE" w:rsidRDefault="009F16AE" w:rsidP="00104EC6">
      <w:pPr>
        <w:spacing w:after="100" w:line="240" w:lineRule="auto"/>
        <w:jc w:val="center"/>
        <w:rPr>
          <w:rFonts w:ascii="Verdana" w:hAnsi="Verdana"/>
          <w:b/>
          <w:sz w:val="20"/>
          <w:szCs w:val="20"/>
          <w:lang w:val="es-CR"/>
        </w:rPr>
      </w:pPr>
    </w:p>
    <w:p w:rsidR="009F16AE" w:rsidRDefault="009F16AE" w:rsidP="00104EC6">
      <w:pPr>
        <w:spacing w:after="100" w:line="240" w:lineRule="auto"/>
        <w:jc w:val="center"/>
        <w:rPr>
          <w:rFonts w:ascii="Verdana" w:hAnsi="Verdana"/>
          <w:b/>
          <w:sz w:val="20"/>
          <w:szCs w:val="20"/>
          <w:lang w:val="es-CR"/>
        </w:rPr>
      </w:pPr>
    </w:p>
    <w:p w:rsidR="009F16AE" w:rsidRDefault="009F16AE" w:rsidP="00104EC6">
      <w:pPr>
        <w:spacing w:after="100" w:line="240" w:lineRule="auto"/>
        <w:jc w:val="center"/>
        <w:rPr>
          <w:rFonts w:ascii="Verdana" w:hAnsi="Verdana"/>
          <w:b/>
          <w:sz w:val="20"/>
          <w:szCs w:val="20"/>
          <w:lang w:val="es-CR"/>
        </w:rPr>
      </w:pPr>
    </w:p>
    <w:p w:rsidR="009F16AE" w:rsidRDefault="009F16AE" w:rsidP="00104EC6">
      <w:pPr>
        <w:spacing w:after="100" w:line="240" w:lineRule="auto"/>
        <w:jc w:val="center"/>
        <w:rPr>
          <w:rFonts w:ascii="Verdana" w:hAnsi="Verdana"/>
          <w:b/>
          <w:sz w:val="20"/>
          <w:szCs w:val="20"/>
          <w:lang w:val="es-CR"/>
        </w:rPr>
      </w:pPr>
    </w:p>
    <w:p w:rsidR="000E1545" w:rsidRDefault="000E1545" w:rsidP="00104EC6">
      <w:pPr>
        <w:spacing w:after="100" w:line="240" w:lineRule="auto"/>
        <w:jc w:val="center"/>
        <w:rPr>
          <w:rFonts w:ascii="Verdana" w:hAnsi="Verdana"/>
          <w:b/>
          <w:sz w:val="20"/>
          <w:szCs w:val="20"/>
          <w:lang w:val="es-CR"/>
        </w:rPr>
      </w:pPr>
    </w:p>
    <w:p w:rsidR="006A759B" w:rsidRDefault="001E5411" w:rsidP="00104EC6">
      <w:pPr>
        <w:spacing w:after="100" w:line="240" w:lineRule="auto"/>
        <w:jc w:val="center"/>
        <w:rPr>
          <w:rFonts w:ascii="Verdana" w:hAnsi="Verdana"/>
          <w:b/>
          <w:sz w:val="20"/>
          <w:szCs w:val="20"/>
          <w:lang w:val="es-CR"/>
        </w:rPr>
      </w:pPr>
      <w:r>
        <w:rPr>
          <w:rFonts w:ascii="Verdana" w:hAnsi="Verdana"/>
          <w:b/>
          <w:sz w:val="20"/>
          <w:szCs w:val="20"/>
          <w:lang w:val="es-CR"/>
        </w:rPr>
        <w:t>RESOLUCIÓN DE LA</w:t>
      </w:r>
    </w:p>
    <w:p w:rsidR="001E5411" w:rsidRDefault="001E5411" w:rsidP="00104EC6">
      <w:pPr>
        <w:spacing w:after="100" w:line="240" w:lineRule="auto"/>
        <w:jc w:val="center"/>
        <w:rPr>
          <w:rFonts w:ascii="Verdana" w:hAnsi="Verdana"/>
          <w:b/>
          <w:sz w:val="20"/>
          <w:szCs w:val="20"/>
          <w:lang w:val="es-CR"/>
        </w:rPr>
      </w:pPr>
    </w:p>
    <w:p w:rsidR="001E5411" w:rsidRDefault="001E5411" w:rsidP="00104EC6">
      <w:pPr>
        <w:spacing w:after="100" w:line="240" w:lineRule="auto"/>
        <w:jc w:val="center"/>
        <w:rPr>
          <w:rFonts w:ascii="Verdana" w:hAnsi="Verdana"/>
          <w:b/>
          <w:sz w:val="20"/>
          <w:szCs w:val="20"/>
          <w:lang w:val="es-CR"/>
        </w:rPr>
      </w:pPr>
      <w:r>
        <w:rPr>
          <w:rFonts w:ascii="Verdana" w:hAnsi="Verdana"/>
          <w:b/>
          <w:sz w:val="20"/>
          <w:szCs w:val="20"/>
          <w:lang w:val="es-CR"/>
        </w:rPr>
        <w:t>CORTE INTERAMERICANA DE DERECHOS HUMANOS</w:t>
      </w:r>
      <w:r w:rsidR="00F1097C">
        <w:rPr>
          <w:rStyle w:val="FootnoteReference"/>
          <w:rFonts w:ascii="Verdana" w:hAnsi="Verdana"/>
          <w:b/>
          <w:lang w:val="es-CR"/>
        </w:rPr>
        <w:footnoteReference w:customMarkFollows="1" w:id="1"/>
        <w:t>*</w:t>
      </w:r>
    </w:p>
    <w:p w:rsidR="001E5411" w:rsidRDefault="001E5411" w:rsidP="00104EC6">
      <w:pPr>
        <w:spacing w:after="100" w:line="240" w:lineRule="auto"/>
        <w:jc w:val="center"/>
        <w:rPr>
          <w:rFonts w:ascii="Verdana" w:hAnsi="Verdana"/>
          <w:b/>
          <w:sz w:val="20"/>
          <w:szCs w:val="20"/>
          <w:lang w:val="es-CR"/>
        </w:rPr>
      </w:pPr>
    </w:p>
    <w:p w:rsidR="001E5411" w:rsidRDefault="001E5411" w:rsidP="00104EC6">
      <w:pPr>
        <w:spacing w:after="100" w:line="240" w:lineRule="auto"/>
        <w:jc w:val="center"/>
        <w:rPr>
          <w:rFonts w:ascii="Verdana" w:hAnsi="Verdana"/>
          <w:b/>
          <w:sz w:val="20"/>
          <w:szCs w:val="20"/>
          <w:lang w:val="es-CR"/>
        </w:rPr>
      </w:pPr>
      <w:r>
        <w:rPr>
          <w:rFonts w:ascii="Verdana" w:hAnsi="Verdana"/>
          <w:b/>
          <w:sz w:val="20"/>
          <w:szCs w:val="20"/>
          <w:lang w:val="es-CR"/>
        </w:rPr>
        <w:t xml:space="preserve">DE </w:t>
      </w:r>
      <w:r w:rsidR="002A46F6">
        <w:rPr>
          <w:rFonts w:ascii="Verdana" w:hAnsi="Verdana"/>
          <w:b/>
          <w:sz w:val="20"/>
          <w:szCs w:val="20"/>
          <w:lang w:val="es-CR"/>
        </w:rPr>
        <w:t>21</w:t>
      </w:r>
      <w:r>
        <w:rPr>
          <w:rFonts w:ascii="Verdana" w:hAnsi="Verdana"/>
          <w:b/>
          <w:sz w:val="20"/>
          <w:szCs w:val="20"/>
          <w:lang w:val="es-CR"/>
        </w:rPr>
        <w:t xml:space="preserve"> DE </w:t>
      </w:r>
      <w:r w:rsidR="007401F3">
        <w:rPr>
          <w:rFonts w:ascii="Verdana" w:hAnsi="Verdana"/>
          <w:b/>
          <w:sz w:val="20"/>
          <w:szCs w:val="20"/>
          <w:lang w:val="es-CR"/>
        </w:rPr>
        <w:t>NOVIEMBRE</w:t>
      </w:r>
      <w:r w:rsidR="0070201A">
        <w:rPr>
          <w:rFonts w:ascii="Verdana" w:hAnsi="Verdana"/>
          <w:b/>
          <w:sz w:val="20"/>
          <w:szCs w:val="20"/>
          <w:lang w:val="es-CR"/>
        </w:rPr>
        <w:t xml:space="preserve"> </w:t>
      </w:r>
      <w:r>
        <w:rPr>
          <w:rFonts w:ascii="Verdana" w:hAnsi="Verdana"/>
          <w:b/>
          <w:sz w:val="20"/>
          <w:szCs w:val="20"/>
          <w:lang w:val="es-CR"/>
        </w:rPr>
        <w:t>DE 201</w:t>
      </w:r>
      <w:r w:rsidR="0070201A">
        <w:rPr>
          <w:rFonts w:ascii="Verdana" w:hAnsi="Verdana"/>
          <w:b/>
          <w:sz w:val="20"/>
          <w:szCs w:val="20"/>
          <w:lang w:val="es-CR"/>
        </w:rPr>
        <w:t>8</w:t>
      </w:r>
    </w:p>
    <w:p w:rsidR="001E5411" w:rsidRDefault="001E5411" w:rsidP="00104EC6">
      <w:pPr>
        <w:spacing w:after="100" w:line="240" w:lineRule="auto"/>
        <w:jc w:val="center"/>
        <w:rPr>
          <w:rFonts w:ascii="Verdana" w:hAnsi="Verdana"/>
          <w:b/>
          <w:sz w:val="20"/>
          <w:szCs w:val="20"/>
          <w:lang w:val="es-CR"/>
        </w:rPr>
      </w:pPr>
    </w:p>
    <w:p w:rsidR="001E5411" w:rsidRDefault="001E5411" w:rsidP="00104EC6">
      <w:pPr>
        <w:spacing w:after="100" w:line="240" w:lineRule="auto"/>
        <w:jc w:val="center"/>
        <w:rPr>
          <w:rFonts w:ascii="Verdana" w:hAnsi="Verdana"/>
          <w:b/>
          <w:sz w:val="20"/>
          <w:szCs w:val="20"/>
          <w:lang w:val="es-CR"/>
        </w:rPr>
      </w:pPr>
      <w:r w:rsidRPr="002535A9">
        <w:rPr>
          <w:rFonts w:ascii="Verdana" w:hAnsi="Verdana"/>
          <w:b/>
          <w:sz w:val="20"/>
          <w:szCs w:val="20"/>
          <w:lang w:val="es-CR"/>
        </w:rPr>
        <w:t xml:space="preserve">CASO </w:t>
      </w:r>
      <w:r w:rsidR="00420C04" w:rsidRPr="002535A9">
        <w:rPr>
          <w:rFonts w:ascii="Verdana" w:hAnsi="Verdana"/>
          <w:b/>
          <w:sz w:val="20"/>
          <w:szCs w:val="20"/>
          <w:lang w:val="es-CR"/>
        </w:rPr>
        <w:t>WONG HO WING</w:t>
      </w:r>
      <w:r w:rsidR="004C57EF" w:rsidRPr="002535A9">
        <w:rPr>
          <w:rFonts w:ascii="Verdana" w:hAnsi="Verdana"/>
          <w:b/>
          <w:sz w:val="20"/>
          <w:szCs w:val="20"/>
          <w:lang w:val="es-CR"/>
        </w:rPr>
        <w:t xml:space="preserve"> </w:t>
      </w:r>
      <w:r w:rsidRPr="002535A9">
        <w:rPr>
          <w:rFonts w:ascii="Verdana" w:hAnsi="Verdana"/>
          <w:b/>
          <w:sz w:val="20"/>
          <w:szCs w:val="20"/>
          <w:lang w:val="es-CR"/>
        </w:rPr>
        <w:t xml:space="preserve">VS. </w:t>
      </w:r>
      <w:r w:rsidR="00AB0FAA">
        <w:rPr>
          <w:rFonts w:ascii="Verdana" w:hAnsi="Verdana"/>
          <w:b/>
          <w:sz w:val="20"/>
          <w:szCs w:val="20"/>
          <w:lang w:val="es-CR"/>
        </w:rPr>
        <w:t>PERÚ</w:t>
      </w:r>
    </w:p>
    <w:p w:rsidR="001E5411" w:rsidRDefault="001E5411" w:rsidP="00104EC6">
      <w:pPr>
        <w:spacing w:after="100" w:line="240" w:lineRule="auto"/>
        <w:jc w:val="center"/>
        <w:rPr>
          <w:rFonts w:ascii="Verdana" w:hAnsi="Verdana"/>
          <w:b/>
          <w:sz w:val="20"/>
          <w:szCs w:val="20"/>
          <w:lang w:val="es-CR"/>
        </w:rPr>
      </w:pPr>
    </w:p>
    <w:p w:rsidR="001E5411" w:rsidRDefault="001E5411" w:rsidP="00104EC6">
      <w:pPr>
        <w:spacing w:after="100" w:line="240" w:lineRule="auto"/>
        <w:jc w:val="center"/>
        <w:rPr>
          <w:rFonts w:ascii="Verdana" w:hAnsi="Verdana"/>
          <w:b/>
          <w:sz w:val="20"/>
          <w:szCs w:val="20"/>
          <w:lang w:val="es-CR"/>
        </w:rPr>
      </w:pPr>
      <w:r>
        <w:rPr>
          <w:rFonts w:ascii="Verdana" w:hAnsi="Verdana"/>
          <w:b/>
          <w:sz w:val="20"/>
          <w:szCs w:val="20"/>
          <w:lang w:val="es-CR"/>
        </w:rPr>
        <w:t>SUPERVISIÓN DE CUMPLIMIENTO DE SENTENCIA</w:t>
      </w:r>
    </w:p>
    <w:p w:rsidR="001E5411" w:rsidRDefault="001E5411" w:rsidP="00104EC6">
      <w:pPr>
        <w:spacing w:after="100" w:line="240" w:lineRule="auto"/>
        <w:rPr>
          <w:rFonts w:ascii="Verdana" w:hAnsi="Verdana"/>
          <w:b/>
          <w:sz w:val="20"/>
          <w:szCs w:val="20"/>
          <w:lang w:val="es-CR"/>
        </w:rPr>
      </w:pPr>
    </w:p>
    <w:p w:rsidR="001E5411" w:rsidRDefault="001E5411" w:rsidP="00104EC6">
      <w:pPr>
        <w:spacing w:after="100" w:line="240" w:lineRule="auto"/>
        <w:rPr>
          <w:rFonts w:ascii="Verdana" w:hAnsi="Verdana"/>
          <w:b/>
          <w:sz w:val="20"/>
          <w:szCs w:val="20"/>
          <w:lang w:val="es-CR"/>
        </w:rPr>
      </w:pPr>
      <w:r>
        <w:rPr>
          <w:rFonts w:ascii="Verdana" w:hAnsi="Verdana"/>
          <w:b/>
          <w:sz w:val="20"/>
          <w:szCs w:val="20"/>
          <w:lang w:val="es-CR"/>
        </w:rPr>
        <w:t>VISTO:</w:t>
      </w:r>
    </w:p>
    <w:p w:rsidR="001E5411" w:rsidRDefault="001E5411" w:rsidP="00104EC6">
      <w:pPr>
        <w:spacing w:after="100" w:line="240" w:lineRule="auto"/>
        <w:rPr>
          <w:rFonts w:ascii="Verdana" w:hAnsi="Verdana"/>
          <w:sz w:val="20"/>
          <w:szCs w:val="20"/>
          <w:lang w:val="es-CR"/>
        </w:rPr>
      </w:pPr>
    </w:p>
    <w:p w:rsidR="00B30A18" w:rsidRPr="00B8038F" w:rsidRDefault="00B8038F" w:rsidP="00104EC6">
      <w:pPr>
        <w:pStyle w:val="ListParagraph"/>
        <w:numPr>
          <w:ilvl w:val="0"/>
          <w:numId w:val="1"/>
        </w:numPr>
        <w:spacing w:after="100" w:line="240" w:lineRule="auto"/>
        <w:ind w:left="0" w:firstLine="0"/>
        <w:jc w:val="both"/>
        <w:rPr>
          <w:rFonts w:ascii="Verdana" w:hAnsi="Verdana"/>
          <w:sz w:val="20"/>
          <w:szCs w:val="20"/>
          <w:lang w:val="es-CR"/>
        </w:rPr>
      </w:pPr>
      <w:bookmarkStart w:id="0" w:name="_Ref530751037"/>
      <w:r w:rsidRPr="00B8038F">
        <w:rPr>
          <w:rFonts w:ascii="Verdana" w:hAnsi="Verdana"/>
          <w:sz w:val="20"/>
          <w:szCs w:val="20"/>
          <w:lang w:val="es-CR"/>
        </w:rPr>
        <w:t>La Sentencia de excepción preliminar, fondo, reparaciones y costas (en adelante “la Sentencia”) dictada por la Corte Interamericana de Derechos Humanos (en adelante “la Corte”, “la Corte Interamericana” o “el Tribunal”) el 30 de junio de 2015</w:t>
      </w:r>
      <w:r w:rsidRPr="00B8038F">
        <w:rPr>
          <w:rStyle w:val="FootnoteReference"/>
          <w:rFonts w:ascii="Verdana" w:hAnsi="Verdana"/>
          <w:sz w:val="20"/>
          <w:szCs w:val="20"/>
          <w:lang w:val="es-CR"/>
        </w:rPr>
        <w:footnoteReference w:id="2"/>
      </w:r>
      <w:r w:rsidRPr="00B8038F">
        <w:rPr>
          <w:rFonts w:ascii="Verdana" w:hAnsi="Verdana"/>
          <w:sz w:val="20"/>
          <w:szCs w:val="20"/>
          <w:lang w:val="es-CR"/>
        </w:rPr>
        <w:t xml:space="preserve">. La Corte declaró que no se había acreditado que, para la fecha de emisión de la Sentencia, existiera un riesgo real, previsible y personal a los derechos a la vida e integridad física del señor Wong Ho </w:t>
      </w:r>
      <w:proofErr w:type="spellStart"/>
      <w:r w:rsidRPr="00B8038F">
        <w:rPr>
          <w:rFonts w:ascii="Verdana" w:hAnsi="Verdana"/>
          <w:sz w:val="20"/>
          <w:szCs w:val="20"/>
          <w:lang w:val="es-CR"/>
        </w:rPr>
        <w:t>Wing</w:t>
      </w:r>
      <w:proofErr w:type="spellEnd"/>
      <w:r w:rsidRPr="00B8038F">
        <w:rPr>
          <w:rFonts w:ascii="Verdana" w:hAnsi="Verdana"/>
          <w:sz w:val="20"/>
          <w:szCs w:val="20"/>
          <w:lang w:val="es-CR"/>
        </w:rPr>
        <w:t>, en caso de ser extraditado a la República Popular China, por lo cual</w:t>
      </w:r>
      <w:r w:rsidR="002D0E86">
        <w:rPr>
          <w:rFonts w:ascii="Verdana" w:hAnsi="Verdana"/>
          <w:sz w:val="20"/>
          <w:szCs w:val="20"/>
          <w:lang w:val="es-CR"/>
        </w:rPr>
        <w:t>,</w:t>
      </w:r>
      <w:r w:rsidRPr="00B8038F">
        <w:rPr>
          <w:rFonts w:ascii="Verdana" w:hAnsi="Verdana"/>
          <w:sz w:val="20"/>
          <w:szCs w:val="20"/>
          <w:lang w:val="es-CR"/>
        </w:rPr>
        <w:t xml:space="preserve"> </w:t>
      </w:r>
      <w:r w:rsidR="002D0E86" w:rsidRPr="00B8038F">
        <w:rPr>
          <w:rFonts w:ascii="Verdana" w:hAnsi="Verdana"/>
          <w:sz w:val="20"/>
          <w:szCs w:val="20"/>
          <w:lang w:val="es-CR"/>
        </w:rPr>
        <w:t>en caso de concederse la extradición</w:t>
      </w:r>
      <w:r w:rsidR="002D0E86">
        <w:rPr>
          <w:rFonts w:ascii="Verdana" w:hAnsi="Verdana"/>
          <w:sz w:val="20"/>
          <w:szCs w:val="20"/>
          <w:lang w:val="es-CR"/>
        </w:rPr>
        <w:t>,</w:t>
      </w:r>
      <w:r w:rsidR="002D0E86" w:rsidRPr="00B8038F">
        <w:rPr>
          <w:rFonts w:ascii="Verdana" w:hAnsi="Verdana"/>
          <w:sz w:val="20"/>
          <w:szCs w:val="20"/>
          <w:lang w:val="es-CR"/>
        </w:rPr>
        <w:t xml:space="preserve"> </w:t>
      </w:r>
      <w:r w:rsidRPr="00B8038F">
        <w:rPr>
          <w:rFonts w:ascii="Verdana" w:hAnsi="Verdana"/>
          <w:sz w:val="20"/>
          <w:szCs w:val="20"/>
          <w:lang w:val="es-CR"/>
        </w:rPr>
        <w:t xml:space="preserve">el Estado del Perú (en adelante “el Estado” o “Perú”) no sería responsable de una violación de su obligación de garantizar los derechos </w:t>
      </w:r>
      <w:r w:rsidR="002D0E86">
        <w:rPr>
          <w:rFonts w:ascii="Verdana" w:hAnsi="Verdana"/>
          <w:sz w:val="20"/>
          <w:szCs w:val="20"/>
          <w:lang w:val="es-CR"/>
        </w:rPr>
        <w:t>a la vida e integridad personal</w:t>
      </w:r>
      <w:r w:rsidRPr="00B8038F">
        <w:rPr>
          <w:rFonts w:ascii="Verdana" w:hAnsi="Verdana"/>
          <w:sz w:val="20"/>
          <w:szCs w:val="20"/>
          <w:lang w:val="es-CR"/>
        </w:rPr>
        <w:t xml:space="preserve">, ni de la obligación de no devolución establecida en el artículo 13 (párrafo 4) de la Convención Interamericana para Prevenir y Sancionar la Tortura. No obstante, la Corte declaró responsable al Estado por la violación de la garantía del plazo razonable y la violación del derecho a la libertad personal en perjuicio del señor Wong Ho </w:t>
      </w:r>
      <w:proofErr w:type="spellStart"/>
      <w:r w:rsidRPr="00B8038F">
        <w:rPr>
          <w:rFonts w:ascii="Verdana" w:hAnsi="Verdana"/>
          <w:sz w:val="20"/>
          <w:szCs w:val="20"/>
          <w:lang w:val="es-CR"/>
        </w:rPr>
        <w:t>Wing</w:t>
      </w:r>
      <w:proofErr w:type="spellEnd"/>
      <w:r w:rsidRPr="00B8038F">
        <w:rPr>
          <w:rFonts w:ascii="Verdana" w:hAnsi="Verdana"/>
          <w:sz w:val="20"/>
          <w:szCs w:val="20"/>
          <w:lang w:val="es-CR"/>
        </w:rPr>
        <w:t xml:space="preserve">, tanto por la excesiva demora en la tramitación del proceso de extradición (seguido ante una solicitud de la República Popular China) y la extensa privación de libertad de la víctima, como por el carácter arbitrario de su detención. </w:t>
      </w:r>
      <w:r w:rsidR="007166E9">
        <w:rPr>
          <w:rFonts w:ascii="Verdana" w:hAnsi="Verdana"/>
          <w:sz w:val="20"/>
          <w:szCs w:val="20"/>
          <w:lang w:val="es-CR"/>
        </w:rPr>
        <w:t>La Corte</w:t>
      </w:r>
      <w:r w:rsidR="00F71C32" w:rsidRPr="00B8038F">
        <w:rPr>
          <w:rFonts w:ascii="Verdana" w:hAnsi="Verdana"/>
          <w:sz w:val="20"/>
          <w:szCs w:val="20"/>
          <w:lang w:val="es-CR"/>
        </w:rPr>
        <w:t xml:space="preserve"> estableció </w:t>
      </w:r>
      <w:r w:rsidR="00AB0FAA" w:rsidRPr="00B8038F">
        <w:rPr>
          <w:rFonts w:ascii="Verdana" w:hAnsi="Verdana"/>
          <w:sz w:val="20"/>
          <w:szCs w:val="20"/>
          <w:lang w:val="es-CR"/>
        </w:rPr>
        <w:t xml:space="preserve">que </w:t>
      </w:r>
      <w:r w:rsidR="007166E9">
        <w:rPr>
          <w:rFonts w:ascii="Verdana" w:hAnsi="Verdana"/>
          <w:sz w:val="20"/>
          <w:szCs w:val="20"/>
          <w:lang w:val="es-CR"/>
        </w:rPr>
        <w:t>la</w:t>
      </w:r>
      <w:r w:rsidR="007166E9" w:rsidRPr="00B8038F">
        <w:rPr>
          <w:rFonts w:ascii="Verdana" w:hAnsi="Verdana"/>
          <w:sz w:val="20"/>
          <w:szCs w:val="20"/>
          <w:lang w:val="es-CR"/>
        </w:rPr>
        <w:t xml:space="preserve"> </w:t>
      </w:r>
      <w:r w:rsidR="00F71C32" w:rsidRPr="00B8038F">
        <w:rPr>
          <w:rFonts w:ascii="Verdana" w:hAnsi="Verdana"/>
          <w:sz w:val="20"/>
          <w:szCs w:val="20"/>
          <w:lang w:val="es-CR"/>
        </w:rPr>
        <w:t>Sentencia constitu</w:t>
      </w:r>
      <w:r w:rsidR="00AB0FAA" w:rsidRPr="00B8038F">
        <w:rPr>
          <w:rFonts w:ascii="Verdana" w:hAnsi="Verdana"/>
          <w:sz w:val="20"/>
          <w:szCs w:val="20"/>
          <w:lang w:val="es-CR"/>
        </w:rPr>
        <w:t>ía</w:t>
      </w:r>
      <w:r w:rsidR="00F71C32" w:rsidRPr="00B8038F">
        <w:rPr>
          <w:rFonts w:ascii="Verdana" w:hAnsi="Verdana"/>
          <w:sz w:val="20"/>
          <w:szCs w:val="20"/>
          <w:lang w:val="es-CR"/>
        </w:rPr>
        <w:t xml:space="preserve"> </w:t>
      </w:r>
      <w:r w:rsidR="00F71C32" w:rsidRPr="007166E9">
        <w:rPr>
          <w:rFonts w:ascii="Verdana" w:hAnsi="Verdana"/>
          <w:sz w:val="20"/>
          <w:szCs w:val="20"/>
          <w:lang w:val="es-CR"/>
        </w:rPr>
        <w:t>por</w:t>
      </w:r>
      <w:r w:rsidR="00F71C32" w:rsidRPr="00B8038F">
        <w:rPr>
          <w:rFonts w:ascii="Verdana" w:hAnsi="Verdana"/>
          <w:sz w:val="20"/>
          <w:szCs w:val="20"/>
          <w:lang w:val="es-CR"/>
        </w:rPr>
        <w:t xml:space="preserve"> sí misma una forma de reparación y, </w:t>
      </w:r>
      <w:r w:rsidR="007166E9">
        <w:rPr>
          <w:rFonts w:ascii="Verdana" w:hAnsi="Verdana"/>
          <w:sz w:val="20"/>
          <w:szCs w:val="20"/>
          <w:lang w:val="es-CR"/>
        </w:rPr>
        <w:t>además</w:t>
      </w:r>
      <w:r w:rsidR="00F71C32" w:rsidRPr="00B8038F">
        <w:rPr>
          <w:rFonts w:ascii="Verdana" w:hAnsi="Verdana"/>
          <w:sz w:val="20"/>
          <w:szCs w:val="20"/>
          <w:lang w:val="es-CR"/>
        </w:rPr>
        <w:t xml:space="preserve">, ordenó al Estado </w:t>
      </w:r>
      <w:r w:rsidR="007166E9">
        <w:rPr>
          <w:rFonts w:ascii="Verdana" w:hAnsi="Verdana"/>
          <w:sz w:val="20"/>
          <w:szCs w:val="20"/>
          <w:lang w:val="es-CR"/>
        </w:rPr>
        <w:t>determinadas</w:t>
      </w:r>
      <w:r w:rsidR="00CA2805">
        <w:rPr>
          <w:rFonts w:ascii="Verdana" w:hAnsi="Verdana"/>
          <w:sz w:val="20"/>
          <w:szCs w:val="20"/>
          <w:lang w:val="es-CR"/>
        </w:rPr>
        <w:t xml:space="preserve"> </w:t>
      </w:r>
      <w:r w:rsidR="00F71C32" w:rsidRPr="00B8038F">
        <w:rPr>
          <w:rFonts w:ascii="Verdana" w:hAnsi="Verdana"/>
          <w:sz w:val="20"/>
          <w:szCs w:val="20"/>
          <w:lang w:val="es-CR"/>
        </w:rPr>
        <w:t>medidas de reparación (</w:t>
      </w:r>
      <w:r w:rsidR="00D379DE" w:rsidRPr="00B8038F">
        <w:rPr>
          <w:rFonts w:ascii="Verdana" w:hAnsi="Verdana"/>
          <w:i/>
          <w:sz w:val="20"/>
          <w:szCs w:val="20"/>
          <w:lang w:val="es-CR"/>
        </w:rPr>
        <w:t>infra</w:t>
      </w:r>
      <w:r w:rsidR="00F71C32" w:rsidRPr="00B8038F">
        <w:rPr>
          <w:rFonts w:ascii="Verdana" w:hAnsi="Verdana"/>
          <w:i/>
          <w:sz w:val="20"/>
          <w:szCs w:val="20"/>
          <w:lang w:val="es-CR"/>
        </w:rPr>
        <w:t xml:space="preserve"> </w:t>
      </w:r>
      <w:r w:rsidR="00F71C32" w:rsidRPr="00B8038F">
        <w:rPr>
          <w:rFonts w:ascii="Verdana" w:hAnsi="Verdana"/>
          <w:sz w:val="20"/>
          <w:szCs w:val="20"/>
          <w:lang w:val="es-CR"/>
        </w:rPr>
        <w:t xml:space="preserve">Considerando </w:t>
      </w:r>
      <w:r w:rsidR="007166E9">
        <w:rPr>
          <w:rFonts w:ascii="Verdana" w:hAnsi="Verdana"/>
          <w:sz w:val="20"/>
          <w:szCs w:val="20"/>
          <w:lang w:val="es-CR"/>
        </w:rPr>
        <w:fldChar w:fldCharType="begin"/>
      </w:r>
      <w:r w:rsidR="007166E9">
        <w:rPr>
          <w:rFonts w:ascii="Verdana" w:hAnsi="Verdana"/>
          <w:sz w:val="20"/>
          <w:szCs w:val="20"/>
          <w:lang w:val="es-CR"/>
        </w:rPr>
        <w:instrText xml:space="preserve"> REF _Ref530653102 \r \h </w:instrText>
      </w:r>
      <w:r w:rsidR="007166E9">
        <w:rPr>
          <w:rFonts w:ascii="Verdana" w:hAnsi="Verdana"/>
          <w:sz w:val="20"/>
          <w:szCs w:val="20"/>
          <w:lang w:val="es-CR"/>
        </w:rPr>
      </w:r>
      <w:r w:rsidR="007166E9">
        <w:rPr>
          <w:rFonts w:ascii="Verdana" w:hAnsi="Verdana"/>
          <w:sz w:val="20"/>
          <w:szCs w:val="20"/>
          <w:lang w:val="es-CR"/>
        </w:rPr>
        <w:fldChar w:fldCharType="separate"/>
      </w:r>
      <w:r w:rsidR="0003569E">
        <w:rPr>
          <w:rFonts w:ascii="Verdana" w:hAnsi="Verdana"/>
          <w:sz w:val="20"/>
          <w:szCs w:val="20"/>
          <w:lang w:val="es-CR"/>
        </w:rPr>
        <w:t>1</w:t>
      </w:r>
      <w:r w:rsidR="007166E9">
        <w:rPr>
          <w:rFonts w:ascii="Verdana" w:hAnsi="Verdana"/>
          <w:sz w:val="20"/>
          <w:szCs w:val="20"/>
          <w:lang w:val="es-CR"/>
        </w:rPr>
        <w:fldChar w:fldCharType="end"/>
      </w:r>
      <w:r w:rsidR="00F71C32" w:rsidRPr="00B8038F">
        <w:rPr>
          <w:rFonts w:ascii="Verdana" w:hAnsi="Verdana"/>
          <w:sz w:val="20"/>
          <w:szCs w:val="20"/>
          <w:lang w:val="es-CR"/>
        </w:rPr>
        <w:t>).</w:t>
      </w:r>
      <w:bookmarkEnd w:id="0"/>
      <w:r w:rsidR="00F71C32" w:rsidRPr="00B8038F">
        <w:rPr>
          <w:rFonts w:ascii="Verdana" w:hAnsi="Verdana"/>
          <w:sz w:val="20"/>
          <w:szCs w:val="20"/>
          <w:lang w:val="es-CR"/>
        </w:rPr>
        <w:t xml:space="preserve"> </w:t>
      </w:r>
    </w:p>
    <w:p w:rsidR="000119AE" w:rsidRPr="000119AE" w:rsidRDefault="000119AE" w:rsidP="00104EC6">
      <w:pPr>
        <w:spacing w:after="100" w:line="240" w:lineRule="auto"/>
        <w:jc w:val="both"/>
        <w:rPr>
          <w:rFonts w:ascii="Verdana" w:hAnsi="Verdana"/>
          <w:sz w:val="20"/>
          <w:szCs w:val="20"/>
          <w:lang w:val="es-CR"/>
        </w:rPr>
      </w:pPr>
    </w:p>
    <w:p w:rsidR="001E5E1D" w:rsidRPr="007401F3" w:rsidRDefault="001E5E1D" w:rsidP="00104EC6">
      <w:pPr>
        <w:pStyle w:val="ListParagraph"/>
        <w:numPr>
          <w:ilvl w:val="0"/>
          <w:numId w:val="1"/>
        </w:numPr>
        <w:spacing w:after="100" w:line="240" w:lineRule="auto"/>
        <w:ind w:left="0" w:firstLine="0"/>
        <w:jc w:val="both"/>
        <w:rPr>
          <w:rFonts w:ascii="Verdana" w:hAnsi="Verdana"/>
          <w:sz w:val="20"/>
          <w:szCs w:val="20"/>
          <w:lang w:val="es-CR"/>
        </w:rPr>
      </w:pPr>
      <w:bookmarkStart w:id="1" w:name="_Ref530751043"/>
      <w:r w:rsidRPr="009C67D2">
        <w:rPr>
          <w:rFonts w:ascii="Verdana" w:hAnsi="Verdana" w:cs="Verdana"/>
          <w:sz w:val="20"/>
          <w:szCs w:val="20"/>
          <w:lang w:val="es-CR"/>
        </w:rPr>
        <w:lastRenderedPageBreak/>
        <w:t>La Sentencia de interpretación de la Sentencia</w:t>
      </w:r>
      <w:r w:rsidR="009C2719">
        <w:rPr>
          <w:rFonts w:ascii="Verdana" w:hAnsi="Verdana" w:cs="Verdana"/>
          <w:sz w:val="20"/>
          <w:szCs w:val="20"/>
          <w:lang w:val="es-CR"/>
        </w:rPr>
        <w:t xml:space="preserve"> (en adelante “la Sentencia de interpretación”)</w:t>
      </w:r>
      <w:r w:rsidRPr="009C67D2">
        <w:rPr>
          <w:rFonts w:ascii="Verdana" w:hAnsi="Verdana" w:cs="Verdana"/>
          <w:sz w:val="20"/>
          <w:szCs w:val="20"/>
          <w:lang w:val="es-CR"/>
        </w:rPr>
        <w:t>, emitida por la Corte el 22 de junio de 2016</w:t>
      </w:r>
      <w:r>
        <w:rPr>
          <w:rStyle w:val="FootnoteReference"/>
          <w:rFonts w:ascii="Verdana" w:hAnsi="Verdana" w:cs="Verdana"/>
          <w:sz w:val="20"/>
          <w:szCs w:val="20"/>
          <w:lang w:val="es-CR"/>
        </w:rPr>
        <w:footnoteReference w:id="3"/>
      </w:r>
      <w:r>
        <w:rPr>
          <w:rFonts w:ascii="Verdana" w:hAnsi="Verdana" w:cs="Verdana"/>
          <w:sz w:val="20"/>
          <w:szCs w:val="20"/>
          <w:lang w:val="es-CR"/>
        </w:rPr>
        <w:t>.</w:t>
      </w:r>
      <w:bookmarkEnd w:id="1"/>
    </w:p>
    <w:p w:rsidR="007401F3" w:rsidRPr="009C67D2" w:rsidRDefault="007401F3" w:rsidP="00104EC6">
      <w:pPr>
        <w:pStyle w:val="ListParagraph"/>
        <w:spacing w:after="100" w:line="240" w:lineRule="auto"/>
        <w:ind w:left="0"/>
        <w:jc w:val="both"/>
        <w:rPr>
          <w:rFonts w:ascii="Verdana" w:hAnsi="Verdana"/>
          <w:sz w:val="20"/>
          <w:szCs w:val="20"/>
          <w:lang w:val="es-CR"/>
        </w:rPr>
      </w:pPr>
    </w:p>
    <w:p w:rsidR="009C67D2" w:rsidRDefault="00B8038F" w:rsidP="00104EC6">
      <w:pPr>
        <w:pStyle w:val="ListParagraph"/>
        <w:numPr>
          <w:ilvl w:val="0"/>
          <w:numId w:val="1"/>
        </w:numPr>
        <w:spacing w:after="100" w:line="240" w:lineRule="auto"/>
        <w:ind w:left="0" w:firstLine="0"/>
        <w:jc w:val="both"/>
        <w:rPr>
          <w:rFonts w:ascii="Verdana" w:hAnsi="Verdana"/>
          <w:sz w:val="20"/>
          <w:szCs w:val="20"/>
          <w:lang w:val="es-CR"/>
        </w:rPr>
      </w:pPr>
      <w:r>
        <w:rPr>
          <w:rFonts w:ascii="Verdana" w:hAnsi="Verdana"/>
          <w:sz w:val="20"/>
          <w:szCs w:val="20"/>
          <w:lang w:val="es-CR"/>
        </w:rPr>
        <w:t xml:space="preserve">Las dos </w:t>
      </w:r>
      <w:r w:rsidR="00516797">
        <w:rPr>
          <w:rFonts w:ascii="Verdana" w:hAnsi="Verdana"/>
          <w:sz w:val="20"/>
          <w:szCs w:val="20"/>
          <w:lang w:val="es-CR"/>
        </w:rPr>
        <w:t>R</w:t>
      </w:r>
      <w:r>
        <w:rPr>
          <w:rFonts w:ascii="Verdana" w:hAnsi="Verdana"/>
          <w:sz w:val="20"/>
          <w:szCs w:val="20"/>
          <w:lang w:val="es-CR"/>
        </w:rPr>
        <w:t xml:space="preserve">esoluciones de </w:t>
      </w:r>
      <w:r w:rsidR="00516797">
        <w:rPr>
          <w:rFonts w:ascii="Verdana" w:hAnsi="Verdana"/>
          <w:sz w:val="20"/>
          <w:szCs w:val="20"/>
          <w:lang w:val="es-CR"/>
        </w:rPr>
        <w:t>s</w:t>
      </w:r>
      <w:r>
        <w:rPr>
          <w:rFonts w:ascii="Verdana" w:hAnsi="Verdana"/>
          <w:sz w:val="20"/>
          <w:szCs w:val="20"/>
          <w:lang w:val="es-CR"/>
        </w:rPr>
        <w:t xml:space="preserve">upervisión de </w:t>
      </w:r>
      <w:r w:rsidR="00516797">
        <w:rPr>
          <w:rFonts w:ascii="Verdana" w:hAnsi="Verdana"/>
          <w:sz w:val="20"/>
          <w:szCs w:val="20"/>
          <w:lang w:val="es-CR"/>
        </w:rPr>
        <w:t>c</w:t>
      </w:r>
      <w:r>
        <w:rPr>
          <w:rFonts w:ascii="Verdana" w:hAnsi="Verdana"/>
          <w:sz w:val="20"/>
          <w:szCs w:val="20"/>
          <w:lang w:val="es-CR"/>
        </w:rPr>
        <w:t xml:space="preserve">umplimiento de </w:t>
      </w:r>
      <w:r w:rsidR="00516797">
        <w:rPr>
          <w:rFonts w:ascii="Verdana" w:hAnsi="Verdana"/>
          <w:sz w:val="20"/>
          <w:szCs w:val="20"/>
          <w:lang w:val="es-CR"/>
        </w:rPr>
        <w:t>s</w:t>
      </w:r>
      <w:r>
        <w:rPr>
          <w:rFonts w:ascii="Verdana" w:hAnsi="Verdana"/>
          <w:sz w:val="20"/>
          <w:szCs w:val="20"/>
          <w:lang w:val="es-CR"/>
        </w:rPr>
        <w:t>entencia emitidas por la Corte el 7 de octubre de 2015</w:t>
      </w:r>
      <w:r>
        <w:rPr>
          <w:rStyle w:val="FootnoteReference"/>
          <w:rFonts w:ascii="Verdana" w:hAnsi="Verdana"/>
          <w:sz w:val="20"/>
          <w:szCs w:val="20"/>
          <w:lang w:val="es-CR"/>
        </w:rPr>
        <w:footnoteReference w:id="4"/>
      </w:r>
      <w:r>
        <w:rPr>
          <w:rFonts w:ascii="Verdana" w:hAnsi="Verdana"/>
          <w:sz w:val="20"/>
          <w:szCs w:val="20"/>
          <w:lang w:val="es-CR"/>
        </w:rPr>
        <w:t xml:space="preserve"> y el 22 de junio de 2016</w:t>
      </w:r>
      <w:r>
        <w:rPr>
          <w:rStyle w:val="FootnoteReference"/>
          <w:rFonts w:ascii="Verdana" w:hAnsi="Verdana"/>
          <w:sz w:val="20"/>
          <w:szCs w:val="20"/>
          <w:lang w:val="es-CR"/>
        </w:rPr>
        <w:footnoteReference w:id="5"/>
      </w:r>
      <w:r>
        <w:rPr>
          <w:rFonts w:ascii="Verdana" w:hAnsi="Verdana"/>
          <w:sz w:val="20"/>
          <w:szCs w:val="20"/>
          <w:lang w:val="es-CR"/>
        </w:rPr>
        <w:t xml:space="preserve">. </w:t>
      </w:r>
    </w:p>
    <w:p w:rsidR="00B8038F" w:rsidRPr="00B8038F" w:rsidRDefault="00B8038F" w:rsidP="00104EC6">
      <w:pPr>
        <w:pStyle w:val="ListParagraph"/>
        <w:spacing w:after="100"/>
        <w:rPr>
          <w:rFonts w:ascii="Verdana" w:hAnsi="Verdana"/>
          <w:sz w:val="20"/>
          <w:szCs w:val="20"/>
          <w:lang w:val="es-CR"/>
        </w:rPr>
      </w:pPr>
    </w:p>
    <w:p w:rsidR="00171509" w:rsidRPr="00171509" w:rsidRDefault="00653B3F" w:rsidP="00104EC6">
      <w:pPr>
        <w:pStyle w:val="ListParagraph"/>
        <w:numPr>
          <w:ilvl w:val="0"/>
          <w:numId w:val="1"/>
        </w:numPr>
        <w:spacing w:after="100" w:line="240" w:lineRule="auto"/>
        <w:ind w:left="0" w:firstLine="0"/>
        <w:jc w:val="both"/>
        <w:rPr>
          <w:rFonts w:ascii="Verdana" w:hAnsi="Verdana"/>
          <w:sz w:val="20"/>
          <w:szCs w:val="20"/>
          <w:lang w:val="es-CR"/>
        </w:rPr>
      </w:pPr>
      <w:r>
        <w:rPr>
          <w:rFonts w:ascii="Verdana" w:hAnsi="Verdana"/>
          <w:sz w:val="20"/>
          <w:szCs w:val="20"/>
          <w:lang w:val="es-CR"/>
        </w:rPr>
        <w:t xml:space="preserve">Los </w:t>
      </w:r>
      <w:r w:rsidR="00AD4329">
        <w:rPr>
          <w:rFonts w:ascii="Verdana" w:hAnsi="Verdana"/>
          <w:sz w:val="20"/>
          <w:szCs w:val="20"/>
          <w:lang w:val="es-CR"/>
        </w:rPr>
        <w:t>catorce</w:t>
      </w:r>
      <w:r w:rsidR="001F554C">
        <w:rPr>
          <w:rFonts w:ascii="Verdana" w:hAnsi="Verdana"/>
          <w:sz w:val="20"/>
          <w:szCs w:val="20"/>
          <w:lang w:val="es-CR"/>
        </w:rPr>
        <w:t xml:space="preserve"> </w:t>
      </w:r>
      <w:r w:rsidR="00AB0FAA">
        <w:rPr>
          <w:rFonts w:ascii="Verdana" w:hAnsi="Verdana"/>
          <w:sz w:val="20"/>
          <w:szCs w:val="20"/>
          <w:lang w:val="es-CR"/>
        </w:rPr>
        <w:t>escrito</w:t>
      </w:r>
      <w:r>
        <w:rPr>
          <w:rFonts w:ascii="Verdana" w:hAnsi="Verdana"/>
          <w:sz w:val="20"/>
          <w:szCs w:val="20"/>
          <w:lang w:val="es-CR"/>
        </w:rPr>
        <w:t>s</w:t>
      </w:r>
      <w:r w:rsidR="00F71C32">
        <w:rPr>
          <w:rFonts w:ascii="Verdana" w:hAnsi="Verdana"/>
          <w:sz w:val="20"/>
          <w:szCs w:val="20"/>
          <w:lang w:val="es-CR"/>
        </w:rPr>
        <w:t xml:space="preserve"> presentado</w:t>
      </w:r>
      <w:r>
        <w:rPr>
          <w:rFonts w:ascii="Verdana" w:hAnsi="Verdana"/>
          <w:sz w:val="20"/>
          <w:szCs w:val="20"/>
          <w:lang w:val="es-CR"/>
        </w:rPr>
        <w:t>s</w:t>
      </w:r>
      <w:r w:rsidR="00AB0FAA">
        <w:rPr>
          <w:rFonts w:ascii="Verdana" w:hAnsi="Verdana"/>
          <w:sz w:val="20"/>
          <w:szCs w:val="20"/>
          <w:lang w:val="es-CR"/>
        </w:rPr>
        <w:t xml:space="preserve"> por el Estado del Perú </w:t>
      </w:r>
      <w:r w:rsidR="00F71C32">
        <w:rPr>
          <w:rFonts w:ascii="Verdana" w:hAnsi="Verdana"/>
          <w:sz w:val="20"/>
          <w:szCs w:val="20"/>
          <w:lang w:val="es-CR"/>
        </w:rPr>
        <w:t>e</w:t>
      </w:r>
      <w:r>
        <w:rPr>
          <w:rFonts w:ascii="Verdana" w:hAnsi="Verdana"/>
          <w:sz w:val="20"/>
          <w:szCs w:val="20"/>
          <w:lang w:val="es-CR"/>
        </w:rPr>
        <w:t xml:space="preserve">ntre </w:t>
      </w:r>
      <w:r w:rsidR="00AB0FAA">
        <w:rPr>
          <w:rFonts w:ascii="Verdana" w:hAnsi="Verdana"/>
          <w:sz w:val="20"/>
          <w:szCs w:val="20"/>
          <w:lang w:val="es-CR"/>
        </w:rPr>
        <w:t>marzo</w:t>
      </w:r>
      <w:r w:rsidR="00F71C32">
        <w:rPr>
          <w:rFonts w:ascii="Verdana" w:hAnsi="Verdana"/>
          <w:sz w:val="20"/>
          <w:szCs w:val="20"/>
          <w:lang w:val="es-CR"/>
        </w:rPr>
        <w:t xml:space="preserve"> </w:t>
      </w:r>
      <w:r>
        <w:rPr>
          <w:rFonts w:ascii="Verdana" w:hAnsi="Verdana"/>
          <w:sz w:val="20"/>
          <w:szCs w:val="20"/>
          <w:lang w:val="es-CR"/>
        </w:rPr>
        <w:t xml:space="preserve">de 2016 y </w:t>
      </w:r>
      <w:r w:rsidR="007401F3">
        <w:rPr>
          <w:rFonts w:ascii="Verdana" w:hAnsi="Verdana"/>
          <w:sz w:val="20"/>
          <w:szCs w:val="20"/>
          <w:lang w:val="es-CR"/>
        </w:rPr>
        <w:t>septiembre</w:t>
      </w:r>
      <w:r>
        <w:rPr>
          <w:rFonts w:ascii="Verdana" w:hAnsi="Verdana"/>
          <w:sz w:val="20"/>
          <w:szCs w:val="20"/>
          <w:lang w:val="es-CR"/>
        </w:rPr>
        <w:t xml:space="preserve"> </w:t>
      </w:r>
      <w:r w:rsidR="00BE1A2F">
        <w:rPr>
          <w:rFonts w:ascii="Verdana" w:hAnsi="Verdana"/>
          <w:sz w:val="20"/>
          <w:szCs w:val="20"/>
          <w:lang w:val="es-CR"/>
        </w:rPr>
        <w:t>de 201</w:t>
      </w:r>
      <w:r w:rsidR="00F2322B">
        <w:rPr>
          <w:rFonts w:ascii="Verdana" w:hAnsi="Verdana"/>
          <w:sz w:val="20"/>
          <w:szCs w:val="20"/>
          <w:lang w:val="es-CR"/>
        </w:rPr>
        <w:t>8</w:t>
      </w:r>
      <w:r>
        <w:rPr>
          <w:rStyle w:val="FootnoteReference"/>
          <w:rFonts w:ascii="Verdana" w:hAnsi="Verdana"/>
          <w:sz w:val="20"/>
          <w:szCs w:val="20"/>
          <w:lang w:val="es-CR"/>
        </w:rPr>
        <w:footnoteReference w:id="6"/>
      </w:r>
      <w:r w:rsidR="00BE1A2F">
        <w:rPr>
          <w:rFonts w:ascii="Verdana" w:hAnsi="Verdana"/>
          <w:sz w:val="20"/>
          <w:szCs w:val="20"/>
          <w:lang w:val="es-CR"/>
        </w:rPr>
        <w:t>.</w:t>
      </w:r>
      <w:r w:rsidR="003557DD">
        <w:rPr>
          <w:rFonts w:ascii="Verdana" w:hAnsi="Verdana"/>
          <w:b/>
          <w:sz w:val="20"/>
          <w:szCs w:val="20"/>
          <w:lang w:val="es-CR"/>
        </w:rPr>
        <w:t xml:space="preserve">  </w:t>
      </w:r>
    </w:p>
    <w:p w:rsidR="00171509" w:rsidRPr="00171509" w:rsidRDefault="00171509" w:rsidP="00104EC6">
      <w:pPr>
        <w:pStyle w:val="ListParagraph"/>
        <w:spacing w:after="100"/>
        <w:rPr>
          <w:rFonts w:ascii="Verdana" w:hAnsi="Verdana"/>
          <w:sz w:val="20"/>
          <w:szCs w:val="20"/>
          <w:lang w:val="es-CR"/>
        </w:rPr>
      </w:pPr>
    </w:p>
    <w:p w:rsidR="00F71C32" w:rsidRPr="00C06145" w:rsidRDefault="00BE18EB" w:rsidP="00104EC6">
      <w:pPr>
        <w:pStyle w:val="ListParagraph"/>
        <w:numPr>
          <w:ilvl w:val="0"/>
          <w:numId w:val="1"/>
        </w:numPr>
        <w:spacing w:after="100" w:line="240" w:lineRule="auto"/>
        <w:ind w:left="0" w:firstLine="0"/>
        <w:jc w:val="both"/>
        <w:rPr>
          <w:rFonts w:ascii="Verdana" w:hAnsi="Verdana"/>
          <w:sz w:val="20"/>
          <w:szCs w:val="20"/>
          <w:lang w:val="es-CR"/>
        </w:rPr>
      </w:pPr>
      <w:r w:rsidRPr="00C06145">
        <w:rPr>
          <w:rFonts w:ascii="Verdana" w:hAnsi="Verdana"/>
          <w:sz w:val="20"/>
          <w:szCs w:val="20"/>
          <w:lang w:val="es-CR"/>
        </w:rPr>
        <w:t xml:space="preserve">Los </w:t>
      </w:r>
      <w:r w:rsidR="009670B8">
        <w:rPr>
          <w:rFonts w:ascii="Verdana" w:hAnsi="Verdana"/>
          <w:sz w:val="20"/>
          <w:szCs w:val="20"/>
          <w:lang w:val="es-CR"/>
        </w:rPr>
        <w:t>seis</w:t>
      </w:r>
      <w:r w:rsidR="00F25D95">
        <w:rPr>
          <w:rFonts w:ascii="Verdana" w:hAnsi="Verdana"/>
          <w:sz w:val="20"/>
          <w:szCs w:val="20"/>
          <w:lang w:val="es-CR"/>
        </w:rPr>
        <w:t xml:space="preserve"> </w:t>
      </w:r>
      <w:r w:rsidRPr="00C06145">
        <w:rPr>
          <w:rFonts w:ascii="Verdana" w:hAnsi="Verdana"/>
          <w:sz w:val="20"/>
          <w:szCs w:val="20"/>
          <w:lang w:val="es-CR"/>
        </w:rPr>
        <w:t xml:space="preserve">escritos presentados </w:t>
      </w:r>
      <w:r w:rsidR="00F71C32" w:rsidRPr="00C06145">
        <w:rPr>
          <w:rFonts w:ascii="Verdana" w:hAnsi="Verdana"/>
          <w:sz w:val="20"/>
          <w:szCs w:val="20"/>
          <w:lang w:val="es-CR"/>
        </w:rPr>
        <w:t xml:space="preserve">por </w:t>
      </w:r>
      <w:r w:rsidRPr="00C06145">
        <w:rPr>
          <w:rFonts w:ascii="Verdana" w:hAnsi="Verdana"/>
          <w:sz w:val="20"/>
          <w:szCs w:val="20"/>
          <w:lang w:val="es-CR"/>
        </w:rPr>
        <w:t>los</w:t>
      </w:r>
      <w:r w:rsidR="002D2549" w:rsidRPr="00C06145">
        <w:rPr>
          <w:rFonts w:ascii="Verdana" w:hAnsi="Verdana"/>
          <w:sz w:val="20"/>
          <w:szCs w:val="20"/>
          <w:lang w:val="es-CR"/>
        </w:rPr>
        <w:t xml:space="preserve"> representante</w:t>
      </w:r>
      <w:r w:rsidRPr="00C06145">
        <w:rPr>
          <w:rFonts w:ascii="Verdana" w:hAnsi="Verdana"/>
          <w:sz w:val="20"/>
          <w:szCs w:val="20"/>
          <w:lang w:val="es-CR"/>
        </w:rPr>
        <w:t>s</w:t>
      </w:r>
      <w:r w:rsidR="002D2549" w:rsidRPr="00C06145">
        <w:rPr>
          <w:rFonts w:ascii="Verdana" w:hAnsi="Verdana"/>
          <w:sz w:val="20"/>
          <w:szCs w:val="20"/>
          <w:lang w:val="es-CR"/>
        </w:rPr>
        <w:t xml:space="preserve"> </w:t>
      </w:r>
      <w:r w:rsidR="00227136" w:rsidRPr="00C06145">
        <w:rPr>
          <w:rFonts w:ascii="Verdana" w:hAnsi="Verdana"/>
          <w:sz w:val="20"/>
          <w:szCs w:val="20"/>
          <w:lang w:val="es-CR"/>
        </w:rPr>
        <w:t>de la víctima</w:t>
      </w:r>
      <w:r w:rsidR="00B84117">
        <w:rPr>
          <w:rStyle w:val="FootnoteReference"/>
          <w:rFonts w:ascii="Verdana" w:hAnsi="Verdana"/>
          <w:sz w:val="20"/>
          <w:szCs w:val="20"/>
          <w:lang w:val="es-CR"/>
        </w:rPr>
        <w:footnoteReference w:id="7"/>
      </w:r>
      <w:r w:rsidR="00227136" w:rsidRPr="00C06145">
        <w:rPr>
          <w:rFonts w:ascii="Verdana" w:hAnsi="Verdana"/>
          <w:sz w:val="20"/>
          <w:szCs w:val="20"/>
          <w:lang w:val="es-CR"/>
        </w:rPr>
        <w:t xml:space="preserve"> </w:t>
      </w:r>
      <w:r w:rsidR="00C06145" w:rsidRPr="00C06145">
        <w:rPr>
          <w:rFonts w:ascii="Verdana" w:hAnsi="Verdana"/>
          <w:sz w:val="20"/>
          <w:szCs w:val="20"/>
          <w:lang w:val="es-CR"/>
        </w:rPr>
        <w:t>(en adelante “los representantes</w:t>
      </w:r>
      <w:r w:rsidR="009670B8">
        <w:rPr>
          <w:rFonts w:ascii="Verdana" w:hAnsi="Verdana"/>
          <w:sz w:val="20"/>
          <w:szCs w:val="20"/>
          <w:lang w:val="es-CR"/>
        </w:rPr>
        <w:t>”</w:t>
      </w:r>
      <w:r w:rsidR="00C06145" w:rsidRPr="00C06145">
        <w:rPr>
          <w:rFonts w:ascii="Verdana" w:hAnsi="Verdana"/>
          <w:sz w:val="20"/>
          <w:szCs w:val="20"/>
          <w:lang w:val="es-CR"/>
        </w:rPr>
        <w:t xml:space="preserve">) </w:t>
      </w:r>
      <w:r w:rsidR="00C06145" w:rsidRPr="00C06145">
        <w:rPr>
          <w:rFonts w:ascii="Verdana" w:hAnsi="Verdana"/>
          <w:sz w:val="20"/>
          <w:lang w:val="es-CR"/>
        </w:rPr>
        <w:t xml:space="preserve">entre marzo </w:t>
      </w:r>
      <w:r w:rsidR="009670B8">
        <w:rPr>
          <w:rFonts w:ascii="Verdana" w:hAnsi="Verdana"/>
          <w:sz w:val="20"/>
          <w:lang w:val="es-CR"/>
        </w:rPr>
        <w:t xml:space="preserve">de 2016 </w:t>
      </w:r>
      <w:r w:rsidR="00C06145" w:rsidRPr="00C06145">
        <w:rPr>
          <w:rFonts w:ascii="Verdana" w:hAnsi="Verdana"/>
          <w:sz w:val="20"/>
          <w:lang w:val="es-CR"/>
        </w:rPr>
        <w:t xml:space="preserve">y </w:t>
      </w:r>
      <w:r w:rsidR="009670B8">
        <w:rPr>
          <w:rFonts w:ascii="Verdana" w:hAnsi="Verdana"/>
          <w:sz w:val="20"/>
          <w:lang w:val="es-CR"/>
        </w:rPr>
        <w:t>septiembre</w:t>
      </w:r>
      <w:r w:rsidR="00C06145" w:rsidRPr="00C06145">
        <w:rPr>
          <w:rFonts w:ascii="Verdana" w:hAnsi="Verdana"/>
          <w:sz w:val="20"/>
          <w:lang w:val="es-CR"/>
        </w:rPr>
        <w:t xml:space="preserve"> de 201</w:t>
      </w:r>
      <w:r w:rsidR="009670B8">
        <w:rPr>
          <w:rFonts w:ascii="Verdana" w:hAnsi="Verdana"/>
          <w:sz w:val="20"/>
          <w:lang w:val="es-CR"/>
        </w:rPr>
        <w:t>7</w:t>
      </w:r>
      <w:r w:rsidR="00F25D95">
        <w:rPr>
          <w:rStyle w:val="FootnoteReference"/>
          <w:rFonts w:ascii="Verdana" w:hAnsi="Verdana"/>
          <w:sz w:val="20"/>
          <w:lang w:val="es-CR"/>
        </w:rPr>
        <w:footnoteReference w:id="8"/>
      </w:r>
      <w:r w:rsidR="00C06145" w:rsidRPr="00C06145">
        <w:rPr>
          <w:rFonts w:ascii="Verdana" w:hAnsi="Verdana"/>
          <w:sz w:val="20"/>
          <w:lang w:val="es-CR"/>
        </w:rPr>
        <w:t xml:space="preserve">. </w:t>
      </w:r>
    </w:p>
    <w:p w:rsidR="00C06145" w:rsidRPr="00C06145" w:rsidRDefault="00C06145" w:rsidP="00104EC6">
      <w:pPr>
        <w:pStyle w:val="ListParagraph"/>
        <w:spacing w:after="100" w:line="240" w:lineRule="auto"/>
        <w:ind w:left="0"/>
        <w:jc w:val="both"/>
        <w:rPr>
          <w:rFonts w:ascii="Verdana" w:hAnsi="Verdana"/>
          <w:sz w:val="20"/>
          <w:szCs w:val="20"/>
          <w:lang w:val="es-CR"/>
        </w:rPr>
      </w:pPr>
    </w:p>
    <w:p w:rsidR="000D5163" w:rsidRDefault="009670B8" w:rsidP="00104EC6">
      <w:pPr>
        <w:pStyle w:val="ListParagraph"/>
        <w:numPr>
          <w:ilvl w:val="0"/>
          <w:numId w:val="1"/>
        </w:numPr>
        <w:spacing w:after="100" w:line="240" w:lineRule="auto"/>
        <w:ind w:left="0" w:firstLine="0"/>
        <w:jc w:val="both"/>
        <w:rPr>
          <w:rFonts w:ascii="Verdana" w:hAnsi="Verdana"/>
          <w:sz w:val="20"/>
          <w:szCs w:val="20"/>
          <w:lang w:val="es-CR"/>
        </w:rPr>
      </w:pPr>
      <w:r>
        <w:rPr>
          <w:rFonts w:ascii="Verdana" w:hAnsi="Verdana"/>
          <w:sz w:val="20"/>
          <w:szCs w:val="20"/>
          <w:lang w:val="es-CR"/>
        </w:rPr>
        <w:t xml:space="preserve">Los </w:t>
      </w:r>
      <w:r w:rsidR="001F554C">
        <w:rPr>
          <w:rFonts w:ascii="Verdana" w:hAnsi="Verdana"/>
          <w:sz w:val="20"/>
          <w:szCs w:val="20"/>
          <w:lang w:val="es-CR"/>
        </w:rPr>
        <w:t xml:space="preserve">tres </w:t>
      </w:r>
      <w:r w:rsidR="00F71C32">
        <w:rPr>
          <w:rFonts w:ascii="Verdana" w:hAnsi="Verdana"/>
          <w:sz w:val="20"/>
          <w:szCs w:val="20"/>
          <w:lang w:val="es-CR"/>
        </w:rPr>
        <w:t>escrito</w:t>
      </w:r>
      <w:r>
        <w:rPr>
          <w:rFonts w:ascii="Verdana" w:hAnsi="Verdana"/>
          <w:sz w:val="20"/>
          <w:szCs w:val="20"/>
          <w:lang w:val="es-CR"/>
        </w:rPr>
        <w:t>s</w:t>
      </w:r>
      <w:r w:rsidR="00F71C32">
        <w:rPr>
          <w:rFonts w:ascii="Verdana" w:hAnsi="Verdana"/>
          <w:sz w:val="20"/>
          <w:szCs w:val="20"/>
          <w:lang w:val="es-CR"/>
        </w:rPr>
        <w:t xml:space="preserve"> de observaciones presentado</w:t>
      </w:r>
      <w:r w:rsidR="001E5E1D">
        <w:rPr>
          <w:rFonts w:ascii="Verdana" w:hAnsi="Verdana"/>
          <w:sz w:val="20"/>
          <w:szCs w:val="20"/>
          <w:lang w:val="es-CR"/>
        </w:rPr>
        <w:t>s</w:t>
      </w:r>
      <w:r w:rsidR="00F71C32">
        <w:rPr>
          <w:rFonts w:ascii="Verdana" w:hAnsi="Verdana"/>
          <w:sz w:val="20"/>
          <w:szCs w:val="20"/>
          <w:lang w:val="es-CR"/>
        </w:rPr>
        <w:t xml:space="preserve"> por la Comisión Interamericana de Derechos Humanos (en adelante “la Comisión Interamericana” o “la Comisión”) e</w:t>
      </w:r>
      <w:r>
        <w:rPr>
          <w:rFonts w:ascii="Verdana" w:hAnsi="Verdana"/>
          <w:sz w:val="20"/>
          <w:szCs w:val="20"/>
          <w:lang w:val="es-CR"/>
        </w:rPr>
        <w:t xml:space="preserve">ntre julio de 2016 y </w:t>
      </w:r>
      <w:r w:rsidR="001E5E1D">
        <w:rPr>
          <w:rFonts w:ascii="Verdana" w:hAnsi="Verdana"/>
          <w:sz w:val="20"/>
          <w:szCs w:val="20"/>
          <w:lang w:val="es-CR"/>
        </w:rPr>
        <w:t xml:space="preserve">agosto </w:t>
      </w:r>
      <w:r>
        <w:rPr>
          <w:rFonts w:ascii="Verdana" w:hAnsi="Verdana"/>
          <w:sz w:val="20"/>
          <w:szCs w:val="20"/>
          <w:lang w:val="es-CR"/>
        </w:rPr>
        <w:t>de 2018</w:t>
      </w:r>
      <w:r>
        <w:rPr>
          <w:rStyle w:val="FootnoteReference"/>
          <w:rFonts w:ascii="Verdana" w:hAnsi="Verdana"/>
          <w:sz w:val="20"/>
          <w:szCs w:val="20"/>
          <w:lang w:val="es-CR"/>
        </w:rPr>
        <w:footnoteReference w:id="9"/>
      </w:r>
      <w:r w:rsidR="00BE1A2F">
        <w:rPr>
          <w:rFonts w:ascii="Verdana" w:hAnsi="Verdana"/>
          <w:sz w:val="20"/>
          <w:szCs w:val="20"/>
          <w:lang w:val="es-CR"/>
        </w:rPr>
        <w:t>.</w:t>
      </w:r>
    </w:p>
    <w:p w:rsidR="00BD0976" w:rsidRDefault="00BD0976" w:rsidP="00104EC6">
      <w:pPr>
        <w:spacing w:after="100" w:line="240" w:lineRule="auto"/>
        <w:jc w:val="both"/>
        <w:rPr>
          <w:rFonts w:ascii="Verdana" w:hAnsi="Verdana"/>
          <w:sz w:val="20"/>
          <w:szCs w:val="20"/>
          <w:lang w:val="es-CR"/>
        </w:rPr>
      </w:pPr>
    </w:p>
    <w:p w:rsidR="00BD0976" w:rsidRDefault="00BD0976" w:rsidP="00104EC6">
      <w:pPr>
        <w:spacing w:after="100" w:line="240" w:lineRule="auto"/>
        <w:jc w:val="both"/>
        <w:rPr>
          <w:rFonts w:ascii="Verdana" w:hAnsi="Verdana"/>
          <w:sz w:val="20"/>
          <w:szCs w:val="20"/>
          <w:lang w:val="es-CR"/>
        </w:rPr>
      </w:pPr>
      <w:r>
        <w:rPr>
          <w:rFonts w:ascii="Verdana" w:hAnsi="Verdana"/>
          <w:b/>
          <w:sz w:val="20"/>
          <w:szCs w:val="20"/>
          <w:lang w:val="es-CR"/>
        </w:rPr>
        <w:t>CONSIDERANDO QUE:</w:t>
      </w:r>
    </w:p>
    <w:p w:rsidR="00BD0976" w:rsidRDefault="00BD0976" w:rsidP="00104EC6">
      <w:pPr>
        <w:spacing w:after="100" w:line="240" w:lineRule="auto"/>
        <w:jc w:val="both"/>
        <w:rPr>
          <w:rFonts w:ascii="Verdana" w:hAnsi="Verdana"/>
          <w:sz w:val="20"/>
          <w:szCs w:val="20"/>
          <w:lang w:val="es-CR"/>
        </w:rPr>
      </w:pPr>
    </w:p>
    <w:p w:rsidR="005C0773" w:rsidRPr="00985839" w:rsidRDefault="00BD0976" w:rsidP="00104EC6">
      <w:pPr>
        <w:pStyle w:val="ListParagraph"/>
        <w:numPr>
          <w:ilvl w:val="0"/>
          <w:numId w:val="2"/>
        </w:numPr>
        <w:spacing w:after="100" w:line="240" w:lineRule="auto"/>
        <w:ind w:left="0" w:firstLine="0"/>
        <w:jc w:val="both"/>
        <w:rPr>
          <w:rFonts w:ascii="Verdana" w:hAnsi="Verdana"/>
          <w:sz w:val="20"/>
          <w:szCs w:val="20"/>
          <w:lang w:val="es-CR"/>
        </w:rPr>
      </w:pPr>
      <w:bookmarkStart w:id="2" w:name="_Ref530653102"/>
      <w:r w:rsidRPr="00985839">
        <w:rPr>
          <w:rFonts w:ascii="Verdana" w:hAnsi="Verdana"/>
          <w:sz w:val="20"/>
          <w:szCs w:val="20"/>
          <w:lang w:val="es-CR"/>
        </w:rPr>
        <w:t>En el ejercicio de su función jurisdiccional de supervisar el cumplimiento de sus decisiones</w:t>
      </w:r>
      <w:r>
        <w:rPr>
          <w:rStyle w:val="FootnoteReference"/>
          <w:rFonts w:ascii="Verdana" w:hAnsi="Verdana"/>
          <w:lang w:val="es-CR"/>
        </w:rPr>
        <w:footnoteReference w:id="10"/>
      </w:r>
      <w:r w:rsidRPr="00985839">
        <w:rPr>
          <w:rFonts w:ascii="Verdana" w:hAnsi="Verdana"/>
          <w:sz w:val="20"/>
          <w:szCs w:val="20"/>
          <w:lang w:val="es-CR"/>
        </w:rPr>
        <w:t xml:space="preserve">, la Corte ha venido supervisando la ejecución de la Sentencia emitida en el presente caso </w:t>
      </w:r>
      <w:r w:rsidR="00BE1A2F" w:rsidRPr="00985839">
        <w:rPr>
          <w:rFonts w:ascii="Verdana" w:hAnsi="Verdana"/>
          <w:sz w:val="20"/>
          <w:szCs w:val="20"/>
          <w:lang w:val="es-CR"/>
        </w:rPr>
        <w:t xml:space="preserve">en </w:t>
      </w:r>
      <w:r w:rsidR="008734FF">
        <w:rPr>
          <w:rFonts w:ascii="Verdana" w:hAnsi="Verdana"/>
          <w:sz w:val="20"/>
          <w:szCs w:val="20"/>
          <w:lang w:val="es-CR"/>
        </w:rPr>
        <w:t>junio</w:t>
      </w:r>
      <w:r w:rsidR="00CE325D">
        <w:rPr>
          <w:rFonts w:ascii="Verdana" w:hAnsi="Verdana"/>
          <w:sz w:val="20"/>
          <w:szCs w:val="20"/>
          <w:lang w:val="es-CR"/>
        </w:rPr>
        <w:t xml:space="preserve"> de 201</w:t>
      </w:r>
      <w:r w:rsidR="008734FF">
        <w:rPr>
          <w:rFonts w:ascii="Verdana" w:hAnsi="Verdana"/>
          <w:sz w:val="20"/>
          <w:szCs w:val="20"/>
          <w:lang w:val="es-CR"/>
        </w:rPr>
        <w:t>5</w:t>
      </w:r>
      <w:r w:rsidRPr="00985839">
        <w:rPr>
          <w:rFonts w:ascii="Verdana" w:hAnsi="Verdana"/>
          <w:sz w:val="20"/>
          <w:szCs w:val="20"/>
          <w:lang w:val="es-CR"/>
        </w:rPr>
        <w:t xml:space="preserve"> (</w:t>
      </w:r>
      <w:r w:rsidRPr="00985839">
        <w:rPr>
          <w:rFonts w:ascii="Verdana" w:hAnsi="Verdana"/>
          <w:i/>
          <w:sz w:val="20"/>
          <w:szCs w:val="20"/>
          <w:lang w:val="es-CR"/>
        </w:rPr>
        <w:t xml:space="preserve">supra </w:t>
      </w:r>
      <w:r w:rsidRPr="00985839">
        <w:rPr>
          <w:rFonts w:ascii="Verdana" w:hAnsi="Verdana"/>
          <w:sz w:val="20"/>
          <w:szCs w:val="20"/>
          <w:lang w:val="es-CR"/>
        </w:rPr>
        <w:t xml:space="preserve">Visto </w:t>
      </w:r>
      <w:r w:rsidR="001F554C">
        <w:rPr>
          <w:rFonts w:ascii="Verdana" w:hAnsi="Verdana"/>
          <w:sz w:val="20"/>
          <w:szCs w:val="20"/>
          <w:lang w:val="es-CR"/>
        </w:rPr>
        <w:fldChar w:fldCharType="begin"/>
      </w:r>
      <w:r w:rsidR="001F554C">
        <w:rPr>
          <w:rFonts w:ascii="Verdana" w:hAnsi="Verdana"/>
          <w:sz w:val="20"/>
          <w:szCs w:val="20"/>
          <w:lang w:val="es-CR"/>
        </w:rPr>
        <w:instrText xml:space="preserve"> REF _Ref530751037 \r \h </w:instrText>
      </w:r>
      <w:r w:rsidR="001F554C">
        <w:rPr>
          <w:rFonts w:ascii="Verdana" w:hAnsi="Verdana"/>
          <w:sz w:val="20"/>
          <w:szCs w:val="20"/>
          <w:lang w:val="es-CR"/>
        </w:rPr>
      </w:r>
      <w:r w:rsidR="001F554C">
        <w:rPr>
          <w:rFonts w:ascii="Verdana" w:hAnsi="Verdana"/>
          <w:sz w:val="20"/>
          <w:szCs w:val="20"/>
          <w:lang w:val="es-CR"/>
        </w:rPr>
        <w:fldChar w:fldCharType="separate"/>
      </w:r>
      <w:r w:rsidR="0003569E">
        <w:rPr>
          <w:rFonts w:ascii="Verdana" w:hAnsi="Verdana"/>
          <w:sz w:val="20"/>
          <w:szCs w:val="20"/>
          <w:lang w:val="es-CR"/>
        </w:rPr>
        <w:t>1</w:t>
      </w:r>
      <w:r w:rsidR="001F554C">
        <w:rPr>
          <w:rFonts w:ascii="Verdana" w:hAnsi="Verdana"/>
          <w:sz w:val="20"/>
          <w:szCs w:val="20"/>
          <w:lang w:val="es-CR"/>
        </w:rPr>
        <w:fldChar w:fldCharType="end"/>
      </w:r>
      <w:r w:rsidRPr="00985839">
        <w:rPr>
          <w:rFonts w:ascii="Verdana" w:hAnsi="Verdana"/>
          <w:sz w:val="20"/>
          <w:szCs w:val="20"/>
          <w:lang w:val="es-CR"/>
        </w:rPr>
        <w:t xml:space="preserve">). </w:t>
      </w:r>
      <w:r w:rsidR="008734FF">
        <w:rPr>
          <w:rFonts w:ascii="Verdana" w:hAnsi="Verdana"/>
          <w:sz w:val="20"/>
          <w:szCs w:val="20"/>
          <w:lang w:val="es-CR"/>
        </w:rPr>
        <w:t>El Tribunal ha emitido dos resoluciones de supervisión de cumplimiento en los años 2015 y 2016 (</w:t>
      </w:r>
      <w:r w:rsidR="008734FF">
        <w:rPr>
          <w:rFonts w:ascii="Verdana" w:hAnsi="Verdana"/>
          <w:i/>
          <w:sz w:val="20"/>
          <w:szCs w:val="20"/>
          <w:lang w:val="es-CR"/>
        </w:rPr>
        <w:t xml:space="preserve">supra </w:t>
      </w:r>
      <w:r w:rsidR="008734FF">
        <w:rPr>
          <w:rFonts w:ascii="Verdana" w:hAnsi="Verdana"/>
          <w:sz w:val="20"/>
          <w:szCs w:val="20"/>
          <w:lang w:val="es-CR"/>
        </w:rPr>
        <w:t xml:space="preserve">Visto </w:t>
      </w:r>
      <w:r w:rsidR="001F554C">
        <w:rPr>
          <w:rFonts w:ascii="Verdana" w:hAnsi="Verdana"/>
          <w:sz w:val="20"/>
          <w:szCs w:val="20"/>
          <w:lang w:val="es-CR"/>
        </w:rPr>
        <w:fldChar w:fldCharType="begin"/>
      </w:r>
      <w:r w:rsidR="001F554C">
        <w:rPr>
          <w:rFonts w:ascii="Verdana" w:hAnsi="Verdana"/>
          <w:sz w:val="20"/>
          <w:szCs w:val="20"/>
          <w:lang w:val="es-CR"/>
        </w:rPr>
        <w:instrText xml:space="preserve"> REF _Ref530751043 \r \h </w:instrText>
      </w:r>
      <w:r w:rsidR="001F554C">
        <w:rPr>
          <w:rFonts w:ascii="Verdana" w:hAnsi="Verdana"/>
          <w:sz w:val="20"/>
          <w:szCs w:val="20"/>
          <w:lang w:val="es-CR"/>
        </w:rPr>
      </w:r>
      <w:r w:rsidR="001F554C">
        <w:rPr>
          <w:rFonts w:ascii="Verdana" w:hAnsi="Verdana"/>
          <w:sz w:val="20"/>
          <w:szCs w:val="20"/>
          <w:lang w:val="es-CR"/>
        </w:rPr>
        <w:fldChar w:fldCharType="separate"/>
      </w:r>
      <w:r w:rsidR="0003569E">
        <w:rPr>
          <w:rFonts w:ascii="Verdana" w:hAnsi="Verdana"/>
          <w:sz w:val="20"/>
          <w:szCs w:val="20"/>
          <w:lang w:val="es-CR"/>
        </w:rPr>
        <w:t>2</w:t>
      </w:r>
      <w:r w:rsidR="001F554C">
        <w:rPr>
          <w:rFonts w:ascii="Verdana" w:hAnsi="Verdana"/>
          <w:sz w:val="20"/>
          <w:szCs w:val="20"/>
          <w:lang w:val="es-CR"/>
        </w:rPr>
        <w:fldChar w:fldCharType="end"/>
      </w:r>
      <w:r w:rsidR="008734FF">
        <w:rPr>
          <w:rFonts w:ascii="Verdana" w:hAnsi="Verdana"/>
          <w:sz w:val="20"/>
          <w:szCs w:val="20"/>
          <w:lang w:val="es-CR"/>
        </w:rPr>
        <w:t>), en las cuales ha declarado que Perú dio cumplimiento total a una medida de reparación</w:t>
      </w:r>
      <w:r w:rsidR="008734FF">
        <w:rPr>
          <w:rStyle w:val="FootnoteReference"/>
          <w:rFonts w:ascii="Verdana" w:hAnsi="Verdana"/>
          <w:sz w:val="20"/>
          <w:szCs w:val="20"/>
          <w:lang w:val="es-CR"/>
        </w:rPr>
        <w:footnoteReference w:id="11"/>
      </w:r>
      <w:r w:rsidR="008734FF">
        <w:rPr>
          <w:rFonts w:ascii="Verdana" w:hAnsi="Verdana"/>
          <w:sz w:val="20"/>
          <w:szCs w:val="20"/>
          <w:lang w:val="es-CR"/>
        </w:rPr>
        <w:t xml:space="preserve">, quedando pendientes de cumplimiento </w:t>
      </w:r>
      <w:r w:rsidR="002621C7">
        <w:rPr>
          <w:rFonts w:ascii="Verdana" w:hAnsi="Verdana"/>
          <w:sz w:val="20"/>
          <w:szCs w:val="20"/>
          <w:lang w:val="es-CR"/>
        </w:rPr>
        <w:t>cuatro</w:t>
      </w:r>
      <w:r w:rsidR="008734FF">
        <w:rPr>
          <w:rFonts w:ascii="Verdana" w:hAnsi="Verdana"/>
          <w:sz w:val="20"/>
          <w:szCs w:val="20"/>
          <w:lang w:val="es-CR"/>
        </w:rPr>
        <w:t xml:space="preserve"> medidas</w:t>
      </w:r>
      <w:r w:rsidR="003750EC">
        <w:rPr>
          <w:rFonts w:ascii="Verdana" w:hAnsi="Verdana"/>
          <w:sz w:val="20"/>
          <w:szCs w:val="20"/>
          <w:lang w:val="es-CR"/>
        </w:rPr>
        <w:t xml:space="preserve"> (</w:t>
      </w:r>
      <w:r w:rsidR="003750EC" w:rsidRPr="003750EC">
        <w:rPr>
          <w:rFonts w:ascii="Verdana" w:hAnsi="Verdana"/>
          <w:i/>
          <w:sz w:val="20"/>
          <w:szCs w:val="20"/>
          <w:lang w:val="es-CR"/>
        </w:rPr>
        <w:t>infra</w:t>
      </w:r>
      <w:r w:rsidR="003750EC">
        <w:rPr>
          <w:rFonts w:ascii="Verdana" w:hAnsi="Verdana"/>
          <w:sz w:val="20"/>
          <w:szCs w:val="20"/>
          <w:lang w:val="es-CR"/>
        </w:rPr>
        <w:t xml:space="preserve"> Considerandos </w:t>
      </w:r>
      <w:r w:rsidR="001F554C">
        <w:rPr>
          <w:rFonts w:ascii="Verdana" w:hAnsi="Verdana"/>
          <w:sz w:val="20"/>
          <w:szCs w:val="20"/>
          <w:lang w:val="es-CR"/>
        </w:rPr>
        <w:fldChar w:fldCharType="begin"/>
      </w:r>
      <w:r w:rsidR="001F554C">
        <w:rPr>
          <w:rFonts w:ascii="Verdana" w:hAnsi="Verdana"/>
          <w:sz w:val="20"/>
          <w:szCs w:val="20"/>
          <w:lang w:val="es-CR"/>
        </w:rPr>
        <w:instrText xml:space="preserve"> REF _Ref530751065 \r \h </w:instrText>
      </w:r>
      <w:r w:rsidR="001F554C">
        <w:rPr>
          <w:rFonts w:ascii="Verdana" w:hAnsi="Verdana"/>
          <w:sz w:val="20"/>
          <w:szCs w:val="20"/>
          <w:lang w:val="es-CR"/>
        </w:rPr>
      </w:r>
      <w:r w:rsidR="001F554C">
        <w:rPr>
          <w:rFonts w:ascii="Verdana" w:hAnsi="Verdana"/>
          <w:sz w:val="20"/>
          <w:szCs w:val="20"/>
          <w:lang w:val="es-CR"/>
        </w:rPr>
        <w:fldChar w:fldCharType="separate"/>
      </w:r>
      <w:r w:rsidR="0003569E">
        <w:rPr>
          <w:rFonts w:ascii="Verdana" w:hAnsi="Verdana"/>
          <w:sz w:val="20"/>
          <w:szCs w:val="20"/>
          <w:lang w:val="es-CR"/>
        </w:rPr>
        <w:t>5</w:t>
      </w:r>
      <w:r w:rsidR="001F554C">
        <w:rPr>
          <w:rFonts w:ascii="Verdana" w:hAnsi="Verdana"/>
          <w:sz w:val="20"/>
          <w:szCs w:val="20"/>
          <w:lang w:val="es-CR"/>
        </w:rPr>
        <w:fldChar w:fldCharType="end"/>
      </w:r>
      <w:r w:rsidR="003750EC">
        <w:rPr>
          <w:rFonts w:ascii="Verdana" w:hAnsi="Verdana"/>
          <w:sz w:val="20"/>
          <w:szCs w:val="20"/>
          <w:lang w:val="es-CR"/>
        </w:rPr>
        <w:t xml:space="preserve">, </w:t>
      </w:r>
      <w:r w:rsidR="001F554C">
        <w:rPr>
          <w:rFonts w:ascii="Verdana" w:hAnsi="Verdana"/>
          <w:sz w:val="20"/>
          <w:szCs w:val="20"/>
          <w:lang w:val="es-CR"/>
        </w:rPr>
        <w:fldChar w:fldCharType="begin"/>
      </w:r>
      <w:r w:rsidR="001F554C">
        <w:rPr>
          <w:rFonts w:ascii="Verdana" w:hAnsi="Verdana"/>
          <w:sz w:val="20"/>
          <w:szCs w:val="20"/>
          <w:lang w:val="es-CR"/>
        </w:rPr>
        <w:instrText xml:space="preserve"> REF _Ref530751074 \r \h </w:instrText>
      </w:r>
      <w:r w:rsidR="001F554C">
        <w:rPr>
          <w:rFonts w:ascii="Verdana" w:hAnsi="Verdana"/>
          <w:sz w:val="20"/>
          <w:szCs w:val="20"/>
          <w:lang w:val="es-CR"/>
        </w:rPr>
      </w:r>
      <w:r w:rsidR="001F554C">
        <w:rPr>
          <w:rFonts w:ascii="Verdana" w:hAnsi="Verdana"/>
          <w:sz w:val="20"/>
          <w:szCs w:val="20"/>
          <w:lang w:val="es-CR"/>
        </w:rPr>
        <w:fldChar w:fldCharType="separate"/>
      </w:r>
      <w:r w:rsidR="0003569E">
        <w:rPr>
          <w:rFonts w:ascii="Verdana" w:hAnsi="Verdana"/>
          <w:sz w:val="20"/>
          <w:szCs w:val="20"/>
          <w:lang w:val="es-CR"/>
        </w:rPr>
        <w:t>7</w:t>
      </w:r>
      <w:r w:rsidR="001F554C">
        <w:rPr>
          <w:rFonts w:ascii="Verdana" w:hAnsi="Verdana"/>
          <w:sz w:val="20"/>
          <w:szCs w:val="20"/>
          <w:lang w:val="es-CR"/>
        </w:rPr>
        <w:fldChar w:fldCharType="end"/>
      </w:r>
      <w:r w:rsidR="003750EC">
        <w:rPr>
          <w:rFonts w:ascii="Verdana" w:hAnsi="Verdana"/>
          <w:sz w:val="20"/>
          <w:szCs w:val="20"/>
          <w:lang w:val="es-CR"/>
        </w:rPr>
        <w:t xml:space="preserve"> y </w:t>
      </w:r>
      <w:r w:rsidR="001F554C">
        <w:rPr>
          <w:rFonts w:ascii="Verdana" w:hAnsi="Verdana"/>
          <w:sz w:val="20"/>
          <w:szCs w:val="20"/>
          <w:lang w:val="es-CR"/>
        </w:rPr>
        <w:fldChar w:fldCharType="begin"/>
      </w:r>
      <w:r w:rsidR="001F554C">
        <w:rPr>
          <w:rFonts w:ascii="Verdana" w:hAnsi="Verdana"/>
          <w:sz w:val="20"/>
          <w:szCs w:val="20"/>
          <w:lang w:val="es-CR"/>
        </w:rPr>
        <w:instrText xml:space="preserve"> REF _Ref530751080 \r \h </w:instrText>
      </w:r>
      <w:r w:rsidR="001F554C">
        <w:rPr>
          <w:rFonts w:ascii="Verdana" w:hAnsi="Verdana"/>
          <w:sz w:val="20"/>
          <w:szCs w:val="20"/>
          <w:lang w:val="es-CR"/>
        </w:rPr>
      </w:r>
      <w:r w:rsidR="001F554C">
        <w:rPr>
          <w:rFonts w:ascii="Verdana" w:hAnsi="Verdana"/>
          <w:sz w:val="20"/>
          <w:szCs w:val="20"/>
          <w:lang w:val="es-CR"/>
        </w:rPr>
        <w:fldChar w:fldCharType="separate"/>
      </w:r>
      <w:r w:rsidR="0003569E">
        <w:rPr>
          <w:rFonts w:ascii="Verdana" w:hAnsi="Verdana"/>
          <w:sz w:val="20"/>
          <w:szCs w:val="20"/>
          <w:lang w:val="es-CR"/>
        </w:rPr>
        <w:t>12</w:t>
      </w:r>
      <w:r w:rsidR="001F554C">
        <w:rPr>
          <w:rFonts w:ascii="Verdana" w:hAnsi="Verdana"/>
          <w:sz w:val="20"/>
          <w:szCs w:val="20"/>
          <w:lang w:val="es-CR"/>
        </w:rPr>
        <w:fldChar w:fldCharType="end"/>
      </w:r>
      <w:r w:rsidR="009C2719">
        <w:rPr>
          <w:rFonts w:ascii="Verdana" w:hAnsi="Verdana"/>
          <w:sz w:val="20"/>
          <w:szCs w:val="20"/>
          <w:lang w:val="es-CR"/>
        </w:rPr>
        <w:t>)</w:t>
      </w:r>
      <w:r w:rsidR="008734FF">
        <w:rPr>
          <w:rFonts w:ascii="Verdana" w:hAnsi="Verdana"/>
          <w:sz w:val="20"/>
          <w:szCs w:val="20"/>
          <w:lang w:val="es-CR"/>
        </w:rPr>
        <w:t>.</w:t>
      </w:r>
      <w:bookmarkEnd w:id="2"/>
      <w:r w:rsidR="008734FF">
        <w:rPr>
          <w:rFonts w:ascii="Verdana" w:hAnsi="Verdana"/>
          <w:sz w:val="20"/>
          <w:szCs w:val="20"/>
          <w:lang w:val="es-CR"/>
        </w:rPr>
        <w:t xml:space="preserve"> </w:t>
      </w:r>
    </w:p>
    <w:p w:rsidR="005C0773" w:rsidRDefault="005C0773" w:rsidP="00104EC6">
      <w:pPr>
        <w:pStyle w:val="ListParagraph"/>
        <w:spacing w:after="100" w:line="240" w:lineRule="auto"/>
        <w:ind w:left="0"/>
        <w:jc w:val="both"/>
        <w:rPr>
          <w:rFonts w:ascii="Verdana" w:hAnsi="Verdana"/>
          <w:sz w:val="20"/>
          <w:szCs w:val="20"/>
          <w:lang w:val="es-CR"/>
        </w:rPr>
      </w:pPr>
    </w:p>
    <w:p w:rsidR="00B50C62" w:rsidRDefault="002D241B" w:rsidP="00104EC6">
      <w:pPr>
        <w:pStyle w:val="ListParagraph"/>
        <w:numPr>
          <w:ilvl w:val="0"/>
          <w:numId w:val="2"/>
        </w:numPr>
        <w:spacing w:after="100" w:line="240" w:lineRule="auto"/>
        <w:ind w:left="0" w:firstLine="0"/>
        <w:jc w:val="both"/>
        <w:rPr>
          <w:rFonts w:ascii="Verdana" w:hAnsi="Verdana"/>
          <w:sz w:val="20"/>
          <w:szCs w:val="20"/>
          <w:lang w:val="es-CR"/>
        </w:rPr>
      </w:pPr>
      <w:r w:rsidRPr="00226C10">
        <w:rPr>
          <w:rFonts w:ascii="Verdana" w:hAnsi="Verdana"/>
          <w:sz w:val="20"/>
          <w:szCs w:val="20"/>
          <w:lang w:val="es-CR"/>
        </w:rPr>
        <w:t>De conformidad con lo establecido en el artículo 68.1 de la Convención Americana, “[l]os Estados Partes en la Convención se comprometen a cumplir la decisión de la Corte en todo caso en que sean partes”. Esta obligación incluye el deber del Estado de informar a la Corte sobre las medidas adoptadas para cumplir cada uno de los puntos ordenados, lo cual es fundamental para evaluar el estado de cumplimiento de la Sentencia en su conjunto</w:t>
      </w:r>
      <w:r>
        <w:rPr>
          <w:rStyle w:val="FootnoteReference"/>
          <w:rFonts w:ascii="Verdana" w:hAnsi="Verdana"/>
          <w:lang w:val="es-CR"/>
        </w:rPr>
        <w:footnoteReference w:id="12"/>
      </w:r>
      <w:r w:rsidRPr="00226C10">
        <w:rPr>
          <w:rFonts w:ascii="Verdana" w:hAnsi="Verdana"/>
          <w:sz w:val="20"/>
          <w:szCs w:val="20"/>
          <w:lang w:val="es-CR"/>
        </w:rPr>
        <w:t xml:space="preserve">. Los Estados Parte en la Convención deben garantizar el cumplimiento de las disposiciones </w:t>
      </w:r>
      <w:r w:rsidRPr="00226C10">
        <w:rPr>
          <w:rFonts w:ascii="Verdana" w:hAnsi="Verdana"/>
          <w:sz w:val="20"/>
          <w:szCs w:val="20"/>
          <w:lang w:val="es-CR"/>
        </w:rPr>
        <w:lastRenderedPageBreak/>
        <w:t>convencionales y sus efectos propios (</w:t>
      </w:r>
      <w:proofErr w:type="spellStart"/>
      <w:r w:rsidRPr="00226C10">
        <w:rPr>
          <w:rFonts w:ascii="Verdana" w:hAnsi="Verdana"/>
          <w:i/>
          <w:sz w:val="20"/>
          <w:szCs w:val="20"/>
          <w:lang w:val="es-CR"/>
        </w:rPr>
        <w:t>effet</w:t>
      </w:r>
      <w:proofErr w:type="spellEnd"/>
      <w:r w:rsidRPr="00226C10">
        <w:rPr>
          <w:rFonts w:ascii="Verdana" w:hAnsi="Verdana"/>
          <w:i/>
          <w:sz w:val="20"/>
          <w:szCs w:val="20"/>
          <w:lang w:val="es-CR"/>
        </w:rPr>
        <w:t xml:space="preserve"> </w:t>
      </w:r>
      <w:proofErr w:type="spellStart"/>
      <w:r w:rsidRPr="00226C10">
        <w:rPr>
          <w:rFonts w:ascii="Verdana" w:hAnsi="Verdana"/>
          <w:i/>
          <w:sz w:val="20"/>
          <w:szCs w:val="20"/>
          <w:lang w:val="es-CR"/>
        </w:rPr>
        <w:t>utile</w:t>
      </w:r>
      <w:proofErr w:type="spellEnd"/>
      <w:r w:rsidRPr="00226C10">
        <w:rPr>
          <w:rFonts w:ascii="Verdana" w:hAnsi="Verdana"/>
          <w:sz w:val="20"/>
          <w:szCs w:val="20"/>
          <w:lang w:val="es-CR"/>
        </w:rPr>
        <w:t>) en el plano de sus respectivos derechos internos. Estas obligaciones deben ser interpretadas y aplicadas de manera que la garantía protegida sea verdaderamente práctica y eficaz, teniendo presente la naturaleza especial de los tratados de derechos humanos</w:t>
      </w:r>
      <w:r>
        <w:rPr>
          <w:rStyle w:val="FootnoteReference"/>
          <w:rFonts w:ascii="Verdana" w:hAnsi="Verdana"/>
          <w:lang w:val="es-CR"/>
        </w:rPr>
        <w:footnoteReference w:id="13"/>
      </w:r>
      <w:r>
        <w:rPr>
          <w:rFonts w:ascii="Verdana" w:hAnsi="Verdana"/>
          <w:sz w:val="20"/>
          <w:szCs w:val="20"/>
          <w:lang w:val="es-CR"/>
        </w:rPr>
        <w:t>.</w:t>
      </w:r>
      <w:r w:rsidR="00120F28" w:rsidRPr="00005A12">
        <w:rPr>
          <w:rFonts w:ascii="Verdana" w:hAnsi="Verdana"/>
          <w:sz w:val="20"/>
          <w:szCs w:val="20"/>
          <w:lang w:val="es-CR"/>
        </w:rPr>
        <w:t xml:space="preserve"> </w:t>
      </w:r>
    </w:p>
    <w:p w:rsidR="00005A12" w:rsidRPr="00005A12" w:rsidRDefault="00005A12" w:rsidP="00104EC6">
      <w:pPr>
        <w:pStyle w:val="ListParagraph"/>
        <w:spacing w:after="100" w:line="240" w:lineRule="auto"/>
        <w:ind w:left="0"/>
        <w:jc w:val="both"/>
        <w:rPr>
          <w:rFonts w:ascii="Verdana" w:hAnsi="Verdana"/>
          <w:sz w:val="20"/>
          <w:szCs w:val="20"/>
          <w:lang w:val="es-CR"/>
        </w:rPr>
      </w:pPr>
    </w:p>
    <w:p w:rsidR="008B3C74" w:rsidRDefault="0019762D" w:rsidP="00104EC6">
      <w:pPr>
        <w:pStyle w:val="ListParagraph"/>
        <w:numPr>
          <w:ilvl w:val="0"/>
          <w:numId w:val="2"/>
        </w:numPr>
        <w:spacing w:after="100" w:line="240" w:lineRule="auto"/>
        <w:ind w:left="0" w:firstLine="0"/>
        <w:jc w:val="both"/>
        <w:rPr>
          <w:rFonts w:ascii="Verdana" w:hAnsi="Verdana"/>
          <w:sz w:val="20"/>
          <w:szCs w:val="20"/>
          <w:lang w:val="es-CR"/>
        </w:rPr>
      </w:pPr>
      <w:bookmarkStart w:id="3" w:name="_Ref530751332"/>
      <w:r>
        <w:rPr>
          <w:rFonts w:ascii="Verdana" w:hAnsi="Verdana"/>
          <w:sz w:val="20"/>
          <w:szCs w:val="20"/>
          <w:lang w:val="es-CR"/>
        </w:rPr>
        <w:t xml:space="preserve">El 15 de agosto de 2016 el </w:t>
      </w:r>
      <w:r w:rsidR="003750EC">
        <w:rPr>
          <w:rFonts w:ascii="Verdana" w:hAnsi="Verdana"/>
          <w:sz w:val="20"/>
          <w:szCs w:val="20"/>
          <w:lang w:val="es-CR"/>
        </w:rPr>
        <w:t xml:space="preserve">señor </w:t>
      </w:r>
      <w:r>
        <w:rPr>
          <w:rFonts w:ascii="Verdana" w:hAnsi="Verdana"/>
          <w:sz w:val="20"/>
          <w:szCs w:val="20"/>
          <w:lang w:val="es-CR"/>
        </w:rPr>
        <w:t>Miguel Angel Soria Fuerte renunció a la representación de</w:t>
      </w:r>
      <w:r w:rsidR="006162B8">
        <w:rPr>
          <w:rFonts w:ascii="Verdana" w:hAnsi="Verdana"/>
          <w:sz w:val="20"/>
          <w:szCs w:val="20"/>
          <w:lang w:val="es-CR"/>
        </w:rPr>
        <w:t>l</w:t>
      </w:r>
      <w:r>
        <w:rPr>
          <w:rFonts w:ascii="Verdana" w:hAnsi="Verdana"/>
          <w:sz w:val="20"/>
          <w:szCs w:val="20"/>
          <w:lang w:val="es-CR"/>
        </w:rPr>
        <w:t xml:space="preserve"> </w:t>
      </w:r>
      <w:r w:rsidR="006162B8">
        <w:rPr>
          <w:rFonts w:ascii="Verdana" w:hAnsi="Verdana"/>
          <w:sz w:val="20"/>
          <w:szCs w:val="20"/>
          <w:lang w:val="es-CR"/>
        </w:rPr>
        <w:t xml:space="preserve">señor </w:t>
      </w:r>
      <w:r>
        <w:rPr>
          <w:rFonts w:ascii="Verdana" w:hAnsi="Verdana"/>
          <w:sz w:val="20"/>
          <w:szCs w:val="20"/>
          <w:lang w:val="es-CR"/>
        </w:rPr>
        <w:t xml:space="preserve">Wong Ho </w:t>
      </w:r>
      <w:proofErr w:type="spellStart"/>
      <w:r>
        <w:rPr>
          <w:rFonts w:ascii="Verdana" w:hAnsi="Verdana"/>
          <w:sz w:val="20"/>
          <w:szCs w:val="20"/>
          <w:lang w:val="es-CR"/>
        </w:rPr>
        <w:t>Wing</w:t>
      </w:r>
      <w:proofErr w:type="spellEnd"/>
      <w:r>
        <w:rPr>
          <w:rFonts w:ascii="Verdana" w:hAnsi="Verdana"/>
          <w:sz w:val="20"/>
          <w:szCs w:val="20"/>
          <w:lang w:val="es-CR"/>
        </w:rPr>
        <w:t xml:space="preserve">. </w:t>
      </w:r>
      <w:r w:rsidR="008B3C74">
        <w:rPr>
          <w:rFonts w:ascii="Verdana" w:hAnsi="Verdana"/>
          <w:sz w:val="20"/>
          <w:szCs w:val="20"/>
          <w:lang w:val="es-CR"/>
        </w:rPr>
        <w:t xml:space="preserve">Tras varias comunicaciones </w:t>
      </w:r>
      <w:r w:rsidR="00377849">
        <w:rPr>
          <w:rFonts w:ascii="Verdana" w:hAnsi="Verdana"/>
          <w:sz w:val="20"/>
          <w:szCs w:val="20"/>
          <w:lang w:val="es-CR"/>
        </w:rPr>
        <w:t xml:space="preserve">remitidas al </w:t>
      </w:r>
      <w:r w:rsidR="008B3C74">
        <w:rPr>
          <w:rFonts w:ascii="Verdana" w:hAnsi="Verdana"/>
          <w:sz w:val="20"/>
          <w:szCs w:val="20"/>
          <w:lang w:val="es-CR"/>
        </w:rPr>
        <w:t xml:space="preserve">Estado </w:t>
      </w:r>
      <w:r w:rsidR="00377849">
        <w:rPr>
          <w:rFonts w:ascii="Verdana" w:hAnsi="Verdana"/>
          <w:sz w:val="20"/>
          <w:szCs w:val="20"/>
          <w:lang w:val="es-CR"/>
        </w:rPr>
        <w:t xml:space="preserve">mediante notas de la Secretaría del Tribunal </w:t>
      </w:r>
      <w:r w:rsidR="008B3C74">
        <w:rPr>
          <w:rFonts w:ascii="Verdana" w:hAnsi="Verdana"/>
          <w:sz w:val="20"/>
          <w:szCs w:val="20"/>
          <w:lang w:val="es-CR"/>
        </w:rPr>
        <w:t xml:space="preserve">entre agosto de 2016 </w:t>
      </w:r>
      <w:r w:rsidR="00A809EE">
        <w:rPr>
          <w:rFonts w:ascii="Verdana" w:hAnsi="Verdana"/>
          <w:sz w:val="20"/>
          <w:szCs w:val="20"/>
          <w:lang w:val="es-CR"/>
        </w:rPr>
        <w:t>y septiembre de 2017, el Estado remitió una “</w:t>
      </w:r>
      <w:r w:rsidR="00F246A8">
        <w:rPr>
          <w:rFonts w:ascii="Verdana" w:hAnsi="Verdana"/>
          <w:sz w:val="20"/>
          <w:szCs w:val="20"/>
          <w:lang w:val="es-CR"/>
        </w:rPr>
        <w:t>‘A</w:t>
      </w:r>
      <w:r w:rsidR="00A809EE">
        <w:rPr>
          <w:rFonts w:ascii="Verdana" w:hAnsi="Verdana"/>
          <w:sz w:val="20"/>
          <w:szCs w:val="20"/>
          <w:lang w:val="es-CR"/>
        </w:rPr>
        <w:t xml:space="preserve">yuda </w:t>
      </w:r>
      <w:r w:rsidR="00F246A8">
        <w:rPr>
          <w:rFonts w:ascii="Verdana" w:hAnsi="Verdana"/>
          <w:sz w:val="20"/>
          <w:szCs w:val="20"/>
          <w:lang w:val="es-CR"/>
        </w:rPr>
        <w:t>M</w:t>
      </w:r>
      <w:r w:rsidR="00A809EE">
        <w:rPr>
          <w:rFonts w:ascii="Verdana" w:hAnsi="Verdana"/>
          <w:sz w:val="20"/>
          <w:szCs w:val="20"/>
          <w:lang w:val="es-CR"/>
        </w:rPr>
        <w:t>emoria</w:t>
      </w:r>
      <w:r w:rsidR="00F246A8">
        <w:rPr>
          <w:rFonts w:ascii="Verdana" w:hAnsi="Verdana"/>
          <w:sz w:val="20"/>
          <w:szCs w:val="20"/>
          <w:lang w:val="es-CR"/>
        </w:rPr>
        <w:t>’</w:t>
      </w:r>
      <w:r w:rsidR="00A809EE">
        <w:rPr>
          <w:rFonts w:ascii="Verdana" w:hAnsi="Verdana"/>
          <w:sz w:val="20"/>
          <w:szCs w:val="20"/>
          <w:lang w:val="es-CR"/>
        </w:rPr>
        <w:t xml:space="preserve"> sobre la visita </w:t>
      </w:r>
      <w:r w:rsidR="00F246A8">
        <w:rPr>
          <w:rFonts w:ascii="Verdana" w:hAnsi="Verdana"/>
          <w:sz w:val="20"/>
          <w:szCs w:val="20"/>
          <w:lang w:val="es-CR"/>
        </w:rPr>
        <w:t>realizada [</w:t>
      </w:r>
      <w:r w:rsidR="00A809EE">
        <w:rPr>
          <w:rFonts w:ascii="Verdana" w:hAnsi="Verdana"/>
          <w:sz w:val="20"/>
          <w:szCs w:val="20"/>
          <w:lang w:val="es-CR"/>
        </w:rPr>
        <w:t xml:space="preserve">al señor Wong Ho </w:t>
      </w:r>
      <w:proofErr w:type="spellStart"/>
      <w:r w:rsidR="00A809EE">
        <w:rPr>
          <w:rFonts w:ascii="Verdana" w:hAnsi="Verdana"/>
          <w:sz w:val="20"/>
          <w:szCs w:val="20"/>
          <w:lang w:val="es-CR"/>
        </w:rPr>
        <w:t>Wing</w:t>
      </w:r>
      <w:proofErr w:type="spellEnd"/>
      <w:r w:rsidR="00F246A8">
        <w:rPr>
          <w:rFonts w:ascii="Verdana" w:hAnsi="Verdana"/>
          <w:sz w:val="20"/>
          <w:szCs w:val="20"/>
          <w:lang w:val="es-CR"/>
        </w:rPr>
        <w:t>]</w:t>
      </w:r>
      <w:r w:rsidR="00A809EE">
        <w:rPr>
          <w:rFonts w:ascii="Verdana" w:hAnsi="Verdana"/>
          <w:sz w:val="20"/>
          <w:szCs w:val="20"/>
          <w:lang w:val="es-CR"/>
        </w:rPr>
        <w:t>”</w:t>
      </w:r>
      <w:r w:rsidR="002535A9">
        <w:rPr>
          <w:rFonts w:ascii="Verdana" w:hAnsi="Verdana"/>
          <w:sz w:val="20"/>
          <w:szCs w:val="20"/>
          <w:lang w:val="es-CR"/>
        </w:rPr>
        <w:t xml:space="preserve"> al Centro de Detención Nro. 2 </w:t>
      </w:r>
      <w:proofErr w:type="spellStart"/>
      <w:r w:rsidR="002535A9">
        <w:rPr>
          <w:rFonts w:ascii="Verdana" w:hAnsi="Verdana"/>
          <w:sz w:val="20"/>
          <w:szCs w:val="20"/>
          <w:lang w:val="es-CR"/>
        </w:rPr>
        <w:t>Huhan</w:t>
      </w:r>
      <w:proofErr w:type="spellEnd"/>
      <w:r w:rsidR="002535A9">
        <w:rPr>
          <w:rFonts w:ascii="Verdana" w:hAnsi="Verdana"/>
          <w:sz w:val="20"/>
          <w:szCs w:val="20"/>
          <w:lang w:val="es-CR"/>
        </w:rPr>
        <w:t xml:space="preserve">, en el Distrito de </w:t>
      </w:r>
      <w:proofErr w:type="spellStart"/>
      <w:r w:rsidR="002535A9">
        <w:rPr>
          <w:rFonts w:ascii="Verdana" w:hAnsi="Verdana"/>
          <w:sz w:val="20"/>
          <w:szCs w:val="20"/>
          <w:lang w:val="es-CR"/>
        </w:rPr>
        <w:t>Shihan</w:t>
      </w:r>
      <w:proofErr w:type="spellEnd"/>
      <w:r w:rsidR="002535A9">
        <w:rPr>
          <w:rFonts w:ascii="Verdana" w:hAnsi="Verdana"/>
          <w:sz w:val="20"/>
          <w:szCs w:val="20"/>
          <w:lang w:val="es-CR"/>
        </w:rPr>
        <w:t>, ciudad de Wuhan, en la República Popular China,</w:t>
      </w:r>
      <w:r w:rsidR="007401F3">
        <w:rPr>
          <w:rFonts w:ascii="Verdana" w:hAnsi="Verdana"/>
          <w:sz w:val="20"/>
          <w:szCs w:val="20"/>
          <w:lang w:val="es-CR"/>
        </w:rPr>
        <w:t xml:space="preserve"> realizada el 13 de junio de 2017</w:t>
      </w:r>
      <w:r w:rsidR="00A809EE">
        <w:rPr>
          <w:rFonts w:ascii="Verdana" w:hAnsi="Verdana"/>
          <w:sz w:val="20"/>
          <w:szCs w:val="20"/>
          <w:lang w:val="es-CR"/>
        </w:rPr>
        <w:t xml:space="preserve">, en donde se </w:t>
      </w:r>
      <w:r w:rsidR="002621C7">
        <w:rPr>
          <w:rFonts w:ascii="Verdana" w:hAnsi="Verdana"/>
          <w:sz w:val="20"/>
          <w:szCs w:val="20"/>
          <w:lang w:val="es-CR"/>
        </w:rPr>
        <w:t>afirma</w:t>
      </w:r>
      <w:r w:rsidR="009C2719">
        <w:rPr>
          <w:rFonts w:ascii="Verdana" w:hAnsi="Verdana"/>
          <w:sz w:val="20"/>
          <w:szCs w:val="20"/>
          <w:lang w:val="es-CR"/>
        </w:rPr>
        <w:t xml:space="preserve"> </w:t>
      </w:r>
      <w:r w:rsidR="00A809EE">
        <w:rPr>
          <w:rFonts w:ascii="Verdana" w:hAnsi="Verdana"/>
          <w:sz w:val="20"/>
          <w:szCs w:val="20"/>
          <w:lang w:val="es-CR"/>
        </w:rPr>
        <w:t xml:space="preserve">que “el Sr. Wong Ho </w:t>
      </w:r>
      <w:proofErr w:type="spellStart"/>
      <w:r w:rsidR="00A809EE">
        <w:rPr>
          <w:rFonts w:ascii="Verdana" w:hAnsi="Verdana"/>
          <w:sz w:val="20"/>
          <w:szCs w:val="20"/>
          <w:lang w:val="es-CR"/>
        </w:rPr>
        <w:t>Wing</w:t>
      </w:r>
      <w:proofErr w:type="spellEnd"/>
      <w:r w:rsidR="00A809EE">
        <w:rPr>
          <w:rFonts w:ascii="Verdana" w:hAnsi="Verdana"/>
          <w:sz w:val="20"/>
          <w:szCs w:val="20"/>
          <w:lang w:val="es-CR"/>
        </w:rPr>
        <w:t xml:space="preserve"> señaló que designa a su hermano </w:t>
      </w:r>
      <w:proofErr w:type="spellStart"/>
      <w:r w:rsidR="00A809EE">
        <w:rPr>
          <w:rFonts w:ascii="Verdana" w:hAnsi="Verdana"/>
          <w:sz w:val="20"/>
          <w:szCs w:val="20"/>
          <w:lang w:val="es-CR"/>
        </w:rPr>
        <w:t>Huang</w:t>
      </w:r>
      <w:proofErr w:type="spellEnd"/>
      <w:r w:rsidR="00A809EE">
        <w:rPr>
          <w:rFonts w:ascii="Verdana" w:hAnsi="Verdana"/>
          <w:sz w:val="20"/>
          <w:szCs w:val="20"/>
          <w:lang w:val="es-CR"/>
        </w:rPr>
        <w:t xml:space="preserve"> </w:t>
      </w:r>
      <w:proofErr w:type="spellStart"/>
      <w:r w:rsidR="00A809EE">
        <w:rPr>
          <w:rFonts w:ascii="Verdana" w:hAnsi="Verdana"/>
          <w:sz w:val="20"/>
          <w:szCs w:val="20"/>
          <w:lang w:val="es-CR"/>
        </w:rPr>
        <w:t>Helong</w:t>
      </w:r>
      <w:proofErr w:type="spellEnd"/>
      <w:r w:rsidR="00A809EE">
        <w:rPr>
          <w:rFonts w:ascii="Verdana" w:hAnsi="Verdana"/>
          <w:sz w:val="20"/>
          <w:szCs w:val="20"/>
          <w:lang w:val="es-CR"/>
        </w:rPr>
        <w:t xml:space="preserve">, quien reside desde hace más de 20 años en el Per[ú], para que actúe en su representación”. </w:t>
      </w:r>
      <w:r w:rsidR="002621C7" w:rsidRPr="007401F3">
        <w:rPr>
          <w:rFonts w:ascii="Verdana" w:hAnsi="Verdana"/>
          <w:sz w:val="20"/>
          <w:szCs w:val="20"/>
          <w:lang w:val="es-CR"/>
        </w:rPr>
        <w:t xml:space="preserve">El </w:t>
      </w:r>
      <w:r w:rsidR="00A809EE">
        <w:rPr>
          <w:rFonts w:ascii="Verdana" w:hAnsi="Verdana"/>
          <w:sz w:val="20"/>
          <w:szCs w:val="20"/>
          <w:lang w:val="es-CR"/>
        </w:rPr>
        <w:t>12 de septiembre de 2017</w:t>
      </w:r>
      <w:r w:rsidR="00A4757E">
        <w:rPr>
          <w:rFonts w:ascii="Verdana" w:hAnsi="Verdana"/>
          <w:sz w:val="20"/>
          <w:szCs w:val="20"/>
          <w:lang w:val="es-CR"/>
        </w:rPr>
        <w:t xml:space="preserve">, el señor He Long </w:t>
      </w:r>
      <w:proofErr w:type="spellStart"/>
      <w:r w:rsidR="00A4757E">
        <w:rPr>
          <w:rFonts w:ascii="Verdana" w:hAnsi="Verdana"/>
          <w:sz w:val="20"/>
          <w:szCs w:val="20"/>
          <w:lang w:val="es-CR"/>
        </w:rPr>
        <w:t>Huang</w:t>
      </w:r>
      <w:proofErr w:type="spellEnd"/>
      <w:r w:rsidR="00A4757E">
        <w:rPr>
          <w:rFonts w:ascii="Verdana" w:hAnsi="Verdana"/>
          <w:sz w:val="20"/>
          <w:szCs w:val="20"/>
          <w:lang w:val="es-CR"/>
        </w:rPr>
        <w:t xml:space="preserve"> </w:t>
      </w:r>
      <w:proofErr w:type="spellStart"/>
      <w:r w:rsidR="00A4757E">
        <w:rPr>
          <w:rFonts w:ascii="Verdana" w:hAnsi="Verdana"/>
          <w:sz w:val="20"/>
          <w:szCs w:val="20"/>
          <w:lang w:val="es-CR"/>
        </w:rPr>
        <w:t>Huang</w:t>
      </w:r>
      <w:proofErr w:type="spellEnd"/>
      <w:r w:rsidR="00A4757E">
        <w:rPr>
          <w:rFonts w:ascii="Verdana" w:hAnsi="Verdana"/>
          <w:sz w:val="20"/>
          <w:szCs w:val="20"/>
          <w:lang w:val="es-CR"/>
        </w:rPr>
        <w:t xml:space="preserve"> indicó que “</w:t>
      </w:r>
      <w:proofErr w:type="spellStart"/>
      <w:r w:rsidR="00A4757E">
        <w:rPr>
          <w:rFonts w:ascii="Verdana" w:hAnsi="Verdana"/>
          <w:sz w:val="20"/>
          <w:szCs w:val="20"/>
          <w:lang w:val="es-CR"/>
        </w:rPr>
        <w:t>acept</w:t>
      </w:r>
      <w:proofErr w:type="spellEnd"/>
      <w:r w:rsidR="009C2719">
        <w:rPr>
          <w:rFonts w:ascii="Verdana" w:hAnsi="Verdana"/>
          <w:sz w:val="20"/>
          <w:szCs w:val="20"/>
          <w:lang w:val="es-CR"/>
        </w:rPr>
        <w:t>[</w:t>
      </w:r>
      <w:proofErr w:type="spellStart"/>
      <w:r w:rsidR="009C2719">
        <w:rPr>
          <w:rFonts w:ascii="Verdana" w:hAnsi="Verdana"/>
          <w:sz w:val="20"/>
          <w:szCs w:val="20"/>
          <w:lang w:val="es-CR"/>
        </w:rPr>
        <w:t>ó</w:t>
      </w:r>
      <w:proofErr w:type="spellEnd"/>
      <w:r w:rsidR="0032593A">
        <w:rPr>
          <w:rFonts w:ascii="Verdana" w:hAnsi="Verdana"/>
          <w:sz w:val="20"/>
          <w:szCs w:val="20"/>
          <w:lang w:val="es-CR"/>
        </w:rPr>
        <w:t>]</w:t>
      </w:r>
      <w:r w:rsidR="00A4757E">
        <w:rPr>
          <w:rFonts w:ascii="Verdana" w:hAnsi="Verdana"/>
          <w:sz w:val="20"/>
          <w:szCs w:val="20"/>
          <w:lang w:val="es-CR"/>
        </w:rPr>
        <w:t xml:space="preserve"> la representación de </w:t>
      </w:r>
      <w:r w:rsidR="003750EC">
        <w:rPr>
          <w:rFonts w:ascii="Verdana" w:hAnsi="Verdana"/>
          <w:sz w:val="20"/>
          <w:szCs w:val="20"/>
          <w:lang w:val="es-CR"/>
        </w:rPr>
        <w:t>[su]</w:t>
      </w:r>
      <w:r w:rsidR="00A4757E">
        <w:rPr>
          <w:rFonts w:ascii="Verdana" w:hAnsi="Verdana"/>
          <w:sz w:val="20"/>
          <w:szCs w:val="20"/>
          <w:lang w:val="es-CR"/>
        </w:rPr>
        <w:t xml:space="preserve"> hermano Wong Ho </w:t>
      </w:r>
      <w:proofErr w:type="spellStart"/>
      <w:r w:rsidR="00A4757E">
        <w:rPr>
          <w:rFonts w:ascii="Verdana" w:hAnsi="Verdana"/>
          <w:sz w:val="20"/>
          <w:szCs w:val="20"/>
          <w:lang w:val="es-CR"/>
        </w:rPr>
        <w:t>Wing</w:t>
      </w:r>
      <w:proofErr w:type="spellEnd"/>
      <w:r w:rsidR="00A4757E">
        <w:rPr>
          <w:rFonts w:ascii="Verdana" w:hAnsi="Verdana"/>
          <w:sz w:val="20"/>
          <w:szCs w:val="20"/>
          <w:lang w:val="es-CR"/>
        </w:rPr>
        <w:t xml:space="preserve">”. Sin embargo, con posterioridad a dicha comunicación, el referido representante no ha </w:t>
      </w:r>
      <w:r w:rsidR="00377849">
        <w:rPr>
          <w:rFonts w:ascii="Verdana" w:hAnsi="Verdana"/>
          <w:sz w:val="20"/>
          <w:szCs w:val="20"/>
          <w:lang w:val="es-CR"/>
        </w:rPr>
        <w:t xml:space="preserve">remitido </w:t>
      </w:r>
      <w:r w:rsidR="00A4757E">
        <w:rPr>
          <w:rFonts w:ascii="Verdana" w:hAnsi="Verdana"/>
          <w:sz w:val="20"/>
          <w:szCs w:val="20"/>
          <w:lang w:val="es-CR"/>
        </w:rPr>
        <w:t xml:space="preserve">observación alguna a los informes presentados por el Estado. En consecuencia, </w:t>
      </w:r>
      <w:r w:rsidR="00C26954">
        <w:rPr>
          <w:rFonts w:ascii="Verdana" w:hAnsi="Verdana"/>
          <w:sz w:val="20"/>
          <w:szCs w:val="20"/>
          <w:lang w:val="es-CR"/>
        </w:rPr>
        <w:t xml:space="preserve">la Corte valorará el nivel de cumplimiento de las reparaciones con </w:t>
      </w:r>
      <w:r w:rsidR="00A4757E">
        <w:rPr>
          <w:rFonts w:ascii="Verdana" w:hAnsi="Verdana"/>
          <w:sz w:val="20"/>
          <w:szCs w:val="20"/>
          <w:lang w:val="es-CR"/>
        </w:rPr>
        <w:t>la información disponible en el expediente.</w:t>
      </w:r>
      <w:bookmarkEnd w:id="3"/>
      <w:r w:rsidR="00A4757E">
        <w:rPr>
          <w:rFonts w:ascii="Verdana" w:hAnsi="Verdana"/>
          <w:sz w:val="20"/>
          <w:szCs w:val="20"/>
          <w:lang w:val="es-CR"/>
        </w:rPr>
        <w:t xml:space="preserve"> </w:t>
      </w:r>
    </w:p>
    <w:p w:rsidR="008B3C74" w:rsidRPr="0032593A" w:rsidRDefault="008B3C74" w:rsidP="00104EC6">
      <w:pPr>
        <w:pStyle w:val="ListParagraph"/>
        <w:spacing w:after="100"/>
        <w:rPr>
          <w:rFonts w:ascii="Verdana" w:hAnsi="Verdana"/>
          <w:sz w:val="20"/>
          <w:szCs w:val="20"/>
          <w:lang w:val="es-CR"/>
        </w:rPr>
      </w:pPr>
    </w:p>
    <w:p w:rsidR="00DC4FAC" w:rsidRDefault="00A46639" w:rsidP="00104EC6">
      <w:pPr>
        <w:pStyle w:val="ListParagraph"/>
        <w:numPr>
          <w:ilvl w:val="0"/>
          <w:numId w:val="2"/>
        </w:numPr>
        <w:spacing w:after="100" w:line="240" w:lineRule="auto"/>
        <w:ind w:left="0" w:firstLine="0"/>
        <w:jc w:val="both"/>
        <w:rPr>
          <w:rFonts w:ascii="Verdana" w:hAnsi="Verdana"/>
          <w:sz w:val="20"/>
          <w:szCs w:val="20"/>
          <w:lang w:val="es-CR"/>
        </w:rPr>
      </w:pPr>
      <w:bookmarkStart w:id="4" w:name="_Ref530752057"/>
      <w:r>
        <w:rPr>
          <w:rFonts w:ascii="Verdana" w:hAnsi="Verdana"/>
          <w:sz w:val="20"/>
          <w:szCs w:val="20"/>
          <w:lang w:val="es-CR"/>
        </w:rPr>
        <w:t>En la presente Resolución, la Corte se pronunciará sobre la totalidad de las medidas de reparación</w:t>
      </w:r>
      <w:r w:rsidR="006162B8">
        <w:rPr>
          <w:rFonts w:ascii="Verdana" w:hAnsi="Verdana"/>
          <w:sz w:val="20"/>
          <w:szCs w:val="20"/>
          <w:lang w:val="es-CR"/>
        </w:rPr>
        <w:t xml:space="preserve"> pendientes</w:t>
      </w:r>
      <w:r w:rsidR="00B62F82" w:rsidRPr="00B62F82">
        <w:rPr>
          <w:rFonts w:ascii="Verdana" w:hAnsi="Verdana"/>
          <w:sz w:val="20"/>
          <w:szCs w:val="20"/>
          <w:lang w:val="es-CR"/>
        </w:rPr>
        <w:t xml:space="preserve">. </w:t>
      </w:r>
      <w:r w:rsidR="00B62F82">
        <w:rPr>
          <w:rFonts w:ascii="Verdana" w:hAnsi="Verdana"/>
          <w:sz w:val="20"/>
          <w:szCs w:val="20"/>
          <w:lang w:val="es-CR"/>
        </w:rPr>
        <w:t>El Tribunal estructurará sus consideraciones en el siguiente orden:</w:t>
      </w:r>
      <w:bookmarkEnd w:id="4"/>
      <w:r w:rsidR="00B62F82">
        <w:rPr>
          <w:rFonts w:ascii="Verdana" w:hAnsi="Verdana"/>
          <w:sz w:val="20"/>
          <w:szCs w:val="20"/>
          <w:lang w:val="es-CR"/>
        </w:rPr>
        <w:t xml:space="preserve"> </w:t>
      </w:r>
    </w:p>
    <w:p w:rsidR="00EF48B0" w:rsidRDefault="00EF48B0" w:rsidP="00104EC6">
      <w:pPr>
        <w:pStyle w:val="ListParagraph"/>
        <w:spacing w:after="100" w:line="240" w:lineRule="auto"/>
        <w:ind w:left="0"/>
        <w:jc w:val="both"/>
        <w:rPr>
          <w:rFonts w:ascii="Verdana" w:hAnsi="Verdana"/>
          <w:sz w:val="20"/>
          <w:szCs w:val="20"/>
          <w:lang w:val="es-CR"/>
        </w:rPr>
      </w:pPr>
    </w:p>
    <w:p w:rsidR="009C2719" w:rsidRPr="009C2719" w:rsidRDefault="00EF48B0" w:rsidP="00104EC6">
      <w:pPr>
        <w:pStyle w:val="TOC1"/>
        <w:tabs>
          <w:tab w:val="left" w:pos="660"/>
          <w:tab w:val="left" w:pos="8789"/>
        </w:tabs>
        <w:spacing w:line="240" w:lineRule="auto"/>
        <w:ind w:left="660" w:right="571"/>
        <w:jc w:val="both"/>
        <w:rPr>
          <w:rFonts w:ascii="Verdana" w:eastAsiaTheme="minorEastAsia" w:hAnsi="Verdana"/>
          <w:i/>
          <w:noProof/>
          <w:sz w:val="16"/>
          <w:szCs w:val="20"/>
          <w:lang w:val="es-CR" w:eastAsia="es-CR"/>
        </w:rPr>
      </w:pPr>
      <w:r w:rsidRPr="009C2719">
        <w:rPr>
          <w:rFonts w:ascii="Verdana" w:hAnsi="Verdana"/>
          <w:i/>
          <w:sz w:val="16"/>
          <w:szCs w:val="20"/>
          <w:lang w:val="es-CR"/>
        </w:rPr>
        <w:fldChar w:fldCharType="begin"/>
      </w:r>
      <w:r w:rsidRPr="009C2719">
        <w:rPr>
          <w:rFonts w:ascii="Verdana" w:hAnsi="Verdana"/>
          <w:i/>
          <w:sz w:val="16"/>
          <w:szCs w:val="20"/>
          <w:lang w:val="es-CR"/>
        </w:rPr>
        <w:instrText xml:space="preserve"> TOC \o "1-3" \h \z \u </w:instrText>
      </w:r>
      <w:r w:rsidRPr="009C2719">
        <w:rPr>
          <w:rFonts w:ascii="Verdana" w:hAnsi="Verdana"/>
          <w:i/>
          <w:sz w:val="16"/>
          <w:szCs w:val="20"/>
          <w:lang w:val="es-CR"/>
        </w:rPr>
        <w:fldChar w:fldCharType="separate"/>
      </w:r>
      <w:hyperlink w:anchor="_Toc526862724" w:history="1">
        <w:r w:rsidR="009C2719" w:rsidRPr="009C2719">
          <w:rPr>
            <w:rStyle w:val="Hyperlink"/>
            <w:rFonts w:ascii="Verdana" w:hAnsi="Verdana"/>
            <w:i/>
            <w:noProof/>
            <w:sz w:val="16"/>
            <w:szCs w:val="20"/>
            <w:lang w:val="es-CR"/>
          </w:rPr>
          <w:t>A.Revisar la privación de libertad del señor Wong Ho Wing</w:t>
        </w:r>
        <w:r w:rsidR="009C2719" w:rsidRPr="009C2719">
          <w:rPr>
            <w:rFonts w:ascii="Verdana" w:hAnsi="Verdana"/>
            <w:i/>
            <w:noProof/>
            <w:webHidden/>
            <w:sz w:val="16"/>
            <w:szCs w:val="20"/>
          </w:rPr>
          <w:tab/>
        </w:r>
        <w:r w:rsidR="009C2719" w:rsidRPr="009C2719">
          <w:rPr>
            <w:rFonts w:ascii="Verdana" w:hAnsi="Verdana"/>
            <w:i/>
            <w:noProof/>
            <w:webHidden/>
            <w:sz w:val="16"/>
            <w:szCs w:val="20"/>
          </w:rPr>
          <w:fldChar w:fldCharType="begin"/>
        </w:r>
        <w:r w:rsidR="009C2719" w:rsidRPr="009C2719">
          <w:rPr>
            <w:rFonts w:ascii="Verdana" w:hAnsi="Verdana"/>
            <w:i/>
            <w:noProof/>
            <w:webHidden/>
            <w:sz w:val="16"/>
            <w:szCs w:val="20"/>
          </w:rPr>
          <w:instrText xml:space="preserve"> PAGEREF _Toc526862724 \h </w:instrText>
        </w:r>
        <w:r w:rsidR="009C2719" w:rsidRPr="009C2719">
          <w:rPr>
            <w:rFonts w:ascii="Verdana" w:hAnsi="Verdana"/>
            <w:i/>
            <w:noProof/>
            <w:webHidden/>
            <w:sz w:val="16"/>
            <w:szCs w:val="20"/>
          </w:rPr>
        </w:r>
        <w:r w:rsidR="009C2719" w:rsidRPr="009C2719">
          <w:rPr>
            <w:rFonts w:ascii="Verdana" w:hAnsi="Verdana"/>
            <w:i/>
            <w:noProof/>
            <w:webHidden/>
            <w:sz w:val="16"/>
            <w:szCs w:val="20"/>
          </w:rPr>
          <w:fldChar w:fldCharType="separate"/>
        </w:r>
        <w:r w:rsidR="0003569E">
          <w:rPr>
            <w:rFonts w:ascii="Verdana" w:hAnsi="Verdana"/>
            <w:i/>
            <w:noProof/>
            <w:webHidden/>
            <w:sz w:val="16"/>
            <w:szCs w:val="20"/>
          </w:rPr>
          <w:t>3</w:t>
        </w:r>
        <w:r w:rsidR="009C2719" w:rsidRPr="009C2719">
          <w:rPr>
            <w:rFonts w:ascii="Verdana" w:hAnsi="Verdana"/>
            <w:i/>
            <w:noProof/>
            <w:webHidden/>
            <w:sz w:val="16"/>
            <w:szCs w:val="20"/>
          </w:rPr>
          <w:fldChar w:fldCharType="end"/>
        </w:r>
      </w:hyperlink>
    </w:p>
    <w:p w:rsidR="009C2719" w:rsidRPr="009C2719" w:rsidRDefault="0003569E" w:rsidP="00104EC6">
      <w:pPr>
        <w:pStyle w:val="TOC1"/>
        <w:tabs>
          <w:tab w:val="left" w:pos="660"/>
          <w:tab w:val="left" w:pos="8789"/>
        </w:tabs>
        <w:spacing w:line="240" w:lineRule="auto"/>
        <w:ind w:left="660" w:right="571"/>
        <w:jc w:val="both"/>
        <w:rPr>
          <w:rFonts w:ascii="Verdana" w:eastAsiaTheme="minorEastAsia" w:hAnsi="Verdana"/>
          <w:i/>
          <w:noProof/>
          <w:sz w:val="16"/>
          <w:szCs w:val="20"/>
          <w:lang w:val="es-CR" w:eastAsia="es-CR"/>
        </w:rPr>
      </w:pPr>
      <w:hyperlink w:anchor="_Toc526862725" w:history="1">
        <w:r w:rsidR="009C2719" w:rsidRPr="009C2719">
          <w:rPr>
            <w:rStyle w:val="Hyperlink"/>
            <w:rFonts w:ascii="Verdana" w:hAnsi="Verdana"/>
            <w:i/>
            <w:noProof/>
            <w:sz w:val="16"/>
            <w:szCs w:val="20"/>
            <w:lang w:val="es-CR"/>
          </w:rPr>
          <w:t>B.Publicación y difusión de la Sentencia</w:t>
        </w:r>
        <w:r w:rsidR="009C2719" w:rsidRPr="009C2719">
          <w:rPr>
            <w:rFonts w:ascii="Verdana" w:hAnsi="Verdana"/>
            <w:i/>
            <w:noProof/>
            <w:webHidden/>
            <w:sz w:val="16"/>
            <w:szCs w:val="20"/>
          </w:rPr>
          <w:tab/>
        </w:r>
        <w:r w:rsidR="009C2719" w:rsidRPr="009C2719">
          <w:rPr>
            <w:rFonts w:ascii="Verdana" w:hAnsi="Verdana"/>
            <w:i/>
            <w:noProof/>
            <w:webHidden/>
            <w:sz w:val="16"/>
            <w:szCs w:val="20"/>
          </w:rPr>
          <w:fldChar w:fldCharType="begin"/>
        </w:r>
        <w:r w:rsidR="009C2719" w:rsidRPr="009C2719">
          <w:rPr>
            <w:rFonts w:ascii="Verdana" w:hAnsi="Verdana"/>
            <w:i/>
            <w:noProof/>
            <w:webHidden/>
            <w:sz w:val="16"/>
            <w:szCs w:val="20"/>
          </w:rPr>
          <w:instrText xml:space="preserve"> PAGEREF _Toc526862725 \h </w:instrText>
        </w:r>
        <w:r w:rsidR="009C2719" w:rsidRPr="009C2719">
          <w:rPr>
            <w:rFonts w:ascii="Verdana" w:hAnsi="Verdana"/>
            <w:i/>
            <w:noProof/>
            <w:webHidden/>
            <w:sz w:val="16"/>
            <w:szCs w:val="20"/>
          </w:rPr>
        </w:r>
        <w:r w:rsidR="009C2719" w:rsidRPr="009C2719">
          <w:rPr>
            <w:rFonts w:ascii="Verdana" w:hAnsi="Verdana"/>
            <w:i/>
            <w:noProof/>
            <w:webHidden/>
            <w:sz w:val="16"/>
            <w:szCs w:val="20"/>
          </w:rPr>
          <w:fldChar w:fldCharType="separate"/>
        </w:r>
        <w:r>
          <w:rPr>
            <w:rFonts w:ascii="Verdana" w:hAnsi="Verdana"/>
            <w:i/>
            <w:noProof/>
            <w:webHidden/>
            <w:sz w:val="16"/>
            <w:szCs w:val="20"/>
          </w:rPr>
          <w:t>4</w:t>
        </w:r>
        <w:r w:rsidR="009C2719" w:rsidRPr="009C2719">
          <w:rPr>
            <w:rFonts w:ascii="Verdana" w:hAnsi="Verdana"/>
            <w:i/>
            <w:noProof/>
            <w:webHidden/>
            <w:sz w:val="16"/>
            <w:szCs w:val="20"/>
          </w:rPr>
          <w:fldChar w:fldCharType="end"/>
        </w:r>
      </w:hyperlink>
    </w:p>
    <w:p w:rsidR="009C2719" w:rsidRPr="009C2719" w:rsidRDefault="0003569E" w:rsidP="00104EC6">
      <w:pPr>
        <w:pStyle w:val="TOC1"/>
        <w:tabs>
          <w:tab w:val="left" w:pos="660"/>
          <w:tab w:val="left" w:pos="8789"/>
        </w:tabs>
        <w:spacing w:line="240" w:lineRule="auto"/>
        <w:ind w:left="660" w:right="571"/>
        <w:jc w:val="both"/>
        <w:rPr>
          <w:rFonts w:ascii="Verdana" w:eastAsiaTheme="minorEastAsia" w:hAnsi="Verdana"/>
          <w:i/>
          <w:noProof/>
          <w:sz w:val="16"/>
          <w:szCs w:val="20"/>
          <w:lang w:val="es-CR" w:eastAsia="es-CR"/>
        </w:rPr>
      </w:pPr>
      <w:hyperlink w:anchor="_Toc526862726" w:history="1">
        <w:r w:rsidR="009C2719" w:rsidRPr="009C2719">
          <w:rPr>
            <w:rStyle w:val="Hyperlink"/>
            <w:rFonts w:ascii="Verdana" w:hAnsi="Verdana"/>
            <w:i/>
            <w:noProof/>
            <w:sz w:val="16"/>
            <w:szCs w:val="20"/>
            <w:lang w:val="es-CR"/>
          </w:rPr>
          <w:t>C.Indemnización por daño material e inmaterial y reintegro de costas y gastos</w:t>
        </w:r>
        <w:r w:rsidR="009C2719" w:rsidRPr="009C2719">
          <w:rPr>
            <w:rFonts w:ascii="Verdana" w:hAnsi="Verdana"/>
            <w:i/>
            <w:noProof/>
            <w:webHidden/>
            <w:sz w:val="16"/>
            <w:szCs w:val="20"/>
          </w:rPr>
          <w:tab/>
        </w:r>
        <w:r w:rsidR="009C2719" w:rsidRPr="009C2719">
          <w:rPr>
            <w:rFonts w:ascii="Verdana" w:hAnsi="Verdana"/>
            <w:i/>
            <w:noProof/>
            <w:webHidden/>
            <w:sz w:val="16"/>
            <w:szCs w:val="20"/>
          </w:rPr>
          <w:fldChar w:fldCharType="begin"/>
        </w:r>
        <w:r w:rsidR="009C2719" w:rsidRPr="009C2719">
          <w:rPr>
            <w:rFonts w:ascii="Verdana" w:hAnsi="Verdana"/>
            <w:i/>
            <w:noProof/>
            <w:webHidden/>
            <w:sz w:val="16"/>
            <w:szCs w:val="20"/>
          </w:rPr>
          <w:instrText xml:space="preserve"> PAGEREF _Toc526862726 \h </w:instrText>
        </w:r>
        <w:r w:rsidR="009C2719" w:rsidRPr="009C2719">
          <w:rPr>
            <w:rFonts w:ascii="Verdana" w:hAnsi="Verdana"/>
            <w:i/>
            <w:noProof/>
            <w:webHidden/>
            <w:sz w:val="16"/>
            <w:szCs w:val="20"/>
          </w:rPr>
        </w:r>
        <w:r w:rsidR="009C2719" w:rsidRPr="009C2719">
          <w:rPr>
            <w:rFonts w:ascii="Verdana" w:hAnsi="Verdana"/>
            <w:i/>
            <w:noProof/>
            <w:webHidden/>
            <w:sz w:val="16"/>
            <w:szCs w:val="20"/>
          </w:rPr>
          <w:fldChar w:fldCharType="separate"/>
        </w:r>
        <w:r>
          <w:rPr>
            <w:rFonts w:ascii="Verdana" w:hAnsi="Verdana"/>
            <w:i/>
            <w:noProof/>
            <w:webHidden/>
            <w:sz w:val="16"/>
            <w:szCs w:val="20"/>
          </w:rPr>
          <w:t>4</w:t>
        </w:r>
        <w:r w:rsidR="009C2719" w:rsidRPr="009C2719">
          <w:rPr>
            <w:rFonts w:ascii="Verdana" w:hAnsi="Verdana"/>
            <w:i/>
            <w:noProof/>
            <w:webHidden/>
            <w:sz w:val="16"/>
            <w:szCs w:val="20"/>
          </w:rPr>
          <w:fldChar w:fldCharType="end"/>
        </w:r>
      </w:hyperlink>
    </w:p>
    <w:p w:rsidR="00EF48B0" w:rsidRPr="00EF48B0" w:rsidRDefault="00EF48B0" w:rsidP="00104EC6">
      <w:pPr>
        <w:tabs>
          <w:tab w:val="left" w:pos="8789"/>
        </w:tabs>
        <w:spacing w:after="100" w:line="240" w:lineRule="auto"/>
        <w:ind w:left="660" w:right="571"/>
        <w:jc w:val="both"/>
        <w:rPr>
          <w:rFonts w:ascii="Verdana" w:hAnsi="Verdana"/>
          <w:sz w:val="20"/>
          <w:szCs w:val="20"/>
          <w:lang w:val="es-CR"/>
        </w:rPr>
      </w:pPr>
      <w:r w:rsidRPr="009C2719">
        <w:rPr>
          <w:rFonts w:ascii="Verdana" w:hAnsi="Verdana"/>
          <w:i/>
          <w:sz w:val="16"/>
          <w:szCs w:val="20"/>
          <w:lang w:val="es-CR"/>
        </w:rPr>
        <w:fldChar w:fldCharType="end"/>
      </w:r>
    </w:p>
    <w:p w:rsidR="00A46639" w:rsidRPr="00B62F82" w:rsidRDefault="00A46639" w:rsidP="00104EC6">
      <w:pPr>
        <w:pStyle w:val="Heading1"/>
        <w:numPr>
          <w:ilvl w:val="0"/>
          <w:numId w:val="15"/>
        </w:numPr>
        <w:spacing w:after="100"/>
        <w:rPr>
          <w:rFonts w:ascii="Verdana" w:hAnsi="Verdana"/>
          <w:color w:val="auto"/>
          <w:sz w:val="20"/>
          <w:szCs w:val="20"/>
          <w:lang w:val="es-CR"/>
        </w:rPr>
      </w:pPr>
      <w:bookmarkStart w:id="5" w:name="_Toc526862724"/>
      <w:bookmarkStart w:id="6" w:name="_Toc506975458"/>
      <w:r w:rsidRPr="00B62F82">
        <w:rPr>
          <w:rFonts w:ascii="Verdana" w:hAnsi="Verdana"/>
          <w:color w:val="auto"/>
          <w:sz w:val="20"/>
          <w:szCs w:val="20"/>
          <w:lang w:val="es-CR"/>
        </w:rPr>
        <w:t xml:space="preserve">Revisar la privación de libertad del señor Wong Ho </w:t>
      </w:r>
      <w:proofErr w:type="spellStart"/>
      <w:r w:rsidRPr="00B62F82">
        <w:rPr>
          <w:rFonts w:ascii="Verdana" w:hAnsi="Verdana"/>
          <w:color w:val="auto"/>
          <w:sz w:val="20"/>
          <w:szCs w:val="20"/>
          <w:lang w:val="es-CR"/>
        </w:rPr>
        <w:t>Wing</w:t>
      </w:r>
      <w:bookmarkEnd w:id="5"/>
      <w:proofErr w:type="spellEnd"/>
    </w:p>
    <w:p w:rsidR="00A46639" w:rsidRPr="00D33461" w:rsidRDefault="00A46639" w:rsidP="00104EC6">
      <w:pPr>
        <w:spacing w:after="100" w:line="240" w:lineRule="auto"/>
        <w:jc w:val="both"/>
        <w:rPr>
          <w:rFonts w:ascii="Verdana" w:hAnsi="Verdana"/>
          <w:sz w:val="20"/>
          <w:lang w:val="es-CR"/>
        </w:rPr>
      </w:pPr>
    </w:p>
    <w:p w:rsidR="00A46639" w:rsidRDefault="00AD4329" w:rsidP="00104EC6">
      <w:pPr>
        <w:spacing w:after="100" w:line="240" w:lineRule="auto"/>
        <w:ind w:left="360" w:firstLine="360"/>
        <w:rPr>
          <w:rFonts w:ascii="Verdana" w:hAnsi="Verdana"/>
          <w:i/>
          <w:sz w:val="20"/>
          <w:szCs w:val="20"/>
          <w:lang w:val="es-CR"/>
        </w:rPr>
      </w:pPr>
      <w:r>
        <w:rPr>
          <w:rFonts w:ascii="Verdana" w:hAnsi="Verdana"/>
          <w:i/>
          <w:sz w:val="20"/>
          <w:szCs w:val="20"/>
          <w:lang w:val="es-CR"/>
        </w:rPr>
        <w:t>A</w:t>
      </w:r>
      <w:r w:rsidR="00A46639">
        <w:rPr>
          <w:rFonts w:ascii="Verdana" w:hAnsi="Verdana"/>
          <w:i/>
          <w:sz w:val="20"/>
          <w:szCs w:val="20"/>
          <w:lang w:val="es-CR"/>
        </w:rPr>
        <w:t>.1. Medida ordenada por la Corte</w:t>
      </w:r>
    </w:p>
    <w:p w:rsidR="00A46639" w:rsidRDefault="00A46639" w:rsidP="00104EC6">
      <w:pPr>
        <w:spacing w:after="100" w:line="240" w:lineRule="auto"/>
        <w:ind w:left="360" w:firstLine="360"/>
        <w:rPr>
          <w:rFonts w:ascii="Verdana" w:hAnsi="Verdana"/>
          <w:i/>
          <w:sz w:val="20"/>
          <w:szCs w:val="20"/>
          <w:lang w:val="es-CR"/>
        </w:rPr>
      </w:pPr>
    </w:p>
    <w:p w:rsidR="00A46639" w:rsidRDefault="00A46639" w:rsidP="00104EC6">
      <w:pPr>
        <w:pStyle w:val="ListParagraph"/>
        <w:numPr>
          <w:ilvl w:val="0"/>
          <w:numId w:val="2"/>
        </w:numPr>
        <w:spacing w:after="100" w:line="240" w:lineRule="auto"/>
        <w:ind w:left="0" w:firstLine="0"/>
        <w:jc w:val="both"/>
        <w:rPr>
          <w:rFonts w:ascii="Verdana" w:hAnsi="Verdana"/>
          <w:sz w:val="20"/>
          <w:szCs w:val="20"/>
          <w:lang w:val="es-CR"/>
        </w:rPr>
      </w:pPr>
      <w:bookmarkStart w:id="7" w:name="_Ref530751065"/>
      <w:r>
        <w:rPr>
          <w:rFonts w:ascii="Verdana" w:hAnsi="Verdana"/>
          <w:sz w:val="20"/>
          <w:szCs w:val="20"/>
          <w:lang w:val="es-CR"/>
        </w:rPr>
        <w:t xml:space="preserve">En el punto resolutivo décimo tercero y en el párrafo 305 de la Sentencia, la Corte ordenó al Estado “revisar inmediatamente la privación de libertad del señor Wong Ho </w:t>
      </w:r>
      <w:proofErr w:type="spellStart"/>
      <w:r>
        <w:rPr>
          <w:rFonts w:ascii="Verdana" w:hAnsi="Verdana"/>
          <w:sz w:val="20"/>
          <w:szCs w:val="20"/>
          <w:lang w:val="es-CR"/>
        </w:rPr>
        <w:t>Wing</w:t>
      </w:r>
      <w:proofErr w:type="spellEnd"/>
      <w:r>
        <w:rPr>
          <w:rFonts w:ascii="Verdana" w:hAnsi="Verdana"/>
          <w:sz w:val="20"/>
          <w:szCs w:val="20"/>
          <w:lang w:val="es-CR"/>
        </w:rPr>
        <w:t xml:space="preserve">, teniendo en cuenta los estándares establecidos en el </w:t>
      </w:r>
      <w:r w:rsidR="00AD4329">
        <w:rPr>
          <w:rFonts w:ascii="Verdana" w:hAnsi="Verdana"/>
          <w:sz w:val="20"/>
          <w:szCs w:val="20"/>
          <w:lang w:val="es-CR"/>
        </w:rPr>
        <w:t>c</w:t>
      </w:r>
      <w:r>
        <w:rPr>
          <w:rFonts w:ascii="Verdana" w:hAnsi="Verdana"/>
          <w:sz w:val="20"/>
          <w:szCs w:val="20"/>
          <w:lang w:val="es-CR"/>
        </w:rPr>
        <w:t>apítulo XI de [la] Sentencia”.</w:t>
      </w:r>
      <w:bookmarkEnd w:id="7"/>
    </w:p>
    <w:p w:rsidR="00A46639" w:rsidRDefault="00A46639" w:rsidP="00104EC6">
      <w:pPr>
        <w:spacing w:after="100"/>
        <w:rPr>
          <w:rFonts w:ascii="Verdana" w:hAnsi="Verdana"/>
          <w:i/>
          <w:sz w:val="20"/>
          <w:szCs w:val="20"/>
          <w:lang w:val="es-CR"/>
        </w:rPr>
      </w:pPr>
    </w:p>
    <w:p w:rsidR="00A46639" w:rsidRPr="00EF48B0" w:rsidRDefault="00AD4329" w:rsidP="00104EC6">
      <w:pPr>
        <w:spacing w:after="100"/>
        <w:ind w:firstLine="720"/>
        <w:rPr>
          <w:rFonts w:ascii="Verdana" w:hAnsi="Verdana"/>
          <w:sz w:val="20"/>
          <w:szCs w:val="20"/>
          <w:lang w:val="es-CR"/>
        </w:rPr>
      </w:pPr>
      <w:r>
        <w:rPr>
          <w:rFonts w:ascii="Verdana" w:hAnsi="Verdana"/>
          <w:i/>
          <w:sz w:val="20"/>
          <w:szCs w:val="20"/>
          <w:lang w:val="es-CR"/>
        </w:rPr>
        <w:t>A</w:t>
      </w:r>
      <w:r w:rsidR="00A46639" w:rsidRPr="00EF48B0">
        <w:rPr>
          <w:rFonts w:ascii="Verdana" w:hAnsi="Verdana"/>
          <w:i/>
          <w:sz w:val="20"/>
          <w:szCs w:val="20"/>
          <w:lang w:val="es-CR"/>
        </w:rPr>
        <w:t>.2. Consideraciones de la Corte</w:t>
      </w:r>
    </w:p>
    <w:p w:rsidR="00A46639" w:rsidRPr="00EF48B0" w:rsidRDefault="00A46639" w:rsidP="00104EC6">
      <w:pPr>
        <w:pStyle w:val="ListParagraph"/>
        <w:numPr>
          <w:ilvl w:val="0"/>
          <w:numId w:val="2"/>
        </w:numPr>
        <w:spacing w:after="100" w:line="240" w:lineRule="auto"/>
        <w:ind w:left="0" w:firstLine="0"/>
        <w:jc w:val="both"/>
        <w:rPr>
          <w:rFonts w:ascii="Verdana" w:hAnsi="Verdana"/>
          <w:sz w:val="20"/>
          <w:szCs w:val="20"/>
          <w:lang w:val="es-CR"/>
        </w:rPr>
      </w:pPr>
      <w:r>
        <w:rPr>
          <w:rFonts w:ascii="Verdana" w:hAnsi="Verdana"/>
          <w:sz w:val="20"/>
          <w:szCs w:val="20"/>
          <w:lang w:val="es-CR"/>
        </w:rPr>
        <w:t xml:space="preserve">Con posterioridad a </w:t>
      </w:r>
      <w:r w:rsidR="00554E50">
        <w:rPr>
          <w:rFonts w:ascii="Verdana" w:hAnsi="Verdana"/>
          <w:sz w:val="20"/>
          <w:szCs w:val="20"/>
          <w:lang w:val="es-CR"/>
        </w:rPr>
        <w:t>la referida</w:t>
      </w:r>
      <w:r>
        <w:rPr>
          <w:rFonts w:ascii="Verdana" w:hAnsi="Verdana"/>
          <w:sz w:val="20"/>
          <w:szCs w:val="20"/>
          <w:lang w:val="es-CR"/>
        </w:rPr>
        <w:t xml:space="preserve"> Resolución</w:t>
      </w:r>
      <w:r w:rsidR="00554E50">
        <w:rPr>
          <w:rFonts w:ascii="Verdana" w:hAnsi="Verdana"/>
          <w:sz w:val="20"/>
          <w:szCs w:val="20"/>
          <w:lang w:val="es-CR"/>
        </w:rPr>
        <w:t xml:space="preserve"> de</w:t>
      </w:r>
      <w:r w:rsidR="002D0E86">
        <w:rPr>
          <w:rFonts w:ascii="Verdana" w:hAnsi="Verdana"/>
          <w:sz w:val="20"/>
          <w:szCs w:val="20"/>
          <w:lang w:val="es-CR"/>
        </w:rPr>
        <w:t xml:space="preserve"> junio de</w:t>
      </w:r>
      <w:r w:rsidR="00554E50">
        <w:rPr>
          <w:rFonts w:ascii="Verdana" w:hAnsi="Verdana"/>
          <w:sz w:val="20"/>
          <w:szCs w:val="20"/>
          <w:lang w:val="es-CR"/>
        </w:rPr>
        <w:t xml:space="preserve"> 2016 (</w:t>
      </w:r>
      <w:r w:rsidR="00554E50" w:rsidRPr="00554E50">
        <w:rPr>
          <w:rFonts w:ascii="Verdana" w:hAnsi="Verdana"/>
          <w:i/>
          <w:sz w:val="20"/>
          <w:szCs w:val="20"/>
          <w:lang w:val="es-CR"/>
        </w:rPr>
        <w:t>supra</w:t>
      </w:r>
      <w:r w:rsidR="00554E50">
        <w:rPr>
          <w:rFonts w:ascii="Verdana" w:hAnsi="Verdana"/>
          <w:sz w:val="20"/>
          <w:szCs w:val="20"/>
          <w:lang w:val="es-CR"/>
        </w:rPr>
        <w:t xml:space="preserve"> Considerando </w:t>
      </w:r>
      <w:r w:rsidR="00E97907">
        <w:rPr>
          <w:rFonts w:ascii="Verdana" w:hAnsi="Verdana"/>
          <w:sz w:val="20"/>
          <w:szCs w:val="20"/>
          <w:lang w:val="es-CR"/>
        </w:rPr>
        <w:fldChar w:fldCharType="begin"/>
      </w:r>
      <w:r w:rsidR="00E97907">
        <w:rPr>
          <w:rFonts w:ascii="Verdana" w:hAnsi="Verdana"/>
          <w:sz w:val="20"/>
          <w:szCs w:val="20"/>
          <w:lang w:val="es-CR"/>
        </w:rPr>
        <w:instrText xml:space="preserve"> REF _Ref530653102 \r \h </w:instrText>
      </w:r>
      <w:r w:rsidR="00E97907">
        <w:rPr>
          <w:rFonts w:ascii="Verdana" w:hAnsi="Verdana"/>
          <w:sz w:val="20"/>
          <w:szCs w:val="20"/>
          <w:lang w:val="es-CR"/>
        </w:rPr>
      </w:r>
      <w:r w:rsidR="00E97907">
        <w:rPr>
          <w:rFonts w:ascii="Verdana" w:hAnsi="Verdana"/>
          <w:sz w:val="20"/>
          <w:szCs w:val="20"/>
          <w:lang w:val="es-CR"/>
        </w:rPr>
        <w:fldChar w:fldCharType="separate"/>
      </w:r>
      <w:r w:rsidR="0003569E">
        <w:rPr>
          <w:rFonts w:ascii="Verdana" w:hAnsi="Verdana"/>
          <w:sz w:val="20"/>
          <w:szCs w:val="20"/>
          <w:lang w:val="es-CR"/>
        </w:rPr>
        <w:t>1</w:t>
      </w:r>
      <w:r w:rsidR="00E97907">
        <w:rPr>
          <w:rFonts w:ascii="Verdana" w:hAnsi="Verdana"/>
          <w:sz w:val="20"/>
          <w:szCs w:val="20"/>
          <w:lang w:val="es-CR"/>
        </w:rPr>
        <w:fldChar w:fldCharType="end"/>
      </w:r>
      <w:r w:rsidR="00554E50">
        <w:rPr>
          <w:rFonts w:ascii="Verdana" w:hAnsi="Verdana"/>
          <w:sz w:val="20"/>
          <w:szCs w:val="20"/>
          <w:lang w:val="es-CR"/>
        </w:rPr>
        <w:t>)</w:t>
      </w:r>
      <w:r>
        <w:rPr>
          <w:rFonts w:ascii="Verdana" w:hAnsi="Verdana"/>
          <w:sz w:val="20"/>
          <w:szCs w:val="20"/>
          <w:lang w:val="es-CR"/>
        </w:rPr>
        <w:t xml:space="preserve">, el señor Wong Ho </w:t>
      </w:r>
      <w:proofErr w:type="spellStart"/>
      <w:r>
        <w:rPr>
          <w:rFonts w:ascii="Verdana" w:hAnsi="Verdana"/>
          <w:sz w:val="20"/>
          <w:szCs w:val="20"/>
          <w:lang w:val="es-CR"/>
        </w:rPr>
        <w:t>Wing</w:t>
      </w:r>
      <w:proofErr w:type="spellEnd"/>
      <w:r>
        <w:rPr>
          <w:rFonts w:ascii="Verdana" w:hAnsi="Verdana"/>
          <w:sz w:val="20"/>
          <w:szCs w:val="20"/>
          <w:lang w:val="es-CR"/>
        </w:rPr>
        <w:t xml:space="preserve"> fue extraditado a China el 14 de julio de 2016. Debido a ello, la medida de reparación ordenada en el punto resolutivo décimo tercero carece de objeto por cuanto </w:t>
      </w:r>
      <w:r w:rsidR="00163CBC">
        <w:rPr>
          <w:rFonts w:ascii="Verdana" w:hAnsi="Verdana"/>
          <w:sz w:val="20"/>
          <w:szCs w:val="20"/>
          <w:lang w:val="es-CR"/>
        </w:rPr>
        <w:t xml:space="preserve">la víctima </w:t>
      </w:r>
      <w:r>
        <w:rPr>
          <w:rFonts w:ascii="Verdana" w:hAnsi="Verdana"/>
          <w:sz w:val="20"/>
          <w:szCs w:val="20"/>
          <w:lang w:val="es-CR"/>
        </w:rPr>
        <w:t>ya no se encuentra privad</w:t>
      </w:r>
      <w:r w:rsidR="00163CBC">
        <w:rPr>
          <w:rFonts w:ascii="Verdana" w:hAnsi="Verdana"/>
          <w:sz w:val="20"/>
          <w:szCs w:val="20"/>
          <w:lang w:val="es-CR"/>
        </w:rPr>
        <w:t>a</w:t>
      </w:r>
      <w:r>
        <w:rPr>
          <w:rFonts w:ascii="Verdana" w:hAnsi="Verdana"/>
          <w:sz w:val="20"/>
          <w:szCs w:val="20"/>
          <w:lang w:val="es-CR"/>
        </w:rPr>
        <w:t xml:space="preserve"> de libertad en el Perú. Por lo tanto, la Corte concluye la supervisión de la medida de reparación ordenada en el punto resolutivo décimo tercero de la Sentencia. </w:t>
      </w:r>
    </w:p>
    <w:p w:rsidR="00AA21D2" w:rsidRPr="00AA21D2" w:rsidRDefault="00AA21D2" w:rsidP="00104EC6">
      <w:pPr>
        <w:spacing w:after="100"/>
        <w:rPr>
          <w:lang w:val="es-CR"/>
        </w:rPr>
      </w:pPr>
    </w:p>
    <w:p w:rsidR="003004AD" w:rsidRDefault="003004AD" w:rsidP="00104EC6">
      <w:pPr>
        <w:pStyle w:val="Heading1"/>
        <w:numPr>
          <w:ilvl w:val="0"/>
          <w:numId w:val="15"/>
        </w:numPr>
        <w:spacing w:before="0" w:after="100" w:line="240" w:lineRule="auto"/>
        <w:rPr>
          <w:rFonts w:ascii="Verdana" w:hAnsi="Verdana"/>
          <w:color w:val="auto"/>
          <w:sz w:val="20"/>
          <w:szCs w:val="16"/>
          <w:lang w:val="es-CR"/>
        </w:rPr>
      </w:pPr>
      <w:bookmarkStart w:id="8" w:name="_Toc526862725"/>
      <w:r>
        <w:rPr>
          <w:rFonts w:ascii="Verdana" w:hAnsi="Verdana"/>
          <w:color w:val="auto"/>
          <w:sz w:val="20"/>
          <w:szCs w:val="16"/>
          <w:lang w:val="es-CR"/>
        </w:rPr>
        <w:t>Publicación y difusión de la Sentencia</w:t>
      </w:r>
      <w:bookmarkEnd w:id="6"/>
      <w:bookmarkEnd w:id="8"/>
      <w:r>
        <w:rPr>
          <w:rFonts w:ascii="Verdana" w:hAnsi="Verdana"/>
          <w:color w:val="auto"/>
          <w:sz w:val="20"/>
          <w:szCs w:val="16"/>
          <w:lang w:val="es-CR"/>
        </w:rPr>
        <w:t xml:space="preserve"> </w:t>
      </w:r>
    </w:p>
    <w:p w:rsidR="00481A61" w:rsidRDefault="00481A61" w:rsidP="00104EC6">
      <w:pPr>
        <w:spacing w:after="100" w:line="240" w:lineRule="auto"/>
        <w:ind w:left="360" w:firstLine="360"/>
        <w:rPr>
          <w:rFonts w:ascii="Verdana" w:hAnsi="Verdana"/>
          <w:i/>
          <w:sz w:val="20"/>
          <w:szCs w:val="20"/>
          <w:lang w:val="es-CR"/>
        </w:rPr>
      </w:pPr>
    </w:p>
    <w:p w:rsidR="003004AD" w:rsidRDefault="00FD4E77" w:rsidP="00104EC6">
      <w:pPr>
        <w:spacing w:after="100" w:line="240" w:lineRule="auto"/>
        <w:ind w:left="360" w:firstLine="360"/>
        <w:rPr>
          <w:rFonts w:ascii="Verdana" w:hAnsi="Verdana"/>
          <w:i/>
          <w:sz w:val="20"/>
          <w:szCs w:val="20"/>
          <w:lang w:val="es-CR"/>
        </w:rPr>
      </w:pPr>
      <w:r>
        <w:rPr>
          <w:rFonts w:ascii="Verdana" w:hAnsi="Verdana"/>
          <w:i/>
          <w:sz w:val="20"/>
          <w:szCs w:val="20"/>
          <w:lang w:val="es-CR"/>
        </w:rPr>
        <w:t>B</w:t>
      </w:r>
      <w:r w:rsidR="003004AD">
        <w:rPr>
          <w:rFonts w:ascii="Verdana" w:hAnsi="Verdana"/>
          <w:i/>
          <w:sz w:val="20"/>
          <w:szCs w:val="20"/>
          <w:lang w:val="es-CR"/>
        </w:rPr>
        <w:t>.1. Medida</w:t>
      </w:r>
      <w:r w:rsidR="00045084">
        <w:rPr>
          <w:rFonts w:ascii="Verdana" w:hAnsi="Verdana"/>
          <w:i/>
          <w:sz w:val="20"/>
          <w:szCs w:val="20"/>
          <w:lang w:val="es-CR"/>
        </w:rPr>
        <w:t>s</w:t>
      </w:r>
      <w:r w:rsidR="003004AD">
        <w:rPr>
          <w:rFonts w:ascii="Verdana" w:hAnsi="Verdana"/>
          <w:i/>
          <w:sz w:val="20"/>
          <w:szCs w:val="20"/>
          <w:lang w:val="es-CR"/>
        </w:rPr>
        <w:t xml:space="preserve"> ordenada</w:t>
      </w:r>
      <w:r w:rsidR="00045084">
        <w:rPr>
          <w:rFonts w:ascii="Verdana" w:hAnsi="Verdana"/>
          <w:i/>
          <w:sz w:val="20"/>
          <w:szCs w:val="20"/>
          <w:lang w:val="es-CR"/>
        </w:rPr>
        <w:t>s</w:t>
      </w:r>
      <w:r w:rsidR="003004AD">
        <w:rPr>
          <w:rFonts w:ascii="Verdana" w:hAnsi="Verdana"/>
          <w:i/>
          <w:sz w:val="20"/>
          <w:szCs w:val="20"/>
          <w:lang w:val="es-CR"/>
        </w:rPr>
        <w:t xml:space="preserve"> por la Corte</w:t>
      </w:r>
    </w:p>
    <w:p w:rsidR="00481A61" w:rsidRDefault="00481A61" w:rsidP="00104EC6">
      <w:pPr>
        <w:spacing w:after="100" w:line="240" w:lineRule="auto"/>
        <w:ind w:left="360" w:firstLine="360"/>
        <w:rPr>
          <w:rFonts w:ascii="Verdana" w:hAnsi="Verdana"/>
          <w:i/>
          <w:sz w:val="20"/>
          <w:szCs w:val="20"/>
          <w:lang w:val="es-CR"/>
        </w:rPr>
      </w:pPr>
    </w:p>
    <w:p w:rsidR="00F2322B" w:rsidRDefault="00F2322B" w:rsidP="00104EC6">
      <w:pPr>
        <w:pStyle w:val="ListParagraph"/>
        <w:numPr>
          <w:ilvl w:val="0"/>
          <w:numId w:val="2"/>
        </w:numPr>
        <w:spacing w:after="100" w:line="240" w:lineRule="auto"/>
        <w:ind w:left="0" w:firstLine="0"/>
        <w:jc w:val="both"/>
        <w:rPr>
          <w:rFonts w:ascii="Verdana" w:hAnsi="Verdana"/>
          <w:sz w:val="20"/>
          <w:szCs w:val="20"/>
          <w:lang w:val="es-CR"/>
        </w:rPr>
      </w:pPr>
      <w:bookmarkStart w:id="9" w:name="_Ref530751074"/>
      <w:r>
        <w:rPr>
          <w:rFonts w:ascii="Verdana" w:hAnsi="Verdana"/>
          <w:sz w:val="20"/>
          <w:szCs w:val="20"/>
          <w:lang w:val="es-CR"/>
        </w:rPr>
        <w:t xml:space="preserve">En el punto resolutivo </w:t>
      </w:r>
      <w:r w:rsidR="00B62F82">
        <w:rPr>
          <w:rFonts w:ascii="Verdana" w:hAnsi="Verdana"/>
          <w:sz w:val="20"/>
          <w:szCs w:val="20"/>
          <w:lang w:val="es-CR"/>
        </w:rPr>
        <w:t>décimo cuarto</w:t>
      </w:r>
      <w:r>
        <w:rPr>
          <w:rFonts w:ascii="Verdana" w:hAnsi="Verdana"/>
          <w:sz w:val="20"/>
          <w:szCs w:val="20"/>
          <w:lang w:val="es-CR"/>
        </w:rPr>
        <w:t xml:space="preserve"> y en el párrafo </w:t>
      </w:r>
      <w:r w:rsidR="00B62F82">
        <w:rPr>
          <w:rFonts w:ascii="Verdana" w:hAnsi="Verdana"/>
          <w:sz w:val="20"/>
          <w:szCs w:val="20"/>
          <w:lang w:val="es-CR"/>
        </w:rPr>
        <w:t>307</w:t>
      </w:r>
      <w:r>
        <w:rPr>
          <w:rFonts w:ascii="Verdana" w:hAnsi="Verdana"/>
          <w:sz w:val="20"/>
          <w:szCs w:val="20"/>
          <w:lang w:val="es-CR"/>
        </w:rPr>
        <w:t xml:space="preserve"> de la Senten</w:t>
      </w:r>
      <w:r w:rsidR="004959E0">
        <w:rPr>
          <w:rFonts w:ascii="Verdana" w:hAnsi="Verdana"/>
          <w:sz w:val="20"/>
          <w:szCs w:val="20"/>
          <w:lang w:val="es-CR"/>
        </w:rPr>
        <w:t xml:space="preserve">cia, la Corte ordenó al Estado </w:t>
      </w:r>
      <w:r>
        <w:rPr>
          <w:rFonts w:ascii="Verdana" w:hAnsi="Verdana"/>
          <w:sz w:val="20"/>
          <w:szCs w:val="20"/>
          <w:lang w:val="es-CR"/>
        </w:rPr>
        <w:t>publicar</w:t>
      </w:r>
      <w:r w:rsidR="004959E0">
        <w:rPr>
          <w:rFonts w:ascii="Verdana" w:hAnsi="Verdana"/>
          <w:sz w:val="20"/>
          <w:szCs w:val="20"/>
          <w:lang w:val="es-CR"/>
        </w:rPr>
        <w:t xml:space="preserve"> “a) el resumen oficial de la Sentencia elaborado por la Corte, por una sola vez en el </w:t>
      </w:r>
      <w:r w:rsidR="00B62F82">
        <w:rPr>
          <w:rFonts w:ascii="Verdana" w:hAnsi="Verdana"/>
          <w:sz w:val="20"/>
          <w:szCs w:val="20"/>
          <w:lang w:val="es-CR"/>
        </w:rPr>
        <w:t>diario o</w:t>
      </w:r>
      <w:r w:rsidR="004959E0">
        <w:rPr>
          <w:rFonts w:ascii="Verdana" w:hAnsi="Verdana"/>
          <w:sz w:val="20"/>
          <w:szCs w:val="20"/>
          <w:lang w:val="es-CR"/>
        </w:rPr>
        <w:t>ficial</w:t>
      </w:r>
      <w:r w:rsidR="00B62F82">
        <w:rPr>
          <w:rFonts w:ascii="Verdana" w:hAnsi="Verdana"/>
          <w:sz w:val="20"/>
          <w:szCs w:val="20"/>
          <w:lang w:val="es-CR"/>
        </w:rPr>
        <w:t>;</w:t>
      </w:r>
      <w:r w:rsidR="004959E0">
        <w:rPr>
          <w:rFonts w:ascii="Verdana" w:hAnsi="Verdana"/>
          <w:sz w:val="20"/>
          <w:szCs w:val="20"/>
          <w:lang w:val="es-CR"/>
        </w:rPr>
        <w:t xml:space="preserve"> b) el resumen oficial de la Sentencia elaborado por la Corte, por una sola vez, en un diario de amplia circulación nacional</w:t>
      </w:r>
      <w:r>
        <w:rPr>
          <w:rFonts w:ascii="Verdana" w:hAnsi="Verdana"/>
          <w:sz w:val="20"/>
          <w:szCs w:val="20"/>
          <w:lang w:val="es-CR"/>
        </w:rPr>
        <w:t xml:space="preserve">, y </w:t>
      </w:r>
      <w:r w:rsidR="004959E0">
        <w:rPr>
          <w:rFonts w:ascii="Verdana" w:hAnsi="Verdana"/>
          <w:sz w:val="20"/>
          <w:szCs w:val="20"/>
          <w:lang w:val="es-CR"/>
        </w:rPr>
        <w:t>c</w:t>
      </w:r>
      <w:r>
        <w:rPr>
          <w:rFonts w:ascii="Verdana" w:hAnsi="Verdana"/>
          <w:sz w:val="20"/>
          <w:szCs w:val="20"/>
          <w:lang w:val="es-CR"/>
        </w:rPr>
        <w:t>) la Sentencia en su integridad, disponible por un período de un año, en un sitio web oficial”.</w:t>
      </w:r>
      <w:bookmarkEnd w:id="9"/>
    </w:p>
    <w:p w:rsidR="00F2322B" w:rsidRDefault="00F2322B" w:rsidP="00104EC6">
      <w:pPr>
        <w:spacing w:after="100" w:line="240" w:lineRule="auto"/>
        <w:jc w:val="both"/>
        <w:rPr>
          <w:rFonts w:ascii="Verdana" w:hAnsi="Verdana"/>
          <w:sz w:val="20"/>
          <w:szCs w:val="20"/>
          <w:lang w:val="es-CR"/>
        </w:rPr>
      </w:pPr>
    </w:p>
    <w:p w:rsidR="00F2322B" w:rsidRPr="00F2322B" w:rsidRDefault="00FD4E77" w:rsidP="00104EC6">
      <w:pPr>
        <w:spacing w:after="100"/>
        <w:ind w:left="360" w:firstLine="360"/>
        <w:rPr>
          <w:rFonts w:ascii="Verdana" w:hAnsi="Verdana"/>
          <w:sz w:val="20"/>
          <w:szCs w:val="20"/>
          <w:lang w:val="es-CR"/>
        </w:rPr>
      </w:pPr>
      <w:r>
        <w:rPr>
          <w:rFonts w:ascii="Verdana" w:hAnsi="Verdana"/>
          <w:i/>
          <w:sz w:val="20"/>
          <w:szCs w:val="20"/>
          <w:lang w:val="es-CR"/>
        </w:rPr>
        <w:t>B</w:t>
      </w:r>
      <w:r w:rsidR="00F2322B">
        <w:rPr>
          <w:rFonts w:ascii="Verdana" w:hAnsi="Verdana"/>
          <w:i/>
          <w:sz w:val="20"/>
          <w:szCs w:val="20"/>
          <w:lang w:val="es-CR"/>
        </w:rPr>
        <w:t>.2. Consideraciones de la Corte</w:t>
      </w:r>
    </w:p>
    <w:p w:rsidR="00DE104E" w:rsidRPr="001D60CA" w:rsidRDefault="002D2549" w:rsidP="00104EC6">
      <w:pPr>
        <w:pStyle w:val="ListParagraph"/>
        <w:numPr>
          <w:ilvl w:val="0"/>
          <w:numId w:val="2"/>
        </w:numPr>
        <w:spacing w:after="100" w:line="240" w:lineRule="auto"/>
        <w:ind w:left="0" w:firstLine="0"/>
        <w:jc w:val="both"/>
        <w:rPr>
          <w:rFonts w:ascii="Verdana" w:hAnsi="Verdana"/>
          <w:sz w:val="20"/>
          <w:szCs w:val="20"/>
          <w:lang w:val="es-CR"/>
        </w:rPr>
      </w:pPr>
      <w:r w:rsidRPr="00DE104E">
        <w:rPr>
          <w:rFonts w:ascii="Verdana" w:hAnsi="Verdana"/>
          <w:sz w:val="20"/>
          <w:szCs w:val="20"/>
          <w:lang w:val="es-CR"/>
        </w:rPr>
        <w:t>Con base en los comprobantes aportados por el Estado en su</w:t>
      </w:r>
      <w:r w:rsidR="00A01AE9">
        <w:rPr>
          <w:rFonts w:ascii="Verdana" w:hAnsi="Verdana"/>
          <w:sz w:val="20"/>
          <w:szCs w:val="20"/>
          <w:lang w:val="es-CR"/>
        </w:rPr>
        <w:t>s</w:t>
      </w:r>
      <w:r w:rsidR="004959E0" w:rsidRPr="00DE104E">
        <w:rPr>
          <w:rFonts w:ascii="Verdana" w:hAnsi="Verdana"/>
          <w:sz w:val="20"/>
          <w:szCs w:val="20"/>
          <w:lang w:val="es-CR"/>
        </w:rPr>
        <w:t xml:space="preserve"> informe</w:t>
      </w:r>
      <w:r w:rsidR="00A01AE9">
        <w:rPr>
          <w:rFonts w:ascii="Verdana" w:hAnsi="Verdana"/>
          <w:sz w:val="20"/>
          <w:szCs w:val="20"/>
          <w:lang w:val="es-CR"/>
        </w:rPr>
        <w:t>s</w:t>
      </w:r>
      <w:r w:rsidRPr="00DE104E">
        <w:rPr>
          <w:rFonts w:ascii="Verdana" w:hAnsi="Verdana"/>
          <w:sz w:val="20"/>
          <w:szCs w:val="20"/>
          <w:lang w:val="es-CR"/>
        </w:rPr>
        <w:t xml:space="preserve"> de </w:t>
      </w:r>
      <w:r w:rsidR="004B7BA7">
        <w:rPr>
          <w:rFonts w:ascii="Verdana" w:hAnsi="Verdana"/>
          <w:sz w:val="20"/>
          <w:szCs w:val="20"/>
          <w:lang w:val="es-CR"/>
        </w:rPr>
        <w:t>agosto de 2017</w:t>
      </w:r>
      <w:r w:rsidR="00A01AE9">
        <w:rPr>
          <w:rFonts w:ascii="Verdana" w:hAnsi="Verdana"/>
          <w:sz w:val="20"/>
          <w:szCs w:val="20"/>
          <w:lang w:val="es-CR"/>
        </w:rPr>
        <w:t xml:space="preserve"> y de abril de 2018, </w:t>
      </w:r>
      <w:r w:rsidRPr="00DE104E">
        <w:rPr>
          <w:rFonts w:ascii="Verdana" w:hAnsi="Verdana"/>
          <w:sz w:val="20"/>
          <w:szCs w:val="20"/>
          <w:lang w:val="es-CR"/>
        </w:rPr>
        <w:t xml:space="preserve">este Tribunal constata </w:t>
      </w:r>
      <w:r w:rsidR="00F2322B" w:rsidRPr="00DE104E">
        <w:rPr>
          <w:rFonts w:ascii="Verdana" w:hAnsi="Verdana"/>
          <w:sz w:val="20"/>
          <w:szCs w:val="20"/>
          <w:lang w:val="es-CR"/>
        </w:rPr>
        <w:t xml:space="preserve">que </w:t>
      </w:r>
      <w:r w:rsidR="00DE104E" w:rsidRPr="00DE104E">
        <w:rPr>
          <w:rFonts w:ascii="Verdana" w:hAnsi="Verdana"/>
          <w:sz w:val="20"/>
          <w:szCs w:val="20"/>
          <w:lang w:val="es-CR"/>
        </w:rPr>
        <w:t>Perú</w:t>
      </w:r>
      <w:r w:rsidR="00F2322B" w:rsidRPr="00DE104E">
        <w:rPr>
          <w:rFonts w:ascii="Verdana" w:hAnsi="Verdana"/>
          <w:sz w:val="20"/>
          <w:szCs w:val="20"/>
          <w:lang w:val="es-CR"/>
        </w:rPr>
        <w:t xml:space="preserve"> </w:t>
      </w:r>
      <w:r w:rsidRPr="00DE104E">
        <w:rPr>
          <w:rFonts w:ascii="Verdana" w:hAnsi="Verdana"/>
          <w:sz w:val="20"/>
          <w:szCs w:val="20"/>
          <w:lang w:val="es-CR"/>
        </w:rPr>
        <w:t xml:space="preserve">publicó el </w:t>
      </w:r>
      <w:r w:rsidR="004B7BA7">
        <w:rPr>
          <w:rFonts w:ascii="Verdana" w:hAnsi="Verdana"/>
          <w:sz w:val="20"/>
          <w:szCs w:val="20"/>
          <w:lang w:val="es-CR"/>
        </w:rPr>
        <w:t>29</w:t>
      </w:r>
      <w:r w:rsidRPr="00DE104E">
        <w:rPr>
          <w:rFonts w:ascii="Verdana" w:hAnsi="Verdana"/>
          <w:sz w:val="20"/>
          <w:szCs w:val="20"/>
          <w:lang w:val="es-CR"/>
        </w:rPr>
        <w:t xml:space="preserve"> de </w:t>
      </w:r>
      <w:r w:rsidR="004B7BA7">
        <w:rPr>
          <w:rFonts w:ascii="Verdana" w:hAnsi="Verdana"/>
          <w:sz w:val="20"/>
          <w:szCs w:val="20"/>
          <w:lang w:val="es-CR"/>
        </w:rPr>
        <w:t>diciembre</w:t>
      </w:r>
      <w:r w:rsidR="00DE104E" w:rsidRPr="00DE104E">
        <w:rPr>
          <w:rFonts w:ascii="Verdana" w:hAnsi="Verdana"/>
          <w:sz w:val="20"/>
          <w:szCs w:val="20"/>
          <w:lang w:val="es-CR"/>
        </w:rPr>
        <w:t xml:space="preserve"> de 201</w:t>
      </w:r>
      <w:r w:rsidR="004B7BA7">
        <w:rPr>
          <w:rFonts w:ascii="Verdana" w:hAnsi="Verdana"/>
          <w:sz w:val="20"/>
          <w:szCs w:val="20"/>
          <w:lang w:val="es-CR"/>
        </w:rPr>
        <w:t>6</w:t>
      </w:r>
      <w:r w:rsidRPr="00DE104E">
        <w:rPr>
          <w:rFonts w:ascii="Verdana" w:hAnsi="Verdana"/>
          <w:sz w:val="20"/>
          <w:szCs w:val="20"/>
          <w:lang w:val="es-CR"/>
        </w:rPr>
        <w:t xml:space="preserve"> </w:t>
      </w:r>
      <w:r w:rsidR="00F2322B" w:rsidRPr="00DE104E">
        <w:rPr>
          <w:rFonts w:ascii="Verdana" w:hAnsi="Verdana"/>
          <w:sz w:val="20"/>
          <w:szCs w:val="20"/>
          <w:lang w:val="es-CR"/>
        </w:rPr>
        <w:t>el resumen de la Sentencia en el Diario Oficial</w:t>
      </w:r>
      <w:r w:rsidR="00F2322B">
        <w:rPr>
          <w:rStyle w:val="FootnoteReference"/>
          <w:rFonts w:ascii="Verdana" w:hAnsi="Verdana"/>
          <w:sz w:val="20"/>
          <w:szCs w:val="20"/>
          <w:lang w:val="es-CR"/>
        </w:rPr>
        <w:footnoteReference w:id="14"/>
      </w:r>
      <w:r w:rsidR="00F66865" w:rsidRPr="00DE104E">
        <w:rPr>
          <w:rFonts w:ascii="Verdana" w:hAnsi="Verdana"/>
          <w:sz w:val="20"/>
          <w:szCs w:val="20"/>
          <w:lang w:val="es-CR"/>
        </w:rPr>
        <w:t>,</w:t>
      </w:r>
      <w:r w:rsidR="00F2322B" w:rsidRPr="00DE104E">
        <w:rPr>
          <w:rFonts w:ascii="Verdana" w:hAnsi="Verdana"/>
          <w:sz w:val="20"/>
          <w:szCs w:val="20"/>
          <w:lang w:val="es-CR"/>
        </w:rPr>
        <w:t xml:space="preserve"> </w:t>
      </w:r>
      <w:r w:rsidRPr="00DE104E">
        <w:rPr>
          <w:rFonts w:ascii="Verdana" w:hAnsi="Verdana"/>
          <w:sz w:val="20"/>
          <w:szCs w:val="20"/>
          <w:lang w:val="es-CR"/>
        </w:rPr>
        <w:t xml:space="preserve">y el </w:t>
      </w:r>
      <w:r w:rsidR="00FD4E77">
        <w:rPr>
          <w:rFonts w:ascii="Verdana" w:hAnsi="Verdana"/>
          <w:sz w:val="20"/>
          <w:szCs w:val="20"/>
          <w:lang w:val="es-CR"/>
        </w:rPr>
        <w:t>1</w:t>
      </w:r>
      <w:r w:rsidR="004B7BA7">
        <w:rPr>
          <w:rFonts w:ascii="Verdana" w:hAnsi="Verdana"/>
          <w:sz w:val="20"/>
          <w:szCs w:val="20"/>
          <w:lang w:val="es-CR"/>
        </w:rPr>
        <w:t>8 de agosto de 2017</w:t>
      </w:r>
      <w:r w:rsidRPr="00DE104E">
        <w:rPr>
          <w:rFonts w:ascii="Verdana" w:hAnsi="Verdana"/>
          <w:sz w:val="20"/>
          <w:szCs w:val="20"/>
          <w:lang w:val="es-CR"/>
        </w:rPr>
        <w:t xml:space="preserve"> el resumen de la Sentencia en el diario de circulación</w:t>
      </w:r>
      <w:r w:rsidR="00DE104E" w:rsidRPr="00DE104E">
        <w:rPr>
          <w:rFonts w:ascii="Verdana" w:hAnsi="Verdana"/>
          <w:sz w:val="20"/>
          <w:szCs w:val="20"/>
          <w:lang w:val="es-CR"/>
        </w:rPr>
        <w:t xml:space="preserve"> nacional</w:t>
      </w:r>
      <w:r w:rsidRPr="00DE104E">
        <w:rPr>
          <w:rFonts w:ascii="Verdana" w:hAnsi="Verdana"/>
          <w:sz w:val="20"/>
          <w:szCs w:val="20"/>
          <w:lang w:val="es-CR"/>
        </w:rPr>
        <w:t xml:space="preserve"> “</w:t>
      </w:r>
      <w:r w:rsidR="00DE104E" w:rsidRPr="00DE104E">
        <w:rPr>
          <w:rFonts w:ascii="Verdana" w:hAnsi="Verdana"/>
          <w:sz w:val="20"/>
          <w:szCs w:val="20"/>
          <w:lang w:val="es-CR"/>
        </w:rPr>
        <w:t>La República</w:t>
      </w:r>
      <w:r w:rsidRPr="00DE104E">
        <w:rPr>
          <w:rFonts w:ascii="Verdana" w:hAnsi="Verdana"/>
          <w:sz w:val="20"/>
          <w:szCs w:val="20"/>
          <w:lang w:val="es-CR"/>
        </w:rPr>
        <w:t>”</w:t>
      </w:r>
      <w:r>
        <w:rPr>
          <w:rStyle w:val="FootnoteReference"/>
          <w:rFonts w:ascii="Verdana" w:hAnsi="Verdana"/>
          <w:sz w:val="20"/>
          <w:szCs w:val="20"/>
          <w:lang w:val="es-CR"/>
        </w:rPr>
        <w:footnoteReference w:id="15"/>
      </w:r>
      <w:r w:rsidR="00DE104E" w:rsidRPr="00DE104E">
        <w:rPr>
          <w:rFonts w:ascii="Verdana" w:hAnsi="Verdana"/>
          <w:sz w:val="20"/>
          <w:szCs w:val="20"/>
          <w:lang w:val="es-CR"/>
        </w:rPr>
        <w:t xml:space="preserve">. </w:t>
      </w:r>
    </w:p>
    <w:p w:rsidR="002D2549" w:rsidRDefault="002D2549" w:rsidP="00104EC6">
      <w:pPr>
        <w:pStyle w:val="ListParagraph"/>
        <w:spacing w:after="100" w:line="240" w:lineRule="auto"/>
        <w:ind w:left="0"/>
        <w:jc w:val="both"/>
        <w:rPr>
          <w:rFonts w:ascii="Verdana" w:hAnsi="Verdana"/>
          <w:sz w:val="20"/>
          <w:szCs w:val="20"/>
          <w:lang w:val="es-CR"/>
        </w:rPr>
      </w:pPr>
    </w:p>
    <w:p w:rsidR="00F2322B" w:rsidRDefault="002D2549" w:rsidP="00104EC6">
      <w:pPr>
        <w:pStyle w:val="ListParagraph"/>
        <w:numPr>
          <w:ilvl w:val="0"/>
          <w:numId w:val="2"/>
        </w:numPr>
        <w:spacing w:after="100" w:line="240" w:lineRule="auto"/>
        <w:ind w:left="0" w:firstLine="0"/>
        <w:jc w:val="both"/>
        <w:rPr>
          <w:rFonts w:ascii="Verdana" w:hAnsi="Verdana"/>
          <w:sz w:val="20"/>
          <w:szCs w:val="20"/>
          <w:lang w:val="es-CR"/>
        </w:rPr>
      </w:pPr>
      <w:r>
        <w:rPr>
          <w:rFonts w:ascii="Verdana" w:hAnsi="Verdana"/>
          <w:sz w:val="20"/>
          <w:szCs w:val="20"/>
          <w:lang w:val="es-CR"/>
        </w:rPr>
        <w:t>En cuanto a</w:t>
      </w:r>
      <w:r w:rsidR="00F2322B">
        <w:rPr>
          <w:rFonts w:ascii="Verdana" w:hAnsi="Verdana"/>
          <w:sz w:val="20"/>
          <w:szCs w:val="20"/>
          <w:lang w:val="es-CR"/>
        </w:rPr>
        <w:t xml:space="preserve"> la publicación de l</w:t>
      </w:r>
      <w:r w:rsidR="00F66865">
        <w:rPr>
          <w:rFonts w:ascii="Verdana" w:hAnsi="Verdana"/>
          <w:sz w:val="20"/>
          <w:szCs w:val="20"/>
          <w:lang w:val="es-CR"/>
        </w:rPr>
        <w:t xml:space="preserve">a Sentencia </w:t>
      </w:r>
      <w:r>
        <w:rPr>
          <w:rFonts w:ascii="Verdana" w:hAnsi="Verdana"/>
          <w:sz w:val="20"/>
          <w:szCs w:val="20"/>
          <w:lang w:val="es-CR"/>
        </w:rPr>
        <w:t xml:space="preserve">de manera íntegra en </w:t>
      </w:r>
      <w:r w:rsidR="00045084">
        <w:rPr>
          <w:rFonts w:ascii="Verdana" w:hAnsi="Verdana"/>
          <w:sz w:val="20"/>
          <w:szCs w:val="20"/>
          <w:lang w:val="es-CR"/>
        </w:rPr>
        <w:t>un</w:t>
      </w:r>
      <w:r>
        <w:rPr>
          <w:rFonts w:ascii="Verdana" w:hAnsi="Verdana"/>
          <w:sz w:val="20"/>
          <w:szCs w:val="20"/>
          <w:lang w:val="es-CR"/>
        </w:rPr>
        <w:t xml:space="preserve"> sitio </w:t>
      </w:r>
      <w:r>
        <w:rPr>
          <w:rFonts w:ascii="Verdana" w:hAnsi="Verdana"/>
          <w:i/>
          <w:sz w:val="20"/>
          <w:szCs w:val="20"/>
          <w:lang w:val="es-CR"/>
        </w:rPr>
        <w:t xml:space="preserve">web </w:t>
      </w:r>
      <w:r>
        <w:rPr>
          <w:rFonts w:ascii="Verdana" w:hAnsi="Verdana"/>
          <w:sz w:val="20"/>
          <w:szCs w:val="20"/>
          <w:lang w:val="es-CR"/>
        </w:rPr>
        <w:t>oficial</w:t>
      </w:r>
      <w:r w:rsidR="0098740B">
        <w:rPr>
          <w:rFonts w:ascii="Verdana" w:hAnsi="Verdana"/>
          <w:sz w:val="20"/>
          <w:szCs w:val="20"/>
          <w:lang w:val="es-CR"/>
        </w:rPr>
        <w:t>,</w:t>
      </w:r>
      <w:r w:rsidR="004B7BA7">
        <w:rPr>
          <w:rFonts w:ascii="Verdana" w:hAnsi="Verdana"/>
          <w:sz w:val="20"/>
          <w:szCs w:val="20"/>
          <w:lang w:val="es-CR"/>
        </w:rPr>
        <w:t xml:space="preserve"> </w:t>
      </w:r>
      <w:r>
        <w:rPr>
          <w:rFonts w:ascii="Verdana" w:hAnsi="Verdana"/>
          <w:sz w:val="20"/>
          <w:szCs w:val="20"/>
          <w:lang w:val="es-CR"/>
        </w:rPr>
        <w:t xml:space="preserve">la Corte constata que ésta fue realizada </w:t>
      </w:r>
      <w:r w:rsidR="00F66865">
        <w:rPr>
          <w:rFonts w:ascii="Verdana" w:hAnsi="Verdana"/>
          <w:sz w:val="20"/>
          <w:szCs w:val="20"/>
          <w:lang w:val="es-CR"/>
        </w:rPr>
        <w:t xml:space="preserve">en </w:t>
      </w:r>
      <w:r w:rsidR="004B7BA7">
        <w:rPr>
          <w:rFonts w:ascii="Verdana" w:hAnsi="Verdana"/>
          <w:sz w:val="20"/>
          <w:szCs w:val="20"/>
          <w:lang w:val="es-CR"/>
        </w:rPr>
        <w:t>la</w:t>
      </w:r>
      <w:r w:rsidR="001D60CA">
        <w:rPr>
          <w:rFonts w:ascii="Verdana" w:hAnsi="Verdana"/>
          <w:sz w:val="20"/>
          <w:szCs w:val="20"/>
          <w:lang w:val="es-CR"/>
        </w:rPr>
        <w:t xml:space="preserve"> página </w:t>
      </w:r>
      <w:r w:rsidR="001D60CA">
        <w:rPr>
          <w:rFonts w:ascii="Verdana" w:hAnsi="Verdana"/>
          <w:i/>
          <w:sz w:val="20"/>
          <w:szCs w:val="20"/>
          <w:lang w:val="es-CR"/>
        </w:rPr>
        <w:t>web</w:t>
      </w:r>
      <w:r w:rsidR="004B7BA7">
        <w:rPr>
          <w:rFonts w:ascii="Verdana" w:hAnsi="Verdana"/>
          <w:sz w:val="20"/>
          <w:szCs w:val="20"/>
          <w:lang w:val="es-CR"/>
        </w:rPr>
        <w:t xml:space="preserve"> del Ministerio de Justicia y Derechos Humanos</w:t>
      </w:r>
      <w:r w:rsidR="00F2322B">
        <w:rPr>
          <w:rStyle w:val="FootnoteReference"/>
          <w:rFonts w:ascii="Verdana" w:hAnsi="Verdana"/>
          <w:sz w:val="20"/>
          <w:szCs w:val="20"/>
          <w:lang w:val="es-CR"/>
        </w:rPr>
        <w:footnoteReference w:id="16"/>
      </w:r>
      <w:r w:rsidR="001D60CA">
        <w:rPr>
          <w:rFonts w:ascii="Verdana" w:hAnsi="Verdana"/>
          <w:sz w:val="20"/>
          <w:szCs w:val="20"/>
          <w:lang w:val="es-CR"/>
        </w:rPr>
        <w:t xml:space="preserve"> desde</w:t>
      </w:r>
      <w:r w:rsidR="004B7BA7">
        <w:rPr>
          <w:rFonts w:ascii="Verdana" w:hAnsi="Verdana"/>
          <w:sz w:val="20"/>
          <w:szCs w:val="20"/>
          <w:lang w:val="es-CR"/>
        </w:rPr>
        <w:t xml:space="preserve"> e</w:t>
      </w:r>
      <w:r w:rsidR="001D60CA">
        <w:rPr>
          <w:rFonts w:ascii="Verdana" w:hAnsi="Verdana"/>
          <w:sz w:val="20"/>
          <w:szCs w:val="20"/>
          <w:lang w:val="es-CR"/>
        </w:rPr>
        <w:t>l</w:t>
      </w:r>
      <w:r w:rsidR="004B7BA7">
        <w:rPr>
          <w:rFonts w:ascii="Verdana" w:hAnsi="Verdana"/>
          <w:sz w:val="20"/>
          <w:szCs w:val="20"/>
          <w:lang w:val="es-CR"/>
        </w:rPr>
        <w:t xml:space="preserve"> 19 de septiembre de</w:t>
      </w:r>
      <w:r w:rsidR="001D60CA">
        <w:rPr>
          <w:rFonts w:ascii="Verdana" w:hAnsi="Verdana"/>
          <w:sz w:val="20"/>
          <w:szCs w:val="20"/>
          <w:lang w:val="es-CR"/>
        </w:rPr>
        <w:t xml:space="preserve"> 201</w:t>
      </w:r>
      <w:r w:rsidR="004B7BA7">
        <w:rPr>
          <w:rFonts w:ascii="Verdana" w:hAnsi="Verdana"/>
          <w:sz w:val="20"/>
          <w:szCs w:val="20"/>
          <w:lang w:val="es-CR"/>
        </w:rPr>
        <w:t>6</w:t>
      </w:r>
      <w:r w:rsidR="001D60CA">
        <w:rPr>
          <w:rFonts w:ascii="Verdana" w:hAnsi="Verdana"/>
          <w:sz w:val="20"/>
          <w:szCs w:val="20"/>
          <w:lang w:val="es-CR"/>
        </w:rPr>
        <w:t xml:space="preserve">, </w:t>
      </w:r>
      <w:r w:rsidR="009C539F">
        <w:rPr>
          <w:rFonts w:ascii="Verdana" w:hAnsi="Verdana"/>
          <w:sz w:val="20"/>
          <w:szCs w:val="20"/>
          <w:lang w:val="es-CR"/>
        </w:rPr>
        <w:t xml:space="preserve">fecha en que </w:t>
      </w:r>
      <w:r w:rsidR="00045084">
        <w:rPr>
          <w:rFonts w:ascii="Verdana" w:hAnsi="Verdana"/>
          <w:sz w:val="20"/>
          <w:szCs w:val="20"/>
          <w:lang w:val="es-CR"/>
        </w:rPr>
        <w:t xml:space="preserve">Perú </w:t>
      </w:r>
      <w:r w:rsidR="009C539F">
        <w:rPr>
          <w:rFonts w:ascii="Verdana" w:hAnsi="Verdana"/>
          <w:sz w:val="20"/>
          <w:szCs w:val="20"/>
          <w:lang w:val="es-CR"/>
        </w:rPr>
        <w:t xml:space="preserve">comunicó a la Corte sobre </w:t>
      </w:r>
      <w:r w:rsidR="00045084">
        <w:rPr>
          <w:rFonts w:ascii="Verdana" w:hAnsi="Verdana"/>
          <w:sz w:val="20"/>
          <w:szCs w:val="20"/>
          <w:lang w:val="es-CR"/>
        </w:rPr>
        <w:t>dicha</w:t>
      </w:r>
      <w:r w:rsidR="009C539F">
        <w:rPr>
          <w:rFonts w:ascii="Verdana" w:hAnsi="Verdana"/>
          <w:sz w:val="20"/>
          <w:szCs w:val="20"/>
          <w:lang w:val="es-CR"/>
        </w:rPr>
        <w:t xml:space="preserve"> publicación</w:t>
      </w:r>
      <w:r w:rsidR="00045084">
        <w:rPr>
          <w:rFonts w:ascii="Verdana" w:hAnsi="Verdana"/>
          <w:sz w:val="20"/>
          <w:szCs w:val="20"/>
          <w:lang w:val="es-CR"/>
        </w:rPr>
        <w:t>, y que aun la mantiene publicada, cumpliendo con ello con el período de “</w:t>
      </w:r>
      <w:r w:rsidR="00A46639">
        <w:rPr>
          <w:rFonts w:ascii="Verdana" w:hAnsi="Verdana"/>
          <w:sz w:val="20"/>
          <w:szCs w:val="20"/>
          <w:lang w:val="es-CR"/>
        </w:rPr>
        <w:t>al</w:t>
      </w:r>
      <w:r w:rsidR="00045084">
        <w:rPr>
          <w:rFonts w:ascii="Verdana" w:hAnsi="Verdana"/>
          <w:sz w:val="20"/>
          <w:szCs w:val="20"/>
          <w:lang w:val="es-CR"/>
        </w:rPr>
        <w:t xml:space="preserve"> menos un año” ordenado en la Sentencia (</w:t>
      </w:r>
      <w:r w:rsidR="00045084" w:rsidRPr="0060758B">
        <w:rPr>
          <w:rFonts w:ascii="Verdana" w:hAnsi="Verdana"/>
          <w:i/>
          <w:sz w:val="20"/>
          <w:szCs w:val="20"/>
          <w:lang w:val="es-CR"/>
        </w:rPr>
        <w:t>supra</w:t>
      </w:r>
      <w:r w:rsidR="00045084">
        <w:rPr>
          <w:rFonts w:ascii="Verdana" w:hAnsi="Verdana"/>
          <w:sz w:val="20"/>
          <w:szCs w:val="20"/>
          <w:lang w:val="es-CR"/>
        </w:rPr>
        <w:t xml:space="preserve"> Considerando </w:t>
      </w:r>
      <w:r w:rsidR="00FD4E77">
        <w:rPr>
          <w:rFonts w:ascii="Verdana" w:hAnsi="Verdana"/>
          <w:sz w:val="20"/>
          <w:szCs w:val="20"/>
          <w:lang w:val="es-CR"/>
        </w:rPr>
        <w:fldChar w:fldCharType="begin"/>
      </w:r>
      <w:r w:rsidR="00FD4E77">
        <w:rPr>
          <w:rFonts w:ascii="Verdana" w:hAnsi="Verdana"/>
          <w:sz w:val="20"/>
          <w:szCs w:val="20"/>
          <w:lang w:val="es-CR"/>
        </w:rPr>
        <w:instrText xml:space="preserve"> REF _Ref530751074 \r \h </w:instrText>
      </w:r>
      <w:r w:rsidR="00FD4E77">
        <w:rPr>
          <w:rFonts w:ascii="Verdana" w:hAnsi="Verdana"/>
          <w:sz w:val="20"/>
          <w:szCs w:val="20"/>
          <w:lang w:val="es-CR"/>
        </w:rPr>
      </w:r>
      <w:r w:rsidR="00FD4E77">
        <w:rPr>
          <w:rFonts w:ascii="Verdana" w:hAnsi="Verdana"/>
          <w:sz w:val="20"/>
          <w:szCs w:val="20"/>
          <w:lang w:val="es-CR"/>
        </w:rPr>
        <w:fldChar w:fldCharType="separate"/>
      </w:r>
      <w:r w:rsidR="0003569E">
        <w:rPr>
          <w:rFonts w:ascii="Verdana" w:hAnsi="Verdana"/>
          <w:sz w:val="20"/>
          <w:szCs w:val="20"/>
          <w:lang w:val="es-CR"/>
        </w:rPr>
        <w:t>7</w:t>
      </w:r>
      <w:r w:rsidR="00FD4E77">
        <w:rPr>
          <w:rFonts w:ascii="Verdana" w:hAnsi="Verdana"/>
          <w:sz w:val="20"/>
          <w:szCs w:val="20"/>
          <w:lang w:val="es-CR"/>
        </w:rPr>
        <w:fldChar w:fldCharType="end"/>
      </w:r>
      <w:r w:rsidR="00045084">
        <w:rPr>
          <w:rFonts w:ascii="Verdana" w:hAnsi="Verdana"/>
          <w:sz w:val="20"/>
          <w:szCs w:val="20"/>
          <w:lang w:val="es-CR"/>
        </w:rPr>
        <w:t>)</w:t>
      </w:r>
      <w:r w:rsidR="009C539F">
        <w:rPr>
          <w:rFonts w:ascii="Verdana" w:hAnsi="Verdana"/>
          <w:sz w:val="20"/>
          <w:szCs w:val="20"/>
          <w:lang w:val="es-CR"/>
        </w:rPr>
        <w:t>.</w:t>
      </w:r>
      <w:r w:rsidR="0070019B">
        <w:rPr>
          <w:rFonts w:ascii="Verdana" w:hAnsi="Verdana"/>
          <w:sz w:val="20"/>
          <w:szCs w:val="20"/>
          <w:lang w:val="es-CR"/>
        </w:rPr>
        <w:t xml:space="preserve"> </w:t>
      </w:r>
    </w:p>
    <w:p w:rsidR="00F2322B" w:rsidRDefault="00F2322B" w:rsidP="00104EC6">
      <w:pPr>
        <w:pStyle w:val="ListParagraph"/>
        <w:spacing w:after="100" w:line="240" w:lineRule="auto"/>
        <w:ind w:left="0"/>
        <w:jc w:val="both"/>
        <w:rPr>
          <w:rFonts w:ascii="Verdana" w:hAnsi="Verdana"/>
          <w:sz w:val="20"/>
          <w:szCs w:val="20"/>
          <w:lang w:val="es-CR"/>
        </w:rPr>
      </w:pPr>
    </w:p>
    <w:p w:rsidR="005E0FDF" w:rsidRPr="00E97907" w:rsidRDefault="005E0FDF" w:rsidP="00104EC6">
      <w:pPr>
        <w:pStyle w:val="ListParagraph"/>
        <w:numPr>
          <w:ilvl w:val="0"/>
          <w:numId w:val="2"/>
        </w:numPr>
        <w:spacing w:after="100" w:line="240" w:lineRule="auto"/>
        <w:ind w:left="0" w:firstLine="0"/>
        <w:jc w:val="both"/>
        <w:rPr>
          <w:rFonts w:ascii="Verdana" w:hAnsi="Verdana"/>
          <w:sz w:val="20"/>
          <w:szCs w:val="20"/>
          <w:lang w:val="es-CR"/>
        </w:rPr>
      </w:pPr>
      <w:r w:rsidRPr="00E97907">
        <w:rPr>
          <w:rFonts w:ascii="Verdana" w:hAnsi="Verdana"/>
          <w:sz w:val="20"/>
          <w:szCs w:val="20"/>
          <w:lang w:val="es-CR"/>
        </w:rPr>
        <w:t>La Comisión indicó que “</w:t>
      </w:r>
      <w:proofErr w:type="gramStart"/>
      <w:r w:rsidRPr="00E97907">
        <w:rPr>
          <w:rFonts w:ascii="Verdana" w:hAnsi="Verdana"/>
          <w:sz w:val="20"/>
          <w:szCs w:val="20"/>
          <w:lang w:val="es-CR"/>
        </w:rPr>
        <w:t>toma[</w:t>
      </w:r>
      <w:proofErr w:type="spellStart"/>
      <w:proofErr w:type="gramEnd"/>
      <w:r w:rsidRPr="00E97907">
        <w:rPr>
          <w:rFonts w:ascii="Verdana" w:hAnsi="Verdana"/>
          <w:sz w:val="20"/>
          <w:szCs w:val="20"/>
          <w:lang w:val="es-CR"/>
        </w:rPr>
        <w:t>ba</w:t>
      </w:r>
      <w:proofErr w:type="spellEnd"/>
      <w:r w:rsidRPr="00E97907">
        <w:rPr>
          <w:rFonts w:ascii="Verdana" w:hAnsi="Verdana"/>
          <w:sz w:val="20"/>
          <w:szCs w:val="20"/>
          <w:lang w:val="es-CR"/>
        </w:rPr>
        <w:t>] nota de la información presentada por el Estado de</w:t>
      </w:r>
      <w:r w:rsidR="00E97907">
        <w:rPr>
          <w:rFonts w:ascii="Verdana" w:hAnsi="Verdana"/>
          <w:sz w:val="20"/>
          <w:szCs w:val="20"/>
          <w:lang w:val="es-CR"/>
        </w:rPr>
        <w:t>l</w:t>
      </w:r>
      <w:r w:rsidRPr="00E97907">
        <w:rPr>
          <w:rFonts w:ascii="Verdana" w:hAnsi="Verdana"/>
          <w:sz w:val="20"/>
          <w:szCs w:val="20"/>
          <w:lang w:val="es-CR"/>
        </w:rPr>
        <w:t xml:space="preserve"> Perú sobre el cumplimiento de la medida ordenada en el párrafo 30</w:t>
      </w:r>
      <w:r w:rsidR="002535A9" w:rsidRPr="00E97907">
        <w:rPr>
          <w:rFonts w:ascii="Verdana" w:hAnsi="Verdana"/>
          <w:sz w:val="20"/>
          <w:szCs w:val="20"/>
          <w:lang w:val="es-CR"/>
        </w:rPr>
        <w:t>[7]</w:t>
      </w:r>
      <w:r w:rsidRPr="00E97907">
        <w:rPr>
          <w:rFonts w:ascii="Verdana" w:hAnsi="Verdana"/>
          <w:sz w:val="20"/>
          <w:szCs w:val="20"/>
          <w:lang w:val="es-CR"/>
        </w:rPr>
        <w:t xml:space="preserve"> de la Sentencia en el […] caso, y no tiene observaciones que formular”</w:t>
      </w:r>
      <w:r w:rsidRPr="00E97907">
        <w:rPr>
          <w:rStyle w:val="FootnoteReference"/>
          <w:rFonts w:ascii="Verdana" w:hAnsi="Verdana"/>
          <w:sz w:val="20"/>
          <w:szCs w:val="20"/>
          <w:lang w:val="es-CR"/>
        </w:rPr>
        <w:footnoteReference w:id="17"/>
      </w:r>
      <w:r w:rsidRPr="00E97907">
        <w:rPr>
          <w:rFonts w:ascii="Verdana" w:hAnsi="Verdana"/>
          <w:sz w:val="20"/>
          <w:szCs w:val="20"/>
          <w:lang w:val="es-CR"/>
        </w:rPr>
        <w:t>.</w:t>
      </w:r>
    </w:p>
    <w:p w:rsidR="005E0FDF" w:rsidRPr="002535A9" w:rsidRDefault="005E0FDF" w:rsidP="00104EC6">
      <w:pPr>
        <w:spacing w:after="100" w:line="240" w:lineRule="auto"/>
        <w:jc w:val="both"/>
        <w:rPr>
          <w:rFonts w:ascii="Verdana" w:hAnsi="Verdana"/>
          <w:sz w:val="20"/>
          <w:szCs w:val="20"/>
          <w:lang w:val="es-CR"/>
        </w:rPr>
      </w:pPr>
    </w:p>
    <w:p w:rsidR="00104EC6" w:rsidRDefault="00F2322B" w:rsidP="00104EC6">
      <w:pPr>
        <w:pStyle w:val="ListParagraph"/>
        <w:numPr>
          <w:ilvl w:val="0"/>
          <w:numId w:val="2"/>
        </w:numPr>
        <w:spacing w:after="100" w:line="240" w:lineRule="auto"/>
        <w:ind w:left="0" w:firstLine="0"/>
        <w:jc w:val="both"/>
        <w:rPr>
          <w:rFonts w:ascii="Verdana" w:hAnsi="Verdana"/>
          <w:sz w:val="20"/>
          <w:szCs w:val="20"/>
          <w:lang w:val="es-CR"/>
        </w:rPr>
      </w:pPr>
      <w:r w:rsidRPr="00F2322B">
        <w:rPr>
          <w:rFonts w:ascii="Verdana" w:hAnsi="Verdana"/>
          <w:sz w:val="20"/>
          <w:szCs w:val="20"/>
          <w:lang w:val="es-CR"/>
        </w:rPr>
        <w:t>En consecuencia, la Corte considera que</w:t>
      </w:r>
      <w:r w:rsidR="004474ED">
        <w:rPr>
          <w:rFonts w:ascii="Verdana" w:hAnsi="Verdana"/>
          <w:sz w:val="20"/>
          <w:szCs w:val="20"/>
          <w:lang w:val="es-CR"/>
        </w:rPr>
        <w:t xml:space="preserve"> </w:t>
      </w:r>
      <w:r w:rsidRPr="00F2322B">
        <w:rPr>
          <w:rFonts w:ascii="Verdana" w:hAnsi="Verdana"/>
          <w:sz w:val="20"/>
          <w:szCs w:val="20"/>
          <w:lang w:val="es-CR"/>
        </w:rPr>
        <w:t>el Esta</w:t>
      </w:r>
      <w:r w:rsidR="008A1933">
        <w:rPr>
          <w:rFonts w:ascii="Verdana" w:hAnsi="Verdana"/>
          <w:sz w:val="20"/>
          <w:szCs w:val="20"/>
          <w:lang w:val="es-CR"/>
        </w:rPr>
        <w:t xml:space="preserve">do dio cumplimiento </w:t>
      </w:r>
      <w:r w:rsidR="00C21DE3">
        <w:rPr>
          <w:rFonts w:ascii="Verdana" w:hAnsi="Verdana"/>
          <w:sz w:val="20"/>
          <w:szCs w:val="20"/>
          <w:lang w:val="es-CR"/>
        </w:rPr>
        <w:t>total</w:t>
      </w:r>
      <w:r w:rsidR="008A1933">
        <w:rPr>
          <w:rFonts w:ascii="Verdana" w:hAnsi="Verdana"/>
          <w:sz w:val="20"/>
          <w:szCs w:val="20"/>
          <w:lang w:val="es-CR"/>
        </w:rPr>
        <w:t xml:space="preserve"> </w:t>
      </w:r>
      <w:r w:rsidR="001D0B31">
        <w:rPr>
          <w:rFonts w:ascii="Verdana" w:hAnsi="Verdana"/>
          <w:sz w:val="20"/>
          <w:szCs w:val="20"/>
          <w:lang w:val="es-CR"/>
        </w:rPr>
        <w:t>a las medidas dispuestas en e</w:t>
      </w:r>
      <w:r w:rsidR="008A1933">
        <w:rPr>
          <w:rFonts w:ascii="Verdana" w:hAnsi="Verdana"/>
          <w:sz w:val="20"/>
          <w:szCs w:val="20"/>
          <w:lang w:val="es-CR"/>
        </w:rPr>
        <w:t>l</w:t>
      </w:r>
      <w:r w:rsidR="00C21DE3">
        <w:rPr>
          <w:rFonts w:ascii="Verdana" w:hAnsi="Verdana"/>
          <w:sz w:val="20"/>
          <w:szCs w:val="20"/>
          <w:lang w:val="es-CR"/>
        </w:rPr>
        <w:t xml:space="preserve"> punto resolutivo </w:t>
      </w:r>
      <w:r w:rsidR="004474ED">
        <w:rPr>
          <w:rFonts w:ascii="Verdana" w:hAnsi="Verdana"/>
          <w:sz w:val="20"/>
          <w:szCs w:val="20"/>
          <w:lang w:val="es-CR"/>
        </w:rPr>
        <w:t>décimo cuarto</w:t>
      </w:r>
      <w:r w:rsidR="00C21DE3">
        <w:rPr>
          <w:rFonts w:ascii="Verdana" w:hAnsi="Verdana"/>
          <w:sz w:val="20"/>
          <w:szCs w:val="20"/>
          <w:lang w:val="es-CR"/>
        </w:rPr>
        <w:t xml:space="preserve"> de la Sentencia, </w:t>
      </w:r>
      <w:r w:rsidR="001E092F">
        <w:rPr>
          <w:rFonts w:ascii="Verdana" w:hAnsi="Verdana"/>
          <w:sz w:val="20"/>
          <w:szCs w:val="20"/>
          <w:lang w:val="es-CR"/>
        </w:rPr>
        <w:t xml:space="preserve">relativas a la publicación de la Sentencia y su resumen oficial. </w:t>
      </w:r>
    </w:p>
    <w:p w:rsidR="00A46639" w:rsidRPr="00B62F82" w:rsidRDefault="00A46639" w:rsidP="00104EC6">
      <w:pPr>
        <w:pStyle w:val="Heading1"/>
        <w:numPr>
          <w:ilvl w:val="0"/>
          <w:numId w:val="15"/>
        </w:numPr>
        <w:spacing w:after="100"/>
        <w:rPr>
          <w:rFonts w:ascii="Verdana" w:hAnsi="Verdana"/>
          <w:color w:val="auto"/>
          <w:sz w:val="20"/>
          <w:szCs w:val="20"/>
          <w:lang w:val="es-CR"/>
        </w:rPr>
      </w:pPr>
      <w:bookmarkStart w:id="10" w:name="_Toc526862726"/>
      <w:r>
        <w:rPr>
          <w:rFonts w:ascii="Verdana" w:hAnsi="Verdana"/>
          <w:color w:val="auto"/>
          <w:sz w:val="20"/>
          <w:szCs w:val="20"/>
          <w:lang w:val="es-CR"/>
        </w:rPr>
        <w:t>Indemnización por daño material e inmaterial y reintegro de costas y gastos</w:t>
      </w:r>
      <w:bookmarkEnd w:id="10"/>
    </w:p>
    <w:p w:rsidR="00A46639" w:rsidRDefault="00A46639" w:rsidP="00104EC6">
      <w:pPr>
        <w:spacing w:after="100" w:line="240" w:lineRule="auto"/>
        <w:jc w:val="both"/>
        <w:rPr>
          <w:rFonts w:ascii="Verdana" w:hAnsi="Verdana"/>
          <w:b/>
          <w:sz w:val="20"/>
          <w:lang w:val="es-CR"/>
        </w:rPr>
      </w:pPr>
    </w:p>
    <w:p w:rsidR="00A46639" w:rsidRDefault="00A46639" w:rsidP="00104EC6">
      <w:pPr>
        <w:spacing w:after="100" w:line="240" w:lineRule="auto"/>
        <w:ind w:left="360" w:firstLine="360"/>
        <w:rPr>
          <w:rFonts w:ascii="Verdana" w:hAnsi="Verdana"/>
          <w:i/>
          <w:sz w:val="20"/>
          <w:szCs w:val="20"/>
          <w:lang w:val="es-CR"/>
        </w:rPr>
      </w:pPr>
      <w:r>
        <w:rPr>
          <w:rFonts w:ascii="Verdana" w:hAnsi="Verdana"/>
          <w:i/>
          <w:sz w:val="20"/>
          <w:szCs w:val="20"/>
          <w:lang w:val="es-CR"/>
        </w:rPr>
        <w:t>C.1. Medida</w:t>
      </w:r>
      <w:r w:rsidR="001C722A">
        <w:rPr>
          <w:rFonts w:ascii="Verdana" w:hAnsi="Verdana"/>
          <w:i/>
          <w:sz w:val="20"/>
          <w:szCs w:val="20"/>
          <w:lang w:val="es-CR"/>
        </w:rPr>
        <w:t>s</w:t>
      </w:r>
      <w:r>
        <w:rPr>
          <w:rFonts w:ascii="Verdana" w:hAnsi="Verdana"/>
          <w:i/>
          <w:sz w:val="20"/>
          <w:szCs w:val="20"/>
          <w:lang w:val="es-CR"/>
        </w:rPr>
        <w:t xml:space="preserve"> ordenada</w:t>
      </w:r>
      <w:r w:rsidR="001C722A">
        <w:rPr>
          <w:rFonts w:ascii="Verdana" w:hAnsi="Verdana"/>
          <w:i/>
          <w:sz w:val="20"/>
          <w:szCs w:val="20"/>
          <w:lang w:val="es-CR"/>
        </w:rPr>
        <w:t>s</w:t>
      </w:r>
      <w:r>
        <w:rPr>
          <w:rFonts w:ascii="Verdana" w:hAnsi="Verdana"/>
          <w:i/>
          <w:sz w:val="20"/>
          <w:szCs w:val="20"/>
          <w:lang w:val="es-CR"/>
        </w:rPr>
        <w:t xml:space="preserve"> por la Corte</w:t>
      </w:r>
    </w:p>
    <w:p w:rsidR="00A46639" w:rsidRDefault="00A46639" w:rsidP="00104EC6">
      <w:pPr>
        <w:spacing w:after="100" w:line="240" w:lineRule="auto"/>
        <w:jc w:val="both"/>
        <w:rPr>
          <w:rFonts w:ascii="Verdana" w:hAnsi="Verdana"/>
          <w:b/>
          <w:sz w:val="20"/>
          <w:lang w:val="es-CR"/>
        </w:rPr>
      </w:pPr>
    </w:p>
    <w:p w:rsidR="00A46639" w:rsidRPr="001C722A" w:rsidRDefault="00A46639" w:rsidP="00104EC6">
      <w:pPr>
        <w:pStyle w:val="ListParagraph"/>
        <w:numPr>
          <w:ilvl w:val="0"/>
          <w:numId w:val="2"/>
        </w:numPr>
        <w:spacing w:before="120" w:after="100" w:line="240" w:lineRule="auto"/>
        <w:ind w:left="0" w:firstLine="0"/>
        <w:jc w:val="both"/>
        <w:rPr>
          <w:rFonts w:ascii="Verdana" w:hAnsi="Verdana"/>
          <w:sz w:val="20"/>
          <w:szCs w:val="20"/>
          <w:lang w:val="es-CR"/>
        </w:rPr>
      </w:pPr>
      <w:bookmarkStart w:id="11" w:name="_Ref530751080"/>
      <w:r w:rsidRPr="001C722A">
        <w:rPr>
          <w:rFonts w:ascii="Verdana" w:hAnsi="Verdana"/>
          <w:sz w:val="20"/>
          <w:szCs w:val="20"/>
          <w:lang w:val="es-CR"/>
        </w:rPr>
        <w:t xml:space="preserve">En el punto resolutivo décimo quinto y en los párrafos 317 y 322 de la Sentencia, la Corte ordenó </w:t>
      </w:r>
      <w:r w:rsidR="001C722A" w:rsidRPr="001C722A">
        <w:rPr>
          <w:rFonts w:ascii="Verdana" w:hAnsi="Verdana"/>
          <w:sz w:val="20"/>
          <w:szCs w:val="20"/>
          <w:lang w:val="es-CR"/>
        </w:rPr>
        <w:t xml:space="preserve">el pago de “una indemnización a favor del señor Wong Ho </w:t>
      </w:r>
      <w:proofErr w:type="spellStart"/>
      <w:r w:rsidR="001C722A" w:rsidRPr="001C722A">
        <w:rPr>
          <w:rFonts w:ascii="Verdana" w:hAnsi="Verdana"/>
          <w:sz w:val="20"/>
          <w:szCs w:val="20"/>
          <w:lang w:val="es-CR"/>
        </w:rPr>
        <w:t>Wing</w:t>
      </w:r>
      <w:proofErr w:type="spellEnd"/>
      <w:r w:rsidR="001C722A" w:rsidRPr="001C722A">
        <w:rPr>
          <w:rFonts w:ascii="Verdana" w:hAnsi="Verdana"/>
          <w:sz w:val="20"/>
          <w:szCs w:val="20"/>
          <w:lang w:val="es-CR"/>
        </w:rPr>
        <w:t xml:space="preserve"> por la cantidad de US $30.000,00 (treinta mil dólares de los Estados Unidos de América)” por </w:t>
      </w:r>
      <w:r w:rsidR="001C722A" w:rsidRPr="001C722A">
        <w:rPr>
          <w:rFonts w:ascii="Verdana" w:hAnsi="Verdana"/>
          <w:sz w:val="20"/>
          <w:szCs w:val="20"/>
          <w:lang w:val="es-CR"/>
        </w:rPr>
        <w:lastRenderedPageBreak/>
        <w:t>concepto de daño material e inmaterial, y el pago “</w:t>
      </w:r>
      <w:r w:rsidR="001C722A" w:rsidRPr="001C722A">
        <w:rPr>
          <w:rFonts w:ascii="Verdana" w:hAnsi="Verdana"/>
          <w:spacing w:val="-2"/>
          <w:sz w:val="20"/>
          <w:szCs w:val="20"/>
          <w:lang w:val="es-CR" w:bidi="en-US"/>
        </w:rPr>
        <w:t xml:space="preserve">al representante Luis Lamas </w:t>
      </w:r>
      <w:proofErr w:type="spellStart"/>
      <w:r w:rsidR="001C722A" w:rsidRPr="001C722A">
        <w:rPr>
          <w:rFonts w:ascii="Verdana" w:hAnsi="Verdana"/>
          <w:spacing w:val="-2"/>
          <w:sz w:val="20"/>
          <w:szCs w:val="20"/>
          <w:lang w:val="es-CR" w:bidi="en-US"/>
        </w:rPr>
        <w:t>Puccio</w:t>
      </w:r>
      <w:proofErr w:type="spellEnd"/>
      <w:r w:rsidR="001C722A">
        <w:rPr>
          <w:rFonts w:ascii="Verdana" w:hAnsi="Verdana"/>
          <w:spacing w:val="-2"/>
          <w:sz w:val="20"/>
          <w:szCs w:val="20"/>
          <w:lang w:val="es-CR" w:bidi="en-US"/>
        </w:rPr>
        <w:t xml:space="preserve"> </w:t>
      </w:r>
      <w:r w:rsidR="001C722A" w:rsidRPr="001C722A">
        <w:rPr>
          <w:rFonts w:ascii="Verdana" w:hAnsi="Verdana"/>
          <w:spacing w:val="-2"/>
          <w:sz w:val="20"/>
          <w:szCs w:val="20"/>
          <w:lang w:val="es-CR" w:bidi="en-US"/>
        </w:rPr>
        <w:t>la cantidad de US $28.000,00 (veintiocho mil dólares de los Estados Unidos de América) por concepto de costas y gastos”</w:t>
      </w:r>
      <w:r w:rsidR="001C722A">
        <w:rPr>
          <w:rFonts w:ascii="Verdana" w:hAnsi="Verdana"/>
          <w:spacing w:val="-2"/>
          <w:sz w:val="20"/>
          <w:szCs w:val="20"/>
          <w:lang w:val="es-CR" w:bidi="en-US"/>
        </w:rPr>
        <w:t>. Conforme al párrafo 323 de la Sentencia, dichos pagos debían ser realizados “</w:t>
      </w:r>
      <w:r w:rsidR="001C722A" w:rsidRPr="001C722A">
        <w:rPr>
          <w:rFonts w:ascii="Verdana" w:hAnsi="Verdana"/>
          <w:spacing w:val="-2"/>
          <w:sz w:val="20"/>
          <w:szCs w:val="20"/>
          <w:lang w:val="es-CR" w:bidi="en-US"/>
        </w:rPr>
        <w:t>en un plazo de un año contado a partir de la notificación de la presente Sentencia</w:t>
      </w:r>
      <w:r w:rsidR="001C722A">
        <w:rPr>
          <w:rFonts w:ascii="Verdana" w:hAnsi="Verdana"/>
          <w:spacing w:val="-2"/>
          <w:sz w:val="20"/>
          <w:szCs w:val="20"/>
          <w:lang w:val="es-CR" w:bidi="en-US"/>
        </w:rPr>
        <w:t>”.</w:t>
      </w:r>
      <w:r w:rsidR="00382D6A">
        <w:rPr>
          <w:rFonts w:ascii="Verdana" w:hAnsi="Verdana"/>
          <w:spacing w:val="-2"/>
          <w:sz w:val="20"/>
          <w:szCs w:val="20"/>
          <w:lang w:val="es-CR" w:bidi="en-US"/>
        </w:rPr>
        <w:t xml:space="preserve"> Finalmente, en el párrafo 328 de la Sentencia la Corte dispuso que “[e]</w:t>
      </w:r>
      <w:r w:rsidR="00382D6A" w:rsidRPr="00382D6A">
        <w:rPr>
          <w:rFonts w:ascii="Verdana" w:hAnsi="Verdana"/>
          <w:spacing w:val="-2"/>
          <w:sz w:val="20"/>
          <w:szCs w:val="20"/>
          <w:lang w:val="es-CR" w:bidi="en-US"/>
        </w:rPr>
        <w:t>n caso de que el Estado incurriera en mora, deberá pagar un interés sobre la cantidad adeudada correspondiente al interés bancario moratorio en la República del Perú</w:t>
      </w:r>
      <w:r w:rsidR="00382D6A">
        <w:rPr>
          <w:rFonts w:ascii="Verdana" w:hAnsi="Verdana"/>
          <w:spacing w:val="-2"/>
          <w:sz w:val="20"/>
          <w:szCs w:val="20"/>
          <w:lang w:val="es-CR" w:bidi="en-US"/>
        </w:rPr>
        <w:t>”.</w:t>
      </w:r>
      <w:bookmarkEnd w:id="11"/>
    </w:p>
    <w:p w:rsidR="001C722A" w:rsidRDefault="001C722A" w:rsidP="00104EC6">
      <w:pPr>
        <w:pStyle w:val="ListParagraph"/>
        <w:spacing w:before="120" w:after="100" w:line="240" w:lineRule="auto"/>
        <w:ind w:left="0"/>
        <w:jc w:val="both"/>
        <w:rPr>
          <w:rFonts w:ascii="Verdana" w:hAnsi="Verdana"/>
          <w:spacing w:val="-2"/>
          <w:sz w:val="20"/>
          <w:szCs w:val="20"/>
          <w:lang w:val="es-CR" w:bidi="en-US"/>
        </w:rPr>
      </w:pPr>
    </w:p>
    <w:p w:rsidR="001C722A" w:rsidRPr="00F2322B" w:rsidRDefault="001C722A" w:rsidP="00104EC6">
      <w:pPr>
        <w:spacing w:before="120" w:after="100"/>
        <w:ind w:left="360" w:firstLine="360"/>
        <w:rPr>
          <w:rFonts w:ascii="Verdana" w:hAnsi="Verdana"/>
          <w:sz w:val="20"/>
          <w:szCs w:val="20"/>
          <w:lang w:val="es-CR"/>
        </w:rPr>
      </w:pPr>
      <w:r>
        <w:rPr>
          <w:rFonts w:ascii="Verdana" w:hAnsi="Verdana"/>
          <w:i/>
          <w:sz w:val="20"/>
          <w:szCs w:val="20"/>
          <w:lang w:val="es-CR"/>
        </w:rPr>
        <w:t>C.2. Consideraciones de la Corte</w:t>
      </w:r>
    </w:p>
    <w:p w:rsidR="001C722A" w:rsidRPr="001C722A" w:rsidRDefault="001C722A" w:rsidP="00104EC6">
      <w:pPr>
        <w:pStyle w:val="ListParagraph"/>
        <w:spacing w:before="120" w:after="100" w:line="240" w:lineRule="auto"/>
        <w:ind w:left="0"/>
        <w:jc w:val="both"/>
        <w:rPr>
          <w:rFonts w:ascii="Verdana" w:hAnsi="Verdana"/>
          <w:sz w:val="20"/>
          <w:szCs w:val="20"/>
          <w:lang w:val="es-CR"/>
        </w:rPr>
      </w:pPr>
    </w:p>
    <w:p w:rsidR="001C722A" w:rsidRDefault="001C722A" w:rsidP="00104EC6">
      <w:pPr>
        <w:pStyle w:val="ListParagraph"/>
        <w:numPr>
          <w:ilvl w:val="0"/>
          <w:numId w:val="2"/>
        </w:numPr>
        <w:spacing w:before="120" w:after="100" w:line="240" w:lineRule="auto"/>
        <w:ind w:left="0" w:firstLine="0"/>
        <w:jc w:val="both"/>
        <w:rPr>
          <w:rFonts w:ascii="Verdana" w:hAnsi="Verdana"/>
          <w:sz w:val="20"/>
          <w:szCs w:val="20"/>
          <w:lang w:val="es-CR"/>
        </w:rPr>
      </w:pPr>
      <w:r>
        <w:rPr>
          <w:rFonts w:ascii="Verdana" w:hAnsi="Verdana"/>
          <w:sz w:val="20"/>
          <w:szCs w:val="20"/>
          <w:lang w:val="es-CR"/>
        </w:rPr>
        <w:t xml:space="preserve">La Corte constata que el Estado, a la fecha, no ha realizado </w:t>
      </w:r>
      <w:r w:rsidR="002D0E86">
        <w:rPr>
          <w:rFonts w:ascii="Verdana" w:hAnsi="Verdana"/>
          <w:sz w:val="20"/>
          <w:szCs w:val="20"/>
          <w:lang w:val="es-CR"/>
        </w:rPr>
        <w:t>el</w:t>
      </w:r>
      <w:r>
        <w:rPr>
          <w:rFonts w:ascii="Verdana" w:hAnsi="Verdana"/>
          <w:sz w:val="20"/>
          <w:szCs w:val="20"/>
          <w:lang w:val="es-CR"/>
        </w:rPr>
        <w:t xml:space="preserve"> pago a la víctima por concepto</w:t>
      </w:r>
      <w:r w:rsidR="00E20DEB">
        <w:rPr>
          <w:rFonts w:ascii="Verdana" w:hAnsi="Verdana"/>
          <w:sz w:val="20"/>
          <w:szCs w:val="20"/>
          <w:lang w:val="es-CR"/>
        </w:rPr>
        <w:t xml:space="preserve"> de</w:t>
      </w:r>
      <w:r>
        <w:rPr>
          <w:rFonts w:ascii="Verdana" w:hAnsi="Verdana"/>
          <w:sz w:val="20"/>
          <w:szCs w:val="20"/>
          <w:lang w:val="es-CR"/>
        </w:rPr>
        <w:t xml:space="preserve"> </w:t>
      </w:r>
      <w:r w:rsidR="00C76C9F">
        <w:rPr>
          <w:rFonts w:ascii="Verdana" w:hAnsi="Verdana"/>
          <w:sz w:val="20"/>
          <w:szCs w:val="20"/>
          <w:lang w:val="es-CR"/>
        </w:rPr>
        <w:t xml:space="preserve">indemnización </w:t>
      </w:r>
      <w:r w:rsidR="00E20DEB">
        <w:rPr>
          <w:rFonts w:ascii="Verdana" w:hAnsi="Verdana"/>
          <w:sz w:val="20"/>
          <w:szCs w:val="20"/>
          <w:lang w:val="es-CR"/>
        </w:rPr>
        <w:t>por</w:t>
      </w:r>
      <w:r>
        <w:rPr>
          <w:rFonts w:ascii="Verdana" w:hAnsi="Verdana"/>
          <w:sz w:val="20"/>
          <w:szCs w:val="20"/>
          <w:lang w:val="es-CR"/>
        </w:rPr>
        <w:t xml:space="preserve"> daño material e inmaterial, ni el reintegro de costas y gastos a favor del señor Luis Lamas </w:t>
      </w:r>
      <w:proofErr w:type="spellStart"/>
      <w:r>
        <w:rPr>
          <w:rFonts w:ascii="Verdana" w:hAnsi="Verdana"/>
          <w:sz w:val="20"/>
          <w:szCs w:val="20"/>
          <w:lang w:val="es-CR"/>
        </w:rPr>
        <w:t>Puccio</w:t>
      </w:r>
      <w:proofErr w:type="spellEnd"/>
      <w:r>
        <w:rPr>
          <w:rFonts w:ascii="Verdana" w:hAnsi="Verdana"/>
          <w:sz w:val="20"/>
          <w:szCs w:val="20"/>
          <w:lang w:val="es-CR"/>
        </w:rPr>
        <w:t xml:space="preserve">. Al respecto, el </w:t>
      </w:r>
      <w:r>
        <w:rPr>
          <w:rFonts w:ascii="Verdana" w:hAnsi="Verdana"/>
          <w:i/>
          <w:sz w:val="20"/>
          <w:szCs w:val="20"/>
          <w:lang w:val="es-CR"/>
        </w:rPr>
        <w:t>Estado</w:t>
      </w:r>
      <w:r>
        <w:rPr>
          <w:rFonts w:ascii="Verdana" w:hAnsi="Verdana"/>
          <w:sz w:val="20"/>
          <w:szCs w:val="20"/>
          <w:lang w:val="es-CR"/>
        </w:rPr>
        <w:t xml:space="preserve"> indicó, mediante sus informes de abril, julio y septiembre de 2018</w:t>
      </w:r>
      <w:r w:rsidR="00A87942">
        <w:rPr>
          <w:rFonts w:ascii="Verdana" w:hAnsi="Verdana"/>
          <w:sz w:val="20"/>
          <w:szCs w:val="20"/>
          <w:lang w:val="es-CR"/>
        </w:rPr>
        <w:t>,</w:t>
      </w:r>
      <w:r>
        <w:rPr>
          <w:rFonts w:ascii="Verdana" w:hAnsi="Verdana"/>
          <w:sz w:val="20"/>
          <w:szCs w:val="20"/>
          <w:lang w:val="es-CR"/>
        </w:rPr>
        <w:t xml:space="preserve"> que dichos pagos “depende[n] de la adopción de un acuerdo por parte del Consejo de Defensa Jurídica del Estado […] sobre la determinación de la institución que debe dar cumplimiento a esta obligación”. </w:t>
      </w:r>
      <w:r w:rsidR="001F0925">
        <w:rPr>
          <w:rFonts w:ascii="Verdana" w:hAnsi="Verdana"/>
          <w:sz w:val="20"/>
          <w:szCs w:val="20"/>
          <w:lang w:val="es-CR"/>
        </w:rPr>
        <w:t>E</w:t>
      </w:r>
      <w:r>
        <w:rPr>
          <w:rFonts w:ascii="Verdana" w:hAnsi="Verdana"/>
          <w:sz w:val="20"/>
          <w:szCs w:val="20"/>
          <w:lang w:val="es-CR"/>
        </w:rPr>
        <w:t xml:space="preserve">n su informe de septiembre de 2018, </w:t>
      </w:r>
      <w:r w:rsidR="001F0925">
        <w:rPr>
          <w:rFonts w:ascii="Verdana" w:hAnsi="Verdana"/>
          <w:sz w:val="20"/>
          <w:szCs w:val="20"/>
          <w:lang w:val="es-CR"/>
        </w:rPr>
        <w:t>el Perú indicó que dicho acuerdo no había sido emitido y se refirió a los trámites internos que se requieren para su emisión</w:t>
      </w:r>
      <w:r w:rsidR="001F0925">
        <w:rPr>
          <w:rStyle w:val="FootnoteReference"/>
          <w:rFonts w:ascii="Verdana" w:hAnsi="Verdana"/>
          <w:sz w:val="20"/>
          <w:szCs w:val="20"/>
          <w:lang w:val="es-CR"/>
        </w:rPr>
        <w:footnoteReference w:id="18"/>
      </w:r>
      <w:r w:rsidR="001F0925">
        <w:rPr>
          <w:rFonts w:ascii="Verdana" w:hAnsi="Verdana"/>
          <w:sz w:val="20"/>
          <w:szCs w:val="20"/>
          <w:lang w:val="es-CR"/>
        </w:rPr>
        <w:t xml:space="preserve">. </w:t>
      </w:r>
    </w:p>
    <w:p w:rsidR="001C722A" w:rsidRDefault="001C722A" w:rsidP="00104EC6">
      <w:pPr>
        <w:pStyle w:val="ListParagraph"/>
        <w:spacing w:before="120" w:after="100" w:line="240" w:lineRule="auto"/>
        <w:ind w:left="0"/>
        <w:jc w:val="both"/>
        <w:rPr>
          <w:rFonts w:ascii="Verdana" w:hAnsi="Verdana"/>
          <w:sz w:val="20"/>
          <w:szCs w:val="20"/>
          <w:lang w:val="es-CR"/>
        </w:rPr>
      </w:pPr>
    </w:p>
    <w:p w:rsidR="00D12273" w:rsidRDefault="004E1C2B" w:rsidP="00104EC6">
      <w:pPr>
        <w:pStyle w:val="ListParagraph"/>
        <w:numPr>
          <w:ilvl w:val="0"/>
          <w:numId w:val="2"/>
        </w:numPr>
        <w:spacing w:before="120" w:after="100" w:line="240" w:lineRule="auto"/>
        <w:ind w:left="0" w:firstLine="0"/>
        <w:jc w:val="both"/>
        <w:rPr>
          <w:rFonts w:ascii="Verdana" w:hAnsi="Verdana"/>
          <w:sz w:val="20"/>
          <w:lang w:val="es-CR"/>
        </w:rPr>
      </w:pPr>
      <w:r w:rsidRPr="004E1C2B">
        <w:rPr>
          <w:rFonts w:ascii="Verdana" w:hAnsi="Verdana"/>
          <w:sz w:val="20"/>
          <w:lang w:val="es-CR"/>
        </w:rPr>
        <w:t>Al respecto, la obligación de cumplir lo dispuesto en las decisiones del Tribunal corresponde a un principio básico del derecho sobre la responsabilidad internacional del Estado, respaldado por la jurisprudencia internacional, según el cual los Estados deben cumplir sus obligaciones convencionales internacionales de buena fe (</w:t>
      </w:r>
      <w:r w:rsidRPr="004E1C2B">
        <w:rPr>
          <w:rFonts w:ascii="Verdana" w:hAnsi="Verdana"/>
          <w:i/>
          <w:sz w:val="20"/>
          <w:lang w:val="es-CR"/>
        </w:rPr>
        <w:t xml:space="preserve">pacta </w:t>
      </w:r>
      <w:proofErr w:type="spellStart"/>
      <w:r w:rsidRPr="004E1C2B">
        <w:rPr>
          <w:rFonts w:ascii="Verdana" w:hAnsi="Verdana"/>
          <w:i/>
          <w:sz w:val="20"/>
          <w:lang w:val="es-CR"/>
        </w:rPr>
        <w:t>sunt</w:t>
      </w:r>
      <w:proofErr w:type="spellEnd"/>
      <w:r w:rsidRPr="004E1C2B">
        <w:rPr>
          <w:rFonts w:ascii="Verdana" w:hAnsi="Verdana"/>
          <w:i/>
          <w:sz w:val="20"/>
          <w:lang w:val="es-CR"/>
        </w:rPr>
        <w:t xml:space="preserve"> </w:t>
      </w:r>
      <w:proofErr w:type="spellStart"/>
      <w:r w:rsidRPr="004E1C2B">
        <w:rPr>
          <w:rFonts w:ascii="Verdana" w:hAnsi="Verdana"/>
          <w:i/>
          <w:sz w:val="20"/>
          <w:lang w:val="es-CR"/>
        </w:rPr>
        <w:t>servanda</w:t>
      </w:r>
      <w:proofErr w:type="spellEnd"/>
      <w:r w:rsidRPr="004E1C2B">
        <w:rPr>
          <w:rFonts w:ascii="Verdana" w:hAnsi="Verdana"/>
          <w:sz w:val="20"/>
          <w:lang w:val="es-CR"/>
        </w:rPr>
        <w:t>) y, como ya ha señalado este Tribunal y lo dispone el artículo 27 de la Convención de Viena sobre el Derecho de los Tratados de 1969, los Estados “no pueden por razones de orden interno dejar de asumir la responsabilidad internacional ya establecida”</w:t>
      </w:r>
      <w:r>
        <w:rPr>
          <w:rStyle w:val="FootnoteReference"/>
          <w:rFonts w:ascii="Verdana" w:hAnsi="Verdana"/>
        </w:rPr>
        <w:footnoteReference w:id="19"/>
      </w:r>
      <w:r w:rsidRPr="004E1C2B">
        <w:rPr>
          <w:rFonts w:ascii="Verdana" w:hAnsi="Verdana"/>
          <w:sz w:val="20"/>
          <w:lang w:val="es-CR"/>
        </w:rPr>
        <w:t xml:space="preserve">. </w:t>
      </w:r>
    </w:p>
    <w:p w:rsidR="004E1C2B" w:rsidRDefault="004E1C2B" w:rsidP="00104EC6">
      <w:pPr>
        <w:pStyle w:val="ListParagraph"/>
        <w:spacing w:before="120" w:after="100" w:line="240" w:lineRule="auto"/>
        <w:ind w:left="0"/>
        <w:jc w:val="both"/>
        <w:rPr>
          <w:rFonts w:ascii="Verdana" w:hAnsi="Verdana"/>
          <w:sz w:val="20"/>
          <w:szCs w:val="20"/>
          <w:lang w:val="es-CR"/>
        </w:rPr>
      </w:pPr>
    </w:p>
    <w:p w:rsidR="00D12273" w:rsidRPr="004E1C2B" w:rsidRDefault="001F0925" w:rsidP="00104EC6">
      <w:pPr>
        <w:pStyle w:val="ListParagraph"/>
        <w:numPr>
          <w:ilvl w:val="0"/>
          <w:numId w:val="2"/>
        </w:numPr>
        <w:spacing w:before="120" w:after="100" w:line="240" w:lineRule="auto"/>
        <w:ind w:left="0" w:firstLine="0"/>
        <w:jc w:val="both"/>
        <w:rPr>
          <w:rFonts w:ascii="Verdana" w:hAnsi="Verdana"/>
          <w:sz w:val="20"/>
          <w:lang w:val="es-CR"/>
        </w:rPr>
      </w:pPr>
      <w:r>
        <w:rPr>
          <w:rFonts w:ascii="Verdana" w:hAnsi="Verdana"/>
          <w:sz w:val="20"/>
          <w:szCs w:val="20"/>
          <w:lang w:val="es-CR"/>
        </w:rPr>
        <w:t xml:space="preserve">Tomando en cuenta que hace más de dos años </w:t>
      </w:r>
      <w:r w:rsidR="00382D6A">
        <w:rPr>
          <w:rFonts w:ascii="Verdana" w:hAnsi="Verdana"/>
          <w:sz w:val="20"/>
          <w:szCs w:val="20"/>
          <w:lang w:val="es-CR"/>
        </w:rPr>
        <w:t xml:space="preserve">venció el plazo dispuesto en la Sentencia para que el Estado procediera a </w:t>
      </w:r>
      <w:r w:rsidR="00D12273">
        <w:rPr>
          <w:rFonts w:ascii="Verdana" w:hAnsi="Verdana"/>
          <w:sz w:val="20"/>
          <w:szCs w:val="20"/>
          <w:lang w:val="es-CR"/>
        </w:rPr>
        <w:t xml:space="preserve">efectuar el </w:t>
      </w:r>
      <w:r w:rsidR="00382D6A">
        <w:rPr>
          <w:rFonts w:ascii="Verdana" w:hAnsi="Verdana"/>
          <w:sz w:val="20"/>
          <w:szCs w:val="20"/>
          <w:lang w:val="es-CR"/>
        </w:rPr>
        <w:t>pag</w:t>
      </w:r>
      <w:r w:rsidR="00D12273">
        <w:rPr>
          <w:rFonts w:ascii="Verdana" w:hAnsi="Verdana"/>
          <w:sz w:val="20"/>
          <w:szCs w:val="20"/>
          <w:lang w:val="es-CR"/>
        </w:rPr>
        <w:t>o</w:t>
      </w:r>
      <w:r w:rsidR="00382D6A">
        <w:rPr>
          <w:rFonts w:ascii="Verdana" w:hAnsi="Verdana"/>
          <w:sz w:val="20"/>
          <w:szCs w:val="20"/>
          <w:lang w:val="es-CR"/>
        </w:rPr>
        <w:t xml:space="preserve"> </w:t>
      </w:r>
      <w:r w:rsidR="00D12273">
        <w:rPr>
          <w:rFonts w:ascii="Verdana" w:hAnsi="Verdana"/>
          <w:sz w:val="20"/>
          <w:szCs w:val="20"/>
          <w:lang w:val="es-CR"/>
        </w:rPr>
        <w:t xml:space="preserve">de la </w:t>
      </w:r>
      <w:r w:rsidR="00382D6A">
        <w:rPr>
          <w:rFonts w:ascii="Verdana" w:hAnsi="Verdana"/>
          <w:sz w:val="20"/>
          <w:szCs w:val="20"/>
          <w:lang w:val="es-CR"/>
        </w:rPr>
        <w:t xml:space="preserve">indemnización </w:t>
      </w:r>
      <w:r w:rsidR="00D12273">
        <w:rPr>
          <w:rFonts w:ascii="Verdana" w:hAnsi="Verdana"/>
          <w:sz w:val="20"/>
          <w:szCs w:val="20"/>
          <w:lang w:val="es-CR"/>
        </w:rPr>
        <w:t xml:space="preserve">y el </w:t>
      </w:r>
      <w:r w:rsidR="00382D6A">
        <w:rPr>
          <w:rFonts w:ascii="Verdana" w:hAnsi="Verdana"/>
          <w:sz w:val="20"/>
          <w:szCs w:val="20"/>
          <w:lang w:val="es-CR"/>
        </w:rPr>
        <w:t>reintegro de costas y gastos</w:t>
      </w:r>
      <w:r w:rsidR="00D12273">
        <w:rPr>
          <w:rFonts w:ascii="Verdana" w:hAnsi="Verdana"/>
          <w:sz w:val="20"/>
          <w:szCs w:val="20"/>
          <w:lang w:val="es-CR"/>
        </w:rPr>
        <w:t xml:space="preserve">, la Corte recuerda que </w:t>
      </w:r>
      <w:r w:rsidR="00D12273">
        <w:rPr>
          <w:rFonts w:ascii="Verdana" w:hAnsi="Verdana" w:cs="Times-Roman"/>
          <w:sz w:val="20"/>
          <w:lang w:val="es-CR" w:bidi="en-US"/>
        </w:rPr>
        <w:t xml:space="preserve">los Estados Parte en la Convención no pueden invocar disposiciones del derecho constitucional u otros </w:t>
      </w:r>
      <w:r w:rsidR="00D12273" w:rsidRPr="004E1C2B">
        <w:rPr>
          <w:rFonts w:ascii="Verdana" w:hAnsi="Verdana"/>
          <w:sz w:val="20"/>
          <w:lang w:val="es-CR"/>
        </w:rPr>
        <w:t>aspectos</w:t>
      </w:r>
      <w:r w:rsidR="00D12273">
        <w:rPr>
          <w:rFonts w:ascii="Verdana" w:hAnsi="Verdana" w:cs="Times-Roman"/>
          <w:sz w:val="20"/>
          <w:lang w:val="es-CR" w:bidi="en-US"/>
        </w:rPr>
        <w:t xml:space="preserve"> del derecho interno para justificar una falta de cumplimiento de las obligaciones contenidas en dicho tratado</w:t>
      </w:r>
      <w:r w:rsidR="00D12273">
        <w:rPr>
          <w:rFonts w:ascii="Verdana" w:hAnsi="Verdana"/>
          <w:sz w:val="20"/>
          <w:vertAlign w:val="superscript"/>
          <w:lang w:val="es-CR"/>
        </w:rPr>
        <w:footnoteReference w:id="20"/>
      </w:r>
      <w:r w:rsidR="00D12273">
        <w:rPr>
          <w:rFonts w:ascii="Verdana" w:hAnsi="Verdana" w:cs="Times-Roman"/>
          <w:sz w:val="20"/>
          <w:lang w:val="es-CR" w:bidi="en-US"/>
        </w:rPr>
        <w:t xml:space="preserve">. </w:t>
      </w:r>
    </w:p>
    <w:p w:rsidR="004E1C2B" w:rsidRPr="00D3448A" w:rsidRDefault="004E1C2B" w:rsidP="00104EC6">
      <w:pPr>
        <w:pStyle w:val="ListParagraph"/>
        <w:spacing w:before="120" w:after="100" w:line="240" w:lineRule="auto"/>
        <w:ind w:left="0"/>
        <w:jc w:val="both"/>
        <w:rPr>
          <w:rFonts w:ascii="Verdana" w:hAnsi="Verdana"/>
          <w:sz w:val="20"/>
          <w:szCs w:val="20"/>
          <w:lang w:val="es-CR"/>
        </w:rPr>
      </w:pPr>
    </w:p>
    <w:p w:rsidR="004E1C2B" w:rsidRPr="001C722A" w:rsidRDefault="004E1C2B" w:rsidP="00104EC6">
      <w:pPr>
        <w:pStyle w:val="ListParagraph"/>
        <w:numPr>
          <w:ilvl w:val="0"/>
          <w:numId w:val="2"/>
        </w:numPr>
        <w:spacing w:before="120" w:after="100" w:line="240" w:lineRule="auto"/>
        <w:ind w:left="0" w:firstLine="0"/>
        <w:jc w:val="both"/>
        <w:rPr>
          <w:rFonts w:ascii="Verdana" w:hAnsi="Verdana"/>
          <w:sz w:val="20"/>
          <w:szCs w:val="20"/>
          <w:lang w:val="es-CR"/>
        </w:rPr>
      </w:pPr>
      <w:r>
        <w:rPr>
          <w:rFonts w:ascii="Verdana" w:hAnsi="Verdana"/>
          <w:sz w:val="20"/>
          <w:szCs w:val="20"/>
          <w:lang w:val="es-CR"/>
        </w:rPr>
        <w:t>En consecuencia, la Corte estima que la presente medida de reparación se encuentra pendiente de cumplimiento, y requiere que el Estado presente un informe</w:t>
      </w:r>
      <w:r w:rsidR="003D7070">
        <w:rPr>
          <w:rFonts w:ascii="Verdana" w:hAnsi="Verdana"/>
          <w:sz w:val="20"/>
          <w:szCs w:val="20"/>
          <w:lang w:val="es-CR"/>
        </w:rPr>
        <w:t xml:space="preserve"> sobre su cumplimiento</w:t>
      </w:r>
      <w:r>
        <w:rPr>
          <w:rFonts w:ascii="Verdana" w:hAnsi="Verdana"/>
          <w:sz w:val="20"/>
          <w:szCs w:val="20"/>
          <w:lang w:val="es-CR"/>
        </w:rPr>
        <w:t>, incluyendo el pago de los intereses moratorios que se encuentran adeudados hasta la fecha en que se realicen los</w:t>
      </w:r>
      <w:r w:rsidR="003D7070">
        <w:rPr>
          <w:rFonts w:ascii="Verdana" w:hAnsi="Verdana"/>
          <w:sz w:val="20"/>
          <w:szCs w:val="20"/>
          <w:lang w:val="es-CR"/>
        </w:rPr>
        <w:t xml:space="preserve"> pagos</w:t>
      </w:r>
      <w:r>
        <w:rPr>
          <w:rFonts w:ascii="Verdana" w:hAnsi="Verdana"/>
          <w:sz w:val="20"/>
          <w:szCs w:val="20"/>
          <w:lang w:val="es-CR"/>
        </w:rPr>
        <w:t>.</w:t>
      </w:r>
    </w:p>
    <w:p w:rsidR="001C722A" w:rsidRDefault="001C722A" w:rsidP="00104EC6">
      <w:pPr>
        <w:spacing w:before="120" w:after="100" w:line="240" w:lineRule="auto"/>
        <w:jc w:val="both"/>
        <w:rPr>
          <w:rFonts w:ascii="Verdana" w:hAnsi="Verdana"/>
          <w:sz w:val="20"/>
          <w:szCs w:val="20"/>
          <w:lang w:val="es-CR"/>
        </w:rPr>
      </w:pPr>
    </w:p>
    <w:p w:rsidR="000E24F5" w:rsidRDefault="000E24F5" w:rsidP="00104EC6">
      <w:pPr>
        <w:spacing w:before="120" w:after="100" w:line="240" w:lineRule="auto"/>
        <w:jc w:val="both"/>
        <w:rPr>
          <w:rFonts w:ascii="Verdana" w:hAnsi="Verdana"/>
          <w:b/>
          <w:sz w:val="20"/>
          <w:lang w:val="es-CR"/>
        </w:rPr>
      </w:pPr>
      <w:r>
        <w:rPr>
          <w:rFonts w:ascii="Verdana" w:hAnsi="Verdana"/>
          <w:b/>
          <w:sz w:val="20"/>
          <w:lang w:val="es-CR"/>
        </w:rPr>
        <w:lastRenderedPageBreak/>
        <w:t>POR TANTO:</w:t>
      </w:r>
    </w:p>
    <w:p w:rsidR="00F25D95" w:rsidRDefault="00F25D95" w:rsidP="00104EC6">
      <w:pPr>
        <w:spacing w:before="120" w:after="100" w:line="240" w:lineRule="auto"/>
        <w:jc w:val="both"/>
        <w:rPr>
          <w:rFonts w:ascii="Verdana" w:hAnsi="Verdana"/>
          <w:b/>
          <w:sz w:val="20"/>
          <w:lang w:val="es-CR"/>
        </w:rPr>
      </w:pPr>
    </w:p>
    <w:p w:rsidR="00F25D95" w:rsidRDefault="00F25D95" w:rsidP="00104EC6">
      <w:pPr>
        <w:spacing w:before="120" w:after="100" w:line="240" w:lineRule="auto"/>
        <w:jc w:val="both"/>
        <w:rPr>
          <w:rFonts w:ascii="Verdana" w:hAnsi="Verdana"/>
          <w:b/>
          <w:sz w:val="20"/>
          <w:lang w:val="es-CR"/>
        </w:rPr>
      </w:pPr>
      <w:r>
        <w:rPr>
          <w:rFonts w:ascii="Verdana" w:hAnsi="Verdana"/>
          <w:b/>
          <w:sz w:val="20"/>
          <w:lang w:val="es-CR"/>
        </w:rPr>
        <w:t>LA CORTE INTERAMERICANA DE DERECHOS HUMANOS,</w:t>
      </w:r>
    </w:p>
    <w:p w:rsidR="000E24F5" w:rsidRDefault="000E24F5" w:rsidP="00104EC6">
      <w:pPr>
        <w:spacing w:before="120" w:after="100" w:line="240" w:lineRule="auto"/>
        <w:jc w:val="both"/>
        <w:rPr>
          <w:rFonts w:ascii="Verdana" w:hAnsi="Verdana"/>
          <w:b/>
          <w:sz w:val="20"/>
          <w:lang w:val="es-CR"/>
        </w:rPr>
      </w:pPr>
    </w:p>
    <w:p w:rsidR="000E24F5" w:rsidRDefault="000E24F5" w:rsidP="00104EC6">
      <w:pPr>
        <w:spacing w:before="120" w:after="100" w:line="240" w:lineRule="auto"/>
        <w:jc w:val="both"/>
        <w:rPr>
          <w:rFonts w:ascii="Verdana" w:hAnsi="Verdana"/>
          <w:sz w:val="20"/>
          <w:lang w:val="es-CR"/>
        </w:rPr>
      </w:pPr>
      <w:proofErr w:type="gramStart"/>
      <w:r>
        <w:rPr>
          <w:rFonts w:ascii="Verdana" w:hAnsi="Verdana"/>
          <w:sz w:val="20"/>
          <w:lang w:val="es-CR"/>
        </w:rPr>
        <w:t>en</w:t>
      </w:r>
      <w:proofErr w:type="gramEnd"/>
      <w:r>
        <w:rPr>
          <w:rFonts w:ascii="Verdana" w:hAnsi="Verdana"/>
          <w:sz w:val="20"/>
          <w:lang w:val="es-CR"/>
        </w:rPr>
        <w:t xml:space="preserve"> el ejercicio de sus atribuciones de supervisión de cumplimiento de sus decisiones, de conformidad con los artículos 33, 62.1, 62.3, 65 y 67 y 68.1 de la Convención Americana sobre Derechos Humanos, 24, 25 y 30 del Estatuto y 31.2 y 69 de su Reglamento,</w:t>
      </w:r>
    </w:p>
    <w:p w:rsidR="000E24F5" w:rsidRDefault="000E24F5" w:rsidP="00104EC6">
      <w:pPr>
        <w:spacing w:before="120" w:after="100" w:line="240" w:lineRule="auto"/>
        <w:jc w:val="both"/>
        <w:rPr>
          <w:rFonts w:ascii="Verdana" w:hAnsi="Verdana"/>
          <w:sz w:val="20"/>
          <w:lang w:val="es-CR"/>
        </w:rPr>
      </w:pPr>
    </w:p>
    <w:p w:rsidR="000E24F5" w:rsidRDefault="000E24F5" w:rsidP="00104EC6">
      <w:pPr>
        <w:spacing w:before="120" w:after="100" w:line="240" w:lineRule="auto"/>
        <w:jc w:val="both"/>
        <w:rPr>
          <w:rFonts w:ascii="Verdana" w:hAnsi="Verdana"/>
          <w:b/>
          <w:sz w:val="20"/>
          <w:lang w:val="es-CR"/>
        </w:rPr>
      </w:pPr>
      <w:r>
        <w:rPr>
          <w:rFonts w:ascii="Verdana" w:hAnsi="Verdana"/>
          <w:b/>
          <w:sz w:val="20"/>
          <w:lang w:val="es-CR"/>
        </w:rPr>
        <w:t>RESUELVE:</w:t>
      </w:r>
    </w:p>
    <w:p w:rsidR="000E24F5" w:rsidRDefault="000E24F5" w:rsidP="00104EC6">
      <w:pPr>
        <w:spacing w:after="100" w:line="240" w:lineRule="auto"/>
        <w:jc w:val="both"/>
        <w:rPr>
          <w:rFonts w:ascii="Verdana" w:hAnsi="Verdana"/>
          <w:b/>
          <w:sz w:val="20"/>
          <w:lang w:val="es-CR"/>
        </w:rPr>
      </w:pPr>
    </w:p>
    <w:p w:rsidR="00C21DE3" w:rsidRPr="00EF48B0" w:rsidRDefault="000E24F5" w:rsidP="00104EC6">
      <w:pPr>
        <w:pStyle w:val="ListParagraph"/>
        <w:numPr>
          <w:ilvl w:val="0"/>
          <w:numId w:val="17"/>
        </w:numPr>
        <w:spacing w:before="120" w:after="100" w:line="240" w:lineRule="auto"/>
        <w:ind w:left="0" w:firstLine="0"/>
        <w:contextualSpacing w:val="0"/>
        <w:jc w:val="both"/>
        <w:rPr>
          <w:rFonts w:ascii="Verdana" w:hAnsi="Verdana"/>
          <w:sz w:val="20"/>
          <w:lang w:val="es-CR"/>
        </w:rPr>
      </w:pPr>
      <w:r w:rsidRPr="00CA70D7">
        <w:rPr>
          <w:rFonts w:ascii="Verdana" w:hAnsi="Verdana"/>
          <w:sz w:val="20"/>
          <w:lang w:val="es-CR"/>
        </w:rPr>
        <w:t xml:space="preserve">Declarar, de conformidad con lo señalado en </w:t>
      </w:r>
      <w:r w:rsidR="00B143EC">
        <w:rPr>
          <w:rFonts w:ascii="Verdana" w:hAnsi="Verdana"/>
          <w:sz w:val="20"/>
          <w:lang w:val="es-CR"/>
        </w:rPr>
        <w:t xml:space="preserve">los Considerandos </w:t>
      </w:r>
      <w:r w:rsidR="00022C17">
        <w:rPr>
          <w:rFonts w:ascii="Verdana" w:hAnsi="Verdana"/>
          <w:sz w:val="20"/>
          <w:lang w:val="es-CR"/>
        </w:rPr>
        <w:t xml:space="preserve">8 </w:t>
      </w:r>
      <w:r w:rsidR="00B143EC">
        <w:rPr>
          <w:rFonts w:ascii="Verdana" w:hAnsi="Verdana"/>
          <w:sz w:val="20"/>
          <w:lang w:val="es-CR"/>
        </w:rPr>
        <w:t xml:space="preserve">a </w:t>
      </w:r>
      <w:r w:rsidR="004E1C2B">
        <w:rPr>
          <w:rFonts w:ascii="Verdana" w:hAnsi="Verdana"/>
          <w:sz w:val="20"/>
          <w:lang w:val="es-CR"/>
        </w:rPr>
        <w:t>11</w:t>
      </w:r>
      <w:r w:rsidR="00B143EC">
        <w:rPr>
          <w:rFonts w:ascii="Verdana" w:hAnsi="Verdana"/>
          <w:sz w:val="20"/>
          <w:lang w:val="es-CR"/>
        </w:rPr>
        <w:t xml:space="preserve"> </w:t>
      </w:r>
      <w:r w:rsidRPr="00CA70D7">
        <w:rPr>
          <w:rFonts w:ascii="Verdana" w:hAnsi="Verdana"/>
          <w:sz w:val="20"/>
          <w:lang w:val="es-CR"/>
        </w:rPr>
        <w:t xml:space="preserve">de la presente Resolución, </w:t>
      </w:r>
      <w:r w:rsidR="007B7292" w:rsidRPr="00CA70D7">
        <w:rPr>
          <w:rFonts w:ascii="Verdana" w:hAnsi="Verdana"/>
          <w:sz w:val="20"/>
          <w:lang w:val="es-CR"/>
        </w:rPr>
        <w:t xml:space="preserve">que </w:t>
      </w:r>
      <w:r w:rsidR="00F2322B" w:rsidRPr="00CA70D7">
        <w:rPr>
          <w:rFonts w:ascii="Verdana" w:hAnsi="Verdana"/>
          <w:sz w:val="20"/>
          <w:lang w:val="es-CR"/>
        </w:rPr>
        <w:t xml:space="preserve">el Estado ha dado cumplimiento </w:t>
      </w:r>
      <w:r w:rsidR="00C21DE3">
        <w:rPr>
          <w:rFonts w:ascii="Verdana" w:hAnsi="Verdana"/>
          <w:sz w:val="20"/>
          <w:lang w:val="es-CR"/>
        </w:rPr>
        <w:t>total</w:t>
      </w:r>
      <w:r w:rsidR="00F2322B" w:rsidRPr="00CA70D7">
        <w:rPr>
          <w:rFonts w:ascii="Verdana" w:hAnsi="Verdana"/>
          <w:sz w:val="20"/>
          <w:lang w:val="es-CR"/>
        </w:rPr>
        <w:t xml:space="preserve"> a la</w:t>
      </w:r>
      <w:r w:rsidR="00F25D95">
        <w:rPr>
          <w:rFonts w:ascii="Verdana" w:hAnsi="Verdana"/>
          <w:sz w:val="20"/>
          <w:lang w:val="es-CR"/>
        </w:rPr>
        <w:t xml:space="preserve"> medida de reparación correspondiente </w:t>
      </w:r>
      <w:r w:rsidR="004B6CF8">
        <w:rPr>
          <w:rFonts w:ascii="Verdana" w:hAnsi="Verdana"/>
          <w:sz w:val="20"/>
          <w:lang w:val="es-CR"/>
        </w:rPr>
        <w:t xml:space="preserve">a </w:t>
      </w:r>
      <w:r w:rsidR="00EF48B0">
        <w:rPr>
          <w:rFonts w:ascii="Verdana" w:hAnsi="Verdana"/>
          <w:sz w:val="20"/>
          <w:lang w:val="es-CR"/>
        </w:rPr>
        <w:t xml:space="preserve">realizar las publicaciones </w:t>
      </w:r>
      <w:r w:rsidR="00E37CA7">
        <w:rPr>
          <w:rFonts w:ascii="Verdana" w:hAnsi="Verdana"/>
          <w:sz w:val="20"/>
          <w:lang w:val="es-CR"/>
        </w:rPr>
        <w:t xml:space="preserve">de la </w:t>
      </w:r>
      <w:r w:rsidR="00EF48B0">
        <w:rPr>
          <w:rFonts w:ascii="Verdana" w:hAnsi="Verdana"/>
          <w:sz w:val="20"/>
          <w:lang w:val="es-CR"/>
        </w:rPr>
        <w:t>Sentencia</w:t>
      </w:r>
      <w:r w:rsidR="00E37CA7">
        <w:rPr>
          <w:rFonts w:ascii="Verdana" w:hAnsi="Verdana"/>
          <w:sz w:val="20"/>
          <w:lang w:val="es-CR"/>
        </w:rPr>
        <w:t xml:space="preserve"> </w:t>
      </w:r>
      <w:r w:rsidR="00ED7602">
        <w:rPr>
          <w:rFonts w:ascii="Verdana" w:hAnsi="Verdana"/>
          <w:sz w:val="20"/>
          <w:lang w:val="es-CR"/>
        </w:rPr>
        <w:t xml:space="preserve">y su resumen oficial </w:t>
      </w:r>
      <w:r w:rsidR="00E37CA7">
        <w:rPr>
          <w:rFonts w:ascii="Verdana" w:hAnsi="Verdana"/>
          <w:sz w:val="20"/>
          <w:lang w:val="es-CR"/>
        </w:rPr>
        <w:t>indicadas en la misma</w:t>
      </w:r>
      <w:r w:rsidR="00F25D95">
        <w:rPr>
          <w:rFonts w:ascii="Verdana" w:hAnsi="Verdana"/>
          <w:sz w:val="20"/>
          <w:szCs w:val="20"/>
          <w:lang w:val="es-CR"/>
        </w:rPr>
        <w:t xml:space="preserve"> (</w:t>
      </w:r>
      <w:r w:rsidR="00F25D95">
        <w:rPr>
          <w:rFonts w:ascii="Verdana" w:hAnsi="Verdana"/>
          <w:i/>
          <w:sz w:val="20"/>
          <w:szCs w:val="20"/>
          <w:lang w:val="es-CR"/>
        </w:rPr>
        <w:t xml:space="preserve">punto resolutivo </w:t>
      </w:r>
      <w:r w:rsidR="00EF48B0">
        <w:rPr>
          <w:rFonts w:ascii="Verdana" w:hAnsi="Verdana"/>
          <w:i/>
          <w:sz w:val="20"/>
          <w:szCs w:val="20"/>
          <w:lang w:val="es-CR"/>
        </w:rPr>
        <w:t>décimo cuarto</w:t>
      </w:r>
      <w:r w:rsidR="00F25D95">
        <w:rPr>
          <w:rFonts w:ascii="Verdana" w:hAnsi="Verdana"/>
          <w:i/>
          <w:sz w:val="20"/>
          <w:szCs w:val="20"/>
          <w:lang w:val="es-CR"/>
        </w:rPr>
        <w:t xml:space="preserve"> de la Sentencia</w:t>
      </w:r>
      <w:r w:rsidR="00F25D95">
        <w:rPr>
          <w:rFonts w:ascii="Verdana" w:hAnsi="Verdana"/>
          <w:sz w:val="20"/>
          <w:szCs w:val="20"/>
          <w:lang w:val="es-CR"/>
        </w:rPr>
        <w:t xml:space="preserve">). </w:t>
      </w:r>
    </w:p>
    <w:p w:rsidR="00EF48B0" w:rsidRPr="00EF48B0" w:rsidRDefault="00EF48B0" w:rsidP="00104EC6">
      <w:pPr>
        <w:pStyle w:val="ListParagraph"/>
        <w:spacing w:before="120" w:after="100" w:line="240" w:lineRule="auto"/>
        <w:ind w:left="0"/>
        <w:contextualSpacing w:val="0"/>
        <w:jc w:val="both"/>
        <w:rPr>
          <w:rFonts w:ascii="Verdana" w:hAnsi="Verdana"/>
          <w:sz w:val="20"/>
          <w:lang w:val="es-CR"/>
        </w:rPr>
      </w:pPr>
    </w:p>
    <w:p w:rsidR="00EF48B0" w:rsidRPr="00EF48B0" w:rsidRDefault="00EF48B0" w:rsidP="00104EC6">
      <w:pPr>
        <w:pStyle w:val="ListParagraph"/>
        <w:numPr>
          <w:ilvl w:val="0"/>
          <w:numId w:val="17"/>
        </w:numPr>
        <w:spacing w:before="120" w:after="100" w:line="240" w:lineRule="auto"/>
        <w:ind w:left="0" w:firstLine="0"/>
        <w:contextualSpacing w:val="0"/>
        <w:jc w:val="both"/>
        <w:rPr>
          <w:rFonts w:ascii="Verdana" w:hAnsi="Verdana"/>
          <w:sz w:val="20"/>
          <w:szCs w:val="20"/>
          <w:lang w:val="es-CR"/>
        </w:rPr>
      </w:pPr>
      <w:r w:rsidRPr="00EF48B0">
        <w:rPr>
          <w:rFonts w:ascii="Verdana" w:hAnsi="Verdana"/>
          <w:sz w:val="20"/>
          <w:szCs w:val="20"/>
          <w:lang w:val="es-CR"/>
        </w:rPr>
        <w:t xml:space="preserve">Declarar, de conformidad con lo señalado en </w:t>
      </w:r>
      <w:r w:rsidR="00022C17">
        <w:rPr>
          <w:rFonts w:ascii="Verdana" w:hAnsi="Verdana"/>
          <w:sz w:val="20"/>
          <w:szCs w:val="20"/>
          <w:lang w:val="es-CR"/>
        </w:rPr>
        <w:t>e</w:t>
      </w:r>
      <w:r w:rsidR="00E37CA7">
        <w:rPr>
          <w:rFonts w:ascii="Verdana" w:hAnsi="Verdana"/>
          <w:sz w:val="20"/>
          <w:szCs w:val="20"/>
          <w:lang w:val="es-CR"/>
        </w:rPr>
        <w:t>l</w:t>
      </w:r>
      <w:r w:rsidRPr="00EF48B0">
        <w:rPr>
          <w:rFonts w:ascii="Verdana" w:hAnsi="Verdana"/>
          <w:sz w:val="20"/>
          <w:szCs w:val="20"/>
          <w:lang w:val="es-CR"/>
        </w:rPr>
        <w:t xml:space="preserve"> Considerando </w:t>
      </w:r>
      <w:r w:rsidR="004E1C2B">
        <w:rPr>
          <w:rFonts w:ascii="Verdana" w:hAnsi="Verdana"/>
          <w:sz w:val="20"/>
          <w:szCs w:val="20"/>
          <w:lang w:val="es-CR"/>
        </w:rPr>
        <w:t>6</w:t>
      </w:r>
      <w:r w:rsidR="00E37CA7">
        <w:rPr>
          <w:rFonts w:ascii="Verdana" w:hAnsi="Verdana"/>
          <w:sz w:val="20"/>
          <w:szCs w:val="20"/>
          <w:lang w:val="es-CR"/>
        </w:rPr>
        <w:t xml:space="preserve"> </w:t>
      </w:r>
      <w:r w:rsidRPr="00EF48B0">
        <w:rPr>
          <w:rFonts w:ascii="Verdana" w:hAnsi="Verdana"/>
          <w:sz w:val="20"/>
          <w:szCs w:val="20"/>
          <w:lang w:val="es-CR"/>
        </w:rPr>
        <w:t xml:space="preserve"> de la presente Resolución, que ha concluido la supervisión de cumplimiento de la medida de reparación correspondiente a “revisar inmediatamente la privación de libertad del señor Wong Ho </w:t>
      </w:r>
      <w:proofErr w:type="spellStart"/>
      <w:r w:rsidRPr="00EF48B0">
        <w:rPr>
          <w:rFonts w:ascii="Verdana" w:hAnsi="Verdana"/>
          <w:sz w:val="20"/>
          <w:szCs w:val="20"/>
          <w:lang w:val="es-CR"/>
        </w:rPr>
        <w:t>Wing</w:t>
      </w:r>
      <w:proofErr w:type="spellEnd"/>
      <w:r w:rsidRPr="00EF48B0">
        <w:rPr>
          <w:rFonts w:ascii="Verdana" w:hAnsi="Verdana"/>
          <w:sz w:val="20"/>
          <w:szCs w:val="20"/>
          <w:lang w:val="es-CR"/>
        </w:rPr>
        <w:t>” (</w:t>
      </w:r>
      <w:r w:rsidRPr="00EF48B0">
        <w:rPr>
          <w:rFonts w:ascii="Verdana" w:hAnsi="Verdana"/>
          <w:i/>
          <w:sz w:val="20"/>
          <w:szCs w:val="20"/>
          <w:lang w:val="es-CR"/>
        </w:rPr>
        <w:t>punto resolutivo décimo tercero de la Sentencia</w:t>
      </w:r>
      <w:r w:rsidRPr="00EF48B0">
        <w:rPr>
          <w:rFonts w:ascii="Verdana" w:hAnsi="Verdana"/>
          <w:sz w:val="20"/>
          <w:szCs w:val="20"/>
          <w:lang w:val="es-CR"/>
        </w:rPr>
        <w:t xml:space="preserve">). </w:t>
      </w:r>
    </w:p>
    <w:p w:rsidR="00C21DE3" w:rsidRDefault="00C21DE3" w:rsidP="00104EC6">
      <w:pPr>
        <w:pStyle w:val="ListParagraph"/>
        <w:spacing w:before="120" w:after="100" w:line="240" w:lineRule="auto"/>
        <w:ind w:left="0"/>
        <w:contextualSpacing w:val="0"/>
        <w:jc w:val="both"/>
        <w:rPr>
          <w:rFonts w:ascii="Verdana" w:hAnsi="Verdana"/>
          <w:sz w:val="20"/>
          <w:lang w:val="es-CR"/>
        </w:rPr>
      </w:pPr>
    </w:p>
    <w:p w:rsidR="005E70CB" w:rsidRPr="00F25D95" w:rsidRDefault="00CA70D7" w:rsidP="00104EC6">
      <w:pPr>
        <w:pStyle w:val="ListParagraph"/>
        <w:numPr>
          <w:ilvl w:val="0"/>
          <w:numId w:val="17"/>
        </w:numPr>
        <w:spacing w:before="120" w:after="100" w:line="240" w:lineRule="auto"/>
        <w:ind w:left="0" w:firstLine="0"/>
        <w:contextualSpacing w:val="0"/>
        <w:jc w:val="both"/>
        <w:rPr>
          <w:rFonts w:ascii="Verdana" w:hAnsi="Verdana"/>
          <w:sz w:val="20"/>
          <w:szCs w:val="20"/>
          <w:lang w:val="es-CR"/>
        </w:rPr>
      </w:pPr>
      <w:r w:rsidRPr="00F25D95">
        <w:rPr>
          <w:rFonts w:ascii="Verdana" w:hAnsi="Verdana"/>
          <w:sz w:val="20"/>
          <w:szCs w:val="20"/>
          <w:lang w:val="es-CR"/>
        </w:rPr>
        <w:t>Mantener abierto el procedimiento de supervisión de cumplimiento de la</w:t>
      </w:r>
      <w:r w:rsidR="00ED7602">
        <w:rPr>
          <w:rFonts w:ascii="Verdana" w:hAnsi="Verdana"/>
          <w:sz w:val="20"/>
          <w:szCs w:val="20"/>
          <w:lang w:val="es-CR"/>
        </w:rPr>
        <w:t>s</w:t>
      </w:r>
      <w:r w:rsidRPr="00F25D95">
        <w:rPr>
          <w:rFonts w:ascii="Verdana" w:hAnsi="Verdana"/>
          <w:sz w:val="20"/>
          <w:szCs w:val="20"/>
          <w:lang w:val="es-CR"/>
        </w:rPr>
        <w:t xml:space="preserve"> medida</w:t>
      </w:r>
      <w:r w:rsidR="00ED7602">
        <w:rPr>
          <w:rFonts w:ascii="Verdana" w:hAnsi="Verdana"/>
          <w:sz w:val="20"/>
          <w:szCs w:val="20"/>
          <w:lang w:val="es-CR"/>
        </w:rPr>
        <w:t>s</w:t>
      </w:r>
      <w:r w:rsidRPr="00F25D95">
        <w:rPr>
          <w:rFonts w:ascii="Verdana" w:hAnsi="Verdana"/>
          <w:sz w:val="20"/>
          <w:szCs w:val="20"/>
          <w:lang w:val="es-CR"/>
        </w:rPr>
        <w:t xml:space="preserve"> de reparación</w:t>
      </w:r>
      <w:r w:rsidR="00F25D95" w:rsidRPr="00F25D95">
        <w:rPr>
          <w:rFonts w:ascii="Verdana" w:hAnsi="Verdana"/>
          <w:sz w:val="20"/>
          <w:szCs w:val="20"/>
          <w:lang w:val="es-CR"/>
        </w:rPr>
        <w:t xml:space="preserve"> relativa</w:t>
      </w:r>
      <w:r w:rsidR="00ED7602">
        <w:rPr>
          <w:rFonts w:ascii="Verdana" w:hAnsi="Verdana"/>
          <w:sz w:val="20"/>
          <w:szCs w:val="20"/>
          <w:lang w:val="es-CR"/>
        </w:rPr>
        <w:t>s</w:t>
      </w:r>
      <w:r w:rsidR="00F25D95" w:rsidRPr="00F25D95">
        <w:rPr>
          <w:rFonts w:ascii="Verdana" w:hAnsi="Verdana"/>
          <w:sz w:val="20"/>
          <w:szCs w:val="20"/>
          <w:lang w:val="es-CR"/>
        </w:rPr>
        <w:t xml:space="preserve"> a “pagar las cantidades fijadas en los párrafos </w:t>
      </w:r>
      <w:r w:rsidR="00EF48B0">
        <w:rPr>
          <w:rFonts w:ascii="Verdana" w:hAnsi="Verdana"/>
          <w:sz w:val="20"/>
          <w:szCs w:val="20"/>
          <w:lang w:val="es-CR"/>
        </w:rPr>
        <w:t>317 y 3</w:t>
      </w:r>
      <w:r w:rsidR="00F25D95" w:rsidRPr="00F25D95">
        <w:rPr>
          <w:rFonts w:ascii="Verdana" w:hAnsi="Verdana"/>
          <w:sz w:val="20"/>
          <w:szCs w:val="20"/>
          <w:lang w:val="es-CR"/>
        </w:rPr>
        <w:t xml:space="preserve">22 </w:t>
      </w:r>
      <w:r w:rsidR="00EF48B0">
        <w:rPr>
          <w:rFonts w:ascii="Verdana" w:hAnsi="Verdana"/>
          <w:sz w:val="20"/>
          <w:szCs w:val="20"/>
          <w:lang w:val="es-CR"/>
        </w:rPr>
        <w:t>de l</w:t>
      </w:r>
      <w:r w:rsidR="00F25D95" w:rsidRPr="00F25D95">
        <w:rPr>
          <w:rFonts w:ascii="Verdana" w:hAnsi="Verdana"/>
          <w:sz w:val="20"/>
          <w:szCs w:val="20"/>
          <w:lang w:val="es-CR"/>
        </w:rPr>
        <w:t>a […] Sentencia, por concepto de indemnizaci</w:t>
      </w:r>
      <w:r w:rsidR="00EF48B0">
        <w:rPr>
          <w:rFonts w:ascii="Verdana" w:hAnsi="Verdana"/>
          <w:sz w:val="20"/>
          <w:szCs w:val="20"/>
          <w:lang w:val="es-CR"/>
        </w:rPr>
        <w:t>ó</w:t>
      </w:r>
      <w:r w:rsidR="00F25D95" w:rsidRPr="00F25D95">
        <w:rPr>
          <w:rFonts w:ascii="Verdana" w:hAnsi="Verdana"/>
          <w:sz w:val="20"/>
          <w:szCs w:val="20"/>
          <w:lang w:val="es-CR"/>
        </w:rPr>
        <w:t>n por daño material e inmaterial y por el reintegro de costas y gastos</w:t>
      </w:r>
      <w:r w:rsidR="00F25D95">
        <w:rPr>
          <w:rFonts w:ascii="Verdana" w:hAnsi="Verdana"/>
          <w:sz w:val="20"/>
          <w:szCs w:val="20"/>
          <w:lang w:val="es-CR"/>
        </w:rPr>
        <w:t xml:space="preserve">” </w:t>
      </w:r>
      <w:r w:rsidR="00C21DE3" w:rsidRPr="00F25D95">
        <w:rPr>
          <w:rFonts w:ascii="Verdana" w:hAnsi="Verdana"/>
          <w:sz w:val="20"/>
          <w:szCs w:val="20"/>
          <w:lang w:val="es-CR"/>
        </w:rPr>
        <w:t>(</w:t>
      </w:r>
      <w:r w:rsidR="00C21DE3" w:rsidRPr="00F25D95">
        <w:rPr>
          <w:rFonts w:ascii="Verdana" w:hAnsi="Verdana"/>
          <w:i/>
          <w:sz w:val="20"/>
          <w:szCs w:val="20"/>
          <w:lang w:val="es-CR"/>
        </w:rPr>
        <w:t xml:space="preserve">punto resolutivo </w:t>
      </w:r>
      <w:r w:rsidR="00EF48B0">
        <w:rPr>
          <w:rFonts w:ascii="Verdana" w:hAnsi="Verdana"/>
          <w:i/>
          <w:sz w:val="20"/>
          <w:szCs w:val="20"/>
          <w:lang w:val="es-CR"/>
        </w:rPr>
        <w:t>décimo quinto</w:t>
      </w:r>
      <w:r w:rsidR="00C21DE3" w:rsidRPr="00F25D95">
        <w:rPr>
          <w:rFonts w:ascii="Verdana" w:hAnsi="Verdana"/>
          <w:i/>
          <w:sz w:val="20"/>
          <w:szCs w:val="20"/>
          <w:lang w:val="es-CR"/>
        </w:rPr>
        <w:t xml:space="preserve"> de la Sentencia</w:t>
      </w:r>
      <w:r w:rsidR="00C21DE3" w:rsidRPr="00F25D95">
        <w:rPr>
          <w:rFonts w:ascii="Verdana" w:hAnsi="Verdana"/>
          <w:sz w:val="20"/>
          <w:szCs w:val="20"/>
          <w:lang w:val="es-CR"/>
        </w:rPr>
        <w:t>)</w:t>
      </w:r>
      <w:r w:rsidR="005E70CB" w:rsidRPr="00F25D95">
        <w:rPr>
          <w:rFonts w:ascii="Verdana" w:hAnsi="Verdana"/>
          <w:sz w:val="20"/>
          <w:szCs w:val="20"/>
          <w:lang w:val="es-CR"/>
        </w:rPr>
        <w:t>.</w:t>
      </w:r>
    </w:p>
    <w:p w:rsidR="005E70CB" w:rsidRPr="005E70CB" w:rsidRDefault="005E70CB" w:rsidP="00104EC6">
      <w:pPr>
        <w:pStyle w:val="ListParagraph"/>
        <w:spacing w:before="120" w:after="100"/>
        <w:contextualSpacing w:val="0"/>
        <w:rPr>
          <w:rFonts w:ascii="Verdana" w:hAnsi="Verdana"/>
          <w:sz w:val="20"/>
          <w:szCs w:val="20"/>
          <w:lang w:val="es-CR"/>
        </w:rPr>
      </w:pPr>
    </w:p>
    <w:p w:rsidR="004E1C2B" w:rsidRDefault="004E1C2B" w:rsidP="00104EC6">
      <w:pPr>
        <w:pStyle w:val="ListParagraph"/>
        <w:numPr>
          <w:ilvl w:val="0"/>
          <w:numId w:val="17"/>
        </w:numPr>
        <w:spacing w:before="120" w:after="100" w:line="240" w:lineRule="auto"/>
        <w:ind w:left="0" w:firstLine="0"/>
        <w:contextualSpacing w:val="0"/>
        <w:jc w:val="both"/>
        <w:rPr>
          <w:rFonts w:ascii="Verdana" w:hAnsi="Verdana"/>
          <w:sz w:val="20"/>
          <w:lang w:val="es-CR"/>
        </w:rPr>
      </w:pPr>
      <w:r w:rsidRPr="004E1C2B">
        <w:rPr>
          <w:rFonts w:ascii="Verdana" w:hAnsi="Verdana"/>
          <w:sz w:val="20"/>
          <w:lang w:val="es-CR"/>
        </w:rPr>
        <w:t xml:space="preserve">Disponer que el Estado presente a la Corte Interamericana de Derechos Humanos, a más tardar el </w:t>
      </w:r>
      <w:r w:rsidR="00CF1B59">
        <w:rPr>
          <w:rFonts w:ascii="Verdana" w:hAnsi="Verdana"/>
          <w:sz w:val="20"/>
          <w:lang w:val="es-CR"/>
        </w:rPr>
        <w:t>15</w:t>
      </w:r>
      <w:r w:rsidRPr="004E1C2B">
        <w:rPr>
          <w:rFonts w:ascii="Verdana" w:hAnsi="Verdana"/>
          <w:sz w:val="20"/>
          <w:lang w:val="es-CR"/>
        </w:rPr>
        <w:t xml:space="preserve"> de </w:t>
      </w:r>
      <w:r w:rsidR="00CF1B59">
        <w:rPr>
          <w:rFonts w:ascii="Verdana" w:hAnsi="Verdana"/>
          <w:sz w:val="20"/>
          <w:lang w:val="es-CR"/>
        </w:rPr>
        <w:t>febrero</w:t>
      </w:r>
      <w:r w:rsidRPr="004E1C2B">
        <w:rPr>
          <w:rFonts w:ascii="Verdana" w:hAnsi="Verdana"/>
          <w:sz w:val="20"/>
          <w:lang w:val="es-CR"/>
        </w:rPr>
        <w:t xml:space="preserve"> de 201</w:t>
      </w:r>
      <w:r w:rsidR="00ED7602">
        <w:rPr>
          <w:rFonts w:ascii="Verdana" w:hAnsi="Verdana"/>
          <w:sz w:val="20"/>
          <w:lang w:val="es-CR"/>
        </w:rPr>
        <w:t>9</w:t>
      </w:r>
      <w:r w:rsidRPr="004E1C2B">
        <w:rPr>
          <w:rFonts w:ascii="Verdana" w:hAnsi="Verdana"/>
          <w:sz w:val="20"/>
          <w:lang w:val="es-CR"/>
        </w:rPr>
        <w:t xml:space="preserve">, un informe </w:t>
      </w:r>
      <w:r w:rsidR="00ED7602">
        <w:rPr>
          <w:rFonts w:ascii="Verdana" w:hAnsi="Verdana"/>
          <w:sz w:val="20"/>
          <w:lang w:val="es-CR"/>
        </w:rPr>
        <w:t xml:space="preserve">sobre el cumplimiento de </w:t>
      </w:r>
      <w:r>
        <w:rPr>
          <w:rFonts w:ascii="Verdana" w:hAnsi="Verdana"/>
          <w:sz w:val="20"/>
          <w:lang w:val="es-CR"/>
        </w:rPr>
        <w:t>la</w:t>
      </w:r>
      <w:r w:rsidR="00ED7602">
        <w:rPr>
          <w:rFonts w:ascii="Verdana" w:hAnsi="Verdana"/>
          <w:sz w:val="20"/>
          <w:lang w:val="es-CR"/>
        </w:rPr>
        <w:t>s</w:t>
      </w:r>
      <w:r>
        <w:rPr>
          <w:rFonts w:ascii="Verdana" w:hAnsi="Verdana"/>
          <w:sz w:val="20"/>
          <w:lang w:val="es-CR"/>
        </w:rPr>
        <w:t xml:space="preserve"> medida</w:t>
      </w:r>
      <w:r w:rsidR="00ED7602">
        <w:rPr>
          <w:rFonts w:ascii="Verdana" w:hAnsi="Verdana"/>
          <w:sz w:val="20"/>
          <w:lang w:val="es-CR"/>
        </w:rPr>
        <w:t>s</w:t>
      </w:r>
      <w:r>
        <w:rPr>
          <w:rFonts w:ascii="Verdana" w:hAnsi="Verdana"/>
          <w:sz w:val="20"/>
          <w:lang w:val="es-CR"/>
        </w:rPr>
        <w:t xml:space="preserve"> de reparación indicada</w:t>
      </w:r>
      <w:r w:rsidR="00ED7602">
        <w:rPr>
          <w:rFonts w:ascii="Verdana" w:hAnsi="Verdana"/>
          <w:sz w:val="20"/>
          <w:lang w:val="es-CR"/>
        </w:rPr>
        <w:t>s</w:t>
      </w:r>
      <w:r>
        <w:rPr>
          <w:rFonts w:ascii="Verdana" w:hAnsi="Verdana"/>
          <w:sz w:val="20"/>
          <w:lang w:val="es-CR"/>
        </w:rPr>
        <w:t xml:space="preserve"> en el punto resolutivo anterior</w:t>
      </w:r>
      <w:r w:rsidRPr="004E1C2B">
        <w:rPr>
          <w:rFonts w:ascii="Verdana" w:hAnsi="Verdana"/>
          <w:sz w:val="20"/>
          <w:lang w:val="es-CR"/>
        </w:rPr>
        <w:t>.</w:t>
      </w:r>
    </w:p>
    <w:p w:rsidR="004E1C2B" w:rsidRPr="004E1C2B" w:rsidRDefault="004E1C2B" w:rsidP="00104EC6">
      <w:pPr>
        <w:pStyle w:val="ListParagraph"/>
        <w:spacing w:before="120" w:after="100"/>
        <w:contextualSpacing w:val="0"/>
        <w:rPr>
          <w:rFonts w:ascii="Verdana" w:hAnsi="Verdana"/>
          <w:sz w:val="20"/>
          <w:lang w:val="es-CR"/>
        </w:rPr>
      </w:pPr>
    </w:p>
    <w:p w:rsidR="004E1C2B" w:rsidRPr="004E1C2B" w:rsidRDefault="004E1C2B" w:rsidP="00104EC6">
      <w:pPr>
        <w:pStyle w:val="ListParagraph"/>
        <w:numPr>
          <w:ilvl w:val="0"/>
          <w:numId w:val="17"/>
        </w:numPr>
        <w:spacing w:before="120" w:after="100" w:line="240" w:lineRule="auto"/>
        <w:ind w:left="0" w:firstLine="0"/>
        <w:contextualSpacing w:val="0"/>
        <w:jc w:val="both"/>
        <w:rPr>
          <w:rFonts w:ascii="Verdana" w:hAnsi="Verdana"/>
          <w:sz w:val="20"/>
          <w:lang w:val="es-CR"/>
        </w:rPr>
      </w:pPr>
      <w:r w:rsidRPr="004E1C2B">
        <w:rPr>
          <w:rFonts w:ascii="Verdana" w:hAnsi="Verdana"/>
          <w:sz w:val="20"/>
          <w:lang w:val="es-CR"/>
        </w:rPr>
        <w:t xml:space="preserve">Disponer que </w:t>
      </w:r>
      <w:r w:rsidR="00B364DC">
        <w:rPr>
          <w:rFonts w:ascii="Verdana" w:hAnsi="Verdana"/>
          <w:sz w:val="20"/>
          <w:lang w:val="es-CR"/>
        </w:rPr>
        <w:t>el</w:t>
      </w:r>
      <w:r w:rsidRPr="004E1C2B">
        <w:rPr>
          <w:rFonts w:ascii="Verdana" w:hAnsi="Verdana"/>
          <w:sz w:val="20"/>
          <w:lang w:val="es-CR"/>
        </w:rPr>
        <w:t xml:space="preserve"> representante de la víctima y la Comisión Interamericana de Derechos Humanos presenten observaciones al informe del Estado mencionado en el punto resolutivo anterior, en los plazos de cuatro y seis semanas, respectivamente, contados a</w:t>
      </w:r>
      <w:r>
        <w:rPr>
          <w:rFonts w:ascii="Verdana" w:hAnsi="Verdana"/>
          <w:sz w:val="20"/>
          <w:lang w:val="es-CR"/>
        </w:rPr>
        <w:t xml:space="preserve"> </w:t>
      </w:r>
      <w:r w:rsidRPr="004E1C2B">
        <w:rPr>
          <w:rFonts w:ascii="Verdana" w:hAnsi="Verdana"/>
          <w:sz w:val="20"/>
          <w:lang w:val="es-CR"/>
        </w:rPr>
        <w:t>partir de la recepción del informe.</w:t>
      </w:r>
    </w:p>
    <w:p w:rsidR="004E1C2B" w:rsidRPr="004E1C2B" w:rsidRDefault="004E1C2B" w:rsidP="00104EC6">
      <w:pPr>
        <w:spacing w:before="120" w:after="100" w:line="240" w:lineRule="auto"/>
        <w:jc w:val="both"/>
        <w:rPr>
          <w:rFonts w:ascii="Verdana" w:hAnsi="Verdana"/>
          <w:sz w:val="20"/>
          <w:lang w:val="es-CR"/>
        </w:rPr>
      </w:pPr>
    </w:p>
    <w:p w:rsidR="005E70CB" w:rsidRPr="005E70CB" w:rsidRDefault="005E70CB" w:rsidP="00104EC6">
      <w:pPr>
        <w:pStyle w:val="ListParagraph"/>
        <w:numPr>
          <w:ilvl w:val="0"/>
          <w:numId w:val="17"/>
        </w:numPr>
        <w:spacing w:before="120" w:after="100" w:line="240" w:lineRule="auto"/>
        <w:ind w:left="0" w:firstLine="0"/>
        <w:contextualSpacing w:val="0"/>
        <w:jc w:val="both"/>
        <w:rPr>
          <w:rFonts w:ascii="Verdana" w:hAnsi="Verdana"/>
          <w:sz w:val="20"/>
          <w:lang w:val="es-CR"/>
        </w:rPr>
      </w:pPr>
      <w:r w:rsidRPr="005E70CB">
        <w:rPr>
          <w:rFonts w:ascii="Verdana" w:hAnsi="Verdana"/>
          <w:sz w:val="20"/>
          <w:szCs w:val="20"/>
          <w:lang w:val="es-CR"/>
        </w:rPr>
        <w:t>Requerir a la Secretaría de la Corte que notifique la presente Resolución al Estado, a</w:t>
      </w:r>
      <w:r w:rsidR="004B6CF8">
        <w:rPr>
          <w:rFonts w:ascii="Verdana" w:hAnsi="Verdana"/>
          <w:sz w:val="20"/>
          <w:szCs w:val="20"/>
          <w:lang w:val="es-CR"/>
        </w:rPr>
        <w:t>l</w:t>
      </w:r>
      <w:r w:rsidRPr="005E70CB">
        <w:rPr>
          <w:rFonts w:ascii="Verdana" w:hAnsi="Verdana"/>
          <w:sz w:val="20"/>
          <w:szCs w:val="20"/>
          <w:lang w:val="es-CR"/>
        </w:rPr>
        <w:t xml:space="preserve"> representante de la víctima y a la Comisión Interamericana de Derechos Humanos.</w:t>
      </w:r>
    </w:p>
    <w:p w:rsidR="00CA70D7" w:rsidRDefault="00CA70D7" w:rsidP="00AF0F9C">
      <w:pPr>
        <w:rPr>
          <w:rFonts w:ascii="Verdana" w:hAnsi="Verdana"/>
          <w:sz w:val="20"/>
          <w:szCs w:val="20"/>
          <w:lang w:val="es-CR"/>
        </w:rPr>
      </w:pPr>
    </w:p>
    <w:p w:rsidR="00203C86" w:rsidRDefault="00203C86" w:rsidP="00AF0F9C">
      <w:pPr>
        <w:rPr>
          <w:rFonts w:ascii="Verdana" w:hAnsi="Verdana"/>
          <w:sz w:val="20"/>
          <w:szCs w:val="20"/>
          <w:lang w:val="es-CR"/>
        </w:rPr>
      </w:pPr>
    </w:p>
    <w:p w:rsidR="00203C86" w:rsidRDefault="00203C86" w:rsidP="00AF0F9C">
      <w:pPr>
        <w:rPr>
          <w:rFonts w:ascii="Verdana" w:hAnsi="Verdana"/>
          <w:sz w:val="20"/>
          <w:szCs w:val="20"/>
          <w:lang w:val="es-CR"/>
        </w:rPr>
      </w:pPr>
    </w:p>
    <w:p w:rsidR="00203C86" w:rsidRDefault="00203C86" w:rsidP="00AF0F9C">
      <w:pPr>
        <w:rPr>
          <w:rFonts w:ascii="Verdana" w:hAnsi="Verdana"/>
          <w:sz w:val="20"/>
          <w:szCs w:val="20"/>
          <w:lang w:val="es-CR"/>
        </w:rPr>
      </w:pPr>
    </w:p>
    <w:p w:rsidR="00203C86" w:rsidRPr="00503CED" w:rsidRDefault="00203C86" w:rsidP="00203C86">
      <w:pPr>
        <w:keepNext/>
        <w:jc w:val="both"/>
        <w:outlineLvl w:val="0"/>
        <w:rPr>
          <w:rFonts w:ascii="Verdana" w:hAnsi="Verdana" w:cs="Verdana"/>
          <w:b/>
          <w:bCs/>
          <w:sz w:val="20"/>
          <w:lang w:val="es-ES"/>
        </w:rPr>
      </w:pPr>
      <w:r w:rsidRPr="00363E3D">
        <w:rPr>
          <w:rFonts w:ascii="Verdana" w:hAnsi="Verdana" w:cs="Courier New"/>
          <w:noProof/>
          <w:sz w:val="20"/>
        </w:rPr>
        <w:lastRenderedPageBreak/>
        <w:t xml:space="preserve">Corte IDH. </w:t>
      </w:r>
      <w:proofErr w:type="spellStart"/>
      <w:r w:rsidRPr="00363E3D">
        <w:rPr>
          <w:rFonts w:ascii="Verdana" w:hAnsi="Verdana"/>
          <w:bCs/>
          <w:i/>
          <w:sz w:val="20"/>
        </w:rPr>
        <w:t>Caso</w:t>
      </w:r>
      <w:proofErr w:type="spellEnd"/>
      <w:r w:rsidRPr="00363E3D">
        <w:rPr>
          <w:rFonts w:ascii="Verdana" w:hAnsi="Verdana"/>
          <w:bCs/>
          <w:i/>
          <w:sz w:val="20"/>
        </w:rPr>
        <w:t xml:space="preserve"> Wong Ho Wing </w:t>
      </w:r>
      <w:proofErr w:type="gramStart"/>
      <w:r w:rsidRPr="00363E3D">
        <w:rPr>
          <w:rFonts w:ascii="Verdana" w:hAnsi="Verdana"/>
          <w:bCs/>
          <w:i/>
          <w:sz w:val="20"/>
        </w:rPr>
        <w:t>Vs</w:t>
      </w:r>
      <w:proofErr w:type="gramEnd"/>
      <w:r w:rsidRPr="00363E3D">
        <w:rPr>
          <w:rFonts w:ascii="Verdana" w:hAnsi="Verdana"/>
          <w:bCs/>
          <w:i/>
          <w:sz w:val="20"/>
        </w:rPr>
        <w:t xml:space="preserve">. </w:t>
      </w:r>
      <w:r w:rsidRPr="00363E3D">
        <w:rPr>
          <w:rFonts w:ascii="Verdana" w:hAnsi="Verdana"/>
          <w:bCs/>
          <w:i/>
          <w:sz w:val="20"/>
          <w:lang w:val="es-CR"/>
        </w:rPr>
        <w:t>Perú</w:t>
      </w:r>
      <w:r w:rsidRPr="00B32051">
        <w:rPr>
          <w:rFonts w:ascii="Verdana" w:hAnsi="Verdana"/>
          <w:bCs/>
          <w:i/>
          <w:sz w:val="20"/>
          <w:lang w:val="es-CR"/>
        </w:rPr>
        <w:t>.</w:t>
      </w:r>
      <w:r w:rsidRPr="002E4FBF">
        <w:rPr>
          <w:rFonts w:ascii="Verdana" w:hAnsi="Verdana"/>
          <w:i/>
          <w:sz w:val="20"/>
          <w:lang w:val="es-ES"/>
        </w:rPr>
        <w:t xml:space="preserve"> </w:t>
      </w:r>
      <w:r>
        <w:rPr>
          <w:rFonts w:ascii="Verdana" w:hAnsi="Verdana"/>
          <w:sz w:val="20"/>
          <w:lang w:val="es-CR"/>
        </w:rPr>
        <w:t xml:space="preserve">Supervisión de cumplimiento de sentencia. </w:t>
      </w:r>
      <w:r w:rsidRPr="00B32051">
        <w:rPr>
          <w:rFonts w:ascii="Verdana" w:hAnsi="Verdana"/>
          <w:bCs/>
          <w:sz w:val="20"/>
          <w:lang w:val="es-CR"/>
        </w:rPr>
        <w:t xml:space="preserve">Resolución de la Corte Interamericana de Derechos Humanos de </w:t>
      </w:r>
      <w:r>
        <w:rPr>
          <w:rFonts w:ascii="Verdana" w:hAnsi="Verdana"/>
          <w:bCs/>
          <w:sz w:val="20"/>
          <w:lang w:val="es-CR"/>
        </w:rPr>
        <w:t>21</w:t>
      </w:r>
      <w:r w:rsidRPr="00B32051">
        <w:rPr>
          <w:rFonts w:ascii="Verdana" w:hAnsi="Verdana"/>
          <w:bCs/>
          <w:sz w:val="20"/>
          <w:lang w:val="es-CR"/>
        </w:rPr>
        <w:t xml:space="preserve"> de </w:t>
      </w:r>
      <w:r>
        <w:rPr>
          <w:rFonts w:ascii="Verdana" w:hAnsi="Verdana"/>
          <w:bCs/>
          <w:sz w:val="20"/>
          <w:lang w:val="es-CR"/>
        </w:rPr>
        <w:t>noviembre</w:t>
      </w:r>
      <w:r w:rsidRPr="00B32051">
        <w:rPr>
          <w:rFonts w:ascii="Verdana" w:hAnsi="Verdana"/>
          <w:bCs/>
          <w:sz w:val="20"/>
          <w:lang w:val="es-CR"/>
        </w:rPr>
        <w:t xml:space="preserve"> de 201</w:t>
      </w:r>
      <w:r>
        <w:rPr>
          <w:rFonts w:ascii="Verdana" w:hAnsi="Verdana"/>
          <w:bCs/>
          <w:sz w:val="20"/>
          <w:lang w:val="es-CR"/>
        </w:rPr>
        <w:t>8</w:t>
      </w:r>
      <w:r w:rsidRPr="00B32051">
        <w:rPr>
          <w:rFonts w:ascii="Verdana" w:hAnsi="Verdana"/>
          <w:bCs/>
          <w:sz w:val="20"/>
          <w:lang w:val="es-CR"/>
        </w:rPr>
        <w:t>.</w:t>
      </w:r>
    </w:p>
    <w:p w:rsidR="00203C86" w:rsidRDefault="00203C86" w:rsidP="00203C86">
      <w:pPr>
        <w:rPr>
          <w:rFonts w:ascii="Verdana" w:hAnsi="Verdana"/>
          <w:sz w:val="20"/>
          <w:lang w:val="es-ES"/>
        </w:rPr>
      </w:pPr>
    </w:p>
    <w:p w:rsidR="00203C86" w:rsidRDefault="00203C86" w:rsidP="00203C86">
      <w:pPr>
        <w:jc w:val="center"/>
        <w:rPr>
          <w:rFonts w:ascii="Verdana" w:hAnsi="Verdana"/>
          <w:sz w:val="20"/>
          <w:lang w:val="pt-BR"/>
        </w:rPr>
      </w:pPr>
      <w:r w:rsidRPr="00D0325C">
        <w:rPr>
          <w:rFonts w:ascii="Verdana" w:hAnsi="Verdana"/>
          <w:sz w:val="20"/>
          <w:lang w:val="pt-BR"/>
        </w:rPr>
        <w:t xml:space="preserve">Eduardo Ferrer Mac-Gregor Poisot </w:t>
      </w:r>
    </w:p>
    <w:p w:rsidR="00203C86" w:rsidRDefault="00203C86" w:rsidP="00203C86">
      <w:pPr>
        <w:jc w:val="center"/>
        <w:rPr>
          <w:rFonts w:ascii="Verdana" w:hAnsi="Verdana"/>
          <w:sz w:val="20"/>
          <w:lang w:val="pt-BR"/>
        </w:rPr>
      </w:pPr>
      <w:r w:rsidRPr="00D0325C">
        <w:rPr>
          <w:rFonts w:ascii="Verdana" w:hAnsi="Verdana"/>
          <w:sz w:val="20"/>
          <w:lang w:val="pt-BR"/>
        </w:rPr>
        <w:t>Presidente</w:t>
      </w:r>
    </w:p>
    <w:p w:rsidR="00203C86" w:rsidRPr="00D0325C" w:rsidRDefault="00203C86" w:rsidP="00203C86">
      <w:pPr>
        <w:jc w:val="both"/>
        <w:rPr>
          <w:rFonts w:ascii="Verdana" w:hAnsi="Verdana"/>
          <w:sz w:val="20"/>
          <w:lang w:val="pt-BR"/>
        </w:rPr>
      </w:pPr>
    </w:p>
    <w:p w:rsidR="00203C86" w:rsidRPr="00D0325C" w:rsidRDefault="00203C86" w:rsidP="00203C86">
      <w:pPr>
        <w:jc w:val="both"/>
        <w:rPr>
          <w:rFonts w:ascii="Verdana" w:hAnsi="Verdana"/>
          <w:sz w:val="20"/>
          <w:lang w:val="pt-BR"/>
        </w:rPr>
      </w:pPr>
    </w:p>
    <w:p w:rsidR="00203C86" w:rsidRPr="00D0325C" w:rsidRDefault="00203C86" w:rsidP="00203C86">
      <w:pPr>
        <w:jc w:val="center"/>
        <w:rPr>
          <w:rFonts w:ascii="Verdana" w:hAnsi="Verdana"/>
          <w:sz w:val="20"/>
          <w:lang w:val="pt-BR"/>
        </w:rPr>
      </w:pPr>
      <w:r w:rsidRPr="00D0325C">
        <w:rPr>
          <w:rFonts w:ascii="Verdana" w:hAnsi="Verdana"/>
          <w:sz w:val="20"/>
          <w:lang w:val="pt-BR"/>
        </w:rPr>
        <w:t>Eduardo Vio Grossi</w:t>
      </w:r>
      <w:r w:rsidRPr="006E102A">
        <w:rPr>
          <w:rFonts w:ascii="Verdana" w:hAnsi="Verdana"/>
          <w:sz w:val="20"/>
          <w:lang w:val="pt-BR"/>
        </w:rPr>
        <w:t xml:space="preserve"> </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w:t>
      </w:r>
      <w:r w:rsidRPr="00D0325C">
        <w:rPr>
          <w:rFonts w:ascii="Verdana" w:hAnsi="Verdana"/>
          <w:sz w:val="20"/>
          <w:lang w:val="pt-BR"/>
        </w:rPr>
        <w:t>Elizabeth Odio Benito</w:t>
      </w:r>
    </w:p>
    <w:p w:rsidR="00203C86" w:rsidRDefault="00203C86" w:rsidP="00203C86">
      <w:pPr>
        <w:jc w:val="both"/>
        <w:rPr>
          <w:rFonts w:ascii="Verdana" w:hAnsi="Verdana"/>
          <w:sz w:val="20"/>
          <w:lang w:val="pt-BR"/>
        </w:rPr>
      </w:pPr>
    </w:p>
    <w:p w:rsidR="00203C86" w:rsidRPr="00D0325C" w:rsidRDefault="00203C86" w:rsidP="00203C86">
      <w:pPr>
        <w:jc w:val="both"/>
        <w:rPr>
          <w:rFonts w:ascii="Verdana" w:hAnsi="Verdana"/>
          <w:sz w:val="20"/>
          <w:lang w:val="pt-BR"/>
        </w:rPr>
      </w:pPr>
    </w:p>
    <w:p w:rsidR="00203C86" w:rsidRPr="00D0325C" w:rsidRDefault="00203C86" w:rsidP="00203C86">
      <w:pPr>
        <w:jc w:val="center"/>
        <w:rPr>
          <w:rFonts w:ascii="Verdana" w:hAnsi="Verdana"/>
          <w:sz w:val="20"/>
          <w:lang w:val="pt-BR"/>
        </w:rPr>
      </w:pPr>
      <w:r w:rsidRPr="00D0325C">
        <w:rPr>
          <w:rFonts w:ascii="Verdana" w:hAnsi="Verdana"/>
          <w:sz w:val="20"/>
          <w:lang w:val="pt-BR"/>
        </w:rPr>
        <w:t>Eugenio Raúl Zaffaroni</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w:t>
      </w:r>
      <w:r w:rsidRPr="00D0325C">
        <w:rPr>
          <w:rFonts w:ascii="Verdana" w:hAnsi="Verdana"/>
          <w:sz w:val="20"/>
          <w:lang w:val="pt-BR"/>
        </w:rPr>
        <w:t>L. Patricio Pazmiño Freire</w:t>
      </w:r>
    </w:p>
    <w:p w:rsidR="00203C86" w:rsidRPr="00D0325C" w:rsidRDefault="00203C86" w:rsidP="00203C86">
      <w:pPr>
        <w:jc w:val="both"/>
        <w:rPr>
          <w:rFonts w:ascii="Verdana" w:hAnsi="Verdana"/>
          <w:sz w:val="20"/>
          <w:lang w:val="pt-BR"/>
        </w:rPr>
      </w:pPr>
    </w:p>
    <w:p w:rsidR="00203C86" w:rsidRPr="00D0325C" w:rsidRDefault="00203C86" w:rsidP="00203C86">
      <w:pPr>
        <w:jc w:val="both"/>
        <w:rPr>
          <w:rFonts w:ascii="Verdana" w:hAnsi="Verdana"/>
          <w:sz w:val="20"/>
          <w:lang w:val="pt-BR"/>
        </w:rPr>
      </w:pPr>
    </w:p>
    <w:p w:rsidR="00203C86" w:rsidRPr="004B7A1D" w:rsidRDefault="00203C86" w:rsidP="00203C86">
      <w:pPr>
        <w:jc w:val="center"/>
        <w:rPr>
          <w:rFonts w:ascii="Verdana" w:hAnsi="Verdana"/>
          <w:sz w:val="20"/>
          <w:lang w:val="es-ES"/>
        </w:rPr>
      </w:pPr>
      <w:r w:rsidRPr="004B7A1D">
        <w:rPr>
          <w:rFonts w:ascii="Verdana" w:hAnsi="Verdana"/>
          <w:sz w:val="20"/>
          <w:lang w:val="es-ES"/>
        </w:rPr>
        <w:t>Pablo Saavedra Alessandri</w:t>
      </w:r>
    </w:p>
    <w:p w:rsidR="00203C86" w:rsidRPr="004B7A1D" w:rsidRDefault="00203C86" w:rsidP="00203C86">
      <w:pPr>
        <w:jc w:val="center"/>
        <w:rPr>
          <w:rFonts w:ascii="Verdana" w:hAnsi="Verdana"/>
          <w:sz w:val="20"/>
          <w:lang w:val="es-ES"/>
        </w:rPr>
      </w:pPr>
      <w:r w:rsidRPr="004B7A1D">
        <w:rPr>
          <w:rFonts w:ascii="Verdana" w:hAnsi="Verdana"/>
          <w:sz w:val="20"/>
          <w:lang w:val="es-ES"/>
        </w:rPr>
        <w:t>Secretario</w:t>
      </w:r>
    </w:p>
    <w:p w:rsidR="00203C86" w:rsidRPr="004B7A1D" w:rsidRDefault="00203C86" w:rsidP="00203C86">
      <w:pPr>
        <w:rPr>
          <w:rFonts w:ascii="Verdana" w:hAnsi="Verdana"/>
          <w:sz w:val="20"/>
          <w:lang w:val="es-ES"/>
        </w:rPr>
      </w:pPr>
    </w:p>
    <w:p w:rsidR="00203C86" w:rsidRPr="004B7A1D" w:rsidRDefault="00203C86" w:rsidP="00203C86">
      <w:pPr>
        <w:pStyle w:val="FootnoteText"/>
        <w:rPr>
          <w:rFonts w:ascii="Verdana" w:hAnsi="Verdana"/>
          <w:lang w:val="es-ES"/>
        </w:rPr>
      </w:pPr>
    </w:p>
    <w:p w:rsidR="00203C86" w:rsidRDefault="00203C86" w:rsidP="00203C86">
      <w:pPr>
        <w:jc w:val="both"/>
        <w:rPr>
          <w:rFonts w:ascii="Verdana" w:hAnsi="Verdana"/>
          <w:sz w:val="20"/>
          <w:lang w:val="es-ES"/>
        </w:rPr>
      </w:pPr>
      <w:r w:rsidRPr="004B7A1D">
        <w:rPr>
          <w:rFonts w:ascii="Verdana" w:hAnsi="Verdana"/>
          <w:sz w:val="20"/>
          <w:lang w:val="es-ES"/>
        </w:rPr>
        <w:t>Comuníquese y ejecútese,</w:t>
      </w:r>
    </w:p>
    <w:p w:rsidR="00203C86" w:rsidRPr="004B7A1D" w:rsidRDefault="00203C86" w:rsidP="00203C86">
      <w:pPr>
        <w:jc w:val="both"/>
        <w:rPr>
          <w:rFonts w:ascii="Verdana" w:hAnsi="Verdana"/>
          <w:sz w:val="20"/>
          <w:lang w:val="es-ES"/>
        </w:rPr>
      </w:pPr>
    </w:p>
    <w:p w:rsidR="00203C86" w:rsidRPr="004B7A1D" w:rsidRDefault="00203C86" w:rsidP="00203C86">
      <w:pPr>
        <w:ind w:left="4956"/>
        <w:jc w:val="both"/>
        <w:rPr>
          <w:rFonts w:ascii="Verdana" w:hAnsi="Verdana"/>
          <w:sz w:val="20"/>
          <w:lang w:val="es-ES"/>
        </w:rPr>
      </w:pPr>
    </w:p>
    <w:p w:rsidR="00203C86" w:rsidRDefault="00203C86" w:rsidP="00203C86">
      <w:pPr>
        <w:ind w:left="4956"/>
        <w:jc w:val="center"/>
        <w:rPr>
          <w:rFonts w:ascii="Verdana" w:hAnsi="Verdana"/>
          <w:sz w:val="20"/>
          <w:lang w:val="pt-BR"/>
        </w:rPr>
      </w:pPr>
      <w:r w:rsidRPr="00D0325C">
        <w:rPr>
          <w:rFonts w:ascii="Verdana" w:hAnsi="Verdana"/>
          <w:sz w:val="20"/>
          <w:lang w:val="pt-BR"/>
        </w:rPr>
        <w:t xml:space="preserve">Eduardo Ferrer Mac-Gregor Poisot </w:t>
      </w:r>
    </w:p>
    <w:p w:rsidR="00203C86" w:rsidRPr="00D0325C" w:rsidRDefault="00203C86" w:rsidP="00203C86">
      <w:pPr>
        <w:ind w:left="4956"/>
        <w:jc w:val="center"/>
        <w:rPr>
          <w:rFonts w:ascii="Verdana" w:hAnsi="Verdana"/>
          <w:sz w:val="20"/>
          <w:lang w:val="pt-BR"/>
        </w:rPr>
      </w:pPr>
      <w:r w:rsidRPr="00D0325C">
        <w:rPr>
          <w:rFonts w:ascii="Verdana" w:hAnsi="Verdana"/>
          <w:sz w:val="20"/>
          <w:lang w:val="pt-BR"/>
        </w:rPr>
        <w:t xml:space="preserve">Presidente </w:t>
      </w:r>
    </w:p>
    <w:p w:rsidR="00203C86" w:rsidRDefault="00203C86" w:rsidP="00203C86">
      <w:pPr>
        <w:jc w:val="both"/>
        <w:rPr>
          <w:rFonts w:ascii="Verdana" w:hAnsi="Verdana"/>
          <w:sz w:val="20"/>
          <w:lang w:val="es-ES"/>
        </w:rPr>
      </w:pPr>
    </w:p>
    <w:p w:rsidR="00203C86" w:rsidRDefault="00203C86" w:rsidP="00203C86">
      <w:pPr>
        <w:jc w:val="both"/>
        <w:rPr>
          <w:rFonts w:ascii="Verdana" w:hAnsi="Verdana"/>
          <w:sz w:val="20"/>
          <w:lang w:val="es-ES"/>
        </w:rPr>
      </w:pPr>
    </w:p>
    <w:p w:rsidR="00203C86" w:rsidRPr="004B7A1D" w:rsidRDefault="00203C86" w:rsidP="00203C86">
      <w:pPr>
        <w:jc w:val="both"/>
        <w:rPr>
          <w:rFonts w:ascii="Verdana" w:hAnsi="Verdana"/>
          <w:sz w:val="20"/>
          <w:lang w:val="es-ES"/>
        </w:rPr>
      </w:pPr>
    </w:p>
    <w:p w:rsidR="00203C86" w:rsidRPr="004B7A1D" w:rsidRDefault="00203C86" w:rsidP="00203C86">
      <w:pPr>
        <w:jc w:val="both"/>
        <w:rPr>
          <w:rFonts w:ascii="Verdana" w:hAnsi="Verdana"/>
          <w:sz w:val="20"/>
          <w:lang w:val="es-ES"/>
        </w:rPr>
      </w:pPr>
    </w:p>
    <w:p w:rsidR="00203C86" w:rsidRPr="004B7A1D" w:rsidRDefault="00203C86" w:rsidP="00203C86">
      <w:pPr>
        <w:jc w:val="both"/>
        <w:rPr>
          <w:rFonts w:ascii="Verdana" w:hAnsi="Verdana"/>
          <w:sz w:val="20"/>
          <w:lang w:val="es-ES"/>
        </w:rPr>
      </w:pPr>
      <w:r w:rsidRPr="004B7A1D">
        <w:rPr>
          <w:rFonts w:ascii="Verdana" w:hAnsi="Verdana"/>
          <w:sz w:val="20"/>
          <w:lang w:val="es-ES"/>
        </w:rPr>
        <w:t>Pablo Saavedra Alessandri</w:t>
      </w:r>
    </w:p>
    <w:p w:rsidR="00203C86" w:rsidRPr="00203C86" w:rsidRDefault="00203C86" w:rsidP="00AF0F9C">
      <w:r w:rsidRPr="004B7A1D">
        <w:rPr>
          <w:rFonts w:ascii="Verdana" w:hAnsi="Verdana"/>
          <w:sz w:val="20"/>
          <w:lang w:val="es-ES"/>
        </w:rPr>
        <w:tab/>
      </w:r>
      <w:r w:rsidRPr="004B7A1D">
        <w:rPr>
          <w:rFonts w:ascii="Verdana" w:hAnsi="Verdana"/>
          <w:sz w:val="20"/>
          <w:lang w:val="es-CR"/>
        </w:rPr>
        <w:t>Secretario</w:t>
      </w:r>
      <w:bookmarkStart w:id="12" w:name="_GoBack"/>
      <w:bookmarkEnd w:id="12"/>
    </w:p>
    <w:sectPr w:rsidR="00203C86" w:rsidRPr="00203C86" w:rsidSect="00CF1B59">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7EE" w:rsidRDefault="00E257EE" w:rsidP="001E5411">
      <w:pPr>
        <w:spacing w:after="0" w:line="240" w:lineRule="auto"/>
      </w:pPr>
      <w:r>
        <w:separator/>
      </w:r>
    </w:p>
  </w:endnote>
  <w:endnote w:type="continuationSeparator" w:id="0">
    <w:p w:rsidR="00E257EE" w:rsidRDefault="00E257EE" w:rsidP="001E5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7F6" w:rsidRDefault="007717F6">
    <w:pPr>
      <w:pStyle w:val="Footer"/>
      <w:jc w:val="center"/>
    </w:pPr>
  </w:p>
  <w:p w:rsidR="007717F6" w:rsidRDefault="007717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7EE" w:rsidRDefault="00E257EE" w:rsidP="001E5411">
      <w:pPr>
        <w:spacing w:after="0" w:line="240" w:lineRule="auto"/>
      </w:pPr>
      <w:r>
        <w:separator/>
      </w:r>
    </w:p>
  </w:footnote>
  <w:footnote w:type="continuationSeparator" w:id="0">
    <w:p w:rsidR="00E257EE" w:rsidRDefault="00E257EE" w:rsidP="001E5411">
      <w:pPr>
        <w:spacing w:after="0" w:line="240" w:lineRule="auto"/>
      </w:pPr>
      <w:r>
        <w:continuationSeparator/>
      </w:r>
    </w:p>
  </w:footnote>
  <w:footnote w:id="1">
    <w:p w:rsidR="00F1097C" w:rsidRPr="007B0BBC" w:rsidRDefault="00F1097C" w:rsidP="00F1097C">
      <w:pPr>
        <w:pStyle w:val="FootnoteText"/>
        <w:jc w:val="both"/>
        <w:rPr>
          <w:rFonts w:ascii="Verdana" w:hAnsi="Verdana"/>
          <w:sz w:val="16"/>
          <w:szCs w:val="16"/>
          <w:lang w:val="es-ES_tradnl"/>
        </w:rPr>
      </w:pPr>
      <w:r w:rsidRPr="00FB650B">
        <w:rPr>
          <w:rStyle w:val="FootnoteReference"/>
          <w:rFonts w:ascii="Verdana" w:hAnsi="Verdana"/>
          <w:sz w:val="16"/>
          <w:szCs w:val="16"/>
          <w:lang w:val="es-ES"/>
        </w:rPr>
        <w:t>*</w:t>
      </w:r>
      <w:r w:rsidRPr="00FB650B">
        <w:rPr>
          <w:rFonts w:ascii="Verdana" w:hAnsi="Verdana"/>
          <w:sz w:val="16"/>
          <w:szCs w:val="16"/>
          <w:lang w:val="es-ES"/>
        </w:rPr>
        <w:t xml:space="preserve"> </w:t>
      </w:r>
      <w:r w:rsidRPr="007B0BBC">
        <w:rPr>
          <w:rFonts w:ascii="Verdana" w:hAnsi="Verdana"/>
          <w:sz w:val="16"/>
          <w:szCs w:val="16"/>
          <w:lang w:val="es-ES_tradnl"/>
        </w:rPr>
        <w:tab/>
      </w:r>
      <w:r>
        <w:rPr>
          <w:rFonts w:ascii="Verdana" w:hAnsi="Verdana"/>
          <w:sz w:val="16"/>
          <w:szCs w:val="16"/>
          <w:lang w:val="es-ES_tradnl"/>
        </w:rPr>
        <w:t>El J</w:t>
      </w:r>
      <w:r w:rsidRPr="007B0BBC">
        <w:rPr>
          <w:rFonts w:ascii="Verdana" w:hAnsi="Verdana"/>
          <w:sz w:val="16"/>
          <w:szCs w:val="16"/>
          <w:lang w:val="es-ES_tradnl"/>
        </w:rPr>
        <w:t>uez Humberto A. Sierra Porto no participó en la deliberación y firma de la presente Resolución</w:t>
      </w:r>
      <w:r>
        <w:rPr>
          <w:rFonts w:ascii="Verdana" w:hAnsi="Verdana"/>
          <w:sz w:val="16"/>
          <w:szCs w:val="16"/>
          <w:lang w:val="es-ES_tradnl"/>
        </w:rPr>
        <w:t>,</w:t>
      </w:r>
      <w:r w:rsidRPr="007B0BBC">
        <w:rPr>
          <w:rFonts w:ascii="Verdana" w:hAnsi="Verdana"/>
          <w:sz w:val="16"/>
          <w:szCs w:val="16"/>
          <w:lang w:val="es-ES_tradnl"/>
        </w:rPr>
        <w:t xml:space="preserve"> por razones </w:t>
      </w:r>
      <w:r>
        <w:rPr>
          <w:rFonts w:ascii="Verdana" w:hAnsi="Verdana"/>
          <w:sz w:val="16"/>
          <w:szCs w:val="16"/>
          <w:lang w:val="es-ES_tradnl"/>
        </w:rPr>
        <w:t>de fuerza mayor.</w:t>
      </w:r>
    </w:p>
  </w:footnote>
  <w:footnote w:id="2">
    <w:p w:rsidR="007717F6" w:rsidRPr="00B8038F" w:rsidRDefault="007717F6" w:rsidP="00B8038F">
      <w:pPr>
        <w:pStyle w:val="FootnoteText"/>
        <w:jc w:val="both"/>
        <w:rPr>
          <w:rFonts w:ascii="Verdana" w:hAnsi="Verdana"/>
          <w:sz w:val="16"/>
          <w:szCs w:val="16"/>
          <w:lang w:val="es-CR"/>
        </w:rPr>
      </w:pPr>
      <w:r w:rsidRPr="00B8038F">
        <w:rPr>
          <w:rStyle w:val="FootnoteReference"/>
          <w:rFonts w:ascii="Verdana" w:hAnsi="Verdana"/>
          <w:sz w:val="16"/>
          <w:szCs w:val="16"/>
        </w:rPr>
        <w:footnoteRef/>
      </w:r>
      <w:r w:rsidRPr="00B8038F">
        <w:rPr>
          <w:rFonts w:ascii="Verdana" w:hAnsi="Verdana"/>
          <w:sz w:val="16"/>
          <w:szCs w:val="16"/>
        </w:rPr>
        <w:t xml:space="preserve"> </w:t>
      </w:r>
      <w:r w:rsidRPr="00B8038F">
        <w:rPr>
          <w:rFonts w:ascii="Verdana" w:hAnsi="Verdana"/>
          <w:sz w:val="16"/>
          <w:szCs w:val="16"/>
        </w:rPr>
        <w:tab/>
      </w:r>
      <w:proofErr w:type="spellStart"/>
      <w:r w:rsidRPr="00B8038F">
        <w:rPr>
          <w:rFonts w:ascii="Verdana" w:hAnsi="Verdana"/>
          <w:i/>
          <w:sz w:val="16"/>
          <w:szCs w:val="16"/>
        </w:rPr>
        <w:t>Cfr</w:t>
      </w:r>
      <w:proofErr w:type="spellEnd"/>
      <w:r w:rsidRPr="00B8038F">
        <w:rPr>
          <w:rFonts w:ascii="Verdana" w:hAnsi="Verdana"/>
          <w:i/>
          <w:sz w:val="16"/>
          <w:szCs w:val="16"/>
        </w:rPr>
        <w:t xml:space="preserve">. </w:t>
      </w:r>
      <w:proofErr w:type="spellStart"/>
      <w:r w:rsidRPr="00B8038F">
        <w:rPr>
          <w:rFonts w:ascii="Verdana" w:hAnsi="Verdana"/>
          <w:i/>
          <w:sz w:val="16"/>
          <w:szCs w:val="16"/>
        </w:rPr>
        <w:t>Caso</w:t>
      </w:r>
      <w:proofErr w:type="spellEnd"/>
      <w:r w:rsidRPr="00B8038F">
        <w:rPr>
          <w:rFonts w:ascii="Verdana" w:hAnsi="Verdana"/>
          <w:i/>
          <w:sz w:val="16"/>
          <w:szCs w:val="16"/>
        </w:rPr>
        <w:t xml:space="preserve"> Wong Ho Wing </w:t>
      </w:r>
      <w:proofErr w:type="gramStart"/>
      <w:r w:rsidRPr="00B8038F">
        <w:rPr>
          <w:rFonts w:ascii="Verdana" w:hAnsi="Verdana"/>
          <w:i/>
          <w:sz w:val="16"/>
          <w:szCs w:val="16"/>
        </w:rPr>
        <w:t>Vs</w:t>
      </w:r>
      <w:proofErr w:type="gramEnd"/>
      <w:r w:rsidRPr="00B8038F">
        <w:rPr>
          <w:rFonts w:ascii="Verdana" w:hAnsi="Verdana"/>
          <w:i/>
          <w:sz w:val="16"/>
          <w:szCs w:val="16"/>
        </w:rPr>
        <w:t xml:space="preserve">. </w:t>
      </w:r>
      <w:r w:rsidRPr="002D0E86">
        <w:rPr>
          <w:rFonts w:ascii="Verdana" w:hAnsi="Verdana"/>
          <w:i/>
          <w:sz w:val="16"/>
          <w:szCs w:val="16"/>
          <w:lang w:val="es-CR"/>
        </w:rPr>
        <w:t xml:space="preserve">Perú. </w:t>
      </w:r>
      <w:r w:rsidRPr="00B8038F">
        <w:rPr>
          <w:rFonts w:ascii="Verdana" w:hAnsi="Verdana"/>
          <w:i/>
          <w:sz w:val="16"/>
          <w:szCs w:val="16"/>
          <w:lang w:val="es-CR"/>
        </w:rPr>
        <w:t xml:space="preserve">Excepción Preliminar, Fondo, Reparaciones y Costas. </w:t>
      </w:r>
      <w:r w:rsidRPr="00B8038F">
        <w:rPr>
          <w:rFonts w:ascii="Verdana" w:hAnsi="Verdana"/>
          <w:sz w:val="16"/>
          <w:szCs w:val="16"/>
          <w:lang w:val="es-CR"/>
        </w:rPr>
        <w:t xml:space="preserve">Sentencia de 30 de junio de 2015. Serie C No. 297. El texto íntegro de la Sentencia se encuentra disponible en: </w:t>
      </w:r>
      <w:hyperlink r:id="rId1" w:history="1">
        <w:r w:rsidRPr="00B8038F">
          <w:rPr>
            <w:rStyle w:val="Hyperlink"/>
            <w:rFonts w:ascii="Verdana" w:hAnsi="Verdana"/>
            <w:sz w:val="16"/>
            <w:szCs w:val="16"/>
            <w:lang w:val="es-CR"/>
          </w:rPr>
          <w:t>http://www.corteidh.or.cr/docs/casos/articulos/seriec_297_esp.pdf</w:t>
        </w:r>
      </w:hyperlink>
      <w:r w:rsidRPr="00B8038F">
        <w:rPr>
          <w:rFonts w:ascii="Verdana" w:hAnsi="Verdana"/>
          <w:sz w:val="16"/>
          <w:szCs w:val="16"/>
          <w:lang w:val="es-CR"/>
        </w:rPr>
        <w:t xml:space="preserve">. La Sentencia fue notificada el 16 de septiembre de 2015. </w:t>
      </w:r>
    </w:p>
  </w:footnote>
  <w:footnote w:id="3">
    <w:p w:rsidR="007717F6" w:rsidRPr="000302CB" w:rsidRDefault="007717F6" w:rsidP="0032593A">
      <w:pPr>
        <w:autoSpaceDE w:val="0"/>
        <w:autoSpaceDN w:val="0"/>
        <w:adjustRightInd w:val="0"/>
        <w:spacing w:after="0" w:line="240" w:lineRule="auto"/>
        <w:jc w:val="both"/>
        <w:rPr>
          <w:lang w:val="es-CR"/>
        </w:rPr>
      </w:pPr>
      <w:r w:rsidRPr="009C67D2">
        <w:rPr>
          <w:rStyle w:val="FootnoteReference"/>
          <w:rFonts w:ascii="Verdana" w:hAnsi="Verdana"/>
          <w:sz w:val="16"/>
          <w:szCs w:val="16"/>
        </w:rPr>
        <w:footnoteRef/>
      </w:r>
      <w:r w:rsidRPr="0032593A">
        <w:rPr>
          <w:rFonts w:ascii="Verdana" w:hAnsi="Verdana"/>
          <w:sz w:val="16"/>
          <w:szCs w:val="16"/>
          <w:lang w:val="es-CR"/>
        </w:rPr>
        <w:t xml:space="preserve"> </w:t>
      </w:r>
      <w:r w:rsidRPr="0032593A">
        <w:rPr>
          <w:rFonts w:ascii="Verdana" w:hAnsi="Verdana"/>
          <w:sz w:val="16"/>
          <w:szCs w:val="16"/>
          <w:lang w:val="es-CR"/>
        </w:rPr>
        <w:tab/>
      </w:r>
      <w:r w:rsidRPr="0032593A">
        <w:rPr>
          <w:rFonts w:ascii="Verdana" w:hAnsi="Verdana" w:cs="Verdana"/>
          <w:i/>
          <w:iCs/>
          <w:sz w:val="16"/>
          <w:szCs w:val="16"/>
          <w:lang w:val="es-CR"/>
        </w:rPr>
        <w:t xml:space="preserve">Cfr. Caso Wong Ho </w:t>
      </w:r>
      <w:proofErr w:type="spellStart"/>
      <w:r w:rsidRPr="0032593A">
        <w:rPr>
          <w:rFonts w:ascii="Verdana" w:hAnsi="Verdana" w:cs="Verdana"/>
          <w:i/>
          <w:iCs/>
          <w:sz w:val="16"/>
          <w:szCs w:val="16"/>
          <w:lang w:val="es-CR"/>
        </w:rPr>
        <w:t>Wing</w:t>
      </w:r>
      <w:proofErr w:type="spellEnd"/>
      <w:r w:rsidRPr="0032593A">
        <w:rPr>
          <w:rFonts w:ascii="Verdana" w:hAnsi="Verdana" w:cs="Verdana"/>
          <w:i/>
          <w:iCs/>
          <w:sz w:val="16"/>
          <w:szCs w:val="16"/>
          <w:lang w:val="es-CR"/>
        </w:rPr>
        <w:t xml:space="preserve"> Vs. </w:t>
      </w:r>
      <w:r w:rsidRPr="009C67D2">
        <w:rPr>
          <w:rFonts w:ascii="Verdana" w:hAnsi="Verdana" w:cs="Verdana"/>
          <w:i/>
          <w:iCs/>
          <w:sz w:val="16"/>
          <w:szCs w:val="16"/>
          <w:lang w:val="es-CR"/>
        </w:rPr>
        <w:t>Perú. Interpretación de la Sentencia de Excepción Preliminar, Fondo,</w:t>
      </w:r>
      <w:r>
        <w:rPr>
          <w:rFonts w:ascii="Verdana" w:hAnsi="Verdana" w:cs="Verdana"/>
          <w:i/>
          <w:iCs/>
          <w:sz w:val="16"/>
          <w:szCs w:val="16"/>
          <w:lang w:val="es-CR"/>
        </w:rPr>
        <w:t xml:space="preserve"> </w:t>
      </w:r>
      <w:r w:rsidRPr="009C67D2">
        <w:rPr>
          <w:rFonts w:ascii="Verdana" w:hAnsi="Verdana" w:cs="Verdana"/>
          <w:i/>
          <w:iCs/>
          <w:sz w:val="16"/>
          <w:szCs w:val="16"/>
          <w:lang w:val="es-CR"/>
        </w:rPr>
        <w:t xml:space="preserve">Reparaciones y Costas. </w:t>
      </w:r>
      <w:r w:rsidRPr="009C67D2">
        <w:rPr>
          <w:rFonts w:ascii="Verdana" w:hAnsi="Verdana" w:cs="Verdana"/>
          <w:sz w:val="16"/>
          <w:szCs w:val="16"/>
          <w:lang w:val="es-CR"/>
        </w:rPr>
        <w:t xml:space="preserve">Sentencia de 22 de junio de 2016. </w:t>
      </w:r>
      <w:r w:rsidRPr="000302CB">
        <w:rPr>
          <w:rFonts w:ascii="Verdana" w:hAnsi="Verdana" w:cs="Verdana"/>
          <w:sz w:val="16"/>
          <w:szCs w:val="16"/>
          <w:lang w:val="es-CR"/>
        </w:rPr>
        <w:t>Serie C No. 313.</w:t>
      </w:r>
    </w:p>
  </w:footnote>
  <w:footnote w:id="4">
    <w:p w:rsidR="007717F6" w:rsidRPr="006F63DA" w:rsidRDefault="007717F6" w:rsidP="006F63DA">
      <w:pPr>
        <w:pStyle w:val="FootnoteText"/>
        <w:jc w:val="both"/>
        <w:rPr>
          <w:rFonts w:ascii="Verdana" w:hAnsi="Verdana"/>
          <w:sz w:val="16"/>
          <w:szCs w:val="16"/>
          <w:lang w:val="es-CR"/>
        </w:rPr>
      </w:pPr>
      <w:r w:rsidRPr="006F63DA">
        <w:rPr>
          <w:rStyle w:val="FootnoteReference"/>
          <w:rFonts w:ascii="Verdana" w:hAnsi="Verdana"/>
          <w:sz w:val="16"/>
          <w:szCs w:val="16"/>
        </w:rPr>
        <w:footnoteRef/>
      </w:r>
      <w:r w:rsidRPr="0024597F">
        <w:rPr>
          <w:rFonts w:ascii="Verdana" w:hAnsi="Verdana"/>
          <w:sz w:val="16"/>
          <w:szCs w:val="16"/>
          <w:lang w:val="es-CR"/>
        </w:rPr>
        <w:t xml:space="preserve"> </w:t>
      </w:r>
      <w:r w:rsidRPr="0024597F">
        <w:rPr>
          <w:rFonts w:ascii="Verdana" w:hAnsi="Verdana"/>
          <w:sz w:val="16"/>
          <w:szCs w:val="16"/>
          <w:lang w:val="es-CR"/>
        </w:rPr>
        <w:tab/>
      </w:r>
      <w:r w:rsidRPr="0024597F">
        <w:rPr>
          <w:rFonts w:ascii="Verdana" w:hAnsi="Verdana"/>
          <w:i/>
          <w:sz w:val="16"/>
          <w:szCs w:val="16"/>
          <w:lang w:val="es-CR"/>
        </w:rPr>
        <w:t xml:space="preserve">Cfr. Caso Wong Ho </w:t>
      </w:r>
      <w:proofErr w:type="spellStart"/>
      <w:r w:rsidRPr="0024597F">
        <w:rPr>
          <w:rFonts w:ascii="Verdana" w:hAnsi="Verdana"/>
          <w:i/>
          <w:sz w:val="16"/>
          <w:szCs w:val="16"/>
          <w:lang w:val="es-CR"/>
        </w:rPr>
        <w:t>Wing</w:t>
      </w:r>
      <w:proofErr w:type="spellEnd"/>
      <w:r w:rsidRPr="0024597F">
        <w:rPr>
          <w:rFonts w:ascii="Verdana" w:hAnsi="Verdana"/>
          <w:i/>
          <w:sz w:val="16"/>
          <w:szCs w:val="16"/>
          <w:lang w:val="es-CR"/>
        </w:rPr>
        <w:t xml:space="preserve"> Vs. </w:t>
      </w:r>
      <w:r w:rsidRPr="006F63DA">
        <w:rPr>
          <w:rFonts w:ascii="Verdana" w:hAnsi="Verdana"/>
          <w:i/>
          <w:sz w:val="16"/>
          <w:szCs w:val="16"/>
          <w:lang w:val="es-CR"/>
        </w:rPr>
        <w:t>Perú</w:t>
      </w:r>
      <w:r w:rsidRPr="006F63DA">
        <w:rPr>
          <w:rFonts w:ascii="Verdana" w:hAnsi="Verdana"/>
          <w:sz w:val="16"/>
          <w:szCs w:val="16"/>
          <w:lang w:val="es-CR"/>
        </w:rPr>
        <w:t xml:space="preserve">. Resolución de la Corte Interamericana de Derechos Humanos de 7 de octubre de 2015, disponible en: </w:t>
      </w:r>
      <w:hyperlink r:id="rId2" w:history="1">
        <w:r w:rsidRPr="006F63DA">
          <w:rPr>
            <w:rStyle w:val="Hyperlink"/>
            <w:rFonts w:ascii="Verdana" w:hAnsi="Verdana"/>
            <w:sz w:val="16"/>
            <w:szCs w:val="16"/>
            <w:lang w:val="es-CR"/>
          </w:rPr>
          <w:t>http://www.corteidh.or.cr/docs/supervisiones/wong_07_10_15.pdf</w:t>
        </w:r>
      </w:hyperlink>
      <w:r w:rsidRPr="006F63DA">
        <w:rPr>
          <w:rFonts w:ascii="Verdana" w:hAnsi="Verdana"/>
          <w:sz w:val="16"/>
          <w:szCs w:val="16"/>
          <w:lang w:val="es-CR"/>
        </w:rPr>
        <w:t xml:space="preserve">. </w:t>
      </w:r>
    </w:p>
  </w:footnote>
  <w:footnote w:id="5">
    <w:p w:rsidR="007717F6" w:rsidRPr="00B8038F" w:rsidRDefault="007717F6" w:rsidP="006F63DA">
      <w:pPr>
        <w:pStyle w:val="FootnoteText"/>
        <w:jc w:val="both"/>
        <w:rPr>
          <w:lang w:val="es-CR"/>
        </w:rPr>
      </w:pPr>
      <w:r w:rsidRPr="006F63DA">
        <w:rPr>
          <w:rStyle w:val="FootnoteReference"/>
          <w:rFonts w:ascii="Verdana" w:hAnsi="Verdana"/>
          <w:sz w:val="16"/>
          <w:szCs w:val="16"/>
        </w:rPr>
        <w:footnoteRef/>
      </w:r>
      <w:r w:rsidRPr="006F63DA">
        <w:rPr>
          <w:rFonts w:ascii="Verdana" w:hAnsi="Verdana"/>
          <w:sz w:val="16"/>
          <w:szCs w:val="16"/>
        </w:rPr>
        <w:t xml:space="preserve"> </w:t>
      </w:r>
      <w:r w:rsidRPr="006F63DA">
        <w:rPr>
          <w:rFonts w:ascii="Verdana" w:hAnsi="Verdana"/>
          <w:sz w:val="16"/>
          <w:szCs w:val="16"/>
        </w:rPr>
        <w:tab/>
      </w:r>
      <w:proofErr w:type="spellStart"/>
      <w:r w:rsidRPr="006F63DA">
        <w:rPr>
          <w:rFonts w:ascii="Verdana" w:hAnsi="Verdana"/>
          <w:i/>
          <w:sz w:val="16"/>
          <w:szCs w:val="16"/>
        </w:rPr>
        <w:t>Cfr</w:t>
      </w:r>
      <w:proofErr w:type="spellEnd"/>
      <w:r w:rsidRPr="006F63DA">
        <w:rPr>
          <w:rFonts w:ascii="Verdana" w:hAnsi="Verdana"/>
          <w:i/>
          <w:sz w:val="16"/>
          <w:szCs w:val="16"/>
        </w:rPr>
        <w:t xml:space="preserve">. </w:t>
      </w:r>
      <w:proofErr w:type="spellStart"/>
      <w:r w:rsidRPr="006F63DA">
        <w:rPr>
          <w:rFonts w:ascii="Verdana" w:hAnsi="Verdana"/>
          <w:i/>
          <w:sz w:val="16"/>
          <w:szCs w:val="16"/>
        </w:rPr>
        <w:t>Caso</w:t>
      </w:r>
      <w:proofErr w:type="spellEnd"/>
      <w:r w:rsidRPr="006F63DA">
        <w:rPr>
          <w:rFonts w:ascii="Verdana" w:hAnsi="Verdana"/>
          <w:i/>
          <w:sz w:val="16"/>
          <w:szCs w:val="16"/>
        </w:rPr>
        <w:t xml:space="preserve"> Wong Ho Wing </w:t>
      </w:r>
      <w:proofErr w:type="gramStart"/>
      <w:r w:rsidRPr="006F63DA">
        <w:rPr>
          <w:rFonts w:ascii="Verdana" w:hAnsi="Verdana"/>
          <w:i/>
          <w:sz w:val="16"/>
          <w:szCs w:val="16"/>
        </w:rPr>
        <w:t>Vs</w:t>
      </w:r>
      <w:proofErr w:type="gramEnd"/>
      <w:r w:rsidRPr="006F63DA">
        <w:rPr>
          <w:rFonts w:ascii="Verdana" w:hAnsi="Verdana"/>
          <w:i/>
          <w:sz w:val="16"/>
          <w:szCs w:val="16"/>
        </w:rPr>
        <w:t xml:space="preserve">. </w:t>
      </w:r>
      <w:r w:rsidRPr="006F63DA">
        <w:rPr>
          <w:rFonts w:ascii="Verdana" w:hAnsi="Verdana"/>
          <w:i/>
          <w:sz w:val="16"/>
          <w:szCs w:val="16"/>
          <w:lang w:val="es-CR"/>
        </w:rPr>
        <w:t>Perú</w:t>
      </w:r>
      <w:r w:rsidRPr="006F63DA">
        <w:rPr>
          <w:rFonts w:ascii="Verdana" w:hAnsi="Verdana"/>
          <w:sz w:val="16"/>
          <w:szCs w:val="16"/>
          <w:lang w:val="es-CR"/>
        </w:rPr>
        <w:t xml:space="preserve">. Resolución de la Corte Interamericana de Derechos Humanos de 22 de junio de 2016, disponible en: </w:t>
      </w:r>
      <w:hyperlink r:id="rId3" w:history="1">
        <w:r w:rsidRPr="006F63DA">
          <w:rPr>
            <w:rStyle w:val="Hyperlink"/>
            <w:rFonts w:ascii="Verdana" w:hAnsi="Verdana"/>
            <w:sz w:val="16"/>
            <w:szCs w:val="16"/>
            <w:lang w:val="es-CR"/>
          </w:rPr>
          <w:t>http://www.corteidh.or.cr/docs/supervisiones/wong_22_06_16.pdf</w:t>
        </w:r>
      </w:hyperlink>
      <w:r w:rsidRPr="006F63DA">
        <w:rPr>
          <w:rFonts w:ascii="Verdana" w:hAnsi="Verdana"/>
          <w:sz w:val="16"/>
          <w:szCs w:val="16"/>
          <w:lang w:val="es-CR"/>
        </w:rPr>
        <w:t>.</w:t>
      </w:r>
      <w:r>
        <w:rPr>
          <w:rFonts w:ascii="Verdana" w:hAnsi="Verdana"/>
          <w:sz w:val="16"/>
          <w:szCs w:val="16"/>
          <w:lang w:val="es-CR"/>
        </w:rPr>
        <w:t xml:space="preserve"> </w:t>
      </w:r>
    </w:p>
  </w:footnote>
  <w:footnote w:id="6">
    <w:p w:rsidR="007717F6" w:rsidRPr="00653B3F" w:rsidRDefault="007717F6" w:rsidP="00653B3F">
      <w:pPr>
        <w:pStyle w:val="FootnoteText"/>
        <w:jc w:val="both"/>
        <w:rPr>
          <w:rFonts w:ascii="Verdana" w:hAnsi="Verdana"/>
          <w:b/>
          <w:sz w:val="16"/>
          <w:szCs w:val="16"/>
          <w:lang w:val="es-CR"/>
        </w:rPr>
      </w:pPr>
      <w:r w:rsidRPr="00653B3F">
        <w:rPr>
          <w:rStyle w:val="FootnoteReference"/>
          <w:rFonts w:ascii="Verdana" w:hAnsi="Verdana"/>
          <w:sz w:val="16"/>
          <w:szCs w:val="16"/>
        </w:rPr>
        <w:footnoteRef/>
      </w:r>
      <w:r w:rsidRPr="00653B3F">
        <w:rPr>
          <w:rFonts w:ascii="Verdana" w:hAnsi="Verdana"/>
          <w:sz w:val="16"/>
          <w:szCs w:val="16"/>
          <w:lang w:val="es-CR"/>
        </w:rPr>
        <w:t xml:space="preserve"> </w:t>
      </w:r>
      <w:r w:rsidRPr="00653B3F">
        <w:rPr>
          <w:rFonts w:ascii="Verdana" w:hAnsi="Verdana"/>
          <w:sz w:val="16"/>
          <w:szCs w:val="16"/>
          <w:lang w:val="es-CR"/>
        </w:rPr>
        <w:tab/>
        <w:t xml:space="preserve">Escritos de: 28 de marzo, 18 de abril, </w:t>
      </w:r>
      <w:r w:rsidR="00B22116">
        <w:rPr>
          <w:rFonts w:ascii="Verdana" w:hAnsi="Verdana"/>
          <w:sz w:val="16"/>
          <w:szCs w:val="16"/>
          <w:lang w:val="es-CR"/>
        </w:rPr>
        <w:t xml:space="preserve">3, 9 y </w:t>
      </w:r>
      <w:r w:rsidRPr="00653B3F">
        <w:rPr>
          <w:rFonts w:ascii="Verdana" w:hAnsi="Verdana"/>
          <w:sz w:val="16"/>
          <w:szCs w:val="16"/>
          <w:lang w:val="es-CR"/>
        </w:rPr>
        <w:t xml:space="preserve">16 de junio, 8 </w:t>
      </w:r>
      <w:r w:rsidR="00EE7E9F">
        <w:rPr>
          <w:rFonts w:ascii="Verdana" w:hAnsi="Verdana"/>
          <w:sz w:val="16"/>
          <w:szCs w:val="16"/>
          <w:lang w:val="es-CR"/>
        </w:rPr>
        <w:t xml:space="preserve">y </w:t>
      </w:r>
      <w:r w:rsidRPr="00653B3F">
        <w:rPr>
          <w:rFonts w:ascii="Verdana" w:hAnsi="Verdana"/>
          <w:sz w:val="16"/>
          <w:szCs w:val="16"/>
          <w:lang w:val="es-CR"/>
        </w:rPr>
        <w:t>19 de septiembre y 1 de diciembre de 2016, 16 de enero,</w:t>
      </w:r>
      <w:r w:rsidRPr="00653B3F">
        <w:rPr>
          <w:rFonts w:ascii="Verdana" w:hAnsi="Verdana"/>
          <w:b/>
          <w:sz w:val="16"/>
          <w:szCs w:val="16"/>
          <w:lang w:val="es-CR"/>
        </w:rPr>
        <w:t xml:space="preserve"> </w:t>
      </w:r>
      <w:r w:rsidR="00EE7E9F">
        <w:rPr>
          <w:rFonts w:ascii="Verdana" w:hAnsi="Verdana"/>
          <w:sz w:val="16"/>
          <w:szCs w:val="16"/>
          <w:lang w:val="es-CR"/>
        </w:rPr>
        <w:t>25 y 28</w:t>
      </w:r>
      <w:r w:rsidR="00EE7E9F" w:rsidRPr="00653B3F">
        <w:rPr>
          <w:rFonts w:ascii="Verdana" w:hAnsi="Verdana"/>
          <w:sz w:val="16"/>
          <w:szCs w:val="16"/>
          <w:lang w:val="es-CR"/>
        </w:rPr>
        <w:t xml:space="preserve"> </w:t>
      </w:r>
      <w:r w:rsidRPr="00653B3F">
        <w:rPr>
          <w:rFonts w:ascii="Verdana" w:hAnsi="Verdana"/>
          <w:sz w:val="16"/>
          <w:szCs w:val="16"/>
          <w:lang w:val="es-CR"/>
        </w:rPr>
        <w:t>de agosto y 4 de septiembre de 2017</w:t>
      </w:r>
      <w:r w:rsidR="00F1097C">
        <w:rPr>
          <w:rFonts w:ascii="Verdana" w:hAnsi="Verdana"/>
          <w:sz w:val="16"/>
          <w:szCs w:val="16"/>
          <w:lang w:val="es-CR"/>
        </w:rPr>
        <w:t>,</w:t>
      </w:r>
      <w:r w:rsidRPr="00653B3F">
        <w:rPr>
          <w:rFonts w:ascii="Verdana" w:hAnsi="Verdana"/>
          <w:sz w:val="16"/>
          <w:szCs w:val="16"/>
          <w:lang w:val="es-CR"/>
        </w:rPr>
        <w:t xml:space="preserve"> y 27 de abril </w:t>
      </w:r>
      <w:r w:rsidR="00AD4329">
        <w:rPr>
          <w:rFonts w:ascii="Verdana" w:hAnsi="Verdana"/>
          <w:sz w:val="16"/>
          <w:szCs w:val="16"/>
          <w:lang w:val="es-CR"/>
        </w:rPr>
        <w:t xml:space="preserve">y 27 de septiembre </w:t>
      </w:r>
      <w:r w:rsidRPr="00653B3F">
        <w:rPr>
          <w:rFonts w:ascii="Verdana" w:hAnsi="Verdana"/>
          <w:sz w:val="16"/>
          <w:szCs w:val="16"/>
          <w:lang w:val="es-CR"/>
        </w:rPr>
        <w:t xml:space="preserve">de 2018. </w:t>
      </w:r>
    </w:p>
  </w:footnote>
  <w:footnote w:id="7">
    <w:p w:rsidR="007717F6" w:rsidRPr="00B84117" w:rsidRDefault="007717F6" w:rsidP="00B84117">
      <w:pPr>
        <w:pStyle w:val="FootnoteText"/>
        <w:jc w:val="both"/>
        <w:rPr>
          <w:rFonts w:ascii="Verdana" w:hAnsi="Verdana"/>
          <w:sz w:val="16"/>
          <w:szCs w:val="16"/>
          <w:lang w:val="es-CR"/>
        </w:rPr>
      </w:pPr>
      <w:r w:rsidRPr="00B84117">
        <w:rPr>
          <w:rStyle w:val="FootnoteReference"/>
          <w:rFonts w:ascii="Verdana" w:hAnsi="Verdana"/>
          <w:sz w:val="16"/>
          <w:szCs w:val="16"/>
        </w:rPr>
        <w:footnoteRef/>
      </w:r>
      <w:r w:rsidRPr="00B84117">
        <w:rPr>
          <w:rFonts w:ascii="Verdana" w:hAnsi="Verdana"/>
          <w:sz w:val="16"/>
          <w:szCs w:val="16"/>
          <w:lang w:val="es-CR"/>
        </w:rPr>
        <w:t xml:space="preserve"> </w:t>
      </w:r>
      <w:r w:rsidRPr="00B84117">
        <w:rPr>
          <w:rFonts w:ascii="Verdana" w:hAnsi="Verdana"/>
          <w:sz w:val="16"/>
          <w:szCs w:val="16"/>
          <w:lang w:val="es-CR"/>
        </w:rPr>
        <w:tab/>
      </w:r>
      <w:r w:rsidR="002535A9">
        <w:rPr>
          <w:rFonts w:ascii="Verdana" w:hAnsi="Verdana"/>
          <w:sz w:val="16"/>
          <w:szCs w:val="16"/>
          <w:lang w:val="es-CR"/>
        </w:rPr>
        <w:t xml:space="preserve">Durante la etapa de fondo, la víctima estuvo representada por Luis Lamas </w:t>
      </w:r>
      <w:proofErr w:type="spellStart"/>
      <w:r w:rsidR="002535A9">
        <w:rPr>
          <w:rFonts w:ascii="Verdana" w:hAnsi="Verdana"/>
          <w:sz w:val="16"/>
          <w:szCs w:val="16"/>
          <w:lang w:val="es-CR"/>
        </w:rPr>
        <w:t>Puccio</w:t>
      </w:r>
      <w:proofErr w:type="spellEnd"/>
      <w:r w:rsidR="002535A9">
        <w:rPr>
          <w:rFonts w:ascii="Verdana" w:hAnsi="Verdana"/>
          <w:sz w:val="16"/>
          <w:szCs w:val="16"/>
          <w:lang w:val="es-CR"/>
        </w:rPr>
        <w:t xml:space="preserve">. </w:t>
      </w:r>
      <w:r>
        <w:rPr>
          <w:rFonts w:ascii="Verdana" w:hAnsi="Verdana"/>
          <w:sz w:val="16"/>
          <w:szCs w:val="16"/>
          <w:lang w:val="es-CR"/>
        </w:rPr>
        <w:t xml:space="preserve">A partir de marzo de 2016 hasta agosto del mismo año, el señor Wong Ho </w:t>
      </w:r>
      <w:proofErr w:type="spellStart"/>
      <w:r>
        <w:rPr>
          <w:rFonts w:ascii="Verdana" w:hAnsi="Verdana"/>
          <w:sz w:val="16"/>
          <w:szCs w:val="16"/>
          <w:lang w:val="es-CR"/>
        </w:rPr>
        <w:t>Wing</w:t>
      </w:r>
      <w:proofErr w:type="spellEnd"/>
      <w:r>
        <w:rPr>
          <w:rFonts w:ascii="Verdana" w:hAnsi="Verdana"/>
          <w:sz w:val="16"/>
          <w:szCs w:val="16"/>
          <w:lang w:val="es-CR"/>
        </w:rPr>
        <w:t xml:space="preserve"> fue representado por Miguel Ángel Soria Fuentes. A partir de septiembre de 2017, el señor He Long </w:t>
      </w:r>
      <w:proofErr w:type="spellStart"/>
      <w:r>
        <w:rPr>
          <w:rFonts w:ascii="Verdana" w:hAnsi="Verdana"/>
          <w:sz w:val="16"/>
          <w:szCs w:val="16"/>
          <w:lang w:val="es-CR"/>
        </w:rPr>
        <w:t>Huang</w:t>
      </w:r>
      <w:proofErr w:type="spellEnd"/>
      <w:r>
        <w:rPr>
          <w:rFonts w:ascii="Verdana" w:hAnsi="Verdana"/>
          <w:sz w:val="16"/>
          <w:szCs w:val="16"/>
          <w:lang w:val="es-CR"/>
        </w:rPr>
        <w:t xml:space="preserve"> </w:t>
      </w:r>
      <w:proofErr w:type="spellStart"/>
      <w:r>
        <w:rPr>
          <w:rFonts w:ascii="Verdana" w:hAnsi="Verdana"/>
          <w:sz w:val="16"/>
          <w:szCs w:val="16"/>
          <w:lang w:val="es-CR"/>
        </w:rPr>
        <w:t>Huang</w:t>
      </w:r>
      <w:proofErr w:type="spellEnd"/>
      <w:r>
        <w:rPr>
          <w:rFonts w:ascii="Verdana" w:hAnsi="Verdana"/>
          <w:sz w:val="16"/>
          <w:szCs w:val="16"/>
          <w:lang w:val="es-CR"/>
        </w:rPr>
        <w:t xml:space="preserve"> representa al señor Wong Ho </w:t>
      </w:r>
      <w:proofErr w:type="spellStart"/>
      <w:r>
        <w:rPr>
          <w:rFonts w:ascii="Verdana" w:hAnsi="Verdana"/>
          <w:sz w:val="16"/>
          <w:szCs w:val="16"/>
          <w:lang w:val="es-CR"/>
        </w:rPr>
        <w:t>Wing</w:t>
      </w:r>
      <w:proofErr w:type="spellEnd"/>
      <w:r>
        <w:rPr>
          <w:rFonts w:ascii="Verdana" w:hAnsi="Verdana"/>
          <w:sz w:val="16"/>
          <w:szCs w:val="16"/>
          <w:lang w:val="es-CR"/>
        </w:rPr>
        <w:t xml:space="preserve"> en la presente etapa de supervisión de cumplimiento de Sentencia (</w:t>
      </w:r>
      <w:r>
        <w:rPr>
          <w:rFonts w:ascii="Verdana" w:hAnsi="Verdana"/>
          <w:i/>
          <w:sz w:val="16"/>
          <w:szCs w:val="16"/>
          <w:lang w:val="es-CR"/>
        </w:rPr>
        <w:t xml:space="preserve">infra </w:t>
      </w:r>
      <w:r w:rsidRPr="0032593A">
        <w:rPr>
          <w:rFonts w:ascii="Verdana" w:hAnsi="Verdana"/>
          <w:sz w:val="16"/>
          <w:szCs w:val="16"/>
          <w:lang w:val="es-CR"/>
        </w:rPr>
        <w:t xml:space="preserve">Considerando </w:t>
      </w:r>
      <w:r w:rsidR="00F246A8">
        <w:rPr>
          <w:rFonts w:ascii="Verdana" w:hAnsi="Verdana"/>
          <w:sz w:val="16"/>
          <w:szCs w:val="16"/>
          <w:lang w:val="es-CR"/>
        </w:rPr>
        <w:fldChar w:fldCharType="begin"/>
      </w:r>
      <w:r w:rsidR="00F246A8">
        <w:rPr>
          <w:rFonts w:ascii="Verdana" w:hAnsi="Verdana"/>
          <w:sz w:val="16"/>
          <w:szCs w:val="16"/>
          <w:lang w:val="es-CR"/>
        </w:rPr>
        <w:instrText xml:space="preserve"> REF _Ref530751332 \r \h </w:instrText>
      </w:r>
      <w:r w:rsidR="00F246A8">
        <w:rPr>
          <w:rFonts w:ascii="Verdana" w:hAnsi="Verdana"/>
          <w:sz w:val="16"/>
          <w:szCs w:val="16"/>
          <w:lang w:val="es-CR"/>
        </w:rPr>
      </w:r>
      <w:r w:rsidR="00F246A8">
        <w:rPr>
          <w:rFonts w:ascii="Verdana" w:hAnsi="Verdana"/>
          <w:sz w:val="16"/>
          <w:szCs w:val="16"/>
          <w:lang w:val="es-CR"/>
        </w:rPr>
        <w:fldChar w:fldCharType="separate"/>
      </w:r>
      <w:r w:rsidR="0003569E">
        <w:rPr>
          <w:rFonts w:ascii="Verdana" w:hAnsi="Verdana"/>
          <w:sz w:val="16"/>
          <w:szCs w:val="16"/>
          <w:lang w:val="es-CR"/>
        </w:rPr>
        <w:t>3</w:t>
      </w:r>
      <w:r w:rsidR="00F246A8">
        <w:rPr>
          <w:rFonts w:ascii="Verdana" w:hAnsi="Verdana"/>
          <w:sz w:val="16"/>
          <w:szCs w:val="16"/>
          <w:lang w:val="es-CR"/>
        </w:rPr>
        <w:fldChar w:fldCharType="end"/>
      </w:r>
      <w:r>
        <w:rPr>
          <w:rFonts w:ascii="Verdana" w:hAnsi="Verdana"/>
          <w:i/>
          <w:sz w:val="16"/>
          <w:szCs w:val="16"/>
          <w:lang w:val="es-CR"/>
        </w:rPr>
        <w:t>)</w:t>
      </w:r>
      <w:r>
        <w:rPr>
          <w:rFonts w:ascii="Verdana" w:hAnsi="Verdana"/>
          <w:sz w:val="16"/>
          <w:szCs w:val="16"/>
          <w:lang w:val="es-CR"/>
        </w:rPr>
        <w:t>.</w:t>
      </w:r>
    </w:p>
  </w:footnote>
  <w:footnote w:id="8">
    <w:p w:rsidR="007717F6" w:rsidRPr="00F25D95" w:rsidRDefault="007717F6" w:rsidP="00F25D95">
      <w:pPr>
        <w:pStyle w:val="FootnoteText"/>
        <w:jc w:val="both"/>
        <w:rPr>
          <w:rFonts w:ascii="Verdana" w:hAnsi="Verdana"/>
          <w:b/>
          <w:sz w:val="16"/>
          <w:szCs w:val="16"/>
          <w:lang w:val="es-CR"/>
        </w:rPr>
      </w:pPr>
      <w:r w:rsidRPr="00F25D95">
        <w:rPr>
          <w:rStyle w:val="FootnoteReference"/>
          <w:rFonts w:ascii="Verdana" w:hAnsi="Verdana"/>
          <w:sz w:val="16"/>
          <w:szCs w:val="16"/>
        </w:rPr>
        <w:footnoteRef/>
      </w:r>
      <w:r w:rsidRPr="00F25D95">
        <w:rPr>
          <w:rFonts w:ascii="Verdana" w:hAnsi="Verdana"/>
          <w:sz w:val="16"/>
          <w:szCs w:val="16"/>
          <w:lang w:val="es-CR"/>
        </w:rPr>
        <w:t xml:space="preserve"> </w:t>
      </w:r>
      <w:r w:rsidRPr="00F25D95">
        <w:rPr>
          <w:rFonts w:ascii="Verdana" w:hAnsi="Verdana"/>
          <w:sz w:val="16"/>
          <w:szCs w:val="16"/>
          <w:lang w:val="es-CR"/>
        </w:rPr>
        <w:tab/>
        <w:t>Escritos de</w:t>
      </w:r>
      <w:r>
        <w:rPr>
          <w:rFonts w:ascii="Verdana" w:hAnsi="Verdana"/>
          <w:sz w:val="16"/>
          <w:szCs w:val="16"/>
          <w:lang w:val="es-CR"/>
        </w:rPr>
        <w:t xml:space="preserve">: 30 de marzo, 16 de abril, </w:t>
      </w:r>
      <w:r w:rsidR="00B22116" w:rsidRPr="00F1097C">
        <w:rPr>
          <w:rFonts w:ascii="Verdana" w:hAnsi="Verdana"/>
          <w:sz w:val="16"/>
          <w:szCs w:val="16"/>
          <w:lang w:val="es-CR"/>
        </w:rPr>
        <w:t xml:space="preserve">26 de mayo, </w:t>
      </w:r>
      <w:r>
        <w:rPr>
          <w:rFonts w:ascii="Verdana" w:hAnsi="Verdana"/>
          <w:sz w:val="16"/>
          <w:szCs w:val="16"/>
          <w:lang w:val="es-CR"/>
        </w:rPr>
        <w:t>1</w:t>
      </w:r>
      <w:r w:rsidR="00B22116">
        <w:rPr>
          <w:rFonts w:ascii="Verdana" w:hAnsi="Verdana"/>
          <w:sz w:val="16"/>
          <w:szCs w:val="16"/>
          <w:lang w:val="es-CR"/>
        </w:rPr>
        <w:t>5</w:t>
      </w:r>
      <w:r>
        <w:rPr>
          <w:rFonts w:ascii="Verdana" w:hAnsi="Verdana"/>
          <w:sz w:val="16"/>
          <w:szCs w:val="16"/>
          <w:lang w:val="es-CR"/>
        </w:rPr>
        <w:t xml:space="preserve"> de junio y 15 de agosto de 2016</w:t>
      </w:r>
      <w:r w:rsidR="00F1097C">
        <w:rPr>
          <w:rFonts w:ascii="Verdana" w:hAnsi="Verdana"/>
          <w:sz w:val="16"/>
          <w:szCs w:val="16"/>
          <w:lang w:val="es-CR"/>
        </w:rPr>
        <w:t>,</w:t>
      </w:r>
      <w:r>
        <w:rPr>
          <w:rFonts w:ascii="Verdana" w:hAnsi="Verdana"/>
          <w:sz w:val="16"/>
          <w:szCs w:val="16"/>
          <w:lang w:val="es-CR"/>
        </w:rPr>
        <w:t xml:space="preserve"> y 12 de septiembre de 2017. </w:t>
      </w:r>
    </w:p>
  </w:footnote>
  <w:footnote w:id="9">
    <w:p w:rsidR="007717F6" w:rsidRPr="009670B8" w:rsidRDefault="007717F6" w:rsidP="009670B8">
      <w:pPr>
        <w:pStyle w:val="FootnoteText"/>
        <w:jc w:val="both"/>
        <w:rPr>
          <w:rFonts w:ascii="Verdana" w:hAnsi="Verdana"/>
          <w:b/>
          <w:sz w:val="16"/>
          <w:szCs w:val="16"/>
          <w:lang w:val="es-CR"/>
        </w:rPr>
      </w:pPr>
      <w:r w:rsidRPr="009670B8">
        <w:rPr>
          <w:rStyle w:val="FootnoteReference"/>
          <w:rFonts w:ascii="Verdana" w:hAnsi="Verdana"/>
          <w:sz w:val="16"/>
          <w:szCs w:val="16"/>
        </w:rPr>
        <w:footnoteRef/>
      </w:r>
      <w:r w:rsidRPr="009670B8">
        <w:rPr>
          <w:rFonts w:ascii="Verdana" w:hAnsi="Verdana"/>
          <w:sz w:val="16"/>
          <w:szCs w:val="16"/>
          <w:lang w:val="es-CR"/>
        </w:rPr>
        <w:t xml:space="preserve"> </w:t>
      </w:r>
      <w:r w:rsidRPr="009670B8">
        <w:rPr>
          <w:rFonts w:ascii="Verdana" w:hAnsi="Verdana"/>
          <w:sz w:val="16"/>
          <w:szCs w:val="16"/>
          <w:lang w:val="es-CR"/>
        </w:rPr>
        <w:tab/>
        <w:t xml:space="preserve">Escritos de: 2 de julio de 2016 y 17 de enero </w:t>
      </w:r>
      <w:r>
        <w:rPr>
          <w:rFonts w:ascii="Verdana" w:hAnsi="Verdana"/>
          <w:sz w:val="16"/>
          <w:szCs w:val="16"/>
          <w:lang w:val="es-CR"/>
        </w:rPr>
        <w:t xml:space="preserve">y 7 de agosto </w:t>
      </w:r>
      <w:r w:rsidRPr="009670B8">
        <w:rPr>
          <w:rFonts w:ascii="Verdana" w:hAnsi="Verdana"/>
          <w:sz w:val="16"/>
          <w:szCs w:val="16"/>
          <w:lang w:val="es-CR"/>
        </w:rPr>
        <w:t xml:space="preserve">de 2018. </w:t>
      </w:r>
      <w:r w:rsidRPr="009670B8">
        <w:rPr>
          <w:rFonts w:ascii="Verdana" w:hAnsi="Verdana"/>
          <w:b/>
          <w:sz w:val="16"/>
          <w:szCs w:val="16"/>
          <w:lang w:val="es-CR"/>
        </w:rPr>
        <w:t xml:space="preserve"> </w:t>
      </w:r>
    </w:p>
  </w:footnote>
  <w:footnote w:id="10">
    <w:p w:rsidR="007717F6" w:rsidRPr="006A700C" w:rsidRDefault="007717F6" w:rsidP="006A700C">
      <w:pPr>
        <w:pStyle w:val="FootnoteText"/>
        <w:jc w:val="both"/>
        <w:rPr>
          <w:rFonts w:ascii="Verdana" w:hAnsi="Verdana"/>
          <w:sz w:val="16"/>
          <w:szCs w:val="16"/>
          <w:lang w:val="es-CR"/>
        </w:rPr>
      </w:pPr>
      <w:r w:rsidRPr="006A700C">
        <w:rPr>
          <w:rStyle w:val="FootnoteReference"/>
          <w:rFonts w:ascii="Verdana" w:hAnsi="Verdana"/>
          <w:sz w:val="16"/>
          <w:szCs w:val="16"/>
        </w:rPr>
        <w:footnoteRef/>
      </w:r>
      <w:r w:rsidRPr="006A700C">
        <w:rPr>
          <w:rFonts w:ascii="Verdana" w:hAnsi="Verdana"/>
          <w:sz w:val="16"/>
          <w:szCs w:val="16"/>
          <w:lang w:val="es-CR"/>
        </w:rPr>
        <w:t xml:space="preserve"> </w:t>
      </w:r>
      <w:r w:rsidRPr="006A700C">
        <w:rPr>
          <w:rFonts w:ascii="Verdana" w:hAnsi="Verdana"/>
          <w:sz w:val="16"/>
          <w:szCs w:val="16"/>
          <w:lang w:val="es-CR"/>
        </w:rPr>
        <w:tab/>
        <w:t xml:space="preserve">Facultad que además se desprende de lo dispuesto en los artículos 33, 62.1, 62.3 y 65 de la Convención Americana y 30 de su Estatuto y se encuentra regulada en el artículo 69 de su Reglamento. </w:t>
      </w:r>
    </w:p>
  </w:footnote>
  <w:footnote w:id="11">
    <w:p w:rsidR="007717F6" w:rsidRPr="008734FF" w:rsidRDefault="007717F6" w:rsidP="008734FF">
      <w:pPr>
        <w:pStyle w:val="FootnoteText"/>
        <w:jc w:val="both"/>
        <w:rPr>
          <w:rFonts w:ascii="Verdana" w:hAnsi="Verdana"/>
          <w:sz w:val="16"/>
          <w:szCs w:val="16"/>
          <w:lang w:val="es-CR"/>
        </w:rPr>
      </w:pPr>
      <w:r w:rsidRPr="008734FF">
        <w:rPr>
          <w:rStyle w:val="FootnoteReference"/>
          <w:rFonts w:ascii="Verdana" w:hAnsi="Verdana"/>
          <w:sz w:val="16"/>
          <w:szCs w:val="16"/>
        </w:rPr>
        <w:footnoteRef/>
      </w:r>
      <w:r w:rsidRPr="008734FF">
        <w:rPr>
          <w:rFonts w:ascii="Verdana" w:hAnsi="Verdana"/>
          <w:sz w:val="16"/>
          <w:szCs w:val="16"/>
          <w:lang w:val="es-CR"/>
        </w:rPr>
        <w:t xml:space="preserve"> </w:t>
      </w:r>
      <w:r w:rsidRPr="008734FF">
        <w:rPr>
          <w:rFonts w:ascii="Verdana" w:hAnsi="Verdana"/>
          <w:sz w:val="16"/>
          <w:szCs w:val="16"/>
          <w:lang w:val="es-CR"/>
        </w:rPr>
        <w:tab/>
      </w:r>
      <w:r>
        <w:rPr>
          <w:rFonts w:ascii="Verdana" w:hAnsi="Verdana"/>
          <w:sz w:val="16"/>
          <w:szCs w:val="16"/>
          <w:lang w:val="es-CR"/>
        </w:rPr>
        <w:t>La r</w:t>
      </w:r>
      <w:r w:rsidRPr="008734FF">
        <w:rPr>
          <w:rFonts w:ascii="Verdana" w:hAnsi="Verdana"/>
          <w:sz w:val="16"/>
          <w:szCs w:val="16"/>
          <w:lang w:val="es-CR"/>
        </w:rPr>
        <w:t>eparaci</w:t>
      </w:r>
      <w:r>
        <w:rPr>
          <w:rFonts w:ascii="Verdana" w:hAnsi="Verdana"/>
          <w:sz w:val="16"/>
          <w:szCs w:val="16"/>
          <w:lang w:val="es-CR"/>
        </w:rPr>
        <w:t>ón</w:t>
      </w:r>
      <w:r w:rsidRPr="008734FF">
        <w:rPr>
          <w:rFonts w:ascii="Verdana" w:hAnsi="Verdana"/>
          <w:sz w:val="16"/>
          <w:szCs w:val="16"/>
          <w:lang w:val="es-CR"/>
        </w:rPr>
        <w:t xml:space="preserve"> relativa a “adoptar la decisión definitiva en el proceso de extradición seguido al señor Wong Ho </w:t>
      </w:r>
      <w:proofErr w:type="spellStart"/>
      <w:r w:rsidRPr="008734FF">
        <w:rPr>
          <w:rFonts w:ascii="Verdana" w:hAnsi="Verdana"/>
          <w:sz w:val="16"/>
          <w:szCs w:val="16"/>
          <w:lang w:val="es-CR"/>
        </w:rPr>
        <w:t>Wing</w:t>
      </w:r>
      <w:proofErr w:type="spellEnd"/>
      <w:r w:rsidRPr="008734FF">
        <w:rPr>
          <w:rFonts w:ascii="Verdana" w:hAnsi="Verdana"/>
          <w:sz w:val="16"/>
          <w:szCs w:val="16"/>
          <w:lang w:val="es-CR"/>
        </w:rPr>
        <w:t>” (</w:t>
      </w:r>
      <w:r w:rsidRPr="008734FF">
        <w:rPr>
          <w:rFonts w:ascii="Verdana" w:hAnsi="Verdana"/>
          <w:i/>
          <w:sz w:val="16"/>
          <w:szCs w:val="16"/>
          <w:lang w:val="es-CR"/>
        </w:rPr>
        <w:t>punto resolutivo décimo primero de la Sentencia</w:t>
      </w:r>
      <w:r w:rsidRPr="008734FF">
        <w:rPr>
          <w:rFonts w:ascii="Verdana" w:hAnsi="Verdana"/>
          <w:sz w:val="16"/>
          <w:szCs w:val="16"/>
          <w:lang w:val="es-CR"/>
        </w:rPr>
        <w:t xml:space="preserve">). </w:t>
      </w:r>
    </w:p>
  </w:footnote>
  <w:footnote w:id="12">
    <w:p w:rsidR="007717F6" w:rsidRPr="00226C10" w:rsidRDefault="007717F6" w:rsidP="002D241B">
      <w:pPr>
        <w:pStyle w:val="FootnoteText"/>
        <w:jc w:val="both"/>
        <w:rPr>
          <w:rFonts w:ascii="Verdana" w:hAnsi="Verdana"/>
          <w:sz w:val="16"/>
          <w:szCs w:val="16"/>
          <w:lang w:val="es-CR"/>
        </w:rPr>
      </w:pPr>
      <w:r w:rsidRPr="00226C10">
        <w:rPr>
          <w:rStyle w:val="FootnoteReference"/>
          <w:rFonts w:ascii="Verdana" w:hAnsi="Verdana"/>
          <w:sz w:val="16"/>
          <w:szCs w:val="16"/>
        </w:rPr>
        <w:footnoteRef/>
      </w:r>
      <w:r w:rsidRPr="00226C10">
        <w:rPr>
          <w:rFonts w:ascii="Verdana" w:hAnsi="Verdana"/>
          <w:sz w:val="16"/>
          <w:szCs w:val="16"/>
          <w:lang w:val="es-CR"/>
        </w:rPr>
        <w:t xml:space="preserve"> </w:t>
      </w:r>
      <w:r w:rsidRPr="00226C10">
        <w:rPr>
          <w:rFonts w:ascii="Verdana" w:hAnsi="Verdana"/>
          <w:sz w:val="16"/>
          <w:szCs w:val="16"/>
          <w:lang w:val="es-CR"/>
        </w:rPr>
        <w:tab/>
      </w:r>
      <w:r w:rsidRPr="0053546C">
        <w:rPr>
          <w:rFonts w:ascii="Verdana" w:hAnsi="Verdana"/>
          <w:i/>
          <w:sz w:val="16"/>
          <w:szCs w:val="16"/>
          <w:lang w:val="es-CR"/>
        </w:rPr>
        <w:t>Cfr. Caso Cinco Pensionistas Vs. Perú.</w:t>
      </w:r>
      <w:r>
        <w:rPr>
          <w:rFonts w:ascii="Verdana" w:hAnsi="Verdana"/>
          <w:i/>
          <w:sz w:val="16"/>
          <w:szCs w:val="16"/>
          <w:lang w:val="es-CR"/>
        </w:rPr>
        <w:t xml:space="preserve"> Supervisión de Cumplimiento de Sentencia.</w:t>
      </w:r>
      <w:r w:rsidRPr="00226C10">
        <w:rPr>
          <w:rFonts w:ascii="Verdana" w:hAnsi="Verdana"/>
          <w:sz w:val="16"/>
          <w:szCs w:val="16"/>
          <w:lang w:val="es-CR"/>
        </w:rPr>
        <w:t xml:space="preserve"> Resolución de la Corte Interamericana de Derechos Humanos de 17 de noviembre de 2004, Considerando 5, y </w:t>
      </w:r>
      <w:r w:rsidRPr="00B62F82">
        <w:rPr>
          <w:rFonts w:ascii="Verdana" w:hAnsi="Verdana"/>
          <w:i/>
          <w:sz w:val="16"/>
          <w:szCs w:val="16"/>
          <w:lang w:val="es-CR"/>
        </w:rPr>
        <w:t xml:space="preserve">Caso </w:t>
      </w:r>
      <w:r w:rsidR="001F554C">
        <w:rPr>
          <w:rFonts w:ascii="Verdana" w:hAnsi="Verdana"/>
          <w:i/>
          <w:sz w:val="16"/>
          <w:szCs w:val="16"/>
          <w:lang w:val="es-CR"/>
        </w:rPr>
        <w:t xml:space="preserve">del Pueblo </w:t>
      </w:r>
      <w:proofErr w:type="spellStart"/>
      <w:r w:rsidR="001F554C">
        <w:rPr>
          <w:rFonts w:ascii="Verdana" w:hAnsi="Verdana"/>
          <w:i/>
          <w:sz w:val="16"/>
          <w:szCs w:val="16"/>
          <w:lang w:val="es-CR"/>
        </w:rPr>
        <w:t>Saramaka</w:t>
      </w:r>
      <w:proofErr w:type="spellEnd"/>
      <w:r w:rsidR="001F554C">
        <w:rPr>
          <w:rFonts w:ascii="Verdana" w:hAnsi="Verdana"/>
          <w:i/>
          <w:sz w:val="16"/>
          <w:szCs w:val="16"/>
          <w:lang w:val="es-CR"/>
        </w:rPr>
        <w:t xml:space="preserve"> Vs. Surinam.</w:t>
      </w:r>
      <w:r w:rsidRPr="00B62F82">
        <w:rPr>
          <w:rFonts w:ascii="Verdana" w:hAnsi="Verdana"/>
          <w:i/>
          <w:sz w:val="16"/>
          <w:szCs w:val="16"/>
          <w:lang w:val="es-CR"/>
        </w:rPr>
        <w:t xml:space="preserve"> Supervisión de Cumplimiento de Sentencia. </w:t>
      </w:r>
      <w:r w:rsidRPr="00B62F82">
        <w:rPr>
          <w:rFonts w:ascii="Verdana" w:hAnsi="Verdana"/>
          <w:sz w:val="16"/>
          <w:szCs w:val="16"/>
          <w:lang w:val="es-CR"/>
        </w:rPr>
        <w:t xml:space="preserve">Resolución de la Corte Interamericana de Derechos Humanos de </w:t>
      </w:r>
      <w:r w:rsidR="001F554C">
        <w:rPr>
          <w:rFonts w:ascii="Verdana" w:hAnsi="Verdana"/>
          <w:sz w:val="16"/>
          <w:szCs w:val="16"/>
          <w:lang w:val="es-CR"/>
        </w:rPr>
        <w:t>26</w:t>
      </w:r>
      <w:r w:rsidR="001F554C" w:rsidRPr="00B62F82">
        <w:rPr>
          <w:rFonts w:ascii="Verdana" w:hAnsi="Verdana"/>
          <w:sz w:val="16"/>
          <w:szCs w:val="16"/>
          <w:lang w:val="es-CR"/>
        </w:rPr>
        <w:t xml:space="preserve"> </w:t>
      </w:r>
      <w:r w:rsidRPr="00B62F82">
        <w:rPr>
          <w:rFonts w:ascii="Verdana" w:hAnsi="Verdana"/>
          <w:sz w:val="16"/>
          <w:szCs w:val="16"/>
          <w:lang w:val="es-CR"/>
        </w:rPr>
        <w:t xml:space="preserve">de </w:t>
      </w:r>
      <w:r w:rsidR="001F554C">
        <w:rPr>
          <w:rFonts w:ascii="Verdana" w:hAnsi="Verdana"/>
          <w:sz w:val="16"/>
          <w:szCs w:val="16"/>
          <w:lang w:val="es-CR"/>
        </w:rPr>
        <w:t>septiembre</w:t>
      </w:r>
      <w:r w:rsidR="001F554C" w:rsidRPr="00B62F82">
        <w:rPr>
          <w:rFonts w:ascii="Verdana" w:hAnsi="Verdana"/>
          <w:sz w:val="16"/>
          <w:szCs w:val="16"/>
          <w:lang w:val="es-CR"/>
        </w:rPr>
        <w:t xml:space="preserve"> </w:t>
      </w:r>
      <w:r w:rsidRPr="00B62F82">
        <w:rPr>
          <w:rFonts w:ascii="Verdana" w:hAnsi="Verdana"/>
          <w:sz w:val="16"/>
          <w:szCs w:val="16"/>
          <w:lang w:val="es-CR"/>
        </w:rPr>
        <w:t>de 2018</w:t>
      </w:r>
      <w:r>
        <w:rPr>
          <w:rFonts w:ascii="Verdana" w:hAnsi="Verdana"/>
          <w:sz w:val="16"/>
          <w:szCs w:val="16"/>
          <w:lang w:val="es-CR"/>
        </w:rPr>
        <w:t>, Considerando 2.</w:t>
      </w:r>
    </w:p>
  </w:footnote>
  <w:footnote w:id="13">
    <w:p w:rsidR="007717F6" w:rsidRPr="00226C10" w:rsidRDefault="007717F6" w:rsidP="002D241B">
      <w:pPr>
        <w:pStyle w:val="FootnoteText"/>
        <w:jc w:val="both"/>
        <w:rPr>
          <w:rFonts w:ascii="Verdana" w:hAnsi="Verdana"/>
          <w:sz w:val="16"/>
          <w:szCs w:val="16"/>
          <w:lang w:val="es-CR"/>
        </w:rPr>
      </w:pPr>
      <w:r w:rsidRPr="00226C10">
        <w:rPr>
          <w:rStyle w:val="FootnoteReference"/>
          <w:rFonts w:ascii="Verdana" w:hAnsi="Verdana"/>
          <w:sz w:val="16"/>
          <w:szCs w:val="16"/>
        </w:rPr>
        <w:footnoteRef/>
      </w:r>
      <w:r w:rsidRPr="00226C10">
        <w:rPr>
          <w:rFonts w:ascii="Verdana" w:hAnsi="Verdana"/>
          <w:sz w:val="16"/>
          <w:szCs w:val="16"/>
          <w:lang w:val="es-CR"/>
        </w:rPr>
        <w:t xml:space="preserve"> </w:t>
      </w:r>
      <w:r w:rsidRPr="00226C10">
        <w:rPr>
          <w:rFonts w:ascii="Verdana" w:hAnsi="Verdana"/>
          <w:sz w:val="16"/>
          <w:szCs w:val="16"/>
          <w:lang w:val="es-CR"/>
        </w:rPr>
        <w:tab/>
      </w:r>
      <w:r w:rsidRPr="0053546C">
        <w:rPr>
          <w:rFonts w:ascii="Verdana" w:hAnsi="Verdana"/>
          <w:i/>
          <w:sz w:val="16"/>
          <w:szCs w:val="16"/>
          <w:lang w:val="es-CR"/>
        </w:rPr>
        <w:t xml:space="preserve">Cfr. Caso </w:t>
      </w:r>
      <w:proofErr w:type="spellStart"/>
      <w:r w:rsidRPr="0053546C">
        <w:rPr>
          <w:rFonts w:ascii="Verdana" w:hAnsi="Verdana"/>
          <w:i/>
          <w:sz w:val="16"/>
          <w:szCs w:val="16"/>
          <w:lang w:val="es-CR"/>
        </w:rPr>
        <w:t>Ivcher</w:t>
      </w:r>
      <w:proofErr w:type="spellEnd"/>
      <w:r w:rsidRPr="0053546C">
        <w:rPr>
          <w:rFonts w:ascii="Verdana" w:hAnsi="Verdana"/>
          <w:i/>
          <w:sz w:val="16"/>
          <w:szCs w:val="16"/>
          <w:lang w:val="es-CR"/>
        </w:rPr>
        <w:t xml:space="preserve"> </w:t>
      </w:r>
      <w:proofErr w:type="spellStart"/>
      <w:r w:rsidRPr="0053546C">
        <w:rPr>
          <w:rFonts w:ascii="Verdana" w:hAnsi="Verdana"/>
          <w:i/>
          <w:sz w:val="16"/>
          <w:szCs w:val="16"/>
          <w:lang w:val="es-CR"/>
        </w:rPr>
        <w:t>Bronstein</w:t>
      </w:r>
      <w:proofErr w:type="spellEnd"/>
      <w:r w:rsidRPr="0053546C">
        <w:rPr>
          <w:rFonts w:ascii="Verdana" w:hAnsi="Verdana"/>
          <w:i/>
          <w:sz w:val="16"/>
          <w:szCs w:val="16"/>
          <w:lang w:val="es-CR"/>
        </w:rPr>
        <w:t xml:space="preserve"> Vs. Perú. Competencia.</w:t>
      </w:r>
      <w:r w:rsidRPr="00226C10">
        <w:rPr>
          <w:rFonts w:ascii="Verdana" w:hAnsi="Verdana"/>
          <w:sz w:val="16"/>
          <w:szCs w:val="16"/>
          <w:lang w:val="es-CR"/>
        </w:rPr>
        <w:t xml:space="preserve"> Sentencia de la Corte Interamericana de Derechos Humanos de 24 de septiembre de 1999. Serie C No. 54, párr. 37, y </w:t>
      </w:r>
      <w:r w:rsidRPr="00B62F82">
        <w:rPr>
          <w:rFonts w:ascii="Verdana" w:hAnsi="Verdana"/>
          <w:i/>
          <w:sz w:val="16"/>
          <w:szCs w:val="16"/>
          <w:lang w:val="es-CR"/>
        </w:rPr>
        <w:t xml:space="preserve">Caso </w:t>
      </w:r>
      <w:r w:rsidR="00F246A8">
        <w:rPr>
          <w:rFonts w:ascii="Verdana" w:hAnsi="Verdana"/>
          <w:i/>
          <w:sz w:val="16"/>
          <w:szCs w:val="16"/>
          <w:lang w:val="es-CR"/>
        </w:rPr>
        <w:t>Trabajadores Cesados de Petroperú y otros Vs. Perú</w:t>
      </w:r>
      <w:r w:rsidRPr="00B62F82">
        <w:rPr>
          <w:rFonts w:ascii="Verdana" w:hAnsi="Verdana"/>
          <w:i/>
          <w:sz w:val="16"/>
          <w:szCs w:val="16"/>
          <w:lang w:val="es-CR"/>
        </w:rPr>
        <w:t xml:space="preserve">. Supervisión de Cumplimiento de Sentencia. </w:t>
      </w:r>
      <w:r w:rsidRPr="00B62F82">
        <w:rPr>
          <w:rFonts w:ascii="Verdana" w:hAnsi="Verdana"/>
          <w:sz w:val="16"/>
          <w:szCs w:val="16"/>
          <w:lang w:val="es-CR"/>
        </w:rPr>
        <w:t xml:space="preserve">Resolución de la Corte Interamericana de Derechos Humanos de </w:t>
      </w:r>
      <w:r w:rsidR="00F246A8">
        <w:rPr>
          <w:rFonts w:ascii="Verdana" w:hAnsi="Verdana"/>
          <w:sz w:val="16"/>
          <w:szCs w:val="16"/>
          <w:lang w:val="es-CR"/>
        </w:rPr>
        <w:t>26</w:t>
      </w:r>
      <w:r w:rsidR="00F246A8" w:rsidRPr="00B62F82">
        <w:rPr>
          <w:rFonts w:ascii="Verdana" w:hAnsi="Verdana"/>
          <w:sz w:val="16"/>
          <w:szCs w:val="16"/>
          <w:lang w:val="es-CR"/>
        </w:rPr>
        <w:t xml:space="preserve"> </w:t>
      </w:r>
      <w:r w:rsidRPr="00B62F82">
        <w:rPr>
          <w:rFonts w:ascii="Verdana" w:hAnsi="Verdana"/>
          <w:sz w:val="16"/>
          <w:szCs w:val="16"/>
          <w:lang w:val="es-CR"/>
        </w:rPr>
        <w:t xml:space="preserve">de </w:t>
      </w:r>
      <w:r w:rsidR="00F246A8">
        <w:rPr>
          <w:rFonts w:ascii="Verdana" w:hAnsi="Verdana"/>
          <w:sz w:val="16"/>
          <w:szCs w:val="16"/>
          <w:lang w:val="es-CR"/>
        </w:rPr>
        <w:t>septiembre</w:t>
      </w:r>
      <w:r w:rsidR="00F246A8" w:rsidRPr="00B62F82">
        <w:rPr>
          <w:rFonts w:ascii="Verdana" w:hAnsi="Verdana"/>
          <w:sz w:val="16"/>
          <w:szCs w:val="16"/>
          <w:lang w:val="es-CR"/>
        </w:rPr>
        <w:t xml:space="preserve"> </w:t>
      </w:r>
      <w:r w:rsidRPr="00B62F82">
        <w:rPr>
          <w:rFonts w:ascii="Verdana" w:hAnsi="Verdana"/>
          <w:sz w:val="16"/>
          <w:szCs w:val="16"/>
          <w:lang w:val="es-CR"/>
        </w:rPr>
        <w:t>de 2018</w:t>
      </w:r>
      <w:r>
        <w:rPr>
          <w:rFonts w:ascii="Verdana" w:hAnsi="Verdana"/>
          <w:sz w:val="16"/>
          <w:szCs w:val="16"/>
          <w:lang w:val="es-CR"/>
        </w:rPr>
        <w:t>, Considerando 2.</w:t>
      </w:r>
    </w:p>
  </w:footnote>
  <w:footnote w:id="14">
    <w:p w:rsidR="007717F6" w:rsidRPr="004474ED" w:rsidRDefault="007717F6" w:rsidP="00F2322B">
      <w:pPr>
        <w:pStyle w:val="FootnoteText"/>
        <w:jc w:val="both"/>
        <w:rPr>
          <w:rFonts w:ascii="Verdana" w:hAnsi="Verdana"/>
          <w:b/>
          <w:sz w:val="16"/>
          <w:szCs w:val="16"/>
          <w:lang w:val="es-CR"/>
        </w:rPr>
      </w:pPr>
      <w:r>
        <w:rPr>
          <w:rStyle w:val="FootnoteReference"/>
          <w:rFonts w:ascii="Verdana" w:hAnsi="Verdana"/>
          <w:sz w:val="16"/>
          <w:szCs w:val="16"/>
        </w:rPr>
        <w:footnoteRef/>
      </w:r>
      <w:r>
        <w:rPr>
          <w:rFonts w:ascii="Verdana" w:hAnsi="Verdana"/>
          <w:sz w:val="16"/>
          <w:szCs w:val="16"/>
          <w:lang w:val="es-CR"/>
        </w:rPr>
        <w:t xml:space="preserve"> </w:t>
      </w:r>
      <w:r>
        <w:rPr>
          <w:rFonts w:ascii="Verdana" w:hAnsi="Verdana"/>
          <w:sz w:val="16"/>
          <w:szCs w:val="16"/>
          <w:lang w:val="es-CR"/>
        </w:rPr>
        <w:tab/>
      </w:r>
      <w:r>
        <w:rPr>
          <w:rFonts w:ascii="Verdana" w:hAnsi="Verdana"/>
          <w:i/>
          <w:sz w:val="16"/>
          <w:szCs w:val="16"/>
          <w:lang w:val="es-CR"/>
        </w:rPr>
        <w:t xml:space="preserve">Cfr. </w:t>
      </w:r>
      <w:r>
        <w:rPr>
          <w:rFonts w:ascii="Verdana" w:hAnsi="Verdana"/>
          <w:sz w:val="16"/>
          <w:szCs w:val="16"/>
          <w:lang w:val="es-CR"/>
        </w:rPr>
        <w:t>Copia del diario oficial “El Peruano” de 29 de diciembre de 2016, pág. 12 (Anexo 1 al informe del Estado de 27 de abril de 2018).</w:t>
      </w:r>
    </w:p>
  </w:footnote>
  <w:footnote w:id="15">
    <w:p w:rsidR="007717F6" w:rsidRPr="004474ED" w:rsidRDefault="007717F6" w:rsidP="002D2549">
      <w:pPr>
        <w:pStyle w:val="FootnoteText"/>
        <w:jc w:val="both"/>
        <w:rPr>
          <w:rFonts w:ascii="Verdana" w:hAnsi="Verdana"/>
          <w:b/>
          <w:sz w:val="16"/>
          <w:szCs w:val="16"/>
          <w:lang w:val="es-CR"/>
        </w:rPr>
      </w:pPr>
      <w:r w:rsidRPr="002D2549">
        <w:rPr>
          <w:rStyle w:val="FootnoteReference"/>
          <w:rFonts w:ascii="Verdana" w:hAnsi="Verdana"/>
          <w:sz w:val="16"/>
          <w:szCs w:val="16"/>
        </w:rPr>
        <w:footnoteRef/>
      </w:r>
      <w:r w:rsidRPr="002D2549">
        <w:rPr>
          <w:rFonts w:ascii="Verdana" w:hAnsi="Verdana"/>
          <w:sz w:val="16"/>
          <w:szCs w:val="16"/>
          <w:lang w:val="es-CR"/>
        </w:rPr>
        <w:t xml:space="preserve"> </w:t>
      </w:r>
      <w:r w:rsidRPr="002D2549">
        <w:rPr>
          <w:rFonts w:ascii="Verdana" w:hAnsi="Verdana"/>
          <w:sz w:val="16"/>
          <w:szCs w:val="16"/>
          <w:lang w:val="es-CR"/>
        </w:rPr>
        <w:tab/>
      </w:r>
      <w:r w:rsidRPr="002D2549">
        <w:rPr>
          <w:rFonts w:ascii="Verdana" w:hAnsi="Verdana"/>
          <w:i/>
          <w:sz w:val="16"/>
          <w:szCs w:val="16"/>
          <w:lang w:val="es-CR"/>
        </w:rPr>
        <w:t xml:space="preserve">Cfr. </w:t>
      </w:r>
      <w:r w:rsidRPr="002D2549">
        <w:rPr>
          <w:rFonts w:ascii="Verdana" w:hAnsi="Verdana"/>
          <w:sz w:val="16"/>
          <w:szCs w:val="16"/>
          <w:lang w:val="es-CR"/>
        </w:rPr>
        <w:t>Copia del periódico “</w:t>
      </w:r>
      <w:r>
        <w:rPr>
          <w:rFonts w:ascii="Verdana" w:hAnsi="Verdana"/>
          <w:sz w:val="16"/>
          <w:szCs w:val="16"/>
          <w:lang w:val="es-CR"/>
        </w:rPr>
        <w:t>La República</w:t>
      </w:r>
      <w:r w:rsidRPr="002D2549">
        <w:rPr>
          <w:rFonts w:ascii="Verdana" w:hAnsi="Verdana"/>
          <w:sz w:val="16"/>
          <w:szCs w:val="16"/>
          <w:lang w:val="es-CR"/>
        </w:rPr>
        <w:t xml:space="preserve">” de </w:t>
      </w:r>
      <w:r>
        <w:rPr>
          <w:rFonts w:ascii="Verdana" w:hAnsi="Verdana"/>
          <w:sz w:val="16"/>
          <w:szCs w:val="16"/>
          <w:lang w:val="es-CR"/>
        </w:rPr>
        <w:t>18</w:t>
      </w:r>
      <w:r w:rsidRPr="002D2549">
        <w:rPr>
          <w:rFonts w:ascii="Verdana" w:hAnsi="Verdana"/>
          <w:sz w:val="16"/>
          <w:szCs w:val="16"/>
          <w:lang w:val="es-CR"/>
        </w:rPr>
        <w:t xml:space="preserve"> de </w:t>
      </w:r>
      <w:r>
        <w:rPr>
          <w:rFonts w:ascii="Verdana" w:hAnsi="Verdana"/>
          <w:sz w:val="16"/>
          <w:szCs w:val="16"/>
          <w:lang w:val="es-CR"/>
        </w:rPr>
        <w:t>agosto</w:t>
      </w:r>
      <w:r w:rsidRPr="002D2549">
        <w:rPr>
          <w:rFonts w:ascii="Verdana" w:hAnsi="Verdana"/>
          <w:sz w:val="16"/>
          <w:szCs w:val="16"/>
          <w:lang w:val="es-CR"/>
        </w:rPr>
        <w:t xml:space="preserve"> de 201</w:t>
      </w:r>
      <w:r>
        <w:rPr>
          <w:rFonts w:ascii="Verdana" w:hAnsi="Verdana"/>
          <w:sz w:val="16"/>
          <w:szCs w:val="16"/>
          <w:lang w:val="es-CR"/>
        </w:rPr>
        <w:t>7, pág. 15</w:t>
      </w:r>
      <w:r w:rsidRPr="002D2549">
        <w:rPr>
          <w:rFonts w:ascii="Verdana" w:hAnsi="Verdana"/>
          <w:sz w:val="16"/>
          <w:szCs w:val="16"/>
          <w:lang w:val="es-CR"/>
        </w:rPr>
        <w:t xml:space="preserve"> (Anexo </w:t>
      </w:r>
      <w:r>
        <w:rPr>
          <w:rFonts w:ascii="Verdana" w:hAnsi="Verdana"/>
          <w:sz w:val="16"/>
          <w:szCs w:val="16"/>
          <w:lang w:val="es-CR"/>
        </w:rPr>
        <w:t>1</w:t>
      </w:r>
      <w:r w:rsidRPr="002D2549">
        <w:rPr>
          <w:rFonts w:ascii="Verdana" w:hAnsi="Verdana"/>
          <w:sz w:val="16"/>
          <w:szCs w:val="16"/>
          <w:lang w:val="es-CR"/>
        </w:rPr>
        <w:t xml:space="preserve"> al informe presentado por el Estado el </w:t>
      </w:r>
      <w:r>
        <w:rPr>
          <w:rFonts w:ascii="Verdana" w:hAnsi="Verdana"/>
          <w:sz w:val="16"/>
          <w:szCs w:val="16"/>
          <w:lang w:val="es-CR"/>
        </w:rPr>
        <w:t>28 de agosto de 2017</w:t>
      </w:r>
      <w:r w:rsidRPr="002D2549">
        <w:rPr>
          <w:rFonts w:ascii="Verdana" w:hAnsi="Verdana"/>
          <w:sz w:val="16"/>
          <w:szCs w:val="16"/>
          <w:lang w:val="es-CR"/>
        </w:rPr>
        <w:t>).</w:t>
      </w:r>
    </w:p>
  </w:footnote>
  <w:footnote w:id="16">
    <w:p w:rsidR="007717F6" w:rsidRPr="004474ED" w:rsidRDefault="007717F6" w:rsidP="001D60CA">
      <w:pPr>
        <w:pStyle w:val="FootnoteText"/>
        <w:jc w:val="both"/>
        <w:rPr>
          <w:rFonts w:ascii="Verdana" w:hAnsi="Verdana"/>
          <w:b/>
          <w:sz w:val="16"/>
          <w:szCs w:val="16"/>
          <w:lang w:val="es-CR"/>
        </w:rPr>
      </w:pPr>
      <w:r w:rsidRPr="004B7BA7">
        <w:rPr>
          <w:rStyle w:val="FootnoteReference"/>
          <w:rFonts w:ascii="Verdana" w:hAnsi="Verdana"/>
          <w:sz w:val="16"/>
          <w:szCs w:val="16"/>
        </w:rPr>
        <w:footnoteRef/>
      </w:r>
      <w:r w:rsidRPr="004B7BA7">
        <w:rPr>
          <w:rFonts w:ascii="Verdana" w:hAnsi="Verdana"/>
          <w:sz w:val="16"/>
          <w:szCs w:val="16"/>
          <w:lang w:val="es-CR"/>
        </w:rPr>
        <w:t xml:space="preserve"> </w:t>
      </w:r>
      <w:r w:rsidRPr="004B7BA7">
        <w:rPr>
          <w:rFonts w:ascii="Verdana" w:hAnsi="Verdana"/>
          <w:sz w:val="16"/>
          <w:szCs w:val="16"/>
          <w:lang w:val="es-CR"/>
        </w:rPr>
        <w:tab/>
      </w:r>
      <w:r w:rsidRPr="004B7BA7">
        <w:rPr>
          <w:rFonts w:ascii="Verdana" w:hAnsi="Verdana"/>
          <w:i/>
          <w:sz w:val="16"/>
          <w:szCs w:val="16"/>
          <w:lang w:val="es-CR"/>
        </w:rPr>
        <w:t xml:space="preserve">Cfr. </w:t>
      </w:r>
      <w:r w:rsidRPr="004B7BA7">
        <w:rPr>
          <w:rFonts w:ascii="Verdana" w:hAnsi="Verdana"/>
          <w:sz w:val="16"/>
          <w:szCs w:val="16"/>
          <w:lang w:val="es-CR"/>
        </w:rPr>
        <w:t xml:space="preserve">Página Web del Ministerio de Justicia y Derechos Humanos (enlace al documento indicado por el Estado en su comunicación de 19 de septiembre de 2016 disponible en: </w:t>
      </w:r>
      <w:hyperlink r:id="rId4" w:history="1">
        <w:r w:rsidRPr="004B7BA7">
          <w:rPr>
            <w:rStyle w:val="Hyperlink"/>
            <w:rFonts w:ascii="Verdana" w:hAnsi="Verdana"/>
            <w:sz w:val="16"/>
            <w:szCs w:val="16"/>
            <w:lang w:val="es-CR"/>
          </w:rPr>
          <w:t>https://www.minjus.gob.pe/sentencia-en-el-caso-wong-ho-wing-vs-peru/</w:t>
        </w:r>
      </w:hyperlink>
      <w:r w:rsidRPr="004B7BA7">
        <w:rPr>
          <w:rFonts w:ascii="Verdana" w:hAnsi="Verdana"/>
          <w:sz w:val="16"/>
          <w:szCs w:val="16"/>
          <w:lang w:val="es-CR"/>
        </w:rPr>
        <w:t xml:space="preserve">, última consulta el </w:t>
      </w:r>
      <w:r w:rsidR="00FD4E77">
        <w:rPr>
          <w:rFonts w:ascii="Verdana" w:hAnsi="Verdana"/>
          <w:sz w:val="16"/>
          <w:szCs w:val="16"/>
          <w:lang w:val="es-CR"/>
        </w:rPr>
        <w:t>21</w:t>
      </w:r>
      <w:r w:rsidRPr="004B7BA7">
        <w:rPr>
          <w:rFonts w:ascii="Verdana" w:hAnsi="Verdana"/>
          <w:sz w:val="16"/>
          <w:szCs w:val="16"/>
          <w:lang w:val="es-CR"/>
        </w:rPr>
        <w:t xml:space="preserve"> de </w:t>
      </w:r>
      <w:r w:rsidR="00FD4E77">
        <w:rPr>
          <w:rFonts w:ascii="Verdana" w:hAnsi="Verdana"/>
          <w:sz w:val="16"/>
          <w:szCs w:val="16"/>
          <w:lang w:val="es-CR"/>
        </w:rPr>
        <w:t>noviembre</w:t>
      </w:r>
      <w:r w:rsidRPr="004B7BA7">
        <w:rPr>
          <w:rFonts w:ascii="Verdana" w:hAnsi="Verdana"/>
          <w:sz w:val="16"/>
          <w:szCs w:val="16"/>
          <w:lang w:val="es-CR"/>
        </w:rPr>
        <w:t xml:space="preserve"> de 2018).</w:t>
      </w:r>
    </w:p>
  </w:footnote>
  <w:footnote w:id="17">
    <w:p w:rsidR="007717F6" w:rsidRPr="00F826DC" w:rsidRDefault="007717F6" w:rsidP="005E0FDF">
      <w:pPr>
        <w:pStyle w:val="FootnoteText"/>
        <w:jc w:val="both"/>
        <w:rPr>
          <w:rFonts w:ascii="Verdana" w:hAnsi="Verdana"/>
          <w:sz w:val="16"/>
          <w:szCs w:val="16"/>
          <w:lang w:val="es-CR"/>
        </w:rPr>
      </w:pPr>
      <w:r w:rsidRPr="00F826DC">
        <w:rPr>
          <w:rStyle w:val="FootnoteReference"/>
          <w:rFonts w:ascii="Verdana" w:hAnsi="Verdana"/>
          <w:sz w:val="16"/>
          <w:szCs w:val="16"/>
        </w:rPr>
        <w:footnoteRef/>
      </w:r>
      <w:r w:rsidRPr="00F826DC">
        <w:rPr>
          <w:rFonts w:ascii="Verdana" w:hAnsi="Verdana"/>
          <w:sz w:val="16"/>
          <w:szCs w:val="16"/>
          <w:lang w:val="es-CR"/>
        </w:rPr>
        <w:t xml:space="preserve"> </w:t>
      </w:r>
      <w:r w:rsidRPr="00F826DC">
        <w:rPr>
          <w:rFonts w:ascii="Verdana" w:hAnsi="Verdana"/>
          <w:sz w:val="16"/>
          <w:szCs w:val="16"/>
          <w:lang w:val="es-CR"/>
        </w:rPr>
        <w:tab/>
      </w:r>
      <w:r w:rsidRPr="00F826DC">
        <w:rPr>
          <w:rFonts w:ascii="Verdana" w:hAnsi="Verdana"/>
          <w:i/>
          <w:sz w:val="16"/>
          <w:szCs w:val="16"/>
          <w:lang w:val="es-CR"/>
        </w:rPr>
        <w:t xml:space="preserve">Cfr. </w:t>
      </w:r>
      <w:r w:rsidRPr="00F826DC">
        <w:rPr>
          <w:rFonts w:ascii="Verdana" w:hAnsi="Verdana"/>
          <w:sz w:val="16"/>
          <w:szCs w:val="16"/>
          <w:lang w:val="es-CR"/>
        </w:rPr>
        <w:t>Escrito de 17 de enero de 2018.</w:t>
      </w:r>
    </w:p>
  </w:footnote>
  <w:footnote w:id="18">
    <w:p w:rsidR="007717F6" w:rsidRPr="00AA21D2" w:rsidRDefault="007717F6" w:rsidP="00AA21D2">
      <w:pPr>
        <w:pStyle w:val="FootnoteText"/>
        <w:jc w:val="both"/>
        <w:rPr>
          <w:rFonts w:ascii="Verdana" w:hAnsi="Verdana"/>
          <w:sz w:val="16"/>
          <w:szCs w:val="16"/>
          <w:lang w:val="es-CR"/>
        </w:rPr>
      </w:pPr>
      <w:r w:rsidRPr="00AA21D2">
        <w:rPr>
          <w:rStyle w:val="FootnoteReference"/>
          <w:rFonts w:ascii="Verdana" w:hAnsi="Verdana"/>
          <w:sz w:val="16"/>
          <w:szCs w:val="16"/>
        </w:rPr>
        <w:footnoteRef/>
      </w:r>
      <w:r w:rsidRPr="00AA21D2">
        <w:rPr>
          <w:rFonts w:ascii="Verdana" w:hAnsi="Verdana"/>
          <w:sz w:val="16"/>
          <w:szCs w:val="16"/>
          <w:lang w:val="es-CR"/>
        </w:rPr>
        <w:t xml:space="preserve"> </w:t>
      </w:r>
      <w:r w:rsidRPr="00AA21D2">
        <w:rPr>
          <w:rFonts w:ascii="Verdana" w:hAnsi="Verdana"/>
          <w:sz w:val="16"/>
          <w:szCs w:val="16"/>
          <w:lang w:val="es-ES_tradnl"/>
        </w:rPr>
        <w:tab/>
      </w:r>
      <w:r w:rsidR="00AA21D2" w:rsidRPr="00AA21D2">
        <w:rPr>
          <w:rFonts w:ascii="Verdana" w:hAnsi="Verdana"/>
          <w:sz w:val="16"/>
          <w:szCs w:val="16"/>
          <w:lang w:val="es-ES_tradnl"/>
        </w:rPr>
        <w:t xml:space="preserve">El Estado informó que </w:t>
      </w:r>
      <w:r w:rsidR="00AA21D2" w:rsidRPr="00AA21D2">
        <w:rPr>
          <w:rFonts w:ascii="Verdana" w:hAnsi="Verdana"/>
          <w:sz w:val="16"/>
          <w:szCs w:val="16"/>
          <w:lang w:val="es-CR"/>
        </w:rPr>
        <w:t xml:space="preserve">la Secretaría Técnica del Consejo de Defensa Jurídica del Estado fue recompuesta en agosto de 2018, y que “la eventual convocatoria de una sesión del </w:t>
      </w:r>
      <w:r w:rsidR="00E20DEB">
        <w:rPr>
          <w:rFonts w:ascii="Verdana" w:hAnsi="Verdana"/>
          <w:sz w:val="16"/>
          <w:szCs w:val="16"/>
          <w:lang w:val="es-CR"/>
        </w:rPr>
        <w:t>[</w:t>
      </w:r>
      <w:r w:rsidR="00AA21D2" w:rsidRPr="00AA21D2">
        <w:rPr>
          <w:rFonts w:ascii="Verdana" w:hAnsi="Verdana"/>
          <w:sz w:val="16"/>
          <w:szCs w:val="16"/>
          <w:lang w:val="es-CR"/>
        </w:rPr>
        <w:t>Consejo</w:t>
      </w:r>
      <w:r w:rsidR="00E20DEB">
        <w:rPr>
          <w:rFonts w:ascii="Verdana" w:hAnsi="Verdana"/>
          <w:sz w:val="16"/>
          <w:szCs w:val="16"/>
          <w:lang w:val="es-CR"/>
        </w:rPr>
        <w:t>]</w:t>
      </w:r>
      <w:r w:rsidR="00AA21D2" w:rsidRPr="00AA21D2">
        <w:rPr>
          <w:rFonts w:ascii="Verdana" w:hAnsi="Verdana"/>
          <w:sz w:val="16"/>
          <w:szCs w:val="16"/>
          <w:lang w:val="es-CR"/>
        </w:rPr>
        <w:t xml:space="preserve"> con la finalidad de que se adopte el acuerdo respectivo con la determinación de entidades responsables de cumplir con las sentencias expedidas por la Corte </w:t>
      </w:r>
      <w:r w:rsidR="00E20DEB">
        <w:rPr>
          <w:rFonts w:ascii="Verdana" w:hAnsi="Verdana"/>
          <w:sz w:val="16"/>
          <w:szCs w:val="16"/>
          <w:lang w:val="es-CR"/>
        </w:rPr>
        <w:t xml:space="preserve">IDH </w:t>
      </w:r>
      <w:r w:rsidR="00AA21D2" w:rsidRPr="00AA21D2">
        <w:rPr>
          <w:rFonts w:ascii="Verdana" w:hAnsi="Verdana"/>
          <w:sz w:val="16"/>
          <w:szCs w:val="16"/>
          <w:lang w:val="es-CR"/>
        </w:rPr>
        <w:t>[…] debería tener lugar con la nueva conformación del Consejo”.</w:t>
      </w:r>
    </w:p>
  </w:footnote>
  <w:footnote w:id="19">
    <w:p w:rsidR="007717F6" w:rsidRPr="004E1C2B" w:rsidRDefault="007717F6" w:rsidP="004E1C2B">
      <w:pPr>
        <w:pStyle w:val="FootnoteText"/>
        <w:jc w:val="both"/>
        <w:rPr>
          <w:rFonts w:ascii="Verdana" w:hAnsi="Verdana"/>
          <w:sz w:val="16"/>
          <w:szCs w:val="16"/>
          <w:lang w:val="es-CR"/>
        </w:rPr>
      </w:pPr>
      <w:r>
        <w:rPr>
          <w:rStyle w:val="FootnoteReference"/>
          <w:rFonts w:ascii="Verdana" w:hAnsi="Verdana"/>
          <w:sz w:val="16"/>
          <w:szCs w:val="16"/>
        </w:rPr>
        <w:footnoteRef/>
      </w:r>
      <w:r w:rsidRPr="004E1C2B">
        <w:rPr>
          <w:rFonts w:ascii="Verdana" w:hAnsi="Verdana"/>
          <w:sz w:val="16"/>
          <w:szCs w:val="16"/>
          <w:lang w:val="es-CR"/>
        </w:rPr>
        <w:t xml:space="preserve"> </w:t>
      </w:r>
      <w:r w:rsidRPr="004E1C2B">
        <w:rPr>
          <w:rFonts w:ascii="Verdana" w:hAnsi="Verdana"/>
          <w:sz w:val="16"/>
          <w:szCs w:val="16"/>
          <w:lang w:val="es-CR"/>
        </w:rPr>
        <w:tab/>
      </w:r>
      <w:r w:rsidRPr="004E1C2B">
        <w:rPr>
          <w:rFonts w:ascii="Verdana" w:hAnsi="Verdana"/>
          <w:i/>
          <w:sz w:val="16"/>
          <w:szCs w:val="16"/>
          <w:lang w:val="es-CR"/>
        </w:rPr>
        <w:t>Cfr.</w:t>
      </w:r>
      <w:r w:rsidRPr="004E1C2B">
        <w:rPr>
          <w:rFonts w:ascii="Verdana" w:hAnsi="Verdana"/>
          <w:sz w:val="16"/>
          <w:szCs w:val="16"/>
          <w:lang w:val="es-CR"/>
        </w:rPr>
        <w:t xml:space="preserve"> Responsabilidad internacional por expedición y aplicación de leyes violatorias de la Convención (arts. 1 y 2 Convención Americana sobre Derechos Humanos). Opinión Consultiva OC-14/94 de 9 de diciembre de 1994. Serie A No. 14, párr. 35; </w:t>
      </w:r>
      <w:r w:rsidRPr="004E1C2B">
        <w:rPr>
          <w:rFonts w:ascii="Verdana" w:hAnsi="Verdana"/>
          <w:i/>
          <w:sz w:val="16"/>
          <w:szCs w:val="16"/>
          <w:lang w:val="es-CR"/>
        </w:rPr>
        <w:t xml:space="preserve">Caso Castillo </w:t>
      </w:r>
      <w:proofErr w:type="spellStart"/>
      <w:r w:rsidRPr="004E1C2B">
        <w:rPr>
          <w:rFonts w:ascii="Verdana" w:hAnsi="Verdana"/>
          <w:i/>
          <w:sz w:val="16"/>
          <w:szCs w:val="16"/>
          <w:lang w:val="es-CR"/>
        </w:rPr>
        <w:t>Petruzzi</w:t>
      </w:r>
      <w:proofErr w:type="spellEnd"/>
      <w:r w:rsidRPr="004E1C2B">
        <w:rPr>
          <w:rFonts w:ascii="Verdana" w:hAnsi="Verdana"/>
          <w:i/>
          <w:sz w:val="16"/>
          <w:szCs w:val="16"/>
          <w:lang w:val="es-CR"/>
        </w:rPr>
        <w:t xml:space="preserve"> y otros</w:t>
      </w:r>
      <w:r w:rsidRPr="004E1C2B">
        <w:rPr>
          <w:rFonts w:ascii="Verdana" w:hAnsi="Verdana"/>
          <w:sz w:val="16"/>
          <w:szCs w:val="16"/>
          <w:lang w:val="es-CR"/>
        </w:rPr>
        <w:t xml:space="preserve"> </w:t>
      </w:r>
      <w:r w:rsidRPr="004E1C2B">
        <w:rPr>
          <w:rFonts w:ascii="Verdana" w:hAnsi="Verdana"/>
          <w:i/>
          <w:sz w:val="16"/>
          <w:szCs w:val="16"/>
          <w:lang w:val="es-CR"/>
        </w:rPr>
        <w:t xml:space="preserve">Vs. Perú. Supervisión de Cumplimiento de Sentencia. </w:t>
      </w:r>
      <w:r w:rsidRPr="004E1C2B">
        <w:rPr>
          <w:rFonts w:ascii="Verdana" w:hAnsi="Verdana"/>
          <w:sz w:val="16"/>
          <w:szCs w:val="16"/>
          <w:lang w:val="es-CR"/>
        </w:rPr>
        <w:t xml:space="preserve">Resolución de la Corte Interamericana de Derechos Humanos de 17 de noviembre de 1998, Considerando 4, y </w:t>
      </w:r>
      <w:r w:rsidRPr="004E1C2B">
        <w:rPr>
          <w:rFonts w:ascii="Verdana" w:hAnsi="Verdana"/>
          <w:i/>
          <w:sz w:val="16"/>
          <w:szCs w:val="16"/>
          <w:lang w:val="es-CR"/>
        </w:rPr>
        <w:t xml:space="preserve">Caso López </w:t>
      </w:r>
      <w:proofErr w:type="spellStart"/>
      <w:r w:rsidRPr="004E1C2B">
        <w:rPr>
          <w:rFonts w:ascii="Verdana" w:hAnsi="Verdana"/>
          <w:i/>
          <w:sz w:val="16"/>
          <w:szCs w:val="16"/>
          <w:lang w:val="es-CR"/>
        </w:rPr>
        <w:t>Lone</w:t>
      </w:r>
      <w:proofErr w:type="spellEnd"/>
      <w:r w:rsidRPr="004E1C2B">
        <w:rPr>
          <w:rFonts w:ascii="Verdana" w:hAnsi="Verdana"/>
          <w:i/>
          <w:sz w:val="16"/>
          <w:szCs w:val="16"/>
          <w:lang w:val="es-CR"/>
        </w:rPr>
        <w:t xml:space="preserve"> y otros Vs. Honduras. Supervisión de Cumplimiento de Sentencia.</w:t>
      </w:r>
      <w:r w:rsidRPr="004E1C2B">
        <w:rPr>
          <w:rFonts w:ascii="Verdana" w:hAnsi="Verdana"/>
          <w:sz w:val="16"/>
          <w:szCs w:val="16"/>
          <w:lang w:val="es-CR"/>
        </w:rPr>
        <w:t xml:space="preserve"> Resolución de la Corte Interamericana de Derechos Humanos de 25 de mayo de 2017, Considerando 15.</w:t>
      </w:r>
    </w:p>
  </w:footnote>
  <w:footnote w:id="20">
    <w:p w:rsidR="007717F6" w:rsidRDefault="007717F6" w:rsidP="00D12273">
      <w:pPr>
        <w:pStyle w:val="BodyText2"/>
        <w:tabs>
          <w:tab w:val="left" w:pos="0"/>
          <w:tab w:val="left" w:pos="426"/>
        </w:tabs>
        <w:spacing w:after="0" w:line="240" w:lineRule="auto"/>
        <w:jc w:val="both"/>
        <w:rPr>
          <w:rFonts w:ascii="Verdana" w:hAnsi="Verdana"/>
          <w:sz w:val="16"/>
          <w:szCs w:val="16"/>
        </w:rPr>
      </w:pPr>
      <w:r>
        <w:rPr>
          <w:rStyle w:val="FootnoteReference"/>
          <w:rFonts w:ascii="Verdana" w:hAnsi="Verdana"/>
          <w:sz w:val="16"/>
          <w:szCs w:val="16"/>
        </w:rPr>
        <w:footnoteRef/>
      </w:r>
      <w:r>
        <w:rPr>
          <w:rFonts w:ascii="Verdana" w:hAnsi="Verdana"/>
          <w:sz w:val="16"/>
          <w:szCs w:val="16"/>
        </w:rPr>
        <w:tab/>
      </w:r>
      <w:r w:rsidR="002535A9">
        <w:rPr>
          <w:rFonts w:ascii="Verdana" w:hAnsi="Verdana"/>
          <w:sz w:val="16"/>
          <w:szCs w:val="16"/>
        </w:rPr>
        <w:tab/>
      </w:r>
      <w:r>
        <w:rPr>
          <w:rFonts w:ascii="Verdana" w:hAnsi="Verdana"/>
          <w:i/>
          <w:sz w:val="16"/>
          <w:szCs w:val="16"/>
          <w:lang w:val="es-CR"/>
        </w:rPr>
        <w:t xml:space="preserve">Cfr. </w:t>
      </w:r>
      <w:r>
        <w:rPr>
          <w:rFonts w:ascii="Verdana" w:hAnsi="Verdana"/>
          <w:i/>
          <w:sz w:val="16"/>
          <w:szCs w:val="16"/>
        </w:rPr>
        <w:t xml:space="preserve">Caso </w:t>
      </w:r>
      <w:proofErr w:type="spellStart"/>
      <w:r>
        <w:rPr>
          <w:rFonts w:ascii="Verdana" w:hAnsi="Verdana"/>
          <w:i/>
          <w:sz w:val="16"/>
          <w:szCs w:val="16"/>
        </w:rPr>
        <w:t>Ivcher</w:t>
      </w:r>
      <w:proofErr w:type="spellEnd"/>
      <w:r>
        <w:rPr>
          <w:rFonts w:ascii="Verdana" w:hAnsi="Verdana"/>
          <w:i/>
          <w:sz w:val="16"/>
          <w:szCs w:val="16"/>
        </w:rPr>
        <w:t xml:space="preserve"> </w:t>
      </w:r>
      <w:proofErr w:type="spellStart"/>
      <w:r>
        <w:rPr>
          <w:rFonts w:ascii="Verdana" w:hAnsi="Verdana"/>
          <w:i/>
          <w:sz w:val="16"/>
          <w:szCs w:val="16"/>
        </w:rPr>
        <w:t>Bronstein</w:t>
      </w:r>
      <w:proofErr w:type="spellEnd"/>
      <w:r>
        <w:rPr>
          <w:rFonts w:ascii="Verdana" w:hAnsi="Verdana"/>
          <w:i/>
          <w:sz w:val="16"/>
          <w:szCs w:val="16"/>
        </w:rPr>
        <w:t xml:space="preserve"> Vs. Perú. Competencia.</w:t>
      </w:r>
      <w:r>
        <w:rPr>
          <w:rFonts w:ascii="Verdana" w:hAnsi="Verdana"/>
          <w:sz w:val="16"/>
          <w:szCs w:val="16"/>
        </w:rPr>
        <w:t xml:space="preserve"> Sentencia de 24 de septiembre de 1999. Serie C No. 54, párr. 37,  y</w:t>
      </w:r>
      <w:r>
        <w:rPr>
          <w:rFonts w:ascii="Verdana" w:hAnsi="Verdana"/>
          <w:i/>
          <w:sz w:val="16"/>
          <w:szCs w:val="16"/>
          <w:lang w:val="es-CR"/>
        </w:rPr>
        <w:t xml:space="preserve"> Caso </w:t>
      </w:r>
      <w:proofErr w:type="spellStart"/>
      <w:r>
        <w:rPr>
          <w:rFonts w:ascii="Verdana" w:hAnsi="Verdana"/>
          <w:i/>
          <w:sz w:val="16"/>
          <w:szCs w:val="16"/>
          <w:lang w:val="es-CR"/>
        </w:rPr>
        <w:t>Fontevecchia</w:t>
      </w:r>
      <w:proofErr w:type="spellEnd"/>
      <w:r>
        <w:rPr>
          <w:rFonts w:ascii="Verdana" w:hAnsi="Verdana"/>
          <w:i/>
          <w:sz w:val="16"/>
          <w:szCs w:val="16"/>
          <w:lang w:val="es-CR"/>
        </w:rPr>
        <w:t xml:space="preserve"> y </w:t>
      </w:r>
      <w:proofErr w:type="spellStart"/>
      <w:r>
        <w:rPr>
          <w:rFonts w:ascii="Verdana" w:hAnsi="Verdana"/>
          <w:i/>
          <w:sz w:val="16"/>
          <w:szCs w:val="16"/>
          <w:lang w:val="es-CR"/>
        </w:rPr>
        <w:t>D’Amico</w:t>
      </w:r>
      <w:proofErr w:type="spellEnd"/>
      <w:r>
        <w:rPr>
          <w:rFonts w:ascii="Verdana" w:hAnsi="Verdana"/>
          <w:i/>
          <w:sz w:val="16"/>
          <w:szCs w:val="16"/>
          <w:lang w:val="es-CR"/>
        </w:rPr>
        <w:t xml:space="preserve"> Vs. Argentina. Supervisión de Cumplimiento de Sentencia. </w:t>
      </w:r>
      <w:r>
        <w:rPr>
          <w:rFonts w:ascii="Verdana" w:hAnsi="Verdana"/>
          <w:sz w:val="16"/>
          <w:szCs w:val="16"/>
          <w:lang w:val="es-CR"/>
        </w:rPr>
        <w:t>Resolución de la Corte Interamericana de Derechos Humanos de 18 de octubre de 2017, Considerando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741678"/>
      <w:docPartObj>
        <w:docPartGallery w:val="Page Numbers (Top of Page)"/>
        <w:docPartUnique/>
      </w:docPartObj>
    </w:sdtPr>
    <w:sdtEndPr>
      <w:rPr>
        <w:noProof/>
      </w:rPr>
    </w:sdtEndPr>
    <w:sdtContent>
      <w:p w:rsidR="00CF1B59" w:rsidRDefault="00CF1B59">
        <w:pPr>
          <w:pStyle w:val="Header"/>
          <w:jc w:val="center"/>
        </w:pPr>
        <w:r>
          <w:fldChar w:fldCharType="begin"/>
        </w:r>
        <w:r>
          <w:instrText xml:space="preserve"> PAGE   \* MERGEFORMAT </w:instrText>
        </w:r>
        <w:r>
          <w:fldChar w:fldCharType="separate"/>
        </w:r>
        <w:r w:rsidR="0003569E">
          <w:rPr>
            <w:noProof/>
          </w:rPr>
          <w:t>3</w:t>
        </w:r>
        <w:r>
          <w:rPr>
            <w:noProof/>
          </w:rPr>
          <w:fldChar w:fldCharType="end"/>
        </w:r>
      </w:p>
    </w:sdtContent>
  </w:sdt>
  <w:p w:rsidR="00CF1B59" w:rsidRDefault="00CF1B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00F7"/>
    <w:multiLevelType w:val="hybridMultilevel"/>
    <w:tmpl w:val="C2D88B78"/>
    <w:lvl w:ilvl="0" w:tplc="FE6E581C">
      <w:start w:val="1"/>
      <w:numFmt w:val="lowerLetter"/>
      <w:lvlText w:val="%1)"/>
      <w:lvlJc w:val="left"/>
      <w:pPr>
        <w:ind w:left="1080" w:hanging="360"/>
      </w:pPr>
      <w:rPr>
        <w:rFonts w:ascii="Verdana" w:hAnsi="Verdana" w:hint="default"/>
        <w:sz w:val="20"/>
        <w:szCs w:val="2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nsid w:val="046B2D65"/>
    <w:multiLevelType w:val="hybridMultilevel"/>
    <w:tmpl w:val="75D02A0E"/>
    <w:lvl w:ilvl="0" w:tplc="140A000F">
      <w:start w:val="1"/>
      <w:numFmt w:val="decimal"/>
      <w:lvlText w:val="%1."/>
      <w:lvlJc w:val="left"/>
      <w:pPr>
        <w:ind w:left="45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ACB3B95"/>
    <w:multiLevelType w:val="hybridMultilevel"/>
    <w:tmpl w:val="0AF4994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EBD1220"/>
    <w:multiLevelType w:val="multilevel"/>
    <w:tmpl w:val="75D02A0E"/>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0B48C0"/>
    <w:multiLevelType w:val="hybridMultilevel"/>
    <w:tmpl w:val="D248D410"/>
    <w:lvl w:ilvl="0" w:tplc="CD56E2C8">
      <w:numFmt w:val="bullet"/>
      <w:lvlText w:val="-"/>
      <w:lvlJc w:val="left"/>
      <w:pPr>
        <w:ind w:left="720" w:hanging="360"/>
      </w:pPr>
      <w:rPr>
        <w:rFonts w:ascii="Verdana" w:eastAsiaTheme="minorHAnsi" w:hAnsi="Verdana" w:cstheme="minorBidi"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16ED3B8B"/>
    <w:multiLevelType w:val="hybridMultilevel"/>
    <w:tmpl w:val="2474B81C"/>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889790B"/>
    <w:multiLevelType w:val="hybridMultilevel"/>
    <w:tmpl w:val="3B069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9779EB"/>
    <w:multiLevelType w:val="hybridMultilevel"/>
    <w:tmpl w:val="8474D1A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7C30D17"/>
    <w:multiLevelType w:val="hybridMultilevel"/>
    <w:tmpl w:val="DF9C03D0"/>
    <w:lvl w:ilvl="0" w:tplc="140A0015">
      <w:start w:val="1"/>
      <w:numFmt w:val="upp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9">
    <w:nsid w:val="291677D0"/>
    <w:multiLevelType w:val="hybridMultilevel"/>
    <w:tmpl w:val="C3982EA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2CBC6D7E"/>
    <w:multiLevelType w:val="hybridMultilevel"/>
    <w:tmpl w:val="7416E5C6"/>
    <w:lvl w:ilvl="0" w:tplc="7AF6A3C2">
      <w:start w:val="1"/>
      <w:numFmt w:val="decimal"/>
      <w:lvlText w:val="%1."/>
      <w:lvlJc w:val="left"/>
      <w:pPr>
        <w:ind w:left="720" w:hanging="360"/>
      </w:pPr>
      <w:rPr>
        <w:rFonts w:ascii="Verdana" w:eastAsiaTheme="minorHAnsi" w:hAnsi="Verdana" w:cstheme="minorBid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313B6759"/>
    <w:multiLevelType w:val="hybridMultilevel"/>
    <w:tmpl w:val="2474B81C"/>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32384CEC"/>
    <w:multiLevelType w:val="hybridMultilevel"/>
    <w:tmpl w:val="58F06782"/>
    <w:lvl w:ilvl="0" w:tplc="5CDCCD30">
      <w:start w:val="1"/>
      <w:numFmt w:val="upperLetter"/>
      <w:lvlText w:val="%1."/>
      <w:lvlJc w:val="left"/>
      <w:pPr>
        <w:ind w:left="720" w:hanging="360"/>
      </w:pPr>
      <w:rPr>
        <w:rFonts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34E21297"/>
    <w:multiLevelType w:val="hybridMultilevel"/>
    <w:tmpl w:val="E7E6058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3CF36D00"/>
    <w:multiLevelType w:val="hybridMultilevel"/>
    <w:tmpl w:val="BE22D5E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5B2977ED"/>
    <w:multiLevelType w:val="hybridMultilevel"/>
    <w:tmpl w:val="1042059C"/>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6">
    <w:nsid w:val="5D11103A"/>
    <w:multiLevelType w:val="hybridMultilevel"/>
    <w:tmpl w:val="0DD85350"/>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608C38E4"/>
    <w:multiLevelType w:val="hybridMultilevel"/>
    <w:tmpl w:val="D98A45B2"/>
    <w:lvl w:ilvl="0" w:tplc="140A000F">
      <w:start w:val="1"/>
      <w:numFmt w:val="decimal"/>
      <w:lvlText w:val="%1."/>
      <w:lvlJc w:val="left"/>
      <w:pPr>
        <w:ind w:left="720" w:hanging="360"/>
      </w:pPr>
    </w:lvl>
    <w:lvl w:ilvl="1" w:tplc="7F5EB592">
      <w:start w:val="1"/>
      <w:numFmt w:val="decimal"/>
      <w:lvlText w:val="%2."/>
      <w:lvlJc w:val="left"/>
      <w:pPr>
        <w:ind w:left="1440" w:hanging="360"/>
      </w:pPr>
      <w:rPr>
        <w:rFonts w:ascii="Verdana" w:eastAsiaTheme="minorHAnsi" w:hAnsi="Verdana" w:cstheme="minorBidi"/>
      </w:rPr>
    </w:lvl>
    <w:lvl w:ilvl="2" w:tplc="228A6F6A">
      <w:start w:val="1"/>
      <w:numFmt w:val="lowerLetter"/>
      <w:lvlText w:val="%3)"/>
      <w:lvlJc w:val="left"/>
      <w:pPr>
        <w:ind w:left="2340" w:hanging="36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8">
    <w:nsid w:val="64457420"/>
    <w:multiLevelType w:val="hybridMultilevel"/>
    <w:tmpl w:val="E244C8F4"/>
    <w:lvl w:ilvl="0" w:tplc="8BC8F37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64AE26CC"/>
    <w:multiLevelType w:val="hybridMultilevel"/>
    <w:tmpl w:val="34B8D1D4"/>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659E2883"/>
    <w:multiLevelType w:val="hybridMultilevel"/>
    <w:tmpl w:val="34C6DD36"/>
    <w:lvl w:ilvl="0" w:tplc="5CDCCD30">
      <w:start w:val="1"/>
      <w:numFmt w:val="upperLetter"/>
      <w:lvlText w:val="%1."/>
      <w:lvlJc w:val="left"/>
      <w:pPr>
        <w:ind w:left="720" w:hanging="360"/>
      </w:pPr>
      <w:rPr>
        <w:rFonts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7A0B4833"/>
    <w:multiLevelType w:val="hybridMultilevel"/>
    <w:tmpl w:val="4E4C3882"/>
    <w:lvl w:ilvl="0" w:tplc="21143C48">
      <w:start w:val="1"/>
      <w:numFmt w:val="decimal"/>
      <w:lvlText w:val="%1."/>
      <w:lvlJc w:val="left"/>
      <w:pPr>
        <w:ind w:left="360" w:hanging="360"/>
      </w:pPr>
      <w:rPr>
        <w:rFonts w:ascii="Verdana" w:hAnsi="Verdana" w:hint="default"/>
        <w:b w:val="0"/>
        <w:color w:val="auto"/>
        <w:sz w:val="20"/>
        <w:szCs w:val="2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2">
    <w:nsid w:val="7BFD7622"/>
    <w:multiLevelType w:val="hybridMultilevel"/>
    <w:tmpl w:val="74BE1BD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7C6458CB"/>
    <w:multiLevelType w:val="hybridMultilevel"/>
    <w:tmpl w:val="51B8746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1"/>
  </w:num>
  <w:num w:numId="3">
    <w:abstractNumId w:val="22"/>
  </w:num>
  <w:num w:numId="4">
    <w:abstractNumId w:val="16"/>
  </w:num>
  <w:num w:numId="5">
    <w:abstractNumId w:val="7"/>
  </w:num>
  <w:num w:numId="6">
    <w:abstractNumId w:val="0"/>
  </w:num>
  <w:num w:numId="7">
    <w:abstractNumId w:val="23"/>
  </w:num>
  <w:num w:numId="8">
    <w:abstractNumId w:val="9"/>
  </w:num>
  <w:num w:numId="9">
    <w:abstractNumId w:val="4"/>
  </w:num>
  <w:num w:numId="10">
    <w:abstractNumId w:val="11"/>
  </w:num>
  <w:num w:numId="11">
    <w:abstractNumId w:val="5"/>
  </w:num>
  <w:num w:numId="12">
    <w:abstractNumId w:val="6"/>
  </w:num>
  <w:num w:numId="13">
    <w:abstractNumId w:val="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8"/>
  </w:num>
  <w:num w:numId="17">
    <w:abstractNumId w:val="1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9"/>
  </w:num>
  <w:num w:numId="21">
    <w:abstractNumId w:val="18"/>
  </w:num>
  <w:num w:numId="22">
    <w:abstractNumId w:val="13"/>
  </w:num>
  <w:num w:numId="23">
    <w:abstractNumId w:val="12"/>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411"/>
    <w:rsid w:val="0000584D"/>
    <w:rsid w:val="00005A12"/>
    <w:rsid w:val="00007617"/>
    <w:rsid w:val="000119AE"/>
    <w:rsid w:val="000164B0"/>
    <w:rsid w:val="00022C17"/>
    <w:rsid w:val="000302CB"/>
    <w:rsid w:val="0003569E"/>
    <w:rsid w:val="00035F60"/>
    <w:rsid w:val="00045084"/>
    <w:rsid w:val="0005071E"/>
    <w:rsid w:val="00055E2C"/>
    <w:rsid w:val="000578E3"/>
    <w:rsid w:val="000626DE"/>
    <w:rsid w:val="000666F2"/>
    <w:rsid w:val="00072E53"/>
    <w:rsid w:val="00082109"/>
    <w:rsid w:val="00084F6E"/>
    <w:rsid w:val="000A497C"/>
    <w:rsid w:val="000A7D0F"/>
    <w:rsid w:val="000A7DB5"/>
    <w:rsid w:val="000C5C4E"/>
    <w:rsid w:val="000C7780"/>
    <w:rsid w:val="000D5163"/>
    <w:rsid w:val="000D6292"/>
    <w:rsid w:val="000E1545"/>
    <w:rsid w:val="000E24F5"/>
    <w:rsid w:val="000F1F75"/>
    <w:rsid w:val="00104EC6"/>
    <w:rsid w:val="00111B78"/>
    <w:rsid w:val="0011653C"/>
    <w:rsid w:val="00120F28"/>
    <w:rsid w:val="00131DEF"/>
    <w:rsid w:val="00135176"/>
    <w:rsid w:val="00136710"/>
    <w:rsid w:val="00143B72"/>
    <w:rsid w:val="00145185"/>
    <w:rsid w:val="001458FF"/>
    <w:rsid w:val="00152FED"/>
    <w:rsid w:val="0015444B"/>
    <w:rsid w:val="00160EBD"/>
    <w:rsid w:val="001617CA"/>
    <w:rsid w:val="00163A9C"/>
    <w:rsid w:val="00163CBC"/>
    <w:rsid w:val="00164AFB"/>
    <w:rsid w:val="001675CC"/>
    <w:rsid w:val="00171509"/>
    <w:rsid w:val="00175A08"/>
    <w:rsid w:val="00180B08"/>
    <w:rsid w:val="0019762D"/>
    <w:rsid w:val="001A24CD"/>
    <w:rsid w:val="001B19DD"/>
    <w:rsid w:val="001B377F"/>
    <w:rsid w:val="001C3C2F"/>
    <w:rsid w:val="001C5D0E"/>
    <w:rsid w:val="001C722A"/>
    <w:rsid w:val="001D0B31"/>
    <w:rsid w:val="001D60CA"/>
    <w:rsid w:val="001D6996"/>
    <w:rsid w:val="001D75A0"/>
    <w:rsid w:val="001E092F"/>
    <w:rsid w:val="001E5411"/>
    <w:rsid w:val="001E58B8"/>
    <w:rsid w:val="001E5E1D"/>
    <w:rsid w:val="001F0925"/>
    <w:rsid w:val="001F1652"/>
    <w:rsid w:val="001F554C"/>
    <w:rsid w:val="00203C86"/>
    <w:rsid w:val="002044DC"/>
    <w:rsid w:val="002051C9"/>
    <w:rsid w:val="0022077F"/>
    <w:rsid w:val="00221273"/>
    <w:rsid w:val="00225FAE"/>
    <w:rsid w:val="00226819"/>
    <w:rsid w:val="00227136"/>
    <w:rsid w:val="00244730"/>
    <w:rsid w:val="0024597F"/>
    <w:rsid w:val="002468E1"/>
    <w:rsid w:val="002535A9"/>
    <w:rsid w:val="002621C7"/>
    <w:rsid w:val="00284438"/>
    <w:rsid w:val="00290862"/>
    <w:rsid w:val="00290E64"/>
    <w:rsid w:val="002A0D46"/>
    <w:rsid w:val="002A46F6"/>
    <w:rsid w:val="002A66DD"/>
    <w:rsid w:val="002B0D48"/>
    <w:rsid w:val="002C2648"/>
    <w:rsid w:val="002D0E86"/>
    <w:rsid w:val="002D241B"/>
    <w:rsid w:val="002D2549"/>
    <w:rsid w:val="002D6662"/>
    <w:rsid w:val="002E4F71"/>
    <w:rsid w:val="002E761A"/>
    <w:rsid w:val="002F798E"/>
    <w:rsid w:val="003004AD"/>
    <w:rsid w:val="00300BA2"/>
    <w:rsid w:val="0031183D"/>
    <w:rsid w:val="00321AC3"/>
    <w:rsid w:val="0032593A"/>
    <w:rsid w:val="00327F13"/>
    <w:rsid w:val="003306D1"/>
    <w:rsid w:val="003360C4"/>
    <w:rsid w:val="00351CA3"/>
    <w:rsid w:val="003557DD"/>
    <w:rsid w:val="0035774F"/>
    <w:rsid w:val="00372C9D"/>
    <w:rsid w:val="00373FB7"/>
    <w:rsid w:val="003750EC"/>
    <w:rsid w:val="00376369"/>
    <w:rsid w:val="0037775A"/>
    <w:rsid w:val="00377849"/>
    <w:rsid w:val="00381B53"/>
    <w:rsid w:val="00382CBF"/>
    <w:rsid w:val="00382D6A"/>
    <w:rsid w:val="00385150"/>
    <w:rsid w:val="00385469"/>
    <w:rsid w:val="003A1A47"/>
    <w:rsid w:val="003B7708"/>
    <w:rsid w:val="003C1789"/>
    <w:rsid w:val="003D4ED5"/>
    <w:rsid w:val="003D7070"/>
    <w:rsid w:val="003E1D74"/>
    <w:rsid w:val="003E3571"/>
    <w:rsid w:val="003E5640"/>
    <w:rsid w:val="003F1360"/>
    <w:rsid w:val="003F20D2"/>
    <w:rsid w:val="003F3FCF"/>
    <w:rsid w:val="003F40CC"/>
    <w:rsid w:val="003F7D97"/>
    <w:rsid w:val="00403BF9"/>
    <w:rsid w:val="00404BB4"/>
    <w:rsid w:val="00405517"/>
    <w:rsid w:val="00420C04"/>
    <w:rsid w:val="004420DE"/>
    <w:rsid w:val="004474ED"/>
    <w:rsid w:val="00447F88"/>
    <w:rsid w:val="00456029"/>
    <w:rsid w:val="0045616E"/>
    <w:rsid w:val="00460D33"/>
    <w:rsid w:val="004612B4"/>
    <w:rsid w:val="00467100"/>
    <w:rsid w:val="00471663"/>
    <w:rsid w:val="00477D39"/>
    <w:rsid w:val="00481A61"/>
    <w:rsid w:val="00482C5D"/>
    <w:rsid w:val="00485D8D"/>
    <w:rsid w:val="004916F0"/>
    <w:rsid w:val="00494A37"/>
    <w:rsid w:val="004959E0"/>
    <w:rsid w:val="004B4CC8"/>
    <w:rsid w:val="004B5561"/>
    <w:rsid w:val="004B6CF8"/>
    <w:rsid w:val="004B7BA7"/>
    <w:rsid w:val="004B7F6B"/>
    <w:rsid w:val="004C57EF"/>
    <w:rsid w:val="004C5E76"/>
    <w:rsid w:val="004D43EB"/>
    <w:rsid w:val="004E1C2B"/>
    <w:rsid w:val="004E7B33"/>
    <w:rsid w:val="004F637D"/>
    <w:rsid w:val="00502488"/>
    <w:rsid w:val="00516797"/>
    <w:rsid w:val="00520405"/>
    <w:rsid w:val="00520742"/>
    <w:rsid w:val="00521D13"/>
    <w:rsid w:val="00546EEE"/>
    <w:rsid w:val="00554E50"/>
    <w:rsid w:val="00571B77"/>
    <w:rsid w:val="00573397"/>
    <w:rsid w:val="0057445F"/>
    <w:rsid w:val="005A0687"/>
    <w:rsid w:val="005C0773"/>
    <w:rsid w:val="005C68F7"/>
    <w:rsid w:val="005D1FEF"/>
    <w:rsid w:val="005E0056"/>
    <w:rsid w:val="005E0FDF"/>
    <w:rsid w:val="005E134F"/>
    <w:rsid w:val="005E70CB"/>
    <w:rsid w:val="005F6B82"/>
    <w:rsid w:val="006051A8"/>
    <w:rsid w:val="00607342"/>
    <w:rsid w:val="0060758B"/>
    <w:rsid w:val="006162B8"/>
    <w:rsid w:val="00650ED9"/>
    <w:rsid w:val="00653B3F"/>
    <w:rsid w:val="00697381"/>
    <w:rsid w:val="006A1C0C"/>
    <w:rsid w:val="006A700C"/>
    <w:rsid w:val="006A71B8"/>
    <w:rsid w:val="006A759B"/>
    <w:rsid w:val="006B388E"/>
    <w:rsid w:val="006C356C"/>
    <w:rsid w:val="006C5E2A"/>
    <w:rsid w:val="006C6CC5"/>
    <w:rsid w:val="006D5B4C"/>
    <w:rsid w:val="006D7217"/>
    <w:rsid w:val="006D73CF"/>
    <w:rsid w:val="006E1CEA"/>
    <w:rsid w:val="006F4500"/>
    <w:rsid w:val="006F63DA"/>
    <w:rsid w:val="0070019B"/>
    <w:rsid w:val="0070201A"/>
    <w:rsid w:val="00702243"/>
    <w:rsid w:val="0071344A"/>
    <w:rsid w:val="007166A2"/>
    <w:rsid w:val="007166E9"/>
    <w:rsid w:val="0074011F"/>
    <w:rsid w:val="007401F3"/>
    <w:rsid w:val="00741EE4"/>
    <w:rsid w:val="00742524"/>
    <w:rsid w:val="00767961"/>
    <w:rsid w:val="007717F6"/>
    <w:rsid w:val="00774A78"/>
    <w:rsid w:val="00781EF7"/>
    <w:rsid w:val="00782BD1"/>
    <w:rsid w:val="00792A07"/>
    <w:rsid w:val="00794BF2"/>
    <w:rsid w:val="00796A23"/>
    <w:rsid w:val="007A7F8E"/>
    <w:rsid w:val="007B1CBB"/>
    <w:rsid w:val="007B6324"/>
    <w:rsid w:val="007B68AD"/>
    <w:rsid w:val="007B6AF5"/>
    <w:rsid w:val="007B7292"/>
    <w:rsid w:val="007D510E"/>
    <w:rsid w:val="007E1C52"/>
    <w:rsid w:val="007E27D3"/>
    <w:rsid w:val="007E3DAE"/>
    <w:rsid w:val="007E49E7"/>
    <w:rsid w:val="007E7ADA"/>
    <w:rsid w:val="007F2CA4"/>
    <w:rsid w:val="00801A17"/>
    <w:rsid w:val="00802B6A"/>
    <w:rsid w:val="00861154"/>
    <w:rsid w:val="00865B96"/>
    <w:rsid w:val="0087187A"/>
    <w:rsid w:val="008734FF"/>
    <w:rsid w:val="00876249"/>
    <w:rsid w:val="00881B96"/>
    <w:rsid w:val="00896291"/>
    <w:rsid w:val="008A1933"/>
    <w:rsid w:val="008B3C74"/>
    <w:rsid w:val="008B46D3"/>
    <w:rsid w:val="008B4BAC"/>
    <w:rsid w:val="008E0C4D"/>
    <w:rsid w:val="008E44A2"/>
    <w:rsid w:val="008E5B52"/>
    <w:rsid w:val="00902667"/>
    <w:rsid w:val="00914252"/>
    <w:rsid w:val="00921789"/>
    <w:rsid w:val="00923AEB"/>
    <w:rsid w:val="0093781B"/>
    <w:rsid w:val="00954D55"/>
    <w:rsid w:val="00962494"/>
    <w:rsid w:val="009670B8"/>
    <w:rsid w:val="00967A8F"/>
    <w:rsid w:val="009707FE"/>
    <w:rsid w:val="00973537"/>
    <w:rsid w:val="0097377E"/>
    <w:rsid w:val="00974D95"/>
    <w:rsid w:val="00976E63"/>
    <w:rsid w:val="00985839"/>
    <w:rsid w:val="0098740B"/>
    <w:rsid w:val="00993505"/>
    <w:rsid w:val="009949F3"/>
    <w:rsid w:val="0099549D"/>
    <w:rsid w:val="0099709B"/>
    <w:rsid w:val="009A584B"/>
    <w:rsid w:val="009B53B2"/>
    <w:rsid w:val="009B5EDF"/>
    <w:rsid w:val="009C07D1"/>
    <w:rsid w:val="009C2719"/>
    <w:rsid w:val="009C539F"/>
    <w:rsid w:val="009C67D2"/>
    <w:rsid w:val="009D77F2"/>
    <w:rsid w:val="009F16AE"/>
    <w:rsid w:val="009F2E9B"/>
    <w:rsid w:val="00A01AE9"/>
    <w:rsid w:val="00A0280C"/>
    <w:rsid w:val="00A035DD"/>
    <w:rsid w:val="00A04452"/>
    <w:rsid w:val="00A04659"/>
    <w:rsid w:val="00A05C84"/>
    <w:rsid w:val="00A26125"/>
    <w:rsid w:val="00A349B4"/>
    <w:rsid w:val="00A362F3"/>
    <w:rsid w:val="00A36521"/>
    <w:rsid w:val="00A45FD6"/>
    <w:rsid w:val="00A46639"/>
    <w:rsid w:val="00A4757E"/>
    <w:rsid w:val="00A50D22"/>
    <w:rsid w:val="00A5546E"/>
    <w:rsid w:val="00A573BF"/>
    <w:rsid w:val="00A6598D"/>
    <w:rsid w:val="00A809EE"/>
    <w:rsid w:val="00A84178"/>
    <w:rsid w:val="00A87942"/>
    <w:rsid w:val="00A94D9E"/>
    <w:rsid w:val="00AA21D2"/>
    <w:rsid w:val="00AA3E3F"/>
    <w:rsid w:val="00AA47C4"/>
    <w:rsid w:val="00AA4E25"/>
    <w:rsid w:val="00AB0FAA"/>
    <w:rsid w:val="00AB1DC9"/>
    <w:rsid w:val="00AC4E92"/>
    <w:rsid w:val="00AD4329"/>
    <w:rsid w:val="00AF0F9C"/>
    <w:rsid w:val="00B143EC"/>
    <w:rsid w:val="00B1544D"/>
    <w:rsid w:val="00B22116"/>
    <w:rsid w:val="00B228B5"/>
    <w:rsid w:val="00B26560"/>
    <w:rsid w:val="00B302AE"/>
    <w:rsid w:val="00B30A18"/>
    <w:rsid w:val="00B364DC"/>
    <w:rsid w:val="00B46BAC"/>
    <w:rsid w:val="00B479D6"/>
    <w:rsid w:val="00B50C62"/>
    <w:rsid w:val="00B52C54"/>
    <w:rsid w:val="00B52E84"/>
    <w:rsid w:val="00B540F6"/>
    <w:rsid w:val="00B62BAC"/>
    <w:rsid w:val="00B62F82"/>
    <w:rsid w:val="00B717CC"/>
    <w:rsid w:val="00B72B59"/>
    <w:rsid w:val="00B75009"/>
    <w:rsid w:val="00B8038F"/>
    <w:rsid w:val="00B84117"/>
    <w:rsid w:val="00B91666"/>
    <w:rsid w:val="00B9171C"/>
    <w:rsid w:val="00B9267A"/>
    <w:rsid w:val="00BB0A03"/>
    <w:rsid w:val="00BD0976"/>
    <w:rsid w:val="00BD5B17"/>
    <w:rsid w:val="00BE18EB"/>
    <w:rsid w:val="00BE1A2F"/>
    <w:rsid w:val="00BE3306"/>
    <w:rsid w:val="00BE4905"/>
    <w:rsid w:val="00BF298A"/>
    <w:rsid w:val="00C06145"/>
    <w:rsid w:val="00C218A1"/>
    <w:rsid w:val="00C21DE3"/>
    <w:rsid w:val="00C26954"/>
    <w:rsid w:val="00C502B5"/>
    <w:rsid w:val="00C525E7"/>
    <w:rsid w:val="00C55B8B"/>
    <w:rsid w:val="00C57858"/>
    <w:rsid w:val="00C67516"/>
    <w:rsid w:val="00C74A3F"/>
    <w:rsid w:val="00C76C9F"/>
    <w:rsid w:val="00C84E43"/>
    <w:rsid w:val="00C92B36"/>
    <w:rsid w:val="00C95BF5"/>
    <w:rsid w:val="00CA2805"/>
    <w:rsid w:val="00CA2B2F"/>
    <w:rsid w:val="00CA70D7"/>
    <w:rsid w:val="00CB5421"/>
    <w:rsid w:val="00CC56CA"/>
    <w:rsid w:val="00CC5B17"/>
    <w:rsid w:val="00CD7FE1"/>
    <w:rsid w:val="00CE20CB"/>
    <w:rsid w:val="00CE325D"/>
    <w:rsid w:val="00CF0D67"/>
    <w:rsid w:val="00CF1B59"/>
    <w:rsid w:val="00D0141F"/>
    <w:rsid w:val="00D065CF"/>
    <w:rsid w:val="00D0726E"/>
    <w:rsid w:val="00D12273"/>
    <w:rsid w:val="00D15FE7"/>
    <w:rsid w:val="00D16D21"/>
    <w:rsid w:val="00D3041B"/>
    <w:rsid w:val="00D3062E"/>
    <w:rsid w:val="00D33461"/>
    <w:rsid w:val="00D3448A"/>
    <w:rsid w:val="00D379DE"/>
    <w:rsid w:val="00D41674"/>
    <w:rsid w:val="00D56CA3"/>
    <w:rsid w:val="00D731D1"/>
    <w:rsid w:val="00D73C8E"/>
    <w:rsid w:val="00D76E1D"/>
    <w:rsid w:val="00D80AE5"/>
    <w:rsid w:val="00D8135C"/>
    <w:rsid w:val="00D82147"/>
    <w:rsid w:val="00D91870"/>
    <w:rsid w:val="00D92D8C"/>
    <w:rsid w:val="00DA044D"/>
    <w:rsid w:val="00DA1400"/>
    <w:rsid w:val="00DA3803"/>
    <w:rsid w:val="00DA78E0"/>
    <w:rsid w:val="00DB785F"/>
    <w:rsid w:val="00DC2A52"/>
    <w:rsid w:val="00DC4FAC"/>
    <w:rsid w:val="00DC50FA"/>
    <w:rsid w:val="00DC6DD3"/>
    <w:rsid w:val="00DE0B69"/>
    <w:rsid w:val="00DE104E"/>
    <w:rsid w:val="00DE24EC"/>
    <w:rsid w:val="00DF4236"/>
    <w:rsid w:val="00DF4963"/>
    <w:rsid w:val="00DF5BE7"/>
    <w:rsid w:val="00E121E4"/>
    <w:rsid w:val="00E12F56"/>
    <w:rsid w:val="00E20DEB"/>
    <w:rsid w:val="00E2290C"/>
    <w:rsid w:val="00E257EE"/>
    <w:rsid w:val="00E37CA7"/>
    <w:rsid w:val="00E468AF"/>
    <w:rsid w:val="00E5313B"/>
    <w:rsid w:val="00E544D3"/>
    <w:rsid w:val="00E74D45"/>
    <w:rsid w:val="00E75A49"/>
    <w:rsid w:val="00E96DB8"/>
    <w:rsid w:val="00E97907"/>
    <w:rsid w:val="00EA41EF"/>
    <w:rsid w:val="00EA42CF"/>
    <w:rsid w:val="00ED7602"/>
    <w:rsid w:val="00EE7E9F"/>
    <w:rsid w:val="00EF1C88"/>
    <w:rsid w:val="00EF1FD3"/>
    <w:rsid w:val="00EF48B0"/>
    <w:rsid w:val="00F1097C"/>
    <w:rsid w:val="00F16BA6"/>
    <w:rsid w:val="00F22868"/>
    <w:rsid w:val="00F2322B"/>
    <w:rsid w:val="00F23386"/>
    <w:rsid w:val="00F246A8"/>
    <w:rsid w:val="00F25D95"/>
    <w:rsid w:val="00F304D6"/>
    <w:rsid w:val="00F32C3E"/>
    <w:rsid w:val="00F4300A"/>
    <w:rsid w:val="00F4633C"/>
    <w:rsid w:val="00F47D6F"/>
    <w:rsid w:val="00F530D0"/>
    <w:rsid w:val="00F60787"/>
    <w:rsid w:val="00F64918"/>
    <w:rsid w:val="00F64BBD"/>
    <w:rsid w:val="00F66865"/>
    <w:rsid w:val="00F71C32"/>
    <w:rsid w:val="00F7783B"/>
    <w:rsid w:val="00F80DC8"/>
    <w:rsid w:val="00F826DC"/>
    <w:rsid w:val="00F84AE4"/>
    <w:rsid w:val="00F84F60"/>
    <w:rsid w:val="00F85462"/>
    <w:rsid w:val="00F9508B"/>
    <w:rsid w:val="00F97167"/>
    <w:rsid w:val="00FA3B2C"/>
    <w:rsid w:val="00FA4472"/>
    <w:rsid w:val="00FB0EF6"/>
    <w:rsid w:val="00FB0F0C"/>
    <w:rsid w:val="00FD3498"/>
    <w:rsid w:val="00FD4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04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411"/>
  </w:style>
  <w:style w:type="paragraph" w:styleId="Footer">
    <w:name w:val="footer"/>
    <w:basedOn w:val="Normal"/>
    <w:link w:val="FooterChar"/>
    <w:uiPriority w:val="99"/>
    <w:unhideWhenUsed/>
    <w:rsid w:val="001E5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411"/>
  </w:style>
  <w:style w:type="character" w:styleId="LineNumber">
    <w:name w:val="line number"/>
    <w:basedOn w:val="DefaultParagraphFont"/>
    <w:uiPriority w:val="99"/>
    <w:semiHidden/>
    <w:unhideWhenUsed/>
    <w:rsid w:val="001E5411"/>
  </w:style>
  <w:style w:type="paragraph" w:styleId="ListParagraph">
    <w:name w:val="List Paragraph"/>
    <w:aliases w:val="Footnote,Párrafo de lista1,List Paragraph1,Colorful List - Accent 11"/>
    <w:basedOn w:val="Normal"/>
    <w:link w:val="ListParagraphChar"/>
    <w:qFormat/>
    <w:rsid w:val="00B30A18"/>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nhideWhenUsed/>
    <w:qFormat/>
    <w:rsid w:val="00B30A18"/>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qFormat/>
    <w:rsid w:val="00B30A18"/>
    <w:rPr>
      <w:sz w:val="20"/>
      <w:szCs w:val="20"/>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link w:val="4GChar"/>
    <w:unhideWhenUsed/>
    <w:qFormat/>
    <w:rsid w:val="00B30A18"/>
    <w:rPr>
      <w:vertAlign w:val="superscript"/>
    </w:rPr>
  </w:style>
  <w:style w:type="character" w:styleId="Hyperlink">
    <w:name w:val="Hyperlink"/>
    <w:basedOn w:val="DefaultParagraphFont"/>
    <w:uiPriority w:val="99"/>
    <w:unhideWhenUsed/>
    <w:rsid w:val="00B30A18"/>
    <w:rPr>
      <w:color w:val="0000FF" w:themeColor="hyperlink"/>
      <w:u w:val="single"/>
    </w:rPr>
  </w:style>
  <w:style w:type="character" w:styleId="FollowedHyperlink">
    <w:name w:val="FollowedHyperlink"/>
    <w:basedOn w:val="DefaultParagraphFont"/>
    <w:uiPriority w:val="99"/>
    <w:semiHidden/>
    <w:unhideWhenUsed/>
    <w:rsid w:val="00136710"/>
    <w:rPr>
      <w:color w:val="800080" w:themeColor="followedHyperlink"/>
      <w:u w:val="single"/>
    </w:rPr>
  </w:style>
  <w:style w:type="paragraph" w:styleId="BalloonText">
    <w:name w:val="Balloon Text"/>
    <w:basedOn w:val="Normal"/>
    <w:link w:val="BalloonTextChar"/>
    <w:uiPriority w:val="99"/>
    <w:semiHidden/>
    <w:unhideWhenUsed/>
    <w:rsid w:val="007020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01A"/>
    <w:rPr>
      <w:rFonts w:ascii="Lucida Grande" w:hAnsi="Lucida Grande" w:cs="Lucida Grande"/>
      <w:sz w:val="18"/>
      <w:szCs w:val="18"/>
    </w:rPr>
  </w:style>
  <w:style w:type="character" w:styleId="CommentReference">
    <w:name w:val="annotation reference"/>
    <w:basedOn w:val="DefaultParagraphFont"/>
    <w:uiPriority w:val="99"/>
    <w:semiHidden/>
    <w:unhideWhenUsed/>
    <w:rsid w:val="0070201A"/>
    <w:rPr>
      <w:sz w:val="18"/>
      <w:szCs w:val="18"/>
    </w:rPr>
  </w:style>
  <w:style w:type="paragraph" w:styleId="CommentText">
    <w:name w:val="annotation text"/>
    <w:basedOn w:val="Normal"/>
    <w:link w:val="CommentTextChar"/>
    <w:uiPriority w:val="99"/>
    <w:semiHidden/>
    <w:unhideWhenUsed/>
    <w:rsid w:val="0070201A"/>
    <w:pPr>
      <w:spacing w:line="240" w:lineRule="auto"/>
    </w:pPr>
    <w:rPr>
      <w:sz w:val="24"/>
      <w:szCs w:val="24"/>
    </w:rPr>
  </w:style>
  <w:style w:type="character" w:customStyle="1" w:styleId="CommentTextChar">
    <w:name w:val="Comment Text Char"/>
    <w:basedOn w:val="DefaultParagraphFont"/>
    <w:link w:val="CommentText"/>
    <w:uiPriority w:val="99"/>
    <w:semiHidden/>
    <w:rsid w:val="0070201A"/>
    <w:rPr>
      <w:sz w:val="24"/>
      <w:szCs w:val="24"/>
    </w:rPr>
  </w:style>
  <w:style w:type="paragraph" w:styleId="CommentSubject">
    <w:name w:val="annotation subject"/>
    <w:basedOn w:val="CommentText"/>
    <w:next w:val="CommentText"/>
    <w:link w:val="CommentSubjectChar"/>
    <w:uiPriority w:val="99"/>
    <w:semiHidden/>
    <w:unhideWhenUsed/>
    <w:rsid w:val="0070201A"/>
    <w:rPr>
      <w:b/>
      <w:bCs/>
      <w:sz w:val="20"/>
      <w:szCs w:val="20"/>
    </w:rPr>
  </w:style>
  <w:style w:type="character" w:customStyle="1" w:styleId="CommentSubjectChar">
    <w:name w:val="Comment Subject Char"/>
    <w:basedOn w:val="CommentTextChar"/>
    <w:link w:val="CommentSubject"/>
    <w:uiPriority w:val="99"/>
    <w:semiHidden/>
    <w:rsid w:val="0070201A"/>
    <w:rPr>
      <w:b/>
      <w:bCs/>
      <w:sz w:val="20"/>
      <w:szCs w:val="20"/>
    </w:rPr>
  </w:style>
  <w:style w:type="paragraph" w:styleId="Revision">
    <w:name w:val="Revision"/>
    <w:hidden/>
    <w:uiPriority w:val="99"/>
    <w:semiHidden/>
    <w:rsid w:val="00CB5421"/>
    <w:pPr>
      <w:spacing w:after="0" w:line="240" w:lineRule="auto"/>
    </w:pPr>
  </w:style>
  <w:style w:type="character" w:customStyle="1" w:styleId="Heading1Char">
    <w:name w:val="Heading 1 Char"/>
    <w:basedOn w:val="DefaultParagraphFont"/>
    <w:link w:val="Heading1"/>
    <w:uiPriority w:val="9"/>
    <w:rsid w:val="003004AD"/>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F2322B"/>
    <w:pPr>
      <w:spacing w:after="100"/>
    </w:pPr>
  </w:style>
  <w:style w:type="paragraph" w:styleId="BodyText2">
    <w:name w:val="Body Text 2"/>
    <w:basedOn w:val="Normal"/>
    <w:link w:val="BodyText2Char"/>
    <w:uiPriority w:val="99"/>
    <w:semiHidden/>
    <w:unhideWhenUsed/>
    <w:rsid w:val="004E1C2B"/>
    <w:pPr>
      <w:spacing w:after="120" w:line="480" w:lineRule="auto"/>
    </w:pPr>
    <w:rPr>
      <w:rFonts w:ascii="Garamond" w:eastAsia="Times" w:hAnsi="Garamond" w:cs="Times New Roman"/>
      <w:sz w:val="24"/>
      <w:szCs w:val="20"/>
      <w:lang w:val="es-ES_tradnl" w:eastAsia="x-none"/>
    </w:rPr>
  </w:style>
  <w:style w:type="character" w:customStyle="1" w:styleId="BodyText2Char">
    <w:name w:val="Body Text 2 Char"/>
    <w:basedOn w:val="DefaultParagraphFont"/>
    <w:link w:val="BodyText2"/>
    <w:uiPriority w:val="99"/>
    <w:semiHidden/>
    <w:rsid w:val="004E1C2B"/>
    <w:rPr>
      <w:rFonts w:ascii="Garamond" w:eastAsia="Times" w:hAnsi="Garamond" w:cs="Times New Roman"/>
      <w:sz w:val="24"/>
      <w:szCs w:val="20"/>
      <w:lang w:val="es-ES_tradnl" w:eastAsia="x-none"/>
    </w:rPr>
  </w:style>
  <w:style w:type="character" w:customStyle="1" w:styleId="ListParagraphChar">
    <w:name w:val="List Paragraph Char"/>
    <w:aliases w:val="Footnote Char,Párrafo de lista1 Char,List Paragraph1 Char,Colorful List - Accent 11 Char"/>
    <w:link w:val="ListParagraph"/>
    <w:locked/>
    <w:rsid w:val="004E1C2B"/>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4E1C2B"/>
    <w:pPr>
      <w:spacing w:after="0" w:line="240" w:lineRule="auto"/>
      <w:jc w:val="both"/>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04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411"/>
  </w:style>
  <w:style w:type="paragraph" w:styleId="Footer">
    <w:name w:val="footer"/>
    <w:basedOn w:val="Normal"/>
    <w:link w:val="FooterChar"/>
    <w:uiPriority w:val="99"/>
    <w:unhideWhenUsed/>
    <w:rsid w:val="001E5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411"/>
  </w:style>
  <w:style w:type="character" w:styleId="LineNumber">
    <w:name w:val="line number"/>
    <w:basedOn w:val="DefaultParagraphFont"/>
    <w:uiPriority w:val="99"/>
    <w:semiHidden/>
    <w:unhideWhenUsed/>
    <w:rsid w:val="001E5411"/>
  </w:style>
  <w:style w:type="paragraph" w:styleId="ListParagraph">
    <w:name w:val="List Paragraph"/>
    <w:aliases w:val="Footnote,Párrafo de lista1,List Paragraph1,Colorful List - Accent 11"/>
    <w:basedOn w:val="Normal"/>
    <w:link w:val="ListParagraphChar"/>
    <w:qFormat/>
    <w:rsid w:val="00B30A18"/>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nhideWhenUsed/>
    <w:qFormat/>
    <w:rsid w:val="00B30A18"/>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qFormat/>
    <w:rsid w:val="00B30A18"/>
    <w:rPr>
      <w:sz w:val="20"/>
      <w:szCs w:val="20"/>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link w:val="4GChar"/>
    <w:unhideWhenUsed/>
    <w:qFormat/>
    <w:rsid w:val="00B30A18"/>
    <w:rPr>
      <w:vertAlign w:val="superscript"/>
    </w:rPr>
  </w:style>
  <w:style w:type="character" w:styleId="Hyperlink">
    <w:name w:val="Hyperlink"/>
    <w:basedOn w:val="DefaultParagraphFont"/>
    <w:uiPriority w:val="99"/>
    <w:unhideWhenUsed/>
    <w:rsid w:val="00B30A18"/>
    <w:rPr>
      <w:color w:val="0000FF" w:themeColor="hyperlink"/>
      <w:u w:val="single"/>
    </w:rPr>
  </w:style>
  <w:style w:type="character" w:styleId="FollowedHyperlink">
    <w:name w:val="FollowedHyperlink"/>
    <w:basedOn w:val="DefaultParagraphFont"/>
    <w:uiPriority w:val="99"/>
    <w:semiHidden/>
    <w:unhideWhenUsed/>
    <w:rsid w:val="00136710"/>
    <w:rPr>
      <w:color w:val="800080" w:themeColor="followedHyperlink"/>
      <w:u w:val="single"/>
    </w:rPr>
  </w:style>
  <w:style w:type="paragraph" w:styleId="BalloonText">
    <w:name w:val="Balloon Text"/>
    <w:basedOn w:val="Normal"/>
    <w:link w:val="BalloonTextChar"/>
    <w:uiPriority w:val="99"/>
    <w:semiHidden/>
    <w:unhideWhenUsed/>
    <w:rsid w:val="007020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01A"/>
    <w:rPr>
      <w:rFonts w:ascii="Lucida Grande" w:hAnsi="Lucida Grande" w:cs="Lucida Grande"/>
      <w:sz w:val="18"/>
      <w:szCs w:val="18"/>
    </w:rPr>
  </w:style>
  <w:style w:type="character" w:styleId="CommentReference">
    <w:name w:val="annotation reference"/>
    <w:basedOn w:val="DefaultParagraphFont"/>
    <w:uiPriority w:val="99"/>
    <w:semiHidden/>
    <w:unhideWhenUsed/>
    <w:rsid w:val="0070201A"/>
    <w:rPr>
      <w:sz w:val="18"/>
      <w:szCs w:val="18"/>
    </w:rPr>
  </w:style>
  <w:style w:type="paragraph" w:styleId="CommentText">
    <w:name w:val="annotation text"/>
    <w:basedOn w:val="Normal"/>
    <w:link w:val="CommentTextChar"/>
    <w:uiPriority w:val="99"/>
    <w:semiHidden/>
    <w:unhideWhenUsed/>
    <w:rsid w:val="0070201A"/>
    <w:pPr>
      <w:spacing w:line="240" w:lineRule="auto"/>
    </w:pPr>
    <w:rPr>
      <w:sz w:val="24"/>
      <w:szCs w:val="24"/>
    </w:rPr>
  </w:style>
  <w:style w:type="character" w:customStyle="1" w:styleId="CommentTextChar">
    <w:name w:val="Comment Text Char"/>
    <w:basedOn w:val="DefaultParagraphFont"/>
    <w:link w:val="CommentText"/>
    <w:uiPriority w:val="99"/>
    <w:semiHidden/>
    <w:rsid w:val="0070201A"/>
    <w:rPr>
      <w:sz w:val="24"/>
      <w:szCs w:val="24"/>
    </w:rPr>
  </w:style>
  <w:style w:type="paragraph" w:styleId="CommentSubject">
    <w:name w:val="annotation subject"/>
    <w:basedOn w:val="CommentText"/>
    <w:next w:val="CommentText"/>
    <w:link w:val="CommentSubjectChar"/>
    <w:uiPriority w:val="99"/>
    <w:semiHidden/>
    <w:unhideWhenUsed/>
    <w:rsid w:val="0070201A"/>
    <w:rPr>
      <w:b/>
      <w:bCs/>
      <w:sz w:val="20"/>
      <w:szCs w:val="20"/>
    </w:rPr>
  </w:style>
  <w:style w:type="character" w:customStyle="1" w:styleId="CommentSubjectChar">
    <w:name w:val="Comment Subject Char"/>
    <w:basedOn w:val="CommentTextChar"/>
    <w:link w:val="CommentSubject"/>
    <w:uiPriority w:val="99"/>
    <w:semiHidden/>
    <w:rsid w:val="0070201A"/>
    <w:rPr>
      <w:b/>
      <w:bCs/>
      <w:sz w:val="20"/>
      <w:szCs w:val="20"/>
    </w:rPr>
  </w:style>
  <w:style w:type="paragraph" w:styleId="Revision">
    <w:name w:val="Revision"/>
    <w:hidden/>
    <w:uiPriority w:val="99"/>
    <w:semiHidden/>
    <w:rsid w:val="00CB5421"/>
    <w:pPr>
      <w:spacing w:after="0" w:line="240" w:lineRule="auto"/>
    </w:pPr>
  </w:style>
  <w:style w:type="character" w:customStyle="1" w:styleId="Heading1Char">
    <w:name w:val="Heading 1 Char"/>
    <w:basedOn w:val="DefaultParagraphFont"/>
    <w:link w:val="Heading1"/>
    <w:uiPriority w:val="9"/>
    <w:rsid w:val="003004AD"/>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F2322B"/>
    <w:pPr>
      <w:spacing w:after="100"/>
    </w:pPr>
  </w:style>
  <w:style w:type="paragraph" w:styleId="BodyText2">
    <w:name w:val="Body Text 2"/>
    <w:basedOn w:val="Normal"/>
    <w:link w:val="BodyText2Char"/>
    <w:uiPriority w:val="99"/>
    <w:semiHidden/>
    <w:unhideWhenUsed/>
    <w:rsid w:val="004E1C2B"/>
    <w:pPr>
      <w:spacing w:after="120" w:line="480" w:lineRule="auto"/>
    </w:pPr>
    <w:rPr>
      <w:rFonts w:ascii="Garamond" w:eastAsia="Times" w:hAnsi="Garamond" w:cs="Times New Roman"/>
      <w:sz w:val="24"/>
      <w:szCs w:val="20"/>
      <w:lang w:val="es-ES_tradnl" w:eastAsia="x-none"/>
    </w:rPr>
  </w:style>
  <w:style w:type="character" w:customStyle="1" w:styleId="BodyText2Char">
    <w:name w:val="Body Text 2 Char"/>
    <w:basedOn w:val="DefaultParagraphFont"/>
    <w:link w:val="BodyText2"/>
    <w:uiPriority w:val="99"/>
    <w:semiHidden/>
    <w:rsid w:val="004E1C2B"/>
    <w:rPr>
      <w:rFonts w:ascii="Garamond" w:eastAsia="Times" w:hAnsi="Garamond" w:cs="Times New Roman"/>
      <w:sz w:val="24"/>
      <w:szCs w:val="20"/>
      <w:lang w:val="es-ES_tradnl" w:eastAsia="x-none"/>
    </w:rPr>
  </w:style>
  <w:style w:type="character" w:customStyle="1" w:styleId="ListParagraphChar">
    <w:name w:val="List Paragraph Char"/>
    <w:aliases w:val="Footnote Char,Párrafo de lista1 Char,List Paragraph1 Char,Colorful List - Accent 11 Char"/>
    <w:link w:val="ListParagraph"/>
    <w:locked/>
    <w:rsid w:val="004E1C2B"/>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4E1C2B"/>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1893">
      <w:bodyDiv w:val="1"/>
      <w:marLeft w:val="0"/>
      <w:marRight w:val="0"/>
      <w:marTop w:val="0"/>
      <w:marBottom w:val="0"/>
      <w:divBdr>
        <w:top w:val="none" w:sz="0" w:space="0" w:color="auto"/>
        <w:left w:val="none" w:sz="0" w:space="0" w:color="auto"/>
        <w:bottom w:val="none" w:sz="0" w:space="0" w:color="auto"/>
        <w:right w:val="none" w:sz="0" w:space="0" w:color="auto"/>
      </w:divBdr>
    </w:div>
    <w:div w:id="40254181">
      <w:bodyDiv w:val="1"/>
      <w:marLeft w:val="0"/>
      <w:marRight w:val="0"/>
      <w:marTop w:val="0"/>
      <w:marBottom w:val="0"/>
      <w:divBdr>
        <w:top w:val="none" w:sz="0" w:space="0" w:color="auto"/>
        <w:left w:val="none" w:sz="0" w:space="0" w:color="auto"/>
        <w:bottom w:val="none" w:sz="0" w:space="0" w:color="auto"/>
        <w:right w:val="none" w:sz="0" w:space="0" w:color="auto"/>
      </w:divBdr>
    </w:div>
    <w:div w:id="76245363">
      <w:bodyDiv w:val="1"/>
      <w:marLeft w:val="0"/>
      <w:marRight w:val="0"/>
      <w:marTop w:val="0"/>
      <w:marBottom w:val="0"/>
      <w:divBdr>
        <w:top w:val="none" w:sz="0" w:space="0" w:color="auto"/>
        <w:left w:val="none" w:sz="0" w:space="0" w:color="auto"/>
        <w:bottom w:val="none" w:sz="0" w:space="0" w:color="auto"/>
        <w:right w:val="none" w:sz="0" w:space="0" w:color="auto"/>
      </w:divBdr>
    </w:div>
    <w:div w:id="444811573">
      <w:bodyDiv w:val="1"/>
      <w:marLeft w:val="0"/>
      <w:marRight w:val="0"/>
      <w:marTop w:val="0"/>
      <w:marBottom w:val="0"/>
      <w:divBdr>
        <w:top w:val="none" w:sz="0" w:space="0" w:color="auto"/>
        <w:left w:val="none" w:sz="0" w:space="0" w:color="auto"/>
        <w:bottom w:val="none" w:sz="0" w:space="0" w:color="auto"/>
        <w:right w:val="none" w:sz="0" w:space="0" w:color="auto"/>
      </w:divBdr>
    </w:div>
    <w:div w:id="1430929077">
      <w:bodyDiv w:val="1"/>
      <w:marLeft w:val="0"/>
      <w:marRight w:val="0"/>
      <w:marTop w:val="0"/>
      <w:marBottom w:val="0"/>
      <w:divBdr>
        <w:top w:val="none" w:sz="0" w:space="0" w:color="auto"/>
        <w:left w:val="none" w:sz="0" w:space="0" w:color="auto"/>
        <w:bottom w:val="none" w:sz="0" w:space="0" w:color="auto"/>
        <w:right w:val="none" w:sz="0" w:space="0" w:color="auto"/>
      </w:divBdr>
    </w:div>
    <w:div w:id="1468473428">
      <w:bodyDiv w:val="1"/>
      <w:marLeft w:val="0"/>
      <w:marRight w:val="0"/>
      <w:marTop w:val="0"/>
      <w:marBottom w:val="0"/>
      <w:divBdr>
        <w:top w:val="none" w:sz="0" w:space="0" w:color="auto"/>
        <w:left w:val="none" w:sz="0" w:space="0" w:color="auto"/>
        <w:bottom w:val="none" w:sz="0" w:space="0" w:color="auto"/>
        <w:right w:val="none" w:sz="0" w:space="0" w:color="auto"/>
      </w:divBdr>
    </w:div>
    <w:div w:id="1609771291">
      <w:bodyDiv w:val="1"/>
      <w:marLeft w:val="0"/>
      <w:marRight w:val="0"/>
      <w:marTop w:val="0"/>
      <w:marBottom w:val="0"/>
      <w:divBdr>
        <w:top w:val="none" w:sz="0" w:space="0" w:color="auto"/>
        <w:left w:val="none" w:sz="0" w:space="0" w:color="auto"/>
        <w:bottom w:val="none" w:sz="0" w:space="0" w:color="auto"/>
        <w:right w:val="none" w:sz="0" w:space="0" w:color="auto"/>
      </w:divBdr>
    </w:div>
    <w:div w:id="1670788675">
      <w:bodyDiv w:val="1"/>
      <w:marLeft w:val="0"/>
      <w:marRight w:val="0"/>
      <w:marTop w:val="0"/>
      <w:marBottom w:val="0"/>
      <w:divBdr>
        <w:top w:val="none" w:sz="0" w:space="0" w:color="auto"/>
        <w:left w:val="none" w:sz="0" w:space="0" w:color="auto"/>
        <w:bottom w:val="none" w:sz="0" w:space="0" w:color="auto"/>
        <w:right w:val="none" w:sz="0" w:space="0" w:color="auto"/>
      </w:divBdr>
    </w:div>
    <w:div w:id="1975521338">
      <w:bodyDiv w:val="1"/>
      <w:marLeft w:val="0"/>
      <w:marRight w:val="0"/>
      <w:marTop w:val="0"/>
      <w:marBottom w:val="0"/>
      <w:divBdr>
        <w:top w:val="none" w:sz="0" w:space="0" w:color="auto"/>
        <w:left w:val="none" w:sz="0" w:space="0" w:color="auto"/>
        <w:bottom w:val="none" w:sz="0" w:space="0" w:color="auto"/>
        <w:right w:val="none" w:sz="0" w:space="0" w:color="auto"/>
      </w:divBdr>
    </w:div>
    <w:div w:id="201845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supervisiones/wong_22_06_16.pdf" TargetMode="External"/><Relationship Id="rId2" Type="http://schemas.openxmlformats.org/officeDocument/2006/relationships/hyperlink" Target="http://www.corteidh.or.cr/docs/supervisiones/wong_07_10_15.pdf" TargetMode="External"/><Relationship Id="rId1" Type="http://schemas.openxmlformats.org/officeDocument/2006/relationships/hyperlink" Target="http://www.corteidh.or.cr/docs/casos/articulos/seriec_297_esp.pdf" TargetMode="External"/><Relationship Id="rId4" Type="http://schemas.openxmlformats.org/officeDocument/2006/relationships/hyperlink" Target="https://www.minjus.gob.pe/sentencia-en-el-caso-wong-ho-wing-vs-p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6CC80-C0D9-4F2C-AFD5-659D01DA9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2111</Words>
  <Characters>11612</Characters>
  <Application>Microsoft Office Word</Application>
  <DocSecurity>0</DocSecurity>
  <Lines>96</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2</cp:revision>
  <cp:lastPrinted>2018-12-18T20:50:00Z</cp:lastPrinted>
  <dcterms:created xsi:type="dcterms:W3CDTF">2018-12-18T20:51:00Z</dcterms:created>
  <dcterms:modified xsi:type="dcterms:W3CDTF">2018-12-18T20:51:00Z</dcterms:modified>
</cp:coreProperties>
</file>