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0CA05" w14:textId="77777777" w:rsidR="00CC3074" w:rsidRPr="008117C2" w:rsidRDefault="00CC3074" w:rsidP="00CC3074">
      <w:pPr>
        <w:spacing w:after="0" w:line="240" w:lineRule="auto"/>
        <w:jc w:val="center"/>
        <w:rPr>
          <w:rFonts w:ascii="Verdana" w:hAnsi="Verdana"/>
          <w:b/>
          <w:sz w:val="20"/>
          <w:szCs w:val="20"/>
          <w:lang w:val="es-ES_tradnl"/>
        </w:rPr>
      </w:pPr>
      <w:bookmarkStart w:id="0" w:name="_GoBack"/>
      <w:bookmarkEnd w:id="0"/>
    </w:p>
    <w:p w14:paraId="7E63095D" w14:textId="77777777" w:rsidR="00CC3074" w:rsidRDefault="00CC3074" w:rsidP="00CC3074">
      <w:pPr>
        <w:spacing w:after="0" w:line="240" w:lineRule="auto"/>
        <w:jc w:val="center"/>
        <w:rPr>
          <w:rFonts w:ascii="Verdana" w:hAnsi="Verdana"/>
          <w:b/>
          <w:sz w:val="20"/>
          <w:szCs w:val="20"/>
          <w:lang w:val="es-ES_tradnl"/>
        </w:rPr>
      </w:pPr>
    </w:p>
    <w:p w14:paraId="386B360A" w14:textId="77777777" w:rsidR="007303E8" w:rsidRDefault="007303E8" w:rsidP="00CC3074">
      <w:pPr>
        <w:spacing w:after="0" w:line="240" w:lineRule="auto"/>
        <w:jc w:val="center"/>
        <w:rPr>
          <w:rFonts w:ascii="Verdana" w:hAnsi="Verdana"/>
          <w:b/>
          <w:sz w:val="20"/>
          <w:szCs w:val="20"/>
          <w:lang w:val="es-ES_tradnl"/>
        </w:rPr>
      </w:pPr>
    </w:p>
    <w:p w14:paraId="0404DDDA" w14:textId="77777777" w:rsidR="007303E8" w:rsidRDefault="007303E8" w:rsidP="00CC3074">
      <w:pPr>
        <w:spacing w:after="0" w:line="240" w:lineRule="auto"/>
        <w:jc w:val="center"/>
        <w:rPr>
          <w:rFonts w:ascii="Verdana" w:hAnsi="Verdana"/>
          <w:b/>
          <w:sz w:val="20"/>
          <w:szCs w:val="20"/>
          <w:lang w:val="es-ES_tradnl"/>
        </w:rPr>
      </w:pPr>
    </w:p>
    <w:p w14:paraId="49BF9ADC" w14:textId="77777777" w:rsidR="007303E8" w:rsidRDefault="007303E8" w:rsidP="00CC3074">
      <w:pPr>
        <w:spacing w:after="0" w:line="240" w:lineRule="auto"/>
        <w:jc w:val="center"/>
        <w:rPr>
          <w:rFonts w:ascii="Verdana" w:hAnsi="Verdana"/>
          <w:b/>
          <w:sz w:val="20"/>
          <w:szCs w:val="20"/>
          <w:lang w:val="es-ES_tradnl"/>
        </w:rPr>
      </w:pPr>
    </w:p>
    <w:p w14:paraId="56A4B945" w14:textId="77777777" w:rsidR="007303E8" w:rsidRDefault="007303E8" w:rsidP="00CC3074">
      <w:pPr>
        <w:spacing w:after="0" w:line="240" w:lineRule="auto"/>
        <w:jc w:val="center"/>
        <w:rPr>
          <w:rFonts w:ascii="Verdana" w:hAnsi="Verdana"/>
          <w:b/>
          <w:sz w:val="20"/>
          <w:szCs w:val="20"/>
          <w:lang w:val="es-ES_tradnl"/>
        </w:rPr>
      </w:pPr>
    </w:p>
    <w:p w14:paraId="0864739F" w14:textId="77777777" w:rsidR="007303E8" w:rsidRPr="008117C2" w:rsidRDefault="007303E8" w:rsidP="00CC3074">
      <w:pPr>
        <w:spacing w:after="0" w:line="240" w:lineRule="auto"/>
        <w:jc w:val="center"/>
        <w:rPr>
          <w:rFonts w:ascii="Verdana" w:hAnsi="Verdana"/>
          <w:b/>
          <w:sz w:val="20"/>
          <w:szCs w:val="20"/>
          <w:lang w:val="es-ES_tradnl"/>
        </w:rPr>
      </w:pPr>
    </w:p>
    <w:p w14:paraId="10B44F4A" w14:textId="77777777" w:rsidR="00CC3074" w:rsidRPr="008117C2" w:rsidRDefault="00CC3074" w:rsidP="00CC3074">
      <w:pPr>
        <w:spacing w:after="0" w:line="240" w:lineRule="auto"/>
        <w:jc w:val="center"/>
        <w:rPr>
          <w:rFonts w:ascii="Verdana" w:hAnsi="Verdana"/>
          <w:b/>
          <w:sz w:val="20"/>
          <w:szCs w:val="20"/>
          <w:lang w:val="es-ES_tradnl"/>
        </w:rPr>
      </w:pPr>
      <w:r w:rsidRPr="008117C2">
        <w:rPr>
          <w:rFonts w:ascii="Verdana" w:hAnsi="Verdana"/>
          <w:b/>
          <w:sz w:val="20"/>
          <w:szCs w:val="20"/>
          <w:lang w:val="es-ES_tradnl"/>
        </w:rPr>
        <w:t xml:space="preserve">RESOLUCIÓN DE LA </w:t>
      </w:r>
    </w:p>
    <w:p w14:paraId="70528A05" w14:textId="77777777" w:rsidR="00CC3074" w:rsidRPr="008117C2" w:rsidRDefault="00CC3074" w:rsidP="00CC3074">
      <w:pPr>
        <w:spacing w:after="0" w:line="240" w:lineRule="auto"/>
        <w:jc w:val="center"/>
        <w:rPr>
          <w:rFonts w:ascii="Verdana" w:hAnsi="Verdana"/>
          <w:b/>
          <w:smallCaps/>
          <w:sz w:val="20"/>
          <w:lang w:val="es-ES_tradnl"/>
        </w:rPr>
      </w:pPr>
      <w:r w:rsidRPr="008117C2">
        <w:rPr>
          <w:rFonts w:ascii="Verdana" w:hAnsi="Verdana"/>
          <w:b/>
          <w:sz w:val="20"/>
          <w:szCs w:val="20"/>
          <w:lang w:val="es-ES_tradnl"/>
        </w:rPr>
        <w:t>CORTE INTERAMERICANA DE DERECHOS HUMANOS</w:t>
      </w:r>
      <w:r w:rsidRPr="008117C2">
        <w:rPr>
          <w:rStyle w:val="Refdenotaalpie"/>
          <w:rFonts w:ascii="Verdana" w:hAnsi="Verdana"/>
          <w:b/>
          <w:smallCaps/>
          <w:sz w:val="20"/>
          <w:lang w:val="es-ES_tradnl"/>
        </w:rPr>
        <w:t xml:space="preserve"> </w:t>
      </w:r>
    </w:p>
    <w:p w14:paraId="2985CE3D" w14:textId="77777777" w:rsidR="00CC3074" w:rsidRPr="008117C2" w:rsidRDefault="00CC3074" w:rsidP="00CC3074">
      <w:pPr>
        <w:spacing w:after="0" w:line="240" w:lineRule="auto"/>
        <w:jc w:val="center"/>
        <w:rPr>
          <w:rFonts w:ascii="Verdana" w:hAnsi="Verdana"/>
          <w:b/>
          <w:sz w:val="20"/>
          <w:szCs w:val="20"/>
          <w:lang w:val="es-ES_tradnl"/>
        </w:rPr>
      </w:pPr>
    </w:p>
    <w:p w14:paraId="0D45CDB5" w14:textId="77777777" w:rsidR="00CC3074" w:rsidRPr="008117C2" w:rsidRDefault="00CC3074" w:rsidP="00CC3074">
      <w:pPr>
        <w:spacing w:after="0" w:line="240" w:lineRule="auto"/>
        <w:jc w:val="center"/>
        <w:rPr>
          <w:rFonts w:ascii="Verdana" w:hAnsi="Verdana"/>
          <w:b/>
          <w:sz w:val="20"/>
          <w:szCs w:val="20"/>
          <w:lang w:val="es-ES_tradnl"/>
        </w:rPr>
      </w:pPr>
      <w:r w:rsidRPr="008117C2">
        <w:rPr>
          <w:rFonts w:ascii="Verdana" w:hAnsi="Verdana"/>
          <w:b/>
          <w:sz w:val="20"/>
          <w:szCs w:val="20"/>
          <w:lang w:val="es-ES_tradnl"/>
        </w:rPr>
        <w:t xml:space="preserve">DE </w:t>
      </w:r>
      <w:r w:rsidR="006961B7">
        <w:rPr>
          <w:rFonts w:ascii="Verdana" w:hAnsi="Verdana"/>
          <w:b/>
          <w:sz w:val="20"/>
          <w:szCs w:val="20"/>
          <w:lang w:val="es-ES_tradnl"/>
        </w:rPr>
        <w:t>14</w:t>
      </w:r>
      <w:r w:rsidRPr="008117C2">
        <w:rPr>
          <w:rFonts w:ascii="Verdana" w:hAnsi="Verdana"/>
          <w:b/>
          <w:sz w:val="20"/>
          <w:szCs w:val="20"/>
          <w:lang w:val="es-ES_tradnl"/>
        </w:rPr>
        <w:t xml:space="preserve"> DE </w:t>
      </w:r>
      <w:r>
        <w:rPr>
          <w:rFonts w:ascii="Verdana" w:hAnsi="Verdana"/>
          <w:b/>
          <w:sz w:val="20"/>
          <w:szCs w:val="20"/>
          <w:lang w:val="es-ES_tradnl"/>
        </w:rPr>
        <w:t>MA</w:t>
      </w:r>
      <w:r w:rsidR="006704BB">
        <w:rPr>
          <w:rFonts w:ascii="Verdana" w:hAnsi="Verdana"/>
          <w:b/>
          <w:sz w:val="20"/>
          <w:szCs w:val="20"/>
          <w:lang w:val="es-ES_tradnl"/>
        </w:rPr>
        <w:t>YO</w:t>
      </w:r>
      <w:r w:rsidRPr="008117C2">
        <w:rPr>
          <w:rFonts w:ascii="Verdana" w:hAnsi="Verdana"/>
          <w:b/>
          <w:sz w:val="20"/>
          <w:szCs w:val="20"/>
          <w:lang w:val="es-ES_tradnl"/>
        </w:rPr>
        <w:t xml:space="preserve"> DE 2019</w:t>
      </w:r>
    </w:p>
    <w:p w14:paraId="49F16089" w14:textId="77777777" w:rsidR="00CC3074" w:rsidRPr="008117C2" w:rsidRDefault="00CC3074" w:rsidP="00CC3074">
      <w:pPr>
        <w:spacing w:after="0" w:line="240" w:lineRule="auto"/>
        <w:jc w:val="center"/>
        <w:rPr>
          <w:rFonts w:ascii="Verdana" w:hAnsi="Verdana"/>
          <w:b/>
          <w:sz w:val="20"/>
          <w:szCs w:val="20"/>
          <w:lang w:val="es-ES_tradnl"/>
        </w:rPr>
      </w:pPr>
    </w:p>
    <w:p w14:paraId="4C11420F" w14:textId="77777777" w:rsidR="00CC3074" w:rsidRPr="004B4978" w:rsidRDefault="00CC3074" w:rsidP="00CC3074">
      <w:pPr>
        <w:spacing w:after="0" w:line="240" w:lineRule="auto"/>
        <w:jc w:val="center"/>
        <w:rPr>
          <w:rFonts w:ascii="Verdana" w:hAnsi="Verdana"/>
          <w:b/>
          <w:i/>
          <w:sz w:val="20"/>
          <w:szCs w:val="20"/>
          <w:lang w:val="es-ES_tradnl"/>
        </w:rPr>
      </w:pPr>
      <w:r w:rsidRPr="004B4978">
        <w:rPr>
          <w:rFonts w:ascii="Verdana" w:hAnsi="Verdana"/>
          <w:b/>
          <w:i/>
          <w:sz w:val="20"/>
          <w:szCs w:val="20"/>
          <w:lang w:val="es-ES_tradnl"/>
        </w:rPr>
        <w:t>CASO COMUNIDAD</w:t>
      </w:r>
      <w:r w:rsidR="004B4978" w:rsidRPr="004B4978">
        <w:rPr>
          <w:rFonts w:ascii="Verdana" w:hAnsi="Verdana"/>
          <w:b/>
          <w:i/>
          <w:sz w:val="20"/>
          <w:szCs w:val="20"/>
          <w:lang w:val="es-ES_tradnl"/>
        </w:rPr>
        <w:t xml:space="preserve"> </w:t>
      </w:r>
      <w:r w:rsidRPr="004B4978">
        <w:rPr>
          <w:rFonts w:ascii="Verdana" w:hAnsi="Verdana"/>
          <w:b/>
          <w:i/>
          <w:sz w:val="20"/>
          <w:szCs w:val="20"/>
          <w:lang w:val="es-ES_tradnl"/>
        </w:rPr>
        <w:t>INDÍGENA</w:t>
      </w:r>
      <w:r w:rsidR="004B4978" w:rsidRPr="004B4978">
        <w:rPr>
          <w:rFonts w:ascii="Verdana" w:hAnsi="Verdana"/>
          <w:b/>
          <w:i/>
          <w:sz w:val="20"/>
          <w:szCs w:val="20"/>
          <w:lang w:val="es-ES_tradnl"/>
        </w:rPr>
        <w:t xml:space="preserve"> </w:t>
      </w:r>
      <w:r w:rsidR="007216F5">
        <w:rPr>
          <w:rFonts w:ascii="Verdana" w:hAnsi="Verdana"/>
          <w:b/>
          <w:i/>
          <w:sz w:val="20"/>
          <w:szCs w:val="20"/>
          <w:lang w:val="es-ES_tradnl"/>
        </w:rPr>
        <w:t>XÁKMOK KÁSEK</w:t>
      </w:r>
      <w:r w:rsidRPr="004B4978">
        <w:rPr>
          <w:rFonts w:ascii="Verdana" w:hAnsi="Verdana"/>
          <w:b/>
          <w:i/>
          <w:sz w:val="20"/>
          <w:szCs w:val="20"/>
          <w:lang w:val="es-ES_tradnl"/>
        </w:rPr>
        <w:t xml:space="preserve"> VS. PARAGUAY</w:t>
      </w:r>
    </w:p>
    <w:p w14:paraId="4D200E91" w14:textId="77777777" w:rsidR="00CC3074" w:rsidRPr="008117C2" w:rsidRDefault="00CC3074" w:rsidP="00CC3074">
      <w:pPr>
        <w:spacing w:after="0" w:line="240" w:lineRule="auto"/>
        <w:jc w:val="center"/>
        <w:rPr>
          <w:rFonts w:ascii="Verdana" w:hAnsi="Verdana"/>
          <w:b/>
          <w:sz w:val="20"/>
          <w:szCs w:val="20"/>
          <w:lang w:val="es-ES_tradnl"/>
        </w:rPr>
      </w:pPr>
    </w:p>
    <w:p w14:paraId="61DBB7B3" w14:textId="77777777" w:rsidR="00CC3074" w:rsidRPr="008117C2" w:rsidRDefault="00CC3074" w:rsidP="00CC3074">
      <w:pPr>
        <w:spacing w:after="0" w:line="240" w:lineRule="auto"/>
        <w:jc w:val="center"/>
        <w:rPr>
          <w:rFonts w:ascii="Verdana" w:hAnsi="Verdana"/>
          <w:b/>
          <w:sz w:val="20"/>
          <w:szCs w:val="20"/>
          <w:lang w:val="es-ES_tradnl"/>
        </w:rPr>
      </w:pPr>
      <w:r w:rsidRPr="008117C2">
        <w:rPr>
          <w:rFonts w:ascii="Verdana" w:hAnsi="Verdana"/>
          <w:b/>
          <w:sz w:val="20"/>
          <w:szCs w:val="20"/>
          <w:lang w:val="es-ES_tradnl"/>
        </w:rPr>
        <w:t>SUPERVISIÓN DE CUMPLIMIENTO DE SENTENCIA</w:t>
      </w:r>
    </w:p>
    <w:p w14:paraId="452344DD" w14:textId="77777777" w:rsidR="00CC3074" w:rsidRPr="008117C2" w:rsidRDefault="00CC3074" w:rsidP="00CC3074">
      <w:pPr>
        <w:rPr>
          <w:lang w:val="es-ES_tradnl"/>
        </w:rPr>
      </w:pPr>
    </w:p>
    <w:p w14:paraId="7515AF45" w14:textId="77777777" w:rsidR="00CC3074" w:rsidRPr="003B122E" w:rsidRDefault="00CC3074" w:rsidP="003B122E">
      <w:pPr>
        <w:spacing w:before="120" w:after="120" w:line="240" w:lineRule="auto"/>
        <w:jc w:val="both"/>
        <w:rPr>
          <w:rFonts w:ascii="Verdana" w:hAnsi="Verdana"/>
          <w:b/>
          <w:sz w:val="20"/>
          <w:szCs w:val="20"/>
          <w:lang w:val="es-ES_tradnl"/>
        </w:rPr>
      </w:pPr>
      <w:r w:rsidRPr="003B122E">
        <w:rPr>
          <w:rFonts w:ascii="Verdana" w:hAnsi="Verdana"/>
          <w:b/>
          <w:sz w:val="20"/>
          <w:szCs w:val="20"/>
          <w:lang w:val="es-ES_tradnl"/>
        </w:rPr>
        <w:t xml:space="preserve">VISTO: </w:t>
      </w:r>
    </w:p>
    <w:p w14:paraId="5BF1D3DD" w14:textId="77777777" w:rsidR="00CC3074" w:rsidRPr="00AE1C66" w:rsidRDefault="004B4978" w:rsidP="003B122E">
      <w:pPr>
        <w:pStyle w:val="Prrafodelista"/>
        <w:numPr>
          <w:ilvl w:val="0"/>
          <w:numId w:val="7"/>
        </w:numPr>
        <w:spacing w:before="120" w:after="120" w:line="240" w:lineRule="auto"/>
        <w:ind w:left="0" w:firstLine="0"/>
        <w:contextualSpacing w:val="0"/>
        <w:jc w:val="both"/>
        <w:rPr>
          <w:rFonts w:ascii="Verdana" w:hAnsi="Verdana"/>
          <w:sz w:val="20"/>
          <w:szCs w:val="20"/>
          <w:lang w:val="es-ES_tradnl"/>
        </w:rPr>
      </w:pPr>
      <w:bookmarkStart w:id="1" w:name="_Ref7164884"/>
      <w:r w:rsidRPr="00AE1C66">
        <w:rPr>
          <w:rFonts w:ascii="Verdana" w:hAnsi="Verdana"/>
          <w:sz w:val="20"/>
          <w:szCs w:val="20"/>
          <w:lang w:val="es-ES_tradnl"/>
        </w:rPr>
        <w:t>La Sentencia de fondo</w:t>
      </w:r>
      <w:r w:rsidR="007303E8">
        <w:rPr>
          <w:rFonts w:ascii="Verdana" w:hAnsi="Verdana"/>
          <w:sz w:val="20"/>
          <w:szCs w:val="20"/>
          <w:lang w:val="es-ES_tradnl"/>
        </w:rPr>
        <w:t>,</w:t>
      </w:r>
      <w:r w:rsidRPr="00AE1C66">
        <w:rPr>
          <w:rFonts w:ascii="Verdana" w:hAnsi="Verdana"/>
          <w:sz w:val="20"/>
          <w:szCs w:val="20"/>
          <w:lang w:val="es-ES_tradnl"/>
        </w:rPr>
        <w:t xml:space="preserve"> reparaciones y costas </w:t>
      </w:r>
      <w:r w:rsidR="00CC3074" w:rsidRPr="00AE1C66">
        <w:rPr>
          <w:rFonts w:ascii="Verdana" w:hAnsi="Verdana"/>
          <w:sz w:val="20"/>
          <w:szCs w:val="20"/>
          <w:lang w:val="es-ES_tradnl"/>
        </w:rPr>
        <w:t xml:space="preserve">emitida por la Corte Interamericana de Derechos Humanos (en adelante “la Corte”, “la Corte Interamericana” o “el Tribunal”) </w:t>
      </w:r>
      <w:r w:rsidRPr="00AE1C66">
        <w:rPr>
          <w:rFonts w:ascii="Verdana" w:hAnsi="Verdana"/>
          <w:sz w:val="20"/>
          <w:szCs w:val="20"/>
          <w:lang w:val="es-ES_tradnl"/>
        </w:rPr>
        <w:t>el</w:t>
      </w:r>
      <w:r w:rsidR="00CC3074" w:rsidRPr="00AE1C66">
        <w:rPr>
          <w:rFonts w:ascii="Verdana" w:hAnsi="Verdana"/>
          <w:sz w:val="20"/>
          <w:szCs w:val="20"/>
          <w:lang w:val="es-ES_tradnl"/>
        </w:rPr>
        <w:t xml:space="preserve"> </w:t>
      </w:r>
      <w:r w:rsidR="007216F5" w:rsidRPr="00AE1C66">
        <w:rPr>
          <w:rFonts w:ascii="Verdana" w:hAnsi="Verdana"/>
          <w:sz w:val="20"/>
          <w:szCs w:val="20"/>
          <w:lang w:val="es-ES_tradnl"/>
        </w:rPr>
        <w:t>24</w:t>
      </w:r>
      <w:r w:rsidR="00CC3074" w:rsidRPr="00AE1C66">
        <w:rPr>
          <w:rFonts w:ascii="Verdana" w:hAnsi="Verdana"/>
          <w:sz w:val="20"/>
          <w:szCs w:val="20"/>
          <w:lang w:val="es-ES_tradnl"/>
        </w:rPr>
        <w:t xml:space="preserve"> de </w:t>
      </w:r>
      <w:r w:rsidR="007216F5" w:rsidRPr="00AE1C66">
        <w:rPr>
          <w:rFonts w:ascii="Verdana" w:hAnsi="Verdana"/>
          <w:sz w:val="20"/>
          <w:szCs w:val="20"/>
          <w:lang w:val="es-ES_tradnl"/>
        </w:rPr>
        <w:t>agosto</w:t>
      </w:r>
      <w:r w:rsidR="00CC3074" w:rsidRPr="00AE1C66">
        <w:rPr>
          <w:rFonts w:ascii="Verdana" w:hAnsi="Verdana"/>
          <w:sz w:val="20"/>
          <w:szCs w:val="20"/>
          <w:lang w:val="es-ES_tradnl"/>
        </w:rPr>
        <w:t xml:space="preserve"> de 20</w:t>
      </w:r>
      <w:r w:rsidR="007216F5" w:rsidRPr="00AE1C66">
        <w:rPr>
          <w:rFonts w:ascii="Verdana" w:hAnsi="Verdana"/>
          <w:sz w:val="20"/>
          <w:szCs w:val="20"/>
          <w:lang w:val="es-ES_tradnl"/>
        </w:rPr>
        <w:t>1</w:t>
      </w:r>
      <w:r w:rsidR="00CC3074" w:rsidRPr="00AE1C66">
        <w:rPr>
          <w:rFonts w:ascii="Verdana" w:hAnsi="Verdana"/>
          <w:sz w:val="20"/>
          <w:szCs w:val="20"/>
          <w:lang w:val="es-ES_tradnl"/>
        </w:rPr>
        <w:t>0</w:t>
      </w:r>
      <w:r w:rsidR="00CC3074" w:rsidRPr="00AE1C66">
        <w:rPr>
          <w:rStyle w:val="Refdenotaalpie"/>
          <w:rFonts w:ascii="Verdana" w:hAnsi="Verdana"/>
          <w:sz w:val="20"/>
          <w:szCs w:val="20"/>
          <w:lang w:val="es-ES_tradnl"/>
        </w:rPr>
        <w:footnoteReference w:id="1"/>
      </w:r>
      <w:r w:rsidRPr="00AE1C66">
        <w:rPr>
          <w:rFonts w:ascii="Verdana" w:hAnsi="Verdana"/>
          <w:sz w:val="20"/>
          <w:szCs w:val="20"/>
          <w:lang w:val="es-ES_tradnl"/>
        </w:rPr>
        <w:t xml:space="preserve">. </w:t>
      </w:r>
      <w:r w:rsidR="00CC3074" w:rsidRPr="00AE1C66">
        <w:rPr>
          <w:rFonts w:ascii="Verdana" w:hAnsi="Verdana"/>
          <w:sz w:val="20"/>
          <w:szCs w:val="20"/>
          <w:lang w:val="es-ES_tradnl"/>
        </w:rPr>
        <w:t>La Corte determinó que la República de</w:t>
      </w:r>
      <w:r w:rsidRPr="00AE1C66">
        <w:rPr>
          <w:rFonts w:ascii="Verdana" w:hAnsi="Verdana"/>
          <w:sz w:val="20"/>
          <w:szCs w:val="20"/>
          <w:lang w:val="es-ES_tradnl"/>
        </w:rPr>
        <w:t>l</w:t>
      </w:r>
      <w:r w:rsidR="00CC3074" w:rsidRPr="00AE1C66">
        <w:rPr>
          <w:rFonts w:ascii="Verdana" w:hAnsi="Verdana"/>
          <w:sz w:val="20"/>
          <w:szCs w:val="20"/>
          <w:lang w:val="es-ES_tradnl"/>
        </w:rPr>
        <w:t xml:space="preserve"> Paraguay (en adelante “el Estado” o “Paraguay”) incurrió en responsabilidad internacional por haber violado, entre otros</w:t>
      </w:r>
      <w:r w:rsidR="00624CE3">
        <w:rPr>
          <w:rStyle w:val="Refdenotaalpie"/>
          <w:rFonts w:ascii="Verdana" w:hAnsi="Verdana"/>
          <w:sz w:val="20"/>
          <w:szCs w:val="20"/>
          <w:lang w:val="es-ES_tradnl"/>
        </w:rPr>
        <w:footnoteReference w:id="2"/>
      </w:r>
      <w:r w:rsidR="00CC3074" w:rsidRPr="00AE1C66">
        <w:rPr>
          <w:rFonts w:ascii="Verdana" w:hAnsi="Verdana"/>
          <w:sz w:val="20"/>
          <w:szCs w:val="20"/>
          <w:lang w:val="es-ES_tradnl"/>
        </w:rPr>
        <w:t xml:space="preserve">, los derechos </w:t>
      </w:r>
      <w:r w:rsidR="0056775A" w:rsidRPr="00AE1C66">
        <w:rPr>
          <w:rFonts w:ascii="Verdana" w:hAnsi="Verdana"/>
          <w:sz w:val="20"/>
          <w:szCs w:val="20"/>
          <w:lang w:val="es-ES_tradnl"/>
        </w:rPr>
        <w:t>a la propiedad</w:t>
      </w:r>
      <w:r w:rsidR="007216F5" w:rsidRPr="00AE1C66">
        <w:rPr>
          <w:rFonts w:ascii="Verdana" w:hAnsi="Verdana"/>
          <w:sz w:val="20"/>
          <w:szCs w:val="20"/>
          <w:lang w:val="es-ES_tradnl"/>
        </w:rPr>
        <w:t xml:space="preserve">, </w:t>
      </w:r>
      <w:r w:rsidR="007303E8" w:rsidRPr="00AE1C66">
        <w:rPr>
          <w:rFonts w:ascii="Verdana" w:hAnsi="Verdana"/>
          <w:sz w:val="20"/>
          <w:szCs w:val="20"/>
          <w:lang w:val="es-ES_tradnl"/>
        </w:rPr>
        <w:t xml:space="preserve">a </w:t>
      </w:r>
      <w:r w:rsidR="007303E8">
        <w:rPr>
          <w:rFonts w:ascii="Verdana" w:hAnsi="Verdana"/>
          <w:sz w:val="20"/>
          <w:szCs w:val="20"/>
          <w:lang w:val="es-ES_tradnl"/>
        </w:rPr>
        <w:t>las garantías judiciales y</w:t>
      </w:r>
      <w:r w:rsidR="007303E8" w:rsidRPr="00AE1C66">
        <w:rPr>
          <w:rFonts w:ascii="Verdana" w:hAnsi="Verdana"/>
          <w:sz w:val="20"/>
          <w:szCs w:val="20"/>
          <w:lang w:val="es-ES_tradnl"/>
        </w:rPr>
        <w:t xml:space="preserve"> </w:t>
      </w:r>
      <w:r w:rsidR="0056775A" w:rsidRPr="00AE1C66">
        <w:rPr>
          <w:rFonts w:ascii="Verdana" w:hAnsi="Verdana"/>
          <w:sz w:val="20"/>
          <w:szCs w:val="20"/>
          <w:lang w:val="es-ES_tradnl"/>
        </w:rPr>
        <w:t>a la protección judicial</w:t>
      </w:r>
      <w:r w:rsidR="00CC3074" w:rsidRPr="00AE1C66">
        <w:rPr>
          <w:rFonts w:ascii="Verdana" w:hAnsi="Verdana"/>
          <w:sz w:val="20"/>
          <w:szCs w:val="20"/>
          <w:lang w:val="es-ES_tradnl"/>
        </w:rPr>
        <w:t xml:space="preserve">, por no haber garantizado el derecho a la propiedad comunitaria sobre las tierras tradicionales de </w:t>
      </w:r>
      <w:r w:rsidRPr="00AE1C66">
        <w:rPr>
          <w:rFonts w:ascii="Verdana" w:hAnsi="Verdana"/>
          <w:sz w:val="20"/>
          <w:szCs w:val="20"/>
          <w:lang w:val="es-ES_tradnl"/>
        </w:rPr>
        <w:t xml:space="preserve">la </w:t>
      </w:r>
      <w:r w:rsidR="007303E8">
        <w:rPr>
          <w:rFonts w:ascii="Verdana" w:hAnsi="Verdana"/>
          <w:sz w:val="20"/>
          <w:szCs w:val="20"/>
          <w:lang w:val="es-ES_tradnl"/>
        </w:rPr>
        <w:t>C</w:t>
      </w:r>
      <w:r w:rsidR="007303E8" w:rsidRPr="00AE1C66">
        <w:rPr>
          <w:rFonts w:ascii="Verdana" w:hAnsi="Verdana"/>
          <w:sz w:val="20"/>
          <w:szCs w:val="20"/>
          <w:lang w:val="es-ES_tradnl"/>
        </w:rPr>
        <w:t xml:space="preserve">omunidad </w:t>
      </w:r>
      <w:r w:rsidRPr="00AE1C66">
        <w:rPr>
          <w:rFonts w:ascii="Verdana" w:hAnsi="Verdana"/>
          <w:sz w:val="20"/>
          <w:szCs w:val="20"/>
          <w:lang w:val="es-ES_tradnl"/>
        </w:rPr>
        <w:t xml:space="preserve">indígena </w:t>
      </w:r>
      <w:r w:rsidR="00F203DA" w:rsidRPr="00AE1C66">
        <w:rPr>
          <w:rFonts w:ascii="Verdana" w:hAnsi="Verdana"/>
          <w:sz w:val="20"/>
          <w:szCs w:val="20"/>
          <w:lang w:val="es-ES_tradnl"/>
        </w:rPr>
        <w:t>Xákmok Kásek</w:t>
      </w:r>
      <w:r w:rsidR="00CC3074" w:rsidRPr="00AE1C66">
        <w:rPr>
          <w:rFonts w:ascii="Verdana" w:hAnsi="Verdana"/>
          <w:sz w:val="20"/>
          <w:szCs w:val="20"/>
          <w:lang w:val="es-ES_tradnl"/>
        </w:rPr>
        <w:t>, lo cual generó numerosas afectaciones a sus respectivos miembros. El Tribunal estableció que su Sentencia constituye por sí misma una forma de reparación y, adicionalmente, ordenó al Estado determinadas medidas de reparación (</w:t>
      </w:r>
      <w:r w:rsidR="00CC3074" w:rsidRPr="00AE1C66">
        <w:rPr>
          <w:rFonts w:ascii="Verdana" w:hAnsi="Verdana"/>
          <w:i/>
          <w:sz w:val="20"/>
          <w:szCs w:val="20"/>
          <w:lang w:val="es-ES_tradnl"/>
        </w:rPr>
        <w:t>infra</w:t>
      </w:r>
      <w:r w:rsidR="00CC3074" w:rsidRPr="00AE1C66">
        <w:rPr>
          <w:rFonts w:ascii="Verdana" w:hAnsi="Verdana"/>
          <w:sz w:val="20"/>
          <w:szCs w:val="20"/>
          <w:lang w:val="es-ES_tradnl"/>
        </w:rPr>
        <w:t xml:space="preserve"> Considerando 1).</w:t>
      </w:r>
      <w:bookmarkEnd w:id="1"/>
      <w:r w:rsidR="00CC3074" w:rsidRPr="00AE1C66">
        <w:rPr>
          <w:rFonts w:ascii="Verdana" w:hAnsi="Verdana"/>
          <w:sz w:val="20"/>
          <w:szCs w:val="20"/>
          <w:lang w:val="es-ES_tradnl"/>
        </w:rPr>
        <w:t xml:space="preserve"> </w:t>
      </w:r>
    </w:p>
    <w:p w14:paraId="6759B168" w14:textId="77777777" w:rsidR="00BB4360" w:rsidRPr="003B122E" w:rsidRDefault="00BB4360" w:rsidP="003B122E">
      <w:pPr>
        <w:pStyle w:val="Prrafodelista"/>
        <w:numPr>
          <w:ilvl w:val="0"/>
          <w:numId w:val="7"/>
        </w:numPr>
        <w:spacing w:before="120" w:after="120" w:line="240" w:lineRule="auto"/>
        <w:ind w:left="0" w:firstLine="0"/>
        <w:contextualSpacing w:val="0"/>
        <w:jc w:val="both"/>
        <w:rPr>
          <w:rFonts w:ascii="Verdana" w:hAnsi="Verdana"/>
          <w:b/>
          <w:sz w:val="20"/>
          <w:szCs w:val="20"/>
          <w:lang w:val="es-ES_tradnl"/>
        </w:rPr>
      </w:pPr>
      <w:r w:rsidRPr="003B122E">
        <w:rPr>
          <w:rFonts w:ascii="Verdana" w:hAnsi="Verdana"/>
          <w:sz w:val="20"/>
          <w:szCs w:val="20"/>
          <w:lang w:val="es-ES_tradnl"/>
        </w:rPr>
        <w:t>La</w:t>
      </w:r>
      <w:r w:rsidR="00CC3074" w:rsidRPr="003B122E">
        <w:rPr>
          <w:rFonts w:ascii="Verdana" w:hAnsi="Verdana"/>
          <w:sz w:val="20"/>
          <w:szCs w:val="20"/>
          <w:lang w:val="es-ES_tradnl"/>
        </w:rPr>
        <w:t xml:space="preserve"> Resoluci</w:t>
      </w:r>
      <w:r w:rsidR="00F86E47">
        <w:rPr>
          <w:rFonts w:ascii="Verdana" w:hAnsi="Verdana"/>
          <w:sz w:val="20"/>
          <w:szCs w:val="20"/>
          <w:lang w:val="es-ES_tradnl"/>
        </w:rPr>
        <w:t>ó</w:t>
      </w:r>
      <w:r w:rsidRPr="003B122E">
        <w:rPr>
          <w:rFonts w:ascii="Verdana" w:hAnsi="Verdana"/>
          <w:sz w:val="20"/>
          <w:szCs w:val="20"/>
          <w:lang w:val="es-ES_tradnl"/>
        </w:rPr>
        <w:t>n</w:t>
      </w:r>
      <w:r w:rsidR="00CC3074" w:rsidRPr="003B122E">
        <w:rPr>
          <w:rFonts w:ascii="Verdana" w:hAnsi="Verdana"/>
          <w:sz w:val="20"/>
          <w:szCs w:val="20"/>
          <w:lang w:val="es-ES_tradnl"/>
        </w:rPr>
        <w:t xml:space="preserve"> de supervisión de cu</w:t>
      </w:r>
      <w:r w:rsidRPr="003B122E">
        <w:rPr>
          <w:rFonts w:ascii="Verdana" w:hAnsi="Verdana"/>
          <w:sz w:val="20"/>
          <w:szCs w:val="20"/>
          <w:lang w:val="es-ES_tradnl"/>
        </w:rPr>
        <w:t xml:space="preserve">mplimiento de </w:t>
      </w:r>
      <w:r w:rsidR="004B3DA3">
        <w:rPr>
          <w:rFonts w:ascii="Verdana" w:hAnsi="Verdana"/>
          <w:sz w:val="20"/>
          <w:szCs w:val="20"/>
          <w:lang w:val="es-ES_tradnl"/>
        </w:rPr>
        <w:t>s</w:t>
      </w:r>
      <w:r w:rsidRPr="003B122E">
        <w:rPr>
          <w:rFonts w:ascii="Verdana" w:hAnsi="Verdana"/>
          <w:sz w:val="20"/>
          <w:szCs w:val="20"/>
          <w:lang w:val="es-ES_tradnl"/>
        </w:rPr>
        <w:t xml:space="preserve">entencia emitida </w:t>
      </w:r>
      <w:r w:rsidR="003B122E">
        <w:rPr>
          <w:rFonts w:ascii="Verdana" w:hAnsi="Verdana"/>
          <w:sz w:val="20"/>
          <w:szCs w:val="20"/>
          <w:lang w:val="es-ES_tradnl"/>
        </w:rPr>
        <w:t xml:space="preserve">por la Corte </w:t>
      </w:r>
      <w:r w:rsidR="00CC3074" w:rsidRPr="003B122E">
        <w:rPr>
          <w:rFonts w:ascii="Verdana" w:hAnsi="Verdana"/>
          <w:sz w:val="20"/>
          <w:szCs w:val="20"/>
          <w:lang w:val="es-ES_tradnl"/>
        </w:rPr>
        <w:t>el 24 de junio de 2015</w:t>
      </w:r>
      <w:r w:rsidR="0089061A">
        <w:rPr>
          <w:rFonts w:ascii="Verdana" w:hAnsi="Verdana"/>
          <w:sz w:val="20"/>
          <w:szCs w:val="20"/>
          <w:lang w:val="es-ES_tradnl"/>
        </w:rPr>
        <w:t>,</w:t>
      </w:r>
      <w:r w:rsidR="00CC3074" w:rsidRPr="003B122E">
        <w:rPr>
          <w:rFonts w:ascii="Verdana" w:hAnsi="Verdana"/>
          <w:sz w:val="20"/>
          <w:szCs w:val="20"/>
          <w:lang w:val="es-ES_tradnl"/>
        </w:rPr>
        <w:t xml:space="preserve"> </w:t>
      </w:r>
      <w:r w:rsidR="003B122E">
        <w:rPr>
          <w:rFonts w:ascii="Verdana" w:hAnsi="Verdana"/>
          <w:sz w:val="20"/>
          <w:szCs w:val="20"/>
          <w:lang w:val="es-ES_tradnl"/>
        </w:rPr>
        <w:t xml:space="preserve">mediante la cual </w:t>
      </w:r>
      <w:r w:rsidR="0089061A">
        <w:rPr>
          <w:rFonts w:ascii="Verdana" w:hAnsi="Verdana"/>
          <w:sz w:val="20"/>
          <w:szCs w:val="20"/>
          <w:lang w:val="es-ES_tradnl"/>
        </w:rPr>
        <w:t xml:space="preserve">se supervisó, </w:t>
      </w:r>
      <w:r w:rsidR="0089061A" w:rsidRPr="003B122E">
        <w:rPr>
          <w:rFonts w:ascii="Verdana" w:hAnsi="Verdana"/>
          <w:sz w:val="20"/>
          <w:szCs w:val="20"/>
          <w:lang w:val="es-ES_tradnl"/>
        </w:rPr>
        <w:t xml:space="preserve">de manera conjunta para los tres casos contra Paraguay relativos a </w:t>
      </w:r>
      <w:r w:rsidR="0089061A">
        <w:rPr>
          <w:rFonts w:ascii="Verdana" w:hAnsi="Verdana"/>
          <w:sz w:val="20"/>
          <w:szCs w:val="20"/>
          <w:lang w:val="es-ES_tradnl"/>
        </w:rPr>
        <w:t>las C</w:t>
      </w:r>
      <w:r w:rsidR="0089061A" w:rsidRPr="003B122E">
        <w:rPr>
          <w:rFonts w:ascii="Verdana" w:hAnsi="Verdana"/>
          <w:sz w:val="20"/>
          <w:szCs w:val="20"/>
          <w:lang w:val="es-ES_tradnl"/>
        </w:rPr>
        <w:t xml:space="preserve">omunidades </w:t>
      </w:r>
      <w:r w:rsidR="0089061A" w:rsidRPr="00C1557B">
        <w:rPr>
          <w:rFonts w:ascii="Verdana" w:hAnsi="Verdana"/>
          <w:sz w:val="20"/>
          <w:szCs w:val="20"/>
          <w:lang w:val="es-ES_tradnl"/>
        </w:rPr>
        <w:t xml:space="preserve">indígenas </w:t>
      </w:r>
      <w:r w:rsidR="0089061A" w:rsidRPr="00C1557B">
        <w:rPr>
          <w:rFonts w:ascii="Verdana" w:hAnsi="Verdana"/>
          <w:sz w:val="20"/>
          <w:szCs w:val="20"/>
          <w:lang w:val="es-CR"/>
        </w:rPr>
        <w:t xml:space="preserve">Yakye Axa, Sawhoyamaxa y Xákmok Kásek </w:t>
      </w:r>
      <w:r w:rsidR="0089061A" w:rsidRPr="00C1557B">
        <w:rPr>
          <w:rFonts w:ascii="Verdana" w:hAnsi="Verdana"/>
          <w:sz w:val="20"/>
          <w:szCs w:val="20"/>
          <w:lang w:val="es-ES_tradnl"/>
        </w:rPr>
        <w:t>(en</w:t>
      </w:r>
      <w:r w:rsidR="0089061A">
        <w:rPr>
          <w:rFonts w:ascii="Verdana" w:hAnsi="Verdana"/>
          <w:sz w:val="20"/>
          <w:szCs w:val="20"/>
          <w:lang w:val="es-ES_tradnl"/>
        </w:rPr>
        <w:t xml:space="preserve"> adelante también “los tres casos”), el grado de cumplimiento de las reparaciones relativas a la identificación entrega y titulación de tierras tradicionales a esas comunidades</w:t>
      </w:r>
      <w:r w:rsidR="0089061A" w:rsidRPr="003B122E">
        <w:rPr>
          <w:rStyle w:val="Refdenotaalpie"/>
          <w:rFonts w:ascii="Verdana" w:hAnsi="Verdana"/>
          <w:sz w:val="20"/>
          <w:szCs w:val="20"/>
          <w:lang w:val="es-ES_tradnl"/>
        </w:rPr>
        <w:footnoteReference w:id="3"/>
      </w:r>
      <w:r w:rsidR="0089061A" w:rsidRPr="003B122E">
        <w:rPr>
          <w:rFonts w:ascii="Verdana" w:hAnsi="Verdana"/>
          <w:sz w:val="20"/>
          <w:szCs w:val="20"/>
          <w:lang w:val="es-ES_tradnl"/>
        </w:rPr>
        <w:t>.</w:t>
      </w:r>
    </w:p>
    <w:p w14:paraId="76F7C0BD" w14:textId="77777777" w:rsidR="003B122E" w:rsidRPr="008D3010" w:rsidRDefault="003B122E" w:rsidP="003B122E">
      <w:pPr>
        <w:pStyle w:val="Prrafodelista"/>
        <w:numPr>
          <w:ilvl w:val="0"/>
          <w:numId w:val="7"/>
        </w:numPr>
        <w:spacing w:before="120" w:after="120" w:line="240" w:lineRule="auto"/>
        <w:ind w:left="0" w:firstLine="0"/>
        <w:contextualSpacing w:val="0"/>
        <w:jc w:val="both"/>
        <w:rPr>
          <w:rFonts w:ascii="Verdana" w:hAnsi="Verdana"/>
          <w:b/>
          <w:sz w:val="20"/>
          <w:szCs w:val="20"/>
          <w:lang w:val="es-ES_tradnl"/>
        </w:rPr>
      </w:pPr>
      <w:r w:rsidRPr="008D3010">
        <w:rPr>
          <w:rFonts w:ascii="Verdana" w:hAnsi="Verdana"/>
          <w:sz w:val="20"/>
          <w:szCs w:val="20"/>
          <w:lang w:val="es-ES_tradnl"/>
        </w:rPr>
        <w:lastRenderedPageBreak/>
        <w:t>Los informes presentados por el Estado en diciembre de 2015 y enero de 2016.</w:t>
      </w:r>
      <w:r w:rsidR="008D3010" w:rsidRPr="008D3010">
        <w:rPr>
          <w:rFonts w:ascii="Verdana" w:hAnsi="Verdana"/>
          <w:sz w:val="20"/>
          <w:szCs w:val="20"/>
          <w:lang w:val="es-ES_tradnl"/>
        </w:rPr>
        <w:t xml:space="preserve"> </w:t>
      </w:r>
    </w:p>
    <w:p w14:paraId="19AA0A53" w14:textId="77777777" w:rsidR="003B122E" w:rsidRPr="008D3010" w:rsidRDefault="003B122E" w:rsidP="003B122E">
      <w:pPr>
        <w:pStyle w:val="Prrafodelista"/>
        <w:numPr>
          <w:ilvl w:val="0"/>
          <w:numId w:val="7"/>
        </w:numPr>
        <w:spacing w:before="120" w:after="120" w:line="240" w:lineRule="auto"/>
        <w:ind w:left="0" w:firstLine="0"/>
        <w:contextualSpacing w:val="0"/>
        <w:jc w:val="both"/>
        <w:rPr>
          <w:rFonts w:ascii="Verdana" w:hAnsi="Verdana"/>
          <w:b/>
          <w:sz w:val="20"/>
          <w:szCs w:val="20"/>
          <w:lang w:val="es-ES_tradnl"/>
        </w:rPr>
      </w:pPr>
      <w:r w:rsidRPr="008D3010">
        <w:rPr>
          <w:rFonts w:ascii="Verdana" w:hAnsi="Verdana"/>
          <w:sz w:val="20"/>
          <w:szCs w:val="20"/>
          <w:lang w:val="es-ES_tradnl"/>
        </w:rPr>
        <w:t>El escrito presentado por los representantes de las víctimas</w:t>
      </w:r>
      <w:r w:rsidR="008D3010" w:rsidRPr="008D3010">
        <w:rPr>
          <w:rFonts w:ascii="Verdana" w:hAnsi="Verdana"/>
          <w:sz w:val="20"/>
          <w:szCs w:val="20"/>
          <w:lang w:val="es-ES_tradnl"/>
        </w:rPr>
        <w:t xml:space="preserve"> (en adelante “los representantes”)</w:t>
      </w:r>
      <w:r w:rsidRPr="008D3010">
        <w:rPr>
          <w:rStyle w:val="Refdenotaalpie"/>
          <w:rFonts w:ascii="Verdana" w:hAnsi="Verdana"/>
          <w:sz w:val="20"/>
          <w:szCs w:val="20"/>
          <w:lang w:val="es-ES_tradnl"/>
        </w:rPr>
        <w:footnoteReference w:id="4"/>
      </w:r>
      <w:r w:rsidRPr="008D3010">
        <w:rPr>
          <w:rFonts w:ascii="Verdana" w:hAnsi="Verdana"/>
          <w:sz w:val="20"/>
          <w:szCs w:val="20"/>
          <w:lang w:val="es-ES_tradnl"/>
        </w:rPr>
        <w:t xml:space="preserve"> en junio de 2016.</w:t>
      </w:r>
    </w:p>
    <w:p w14:paraId="2B5AC8C7" w14:textId="77777777" w:rsidR="008D3010" w:rsidRPr="008D3010" w:rsidRDefault="008D3010" w:rsidP="005706AF">
      <w:pPr>
        <w:pStyle w:val="Prrafodelista"/>
        <w:numPr>
          <w:ilvl w:val="0"/>
          <w:numId w:val="7"/>
        </w:numPr>
        <w:spacing w:before="120" w:after="120" w:line="240" w:lineRule="auto"/>
        <w:ind w:left="0" w:firstLine="0"/>
        <w:contextualSpacing w:val="0"/>
        <w:jc w:val="both"/>
        <w:rPr>
          <w:rFonts w:ascii="Verdana" w:hAnsi="Verdana"/>
          <w:b/>
          <w:sz w:val="20"/>
          <w:szCs w:val="20"/>
          <w:lang w:val="es-ES_tradnl"/>
        </w:rPr>
      </w:pPr>
      <w:r w:rsidRPr="008D3010">
        <w:rPr>
          <w:rFonts w:ascii="Verdana" w:hAnsi="Verdana"/>
          <w:sz w:val="20"/>
          <w:szCs w:val="20"/>
          <w:lang w:val="es-ES_tradnl"/>
        </w:rPr>
        <w:t>El escrito de observaciones presentado por la Comisión Interamericana de Derechos Humanos (en adelante “la Comisión Interamericana” o “la Comisión”) en julio de 2016.</w:t>
      </w:r>
      <w:r w:rsidRPr="008D3010">
        <w:rPr>
          <w:rFonts w:ascii="Verdana" w:hAnsi="Verdana"/>
          <w:b/>
          <w:sz w:val="16"/>
          <w:szCs w:val="16"/>
          <w:lang w:val="es-ES_tradnl"/>
        </w:rPr>
        <w:t xml:space="preserve"> </w:t>
      </w:r>
    </w:p>
    <w:p w14:paraId="54D53DBA" w14:textId="77777777" w:rsidR="008D3010" w:rsidRPr="008D3010" w:rsidRDefault="008D3010" w:rsidP="005706AF">
      <w:pPr>
        <w:pStyle w:val="Prrafodelista"/>
        <w:numPr>
          <w:ilvl w:val="0"/>
          <w:numId w:val="7"/>
        </w:numPr>
        <w:spacing w:before="120" w:after="120" w:line="240" w:lineRule="auto"/>
        <w:ind w:left="0" w:firstLine="0"/>
        <w:contextualSpacing w:val="0"/>
        <w:jc w:val="both"/>
        <w:rPr>
          <w:rFonts w:ascii="Verdana" w:hAnsi="Verdana"/>
          <w:b/>
          <w:sz w:val="20"/>
          <w:szCs w:val="20"/>
          <w:lang w:val="es-ES_tradnl"/>
        </w:rPr>
      </w:pPr>
      <w:r w:rsidRPr="008D3010">
        <w:rPr>
          <w:rFonts w:ascii="Verdana" w:hAnsi="Verdana"/>
          <w:sz w:val="20"/>
          <w:szCs w:val="20"/>
          <w:lang w:val="es-ES_tradnl"/>
        </w:rPr>
        <w:t>La Resolución del Presidente de la Corte de 1 de septiembre de 2016 correspondiente a los tres casos</w:t>
      </w:r>
      <w:r w:rsidR="003751B0">
        <w:rPr>
          <w:rFonts w:ascii="Verdana" w:hAnsi="Verdana"/>
          <w:sz w:val="20"/>
          <w:szCs w:val="20"/>
          <w:lang w:val="es-ES_tradnl"/>
        </w:rPr>
        <w:t xml:space="preserve"> (</w:t>
      </w:r>
      <w:r w:rsidR="003751B0" w:rsidRPr="003751B0">
        <w:rPr>
          <w:rFonts w:ascii="Verdana" w:hAnsi="Verdana"/>
          <w:i/>
          <w:sz w:val="20"/>
          <w:szCs w:val="20"/>
          <w:lang w:val="es-ES_tradnl"/>
        </w:rPr>
        <w:t>infra</w:t>
      </w:r>
      <w:r w:rsidR="003751B0">
        <w:rPr>
          <w:rFonts w:ascii="Verdana" w:hAnsi="Verdana"/>
          <w:sz w:val="20"/>
          <w:szCs w:val="20"/>
          <w:lang w:val="es-ES_tradnl"/>
        </w:rPr>
        <w:t xml:space="preserve"> Considerando </w:t>
      </w:r>
      <w:r w:rsidR="0089061A">
        <w:rPr>
          <w:rFonts w:ascii="Verdana" w:hAnsi="Verdana"/>
          <w:sz w:val="20"/>
          <w:szCs w:val="20"/>
          <w:lang w:val="es-ES_tradnl"/>
        </w:rPr>
        <w:t xml:space="preserve">5) </w:t>
      </w:r>
      <w:r w:rsidR="007F18C3">
        <w:rPr>
          <w:rFonts w:ascii="Verdana" w:hAnsi="Verdana"/>
          <w:sz w:val="20"/>
          <w:szCs w:val="20"/>
          <w:lang w:val="es-ES_tradnl"/>
        </w:rPr>
        <w:t xml:space="preserve">que tuvo </w:t>
      </w:r>
      <w:r w:rsidR="00A17176">
        <w:rPr>
          <w:rFonts w:ascii="Verdana" w:hAnsi="Verdana"/>
          <w:sz w:val="20"/>
          <w:szCs w:val="20"/>
          <w:lang w:val="es-ES_tradnl"/>
        </w:rPr>
        <w:t>por</w:t>
      </w:r>
      <w:r w:rsidR="007F18C3">
        <w:rPr>
          <w:rFonts w:ascii="Verdana" w:hAnsi="Verdana"/>
          <w:sz w:val="20"/>
          <w:szCs w:val="20"/>
          <w:lang w:val="es-ES_tradnl"/>
        </w:rPr>
        <w:t xml:space="preserve"> objeto disponer la coordinación de una visita de supervisión de cumplimiento al Paraguay</w:t>
      </w:r>
      <w:r w:rsidRPr="008D3010">
        <w:rPr>
          <w:rStyle w:val="Refdenotaalpie"/>
          <w:rFonts w:ascii="Verdana" w:hAnsi="Verdana"/>
          <w:sz w:val="20"/>
          <w:szCs w:val="20"/>
          <w:lang w:val="es-ES_tradnl"/>
        </w:rPr>
        <w:footnoteReference w:id="5"/>
      </w:r>
      <w:r w:rsidRPr="008D3010">
        <w:rPr>
          <w:rFonts w:ascii="Verdana" w:hAnsi="Verdana"/>
          <w:sz w:val="20"/>
          <w:szCs w:val="20"/>
          <w:lang w:val="es-ES_tradnl"/>
        </w:rPr>
        <w:t>.</w:t>
      </w:r>
    </w:p>
    <w:p w14:paraId="13ADF4B2" w14:textId="77777777" w:rsidR="00CC3074" w:rsidRPr="005706AF" w:rsidRDefault="003B122E" w:rsidP="005706AF">
      <w:pPr>
        <w:pStyle w:val="Prrafodelista"/>
        <w:numPr>
          <w:ilvl w:val="0"/>
          <w:numId w:val="7"/>
        </w:numPr>
        <w:spacing w:before="120" w:after="120" w:line="240" w:lineRule="auto"/>
        <w:ind w:left="0" w:firstLine="0"/>
        <w:contextualSpacing w:val="0"/>
        <w:jc w:val="both"/>
        <w:rPr>
          <w:rFonts w:ascii="Verdana" w:hAnsi="Verdana"/>
          <w:b/>
          <w:sz w:val="20"/>
          <w:szCs w:val="20"/>
          <w:lang w:val="es-ES_tradnl"/>
        </w:rPr>
      </w:pPr>
      <w:r w:rsidRPr="005706AF">
        <w:rPr>
          <w:rFonts w:ascii="Verdana" w:hAnsi="Verdana"/>
          <w:sz w:val="20"/>
          <w:szCs w:val="20"/>
          <w:lang w:val="es-ES_tradnl"/>
        </w:rPr>
        <w:t xml:space="preserve">La Resolución de supervisión de cumplimiento de </w:t>
      </w:r>
      <w:r w:rsidR="004B3DA3">
        <w:rPr>
          <w:rFonts w:ascii="Verdana" w:hAnsi="Verdana"/>
          <w:sz w:val="20"/>
          <w:szCs w:val="20"/>
          <w:lang w:val="es-ES_tradnl"/>
        </w:rPr>
        <w:t>s</w:t>
      </w:r>
      <w:r w:rsidRPr="005706AF">
        <w:rPr>
          <w:rFonts w:ascii="Verdana" w:hAnsi="Verdana"/>
          <w:sz w:val="20"/>
          <w:szCs w:val="20"/>
          <w:lang w:val="es-ES_tradnl"/>
        </w:rPr>
        <w:t>entencia emitida por la Corte el 30 de agosto de 2017</w:t>
      </w:r>
      <w:r w:rsidR="0089061A">
        <w:rPr>
          <w:rFonts w:ascii="Verdana" w:hAnsi="Verdana"/>
          <w:sz w:val="20"/>
          <w:szCs w:val="20"/>
          <w:lang w:val="es-ES_tradnl"/>
        </w:rPr>
        <w:t>,</w:t>
      </w:r>
      <w:r w:rsidRPr="005706AF">
        <w:rPr>
          <w:rFonts w:ascii="Verdana" w:hAnsi="Verdana"/>
          <w:sz w:val="20"/>
          <w:szCs w:val="20"/>
          <w:lang w:val="es-ES_tradnl"/>
        </w:rPr>
        <w:t xml:space="preserve"> </w:t>
      </w:r>
      <w:r w:rsidR="0089061A">
        <w:rPr>
          <w:rFonts w:ascii="Verdana" w:hAnsi="Verdana"/>
          <w:sz w:val="20"/>
          <w:szCs w:val="20"/>
          <w:lang w:val="es-ES_tradnl"/>
        </w:rPr>
        <w:t xml:space="preserve">de manera conjunta para los </w:t>
      </w:r>
      <w:r w:rsidRPr="005706AF">
        <w:rPr>
          <w:rFonts w:ascii="Verdana" w:hAnsi="Verdana"/>
          <w:sz w:val="20"/>
          <w:szCs w:val="20"/>
          <w:lang w:val="es-ES_tradnl"/>
        </w:rPr>
        <w:t>tres casos</w:t>
      </w:r>
      <w:r w:rsidR="007F18C3">
        <w:rPr>
          <w:rFonts w:ascii="Verdana" w:hAnsi="Verdana"/>
          <w:sz w:val="20"/>
          <w:szCs w:val="20"/>
          <w:lang w:val="es-ES_tradnl"/>
        </w:rPr>
        <w:t>, en la que se declaró el cumplimiento total o parcial de algunas reparaciones</w:t>
      </w:r>
      <w:r w:rsidRPr="005706AF">
        <w:rPr>
          <w:rStyle w:val="Refdenotaalpie"/>
          <w:rFonts w:ascii="Verdana" w:hAnsi="Verdana"/>
          <w:sz w:val="20"/>
          <w:szCs w:val="20"/>
          <w:lang w:val="es-ES_tradnl"/>
        </w:rPr>
        <w:footnoteReference w:id="6"/>
      </w:r>
      <w:r w:rsidRPr="005706AF">
        <w:rPr>
          <w:rFonts w:ascii="Verdana" w:hAnsi="Verdana"/>
          <w:sz w:val="20"/>
          <w:szCs w:val="20"/>
          <w:lang w:val="es-ES_tradnl"/>
        </w:rPr>
        <w:t>.</w:t>
      </w:r>
    </w:p>
    <w:p w14:paraId="13910844" w14:textId="77777777" w:rsidR="005706AF" w:rsidRDefault="008D3010" w:rsidP="005706AF">
      <w:pPr>
        <w:pStyle w:val="Prrafodelista"/>
        <w:numPr>
          <w:ilvl w:val="0"/>
          <w:numId w:val="7"/>
        </w:numPr>
        <w:spacing w:before="120" w:after="120" w:line="240" w:lineRule="auto"/>
        <w:ind w:left="0" w:firstLine="0"/>
        <w:contextualSpacing w:val="0"/>
        <w:jc w:val="both"/>
        <w:rPr>
          <w:rFonts w:ascii="Verdana" w:hAnsi="Verdana"/>
          <w:sz w:val="20"/>
          <w:szCs w:val="20"/>
          <w:lang w:val="es-ES_tradnl"/>
        </w:rPr>
      </w:pPr>
      <w:r w:rsidRPr="005706AF">
        <w:rPr>
          <w:rFonts w:ascii="Verdana" w:hAnsi="Verdana"/>
          <w:sz w:val="20"/>
          <w:szCs w:val="20"/>
          <w:lang w:val="es-ES_tradnl"/>
        </w:rPr>
        <w:t xml:space="preserve">Las visitas de una delegación de la Corte Interamericana al </w:t>
      </w:r>
      <w:r w:rsidRPr="005706AF">
        <w:rPr>
          <w:rFonts w:ascii="Verdana" w:hAnsi="Verdana"/>
          <w:sz w:val="20"/>
          <w:szCs w:val="20"/>
          <w:lang w:val="es-CR"/>
        </w:rPr>
        <w:t>Chaco paraguayo,</w:t>
      </w:r>
      <w:r w:rsidR="00CA5F38" w:rsidRPr="005706AF">
        <w:rPr>
          <w:rFonts w:ascii="Verdana" w:hAnsi="Verdana"/>
          <w:sz w:val="20"/>
          <w:szCs w:val="20"/>
          <w:lang w:val="es-CR"/>
        </w:rPr>
        <w:t xml:space="preserve"> donde se encuentran las </w:t>
      </w:r>
      <w:r w:rsidR="0089061A">
        <w:rPr>
          <w:rFonts w:ascii="Verdana" w:hAnsi="Verdana"/>
          <w:sz w:val="20"/>
          <w:szCs w:val="20"/>
          <w:lang w:val="es-CR"/>
        </w:rPr>
        <w:t>C</w:t>
      </w:r>
      <w:r w:rsidR="00CA5F38" w:rsidRPr="005706AF">
        <w:rPr>
          <w:rFonts w:ascii="Verdana" w:hAnsi="Verdana"/>
          <w:sz w:val="20"/>
          <w:szCs w:val="20"/>
          <w:lang w:val="es-CR"/>
        </w:rPr>
        <w:t>omunidades indígenas</w:t>
      </w:r>
      <w:r w:rsidR="0089061A">
        <w:rPr>
          <w:rFonts w:ascii="Verdana" w:hAnsi="Verdana"/>
          <w:sz w:val="20"/>
          <w:szCs w:val="20"/>
          <w:lang w:val="es-CR"/>
        </w:rPr>
        <w:t xml:space="preserve"> </w:t>
      </w:r>
      <w:r w:rsidR="0089061A" w:rsidRPr="00C1557B">
        <w:rPr>
          <w:rFonts w:ascii="Verdana" w:hAnsi="Verdana"/>
          <w:sz w:val="20"/>
          <w:szCs w:val="20"/>
          <w:lang w:val="es-CR"/>
        </w:rPr>
        <w:t>Yakye Axa, Sawhoyamaxa y Xákmok Kásek</w:t>
      </w:r>
      <w:r w:rsidR="00CA5F38" w:rsidRPr="005706AF">
        <w:rPr>
          <w:rFonts w:ascii="Verdana" w:hAnsi="Verdana"/>
          <w:sz w:val="20"/>
          <w:szCs w:val="20"/>
          <w:lang w:val="es-CR"/>
        </w:rPr>
        <w:t>, realizadas del 27 al 29 de noviembre de 2017 y la audiencia privada sobre supervisión de cumplimiento de las Sentencias, celebrada en Asunción, Paraguay, el 30 de noviembre de 2017</w:t>
      </w:r>
      <w:r w:rsidR="0089061A">
        <w:rPr>
          <w:rFonts w:ascii="Verdana" w:hAnsi="Verdana"/>
          <w:sz w:val="20"/>
          <w:szCs w:val="20"/>
          <w:lang w:val="es-CR"/>
        </w:rPr>
        <w:t xml:space="preserve"> </w:t>
      </w:r>
      <w:r w:rsidR="0089061A" w:rsidRPr="005706AF">
        <w:rPr>
          <w:rFonts w:ascii="Verdana" w:hAnsi="Verdana"/>
          <w:sz w:val="20"/>
          <w:szCs w:val="20"/>
          <w:lang w:val="es-CR"/>
        </w:rPr>
        <w:t>(</w:t>
      </w:r>
      <w:r w:rsidR="0089061A" w:rsidRPr="005706AF">
        <w:rPr>
          <w:rFonts w:ascii="Verdana" w:hAnsi="Verdana"/>
          <w:i/>
          <w:sz w:val="20"/>
          <w:szCs w:val="20"/>
          <w:lang w:val="es-CR"/>
        </w:rPr>
        <w:t>infra</w:t>
      </w:r>
      <w:r w:rsidR="0089061A" w:rsidRPr="005706AF">
        <w:rPr>
          <w:rFonts w:ascii="Verdana" w:hAnsi="Verdana"/>
          <w:sz w:val="20"/>
          <w:szCs w:val="20"/>
          <w:lang w:val="es-CR"/>
        </w:rPr>
        <w:t xml:space="preserve"> Considerando</w:t>
      </w:r>
      <w:r w:rsidR="0089061A">
        <w:rPr>
          <w:rFonts w:ascii="Verdana" w:hAnsi="Verdana"/>
          <w:sz w:val="20"/>
          <w:szCs w:val="20"/>
          <w:lang w:val="es-CR"/>
        </w:rPr>
        <w:t>s</w:t>
      </w:r>
      <w:r w:rsidR="0089061A" w:rsidRPr="005706AF">
        <w:rPr>
          <w:rFonts w:ascii="Verdana" w:hAnsi="Verdana"/>
          <w:sz w:val="20"/>
          <w:szCs w:val="20"/>
          <w:lang w:val="es-CR"/>
        </w:rPr>
        <w:t xml:space="preserve"> </w:t>
      </w:r>
      <w:r w:rsidR="0089061A">
        <w:rPr>
          <w:rFonts w:ascii="Verdana" w:hAnsi="Verdana"/>
          <w:sz w:val="20"/>
          <w:szCs w:val="20"/>
          <w:lang w:val="es-CR"/>
        </w:rPr>
        <w:t>6 a 11</w:t>
      </w:r>
      <w:r w:rsidR="0089061A" w:rsidRPr="005706AF">
        <w:rPr>
          <w:rFonts w:ascii="Verdana" w:hAnsi="Verdana"/>
          <w:sz w:val="20"/>
          <w:szCs w:val="20"/>
          <w:lang w:val="es-CR"/>
        </w:rPr>
        <w:t>)</w:t>
      </w:r>
      <w:r w:rsidR="00CA5F38" w:rsidRPr="005706AF">
        <w:rPr>
          <w:rFonts w:ascii="Verdana" w:hAnsi="Verdana"/>
          <w:sz w:val="20"/>
          <w:szCs w:val="20"/>
          <w:lang w:val="es-CR"/>
        </w:rPr>
        <w:t>.</w:t>
      </w:r>
    </w:p>
    <w:p w14:paraId="3DF6C3A3" w14:textId="77777777" w:rsidR="00FF1E3C" w:rsidRDefault="00CC3074" w:rsidP="00FF1E3C">
      <w:pPr>
        <w:pStyle w:val="Prrafodelista"/>
        <w:numPr>
          <w:ilvl w:val="0"/>
          <w:numId w:val="7"/>
        </w:numPr>
        <w:spacing w:before="120" w:after="120" w:line="240" w:lineRule="auto"/>
        <w:ind w:left="0" w:firstLine="0"/>
        <w:contextualSpacing w:val="0"/>
        <w:jc w:val="both"/>
        <w:rPr>
          <w:rFonts w:ascii="Verdana" w:hAnsi="Verdana"/>
          <w:sz w:val="20"/>
          <w:szCs w:val="20"/>
          <w:lang w:val="es-ES_tradnl"/>
        </w:rPr>
      </w:pPr>
      <w:r w:rsidRPr="005706AF">
        <w:rPr>
          <w:rFonts w:ascii="Verdana" w:hAnsi="Verdana"/>
          <w:sz w:val="20"/>
          <w:szCs w:val="20"/>
          <w:lang w:val="es-ES_tradnl"/>
        </w:rPr>
        <w:t xml:space="preserve">Los </w:t>
      </w:r>
      <w:r w:rsidR="005706AF">
        <w:rPr>
          <w:rFonts w:ascii="Verdana" w:hAnsi="Verdana"/>
          <w:sz w:val="20"/>
          <w:szCs w:val="20"/>
          <w:lang w:val="es-ES_tradnl"/>
        </w:rPr>
        <w:t>escritos</w:t>
      </w:r>
      <w:r w:rsidRPr="005706AF">
        <w:rPr>
          <w:rFonts w:ascii="Verdana" w:hAnsi="Verdana"/>
          <w:sz w:val="20"/>
          <w:szCs w:val="20"/>
          <w:lang w:val="es-ES_tradnl"/>
        </w:rPr>
        <w:t xml:space="preserve"> presentados por el Estado </w:t>
      </w:r>
      <w:r w:rsidR="005706AF">
        <w:rPr>
          <w:rFonts w:ascii="Verdana" w:hAnsi="Verdana"/>
          <w:sz w:val="20"/>
          <w:szCs w:val="20"/>
          <w:lang w:val="es-ES_tradnl"/>
        </w:rPr>
        <w:t xml:space="preserve">entre </w:t>
      </w:r>
      <w:r w:rsidR="00FF1E3C">
        <w:rPr>
          <w:rFonts w:ascii="Verdana" w:hAnsi="Verdana"/>
          <w:sz w:val="20"/>
          <w:szCs w:val="20"/>
          <w:lang w:val="es-ES_tradnl"/>
        </w:rPr>
        <w:t xml:space="preserve">agosto de 2017 y </w:t>
      </w:r>
      <w:r w:rsidR="0089061A">
        <w:rPr>
          <w:rFonts w:ascii="Verdana" w:hAnsi="Verdana"/>
          <w:sz w:val="20"/>
          <w:szCs w:val="20"/>
          <w:lang w:val="es-ES_tradnl"/>
        </w:rPr>
        <w:t xml:space="preserve">mayo </w:t>
      </w:r>
      <w:r w:rsidR="00FF1E3C">
        <w:rPr>
          <w:rFonts w:ascii="Verdana" w:hAnsi="Verdana"/>
          <w:sz w:val="20"/>
          <w:szCs w:val="20"/>
          <w:lang w:val="es-ES_tradnl"/>
        </w:rPr>
        <w:t xml:space="preserve">de </w:t>
      </w:r>
      <w:r w:rsidR="0089061A">
        <w:rPr>
          <w:rFonts w:ascii="Verdana" w:hAnsi="Verdana"/>
          <w:sz w:val="20"/>
          <w:szCs w:val="20"/>
          <w:lang w:val="es-ES_tradnl"/>
        </w:rPr>
        <w:t>2019</w:t>
      </w:r>
      <w:r w:rsidR="00FF1E3C">
        <w:rPr>
          <w:rFonts w:ascii="Verdana" w:hAnsi="Verdana"/>
          <w:sz w:val="20"/>
          <w:szCs w:val="20"/>
          <w:lang w:val="es-ES_tradnl"/>
        </w:rPr>
        <w:t xml:space="preserve">. </w:t>
      </w:r>
    </w:p>
    <w:p w14:paraId="3EBC2120" w14:textId="77777777" w:rsidR="00FF1E3C" w:rsidRDefault="00CC3074" w:rsidP="00FF1E3C">
      <w:pPr>
        <w:pStyle w:val="Prrafodelista"/>
        <w:numPr>
          <w:ilvl w:val="0"/>
          <w:numId w:val="7"/>
        </w:numPr>
        <w:spacing w:before="120" w:after="120" w:line="240" w:lineRule="auto"/>
        <w:ind w:left="0" w:firstLine="0"/>
        <w:contextualSpacing w:val="0"/>
        <w:jc w:val="both"/>
        <w:rPr>
          <w:rFonts w:ascii="Verdana" w:hAnsi="Verdana"/>
          <w:sz w:val="20"/>
          <w:szCs w:val="20"/>
          <w:lang w:val="es-ES_tradnl"/>
        </w:rPr>
      </w:pPr>
      <w:r w:rsidRPr="00FF1E3C">
        <w:rPr>
          <w:rFonts w:ascii="Verdana" w:hAnsi="Verdana"/>
          <w:sz w:val="20"/>
          <w:szCs w:val="20"/>
          <w:lang w:val="es-ES_tradnl"/>
        </w:rPr>
        <w:t xml:space="preserve">Los escritos presentados por los representantes entre mayo de 2017 y </w:t>
      </w:r>
      <w:r w:rsidR="0089061A">
        <w:rPr>
          <w:rFonts w:ascii="Verdana" w:hAnsi="Verdana"/>
          <w:sz w:val="20"/>
          <w:szCs w:val="20"/>
          <w:lang w:val="es-ES_tradnl"/>
        </w:rPr>
        <w:t>mayo</w:t>
      </w:r>
      <w:r w:rsidR="0089061A" w:rsidRPr="00FF1E3C">
        <w:rPr>
          <w:rFonts w:ascii="Verdana" w:hAnsi="Verdana"/>
          <w:sz w:val="20"/>
          <w:szCs w:val="20"/>
          <w:lang w:val="es-ES_tradnl"/>
        </w:rPr>
        <w:t xml:space="preserve"> </w:t>
      </w:r>
      <w:r w:rsidRPr="00FF1E3C">
        <w:rPr>
          <w:rFonts w:ascii="Verdana" w:hAnsi="Verdana"/>
          <w:sz w:val="20"/>
          <w:szCs w:val="20"/>
          <w:lang w:val="es-ES_tradnl"/>
        </w:rPr>
        <w:t>de 201</w:t>
      </w:r>
      <w:r w:rsidR="00937770">
        <w:rPr>
          <w:rFonts w:ascii="Verdana" w:hAnsi="Verdana"/>
          <w:sz w:val="20"/>
          <w:szCs w:val="20"/>
          <w:lang w:val="es-ES_tradnl"/>
        </w:rPr>
        <w:t>9</w:t>
      </w:r>
      <w:r w:rsidRPr="00FF1E3C">
        <w:rPr>
          <w:rFonts w:ascii="Verdana" w:hAnsi="Verdana"/>
          <w:sz w:val="20"/>
          <w:szCs w:val="20"/>
          <w:lang w:val="es-ES_tradnl"/>
        </w:rPr>
        <w:t xml:space="preserve">. </w:t>
      </w:r>
    </w:p>
    <w:p w14:paraId="524FAB74" w14:textId="77777777" w:rsidR="00CC3074" w:rsidRPr="00624CE3" w:rsidRDefault="00CC3074" w:rsidP="00CC3074">
      <w:pPr>
        <w:pStyle w:val="Prrafodelista"/>
        <w:numPr>
          <w:ilvl w:val="0"/>
          <w:numId w:val="7"/>
        </w:numPr>
        <w:spacing w:before="120" w:after="120" w:line="240" w:lineRule="auto"/>
        <w:ind w:left="0" w:firstLine="0"/>
        <w:contextualSpacing w:val="0"/>
        <w:jc w:val="both"/>
        <w:rPr>
          <w:rFonts w:ascii="Verdana" w:hAnsi="Verdana"/>
          <w:sz w:val="20"/>
          <w:szCs w:val="20"/>
          <w:lang w:val="es-ES_tradnl"/>
        </w:rPr>
      </w:pPr>
      <w:r w:rsidRPr="00FF1E3C">
        <w:rPr>
          <w:rFonts w:ascii="Verdana" w:hAnsi="Verdana"/>
          <w:sz w:val="20"/>
          <w:szCs w:val="20"/>
          <w:lang w:val="es-ES_tradnl"/>
        </w:rPr>
        <w:t xml:space="preserve">Los escritos de observaciones presentados por la Comisión </w:t>
      </w:r>
      <w:r w:rsidR="00FF1E3C">
        <w:rPr>
          <w:rFonts w:ascii="Verdana" w:hAnsi="Verdana"/>
          <w:sz w:val="20"/>
          <w:szCs w:val="20"/>
          <w:lang w:val="es-ES_tradnl"/>
        </w:rPr>
        <w:t>en</w:t>
      </w:r>
      <w:r w:rsidRPr="00FF1E3C">
        <w:rPr>
          <w:rFonts w:ascii="Verdana" w:hAnsi="Verdana"/>
          <w:sz w:val="20"/>
          <w:szCs w:val="20"/>
          <w:lang w:val="es-ES_tradnl"/>
        </w:rPr>
        <w:t xml:space="preserve"> agosto de 2017 y </w:t>
      </w:r>
      <w:r w:rsidR="00FF1E3C">
        <w:rPr>
          <w:rFonts w:ascii="Verdana" w:hAnsi="Verdana"/>
          <w:sz w:val="20"/>
          <w:szCs w:val="20"/>
          <w:lang w:val="es-ES_tradnl"/>
        </w:rPr>
        <w:t xml:space="preserve">agosto </w:t>
      </w:r>
      <w:r w:rsidRPr="00FF1E3C">
        <w:rPr>
          <w:rFonts w:ascii="Verdana" w:hAnsi="Verdana"/>
          <w:sz w:val="20"/>
          <w:szCs w:val="20"/>
          <w:lang w:val="es-ES_tradnl"/>
        </w:rPr>
        <w:t xml:space="preserve">de 2018. </w:t>
      </w:r>
    </w:p>
    <w:p w14:paraId="55717162" w14:textId="77777777" w:rsidR="00624CE3" w:rsidRPr="00624CE3" w:rsidRDefault="00624CE3" w:rsidP="009C3191">
      <w:pPr>
        <w:pStyle w:val="Prrafodelista"/>
        <w:spacing w:after="0" w:line="240" w:lineRule="auto"/>
        <w:ind w:left="0"/>
        <w:contextualSpacing w:val="0"/>
        <w:jc w:val="both"/>
        <w:rPr>
          <w:rFonts w:ascii="Verdana" w:hAnsi="Verdana"/>
          <w:sz w:val="20"/>
          <w:szCs w:val="20"/>
          <w:lang w:val="es-ES_tradnl"/>
        </w:rPr>
      </w:pPr>
    </w:p>
    <w:p w14:paraId="7C179A2F" w14:textId="77777777" w:rsidR="009C3191" w:rsidRDefault="00CC3074" w:rsidP="009C3191">
      <w:pPr>
        <w:tabs>
          <w:tab w:val="left" w:pos="2958"/>
        </w:tabs>
        <w:spacing w:after="0" w:line="240" w:lineRule="auto"/>
        <w:jc w:val="both"/>
        <w:rPr>
          <w:rFonts w:ascii="Verdana" w:hAnsi="Verdana"/>
          <w:b/>
          <w:sz w:val="20"/>
          <w:lang w:val="es-ES_tradnl"/>
        </w:rPr>
      </w:pPr>
      <w:r w:rsidRPr="008117C2">
        <w:rPr>
          <w:rFonts w:ascii="Verdana" w:hAnsi="Verdana"/>
          <w:b/>
          <w:sz w:val="20"/>
          <w:szCs w:val="20"/>
          <w:lang w:val="es-ES_tradnl"/>
        </w:rPr>
        <w:t>C</w:t>
      </w:r>
      <w:r w:rsidRPr="008117C2">
        <w:rPr>
          <w:rFonts w:ascii="Verdana" w:hAnsi="Verdana"/>
          <w:b/>
          <w:sz w:val="20"/>
          <w:lang w:val="es-ES_tradnl"/>
        </w:rPr>
        <w:t xml:space="preserve">ONSIDERANDO QUE: </w:t>
      </w:r>
      <w:r w:rsidRPr="008117C2">
        <w:rPr>
          <w:rFonts w:ascii="Verdana" w:hAnsi="Verdana"/>
          <w:b/>
          <w:sz w:val="20"/>
          <w:lang w:val="es-ES_tradnl"/>
        </w:rPr>
        <w:tab/>
      </w:r>
    </w:p>
    <w:p w14:paraId="3082F842" w14:textId="77777777" w:rsidR="00BE4404" w:rsidRDefault="00CC3074" w:rsidP="007132CA">
      <w:pPr>
        <w:pStyle w:val="Prrafodelista"/>
        <w:numPr>
          <w:ilvl w:val="0"/>
          <w:numId w:val="5"/>
        </w:numPr>
        <w:spacing w:before="120" w:after="120" w:line="240" w:lineRule="auto"/>
        <w:ind w:left="0" w:firstLine="0"/>
        <w:contextualSpacing w:val="0"/>
        <w:jc w:val="both"/>
        <w:rPr>
          <w:rFonts w:ascii="Verdana" w:hAnsi="Verdana"/>
          <w:sz w:val="20"/>
          <w:szCs w:val="20"/>
          <w:lang w:val="es-ES_tradnl"/>
        </w:rPr>
      </w:pPr>
      <w:r w:rsidRPr="00A751E9">
        <w:rPr>
          <w:rFonts w:ascii="Verdana" w:hAnsi="Verdana"/>
          <w:sz w:val="20"/>
          <w:szCs w:val="20"/>
          <w:lang w:val="es-ES_tradnl"/>
        </w:rPr>
        <w:t>En el ejercicio de su función jurisdiccional de supervisar el cumplimiento de sus decisiones</w:t>
      </w:r>
      <w:r w:rsidRPr="00A751E9">
        <w:rPr>
          <w:rStyle w:val="Refdenotaalpie"/>
          <w:rFonts w:ascii="Verdana" w:hAnsi="Verdana"/>
          <w:sz w:val="20"/>
          <w:szCs w:val="20"/>
          <w:lang w:val="es-ES_tradnl"/>
        </w:rPr>
        <w:footnoteReference w:id="7"/>
      </w:r>
      <w:r w:rsidRPr="00A751E9">
        <w:rPr>
          <w:rFonts w:ascii="Verdana" w:hAnsi="Verdana"/>
          <w:sz w:val="20"/>
          <w:szCs w:val="20"/>
          <w:lang w:val="es-ES_tradnl"/>
        </w:rPr>
        <w:t>, la Corte ha venido supervisando la ejecución de la</w:t>
      </w:r>
      <w:r w:rsidR="00491AD5" w:rsidRPr="00A751E9">
        <w:rPr>
          <w:rFonts w:ascii="Verdana" w:hAnsi="Verdana"/>
          <w:sz w:val="20"/>
          <w:szCs w:val="20"/>
          <w:lang w:val="es-ES_tradnl"/>
        </w:rPr>
        <w:t xml:space="preserve"> Sentencia emitida en el presente caso hace </w:t>
      </w:r>
      <w:r w:rsidR="0089061A">
        <w:rPr>
          <w:rFonts w:ascii="Verdana" w:hAnsi="Verdana"/>
          <w:sz w:val="20"/>
          <w:szCs w:val="20"/>
          <w:lang w:val="es-ES_tradnl"/>
        </w:rPr>
        <w:t>más de ocho años</w:t>
      </w:r>
      <w:r w:rsidR="00491AD5" w:rsidRPr="00A751E9">
        <w:rPr>
          <w:rFonts w:ascii="Verdana" w:hAnsi="Verdana"/>
          <w:sz w:val="20"/>
          <w:szCs w:val="20"/>
          <w:lang w:val="es-ES_tradnl"/>
        </w:rPr>
        <w:t xml:space="preserve"> (</w:t>
      </w:r>
      <w:r w:rsidR="00491AD5" w:rsidRPr="00A751E9">
        <w:rPr>
          <w:rFonts w:ascii="Verdana" w:hAnsi="Verdana"/>
          <w:i/>
          <w:sz w:val="20"/>
          <w:szCs w:val="20"/>
          <w:lang w:val="es-ES_tradnl"/>
        </w:rPr>
        <w:t>supra</w:t>
      </w:r>
      <w:r w:rsidR="00491AD5" w:rsidRPr="00A751E9">
        <w:rPr>
          <w:rFonts w:ascii="Verdana" w:hAnsi="Verdana"/>
          <w:sz w:val="20"/>
          <w:szCs w:val="20"/>
          <w:lang w:val="es-ES_tradnl"/>
        </w:rPr>
        <w:t xml:space="preserve"> Visto </w:t>
      </w:r>
      <w:r w:rsidR="003714C0">
        <w:rPr>
          <w:rFonts w:ascii="Verdana" w:hAnsi="Verdana"/>
          <w:sz w:val="20"/>
          <w:szCs w:val="20"/>
          <w:lang w:val="es-ES_tradnl"/>
        </w:rPr>
        <w:fldChar w:fldCharType="begin"/>
      </w:r>
      <w:r w:rsidR="003714C0">
        <w:rPr>
          <w:rFonts w:ascii="Verdana" w:hAnsi="Verdana"/>
          <w:sz w:val="20"/>
          <w:szCs w:val="20"/>
          <w:lang w:val="es-ES_tradnl"/>
        </w:rPr>
        <w:instrText xml:space="preserve"> REF _Ref7164884 \r \h </w:instrText>
      </w:r>
      <w:r w:rsidR="003714C0">
        <w:rPr>
          <w:rFonts w:ascii="Verdana" w:hAnsi="Verdana"/>
          <w:sz w:val="20"/>
          <w:szCs w:val="20"/>
          <w:lang w:val="es-ES_tradnl"/>
        </w:rPr>
      </w:r>
      <w:r w:rsidR="003714C0">
        <w:rPr>
          <w:rFonts w:ascii="Verdana" w:hAnsi="Verdana"/>
          <w:sz w:val="20"/>
          <w:szCs w:val="20"/>
          <w:lang w:val="es-ES_tradnl"/>
        </w:rPr>
        <w:fldChar w:fldCharType="separate"/>
      </w:r>
      <w:r w:rsidR="00396148">
        <w:rPr>
          <w:rFonts w:ascii="Verdana" w:hAnsi="Verdana"/>
          <w:sz w:val="20"/>
          <w:szCs w:val="20"/>
          <w:lang w:val="es-ES_tradnl"/>
        </w:rPr>
        <w:t>1</w:t>
      </w:r>
      <w:r w:rsidR="003714C0">
        <w:rPr>
          <w:rFonts w:ascii="Verdana" w:hAnsi="Verdana"/>
          <w:sz w:val="20"/>
          <w:szCs w:val="20"/>
          <w:lang w:val="es-ES_tradnl"/>
        </w:rPr>
        <w:fldChar w:fldCharType="end"/>
      </w:r>
      <w:r w:rsidR="00491AD5" w:rsidRPr="00A751E9">
        <w:rPr>
          <w:rFonts w:ascii="Verdana" w:hAnsi="Verdana"/>
          <w:sz w:val="20"/>
          <w:szCs w:val="20"/>
          <w:lang w:val="es-ES_tradnl"/>
        </w:rPr>
        <w:t>). El Tribunal ha emitido resoluciones de supervisión de cumplimiento en 2015 y 2017, en las cuales declaró que</w:t>
      </w:r>
      <w:r w:rsidR="0089061A">
        <w:rPr>
          <w:rFonts w:ascii="Verdana" w:hAnsi="Verdana"/>
          <w:sz w:val="20"/>
          <w:szCs w:val="20"/>
          <w:lang w:val="es-ES_tradnl"/>
        </w:rPr>
        <w:t xml:space="preserve"> en el presente caso</w:t>
      </w:r>
      <w:r w:rsidR="00491AD5" w:rsidRPr="00A751E9">
        <w:rPr>
          <w:rFonts w:ascii="Verdana" w:hAnsi="Verdana"/>
          <w:sz w:val="20"/>
          <w:szCs w:val="20"/>
          <w:lang w:val="es-ES_tradnl"/>
        </w:rPr>
        <w:t xml:space="preserve"> el Estado dio cumplimiento total </w:t>
      </w:r>
      <w:r w:rsidRPr="00A751E9">
        <w:rPr>
          <w:rFonts w:ascii="Verdana" w:hAnsi="Verdana"/>
          <w:sz w:val="20"/>
          <w:szCs w:val="20"/>
          <w:lang w:val="es-ES_tradnl"/>
        </w:rPr>
        <w:t>a dos medidas de reparación</w:t>
      </w:r>
      <w:r w:rsidR="00624CE3">
        <w:rPr>
          <w:rStyle w:val="Refdenotaalpie"/>
          <w:rFonts w:ascii="Verdana" w:hAnsi="Verdana"/>
          <w:sz w:val="20"/>
          <w:szCs w:val="20"/>
          <w:lang w:val="es-ES_tradnl"/>
        </w:rPr>
        <w:footnoteReference w:id="8"/>
      </w:r>
      <w:r w:rsidRPr="00A751E9">
        <w:rPr>
          <w:rFonts w:ascii="Verdana" w:hAnsi="Verdana"/>
          <w:sz w:val="20"/>
          <w:szCs w:val="20"/>
          <w:lang w:val="es-ES_tradnl"/>
        </w:rPr>
        <w:t xml:space="preserve"> y cumplimiento parcial a una reparación</w:t>
      </w:r>
      <w:r w:rsidRPr="00A751E9">
        <w:rPr>
          <w:rStyle w:val="Refdenotaalpie"/>
          <w:rFonts w:ascii="Verdana" w:hAnsi="Verdana"/>
          <w:i/>
          <w:sz w:val="20"/>
          <w:szCs w:val="20"/>
          <w:lang w:val="es-ES_tradnl"/>
        </w:rPr>
        <w:footnoteReference w:id="9"/>
      </w:r>
      <w:r w:rsidRPr="00A751E9">
        <w:rPr>
          <w:rFonts w:ascii="Verdana" w:hAnsi="Verdana"/>
          <w:sz w:val="20"/>
          <w:szCs w:val="20"/>
          <w:lang w:val="es-ES_tradnl"/>
        </w:rPr>
        <w:t xml:space="preserve">, </w:t>
      </w:r>
      <w:r w:rsidR="00BE4404" w:rsidRPr="00A751E9">
        <w:rPr>
          <w:rFonts w:ascii="Verdana" w:hAnsi="Verdana"/>
          <w:sz w:val="20"/>
          <w:szCs w:val="20"/>
          <w:lang w:val="es-ES_tradnl"/>
        </w:rPr>
        <w:t xml:space="preserve">y que </w:t>
      </w:r>
      <w:r w:rsidRPr="00A751E9">
        <w:rPr>
          <w:rFonts w:ascii="Verdana" w:hAnsi="Verdana"/>
          <w:sz w:val="20"/>
          <w:szCs w:val="20"/>
          <w:lang w:val="es-ES_tradnl"/>
        </w:rPr>
        <w:t xml:space="preserve">se encuentran pendientes de cumplimiento </w:t>
      </w:r>
      <w:r w:rsidR="00DD49E0">
        <w:rPr>
          <w:rFonts w:ascii="Verdana" w:hAnsi="Verdana"/>
          <w:sz w:val="20"/>
          <w:szCs w:val="20"/>
          <w:lang w:val="es-ES_tradnl"/>
        </w:rPr>
        <w:t>quince</w:t>
      </w:r>
      <w:r w:rsidR="00BE4404" w:rsidRPr="00A751E9">
        <w:rPr>
          <w:rFonts w:ascii="Verdana" w:hAnsi="Verdana"/>
          <w:sz w:val="20"/>
          <w:szCs w:val="20"/>
          <w:lang w:val="es-ES_tradnl"/>
        </w:rPr>
        <w:t xml:space="preserve"> medidas de </w:t>
      </w:r>
      <w:r w:rsidR="00B148D4" w:rsidRPr="00A751E9">
        <w:rPr>
          <w:rFonts w:ascii="Verdana" w:hAnsi="Verdana"/>
          <w:sz w:val="20"/>
          <w:szCs w:val="20"/>
          <w:lang w:val="es-ES_tradnl"/>
        </w:rPr>
        <w:t>reparación</w:t>
      </w:r>
      <w:r w:rsidR="008C0EC0">
        <w:rPr>
          <w:rFonts w:ascii="Verdana" w:hAnsi="Verdana"/>
          <w:sz w:val="20"/>
          <w:szCs w:val="20"/>
          <w:lang w:val="es-ES_tradnl"/>
        </w:rPr>
        <w:t xml:space="preserve"> (</w:t>
      </w:r>
      <w:r w:rsidR="008C0EC0" w:rsidRPr="003A1AC8">
        <w:rPr>
          <w:rFonts w:ascii="Verdana" w:hAnsi="Verdana"/>
          <w:i/>
          <w:sz w:val="20"/>
          <w:szCs w:val="20"/>
          <w:lang w:val="es-ES_tradnl"/>
        </w:rPr>
        <w:t>infra</w:t>
      </w:r>
      <w:r w:rsidR="008C0EC0">
        <w:rPr>
          <w:rFonts w:ascii="Verdana" w:hAnsi="Verdana"/>
          <w:sz w:val="20"/>
          <w:szCs w:val="20"/>
          <w:lang w:val="es-ES_tradnl"/>
        </w:rPr>
        <w:t xml:space="preserve"> Considerandos </w:t>
      </w:r>
      <w:r w:rsidR="00F0696D">
        <w:rPr>
          <w:rFonts w:ascii="Verdana" w:hAnsi="Verdana"/>
          <w:sz w:val="20"/>
          <w:szCs w:val="20"/>
          <w:lang w:val="es-ES_tradnl"/>
        </w:rPr>
        <w:t xml:space="preserve">12, 29, 33, 38 y 47 </w:t>
      </w:r>
      <w:r w:rsidR="007602B4">
        <w:rPr>
          <w:rFonts w:ascii="Verdana" w:hAnsi="Verdana"/>
          <w:sz w:val="20"/>
          <w:szCs w:val="20"/>
          <w:lang w:val="es-ES_tradnl"/>
        </w:rPr>
        <w:t xml:space="preserve">y punto resolutivo </w:t>
      </w:r>
      <w:r w:rsidR="00F0696D">
        <w:rPr>
          <w:rFonts w:ascii="Verdana" w:hAnsi="Verdana"/>
          <w:sz w:val="20"/>
          <w:szCs w:val="20"/>
          <w:lang w:val="es-ES_tradnl"/>
        </w:rPr>
        <w:t>5</w:t>
      </w:r>
      <w:r w:rsidR="008C0EC0">
        <w:rPr>
          <w:rFonts w:ascii="Verdana" w:hAnsi="Verdana"/>
          <w:sz w:val="20"/>
          <w:szCs w:val="20"/>
          <w:lang w:val="es-ES_tradnl"/>
        </w:rPr>
        <w:t>).</w:t>
      </w:r>
    </w:p>
    <w:p w14:paraId="2B7AC722" w14:textId="77777777" w:rsidR="00D2534F" w:rsidRPr="009C3191" w:rsidRDefault="00CC3074" w:rsidP="007132CA">
      <w:pPr>
        <w:pStyle w:val="Prrafodelista"/>
        <w:numPr>
          <w:ilvl w:val="0"/>
          <w:numId w:val="5"/>
        </w:numPr>
        <w:spacing w:before="120" w:after="120" w:line="240" w:lineRule="auto"/>
        <w:ind w:left="0" w:firstLine="0"/>
        <w:contextualSpacing w:val="0"/>
        <w:jc w:val="both"/>
        <w:rPr>
          <w:rFonts w:ascii="Verdana" w:hAnsi="Verdana"/>
          <w:sz w:val="20"/>
          <w:lang w:val="es-ES_tradnl"/>
        </w:rPr>
      </w:pPr>
      <w:r w:rsidRPr="00A751E9">
        <w:rPr>
          <w:rFonts w:ascii="Verdana" w:hAnsi="Verdana"/>
          <w:sz w:val="20"/>
          <w:szCs w:val="20"/>
          <w:lang w:val="es-ES_tradnl"/>
        </w:rPr>
        <w:t>De conformidad con lo establecido en el artículo 68.1 de la Convención Americana, “[l]os Estados Partes en la Convención se comprometen a cumplir la decisión de la Corte en todo caso en que sean partes”. Esta obligación</w:t>
      </w:r>
      <w:r w:rsidRPr="00BE4404">
        <w:rPr>
          <w:rFonts w:ascii="Verdana" w:hAnsi="Verdana"/>
          <w:sz w:val="20"/>
          <w:szCs w:val="20"/>
          <w:lang w:val="es-ES_tradnl"/>
        </w:rPr>
        <w:t xml:space="preserve"> incluye el deber del Estado de informar a la Corte sobre las medidas adoptadas para cumplir cada uno de los puntos ordenados, lo cual </w:t>
      </w:r>
      <w:r w:rsidRPr="00BE4404">
        <w:rPr>
          <w:rFonts w:ascii="Verdana" w:hAnsi="Verdana"/>
          <w:sz w:val="20"/>
          <w:szCs w:val="20"/>
          <w:lang w:val="es-ES_tradnl"/>
        </w:rPr>
        <w:lastRenderedPageBreak/>
        <w:t>es fundamental para evaluar el estado de cumplimiento de la Sentencia en su conjunto</w:t>
      </w:r>
      <w:r w:rsidRPr="008117C2">
        <w:rPr>
          <w:rStyle w:val="Refdenotaalpie"/>
          <w:rFonts w:ascii="Verdana" w:hAnsi="Verdana"/>
          <w:sz w:val="20"/>
          <w:szCs w:val="20"/>
          <w:lang w:val="es-ES_tradnl"/>
        </w:rPr>
        <w:footnoteReference w:id="10"/>
      </w:r>
      <w:r w:rsidRPr="00BE4404">
        <w:rPr>
          <w:rFonts w:ascii="Verdana" w:hAnsi="Verdana"/>
          <w:sz w:val="20"/>
          <w:szCs w:val="20"/>
          <w:lang w:val="es-ES_tradnl"/>
        </w:rPr>
        <w:t>.</w:t>
      </w:r>
      <w:r w:rsidRPr="00BE4404">
        <w:rPr>
          <w:rFonts w:ascii="Times New Roman" w:hAnsi="Times New Roman"/>
          <w:sz w:val="24"/>
          <w:szCs w:val="24"/>
          <w:lang w:val="es-ES_tradnl"/>
        </w:rPr>
        <w:t xml:space="preserve"> </w:t>
      </w:r>
      <w:r w:rsidRPr="00BE4404">
        <w:rPr>
          <w:rFonts w:ascii="Verdana" w:hAnsi="Verdana"/>
          <w:sz w:val="20"/>
          <w:szCs w:val="20"/>
          <w:lang w:val="es-ES_tradnl"/>
        </w:rPr>
        <w:t>Los Estados Parte en la Convención deben garantizar el cumplimiento de las disposiciones convencionales y sus efectos propios (</w:t>
      </w:r>
      <w:r w:rsidRPr="00BE4404">
        <w:rPr>
          <w:rFonts w:ascii="Verdana" w:hAnsi="Verdana"/>
          <w:i/>
          <w:sz w:val="20"/>
          <w:szCs w:val="20"/>
          <w:lang w:val="es-ES_tradnl"/>
        </w:rPr>
        <w:t>effet utile</w:t>
      </w:r>
      <w:r w:rsidRPr="00BE4404">
        <w:rPr>
          <w:rFonts w:ascii="Verdana" w:hAnsi="Verdana"/>
          <w:sz w:val="20"/>
          <w:szCs w:val="20"/>
          <w:lang w:val="es-ES_tradnl"/>
        </w:rPr>
        <w:t>) en el plano de sus respectivos derechos internos. Estas obligaciones deben ser interpretadas y aplicadas de manera que la garantía protegida sea verdaderamente práctica y eficaz, teniendo presente la naturaleza especial de los tratados de derechos humanos</w:t>
      </w:r>
      <w:r w:rsidRPr="008117C2">
        <w:rPr>
          <w:rStyle w:val="Refdenotaalpie"/>
          <w:rFonts w:ascii="Verdana" w:hAnsi="Verdana"/>
          <w:sz w:val="20"/>
          <w:szCs w:val="20"/>
          <w:lang w:val="es-ES_tradnl"/>
        </w:rPr>
        <w:footnoteReference w:id="11"/>
      </w:r>
      <w:r w:rsidRPr="00BE4404">
        <w:rPr>
          <w:rFonts w:ascii="Verdana" w:hAnsi="Verdana"/>
          <w:sz w:val="20"/>
          <w:szCs w:val="20"/>
          <w:lang w:val="es-ES_tradnl"/>
        </w:rPr>
        <w:t>.</w:t>
      </w:r>
    </w:p>
    <w:p w14:paraId="20361DF3" w14:textId="77777777" w:rsidR="009C3191" w:rsidRDefault="00F0696D" w:rsidP="007132CA">
      <w:pPr>
        <w:pStyle w:val="Prrafodelista"/>
        <w:numPr>
          <w:ilvl w:val="0"/>
          <w:numId w:val="5"/>
        </w:numPr>
        <w:spacing w:before="120" w:after="120" w:line="240" w:lineRule="auto"/>
        <w:ind w:left="0" w:firstLine="0"/>
        <w:contextualSpacing w:val="0"/>
        <w:jc w:val="both"/>
        <w:rPr>
          <w:rFonts w:ascii="Verdana" w:hAnsi="Verdana"/>
          <w:sz w:val="20"/>
          <w:lang w:val="es-ES_tradnl"/>
        </w:rPr>
      </w:pPr>
      <w:r w:rsidRPr="001447B4">
        <w:rPr>
          <w:rFonts w:ascii="Verdana" w:hAnsi="Verdana"/>
          <w:sz w:val="20"/>
          <w:lang w:val="es-ES_tradnl"/>
        </w:rPr>
        <w:t xml:space="preserve">En esta Resolución el Tribunal se pronunciará sobre cinco medidas de reparación relativas a la restitución de las tierras tradicionales a los miembros de la Comunidad </w:t>
      </w:r>
      <w:r>
        <w:rPr>
          <w:rFonts w:ascii="Verdana" w:hAnsi="Verdana"/>
          <w:sz w:val="20"/>
          <w:lang w:val="es-ES_tradnl"/>
        </w:rPr>
        <w:t>i</w:t>
      </w:r>
      <w:r w:rsidRPr="001447B4">
        <w:rPr>
          <w:rFonts w:ascii="Verdana" w:hAnsi="Verdana"/>
          <w:sz w:val="20"/>
          <w:lang w:val="es-ES_tradnl"/>
        </w:rPr>
        <w:t xml:space="preserve">ndígena Xákmok Kásek, la </w:t>
      </w:r>
      <w:r w:rsidR="00E67551">
        <w:rPr>
          <w:rFonts w:ascii="Verdana" w:hAnsi="Verdana"/>
          <w:sz w:val="20"/>
          <w:lang w:val="es-ES_tradnl"/>
        </w:rPr>
        <w:t>creación</w:t>
      </w:r>
      <w:r w:rsidRPr="001447B4">
        <w:rPr>
          <w:rFonts w:ascii="Verdana" w:hAnsi="Verdana"/>
          <w:sz w:val="20"/>
          <w:lang w:val="es-ES_tradnl"/>
        </w:rPr>
        <w:t xml:space="preserve"> de un fondo de desarrollo comunitario y la realización de un programa de registro y documentación para que los miembros de la comunidad puedan tener documentos de identidad.</w:t>
      </w:r>
      <w:r>
        <w:rPr>
          <w:rFonts w:ascii="Verdana" w:hAnsi="Verdana"/>
          <w:sz w:val="20"/>
          <w:lang w:val="es-ES_tradnl"/>
        </w:rPr>
        <w:t xml:space="preserve"> </w:t>
      </w:r>
      <w:r w:rsidR="00E67551">
        <w:rPr>
          <w:rFonts w:ascii="Verdana" w:hAnsi="Verdana"/>
          <w:sz w:val="20"/>
          <w:lang w:val="es-ES_tradnl"/>
        </w:rPr>
        <w:t>Para ello, l</w:t>
      </w:r>
      <w:r w:rsidR="00CC3074" w:rsidRPr="001447B4">
        <w:rPr>
          <w:rFonts w:ascii="Verdana" w:hAnsi="Verdana"/>
          <w:sz w:val="20"/>
          <w:lang w:val="es-ES_tradnl"/>
        </w:rPr>
        <w:t xml:space="preserve">a Corte valorará la información presentada por las partes </w:t>
      </w:r>
      <w:r w:rsidR="00D92A91" w:rsidRPr="001447B4">
        <w:rPr>
          <w:rFonts w:ascii="Verdana" w:hAnsi="Verdana"/>
          <w:sz w:val="20"/>
          <w:lang w:val="es-ES_tradnl"/>
        </w:rPr>
        <w:t>y la Comisión</w:t>
      </w:r>
      <w:r w:rsidR="00E67551">
        <w:rPr>
          <w:rFonts w:ascii="Verdana" w:hAnsi="Verdana"/>
          <w:sz w:val="20"/>
          <w:lang w:val="es-ES_tradnl"/>
        </w:rPr>
        <w:t xml:space="preserve"> Interamericana</w:t>
      </w:r>
      <w:r w:rsidR="00D92A91" w:rsidRPr="001447B4">
        <w:rPr>
          <w:rFonts w:ascii="Verdana" w:hAnsi="Verdana"/>
          <w:sz w:val="20"/>
          <w:lang w:val="es-ES_tradnl"/>
        </w:rPr>
        <w:t xml:space="preserve">, al igual que la recabada de forma directa a través de la visita que se realizó a la </w:t>
      </w:r>
      <w:r w:rsidR="00E67551">
        <w:rPr>
          <w:rFonts w:ascii="Verdana" w:hAnsi="Verdana"/>
          <w:sz w:val="20"/>
          <w:lang w:val="es-ES_tradnl"/>
        </w:rPr>
        <w:t>C</w:t>
      </w:r>
      <w:r w:rsidR="00E67551" w:rsidRPr="001447B4">
        <w:rPr>
          <w:rFonts w:ascii="Verdana" w:hAnsi="Verdana"/>
          <w:sz w:val="20"/>
          <w:lang w:val="es-ES_tradnl"/>
        </w:rPr>
        <w:t xml:space="preserve">omunidad </w:t>
      </w:r>
      <w:r w:rsidR="00D92A91" w:rsidRPr="001447B4">
        <w:rPr>
          <w:rFonts w:ascii="Verdana" w:hAnsi="Verdana"/>
          <w:sz w:val="20"/>
          <w:lang w:val="es-ES_tradnl"/>
        </w:rPr>
        <w:t>indígena</w:t>
      </w:r>
      <w:r w:rsidR="00E67551">
        <w:rPr>
          <w:rFonts w:ascii="Verdana" w:hAnsi="Verdana"/>
          <w:sz w:val="20"/>
          <w:lang w:val="es-ES_tradnl"/>
        </w:rPr>
        <w:t xml:space="preserve"> Xákmok Kásek</w:t>
      </w:r>
      <w:r w:rsidR="00D92A91" w:rsidRPr="001447B4">
        <w:rPr>
          <w:rFonts w:ascii="Verdana" w:hAnsi="Verdana"/>
          <w:sz w:val="20"/>
          <w:lang w:val="es-ES_tradnl"/>
        </w:rPr>
        <w:t xml:space="preserve"> y </w:t>
      </w:r>
      <w:r w:rsidR="008306C9" w:rsidRPr="001447B4">
        <w:rPr>
          <w:rFonts w:ascii="Verdana" w:hAnsi="Verdana"/>
          <w:sz w:val="20"/>
          <w:lang w:val="es-ES_tradnl"/>
        </w:rPr>
        <w:t>en</w:t>
      </w:r>
      <w:r w:rsidR="00D92A91" w:rsidRPr="001447B4">
        <w:rPr>
          <w:rFonts w:ascii="Verdana" w:hAnsi="Verdana"/>
          <w:sz w:val="20"/>
          <w:lang w:val="es-ES_tradnl"/>
        </w:rPr>
        <w:t xml:space="preserve"> la audiencia privada de supervisión. </w:t>
      </w:r>
      <w:r w:rsidR="003A225E" w:rsidRPr="001447B4">
        <w:rPr>
          <w:rFonts w:ascii="Verdana" w:hAnsi="Verdana"/>
          <w:sz w:val="20"/>
          <w:lang w:val="es-ES_tradnl"/>
        </w:rPr>
        <w:t>La información recibida durante la visita sobre</w:t>
      </w:r>
      <w:r w:rsidR="00E67551">
        <w:rPr>
          <w:rFonts w:ascii="Verdana" w:hAnsi="Verdana"/>
          <w:sz w:val="20"/>
          <w:lang w:val="es-ES_tradnl"/>
        </w:rPr>
        <w:t xml:space="preserve"> la implementación de la reparación relativa al suministro de bienes y servicios básicos a la Comunidad Xákmok Kásek, </w:t>
      </w:r>
      <w:r w:rsidR="003A225E" w:rsidRPr="001447B4">
        <w:rPr>
          <w:rFonts w:ascii="Verdana" w:hAnsi="Verdana"/>
          <w:sz w:val="20"/>
          <w:lang w:val="es-ES_tradnl"/>
        </w:rPr>
        <w:t>la que ha sido presentada al respecto con posterioridad a la misma</w:t>
      </w:r>
      <w:r w:rsidR="00D2534F" w:rsidRPr="001447B4">
        <w:rPr>
          <w:rFonts w:ascii="Verdana" w:hAnsi="Verdana"/>
          <w:sz w:val="20"/>
          <w:lang w:val="es-ES_tradnl"/>
        </w:rPr>
        <w:t>,</w:t>
      </w:r>
      <w:r w:rsidR="003A225E" w:rsidRPr="001447B4">
        <w:rPr>
          <w:rFonts w:ascii="Verdana" w:hAnsi="Verdana"/>
          <w:sz w:val="20"/>
          <w:lang w:val="es-ES_tradnl"/>
        </w:rPr>
        <w:t xml:space="preserve"> </w:t>
      </w:r>
      <w:r w:rsidR="00E67551" w:rsidRPr="007208C8">
        <w:rPr>
          <w:rFonts w:ascii="Verdana" w:hAnsi="Verdana"/>
          <w:sz w:val="20"/>
          <w:lang w:val="es-ES_tradnl"/>
        </w:rPr>
        <w:t>y la información sobre las restantes medidas de reparación</w:t>
      </w:r>
      <w:r w:rsidR="00E67551">
        <w:rPr>
          <w:rFonts w:ascii="Verdana" w:hAnsi="Verdana"/>
          <w:sz w:val="20"/>
          <w:lang w:val="es-ES_tradnl"/>
        </w:rPr>
        <w:t>,</w:t>
      </w:r>
      <w:r w:rsidR="00E67551" w:rsidRPr="001447B4">
        <w:rPr>
          <w:rFonts w:ascii="Verdana" w:hAnsi="Verdana"/>
          <w:sz w:val="20"/>
          <w:lang w:val="es-ES_tradnl"/>
        </w:rPr>
        <w:t xml:space="preserve"> </w:t>
      </w:r>
      <w:r w:rsidR="003A225E" w:rsidRPr="001447B4">
        <w:rPr>
          <w:rFonts w:ascii="Verdana" w:hAnsi="Verdana"/>
          <w:sz w:val="20"/>
          <w:lang w:val="es-ES_tradnl"/>
        </w:rPr>
        <w:t xml:space="preserve">será valorada </w:t>
      </w:r>
      <w:r w:rsidR="00D2534F" w:rsidRPr="001447B4">
        <w:rPr>
          <w:rFonts w:ascii="Verdana" w:hAnsi="Verdana"/>
          <w:sz w:val="20"/>
          <w:lang w:val="es-ES_tradnl"/>
        </w:rPr>
        <w:t xml:space="preserve">por el Tribunal </w:t>
      </w:r>
      <w:r w:rsidR="003A225E" w:rsidRPr="001447B4">
        <w:rPr>
          <w:rFonts w:ascii="Verdana" w:hAnsi="Verdana"/>
          <w:sz w:val="20"/>
          <w:lang w:val="es-ES_tradnl"/>
        </w:rPr>
        <w:t xml:space="preserve">en una </w:t>
      </w:r>
      <w:r w:rsidR="0075267A" w:rsidRPr="001447B4">
        <w:rPr>
          <w:rFonts w:ascii="Verdana" w:hAnsi="Verdana"/>
          <w:sz w:val="20"/>
          <w:lang w:val="es-ES_tradnl"/>
        </w:rPr>
        <w:t xml:space="preserve">posterior </w:t>
      </w:r>
      <w:r w:rsidR="003A225E" w:rsidRPr="001447B4">
        <w:rPr>
          <w:rFonts w:ascii="Verdana" w:hAnsi="Verdana"/>
          <w:sz w:val="20"/>
          <w:lang w:val="es-ES_tradnl"/>
        </w:rPr>
        <w:t>resolución de supervisión de cumplimiento</w:t>
      </w:r>
      <w:r w:rsidR="00651503">
        <w:rPr>
          <w:rStyle w:val="Refdenotaalpie"/>
          <w:rFonts w:ascii="Verdana" w:hAnsi="Verdana"/>
          <w:sz w:val="20"/>
          <w:lang w:val="es-ES_tradnl"/>
        </w:rPr>
        <w:footnoteReference w:id="12"/>
      </w:r>
      <w:r w:rsidR="003A225E" w:rsidRPr="001447B4">
        <w:rPr>
          <w:rFonts w:ascii="Verdana" w:hAnsi="Verdana"/>
          <w:sz w:val="20"/>
          <w:lang w:val="es-ES_tradnl"/>
        </w:rPr>
        <w:t xml:space="preserve">, por lo cual </w:t>
      </w:r>
      <w:r w:rsidR="00D2534F" w:rsidRPr="001447B4">
        <w:rPr>
          <w:rFonts w:ascii="Verdana" w:hAnsi="Verdana"/>
          <w:sz w:val="20"/>
          <w:lang w:val="es-ES_tradnl"/>
        </w:rPr>
        <w:t>en esta oportunidad se</w:t>
      </w:r>
      <w:r w:rsidR="003A225E" w:rsidRPr="001447B4">
        <w:rPr>
          <w:rFonts w:ascii="Verdana" w:hAnsi="Verdana"/>
          <w:sz w:val="20"/>
          <w:lang w:val="es-ES_tradnl"/>
        </w:rPr>
        <w:t xml:space="preserve"> realizará al Estado una solicitud de información actualizada</w:t>
      </w:r>
      <w:r w:rsidR="00E67551">
        <w:rPr>
          <w:rFonts w:ascii="Verdana" w:hAnsi="Verdana"/>
          <w:sz w:val="20"/>
          <w:lang w:val="es-ES_tradnl"/>
        </w:rPr>
        <w:t xml:space="preserve"> (</w:t>
      </w:r>
      <w:r w:rsidR="00E67551" w:rsidRPr="001B2C9A">
        <w:rPr>
          <w:rFonts w:ascii="Verdana" w:hAnsi="Verdana"/>
          <w:i/>
          <w:sz w:val="20"/>
          <w:lang w:val="es-ES_tradnl"/>
        </w:rPr>
        <w:t>infra</w:t>
      </w:r>
      <w:r w:rsidR="00E67551">
        <w:rPr>
          <w:rFonts w:ascii="Verdana" w:hAnsi="Verdana"/>
          <w:sz w:val="20"/>
          <w:lang w:val="es-ES_tradnl"/>
        </w:rPr>
        <w:t xml:space="preserve"> Considerandos 47 y 48 y punto</w:t>
      </w:r>
      <w:r w:rsidR="004B3DA3">
        <w:rPr>
          <w:rFonts w:ascii="Verdana" w:hAnsi="Verdana"/>
          <w:sz w:val="20"/>
          <w:lang w:val="es-ES_tradnl"/>
        </w:rPr>
        <w:t>s</w:t>
      </w:r>
      <w:r w:rsidR="00E67551">
        <w:rPr>
          <w:rFonts w:ascii="Verdana" w:hAnsi="Verdana"/>
          <w:sz w:val="20"/>
          <w:lang w:val="es-ES_tradnl"/>
        </w:rPr>
        <w:t xml:space="preserve"> resolutivo</w:t>
      </w:r>
      <w:r w:rsidR="004B3DA3">
        <w:rPr>
          <w:rFonts w:ascii="Verdana" w:hAnsi="Verdana"/>
          <w:sz w:val="20"/>
          <w:lang w:val="es-ES_tradnl"/>
        </w:rPr>
        <w:t>s 2, 3 y 5</w:t>
      </w:r>
      <w:r w:rsidR="00E67551">
        <w:rPr>
          <w:rFonts w:ascii="Verdana" w:hAnsi="Verdana"/>
          <w:sz w:val="20"/>
          <w:lang w:val="es-ES_tradnl"/>
        </w:rPr>
        <w:t>)</w:t>
      </w:r>
      <w:r w:rsidR="003A225E" w:rsidRPr="001447B4">
        <w:rPr>
          <w:rFonts w:ascii="Verdana" w:hAnsi="Verdana"/>
          <w:sz w:val="20"/>
          <w:lang w:val="es-ES_tradnl"/>
        </w:rPr>
        <w:t xml:space="preserve">. </w:t>
      </w:r>
    </w:p>
    <w:p w14:paraId="5727A867" w14:textId="77777777" w:rsidR="00F90A65" w:rsidRPr="001B2C9A" w:rsidRDefault="00D92A91" w:rsidP="007132CA">
      <w:pPr>
        <w:pStyle w:val="Prrafodelista"/>
        <w:numPr>
          <w:ilvl w:val="0"/>
          <w:numId w:val="5"/>
        </w:numPr>
        <w:spacing w:before="120" w:after="120" w:line="240" w:lineRule="auto"/>
        <w:ind w:left="0" w:firstLine="0"/>
        <w:contextualSpacing w:val="0"/>
        <w:jc w:val="both"/>
        <w:rPr>
          <w:rFonts w:ascii="Verdana" w:hAnsi="Verdana"/>
          <w:sz w:val="20"/>
          <w:lang w:val="es-ES_tradnl"/>
        </w:rPr>
      </w:pPr>
      <w:r w:rsidRPr="001B2C9A">
        <w:rPr>
          <w:rFonts w:ascii="Verdana" w:hAnsi="Verdana"/>
          <w:sz w:val="20"/>
          <w:lang w:val="es-ES_tradnl"/>
        </w:rPr>
        <w:t>La presente resolución se estructura en el siguiente orden:</w:t>
      </w:r>
    </w:p>
    <w:p w14:paraId="277448F1" w14:textId="77777777" w:rsidR="00E45BE7" w:rsidRPr="00E45BE7" w:rsidRDefault="003A225E" w:rsidP="007132CA">
      <w:pPr>
        <w:pStyle w:val="TDC1"/>
        <w:spacing w:before="60" w:after="60" w:line="240" w:lineRule="auto"/>
        <w:ind w:right="573"/>
        <w:rPr>
          <w:rFonts w:asciiTheme="minorHAnsi" w:eastAsiaTheme="minorEastAsia" w:hAnsiTheme="minorHAnsi" w:cstheme="minorBidi"/>
          <w:sz w:val="18"/>
          <w:szCs w:val="18"/>
          <w:lang w:val="es-CR" w:eastAsia="es-CR"/>
        </w:rPr>
      </w:pPr>
      <w:r w:rsidRPr="001B2C9A">
        <w:rPr>
          <w:sz w:val="18"/>
          <w:szCs w:val="18"/>
        </w:rPr>
        <w:fldChar w:fldCharType="begin"/>
      </w:r>
      <w:r w:rsidRPr="001B2C9A">
        <w:rPr>
          <w:sz w:val="18"/>
          <w:szCs w:val="18"/>
        </w:rPr>
        <w:instrText xml:space="preserve"> TOC \o "1-3" \h \z \u </w:instrText>
      </w:r>
      <w:r w:rsidRPr="001B2C9A">
        <w:rPr>
          <w:sz w:val="18"/>
          <w:szCs w:val="18"/>
        </w:rPr>
        <w:fldChar w:fldCharType="separate"/>
      </w:r>
      <w:hyperlink w:anchor="_Toc12032439" w:history="1">
        <w:r w:rsidR="00E45BE7" w:rsidRPr="00E45BE7">
          <w:rPr>
            <w:rStyle w:val="Hipervnculo"/>
            <w:sz w:val="18"/>
            <w:szCs w:val="18"/>
          </w:rPr>
          <w:t>A.</w:t>
        </w:r>
        <w:r w:rsidR="00E45BE7" w:rsidRPr="00E45BE7">
          <w:rPr>
            <w:rFonts w:asciiTheme="minorHAnsi" w:eastAsiaTheme="minorEastAsia" w:hAnsiTheme="minorHAnsi" w:cstheme="minorBidi"/>
            <w:sz w:val="18"/>
            <w:szCs w:val="18"/>
            <w:lang w:val="es-CR" w:eastAsia="es-CR"/>
          </w:rPr>
          <w:tab/>
        </w:r>
        <w:r w:rsidR="00E45BE7" w:rsidRPr="00E45BE7">
          <w:rPr>
            <w:rStyle w:val="Hipervnculo"/>
            <w:sz w:val="18"/>
            <w:szCs w:val="18"/>
          </w:rPr>
          <w:t>Visita a tres comunidades indígenas en el Chaco paraguayo y audiencia conjunta para los casos de las tres comunidades indígenas</w:t>
        </w:r>
        <w:r w:rsidR="00E45BE7" w:rsidRPr="00E45BE7">
          <w:rPr>
            <w:webHidden/>
            <w:sz w:val="18"/>
            <w:szCs w:val="18"/>
          </w:rPr>
          <w:tab/>
        </w:r>
        <w:r w:rsidR="00E45BE7" w:rsidRPr="00E45BE7">
          <w:rPr>
            <w:webHidden/>
            <w:sz w:val="18"/>
            <w:szCs w:val="18"/>
          </w:rPr>
          <w:fldChar w:fldCharType="begin"/>
        </w:r>
        <w:r w:rsidR="00E45BE7" w:rsidRPr="00E45BE7">
          <w:rPr>
            <w:webHidden/>
            <w:sz w:val="18"/>
            <w:szCs w:val="18"/>
          </w:rPr>
          <w:instrText xml:space="preserve"> PAGEREF _Toc12032439 \h </w:instrText>
        </w:r>
        <w:r w:rsidR="00E45BE7" w:rsidRPr="00E45BE7">
          <w:rPr>
            <w:webHidden/>
            <w:sz w:val="18"/>
            <w:szCs w:val="18"/>
          </w:rPr>
        </w:r>
        <w:r w:rsidR="00E45BE7" w:rsidRPr="00E45BE7">
          <w:rPr>
            <w:webHidden/>
            <w:sz w:val="18"/>
            <w:szCs w:val="18"/>
          </w:rPr>
          <w:fldChar w:fldCharType="separate"/>
        </w:r>
        <w:r w:rsidR="00B96F19">
          <w:rPr>
            <w:webHidden/>
            <w:sz w:val="18"/>
            <w:szCs w:val="18"/>
          </w:rPr>
          <w:t>3</w:t>
        </w:r>
        <w:r w:rsidR="00E45BE7" w:rsidRPr="00E45BE7">
          <w:rPr>
            <w:webHidden/>
            <w:sz w:val="18"/>
            <w:szCs w:val="18"/>
          </w:rPr>
          <w:fldChar w:fldCharType="end"/>
        </w:r>
      </w:hyperlink>
    </w:p>
    <w:p w14:paraId="331F1101" w14:textId="77777777" w:rsidR="00E45BE7" w:rsidRPr="00E45BE7" w:rsidRDefault="00251E29" w:rsidP="007132CA">
      <w:pPr>
        <w:pStyle w:val="TDC1"/>
        <w:spacing w:before="60" w:after="60" w:line="240" w:lineRule="auto"/>
        <w:ind w:right="573"/>
        <w:rPr>
          <w:rFonts w:asciiTheme="minorHAnsi" w:eastAsiaTheme="minorEastAsia" w:hAnsiTheme="minorHAnsi" w:cstheme="minorBidi"/>
          <w:sz w:val="18"/>
          <w:szCs w:val="18"/>
          <w:lang w:val="es-CR" w:eastAsia="es-CR"/>
        </w:rPr>
      </w:pPr>
      <w:hyperlink w:anchor="_Toc12032440" w:history="1">
        <w:r w:rsidR="00E45BE7" w:rsidRPr="00E45BE7">
          <w:rPr>
            <w:rStyle w:val="Hipervnculo"/>
            <w:sz w:val="18"/>
            <w:szCs w:val="18"/>
            <w:lang w:val="es-CR"/>
          </w:rPr>
          <w:t>B.</w:t>
        </w:r>
        <w:r w:rsidR="00E45BE7" w:rsidRPr="00E45BE7">
          <w:rPr>
            <w:rFonts w:asciiTheme="minorHAnsi" w:eastAsiaTheme="minorEastAsia" w:hAnsiTheme="minorHAnsi" w:cstheme="minorBidi"/>
            <w:sz w:val="18"/>
            <w:szCs w:val="18"/>
            <w:lang w:val="es-CR" w:eastAsia="es-CR"/>
          </w:rPr>
          <w:tab/>
        </w:r>
        <w:r w:rsidR="00E45BE7" w:rsidRPr="00E45BE7">
          <w:rPr>
            <w:rStyle w:val="Hipervnculo"/>
            <w:sz w:val="18"/>
            <w:szCs w:val="18"/>
            <w:lang w:val="es-CR"/>
          </w:rPr>
          <w:t>Devolver el territorio tradicional de la Comunidad Xákmok Kásek y velar que éste no se vea menoscabado</w:t>
        </w:r>
        <w:r w:rsidR="00E45BE7" w:rsidRPr="00E45BE7">
          <w:rPr>
            <w:webHidden/>
            <w:sz w:val="18"/>
            <w:szCs w:val="18"/>
          </w:rPr>
          <w:tab/>
        </w:r>
        <w:r w:rsidR="00E45BE7" w:rsidRPr="00E45BE7">
          <w:rPr>
            <w:webHidden/>
            <w:sz w:val="18"/>
            <w:szCs w:val="18"/>
          </w:rPr>
          <w:fldChar w:fldCharType="begin"/>
        </w:r>
        <w:r w:rsidR="00E45BE7" w:rsidRPr="00E45BE7">
          <w:rPr>
            <w:webHidden/>
            <w:sz w:val="18"/>
            <w:szCs w:val="18"/>
          </w:rPr>
          <w:instrText xml:space="preserve"> PAGEREF _Toc12032440 \h </w:instrText>
        </w:r>
        <w:r w:rsidR="00E45BE7" w:rsidRPr="00E45BE7">
          <w:rPr>
            <w:webHidden/>
            <w:sz w:val="18"/>
            <w:szCs w:val="18"/>
          </w:rPr>
        </w:r>
        <w:r w:rsidR="00E45BE7" w:rsidRPr="00E45BE7">
          <w:rPr>
            <w:webHidden/>
            <w:sz w:val="18"/>
            <w:szCs w:val="18"/>
          </w:rPr>
          <w:fldChar w:fldCharType="separate"/>
        </w:r>
        <w:r w:rsidR="00B96F19">
          <w:rPr>
            <w:webHidden/>
            <w:sz w:val="18"/>
            <w:szCs w:val="18"/>
          </w:rPr>
          <w:t>6</w:t>
        </w:r>
        <w:r w:rsidR="00E45BE7" w:rsidRPr="00E45BE7">
          <w:rPr>
            <w:webHidden/>
            <w:sz w:val="18"/>
            <w:szCs w:val="18"/>
          </w:rPr>
          <w:fldChar w:fldCharType="end"/>
        </w:r>
      </w:hyperlink>
    </w:p>
    <w:p w14:paraId="49DC29D5" w14:textId="77777777" w:rsidR="00E45BE7" w:rsidRPr="00E45BE7" w:rsidRDefault="00251E29" w:rsidP="007132CA">
      <w:pPr>
        <w:pStyle w:val="TDC1"/>
        <w:spacing w:before="60" w:after="60" w:line="240" w:lineRule="auto"/>
        <w:ind w:right="573"/>
        <w:rPr>
          <w:rFonts w:asciiTheme="minorHAnsi" w:eastAsiaTheme="minorEastAsia" w:hAnsiTheme="minorHAnsi" w:cstheme="minorBidi"/>
          <w:sz w:val="18"/>
          <w:szCs w:val="18"/>
          <w:lang w:val="es-CR" w:eastAsia="es-CR"/>
        </w:rPr>
      </w:pPr>
      <w:hyperlink w:anchor="_Toc12032442" w:history="1">
        <w:r w:rsidR="00E45BE7" w:rsidRPr="00E45BE7">
          <w:rPr>
            <w:rStyle w:val="Hipervnculo"/>
            <w:sz w:val="18"/>
            <w:szCs w:val="18"/>
          </w:rPr>
          <w:t>C.</w:t>
        </w:r>
        <w:r w:rsidR="00E45BE7" w:rsidRPr="00E45BE7">
          <w:rPr>
            <w:rFonts w:asciiTheme="minorHAnsi" w:eastAsiaTheme="minorEastAsia" w:hAnsiTheme="minorHAnsi" w:cstheme="minorBidi"/>
            <w:sz w:val="18"/>
            <w:szCs w:val="18"/>
            <w:lang w:val="es-CR" w:eastAsia="es-CR"/>
          </w:rPr>
          <w:tab/>
        </w:r>
        <w:r w:rsidR="00E45BE7" w:rsidRPr="00E45BE7">
          <w:rPr>
            <w:rStyle w:val="Hipervnculo"/>
            <w:sz w:val="18"/>
            <w:szCs w:val="18"/>
          </w:rPr>
          <w:t>Adoptar medidas para que el Decreto No. 11.804 no sea un obstáculo para la devolución de las tierras tradicionales</w:t>
        </w:r>
        <w:r w:rsidR="00E45BE7" w:rsidRPr="00E45BE7">
          <w:rPr>
            <w:webHidden/>
            <w:sz w:val="18"/>
            <w:szCs w:val="18"/>
          </w:rPr>
          <w:tab/>
        </w:r>
        <w:r w:rsidR="00E45BE7" w:rsidRPr="00E45BE7">
          <w:rPr>
            <w:webHidden/>
            <w:sz w:val="18"/>
            <w:szCs w:val="18"/>
          </w:rPr>
          <w:fldChar w:fldCharType="begin"/>
        </w:r>
        <w:r w:rsidR="00E45BE7" w:rsidRPr="00E45BE7">
          <w:rPr>
            <w:webHidden/>
            <w:sz w:val="18"/>
            <w:szCs w:val="18"/>
          </w:rPr>
          <w:instrText xml:space="preserve"> PAGEREF _Toc12032442 \h </w:instrText>
        </w:r>
        <w:r w:rsidR="00E45BE7" w:rsidRPr="00E45BE7">
          <w:rPr>
            <w:webHidden/>
            <w:sz w:val="18"/>
            <w:szCs w:val="18"/>
          </w:rPr>
        </w:r>
        <w:r w:rsidR="00E45BE7" w:rsidRPr="00E45BE7">
          <w:rPr>
            <w:webHidden/>
            <w:sz w:val="18"/>
            <w:szCs w:val="18"/>
          </w:rPr>
          <w:fldChar w:fldCharType="separate"/>
        </w:r>
        <w:r w:rsidR="00B96F19">
          <w:rPr>
            <w:webHidden/>
            <w:sz w:val="18"/>
            <w:szCs w:val="18"/>
          </w:rPr>
          <w:t>10</w:t>
        </w:r>
        <w:r w:rsidR="00E45BE7" w:rsidRPr="00E45BE7">
          <w:rPr>
            <w:webHidden/>
            <w:sz w:val="18"/>
            <w:szCs w:val="18"/>
          </w:rPr>
          <w:fldChar w:fldCharType="end"/>
        </w:r>
      </w:hyperlink>
    </w:p>
    <w:p w14:paraId="1E3D9B62" w14:textId="77777777" w:rsidR="00E45BE7" w:rsidRPr="00E45BE7" w:rsidRDefault="00251E29" w:rsidP="007132CA">
      <w:pPr>
        <w:pStyle w:val="TDC1"/>
        <w:spacing w:before="60" w:after="60" w:line="240" w:lineRule="auto"/>
        <w:ind w:right="573"/>
        <w:rPr>
          <w:rFonts w:asciiTheme="minorHAnsi" w:eastAsiaTheme="minorEastAsia" w:hAnsiTheme="minorHAnsi" w:cstheme="minorBidi"/>
          <w:sz w:val="18"/>
          <w:szCs w:val="18"/>
          <w:lang w:val="es-CR" w:eastAsia="es-CR"/>
        </w:rPr>
      </w:pPr>
      <w:hyperlink w:anchor="_Toc12032445" w:history="1">
        <w:r w:rsidR="00E45BE7" w:rsidRPr="00E45BE7">
          <w:rPr>
            <w:rStyle w:val="Hipervnculo"/>
            <w:sz w:val="18"/>
            <w:szCs w:val="18"/>
          </w:rPr>
          <w:t>D.</w:t>
        </w:r>
        <w:r w:rsidR="00E45BE7" w:rsidRPr="00E45BE7">
          <w:rPr>
            <w:rFonts w:asciiTheme="minorHAnsi" w:eastAsiaTheme="minorEastAsia" w:hAnsiTheme="minorHAnsi" w:cstheme="minorBidi"/>
            <w:sz w:val="18"/>
            <w:szCs w:val="18"/>
            <w:lang w:val="es-CR" w:eastAsia="es-CR"/>
          </w:rPr>
          <w:tab/>
        </w:r>
        <w:r w:rsidR="00E45BE7" w:rsidRPr="00E45BE7">
          <w:rPr>
            <w:rStyle w:val="Hipervnculo"/>
            <w:sz w:val="18"/>
            <w:szCs w:val="18"/>
            <w:lang w:val="es-CR"/>
          </w:rPr>
          <w:t>Realizar un programa de registro y documentación de identidad</w:t>
        </w:r>
        <w:r w:rsidR="00E45BE7" w:rsidRPr="00E45BE7">
          <w:rPr>
            <w:webHidden/>
            <w:sz w:val="18"/>
            <w:szCs w:val="18"/>
          </w:rPr>
          <w:tab/>
        </w:r>
        <w:r w:rsidR="00E45BE7" w:rsidRPr="00E45BE7">
          <w:rPr>
            <w:webHidden/>
            <w:sz w:val="18"/>
            <w:szCs w:val="18"/>
          </w:rPr>
          <w:fldChar w:fldCharType="begin"/>
        </w:r>
        <w:r w:rsidR="00E45BE7" w:rsidRPr="00E45BE7">
          <w:rPr>
            <w:webHidden/>
            <w:sz w:val="18"/>
            <w:szCs w:val="18"/>
          </w:rPr>
          <w:instrText xml:space="preserve"> PAGEREF _Toc12032445 \h </w:instrText>
        </w:r>
        <w:r w:rsidR="00E45BE7" w:rsidRPr="00E45BE7">
          <w:rPr>
            <w:webHidden/>
            <w:sz w:val="18"/>
            <w:szCs w:val="18"/>
          </w:rPr>
        </w:r>
        <w:r w:rsidR="00E45BE7" w:rsidRPr="00E45BE7">
          <w:rPr>
            <w:webHidden/>
            <w:sz w:val="18"/>
            <w:szCs w:val="18"/>
          </w:rPr>
          <w:fldChar w:fldCharType="separate"/>
        </w:r>
        <w:r w:rsidR="00B96F19">
          <w:rPr>
            <w:webHidden/>
            <w:sz w:val="18"/>
            <w:szCs w:val="18"/>
          </w:rPr>
          <w:t>11</w:t>
        </w:r>
        <w:r w:rsidR="00E45BE7" w:rsidRPr="00E45BE7">
          <w:rPr>
            <w:webHidden/>
            <w:sz w:val="18"/>
            <w:szCs w:val="18"/>
          </w:rPr>
          <w:fldChar w:fldCharType="end"/>
        </w:r>
      </w:hyperlink>
    </w:p>
    <w:p w14:paraId="3C7ED19F" w14:textId="77777777" w:rsidR="00E45BE7" w:rsidRPr="00E45BE7" w:rsidRDefault="00251E29" w:rsidP="007132CA">
      <w:pPr>
        <w:pStyle w:val="TDC1"/>
        <w:spacing w:before="60" w:after="60" w:line="240" w:lineRule="auto"/>
        <w:ind w:right="573"/>
        <w:rPr>
          <w:rFonts w:asciiTheme="minorHAnsi" w:eastAsiaTheme="minorEastAsia" w:hAnsiTheme="minorHAnsi" w:cstheme="minorBidi"/>
          <w:sz w:val="18"/>
          <w:szCs w:val="18"/>
          <w:lang w:val="es-CR" w:eastAsia="es-CR"/>
        </w:rPr>
      </w:pPr>
      <w:hyperlink w:anchor="_Toc12032451" w:history="1">
        <w:r w:rsidR="00E45BE7" w:rsidRPr="00E45BE7">
          <w:rPr>
            <w:rStyle w:val="Hipervnculo"/>
            <w:sz w:val="18"/>
            <w:szCs w:val="18"/>
          </w:rPr>
          <w:t>E.</w:t>
        </w:r>
        <w:r w:rsidR="00E45BE7" w:rsidRPr="00E45BE7">
          <w:rPr>
            <w:rFonts w:asciiTheme="minorHAnsi" w:eastAsiaTheme="minorEastAsia" w:hAnsiTheme="minorHAnsi" w:cstheme="minorBidi"/>
            <w:sz w:val="18"/>
            <w:szCs w:val="18"/>
            <w:lang w:val="es-CR" w:eastAsia="es-CR"/>
          </w:rPr>
          <w:tab/>
        </w:r>
        <w:r w:rsidR="00E45BE7" w:rsidRPr="00E45BE7">
          <w:rPr>
            <w:rStyle w:val="Hipervnculo"/>
            <w:sz w:val="18"/>
            <w:szCs w:val="18"/>
          </w:rPr>
          <w:t>Crear un fondo de desarrollo comunitario</w:t>
        </w:r>
        <w:r w:rsidR="00E45BE7" w:rsidRPr="00E45BE7">
          <w:rPr>
            <w:webHidden/>
            <w:sz w:val="18"/>
            <w:szCs w:val="18"/>
          </w:rPr>
          <w:tab/>
        </w:r>
        <w:r w:rsidR="00E45BE7" w:rsidRPr="00E45BE7">
          <w:rPr>
            <w:webHidden/>
            <w:sz w:val="18"/>
            <w:szCs w:val="18"/>
          </w:rPr>
          <w:fldChar w:fldCharType="begin"/>
        </w:r>
        <w:r w:rsidR="00E45BE7" w:rsidRPr="00E45BE7">
          <w:rPr>
            <w:webHidden/>
            <w:sz w:val="18"/>
            <w:szCs w:val="18"/>
          </w:rPr>
          <w:instrText xml:space="preserve"> PAGEREF _Toc12032451 \h </w:instrText>
        </w:r>
        <w:r w:rsidR="00E45BE7" w:rsidRPr="00E45BE7">
          <w:rPr>
            <w:webHidden/>
            <w:sz w:val="18"/>
            <w:szCs w:val="18"/>
          </w:rPr>
        </w:r>
        <w:r w:rsidR="00E45BE7" w:rsidRPr="00E45BE7">
          <w:rPr>
            <w:webHidden/>
            <w:sz w:val="18"/>
            <w:szCs w:val="18"/>
          </w:rPr>
          <w:fldChar w:fldCharType="separate"/>
        </w:r>
        <w:r w:rsidR="00B96F19">
          <w:rPr>
            <w:webHidden/>
            <w:sz w:val="18"/>
            <w:szCs w:val="18"/>
          </w:rPr>
          <w:t>12</w:t>
        </w:r>
        <w:r w:rsidR="00E45BE7" w:rsidRPr="00E45BE7">
          <w:rPr>
            <w:webHidden/>
            <w:sz w:val="18"/>
            <w:szCs w:val="18"/>
          </w:rPr>
          <w:fldChar w:fldCharType="end"/>
        </w:r>
      </w:hyperlink>
    </w:p>
    <w:p w14:paraId="683CA47D" w14:textId="77777777" w:rsidR="00E45BE7" w:rsidRPr="00E45BE7" w:rsidRDefault="00251E29" w:rsidP="007132CA">
      <w:pPr>
        <w:pStyle w:val="TDC1"/>
        <w:spacing w:before="60" w:after="60" w:line="240" w:lineRule="auto"/>
        <w:ind w:right="573"/>
        <w:rPr>
          <w:rFonts w:asciiTheme="minorHAnsi" w:eastAsiaTheme="minorEastAsia" w:hAnsiTheme="minorHAnsi" w:cstheme="minorBidi"/>
          <w:sz w:val="18"/>
          <w:szCs w:val="18"/>
          <w:lang w:val="es-CR" w:eastAsia="es-CR"/>
        </w:rPr>
      </w:pPr>
      <w:hyperlink w:anchor="_Toc12032454" w:history="1">
        <w:r w:rsidR="00E45BE7" w:rsidRPr="00E45BE7">
          <w:rPr>
            <w:rStyle w:val="Hipervnculo"/>
            <w:sz w:val="18"/>
            <w:szCs w:val="18"/>
          </w:rPr>
          <w:t>F.</w:t>
        </w:r>
        <w:r w:rsidR="00E45BE7" w:rsidRPr="00E45BE7">
          <w:rPr>
            <w:rFonts w:asciiTheme="minorHAnsi" w:eastAsiaTheme="minorEastAsia" w:hAnsiTheme="minorHAnsi" w:cstheme="minorBidi"/>
            <w:sz w:val="18"/>
            <w:szCs w:val="18"/>
            <w:lang w:val="es-CR" w:eastAsia="es-CR"/>
          </w:rPr>
          <w:tab/>
        </w:r>
        <w:r w:rsidR="00E45BE7" w:rsidRPr="00E45BE7">
          <w:rPr>
            <w:rStyle w:val="Hipervnculo"/>
            <w:sz w:val="18"/>
            <w:szCs w:val="18"/>
            <w:lang w:val="es-CR"/>
          </w:rPr>
          <w:t>Solicitud de información sobre la reparación relativa al suministro de bienes y servicios básicos a los miembros de la Comunidad de Xákmok Kásek</w:t>
        </w:r>
        <w:r w:rsidR="00E45BE7" w:rsidRPr="00E45BE7">
          <w:rPr>
            <w:webHidden/>
            <w:sz w:val="18"/>
            <w:szCs w:val="18"/>
          </w:rPr>
          <w:tab/>
        </w:r>
        <w:r w:rsidR="00E45BE7" w:rsidRPr="00E45BE7">
          <w:rPr>
            <w:webHidden/>
            <w:sz w:val="18"/>
            <w:szCs w:val="18"/>
          </w:rPr>
          <w:fldChar w:fldCharType="begin"/>
        </w:r>
        <w:r w:rsidR="00E45BE7" w:rsidRPr="00E45BE7">
          <w:rPr>
            <w:webHidden/>
            <w:sz w:val="18"/>
            <w:szCs w:val="18"/>
          </w:rPr>
          <w:instrText xml:space="preserve"> PAGEREF _Toc12032454 \h </w:instrText>
        </w:r>
        <w:r w:rsidR="00E45BE7" w:rsidRPr="00E45BE7">
          <w:rPr>
            <w:webHidden/>
            <w:sz w:val="18"/>
            <w:szCs w:val="18"/>
          </w:rPr>
        </w:r>
        <w:r w:rsidR="00E45BE7" w:rsidRPr="00E45BE7">
          <w:rPr>
            <w:webHidden/>
            <w:sz w:val="18"/>
            <w:szCs w:val="18"/>
          </w:rPr>
          <w:fldChar w:fldCharType="separate"/>
        </w:r>
        <w:r w:rsidR="00B96F19">
          <w:rPr>
            <w:webHidden/>
            <w:sz w:val="18"/>
            <w:szCs w:val="18"/>
          </w:rPr>
          <w:t>15</w:t>
        </w:r>
        <w:r w:rsidR="00E45BE7" w:rsidRPr="00E45BE7">
          <w:rPr>
            <w:webHidden/>
            <w:sz w:val="18"/>
            <w:szCs w:val="18"/>
          </w:rPr>
          <w:fldChar w:fldCharType="end"/>
        </w:r>
      </w:hyperlink>
    </w:p>
    <w:p w14:paraId="797F468B" w14:textId="77777777" w:rsidR="003A225E" w:rsidRDefault="003A225E" w:rsidP="001B2C9A">
      <w:pPr>
        <w:pStyle w:val="Prrafodelista"/>
        <w:tabs>
          <w:tab w:val="left" w:pos="426"/>
        </w:tabs>
        <w:spacing w:before="60" w:after="60" w:line="240" w:lineRule="auto"/>
        <w:ind w:left="0"/>
        <w:contextualSpacing w:val="0"/>
        <w:jc w:val="center"/>
        <w:rPr>
          <w:rFonts w:ascii="Verdana" w:hAnsi="Verdana"/>
          <w:sz w:val="20"/>
          <w:szCs w:val="20"/>
          <w:lang w:val="es-ES_tradnl"/>
        </w:rPr>
      </w:pPr>
      <w:r w:rsidRPr="001B2C9A">
        <w:rPr>
          <w:rFonts w:ascii="Verdana" w:hAnsi="Verdana"/>
          <w:sz w:val="18"/>
          <w:szCs w:val="18"/>
          <w:lang w:val="es-ES_tradnl"/>
        </w:rPr>
        <w:fldChar w:fldCharType="end"/>
      </w:r>
    </w:p>
    <w:p w14:paraId="22C23B5C" w14:textId="77777777" w:rsidR="00CC3074" w:rsidRPr="000A3EE5" w:rsidRDefault="00CC3074" w:rsidP="000A3EE5">
      <w:pPr>
        <w:pStyle w:val="Ttulo1"/>
        <w:numPr>
          <w:ilvl w:val="0"/>
          <w:numId w:val="24"/>
        </w:numPr>
        <w:spacing w:before="0" w:line="240" w:lineRule="auto"/>
        <w:jc w:val="both"/>
        <w:rPr>
          <w:rFonts w:ascii="Verdana" w:hAnsi="Verdana"/>
          <w:i/>
          <w:color w:val="auto"/>
          <w:sz w:val="20"/>
          <w:szCs w:val="20"/>
          <w:lang w:val="es-ES_tradnl"/>
        </w:rPr>
      </w:pPr>
      <w:bookmarkStart w:id="2" w:name="_Toc12032439"/>
      <w:r w:rsidRPr="000A3EE5">
        <w:rPr>
          <w:rFonts w:ascii="Verdana" w:hAnsi="Verdana"/>
          <w:i/>
          <w:color w:val="auto"/>
          <w:sz w:val="20"/>
          <w:szCs w:val="20"/>
          <w:lang w:val="es-ES_tradnl"/>
        </w:rPr>
        <w:t xml:space="preserve">Visita </w:t>
      </w:r>
      <w:r w:rsidR="003751B0" w:rsidRPr="000A3EE5">
        <w:rPr>
          <w:rFonts w:ascii="Verdana" w:hAnsi="Verdana"/>
          <w:i/>
          <w:color w:val="auto"/>
          <w:sz w:val="20"/>
          <w:szCs w:val="20"/>
          <w:lang w:val="es-ES_tradnl"/>
        </w:rPr>
        <w:t>a tres comunidades indígenas en el Chaco paraguayo y audiencia conjunta para los casos de las tres comunidades indígenas</w:t>
      </w:r>
      <w:bookmarkEnd w:id="2"/>
      <w:r w:rsidR="003751B0" w:rsidRPr="000A3EE5">
        <w:rPr>
          <w:rFonts w:ascii="Verdana" w:hAnsi="Verdana"/>
          <w:i/>
          <w:color w:val="auto"/>
          <w:sz w:val="20"/>
          <w:szCs w:val="20"/>
          <w:lang w:val="es-ES_tradnl"/>
        </w:rPr>
        <w:t xml:space="preserve"> </w:t>
      </w:r>
    </w:p>
    <w:p w14:paraId="106BEB74" w14:textId="77777777" w:rsidR="00C3794E" w:rsidRPr="00601908" w:rsidRDefault="003751B0" w:rsidP="00C3794E">
      <w:pPr>
        <w:pStyle w:val="Prrafodelista"/>
        <w:numPr>
          <w:ilvl w:val="0"/>
          <w:numId w:val="5"/>
        </w:numPr>
        <w:spacing w:before="120" w:after="120" w:line="240" w:lineRule="auto"/>
        <w:ind w:left="0" w:hanging="11"/>
        <w:contextualSpacing w:val="0"/>
        <w:jc w:val="both"/>
        <w:rPr>
          <w:rFonts w:ascii="Verdana" w:hAnsi="Verdana"/>
          <w:sz w:val="20"/>
          <w:szCs w:val="20"/>
          <w:lang w:val="es-ES_tradnl"/>
        </w:rPr>
      </w:pPr>
      <w:bookmarkStart w:id="3" w:name="_Ref532391683"/>
      <w:r w:rsidRPr="00601908">
        <w:rPr>
          <w:rFonts w:ascii="Verdana" w:eastAsia="Verdana" w:hAnsi="Verdana" w:cs="Verdana"/>
          <w:sz w:val="20"/>
          <w:szCs w:val="20"/>
          <w:lang w:val="es-ES_tradnl"/>
        </w:rPr>
        <w:t>En la</w:t>
      </w:r>
      <w:r w:rsidR="00CC3074" w:rsidRPr="00601908">
        <w:rPr>
          <w:rFonts w:ascii="Verdana" w:eastAsia="Verdana" w:hAnsi="Verdana" w:cs="Verdana"/>
          <w:sz w:val="20"/>
          <w:szCs w:val="20"/>
          <w:lang w:val="es-ES_tradnl"/>
        </w:rPr>
        <w:t xml:space="preserve"> </w:t>
      </w:r>
      <w:r w:rsidR="00CC3074" w:rsidRPr="00601908">
        <w:rPr>
          <w:rFonts w:ascii="Verdana" w:hAnsi="Verdana"/>
          <w:sz w:val="20"/>
          <w:szCs w:val="20"/>
          <w:lang w:val="es-ES_tradnl" w:eastAsia="es-CR"/>
        </w:rPr>
        <w:t>Resolución de junio de 2015</w:t>
      </w:r>
      <w:r w:rsidRPr="00601908">
        <w:rPr>
          <w:rFonts w:ascii="Verdana" w:hAnsi="Verdana"/>
          <w:sz w:val="20"/>
          <w:szCs w:val="20"/>
          <w:lang w:val="es-ES_tradnl" w:eastAsia="es-CR"/>
        </w:rPr>
        <w:t xml:space="preserve"> (</w:t>
      </w:r>
      <w:r w:rsidRPr="00601908">
        <w:rPr>
          <w:rFonts w:ascii="Verdana" w:hAnsi="Verdana"/>
          <w:i/>
          <w:sz w:val="20"/>
          <w:szCs w:val="20"/>
          <w:lang w:val="es-ES_tradnl" w:eastAsia="es-CR"/>
        </w:rPr>
        <w:t>supra</w:t>
      </w:r>
      <w:r w:rsidRPr="00601908">
        <w:rPr>
          <w:rFonts w:ascii="Verdana" w:hAnsi="Verdana"/>
          <w:sz w:val="20"/>
          <w:szCs w:val="20"/>
          <w:lang w:val="es-ES_tradnl" w:eastAsia="es-CR"/>
        </w:rPr>
        <w:t xml:space="preserve"> Visto </w:t>
      </w:r>
      <w:r w:rsidR="00E67551">
        <w:rPr>
          <w:rFonts w:ascii="Verdana" w:hAnsi="Verdana"/>
          <w:sz w:val="20"/>
          <w:szCs w:val="20"/>
          <w:lang w:val="es-ES_tradnl" w:eastAsia="es-CR"/>
        </w:rPr>
        <w:t>2</w:t>
      </w:r>
      <w:r w:rsidR="00E67551" w:rsidRPr="00601908">
        <w:rPr>
          <w:rFonts w:ascii="Verdana" w:hAnsi="Verdana"/>
          <w:sz w:val="20"/>
          <w:szCs w:val="20"/>
          <w:lang w:val="es-ES_tradnl" w:eastAsia="es-CR"/>
        </w:rPr>
        <w:t>),</w:t>
      </w:r>
      <w:r w:rsidR="00E67551" w:rsidRPr="00601908">
        <w:rPr>
          <w:rFonts w:ascii="Verdana" w:eastAsia="Verdana" w:hAnsi="Verdana" w:cs="Verdana"/>
          <w:sz w:val="20"/>
          <w:szCs w:val="20"/>
          <w:lang w:val="es-ES_tradnl"/>
        </w:rPr>
        <w:t xml:space="preserve"> </w:t>
      </w:r>
      <w:r w:rsidR="00CC3074" w:rsidRPr="00601908">
        <w:rPr>
          <w:rFonts w:ascii="Verdana" w:eastAsia="Verdana" w:hAnsi="Verdana" w:cs="Verdana"/>
          <w:sz w:val="20"/>
          <w:szCs w:val="20"/>
          <w:lang w:val="es-ES_tradnl"/>
        </w:rPr>
        <w:t xml:space="preserve">la Corte </w:t>
      </w:r>
      <w:r w:rsidRPr="00601908">
        <w:rPr>
          <w:rFonts w:ascii="Verdana" w:eastAsia="Verdana" w:hAnsi="Verdana" w:cs="Verdana"/>
          <w:sz w:val="20"/>
          <w:szCs w:val="20"/>
          <w:lang w:val="es-ES_tradnl"/>
        </w:rPr>
        <w:t>“[</w:t>
      </w:r>
      <w:r w:rsidR="00CC3074" w:rsidRPr="00601908">
        <w:rPr>
          <w:rFonts w:ascii="Verdana" w:eastAsia="Verdana" w:hAnsi="Verdana" w:cs="Verdana"/>
          <w:sz w:val="20"/>
          <w:szCs w:val="20"/>
          <w:lang w:val="es-ES_tradnl"/>
        </w:rPr>
        <w:t>d</w:t>
      </w:r>
      <w:r w:rsidRPr="00601908">
        <w:rPr>
          <w:rFonts w:ascii="Verdana" w:eastAsia="Verdana" w:hAnsi="Verdana" w:cs="Verdana"/>
          <w:sz w:val="20"/>
          <w:szCs w:val="20"/>
          <w:lang w:val="es-ES_tradnl"/>
        </w:rPr>
        <w:t>]</w:t>
      </w:r>
      <w:r w:rsidR="00CC3074" w:rsidRPr="00601908">
        <w:rPr>
          <w:rFonts w:ascii="Verdana" w:eastAsia="Verdana" w:hAnsi="Verdana" w:cs="Verdana"/>
          <w:sz w:val="20"/>
          <w:szCs w:val="20"/>
          <w:lang w:val="es-ES_tradnl"/>
        </w:rPr>
        <w:t>isp</w:t>
      </w:r>
      <w:r w:rsidRPr="00601908">
        <w:rPr>
          <w:rFonts w:ascii="Verdana" w:eastAsia="Verdana" w:hAnsi="Verdana" w:cs="Verdana"/>
          <w:sz w:val="20"/>
          <w:szCs w:val="20"/>
          <w:lang w:val="es-ES_tradnl"/>
        </w:rPr>
        <w:t>[</w:t>
      </w:r>
      <w:r w:rsidR="00CC3074" w:rsidRPr="00601908">
        <w:rPr>
          <w:rFonts w:ascii="Verdana" w:eastAsia="Verdana" w:hAnsi="Verdana" w:cs="Verdana"/>
          <w:sz w:val="20"/>
          <w:szCs w:val="20"/>
          <w:lang w:val="es-ES_tradnl"/>
        </w:rPr>
        <w:t>uso</w:t>
      </w:r>
      <w:r w:rsidRPr="00601908">
        <w:rPr>
          <w:rFonts w:ascii="Verdana" w:eastAsia="Verdana" w:hAnsi="Verdana" w:cs="Verdana"/>
          <w:sz w:val="20"/>
          <w:szCs w:val="20"/>
          <w:lang w:val="es-ES_tradnl"/>
        </w:rPr>
        <w:t>], de conformidad con el artículo 69 de su Reglamento, [que]</w:t>
      </w:r>
      <w:r w:rsidR="00CC3074" w:rsidRPr="00601908">
        <w:rPr>
          <w:rFonts w:ascii="Verdana" w:eastAsia="Verdana" w:hAnsi="Verdana" w:cs="Verdana"/>
          <w:sz w:val="20"/>
          <w:szCs w:val="20"/>
          <w:lang w:val="es-ES_tradnl"/>
        </w:rPr>
        <w:t xml:space="preserve"> </w:t>
      </w:r>
      <w:r w:rsidR="00CC3074" w:rsidRPr="00601908">
        <w:rPr>
          <w:rFonts w:ascii="Verdana" w:hAnsi="Verdana"/>
          <w:sz w:val="20"/>
          <w:szCs w:val="20"/>
          <w:lang w:val="es-ES_tradnl"/>
        </w:rPr>
        <w:t>de ser necesario,</w:t>
      </w:r>
      <w:r w:rsidRPr="00601908">
        <w:rPr>
          <w:rFonts w:ascii="Verdana" w:hAnsi="Verdana"/>
          <w:sz w:val="20"/>
          <w:szCs w:val="20"/>
          <w:lang w:val="es-ES_tradnl"/>
        </w:rPr>
        <w:t xml:space="preserve"> el Presidente de la Corte podr[ía]</w:t>
      </w:r>
      <w:r w:rsidR="00CC3074" w:rsidRPr="00601908">
        <w:rPr>
          <w:rFonts w:ascii="Verdana" w:hAnsi="Verdana"/>
          <w:sz w:val="20"/>
          <w:szCs w:val="20"/>
          <w:lang w:val="es-ES_tradnl"/>
        </w:rPr>
        <w:t xml:space="preserve"> delegar a uno o más jueces de la Corte o funcionarios de la Secretaría la realización de una visita a Paraguay con el fin de obtener de forma directa información relevante de las partes para supervisar el cumplimiento de la</w:t>
      </w:r>
      <w:r w:rsidR="00C3794E" w:rsidRPr="00601908">
        <w:rPr>
          <w:rFonts w:ascii="Verdana" w:hAnsi="Verdana"/>
          <w:sz w:val="20"/>
          <w:szCs w:val="20"/>
          <w:lang w:val="es-ES_tradnl"/>
        </w:rPr>
        <w:t>s</w:t>
      </w:r>
      <w:r w:rsidR="00CC3074" w:rsidRPr="00601908">
        <w:rPr>
          <w:rFonts w:ascii="Verdana" w:hAnsi="Verdana"/>
          <w:sz w:val="20"/>
          <w:szCs w:val="20"/>
          <w:lang w:val="es-ES_tradnl"/>
        </w:rPr>
        <w:t xml:space="preserve"> Sentencia</w:t>
      </w:r>
      <w:r w:rsidR="00C3794E" w:rsidRPr="00601908">
        <w:rPr>
          <w:rFonts w:ascii="Verdana" w:hAnsi="Verdana"/>
          <w:sz w:val="20"/>
          <w:szCs w:val="20"/>
          <w:lang w:val="es-ES_tradnl"/>
        </w:rPr>
        <w:t>s</w:t>
      </w:r>
      <w:r w:rsidR="00CC3074" w:rsidRPr="00601908">
        <w:rPr>
          <w:rFonts w:ascii="Verdana" w:hAnsi="Verdana"/>
          <w:sz w:val="20"/>
          <w:szCs w:val="20"/>
          <w:lang w:val="es-ES_tradnl"/>
        </w:rPr>
        <w:t>, previo consentimiento y coordinación con el Estado de Paraguay</w:t>
      </w:r>
      <w:r w:rsidR="00CC3074" w:rsidRPr="00601908">
        <w:rPr>
          <w:rFonts w:ascii="Verdana" w:eastAsia="Verdana" w:hAnsi="Verdana" w:cs="Verdana"/>
          <w:sz w:val="20"/>
          <w:szCs w:val="20"/>
          <w:lang w:val="es-ES_tradnl"/>
        </w:rPr>
        <w:t>”</w:t>
      </w:r>
      <w:r w:rsidR="00C3794E" w:rsidRPr="00601908">
        <w:rPr>
          <w:rStyle w:val="Refdenotaalpie"/>
          <w:rFonts w:ascii="Verdana" w:eastAsia="Verdana" w:hAnsi="Verdana" w:cs="Verdana"/>
          <w:sz w:val="20"/>
          <w:szCs w:val="20"/>
          <w:lang w:val="es-ES_tradnl"/>
        </w:rPr>
        <w:footnoteReference w:id="13"/>
      </w:r>
      <w:r w:rsidR="00CC3074" w:rsidRPr="00601908">
        <w:rPr>
          <w:rFonts w:ascii="Verdana" w:eastAsia="Verdana" w:hAnsi="Verdana" w:cs="Verdana"/>
          <w:sz w:val="20"/>
          <w:szCs w:val="20"/>
          <w:lang w:val="es-ES_tradnl"/>
        </w:rPr>
        <w:t xml:space="preserve">. </w:t>
      </w:r>
      <w:r w:rsidRPr="00601908">
        <w:rPr>
          <w:rFonts w:ascii="Verdana" w:eastAsia="Verdana" w:hAnsi="Verdana" w:cs="Verdana"/>
          <w:sz w:val="20"/>
          <w:szCs w:val="20"/>
          <w:lang w:val="es-ES_tradnl"/>
        </w:rPr>
        <w:t>Posteriormente</w:t>
      </w:r>
      <w:r w:rsidR="00CC3074" w:rsidRPr="00601908">
        <w:rPr>
          <w:rFonts w:ascii="Verdana" w:eastAsia="Verdana" w:hAnsi="Verdana" w:cs="Verdana"/>
          <w:sz w:val="20"/>
          <w:szCs w:val="20"/>
          <w:lang w:val="es-ES_tradnl"/>
        </w:rPr>
        <w:t>, mediante Resolución de septiembre de 2016</w:t>
      </w:r>
      <w:r w:rsidR="00E67551">
        <w:rPr>
          <w:rFonts w:ascii="Verdana" w:eastAsia="Verdana" w:hAnsi="Verdana" w:cs="Verdana"/>
          <w:sz w:val="20"/>
          <w:szCs w:val="20"/>
          <w:lang w:val="es-ES_tradnl"/>
        </w:rPr>
        <w:t xml:space="preserve"> (</w:t>
      </w:r>
      <w:r w:rsidR="00E67551" w:rsidRPr="001B2C9A">
        <w:rPr>
          <w:rFonts w:ascii="Verdana" w:eastAsia="Verdana" w:hAnsi="Verdana" w:cs="Verdana"/>
          <w:i/>
          <w:sz w:val="20"/>
          <w:szCs w:val="20"/>
          <w:lang w:val="es-ES_tradnl"/>
        </w:rPr>
        <w:t>supra</w:t>
      </w:r>
      <w:r w:rsidR="00E67551">
        <w:rPr>
          <w:rFonts w:ascii="Verdana" w:eastAsia="Verdana" w:hAnsi="Verdana" w:cs="Verdana"/>
          <w:sz w:val="20"/>
          <w:szCs w:val="20"/>
          <w:lang w:val="es-ES_tradnl"/>
        </w:rPr>
        <w:t xml:space="preserve"> Visto 6)</w:t>
      </w:r>
      <w:r w:rsidRPr="00601908">
        <w:rPr>
          <w:rFonts w:ascii="Verdana" w:eastAsia="Verdana" w:hAnsi="Verdana" w:cs="Verdana"/>
          <w:sz w:val="20"/>
          <w:szCs w:val="20"/>
          <w:lang w:val="es-ES_tradnl"/>
        </w:rPr>
        <w:t xml:space="preserve">, </w:t>
      </w:r>
      <w:r w:rsidR="00C3794E" w:rsidRPr="00601908">
        <w:rPr>
          <w:rFonts w:ascii="Verdana" w:eastAsia="Verdana" w:hAnsi="Verdana" w:cs="Verdana"/>
          <w:sz w:val="20"/>
          <w:szCs w:val="20"/>
          <w:lang w:val="es-ES_tradnl"/>
        </w:rPr>
        <w:t xml:space="preserve">el Presidente del Tribunal </w:t>
      </w:r>
      <w:r w:rsidR="00C3794E" w:rsidRPr="00601908">
        <w:rPr>
          <w:rFonts w:ascii="Verdana" w:hAnsi="Verdana"/>
          <w:sz w:val="20"/>
          <w:szCs w:val="20"/>
          <w:lang w:val="es-ES_tradnl"/>
        </w:rPr>
        <w:t xml:space="preserve">dispuso, entre </w:t>
      </w:r>
      <w:r w:rsidR="00C3794E" w:rsidRPr="00601908">
        <w:rPr>
          <w:rFonts w:ascii="Verdana" w:hAnsi="Verdana"/>
          <w:sz w:val="20"/>
          <w:szCs w:val="20"/>
          <w:lang w:val="es-ES_tradnl"/>
        </w:rPr>
        <w:lastRenderedPageBreak/>
        <w:t>otros, que el Secretario de la Corte iniciara las gestiones para coordinar con Paraguay la posibilidad de realizar dicha visita con el fin de obtener información, particularmente, sobre las reparaciones relativas a garantizar el derecho a la propiedad comunal ordenada en los tres casos de comunidades indígenas</w:t>
      </w:r>
      <w:r w:rsidR="00C3794E" w:rsidRPr="00601908">
        <w:rPr>
          <w:rStyle w:val="Refdenotaalpie"/>
          <w:rFonts w:ascii="Verdana" w:hAnsi="Verdana"/>
          <w:sz w:val="20"/>
          <w:szCs w:val="20"/>
          <w:lang w:val="es-ES_tradnl"/>
        </w:rPr>
        <w:footnoteReference w:id="14"/>
      </w:r>
      <w:r w:rsidR="00C3794E" w:rsidRPr="00601908">
        <w:rPr>
          <w:rFonts w:ascii="Verdana" w:hAnsi="Verdana"/>
          <w:sz w:val="20"/>
          <w:szCs w:val="20"/>
          <w:lang w:val="es-ES_tradnl"/>
        </w:rPr>
        <w:t>.</w:t>
      </w:r>
    </w:p>
    <w:p w14:paraId="17346901" w14:textId="77777777" w:rsidR="00E67551" w:rsidRDefault="00E67551" w:rsidP="00E67551">
      <w:pPr>
        <w:pStyle w:val="Prrafodelista"/>
        <w:numPr>
          <w:ilvl w:val="0"/>
          <w:numId w:val="5"/>
        </w:numPr>
        <w:spacing w:before="120" w:after="120" w:line="240" w:lineRule="auto"/>
        <w:ind w:left="0" w:hanging="11"/>
        <w:contextualSpacing w:val="0"/>
        <w:jc w:val="both"/>
        <w:rPr>
          <w:rFonts w:ascii="Verdana" w:hAnsi="Verdana"/>
          <w:sz w:val="20"/>
          <w:szCs w:val="20"/>
          <w:lang w:val="es-ES_tradnl"/>
        </w:rPr>
      </w:pPr>
      <w:bookmarkStart w:id="4" w:name="_Ref10205110"/>
      <w:bookmarkEnd w:id="3"/>
      <w:r w:rsidRPr="00315479">
        <w:rPr>
          <w:rFonts w:ascii="Verdana" w:hAnsi="Verdana"/>
          <w:sz w:val="20"/>
          <w:szCs w:val="20"/>
          <w:lang w:val="es-ES_tradnl"/>
        </w:rPr>
        <w:t xml:space="preserve">Durante los días 27 a 29 de noviembre de 2017 tuvieron lugar las visitas a los miembros de las Comunidades </w:t>
      </w:r>
      <w:r>
        <w:rPr>
          <w:rFonts w:ascii="Verdana" w:hAnsi="Verdana"/>
          <w:sz w:val="20"/>
          <w:szCs w:val="20"/>
          <w:lang w:val="es-ES_tradnl"/>
        </w:rPr>
        <w:t>i</w:t>
      </w:r>
      <w:r w:rsidRPr="00315479">
        <w:rPr>
          <w:rFonts w:ascii="Verdana" w:hAnsi="Verdana"/>
          <w:sz w:val="20"/>
          <w:szCs w:val="20"/>
          <w:lang w:val="es-ES_tradnl"/>
        </w:rPr>
        <w:t>ndígenas Yakye Axa, Sawhoyamaxa y Xákmok Kásek, ubicadas en el Departamento de Presidente Hayes, en el Chaco paraguayo, para lo cual se siguió una agenda consensuada entre el Estado y los representantes de las víctimas</w:t>
      </w:r>
      <w:r>
        <w:rPr>
          <w:rFonts w:ascii="Verdana" w:hAnsi="Verdana"/>
          <w:sz w:val="20"/>
          <w:szCs w:val="20"/>
          <w:lang w:val="es-ES_tradnl"/>
        </w:rPr>
        <w:t xml:space="preserve"> </w:t>
      </w:r>
      <w:r w:rsidRPr="00315479">
        <w:rPr>
          <w:rFonts w:ascii="Verdana" w:hAnsi="Verdana"/>
          <w:sz w:val="20"/>
          <w:szCs w:val="20"/>
          <w:lang w:val="es-ES_tradnl"/>
        </w:rPr>
        <w:t>(de las organizaciones Tierraviva y CEJIL). La delegación de la Corte Interamericana estuvo conformada por el Juez L. Patricio Pazmiño Freire y tres abogados de la Unidad de supervisión de cumplimiento de sentencias de la Secretaría del Tribunal. En cada una de las visitas la delegación fue recibida por los líderes y demás miembros de las comunidades. También participaron en las visitas a las tres comunidades los representantes legales de las víctimas</w:t>
      </w:r>
      <w:r w:rsidRPr="00315479">
        <w:rPr>
          <w:rStyle w:val="Refdenotaalpie"/>
          <w:rFonts w:ascii="Verdana" w:hAnsi="Verdana"/>
          <w:sz w:val="20"/>
          <w:szCs w:val="20"/>
          <w:lang w:val="es-ES_tradnl"/>
        </w:rPr>
        <w:footnoteReference w:id="15"/>
      </w:r>
      <w:r w:rsidRPr="00315479">
        <w:rPr>
          <w:rFonts w:ascii="Verdana" w:hAnsi="Verdana"/>
          <w:sz w:val="20"/>
          <w:szCs w:val="20"/>
          <w:lang w:val="es-ES_tradnl"/>
        </w:rPr>
        <w:t xml:space="preserve">. Asimismo, participó una amplia delegación del Estado, entre quienes se encontraban altos funcionarios representantes de distintos ministerios e instituciones públicas de relevancia para la ejecución de las reparaciones. </w:t>
      </w:r>
      <w:r>
        <w:rPr>
          <w:rFonts w:ascii="Verdana" w:hAnsi="Verdana"/>
          <w:sz w:val="20"/>
          <w:szCs w:val="20"/>
          <w:lang w:val="es-ES_tradnl"/>
        </w:rPr>
        <w:t>Dicha</w:t>
      </w:r>
      <w:r w:rsidRPr="00315479">
        <w:rPr>
          <w:rFonts w:ascii="Verdana" w:hAnsi="Verdana"/>
          <w:sz w:val="20"/>
          <w:szCs w:val="20"/>
          <w:lang w:val="es-ES_tradnl"/>
        </w:rPr>
        <w:t xml:space="preserve"> delegación </w:t>
      </w:r>
      <w:r>
        <w:rPr>
          <w:rFonts w:ascii="Verdana" w:hAnsi="Verdana"/>
          <w:sz w:val="20"/>
          <w:szCs w:val="20"/>
          <w:lang w:val="es-ES_tradnl"/>
        </w:rPr>
        <w:t>estuvo compuesta</w:t>
      </w:r>
      <w:r w:rsidRPr="00315479">
        <w:rPr>
          <w:rFonts w:ascii="Verdana" w:hAnsi="Verdana"/>
          <w:sz w:val="20"/>
          <w:szCs w:val="20"/>
          <w:lang w:val="es-ES_tradnl"/>
        </w:rPr>
        <w:t xml:space="preserve">, entre otros, por: </w:t>
      </w:r>
      <w:r>
        <w:rPr>
          <w:rFonts w:ascii="Verdana" w:hAnsi="Verdana"/>
          <w:sz w:val="20"/>
          <w:szCs w:val="20"/>
          <w:lang w:val="es-ES_tradnl"/>
        </w:rPr>
        <w:t>una</w:t>
      </w:r>
      <w:r w:rsidRPr="00C37434">
        <w:rPr>
          <w:rFonts w:ascii="Verdana" w:hAnsi="Verdana"/>
          <w:sz w:val="20"/>
          <w:szCs w:val="20"/>
          <w:lang w:val="es-ES_tradnl"/>
        </w:rPr>
        <w:t xml:space="preserve"> Ministra de la Corte Suprema de Justicia</w:t>
      </w:r>
      <w:r>
        <w:rPr>
          <w:rStyle w:val="Refdenotaalpie"/>
          <w:rFonts w:ascii="Verdana" w:hAnsi="Verdana"/>
          <w:sz w:val="20"/>
          <w:szCs w:val="20"/>
          <w:lang w:val="es-ES_tradnl"/>
        </w:rPr>
        <w:footnoteReference w:id="16"/>
      </w:r>
      <w:r w:rsidRPr="00C37434">
        <w:rPr>
          <w:rFonts w:ascii="Verdana" w:hAnsi="Verdana"/>
          <w:sz w:val="20"/>
          <w:szCs w:val="20"/>
          <w:lang w:val="es-ES_tradnl"/>
        </w:rPr>
        <w:t>; la Viceministra de Salud Pública y Bienestar Social</w:t>
      </w:r>
      <w:r>
        <w:rPr>
          <w:rStyle w:val="Refdenotaalpie"/>
          <w:rFonts w:ascii="Verdana" w:hAnsi="Verdana"/>
          <w:sz w:val="20"/>
          <w:szCs w:val="20"/>
          <w:lang w:val="es-ES_tradnl"/>
        </w:rPr>
        <w:footnoteReference w:id="17"/>
      </w:r>
      <w:r w:rsidRPr="00C37434">
        <w:rPr>
          <w:rFonts w:ascii="Verdana" w:hAnsi="Verdana"/>
          <w:sz w:val="20"/>
          <w:szCs w:val="20"/>
          <w:lang w:val="es-ES_tradnl"/>
        </w:rPr>
        <w:t>; el Embajador del Estado del Paraguay ante Costa Rica</w:t>
      </w:r>
      <w:r>
        <w:rPr>
          <w:rStyle w:val="Refdenotaalpie"/>
          <w:rFonts w:ascii="Verdana" w:hAnsi="Verdana"/>
          <w:sz w:val="20"/>
          <w:szCs w:val="20"/>
          <w:lang w:val="es-ES_tradnl"/>
        </w:rPr>
        <w:footnoteReference w:id="18"/>
      </w:r>
      <w:r w:rsidRPr="00C37434">
        <w:rPr>
          <w:rFonts w:ascii="Verdana" w:hAnsi="Verdana"/>
          <w:sz w:val="20"/>
          <w:szCs w:val="20"/>
          <w:lang w:val="es-ES_tradnl"/>
        </w:rPr>
        <w:t>; el Director General de Derechos Humanos del Ministerio de Relaciones Exteriores</w:t>
      </w:r>
      <w:r>
        <w:rPr>
          <w:rStyle w:val="Refdenotaalpie"/>
          <w:rFonts w:ascii="Verdana" w:hAnsi="Verdana"/>
          <w:sz w:val="20"/>
          <w:szCs w:val="20"/>
          <w:lang w:val="es-ES_tradnl"/>
        </w:rPr>
        <w:footnoteReference w:id="19"/>
      </w:r>
      <w:r w:rsidRPr="00C37434">
        <w:rPr>
          <w:rFonts w:ascii="Verdana" w:hAnsi="Verdana"/>
          <w:sz w:val="20"/>
          <w:szCs w:val="20"/>
          <w:lang w:val="es-ES_tradnl"/>
        </w:rPr>
        <w:t>; el Asesor Jurídico de la Vicepresidencia de la República</w:t>
      </w:r>
      <w:r>
        <w:rPr>
          <w:rStyle w:val="Refdenotaalpie"/>
          <w:rFonts w:ascii="Verdana" w:hAnsi="Verdana"/>
          <w:sz w:val="20"/>
          <w:szCs w:val="20"/>
          <w:lang w:val="es-ES_tradnl"/>
        </w:rPr>
        <w:footnoteReference w:id="20"/>
      </w:r>
      <w:r w:rsidRPr="00C37434">
        <w:rPr>
          <w:rFonts w:ascii="Verdana" w:hAnsi="Verdana"/>
          <w:sz w:val="20"/>
          <w:szCs w:val="20"/>
          <w:lang w:val="es-ES_tradnl"/>
        </w:rPr>
        <w:t>; el Presidente del Instituto Paraguayo del Indígena</w:t>
      </w:r>
      <w:r>
        <w:rPr>
          <w:rStyle w:val="Refdenotaalpie"/>
          <w:rFonts w:ascii="Verdana" w:hAnsi="Verdana"/>
          <w:sz w:val="20"/>
          <w:szCs w:val="20"/>
          <w:lang w:val="es-ES_tradnl"/>
        </w:rPr>
        <w:footnoteReference w:id="21"/>
      </w:r>
      <w:r w:rsidRPr="00C37434">
        <w:rPr>
          <w:rFonts w:ascii="Verdana" w:hAnsi="Verdana"/>
          <w:sz w:val="20"/>
          <w:szCs w:val="20"/>
          <w:lang w:val="es-ES_tradnl"/>
        </w:rPr>
        <w:t>; el Gobernador del Departamento de Presidente Hayes</w:t>
      </w:r>
      <w:r>
        <w:rPr>
          <w:rStyle w:val="Refdenotaalpie"/>
          <w:rFonts w:ascii="Verdana" w:hAnsi="Verdana"/>
          <w:sz w:val="20"/>
          <w:szCs w:val="20"/>
          <w:lang w:val="es-ES_tradnl"/>
        </w:rPr>
        <w:footnoteReference w:id="22"/>
      </w:r>
      <w:r w:rsidRPr="00C37434">
        <w:rPr>
          <w:rFonts w:ascii="Verdana" w:hAnsi="Verdana"/>
          <w:sz w:val="20"/>
          <w:szCs w:val="20"/>
          <w:lang w:val="es-ES_tradnl"/>
        </w:rPr>
        <w:t>; la Defensora General de la Defensa Pública</w:t>
      </w:r>
      <w:r>
        <w:rPr>
          <w:rStyle w:val="Refdenotaalpie"/>
          <w:rFonts w:ascii="Verdana" w:hAnsi="Verdana"/>
          <w:sz w:val="20"/>
          <w:szCs w:val="20"/>
          <w:lang w:val="es-ES_tradnl"/>
        </w:rPr>
        <w:footnoteReference w:id="23"/>
      </w:r>
      <w:r w:rsidRPr="00C37434">
        <w:rPr>
          <w:rFonts w:ascii="Verdana" w:hAnsi="Verdana"/>
          <w:sz w:val="20"/>
          <w:szCs w:val="20"/>
          <w:lang w:val="es-ES_tradnl"/>
        </w:rPr>
        <w:t>; el Director General de Educación Indígena del Ministerio de Educación y Ciencias</w:t>
      </w:r>
      <w:r>
        <w:rPr>
          <w:rStyle w:val="Refdenotaalpie"/>
          <w:rFonts w:ascii="Verdana" w:hAnsi="Verdana"/>
          <w:sz w:val="20"/>
          <w:szCs w:val="20"/>
          <w:lang w:val="es-ES_tradnl"/>
        </w:rPr>
        <w:footnoteReference w:id="24"/>
      </w:r>
      <w:r w:rsidRPr="00C37434">
        <w:rPr>
          <w:rFonts w:ascii="Verdana" w:hAnsi="Verdana"/>
          <w:sz w:val="20"/>
          <w:szCs w:val="20"/>
          <w:lang w:val="es-ES_tradnl"/>
        </w:rPr>
        <w:t>; la Directora de la Secretaría de Acción Social</w:t>
      </w:r>
      <w:r>
        <w:rPr>
          <w:rStyle w:val="Refdenotaalpie"/>
          <w:rFonts w:ascii="Verdana" w:hAnsi="Verdana"/>
          <w:sz w:val="20"/>
          <w:szCs w:val="20"/>
          <w:lang w:val="es-ES_tradnl"/>
        </w:rPr>
        <w:footnoteReference w:id="25"/>
      </w:r>
      <w:r w:rsidRPr="00C37434">
        <w:rPr>
          <w:rFonts w:ascii="Verdana" w:hAnsi="Verdana"/>
          <w:sz w:val="20"/>
          <w:szCs w:val="20"/>
          <w:lang w:val="es-ES_tradnl"/>
        </w:rPr>
        <w:t>; la Directora de Asuntos Étnicos del Ministerio Público</w:t>
      </w:r>
      <w:r>
        <w:rPr>
          <w:rStyle w:val="Refdenotaalpie"/>
          <w:rFonts w:ascii="Verdana" w:hAnsi="Verdana"/>
          <w:sz w:val="20"/>
          <w:szCs w:val="20"/>
          <w:lang w:val="es-ES_tradnl"/>
        </w:rPr>
        <w:footnoteReference w:id="26"/>
      </w:r>
      <w:r w:rsidRPr="00C37434">
        <w:rPr>
          <w:rFonts w:ascii="Verdana" w:hAnsi="Verdana"/>
          <w:sz w:val="20"/>
          <w:szCs w:val="20"/>
          <w:lang w:val="es-ES_tradnl"/>
        </w:rPr>
        <w:t>; el Director de Caminos Vecinales del Ministerio de Obras Públicas y Comunicaciones</w:t>
      </w:r>
      <w:r>
        <w:rPr>
          <w:rStyle w:val="Refdenotaalpie"/>
          <w:rFonts w:ascii="Verdana" w:hAnsi="Verdana"/>
          <w:sz w:val="20"/>
          <w:szCs w:val="20"/>
          <w:lang w:val="es-ES_tradnl"/>
        </w:rPr>
        <w:footnoteReference w:id="27"/>
      </w:r>
      <w:r w:rsidRPr="00C37434">
        <w:rPr>
          <w:rFonts w:ascii="Verdana" w:hAnsi="Verdana"/>
          <w:sz w:val="20"/>
          <w:szCs w:val="20"/>
          <w:lang w:val="es-ES_tradnl"/>
        </w:rPr>
        <w:t>; las Directoras de Derechos Humanos de la Corte Suprema de Justicia</w:t>
      </w:r>
      <w:r>
        <w:rPr>
          <w:rStyle w:val="Refdenotaalpie"/>
          <w:rFonts w:ascii="Verdana" w:hAnsi="Verdana"/>
          <w:sz w:val="20"/>
          <w:szCs w:val="20"/>
          <w:lang w:val="es-ES_tradnl"/>
        </w:rPr>
        <w:footnoteReference w:id="28"/>
      </w:r>
      <w:r w:rsidRPr="00C37434">
        <w:rPr>
          <w:rFonts w:ascii="Verdana" w:hAnsi="Verdana"/>
          <w:sz w:val="20"/>
          <w:szCs w:val="20"/>
          <w:lang w:val="es-ES_tradnl"/>
        </w:rPr>
        <w:t>, y de los Ministerios de Interior</w:t>
      </w:r>
      <w:r>
        <w:rPr>
          <w:rStyle w:val="Refdenotaalpie"/>
          <w:rFonts w:ascii="Verdana" w:hAnsi="Verdana"/>
          <w:sz w:val="20"/>
          <w:szCs w:val="20"/>
          <w:lang w:val="es-ES_tradnl"/>
        </w:rPr>
        <w:footnoteReference w:id="29"/>
      </w:r>
      <w:r>
        <w:rPr>
          <w:rFonts w:ascii="Verdana" w:hAnsi="Verdana"/>
          <w:sz w:val="20"/>
          <w:szCs w:val="20"/>
          <w:lang w:val="es-ES_tradnl"/>
        </w:rPr>
        <w:t xml:space="preserve"> </w:t>
      </w:r>
      <w:r w:rsidRPr="00C37434">
        <w:rPr>
          <w:rFonts w:ascii="Verdana" w:hAnsi="Verdana"/>
          <w:sz w:val="20"/>
          <w:szCs w:val="20"/>
          <w:lang w:val="es-ES_tradnl"/>
        </w:rPr>
        <w:t>y Salud</w:t>
      </w:r>
      <w:r>
        <w:rPr>
          <w:rStyle w:val="Refdenotaalpie"/>
          <w:rFonts w:ascii="Verdana" w:hAnsi="Verdana"/>
          <w:sz w:val="20"/>
          <w:szCs w:val="20"/>
          <w:lang w:val="es-ES_tradnl"/>
        </w:rPr>
        <w:footnoteReference w:id="30"/>
      </w:r>
      <w:r w:rsidRPr="00C37434">
        <w:rPr>
          <w:rFonts w:ascii="Verdana" w:hAnsi="Verdana"/>
          <w:sz w:val="20"/>
          <w:szCs w:val="20"/>
          <w:lang w:val="es-ES_tradnl"/>
        </w:rPr>
        <w:t>; así como personal de la Secretaría de Emergencia Nacional</w:t>
      </w:r>
      <w:r>
        <w:rPr>
          <w:rStyle w:val="Refdenotaalpie"/>
          <w:rFonts w:ascii="Verdana" w:hAnsi="Verdana"/>
          <w:sz w:val="20"/>
          <w:szCs w:val="20"/>
          <w:lang w:val="es-ES_tradnl"/>
        </w:rPr>
        <w:footnoteReference w:id="31"/>
      </w:r>
      <w:r w:rsidRPr="00C37434">
        <w:rPr>
          <w:rFonts w:ascii="Verdana" w:hAnsi="Verdana"/>
          <w:sz w:val="20"/>
          <w:szCs w:val="20"/>
          <w:lang w:val="es-ES_tradnl"/>
        </w:rPr>
        <w:t>, del Ministerio de Obras Públicas y Comunicaciones</w:t>
      </w:r>
      <w:r>
        <w:rPr>
          <w:rStyle w:val="Refdenotaalpie"/>
          <w:rFonts w:ascii="Verdana" w:hAnsi="Verdana"/>
          <w:sz w:val="20"/>
          <w:szCs w:val="20"/>
          <w:lang w:val="es-ES_tradnl"/>
        </w:rPr>
        <w:footnoteReference w:id="32"/>
      </w:r>
      <w:r w:rsidRPr="00C37434">
        <w:rPr>
          <w:rFonts w:ascii="Verdana" w:hAnsi="Verdana"/>
          <w:sz w:val="20"/>
          <w:szCs w:val="20"/>
          <w:lang w:val="es-ES_tradnl"/>
        </w:rPr>
        <w:t xml:space="preserve"> y de la Secretaría Nacional de la Vivienda y el Hábitat</w:t>
      </w:r>
      <w:r>
        <w:rPr>
          <w:rStyle w:val="Refdenotaalpie"/>
          <w:rFonts w:ascii="Verdana" w:hAnsi="Verdana"/>
          <w:sz w:val="20"/>
          <w:szCs w:val="20"/>
          <w:lang w:val="es-ES_tradnl"/>
        </w:rPr>
        <w:footnoteReference w:id="33"/>
      </w:r>
      <w:r w:rsidRPr="00C37434">
        <w:rPr>
          <w:rFonts w:ascii="Verdana" w:hAnsi="Verdana"/>
          <w:sz w:val="20"/>
          <w:szCs w:val="20"/>
          <w:lang w:val="es-ES_tradnl"/>
        </w:rPr>
        <w:t xml:space="preserve">. </w:t>
      </w:r>
      <w:r w:rsidRPr="00315479">
        <w:rPr>
          <w:rFonts w:ascii="Verdana" w:hAnsi="Verdana"/>
          <w:sz w:val="20"/>
          <w:szCs w:val="20"/>
          <w:lang w:val="es-ES_tradnl"/>
        </w:rPr>
        <w:t>La Comisión Interamericana no participó en las visitas</w:t>
      </w:r>
      <w:r w:rsidRPr="00315479">
        <w:rPr>
          <w:rStyle w:val="Refdenotaalpie"/>
          <w:rFonts w:ascii="Verdana" w:hAnsi="Verdana"/>
          <w:sz w:val="20"/>
          <w:szCs w:val="20"/>
          <w:lang w:val="es-ES_tradnl"/>
        </w:rPr>
        <w:footnoteReference w:id="34"/>
      </w:r>
      <w:r w:rsidRPr="00315479">
        <w:rPr>
          <w:rFonts w:ascii="Verdana" w:hAnsi="Verdana"/>
          <w:sz w:val="20"/>
          <w:szCs w:val="20"/>
          <w:lang w:val="es-ES_tradnl"/>
        </w:rPr>
        <w:t>.</w:t>
      </w:r>
      <w:bookmarkEnd w:id="4"/>
      <w:r w:rsidRPr="00412951">
        <w:rPr>
          <w:rFonts w:ascii="Verdana" w:hAnsi="Verdana"/>
          <w:sz w:val="20"/>
          <w:szCs w:val="20"/>
          <w:lang w:val="es-ES_tradnl"/>
        </w:rPr>
        <w:t xml:space="preserve"> </w:t>
      </w:r>
    </w:p>
    <w:p w14:paraId="50AD171D" w14:textId="77777777" w:rsidR="00E67551" w:rsidRPr="009F6540" w:rsidRDefault="00E67551" w:rsidP="00E67551">
      <w:pPr>
        <w:pStyle w:val="Prrafodelista"/>
        <w:numPr>
          <w:ilvl w:val="0"/>
          <w:numId w:val="5"/>
        </w:numPr>
        <w:spacing w:before="120" w:after="120" w:line="240" w:lineRule="auto"/>
        <w:ind w:left="0" w:hanging="11"/>
        <w:contextualSpacing w:val="0"/>
        <w:jc w:val="both"/>
        <w:rPr>
          <w:rFonts w:ascii="Verdana" w:hAnsi="Verdana"/>
          <w:sz w:val="20"/>
          <w:szCs w:val="20"/>
          <w:lang w:val="es-ES_tradnl"/>
        </w:rPr>
      </w:pPr>
      <w:r w:rsidRPr="00AD3CE0">
        <w:rPr>
          <w:rFonts w:ascii="Verdana" w:hAnsi="Verdana"/>
          <w:sz w:val="20"/>
          <w:szCs w:val="20"/>
          <w:lang w:val="es-ES_tradnl"/>
        </w:rPr>
        <w:t>En cada una de las visitas se escuchó a</w:t>
      </w:r>
      <w:r>
        <w:rPr>
          <w:rFonts w:ascii="Verdana" w:hAnsi="Verdana"/>
          <w:sz w:val="20"/>
          <w:szCs w:val="20"/>
          <w:lang w:val="es-ES_tradnl"/>
        </w:rPr>
        <w:t xml:space="preserve"> varios de los</w:t>
      </w:r>
      <w:r w:rsidRPr="00AD3CE0">
        <w:rPr>
          <w:rFonts w:ascii="Verdana" w:hAnsi="Verdana"/>
          <w:sz w:val="20"/>
          <w:szCs w:val="20"/>
          <w:lang w:val="es-ES_tradnl"/>
        </w:rPr>
        <w:t xml:space="preserve"> líderes y miembros de las comunidades</w:t>
      </w:r>
      <w:r>
        <w:rPr>
          <w:rFonts w:ascii="Verdana" w:hAnsi="Verdana"/>
          <w:sz w:val="20"/>
          <w:szCs w:val="20"/>
          <w:lang w:val="es-ES_tradnl"/>
        </w:rPr>
        <w:t xml:space="preserve"> indígenas</w:t>
      </w:r>
      <w:r w:rsidRPr="00AD3CE0">
        <w:rPr>
          <w:rFonts w:ascii="Verdana" w:hAnsi="Verdana"/>
          <w:sz w:val="20"/>
          <w:szCs w:val="20"/>
          <w:lang w:val="es-ES_tradnl"/>
        </w:rPr>
        <w:t xml:space="preserve">, así como a sus representantes legales y a </w:t>
      </w:r>
      <w:r>
        <w:rPr>
          <w:rFonts w:ascii="Verdana" w:hAnsi="Verdana"/>
          <w:sz w:val="20"/>
          <w:szCs w:val="20"/>
          <w:lang w:val="es-ES_tradnl"/>
        </w:rPr>
        <w:t>diversas</w:t>
      </w:r>
      <w:r w:rsidRPr="00AD3CE0">
        <w:rPr>
          <w:rFonts w:ascii="Verdana" w:hAnsi="Verdana"/>
          <w:sz w:val="20"/>
          <w:szCs w:val="20"/>
          <w:lang w:val="es-ES_tradnl"/>
        </w:rPr>
        <w:t xml:space="preserve"> autoridades estatales y se efectuaron recorridos por distintos lugares de las comunidades para constatar sus condiciones. Además, en los recorridos, la delegación de la Corte efectuó las preguntas que consideró necesarias. </w:t>
      </w:r>
      <w:r w:rsidRPr="001843E7">
        <w:rPr>
          <w:rFonts w:ascii="Verdana" w:hAnsi="Verdana"/>
          <w:sz w:val="20"/>
          <w:szCs w:val="20"/>
          <w:lang w:val="es-ES_tradnl"/>
        </w:rPr>
        <w:t>Estas visitas permitieron supervisar las diversas medidas de reparación ordenadas en las Sentencias</w:t>
      </w:r>
      <w:r>
        <w:rPr>
          <w:rFonts w:ascii="Verdana" w:hAnsi="Verdana"/>
          <w:sz w:val="20"/>
          <w:szCs w:val="20"/>
          <w:lang w:val="es-ES_tradnl"/>
        </w:rPr>
        <w:t xml:space="preserve"> de los tres casos</w:t>
      </w:r>
      <w:r w:rsidRPr="001843E7">
        <w:rPr>
          <w:rFonts w:ascii="Verdana" w:hAnsi="Verdana"/>
          <w:sz w:val="20"/>
          <w:szCs w:val="20"/>
          <w:lang w:val="es-ES_tradnl"/>
        </w:rPr>
        <w:t>, relacionadas con</w:t>
      </w:r>
      <w:r>
        <w:rPr>
          <w:rFonts w:ascii="Verdana" w:hAnsi="Verdana"/>
          <w:sz w:val="20"/>
          <w:szCs w:val="20"/>
          <w:lang w:val="es-ES_tradnl"/>
        </w:rPr>
        <w:t>:</w:t>
      </w:r>
      <w:r w:rsidRPr="001843E7">
        <w:rPr>
          <w:rFonts w:ascii="Verdana" w:hAnsi="Verdana"/>
          <w:sz w:val="20"/>
          <w:szCs w:val="20"/>
          <w:lang w:val="es-ES_tradnl"/>
        </w:rPr>
        <w:t xml:space="preserve"> </w:t>
      </w:r>
      <w:r w:rsidRPr="00AD3CE0">
        <w:rPr>
          <w:rFonts w:ascii="Verdana" w:hAnsi="Verdana"/>
          <w:sz w:val="20"/>
          <w:szCs w:val="20"/>
          <w:lang w:val="es-CR"/>
        </w:rPr>
        <w:t xml:space="preserve">la adquisición, entrega y titulación de las tierras tradicionales a favor de las </w:t>
      </w:r>
      <w:r>
        <w:rPr>
          <w:rFonts w:ascii="Verdana" w:hAnsi="Verdana"/>
          <w:sz w:val="20"/>
          <w:szCs w:val="20"/>
          <w:lang w:val="es-CR"/>
        </w:rPr>
        <w:t xml:space="preserve">tres </w:t>
      </w:r>
      <w:r w:rsidRPr="00AD3CE0">
        <w:rPr>
          <w:rFonts w:ascii="Verdana" w:hAnsi="Verdana"/>
          <w:sz w:val="20"/>
          <w:szCs w:val="20"/>
          <w:lang w:val="es-CR"/>
        </w:rPr>
        <w:t>comunidades</w:t>
      </w:r>
      <w:r>
        <w:rPr>
          <w:rFonts w:ascii="Verdana" w:hAnsi="Verdana"/>
          <w:sz w:val="20"/>
          <w:szCs w:val="20"/>
          <w:lang w:val="es-CR"/>
        </w:rPr>
        <w:t xml:space="preserve"> indígenas</w:t>
      </w:r>
      <w:r w:rsidRPr="00AD3CE0">
        <w:rPr>
          <w:rFonts w:ascii="Verdana" w:hAnsi="Verdana"/>
          <w:sz w:val="20"/>
          <w:szCs w:val="20"/>
          <w:lang w:val="es-CR"/>
        </w:rPr>
        <w:t xml:space="preserve">; el suministro de bienes y servicios básicos necesarios para la subsistencia de </w:t>
      </w:r>
      <w:r>
        <w:rPr>
          <w:rFonts w:ascii="Verdana" w:hAnsi="Verdana"/>
          <w:sz w:val="20"/>
          <w:szCs w:val="20"/>
          <w:lang w:val="es-CR"/>
        </w:rPr>
        <w:t>sus</w:t>
      </w:r>
      <w:r w:rsidRPr="00AD3CE0">
        <w:rPr>
          <w:rFonts w:ascii="Verdana" w:hAnsi="Verdana"/>
          <w:sz w:val="20"/>
          <w:szCs w:val="20"/>
          <w:lang w:val="es-CR"/>
        </w:rPr>
        <w:t xml:space="preserve"> miembros mientras se les restituyen las tierras que les corresponden, </w:t>
      </w:r>
      <w:r>
        <w:rPr>
          <w:rFonts w:ascii="Verdana" w:hAnsi="Verdana"/>
          <w:sz w:val="20"/>
          <w:szCs w:val="20"/>
          <w:lang w:val="es-CR"/>
        </w:rPr>
        <w:t xml:space="preserve">y </w:t>
      </w:r>
      <w:r w:rsidRPr="00AD3CE0">
        <w:rPr>
          <w:rFonts w:ascii="Verdana" w:hAnsi="Verdana"/>
          <w:sz w:val="20"/>
          <w:szCs w:val="20"/>
          <w:lang w:val="es-CR"/>
        </w:rPr>
        <w:t xml:space="preserve">la </w:t>
      </w:r>
      <w:r>
        <w:rPr>
          <w:rFonts w:ascii="Verdana" w:hAnsi="Verdana"/>
          <w:sz w:val="20"/>
          <w:szCs w:val="20"/>
          <w:lang w:val="es-CR"/>
        </w:rPr>
        <w:t>creación</w:t>
      </w:r>
      <w:r w:rsidRPr="00AD3CE0">
        <w:rPr>
          <w:rFonts w:ascii="Verdana" w:hAnsi="Verdana"/>
          <w:sz w:val="20"/>
          <w:szCs w:val="20"/>
          <w:lang w:val="es-CR"/>
        </w:rPr>
        <w:t xml:space="preserve"> e implementación de fondos de desarrollo comunitarios en las tierras que corresponden a dichas comunidades indígenas.</w:t>
      </w:r>
    </w:p>
    <w:p w14:paraId="1B5CA5E1" w14:textId="77777777" w:rsidR="00E33F2C" w:rsidRPr="001B2C9A" w:rsidRDefault="00AD3CE0" w:rsidP="00940D65">
      <w:pPr>
        <w:pStyle w:val="Prrafodelista"/>
        <w:numPr>
          <w:ilvl w:val="0"/>
          <w:numId w:val="5"/>
        </w:numPr>
        <w:spacing w:before="120" w:after="120" w:line="240" w:lineRule="auto"/>
        <w:ind w:left="0" w:hanging="11"/>
        <w:contextualSpacing w:val="0"/>
        <w:jc w:val="both"/>
        <w:rPr>
          <w:rFonts w:ascii="Verdana" w:hAnsi="Verdana"/>
          <w:sz w:val="20"/>
          <w:szCs w:val="20"/>
          <w:lang w:val="es-ES_tradnl"/>
        </w:rPr>
      </w:pPr>
      <w:r w:rsidRPr="001B2C9A">
        <w:rPr>
          <w:rFonts w:ascii="Verdana" w:hAnsi="Verdana"/>
          <w:sz w:val="20"/>
          <w:szCs w:val="20"/>
          <w:lang w:val="es-ES_tradnl"/>
        </w:rPr>
        <w:t xml:space="preserve">Concretamente, la visita </w:t>
      </w:r>
      <w:r w:rsidR="001D0253" w:rsidRPr="001B2C9A">
        <w:rPr>
          <w:rFonts w:ascii="Verdana" w:hAnsi="Verdana"/>
          <w:sz w:val="20"/>
          <w:szCs w:val="20"/>
          <w:lang w:val="es-ES_tradnl"/>
        </w:rPr>
        <w:t xml:space="preserve">respecto a este caso se efectuó </w:t>
      </w:r>
      <w:r w:rsidR="00762A2D" w:rsidRPr="001B2C9A">
        <w:rPr>
          <w:rFonts w:ascii="Verdana" w:hAnsi="Verdana"/>
          <w:sz w:val="20"/>
          <w:szCs w:val="20"/>
          <w:lang w:val="es-ES_tradnl"/>
        </w:rPr>
        <w:t>el día</w:t>
      </w:r>
      <w:r w:rsidR="001D0253" w:rsidRPr="001B2C9A">
        <w:rPr>
          <w:rFonts w:ascii="Verdana" w:hAnsi="Verdana"/>
          <w:sz w:val="20"/>
          <w:szCs w:val="20"/>
          <w:lang w:val="es-ES_tradnl"/>
        </w:rPr>
        <w:t xml:space="preserve"> 2</w:t>
      </w:r>
      <w:r w:rsidR="00762A2D" w:rsidRPr="001B2C9A">
        <w:rPr>
          <w:rFonts w:ascii="Verdana" w:hAnsi="Verdana"/>
          <w:sz w:val="20"/>
          <w:szCs w:val="20"/>
          <w:lang w:val="es-ES_tradnl"/>
        </w:rPr>
        <w:t>9</w:t>
      </w:r>
      <w:r w:rsidR="001D0253" w:rsidRPr="001B2C9A">
        <w:rPr>
          <w:rFonts w:ascii="Verdana" w:hAnsi="Verdana"/>
          <w:sz w:val="20"/>
          <w:szCs w:val="20"/>
          <w:lang w:val="es-ES_tradnl"/>
        </w:rPr>
        <w:t xml:space="preserve"> de noviembre, por la </w:t>
      </w:r>
      <w:r w:rsidR="00762A2D" w:rsidRPr="001B2C9A">
        <w:rPr>
          <w:rFonts w:ascii="Verdana" w:hAnsi="Verdana"/>
          <w:sz w:val="20"/>
          <w:szCs w:val="20"/>
          <w:lang w:val="es-ES_tradnl"/>
        </w:rPr>
        <w:t>mañana</w:t>
      </w:r>
      <w:r w:rsidR="001D0253" w:rsidRPr="001B2C9A">
        <w:rPr>
          <w:rFonts w:ascii="Verdana" w:hAnsi="Verdana"/>
          <w:sz w:val="20"/>
          <w:szCs w:val="20"/>
          <w:lang w:val="es-ES_tradnl"/>
        </w:rPr>
        <w:t xml:space="preserve">. </w:t>
      </w:r>
      <w:r w:rsidR="007C6ACC" w:rsidRPr="001B2C9A">
        <w:rPr>
          <w:rFonts w:ascii="Verdana" w:hAnsi="Verdana"/>
          <w:sz w:val="20"/>
          <w:szCs w:val="20"/>
          <w:lang w:val="es-ES_tradnl"/>
        </w:rPr>
        <w:t xml:space="preserve">Al momento de la visita </w:t>
      </w:r>
      <w:r w:rsidR="00642B3C" w:rsidRPr="001B2C9A">
        <w:rPr>
          <w:rFonts w:ascii="Verdana" w:hAnsi="Verdana"/>
          <w:sz w:val="20"/>
          <w:szCs w:val="20"/>
          <w:lang w:val="es-ES_tradnl"/>
        </w:rPr>
        <w:t>dicha comunidad se conformaba de 69</w:t>
      </w:r>
      <w:r w:rsidR="007C6ACC" w:rsidRPr="001B2C9A">
        <w:rPr>
          <w:rFonts w:ascii="Verdana" w:hAnsi="Verdana"/>
          <w:sz w:val="20"/>
          <w:szCs w:val="20"/>
          <w:lang w:val="es-ES_tradnl"/>
        </w:rPr>
        <w:t xml:space="preserve"> familias (</w:t>
      </w:r>
      <w:r w:rsidR="00642B3C" w:rsidRPr="001B2C9A">
        <w:rPr>
          <w:rFonts w:ascii="Verdana" w:hAnsi="Verdana"/>
          <w:sz w:val="20"/>
          <w:szCs w:val="20"/>
          <w:lang w:val="es-ES_tradnl"/>
        </w:rPr>
        <w:t xml:space="preserve">247 </w:t>
      </w:r>
      <w:r w:rsidR="007C6ACC" w:rsidRPr="001B2C9A">
        <w:rPr>
          <w:rFonts w:ascii="Verdana" w:hAnsi="Verdana"/>
          <w:sz w:val="20"/>
          <w:szCs w:val="20"/>
          <w:lang w:val="es-ES_tradnl"/>
        </w:rPr>
        <w:t>personas)</w:t>
      </w:r>
      <w:r w:rsidR="00642B3C" w:rsidRPr="001B2C9A">
        <w:rPr>
          <w:rFonts w:ascii="Verdana" w:hAnsi="Verdana"/>
          <w:sz w:val="20"/>
          <w:szCs w:val="20"/>
          <w:lang w:val="es-ES_tradnl"/>
        </w:rPr>
        <w:t xml:space="preserve"> de la Comunidad Xákmok Kásek y de 11 familias (33 personas) de la “Aldea 25 de febrero</w:t>
      </w:r>
      <w:r w:rsidR="0063611B">
        <w:rPr>
          <w:rFonts w:ascii="Verdana" w:hAnsi="Verdana"/>
          <w:sz w:val="20"/>
          <w:szCs w:val="20"/>
          <w:lang w:val="es-ES_tradnl"/>
        </w:rPr>
        <w:t>”</w:t>
      </w:r>
      <w:r w:rsidR="00642B3C" w:rsidRPr="001B2C9A">
        <w:rPr>
          <w:rFonts w:ascii="Verdana" w:hAnsi="Verdana"/>
          <w:sz w:val="20"/>
          <w:szCs w:val="20"/>
          <w:lang w:val="es-ES_tradnl"/>
        </w:rPr>
        <w:t>)</w:t>
      </w:r>
      <w:r w:rsidR="00E67551" w:rsidRPr="00F12669">
        <w:rPr>
          <w:rStyle w:val="Refdenotaalpie"/>
          <w:rFonts w:ascii="Verdana" w:hAnsi="Verdana"/>
          <w:sz w:val="20"/>
          <w:szCs w:val="20"/>
          <w:lang w:val="es-ES_tradnl"/>
        </w:rPr>
        <w:t xml:space="preserve"> </w:t>
      </w:r>
      <w:r w:rsidR="00E67551" w:rsidRPr="00F12669">
        <w:rPr>
          <w:rStyle w:val="Refdenotaalpie"/>
          <w:rFonts w:ascii="Verdana" w:hAnsi="Verdana"/>
          <w:sz w:val="20"/>
          <w:szCs w:val="20"/>
          <w:lang w:val="es-ES_tradnl"/>
        </w:rPr>
        <w:footnoteReference w:id="35"/>
      </w:r>
      <w:r w:rsidR="007C6ACC" w:rsidRPr="001B2C9A">
        <w:rPr>
          <w:rFonts w:ascii="Verdana" w:hAnsi="Verdana"/>
          <w:sz w:val="20"/>
          <w:szCs w:val="20"/>
          <w:lang w:val="es-ES_tradnl"/>
        </w:rPr>
        <w:t xml:space="preserve">. </w:t>
      </w:r>
      <w:r w:rsidR="00E67551" w:rsidRPr="001B2C9A">
        <w:rPr>
          <w:rFonts w:ascii="Verdana" w:hAnsi="Verdana"/>
          <w:sz w:val="20"/>
          <w:szCs w:val="20"/>
          <w:lang w:val="es-ES_tradnl"/>
        </w:rPr>
        <w:t>En</w:t>
      </w:r>
      <w:r w:rsidR="007C6ACC" w:rsidRPr="001B2C9A">
        <w:rPr>
          <w:rFonts w:ascii="Verdana" w:hAnsi="Verdana"/>
          <w:sz w:val="20"/>
          <w:szCs w:val="20"/>
          <w:lang w:val="es-ES_tradnl"/>
        </w:rPr>
        <w:t xml:space="preserve"> la visita se escuchó a los líderes </w:t>
      </w:r>
      <w:r w:rsidR="00940D65" w:rsidRPr="001B2C9A">
        <w:rPr>
          <w:rFonts w:ascii="Verdana" w:hAnsi="Verdana"/>
          <w:sz w:val="20"/>
          <w:szCs w:val="20"/>
          <w:lang w:val="es-ES_tradnl"/>
        </w:rPr>
        <w:t>Serafín López,</w:t>
      </w:r>
      <w:r w:rsidR="007C6ACC" w:rsidRPr="001B2C9A">
        <w:rPr>
          <w:rFonts w:ascii="Verdana" w:hAnsi="Verdana"/>
          <w:sz w:val="20"/>
          <w:szCs w:val="20"/>
          <w:lang w:val="es-ES_tradnl"/>
        </w:rPr>
        <w:t xml:space="preserve"> Clemente Dermott, </w:t>
      </w:r>
      <w:r w:rsidR="00940D65" w:rsidRPr="001B2C9A">
        <w:rPr>
          <w:rFonts w:ascii="Verdana" w:hAnsi="Verdana"/>
          <w:sz w:val="20"/>
          <w:szCs w:val="20"/>
          <w:lang w:val="es-ES_tradnl"/>
        </w:rPr>
        <w:t>Manuel Aguilera y Maximiliano Ruiz</w:t>
      </w:r>
      <w:r w:rsidR="007C6ACC" w:rsidRPr="001B2C9A">
        <w:rPr>
          <w:rFonts w:ascii="Verdana" w:hAnsi="Verdana"/>
          <w:sz w:val="20"/>
          <w:szCs w:val="20"/>
          <w:lang w:val="es-ES_tradnl"/>
        </w:rPr>
        <w:t>. También se escuchó a los representantes del Estado y de las víctimas</w:t>
      </w:r>
      <w:r w:rsidR="00F12669" w:rsidRPr="001B2C9A">
        <w:rPr>
          <w:rStyle w:val="Refdenotaalpie"/>
          <w:rFonts w:ascii="Verdana" w:hAnsi="Verdana"/>
          <w:sz w:val="20"/>
          <w:szCs w:val="20"/>
          <w:lang w:val="es-ES_tradnl"/>
        </w:rPr>
        <w:footnoteReference w:id="36"/>
      </w:r>
      <w:r w:rsidR="007C6ACC" w:rsidRPr="001B2C9A">
        <w:rPr>
          <w:rFonts w:ascii="Verdana" w:hAnsi="Verdana"/>
          <w:sz w:val="20"/>
          <w:szCs w:val="20"/>
          <w:lang w:val="es-ES_tradnl"/>
        </w:rPr>
        <w:t xml:space="preserve">. </w:t>
      </w:r>
      <w:r w:rsidR="0054245E" w:rsidRPr="001B2C9A">
        <w:rPr>
          <w:rFonts w:ascii="Verdana" w:hAnsi="Verdana"/>
          <w:sz w:val="20"/>
          <w:szCs w:val="20"/>
          <w:lang w:val="es-ES_tradnl"/>
        </w:rPr>
        <w:t xml:space="preserve">Ello consta en las fotografías </w:t>
      </w:r>
      <w:r w:rsidR="00F12669" w:rsidRPr="001B2C9A">
        <w:rPr>
          <w:rFonts w:ascii="Verdana" w:hAnsi="Verdana"/>
          <w:sz w:val="20"/>
          <w:szCs w:val="20"/>
          <w:lang w:val="es-ES_tradnl"/>
        </w:rPr>
        <w:t xml:space="preserve">1 </w:t>
      </w:r>
      <w:r w:rsidR="0063611B">
        <w:rPr>
          <w:rFonts w:ascii="Verdana" w:hAnsi="Verdana"/>
          <w:sz w:val="20"/>
          <w:szCs w:val="20"/>
          <w:lang w:val="es-ES_tradnl"/>
        </w:rPr>
        <w:t>a</w:t>
      </w:r>
      <w:r w:rsidR="0054245E" w:rsidRPr="001B2C9A">
        <w:rPr>
          <w:rFonts w:ascii="Verdana" w:hAnsi="Verdana"/>
          <w:sz w:val="20"/>
          <w:szCs w:val="20"/>
          <w:lang w:val="es-ES_tradnl"/>
        </w:rPr>
        <w:t xml:space="preserve"> </w:t>
      </w:r>
      <w:r w:rsidR="00F12669" w:rsidRPr="001B2C9A">
        <w:rPr>
          <w:rFonts w:ascii="Verdana" w:hAnsi="Verdana"/>
          <w:sz w:val="20"/>
          <w:szCs w:val="20"/>
          <w:lang w:val="es-ES_tradnl"/>
        </w:rPr>
        <w:t xml:space="preserve">4 </w:t>
      </w:r>
      <w:r w:rsidR="0054245E" w:rsidRPr="001B2C9A">
        <w:rPr>
          <w:rFonts w:ascii="Verdana" w:hAnsi="Verdana"/>
          <w:sz w:val="20"/>
          <w:szCs w:val="20"/>
          <w:lang w:val="es-ES_tradnl"/>
        </w:rPr>
        <w:t xml:space="preserve">en anexo a esta Resolución. </w:t>
      </w:r>
      <w:r w:rsidR="00351D4A" w:rsidRPr="001B2C9A">
        <w:rPr>
          <w:rFonts w:ascii="Verdana" w:hAnsi="Verdana"/>
          <w:sz w:val="20"/>
          <w:szCs w:val="20"/>
          <w:lang w:val="es-ES_tradnl"/>
        </w:rPr>
        <w:t xml:space="preserve">Luego de ello, la delegación de la Corte Interamericana, los representantes del Estado, las víctimas y sus representantes hicieron un recorrido por la comunidad, en el cual se visitó la escuela, el dispensario de salud, los mecanismos utilizados para provisión de agua, sus huertas y viviendas. Durante la visita, el Juez Pazmiño Freire enfatizó la necesidad de que el Paraguay manifestara compromisos serios para dar cumplimiento a las reparaciones, con plazos concretos, así como que se lograran acuerdos entre las partes con dicho fin. </w:t>
      </w:r>
    </w:p>
    <w:p w14:paraId="4C546342" w14:textId="77777777" w:rsidR="00E67551" w:rsidRPr="00412951" w:rsidRDefault="00E67551" w:rsidP="00E67551">
      <w:pPr>
        <w:pStyle w:val="Prrafodelista"/>
        <w:numPr>
          <w:ilvl w:val="0"/>
          <w:numId w:val="5"/>
        </w:numPr>
        <w:spacing w:before="120" w:after="120" w:line="240" w:lineRule="auto"/>
        <w:ind w:left="0" w:hanging="11"/>
        <w:contextualSpacing w:val="0"/>
        <w:jc w:val="both"/>
        <w:rPr>
          <w:rFonts w:ascii="Verdana" w:hAnsi="Verdana"/>
          <w:sz w:val="20"/>
          <w:szCs w:val="20"/>
          <w:lang w:val="es-ES_tradnl"/>
        </w:rPr>
      </w:pPr>
      <w:r w:rsidRPr="00412951">
        <w:rPr>
          <w:rFonts w:ascii="Verdana" w:hAnsi="Verdana"/>
          <w:sz w:val="20"/>
          <w:szCs w:val="20"/>
          <w:lang w:val="es-ES_tradnl"/>
        </w:rPr>
        <w:t xml:space="preserve">El 30 de noviembre de 2017, </w:t>
      </w:r>
      <w:r w:rsidRPr="00412951">
        <w:rPr>
          <w:rFonts w:ascii="Verdana" w:hAnsi="Verdana"/>
          <w:sz w:val="20"/>
          <w:szCs w:val="20"/>
          <w:lang w:val="es-CR"/>
        </w:rPr>
        <w:t>como complemento a la información recibida durante las visitas a las comunidades indígenas, se celebró en Asunción una audiencia privada de supervisión de cumplimiento respecto de los tres casos (</w:t>
      </w:r>
      <w:r w:rsidRPr="00412951">
        <w:rPr>
          <w:rFonts w:ascii="Verdana" w:hAnsi="Verdana"/>
          <w:i/>
          <w:sz w:val="20"/>
          <w:szCs w:val="20"/>
          <w:lang w:val="es-CR"/>
        </w:rPr>
        <w:t>supra</w:t>
      </w:r>
      <w:r w:rsidRPr="00412951">
        <w:rPr>
          <w:rFonts w:ascii="Verdana" w:hAnsi="Verdana"/>
          <w:sz w:val="20"/>
          <w:szCs w:val="20"/>
          <w:lang w:val="es-CR"/>
        </w:rPr>
        <w:t xml:space="preserve"> Visto </w:t>
      </w:r>
      <w:r>
        <w:rPr>
          <w:rFonts w:ascii="Verdana" w:hAnsi="Verdana"/>
          <w:sz w:val="20"/>
          <w:szCs w:val="20"/>
          <w:lang w:val="es-CR"/>
        </w:rPr>
        <w:t>8</w:t>
      </w:r>
      <w:r w:rsidRPr="00412951">
        <w:rPr>
          <w:rFonts w:ascii="Verdana" w:hAnsi="Verdana"/>
          <w:sz w:val="20"/>
          <w:szCs w:val="20"/>
          <w:lang w:val="es-CR"/>
        </w:rPr>
        <w:t>)</w:t>
      </w:r>
      <w:r w:rsidRPr="00601908">
        <w:rPr>
          <w:rStyle w:val="Refdenotaalpie"/>
          <w:rFonts w:ascii="Verdana" w:hAnsi="Verdana"/>
          <w:sz w:val="20"/>
          <w:szCs w:val="20"/>
          <w:lang w:val="es-CR"/>
        </w:rPr>
        <w:footnoteReference w:id="37"/>
      </w:r>
      <w:r w:rsidRPr="00412951">
        <w:rPr>
          <w:rFonts w:ascii="Verdana" w:hAnsi="Verdana"/>
          <w:sz w:val="20"/>
          <w:szCs w:val="20"/>
          <w:lang w:val="es-CR"/>
        </w:rPr>
        <w:t>.</w:t>
      </w:r>
      <w:r w:rsidRPr="00412951">
        <w:rPr>
          <w:rFonts w:ascii="Verdana" w:hAnsi="Verdana"/>
          <w:sz w:val="20"/>
          <w:szCs w:val="20"/>
          <w:lang w:val="es-ES_tradnl"/>
        </w:rPr>
        <w:t xml:space="preserve"> </w:t>
      </w:r>
      <w:r>
        <w:rPr>
          <w:rFonts w:ascii="Verdana" w:hAnsi="Verdana"/>
          <w:sz w:val="20"/>
          <w:szCs w:val="20"/>
          <w:lang w:val="es-ES_tradnl"/>
        </w:rPr>
        <w:t>Se destaca positivamente</w:t>
      </w:r>
      <w:r w:rsidRPr="00412951">
        <w:rPr>
          <w:rFonts w:ascii="Verdana" w:hAnsi="Verdana"/>
          <w:sz w:val="20"/>
          <w:szCs w:val="20"/>
          <w:lang w:val="es-ES_tradnl"/>
        </w:rPr>
        <w:t xml:space="preserve"> la actitud asumida por el Estado en esta audiencia, al aprovechar la misma para concentrarse en exponer una serie de compromisos concretos para avanzar en el cumplimiento de las reparaciones. Los representantes de las víctimas expresaron sus solicitudes y observaciones al respecto, así como la intención de trabajar en conjunto con el Estado para avanzar en el cumplimiento de forma pronta.</w:t>
      </w:r>
    </w:p>
    <w:p w14:paraId="5C70AF7F" w14:textId="77777777" w:rsidR="00E67551" w:rsidRPr="009F6540" w:rsidRDefault="00E67551" w:rsidP="00E67551">
      <w:pPr>
        <w:pStyle w:val="Prrafodelista"/>
        <w:numPr>
          <w:ilvl w:val="0"/>
          <w:numId w:val="5"/>
        </w:numPr>
        <w:spacing w:before="120" w:after="120" w:line="240" w:lineRule="auto"/>
        <w:ind w:left="0" w:hanging="11"/>
        <w:contextualSpacing w:val="0"/>
        <w:jc w:val="both"/>
        <w:rPr>
          <w:sz w:val="20"/>
          <w:szCs w:val="20"/>
          <w:lang w:val="es-CR"/>
        </w:rPr>
      </w:pPr>
      <w:bookmarkStart w:id="5" w:name="_d9aujhamgma9"/>
      <w:bookmarkStart w:id="6" w:name="_ao7k3y9atmfy"/>
      <w:bookmarkStart w:id="7" w:name="_padfirafy9qw"/>
      <w:bookmarkStart w:id="8" w:name="_xaforqghwzuy"/>
      <w:bookmarkStart w:id="9" w:name="_Ref487562144"/>
      <w:bookmarkEnd w:id="5"/>
      <w:bookmarkEnd w:id="6"/>
      <w:bookmarkEnd w:id="7"/>
      <w:bookmarkEnd w:id="8"/>
      <w:r w:rsidRPr="00315479">
        <w:rPr>
          <w:rFonts w:ascii="Verdana" w:hAnsi="Verdana"/>
          <w:sz w:val="20"/>
          <w:szCs w:val="20"/>
          <w:lang w:val="es-ES_tradnl"/>
        </w:rPr>
        <w:t xml:space="preserve">Resulta de vital importancia que </w:t>
      </w:r>
      <w:r>
        <w:rPr>
          <w:rFonts w:ascii="Verdana" w:hAnsi="Verdana"/>
          <w:sz w:val="20"/>
          <w:szCs w:val="20"/>
          <w:lang w:val="es-ES_tradnl"/>
        </w:rPr>
        <w:t>el Estado</w:t>
      </w:r>
      <w:r w:rsidRPr="00315479">
        <w:rPr>
          <w:rFonts w:ascii="Verdana" w:hAnsi="Verdana"/>
          <w:sz w:val="20"/>
          <w:szCs w:val="20"/>
          <w:lang w:val="es-ES_tradnl"/>
        </w:rPr>
        <w:t xml:space="preserve"> haya colaborado para que una delegación del Tribunal pudiera efectuar estas diligencias de supervisión</w:t>
      </w:r>
      <w:r>
        <w:rPr>
          <w:rFonts w:ascii="Verdana" w:hAnsi="Verdana"/>
          <w:sz w:val="20"/>
          <w:szCs w:val="20"/>
          <w:lang w:val="es-ES_tradnl"/>
        </w:rPr>
        <w:t xml:space="preserve"> de cumplimiento de Sentencias</w:t>
      </w:r>
      <w:r w:rsidRPr="00315479">
        <w:rPr>
          <w:rFonts w:ascii="Verdana" w:hAnsi="Verdana"/>
          <w:sz w:val="20"/>
          <w:szCs w:val="20"/>
          <w:lang w:val="es-ES_tradnl"/>
        </w:rPr>
        <w:t xml:space="preserve"> en su territorio. </w:t>
      </w:r>
      <w:r w:rsidRPr="00315479">
        <w:rPr>
          <w:rFonts w:ascii="Verdana" w:hAnsi="Verdana"/>
          <w:sz w:val="20"/>
          <w:szCs w:val="20"/>
          <w:lang w:val="es-CR"/>
        </w:rPr>
        <w:t>La Comisión Interinstitucional para el Cumplimiento de las Sentencias Internacionales (CICSI) del Paraguay</w:t>
      </w:r>
      <w:r w:rsidRPr="00315479">
        <w:rPr>
          <w:rStyle w:val="Refdenotaalpie"/>
          <w:rFonts w:ascii="Verdana" w:hAnsi="Verdana"/>
          <w:sz w:val="20"/>
          <w:szCs w:val="20"/>
        </w:rPr>
        <w:footnoteReference w:id="38"/>
      </w:r>
      <w:r w:rsidRPr="00315479">
        <w:rPr>
          <w:rFonts w:ascii="Verdana" w:hAnsi="Verdana"/>
          <w:sz w:val="20"/>
          <w:szCs w:val="20"/>
          <w:lang w:val="es-CR"/>
        </w:rPr>
        <w:t xml:space="preserve"> se encargó́ de los aspectos necesarios para su organización y de convocar la participación de las distintas autoridades estatales. Asimismo, el pleno de la Corte Suprema de Justicia del Paraguay declaró </w:t>
      </w:r>
      <w:r>
        <w:rPr>
          <w:rFonts w:ascii="Verdana" w:hAnsi="Verdana"/>
          <w:sz w:val="20"/>
          <w:szCs w:val="20"/>
          <w:lang w:val="es-CR"/>
        </w:rPr>
        <w:t xml:space="preserve">de </w:t>
      </w:r>
      <w:r w:rsidRPr="00315479">
        <w:rPr>
          <w:rFonts w:ascii="Verdana" w:hAnsi="Verdana"/>
          <w:sz w:val="20"/>
          <w:szCs w:val="20"/>
          <w:lang w:val="es-CR"/>
        </w:rPr>
        <w:t>“Interés Institucional”</w:t>
      </w:r>
      <w:r>
        <w:rPr>
          <w:rFonts w:ascii="Verdana" w:hAnsi="Verdana"/>
          <w:sz w:val="20"/>
          <w:szCs w:val="20"/>
          <w:lang w:val="es-CR"/>
        </w:rPr>
        <w:t xml:space="preserve"> </w:t>
      </w:r>
      <w:r w:rsidRPr="00315479">
        <w:rPr>
          <w:rFonts w:ascii="Verdana" w:hAnsi="Verdana"/>
          <w:sz w:val="20"/>
          <w:szCs w:val="20"/>
          <w:lang w:val="es-CR"/>
        </w:rPr>
        <w:t xml:space="preserve">esta visita de </w:t>
      </w:r>
      <w:r>
        <w:rPr>
          <w:rFonts w:ascii="Verdana" w:hAnsi="Verdana"/>
          <w:sz w:val="20"/>
          <w:szCs w:val="20"/>
          <w:lang w:val="es-CR"/>
        </w:rPr>
        <w:t>la Corte Interamericana</w:t>
      </w:r>
      <w:r>
        <w:rPr>
          <w:rStyle w:val="Refdenotaalpie"/>
          <w:rFonts w:ascii="Verdana" w:hAnsi="Verdana"/>
          <w:sz w:val="20"/>
          <w:szCs w:val="20"/>
          <w:lang w:val="es-CR"/>
        </w:rPr>
        <w:footnoteReference w:id="39"/>
      </w:r>
      <w:r w:rsidRPr="00315479">
        <w:rPr>
          <w:rFonts w:ascii="Verdana" w:hAnsi="Verdana"/>
          <w:sz w:val="20"/>
          <w:szCs w:val="20"/>
          <w:lang w:val="es-CR"/>
        </w:rPr>
        <w:t xml:space="preserve">. </w:t>
      </w:r>
    </w:p>
    <w:bookmarkEnd w:id="9"/>
    <w:p w14:paraId="6A0970C7" w14:textId="77777777" w:rsidR="00E67551" w:rsidRPr="008117C2" w:rsidRDefault="00E67551" w:rsidP="00E67551">
      <w:pPr>
        <w:pStyle w:val="Prrafodelista"/>
        <w:numPr>
          <w:ilvl w:val="0"/>
          <w:numId w:val="5"/>
        </w:numPr>
        <w:spacing w:before="120" w:after="120" w:line="240" w:lineRule="auto"/>
        <w:ind w:left="0" w:hanging="11"/>
        <w:contextualSpacing w:val="0"/>
        <w:jc w:val="both"/>
        <w:rPr>
          <w:rFonts w:ascii="Verdana" w:hAnsi="Verdana"/>
          <w:sz w:val="20"/>
          <w:szCs w:val="20"/>
          <w:lang w:val="es-ES_tradnl"/>
        </w:rPr>
      </w:pPr>
      <w:r w:rsidRPr="008117C2">
        <w:rPr>
          <w:rFonts w:ascii="Verdana" w:hAnsi="Verdana"/>
          <w:sz w:val="20"/>
          <w:szCs w:val="20"/>
          <w:lang w:val="es-ES_tradnl"/>
        </w:rPr>
        <w:t>La Corte destaca la necesidad de que, en casos como el presente, respecto de la supervisión de reparaciones que lo ameriten, los Estados asuman este tipo de actitud, dirigida a que las diligencias se efectúen de forma directa en su territorio, con la mayor participación posible de funcionarios responsables de ejecutar las mismas y la mejor disponibilidad para asumir compromisos dirigidos al pronto cumplimiento de las reparaciones. Este tipo de visita además permitió la comunicación directa e inmediata entre las víctimas y altos funcionarios estatales, de manera que en el mismo momento estos últimos pudieran comprometerse a adoptar acciones concretas dirigidas a avanzar en el cumplimiento de las medidas y que las víctimas pudieran ser escuchadas sobre los avances y falencias que identifican</w:t>
      </w:r>
      <w:r>
        <w:rPr>
          <w:rStyle w:val="Refdenotaalpie"/>
          <w:rFonts w:ascii="Verdana" w:hAnsi="Verdana"/>
          <w:sz w:val="20"/>
          <w:szCs w:val="20"/>
          <w:lang w:val="es-ES_tradnl"/>
        </w:rPr>
        <w:footnoteReference w:id="40"/>
      </w:r>
      <w:r w:rsidRPr="008117C2">
        <w:rPr>
          <w:rFonts w:ascii="Verdana" w:hAnsi="Verdana"/>
          <w:sz w:val="20"/>
          <w:szCs w:val="20"/>
          <w:lang w:val="es-ES_tradnl"/>
        </w:rPr>
        <w:t xml:space="preserve">. </w:t>
      </w:r>
    </w:p>
    <w:p w14:paraId="073873BD" w14:textId="77777777" w:rsidR="00CC3074" w:rsidRPr="003C6B95" w:rsidRDefault="00CC3074" w:rsidP="00721C9A">
      <w:pPr>
        <w:spacing w:before="120" w:after="120" w:line="240" w:lineRule="auto"/>
        <w:ind w:right="4"/>
        <w:jc w:val="both"/>
        <w:outlineLvl w:val="0"/>
        <w:rPr>
          <w:rFonts w:ascii="Verdana" w:eastAsiaTheme="minorHAnsi" w:hAnsi="Verdana" w:cstheme="minorBidi"/>
          <w:b/>
          <w:sz w:val="12"/>
          <w:szCs w:val="12"/>
          <w:lang w:val="es-ES_tradnl"/>
        </w:rPr>
      </w:pPr>
    </w:p>
    <w:p w14:paraId="1BBCCD4A" w14:textId="77777777" w:rsidR="001843E7" w:rsidRPr="000A3EE5" w:rsidRDefault="002E2C74" w:rsidP="000A3EE5">
      <w:pPr>
        <w:pStyle w:val="Ttulo1"/>
        <w:numPr>
          <w:ilvl w:val="0"/>
          <w:numId w:val="24"/>
        </w:numPr>
        <w:spacing w:before="0" w:line="240" w:lineRule="auto"/>
        <w:rPr>
          <w:rFonts w:ascii="Verdana" w:hAnsi="Verdana"/>
          <w:i/>
          <w:color w:val="auto"/>
          <w:sz w:val="20"/>
          <w:szCs w:val="20"/>
          <w:lang w:val="es-CR"/>
        </w:rPr>
      </w:pPr>
      <w:bookmarkStart w:id="10" w:name="_Toc12032440"/>
      <w:r>
        <w:rPr>
          <w:rFonts w:ascii="Verdana" w:hAnsi="Verdana"/>
          <w:i/>
          <w:color w:val="auto"/>
          <w:sz w:val="20"/>
          <w:szCs w:val="20"/>
          <w:lang w:val="es-CR"/>
        </w:rPr>
        <w:t>D</w:t>
      </w:r>
      <w:r w:rsidR="000A3EE5" w:rsidRPr="000A3EE5">
        <w:rPr>
          <w:rFonts w:ascii="Verdana" w:hAnsi="Verdana"/>
          <w:i/>
          <w:color w:val="auto"/>
          <w:sz w:val="20"/>
          <w:szCs w:val="20"/>
          <w:lang w:val="es-CR"/>
        </w:rPr>
        <w:t>evolver el territorio tradicional de la Comunidad Xákmok Kásek</w:t>
      </w:r>
      <w:r w:rsidR="0063611B">
        <w:rPr>
          <w:rFonts w:ascii="Verdana" w:hAnsi="Verdana"/>
          <w:i/>
          <w:color w:val="auto"/>
          <w:sz w:val="20"/>
          <w:szCs w:val="20"/>
          <w:lang w:val="es-CR"/>
        </w:rPr>
        <w:t xml:space="preserve"> y velar que éste no se vea menoscabado</w:t>
      </w:r>
      <w:bookmarkEnd w:id="10"/>
    </w:p>
    <w:p w14:paraId="351C4921" w14:textId="77777777" w:rsidR="000A3EE5" w:rsidRDefault="00563D4F" w:rsidP="006961B7">
      <w:pPr>
        <w:tabs>
          <w:tab w:val="left" w:pos="567"/>
        </w:tabs>
        <w:spacing w:before="120" w:after="120" w:line="240" w:lineRule="auto"/>
        <w:ind w:right="4"/>
        <w:jc w:val="both"/>
        <w:outlineLvl w:val="0"/>
        <w:rPr>
          <w:rFonts w:ascii="Verdana" w:hAnsi="Verdana"/>
          <w:i/>
          <w:sz w:val="20"/>
          <w:lang w:val="es-ES_tradnl"/>
        </w:rPr>
      </w:pPr>
      <w:r>
        <w:rPr>
          <w:rFonts w:ascii="Verdana" w:eastAsiaTheme="minorHAnsi" w:hAnsi="Verdana" w:cstheme="minorBidi"/>
          <w:b/>
          <w:i/>
          <w:sz w:val="20"/>
          <w:szCs w:val="20"/>
          <w:lang w:val="es-ES_tradnl"/>
        </w:rPr>
        <w:tab/>
      </w:r>
      <w:bookmarkStart w:id="11" w:name="_Toc5184316"/>
      <w:bookmarkStart w:id="12" w:name="_Toc7102464"/>
      <w:bookmarkStart w:id="13" w:name="_Toc7715866"/>
      <w:bookmarkStart w:id="14" w:name="_Toc11143858"/>
      <w:bookmarkStart w:id="15" w:name="_Toc12032441"/>
      <w:r w:rsidR="003F4E93" w:rsidRPr="00563D4F">
        <w:rPr>
          <w:rFonts w:ascii="Verdana" w:eastAsiaTheme="minorHAnsi" w:hAnsi="Verdana" w:cstheme="minorBidi"/>
          <w:i/>
          <w:sz w:val="20"/>
          <w:szCs w:val="20"/>
          <w:lang w:val="es-ES_tradnl"/>
        </w:rPr>
        <w:t>B.1.</w:t>
      </w:r>
      <w:r w:rsidR="003F4E93" w:rsidRPr="001B2C9A">
        <w:rPr>
          <w:rFonts w:ascii="Verdana" w:eastAsiaTheme="minorHAnsi" w:hAnsi="Verdana" w:cstheme="minorBidi"/>
          <w:i/>
          <w:sz w:val="20"/>
          <w:szCs w:val="20"/>
          <w:lang w:val="es-ES_tradnl"/>
        </w:rPr>
        <w:t xml:space="preserve"> </w:t>
      </w:r>
      <w:r w:rsidRPr="00563D4F">
        <w:rPr>
          <w:rFonts w:ascii="Verdana" w:hAnsi="Verdana"/>
          <w:i/>
          <w:sz w:val="20"/>
          <w:lang w:val="es-ES_tradnl"/>
        </w:rPr>
        <w:t>Medida ordenada por la Corte y supervisión realizada en resoluciones anteriores</w:t>
      </w:r>
      <w:bookmarkEnd w:id="11"/>
      <w:bookmarkEnd w:id="12"/>
      <w:bookmarkEnd w:id="13"/>
      <w:bookmarkEnd w:id="14"/>
      <w:bookmarkEnd w:id="15"/>
    </w:p>
    <w:p w14:paraId="192E4823" w14:textId="77777777" w:rsidR="001447B4" w:rsidRPr="0099551F" w:rsidRDefault="00940D65" w:rsidP="006961B7">
      <w:pPr>
        <w:pStyle w:val="Prrafodelista"/>
        <w:numPr>
          <w:ilvl w:val="0"/>
          <w:numId w:val="5"/>
        </w:numPr>
        <w:spacing w:before="120" w:after="120" w:line="240" w:lineRule="auto"/>
        <w:ind w:left="0" w:firstLine="0"/>
        <w:contextualSpacing w:val="0"/>
        <w:jc w:val="both"/>
        <w:rPr>
          <w:rFonts w:ascii="Verdana" w:hAnsi="Verdana"/>
          <w:sz w:val="20"/>
          <w:szCs w:val="20"/>
          <w:lang w:val="es-ES_tradnl"/>
        </w:rPr>
      </w:pPr>
      <w:r>
        <w:rPr>
          <w:rFonts w:ascii="Verdana" w:hAnsi="Verdana"/>
          <w:bCs/>
          <w:sz w:val="20"/>
          <w:lang w:val="es-ES_tradnl"/>
        </w:rPr>
        <w:t xml:space="preserve">En </w:t>
      </w:r>
      <w:r w:rsidR="001447B4">
        <w:rPr>
          <w:rFonts w:ascii="Verdana" w:hAnsi="Verdana"/>
          <w:bCs/>
          <w:sz w:val="20"/>
          <w:lang w:val="es-ES_tradnl"/>
        </w:rPr>
        <w:t>los</w:t>
      </w:r>
      <w:r>
        <w:rPr>
          <w:rFonts w:ascii="Verdana" w:hAnsi="Verdana"/>
          <w:bCs/>
          <w:sz w:val="20"/>
          <w:lang w:val="es-ES_tradnl"/>
        </w:rPr>
        <w:t xml:space="preserve"> punto</w:t>
      </w:r>
      <w:r w:rsidR="001447B4">
        <w:rPr>
          <w:rFonts w:ascii="Verdana" w:hAnsi="Verdana"/>
          <w:bCs/>
          <w:sz w:val="20"/>
          <w:lang w:val="es-ES_tradnl"/>
        </w:rPr>
        <w:t>s</w:t>
      </w:r>
      <w:r>
        <w:rPr>
          <w:rFonts w:ascii="Verdana" w:hAnsi="Verdana"/>
          <w:bCs/>
          <w:sz w:val="20"/>
          <w:lang w:val="es-ES_tradnl"/>
        </w:rPr>
        <w:t xml:space="preserve"> resolutivo</w:t>
      </w:r>
      <w:r w:rsidR="001447B4">
        <w:rPr>
          <w:rFonts w:ascii="Verdana" w:hAnsi="Verdana"/>
          <w:bCs/>
          <w:sz w:val="20"/>
          <w:lang w:val="es-ES_tradnl"/>
        </w:rPr>
        <w:t>s</w:t>
      </w:r>
      <w:r>
        <w:rPr>
          <w:rFonts w:ascii="Verdana" w:hAnsi="Verdana"/>
          <w:bCs/>
          <w:sz w:val="20"/>
          <w:lang w:val="es-ES_tradnl"/>
        </w:rPr>
        <w:t xml:space="preserve"> décimo segundo</w:t>
      </w:r>
      <w:r w:rsidR="001447B4">
        <w:rPr>
          <w:rFonts w:ascii="Verdana" w:hAnsi="Verdana"/>
          <w:bCs/>
          <w:sz w:val="20"/>
          <w:lang w:val="es-ES_tradnl"/>
        </w:rPr>
        <w:t xml:space="preserve"> y décimo tercero </w:t>
      </w:r>
      <w:r>
        <w:rPr>
          <w:rFonts w:ascii="Verdana" w:hAnsi="Verdana"/>
          <w:bCs/>
          <w:sz w:val="20"/>
          <w:lang w:val="es-ES_tradnl"/>
        </w:rPr>
        <w:t xml:space="preserve">y los </w:t>
      </w:r>
      <w:r w:rsidRPr="0099551F">
        <w:rPr>
          <w:rFonts w:ascii="Verdana" w:hAnsi="Verdana"/>
          <w:bCs/>
          <w:sz w:val="20"/>
          <w:szCs w:val="20"/>
          <w:lang w:val="es-ES_tradnl"/>
        </w:rPr>
        <w:t>párrafos 281 a 29</w:t>
      </w:r>
      <w:r w:rsidR="001447B4" w:rsidRPr="0099551F">
        <w:rPr>
          <w:rFonts w:ascii="Verdana" w:hAnsi="Verdana"/>
          <w:bCs/>
          <w:sz w:val="20"/>
          <w:szCs w:val="20"/>
          <w:lang w:val="es-ES_tradnl"/>
        </w:rPr>
        <w:t>1</w:t>
      </w:r>
      <w:r w:rsidRPr="0099551F">
        <w:rPr>
          <w:rFonts w:ascii="Verdana" w:hAnsi="Verdana"/>
          <w:bCs/>
          <w:sz w:val="20"/>
          <w:szCs w:val="20"/>
          <w:lang w:val="es-ES_tradnl"/>
        </w:rPr>
        <w:t xml:space="preserve"> de la Sentencia, se dispuso que el Estado</w:t>
      </w:r>
      <w:r w:rsidR="00FF4104">
        <w:rPr>
          <w:rFonts w:ascii="Verdana" w:hAnsi="Verdana"/>
          <w:bCs/>
          <w:sz w:val="20"/>
          <w:szCs w:val="20"/>
          <w:lang w:val="es-ES_tradnl"/>
        </w:rPr>
        <w:t xml:space="preserve"> debe</w:t>
      </w:r>
      <w:r w:rsidR="001447B4" w:rsidRPr="0099551F">
        <w:rPr>
          <w:rFonts w:ascii="Verdana" w:hAnsi="Verdana"/>
          <w:bCs/>
          <w:sz w:val="20"/>
          <w:szCs w:val="20"/>
          <w:lang w:val="es-ES_tradnl"/>
        </w:rPr>
        <w:t>:</w:t>
      </w:r>
    </w:p>
    <w:p w14:paraId="1F9235B1" w14:textId="77777777" w:rsidR="001447B4" w:rsidRPr="0099551F" w:rsidRDefault="00940D65" w:rsidP="006961B7">
      <w:pPr>
        <w:pStyle w:val="Prrafodelista"/>
        <w:numPr>
          <w:ilvl w:val="0"/>
          <w:numId w:val="33"/>
        </w:numPr>
        <w:spacing w:before="120" w:after="120" w:line="240" w:lineRule="auto"/>
        <w:contextualSpacing w:val="0"/>
        <w:jc w:val="both"/>
        <w:rPr>
          <w:rFonts w:ascii="Verdana" w:hAnsi="Verdana"/>
          <w:bCs/>
          <w:sz w:val="20"/>
          <w:szCs w:val="20"/>
          <w:lang w:val="es-ES_tradnl"/>
        </w:rPr>
      </w:pPr>
      <w:r w:rsidRPr="0099551F">
        <w:rPr>
          <w:rFonts w:ascii="Verdana" w:hAnsi="Verdana"/>
          <w:bCs/>
          <w:sz w:val="20"/>
          <w:szCs w:val="20"/>
          <w:lang w:val="es-ES_tradnl"/>
        </w:rPr>
        <w:t xml:space="preserve">“devolver </w:t>
      </w:r>
      <w:r w:rsidRPr="0099551F">
        <w:rPr>
          <w:rFonts w:ascii="Verdana" w:hAnsi="Verdana"/>
          <w:sz w:val="20"/>
          <w:szCs w:val="20"/>
          <w:lang w:val="es-CR"/>
        </w:rPr>
        <w:t>a los miembros de la Comunidad Xákmok Kásek las 10.700 hectáreas reclamadas por ésta</w:t>
      </w:r>
      <w:r w:rsidRPr="001B2C9A">
        <w:rPr>
          <w:rFonts w:ascii="Verdana" w:hAnsi="Verdana"/>
          <w:sz w:val="20"/>
          <w:szCs w:val="20"/>
          <w:lang w:val="es-CR"/>
        </w:rPr>
        <w:t>”</w:t>
      </w:r>
      <w:r w:rsidR="0099551F">
        <w:rPr>
          <w:rFonts w:ascii="Verdana" w:hAnsi="Verdana"/>
          <w:sz w:val="20"/>
          <w:szCs w:val="20"/>
          <w:lang w:val="es-CR"/>
        </w:rPr>
        <w:t xml:space="preserve"> </w:t>
      </w:r>
      <w:r w:rsidR="0099551F" w:rsidRPr="001B2C9A">
        <w:rPr>
          <w:rFonts w:ascii="Verdana" w:hAnsi="Verdana"/>
          <w:i/>
          <w:sz w:val="20"/>
          <w:szCs w:val="20"/>
          <w:lang w:val="es-CR"/>
        </w:rPr>
        <w:t>(punto resolutivo décimo segundo)</w:t>
      </w:r>
      <w:r w:rsidRPr="0099551F">
        <w:rPr>
          <w:rStyle w:val="Refdenotaalpie"/>
          <w:rFonts w:ascii="Verdana" w:hAnsi="Verdana"/>
          <w:bCs/>
          <w:sz w:val="20"/>
          <w:szCs w:val="20"/>
          <w:lang w:val="es-ES_tradnl"/>
        </w:rPr>
        <w:footnoteReference w:id="41"/>
      </w:r>
      <w:r w:rsidR="001447B4" w:rsidRPr="001B2C9A">
        <w:rPr>
          <w:rFonts w:ascii="Verdana" w:hAnsi="Verdana"/>
          <w:sz w:val="20"/>
          <w:szCs w:val="20"/>
          <w:lang w:val="es-ES_tradnl"/>
        </w:rPr>
        <w:t>, y</w:t>
      </w:r>
    </w:p>
    <w:p w14:paraId="47228C03" w14:textId="77777777" w:rsidR="001447B4" w:rsidRPr="0099551F" w:rsidRDefault="001447B4" w:rsidP="006961B7">
      <w:pPr>
        <w:pStyle w:val="Prrafodelista"/>
        <w:numPr>
          <w:ilvl w:val="0"/>
          <w:numId w:val="33"/>
        </w:numPr>
        <w:spacing w:before="120" w:after="120" w:line="240" w:lineRule="auto"/>
        <w:contextualSpacing w:val="0"/>
        <w:jc w:val="both"/>
        <w:rPr>
          <w:rFonts w:ascii="Verdana" w:hAnsi="Verdana"/>
          <w:bCs/>
          <w:sz w:val="20"/>
          <w:szCs w:val="20"/>
          <w:lang w:val="es-ES_tradnl"/>
        </w:rPr>
      </w:pPr>
      <w:r w:rsidRPr="0099551F">
        <w:rPr>
          <w:rFonts w:ascii="Verdana" w:hAnsi="Verdana"/>
          <w:bCs/>
          <w:sz w:val="20"/>
          <w:szCs w:val="20"/>
          <w:lang w:val="es-ES_tradnl"/>
        </w:rPr>
        <w:t>“velar inmediatamente que el</w:t>
      </w:r>
      <w:r w:rsidRPr="0099551F">
        <w:rPr>
          <w:rFonts w:ascii="Verdana" w:hAnsi="Verdana"/>
          <w:bCs/>
          <w:i/>
          <w:sz w:val="20"/>
          <w:szCs w:val="20"/>
          <w:lang w:val="es-ES_tradnl"/>
        </w:rPr>
        <w:t xml:space="preserve"> </w:t>
      </w:r>
      <w:r w:rsidRPr="0099551F">
        <w:rPr>
          <w:rFonts w:ascii="Verdana" w:hAnsi="Verdana"/>
          <w:bCs/>
          <w:sz w:val="20"/>
          <w:szCs w:val="20"/>
          <w:lang w:val="es-ES_tradnl"/>
        </w:rPr>
        <w:t>territorio reclamado por la Comunidad no se vea menoscabado por acciones del propio Estado o de terceros particulares”</w:t>
      </w:r>
      <w:r w:rsidR="0099551F" w:rsidRPr="0099551F">
        <w:rPr>
          <w:rFonts w:ascii="Verdana" w:hAnsi="Verdana"/>
          <w:bCs/>
          <w:sz w:val="20"/>
          <w:szCs w:val="20"/>
          <w:lang w:val="es-ES_tradnl"/>
        </w:rPr>
        <w:t xml:space="preserve"> </w:t>
      </w:r>
      <w:r w:rsidR="0099551F" w:rsidRPr="001B2C9A">
        <w:rPr>
          <w:rFonts w:ascii="Verdana" w:hAnsi="Verdana"/>
          <w:bCs/>
          <w:i/>
          <w:sz w:val="20"/>
          <w:szCs w:val="20"/>
          <w:lang w:val="es-ES_tradnl"/>
        </w:rPr>
        <w:t>(punto resolutivo décimo tercero)</w:t>
      </w:r>
      <w:r w:rsidRPr="0099551F">
        <w:rPr>
          <w:rStyle w:val="Refdenotaalpie"/>
          <w:rFonts w:ascii="Verdana" w:hAnsi="Verdana"/>
          <w:bCs/>
          <w:sz w:val="20"/>
          <w:szCs w:val="20"/>
          <w:lang w:val="es-ES_tradnl"/>
        </w:rPr>
        <w:footnoteReference w:id="42"/>
      </w:r>
      <w:r w:rsidRPr="0099551F">
        <w:rPr>
          <w:rFonts w:ascii="Verdana" w:hAnsi="Verdana"/>
          <w:bCs/>
          <w:sz w:val="20"/>
          <w:szCs w:val="20"/>
          <w:lang w:val="es-ES_tradnl"/>
        </w:rPr>
        <w:t>.</w:t>
      </w:r>
    </w:p>
    <w:p w14:paraId="13621839" w14:textId="77777777" w:rsidR="0028502E" w:rsidRDefault="001447B4" w:rsidP="006961B7">
      <w:pPr>
        <w:pStyle w:val="Prrafodelista"/>
        <w:numPr>
          <w:ilvl w:val="0"/>
          <w:numId w:val="5"/>
        </w:numPr>
        <w:spacing w:before="120" w:after="120" w:line="240" w:lineRule="auto"/>
        <w:ind w:left="0" w:firstLine="0"/>
        <w:contextualSpacing w:val="0"/>
        <w:jc w:val="both"/>
        <w:rPr>
          <w:rFonts w:ascii="Verdana" w:hAnsi="Verdana"/>
          <w:sz w:val="20"/>
          <w:lang w:val="es-ES_tradnl"/>
        </w:rPr>
      </w:pPr>
      <w:r w:rsidRPr="001447B4">
        <w:rPr>
          <w:rFonts w:ascii="Verdana" w:hAnsi="Verdana"/>
          <w:bCs/>
          <w:sz w:val="20"/>
          <w:szCs w:val="20"/>
          <w:lang w:val="es-ES_tradnl"/>
        </w:rPr>
        <w:t xml:space="preserve">En cuanto a la </w:t>
      </w:r>
      <w:r w:rsidRPr="001447B4">
        <w:rPr>
          <w:rFonts w:ascii="Verdana" w:hAnsi="Verdana"/>
          <w:sz w:val="20"/>
          <w:szCs w:val="20"/>
          <w:lang w:val="es-CR"/>
        </w:rPr>
        <w:t>obligación de devolver las 10.700 hectáreas reclamadas por la comunidad</w:t>
      </w:r>
      <w:r w:rsidR="0064579E" w:rsidRPr="001447B4">
        <w:rPr>
          <w:rFonts w:ascii="Verdana" w:hAnsi="Verdana"/>
          <w:bCs/>
          <w:sz w:val="20"/>
          <w:szCs w:val="20"/>
          <w:lang w:val="es-ES_tradnl"/>
        </w:rPr>
        <w:t>, indicó que “[s]i por motivos objetivos y fundamentados […] las autoridades paraguayas resuelven dar prioridad al derecho a la propiedad de los particulares por sobre el derecho</w:t>
      </w:r>
      <w:r w:rsidR="0064579E" w:rsidRPr="00940D65">
        <w:rPr>
          <w:rFonts w:ascii="Verdana" w:hAnsi="Verdana"/>
          <w:bCs/>
          <w:sz w:val="20"/>
          <w:szCs w:val="20"/>
          <w:lang w:val="es-ES_tradnl"/>
        </w:rPr>
        <w:t xml:space="preserve"> a la propiedad de los miembros de la Comunidad, deberá entregar a éstos tierras alternativas” y dispuso que “la elección de estas tierras deberá ser consensuada con los miembros de la Comunidad”. </w:t>
      </w:r>
      <w:r w:rsidR="0064579E" w:rsidRPr="00940D65">
        <w:rPr>
          <w:rFonts w:ascii="Verdana" w:hAnsi="Verdana"/>
          <w:sz w:val="20"/>
          <w:szCs w:val="20"/>
          <w:lang w:val="es-ES_tradnl"/>
        </w:rPr>
        <w:t xml:space="preserve">La Corte igualmente </w:t>
      </w:r>
      <w:r w:rsidR="0064579E" w:rsidRPr="001447B4">
        <w:rPr>
          <w:rFonts w:ascii="Verdana" w:hAnsi="Verdana"/>
          <w:sz w:val="20"/>
          <w:szCs w:val="20"/>
          <w:lang w:val="es-ES_tradnl"/>
        </w:rPr>
        <w:t>determinó que el Estado “</w:t>
      </w:r>
      <w:r w:rsidR="002E2C74" w:rsidRPr="001447B4">
        <w:rPr>
          <w:rFonts w:ascii="Verdana" w:hAnsi="Verdana"/>
          <w:bCs/>
          <w:sz w:val="20"/>
          <w:szCs w:val="20"/>
          <w:lang w:val="es-ES_tradnl"/>
        </w:rPr>
        <w:t>c</w:t>
      </w:r>
      <w:r w:rsidR="002E2C74">
        <w:rPr>
          <w:rFonts w:ascii="Verdana" w:hAnsi="Verdana"/>
          <w:bCs/>
          <w:sz w:val="20"/>
          <w:szCs w:val="20"/>
          <w:lang w:val="es-ES_tradnl"/>
        </w:rPr>
        <w:t>[ontaba]</w:t>
      </w:r>
      <w:r w:rsidR="002E2C74" w:rsidRPr="001447B4">
        <w:rPr>
          <w:rFonts w:ascii="Verdana" w:hAnsi="Verdana"/>
          <w:bCs/>
          <w:i/>
          <w:sz w:val="20"/>
          <w:szCs w:val="20"/>
          <w:lang w:val="es-ES_tradnl"/>
        </w:rPr>
        <w:t xml:space="preserve"> </w:t>
      </w:r>
      <w:r w:rsidR="0064579E" w:rsidRPr="001447B4">
        <w:rPr>
          <w:rFonts w:ascii="Verdana" w:hAnsi="Verdana"/>
          <w:bCs/>
          <w:sz w:val="20"/>
          <w:szCs w:val="20"/>
          <w:lang w:val="es-ES_tradnl"/>
        </w:rPr>
        <w:t xml:space="preserve">con un plazo de tres años a partir de la notificación de la […] Sentencia para la devolución de las tierras tradicionales a los miembros de la Comunidad”, el cual </w:t>
      </w:r>
      <w:r w:rsidRPr="001447B4">
        <w:rPr>
          <w:rFonts w:ascii="Verdana" w:hAnsi="Verdana"/>
          <w:bCs/>
          <w:sz w:val="20"/>
          <w:szCs w:val="20"/>
          <w:lang w:val="es-ES_tradnl"/>
        </w:rPr>
        <w:t>“[a]nte solicitud fundada del Estado, […] podr[ía ser] prorroga[do por] un año para continuar con los respectivos procedimientos</w:t>
      </w:r>
      <w:r w:rsidR="002E2C74">
        <w:rPr>
          <w:rFonts w:ascii="Verdana" w:hAnsi="Verdana"/>
          <w:bCs/>
          <w:sz w:val="20"/>
          <w:szCs w:val="20"/>
          <w:lang w:val="es-ES_tradnl"/>
        </w:rPr>
        <w:t xml:space="preserve"> internos</w:t>
      </w:r>
      <w:r w:rsidRPr="001447B4">
        <w:rPr>
          <w:rFonts w:ascii="Verdana" w:hAnsi="Verdana"/>
          <w:bCs/>
          <w:sz w:val="20"/>
          <w:szCs w:val="20"/>
          <w:lang w:val="es-ES_tradnl"/>
        </w:rPr>
        <w:t xml:space="preserve"> instaurados para la devolución del territorio tradicional”</w:t>
      </w:r>
      <w:r w:rsidR="0064579E" w:rsidRPr="001447B4">
        <w:rPr>
          <w:rFonts w:ascii="Verdana" w:hAnsi="Verdana"/>
          <w:bCs/>
          <w:sz w:val="20"/>
          <w:szCs w:val="20"/>
          <w:lang w:val="es-ES_tradnl"/>
        </w:rPr>
        <w:t>. Además, la</w:t>
      </w:r>
      <w:r w:rsidR="0064579E" w:rsidRPr="001447B4">
        <w:rPr>
          <w:rFonts w:ascii="Verdana" w:hAnsi="Verdana"/>
          <w:bCs/>
          <w:i/>
          <w:sz w:val="20"/>
          <w:szCs w:val="20"/>
          <w:lang w:val="es-ES_tradnl"/>
        </w:rPr>
        <w:t xml:space="preserve"> </w:t>
      </w:r>
      <w:r w:rsidR="0064579E" w:rsidRPr="001447B4">
        <w:rPr>
          <w:rFonts w:ascii="Verdana" w:hAnsi="Verdana"/>
          <w:bCs/>
          <w:sz w:val="20"/>
          <w:szCs w:val="20"/>
          <w:lang w:val="es-ES_tradnl"/>
        </w:rPr>
        <w:t xml:space="preserve">Corte ordenó que “si el plazo de tres años fijado en [la] Sentencia venciera, o en su caso, si la prórroga otorgada conforme al párrafo 287 </w:t>
      </w:r>
      <w:r w:rsidR="002E2C74">
        <w:rPr>
          <w:rFonts w:ascii="Verdana" w:hAnsi="Verdana"/>
          <w:bCs/>
          <w:sz w:val="20"/>
          <w:szCs w:val="20"/>
          <w:lang w:val="es-ES_tradnl"/>
        </w:rPr>
        <w:t xml:space="preserve">[de la Sentencia] </w:t>
      </w:r>
      <w:r w:rsidR="0064579E" w:rsidRPr="001447B4">
        <w:rPr>
          <w:rFonts w:ascii="Verdana" w:hAnsi="Verdana"/>
          <w:bCs/>
          <w:sz w:val="20"/>
          <w:szCs w:val="20"/>
          <w:lang w:val="es-ES_tradnl"/>
        </w:rPr>
        <w:t xml:space="preserve">venciera o fuera denegada por el Tribunal, sin que el Estado </w:t>
      </w:r>
      <w:r w:rsidR="002E2C74" w:rsidRPr="001447B4">
        <w:rPr>
          <w:rFonts w:ascii="Verdana" w:hAnsi="Verdana"/>
          <w:bCs/>
          <w:sz w:val="20"/>
          <w:szCs w:val="20"/>
          <w:lang w:val="es-ES_tradnl"/>
        </w:rPr>
        <w:t>h</w:t>
      </w:r>
      <w:r w:rsidR="002E2C74">
        <w:rPr>
          <w:rFonts w:ascii="Verdana" w:hAnsi="Verdana"/>
          <w:bCs/>
          <w:sz w:val="20"/>
          <w:szCs w:val="20"/>
          <w:lang w:val="es-ES_tradnl"/>
        </w:rPr>
        <w:t>[ubiera]</w:t>
      </w:r>
      <w:r w:rsidR="002E2C74" w:rsidRPr="001447B4">
        <w:rPr>
          <w:rFonts w:ascii="Verdana" w:hAnsi="Verdana"/>
          <w:bCs/>
          <w:sz w:val="20"/>
          <w:szCs w:val="20"/>
          <w:lang w:val="es-ES_tradnl"/>
        </w:rPr>
        <w:t xml:space="preserve"> </w:t>
      </w:r>
      <w:r w:rsidR="0064579E" w:rsidRPr="001447B4">
        <w:rPr>
          <w:rFonts w:ascii="Verdana" w:hAnsi="Verdana"/>
          <w:bCs/>
          <w:sz w:val="20"/>
          <w:szCs w:val="20"/>
          <w:lang w:val="es-ES_tradnl"/>
        </w:rPr>
        <w:t>entregado las tierras tradicionales, o en su caso las tierras alternativas, conforme a lo expuesto en los párrafos 283 a 286</w:t>
      </w:r>
      <w:r w:rsidR="002E2C74">
        <w:rPr>
          <w:rFonts w:ascii="Verdana" w:hAnsi="Verdana"/>
          <w:bCs/>
          <w:sz w:val="20"/>
          <w:szCs w:val="20"/>
          <w:lang w:val="es-ES_tradnl"/>
        </w:rPr>
        <w:t xml:space="preserve"> [de la Sentencia]</w:t>
      </w:r>
      <w:r w:rsidR="0064579E" w:rsidRPr="001447B4">
        <w:rPr>
          <w:rFonts w:ascii="Verdana" w:hAnsi="Verdana"/>
          <w:bCs/>
          <w:sz w:val="20"/>
          <w:szCs w:val="20"/>
          <w:lang w:val="es-ES_tradnl"/>
        </w:rPr>
        <w:t xml:space="preserve">, </w:t>
      </w:r>
      <w:r w:rsidR="002E2C74" w:rsidRPr="001447B4">
        <w:rPr>
          <w:rFonts w:ascii="Verdana" w:hAnsi="Verdana"/>
          <w:bCs/>
          <w:sz w:val="20"/>
          <w:szCs w:val="20"/>
          <w:lang w:val="es-ES_tradnl"/>
        </w:rPr>
        <w:t>deb</w:t>
      </w:r>
      <w:r w:rsidR="002E2C74">
        <w:rPr>
          <w:rFonts w:ascii="Verdana" w:hAnsi="Verdana"/>
          <w:bCs/>
          <w:sz w:val="20"/>
          <w:szCs w:val="20"/>
          <w:lang w:val="es-ES_tradnl"/>
        </w:rPr>
        <w:t xml:space="preserve">[ía] </w:t>
      </w:r>
      <w:r w:rsidR="0064579E" w:rsidRPr="001447B4">
        <w:rPr>
          <w:rFonts w:ascii="Verdana" w:hAnsi="Verdana"/>
          <w:bCs/>
          <w:sz w:val="20"/>
          <w:szCs w:val="20"/>
          <w:lang w:val="es-ES_tradnl"/>
        </w:rPr>
        <w:t xml:space="preserve">pagar a los líderes de la </w:t>
      </w:r>
      <w:r w:rsidR="0064579E" w:rsidRPr="00DB0677">
        <w:rPr>
          <w:rFonts w:ascii="Verdana" w:hAnsi="Verdana"/>
          <w:bCs/>
          <w:sz w:val="20"/>
          <w:szCs w:val="20"/>
          <w:lang w:val="es-ES_tradnl"/>
        </w:rPr>
        <w:t>Comunidad, en representación de sus miembros, una cantidad de US$10.000,00 (diez mil dólares de los Estados Unidos de América) por cada mes de retraso”.</w:t>
      </w:r>
    </w:p>
    <w:p w14:paraId="354800F9" w14:textId="77777777" w:rsidR="00DB0677" w:rsidRPr="0028502E" w:rsidRDefault="000A3EE5" w:rsidP="006961B7">
      <w:pPr>
        <w:pStyle w:val="Prrafodelista"/>
        <w:numPr>
          <w:ilvl w:val="0"/>
          <w:numId w:val="5"/>
        </w:numPr>
        <w:spacing w:before="120" w:after="120" w:line="240" w:lineRule="auto"/>
        <w:ind w:left="0" w:firstLine="0"/>
        <w:contextualSpacing w:val="0"/>
        <w:jc w:val="both"/>
        <w:rPr>
          <w:rFonts w:ascii="Verdana" w:hAnsi="Verdana"/>
          <w:sz w:val="20"/>
          <w:lang w:val="es-ES_tradnl"/>
        </w:rPr>
      </w:pPr>
      <w:r w:rsidRPr="0028502E">
        <w:rPr>
          <w:rFonts w:ascii="Verdana" w:eastAsiaTheme="minorHAnsi" w:hAnsi="Verdana" w:cs="Verdana"/>
          <w:sz w:val="20"/>
          <w:szCs w:val="20"/>
          <w:lang w:val="es-ES_tradnl"/>
        </w:rPr>
        <w:t xml:space="preserve">En la Resolución de </w:t>
      </w:r>
      <w:r w:rsidR="002E2C74">
        <w:rPr>
          <w:rFonts w:ascii="Verdana" w:eastAsiaTheme="minorHAnsi" w:hAnsi="Verdana" w:cs="Verdana"/>
          <w:sz w:val="20"/>
          <w:szCs w:val="20"/>
          <w:lang w:val="es-ES_tradnl"/>
        </w:rPr>
        <w:t xml:space="preserve">supervisión de cumplimiento de </w:t>
      </w:r>
      <w:r w:rsidR="005E174F" w:rsidRPr="0028502E">
        <w:rPr>
          <w:rFonts w:ascii="Verdana" w:eastAsiaTheme="minorHAnsi" w:hAnsi="Verdana" w:cs="Verdana"/>
          <w:sz w:val="20"/>
          <w:szCs w:val="20"/>
          <w:lang w:val="es-ES_tradnl"/>
        </w:rPr>
        <w:t>junio</w:t>
      </w:r>
      <w:r w:rsidRPr="0028502E">
        <w:rPr>
          <w:rFonts w:ascii="Verdana" w:eastAsiaTheme="minorHAnsi" w:hAnsi="Verdana" w:cs="Verdana"/>
          <w:sz w:val="20"/>
          <w:szCs w:val="20"/>
          <w:lang w:val="es-ES_tradnl"/>
        </w:rPr>
        <w:t xml:space="preserve"> de 2015</w:t>
      </w:r>
      <w:r w:rsidR="00C21B37" w:rsidRPr="00480F33">
        <w:rPr>
          <w:rStyle w:val="Refdenotaalpie"/>
          <w:rFonts w:ascii="Verdana" w:hAnsi="Verdana"/>
          <w:sz w:val="20"/>
          <w:szCs w:val="20"/>
          <w:lang w:val="es-CR"/>
        </w:rPr>
        <w:footnoteReference w:id="43"/>
      </w:r>
      <w:r w:rsidRPr="0028502E">
        <w:rPr>
          <w:rFonts w:ascii="Verdana" w:eastAsiaTheme="minorHAnsi" w:hAnsi="Verdana" w:cs="Verdana"/>
          <w:sz w:val="20"/>
          <w:szCs w:val="20"/>
          <w:lang w:val="es-ES_tradnl"/>
        </w:rPr>
        <w:t xml:space="preserve"> la Corte concluyó</w:t>
      </w:r>
      <w:r w:rsidR="0099551F">
        <w:rPr>
          <w:rFonts w:ascii="Verdana" w:eastAsiaTheme="minorHAnsi" w:hAnsi="Verdana" w:cs="Verdana"/>
          <w:sz w:val="20"/>
          <w:szCs w:val="20"/>
          <w:lang w:val="es-ES_tradnl"/>
        </w:rPr>
        <w:t>,</w:t>
      </w:r>
      <w:r w:rsidR="000D1FA7" w:rsidRPr="0028502E">
        <w:rPr>
          <w:rFonts w:ascii="Verdana" w:eastAsiaTheme="minorHAnsi" w:hAnsi="Verdana" w:cs="Verdana"/>
          <w:sz w:val="20"/>
          <w:szCs w:val="20"/>
          <w:lang w:val="es-ES_tradnl"/>
        </w:rPr>
        <w:t xml:space="preserve"> en cuanto a la medida ordenada en el punto resolutivo décimo segundo</w:t>
      </w:r>
      <w:r w:rsidR="0099551F">
        <w:rPr>
          <w:rFonts w:ascii="Verdana" w:eastAsiaTheme="minorHAnsi" w:hAnsi="Verdana" w:cs="Verdana"/>
          <w:sz w:val="20"/>
          <w:szCs w:val="20"/>
          <w:lang w:val="es-ES_tradnl"/>
        </w:rPr>
        <w:t xml:space="preserve"> (</w:t>
      </w:r>
      <w:r w:rsidR="0099551F" w:rsidRPr="001B2C9A">
        <w:rPr>
          <w:rFonts w:ascii="Verdana" w:eastAsiaTheme="minorHAnsi" w:hAnsi="Verdana" w:cs="Verdana"/>
          <w:i/>
          <w:sz w:val="20"/>
          <w:szCs w:val="20"/>
          <w:lang w:val="es-ES_tradnl"/>
        </w:rPr>
        <w:t xml:space="preserve">supra </w:t>
      </w:r>
      <w:r w:rsidR="0099551F">
        <w:rPr>
          <w:rFonts w:ascii="Verdana" w:eastAsiaTheme="minorHAnsi" w:hAnsi="Verdana" w:cs="Verdana"/>
          <w:sz w:val="20"/>
          <w:szCs w:val="20"/>
          <w:lang w:val="es-ES_tradnl"/>
        </w:rPr>
        <w:t>Considerando 12.a)</w:t>
      </w:r>
      <w:r w:rsidR="000D1FA7" w:rsidRPr="0028502E">
        <w:rPr>
          <w:rFonts w:ascii="Verdana" w:eastAsiaTheme="minorHAnsi" w:hAnsi="Verdana" w:cs="Verdana"/>
          <w:sz w:val="20"/>
          <w:szCs w:val="20"/>
          <w:lang w:val="es-ES_tradnl"/>
        </w:rPr>
        <w:t xml:space="preserve">, </w:t>
      </w:r>
      <w:r w:rsidRPr="0028502E">
        <w:rPr>
          <w:rFonts w:ascii="Verdana" w:eastAsiaTheme="minorHAnsi" w:hAnsi="Verdana" w:cs="Verdana"/>
          <w:sz w:val="20"/>
          <w:szCs w:val="20"/>
          <w:lang w:val="es-ES_tradnl"/>
        </w:rPr>
        <w:t xml:space="preserve">que “el Estado no ha cumplido con su obligación de devolver a los miembros de la Comunidad </w:t>
      </w:r>
      <w:r w:rsidRPr="001B2C9A">
        <w:rPr>
          <w:rFonts w:ascii="Verdana" w:eastAsiaTheme="minorHAnsi" w:hAnsi="Verdana" w:cs="Verdana"/>
          <w:sz w:val="20"/>
          <w:szCs w:val="20"/>
          <w:lang w:val="es-ES_tradnl"/>
        </w:rPr>
        <w:t>Xákmok Kásek</w:t>
      </w:r>
      <w:r w:rsidRPr="0028502E">
        <w:rPr>
          <w:rFonts w:ascii="Verdana" w:eastAsiaTheme="minorHAnsi" w:hAnsi="Verdana" w:cs="Verdana"/>
          <w:sz w:val="20"/>
          <w:szCs w:val="20"/>
          <w:lang w:val="es-ES_tradnl"/>
        </w:rPr>
        <w:t xml:space="preserve"> las 10.700 hectáreas reclamadas”</w:t>
      </w:r>
      <w:r w:rsidR="000D1FA7" w:rsidRPr="0028502E">
        <w:rPr>
          <w:rFonts w:ascii="Verdana" w:eastAsiaTheme="minorHAnsi" w:hAnsi="Verdana" w:cs="Verdana"/>
          <w:sz w:val="20"/>
          <w:szCs w:val="20"/>
          <w:lang w:val="es-ES_tradnl"/>
        </w:rPr>
        <w:t xml:space="preserve">. Al respecto, la Corte constató que de las 10.700 hectáreas, </w:t>
      </w:r>
      <w:r w:rsidR="000D1FA7" w:rsidRPr="0028502E">
        <w:rPr>
          <w:rFonts w:ascii="Verdana" w:hAnsi="Verdana"/>
          <w:sz w:val="20"/>
          <w:szCs w:val="20"/>
          <w:lang w:val="es-CR"/>
        </w:rPr>
        <w:t>3.000 hectáreas estaban tituladas a favor de una sociedad anónima y 7.700 a favor de otra. Con respecto a las 3.000 hectáreas, el Estado no había aportado información alguna sobre las acciones que estaba implementando para negociar con la sociedad que detenta su titularidad. En cuanto a las 7.700 hectáreas, el Tribunal constató que “recién a partir del año 2013 Paraguay entabló negociaciones con la compañía que detenta su titularidad” y que en octubre 2014 dicha empresa habría ratificado la decisión de vender al Estado, aunque no aportó copia de esa comunicación, ni se refirió a alguna otra actuación</w:t>
      </w:r>
      <w:r w:rsidR="0099551F">
        <w:rPr>
          <w:rFonts w:ascii="Verdana" w:hAnsi="Verdana"/>
          <w:sz w:val="20"/>
          <w:szCs w:val="20"/>
          <w:lang w:val="es-CR"/>
        </w:rPr>
        <w:t>,</w:t>
      </w:r>
      <w:r w:rsidR="000D1FA7" w:rsidRPr="0028502E">
        <w:rPr>
          <w:rFonts w:ascii="Verdana" w:hAnsi="Verdana"/>
          <w:sz w:val="20"/>
          <w:szCs w:val="20"/>
          <w:lang w:val="es-CR"/>
        </w:rPr>
        <w:t xml:space="preserve"> </w:t>
      </w:r>
      <w:r w:rsidR="0099551F" w:rsidRPr="0028502E">
        <w:rPr>
          <w:rFonts w:ascii="Verdana" w:hAnsi="Verdana"/>
          <w:sz w:val="20"/>
          <w:szCs w:val="20"/>
          <w:lang w:val="es-CR"/>
        </w:rPr>
        <w:t>llevada a cabo desde dicha fecha</w:t>
      </w:r>
      <w:r w:rsidR="0099551F">
        <w:rPr>
          <w:rFonts w:ascii="Verdana" w:hAnsi="Verdana"/>
          <w:sz w:val="20"/>
          <w:szCs w:val="20"/>
          <w:lang w:val="es-CR"/>
        </w:rPr>
        <w:t>,</w:t>
      </w:r>
      <w:r w:rsidR="0099551F" w:rsidRPr="0028502E">
        <w:rPr>
          <w:rFonts w:ascii="Verdana" w:hAnsi="Verdana"/>
          <w:sz w:val="20"/>
          <w:szCs w:val="20"/>
          <w:lang w:val="es-CR"/>
        </w:rPr>
        <w:t xml:space="preserve"> </w:t>
      </w:r>
      <w:r w:rsidR="000D1FA7" w:rsidRPr="0028502E">
        <w:rPr>
          <w:rFonts w:ascii="Verdana" w:hAnsi="Verdana"/>
          <w:sz w:val="20"/>
          <w:szCs w:val="20"/>
          <w:lang w:val="es-CR"/>
        </w:rPr>
        <w:t xml:space="preserve">para la adquisición de las </w:t>
      </w:r>
      <w:r w:rsidR="0099551F" w:rsidRPr="0028502E">
        <w:rPr>
          <w:rFonts w:ascii="Verdana" w:hAnsi="Verdana"/>
          <w:sz w:val="20"/>
          <w:szCs w:val="20"/>
          <w:lang w:val="es-CR"/>
        </w:rPr>
        <w:t xml:space="preserve">referidas </w:t>
      </w:r>
      <w:r w:rsidR="000D1FA7" w:rsidRPr="0028502E">
        <w:rPr>
          <w:rFonts w:ascii="Verdana" w:hAnsi="Verdana"/>
          <w:sz w:val="20"/>
          <w:szCs w:val="20"/>
          <w:lang w:val="es-CR"/>
        </w:rPr>
        <w:t xml:space="preserve">tierras. </w:t>
      </w:r>
      <w:r w:rsidR="000D1FA7" w:rsidRPr="00480F33">
        <w:rPr>
          <w:rFonts w:ascii="Verdana" w:hAnsi="Verdana"/>
          <w:sz w:val="20"/>
          <w:szCs w:val="20"/>
          <w:lang w:val="es-CR"/>
        </w:rPr>
        <w:t>El Tribunal solicitó</w:t>
      </w:r>
      <w:r w:rsidR="00C7565A">
        <w:rPr>
          <w:rFonts w:ascii="Verdana" w:hAnsi="Verdana"/>
          <w:sz w:val="20"/>
          <w:szCs w:val="20"/>
          <w:lang w:val="es-CR"/>
        </w:rPr>
        <w:t xml:space="preserve"> a</w:t>
      </w:r>
      <w:r w:rsidR="000D1FA7" w:rsidRPr="00480F33">
        <w:rPr>
          <w:rFonts w:ascii="Verdana" w:hAnsi="Verdana"/>
          <w:sz w:val="20"/>
          <w:szCs w:val="20"/>
          <w:lang w:val="es-CR"/>
        </w:rPr>
        <w:t xml:space="preserve"> Paraguay que presentara información sobre las medidas específicas que está implementando para la adquisición y entrega </w:t>
      </w:r>
      <w:r w:rsidR="00B474E0" w:rsidRPr="00480F33">
        <w:rPr>
          <w:rFonts w:ascii="Verdana" w:hAnsi="Verdana"/>
          <w:sz w:val="20"/>
          <w:szCs w:val="20"/>
          <w:lang w:val="es-CR"/>
        </w:rPr>
        <w:t xml:space="preserve">a la </w:t>
      </w:r>
      <w:r w:rsidR="0099551F">
        <w:rPr>
          <w:rFonts w:ascii="Verdana" w:hAnsi="Verdana"/>
          <w:sz w:val="20"/>
          <w:szCs w:val="20"/>
          <w:lang w:val="es-CR"/>
        </w:rPr>
        <w:t>C</w:t>
      </w:r>
      <w:r w:rsidR="0099551F" w:rsidRPr="00480F33">
        <w:rPr>
          <w:rFonts w:ascii="Verdana" w:hAnsi="Verdana"/>
          <w:sz w:val="20"/>
          <w:szCs w:val="20"/>
          <w:lang w:val="es-CR"/>
        </w:rPr>
        <w:t xml:space="preserve">omunidad </w:t>
      </w:r>
      <w:r w:rsidR="0099551F">
        <w:rPr>
          <w:rFonts w:ascii="Verdana" w:hAnsi="Verdana"/>
          <w:sz w:val="20"/>
          <w:szCs w:val="20"/>
          <w:lang w:val="es-CR"/>
        </w:rPr>
        <w:t xml:space="preserve">Xákmok Kásek </w:t>
      </w:r>
      <w:r w:rsidR="000D1FA7" w:rsidRPr="00480F33">
        <w:rPr>
          <w:rFonts w:ascii="Verdana" w:hAnsi="Verdana"/>
          <w:sz w:val="20"/>
          <w:szCs w:val="20"/>
          <w:lang w:val="es-CR"/>
        </w:rPr>
        <w:t xml:space="preserve">de las 10.700 hectáreas. </w:t>
      </w:r>
      <w:r w:rsidR="00C21B37" w:rsidRPr="00480F33">
        <w:rPr>
          <w:rFonts w:ascii="Verdana" w:hAnsi="Verdana"/>
          <w:sz w:val="20"/>
          <w:szCs w:val="20"/>
          <w:lang w:val="es-CR"/>
        </w:rPr>
        <w:t>Posteriormente, e</w:t>
      </w:r>
      <w:r w:rsidR="000D00FD" w:rsidRPr="00480F33">
        <w:rPr>
          <w:rFonts w:ascii="Verdana" w:hAnsi="Verdana"/>
          <w:sz w:val="20"/>
          <w:szCs w:val="20"/>
          <w:lang w:val="es-CR"/>
        </w:rPr>
        <w:t>n la Resolución del Presidente de la Corte de septiembre de 2016 se hizo constar que el Estado había informado sobr</w:t>
      </w:r>
      <w:r w:rsidR="00C21B37" w:rsidRPr="00480F33">
        <w:rPr>
          <w:rFonts w:ascii="Verdana" w:hAnsi="Verdana"/>
          <w:sz w:val="20"/>
          <w:szCs w:val="20"/>
          <w:lang w:val="es-CR"/>
        </w:rPr>
        <w:t>e las acciones que estaba realizando para la compra de las 7.700 hectáreas y que persistía la falta de información sobre las medidas dirigidas a la adquisición y entrega de las 3.000 hectáreas faltantes</w:t>
      </w:r>
      <w:r w:rsidR="00C21B37" w:rsidRPr="00480F33">
        <w:rPr>
          <w:rStyle w:val="Refdenotaalpie"/>
          <w:rFonts w:ascii="Verdana" w:hAnsi="Verdana"/>
          <w:sz w:val="20"/>
          <w:szCs w:val="20"/>
          <w:lang w:val="es-CR"/>
        </w:rPr>
        <w:footnoteReference w:id="44"/>
      </w:r>
      <w:r w:rsidR="00C21B37" w:rsidRPr="00480F33">
        <w:rPr>
          <w:rFonts w:ascii="Verdana" w:hAnsi="Verdana"/>
          <w:sz w:val="20"/>
          <w:szCs w:val="20"/>
          <w:lang w:val="es-CR"/>
        </w:rPr>
        <w:t>.</w:t>
      </w:r>
    </w:p>
    <w:p w14:paraId="265A2820" w14:textId="77777777" w:rsidR="000A3EE5" w:rsidRPr="00DB0677" w:rsidRDefault="00B474E0" w:rsidP="006961B7">
      <w:pPr>
        <w:pStyle w:val="Prrafodelista"/>
        <w:numPr>
          <w:ilvl w:val="0"/>
          <w:numId w:val="5"/>
        </w:numPr>
        <w:spacing w:before="120" w:after="120" w:line="240" w:lineRule="auto"/>
        <w:ind w:left="0" w:firstLine="0"/>
        <w:contextualSpacing w:val="0"/>
        <w:jc w:val="both"/>
        <w:rPr>
          <w:rFonts w:ascii="Verdana" w:hAnsi="Verdana"/>
          <w:sz w:val="20"/>
          <w:szCs w:val="20"/>
          <w:lang w:val="es-ES_tradnl"/>
        </w:rPr>
      </w:pPr>
      <w:r w:rsidRPr="00DB0677">
        <w:rPr>
          <w:rFonts w:ascii="Verdana" w:hAnsi="Verdana"/>
          <w:sz w:val="20"/>
          <w:szCs w:val="20"/>
          <w:lang w:val="es-CR"/>
        </w:rPr>
        <w:t xml:space="preserve">En cuanto al plazo </w:t>
      </w:r>
      <w:r w:rsidR="00AE7874" w:rsidRPr="00DB0677">
        <w:rPr>
          <w:rFonts w:ascii="Verdana" w:hAnsi="Verdana"/>
          <w:sz w:val="20"/>
          <w:szCs w:val="20"/>
          <w:lang w:val="es-CR"/>
        </w:rPr>
        <w:t xml:space="preserve">de tres años </w:t>
      </w:r>
      <w:r w:rsidRPr="00DB0677">
        <w:rPr>
          <w:rFonts w:ascii="Verdana" w:hAnsi="Verdana"/>
          <w:sz w:val="20"/>
          <w:szCs w:val="20"/>
          <w:lang w:val="es-CR"/>
        </w:rPr>
        <w:t>otorgado</w:t>
      </w:r>
      <w:r w:rsidR="00AE7874">
        <w:rPr>
          <w:rFonts w:ascii="Verdana" w:hAnsi="Verdana"/>
          <w:sz w:val="20"/>
          <w:szCs w:val="20"/>
          <w:lang w:val="es-CR"/>
        </w:rPr>
        <w:t xml:space="preserve"> en la Sentencia</w:t>
      </w:r>
      <w:r w:rsidRPr="00DB0677">
        <w:rPr>
          <w:rFonts w:ascii="Verdana" w:hAnsi="Verdana"/>
          <w:sz w:val="20"/>
          <w:szCs w:val="20"/>
          <w:lang w:val="es-CR"/>
        </w:rPr>
        <w:t xml:space="preserve"> para realizar la devolución de las tierras tradicionales</w:t>
      </w:r>
      <w:r w:rsidR="00AE7874">
        <w:rPr>
          <w:rFonts w:ascii="Verdana" w:hAnsi="Verdana"/>
          <w:sz w:val="20"/>
          <w:szCs w:val="20"/>
          <w:lang w:val="es-CR"/>
        </w:rPr>
        <w:t xml:space="preserve"> (</w:t>
      </w:r>
      <w:r w:rsidR="00AE7874" w:rsidRPr="001B2C9A">
        <w:rPr>
          <w:rFonts w:ascii="Verdana" w:hAnsi="Verdana"/>
          <w:i/>
          <w:sz w:val="20"/>
          <w:szCs w:val="20"/>
          <w:lang w:val="es-CR"/>
        </w:rPr>
        <w:t xml:space="preserve">supra </w:t>
      </w:r>
      <w:r w:rsidR="00AE7874">
        <w:rPr>
          <w:rFonts w:ascii="Verdana" w:hAnsi="Verdana"/>
          <w:sz w:val="20"/>
          <w:szCs w:val="20"/>
          <w:lang w:val="es-CR"/>
        </w:rPr>
        <w:t>Considerando 13)</w:t>
      </w:r>
      <w:r w:rsidRPr="00DB0677">
        <w:rPr>
          <w:rFonts w:ascii="Verdana" w:hAnsi="Verdana"/>
          <w:sz w:val="20"/>
          <w:szCs w:val="20"/>
          <w:lang w:val="es-CR"/>
        </w:rPr>
        <w:t xml:space="preserve">, la Corte concluyó, en la referida Resolución de </w:t>
      </w:r>
      <w:r w:rsidR="00AE7874">
        <w:rPr>
          <w:rFonts w:ascii="Verdana" w:hAnsi="Verdana"/>
          <w:sz w:val="20"/>
          <w:szCs w:val="20"/>
          <w:lang w:val="es-CR"/>
        </w:rPr>
        <w:t xml:space="preserve">supervisión de cumplimiento de </w:t>
      </w:r>
      <w:r w:rsidRPr="00DB0677">
        <w:rPr>
          <w:rFonts w:ascii="Verdana" w:hAnsi="Verdana"/>
          <w:sz w:val="20"/>
          <w:szCs w:val="20"/>
          <w:lang w:val="es-CR"/>
        </w:rPr>
        <w:t xml:space="preserve">junio de 2015, que había existido un incumplimiento de </w:t>
      </w:r>
      <w:r w:rsidR="00C7565A">
        <w:rPr>
          <w:rFonts w:ascii="Verdana" w:hAnsi="Verdana"/>
          <w:sz w:val="20"/>
          <w:szCs w:val="20"/>
          <w:lang w:val="es-CR"/>
        </w:rPr>
        <w:t>dicho</w:t>
      </w:r>
      <w:r w:rsidRPr="00DB0677">
        <w:rPr>
          <w:rFonts w:ascii="Verdana" w:hAnsi="Verdana"/>
          <w:sz w:val="20"/>
          <w:szCs w:val="20"/>
          <w:lang w:val="es-CR"/>
        </w:rPr>
        <w:t xml:space="preserve"> plazo. Al respecto, recordó que el plazo </w:t>
      </w:r>
      <w:r w:rsidR="006E3A70">
        <w:rPr>
          <w:rFonts w:ascii="Verdana" w:hAnsi="Verdana"/>
          <w:sz w:val="20"/>
          <w:szCs w:val="20"/>
          <w:lang w:val="es-CR"/>
        </w:rPr>
        <w:t>otorgado en la Sentencia</w:t>
      </w:r>
      <w:r w:rsidRPr="00DB0677">
        <w:rPr>
          <w:rFonts w:ascii="Verdana" w:hAnsi="Verdana"/>
          <w:sz w:val="20"/>
          <w:szCs w:val="20"/>
          <w:lang w:val="es-CR"/>
        </w:rPr>
        <w:t xml:space="preserve"> fue prorrogado por el Tribunal en agosto de 2013</w:t>
      </w:r>
      <w:r w:rsidR="00AE7874">
        <w:rPr>
          <w:rFonts w:ascii="Verdana" w:hAnsi="Verdana"/>
          <w:sz w:val="20"/>
          <w:szCs w:val="20"/>
          <w:lang w:val="es-CR"/>
        </w:rPr>
        <w:t>,</w:t>
      </w:r>
      <w:r w:rsidRPr="00DB0677">
        <w:rPr>
          <w:rFonts w:ascii="Verdana" w:hAnsi="Verdana"/>
          <w:sz w:val="20"/>
          <w:szCs w:val="20"/>
          <w:lang w:val="es-CR"/>
        </w:rPr>
        <w:t xml:space="preserve"> por el lapso de un año. De esa forma, la prórroga del plazo para cumplir con la entrega de las 10.700 hectáreas a favor de la </w:t>
      </w:r>
      <w:r w:rsidR="00AE7874">
        <w:rPr>
          <w:rFonts w:ascii="Verdana" w:hAnsi="Verdana"/>
          <w:sz w:val="20"/>
          <w:szCs w:val="20"/>
          <w:lang w:val="es-CR"/>
        </w:rPr>
        <w:t>C</w:t>
      </w:r>
      <w:r w:rsidR="00AE7874" w:rsidRPr="00DB0677">
        <w:rPr>
          <w:rFonts w:ascii="Verdana" w:hAnsi="Verdana"/>
          <w:sz w:val="20"/>
          <w:szCs w:val="20"/>
          <w:lang w:val="es-CR"/>
        </w:rPr>
        <w:t xml:space="preserve">omunidad </w:t>
      </w:r>
      <w:r w:rsidRPr="00DB0677">
        <w:rPr>
          <w:rFonts w:ascii="Verdana" w:hAnsi="Verdana"/>
          <w:sz w:val="20"/>
          <w:szCs w:val="20"/>
          <w:lang w:val="es-CR"/>
        </w:rPr>
        <w:t xml:space="preserve">Xákmok Kásek venció el 23 de septiembre de 2014. La Corte constató que al momento de emisión de </w:t>
      </w:r>
      <w:r w:rsidR="00AE7874">
        <w:rPr>
          <w:rFonts w:ascii="Verdana" w:hAnsi="Verdana"/>
          <w:sz w:val="20"/>
          <w:szCs w:val="20"/>
          <w:lang w:val="es-CR"/>
        </w:rPr>
        <w:t>esa</w:t>
      </w:r>
      <w:r w:rsidR="00AE7874" w:rsidRPr="00DB0677">
        <w:rPr>
          <w:rFonts w:ascii="Verdana" w:hAnsi="Verdana"/>
          <w:sz w:val="20"/>
          <w:szCs w:val="20"/>
          <w:lang w:val="es-CR"/>
        </w:rPr>
        <w:t xml:space="preserve"> </w:t>
      </w:r>
      <w:r w:rsidR="00DB0677">
        <w:rPr>
          <w:rFonts w:ascii="Verdana" w:hAnsi="Verdana"/>
          <w:sz w:val="20"/>
          <w:szCs w:val="20"/>
          <w:lang w:val="es-CR"/>
        </w:rPr>
        <w:t>R</w:t>
      </w:r>
      <w:r w:rsidRPr="00DB0677">
        <w:rPr>
          <w:rFonts w:ascii="Verdana" w:hAnsi="Verdana"/>
          <w:sz w:val="20"/>
          <w:szCs w:val="20"/>
          <w:lang w:val="es-CR"/>
        </w:rPr>
        <w:t xml:space="preserve">esolución ya se habían cumplido nueve meses de vencimiento, con lo cual, a ese momento, el Estado debía pagar a la Comunidad, US$90.000,00 (noventa mil dólares de los Estados Unidos de América) por concepto de indemnización”. Además, el Tribunal indicó que a ello debían sumarse US$10.000,00 (diez mil dólares de los Estados Unidos de América) por cada mes adicional de retraso en el cumplimiento de dicha obligación. Se solicitó al Estado que acreditara el </w:t>
      </w:r>
      <w:r w:rsidR="00DB0677">
        <w:rPr>
          <w:rFonts w:ascii="Verdana" w:hAnsi="Verdana"/>
          <w:sz w:val="20"/>
          <w:szCs w:val="20"/>
          <w:lang w:val="es-CR"/>
        </w:rPr>
        <w:t xml:space="preserve">referido </w:t>
      </w:r>
      <w:r w:rsidRPr="00DB0677">
        <w:rPr>
          <w:rFonts w:ascii="Verdana" w:hAnsi="Verdana"/>
          <w:sz w:val="20"/>
          <w:szCs w:val="20"/>
          <w:lang w:val="es-CR"/>
        </w:rPr>
        <w:t>pago</w:t>
      </w:r>
      <w:r w:rsidRPr="00B474E0">
        <w:rPr>
          <w:rStyle w:val="Refdenotaalpie"/>
          <w:rFonts w:ascii="Verdana" w:hAnsi="Verdana"/>
          <w:sz w:val="20"/>
          <w:szCs w:val="20"/>
          <w:lang w:val="es-CR"/>
        </w:rPr>
        <w:footnoteReference w:id="45"/>
      </w:r>
      <w:r w:rsidRPr="00DB0677">
        <w:rPr>
          <w:rFonts w:ascii="Verdana" w:hAnsi="Verdana"/>
          <w:sz w:val="20"/>
          <w:szCs w:val="20"/>
          <w:lang w:val="es-CR"/>
        </w:rPr>
        <w:t xml:space="preserve">. </w:t>
      </w:r>
    </w:p>
    <w:p w14:paraId="6BC21B08" w14:textId="77777777" w:rsidR="009E0A49" w:rsidRPr="009E0A49" w:rsidRDefault="000A3EE5" w:rsidP="006961B7">
      <w:pPr>
        <w:pStyle w:val="Prrafodelista"/>
        <w:numPr>
          <w:ilvl w:val="0"/>
          <w:numId w:val="5"/>
        </w:numPr>
        <w:autoSpaceDE w:val="0"/>
        <w:autoSpaceDN w:val="0"/>
        <w:adjustRightInd w:val="0"/>
        <w:spacing w:before="120" w:after="120" w:line="240" w:lineRule="auto"/>
        <w:ind w:left="0" w:firstLine="0"/>
        <w:contextualSpacing w:val="0"/>
        <w:jc w:val="both"/>
        <w:rPr>
          <w:rFonts w:ascii="Verdana" w:eastAsiaTheme="minorHAnsi" w:hAnsi="Verdana" w:cs="Verdana"/>
          <w:sz w:val="20"/>
          <w:szCs w:val="20"/>
          <w:lang w:val="es-ES_tradnl"/>
        </w:rPr>
      </w:pPr>
      <w:r w:rsidRPr="009E0A49">
        <w:rPr>
          <w:rFonts w:ascii="Verdana" w:eastAsiaTheme="minorHAnsi" w:hAnsi="Verdana" w:cs="Verdana"/>
          <w:sz w:val="20"/>
          <w:szCs w:val="20"/>
          <w:lang w:val="es-ES_tradnl"/>
        </w:rPr>
        <w:t xml:space="preserve">Por otra parte, </w:t>
      </w:r>
      <w:r w:rsidR="000137F7" w:rsidRPr="009E0A49">
        <w:rPr>
          <w:rFonts w:ascii="Verdana" w:eastAsiaTheme="minorHAnsi" w:hAnsi="Verdana" w:cs="Verdana"/>
          <w:sz w:val="20"/>
          <w:szCs w:val="20"/>
          <w:lang w:val="es-ES_tradnl"/>
        </w:rPr>
        <w:t>en cuanto a la medida ordenada en el punto resolutivo décimo tercero</w:t>
      </w:r>
      <w:r w:rsidR="009E0A49" w:rsidRPr="009E0A49">
        <w:rPr>
          <w:rFonts w:ascii="Verdana" w:eastAsiaTheme="minorHAnsi" w:hAnsi="Verdana" w:cs="Verdana"/>
          <w:sz w:val="20"/>
          <w:szCs w:val="20"/>
          <w:lang w:val="es-ES_tradnl"/>
        </w:rPr>
        <w:t xml:space="preserve"> de la Sentencia, </w:t>
      </w:r>
      <w:r w:rsidR="000137F7" w:rsidRPr="009E0A49">
        <w:rPr>
          <w:rFonts w:ascii="Verdana" w:eastAsiaTheme="minorHAnsi" w:hAnsi="Verdana" w:cs="Verdana"/>
          <w:sz w:val="20"/>
          <w:szCs w:val="20"/>
          <w:lang w:val="es-ES_tradnl"/>
        </w:rPr>
        <w:t xml:space="preserve">relativa a velar porque el territorio de la Comunidad </w:t>
      </w:r>
      <w:r w:rsidR="000137F7" w:rsidRPr="009E0A49">
        <w:rPr>
          <w:rFonts w:ascii="Verdana" w:hAnsi="Verdana"/>
          <w:sz w:val="20"/>
          <w:szCs w:val="20"/>
          <w:lang w:val="es-CR"/>
        </w:rPr>
        <w:t>Xákmok Kásek no se vea menoscabado</w:t>
      </w:r>
      <w:r w:rsidR="0099551F">
        <w:rPr>
          <w:rFonts w:ascii="Verdana" w:hAnsi="Verdana"/>
          <w:sz w:val="20"/>
          <w:szCs w:val="20"/>
          <w:lang w:val="es-CR"/>
        </w:rPr>
        <w:t xml:space="preserve"> </w:t>
      </w:r>
      <w:r w:rsidR="0099551F">
        <w:rPr>
          <w:rFonts w:ascii="Verdana" w:eastAsiaTheme="minorHAnsi" w:hAnsi="Verdana" w:cs="Verdana"/>
          <w:sz w:val="20"/>
          <w:szCs w:val="20"/>
          <w:lang w:val="es-ES_tradnl"/>
        </w:rPr>
        <w:t>(</w:t>
      </w:r>
      <w:r w:rsidR="0099551F" w:rsidRPr="008D0EB1">
        <w:rPr>
          <w:rFonts w:ascii="Verdana" w:eastAsiaTheme="minorHAnsi" w:hAnsi="Verdana" w:cs="Verdana"/>
          <w:i/>
          <w:sz w:val="20"/>
          <w:szCs w:val="20"/>
          <w:lang w:val="es-ES_tradnl"/>
        </w:rPr>
        <w:t>supra</w:t>
      </w:r>
      <w:r w:rsidR="0099551F">
        <w:rPr>
          <w:rFonts w:ascii="Verdana" w:eastAsiaTheme="minorHAnsi" w:hAnsi="Verdana" w:cs="Verdana"/>
          <w:sz w:val="20"/>
          <w:szCs w:val="20"/>
          <w:lang w:val="es-ES_tradnl"/>
        </w:rPr>
        <w:t xml:space="preserve"> Considerando 12.b)</w:t>
      </w:r>
      <w:r w:rsidR="000137F7" w:rsidRPr="009E0A49">
        <w:rPr>
          <w:rFonts w:ascii="Verdana" w:hAnsi="Verdana"/>
          <w:sz w:val="20"/>
          <w:szCs w:val="20"/>
          <w:lang w:val="es-CR"/>
        </w:rPr>
        <w:t xml:space="preserve">, el Tribunal </w:t>
      </w:r>
      <w:r w:rsidR="009E0A49" w:rsidRPr="009E0A49">
        <w:rPr>
          <w:rFonts w:ascii="Verdana" w:hAnsi="Verdana"/>
          <w:sz w:val="20"/>
          <w:szCs w:val="20"/>
          <w:lang w:val="es-CR"/>
        </w:rPr>
        <w:t>hizo notar</w:t>
      </w:r>
      <w:r w:rsidR="003672F1">
        <w:rPr>
          <w:rFonts w:ascii="Verdana" w:hAnsi="Verdana"/>
          <w:sz w:val="20"/>
          <w:szCs w:val="20"/>
          <w:lang w:val="es-CR"/>
        </w:rPr>
        <w:t xml:space="preserve"> en la Resolución de </w:t>
      </w:r>
      <w:r w:rsidR="00AE7874">
        <w:rPr>
          <w:rFonts w:ascii="Verdana" w:hAnsi="Verdana"/>
          <w:sz w:val="20"/>
          <w:szCs w:val="20"/>
          <w:lang w:val="es-CR"/>
        </w:rPr>
        <w:t xml:space="preserve">supervisión de cumplimiento de </w:t>
      </w:r>
      <w:r w:rsidR="003672F1">
        <w:rPr>
          <w:rFonts w:ascii="Verdana" w:hAnsi="Verdana"/>
          <w:sz w:val="20"/>
          <w:szCs w:val="20"/>
          <w:lang w:val="es-CR"/>
        </w:rPr>
        <w:t>junio de 2015</w:t>
      </w:r>
      <w:r w:rsidR="00664B07">
        <w:rPr>
          <w:rStyle w:val="Refdenotaalpie"/>
          <w:rFonts w:ascii="Verdana" w:hAnsi="Verdana"/>
          <w:sz w:val="20"/>
          <w:szCs w:val="20"/>
          <w:lang w:val="es-CR"/>
        </w:rPr>
        <w:footnoteReference w:id="46"/>
      </w:r>
      <w:r w:rsidR="009E0A49" w:rsidRPr="009E0A49">
        <w:rPr>
          <w:rFonts w:ascii="Verdana" w:hAnsi="Verdana"/>
          <w:sz w:val="20"/>
          <w:szCs w:val="20"/>
          <w:lang w:val="es-CR"/>
        </w:rPr>
        <w:t xml:space="preserve"> que </w:t>
      </w:r>
      <w:r w:rsidRPr="009E0A49">
        <w:rPr>
          <w:rFonts w:ascii="Verdana" w:eastAsiaTheme="minorHAnsi" w:hAnsi="Verdana" w:cs="Verdana"/>
          <w:sz w:val="20"/>
          <w:szCs w:val="20"/>
          <w:lang w:val="es-ES_tradnl"/>
        </w:rPr>
        <w:t>“</w:t>
      </w:r>
      <w:r w:rsidR="001E6FB3" w:rsidRPr="009E0A49">
        <w:rPr>
          <w:rFonts w:ascii="Verdana" w:eastAsiaTheme="minorHAnsi" w:hAnsi="Verdana" w:cs="Verdana"/>
          <w:sz w:val="20"/>
          <w:szCs w:val="20"/>
          <w:lang w:val="es-ES_tradnl"/>
        </w:rPr>
        <w:t xml:space="preserve">existe </w:t>
      </w:r>
      <w:r w:rsidRPr="009E0A49">
        <w:rPr>
          <w:rFonts w:ascii="Verdana" w:eastAsiaTheme="minorHAnsi" w:hAnsi="Verdana" w:cs="Verdana"/>
          <w:sz w:val="20"/>
          <w:szCs w:val="20"/>
          <w:lang w:val="es-ES_tradnl"/>
        </w:rPr>
        <w:t>sólo una medida de protección sobre la fracción de 7.700 hectáreas de las 10.700 que conforman las tierras tradicionales de la comunidad”</w:t>
      </w:r>
      <w:r w:rsidR="009E0A49" w:rsidRPr="009E0A49">
        <w:rPr>
          <w:rFonts w:ascii="Verdana" w:eastAsiaTheme="minorHAnsi" w:hAnsi="Verdana" w:cs="Verdana"/>
          <w:sz w:val="20"/>
          <w:szCs w:val="20"/>
          <w:lang w:val="es-ES_tradnl"/>
        </w:rPr>
        <w:t xml:space="preserve">. El Tribunal requirió al Estado que remitiera “información que permita acreditar que se </w:t>
      </w:r>
      <w:r w:rsidR="00AE7874" w:rsidRPr="009E0A49">
        <w:rPr>
          <w:rFonts w:ascii="Verdana" w:eastAsiaTheme="minorHAnsi" w:hAnsi="Verdana" w:cs="Verdana"/>
          <w:sz w:val="20"/>
          <w:szCs w:val="20"/>
          <w:lang w:val="es-ES_tradnl"/>
        </w:rPr>
        <w:t>enc</w:t>
      </w:r>
      <w:r w:rsidR="00AE7874">
        <w:rPr>
          <w:rFonts w:ascii="Verdana" w:eastAsiaTheme="minorHAnsi" w:hAnsi="Verdana" w:cs="Verdana"/>
          <w:sz w:val="20"/>
          <w:szCs w:val="20"/>
          <w:lang w:val="es-ES_tradnl"/>
        </w:rPr>
        <w:t>[ontraba]</w:t>
      </w:r>
      <w:r w:rsidR="00AE7874" w:rsidRPr="009E0A49">
        <w:rPr>
          <w:rFonts w:ascii="Verdana" w:eastAsiaTheme="minorHAnsi" w:hAnsi="Verdana" w:cs="Verdana"/>
          <w:sz w:val="20"/>
          <w:szCs w:val="20"/>
          <w:lang w:val="es-ES_tradnl"/>
        </w:rPr>
        <w:t xml:space="preserve"> </w:t>
      </w:r>
      <w:r w:rsidR="009E0A49" w:rsidRPr="009E0A49">
        <w:rPr>
          <w:rFonts w:ascii="Verdana" w:eastAsiaTheme="minorHAnsi" w:hAnsi="Verdana" w:cs="Verdana"/>
          <w:sz w:val="20"/>
          <w:szCs w:val="20"/>
          <w:lang w:val="es-ES_tradnl"/>
        </w:rPr>
        <w:t>velando por que la totalidad del territorio reclamado por la Comunidad no se v</w:t>
      </w:r>
      <w:r w:rsidR="00AE7874">
        <w:rPr>
          <w:rFonts w:ascii="Verdana" w:eastAsiaTheme="minorHAnsi" w:hAnsi="Verdana" w:cs="Verdana"/>
          <w:sz w:val="20"/>
          <w:szCs w:val="20"/>
          <w:lang w:val="es-ES_tradnl"/>
        </w:rPr>
        <w:t>[iera]</w:t>
      </w:r>
      <w:r w:rsidR="009E0A49" w:rsidRPr="009E0A49">
        <w:rPr>
          <w:rFonts w:ascii="Verdana" w:eastAsiaTheme="minorHAnsi" w:hAnsi="Verdana" w:cs="Verdana"/>
          <w:sz w:val="20"/>
          <w:szCs w:val="20"/>
          <w:lang w:val="es-ES_tradnl"/>
        </w:rPr>
        <w:t xml:space="preserve"> menoscabado”</w:t>
      </w:r>
      <w:r w:rsidR="009E0A49" w:rsidRPr="009E0A49">
        <w:rPr>
          <w:rStyle w:val="Refdenotaalpie"/>
          <w:rFonts w:ascii="Verdana" w:eastAsiaTheme="minorHAnsi" w:hAnsi="Verdana" w:cs="Verdana"/>
          <w:sz w:val="20"/>
          <w:szCs w:val="20"/>
          <w:lang w:val="es-ES_tradnl"/>
        </w:rPr>
        <w:footnoteReference w:id="47"/>
      </w:r>
      <w:r w:rsidR="009E0A49" w:rsidRPr="009E0A49">
        <w:rPr>
          <w:rFonts w:ascii="Verdana" w:eastAsiaTheme="minorHAnsi" w:hAnsi="Verdana" w:cs="Verdana"/>
          <w:sz w:val="20"/>
          <w:szCs w:val="20"/>
          <w:lang w:val="es-ES_tradnl"/>
        </w:rPr>
        <w:t>.</w:t>
      </w:r>
    </w:p>
    <w:p w14:paraId="1093DFB8" w14:textId="77777777" w:rsidR="009E0A49" w:rsidRDefault="009E0A49" w:rsidP="006961B7">
      <w:pPr>
        <w:pStyle w:val="Prrafodelista"/>
        <w:autoSpaceDE w:val="0"/>
        <w:autoSpaceDN w:val="0"/>
        <w:adjustRightInd w:val="0"/>
        <w:spacing w:before="120" w:after="120" w:line="240" w:lineRule="auto"/>
        <w:ind w:left="0"/>
        <w:contextualSpacing w:val="0"/>
        <w:jc w:val="both"/>
        <w:rPr>
          <w:rFonts w:ascii="Verdana" w:eastAsiaTheme="minorHAnsi" w:hAnsi="Verdana" w:cs="Verdana"/>
          <w:sz w:val="20"/>
          <w:szCs w:val="20"/>
          <w:highlight w:val="green"/>
          <w:lang w:val="es-ES_tradnl"/>
        </w:rPr>
      </w:pPr>
    </w:p>
    <w:p w14:paraId="13FA5935" w14:textId="77777777" w:rsidR="006A38DA" w:rsidRDefault="006A38DA" w:rsidP="006961B7">
      <w:pPr>
        <w:spacing w:before="120" w:after="120" w:line="240" w:lineRule="auto"/>
        <w:ind w:left="12" w:right="6" w:firstLine="708"/>
        <w:jc w:val="both"/>
        <w:rPr>
          <w:rFonts w:ascii="Verdana" w:hAnsi="Verdana"/>
          <w:i/>
          <w:sz w:val="20"/>
          <w:lang w:val="es-ES_tradnl"/>
        </w:rPr>
      </w:pPr>
      <w:r w:rsidRPr="000A3EE5">
        <w:rPr>
          <w:rFonts w:ascii="Verdana" w:eastAsiaTheme="minorHAnsi" w:hAnsi="Verdana" w:cstheme="minorBidi"/>
          <w:i/>
          <w:sz w:val="20"/>
          <w:szCs w:val="20"/>
          <w:lang w:val="es-ES_tradnl"/>
        </w:rPr>
        <w:t>B.2.</w:t>
      </w:r>
      <w:r w:rsidRPr="006E3A70">
        <w:rPr>
          <w:rFonts w:ascii="Verdana" w:eastAsiaTheme="minorHAnsi" w:hAnsi="Verdana" w:cstheme="minorBidi"/>
          <w:i/>
          <w:sz w:val="20"/>
          <w:szCs w:val="20"/>
          <w:lang w:val="es-ES_tradnl"/>
        </w:rPr>
        <w:t xml:space="preserve"> </w:t>
      </w:r>
      <w:r w:rsidRPr="000A3EE5">
        <w:rPr>
          <w:rFonts w:ascii="Verdana" w:hAnsi="Verdana"/>
          <w:i/>
          <w:sz w:val="20"/>
          <w:lang w:val="es-ES_tradnl"/>
        </w:rPr>
        <w:t>Consideraciones de la Corte</w:t>
      </w:r>
    </w:p>
    <w:p w14:paraId="063D050C" w14:textId="77777777" w:rsidR="00E01A6C" w:rsidRPr="00E01A6C" w:rsidRDefault="00E01A6C" w:rsidP="006961B7">
      <w:pPr>
        <w:pStyle w:val="Prrafodelista"/>
        <w:numPr>
          <w:ilvl w:val="0"/>
          <w:numId w:val="31"/>
        </w:numPr>
        <w:spacing w:before="120" w:after="120" w:line="240" w:lineRule="auto"/>
        <w:ind w:right="6"/>
        <w:contextualSpacing w:val="0"/>
        <w:jc w:val="both"/>
        <w:rPr>
          <w:rFonts w:ascii="Verdana" w:hAnsi="Verdana"/>
          <w:i/>
          <w:sz w:val="20"/>
          <w:lang w:val="es-ES_tradnl"/>
        </w:rPr>
      </w:pPr>
      <w:r>
        <w:rPr>
          <w:rFonts w:ascii="Verdana" w:hAnsi="Verdana"/>
          <w:i/>
          <w:sz w:val="20"/>
          <w:lang w:val="es-ES_tradnl"/>
        </w:rPr>
        <w:t>Situación constatada en la visita realizada en noviembre de 2017</w:t>
      </w:r>
    </w:p>
    <w:p w14:paraId="6DF75913" w14:textId="77777777" w:rsidR="00E01A6C" w:rsidRPr="006E3A70" w:rsidRDefault="00E01A6C" w:rsidP="006961B7">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Cs/>
          <w:sz w:val="20"/>
          <w:lang w:val="es-CR"/>
        </w:rPr>
      </w:pPr>
      <w:r w:rsidRPr="00664B07">
        <w:rPr>
          <w:rFonts w:ascii="Verdana" w:hAnsi="Verdana"/>
          <w:sz w:val="20"/>
          <w:szCs w:val="20"/>
          <w:lang w:val="es-ES_tradnl"/>
        </w:rPr>
        <w:t>Durante la visita de supervisión de cumplimiento realizada en noviembre de 2017</w:t>
      </w:r>
      <w:r w:rsidR="00AE7874">
        <w:rPr>
          <w:rFonts w:ascii="Verdana" w:hAnsi="Verdana"/>
          <w:sz w:val="20"/>
          <w:szCs w:val="20"/>
          <w:lang w:val="es-ES_tradnl"/>
        </w:rPr>
        <w:t xml:space="preserve"> (</w:t>
      </w:r>
      <w:r w:rsidR="00AE7874" w:rsidRPr="001B2C9A">
        <w:rPr>
          <w:rFonts w:ascii="Verdana" w:hAnsi="Verdana"/>
          <w:i/>
          <w:sz w:val="20"/>
          <w:szCs w:val="20"/>
          <w:lang w:val="es-ES_tradnl"/>
        </w:rPr>
        <w:t>supra</w:t>
      </w:r>
      <w:r w:rsidR="00AE7874">
        <w:rPr>
          <w:rFonts w:ascii="Verdana" w:hAnsi="Verdana"/>
          <w:sz w:val="20"/>
          <w:szCs w:val="20"/>
          <w:lang w:val="es-ES_tradnl"/>
        </w:rPr>
        <w:t xml:space="preserve"> Considerando 8)</w:t>
      </w:r>
      <w:r w:rsidRPr="00664B07">
        <w:rPr>
          <w:rFonts w:ascii="Verdana" w:hAnsi="Verdana"/>
          <w:sz w:val="20"/>
          <w:szCs w:val="20"/>
          <w:lang w:val="es-ES_tradnl"/>
        </w:rPr>
        <w:t xml:space="preserve">, la delegación de la Corte Interamericana pudo constatar que los miembros de la Comunidad Xákmok Kásek </w:t>
      </w:r>
      <w:r w:rsidR="0068207F" w:rsidRPr="00664B07">
        <w:rPr>
          <w:rFonts w:ascii="Verdana" w:hAnsi="Verdana"/>
          <w:sz w:val="20"/>
          <w:szCs w:val="20"/>
          <w:lang w:val="es-ES_tradnl"/>
        </w:rPr>
        <w:t>se encuentran viviendo en parte de</w:t>
      </w:r>
      <w:r w:rsidR="009E0A49" w:rsidRPr="00664B07">
        <w:rPr>
          <w:rFonts w:ascii="Verdana" w:hAnsi="Verdana"/>
          <w:sz w:val="20"/>
          <w:szCs w:val="20"/>
          <w:lang w:val="es-ES_tradnl"/>
        </w:rPr>
        <w:t xml:space="preserve"> sus tierras tradicionales. Se recibió información respecto a que </w:t>
      </w:r>
      <w:r w:rsidR="0068207F" w:rsidRPr="00664B07">
        <w:rPr>
          <w:rFonts w:ascii="Verdana" w:hAnsi="Verdana"/>
          <w:sz w:val="20"/>
          <w:szCs w:val="20"/>
          <w:lang w:val="es-ES_tradnl"/>
        </w:rPr>
        <w:t>7.701 hectáreas</w:t>
      </w:r>
      <w:r w:rsidR="009E0A49" w:rsidRPr="00664B07">
        <w:rPr>
          <w:rFonts w:ascii="Verdana" w:hAnsi="Verdana"/>
          <w:sz w:val="20"/>
          <w:szCs w:val="20"/>
          <w:lang w:val="es-ES_tradnl"/>
        </w:rPr>
        <w:t xml:space="preserve"> habían sido</w:t>
      </w:r>
      <w:r w:rsidR="0068207F" w:rsidRPr="00664B07">
        <w:rPr>
          <w:rFonts w:ascii="Verdana" w:hAnsi="Verdana"/>
          <w:sz w:val="20"/>
          <w:szCs w:val="20"/>
          <w:lang w:val="es-ES_tradnl"/>
        </w:rPr>
        <w:t xml:space="preserve"> adquiridas por el Estado, aunque éstas aún no ha</w:t>
      </w:r>
      <w:r w:rsidR="009E0A49" w:rsidRPr="00664B07">
        <w:rPr>
          <w:rFonts w:ascii="Verdana" w:hAnsi="Verdana"/>
          <w:sz w:val="20"/>
          <w:szCs w:val="20"/>
          <w:lang w:val="es-ES_tradnl"/>
        </w:rPr>
        <w:t>bían</w:t>
      </w:r>
      <w:r w:rsidR="0068207F" w:rsidRPr="00664B07">
        <w:rPr>
          <w:rFonts w:ascii="Verdana" w:hAnsi="Verdana"/>
          <w:sz w:val="20"/>
          <w:szCs w:val="20"/>
          <w:lang w:val="es-ES_tradnl"/>
        </w:rPr>
        <w:t xml:space="preserve"> sido tituladas a favor</w:t>
      </w:r>
      <w:r w:rsidR="00A63302">
        <w:rPr>
          <w:rFonts w:ascii="Verdana" w:hAnsi="Verdana"/>
          <w:sz w:val="20"/>
          <w:szCs w:val="20"/>
          <w:lang w:val="es-ES_tradnl"/>
        </w:rPr>
        <w:t xml:space="preserve"> de la comunidad</w:t>
      </w:r>
      <w:r w:rsidR="009E0A49" w:rsidRPr="00664B07">
        <w:rPr>
          <w:rFonts w:ascii="Verdana" w:hAnsi="Verdana"/>
          <w:sz w:val="20"/>
          <w:szCs w:val="20"/>
          <w:lang w:val="es-ES_tradnl"/>
        </w:rPr>
        <w:t>, y que ello se debía, fundamentalmente,</w:t>
      </w:r>
      <w:r w:rsidR="0068207F" w:rsidRPr="00664B07">
        <w:rPr>
          <w:rFonts w:ascii="Verdana" w:hAnsi="Verdana"/>
          <w:sz w:val="20"/>
          <w:szCs w:val="20"/>
          <w:lang w:val="es-ES_tradnl"/>
        </w:rPr>
        <w:t xml:space="preserve"> a </w:t>
      </w:r>
      <w:r w:rsidR="009E0A49" w:rsidRPr="00664B07">
        <w:rPr>
          <w:rFonts w:ascii="Verdana" w:hAnsi="Verdana"/>
          <w:sz w:val="20"/>
          <w:szCs w:val="20"/>
          <w:lang w:val="es-ES_tradnl"/>
        </w:rPr>
        <w:t xml:space="preserve">la </w:t>
      </w:r>
      <w:r w:rsidR="004E669B" w:rsidRPr="00664B07">
        <w:rPr>
          <w:rFonts w:ascii="Verdana" w:hAnsi="Verdana"/>
          <w:sz w:val="20"/>
          <w:szCs w:val="20"/>
          <w:lang w:val="es-ES_tradnl"/>
        </w:rPr>
        <w:t xml:space="preserve">falta </w:t>
      </w:r>
      <w:r w:rsidR="00A63302">
        <w:rPr>
          <w:rFonts w:ascii="Verdana" w:hAnsi="Verdana"/>
          <w:sz w:val="20"/>
          <w:szCs w:val="20"/>
          <w:lang w:val="es-ES_tradnl"/>
        </w:rPr>
        <w:t>de</w:t>
      </w:r>
      <w:r w:rsidR="004E669B" w:rsidRPr="00664B07">
        <w:rPr>
          <w:rFonts w:ascii="Verdana" w:hAnsi="Verdana"/>
          <w:sz w:val="20"/>
          <w:szCs w:val="20"/>
          <w:lang w:val="es-ES_tradnl"/>
        </w:rPr>
        <w:t xml:space="preserve"> corrección</w:t>
      </w:r>
      <w:r w:rsidR="00A63302">
        <w:rPr>
          <w:rFonts w:ascii="Verdana" w:hAnsi="Verdana"/>
          <w:sz w:val="20"/>
          <w:szCs w:val="20"/>
          <w:lang w:val="es-ES_tradnl"/>
        </w:rPr>
        <w:t xml:space="preserve"> de</w:t>
      </w:r>
      <w:r w:rsidR="004E669B" w:rsidRPr="00664B07">
        <w:rPr>
          <w:rFonts w:ascii="Verdana" w:hAnsi="Verdana"/>
          <w:sz w:val="20"/>
          <w:szCs w:val="20"/>
          <w:lang w:val="es-ES_tradnl"/>
        </w:rPr>
        <w:t xml:space="preserve"> </w:t>
      </w:r>
      <w:r w:rsidR="001E6FB3">
        <w:rPr>
          <w:rFonts w:ascii="Verdana" w:hAnsi="Verdana"/>
          <w:sz w:val="20"/>
          <w:szCs w:val="20"/>
          <w:lang w:val="es-ES_tradnl"/>
        </w:rPr>
        <w:t>un</w:t>
      </w:r>
      <w:r w:rsidR="001E6FB3" w:rsidRPr="00664B07">
        <w:rPr>
          <w:rFonts w:ascii="Verdana" w:hAnsi="Verdana"/>
          <w:sz w:val="20"/>
          <w:szCs w:val="20"/>
          <w:lang w:val="es-ES_tradnl"/>
        </w:rPr>
        <w:t xml:space="preserve"> </w:t>
      </w:r>
      <w:r w:rsidR="004E669B" w:rsidRPr="00664B07">
        <w:rPr>
          <w:rFonts w:ascii="Verdana" w:hAnsi="Verdana"/>
          <w:sz w:val="20"/>
          <w:szCs w:val="20"/>
          <w:lang w:val="es-ES_tradnl"/>
        </w:rPr>
        <w:t>asiento registral en el Registro Público (</w:t>
      </w:r>
      <w:r w:rsidR="004E669B" w:rsidRPr="00664B07">
        <w:rPr>
          <w:rFonts w:ascii="Verdana" w:hAnsi="Verdana"/>
          <w:i/>
          <w:sz w:val="20"/>
          <w:szCs w:val="20"/>
          <w:lang w:val="es-ES_tradnl"/>
        </w:rPr>
        <w:t xml:space="preserve">infra </w:t>
      </w:r>
      <w:r w:rsidR="004E669B" w:rsidRPr="00664B07">
        <w:rPr>
          <w:rFonts w:ascii="Verdana" w:hAnsi="Verdana"/>
          <w:sz w:val="20"/>
          <w:szCs w:val="20"/>
          <w:lang w:val="es-ES_tradnl"/>
        </w:rPr>
        <w:t>Considerando</w:t>
      </w:r>
      <w:r w:rsidR="00D07C05">
        <w:rPr>
          <w:rFonts w:ascii="Verdana" w:hAnsi="Verdana"/>
          <w:sz w:val="20"/>
          <w:szCs w:val="20"/>
          <w:lang w:val="es-ES_tradnl"/>
        </w:rPr>
        <w:t>s</w:t>
      </w:r>
      <w:r w:rsidR="004E669B" w:rsidRPr="00664B07">
        <w:rPr>
          <w:rFonts w:ascii="Verdana" w:hAnsi="Verdana"/>
          <w:sz w:val="20"/>
          <w:szCs w:val="20"/>
          <w:lang w:val="es-ES_tradnl"/>
        </w:rPr>
        <w:t xml:space="preserve"> </w:t>
      </w:r>
      <w:r w:rsidR="00D07C05">
        <w:rPr>
          <w:rFonts w:ascii="Verdana" w:hAnsi="Verdana"/>
          <w:sz w:val="20"/>
          <w:szCs w:val="20"/>
          <w:lang w:val="es-ES_tradnl"/>
        </w:rPr>
        <w:t>18 a 20</w:t>
      </w:r>
      <w:r w:rsidR="00D07C05" w:rsidRPr="00664B07">
        <w:rPr>
          <w:rFonts w:ascii="Verdana" w:hAnsi="Verdana"/>
          <w:sz w:val="20"/>
          <w:szCs w:val="20"/>
          <w:lang w:val="es-ES_tradnl"/>
        </w:rPr>
        <w:t xml:space="preserve">). </w:t>
      </w:r>
      <w:r w:rsidR="009E0A49" w:rsidRPr="00664B07">
        <w:rPr>
          <w:rFonts w:ascii="Verdana" w:hAnsi="Verdana"/>
          <w:sz w:val="20"/>
          <w:szCs w:val="20"/>
          <w:lang w:val="es-ES_tradnl"/>
        </w:rPr>
        <w:t xml:space="preserve">Adicionalmente, se recibió información </w:t>
      </w:r>
      <w:r w:rsidR="00664B07" w:rsidRPr="00664B07">
        <w:rPr>
          <w:rFonts w:ascii="Verdana" w:hAnsi="Verdana"/>
          <w:sz w:val="20"/>
          <w:szCs w:val="20"/>
          <w:lang w:val="es-ES_tradnl"/>
        </w:rPr>
        <w:t xml:space="preserve">sobre la deforestación y destrucción de recursos naturales en las </w:t>
      </w:r>
      <w:r w:rsidR="00F9761E">
        <w:rPr>
          <w:rFonts w:ascii="Verdana" w:hAnsi="Verdana"/>
          <w:sz w:val="20"/>
          <w:szCs w:val="20"/>
          <w:lang w:val="es-ES_tradnl"/>
        </w:rPr>
        <w:t>2</w:t>
      </w:r>
      <w:r w:rsidR="00772CAE" w:rsidRPr="00664B07">
        <w:rPr>
          <w:rFonts w:ascii="Verdana" w:hAnsi="Verdana"/>
          <w:sz w:val="20"/>
          <w:szCs w:val="20"/>
          <w:lang w:val="es-ES_tradnl"/>
        </w:rPr>
        <w:t>.</w:t>
      </w:r>
      <w:r w:rsidR="00F9761E">
        <w:rPr>
          <w:rFonts w:ascii="Verdana" w:hAnsi="Verdana"/>
          <w:sz w:val="20"/>
          <w:szCs w:val="20"/>
          <w:lang w:val="es-ES_tradnl"/>
        </w:rPr>
        <w:t>999</w:t>
      </w:r>
      <w:r w:rsidR="00772CAE" w:rsidRPr="00664B07">
        <w:rPr>
          <w:rFonts w:ascii="Verdana" w:hAnsi="Verdana"/>
          <w:sz w:val="20"/>
          <w:szCs w:val="20"/>
          <w:lang w:val="es-ES_tradnl"/>
        </w:rPr>
        <w:t xml:space="preserve"> hectáreas restantes</w:t>
      </w:r>
      <w:r w:rsidR="00664B07" w:rsidRPr="00664B07">
        <w:rPr>
          <w:rFonts w:ascii="Verdana" w:hAnsi="Verdana"/>
          <w:sz w:val="20"/>
          <w:szCs w:val="20"/>
          <w:lang w:val="es-ES_tradnl"/>
        </w:rPr>
        <w:t xml:space="preserve"> y la solicitud de la comunidad de que les sean entregadas tierras alternativas</w:t>
      </w:r>
      <w:r w:rsidR="00D07C05">
        <w:rPr>
          <w:rFonts w:ascii="Verdana" w:hAnsi="Verdana"/>
          <w:sz w:val="20"/>
          <w:szCs w:val="20"/>
          <w:lang w:val="es-ES_tradnl"/>
        </w:rPr>
        <w:t xml:space="preserve"> (</w:t>
      </w:r>
      <w:r w:rsidR="00D07C05" w:rsidRPr="001B2C9A">
        <w:rPr>
          <w:rFonts w:ascii="Verdana" w:hAnsi="Verdana"/>
          <w:i/>
          <w:sz w:val="20"/>
          <w:szCs w:val="20"/>
          <w:lang w:val="es-ES_tradnl"/>
        </w:rPr>
        <w:t>infra</w:t>
      </w:r>
      <w:r w:rsidR="00D07C05">
        <w:rPr>
          <w:rFonts w:ascii="Verdana" w:hAnsi="Verdana"/>
          <w:sz w:val="20"/>
          <w:szCs w:val="20"/>
          <w:lang w:val="es-ES_tradnl"/>
        </w:rPr>
        <w:t xml:space="preserve"> Considerandos 21 a 23)</w:t>
      </w:r>
      <w:r w:rsidR="00664B07" w:rsidRPr="00664B07">
        <w:rPr>
          <w:rFonts w:ascii="Verdana" w:hAnsi="Verdana"/>
          <w:sz w:val="20"/>
          <w:szCs w:val="20"/>
          <w:lang w:val="es-ES_tradnl"/>
        </w:rPr>
        <w:t>. También se hizo mención a la</w:t>
      </w:r>
      <w:r w:rsidR="00772CAE" w:rsidRPr="00664B07">
        <w:rPr>
          <w:rFonts w:ascii="Verdana" w:hAnsi="Verdana"/>
          <w:sz w:val="20"/>
          <w:szCs w:val="20"/>
          <w:lang w:val="es-ES_tradnl"/>
        </w:rPr>
        <w:t xml:space="preserve"> falta de pago de la indemnización por concepto del retardo del Estado en dar cumplimiento a la medida de restitución de la</w:t>
      </w:r>
      <w:r w:rsidR="00664B07" w:rsidRPr="00664B07">
        <w:rPr>
          <w:rFonts w:ascii="Verdana" w:hAnsi="Verdana"/>
          <w:sz w:val="20"/>
          <w:szCs w:val="20"/>
          <w:lang w:val="es-ES_tradnl"/>
        </w:rPr>
        <w:t>s</w:t>
      </w:r>
      <w:r w:rsidR="00772CAE" w:rsidRPr="00664B07">
        <w:rPr>
          <w:rFonts w:ascii="Verdana" w:hAnsi="Verdana"/>
          <w:sz w:val="20"/>
          <w:szCs w:val="20"/>
          <w:lang w:val="es-ES_tradnl"/>
        </w:rPr>
        <w:t xml:space="preserve"> tierra</w:t>
      </w:r>
      <w:r w:rsidR="00664B07" w:rsidRPr="00664B07">
        <w:rPr>
          <w:rFonts w:ascii="Verdana" w:hAnsi="Verdana"/>
          <w:sz w:val="20"/>
          <w:szCs w:val="20"/>
          <w:lang w:val="es-ES_tradnl"/>
        </w:rPr>
        <w:t>s</w:t>
      </w:r>
      <w:r w:rsidR="00D07C05">
        <w:rPr>
          <w:rFonts w:ascii="Verdana" w:hAnsi="Verdana"/>
          <w:sz w:val="20"/>
          <w:szCs w:val="20"/>
          <w:lang w:val="es-ES_tradnl"/>
        </w:rPr>
        <w:t xml:space="preserve"> (</w:t>
      </w:r>
      <w:r w:rsidR="00D07C05" w:rsidRPr="001B2C9A">
        <w:rPr>
          <w:rFonts w:ascii="Verdana" w:hAnsi="Verdana"/>
          <w:i/>
          <w:sz w:val="20"/>
          <w:szCs w:val="20"/>
          <w:lang w:val="es-ES_tradnl"/>
        </w:rPr>
        <w:t>infra</w:t>
      </w:r>
      <w:r w:rsidR="00D07C05">
        <w:rPr>
          <w:rFonts w:ascii="Verdana" w:hAnsi="Verdana"/>
          <w:sz w:val="20"/>
          <w:szCs w:val="20"/>
          <w:lang w:val="es-ES_tradnl"/>
        </w:rPr>
        <w:t xml:space="preserve"> Considerandos 25 </w:t>
      </w:r>
      <w:r w:rsidR="00A63302">
        <w:rPr>
          <w:rFonts w:ascii="Verdana" w:hAnsi="Verdana"/>
          <w:sz w:val="20"/>
          <w:szCs w:val="20"/>
          <w:lang w:val="es-ES_tradnl"/>
        </w:rPr>
        <w:t xml:space="preserve">y </w:t>
      </w:r>
      <w:r w:rsidR="00D07C05">
        <w:rPr>
          <w:rFonts w:ascii="Verdana" w:hAnsi="Verdana"/>
          <w:sz w:val="20"/>
          <w:szCs w:val="20"/>
          <w:lang w:val="es-ES_tradnl"/>
        </w:rPr>
        <w:t>2</w:t>
      </w:r>
      <w:r w:rsidR="00A63302">
        <w:rPr>
          <w:rFonts w:ascii="Verdana" w:hAnsi="Verdana"/>
          <w:sz w:val="20"/>
          <w:szCs w:val="20"/>
          <w:lang w:val="es-ES_tradnl"/>
        </w:rPr>
        <w:t>6</w:t>
      </w:r>
      <w:r w:rsidR="00D07C05">
        <w:rPr>
          <w:rFonts w:ascii="Verdana" w:hAnsi="Verdana"/>
          <w:sz w:val="20"/>
          <w:szCs w:val="20"/>
          <w:lang w:val="es-ES_tradnl"/>
        </w:rPr>
        <w:t>)</w:t>
      </w:r>
      <w:r w:rsidR="00772CAE" w:rsidRPr="00664B07">
        <w:rPr>
          <w:rFonts w:ascii="Verdana" w:hAnsi="Verdana"/>
          <w:sz w:val="20"/>
          <w:szCs w:val="20"/>
          <w:lang w:val="es-ES_tradnl"/>
        </w:rPr>
        <w:t>.</w:t>
      </w:r>
      <w:r w:rsidR="009E0A49" w:rsidRPr="00664B07">
        <w:rPr>
          <w:rFonts w:ascii="Verdana" w:hAnsi="Verdana"/>
          <w:sz w:val="20"/>
          <w:szCs w:val="20"/>
          <w:lang w:val="es-ES_tradnl"/>
        </w:rPr>
        <w:t xml:space="preserve"> </w:t>
      </w:r>
      <w:r w:rsidR="004E669B" w:rsidRPr="00664B07">
        <w:rPr>
          <w:rFonts w:ascii="Verdana" w:hAnsi="Verdana"/>
          <w:sz w:val="20"/>
          <w:szCs w:val="20"/>
          <w:lang w:val="es-CR"/>
        </w:rPr>
        <w:t xml:space="preserve">Asimismo, durante la visita se </w:t>
      </w:r>
      <w:r w:rsidR="004E669B" w:rsidRPr="004E6228">
        <w:rPr>
          <w:rFonts w:ascii="Verdana" w:hAnsi="Verdana"/>
          <w:sz w:val="20"/>
          <w:szCs w:val="20"/>
          <w:lang w:val="es-CR"/>
        </w:rPr>
        <w:t xml:space="preserve">constataron las condiciones de vivienda y provisión de servicios básicos, particularmente en lo que respecta al abastecimiento de agua potable, acceso a letrinas </w:t>
      </w:r>
      <w:r w:rsidR="00D07C05">
        <w:rPr>
          <w:rFonts w:ascii="Verdana" w:hAnsi="Verdana"/>
          <w:sz w:val="20"/>
          <w:szCs w:val="20"/>
          <w:lang w:val="es-CR"/>
        </w:rPr>
        <w:t>o</w:t>
      </w:r>
      <w:r w:rsidR="00D07C05" w:rsidRPr="004E6228">
        <w:rPr>
          <w:rFonts w:ascii="Verdana" w:hAnsi="Verdana"/>
          <w:sz w:val="20"/>
          <w:szCs w:val="20"/>
          <w:lang w:val="es-CR"/>
        </w:rPr>
        <w:t xml:space="preserve"> </w:t>
      </w:r>
      <w:r w:rsidR="004E669B" w:rsidRPr="004E6228">
        <w:rPr>
          <w:rFonts w:ascii="Verdana" w:hAnsi="Verdana"/>
          <w:sz w:val="20"/>
          <w:szCs w:val="20"/>
          <w:lang w:val="es-CR"/>
        </w:rPr>
        <w:t xml:space="preserve">servicios sanitarios adecuados y tratamiento de aguas residuales, acceso a servicios de atención en salud, y acceso a educación y alimentación. Para mejorar tales condiciones, el Estado asumió compromisos durante la audiencia </w:t>
      </w:r>
      <w:r w:rsidR="00D07C05">
        <w:rPr>
          <w:rFonts w:ascii="Verdana" w:hAnsi="Verdana"/>
          <w:sz w:val="20"/>
          <w:szCs w:val="20"/>
          <w:lang w:val="es-CR"/>
        </w:rPr>
        <w:t>celebrada</w:t>
      </w:r>
      <w:r w:rsidR="00D07C05" w:rsidRPr="004E6228">
        <w:rPr>
          <w:rFonts w:ascii="Verdana" w:hAnsi="Verdana"/>
          <w:sz w:val="20"/>
          <w:szCs w:val="20"/>
          <w:lang w:val="es-CR"/>
        </w:rPr>
        <w:t xml:space="preserve"> </w:t>
      </w:r>
      <w:r w:rsidR="004E669B" w:rsidRPr="004E6228">
        <w:rPr>
          <w:rFonts w:ascii="Verdana" w:hAnsi="Verdana"/>
          <w:sz w:val="20"/>
          <w:szCs w:val="20"/>
          <w:lang w:val="es-CR"/>
        </w:rPr>
        <w:t>en Asunción el 30 de noviembre de 2017, lo cual será valorado en una posterior resolución.</w:t>
      </w:r>
    </w:p>
    <w:p w14:paraId="45212530" w14:textId="77777777" w:rsidR="006E3A70" w:rsidRPr="00E01A6C" w:rsidRDefault="006E3A70" w:rsidP="006E3A70">
      <w:pPr>
        <w:pStyle w:val="Prrafodelista"/>
        <w:autoSpaceDE w:val="0"/>
        <w:autoSpaceDN w:val="0"/>
        <w:adjustRightInd w:val="0"/>
        <w:spacing w:before="120" w:after="120" w:line="240" w:lineRule="auto"/>
        <w:ind w:left="0"/>
        <w:contextualSpacing w:val="0"/>
        <w:jc w:val="both"/>
        <w:rPr>
          <w:rFonts w:ascii="Verdana" w:hAnsi="Verdana"/>
          <w:bCs/>
          <w:sz w:val="20"/>
          <w:lang w:val="es-CR"/>
        </w:rPr>
      </w:pPr>
    </w:p>
    <w:p w14:paraId="239C82DF" w14:textId="77777777" w:rsidR="00E01A6C" w:rsidRPr="00E01A6C" w:rsidRDefault="00E01A6C" w:rsidP="006961B7">
      <w:pPr>
        <w:pStyle w:val="Prrafodelista"/>
        <w:numPr>
          <w:ilvl w:val="0"/>
          <w:numId w:val="31"/>
        </w:numPr>
        <w:spacing w:before="120" w:after="120" w:line="240" w:lineRule="auto"/>
        <w:ind w:right="6"/>
        <w:contextualSpacing w:val="0"/>
        <w:jc w:val="both"/>
        <w:rPr>
          <w:rFonts w:ascii="Verdana" w:hAnsi="Verdana"/>
          <w:bCs/>
          <w:i/>
          <w:sz w:val="20"/>
          <w:lang w:val="es-CR"/>
        </w:rPr>
      </w:pPr>
      <w:r>
        <w:rPr>
          <w:rFonts w:ascii="Verdana" w:hAnsi="Verdana"/>
          <w:bCs/>
          <w:i/>
          <w:sz w:val="20"/>
          <w:lang w:val="es-CR"/>
        </w:rPr>
        <w:t>Devolución de las tierras tradicionales</w:t>
      </w:r>
    </w:p>
    <w:p w14:paraId="46557616" w14:textId="77777777" w:rsidR="006961B7" w:rsidRPr="006961B7" w:rsidRDefault="009D4E8A" w:rsidP="006961B7">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Cs/>
          <w:sz w:val="20"/>
          <w:lang w:val="es-CR"/>
        </w:rPr>
      </w:pPr>
      <w:r w:rsidRPr="003672F1">
        <w:rPr>
          <w:rFonts w:ascii="Verdana" w:hAnsi="Verdana"/>
          <w:bCs/>
          <w:sz w:val="20"/>
          <w:lang w:val="es-CR"/>
        </w:rPr>
        <w:t>Con base en la información presentada por el Estado, la cual no fue controvertida por los representantes, se hace constar que</w:t>
      </w:r>
      <w:r w:rsidR="005445DF" w:rsidRPr="003672F1">
        <w:rPr>
          <w:rFonts w:ascii="Verdana" w:hAnsi="Verdana"/>
          <w:bCs/>
          <w:sz w:val="20"/>
          <w:lang w:val="es-CR"/>
        </w:rPr>
        <w:t xml:space="preserve"> </w:t>
      </w:r>
      <w:r w:rsidRPr="003672F1">
        <w:rPr>
          <w:rFonts w:ascii="Verdana" w:hAnsi="Verdana"/>
          <w:bCs/>
          <w:sz w:val="20"/>
          <w:lang w:val="es-CR"/>
        </w:rPr>
        <w:t xml:space="preserve">el 18 de julio de 2016 se realizó </w:t>
      </w:r>
      <w:r w:rsidR="005445DF" w:rsidRPr="003672F1">
        <w:rPr>
          <w:rFonts w:ascii="Verdana" w:hAnsi="Verdana"/>
          <w:bCs/>
          <w:sz w:val="20"/>
          <w:lang w:val="es-CR"/>
        </w:rPr>
        <w:t xml:space="preserve">una </w:t>
      </w:r>
      <w:r w:rsidRPr="003672F1">
        <w:rPr>
          <w:rFonts w:ascii="Verdana" w:hAnsi="Verdana"/>
          <w:bCs/>
          <w:sz w:val="20"/>
          <w:lang w:val="es-CR"/>
        </w:rPr>
        <w:t xml:space="preserve">escritura </w:t>
      </w:r>
      <w:r w:rsidR="005445DF" w:rsidRPr="003672F1">
        <w:rPr>
          <w:rFonts w:ascii="Verdana" w:hAnsi="Verdana"/>
          <w:bCs/>
          <w:sz w:val="20"/>
          <w:lang w:val="es-CR"/>
        </w:rPr>
        <w:t>en la cual</w:t>
      </w:r>
      <w:r w:rsidR="003672F1">
        <w:rPr>
          <w:rFonts w:ascii="Verdana" w:hAnsi="Verdana"/>
          <w:bCs/>
          <w:sz w:val="20"/>
          <w:lang w:val="es-CR"/>
        </w:rPr>
        <w:t>,</w:t>
      </w:r>
      <w:r w:rsidR="005445DF" w:rsidRPr="003672F1">
        <w:rPr>
          <w:rFonts w:ascii="Verdana" w:hAnsi="Verdana"/>
          <w:bCs/>
          <w:sz w:val="20"/>
          <w:lang w:val="es-CR"/>
        </w:rPr>
        <w:t xml:space="preserve"> en un mismo acto</w:t>
      </w:r>
      <w:r w:rsidR="003672F1">
        <w:rPr>
          <w:rFonts w:ascii="Verdana" w:hAnsi="Verdana"/>
          <w:bCs/>
          <w:sz w:val="20"/>
          <w:lang w:val="es-CR"/>
        </w:rPr>
        <w:t>,</w:t>
      </w:r>
      <w:r w:rsidR="005445DF" w:rsidRPr="003672F1">
        <w:rPr>
          <w:rFonts w:ascii="Verdana" w:hAnsi="Verdana"/>
          <w:bCs/>
          <w:sz w:val="20"/>
          <w:lang w:val="es-CR"/>
        </w:rPr>
        <w:t xml:space="preserve"> la empresa Eaton y Compañía S.A., que era propietaria de las 7.701 hectáreas, aceptó que éstas fueran transferidas al Instituto Paraguayo del Indígena (en adelante también </w:t>
      </w:r>
      <w:r w:rsidR="00D07C05">
        <w:rPr>
          <w:rFonts w:ascii="Verdana" w:hAnsi="Verdana"/>
          <w:bCs/>
          <w:sz w:val="20"/>
          <w:lang w:val="es-CR"/>
        </w:rPr>
        <w:t xml:space="preserve">el </w:t>
      </w:r>
      <w:r w:rsidR="005445DF" w:rsidRPr="003672F1">
        <w:rPr>
          <w:rFonts w:ascii="Verdana" w:hAnsi="Verdana"/>
          <w:bCs/>
          <w:sz w:val="20"/>
          <w:lang w:val="es-CR"/>
        </w:rPr>
        <w:t xml:space="preserve">“INDI”), y </w:t>
      </w:r>
      <w:r w:rsidR="003672F1">
        <w:rPr>
          <w:rFonts w:ascii="Verdana" w:hAnsi="Verdana"/>
          <w:bCs/>
          <w:sz w:val="20"/>
          <w:lang w:val="es-CR"/>
        </w:rPr>
        <w:t>éste último</w:t>
      </w:r>
      <w:r w:rsidR="005445DF" w:rsidRPr="003672F1">
        <w:rPr>
          <w:rFonts w:ascii="Verdana" w:hAnsi="Verdana"/>
          <w:bCs/>
          <w:sz w:val="20"/>
          <w:lang w:val="es-CR"/>
        </w:rPr>
        <w:t xml:space="preserve"> transfirió las tierras a nombre de la Comunidad </w:t>
      </w:r>
      <w:r w:rsidR="00DB26D2">
        <w:rPr>
          <w:rFonts w:ascii="Verdana" w:hAnsi="Verdana"/>
          <w:bCs/>
          <w:sz w:val="20"/>
          <w:lang w:val="es-CR"/>
        </w:rPr>
        <w:t>i</w:t>
      </w:r>
      <w:r w:rsidR="00DB26D2" w:rsidRPr="003672F1">
        <w:rPr>
          <w:rFonts w:ascii="Verdana" w:hAnsi="Verdana"/>
          <w:bCs/>
          <w:sz w:val="20"/>
          <w:lang w:val="es-CR"/>
        </w:rPr>
        <w:t xml:space="preserve">ndígena </w:t>
      </w:r>
      <w:r w:rsidR="005445DF" w:rsidRPr="003672F1">
        <w:rPr>
          <w:rFonts w:ascii="Verdana" w:hAnsi="Verdana"/>
          <w:bCs/>
          <w:sz w:val="20"/>
          <w:lang w:val="es-CR"/>
        </w:rPr>
        <w:t xml:space="preserve">Xákmok Kásek. </w:t>
      </w:r>
      <w:r w:rsidR="003672F1">
        <w:rPr>
          <w:rFonts w:ascii="Verdana" w:hAnsi="Verdana"/>
          <w:bCs/>
          <w:sz w:val="20"/>
          <w:lang w:val="es-CR"/>
        </w:rPr>
        <w:t>Adicionalmente, en enero de 2017 el Estado culminó “el proceso de adquisición de [dichas hectáreas de] tierras [a] la firma Eaton y Cía, ya que efectuó el tercer y último pago</w:t>
      </w:r>
      <w:r w:rsidR="00DB26D2">
        <w:rPr>
          <w:rFonts w:ascii="Verdana" w:hAnsi="Verdana"/>
          <w:bCs/>
          <w:sz w:val="20"/>
          <w:lang w:val="es-CR"/>
        </w:rPr>
        <w:t>”</w:t>
      </w:r>
      <w:r w:rsidR="003672F1">
        <w:rPr>
          <w:rFonts w:ascii="Verdana" w:hAnsi="Verdana"/>
          <w:bCs/>
          <w:sz w:val="20"/>
          <w:lang w:val="es-CR"/>
        </w:rPr>
        <w:t xml:space="preserve">. </w:t>
      </w:r>
    </w:p>
    <w:p w14:paraId="579FF1FF" w14:textId="77777777" w:rsidR="006961B7" w:rsidRPr="006961B7" w:rsidRDefault="003672F1" w:rsidP="006961B7">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Cs/>
          <w:sz w:val="20"/>
          <w:lang w:val="es-CR"/>
        </w:rPr>
      </w:pPr>
      <w:r w:rsidRPr="006961B7">
        <w:rPr>
          <w:rFonts w:ascii="Verdana" w:hAnsi="Verdana"/>
          <w:bCs/>
          <w:sz w:val="20"/>
          <w:lang w:val="es-CR"/>
        </w:rPr>
        <w:t>Tal como ha sido indicado, durante la visita y la audiencia de supervisión de cumplimiento efectuadas en noviembre de 2017, se recibió informaci</w:t>
      </w:r>
      <w:r w:rsidR="000D00FD" w:rsidRPr="006961B7">
        <w:rPr>
          <w:rFonts w:ascii="Verdana" w:hAnsi="Verdana"/>
          <w:bCs/>
          <w:sz w:val="20"/>
          <w:lang w:val="es-CR"/>
        </w:rPr>
        <w:t xml:space="preserve">ón respecto a que las 7.701 hectáreas de tierra </w:t>
      </w:r>
      <w:r w:rsidR="00B17FFD" w:rsidRPr="006961B7">
        <w:rPr>
          <w:rFonts w:ascii="Verdana" w:hAnsi="Verdana"/>
          <w:bCs/>
          <w:sz w:val="20"/>
          <w:lang w:val="es-CR"/>
        </w:rPr>
        <w:t>aún no habían sido “definitivamente tituladas a nombre de la comunidad”</w:t>
      </w:r>
      <w:r w:rsidR="00DB26D2">
        <w:rPr>
          <w:rFonts w:ascii="Verdana" w:hAnsi="Verdana"/>
          <w:bCs/>
          <w:sz w:val="20"/>
          <w:lang w:val="es-CR"/>
        </w:rPr>
        <w:t>,</w:t>
      </w:r>
      <w:r w:rsidR="00B17FFD" w:rsidRPr="006961B7">
        <w:rPr>
          <w:rFonts w:ascii="Verdana" w:hAnsi="Verdana"/>
          <w:bCs/>
          <w:sz w:val="20"/>
          <w:lang w:val="es-CR"/>
        </w:rPr>
        <w:t xml:space="preserve"> debido a problemas registrales. Al respecto, el </w:t>
      </w:r>
      <w:r w:rsidR="00B17FFD" w:rsidRPr="00D44E7E">
        <w:rPr>
          <w:rFonts w:ascii="Verdana" w:hAnsi="Verdana"/>
          <w:bCs/>
          <w:i/>
          <w:sz w:val="20"/>
          <w:lang w:val="es-CR"/>
        </w:rPr>
        <w:t>Estado</w:t>
      </w:r>
      <w:r w:rsidR="00B17FFD" w:rsidRPr="00DB26D2">
        <w:rPr>
          <w:rFonts w:ascii="Verdana" w:hAnsi="Verdana"/>
          <w:bCs/>
          <w:sz w:val="20"/>
          <w:lang w:val="es-CR"/>
        </w:rPr>
        <w:t xml:space="preserve"> </w:t>
      </w:r>
      <w:r w:rsidR="00B17FFD" w:rsidRPr="006961B7">
        <w:rPr>
          <w:rFonts w:ascii="Verdana" w:hAnsi="Verdana"/>
          <w:bCs/>
          <w:sz w:val="20"/>
          <w:lang w:val="es-CR"/>
        </w:rPr>
        <w:t>se comprometió</w:t>
      </w:r>
      <w:r w:rsidR="00100894" w:rsidRPr="006961B7">
        <w:rPr>
          <w:rFonts w:ascii="Verdana" w:hAnsi="Verdana"/>
          <w:bCs/>
          <w:sz w:val="20"/>
          <w:lang w:val="es-CR"/>
        </w:rPr>
        <w:t xml:space="preserve"> a</w:t>
      </w:r>
      <w:r w:rsidR="00B17FFD" w:rsidRPr="006961B7">
        <w:rPr>
          <w:rFonts w:ascii="Verdana" w:hAnsi="Verdana"/>
          <w:bCs/>
          <w:sz w:val="20"/>
          <w:lang w:val="es-CR"/>
        </w:rPr>
        <w:t xml:space="preserve"> arbitrar</w:t>
      </w:r>
      <w:r w:rsidR="00100894" w:rsidRPr="006961B7">
        <w:rPr>
          <w:rFonts w:ascii="Verdana" w:hAnsi="Verdana"/>
          <w:bCs/>
          <w:sz w:val="20"/>
          <w:lang w:val="es-CR"/>
        </w:rPr>
        <w:t>,</w:t>
      </w:r>
      <w:r w:rsidR="00B17FFD" w:rsidRPr="006961B7">
        <w:rPr>
          <w:rFonts w:ascii="Verdana" w:hAnsi="Verdana"/>
          <w:bCs/>
          <w:sz w:val="20"/>
          <w:lang w:val="es-CR"/>
        </w:rPr>
        <w:t xml:space="preserve"> </w:t>
      </w:r>
      <w:r w:rsidR="00100894" w:rsidRPr="006961B7">
        <w:rPr>
          <w:rFonts w:ascii="Verdana" w:hAnsi="Verdana"/>
          <w:bCs/>
          <w:sz w:val="20"/>
          <w:lang w:val="es-CR"/>
        </w:rPr>
        <w:t xml:space="preserve">a través del Poder Judicial, del cual dependen los Registros Públicos, </w:t>
      </w:r>
      <w:r w:rsidR="00B17FFD" w:rsidRPr="006961B7">
        <w:rPr>
          <w:rFonts w:ascii="Verdana" w:hAnsi="Verdana"/>
          <w:bCs/>
          <w:sz w:val="20"/>
          <w:lang w:val="es-CR"/>
        </w:rPr>
        <w:t>los medios necesarios</w:t>
      </w:r>
      <w:r w:rsidR="00EA15D9" w:rsidRPr="006961B7">
        <w:rPr>
          <w:rFonts w:ascii="Verdana" w:hAnsi="Verdana"/>
          <w:bCs/>
          <w:sz w:val="20"/>
          <w:lang w:val="es-CR"/>
        </w:rPr>
        <w:t xml:space="preserve"> para resolver esos problemas</w:t>
      </w:r>
      <w:r w:rsidR="00100894" w:rsidRPr="006961B7">
        <w:rPr>
          <w:rFonts w:ascii="Verdana" w:hAnsi="Verdana"/>
          <w:bCs/>
          <w:sz w:val="20"/>
          <w:lang w:val="es-CR"/>
        </w:rPr>
        <w:t xml:space="preserve"> a fin de lograr</w:t>
      </w:r>
      <w:r w:rsidR="00C216AC" w:rsidRPr="006961B7">
        <w:rPr>
          <w:rFonts w:ascii="Verdana" w:hAnsi="Verdana"/>
          <w:bCs/>
          <w:sz w:val="20"/>
          <w:lang w:val="es-CR"/>
        </w:rPr>
        <w:t xml:space="preserve"> la inscripción de los territorios de la comunidad</w:t>
      </w:r>
      <w:r w:rsidR="00B17FFD" w:rsidRPr="006961B7">
        <w:rPr>
          <w:rFonts w:ascii="Verdana" w:hAnsi="Verdana"/>
          <w:bCs/>
          <w:sz w:val="20"/>
          <w:lang w:val="es-CR"/>
        </w:rPr>
        <w:t>.</w:t>
      </w:r>
      <w:r w:rsidR="00B17FFD" w:rsidRPr="006961B7">
        <w:rPr>
          <w:rFonts w:ascii="Verdana" w:hAnsi="Verdana"/>
          <w:bCs/>
          <w:color w:val="FF0000"/>
          <w:sz w:val="20"/>
          <w:lang w:val="es-CR"/>
        </w:rPr>
        <w:t xml:space="preserve"> </w:t>
      </w:r>
      <w:r w:rsidR="00CD7205" w:rsidRPr="006961B7">
        <w:rPr>
          <w:rFonts w:ascii="Verdana" w:hAnsi="Verdana"/>
          <w:bCs/>
          <w:sz w:val="20"/>
          <w:szCs w:val="20"/>
          <w:lang w:val="es-CR"/>
        </w:rPr>
        <w:t>Luego de dicha visita, el Paraguay inform</w:t>
      </w:r>
      <w:r w:rsidR="00C216AC" w:rsidRPr="006961B7">
        <w:rPr>
          <w:rFonts w:ascii="Verdana" w:hAnsi="Verdana"/>
          <w:bCs/>
          <w:sz w:val="20"/>
          <w:szCs w:val="20"/>
          <w:lang w:val="es-CR"/>
        </w:rPr>
        <w:t>ó, en enero de 2018, que “en seguimiento al [referido] compromiso […], la Dirección General de Registros Públicos se [había] comprometi[do] a destrabar el conflicto registral y proceder a la inscripción de la propiedad a nombre de la comunidad indígena Xákmok Kásek” y que</w:t>
      </w:r>
      <w:r w:rsidR="00100894" w:rsidRPr="006961B7">
        <w:rPr>
          <w:rFonts w:ascii="Verdana" w:hAnsi="Verdana"/>
          <w:bCs/>
          <w:sz w:val="20"/>
          <w:szCs w:val="20"/>
          <w:lang w:val="es-CR"/>
        </w:rPr>
        <w:t>,</w:t>
      </w:r>
      <w:r w:rsidR="00C216AC" w:rsidRPr="006961B7">
        <w:rPr>
          <w:rFonts w:ascii="Verdana" w:hAnsi="Verdana"/>
          <w:bCs/>
          <w:sz w:val="20"/>
          <w:szCs w:val="20"/>
          <w:lang w:val="es-CR"/>
        </w:rPr>
        <w:t xml:space="preserve"> en diciembre de 2017</w:t>
      </w:r>
      <w:r w:rsidR="00100894" w:rsidRPr="006961B7">
        <w:rPr>
          <w:rFonts w:ascii="Verdana" w:hAnsi="Verdana"/>
          <w:bCs/>
          <w:sz w:val="20"/>
          <w:szCs w:val="20"/>
          <w:lang w:val="es-CR"/>
        </w:rPr>
        <w:t>,</w:t>
      </w:r>
      <w:r w:rsidR="00C216AC" w:rsidRPr="006961B7">
        <w:rPr>
          <w:rFonts w:ascii="Verdana" w:hAnsi="Verdana"/>
          <w:bCs/>
          <w:sz w:val="20"/>
          <w:szCs w:val="20"/>
          <w:lang w:val="es-CR"/>
        </w:rPr>
        <w:t xml:space="preserve"> “se procedió a la inscripción de la finca a favor de [dicha] comunidad”. </w:t>
      </w:r>
      <w:r w:rsidR="00100894" w:rsidRPr="006961B7">
        <w:rPr>
          <w:rFonts w:ascii="Verdana" w:hAnsi="Verdana"/>
          <w:bCs/>
          <w:sz w:val="20"/>
          <w:szCs w:val="20"/>
          <w:lang w:val="es-CR"/>
        </w:rPr>
        <w:t xml:space="preserve">A pesar de haber afirmado que </w:t>
      </w:r>
      <w:r w:rsidR="00D44E7E">
        <w:rPr>
          <w:rFonts w:ascii="Verdana" w:hAnsi="Verdana"/>
          <w:bCs/>
          <w:sz w:val="20"/>
          <w:szCs w:val="20"/>
          <w:lang w:val="es-CR"/>
        </w:rPr>
        <w:t>desde diciembre de 2017</w:t>
      </w:r>
      <w:r w:rsidR="00D44E7E" w:rsidRPr="006961B7">
        <w:rPr>
          <w:rFonts w:ascii="Verdana" w:hAnsi="Verdana"/>
          <w:bCs/>
          <w:sz w:val="20"/>
          <w:szCs w:val="20"/>
          <w:lang w:val="es-CR"/>
        </w:rPr>
        <w:t xml:space="preserve"> </w:t>
      </w:r>
      <w:r w:rsidR="00100894" w:rsidRPr="006961B7">
        <w:rPr>
          <w:rFonts w:ascii="Verdana" w:hAnsi="Verdana"/>
          <w:bCs/>
          <w:sz w:val="20"/>
          <w:szCs w:val="20"/>
          <w:lang w:val="es-CR"/>
        </w:rPr>
        <w:t>se había procedido con dicha inscripción</w:t>
      </w:r>
      <w:r w:rsidR="00AC7060" w:rsidRPr="006961B7">
        <w:rPr>
          <w:rFonts w:ascii="Verdana" w:hAnsi="Verdana"/>
          <w:bCs/>
          <w:sz w:val="20"/>
          <w:szCs w:val="20"/>
          <w:lang w:val="es-CR"/>
        </w:rPr>
        <w:t xml:space="preserve">, en su informe de septiembre de 2018, el Estado </w:t>
      </w:r>
      <w:r w:rsidR="00100894" w:rsidRPr="006961B7">
        <w:rPr>
          <w:rFonts w:ascii="Verdana" w:hAnsi="Verdana"/>
          <w:bCs/>
          <w:sz w:val="20"/>
          <w:szCs w:val="20"/>
          <w:lang w:val="es-CR"/>
        </w:rPr>
        <w:t xml:space="preserve">se refirió a las gestiones que estaba realizando ante </w:t>
      </w:r>
      <w:r w:rsidR="000427E7" w:rsidRPr="006961B7">
        <w:rPr>
          <w:rFonts w:ascii="Verdana" w:hAnsi="Verdana"/>
          <w:bCs/>
          <w:sz w:val="20"/>
          <w:lang w:val="es-CR"/>
        </w:rPr>
        <w:t xml:space="preserve">la </w:t>
      </w:r>
      <w:r w:rsidR="00100894" w:rsidRPr="006961B7">
        <w:rPr>
          <w:rFonts w:ascii="Verdana" w:hAnsi="Verdana"/>
          <w:bCs/>
          <w:sz w:val="20"/>
          <w:lang w:val="es-CR"/>
        </w:rPr>
        <w:t>Escribanía Mayor de Gobierno para</w:t>
      </w:r>
      <w:r w:rsidR="00165937" w:rsidRPr="006961B7">
        <w:rPr>
          <w:rFonts w:ascii="Verdana" w:hAnsi="Verdana"/>
          <w:bCs/>
          <w:sz w:val="20"/>
          <w:lang w:val="es-CR"/>
        </w:rPr>
        <w:t xml:space="preserve"> la corrección del asiento registral a nombre de la Comunidad </w:t>
      </w:r>
      <w:r w:rsidR="00100894" w:rsidRPr="006961B7">
        <w:rPr>
          <w:rFonts w:ascii="Verdana" w:hAnsi="Verdana"/>
          <w:bCs/>
          <w:sz w:val="20"/>
          <w:lang w:val="es-CR"/>
        </w:rPr>
        <w:t>Xákmok</w:t>
      </w:r>
      <w:r w:rsidR="00165937" w:rsidRPr="006961B7">
        <w:rPr>
          <w:rFonts w:ascii="Verdana" w:hAnsi="Verdana"/>
          <w:bCs/>
          <w:sz w:val="20"/>
          <w:lang w:val="es-CR"/>
        </w:rPr>
        <w:t xml:space="preserve"> </w:t>
      </w:r>
      <w:r w:rsidR="00100894" w:rsidRPr="006961B7">
        <w:rPr>
          <w:rFonts w:ascii="Verdana" w:hAnsi="Verdana"/>
          <w:bCs/>
          <w:sz w:val="20"/>
          <w:lang w:val="es-CR"/>
        </w:rPr>
        <w:t>Kásek</w:t>
      </w:r>
      <w:r w:rsidR="005445DF" w:rsidRPr="006961B7">
        <w:rPr>
          <w:rFonts w:ascii="Verdana" w:hAnsi="Verdana"/>
          <w:bCs/>
          <w:sz w:val="20"/>
          <w:lang w:val="es-CR"/>
        </w:rPr>
        <w:t>, ya que el INDI continúa apareciendo como titular de las tierras</w:t>
      </w:r>
      <w:r w:rsidR="006344C5" w:rsidRPr="006961B7">
        <w:rPr>
          <w:rFonts w:ascii="Verdana" w:hAnsi="Verdana"/>
          <w:bCs/>
          <w:sz w:val="20"/>
          <w:lang w:val="es-CR"/>
        </w:rPr>
        <w:t xml:space="preserve">. También </w:t>
      </w:r>
      <w:r w:rsidR="00100894" w:rsidRPr="006961B7">
        <w:rPr>
          <w:rFonts w:ascii="Verdana" w:hAnsi="Verdana"/>
          <w:bCs/>
          <w:sz w:val="20"/>
          <w:szCs w:val="20"/>
          <w:lang w:val="es-CR"/>
        </w:rPr>
        <w:t>aportó la solicitud de corrección que había realizado a dicha entidad en agosto de 2018</w:t>
      </w:r>
      <w:r w:rsidR="00100894" w:rsidRPr="00100894">
        <w:rPr>
          <w:rStyle w:val="Refdenotaalpie"/>
          <w:rFonts w:ascii="Verdana" w:hAnsi="Verdana"/>
          <w:bCs/>
          <w:sz w:val="20"/>
          <w:szCs w:val="20"/>
          <w:lang w:val="es-CR"/>
        </w:rPr>
        <w:footnoteReference w:id="48"/>
      </w:r>
      <w:r w:rsidR="00100894" w:rsidRPr="006961B7">
        <w:rPr>
          <w:rFonts w:ascii="Verdana" w:hAnsi="Verdana"/>
          <w:bCs/>
          <w:sz w:val="20"/>
          <w:szCs w:val="20"/>
          <w:lang w:val="es-CR"/>
        </w:rPr>
        <w:t xml:space="preserve">. Al respecto, los </w:t>
      </w:r>
      <w:r w:rsidR="00100894" w:rsidRPr="006961B7">
        <w:rPr>
          <w:rFonts w:ascii="Verdana" w:hAnsi="Verdana"/>
          <w:bCs/>
          <w:i/>
          <w:sz w:val="20"/>
          <w:szCs w:val="20"/>
          <w:lang w:val="es-CR"/>
        </w:rPr>
        <w:t xml:space="preserve">representantes </w:t>
      </w:r>
      <w:r w:rsidR="005E2DAA" w:rsidRPr="006961B7">
        <w:rPr>
          <w:rFonts w:ascii="Verdana" w:hAnsi="Verdana"/>
          <w:bCs/>
          <w:sz w:val="20"/>
          <w:szCs w:val="20"/>
          <w:lang w:val="es-CR"/>
        </w:rPr>
        <w:t xml:space="preserve">observaron que </w:t>
      </w:r>
      <w:r w:rsidR="00B54DD3" w:rsidRPr="006961B7">
        <w:rPr>
          <w:rFonts w:ascii="Verdana" w:hAnsi="Verdana"/>
          <w:bCs/>
          <w:sz w:val="20"/>
          <w:szCs w:val="20"/>
          <w:lang w:val="es-CR"/>
        </w:rPr>
        <w:t xml:space="preserve">la Escribanía Mayor de Gobierno no tiene la facultad de realizar dicha rectificación del asiento registral, pues ésta le compete a </w:t>
      </w:r>
      <w:r w:rsidR="00B54DD3" w:rsidRPr="006961B7">
        <w:rPr>
          <w:rFonts w:ascii="Verdana" w:hAnsi="Verdana"/>
          <w:bCs/>
          <w:sz w:val="20"/>
          <w:lang w:val="es-CR"/>
        </w:rPr>
        <w:t xml:space="preserve">la </w:t>
      </w:r>
      <w:r w:rsidR="006B55FB" w:rsidRPr="006961B7">
        <w:rPr>
          <w:rFonts w:ascii="Verdana" w:hAnsi="Verdana"/>
          <w:bCs/>
          <w:sz w:val="20"/>
          <w:lang w:val="es-CR"/>
        </w:rPr>
        <w:t>Dirección de Registros Públicos</w:t>
      </w:r>
      <w:r w:rsidR="00B54DD3" w:rsidRPr="006961B7">
        <w:rPr>
          <w:rFonts w:ascii="Verdana" w:hAnsi="Verdana"/>
          <w:bCs/>
          <w:sz w:val="20"/>
          <w:lang w:val="es-CR"/>
        </w:rPr>
        <w:t>,</w:t>
      </w:r>
      <w:r w:rsidR="006B55FB" w:rsidRPr="006961B7">
        <w:rPr>
          <w:rFonts w:ascii="Verdana" w:hAnsi="Verdana"/>
          <w:bCs/>
          <w:sz w:val="20"/>
          <w:lang w:val="es-CR"/>
        </w:rPr>
        <w:t xml:space="preserve"> dependiente de la Corte Suprema de Justicia</w:t>
      </w:r>
      <w:r w:rsidR="00B54DD3" w:rsidRPr="006961B7">
        <w:rPr>
          <w:rFonts w:ascii="Verdana" w:hAnsi="Verdana"/>
          <w:bCs/>
          <w:sz w:val="20"/>
          <w:lang w:val="es-CR"/>
        </w:rPr>
        <w:t xml:space="preserve">. Indicaron que dicha Escribanía </w:t>
      </w:r>
      <w:r w:rsidR="00D741C5" w:rsidRPr="006961B7">
        <w:rPr>
          <w:rFonts w:ascii="Verdana" w:hAnsi="Verdana"/>
          <w:bCs/>
          <w:sz w:val="20"/>
          <w:lang w:val="es-CR"/>
        </w:rPr>
        <w:t>“sugirió ir directamente a la Dirección de Registros Públicos”, y que en ésta dirección les “</w:t>
      </w:r>
      <w:r w:rsidR="00D44E7E" w:rsidRPr="006961B7">
        <w:rPr>
          <w:rFonts w:ascii="Verdana" w:hAnsi="Verdana"/>
          <w:bCs/>
          <w:sz w:val="20"/>
          <w:lang w:val="es-CR"/>
        </w:rPr>
        <w:t>ha</w:t>
      </w:r>
      <w:r w:rsidR="00D44E7E">
        <w:rPr>
          <w:rFonts w:ascii="Verdana" w:hAnsi="Verdana"/>
          <w:bCs/>
          <w:sz w:val="20"/>
          <w:lang w:val="es-CR"/>
        </w:rPr>
        <w:t>[bían]</w:t>
      </w:r>
      <w:r w:rsidR="00D44E7E" w:rsidRPr="006961B7">
        <w:rPr>
          <w:rFonts w:ascii="Verdana" w:hAnsi="Verdana"/>
          <w:bCs/>
          <w:sz w:val="20"/>
          <w:lang w:val="es-CR"/>
        </w:rPr>
        <w:t xml:space="preserve"> </w:t>
      </w:r>
      <w:r w:rsidR="006B55FB" w:rsidRPr="006961B7">
        <w:rPr>
          <w:rFonts w:ascii="Verdana" w:hAnsi="Verdana"/>
          <w:bCs/>
          <w:sz w:val="20"/>
          <w:lang w:val="es-CR"/>
        </w:rPr>
        <w:t xml:space="preserve">manifestado la necesidad de que </w:t>
      </w:r>
      <w:r w:rsidR="00D44E7E">
        <w:rPr>
          <w:rFonts w:ascii="Verdana" w:hAnsi="Verdana"/>
          <w:bCs/>
          <w:sz w:val="20"/>
          <w:lang w:val="es-CR"/>
        </w:rPr>
        <w:t>[un]</w:t>
      </w:r>
      <w:r w:rsidR="00D44E7E" w:rsidRPr="006961B7">
        <w:rPr>
          <w:rFonts w:ascii="Verdana" w:hAnsi="Verdana"/>
          <w:bCs/>
          <w:sz w:val="20"/>
          <w:lang w:val="es-CR"/>
        </w:rPr>
        <w:t xml:space="preserve"> </w:t>
      </w:r>
      <w:r w:rsidR="006B55FB" w:rsidRPr="006961B7">
        <w:rPr>
          <w:rFonts w:ascii="Verdana" w:hAnsi="Verdana"/>
          <w:bCs/>
          <w:sz w:val="20"/>
          <w:lang w:val="es-CR"/>
        </w:rPr>
        <w:t>escribano particular realice una nueva acta notarial y ésta pase, nuevamente, por Catastro y finalmente la Dirección de Registros Públicos para la inscripción del asiento registral de forma correcta”</w:t>
      </w:r>
      <w:r w:rsidR="00D44E7E">
        <w:rPr>
          <w:rFonts w:ascii="Verdana" w:hAnsi="Verdana"/>
          <w:bCs/>
          <w:sz w:val="20"/>
          <w:lang w:val="es-CR"/>
        </w:rPr>
        <w:t>.</w:t>
      </w:r>
    </w:p>
    <w:p w14:paraId="2E13B2D5" w14:textId="77777777" w:rsidR="006961B7" w:rsidRPr="006961B7" w:rsidRDefault="00551010" w:rsidP="006961B7">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Cs/>
          <w:sz w:val="20"/>
          <w:lang w:val="es-CR"/>
        </w:rPr>
      </w:pPr>
      <w:r w:rsidRPr="006961B7">
        <w:rPr>
          <w:rFonts w:ascii="Verdana" w:hAnsi="Verdana"/>
          <w:bCs/>
          <w:sz w:val="20"/>
          <w:szCs w:val="20"/>
          <w:lang w:val="es-CR"/>
        </w:rPr>
        <w:t>L</w:t>
      </w:r>
      <w:r w:rsidR="00D741C5" w:rsidRPr="006961B7">
        <w:rPr>
          <w:rFonts w:ascii="Verdana" w:hAnsi="Verdana"/>
          <w:bCs/>
          <w:sz w:val="20"/>
          <w:szCs w:val="20"/>
          <w:lang w:val="es-CR"/>
        </w:rPr>
        <w:t xml:space="preserve">a Corte considera que el Estado ha efectuado </w:t>
      </w:r>
      <w:r w:rsidR="00A63302">
        <w:rPr>
          <w:rFonts w:ascii="Verdana" w:hAnsi="Verdana"/>
          <w:bCs/>
          <w:sz w:val="20"/>
          <w:szCs w:val="20"/>
          <w:lang w:val="es-CR"/>
        </w:rPr>
        <w:t xml:space="preserve">un </w:t>
      </w:r>
      <w:r w:rsidR="00D741C5" w:rsidRPr="006961B7">
        <w:rPr>
          <w:rFonts w:ascii="Verdana" w:hAnsi="Verdana"/>
          <w:bCs/>
          <w:sz w:val="20"/>
          <w:szCs w:val="20"/>
          <w:lang w:val="es-CR"/>
        </w:rPr>
        <w:t xml:space="preserve">avance importante para devolver a la Comunidad </w:t>
      </w:r>
      <w:r w:rsidR="00D44E7E">
        <w:rPr>
          <w:rFonts w:ascii="Verdana" w:hAnsi="Verdana"/>
          <w:bCs/>
          <w:sz w:val="20"/>
          <w:szCs w:val="20"/>
          <w:lang w:val="es-CR"/>
        </w:rPr>
        <w:t xml:space="preserve">indígena </w:t>
      </w:r>
      <w:r w:rsidR="00D741C5" w:rsidRPr="006961B7">
        <w:rPr>
          <w:rFonts w:ascii="Verdana" w:hAnsi="Verdana"/>
          <w:bCs/>
          <w:sz w:val="20"/>
          <w:szCs w:val="20"/>
          <w:lang w:val="es-CR"/>
        </w:rPr>
        <w:t xml:space="preserve">Xákmok Kásek la mayoría de sus tierras tradicionales (7.701 hectáreas de las </w:t>
      </w:r>
      <w:r w:rsidR="00D741C5" w:rsidRPr="006961B7">
        <w:rPr>
          <w:rFonts w:ascii="Verdana" w:eastAsiaTheme="minorHAnsi" w:hAnsi="Verdana" w:cs="Verdana"/>
          <w:sz w:val="20"/>
          <w:szCs w:val="20"/>
          <w:lang w:val="es-ES_tradnl"/>
        </w:rPr>
        <w:t>10.700 reclamadas por la comunidad)</w:t>
      </w:r>
      <w:r w:rsidRPr="006961B7">
        <w:rPr>
          <w:rFonts w:ascii="Verdana" w:eastAsiaTheme="minorHAnsi" w:hAnsi="Verdana" w:cs="Verdana"/>
          <w:sz w:val="20"/>
          <w:szCs w:val="20"/>
          <w:lang w:val="es-ES_tradnl"/>
        </w:rPr>
        <w:t xml:space="preserve">. Esto fue reconocido por los líderes de la comunidad durante la visita </w:t>
      </w:r>
      <w:r w:rsidR="00D44E7E">
        <w:rPr>
          <w:rFonts w:ascii="Verdana" w:eastAsiaTheme="minorHAnsi" w:hAnsi="Verdana" w:cs="Verdana"/>
          <w:sz w:val="20"/>
          <w:szCs w:val="20"/>
          <w:lang w:val="es-ES_tradnl"/>
        </w:rPr>
        <w:t>realizada por una delegación de la</w:t>
      </w:r>
      <w:r w:rsidRPr="006961B7">
        <w:rPr>
          <w:rFonts w:ascii="Verdana" w:eastAsiaTheme="minorHAnsi" w:hAnsi="Verdana" w:cs="Verdana"/>
          <w:sz w:val="20"/>
          <w:szCs w:val="20"/>
          <w:lang w:val="es-ES_tradnl"/>
        </w:rPr>
        <w:t xml:space="preserve"> Corte</w:t>
      </w:r>
      <w:r w:rsidR="00D44E7E">
        <w:rPr>
          <w:rFonts w:ascii="Verdana" w:eastAsiaTheme="minorHAnsi" w:hAnsi="Verdana" w:cs="Verdana"/>
          <w:sz w:val="20"/>
          <w:szCs w:val="20"/>
          <w:lang w:val="es-ES_tradnl"/>
        </w:rPr>
        <w:t xml:space="preserve"> en noviembre de 2017</w:t>
      </w:r>
      <w:r w:rsidR="005515A8" w:rsidRPr="006961B7">
        <w:rPr>
          <w:rFonts w:ascii="Verdana" w:eastAsiaTheme="minorHAnsi" w:hAnsi="Verdana" w:cs="Verdana"/>
          <w:sz w:val="20"/>
          <w:szCs w:val="20"/>
          <w:lang w:val="es-ES_tradnl"/>
        </w:rPr>
        <w:t xml:space="preserve">, en la cual expresaron </w:t>
      </w:r>
      <w:r w:rsidR="00D37D75">
        <w:rPr>
          <w:rFonts w:ascii="Verdana" w:eastAsiaTheme="minorHAnsi" w:hAnsi="Verdana" w:cs="Verdana"/>
          <w:sz w:val="20"/>
          <w:szCs w:val="20"/>
          <w:lang w:val="es-ES_tradnl"/>
        </w:rPr>
        <w:t xml:space="preserve">que </w:t>
      </w:r>
      <w:r w:rsidR="005515A8" w:rsidRPr="006961B7">
        <w:rPr>
          <w:rFonts w:ascii="Verdana" w:eastAsiaTheme="minorHAnsi" w:hAnsi="Verdana" w:cs="Verdana"/>
          <w:sz w:val="20"/>
          <w:szCs w:val="20"/>
          <w:lang w:val="es-ES_tradnl"/>
        </w:rPr>
        <w:t xml:space="preserve">uno de los mayores logros es que la comunidad esté ocupando </w:t>
      </w:r>
      <w:r w:rsidR="00020C43" w:rsidRPr="006961B7">
        <w:rPr>
          <w:rFonts w:ascii="Verdana" w:eastAsiaTheme="minorHAnsi" w:hAnsi="Verdana" w:cs="Verdana"/>
          <w:sz w:val="20"/>
          <w:szCs w:val="20"/>
          <w:lang w:val="es-ES_tradnl"/>
        </w:rPr>
        <w:t>esta parte de sus tierras tradicionales, aunque aún no tenga el título</w:t>
      </w:r>
      <w:r w:rsidR="00D37D75">
        <w:rPr>
          <w:rFonts w:ascii="Verdana" w:eastAsiaTheme="minorHAnsi" w:hAnsi="Verdana" w:cs="Verdana"/>
          <w:sz w:val="20"/>
          <w:szCs w:val="20"/>
          <w:lang w:val="es-ES_tradnl"/>
        </w:rPr>
        <w:t xml:space="preserve"> de propiedad</w:t>
      </w:r>
      <w:r w:rsidRPr="006961B7">
        <w:rPr>
          <w:rFonts w:ascii="Verdana" w:eastAsiaTheme="minorHAnsi" w:hAnsi="Verdana" w:cs="Verdana"/>
          <w:sz w:val="20"/>
          <w:szCs w:val="20"/>
          <w:lang w:val="es-ES_tradnl"/>
        </w:rPr>
        <w:t>. No obstante</w:t>
      </w:r>
      <w:r w:rsidR="006C40AE" w:rsidRPr="006961B7">
        <w:rPr>
          <w:rFonts w:ascii="Verdana" w:eastAsiaTheme="minorHAnsi" w:hAnsi="Verdana" w:cs="Verdana"/>
          <w:sz w:val="20"/>
          <w:szCs w:val="20"/>
          <w:lang w:val="es-ES_tradnl"/>
        </w:rPr>
        <w:t xml:space="preserve"> </w:t>
      </w:r>
      <w:r w:rsidR="00020C43" w:rsidRPr="006961B7">
        <w:rPr>
          <w:rFonts w:ascii="Verdana" w:eastAsiaTheme="minorHAnsi" w:hAnsi="Verdana" w:cs="Verdana"/>
          <w:sz w:val="20"/>
          <w:szCs w:val="20"/>
          <w:lang w:val="es-ES_tradnl"/>
        </w:rPr>
        <w:t>el referido avance</w:t>
      </w:r>
      <w:r w:rsidRPr="006961B7">
        <w:rPr>
          <w:rFonts w:ascii="Verdana" w:eastAsiaTheme="minorHAnsi" w:hAnsi="Verdana" w:cs="Verdana"/>
          <w:sz w:val="20"/>
          <w:szCs w:val="20"/>
          <w:lang w:val="es-ES_tradnl"/>
        </w:rPr>
        <w:t>,</w:t>
      </w:r>
      <w:r w:rsidR="00CA6F1D" w:rsidRPr="006961B7">
        <w:rPr>
          <w:rFonts w:ascii="Verdana" w:eastAsiaTheme="minorHAnsi" w:hAnsi="Verdana" w:cs="Verdana"/>
          <w:sz w:val="20"/>
          <w:szCs w:val="20"/>
          <w:lang w:val="es-ES_tradnl"/>
        </w:rPr>
        <w:t xml:space="preserve"> </w:t>
      </w:r>
      <w:r w:rsidR="00E23E40" w:rsidRPr="006961B7">
        <w:rPr>
          <w:rFonts w:ascii="Verdana" w:eastAsiaTheme="minorHAnsi" w:hAnsi="Verdana" w:cs="Verdana"/>
          <w:sz w:val="20"/>
          <w:szCs w:val="20"/>
          <w:lang w:val="es-ES_tradnl"/>
        </w:rPr>
        <w:t xml:space="preserve">es grave que hayan transcurrido más de dos años desde que </w:t>
      </w:r>
      <w:r w:rsidRPr="006961B7">
        <w:rPr>
          <w:rFonts w:ascii="Verdana" w:eastAsiaTheme="minorHAnsi" w:hAnsi="Verdana" w:cs="Verdana"/>
          <w:sz w:val="20"/>
          <w:szCs w:val="20"/>
          <w:lang w:val="es-ES_tradnl"/>
        </w:rPr>
        <w:t>estas</w:t>
      </w:r>
      <w:r w:rsidR="00E23E40" w:rsidRPr="006961B7">
        <w:rPr>
          <w:rFonts w:ascii="Verdana" w:eastAsiaTheme="minorHAnsi" w:hAnsi="Verdana" w:cs="Verdana"/>
          <w:sz w:val="20"/>
          <w:szCs w:val="20"/>
          <w:lang w:val="es-ES_tradnl"/>
        </w:rPr>
        <w:t xml:space="preserve"> tierras están en propiedad del Estado</w:t>
      </w:r>
      <w:r w:rsidR="00EE3DE4">
        <w:rPr>
          <w:rFonts w:ascii="Verdana" w:eastAsiaTheme="minorHAnsi" w:hAnsi="Verdana" w:cs="Verdana"/>
          <w:sz w:val="20"/>
          <w:szCs w:val="20"/>
          <w:lang w:val="es-ES_tradnl"/>
        </w:rPr>
        <w:t xml:space="preserve"> (</w:t>
      </w:r>
      <w:r w:rsidR="00EE3DE4" w:rsidRPr="001B2C9A">
        <w:rPr>
          <w:rFonts w:ascii="Verdana" w:eastAsiaTheme="minorHAnsi" w:hAnsi="Verdana" w:cs="Verdana"/>
          <w:i/>
          <w:sz w:val="20"/>
          <w:szCs w:val="20"/>
          <w:lang w:val="es-ES_tradnl"/>
        </w:rPr>
        <w:t xml:space="preserve">supra </w:t>
      </w:r>
      <w:r w:rsidR="00EE3DE4">
        <w:rPr>
          <w:rFonts w:ascii="Verdana" w:eastAsiaTheme="minorHAnsi" w:hAnsi="Verdana" w:cs="Verdana"/>
          <w:sz w:val="20"/>
          <w:szCs w:val="20"/>
          <w:lang w:val="es-ES_tradnl"/>
        </w:rPr>
        <w:t>Considerando 18)</w:t>
      </w:r>
      <w:r w:rsidR="00020C43" w:rsidRPr="006961B7">
        <w:rPr>
          <w:rFonts w:ascii="Verdana" w:eastAsiaTheme="minorHAnsi" w:hAnsi="Verdana" w:cs="Verdana"/>
          <w:sz w:val="20"/>
          <w:szCs w:val="20"/>
          <w:lang w:val="es-ES_tradnl"/>
        </w:rPr>
        <w:t>,</w:t>
      </w:r>
      <w:r w:rsidR="00E23E40" w:rsidRPr="006961B7">
        <w:rPr>
          <w:rFonts w:ascii="Verdana" w:eastAsiaTheme="minorHAnsi" w:hAnsi="Verdana" w:cs="Verdana"/>
          <w:sz w:val="20"/>
          <w:szCs w:val="20"/>
          <w:lang w:val="es-ES_tradnl"/>
        </w:rPr>
        <w:t xml:space="preserve"> </w:t>
      </w:r>
      <w:r w:rsidRPr="006961B7">
        <w:rPr>
          <w:rFonts w:ascii="Verdana" w:eastAsiaTheme="minorHAnsi" w:hAnsi="Verdana" w:cs="Verdana"/>
          <w:sz w:val="20"/>
          <w:szCs w:val="20"/>
          <w:lang w:val="es-ES_tradnl"/>
        </w:rPr>
        <w:t xml:space="preserve">sin que hayan </w:t>
      </w:r>
      <w:r w:rsidR="006C40AE" w:rsidRPr="006961B7">
        <w:rPr>
          <w:rFonts w:ascii="Verdana" w:eastAsiaTheme="minorHAnsi" w:hAnsi="Verdana" w:cs="Verdana"/>
          <w:sz w:val="20"/>
          <w:szCs w:val="20"/>
          <w:lang w:val="es-ES_tradnl"/>
        </w:rPr>
        <w:t>sido</w:t>
      </w:r>
      <w:r w:rsidRPr="006961B7">
        <w:rPr>
          <w:rFonts w:ascii="Verdana" w:eastAsiaTheme="minorHAnsi" w:hAnsi="Verdana" w:cs="Verdana"/>
          <w:sz w:val="20"/>
          <w:szCs w:val="20"/>
          <w:lang w:val="es-ES_tradnl"/>
        </w:rPr>
        <w:t xml:space="preserve"> tituladas a nombre de la comunidad</w:t>
      </w:r>
      <w:r w:rsidR="002A1751" w:rsidRPr="006961B7">
        <w:rPr>
          <w:rFonts w:ascii="Verdana" w:eastAsiaTheme="minorHAnsi" w:hAnsi="Verdana" w:cs="Verdana"/>
          <w:sz w:val="20"/>
          <w:szCs w:val="20"/>
          <w:lang w:val="es-ES_tradnl"/>
        </w:rPr>
        <w:t xml:space="preserve">. </w:t>
      </w:r>
      <w:r w:rsidRPr="006961B7">
        <w:rPr>
          <w:rFonts w:ascii="Verdana" w:eastAsiaTheme="minorHAnsi" w:hAnsi="Verdana" w:cs="Verdana"/>
          <w:sz w:val="20"/>
          <w:szCs w:val="20"/>
          <w:lang w:val="es-ES_tradnl"/>
        </w:rPr>
        <w:t>En ese sentido</w:t>
      </w:r>
      <w:r w:rsidR="002A1751" w:rsidRPr="006961B7">
        <w:rPr>
          <w:rFonts w:ascii="Verdana" w:eastAsiaTheme="minorHAnsi" w:hAnsi="Verdana" w:cs="Verdana"/>
          <w:sz w:val="20"/>
          <w:szCs w:val="20"/>
          <w:lang w:val="es-ES_tradnl"/>
        </w:rPr>
        <w:t>, el Tribunal</w:t>
      </w:r>
      <w:r w:rsidRPr="006961B7">
        <w:rPr>
          <w:rFonts w:ascii="Verdana" w:eastAsiaTheme="minorHAnsi" w:hAnsi="Verdana" w:cs="Verdana"/>
          <w:sz w:val="20"/>
          <w:szCs w:val="20"/>
          <w:lang w:val="es-ES_tradnl"/>
        </w:rPr>
        <w:t xml:space="preserve"> considera que la referida corrección del asiento registral no puede continuar demorando aún más la titulación de estas tierras</w:t>
      </w:r>
      <w:r w:rsidR="006C40AE" w:rsidRPr="006961B7">
        <w:rPr>
          <w:rFonts w:ascii="Verdana" w:eastAsiaTheme="minorHAnsi" w:hAnsi="Verdana" w:cs="Verdana"/>
          <w:sz w:val="20"/>
          <w:szCs w:val="20"/>
          <w:lang w:val="es-ES_tradnl"/>
        </w:rPr>
        <w:t>,</w:t>
      </w:r>
      <w:r w:rsidR="002A1751" w:rsidRPr="006961B7">
        <w:rPr>
          <w:rFonts w:ascii="Verdana" w:hAnsi="Verdana"/>
          <w:bCs/>
          <w:sz w:val="20"/>
          <w:szCs w:val="20"/>
          <w:lang w:val="es-CR"/>
        </w:rPr>
        <w:t xml:space="preserve"> siendo necesario que el Estado cumpla, a la mayor brevedad posible,</w:t>
      </w:r>
      <w:r w:rsidRPr="006961B7">
        <w:rPr>
          <w:rFonts w:ascii="Verdana" w:eastAsiaTheme="minorHAnsi" w:hAnsi="Verdana" w:cs="Verdana"/>
          <w:sz w:val="20"/>
          <w:szCs w:val="20"/>
          <w:lang w:val="es-ES_tradnl"/>
        </w:rPr>
        <w:t xml:space="preserve"> </w:t>
      </w:r>
      <w:r w:rsidR="002A1751" w:rsidRPr="006961B7">
        <w:rPr>
          <w:rFonts w:ascii="Verdana" w:eastAsiaTheme="minorHAnsi" w:hAnsi="Verdana" w:cs="Verdana"/>
          <w:sz w:val="20"/>
          <w:szCs w:val="20"/>
          <w:lang w:val="es-ES_tradnl"/>
        </w:rPr>
        <w:t xml:space="preserve">con el compromiso asumido de remover </w:t>
      </w:r>
      <w:r w:rsidR="00020C43" w:rsidRPr="006961B7">
        <w:rPr>
          <w:rFonts w:ascii="Verdana" w:eastAsiaTheme="minorHAnsi" w:hAnsi="Verdana" w:cs="Verdana"/>
          <w:sz w:val="20"/>
          <w:szCs w:val="20"/>
          <w:lang w:val="es-ES_tradnl"/>
        </w:rPr>
        <w:t xml:space="preserve">todos </w:t>
      </w:r>
      <w:r w:rsidR="002A1751" w:rsidRPr="006961B7">
        <w:rPr>
          <w:rFonts w:ascii="Verdana" w:eastAsiaTheme="minorHAnsi" w:hAnsi="Verdana" w:cs="Verdana"/>
          <w:sz w:val="20"/>
          <w:szCs w:val="20"/>
          <w:lang w:val="es-ES_tradnl"/>
        </w:rPr>
        <w:t xml:space="preserve">los obstáculos </w:t>
      </w:r>
      <w:r w:rsidR="006C40AE" w:rsidRPr="006961B7">
        <w:rPr>
          <w:rFonts w:ascii="Verdana" w:eastAsiaTheme="minorHAnsi" w:hAnsi="Verdana" w:cs="Verdana"/>
          <w:sz w:val="20"/>
          <w:szCs w:val="20"/>
          <w:lang w:val="es-ES_tradnl"/>
        </w:rPr>
        <w:t xml:space="preserve">para </w:t>
      </w:r>
      <w:r w:rsidR="002A1751" w:rsidRPr="006961B7">
        <w:rPr>
          <w:rFonts w:ascii="Verdana" w:eastAsiaTheme="minorHAnsi" w:hAnsi="Verdana" w:cs="Verdana"/>
          <w:sz w:val="20"/>
          <w:szCs w:val="20"/>
          <w:lang w:val="es-ES_tradnl"/>
        </w:rPr>
        <w:t>solucionar</w:t>
      </w:r>
      <w:r w:rsidR="002A1751" w:rsidRPr="006961B7">
        <w:rPr>
          <w:rFonts w:ascii="Verdana" w:hAnsi="Verdana"/>
          <w:bCs/>
          <w:sz w:val="20"/>
          <w:szCs w:val="20"/>
          <w:lang w:val="es-CR"/>
        </w:rPr>
        <w:t xml:space="preserve"> el conflicto registral y proceder a la inscripción de las 7.701 hectáreas a nombre de </w:t>
      </w:r>
      <w:r w:rsidR="00020C43" w:rsidRPr="006961B7">
        <w:rPr>
          <w:rFonts w:ascii="Verdana" w:hAnsi="Verdana"/>
          <w:bCs/>
          <w:sz w:val="20"/>
          <w:szCs w:val="20"/>
          <w:lang w:val="es-CR"/>
        </w:rPr>
        <w:t>esta</w:t>
      </w:r>
      <w:r w:rsidR="002A1751" w:rsidRPr="006961B7">
        <w:rPr>
          <w:rFonts w:ascii="Verdana" w:hAnsi="Verdana"/>
          <w:bCs/>
          <w:sz w:val="20"/>
          <w:szCs w:val="20"/>
          <w:lang w:val="es-CR"/>
        </w:rPr>
        <w:t xml:space="preserve"> comunidad.</w:t>
      </w:r>
      <w:r w:rsidR="007D4B03" w:rsidRPr="006961B7">
        <w:rPr>
          <w:rFonts w:ascii="Verdana" w:hAnsi="Verdana"/>
          <w:bCs/>
          <w:sz w:val="20"/>
          <w:szCs w:val="20"/>
          <w:lang w:val="es-CR"/>
        </w:rPr>
        <w:t xml:space="preserve"> </w:t>
      </w:r>
      <w:r w:rsidR="003B49FD" w:rsidRPr="006961B7">
        <w:rPr>
          <w:rFonts w:ascii="Verdana" w:hAnsi="Verdana"/>
          <w:bCs/>
          <w:sz w:val="20"/>
          <w:szCs w:val="20"/>
          <w:lang w:val="es-CR"/>
        </w:rPr>
        <w:t xml:space="preserve">Se solicita al Estado, que en el plazo indicado en el punto resolutivo </w:t>
      </w:r>
      <w:r w:rsidR="00CC27A1">
        <w:rPr>
          <w:rFonts w:ascii="Verdana" w:hAnsi="Verdana"/>
          <w:bCs/>
          <w:sz w:val="20"/>
          <w:szCs w:val="20"/>
          <w:lang w:val="es-CR"/>
        </w:rPr>
        <w:t>8</w:t>
      </w:r>
      <w:r w:rsidR="00CC27A1" w:rsidRPr="006961B7">
        <w:rPr>
          <w:rFonts w:ascii="Verdana" w:hAnsi="Verdana"/>
          <w:bCs/>
          <w:sz w:val="20"/>
          <w:szCs w:val="20"/>
          <w:lang w:val="es-CR"/>
        </w:rPr>
        <w:t xml:space="preserve"> </w:t>
      </w:r>
      <w:r w:rsidR="003B49FD" w:rsidRPr="006961B7">
        <w:rPr>
          <w:rFonts w:ascii="Verdana" w:hAnsi="Verdana"/>
          <w:bCs/>
          <w:sz w:val="20"/>
          <w:szCs w:val="20"/>
          <w:lang w:val="es-CR"/>
        </w:rPr>
        <w:t xml:space="preserve">de la presente Resolución, informe al Tribunal sobre las medidas adoptadas </w:t>
      </w:r>
      <w:r w:rsidR="006C40AE" w:rsidRPr="006961B7">
        <w:rPr>
          <w:rFonts w:ascii="Verdana" w:hAnsi="Verdana"/>
          <w:bCs/>
          <w:sz w:val="20"/>
          <w:szCs w:val="20"/>
          <w:lang w:val="es-CR"/>
        </w:rPr>
        <w:t>al respecto.</w:t>
      </w:r>
    </w:p>
    <w:p w14:paraId="44C05E22" w14:textId="77777777" w:rsidR="006961B7" w:rsidRDefault="002A1751" w:rsidP="006961B7">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Cs/>
          <w:sz w:val="20"/>
          <w:lang w:val="es-CR"/>
        </w:rPr>
      </w:pPr>
      <w:r w:rsidRPr="006961B7">
        <w:rPr>
          <w:rFonts w:ascii="Verdana" w:hAnsi="Verdana"/>
          <w:bCs/>
          <w:sz w:val="20"/>
          <w:szCs w:val="20"/>
          <w:lang w:val="es-CR"/>
        </w:rPr>
        <w:t>En cuanto a las 2.999 hectáreas de tierra restantes</w:t>
      </w:r>
      <w:r w:rsidR="007D4B03" w:rsidRPr="006961B7">
        <w:rPr>
          <w:rFonts w:ascii="Verdana" w:hAnsi="Verdana"/>
          <w:bCs/>
          <w:sz w:val="20"/>
          <w:szCs w:val="20"/>
          <w:lang w:val="es-CR"/>
        </w:rPr>
        <w:t xml:space="preserve">, </w:t>
      </w:r>
      <w:r w:rsidR="003B49FD" w:rsidRPr="006961B7">
        <w:rPr>
          <w:rFonts w:ascii="Verdana" w:hAnsi="Verdana"/>
          <w:bCs/>
          <w:sz w:val="20"/>
          <w:szCs w:val="20"/>
          <w:lang w:val="es-CR"/>
        </w:rPr>
        <w:t xml:space="preserve">la Corte constata </w:t>
      </w:r>
      <w:r w:rsidR="00EC1805" w:rsidRPr="006961B7">
        <w:rPr>
          <w:rFonts w:ascii="Verdana" w:hAnsi="Verdana"/>
          <w:bCs/>
          <w:sz w:val="20"/>
          <w:szCs w:val="20"/>
          <w:lang w:val="es-CR"/>
        </w:rPr>
        <w:t xml:space="preserve">que </w:t>
      </w:r>
      <w:r w:rsidR="003B49FD" w:rsidRPr="006961B7">
        <w:rPr>
          <w:rFonts w:ascii="Verdana" w:hAnsi="Verdana"/>
          <w:bCs/>
          <w:sz w:val="20"/>
          <w:szCs w:val="20"/>
          <w:lang w:val="es-CR"/>
        </w:rPr>
        <w:t xml:space="preserve">la Comunidad </w:t>
      </w:r>
      <w:r w:rsidR="00CC27A1">
        <w:rPr>
          <w:rFonts w:ascii="Verdana" w:hAnsi="Verdana"/>
          <w:bCs/>
          <w:sz w:val="20"/>
          <w:szCs w:val="20"/>
          <w:lang w:val="es-CR"/>
        </w:rPr>
        <w:t xml:space="preserve">indígena </w:t>
      </w:r>
      <w:r w:rsidR="003B49FD" w:rsidRPr="006961B7">
        <w:rPr>
          <w:rFonts w:ascii="Verdana" w:hAnsi="Verdana"/>
          <w:bCs/>
          <w:sz w:val="20"/>
          <w:szCs w:val="20"/>
          <w:lang w:val="es-CR"/>
        </w:rPr>
        <w:t>Xákmok Kásek</w:t>
      </w:r>
      <w:r w:rsidR="00EC1805" w:rsidRPr="006961B7">
        <w:rPr>
          <w:rFonts w:ascii="Verdana" w:hAnsi="Verdana"/>
          <w:bCs/>
          <w:sz w:val="20"/>
          <w:szCs w:val="20"/>
          <w:lang w:val="es-CR"/>
        </w:rPr>
        <w:t xml:space="preserve"> </w:t>
      </w:r>
      <w:r w:rsidR="00A4375D" w:rsidRPr="006961B7">
        <w:rPr>
          <w:rFonts w:ascii="Verdana" w:hAnsi="Verdana"/>
          <w:bCs/>
          <w:sz w:val="20"/>
          <w:szCs w:val="20"/>
          <w:lang w:val="es-CR"/>
        </w:rPr>
        <w:t>aceptó</w:t>
      </w:r>
      <w:r w:rsidR="00EC1805" w:rsidRPr="006961B7">
        <w:rPr>
          <w:rFonts w:ascii="Verdana" w:hAnsi="Verdana"/>
          <w:bCs/>
          <w:sz w:val="20"/>
          <w:szCs w:val="20"/>
          <w:lang w:val="es-CR"/>
        </w:rPr>
        <w:t xml:space="preserve"> que el Estado le entregue</w:t>
      </w:r>
      <w:r w:rsidR="003B49FD" w:rsidRPr="006961B7">
        <w:rPr>
          <w:rFonts w:ascii="Verdana" w:hAnsi="Verdana"/>
          <w:bCs/>
          <w:sz w:val="20"/>
          <w:szCs w:val="20"/>
          <w:lang w:val="es-CR"/>
        </w:rPr>
        <w:t xml:space="preserve"> tierras alternativas y no las</w:t>
      </w:r>
      <w:r w:rsidR="00EC1805" w:rsidRPr="006961B7">
        <w:rPr>
          <w:rFonts w:ascii="Verdana" w:hAnsi="Verdana"/>
          <w:bCs/>
          <w:sz w:val="20"/>
          <w:szCs w:val="20"/>
          <w:lang w:val="es-CR"/>
        </w:rPr>
        <w:t xml:space="preserve"> tierras tradicionales</w:t>
      </w:r>
      <w:r w:rsidR="003B49FD" w:rsidRPr="006961B7">
        <w:rPr>
          <w:rFonts w:ascii="Verdana" w:hAnsi="Verdana"/>
          <w:bCs/>
          <w:sz w:val="20"/>
          <w:szCs w:val="20"/>
          <w:lang w:val="es-CR"/>
        </w:rPr>
        <w:t xml:space="preserve"> reivindicadas por </w:t>
      </w:r>
      <w:r w:rsidR="00CC27A1">
        <w:rPr>
          <w:rFonts w:ascii="Verdana" w:hAnsi="Verdana"/>
          <w:bCs/>
          <w:sz w:val="20"/>
          <w:szCs w:val="20"/>
          <w:lang w:val="es-CR"/>
        </w:rPr>
        <w:t>ésta</w:t>
      </w:r>
      <w:r w:rsidR="003B49FD" w:rsidRPr="006961B7">
        <w:rPr>
          <w:rFonts w:ascii="Verdana" w:hAnsi="Verdana"/>
          <w:bCs/>
          <w:sz w:val="20"/>
          <w:szCs w:val="20"/>
          <w:lang w:val="es-CR"/>
        </w:rPr>
        <w:t xml:space="preserve">. </w:t>
      </w:r>
      <w:r w:rsidR="00A4375D" w:rsidRPr="006961B7">
        <w:rPr>
          <w:rFonts w:ascii="Verdana" w:hAnsi="Verdana"/>
          <w:bCs/>
          <w:sz w:val="20"/>
          <w:szCs w:val="20"/>
          <w:lang w:val="es-CR"/>
        </w:rPr>
        <w:t>De acuerdo con lo explicado por los líderes de la comunidad y sus representantes durante la</w:t>
      </w:r>
      <w:r w:rsidR="00CC27A1">
        <w:rPr>
          <w:rFonts w:ascii="Verdana" w:hAnsi="Verdana"/>
          <w:bCs/>
          <w:sz w:val="20"/>
          <w:szCs w:val="20"/>
          <w:lang w:val="es-CR"/>
        </w:rPr>
        <w:t>s referidas</w:t>
      </w:r>
      <w:r w:rsidR="001B2C9A">
        <w:rPr>
          <w:rFonts w:ascii="Verdana" w:hAnsi="Verdana"/>
          <w:bCs/>
          <w:sz w:val="20"/>
          <w:szCs w:val="20"/>
          <w:lang w:val="es-CR"/>
        </w:rPr>
        <w:t xml:space="preserve"> </w:t>
      </w:r>
      <w:r w:rsidR="00A4375D" w:rsidRPr="006961B7">
        <w:rPr>
          <w:rFonts w:ascii="Verdana" w:hAnsi="Verdana"/>
          <w:bCs/>
          <w:sz w:val="20"/>
          <w:szCs w:val="20"/>
          <w:lang w:val="es-CR"/>
        </w:rPr>
        <w:t xml:space="preserve">visita y audiencia de supervisión de cumplimiento de noviembre de 2017 y en sus escritos de observaciones posteriores, </w:t>
      </w:r>
      <w:r w:rsidR="0028502E" w:rsidRPr="006961B7">
        <w:rPr>
          <w:rFonts w:ascii="Verdana" w:hAnsi="Verdana"/>
          <w:bCs/>
          <w:sz w:val="20"/>
          <w:szCs w:val="20"/>
          <w:lang w:val="es-CR"/>
        </w:rPr>
        <w:t xml:space="preserve">y no controvertido por el Estado, </w:t>
      </w:r>
      <w:r w:rsidR="00A4375D" w:rsidRPr="006961B7">
        <w:rPr>
          <w:rFonts w:ascii="Verdana" w:hAnsi="Verdana"/>
          <w:bCs/>
          <w:sz w:val="20"/>
          <w:szCs w:val="20"/>
          <w:lang w:val="es-CR"/>
        </w:rPr>
        <w:t xml:space="preserve">ello se debió a que </w:t>
      </w:r>
      <w:r w:rsidR="0028502E" w:rsidRPr="006961B7">
        <w:rPr>
          <w:rFonts w:ascii="Verdana" w:hAnsi="Verdana"/>
          <w:bCs/>
          <w:sz w:val="20"/>
          <w:szCs w:val="20"/>
          <w:lang w:val="es-CR"/>
        </w:rPr>
        <w:t>éste</w:t>
      </w:r>
      <w:r w:rsidR="00A4375D" w:rsidRPr="006961B7">
        <w:rPr>
          <w:rFonts w:ascii="Verdana" w:hAnsi="Verdana"/>
          <w:bCs/>
          <w:sz w:val="20"/>
          <w:szCs w:val="20"/>
          <w:lang w:val="es-CR"/>
        </w:rPr>
        <w:t xml:space="preserve"> no cumplió con </w:t>
      </w:r>
      <w:r w:rsidR="00DF58EA" w:rsidRPr="006961B7">
        <w:rPr>
          <w:rFonts w:ascii="Verdana" w:hAnsi="Verdana"/>
          <w:bCs/>
          <w:sz w:val="20"/>
          <w:szCs w:val="20"/>
          <w:lang w:val="es-CR"/>
        </w:rPr>
        <w:t xml:space="preserve">su deber de velar porque </w:t>
      </w:r>
      <w:r w:rsidR="00A4375D" w:rsidRPr="006961B7">
        <w:rPr>
          <w:rFonts w:ascii="Verdana" w:hAnsi="Verdana"/>
          <w:bCs/>
          <w:sz w:val="20"/>
          <w:szCs w:val="20"/>
          <w:lang w:val="es-CR"/>
        </w:rPr>
        <w:t>esa porción de</w:t>
      </w:r>
      <w:r w:rsidR="00DF58EA" w:rsidRPr="006961B7">
        <w:rPr>
          <w:rFonts w:ascii="Verdana" w:hAnsi="Verdana"/>
          <w:bCs/>
          <w:sz w:val="20"/>
          <w:szCs w:val="20"/>
          <w:lang w:val="es-CR"/>
        </w:rPr>
        <w:t xml:space="preserve"> territorio</w:t>
      </w:r>
      <w:r w:rsidR="00A4375D" w:rsidRPr="006961B7">
        <w:rPr>
          <w:rFonts w:ascii="Verdana" w:hAnsi="Verdana"/>
          <w:bCs/>
          <w:sz w:val="20"/>
          <w:szCs w:val="20"/>
          <w:lang w:val="es-CR"/>
        </w:rPr>
        <w:t xml:space="preserve"> tradicional</w:t>
      </w:r>
      <w:r w:rsidR="00DF58EA" w:rsidRPr="006961B7">
        <w:rPr>
          <w:rFonts w:ascii="Verdana" w:hAnsi="Verdana"/>
          <w:bCs/>
          <w:sz w:val="20"/>
          <w:szCs w:val="20"/>
          <w:lang w:val="es-CR"/>
        </w:rPr>
        <w:t xml:space="preserve"> </w:t>
      </w:r>
      <w:r w:rsidR="00A4375D" w:rsidRPr="006961B7">
        <w:rPr>
          <w:rFonts w:ascii="Verdana" w:hAnsi="Verdana"/>
          <w:bCs/>
          <w:sz w:val="20"/>
          <w:szCs w:val="20"/>
          <w:lang w:val="es-CR"/>
        </w:rPr>
        <w:t xml:space="preserve">no </w:t>
      </w:r>
      <w:r w:rsidR="0028502E" w:rsidRPr="006961B7">
        <w:rPr>
          <w:rFonts w:ascii="Verdana" w:hAnsi="Verdana"/>
          <w:bCs/>
          <w:sz w:val="20"/>
          <w:szCs w:val="20"/>
          <w:lang w:val="es-CR"/>
        </w:rPr>
        <w:t>se viera menoscabada</w:t>
      </w:r>
      <w:r w:rsidR="00CC27A1">
        <w:rPr>
          <w:rFonts w:ascii="Verdana" w:hAnsi="Verdana"/>
          <w:bCs/>
          <w:sz w:val="20"/>
          <w:szCs w:val="20"/>
          <w:lang w:val="es-CR"/>
        </w:rPr>
        <w:t xml:space="preserve"> (</w:t>
      </w:r>
      <w:r w:rsidR="00CC27A1" w:rsidRPr="001B2C9A">
        <w:rPr>
          <w:rFonts w:ascii="Verdana" w:hAnsi="Verdana"/>
          <w:bCs/>
          <w:i/>
          <w:sz w:val="20"/>
          <w:szCs w:val="20"/>
          <w:lang w:val="es-CR"/>
        </w:rPr>
        <w:t>supra</w:t>
      </w:r>
      <w:r w:rsidR="00CC27A1">
        <w:rPr>
          <w:rFonts w:ascii="Verdana" w:hAnsi="Verdana"/>
          <w:bCs/>
          <w:sz w:val="20"/>
          <w:szCs w:val="20"/>
          <w:lang w:val="es-CR"/>
        </w:rPr>
        <w:t xml:space="preserve"> Considerando 12.b)</w:t>
      </w:r>
      <w:r w:rsidR="00A4375D" w:rsidRPr="006961B7">
        <w:rPr>
          <w:rFonts w:ascii="Verdana" w:hAnsi="Verdana"/>
          <w:bCs/>
          <w:sz w:val="20"/>
          <w:szCs w:val="20"/>
          <w:lang w:val="es-CR"/>
        </w:rPr>
        <w:t>. Indicaron que “no fueron concretadas” medidas de protección en esas 2.999 hectáreas, siendo “totalmente deforestadas y arrasadas en cuanto a recursos naturales”</w:t>
      </w:r>
      <w:r w:rsidR="0028502E" w:rsidRPr="006961B7">
        <w:rPr>
          <w:rFonts w:ascii="Verdana" w:hAnsi="Verdana"/>
          <w:bCs/>
          <w:sz w:val="20"/>
          <w:szCs w:val="20"/>
          <w:lang w:val="es-CR"/>
        </w:rPr>
        <w:t>, por lo cual “carece de objeto que sean restituidas a la comunidad”.</w:t>
      </w:r>
    </w:p>
    <w:p w14:paraId="22E82681" w14:textId="77777777" w:rsidR="006961B7" w:rsidRPr="006961B7" w:rsidRDefault="0028502E" w:rsidP="006961B7">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Cs/>
          <w:sz w:val="20"/>
          <w:lang w:val="es-CR"/>
        </w:rPr>
      </w:pPr>
      <w:r w:rsidRPr="006961B7">
        <w:rPr>
          <w:rFonts w:ascii="Verdana" w:hAnsi="Verdana"/>
          <w:bCs/>
          <w:sz w:val="20"/>
          <w:szCs w:val="20"/>
          <w:lang w:val="es-CR"/>
        </w:rPr>
        <w:t>En cuanto a la entrega de tierras alternativas, d</w:t>
      </w:r>
      <w:r w:rsidR="003B49FD" w:rsidRPr="006961B7">
        <w:rPr>
          <w:rFonts w:ascii="Verdana" w:hAnsi="Verdana"/>
          <w:bCs/>
          <w:sz w:val="20"/>
          <w:szCs w:val="20"/>
          <w:lang w:val="es-CR"/>
        </w:rPr>
        <w:t xml:space="preserve">urante la audiencia de supervisión de cumplimiento </w:t>
      </w:r>
      <w:r w:rsidR="00CC27A1">
        <w:rPr>
          <w:rFonts w:ascii="Verdana" w:hAnsi="Verdana"/>
          <w:bCs/>
          <w:sz w:val="20"/>
          <w:szCs w:val="20"/>
          <w:lang w:val="es-CR"/>
        </w:rPr>
        <w:t xml:space="preserve">celebrada en </w:t>
      </w:r>
      <w:r w:rsidR="003B49FD" w:rsidRPr="006961B7">
        <w:rPr>
          <w:rFonts w:ascii="Verdana" w:hAnsi="Verdana"/>
          <w:bCs/>
          <w:sz w:val="20"/>
          <w:szCs w:val="20"/>
          <w:lang w:val="es-CR"/>
        </w:rPr>
        <w:t xml:space="preserve">noviembre de 2017 </w:t>
      </w:r>
      <w:r w:rsidR="007D4B03" w:rsidRPr="006961B7">
        <w:rPr>
          <w:rFonts w:ascii="Verdana" w:hAnsi="Verdana"/>
          <w:bCs/>
          <w:i/>
          <w:sz w:val="20"/>
          <w:szCs w:val="20"/>
          <w:lang w:val="es-CR"/>
        </w:rPr>
        <w:t>Paraguay</w:t>
      </w:r>
      <w:r w:rsidR="007D4B03" w:rsidRPr="006961B7">
        <w:rPr>
          <w:rFonts w:ascii="Verdana" w:hAnsi="Verdana"/>
          <w:bCs/>
          <w:sz w:val="20"/>
          <w:szCs w:val="20"/>
          <w:lang w:val="es-CR"/>
        </w:rPr>
        <w:t xml:space="preserve"> informó que </w:t>
      </w:r>
      <w:r w:rsidR="003B49FD" w:rsidRPr="006961B7">
        <w:rPr>
          <w:rFonts w:ascii="Verdana" w:hAnsi="Verdana"/>
          <w:bCs/>
          <w:sz w:val="20"/>
          <w:szCs w:val="20"/>
          <w:lang w:val="es-CR"/>
        </w:rPr>
        <w:t xml:space="preserve">el INDI está en comunicación con los líderes y representantes de la </w:t>
      </w:r>
      <w:r w:rsidR="00CC27A1">
        <w:rPr>
          <w:rFonts w:ascii="Verdana" w:hAnsi="Verdana"/>
          <w:bCs/>
          <w:sz w:val="20"/>
          <w:szCs w:val="20"/>
          <w:lang w:val="es-CR"/>
        </w:rPr>
        <w:t>C</w:t>
      </w:r>
      <w:r w:rsidR="00CC27A1" w:rsidRPr="006961B7">
        <w:rPr>
          <w:rFonts w:ascii="Verdana" w:hAnsi="Verdana"/>
          <w:bCs/>
          <w:sz w:val="20"/>
          <w:szCs w:val="20"/>
          <w:lang w:val="es-CR"/>
        </w:rPr>
        <w:t xml:space="preserve">omunidad </w:t>
      </w:r>
      <w:r w:rsidR="003B49FD" w:rsidRPr="006961B7">
        <w:rPr>
          <w:rFonts w:ascii="Verdana" w:hAnsi="Verdana"/>
          <w:bCs/>
          <w:sz w:val="20"/>
          <w:lang w:val="es-CR"/>
        </w:rPr>
        <w:t>Xákmok Kásek</w:t>
      </w:r>
      <w:r w:rsidR="003B49FD" w:rsidRPr="006961B7">
        <w:rPr>
          <w:rFonts w:ascii="Verdana" w:hAnsi="Verdana"/>
          <w:bCs/>
          <w:sz w:val="20"/>
          <w:szCs w:val="20"/>
          <w:lang w:val="es-CR"/>
        </w:rPr>
        <w:t xml:space="preserve"> para que, “de manera conjunta, se pueda</w:t>
      </w:r>
      <w:r w:rsidR="00CC27A1">
        <w:rPr>
          <w:rFonts w:ascii="Verdana" w:hAnsi="Verdana"/>
          <w:bCs/>
          <w:sz w:val="20"/>
          <w:szCs w:val="20"/>
          <w:lang w:val="es-CR"/>
        </w:rPr>
        <w:t>n</w:t>
      </w:r>
      <w:r w:rsidR="003B49FD" w:rsidRPr="006961B7">
        <w:rPr>
          <w:rFonts w:ascii="Verdana" w:hAnsi="Verdana"/>
          <w:bCs/>
          <w:sz w:val="20"/>
          <w:szCs w:val="20"/>
          <w:lang w:val="es-CR"/>
        </w:rPr>
        <w:t xml:space="preserve"> determinar las tierras alternativas y de tal manera dar cumplimiento [a] este punto de la Sentencia”. </w:t>
      </w:r>
      <w:r w:rsidR="002B1055" w:rsidRPr="006961B7">
        <w:rPr>
          <w:rFonts w:ascii="Verdana" w:hAnsi="Verdana"/>
          <w:bCs/>
          <w:sz w:val="20"/>
          <w:szCs w:val="20"/>
          <w:lang w:val="es-CR"/>
        </w:rPr>
        <w:t>Asimismo, en sus informes de enero y septiembre de 2018, sostuvo que</w:t>
      </w:r>
      <w:r w:rsidR="002B1055" w:rsidRPr="006961B7">
        <w:rPr>
          <w:rFonts w:ascii="Verdana" w:hAnsi="Verdana"/>
          <w:b/>
          <w:bCs/>
          <w:sz w:val="16"/>
          <w:szCs w:val="16"/>
          <w:lang w:val="es-CR"/>
        </w:rPr>
        <w:t xml:space="preserve"> </w:t>
      </w:r>
      <w:r w:rsidR="00CA39D4" w:rsidRPr="006961B7">
        <w:rPr>
          <w:rFonts w:ascii="Verdana" w:hAnsi="Verdana"/>
          <w:bCs/>
          <w:sz w:val="20"/>
          <w:lang w:val="es-CR"/>
        </w:rPr>
        <w:t xml:space="preserve">“[e]n la última visita de supervisión los líderes de la comunidad manifestaron que estarían enviando al INDI una respuesta […] ante la consulta para la compra de las 2999 hectáreas restantes que la Institución habría presentado a los líderes”. </w:t>
      </w:r>
      <w:r w:rsidR="005E780D" w:rsidRPr="006961B7">
        <w:rPr>
          <w:rFonts w:ascii="Verdana" w:hAnsi="Verdana"/>
          <w:bCs/>
          <w:sz w:val="20"/>
          <w:lang w:val="es-CR"/>
        </w:rPr>
        <w:t xml:space="preserve">Los </w:t>
      </w:r>
      <w:r w:rsidR="005E780D" w:rsidRPr="006961B7">
        <w:rPr>
          <w:rFonts w:ascii="Verdana" w:hAnsi="Verdana"/>
          <w:bCs/>
          <w:i/>
          <w:sz w:val="20"/>
          <w:lang w:val="es-CR"/>
        </w:rPr>
        <w:t>representantes</w:t>
      </w:r>
      <w:r w:rsidR="005E780D" w:rsidRPr="006961B7">
        <w:rPr>
          <w:rFonts w:ascii="Verdana" w:hAnsi="Verdana"/>
          <w:bCs/>
          <w:sz w:val="20"/>
          <w:lang w:val="es-CR"/>
        </w:rPr>
        <w:t xml:space="preserve"> han </w:t>
      </w:r>
      <w:r w:rsidR="00BD35D8">
        <w:rPr>
          <w:rFonts w:ascii="Verdana" w:hAnsi="Verdana"/>
          <w:bCs/>
          <w:sz w:val="20"/>
          <w:lang w:val="es-CR"/>
        </w:rPr>
        <w:t>observado que “la comunidad […]</w:t>
      </w:r>
      <w:r w:rsidR="005E780D" w:rsidRPr="006961B7">
        <w:rPr>
          <w:rFonts w:ascii="Verdana" w:hAnsi="Verdana"/>
          <w:bCs/>
          <w:sz w:val="20"/>
          <w:lang w:val="es-CR"/>
        </w:rPr>
        <w:t xml:space="preserve"> </w:t>
      </w:r>
      <w:r w:rsidR="006B55FB" w:rsidRPr="006961B7">
        <w:rPr>
          <w:rFonts w:ascii="Verdana" w:hAnsi="Verdana"/>
          <w:bCs/>
          <w:sz w:val="20"/>
          <w:lang w:val="es-CR"/>
        </w:rPr>
        <w:t>carece de los medios</w:t>
      </w:r>
      <w:r w:rsidR="005E780D" w:rsidRPr="006961B7">
        <w:rPr>
          <w:rFonts w:ascii="Verdana" w:hAnsi="Verdana"/>
          <w:bCs/>
          <w:sz w:val="20"/>
          <w:lang w:val="es-CR"/>
        </w:rPr>
        <w:t>”</w:t>
      </w:r>
      <w:r w:rsidR="006B55FB" w:rsidRPr="006961B7">
        <w:rPr>
          <w:rFonts w:ascii="Verdana" w:hAnsi="Verdana"/>
          <w:bCs/>
          <w:sz w:val="20"/>
          <w:lang w:val="es-CR"/>
        </w:rPr>
        <w:t xml:space="preserve"> para </w:t>
      </w:r>
      <w:r w:rsidR="005E780D" w:rsidRPr="006961B7">
        <w:rPr>
          <w:rFonts w:ascii="Verdana" w:hAnsi="Verdana"/>
          <w:bCs/>
          <w:sz w:val="20"/>
          <w:lang w:val="es-CR"/>
        </w:rPr>
        <w:t>realizar la propuesta que indica el Estado, y que con este argumento “</w:t>
      </w:r>
      <w:r w:rsidR="006B55FB" w:rsidRPr="006961B7">
        <w:rPr>
          <w:rFonts w:ascii="Verdana" w:hAnsi="Verdana"/>
          <w:bCs/>
          <w:sz w:val="20"/>
          <w:lang w:val="es-CR"/>
        </w:rPr>
        <w:t>asum</w:t>
      </w:r>
      <w:r w:rsidR="005E780D" w:rsidRPr="006961B7">
        <w:rPr>
          <w:rFonts w:ascii="Verdana" w:hAnsi="Verdana"/>
          <w:bCs/>
          <w:sz w:val="20"/>
          <w:lang w:val="es-CR"/>
        </w:rPr>
        <w:t>[en]</w:t>
      </w:r>
      <w:r w:rsidR="006B55FB" w:rsidRPr="006961B7">
        <w:rPr>
          <w:rFonts w:ascii="Verdana" w:hAnsi="Verdana"/>
          <w:bCs/>
          <w:sz w:val="20"/>
          <w:lang w:val="es-CR"/>
        </w:rPr>
        <w:t xml:space="preserve"> que éste pretende que la comunidad asuma lo que es su obligación</w:t>
      </w:r>
      <w:r w:rsidR="005E780D" w:rsidRPr="006961B7">
        <w:rPr>
          <w:rFonts w:ascii="Verdana" w:hAnsi="Verdana"/>
          <w:bCs/>
          <w:sz w:val="20"/>
          <w:lang w:val="es-CR"/>
        </w:rPr>
        <w:t>”</w:t>
      </w:r>
      <w:r w:rsidR="006B55FB" w:rsidRPr="006961B7">
        <w:rPr>
          <w:rFonts w:ascii="Verdana" w:hAnsi="Verdana"/>
          <w:bCs/>
          <w:sz w:val="20"/>
          <w:lang w:val="es-CR"/>
        </w:rPr>
        <w:t xml:space="preserve">. </w:t>
      </w:r>
      <w:r w:rsidR="009534CD" w:rsidRPr="006961B7">
        <w:rPr>
          <w:rFonts w:ascii="Verdana" w:hAnsi="Verdana"/>
          <w:bCs/>
          <w:sz w:val="20"/>
          <w:lang w:val="es-CR"/>
        </w:rPr>
        <w:t>A</w:t>
      </w:r>
      <w:r w:rsidR="005E780D" w:rsidRPr="006961B7">
        <w:rPr>
          <w:rFonts w:ascii="Verdana" w:hAnsi="Verdana"/>
          <w:bCs/>
          <w:sz w:val="20"/>
          <w:lang w:val="es-CR"/>
        </w:rPr>
        <w:t>clararon que</w:t>
      </w:r>
      <w:r w:rsidR="009534CD" w:rsidRPr="006961B7">
        <w:rPr>
          <w:rFonts w:ascii="Verdana" w:hAnsi="Verdana"/>
          <w:bCs/>
          <w:sz w:val="20"/>
          <w:lang w:val="es-CR"/>
        </w:rPr>
        <w:t>,</w:t>
      </w:r>
      <w:r w:rsidR="005E780D" w:rsidRPr="006961B7">
        <w:rPr>
          <w:rFonts w:ascii="Verdana" w:hAnsi="Verdana"/>
          <w:bCs/>
          <w:sz w:val="20"/>
          <w:lang w:val="es-CR"/>
        </w:rPr>
        <w:t xml:space="preserve"> “</w:t>
      </w:r>
      <w:r w:rsidR="006B55FB" w:rsidRPr="006961B7">
        <w:rPr>
          <w:rFonts w:ascii="Verdana" w:hAnsi="Verdana"/>
          <w:bCs/>
          <w:sz w:val="20"/>
          <w:lang w:val="es-CR"/>
        </w:rPr>
        <w:t>dentro de sus posibilidades</w:t>
      </w:r>
      <w:r w:rsidR="005E780D" w:rsidRPr="006961B7">
        <w:rPr>
          <w:rFonts w:ascii="Verdana" w:hAnsi="Verdana"/>
          <w:bCs/>
          <w:sz w:val="20"/>
          <w:lang w:val="es-CR"/>
        </w:rPr>
        <w:t>[</w:t>
      </w:r>
      <w:r w:rsidR="009534CD" w:rsidRPr="006961B7">
        <w:rPr>
          <w:rFonts w:ascii="Verdana" w:hAnsi="Verdana"/>
          <w:bCs/>
          <w:sz w:val="20"/>
          <w:lang w:val="es-CR"/>
        </w:rPr>
        <w:t xml:space="preserve">, </w:t>
      </w:r>
      <w:r w:rsidR="005E780D" w:rsidRPr="006961B7">
        <w:rPr>
          <w:rFonts w:ascii="Verdana" w:hAnsi="Verdana"/>
          <w:bCs/>
          <w:sz w:val="20"/>
          <w:lang w:val="es-CR"/>
        </w:rPr>
        <w:t>la comunidad]</w:t>
      </w:r>
      <w:r w:rsidR="006B55FB" w:rsidRPr="006961B7">
        <w:rPr>
          <w:rFonts w:ascii="Verdana" w:hAnsi="Verdana"/>
          <w:bCs/>
          <w:sz w:val="20"/>
          <w:lang w:val="es-CR"/>
        </w:rPr>
        <w:t xml:space="preserve"> puede coadyuvar en la tarea </w:t>
      </w:r>
      <w:r w:rsidR="005E780D" w:rsidRPr="006961B7">
        <w:rPr>
          <w:rFonts w:ascii="Verdana" w:hAnsi="Verdana"/>
          <w:bCs/>
          <w:sz w:val="20"/>
          <w:lang w:val="es-CR"/>
        </w:rPr>
        <w:t>[de elaborar una propuesta de determinación de las tierras</w:t>
      </w:r>
      <w:r w:rsidR="00CC27A1">
        <w:rPr>
          <w:rFonts w:ascii="Verdana" w:hAnsi="Verdana"/>
          <w:bCs/>
          <w:sz w:val="20"/>
          <w:lang w:val="es-CR"/>
        </w:rPr>
        <w:t xml:space="preserve"> alternativas</w:t>
      </w:r>
      <w:r w:rsidR="005E780D" w:rsidRPr="006961B7">
        <w:rPr>
          <w:rFonts w:ascii="Verdana" w:hAnsi="Verdana"/>
          <w:bCs/>
          <w:sz w:val="20"/>
          <w:lang w:val="es-CR"/>
        </w:rPr>
        <w:t xml:space="preserve">] </w:t>
      </w:r>
      <w:r w:rsidR="006B55FB" w:rsidRPr="006961B7">
        <w:rPr>
          <w:rFonts w:ascii="Verdana" w:hAnsi="Verdana"/>
          <w:bCs/>
          <w:sz w:val="20"/>
          <w:lang w:val="es-CR"/>
        </w:rPr>
        <w:t>pero no puede cargar con dicha obligación”.</w:t>
      </w:r>
    </w:p>
    <w:p w14:paraId="3F19E8C6" w14:textId="77777777" w:rsidR="006961B7" w:rsidRDefault="009534CD" w:rsidP="006961B7">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Cs/>
          <w:sz w:val="20"/>
          <w:lang w:val="es-CR"/>
        </w:rPr>
      </w:pPr>
      <w:r w:rsidRPr="006961B7">
        <w:rPr>
          <w:rFonts w:ascii="Verdana" w:hAnsi="Verdana"/>
          <w:bCs/>
          <w:sz w:val="20"/>
          <w:szCs w:val="20"/>
          <w:lang w:val="es-CR"/>
        </w:rPr>
        <w:t xml:space="preserve">La Corte recuerda que en la Sentencia </w:t>
      </w:r>
      <w:r w:rsidR="00F9761E">
        <w:rPr>
          <w:rFonts w:ascii="Verdana" w:hAnsi="Verdana"/>
          <w:bCs/>
          <w:sz w:val="20"/>
          <w:szCs w:val="20"/>
          <w:lang w:val="es-CR"/>
        </w:rPr>
        <w:t>s</w:t>
      </w:r>
      <w:r w:rsidRPr="006961B7">
        <w:rPr>
          <w:rFonts w:ascii="Verdana" w:hAnsi="Verdana"/>
          <w:bCs/>
          <w:sz w:val="20"/>
          <w:szCs w:val="20"/>
          <w:lang w:val="es-CR"/>
        </w:rPr>
        <w:t xml:space="preserve">e dispuso que, en caso de tener </w:t>
      </w:r>
      <w:r w:rsidR="00F9761E">
        <w:rPr>
          <w:rFonts w:ascii="Verdana" w:hAnsi="Verdana"/>
          <w:bCs/>
          <w:sz w:val="20"/>
          <w:szCs w:val="20"/>
          <w:lang w:val="es-CR"/>
        </w:rPr>
        <w:t xml:space="preserve">que </w:t>
      </w:r>
      <w:r w:rsidRPr="006961B7">
        <w:rPr>
          <w:rFonts w:ascii="Verdana" w:hAnsi="Verdana"/>
          <w:bCs/>
          <w:sz w:val="20"/>
          <w:szCs w:val="20"/>
          <w:lang w:val="es-CR"/>
        </w:rPr>
        <w:t>entregar tierras alternativas a la Comunidad, “la elección de estas tierras deberá ser consensuada con los miembros de la Comunidad”</w:t>
      </w:r>
      <w:r w:rsidR="008F5E6A">
        <w:rPr>
          <w:rFonts w:ascii="Verdana" w:hAnsi="Verdana"/>
          <w:bCs/>
          <w:sz w:val="20"/>
          <w:szCs w:val="20"/>
          <w:lang w:val="es-CR"/>
        </w:rPr>
        <w:t xml:space="preserve"> (</w:t>
      </w:r>
      <w:r w:rsidR="008F5E6A" w:rsidRPr="001B2C9A">
        <w:rPr>
          <w:rFonts w:ascii="Verdana" w:hAnsi="Verdana"/>
          <w:bCs/>
          <w:i/>
          <w:sz w:val="20"/>
          <w:szCs w:val="20"/>
          <w:lang w:val="es-CR"/>
        </w:rPr>
        <w:t>supra</w:t>
      </w:r>
      <w:r w:rsidR="008F5E6A">
        <w:rPr>
          <w:rFonts w:ascii="Verdana" w:hAnsi="Verdana"/>
          <w:bCs/>
          <w:sz w:val="20"/>
          <w:szCs w:val="20"/>
          <w:lang w:val="es-CR"/>
        </w:rPr>
        <w:t xml:space="preserve"> Considerando 13)</w:t>
      </w:r>
      <w:r w:rsidRPr="006961B7">
        <w:rPr>
          <w:rFonts w:ascii="Verdana" w:hAnsi="Verdana"/>
          <w:bCs/>
          <w:sz w:val="20"/>
          <w:szCs w:val="20"/>
          <w:lang w:val="es-CR"/>
        </w:rPr>
        <w:t>.</w:t>
      </w:r>
      <w:r w:rsidR="00B14B56" w:rsidRPr="006961B7">
        <w:rPr>
          <w:rFonts w:ascii="Verdana" w:hAnsi="Verdana"/>
          <w:bCs/>
          <w:sz w:val="20"/>
          <w:szCs w:val="20"/>
          <w:lang w:val="es-CR"/>
        </w:rPr>
        <w:t xml:space="preserve"> </w:t>
      </w:r>
      <w:r w:rsidR="008F5E6A">
        <w:rPr>
          <w:rFonts w:ascii="Verdana" w:hAnsi="Verdana"/>
          <w:bCs/>
          <w:sz w:val="20"/>
          <w:szCs w:val="20"/>
          <w:lang w:val="es-CR"/>
        </w:rPr>
        <w:t xml:space="preserve">Teniendo en cuenta </w:t>
      </w:r>
      <w:r w:rsidR="00B14B56" w:rsidRPr="006961B7">
        <w:rPr>
          <w:rFonts w:ascii="Verdana" w:hAnsi="Verdana"/>
          <w:bCs/>
          <w:sz w:val="20"/>
          <w:szCs w:val="20"/>
          <w:lang w:val="es-CR"/>
        </w:rPr>
        <w:t>el inter</w:t>
      </w:r>
      <w:r w:rsidR="0058415A" w:rsidRPr="006961B7">
        <w:rPr>
          <w:rFonts w:ascii="Verdana" w:hAnsi="Verdana"/>
          <w:bCs/>
          <w:sz w:val="20"/>
          <w:szCs w:val="20"/>
          <w:lang w:val="es-CR"/>
        </w:rPr>
        <w:t xml:space="preserve">és común </w:t>
      </w:r>
      <w:r w:rsidR="008F5E6A">
        <w:rPr>
          <w:rFonts w:ascii="Verdana" w:hAnsi="Verdana"/>
          <w:bCs/>
          <w:sz w:val="20"/>
          <w:szCs w:val="20"/>
          <w:lang w:val="es-CR"/>
        </w:rPr>
        <w:t>de las partes en</w:t>
      </w:r>
      <w:r w:rsidR="0068032C">
        <w:rPr>
          <w:rFonts w:ascii="Verdana" w:hAnsi="Verdana"/>
          <w:bCs/>
          <w:sz w:val="20"/>
          <w:szCs w:val="20"/>
          <w:lang w:val="es-CR"/>
        </w:rPr>
        <w:t xml:space="preserve"> </w:t>
      </w:r>
      <w:r w:rsidR="00B14B56" w:rsidRPr="006961B7">
        <w:rPr>
          <w:rFonts w:ascii="Verdana" w:hAnsi="Verdana"/>
          <w:bCs/>
          <w:sz w:val="20"/>
          <w:szCs w:val="20"/>
          <w:lang w:val="es-CR"/>
        </w:rPr>
        <w:t>avanzar en el cumplimiento de esta reparación</w:t>
      </w:r>
      <w:r w:rsidR="0096006F" w:rsidRPr="006961B7">
        <w:rPr>
          <w:rFonts w:ascii="Verdana" w:hAnsi="Verdana"/>
          <w:bCs/>
          <w:sz w:val="20"/>
          <w:szCs w:val="20"/>
          <w:lang w:val="es-CR"/>
        </w:rPr>
        <w:t xml:space="preserve"> y el tiempo transcurrido desde el vencimiento del plazo que tenía el Estado para ello (</w:t>
      </w:r>
      <w:r w:rsidR="0096006F" w:rsidRPr="006961B7">
        <w:rPr>
          <w:rFonts w:ascii="Verdana" w:hAnsi="Verdana"/>
          <w:bCs/>
          <w:i/>
          <w:sz w:val="20"/>
          <w:szCs w:val="20"/>
          <w:lang w:val="es-CR"/>
        </w:rPr>
        <w:t xml:space="preserve">infra </w:t>
      </w:r>
      <w:r w:rsidR="0096006F" w:rsidRPr="006961B7">
        <w:rPr>
          <w:rFonts w:ascii="Verdana" w:hAnsi="Verdana"/>
          <w:bCs/>
          <w:sz w:val="20"/>
          <w:szCs w:val="20"/>
          <w:lang w:val="es-CR"/>
        </w:rPr>
        <w:t xml:space="preserve">Considerando </w:t>
      </w:r>
      <w:r w:rsidR="008F5E6A">
        <w:rPr>
          <w:rFonts w:ascii="Verdana" w:hAnsi="Verdana"/>
          <w:bCs/>
          <w:sz w:val="20"/>
          <w:szCs w:val="20"/>
          <w:lang w:val="es-CR"/>
        </w:rPr>
        <w:t>25</w:t>
      </w:r>
      <w:r w:rsidR="008F5E6A" w:rsidRPr="006961B7">
        <w:rPr>
          <w:rFonts w:ascii="Verdana" w:hAnsi="Verdana"/>
          <w:bCs/>
          <w:sz w:val="20"/>
          <w:szCs w:val="20"/>
          <w:lang w:val="es-CR"/>
        </w:rPr>
        <w:t xml:space="preserve">), </w:t>
      </w:r>
      <w:r w:rsidR="0058415A" w:rsidRPr="006961B7">
        <w:rPr>
          <w:rFonts w:ascii="Verdana" w:hAnsi="Verdana"/>
          <w:bCs/>
          <w:sz w:val="20"/>
          <w:szCs w:val="20"/>
          <w:lang w:val="es-CR"/>
        </w:rPr>
        <w:t xml:space="preserve">se solicita que, a más tardar el </w:t>
      </w:r>
      <w:r w:rsidR="008F5E6A">
        <w:rPr>
          <w:rFonts w:ascii="Verdana" w:hAnsi="Verdana"/>
          <w:bCs/>
          <w:sz w:val="20"/>
          <w:szCs w:val="20"/>
          <w:lang w:val="es-CR"/>
        </w:rPr>
        <w:t>30</w:t>
      </w:r>
      <w:r w:rsidR="008F5E6A" w:rsidRPr="006961B7">
        <w:rPr>
          <w:rFonts w:ascii="Verdana" w:hAnsi="Verdana"/>
          <w:bCs/>
          <w:sz w:val="20"/>
          <w:szCs w:val="20"/>
          <w:lang w:val="es-CR"/>
        </w:rPr>
        <w:t xml:space="preserve"> </w:t>
      </w:r>
      <w:r w:rsidR="0058415A" w:rsidRPr="006961B7">
        <w:rPr>
          <w:rFonts w:ascii="Verdana" w:hAnsi="Verdana"/>
          <w:bCs/>
          <w:sz w:val="20"/>
          <w:szCs w:val="20"/>
          <w:lang w:val="es-CR"/>
        </w:rPr>
        <w:t xml:space="preserve">de julio de 2019, las autoridades estatales correspondientes, los representantes de las víctimas y los líderes de la comunidad sostengan una reunión, en la cual el Estado pueda exponer sobre las opciones de tierras tradicionales que podría entregar a la </w:t>
      </w:r>
      <w:r w:rsidR="008F5E6A">
        <w:rPr>
          <w:rFonts w:ascii="Verdana" w:hAnsi="Verdana"/>
          <w:bCs/>
          <w:sz w:val="20"/>
          <w:szCs w:val="20"/>
          <w:lang w:val="es-CR"/>
        </w:rPr>
        <w:t>C</w:t>
      </w:r>
      <w:r w:rsidR="008F5E6A" w:rsidRPr="006961B7">
        <w:rPr>
          <w:rFonts w:ascii="Verdana" w:hAnsi="Verdana"/>
          <w:bCs/>
          <w:sz w:val="20"/>
          <w:szCs w:val="20"/>
          <w:lang w:val="es-CR"/>
        </w:rPr>
        <w:t xml:space="preserve">omunidad </w:t>
      </w:r>
      <w:r w:rsidR="008F5E6A">
        <w:rPr>
          <w:rFonts w:ascii="Verdana" w:hAnsi="Verdana"/>
          <w:bCs/>
          <w:sz w:val="20"/>
          <w:szCs w:val="20"/>
          <w:lang w:val="es-CR"/>
        </w:rPr>
        <w:t xml:space="preserve">indígena </w:t>
      </w:r>
      <w:r w:rsidR="0058415A" w:rsidRPr="006961B7">
        <w:rPr>
          <w:rFonts w:ascii="Verdana" w:hAnsi="Verdana"/>
          <w:bCs/>
          <w:sz w:val="20"/>
          <w:szCs w:val="20"/>
          <w:lang w:val="es-CR"/>
        </w:rPr>
        <w:t>Xákmok Kásek</w:t>
      </w:r>
      <w:r w:rsidR="0096006F" w:rsidRPr="006961B7">
        <w:rPr>
          <w:rFonts w:ascii="Verdana" w:hAnsi="Verdana"/>
          <w:bCs/>
          <w:sz w:val="20"/>
          <w:szCs w:val="20"/>
          <w:lang w:val="es-CR"/>
        </w:rPr>
        <w:t>. Asimismo, se requiere a las partes que</w:t>
      </w:r>
      <w:r w:rsidR="008F5E6A">
        <w:rPr>
          <w:rFonts w:ascii="Verdana" w:hAnsi="Verdana"/>
          <w:bCs/>
          <w:sz w:val="20"/>
          <w:szCs w:val="20"/>
          <w:lang w:val="es-CR"/>
        </w:rPr>
        <w:t xml:space="preserve"> en el plazo indicado en el punto resolutivo </w:t>
      </w:r>
      <w:r w:rsidR="00151217">
        <w:rPr>
          <w:rFonts w:ascii="Verdana" w:hAnsi="Verdana"/>
          <w:bCs/>
          <w:sz w:val="20"/>
          <w:szCs w:val="20"/>
          <w:lang w:val="es-CR"/>
        </w:rPr>
        <w:t>7</w:t>
      </w:r>
      <w:r w:rsidR="008F5E6A">
        <w:rPr>
          <w:rFonts w:ascii="Verdana" w:hAnsi="Verdana"/>
          <w:bCs/>
          <w:sz w:val="20"/>
          <w:szCs w:val="20"/>
          <w:lang w:val="es-CR"/>
        </w:rPr>
        <w:t xml:space="preserve"> de la presente Resolución</w:t>
      </w:r>
      <w:r w:rsidR="0096006F" w:rsidRPr="006961B7">
        <w:rPr>
          <w:rFonts w:ascii="Verdana" w:hAnsi="Verdana"/>
          <w:bCs/>
          <w:sz w:val="20"/>
          <w:szCs w:val="20"/>
          <w:lang w:val="es-CR"/>
        </w:rPr>
        <w:t xml:space="preserve"> informen al Tribunal sobre los resultados de esta reunión.</w:t>
      </w:r>
    </w:p>
    <w:p w14:paraId="6003B976" w14:textId="77777777" w:rsidR="006961B7" w:rsidRDefault="006961B7" w:rsidP="006961B7">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Cs/>
          <w:sz w:val="20"/>
          <w:lang w:val="es-CR"/>
        </w:rPr>
      </w:pPr>
      <w:r>
        <w:rPr>
          <w:rFonts w:ascii="Verdana" w:hAnsi="Verdana"/>
          <w:bCs/>
          <w:sz w:val="20"/>
          <w:szCs w:val="20"/>
          <w:lang w:val="es-CR"/>
        </w:rPr>
        <w:t>Sin perjuicio de reconocer el avance de que la Comunidad Xákmok Kásek ya se encuentra ocupando parte de sus tierras tradicionales,</w:t>
      </w:r>
      <w:r w:rsidR="00F9761E">
        <w:rPr>
          <w:rFonts w:ascii="Verdana" w:hAnsi="Verdana"/>
          <w:bCs/>
          <w:sz w:val="20"/>
          <w:szCs w:val="20"/>
          <w:lang w:val="es-CR"/>
        </w:rPr>
        <w:t xml:space="preserve"> las cuales ya fueron adquiridas por el INDI,</w:t>
      </w:r>
      <w:r>
        <w:rPr>
          <w:rFonts w:ascii="Verdana" w:hAnsi="Verdana"/>
          <w:bCs/>
          <w:sz w:val="20"/>
          <w:szCs w:val="20"/>
          <w:lang w:val="es-CR"/>
        </w:rPr>
        <w:t xml:space="preserve"> d</w:t>
      </w:r>
      <w:r w:rsidR="00CF4ABB" w:rsidRPr="006961B7">
        <w:rPr>
          <w:rFonts w:ascii="Verdana" w:hAnsi="Verdana"/>
          <w:bCs/>
          <w:sz w:val="20"/>
          <w:szCs w:val="20"/>
          <w:lang w:val="es-CR"/>
        </w:rPr>
        <w:t>e acuerdo con las anteriores consideraciones</w:t>
      </w:r>
      <w:r w:rsidR="0068032C">
        <w:rPr>
          <w:rFonts w:ascii="Verdana" w:hAnsi="Verdana"/>
          <w:bCs/>
          <w:sz w:val="20"/>
          <w:szCs w:val="20"/>
          <w:lang w:val="es-CR"/>
        </w:rPr>
        <w:t xml:space="preserve"> (</w:t>
      </w:r>
      <w:r w:rsidR="0068032C" w:rsidRPr="001B2C9A">
        <w:rPr>
          <w:rFonts w:ascii="Verdana" w:hAnsi="Verdana"/>
          <w:bCs/>
          <w:i/>
          <w:sz w:val="20"/>
          <w:szCs w:val="20"/>
          <w:lang w:val="es-CR"/>
        </w:rPr>
        <w:t xml:space="preserve">supra </w:t>
      </w:r>
      <w:r w:rsidR="0068032C">
        <w:rPr>
          <w:rFonts w:ascii="Verdana" w:hAnsi="Verdana"/>
          <w:bCs/>
          <w:sz w:val="20"/>
          <w:szCs w:val="20"/>
          <w:lang w:val="es-CR"/>
        </w:rPr>
        <w:t>Considerandos 1</w:t>
      </w:r>
      <w:r w:rsidR="00F9761E">
        <w:rPr>
          <w:rFonts w:ascii="Verdana" w:hAnsi="Verdana"/>
          <w:bCs/>
          <w:sz w:val="20"/>
          <w:szCs w:val="20"/>
          <w:lang w:val="es-CR"/>
        </w:rPr>
        <w:t>9</w:t>
      </w:r>
      <w:r w:rsidR="0068032C">
        <w:rPr>
          <w:rFonts w:ascii="Verdana" w:hAnsi="Verdana"/>
          <w:bCs/>
          <w:sz w:val="20"/>
          <w:szCs w:val="20"/>
          <w:lang w:val="es-CR"/>
        </w:rPr>
        <w:t xml:space="preserve"> </w:t>
      </w:r>
      <w:r w:rsidR="00F9761E">
        <w:rPr>
          <w:rFonts w:ascii="Verdana" w:hAnsi="Verdana"/>
          <w:bCs/>
          <w:sz w:val="20"/>
          <w:szCs w:val="20"/>
          <w:lang w:val="es-CR"/>
        </w:rPr>
        <w:t>a</w:t>
      </w:r>
      <w:r w:rsidR="0068032C">
        <w:rPr>
          <w:rFonts w:ascii="Verdana" w:hAnsi="Verdana"/>
          <w:bCs/>
          <w:sz w:val="20"/>
          <w:szCs w:val="20"/>
          <w:lang w:val="es-CR"/>
        </w:rPr>
        <w:t xml:space="preserve"> 2</w:t>
      </w:r>
      <w:r w:rsidR="00F9761E">
        <w:rPr>
          <w:rFonts w:ascii="Verdana" w:hAnsi="Verdana"/>
          <w:bCs/>
          <w:sz w:val="20"/>
          <w:szCs w:val="20"/>
          <w:lang w:val="es-CR"/>
        </w:rPr>
        <w:t>3</w:t>
      </w:r>
      <w:r w:rsidR="0068032C">
        <w:rPr>
          <w:rFonts w:ascii="Verdana" w:hAnsi="Verdana"/>
          <w:bCs/>
          <w:sz w:val="20"/>
          <w:szCs w:val="20"/>
          <w:lang w:val="es-CR"/>
        </w:rPr>
        <w:t>)</w:t>
      </w:r>
      <w:r w:rsidR="00CF4ABB" w:rsidRPr="006961B7">
        <w:rPr>
          <w:rFonts w:ascii="Verdana" w:hAnsi="Verdana"/>
          <w:bCs/>
          <w:sz w:val="20"/>
          <w:szCs w:val="20"/>
          <w:lang w:val="es-CR"/>
        </w:rPr>
        <w:t xml:space="preserve">, </w:t>
      </w:r>
      <w:r w:rsidR="0068032C">
        <w:rPr>
          <w:rFonts w:ascii="Verdana" w:hAnsi="Verdana"/>
          <w:bCs/>
          <w:sz w:val="20"/>
          <w:szCs w:val="20"/>
          <w:lang w:val="es-CR"/>
        </w:rPr>
        <w:t xml:space="preserve">este Tribunal considera que </w:t>
      </w:r>
      <w:r w:rsidR="00CF4ABB" w:rsidRPr="006961B7">
        <w:rPr>
          <w:rFonts w:ascii="Verdana" w:hAnsi="Verdana"/>
          <w:bCs/>
          <w:sz w:val="20"/>
          <w:szCs w:val="20"/>
          <w:lang w:val="es-CR"/>
        </w:rPr>
        <w:t xml:space="preserve">se encuentra pendiente de cumplimiento la medida ordenada en el punto resolutivo décimo segundo de la Sentencia, relativa a devolver las 10.700 hectáreas reclamadas por la Comunidad </w:t>
      </w:r>
      <w:r w:rsidR="0068032C">
        <w:rPr>
          <w:rFonts w:ascii="Verdana" w:hAnsi="Verdana"/>
          <w:bCs/>
          <w:sz w:val="20"/>
          <w:szCs w:val="20"/>
          <w:lang w:val="es-CR"/>
        </w:rPr>
        <w:t>i</w:t>
      </w:r>
      <w:r w:rsidR="0068032C" w:rsidRPr="006961B7">
        <w:rPr>
          <w:rFonts w:ascii="Verdana" w:hAnsi="Verdana"/>
          <w:bCs/>
          <w:sz w:val="20"/>
          <w:szCs w:val="20"/>
          <w:lang w:val="es-CR"/>
        </w:rPr>
        <w:t xml:space="preserve">ndígena </w:t>
      </w:r>
      <w:r w:rsidR="00CF4ABB" w:rsidRPr="006961B7">
        <w:rPr>
          <w:rFonts w:ascii="Verdana" w:hAnsi="Verdana"/>
          <w:bCs/>
          <w:sz w:val="20"/>
          <w:szCs w:val="20"/>
          <w:lang w:val="es-CR"/>
        </w:rPr>
        <w:t>Xákmok Kásek.</w:t>
      </w:r>
    </w:p>
    <w:p w14:paraId="09EED34A" w14:textId="77777777" w:rsidR="006961B7" w:rsidRDefault="00CF4ABB" w:rsidP="006961B7">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Cs/>
          <w:sz w:val="20"/>
          <w:lang w:val="es-CR"/>
        </w:rPr>
      </w:pPr>
      <w:r w:rsidRPr="006961B7">
        <w:rPr>
          <w:rFonts w:ascii="Verdana" w:hAnsi="Verdana"/>
          <w:bCs/>
          <w:sz w:val="20"/>
          <w:szCs w:val="20"/>
          <w:lang w:val="es-CR"/>
        </w:rPr>
        <w:t xml:space="preserve">Aunado a lo anterior, ha existido un incumplimiento del plazo para </w:t>
      </w:r>
      <w:r w:rsidR="0068032C">
        <w:rPr>
          <w:rFonts w:ascii="Verdana" w:hAnsi="Verdana"/>
          <w:bCs/>
          <w:sz w:val="20"/>
          <w:szCs w:val="20"/>
          <w:lang w:val="es-CR"/>
        </w:rPr>
        <w:t>el</w:t>
      </w:r>
      <w:r w:rsidR="0068032C" w:rsidRPr="006961B7">
        <w:rPr>
          <w:rFonts w:ascii="Verdana" w:hAnsi="Verdana"/>
          <w:bCs/>
          <w:sz w:val="20"/>
          <w:szCs w:val="20"/>
          <w:lang w:val="es-CR"/>
        </w:rPr>
        <w:t xml:space="preserve"> </w:t>
      </w:r>
      <w:r w:rsidRPr="006961B7">
        <w:rPr>
          <w:rFonts w:ascii="Verdana" w:hAnsi="Verdana"/>
          <w:bCs/>
          <w:sz w:val="20"/>
          <w:szCs w:val="20"/>
          <w:lang w:val="es-CR"/>
        </w:rPr>
        <w:t>cumplimiento</w:t>
      </w:r>
      <w:r w:rsidR="0068032C">
        <w:rPr>
          <w:rFonts w:ascii="Verdana" w:hAnsi="Verdana"/>
          <w:bCs/>
          <w:sz w:val="20"/>
          <w:szCs w:val="20"/>
          <w:lang w:val="es-CR"/>
        </w:rPr>
        <w:t xml:space="preserve"> de esta reparación</w:t>
      </w:r>
      <w:r w:rsidRPr="006961B7">
        <w:rPr>
          <w:rFonts w:ascii="Verdana" w:hAnsi="Verdana"/>
          <w:bCs/>
          <w:sz w:val="20"/>
          <w:szCs w:val="20"/>
          <w:lang w:val="es-CR"/>
        </w:rPr>
        <w:t>. La Corte recuerda que la prórroga del plazo otorgado</w:t>
      </w:r>
      <w:r w:rsidR="00D94110" w:rsidRPr="006961B7">
        <w:rPr>
          <w:rFonts w:ascii="Verdana" w:hAnsi="Verdana"/>
          <w:bCs/>
          <w:sz w:val="20"/>
          <w:szCs w:val="20"/>
          <w:lang w:val="es-CR"/>
        </w:rPr>
        <w:t xml:space="preserve"> para cumplir con dicha entrega, venció el 23 de septiembre de 2014 (</w:t>
      </w:r>
      <w:r w:rsidR="00D94110" w:rsidRPr="006961B7">
        <w:rPr>
          <w:rFonts w:ascii="Verdana" w:hAnsi="Verdana"/>
          <w:bCs/>
          <w:i/>
          <w:sz w:val="20"/>
          <w:szCs w:val="20"/>
          <w:lang w:val="es-CR"/>
        </w:rPr>
        <w:t>supra</w:t>
      </w:r>
      <w:r w:rsidR="00D94110" w:rsidRPr="006961B7">
        <w:rPr>
          <w:rFonts w:ascii="Verdana" w:hAnsi="Verdana"/>
          <w:bCs/>
          <w:sz w:val="20"/>
          <w:szCs w:val="20"/>
          <w:lang w:val="es-CR"/>
        </w:rPr>
        <w:t xml:space="preserve"> Considerando </w:t>
      </w:r>
      <w:r w:rsidR="0068032C">
        <w:rPr>
          <w:rFonts w:ascii="Verdana" w:hAnsi="Verdana"/>
          <w:bCs/>
          <w:sz w:val="20"/>
          <w:szCs w:val="20"/>
          <w:lang w:val="es-CR"/>
        </w:rPr>
        <w:t>15</w:t>
      </w:r>
      <w:r w:rsidR="0068032C" w:rsidRPr="006961B7">
        <w:rPr>
          <w:rFonts w:ascii="Verdana" w:hAnsi="Verdana"/>
          <w:bCs/>
          <w:sz w:val="20"/>
          <w:szCs w:val="20"/>
          <w:lang w:val="es-CR"/>
        </w:rPr>
        <w:t xml:space="preserve">), </w:t>
      </w:r>
      <w:r w:rsidR="00D94110" w:rsidRPr="006961B7">
        <w:rPr>
          <w:rFonts w:ascii="Verdana" w:hAnsi="Verdana"/>
          <w:bCs/>
          <w:sz w:val="20"/>
          <w:szCs w:val="20"/>
          <w:lang w:val="es-CR"/>
        </w:rPr>
        <w:t xml:space="preserve">es decir, que al 23 de abril de 2019, se cumplieron cuatro años y siete meses (55 meses) de vencimiento. </w:t>
      </w:r>
      <w:r w:rsidR="00473362" w:rsidRPr="006961B7">
        <w:rPr>
          <w:rFonts w:ascii="Verdana" w:hAnsi="Verdana"/>
          <w:bCs/>
          <w:sz w:val="20"/>
          <w:szCs w:val="20"/>
          <w:lang w:val="es-CR"/>
        </w:rPr>
        <w:t>De acuerdo con lo dispuesto en los párrafos 288 a 290 de la Sentencia, el incumplimiento de la entrega de las tierras a la comunidad acarrea como consecuencia la obligación del Estado de pagar la cantidad de $10.000,00 (diez mil dólares de los Estados Unidos de América) a favor de la misma</w:t>
      </w:r>
      <w:r w:rsidR="00473362" w:rsidRPr="00203E18">
        <w:rPr>
          <w:bCs/>
          <w:vertAlign w:val="superscript"/>
        </w:rPr>
        <w:footnoteReference w:id="49"/>
      </w:r>
      <w:r w:rsidR="00473362" w:rsidRPr="006961B7">
        <w:rPr>
          <w:rFonts w:ascii="Verdana" w:hAnsi="Verdana"/>
          <w:bCs/>
          <w:sz w:val="20"/>
          <w:szCs w:val="20"/>
          <w:lang w:val="es-CR"/>
        </w:rPr>
        <w:t xml:space="preserve"> “por cada mes de retraso” en el cumplimiento</w:t>
      </w:r>
      <w:r w:rsidR="00473362" w:rsidRPr="00203E18">
        <w:rPr>
          <w:rStyle w:val="Refdenotaalpie"/>
          <w:rFonts w:ascii="Verdana" w:hAnsi="Verdana"/>
          <w:bCs/>
          <w:sz w:val="20"/>
          <w:szCs w:val="20"/>
          <w:lang w:val="es-CR"/>
        </w:rPr>
        <w:footnoteReference w:id="50"/>
      </w:r>
      <w:r w:rsidR="00473362" w:rsidRPr="006961B7">
        <w:rPr>
          <w:rFonts w:ascii="Verdana" w:hAnsi="Verdana"/>
          <w:bCs/>
          <w:sz w:val="20"/>
          <w:szCs w:val="20"/>
          <w:lang w:val="es-CR"/>
        </w:rPr>
        <w:t>.</w:t>
      </w:r>
    </w:p>
    <w:p w14:paraId="2A2C752E" w14:textId="77777777" w:rsidR="00203E18" w:rsidRPr="006E3A70" w:rsidRDefault="000B0A40" w:rsidP="006961B7">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Cs/>
          <w:sz w:val="20"/>
          <w:lang w:val="es-CR"/>
        </w:rPr>
      </w:pPr>
      <w:r w:rsidRPr="006961B7">
        <w:rPr>
          <w:rFonts w:ascii="Verdana" w:hAnsi="Verdana"/>
          <w:bCs/>
          <w:sz w:val="20"/>
          <w:szCs w:val="20"/>
          <w:lang w:val="es-CR"/>
        </w:rPr>
        <w:t>Dado que durante la visita y la audiencia de supervisión de cumplimiento</w:t>
      </w:r>
      <w:r w:rsidR="007132CA">
        <w:rPr>
          <w:rFonts w:ascii="Verdana" w:hAnsi="Verdana"/>
          <w:bCs/>
          <w:sz w:val="20"/>
          <w:szCs w:val="20"/>
          <w:lang w:val="es-CR"/>
        </w:rPr>
        <w:t>,</w:t>
      </w:r>
      <w:r w:rsidRPr="006961B7">
        <w:rPr>
          <w:rFonts w:ascii="Verdana" w:hAnsi="Verdana"/>
          <w:bCs/>
          <w:sz w:val="20"/>
          <w:szCs w:val="20"/>
          <w:lang w:val="es-CR"/>
        </w:rPr>
        <w:t xml:space="preserve"> </w:t>
      </w:r>
      <w:r w:rsidR="00431608">
        <w:rPr>
          <w:rFonts w:ascii="Verdana" w:hAnsi="Verdana"/>
          <w:bCs/>
          <w:sz w:val="20"/>
          <w:szCs w:val="20"/>
          <w:lang w:val="es-CR"/>
        </w:rPr>
        <w:t>realizadas</w:t>
      </w:r>
      <w:r w:rsidR="00AA43EC">
        <w:rPr>
          <w:rFonts w:ascii="Verdana" w:hAnsi="Verdana"/>
          <w:bCs/>
          <w:sz w:val="20"/>
          <w:szCs w:val="20"/>
          <w:lang w:val="es-CR"/>
        </w:rPr>
        <w:t xml:space="preserve"> en</w:t>
      </w:r>
      <w:r w:rsidR="00431608" w:rsidRPr="006961B7">
        <w:rPr>
          <w:rFonts w:ascii="Verdana" w:hAnsi="Verdana"/>
          <w:bCs/>
          <w:sz w:val="20"/>
          <w:szCs w:val="20"/>
          <w:lang w:val="es-CR"/>
        </w:rPr>
        <w:t xml:space="preserve"> </w:t>
      </w:r>
      <w:r w:rsidRPr="006961B7">
        <w:rPr>
          <w:rFonts w:ascii="Verdana" w:hAnsi="Verdana"/>
          <w:bCs/>
          <w:sz w:val="20"/>
          <w:szCs w:val="20"/>
          <w:lang w:val="es-CR"/>
        </w:rPr>
        <w:t>noviembre de 2017</w:t>
      </w:r>
      <w:r w:rsidR="007132CA">
        <w:rPr>
          <w:rFonts w:ascii="Verdana" w:hAnsi="Verdana"/>
          <w:bCs/>
          <w:sz w:val="20"/>
          <w:szCs w:val="20"/>
          <w:lang w:val="es-CR"/>
        </w:rPr>
        <w:t>,</w:t>
      </w:r>
      <w:r w:rsidRPr="006961B7">
        <w:rPr>
          <w:rFonts w:ascii="Verdana" w:hAnsi="Verdana"/>
          <w:bCs/>
          <w:sz w:val="20"/>
          <w:szCs w:val="20"/>
          <w:lang w:val="es-CR"/>
        </w:rPr>
        <w:t xml:space="preserve"> y los informes presentados </w:t>
      </w:r>
      <w:r w:rsidR="00431608">
        <w:rPr>
          <w:rFonts w:ascii="Verdana" w:hAnsi="Verdana"/>
          <w:bCs/>
          <w:sz w:val="20"/>
          <w:szCs w:val="20"/>
          <w:lang w:val="es-CR"/>
        </w:rPr>
        <w:t>con posterioridad</w:t>
      </w:r>
      <w:r w:rsidRPr="006961B7">
        <w:rPr>
          <w:rFonts w:ascii="Verdana" w:hAnsi="Verdana"/>
          <w:bCs/>
          <w:sz w:val="20"/>
          <w:szCs w:val="20"/>
          <w:lang w:val="es-CR"/>
        </w:rPr>
        <w:t xml:space="preserve"> Paraguay no informó al respecto</w:t>
      </w:r>
      <w:r w:rsidRPr="002C6188">
        <w:rPr>
          <w:rStyle w:val="Refdenotaalpie"/>
          <w:rFonts w:ascii="Verdana" w:hAnsi="Verdana"/>
          <w:bCs/>
          <w:sz w:val="20"/>
          <w:szCs w:val="20"/>
          <w:lang w:val="es-CR"/>
        </w:rPr>
        <w:footnoteReference w:id="51"/>
      </w:r>
      <w:r w:rsidRPr="006961B7">
        <w:rPr>
          <w:rFonts w:ascii="Verdana" w:hAnsi="Verdana"/>
          <w:bCs/>
          <w:sz w:val="20"/>
          <w:szCs w:val="20"/>
          <w:lang w:val="es-CR"/>
        </w:rPr>
        <w:t>, l</w:t>
      </w:r>
      <w:r w:rsidR="00473362" w:rsidRPr="006961B7">
        <w:rPr>
          <w:rFonts w:ascii="Verdana" w:hAnsi="Verdana"/>
          <w:bCs/>
          <w:sz w:val="20"/>
          <w:szCs w:val="20"/>
          <w:lang w:val="es-CR"/>
        </w:rPr>
        <w:t xml:space="preserve">a Corte </w:t>
      </w:r>
      <w:r w:rsidRPr="006961B7">
        <w:rPr>
          <w:rFonts w:ascii="Verdana" w:hAnsi="Verdana"/>
          <w:bCs/>
          <w:sz w:val="20"/>
          <w:szCs w:val="20"/>
          <w:lang w:val="es-CR"/>
        </w:rPr>
        <w:t>no cuenta con elementos para pronunciarse al respeto</w:t>
      </w:r>
      <w:r w:rsidR="00431608">
        <w:rPr>
          <w:rFonts w:ascii="Verdana" w:hAnsi="Verdana"/>
          <w:bCs/>
          <w:sz w:val="20"/>
          <w:szCs w:val="20"/>
          <w:lang w:val="es-CR"/>
        </w:rPr>
        <w:t xml:space="preserve"> de las medidas que está implementando el Estado para efectuar </w:t>
      </w:r>
      <w:r w:rsidR="00466FEC">
        <w:rPr>
          <w:rFonts w:ascii="Verdana" w:hAnsi="Verdana"/>
          <w:bCs/>
          <w:sz w:val="20"/>
          <w:szCs w:val="20"/>
          <w:lang w:val="es-CR"/>
        </w:rPr>
        <w:t xml:space="preserve">el </w:t>
      </w:r>
      <w:r w:rsidR="00431608">
        <w:rPr>
          <w:rFonts w:ascii="Verdana" w:hAnsi="Verdana"/>
          <w:bCs/>
          <w:sz w:val="20"/>
          <w:szCs w:val="20"/>
          <w:lang w:val="es-CR"/>
        </w:rPr>
        <w:t>pago</w:t>
      </w:r>
      <w:r w:rsidR="00466FEC">
        <w:rPr>
          <w:rFonts w:ascii="Verdana" w:hAnsi="Verdana"/>
          <w:bCs/>
          <w:sz w:val="20"/>
          <w:szCs w:val="20"/>
          <w:lang w:val="es-CR"/>
        </w:rPr>
        <w:t xml:space="preserve"> de dicha indemnización</w:t>
      </w:r>
      <w:r w:rsidRPr="006961B7">
        <w:rPr>
          <w:rFonts w:ascii="Verdana" w:hAnsi="Verdana"/>
          <w:bCs/>
          <w:sz w:val="20"/>
          <w:szCs w:val="20"/>
          <w:lang w:val="es-CR"/>
        </w:rPr>
        <w:t>. Por ello, se requiere al Estado</w:t>
      </w:r>
      <w:r w:rsidR="00473362" w:rsidRPr="006961B7">
        <w:rPr>
          <w:rFonts w:ascii="Verdana" w:hAnsi="Verdana"/>
          <w:bCs/>
          <w:sz w:val="20"/>
          <w:szCs w:val="20"/>
          <w:lang w:val="es-CR"/>
        </w:rPr>
        <w:t xml:space="preserve"> </w:t>
      </w:r>
      <w:r w:rsidR="00431608">
        <w:rPr>
          <w:rFonts w:ascii="Verdana" w:hAnsi="Verdana"/>
          <w:bCs/>
          <w:sz w:val="20"/>
          <w:szCs w:val="20"/>
          <w:lang w:val="es-CR"/>
        </w:rPr>
        <w:t xml:space="preserve">que </w:t>
      </w:r>
      <w:r w:rsidR="002C6188" w:rsidRPr="006961B7">
        <w:rPr>
          <w:rFonts w:ascii="Verdana" w:hAnsi="Verdana"/>
          <w:bCs/>
          <w:sz w:val="20"/>
          <w:szCs w:val="20"/>
          <w:lang w:val="es-CR"/>
        </w:rPr>
        <w:t>en el</w:t>
      </w:r>
      <w:r w:rsidR="00473362" w:rsidRPr="006961B7">
        <w:rPr>
          <w:rFonts w:ascii="Verdana" w:hAnsi="Verdana"/>
          <w:bCs/>
          <w:sz w:val="20"/>
          <w:szCs w:val="20"/>
          <w:lang w:val="es-CR"/>
        </w:rPr>
        <w:t xml:space="preserve"> informe </w:t>
      </w:r>
      <w:r w:rsidR="002C6188" w:rsidRPr="006961B7">
        <w:rPr>
          <w:rFonts w:ascii="Verdana" w:hAnsi="Verdana"/>
          <w:bCs/>
          <w:sz w:val="20"/>
          <w:szCs w:val="20"/>
          <w:lang w:val="es-CR"/>
        </w:rPr>
        <w:t xml:space="preserve">que </w:t>
      </w:r>
      <w:r w:rsidR="00431608">
        <w:rPr>
          <w:rFonts w:ascii="Verdana" w:hAnsi="Verdana"/>
          <w:bCs/>
          <w:sz w:val="20"/>
          <w:szCs w:val="20"/>
          <w:lang w:val="es-CR"/>
        </w:rPr>
        <w:t>requerido</w:t>
      </w:r>
      <w:r w:rsidR="002C6188" w:rsidRPr="006961B7">
        <w:rPr>
          <w:rFonts w:ascii="Verdana" w:hAnsi="Verdana"/>
          <w:bCs/>
          <w:sz w:val="20"/>
          <w:szCs w:val="20"/>
          <w:lang w:val="es-CR"/>
        </w:rPr>
        <w:t xml:space="preserve"> en el punto resolutivo </w:t>
      </w:r>
      <w:r w:rsidR="00431608">
        <w:rPr>
          <w:rFonts w:ascii="Verdana" w:hAnsi="Verdana"/>
          <w:bCs/>
          <w:sz w:val="20"/>
          <w:szCs w:val="20"/>
          <w:lang w:val="es-CR"/>
        </w:rPr>
        <w:t xml:space="preserve">8 </w:t>
      </w:r>
      <w:r w:rsidR="002C6188" w:rsidRPr="006961B7">
        <w:rPr>
          <w:rFonts w:ascii="Verdana" w:hAnsi="Verdana"/>
          <w:bCs/>
          <w:sz w:val="20"/>
          <w:szCs w:val="20"/>
          <w:lang w:val="es-CR"/>
        </w:rPr>
        <w:t>de la presente Resolución,</w:t>
      </w:r>
      <w:r w:rsidR="00473362" w:rsidRPr="006961B7">
        <w:rPr>
          <w:rFonts w:ascii="Verdana" w:hAnsi="Verdana"/>
          <w:bCs/>
          <w:sz w:val="20"/>
          <w:szCs w:val="20"/>
          <w:lang w:val="es-CR"/>
        </w:rPr>
        <w:t xml:space="preserve"> se refiera al </w:t>
      </w:r>
      <w:r w:rsidR="00431608">
        <w:rPr>
          <w:rFonts w:ascii="Verdana" w:hAnsi="Verdana"/>
          <w:bCs/>
          <w:sz w:val="20"/>
          <w:szCs w:val="20"/>
          <w:lang w:val="es-CR"/>
        </w:rPr>
        <w:t>respecto</w:t>
      </w:r>
      <w:r w:rsidR="002C6188" w:rsidRPr="006961B7">
        <w:rPr>
          <w:rFonts w:ascii="Verdana" w:hAnsi="Verdana"/>
          <w:bCs/>
          <w:sz w:val="20"/>
          <w:szCs w:val="20"/>
          <w:lang w:val="es-CR"/>
        </w:rPr>
        <w:t>.</w:t>
      </w:r>
      <w:r w:rsidRPr="006961B7">
        <w:rPr>
          <w:rFonts w:ascii="Verdana" w:hAnsi="Verdana"/>
          <w:bCs/>
          <w:sz w:val="20"/>
          <w:szCs w:val="20"/>
          <w:lang w:val="es-CR"/>
        </w:rPr>
        <w:t xml:space="preserve"> </w:t>
      </w:r>
    </w:p>
    <w:p w14:paraId="06984180" w14:textId="77777777" w:rsidR="006E3A70" w:rsidRPr="006961B7" w:rsidRDefault="006E3A70" w:rsidP="006E3A70">
      <w:pPr>
        <w:pStyle w:val="Prrafodelista"/>
        <w:autoSpaceDE w:val="0"/>
        <w:autoSpaceDN w:val="0"/>
        <w:adjustRightInd w:val="0"/>
        <w:spacing w:before="120" w:after="120" w:line="240" w:lineRule="auto"/>
        <w:ind w:left="0"/>
        <w:contextualSpacing w:val="0"/>
        <w:jc w:val="both"/>
        <w:rPr>
          <w:rFonts w:ascii="Verdana" w:hAnsi="Verdana"/>
          <w:bCs/>
          <w:sz w:val="20"/>
          <w:lang w:val="es-CR"/>
        </w:rPr>
      </w:pPr>
    </w:p>
    <w:p w14:paraId="1A159289" w14:textId="77777777" w:rsidR="00203E18" w:rsidRPr="00664B07" w:rsidRDefault="00203E18" w:rsidP="006961B7">
      <w:pPr>
        <w:pStyle w:val="Prrafodelista"/>
        <w:numPr>
          <w:ilvl w:val="0"/>
          <w:numId w:val="31"/>
        </w:numPr>
        <w:spacing w:before="120" w:after="120" w:line="240" w:lineRule="auto"/>
        <w:ind w:right="6"/>
        <w:contextualSpacing w:val="0"/>
        <w:jc w:val="both"/>
        <w:rPr>
          <w:rFonts w:ascii="Verdana" w:hAnsi="Verdana"/>
          <w:bCs/>
          <w:i/>
          <w:sz w:val="20"/>
          <w:lang w:val="es-CR"/>
        </w:rPr>
      </w:pPr>
      <w:r w:rsidRPr="00664B07">
        <w:rPr>
          <w:rFonts w:ascii="Verdana" w:hAnsi="Verdana"/>
          <w:bCs/>
          <w:i/>
          <w:sz w:val="20"/>
          <w:lang w:val="es-CR"/>
        </w:rPr>
        <w:t>Obligación de velar porque el territorio no se vea menoscabado por acciones del Estado o de terceros</w:t>
      </w:r>
    </w:p>
    <w:p w14:paraId="48A34CBD" w14:textId="77777777" w:rsidR="006961B7" w:rsidRDefault="00FB7C53" w:rsidP="006961B7">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Cs/>
          <w:sz w:val="20"/>
          <w:szCs w:val="20"/>
          <w:lang w:val="es-CR"/>
        </w:rPr>
      </w:pPr>
      <w:r w:rsidRPr="00664B07">
        <w:rPr>
          <w:rFonts w:ascii="Verdana" w:hAnsi="Verdana"/>
          <w:bCs/>
          <w:sz w:val="20"/>
          <w:szCs w:val="20"/>
          <w:lang w:val="es-CR"/>
        </w:rPr>
        <w:t xml:space="preserve">Por otro lado, </w:t>
      </w:r>
      <w:r w:rsidR="00203E18" w:rsidRPr="00664B07">
        <w:rPr>
          <w:rFonts w:ascii="Verdana" w:hAnsi="Verdana"/>
          <w:bCs/>
          <w:sz w:val="20"/>
          <w:szCs w:val="20"/>
          <w:lang w:val="es-CR"/>
        </w:rPr>
        <w:t xml:space="preserve">en cuanto </w:t>
      </w:r>
      <w:r w:rsidRPr="00664B07">
        <w:rPr>
          <w:rFonts w:ascii="Verdana" w:hAnsi="Verdana"/>
          <w:bCs/>
          <w:sz w:val="20"/>
          <w:szCs w:val="20"/>
          <w:lang w:val="es-CR"/>
        </w:rPr>
        <w:t>al punto resolutivo décimo tercero</w:t>
      </w:r>
      <w:r w:rsidR="00203E18" w:rsidRPr="00664B07">
        <w:rPr>
          <w:rFonts w:ascii="Verdana" w:hAnsi="Verdana"/>
          <w:bCs/>
          <w:sz w:val="20"/>
          <w:szCs w:val="20"/>
          <w:lang w:val="es-CR"/>
        </w:rPr>
        <w:t xml:space="preserve"> de la Sentencia</w:t>
      </w:r>
      <w:r w:rsidRPr="00664B07">
        <w:rPr>
          <w:rFonts w:ascii="Verdana" w:hAnsi="Verdana"/>
          <w:bCs/>
          <w:sz w:val="20"/>
          <w:szCs w:val="20"/>
          <w:lang w:val="es-CR"/>
        </w:rPr>
        <w:t>, relativo a velar que “</w:t>
      </w:r>
      <w:r w:rsidRPr="00664B07">
        <w:rPr>
          <w:rFonts w:ascii="Verdana" w:hAnsi="Verdana"/>
          <w:sz w:val="20"/>
          <w:szCs w:val="20"/>
          <w:lang w:val="es-CR"/>
        </w:rPr>
        <w:t>el territorio reclamado por la Comunidad no se vea menoscabado por acciones del propio Estado o de terceros particulares”</w:t>
      </w:r>
      <w:r w:rsidR="00070CD1">
        <w:rPr>
          <w:rFonts w:ascii="Verdana" w:hAnsi="Verdana"/>
          <w:sz w:val="20"/>
          <w:szCs w:val="20"/>
          <w:lang w:val="es-CR"/>
        </w:rPr>
        <w:t xml:space="preserve"> </w:t>
      </w:r>
      <w:r w:rsidR="00070CD1">
        <w:rPr>
          <w:rFonts w:ascii="Verdana" w:eastAsiaTheme="minorHAnsi" w:hAnsi="Verdana" w:cs="Verdana"/>
          <w:sz w:val="20"/>
          <w:szCs w:val="20"/>
          <w:lang w:val="es-ES_tradnl"/>
        </w:rPr>
        <w:t>(</w:t>
      </w:r>
      <w:r w:rsidR="00070CD1" w:rsidRPr="008D0EB1">
        <w:rPr>
          <w:rFonts w:ascii="Verdana" w:eastAsiaTheme="minorHAnsi" w:hAnsi="Verdana" w:cs="Verdana"/>
          <w:i/>
          <w:sz w:val="20"/>
          <w:szCs w:val="20"/>
          <w:lang w:val="es-ES_tradnl"/>
        </w:rPr>
        <w:t>supra</w:t>
      </w:r>
      <w:r w:rsidR="00070CD1">
        <w:rPr>
          <w:rFonts w:ascii="Verdana" w:eastAsiaTheme="minorHAnsi" w:hAnsi="Verdana" w:cs="Verdana"/>
          <w:sz w:val="20"/>
          <w:szCs w:val="20"/>
          <w:lang w:val="es-ES_tradnl"/>
        </w:rPr>
        <w:t xml:space="preserve"> Considerando 12.b)</w:t>
      </w:r>
      <w:r w:rsidRPr="00664B07">
        <w:rPr>
          <w:rFonts w:ascii="Verdana" w:hAnsi="Verdana"/>
          <w:sz w:val="20"/>
          <w:szCs w:val="20"/>
          <w:lang w:val="es-CR"/>
        </w:rPr>
        <w:t xml:space="preserve">, </w:t>
      </w:r>
      <w:r w:rsidR="0028502E" w:rsidRPr="00664B07">
        <w:rPr>
          <w:rFonts w:ascii="Verdana" w:hAnsi="Verdana"/>
          <w:sz w:val="20"/>
          <w:szCs w:val="20"/>
          <w:lang w:val="es-CR"/>
        </w:rPr>
        <w:t xml:space="preserve">la Corte recuerda que en la </w:t>
      </w:r>
      <w:r w:rsidR="00070CD1">
        <w:rPr>
          <w:rFonts w:ascii="Verdana" w:hAnsi="Verdana"/>
          <w:sz w:val="20"/>
          <w:szCs w:val="20"/>
          <w:lang w:val="es-CR"/>
        </w:rPr>
        <w:t>R</w:t>
      </w:r>
      <w:r w:rsidR="00070CD1" w:rsidRPr="00664B07">
        <w:rPr>
          <w:rFonts w:ascii="Verdana" w:hAnsi="Verdana"/>
          <w:sz w:val="20"/>
          <w:szCs w:val="20"/>
          <w:lang w:val="es-CR"/>
        </w:rPr>
        <w:t xml:space="preserve">esolución </w:t>
      </w:r>
      <w:r w:rsidR="0028502E" w:rsidRPr="00664B07">
        <w:rPr>
          <w:rFonts w:ascii="Verdana" w:hAnsi="Verdana"/>
          <w:sz w:val="20"/>
          <w:szCs w:val="20"/>
          <w:lang w:val="es-CR"/>
        </w:rPr>
        <w:t xml:space="preserve">de junio de 2015 constató que el Estado había adoptado medidas de protección respecto de 7.700 hectáreas de las 10.700 que fueron reivindicadas por la </w:t>
      </w:r>
      <w:r w:rsidR="0028502E" w:rsidRPr="00664B07">
        <w:rPr>
          <w:rFonts w:ascii="Verdana" w:eastAsiaTheme="minorHAnsi" w:hAnsi="Verdana" w:cs="Verdana"/>
          <w:sz w:val="20"/>
          <w:szCs w:val="20"/>
          <w:lang w:val="es-ES_tradnl"/>
        </w:rPr>
        <w:t xml:space="preserve">Comunidad </w:t>
      </w:r>
      <w:r w:rsidR="0028502E" w:rsidRPr="00664B07">
        <w:rPr>
          <w:rFonts w:ascii="Verdana" w:hAnsi="Verdana"/>
          <w:sz w:val="20"/>
          <w:szCs w:val="20"/>
          <w:lang w:val="es-CR"/>
        </w:rPr>
        <w:t>Xákmok Kásek (</w:t>
      </w:r>
      <w:r w:rsidR="0028502E" w:rsidRPr="00664B07">
        <w:rPr>
          <w:rFonts w:ascii="Verdana" w:hAnsi="Verdana"/>
          <w:i/>
          <w:sz w:val="20"/>
          <w:szCs w:val="20"/>
          <w:lang w:val="es-CR"/>
        </w:rPr>
        <w:t>supra</w:t>
      </w:r>
      <w:r w:rsidR="0028502E" w:rsidRPr="00664B07">
        <w:rPr>
          <w:rFonts w:ascii="Verdana" w:hAnsi="Verdana"/>
          <w:sz w:val="20"/>
          <w:szCs w:val="20"/>
          <w:lang w:val="es-CR"/>
        </w:rPr>
        <w:t xml:space="preserve"> Considerando </w:t>
      </w:r>
      <w:r w:rsidR="00070CD1">
        <w:rPr>
          <w:rFonts w:ascii="Verdana" w:hAnsi="Verdana"/>
          <w:sz w:val="20"/>
          <w:szCs w:val="20"/>
          <w:lang w:val="es-CR"/>
        </w:rPr>
        <w:t>16</w:t>
      </w:r>
      <w:r w:rsidR="00070CD1" w:rsidRPr="00664B07">
        <w:rPr>
          <w:rFonts w:ascii="Verdana" w:hAnsi="Verdana"/>
          <w:sz w:val="20"/>
          <w:szCs w:val="20"/>
          <w:lang w:val="es-CR"/>
        </w:rPr>
        <w:t xml:space="preserve">). </w:t>
      </w:r>
      <w:r w:rsidR="0028502E" w:rsidRPr="00664B07">
        <w:rPr>
          <w:rFonts w:ascii="Verdana" w:hAnsi="Verdana"/>
          <w:sz w:val="20"/>
          <w:szCs w:val="20"/>
          <w:lang w:val="es-CR"/>
        </w:rPr>
        <w:t xml:space="preserve">Con respecto a las </w:t>
      </w:r>
      <w:r w:rsidR="00F9761E">
        <w:rPr>
          <w:rFonts w:ascii="Verdana" w:hAnsi="Verdana"/>
          <w:sz w:val="20"/>
          <w:szCs w:val="20"/>
          <w:lang w:val="es-CR"/>
        </w:rPr>
        <w:t>2</w:t>
      </w:r>
      <w:r w:rsidR="0028502E" w:rsidRPr="00664B07">
        <w:rPr>
          <w:rFonts w:ascii="Verdana" w:hAnsi="Verdana"/>
          <w:sz w:val="20"/>
          <w:szCs w:val="20"/>
          <w:lang w:val="es-CR"/>
        </w:rPr>
        <w:t>.</w:t>
      </w:r>
      <w:r w:rsidR="00F9761E">
        <w:rPr>
          <w:rFonts w:ascii="Verdana" w:hAnsi="Verdana"/>
          <w:sz w:val="20"/>
          <w:szCs w:val="20"/>
          <w:lang w:val="es-CR"/>
        </w:rPr>
        <w:t>999</w:t>
      </w:r>
      <w:r w:rsidR="0028502E" w:rsidRPr="00664B07">
        <w:rPr>
          <w:rFonts w:ascii="Verdana" w:hAnsi="Verdana"/>
          <w:sz w:val="20"/>
          <w:szCs w:val="20"/>
          <w:lang w:val="es-CR"/>
        </w:rPr>
        <w:t xml:space="preserve"> hectáreas restantes, en la referida Resolución se hizo notar que no constaba en el expediente información de la cual se desprendiera alguna actividad del Estado dirigida a proteger dichas tierras</w:t>
      </w:r>
      <w:r w:rsidR="002146D4" w:rsidRPr="00664B07">
        <w:rPr>
          <w:rStyle w:val="Refdenotaalpie"/>
          <w:rFonts w:ascii="Verdana" w:hAnsi="Verdana"/>
          <w:sz w:val="20"/>
          <w:szCs w:val="20"/>
          <w:lang w:val="es-CR"/>
        </w:rPr>
        <w:footnoteReference w:id="52"/>
      </w:r>
      <w:r w:rsidR="0028502E" w:rsidRPr="00664B07">
        <w:rPr>
          <w:rFonts w:ascii="Verdana" w:hAnsi="Verdana"/>
          <w:sz w:val="20"/>
          <w:szCs w:val="20"/>
          <w:lang w:val="es-CR"/>
        </w:rPr>
        <w:t>. Tal como ha sido constatado, Paraguay no habría adoptado medidas para cumplir adecuadamente con esta obligación, por lo cual</w:t>
      </w:r>
      <w:r w:rsidR="002146D4" w:rsidRPr="00664B07">
        <w:rPr>
          <w:rFonts w:ascii="Verdana" w:hAnsi="Verdana"/>
          <w:sz w:val="20"/>
          <w:szCs w:val="20"/>
          <w:lang w:val="es-CR"/>
        </w:rPr>
        <w:t>,</w:t>
      </w:r>
      <w:r w:rsidR="0028502E" w:rsidRPr="00664B07">
        <w:rPr>
          <w:rFonts w:ascii="Verdana" w:hAnsi="Verdana"/>
          <w:sz w:val="20"/>
          <w:szCs w:val="20"/>
          <w:lang w:val="es-CR"/>
        </w:rPr>
        <w:t xml:space="preserve"> la calidad de </w:t>
      </w:r>
      <w:r w:rsidR="002146D4" w:rsidRPr="00664B07">
        <w:rPr>
          <w:rFonts w:ascii="Verdana" w:hAnsi="Verdana"/>
          <w:sz w:val="20"/>
          <w:szCs w:val="20"/>
          <w:lang w:val="es-CR"/>
        </w:rPr>
        <w:t>estas</w:t>
      </w:r>
      <w:r w:rsidR="0028502E" w:rsidRPr="00664B07">
        <w:rPr>
          <w:rFonts w:ascii="Verdana" w:hAnsi="Verdana"/>
          <w:sz w:val="20"/>
          <w:szCs w:val="20"/>
          <w:lang w:val="es-CR"/>
        </w:rPr>
        <w:t xml:space="preserve"> tierras y sus recursos se habr</w:t>
      </w:r>
      <w:r w:rsidR="002146D4" w:rsidRPr="00664B07">
        <w:rPr>
          <w:rFonts w:ascii="Verdana" w:hAnsi="Verdana"/>
          <w:sz w:val="20"/>
          <w:szCs w:val="20"/>
          <w:lang w:val="es-CR"/>
        </w:rPr>
        <w:t>ían visto menoscabado</w:t>
      </w:r>
      <w:r w:rsidR="0028502E" w:rsidRPr="00664B07">
        <w:rPr>
          <w:rFonts w:ascii="Verdana" w:hAnsi="Verdana"/>
          <w:sz w:val="20"/>
          <w:szCs w:val="20"/>
          <w:lang w:val="es-CR"/>
        </w:rPr>
        <w:t xml:space="preserve">s, provocando que la </w:t>
      </w:r>
      <w:r w:rsidR="00070CD1">
        <w:rPr>
          <w:rFonts w:ascii="Verdana" w:hAnsi="Verdana"/>
          <w:sz w:val="20"/>
          <w:szCs w:val="20"/>
          <w:lang w:val="es-CR"/>
        </w:rPr>
        <w:t>C</w:t>
      </w:r>
      <w:r w:rsidR="00070CD1" w:rsidRPr="00664B07">
        <w:rPr>
          <w:rFonts w:ascii="Verdana" w:hAnsi="Verdana"/>
          <w:sz w:val="20"/>
          <w:szCs w:val="20"/>
          <w:lang w:val="es-CR"/>
        </w:rPr>
        <w:t xml:space="preserve">omunidad </w:t>
      </w:r>
      <w:r w:rsidR="00070CD1">
        <w:rPr>
          <w:rFonts w:ascii="Verdana" w:hAnsi="Verdana"/>
          <w:sz w:val="20"/>
          <w:szCs w:val="20"/>
          <w:lang w:val="es-CR"/>
        </w:rPr>
        <w:t xml:space="preserve">Xákmok Kásek </w:t>
      </w:r>
      <w:r w:rsidR="0028502E" w:rsidRPr="00664B07">
        <w:rPr>
          <w:rFonts w:ascii="Verdana" w:hAnsi="Verdana"/>
          <w:sz w:val="20"/>
          <w:szCs w:val="20"/>
          <w:lang w:val="es-CR"/>
        </w:rPr>
        <w:t>haya debido aceptar</w:t>
      </w:r>
      <w:r w:rsidR="002146D4" w:rsidRPr="00664B07">
        <w:rPr>
          <w:rFonts w:ascii="Verdana" w:hAnsi="Verdana"/>
          <w:sz w:val="20"/>
          <w:szCs w:val="20"/>
          <w:lang w:val="es-CR"/>
        </w:rPr>
        <w:t>,</w:t>
      </w:r>
      <w:r w:rsidR="0028502E" w:rsidRPr="00664B07">
        <w:rPr>
          <w:rFonts w:ascii="Verdana" w:hAnsi="Verdana"/>
          <w:sz w:val="20"/>
          <w:szCs w:val="20"/>
          <w:lang w:val="es-CR"/>
        </w:rPr>
        <w:t xml:space="preserve"> </w:t>
      </w:r>
      <w:r w:rsidR="002146D4" w:rsidRPr="00664B07">
        <w:rPr>
          <w:rFonts w:ascii="Verdana" w:hAnsi="Verdana"/>
          <w:sz w:val="20"/>
          <w:szCs w:val="20"/>
          <w:lang w:val="es-CR"/>
        </w:rPr>
        <w:t xml:space="preserve">en su lugar, </w:t>
      </w:r>
      <w:r w:rsidR="0028502E" w:rsidRPr="00664B07">
        <w:rPr>
          <w:rFonts w:ascii="Verdana" w:hAnsi="Verdana"/>
          <w:sz w:val="20"/>
          <w:szCs w:val="20"/>
          <w:lang w:val="es-CR"/>
        </w:rPr>
        <w:t xml:space="preserve">tierras </w:t>
      </w:r>
      <w:r w:rsidR="002146D4" w:rsidRPr="00664B07">
        <w:rPr>
          <w:rFonts w:ascii="Verdana" w:hAnsi="Verdana"/>
          <w:sz w:val="20"/>
          <w:szCs w:val="20"/>
          <w:lang w:val="es-CR"/>
        </w:rPr>
        <w:t>alternativas (</w:t>
      </w:r>
      <w:r w:rsidR="002146D4" w:rsidRPr="00664B07">
        <w:rPr>
          <w:rFonts w:ascii="Verdana" w:hAnsi="Verdana"/>
          <w:i/>
          <w:sz w:val="20"/>
          <w:szCs w:val="20"/>
          <w:lang w:val="es-CR"/>
        </w:rPr>
        <w:t xml:space="preserve">supra </w:t>
      </w:r>
      <w:r w:rsidR="002146D4" w:rsidRPr="00664B07">
        <w:rPr>
          <w:rFonts w:ascii="Verdana" w:hAnsi="Verdana"/>
          <w:sz w:val="20"/>
          <w:szCs w:val="20"/>
          <w:lang w:val="es-CR"/>
        </w:rPr>
        <w:t>Considerando</w:t>
      </w:r>
      <w:r w:rsidR="00AA43EC">
        <w:rPr>
          <w:rFonts w:ascii="Verdana" w:hAnsi="Verdana"/>
          <w:sz w:val="20"/>
          <w:szCs w:val="20"/>
          <w:lang w:val="es-CR"/>
        </w:rPr>
        <w:t>s 21 y</w:t>
      </w:r>
      <w:r w:rsidR="002146D4" w:rsidRPr="00664B07">
        <w:rPr>
          <w:rFonts w:ascii="Verdana" w:hAnsi="Verdana"/>
          <w:sz w:val="20"/>
          <w:szCs w:val="20"/>
          <w:lang w:val="es-CR"/>
        </w:rPr>
        <w:t xml:space="preserve"> </w:t>
      </w:r>
      <w:r w:rsidR="00070CD1">
        <w:rPr>
          <w:rFonts w:ascii="Verdana" w:hAnsi="Verdana"/>
          <w:sz w:val="20"/>
          <w:szCs w:val="20"/>
          <w:lang w:val="es-CR"/>
        </w:rPr>
        <w:t>22</w:t>
      </w:r>
      <w:r w:rsidR="00070CD1" w:rsidRPr="00664B07">
        <w:rPr>
          <w:rFonts w:ascii="Verdana" w:hAnsi="Verdana"/>
          <w:sz w:val="20"/>
          <w:szCs w:val="20"/>
          <w:lang w:val="es-CR"/>
        </w:rPr>
        <w:t>).</w:t>
      </w:r>
    </w:p>
    <w:p w14:paraId="3BC3C6A0" w14:textId="77777777" w:rsidR="002146D4" w:rsidRPr="006961B7" w:rsidRDefault="002146D4" w:rsidP="006961B7">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Cs/>
          <w:sz w:val="20"/>
          <w:szCs w:val="20"/>
          <w:lang w:val="es-CR"/>
        </w:rPr>
      </w:pPr>
      <w:r w:rsidRPr="006961B7">
        <w:rPr>
          <w:rFonts w:ascii="Verdana" w:hAnsi="Verdana"/>
          <w:sz w:val="20"/>
          <w:szCs w:val="20"/>
          <w:lang w:val="es-CR"/>
        </w:rPr>
        <w:t xml:space="preserve">La Corte recuerda que, hasta que no se </w:t>
      </w:r>
      <w:r w:rsidR="00070CD1">
        <w:rPr>
          <w:rFonts w:ascii="Verdana" w:hAnsi="Verdana"/>
          <w:sz w:val="20"/>
          <w:szCs w:val="20"/>
          <w:lang w:val="es-CR"/>
        </w:rPr>
        <w:t>devuelva formalmente</w:t>
      </w:r>
      <w:r w:rsidR="00070CD1" w:rsidRPr="006961B7">
        <w:rPr>
          <w:rFonts w:ascii="Verdana" w:hAnsi="Verdana"/>
          <w:sz w:val="20"/>
          <w:szCs w:val="20"/>
          <w:lang w:val="es-CR"/>
        </w:rPr>
        <w:t xml:space="preserve"> </w:t>
      </w:r>
      <w:r w:rsidRPr="006961B7">
        <w:rPr>
          <w:rFonts w:ascii="Verdana" w:hAnsi="Verdana"/>
          <w:sz w:val="20"/>
          <w:szCs w:val="20"/>
          <w:lang w:val="es-CR"/>
        </w:rPr>
        <w:t xml:space="preserve">el territorio tradicional y </w:t>
      </w:r>
      <w:r w:rsidR="00070CD1">
        <w:rPr>
          <w:rFonts w:ascii="Verdana" w:hAnsi="Verdana"/>
          <w:sz w:val="20"/>
          <w:szCs w:val="20"/>
          <w:lang w:val="es-CR"/>
        </w:rPr>
        <w:t xml:space="preserve">se entreguen </w:t>
      </w:r>
      <w:r w:rsidRPr="006961B7">
        <w:rPr>
          <w:rFonts w:ascii="Verdana" w:hAnsi="Verdana"/>
          <w:sz w:val="20"/>
          <w:szCs w:val="20"/>
          <w:lang w:val="es-CR"/>
        </w:rPr>
        <w:t xml:space="preserve">las tierras alternativas a los miembros de </w:t>
      </w:r>
      <w:r w:rsidR="00070CD1">
        <w:rPr>
          <w:rFonts w:ascii="Verdana" w:hAnsi="Verdana"/>
          <w:sz w:val="20"/>
          <w:szCs w:val="20"/>
          <w:lang w:val="es-CR"/>
        </w:rPr>
        <w:t>esta</w:t>
      </w:r>
      <w:r w:rsidR="00070CD1" w:rsidRPr="006961B7">
        <w:rPr>
          <w:rFonts w:ascii="Verdana" w:hAnsi="Verdana"/>
          <w:sz w:val="20"/>
          <w:szCs w:val="20"/>
          <w:lang w:val="es-CR"/>
        </w:rPr>
        <w:t xml:space="preserve"> </w:t>
      </w:r>
      <w:r w:rsidRPr="006961B7">
        <w:rPr>
          <w:rFonts w:ascii="Verdana" w:hAnsi="Verdana"/>
          <w:sz w:val="20"/>
          <w:szCs w:val="20"/>
          <w:lang w:val="es-CR"/>
        </w:rPr>
        <w:t xml:space="preserve">comunidad, el Estado deberá velar porque no se vean </w:t>
      </w:r>
      <w:r w:rsidR="00070CD1" w:rsidRPr="006961B7">
        <w:rPr>
          <w:rFonts w:ascii="Verdana" w:hAnsi="Verdana"/>
          <w:sz w:val="20"/>
          <w:szCs w:val="20"/>
          <w:lang w:val="es-CR"/>
        </w:rPr>
        <w:t>menoscabad</w:t>
      </w:r>
      <w:r w:rsidR="00070CD1">
        <w:rPr>
          <w:rFonts w:ascii="Verdana" w:hAnsi="Verdana"/>
          <w:sz w:val="20"/>
          <w:szCs w:val="20"/>
          <w:lang w:val="es-CR"/>
        </w:rPr>
        <w:t>a</w:t>
      </w:r>
      <w:r w:rsidR="00070CD1" w:rsidRPr="006961B7">
        <w:rPr>
          <w:rFonts w:ascii="Verdana" w:hAnsi="Verdana"/>
          <w:sz w:val="20"/>
          <w:szCs w:val="20"/>
          <w:lang w:val="es-CR"/>
        </w:rPr>
        <w:t xml:space="preserve">s </w:t>
      </w:r>
      <w:r w:rsidRPr="006961B7">
        <w:rPr>
          <w:rFonts w:ascii="Verdana" w:hAnsi="Verdana"/>
          <w:sz w:val="20"/>
          <w:szCs w:val="20"/>
          <w:lang w:val="es-CR"/>
        </w:rPr>
        <w:t>por acciones del propio Estado o de terceros particulares.</w:t>
      </w:r>
    </w:p>
    <w:p w14:paraId="60A7CB67" w14:textId="77777777" w:rsidR="00C178CB" w:rsidRPr="0036345B" w:rsidRDefault="00C178CB" w:rsidP="00480F33">
      <w:pPr>
        <w:pStyle w:val="Prrafodelista"/>
        <w:spacing w:before="120" w:after="120" w:line="240" w:lineRule="auto"/>
        <w:ind w:left="0" w:right="4"/>
        <w:contextualSpacing w:val="0"/>
        <w:jc w:val="both"/>
        <w:rPr>
          <w:rFonts w:ascii="Verdana" w:hAnsi="Verdana"/>
          <w:bCs/>
          <w:sz w:val="20"/>
          <w:szCs w:val="20"/>
          <w:lang w:val="es-CR"/>
        </w:rPr>
      </w:pPr>
    </w:p>
    <w:p w14:paraId="2033221C" w14:textId="77777777" w:rsidR="00C178CB" w:rsidRDefault="00961173" w:rsidP="00480F33">
      <w:pPr>
        <w:pStyle w:val="Ttulo1"/>
        <w:numPr>
          <w:ilvl w:val="0"/>
          <w:numId w:val="24"/>
        </w:numPr>
        <w:spacing w:before="120" w:after="120" w:line="240" w:lineRule="auto"/>
        <w:jc w:val="both"/>
        <w:rPr>
          <w:rFonts w:ascii="Verdana" w:hAnsi="Verdana"/>
          <w:i/>
          <w:color w:val="auto"/>
          <w:sz w:val="20"/>
          <w:szCs w:val="20"/>
          <w:lang w:val="es-ES_tradnl"/>
        </w:rPr>
      </w:pPr>
      <w:bookmarkStart w:id="16" w:name="_Toc12032442"/>
      <w:r w:rsidRPr="00FB7C53">
        <w:rPr>
          <w:rFonts w:ascii="Verdana" w:hAnsi="Verdana"/>
          <w:i/>
          <w:color w:val="auto"/>
          <w:sz w:val="20"/>
          <w:szCs w:val="20"/>
          <w:lang w:val="es-ES_tradnl"/>
        </w:rPr>
        <w:t>Adoptar medidas para que el Decreto No. 11.804 no sea un obstáculo para la devolución de las tierras tradicionales</w:t>
      </w:r>
      <w:bookmarkEnd w:id="16"/>
    </w:p>
    <w:p w14:paraId="64B05107" w14:textId="77777777" w:rsidR="003C6B95" w:rsidRDefault="003C6B95" w:rsidP="00480F33">
      <w:pPr>
        <w:pStyle w:val="Prrafodelista"/>
        <w:tabs>
          <w:tab w:val="left" w:pos="567"/>
        </w:tabs>
        <w:spacing w:before="120" w:after="120" w:line="240" w:lineRule="auto"/>
        <w:ind w:right="6"/>
        <w:contextualSpacing w:val="0"/>
        <w:jc w:val="both"/>
        <w:outlineLvl w:val="0"/>
        <w:rPr>
          <w:rFonts w:ascii="Verdana" w:hAnsi="Verdana"/>
          <w:i/>
          <w:sz w:val="20"/>
          <w:lang w:val="es-ES_tradnl"/>
        </w:rPr>
      </w:pPr>
      <w:bookmarkStart w:id="17" w:name="_Toc7715868"/>
      <w:bookmarkStart w:id="18" w:name="_Toc11143860"/>
      <w:bookmarkStart w:id="19" w:name="_Toc12032443"/>
      <w:bookmarkStart w:id="20" w:name="_Toc5184318"/>
      <w:bookmarkStart w:id="21" w:name="_Toc7102466"/>
      <w:r>
        <w:rPr>
          <w:rFonts w:ascii="Verdana" w:eastAsiaTheme="minorHAnsi" w:hAnsi="Verdana" w:cstheme="minorBidi"/>
          <w:i/>
          <w:sz w:val="20"/>
          <w:szCs w:val="20"/>
          <w:lang w:val="es-ES_tradnl"/>
        </w:rPr>
        <w:t>C</w:t>
      </w:r>
      <w:r w:rsidRPr="00563D4F">
        <w:rPr>
          <w:rFonts w:ascii="Verdana" w:eastAsiaTheme="minorHAnsi" w:hAnsi="Verdana" w:cstheme="minorBidi"/>
          <w:i/>
          <w:sz w:val="20"/>
          <w:szCs w:val="20"/>
          <w:lang w:val="es-ES_tradnl"/>
        </w:rPr>
        <w:t>.1.</w:t>
      </w:r>
      <w:r w:rsidRPr="001B2C9A">
        <w:rPr>
          <w:rFonts w:ascii="Verdana" w:eastAsiaTheme="minorHAnsi" w:hAnsi="Verdana" w:cstheme="minorBidi"/>
          <w:i/>
          <w:sz w:val="20"/>
          <w:szCs w:val="20"/>
          <w:lang w:val="es-ES_tradnl"/>
        </w:rPr>
        <w:t xml:space="preserve"> </w:t>
      </w:r>
      <w:r w:rsidRPr="00563D4F">
        <w:rPr>
          <w:rFonts w:ascii="Verdana" w:hAnsi="Verdana"/>
          <w:i/>
          <w:sz w:val="20"/>
          <w:lang w:val="es-ES_tradnl"/>
        </w:rPr>
        <w:t>Medida ordenada por la Corte</w:t>
      </w:r>
      <w:bookmarkEnd w:id="17"/>
      <w:bookmarkEnd w:id="18"/>
      <w:bookmarkEnd w:id="19"/>
      <w:r w:rsidRPr="00563D4F">
        <w:rPr>
          <w:rFonts w:ascii="Verdana" w:hAnsi="Verdana"/>
          <w:i/>
          <w:sz w:val="20"/>
          <w:lang w:val="es-ES_tradnl"/>
        </w:rPr>
        <w:t xml:space="preserve"> </w:t>
      </w:r>
      <w:bookmarkEnd w:id="20"/>
      <w:bookmarkEnd w:id="21"/>
    </w:p>
    <w:p w14:paraId="5B2176F9" w14:textId="77777777" w:rsidR="003C6B95" w:rsidRPr="00961173" w:rsidRDefault="003C6B95" w:rsidP="00B233A8">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Cs/>
          <w:sz w:val="20"/>
          <w:szCs w:val="20"/>
          <w:lang w:val="es-CR"/>
        </w:rPr>
      </w:pPr>
      <w:r w:rsidRPr="00961173">
        <w:rPr>
          <w:rFonts w:ascii="Verdana" w:hAnsi="Verdana"/>
          <w:bCs/>
          <w:sz w:val="20"/>
          <w:szCs w:val="20"/>
          <w:lang w:val="es-CR"/>
        </w:rPr>
        <w:t xml:space="preserve">En el punto resolutivo </w:t>
      </w:r>
      <w:r w:rsidR="00961173" w:rsidRPr="00961173">
        <w:rPr>
          <w:rFonts w:ascii="Verdana" w:hAnsi="Verdana"/>
          <w:bCs/>
          <w:sz w:val="20"/>
          <w:szCs w:val="20"/>
          <w:lang w:val="es-CR"/>
        </w:rPr>
        <w:t xml:space="preserve">décimo sexto y </w:t>
      </w:r>
      <w:r w:rsidRPr="00961173">
        <w:rPr>
          <w:rFonts w:ascii="Verdana" w:hAnsi="Verdana"/>
          <w:bCs/>
          <w:sz w:val="20"/>
          <w:szCs w:val="20"/>
          <w:lang w:val="es-CR"/>
        </w:rPr>
        <w:t>l</w:t>
      </w:r>
      <w:r w:rsidR="00961173" w:rsidRPr="00961173">
        <w:rPr>
          <w:rFonts w:ascii="Verdana" w:hAnsi="Verdana"/>
          <w:bCs/>
          <w:sz w:val="20"/>
          <w:szCs w:val="20"/>
          <w:lang w:val="es-CR"/>
        </w:rPr>
        <w:t>os</w:t>
      </w:r>
      <w:r w:rsidRPr="00961173">
        <w:rPr>
          <w:rFonts w:ascii="Verdana" w:hAnsi="Verdana"/>
          <w:bCs/>
          <w:sz w:val="20"/>
          <w:szCs w:val="20"/>
          <w:lang w:val="es-CR"/>
        </w:rPr>
        <w:t xml:space="preserve"> párrafo</w:t>
      </w:r>
      <w:r w:rsidR="00961173" w:rsidRPr="00961173">
        <w:rPr>
          <w:rFonts w:ascii="Verdana" w:hAnsi="Verdana"/>
          <w:bCs/>
          <w:sz w:val="20"/>
          <w:szCs w:val="20"/>
          <w:lang w:val="es-CR"/>
        </w:rPr>
        <w:t>s</w:t>
      </w:r>
      <w:r w:rsidRPr="00961173">
        <w:rPr>
          <w:rFonts w:ascii="Verdana" w:hAnsi="Verdana"/>
          <w:bCs/>
          <w:sz w:val="20"/>
          <w:szCs w:val="20"/>
          <w:lang w:val="es-CR"/>
        </w:rPr>
        <w:t xml:space="preserve"> </w:t>
      </w:r>
      <w:r w:rsidR="00961173" w:rsidRPr="00961173">
        <w:rPr>
          <w:rFonts w:ascii="Verdana" w:hAnsi="Verdana"/>
          <w:bCs/>
          <w:sz w:val="20"/>
          <w:szCs w:val="20"/>
          <w:lang w:val="es-CR"/>
        </w:rPr>
        <w:t>311 y 313</w:t>
      </w:r>
      <w:r w:rsidRPr="00961173">
        <w:rPr>
          <w:rFonts w:ascii="Verdana" w:hAnsi="Verdana"/>
          <w:bCs/>
          <w:sz w:val="20"/>
          <w:szCs w:val="20"/>
          <w:lang w:val="es-CR"/>
        </w:rPr>
        <w:t xml:space="preserve"> de la Sentencia</w:t>
      </w:r>
      <w:r w:rsidR="00961173" w:rsidRPr="00961173">
        <w:rPr>
          <w:rFonts w:ascii="Verdana" w:hAnsi="Verdana"/>
          <w:bCs/>
          <w:sz w:val="20"/>
          <w:szCs w:val="20"/>
          <w:lang w:val="es-CR"/>
        </w:rPr>
        <w:t>, la Corte</w:t>
      </w:r>
      <w:r w:rsidRPr="00961173">
        <w:rPr>
          <w:rFonts w:ascii="Verdana" w:hAnsi="Verdana"/>
          <w:bCs/>
          <w:sz w:val="20"/>
          <w:szCs w:val="20"/>
          <w:lang w:val="es-CR"/>
        </w:rPr>
        <w:t xml:space="preserve"> dispuso que </w:t>
      </w:r>
      <w:r w:rsidR="00961173" w:rsidRPr="00961173">
        <w:rPr>
          <w:rFonts w:ascii="Verdana" w:hAnsi="Verdana"/>
          <w:bCs/>
          <w:sz w:val="20"/>
          <w:szCs w:val="20"/>
          <w:lang w:val="es-CR"/>
        </w:rPr>
        <w:t>el Estado debía “</w:t>
      </w:r>
      <w:r w:rsidR="00961173" w:rsidRPr="00961173">
        <w:rPr>
          <w:rFonts w:ascii="Verdana" w:hAnsi="Verdana"/>
          <w:sz w:val="20"/>
          <w:szCs w:val="20"/>
          <w:lang w:val="es-CR"/>
        </w:rPr>
        <w:t>adoptar inmediatamente las medidas necesarias para que el Decreto No. 11.804 que declaró como área silvestre protegida a parte del territorio reclamado por la Comunidad no sea un obstáculo para la devolución de las tierras tradicionales</w:t>
      </w:r>
      <w:r w:rsidRPr="00961173">
        <w:rPr>
          <w:rFonts w:ascii="Verdana" w:hAnsi="Verdana"/>
          <w:sz w:val="20"/>
          <w:szCs w:val="20"/>
          <w:lang w:val="es-CR"/>
        </w:rPr>
        <w:t>”</w:t>
      </w:r>
      <w:r w:rsidR="00480F33">
        <w:rPr>
          <w:rFonts w:ascii="Verdana" w:hAnsi="Verdana"/>
          <w:sz w:val="20"/>
          <w:szCs w:val="20"/>
          <w:lang w:val="es-CR"/>
        </w:rPr>
        <w:t>.</w:t>
      </w:r>
    </w:p>
    <w:p w14:paraId="2DDE0AD8" w14:textId="77777777" w:rsidR="00747197" w:rsidRPr="00747197" w:rsidRDefault="003C6B95" w:rsidP="00747197">
      <w:pPr>
        <w:pStyle w:val="Prrafodelista"/>
        <w:tabs>
          <w:tab w:val="left" w:pos="567"/>
        </w:tabs>
        <w:spacing w:before="120" w:after="120" w:line="240" w:lineRule="auto"/>
        <w:ind w:right="6"/>
        <w:contextualSpacing w:val="0"/>
        <w:jc w:val="both"/>
        <w:outlineLvl w:val="0"/>
        <w:rPr>
          <w:rFonts w:ascii="Verdana" w:hAnsi="Verdana"/>
          <w:i/>
          <w:sz w:val="20"/>
          <w:lang w:val="es-ES_tradnl"/>
        </w:rPr>
      </w:pPr>
      <w:bookmarkStart w:id="22" w:name="_Toc7715869"/>
      <w:bookmarkStart w:id="23" w:name="_Toc11143861"/>
      <w:bookmarkStart w:id="24" w:name="_Toc12032444"/>
      <w:r w:rsidRPr="00747197">
        <w:rPr>
          <w:rFonts w:ascii="Verdana" w:hAnsi="Verdana"/>
          <w:i/>
          <w:sz w:val="20"/>
          <w:lang w:val="es-ES_tradnl"/>
        </w:rPr>
        <w:t>C.2.</w:t>
      </w:r>
      <w:r w:rsidR="00747197" w:rsidRPr="00747197">
        <w:rPr>
          <w:rFonts w:ascii="Verdana" w:hAnsi="Verdana"/>
          <w:i/>
          <w:sz w:val="20"/>
          <w:lang w:val="es-ES_tradnl"/>
        </w:rPr>
        <w:t xml:space="preserve"> Información y observaciones de las partes y de la Comisión</w:t>
      </w:r>
      <w:bookmarkEnd w:id="22"/>
      <w:bookmarkEnd w:id="23"/>
      <w:bookmarkEnd w:id="24"/>
    </w:p>
    <w:p w14:paraId="3A52D8E3" w14:textId="77777777" w:rsidR="00B233A8" w:rsidRPr="00B233A8" w:rsidRDefault="00FD3058" w:rsidP="00B233A8">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Cs/>
          <w:sz w:val="20"/>
          <w:szCs w:val="20"/>
          <w:lang w:val="es-CR"/>
        </w:rPr>
      </w:pPr>
      <w:r>
        <w:rPr>
          <w:rFonts w:ascii="Verdana" w:hAnsi="Verdana"/>
          <w:bCs/>
          <w:sz w:val="20"/>
          <w:szCs w:val="20"/>
          <w:lang w:val="es-CR"/>
        </w:rPr>
        <w:t xml:space="preserve">El </w:t>
      </w:r>
      <w:r w:rsidRPr="00FD3058">
        <w:rPr>
          <w:rFonts w:ascii="Verdana" w:hAnsi="Verdana"/>
          <w:bCs/>
          <w:i/>
          <w:sz w:val="20"/>
          <w:szCs w:val="20"/>
          <w:lang w:val="es-CR"/>
        </w:rPr>
        <w:t>Estado</w:t>
      </w:r>
      <w:r>
        <w:rPr>
          <w:rFonts w:ascii="Verdana" w:hAnsi="Verdana"/>
          <w:bCs/>
          <w:sz w:val="20"/>
          <w:szCs w:val="20"/>
          <w:lang w:val="es-CR"/>
        </w:rPr>
        <w:t xml:space="preserve"> explicó en su informe de mayo de 2014 que </w:t>
      </w:r>
      <w:r w:rsidRPr="00FD3058">
        <w:rPr>
          <w:rFonts w:ascii="Verdana" w:hAnsi="Verdana"/>
          <w:bCs/>
          <w:sz w:val="20"/>
          <w:szCs w:val="20"/>
          <w:lang w:val="es-CR"/>
        </w:rPr>
        <w:t xml:space="preserve">“el obstáculo a superar para avanzar en la adquisición de la propiedad </w:t>
      </w:r>
      <w:r w:rsidR="002A2D79">
        <w:rPr>
          <w:rFonts w:ascii="Verdana" w:hAnsi="Verdana"/>
          <w:bCs/>
          <w:sz w:val="20"/>
          <w:szCs w:val="20"/>
          <w:lang w:val="es-CR"/>
        </w:rPr>
        <w:t xml:space="preserve">[reclamada por la Comunidad Xákmok Kásek] </w:t>
      </w:r>
      <w:r w:rsidRPr="00FD3058">
        <w:rPr>
          <w:rFonts w:ascii="Verdana" w:hAnsi="Verdana"/>
          <w:bCs/>
          <w:sz w:val="20"/>
          <w:szCs w:val="20"/>
          <w:lang w:val="es-CR"/>
        </w:rPr>
        <w:t>radicó, en su momento, en el hecho de que la propiedad en cuestión había sido declarada como Área Silvestre Protegida bajo dominio privado por Decreto del Poder Ejecutivo N° 11.804 de fecha 31 de enero de 2008, condición jurídica que colocaba la tierra en situación de no ser susceptible de expropiación, como de ningún otro procedimiento en particular para enajenar dicha finca”. En el mismo sentido, informó que el “mencionado acto normativo, que tenía vigencia de cinco años, caducó en enero del 2013, razón por la cual a partir de esa fecha el Estado estaba en condiciones legales de tomar las debidas acciones a fin de encontrar una solución satisfactoria</w:t>
      </w:r>
      <w:r>
        <w:rPr>
          <w:rFonts w:ascii="Verdana" w:hAnsi="Verdana"/>
          <w:bCs/>
          <w:sz w:val="20"/>
          <w:szCs w:val="20"/>
          <w:lang w:val="es-CR"/>
        </w:rPr>
        <w:t xml:space="preserve">” para la adquisición de las tierras de </w:t>
      </w:r>
      <w:r w:rsidR="003D42E3">
        <w:rPr>
          <w:rFonts w:ascii="Verdana" w:hAnsi="Verdana"/>
          <w:bCs/>
          <w:sz w:val="20"/>
          <w:szCs w:val="20"/>
          <w:lang w:val="es-CR"/>
        </w:rPr>
        <w:t xml:space="preserve">esta </w:t>
      </w:r>
      <w:r>
        <w:rPr>
          <w:rFonts w:ascii="Verdana" w:hAnsi="Verdana"/>
          <w:bCs/>
          <w:sz w:val="20"/>
          <w:szCs w:val="20"/>
          <w:lang w:val="es-CR"/>
        </w:rPr>
        <w:t>comunidad</w:t>
      </w:r>
      <w:r w:rsidRPr="00FD3058">
        <w:rPr>
          <w:rFonts w:ascii="Verdana" w:hAnsi="Verdana"/>
          <w:bCs/>
          <w:sz w:val="20"/>
          <w:szCs w:val="20"/>
          <w:lang w:val="es-CR"/>
        </w:rPr>
        <w:t xml:space="preserve">. Posteriormente, </w:t>
      </w:r>
      <w:r>
        <w:rPr>
          <w:rFonts w:ascii="Verdana" w:hAnsi="Verdana"/>
          <w:bCs/>
          <w:sz w:val="20"/>
          <w:szCs w:val="20"/>
          <w:lang w:val="es-CR"/>
        </w:rPr>
        <w:t>en el informe presentado en enero de 2018</w:t>
      </w:r>
      <w:r w:rsidRPr="00FD3058">
        <w:rPr>
          <w:rFonts w:ascii="Verdana" w:hAnsi="Verdana"/>
          <w:bCs/>
          <w:sz w:val="20"/>
          <w:szCs w:val="20"/>
          <w:lang w:val="es-CR"/>
        </w:rPr>
        <w:t xml:space="preserve"> manifestó que “[e]ste punto se encuentra cumplido”</w:t>
      </w:r>
      <w:r w:rsidRPr="00AA43EC">
        <w:rPr>
          <w:rFonts w:ascii="Verdana" w:hAnsi="Verdana"/>
          <w:bCs/>
          <w:sz w:val="20"/>
          <w:szCs w:val="20"/>
          <w:lang w:val="es-CR"/>
        </w:rPr>
        <w:t xml:space="preserve">. </w:t>
      </w:r>
      <w:r w:rsidRPr="00FD3058">
        <w:rPr>
          <w:rFonts w:ascii="Verdana" w:hAnsi="Verdana"/>
          <w:b/>
          <w:bCs/>
          <w:sz w:val="16"/>
          <w:szCs w:val="20"/>
          <w:lang w:val="es-CR"/>
        </w:rPr>
        <w:t xml:space="preserve"> </w:t>
      </w:r>
    </w:p>
    <w:p w14:paraId="17573CD5" w14:textId="77777777" w:rsidR="00FD3058" w:rsidRDefault="00FD3058" w:rsidP="00B233A8">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Cs/>
          <w:sz w:val="20"/>
          <w:szCs w:val="20"/>
          <w:lang w:val="es-CR"/>
        </w:rPr>
      </w:pPr>
      <w:r w:rsidRPr="00B233A8">
        <w:rPr>
          <w:rFonts w:ascii="Verdana" w:hAnsi="Verdana"/>
          <w:bCs/>
          <w:sz w:val="20"/>
          <w:szCs w:val="20"/>
          <w:lang w:val="es-CR"/>
        </w:rPr>
        <w:t xml:space="preserve">Los </w:t>
      </w:r>
      <w:r w:rsidRPr="00B233A8">
        <w:rPr>
          <w:rFonts w:ascii="Verdana" w:hAnsi="Verdana"/>
          <w:bCs/>
          <w:i/>
          <w:sz w:val="20"/>
          <w:szCs w:val="20"/>
          <w:lang w:val="es-CR"/>
        </w:rPr>
        <w:t>representantes</w:t>
      </w:r>
      <w:r w:rsidRPr="00B233A8">
        <w:rPr>
          <w:rFonts w:ascii="Verdana" w:hAnsi="Verdana"/>
          <w:bCs/>
          <w:sz w:val="20"/>
          <w:szCs w:val="20"/>
          <w:lang w:val="es-CR"/>
        </w:rPr>
        <w:t xml:space="preserve"> señalaron que “este punto</w:t>
      </w:r>
      <w:r w:rsidR="007E2962" w:rsidRPr="00B233A8">
        <w:rPr>
          <w:rFonts w:ascii="Verdana" w:hAnsi="Verdana"/>
          <w:bCs/>
          <w:sz w:val="20"/>
          <w:szCs w:val="20"/>
          <w:lang w:val="es-CR"/>
        </w:rPr>
        <w:t xml:space="preserve"> no fue cumplido por el Estado”</w:t>
      </w:r>
      <w:r w:rsidR="003D42E3">
        <w:rPr>
          <w:rFonts w:ascii="Verdana" w:hAnsi="Verdana"/>
          <w:bCs/>
          <w:sz w:val="20"/>
          <w:szCs w:val="20"/>
          <w:lang w:val="es-CR"/>
        </w:rPr>
        <w:t>. Reconocieron que</w:t>
      </w:r>
      <w:r w:rsidR="007E2962" w:rsidRPr="00B233A8">
        <w:rPr>
          <w:rFonts w:ascii="Verdana" w:hAnsi="Verdana"/>
          <w:bCs/>
          <w:sz w:val="20"/>
          <w:szCs w:val="20"/>
          <w:lang w:val="es-CR"/>
        </w:rPr>
        <w:t xml:space="preserve"> “[c]</w:t>
      </w:r>
      <w:r w:rsidRPr="00B233A8">
        <w:rPr>
          <w:rFonts w:ascii="Verdana" w:hAnsi="Verdana"/>
          <w:bCs/>
          <w:sz w:val="20"/>
          <w:szCs w:val="20"/>
          <w:lang w:val="es-CR"/>
        </w:rPr>
        <w:t>iertamente</w:t>
      </w:r>
      <w:r w:rsidR="007E2962" w:rsidRPr="00B233A8">
        <w:rPr>
          <w:rFonts w:ascii="Verdana" w:hAnsi="Verdana"/>
          <w:bCs/>
          <w:sz w:val="20"/>
          <w:szCs w:val="20"/>
          <w:lang w:val="es-CR"/>
        </w:rPr>
        <w:t xml:space="preserve"> [el referido Decreto]</w:t>
      </w:r>
      <w:r w:rsidRPr="00B233A8">
        <w:rPr>
          <w:rFonts w:ascii="Verdana" w:hAnsi="Verdana"/>
          <w:bCs/>
          <w:sz w:val="20"/>
          <w:szCs w:val="20"/>
          <w:lang w:val="es-CR"/>
        </w:rPr>
        <w:t xml:space="preserve"> ya no representa un obstáculo</w:t>
      </w:r>
      <w:r w:rsidR="003D42E3">
        <w:rPr>
          <w:rFonts w:ascii="Verdana" w:hAnsi="Verdana"/>
          <w:bCs/>
          <w:sz w:val="20"/>
          <w:szCs w:val="20"/>
          <w:lang w:val="es-CR"/>
        </w:rPr>
        <w:t>,</w:t>
      </w:r>
      <w:r w:rsidRPr="00B233A8">
        <w:rPr>
          <w:rFonts w:ascii="Verdana" w:hAnsi="Verdana"/>
          <w:bCs/>
          <w:sz w:val="20"/>
          <w:szCs w:val="20"/>
          <w:lang w:val="es-CR"/>
        </w:rPr>
        <w:t xml:space="preserve"> pero no porque el Estado lo haya removido, sino que porque transcurrieron íntegramente los 5 años de </w:t>
      </w:r>
      <w:r w:rsidR="007E2962" w:rsidRPr="00B233A8">
        <w:rPr>
          <w:rFonts w:ascii="Verdana" w:hAnsi="Verdana"/>
          <w:bCs/>
          <w:sz w:val="20"/>
          <w:szCs w:val="20"/>
          <w:lang w:val="es-CR"/>
        </w:rPr>
        <w:t xml:space="preserve">[su] </w:t>
      </w:r>
      <w:r w:rsidRPr="00B233A8">
        <w:rPr>
          <w:rFonts w:ascii="Verdana" w:hAnsi="Verdana"/>
          <w:bCs/>
          <w:sz w:val="20"/>
          <w:szCs w:val="20"/>
          <w:lang w:val="es-CR"/>
        </w:rPr>
        <w:t xml:space="preserve">vigencia, sin que el Estado </w:t>
      </w:r>
      <w:r w:rsidR="003D42E3" w:rsidRPr="00B233A8">
        <w:rPr>
          <w:rFonts w:ascii="Verdana" w:hAnsi="Verdana"/>
          <w:bCs/>
          <w:sz w:val="20"/>
          <w:szCs w:val="20"/>
          <w:lang w:val="es-CR"/>
        </w:rPr>
        <w:t>h</w:t>
      </w:r>
      <w:r w:rsidR="003D42E3">
        <w:rPr>
          <w:rFonts w:ascii="Verdana" w:hAnsi="Verdana"/>
          <w:bCs/>
          <w:sz w:val="20"/>
          <w:szCs w:val="20"/>
          <w:lang w:val="es-CR"/>
        </w:rPr>
        <w:t xml:space="preserve">[ubiera] </w:t>
      </w:r>
      <w:r w:rsidRPr="00B233A8">
        <w:rPr>
          <w:rFonts w:ascii="Verdana" w:hAnsi="Verdana"/>
          <w:bCs/>
          <w:sz w:val="20"/>
          <w:szCs w:val="20"/>
          <w:lang w:val="es-CR"/>
        </w:rPr>
        <w:t>realizado acción alguna para revocarlo, como correspondía</w:t>
      </w:r>
      <w:r w:rsidR="007E2962" w:rsidRPr="00B233A8">
        <w:rPr>
          <w:rFonts w:ascii="Verdana" w:hAnsi="Verdana"/>
          <w:bCs/>
          <w:sz w:val="20"/>
          <w:szCs w:val="20"/>
          <w:lang w:val="es-CR"/>
        </w:rPr>
        <w:t>”</w:t>
      </w:r>
      <w:r w:rsidR="007E2962">
        <w:rPr>
          <w:rStyle w:val="Refdenotaalpie"/>
          <w:rFonts w:ascii="Verdana" w:hAnsi="Verdana"/>
          <w:bCs/>
          <w:sz w:val="20"/>
          <w:szCs w:val="20"/>
          <w:lang w:val="es-CR"/>
        </w:rPr>
        <w:footnoteReference w:id="53"/>
      </w:r>
      <w:r w:rsidR="000511E8">
        <w:rPr>
          <w:rFonts w:ascii="Verdana" w:hAnsi="Verdana"/>
          <w:bCs/>
          <w:sz w:val="20"/>
          <w:szCs w:val="20"/>
          <w:lang w:val="es-CR"/>
        </w:rPr>
        <w:t>.</w:t>
      </w:r>
    </w:p>
    <w:p w14:paraId="08C56BFB" w14:textId="77777777" w:rsidR="000511E8" w:rsidRPr="00B233A8" w:rsidRDefault="000511E8" w:rsidP="000511E8">
      <w:pPr>
        <w:pStyle w:val="Prrafodelista"/>
        <w:autoSpaceDE w:val="0"/>
        <w:autoSpaceDN w:val="0"/>
        <w:adjustRightInd w:val="0"/>
        <w:spacing w:before="120" w:after="120" w:line="240" w:lineRule="auto"/>
        <w:ind w:left="0"/>
        <w:contextualSpacing w:val="0"/>
        <w:jc w:val="both"/>
        <w:rPr>
          <w:rFonts w:ascii="Verdana" w:hAnsi="Verdana"/>
          <w:bCs/>
          <w:sz w:val="20"/>
          <w:szCs w:val="20"/>
          <w:lang w:val="es-CR"/>
        </w:rPr>
      </w:pPr>
    </w:p>
    <w:p w14:paraId="18CC434B" w14:textId="77777777" w:rsidR="00747197" w:rsidRPr="00063268" w:rsidRDefault="00747197" w:rsidP="00747197">
      <w:pPr>
        <w:pStyle w:val="Prrafodelista"/>
        <w:spacing w:before="120" w:after="120" w:line="240" w:lineRule="auto"/>
        <w:ind w:right="4"/>
        <w:contextualSpacing w:val="0"/>
        <w:jc w:val="both"/>
        <w:rPr>
          <w:rFonts w:ascii="Verdana" w:hAnsi="Verdana"/>
          <w:bCs/>
          <w:sz w:val="20"/>
          <w:lang w:val="es-CR"/>
        </w:rPr>
      </w:pPr>
      <w:r w:rsidRPr="00747197">
        <w:rPr>
          <w:rFonts w:ascii="Verdana" w:eastAsiaTheme="minorHAnsi" w:hAnsi="Verdana" w:cstheme="minorBidi"/>
          <w:i/>
          <w:sz w:val="20"/>
          <w:szCs w:val="20"/>
          <w:lang w:val="es-ES_tradnl"/>
        </w:rPr>
        <w:t>C.3.</w:t>
      </w:r>
      <w:r w:rsidRPr="001B2C9A">
        <w:rPr>
          <w:rFonts w:ascii="Verdana" w:eastAsiaTheme="minorHAnsi" w:hAnsi="Verdana" w:cstheme="minorBidi"/>
          <w:i/>
          <w:sz w:val="20"/>
          <w:szCs w:val="20"/>
          <w:lang w:val="es-ES_tradnl"/>
        </w:rPr>
        <w:t xml:space="preserve"> </w:t>
      </w:r>
      <w:r w:rsidRPr="00063268">
        <w:rPr>
          <w:rFonts w:ascii="Verdana" w:hAnsi="Verdana"/>
          <w:i/>
          <w:sz w:val="20"/>
          <w:lang w:val="es-ES_tradnl"/>
        </w:rPr>
        <w:t>Consideraciones de la Corte</w:t>
      </w:r>
    </w:p>
    <w:p w14:paraId="6F3E562E" w14:textId="77777777" w:rsidR="00520153" w:rsidRPr="00FA3942" w:rsidRDefault="00520153" w:rsidP="00B233A8">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Cs/>
          <w:sz w:val="20"/>
          <w:szCs w:val="20"/>
          <w:u w:val="single"/>
          <w:lang w:val="es-CR"/>
        </w:rPr>
      </w:pPr>
      <w:r w:rsidRPr="00520153">
        <w:rPr>
          <w:rFonts w:ascii="Verdana" w:hAnsi="Verdana"/>
          <w:sz w:val="20"/>
          <w:szCs w:val="20"/>
          <w:lang w:val="es-CR"/>
        </w:rPr>
        <w:t xml:space="preserve">Considerando que </w:t>
      </w:r>
      <w:r w:rsidR="005813E3">
        <w:rPr>
          <w:rFonts w:ascii="Verdana" w:hAnsi="Verdana"/>
          <w:sz w:val="20"/>
          <w:szCs w:val="20"/>
          <w:lang w:val="es-CR"/>
        </w:rPr>
        <w:t>dicho Decreto</w:t>
      </w:r>
      <w:r w:rsidR="00FB7C53">
        <w:rPr>
          <w:rFonts w:ascii="Verdana" w:hAnsi="Verdana"/>
          <w:sz w:val="20"/>
          <w:szCs w:val="20"/>
          <w:lang w:val="es-CR"/>
        </w:rPr>
        <w:t xml:space="preserve"> No. 11.804</w:t>
      </w:r>
      <w:r w:rsidR="005813E3">
        <w:rPr>
          <w:rFonts w:ascii="Verdana" w:hAnsi="Verdana"/>
          <w:sz w:val="20"/>
          <w:szCs w:val="20"/>
          <w:lang w:val="es-CR"/>
        </w:rPr>
        <w:t xml:space="preserve"> ya no se encuentra vigente dentro del ordenamiento jurídico de Paraguay y que</w:t>
      </w:r>
      <w:r w:rsidR="00CF6C35">
        <w:rPr>
          <w:rFonts w:ascii="Verdana" w:hAnsi="Verdana"/>
          <w:sz w:val="20"/>
          <w:szCs w:val="20"/>
          <w:lang w:val="es-CR"/>
        </w:rPr>
        <w:t>,</w:t>
      </w:r>
      <w:r w:rsidR="005813E3">
        <w:rPr>
          <w:rFonts w:ascii="Verdana" w:hAnsi="Verdana"/>
          <w:sz w:val="20"/>
          <w:szCs w:val="20"/>
          <w:lang w:val="es-CR"/>
        </w:rPr>
        <w:t xml:space="preserve"> por ende</w:t>
      </w:r>
      <w:r w:rsidR="00CF6C35">
        <w:rPr>
          <w:rFonts w:ascii="Verdana" w:hAnsi="Verdana"/>
          <w:sz w:val="20"/>
          <w:szCs w:val="20"/>
          <w:lang w:val="es-CR"/>
        </w:rPr>
        <w:t>,</w:t>
      </w:r>
      <w:r w:rsidR="005813E3">
        <w:rPr>
          <w:rFonts w:ascii="Verdana" w:hAnsi="Verdana"/>
          <w:sz w:val="20"/>
          <w:szCs w:val="20"/>
          <w:lang w:val="es-CR"/>
        </w:rPr>
        <w:t xml:space="preserve"> ya no representa un obstáculo para la devolución de las tierras a la Comunidad</w:t>
      </w:r>
      <w:r w:rsidR="00CF6C35">
        <w:rPr>
          <w:rFonts w:ascii="Verdana" w:hAnsi="Verdana"/>
          <w:sz w:val="20"/>
          <w:szCs w:val="20"/>
          <w:lang w:val="es-CR"/>
        </w:rPr>
        <w:t xml:space="preserve"> Xákmok Kásek</w:t>
      </w:r>
      <w:r>
        <w:rPr>
          <w:rFonts w:ascii="Verdana" w:hAnsi="Verdana"/>
          <w:sz w:val="20"/>
          <w:szCs w:val="20"/>
          <w:lang w:val="es-CR"/>
        </w:rPr>
        <w:t xml:space="preserve">, la Corte </w:t>
      </w:r>
      <w:r w:rsidR="00FA3942" w:rsidRPr="001B2C9A">
        <w:rPr>
          <w:rFonts w:ascii="Verdana" w:hAnsi="Verdana"/>
          <w:sz w:val="20"/>
          <w:szCs w:val="20"/>
          <w:lang w:val="es-CR"/>
        </w:rPr>
        <w:t>declara concluida</w:t>
      </w:r>
      <w:r w:rsidR="00FA3942">
        <w:rPr>
          <w:rFonts w:ascii="Verdana" w:hAnsi="Verdana"/>
          <w:sz w:val="20"/>
          <w:szCs w:val="20"/>
          <w:lang w:val="es-CR"/>
        </w:rPr>
        <w:t xml:space="preserve"> la supervisión de cumplimiento de</w:t>
      </w:r>
      <w:r w:rsidR="00D6507E">
        <w:rPr>
          <w:rFonts w:ascii="Verdana" w:hAnsi="Verdana"/>
          <w:sz w:val="20"/>
          <w:szCs w:val="20"/>
          <w:lang w:val="es-CR"/>
        </w:rPr>
        <w:t xml:space="preserve">l </w:t>
      </w:r>
      <w:r w:rsidR="00FA3942">
        <w:rPr>
          <w:rFonts w:ascii="Verdana" w:hAnsi="Verdana"/>
          <w:sz w:val="20"/>
          <w:szCs w:val="20"/>
          <w:lang w:val="es-CR"/>
        </w:rPr>
        <w:t xml:space="preserve">punto resolutivo </w:t>
      </w:r>
      <w:r w:rsidR="005813E3">
        <w:rPr>
          <w:rFonts w:ascii="Verdana" w:hAnsi="Verdana"/>
          <w:sz w:val="20"/>
          <w:szCs w:val="20"/>
          <w:lang w:val="es-CR"/>
        </w:rPr>
        <w:t>vigésimo sexto</w:t>
      </w:r>
      <w:r w:rsidR="00D6507E">
        <w:rPr>
          <w:rFonts w:ascii="Verdana" w:hAnsi="Verdana"/>
          <w:sz w:val="20"/>
          <w:szCs w:val="20"/>
          <w:lang w:val="es-CR"/>
        </w:rPr>
        <w:t xml:space="preserve"> </w:t>
      </w:r>
      <w:r w:rsidR="00FA3942">
        <w:rPr>
          <w:rFonts w:ascii="Verdana" w:hAnsi="Verdana"/>
          <w:sz w:val="20"/>
          <w:szCs w:val="20"/>
          <w:lang w:val="es-CR"/>
        </w:rPr>
        <w:t xml:space="preserve">de la Sentencia. </w:t>
      </w:r>
    </w:p>
    <w:p w14:paraId="457D1CEB" w14:textId="77777777" w:rsidR="003C6B95" w:rsidRPr="00A2292F" w:rsidRDefault="003C6B95" w:rsidP="007C6CFF">
      <w:pPr>
        <w:pStyle w:val="Prrafodelista"/>
        <w:spacing w:before="120" w:after="120" w:line="240" w:lineRule="auto"/>
        <w:ind w:left="708" w:right="6"/>
        <w:contextualSpacing w:val="0"/>
        <w:jc w:val="both"/>
        <w:rPr>
          <w:rFonts w:ascii="Verdana" w:hAnsi="Verdana"/>
          <w:bCs/>
          <w:sz w:val="16"/>
          <w:szCs w:val="16"/>
          <w:highlight w:val="yellow"/>
          <w:lang w:val="es-CR"/>
        </w:rPr>
      </w:pPr>
    </w:p>
    <w:p w14:paraId="6BCB4719" w14:textId="77777777" w:rsidR="003C6B95" w:rsidRPr="0036345B" w:rsidRDefault="0036345B" w:rsidP="007C6CFF">
      <w:pPr>
        <w:pStyle w:val="Prrafodelista"/>
        <w:numPr>
          <w:ilvl w:val="0"/>
          <w:numId w:val="24"/>
        </w:numPr>
        <w:tabs>
          <w:tab w:val="left" w:pos="567"/>
        </w:tabs>
        <w:spacing w:before="120" w:after="120" w:line="240" w:lineRule="auto"/>
        <w:ind w:right="6"/>
        <w:contextualSpacing w:val="0"/>
        <w:jc w:val="both"/>
        <w:outlineLvl w:val="0"/>
        <w:rPr>
          <w:rFonts w:ascii="Verdana" w:eastAsiaTheme="minorHAnsi" w:hAnsi="Verdana" w:cstheme="minorBidi"/>
          <w:b/>
          <w:i/>
          <w:sz w:val="20"/>
          <w:szCs w:val="20"/>
          <w:lang w:val="es-ES_tradnl"/>
        </w:rPr>
      </w:pPr>
      <w:bookmarkStart w:id="25" w:name="_Toc12032445"/>
      <w:r w:rsidRPr="0036345B">
        <w:rPr>
          <w:rFonts w:ascii="Verdana" w:hAnsi="Verdana"/>
          <w:b/>
          <w:i/>
          <w:sz w:val="20"/>
          <w:szCs w:val="20"/>
          <w:lang w:val="es-CR"/>
        </w:rPr>
        <w:t>Realizar un programa de registro y documentación</w:t>
      </w:r>
      <w:r w:rsidR="00FE560F">
        <w:rPr>
          <w:rFonts w:ascii="Verdana" w:hAnsi="Verdana"/>
          <w:b/>
          <w:i/>
          <w:sz w:val="20"/>
          <w:szCs w:val="20"/>
          <w:lang w:val="es-CR"/>
        </w:rPr>
        <w:t xml:space="preserve"> de identidad</w:t>
      </w:r>
      <w:bookmarkEnd w:id="25"/>
    </w:p>
    <w:p w14:paraId="70738137" w14:textId="77777777" w:rsidR="0036345B" w:rsidRDefault="003C6B95" w:rsidP="00637E05">
      <w:pPr>
        <w:pStyle w:val="Prrafodelista"/>
        <w:tabs>
          <w:tab w:val="left" w:pos="567"/>
        </w:tabs>
        <w:spacing w:before="120" w:after="120" w:line="240" w:lineRule="auto"/>
        <w:ind w:right="6"/>
        <w:contextualSpacing w:val="0"/>
        <w:jc w:val="both"/>
        <w:outlineLvl w:val="0"/>
        <w:rPr>
          <w:rFonts w:ascii="Verdana" w:hAnsi="Verdana"/>
          <w:i/>
          <w:sz w:val="20"/>
          <w:lang w:val="es-ES_tradnl"/>
        </w:rPr>
      </w:pPr>
      <w:bookmarkStart w:id="26" w:name="_Toc11143863"/>
      <w:bookmarkStart w:id="27" w:name="_Toc12032446"/>
      <w:bookmarkStart w:id="28" w:name="_Toc5184320"/>
      <w:bookmarkStart w:id="29" w:name="_Toc7102468"/>
      <w:bookmarkStart w:id="30" w:name="_Toc7715871"/>
      <w:r w:rsidRPr="00A258A9">
        <w:rPr>
          <w:rFonts w:ascii="Verdana" w:eastAsiaTheme="minorHAnsi" w:hAnsi="Verdana" w:cstheme="minorBidi"/>
          <w:i/>
          <w:sz w:val="20"/>
          <w:szCs w:val="20"/>
          <w:lang w:val="es-ES_tradnl"/>
        </w:rPr>
        <w:t>D.1.</w:t>
      </w:r>
      <w:r w:rsidRPr="001B2C9A">
        <w:rPr>
          <w:rFonts w:ascii="Verdana" w:eastAsiaTheme="minorHAnsi" w:hAnsi="Verdana" w:cstheme="minorBidi"/>
          <w:i/>
          <w:sz w:val="20"/>
          <w:szCs w:val="20"/>
          <w:lang w:val="es-ES_tradnl"/>
        </w:rPr>
        <w:t xml:space="preserve"> </w:t>
      </w:r>
      <w:r w:rsidRPr="00A258A9">
        <w:rPr>
          <w:rFonts w:ascii="Verdana" w:hAnsi="Verdana"/>
          <w:i/>
          <w:sz w:val="20"/>
          <w:lang w:val="es-ES_tradnl"/>
        </w:rPr>
        <w:t>Medida ordenada por la Corte</w:t>
      </w:r>
      <w:bookmarkEnd w:id="26"/>
      <w:bookmarkEnd w:id="27"/>
      <w:r w:rsidRPr="00A258A9">
        <w:rPr>
          <w:rFonts w:ascii="Verdana" w:hAnsi="Verdana"/>
          <w:i/>
          <w:sz w:val="20"/>
          <w:lang w:val="es-ES_tradnl"/>
        </w:rPr>
        <w:t xml:space="preserve"> </w:t>
      </w:r>
      <w:bookmarkEnd w:id="28"/>
      <w:bookmarkEnd w:id="29"/>
      <w:bookmarkEnd w:id="30"/>
    </w:p>
    <w:p w14:paraId="1A3113FE" w14:textId="77777777" w:rsidR="00C21814" w:rsidRPr="000511E8" w:rsidRDefault="0036345B" w:rsidP="00B233A8">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i/>
          <w:sz w:val="20"/>
          <w:lang w:val="es-ES_tradnl"/>
        </w:rPr>
      </w:pPr>
      <w:bookmarkStart w:id="31" w:name="_Toc7102469"/>
      <w:bookmarkStart w:id="32" w:name="_Toc7715872"/>
      <w:r w:rsidRPr="006D6BD7">
        <w:rPr>
          <w:rFonts w:ascii="Verdana" w:hAnsi="Verdana" w:cs="Calibri"/>
          <w:sz w:val="20"/>
          <w:szCs w:val="20"/>
          <w:lang w:val="es-CR"/>
        </w:rPr>
        <w:t xml:space="preserve">En el punto resolutivo vigésimo cuarto y en el párrafo 308 de la Sentencia, la Corte </w:t>
      </w:r>
      <w:r w:rsidR="00925046">
        <w:rPr>
          <w:rFonts w:ascii="Verdana" w:hAnsi="Verdana" w:cs="Calibri"/>
          <w:sz w:val="20"/>
          <w:szCs w:val="20"/>
          <w:lang w:val="es-CR"/>
        </w:rPr>
        <w:t>dispuso que</w:t>
      </w:r>
      <w:r w:rsidRPr="006D6BD7">
        <w:rPr>
          <w:rFonts w:ascii="Verdana" w:hAnsi="Verdana" w:cs="Calibri"/>
          <w:sz w:val="20"/>
          <w:szCs w:val="20"/>
          <w:lang w:val="es-CR"/>
        </w:rPr>
        <w:t xml:space="preserve"> “</w:t>
      </w:r>
      <w:r w:rsidR="00925046">
        <w:rPr>
          <w:rFonts w:ascii="Verdana" w:hAnsi="Verdana" w:cs="Calibri"/>
          <w:sz w:val="20"/>
          <w:szCs w:val="20"/>
          <w:lang w:val="es-CR"/>
        </w:rPr>
        <w:t xml:space="preserve">el Estado debe </w:t>
      </w:r>
      <w:r w:rsidRPr="006D6BD7">
        <w:rPr>
          <w:rFonts w:ascii="Verdana" w:hAnsi="Verdana" w:cs="Calibri"/>
          <w:sz w:val="20"/>
          <w:szCs w:val="20"/>
          <w:lang w:val="es-CR"/>
        </w:rPr>
        <w:t>realizar, en el plazo máximo de un año contado a partir de la notificación de la […] Sentencia, un progr</w:t>
      </w:r>
      <w:r w:rsidR="00925046">
        <w:rPr>
          <w:rFonts w:ascii="Verdana" w:hAnsi="Verdana" w:cs="Calibri"/>
          <w:sz w:val="20"/>
          <w:szCs w:val="20"/>
          <w:lang w:val="es-CR"/>
        </w:rPr>
        <w:t xml:space="preserve">ama de registro y documentación, de tal forma que </w:t>
      </w:r>
      <w:r w:rsidRPr="006D6BD7">
        <w:rPr>
          <w:rFonts w:ascii="Verdana" w:hAnsi="Verdana" w:cs="Calibri"/>
          <w:sz w:val="20"/>
          <w:szCs w:val="20"/>
          <w:lang w:val="es-CR"/>
        </w:rPr>
        <w:t>los miembros de la Comunidad puedan registrarse y obtener sus documentos de identificación”.</w:t>
      </w:r>
      <w:bookmarkEnd w:id="31"/>
      <w:bookmarkEnd w:id="32"/>
      <w:r w:rsidRPr="006D6BD7">
        <w:rPr>
          <w:rFonts w:ascii="Verdana" w:hAnsi="Verdana" w:cs="Calibri"/>
          <w:sz w:val="20"/>
          <w:szCs w:val="20"/>
          <w:lang w:val="es-CR"/>
        </w:rPr>
        <w:t xml:space="preserve"> </w:t>
      </w:r>
    </w:p>
    <w:p w14:paraId="67D8B83C" w14:textId="77777777" w:rsidR="000511E8" w:rsidRPr="00C21814" w:rsidRDefault="000511E8" w:rsidP="000511E8">
      <w:pPr>
        <w:pStyle w:val="Prrafodelista"/>
        <w:autoSpaceDE w:val="0"/>
        <w:autoSpaceDN w:val="0"/>
        <w:adjustRightInd w:val="0"/>
        <w:spacing w:before="120" w:after="120" w:line="240" w:lineRule="auto"/>
        <w:ind w:left="0"/>
        <w:contextualSpacing w:val="0"/>
        <w:jc w:val="both"/>
        <w:rPr>
          <w:rFonts w:ascii="Verdana" w:hAnsi="Verdana"/>
          <w:i/>
          <w:sz w:val="20"/>
          <w:lang w:val="es-ES_tradnl"/>
        </w:rPr>
      </w:pPr>
    </w:p>
    <w:p w14:paraId="0020C226" w14:textId="77777777" w:rsidR="00C21814" w:rsidRDefault="00C21814" w:rsidP="00637E05">
      <w:pPr>
        <w:pStyle w:val="Prrafodelista"/>
        <w:tabs>
          <w:tab w:val="left" w:pos="0"/>
          <w:tab w:val="left" w:pos="567"/>
        </w:tabs>
        <w:spacing w:before="120" w:after="120" w:line="240" w:lineRule="auto"/>
        <w:ind w:left="0" w:right="6"/>
        <w:contextualSpacing w:val="0"/>
        <w:jc w:val="both"/>
        <w:outlineLvl w:val="0"/>
        <w:rPr>
          <w:rFonts w:ascii="Verdana" w:hAnsi="Verdana" w:cs="Calibri"/>
          <w:sz w:val="20"/>
          <w:szCs w:val="20"/>
          <w:lang w:val="es-CR"/>
        </w:rPr>
      </w:pPr>
      <w:r>
        <w:rPr>
          <w:rFonts w:ascii="Verdana" w:eastAsiaTheme="minorHAnsi" w:hAnsi="Verdana" w:cstheme="minorBidi"/>
          <w:i/>
          <w:sz w:val="20"/>
          <w:szCs w:val="20"/>
          <w:lang w:val="es-CR"/>
        </w:rPr>
        <w:tab/>
      </w:r>
      <w:bookmarkStart w:id="33" w:name="_Toc7102470"/>
      <w:bookmarkStart w:id="34" w:name="_Toc7715873"/>
      <w:bookmarkStart w:id="35" w:name="_Toc11143864"/>
      <w:bookmarkStart w:id="36" w:name="_Toc12032447"/>
      <w:r>
        <w:rPr>
          <w:rFonts w:ascii="Verdana" w:eastAsiaTheme="minorHAnsi" w:hAnsi="Verdana" w:cstheme="minorBidi"/>
          <w:i/>
          <w:sz w:val="20"/>
          <w:szCs w:val="20"/>
          <w:lang w:val="es-CR"/>
        </w:rPr>
        <w:t>D.2. Consideraciones de la Corte</w:t>
      </w:r>
      <w:bookmarkEnd w:id="33"/>
      <w:bookmarkEnd w:id="34"/>
      <w:bookmarkEnd w:id="35"/>
      <w:bookmarkEnd w:id="36"/>
    </w:p>
    <w:p w14:paraId="03C4D1F2" w14:textId="77777777" w:rsidR="00FE560F" w:rsidRPr="007F302B" w:rsidRDefault="00FE560F" w:rsidP="00FE560F">
      <w:pPr>
        <w:pStyle w:val="Prrafodelista"/>
        <w:numPr>
          <w:ilvl w:val="0"/>
          <w:numId w:val="5"/>
        </w:numPr>
        <w:tabs>
          <w:tab w:val="left" w:pos="567"/>
        </w:tabs>
        <w:spacing w:before="120" w:after="120" w:line="240" w:lineRule="auto"/>
        <w:ind w:left="0" w:right="6" w:firstLine="0"/>
        <w:contextualSpacing w:val="0"/>
        <w:jc w:val="both"/>
        <w:outlineLvl w:val="0"/>
        <w:rPr>
          <w:rFonts w:ascii="Verdana" w:hAnsi="Verdana" w:cs="Calibri"/>
          <w:sz w:val="20"/>
          <w:szCs w:val="20"/>
          <w:lang w:val="es-CR"/>
        </w:rPr>
      </w:pPr>
      <w:bookmarkStart w:id="37" w:name="_Toc11072247"/>
      <w:bookmarkStart w:id="38" w:name="_Toc11143865"/>
      <w:bookmarkStart w:id="39" w:name="_Toc12032448"/>
      <w:r w:rsidRPr="00C51B75">
        <w:rPr>
          <w:rFonts w:ascii="Verdana" w:hAnsi="Verdana" w:cs="Calibri"/>
          <w:sz w:val="20"/>
          <w:szCs w:val="20"/>
          <w:lang w:val="es-CR"/>
        </w:rPr>
        <w:t>De acuerdo con</w:t>
      </w:r>
      <w:r>
        <w:rPr>
          <w:rFonts w:ascii="Verdana" w:hAnsi="Verdana" w:cs="Calibri"/>
          <w:sz w:val="20"/>
          <w:szCs w:val="20"/>
          <w:lang w:val="es-CR"/>
        </w:rPr>
        <w:t xml:space="preserve"> informado por el Estado y no controvertido por los representantes, este Tribunal constata que en marzo y noviembre de 2017, Paraguay, “a través de varias instituciones [estatales,] r</w:t>
      </w:r>
      <w:r w:rsidRPr="00C51B75">
        <w:rPr>
          <w:rFonts w:ascii="Verdana" w:hAnsi="Verdana" w:cs="Calibri"/>
          <w:sz w:val="20"/>
          <w:szCs w:val="20"/>
          <w:lang w:val="es-CR"/>
        </w:rPr>
        <w:t xml:space="preserve">ealizó […] jornadas de documentación a favor de los integrantes de [la] comunidad, prestándose además servicios comunitarios con el programa </w:t>
      </w:r>
      <w:r w:rsidRPr="00C51B75">
        <w:rPr>
          <w:rFonts w:ascii="Verdana" w:hAnsi="Verdana" w:cs="Calibri"/>
          <w:i/>
          <w:sz w:val="20"/>
          <w:szCs w:val="20"/>
          <w:lang w:val="es-CR"/>
        </w:rPr>
        <w:t>‘seamos ciudadanos, construyendo convivencia’</w:t>
      </w:r>
      <w:r w:rsidRPr="00C51B75">
        <w:rPr>
          <w:rFonts w:ascii="Verdana" w:hAnsi="Verdana" w:cs="Calibri"/>
          <w:sz w:val="20"/>
          <w:szCs w:val="20"/>
          <w:lang w:val="es-CR"/>
        </w:rPr>
        <w:t>, como por ej</w:t>
      </w:r>
      <w:r>
        <w:rPr>
          <w:rFonts w:ascii="Verdana" w:hAnsi="Verdana" w:cs="Calibri"/>
          <w:sz w:val="20"/>
          <w:szCs w:val="20"/>
          <w:lang w:val="es-CR"/>
        </w:rPr>
        <w:t>[emplo]</w:t>
      </w:r>
      <w:r w:rsidRPr="00C51B75">
        <w:rPr>
          <w:rFonts w:ascii="Verdana" w:hAnsi="Verdana" w:cs="Calibri"/>
          <w:sz w:val="20"/>
          <w:szCs w:val="20"/>
          <w:lang w:val="es-CR"/>
        </w:rPr>
        <w:t>: registros de nacimientos, expedición de cédulas de identidad, servicios de peluquería, entre otros”.</w:t>
      </w:r>
      <w:bookmarkEnd w:id="37"/>
      <w:bookmarkEnd w:id="38"/>
      <w:bookmarkEnd w:id="39"/>
      <w:r w:rsidRPr="00C51B75">
        <w:rPr>
          <w:rFonts w:ascii="Verdana" w:hAnsi="Verdana" w:cs="Calibri"/>
          <w:sz w:val="20"/>
          <w:szCs w:val="20"/>
          <w:lang w:val="es-CR"/>
        </w:rPr>
        <w:t xml:space="preserve"> </w:t>
      </w:r>
    </w:p>
    <w:p w14:paraId="30B6F5DA" w14:textId="77777777" w:rsidR="00FE560F" w:rsidRPr="007F302B" w:rsidRDefault="00FE560F" w:rsidP="00FE560F">
      <w:pPr>
        <w:pStyle w:val="Prrafodelista"/>
        <w:numPr>
          <w:ilvl w:val="0"/>
          <w:numId w:val="5"/>
        </w:numPr>
        <w:tabs>
          <w:tab w:val="left" w:pos="567"/>
        </w:tabs>
        <w:spacing w:before="120" w:after="120" w:line="240" w:lineRule="auto"/>
        <w:ind w:left="0" w:right="6" w:firstLine="0"/>
        <w:contextualSpacing w:val="0"/>
        <w:jc w:val="both"/>
        <w:outlineLvl w:val="0"/>
        <w:rPr>
          <w:rFonts w:ascii="Verdana" w:hAnsi="Verdana" w:cs="Calibri"/>
          <w:sz w:val="20"/>
          <w:szCs w:val="20"/>
          <w:lang w:val="es-CR"/>
        </w:rPr>
      </w:pPr>
      <w:bookmarkStart w:id="40" w:name="_Toc11072248"/>
      <w:bookmarkStart w:id="41" w:name="_Toc11143866"/>
      <w:bookmarkStart w:id="42" w:name="_Toc12032449"/>
      <w:r w:rsidRPr="007F302B">
        <w:rPr>
          <w:rFonts w:ascii="Verdana" w:hAnsi="Verdana" w:cs="Calibri"/>
          <w:sz w:val="20"/>
          <w:szCs w:val="20"/>
          <w:lang w:val="es-CR"/>
        </w:rPr>
        <w:t xml:space="preserve">Adicionalmente, se constata que en noviembre de 2017 el Ministerio del Interior emitió </w:t>
      </w:r>
      <w:r>
        <w:rPr>
          <w:rFonts w:ascii="Verdana" w:hAnsi="Verdana" w:cs="Calibri"/>
          <w:sz w:val="20"/>
          <w:szCs w:val="20"/>
          <w:lang w:val="es-CR"/>
        </w:rPr>
        <w:t>la</w:t>
      </w:r>
      <w:r w:rsidRPr="007F302B">
        <w:rPr>
          <w:rFonts w:ascii="Verdana" w:hAnsi="Verdana" w:cs="Calibri"/>
          <w:sz w:val="20"/>
          <w:szCs w:val="20"/>
          <w:lang w:val="es-CR"/>
        </w:rPr>
        <w:t xml:space="preserve"> </w:t>
      </w:r>
      <w:r>
        <w:rPr>
          <w:rFonts w:ascii="Verdana" w:hAnsi="Verdana" w:cs="Calibri"/>
          <w:sz w:val="20"/>
          <w:szCs w:val="20"/>
          <w:lang w:val="es-CR"/>
        </w:rPr>
        <w:t>R</w:t>
      </w:r>
      <w:r w:rsidRPr="007F302B">
        <w:rPr>
          <w:rFonts w:ascii="Verdana" w:hAnsi="Verdana" w:cs="Calibri"/>
          <w:sz w:val="20"/>
          <w:szCs w:val="20"/>
          <w:lang w:val="es-CR"/>
        </w:rPr>
        <w:t>esolución</w:t>
      </w:r>
      <w:r>
        <w:rPr>
          <w:rFonts w:ascii="Verdana" w:hAnsi="Verdana" w:cs="Calibri"/>
          <w:sz w:val="20"/>
          <w:szCs w:val="20"/>
          <w:lang w:val="es-CR"/>
        </w:rPr>
        <w:t xml:space="preserve"> No. 560</w:t>
      </w:r>
      <w:r w:rsidRPr="007F302B">
        <w:rPr>
          <w:rFonts w:ascii="Verdana" w:hAnsi="Verdana" w:cs="Calibri"/>
          <w:sz w:val="20"/>
          <w:szCs w:val="20"/>
          <w:lang w:val="es-CR"/>
        </w:rPr>
        <w:t xml:space="preserve">, en la cual, considerando las Sentencias emitidas por la Corte Interamericana en los tres casos de comunidades indígenas contra Paraguay, resolvió “[e]stablecer la realización de </w:t>
      </w:r>
      <w:r>
        <w:rPr>
          <w:rFonts w:ascii="Verdana" w:hAnsi="Verdana" w:cs="Calibri"/>
          <w:sz w:val="20"/>
          <w:szCs w:val="20"/>
          <w:lang w:val="es-CR"/>
        </w:rPr>
        <w:t>campañas</w:t>
      </w:r>
      <w:r w:rsidRPr="007F302B">
        <w:rPr>
          <w:rFonts w:ascii="Verdana" w:hAnsi="Verdana" w:cs="Calibri"/>
          <w:sz w:val="20"/>
          <w:szCs w:val="20"/>
          <w:lang w:val="es-CR"/>
        </w:rPr>
        <w:t xml:space="preserve"> de documentación</w:t>
      </w:r>
      <w:r>
        <w:rPr>
          <w:rFonts w:ascii="Verdana" w:hAnsi="Verdana" w:cs="Calibri"/>
          <w:sz w:val="20"/>
          <w:szCs w:val="20"/>
          <w:lang w:val="es-CR"/>
        </w:rPr>
        <w:t>”</w:t>
      </w:r>
      <w:r>
        <w:rPr>
          <w:rStyle w:val="Refdenotaalpie"/>
          <w:rFonts w:ascii="Verdana" w:hAnsi="Verdana" w:cs="Calibri"/>
          <w:sz w:val="20"/>
          <w:szCs w:val="20"/>
        </w:rPr>
        <w:footnoteReference w:id="54"/>
      </w:r>
      <w:r w:rsidRPr="007F302B">
        <w:rPr>
          <w:rFonts w:ascii="Verdana" w:hAnsi="Verdana" w:cs="Calibri"/>
          <w:sz w:val="20"/>
          <w:szCs w:val="20"/>
          <w:lang w:val="es-CR"/>
        </w:rPr>
        <w:t xml:space="preserve">. El Estado </w:t>
      </w:r>
      <w:r>
        <w:rPr>
          <w:rFonts w:ascii="Verdana" w:hAnsi="Verdana" w:cs="Calibri"/>
          <w:sz w:val="20"/>
          <w:szCs w:val="20"/>
          <w:lang w:val="es-CR"/>
        </w:rPr>
        <w:t>manifestó</w:t>
      </w:r>
      <w:r w:rsidRPr="007F302B">
        <w:rPr>
          <w:rFonts w:ascii="Verdana" w:hAnsi="Verdana" w:cs="Calibri"/>
          <w:sz w:val="20"/>
          <w:szCs w:val="20"/>
          <w:lang w:val="es-CR"/>
        </w:rPr>
        <w:t xml:space="preserve"> que dichas </w:t>
      </w:r>
      <w:r>
        <w:rPr>
          <w:rFonts w:ascii="Verdana" w:hAnsi="Verdana" w:cs="Calibri"/>
          <w:sz w:val="20"/>
          <w:szCs w:val="20"/>
          <w:lang w:val="es-CR"/>
        </w:rPr>
        <w:t>“</w:t>
      </w:r>
      <w:r w:rsidRPr="007F302B">
        <w:rPr>
          <w:rFonts w:ascii="Verdana" w:hAnsi="Verdana" w:cs="Calibri"/>
          <w:sz w:val="20"/>
          <w:szCs w:val="20"/>
          <w:lang w:val="es-CR"/>
        </w:rPr>
        <w:t>campañas de documentación</w:t>
      </w:r>
      <w:r>
        <w:rPr>
          <w:rFonts w:ascii="Verdana" w:hAnsi="Verdana" w:cs="Calibri"/>
          <w:sz w:val="20"/>
          <w:szCs w:val="20"/>
          <w:lang w:val="es-CR"/>
        </w:rPr>
        <w:t>”</w:t>
      </w:r>
      <w:r w:rsidRPr="007F302B">
        <w:rPr>
          <w:rFonts w:ascii="Verdana" w:hAnsi="Verdana" w:cs="Calibri"/>
          <w:sz w:val="20"/>
          <w:szCs w:val="20"/>
          <w:lang w:val="es-CR"/>
        </w:rPr>
        <w:t xml:space="preserve"> se realizarán </w:t>
      </w:r>
      <w:r>
        <w:rPr>
          <w:rFonts w:ascii="Verdana" w:hAnsi="Verdana" w:cs="Calibri"/>
          <w:sz w:val="20"/>
          <w:szCs w:val="20"/>
          <w:lang w:val="es-CR"/>
        </w:rPr>
        <w:t xml:space="preserve">en las tres comunidades indígenas </w:t>
      </w:r>
      <w:r w:rsidRPr="007F302B">
        <w:rPr>
          <w:rFonts w:ascii="Verdana" w:hAnsi="Verdana" w:cs="Calibri"/>
          <w:sz w:val="20"/>
          <w:szCs w:val="20"/>
          <w:lang w:val="es-CR"/>
        </w:rPr>
        <w:t xml:space="preserve">“de manera periódica, dos veces al año”. Los </w:t>
      </w:r>
      <w:r w:rsidRPr="00FE560F">
        <w:rPr>
          <w:rFonts w:ascii="Verdana" w:hAnsi="Verdana" w:cs="Calibri"/>
          <w:i/>
          <w:sz w:val="20"/>
          <w:szCs w:val="20"/>
          <w:lang w:val="es-CR"/>
        </w:rPr>
        <w:t>representantes</w:t>
      </w:r>
      <w:r w:rsidRPr="007F302B">
        <w:rPr>
          <w:rFonts w:ascii="Verdana" w:hAnsi="Verdana" w:cs="Calibri"/>
          <w:sz w:val="20"/>
          <w:szCs w:val="20"/>
          <w:lang w:val="es-CR"/>
        </w:rPr>
        <w:t xml:space="preserve"> observaron que “[s]i bien la mayor parte de la comunidad se encuentra documentada, aún el Estado no ha podido señalar el programa específico que echaría a andar de forma a lograr facilidades para una documentación continua y no solo en determinados momentos del año”.</w:t>
      </w:r>
      <w:bookmarkEnd w:id="40"/>
      <w:bookmarkEnd w:id="41"/>
      <w:bookmarkEnd w:id="42"/>
      <w:r w:rsidRPr="007F302B">
        <w:rPr>
          <w:rFonts w:ascii="Verdana" w:hAnsi="Verdana" w:cs="Calibri"/>
          <w:sz w:val="20"/>
          <w:szCs w:val="20"/>
          <w:lang w:val="es-CR"/>
        </w:rPr>
        <w:t xml:space="preserve"> </w:t>
      </w:r>
    </w:p>
    <w:p w14:paraId="7602723C" w14:textId="77777777" w:rsidR="00FE560F" w:rsidRDefault="00FE560F" w:rsidP="00FE560F">
      <w:pPr>
        <w:pStyle w:val="Prrafodelista"/>
        <w:numPr>
          <w:ilvl w:val="0"/>
          <w:numId w:val="5"/>
        </w:numPr>
        <w:tabs>
          <w:tab w:val="left" w:pos="567"/>
        </w:tabs>
        <w:spacing w:before="120" w:after="120" w:line="240" w:lineRule="auto"/>
        <w:ind w:left="0" w:right="6" w:firstLine="0"/>
        <w:contextualSpacing w:val="0"/>
        <w:jc w:val="both"/>
        <w:outlineLvl w:val="0"/>
        <w:rPr>
          <w:rFonts w:ascii="Verdana" w:hAnsi="Verdana" w:cs="Calibri"/>
          <w:sz w:val="20"/>
          <w:szCs w:val="20"/>
          <w:lang w:val="es-CR"/>
        </w:rPr>
      </w:pPr>
      <w:bookmarkStart w:id="43" w:name="_Toc11072249"/>
      <w:bookmarkStart w:id="44" w:name="_Toc11143867"/>
      <w:bookmarkStart w:id="45" w:name="_Toc12032450"/>
      <w:r w:rsidRPr="007F302B">
        <w:rPr>
          <w:rFonts w:ascii="Verdana" w:hAnsi="Verdana" w:cs="Calibri"/>
          <w:sz w:val="20"/>
          <w:szCs w:val="20"/>
          <w:lang w:val="es-CR"/>
        </w:rPr>
        <w:t xml:space="preserve">La Corte valora positivamente la resolución emitida por el Ministerio del Interior y considera que </w:t>
      </w:r>
      <w:r>
        <w:rPr>
          <w:rFonts w:ascii="Verdana" w:hAnsi="Verdana" w:cs="Calibri"/>
          <w:sz w:val="20"/>
          <w:szCs w:val="20"/>
          <w:lang w:val="es-CR"/>
        </w:rPr>
        <w:t>é</w:t>
      </w:r>
      <w:r w:rsidRPr="007F302B">
        <w:rPr>
          <w:rFonts w:ascii="Verdana" w:hAnsi="Verdana" w:cs="Calibri"/>
          <w:sz w:val="20"/>
          <w:szCs w:val="20"/>
          <w:lang w:val="es-CR"/>
        </w:rPr>
        <w:t xml:space="preserve">sta implica una obligación estatal de realizar </w:t>
      </w:r>
      <w:r>
        <w:rPr>
          <w:rFonts w:ascii="Verdana" w:hAnsi="Verdana" w:cs="Calibri"/>
          <w:sz w:val="20"/>
          <w:szCs w:val="20"/>
          <w:lang w:val="es-CR"/>
        </w:rPr>
        <w:t>campañas</w:t>
      </w:r>
      <w:r w:rsidRPr="007F302B">
        <w:rPr>
          <w:rFonts w:ascii="Verdana" w:hAnsi="Verdana" w:cs="Calibri"/>
          <w:sz w:val="20"/>
          <w:szCs w:val="20"/>
          <w:lang w:val="es-CR"/>
        </w:rPr>
        <w:t xml:space="preserve"> de documentación </w:t>
      </w:r>
      <w:r>
        <w:rPr>
          <w:rFonts w:ascii="Verdana" w:hAnsi="Verdana" w:cs="Calibri"/>
          <w:sz w:val="20"/>
          <w:szCs w:val="20"/>
          <w:lang w:val="es-CR"/>
        </w:rPr>
        <w:t xml:space="preserve">de identidad </w:t>
      </w:r>
      <w:r w:rsidRPr="007F302B">
        <w:rPr>
          <w:rFonts w:ascii="Verdana" w:hAnsi="Verdana" w:cs="Calibri"/>
          <w:sz w:val="20"/>
          <w:szCs w:val="20"/>
          <w:lang w:val="es-CR"/>
        </w:rPr>
        <w:t xml:space="preserve">no solo en la Comunidad Sawhoyamaxa, sino también en las otras dos comunidades sobre cuyos casos se ha pronunciado este Tribunal. Asimismo, </w:t>
      </w:r>
      <w:r w:rsidR="00AA43EC">
        <w:rPr>
          <w:rFonts w:ascii="Verdana" w:hAnsi="Verdana" w:cs="Calibri"/>
          <w:sz w:val="20"/>
          <w:szCs w:val="20"/>
          <w:lang w:val="es-CR"/>
        </w:rPr>
        <w:t>se</w:t>
      </w:r>
      <w:r w:rsidRPr="007F302B">
        <w:rPr>
          <w:rFonts w:ascii="Verdana" w:hAnsi="Verdana" w:cs="Calibri"/>
          <w:sz w:val="20"/>
          <w:szCs w:val="20"/>
          <w:lang w:val="es-CR"/>
        </w:rPr>
        <w:t xml:space="preserve"> toma nota del compromiso estatal de realizar dichas </w:t>
      </w:r>
      <w:r>
        <w:rPr>
          <w:rFonts w:ascii="Verdana" w:hAnsi="Verdana" w:cs="Calibri"/>
          <w:sz w:val="20"/>
          <w:szCs w:val="20"/>
          <w:lang w:val="es-CR"/>
        </w:rPr>
        <w:t>campañas</w:t>
      </w:r>
      <w:r w:rsidRPr="007F302B">
        <w:rPr>
          <w:rFonts w:ascii="Verdana" w:hAnsi="Verdana" w:cs="Calibri"/>
          <w:sz w:val="20"/>
          <w:szCs w:val="20"/>
          <w:lang w:val="es-CR"/>
        </w:rPr>
        <w:t xml:space="preserve"> dos veces al año. Si bien los representantes consideraron que </w:t>
      </w:r>
      <w:r>
        <w:rPr>
          <w:rFonts w:ascii="Verdana" w:hAnsi="Verdana" w:cs="Calibri"/>
          <w:sz w:val="20"/>
          <w:szCs w:val="20"/>
          <w:lang w:val="es-CR"/>
        </w:rPr>
        <w:t>la documentación</w:t>
      </w:r>
      <w:r w:rsidRPr="007F302B">
        <w:rPr>
          <w:rFonts w:ascii="Verdana" w:hAnsi="Verdana" w:cs="Calibri"/>
          <w:sz w:val="20"/>
          <w:szCs w:val="20"/>
          <w:lang w:val="es-CR"/>
        </w:rPr>
        <w:t xml:space="preserve"> debe ser “continua”, es pertinente recordar que en la Sentencia se indicó, únicamente, que el Estado debía realizar </w:t>
      </w:r>
      <w:r w:rsidRPr="007F302B">
        <w:rPr>
          <w:rFonts w:ascii="Verdana" w:hAnsi="Verdana"/>
          <w:sz w:val="20"/>
          <w:szCs w:val="20"/>
          <w:lang w:val="es-CR"/>
        </w:rPr>
        <w:t>un programa de registro y documentación</w:t>
      </w:r>
      <w:r w:rsidRPr="007F302B">
        <w:rPr>
          <w:rFonts w:ascii="Verdana" w:hAnsi="Verdana" w:cs="Calibri"/>
          <w:sz w:val="20"/>
          <w:szCs w:val="20"/>
          <w:lang w:val="es-CR"/>
        </w:rPr>
        <w:t xml:space="preserve"> para que los miembros de la Comunidad pudieran “registrarse y obtener sus documentos de identificación”</w:t>
      </w:r>
      <w:r>
        <w:rPr>
          <w:rFonts w:ascii="Verdana" w:hAnsi="Verdana" w:cs="Calibri"/>
          <w:sz w:val="20"/>
          <w:szCs w:val="20"/>
          <w:lang w:val="es-CR"/>
        </w:rPr>
        <w:t xml:space="preserve"> (</w:t>
      </w:r>
      <w:r w:rsidRPr="007208C8">
        <w:rPr>
          <w:rFonts w:ascii="Verdana" w:hAnsi="Verdana" w:cs="Calibri"/>
          <w:i/>
          <w:sz w:val="20"/>
          <w:szCs w:val="20"/>
          <w:lang w:val="es-CR"/>
        </w:rPr>
        <w:t>supra</w:t>
      </w:r>
      <w:r>
        <w:rPr>
          <w:rFonts w:ascii="Verdana" w:hAnsi="Verdana" w:cs="Calibri"/>
          <w:sz w:val="20"/>
          <w:szCs w:val="20"/>
          <w:lang w:val="es-CR"/>
        </w:rPr>
        <w:t xml:space="preserve"> Considerando 33)</w:t>
      </w:r>
      <w:r w:rsidRPr="007F302B">
        <w:rPr>
          <w:rFonts w:ascii="Verdana" w:hAnsi="Verdana" w:cs="Calibri"/>
          <w:sz w:val="20"/>
          <w:szCs w:val="20"/>
          <w:lang w:val="es-CR"/>
        </w:rPr>
        <w:t xml:space="preserve">, lo cual ha sido garantizado por el Estado a través de la referida resolución ministerial. </w:t>
      </w:r>
      <w:bookmarkEnd w:id="43"/>
      <w:bookmarkEnd w:id="44"/>
      <w:r w:rsidR="00AA43EC" w:rsidRPr="007132CA">
        <w:rPr>
          <w:rFonts w:ascii="Verdana" w:hAnsi="Verdana" w:cs="Calibri"/>
          <w:sz w:val="20"/>
          <w:szCs w:val="20"/>
          <w:lang w:val="es-CR"/>
        </w:rPr>
        <w:t>En cuanto a lo alegado por los representantes (</w:t>
      </w:r>
      <w:r w:rsidR="00AA43EC" w:rsidRPr="007132CA">
        <w:rPr>
          <w:rFonts w:ascii="Verdana" w:hAnsi="Verdana" w:cs="Calibri"/>
          <w:i/>
          <w:sz w:val="20"/>
          <w:szCs w:val="20"/>
          <w:lang w:val="es-CR"/>
        </w:rPr>
        <w:t>supra</w:t>
      </w:r>
      <w:r w:rsidR="00AA43EC" w:rsidRPr="007132CA">
        <w:rPr>
          <w:rFonts w:ascii="Verdana" w:hAnsi="Verdana" w:cs="Calibri"/>
          <w:sz w:val="20"/>
          <w:szCs w:val="20"/>
          <w:lang w:val="es-CR"/>
        </w:rPr>
        <w:t xml:space="preserve"> Considerando 35), la Corte considera que las acciones realizadas por el Estado son suficientes para declarar el cumplimiento de esta reparación.</w:t>
      </w:r>
      <w:r w:rsidR="00D16B77">
        <w:rPr>
          <w:rFonts w:ascii="Verdana" w:hAnsi="Verdana" w:cs="Calibri"/>
          <w:b/>
          <w:sz w:val="20"/>
          <w:szCs w:val="20"/>
          <w:lang w:val="es-CR"/>
        </w:rPr>
        <w:t xml:space="preserve"> </w:t>
      </w:r>
      <w:bookmarkEnd w:id="45"/>
    </w:p>
    <w:p w14:paraId="56E5711A" w14:textId="77777777" w:rsidR="00C56C31" w:rsidRPr="00B233A8" w:rsidRDefault="00C56C31" w:rsidP="00B233A8">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Cs/>
          <w:sz w:val="20"/>
          <w:szCs w:val="20"/>
          <w:lang w:val="es-ES_tradnl"/>
        </w:rPr>
      </w:pPr>
      <w:r w:rsidRPr="00B233A8">
        <w:rPr>
          <w:rFonts w:ascii="Verdana" w:hAnsi="Verdana" w:cs="Calibri"/>
          <w:sz w:val="20"/>
          <w:szCs w:val="20"/>
          <w:lang w:val="es-CR"/>
        </w:rPr>
        <w:t xml:space="preserve">Con base en lo anterior, este Tribunal considera que el Estado ha dado cumplimiento total a la medida de reparación ordenada en el punto </w:t>
      </w:r>
      <w:r w:rsidRPr="00B233A8">
        <w:rPr>
          <w:rFonts w:ascii="Verdana" w:hAnsi="Verdana"/>
          <w:sz w:val="20"/>
          <w:szCs w:val="20"/>
          <w:lang w:val="es-CR"/>
        </w:rPr>
        <w:t xml:space="preserve">resolutivo </w:t>
      </w:r>
      <w:r w:rsidRPr="00B233A8">
        <w:rPr>
          <w:rFonts w:ascii="Verdana" w:hAnsi="Verdana" w:cs="Calibri"/>
          <w:sz w:val="20"/>
          <w:szCs w:val="20"/>
          <w:lang w:val="es-CR"/>
        </w:rPr>
        <w:t xml:space="preserve">vigésimo cuarto </w:t>
      </w:r>
      <w:r w:rsidRPr="00B233A8">
        <w:rPr>
          <w:rFonts w:ascii="Verdana" w:hAnsi="Verdana"/>
          <w:sz w:val="20"/>
          <w:szCs w:val="20"/>
          <w:lang w:val="es-CR"/>
        </w:rPr>
        <w:t xml:space="preserve">de la Sentencia, relativa a realizar un programa de registro y documentación, de tal forma que los miembros de la Comunidad </w:t>
      </w:r>
      <w:r w:rsidR="00FE560F">
        <w:rPr>
          <w:rFonts w:ascii="Verdana" w:hAnsi="Verdana"/>
          <w:sz w:val="20"/>
          <w:szCs w:val="20"/>
          <w:lang w:val="es-CR"/>
        </w:rPr>
        <w:t xml:space="preserve">indígena Xákmok Kásek </w:t>
      </w:r>
      <w:r w:rsidRPr="00B233A8">
        <w:rPr>
          <w:rFonts w:ascii="Verdana" w:hAnsi="Verdana"/>
          <w:sz w:val="20"/>
          <w:szCs w:val="20"/>
          <w:lang w:val="es-CR"/>
        </w:rPr>
        <w:t xml:space="preserve">puedan registrarse y obtener sus documentos de identificación. </w:t>
      </w:r>
    </w:p>
    <w:p w14:paraId="3B30DA12" w14:textId="77777777" w:rsidR="00707C8A" w:rsidRPr="00707C8A" w:rsidRDefault="00707C8A" w:rsidP="00C56C31">
      <w:pPr>
        <w:pStyle w:val="Prrafodelista"/>
        <w:tabs>
          <w:tab w:val="left" w:pos="0"/>
          <w:tab w:val="left" w:pos="567"/>
        </w:tabs>
        <w:spacing w:before="120" w:after="120" w:line="240" w:lineRule="auto"/>
        <w:ind w:left="0" w:right="6"/>
        <w:contextualSpacing w:val="0"/>
        <w:jc w:val="both"/>
        <w:outlineLvl w:val="0"/>
        <w:rPr>
          <w:rFonts w:ascii="Verdana" w:hAnsi="Verdana"/>
          <w:i/>
          <w:sz w:val="20"/>
          <w:lang w:val="es-ES_tradnl"/>
        </w:rPr>
      </w:pPr>
    </w:p>
    <w:p w14:paraId="5C2AC665" w14:textId="77777777" w:rsidR="00707C8A" w:rsidRPr="007D7D52" w:rsidRDefault="00707C8A" w:rsidP="00C56C31">
      <w:pPr>
        <w:pStyle w:val="Prrafodelista"/>
        <w:numPr>
          <w:ilvl w:val="0"/>
          <w:numId w:val="24"/>
        </w:numPr>
        <w:tabs>
          <w:tab w:val="left" w:pos="0"/>
          <w:tab w:val="left" w:pos="567"/>
        </w:tabs>
        <w:spacing w:before="120" w:after="120" w:line="240" w:lineRule="auto"/>
        <w:ind w:right="6"/>
        <w:contextualSpacing w:val="0"/>
        <w:jc w:val="both"/>
        <w:outlineLvl w:val="0"/>
        <w:rPr>
          <w:rFonts w:ascii="Verdana" w:hAnsi="Verdana"/>
          <w:b/>
          <w:i/>
          <w:sz w:val="20"/>
          <w:lang w:val="es-ES_tradnl"/>
        </w:rPr>
      </w:pPr>
      <w:bookmarkStart w:id="46" w:name="_Toc12032451"/>
      <w:r w:rsidRPr="007D7D52">
        <w:rPr>
          <w:rFonts w:ascii="Verdana" w:hAnsi="Verdana"/>
          <w:b/>
          <w:i/>
          <w:sz w:val="20"/>
          <w:lang w:val="es-ES_tradnl"/>
        </w:rPr>
        <w:t xml:space="preserve">Crear un fondo de desarrollo </w:t>
      </w:r>
      <w:r w:rsidR="00CC3336">
        <w:rPr>
          <w:rFonts w:ascii="Verdana" w:hAnsi="Verdana"/>
          <w:b/>
          <w:i/>
          <w:sz w:val="20"/>
          <w:lang w:val="es-ES_tradnl"/>
        </w:rPr>
        <w:t>comunitario</w:t>
      </w:r>
      <w:bookmarkEnd w:id="46"/>
    </w:p>
    <w:p w14:paraId="7009F312" w14:textId="77777777" w:rsidR="00804898" w:rsidRPr="00804898" w:rsidRDefault="00804898" w:rsidP="00C56C31">
      <w:pPr>
        <w:pStyle w:val="Prrafodelista"/>
        <w:tabs>
          <w:tab w:val="left" w:pos="0"/>
          <w:tab w:val="left" w:pos="567"/>
        </w:tabs>
        <w:spacing w:before="120" w:after="120" w:line="240" w:lineRule="auto"/>
        <w:ind w:right="6"/>
        <w:contextualSpacing w:val="0"/>
        <w:jc w:val="both"/>
        <w:outlineLvl w:val="0"/>
        <w:rPr>
          <w:rFonts w:ascii="Verdana" w:hAnsi="Verdana"/>
          <w:i/>
          <w:sz w:val="20"/>
          <w:lang w:val="es-ES_tradnl"/>
        </w:rPr>
      </w:pPr>
      <w:bookmarkStart w:id="47" w:name="_Toc7102473"/>
      <w:bookmarkStart w:id="48" w:name="_Toc7715876"/>
      <w:bookmarkStart w:id="49" w:name="_Toc11143869"/>
      <w:bookmarkStart w:id="50" w:name="_Toc12032452"/>
      <w:r>
        <w:rPr>
          <w:rFonts w:ascii="Verdana" w:hAnsi="Verdana"/>
          <w:i/>
          <w:sz w:val="20"/>
          <w:lang w:val="es-ES_tradnl"/>
        </w:rPr>
        <w:t>E.1. Medida ordenada por la Corte</w:t>
      </w:r>
      <w:bookmarkEnd w:id="47"/>
      <w:bookmarkEnd w:id="48"/>
      <w:r w:rsidR="007B0982">
        <w:rPr>
          <w:rFonts w:ascii="Verdana" w:hAnsi="Verdana"/>
          <w:i/>
          <w:sz w:val="20"/>
          <w:lang w:val="es-ES_tradnl"/>
        </w:rPr>
        <w:t xml:space="preserve"> </w:t>
      </w:r>
      <w:r w:rsidR="007B0982" w:rsidRPr="00563D4F">
        <w:rPr>
          <w:rFonts w:ascii="Verdana" w:hAnsi="Verdana"/>
          <w:i/>
          <w:sz w:val="20"/>
          <w:lang w:val="es-ES_tradnl"/>
        </w:rPr>
        <w:t xml:space="preserve">y </w:t>
      </w:r>
      <w:r w:rsidR="007B0982">
        <w:rPr>
          <w:rFonts w:ascii="Verdana" w:hAnsi="Verdana"/>
          <w:i/>
          <w:sz w:val="20"/>
          <w:lang w:val="es-ES_tradnl"/>
        </w:rPr>
        <w:t>consideraciones realizadas por la Presidencia del Tribunal</w:t>
      </w:r>
      <w:bookmarkEnd w:id="49"/>
      <w:bookmarkEnd w:id="50"/>
    </w:p>
    <w:p w14:paraId="48BEE656" w14:textId="77777777" w:rsidR="00C56C31" w:rsidRPr="00832D76" w:rsidRDefault="00911B28" w:rsidP="00832D76">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
          <w:sz w:val="20"/>
          <w:lang w:val="es-ES_tradnl"/>
        </w:rPr>
      </w:pPr>
      <w:bookmarkStart w:id="51" w:name="_Toc7715877"/>
      <w:bookmarkStart w:id="52" w:name="_Toc7102474"/>
      <w:r w:rsidRPr="00911B28">
        <w:rPr>
          <w:rFonts w:ascii="Verdana" w:hAnsi="Verdana"/>
          <w:sz w:val="20"/>
          <w:szCs w:val="20"/>
          <w:lang w:val="es-MX"/>
        </w:rPr>
        <w:t xml:space="preserve">En el punto resolutivo </w:t>
      </w:r>
      <w:r w:rsidR="00C56C31">
        <w:rPr>
          <w:rFonts w:ascii="Verdana" w:hAnsi="Verdana"/>
          <w:sz w:val="20"/>
          <w:szCs w:val="20"/>
          <w:lang w:val="es-MX"/>
        </w:rPr>
        <w:t>vigésimo octavo</w:t>
      </w:r>
      <w:r w:rsidRPr="00911B28">
        <w:rPr>
          <w:rFonts w:ascii="Verdana" w:hAnsi="Verdana"/>
          <w:sz w:val="20"/>
          <w:szCs w:val="20"/>
          <w:lang w:val="es-MX"/>
        </w:rPr>
        <w:t xml:space="preserve"> y en los párrafos 323 y 324 de la Sentencia, </w:t>
      </w:r>
      <w:r w:rsidR="00C56C31">
        <w:rPr>
          <w:rFonts w:ascii="Verdana" w:hAnsi="Verdana"/>
          <w:sz w:val="20"/>
          <w:szCs w:val="20"/>
          <w:lang w:val="es-MX"/>
        </w:rPr>
        <w:t>se</w:t>
      </w:r>
      <w:r w:rsidRPr="00911B28">
        <w:rPr>
          <w:rFonts w:ascii="Verdana" w:hAnsi="Verdana"/>
          <w:sz w:val="20"/>
          <w:szCs w:val="20"/>
          <w:lang w:val="es-MX"/>
        </w:rPr>
        <w:t xml:space="preserve"> dispuso</w:t>
      </w:r>
      <w:r w:rsidR="00C56C31">
        <w:rPr>
          <w:rFonts w:ascii="Verdana" w:hAnsi="Verdana"/>
          <w:sz w:val="20"/>
          <w:szCs w:val="20"/>
          <w:lang w:val="es-MX"/>
        </w:rPr>
        <w:t>,</w:t>
      </w:r>
      <w:r w:rsidRPr="00911B28">
        <w:rPr>
          <w:rFonts w:ascii="Verdana" w:hAnsi="Verdana"/>
          <w:sz w:val="20"/>
          <w:szCs w:val="20"/>
          <w:lang w:val="es-MX"/>
        </w:rPr>
        <w:t xml:space="preserve"> </w:t>
      </w:r>
      <w:r w:rsidR="00C56C31">
        <w:rPr>
          <w:rFonts w:ascii="Verdana" w:hAnsi="Verdana"/>
          <w:sz w:val="20"/>
          <w:szCs w:val="20"/>
          <w:lang w:val="es-MX"/>
        </w:rPr>
        <w:t xml:space="preserve">como indemnización del daño inmaterial, </w:t>
      </w:r>
      <w:r w:rsidRPr="00911B28">
        <w:rPr>
          <w:rFonts w:ascii="Verdana" w:hAnsi="Verdana"/>
          <w:sz w:val="20"/>
          <w:szCs w:val="20"/>
          <w:lang w:val="es-MX"/>
        </w:rPr>
        <w:t>que</w:t>
      </w:r>
      <w:r w:rsidRPr="00911B28">
        <w:rPr>
          <w:rFonts w:ascii="Verdana" w:hAnsi="Verdana"/>
          <w:i/>
          <w:sz w:val="20"/>
          <w:szCs w:val="20"/>
          <w:lang w:val="es-MX"/>
        </w:rPr>
        <w:t xml:space="preserve"> </w:t>
      </w:r>
      <w:r w:rsidR="00C56C31">
        <w:rPr>
          <w:rFonts w:ascii="Verdana" w:hAnsi="Verdana"/>
          <w:sz w:val="20"/>
          <w:szCs w:val="20"/>
          <w:lang w:val="es-MX"/>
        </w:rPr>
        <w:t>e</w:t>
      </w:r>
      <w:r w:rsidRPr="00911B28">
        <w:rPr>
          <w:rFonts w:ascii="Verdana" w:hAnsi="Verdana"/>
          <w:sz w:val="20"/>
          <w:szCs w:val="20"/>
          <w:lang w:val="es-MX"/>
        </w:rPr>
        <w:t>l Estado deb</w:t>
      </w:r>
      <w:r w:rsidR="00C56C31">
        <w:rPr>
          <w:rFonts w:ascii="Verdana" w:hAnsi="Verdana"/>
          <w:sz w:val="20"/>
          <w:szCs w:val="20"/>
          <w:lang w:val="es-MX"/>
        </w:rPr>
        <w:t>ía</w:t>
      </w:r>
      <w:r w:rsidRPr="00911B28">
        <w:rPr>
          <w:rFonts w:ascii="Verdana" w:hAnsi="Verdana"/>
          <w:sz w:val="20"/>
          <w:szCs w:val="20"/>
          <w:lang w:val="es-MX"/>
        </w:rPr>
        <w:t xml:space="preserve"> </w:t>
      </w:r>
      <w:r w:rsidR="00C56C31">
        <w:rPr>
          <w:rFonts w:ascii="Verdana" w:hAnsi="Verdana"/>
          <w:sz w:val="20"/>
          <w:szCs w:val="20"/>
          <w:lang w:val="es-MX"/>
        </w:rPr>
        <w:t>“</w:t>
      </w:r>
      <w:r w:rsidRPr="00911B28">
        <w:rPr>
          <w:rFonts w:ascii="Verdana" w:hAnsi="Verdana"/>
          <w:sz w:val="20"/>
          <w:szCs w:val="20"/>
          <w:lang w:val="es-MX"/>
        </w:rPr>
        <w:t>cre</w:t>
      </w:r>
      <w:r w:rsidR="00C56C31">
        <w:rPr>
          <w:rFonts w:ascii="Verdana" w:hAnsi="Verdana"/>
          <w:sz w:val="20"/>
          <w:szCs w:val="20"/>
          <w:lang w:val="es-MX"/>
        </w:rPr>
        <w:t>[</w:t>
      </w:r>
      <w:r w:rsidRPr="00911B28">
        <w:rPr>
          <w:rFonts w:ascii="Verdana" w:hAnsi="Verdana"/>
          <w:sz w:val="20"/>
          <w:szCs w:val="20"/>
          <w:lang w:val="es-MX"/>
        </w:rPr>
        <w:t>ar</w:t>
      </w:r>
      <w:r w:rsidR="00C56C31">
        <w:rPr>
          <w:rFonts w:ascii="Verdana" w:hAnsi="Verdana"/>
          <w:sz w:val="20"/>
          <w:szCs w:val="20"/>
          <w:lang w:val="es-MX"/>
        </w:rPr>
        <w:t>]</w:t>
      </w:r>
      <w:r w:rsidRPr="00911B28">
        <w:rPr>
          <w:rFonts w:ascii="Verdana" w:hAnsi="Verdana"/>
          <w:sz w:val="20"/>
          <w:szCs w:val="20"/>
          <w:lang w:val="es-MX"/>
        </w:rPr>
        <w:t xml:space="preserve"> un </w:t>
      </w:r>
      <w:r w:rsidR="00C56C31">
        <w:rPr>
          <w:rFonts w:ascii="Verdana" w:hAnsi="Verdana"/>
          <w:sz w:val="20"/>
          <w:szCs w:val="20"/>
          <w:lang w:val="es-MX"/>
        </w:rPr>
        <w:t xml:space="preserve">fondo de desarrollo comunitario”. Se estableció que “[d]icho fondo y los programas que llegue a soportar se deberán implementar en las tierras que se entreguen a los miembros de la Comunidad”, y que </w:t>
      </w:r>
      <w:r w:rsidR="00C56C31" w:rsidRPr="00911B28">
        <w:rPr>
          <w:rFonts w:ascii="Verdana" w:hAnsi="Verdana"/>
          <w:sz w:val="20"/>
          <w:szCs w:val="20"/>
          <w:lang w:val="es-MX"/>
        </w:rPr>
        <w:t>“[e]l Estado deberá destinar la cantidad de US $700.000,00 (setecientos mil dólares de los Estados Unidos de América) para tal fondo, respecto del cual se deben destinar recursos</w:t>
      </w:r>
      <w:r w:rsidR="00C56C31" w:rsidRPr="008A6608">
        <w:rPr>
          <w:rFonts w:ascii="Verdana" w:hAnsi="Verdana"/>
          <w:sz w:val="20"/>
          <w:szCs w:val="20"/>
          <w:lang w:val="es-MX"/>
        </w:rPr>
        <w:t>, entre otras cosas, para la implementación de proyectos educacionales, habitacionales, de seguridad alimentaria y de salud, así como suministro de agua potable y la construcción de infraestructura sanitaria, en beneficio de los miembros de la Comunidad”.</w:t>
      </w:r>
      <w:r w:rsidR="008A6608" w:rsidRPr="008A6608">
        <w:rPr>
          <w:rFonts w:ascii="Verdana" w:hAnsi="Verdana"/>
          <w:b/>
          <w:sz w:val="20"/>
          <w:szCs w:val="20"/>
          <w:lang w:val="es-ES_tradnl"/>
        </w:rPr>
        <w:t xml:space="preserve"> </w:t>
      </w:r>
      <w:r w:rsidR="008A6608" w:rsidRPr="008A6608">
        <w:rPr>
          <w:rFonts w:ascii="Verdana" w:hAnsi="Verdana"/>
          <w:sz w:val="20"/>
          <w:szCs w:val="20"/>
          <w:lang w:val="es-ES_tradnl"/>
        </w:rPr>
        <w:t>Adicionalmente, se dispuso que “</w:t>
      </w:r>
      <w:r w:rsidR="008A6608" w:rsidRPr="008A6608">
        <w:rPr>
          <w:rFonts w:ascii="Verdana" w:hAnsi="Verdana"/>
          <w:sz w:val="20"/>
          <w:szCs w:val="20"/>
          <w:lang w:val="es-CR"/>
        </w:rPr>
        <w:t>[e]stos proyectos deberán ser determinados por un comité de implementación, […] y deberán ser completados en un plazo de dos años, a partir de la entrega de las tierras a los miembros de la Comunidad”.</w:t>
      </w:r>
      <w:bookmarkEnd w:id="51"/>
      <w:r w:rsidR="008A6608">
        <w:rPr>
          <w:lang w:val="es-CR"/>
        </w:rPr>
        <w:t xml:space="preserve"> </w:t>
      </w:r>
      <w:bookmarkStart w:id="53" w:name="_Toc7715878"/>
      <w:r w:rsidR="008A6608" w:rsidRPr="00832D76">
        <w:rPr>
          <w:rFonts w:ascii="Verdana" w:hAnsi="Verdana"/>
          <w:sz w:val="20"/>
          <w:szCs w:val="20"/>
          <w:lang w:val="es-MX"/>
        </w:rPr>
        <w:t>En cuanto al referido comité de implementación, se dispuso que éste</w:t>
      </w:r>
      <w:bookmarkEnd w:id="52"/>
      <w:r w:rsidR="008A6608" w:rsidRPr="00832D76">
        <w:rPr>
          <w:rFonts w:ascii="Verdana" w:hAnsi="Verdana"/>
          <w:sz w:val="20"/>
          <w:szCs w:val="20"/>
          <w:lang w:val="es-MX"/>
        </w:rPr>
        <w:t xml:space="preserve"> “estará encargado de determinar las modalidades de implementación del fondo de desarrollo y deberá estar conformado en el plazo de 6 meses, a partir de la entrega de las tierras a los miembros de la Comunidad, con la integración de tres miembros: un representante designado por la Comunidad indígena, otro por el Estado y uno designado de común acuerdo entre las víctimas y el Estado”</w:t>
      </w:r>
      <w:r w:rsidR="00832D76">
        <w:rPr>
          <w:rStyle w:val="Refdenotaalpie"/>
          <w:rFonts w:ascii="Verdana" w:hAnsi="Verdana"/>
          <w:sz w:val="20"/>
          <w:szCs w:val="20"/>
          <w:lang w:val="es-MX"/>
        </w:rPr>
        <w:footnoteReference w:id="55"/>
      </w:r>
      <w:r w:rsidR="008A6608" w:rsidRPr="00832D76">
        <w:rPr>
          <w:rFonts w:ascii="Verdana" w:hAnsi="Verdana"/>
          <w:sz w:val="20"/>
          <w:szCs w:val="20"/>
          <w:lang w:val="es-MX"/>
        </w:rPr>
        <w:t xml:space="preserve">. </w:t>
      </w:r>
      <w:bookmarkEnd w:id="53"/>
    </w:p>
    <w:p w14:paraId="5E974130" w14:textId="77777777" w:rsidR="007B0982" w:rsidRPr="000511E8" w:rsidRDefault="007B0982" w:rsidP="00B233A8">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sz w:val="20"/>
          <w:szCs w:val="20"/>
          <w:lang w:val="es-MX"/>
        </w:rPr>
      </w:pPr>
      <w:r w:rsidRPr="00A258A9">
        <w:rPr>
          <w:rFonts w:ascii="Verdana" w:hAnsi="Verdana"/>
          <w:sz w:val="20"/>
          <w:szCs w:val="20"/>
          <w:lang w:val="es-MX"/>
        </w:rPr>
        <w:t xml:space="preserve">En la Resolución del Presidente </w:t>
      </w:r>
      <w:r>
        <w:rPr>
          <w:rFonts w:ascii="Verdana" w:hAnsi="Verdana"/>
          <w:sz w:val="20"/>
          <w:szCs w:val="20"/>
          <w:lang w:val="es-MX"/>
        </w:rPr>
        <w:t xml:space="preserve">de la Corte </w:t>
      </w:r>
      <w:r w:rsidRPr="00A258A9">
        <w:rPr>
          <w:rFonts w:ascii="Verdana" w:hAnsi="Verdana"/>
          <w:sz w:val="20"/>
          <w:szCs w:val="20"/>
          <w:lang w:val="es-MX"/>
        </w:rPr>
        <w:t>de septiembre de 2016 se hizo constar</w:t>
      </w:r>
      <w:r>
        <w:rPr>
          <w:rFonts w:ascii="Verdana" w:hAnsi="Verdana"/>
          <w:sz w:val="20"/>
          <w:szCs w:val="20"/>
          <w:lang w:val="es-MX"/>
        </w:rPr>
        <w:t>,</w:t>
      </w:r>
      <w:r w:rsidRPr="00A258A9">
        <w:rPr>
          <w:rFonts w:ascii="Verdana" w:hAnsi="Verdana"/>
          <w:sz w:val="20"/>
          <w:szCs w:val="20"/>
          <w:lang w:val="es-MX"/>
        </w:rPr>
        <w:t xml:space="preserve"> en relación con </w:t>
      </w:r>
      <w:r>
        <w:rPr>
          <w:rFonts w:ascii="Verdana" w:hAnsi="Verdana"/>
          <w:sz w:val="20"/>
          <w:szCs w:val="20"/>
          <w:lang w:val="es-MX"/>
        </w:rPr>
        <w:t xml:space="preserve">la implementación de </w:t>
      </w:r>
      <w:r w:rsidRPr="00A258A9">
        <w:rPr>
          <w:rFonts w:ascii="Verdana" w:hAnsi="Verdana"/>
          <w:sz w:val="20"/>
          <w:szCs w:val="20"/>
          <w:lang w:val="es-MX"/>
        </w:rPr>
        <w:t xml:space="preserve">los fondos de desarrollo comunitario ordenados en las Sentencias de los tres casos de las comunidades indígenas contra Paraguay, </w:t>
      </w:r>
      <w:r>
        <w:rPr>
          <w:rFonts w:ascii="Verdana" w:hAnsi="Verdana"/>
          <w:sz w:val="20"/>
          <w:szCs w:val="20"/>
          <w:lang w:val="es-MX"/>
        </w:rPr>
        <w:t xml:space="preserve">que </w:t>
      </w:r>
      <w:r w:rsidRPr="00A258A9">
        <w:rPr>
          <w:rFonts w:ascii="Verdana" w:hAnsi="Verdana"/>
          <w:sz w:val="20"/>
          <w:szCs w:val="20"/>
          <w:lang w:val="es-MX"/>
        </w:rPr>
        <w:t xml:space="preserve">el Estado se había limitado a informar que </w:t>
      </w:r>
      <w:r w:rsidRPr="00A258A9">
        <w:rPr>
          <w:rFonts w:ascii="Verdana" w:hAnsi="Verdana"/>
          <w:sz w:val="20"/>
          <w:szCs w:val="20"/>
          <w:lang w:val="es-CR"/>
        </w:rPr>
        <w:t xml:space="preserve">“el Instituto Paraguayo del Indígena ha[bía] incluido en su anteproyecto de Presupuesto para el ejercicio [2016], la solicitud de los montos necesarios para cubrir los compromisos asumidos en todos los casos con Sentencia de la Corte” y que dicho proyecto se encontraría “en estudio ante el Poder Legislativo”. Además, que el Estado había señalado que dicho Instituto “ha venido destinando fondos de sus presupuestos […] para ejecutar proyectos de desarrollo comunitario”. No obstante, </w:t>
      </w:r>
      <w:r>
        <w:rPr>
          <w:rFonts w:ascii="Verdana" w:hAnsi="Verdana"/>
          <w:sz w:val="20"/>
          <w:szCs w:val="20"/>
          <w:lang w:val="es-CR"/>
        </w:rPr>
        <w:t xml:space="preserve">la Presidencia de este Tribunal </w:t>
      </w:r>
      <w:r w:rsidRPr="00A258A9">
        <w:rPr>
          <w:rFonts w:ascii="Verdana" w:hAnsi="Verdana"/>
          <w:sz w:val="20"/>
          <w:szCs w:val="20"/>
          <w:lang w:val="es-CR"/>
        </w:rPr>
        <w:t>hi</w:t>
      </w:r>
      <w:r>
        <w:rPr>
          <w:rFonts w:ascii="Verdana" w:hAnsi="Verdana"/>
          <w:sz w:val="20"/>
          <w:szCs w:val="20"/>
          <w:lang w:val="es-CR"/>
        </w:rPr>
        <w:t>z</w:t>
      </w:r>
      <w:r w:rsidRPr="00A258A9">
        <w:rPr>
          <w:rFonts w:ascii="Verdana" w:hAnsi="Verdana"/>
          <w:sz w:val="20"/>
          <w:szCs w:val="20"/>
          <w:lang w:val="es-CR"/>
        </w:rPr>
        <w:t>o notar que el Estado no había presentado soportes probatorios sobre las afirmaciones indicadas, ni tampoco especificó cómo se ha</w:t>
      </w:r>
      <w:r>
        <w:rPr>
          <w:rFonts w:ascii="Verdana" w:hAnsi="Verdana"/>
          <w:sz w:val="20"/>
          <w:szCs w:val="20"/>
          <w:lang w:val="es-CR"/>
        </w:rPr>
        <w:t>bían</w:t>
      </w:r>
      <w:r w:rsidRPr="00A258A9">
        <w:rPr>
          <w:rFonts w:ascii="Verdana" w:hAnsi="Verdana"/>
          <w:sz w:val="20"/>
          <w:szCs w:val="20"/>
          <w:lang w:val="es-CR"/>
        </w:rPr>
        <w:t xml:space="preserve"> implementado dichos proyectos de desarrollo comunitario, por lo que no se contaba con información suficiente actualizada para realizar una valoración sobre </w:t>
      </w:r>
      <w:r>
        <w:rPr>
          <w:rFonts w:ascii="Verdana" w:hAnsi="Verdana"/>
          <w:sz w:val="20"/>
          <w:szCs w:val="20"/>
          <w:lang w:val="es-CR"/>
        </w:rPr>
        <w:t>esta</w:t>
      </w:r>
      <w:r w:rsidRPr="00A258A9">
        <w:rPr>
          <w:rFonts w:ascii="Verdana" w:hAnsi="Verdana"/>
          <w:sz w:val="20"/>
          <w:szCs w:val="20"/>
          <w:lang w:val="es-CR"/>
        </w:rPr>
        <w:t xml:space="preserve"> medida</w:t>
      </w:r>
      <w:r w:rsidRPr="00A258A9">
        <w:rPr>
          <w:rStyle w:val="Refdenotaalpie"/>
          <w:rFonts w:ascii="Verdana" w:hAnsi="Verdana"/>
          <w:sz w:val="20"/>
          <w:szCs w:val="20"/>
          <w:lang w:val="es-CR"/>
        </w:rPr>
        <w:footnoteReference w:id="56"/>
      </w:r>
      <w:r w:rsidRPr="00A258A9">
        <w:rPr>
          <w:rFonts w:ascii="Verdana" w:hAnsi="Verdana"/>
          <w:sz w:val="20"/>
          <w:szCs w:val="20"/>
          <w:lang w:val="es-CR"/>
        </w:rPr>
        <w:t>.</w:t>
      </w:r>
    </w:p>
    <w:p w14:paraId="6BACC75F" w14:textId="77777777" w:rsidR="000511E8" w:rsidRPr="008A6608" w:rsidRDefault="000511E8" w:rsidP="000511E8">
      <w:pPr>
        <w:pStyle w:val="Prrafodelista"/>
        <w:autoSpaceDE w:val="0"/>
        <w:autoSpaceDN w:val="0"/>
        <w:adjustRightInd w:val="0"/>
        <w:spacing w:before="120" w:after="120" w:line="240" w:lineRule="auto"/>
        <w:ind w:left="0"/>
        <w:contextualSpacing w:val="0"/>
        <w:jc w:val="both"/>
        <w:rPr>
          <w:rFonts w:ascii="Verdana" w:hAnsi="Verdana"/>
          <w:sz w:val="20"/>
          <w:szCs w:val="20"/>
          <w:lang w:val="es-MX"/>
        </w:rPr>
      </w:pPr>
    </w:p>
    <w:p w14:paraId="5E6967CB" w14:textId="77777777" w:rsidR="00804898" w:rsidRPr="00804898" w:rsidRDefault="00804898" w:rsidP="00C56C31">
      <w:pPr>
        <w:tabs>
          <w:tab w:val="left" w:pos="0"/>
          <w:tab w:val="left" w:pos="567"/>
        </w:tabs>
        <w:spacing w:before="120" w:after="120" w:line="240" w:lineRule="auto"/>
        <w:ind w:right="6"/>
        <w:jc w:val="both"/>
        <w:outlineLvl w:val="0"/>
        <w:rPr>
          <w:rFonts w:ascii="Verdana" w:hAnsi="Verdana"/>
          <w:i/>
          <w:sz w:val="20"/>
          <w:lang w:val="es-ES_tradnl"/>
        </w:rPr>
      </w:pPr>
      <w:r>
        <w:rPr>
          <w:rFonts w:ascii="Verdana" w:hAnsi="Verdana"/>
          <w:b/>
          <w:i/>
          <w:sz w:val="20"/>
          <w:lang w:val="es-ES_tradnl"/>
        </w:rPr>
        <w:tab/>
      </w:r>
      <w:bookmarkStart w:id="54" w:name="_Toc7102475"/>
      <w:bookmarkStart w:id="55" w:name="_Toc7715879"/>
      <w:bookmarkStart w:id="56" w:name="_Toc11143870"/>
      <w:bookmarkStart w:id="57" w:name="_Toc12032453"/>
      <w:r>
        <w:rPr>
          <w:rFonts w:ascii="Verdana" w:hAnsi="Verdana"/>
          <w:i/>
          <w:sz w:val="20"/>
          <w:lang w:val="es-ES_tradnl"/>
        </w:rPr>
        <w:t>E.2. Consideraciones de la Corte</w:t>
      </w:r>
      <w:bookmarkEnd w:id="54"/>
      <w:bookmarkEnd w:id="55"/>
      <w:bookmarkEnd w:id="56"/>
      <w:bookmarkEnd w:id="57"/>
    </w:p>
    <w:p w14:paraId="0CBFC053" w14:textId="77777777" w:rsidR="00F943BE" w:rsidRDefault="00F943BE" w:rsidP="00F943BE">
      <w:pPr>
        <w:pStyle w:val="Prrafodelista"/>
        <w:numPr>
          <w:ilvl w:val="0"/>
          <w:numId w:val="5"/>
        </w:numPr>
        <w:spacing w:before="120" w:after="120" w:line="240" w:lineRule="auto"/>
        <w:ind w:left="0" w:hanging="11"/>
        <w:contextualSpacing w:val="0"/>
        <w:jc w:val="both"/>
        <w:rPr>
          <w:rFonts w:ascii="Verdana" w:hAnsi="Verdana"/>
          <w:bCs/>
          <w:sz w:val="20"/>
          <w:szCs w:val="20"/>
          <w:lang w:val="es-CR"/>
        </w:rPr>
      </w:pPr>
      <w:r w:rsidRPr="006E7F56">
        <w:rPr>
          <w:rFonts w:ascii="Verdana" w:hAnsi="Verdana"/>
          <w:bCs/>
          <w:sz w:val="20"/>
          <w:szCs w:val="20"/>
          <w:lang w:val="es-CR"/>
        </w:rPr>
        <w:t>Durante la</w:t>
      </w:r>
      <w:r>
        <w:rPr>
          <w:rFonts w:ascii="Verdana" w:hAnsi="Verdana"/>
          <w:bCs/>
          <w:sz w:val="20"/>
          <w:szCs w:val="20"/>
          <w:lang w:val="es-CR"/>
        </w:rPr>
        <w:t>s</w:t>
      </w:r>
      <w:r w:rsidRPr="006E7F56">
        <w:rPr>
          <w:rFonts w:ascii="Verdana" w:hAnsi="Verdana"/>
          <w:bCs/>
          <w:sz w:val="20"/>
          <w:szCs w:val="20"/>
          <w:lang w:val="es-CR"/>
        </w:rPr>
        <w:t xml:space="preserve"> visita</w:t>
      </w:r>
      <w:r>
        <w:rPr>
          <w:rFonts w:ascii="Verdana" w:hAnsi="Verdana"/>
          <w:bCs/>
          <w:sz w:val="20"/>
          <w:szCs w:val="20"/>
          <w:lang w:val="es-CR"/>
        </w:rPr>
        <w:t>s</w:t>
      </w:r>
      <w:r w:rsidRPr="006E7F56">
        <w:rPr>
          <w:rFonts w:ascii="Verdana" w:hAnsi="Verdana"/>
          <w:bCs/>
          <w:sz w:val="20"/>
          <w:szCs w:val="20"/>
          <w:lang w:val="es-CR"/>
        </w:rPr>
        <w:t xml:space="preserve"> y </w:t>
      </w:r>
      <w:r>
        <w:rPr>
          <w:rFonts w:ascii="Verdana" w:hAnsi="Verdana"/>
          <w:bCs/>
          <w:sz w:val="20"/>
          <w:szCs w:val="20"/>
          <w:lang w:val="es-CR"/>
        </w:rPr>
        <w:t xml:space="preserve">la </w:t>
      </w:r>
      <w:r w:rsidRPr="006E7F56">
        <w:rPr>
          <w:rFonts w:ascii="Verdana" w:hAnsi="Verdana"/>
          <w:bCs/>
          <w:sz w:val="20"/>
          <w:szCs w:val="20"/>
          <w:lang w:val="es-CR"/>
        </w:rPr>
        <w:t xml:space="preserve">audiencia de supervisión de cumplimiento, realizadas en noviembre de 2017, la delegación de la Corte recibió información de las partes sobre la falta de implementación de los fondos de desarrollo comunitario ordenados en las Sentencias de los casos de las </w:t>
      </w:r>
      <w:r>
        <w:rPr>
          <w:rFonts w:ascii="Verdana" w:hAnsi="Verdana"/>
          <w:bCs/>
          <w:sz w:val="20"/>
          <w:szCs w:val="20"/>
          <w:lang w:val="es-CR"/>
        </w:rPr>
        <w:t>C</w:t>
      </w:r>
      <w:r w:rsidRPr="006E7F56">
        <w:rPr>
          <w:rFonts w:ascii="Verdana" w:hAnsi="Verdana"/>
          <w:bCs/>
          <w:sz w:val="20"/>
          <w:szCs w:val="20"/>
          <w:lang w:val="es-CR"/>
        </w:rPr>
        <w:t xml:space="preserve">omunidades indígenas Yakye Axa, Sawhoyamaxa y Xákmok Kásek. Al respecto, fue indicado </w:t>
      </w:r>
      <w:r>
        <w:rPr>
          <w:rFonts w:ascii="Verdana" w:hAnsi="Verdana"/>
          <w:bCs/>
          <w:sz w:val="20"/>
          <w:szCs w:val="20"/>
          <w:lang w:val="es-CR"/>
        </w:rPr>
        <w:t xml:space="preserve">por los </w:t>
      </w:r>
      <w:r w:rsidRPr="00424E41">
        <w:rPr>
          <w:rFonts w:ascii="Verdana" w:hAnsi="Verdana"/>
          <w:bCs/>
          <w:sz w:val="20"/>
          <w:szCs w:val="20"/>
          <w:lang w:val="es-CR"/>
        </w:rPr>
        <w:t>representantes</w:t>
      </w:r>
      <w:r>
        <w:rPr>
          <w:rFonts w:ascii="Verdana" w:hAnsi="Verdana"/>
          <w:bCs/>
          <w:sz w:val="20"/>
          <w:szCs w:val="20"/>
          <w:lang w:val="es-CR"/>
        </w:rPr>
        <w:t xml:space="preserve"> que “[los] montos no fueron solicitados por parte del Ejecutivo para entendimiento del Congreso Nacional, de forma de tenerlo[s] aprobado[s] en el presupuesto general de gastos de la Nación del 2018”</w:t>
      </w:r>
      <w:r w:rsidRPr="006E7F56">
        <w:rPr>
          <w:rFonts w:ascii="Verdana" w:hAnsi="Verdana"/>
          <w:bCs/>
          <w:sz w:val="20"/>
          <w:szCs w:val="20"/>
          <w:lang w:val="es-CR"/>
        </w:rPr>
        <w:t xml:space="preserve">. El </w:t>
      </w:r>
      <w:r w:rsidRPr="00424E41">
        <w:rPr>
          <w:rFonts w:ascii="Verdana" w:hAnsi="Verdana"/>
          <w:bCs/>
          <w:sz w:val="20"/>
          <w:szCs w:val="20"/>
          <w:lang w:val="es-CR"/>
        </w:rPr>
        <w:t>Estado</w:t>
      </w:r>
      <w:r w:rsidRPr="006E7F56">
        <w:rPr>
          <w:rFonts w:ascii="Verdana" w:hAnsi="Verdana"/>
          <w:bCs/>
          <w:sz w:val="20"/>
          <w:szCs w:val="20"/>
          <w:lang w:val="es-CR"/>
        </w:rPr>
        <w:t xml:space="preserve"> se comprometió a realizar las acciones necesarias para tratar de incluir dichos fondos en el ejercicio fiscal del 2018</w:t>
      </w:r>
      <w:r w:rsidRPr="009D084E">
        <w:rPr>
          <w:rStyle w:val="Refdenotaalpie"/>
          <w:rFonts w:ascii="Verdana" w:hAnsi="Verdana"/>
          <w:bCs/>
          <w:sz w:val="20"/>
          <w:szCs w:val="20"/>
          <w:lang w:val="es-CR"/>
        </w:rPr>
        <w:footnoteReference w:id="57"/>
      </w:r>
      <w:r w:rsidRPr="006E7F56">
        <w:rPr>
          <w:rFonts w:ascii="Verdana" w:hAnsi="Verdana"/>
          <w:bCs/>
          <w:sz w:val="20"/>
          <w:szCs w:val="20"/>
          <w:lang w:val="es-CR"/>
        </w:rPr>
        <w:t>.</w:t>
      </w:r>
      <w:r w:rsidRPr="006E7F56">
        <w:rPr>
          <w:rFonts w:ascii="Verdana" w:hAnsi="Verdana"/>
          <w:b/>
          <w:bCs/>
          <w:sz w:val="20"/>
          <w:szCs w:val="20"/>
          <w:lang w:val="es-CR"/>
        </w:rPr>
        <w:t xml:space="preserve"> </w:t>
      </w:r>
      <w:r w:rsidRPr="006E7F56">
        <w:rPr>
          <w:rFonts w:ascii="Verdana" w:hAnsi="Verdana"/>
          <w:bCs/>
          <w:sz w:val="20"/>
          <w:szCs w:val="20"/>
          <w:lang w:val="es-CR"/>
        </w:rPr>
        <w:t>En virtud de que ello no fue posible, el Estado informó en septiembre de 2018 que</w:t>
      </w:r>
      <w:r w:rsidRPr="006E7F56">
        <w:rPr>
          <w:rFonts w:ascii="Verdana" w:hAnsi="Verdana"/>
          <w:b/>
          <w:bCs/>
          <w:sz w:val="20"/>
          <w:szCs w:val="20"/>
          <w:lang w:val="es-CR"/>
        </w:rPr>
        <w:t xml:space="preserve"> </w:t>
      </w:r>
      <w:r w:rsidRPr="006E7F56">
        <w:rPr>
          <w:rFonts w:ascii="Verdana" w:hAnsi="Verdana"/>
          <w:bCs/>
          <w:sz w:val="20"/>
          <w:szCs w:val="20"/>
          <w:lang w:val="es-CR"/>
        </w:rPr>
        <w:t xml:space="preserve">“se </w:t>
      </w:r>
      <w:r>
        <w:rPr>
          <w:rFonts w:ascii="Verdana" w:hAnsi="Verdana"/>
          <w:bCs/>
          <w:sz w:val="20"/>
          <w:szCs w:val="20"/>
          <w:lang w:val="es-CR"/>
        </w:rPr>
        <w:t xml:space="preserve">[había] </w:t>
      </w:r>
      <w:r w:rsidRPr="006E7F56">
        <w:rPr>
          <w:rFonts w:ascii="Verdana" w:hAnsi="Verdana"/>
          <w:bCs/>
          <w:sz w:val="20"/>
          <w:szCs w:val="20"/>
          <w:lang w:val="es-CR"/>
        </w:rPr>
        <w:t>indic</w:t>
      </w:r>
      <w:r>
        <w:rPr>
          <w:rFonts w:ascii="Verdana" w:hAnsi="Verdana"/>
          <w:bCs/>
          <w:sz w:val="20"/>
          <w:szCs w:val="20"/>
          <w:lang w:val="es-CR"/>
        </w:rPr>
        <w:t>[ado]</w:t>
      </w:r>
      <w:r w:rsidRPr="006E7F56">
        <w:rPr>
          <w:rFonts w:ascii="Verdana" w:hAnsi="Verdana"/>
          <w:bCs/>
          <w:sz w:val="20"/>
          <w:szCs w:val="20"/>
          <w:lang w:val="es-CR"/>
        </w:rPr>
        <w:t xml:space="preserve"> al INDI que solicit</w:t>
      </w:r>
      <w:r>
        <w:rPr>
          <w:rFonts w:ascii="Verdana" w:hAnsi="Verdana"/>
          <w:bCs/>
          <w:sz w:val="20"/>
          <w:szCs w:val="20"/>
          <w:lang w:val="es-CR"/>
        </w:rPr>
        <w:t>[ara]</w:t>
      </w:r>
      <w:r w:rsidRPr="006E7F56">
        <w:rPr>
          <w:rFonts w:ascii="Verdana" w:hAnsi="Verdana"/>
          <w:bCs/>
          <w:sz w:val="20"/>
          <w:szCs w:val="20"/>
          <w:lang w:val="es-CR"/>
        </w:rPr>
        <w:t xml:space="preserve"> con carácter urgente al Ministerio de Hacienda la inclusión para el próximo ejercicio fiscal[,] los fondos requeridos por la[s] Sentencia[s] de la Corte”. Posteriormente, en mayo de 2019 Paraguay informó que “</w:t>
      </w:r>
      <w:r>
        <w:rPr>
          <w:rFonts w:ascii="Verdana" w:hAnsi="Verdana"/>
          <w:bCs/>
          <w:sz w:val="20"/>
          <w:szCs w:val="20"/>
          <w:lang w:val="es-CR"/>
        </w:rPr>
        <w:t>a través d</w:t>
      </w:r>
      <w:r w:rsidRPr="006E7F56">
        <w:rPr>
          <w:rFonts w:ascii="Verdana" w:hAnsi="Verdana"/>
          <w:bCs/>
          <w:sz w:val="20"/>
          <w:szCs w:val="20"/>
          <w:lang w:val="es-CR"/>
        </w:rPr>
        <w:t>el INDI ha[bía] realizado las gestiones necesarias para la obtención de partidas presupuestarias del Presupuesto General de la Nación del año 2019, con el objeto de cumplir con el compromiso con las [referidas tres</w:t>
      </w:r>
      <w:r>
        <w:rPr>
          <w:rFonts w:ascii="Verdana" w:hAnsi="Verdana"/>
          <w:bCs/>
          <w:sz w:val="20"/>
          <w:szCs w:val="20"/>
          <w:lang w:val="es-CR"/>
        </w:rPr>
        <w:t>]</w:t>
      </w:r>
      <w:r w:rsidRPr="006E7F56">
        <w:rPr>
          <w:rFonts w:ascii="Verdana" w:hAnsi="Verdana"/>
          <w:bCs/>
          <w:sz w:val="20"/>
          <w:szCs w:val="20"/>
          <w:lang w:val="es-CR"/>
        </w:rPr>
        <w:t xml:space="preserve"> comunidades”. Asimismo, explicó que el pago de los fondos de desarrollo comunitario de las tres comunidades se realizará en “tres cuotas anuales” entre el 2019 y el 2021 y aportó un cronograma de pagos</w:t>
      </w:r>
      <w:r w:rsidRPr="009D084E">
        <w:rPr>
          <w:rStyle w:val="Refdenotaalpie"/>
          <w:rFonts w:ascii="Verdana" w:hAnsi="Verdana"/>
          <w:bCs/>
          <w:sz w:val="20"/>
          <w:szCs w:val="20"/>
          <w:lang w:val="es-CR"/>
        </w:rPr>
        <w:footnoteReference w:id="58"/>
      </w:r>
      <w:r w:rsidRPr="006E7F56">
        <w:rPr>
          <w:rFonts w:ascii="Verdana" w:hAnsi="Verdana"/>
          <w:bCs/>
          <w:sz w:val="20"/>
          <w:szCs w:val="20"/>
          <w:lang w:val="es-CR"/>
        </w:rPr>
        <w:t xml:space="preserve">. También afirmó que </w:t>
      </w:r>
      <w:r>
        <w:rPr>
          <w:rFonts w:ascii="Verdana" w:hAnsi="Verdana"/>
          <w:bCs/>
          <w:sz w:val="20"/>
          <w:szCs w:val="20"/>
          <w:lang w:val="es-CR"/>
        </w:rPr>
        <w:t>“</w:t>
      </w:r>
      <w:r w:rsidRPr="006E7F56">
        <w:rPr>
          <w:rFonts w:ascii="Verdana" w:hAnsi="Verdana"/>
          <w:bCs/>
          <w:sz w:val="20"/>
          <w:szCs w:val="20"/>
          <w:lang w:val="es-CR"/>
        </w:rPr>
        <w:t>ya se encontr[aban] disponibles en las cuentas del INDI” los fondos “para las primeras transferencias a las comunidades Yakye Axa y Xákmok Kásek”.</w:t>
      </w:r>
    </w:p>
    <w:p w14:paraId="3341E102" w14:textId="77777777" w:rsidR="00035A72" w:rsidRPr="00F943BE" w:rsidRDefault="00035A72" w:rsidP="00F943BE">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Cs/>
          <w:sz w:val="20"/>
          <w:szCs w:val="20"/>
          <w:lang w:val="es-CR"/>
        </w:rPr>
      </w:pPr>
      <w:r w:rsidRPr="00035A72">
        <w:rPr>
          <w:rFonts w:ascii="Verdana" w:hAnsi="Verdana"/>
          <w:bCs/>
          <w:sz w:val="20"/>
          <w:szCs w:val="20"/>
          <w:lang w:val="es-CR"/>
        </w:rPr>
        <w:t>Con base en la información y documentación aportada por el Estado y las observaciones de los representantes</w:t>
      </w:r>
      <w:r w:rsidRPr="00C56E66">
        <w:rPr>
          <w:rStyle w:val="Refdenotaalpie"/>
          <w:rFonts w:ascii="Verdana" w:hAnsi="Verdana"/>
          <w:bCs/>
          <w:sz w:val="20"/>
          <w:szCs w:val="20"/>
          <w:lang w:val="es-CR"/>
        </w:rPr>
        <w:footnoteReference w:id="59"/>
      </w:r>
      <w:r w:rsidRPr="00035A72">
        <w:rPr>
          <w:rFonts w:ascii="Verdana" w:hAnsi="Verdana"/>
          <w:bCs/>
          <w:sz w:val="20"/>
          <w:szCs w:val="20"/>
          <w:lang w:val="es-CR"/>
        </w:rPr>
        <w:t xml:space="preserve">, la Corte constata que el 6 de mayo de 2019 se realizó el pago de la primera cuota del fondo de desarrollo correspondiente a la Comunidad </w:t>
      </w:r>
      <w:r w:rsidR="00F943BE">
        <w:rPr>
          <w:rFonts w:ascii="Verdana" w:hAnsi="Verdana"/>
          <w:bCs/>
          <w:sz w:val="20"/>
          <w:szCs w:val="20"/>
          <w:lang w:val="es-CR"/>
        </w:rPr>
        <w:t>Xákmok Kásek</w:t>
      </w:r>
      <w:r w:rsidRPr="00C56E66">
        <w:rPr>
          <w:rStyle w:val="Refdenotaalpie"/>
          <w:rFonts w:ascii="Verdana" w:hAnsi="Verdana"/>
          <w:bCs/>
          <w:sz w:val="20"/>
          <w:szCs w:val="20"/>
          <w:lang w:val="es-CR"/>
        </w:rPr>
        <w:footnoteReference w:id="60"/>
      </w:r>
      <w:r w:rsidRPr="00035A72">
        <w:rPr>
          <w:rFonts w:ascii="Verdana" w:hAnsi="Verdana"/>
          <w:bCs/>
          <w:sz w:val="20"/>
          <w:szCs w:val="20"/>
          <w:lang w:val="es-CR"/>
        </w:rPr>
        <w:t>. Para la “entrega oficial del primer desembolso” se efectuó un acto presidido por el Presidente de la República de</w:t>
      </w:r>
      <w:r w:rsidR="00F943BE">
        <w:rPr>
          <w:rFonts w:ascii="Verdana" w:hAnsi="Verdana"/>
          <w:bCs/>
          <w:sz w:val="20"/>
          <w:szCs w:val="20"/>
          <w:lang w:val="es-CR"/>
        </w:rPr>
        <w:t>l Paraguay, en el cual participó Gerardo Larrosa</w:t>
      </w:r>
      <w:r w:rsidR="005A78F2">
        <w:rPr>
          <w:rFonts w:ascii="Verdana" w:hAnsi="Verdana"/>
          <w:bCs/>
          <w:sz w:val="20"/>
          <w:szCs w:val="20"/>
          <w:lang w:val="es-CR"/>
        </w:rPr>
        <w:t xml:space="preserve"> D.</w:t>
      </w:r>
      <w:r w:rsidR="00F943BE">
        <w:rPr>
          <w:rFonts w:ascii="Verdana" w:hAnsi="Verdana"/>
          <w:bCs/>
          <w:sz w:val="20"/>
          <w:szCs w:val="20"/>
          <w:lang w:val="es-CR"/>
        </w:rPr>
        <w:t xml:space="preserve">, líder de la Comunidad. </w:t>
      </w:r>
      <w:r w:rsidRPr="00F943BE">
        <w:rPr>
          <w:rFonts w:ascii="Verdana" w:hAnsi="Verdana"/>
          <w:bCs/>
          <w:sz w:val="20"/>
          <w:szCs w:val="20"/>
          <w:lang w:val="es-CR"/>
        </w:rPr>
        <w:t>La Corte también toma nota del compromiso expresado por el Estado de pagar la totalidad del fondo de desarrollo correspondiente a esta comunidad en un lapso de tres años (</w:t>
      </w:r>
      <w:r w:rsidRPr="00F943BE">
        <w:rPr>
          <w:rFonts w:ascii="Verdana" w:hAnsi="Verdana"/>
          <w:bCs/>
          <w:i/>
          <w:sz w:val="20"/>
          <w:szCs w:val="20"/>
          <w:lang w:val="es-CR"/>
        </w:rPr>
        <w:t>supra</w:t>
      </w:r>
      <w:r w:rsidRPr="00F943BE">
        <w:rPr>
          <w:rFonts w:ascii="Verdana" w:hAnsi="Verdana"/>
          <w:bCs/>
          <w:sz w:val="20"/>
          <w:szCs w:val="20"/>
          <w:lang w:val="es-CR"/>
        </w:rPr>
        <w:t xml:space="preserve"> Considerando </w:t>
      </w:r>
      <w:r w:rsidR="00F943BE">
        <w:rPr>
          <w:rFonts w:ascii="Verdana" w:hAnsi="Verdana"/>
          <w:bCs/>
          <w:sz w:val="20"/>
          <w:szCs w:val="20"/>
          <w:lang w:val="es-CR"/>
        </w:rPr>
        <w:t>40</w:t>
      </w:r>
      <w:r w:rsidRPr="00F943BE">
        <w:rPr>
          <w:rFonts w:ascii="Verdana" w:hAnsi="Verdana"/>
          <w:bCs/>
          <w:sz w:val="20"/>
          <w:szCs w:val="20"/>
          <w:lang w:val="es-CR"/>
        </w:rPr>
        <w:t xml:space="preserve">), </w:t>
      </w:r>
      <w:r w:rsidR="00F943BE" w:rsidRPr="00427854">
        <w:rPr>
          <w:rFonts w:ascii="Verdana" w:hAnsi="Verdana"/>
          <w:bCs/>
          <w:sz w:val="20"/>
          <w:szCs w:val="20"/>
          <w:lang w:val="es-CR"/>
        </w:rPr>
        <w:t xml:space="preserve">siendo necesario que </w:t>
      </w:r>
      <w:r w:rsidR="00F943BE">
        <w:rPr>
          <w:rFonts w:ascii="Verdana" w:hAnsi="Verdana"/>
          <w:bCs/>
          <w:sz w:val="20"/>
          <w:szCs w:val="20"/>
          <w:lang w:val="es-CR"/>
        </w:rPr>
        <w:t xml:space="preserve">éste </w:t>
      </w:r>
      <w:r w:rsidR="00F943BE" w:rsidRPr="00427854">
        <w:rPr>
          <w:rFonts w:ascii="Verdana" w:hAnsi="Verdana"/>
          <w:bCs/>
          <w:sz w:val="20"/>
          <w:szCs w:val="20"/>
          <w:lang w:val="es-CR"/>
        </w:rPr>
        <w:t>adopte las medidas necesarias para asegurar la disponibilidad de dichos fondos en los presupuestos de los dos años siguientes</w:t>
      </w:r>
      <w:r w:rsidR="00F943BE">
        <w:rPr>
          <w:rFonts w:ascii="Verdana" w:hAnsi="Verdana"/>
          <w:bCs/>
          <w:sz w:val="20"/>
          <w:szCs w:val="20"/>
          <w:lang w:val="es-CR"/>
        </w:rPr>
        <w:t xml:space="preserve"> e informe al respecto a este Tribunal</w:t>
      </w:r>
      <w:r w:rsidR="00F943BE">
        <w:rPr>
          <w:rStyle w:val="Refdenotaalpie"/>
          <w:rFonts w:ascii="Verdana" w:hAnsi="Verdana"/>
          <w:bCs/>
          <w:sz w:val="20"/>
          <w:szCs w:val="20"/>
          <w:lang w:val="es-CR"/>
        </w:rPr>
        <w:footnoteReference w:id="61"/>
      </w:r>
      <w:r w:rsidR="00F943BE" w:rsidRPr="00427854">
        <w:rPr>
          <w:rFonts w:ascii="Verdana" w:hAnsi="Verdana"/>
          <w:bCs/>
          <w:sz w:val="20"/>
          <w:szCs w:val="20"/>
          <w:lang w:val="es-CR"/>
        </w:rPr>
        <w:t>.</w:t>
      </w:r>
    </w:p>
    <w:p w14:paraId="0161CDB1" w14:textId="77777777" w:rsidR="00035A72" w:rsidRDefault="00035A72" w:rsidP="00035A72">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Cs/>
          <w:sz w:val="20"/>
          <w:szCs w:val="20"/>
          <w:lang w:val="es-CR"/>
        </w:rPr>
      </w:pPr>
      <w:r w:rsidRPr="00035A72">
        <w:rPr>
          <w:rFonts w:ascii="Verdana" w:hAnsi="Verdana"/>
          <w:bCs/>
          <w:sz w:val="20"/>
          <w:szCs w:val="20"/>
          <w:lang w:val="es-CR"/>
        </w:rPr>
        <w:t xml:space="preserve">La Corte valora </w:t>
      </w:r>
      <w:r w:rsidR="00F943BE">
        <w:rPr>
          <w:rFonts w:ascii="Verdana" w:hAnsi="Verdana"/>
          <w:bCs/>
          <w:sz w:val="20"/>
          <w:szCs w:val="20"/>
          <w:lang w:val="es-CR"/>
        </w:rPr>
        <w:t xml:space="preserve">positivamente </w:t>
      </w:r>
      <w:r w:rsidRPr="00035A72">
        <w:rPr>
          <w:rFonts w:ascii="Verdana" w:hAnsi="Verdana"/>
          <w:bCs/>
          <w:sz w:val="20"/>
          <w:szCs w:val="20"/>
          <w:lang w:val="es-CR"/>
        </w:rPr>
        <w:t>el avance en la ejecución de esta medida y recuerda que según lo dispuesto la Sentencia, ésta fue ordenada con la intención de que la Comunidad Xákmok Kásek pudiera destinar el dinero del fondo de desarrollo para la implementación de diversos proyectos en sus tierras (</w:t>
      </w:r>
      <w:r w:rsidRPr="00035A72">
        <w:rPr>
          <w:rFonts w:ascii="Verdana" w:hAnsi="Verdana"/>
          <w:bCs/>
          <w:i/>
          <w:sz w:val="20"/>
          <w:szCs w:val="20"/>
          <w:lang w:val="es-CR"/>
        </w:rPr>
        <w:t>supra</w:t>
      </w:r>
      <w:r w:rsidRPr="00035A72">
        <w:rPr>
          <w:rFonts w:ascii="Verdana" w:hAnsi="Verdana"/>
          <w:bCs/>
          <w:sz w:val="20"/>
          <w:szCs w:val="20"/>
          <w:lang w:val="es-CR"/>
        </w:rPr>
        <w:t xml:space="preserve"> Considerando </w:t>
      </w:r>
      <w:r w:rsidR="00F943BE">
        <w:rPr>
          <w:rFonts w:ascii="Verdana" w:hAnsi="Verdana"/>
          <w:bCs/>
          <w:sz w:val="20"/>
          <w:szCs w:val="20"/>
          <w:lang w:val="es-CR"/>
        </w:rPr>
        <w:t>38</w:t>
      </w:r>
      <w:r w:rsidRPr="00035A72">
        <w:rPr>
          <w:rFonts w:ascii="Verdana" w:hAnsi="Verdana"/>
          <w:bCs/>
          <w:sz w:val="20"/>
          <w:szCs w:val="20"/>
          <w:lang w:val="es-CR"/>
        </w:rPr>
        <w:t xml:space="preserve">), en </w:t>
      </w:r>
      <w:r w:rsidR="00F943BE">
        <w:rPr>
          <w:rFonts w:ascii="Verdana" w:hAnsi="Verdana"/>
          <w:bCs/>
          <w:sz w:val="20"/>
          <w:szCs w:val="20"/>
          <w:lang w:val="es-CR"/>
        </w:rPr>
        <w:t xml:space="preserve">parte de </w:t>
      </w:r>
      <w:r w:rsidRPr="00035A72">
        <w:rPr>
          <w:rFonts w:ascii="Verdana" w:hAnsi="Verdana"/>
          <w:bCs/>
          <w:sz w:val="20"/>
          <w:szCs w:val="20"/>
          <w:lang w:val="es-CR"/>
        </w:rPr>
        <w:t>las cuales dicha comunidad ya se encuentra viviendo (</w:t>
      </w:r>
      <w:r w:rsidRPr="00035A72">
        <w:rPr>
          <w:rFonts w:ascii="Verdana" w:hAnsi="Verdana"/>
          <w:bCs/>
          <w:i/>
          <w:sz w:val="20"/>
          <w:szCs w:val="20"/>
          <w:lang w:val="es-CR"/>
        </w:rPr>
        <w:t xml:space="preserve">supra </w:t>
      </w:r>
      <w:r w:rsidRPr="00035A72">
        <w:rPr>
          <w:rFonts w:ascii="Verdana" w:hAnsi="Verdana"/>
          <w:bCs/>
          <w:sz w:val="20"/>
          <w:szCs w:val="20"/>
          <w:lang w:val="es-CR"/>
        </w:rPr>
        <w:t xml:space="preserve">Considerandos </w:t>
      </w:r>
      <w:r w:rsidR="00F943BE">
        <w:rPr>
          <w:rFonts w:ascii="Verdana" w:hAnsi="Verdana"/>
          <w:bCs/>
          <w:sz w:val="20"/>
          <w:szCs w:val="20"/>
          <w:lang w:val="es-CR"/>
        </w:rPr>
        <w:t>17, 20 y 24</w:t>
      </w:r>
      <w:r w:rsidR="00F943BE" w:rsidRPr="00035A72">
        <w:rPr>
          <w:rFonts w:ascii="Verdana" w:hAnsi="Verdana"/>
          <w:bCs/>
          <w:sz w:val="20"/>
          <w:szCs w:val="20"/>
          <w:lang w:val="es-CR"/>
        </w:rPr>
        <w:t xml:space="preserve">). </w:t>
      </w:r>
    </w:p>
    <w:p w14:paraId="201CA91D" w14:textId="77777777" w:rsidR="00F943BE" w:rsidRDefault="00F943BE" w:rsidP="00F943BE">
      <w:pPr>
        <w:pStyle w:val="Prrafodelista"/>
        <w:numPr>
          <w:ilvl w:val="0"/>
          <w:numId w:val="5"/>
        </w:numPr>
        <w:spacing w:before="120" w:after="120" w:line="240" w:lineRule="auto"/>
        <w:ind w:left="0" w:hanging="11"/>
        <w:contextualSpacing w:val="0"/>
        <w:jc w:val="both"/>
        <w:rPr>
          <w:rFonts w:ascii="Verdana" w:hAnsi="Verdana"/>
          <w:bCs/>
          <w:sz w:val="20"/>
          <w:szCs w:val="20"/>
          <w:lang w:val="es-CR"/>
        </w:rPr>
      </w:pPr>
      <w:r w:rsidRPr="00427854">
        <w:rPr>
          <w:rFonts w:ascii="Verdana" w:hAnsi="Verdana"/>
          <w:bCs/>
          <w:sz w:val="20"/>
          <w:szCs w:val="20"/>
          <w:lang w:val="es-CR"/>
        </w:rPr>
        <w:t xml:space="preserve">Adicionalmente, la Corte nota que </w:t>
      </w:r>
      <w:r>
        <w:rPr>
          <w:rFonts w:ascii="Verdana" w:hAnsi="Verdana"/>
          <w:bCs/>
          <w:sz w:val="20"/>
          <w:szCs w:val="20"/>
          <w:lang w:val="es-CR"/>
        </w:rPr>
        <w:t xml:space="preserve">en su escrito de observaciones de mayo de 2019 </w:t>
      </w:r>
      <w:r w:rsidRPr="00427854">
        <w:rPr>
          <w:rFonts w:ascii="Verdana" w:hAnsi="Verdana"/>
          <w:bCs/>
          <w:sz w:val="20"/>
          <w:szCs w:val="20"/>
          <w:lang w:val="es-CR"/>
        </w:rPr>
        <w:t>los representantes</w:t>
      </w:r>
      <w:r>
        <w:rPr>
          <w:rFonts w:ascii="Verdana" w:hAnsi="Verdana"/>
          <w:bCs/>
          <w:sz w:val="20"/>
          <w:szCs w:val="20"/>
          <w:lang w:val="es-CR"/>
        </w:rPr>
        <w:t>, además de reconocer los avances en el cumplimiento de esta medida,</w:t>
      </w:r>
      <w:r w:rsidRPr="00427854">
        <w:rPr>
          <w:rFonts w:ascii="Verdana" w:hAnsi="Verdana"/>
          <w:bCs/>
          <w:sz w:val="20"/>
          <w:szCs w:val="20"/>
          <w:lang w:val="es-CR"/>
        </w:rPr>
        <w:t xml:space="preserve"> expresaron su preocupación respecto a </w:t>
      </w:r>
      <w:r>
        <w:rPr>
          <w:rFonts w:ascii="Verdana" w:hAnsi="Verdana"/>
          <w:bCs/>
          <w:sz w:val="20"/>
          <w:szCs w:val="20"/>
          <w:lang w:val="es-CR"/>
        </w:rPr>
        <w:t xml:space="preserve">ciertos aspectos relacionados con el “funcionamiento” y la “administración del fondo” de desarrollo comunitario. En particular, señalaron </w:t>
      </w:r>
      <w:r w:rsidRPr="00427854">
        <w:rPr>
          <w:rFonts w:ascii="Verdana" w:hAnsi="Verdana"/>
          <w:bCs/>
          <w:sz w:val="20"/>
          <w:szCs w:val="20"/>
          <w:lang w:val="es-CR"/>
        </w:rPr>
        <w:t>que “según las estipulaciones hasta la fecha, los [montos] desembolsados que no sean utilizados a febrero de 2020, deberán ser devueltos al Ministerio de Hacienda”</w:t>
      </w:r>
      <w:r>
        <w:rPr>
          <w:rFonts w:ascii="Verdana" w:hAnsi="Verdana"/>
          <w:bCs/>
          <w:sz w:val="20"/>
          <w:szCs w:val="20"/>
          <w:lang w:val="es-CR"/>
        </w:rPr>
        <w:t>.</w:t>
      </w:r>
      <w:r w:rsidR="00035A72" w:rsidRPr="00035A72">
        <w:rPr>
          <w:rFonts w:ascii="Verdana" w:hAnsi="Verdana"/>
          <w:bCs/>
          <w:sz w:val="20"/>
          <w:szCs w:val="20"/>
          <w:lang w:val="es-CR"/>
        </w:rPr>
        <w:t xml:space="preserve"> </w:t>
      </w:r>
      <w:r w:rsidRPr="00427854">
        <w:rPr>
          <w:rFonts w:ascii="Verdana" w:hAnsi="Verdana"/>
          <w:bCs/>
          <w:sz w:val="20"/>
          <w:szCs w:val="20"/>
          <w:lang w:val="es-CR"/>
        </w:rPr>
        <w:t xml:space="preserve">Al respecto, este Tribunal considera necesario </w:t>
      </w:r>
      <w:r>
        <w:rPr>
          <w:rFonts w:ascii="Verdana" w:hAnsi="Verdana"/>
          <w:bCs/>
          <w:sz w:val="20"/>
          <w:szCs w:val="20"/>
          <w:lang w:val="es-CR"/>
        </w:rPr>
        <w:t>solicitar al</w:t>
      </w:r>
      <w:r w:rsidRPr="00427854">
        <w:rPr>
          <w:rFonts w:ascii="Verdana" w:hAnsi="Verdana"/>
          <w:bCs/>
          <w:sz w:val="20"/>
          <w:szCs w:val="20"/>
          <w:lang w:val="es-CR"/>
        </w:rPr>
        <w:t xml:space="preserve"> Estado </w:t>
      </w:r>
      <w:r>
        <w:rPr>
          <w:rFonts w:ascii="Verdana" w:hAnsi="Verdana"/>
          <w:bCs/>
          <w:sz w:val="20"/>
          <w:szCs w:val="20"/>
          <w:lang w:val="es-CR"/>
        </w:rPr>
        <w:t xml:space="preserve">que </w:t>
      </w:r>
      <w:r w:rsidRPr="00427854">
        <w:rPr>
          <w:rFonts w:ascii="Verdana" w:hAnsi="Verdana"/>
          <w:bCs/>
          <w:sz w:val="20"/>
          <w:szCs w:val="20"/>
          <w:lang w:val="es-CR"/>
        </w:rPr>
        <w:t>se refiera a dicha preocupación de los representantes y presente información sobre el funcionamiento y administración del fondo de desarrollo comunitario.</w:t>
      </w:r>
    </w:p>
    <w:p w14:paraId="06907EA7" w14:textId="77777777" w:rsidR="00035A72" w:rsidRPr="00035A72" w:rsidRDefault="005A78F2" w:rsidP="00035A72">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Cs/>
          <w:sz w:val="20"/>
          <w:szCs w:val="20"/>
          <w:lang w:val="es-CR"/>
        </w:rPr>
      </w:pPr>
      <w:r w:rsidRPr="005A78F2">
        <w:rPr>
          <w:rFonts w:ascii="Verdana" w:hAnsi="Verdana"/>
          <w:bCs/>
          <w:sz w:val="20"/>
          <w:szCs w:val="20"/>
          <w:lang w:val="es-CR"/>
        </w:rPr>
        <w:t>Por otra parte, en cuanto a la conformación del comité de implementación de los fondos de desarrollo, este Tribunal constata que el 24 de abril de 2019 la Presidencia del INDI emitió la Resolución N° 211/19 “por la cual se conforma[ron] los comités de implementación para la ejecución de los fondos de desarrollo comunitario de las comunidades indígenas con sentencia de la Corte I[nteramericana […]”</w:t>
      </w:r>
      <w:r w:rsidRPr="005A78F2">
        <w:rPr>
          <w:rStyle w:val="Refdenotaalpie"/>
          <w:rFonts w:ascii="Verdana" w:hAnsi="Verdana"/>
          <w:bCs/>
          <w:sz w:val="20"/>
          <w:szCs w:val="20"/>
          <w:lang w:val="es-CR"/>
        </w:rPr>
        <w:footnoteReference w:id="62"/>
      </w:r>
      <w:r w:rsidRPr="005A78F2">
        <w:rPr>
          <w:rFonts w:ascii="Verdana" w:hAnsi="Verdana"/>
          <w:bCs/>
          <w:sz w:val="20"/>
          <w:szCs w:val="20"/>
          <w:lang w:val="es-CR"/>
        </w:rPr>
        <w:t>. En dicha resolución consta que el comité de implementación del fondo de desarrollo de la Comunidad indígena</w:t>
      </w:r>
      <w:r w:rsidRPr="00BA3794">
        <w:rPr>
          <w:rFonts w:ascii="Verdana" w:hAnsi="Verdana"/>
          <w:bCs/>
          <w:sz w:val="20"/>
          <w:szCs w:val="20"/>
          <w:lang w:val="es-CR"/>
        </w:rPr>
        <w:t xml:space="preserve"> </w:t>
      </w:r>
      <w:r>
        <w:rPr>
          <w:rFonts w:ascii="Verdana" w:hAnsi="Verdana"/>
          <w:bCs/>
          <w:sz w:val="20"/>
          <w:szCs w:val="20"/>
          <w:lang w:val="es-CR"/>
        </w:rPr>
        <w:t>Xákmok Kásek</w:t>
      </w:r>
      <w:r w:rsidRPr="00BA3794">
        <w:rPr>
          <w:rFonts w:ascii="Verdana" w:hAnsi="Verdana"/>
          <w:bCs/>
          <w:sz w:val="20"/>
          <w:szCs w:val="20"/>
          <w:lang w:val="es-CR"/>
        </w:rPr>
        <w:t xml:space="preserve"> está conformado por la actual Presidenta del INDI como representante del Estado</w:t>
      </w:r>
      <w:r w:rsidRPr="009D084E">
        <w:rPr>
          <w:rStyle w:val="Refdenotaalpie"/>
          <w:rFonts w:ascii="Verdana" w:hAnsi="Verdana"/>
          <w:bCs/>
          <w:sz w:val="20"/>
          <w:szCs w:val="20"/>
          <w:lang w:val="es-CR"/>
        </w:rPr>
        <w:footnoteReference w:id="63"/>
      </w:r>
      <w:r w:rsidRPr="00BA3794">
        <w:rPr>
          <w:rFonts w:ascii="Verdana" w:hAnsi="Verdana"/>
          <w:bCs/>
          <w:sz w:val="20"/>
          <w:szCs w:val="20"/>
          <w:lang w:val="es-CR"/>
        </w:rPr>
        <w:t xml:space="preserve">, </w:t>
      </w:r>
      <w:r w:rsidR="00035A72" w:rsidRPr="00035A72">
        <w:rPr>
          <w:rFonts w:ascii="Verdana" w:hAnsi="Verdana"/>
          <w:bCs/>
          <w:sz w:val="20"/>
          <w:szCs w:val="20"/>
          <w:lang w:val="es-CR"/>
        </w:rPr>
        <w:t xml:space="preserve">el </w:t>
      </w:r>
      <w:r>
        <w:rPr>
          <w:rFonts w:ascii="Verdana" w:hAnsi="Verdana"/>
          <w:bCs/>
          <w:sz w:val="20"/>
          <w:szCs w:val="20"/>
          <w:lang w:val="es-CR"/>
        </w:rPr>
        <w:t>líder</w:t>
      </w:r>
      <w:r w:rsidR="00035A72" w:rsidRPr="00035A72">
        <w:rPr>
          <w:rFonts w:ascii="Verdana" w:hAnsi="Verdana"/>
          <w:bCs/>
          <w:sz w:val="20"/>
          <w:szCs w:val="20"/>
          <w:lang w:val="es-CR"/>
        </w:rPr>
        <w:t xml:space="preserve"> comunitario Gerardo Larrosa D.</w:t>
      </w:r>
      <w:r>
        <w:rPr>
          <w:rFonts w:ascii="Verdana" w:hAnsi="Verdana"/>
          <w:bCs/>
          <w:sz w:val="20"/>
          <w:szCs w:val="20"/>
          <w:lang w:val="es-CR"/>
        </w:rPr>
        <w:t>,</w:t>
      </w:r>
      <w:r w:rsidR="00035A72" w:rsidRPr="00035A72">
        <w:rPr>
          <w:rFonts w:ascii="Verdana" w:hAnsi="Verdana"/>
          <w:bCs/>
          <w:sz w:val="20"/>
          <w:szCs w:val="20"/>
          <w:lang w:val="es-CR"/>
        </w:rPr>
        <w:t xml:space="preserve"> </w:t>
      </w:r>
      <w:r>
        <w:rPr>
          <w:rFonts w:ascii="Verdana" w:hAnsi="Verdana"/>
          <w:bCs/>
          <w:sz w:val="20"/>
          <w:szCs w:val="20"/>
          <w:lang w:val="es-CR"/>
        </w:rPr>
        <w:t>como representante</w:t>
      </w:r>
      <w:r w:rsidR="00035A72" w:rsidRPr="00035A72">
        <w:rPr>
          <w:rFonts w:ascii="Verdana" w:hAnsi="Verdana"/>
          <w:bCs/>
          <w:sz w:val="20"/>
          <w:szCs w:val="20"/>
          <w:lang w:val="es-CR"/>
        </w:rPr>
        <w:t xml:space="preserve"> de las víctimas, y por el antropólogo Enrique Amarilla Ayala</w:t>
      </w:r>
      <w:r>
        <w:rPr>
          <w:rFonts w:ascii="Verdana" w:hAnsi="Verdana"/>
          <w:bCs/>
          <w:sz w:val="20"/>
          <w:szCs w:val="20"/>
          <w:lang w:val="es-CR"/>
        </w:rPr>
        <w:t>,</w:t>
      </w:r>
      <w:r w:rsidR="00035A72" w:rsidRPr="00035A72">
        <w:rPr>
          <w:rFonts w:ascii="Verdana" w:hAnsi="Verdana"/>
          <w:bCs/>
          <w:sz w:val="20"/>
          <w:szCs w:val="20"/>
          <w:lang w:val="es-CR"/>
        </w:rPr>
        <w:t xml:space="preserve"> como representante designado de común acuerdo entre las víctimas y el Estado</w:t>
      </w:r>
      <w:r w:rsidR="00035A72" w:rsidRPr="00035A72">
        <w:rPr>
          <w:rFonts w:ascii="Verdana" w:hAnsi="Verdana"/>
          <w:sz w:val="20"/>
          <w:lang w:val="es-MX"/>
        </w:rPr>
        <w:t xml:space="preserve">. </w:t>
      </w:r>
      <w:r>
        <w:rPr>
          <w:rFonts w:ascii="Verdana" w:hAnsi="Verdana"/>
          <w:sz w:val="20"/>
          <w:lang w:val="es-MX"/>
        </w:rPr>
        <w:t>Este Tribunal</w:t>
      </w:r>
      <w:r w:rsidRPr="00BA3794">
        <w:rPr>
          <w:rFonts w:ascii="Verdana" w:hAnsi="Verdana"/>
          <w:sz w:val="20"/>
          <w:lang w:val="es-MX"/>
        </w:rPr>
        <w:t xml:space="preserve"> valora positivamente que dicha conformación haya sido consensuada entre el Estado, los líderes de la comunidad y sus representantes en una reunión realizada el día antes de la emisión de la referida resolución del INDI,</w:t>
      </w:r>
      <w:r w:rsidR="00035A72" w:rsidRPr="00035A72">
        <w:rPr>
          <w:rFonts w:ascii="Verdana" w:hAnsi="Verdana"/>
          <w:sz w:val="20"/>
          <w:lang w:val="es-MX"/>
        </w:rPr>
        <w:t xml:space="preserve"> y considera que dicha conformación cumple con lo dispuesto por la Corte en el párrafo 324 de la Sentencia (</w:t>
      </w:r>
      <w:r w:rsidR="00035A72" w:rsidRPr="00035A72">
        <w:rPr>
          <w:rFonts w:ascii="Verdana" w:hAnsi="Verdana"/>
          <w:i/>
          <w:sz w:val="20"/>
          <w:lang w:val="es-MX"/>
        </w:rPr>
        <w:t xml:space="preserve">supra </w:t>
      </w:r>
      <w:r w:rsidR="00035A72" w:rsidRPr="00035A72">
        <w:rPr>
          <w:rFonts w:ascii="Verdana" w:hAnsi="Verdana"/>
          <w:sz w:val="20"/>
          <w:lang w:val="es-MX"/>
        </w:rPr>
        <w:t xml:space="preserve">Considerando </w:t>
      </w:r>
      <w:r>
        <w:rPr>
          <w:rFonts w:ascii="Verdana" w:hAnsi="Verdana"/>
          <w:sz w:val="20"/>
          <w:lang w:val="es-MX"/>
        </w:rPr>
        <w:t>38</w:t>
      </w:r>
      <w:r w:rsidR="00035A72" w:rsidRPr="00035A72">
        <w:rPr>
          <w:rFonts w:ascii="Verdana" w:hAnsi="Verdana"/>
          <w:sz w:val="20"/>
          <w:lang w:val="es-MX"/>
        </w:rPr>
        <w:t xml:space="preserve">). </w:t>
      </w:r>
    </w:p>
    <w:p w14:paraId="705785B9" w14:textId="77777777" w:rsidR="005A78F2" w:rsidRDefault="005A78F2" w:rsidP="005A78F2">
      <w:pPr>
        <w:pStyle w:val="Prrafodelista"/>
        <w:numPr>
          <w:ilvl w:val="0"/>
          <w:numId w:val="5"/>
        </w:numPr>
        <w:spacing w:before="120" w:after="120" w:line="240" w:lineRule="auto"/>
        <w:ind w:left="0" w:hanging="11"/>
        <w:contextualSpacing w:val="0"/>
        <w:jc w:val="both"/>
        <w:rPr>
          <w:rFonts w:ascii="Verdana" w:hAnsi="Verdana"/>
          <w:bCs/>
          <w:sz w:val="20"/>
          <w:szCs w:val="20"/>
          <w:lang w:val="es-CR"/>
        </w:rPr>
      </w:pPr>
      <w:r w:rsidRPr="00BA3794">
        <w:rPr>
          <w:rFonts w:ascii="Verdana" w:hAnsi="Verdana"/>
          <w:sz w:val="20"/>
          <w:lang w:val="es-MX"/>
        </w:rPr>
        <w:t xml:space="preserve">Además, este Tribunal toma nota de lo indicado por el </w:t>
      </w:r>
      <w:r>
        <w:rPr>
          <w:rFonts w:ascii="Verdana" w:hAnsi="Verdana"/>
          <w:sz w:val="20"/>
          <w:lang w:val="es-MX"/>
        </w:rPr>
        <w:t>Paraguay</w:t>
      </w:r>
      <w:r w:rsidRPr="00BA3794">
        <w:rPr>
          <w:rFonts w:ascii="Verdana" w:hAnsi="Verdana"/>
          <w:sz w:val="20"/>
          <w:lang w:val="es-MX"/>
        </w:rPr>
        <w:t xml:space="preserve"> respecto a que </w:t>
      </w:r>
      <w:r>
        <w:rPr>
          <w:rFonts w:ascii="Verdana" w:hAnsi="Verdana"/>
          <w:sz w:val="20"/>
          <w:lang w:val="es-MX"/>
        </w:rPr>
        <w:t>el referido</w:t>
      </w:r>
      <w:r w:rsidRPr="00BA3794">
        <w:rPr>
          <w:rFonts w:ascii="Verdana" w:hAnsi="Verdana"/>
          <w:sz w:val="20"/>
          <w:lang w:val="es-MX"/>
        </w:rPr>
        <w:t xml:space="preserve"> comité de implementación </w:t>
      </w:r>
      <w:r>
        <w:rPr>
          <w:rFonts w:ascii="Verdana" w:hAnsi="Verdana"/>
          <w:sz w:val="20"/>
          <w:lang w:val="es-MX"/>
        </w:rPr>
        <w:t>“</w:t>
      </w:r>
      <w:r w:rsidRPr="00BA3794">
        <w:rPr>
          <w:rFonts w:ascii="Verdana" w:hAnsi="Verdana"/>
          <w:sz w:val="20"/>
          <w:lang w:val="es-MX"/>
        </w:rPr>
        <w:t>ya se encuentra</w:t>
      </w:r>
      <w:r>
        <w:rPr>
          <w:rFonts w:ascii="Verdana" w:hAnsi="Verdana"/>
          <w:sz w:val="20"/>
          <w:lang w:val="es-MX"/>
        </w:rPr>
        <w:t>[…]</w:t>
      </w:r>
      <w:r w:rsidRPr="00BA3794">
        <w:rPr>
          <w:rFonts w:ascii="Verdana" w:hAnsi="Verdana"/>
          <w:sz w:val="20"/>
          <w:lang w:val="es-MX"/>
        </w:rPr>
        <w:t xml:space="preserve"> ejerciendo plenamente sus funciones, trabajando en las modalidades de implementación de los fondos, en los proyectos, así como el reglamento que los regirá”. </w:t>
      </w:r>
    </w:p>
    <w:p w14:paraId="68B2037A" w14:textId="77777777" w:rsidR="005A78F2" w:rsidRPr="00BA3794" w:rsidRDefault="00035A72" w:rsidP="005A78F2">
      <w:pPr>
        <w:pStyle w:val="Prrafodelista"/>
        <w:numPr>
          <w:ilvl w:val="0"/>
          <w:numId w:val="5"/>
        </w:numPr>
        <w:spacing w:before="120" w:after="120" w:line="240" w:lineRule="auto"/>
        <w:ind w:left="0" w:hanging="11"/>
        <w:contextualSpacing w:val="0"/>
        <w:jc w:val="both"/>
        <w:rPr>
          <w:rFonts w:ascii="Verdana" w:hAnsi="Verdana"/>
          <w:bCs/>
          <w:sz w:val="20"/>
          <w:szCs w:val="20"/>
          <w:lang w:val="es-CR"/>
        </w:rPr>
      </w:pPr>
      <w:r w:rsidRPr="00035A72">
        <w:rPr>
          <w:rFonts w:ascii="Verdana" w:hAnsi="Verdana"/>
          <w:sz w:val="20"/>
          <w:lang w:val="es-MX"/>
        </w:rPr>
        <w:t xml:space="preserve">Con base en todo lo anterior, la Corte considera que Paraguay ha dado cumplimiento parcial a la medida de reparación </w:t>
      </w:r>
      <w:r w:rsidRPr="00035A72">
        <w:rPr>
          <w:rFonts w:ascii="Verdana" w:hAnsi="Verdana"/>
          <w:sz w:val="20"/>
          <w:szCs w:val="20"/>
          <w:lang w:val="es-CR"/>
        </w:rPr>
        <w:t>ordenada en el punto resolutivo vigésimo octavo de la Sentencia, relativ</w:t>
      </w:r>
      <w:r w:rsidR="005A78F2">
        <w:rPr>
          <w:rFonts w:ascii="Verdana" w:hAnsi="Verdana"/>
          <w:sz w:val="20"/>
          <w:szCs w:val="20"/>
          <w:lang w:val="es-CR"/>
        </w:rPr>
        <w:t>a</w:t>
      </w:r>
      <w:r w:rsidRPr="00035A72">
        <w:rPr>
          <w:rFonts w:ascii="Verdana" w:hAnsi="Verdana"/>
          <w:sz w:val="20"/>
          <w:szCs w:val="20"/>
          <w:lang w:val="es-CR"/>
        </w:rPr>
        <w:t xml:space="preserve"> a </w:t>
      </w:r>
      <w:r w:rsidR="005A78F2">
        <w:rPr>
          <w:rFonts w:ascii="Verdana" w:hAnsi="Verdana"/>
          <w:sz w:val="20"/>
          <w:szCs w:val="20"/>
          <w:lang w:val="es-CR"/>
        </w:rPr>
        <w:t>crear</w:t>
      </w:r>
      <w:r w:rsidRPr="00035A72">
        <w:rPr>
          <w:rFonts w:ascii="Verdana" w:hAnsi="Verdana"/>
          <w:sz w:val="20"/>
          <w:szCs w:val="20"/>
          <w:lang w:val="es-CR"/>
        </w:rPr>
        <w:t xml:space="preserve"> un fondo de </w:t>
      </w:r>
      <w:r w:rsidR="005A78F2">
        <w:rPr>
          <w:rFonts w:ascii="Verdana" w:hAnsi="Verdana"/>
          <w:sz w:val="20"/>
          <w:szCs w:val="20"/>
          <w:lang w:val="es-CR"/>
        </w:rPr>
        <w:t>desarrollo comunitario que será implementado</w:t>
      </w:r>
      <w:r w:rsidRPr="00035A72">
        <w:rPr>
          <w:rFonts w:ascii="Verdana" w:hAnsi="Verdana"/>
          <w:sz w:val="20"/>
          <w:szCs w:val="20"/>
          <w:lang w:val="es-CR"/>
        </w:rPr>
        <w:t xml:space="preserve"> en las tierras que se entreguen a los miembros de la Comunidad </w:t>
      </w:r>
      <w:r w:rsidR="005A78F2">
        <w:rPr>
          <w:rFonts w:ascii="Verdana" w:hAnsi="Verdana"/>
          <w:sz w:val="20"/>
          <w:szCs w:val="20"/>
          <w:lang w:val="es-CR"/>
        </w:rPr>
        <w:t>indígena</w:t>
      </w:r>
      <w:r w:rsidRPr="00035A72">
        <w:rPr>
          <w:rFonts w:ascii="Verdana" w:hAnsi="Verdana"/>
          <w:sz w:val="20"/>
          <w:szCs w:val="20"/>
          <w:lang w:val="es-CR"/>
        </w:rPr>
        <w:t xml:space="preserve"> Xákmok Kásek. El Estado deberá presentar, en el plazo otorgado en la parte resolutiva de esta </w:t>
      </w:r>
      <w:r w:rsidR="005A78F2">
        <w:rPr>
          <w:rFonts w:ascii="Verdana" w:hAnsi="Verdana"/>
          <w:sz w:val="20"/>
          <w:szCs w:val="20"/>
          <w:lang w:val="es-CR"/>
        </w:rPr>
        <w:t>R</w:t>
      </w:r>
      <w:r w:rsidRPr="00035A72">
        <w:rPr>
          <w:rFonts w:ascii="Verdana" w:hAnsi="Verdana"/>
          <w:sz w:val="20"/>
          <w:szCs w:val="20"/>
          <w:lang w:val="es-CR"/>
        </w:rPr>
        <w:t>esolución, información actualizada y detallada respecto del cumplimiento de esta medida</w:t>
      </w:r>
      <w:r w:rsidR="005A78F2">
        <w:rPr>
          <w:rFonts w:ascii="Verdana" w:hAnsi="Verdana"/>
          <w:sz w:val="20"/>
          <w:szCs w:val="20"/>
          <w:lang w:val="es-CR"/>
        </w:rPr>
        <w:t>,</w:t>
      </w:r>
      <w:r w:rsidR="005A78F2" w:rsidRPr="005A78F2">
        <w:rPr>
          <w:rFonts w:ascii="Verdana" w:hAnsi="Verdana"/>
          <w:sz w:val="20"/>
          <w:szCs w:val="20"/>
          <w:lang w:val="es-CR"/>
        </w:rPr>
        <w:t xml:space="preserve"> </w:t>
      </w:r>
      <w:r w:rsidR="005A78F2">
        <w:rPr>
          <w:rFonts w:ascii="Verdana" w:hAnsi="Verdana"/>
          <w:sz w:val="20"/>
          <w:szCs w:val="20"/>
          <w:lang w:val="es-CR"/>
        </w:rPr>
        <w:t>incluyendo aquella que ha sido solicitada en los Considerandos 41 y 43 de la presente Resolución.</w:t>
      </w:r>
    </w:p>
    <w:p w14:paraId="103C4BE5" w14:textId="77777777" w:rsidR="00545AD4" w:rsidRPr="00C24A73" w:rsidRDefault="00545AD4" w:rsidP="00C56C31">
      <w:pPr>
        <w:pStyle w:val="Prrafodelista"/>
        <w:spacing w:before="120" w:after="120" w:line="240" w:lineRule="auto"/>
        <w:ind w:left="708" w:right="6"/>
        <w:contextualSpacing w:val="0"/>
        <w:jc w:val="both"/>
        <w:rPr>
          <w:rFonts w:ascii="Verdana" w:hAnsi="Verdana"/>
          <w:bCs/>
          <w:sz w:val="20"/>
          <w:szCs w:val="20"/>
          <w:lang w:val="es-ES_tradnl"/>
        </w:rPr>
      </w:pPr>
    </w:p>
    <w:p w14:paraId="74384B3B" w14:textId="77777777" w:rsidR="00A751E9" w:rsidRPr="003C6B95" w:rsidRDefault="00A751E9" w:rsidP="00480F33">
      <w:pPr>
        <w:pStyle w:val="Prrafodelista"/>
        <w:numPr>
          <w:ilvl w:val="0"/>
          <w:numId w:val="24"/>
        </w:numPr>
        <w:tabs>
          <w:tab w:val="left" w:pos="709"/>
        </w:tabs>
        <w:spacing w:before="120" w:after="120" w:line="240" w:lineRule="auto"/>
        <w:ind w:right="6" w:hanging="436"/>
        <w:contextualSpacing w:val="0"/>
        <w:jc w:val="both"/>
        <w:outlineLvl w:val="0"/>
        <w:rPr>
          <w:rFonts w:ascii="Verdana" w:eastAsiaTheme="minorHAnsi" w:hAnsi="Verdana" w:cstheme="minorBidi"/>
          <w:b/>
          <w:i/>
          <w:sz w:val="20"/>
          <w:szCs w:val="20"/>
          <w:lang w:val="es-ES_tradnl"/>
        </w:rPr>
      </w:pPr>
      <w:r>
        <w:rPr>
          <w:rFonts w:ascii="Verdana" w:hAnsi="Verdana"/>
          <w:b/>
          <w:i/>
          <w:sz w:val="20"/>
          <w:szCs w:val="20"/>
          <w:lang w:val="es-CR"/>
        </w:rPr>
        <w:t xml:space="preserve"> </w:t>
      </w:r>
      <w:bookmarkStart w:id="58" w:name="_Toc12032454"/>
      <w:r>
        <w:rPr>
          <w:rFonts w:ascii="Verdana" w:hAnsi="Verdana"/>
          <w:b/>
          <w:i/>
          <w:sz w:val="20"/>
          <w:szCs w:val="20"/>
          <w:lang w:val="es-CR"/>
        </w:rPr>
        <w:t xml:space="preserve">Solicitud de información sobre la reparación relativa al suministro de bienes y servicios básicos a los miembros de la Comunidad </w:t>
      </w:r>
      <w:r w:rsidR="000215C4">
        <w:rPr>
          <w:rFonts w:ascii="Verdana" w:hAnsi="Verdana"/>
          <w:b/>
          <w:i/>
          <w:sz w:val="20"/>
          <w:szCs w:val="20"/>
          <w:lang w:val="es-CR"/>
        </w:rPr>
        <w:t>de Xákmok Kásek</w:t>
      </w:r>
      <w:bookmarkEnd w:id="58"/>
    </w:p>
    <w:p w14:paraId="2EAB1BBB" w14:textId="77777777" w:rsidR="00BD35D8" w:rsidRDefault="005E5375" w:rsidP="00BD35D8">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Cs/>
          <w:sz w:val="20"/>
          <w:szCs w:val="20"/>
          <w:lang w:val="es-CR"/>
        </w:rPr>
      </w:pPr>
      <w:r w:rsidRPr="008C7D28">
        <w:rPr>
          <w:rFonts w:ascii="Verdana" w:hAnsi="Verdana"/>
          <w:bCs/>
          <w:sz w:val="20"/>
          <w:szCs w:val="20"/>
          <w:lang w:val="es-CR"/>
        </w:rPr>
        <w:t xml:space="preserve">En </w:t>
      </w:r>
      <w:r w:rsidR="005048FE">
        <w:rPr>
          <w:rFonts w:ascii="Verdana" w:hAnsi="Verdana"/>
          <w:bCs/>
          <w:sz w:val="20"/>
          <w:szCs w:val="20"/>
          <w:lang w:val="es-CR"/>
        </w:rPr>
        <w:t>los</w:t>
      </w:r>
      <w:r w:rsidRPr="008C7D28">
        <w:rPr>
          <w:rFonts w:ascii="Verdana" w:hAnsi="Verdana"/>
          <w:bCs/>
          <w:sz w:val="20"/>
          <w:szCs w:val="20"/>
          <w:lang w:val="es-CR"/>
        </w:rPr>
        <w:t xml:space="preserve"> punto</w:t>
      </w:r>
      <w:r w:rsidR="005048FE">
        <w:rPr>
          <w:rFonts w:ascii="Verdana" w:hAnsi="Verdana"/>
          <w:bCs/>
          <w:sz w:val="20"/>
          <w:szCs w:val="20"/>
          <w:lang w:val="es-CR"/>
        </w:rPr>
        <w:t>s</w:t>
      </w:r>
      <w:r w:rsidRPr="008C7D28">
        <w:rPr>
          <w:rFonts w:ascii="Verdana" w:hAnsi="Verdana"/>
          <w:bCs/>
          <w:sz w:val="20"/>
          <w:szCs w:val="20"/>
          <w:lang w:val="es-CR"/>
        </w:rPr>
        <w:t xml:space="preserve"> resolutivo</w:t>
      </w:r>
      <w:r w:rsidR="005048FE">
        <w:rPr>
          <w:rFonts w:ascii="Verdana" w:hAnsi="Verdana"/>
          <w:bCs/>
          <w:sz w:val="20"/>
          <w:szCs w:val="20"/>
          <w:lang w:val="es-CR"/>
        </w:rPr>
        <w:t>s</w:t>
      </w:r>
      <w:r w:rsidRPr="008C7D28">
        <w:rPr>
          <w:rFonts w:ascii="Verdana" w:hAnsi="Verdana"/>
          <w:bCs/>
          <w:sz w:val="20"/>
          <w:szCs w:val="20"/>
          <w:lang w:val="es-CR"/>
        </w:rPr>
        <w:t xml:space="preserve"> </w:t>
      </w:r>
      <w:r w:rsidR="000215C4" w:rsidRPr="008C7D28">
        <w:rPr>
          <w:rFonts w:ascii="Verdana" w:hAnsi="Verdana"/>
          <w:bCs/>
          <w:sz w:val="20"/>
          <w:szCs w:val="20"/>
          <w:lang w:val="es-CR"/>
        </w:rPr>
        <w:t>décimo noveno</w:t>
      </w:r>
      <w:r w:rsidR="005048FE">
        <w:rPr>
          <w:rFonts w:ascii="Verdana" w:hAnsi="Verdana"/>
          <w:bCs/>
          <w:sz w:val="20"/>
          <w:szCs w:val="20"/>
          <w:lang w:val="es-CR"/>
        </w:rPr>
        <w:t xml:space="preserve"> y vigésimo</w:t>
      </w:r>
      <w:r w:rsidRPr="008C7D28">
        <w:rPr>
          <w:rFonts w:ascii="Verdana" w:hAnsi="Verdana"/>
          <w:bCs/>
          <w:sz w:val="20"/>
          <w:szCs w:val="20"/>
          <w:lang w:val="es-CR"/>
        </w:rPr>
        <w:t xml:space="preserve"> y e</w:t>
      </w:r>
      <w:r w:rsidR="000215C4" w:rsidRPr="008C7D28">
        <w:rPr>
          <w:rFonts w:ascii="Verdana" w:hAnsi="Verdana"/>
          <w:bCs/>
          <w:sz w:val="20"/>
          <w:szCs w:val="20"/>
          <w:lang w:val="es-CR"/>
        </w:rPr>
        <w:t xml:space="preserve">n </w:t>
      </w:r>
      <w:r w:rsidRPr="008C7D28">
        <w:rPr>
          <w:rFonts w:ascii="Verdana" w:hAnsi="Verdana"/>
          <w:bCs/>
          <w:sz w:val="20"/>
          <w:szCs w:val="20"/>
          <w:lang w:val="es-CR"/>
        </w:rPr>
        <w:t>l</w:t>
      </w:r>
      <w:r w:rsidR="000215C4" w:rsidRPr="008C7D28">
        <w:rPr>
          <w:rFonts w:ascii="Verdana" w:hAnsi="Verdana"/>
          <w:bCs/>
          <w:sz w:val="20"/>
          <w:szCs w:val="20"/>
          <w:lang w:val="es-CR"/>
        </w:rPr>
        <w:t>os</w:t>
      </w:r>
      <w:r w:rsidRPr="008C7D28">
        <w:rPr>
          <w:rFonts w:ascii="Verdana" w:hAnsi="Verdana"/>
          <w:bCs/>
          <w:sz w:val="20"/>
          <w:szCs w:val="20"/>
          <w:lang w:val="es-CR"/>
        </w:rPr>
        <w:t xml:space="preserve"> párrafo</w:t>
      </w:r>
      <w:r w:rsidR="000215C4" w:rsidRPr="008C7D28">
        <w:rPr>
          <w:rFonts w:ascii="Verdana" w:hAnsi="Verdana"/>
          <w:bCs/>
          <w:sz w:val="20"/>
          <w:szCs w:val="20"/>
          <w:lang w:val="es-CR"/>
        </w:rPr>
        <w:t>s</w:t>
      </w:r>
      <w:r w:rsidRPr="008C7D28">
        <w:rPr>
          <w:rFonts w:ascii="Verdana" w:hAnsi="Verdana"/>
          <w:bCs/>
          <w:sz w:val="20"/>
          <w:szCs w:val="20"/>
          <w:lang w:val="es-CR"/>
        </w:rPr>
        <w:t xml:space="preserve"> </w:t>
      </w:r>
      <w:r w:rsidR="000215C4" w:rsidRPr="008C7D28">
        <w:rPr>
          <w:rFonts w:ascii="Verdana" w:hAnsi="Verdana"/>
          <w:bCs/>
          <w:sz w:val="20"/>
          <w:szCs w:val="20"/>
          <w:lang w:val="es-CR"/>
        </w:rPr>
        <w:t xml:space="preserve">301 </w:t>
      </w:r>
      <w:r w:rsidR="005048FE">
        <w:rPr>
          <w:rFonts w:ascii="Verdana" w:hAnsi="Verdana"/>
          <w:bCs/>
          <w:sz w:val="20"/>
          <w:szCs w:val="20"/>
          <w:lang w:val="es-CR"/>
        </w:rPr>
        <w:t>a 304</w:t>
      </w:r>
      <w:r w:rsidRPr="008C7D28">
        <w:rPr>
          <w:rFonts w:ascii="Verdana" w:hAnsi="Verdana"/>
          <w:bCs/>
          <w:sz w:val="20"/>
          <w:szCs w:val="20"/>
          <w:lang w:val="es-CR"/>
        </w:rPr>
        <w:t xml:space="preserve"> de la Sentencia, la Corte dispuso </w:t>
      </w:r>
      <w:r w:rsidR="005048FE">
        <w:rPr>
          <w:rFonts w:ascii="Verdana" w:hAnsi="Verdana"/>
          <w:bCs/>
          <w:sz w:val="20"/>
          <w:szCs w:val="20"/>
          <w:lang w:val="es-CR"/>
        </w:rPr>
        <w:t xml:space="preserve">medidas de </w:t>
      </w:r>
      <w:r w:rsidR="00453EC0">
        <w:rPr>
          <w:rFonts w:ascii="Verdana" w:hAnsi="Verdana"/>
          <w:bCs/>
          <w:sz w:val="20"/>
          <w:szCs w:val="20"/>
          <w:lang w:val="es-CR"/>
        </w:rPr>
        <w:t xml:space="preserve">reparación relativas al suministro de bienes y a la prestación de servicios básicos a la Comunidad Xákmok Kásek. </w:t>
      </w:r>
      <w:r w:rsidR="00A63C2A">
        <w:rPr>
          <w:rFonts w:ascii="Verdana" w:hAnsi="Verdana"/>
          <w:bCs/>
          <w:sz w:val="20"/>
          <w:szCs w:val="20"/>
          <w:lang w:val="es-CR"/>
        </w:rPr>
        <w:t xml:space="preserve">El Tribunal dispuso que </w:t>
      </w:r>
      <w:r w:rsidR="00A241CA" w:rsidRPr="00A63C2A">
        <w:rPr>
          <w:rFonts w:ascii="Verdana" w:hAnsi="Verdana"/>
          <w:bCs/>
          <w:sz w:val="20"/>
          <w:szCs w:val="20"/>
          <w:lang w:val="es-CR"/>
        </w:rPr>
        <w:t>“</w:t>
      </w:r>
      <w:r w:rsidR="000215C4" w:rsidRPr="00A63C2A">
        <w:rPr>
          <w:rFonts w:ascii="Verdana" w:hAnsi="Verdana"/>
          <w:sz w:val="20"/>
          <w:szCs w:val="20"/>
          <w:lang w:val="es-CR"/>
        </w:rPr>
        <w:t>mientras se entrega el territorio tradicional, o en su caso las tierras alternativas, a los miembros de la Comunidad, el Estado deberá adoptar de manera inmediata, periódica y permanente, las siguientes medidas: a) suministro de agua potable suficiente para el consumo y aseo personal de los miembros de la Comunidad; b) revisión y atención médica y psicosocial de todos los miembros de la Comunidad, especialmente los niños, niñas y ancianos, acompañada de la realización periódica de campañas de vacunación y desparasitación que respeten sus usos y costumbres; c) atención médica especial a las mujeres que se encuentren embarazadas, tanto antes del parto como durante los primeros meses después de éste, así como al recién nacido; d) entrega de alimentos en calidad y cantidad suficientes para asegurar una alimentación adecuada; e) instalación de letrinas o cualquier tipo de servicio sanitario adecuado en el asentamiento de la Comunidad, y f) dotar a la escuela de los materiales y recursos humanos necesarios para garantizar el acceso a la educación básica para los niños y niñas de la Comunidad, prestando especial atención a que la educación impartida respete sus tradiciones culturales y garantice la protección de su lengua propia</w:t>
      </w:r>
      <w:r w:rsidR="00D66AD9">
        <w:rPr>
          <w:rFonts w:ascii="Verdana" w:hAnsi="Verdana"/>
          <w:sz w:val="20"/>
          <w:szCs w:val="20"/>
          <w:lang w:val="es-CR"/>
        </w:rPr>
        <w:t>”</w:t>
      </w:r>
      <w:r w:rsidR="000215C4" w:rsidRPr="00A63C2A">
        <w:rPr>
          <w:rFonts w:ascii="Verdana" w:hAnsi="Verdana"/>
          <w:sz w:val="20"/>
          <w:szCs w:val="20"/>
          <w:lang w:val="es-CR"/>
        </w:rPr>
        <w:t xml:space="preserve">. </w:t>
      </w:r>
      <w:r w:rsidR="00D66AD9">
        <w:rPr>
          <w:rFonts w:ascii="Verdana" w:hAnsi="Verdana"/>
          <w:sz w:val="20"/>
          <w:szCs w:val="20"/>
          <w:lang w:val="es-CR"/>
        </w:rPr>
        <w:t>Adicionalmente, se dispuso que a efectos de que la prestación de bienes y servicios básicos sea adecuada y periódica el Estado deberá elaborar [los] estudio[s] que se detallan en el párrafo 303 de la Sentencia.</w:t>
      </w:r>
    </w:p>
    <w:p w14:paraId="7553B42A" w14:textId="77777777" w:rsidR="008C7D28" w:rsidRPr="00BD35D8" w:rsidRDefault="00611CB6" w:rsidP="00BD35D8">
      <w:pPr>
        <w:pStyle w:val="Prrafodelista"/>
        <w:numPr>
          <w:ilvl w:val="0"/>
          <w:numId w:val="5"/>
        </w:numPr>
        <w:autoSpaceDE w:val="0"/>
        <w:autoSpaceDN w:val="0"/>
        <w:adjustRightInd w:val="0"/>
        <w:spacing w:before="120" w:after="120" w:line="240" w:lineRule="auto"/>
        <w:ind w:left="0" w:firstLine="0"/>
        <w:contextualSpacing w:val="0"/>
        <w:jc w:val="both"/>
        <w:rPr>
          <w:rFonts w:ascii="Verdana" w:hAnsi="Verdana"/>
          <w:bCs/>
          <w:sz w:val="20"/>
          <w:szCs w:val="20"/>
          <w:lang w:val="es-CR"/>
        </w:rPr>
      </w:pPr>
      <w:r w:rsidRPr="00BD35D8">
        <w:rPr>
          <w:rFonts w:ascii="Verdana" w:hAnsi="Verdana"/>
          <w:bCs/>
          <w:sz w:val="20"/>
          <w:szCs w:val="20"/>
          <w:lang w:val="es-CR"/>
        </w:rPr>
        <w:t>A fin de valorar el cumplimiento de esta medida, este Tribunal requiere que el Estado remita información actualizada y detallada al respecto, la cual deberá tener en cuenta los compromisos asumidos por las diversas autoridades estatales durante la visita de supervisión de cumplimiento realizada en noviembre de 2017, en lo relativo a los aspectos que involucra la ejecución de esta medida, así como las observaciones formuladas por los representantes de las víctimas en los escritos presentados con posterioridad a la visita y la audiencia de supervisión, entre febrero 2018 y marzo de 2019 (</w:t>
      </w:r>
      <w:r w:rsidRPr="00BD35D8">
        <w:rPr>
          <w:rFonts w:ascii="Verdana" w:hAnsi="Verdana"/>
          <w:bCs/>
          <w:i/>
          <w:sz w:val="20"/>
          <w:szCs w:val="20"/>
          <w:lang w:val="es-CR"/>
        </w:rPr>
        <w:t xml:space="preserve">supra </w:t>
      </w:r>
      <w:r w:rsidRPr="00BD35D8">
        <w:rPr>
          <w:rFonts w:ascii="Verdana" w:hAnsi="Verdana"/>
          <w:bCs/>
          <w:sz w:val="20"/>
          <w:szCs w:val="20"/>
          <w:lang w:val="es-CR"/>
        </w:rPr>
        <w:t>Visto 10).</w:t>
      </w:r>
    </w:p>
    <w:p w14:paraId="2733AA4B" w14:textId="77777777" w:rsidR="007B7335" w:rsidRDefault="007B7335" w:rsidP="003D1833">
      <w:pPr>
        <w:pStyle w:val="Default"/>
        <w:spacing w:before="120" w:after="120"/>
        <w:jc w:val="both"/>
        <w:rPr>
          <w:b/>
          <w:sz w:val="20"/>
          <w:szCs w:val="20"/>
          <w:lang w:val="es-CR"/>
        </w:rPr>
      </w:pPr>
    </w:p>
    <w:p w14:paraId="0418BC9E" w14:textId="77777777" w:rsidR="003377E6" w:rsidRDefault="003377E6" w:rsidP="003D1833">
      <w:pPr>
        <w:pStyle w:val="Default"/>
        <w:spacing w:before="120" w:after="120"/>
        <w:jc w:val="both"/>
        <w:rPr>
          <w:b/>
          <w:sz w:val="20"/>
          <w:szCs w:val="20"/>
          <w:lang w:val="es-CR"/>
        </w:rPr>
      </w:pPr>
      <w:r>
        <w:rPr>
          <w:b/>
          <w:sz w:val="20"/>
          <w:szCs w:val="20"/>
          <w:lang w:val="es-CR"/>
        </w:rPr>
        <w:t>POR TANTO:</w:t>
      </w:r>
    </w:p>
    <w:p w14:paraId="4408A3CF" w14:textId="77777777" w:rsidR="003377E6" w:rsidRDefault="003377E6" w:rsidP="003D1833">
      <w:pPr>
        <w:pStyle w:val="Textoindependiente"/>
        <w:tabs>
          <w:tab w:val="left" w:pos="360"/>
          <w:tab w:val="left" w:pos="567"/>
        </w:tabs>
        <w:spacing w:before="120" w:line="240" w:lineRule="auto"/>
        <w:rPr>
          <w:rFonts w:ascii="Verdana" w:hAnsi="Verdana"/>
          <w:b/>
          <w:lang w:val="es-CR"/>
        </w:rPr>
      </w:pPr>
      <w:r>
        <w:rPr>
          <w:rFonts w:ascii="Verdana" w:hAnsi="Verdana"/>
          <w:b/>
        </w:rPr>
        <w:t>LA CORTE INTERAMERICANA DE DERECHOS HUMANOS,</w:t>
      </w:r>
    </w:p>
    <w:p w14:paraId="1A810EB3" w14:textId="77777777" w:rsidR="003377E6" w:rsidRPr="003377E6" w:rsidRDefault="008C7D28" w:rsidP="003D1833">
      <w:pPr>
        <w:tabs>
          <w:tab w:val="left" w:pos="567"/>
        </w:tabs>
        <w:spacing w:before="120" w:after="120" w:line="240" w:lineRule="auto"/>
        <w:jc w:val="both"/>
        <w:rPr>
          <w:rFonts w:ascii="Verdana" w:hAnsi="Verdana"/>
          <w:sz w:val="20"/>
          <w:szCs w:val="20"/>
          <w:lang w:val="es-CR"/>
        </w:rPr>
      </w:pPr>
      <w:r>
        <w:rPr>
          <w:rFonts w:ascii="Verdana" w:hAnsi="Verdana"/>
          <w:sz w:val="20"/>
          <w:szCs w:val="20"/>
          <w:lang w:val="es-CR"/>
        </w:rPr>
        <w:t>e</w:t>
      </w:r>
      <w:r w:rsidR="003377E6" w:rsidRPr="003377E6">
        <w:rPr>
          <w:rFonts w:ascii="Verdana" w:hAnsi="Verdana"/>
          <w:sz w:val="20"/>
          <w:szCs w:val="20"/>
          <w:lang w:val="es-CR"/>
        </w:rPr>
        <w:t>n el ejercicio de sus atribuciones de supervisión del cumplimiento de sus decisiones, de conformidad con los artículos 33, 62.1, 62.3, 65, 67 y 68.1 de la Convención Americana sobre Derechos Humanos, 24, 25 y 30 del Estatuto, y 31.2 y 69 de su Reglamento</w:t>
      </w:r>
      <w:r w:rsidR="003377E6" w:rsidRPr="003377E6">
        <w:rPr>
          <w:rFonts w:ascii="Verdana" w:hAnsi="Verdana"/>
          <w:sz w:val="20"/>
          <w:lang w:val="es-CR" w:eastAsia="es-CR"/>
        </w:rPr>
        <w:t>,</w:t>
      </w:r>
    </w:p>
    <w:p w14:paraId="641D9BFA" w14:textId="77777777" w:rsidR="003377E6" w:rsidRDefault="003377E6" w:rsidP="003D1833">
      <w:pPr>
        <w:tabs>
          <w:tab w:val="left" w:pos="567"/>
        </w:tabs>
        <w:spacing w:before="120" w:after="120" w:line="240" w:lineRule="auto"/>
        <w:ind w:right="22"/>
        <w:jc w:val="both"/>
        <w:rPr>
          <w:rFonts w:ascii="Verdana" w:hAnsi="Verdana"/>
          <w:b/>
          <w:sz w:val="20"/>
          <w:szCs w:val="20"/>
          <w:lang w:val="es-CR"/>
        </w:rPr>
      </w:pPr>
    </w:p>
    <w:p w14:paraId="5EF5B370" w14:textId="77777777" w:rsidR="000511E8" w:rsidRDefault="000511E8" w:rsidP="003D1833">
      <w:pPr>
        <w:tabs>
          <w:tab w:val="left" w:pos="567"/>
        </w:tabs>
        <w:spacing w:before="120" w:after="120" w:line="240" w:lineRule="auto"/>
        <w:ind w:right="22"/>
        <w:jc w:val="both"/>
        <w:rPr>
          <w:rFonts w:ascii="Verdana" w:hAnsi="Verdana"/>
          <w:b/>
          <w:sz w:val="20"/>
          <w:szCs w:val="20"/>
          <w:lang w:val="es-CR"/>
        </w:rPr>
      </w:pPr>
    </w:p>
    <w:p w14:paraId="12F1C5ED" w14:textId="77777777" w:rsidR="000511E8" w:rsidRDefault="000511E8" w:rsidP="003D1833">
      <w:pPr>
        <w:tabs>
          <w:tab w:val="left" w:pos="567"/>
        </w:tabs>
        <w:spacing w:before="120" w:after="120" w:line="240" w:lineRule="auto"/>
        <w:ind w:right="22"/>
        <w:jc w:val="both"/>
        <w:rPr>
          <w:rFonts w:ascii="Verdana" w:hAnsi="Verdana"/>
          <w:b/>
          <w:sz w:val="20"/>
          <w:szCs w:val="20"/>
          <w:lang w:val="es-CR"/>
        </w:rPr>
      </w:pPr>
    </w:p>
    <w:p w14:paraId="6042E0B3" w14:textId="77777777" w:rsidR="000511E8" w:rsidRPr="003377E6" w:rsidRDefault="000511E8" w:rsidP="003D1833">
      <w:pPr>
        <w:tabs>
          <w:tab w:val="left" w:pos="567"/>
        </w:tabs>
        <w:spacing w:before="120" w:after="120" w:line="240" w:lineRule="auto"/>
        <w:ind w:right="22"/>
        <w:jc w:val="both"/>
        <w:rPr>
          <w:rFonts w:ascii="Verdana" w:hAnsi="Verdana"/>
          <w:b/>
          <w:sz w:val="20"/>
          <w:szCs w:val="20"/>
          <w:lang w:val="es-CR"/>
        </w:rPr>
      </w:pPr>
    </w:p>
    <w:p w14:paraId="00B3176F" w14:textId="77777777" w:rsidR="00D20F59" w:rsidRDefault="003377E6" w:rsidP="003D1833">
      <w:pPr>
        <w:tabs>
          <w:tab w:val="left" w:pos="567"/>
        </w:tabs>
        <w:spacing w:before="120" w:after="120" w:line="240" w:lineRule="auto"/>
        <w:ind w:right="22"/>
        <w:jc w:val="both"/>
        <w:rPr>
          <w:rFonts w:ascii="Verdana" w:hAnsi="Verdana"/>
          <w:b/>
          <w:sz w:val="20"/>
          <w:szCs w:val="20"/>
          <w:lang w:val="es-CR"/>
        </w:rPr>
      </w:pPr>
      <w:r w:rsidRPr="00D20F59">
        <w:rPr>
          <w:rFonts w:ascii="Verdana" w:hAnsi="Verdana"/>
          <w:b/>
          <w:sz w:val="20"/>
          <w:szCs w:val="20"/>
          <w:lang w:val="es-CR"/>
        </w:rPr>
        <w:t xml:space="preserve">RESUELVE: </w:t>
      </w:r>
    </w:p>
    <w:p w14:paraId="7196C015" w14:textId="77777777" w:rsidR="007B7335" w:rsidRPr="002F68CD" w:rsidRDefault="007B7335" w:rsidP="007B7335">
      <w:pPr>
        <w:numPr>
          <w:ilvl w:val="0"/>
          <w:numId w:val="18"/>
        </w:numPr>
        <w:tabs>
          <w:tab w:val="left" w:pos="567"/>
        </w:tabs>
        <w:spacing w:before="120" w:after="120" w:line="240" w:lineRule="auto"/>
        <w:ind w:left="0" w:right="22" w:firstLine="0"/>
        <w:jc w:val="both"/>
        <w:rPr>
          <w:rFonts w:ascii="Verdana" w:hAnsi="Verdana"/>
          <w:sz w:val="20"/>
          <w:szCs w:val="20"/>
          <w:lang w:val="es-ES_tradnl"/>
        </w:rPr>
      </w:pPr>
      <w:r w:rsidRPr="002F68CD">
        <w:rPr>
          <w:rFonts w:ascii="Verdana" w:hAnsi="Verdana"/>
          <w:sz w:val="20"/>
          <w:szCs w:val="20"/>
          <w:lang w:val="es-ES_tradnl"/>
        </w:rPr>
        <w:t xml:space="preserve">Reafirmar la importancia de que el </w:t>
      </w:r>
      <w:r>
        <w:rPr>
          <w:rFonts w:ascii="Verdana" w:hAnsi="Verdana"/>
          <w:sz w:val="20"/>
          <w:szCs w:val="20"/>
          <w:lang w:val="es-ES_tradnl"/>
        </w:rPr>
        <w:t>Paraguay</w:t>
      </w:r>
      <w:r w:rsidRPr="002F68CD">
        <w:rPr>
          <w:rFonts w:ascii="Verdana" w:hAnsi="Verdana"/>
          <w:sz w:val="20"/>
          <w:szCs w:val="20"/>
          <w:lang w:val="es-ES_tradnl"/>
        </w:rPr>
        <w:t xml:space="preserve"> </w:t>
      </w:r>
      <w:r>
        <w:rPr>
          <w:rFonts w:ascii="Verdana" w:hAnsi="Verdana"/>
          <w:sz w:val="20"/>
          <w:szCs w:val="20"/>
          <w:lang w:val="es-ES_tradnl"/>
        </w:rPr>
        <w:t>haya brindado</w:t>
      </w:r>
      <w:r w:rsidRPr="002F68CD">
        <w:rPr>
          <w:rFonts w:ascii="Verdana" w:hAnsi="Verdana"/>
          <w:sz w:val="20"/>
          <w:szCs w:val="20"/>
          <w:lang w:val="es-ES_tradnl"/>
        </w:rPr>
        <w:t xml:space="preserve"> su anuencia y colaboración para la realización de una diligencia de supervisión de cumplimiento de Sentencia </w:t>
      </w:r>
      <w:r>
        <w:rPr>
          <w:rFonts w:ascii="Verdana" w:hAnsi="Verdana"/>
          <w:sz w:val="20"/>
          <w:szCs w:val="20"/>
          <w:lang w:val="es-ES_tradnl"/>
        </w:rPr>
        <w:t>a las</w:t>
      </w:r>
      <w:r w:rsidRPr="00315479">
        <w:rPr>
          <w:rFonts w:ascii="Verdana" w:hAnsi="Verdana"/>
          <w:sz w:val="20"/>
          <w:szCs w:val="20"/>
          <w:lang w:val="es-ES_tradnl"/>
        </w:rPr>
        <w:t xml:space="preserve"> Comunidades </w:t>
      </w:r>
      <w:r>
        <w:rPr>
          <w:rFonts w:ascii="Verdana" w:hAnsi="Verdana"/>
          <w:sz w:val="20"/>
          <w:szCs w:val="20"/>
          <w:lang w:val="es-ES_tradnl"/>
        </w:rPr>
        <w:t>i</w:t>
      </w:r>
      <w:r w:rsidRPr="00315479">
        <w:rPr>
          <w:rFonts w:ascii="Verdana" w:hAnsi="Verdana"/>
          <w:sz w:val="20"/>
          <w:szCs w:val="20"/>
          <w:lang w:val="es-ES_tradnl"/>
        </w:rPr>
        <w:t>ndígenas Yakye Axa, Sawhoyamaxa y Xákmok Kásek, ubicadas en el Departamento de Presidente Hayes, en el Chaco paraguayo</w:t>
      </w:r>
      <w:r>
        <w:rPr>
          <w:rFonts w:ascii="Verdana" w:hAnsi="Verdana"/>
          <w:sz w:val="20"/>
          <w:szCs w:val="20"/>
          <w:lang w:val="es-ES_tradnl"/>
        </w:rPr>
        <w:t xml:space="preserve">, pues </w:t>
      </w:r>
      <w:r w:rsidRPr="002F68CD">
        <w:rPr>
          <w:rFonts w:ascii="Verdana" w:hAnsi="Verdana"/>
          <w:sz w:val="20"/>
          <w:szCs w:val="20"/>
          <w:lang w:val="es-ES_tradnl"/>
        </w:rPr>
        <w:t>ello permitió una constatación directa de la Corte Interamericana y una mayor participación de las víctimas y de los distintos funcionarios y autoridades estatales a cargo de la ejecución de variadas reparaciones ordenadas en la Sentencia, así como un contacto más directo entre las partes en aras de identificar obstáculos y brindar soluciones para dar cumplimiento a las reparaciones.</w:t>
      </w:r>
    </w:p>
    <w:p w14:paraId="3F53DFC3" w14:textId="77777777" w:rsidR="00D2691E" w:rsidRDefault="00D2691E" w:rsidP="00D2691E">
      <w:pPr>
        <w:numPr>
          <w:ilvl w:val="0"/>
          <w:numId w:val="18"/>
        </w:numPr>
        <w:tabs>
          <w:tab w:val="left" w:pos="567"/>
        </w:tabs>
        <w:spacing w:before="120" w:after="120" w:line="240" w:lineRule="auto"/>
        <w:ind w:left="0" w:right="22" w:firstLine="0"/>
        <w:jc w:val="both"/>
        <w:rPr>
          <w:rFonts w:ascii="Verdana" w:hAnsi="Verdana"/>
          <w:sz w:val="20"/>
          <w:szCs w:val="20"/>
          <w:lang w:val="es-CR"/>
        </w:rPr>
      </w:pPr>
      <w:r w:rsidRPr="003377E6">
        <w:rPr>
          <w:rFonts w:ascii="Verdana" w:hAnsi="Verdana"/>
          <w:sz w:val="20"/>
          <w:szCs w:val="20"/>
          <w:lang w:val="es-CR"/>
        </w:rPr>
        <w:t xml:space="preserve">Declarar, de conformidad con lo señalado en </w:t>
      </w:r>
      <w:r>
        <w:rPr>
          <w:rFonts w:ascii="Verdana" w:hAnsi="Verdana"/>
          <w:sz w:val="20"/>
          <w:szCs w:val="20"/>
          <w:lang w:val="es-CR"/>
        </w:rPr>
        <w:t>el Considerando</w:t>
      </w:r>
      <w:r w:rsidRPr="003377E6">
        <w:rPr>
          <w:rFonts w:ascii="Verdana" w:hAnsi="Verdana"/>
          <w:sz w:val="20"/>
          <w:szCs w:val="20"/>
          <w:lang w:val="es-CR"/>
        </w:rPr>
        <w:t xml:space="preserve"> </w:t>
      </w:r>
      <w:r>
        <w:rPr>
          <w:rFonts w:ascii="Verdana" w:hAnsi="Verdana"/>
          <w:sz w:val="20"/>
          <w:szCs w:val="20"/>
          <w:lang w:val="es-CR"/>
        </w:rPr>
        <w:t xml:space="preserve">32 de la presente Resolución, </w:t>
      </w:r>
      <w:r w:rsidRPr="001B2C9A">
        <w:rPr>
          <w:rFonts w:ascii="Verdana" w:hAnsi="Verdana"/>
          <w:sz w:val="20"/>
          <w:szCs w:val="20"/>
          <w:lang w:val="es-CR"/>
        </w:rPr>
        <w:t>concluida</w:t>
      </w:r>
      <w:r w:rsidRPr="003377E6">
        <w:rPr>
          <w:rFonts w:ascii="Verdana" w:hAnsi="Verdana"/>
          <w:sz w:val="20"/>
          <w:szCs w:val="20"/>
          <w:lang w:val="es-CR"/>
        </w:rPr>
        <w:t xml:space="preserve"> la supervisión de cumplimiento de</w:t>
      </w:r>
      <w:r>
        <w:rPr>
          <w:rFonts w:ascii="Verdana" w:hAnsi="Verdana"/>
          <w:sz w:val="20"/>
          <w:szCs w:val="20"/>
          <w:lang w:val="es-CR"/>
        </w:rPr>
        <w:t xml:space="preserve"> la medida de reparación ordenada en el </w:t>
      </w:r>
      <w:r w:rsidRPr="001B2C9A">
        <w:rPr>
          <w:rFonts w:ascii="Verdana" w:hAnsi="Verdana"/>
          <w:sz w:val="20"/>
          <w:szCs w:val="20"/>
          <w:lang w:val="es-CR"/>
        </w:rPr>
        <w:t>punto resolutivo vigésimo sexto de la Sentencia</w:t>
      </w:r>
      <w:r>
        <w:rPr>
          <w:rFonts w:ascii="Verdana" w:hAnsi="Verdana"/>
          <w:i/>
          <w:sz w:val="20"/>
          <w:szCs w:val="20"/>
          <w:lang w:val="es-CR"/>
        </w:rPr>
        <w:t>,</w:t>
      </w:r>
      <w:r>
        <w:rPr>
          <w:rFonts w:ascii="Verdana" w:hAnsi="Verdana"/>
          <w:sz w:val="20"/>
          <w:szCs w:val="20"/>
          <w:lang w:val="es-CR"/>
        </w:rPr>
        <w:t xml:space="preserve"> relativa a adoptar las medidas necesarias para que el Decreto No. 11.804 que declaró como área silvestre protegida a parte del territorio reclamado por la Comunidad Xákmok Kásek no sea un obstáculo para la devolución de las tierras tradicionales</w:t>
      </w:r>
      <w:r w:rsidRPr="00A77BEB">
        <w:rPr>
          <w:rFonts w:ascii="Verdana" w:hAnsi="Verdana"/>
          <w:i/>
          <w:sz w:val="20"/>
          <w:szCs w:val="20"/>
          <w:lang w:val="es-CR"/>
        </w:rPr>
        <w:t>.</w:t>
      </w:r>
      <w:r w:rsidRPr="00B553CB">
        <w:rPr>
          <w:rFonts w:ascii="Verdana" w:hAnsi="Verdana"/>
          <w:sz w:val="20"/>
          <w:szCs w:val="20"/>
          <w:lang w:val="es-CR"/>
        </w:rPr>
        <w:t xml:space="preserve"> </w:t>
      </w:r>
    </w:p>
    <w:p w14:paraId="0FBC2412" w14:textId="77777777" w:rsidR="00B553CB" w:rsidRDefault="00105DA8" w:rsidP="00B553CB">
      <w:pPr>
        <w:numPr>
          <w:ilvl w:val="0"/>
          <w:numId w:val="18"/>
        </w:numPr>
        <w:tabs>
          <w:tab w:val="left" w:pos="567"/>
        </w:tabs>
        <w:spacing w:before="120" w:after="120" w:line="240" w:lineRule="auto"/>
        <w:ind w:left="0" w:right="22" w:firstLine="0"/>
        <w:jc w:val="both"/>
        <w:rPr>
          <w:rFonts w:ascii="Verdana" w:hAnsi="Verdana"/>
          <w:sz w:val="20"/>
          <w:szCs w:val="20"/>
          <w:lang w:val="es-CR"/>
        </w:rPr>
      </w:pPr>
      <w:r w:rsidRPr="003377E6">
        <w:rPr>
          <w:rFonts w:ascii="Verdana" w:hAnsi="Verdana"/>
          <w:sz w:val="20"/>
          <w:szCs w:val="20"/>
          <w:lang w:val="es-CR"/>
        </w:rPr>
        <w:t xml:space="preserve">Declarar, de conformidad con lo señalado en </w:t>
      </w:r>
      <w:r>
        <w:rPr>
          <w:rFonts w:ascii="Verdana" w:hAnsi="Verdana"/>
          <w:sz w:val="20"/>
          <w:szCs w:val="20"/>
          <w:lang w:val="es-CR"/>
        </w:rPr>
        <w:t>el Considerando</w:t>
      </w:r>
      <w:r w:rsidRPr="003377E6">
        <w:rPr>
          <w:rFonts w:ascii="Verdana" w:hAnsi="Verdana"/>
          <w:sz w:val="20"/>
          <w:szCs w:val="20"/>
          <w:lang w:val="es-CR"/>
        </w:rPr>
        <w:t xml:space="preserve"> </w:t>
      </w:r>
      <w:r w:rsidR="00D2691E">
        <w:rPr>
          <w:rFonts w:ascii="Verdana" w:hAnsi="Verdana"/>
          <w:sz w:val="20"/>
          <w:szCs w:val="20"/>
          <w:lang w:val="es-CR"/>
        </w:rPr>
        <w:t xml:space="preserve">37 </w:t>
      </w:r>
      <w:r>
        <w:rPr>
          <w:rFonts w:ascii="Verdana" w:hAnsi="Verdana"/>
          <w:sz w:val="20"/>
          <w:szCs w:val="20"/>
          <w:lang w:val="es-CR"/>
        </w:rPr>
        <w:t xml:space="preserve">de la presente Resolución, que el Estado ha dado cumplimiento total a la medida de reparación </w:t>
      </w:r>
      <w:r w:rsidR="00D2691E">
        <w:rPr>
          <w:rFonts w:ascii="Verdana" w:hAnsi="Verdana"/>
          <w:sz w:val="20"/>
          <w:szCs w:val="20"/>
          <w:lang w:val="es-CR"/>
        </w:rPr>
        <w:t xml:space="preserve">ordenada en el </w:t>
      </w:r>
      <w:r w:rsidR="00D2691E" w:rsidRPr="001B2C9A">
        <w:rPr>
          <w:rFonts w:ascii="Verdana" w:hAnsi="Verdana" w:cs="Calibri"/>
          <w:sz w:val="20"/>
          <w:szCs w:val="20"/>
          <w:lang w:val="es-CR"/>
        </w:rPr>
        <w:t xml:space="preserve">punto </w:t>
      </w:r>
      <w:r w:rsidR="00D2691E" w:rsidRPr="001B2C9A">
        <w:rPr>
          <w:rFonts w:ascii="Verdana" w:hAnsi="Verdana"/>
          <w:sz w:val="20"/>
          <w:szCs w:val="20"/>
          <w:lang w:val="es-CR"/>
        </w:rPr>
        <w:t>resolutivo vigésimo cuarto de la Sentencia</w:t>
      </w:r>
      <w:r w:rsidR="00D2691E">
        <w:rPr>
          <w:rFonts w:ascii="Verdana" w:hAnsi="Verdana"/>
          <w:sz w:val="20"/>
          <w:szCs w:val="20"/>
          <w:lang w:val="es-CR"/>
        </w:rPr>
        <w:t>,</w:t>
      </w:r>
      <w:r w:rsidR="00D2691E" w:rsidRPr="00D2691E">
        <w:rPr>
          <w:rFonts w:ascii="Verdana" w:hAnsi="Verdana"/>
          <w:sz w:val="20"/>
          <w:szCs w:val="20"/>
          <w:lang w:val="es-CR"/>
        </w:rPr>
        <w:t xml:space="preserve"> </w:t>
      </w:r>
      <w:r>
        <w:rPr>
          <w:rFonts w:ascii="Verdana" w:hAnsi="Verdana"/>
          <w:sz w:val="20"/>
          <w:szCs w:val="20"/>
          <w:lang w:val="es-CR"/>
        </w:rPr>
        <w:t xml:space="preserve">relativa a realizar </w:t>
      </w:r>
      <w:r w:rsidR="001F1909">
        <w:rPr>
          <w:rFonts w:ascii="Verdana" w:hAnsi="Verdana"/>
          <w:sz w:val="20"/>
          <w:szCs w:val="20"/>
          <w:lang w:val="es-CR"/>
        </w:rPr>
        <w:t>“</w:t>
      </w:r>
      <w:r>
        <w:rPr>
          <w:rFonts w:ascii="Verdana" w:hAnsi="Verdana"/>
          <w:sz w:val="20"/>
          <w:szCs w:val="20"/>
          <w:lang w:val="es-CR"/>
        </w:rPr>
        <w:t xml:space="preserve">un programa de registro y documentación, </w:t>
      </w:r>
      <w:r w:rsidRPr="00694325">
        <w:rPr>
          <w:rFonts w:ascii="Verdana" w:hAnsi="Verdana"/>
          <w:sz w:val="20"/>
          <w:szCs w:val="20"/>
          <w:lang w:val="es-CR"/>
        </w:rPr>
        <w:t xml:space="preserve">de tal forma que los miembros de la Comunidad </w:t>
      </w:r>
      <w:r w:rsidR="00D2691E">
        <w:rPr>
          <w:rFonts w:ascii="Verdana" w:hAnsi="Verdana"/>
          <w:sz w:val="20"/>
          <w:szCs w:val="20"/>
          <w:lang w:val="es-CR"/>
        </w:rPr>
        <w:t xml:space="preserve">Xákmok Kásek </w:t>
      </w:r>
      <w:r w:rsidRPr="00694325">
        <w:rPr>
          <w:rFonts w:ascii="Verdana" w:hAnsi="Verdana"/>
          <w:sz w:val="20"/>
          <w:szCs w:val="20"/>
          <w:lang w:val="es-CR"/>
        </w:rPr>
        <w:t>puedan registrarse y obtener sus documentos de identificación</w:t>
      </w:r>
      <w:r>
        <w:rPr>
          <w:rFonts w:ascii="Verdana" w:hAnsi="Verdana"/>
          <w:sz w:val="20"/>
          <w:szCs w:val="20"/>
          <w:lang w:val="es-CR"/>
        </w:rPr>
        <w:t>”.</w:t>
      </w:r>
      <w:r w:rsidR="00B553CB" w:rsidRPr="00B553CB">
        <w:rPr>
          <w:rFonts w:ascii="Verdana" w:hAnsi="Verdana"/>
          <w:sz w:val="20"/>
          <w:szCs w:val="20"/>
          <w:lang w:val="es-CR"/>
        </w:rPr>
        <w:t xml:space="preserve"> </w:t>
      </w:r>
    </w:p>
    <w:p w14:paraId="3FC06D0D" w14:textId="77777777" w:rsidR="00B553CB" w:rsidRPr="00B553CB" w:rsidRDefault="00B553CB" w:rsidP="00B553CB">
      <w:pPr>
        <w:numPr>
          <w:ilvl w:val="0"/>
          <w:numId w:val="18"/>
        </w:numPr>
        <w:tabs>
          <w:tab w:val="left" w:pos="567"/>
        </w:tabs>
        <w:spacing w:before="120" w:after="120" w:line="240" w:lineRule="auto"/>
        <w:ind w:left="0" w:right="22" w:firstLine="0"/>
        <w:jc w:val="both"/>
        <w:rPr>
          <w:rFonts w:ascii="Verdana" w:hAnsi="Verdana"/>
          <w:sz w:val="20"/>
          <w:szCs w:val="20"/>
          <w:lang w:val="es-CR"/>
        </w:rPr>
      </w:pPr>
      <w:r w:rsidRPr="00B553CB">
        <w:rPr>
          <w:rFonts w:ascii="Verdana" w:hAnsi="Verdana"/>
          <w:sz w:val="20"/>
          <w:szCs w:val="20"/>
          <w:lang w:val="es-CR"/>
        </w:rPr>
        <w:t xml:space="preserve">Declarar, de conformidad con lo señalado en </w:t>
      </w:r>
      <w:r w:rsidR="00D2691E">
        <w:rPr>
          <w:rFonts w:ascii="Verdana" w:hAnsi="Verdana"/>
          <w:sz w:val="20"/>
          <w:szCs w:val="20"/>
          <w:lang w:val="es-CR"/>
        </w:rPr>
        <w:t>el</w:t>
      </w:r>
      <w:r w:rsidR="00D2691E" w:rsidRPr="00B553CB">
        <w:rPr>
          <w:rFonts w:ascii="Verdana" w:hAnsi="Verdana"/>
          <w:sz w:val="20"/>
          <w:szCs w:val="20"/>
          <w:lang w:val="es-CR"/>
        </w:rPr>
        <w:t xml:space="preserve"> </w:t>
      </w:r>
      <w:r w:rsidRPr="00B553CB">
        <w:rPr>
          <w:rFonts w:ascii="Verdana" w:hAnsi="Verdana"/>
          <w:sz w:val="20"/>
          <w:szCs w:val="20"/>
          <w:lang w:val="es-CR"/>
        </w:rPr>
        <w:t xml:space="preserve">Considerando </w:t>
      </w:r>
      <w:r w:rsidR="00D2691E">
        <w:rPr>
          <w:rFonts w:ascii="Verdana" w:hAnsi="Verdana"/>
          <w:sz w:val="20"/>
          <w:szCs w:val="20"/>
          <w:lang w:val="es-CR"/>
        </w:rPr>
        <w:t>46</w:t>
      </w:r>
      <w:r w:rsidR="00D2691E" w:rsidRPr="00B553CB">
        <w:rPr>
          <w:rFonts w:ascii="Verdana" w:hAnsi="Verdana"/>
          <w:sz w:val="20"/>
          <w:szCs w:val="20"/>
          <w:lang w:val="es-CR"/>
        </w:rPr>
        <w:t xml:space="preserve"> </w:t>
      </w:r>
      <w:r w:rsidRPr="00B553CB">
        <w:rPr>
          <w:rFonts w:ascii="Verdana" w:hAnsi="Verdana"/>
          <w:sz w:val="20"/>
          <w:szCs w:val="20"/>
          <w:lang w:val="es-CR"/>
        </w:rPr>
        <w:t xml:space="preserve">de la presente Resolución, que Paraguay ha dado cumplimiento parcial a la medida </w:t>
      </w:r>
      <w:r w:rsidRPr="00B553CB">
        <w:rPr>
          <w:rFonts w:ascii="Verdana" w:hAnsi="Verdana"/>
          <w:sz w:val="20"/>
          <w:lang w:val="es-MX"/>
        </w:rPr>
        <w:t xml:space="preserve">de reparación </w:t>
      </w:r>
      <w:r w:rsidRPr="00B553CB">
        <w:rPr>
          <w:rFonts w:ascii="Verdana" w:hAnsi="Verdana"/>
          <w:sz w:val="20"/>
          <w:szCs w:val="20"/>
          <w:lang w:val="es-CR"/>
        </w:rPr>
        <w:t xml:space="preserve">ordenada en el punto resolutivo vigésimo octavo de la Sentencia, relativa a </w:t>
      </w:r>
      <w:r w:rsidR="00D2691E">
        <w:rPr>
          <w:rFonts w:ascii="Verdana" w:hAnsi="Verdana"/>
          <w:sz w:val="20"/>
          <w:szCs w:val="20"/>
          <w:lang w:val="es-CR"/>
        </w:rPr>
        <w:t>crear</w:t>
      </w:r>
      <w:r w:rsidRPr="00B553CB">
        <w:rPr>
          <w:rFonts w:ascii="Verdana" w:hAnsi="Verdana"/>
          <w:sz w:val="20"/>
          <w:szCs w:val="20"/>
          <w:lang w:val="es-CR"/>
        </w:rPr>
        <w:t xml:space="preserve"> un fondo de desarrollo comunitario que será implementado en las tierras que se entreguen a los miembros de la Comunidad Xákmok Kásek.</w:t>
      </w:r>
    </w:p>
    <w:p w14:paraId="5424737F" w14:textId="77777777" w:rsidR="003377E6" w:rsidRPr="00A77BEB" w:rsidRDefault="003377E6" w:rsidP="003D1833">
      <w:pPr>
        <w:numPr>
          <w:ilvl w:val="0"/>
          <w:numId w:val="18"/>
        </w:numPr>
        <w:tabs>
          <w:tab w:val="left" w:pos="567"/>
        </w:tabs>
        <w:spacing w:before="120" w:after="120" w:line="240" w:lineRule="auto"/>
        <w:ind w:left="0" w:right="22" w:firstLine="0"/>
        <w:jc w:val="both"/>
        <w:rPr>
          <w:rFonts w:ascii="Verdana" w:hAnsi="Verdana"/>
          <w:sz w:val="20"/>
          <w:szCs w:val="20"/>
          <w:lang w:val="es-CR"/>
        </w:rPr>
      </w:pPr>
      <w:r w:rsidRPr="00A77BEB">
        <w:rPr>
          <w:rFonts w:ascii="Verdana" w:hAnsi="Verdana"/>
          <w:sz w:val="20"/>
          <w:szCs w:val="20"/>
          <w:lang w:val="es-CR"/>
        </w:rPr>
        <w:t>Mantener abierto el procedimiento de supervisión de cumplimiento de las siguientes medidas de reparación:</w:t>
      </w:r>
    </w:p>
    <w:p w14:paraId="156FBEEF" w14:textId="77777777" w:rsidR="003377E6" w:rsidRPr="00A77BEB" w:rsidRDefault="00A77BEB" w:rsidP="003D1833">
      <w:pPr>
        <w:numPr>
          <w:ilvl w:val="0"/>
          <w:numId w:val="20"/>
        </w:numPr>
        <w:tabs>
          <w:tab w:val="left" w:pos="567"/>
        </w:tabs>
        <w:spacing w:before="120" w:after="120" w:line="240" w:lineRule="auto"/>
        <w:ind w:right="22"/>
        <w:jc w:val="both"/>
        <w:rPr>
          <w:rFonts w:ascii="Verdana" w:hAnsi="Verdana"/>
          <w:sz w:val="20"/>
          <w:szCs w:val="20"/>
          <w:lang w:val="es-CR"/>
        </w:rPr>
      </w:pPr>
      <w:r w:rsidRPr="00A77BEB">
        <w:rPr>
          <w:rFonts w:ascii="Verdana" w:hAnsi="Verdana"/>
          <w:sz w:val="20"/>
          <w:szCs w:val="20"/>
          <w:lang w:val="es-CR"/>
        </w:rPr>
        <w:t>d</w:t>
      </w:r>
      <w:r w:rsidR="00221870" w:rsidRPr="00A77BEB">
        <w:rPr>
          <w:rFonts w:ascii="Verdana" w:hAnsi="Verdana"/>
          <w:sz w:val="20"/>
          <w:szCs w:val="20"/>
          <w:lang w:val="es-CR"/>
        </w:rPr>
        <w:t>evolver a los miembros de la Comunidad Xákmok Kásek las 10.700 hectáreas reclamadas por ésta</w:t>
      </w:r>
      <w:r w:rsidR="003377E6" w:rsidRPr="00A77BEB">
        <w:rPr>
          <w:rFonts w:ascii="Verdana" w:hAnsi="Verdana"/>
          <w:sz w:val="20"/>
          <w:szCs w:val="20"/>
          <w:lang w:val="es-CR"/>
        </w:rPr>
        <w:t xml:space="preserve"> (</w:t>
      </w:r>
      <w:r w:rsidR="003377E6" w:rsidRPr="00A77BEB">
        <w:rPr>
          <w:rFonts w:ascii="Verdana" w:hAnsi="Verdana"/>
          <w:i/>
          <w:sz w:val="20"/>
          <w:szCs w:val="20"/>
          <w:lang w:val="es-CR"/>
        </w:rPr>
        <w:t xml:space="preserve">punto resolutivo </w:t>
      </w:r>
      <w:r w:rsidR="00221870" w:rsidRPr="00A77BEB">
        <w:rPr>
          <w:rFonts w:ascii="Verdana" w:hAnsi="Verdana"/>
          <w:i/>
          <w:sz w:val="20"/>
          <w:szCs w:val="20"/>
          <w:lang w:val="es-CR"/>
        </w:rPr>
        <w:t>décimo segundo</w:t>
      </w:r>
      <w:r w:rsidR="003377E6" w:rsidRPr="00A77BEB">
        <w:rPr>
          <w:rFonts w:ascii="Verdana" w:hAnsi="Verdana"/>
          <w:i/>
          <w:sz w:val="20"/>
          <w:szCs w:val="20"/>
          <w:lang w:val="es-CR"/>
        </w:rPr>
        <w:t xml:space="preserve"> de la Sentencia</w:t>
      </w:r>
      <w:r w:rsidR="003377E6" w:rsidRPr="00A77BEB">
        <w:rPr>
          <w:rFonts w:ascii="Verdana" w:hAnsi="Verdana"/>
          <w:sz w:val="20"/>
          <w:szCs w:val="20"/>
          <w:lang w:val="es-CR"/>
        </w:rPr>
        <w:t>);</w:t>
      </w:r>
    </w:p>
    <w:p w14:paraId="7AFC8A99" w14:textId="77777777" w:rsidR="003377E6" w:rsidRPr="00A77BEB" w:rsidRDefault="00A77BEB" w:rsidP="003D1833">
      <w:pPr>
        <w:numPr>
          <w:ilvl w:val="0"/>
          <w:numId w:val="20"/>
        </w:numPr>
        <w:tabs>
          <w:tab w:val="left" w:pos="567"/>
        </w:tabs>
        <w:spacing w:before="120" w:after="120" w:line="240" w:lineRule="auto"/>
        <w:ind w:right="22"/>
        <w:jc w:val="both"/>
        <w:rPr>
          <w:rFonts w:ascii="Verdana" w:hAnsi="Verdana"/>
          <w:sz w:val="20"/>
          <w:szCs w:val="20"/>
          <w:lang w:val="es-CR"/>
        </w:rPr>
      </w:pPr>
      <w:r w:rsidRPr="00A77BEB">
        <w:rPr>
          <w:rFonts w:ascii="Verdana" w:hAnsi="Verdana"/>
          <w:sz w:val="20"/>
          <w:szCs w:val="20"/>
          <w:lang w:val="es-CR"/>
        </w:rPr>
        <w:t>v</w:t>
      </w:r>
      <w:r w:rsidR="00221870" w:rsidRPr="00A77BEB">
        <w:rPr>
          <w:rFonts w:ascii="Verdana" w:hAnsi="Verdana"/>
          <w:sz w:val="20"/>
          <w:szCs w:val="20"/>
          <w:lang w:val="es-CR"/>
        </w:rPr>
        <w:t xml:space="preserve">elar que el territorio reclamado por la Comunidad no se vea menoscabado por acciones del propio Estado o de terceros particulares </w:t>
      </w:r>
      <w:r w:rsidR="003377E6" w:rsidRPr="00A77BEB">
        <w:rPr>
          <w:rFonts w:ascii="Verdana" w:hAnsi="Verdana"/>
          <w:sz w:val="20"/>
          <w:szCs w:val="20"/>
          <w:lang w:val="es-CR"/>
        </w:rPr>
        <w:t>(</w:t>
      </w:r>
      <w:r w:rsidR="003377E6" w:rsidRPr="00A77BEB">
        <w:rPr>
          <w:rFonts w:ascii="Verdana" w:hAnsi="Verdana"/>
          <w:i/>
          <w:sz w:val="20"/>
          <w:szCs w:val="20"/>
          <w:lang w:val="es-CR"/>
        </w:rPr>
        <w:t xml:space="preserve">punto resolutivo </w:t>
      </w:r>
      <w:r w:rsidR="00221870" w:rsidRPr="00A77BEB">
        <w:rPr>
          <w:rFonts w:ascii="Verdana" w:hAnsi="Verdana"/>
          <w:i/>
          <w:sz w:val="20"/>
          <w:szCs w:val="20"/>
          <w:lang w:val="es-CR"/>
        </w:rPr>
        <w:t>décimo tercero</w:t>
      </w:r>
      <w:r w:rsidR="003377E6" w:rsidRPr="00A77BEB">
        <w:rPr>
          <w:rFonts w:ascii="Verdana" w:hAnsi="Verdana"/>
          <w:i/>
          <w:sz w:val="20"/>
          <w:szCs w:val="20"/>
          <w:lang w:val="es-CR"/>
        </w:rPr>
        <w:t xml:space="preserve"> de la Sentencia</w:t>
      </w:r>
      <w:r w:rsidR="003377E6" w:rsidRPr="00A77BEB">
        <w:rPr>
          <w:rFonts w:ascii="Verdana" w:hAnsi="Verdana"/>
          <w:sz w:val="20"/>
          <w:szCs w:val="20"/>
          <w:lang w:val="es-CR"/>
        </w:rPr>
        <w:t>);</w:t>
      </w:r>
    </w:p>
    <w:p w14:paraId="455DFD21" w14:textId="77777777" w:rsidR="009A1D3F" w:rsidRPr="00A77BEB" w:rsidRDefault="009A1D3F" w:rsidP="003D1833">
      <w:pPr>
        <w:numPr>
          <w:ilvl w:val="0"/>
          <w:numId w:val="20"/>
        </w:numPr>
        <w:tabs>
          <w:tab w:val="left" w:pos="567"/>
        </w:tabs>
        <w:spacing w:before="120" w:after="120" w:line="240" w:lineRule="auto"/>
        <w:ind w:right="22"/>
        <w:jc w:val="both"/>
        <w:rPr>
          <w:rFonts w:ascii="Verdana" w:hAnsi="Verdana"/>
          <w:sz w:val="20"/>
          <w:szCs w:val="20"/>
          <w:lang w:val="es-CR"/>
        </w:rPr>
      </w:pPr>
      <w:r w:rsidRPr="00A77BEB">
        <w:rPr>
          <w:rFonts w:ascii="Verdana" w:hAnsi="Verdana"/>
          <w:sz w:val="20"/>
          <w:szCs w:val="20"/>
          <w:lang w:val="es-CR"/>
        </w:rPr>
        <w:t xml:space="preserve"> </w:t>
      </w:r>
      <w:r w:rsidR="00A77BEB" w:rsidRPr="00A77BEB">
        <w:rPr>
          <w:rFonts w:ascii="Verdana" w:hAnsi="Verdana"/>
          <w:sz w:val="20"/>
          <w:szCs w:val="20"/>
          <w:lang w:val="es-CR"/>
        </w:rPr>
        <w:t>r</w:t>
      </w:r>
      <w:r w:rsidRPr="00A77BEB">
        <w:rPr>
          <w:rFonts w:ascii="Verdana" w:hAnsi="Verdana"/>
          <w:sz w:val="20"/>
          <w:szCs w:val="20"/>
          <w:lang w:val="es-CR"/>
        </w:rPr>
        <w:t>ealizar un acto público de reconocimiento de su responsabilidad internacional (</w:t>
      </w:r>
      <w:r w:rsidRPr="00A77BEB">
        <w:rPr>
          <w:rFonts w:ascii="Verdana" w:hAnsi="Verdana"/>
          <w:i/>
          <w:sz w:val="20"/>
          <w:szCs w:val="20"/>
          <w:lang w:val="es-CR"/>
        </w:rPr>
        <w:t>punto resolutivo décimo sexto de la Sentencia</w:t>
      </w:r>
      <w:r w:rsidRPr="00A77BEB">
        <w:rPr>
          <w:rFonts w:ascii="Verdana" w:hAnsi="Verdana"/>
          <w:sz w:val="20"/>
          <w:szCs w:val="20"/>
          <w:lang w:val="es-CR"/>
        </w:rPr>
        <w:t>);</w:t>
      </w:r>
    </w:p>
    <w:p w14:paraId="41C4A40B" w14:textId="77777777" w:rsidR="009A1D3F" w:rsidRPr="00A77BEB" w:rsidRDefault="00A21D29" w:rsidP="003D1833">
      <w:pPr>
        <w:numPr>
          <w:ilvl w:val="0"/>
          <w:numId w:val="20"/>
        </w:numPr>
        <w:tabs>
          <w:tab w:val="left" w:pos="709"/>
        </w:tabs>
        <w:spacing w:before="120" w:after="120" w:line="240" w:lineRule="auto"/>
        <w:ind w:right="22"/>
        <w:jc w:val="both"/>
        <w:rPr>
          <w:rFonts w:ascii="Verdana" w:hAnsi="Verdana"/>
          <w:sz w:val="20"/>
          <w:szCs w:val="20"/>
          <w:lang w:val="es-CR"/>
        </w:rPr>
      </w:pPr>
      <w:r>
        <w:rPr>
          <w:rFonts w:ascii="Verdana" w:hAnsi="Verdana"/>
          <w:sz w:val="20"/>
          <w:szCs w:val="20"/>
          <w:lang w:val="es-CR"/>
        </w:rPr>
        <w:t xml:space="preserve">realizar la </w:t>
      </w:r>
      <w:r w:rsidR="009A1D3F" w:rsidRPr="00A77BEB">
        <w:rPr>
          <w:rFonts w:ascii="Verdana" w:hAnsi="Verdana"/>
          <w:sz w:val="20"/>
          <w:szCs w:val="20"/>
          <w:lang w:val="es-CR"/>
        </w:rPr>
        <w:t>publicación de determinadas partes de la Sentencia en un diario de circulación nacional (</w:t>
      </w:r>
      <w:r w:rsidR="009A1D3F" w:rsidRPr="00A77BEB">
        <w:rPr>
          <w:rFonts w:ascii="Verdana" w:hAnsi="Verdana"/>
          <w:i/>
          <w:sz w:val="20"/>
          <w:szCs w:val="20"/>
          <w:lang w:val="es-CR"/>
        </w:rPr>
        <w:t>punto resolutivo décimo séptimo de la Sentencia</w:t>
      </w:r>
      <w:r w:rsidR="009A1D3F" w:rsidRPr="00A77BEB">
        <w:rPr>
          <w:rFonts w:ascii="Verdana" w:hAnsi="Verdana"/>
          <w:sz w:val="20"/>
          <w:szCs w:val="20"/>
          <w:lang w:val="es-CR"/>
        </w:rPr>
        <w:t>);</w:t>
      </w:r>
    </w:p>
    <w:p w14:paraId="2FD617A8" w14:textId="77777777" w:rsidR="009A1D3F" w:rsidRPr="00A77BEB" w:rsidRDefault="009A1D3F" w:rsidP="003D1833">
      <w:pPr>
        <w:numPr>
          <w:ilvl w:val="0"/>
          <w:numId w:val="20"/>
        </w:numPr>
        <w:tabs>
          <w:tab w:val="left" w:pos="709"/>
        </w:tabs>
        <w:spacing w:before="120" w:after="120" w:line="240" w:lineRule="auto"/>
        <w:ind w:right="22"/>
        <w:jc w:val="both"/>
        <w:rPr>
          <w:rFonts w:ascii="Verdana" w:hAnsi="Verdana"/>
          <w:sz w:val="20"/>
          <w:szCs w:val="20"/>
          <w:lang w:val="es-CR"/>
        </w:rPr>
      </w:pPr>
      <w:r w:rsidRPr="00A77BEB">
        <w:rPr>
          <w:rFonts w:ascii="Verdana" w:hAnsi="Verdana"/>
          <w:sz w:val="20"/>
          <w:szCs w:val="20"/>
          <w:lang w:val="es-CR"/>
        </w:rPr>
        <w:t>dar publicidad, a través de una emisora radial de amplia cobertura en la región del Chaco, al resumen oficial de la Sentencia emitido por la Corte (</w:t>
      </w:r>
      <w:r w:rsidRPr="00A77BEB">
        <w:rPr>
          <w:rFonts w:ascii="Verdana" w:hAnsi="Verdana"/>
          <w:i/>
          <w:sz w:val="20"/>
          <w:szCs w:val="20"/>
          <w:lang w:val="es-CR"/>
        </w:rPr>
        <w:t>punto resolutivo décimo octavo de la Sentencia</w:t>
      </w:r>
      <w:r w:rsidRPr="00A77BEB">
        <w:rPr>
          <w:rFonts w:ascii="Verdana" w:hAnsi="Verdana"/>
          <w:sz w:val="20"/>
          <w:szCs w:val="20"/>
          <w:lang w:val="es-CR"/>
        </w:rPr>
        <w:t>);</w:t>
      </w:r>
    </w:p>
    <w:p w14:paraId="435663D2" w14:textId="77777777" w:rsidR="009A1D3F" w:rsidRPr="00A77BEB" w:rsidRDefault="009A1D3F" w:rsidP="003D1833">
      <w:pPr>
        <w:numPr>
          <w:ilvl w:val="0"/>
          <w:numId w:val="20"/>
        </w:numPr>
        <w:tabs>
          <w:tab w:val="left" w:pos="709"/>
        </w:tabs>
        <w:spacing w:before="120" w:after="120" w:line="240" w:lineRule="auto"/>
        <w:ind w:right="22"/>
        <w:jc w:val="both"/>
        <w:rPr>
          <w:rFonts w:ascii="Verdana" w:hAnsi="Verdana"/>
          <w:sz w:val="20"/>
          <w:szCs w:val="20"/>
          <w:lang w:val="es-CR"/>
        </w:rPr>
      </w:pPr>
      <w:r w:rsidRPr="00A77BEB">
        <w:rPr>
          <w:rFonts w:ascii="Verdana" w:hAnsi="Verdana"/>
          <w:sz w:val="20"/>
          <w:szCs w:val="20"/>
          <w:lang w:val="es-CR"/>
        </w:rPr>
        <w:t xml:space="preserve">adoptar medidas </w:t>
      </w:r>
      <w:r w:rsidR="00A77BEB" w:rsidRPr="00A77BEB">
        <w:rPr>
          <w:rFonts w:ascii="Verdana" w:hAnsi="Verdana"/>
          <w:sz w:val="20"/>
          <w:szCs w:val="20"/>
          <w:lang w:val="es-CR"/>
        </w:rPr>
        <w:t>para el suministro de bienes y servicios básicos necesarios para la subsistencia de los miembros de la Comunidad</w:t>
      </w:r>
      <w:r w:rsidRPr="00A77BEB">
        <w:rPr>
          <w:rFonts w:ascii="Verdana" w:hAnsi="Verdana"/>
          <w:sz w:val="20"/>
          <w:szCs w:val="20"/>
          <w:lang w:val="es-CR"/>
        </w:rPr>
        <w:t xml:space="preserve"> (</w:t>
      </w:r>
      <w:r w:rsidRPr="00A77BEB">
        <w:rPr>
          <w:rFonts w:ascii="Verdana" w:hAnsi="Verdana"/>
          <w:i/>
          <w:sz w:val="20"/>
          <w:szCs w:val="20"/>
          <w:lang w:val="es-CR"/>
        </w:rPr>
        <w:t>punto resolutivo décimo noveno de la Sentencia</w:t>
      </w:r>
      <w:r w:rsidRPr="00A77BEB">
        <w:rPr>
          <w:rFonts w:ascii="Verdana" w:hAnsi="Verdana"/>
          <w:sz w:val="20"/>
          <w:szCs w:val="20"/>
          <w:lang w:val="es-CR"/>
        </w:rPr>
        <w:t>);</w:t>
      </w:r>
    </w:p>
    <w:p w14:paraId="64403652" w14:textId="77777777" w:rsidR="009A1D3F" w:rsidRPr="00A77BEB" w:rsidRDefault="009A1D3F" w:rsidP="003D1833">
      <w:pPr>
        <w:numPr>
          <w:ilvl w:val="0"/>
          <w:numId w:val="20"/>
        </w:numPr>
        <w:tabs>
          <w:tab w:val="left" w:pos="709"/>
        </w:tabs>
        <w:spacing w:before="120" w:after="120" w:line="240" w:lineRule="auto"/>
        <w:ind w:right="22"/>
        <w:jc w:val="both"/>
        <w:rPr>
          <w:rFonts w:ascii="Verdana" w:hAnsi="Verdana"/>
          <w:sz w:val="20"/>
          <w:szCs w:val="20"/>
          <w:lang w:val="es-CR"/>
        </w:rPr>
      </w:pPr>
      <w:r w:rsidRPr="00A77BEB">
        <w:rPr>
          <w:rFonts w:ascii="Verdana" w:hAnsi="Verdana"/>
          <w:sz w:val="20"/>
          <w:szCs w:val="20"/>
          <w:lang w:val="es-CR"/>
        </w:rPr>
        <w:t xml:space="preserve">elaborar </w:t>
      </w:r>
      <w:r w:rsidR="00A77BEB" w:rsidRPr="00A77BEB">
        <w:rPr>
          <w:rFonts w:ascii="Verdana" w:hAnsi="Verdana"/>
          <w:sz w:val="20"/>
          <w:szCs w:val="20"/>
          <w:lang w:val="es-CR"/>
        </w:rPr>
        <w:t>un estudio por especialistas dirigido a orientar la prestación adecuada y periódica de bienes y servicios básicos</w:t>
      </w:r>
      <w:r w:rsidRPr="00A77BEB">
        <w:rPr>
          <w:rFonts w:ascii="Verdana" w:hAnsi="Verdana"/>
          <w:sz w:val="20"/>
          <w:szCs w:val="20"/>
          <w:lang w:val="es-CR"/>
        </w:rPr>
        <w:t xml:space="preserve"> (</w:t>
      </w:r>
      <w:r w:rsidRPr="00A77BEB">
        <w:rPr>
          <w:rFonts w:ascii="Verdana" w:hAnsi="Verdana"/>
          <w:i/>
          <w:sz w:val="20"/>
          <w:szCs w:val="20"/>
          <w:lang w:val="es-CR"/>
        </w:rPr>
        <w:t>punto resolutivo vigésimo de la Sentencia</w:t>
      </w:r>
      <w:r w:rsidRPr="00A77BEB">
        <w:rPr>
          <w:rFonts w:ascii="Verdana" w:hAnsi="Verdana"/>
          <w:sz w:val="20"/>
          <w:szCs w:val="20"/>
          <w:lang w:val="es-CR"/>
        </w:rPr>
        <w:t>);</w:t>
      </w:r>
    </w:p>
    <w:p w14:paraId="0E70C920" w14:textId="77777777" w:rsidR="009A1D3F" w:rsidRPr="00A77BEB" w:rsidRDefault="009A1D3F" w:rsidP="003D1833">
      <w:pPr>
        <w:numPr>
          <w:ilvl w:val="0"/>
          <w:numId w:val="20"/>
        </w:numPr>
        <w:tabs>
          <w:tab w:val="left" w:pos="709"/>
        </w:tabs>
        <w:spacing w:before="120" w:after="120" w:line="240" w:lineRule="auto"/>
        <w:ind w:right="22"/>
        <w:jc w:val="both"/>
        <w:rPr>
          <w:rFonts w:ascii="Verdana" w:hAnsi="Verdana"/>
          <w:sz w:val="20"/>
          <w:szCs w:val="20"/>
          <w:lang w:val="es-CR"/>
        </w:rPr>
      </w:pPr>
      <w:r w:rsidRPr="00A77BEB">
        <w:rPr>
          <w:rFonts w:ascii="Verdana" w:hAnsi="Verdana"/>
          <w:sz w:val="20"/>
          <w:szCs w:val="20"/>
          <w:lang w:val="es-CR"/>
        </w:rPr>
        <w:t>establecer en “25 de febrero” un puesto de salud permanente y con las medicinas e insumos necesarios para una atención en salud adecuada (</w:t>
      </w:r>
      <w:r w:rsidRPr="00A77BEB">
        <w:rPr>
          <w:rFonts w:ascii="Verdana" w:hAnsi="Verdana"/>
          <w:i/>
          <w:sz w:val="20"/>
          <w:szCs w:val="20"/>
          <w:lang w:val="es-CR"/>
        </w:rPr>
        <w:t>punto resolutivo vigésimo primero de la Sentencia</w:t>
      </w:r>
      <w:r w:rsidRPr="00A77BEB">
        <w:rPr>
          <w:rFonts w:ascii="Verdana" w:hAnsi="Verdana"/>
          <w:sz w:val="20"/>
          <w:szCs w:val="20"/>
          <w:lang w:val="es-CR"/>
        </w:rPr>
        <w:t>);</w:t>
      </w:r>
    </w:p>
    <w:p w14:paraId="17E0823B" w14:textId="77777777" w:rsidR="009A1D3F" w:rsidRPr="00A77BEB" w:rsidRDefault="009A1D3F" w:rsidP="003D1833">
      <w:pPr>
        <w:numPr>
          <w:ilvl w:val="0"/>
          <w:numId w:val="20"/>
        </w:numPr>
        <w:tabs>
          <w:tab w:val="left" w:pos="709"/>
        </w:tabs>
        <w:spacing w:before="120" w:after="120" w:line="240" w:lineRule="auto"/>
        <w:ind w:right="22"/>
        <w:jc w:val="both"/>
        <w:rPr>
          <w:rFonts w:ascii="Verdana" w:hAnsi="Verdana"/>
          <w:sz w:val="20"/>
          <w:szCs w:val="20"/>
          <w:lang w:val="es-CR"/>
        </w:rPr>
      </w:pPr>
      <w:r w:rsidRPr="00A77BEB">
        <w:rPr>
          <w:rFonts w:ascii="Verdana" w:hAnsi="Verdana"/>
          <w:sz w:val="20"/>
          <w:szCs w:val="20"/>
          <w:lang w:val="es-CR"/>
        </w:rPr>
        <w:t>establecer en “25 de febrero” el sistema de comunicación señalado en la Sentencia (</w:t>
      </w:r>
      <w:r w:rsidRPr="00A77BEB">
        <w:rPr>
          <w:rFonts w:ascii="Verdana" w:hAnsi="Verdana"/>
          <w:i/>
          <w:sz w:val="20"/>
          <w:szCs w:val="20"/>
          <w:lang w:val="es-CR"/>
        </w:rPr>
        <w:t>punto resolutivo vigésimo segundo de la Sentencia</w:t>
      </w:r>
      <w:r w:rsidRPr="00A77BEB">
        <w:rPr>
          <w:rFonts w:ascii="Verdana" w:hAnsi="Verdana"/>
          <w:sz w:val="20"/>
          <w:szCs w:val="20"/>
          <w:lang w:val="es-CR"/>
        </w:rPr>
        <w:t>);</w:t>
      </w:r>
    </w:p>
    <w:p w14:paraId="1AF0CE5A" w14:textId="77777777" w:rsidR="009A1D3F" w:rsidRPr="00A77BEB" w:rsidRDefault="009A1D3F" w:rsidP="003D1833">
      <w:pPr>
        <w:numPr>
          <w:ilvl w:val="0"/>
          <w:numId w:val="20"/>
        </w:numPr>
        <w:tabs>
          <w:tab w:val="left" w:pos="709"/>
        </w:tabs>
        <w:spacing w:before="120" w:after="120" w:line="240" w:lineRule="auto"/>
        <w:ind w:right="22"/>
        <w:jc w:val="both"/>
        <w:rPr>
          <w:rFonts w:ascii="Verdana" w:hAnsi="Verdana"/>
          <w:sz w:val="20"/>
          <w:szCs w:val="20"/>
          <w:lang w:val="es-CR"/>
        </w:rPr>
      </w:pPr>
      <w:r w:rsidRPr="00A77BEB">
        <w:rPr>
          <w:rFonts w:ascii="Verdana" w:hAnsi="Verdana"/>
          <w:sz w:val="20"/>
          <w:szCs w:val="20"/>
          <w:lang w:val="es-CR"/>
        </w:rPr>
        <w:t xml:space="preserve">asegurarse que el puesto de salud y el sistema de comunicación </w:t>
      </w:r>
      <w:r w:rsidR="00207BA0" w:rsidRPr="00A77BEB">
        <w:rPr>
          <w:rFonts w:ascii="Verdana" w:hAnsi="Verdana"/>
          <w:sz w:val="20"/>
          <w:szCs w:val="20"/>
          <w:lang w:val="es-CR"/>
        </w:rPr>
        <w:t>señalados en la Sentencia se trasladen al lugar donde la Comunidad se asiente definitivamente una vez que se haya recuperado su territorio tradicional (</w:t>
      </w:r>
      <w:r w:rsidR="00207BA0" w:rsidRPr="00A77BEB">
        <w:rPr>
          <w:rFonts w:ascii="Verdana" w:hAnsi="Verdana"/>
          <w:i/>
          <w:sz w:val="20"/>
          <w:szCs w:val="20"/>
          <w:lang w:val="es-CR"/>
        </w:rPr>
        <w:t>punto resolutivo vigésimo tercero</w:t>
      </w:r>
      <w:r w:rsidR="00207BA0" w:rsidRPr="00A77BEB">
        <w:rPr>
          <w:rFonts w:ascii="Verdana" w:hAnsi="Verdana"/>
          <w:sz w:val="20"/>
          <w:szCs w:val="20"/>
          <w:lang w:val="es-CR"/>
        </w:rPr>
        <w:t>);</w:t>
      </w:r>
    </w:p>
    <w:p w14:paraId="23292006" w14:textId="77777777" w:rsidR="00207BA0" w:rsidRPr="00A77BEB" w:rsidRDefault="00272D4D" w:rsidP="003D1833">
      <w:pPr>
        <w:numPr>
          <w:ilvl w:val="0"/>
          <w:numId w:val="20"/>
        </w:numPr>
        <w:tabs>
          <w:tab w:val="left" w:pos="709"/>
        </w:tabs>
        <w:spacing w:before="120" w:after="120" w:line="240" w:lineRule="auto"/>
        <w:ind w:right="22"/>
        <w:jc w:val="both"/>
        <w:rPr>
          <w:rFonts w:ascii="Verdana" w:hAnsi="Verdana"/>
          <w:sz w:val="20"/>
          <w:szCs w:val="20"/>
          <w:lang w:val="es-CR"/>
        </w:rPr>
      </w:pPr>
      <w:r w:rsidRPr="00A77BEB">
        <w:rPr>
          <w:rFonts w:ascii="Verdana" w:hAnsi="Verdana"/>
          <w:sz w:val="20"/>
          <w:szCs w:val="20"/>
          <w:lang w:val="es-CR"/>
        </w:rPr>
        <w:t>adop</w:t>
      </w:r>
      <w:r w:rsidR="00A77BEB" w:rsidRPr="00A77BEB">
        <w:rPr>
          <w:rFonts w:ascii="Verdana" w:hAnsi="Verdana"/>
          <w:sz w:val="20"/>
          <w:szCs w:val="20"/>
          <w:lang w:val="es-CR"/>
        </w:rPr>
        <w:t>tar</w:t>
      </w:r>
      <w:r w:rsidRPr="00A77BEB">
        <w:rPr>
          <w:rFonts w:ascii="Verdana" w:hAnsi="Verdana"/>
          <w:sz w:val="20"/>
          <w:szCs w:val="20"/>
          <w:lang w:val="es-CR"/>
        </w:rPr>
        <w:t xml:space="preserve"> </w:t>
      </w:r>
      <w:r w:rsidR="00A77BEB" w:rsidRPr="00A77BEB">
        <w:rPr>
          <w:rFonts w:ascii="Verdana" w:hAnsi="Verdana"/>
          <w:sz w:val="20"/>
          <w:szCs w:val="20"/>
          <w:lang w:val="es-CR"/>
        </w:rPr>
        <w:t>en su derecho interno</w:t>
      </w:r>
      <w:r w:rsidRPr="00A77BEB">
        <w:rPr>
          <w:rFonts w:ascii="Verdana" w:hAnsi="Verdana"/>
          <w:sz w:val="20"/>
          <w:szCs w:val="20"/>
          <w:lang w:val="es-CR"/>
        </w:rPr>
        <w:t xml:space="preserve"> medidas legislativas, administrativas y de cualquier otro carácter que sean necesarias para </w:t>
      </w:r>
      <w:r w:rsidR="00207BA0" w:rsidRPr="00A77BEB">
        <w:rPr>
          <w:rFonts w:ascii="Verdana" w:hAnsi="Verdana"/>
          <w:sz w:val="20"/>
          <w:szCs w:val="20"/>
          <w:lang w:val="es-CR"/>
        </w:rPr>
        <w:t>crear un sistema eficaz de reclamación de tierras ancestrales o tradicionales de los p</w:t>
      </w:r>
      <w:r w:rsidRPr="00A77BEB">
        <w:rPr>
          <w:rFonts w:ascii="Verdana" w:hAnsi="Verdana"/>
          <w:sz w:val="20"/>
          <w:szCs w:val="20"/>
          <w:lang w:val="es-CR"/>
        </w:rPr>
        <w:t xml:space="preserve">ueblos indígenas </w:t>
      </w:r>
      <w:r w:rsidR="00207BA0" w:rsidRPr="00A77BEB">
        <w:rPr>
          <w:rFonts w:ascii="Verdana" w:hAnsi="Verdana"/>
          <w:sz w:val="20"/>
          <w:szCs w:val="20"/>
          <w:lang w:val="es-CR"/>
        </w:rPr>
        <w:t xml:space="preserve">que posibilite la concreción de su derecho de propiedad </w:t>
      </w:r>
      <w:r w:rsidRPr="00A77BEB">
        <w:rPr>
          <w:rFonts w:ascii="Verdana" w:hAnsi="Verdana"/>
          <w:sz w:val="20"/>
          <w:szCs w:val="20"/>
          <w:lang w:val="es-CR"/>
        </w:rPr>
        <w:t>(</w:t>
      </w:r>
      <w:r w:rsidRPr="00A77BEB">
        <w:rPr>
          <w:rFonts w:ascii="Verdana" w:hAnsi="Verdana"/>
          <w:i/>
          <w:sz w:val="20"/>
          <w:szCs w:val="20"/>
          <w:lang w:val="es-CR"/>
        </w:rPr>
        <w:t xml:space="preserve">punto resolutivo </w:t>
      </w:r>
      <w:r w:rsidR="00207BA0" w:rsidRPr="00A77BEB">
        <w:rPr>
          <w:rFonts w:ascii="Verdana" w:hAnsi="Verdana"/>
          <w:i/>
          <w:sz w:val="20"/>
          <w:szCs w:val="20"/>
          <w:lang w:val="es-CR"/>
        </w:rPr>
        <w:t>vigésimo quinto</w:t>
      </w:r>
      <w:r w:rsidRPr="00A77BEB">
        <w:rPr>
          <w:rFonts w:ascii="Verdana" w:hAnsi="Verdana"/>
          <w:i/>
          <w:sz w:val="20"/>
          <w:szCs w:val="20"/>
          <w:lang w:val="es-CR"/>
        </w:rPr>
        <w:t xml:space="preserve"> de la Sentencia</w:t>
      </w:r>
      <w:r w:rsidRPr="00A77BEB">
        <w:rPr>
          <w:rFonts w:ascii="Verdana" w:hAnsi="Verdana"/>
          <w:sz w:val="20"/>
          <w:szCs w:val="20"/>
          <w:lang w:val="es-CR"/>
        </w:rPr>
        <w:t>)</w:t>
      </w:r>
      <w:r w:rsidR="00207BA0" w:rsidRPr="00A77BEB">
        <w:rPr>
          <w:rFonts w:ascii="Verdana" w:hAnsi="Verdana"/>
          <w:sz w:val="20"/>
          <w:szCs w:val="20"/>
          <w:lang w:val="es-CR"/>
        </w:rPr>
        <w:t>;</w:t>
      </w:r>
    </w:p>
    <w:p w14:paraId="7BBE4B09" w14:textId="77777777" w:rsidR="00207BA0" w:rsidRPr="00A77BEB" w:rsidRDefault="00207BA0" w:rsidP="003D1833">
      <w:pPr>
        <w:numPr>
          <w:ilvl w:val="0"/>
          <w:numId w:val="20"/>
        </w:numPr>
        <w:tabs>
          <w:tab w:val="left" w:pos="709"/>
        </w:tabs>
        <w:spacing w:before="120" w:after="120" w:line="240" w:lineRule="auto"/>
        <w:ind w:right="22"/>
        <w:jc w:val="both"/>
        <w:rPr>
          <w:rFonts w:ascii="Verdana" w:hAnsi="Verdana"/>
          <w:sz w:val="20"/>
          <w:szCs w:val="20"/>
          <w:lang w:val="es-CR"/>
        </w:rPr>
      </w:pPr>
      <w:r w:rsidRPr="00A77BEB">
        <w:rPr>
          <w:rFonts w:ascii="Verdana" w:hAnsi="Verdana"/>
          <w:sz w:val="20"/>
          <w:szCs w:val="20"/>
          <w:lang w:val="es-CR"/>
        </w:rPr>
        <w:t xml:space="preserve">pagar las cantidades fijadas </w:t>
      </w:r>
      <w:r w:rsidR="00B24AD6">
        <w:rPr>
          <w:rFonts w:ascii="Verdana" w:hAnsi="Verdana"/>
          <w:sz w:val="20"/>
          <w:szCs w:val="20"/>
          <w:lang w:val="es-CR"/>
        </w:rPr>
        <w:t xml:space="preserve">en la Sentencia </w:t>
      </w:r>
      <w:r w:rsidRPr="00A77BEB">
        <w:rPr>
          <w:rFonts w:ascii="Verdana" w:hAnsi="Verdana"/>
          <w:sz w:val="20"/>
          <w:szCs w:val="20"/>
          <w:lang w:val="es-CR"/>
        </w:rPr>
        <w:t>por concepto de indemnizaciones por daños materiales e inmateriales y el reintegro de costas y gastos (</w:t>
      </w:r>
      <w:r w:rsidRPr="00A77BEB">
        <w:rPr>
          <w:rFonts w:ascii="Verdana" w:hAnsi="Verdana"/>
          <w:i/>
          <w:sz w:val="20"/>
          <w:szCs w:val="20"/>
          <w:lang w:val="es-CR"/>
        </w:rPr>
        <w:t>punto resolutivo vigésimo séptimo de la Sentencia</w:t>
      </w:r>
      <w:r w:rsidRPr="00A77BEB">
        <w:rPr>
          <w:rFonts w:ascii="Verdana" w:hAnsi="Verdana"/>
          <w:sz w:val="20"/>
          <w:szCs w:val="20"/>
          <w:lang w:val="es-CR"/>
        </w:rPr>
        <w:t xml:space="preserve">), y </w:t>
      </w:r>
    </w:p>
    <w:p w14:paraId="4E5195B3" w14:textId="77777777" w:rsidR="00207BA0" w:rsidRPr="00A77BEB" w:rsidRDefault="00207BA0" w:rsidP="003D1833">
      <w:pPr>
        <w:numPr>
          <w:ilvl w:val="0"/>
          <w:numId w:val="20"/>
        </w:numPr>
        <w:tabs>
          <w:tab w:val="left" w:pos="709"/>
        </w:tabs>
        <w:spacing w:before="120" w:after="120" w:line="240" w:lineRule="auto"/>
        <w:ind w:right="22"/>
        <w:jc w:val="both"/>
        <w:rPr>
          <w:rFonts w:ascii="Verdana" w:hAnsi="Verdana"/>
          <w:sz w:val="20"/>
          <w:szCs w:val="20"/>
          <w:lang w:val="es-CR"/>
        </w:rPr>
      </w:pPr>
      <w:r w:rsidRPr="00A77BEB">
        <w:rPr>
          <w:rFonts w:ascii="Verdana" w:hAnsi="Verdana"/>
          <w:sz w:val="20"/>
          <w:szCs w:val="20"/>
          <w:lang w:val="es-CR"/>
        </w:rPr>
        <w:t>crear un fondo de desarrollo comunitario, así como conformar un comité de implementación de dicho fondo (</w:t>
      </w:r>
      <w:r w:rsidRPr="00A77BEB">
        <w:rPr>
          <w:rFonts w:ascii="Verdana" w:hAnsi="Verdana"/>
          <w:i/>
          <w:sz w:val="20"/>
          <w:szCs w:val="20"/>
          <w:lang w:val="es-CR"/>
        </w:rPr>
        <w:t>punto resolutivo vigésimo octavo de la Sentencia</w:t>
      </w:r>
      <w:r w:rsidRPr="00A77BEB">
        <w:rPr>
          <w:rFonts w:ascii="Verdana" w:hAnsi="Verdana"/>
          <w:sz w:val="20"/>
          <w:szCs w:val="20"/>
          <w:lang w:val="es-CR"/>
        </w:rPr>
        <w:t>).</w:t>
      </w:r>
    </w:p>
    <w:p w14:paraId="2AE8D091" w14:textId="77777777" w:rsidR="00221870" w:rsidRDefault="00221870" w:rsidP="003D1833">
      <w:pPr>
        <w:tabs>
          <w:tab w:val="left" w:pos="709"/>
        </w:tabs>
        <w:spacing w:before="120" w:after="120" w:line="240" w:lineRule="auto"/>
        <w:ind w:left="720" w:right="22"/>
        <w:jc w:val="both"/>
        <w:rPr>
          <w:rFonts w:ascii="Verdana" w:hAnsi="Verdana"/>
          <w:sz w:val="20"/>
          <w:szCs w:val="20"/>
          <w:lang w:val="es-CR"/>
        </w:rPr>
      </w:pPr>
    </w:p>
    <w:p w14:paraId="40960AAA" w14:textId="77777777" w:rsidR="00272D4D" w:rsidRDefault="00272D4D" w:rsidP="003D1833">
      <w:pPr>
        <w:numPr>
          <w:ilvl w:val="0"/>
          <w:numId w:val="18"/>
        </w:numPr>
        <w:tabs>
          <w:tab w:val="left" w:pos="567"/>
        </w:tabs>
        <w:spacing w:before="120" w:after="120" w:line="240" w:lineRule="auto"/>
        <w:ind w:left="0" w:right="22" w:firstLine="0"/>
        <w:jc w:val="both"/>
        <w:rPr>
          <w:rFonts w:ascii="Verdana" w:hAnsi="Verdana"/>
          <w:sz w:val="20"/>
          <w:szCs w:val="20"/>
          <w:lang w:val="es-CR"/>
        </w:rPr>
      </w:pPr>
      <w:r w:rsidRPr="00272D4D">
        <w:rPr>
          <w:rFonts w:ascii="Verdana" w:hAnsi="Verdana"/>
          <w:sz w:val="20"/>
          <w:szCs w:val="20"/>
          <w:lang w:val="es-CR"/>
        </w:rPr>
        <w:t xml:space="preserve">Disponer que el Estado adopte, en definitiva y a la mayor brevedad, las medidas que sean necesarias para dar efectivo y pronto cumplimiento </w:t>
      </w:r>
      <w:r w:rsidR="00221870">
        <w:rPr>
          <w:rFonts w:ascii="Verdana" w:hAnsi="Verdana"/>
          <w:sz w:val="20"/>
          <w:szCs w:val="20"/>
          <w:lang w:val="es-CR"/>
        </w:rPr>
        <w:t xml:space="preserve">a </w:t>
      </w:r>
      <w:r w:rsidRPr="00272D4D">
        <w:rPr>
          <w:rFonts w:ascii="Verdana" w:hAnsi="Verdana"/>
          <w:sz w:val="20"/>
          <w:szCs w:val="20"/>
          <w:lang w:val="es-CR"/>
        </w:rPr>
        <w:t xml:space="preserve">los </w:t>
      </w:r>
      <w:r w:rsidR="00151217">
        <w:rPr>
          <w:rFonts w:ascii="Verdana" w:hAnsi="Verdana"/>
          <w:sz w:val="20"/>
          <w:szCs w:val="20"/>
          <w:lang w:val="es-CR"/>
        </w:rPr>
        <w:t>trece</w:t>
      </w:r>
      <w:r w:rsidR="00151217" w:rsidRPr="00272D4D">
        <w:rPr>
          <w:rFonts w:ascii="Verdana" w:hAnsi="Verdana"/>
          <w:sz w:val="20"/>
          <w:szCs w:val="20"/>
          <w:lang w:val="es-CR"/>
        </w:rPr>
        <w:t xml:space="preserve"> </w:t>
      </w:r>
      <w:r w:rsidRPr="00272D4D">
        <w:rPr>
          <w:rFonts w:ascii="Verdana" w:hAnsi="Verdana"/>
          <w:sz w:val="20"/>
          <w:szCs w:val="20"/>
          <w:lang w:val="es-CR"/>
        </w:rPr>
        <w:t>puntos pendientes de la Sentencia de fondo, reparaciones y costas emitida en el presente caso, de acuerdo con lo considerado en la presente Resolución, y con lo estipulado en el artículo 68.1 de la Convención Americana sobre Derechos Humanos.</w:t>
      </w:r>
    </w:p>
    <w:p w14:paraId="5723FA3E" w14:textId="77777777" w:rsidR="00A77BEB" w:rsidRPr="005A7322" w:rsidRDefault="001B09C4" w:rsidP="003D1833">
      <w:pPr>
        <w:numPr>
          <w:ilvl w:val="0"/>
          <w:numId w:val="18"/>
        </w:numPr>
        <w:tabs>
          <w:tab w:val="left" w:pos="567"/>
        </w:tabs>
        <w:spacing w:before="120" w:after="120" w:line="240" w:lineRule="auto"/>
        <w:ind w:left="0" w:right="22" w:firstLine="0"/>
        <w:jc w:val="both"/>
        <w:rPr>
          <w:rFonts w:ascii="Verdana" w:hAnsi="Verdana"/>
          <w:sz w:val="20"/>
          <w:szCs w:val="20"/>
          <w:lang w:val="es-CR"/>
        </w:rPr>
      </w:pPr>
      <w:r>
        <w:rPr>
          <w:rFonts w:ascii="Verdana" w:hAnsi="Verdana"/>
          <w:sz w:val="20"/>
          <w:szCs w:val="20"/>
          <w:lang w:val="es-CR"/>
        </w:rPr>
        <w:t>Disponer que el</w:t>
      </w:r>
      <w:r w:rsidR="005A7322" w:rsidRPr="005A7322">
        <w:rPr>
          <w:rFonts w:ascii="Verdana" w:hAnsi="Verdana"/>
          <w:sz w:val="20"/>
          <w:szCs w:val="20"/>
          <w:lang w:val="es-CR"/>
        </w:rPr>
        <w:t xml:space="preserve"> Estado y los representantes de las víctimas</w:t>
      </w:r>
      <w:r>
        <w:rPr>
          <w:rFonts w:ascii="Verdana" w:hAnsi="Verdana"/>
          <w:sz w:val="20"/>
          <w:szCs w:val="20"/>
          <w:lang w:val="es-CR"/>
        </w:rPr>
        <w:t xml:space="preserve"> presenten</w:t>
      </w:r>
      <w:r w:rsidR="005A7322" w:rsidRPr="005A7322">
        <w:rPr>
          <w:rFonts w:ascii="Verdana" w:hAnsi="Verdana"/>
          <w:sz w:val="20"/>
          <w:szCs w:val="20"/>
          <w:lang w:val="es-CR"/>
        </w:rPr>
        <w:t xml:space="preserve">, a más tardar el </w:t>
      </w:r>
      <w:r w:rsidR="00151217">
        <w:rPr>
          <w:rFonts w:ascii="Verdana" w:hAnsi="Verdana"/>
          <w:sz w:val="20"/>
          <w:szCs w:val="20"/>
          <w:lang w:val="es-CR"/>
        </w:rPr>
        <w:t>16</w:t>
      </w:r>
      <w:r w:rsidR="00151217" w:rsidRPr="005A7322">
        <w:rPr>
          <w:rFonts w:ascii="Verdana" w:hAnsi="Verdana"/>
          <w:sz w:val="20"/>
          <w:szCs w:val="20"/>
          <w:lang w:val="es-CR"/>
        </w:rPr>
        <w:t xml:space="preserve"> </w:t>
      </w:r>
      <w:r w:rsidR="005A7322" w:rsidRPr="005A7322">
        <w:rPr>
          <w:rFonts w:ascii="Verdana" w:hAnsi="Verdana"/>
          <w:sz w:val="20"/>
          <w:szCs w:val="20"/>
          <w:lang w:val="es-CR"/>
        </w:rPr>
        <w:t xml:space="preserve">de </w:t>
      </w:r>
      <w:r w:rsidR="00151217">
        <w:rPr>
          <w:rFonts w:ascii="Verdana" w:hAnsi="Verdana"/>
          <w:sz w:val="20"/>
          <w:szCs w:val="20"/>
          <w:lang w:val="es-CR"/>
        </w:rPr>
        <w:t>agosto</w:t>
      </w:r>
      <w:r w:rsidR="00151217" w:rsidRPr="005A7322">
        <w:rPr>
          <w:rFonts w:ascii="Verdana" w:hAnsi="Verdana"/>
          <w:sz w:val="20"/>
          <w:szCs w:val="20"/>
          <w:lang w:val="es-CR"/>
        </w:rPr>
        <w:t xml:space="preserve"> </w:t>
      </w:r>
      <w:r w:rsidR="005A7322" w:rsidRPr="005A7322">
        <w:rPr>
          <w:rFonts w:ascii="Verdana" w:hAnsi="Verdana"/>
          <w:sz w:val="20"/>
          <w:szCs w:val="20"/>
          <w:lang w:val="es-CR"/>
        </w:rPr>
        <w:t xml:space="preserve">de 2019, la información requerida en el Considerando </w:t>
      </w:r>
      <w:r>
        <w:rPr>
          <w:rFonts w:ascii="Verdana" w:hAnsi="Verdana"/>
          <w:sz w:val="20"/>
          <w:szCs w:val="20"/>
          <w:lang w:val="es-CR"/>
        </w:rPr>
        <w:t>23</w:t>
      </w:r>
      <w:r w:rsidRPr="005A7322">
        <w:rPr>
          <w:rFonts w:ascii="Verdana" w:hAnsi="Verdana"/>
          <w:sz w:val="20"/>
          <w:szCs w:val="20"/>
          <w:lang w:val="es-CR"/>
        </w:rPr>
        <w:t xml:space="preserve"> </w:t>
      </w:r>
      <w:r w:rsidR="005A7322" w:rsidRPr="005A7322">
        <w:rPr>
          <w:rFonts w:ascii="Verdana" w:hAnsi="Verdana"/>
          <w:sz w:val="20"/>
          <w:szCs w:val="20"/>
          <w:lang w:val="es-CR"/>
        </w:rPr>
        <w:t xml:space="preserve">de la presente Resolución respecto a los resultados de la reunión que sostengan </w:t>
      </w:r>
      <w:r w:rsidR="005A7322" w:rsidRPr="005A7322">
        <w:rPr>
          <w:rFonts w:ascii="Verdana" w:hAnsi="Verdana"/>
          <w:bCs/>
          <w:sz w:val="20"/>
          <w:szCs w:val="20"/>
          <w:lang w:val="es-CR"/>
        </w:rPr>
        <w:t xml:space="preserve">las autoridades estatales correspondientes, los representantes de las víctimas y los líderes de la </w:t>
      </w:r>
      <w:r>
        <w:rPr>
          <w:rFonts w:ascii="Verdana" w:hAnsi="Verdana"/>
          <w:bCs/>
          <w:sz w:val="20"/>
          <w:szCs w:val="20"/>
          <w:lang w:val="es-CR"/>
        </w:rPr>
        <w:t>C</w:t>
      </w:r>
      <w:r w:rsidRPr="005A7322">
        <w:rPr>
          <w:rFonts w:ascii="Verdana" w:hAnsi="Verdana"/>
          <w:bCs/>
          <w:sz w:val="20"/>
          <w:szCs w:val="20"/>
          <w:lang w:val="es-CR"/>
        </w:rPr>
        <w:t xml:space="preserve">omunidad </w:t>
      </w:r>
      <w:r>
        <w:rPr>
          <w:rFonts w:ascii="Verdana" w:hAnsi="Verdana"/>
          <w:bCs/>
          <w:sz w:val="20"/>
          <w:szCs w:val="20"/>
          <w:lang w:val="es-CR"/>
        </w:rPr>
        <w:t xml:space="preserve">indígena </w:t>
      </w:r>
      <w:r w:rsidR="005A7322" w:rsidRPr="005A7322">
        <w:rPr>
          <w:rFonts w:ascii="Verdana" w:hAnsi="Verdana"/>
          <w:bCs/>
          <w:sz w:val="20"/>
          <w:szCs w:val="20"/>
          <w:lang w:val="es-CR"/>
        </w:rPr>
        <w:t>Xákmok Kásek, a fin de avanzar en la determinación de las tierras tradicionales que se deben entregar a dicha Comunidad.</w:t>
      </w:r>
    </w:p>
    <w:p w14:paraId="1A43F83D" w14:textId="77777777" w:rsidR="003377E6" w:rsidRPr="00BD35D8" w:rsidRDefault="001B09C4" w:rsidP="003D1833">
      <w:pPr>
        <w:numPr>
          <w:ilvl w:val="0"/>
          <w:numId w:val="18"/>
        </w:numPr>
        <w:tabs>
          <w:tab w:val="left" w:pos="567"/>
        </w:tabs>
        <w:spacing w:before="120" w:after="120" w:line="240" w:lineRule="auto"/>
        <w:ind w:left="0" w:right="22" w:firstLine="0"/>
        <w:jc w:val="both"/>
        <w:rPr>
          <w:rFonts w:ascii="Verdana" w:hAnsi="Verdana"/>
          <w:sz w:val="20"/>
          <w:szCs w:val="20"/>
          <w:lang w:val="es-CR"/>
        </w:rPr>
      </w:pPr>
      <w:r w:rsidRPr="00BD35D8">
        <w:rPr>
          <w:rFonts w:ascii="Verdana" w:hAnsi="Verdana"/>
          <w:sz w:val="20"/>
          <w:szCs w:val="20"/>
          <w:lang w:val="es-CR"/>
        </w:rPr>
        <w:t xml:space="preserve">Disponer </w:t>
      </w:r>
      <w:r w:rsidR="003377E6" w:rsidRPr="00BD35D8">
        <w:rPr>
          <w:rFonts w:ascii="Verdana" w:hAnsi="Verdana"/>
          <w:sz w:val="20"/>
          <w:szCs w:val="20"/>
          <w:lang w:val="es-CR"/>
        </w:rPr>
        <w:t xml:space="preserve">que el Estado presente a la Corte Interamericana de Derechos Humanos, a más tardar el </w:t>
      </w:r>
      <w:r w:rsidRPr="00BD35D8">
        <w:rPr>
          <w:rFonts w:ascii="Verdana" w:hAnsi="Verdana"/>
          <w:sz w:val="20"/>
          <w:szCs w:val="20"/>
          <w:lang w:val="es-CR"/>
        </w:rPr>
        <w:t xml:space="preserve">20 </w:t>
      </w:r>
      <w:r w:rsidR="003377E6" w:rsidRPr="00BD35D8">
        <w:rPr>
          <w:rFonts w:ascii="Verdana" w:hAnsi="Verdana"/>
          <w:sz w:val="20"/>
          <w:szCs w:val="20"/>
          <w:lang w:val="es-CR"/>
        </w:rPr>
        <w:t xml:space="preserve">de </w:t>
      </w:r>
      <w:r w:rsidRPr="00BD35D8">
        <w:rPr>
          <w:rFonts w:ascii="Verdana" w:hAnsi="Verdana"/>
          <w:sz w:val="20"/>
          <w:szCs w:val="20"/>
          <w:lang w:val="es-CR"/>
        </w:rPr>
        <w:t xml:space="preserve">septiembre </w:t>
      </w:r>
      <w:r w:rsidR="003377E6" w:rsidRPr="00BD35D8">
        <w:rPr>
          <w:rFonts w:ascii="Verdana" w:hAnsi="Verdana"/>
          <w:sz w:val="20"/>
          <w:szCs w:val="20"/>
          <w:lang w:val="es-CR"/>
        </w:rPr>
        <w:t xml:space="preserve">de 2019, un informe sobre todas las medidas pendientes de cumplimiento, de conformidad con lo indicado en el punto resolutivo </w:t>
      </w:r>
      <w:r w:rsidR="00B553CB" w:rsidRPr="00BD35D8">
        <w:rPr>
          <w:rFonts w:ascii="Verdana" w:hAnsi="Verdana"/>
          <w:sz w:val="20"/>
          <w:szCs w:val="20"/>
          <w:lang w:val="es-CR"/>
        </w:rPr>
        <w:t>quinto</w:t>
      </w:r>
      <w:r w:rsidR="003377E6" w:rsidRPr="00BD35D8">
        <w:rPr>
          <w:rFonts w:ascii="Verdana" w:hAnsi="Verdana"/>
          <w:sz w:val="20"/>
          <w:szCs w:val="20"/>
          <w:lang w:val="es-CR"/>
        </w:rPr>
        <w:t xml:space="preserve"> y los Considerandos </w:t>
      </w:r>
      <w:r w:rsidR="00BD35D8" w:rsidRPr="00BD35D8">
        <w:rPr>
          <w:rFonts w:ascii="Verdana" w:hAnsi="Verdana"/>
          <w:sz w:val="20"/>
          <w:szCs w:val="20"/>
          <w:lang w:val="es-CR"/>
        </w:rPr>
        <w:t>20, 26, 41, 43 y 48</w:t>
      </w:r>
      <w:r w:rsidR="003377E6" w:rsidRPr="00BD35D8">
        <w:rPr>
          <w:rFonts w:ascii="Verdana" w:hAnsi="Verdana"/>
          <w:sz w:val="20"/>
          <w:szCs w:val="20"/>
          <w:lang w:val="es-CR"/>
        </w:rPr>
        <w:t xml:space="preserve"> de la presente Resolución. </w:t>
      </w:r>
    </w:p>
    <w:p w14:paraId="3C96FC39" w14:textId="77777777" w:rsidR="003377E6" w:rsidRDefault="001B09C4" w:rsidP="003D1833">
      <w:pPr>
        <w:numPr>
          <w:ilvl w:val="0"/>
          <w:numId w:val="18"/>
        </w:numPr>
        <w:tabs>
          <w:tab w:val="left" w:pos="567"/>
        </w:tabs>
        <w:spacing w:before="120" w:after="120" w:line="240" w:lineRule="auto"/>
        <w:ind w:left="0" w:right="22" w:firstLine="0"/>
        <w:jc w:val="both"/>
        <w:rPr>
          <w:rFonts w:ascii="Verdana" w:hAnsi="Verdana"/>
          <w:sz w:val="20"/>
          <w:szCs w:val="20"/>
          <w:lang w:val="es-CR"/>
        </w:rPr>
      </w:pPr>
      <w:r>
        <w:rPr>
          <w:rFonts w:ascii="Verdana" w:hAnsi="Verdana"/>
          <w:sz w:val="20"/>
          <w:szCs w:val="20"/>
          <w:lang w:val="es-CR"/>
        </w:rPr>
        <w:t xml:space="preserve">Disponer </w:t>
      </w:r>
      <w:r w:rsidR="00272D4D">
        <w:rPr>
          <w:rFonts w:ascii="Verdana" w:hAnsi="Verdana"/>
          <w:sz w:val="20"/>
          <w:szCs w:val="20"/>
          <w:lang w:val="es-CR"/>
        </w:rPr>
        <w:t>que los</w:t>
      </w:r>
      <w:r w:rsidR="003377E6" w:rsidRPr="003377E6">
        <w:rPr>
          <w:rFonts w:ascii="Verdana" w:hAnsi="Verdana"/>
          <w:sz w:val="20"/>
          <w:szCs w:val="20"/>
          <w:lang w:val="es-CR"/>
        </w:rPr>
        <w:t xml:space="preserve"> representante</w:t>
      </w:r>
      <w:r w:rsidR="00272D4D">
        <w:rPr>
          <w:rFonts w:ascii="Verdana" w:hAnsi="Verdana"/>
          <w:sz w:val="20"/>
          <w:szCs w:val="20"/>
          <w:lang w:val="es-CR"/>
        </w:rPr>
        <w:t>s</w:t>
      </w:r>
      <w:r w:rsidR="003377E6" w:rsidRPr="003377E6">
        <w:rPr>
          <w:rFonts w:ascii="Verdana" w:hAnsi="Verdana"/>
          <w:sz w:val="20"/>
          <w:szCs w:val="20"/>
          <w:lang w:val="es-CR"/>
        </w:rPr>
        <w:t xml:space="preserve"> de las víctimas y la Comisión Interamericana de Derechos Humanos presenten observaciones al informe del Estado mencionado en el punto resolutivo anterior, en los plazos de cuatro y seis semanas, respectivamente, contados a partir de la recepción del informe.</w:t>
      </w:r>
    </w:p>
    <w:p w14:paraId="0756FC2A" w14:textId="77777777" w:rsidR="003377E6" w:rsidRDefault="001B09C4" w:rsidP="005A7322">
      <w:pPr>
        <w:numPr>
          <w:ilvl w:val="0"/>
          <w:numId w:val="18"/>
        </w:numPr>
        <w:tabs>
          <w:tab w:val="left" w:pos="567"/>
        </w:tabs>
        <w:spacing w:before="120" w:after="120" w:line="240" w:lineRule="auto"/>
        <w:ind w:left="0" w:right="22" w:firstLine="0"/>
        <w:jc w:val="both"/>
        <w:rPr>
          <w:rFonts w:ascii="Verdana" w:hAnsi="Verdana"/>
          <w:sz w:val="20"/>
          <w:szCs w:val="20"/>
          <w:lang w:val="es-CR"/>
        </w:rPr>
      </w:pPr>
      <w:r>
        <w:rPr>
          <w:rFonts w:ascii="Verdana" w:hAnsi="Verdana"/>
          <w:sz w:val="20"/>
          <w:szCs w:val="20"/>
          <w:lang w:val="es-CR"/>
        </w:rPr>
        <w:t>Disponer</w:t>
      </w:r>
      <w:r w:rsidRPr="003377E6">
        <w:rPr>
          <w:rFonts w:ascii="Verdana" w:hAnsi="Verdana"/>
          <w:sz w:val="20"/>
          <w:szCs w:val="20"/>
          <w:lang w:val="es-CR"/>
        </w:rPr>
        <w:t xml:space="preserve"> </w:t>
      </w:r>
      <w:r w:rsidR="003377E6" w:rsidRPr="003377E6">
        <w:rPr>
          <w:rFonts w:ascii="Verdana" w:hAnsi="Verdana"/>
          <w:sz w:val="20"/>
          <w:szCs w:val="20"/>
          <w:lang w:val="es-CR"/>
        </w:rPr>
        <w:t>que la Secretaría de la Corte notifique la presente Resolución al Estado, a l</w:t>
      </w:r>
      <w:r w:rsidR="00AB5309">
        <w:rPr>
          <w:rFonts w:ascii="Verdana" w:hAnsi="Verdana"/>
          <w:sz w:val="20"/>
          <w:szCs w:val="20"/>
          <w:lang w:val="es-CR"/>
        </w:rPr>
        <w:t>os</w:t>
      </w:r>
      <w:r w:rsidR="003377E6" w:rsidRPr="003377E6">
        <w:rPr>
          <w:rFonts w:ascii="Verdana" w:hAnsi="Verdana"/>
          <w:sz w:val="20"/>
          <w:szCs w:val="20"/>
          <w:lang w:val="es-CR"/>
        </w:rPr>
        <w:t xml:space="preserve"> representante</w:t>
      </w:r>
      <w:r w:rsidR="00AB5309">
        <w:rPr>
          <w:rFonts w:ascii="Verdana" w:hAnsi="Verdana"/>
          <w:sz w:val="20"/>
          <w:szCs w:val="20"/>
          <w:lang w:val="es-CR"/>
        </w:rPr>
        <w:t>s</w:t>
      </w:r>
      <w:r w:rsidR="003377E6" w:rsidRPr="003377E6">
        <w:rPr>
          <w:rFonts w:ascii="Verdana" w:hAnsi="Verdana"/>
          <w:sz w:val="20"/>
          <w:szCs w:val="20"/>
          <w:lang w:val="es-CR"/>
        </w:rPr>
        <w:t xml:space="preserve"> de las víctimas y a la Comisión Interamericana de Derechos Humanos.</w:t>
      </w:r>
    </w:p>
    <w:p w14:paraId="2F14887D" w14:textId="77777777" w:rsidR="00DA246E" w:rsidRDefault="00DA246E">
      <w:pPr>
        <w:rPr>
          <w:rFonts w:ascii="Verdana" w:hAnsi="Verdana"/>
          <w:sz w:val="20"/>
          <w:szCs w:val="20"/>
          <w:lang w:val="es-CR"/>
        </w:rPr>
      </w:pPr>
      <w:r>
        <w:rPr>
          <w:rFonts w:ascii="Verdana" w:hAnsi="Verdana"/>
          <w:sz w:val="20"/>
          <w:szCs w:val="20"/>
          <w:lang w:val="es-CR"/>
        </w:rPr>
        <w:br w:type="page"/>
      </w:r>
    </w:p>
    <w:p w14:paraId="41C4E3D9" w14:textId="77777777" w:rsidR="00DA246E" w:rsidRDefault="00DA246E" w:rsidP="00DA246E">
      <w:pPr>
        <w:tabs>
          <w:tab w:val="left" w:pos="567"/>
        </w:tabs>
        <w:spacing w:before="120" w:after="120" w:line="240" w:lineRule="auto"/>
        <w:ind w:right="22"/>
        <w:jc w:val="center"/>
        <w:rPr>
          <w:rFonts w:ascii="Verdana" w:hAnsi="Verdana"/>
          <w:b/>
          <w:szCs w:val="20"/>
          <w:u w:val="single"/>
          <w:lang w:val="es-CR"/>
        </w:rPr>
      </w:pPr>
      <w:r w:rsidRPr="00DA246E">
        <w:rPr>
          <w:rFonts w:ascii="Verdana" w:hAnsi="Verdana"/>
          <w:b/>
          <w:szCs w:val="20"/>
          <w:u w:val="single"/>
          <w:lang w:val="es-CR"/>
        </w:rPr>
        <w:t>ANEXOS</w:t>
      </w:r>
    </w:p>
    <w:p w14:paraId="3965DDC4" w14:textId="77777777" w:rsidR="00DA246E" w:rsidRPr="00DA246E" w:rsidRDefault="00DA246E" w:rsidP="00DA246E">
      <w:pPr>
        <w:tabs>
          <w:tab w:val="left" w:pos="567"/>
        </w:tabs>
        <w:spacing w:before="120" w:after="120" w:line="240" w:lineRule="auto"/>
        <w:ind w:right="22"/>
        <w:jc w:val="center"/>
        <w:rPr>
          <w:rFonts w:ascii="Verdana" w:hAnsi="Verdana"/>
          <w:b/>
          <w:sz w:val="20"/>
          <w:szCs w:val="20"/>
          <w:u w:val="single"/>
          <w:lang w:val="es-CR"/>
        </w:rPr>
      </w:pPr>
    </w:p>
    <w:p w14:paraId="13F96B31" w14:textId="77777777" w:rsidR="00DA246E" w:rsidRDefault="00DA246E" w:rsidP="00DA246E">
      <w:pPr>
        <w:tabs>
          <w:tab w:val="left" w:pos="567"/>
        </w:tabs>
        <w:spacing w:before="120" w:after="120" w:line="240" w:lineRule="auto"/>
        <w:ind w:right="22"/>
        <w:jc w:val="center"/>
        <w:rPr>
          <w:rFonts w:ascii="Verdana" w:hAnsi="Verdana"/>
          <w:b/>
          <w:sz w:val="20"/>
          <w:szCs w:val="20"/>
          <w:lang w:val="es-CR"/>
        </w:rPr>
      </w:pPr>
      <w:r w:rsidRPr="00DA246E">
        <w:rPr>
          <w:rFonts w:ascii="Verdana" w:hAnsi="Verdana"/>
          <w:b/>
          <w:sz w:val="20"/>
          <w:szCs w:val="20"/>
          <w:lang w:val="es-CR"/>
        </w:rPr>
        <w:t>Fotografía No. 1</w:t>
      </w:r>
    </w:p>
    <w:p w14:paraId="6291F91C" w14:textId="77777777" w:rsidR="00432F25" w:rsidRDefault="00432F25" w:rsidP="00DA246E">
      <w:pPr>
        <w:tabs>
          <w:tab w:val="left" w:pos="567"/>
        </w:tabs>
        <w:spacing w:before="120" w:after="120" w:line="240" w:lineRule="auto"/>
        <w:ind w:right="22"/>
        <w:jc w:val="center"/>
        <w:rPr>
          <w:rFonts w:ascii="Verdana" w:hAnsi="Verdana"/>
          <w:b/>
          <w:sz w:val="20"/>
          <w:szCs w:val="20"/>
          <w:lang w:val="es-CR"/>
        </w:rPr>
      </w:pPr>
      <w:r>
        <w:rPr>
          <w:rFonts w:ascii="Verdana" w:hAnsi="Verdana"/>
          <w:b/>
          <w:noProof/>
          <w:sz w:val="20"/>
          <w:szCs w:val="20"/>
          <w:lang w:val="es-CR" w:eastAsia="es-CR"/>
        </w:rPr>
        <w:drawing>
          <wp:inline distT="0" distB="0" distL="0" distR="0" wp14:anchorId="6EE61EA1" wp14:editId="0D320306">
            <wp:extent cx="4363200" cy="32724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ákmok Kásek 1.jpg"/>
                    <pic:cNvPicPr/>
                  </pic:nvPicPr>
                  <pic:blipFill>
                    <a:blip r:embed="rId8">
                      <a:extLst>
                        <a:ext uri="{28A0092B-C50C-407E-A947-70E740481C1C}">
                          <a14:useLocalDpi xmlns:a14="http://schemas.microsoft.com/office/drawing/2010/main" val="0"/>
                        </a:ext>
                      </a:extLst>
                    </a:blip>
                    <a:stretch>
                      <a:fillRect/>
                    </a:stretch>
                  </pic:blipFill>
                  <pic:spPr>
                    <a:xfrm>
                      <a:off x="0" y="0"/>
                      <a:ext cx="4363200" cy="3272400"/>
                    </a:xfrm>
                    <a:prstGeom prst="rect">
                      <a:avLst/>
                    </a:prstGeom>
                  </pic:spPr>
                </pic:pic>
              </a:graphicData>
            </a:graphic>
          </wp:inline>
        </w:drawing>
      </w:r>
    </w:p>
    <w:p w14:paraId="150E9DDC" w14:textId="77777777" w:rsidR="00432F25" w:rsidRDefault="00432F25" w:rsidP="00DA246E">
      <w:pPr>
        <w:tabs>
          <w:tab w:val="left" w:pos="567"/>
        </w:tabs>
        <w:spacing w:before="120" w:after="120" w:line="240" w:lineRule="auto"/>
        <w:ind w:right="22"/>
        <w:jc w:val="center"/>
        <w:rPr>
          <w:rFonts w:ascii="Verdana" w:hAnsi="Verdana"/>
          <w:b/>
          <w:sz w:val="20"/>
          <w:szCs w:val="20"/>
          <w:lang w:val="es-CR"/>
        </w:rPr>
      </w:pPr>
    </w:p>
    <w:p w14:paraId="6CCACFF8" w14:textId="77777777" w:rsidR="00432F25" w:rsidRDefault="00432F25" w:rsidP="00DA246E">
      <w:pPr>
        <w:tabs>
          <w:tab w:val="left" w:pos="567"/>
        </w:tabs>
        <w:spacing w:before="120" w:after="120" w:line="240" w:lineRule="auto"/>
        <w:ind w:right="22"/>
        <w:jc w:val="center"/>
        <w:rPr>
          <w:rFonts w:ascii="Verdana" w:hAnsi="Verdana"/>
          <w:b/>
          <w:sz w:val="20"/>
          <w:szCs w:val="20"/>
          <w:lang w:val="es-CR"/>
        </w:rPr>
      </w:pPr>
      <w:r>
        <w:rPr>
          <w:rFonts w:ascii="Verdana" w:hAnsi="Verdana"/>
          <w:b/>
          <w:sz w:val="20"/>
          <w:szCs w:val="20"/>
          <w:lang w:val="es-CR"/>
        </w:rPr>
        <w:t>Fotografía No. 2</w:t>
      </w:r>
    </w:p>
    <w:p w14:paraId="3B994F23" w14:textId="77777777" w:rsidR="00432F25" w:rsidRDefault="00432F25" w:rsidP="00DA246E">
      <w:pPr>
        <w:tabs>
          <w:tab w:val="left" w:pos="567"/>
        </w:tabs>
        <w:spacing w:before="120" w:after="120" w:line="240" w:lineRule="auto"/>
        <w:ind w:right="22"/>
        <w:jc w:val="center"/>
        <w:rPr>
          <w:rFonts w:ascii="Verdana" w:hAnsi="Verdana"/>
          <w:b/>
          <w:sz w:val="20"/>
          <w:szCs w:val="20"/>
          <w:lang w:val="es-CR"/>
        </w:rPr>
      </w:pPr>
      <w:r>
        <w:rPr>
          <w:rFonts w:ascii="Verdana" w:hAnsi="Verdana"/>
          <w:b/>
          <w:noProof/>
          <w:sz w:val="20"/>
          <w:szCs w:val="20"/>
          <w:lang w:val="es-CR" w:eastAsia="es-CR"/>
        </w:rPr>
        <w:drawing>
          <wp:inline distT="0" distB="0" distL="0" distR="0" wp14:anchorId="52AAAC75" wp14:editId="78A6F5F1">
            <wp:extent cx="4363200" cy="3272400"/>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ákmok Kásek 2.jpg"/>
                    <pic:cNvPicPr/>
                  </pic:nvPicPr>
                  <pic:blipFill>
                    <a:blip r:embed="rId9">
                      <a:extLst>
                        <a:ext uri="{28A0092B-C50C-407E-A947-70E740481C1C}">
                          <a14:useLocalDpi xmlns:a14="http://schemas.microsoft.com/office/drawing/2010/main" val="0"/>
                        </a:ext>
                      </a:extLst>
                    </a:blip>
                    <a:stretch>
                      <a:fillRect/>
                    </a:stretch>
                  </pic:blipFill>
                  <pic:spPr>
                    <a:xfrm>
                      <a:off x="0" y="0"/>
                      <a:ext cx="4363200" cy="3272400"/>
                    </a:xfrm>
                    <a:prstGeom prst="rect">
                      <a:avLst/>
                    </a:prstGeom>
                  </pic:spPr>
                </pic:pic>
              </a:graphicData>
            </a:graphic>
          </wp:inline>
        </w:drawing>
      </w:r>
    </w:p>
    <w:p w14:paraId="037DB6E1" w14:textId="77777777" w:rsidR="008947C7" w:rsidRDefault="008947C7" w:rsidP="00DA246E">
      <w:pPr>
        <w:tabs>
          <w:tab w:val="left" w:pos="567"/>
        </w:tabs>
        <w:spacing w:before="120" w:after="120" w:line="240" w:lineRule="auto"/>
        <w:ind w:right="22"/>
        <w:jc w:val="center"/>
        <w:rPr>
          <w:rFonts w:ascii="Verdana" w:hAnsi="Verdana"/>
          <w:b/>
          <w:sz w:val="20"/>
          <w:szCs w:val="20"/>
          <w:lang w:val="es-CR"/>
        </w:rPr>
      </w:pPr>
    </w:p>
    <w:p w14:paraId="08DD7BF5" w14:textId="77777777" w:rsidR="008947C7" w:rsidRDefault="008947C7" w:rsidP="00DA246E">
      <w:pPr>
        <w:tabs>
          <w:tab w:val="left" w:pos="567"/>
        </w:tabs>
        <w:spacing w:before="120" w:after="120" w:line="240" w:lineRule="auto"/>
        <w:ind w:right="22"/>
        <w:jc w:val="center"/>
        <w:rPr>
          <w:rFonts w:ascii="Verdana" w:hAnsi="Verdana"/>
          <w:b/>
          <w:sz w:val="20"/>
          <w:szCs w:val="20"/>
          <w:lang w:val="es-CR"/>
        </w:rPr>
      </w:pPr>
      <w:r>
        <w:rPr>
          <w:rFonts w:ascii="Verdana" w:hAnsi="Verdana"/>
          <w:b/>
          <w:sz w:val="20"/>
          <w:szCs w:val="20"/>
          <w:lang w:val="es-CR"/>
        </w:rPr>
        <w:t>Fotografía No. 3</w:t>
      </w:r>
    </w:p>
    <w:p w14:paraId="33E90B8B" w14:textId="77777777" w:rsidR="008947C7" w:rsidRDefault="008947C7" w:rsidP="00DA246E">
      <w:pPr>
        <w:tabs>
          <w:tab w:val="left" w:pos="567"/>
        </w:tabs>
        <w:spacing w:before="120" w:after="120" w:line="240" w:lineRule="auto"/>
        <w:ind w:right="22"/>
        <w:jc w:val="center"/>
        <w:rPr>
          <w:rFonts w:ascii="Verdana" w:hAnsi="Verdana"/>
          <w:b/>
          <w:sz w:val="20"/>
          <w:szCs w:val="20"/>
          <w:lang w:val="es-CR"/>
        </w:rPr>
      </w:pPr>
      <w:r>
        <w:rPr>
          <w:rFonts w:ascii="Verdana" w:hAnsi="Verdana"/>
          <w:b/>
          <w:noProof/>
          <w:sz w:val="20"/>
          <w:szCs w:val="20"/>
          <w:lang w:val="es-CR" w:eastAsia="es-CR"/>
        </w:rPr>
        <w:drawing>
          <wp:inline distT="0" distB="0" distL="0" distR="0" wp14:anchorId="38361EE7" wp14:editId="0F4C639B">
            <wp:extent cx="4363200" cy="3272400"/>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ákmok Kásek 3.jpg"/>
                    <pic:cNvPicPr/>
                  </pic:nvPicPr>
                  <pic:blipFill>
                    <a:blip r:embed="rId10">
                      <a:extLst>
                        <a:ext uri="{28A0092B-C50C-407E-A947-70E740481C1C}">
                          <a14:useLocalDpi xmlns:a14="http://schemas.microsoft.com/office/drawing/2010/main" val="0"/>
                        </a:ext>
                      </a:extLst>
                    </a:blip>
                    <a:stretch>
                      <a:fillRect/>
                    </a:stretch>
                  </pic:blipFill>
                  <pic:spPr>
                    <a:xfrm>
                      <a:off x="0" y="0"/>
                      <a:ext cx="4363200" cy="3272400"/>
                    </a:xfrm>
                    <a:prstGeom prst="rect">
                      <a:avLst/>
                    </a:prstGeom>
                  </pic:spPr>
                </pic:pic>
              </a:graphicData>
            </a:graphic>
          </wp:inline>
        </w:drawing>
      </w:r>
    </w:p>
    <w:p w14:paraId="0E6CAD6A" w14:textId="77777777" w:rsidR="008947C7" w:rsidRDefault="008947C7" w:rsidP="00DA246E">
      <w:pPr>
        <w:tabs>
          <w:tab w:val="left" w:pos="567"/>
        </w:tabs>
        <w:spacing w:before="120" w:after="120" w:line="240" w:lineRule="auto"/>
        <w:ind w:right="22"/>
        <w:jc w:val="center"/>
        <w:rPr>
          <w:rFonts w:ascii="Verdana" w:hAnsi="Verdana"/>
          <w:b/>
          <w:sz w:val="20"/>
          <w:szCs w:val="20"/>
          <w:lang w:val="es-CR"/>
        </w:rPr>
      </w:pPr>
    </w:p>
    <w:p w14:paraId="7A456DC8" w14:textId="77777777" w:rsidR="008947C7" w:rsidRDefault="008947C7" w:rsidP="00DA246E">
      <w:pPr>
        <w:tabs>
          <w:tab w:val="left" w:pos="567"/>
        </w:tabs>
        <w:spacing w:before="120" w:after="120" w:line="240" w:lineRule="auto"/>
        <w:ind w:right="22"/>
        <w:jc w:val="center"/>
        <w:rPr>
          <w:rFonts w:ascii="Verdana" w:hAnsi="Verdana"/>
          <w:b/>
          <w:sz w:val="20"/>
          <w:szCs w:val="20"/>
          <w:lang w:val="es-CR"/>
        </w:rPr>
      </w:pPr>
      <w:r>
        <w:rPr>
          <w:rFonts w:ascii="Verdana" w:hAnsi="Verdana"/>
          <w:b/>
          <w:sz w:val="20"/>
          <w:szCs w:val="20"/>
          <w:lang w:val="es-CR"/>
        </w:rPr>
        <w:t>Fotografía No. 4</w:t>
      </w:r>
    </w:p>
    <w:p w14:paraId="54918D49" w14:textId="060D099A" w:rsidR="00DA246E" w:rsidRDefault="008947C7" w:rsidP="00396148">
      <w:pPr>
        <w:tabs>
          <w:tab w:val="left" w:pos="567"/>
        </w:tabs>
        <w:spacing w:before="120" w:after="120" w:line="240" w:lineRule="auto"/>
        <w:ind w:right="22"/>
        <w:jc w:val="center"/>
        <w:rPr>
          <w:rFonts w:ascii="Verdana" w:hAnsi="Verdana"/>
          <w:b/>
          <w:sz w:val="20"/>
          <w:szCs w:val="20"/>
          <w:lang w:val="es-CR"/>
        </w:rPr>
      </w:pPr>
      <w:r>
        <w:rPr>
          <w:rFonts w:ascii="Verdana" w:hAnsi="Verdana"/>
          <w:b/>
          <w:noProof/>
          <w:sz w:val="20"/>
          <w:szCs w:val="20"/>
          <w:lang w:val="es-CR" w:eastAsia="es-CR"/>
        </w:rPr>
        <w:drawing>
          <wp:inline distT="0" distB="0" distL="0" distR="0" wp14:anchorId="0095E311" wp14:editId="1134A7AB">
            <wp:extent cx="2977200" cy="3967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ákmok Kásek 4.jpg"/>
                    <pic:cNvPicPr/>
                  </pic:nvPicPr>
                  <pic:blipFill>
                    <a:blip r:embed="rId11">
                      <a:extLst>
                        <a:ext uri="{28A0092B-C50C-407E-A947-70E740481C1C}">
                          <a14:useLocalDpi xmlns:a14="http://schemas.microsoft.com/office/drawing/2010/main" val="0"/>
                        </a:ext>
                      </a:extLst>
                    </a:blip>
                    <a:stretch>
                      <a:fillRect/>
                    </a:stretch>
                  </pic:blipFill>
                  <pic:spPr>
                    <a:xfrm>
                      <a:off x="0" y="0"/>
                      <a:ext cx="2977200" cy="3967200"/>
                    </a:xfrm>
                    <a:prstGeom prst="rect">
                      <a:avLst/>
                    </a:prstGeom>
                  </pic:spPr>
                </pic:pic>
              </a:graphicData>
            </a:graphic>
          </wp:inline>
        </w:drawing>
      </w:r>
    </w:p>
    <w:p w14:paraId="0ED99F76" w14:textId="0043CF89" w:rsidR="00085CC6" w:rsidRPr="00085CC6" w:rsidRDefault="00085CC6" w:rsidP="00085CC6">
      <w:pPr>
        <w:keepNext/>
        <w:jc w:val="both"/>
        <w:outlineLvl w:val="0"/>
        <w:rPr>
          <w:rFonts w:ascii="Verdana" w:hAnsi="Verdana" w:cs="Verdana"/>
          <w:b/>
          <w:bCs/>
          <w:sz w:val="20"/>
          <w:lang w:val="es-ES"/>
        </w:rPr>
      </w:pPr>
      <w:r w:rsidRPr="00847B73">
        <w:rPr>
          <w:rFonts w:ascii="Verdana" w:hAnsi="Verdana" w:cs="Courier New"/>
          <w:noProof/>
          <w:sz w:val="20"/>
          <w:lang w:val="es-AR"/>
        </w:rPr>
        <w:t xml:space="preserve">Corte IDH. </w:t>
      </w:r>
      <w:r w:rsidRPr="00847B73">
        <w:rPr>
          <w:rFonts w:ascii="Verdana" w:hAnsi="Verdana"/>
          <w:bCs/>
          <w:i/>
          <w:sz w:val="20"/>
          <w:lang w:val="es-CR"/>
        </w:rPr>
        <w:t xml:space="preserve">Caso </w:t>
      </w:r>
      <w:r>
        <w:rPr>
          <w:rFonts w:ascii="Verdana" w:hAnsi="Verdana"/>
          <w:bCs/>
          <w:i/>
          <w:sz w:val="20"/>
          <w:lang w:val="es-CR"/>
        </w:rPr>
        <w:t>Comunidad Indígena Xákmok Kásek Vs. Paraguay.</w:t>
      </w:r>
      <w:r w:rsidRPr="00847B73">
        <w:rPr>
          <w:rFonts w:ascii="Verdana" w:hAnsi="Verdana"/>
          <w:bCs/>
          <w:i/>
          <w:sz w:val="20"/>
          <w:lang w:val="es-CR"/>
        </w:rPr>
        <w:t xml:space="preserve"> </w:t>
      </w:r>
      <w:r>
        <w:rPr>
          <w:rFonts w:ascii="Verdana" w:hAnsi="Verdana" w:cs="Arial"/>
          <w:sz w:val="20"/>
          <w:lang w:val="es-CR"/>
        </w:rPr>
        <w:t xml:space="preserve">Supervisión de Cumplimiento de Sentencia. </w:t>
      </w:r>
      <w:r>
        <w:rPr>
          <w:rFonts w:ascii="Verdana" w:hAnsi="Verdana" w:cs="Arial"/>
          <w:i/>
          <w:sz w:val="20"/>
          <w:lang w:val="es-CR"/>
        </w:rPr>
        <w:t xml:space="preserve"> </w:t>
      </w:r>
      <w:r w:rsidRPr="00847B73">
        <w:rPr>
          <w:rFonts w:ascii="Verdana" w:hAnsi="Verdana"/>
          <w:sz w:val="20"/>
          <w:lang w:val="es-ES"/>
        </w:rPr>
        <w:t xml:space="preserve">Resolución de la Corte Interamericana de Derechos Humanos de </w:t>
      </w:r>
      <w:r>
        <w:rPr>
          <w:rFonts w:ascii="Verdana" w:hAnsi="Verdana"/>
          <w:sz w:val="20"/>
          <w:lang w:val="es-ES"/>
        </w:rPr>
        <w:t>14</w:t>
      </w:r>
      <w:r w:rsidRPr="00847B73">
        <w:rPr>
          <w:rFonts w:ascii="Verdana" w:hAnsi="Verdana"/>
          <w:sz w:val="20"/>
          <w:lang w:val="es-CR"/>
        </w:rPr>
        <w:t xml:space="preserve"> de </w:t>
      </w:r>
      <w:r>
        <w:rPr>
          <w:rFonts w:ascii="Verdana" w:hAnsi="Verdana"/>
          <w:sz w:val="20"/>
          <w:lang w:val="es-CR"/>
        </w:rPr>
        <w:t xml:space="preserve">mayo </w:t>
      </w:r>
      <w:r w:rsidRPr="00847B73">
        <w:rPr>
          <w:rFonts w:ascii="Verdana" w:hAnsi="Verdana"/>
          <w:sz w:val="20"/>
          <w:lang w:val="es-CR"/>
        </w:rPr>
        <w:t>de 2019</w:t>
      </w:r>
      <w:r w:rsidRPr="00847B73">
        <w:rPr>
          <w:rFonts w:ascii="Verdana" w:hAnsi="Verdana"/>
          <w:sz w:val="20"/>
          <w:lang w:val="es-ES"/>
        </w:rPr>
        <w:t xml:space="preserve">. </w:t>
      </w:r>
    </w:p>
    <w:p w14:paraId="4DC73E12" w14:textId="77777777" w:rsidR="00085CC6" w:rsidRPr="00847B73" w:rsidRDefault="00085CC6" w:rsidP="00085CC6">
      <w:pPr>
        <w:rPr>
          <w:rFonts w:ascii="Verdana" w:hAnsi="Verdana"/>
          <w:sz w:val="20"/>
          <w:lang w:val="es-ES"/>
        </w:rPr>
      </w:pPr>
    </w:p>
    <w:p w14:paraId="6FA507F6" w14:textId="77777777" w:rsidR="00085CC6" w:rsidRPr="00847B73" w:rsidRDefault="00085CC6" w:rsidP="00085CC6">
      <w:pPr>
        <w:jc w:val="center"/>
        <w:rPr>
          <w:rFonts w:ascii="Verdana" w:hAnsi="Verdana"/>
          <w:sz w:val="20"/>
          <w:lang w:val="pt-BR"/>
        </w:rPr>
      </w:pPr>
      <w:r w:rsidRPr="00847B73">
        <w:rPr>
          <w:rFonts w:ascii="Verdana" w:hAnsi="Verdana"/>
          <w:sz w:val="20"/>
          <w:lang w:val="pt-BR"/>
        </w:rPr>
        <w:t xml:space="preserve">Eduardo Ferrer Mac-Gregor Poisot </w:t>
      </w:r>
    </w:p>
    <w:p w14:paraId="292F56E3" w14:textId="77777777" w:rsidR="00085CC6" w:rsidRPr="00847B73" w:rsidRDefault="00085CC6" w:rsidP="00085CC6">
      <w:pPr>
        <w:jc w:val="center"/>
        <w:rPr>
          <w:rFonts w:ascii="Verdana" w:hAnsi="Verdana"/>
          <w:sz w:val="20"/>
          <w:lang w:val="pt-BR"/>
        </w:rPr>
      </w:pPr>
      <w:r w:rsidRPr="00847B73">
        <w:rPr>
          <w:rFonts w:ascii="Verdana" w:hAnsi="Verdana"/>
          <w:sz w:val="20"/>
          <w:lang w:val="pt-BR"/>
        </w:rPr>
        <w:t>Presidente</w:t>
      </w:r>
    </w:p>
    <w:p w14:paraId="3CA2259E" w14:textId="77777777" w:rsidR="00085CC6" w:rsidRPr="00847B73" w:rsidRDefault="00085CC6" w:rsidP="00085CC6">
      <w:pPr>
        <w:jc w:val="both"/>
        <w:rPr>
          <w:rFonts w:ascii="Verdana" w:hAnsi="Verdana"/>
          <w:sz w:val="20"/>
          <w:lang w:val="pt-BR"/>
        </w:rPr>
      </w:pPr>
    </w:p>
    <w:p w14:paraId="3389FCF6" w14:textId="77777777" w:rsidR="00085CC6" w:rsidRDefault="00085CC6" w:rsidP="00085CC6">
      <w:pPr>
        <w:rPr>
          <w:rFonts w:ascii="Verdana" w:hAnsi="Verdana"/>
          <w:sz w:val="20"/>
          <w:lang w:val="pt-BR"/>
        </w:rPr>
      </w:pPr>
      <w:r w:rsidRPr="00847B73">
        <w:rPr>
          <w:rFonts w:ascii="Verdana" w:hAnsi="Verdana"/>
          <w:sz w:val="20"/>
          <w:lang w:val="pt-BR"/>
        </w:rPr>
        <w:t>Eduardo Vio Grossi</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H</w:t>
      </w:r>
      <w:r>
        <w:rPr>
          <w:rFonts w:ascii="Verdana" w:hAnsi="Verdana"/>
          <w:sz w:val="20"/>
          <w:lang w:val="pt-BR"/>
        </w:rPr>
        <w:t>umberto Antonio Sierra Porto</w:t>
      </w:r>
    </w:p>
    <w:p w14:paraId="368D83BF" w14:textId="77777777" w:rsidR="00085CC6" w:rsidRPr="00847B73" w:rsidRDefault="00085CC6" w:rsidP="00085CC6">
      <w:pPr>
        <w:rPr>
          <w:rFonts w:ascii="Verdana" w:hAnsi="Verdana"/>
          <w:sz w:val="20"/>
          <w:lang w:val="pt-BR"/>
        </w:rPr>
      </w:pPr>
    </w:p>
    <w:p w14:paraId="6E040895" w14:textId="77777777" w:rsidR="00085CC6" w:rsidRPr="00847B73" w:rsidRDefault="00085CC6" w:rsidP="00085CC6">
      <w:pPr>
        <w:jc w:val="both"/>
        <w:rPr>
          <w:rFonts w:ascii="Verdana" w:hAnsi="Verdana"/>
          <w:sz w:val="20"/>
          <w:lang w:val="pt-BR"/>
        </w:rPr>
      </w:pPr>
    </w:p>
    <w:p w14:paraId="2BCA1FEF" w14:textId="77777777" w:rsidR="00085CC6" w:rsidRPr="00847B73" w:rsidRDefault="00085CC6" w:rsidP="00085CC6">
      <w:pPr>
        <w:rPr>
          <w:rFonts w:ascii="Verdana" w:hAnsi="Verdana"/>
          <w:sz w:val="20"/>
          <w:lang w:val="pt-BR"/>
        </w:rPr>
      </w:pPr>
      <w:r w:rsidRPr="00847B73">
        <w:rPr>
          <w:rFonts w:ascii="Verdana" w:hAnsi="Verdana"/>
          <w:sz w:val="20"/>
          <w:lang w:val="pt-BR"/>
        </w:rPr>
        <w:t xml:space="preserve">Elizabeth Odio Benito </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 xml:space="preserve">  Eugenio Raúl Zaffaroni </w:t>
      </w:r>
    </w:p>
    <w:p w14:paraId="0437EB92" w14:textId="77777777" w:rsidR="00085CC6" w:rsidRPr="00847B73" w:rsidRDefault="00085CC6" w:rsidP="00085CC6">
      <w:pPr>
        <w:rPr>
          <w:rFonts w:ascii="Verdana" w:hAnsi="Verdana"/>
          <w:sz w:val="20"/>
          <w:lang w:val="pt-BR"/>
        </w:rPr>
      </w:pPr>
    </w:p>
    <w:p w14:paraId="53480E06" w14:textId="77777777" w:rsidR="00085CC6" w:rsidRPr="00847B73" w:rsidRDefault="00085CC6" w:rsidP="00085CC6">
      <w:pPr>
        <w:rPr>
          <w:rFonts w:ascii="Verdana" w:hAnsi="Verdana"/>
          <w:sz w:val="20"/>
          <w:lang w:val="pt-BR"/>
        </w:rPr>
      </w:pPr>
    </w:p>
    <w:p w14:paraId="0E4EEBE7" w14:textId="77777777" w:rsidR="00085CC6" w:rsidRPr="00847B73" w:rsidRDefault="00085CC6" w:rsidP="00085CC6">
      <w:pPr>
        <w:rPr>
          <w:rFonts w:ascii="Verdana" w:hAnsi="Verdana"/>
          <w:sz w:val="20"/>
          <w:lang w:val="es-CR"/>
        </w:rPr>
      </w:pPr>
      <w:r w:rsidRPr="00847B73">
        <w:rPr>
          <w:rFonts w:ascii="Verdana" w:hAnsi="Verdana"/>
          <w:sz w:val="20"/>
          <w:lang w:val="pt-BR"/>
        </w:rPr>
        <w:t xml:space="preserve">L. Patricio Pazmiño Freire </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 xml:space="preserve">    </w:t>
      </w:r>
      <w:r w:rsidRPr="00847B73">
        <w:rPr>
          <w:rFonts w:ascii="Verdana" w:hAnsi="Verdana"/>
          <w:sz w:val="20"/>
          <w:lang w:val="pt-BR"/>
        </w:rPr>
        <w:tab/>
      </w:r>
      <w:r w:rsidRPr="00847B73">
        <w:rPr>
          <w:rFonts w:ascii="Verdana" w:hAnsi="Verdana"/>
          <w:sz w:val="20"/>
          <w:lang w:val="pt-BR"/>
        </w:rPr>
        <w:tab/>
        <w:t xml:space="preserve">       </w:t>
      </w:r>
      <w:r w:rsidRPr="00847B73">
        <w:rPr>
          <w:rFonts w:ascii="Verdana" w:hAnsi="Verdana"/>
          <w:sz w:val="20"/>
          <w:lang w:val="es-CR"/>
        </w:rPr>
        <w:t>Ricardo C. Pérez Manrique</w:t>
      </w:r>
    </w:p>
    <w:p w14:paraId="04BCA9BB" w14:textId="77777777" w:rsidR="00085CC6" w:rsidRPr="00847B73" w:rsidRDefault="00085CC6" w:rsidP="00085CC6">
      <w:pPr>
        <w:jc w:val="both"/>
        <w:rPr>
          <w:rFonts w:ascii="Verdana" w:hAnsi="Verdana"/>
          <w:sz w:val="20"/>
          <w:lang w:val="es-CR"/>
        </w:rPr>
      </w:pPr>
    </w:p>
    <w:p w14:paraId="528E1450" w14:textId="77777777" w:rsidR="00085CC6" w:rsidRPr="00847B73" w:rsidRDefault="00085CC6" w:rsidP="00085CC6">
      <w:pPr>
        <w:jc w:val="both"/>
        <w:rPr>
          <w:rFonts w:ascii="Verdana" w:hAnsi="Verdana"/>
          <w:sz w:val="20"/>
          <w:lang w:val="pt-BR"/>
        </w:rPr>
      </w:pPr>
    </w:p>
    <w:p w14:paraId="2FAE2BD6" w14:textId="77777777" w:rsidR="00085CC6" w:rsidRPr="00847B73" w:rsidRDefault="00085CC6" w:rsidP="00085CC6">
      <w:pPr>
        <w:jc w:val="center"/>
        <w:rPr>
          <w:rFonts w:ascii="Verdana" w:hAnsi="Verdana"/>
          <w:sz w:val="20"/>
          <w:lang w:val="pt-BR"/>
        </w:rPr>
      </w:pPr>
      <w:r w:rsidRPr="00847B73">
        <w:rPr>
          <w:rFonts w:ascii="Verdana" w:hAnsi="Verdana"/>
          <w:sz w:val="20"/>
          <w:lang w:val="pt-BR"/>
        </w:rPr>
        <w:t>Pablo Saavedra Alessandri</w:t>
      </w:r>
    </w:p>
    <w:p w14:paraId="47D4845D" w14:textId="77777777" w:rsidR="00085CC6" w:rsidRPr="00847B73" w:rsidRDefault="00085CC6" w:rsidP="00085CC6">
      <w:pPr>
        <w:jc w:val="center"/>
        <w:rPr>
          <w:rFonts w:ascii="Verdana" w:hAnsi="Verdana"/>
          <w:sz w:val="20"/>
          <w:lang w:val="pt-BR"/>
        </w:rPr>
      </w:pPr>
      <w:r w:rsidRPr="00847B73">
        <w:rPr>
          <w:rFonts w:ascii="Verdana" w:hAnsi="Verdana"/>
          <w:sz w:val="20"/>
          <w:lang w:val="pt-BR"/>
        </w:rPr>
        <w:t>Secretario</w:t>
      </w:r>
    </w:p>
    <w:p w14:paraId="3EE6B289" w14:textId="77777777" w:rsidR="00085CC6" w:rsidRPr="00847B73" w:rsidRDefault="00085CC6" w:rsidP="00085CC6">
      <w:pPr>
        <w:rPr>
          <w:rFonts w:ascii="Verdana" w:hAnsi="Verdana"/>
          <w:sz w:val="20"/>
          <w:lang w:val="pt-BR"/>
        </w:rPr>
      </w:pPr>
    </w:p>
    <w:p w14:paraId="335C07F0" w14:textId="77777777" w:rsidR="00085CC6" w:rsidRPr="00847B73" w:rsidRDefault="00085CC6" w:rsidP="00085CC6">
      <w:pPr>
        <w:pStyle w:val="Textonotapie"/>
        <w:rPr>
          <w:rFonts w:ascii="Verdana" w:hAnsi="Verdana"/>
          <w:lang w:val="pt-BR"/>
        </w:rPr>
      </w:pPr>
    </w:p>
    <w:p w14:paraId="268E7604" w14:textId="447D699A" w:rsidR="00085CC6" w:rsidRDefault="00085CC6" w:rsidP="00085CC6">
      <w:pPr>
        <w:jc w:val="both"/>
        <w:rPr>
          <w:rFonts w:ascii="Verdana" w:hAnsi="Verdana"/>
          <w:sz w:val="20"/>
          <w:lang w:val="pt-BR"/>
        </w:rPr>
      </w:pPr>
      <w:r w:rsidRPr="00847B73">
        <w:rPr>
          <w:rFonts w:ascii="Verdana" w:hAnsi="Verdana"/>
          <w:sz w:val="20"/>
          <w:lang w:val="pt-BR"/>
        </w:rPr>
        <w:t>Comuníquese y ejecútese,</w:t>
      </w:r>
    </w:p>
    <w:p w14:paraId="425230BC" w14:textId="77777777" w:rsidR="00085CC6" w:rsidRPr="00847B73" w:rsidRDefault="00085CC6" w:rsidP="00085CC6">
      <w:pPr>
        <w:jc w:val="both"/>
        <w:rPr>
          <w:rFonts w:ascii="Verdana" w:hAnsi="Verdana"/>
          <w:sz w:val="20"/>
          <w:lang w:val="pt-BR"/>
        </w:rPr>
      </w:pPr>
    </w:p>
    <w:p w14:paraId="6624841C" w14:textId="77777777" w:rsidR="00085CC6" w:rsidRPr="00847B73" w:rsidRDefault="00085CC6" w:rsidP="00085CC6">
      <w:pPr>
        <w:ind w:left="4956"/>
        <w:jc w:val="center"/>
        <w:rPr>
          <w:rFonts w:ascii="Verdana" w:hAnsi="Verdana"/>
          <w:sz w:val="20"/>
          <w:lang w:val="pt-BR"/>
        </w:rPr>
      </w:pPr>
      <w:r w:rsidRPr="00847B73">
        <w:rPr>
          <w:rFonts w:ascii="Verdana" w:hAnsi="Verdana"/>
          <w:sz w:val="20"/>
          <w:lang w:val="pt-BR"/>
        </w:rPr>
        <w:t xml:space="preserve">Eduardo Ferrer Mac-Gregor Poisot </w:t>
      </w:r>
    </w:p>
    <w:p w14:paraId="21ED063B" w14:textId="77777777" w:rsidR="00085CC6" w:rsidRPr="00847B73" w:rsidRDefault="00085CC6" w:rsidP="00085CC6">
      <w:pPr>
        <w:ind w:left="4956"/>
        <w:jc w:val="center"/>
        <w:rPr>
          <w:rFonts w:ascii="Verdana" w:hAnsi="Verdana"/>
          <w:sz w:val="20"/>
          <w:lang w:val="pt-BR"/>
        </w:rPr>
      </w:pPr>
      <w:r w:rsidRPr="00847B73">
        <w:rPr>
          <w:rFonts w:ascii="Verdana" w:hAnsi="Verdana"/>
          <w:sz w:val="20"/>
          <w:lang w:val="pt-BR"/>
        </w:rPr>
        <w:t>Presidente</w:t>
      </w:r>
    </w:p>
    <w:p w14:paraId="6007947D" w14:textId="77777777" w:rsidR="00085CC6" w:rsidRPr="00847B73" w:rsidRDefault="00085CC6" w:rsidP="00085CC6">
      <w:pPr>
        <w:jc w:val="both"/>
        <w:rPr>
          <w:rFonts w:ascii="Verdana" w:hAnsi="Verdana"/>
          <w:sz w:val="20"/>
          <w:lang w:val="pt-BR"/>
        </w:rPr>
      </w:pPr>
    </w:p>
    <w:p w14:paraId="1DD859C7" w14:textId="77777777" w:rsidR="00085CC6" w:rsidRPr="00847B73" w:rsidRDefault="00085CC6" w:rsidP="00085CC6">
      <w:pPr>
        <w:jc w:val="both"/>
        <w:rPr>
          <w:rFonts w:ascii="Verdana" w:hAnsi="Verdana"/>
          <w:sz w:val="20"/>
          <w:lang w:val="es-ES"/>
        </w:rPr>
      </w:pPr>
      <w:r w:rsidRPr="00847B73">
        <w:rPr>
          <w:rFonts w:ascii="Verdana" w:hAnsi="Verdana"/>
          <w:sz w:val="20"/>
          <w:lang w:val="es-ES"/>
        </w:rPr>
        <w:t>Pablo Saavedra Alessandri</w:t>
      </w:r>
    </w:p>
    <w:p w14:paraId="0FF8DD05" w14:textId="77777777" w:rsidR="00085CC6" w:rsidRPr="00FC7D8B" w:rsidRDefault="00085CC6" w:rsidP="00085CC6">
      <w:pPr>
        <w:rPr>
          <w:rFonts w:ascii="Verdana" w:hAnsi="Verdana"/>
          <w:sz w:val="20"/>
          <w:lang w:val="es-CR"/>
        </w:rPr>
      </w:pPr>
      <w:r w:rsidRPr="00847B73">
        <w:rPr>
          <w:rFonts w:ascii="Verdana" w:hAnsi="Verdana"/>
          <w:sz w:val="20"/>
          <w:lang w:val="es-ES"/>
        </w:rPr>
        <w:tab/>
      </w:r>
      <w:r w:rsidRPr="00847B73">
        <w:rPr>
          <w:rFonts w:ascii="Verdana" w:hAnsi="Verdana"/>
          <w:sz w:val="20"/>
          <w:lang w:val="es-CR"/>
        </w:rPr>
        <w:t>Secretario</w:t>
      </w:r>
    </w:p>
    <w:p w14:paraId="3D360501" w14:textId="77777777" w:rsidR="00085CC6" w:rsidRPr="00A2775E" w:rsidRDefault="00085CC6" w:rsidP="00396148">
      <w:pPr>
        <w:tabs>
          <w:tab w:val="left" w:pos="567"/>
        </w:tabs>
        <w:spacing w:before="120" w:after="120" w:line="240" w:lineRule="auto"/>
        <w:ind w:right="22"/>
        <w:jc w:val="center"/>
        <w:rPr>
          <w:rFonts w:ascii="Verdana" w:hAnsi="Verdana"/>
          <w:b/>
          <w:sz w:val="20"/>
          <w:szCs w:val="20"/>
          <w:lang w:val="es-CR"/>
        </w:rPr>
      </w:pPr>
    </w:p>
    <w:sectPr w:rsidR="00085CC6" w:rsidRPr="00A2775E" w:rsidSect="009C195C">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B8373" w14:textId="77777777" w:rsidR="0068032C" w:rsidRDefault="0068032C" w:rsidP="00D61028">
      <w:pPr>
        <w:spacing w:after="0" w:line="240" w:lineRule="auto"/>
      </w:pPr>
      <w:r>
        <w:separator/>
      </w:r>
    </w:p>
  </w:endnote>
  <w:endnote w:type="continuationSeparator" w:id="0">
    <w:p w14:paraId="5F32B7A9" w14:textId="77777777" w:rsidR="0068032C" w:rsidRDefault="0068032C" w:rsidP="00D6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11035" w14:textId="77777777" w:rsidR="0068032C" w:rsidRDefault="0068032C" w:rsidP="00D61028">
      <w:pPr>
        <w:spacing w:after="0" w:line="240" w:lineRule="auto"/>
      </w:pPr>
      <w:r>
        <w:separator/>
      </w:r>
    </w:p>
  </w:footnote>
  <w:footnote w:type="continuationSeparator" w:id="0">
    <w:p w14:paraId="28A6D875" w14:textId="77777777" w:rsidR="0068032C" w:rsidRDefault="0068032C" w:rsidP="00D61028">
      <w:pPr>
        <w:spacing w:after="0" w:line="240" w:lineRule="auto"/>
      </w:pPr>
      <w:r>
        <w:continuationSeparator/>
      </w:r>
    </w:p>
  </w:footnote>
  <w:footnote w:id="1">
    <w:p w14:paraId="2E432AF5" w14:textId="77777777" w:rsidR="0068032C" w:rsidRPr="007216F5" w:rsidRDefault="0068032C" w:rsidP="00794C28">
      <w:pPr>
        <w:pStyle w:val="Textonotapie"/>
        <w:tabs>
          <w:tab w:val="left" w:pos="426"/>
        </w:tabs>
        <w:jc w:val="both"/>
        <w:rPr>
          <w:rFonts w:ascii="Verdana" w:hAnsi="Verdana"/>
          <w:sz w:val="16"/>
          <w:szCs w:val="16"/>
          <w:lang w:val="es-CR"/>
        </w:rPr>
      </w:pPr>
      <w:r w:rsidRPr="007216F5">
        <w:rPr>
          <w:rStyle w:val="Refdenotaalpie"/>
          <w:rFonts w:ascii="Verdana" w:hAnsi="Verdana"/>
          <w:sz w:val="16"/>
          <w:szCs w:val="16"/>
        </w:rPr>
        <w:footnoteRef/>
      </w:r>
      <w:r w:rsidRPr="007216F5">
        <w:rPr>
          <w:rFonts w:ascii="Verdana" w:hAnsi="Verdana"/>
          <w:sz w:val="16"/>
          <w:szCs w:val="16"/>
          <w:lang w:val="es-CR"/>
        </w:rPr>
        <w:t xml:space="preserve"> </w:t>
      </w:r>
      <w:r w:rsidRPr="007216F5">
        <w:rPr>
          <w:rFonts w:ascii="Verdana" w:hAnsi="Verdana"/>
          <w:sz w:val="16"/>
          <w:szCs w:val="16"/>
          <w:lang w:val="es-CR"/>
        </w:rPr>
        <w:tab/>
      </w:r>
      <w:r w:rsidRPr="000D17AA">
        <w:rPr>
          <w:rFonts w:ascii="Verdana" w:hAnsi="Verdana"/>
          <w:i/>
          <w:sz w:val="16"/>
          <w:szCs w:val="16"/>
          <w:lang w:val="es-CR"/>
        </w:rPr>
        <w:t xml:space="preserve">Cfr. Caso Comunidad Indígena Xákmok Kásek. </w:t>
      </w:r>
      <w:r w:rsidRPr="008E7639">
        <w:rPr>
          <w:rFonts w:ascii="Verdana" w:hAnsi="Verdana"/>
          <w:i/>
          <w:sz w:val="16"/>
          <w:szCs w:val="16"/>
          <w:lang w:val="es-CR"/>
        </w:rPr>
        <w:t>Vs. Paraguay. Fondo, Reparaciones y Costas.</w:t>
      </w:r>
      <w:r w:rsidRPr="008E7639">
        <w:rPr>
          <w:rFonts w:ascii="Verdana" w:hAnsi="Verdana"/>
          <w:sz w:val="16"/>
          <w:szCs w:val="16"/>
          <w:lang w:val="es-CR"/>
        </w:rPr>
        <w:t xml:space="preserve"> Sentencia de 24 de agosto de 2010 Serie C No. 214. El texto íntegro de la Sentencia se encuentra disponible en: </w:t>
      </w:r>
      <w:hyperlink r:id="rId1" w:history="1">
        <w:r w:rsidRPr="008E7639">
          <w:rPr>
            <w:rStyle w:val="Hipervnculo"/>
            <w:rFonts w:ascii="Verdana" w:hAnsi="Verdana"/>
            <w:sz w:val="16"/>
            <w:szCs w:val="16"/>
            <w:lang w:val="es-CR"/>
          </w:rPr>
          <w:t>http://www.corteidh.or.cr/docs/casos/articulos/seriec_214_esp.pdf</w:t>
        </w:r>
      </w:hyperlink>
      <w:r w:rsidRPr="008E7639">
        <w:rPr>
          <w:rFonts w:ascii="Verdana" w:hAnsi="Verdana"/>
          <w:sz w:val="16"/>
          <w:szCs w:val="16"/>
          <w:lang w:val="es-CR"/>
        </w:rPr>
        <w:t xml:space="preserve">. </w:t>
      </w:r>
      <w:r w:rsidRPr="00EB7E46">
        <w:rPr>
          <w:rFonts w:ascii="Verdana" w:hAnsi="Verdana"/>
          <w:sz w:val="16"/>
          <w:szCs w:val="16"/>
          <w:lang w:val="es-CR"/>
        </w:rPr>
        <w:t>La Sentencia fue notificada el 23 de septiembre de 2010.</w:t>
      </w:r>
    </w:p>
  </w:footnote>
  <w:footnote w:id="2">
    <w:p w14:paraId="61D3B745" w14:textId="77777777" w:rsidR="0068032C" w:rsidRPr="00624CE3" w:rsidRDefault="0068032C" w:rsidP="00624CE3">
      <w:pPr>
        <w:pStyle w:val="Textonotapie"/>
        <w:jc w:val="both"/>
        <w:rPr>
          <w:rFonts w:ascii="Verdana" w:hAnsi="Verdana"/>
          <w:sz w:val="16"/>
          <w:szCs w:val="16"/>
          <w:lang w:val="es-CR"/>
        </w:rPr>
      </w:pPr>
      <w:r w:rsidRPr="00624CE3">
        <w:rPr>
          <w:rStyle w:val="Refdenotaalpie"/>
          <w:rFonts w:ascii="Verdana" w:hAnsi="Verdana"/>
          <w:sz w:val="16"/>
          <w:szCs w:val="16"/>
        </w:rPr>
        <w:footnoteRef/>
      </w:r>
      <w:r w:rsidRPr="00624CE3">
        <w:rPr>
          <w:rFonts w:ascii="Verdana" w:hAnsi="Verdana"/>
          <w:sz w:val="16"/>
          <w:szCs w:val="16"/>
          <w:lang w:val="es-CR"/>
        </w:rPr>
        <w:t xml:space="preserve"> </w:t>
      </w:r>
      <w:r w:rsidRPr="00624CE3">
        <w:rPr>
          <w:rFonts w:ascii="Verdana" w:hAnsi="Verdana"/>
          <w:sz w:val="16"/>
          <w:szCs w:val="16"/>
          <w:lang w:val="es-CR"/>
        </w:rPr>
        <w:tab/>
        <w:t>El Tribunal también declaró la responsabilidad internacional del Estado por la violación del derecho a la vida, en perjuicio de los miembros de dicha comunidad, por no adoptar las medidas positivas necesarias para prevenir o evitar el riesgo al derecho a la vida, entre las cuales se refirió a las muertes de trece personas quienes por no recibir la atención médica correspondiente, murieron por distintas enfermedades. Al respecto, la Corte destacó que los miembros de la Comunidad Xákmok Kásek vivían en condiciones de especial vulnerabilidad, situación que estaba estrechamente vinculada a la falta de sus tierras, y que la ausencia de posibilidades de autoabastecimiento y auto-sostenibilidad de sus miembros, de acuerdo a sus tradiciones ancestrales, los había llevado a depender casi exclusivamente de las acciones estatales y verse obligados a vivir de una forma no solamente distinta a sus pautas culturales, sino en la miseria. Por otro lado, el Tribunal declaró la violación del derecho a la integridad personal en perjuicio de los miembros de la Comunidad, por cuanto las condiciones de vida miserables, la muerte de varios de sus miembros y el estado general de abandono en la que se encuentran generaron sufrimientos que necesariamente afectaron la integridad psíquica y moral de éstos. Finalmente, la Corte estableció que el Estado había violado el derecho a la personalidad jurídica en perjuicio de determinadas personas, así como los derechos del niño, en perjuicio de todos los niños y niñas de la Comunidad e incumplió su deber de no discriminación al no adoptar medidas suficientes y efectivas para garantizar sin discriminación los derechos de los miembros de la Comunidad Xákmok Kásek.</w:t>
      </w:r>
    </w:p>
  </w:footnote>
  <w:footnote w:id="3">
    <w:p w14:paraId="122AA9BC" w14:textId="77777777" w:rsidR="0068032C" w:rsidRPr="00412951" w:rsidRDefault="0068032C" w:rsidP="0089061A">
      <w:pPr>
        <w:pStyle w:val="Textonotapie"/>
        <w:tabs>
          <w:tab w:val="left" w:pos="426"/>
        </w:tabs>
        <w:jc w:val="both"/>
        <w:rPr>
          <w:rFonts w:ascii="Verdana" w:hAnsi="Verdana"/>
          <w:sz w:val="16"/>
          <w:szCs w:val="16"/>
          <w:lang w:val="es-CR"/>
        </w:rPr>
      </w:pPr>
      <w:r w:rsidRPr="00412951">
        <w:rPr>
          <w:rStyle w:val="Refdenotaalpie"/>
          <w:rFonts w:ascii="Verdana" w:hAnsi="Verdana"/>
          <w:sz w:val="16"/>
          <w:szCs w:val="16"/>
        </w:rPr>
        <w:footnoteRef/>
      </w:r>
      <w:r w:rsidRPr="00412951">
        <w:rPr>
          <w:rFonts w:ascii="Verdana" w:hAnsi="Verdana"/>
          <w:sz w:val="16"/>
          <w:szCs w:val="16"/>
          <w:lang w:val="es-CR"/>
        </w:rPr>
        <w:t xml:space="preserve"> </w:t>
      </w:r>
      <w:r w:rsidRPr="00412951">
        <w:rPr>
          <w:rFonts w:ascii="Verdana" w:hAnsi="Verdana"/>
          <w:sz w:val="16"/>
          <w:szCs w:val="16"/>
          <w:lang w:val="es-CR"/>
        </w:rPr>
        <w:tab/>
        <w:t xml:space="preserve">Disponible en: </w:t>
      </w:r>
      <w:hyperlink r:id="rId2" w:history="1">
        <w:r w:rsidRPr="00412951">
          <w:rPr>
            <w:rStyle w:val="Hipervnculo"/>
            <w:rFonts w:ascii="Verdana" w:hAnsi="Verdana"/>
            <w:sz w:val="16"/>
            <w:szCs w:val="16"/>
            <w:lang w:val="es-CR"/>
          </w:rPr>
          <w:t>http://www.corteidh.or.cr/docs/supervisiones/yakie_24_06_15.pdf</w:t>
        </w:r>
      </w:hyperlink>
      <w:r w:rsidRPr="00412951">
        <w:rPr>
          <w:rFonts w:ascii="Verdana" w:hAnsi="Verdana"/>
          <w:sz w:val="16"/>
          <w:szCs w:val="16"/>
          <w:lang w:val="es-CR"/>
        </w:rPr>
        <w:t xml:space="preserve">. </w:t>
      </w:r>
    </w:p>
  </w:footnote>
  <w:footnote w:id="4">
    <w:p w14:paraId="09BE58B5" w14:textId="77777777" w:rsidR="0068032C" w:rsidRPr="00E67551" w:rsidRDefault="0068032C" w:rsidP="00794C28">
      <w:pPr>
        <w:pStyle w:val="Textonotapie"/>
        <w:tabs>
          <w:tab w:val="left" w:pos="426"/>
        </w:tabs>
        <w:rPr>
          <w:rFonts w:ascii="Verdana" w:hAnsi="Verdana"/>
          <w:sz w:val="16"/>
          <w:szCs w:val="16"/>
          <w:lang w:val="es-CR"/>
        </w:rPr>
      </w:pPr>
      <w:r w:rsidRPr="0089061A">
        <w:rPr>
          <w:rStyle w:val="Refdenotaalpie"/>
          <w:rFonts w:ascii="Verdana" w:hAnsi="Verdana"/>
          <w:sz w:val="16"/>
          <w:szCs w:val="16"/>
        </w:rPr>
        <w:footnoteRef/>
      </w:r>
      <w:r w:rsidRPr="0089061A">
        <w:rPr>
          <w:rFonts w:ascii="Verdana" w:hAnsi="Verdana"/>
          <w:sz w:val="16"/>
          <w:szCs w:val="16"/>
          <w:lang w:val="es-CR"/>
        </w:rPr>
        <w:t xml:space="preserve"> </w:t>
      </w:r>
      <w:r w:rsidRPr="0089061A">
        <w:rPr>
          <w:rFonts w:ascii="Verdana" w:hAnsi="Verdana"/>
          <w:sz w:val="16"/>
          <w:szCs w:val="16"/>
          <w:lang w:val="es-CR"/>
        </w:rPr>
        <w:tab/>
        <w:t>La organización Tierr</w:t>
      </w:r>
      <w:r w:rsidR="004B3DA3">
        <w:rPr>
          <w:rFonts w:ascii="Verdana" w:hAnsi="Verdana"/>
          <w:sz w:val="16"/>
          <w:szCs w:val="16"/>
          <w:lang w:val="es-CR"/>
        </w:rPr>
        <w:t>aviva representa</w:t>
      </w:r>
      <w:r w:rsidRPr="00F0696D">
        <w:rPr>
          <w:rFonts w:ascii="Verdana" w:hAnsi="Verdana"/>
          <w:sz w:val="16"/>
          <w:szCs w:val="16"/>
          <w:lang w:val="es-CR"/>
        </w:rPr>
        <w:t xml:space="preserve"> a las víctimas en la presente etapa de supervisión de cumplimiento de sentencia.</w:t>
      </w:r>
    </w:p>
  </w:footnote>
  <w:footnote w:id="5">
    <w:p w14:paraId="665DCF33" w14:textId="77777777" w:rsidR="0068032C" w:rsidRPr="00E67551" w:rsidRDefault="0068032C" w:rsidP="00794C28">
      <w:pPr>
        <w:pStyle w:val="Textonotapie"/>
        <w:tabs>
          <w:tab w:val="left" w:pos="426"/>
        </w:tabs>
        <w:jc w:val="both"/>
        <w:rPr>
          <w:rFonts w:ascii="Verdana" w:hAnsi="Verdana"/>
          <w:sz w:val="16"/>
          <w:szCs w:val="16"/>
          <w:lang w:val="es-CR"/>
        </w:rPr>
      </w:pPr>
      <w:r w:rsidRPr="00E67551">
        <w:rPr>
          <w:rStyle w:val="Refdenotaalpie"/>
          <w:rFonts w:ascii="Verdana" w:hAnsi="Verdana"/>
          <w:sz w:val="16"/>
          <w:szCs w:val="16"/>
        </w:rPr>
        <w:footnoteRef/>
      </w:r>
      <w:r w:rsidRPr="00E67551">
        <w:rPr>
          <w:rFonts w:ascii="Verdana" w:hAnsi="Verdana"/>
          <w:sz w:val="16"/>
          <w:szCs w:val="16"/>
          <w:lang w:val="es-CR"/>
        </w:rPr>
        <w:t xml:space="preserve"> </w:t>
      </w:r>
      <w:r w:rsidRPr="00E67551">
        <w:rPr>
          <w:rFonts w:ascii="Verdana" w:hAnsi="Verdana"/>
          <w:sz w:val="16"/>
          <w:szCs w:val="16"/>
          <w:lang w:val="es-CR"/>
        </w:rPr>
        <w:tab/>
        <w:t xml:space="preserve">Disponible en: </w:t>
      </w:r>
      <w:hyperlink r:id="rId3" w:history="1">
        <w:r w:rsidRPr="00E67551">
          <w:rPr>
            <w:rStyle w:val="Hipervnculo"/>
            <w:rFonts w:ascii="Verdana" w:hAnsi="Verdana"/>
            <w:sz w:val="16"/>
            <w:szCs w:val="16"/>
            <w:lang w:val="es-CR"/>
          </w:rPr>
          <w:t>http://www.corteidh.or.cr/docs/supervisiones/comunidades_01_09_16.pdf</w:t>
        </w:r>
      </w:hyperlink>
      <w:r w:rsidRPr="00E67551">
        <w:rPr>
          <w:rFonts w:ascii="Verdana" w:hAnsi="Verdana"/>
          <w:sz w:val="16"/>
          <w:szCs w:val="16"/>
          <w:lang w:val="es-CR"/>
        </w:rPr>
        <w:t xml:space="preserve">. </w:t>
      </w:r>
    </w:p>
  </w:footnote>
  <w:footnote w:id="6">
    <w:p w14:paraId="37E2C141" w14:textId="77777777" w:rsidR="0068032C" w:rsidRPr="001B2C9A" w:rsidRDefault="0068032C" w:rsidP="00794C28">
      <w:pPr>
        <w:pStyle w:val="Textonotapie"/>
        <w:tabs>
          <w:tab w:val="left" w:pos="426"/>
        </w:tabs>
        <w:jc w:val="both"/>
        <w:rPr>
          <w:rFonts w:ascii="Verdana" w:hAnsi="Verdana"/>
          <w:sz w:val="16"/>
          <w:szCs w:val="16"/>
          <w:lang w:val="es-CR"/>
        </w:rPr>
      </w:pPr>
      <w:r w:rsidRPr="00E67551">
        <w:rPr>
          <w:rStyle w:val="Refdenotaalpie"/>
          <w:rFonts w:ascii="Verdana" w:hAnsi="Verdana"/>
          <w:sz w:val="16"/>
          <w:szCs w:val="16"/>
        </w:rPr>
        <w:footnoteRef/>
      </w:r>
      <w:r w:rsidRPr="00E67551">
        <w:rPr>
          <w:rFonts w:ascii="Verdana" w:hAnsi="Verdana"/>
          <w:sz w:val="16"/>
          <w:szCs w:val="16"/>
          <w:lang w:val="es-CR"/>
        </w:rPr>
        <w:t xml:space="preserve"> </w:t>
      </w:r>
      <w:r w:rsidRPr="00E67551">
        <w:rPr>
          <w:rFonts w:ascii="Verdana" w:hAnsi="Verdana"/>
          <w:sz w:val="16"/>
          <w:szCs w:val="16"/>
          <w:lang w:val="es-CR"/>
        </w:rPr>
        <w:tab/>
        <w:t xml:space="preserve">Disponible en: </w:t>
      </w:r>
      <w:hyperlink r:id="rId4" w:history="1">
        <w:r w:rsidRPr="00E67551">
          <w:rPr>
            <w:rStyle w:val="Hipervnculo"/>
            <w:rFonts w:ascii="Verdana" w:hAnsi="Verdana"/>
            <w:sz w:val="16"/>
            <w:szCs w:val="16"/>
            <w:lang w:val="es-CR"/>
          </w:rPr>
          <w:t>http://www.corteidh.or.cr/docs/supervisiones/3casosparaguayos_30_08_17.pdf</w:t>
        </w:r>
      </w:hyperlink>
      <w:r w:rsidRPr="00E67551">
        <w:rPr>
          <w:rFonts w:ascii="Verdana" w:hAnsi="Verdana"/>
          <w:sz w:val="16"/>
          <w:szCs w:val="16"/>
          <w:lang w:val="es-CR"/>
        </w:rPr>
        <w:t xml:space="preserve">. </w:t>
      </w:r>
    </w:p>
  </w:footnote>
  <w:footnote w:id="7">
    <w:p w14:paraId="111C9968" w14:textId="77777777" w:rsidR="0068032C" w:rsidRPr="00E67551" w:rsidRDefault="0068032C" w:rsidP="00624CE3">
      <w:pPr>
        <w:pStyle w:val="Textonotapie"/>
        <w:tabs>
          <w:tab w:val="left" w:pos="426"/>
        </w:tabs>
        <w:jc w:val="both"/>
        <w:rPr>
          <w:rFonts w:ascii="Verdana" w:hAnsi="Verdana"/>
          <w:sz w:val="16"/>
          <w:szCs w:val="16"/>
          <w:lang w:val="es-CR"/>
        </w:rPr>
      </w:pPr>
      <w:r w:rsidRPr="0089061A">
        <w:rPr>
          <w:rStyle w:val="Refdenotaalpie"/>
          <w:rFonts w:ascii="Verdana" w:hAnsi="Verdana"/>
          <w:sz w:val="16"/>
          <w:szCs w:val="16"/>
        </w:rPr>
        <w:footnoteRef/>
      </w:r>
      <w:r w:rsidRPr="0089061A">
        <w:rPr>
          <w:rFonts w:ascii="Verdana" w:hAnsi="Verdana"/>
          <w:sz w:val="16"/>
          <w:szCs w:val="16"/>
          <w:lang w:val="es-CR"/>
        </w:rPr>
        <w:t xml:space="preserve"> </w:t>
      </w:r>
      <w:r w:rsidRPr="0089061A">
        <w:rPr>
          <w:rFonts w:ascii="Verdana" w:hAnsi="Verdana"/>
          <w:sz w:val="16"/>
          <w:szCs w:val="16"/>
          <w:lang w:val="es-CR"/>
        </w:rPr>
        <w:tab/>
      </w:r>
      <w:r w:rsidRPr="00F0696D">
        <w:rPr>
          <w:rFonts w:ascii="Verdana" w:hAnsi="Verdana"/>
          <w:sz w:val="16"/>
          <w:szCs w:val="16"/>
          <w:lang w:val="es-CR"/>
        </w:rPr>
        <w:t xml:space="preserve">Facultad que además </w:t>
      </w:r>
      <w:r w:rsidRPr="00F0696D">
        <w:rPr>
          <w:rFonts w:ascii="Verdana" w:hAnsi="Verdana"/>
          <w:sz w:val="16"/>
          <w:szCs w:val="16"/>
          <w:lang w:val="es-ES"/>
        </w:rPr>
        <w:t xml:space="preserve">se desprende de lo dispuesto en los artículos 33, 62.1, 62.3 y 65 de la Convención Americana y </w:t>
      </w:r>
      <w:r w:rsidRPr="00F0696D">
        <w:rPr>
          <w:rFonts w:ascii="Verdana" w:hAnsi="Verdana"/>
          <w:sz w:val="16"/>
          <w:szCs w:val="16"/>
          <w:lang w:val="es-CR"/>
        </w:rPr>
        <w:t xml:space="preserve">30 de su Estatuto y se encuentra regulada en el </w:t>
      </w:r>
      <w:r w:rsidRPr="00E67551">
        <w:rPr>
          <w:rFonts w:ascii="Verdana" w:hAnsi="Verdana"/>
          <w:sz w:val="16"/>
          <w:szCs w:val="16"/>
          <w:lang w:val="es-CR"/>
        </w:rPr>
        <w:t>artículo 69 de su Reglamento.</w:t>
      </w:r>
    </w:p>
  </w:footnote>
  <w:footnote w:id="8">
    <w:p w14:paraId="1135E681" w14:textId="77777777" w:rsidR="0068032C" w:rsidRPr="00624CE3" w:rsidRDefault="0068032C" w:rsidP="00344CA3">
      <w:pPr>
        <w:pStyle w:val="Textonotapie"/>
        <w:tabs>
          <w:tab w:val="left" w:pos="426"/>
        </w:tabs>
        <w:jc w:val="both"/>
        <w:rPr>
          <w:lang w:val="es-CR"/>
        </w:rPr>
      </w:pPr>
      <w:r w:rsidRPr="001B2C9A">
        <w:rPr>
          <w:rStyle w:val="Refdenotaalpie"/>
          <w:rFonts w:ascii="Verdana" w:hAnsi="Verdana"/>
          <w:sz w:val="16"/>
          <w:szCs w:val="16"/>
        </w:rPr>
        <w:footnoteRef/>
      </w:r>
      <w:r w:rsidR="00344CA3">
        <w:rPr>
          <w:rFonts w:ascii="Verdana" w:hAnsi="Verdana"/>
          <w:sz w:val="16"/>
          <w:szCs w:val="16"/>
          <w:lang w:val="es-CR"/>
        </w:rPr>
        <w:t xml:space="preserve">  </w:t>
      </w:r>
      <w:r w:rsidR="00344CA3">
        <w:rPr>
          <w:rFonts w:ascii="Verdana" w:hAnsi="Verdana"/>
          <w:sz w:val="16"/>
          <w:szCs w:val="16"/>
          <w:lang w:val="es-CR"/>
        </w:rPr>
        <w:tab/>
      </w:r>
      <w:r w:rsidRPr="0089061A">
        <w:rPr>
          <w:rFonts w:ascii="Verdana" w:hAnsi="Verdana"/>
          <w:sz w:val="16"/>
          <w:szCs w:val="16"/>
          <w:lang w:val="es-CR"/>
        </w:rPr>
        <w:t>Dio cumplimiento total a las medidas de reparaci</w:t>
      </w:r>
      <w:r w:rsidRPr="00F0696D">
        <w:rPr>
          <w:rFonts w:ascii="Verdana" w:hAnsi="Verdana"/>
          <w:sz w:val="16"/>
          <w:szCs w:val="16"/>
          <w:lang w:val="es-CR"/>
        </w:rPr>
        <w:t xml:space="preserve">ón relativas a: i) remover los obstáculos formales para la titulación de las 1.500 hectáreas en “25 de febrero” a favor de la Comunidad Xákmok Kásek </w:t>
      </w:r>
      <w:r w:rsidRPr="00E67551">
        <w:rPr>
          <w:rFonts w:ascii="Verdana" w:hAnsi="Verdana"/>
          <w:i/>
          <w:sz w:val="16"/>
          <w:szCs w:val="16"/>
          <w:lang w:val="es-CR"/>
        </w:rPr>
        <w:t>(punto resolutivo décimo cuarto de la Sentencia)</w:t>
      </w:r>
      <w:r w:rsidRPr="00E67551">
        <w:rPr>
          <w:rFonts w:ascii="Verdana" w:hAnsi="Verdana"/>
          <w:sz w:val="16"/>
          <w:szCs w:val="16"/>
          <w:lang w:val="es-CR"/>
        </w:rPr>
        <w:t>, y a ii) titular las 1.500 hectáreas en “25 de Febrero” a favor de la Comunidad Xákmok Kásek (</w:t>
      </w:r>
      <w:r w:rsidRPr="00E67551">
        <w:rPr>
          <w:rFonts w:ascii="Verdana" w:hAnsi="Verdana"/>
          <w:i/>
          <w:sz w:val="16"/>
          <w:szCs w:val="16"/>
          <w:lang w:val="es-CR"/>
        </w:rPr>
        <w:t>punto resolutivo décimo quinto de la Sentencia</w:t>
      </w:r>
      <w:r w:rsidRPr="00E67551">
        <w:rPr>
          <w:rFonts w:ascii="Verdana" w:hAnsi="Verdana"/>
          <w:sz w:val="16"/>
          <w:szCs w:val="16"/>
          <w:lang w:val="es-CR"/>
        </w:rPr>
        <w:t>).</w:t>
      </w:r>
    </w:p>
  </w:footnote>
  <w:footnote w:id="9">
    <w:p w14:paraId="5BD88D6C" w14:textId="77777777" w:rsidR="0068032C" w:rsidRPr="00BA5D86" w:rsidRDefault="0068032C" w:rsidP="00794C28">
      <w:pPr>
        <w:pStyle w:val="Textonotapie"/>
        <w:tabs>
          <w:tab w:val="left" w:pos="426"/>
        </w:tabs>
        <w:jc w:val="both"/>
        <w:rPr>
          <w:rFonts w:ascii="Verdana" w:hAnsi="Verdana"/>
          <w:sz w:val="16"/>
          <w:szCs w:val="16"/>
          <w:lang w:val="es-CR"/>
        </w:rPr>
      </w:pPr>
      <w:r w:rsidRPr="00BA5D86">
        <w:rPr>
          <w:rStyle w:val="Refdenotaalpie"/>
          <w:rFonts w:ascii="Verdana" w:hAnsi="Verdana"/>
          <w:sz w:val="16"/>
          <w:szCs w:val="16"/>
        </w:rPr>
        <w:footnoteRef/>
      </w:r>
      <w:r w:rsidRPr="00BA5D86">
        <w:rPr>
          <w:rFonts w:ascii="Verdana" w:hAnsi="Verdana"/>
          <w:sz w:val="16"/>
          <w:szCs w:val="16"/>
          <w:lang w:val="es-CR"/>
        </w:rPr>
        <w:t xml:space="preserve"> </w:t>
      </w:r>
      <w:r w:rsidRPr="00BA5D86">
        <w:rPr>
          <w:rFonts w:ascii="Verdana" w:hAnsi="Verdana"/>
          <w:sz w:val="16"/>
          <w:szCs w:val="16"/>
          <w:lang w:val="es-CR"/>
        </w:rPr>
        <w:tab/>
      </w:r>
      <w:r>
        <w:rPr>
          <w:rFonts w:ascii="Verdana" w:hAnsi="Verdana"/>
          <w:sz w:val="16"/>
          <w:szCs w:val="16"/>
          <w:lang w:val="es-CR"/>
        </w:rPr>
        <w:t>Dio cumplimiento parcial a la medida correspondiente a la</w:t>
      </w:r>
      <w:r w:rsidRPr="00BA5D86">
        <w:rPr>
          <w:rFonts w:ascii="Verdana" w:hAnsi="Verdana"/>
          <w:sz w:val="16"/>
          <w:szCs w:val="16"/>
          <w:lang w:val="es-CR"/>
        </w:rPr>
        <w:t xml:space="preserve"> publicación y transmisión radial de </w:t>
      </w:r>
      <w:r>
        <w:rPr>
          <w:rFonts w:ascii="Verdana" w:hAnsi="Verdana"/>
          <w:sz w:val="16"/>
          <w:szCs w:val="16"/>
          <w:lang w:val="es-CR"/>
        </w:rPr>
        <w:t xml:space="preserve">determinadas partes de </w:t>
      </w:r>
      <w:r w:rsidRPr="00BA5D86">
        <w:rPr>
          <w:rFonts w:ascii="Verdana" w:hAnsi="Verdana"/>
          <w:sz w:val="16"/>
          <w:szCs w:val="16"/>
          <w:lang w:val="es-CR"/>
        </w:rPr>
        <w:t xml:space="preserve">la Sentencia, ya que el Estado cumplió con realizar su publicación en el diario oficial y </w:t>
      </w:r>
      <w:r>
        <w:rPr>
          <w:rFonts w:ascii="Verdana" w:hAnsi="Verdana"/>
          <w:sz w:val="16"/>
          <w:szCs w:val="16"/>
          <w:lang w:val="es-CR"/>
        </w:rPr>
        <w:t xml:space="preserve">en un sitio </w:t>
      </w:r>
      <w:r w:rsidRPr="001B2C9A">
        <w:rPr>
          <w:rFonts w:ascii="Verdana" w:hAnsi="Verdana"/>
          <w:i/>
          <w:sz w:val="16"/>
          <w:szCs w:val="16"/>
          <w:lang w:val="es-CR"/>
        </w:rPr>
        <w:t>web</w:t>
      </w:r>
      <w:r>
        <w:rPr>
          <w:rFonts w:ascii="Verdana" w:hAnsi="Verdana"/>
          <w:sz w:val="16"/>
          <w:szCs w:val="16"/>
          <w:lang w:val="es-CR"/>
        </w:rPr>
        <w:t xml:space="preserve"> oficial</w:t>
      </w:r>
      <w:r w:rsidRPr="00BA5D86">
        <w:rPr>
          <w:rFonts w:ascii="Verdana" w:hAnsi="Verdana"/>
          <w:sz w:val="16"/>
          <w:szCs w:val="16"/>
          <w:lang w:val="es-CR"/>
        </w:rPr>
        <w:t xml:space="preserve">, quedando pendiente su publicación en un diario de circulación nacional </w:t>
      </w:r>
      <w:r>
        <w:rPr>
          <w:rFonts w:ascii="Verdana" w:hAnsi="Verdana"/>
          <w:sz w:val="16"/>
          <w:szCs w:val="16"/>
          <w:lang w:val="es-CR"/>
        </w:rPr>
        <w:t xml:space="preserve">y la transmisión radial </w:t>
      </w:r>
      <w:r w:rsidRPr="00BA5D86">
        <w:rPr>
          <w:rFonts w:ascii="Verdana" w:hAnsi="Verdana"/>
          <w:sz w:val="16"/>
          <w:szCs w:val="16"/>
          <w:lang w:val="es-CR"/>
        </w:rPr>
        <w:t>(</w:t>
      </w:r>
      <w:r w:rsidRPr="00BA5D86">
        <w:rPr>
          <w:rFonts w:ascii="Verdana" w:hAnsi="Verdana"/>
          <w:i/>
          <w:sz w:val="16"/>
          <w:szCs w:val="16"/>
          <w:lang w:val="es-CR"/>
        </w:rPr>
        <w:t>punto resolutivo décimo séptimo de la Sentencia</w:t>
      </w:r>
      <w:r w:rsidRPr="00BA5D86">
        <w:rPr>
          <w:rFonts w:ascii="Verdana" w:hAnsi="Verdana"/>
          <w:sz w:val="16"/>
          <w:szCs w:val="16"/>
          <w:lang w:val="es-CR"/>
        </w:rPr>
        <w:t xml:space="preserve">). </w:t>
      </w:r>
    </w:p>
  </w:footnote>
  <w:footnote w:id="10">
    <w:p w14:paraId="1DB648AB" w14:textId="77777777" w:rsidR="0068032C" w:rsidRPr="00C3794E" w:rsidRDefault="0068032C" w:rsidP="00794C28">
      <w:pPr>
        <w:pStyle w:val="Textonotapie"/>
        <w:tabs>
          <w:tab w:val="left" w:pos="426"/>
        </w:tabs>
        <w:jc w:val="both"/>
        <w:rPr>
          <w:rFonts w:ascii="Verdana" w:hAnsi="Verdana"/>
          <w:sz w:val="16"/>
          <w:szCs w:val="16"/>
          <w:lang w:val="es-CR"/>
        </w:rPr>
      </w:pPr>
      <w:r w:rsidRPr="00C3794E">
        <w:rPr>
          <w:rStyle w:val="Refdenotaalpie"/>
          <w:rFonts w:ascii="Verdana" w:hAnsi="Verdana"/>
          <w:sz w:val="16"/>
          <w:szCs w:val="16"/>
        </w:rPr>
        <w:footnoteRef/>
      </w:r>
      <w:r w:rsidRPr="00C3794E">
        <w:rPr>
          <w:rFonts w:ascii="Verdana" w:hAnsi="Verdana"/>
          <w:i/>
          <w:color w:val="000000"/>
          <w:sz w:val="16"/>
          <w:szCs w:val="16"/>
          <w:lang w:val="es-AR"/>
        </w:rPr>
        <w:t xml:space="preserve"> </w:t>
      </w:r>
      <w:r w:rsidRPr="00C3794E">
        <w:rPr>
          <w:rFonts w:ascii="Verdana" w:hAnsi="Verdana"/>
          <w:i/>
          <w:color w:val="000000"/>
          <w:sz w:val="16"/>
          <w:szCs w:val="16"/>
          <w:lang w:val="es-AR"/>
        </w:rPr>
        <w:tab/>
        <w:t xml:space="preserve">Cfr. </w:t>
      </w:r>
      <w:r w:rsidRPr="00C3794E">
        <w:rPr>
          <w:rFonts w:ascii="Verdana" w:hAnsi="Verdana"/>
          <w:i/>
          <w:sz w:val="16"/>
          <w:szCs w:val="16"/>
          <w:lang w:val="es-CR"/>
        </w:rPr>
        <w:t>Caso Cinco Pensionistas Vs. Perú.</w:t>
      </w:r>
      <w:r w:rsidRPr="00C3794E">
        <w:rPr>
          <w:rFonts w:ascii="Verdana" w:hAnsi="Verdana"/>
          <w:sz w:val="16"/>
          <w:szCs w:val="16"/>
          <w:lang w:val="es-CR"/>
        </w:rPr>
        <w:t xml:space="preserve"> </w:t>
      </w:r>
      <w:r w:rsidRPr="00C3794E">
        <w:rPr>
          <w:rFonts w:ascii="Verdana" w:hAnsi="Verdana"/>
          <w:i/>
          <w:sz w:val="16"/>
          <w:szCs w:val="16"/>
          <w:lang w:val="es-CR"/>
        </w:rPr>
        <w:t>Supervisión de Cumplimiento de Sentencia.</w:t>
      </w:r>
      <w:r w:rsidRPr="00C3794E">
        <w:rPr>
          <w:rFonts w:ascii="Verdana" w:hAnsi="Verdana"/>
          <w:sz w:val="16"/>
          <w:szCs w:val="16"/>
          <w:lang w:val="es-CR"/>
        </w:rPr>
        <w:t xml:space="preserve"> Resolución de la Corte Interamericana de Derechos Humanos de 17 de noviembre de 2004, Considerando 5, y </w:t>
      </w:r>
      <w:r w:rsidRPr="00C15702">
        <w:rPr>
          <w:rStyle w:val="Textoennegrita"/>
          <w:rFonts w:ascii="Verdana" w:hAnsi="Verdana"/>
          <w:b w:val="0"/>
          <w:i/>
          <w:color w:val="000000"/>
          <w:sz w:val="16"/>
          <w:szCs w:val="16"/>
          <w:shd w:val="clear" w:color="auto" w:fill="FFFFFF"/>
          <w:lang w:val="es-CR"/>
        </w:rPr>
        <w:t xml:space="preserve">Caso Molina Theissen Vs. Guatemala. Supervisión de Cumplimiento de Sentencia. </w:t>
      </w:r>
      <w:r w:rsidRPr="00C15702">
        <w:rPr>
          <w:rStyle w:val="Textoennegrita"/>
          <w:rFonts w:ascii="Verdana" w:hAnsi="Verdana"/>
          <w:b w:val="0"/>
          <w:color w:val="000000"/>
          <w:sz w:val="16"/>
          <w:szCs w:val="16"/>
          <w:shd w:val="clear" w:color="auto" w:fill="FFFFFF"/>
          <w:lang w:val="es-CR"/>
        </w:rPr>
        <w:t>Resolución de la Corte Interamericana de Derechos Humanos de 14 de marzo de 2019</w:t>
      </w:r>
      <w:r w:rsidRPr="00C3794E">
        <w:rPr>
          <w:rFonts w:ascii="Verdana" w:hAnsi="Verdana"/>
          <w:sz w:val="16"/>
          <w:szCs w:val="16"/>
          <w:lang w:val="es-CR"/>
        </w:rPr>
        <w:t>, Considerando 2.</w:t>
      </w:r>
    </w:p>
  </w:footnote>
  <w:footnote w:id="11">
    <w:p w14:paraId="750E9931" w14:textId="77777777" w:rsidR="0068032C" w:rsidRPr="00651503" w:rsidRDefault="0068032C" w:rsidP="00651503">
      <w:pPr>
        <w:pStyle w:val="Textonotapie"/>
        <w:tabs>
          <w:tab w:val="left" w:pos="426"/>
        </w:tabs>
        <w:jc w:val="both"/>
        <w:rPr>
          <w:rFonts w:ascii="Verdana" w:hAnsi="Verdana"/>
          <w:b/>
          <w:color w:val="000000"/>
          <w:sz w:val="16"/>
          <w:szCs w:val="16"/>
          <w:lang w:val="es-CR"/>
        </w:rPr>
      </w:pPr>
      <w:r w:rsidRPr="00651503">
        <w:rPr>
          <w:rStyle w:val="Refdenotaalpie"/>
          <w:rFonts w:ascii="Verdana" w:hAnsi="Verdana"/>
          <w:sz w:val="16"/>
          <w:szCs w:val="16"/>
        </w:rPr>
        <w:footnoteRef/>
      </w:r>
      <w:r w:rsidR="00651503" w:rsidRPr="00651503">
        <w:rPr>
          <w:rFonts w:ascii="Verdana" w:hAnsi="Verdana"/>
          <w:sz w:val="16"/>
          <w:szCs w:val="16"/>
          <w:lang w:val="es-CR"/>
        </w:rPr>
        <w:t xml:space="preserve"> </w:t>
      </w:r>
      <w:r w:rsidR="00651503" w:rsidRPr="00651503">
        <w:rPr>
          <w:rFonts w:ascii="Verdana" w:hAnsi="Verdana"/>
          <w:sz w:val="16"/>
          <w:szCs w:val="16"/>
          <w:lang w:val="es-CR"/>
        </w:rPr>
        <w:tab/>
      </w:r>
      <w:r w:rsidRPr="00651503">
        <w:rPr>
          <w:rFonts w:ascii="Verdana" w:hAnsi="Verdana"/>
          <w:i/>
          <w:sz w:val="16"/>
          <w:szCs w:val="16"/>
          <w:lang w:val="es-CR"/>
        </w:rPr>
        <w:t>Cfr. Caso Ivcher Bronstein Vs. Perú. Competencia</w:t>
      </w:r>
      <w:r w:rsidRPr="00651503">
        <w:rPr>
          <w:rFonts w:ascii="Verdana" w:hAnsi="Verdana"/>
          <w:sz w:val="16"/>
          <w:szCs w:val="16"/>
          <w:lang w:val="es-CR"/>
        </w:rPr>
        <w:t xml:space="preserve">. Sentencia de la Corte Interamericana de Derechos Humanos de 24 de septiembre de 1999. Serie C No. 54, párr. 37, y </w:t>
      </w:r>
      <w:r w:rsidRPr="00651503">
        <w:rPr>
          <w:rStyle w:val="Textoennegrita"/>
          <w:rFonts w:ascii="Verdana" w:hAnsi="Verdana"/>
          <w:b w:val="0"/>
          <w:i/>
          <w:color w:val="000000"/>
          <w:sz w:val="16"/>
          <w:szCs w:val="16"/>
          <w:shd w:val="clear" w:color="auto" w:fill="FFFFFF"/>
          <w:lang w:val="es-CR"/>
        </w:rPr>
        <w:t xml:space="preserve">Caso Molina Theissen Vs. Guatemala, supra </w:t>
      </w:r>
      <w:r w:rsidRPr="00651503">
        <w:rPr>
          <w:rStyle w:val="Textoennegrita"/>
          <w:rFonts w:ascii="Verdana" w:hAnsi="Verdana"/>
          <w:b w:val="0"/>
          <w:color w:val="000000"/>
          <w:sz w:val="16"/>
          <w:szCs w:val="16"/>
          <w:shd w:val="clear" w:color="auto" w:fill="FFFFFF"/>
          <w:lang w:val="es-CR"/>
        </w:rPr>
        <w:t xml:space="preserve">nota 10. </w:t>
      </w:r>
    </w:p>
  </w:footnote>
  <w:footnote w:id="12">
    <w:p w14:paraId="4C17DB2B" w14:textId="77777777" w:rsidR="00651503" w:rsidRPr="00651503" w:rsidRDefault="00651503" w:rsidP="00EA56EC">
      <w:pPr>
        <w:pStyle w:val="Textonotapie"/>
        <w:tabs>
          <w:tab w:val="left" w:pos="426"/>
        </w:tabs>
        <w:jc w:val="both"/>
        <w:rPr>
          <w:lang w:val="es-CR"/>
        </w:rPr>
      </w:pPr>
      <w:r w:rsidRPr="00651503">
        <w:rPr>
          <w:rStyle w:val="Refdenotaalpie"/>
          <w:rFonts w:ascii="Verdana" w:hAnsi="Verdana"/>
          <w:sz w:val="16"/>
          <w:szCs w:val="16"/>
        </w:rPr>
        <w:footnoteRef/>
      </w:r>
      <w:r w:rsidRPr="008F07FA">
        <w:rPr>
          <w:rFonts w:ascii="Verdana" w:hAnsi="Verdana"/>
          <w:sz w:val="16"/>
          <w:szCs w:val="16"/>
          <w:lang w:val="es-CR"/>
        </w:rPr>
        <w:t xml:space="preserve"> </w:t>
      </w:r>
      <w:r w:rsidRPr="00651503">
        <w:rPr>
          <w:rFonts w:ascii="Verdana" w:hAnsi="Verdana"/>
          <w:sz w:val="16"/>
          <w:szCs w:val="16"/>
          <w:lang w:val="es-CR"/>
        </w:rPr>
        <w:tab/>
      </w:r>
      <w:r w:rsidR="008F07FA">
        <w:rPr>
          <w:rFonts w:ascii="Verdana" w:hAnsi="Verdana"/>
          <w:sz w:val="16"/>
          <w:szCs w:val="16"/>
          <w:lang w:val="es-CR"/>
        </w:rPr>
        <w:t>En el informe de enero de 2018 el Estado informó que “dio cumplimiento [en] su totalidad” a la medida de reparación relativa al pago de las indemnizaciones por concepto de daños materiales e inmateriales y reintegro de costas y gastos. Dicha información será valorada en una posterior resolución.</w:t>
      </w:r>
    </w:p>
  </w:footnote>
  <w:footnote w:id="13">
    <w:p w14:paraId="4A3FEFE4" w14:textId="77777777" w:rsidR="0068032C" w:rsidRPr="009B7FDA" w:rsidRDefault="0068032C" w:rsidP="00794C28">
      <w:pPr>
        <w:pStyle w:val="Textonotapie"/>
        <w:tabs>
          <w:tab w:val="left" w:pos="426"/>
        </w:tabs>
        <w:rPr>
          <w:lang w:val="es-CR"/>
        </w:rPr>
      </w:pPr>
      <w:r w:rsidRPr="00C3794E">
        <w:rPr>
          <w:rStyle w:val="Refdenotaalpie"/>
          <w:rFonts w:ascii="Verdana" w:hAnsi="Verdana"/>
          <w:sz w:val="16"/>
          <w:szCs w:val="16"/>
        </w:rPr>
        <w:footnoteRef/>
      </w:r>
      <w:r w:rsidRPr="00C3794E">
        <w:rPr>
          <w:rFonts w:ascii="Verdana" w:hAnsi="Verdana"/>
          <w:sz w:val="16"/>
          <w:szCs w:val="16"/>
          <w:lang w:val="es-CR"/>
        </w:rPr>
        <w:t xml:space="preserve"> </w:t>
      </w:r>
      <w:r w:rsidRPr="009B7FDA">
        <w:rPr>
          <w:rFonts w:ascii="Verdana" w:hAnsi="Verdana"/>
          <w:sz w:val="16"/>
          <w:szCs w:val="16"/>
          <w:lang w:val="es-CR"/>
        </w:rPr>
        <w:tab/>
        <w:t>Punto resolutivo séptimo.</w:t>
      </w:r>
    </w:p>
  </w:footnote>
  <w:footnote w:id="14">
    <w:p w14:paraId="11E2CD8E" w14:textId="77777777" w:rsidR="0068032C" w:rsidRPr="009B7FDA" w:rsidRDefault="0068032C" w:rsidP="00794C28">
      <w:pPr>
        <w:pStyle w:val="Textonotapie"/>
        <w:tabs>
          <w:tab w:val="left" w:pos="426"/>
        </w:tabs>
        <w:jc w:val="both"/>
        <w:rPr>
          <w:rFonts w:ascii="Verdana" w:hAnsi="Verdana"/>
          <w:sz w:val="16"/>
          <w:szCs w:val="16"/>
          <w:lang w:val="es-CR"/>
        </w:rPr>
      </w:pPr>
      <w:r w:rsidRPr="009B7FDA">
        <w:rPr>
          <w:rStyle w:val="Refdenotaalpie"/>
          <w:rFonts w:ascii="Verdana" w:hAnsi="Verdana"/>
          <w:sz w:val="16"/>
          <w:szCs w:val="16"/>
        </w:rPr>
        <w:footnoteRef/>
      </w:r>
      <w:r w:rsidRPr="009B7FDA">
        <w:rPr>
          <w:rFonts w:ascii="Verdana" w:hAnsi="Verdana"/>
          <w:sz w:val="16"/>
          <w:szCs w:val="16"/>
          <w:lang w:val="es-CR"/>
        </w:rPr>
        <w:t xml:space="preserve"> </w:t>
      </w:r>
      <w:r w:rsidRPr="009B7FDA">
        <w:rPr>
          <w:rFonts w:ascii="Verdana" w:hAnsi="Verdana"/>
          <w:sz w:val="16"/>
          <w:szCs w:val="16"/>
          <w:lang w:val="es-CR"/>
        </w:rPr>
        <w:tab/>
        <w:t>Considerando 19 y punto resolutivo primero.</w:t>
      </w:r>
    </w:p>
  </w:footnote>
  <w:footnote w:id="15">
    <w:p w14:paraId="44F47E40" w14:textId="77777777" w:rsidR="0068032C" w:rsidRPr="009B7FDA" w:rsidRDefault="0068032C" w:rsidP="00E67551">
      <w:pPr>
        <w:pStyle w:val="Textonotapie"/>
        <w:tabs>
          <w:tab w:val="left" w:pos="426"/>
        </w:tabs>
        <w:jc w:val="both"/>
        <w:rPr>
          <w:rFonts w:ascii="Verdana" w:hAnsi="Verdana"/>
          <w:sz w:val="16"/>
          <w:szCs w:val="16"/>
          <w:lang w:val="es-CR"/>
        </w:rPr>
      </w:pPr>
      <w:r w:rsidRPr="009B7FDA">
        <w:rPr>
          <w:rStyle w:val="Refdenotaalpie"/>
          <w:rFonts w:ascii="Verdana" w:hAnsi="Verdana"/>
          <w:sz w:val="16"/>
          <w:szCs w:val="16"/>
        </w:rPr>
        <w:footnoteRef/>
      </w:r>
      <w:r w:rsidRPr="009B7FDA">
        <w:rPr>
          <w:rFonts w:ascii="Verdana" w:hAnsi="Verdana"/>
          <w:sz w:val="16"/>
          <w:szCs w:val="16"/>
          <w:lang w:val="es-CR"/>
        </w:rPr>
        <w:t xml:space="preserve"> </w:t>
      </w:r>
      <w:r w:rsidRPr="009B7FDA">
        <w:rPr>
          <w:rFonts w:ascii="Verdana" w:hAnsi="Verdana"/>
          <w:sz w:val="16"/>
          <w:szCs w:val="16"/>
          <w:lang w:val="es-CR"/>
        </w:rPr>
        <w:tab/>
        <w:t>Julia Cabello Alonso, Oscar Ayala Amarilla y José Paniagua Rodríguez de la organización Tierraviva, y Alejandra Vicente y María Noel Leoni de CEJIL.</w:t>
      </w:r>
    </w:p>
  </w:footnote>
  <w:footnote w:id="16">
    <w:p w14:paraId="729C49E5" w14:textId="77777777" w:rsidR="0068032C" w:rsidRPr="00C37434" w:rsidRDefault="0068032C" w:rsidP="00E67551">
      <w:pPr>
        <w:pStyle w:val="Textonotapie"/>
        <w:tabs>
          <w:tab w:val="left" w:pos="426"/>
        </w:tabs>
        <w:jc w:val="both"/>
        <w:rPr>
          <w:rFonts w:ascii="Verdana" w:hAnsi="Verdana"/>
          <w:sz w:val="16"/>
          <w:szCs w:val="16"/>
          <w:lang w:val="es-CR"/>
        </w:rPr>
      </w:pPr>
      <w:r w:rsidRPr="00C37434">
        <w:rPr>
          <w:rStyle w:val="Refdenotaalpie"/>
          <w:rFonts w:ascii="Verdana" w:hAnsi="Verdana"/>
          <w:sz w:val="16"/>
          <w:szCs w:val="16"/>
        </w:rPr>
        <w:footnoteRef/>
      </w:r>
      <w:r w:rsidRPr="00C37434">
        <w:rPr>
          <w:rFonts w:ascii="Verdana" w:hAnsi="Verdana"/>
          <w:sz w:val="16"/>
          <w:szCs w:val="16"/>
          <w:lang w:val="es-CR"/>
        </w:rPr>
        <w:t xml:space="preserve"> </w:t>
      </w:r>
      <w:r w:rsidRPr="00C37434">
        <w:rPr>
          <w:rFonts w:ascii="Verdana" w:hAnsi="Verdana"/>
          <w:sz w:val="16"/>
          <w:szCs w:val="16"/>
          <w:lang w:val="es-CR"/>
        </w:rPr>
        <w:tab/>
      </w:r>
      <w:r w:rsidRPr="00C37434">
        <w:rPr>
          <w:rFonts w:ascii="Verdana" w:hAnsi="Verdana"/>
          <w:sz w:val="16"/>
          <w:szCs w:val="16"/>
          <w:lang w:val="es-ES_tradnl"/>
        </w:rPr>
        <w:t>Alicia Pucheta</w:t>
      </w:r>
      <w:r>
        <w:rPr>
          <w:rFonts w:ascii="Verdana" w:hAnsi="Verdana"/>
          <w:sz w:val="16"/>
          <w:szCs w:val="16"/>
          <w:lang w:val="es-ES_tradnl"/>
        </w:rPr>
        <w:t xml:space="preserve"> de Correa. </w:t>
      </w:r>
    </w:p>
  </w:footnote>
  <w:footnote w:id="17">
    <w:p w14:paraId="70CBBE90" w14:textId="77777777" w:rsidR="0068032C" w:rsidRPr="00C37434" w:rsidRDefault="0068032C" w:rsidP="00E67551">
      <w:pPr>
        <w:pStyle w:val="Textonotapie"/>
        <w:tabs>
          <w:tab w:val="left" w:pos="426"/>
        </w:tabs>
        <w:jc w:val="both"/>
        <w:rPr>
          <w:rFonts w:ascii="Verdana" w:hAnsi="Verdana"/>
          <w:sz w:val="16"/>
          <w:szCs w:val="16"/>
          <w:lang w:val="es-CR"/>
        </w:rPr>
      </w:pPr>
      <w:r w:rsidRPr="00C37434">
        <w:rPr>
          <w:rStyle w:val="Refdenotaalpie"/>
          <w:rFonts w:ascii="Verdana" w:hAnsi="Verdana"/>
          <w:sz w:val="16"/>
          <w:szCs w:val="16"/>
        </w:rPr>
        <w:footnoteRef/>
      </w:r>
      <w:r w:rsidRPr="00C37434">
        <w:rPr>
          <w:rFonts w:ascii="Verdana" w:hAnsi="Verdana"/>
          <w:sz w:val="16"/>
          <w:szCs w:val="16"/>
          <w:lang w:val="es-CR"/>
        </w:rPr>
        <w:t xml:space="preserve"> </w:t>
      </w:r>
      <w:r w:rsidRPr="00C37434">
        <w:rPr>
          <w:rFonts w:ascii="Verdana" w:hAnsi="Verdana"/>
          <w:sz w:val="16"/>
          <w:szCs w:val="16"/>
          <w:lang w:val="es-CR"/>
        </w:rPr>
        <w:tab/>
      </w:r>
      <w:r>
        <w:rPr>
          <w:rFonts w:ascii="Verdana" w:hAnsi="Verdana"/>
          <w:sz w:val="16"/>
          <w:szCs w:val="16"/>
          <w:lang w:val="es-CR"/>
        </w:rPr>
        <w:t>María Teresa Baran.</w:t>
      </w:r>
    </w:p>
  </w:footnote>
  <w:footnote w:id="18">
    <w:p w14:paraId="535A9B90" w14:textId="77777777" w:rsidR="0068032C" w:rsidRPr="00C37434" w:rsidRDefault="0068032C" w:rsidP="00E67551">
      <w:pPr>
        <w:pStyle w:val="Textonotapie"/>
        <w:tabs>
          <w:tab w:val="left" w:pos="426"/>
        </w:tabs>
        <w:jc w:val="both"/>
        <w:rPr>
          <w:rFonts w:ascii="Verdana" w:hAnsi="Verdana"/>
          <w:sz w:val="16"/>
          <w:szCs w:val="16"/>
          <w:lang w:val="es-CR"/>
        </w:rPr>
      </w:pPr>
      <w:r w:rsidRPr="00C37434">
        <w:rPr>
          <w:rStyle w:val="Refdenotaalpie"/>
          <w:rFonts w:ascii="Verdana" w:hAnsi="Verdana"/>
          <w:sz w:val="16"/>
          <w:szCs w:val="16"/>
        </w:rPr>
        <w:footnoteRef/>
      </w:r>
      <w:r w:rsidRPr="00C37434">
        <w:rPr>
          <w:rFonts w:ascii="Verdana" w:hAnsi="Verdana"/>
          <w:sz w:val="16"/>
          <w:szCs w:val="16"/>
          <w:lang w:val="es-CR"/>
        </w:rPr>
        <w:t xml:space="preserve"> </w:t>
      </w:r>
      <w:r w:rsidRPr="00C37434">
        <w:rPr>
          <w:rFonts w:ascii="Verdana" w:hAnsi="Verdana"/>
          <w:sz w:val="16"/>
          <w:szCs w:val="16"/>
          <w:lang w:val="es-CR"/>
        </w:rPr>
        <w:tab/>
      </w:r>
      <w:r>
        <w:rPr>
          <w:rFonts w:ascii="Verdana" w:hAnsi="Verdana"/>
          <w:sz w:val="16"/>
          <w:szCs w:val="16"/>
          <w:lang w:val="es-CR"/>
        </w:rPr>
        <w:t xml:space="preserve">José Félix Fernández. </w:t>
      </w:r>
    </w:p>
  </w:footnote>
  <w:footnote w:id="19">
    <w:p w14:paraId="560EC9E3" w14:textId="77777777" w:rsidR="0068032C" w:rsidRPr="00C37434" w:rsidRDefault="0068032C" w:rsidP="00E67551">
      <w:pPr>
        <w:pStyle w:val="Textonotapie"/>
        <w:tabs>
          <w:tab w:val="left" w:pos="426"/>
        </w:tabs>
        <w:jc w:val="both"/>
        <w:rPr>
          <w:rFonts w:ascii="Verdana" w:hAnsi="Verdana"/>
          <w:sz w:val="16"/>
          <w:szCs w:val="16"/>
          <w:lang w:val="es-CR"/>
        </w:rPr>
      </w:pPr>
      <w:r w:rsidRPr="00C37434">
        <w:rPr>
          <w:rStyle w:val="Refdenotaalpie"/>
          <w:rFonts w:ascii="Verdana" w:hAnsi="Verdana"/>
          <w:sz w:val="16"/>
          <w:szCs w:val="16"/>
        </w:rPr>
        <w:footnoteRef/>
      </w:r>
      <w:r w:rsidRPr="00C37434">
        <w:rPr>
          <w:rFonts w:ascii="Verdana" w:hAnsi="Verdana"/>
          <w:sz w:val="16"/>
          <w:szCs w:val="16"/>
          <w:lang w:val="es-CR"/>
        </w:rPr>
        <w:t xml:space="preserve"> </w:t>
      </w:r>
      <w:r w:rsidRPr="00C37434">
        <w:rPr>
          <w:rFonts w:ascii="Verdana" w:hAnsi="Verdana"/>
          <w:sz w:val="16"/>
          <w:szCs w:val="16"/>
          <w:lang w:val="es-CR"/>
        </w:rPr>
        <w:tab/>
      </w:r>
      <w:r>
        <w:rPr>
          <w:rFonts w:ascii="Verdana" w:hAnsi="Verdana"/>
          <w:sz w:val="16"/>
          <w:szCs w:val="16"/>
          <w:lang w:val="es-CR"/>
        </w:rPr>
        <w:t xml:space="preserve">Marcelo Scappini. </w:t>
      </w:r>
    </w:p>
  </w:footnote>
  <w:footnote w:id="20">
    <w:p w14:paraId="1063FCDC" w14:textId="77777777" w:rsidR="0068032C" w:rsidRPr="00C37434" w:rsidRDefault="0068032C" w:rsidP="00E67551">
      <w:pPr>
        <w:pStyle w:val="Textonotapie"/>
        <w:tabs>
          <w:tab w:val="left" w:pos="426"/>
        </w:tabs>
        <w:jc w:val="both"/>
        <w:rPr>
          <w:rFonts w:ascii="Verdana" w:hAnsi="Verdana"/>
          <w:sz w:val="16"/>
          <w:szCs w:val="16"/>
          <w:lang w:val="es-CR"/>
        </w:rPr>
      </w:pPr>
      <w:r w:rsidRPr="00C37434">
        <w:rPr>
          <w:rStyle w:val="Refdenotaalpie"/>
          <w:rFonts w:ascii="Verdana" w:hAnsi="Verdana"/>
          <w:sz w:val="16"/>
          <w:szCs w:val="16"/>
        </w:rPr>
        <w:footnoteRef/>
      </w:r>
      <w:r w:rsidRPr="00C37434">
        <w:rPr>
          <w:rFonts w:ascii="Verdana" w:hAnsi="Verdana"/>
          <w:sz w:val="16"/>
          <w:szCs w:val="16"/>
          <w:lang w:val="es-CR"/>
        </w:rPr>
        <w:t xml:space="preserve"> </w:t>
      </w:r>
      <w:r w:rsidRPr="00C37434">
        <w:rPr>
          <w:rFonts w:ascii="Verdana" w:hAnsi="Verdana"/>
          <w:sz w:val="16"/>
          <w:szCs w:val="16"/>
          <w:lang w:val="es-CR"/>
        </w:rPr>
        <w:tab/>
      </w:r>
      <w:r>
        <w:rPr>
          <w:rFonts w:ascii="Verdana" w:hAnsi="Verdana"/>
          <w:sz w:val="16"/>
          <w:szCs w:val="16"/>
          <w:lang w:val="es-CR"/>
        </w:rPr>
        <w:t xml:space="preserve">Miguel Ángel Britez. </w:t>
      </w:r>
    </w:p>
  </w:footnote>
  <w:footnote w:id="21">
    <w:p w14:paraId="66E82CE8" w14:textId="77777777" w:rsidR="0068032C" w:rsidRPr="00C37434" w:rsidRDefault="0068032C" w:rsidP="00E67551">
      <w:pPr>
        <w:pStyle w:val="Textonotapie"/>
        <w:tabs>
          <w:tab w:val="left" w:pos="426"/>
        </w:tabs>
        <w:jc w:val="both"/>
        <w:rPr>
          <w:rFonts w:ascii="Verdana" w:hAnsi="Verdana"/>
          <w:sz w:val="16"/>
          <w:szCs w:val="16"/>
          <w:lang w:val="es-CR"/>
        </w:rPr>
      </w:pPr>
      <w:r w:rsidRPr="00C37434">
        <w:rPr>
          <w:rStyle w:val="Refdenotaalpie"/>
          <w:rFonts w:ascii="Verdana" w:hAnsi="Verdana"/>
          <w:sz w:val="16"/>
          <w:szCs w:val="16"/>
        </w:rPr>
        <w:footnoteRef/>
      </w:r>
      <w:r w:rsidRPr="00C37434">
        <w:rPr>
          <w:rFonts w:ascii="Verdana" w:hAnsi="Verdana"/>
          <w:sz w:val="16"/>
          <w:szCs w:val="16"/>
          <w:lang w:val="es-CR"/>
        </w:rPr>
        <w:t xml:space="preserve"> </w:t>
      </w:r>
      <w:r w:rsidRPr="00C37434">
        <w:rPr>
          <w:rFonts w:ascii="Verdana" w:hAnsi="Verdana"/>
          <w:sz w:val="16"/>
          <w:szCs w:val="16"/>
          <w:lang w:val="es-CR"/>
        </w:rPr>
        <w:tab/>
      </w:r>
      <w:r>
        <w:rPr>
          <w:rFonts w:ascii="Verdana" w:hAnsi="Verdana"/>
          <w:sz w:val="16"/>
          <w:szCs w:val="16"/>
          <w:lang w:val="es-CR"/>
        </w:rPr>
        <w:t>Aldo Zaldívar.</w:t>
      </w:r>
    </w:p>
  </w:footnote>
  <w:footnote w:id="22">
    <w:p w14:paraId="740FA7D4" w14:textId="77777777" w:rsidR="0068032C" w:rsidRPr="00C37434" w:rsidRDefault="0068032C" w:rsidP="00E67551">
      <w:pPr>
        <w:pStyle w:val="Textonotapie"/>
        <w:tabs>
          <w:tab w:val="left" w:pos="426"/>
        </w:tabs>
        <w:jc w:val="both"/>
        <w:rPr>
          <w:rFonts w:ascii="Verdana" w:hAnsi="Verdana"/>
          <w:sz w:val="16"/>
          <w:szCs w:val="16"/>
          <w:lang w:val="es-CR"/>
        </w:rPr>
      </w:pPr>
      <w:r w:rsidRPr="00C37434">
        <w:rPr>
          <w:rStyle w:val="Refdenotaalpie"/>
          <w:rFonts w:ascii="Verdana" w:hAnsi="Verdana"/>
          <w:sz w:val="16"/>
          <w:szCs w:val="16"/>
        </w:rPr>
        <w:footnoteRef/>
      </w:r>
      <w:r w:rsidRPr="00C37434">
        <w:rPr>
          <w:rFonts w:ascii="Verdana" w:hAnsi="Verdana"/>
          <w:sz w:val="16"/>
          <w:szCs w:val="16"/>
          <w:lang w:val="es-CR"/>
        </w:rPr>
        <w:t xml:space="preserve"> </w:t>
      </w:r>
      <w:r>
        <w:rPr>
          <w:rFonts w:ascii="Verdana" w:hAnsi="Verdana"/>
          <w:sz w:val="16"/>
          <w:szCs w:val="16"/>
          <w:lang w:val="es-CR"/>
        </w:rPr>
        <w:tab/>
        <w:t xml:space="preserve">Antonio Ramón Saldivar. </w:t>
      </w:r>
    </w:p>
  </w:footnote>
  <w:footnote w:id="23">
    <w:p w14:paraId="17A67145" w14:textId="77777777" w:rsidR="0068032C" w:rsidRPr="00C37434" w:rsidRDefault="0068032C" w:rsidP="00E67551">
      <w:pPr>
        <w:pStyle w:val="Textonotapie"/>
        <w:tabs>
          <w:tab w:val="left" w:pos="426"/>
        </w:tabs>
        <w:jc w:val="both"/>
        <w:rPr>
          <w:rFonts w:ascii="Verdana" w:hAnsi="Verdana"/>
          <w:sz w:val="16"/>
          <w:szCs w:val="16"/>
          <w:lang w:val="es-CR"/>
        </w:rPr>
      </w:pPr>
      <w:r w:rsidRPr="00C37434">
        <w:rPr>
          <w:rStyle w:val="Refdenotaalpie"/>
          <w:rFonts w:ascii="Verdana" w:hAnsi="Verdana"/>
          <w:sz w:val="16"/>
          <w:szCs w:val="16"/>
        </w:rPr>
        <w:footnoteRef/>
      </w:r>
      <w:r w:rsidRPr="00C37434">
        <w:rPr>
          <w:rFonts w:ascii="Verdana" w:hAnsi="Verdana"/>
          <w:sz w:val="16"/>
          <w:szCs w:val="16"/>
          <w:lang w:val="es-CR"/>
        </w:rPr>
        <w:t xml:space="preserve"> </w:t>
      </w:r>
      <w:r w:rsidRPr="00C37434">
        <w:rPr>
          <w:rFonts w:ascii="Verdana" w:hAnsi="Verdana"/>
          <w:sz w:val="16"/>
          <w:szCs w:val="16"/>
          <w:lang w:val="es-CR"/>
        </w:rPr>
        <w:tab/>
      </w:r>
      <w:r>
        <w:rPr>
          <w:rFonts w:ascii="Verdana" w:hAnsi="Verdana"/>
          <w:sz w:val="16"/>
          <w:szCs w:val="16"/>
          <w:lang w:val="es-CR"/>
        </w:rPr>
        <w:t xml:space="preserve">Amalia Quintana. </w:t>
      </w:r>
    </w:p>
  </w:footnote>
  <w:footnote w:id="24">
    <w:p w14:paraId="67542447" w14:textId="77777777" w:rsidR="0068032C" w:rsidRPr="00C37434" w:rsidRDefault="0068032C" w:rsidP="00E67551">
      <w:pPr>
        <w:pStyle w:val="Textonotapie"/>
        <w:tabs>
          <w:tab w:val="left" w:pos="426"/>
        </w:tabs>
        <w:jc w:val="both"/>
        <w:rPr>
          <w:rFonts w:ascii="Verdana" w:hAnsi="Verdana"/>
          <w:sz w:val="16"/>
          <w:szCs w:val="16"/>
          <w:lang w:val="es-CR"/>
        </w:rPr>
      </w:pPr>
      <w:r w:rsidRPr="00C37434">
        <w:rPr>
          <w:rStyle w:val="Refdenotaalpie"/>
          <w:rFonts w:ascii="Verdana" w:hAnsi="Verdana"/>
          <w:sz w:val="16"/>
          <w:szCs w:val="16"/>
        </w:rPr>
        <w:footnoteRef/>
      </w:r>
      <w:r w:rsidRPr="00C37434">
        <w:rPr>
          <w:rFonts w:ascii="Verdana" w:hAnsi="Verdana"/>
          <w:sz w:val="16"/>
          <w:szCs w:val="16"/>
          <w:lang w:val="es-CR"/>
        </w:rPr>
        <w:t xml:space="preserve"> </w:t>
      </w:r>
      <w:r w:rsidRPr="00C37434">
        <w:rPr>
          <w:rFonts w:ascii="Verdana" w:hAnsi="Verdana"/>
          <w:sz w:val="16"/>
          <w:szCs w:val="16"/>
          <w:lang w:val="es-CR"/>
        </w:rPr>
        <w:tab/>
      </w:r>
      <w:r>
        <w:rPr>
          <w:rFonts w:ascii="Verdana" w:hAnsi="Verdana"/>
          <w:sz w:val="16"/>
          <w:szCs w:val="16"/>
          <w:lang w:val="es-CR"/>
        </w:rPr>
        <w:t xml:space="preserve">César González. </w:t>
      </w:r>
    </w:p>
  </w:footnote>
  <w:footnote w:id="25">
    <w:p w14:paraId="2200AB2F" w14:textId="77777777" w:rsidR="0068032C" w:rsidRPr="00C37434" w:rsidRDefault="0068032C" w:rsidP="00E67551">
      <w:pPr>
        <w:pStyle w:val="Textonotapie"/>
        <w:tabs>
          <w:tab w:val="left" w:pos="426"/>
        </w:tabs>
        <w:jc w:val="both"/>
        <w:rPr>
          <w:rFonts w:ascii="Verdana" w:hAnsi="Verdana"/>
          <w:sz w:val="16"/>
          <w:szCs w:val="16"/>
          <w:lang w:val="es-CR"/>
        </w:rPr>
      </w:pPr>
      <w:r w:rsidRPr="00C37434">
        <w:rPr>
          <w:rStyle w:val="Refdenotaalpie"/>
          <w:rFonts w:ascii="Verdana" w:hAnsi="Verdana"/>
          <w:sz w:val="16"/>
          <w:szCs w:val="16"/>
        </w:rPr>
        <w:footnoteRef/>
      </w:r>
      <w:r w:rsidRPr="00C37434">
        <w:rPr>
          <w:rFonts w:ascii="Verdana" w:hAnsi="Verdana"/>
          <w:sz w:val="16"/>
          <w:szCs w:val="16"/>
          <w:lang w:val="es-CR"/>
        </w:rPr>
        <w:t xml:space="preserve"> </w:t>
      </w:r>
      <w:r w:rsidRPr="00C37434">
        <w:rPr>
          <w:rFonts w:ascii="Verdana" w:hAnsi="Verdana"/>
          <w:sz w:val="16"/>
          <w:szCs w:val="16"/>
          <w:lang w:val="es-CR"/>
        </w:rPr>
        <w:tab/>
      </w:r>
      <w:r>
        <w:rPr>
          <w:rFonts w:ascii="Verdana" w:hAnsi="Verdana"/>
          <w:sz w:val="16"/>
          <w:szCs w:val="16"/>
          <w:lang w:val="es-CR"/>
        </w:rPr>
        <w:t>María Galván.</w:t>
      </w:r>
    </w:p>
  </w:footnote>
  <w:footnote w:id="26">
    <w:p w14:paraId="0EB3F96D" w14:textId="77777777" w:rsidR="0068032C" w:rsidRPr="00C37434" w:rsidRDefault="0068032C" w:rsidP="00E67551">
      <w:pPr>
        <w:pStyle w:val="Textonotapie"/>
        <w:tabs>
          <w:tab w:val="left" w:pos="426"/>
        </w:tabs>
        <w:jc w:val="both"/>
        <w:rPr>
          <w:rFonts w:ascii="Verdana" w:hAnsi="Verdana"/>
          <w:sz w:val="16"/>
          <w:szCs w:val="16"/>
          <w:lang w:val="es-CR"/>
        </w:rPr>
      </w:pPr>
      <w:r w:rsidRPr="00C37434">
        <w:rPr>
          <w:rStyle w:val="Refdenotaalpie"/>
          <w:rFonts w:ascii="Verdana" w:hAnsi="Verdana"/>
          <w:sz w:val="16"/>
          <w:szCs w:val="16"/>
        </w:rPr>
        <w:footnoteRef/>
      </w:r>
      <w:r w:rsidRPr="00C37434">
        <w:rPr>
          <w:rFonts w:ascii="Verdana" w:hAnsi="Verdana"/>
          <w:sz w:val="16"/>
          <w:szCs w:val="16"/>
          <w:lang w:val="es-CR"/>
        </w:rPr>
        <w:t xml:space="preserve"> </w:t>
      </w:r>
      <w:r w:rsidRPr="00C37434">
        <w:rPr>
          <w:rFonts w:ascii="Verdana" w:hAnsi="Verdana"/>
          <w:sz w:val="16"/>
          <w:szCs w:val="16"/>
          <w:lang w:val="es-CR"/>
        </w:rPr>
        <w:tab/>
      </w:r>
      <w:r>
        <w:rPr>
          <w:rFonts w:ascii="Verdana" w:hAnsi="Verdana"/>
          <w:sz w:val="16"/>
          <w:szCs w:val="16"/>
          <w:lang w:val="es-CR"/>
        </w:rPr>
        <w:t>Dora Penayo.</w:t>
      </w:r>
    </w:p>
  </w:footnote>
  <w:footnote w:id="27">
    <w:p w14:paraId="29748BC9" w14:textId="77777777" w:rsidR="0068032C" w:rsidRPr="002E2C74" w:rsidRDefault="0068032C" w:rsidP="00E67551">
      <w:pPr>
        <w:pStyle w:val="Textonotapie"/>
        <w:tabs>
          <w:tab w:val="left" w:pos="426"/>
        </w:tabs>
        <w:jc w:val="both"/>
        <w:rPr>
          <w:rFonts w:ascii="Verdana" w:hAnsi="Verdana"/>
          <w:sz w:val="16"/>
          <w:szCs w:val="16"/>
          <w:lang w:val="es-CR"/>
        </w:rPr>
      </w:pPr>
      <w:r w:rsidRPr="002E2C74">
        <w:rPr>
          <w:rStyle w:val="Refdenotaalpie"/>
          <w:rFonts w:ascii="Verdana" w:hAnsi="Verdana"/>
          <w:sz w:val="16"/>
          <w:szCs w:val="16"/>
        </w:rPr>
        <w:footnoteRef/>
      </w:r>
      <w:r w:rsidRPr="002E2C74">
        <w:rPr>
          <w:rFonts w:ascii="Verdana" w:hAnsi="Verdana"/>
          <w:sz w:val="16"/>
          <w:szCs w:val="16"/>
          <w:lang w:val="es-CR"/>
        </w:rPr>
        <w:t xml:space="preserve"> </w:t>
      </w:r>
      <w:r w:rsidRPr="002E2C74">
        <w:rPr>
          <w:rFonts w:ascii="Verdana" w:hAnsi="Verdana"/>
          <w:sz w:val="16"/>
          <w:szCs w:val="16"/>
          <w:lang w:val="es-CR"/>
        </w:rPr>
        <w:tab/>
        <w:t>Rodolfo Segovia.</w:t>
      </w:r>
    </w:p>
  </w:footnote>
  <w:footnote w:id="28">
    <w:p w14:paraId="772378E8" w14:textId="77777777" w:rsidR="0068032C" w:rsidRPr="002E2C74" w:rsidRDefault="0068032C" w:rsidP="00E67551">
      <w:pPr>
        <w:pStyle w:val="Textonotapie"/>
        <w:tabs>
          <w:tab w:val="left" w:pos="426"/>
        </w:tabs>
        <w:jc w:val="both"/>
        <w:rPr>
          <w:rFonts w:ascii="Verdana" w:hAnsi="Verdana"/>
          <w:sz w:val="16"/>
          <w:szCs w:val="16"/>
          <w:lang w:val="es-CR"/>
        </w:rPr>
      </w:pPr>
      <w:r w:rsidRPr="002E2C74">
        <w:rPr>
          <w:rStyle w:val="Refdenotaalpie"/>
          <w:rFonts w:ascii="Verdana" w:hAnsi="Verdana"/>
          <w:sz w:val="16"/>
          <w:szCs w:val="16"/>
        </w:rPr>
        <w:footnoteRef/>
      </w:r>
      <w:r w:rsidRPr="002E2C74">
        <w:rPr>
          <w:rFonts w:ascii="Verdana" w:hAnsi="Verdana"/>
          <w:sz w:val="16"/>
          <w:szCs w:val="16"/>
          <w:lang w:val="es-CR"/>
        </w:rPr>
        <w:t xml:space="preserve"> </w:t>
      </w:r>
      <w:r w:rsidRPr="002E2C74">
        <w:rPr>
          <w:rFonts w:ascii="Verdana" w:hAnsi="Verdana"/>
          <w:sz w:val="16"/>
          <w:szCs w:val="16"/>
          <w:lang w:val="es-CR"/>
        </w:rPr>
        <w:tab/>
        <w:t>Nury Montiel.</w:t>
      </w:r>
    </w:p>
  </w:footnote>
  <w:footnote w:id="29">
    <w:p w14:paraId="26E242C9" w14:textId="77777777" w:rsidR="0068032C" w:rsidRPr="002E2C74" w:rsidRDefault="0068032C" w:rsidP="00E67551">
      <w:pPr>
        <w:pStyle w:val="Textonotapie"/>
        <w:tabs>
          <w:tab w:val="left" w:pos="426"/>
        </w:tabs>
        <w:jc w:val="both"/>
        <w:rPr>
          <w:rFonts w:ascii="Verdana" w:hAnsi="Verdana"/>
          <w:sz w:val="16"/>
          <w:szCs w:val="16"/>
          <w:lang w:val="es-CR"/>
        </w:rPr>
      </w:pPr>
      <w:r w:rsidRPr="002E2C74">
        <w:rPr>
          <w:rStyle w:val="Refdenotaalpie"/>
          <w:rFonts w:ascii="Verdana" w:hAnsi="Verdana"/>
          <w:sz w:val="16"/>
          <w:szCs w:val="16"/>
        </w:rPr>
        <w:footnoteRef/>
      </w:r>
      <w:r w:rsidRPr="002E2C74">
        <w:rPr>
          <w:rFonts w:ascii="Verdana" w:hAnsi="Verdana"/>
          <w:sz w:val="16"/>
          <w:szCs w:val="16"/>
          <w:lang w:val="es-CR"/>
        </w:rPr>
        <w:t xml:space="preserve"> </w:t>
      </w:r>
      <w:r w:rsidRPr="002E2C74">
        <w:rPr>
          <w:rFonts w:ascii="Verdana" w:hAnsi="Verdana"/>
          <w:sz w:val="16"/>
          <w:szCs w:val="16"/>
          <w:lang w:val="es-CR"/>
        </w:rPr>
        <w:tab/>
        <w:t>Hugo Samaniego.</w:t>
      </w:r>
    </w:p>
  </w:footnote>
  <w:footnote w:id="30">
    <w:p w14:paraId="5128DF14" w14:textId="77777777" w:rsidR="0068032C" w:rsidRPr="002E2C74" w:rsidRDefault="0068032C" w:rsidP="00E67551">
      <w:pPr>
        <w:pStyle w:val="Textonotapie"/>
        <w:tabs>
          <w:tab w:val="left" w:pos="426"/>
        </w:tabs>
        <w:jc w:val="both"/>
        <w:rPr>
          <w:rFonts w:ascii="Verdana" w:hAnsi="Verdana"/>
          <w:sz w:val="16"/>
          <w:szCs w:val="16"/>
          <w:lang w:val="es-CR"/>
        </w:rPr>
      </w:pPr>
      <w:r w:rsidRPr="002E2C74">
        <w:rPr>
          <w:rStyle w:val="Refdenotaalpie"/>
          <w:rFonts w:ascii="Verdana" w:hAnsi="Verdana"/>
          <w:sz w:val="16"/>
          <w:szCs w:val="16"/>
        </w:rPr>
        <w:footnoteRef/>
      </w:r>
      <w:r w:rsidRPr="002E2C74">
        <w:rPr>
          <w:rFonts w:ascii="Verdana" w:hAnsi="Verdana"/>
          <w:sz w:val="16"/>
          <w:szCs w:val="16"/>
          <w:lang w:val="es-CR"/>
        </w:rPr>
        <w:t xml:space="preserve"> </w:t>
      </w:r>
      <w:r w:rsidRPr="002E2C74">
        <w:rPr>
          <w:rFonts w:ascii="Verdana" w:hAnsi="Verdana"/>
          <w:sz w:val="16"/>
          <w:szCs w:val="16"/>
          <w:lang w:val="es-CR"/>
        </w:rPr>
        <w:tab/>
        <w:t xml:space="preserve">Laura Bordón. </w:t>
      </w:r>
    </w:p>
  </w:footnote>
  <w:footnote w:id="31">
    <w:p w14:paraId="2802D5BD" w14:textId="77777777" w:rsidR="0068032C" w:rsidRPr="002E2C74" w:rsidRDefault="0068032C" w:rsidP="00E67551">
      <w:pPr>
        <w:pStyle w:val="Textonotapie"/>
        <w:tabs>
          <w:tab w:val="left" w:pos="426"/>
        </w:tabs>
        <w:jc w:val="both"/>
        <w:rPr>
          <w:rFonts w:ascii="Verdana" w:hAnsi="Verdana"/>
          <w:sz w:val="16"/>
          <w:szCs w:val="16"/>
          <w:lang w:val="es-CR"/>
        </w:rPr>
      </w:pPr>
      <w:r w:rsidRPr="002E2C74">
        <w:rPr>
          <w:rStyle w:val="Refdenotaalpie"/>
          <w:rFonts w:ascii="Verdana" w:hAnsi="Verdana"/>
          <w:sz w:val="16"/>
          <w:szCs w:val="16"/>
        </w:rPr>
        <w:footnoteRef/>
      </w:r>
      <w:r w:rsidRPr="002E2C74">
        <w:rPr>
          <w:rFonts w:ascii="Verdana" w:hAnsi="Verdana"/>
          <w:sz w:val="16"/>
          <w:szCs w:val="16"/>
          <w:lang w:val="es-CR"/>
        </w:rPr>
        <w:t xml:space="preserve"> </w:t>
      </w:r>
      <w:r w:rsidRPr="002E2C74">
        <w:rPr>
          <w:rFonts w:ascii="Verdana" w:hAnsi="Verdana"/>
          <w:sz w:val="16"/>
          <w:szCs w:val="16"/>
          <w:lang w:val="es-CR"/>
        </w:rPr>
        <w:tab/>
        <w:t>Raymond Crechi.</w:t>
      </w:r>
    </w:p>
  </w:footnote>
  <w:footnote w:id="32">
    <w:p w14:paraId="0FCE747A" w14:textId="77777777" w:rsidR="0068032C" w:rsidRPr="002E2C74" w:rsidRDefault="0068032C" w:rsidP="00E67551">
      <w:pPr>
        <w:pStyle w:val="Textonotapie"/>
        <w:tabs>
          <w:tab w:val="left" w:pos="426"/>
        </w:tabs>
        <w:jc w:val="both"/>
        <w:rPr>
          <w:rFonts w:ascii="Verdana" w:hAnsi="Verdana"/>
          <w:sz w:val="16"/>
          <w:szCs w:val="16"/>
          <w:lang w:val="es-CR"/>
        </w:rPr>
      </w:pPr>
      <w:r w:rsidRPr="002E2C74">
        <w:rPr>
          <w:rStyle w:val="Refdenotaalpie"/>
          <w:rFonts w:ascii="Verdana" w:hAnsi="Verdana"/>
          <w:sz w:val="16"/>
          <w:szCs w:val="16"/>
        </w:rPr>
        <w:footnoteRef/>
      </w:r>
      <w:r w:rsidRPr="002E2C74">
        <w:rPr>
          <w:rFonts w:ascii="Verdana" w:hAnsi="Verdana"/>
          <w:sz w:val="16"/>
          <w:szCs w:val="16"/>
          <w:lang w:val="es-CR"/>
        </w:rPr>
        <w:t xml:space="preserve"> </w:t>
      </w:r>
      <w:r w:rsidRPr="002E2C74">
        <w:rPr>
          <w:rFonts w:ascii="Verdana" w:hAnsi="Verdana"/>
          <w:sz w:val="16"/>
          <w:szCs w:val="16"/>
          <w:lang w:val="es-CR"/>
        </w:rPr>
        <w:tab/>
        <w:t xml:space="preserve">Jorge Ovando, Sergio Riveros, Andrés Cabrera y Marcela González. </w:t>
      </w:r>
    </w:p>
  </w:footnote>
  <w:footnote w:id="33">
    <w:p w14:paraId="7E57245D" w14:textId="77777777" w:rsidR="0068032C" w:rsidRPr="001B2C9A" w:rsidRDefault="0068032C" w:rsidP="00E67551">
      <w:pPr>
        <w:pStyle w:val="Textonotapie"/>
        <w:tabs>
          <w:tab w:val="left" w:pos="426"/>
        </w:tabs>
        <w:jc w:val="both"/>
        <w:rPr>
          <w:rFonts w:ascii="Verdana" w:hAnsi="Verdana"/>
          <w:sz w:val="16"/>
          <w:szCs w:val="16"/>
          <w:lang w:val="es-CR"/>
        </w:rPr>
      </w:pPr>
      <w:r w:rsidRPr="002E2C74">
        <w:rPr>
          <w:rStyle w:val="Refdenotaalpie"/>
          <w:rFonts w:ascii="Verdana" w:hAnsi="Verdana"/>
          <w:sz w:val="16"/>
          <w:szCs w:val="16"/>
        </w:rPr>
        <w:footnoteRef/>
      </w:r>
      <w:r w:rsidRPr="002E2C74">
        <w:rPr>
          <w:rFonts w:ascii="Verdana" w:hAnsi="Verdana"/>
          <w:sz w:val="16"/>
          <w:szCs w:val="16"/>
          <w:lang w:val="es-CR"/>
        </w:rPr>
        <w:t xml:space="preserve"> </w:t>
      </w:r>
      <w:r w:rsidRPr="002E2C74">
        <w:rPr>
          <w:rFonts w:ascii="Verdana" w:hAnsi="Verdana"/>
          <w:sz w:val="16"/>
          <w:szCs w:val="16"/>
          <w:lang w:val="es-CR"/>
        </w:rPr>
        <w:tab/>
        <w:t xml:space="preserve">María Angélica Fernández y Edith Sosa. </w:t>
      </w:r>
    </w:p>
  </w:footnote>
  <w:footnote w:id="34">
    <w:p w14:paraId="701AFEE4" w14:textId="77777777" w:rsidR="0068032C" w:rsidRPr="002E2C74" w:rsidRDefault="0068032C" w:rsidP="00E67551">
      <w:pPr>
        <w:pStyle w:val="Textonotapie"/>
        <w:tabs>
          <w:tab w:val="left" w:pos="426"/>
        </w:tabs>
        <w:jc w:val="both"/>
        <w:rPr>
          <w:rFonts w:ascii="Verdana" w:hAnsi="Verdana"/>
          <w:sz w:val="16"/>
          <w:szCs w:val="16"/>
          <w:lang w:val="es-CR"/>
        </w:rPr>
      </w:pPr>
      <w:r w:rsidRPr="002E2C74">
        <w:rPr>
          <w:rStyle w:val="Refdenotaalpie"/>
          <w:rFonts w:ascii="Verdana" w:hAnsi="Verdana"/>
          <w:sz w:val="16"/>
          <w:szCs w:val="16"/>
        </w:rPr>
        <w:footnoteRef/>
      </w:r>
      <w:r w:rsidRPr="002E2C74">
        <w:rPr>
          <w:rFonts w:ascii="Verdana" w:hAnsi="Verdana"/>
          <w:sz w:val="16"/>
          <w:szCs w:val="16"/>
          <w:lang w:val="es-CR"/>
        </w:rPr>
        <w:t xml:space="preserve"> </w:t>
      </w:r>
      <w:r w:rsidRPr="002E2C74">
        <w:rPr>
          <w:rFonts w:ascii="Verdana" w:hAnsi="Verdana"/>
          <w:sz w:val="16"/>
          <w:szCs w:val="16"/>
          <w:lang w:val="es-CR"/>
        </w:rPr>
        <w:tab/>
        <w:t xml:space="preserve">Comunicó que ello se debía a “motivos presupuestarios”. </w:t>
      </w:r>
    </w:p>
  </w:footnote>
  <w:footnote w:id="35">
    <w:p w14:paraId="56B15B73" w14:textId="77777777" w:rsidR="0068032C" w:rsidRPr="002E2C74" w:rsidRDefault="0068032C" w:rsidP="00E67551">
      <w:pPr>
        <w:pStyle w:val="Textonotapie"/>
        <w:tabs>
          <w:tab w:val="left" w:pos="426"/>
        </w:tabs>
        <w:jc w:val="both"/>
        <w:rPr>
          <w:rFonts w:ascii="Verdana" w:hAnsi="Verdana"/>
          <w:sz w:val="16"/>
          <w:szCs w:val="16"/>
          <w:lang w:val="es-CR"/>
        </w:rPr>
      </w:pPr>
      <w:r w:rsidRPr="002E2C74">
        <w:rPr>
          <w:rStyle w:val="Refdenotaalpie"/>
          <w:rFonts w:ascii="Verdana" w:hAnsi="Verdana"/>
          <w:sz w:val="16"/>
          <w:szCs w:val="16"/>
        </w:rPr>
        <w:footnoteRef/>
      </w:r>
      <w:r w:rsidRPr="002E2C74">
        <w:rPr>
          <w:rFonts w:ascii="Verdana" w:hAnsi="Verdana"/>
          <w:sz w:val="16"/>
          <w:szCs w:val="16"/>
          <w:lang w:val="es-CR"/>
        </w:rPr>
        <w:t xml:space="preserve"> </w:t>
      </w:r>
      <w:r w:rsidRPr="002E2C74">
        <w:rPr>
          <w:rFonts w:ascii="Verdana" w:hAnsi="Verdana"/>
          <w:sz w:val="16"/>
          <w:szCs w:val="16"/>
          <w:lang w:val="es-CR"/>
        </w:rPr>
        <w:tab/>
        <w:t>Según información proporcionada en el informe estatal de enero de 2018, la cual no fue controvertida por los representantes.</w:t>
      </w:r>
    </w:p>
  </w:footnote>
  <w:footnote w:id="36">
    <w:p w14:paraId="6D0E36E5" w14:textId="77777777" w:rsidR="0068032C" w:rsidRPr="001B2C9A" w:rsidRDefault="0068032C" w:rsidP="001B2C9A">
      <w:pPr>
        <w:pStyle w:val="Textonotapie"/>
        <w:jc w:val="both"/>
        <w:rPr>
          <w:rFonts w:ascii="Verdana" w:hAnsi="Verdana"/>
          <w:sz w:val="16"/>
          <w:szCs w:val="16"/>
          <w:lang w:val="es-CR"/>
        </w:rPr>
      </w:pPr>
      <w:r w:rsidRPr="001B2C9A">
        <w:rPr>
          <w:rStyle w:val="Refdenotaalpie"/>
          <w:rFonts w:ascii="Verdana" w:hAnsi="Verdana"/>
          <w:sz w:val="16"/>
          <w:szCs w:val="16"/>
        </w:rPr>
        <w:footnoteRef/>
      </w:r>
      <w:r w:rsidRPr="001B2C9A">
        <w:rPr>
          <w:rFonts w:ascii="Verdana" w:hAnsi="Verdana"/>
          <w:sz w:val="16"/>
          <w:szCs w:val="16"/>
          <w:lang w:val="es-CR"/>
        </w:rPr>
        <w:t xml:space="preserve"> </w:t>
      </w:r>
      <w:r w:rsidR="001B2C9A" w:rsidRPr="001B2C9A">
        <w:rPr>
          <w:rFonts w:ascii="Verdana" w:hAnsi="Verdana"/>
          <w:sz w:val="16"/>
          <w:szCs w:val="16"/>
          <w:lang w:val="es-CR"/>
        </w:rPr>
        <w:tab/>
        <w:t>Expusieron, entre otros aspectos, sobre la lucha de la Comunidad Xákmok Kásek por la reivindicación de sus tierras. Reconocieron que uno de los mayores logros es que la comunidad actualmente esté ocupando parte de sus tierras tradicionales, aunque éstas aún no hayan sido tituladas a su favor.</w:t>
      </w:r>
      <w:r w:rsidR="001B2C9A" w:rsidRPr="001B2C9A">
        <w:rPr>
          <w:rFonts w:ascii="Verdana" w:eastAsiaTheme="minorHAnsi" w:hAnsi="Verdana" w:cs="Verdana"/>
          <w:sz w:val="16"/>
          <w:szCs w:val="16"/>
          <w:lang w:val="es-ES_tradnl"/>
        </w:rPr>
        <w:t xml:space="preserve"> Se refirieron a los obstáculos en esa titulación, así como al incumplimiento del Estado de velar porque la totalidad de las tierras reclamadas por la Comunidad no se viera menoscabada por acciones de terceros, y a las consecuencias que ello habría tenido en una fracción de sus tierras tradicionales. Además se refirieron a las condiciones de vida de la comunidad y los diversos problemas que enfrentan.</w:t>
      </w:r>
    </w:p>
  </w:footnote>
  <w:footnote w:id="37">
    <w:p w14:paraId="555CF384" w14:textId="77777777" w:rsidR="0068032C" w:rsidRPr="001D70FF" w:rsidRDefault="0068032C" w:rsidP="001B2C9A">
      <w:pPr>
        <w:pStyle w:val="Textonotapie"/>
        <w:tabs>
          <w:tab w:val="left" w:pos="426"/>
        </w:tabs>
        <w:jc w:val="both"/>
        <w:rPr>
          <w:rFonts w:ascii="Verdana" w:hAnsi="Verdana"/>
          <w:sz w:val="16"/>
          <w:szCs w:val="16"/>
          <w:lang w:val="es-CR"/>
        </w:rPr>
      </w:pPr>
      <w:r w:rsidRPr="001B2C9A">
        <w:rPr>
          <w:rStyle w:val="Refdenotaalpie"/>
          <w:rFonts w:ascii="Verdana" w:hAnsi="Verdana"/>
          <w:sz w:val="16"/>
          <w:szCs w:val="16"/>
        </w:rPr>
        <w:footnoteRef/>
      </w:r>
      <w:r w:rsidRPr="001B2C9A">
        <w:rPr>
          <w:rFonts w:ascii="Verdana" w:hAnsi="Verdana"/>
          <w:sz w:val="16"/>
          <w:szCs w:val="16"/>
          <w:lang w:val="es-CR"/>
        </w:rPr>
        <w:t xml:space="preserve"> </w:t>
      </w:r>
      <w:r w:rsidRPr="001B2C9A">
        <w:rPr>
          <w:rFonts w:ascii="Verdana" w:hAnsi="Verdana"/>
          <w:sz w:val="16"/>
          <w:szCs w:val="16"/>
          <w:lang w:val="es-CR"/>
        </w:rPr>
        <w:tab/>
      </w:r>
      <w:r w:rsidRPr="001B2C9A">
        <w:rPr>
          <w:rFonts w:ascii="Verdana" w:hAnsi="Verdana"/>
          <w:sz w:val="16"/>
          <w:szCs w:val="16"/>
          <w:lang w:val="es-ES_tradnl"/>
        </w:rPr>
        <w:t>Participaron los representantes</w:t>
      </w:r>
      <w:r w:rsidRPr="002E2C74">
        <w:rPr>
          <w:rFonts w:ascii="Verdana" w:hAnsi="Verdana"/>
          <w:sz w:val="16"/>
          <w:szCs w:val="16"/>
          <w:lang w:val="es-ES_tradnl"/>
        </w:rPr>
        <w:t xml:space="preserve"> de las víctimas y altas autoridades estatales mencionadas (</w:t>
      </w:r>
      <w:r w:rsidRPr="002E2C74">
        <w:rPr>
          <w:rFonts w:ascii="Verdana" w:hAnsi="Verdana"/>
          <w:i/>
          <w:sz w:val="16"/>
          <w:szCs w:val="16"/>
          <w:lang w:val="es-ES_tradnl"/>
        </w:rPr>
        <w:t>supra</w:t>
      </w:r>
      <w:r w:rsidRPr="002E2C74">
        <w:rPr>
          <w:rFonts w:ascii="Verdana" w:hAnsi="Verdana"/>
          <w:sz w:val="16"/>
          <w:szCs w:val="16"/>
          <w:lang w:val="es-ES_tradnl"/>
        </w:rPr>
        <w:t xml:space="preserve"> notas</w:t>
      </w:r>
      <w:r w:rsidRPr="00CC27A1">
        <w:rPr>
          <w:rFonts w:ascii="Verdana" w:hAnsi="Verdana"/>
          <w:sz w:val="16"/>
          <w:szCs w:val="16"/>
          <w:lang w:val="es-ES_tradnl"/>
        </w:rPr>
        <w:t xml:space="preserve"> al pie </w:t>
      </w:r>
      <w:r w:rsidRPr="00965D45">
        <w:rPr>
          <w:rFonts w:ascii="Verdana" w:hAnsi="Verdana"/>
          <w:sz w:val="16"/>
          <w:szCs w:val="16"/>
          <w:lang w:val="es-ES_tradnl"/>
        </w:rPr>
        <w:t>16 a 3</w:t>
      </w:r>
      <w:r w:rsidR="00EA56EC">
        <w:rPr>
          <w:rFonts w:ascii="Verdana" w:hAnsi="Verdana"/>
          <w:sz w:val="16"/>
          <w:szCs w:val="16"/>
          <w:lang w:val="es-ES_tradnl"/>
        </w:rPr>
        <w:t>3</w:t>
      </w:r>
      <w:r w:rsidRPr="00965D45">
        <w:rPr>
          <w:rFonts w:ascii="Verdana" w:hAnsi="Verdana"/>
          <w:sz w:val="16"/>
          <w:szCs w:val="16"/>
          <w:lang w:val="es-ES_tradnl"/>
        </w:rPr>
        <w:t xml:space="preserve">), entre otros, así como la Viceministra de Educación y un Procurador delegado de la Procuraduría General de la República. </w:t>
      </w:r>
    </w:p>
  </w:footnote>
  <w:footnote w:id="38">
    <w:p w14:paraId="69F6E066" w14:textId="77777777" w:rsidR="0068032C" w:rsidRPr="00C15702" w:rsidRDefault="0068032C" w:rsidP="00E67551">
      <w:pPr>
        <w:pStyle w:val="Textonotapie"/>
        <w:tabs>
          <w:tab w:val="left" w:pos="426"/>
        </w:tabs>
        <w:jc w:val="both"/>
        <w:rPr>
          <w:rFonts w:ascii="Verdana" w:hAnsi="Verdana"/>
          <w:sz w:val="16"/>
          <w:szCs w:val="16"/>
          <w:lang w:val="es-ES_tradnl"/>
        </w:rPr>
      </w:pPr>
      <w:r w:rsidRPr="00C15702">
        <w:rPr>
          <w:rStyle w:val="Refdenotaalpie"/>
          <w:rFonts w:ascii="Verdana" w:hAnsi="Verdana"/>
          <w:sz w:val="16"/>
          <w:szCs w:val="16"/>
        </w:rPr>
        <w:footnoteRef/>
      </w:r>
      <w:r w:rsidRPr="00C15702">
        <w:rPr>
          <w:rFonts w:ascii="Verdana" w:hAnsi="Verdana"/>
          <w:sz w:val="16"/>
          <w:szCs w:val="16"/>
          <w:lang w:val="es-CR"/>
        </w:rPr>
        <w:t xml:space="preserve"> </w:t>
      </w:r>
      <w:r w:rsidRPr="00C15702">
        <w:rPr>
          <w:rFonts w:ascii="Verdana" w:hAnsi="Verdana"/>
          <w:sz w:val="16"/>
          <w:szCs w:val="16"/>
          <w:lang w:val="es-ES_tradnl"/>
        </w:rPr>
        <w:tab/>
      </w:r>
      <w:hyperlink r:id="rId5" w:history="1">
        <w:r w:rsidRPr="00C15702">
          <w:rPr>
            <w:rStyle w:val="Hipervnculo"/>
            <w:rFonts w:ascii="Verdana" w:hAnsi="Verdana"/>
            <w:sz w:val="16"/>
            <w:szCs w:val="16"/>
            <w:lang w:val="es-ES_tradnl"/>
          </w:rPr>
          <w:t>http://www.vicepresidencia.gov.py/index.php/cicsi</w:t>
        </w:r>
      </w:hyperlink>
      <w:r w:rsidRPr="00C15702">
        <w:rPr>
          <w:rFonts w:ascii="Verdana" w:hAnsi="Verdana"/>
          <w:sz w:val="16"/>
          <w:szCs w:val="16"/>
          <w:lang w:val="es-CR"/>
        </w:rPr>
        <w:t xml:space="preserve">. </w:t>
      </w:r>
    </w:p>
  </w:footnote>
  <w:footnote w:id="39">
    <w:p w14:paraId="3F0B93E7" w14:textId="77777777" w:rsidR="0068032C" w:rsidRPr="00315479" w:rsidRDefault="0068032C" w:rsidP="00E67551">
      <w:pPr>
        <w:pStyle w:val="Textonotapie"/>
        <w:tabs>
          <w:tab w:val="left" w:pos="426"/>
        </w:tabs>
        <w:jc w:val="both"/>
        <w:rPr>
          <w:lang w:val="es-CR"/>
        </w:rPr>
      </w:pPr>
      <w:r w:rsidRPr="00C15702">
        <w:rPr>
          <w:rStyle w:val="Refdenotaalpie"/>
          <w:rFonts w:ascii="Verdana" w:hAnsi="Verdana"/>
          <w:sz w:val="16"/>
          <w:szCs w:val="16"/>
        </w:rPr>
        <w:footnoteRef/>
      </w:r>
      <w:r w:rsidRPr="00C15702">
        <w:rPr>
          <w:rFonts w:ascii="Verdana" w:hAnsi="Verdana"/>
          <w:sz w:val="16"/>
          <w:szCs w:val="16"/>
          <w:lang w:val="es-CR"/>
        </w:rPr>
        <w:t xml:space="preserve"> </w:t>
      </w:r>
      <w:r w:rsidRPr="00C15702">
        <w:rPr>
          <w:rFonts w:ascii="Verdana" w:hAnsi="Verdana"/>
          <w:sz w:val="16"/>
          <w:szCs w:val="16"/>
          <w:lang w:val="es-CR"/>
        </w:rPr>
        <w:tab/>
      </w:r>
      <w:r w:rsidRPr="00C15702">
        <w:rPr>
          <w:rFonts w:ascii="Verdana" w:hAnsi="Verdana"/>
          <w:i/>
          <w:sz w:val="16"/>
          <w:szCs w:val="16"/>
          <w:lang w:val="es-CR"/>
        </w:rPr>
        <w:t>Cfr.</w:t>
      </w:r>
      <w:r w:rsidRPr="00C15702">
        <w:rPr>
          <w:rFonts w:ascii="Verdana" w:hAnsi="Verdana"/>
          <w:sz w:val="16"/>
          <w:szCs w:val="16"/>
          <w:lang w:val="es-CR"/>
        </w:rPr>
        <w:t xml:space="preserve"> Decisiones del pleno de la Corte Suprema de Justicia del Paraguay, sesión del 6 de noviembre de 2017, tema No.3, disponible en: </w:t>
      </w:r>
      <w:hyperlink r:id="rId6" w:history="1">
        <w:r w:rsidRPr="00C15702">
          <w:rPr>
            <w:rStyle w:val="Hipervnculo"/>
            <w:rFonts w:ascii="Verdana" w:hAnsi="Verdana"/>
            <w:sz w:val="16"/>
            <w:szCs w:val="16"/>
            <w:lang w:val="es-CR"/>
          </w:rPr>
          <w:t>https://www.pj.gov.py/notas/14785-decisiones-del-pleno-de-la-corte-suprema</w:t>
        </w:r>
      </w:hyperlink>
      <w:r w:rsidRPr="00F34E12">
        <w:rPr>
          <w:rFonts w:ascii="Verdana" w:hAnsi="Verdana"/>
          <w:sz w:val="16"/>
          <w:szCs w:val="16"/>
          <w:lang w:val="es-CR"/>
        </w:rPr>
        <w:t xml:space="preserve">. </w:t>
      </w:r>
    </w:p>
  </w:footnote>
  <w:footnote w:id="40">
    <w:p w14:paraId="3A35DF82" w14:textId="77777777" w:rsidR="0068032C" w:rsidRPr="00C15702" w:rsidRDefault="0068032C" w:rsidP="00E67551">
      <w:pPr>
        <w:pStyle w:val="Textonotapie"/>
        <w:tabs>
          <w:tab w:val="left" w:pos="426"/>
        </w:tabs>
        <w:ind w:right="4"/>
        <w:jc w:val="both"/>
        <w:rPr>
          <w:rFonts w:ascii="Verdana" w:hAnsi="Verdana"/>
          <w:sz w:val="16"/>
          <w:szCs w:val="16"/>
          <w:lang w:val="es-CR"/>
        </w:rPr>
      </w:pPr>
      <w:r w:rsidRPr="00C15702">
        <w:rPr>
          <w:rStyle w:val="Refdenotaalpie"/>
          <w:rFonts w:ascii="Verdana" w:hAnsi="Verdana"/>
          <w:sz w:val="16"/>
          <w:szCs w:val="16"/>
        </w:rPr>
        <w:footnoteRef/>
      </w:r>
      <w:r w:rsidRPr="00C15702">
        <w:rPr>
          <w:rFonts w:ascii="Verdana" w:hAnsi="Verdana"/>
          <w:sz w:val="16"/>
          <w:szCs w:val="16"/>
          <w:lang w:val="es-CR"/>
        </w:rPr>
        <w:t xml:space="preserve"> </w:t>
      </w:r>
      <w:r w:rsidRPr="00C15702">
        <w:rPr>
          <w:rFonts w:ascii="Verdana" w:hAnsi="Verdana"/>
          <w:sz w:val="16"/>
          <w:szCs w:val="16"/>
          <w:lang w:val="es-CR"/>
        </w:rPr>
        <w:tab/>
      </w:r>
      <w:r w:rsidRPr="00C15702">
        <w:rPr>
          <w:rFonts w:ascii="Verdana" w:hAnsi="Verdana"/>
          <w:i/>
          <w:sz w:val="16"/>
          <w:szCs w:val="16"/>
          <w:lang w:val="es-CR"/>
        </w:rPr>
        <w:t xml:space="preserve">Cfr. </w:t>
      </w:r>
      <w:r w:rsidRPr="00C15702">
        <w:rPr>
          <w:rStyle w:val="Textoennegrita"/>
          <w:rFonts w:ascii="Verdana" w:hAnsi="Verdana"/>
          <w:b w:val="0"/>
          <w:i/>
          <w:color w:val="000000"/>
          <w:sz w:val="16"/>
          <w:szCs w:val="16"/>
          <w:shd w:val="clear" w:color="auto" w:fill="FFFFFF"/>
          <w:lang w:val="es-CR"/>
        </w:rPr>
        <w:t xml:space="preserve">Caso Masacres de Río Negro Vs. Guatemala. Supervisión de Cumplimiento de Sentencia. </w:t>
      </w:r>
      <w:r w:rsidRPr="00C15702">
        <w:rPr>
          <w:rStyle w:val="Textoennegrita"/>
          <w:rFonts w:ascii="Verdana" w:hAnsi="Verdana"/>
          <w:b w:val="0"/>
          <w:color w:val="000000"/>
          <w:sz w:val="16"/>
          <w:szCs w:val="16"/>
          <w:shd w:val="clear" w:color="auto" w:fill="FFFFFF"/>
          <w:lang w:val="es-CR"/>
        </w:rPr>
        <w:t xml:space="preserve">Resolución de la Corte Interamericana de Derechos Humanos de 25 de mayo de 2017, Considerando 9, y </w:t>
      </w:r>
      <w:r w:rsidRPr="00C15702">
        <w:rPr>
          <w:rStyle w:val="Textoennegrita"/>
          <w:rFonts w:ascii="Verdana" w:hAnsi="Verdana"/>
          <w:b w:val="0"/>
          <w:i/>
          <w:color w:val="000000"/>
          <w:sz w:val="16"/>
          <w:szCs w:val="16"/>
          <w:shd w:val="clear" w:color="auto" w:fill="FFFFFF"/>
          <w:lang w:val="es-CR"/>
        </w:rPr>
        <w:t>Caso Masacres de El Mozote y lugares aledaños Vs. El Salvador. Supervisión de Cumplimiento de Sentencia.</w:t>
      </w:r>
      <w:r w:rsidRPr="00C15702">
        <w:rPr>
          <w:rStyle w:val="Textoennegrita"/>
          <w:rFonts w:ascii="Verdana" w:hAnsi="Verdana"/>
          <w:b w:val="0"/>
          <w:color w:val="000000"/>
          <w:sz w:val="16"/>
          <w:szCs w:val="16"/>
          <w:shd w:val="clear" w:color="auto" w:fill="FFFFFF"/>
          <w:lang w:val="es-CR"/>
        </w:rPr>
        <w:t xml:space="preserve"> Resolución de la Corte Interamericana de Derechos Humanos de 28 de noviembre de 2018, Considerando 10.</w:t>
      </w:r>
    </w:p>
  </w:footnote>
  <w:footnote w:id="41">
    <w:p w14:paraId="3FCC48DB" w14:textId="77777777" w:rsidR="0068032C" w:rsidRPr="00C21B37" w:rsidRDefault="0068032C" w:rsidP="00940D65">
      <w:pPr>
        <w:pStyle w:val="Textonotapie"/>
        <w:ind w:right="4"/>
        <w:jc w:val="both"/>
        <w:rPr>
          <w:rFonts w:ascii="Verdana" w:hAnsi="Verdana"/>
          <w:sz w:val="16"/>
          <w:szCs w:val="16"/>
          <w:lang w:val="es-ES"/>
        </w:rPr>
      </w:pPr>
      <w:r w:rsidRPr="00C21B37">
        <w:rPr>
          <w:rStyle w:val="Refdenotaalpie"/>
          <w:rFonts w:ascii="Verdana" w:hAnsi="Verdana"/>
          <w:sz w:val="16"/>
          <w:szCs w:val="16"/>
        </w:rPr>
        <w:footnoteRef/>
      </w:r>
      <w:r w:rsidRPr="00C21B37">
        <w:rPr>
          <w:rFonts w:ascii="Verdana" w:hAnsi="Verdana"/>
          <w:sz w:val="16"/>
          <w:szCs w:val="16"/>
          <w:lang w:val="es-CR"/>
        </w:rPr>
        <w:t xml:space="preserve"> </w:t>
      </w:r>
      <w:r w:rsidRPr="00C21B37">
        <w:rPr>
          <w:rFonts w:ascii="Verdana" w:hAnsi="Verdana"/>
          <w:sz w:val="16"/>
          <w:szCs w:val="16"/>
          <w:lang w:val="es-CR"/>
        </w:rPr>
        <w:tab/>
        <w:t xml:space="preserve">El Tribunal dispuso que “[l]a identificación específica de dicho territorio y sus límites deberá ser realizada por el Estado, en el plazo de un año a partir de la notificación de esta Sentencia, a través de los medios técnicos especializados para tal fin, con la participación de los líderes de la Comunidad y sus representantes libremente elegidos”. Asimismo, que “[u]na vez identificado plenamente el territorio tradicional de los miembros de la Comunidad, de la forma y en el plazo señalados […], de encontrarse éste en manos de particulares, sean éstos personas naturales o jurídicas, el Estado deberá, a través de sus autoridades competentes, decidir si procede la expropiación del territorio a favor de los indígenas”, para lo cual “las autoridades estatales deben seguir los estándares establecidos en [l]a Sentencia”. </w:t>
      </w:r>
    </w:p>
  </w:footnote>
  <w:footnote w:id="42">
    <w:p w14:paraId="1B13D01A" w14:textId="77777777" w:rsidR="0068032C" w:rsidRPr="00C21B37" w:rsidRDefault="0068032C" w:rsidP="001447B4">
      <w:pPr>
        <w:pStyle w:val="Textonotapie"/>
        <w:jc w:val="both"/>
        <w:rPr>
          <w:rFonts w:ascii="Verdana" w:hAnsi="Verdana"/>
          <w:sz w:val="16"/>
          <w:szCs w:val="16"/>
          <w:lang w:val="es-CR"/>
        </w:rPr>
      </w:pPr>
      <w:r w:rsidRPr="00C21B37">
        <w:rPr>
          <w:rStyle w:val="Refdenotaalpie"/>
          <w:rFonts w:ascii="Verdana" w:hAnsi="Verdana"/>
          <w:sz w:val="16"/>
          <w:szCs w:val="16"/>
        </w:rPr>
        <w:footnoteRef/>
      </w:r>
      <w:r w:rsidRPr="00C21B37">
        <w:rPr>
          <w:rFonts w:ascii="Verdana" w:hAnsi="Verdana"/>
          <w:sz w:val="16"/>
          <w:szCs w:val="16"/>
          <w:lang w:val="es-CR"/>
        </w:rPr>
        <w:t xml:space="preserve"> </w:t>
      </w:r>
      <w:r w:rsidRPr="00C21B37">
        <w:rPr>
          <w:rFonts w:ascii="Verdana" w:hAnsi="Verdana"/>
          <w:sz w:val="16"/>
          <w:szCs w:val="16"/>
          <w:lang w:val="es-CR"/>
        </w:rPr>
        <w:tab/>
      </w:r>
      <w:r w:rsidRPr="00C21B37">
        <w:rPr>
          <w:rFonts w:ascii="Verdana" w:hAnsi="Verdana"/>
          <w:bCs/>
          <w:sz w:val="16"/>
          <w:szCs w:val="16"/>
          <w:lang w:val="es-ES_tradnl"/>
        </w:rPr>
        <w:t xml:space="preserve">En ese sentido, el Tribunal señaló que “deberá asegurar que no se deforeste la zona, no se destruyan sitios culturalmente importantes para la Comunidad, no se transfieran las tierras, no se explote el territorio de forma tal que dañe irreparablemente la zona o los recursos naturales que en ella existan”. </w:t>
      </w:r>
    </w:p>
  </w:footnote>
  <w:footnote w:id="43">
    <w:p w14:paraId="6223476A" w14:textId="77777777" w:rsidR="0068032C" w:rsidRPr="00C21B37" w:rsidRDefault="0068032C" w:rsidP="00C21B37">
      <w:pPr>
        <w:pStyle w:val="Textonotapie"/>
        <w:rPr>
          <w:rFonts w:ascii="Verdana" w:hAnsi="Verdana"/>
          <w:sz w:val="16"/>
          <w:szCs w:val="16"/>
          <w:lang w:val="es-CR"/>
        </w:rPr>
      </w:pPr>
      <w:r w:rsidRPr="00C21B37">
        <w:rPr>
          <w:rStyle w:val="Refdenotaalpie"/>
          <w:rFonts w:ascii="Verdana" w:hAnsi="Verdana"/>
          <w:sz w:val="16"/>
          <w:szCs w:val="16"/>
        </w:rPr>
        <w:footnoteRef/>
      </w:r>
      <w:r w:rsidRPr="00C21B37">
        <w:rPr>
          <w:rFonts w:ascii="Verdana" w:hAnsi="Verdana"/>
          <w:sz w:val="16"/>
          <w:szCs w:val="16"/>
          <w:lang w:val="es-CR"/>
        </w:rPr>
        <w:t xml:space="preserve"> </w:t>
      </w:r>
      <w:r w:rsidRPr="00C21B37">
        <w:rPr>
          <w:rFonts w:ascii="Verdana" w:hAnsi="Verdana"/>
          <w:sz w:val="16"/>
          <w:szCs w:val="16"/>
          <w:lang w:val="es-CR"/>
        </w:rPr>
        <w:tab/>
        <w:t>Considerandos 34 a 36.</w:t>
      </w:r>
    </w:p>
  </w:footnote>
  <w:footnote w:id="44">
    <w:p w14:paraId="7E77A2C4" w14:textId="77777777" w:rsidR="0068032C" w:rsidRPr="00C21B37" w:rsidRDefault="0068032C">
      <w:pPr>
        <w:pStyle w:val="Textonotapie"/>
        <w:rPr>
          <w:lang w:val="es-CR"/>
        </w:rPr>
      </w:pPr>
      <w:r w:rsidRPr="00C21B37">
        <w:rPr>
          <w:rStyle w:val="Refdenotaalpie"/>
          <w:rFonts w:ascii="Verdana" w:hAnsi="Verdana"/>
          <w:sz w:val="16"/>
          <w:szCs w:val="16"/>
        </w:rPr>
        <w:footnoteRef/>
      </w:r>
      <w:r w:rsidRPr="00C21B37">
        <w:rPr>
          <w:rFonts w:ascii="Verdana" w:hAnsi="Verdana"/>
          <w:sz w:val="16"/>
          <w:szCs w:val="16"/>
          <w:lang w:val="es-CR"/>
        </w:rPr>
        <w:t xml:space="preserve"> </w:t>
      </w:r>
      <w:r w:rsidRPr="00C21B37">
        <w:rPr>
          <w:rFonts w:ascii="Verdana" w:hAnsi="Verdana"/>
          <w:sz w:val="16"/>
          <w:szCs w:val="16"/>
          <w:lang w:val="es-CR"/>
        </w:rPr>
        <w:tab/>
        <w:t>Considerando 10.</w:t>
      </w:r>
    </w:p>
  </w:footnote>
  <w:footnote w:id="45">
    <w:p w14:paraId="4EAC43AC" w14:textId="77777777" w:rsidR="0068032C" w:rsidRPr="00664B07" w:rsidRDefault="0068032C" w:rsidP="00664B07">
      <w:pPr>
        <w:pStyle w:val="Textonotapie"/>
        <w:jc w:val="both"/>
        <w:rPr>
          <w:rFonts w:ascii="Verdana" w:hAnsi="Verdana"/>
          <w:sz w:val="16"/>
          <w:szCs w:val="16"/>
          <w:lang w:val="es-CR"/>
        </w:rPr>
      </w:pPr>
      <w:r w:rsidRPr="00664B07">
        <w:rPr>
          <w:rStyle w:val="Refdenotaalpie"/>
          <w:rFonts w:ascii="Verdana" w:hAnsi="Verdana"/>
          <w:sz w:val="16"/>
          <w:szCs w:val="16"/>
        </w:rPr>
        <w:footnoteRef/>
      </w:r>
      <w:r w:rsidRPr="00664B07">
        <w:rPr>
          <w:rFonts w:ascii="Verdana" w:hAnsi="Verdana"/>
          <w:sz w:val="16"/>
          <w:szCs w:val="16"/>
          <w:lang w:val="es-CR"/>
        </w:rPr>
        <w:t xml:space="preserve"> </w:t>
      </w:r>
      <w:r w:rsidRPr="00664B07">
        <w:rPr>
          <w:rFonts w:ascii="Verdana" w:hAnsi="Verdana"/>
          <w:sz w:val="16"/>
          <w:szCs w:val="16"/>
          <w:lang w:val="es-CR"/>
        </w:rPr>
        <w:tab/>
        <w:t>Considerandos 47 a 50.</w:t>
      </w:r>
    </w:p>
  </w:footnote>
  <w:footnote w:id="46">
    <w:p w14:paraId="41ACEABC" w14:textId="77777777" w:rsidR="0068032C" w:rsidRPr="00664B07" w:rsidRDefault="0068032C" w:rsidP="00664B07">
      <w:pPr>
        <w:pStyle w:val="Textonotapie"/>
        <w:jc w:val="both"/>
        <w:rPr>
          <w:rFonts w:ascii="Verdana" w:hAnsi="Verdana"/>
          <w:sz w:val="16"/>
          <w:szCs w:val="16"/>
          <w:lang w:val="es-CR"/>
        </w:rPr>
      </w:pPr>
      <w:r w:rsidRPr="00664B07">
        <w:rPr>
          <w:rStyle w:val="Refdenotaalpie"/>
          <w:rFonts w:ascii="Verdana" w:hAnsi="Verdana"/>
          <w:sz w:val="16"/>
          <w:szCs w:val="16"/>
        </w:rPr>
        <w:footnoteRef/>
      </w:r>
      <w:r w:rsidRPr="00664B07">
        <w:rPr>
          <w:rFonts w:ascii="Verdana" w:hAnsi="Verdana"/>
          <w:sz w:val="16"/>
          <w:szCs w:val="16"/>
          <w:lang w:val="es-CR"/>
        </w:rPr>
        <w:t xml:space="preserve"> </w:t>
      </w:r>
      <w:r w:rsidRPr="00664B07">
        <w:rPr>
          <w:rFonts w:ascii="Verdana" w:hAnsi="Verdana"/>
          <w:sz w:val="16"/>
          <w:szCs w:val="16"/>
          <w:lang w:val="es-CR"/>
        </w:rPr>
        <w:tab/>
        <w:t>Considerandos 37 y 38.</w:t>
      </w:r>
    </w:p>
  </w:footnote>
  <w:footnote w:id="47">
    <w:p w14:paraId="21B6128E" w14:textId="77777777" w:rsidR="0068032C" w:rsidRPr="009E0A49" w:rsidRDefault="0068032C" w:rsidP="00664B07">
      <w:pPr>
        <w:pStyle w:val="Textonotapie"/>
        <w:jc w:val="both"/>
        <w:rPr>
          <w:lang w:val="es-CR"/>
        </w:rPr>
      </w:pPr>
      <w:r w:rsidRPr="00664B07">
        <w:rPr>
          <w:rStyle w:val="Refdenotaalpie"/>
          <w:rFonts w:ascii="Verdana" w:hAnsi="Verdana"/>
          <w:sz w:val="16"/>
          <w:szCs w:val="16"/>
        </w:rPr>
        <w:footnoteRef/>
      </w:r>
      <w:r w:rsidRPr="00664B07">
        <w:rPr>
          <w:rFonts w:ascii="Verdana" w:hAnsi="Verdana"/>
          <w:sz w:val="16"/>
          <w:szCs w:val="16"/>
          <w:lang w:val="es-CR"/>
        </w:rPr>
        <w:t xml:space="preserve"> </w:t>
      </w:r>
      <w:r w:rsidRPr="00664B07">
        <w:rPr>
          <w:rFonts w:ascii="Verdana" w:hAnsi="Verdana"/>
          <w:sz w:val="16"/>
          <w:szCs w:val="16"/>
          <w:lang w:val="es-CR"/>
        </w:rPr>
        <w:tab/>
        <w:t>También</w:t>
      </w:r>
      <w:r>
        <w:rPr>
          <w:rFonts w:ascii="Verdana" w:hAnsi="Verdana"/>
          <w:sz w:val="16"/>
          <w:szCs w:val="16"/>
          <w:lang w:val="es-CR"/>
        </w:rPr>
        <w:t xml:space="preserve"> se</w:t>
      </w:r>
      <w:r w:rsidRPr="00664B07">
        <w:rPr>
          <w:rFonts w:ascii="Verdana" w:hAnsi="Verdana"/>
          <w:sz w:val="16"/>
          <w:szCs w:val="16"/>
          <w:lang w:val="es-CR"/>
        </w:rPr>
        <w:t xml:space="preserve"> le requirió </w:t>
      </w:r>
      <w:r>
        <w:rPr>
          <w:rFonts w:ascii="Verdana" w:hAnsi="Verdana"/>
          <w:sz w:val="16"/>
          <w:szCs w:val="16"/>
          <w:lang w:val="es-CR"/>
        </w:rPr>
        <w:t xml:space="preserve">que </w:t>
      </w:r>
      <w:r w:rsidRPr="00664B07">
        <w:rPr>
          <w:rFonts w:ascii="Verdana" w:hAnsi="Verdana"/>
          <w:sz w:val="16"/>
          <w:szCs w:val="16"/>
          <w:lang w:val="es-CR"/>
        </w:rPr>
        <w:t>“</w:t>
      </w:r>
      <w:r w:rsidRPr="00664B07">
        <w:rPr>
          <w:rFonts w:ascii="Verdana" w:eastAsiaTheme="minorHAnsi" w:hAnsi="Verdana" w:cs="Verdana"/>
          <w:sz w:val="16"/>
          <w:szCs w:val="16"/>
          <w:lang w:val="es-ES_tradnl"/>
        </w:rPr>
        <w:t>brinde una explicación con respecto a lo afirmado por los representantes respecto a la destrucción del cementerio de la comunidad”.</w:t>
      </w:r>
      <w:r w:rsidRPr="009E0A49">
        <w:rPr>
          <w:rFonts w:ascii="Verdana" w:hAnsi="Verdana"/>
          <w:sz w:val="16"/>
          <w:szCs w:val="16"/>
          <w:lang w:val="es-CR"/>
        </w:rPr>
        <w:t xml:space="preserve"> </w:t>
      </w:r>
    </w:p>
  </w:footnote>
  <w:footnote w:id="48">
    <w:p w14:paraId="60F28669" w14:textId="77777777" w:rsidR="0068032C" w:rsidRPr="005E780D" w:rsidRDefault="0068032C" w:rsidP="005515A8">
      <w:pPr>
        <w:pStyle w:val="Textonotapie"/>
        <w:jc w:val="both"/>
        <w:rPr>
          <w:rFonts w:ascii="Verdana" w:hAnsi="Verdana"/>
          <w:color w:val="FF0000"/>
          <w:sz w:val="16"/>
          <w:szCs w:val="16"/>
          <w:lang w:val="es-CR"/>
        </w:rPr>
      </w:pPr>
      <w:r w:rsidRPr="005515A8">
        <w:rPr>
          <w:rStyle w:val="Refdenotaalpie"/>
          <w:rFonts w:ascii="Verdana" w:hAnsi="Verdana"/>
          <w:sz w:val="16"/>
          <w:szCs w:val="16"/>
        </w:rPr>
        <w:footnoteRef/>
      </w:r>
      <w:r w:rsidRPr="005515A8">
        <w:rPr>
          <w:rFonts w:ascii="Verdana" w:hAnsi="Verdana"/>
          <w:sz w:val="16"/>
          <w:szCs w:val="16"/>
          <w:lang w:val="es-CR"/>
        </w:rPr>
        <w:t xml:space="preserve"> </w:t>
      </w:r>
      <w:r w:rsidRPr="005515A8">
        <w:rPr>
          <w:rFonts w:ascii="Verdana" w:hAnsi="Verdana"/>
          <w:sz w:val="16"/>
          <w:szCs w:val="16"/>
          <w:lang w:val="es-CR"/>
        </w:rPr>
        <w:tab/>
      </w:r>
      <w:r w:rsidRPr="005515A8">
        <w:rPr>
          <w:rFonts w:ascii="Verdana" w:hAnsi="Verdana"/>
          <w:i/>
          <w:sz w:val="16"/>
          <w:szCs w:val="16"/>
          <w:lang w:val="es-CR"/>
        </w:rPr>
        <w:t>Cfr.</w:t>
      </w:r>
      <w:r w:rsidRPr="005515A8">
        <w:rPr>
          <w:rFonts w:ascii="Verdana" w:hAnsi="Verdana"/>
          <w:sz w:val="16"/>
          <w:szCs w:val="16"/>
          <w:lang w:val="es-CR"/>
        </w:rPr>
        <w:t xml:space="preserve"> Oficio INDI/N°/291/2018 de 1 de agosto de 2018, remitido por el Presidente del INDI a la Escribana Mayor, Escribanía Mayor de Gobierno (</w:t>
      </w:r>
      <w:r>
        <w:rPr>
          <w:rFonts w:ascii="Verdana" w:hAnsi="Verdana"/>
          <w:sz w:val="16"/>
          <w:szCs w:val="16"/>
          <w:lang w:val="es-CR"/>
        </w:rPr>
        <w:t>A</w:t>
      </w:r>
      <w:r w:rsidRPr="005515A8">
        <w:rPr>
          <w:rFonts w:ascii="Verdana" w:hAnsi="Verdana"/>
          <w:sz w:val="16"/>
          <w:szCs w:val="16"/>
          <w:lang w:val="es-CR"/>
        </w:rPr>
        <w:t xml:space="preserve">nexo al informe </w:t>
      </w:r>
      <w:r>
        <w:rPr>
          <w:rFonts w:ascii="Verdana" w:hAnsi="Verdana"/>
          <w:sz w:val="16"/>
          <w:szCs w:val="16"/>
          <w:lang w:val="es-CR"/>
        </w:rPr>
        <w:t>presentado por el Estado el 17 de</w:t>
      </w:r>
      <w:r w:rsidRPr="005515A8">
        <w:rPr>
          <w:rFonts w:ascii="Verdana" w:hAnsi="Verdana"/>
          <w:sz w:val="16"/>
          <w:szCs w:val="16"/>
          <w:lang w:val="es-CR"/>
        </w:rPr>
        <w:t xml:space="preserve"> septiembre de 2018). </w:t>
      </w:r>
    </w:p>
  </w:footnote>
  <w:footnote w:id="49">
    <w:p w14:paraId="531B4628" w14:textId="77777777" w:rsidR="0068032C" w:rsidRPr="0028502E" w:rsidRDefault="0068032C" w:rsidP="00473362">
      <w:pPr>
        <w:pStyle w:val="Textonotapie"/>
        <w:jc w:val="both"/>
        <w:rPr>
          <w:rFonts w:ascii="Verdana" w:hAnsi="Verdana"/>
          <w:sz w:val="16"/>
          <w:szCs w:val="16"/>
          <w:lang w:val="es-CR"/>
        </w:rPr>
      </w:pPr>
      <w:r w:rsidRPr="0028502E">
        <w:rPr>
          <w:rStyle w:val="Refdenotaalpie"/>
          <w:rFonts w:ascii="Verdana" w:hAnsi="Verdana"/>
          <w:sz w:val="16"/>
          <w:szCs w:val="16"/>
        </w:rPr>
        <w:footnoteRef/>
      </w:r>
      <w:r w:rsidRPr="0028502E">
        <w:rPr>
          <w:rFonts w:ascii="Verdana" w:hAnsi="Verdana"/>
          <w:sz w:val="16"/>
          <w:szCs w:val="16"/>
          <w:lang w:val="es-CR"/>
        </w:rPr>
        <w:t xml:space="preserve"> </w:t>
      </w:r>
      <w:r w:rsidRPr="0028502E">
        <w:rPr>
          <w:rFonts w:ascii="Verdana" w:hAnsi="Verdana"/>
          <w:sz w:val="16"/>
          <w:szCs w:val="16"/>
          <w:lang w:val="es-CR"/>
        </w:rPr>
        <w:tab/>
        <w:t>De acuerdo al párrafo 288 de la Sentencia la cantidad debe ser pagada “a los líderes de la Comunidad, en representación de sus miembros”.</w:t>
      </w:r>
    </w:p>
  </w:footnote>
  <w:footnote w:id="50">
    <w:p w14:paraId="585F4878" w14:textId="77777777" w:rsidR="0068032C" w:rsidRPr="000B0A40" w:rsidRDefault="0068032C" w:rsidP="00473362">
      <w:pPr>
        <w:pStyle w:val="Textonotapie"/>
        <w:jc w:val="both"/>
        <w:rPr>
          <w:rFonts w:ascii="Verdana" w:hAnsi="Verdana"/>
          <w:sz w:val="16"/>
          <w:szCs w:val="16"/>
          <w:lang w:val="es-CR"/>
        </w:rPr>
      </w:pPr>
      <w:r w:rsidRPr="0028502E">
        <w:rPr>
          <w:rStyle w:val="Refdenotaalpie"/>
          <w:rFonts w:ascii="Verdana" w:hAnsi="Verdana"/>
          <w:sz w:val="16"/>
          <w:szCs w:val="16"/>
        </w:rPr>
        <w:footnoteRef/>
      </w:r>
      <w:r w:rsidRPr="0028502E">
        <w:rPr>
          <w:rFonts w:ascii="Verdana" w:hAnsi="Verdana"/>
          <w:sz w:val="16"/>
          <w:szCs w:val="16"/>
          <w:lang w:val="es-CR"/>
        </w:rPr>
        <w:t xml:space="preserve"> </w:t>
      </w:r>
      <w:r w:rsidRPr="0028502E">
        <w:rPr>
          <w:rFonts w:ascii="Verdana" w:hAnsi="Verdana"/>
          <w:sz w:val="16"/>
          <w:szCs w:val="16"/>
          <w:lang w:val="es-CR"/>
        </w:rPr>
        <w:tab/>
      </w:r>
      <w:r w:rsidRPr="0028502E">
        <w:rPr>
          <w:rFonts w:ascii="Verdana" w:hAnsi="Verdana"/>
          <w:bCs/>
          <w:sz w:val="16"/>
          <w:szCs w:val="16"/>
          <w:lang w:val="es-CR"/>
        </w:rPr>
        <w:t>La Corte fijó esa reparación “como una indemnización para las víctimas por el incumplimiento de los plazos fijados en [la] Sentencia y los correlativos daños materiales e inmateriales que ello comportaría”.</w:t>
      </w:r>
    </w:p>
  </w:footnote>
  <w:footnote w:id="51">
    <w:p w14:paraId="5A6BF890" w14:textId="77777777" w:rsidR="0068032C" w:rsidRPr="000B0A40" w:rsidRDefault="0068032C" w:rsidP="000B0A40">
      <w:pPr>
        <w:pStyle w:val="Textonotapie"/>
        <w:jc w:val="both"/>
        <w:rPr>
          <w:lang w:val="es-CR"/>
        </w:rPr>
      </w:pPr>
      <w:r w:rsidRPr="000B0A40">
        <w:rPr>
          <w:rStyle w:val="Refdenotaalpie"/>
          <w:rFonts w:ascii="Verdana" w:hAnsi="Verdana"/>
          <w:sz w:val="16"/>
          <w:szCs w:val="16"/>
        </w:rPr>
        <w:footnoteRef/>
      </w:r>
      <w:r w:rsidRPr="000B0A40">
        <w:rPr>
          <w:rFonts w:ascii="Verdana" w:hAnsi="Verdana"/>
          <w:sz w:val="16"/>
          <w:szCs w:val="16"/>
          <w:lang w:val="es-CR"/>
        </w:rPr>
        <w:t xml:space="preserve"> </w:t>
      </w:r>
      <w:r w:rsidRPr="000B0A40">
        <w:rPr>
          <w:rFonts w:ascii="Verdana" w:hAnsi="Verdana"/>
          <w:sz w:val="16"/>
          <w:szCs w:val="16"/>
          <w:lang w:val="es-CR"/>
        </w:rPr>
        <w:tab/>
        <w:t>Los representantes de las víctimas hicieron notar que los informes del Estado “no hace[n] mención a la indemnización por mora que est</w:t>
      </w:r>
      <w:r>
        <w:rPr>
          <w:rFonts w:ascii="Verdana" w:hAnsi="Verdana"/>
          <w:sz w:val="16"/>
          <w:szCs w:val="16"/>
          <w:lang w:val="es-CR"/>
        </w:rPr>
        <w:t xml:space="preserve">á debiendo a la comunidad desde septiembre de 2014, ni tampoco se ha referido a ello con ocasión de la visita de la Corte IDH a Paraguay”. Además, indicaron que “corresponde actualizar el monto a la fecha”. </w:t>
      </w:r>
    </w:p>
  </w:footnote>
  <w:footnote w:id="52">
    <w:p w14:paraId="7B2B8566" w14:textId="77777777" w:rsidR="0068032C" w:rsidRPr="001B2C9A" w:rsidRDefault="0068032C">
      <w:pPr>
        <w:pStyle w:val="Textonotapie"/>
        <w:rPr>
          <w:rFonts w:ascii="Verdana" w:hAnsi="Verdana"/>
          <w:sz w:val="16"/>
          <w:szCs w:val="16"/>
          <w:lang w:val="es-CR"/>
        </w:rPr>
      </w:pPr>
      <w:r w:rsidRPr="001B2C9A">
        <w:rPr>
          <w:rStyle w:val="Refdenotaalpie"/>
          <w:rFonts w:ascii="Verdana" w:hAnsi="Verdana"/>
          <w:sz w:val="16"/>
          <w:szCs w:val="16"/>
        </w:rPr>
        <w:footnoteRef/>
      </w:r>
      <w:r w:rsidRPr="001B2C9A">
        <w:rPr>
          <w:rFonts w:ascii="Verdana" w:hAnsi="Verdana"/>
          <w:sz w:val="16"/>
          <w:szCs w:val="16"/>
          <w:lang w:val="es-CR"/>
        </w:rPr>
        <w:t xml:space="preserve"> </w:t>
      </w:r>
      <w:r w:rsidRPr="001B2C9A">
        <w:rPr>
          <w:rFonts w:ascii="Verdana" w:hAnsi="Verdana"/>
          <w:sz w:val="16"/>
          <w:szCs w:val="16"/>
          <w:lang w:val="es-CR"/>
        </w:rPr>
        <w:tab/>
        <w:t>Considerando 37</w:t>
      </w:r>
      <w:r w:rsidR="003D42E3" w:rsidRPr="001B2C9A">
        <w:rPr>
          <w:rFonts w:ascii="Verdana" w:hAnsi="Verdana"/>
          <w:sz w:val="16"/>
          <w:szCs w:val="16"/>
          <w:lang w:val="es-CR"/>
        </w:rPr>
        <w:t>.</w:t>
      </w:r>
    </w:p>
  </w:footnote>
  <w:footnote w:id="53">
    <w:p w14:paraId="4FA99922" w14:textId="77777777" w:rsidR="0068032C" w:rsidRPr="007E2962" w:rsidRDefault="0068032C" w:rsidP="007E2962">
      <w:pPr>
        <w:pStyle w:val="Textonotapie"/>
        <w:jc w:val="both"/>
        <w:rPr>
          <w:rFonts w:ascii="Verdana" w:hAnsi="Verdana"/>
          <w:sz w:val="16"/>
          <w:szCs w:val="16"/>
          <w:lang w:val="es-CR"/>
        </w:rPr>
      </w:pPr>
      <w:r w:rsidRPr="003D42E3">
        <w:rPr>
          <w:rStyle w:val="Refdenotaalpie"/>
          <w:rFonts w:ascii="Verdana" w:hAnsi="Verdana"/>
          <w:sz w:val="16"/>
          <w:szCs w:val="16"/>
        </w:rPr>
        <w:footnoteRef/>
      </w:r>
      <w:r w:rsidRPr="003D42E3">
        <w:rPr>
          <w:rFonts w:ascii="Verdana" w:hAnsi="Verdana"/>
          <w:sz w:val="16"/>
          <w:szCs w:val="16"/>
          <w:lang w:val="es-CR"/>
        </w:rPr>
        <w:t xml:space="preserve"> </w:t>
      </w:r>
      <w:r w:rsidRPr="003D42E3">
        <w:rPr>
          <w:rFonts w:ascii="Verdana" w:hAnsi="Verdana"/>
          <w:sz w:val="16"/>
          <w:szCs w:val="16"/>
          <w:lang w:val="es-CR"/>
        </w:rPr>
        <w:tab/>
        <w:t xml:space="preserve">Además, </w:t>
      </w:r>
      <w:r w:rsidRPr="003D42E3">
        <w:rPr>
          <w:rFonts w:ascii="Verdana" w:hAnsi="Verdana"/>
          <w:bCs/>
          <w:sz w:val="16"/>
          <w:szCs w:val="16"/>
          <w:lang w:val="es-CR"/>
        </w:rPr>
        <w:t>sostuvieron que “[e]sta inacción [del Estado] implicó demora para el inicio de las tratativas de compra de las tierras”.</w:t>
      </w:r>
      <w:r w:rsidRPr="00FE560F">
        <w:rPr>
          <w:rFonts w:ascii="Verdana" w:hAnsi="Verdana"/>
          <w:bCs/>
          <w:sz w:val="16"/>
          <w:szCs w:val="16"/>
          <w:lang w:val="es-CR"/>
        </w:rPr>
        <w:t xml:space="preserve"> </w:t>
      </w:r>
    </w:p>
  </w:footnote>
  <w:footnote w:id="54">
    <w:p w14:paraId="38648997" w14:textId="77777777" w:rsidR="00FE560F" w:rsidRPr="00E467AF" w:rsidRDefault="00FE560F" w:rsidP="00FE560F">
      <w:pPr>
        <w:pStyle w:val="Textonotapie"/>
        <w:tabs>
          <w:tab w:val="left" w:pos="426"/>
        </w:tabs>
        <w:jc w:val="both"/>
        <w:rPr>
          <w:rFonts w:ascii="Verdana" w:hAnsi="Verdana"/>
          <w:b/>
          <w:sz w:val="16"/>
          <w:szCs w:val="16"/>
          <w:lang w:val="es-CR"/>
        </w:rPr>
      </w:pPr>
      <w:r w:rsidRPr="00E467AF">
        <w:rPr>
          <w:rStyle w:val="Refdenotaalpie"/>
          <w:rFonts w:ascii="Verdana" w:hAnsi="Verdana"/>
          <w:sz w:val="16"/>
          <w:szCs w:val="16"/>
        </w:rPr>
        <w:footnoteRef/>
      </w:r>
      <w:r w:rsidRPr="00E467AF">
        <w:rPr>
          <w:rFonts w:ascii="Verdana" w:hAnsi="Verdana"/>
          <w:sz w:val="16"/>
          <w:szCs w:val="16"/>
          <w:lang w:val="es-CR"/>
        </w:rPr>
        <w:t xml:space="preserve"> </w:t>
      </w:r>
      <w:r w:rsidRPr="00E467AF">
        <w:rPr>
          <w:rFonts w:ascii="Verdana" w:hAnsi="Verdana"/>
          <w:sz w:val="16"/>
          <w:szCs w:val="16"/>
          <w:lang w:val="es-CR"/>
        </w:rPr>
        <w:tab/>
      </w:r>
      <w:r w:rsidRPr="00E467AF">
        <w:rPr>
          <w:rFonts w:ascii="Verdana" w:hAnsi="Verdana"/>
          <w:i/>
          <w:sz w:val="16"/>
          <w:szCs w:val="16"/>
          <w:lang w:val="es-CR"/>
        </w:rPr>
        <w:t xml:space="preserve">Cfr. </w:t>
      </w:r>
      <w:r w:rsidRPr="00E467AF">
        <w:rPr>
          <w:rFonts w:ascii="Verdana" w:hAnsi="Verdana"/>
          <w:sz w:val="16"/>
          <w:szCs w:val="16"/>
          <w:lang w:val="es-CR"/>
        </w:rPr>
        <w:t>Resolución No. 560 del Ministerio del Interior de 23 de noviembre de 2017 (</w:t>
      </w:r>
      <w:r>
        <w:rPr>
          <w:rFonts w:ascii="Verdana" w:hAnsi="Verdana"/>
          <w:sz w:val="16"/>
          <w:szCs w:val="16"/>
          <w:lang w:val="es-CR"/>
        </w:rPr>
        <w:t>A</w:t>
      </w:r>
      <w:r w:rsidRPr="00E467AF">
        <w:rPr>
          <w:rFonts w:ascii="Verdana" w:hAnsi="Verdana"/>
          <w:sz w:val="16"/>
          <w:szCs w:val="16"/>
          <w:lang w:val="es-CR"/>
        </w:rPr>
        <w:t xml:space="preserve">nexo al informe </w:t>
      </w:r>
      <w:r>
        <w:rPr>
          <w:rFonts w:ascii="Verdana" w:hAnsi="Verdana"/>
          <w:sz w:val="16"/>
          <w:szCs w:val="16"/>
          <w:lang w:val="es-CR"/>
        </w:rPr>
        <w:t>presentado por el Estado el 17</w:t>
      </w:r>
      <w:r w:rsidRPr="00E467AF">
        <w:rPr>
          <w:rFonts w:ascii="Verdana" w:hAnsi="Verdana"/>
          <w:sz w:val="16"/>
          <w:szCs w:val="16"/>
          <w:lang w:val="es-CR"/>
        </w:rPr>
        <w:t xml:space="preserve"> de enero de 2018). </w:t>
      </w:r>
    </w:p>
  </w:footnote>
  <w:footnote w:id="55">
    <w:p w14:paraId="03FF3057" w14:textId="77777777" w:rsidR="00832D76" w:rsidRPr="00832D76" w:rsidRDefault="00832D76" w:rsidP="00832D76">
      <w:pPr>
        <w:pStyle w:val="Textonotapie"/>
        <w:jc w:val="both"/>
        <w:rPr>
          <w:rFonts w:ascii="Verdana" w:hAnsi="Verdana"/>
          <w:sz w:val="16"/>
          <w:szCs w:val="16"/>
          <w:lang w:val="es-CR"/>
        </w:rPr>
      </w:pPr>
      <w:r w:rsidRPr="00832D76">
        <w:rPr>
          <w:rStyle w:val="Refdenotaalpie"/>
          <w:rFonts w:ascii="Verdana" w:hAnsi="Verdana"/>
          <w:sz w:val="16"/>
          <w:szCs w:val="16"/>
        </w:rPr>
        <w:footnoteRef/>
      </w:r>
      <w:r w:rsidRPr="00832D76">
        <w:rPr>
          <w:rFonts w:ascii="Verdana" w:hAnsi="Verdana"/>
          <w:sz w:val="16"/>
          <w:szCs w:val="16"/>
          <w:lang w:val="es-CR"/>
        </w:rPr>
        <w:t xml:space="preserve"> </w:t>
      </w:r>
      <w:r w:rsidRPr="00832D76">
        <w:rPr>
          <w:rFonts w:ascii="Verdana" w:hAnsi="Verdana"/>
          <w:sz w:val="16"/>
          <w:szCs w:val="16"/>
          <w:lang w:val="es-CR"/>
        </w:rPr>
        <w:tab/>
        <w:t xml:space="preserve">Además, </w:t>
      </w:r>
      <w:r w:rsidRPr="00832D76">
        <w:rPr>
          <w:rFonts w:ascii="Verdana" w:hAnsi="Verdana"/>
          <w:sz w:val="16"/>
          <w:szCs w:val="16"/>
          <w:lang w:val="es-MX"/>
        </w:rPr>
        <w:t>se indicó que “[s]i el Estado y las víctimas no hubieren llegado a un acuerdo respecto de la integración del comité de implementación en el plazo antes señalado, la Corte decidirá”.</w:t>
      </w:r>
    </w:p>
  </w:footnote>
  <w:footnote w:id="56">
    <w:p w14:paraId="6FEE1BD8" w14:textId="77777777" w:rsidR="007B0982" w:rsidRPr="00697E7E" w:rsidRDefault="007B0982" w:rsidP="007B0982">
      <w:pPr>
        <w:pStyle w:val="Textonotapie"/>
        <w:tabs>
          <w:tab w:val="left" w:pos="426"/>
        </w:tabs>
        <w:jc w:val="both"/>
        <w:rPr>
          <w:rFonts w:ascii="Verdana" w:hAnsi="Verdana"/>
          <w:sz w:val="16"/>
          <w:szCs w:val="16"/>
          <w:lang w:val="es-CR"/>
        </w:rPr>
      </w:pPr>
      <w:r w:rsidRPr="00697E7E">
        <w:rPr>
          <w:rStyle w:val="Refdenotaalpie"/>
          <w:rFonts w:ascii="Verdana" w:hAnsi="Verdana"/>
          <w:sz w:val="16"/>
          <w:szCs w:val="16"/>
        </w:rPr>
        <w:footnoteRef/>
      </w:r>
      <w:r w:rsidRPr="00697E7E">
        <w:rPr>
          <w:rFonts w:ascii="Verdana" w:hAnsi="Verdana"/>
          <w:sz w:val="16"/>
          <w:szCs w:val="16"/>
          <w:lang w:val="es-CR"/>
        </w:rPr>
        <w:t xml:space="preserve"> </w:t>
      </w:r>
      <w:r w:rsidRPr="00697E7E">
        <w:rPr>
          <w:rFonts w:ascii="Verdana" w:hAnsi="Verdana"/>
          <w:sz w:val="16"/>
          <w:szCs w:val="16"/>
          <w:lang w:val="es-CR"/>
        </w:rPr>
        <w:tab/>
        <w:t>Considerando 15.</w:t>
      </w:r>
    </w:p>
  </w:footnote>
  <w:footnote w:id="57">
    <w:p w14:paraId="1CAF2E0C" w14:textId="77777777" w:rsidR="00F943BE" w:rsidRPr="00697E7E" w:rsidRDefault="00F943BE" w:rsidP="00F943BE">
      <w:pPr>
        <w:pStyle w:val="Textonotapie"/>
        <w:tabs>
          <w:tab w:val="left" w:pos="426"/>
        </w:tabs>
        <w:jc w:val="both"/>
        <w:rPr>
          <w:rFonts w:ascii="Verdana" w:hAnsi="Verdana"/>
          <w:sz w:val="16"/>
          <w:szCs w:val="16"/>
          <w:lang w:val="es-CR"/>
        </w:rPr>
      </w:pPr>
      <w:r w:rsidRPr="00697E7E">
        <w:rPr>
          <w:rStyle w:val="Refdenotaalpie"/>
          <w:rFonts w:ascii="Verdana" w:hAnsi="Verdana"/>
          <w:sz w:val="16"/>
          <w:szCs w:val="16"/>
        </w:rPr>
        <w:footnoteRef/>
      </w:r>
      <w:r w:rsidRPr="00697E7E">
        <w:rPr>
          <w:rFonts w:ascii="Verdana" w:hAnsi="Verdana"/>
          <w:sz w:val="16"/>
          <w:szCs w:val="16"/>
          <w:lang w:val="es-CR"/>
        </w:rPr>
        <w:t xml:space="preserve"> </w:t>
      </w:r>
      <w:r w:rsidRPr="00697E7E">
        <w:rPr>
          <w:rFonts w:ascii="Verdana" w:hAnsi="Verdana"/>
          <w:sz w:val="16"/>
          <w:szCs w:val="16"/>
          <w:lang w:val="es-CR"/>
        </w:rPr>
        <w:tab/>
      </w:r>
      <w:r>
        <w:rPr>
          <w:rFonts w:ascii="Verdana" w:hAnsi="Verdana"/>
          <w:sz w:val="16"/>
          <w:szCs w:val="16"/>
          <w:lang w:val="es-CR"/>
        </w:rPr>
        <w:t>Posteriormente, e</w:t>
      </w:r>
      <w:r w:rsidRPr="00697E7E">
        <w:rPr>
          <w:rFonts w:ascii="Verdana" w:hAnsi="Verdana"/>
          <w:sz w:val="16"/>
          <w:szCs w:val="16"/>
          <w:lang w:val="es-CR"/>
        </w:rPr>
        <w:t>n su informe de enero de 2018, sostuvo que “el INDI ha</w:t>
      </w:r>
      <w:r>
        <w:rPr>
          <w:rFonts w:ascii="Verdana" w:hAnsi="Verdana"/>
          <w:sz w:val="16"/>
          <w:szCs w:val="16"/>
          <w:lang w:val="es-CR"/>
        </w:rPr>
        <w:t>[bía]</w:t>
      </w:r>
      <w:r w:rsidRPr="00697E7E">
        <w:rPr>
          <w:rFonts w:ascii="Verdana" w:hAnsi="Verdana"/>
          <w:sz w:val="16"/>
          <w:szCs w:val="16"/>
          <w:lang w:val="es-CR"/>
        </w:rPr>
        <w:t xml:space="preserve"> iniciado el estudio técnico requerido para la reprogramación presupuestaria para ser incluido en el presupuesto del ejercicio 2018”, “con el fin de poder asignar los fondos requeridos por la</w:t>
      </w:r>
      <w:r>
        <w:rPr>
          <w:rFonts w:ascii="Verdana" w:hAnsi="Verdana"/>
          <w:sz w:val="16"/>
          <w:szCs w:val="16"/>
          <w:lang w:val="es-CR"/>
        </w:rPr>
        <w:t>[s]</w:t>
      </w:r>
      <w:r w:rsidRPr="00697E7E">
        <w:rPr>
          <w:rFonts w:ascii="Verdana" w:hAnsi="Verdana"/>
          <w:sz w:val="16"/>
          <w:szCs w:val="16"/>
          <w:lang w:val="es-CR"/>
        </w:rPr>
        <w:t xml:space="preserve"> Sentencia</w:t>
      </w:r>
      <w:r>
        <w:rPr>
          <w:rFonts w:ascii="Verdana" w:hAnsi="Verdana"/>
          <w:sz w:val="16"/>
          <w:szCs w:val="16"/>
          <w:lang w:val="es-CR"/>
        </w:rPr>
        <w:t>[s]</w:t>
      </w:r>
      <w:r w:rsidRPr="00697E7E">
        <w:rPr>
          <w:rFonts w:ascii="Verdana" w:hAnsi="Verdana"/>
          <w:sz w:val="16"/>
          <w:szCs w:val="16"/>
          <w:lang w:val="es-CR"/>
        </w:rPr>
        <w:t xml:space="preserve"> de la Corte IDH</w:t>
      </w:r>
      <w:r>
        <w:rPr>
          <w:rFonts w:ascii="Verdana" w:hAnsi="Verdana"/>
          <w:sz w:val="16"/>
          <w:szCs w:val="16"/>
          <w:lang w:val="es-CR"/>
        </w:rPr>
        <w:t>”</w:t>
      </w:r>
      <w:r w:rsidRPr="00697E7E">
        <w:rPr>
          <w:rFonts w:ascii="Verdana" w:hAnsi="Verdana"/>
          <w:sz w:val="16"/>
          <w:szCs w:val="16"/>
          <w:lang w:val="es-CR"/>
        </w:rPr>
        <w:t>.</w:t>
      </w:r>
    </w:p>
  </w:footnote>
  <w:footnote w:id="58">
    <w:p w14:paraId="07865083" w14:textId="77777777" w:rsidR="00F943BE" w:rsidRPr="00697E7E" w:rsidRDefault="00F943BE" w:rsidP="00F943BE">
      <w:pPr>
        <w:pStyle w:val="Textonotapie"/>
        <w:tabs>
          <w:tab w:val="left" w:pos="426"/>
        </w:tabs>
        <w:jc w:val="both"/>
        <w:rPr>
          <w:rFonts w:ascii="Verdana" w:hAnsi="Verdana"/>
          <w:sz w:val="16"/>
          <w:szCs w:val="16"/>
          <w:lang w:val="es-CR"/>
        </w:rPr>
      </w:pPr>
      <w:r w:rsidRPr="00697E7E">
        <w:rPr>
          <w:rStyle w:val="Refdenotaalpie"/>
          <w:rFonts w:ascii="Verdana" w:hAnsi="Verdana"/>
          <w:sz w:val="16"/>
          <w:szCs w:val="16"/>
        </w:rPr>
        <w:footnoteRef/>
      </w:r>
      <w:r w:rsidRPr="00697E7E">
        <w:rPr>
          <w:rFonts w:ascii="Verdana" w:hAnsi="Verdana"/>
          <w:sz w:val="16"/>
          <w:szCs w:val="16"/>
          <w:lang w:val="es-CR"/>
        </w:rPr>
        <w:t xml:space="preserve"> </w:t>
      </w:r>
      <w:r w:rsidRPr="00697E7E">
        <w:rPr>
          <w:rFonts w:ascii="Verdana" w:hAnsi="Verdana"/>
          <w:sz w:val="16"/>
          <w:szCs w:val="16"/>
          <w:lang w:val="es-CR"/>
        </w:rPr>
        <w:tab/>
        <w:t xml:space="preserve">Este cronograma detalla el monto que pagará el Estado a cada una de las tres comunidades entre los años 2019 y 2021. </w:t>
      </w:r>
      <w:r w:rsidRPr="00697E7E">
        <w:rPr>
          <w:rFonts w:ascii="Verdana" w:hAnsi="Verdana"/>
          <w:i/>
          <w:sz w:val="16"/>
          <w:szCs w:val="16"/>
          <w:lang w:val="es-CR"/>
        </w:rPr>
        <w:t>Cfr.</w:t>
      </w:r>
      <w:r w:rsidRPr="00697E7E">
        <w:rPr>
          <w:rFonts w:ascii="Verdana" w:hAnsi="Verdana"/>
          <w:sz w:val="16"/>
          <w:szCs w:val="16"/>
          <w:lang w:val="es-CR"/>
        </w:rPr>
        <w:t xml:space="preserve"> Documento titulado “Cuadro de Pagos de Sentencias Internacionales</w:t>
      </w:r>
      <w:r w:rsidR="006A214B">
        <w:rPr>
          <w:rFonts w:ascii="Verdana" w:hAnsi="Verdana"/>
          <w:sz w:val="16"/>
          <w:szCs w:val="16"/>
          <w:lang w:val="es-CR"/>
        </w:rPr>
        <w:t>”</w:t>
      </w:r>
      <w:r w:rsidRPr="00697E7E">
        <w:rPr>
          <w:rFonts w:ascii="Verdana" w:hAnsi="Verdana"/>
          <w:sz w:val="16"/>
          <w:szCs w:val="16"/>
          <w:lang w:val="es-CR"/>
        </w:rPr>
        <w:t xml:space="preserve"> (</w:t>
      </w:r>
      <w:r>
        <w:rPr>
          <w:rFonts w:ascii="Verdana" w:hAnsi="Verdana"/>
          <w:sz w:val="16"/>
          <w:szCs w:val="16"/>
          <w:lang w:val="es-CR"/>
        </w:rPr>
        <w:t>A</w:t>
      </w:r>
      <w:r w:rsidRPr="00697E7E">
        <w:rPr>
          <w:rFonts w:ascii="Verdana" w:hAnsi="Verdana"/>
          <w:sz w:val="16"/>
          <w:szCs w:val="16"/>
          <w:lang w:val="es-CR"/>
        </w:rPr>
        <w:t xml:space="preserve">nexo al informe </w:t>
      </w:r>
      <w:r>
        <w:rPr>
          <w:rFonts w:ascii="Verdana" w:hAnsi="Verdana"/>
          <w:sz w:val="16"/>
          <w:szCs w:val="16"/>
          <w:lang w:val="es-CR"/>
        </w:rPr>
        <w:t>presentado por el Estado el 8 de</w:t>
      </w:r>
      <w:r w:rsidRPr="00697E7E">
        <w:rPr>
          <w:rFonts w:ascii="Verdana" w:hAnsi="Verdana"/>
          <w:sz w:val="16"/>
          <w:szCs w:val="16"/>
          <w:lang w:val="es-CR"/>
        </w:rPr>
        <w:t xml:space="preserve"> mayo de 2019).</w:t>
      </w:r>
    </w:p>
  </w:footnote>
  <w:footnote w:id="59">
    <w:p w14:paraId="46CB7660" w14:textId="77777777" w:rsidR="0068032C" w:rsidRPr="00697E7E" w:rsidRDefault="0068032C" w:rsidP="00035A72">
      <w:pPr>
        <w:pStyle w:val="Textonotapie"/>
        <w:tabs>
          <w:tab w:val="left" w:pos="426"/>
        </w:tabs>
        <w:jc w:val="both"/>
        <w:rPr>
          <w:rFonts w:ascii="Verdana" w:hAnsi="Verdana"/>
          <w:sz w:val="16"/>
          <w:szCs w:val="16"/>
          <w:lang w:val="es-CR"/>
        </w:rPr>
      </w:pPr>
      <w:r w:rsidRPr="00697E7E">
        <w:rPr>
          <w:rStyle w:val="Refdenotaalpie"/>
          <w:rFonts w:ascii="Verdana" w:hAnsi="Verdana"/>
          <w:sz w:val="16"/>
          <w:szCs w:val="16"/>
        </w:rPr>
        <w:footnoteRef/>
      </w:r>
      <w:r w:rsidRPr="00697E7E">
        <w:rPr>
          <w:rFonts w:ascii="Verdana" w:hAnsi="Verdana"/>
          <w:sz w:val="16"/>
          <w:szCs w:val="16"/>
          <w:lang w:val="es-CR"/>
        </w:rPr>
        <w:t xml:space="preserve"> </w:t>
      </w:r>
      <w:r>
        <w:rPr>
          <w:rFonts w:ascii="Verdana" w:hAnsi="Verdana"/>
          <w:sz w:val="16"/>
          <w:szCs w:val="16"/>
          <w:lang w:val="es-CR"/>
        </w:rPr>
        <w:tab/>
        <w:t xml:space="preserve">Confirmaron que en esa fecha “fue entregada la primera parte de los montos comprometidos según el informe estatal” a la Comunidad Xákmok Kásek. </w:t>
      </w:r>
    </w:p>
  </w:footnote>
  <w:footnote w:id="60">
    <w:p w14:paraId="068910FA" w14:textId="77777777" w:rsidR="0068032C" w:rsidRPr="00605E58" w:rsidRDefault="0068032C" w:rsidP="00035A72">
      <w:pPr>
        <w:pStyle w:val="Textonotapie"/>
        <w:tabs>
          <w:tab w:val="left" w:pos="426"/>
        </w:tabs>
        <w:jc w:val="both"/>
        <w:rPr>
          <w:rFonts w:ascii="Verdana" w:hAnsi="Verdana"/>
          <w:sz w:val="16"/>
          <w:szCs w:val="16"/>
          <w:lang w:val="es-CR"/>
        </w:rPr>
      </w:pPr>
      <w:r w:rsidRPr="00697E7E">
        <w:rPr>
          <w:rStyle w:val="Refdenotaalpi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sidRPr="00697E7E">
        <w:rPr>
          <w:rFonts w:ascii="Verdana" w:hAnsi="Verdana"/>
          <w:i/>
          <w:sz w:val="16"/>
          <w:szCs w:val="16"/>
          <w:lang w:val="es-CR"/>
        </w:rPr>
        <w:t>Cfr.</w:t>
      </w:r>
      <w:r w:rsidRPr="00697E7E">
        <w:rPr>
          <w:rFonts w:ascii="Verdana" w:hAnsi="Verdana"/>
          <w:sz w:val="16"/>
          <w:szCs w:val="16"/>
          <w:lang w:val="es-CR"/>
        </w:rPr>
        <w:t xml:space="preserve"> Acta de entrega del primer desembolso del fondo de desarrollo comunitario de la Comunidad Indígena </w:t>
      </w:r>
      <w:r w:rsidR="00A72F3C">
        <w:rPr>
          <w:rFonts w:ascii="Verdana" w:hAnsi="Verdana"/>
          <w:sz w:val="16"/>
          <w:szCs w:val="16"/>
          <w:lang w:val="es-CR"/>
        </w:rPr>
        <w:t>Xákmok Kásek</w:t>
      </w:r>
      <w:r w:rsidRPr="00697E7E">
        <w:rPr>
          <w:rFonts w:ascii="Verdana" w:hAnsi="Verdana"/>
          <w:sz w:val="16"/>
          <w:szCs w:val="16"/>
          <w:lang w:val="es-CR"/>
        </w:rPr>
        <w:t xml:space="preserve"> de 6 de mayo de 2019, suscrita por la Presidenta del INDI y el señor </w:t>
      </w:r>
      <w:r w:rsidR="00A72F3C">
        <w:rPr>
          <w:rFonts w:ascii="Verdana" w:hAnsi="Verdana"/>
          <w:sz w:val="16"/>
          <w:szCs w:val="16"/>
          <w:lang w:val="es-CR"/>
        </w:rPr>
        <w:t>Gerardo Larrosa D.</w:t>
      </w:r>
      <w:r w:rsidRPr="00697E7E">
        <w:rPr>
          <w:rFonts w:ascii="Verdana" w:hAnsi="Verdana"/>
          <w:sz w:val="16"/>
          <w:szCs w:val="16"/>
          <w:lang w:val="es-CR"/>
        </w:rPr>
        <w:t>, líder de dicha comunidad (anexo al i</w:t>
      </w:r>
      <w:r>
        <w:rPr>
          <w:rFonts w:ascii="Verdana" w:hAnsi="Verdana"/>
          <w:sz w:val="16"/>
          <w:szCs w:val="16"/>
          <w:lang w:val="es-CR"/>
        </w:rPr>
        <w:t xml:space="preserve">nforme </w:t>
      </w:r>
      <w:r w:rsidR="00A72F3C">
        <w:rPr>
          <w:rFonts w:ascii="Verdana" w:hAnsi="Verdana"/>
          <w:sz w:val="16"/>
          <w:szCs w:val="16"/>
          <w:lang w:val="es-CR"/>
        </w:rPr>
        <w:t>presentado por el Estado el 8 de</w:t>
      </w:r>
      <w:r>
        <w:rPr>
          <w:rFonts w:ascii="Verdana" w:hAnsi="Verdana"/>
          <w:sz w:val="16"/>
          <w:szCs w:val="16"/>
          <w:lang w:val="es-CR"/>
        </w:rPr>
        <w:t xml:space="preserve"> mayo de 2019).</w:t>
      </w:r>
    </w:p>
  </w:footnote>
  <w:footnote w:id="61">
    <w:p w14:paraId="535D00F7" w14:textId="77777777" w:rsidR="00F943BE" w:rsidRPr="005A6D58" w:rsidRDefault="00F943BE" w:rsidP="00F943BE">
      <w:pPr>
        <w:pStyle w:val="Textonotapie"/>
        <w:tabs>
          <w:tab w:val="left" w:pos="426"/>
        </w:tabs>
        <w:jc w:val="both"/>
        <w:rPr>
          <w:rFonts w:ascii="Verdana" w:hAnsi="Verdana"/>
          <w:sz w:val="16"/>
          <w:szCs w:val="16"/>
          <w:lang w:val="es-CR"/>
        </w:rPr>
      </w:pPr>
      <w:r w:rsidRPr="005A6D58">
        <w:rPr>
          <w:rStyle w:val="Refdenotaalpie"/>
          <w:rFonts w:ascii="Verdana" w:hAnsi="Verdana"/>
          <w:sz w:val="16"/>
          <w:szCs w:val="16"/>
        </w:rPr>
        <w:footnoteRef/>
      </w:r>
      <w:r w:rsidRPr="005A6D58">
        <w:rPr>
          <w:rFonts w:ascii="Verdana" w:hAnsi="Verdana"/>
          <w:sz w:val="16"/>
          <w:szCs w:val="16"/>
          <w:lang w:val="es-CR"/>
        </w:rPr>
        <w:t xml:space="preserve"> </w:t>
      </w:r>
      <w:r w:rsidRPr="005A6D58">
        <w:rPr>
          <w:rFonts w:ascii="Verdana" w:hAnsi="Verdana"/>
          <w:sz w:val="16"/>
          <w:szCs w:val="16"/>
          <w:lang w:val="es-CR"/>
        </w:rPr>
        <w:tab/>
        <w:t xml:space="preserve">Los </w:t>
      </w:r>
      <w:r w:rsidRPr="005A6D58">
        <w:rPr>
          <w:rFonts w:ascii="Verdana" w:hAnsi="Verdana"/>
          <w:i/>
          <w:sz w:val="16"/>
          <w:szCs w:val="16"/>
          <w:lang w:val="es-CR"/>
        </w:rPr>
        <w:t>representantes</w:t>
      </w:r>
      <w:r w:rsidRPr="005A6D58">
        <w:rPr>
          <w:rFonts w:ascii="Verdana" w:hAnsi="Verdana"/>
          <w:sz w:val="16"/>
          <w:szCs w:val="16"/>
          <w:lang w:val="es-CR"/>
        </w:rPr>
        <w:t xml:space="preserve"> observaron que “el compromiso [del] Estado sobre la planificación en tres años del desembolso, es, por lo pronto, declarativo”. Al respecto, señalaron que</w:t>
      </w:r>
      <w:r>
        <w:rPr>
          <w:rFonts w:ascii="Verdana" w:hAnsi="Verdana"/>
          <w:sz w:val="16"/>
          <w:szCs w:val="16"/>
          <w:lang w:val="es-CR"/>
        </w:rPr>
        <w:t xml:space="preserve"> a mediados de diciembre de 2018</w:t>
      </w:r>
      <w:r w:rsidRPr="005A6D58">
        <w:rPr>
          <w:rFonts w:ascii="Verdana" w:hAnsi="Verdana"/>
          <w:sz w:val="16"/>
          <w:szCs w:val="16"/>
          <w:lang w:val="es-CR"/>
        </w:rPr>
        <w:t xml:space="preserve"> </w:t>
      </w:r>
      <w:r>
        <w:rPr>
          <w:rFonts w:ascii="Verdana" w:hAnsi="Verdana"/>
          <w:sz w:val="16"/>
          <w:szCs w:val="16"/>
          <w:lang w:val="es-CR"/>
        </w:rPr>
        <w:t xml:space="preserve">“acerca[ron] un proyecto de ley y un proyecto de decreto a las autoridades del Estado para su consideración, que permitiría atender [esta] preocupación”, pero que “aún no se cuenta con una devolución de la propuesta o alguna alternativa a la atención de la preocupación expuesta”. </w:t>
      </w:r>
    </w:p>
  </w:footnote>
  <w:footnote w:id="62">
    <w:p w14:paraId="31FADBC6" w14:textId="77777777" w:rsidR="005A78F2" w:rsidRPr="005A6D58" w:rsidRDefault="005A78F2" w:rsidP="005A78F2">
      <w:pPr>
        <w:pStyle w:val="Textonotapie"/>
        <w:tabs>
          <w:tab w:val="left" w:pos="426"/>
        </w:tabs>
        <w:jc w:val="both"/>
        <w:rPr>
          <w:rFonts w:ascii="Verdana" w:hAnsi="Verdana"/>
          <w:sz w:val="16"/>
          <w:szCs w:val="16"/>
          <w:lang w:val="es-CR"/>
        </w:rPr>
      </w:pPr>
      <w:r w:rsidRPr="005A6D58">
        <w:rPr>
          <w:rStyle w:val="Refdenotaalpie"/>
          <w:rFonts w:ascii="Verdana" w:hAnsi="Verdana"/>
          <w:sz w:val="16"/>
          <w:szCs w:val="16"/>
        </w:rPr>
        <w:footnoteRef/>
      </w:r>
      <w:r w:rsidRPr="005A6D58">
        <w:rPr>
          <w:rFonts w:ascii="Verdana" w:hAnsi="Verdana"/>
          <w:sz w:val="16"/>
          <w:szCs w:val="16"/>
          <w:lang w:val="es-CR"/>
        </w:rPr>
        <w:t xml:space="preserve"> </w:t>
      </w:r>
      <w:r w:rsidRPr="005A6D58">
        <w:rPr>
          <w:rFonts w:ascii="Verdana" w:hAnsi="Verdana"/>
          <w:sz w:val="16"/>
          <w:szCs w:val="16"/>
          <w:lang w:val="es-CR"/>
        </w:rPr>
        <w:tab/>
      </w:r>
      <w:r w:rsidRPr="005A6D58">
        <w:rPr>
          <w:rFonts w:ascii="Verdana" w:hAnsi="Verdana"/>
          <w:i/>
          <w:sz w:val="16"/>
          <w:szCs w:val="16"/>
          <w:lang w:val="es-CR"/>
        </w:rPr>
        <w:t>Cfr.</w:t>
      </w:r>
      <w:r w:rsidRPr="005A6D58">
        <w:rPr>
          <w:rFonts w:ascii="Verdana" w:hAnsi="Verdana"/>
          <w:sz w:val="16"/>
          <w:szCs w:val="16"/>
          <w:lang w:val="es-CR"/>
        </w:rPr>
        <w:t xml:space="preserve"> Resolución </w:t>
      </w:r>
      <w:r w:rsidRPr="005A6D58">
        <w:rPr>
          <w:rFonts w:ascii="Verdana" w:hAnsi="Verdana"/>
          <w:bCs/>
          <w:sz w:val="16"/>
          <w:szCs w:val="16"/>
          <w:lang w:val="es-CR"/>
        </w:rPr>
        <w:t>N°</w:t>
      </w:r>
      <w:r>
        <w:rPr>
          <w:rFonts w:ascii="Verdana" w:hAnsi="Verdana"/>
          <w:bCs/>
          <w:sz w:val="16"/>
          <w:szCs w:val="16"/>
          <w:lang w:val="es-CR"/>
        </w:rPr>
        <w:t xml:space="preserve"> </w:t>
      </w:r>
      <w:r w:rsidRPr="005A6D58">
        <w:rPr>
          <w:rFonts w:ascii="Verdana" w:hAnsi="Verdana"/>
          <w:bCs/>
          <w:sz w:val="16"/>
          <w:szCs w:val="16"/>
          <w:lang w:val="es-CR"/>
        </w:rPr>
        <w:t>211/19 emitida el 24 de abril de 2019 por la Presidenta del INDI (</w:t>
      </w:r>
      <w:r>
        <w:rPr>
          <w:rFonts w:ascii="Verdana" w:hAnsi="Verdana"/>
          <w:bCs/>
          <w:sz w:val="16"/>
          <w:szCs w:val="16"/>
          <w:lang w:val="es-CR"/>
        </w:rPr>
        <w:t>A</w:t>
      </w:r>
      <w:r w:rsidRPr="005A6D58">
        <w:rPr>
          <w:rFonts w:ascii="Verdana" w:hAnsi="Verdana"/>
          <w:bCs/>
          <w:sz w:val="16"/>
          <w:szCs w:val="16"/>
          <w:lang w:val="es-CR"/>
        </w:rPr>
        <w:t xml:space="preserve">nexo al informe </w:t>
      </w:r>
      <w:r>
        <w:rPr>
          <w:rFonts w:ascii="Verdana" w:hAnsi="Verdana"/>
          <w:bCs/>
          <w:sz w:val="16"/>
          <w:szCs w:val="16"/>
          <w:lang w:val="es-CR"/>
        </w:rPr>
        <w:t>presentado por el Estado el 8</w:t>
      </w:r>
      <w:r w:rsidRPr="005A6D58">
        <w:rPr>
          <w:rFonts w:ascii="Verdana" w:hAnsi="Verdana"/>
          <w:bCs/>
          <w:sz w:val="16"/>
          <w:szCs w:val="16"/>
          <w:lang w:val="es-CR"/>
        </w:rPr>
        <w:t xml:space="preserve"> de mayo de 2019).</w:t>
      </w:r>
    </w:p>
  </w:footnote>
  <w:footnote w:id="63">
    <w:p w14:paraId="7FCDFED0" w14:textId="77777777" w:rsidR="005A78F2" w:rsidRPr="003552EE" w:rsidRDefault="005A78F2" w:rsidP="005A78F2">
      <w:pPr>
        <w:pStyle w:val="Textonotapie"/>
        <w:tabs>
          <w:tab w:val="left" w:pos="426"/>
        </w:tabs>
        <w:jc w:val="both"/>
        <w:rPr>
          <w:rFonts w:ascii="Verdana" w:hAnsi="Verdana"/>
          <w:sz w:val="16"/>
          <w:szCs w:val="16"/>
          <w:lang w:val="es-CR"/>
        </w:rPr>
      </w:pPr>
      <w:r w:rsidRPr="005A6D58">
        <w:rPr>
          <w:rStyle w:val="Refdenotaalpie"/>
          <w:rFonts w:ascii="Verdana" w:hAnsi="Verdana"/>
          <w:sz w:val="16"/>
          <w:szCs w:val="16"/>
        </w:rPr>
        <w:footnoteRef/>
      </w:r>
      <w:r w:rsidRPr="005A6D58">
        <w:rPr>
          <w:rFonts w:ascii="Verdana" w:hAnsi="Verdana"/>
          <w:sz w:val="16"/>
          <w:szCs w:val="16"/>
          <w:lang w:val="es-CR"/>
        </w:rPr>
        <w:t xml:space="preserve"> </w:t>
      </w:r>
      <w:r w:rsidRPr="005A6D58">
        <w:rPr>
          <w:rFonts w:ascii="Verdana" w:hAnsi="Verdana"/>
          <w:sz w:val="16"/>
          <w:szCs w:val="16"/>
          <w:lang w:val="es-CR"/>
        </w:rPr>
        <w:tab/>
      </w:r>
      <w:r>
        <w:rPr>
          <w:rFonts w:ascii="Verdana" w:hAnsi="Verdana"/>
          <w:sz w:val="16"/>
          <w:szCs w:val="16"/>
          <w:lang w:val="es-CR"/>
        </w:rPr>
        <w:t>La señora Ana María Allen Dávalos. Además, e</w:t>
      </w:r>
      <w:r w:rsidRPr="005A6D58">
        <w:rPr>
          <w:rFonts w:ascii="Verdana" w:hAnsi="Verdana"/>
          <w:sz w:val="16"/>
          <w:szCs w:val="16"/>
          <w:lang w:val="es-CR"/>
        </w:rPr>
        <w:t>l Estado designó</w:t>
      </w:r>
      <w:r>
        <w:rPr>
          <w:rFonts w:ascii="Verdana" w:hAnsi="Verdana"/>
          <w:sz w:val="16"/>
          <w:szCs w:val="16"/>
          <w:lang w:val="es-CR"/>
        </w:rPr>
        <w:t xml:space="preserve"> a los señores Diego de los Ríos Baquer y María Cristina Velazco Parra como</w:t>
      </w:r>
      <w:r w:rsidRPr="005A6D58">
        <w:rPr>
          <w:rFonts w:ascii="Verdana" w:hAnsi="Verdana"/>
          <w:sz w:val="16"/>
          <w:szCs w:val="16"/>
          <w:lang w:val="es-CR"/>
        </w:rPr>
        <w:t xml:space="preserve"> representantes “alternos”.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2DB1" w14:textId="77777777" w:rsidR="001B2C9A" w:rsidRDefault="00396148" w:rsidP="00396148">
    <w:pPr>
      <w:pStyle w:val="Encabezado"/>
      <w:tabs>
        <w:tab w:val="center" w:pos="4680"/>
        <w:tab w:val="left" w:pos="5335"/>
      </w:tabs>
    </w:pPr>
    <w:r>
      <w:tab/>
    </w:r>
    <w:r>
      <w:tab/>
    </w:r>
    <w:sdt>
      <w:sdtPr>
        <w:id w:val="781230910"/>
        <w:docPartObj>
          <w:docPartGallery w:val="Page Numbers (Top of Page)"/>
          <w:docPartUnique/>
        </w:docPartObj>
      </w:sdtPr>
      <w:sdtEndPr/>
      <w:sdtContent>
        <w:r w:rsidR="001B2C9A" w:rsidRPr="001B2C9A">
          <w:rPr>
            <w:rFonts w:ascii="Verdana" w:hAnsi="Verdana"/>
            <w:sz w:val="20"/>
            <w:szCs w:val="20"/>
          </w:rPr>
          <w:t>-</w:t>
        </w:r>
        <w:r w:rsidR="001B2C9A" w:rsidRPr="001B2C9A">
          <w:rPr>
            <w:rFonts w:ascii="Verdana" w:hAnsi="Verdana"/>
            <w:sz w:val="20"/>
            <w:szCs w:val="20"/>
          </w:rPr>
          <w:fldChar w:fldCharType="begin"/>
        </w:r>
        <w:r w:rsidR="001B2C9A" w:rsidRPr="001B2C9A">
          <w:rPr>
            <w:rFonts w:ascii="Verdana" w:hAnsi="Verdana"/>
            <w:sz w:val="20"/>
            <w:szCs w:val="20"/>
          </w:rPr>
          <w:instrText>PAGE   \* MERGEFORMAT</w:instrText>
        </w:r>
        <w:r w:rsidR="001B2C9A" w:rsidRPr="001B2C9A">
          <w:rPr>
            <w:rFonts w:ascii="Verdana" w:hAnsi="Verdana"/>
            <w:sz w:val="20"/>
            <w:szCs w:val="20"/>
          </w:rPr>
          <w:fldChar w:fldCharType="separate"/>
        </w:r>
        <w:r w:rsidRPr="00396148">
          <w:rPr>
            <w:rFonts w:ascii="Verdana" w:hAnsi="Verdana"/>
            <w:noProof/>
            <w:sz w:val="20"/>
            <w:szCs w:val="20"/>
            <w:lang w:val="es-ES"/>
          </w:rPr>
          <w:t>13</w:t>
        </w:r>
        <w:r w:rsidR="001B2C9A" w:rsidRPr="001B2C9A">
          <w:rPr>
            <w:rFonts w:ascii="Verdana" w:hAnsi="Verdana"/>
            <w:sz w:val="20"/>
            <w:szCs w:val="20"/>
          </w:rPr>
          <w:fldChar w:fldCharType="end"/>
        </w:r>
        <w:r w:rsidR="001B2C9A" w:rsidRPr="001B2C9A">
          <w:rPr>
            <w:rFonts w:ascii="Verdana" w:hAnsi="Verdana"/>
            <w:sz w:val="20"/>
            <w:szCs w:val="20"/>
          </w:rPr>
          <w:t>-</w:t>
        </w:r>
      </w:sdtContent>
    </w:sdt>
    <w:r>
      <w:tab/>
    </w:r>
  </w:p>
  <w:p w14:paraId="722ECFEA" w14:textId="77777777" w:rsidR="0068032C" w:rsidRPr="00FF1E3C" w:rsidRDefault="0068032C" w:rsidP="00FF1E3C">
    <w:pPr>
      <w:pStyle w:val="Encabezado"/>
      <w:jc w:val="right"/>
      <w:rPr>
        <w:rFonts w:ascii="Verdana" w:hAnsi="Verdana"/>
        <w:sz w:val="16"/>
        <w:szCs w:val="16"/>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EA5"/>
    <w:multiLevelType w:val="hybridMultilevel"/>
    <w:tmpl w:val="766A51E4"/>
    <w:lvl w:ilvl="0" w:tplc="308E347A">
      <w:start w:val="1"/>
      <w:numFmt w:val="lowerRoman"/>
      <w:lvlText w:val="%1)"/>
      <w:lvlJc w:val="left"/>
      <w:pPr>
        <w:ind w:left="1425" w:hanging="720"/>
      </w:pPr>
      <w:rPr>
        <w:rFonts w:hint="default"/>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1" w15:restartNumberingAfterBreak="0">
    <w:nsid w:val="094E31C8"/>
    <w:multiLevelType w:val="hybridMultilevel"/>
    <w:tmpl w:val="EC645446"/>
    <w:lvl w:ilvl="0" w:tplc="F0FC7A80">
      <w:start w:val="1"/>
      <w:numFmt w:val="lowerRoman"/>
      <w:lvlText w:val="%1)"/>
      <w:lvlJc w:val="left"/>
      <w:pPr>
        <w:ind w:left="1080" w:hanging="720"/>
      </w:pPr>
      <w:rPr>
        <w:rFonts w:ascii="Calibri" w:hAnsi="Calibri"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DFE094A"/>
    <w:multiLevelType w:val="hybridMultilevel"/>
    <w:tmpl w:val="061CA770"/>
    <w:lvl w:ilvl="0" w:tplc="BF4A1162">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F555699"/>
    <w:multiLevelType w:val="hybridMultilevel"/>
    <w:tmpl w:val="6D76AA7C"/>
    <w:lvl w:ilvl="0" w:tplc="E610A7D2">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10553EED"/>
    <w:multiLevelType w:val="hybridMultilevel"/>
    <w:tmpl w:val="FB7EACD2"/>
    <w:lvl w:ilvl="0" w:tplc="E80EF132">
      <w:start w:val="1"/>
      <w:numFmt w:val="decimal"/>
      <w:lvlText w:val="%1."/>
      <w:lvlJc w:val="left"/>
      <w:pPr>
        <w:ind w:left="1060" w:hanging="700"/>
      </w:pPr>
      <w:rPr>
        <w:rFonts w:ascii="Verdana" w:hAnsi="Verdana" w:hint="default"/>
        <w:b w:val="0"/>
        <w:i w:val="0"/>
        <w:strike w:val="0"/>
        <w:dstrike w:val="0"/>
        <w:sz w:val="20"/>
        <w:szCs w:val="20"/>
        <w:u w:val="none"/>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0820EF4"/>
    <w:multiLevelType w:val="hybridMultilevel"/>
    <w:tmpl w:val="C4A448E8"/>
    <w:lvl w:ilvl="0" w:tplc="E618C79C">
      <w:start w:val="40"/>
      <w:numFmt w:val="decimal"/>
      <w:lvlText w:val="%1."/>
      <w:lvlJc w:val="left"/>
      <w:pPr>
        <w:ind w:left="720" w:hanging="360"/>
      </w:pPr>
      <w:rPr>
        <w:rFonts w:ascii="Verdana" w:hAnsi="Verdana"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8104C42"/>
    <w:multiLevelType w:val="hybridMultilevel"/>
    <w:tmpl w:val="9BCEB4D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96B4451"/>
    <w:multiLevelType w:val="hybridMultilevel"/>
    <w:tmpl w:val="11D09FB0"/>
    <w:lvl w:ilvl="0" w:tplc="221AB95A">
      <w:start w:val="11"/>
      <w:numFmt w:val="decimal"/>
      <w:lvlText w:val="%1."/>
      <w:lvlJc w:val="left"/>
      <w:pPr>
        <w:ind w:left="720" w:hanging="360"/>
      </w:pPr>
      <w:rPr>
        <w:rFonts w:ascii="Verdana" w:hAnsi="Verdana" w:hint="default"/>
        <w:b w:val="0"/>
        <w:i w:val="0"/>
        <w:strike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99B7278"/>
    <w:multiLevelType w:val="hybridMultilevel"/>
    <w:tmpl w:val="56067A26"/>
    <w:lvl w:ilvl="0" w:tplc="E78ECB3C">
      <w:start w:val="17"/>
      <w:numFmt w:val="decimal"/>
      <w:lvlText w:val="%1."/>
      <w:lvlJc w:val="left"/>
      <w:pPr>
        <w:ind w:left="1065" w:hanging="360"/>
      </w:pPr>
      <w:rPr>
        <w:rFonts w:ascii="Verdana" w:hAnsi="Verdana" w:hint="default"/>
        <w:b w:val="0"/>
        <w:i w:val="0"/>
        <w:strike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A0C0109"/>
    <w:multiLevelType w:val="hybridMultilevel"/>
    <w:tmpl w:val="662AD9A2"/>
    <w:lvl w:ilvl="0" w:tplc="B87ABFE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616E47"/>
    <w:multiLevelType w:val="hybridMultilevel"/>
    <w:tmpl w:val="6A68A7EC"/>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E9B6462"/>
    <w:multiLevelType w:val="hybridMultilevel"/>
    <w:tmpl w:val="B0ECE282"/>
    <w:lvl w:ilvl="0" w:tplc="71F64FA2">
      <w:start w:val="1"/>
      <w:numFmt w:val="decimal"/>
      <w:lvlText w:val="%1."/>
      <w:lvlJc w:val="left"/>
      <w:pPr>
        <w:ind w:left="720"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1DC1B5E"/>
    <w:multiLevelType w:val="hybridMultilevel"/>
    <w:tmpl w:val="36EEA76E"/>
    <w:lvl w:ilvl="0" w:tplc="4EEAB55E">
      <w:start w:val="27"/>
      <w:numFmt w:val="decimal"/>
      <w:lvlText w:val="%1."/>
      <w:lvlJc w:val="left"/>
      <w:pPr>
        <w:ind w:left="1065" w:hanging="360"/>
      </w:pPr>
      <w:rPr>
        <w:rFonts w:ascii="Verdana" w:hAnsi="Verdana" w:hint="default"/>
        <w:b w:val="0"/>
        <w:i w:val="0"/>
        <w:strike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2066838"/>
    <w:multiLevelType w:val="hybridMultilevel"/>
    <w:tmpl w:val="6352A806"/>
    <w:lvl w:ilvl="0" w:tplc="996EB5C0">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37924FC"/>
    <w:multiLevelType w:val="hybridMultilevel"/>
    <w:tmpl w:val="32A65A7E"/>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15:restartNumberingAfterBreak="0">
    <w:nsid w:val="26B078C3"/>
    <w:multiLevelType w:val="hybridMultilevel"/>
    <w:tmpl w:val="EA02E290"/>
    <w:lvl w:ilvl="0" w:tplc="B87ABFE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76870AB"/>
    <w:multiLevelType w:val="hybridMultilevel"/>
    <w:tmpl w:val="A31CEA5E"/>
    <w:lvl w:ilvl="0" w:tplc="B67892EC">
      <w:start w:val="1"/>
      <w:numFmt w:val="lowerLetter"/>
      <w:lvlText w:val="%1."/>
      <w:lvlJc w:val="left"/>
      <w:pPr>
        <w:ind w:left="795" w:hanging="360"/>
      </w:pPr>
      <w:rPr>
        <w:b w:val="0"/>
        <w:i w:val="0"/>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7" w15:restartNumberingAfterBreak="0">
    <w:nsid w:val="29AC531F"/>
    <w:multiLevelType w:val="hybridMultilevel"/>
    <w:tmpl w:val="3FE6D64A"/>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D8875A7"/>
    <w:multiLevelType w:val="hybridMultilevel"/>
    <w:tmpl w:val="8F8C97F6"/>
    <w:lvl w:ilvl="0" w:tplc="B87ABFE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EDD1125"/>
    <w:multiLevelType w:val="hybridMultilevel"/>
    <w:tmpl w:val="F51838A2"/>
    <w:lvl w:ilvl="0" w:tplc="CF7AF67A">
      <w:start w:val="29"/>
      <w:numFmt w:val="decimal"/>
      <w:lvlText w:val="%1."/>
      <w:lvlJc w:val="left"/>
      <w:pPr>
        <w:ind w:left="720" w:hanging="360"/>
      </w:pPr>
      <w:rPr>
        <w:rFonts w:ascii="Verdana" w:hAnsi="Verdana" w:hint="default"/>
        <w:b w:val="0"/>
        <w:i w:val="0"/>
        <w:strike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F9A50E4"/>
    <w:multiLevelType w:val="hybridMultilevel"/>
    <w:tmpl w:val="B798EBE4"/>
    <w:lvl w:ilvl="0" w:tplc="221AB95A">
      <w:start w:val="11"/>
      <w:numFmt w:val="decimal"/>
      <w:lvlText w:val="%1."/>
      <w:lvlJc w:val="left"/>
      <w:pPr>
        <w:ind w:left="720" w:hanging="360"/>
      </w:pPr>
      <w:rPr>
        <w:rFonts w:ascii="Verdana" w:hAnsi="Verdana" w:hint="default"/>
        <w:b w:val="0"/>
        <w:i w:val="0"/>
        <w:strike w:val="0"/>
        <w:color w:val="auto"/>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23D1C06"/>
    <w:multiLevelType w:val="hybridMultilevel"/>
    <w:tmpl w:val="B9186720"/>
    <w:lvl w:ilvl="0" w:tplc="308E347A">
      <w:start w:val="1"/>
      <w:numFmt w:val="lowerRoman"/>
      <w:lvlText w:val="%1)"/>
      <w:lvlJc w:val="left"/>
      <w:pPr>
        <w:ind w:left="1425" w:hanging="720"/>
      </w:pPr>
      <w:rPr>
        <w:rFonts w:hint="default"/>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22" w15:restartNumberingAfterBreak="0">
    <w:nsid w:val="342B0688"/>
    <w:multiLevelType w:val="hybridMultilevel"/>
    <w:tmpl w:val="2D047DA4"/>
    <w:lvl w:ilvl="0" w:tplc="B87ABFE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4793ED0"/>
    <w:multiLevelType w:val="hybridMultilevel"/>
    <w:tmpl w:val="79AAE45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5997DCD"/>
    <w:multiLevelType w:val="hybridMultilevel"/>
    <w:tmpl w:val="DB82989C"/>
    <w:lvl w:ilvl="0" w:tplc="B87ABFE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B37CEC"/>
    <w:multiLevelType w:val="hybridMultilevel"/>
    <w:tmpl w:val="5624F918"/>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6" w15:restartNumberingAfterBreak="0">
    <w:nsid w:val="3D693597"/>
    <w:multiLevelType w:val="hybridMultilevel"/>
    <w:tmpl w:val="BE16F40A"/>
    <w:lvl w:ilvl="0" w:tplc="2770807C">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4BBE0E90"/>
    <w:multiLevelType w:val="hybridMultilevel"/>
    <w:tmpl w:val="86B8AC0A"/>
    <w:lvl w:ilvl="0" w:tplc="668A40EA">
      <w:start w:val="1"/>
      <w:numFmt w:val="decimal"/>
      <w:lvlText w:val="%1."/>
      <w:lvlJc w:val="left"/>
      <w:pPr>
        <w:ind w:left="720" w:hanging="360"/>
      </w:pPr>
      <w:rPr>
        <w:rFonts w:ascii="Verdana" w:hAnsi="Verdana" w:hint="default"/>
        <w:b w:val="0"/>
        <w:i w:val="0"/>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46E3D69"/>
    <w:multiLevelType w:val="hybridMultilevel"/>
    <w:tmpl w:val="2BEEB0F0"/>
    <w:lvl w:ilvl="0" w:tplc="2DD6CE30">
      <w:start w:val="18"/>
      <w:numFmt w:val="decimal"/>
      <w:lvlText w:val="%1."/>
      <w:lvlJc w:val="left"/>
      <w:pPr>
        <w:ind w:left="1065" w:hanging="360"/>
      </w:pPr>
      <w:rPr>
        <w:rFonts w:ascii="Verdana" w:hAnsi="Verdana" w:hint="default"/>
        <w:b w:val="0"/>
        <w:i w:val="0"/>
        <w:strike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5F85718"/>
    <w:multiLevelType w:val="hybridMultilevel"/>
    <w:tmpl w:val="7B144988"/>
    <w:lvl w:ilvl="0" w:tplc="3BA69880">
      <w:start w:val="15"/>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716950"/>
    <w:multiLevelType w:val="hybridMultilevel"/>
    <w:tmpl w:val="0372919A"/>
    <w:lvl w:ilvl="0" w:tplc="5E6A8278">
      <w:start w:val="31"/>
      <w:numFmt w:val="decimal"/>
      <w:lvlText w:val="%1."/>
      <w:lvlJc w:val="left"/>
      <w:pPr>
        <w:ind w:left="720" w:hanging="360"/>
      </w:pPr>
      <w:rPr>
        <w:rFonts w:ascii="Verdana" w:hAnsi="Verdana" w:hint="default"/>
        <w:b w:val="0"/>
        <w:i w:val="0"/>
        <w:strike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3B023B6"/>
    <w:multiLevelType w:val="hybridMultilevel"/>
    <w:tmpl w:val="7652C500"/>
    <w:lvl w:ilvl="0" w:tplc="4D68EACA">
      <w:start w:val="6"/>
      <w:numFmt w:val="decimal"/>
      <w:lvlText w:val="%1."/>
      <w:lvlJc w:val="left"/>
      <w:pPr>
        <w:ind w:left="720" w:hanging="360"/>
      </w:pPr>
      <w:rPr>
        <w:b w:val="0"/>
        <w:i w:val="0"/>
        <w:sz w:val="20"/>
        <w:szCs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2" w15:restartNumberingAfterBreak="0">
    <w:nsid w:val="65B05BA6"/>
    <w:multiLevelType w:val="hybridMultilevel"/>
    <w:tmpl w:val="DC544034"/>
    <w:lvl w:ilvl="0" w:tplc="B87ABFE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CFE1150"/>
    <w:multiLevelType w:val="hybridMultilevel"/>
    <w:tmpl w:val="B0681482"/>
    <w:lvl w:ilvl="0" w:tplc="71F64FA2">
      <w:start w:val="1"/>
      <w:numFmt w:val="decimal"/>
      <w:lvlText w:val="%1."/>
      <w:lvlJc w:val="left"/>
      <w:pPr>
        <w:ind w:left="1080" w:hanging="360"/>
      </w:pPr>
      <w:rPr>
        <w:rFonts w:hint="default"/>
        <w:b w:val="0"/>
        <w:color w:val="auto"/>
        <w:sz w:val="20"/>
        <w:szCs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4" w15:restartNumberingAfterBreak="0">
    <w:nsid w:val="6DD3050B"/>
    <w:multiLevelType w:val="hybridMultilevel"/>
    <w:tmpl w:val="4CB08274"/>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ED8134E"/>
    <w:multiLevelType w:val="hybridMultilevel"/>
    <w:tmpl w:val="B2CCE66A"/>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983635B"/>
    <w:multiLevelType w:val="hybridMultilevel"/>
    <w:tmpl w:val="269EC2F2"/>
    <w:lvl w:ilvl="0" w:tplc="3AB0BB40">
      <w:start w:val="1"/>
      <w:numFmt w:val="decimal"/>
      <w:lvlText w:val="%1."/>
      <w:lvlJc w:val="left"/>
      <w:pPr>
        <w:ind w:left="360" w:hanging="360"/>
      </w:pPr>
      <w:rPr>
        <w:rFonts w:ascii="Verdana" w:hAnsi="Verdana" w:hint="default"/>
        <w:b w:val="0"/>
        <w:i w:val="0"/>
        <w:strike w:val="0"/>
        <w:color w:val="auto"/>
        <w:sz w:val="20"/>
        <w:szCs w:val="20"/>
      </w:rPr>
    </w:lvl>
    <w:lvl w:ilvl="1" w:tplc="140A0019">
      <w:start w:val="1"/>
      <w:numFmt w:val="lowerLetter"/>
      <w:lvlText w:val="%2."/>
      <w:lvlJc w:val="left"/>
      <w:pPr>
        <w:ind w:left="-7916" w:hanging="360"/>
      </w:pPr>
    </w:lvl>
    <w:lvl w:ilvl="2" w:tplc="140A001B">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5"/>
  </w:num>
  <w:num w:numId="7">
    <w:abstractNumId w:val="13"/>
  </w:num>
  <w:num w:numId="8">
    <w:abstractNumId w:val="1"/>
  </w:num>
  <w:num w:numId="9">
    <w:abstractNumId w:val="36"/>
  </w:num>
  <w:num w:numId="10">
    <w:abstractNumId w:val="20"/>
  </w:num>
  <w:num w:numId="11">
    <w:abstractNumId w:val="18"/>
  </w:num>
  <w:num w:numId="12">
    <w:abstractNumId w:val="9"/>
  </w:num>
  <w:num w:numId="13">
    <w:abstractNumId w:val="22"/>
  </w:num>
  <w:num w:numId="14">
    <w:abstractNumId w:val="3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4"/>
  </w:num>
  <w:num w:numId="23">
    <w:abstractNumId w:val="17"/>
  </w:num>
  <w:num w:numId="24">
    <w:abstractNumId w:val="10"/>
  </w:num>
  <w:num w:numId="25">
    <w:abstractNumId w:val="34"/>
  </w:num>
  <w:num w:numId="26">
    <w:abstractNumId w:val="31"/>
  </w:num>
  <w:num w:numId="27">
    <w:abstractNumId w:val="35"/>
  </w:num>
  <w:num w:numId="28">
    <w:abstractNumId w:val="29"/>
  </w:num>
  <w:num w:numId="29">
    <w:abstractNumId w:val="11"/>
  </w:num>
  <w:num w:numId="30">
    <w:abstractNumId w:val="33"/>
  </w:num>
  <w:num w:numId="31">
    <w:abstractNumId w:val="0"/>
  </w:num>
  <w:num w:numId="32">
    <w:abstractNumId w:val="6"/>
  </w:num>
  <w:num w:numId="33">
    <w:abstractNumId w:val="23"/>
  </w:num>
  <w:num w:numId="34">
    <w:abstractNumId w:val="2"/>
  </w:num>
  <w:num w:numId="35">
    <w:abstractNumId w:val="21"/>
  </w:num>
  <w:num w:numId="36">
    <w:abstractNumId w:val="8"/>
  </w:num>
  <w:num w:numId="37">
    <w:abstractNumId w:val="28"/>
  </w:num>
  <w:num w:numId="38">
    <w:abstractNumId w:val="12"/>
  </w:num>
  <w:num w:numId="39">
    <w:abstractNumId w:val="19"/>
  </w:num>
  <w:num w:numId="40">
    <w:abstractNumId w:val="3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28"/>
    <w:rsid w:val="00000AAF"/>
    <w:rsid w:val="00000CFF"/>
    <w:rsid w:val="00002D3F"/>
    <w:rsid w:val="00003EEC"/>
    <w:rsid w:val="000137F7"/>
    <w:rsid w:val="00020C43"/>
    <w:rsid w:val="000215C4"/>
    <w:rsid w:val="0002199F"/>
    <w:rsid w:val="00021B81"/>
    <w:rsid w:val="00021FD8"/>
    <w:rsid w:val="000230C9"/>
    <w:rsid w:val="00024F7A"/>
    <w:rsid w:val="00031851"/>
    <w:rsid w:val="00031E73"/>
    <w:rsid w:val="00035A72"/>
    <w:rsid w:val="000374C1"/>
    <w:rsid w:val="000427E7"/>
    <w:rsid w:val="000428AF"/>
    <w:rsid w:val="000511E8"/>
    <w:rsid w:val="00057403"/>
    <w:rsid w:val="00063268"/>
    <w:rsid w:val="0006675F"/>
    <w:rsid w:val="00070CD1"/>
    <w:rsid w:val="00073A18"/>
    <w:rsid w:val="00080601"/>
    <w:rsid w:val="00082576"/>
    <w:rsid w:val="0008360F"/>
    <w:rsid w:val="0008387F"/>
    <w:rsid w:val="00083D3F"/>
    <w:rsid w:val="00085CC6"/>
    <w:rsid w:val="00091E3C"/>
    <w:rsid w:val="0009376D"/>
    <w:rsid w:val="000975F2"/>
    <w:rsid w:val="00097810"/>
    <w:rsid w:val="000A3EE5"/>
    <w:rsid w:val="000A540B"/>
    <w:rsid w:val="000A7458"/>
    <w:rsid w:val="000B0410"/>
    <w:rsid w:val="000B0A40"/>
    <w:rsid w:val="000B5E2A"/>
    <w:rsid w:val="000B6A00"/>
    <w:rsid w:val="000C0608"/>
    <w:rsid w:val="000D00FD"/>
    <w:rsid w:val="000D1FA7"/>
    <w:rsid w:val="00100894"/>
    <w:rsid w:val="001009E8"/>
    <w:rsid w:val="00104523"/>
    <w:rsid w:val="00105CA3"/>
    <w:rsid w:val="00105DA8"/>
    <w:rsid w:val="00106CFD"/>
    <w:rsid w:val="00110E15"/>
    <w:rsid w:val="001130E8"/>
    <w:rsid w:val="001268BF"/>
    <w:rsid w:val="001447B4"/>
    <w:rsid w:val="00147A48"/>
    <w:rsid w:val="00147FD8"/>
    <w:rsid w:val="00151217"/>
    <w:rsid w:val="001534FC"/>
    <w:rsid w:val="00165937"/>
    <w:rsid w:val="00170C52"/>
    <w:rsid w:val="001744FB"/>
    <w:rsid w:val="00176248"/>
    <w:rsid w:val="001774E3"/>
    <w:rsid w:val="00183903"/>
    <w:rsid w:val="00183A4E"/>
    <w:rsid w:val="001843E7"/>
    <w:rsid w:val="0018632D"/>
    <w:rsid w:val="00190C72"/>
    <w:rsid w:val="00191CC4"/>
    <w:rsid w:val="00193BA8"/>
    <w:rsid w:val="0019541B"/>
    <w:rsid w:val="001B09C4"/>
    <w:rsid w:val="001B2C9A"/>
    <w:rsid w:val="001B4FA0"/>
    <w:rsid w:val="001D0253"/>
    <w:rsid w:val="001D70FF"/>
    <w:rsid w:val="001E2350"/>
    <w:rsid w:val="001E26FD"/>
    <w:rsid w:val="001E63B6"/>
    <w:rsid w:val="001E6FB3"/>
    <w:rsid w:val="001F0A63"/>
    <w:rsid w:val="001F0B44"/>
    <w:rsid w:val="001F1909"/>
    <w:rsid w:val="001F4501"/>
    <w:rsid w:val="001F5141"/>
    <w:rsid w:val="00200EEF"/>
    <w:rsid w:val="00203E18"/>
    <w:rsid w:val="00204604"/>
    <w:rsid w:val="002058EA"/>
    <w:rsid w:val="00207BA0"/>
    <w:rsid w:val="00210E97"/>
    <w:rsid w:val="00213714"/>
    <w:rsid w:val="002146D4"/>
    <w:rsid w:val="002168C6"/>
    <w:rsid w:val="00221502"/>
    <w:rsid w:val="00221870"/>
    <w:rsid w:val="0023197C"/>
    <w:rsid w:val="00235B20"/>
    <w:rsid w:val="00250E3C"/>
    <w:rsid w:val="002517A2"/>
    <w:rsid w:val="00251E29"/>
    <w:rsid w:val="00265D71"/>
    <w:rsid w:val="002666DC"/>
    <w:rsid w:val="002710F2"/>
    <w:rsid w:val="0027190E"/>
    <w:rsid w:val="00272D4D"/>
    <w:rsid w:val="002734C7"/>
    <w:rsid w:val="002738CA"/>
    <w:rsid w:val="00273D1E"/>
    <w:rsid w:val="00275134"/>
    <w:rsid w:val="00280D5C"/>
    <w:rsid w:val="00280F10"/>
    <w:rsid w:val="0028489C"/>
    <w:rsid w:val="00284B9D"/>
    <w:rsid w:val="0028502E"/>
    <w:rsid w:val="00286AC7"/>
    <w:rsid w:val="00286FF5"/>
    <w:rsid w:val="00290FE3"/>
    <w:rsid w:val="002A1751"/>
    <w:rsid w:val="002A2AFE"/>
    <w:rsid w:val="002A2D79"/>
    <w:rsid w:val="002B03A7"/>
    <w:rsid w:val="002B1042"/>
    <w:rsid w:val="002B1055"/>
    <w:rsid w:val="002C1429"/>
    <w:rsid w:val="002C5B55"/>
    <w:rsid w:val="002C6188"/>
    <w:rsid w:val="002D639E"/>
    <w:rsid w:val="002E10B1"/>
    <w:rsid w:val="002E2C74"/>
    <w:rsid w:val="002E6D00"/>
    <w:rsid w:val="002F3ABF"/>
    <w:rsid w:val="002F3C89"/>
    <w:rsid w:val="002F451B"/>
    <w:rsid w:val="00305B9E"/>
    <w:rsid w:val="003078FA"/>
    <w:rsid w:val="00316652"/>
    <w:rsid w:val="003257D1"/>
    <w:rsid w:val="003306D3"/>
    <w:rsid w:val="003377E6"/>
    <w:rsid w:val="00342A79"/>
    <w:rsid w:val="00344CA3"/>
    <w:rsid w:val="00351094"/>
    <w:rsid w:val="00351D4A"/>
    <w:rsid w:val="00352B54"/>
    <w:rsid w:val="003630F9"/>
    <w:rsid w:val="0036345B"/>
    <w:rsid w:val="00364A5E"/>
    <w:rsid w:val="00364D9C"/>
    <w:rsid w:val="003672F1"/>
    <w:rsid w:val="00367FFA"/>
    <w:rsid w:val="003714C0"/>
    <w:rsid w:val="00373B36"/>
    <w:rsid w:val="003751B0"/>
    <w:rsid w:val="00375F76"/>
    <w:rsid w:val="003814AB"/>
    <w:rsid w:val="00383183"/>
    <w:rsid w:val="00383478"/>
    <w:rsid w:val="00386E34"/>
    <w:rsid w:val="00392764"/>
    <w:rsid w:val="00396148"/>
    <w:rsid w:val="003A1AC8"/>
    <w:rsid w:val="003A225E"/>
    <w:rsid w:val="003A5A9D"/>
    <w:rsid w:val="003A5F60"/>
    <w:rsid w:val="003A7D9B"/>
    <w:rsid w:val="003B122E"/>
    <w:rsid w:val="003B49FD"/>
    <w:rsid w:val="003B7AC9"/>
    <w:rsid w:val="003C1D96"/>
    <w:rsid w:val="003C54D9"/>
    <w:rsid w:val="003C5AF9"/>
    <w:rsid w:val="003C6B95"/>
    <w:rsid w:val="003D0C61"/>
    <w:rsid w:val="003D1833"/>
    <w:rsid w:val="003D42E3"/>
    <w:rsid w:val="003E0856"/>
    <w:rsid w:val="003E176A"/>
    <w:rsid w:val="003E2467"/>
    <w:rsid w:val="003E4F9B"/>
    <w:rsid w:val="003E61E1"/>
    <w:rsid w:val="003F03AC"/>
    <w:rsid w:val="003F0833"/>
    <w:rsid w:val="003F15D9"/>
    <w:rsid w:val="003F4E93"/>
    <w:rsid w:val="00401F69"/>
    <w:rsid w:val="00413608"/>
    <w:rsid w:val="00414091"/>
    <w:rsid w:val="0041751A"/>
    <w:rsid w:val="00420558"/>
    <w:rsid w:val="00424A0E"/>
    <w:rsid w:val="00427B93"/>
    <w:rsid w:val="00431608"/>
    <w:rsid w:val="00432F25"/>
    <w:rsid w:val="00433C1D"/>
    <w:rsid w:val="004403EA"/>
    <w:rsid w:val="00441383"/>
    <w:rsid w:val="0045168B"/>
    <w:rsid w:val="00453EC0"/>
    <w:rsid w:val="004614F2"/>
    <w:rsid w:val="00463A57"/>
    <w:rsid w:val="0046692C"/>
    <w:rsid w:val="00466FEC"/>
    <w:rsid w:val="00471802"/>
    <w:rsid w:val="00472C66"/>
    <w:rsid w:val="00473362"/>
    <w:rsid w:val="00473464"/>
    <w:rsid w:val="00475AAC"/>
    <w:rsid w:val="0047712F"/>
    <w:rsid w:val="00480F33"/>
    <w:rsid w:val="00481D87"/>
    <w:rsid w:val="0049087C"/>
    <w:rsid w:val="004918C9"/>
    <w:rsid w:val="00491AD5"/>
    <w:rsid w:val="004933CE"/>
    <w:rsid w:val="00496F64"/>
    <w:rsid w:val="004A242B"/>
    <w:rsid w:val="004A47BE"/>
    <w:rsid w:val="004A63D6"/>
    <w:rsid w:val="004B3DA3"/>
    <w:rsid w:val="004B4978"/>
    <w:rsid w:val="004C5C60"/>
    <w:rsid w:val="004C784D"/>
    <w:rsid w:val="004D29B6"/>
    <w:rsid w:val="004D34AB"/>
    <w:rsid w:val="004E1B22"/>
    <w:rsid w:val="004E669B"/>
    <w:rsid w:val="004E66CD"/>
    <w:rsid w:val="004E7D11"/>
    <w:rsid w:val="004F118C"/>
    <w:rsid w:val="004F2348"/>
    <w:rsid w:val="004F5045"/>
    <w:rsid w:val="004F639B"/>
    <w:rsid w:val="004F6E77"/>
    <w:rsid w:val="00500DE0"/>
    <w:rsid w:val="005016BD"/>
    <w:rsid w:val="00501BDF"/>
    <w:rsid w:val="005048FE"/>
    <w:rsid w:val="00505F9B"/>
    <w:rsid w:val="00506D39"/>
    <w:rsid w:val="005150AF"/>
    <w:rsid w:val="00517EFB"/>
    <w:rsid w:val="00520153"/>
    <w:rsid w:val="00522E42"/>
    <w:rsid w:val="0052705E"/>
    <w:rsid w:val="005368DB"/>
    <w:rsid w:val="0054245E"/>
    <w:rsid w:val="0054283F"/>
    <w:rsid w:val="00542DDE"/>
    <w:rsid w:val="00543159"/>
    <w:rsid w:val="005445DF"/>
    <w:rsid w:val="00545AD4"/>
    <w:rsid w:val="005479C0"/>
    <w:rsid w:val="00551010"/>
    <w:rsid w:val="005515A8"/>
    <w:rsid w:val="00557F89"/>
    <w:rsid w:val="00563D4F"/>
    <w:rsid w:val="005644E1"/>
    <w:rsid w:val="0056775A"/>
    <w:rsid w:val="005706AF"/>
    <w:rsid w:val="005813E3"/>
    <w:rsid w:val="00581847"/>
    <w:rsid w:val="00583389"/>
    <w:rsid w:val="0058415A"/>
    <w:rsid w:val="00585D1C"/>
    <w:rsid w:val="00595F21"/>
    <w:rsid w:val="00596B5A"/>
    <w:rsid w:val="005A7322"/>
    <w:rsid w:val="005A78F2"/>
    <w:rsid w:val="005B1F17"/>
    <w:rsid w:val="005B2DDD"/>
    <w:rsid w:val="005B5322"/>
    <w:rsid w:val="005B74EE"/>
    <w:rsid w:val="005C2DD5"/>
    <w:rsid w:val="005C5AA7"/>
    <w:rsid w:val="005C5B9B"/>
    <w:rsid w:val="005C612B"/>
    <w:rsid w:val="005C70EE"/>
    <w:rsid w:val="005E174F"/>
    <w:rsid w:val="005E2DAA"/>
    <w:rsid w:val="005E312A"/>
    <w:rsid w:val="005E3A30"/>
    <w:rsid w:val="005E5375"/>
    <w:rsid w:val="005E5E5D"/>
    <w:rsid w:val="005E780D"/>
    <w:rsid w:val="005F0D59"/>
    <w:rsid w:val="005F3E71"/>
    <w:rsid w:val="005F563F"/>
    <w:rsid w:val="00600A66"/>
    <w:rsid w:val="00601908"/>
    <w:rsid w:val="0061026D"/>
    <w:rsid w:val="00611CB6"/>
    <w:rsid w:val="0061464E"/>
    <w:rsid w:val="00615220"/>
    <w:rsid w:val="00617F54"/>
    <w:rsid w:val="00624CE3"/>
    <w:rsid w:val="00626C68"/>
    <w:rsid w:val="00632562"/>
    <w:rsid w:val="006326C5"/>
    <w:rsid w:val="00633491"/>
    <w:rsid w:val="006344C5"/>
    <w:rsid w:val="0063611B"/>
    <w:rsid w:val="00636589"/>
    <w:rsid w:val="00637794"/>
    <w:rsid w:val="00637E05"/>
    <w:rsid w:val="00642B3C"/>
    <w:rsid w:val="00643F0B"/>
    <w:rsid w:val="0064521E"/>
    <w:rsid w:val="0064579E"/>
    <w:rsid w:val="006507A4"/>
    <w:rsid w:val="00651503"/>
    <w:rsid w:val="00653E6B"/>
    <w:rsid w:val="00660E1C"/>
    <w:rsid w:val="00664B07"/>
    <w:rsid w:val="006704BB"/>
    <w:rsid w:val="00671145"/>
    <w:rsid w:val="00677D88"/>
    <w:rsid w:val="0068032C"/>
    <w:rsid w:val="0068207F"/>
    <w:rsid w:val="00685687"/>
    <w:rsid w:val="006902F9"/>
    <w:rsid w:val="00691CAD"/>
    <w:rsid w:val="00695682"/>
    <w:rsid w:val="006961B7"/>
    <w:rsid w:val="006A214B"/>
    <w:rsid w:val="006A38DA"/>
    <w:rsid w:val="006A792E"/>
    <w:rsid w:val="006B0904"/>
    <w:rsid w:val="006B3389"/>
    <w:rsid w:val="006B55FB"/>
    <w:rsid w:val="006C0702"/>
    <w:rsid w:val="006C40AE"/>
    <w:rsid w:val="006D5B68"/>
    <w:rsid w:val="006D6BD7"/>
    <w:rsid w:val="006E29E3"/>
    <w:rsid w:val="006E3A70"/>
    <w:rsid w:val="006E6A86"/>
    <w:rsid w:val="006F7D24"/>
    <w:rsid w:val="00707C8A"/>
    <w:rsid w:val="007119A4"/>
    <w:rsid w:val="007132CA"/>
    <w:rsid w:val="00720E11"/>
    <w:rsid w:val="007216F5"/>
    <w:rsid w:val="00721C9A"/>
    <w:rsid w:val="0072620E"/>
    <w:rsid w:val="00727ABF"/>
    <w:rsid w:val="00727D45"/>
    <w:rsid w:val="007303E8"/>
    <w:rsid w:val="00730F07"/>
    <w:rsid w:val="00731B71"/>
    <w:rsid w:val="007343BD"/>
    <w:rsid w:val="00735E37"/>
    <w:rsid w:val="007451F8"/>
    <w:rsid w:val="00746276"/>
    <w:rsid w:val="00747197"/>
    <w:rsid w:val="00747C89"/>
    <w:rsid w:val="0075267A"/>
    <w:rsid w:val="007602B4"/>
    <w:rsid w:val="007627DB"/>
    <w:rsid w:val="00762A2D"/>
    <w:rsid w:val="00765212"/>
    <w:rsid w:val="00772CAE"/>
    <w:rsid w:val="00773B8C"/>
    <w:rsid w:val="00783602"/>
    <w:rsid w:val="007931B0"/>
    <w:rsid w:val="00794C28"/>
    <w:rsid w:val="007A0AF3"/>
    <w:rsid w:val="007B0982"/>
    <w:rsid w:val="007B4AA8"/>
    <w:rsid w:val="007B7335"/>
    <w:rsid w:val="007C066F"/>
    <w:rsid w:val="007C10D2"/>
    <w:rsid w:val="007C14B2"/>
    <w:rsid w:val="007C245F"/>
    <w:rsid w:val="007C6ACC"/>
    <w:rsid w:val="007C6CFF"/>
    <w:rsid w:val="007D4B03"/>
    <w:rsid w:val="007D5B18"/>
    <w:rsid w:val="007D714A"/>
    <w:rsid w:val="007D7D52"/>
    <w:rsid w:val="007E1F9B"/>
    <w:rsid w:val="007E2962"/>
    <w:rsid w:val="007E2F16"/>
    <w:rsid w:val="007E6EE9"/>
    <w:rsid w:val="007E725E"/>
    <w:rsid w:val="007F069B"/>
    <w:rsid w:val="007F18C3"/>
    <w:rsid w:val="007F2FCD"/>
    <w:rsid w:val="00803A03"/>
    <w:rsid w:val="00804898"/>
    <w:rsid w:val="00817E2E"/>
    <w:rsid w:val="00821DE1"/>
    <w:rsid w:val="00824460"/>
    <w:rsid w:val="00824D92"/>
    <w:rsid w:val="0082654F"/>
    <w:rsid w:val="008306C9"/>
    <w:rsid w:val="008325A5"/>
    <w:rsid w:val="00832D76"/>
    <w:rsid w:val="00835DD0"/>
    <w:rsid w:val="00836DB3"/>
    <w:rsid w:val="00840CC2"/>
    <w:rsid w:val="008436D7"/>
    <w:rsid w:val="00843CE2"/>
    <w:rsid w:val="008449E2"/>
    <w:rsid w:val="00845AA5"/>
    <w:rsid w:val="00847788"/>
    <w:rsid w:val="00850917"/>
    <w:rsid w:val="00853053"/>
    <w:rsid w:val="00856F73"/>
    <w:rsid w:val="008620E3"/>
    <w:rsid w:val="008624BC"/>
    <w:rsid w:val="008700B2"/>
    <w:rsid w:val="008710DD"/>
    <w:rsid w:val="00875512"/>
    <w:rsid w:val="00876765"/>
    <w:rsid w:val="00883788"/>
    <w:rsid w:val="00884605"/>
    <w:rsid w:val="008879F5"/>
    <w:rsid w:val="0089061A"/>
    <w:rsid w:val="00892B46"/>
    <w:rsid w:val="00892EF5"/>
    <w:rsid w:val="008947C7"/>
    <w:rsid w:val="008A03C9"/>
    <w:rsid w:val="008A6402"/>
    <w:rsid w:val="008A6608"/>
    <w:rsid w:val="008B2345"/>
    <w:rsid w:val="008B3867"/>
    <w:rsid w:val="008B3C64"/>
    <w:rsid w:val="008B7FB1"/>
    <w:rsid w:val="008C0EC0"/>
    <w:rsid w:val="008C7D28"/>
    <w:rsid w:val="008D16F6"/>
    <w:rsid w:val="008D1822"/>
    <w:rsid w:val="008D3010"/>
    <w:rsid w:val="008D5BC5"/>
    <w:rsid w:val="008E3241"/>
    <w:rsid w:val="008E3F9C"/>
    <w:rsid w:val="008F07FA"/>
    <w:rsid w:val="008F13D8"/>
    <w:rsid w:val="008F511A"/>
    <w:rsid w:val="008F521F"/>
    <w:rsid w:val="008F5E6A"/>
    <w:rsid w:val="008F652B"/>
    <w:rsid w:val="009024F2"/>
    <w:rsid w:val="00903B4C"/>
    <w:rsid w:val="00911B28"/>
    <w:rsid w:val="00916D86"/>
    <w:rsid w:val="00925046"/>
    <w:rsid w:val="00934BD5"/>
    <w:rsid w:val="00937770"/>
    <w:rsid w:val="00937F7E"/>
    <w:rsid w:val="00940D65"/>
    <w:rsid w:val="009534CD"/>
    <w:rsid w:val="0095369E"/>
    <w:rsid w:val="0095388E"/>
    <w:rsid w:val="00956410"/>
    <w:rsid w:val="0096006F"/>
    <w:rsid w:val="00961173"/>
    <w:rsid w:val="009614AC"/>
    <w:rsid w:val="0096375C"/>
    <w:rsid w:val="00965D45"/>
    <w:rsid w:val="00970F45"/>
    <w:rsid w:val="00975915"/>
    <w:rsid w:val="00975987"/>
    <w:rsid w:val="009829B4"/>
    <w:rsid w:val="00991FDD"/>
    <w:rsid w:val="0099551F"/>
    <w:rsid w:val="009A1743"/>
    <w:rsid w:val="009A1D03"/>
    <w:rsid w:val="009A1D3F"/>
    <w:rsid w:val="009B1301"/>
    <w:rsid w:val="009B7FDA"/>
    <w:rsid w:val="009C0E3E"/>
    <w:rsid w:val="009C1463"/>
    <w:rsid w:val="009C195C"/>
    <w:rsid w:val="009C3191"/>
    <w:rsid w:val="009D171A"/>
    <w:rsid w:val="009D4E8A"/>
    <w:rsid w:val="009E09C2"/>
    <w:rsid w:val="009E0A49"/>
    <w:rsid w:val="009E7B65"/>
    <w:rsid w:val="009F1961"/>
    <w:rsid w:val="009F235B"/>
    <w:rsid w:val="009F6805"/>
    <w:rsid w:val="00A007CD"/>
    <w:rsid w:val="00A00C8B"/>
    <w:rsid w:val="00A018E9"/>
    <w:rsid w:val="00A046B2"/>
    <w:rsid w:val="00A17176"/>
    <w:rsid w:val="00A21D29"/>
    <w:rsid w:val="00A2292F"/>
    <w:rsid w:val="00A23536"/>
    <w:rsid w:val="00A23813"/>
    <w:rsid w:val="00A241CA"/>
    <w:rsid w:val="00A258A9"/>
    <w:rsid w:val="00A2775E"/>
    <w:rsid w:val="00A343C7"/>
    <w:rsid w:val="00A35CE4"/>
    <w:rsid w:val="00A37189"/>
    <w:rsid w:val="00A4375D"/>
    <w:rsid w:val="00A63302"/>
    <w:rsid w:val="00A63C2A"/>
    <w:rsid w:val="00A67BE7"/>
    <w:rsid w:val="00A72F3C"/>
    <w:rsid w:val="00A751E9"/>
    <w:rsid w:val="00A75C62"/>
    <w:rsid w:val="00A77BEB"/>
    <w:rsid w:val="00A83A1E"/>
    <w:rsid w:val="00A861D9"/>
    <w:rsid w:val="00AA0D69"/>
    <w:rsid w:val="00AA43EC"/>
    <w:rsid w:val="00AA529B"/>
    <w:rsid w:val="00AB5309"/>
    <w:rsid w:val="00AC14FA"/>
    <w:rsid w:val="00AC1BBC"/>
    <w:rsid w:val="00AC6FDC"/>
    <w:rsid w:val="00AC7060"/>
    <w:rsid w:val="00AD3CE0"/>
    <w:rsid w:val="00AE1C66"/>
    <w:rsid w:val="00AE4E09"/>
    <w:rsid w:val="00AE58A7"/>
    <w:rsid w:val="00AE67C8"/>
    <w:rsid w:val="00AE7874"/>
    <w:rsid w:val="00AF3CC8"/>
    <w:rsid w:val="00AF71A5"/>
    <w:rsid w:val="00B07469"/>
    <w:rsid w:val="00B148D4"/>
    <w:rsid w:val="00B14B56"/>
    <w:rsid w:val="00B1760D"/>
    <w:rsid w:val="00B17FFD"/>
    <w:rsid w:val="00B20405"/>
    <w:rsid w:val="00B20FF7"/>
    <w:rsid w:val="00B233A8"/>
    <w:rsid w:val="00B24AD6"/>
    <w:rsid w:val="00B32429"/>
    <w:rsid w:val="00B33888"/>
    <w:rsid w:val="00B40FE6"/>
    <w:rsid w:val="00B44A0D"/>
    <w:rsid w:val="00B474E0"/>
    <w:rsid w:val="00B52881"/>
    <w:rsid w:val="00B54DD3"/>
    <w:rsid w:val="00B553CB"/>
    <w:rsid w:val="00B641A8"/>
    <w:rsid w:val="00B72EE0"/>
    <w:rsid w:val="00B76DF9"/>
    <w:rsid w:val="00B76FB2"/>
    <w:rsid w:val="00B8172B"/>
    <w:rsid w:val="00B82FBE"/>
    <w:rsid w:val="00B91261"/>
    <w:rsid w:val="00B91D3E"/>
    <w:rsid w:val="00B932B1"/>
    <w:rsid w:val="00B96F19"/>
    <w:rsid w:val="00B96F77"/>
    <w:rsid w:val="00BA1269"/>
    <w:rsid w:val="00BA2A7C"/>
    <w:rsid w:val="00BA5A2C"/>
    <w:rsid w:val="00BA5D86"/>
    <w:rsid w:val="00BB4360"/>
    <w:rsid w:val="00BB4433"/>
    <w:rsid w:val="00BC4825"/>
    <w:rsid w:val="00BC67E8"/>
    <w:rsid w:val="00BC6D88"/>
    <w:rsid w:val="00BD07C5"/>
    <w:rsid w:val="00BD35D8"/>
    <w:rsid w:val="00BD5056"/>
    <w:rsid w:val="00BD5F80"/>
    <w:rsid w:val="00BD635F"/>
    <w:rsid w:val="00BE1B9F"/>
    <w:rsid w:val="00BE31F7"/>
    <w:rsid w:val="00BE4404"/>
    <w:rsid w:val="00BF5AD5"/>
    <w:rsid w:val="00BF6FB1"/>
    <w:rsid w:val="00C00EC7"/>
    <w:rsid w:val="00C03612"/>
    <w:rsid w:val="00C05EF7"/>
    <w:rsid w:val="00C11A72"/>
    <w:rsid w:val="00C12E54"/>
    <w:rsid w:val="00C1557B"/>
    <w:rsid w:val="00C17263"/>
    <w:rsid w:val="00C175D8"/>
    <w:rsid w:val="00C178CB"/>
    <w:rsid w:val="00C20B26"/>
    <w:rsid w:val="00C216AC"/>
    <w:rsid w:val="00C21814"/>
    <w:rsid w:val="00C21B37"/>
    <w:rsid w:val="00C24A73"/>
    <w:rsid w:val="00C25142"/>
    <w:rsid w:val="00C25FB1"/>
    <w:rsid w:val="00C3794E"/>
    <w:rsid w:val="00C410EC"/>
    <w:rsid w:val="00C45D07"/>
    <w:rsid w:val="00C56C31"/>
    <w:rsid w:val="00C62D45"/>
    <w:rsid w:val="00C64C77"/>
    <w:rsid w:val="00C704CA"/>
    <w:rsid w:val="00C7439C"/>
    <w:rsid w:val="00C7565A"/>
    <w:rsid w:val="00C75D69"/>
    <w:rsid w:val="00C8542E"/>
    <w:rsid w:val="00C8552A"/>
    <w:rsid w:val="00C93B62"/>
    <w:rsid w:val="00C94E31"/>
    <w:rsid w:val="00C9581A"/>
    <w:rsid w:val="00C97EA3"/>
    <w:rsid w:val="00CA39D4"/>
    <w:rsid w:val="00CA5F38"/>
    <w:rsid w:val="00CA6F1D"/>
    <w:rsid w:val="00CA73C1"/>
    <w:rsid w:val="00CC27A1"/>
    <w:rsid w:val="00CC2D78"/>
    <w:rsid w:val="00CC3074"/>
    <w:rsid w:val="00CC3336"/>
    <w:rsid w:val="00CC3E4A"/>
    <w:rsid w:val="00CD7205"/>
    <w:rsid w:val="00CE24E1"/>
    <w:rsid w:val="00CE28E8"/>
    <w:rsid w:val="00CF1E05"/>
    <w:rsid w:val="00CF4458"/>
    <w:rsid w:val="00CF4ABB"/>
    <w:rsid w:val="00CF6C35"/>
    <w:rsid w:val="00D01E90"/>
    <w:rsid w:val="00D04885"/>
    <w:rsid w:val="00D06013"/>
    <w:rsid w:val="00D07C05"/>
    <w:rsid w:val="00D1082F"/>
    <w:rsid w:val="00D12C9D"/>
    <w:rsid w:val="00D16B77"/>
    <w:rsid w:val="00D20F59"/>
    <w:rsid w:val="00D2240F"/>
    <w:rsid w:val="00D2303D"/>
    <w:rsid w:val="00D251DB"/>
    <w:rsid w:val="00D2534F"/>
    <w:rsid w:val="00D2691E"/>
    <w:rsid w:val="00D269B4"/>
    <w:rsid w:val="00D311C5"/>
    <w:rsid w:val="00D31BB7"/>
    <w:rsid w:val="00D31D8D"/>
    <w:rsid w:val="00D335FA"/>
    <w:rsid w:val="00D37D75"/>
    <w:rsid w:val="00D4418F"/>
    <w:rsid w:val="00D44E7E"/>
    <w:rsid w:val="00D47CC7"/>
    <w:rsid w:val="00D538F1"/>
    <w:rsid w:val="00D5799D"/>
    <w:rsid w:val="00D61028"/>
    <w:rsid w:val="00D61319"/>
    <w:rsid w:val="00D62147"/>
    <w:rsid w:val="00D6507E"/>
    <w:rsid w:val="00D65095"/>
    <w:rsid w:val="00D654C4"/>
    <w:rsid w:val="00D66AD9"/>
    <w:rsid w:val="00D67D33"/>
    <w:rsid w:val="00D741C5"/>
    <w:rsid w:val="00D76065"/>
    <w:rsid w:val="00D764DA"/>
    <w:rsid w:val="00D80699"/>
    <w:rsid w:val="00D9121D"/>
    <w:rsid w:val="00D92A91"/>
    <w:rsid w:val="00D93859"/>
    <w:rsid w:val="00D94110"/>
    <w:rsid w:val="00D952A1"/>
    <w:rsid w:val="00DA04F0"/>
    <w:rsid w:val="00DA246E"/>
    <w:rsid w:val="00DB0677"/>
    <w:rsid w:val="00DB23A4"/>
    <w:rsid w:val="00DB26D2"/>
    <w:rsid w:val="00DB358B"/>
    <w:rsid w:val="00DB7692"/>
    <w:rsid w:val="00DC0EB3"/>
    <w:rsid w:val="00DC3BEB"/>
    <w:rsid w:val="00DC3DF1"/>
    <w:rsid w:val="00DC54CD"/>
    <w:rsid w:val="00DD2F46"/>
    <w:rsid w:val="00DD33EF"/>
    <w:rsid w:val="00DD49E0"/>
    <w:rsid w:val="00DD4C3D"/>
    <w:rsid w:val="00DD625F"/>
    <w:rsid w:val="00DE54D6"/>
    <w:rsid w:val="00DE64D6"/>
    <w:rsid w:val="00DE6E56"/>
    <w:rsid w:val="00DF1B3B"/>
    <w:rsid w:val="00DF275B"/>
    <w:rsid w:val="00DF5850"/>
    <w:rsid w:val="00DF58EA"/>
    <w:rsid w:val="00E01A6C"/>
    <w:rsid w:val="00E0642C"/>
    <w:rsid w:val="00E06A1D"/>
    <w:rsid w:val="00E21112"/>
    <w:rsid w:val="00E23E40"/>
    <w:rsid w:val="00E33077"/>
    <w:rsid w:val="00E33F2C"/>
    <w:rsid w:val="00E36D60"/>
    <w:rsid w:val="00E37518"/>
    <w:rsid w:val="00E435F0"/>
    <w:rsid w:val="00E456BA"/>
    <w:rsid w:val="00E45957"/>
    <w:rsid w:val="00E45BE7"/>
    <w:rsid w:val="00E5525A"/>
    <w:rsid w:val="00E56DB7"/>
    <w:rsid w:val="00E61E0F"/>
    <w:rsid w:val="00E67551"/>
    <w:rsid w:val="00E70AEF"/>
    <w:rsid w:val="00E71324"/>
    <w:rsid w:val="00E75347"/>
    <w:rsid w:val="00E80EBE"/>
    <w:rsid w:val="00E8250B"/>
    <w:rsid w:val="00E8457D"/>
    <w:rsid w:val="00EA15D9"/>
    <w:rsid w:val="00EA2CDA"/>
    <w:rsid w:val="00EA56EC"/>
    <w:rsid w:val="00EA57C8"/>
    <w:rsid w:val="00EA5BA8"/>
    <w:rsid w:val="00EA624D"/>
    <w:rsid w:val="00EB11D9"/>
    <w:rsid w:val="00EB1B0C"/>
    <w:rsid w:val="00EB21A4"/>
    <w:rsid w:val="00EB378C"/>
    <w:rsid w:val="00EB4A95"/>
    <w:rsid w:val="00EC1805"/>
    <w:rsid w:val="00EC4D95"/>
    <w:rsid w:val="00EC5115"/>
    <w:rsid w:val="00EC52AB"/>
    <w:rsid w:val="00ED019F"/>
    <w:rsid w:val="00ED2657"/>
    <w:rsid w:val="00ED524E"/>
    <w:rsid w:val="00ED6BEE"/>
    <w:rsid w:val="00ED7184"/>
    <w:rsid w:val="00ED7D4E"/>
    <w:rsid w:val="00EE2637"/>
    <w:rsid w:val="00EE3DE4"/>
    <w:rsid w:val="00EE5DBF"/>
    <w:rsid w:val="00EE60CE"/>
    <w:rsid w:val="00EE7220"/>
    <w:rsid w:val="00EE7C15"/>
    <w:rsid w:val="00EF0327"/>
    <w:rsid w:val="00EF49D5"/>
    <w:rsid w:val="00EF6213"/>
    <w:rsid w:val="00EF6B1D"/>
    <w:rsid w:val="00F02BCA"/>
    <w:rsid w:val="00F05691"/>
    <w:rsid w:val="00F0696D"/>
    <w:rsid w:val="00F12669"/>
    <w:rsid w:val="00F17562"/>
    <w:rsid w:val="00F203DA"/>
    <w:rsid w:val="00F23B37"/>
    <w:rsid w:val="00F31646"/>
    <w:rsid w:val="00F43BD2"/>
    <w:rsid w:val="00F45FA2"/>
    <w:rsid w:val="00F632BC"/>
    <w:rsid w:val="00F647FB"/>
    <w:rsid w:val="00F70775"/>
    <w:rsid w:val="00F71E04"/>
    <w:rsid w:val="00F744DF"/>
    <w:rsid w:val="00F744F4"/>
    <w:rsid w:val="00F74DA3"/>
    <w:rsid w:val="00F80D38"/>
    <w:rsid w:val="00F8390D"/>
    <w:rsid w:val="00F86E47"/>
    <w:rsid w:val="00F90A65"/>
    <w:rsid w:val="00F943BE"/>
    <w:rsid w:val="00F96EB4"/>
    <w:rsid w:val="00F9761E"/>
    <w:rsid w:val="00FA1C3B"/>
    <w:rsid w:val="00FA3942"/>
    <w:rsid w:val="00FA396B"/>
    <w:rsid w:val="00FB3370"/>
    <w:rsid w:val="00FB4658"/>
    <w:rsid w:val="00FB5BD7"/>
    <w:rsid w:val="00FB7C53"/>
    <w:rsid w:val="00FC08E1"/>
    <w:rsid w:val="00FC2193"/>
    <w:rsid w:val="00FC37B3"/>
    <w:rsid w:val="00FC6D90"/>
    <w:rsid w:val="00FD3058"/>
    <w:rsid w:val="00FD782D"/>
    <w:rsid w:val="00FE45E2"/>
    <w:rsid w:val="00FE560F"/>
    <w:rsid w:val="00FF0BC3"/>
    <w:rsid w:val="00FF0E43"/>
    <w:rsid w:val="00FF1E3C"/>
    <w:rsid w:val="00FF2915"/>
    <w:rsid w:val="00FF4104"/>
    <w:rsid w:val="00FF5D60"/>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79FE8"/>
  <w15:docId w15:val="{76EF4D0E-7A42-401A-98A2-A2166DB6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028"/>
    <w:rPr>
      <w:rFonts w:ascii="Calibri" w:eastAsia="Calibri" w:hAnsi="Calibri" w:cs="Times New Roman"/>
      <w:lang w:val="en-US"/>
    </w:rPr>
  </w:style>
  <w:style w:type="paragraph" w:styleId="Ttulo1">
    <w:name w:val="heading 1"/>
    <w:basedOn w:val="Normal"/>
    <w:next w:val="Normal"/>
    <w:link w:val="Ttulo1Car"/>
    <w:uiPriority w:val="9"/>
    <w:qFormat/>
    <w:rsid w:val="000A3E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locked/>
    <w:rsid w:val="00D61028"/>
    <w:rPr>
      <w:rFonts w:ascii="Calibri" w:eastAsia="Calibri" w:hAnsi="Calibri" w:cs="Times New Roman"/>
      <w:sz w:val="20"/>
      <w:szCs w:val="20"/>
      <w:lang w:val="en-U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nhideWhenUsed/>
    <w:qFormat/>
    <w:rsid w:val="00D61028"/>
    <w:pPr>
      <w:spacing w:after="0" w:line="240" w:lineRule="auto"/>
    </w:pPr>
    <w:rPr>
      <w:sz w:val="20"/>
      <w:szCs w:val="20"/>
    </w:rPr>
  </w:style>
  <w:style w:type="character" w:customStyle="1" w:styleId="FootnoteTextChar1">
    <w:name w:val="Footnote Text Char1"/>
    <w:basedOn w:val="Fuentedeprrafopredeter"/>
    <w:uiPriority w:val="99"/>
    <w:semiHidden/>
    <w:rsid w:val="00D61028"/>
    <w:rPr>
      <w:rFonts w:ascii="Calibri" w:eastAsia="Calibri" w:hAnsi="Calibri" w:cs="Times New Roman"/>
      <w:sz w:val="20"/>
      <w:szCs w:val="20"/>
      <w:lang w:val="en-US"/>
    </w:rPr>
  </w:style>
  <w:style w:type="character" w:customStyle="1" w:styleId="PrrafodelistaCar">
    <w:name w:val="Párrafo de lista Car"/>
    <w:aliases w:val="Footnote Car,Párrafo de lista1 Car,List Paragraph1 Car,Cuadrícula clara - Énfasis 31 Car,Colorful List - Accent 11 Car,List Paragraph2 Car,Lista vistosa - Énfasis 11 Car"/>
    <w:link w:val="Prrafodelista"/>
    <w:uiPriority w:val="34"/>
    <w:locked/>
    <w:rsid w:val="00D61028"/>
    <w:rPr>
      <w:rFonts w:ascii="Calibri" w:eastAsia="Calibri" w:hAnsi="Calibri" w:cs="Times New Roman"/>
      <w:lang w:val="en-US"/>
    </w:rPr>
  </w:style>
  <w:style w:type="paragraph" w:styleId="Prrafodelista">
    <w:name w:val="List Paragraph"/>
    <w:aliases w:val="Footnote,Párrafo de lista1,List Paragraph1,Cuadrícula clara - Énfasis 31,Colorful List - Accent 11,List Paragraph2,Lista vistosa - Énfasis 11"/>
    <w:basedOn w:val="Normal"/>
    <w:link w:val="PrrafodelistaCar"/>
    <w:uiPriority w:val="34"/>
    <w:qFormat/>
    <w:rsid w:val="00D61028"/>
    <w:pPr>
      <w:ind w:left="720"/>
      <w:contextualSpacing/>
    </w:p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unhideWhenUsed/>
    <w:qFormat/>
    <w:rsid w:val="00D6102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D61028"/>
    <w:pPr>
      <w:spacing w:after="0" w:line="240" w:lineRule="auto"/>
      <w:jc w:val="both"/>
    </w:pPr>
    <w:rPr>
      <w:rFonts w:asciiTheme="minorHAnsi" w:eastAsiaTheme="minorHAnsi" w:hAnsiTheme="minorHAnsi" w:cstheme="minorBidi"/>
      <w:vertAlign w:val="superscript"/>
      <w:lang w:val="es-CR"/>
    </w:rPr>
  </w:style>
  <w:style w:type="character" w:styleId="Textoennegrita">
    <w:name w:val="Strong"/>
    <w:uiPriority w:val="22"/>
    <w:qFormat/>
    <w:rsid w:val="00CC3074"/>
    <w:rPr>
      <w:b/>
      <w:bCs/>
    </w:rPr>
  </w:style>
  <w:style w:type="character" w:styleId="Hipervnculo">
    <w:name w:val="Hyperlink"/>
    <w:basedOn w:val="Fuentedeprrafopredeter"/>
    <w:uiPriority w:val="99"/>
    <w:unhideWhenUsed/>
    <w:rsid w:val="00CC3074"/>
    <w:rPr>
      <w:color w:val="0000FF" w:themeColor="hyperlink"/>
      <w:u w:val="single"/>
    </w:rPr>
  </w:style>
  <w:style w:type="paragraph" w:styleId="Encabezado">
    <w:name w:val="header"/>
    <w:basedOn w:val="Normal"/>
    <w:link w:val="EncabezadoCar"/>
    <w:uiPriority w:val="99"/>
    <w:unhideWhenUsed/>
    <w:rsid w:val="00FF1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E3C"/>
    <w:rPr>
      <w:rFonts w:ascii="Calibri" w:eastAsia="Calibri" w:hAnsi="Calibri" w:cs="Times New Roman"/>
      <w:lang w:val="en-US"/>
    </w:rPr>
  </w:style>
  <w:style w:type="paragraph" w:styleId="Piedepgina">
    <w:name w:val="footer"/>
    <w:basedOn w:val="Normal"/>
    <w:link w:val="PiedepginaCar"/>
    <w:uiPriority w:val="99"/>
    <w:unhideWhenUsed/>
    <w:rsid w:val="00FF1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E3C"/>
    <w:rPr>
      <w:rFonts w:ascii="Calibri" w:eastAsia="Calibri" w:hAnsi="Calibri" w:cs="Times New Roman"/>
      <w:lang w:val="en-US"/>
    </w:rPr>
  </w:style>
  <w:style w:type="paragraph" w:styleId="Textodeglobo">
    <w:name w:val="Balloon Text"/>
    <w:basedOn w:val="Normal"/>
    <w:link w:val="TextodegloboCar"/>
    <w:uiPriority w:val="99"/>
    <w:semiHidden/>
    <w:unhideWhenUsed/>
    <w:rsid w:val="00FF1E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E3C"/>
    <w:rPr>
      <w:rFonts w:ascii="Tahoma" w:eastAsia="Calibri" w:hAnsi="Tahoma" w:cs="Tahoma"/>
      <w:sz w:val="16"/>
      <w:szCs w:val="16"/>
      <w:lang w:val="en-US"/>
    </w:rPr>
  </w:style>
  <w:style w:type="character" w:styleId="Nmerodelnea">
    <w:name w:val="line number"/>
    <w:basedOn w:val="Fuentedeprrafopredeter"/>
    <w:uiPriority w:val="99"/>
    <w:semiHidden/>
    <w:unhideWhenUsed/>
    <w:rsid w:val="001009E8"/>
  </w:style>
  <w:style w:type="paragraph" w:styleId="TDC1">
    <w:name w:val="toc 1"/>
    <w:basedOn w:val="Normal"/>
    <w:next w:val="Normal"/>
    <w:autoRedefine/>
    <w:uiPriority w:val="39"/>
    <w:unhideWhenUsed/>
    <w:rsid w:val="007602B4"/>
    <w:pPr>
      <w:tabs>
        <w:tab w:val="left" w:pos="851"/>
        <w:tab w:val="right" w:leader="dot" w:pos="8789"/>
      </w:tabs>
      <w:spacing w:after="100"/>
      <w:ind w:left="567" w:right="571"/>
      <w:jc w:val="both"/>
    </w:pPr>
    <w:rPr>
      <w:rFonts w:ascii="Verdana" w:eastAsiaTheme="minorHAnsi" w:hAnsi="Verdana"/>
      <w:i/>
      <w:noProof/>
      <w:lang w:val="es-ES_tradnl"/>
    </w:rPr>
  </w:style>
  <w:style w:type="character" w:styleId="nfasis">
    <w:name w:val="Emphasis"/>
    <w:basedOn w:val="Fuentedeprrafopredeter"/>
    <w:uiPriority w:val="20"/>
    <w:qFormat/>
    <w:rsid w:val="004E1B22"/>
    <w:rPr>
      <w:i/>
      <w:iCs/>
    </w:rPr>
  </w:style>
  <w:style w:type="paragraph" w:styleId="Textoindependiente">
    <w:name w:val="Body Text"/>
    <w:basedOn w:val="Normal"/>
    <w:link w:val="TextoindependienteCar"/>
    <w:uiPriority w:val="99"/>
    <w:semiHidden/>
    <w:unhideWhenUsed/>
    <w:rsid w:val="003377E6"/>
    <w:pPr>
      <w:spacing w:after="120"/>
    </w:pPr>
    <w:rPr>
      <w:sz w:val="20"/>
      <w:szCs w:val="20"/>
      <w:lang w:val="x-none" w:eastAsia="x-none"/>
    </w:rPr>
  </w:style>
  <w:style w:type="character" w:customStyle="1" w:styleId="TextoindependienteCar">
    <w:name w:val="Texto independiente Car"/>
    <w:basedOn w:val="Fuentedeprrafopredeter"/>
    <w:link w:val="Textoindependiente"/>
    <w:uiPriority w:val="99"/>
    <w:semiHidden/>
    <w:rsid w:val="003377E6"/>
    <w:rPr>
      <w:rFonts w:ascii="Calibri" w:eastAsia="Calibri" w:hAnsi="Calibri" w:cs="Times New Roman"/>
      <w:sz w:val="20"/>
      <w:szCs w:val="20"/>
      <w:lang w:val="x-none" w:eastAsia="x-none"/>
    </w:rPr>
  </w:style>
  <w:style w:type="paragraph" w:customStyle="1" w:styleId="Default">
    <w:name w:val="Default"/>
    <w:rsid w:val="003377E6"/>
    <w:pPr>
      <w:autoSpaceDE w:val="0"/>
      <w:autoSpaceDN w:val="0"/>
      <w:adjustRightInd w:val="0"/>
      <w:spacing w:after="0" w:line="240" w:lineRule="auto"/>
    </w:pPr>
    <w:rPr>
      <w:rFonts w:ascii="Verdana" w:eastAsia="Calibri" w:hAnsi="Verdana" w:cs="Verdana"/>
      <w:color w:val="000000"/>
      <w:sz w:val="24"/>
      <w:szCs w:val="24"/>
      <w:lang w:val="en-US"/>
    </w:rPr>
  </w:style>
  <w:style w:type="character" w:styleId="Refdecomentario">
    <w:name w:val="annotation reference"/>
    <w:basedOn w:val="Fuentedeprrafopredeter"/>
    <w:uiPriority w:val="99"/>
    <w:semiHidden/>
    <w:unhideWhenUsed/>
    <w:rsid w:val="00845AA5"/>
    <w:rPr>
      <w:sz w:val="18"/>
      <w:szCs w:val="18"/>
    </w:rPr>
  </w:style>
  <w:style w:type="paragraph" w:styleId="Textocomentario">
    <w:name w:val="annotation text"/>
    <w:basedOn w:val="Normal"/>
    <w:link w:val="TextocomentarioCar"/>
    <w:uiPriority w:val="99"/>
    <w:semiHidden/>
    <w:unhideWhenUsed/>
    <w:rsid w:val="00845AA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45AA5"/>
    <w:rPr>
      <w:rFonts w:ascii="Calibri" w:eastAsia="Calibri" w:hAnsi="Calibri" w:cs="Times New Roman"/>
      <w:sz w:val="24"/>
      <w:szCs w:val="24"/>
      <w:lang w:val="en-US"/>
    </w:rPr>
  </w:style>
  <w:style w:type="paragraph" w:styleId="Asuntodelcomentario">
    <w:name w:val="annotation subject"/>
    <w:basedOn w:val="Textocomentario"/>
    <w:next w:val="Textocomentario"/>
    <w:link w:val="AsuntodelcomentarioCar"/>
    <w:uiPriority w:val="99"/>
    <w:semiHidden/>
    <w:unhideWhenUsed/>
    <w:rsid w:val="00845AA5"/>
    <w:rPr>
      <w:b/>
      <w:bCs/>
      <w:sz w:val="20"/>
      <w:szCs w:val="20"/>
    </w:rPr>
  </w:style>
  <w:style w:type="character" w:customStyle="1" w:styleId="AsuntodelcomentarioCar">
    <w:name w:val="Asunto del comentario Car"/>
    <w:basedOn w:val="TextocomentarioCar"/>
    <w:link w:val="Asuntodelcomentario"/>
    <w:uiPriority w:val="99"/>
    <w:semiHidden/>
    <w:rsid w:val="00845AA5"/>
    <w:rPr>
      <w:rFonts w:ascii="Calibri" w:eastAsia="Calibri" w:hAnsi="Calibri" w:cs="Times New Roman"/>
      <w:b/>
      <w:bCs/>
      <w:sz w:val="20"/>
      <w:szCs w:val="20"/>
      <w:lang w:val="en-US"/>
    </w:rPr>
  </w:style>
  <w:style w:type="paragraph" w:styleId="NormalWeb">
    <w:name w:val="Normal (Web)"/>
    <w:basedOn w:val="Normal"/>
    <w:uiPriority w:val="99"/>
    <w:semiHidden/>
    <w:unhideWhenUsed/>
    <w:rsid w:val="002F451B"/>
    <w:pPr>
      <w:spacing w:before="100" w:beforeAutospacing="1" w:after="100" w:afterAutospacing="1" w:line="240" w:lineRule="auto"/>
    </w:pPr>
    <w:rPr>
      <w:rFonts w:ascii="Times" w:eastAsiaTheme="minorHAnsi" w:hAnsi="Times"/>
      <w:sz w:val="20"/>
      <w:szCs w:val="20"/>
    </w:rPr>
  </w:style>
  <w:style w:type="character" w:customStyle="1" w:styleId="Ttulo1Car">
    <w:name w:val="Título 1 Car"/>
    <w:basedOn w:val="Fuentedeprrafopredeter"/>
    <w:link w:val="Ttulo1"/>
    <w:uiPriority w:val="9"/>
    <w:rsid w:val="000A3EE5"/>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7840">
      <w:bodyDiv w:val="1"/>
      <w:marLeft w:val="0"/>
      <w:marRight w:val="0"/>
      <w:marTop w:val="0"/>
      <w:marBottom w:val="0"/>
      <w:divBdr>
        <w:top w:val="none" w:sz="0" w:space="0" w:color="auto"/>
        <w:left w:val="none" w:sz="0" w:space="0" w:color="auto"/>
        <w:bottom w:val="none" w:sz="0" w:space="0" w:color="auto"/>
        <w:right w:val="none" w:sz="0" w:space="0" w:color="auto"/>
      </w:divBdr>
      <w:divsChild>
        <w:div w:id="463042575">
          <w:marLeft w:val="0"/>
          <w:marRight w:val="0"/>
          <w:marTop w:val="0"/>
          <w:marBottom w:val="0"/>
          <w:divBdr>
            <w:top w:val="none" w:sz="0" w:space="0" w:color="auto"/>
            <w:left w:val="none" w:sz="0" w:space="0" w:color="auto"/>
            <w:bottom w:val="none" w:sz="0" w:space="0" w:color="auto"/>
            <w:right w:val="none" w:sz="0" w:space="0" w:color="auto"/>
          </w:divBdr>
          <w:divsChild>
            <w:div w:id="325015392">
              <w:marLeft w:val="0"/>
              <w:marRight w:val="0"/>
              <w:marTop w:val="0"/>
              <w:marBottom w:val="0"/>
              <w:divBdr>
                <w:top w:val="none" w:sz="0" w:space="0" w:color="auto"/>
                <w:left w:val="none" w:sz="0" w:space="0" w:color="auto"/>
                <w:bottom w:val="none" w:sz="0" w:space="0" w:color="auto"/>
                <w:right w:val="none" w:sz="0" w:space="0" w:color="auto"/>
              </w:divBdr>
              <w:divsChild>
                <w:div w:id="5222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8411">
      <w:bodyDiv w:val="1"/>
      <w:marLeft w:val="0"/>
      <w:marRight w:val="0"/>
      <w:marTop w:val="0"/>
      <w:marBottom w:val="0"/>
      <w:divBdr>
        <w:top w:val="none" w:sz="0" w:space="0" w:color="auto"/>
        <w:left w:val="none" w:sz="0" w:space="0" w:color="auto"/>
        <w:bottom w:val="none" w:sz="0" w:space="0" w:color="auto"/>
        <w:right w:val="none" w:sz="0" w:space="0" w:color="auto"/>
      </w:divBdr>
    </w:div>
    <w:div w:id="241842242">
      <w:bodyDiv w:val="1"/>
      <w:marLeft w:val="0"/>
      <w:marRight w:val="0"/>
      <w:marTop w:val="0"/>
      <w:marBottom w:val="0"/>
      <w:divBdr>
        <w:top w:val="none" w:sz="0" w:space="0" w:color="auto"/>
        <w:left w:val="none" w:sz="0" w:space="0" w:color="auto"/>
        <w:bottom w:val="none" w:sz="0" w:space="0" w:color="auto"/>
        <w:right w:val="none" w:sz="0" w:space="0" w:color="auto"/>
      </w:divBdr>
    </w:div>
    <w:div w:id="843134144">
      <w:bodyDiv w:val="1"/>
      <w:marLeft w:val="0"/>
      <w:marRight w:val="0"/>
      <w:marTop w:val="0"/>
      <w:marBottom w:val="0"/>
      <w:divBdr>
        <w:top w:val="none" w:sz="0" w:space="0" w:color="auto"/>
        <w:left w:val="none" w:sz="0" w:space="0" w:color="auto"/>
        <w:bottom w:val="none" w:sz="0" w:space="0" w:color="auto"/>
        <w:right w:val="none" w:sz="0" w:space="0" w:color="auto"/>
      </w:divBdr>
    </w:div>
    <w:div w:id="1317951502">
      <w:bodyDiv w:val="1"/>
      <w:marLeft w:val="0"/>
      <w:marRight w:val="0"/>
      <w:marTop w:val="0"/>
      <w:marBottom w:val="0"/>
      <w:divBdr>
        <w:top w:val="none" w:sz="0" w:space="0" w:color="auto"/>
        <w:left w:val="none" w:sz="0" w:space="0" w:color="auto"/>
        <w:bottom w:val="none" w:sz="0" w:space="0" w:color="auto"/>
        <w:right w:val="none" w:sz="0" w:space="0" w:color="auto"/>
      </w:divBdr>
      <w:divsChild>
        <w:div w:id="1746146484">
          <w:marLeft w:val="0"/>
          <w:marRight w:val="0"/>
          <w:marTop w:val="0"/>
          <w:marBottom w:val="0"/>
          <w:divBdr>
            <w:top w:val="none" w:sz="0" w:space="0" w:color="auto"/>
            <w:left w:val="none" w:sz="0" w:space="0" w:color="auto"/>
            <w:bottom w:val="none" w:sz="0" w:space="0" w:color="auto"/>
            <w:right w:val="none" w:sz="0" w:space="0" w:color="auto"/>
          </w:divBdr>
          <w:divsChild>
            <w:div w:id="1901400578">
              <w:marLeft w:val="0"/>
              <w:marRight w:val="0"/>
              <w:marTop w:val="0"/>
              <w:marBottom w:val="0"/>
              <w:divBdr>
                <w:top w:val="none" w:sz="0" w:space="0" w:color="auto"/>
                <w:left w:val="none" w:sz="0" w:space="0" w:color="auto"/>
                <w:bottom w:val="none" w:sz="0" w:space="0" w:color="auto"/>
                <w:right w:val="none" w:sz="0" w:space="0" w:color="auto"/>
              </w:divBdr>
              <w:divsChild>
                <w:div w:id="1409569901">
                  <w:marLeft w:val="0"/>
                  <w:marRight w:val="0"/>
                  <w:marTop w:val="0"/>
                  <w:marBottom w:val="0"/>
                  <w:divBdr>
                    <w:top w:val="none" w:sz="0" w:space="0" w:color="auto"/>
                    <w:left w:val="none" w:sz="0" w:space="0" w:color="auto"/>
                    <w:bottom w:val="none" w:sz="0" w:space="0" w:color="auto"/>
                    <w:right w:val="none" w:sz="0" w:space="0" w:color="auto"/>
                  </w:divBdr>
                  <w:divsChild>
                    <w:div w:id="786776137">
                      <w:marLeft w:val="0"/>
                      <w:marRight w:val="0"/>
                      <w:marTop w:val="0"/>
                      <w:marBottom w:val="0"/>
                      <w:divBdr>
                        <w:top w:val="none" w:sz="0" w:space="0" w:color="auto"/>
                        <w:left w:val="none" w:sz="0" w:space="0" w:color="auto"/>
                        <w:bottom w:val="none" w:sz="0" w:space="0" w:color="auto"/>
                        <w:right w:val="none" w:sz="0" w:space="0" w:color="auto"/>
                      </w:divBdr>
                    </w:div>
                  </w:divsChild>
                </w:div>
                <w:div w:id="699205311">
                  <w:marLeft w:val="0"/>
                  <w:marRight w:val="0"/>
                  <w:marTop w:val="0"/>
                  <w:marBottom w:val="0"/>
                  <w:divBdr>
                    <w:top w:val="none" w:sz="0" w:space="0" w:color="auto"/>
                    <w:left w:val="none" w:sz="0" w:space="0" w:color="auto"/>
                    <w:bottom w:val="none" w:sz="0" w:space="0" w:color="auto"/>
                    <w:right w:val="none" w:sz="0" w:space="0" w:color="auto"/>
                  </w:divBdr>
                  <w:divsChild>
                    <w:div w:id="1960062190">
                      <w:marLeft w:val="0"/>
                      <w:marRight w:val="0"/>
                      <w:marTop w:val="0"/>
                      <w:marBottom w:val="0"/>
                      <w:divBdr>
                        <w:top w:val="none" w:sz="0" w:space="0" w:color="auto"/>
                        <w:left w:val="none" w:sz="0" w:space="0" w:color="auto"/>
                        <w:bottom w:val="none" w:sz="0" w:space="0" w:color="auto"/>
                        <w:right w:val="none" w:sz="0" w:space="0" w:color="auto"/>
                      </w:divBdr>
                    </w:div>
                  </w:divsChild>
                </w:div>
                <w:div w:id="1383168660">
                  <w:marLeft w:val="0"/>
                  <w:marRight w:val="0"/>
                  <w:marTop w:val="0"/>
                  <w:marBottom w:val="0"/>
                  <w:divBdr>
                    <w:top w:val="none" w:sz="0" w:space="0" w:color="auto"/>
                    <w:left w:val="none" w:sz="0" w:space="0" w:color="auto"/>
                    <w:bottom w:val="none" w:sz="0" w:space="0" w:color="auto"/>
                    <w:right w:val="none" w:sz="0" w:space="0" w:color="auto"/>
                  </w:divBdr>
                  <w:divsChild>
                    <w:div w:id="1735002635">
                      <w:marLeft w:val="0"/>
                      <w:marRight w:val="0"/>
                      <w:marTop w:val="0"/>
                      <w:marBottom w:val="0"/>
                      <w:divBdr>
                        <w:top w:val="none" w:sz="0" w:space="0" w:color="auto"/>
                        <w:left w:val="none" w:sz="0" w:space="0" w:color="auto"/>
                        <w:bottom w:val="none" w:sz="0" w:space="0" w:color="auto"/>
                        <w:right w:val="none" w:sz="0" w:space="0" w:color="auto"/>
                      </w:divBdr>
                    </w:div>
                  </w:divsChild>
                </w:div>
                <w:div w:id="524944333">
                  <w:marLeft w:val="0"/>
                  <w:marRight w:val="0"/>
                  <w:marTop w:val="0"/>
                  <w:marBottom w:val="0"/>
                  <w:divBdr>
                    <w:top w:val="none" w:sz="0" w:space="0" w:color="auto"/>
                    <w:left w:val="none" w:sz="0" w:space="0" w:color="auto"/>
                    <w:bottom w:val="none" w:sz="0" w:space="0" w:color="auto"/>
                    <w:right w:val="none" w:sz="0" w:space="0" w:color="auto"/>
                  </w:divBdr>
                  <w:divsChild>
                    <w:div w:id="506409915">
                      <w:marLeft w:val="0"/>
                      <w:marRight w:val="0"/>
                      <w:marTop w:val="0"/>
                      <w:marBottom w:val="0"/>
                      <w:divBdr>
                        <w:top w:val="none" w:sz="0" w:space="0" w:color="auto"/>
                        <w:left w:val="none" w:sz="0" w:space="0" w:color="auto"/>
                        <w:bottom w:val="none" w:sz="0" w:space="0" w:color="auto"/>
                        <w:right w:val="none" w:sz="0" w:space="0" w:color="auto"/>
                      </w:divBdr>
                    </w:div>
                  </w:divsChild>
                </w:div>
                <w:div w:id="190798594">
                  <w:marLeft w:val="0"/>
                  <w:marRight w:val="0"/>
                  <w:marTop w:val="0"/>
                  <w:marBottom w:val="0"/>
                  <w:divBdr>
                    <w:top w:val="none" w:sz="0" w:space="0" w:color="auto"/>
                    <w:left w:val="none" w:sz="0" w:space="0" w:color="auto"/>
                    <w:bottom w:val="none" w:sz="0" w:space="0" w:color="auto"/>
                    <w:right w:val="none" w:sz="0" w:space="0" w:color="auto"/>
                  </w:divBdr>
                  <w:divsChild>
                    <w:div w:id="17128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73817">
      <w:bodyDiv w:val="1"/>
      <w:marLeft w:val="0"/>
      <w:marRight w:val="0"/>
      <w:marTop w:val="0"/>
      <w:marBottom w:val="0"/>
      <w:divBdr>
        <w:top w:val="none" w:sz="0" w:space="0" w:color="auto"/>
        <w:left w:val="none" w:sz="0" w:space="0" w:color="auto"/>
        <w:bottom w:val="none" w:sz="0" w:space="0" w:color="auto"/>
        <w:right w:val="none" w:sz="0" w:space="0" w:color="auto"/>
      </w:divBdr>
    </w:div>
    <w:div w:id="1657682703">
      <w:bodyDiv w:val="1"/>
      <w:marLeft w:val="0"/>
      <w:marRight w:val="0"/>
      <w:marTop w:val="0"/>
      <w:marBottom w:val="0"/>
      <w:divBdr>
        <w:top w:val="none" w:sz="0" w:space="0" w:color="auto"/>
        <w:left w:val="none" w:sz="0" w:space="0" w:color="auto"/>
        <w:bottom w:val="none" w:sz="0" w:space="0" w:color="auto"/>
        <w:right w:val="none" w:sz="0" w:space="0" w:color="auto"/>
      </w:divBdr>
    </w:div>
    <w:div w:id="19497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comunidades_01_09_16.pdf" TargetMode="External"/><Relationship Id="rId2" Type="http://schemas.openxmlformats.org/officeDocument/2006/relationships/hyperlink" Target="http://www.corteidh.or.cr/docs/supervisiones/yakie_24_06_15.pdf" TargetMode="External"/><Relationship Id="rId1" Type="http://schemas.openxmlformats.org/officeDocument/2006/relationships/hyperlink" Target="http://www.corteidh.or.cr/docs/casos/articulos/seriec_214_esp.pdf" TargetMode="External"/><Relationship Id="rId6" Type="http://schemas.openxmlformats.org/officeDocument/2006/relationships/hyperlink" Target="https://www.pj.gov.py/notas/14785-decisiones-del-pleno-de-la-corte-suprema" TargetMode="External"/><Relationship Id="rId5" Type="http://schemas.openxmlformats.org/officeDocument/2006/relationships/hyperlink" Target="http://www.vicepresidencia.gov.py/index.php/cicsi" TargetMode="External"/><Relationship Id="rId4" Type="http://schemas.openxmlformats.org/officeDocument/2006/relationships/hyperlink" Target="http://www.corteidh.or.cr/docs/supervisiones/3casosparaguayos_30_08_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6CAA-7397-45A2-AC83-35E36569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8383</Words>
  <Characters>46111</Characters>
  <Application>Microsoft Office Word</Application>
  <DocSecurity>0</DocSecurity>
  <Lines>384</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cp:lastPrinted>2019-06-24T22:10:00Z</cp:lastPrinted>
  <dcterms:created xsi:type="dcterms:W3CDTF">2019-06-25T15:51:00Z</dcterms:created>
  <dcterms:modified xsi:type="dcterms:W3CDTF">2019-06-25T15:51:00Z</dcterms:modified>
</cp:coreProperties>
</file>