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C314" w14:textId="77777777" w:rsidR="00157638" w:rsidRDefault="00157638" w:rsidP="00C1609E">
      <w:pPr>
        <w:spacing w:after="0" w:line="240" w:lineRule="auto"/>
        <w:jc w:val="center"/>
        <w:outlineLvl w:val="0"/>
        <w:rPr>
          <w:rFonts w:ascii="Verdana" w:hAnsi="Verdana"/>
          <w:b/>
          <w:sz w:val="20"/>
          <w:szCs w:val="20"/>
        </w:rPr>
      </w:pPr>
    </w:p>
    <w:p w14:paraId="21A5C875" w14:textId="77777777" w:rsidR="00157638" w:rsidRDefault="00157638" w:rsidP="00C1609E">
      <w:pPr>
        <w:spacing w:after="0" w:line="240" w:lineRule="auto"/>
        <w:jc w:val="center"/>
        <w:outlineLvl w:val="0"/>
        <w:rPr>
          <w:rFonts w:ascii="Verdana" w:hAnsi="Verdana"/>
          <w:b/>
          <w:sz w:val="20"/>
          <w:szCs w:val="20"/>
        </w:rPr>
      </w:pPr>
    </w:p>
    <w:p w14:paraId="56018717" w14:textId="77777777" w:rsidR="00157638" w:rsidRDefault="00157638" w:rsidP="00C1609E">
      <w:pPr>
        <w:spacing w:after="0" w:line="240" w:lineRule="auto"/>
        <w:jc w:val="center"/>
        <w:outlineLvl w:val="0"/>
        <w:rPr>
          <w:rFonts w:ascii="Verdana" w:hAnsi="Verdana"/>
          <w:b/>
          <w:sz w:val="20"/>
          <w:szCs w:val="20"/>
        </w:rPr>
      </w:pPr>
    </w:p>
    <w:p w14:paraId="5B9AA6A6" w14:textId="77777777" w:rsidR="00157638" w:rsidRDefault="00157638" w:rsidP="00C1609E">
      <w:pPr>
        <w:spacing w:after="0" w:line="240" w:lineRule="auto"/>
        <w:jc w:val="center"/>
        <w:outlineLvl w:val="0"/>
        <w:rPr>
          <w:rFonts w:ascii="Verdana" w:hAnsi="Verdana"/>
          <w:b/>
          <w:sz w:val="20"/>
          <w:szCs w:val="20"/>
        </w:rPr>
      </w:pPr>
    </w:p>
    <w:p w14:paraId="57E78851" w14:textId="77777777" w:rsidR="00157638" w:rsidRDefault="00157638" w:rsidP="00C1609E">
      <w:pPr>
        <w:spacing w:after="0" w:line="240" w:lineRule="auto"/>
        <w:jc w:val="center"/>
        <w:outlineLvl w:val="0"/>
        <w:rPr>
          <w:rFonts w:ascii="Verdana" w:hAnsi="Verdana"/>
          <w:b/>
          <w:sz w:val="20"/>
          <w:szCs w:val="20"/>
        </w:rPr>
      </w:pPr>
    </w:p>
    <w:p w14:paraId="1E6AE0E1" w14:textId="77777777" w:rsidR="00157638" w:rsidRDefault="00157638" w:rsidP="00C1609E">
      <w:pPr>
        <w:spacing w:after="0" w:line="240" w:lineRule="auto"/>
        <w:jc w:val="center"/>
        <w:outlineLvl w:val="0"/>
        <w:rPr>
          <w:rFonts w:ascii="Verdana" w:hAnsi="Verdana"/>
          <w:b/>
          <w:sz w:val="20"/>
          <w:szCs w:val="20"/>
        </w:rPr>
      </w:pPr>
    </w:p>
    <w:p w14:paraId="7028DE1A" w14:textId="77777777" w:rsidR="00157638" w:rsidRDefault="00157638" w:rsidP="00C1609E">
      <w:pPr>
        <w:spacing w:after="0" w:line="240" w:lineRule="auto"/>
        <w:jc w:val="center"/>
        <w:outlineLvl w:val="0"/>
        <w:rPr>
          <w:rFonts w:ascii="Verdana" w:hAnsi="Verdana"/>
          <w:b/>
          <w:sz w:val="20"/>
          <w:szCs w:val="20"/>
        </w:rPr>
      </w:pPr>
    </w:p>
    <w:p w14:paraId="0C46ED5B" w14:textId="77777777" w:rsidR="00B041E7" w:rsidRDefault="00B041E7" w:rsidP="00C1609E">
      <w:pPr>
        <w:spacing w:after="0" w:line="240" w:lineRule="auto"/>
        <w:jc w:val="center"/>
        <w:outlineLvl w:val="0"/>
        <w:rPr>
          <w:rFonts w:ascii="Verdana" w:hAnsi="Verdana"/>
          <w:b/>
          <w:sz w:val="20"/>
          <w:szCs w:val="20"/>
        </w:rPr>
      </w:pPr>
      <w:r>
        <w:rPr>
          <w:rFonts w:ascii="Verdana" w:hAnsi="Verdana"/>
          <w:b/>
          <w:sz w:val="20"/>
          <w:szCs w:val="20"/>
        </w:rPr>
        <w:t>RESOLUCIÓN DE LA</w:t>
      </w:r>
    </w:p>
    <w:p w14:paraId="180C789A" w14:textId="77777777" w:rsidR="00B041E7" w:rsidRDefault="00B041E7" w:rsidP="00C1609E">
      <w:pPr>
        <w:spacing w:after="0" w:line="240" w:lineRule="auto"/>
        <w:jc w:val="center"/>
        <w:outlineLvl w:val="0"/>
        <w:rPr>
          <w:rFonts w:ascii="Verdana" w:hAnsi="Verdana"/>
          <w:b/>
          <w:smallCaps/>
          <w:sz w:val="20"/>
        </w:rPr>
      </w:pPr>
      <w:r>
        <w:rPr>
          <w:rFonts w:ascii="Verdana" w:hAnsi="Verdana"/>
          <w:b/>
          <w:sz w:val="20"/>
          <w:szCs w:val="20"/>
        </w:rPr>
        <w:t>CORTE INTERAMERICANA DE DERECHOS HUMANOS</w:t>
      </w:r>
    </w:p>
    <w:p w14:paraId="317B7CCB" w14:textId="77777777" w:rsidR="00B041E7" w:rsidRDefault="00B041E7" w:rsidP="00B041E7">
      <w:pPr>
        <w:spacing w:after="0" w:line="240" w:lineRule="auto"/>
        <w:jc w:val="center"/>
        <w:rPr>
          <w:rFonts w:ascii="Verdana" w:hAnsi="Verdana"/>
          <w:b/>
          <w:sz w:val="20"/>
          <w:szCs w:val="20"/>
        </w:rPr>
      </w:pPr>
    </w:p>
    <w:p w14:paraId="696F5135" w14:textId="34FEC23F" w:rsidR="00B041E7" w:rsidRDefault="009C5C57" w:rsidP="00C1609E">
      <w:pPr>
        <w:spacing w:after="0" w:line="240" w:lineRule="auto"/>
        <w:jc w:val="center"/>
        <w:outlineLvl w:val="0"/>
        <w:rPr>
          <w:rFonts w:ascii="Verdana" w:hAnsi="Verdana"/>
          <w:b/>
          <w:sz w:val="20"/>
          <w:szCs w:val="20"/>
        </w:rPr>
      </w:pPr>
      <w:r>
        <w:rPr>
          <w:rFonts w:ascii="Verdana" w:hAnsi="Verdana"/>
          <w:b/>
          <w:sz w:val="20"/>
          <w:szCs w:val="20"/>
        </w:rPr>
        <w:t>DE 22</w:t>
      </w:r>
      <w:r w:rsidR="00B041E7">
        <w:rPr>
          <w:rFonts w:ascii="Verdana" w:hAnsi="Verdana"/>
          <w:b/>
          <w:sz w:val="20"/>
          <w:szCs w:val="20"/>
        </w:rPr>
        <w:t xml:space="preserve"> DE </w:t>
      </w:r>
      <w:r w:rsidR="00157638">
        <w:rPr>
          <w:rFonts w:ascii="Verdana" w:hAnsi="Verdana"/>
          <w:b/>
          <w:sz w:val="20"/>
          <w:szCs w:val="20"/>
        </w:rPr>
        <w:t>NOVIEMBRE</w:t>
      </w:r>
      <w:r w:rsidR="00B041E7">
        <w:rPr>
          <w:rFonts w:ascii="Verdana" w:hAnsi="Verdana"/>
          <w:b/>
          <w:sz w:val="20"/>
          <w:szCs w:val="20"/>
        </w:rPr>
        <w:t xml:space="preserve"> DE 2019</w:t>
      </w:r>
      <w:r w:rsidRPr="00710539">
        <w:rPr>
          <w:rStyle w:val="Refdenotaalpie"/>
          <w:rFonts w:ascii="Verdana" w:hAnsi="Verdana"/>
          <w:b/>
          <w:smallCaps/>
          <w:sz w:val="20"/>
          <w:lang w:val="es-CO"/>
        </w:rPr>
        <w:footnoteReference w:customMarkFollows="1" w:id="1"/>
        <w:sym w:font="Symbol" w:char="F02A"/>
      </w:r>
    </w:p>
    <w:p w14:paraId="6E8B59CF" w14:textId="77777777" w:rsidR="00B041E7" w:rsidRDefault="00B041E7" w:rsidP="00B041E7">
      <w:pPr>
        <w:spacing w:after="0" w:line="240" w:lineRule="auto"/>
        <w:jc w:val="center"/>
        <w:rPr>
          <w:rFonts w:ascii="Verdana" w:hAnsi="Verdana"/>
          <w:b/>
          <w:sz w:val="20"/>
          <w:szCs w:val="20"/>
        </w:rPr>
      </w:pPr>
    </w:p>
    <w:p w14:paraId="73014831" w14:textId="77777777" w:rsidR="00B041E7" w:rsidRDefault="00B041E7" w:rsidP="00C1609E">
      <w:pPr>
        <w:spacing w:after="0" w:line="240" w:lineRule="auto"/>
        <w:jc w:val="center"/>
        <w:outlineLvl w:val="0"/>
        <w:rPr>
          <w:rFonts w:ascii="Verdana" w:hAnsi="Verdana"/>
          <w:b/>
          <w:i/>
          <w:sz w:val="20"/>
          <w:szCs w:val="20"/>
        </w:rPr>
      </w:pPr>
      <w:r>
        <w:rPr>
          <w:rFonts w:ascii="Verdana" w:hAnsi="Verdana"/>
          <w:b/>
          <w:i/>
          <w:sz w:val="20"/>
          <w:szCs w:val="20"/>
        </w:rPr>
        <w:t>CASO PUEBLO INDÍGENA XUCURU Y SUS MIEMBROS VS. BRASIL</w:t>
      </w:r>
    </w:p>
    <w:p w14:paraId="133B7285" w14:textId="77777777" w:rsidR="00B041E7" w:rsidRDefault="00B041E7" w:rsidP="00B041E7">
      <w:pPr>
        <w:spacing w:after="0" w:line="240" w:lineRule="auto"/>
        <w:jc w:val="center"/>
        <w:rPr>
          <w:rFonts w:ascii="Verdana" w:hAnsi="Verdana"/>
          <w:b/>
          <w:sz w:val="20"/>
          <w:szCs w:val="20"/>
        </w:rPr>
      </w:pPr>
    </w:p>
    <w:p w14:paraId="6AA50F63" w14:textId="77777777" w:rsidR="00B041E7" w:rsidRDefault="00B041E7" w:rsidP="00C1609E">
      <w:pPr>
        <w:jc w:val="center"/>
        <w:outlineLvl w:val="0"/>
        <w:rPr>
          <w:rFonts w:ascii="Verdana" w:hAnsi="Verdana"/>
          <w:b/>
          <w:sz w:val="20"/>
          <w:szCs w:val="20"/>
        </w:rPr>
      </w:pPr>
      <w:r>
        <w:rPr>
          <w:rFonts w:ascii="Verdana" w:hAnsi="Verdana"/>
          <w:b/>
          <w:sz w:val="20"/>
          <w:szCs w:val="20"/>
        </w:rPr>
        <w:t>SUPERVISIÓN DE CUMPLIMIENTO DE SENTENCIA</w:t>
      </w:r>
      <w:r>
        <w:rPr>
          <w:rFonts w:ascii="Verdana" w:hAnsi="Verdana"/>
          <w:sz w:val="20"/>
          <w:szCs w:val="20"/>
        </w:rPr>
        <w:t xml:space="preserve"> </w:t>
      </w:r>
    </w:p>
    <w:p w14:paraId="3B8BF144" w14:textId="77777777" w:rsidR="008B5B0D" w:rsidRDefault="008B5B0D" w:rsidP="00A658D4">
      <w:pPr>
        <w:spacing w:before="120" w:afterLines="160" w:after="384" w:line="240" w:lineRule="auto"/>
        <w:jc w:val="both"/>
        <w:outlineLvl w:val="0"/>
        <w:rPr>
          <w:rFonts w:ascii="Verdana" w:hAnsi="Verdana"/>
          <w:b/>
          <w:sz w:val="20"/>
          <w:szCs w:val="20"/>
        </w:rPr>
      </w:pPr>
    </w:p>
    <w:p w14:paraId="594C3636" w14:textId="77777777" w:rsidR="00B041E7" w:rsidRDefault="00B041E7" w:rsidP="00A658D4">
      <w:pPr>
        <w:spacing w:before="120" w:afterLines="160" w:after="384" w:line="240" w:lineRule="auto"/>
        <w:jc w:val="both"/>
        <w:outlineLvl w:val="0"/>
        <w:rPr>
          <w:rFonts w:ascii="Verdana" w:hAnsi="Verdana"/>
          <w:b/>
          <w:sz w:val="20"/>
          <w:szCs w:val="20"/>
        </w:rPr>
      </w:pPr>
      <w:r>
        <w:rPr>
          <w:rFonts w:ascii="Verdana" w:hAnsi="Verdana"/>
          <w:b/>
          <w:sz w:val="20"/>
          <w:szCs w:val="20"/>
        </w:rPr>
        <w:t xml:space="preserve">VISTO: </w:t>
      </w:r>
    </w:p>
    <w:p w14:paraId="6C324277" w14:textId="16C249CF" w:rsidR="004A2377" w:rsidRPr="009932BF" w:rsidRDefault="00B041E7" w:rsidP="00A658D4">
      <w:pPr>
        <w:numPr>
          <w:ilvl w:val="0"/>
          <w:numId w:val="1"/>
        </w:numPr>
        <w:spacing w:before="120" w:afterLines="160" w:after="384" w:line="240" w:lineRule="auto"/>
        <w:ind w:left="0" w:firstLine="0"/>
        <w:jc w:val="both"/>
        <w:rPr>
          <w:rFonts w:ascii="Verdana" w:hAnsi="Verdana"/>
          <w:sz w:val="20"/>
          <w:szCs w:val="20"/>
          <w:lang w:val="es-ES"/>
        </w:rPr>
      </w:pPr>
      <w:r>
        <w:rPr>
          <w:rFonts w:ascii="Verdana" w:hAnsi="Verdana"/>
          <w:sz w:val="20"/>
          <w:szCs w:val="20"/>
          <w:lang w:val="es-ES_tradnl"/>
        </w:rPr>
        <w:t>La Sentencia de excepciones preliminares, fondo, reparaciones y costas (en adelante “la Sentencia” o “el Fallo”) dictada por la Corte Interamericana de Derechos Humanos (en adelante “la Corte Interamericana”, “la Corte” o “el Tribunal”) el 5 de febrero de 2018</w:t>
      </w:r>
      <w:r>
        <w:rPr>
          <w:rFonts w:ascii="Verdana" w:hAnsi="Verdana"/>
          <w:sz w:val="20"/>
          <w:szCs w:val="20"/>
          <w:vertAlign w:val="superscript"/>
          <w:lang w:val="es-ES_tradnl"/>
        </w:rPr>
        <w:footnoteReference w:id="2"/>
      </w:r>
      <w:r>
        <w:rPr>
          <w:rFonts w:ascii="Verdana" w:hAnsi="Verdana"/>
          <w:sz w:val="20"/>
          <w:szCs w:val="20"/>
          <w:lang w:val="es-ES_tradnl"/>
        </w:rPr>
        <w:t xml:space="preserve">. La Corte declaró la responsabilidad internacional de la República Federativa del Brasil (en adelante “el Estado” </w:t>
      </w:r>
      <w:r w:rsidR="00D91EA4">
        <w:rPr>
          <w:rFonts w:ascii="Verdana" w:hAnsi="Verdana"/>
          <w:sz w:val="20"/>
          <w:szCs w:val="20"/>
          <w:lang w:val="es-ES_tradnl"/>
        </w:rPr>
        <w:t xml:space="preserve">o </w:t>
      </w:r>
      <w:r>
        <w:rPr>
          <w:rFonts w:ascii="Verdana" w:hAnsi="Verdana"/>
          <w:sz w:val="20"/>
          <w:szCs w:val="20"/>
          <w:lang w:val="es-ES_tradnl"/>
        </w:rPr>
        <w:t xml:space="preserve">“Brasil”) </w:t>
      </w:r>
      <w:r>
        <w:rPr>
          <w:rFonts w:ascii="Verdana" w:hAnsi="Verdana"/>
          <w:sz w:val="20"/>
          <w:szCs w:val="20"/>
        </w:rPr>
        <w:t>por la violación de</w:t>
      </w:r>
      <w:r w:rsidR="00BD6059">
        <w:rPr>
          <w:rFonts w:ascii="Verdana" w:hAnsi="Verdana"/>
          <w:sz w:val="20"/>
          <w:szCs w:val="20"/>
        </w:rPr>
        <w:t xml:space="preserve"> </w:t>
      </w:r>
      <w:r>
        <w:rPr>
          <w:rFonts w:ascii="Verdana" w:hAnsi="Verdana"/>
          <w:sz w:val="20"/>
          <w:szCs w:val="20"/>
        </w:rPr>
        <w:t>l</w:t>
      </w:r>
      <w:r w:rsidR="00BD6059">
        <w:rPr>
          <w:rFonts w:ascii="Verdana" w:hAnsi="Verdana"/>
          <w:sz w:val="20"/>
          <w:szCs w:val="20"/>
        </w:rPr>
        <w:t>os</w:t>
      </w:r>
      <w:r>
        <w:rPr>
          <w:rFonts w:ascii="Verdana" w:hAnsi="Verdana"/>
          <w:sz w:val="20"/>
          <w:szCs w:val="20"/>
        </w:rPr>
        <w:t xml:space="preserve"> derecho</w:t>
      </w:r>
      <w:r w:rsidR="00BD6059">
        <w:rPr>
          <w:rFonts w:ascii="Verdana" w:hAnsi="Verdana"/>
          <w:sz w:val="20"/>
          <w:szCs w:val="20"/>
        </w:rPr>
        <w:t>s</w:t>
      </w:r>
      <w:r>
        <w:rPr>
          <w:rFonts w:ascii="Verdana" w:hAnsi="Verdana"/>
          <w:sz w:val="20"/>
          <w:szCs w:val="20"/>
        </w:rPr>
        <w:t xml:space="preserve"> a la garantía judicial de plazo razonable, a la protección judicial y a la propiedad colectiva, en perjuicio del Pueblo Indígena </w:t>
      </w:r>
      <w:proofErr w:type="spellStart"/>
      <w:r>
        <w:rPr>
          <w:rFonts w:ascii="Verdana" w:hAnsi="Verdana"/>
          <w:sz w:val="20"/>
          <w:szCs w:val="20"/>
        </w:rPr>
        <w:t>Xucuru</w:t>
      </w:r>
      <w:proofErr w:type="spellEnd"/>
      <w:r>
        <w:rPr>
          <w:rFonts w:ascii="Verdana" w:hAnsi="Verdana"/>
          <w:sz w:val="20"/>
          <w:szCs w:val="20"/>
        </w:rPr>
        <w:t xml:space="preserve"> y sus miembros</w:t>
      </w:r>
      <w:r w:rsidR="00E83FDA">
        <w:rPr>
          <w:rFonts w:ascii="Verdana" w:hAnsi="Verdana"/>
          <w:sz w:val="20"/>
          <w:szCs w:val="20"/>
        </w:rPr>
        <w:t xml:space="preserve">, </w:t>
      </w:r>
      <w:r w:rsidR="00E83FDA" w:rsidRPr="009E2368">
        <w:rPr>
          <w:rFonts w:ascii="Verdana" w:hAnsi="Verdana"/>
          <w:sz w:val="20"/>
          <w:szCs w:val="20"/>
          <w:lang w:val="es-ES"/>
        </w:rPr>
        <w:t xml:space="preserve">en </w:t>
      </w:r>
      <w:r w:rsidR="00D91EA4" w:rsidRPr="00D91EA4">
        <w:rPr>
          <w:rFonts w:ascii="Verdana" w:hAnsi="Verdana"/>
          <w:sz w:val="20"/>
          <w:szCs w:val="20"/>
        </w:rPr>
        <w:t>relación</w:t>
      </w:r>
      <w:r w:rsidR="00E83FDA" w:rsidRPr="00D91EA4">
        <w:rPr>
          <w:rFonts w:ascii="Verdana" w:hAnsi="Verdana"/>
          <w:sz w:val="20"/>
          <w:szCs w:val="20"/>
        </w:rPr>
        <w:t xml:space="preserve"> con el proceso de </w:t>
      </w:r>
      <w:r w:rsidR="00D91EA4" w:rsidRPr="00D91EA4">
        <w:rPr>
          <w:rFonts w:ascii="Verdana" w:hAnsi="Verdana"/>
          <w:sz w:val="20"/>
          <w:szCs w:val="20"/>
        </w:rPr>
        <w:t>titulación</w:t>
      </w:r>
      <w:r w:rsidR="00E83FDA" w:rsidRPr="00D91EA4">
        <w:rPr>
          <w:rFonts w:ascii="Verdana" w:hAnsi="Verdana"/>
          <w:sz w:val="20"/>
          <w:szCs w:val="20"/>
        </w:rPr>
        <w:t xml:space="preserve">, </w:t>
      </w:r>
      <w:r w:rsidR="00D91EA4" w:rsidRPr="00D91EA4">
        <w:rPr>
          <w:rFonts w:ascii="Verdana" w:hAnsi="Verdana"/>
          <w:sz w:val="20"/>
          <w:szCs w:val="20"/>
        </w:rPr>
        <w:t>demarcación</w:t>
      </w:r>
      <w:r w:rsidR="00E83FDA" w:rsidRPr="00D91EA4">
        <w:rPr>
          <w:rFonts w:ascii="Verdana" w:hAnsi="Verdana"/>
          <w:sz w:val="20"/>
          <w:szCs w:val="20"/>
        </w:rPr>
        <w:t xml:space="preserve"> y saneamiento del territorio</w:t>
      </w:r>
      <w:r w:rsidRPr="00D91EA4">
        <w:rPr>
          <w:rFonts w:ascii="Verdana" w:hAnsi="Verdana"/>
          <w:sz w:val="20"/>
          <w:szCs w:val="20"/>
        </w:rPr>
        <w:t xml:space="preserve">. </w:t>
      </w:r>
      <w:r w:rsidR="00BD6059" w:rsidRPr="00D91EA4">
        <w:rPr>
          <w:rFonts w:ascii="Verdana" w:hAnsi="Verdana"/>
          <w:sz w:val="20"/>
          <w:szCs w:val="20"/>
        </w:rPr>
        <w:t>El Trib</w:t>
      </w:r>
      <w:r w:rsidR="00BD6059">
        <w:rPr>
          <w:rFonts w:ascii="Verdana" w:hAnsi="Verdana"/>
          <w:sz w:val="20"/>
          <w:szCs w:val="20"/>
        </w:rPr>
        <w:t>unal</w:t>
      </w:r>
      <w:r w:rsidR="0036702A" w:rsidRPr="0036702A">
        <w:rPr>
          <w:rFonts w:ascii="Verdana" w:hAnsi="Verdana"/>
          <w:sz w:val="20"/>
          <w:szCs w:val="20"/>
        </w:rPr>
        <w:t xml:space="preserve"> reconoció que el pueblo </w:t>
      </w:r>
      <w:proofErr w:type="spellStart"/>
      <w:r w:rsidR="0036702A" w:rsidRPr="0036702A">
        <w:rPr>
          <w:rFonts w:ascii="Verdana" w:hAnsi="Verdana"/>
          <w:sz w:val="20"/>
          <w:szCs w:val="20"/>
        </w:rPr>
        <w:t>Xucuru</w:t>
      </w:r>
      <w:proofErr w:type="spellEnd"/>
      <w:r w:rsidR="0036702A" w:rsidRPr="0036702A">
        <w:rPr>
          <w:rFonts w:ascii="Verdana" w:hAnsi="Verdana"/>
          <w:sz w:val="20"/>
          <w:szCs w:val="20"/>
        </w:rPr>
        <w:t xml:space="preserve"> </w:t>
      </w:r>
      <w:r w:rsidR="0036702A">
        <w:rPr>
          <w:rFonts w:ascii="Verdana" w:hAnsi="Verdana"/>
          <w:sz w:val="20"/>
          <w:szCs w:val="20"/>
        </w:rPr>
        <w:t xml:space="preserve">contó </w:t>
      </w:r>
      <w:r w:rsidR="0036702A" w:rsidRPr="0036702A">
        <w:rPr>
          <w:rFonts w:ascii="Verdana" w:hAnsi="Verdana"/>
          <w:sz w:val="20"/>
          <w:szCs w:val="20"/>
        </w:rPr>
        <w:t xml:space="preserve">con el reconocimiento formal de la propiedad colectiva de sus territorios desde noviembre de 2005, pero consideró que </w:t>
      </w:r>
      <w:r w:rsidR="00D91EA4">
        <w:rPr>
          <w:rFonts w:ascii="Verdana" w:hAnsi="Verdana"/>
          <w:sz w:val="20"/>
          <w:szCs w:val="20"/>
        </w:rPr>
        <w:t>al momento</w:t>
      </w:r>
      <w:r w:rsidR="0036702A">
        <w:rPr>
          <w:rFonts w:ascii="Verdana" w:hAnsi="Verdana"/>
          <w:sz w:val="20"/>
          <w:szCs w:val="20"/>
        </w:rPr>
        <w:t xml:space="preserve"> de la Sentencia no había</w:t>
      </w:r>
      <w:r w:rsidR="0036702A" w:rsidRPr="0036702A">
        <w:rPr>
          <w:rFonts w:ascii="Verdana" w:hAnsi="Verdana"/>
          <w:sz w:val="20"/>
          <w:szCs w:val="20"/>
        </w:rPr>
        <w:t xml:space="preserve"> seguridad jurídica sobre sus derechos en la totalidad del territorio.</w:t>
      </w:r>
      <w:r w:rsidRPr="00E83FDA">
        <w:rPr>
          <w:rFonts w:ascii="Verdana" w:hAnsi="Verdana"/>
          <w:sz w:val="20"/>
          <w:szCs w:val="20"/>
        </w:rPr>
        <w:t xml:space="preserve"> </w:t>
      </w:r>
      <w:r w:rsidR="00BD6059">
        <w:rPr>
          <w:rFonts w:ascii="Verdana" w:hAnsi="Verdana"/>
          <w:sz w:val="20"/>
          <w:szCs w:val="20"/>
        </w:rPr>
        <w:t xml:space="preserve">Asimismo, consideró que el Estado no era responsable de la violación del deber de adoptar disposiciones de derecho interno, ni de la violación del derecho a la integridad personal, si bien con relación a éste último consideró que era posible constatar la existencia de un contexto de tensión y violencia durante determinados períodos. </w:t>
      </w:r>
      <w:r w:rsidR="004A2377">
        <w:rPr>
          <w:rFonts w:ascii="Verdana" w:hAnsi="Verdana"/>
          <w:sz w:val="20"/>
          <w:szCs w:val="20"/>
        </w:rPr>
        <w:t>L</w:t>
      </w:r>
      <w:r w:rsidRPr="00E83FDA">
        <w:rPr>
          <w:rFonts w:ascii="Verdana" w:hAnsi="Verdana"/>
          <w:sz w:val="20"/>
          <w:szCs w:val="20"/>
        </w:rPr>
        <w:t xml:space="preserve">a Corte </w:t>
      </w:r>
      <w:r w:rsidR="004A2377">
        <w:rPr>
          <w:rFonts w:ascii="Verdana" w:hAnsi="Verdana"/>
          <w:sz w:val="20"/>
          <w:szCs w:val="20"/>
        </w:rPr>
        <w:t xml:space="preserve">estableció que su Sentencia constituye por sí misma una forma de reparación y </w:t>
      </w:r>
      <w:r w:rsidRPr="00E83FDA">
        <w:rPr>
          <w:rFonts w:ascii="Verdana" w:hAnsi="Verdana"/>
          <w:sz w:val="20"/>
          <w:szCs w:val="20"/>
        </w:rPr>
        <w:t>ordenó al Estado la adopción de diversas medidas de reparación</w:t>
      </w:r>
      <w:r w:rsidR="004A2377">
        <w:rPr>
          <w:rFonts w:ascii="Verdana" w:hAnsi="Verdana"/>
          <w:sz w:val="20"/>
          <w:szCs w:val="20"/>
        </w:rPr>
        <w:t xml:space="preserve"> adicionales</w:t>
      </w:r>
      <w:r w:rsidRPr="00E83FDA">
        <w:rPr>
          <w:rFonts w:ascii="Verdana" w:hAnsi="Verdana"/>
          <w:i/>
          <w:sz w:val="20"/>
          <w:szCs w:val="20"/>
          <w:lang w:val="es-ES_tradnl"/>
        </w:rPr>
        <w:t xml:space="preserve"> (infra </w:t>
      </w:r>
      <w:r w:rsidR="004A2377">
        <w:rPr>
          <w:rFonts w:ascii="Verdana" w:hAnsi="Verdana"/>
          <w:sz w:val="20"/>
          <w:szCs w:val="20"/>
          <w:lang w:val="es-ES_tradnl"/>
        </w:rPr>
        <w:t>C</w:t>
      </w:r>
      <w:r w:rsidRPr="008E2DA3">
        <w:rPr>
          <w:rFonts w:ascii="Verdana" w:hAnsi="Verdana"/>
          <w:sz w:val="20"/>
          <w:szCs w:val="20"/>
          <w:lang w:val="es-ES_tradnl"/>
        </w:rPr>
        <w:t>onsiderando 1)</w:t>
      </w:r>
      <w:r w:rsidRPr="00E83FDA">
        <w:rPr>
          <w:rFonts w:ascii="Verdana" w:hAnsi="Verdana"/>
          <w:i/>
          <w:sz w:val="20"/>
          <w:szCs w:val="20"/>
          <w:lang w:val="es-ES_tradnl"/>
        </w:rPr>
        <w:t>.</w:t>
      </w:r>
    </w:p>
    <w:p w14:paraId="373D184C" w14:textId="2FEE2542" w:rsidR="00B041E7" w:rsidRDefault="00DE6437" w:rsidP="00A658D4">
      <w:pPr>
        <w:numPr>
          <w:ilvl w:val="0"/>
          <w:numId w:val="1"/>
        </w:numPr>
        <w:spacing w:before="120" w:afterLines="160" w:after="384" w:line="240" w:lineRule="auto"/>
        <w:ind w:left="0" w:firstLine="0"/>
        <w:jc w:val="both"/>
        <w:rPr>
          <w:rFonts w:ascii="Verdana" w:hAnsi="Verdana"/>
          <w:color w:val="000000"/>
          <w:sz w:val="20"/>
          <w:szCs w:val="20"/>
          <w:shd w:val="clear" w:color="auto" w:fill="FFFFFF"/>
        </w:rPr>
      </w:pPr>
      <w:r>
        <w:rPr>
          <w:rFonts w:ascii="Verdana" w:hAnsi="Verdana"/>
          <w:sz w:val="20"/>
          <w:lang w:val="es-ES_tradnl"/>
        </w:rPr>
        <w:t xml:space="preserve">El </w:t>
      </w:r>
      <w:r w:rsidR="00B041E7">
        <w:rPr>
          <w:rFonts w:ascii="Verdana" w:hAnsi="Verdana"/>
          <w:sz w:val="20"/>
          <w:lang w:val="es-ES_tradnl"/>
        </w:rPr>
        <w:t>informe presentado por el Estado e</w:t>
      </w:r>
      <w:r w:rsidR="00BD6059">
        <w:rPr>
          <w:rFonts w:ascii="Verdana" w:hAnsi="Verdana"/>
          <w:sz w:val="20"/>
          <w:lang w:val="es-ES_tradnl"/>
        </w:rPr>
        <w:t>l 30 de</w:t>
      </w:r>
      <w:r w:rsidR="00B041E7">
        <w:rPr>
          <w:rFonts w:ascii="Verdana" w:hAnsi="Verdana"/>
          <w:sz w:val="20"/>
          <w:lang w:val="es-ES_tradnl"/>
        </w:rPr>
        <w:t xml:space="preserve"> noviembre de 2018</w:t>
      </w:r>
      <w:r w:rsidR="00983CA9">
        <w:rPr>
          <w:rFonts w:ascii="Verdana" w:hAnsi="Verdana"/>
          <w:sz w:val="20"/>
          <w:lang w:val="es-ES_tradnl"/>
        </w:rPr>
        <w:t xml:space="preserve"> relativo a las medidas de publicación y difusión ordenadas en la Sentencia (</w:t>
      </w:r>
      <w:r w:rsidR="00983CA9">
        <w:rPr>
          <w:rFonts w:ascii="Verdana" w:hAnsi="Verdana"/>
          <w:i/>
          <w:sz w:val="20"/>
          <w:lang w:val="es-ES_tradnl"/>
        </w:rPr>
        <w:t xml:space="preserve">infra </w:t>
      </w:r>
      <w:r w:rsidR="00983CA9">
        <w:rPr>
          <w:rFonts w:ascii="Verdana" w:hAnsi="Verdana"/>
          <w:sz w:val="20"/>
          <w:lang w:val="es-ES_tradnl"/>
        </w:rPr>
        <w:t xml:space="preserve">Considerando </w:t>
      </w:r>
      <w:r w:rsidR="00D91EA4">
        <w:rPr>
          <w:rFonts w:ascii="Verdana" w:hAnsi="Verdana"/>
          <w:sz w:val="20"/>
          <w:lang w:val="es-ES_tradnl"/>
        </w:rPr>
        <w:t>5</w:t>
      </w:r>
      <w:r w:rsidR="00983CA9">
        <w:rPr>
          <w:rFonts w:ascii="Verdana" w:hAnsi="Verdana"/>
          <w:sz w:val="20"/>
          <w:lang w:val="es-ES_tradnl"/>
        </w:rPr>
        <w:t>)</w:t>
      </w:r>
      <w:r w:rsidR="00B041E7">
        <w:rPr>
          <w:rFonts w:ascii="Verdana" w:hAnsi="Verdana"/>
          <w:sz w:val="20"/>
          <w:lang w:val="es-ES_tradnl"/>
        </w:rPr>
        <w:t>.</w:t>
      </w:r>
    </w:p>
    <w:p w14:paraId="3DD9FE24" w14:textId="34C8712B" w:rsidR="00B041E7" w:rsidRDefault="003B103B" w:rsidP="00A658D4">
      <w:pPr>
        <w:numPr>
          <w:ilvl w:val="0"/>
          <w:numId w:val="1"/>
        </w:numPr>
        <w:spacing w:before="120" w:afterLines="160" w:after="384" w:line="240" w:lineRule="auto"/>
        <w:ind w:left="0" w:firstLine="0"/>
        <w:jc w:val="both"/>
        <w:rPr>
          <w:rFonts w:ascii="Verdana" w:hAnsi="Verdana"/>
          <w:color w:val="000000"/>
          <w:sz w:val="20"/>
          <w:szCs w:val="20"/>
          <w:shd w:val="clear" w:color="auto" w:fill="FFFFFF"/>
        </w:rPr>
      </w:pPr>
      <w:r>
        <w:rPr>
          <w:rFonts w:ascii="Verdana" w:hAnsi="Verdana"/>
          <w:sz w:val="20"/>
          <w:szCs w:val="20"/>
        </w:rPr>
        <w:lastRenderedPageBreak/>
        <w:t>El</w:t>
      </w:r>
      <w:r w:rsidR="00B041E7">
        <w:rPr>
          <w:rFonts w:ascii="Verdana" w:hAnsi="Verdana"/>
          <w:sz w:val="20"/>
          <w:szCs w:val="20"/>
        </w:rPr>
        <w:t xml:space="preserve"> escrito de observaciones presentado por los representantes de las víctimas (en adelante “los representantes”)</w:t>
      </w:r>
      <w:r w:rsidR="00B041E7">
        <w:rPr>
          <w:rFonts w:ascii="Verdana" w:hAnsi="Verdana"/>
          <w:sz w:val="20"/>
          <w:szCs w:val="20"/>
          <w:vertAlign w:val="superscript"/>
          <w:lang w:val="es-ES_tradnl"/>
        </w:rPr>
        <w:footnoteReference w:id="3"/>
      </w:r>
      <w:r w:rsidR="00B041E7">
        <w:rPr>
          <w:rFonts w:ascii="Verdana" w:hAnsi="Verdana"/>
          <w:sz w:val="20"/>
          <w:szCs w:val="20"/>
        </w:rPr>
        <w:t xml:space="preserve"> e</w:t>
      </w:r>
      <w:r w:rsidR="00BD6059">
        <w:rPr>
          <w:rFonts w:ascii="Verdana" w:hAnsi="Verdana"/>
          <w:sz w:val="20"/>
          <w:szCs w:val="20"/>
        </w:rPr>
        <w:t>l 31 de</w:t>
      </w:r>
      <w:r w:rsidR="00B041E7">
        <w:rPr>
          <w:rFonts w:ascii="Verdana" w:hAnsi="Verdana"/>
          <w:sz w:val="20"/>
          <w:szCs w:val="20"/>
        </w:rPr>
        <w:t xml:space="preserve"> enero de 2019.</w:t>
      </w:r>
    </w:p>
    <w:p w14:paraId="4C09B1AA" w14:textId="5E5CB703" w:rsidR="008B5B0D" w:rsidRDefault="00DC5570" w:rsidP="00A658D4">
      <w:pPr>
        <w:numPr>
          <w:ilvl w:val="0"/>
          <w:numId w:val="1"/>
        </w:numPr>
        <w:spacing w:before="120" w:afterLines="160" w:after="384" w:line="240" w:lineRule="auto"/>
        <w:ind w:left="0" w:firstLine="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Los </w:t>
      </w:r>
      <w:r w:rsidR="00BD6059">
        <w:rPr>
          <w:rFonts w:ascii="Verdana" w:hAnsi="Verdana"/>
          <w:color w:val="000000"/>
          <w:sz w:val="20"/>
          <w:szCs w:val="20"/>
          <w:shd w:val="clear" w:color="auto" w:fill="FFFFFF"/>
        </w:rPr>
        <w:t xml:space="preserve">informes </w:t>
      </w:r>
      <w:r>
        <w:rPr>
          <w:rFonts w:ascii="Verdana" w:hAnsi="Verdana"/>
          <w:color w:val="000000"/>
          <w:sz w:val="20"/>
          <w:szCs w:val="20"/>
          <w:shd w:val="clear" w:color="auto" w:fill="FFFFFF"/>
        </w:rPr>
        <w:t>presentados por el Estado</w:t>
      </w:r>
      <w:r w:rsidR="00AD151B">
        <w:rPr>
          <w:rFonts w:ascii="Verdana" w:hAnsi="Verdana"/>
          <w:color w:val="000000"/>
          <w:sz w:val="20"/>
          <w:szCs w:val="20"/>
          <w:shd w:val="clear" w:color="auto" w:fill="FFFFFF"/>
        </w:rPr>
        <w:t xml:space="preserve"> entre abril y septiembre de 2019, en relación con el cumplimiento de la reparación ordenada en el punto resolutivo décimo primero</w:t>
      </w:r>
      <w:r w:rsidR="000F21A3">
        <w:rPr>
          <w:rFonts w:ascii="Verdana" w:hAnsi="Verdana"/>
          <w:color w:val="000000"/>
          <w:sz w:val="20"/>
          <w:szCs w:val="20"/>
          <w:shd w:val="clear" w:color="auto" w:fill="FFFFFF"/>
        </w:rPr>
        <w:t>,</w:t>
      </w:r>
      <w:r w:rsidR="00AD151B">
        <w:rPr>
          <w:rFonts w:ascii="Verdana" w:hAnsi="Verdana"/>
          <w:color w:val="000000"/>
          <w:sz w:val="20"/>
          <w:szCs w:val="20"/>
          <w:shd w:val="clear" w:color="auto" w:fill="FFFFFF"/>
        </w:rPr>
        <w:t xml:space="preserve"> relativa a</w:t>
      </w:r>
      <w:r w:rsidR="00DD44E7">
        <w:rPr>
          <w:rFonts w:ascii="Verdana" w:hAnsi="Verdana"/>
          <w:color w:val="000000"/>
          <w:sz w:val="20"/>
          <w:szCs w:val="20"/>
          <w:shd w:val="clear" w:color="auto" w:fill="FFFFFF"/>
        </w:rPr>
        <w:t>l pago de la indemnización por concepto de daño inmaterial a través de</w:t>
      </w:r>
      <w:r w:rsidR="00AD151B">
        <w:rPr>
          <w:rFonts w:ascii="Verdana" w:hAnsi="Verdana"/>
          <w:color w:val="000000"/>
          <w:sz w:val="20"/>
          <w:szCs w:val="20"/>
          <w:shd w:val="clear" w:color="auto" w:fill="FFFFFF"/>
        </w:rPr>
        <w:t xml:space="preserve"> la creación de un fondo de desarrollo comunitario</w:t>
      </w:r>
      <w:r w:rsidR="000F21A3">
        <w:rPr>
          <w:rStyle w:val="Refdenotaalpie"/>
          <w:rFonts w:ascii="Verdana" w:hAnsi="Verdana"/>
          <w:color w:val="000000"/>
          <w:sz w:val="20"/>
          <w:szCs w:val="20"/>
          <w:shd w:val="clear" w:color="auto" w:fill="FFFFFF"/>
        </w:rPr>
        <w:footnoteReference w:id="4"/>
      </w:r>
      <w:r w:rsidR="00AD151B">
        <w:rPr>
          <w:rFonts w:ascii="Verdana" w:hAnsi="Verdana"/>
          <w:color w:val="000000"/>
          <w:sz w:val="20"/>
          <w:szCs w:val="20"/>
          <w:shd w:val="clear" w:color="auto" w:fill="FFFFFF"/>
        </w:rPr>
        <w:t xml:space="preserve">. </w:t>
      </w:r>
      <w:r w:rsidR="003E1C03">
        <w:rPr>
          <w:rFonts w:ascii="Verdana" w:hAnsi="Verdana"/>
          <w:color w:val="000000"/>
          <w:sz w:val="20"/>
          <w:szCs w:val="20"/>
          <w:shd w:val="clear" w:color="auto" w:fill="FFFFFF"/>
        </w:rPr>
        <w:t>E</w:t>
      </w:r>
      <w:r w:rsidR="00AD151B">
        <w:rPr>
          <w:rFonts w:ascii="Verdana" w:hAnsi="Verdana"/>
          <w:color w:val="000000"/>
          <w:sz w:val="20"/>
          <w:szCs w:val="20"/>
          <w:shd w:val="clear" w:color="auto" w:fill="FFFFFF"/>
        </w:rPr>
        <w:t xml:space="preserve">l Estado informó que, a partir de reuniones con los líderes de la Comunidad Indígena </w:t>
      </w:r>
      <w:proofErr w:type="spellStart"/>
      <w:r w:rsidR="00AD151B">
        <w:rPr>
          <w:rFonts w:ascii="Verdana" w:hAnsi="Verdana"/>
          <w:color w:val="000000"/>
          <w:sz w:val="20"/>
          <w:szCs w:val="20"/>
          <w:shd w:val="clear" w:color="auto" w:fill="FFFFFF"/>
        </w:rPr>
        <w:t>Xucur</w:t>
      </w:r>
      <w:r w:rsidR="00BD6059">
        <w:rPr>
          <w:rFonts w:ascii="Verdana" w:hAnsi="Verdana"/>
          <w:color w:val="000000"/>
          <w:sz w:val="20"/>
          <w:szCs w:val="20"/>
          <w:shd w:val="clear" w:color="auto" w:fill="FFFFFF"/>
        </w:rPr>
        <w:t>u</w:t>
      </w:r>
      <w:proofErr w:type="spellEnd"/>
      <w:r w:rsidR="00AD151B">
        <w:rPr>
          <w:rFonts w:ascii="Verdana" w:hAnsi="Verdana"/>
          <w:color w:val="000000"/>
          <w:sz w:val="20"/>
          <w:szCs w:val="20"/>
          <w:shd w:val="clear" w:color="auto" w:fill="FFFFFF"/>
        </w:rPr>
        <w:t xml:space="preserve">, ambas partes estaban de acuerdo con que la reparación se ejecute sin constituir un “fondo”, sino a través de un pago directo de la cantidad ordenada a la Asociación de la Comunidad Indígena </w:t>
      </w:r>
      <w:proofErr w:type="spellStart"/>
      <w:r w:rsidR="00AD151B">
        <w:rPr>
          <w:rFonts w:ascii="Verdana" w:hAnsi="Verdana"/>
          <w:color w:val="000000"/>
          <w:sz w:val="20"/>
          <w:szCs w:val="20"/>
          <w:shd w:val="clear" w:color="auto" w:fill="FFFFFF"/>
        </w:rPr>
        <w:t>Xucur</w:t>
      </w:r>
      <w:r w:rsidR="00BD6059">
        <w:rPr>
          <w:rFonts w:ascii="Verdana" w:hAnsi="Verdana"/>
          <w:color w:val="000000"/>
          <w:sz w:val="20"/>
          <w:szCs w:val="20"/>
          <w:shd w:val="clear" w:color="auto" w:fill="FFFFFF"/>
        </w:rPr>
        <w:t>u</w:t>
      </w:r>
      <w:proofErr w:type="spellEnd"/>
      <w:r w:rsidR="00AD151B">
        <w:rPr>
          <w:rFonts w:ascii="Verdana" w:hAnsi="Verdana"/>
          <w:color w:val="000000"/>
          <w:sz w:val="20"/>
          <w:szCs w:val="20"/>
          <w:shd w:val="clear" w:color="auto" w:fill="FFFFFF"/>
        </w:rPr>
        <w:t>, la cual utilizaría el dinero de acuerdo a un “plan de actividades”</w:t>
      </w:r>
      <w:r w:rsidR="00833E82">
        <w:rPr>
          <w:rStyle w:val="Refdenotaalpie"/>
          <w:rFonts w:ascii="Verdana" w:hAnsi="Verdana"/>
          <w:color w:val="000000"/>
          <w:sz w:val="20"/>
          <w:szCs w:val="20"/>
          <w:shd w:val="clear" w:color="auto" w:fill="FFFFFF"/>
        </w:rPr>
        <w:footnoteReference w:id="5"/>
      </w:r>
      <w:r w:rsidR="00833E82">
        <w:rPr>
          <w:rFonts w:ascii="Verdana" w:hAnsi="Verdana"/>
          <w:color w:val="000000"/>
          <w:sz w:val="20"/>
          <w:szCs w:val="20"/>
          <w:shd w:val="clear" w:color="auto" w:fill="FFFFFF"/>
        </w:rPr>
        <w:t>.</w:t>
      </w:r>
      <w:r w:rsidR="00AD151B">
        <w:rPr>
          <w:rFonts w:ascii="Verdana" w:hAnsi="Verdana"/>
          <w:color w:val="000000"/>
          <w:sz w:val="20"/>
          <w:szCs w:val="20"/>
          <w:shd w:val="clear" w:color="auto" w:fill="FFFFFF"/>
        </w:rPr>
        <w:t xml:space="preserve"> </w:t>
      </w:r>
      <w:r w:rsidR="00833E82">
        <w:rPr>
          <w:rFonts w:ascii="Verdana" w:hAnsi="Verdana"/>
          <w:color w:val="000000"/>
          <w:sz w:val="20"/>
          <w:szCs w:val="20"/>
          <w:shd w:val="clear" w:color="auto" w:fill="FFFFFF"/>
        </w:rPr>
        <w:t xml:space="preserve">El Estado indicó </w:t>
      </w:r>
      <w:r w:rsidR="00AD151B">
        <w:rPr>
          <w:rFonts w:ascii="Verdana" w:hAnsi="Verdana"/>
          <w:color w:val="000000"/>
          <w:sz w:val="20"/>
          <w:szCs w:val="20"/>
          <w:shd w:val="clear" w:color="auto" w:fill="FFFFFF"/>
        </w:rPr>
        <w:t xml:space="preserve">que si la Corte “valida” tal forma de ejecución de la reparación, </w:t>
      </w:r>
      <w:r w:rsidR="00AE15C4">
        <w:rPr>
          <w:rFonts w:ascii="Verdana" w:hAnsi="Verdana"/>
          <w:color w:val="000000"/>
          <w:sz w:val="20"/>
          <w:szCs w:val="20"/>
          <w:shd w:val="clear" w:color="auto" w:fill="FFFFFF"/>
        </w:rPr>
        <w:t xml:space="preserve">podría proceder a suscribir el acuerdo con la Asociación de la Comunidad Indígena </w:t>
      </w:r>
      <w:proofErr w:type="spellStart"/>
      <w:r w:rsidR="00AE15C4">
        <w:rPr>
          <w:rFonts w:ascii="Verdana" w:hAnsi="Verdana"/>
          <w:color w:val="000000"/>
          <w:sz w:val="20"/>
          <w:szCs w:val="20"/>
          <w:shd w:val="clear" w:color="auto" w:fill="FFFFFF"/>
        </w:rPr>
        <w:t>Xucur</w:t>
      </w:r>
      <w:r w:rsidR="00BD6059">
        <w:rPr>
          <w:rFonts w:ascii="Verdana" w:hAnsi="Verdana"/>
          <w:color w:val="000000"/>
          <w:sz w:val="20"/>
          <w:szCs w:val="20"/>
          <w:shd w:val="clear" w:color="auto" w:fill="FFFFFF"/>
        </w:rPr>
        <w:t>u</w:t>
      </w:r>
      <w:proofErr w:type="spellEnd"/>
      <w:r w:rsidR="00AE15C4">
        <w:rPr>
          <w:rFonts w:ascii="Verdana" w:hAnsi="Verdana"/>
          <w:color w:val="000000"/>
          <w:sz w:val="20"/>
          <w:szCs w:val="20"/>
          <w:shd w:val="clear" w:color="auto" w:fill="FFFFFF"/>
        </w:rPr>
        <w:t xml:space="preserve"> y posteriormente realizar el pago total del monto ordenado en la Sentencia.</w:t>
      </w:r>
    </w:p>
    <w:p w14:paraId="41E6C7A3" w14:textId="789E5393" w:rsidR="00AD151B" w:rsidRDefault="008B5B0D" w:rsidP="00A658D4">
      <w:pPr>
        <w:numPr>
          <w:ilvl w:val="0"/>
          <w:numId w:val="1"/>
        </w:numPr>
        <w:spacing w:before="120" w:afterLines="160" w:after="384" w:line="240" w:lineRule="auto"/>
        <w:ind w:left="0" w:firstLine="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Los escritos de observaciones presentados por los representantes de las víctimas entre mayo y agosto de 2019, en los cuales </w:t>
      </w:r>
      <w:r w:rsidR="00AD151B">
        <w:rPr>
          <w:rFonts w:ascii="Verdana" w:hAnsi="Verdana"/>
          <w:color w:val="000000"/>
          <w:sz w:val="20"/>
          <w:szCs w:val="20"/>
          <w:shd w:val="clear" w:color="auto" w:fill="FFFFFF"/>
        </w:rPr>
        <w:t xml:space="preserve">manifestaron </w:t>
      </w:r>
      <w:r w:rsidR="00F24A5B">
        <w:rPr>
          <w:rFonts w:ascii="Verdana" w:hAnsi="Verdana"/>
          <w:color w:val="000000"/>
          <w:sz w:val="20"/>
          <w:szCs w:val="20"/>
          <w:shd w:val="clear" w:color="auto" w:fill="FFFFFF"/>
        </w:rPr>
        <w:t>s</w:t>
      </w:r>
      <w:r w:rsidR="00AD151B">
        <w:rPr>
          <w:rFonts w:ascii="Verdana" w:hAnsi="Verdana"/>
          <w:color w:val="000000"/>
          <w:sz w:val="20"/>
          <w:szCs w:val="20"/>
          <w:shd w:val="clear" w:color="auto" w:fill="FFFFFF"/>
        </w:rPr>
        <w:t xml:space="preserve">u acuerdo con que la reparación se ejecute de </w:t>
      </w:r>
      <w:r>
        <w:rPr>
          <w:rFonts w:ascii="Verdana" w:hAnsi="Verdana"/>
          <w:color w:val="000000"/>
          <w:sz w:val="20"/>
          <w:szCs w:val="20"/>
          <w:shd w:val="clear" w:color="auto" w:fill="FFFFFF"/>
        </w:rPr>
        <w:t xml:space="preserve">la </w:t>
      </w:r>
      <w:r w:rsidR="00AD151B">
        <w:rPr>
          <w:rFonts w:ascii="Verdana" w:hAnsi="Verdana"/>
          <w:color w:val="000000"/>
          <w:sz w:val="20"/>
          <w:szCs w:val="20"/>
          <w:shd w:val="clear" w:color="auto" w:fill="FFFFFF"/>
        </w:rPr>
        <w:t>forma</w:t>
      </w:r>
      <w:r>
        <w:rPr>
          <w:rFonts w:ascii="Verdana" w:hAnsi="Verdana"/>
          <w:color w:val="000000"/>
          <w:sz w:val="20"/>
          <w:szCs w:val="20"/>
          <w:shd w:val="clear" w:color="auto" w:fill="FFFFFF"/>
        </w:rPr>
        <w:t xml:space="preserve"> indicada por el Estado (</w:t>
      </w:r>
      <w:r>
        <w:rPr>
          <w:rFonts w:ascii="Verdana" w:hAnsi="Verdana"/>
          <w:i/>
          <w:color w:val="000000"/>
          <w:sz w:val="20"/>
          <w:szCs w:val="20"/>
          <w:shd w:val="clear" w:color="auto" w:fill="FFFFFF"/>
        </w:rPr>
        <w:t xml:space="preserve">supra </w:t>
      </w:r>
      <w:r>
        <w:rPr>
          <w:rFonts w:ascii="Verdana" w:hAnsi="Verdana"/>
          <w:color w:val="000000"/>
          <w:sz w:val="20"/>
          <w:szCs w:val="20"/>
          <w:shd w:val="clear" w:color="auto" w:fill="FFFFFF"/>
        </w:rPr>
        <w:t>Visto 4)</w:t>
      </w:r>
      <w:r w:rsidR="00AD151B">
        <w:rPr>
          <w:rFonts w:ascii="Verdana" w:hAnsi="Verdana"/>
          <w:color w:val="000000"/>
          <w:sz w:val="20"/>
          <w:szCs w:val="20"/>
          <w:shd w:val="clear" w:color="auto" w:fill="FFFFFF"/>
        </w:rPr>
        <w:t xml:space="preserve">. </w:t>
      </w:r>
    </w:p>
    <w:p w14:paraId="31B4767C" w14:textId="1D151D16" w:rsidR="00BD6059" w:rsidRPr="00BD6059" w:rsidRDefault="00BD6059" w:rsidP="00A658D4">
      <w:pPr>
        <w:numPr>
          <w:ilvl w:val="0"/>
          <w:numId w:val="1"/>
        </w:numPr>
        <w:spacing w:before="120" w:afterLines="160" w:after="384" w:line="240" w:lineRule="auto"/>
        <w:ind w:left="0" w:firstLine="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escrito de observaciones presentado por la Comisión Interamericana de Derechos Humanos </w:t>
      </w:r>
      <w:r>
        <w:rPr>
          <w:rFonts w:ascii="Verdana" w:hAnsi="Verdana"/>
          <w:sz w:val="20"/>
          <w:szCs w:val="20"/>
        </w:rPr>
        <w:t xml:space="preserve">(en adelante “la Comisión Interamericana” o “la Comisión”) </w:t>
      </w:r>
      <w:r>
        <w:rPr>
          <w:rFonts w:ascii="Verdana" w:hAnsi="Verdana"/>
          <w:color w:val="000000"/>
          <w:sz w:val="20"/>
          <w:szCs w:val="20"/>
          <w:shd w:val="clear" w:color="auto" w:fill="FFFFFF"/>
        </w:rPr>
        <w:t xml:space="preserve">el 8 de julio de 2019. </w:t>
      </w:r>
    </w:p>
    <w:p w14:paraId="575B20D1" w14:textId="22AF8046" w:rsidR="00833E82" w:rsidRPr="00BD6059" w:rsidRDefault="00833E82" w:rsidP="00A658D4">
      <w:pPr>
        <w:numPr>
          <w:ilvl w:val="0"/>
          <w:numId w:val="1"/>
        </w:numPr>
        <w:spacing w:before="120" w:afterLines="160" w:after="384" w:line="240" w:lineRule="auto"/>
        <w:ind w:left="0" w:firstLine="0"/>
        <w:jc w:val="both"/>
        <w:rPr>
          <w:rFonts w:ascii="Verdana" w:hAnsi="Verdana"/>
          <w:color w:val="000000"/>
          <w:sz w:val="20"/>
          <w:szCs w:val="20"/>
          <w:shd w:val="clear" w:color="auto" w:fill="FFFFFF"/>
        </w:rPr>
      </w:pPr>
      <w:r>
        <w:rPr>
          <w:rFonts w:ascii="Verdana" w:hAnsi="Verdana"/>
          <w:color w:val="000000"/>
          <w:sz w:val="20"/>
          <w:szCs w:val="20"/>
          <w:shd w:val="clear" w:color="auto" w:fill="FFFFFF"/>
        </w:rPr>
        <w:t>La nota de la Secretaría de</w:t>
      </w:r>
      <w:r w:rsidR="008B5B0D">
        <w:rPr>
          <w:rFonts w:ascii="Verdana" w:hAnsi="Verdana"/>
          <w:color w:val="000000"/>
          <w:sz w:val="20"/>
          <w:szCs w:val="20"/>
          <w:shd w:val="clear" w:color="auto" w:fill="FFFFFF"/>
        </w:rPr>
        <w:t>l Tribunal</w:t>
      </w:r>
      <w:r>
        <w:rPr>
          <w:rFonts w:ascii="Verdana" w:hAnsi="Verdana"/>
          <w:color w:val="000000"/>
          <w:sz w:val="20"/>
          <w:szCs w:val="20"/>
          <w:shd w:val="clear" w:color="auto" w:fill="FFFFFF"/>
        </w:rPr>
        <w:t xml:space="preserve"> de 8 de octubre de 2019, mediante la cual se comunicó a las partes que la Corte, reunida durante el 131° Período Ordinario de Sesiones, había valorado dicha información (</w:t>
      </w:r>
      <w:r w:rsidRPr="00806335">
        <w:rPr>
          <w:rFonts w:ascii="Verdana" w:hAnsi="Verdana"/>
          <w:i/>
          <w:color w:val="000000"/>
          <w:sz w:val="20"/>
          <w:szCs w:val="20"/>
          <w:shd w:val="clear" w:color="auto" w:fill="FFFFFF"/>
        </w:rPr>
        <w:t>supra</w:t>
      </w:r>
      <w:r>
        <w:rPr>
          <w:rFonts w:ascii="Verdana" w:hAnsi="Verdana"/>
          <w:color w:val="000000"/>
          <w:sz w:val="20"/>
          <w:szCs w:val="20"/>
          <w:shd w:val="clear" w:color="auto" w:fill="FFFFFF"/>
        </w:rPr>
        <w:t xml:space="preserve"> Visto</w:t>
      </w:r>
      <w:r w:rsidR="008B5B0D">
        <w:rPr>
          <w:rFonts w:ascii="Verdana" w:hAnsi="Verdana"/>
          <w:color w:val="000000"/>
          <w:sz w:val="20"/>
          <w:szCs w:val="20"/>
          <w:shd w:val="clear" w:color="auto" w:fill="FFFFFF"/>
        </w:rPr>
        <w:t>s</w:t>
      </w:r>
      <w:r>
        <w:rPr>
          <w:rFonts w:ascii="Verdana" w:hAnsi="Verdana"/>
          <w:color w:val="000000"/>
          <w:sz w:val="20"/>
          <w:szCs w:val="20"/>
          <w:shd w:val="clear" w:color="auto" w:fill="FFFFFF"/>
        </w:rPr>
        <w:t xml:space="preserve"> </w:t>
      </w:r>
      <w:r w:rsidR="008B5B0D">
        <w:rPr>
          <w:rFonts w:ascii="Verdana" w:hAnsi="Verdana"/>
          <w:color w:val="000000"/>
          <w:sz w:val="20"/>
          <w:szCs w:val="20"/>
          <w:shd w:val="clear" w:color="auto" w:fill="FFFFFF"/>
        </w:rPr>
        <w:t>4 a 6</w:t>
      </w:r>
      <w:r>
        <w:rPr>
          <w:rFonts w:ascii="Verdana" w:hAnsi="Verdana"/>
          <w:color w:val="000000"/>
          <w:sz w:val="20"/>
          <w:szCs w:val="20"/>
          <w:shd w:val="clear" w:color="auto" w:fill="FFFFFF"/>
        </w:rPr>
        <w:t>) y consideraba que, “</w:t>
      </w:r>
      <w:r>
        <w:rPr>
          <w:rFonts w:ascii="Verdana" w:hAnsi="Verdana"/>
          <w:sz w:val="20"/>
          <w:szCs w:val="20"/>
          <w:lang w:val="es-AR"/>
        </w:rPr>
        <w:t>dado que ambas partes refieren estar de acuerdo en cuanto a dicha modalidad de ejecución de la medida ordenada en el punto resolutivo d</w:t>
      </w:r>
      <w:r w:rsidR="008B5B0D">
        <w:rPr>
          <w:rFonts w:ascii="Verdana" w:hAnsi="Verdana"/>
          <w:sz w:val="20"/>
          <w:szCs w:val="20"/>
          <w:lang w:val="es-AR"/>
        </w:rPr>
        <w:t>é</w:t>
      </w:r>
      <w:r>
        <w:rPr>
          <w:rFonts w:ascii="Verdana" w:hAnsi="Verdana"/>
          <w:sz w:val="20"/>
          <w:szCs w:val="20"/>
          <w:lang w:val="es-AR"/>
        </w:rPr>
        <w:t>cimo</w:t>
      </w:r>
      <w:r w:rsidR="008B5B0D">
        <w:rPr>
          <w:rFonts w:ascii="Verdana" w:hAnsi="Verdana"/>
          <w:sz w:val="20"/>
          <w:szCs w:val="20"/>
          <w:lang w:val="es-AR"/>
        </w:rPr>
        <w:t xml:space="preserve"> </w:t>
      </w:r>
      <w:r>
        <w:rPr>
          <w:rFonts w:ascii="Verdana" w:hAnsi="Verdana"/>
          <w:sz w:val="20"/>
          <w:szCs w:val="20"/>
          <w:lang w:val="es-AR"/>
        </w:rPr>
        <w:t xml:space="preserve">primero de la Sentencia, y en tanto </w:t>
      </w:r>
      <w:r>
        <w:rPr>
          <w:rFonts w:ascii="Verdana" w:hAnsi="Verdana" w:cs="Arial"/>
          <w:sz w:val="20"/>
          <w:shd w:val="clear" w:color="auto" w:fill="FFFFFF"/>
          <w:lang w:val="es-AR"/>
        </w:rPr>
        <w:t xml:space="preserve">este cambio en la modalidad de ejecución sería acorde al objetivo primordial de la medida ordenada, este Tribunal está de acuerdo y valida que se dé cumplimiento a la medida de reparación relativa al pago de la indemnización por daño inmaterial en los términos propuestos por las partes, de modo que </w:t>
      </w:r>
      <w:r>
        <w:rPr>
          <w:rFonts w:ascii="Verdana" w:hAnsi="Verdana"/>
          <w:sz w:val="20"/>
          <w:szCs w:val="20"/>
          <w:lang w:val="es-ES_tradnl"/>
        </w:rPr>
        <w:t xml:space="preserve">el Estado proceda a realizar el pago directamente a la asociación designada por el Pueblo Indígena </w:t>
      </w:r>
      <w:proofErr w:type="spellStart"/>
      <w:r>
        <w:rPr>
          <w:rFonts w:ascii="Verdana" w:hAnsi="Verdana"/>
          <w:sz w:val="20"/>
          <w:szCs w:val="20"/>
          <w:lang w:val="es-ES_tradnl"/>
        </w:rPr>
        <w:t>Xucur</w:t>
      </w:r>
      <w:r w:rsidR="00BD6059">
        <w:rPr>
          <w:rFonts w:ascii="Verdana" w:hAnsi="Verdana"/>
          <w:sz w:val="20"/>
          <w:szCs w:val="20"/>
          <w:lang w:val="es-ES_tradnl"/>
        </w:rPr>
        <w:t>u</w:t>
      </w:r>
      <w:proofErr w:type="spellEnd"/>
      <w:r>
        <w:rPr>
          <w:rFonts w:ascii="Verdana" w:hAnsi="Verdana"/>
          <w:sz w:val="20"/>
          <w:szCs w:val="20"/>
          <w:lang w:val="es-ES_tradnl"/>
        </w:rPr>
        <w:t>”.</w:t>
      </w:r>
    </w:p>
    <w:p w14:paraId="02B3A0C3" w14:textId="402B1143" w:rsidR="008B5B0D" w:rsidRDefault="00B041E7" w:rsidP="00A658D4">
      <w:pPr>
        <w:spacing w:before="120" w:afterLines="160" w:after="384" w:line="240" w:lineRule="auto"/>
        <w:jc w:val="both"/>
        <w:outlineLvl w:val="0"/>
        <w:rPr>
          <w:rFonts w:ascii="Verdana" w:hAnsi="Verdana"/>
          <w:b/>
          <w:sz w:val="20"/>
          <w:lang w:val="es-MX"/>
        </w:rPr>
      </w:pPr>
      <w:r>
        <w:rPr>
          <w:rFonts w:ascii="Verdana" w:hAnsi="Verdana"/>
          <w:b/>
          <w:sz w:val="20"/>
          <w:szCs w:val="20"/>
        </w:rPr>
        <w:t>C</w:t>
      </w:r>
      <w:r>
        <w:rPr>
          <w:rFonts w:ascii="Verdana" w:hAnsi="Verdana"/>
          <w:b/>
          <w:sz w:val="20"/>
          <w:lang w:val="es-MX"/>
        </w:rPr>
        <w:t xml:space="preserve">ONSIDERANDO QUE: </w:t>
      </w:r>
    </w:p>
    <w:p w14:paraId="01CB6D43" w14:textId="25E5D066" w:rsidR="00B041E7" w:rsidRDefault="00B041E7" w:rsidP="00A658D4">
      <w:pPr>
        <w:numPr>
          <w:ilvl w:val="0"/>
          <w:numId w:val="2"/>
        </w:numPr>
        <w:spacing w:before="120" w:afterLines="160" w:after="384" w:line="240" w:lineRule="auto"/>
        <w:ind w:left="0" w:firstLine="0"/>
        <w:jc w:val="both"/>
        <w:rPr>
          <w:rFonts w:ascii="Verdana" w:hAnsi="Verdana"/>
          <w:sz w:val="20"/>
        </w:rPr>
      </w:pPr>
      <w:r>
        <w:rPr>
          <w:rFonts w:ascii="Verdana" w:hAnsi="Verdana"/>
          <w:sz w:val="20"/>
        </w:rPr>
        <w:t xml:space="preserve">En el ejercicio de </w:t>
      </w:r>
      <w:r>
        <w:rPr>
          <w:rFonts w:ascii="Verdana" w:hAnsi="Verdana"/>
          <w:sz w:val="20"/>
          <w:lang w:val="es-ES"/>
        </w:rPr>
        <w:t xml:space="preserve">su función jurisdiccional de </w:t>
      </w:r>
      <w:r>
        <w:rPr>
          <w:rFonts w:ascii="Verdana" w:hAnsi="Verdana"/>
          <w:sz w:val="20"/>
        </w:rPr>
        <w:t xml:space="preserve">supervisar el cumplimiento de sus </w:t>
      </w:r>
      <w:r>
        <w:rPr>
          <w:rFonts w:ascii="Verdana" w:hAnsi="Verdana"/>
          <w:sz w:val="20"/>
          <w:lang w:val="es-ES_tradnl"/>
        </w:rPr>
        <w:t>decisiones</w:t>
      </w:r>
      <w:r>
        <w:rPr>
          <w:rFonts w:ascii="Verdana" w:hAnsi="Verdana"/>
          <w:sz w:val="20"/>
          <w:vertAlign w:val="superscript"/>
          <w:lang w:val="es-ES_tradnl"/>
        </w:rPr>
        <w:footnoteReference w:id="6"/>
      </w:r>
      <w:r>
        <w:rPr>
          <w:rFonts w:ascii="Verdana" w:hAnsi="Verdana"/>
          <w:sz w:val="20"/>
          <w:lang w:val="es-ES_tradnl"/>
        </w:rPr>
        <w:t xml:space="preserve">, la Corte ha venido supervisando la ejecución de la Sentencia emitida </w:t>
      </w:r>
      <w:r>
        <w:rPr>
          <w:rFonts w:ascii="Verdana" w:hAnsi="Verdana"/>
          <w:sz w:val="20"/>
          <w:lang w:val="es-MX"/>
        </w:rPr>
        <w:t xml:space="preserve">en el </w:t>
      </w:r>
      <w:r>
        <w:rPr>
          <w:rFonts w:ascii="Verdana" w:hAnsi="Verdana"/>
          <w:sz w:val="20"/>
          <w:lang w:val="es-MX"/>
        </w:rPr>
        <w:lastRenderedPageBreak/>
        <w:t xml:space="preserve">presente caso en el 2018 </w:t>
      </w:r>
      <w:r>
        <w:rPr>
          <w:rFonts w:ascii="Verdana" w:hAnsi="Verdana"/>
          <w:sz w:val="20"/>
          <w:szCs w:val="20"/>
        </w:rPr>
        <w:t>(</w:t>
      </w:r>
      <w:r>
        <w:rPr>
          <w:rFonts w:ascii="Verdana" w:hAnsi="Verdana"/>
          <w:i/>
          <w:sz w:val="20"/>
          <w:szCs w:val="20"/>
        </w:rPr>
        <w:t xml:space="preserve">supra </w:t>
      </w:r>
      <w:r>
        <w:rPr>
          <w:rFonts w:ascii="Verdana" w:hAnsi="Verdana"/>
          <w:sz w:val="20"/>
          <w:szCs w:val="20"/>
        </w:rPr>
        <w:t>Visto 1)</w:t>
      </w:r>
      <w:r>
        <w:rPr>
          <w:rFonts w:ascii="Verdana" w:hAnsi="Verdana"/>
          <w:sz w:val="20"/>
          <w:lang w:val="es-MX"/>
        </w:rPr>
        <w:t>. En dicho fallo la Corte dispuso cinco medidas de reparación (</w:t>
      </w:r>
      <w:r>
        <w:rPr>
          <w:rFonts w:ascii="Verdana" w:hAnsi="Verdana"/>
          <w:i/>
          <w:sz w:val="20"/>
          <w:lang w:val="es-MX"/>
        </w:rPr>
        <w:t xml:space="preserve">infra </w:t>
      </w:r>
      <w:r>
        <w:rPr>
          <w:rFonts w:ascii="Verdana" w:hAnsi="Verdana"/>
          <w:sz w:val="20"/>
          <w:lang w:val="es-MX"/>
        </w:rPr>
        <w:t xml:space="preserve">Considerando </w:t>
      </w:r>
      <w:r w:rsidR="001341A5">
        <w:rPr>
          <w:rFonts w:ascii="Verdana" w:hAnsi="Verdana"/>
          <w:sz w:val="20"/>
          <w:lang w:val="es-MX"/>
        </w:rPr>
        <w:t xml:space="preserve">3 </w:t>
      </w:r>
      <w:r>
        <w:rPr>
          <w:rFonts w:ascii="Verdana" w:hAnsi="Verdana"/>
          <w:sz w:val="20"/>
          <w:lang w:val="es-MX"/>
        </w:rPr>
        <w:t>y punto resolutivo 2).</w:t>
      </w:r>
    </w:p>
    <w:p w14:paraId="742B5F81" w14:textId="77777777" w:rsidR="00B041E7" w:rsidRDefault="00B041E7" w:rsidP="00A658D4">
      <w:pPr>
        <w:numPr>
          <w:ilvl w:val="0"/>
          <w:numId w:val="2"/>
        </w:numPr>
        <w:tabs>
          <w:tab w:val="left" w:pos="709"/>
        </w:tabs>
        <w:spacing w:before="120" w:afterLines="160" w:after="384" w:line="240" w:lineRule="auto"/>
        <w:ind w:left="0" w:firstLine="0"/>
        <w:jc w:val="both"/>
        <w:rPr>
          <w:rFonts w:ascii="Verdana" w:hAnsi="Verdana"/>
          <w:color w:val="000000"/>
          <w:sz w:val="20"/>
          <w:szCs w:val="20"/>
          <w:lang w:val="es-MX"/>
        </w:rPr>
      </w:pPr>
      <w:r>
        <w:rPr>
          <w:rFonts w:ascii="Verdana" w:hAnsi="Verdana"/>
          <w:sz w:val="20"/>
          <w:szCs w:val="20"/>
        </w:rPr>
        <w:t xml:space="preserve">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w:t>
      </w:r>
      <w:r>
        <w:rPr>
          <w:rFonts w:ascii="Verdana" w:hAnsi="Verdana"/>
          <w:sz w:val="20"/>
          <w:szCs w:val="20"/>
          <w:lang w:val="es-ES_tradnl"/>
        </w:rPr>
        <w:t>su conjunto</w:t>
      </w:r>
      <w:r>
        <w:rPr>
          <w:rStyle w:val="Refdenotaalpie"/>
          <w:rFonts w:ascii="Verdana" w:hAnsi="Verdana"/>
          <w:sz w:val="20"/>
          <w:szCs w:val="20"/>
          <w:lang w:val="es-ES_tradnl"/>
        </w:rPr>
        <w:footnoteReference w:id="7"/>
      </w:r>
      <w:r>
        <w:rPr>
          <w:rFonts w:ascii="Verdana" w:hAnsi="Verdana"/>
          <w:sz w:val="20"/>
          <w:szCs w:val="20"/>
          <w:lang w:val="es-ES_tradnl"/>
        </w:rPr>
        <w:t xml:space="preserve">. </w:t>
      </w:r>
      <w:r>
        <w:rPr>
          <w:rFonts w:ascii="Verdana" w:hAnsi="Verdana"/>
          <w:sz w:val="20"/>
          <w:szCs w:val="20"/>
        </w:rPr>
        <w:t>Los Estados Parte en la Convención deben garantizar el cumplimiento de las disposiciones convencionales y sus efectos propios (</w:t>
      </w:r>
      <w:proofErr w:type="spellStart"/>
      <w:r>
        <w:rPr>
          <w:rFonts w:ascii="Verdana" w:hAnsi="Verdana"/>
          <w:i/>
          <w:sz w:val="20"/>
          <w:szCs w:val="20"/>
        </w:rPr>
        <w:t>effet</w:t>
      </w:r>
      <w:proofErr w:type="spellEnd"/>
      <w:r>
        <w:rPr>
          <w:rFonts w:ascii="Verdana" w:hAnsi="Verdana"/>
          <w:i/>
          <w:sz w:val="20"/>
          <w:szCs w:val="20"/>
        </w:rPr>
        <w:t xml:space="preserve"> </w:t>
      </w:r>
      <w:proofErr w:type="spellStart"/>
      <w:r>
        <w:rPr>
          <w:rFonts w:ascii="Verdana" w:hAnsi="Verdana"/>
          <w:i/>
          <w:sz w:val="20"/>
          <w:szCs w:val="20"/>
        </w:rPr>
        <w:t>utile</w:t>
      </w:r>
      <w:proofErr w:type="spellEnd"/>
      <w:r>
        <w:rPr>
          <w:rFonts w:ascii="Verdana" w:hAnsi="Verdana"/>
          <w:sz w:val="20"/>
          <w:szCs w:val="20"/>
        </w:rPr>
        <w:t xml:space="preserve">) en el plano de sus respectivos derechos internos. Estas obligaciones deben ser interpretadas y aplicadas de manera que la garantía protegida sea verdaderamente práctica y eficaz, teniendo presente la naturaleza especial de </w:t>
      </w:r>
      <w:r>
        <w:rPr>
          <w:rFonts w:ascii="Verdana" w:hAnsi="Verdana"/>
          <w:color w:val="000000"/>
          <w:sz w:val="20"/>
          <w:szCs w:val="20"/>
        </w:rPr>
        <w:t xml:space="preserve">los tratados de derechos </w:t>
      </w:r>
      <w:r>
        <w:rPr>
          <w:rFonts w:ascii="Verdana" w:hAnsi="Verdana"/>
          <w:color w:val="000000"/>
          <w:sz w:val="20"/>
          <w:szCs w:val="20"/>
          <w:lang w:val="es-ES"/>
        </w:rPr>
        <w:t>humanos</w:t>
      </w:r>
      <w:r>
        <w:rPr>
          <w:rStyle w:val="Refdenotaalpie"/>
          <w:rFonts w:ascii="Verdana" w:hAnsi="Verdana"/>
          <w:color w:val="000000"/>
          <w:sz w:val="20"/>
          <w:szCs w:val="20"/>
          <w:lang w:val="es-ES"/>
        </w:rPr>
        <w:footnoteReference w:id="8"/>
      </w:r>
      <w:r>
        <w:rPr>
          <w:rFonts w:ascii="Verdana" w:hAnsi="Verdana"/>
          <w:color w:val="000000"/>
          <w:sz w:val="20"/>
          <w:szCs w:val="20"/>
          <w:lang w:val="es-ES"/>
        </w:rPr>
        <w:t>.</w:t>
      </w:r>
    </w:p>
    <w:p w14:paraId="3EFBD299" w14:textId="3873B37B" w:rsidR="00B041E7" w:rsidRDefault="00B041E7" w:rsidP="00A658D4">
      <w:pPr>
        <w:numPr>
          <w:ilvl w:val="0"/>
          <w:numId w:val="2"/>
        </w:numPr>
        <w:tabs>
          <w:tab w:val="left" w:pos="709"/>
        </w:tabs>
        <w:spacing w:before="120" w:afterLines="160" w:after="384" w:line="240" w:lineRule="auto"/>
        <w:ind w:left="0" w:firstLine="0"/>
        <w:jc w:val="both"/>
        <w:rPr>
          <w:rFonts w:ascii="Verdana" w:hAnsi="Verdana"/>
          <w:color w:val="000000"/>
          <w:sz w:val="20"/>
          <w:szCs w:val="20"/>
          <w:lang w:val="es-ES_tradnl"/>
        </w:rPr>
      </w:pPr>
      <w:r>
        <w:rPr>
          <w:rFonts w:ascii="Verdana" w:hAnsi="Verdana"/>
          <w:color w:val="000000"/>
          <w:sz w:val="20"/>
          <w:szCs w:val="20"/>
        </w:rPr>
        <w:t xml:space="preserve">En la </w:t>
      </w:r>
      <w:r>
        <w:rPr>
          <w:rFonts w:ascii="Verdana" w:hAnsi="Verdana"/>
          <w:sz w:val="20"/>
          <w:szCs w:val="20"/>
        </w:rPr>
        <w:t>presente</w:t>
      </w:r>
      <w:r>
        <w:rPr>
          <w:rFonts w:ascii="Verdana" w:hAnsi="Verdana"/>
          <w:color w:val="000000"/>
          <w:sz w:val="20"/>
          <w:szCs w:val="20"/>
        </w:rPr>
        <w:t xml:space="preserve"> Resolución, la Corte se pronunciará sobre las medidas relativas a la publicación y difusión de la Sentencia y su resumen oficial</w:t>
      </w:r>
      <w:r w:rsidR="00845418">
        <w:rPr>
          <w:rFonts w:ascii="Verdana" w:hAnsi="Verdana"/>
          <w:color w:val="000000"/>
          <w:sz w:val="20"/>
          <w:szCs w:val="20"/>
        </w:rPr>
        <w:t>. Respecto de las restantes reparaciones</w:t>
      </w:r>
      <w:r w:rsidR="00A32AE1">
        <w:rPr>
          <w:rFonts w:ascii="Verdana" w:hAnsi="Verdana"/>
          <w:color w:val="000000"/>
          <w:sz w:val="20"/>
          <w:szCs w:val="20"/>
        </w:rPr>
        <w:t xml:space="preserve"> (</w:t>
      </w:r>
      <w:r w:rsidR="00A32AE1">
        <w:rPr>
          <w:rFonts w:ascii="Verdana" w:hAnsi="Verdana"/>
          <w:i/>
          <w:color w:val="000000"/>
          <w:sz w:val="20"/>
          <w:szCs w:val="20"/>
        </w:rPr>
        <w:t xml:space="preserve">infra </w:t>
      </w:r>
      <w:r w:rsidR="00A32AE1">
        <w:rPr>
          <w:rFonts w:ascii="Verdana" w:hAnsi="Verdana"/>
          <w:color w:val="000000"/>
          <w:sz w:val="20"/>
          <w:szCs w:val="20"/>
        </w:rPr>
        <w:t>punto resolutivo 2)</w:t>
      </w:r>
      <w:r>
        <w:rPr>
          <w:rFonts w:ascii="Verdana" w:hAnsi="Verdana"/>
          <w:color w:val="000000"/>
          <w:sz w:val="20"/>
          <w:szCs w:val="20"/>
        </w:rPr>
        <w:t xml:space="preserve">, se </w:t>
      </w:r>
      <w:r w:rsidR="008B5B0D">
        <w:rPr>
          <w:rFonts w:ascii="Verdana" w:hAnsi="Verdana"/>
          <w:color w:val="000000"/>
          <w:sz w:val="20"/>
          <w:szCs w:val="20"/>
        </w:rPr>
        <w:t xml:space="preserve">referirá </w:t>
      </w:r>
      <w:r>
        <w:rPr>
          <w:rFonts w:ascii="Verdana" w:hAnsi="Verdana"/>
          <w:color w:val="000000"/>
          <w:sz w:val="20"/>
          <w:szCs w:val="20"/>
        </w:rPr>
        <w:t>en una posterior resolución</w:t>
      </w:r>
      <w:r>
        <w:rPr>
          <w:rFonts w:ascii="Verdana" w:hAnsi="Verdana"/>
          <w:color w:val="000000"/>
          <w:sz w:val="20"/>
          <w:szCs w:val="20"/>
          <w:lang w:val="es-ES_tradnl"/>
        </w:rPr>
        <w:t>.</w:t>
      </w:r>
    </w:p>
    <w:p w14:paraId="5325E55F" w14:textId="42B0C74A" w:rsidR="00B041E7" w:rsidRDefault="00B041E7" w:rsidP="00A658D4">
      <w:pPr>
        <w:tabs>
          <w:tab w:val="left" w:pos="709"/>
        </w:tabs>
        <w:spacing w:before="100" w:beforeAutospacing="1" w:afterLines="160" w:after="384" w:line="240" w:lineRule="auto"/>
        <w:jc w:val="both"/>
        <w:rPr>
          <w:rFonts w:ascii="Verdana" w:hAnsi="Verdana"/>
          <w:i/>
          <w:color w:val="000000"/>
          <w:sz w:val="20"/>
          <w:szCs w:val="20"/>
          <w:lang w:val="es-ES_tradnl"/>
        </w:rPr>
      </w:pPr>
      <w:r>
        <w:rPr>
          <w:rFonts w:ascii="Verdana" w:hAnsi="Verdana"/>
          <w:i/>
          <w:color w:val="000000"/>
          <w:sz w:val="20"/>
          <w:szCs w:val="20"/>
          <w:lang w:val="es-ES_tradnl"/>
        </w:rPr>
        <w:tab/>
        <w:t>A. Medidas ordenadas por la Corte</w:t>
      </w:r>
    </w:p>
    <w:p w14:paraId="1B4454BE" w14:textId="54A89306" w:rsidR="00641738" w:rsidRPr="008B5B0D" w:rsidRDefault="00B041E7" w:rsidP="00A658D4">
      <w:pPr>
        <w:numPr>
          <w:ilvl w:val="0"/>
          <w:numId w:val="2"/>
        </w:numPr>
        <w:tabs>
          <w:tab w:val="left" w:pos="709"/>
        </w:tabs>
        <w:spacing w:before="100" w:beforeAutospacing="1" w:afterLines="160" w:after="384" w:line="240" w:lineRule="auto"/>
        <w:ind w:left="0" w:firstLine="0"/>
        <w:jc w:val="both"/>
        <w:rPr>
          <w:rFonts w:ascii="Verdana" w:hAnsi="Verdana"/>
          <w:i/>
          <w:color w:val="000000"/>
          <w:sz w:val="20"/>
          <w:szCs w:val="20"/>
        </w:rPr>
      </w:pPr>
      <w:r>
        <w:rPr>
          <w:rFonts w:ascii="Verdana" w:hAnsi="Verdana"/>
          <w:color w:val="000000"/>
          <w:sz w:val="20"/>
          <w:szCs w:val="20"/>
          <w:lang w:val="es-ES_tradnl"/>
        </w:rPr>
        <w:t xml:space="preserve">En el punto </w:t>
      </w:r>
      <w:r w:rsidR="0007312E">
        <w:rPr>
          <w:rFonts w:ascii="Verdana" w:hAnsi="Verdana"/>
          <w:color w:val="000000"/>
          <w:sz w:val="20"/>
          <w:szCs w:val="20"/>
          <w:lang w:val="es-ES_tradnl"/>
        </w:rPr>
        <w:t xml:space="preserve">resolutivo </w:t>
      </w:r>
      <w:r>
        <w:rPr>
          <w:rFonts w:ascii="Verdana" w:hAnsi="Verdana"/>
          <w:color w:val="000000"/>
          <w:sz w:val="20"/>
          <w:szCs w:val="20"/>
          <w:lang w:val="es-ES_tradnl"/>
        </w:rPr>
        <w:t xml:space="preserve">décimo y en el párrafo 199 de la Sentencia, la Corte dispuso que el Estado debía publicar, en el plazo de seis meses, contado a partir de la notificación de la Sentencia: </w:t>
      </w:r>
      <w:r w:rsidR="00641738">
        <w:rPr>
          <w:rFonts w:ascii="Verdana" w:hAnsi="Verdana"/>
          <w:color w:val="000000"/>
          <w:sz w:val="20"/>
          <w:szCs w:val="20"/>
          <w:lang w:val="es-ES_tradnl"/>
        </w:rPr>
        <w:t>“</w:t>
      </w:r>
      <w:r>
        <w:rPr>
          <w:rFonts w:ascii="Verdana" w:hAnsi="Verdana"/>
          <w:color w:val="000000"/>
          <w:sz w:val="20"/>
          <w:szCs w:val="20"/>
        </w:rPr>
        <w:t xml:space="preserve">a) </w:t>
      </w:r>
      <w:r w:rsidR="006C78D3" w:rsidRPr="002B2206">
        <w:rPr>
          <w:rFonts w:ascii="Verdana" w:hAnsi="Verdana"/>
          <w:color w:val="000000"/>
          <w:sz w:val="20"/>
          <w:szCs w:val="20"/>
        </w:rPr>
        <w:t xml:space="preserve">el resumen oficial de la </w:t>
      </w:r>
      <w:r w:rsidR="008B5B0D">
        <w:rPr>
          <w:rFonts w:ascii="Verdana" w:hAnsi="Verdana"/>
          <w:color w:val="000000"/>
          <w:sz w:val="20"/>
          <w:szCs w:val="20"/>
        </w:rPr>
        <w:t xml:space="preserve">[…] </w:t>
      </w:r>
      <w:r w:rsidR="006C78D3" w:rsidRPr="002B2206">
        <w:rPr>
          <w:rFonts w:ascii="Verdana" w:hAnsi="Verdana"/>
          <w:color w:val="000000"/>
          <w:sz w:val="20"/>
          <w:szCs w:val="20"/>
        </w:rPr>
        <w:t xml:space="preserve">Sentencia elaborado por la Corte, </w:t>
      </w:r>
      <w:r w:rsidR="008B5B0D">
        <w:rPr>
          <w:rFonts w:ascii="Verdana" w:hAnsi="Verdana"/>
          <w:color w:val="000000"/>
          <w:sz w:val="20"/>
          <w:szCs w:val="20"/>
        </w:rPr>
        <w:t xml:space="preserve">[…] </w:t>
      </w:r>
      <w:r w:rsidR="006C78D3" w:rsidRPr="002B2206">
        <w:rPr>
          <w:rFonts w:ascii="Verdana" w:hAnsi="Verdana"/>
          <w:color w:val="000000"/>
          <w:sz w:val="20"/>
          <w:szCs w:val="20"/>
        </w:rPr>
        <w:t>en el Diario Oficial, en un tamaño de letra legible y adecuado</w:t>
      </w:r>
      <w:r>
        <w:rPr>
          <w:rFonts w:ascii="Verdana" w:hAnsi="Verdana"/>
          <w:color w:val="000000"/>
          <w:sz w:val="20"/>
          <w:szCs w:val="20"/>
        </w:rPr>
        <w:t xml:space="preserve">, y b) la </w:t>
      </w:r>
      <w:r w:rsidR="008B5B0D">
        <w:rPr>
          <w:rFonts w:ascii="Verdana" w:hAnsi="Verdana"/>
          <w:color w:val="000000"/>
          <w:sz w:val="20"/>
          <w:szCs w:val="20"/>
        </w:rPr>
        <w:t xml:space="preserve">[…] </w:t>
      </w:r>
      <w:r>
        <w:rPr>
          <w:rFonts w:ascii="Verdana" w:hAnsi="Verdana"/>
          <w:color w:val="000000"/>
          <w:sz w:val="20"/>
          <w:szCs w:val="20"/>
        </w:rPr>
        <w:t>Sentencia en su integridad, disponible, por un período de al menos un año, en un sitio web oficial del Estado</w:t>
      </w:r>
      <w:r w:rsidR="00641738">
        <w:rPr>
          <w:rFonts w:ascii="Verdana" w:hAnsi="Verdana"/>
          <w:color w:val="000000"/>
          <w:sz w:val="20"/>
          <w:szCs w:val="20"/>
        </w:rPr>
        <w:t>”</w:t>
      </w:r>
      <w:r w:rsidR="002B2206">
        <w:rPr>
          <w:rFonts w:ascii="Verdana" w:hAnsi="Verdana"/>
          <w:color w:val="000000"/>
          <w:sz w:val="20"/>
          <w:szCs w:val="20"/>
        </w:rPr>
        <w:t>.</w:t>
      </w:r>
      <w:r w:rsidR="00641738">
        <w:rPr>
          <w:rFonts w:ascii="Verdana" w:hAnsi="Verdana"/>
          <w:color w:val="000000"/>
          <w:sz w:val="20"/>
          <w:szCs w:val="20"/>
        </w:rPr>
        <w:t xml:space="preserve"> </w:t>
      </w:r>
      <w:r w:rsidR="00641738" w:rsidRPr="00641738">
        <w:rPr>
          <w:rFonts w:ascii="Verdana" w:hAnsi="Verdana"/>
          <w:color w:val="000000"/>
          <w:sz w:val="20"/>
          <w:szCs w:val="20"/>
        </w:rPr>
        <w:t>Asimismo, en el párrafo 200 se indicó que “[e]</w:t>
      </w:r>
      <w:r w:rsidR="00641738" w:rsidRPr="00641738">
        <w:rPr>
          <w:rFonts w:ascii="Verdana" w:hAnsi="Verdana"/>
          <w:sz w:val="20"/>
          <w:szCs w:val="20"/>
        </w:rPr>
        <w:t>l Estado deberá informar de forma inmediata a esta Corte una vez que proceda a realizar cada una de las publicaciones dispuestas, independientemente del plazo de un año para presentar su primer informe dispuesto en el punto resolutivo 12 de la Sentencia”.</w:t>
      </w:r>
    </w:p>
    <w:p w14:paraId="1671A018" w14:textId="4FB22E39" w:rsidR="002B2206" w:rsidRDefault="00B041E7" w:rsidP="00A658D4">
      <w:pPr>
        <w:tabs>
          <w:tab w:val="left" w:pos="709"/>
        </w:tabs>
        <w:spacing w:before="100" w:beforeAutospacing="1" w:afterLines="160" w:after="384" w:line="240" w:lineRule="auto"/>
        <w:jc w:val="both"/>
        <w:rPr>
          <w:rFonts w:ascii="Verdana" w:hAnsi="Verdana"/>
          <w:i/>
          <w:color w:val="000000"/>
          <w:sz w:val="20"/>
          <w:szCs w:val="20"/>
          <w:lang w:val="es-ES_tradnl"/>
        </w:rPr>
      </w:pPr>
      <w:r>
        <w:rPr>
          <w:rFonts w:ascii="Verdana" w:hAnsi="Verdana"/>
          <w:i/>
          <w:color w:val="000000"/>
          <w:sz w:val="20"/>
          <w:szCs w:val="20"/>
          <w:lang w:val="es-ES_tradnl"/>
        </w:rPr>
        <w:tab/>
      </w:r>
      <w:r w:rsidR="00641738">
        <w:rPr>
          <w:rFonts w:ascii="Verdana" w:hAnsi="Verdana"/>
          <w:i/>
          <w:color w:val="000000"/>
          <w:sz w:val="20"/>
          <w:szCs w:val="20"/>
          <w:lang w:val="es-ES_tradnl"/>
        </w:rPr>
        <w:t>B.</w:t>
      </w:r>
      <w:r>
        <w:rPr>
          <w:rFonts w:ascii="Verdana" w:hAnsi="Verdana"/>
          <w:i/>
          <w:color w:val="000000"/>
          <w:sz w:val="20"/>
          <w:szCs w:val="20"/>
          <w:lang w:val="es-ES_tradnl"/>
        </w:rPr>
        <w:t xml:space="preserve"> Consideraciones de la Corte</w:t>
      </w:r>
    </w:p>
    <w:p w14:paraId="20178260" w14:textId="3789F319" w:rsidR="006C78D3" w:rsidRPr="006C78D3" w:rsidRDefault="002B2206" w:rsidP="00A658D4">
      <w:pPr>
        <w:numPr>
          <w:ilvl w:val="0"/>
          <w:numId w:val="2"/>
        </w:numPr>
        <w:tabs>
          <w:tab w:val="left" w:pos="709"/>
        </w:tabs>
        <w:spacing w:afterLines="160" w:after="384" w:line="240" w:lineRule="auto"/>
        <w:ind w:left="0" w:firstLine="0"/>
        <w:jc w:val="both"/>
        <w:rPr>
          <w:rFonts w:ascii="Verdana" w:hAnsi="Verdana"/>
          <w:color w:val="000000"/>
          <w:sz w:val="20"/>
          <w:szCs w:val="20"/>
        </w:rPr>
      </w:pPr>
      <w:r>
        <w:rPr>
          <w:rFonts w:ascii="Verdana" w:hAnsi="Verdana"/>
          <w:color w:val="000000"/>
          <w:sz w:val="20"/>
          <w:szCs w:val="20"/>
        </w:rPr>
        <w:t xml:space="preserve">La Corte ha </w:t>
      </w:r>
      <w:r w:rsidRPr="006C78D3">
        <w:rPr>
          <w:rFonts w:ascii="Verdana" w:hAnsi="Verdana"/>
          <w:color w:val="000000"/>
          <w:sz w:val="20"/>
          <w:szCs w:val="20"/>
        </w:rPr>
        <w:t>constatado</w:t>
      </w:r>
      <w:r>
        <w:rPr>
          <w:rFonts w:ascii="Verdana" w:hAnsi="Verdana"/>
          <w:color w:val="000000"/>
          <w:sz w:val="20"/>
          <w:szCs w:val="20"/>
        </w:rPr>
        <w:t>, con base en los comprobantes aportados por el Estado</w:t>
      </w:r>
      <w:r w:rsidR="008B5B0D">
        <w:rPr>
          <w:rFonts w:ascii="Verdana" w:hAnsi="Verdana"/>
          <w:color w:val="000000"/>
          <w:sz w:val="20"/>
          <w:szCs w:val="20"/>
        </w:rPr>
        <w:t xml:space="preserve"> y las observaciones de los representantes y la Comisión</w:t>
      </w:r>
      <w:r w:rsidR="008B5B0D">
        <w:rPr>
          <w:rStyle w:val="Refdenotaalpie"/>
          <w:rFonts w:ascii="Verdana" w:hAnsi="Verdana"/>
          <w:color w:val="000000"/>
          <w:sz w:val="20"/>
          <w:szCs w:val="20"/>
        </w:rPr>
        <w:footnoteReference w:id="9"/>
      </w:r>
      <w:r>
        <w:rPr>
          <w:rFonts w:ascii="Verdana" w:hAnsi="Verdana"/>
          <w:color w:val="000000"/>
          <w:sz w:val="20"/>
          <w:szCs w:val="20"/>
        </w:rPr>
        <w:t xml:space="preserve">, que Brasil cumplió con publicar: </w:t>
      </w:r>
      <w:r w:rsidRPr="002B2206">
        <w:rPr>
          <w:rFonts w:ascii="Verdana" w:hAnsi="Verdana"/>
          <w:color w:val="000000"/>
          <w:sz w:val="20"/>
          <w:szCs w:val="20"/>
        </w:rPr>
        <w:t xml:space="preserve">a) el resumen oficial de la Sentencia en </w:t>
      </w:r>
      <w:r w:rsidR="0007312E">
        <w:rPr>
          <w:rFonts w:ascii="Verdana" w:hAnsi="Verdana"/>
          <w:color w:val="000000"/>
          <w:sz w:val="20"/>
          <w:szCs w:val="20"/>
        </w:rPr>
        <w:t>la Gaceta Oficial Federal</w:t>
      </w:r>
      <w:r w:rsidR="002A3534">
        <w:rPr>
          <w:rStyle w:val="Refdenotaalpie"/>
          <w:rFonts w:ascii="Verdana" w:hAnsi="Verdana"/>
          <w:color w:val="000000"/>
          <w:sz w:val="20"/>
          <w:szCs w:val="20"/>
        </w:rPr>
        <w:footnoteReference w:id="10"/>
      </w:r>
      <w:r w:rsidRPr="002B2206">
        <w:rPr>
          <w:rFonts w:ascii="Verdana" w:hAnsi="Verdana"/>
          <w:color w:val="000000"/>
          <w:sz w:val="20"/>
          <w:szCs w:val="20"/>
        </w:rPr>
        <w:t xml:space="preserve">, y b) la Sentencia en su integridad, disponible, por un período de al menos un año, en un sitio </w:t>
      </w:r>
      <w:r w:rsidRPr="00CF0368">
        <w:rPr>
          <w:rFonts w:ascii="Verdana" w:hAnsi="Verdana"/>
          <w:color w:val="000000"/>
          <w:sz w:val="20"/>
          <w:szCs w:val="20"/>
        </w:rPr>
        <w:t>web oficial del Estado</w:t>
      </w:r>
      <w:r w:rsidR="00675F8C" w:rsidRPr="00CF0368">
        <w:rPr>
          <w:rStyle w:val="Refdenotaalpie"/>
          <w:rFonts w:ascii="Verdana" w:hAnsi="Verdana"/>
          <w:color w:val="000000"/>
          <w:sz w:val="20"/>
          <w:szCs w:val="20"/>
        </w:rPr>
        <w:footnoteReference w:id="11"/>
      </w:r>
      <w:r w:rsidRPr="00CF0368">
        <w:rPr>
          <w:rFonts w:ascii="Verdana" w:hAnsi="Verdana"/>
          <w:color w:val="000000"/>
          <w:sz w:val="20"/>
          <w:szCs w:val="20"/>
        </w:rPr>
        <w:t>.</w:t>
      </w:r>
      <w:r w:rsidR="00CF0368" w:rsidRPr="00CF0368">
        <w:rPr>
          <w:rFonts w:ascii="Verdana" w:hAnsi="Verdana"/>
          <w:bCs/>
          <w:sz w:val="16"/>
          <w:szCs w:val="16"/>
        </w:rPr>
        <w:t xml:space="preserve"> </w:t>
      </w:r>
      <w:r w:rsidR="00CF0368" w:rsidRPr="00CF0368">
        <w:rPr>
          <w:rFonts w:ascii="Verdana" w:hAnsi="Verdana"/>
          <w:bCs/>
          <w:color w:val="000000"/>
          <w:sz w:val="20"/>
          <w:szCs w:val="20"/>
        </w:rPr>
        <w:t xml:space="preserve">Asimismo, esta Corte valora positivamente que si bien no forma parte de la </w:t>
      </w:r>
      <w:r w:rsidR="00CF0368" w:rsidRPr="00CF0368">
        <w:rPr>
          <w:rFonts w:ascii="Verdana" w:hAnsi="Verdana"/>
          <w:bCs/>
          <w:color w:val="000000"/>
          <w:sz w:val="20"/>
          <w:szCs w:val="20"/>
        </w:rPr>
        <w:lastRenderedPageBreak/>
        <w:t>medida ordenada, el Estado informó que también se encuentra publicado en ambos sitios el resumen oficial de la Sentencia.</w:t>
      </w:r>
    </w:p>
    <w:p w14:paraId="536E872C" w14:textId="1F9935AC" w:rsidR="00FB5E8E" w:rsidRDefault="00641738" w:rsidP="00A658D4">
      <w:pPr>
        <w:numPr>
          <w:ilvl w:val="0"/>
          <w:numId w:val="2"/>
        </w:numPr>
        <w:tabs>
          <w:tab w:val="left" w:pos="709"/>
        </w:tabs>
        <w:spacing w:afterLines="160" w:after="384" w:line="240" w:lineRule="auto"/>
        <w:ind w:left="0" w:firstLine="0"/>
        <w:jc w:val="both"/>
        <w:rPr>
          <w:rFonts w:ascii="Verdana" w:hAnsi="Verdana"/>
          <w:color w:val="000000"/>
          <w:sz w:val="20"/>
          <w:szCs w:val="20"/>
        </w:rPr>
      </w:pPr>
      <w:r>
        <w:rPr>
          <w:rFonts w:ascii="Verdana" w:hAnsi="Verdana"/>
          <w:color w:val="000000"/>
          <w:sz w:val="20"/>
          <w:szCs w:val="20"/>
          <w:lang w:val="es-ES_tradnl"/>
        </w:rPr>
        <w:t>En cuanto</w:t>
      </w:r>
      <w:r>
        <w:rPr>
          <w:rFonts w:ascii="Verdana" w:hAnsi="Verdana"/>
          <w:color w:val="000000"/>
          <w:sz w:val="20"/>
          <w:szCs w:val="20"/>
        </w:rPr>
        <w:t xml:space="preserve"> a lo indicado por </w:t>
      </w:r>
      <w:r w:rsidR="00551C43">
        <w:rPr>
          <w:rFonts w:ascii="Verdana" w:hAnsi="Verdana"/>
          <w:color w:val="000000"/>
          <w:sz w:val="20"/>
          <w:szCs w:val="20"/>
        </w:rPr>
        <w:t xml:space="preserve">los representantes </w:t>
      </w:r>
      <w:r>
        <w:rPr>
          <w:rFonts w:ascii="Verdana" w:hAnsi="Verdana"/>
          <w:color w:val="000000"/>
          <w:sz w:val="20"/>
          <w:szCs w:val="20"/>
        </w:rPr>
        <w:t xml:space="preserve">en el sentido de que </w:t>
      </w:r>
      <w:r w:rsidR="003273CD">
        <w:rPr>
          <w:rFonts w:ascii="Verdana" w:hAnsi="Verdana"/>
          <w:color w:val="000000"/>
          <w:sz w:val="20"/>
          <w:szCs w:val="20"/>
        </w:rPr>
        <w:t>“lamenta</w:t>
      </w:r>
      <w:r>
        <w:rPr>
          <w:rFonts w:ascii="Verdana" w:hAnsi="Verdana"/>
          <w:color w:val="000000"/>
          <w:sz w:val="20"/>
          <w:szCs w:val="20"/>
        </w:rPr>
        <w:t>n</w:t>
      </w:r>
      <w:r w:rsidR="003273CD">
        <w:rPr>
          <w:rFonts w:ascii="Verdana" w:hAnsi="Verdana"/>
          <w:color w:val="000000"/>
          <w:sz w:val="20"/>
          <w:szCs w:val="20"/>
        </w:rPr>
        <w:t>”</w:t>
      </w:r>
      <w:r w:rsidR="00551C43">
        <w:rPr>
          <w:rFonts w:ascii="Verdana" w:hAnsi="Verdana"/>
          <w:color w:val="000000"/>
          <w:sz w:val="20"/>
          <w:szCs w:val="20"/>
        </w:rPr>
        <w:t xml:space="preserve"> que no tuvieron conocimiento de la </w:t>
      </w:r>
      <w:r w:rsidR="00613C05">
        <w:rPr>
          <w:rFonts w:ascii="Verdana" w:hAnsi="Verdana"/>
          <w:color w:val="000000"/>
          <w:sz w:val="20"/>
          <w:szCs w:val="20"/>
        </w:rPr>
        <w:t>“</w:t>
      </w:r>
      <w:r w:rsidR="00551C43">
        <w:rPr>
          <w:rFonts w:ascii="Verdana" w:hAnsi="Verdana"/>
          <w:color w:val="000000"/>
          <w:sz w:val="20"/>
          <w:szCs w:val="20"/>
        </w:rPr>
        <w:t xml:space="preserve">divulgación de la Sentencia en los medios </w:t>
      </w:r>
      <w:r w:rsidR="003273CD">
        <w:rPr>
          <w:rFonts w:ascii="Verdana" w:hAnsi="Verdana"/>
          <w:color w:val="000000"/>
          <w:sz w:val="20"/>
          <w:szCs w:val="20"/>
        </w:rPr>
        <w:t>determinados por la […] Corte”</w:t>
      </w:r>
      <w:r w:rsidR="006C78D3" w:rsidRPr="006C78D3">
        <w:rPr>
          <w:rFonts w:ascii="Verdana" w:hAnsi="Verdana"/>
          <w:color w:val="000000"/>
          <w:sz w:val="20"/>
          <w:szCs w:val="20"/>
        </w:rPr>
        <w:t>, este Tribunal reconoce la importancia de que las víctimas se encuentren informadas de la publicación con inmediatez para que puedan tener acceso a la misma en la época en que se efectúa. No obstante, al evaluar el cumplimiento de la publicación, la Corte debe tomar en cuenta que la Sentencia no dispuso que el Estado debiera informar a los representantes antes de realizarla (</w:t>
      </w:r>
      <w:r w:rsidR="006C78D3" w:rsidRPr="009E2368">
        <w:rPr>
          <w:rFonts w:ascii="Verdana" w:hAnsi="Verdana"/>
          <w:i/>
          <w:color w:val="000000"/>
          <w:sz w:val="20"/>
          <w:szCs w:val="20"/>
        </w:rPr>
        <w:t>supra</w:t>
      </w:r>
      <w:r w:rsidR="006C78D3" w:rsidRPr="006C78D3">
        <w:rPr>
          <w:rFonts w:ascii="Verdana" w:hAnsi="Verdana"/>
          <w:color w:val="000000"/>
          <w:sz w:val="20"/>
          <w:szCs w:val="20"/>
        </w:rPr>
        <w:t xml:space="preserve"> Considerando </w:t>
      </w:r>
      <w:r w:rsidR="00551C43">
        <w:rPr>
          <w:rFonts w:ascii="Verdana" w:hAnsi="Verdana"/>
          <w:color w:val="000000"/>
          <w:sz w:val="20"/>
          <w:szCs w:val="20"/>
        </w:rPr>
        <w:t>4)</w:t>
      </w:r>
      <w:r w:rsidR="00551C43">
        <w:rPr>
          <w:rStyle w:val="Refdenotaalpie"/>
          <w:rFonts w:ascii="Verdana" w:hAnsi="Verdana"/>
          <w:color w:val="000000"/>
          <w:sz w:val="20"/>
          <w:szCs w:val="20"/>
        </w:rPr>
        <w:footnoteReference w:id="12"/>
      </w:r>
      <w:r w:rsidR="006C78D3" w:rsidRPr="006C78D3">
        <w:rPr>
          <w:rFonts w:ascii="Verdana" w:hAnsi="Verdana"/>
          <w:color w:val="000000"/>
          <w:sz w:val="20"/>
          <w:szCs w:val="20"/>
        </w:rPr>
        <w:t>.</w:t>
      </w:r>
    </w:p>
    <w:p w14:paraId="07D1D9C6" w14:textId="28531596" w:rsidR="006C78D3" w:rsidRPr="00551C43" w:rsidRDefault="00FB5E8E" w:rsidP="00A658D4">
      <w:pPr>
        <w:numPr>
          <w:ilvl w:val="0"/>
          <w:numId w:val="2"/>
        </w:numPr>
        <w:tabs>
          <w:tab w:val="left" w:pos="709"/>
        </w:tabs>
        <w:spacing w:afterLines="160" w:after="384" w:line="240" w:lineRule="auto"/>
        <w:ind w:left="0" w:firstLine="0"/>
        <w:jc w:val="both"/>
        <w:rPr>
          <w:rFonts w:ascii="Verdana" w:hAnsi="Verdana"/>
          <w:color w:val="000000"/>
          <w:sz w:val="20"/>
          <w:szCs w:val="20"/>
        </w:rPr>
      </w:pPr>
      <w:r>
        <w:rPr>
          <w:rFonts w:ascii="Verdana" w:hAnsi="Verdana"/>
          <w:color w:val="000000"/>
          <w:sz w:val="20"/>
          <w:szCs w:val="20"/>
        </w:rPr>
        <w:t>Por lo expuesto, l</w:t>
      </w:r>
      <w:r w:rsidR="006C78D3" w:rsidRPr="006C78D3">
        <w:rPr>
          <w:rFonts w:ascii="Verdana" w:hAnsi="Verdana"/>
          <w:color w:val="000000"/>
          <w:sz w:val="20"/>
          <w:szCs w:val="20"/>
        </w:rPr>
        <w:t xml:space="preserve">a Corte considera que el Estado ha dado cumplimiento </w:t>
      </w:r>
      <w:r w:rsidR="00551C43">
        <w:rPr>
          <w:rFonts w:ascii="Verdana" w:hAnsi="Verdana"/>
          <w:color w:val="000000"/>
          <w:sz w:val="20"/>
          <w:szCs w:val="20"/>
        </w:rPr>
        <w:t xml:space="preserve">a todas las medidas de publicación y difusión </w:t>
      </w:r>
      <w:r w:rsidR="00641738">
        <w:rPr>
          <w:rFonts w:ascii="Verdana" w:hAnsi="Verdana"/>
          <w:color w:val="000000"/>
          <w:sz w:val="20"/>
          <w:szCs w:val="20"/>
        </w:rPr>
        <w:t xml:space="preserve">de la Sentencia </w:t>
      </w:r>
      <w:r w:rsidR="00551C43">
        <w:rPr>
          <w:rFonts w:ascii="Verdana" w:hAnsi="Verdana"/>
          <w:color w:val="000000"/>
          <w:sz w:val="20"/>
          <w:szCs w:val="20"/>
        </w:rPr>
        <w:t>ordenadas</w:t>
      </w:r>
      <w:r w:rsidR="00641738">
        <w:rPr>
          <w:rFonts w:ascii="Verdana" w:hAnsi="Verdana"/>
          <w:color w:val="000000"/>
          <w:sz w:val="20"/>
          <w:szCs w:val="20"/>
        </w:rPr>
        <w:t xml:space="preserve"> en el punto resolutivo décimo de la misma</w:t>
      </w:r>
      <w:r w:rsidR="00551C43">
        <w:rPr>
          <w:rFonts w:ascii="Verdana" w:hAnsi="Verdana"/>
          <w:color w:val="000000"/>
          <w:sz w:val="20"/>
          <w:szCs w:val="20"/>
        </w:rPr>
        <w:t>.</w:t>
      </w:r>
    </w:p>
    <w:p w14:paraId="189C2499" w14:textId="77777777" w:rsidR="006C78D3" w:rsidRDefault="006C78D3" w:rsidP="00A658D4">
      <w:pPr>
        <w:tabs>
          <w:tab w:val="left" w:pos="709"/>
        </w:tabs>
        <w:spacing w:before="100" w:beforeAutospacing="1" w:afterLines="160" w:after="384" w:line="240" w:lineRule="auto"/>
        <w:jc w:val="both"/>
        <w:outlineLvl w:val="0"/>
        <w:rPr>
          <w:rFonts w:ascii="Verdana" w:hAnsi="Verdana"/>
          <w:b/>
          <w:color w:val="000000"/>
          <w:sz w:val="20"/>
          <w:szCs w:val="20"/>
          <w:lang w:val="es-ES_tradnl"/>
        </w:rPr>
      </w:pPr>
      <w:r>
        <w:rPr>
          <w:rFonts w:ascii="Verdana" w:hAnsi="Verdana"/>
          <w:b/>
          <w:color w:val="000000"/>
          <w:sz w:val="20"/>
          <w:szCs w:val="20"/>
          <w:lang w:val="es-ES_tradnl"/>
        </w:rPr>
        <w:t>POR TANTO:</w:t>
      </w:r>
    </w:p>
    <w:p w14:paraId="3934C6BE" w14:textId="77777777" w:rsidR="006C78D3" w:rsidRDefault="006C78D3" w:rsidP="00A658D4">
      <w:pPr>
        <w:tabs>
          <w:tab w:val="left" w:pos="709"/>
        </w:tabs>
        <w:spacing w:before="100" w:beforeAutospacing="1" w:afterLines="160" w:after="384" w:line="240" w:lineRule="auto"/>
        <w:jc w:val="both"/>
        <w:outlineLvl w:val="0"/>
        <w:rPr>
          <w:rFonts w:ascii="Verdana" w:hAnsi="Verdana"/>
          <w:b/>
          <w:color w:val="000000"/>
          <w:sz w:val="20"/>
          <w:szCs w:val="20"/>
          <w:lang w:val="es-ES_tradnl"/>
        </w:rPr>
      </w:pPr>
      <w:r>
        <w:rPr>
          <w:rFonts w:ascii="Verdana" w:hAnsi="Verdana"/>
          <w:b/>
          <w:color w:val="000000"/>
          <w:sz w:val="20"/>
          <w:szCs w:val="20"/>
          <w:lang w:val="es-ES_tradnl"/>
        </w:rPr>
        <w:t>LA CORTE INTERAMERICANA DE DERECHOS HUMANOS,</w:t>
      </w:r>
    </w:p>
    <w:p w14:paraId="38B9339A" w14:textId="77777777" w:rsidR="006C78D3" w:rsidRDefault="006C78D3" w:rsidP="00A658D4">
      <w:pPr>
        <w:tabs>
          <w:tab w:val="left" w:pos="709"/>
        </w:tabs>
        <w:spacing w:before="100" w:beforeAutospacing="1" w:afterLines="160" w:after="384" w:line="240" w:lineRule="auto"/>
        <w:jc w:val="both"/>
        <w:rPr>
          <w:rFonts w:ascii="Verdana" w:hAnsi="Verdana"/>
          <w:color w:val="000000"/>
          <w:sz w:val="20"/>
          <w:szCs w:val="20"/>
          <w:lang w:val="es-ES_tradnl"/>
        </w:rPr>
      </w:pPr>
      <w:r>
        <w:rPr>
          <w:rFonts w:ascii="Verdana" w:hAnsi="Verdana"/>
          <w:color w:val="000000"/>
          <w:sz w:val="20"/>
          <w:szCs w:val="20"/>
          <w:lang w:val="es-ES_tradnl"/>
        </w:rPr>
        <w:t>en el ejercicio de sus atribuciones de supervisión del cumplimiento de sus decisiones, de conformidad con los artículos 33, 62.1, 62.3, 65, 67 y 68.1 de la Convención Americana sobre Derechos Humanos, 24, 25 y 30 del Estatuto, y 31.2 y 69 de su Reglamento,</w:t>
      </w:r>
    </w:p>
    <w:p w14:paraId="1B5F6CC0" w14:textId="268C83A5" w:rsidR="006C78D3" w:rsidRDefault="006C78D3" w:rsidP="00A658D4">
      <w:pPr>
        <w:tabs>
          <w:tab w:val="left" w:pos="709"/>
        </w:tabs>
        <w:spacing w:before="100" w:beforeAutospacing="1" w:afterLines="160" w:after="384" w:line="240" w:lineRule="auto"/>
        <w:jc w:val="both"/>
        <w:rPr>
          <w:rFonts w:ascii="Verdana" w:hAnsi="Verdana"/>
          <w:color w:val="000000"/>
          <w:sz w:val="20"/>
          <w:szCs w:val="20"/>
          <w:lang w:val="es-ES_tradnl"/>
        </w:rPr>
      </w:pPr>
      <w:r w:rsidRPr="0033269A">
        <w:rPr>
          <w:rFonts w:ascii="Verdana" w:hAnsi="Verdana"/>
          <w:b/>
          <w:color w:val="000000"/>
          <w:sz w:val="20"/>
          <w:szCs w:val="20"/>
          <w:lang w:val="es-ES_tradnl"/>
        </w:rPr>
        <w:t>RESUELVE</w:t>
      </w:r>
      <w:r w:rsidRPr="0033269A">
        <w:rPr>
          <w:rFonts w:ascii="Verdana" w:hAnsi="Verdana"/>
          <w:color w:val="000000"/>
          <w:sz w:val="20"/>
          <w:szCs w:val="20"/>
          <w:lang w:val="es-ES_tradnl"/>
        </w:rPr>
        <w:t>:</w:t>
      </w:r>
    </w:p>
    <w:p w14:paraId="36DBB407" w14:textId="48AFB797" w:rsidR="006C78D3" w:rsidRPr="0041260D" w:rsidRDefault="006C78D3" w:rsidP="00A658D4">
      <w:pPr>
        <w:numPr>
          <w:ilvl w:val="0"/>
          <w:numId w:val="8"/>
        </w:numPr>
        <w:tabs>
          <w:tab w:val="left" w:pos="567"/>
        </w:tabs>
        <w:spacing w:before="120" w:afterLines="160" w:after="384" w:line="240" w:lineRule="auto"/>
        <w:ind w:left="0" w:right="22" w:firstLine="0"/>
        <w:jc w:val="both"/>
        <w:rPr>
          <w:rFonts w:ascii="Verdana" w:hAnsi="Verdana"/>
          <w:sz w:val="20"/>
          <w:szCs w:val="20"/>
        </w:rPr>
      </w:pPr>
      <w:r w:rsidRPr="0041260D">
        <w:rPr>
          <w:rFonts w:ascii="Verdana" w:hAnsi="Verdana"/>
          <w:sz w:val="20"/>
          <w:szCs w:val="20"/>
        </w:rPr>
        <w:t xml:space="preserve">Declarar, de conformidad con lo señalado en </w:t>
      </w:r>
      <w:r w:rsidR="00A65176">
        <w:rPr>
          <w:rFonts w:ascii="Verdana" w:hAnsi="Verdana"/>
          <w:sz w:val="20"/>
          <w:szCs w:val="20"/>
        </w:rPr>
        <w:t>los Considerandos 5 a 7</w:t>
      </w:r>
      <w:r w:rsidRPr="0041260D">
        <w:rPr>
          <w:rFonts w:ascii="Verdana" w:hAnsi="Verdana"/>
          <w:sz w:val="20"/>
          <w:szCs w:val="20"/>
        </w:rPr>
        <w:t xml:space="preserve"> de la presente </w:t>
      </w:r>
      <w:r w:rsidRPr="0041260D">
        <w:rPr>
          <w:rFonts w:ascii="Verdana" w:hAnsi="Verdana"/>
          <w:sz w:val="20"/>
          <w:szCs w:val="20"/>
          <w:lang w:val="es-ES"/>
        </w:rPr>
        <w:t>Resolución</w:t>
      </w:r>
      <w:r w:rsidRPr="0041260D">
        <w:rPr>
          <w:rFonts w:ascii="Verdana" w:hAnsi="Verdana"/>
          <w:sz w:val="20"/>
          <w:szCs w:val="20"/>
        </w:rPr>
        <w:t xml:space="preserve">, que el Estado ha dado cumplimiento </w:t>
      </w:r>
      <w:r w:rsidR="00551C43">
        <w:rPr>
          <w:rFonts w:ascii="Verdana" w:hAnsi="Verdana"/>
          <w:sz w:val="20"/>
          <w:szCs w:val="20"/>
        </w:rPr>
        <w:t xml:space="preserve">total a las medidas de difusión y publicación de la Sentencia </w:t>
      </w:r>
      <w:r w:rsidR="00F81526">
        <w:rPr>
          <w:rFonts w:ascii="Verdana" w:hAnsi="Verdana"/>
          <w:sz w:val="20"/>
          <w:szCs w:val="20"/>
        </w:rPr>
        <w:t>y su resumen oficial (</w:t>
      </w:r>
      <w:r w:rsidR="00F81526">
        <w:rPr>
          <w:rFonts w:ascii="Verdana" w:hAnsi="Verdana"/>
          <w:i/>
          <w:sz w:val="20"/>
          <w:szCs w:val="20"/>
        </w:rPr>
        <w:t>punto resolutivo décimo de la Sentencia</w:t>
      </w:r>
      <w:r w:rsidR="00F81526">
        <w:rPr>
          <w:rFonts w:ascii="Verdana" w:hAnsi="Verdana"/>
          <w:sz w:val="20"/>
          <w:szCs w:val="20"/>
        </w:rPr>
        <w:t>)</w:t>
      </w:r>
      <w:r w:rsidRPr="0041260D">
        <w:rPr>
          <w:rFonts w:ascii="Verdana" w:hAnsi="Verdana"/>
          <w:color w:val="000000"/>
          <w:sz w:val="20"/>
          <w:szCs w:val="20"/>
          <w:lang w:val="es-ES_tradnl"/>
        </w:rPr>
        <w:t>.</w:t>
      </w:r>
    </w:p>
    <w:p w14:paraId="259645D0" w14:textId="0A01F3FB" w:rsidR="006C78D3" w:rsidRDefault="006C78D3" w:rsidP="00A658D4">
      <w:pPr>
        <w:numPr>
          <w:ilvl w:val="0"/>
          <w:numId w:val="8"/>
        </w:numPr>
        <w:tabs>
          <w:tab w:val="left" w:pos="567"/>
        </w:tabs>
        <w:spacing w:before="240" w:afterLines="160" w:after="384" w:line="240" w:lineRule="auto"/>
        <w:ind w:left="0" w:firstLine="0"/>
        <w:jc w:val="both"/>
        <w:rPr>
          <w:rFonts w:ascii="Verdana" w:hAnsi="Verdana"/>
          <w:sz w:val="20"/>
          <w:szCs w:val="20"/>
        </w:rPr>
      </w:pPr>
      <w:r w:rsidRPr="00976C72">
        <w:rPr>
          <w:rFonts w:ascii="Verdana" w:hAnsi="Verdana"/>
          <w:sz w:val="20"/>
          <w:szCs w:val="20"/>
        </w:rPr>
        <w:t>Mantener abierto el procedimiento de supervisión de cumplimiento de las siguientes medidas</w:t>
      </w:r>
      <w:r w:rsidR="00FB5E8E">
        <w:rPr>
          <w:rFonts w:ascii="Verdana" w:hAnsi="Verdana"/>
          <w:sz w:val="20"/>
          <w:szCs w:val="20"/>
        </w:rPr>
        <w:t xml:space="preserve"> de reparación</w:t>
      </w:r>
      <w:r w:rsidRPr="00976C72">
        <w:rPr>
          <w:rFonts w:ascii="Verdana" w:hAnsi="Verdana"/>
          <w:sz w:val="20"/>
          <w:szCs w:val="20"/>
        </w:rPr>
        <w:t xml:space="preserve">, </w:t>
      </w:r>
      <w:r>
        <w:rPr>
          <w:rFonts w:ascii="Verdana" w:hAnsi="Verdana"/>
          <w:sz w:val="20"/>
          <w:szCs w:val="20"/>
        </w:rPr>
        <w:t>las cuales</w:t>
      </w:r>
      <w:r w:rsidRPr="00976C72">
        <w:rPr>
          <w:rFonts w:ascii="Verdana" w:hAnsi="Verdana"/>
          <w:sz w:val="20"/>
          <w:szCs w:val="20"/>
        </w:rPr>
        <w:t xml:space="preserve"> conforme a lo indicado en el Considerando </w:t>
      </w:r>
      <w:r w:rsidR="00E87F70">
        <w:rPr>
          <w:rFonts w:ascii="Verdana" w:hAnsi="Verdana"/>
          <w:sz w:val="20"/>
          <w:szCs w:val="20"/>
        </w:rPr>
        <w:t>3</w:t>
      </w:r>
      <w:r w:rsidRPr="00976C72">
        <w:rPr>
          <w:rFonts w:ascii="Verdana" w:hAnsi="Verdana"/>
          <w:sz w:val="20"/>
          <w:szCs w:val="20"/>
        </w:rPr>
        <w:t xml:space="preserve"> de la presente Resolución, serán valora</w:t>
      </w:r>
      <w:r>
        <w:rPr>
          <w:rFonts w:ascii="Verdana" w:hAnsi="Verdana"/>
          <w:sz w:val="20"/>
          <w:szCs w:val="20"/>
        </w:rPr>
        <w:t>das en una posterior resolución</w:t>
      </w:r>
      <w:r w:rsidRPr="0024305D">
        <w:rPr>
          <w:rFonts w:ascii="Verdana" w:hAnsi="Verdana"/>
          <w:sz w:val="20"/>
          <w:szCs w:val="20"/>
        </w:rPr>
        <w:t>:</w:t>
      </w:r>
    </w:p>
    <w:p w14:paraId="11010B2A" w14:textId="36B9BA17" w:rsidR="00E87F70" w:rsidRDefault="00E87F70" w:rsidP="00A658D4">
      <w:pPr>
        <w:numPr>
          <w:ilvl w:val="1"/>
          <w:numId w:val="8"/>
        </w:numPr>
        <w:tabs>
          <w:tab w:val="left" w:pos="567"/>
        </w:tabs>
        <w:spacing w:before="240" w:afterLines="160" w:after="384" w:line="240" w:lineRule="auto"/>
        <w:ind w:left="993" w:hanging="426"/>
        <w:jc w:val="both"/>
        <w:rPr>
          <w:rFonts w:ascii="Verdana" w:hAnsi="Verdana"/>
          <w:sz w:val="20"/>
          <w:szCs w:val="20"/>
        </w:rPr>
      </w:pPr>
      <w:r w:rsidRPr="00E87F70">
        <w:rPr>
          <w:rFonts w:ascii="Verdana" w:hAnsi="Verdana"/>
          <w:sz w:val="20"/>
          <w:szCs w:val="20"/>
        </w:rPr>
        <w:lastRenderedPageBreak/>
        <w:t xml:space="preserve">garantizar de manera inmediata y efectiva el derecho de propiedad colectiva del Pueblo Indígena </w:t>
      </w:r>
      <w:proofErr w:type="spellStart"/>
      <w:r w:rsidRPr="00E87F70">
        <w:rPr>
          <w:rFonts w:ascii="Verdana" w:hAnsi="Verdana"/>
          <w:sz w:val="20"/>
          <w:szCs w:val="20"/>
        </w:rPr>
        <w:t>Xucuru</w:t>
      </w:r>
      <w:proofErr w:type="spellEnd"/>
      <w:r w:rsidRPr="00E87F70">
        <w:rPr>
          <w:rFonts w:ascii="Verdana" w:hAnsi="Verdana"/>
          <w:sz w:val="20"/>
          <w:szCs w:val="20"/>
        </w:rPr>
        <w:t xml:space="preserve"> sobre su territorio, de modo que no sufran ninguna intrusión, interferencia o afectación por parte de terceros o agentes del Estado que puedan menoscabar la existencia, el valor, el uso o el goce de su territorio</w:t>
      </w:r>
      <w:r>
        <w:rPr>
          <w:rFonts w:ascii="Verdana" w:hAnsi="Verdana"/>
          <w:sz w:val="20"/>
          <w:szCs w:val="20"/>
        </w:rPr>
        <w:t xml:space="preserve"> </w:t>
      </w:r>
      <w:r w:rsidRPr="00E62EA8">
        <w:rPr>
          <w:rFonts w:ascii="Verdana" w:hAnsi="Verdana"/>
          <w:i/>
          <w:sz w:val="20"/>
          <w:szCs w:val="20"/>
        </w:rPr>
        <w:t xml:space="preserve">(punto </w:t>
      </w:r>
      <w:r w:rsidR="00F81526">
        <w:rPr>
          <w:rFonts w:ascii="Verdana" w:hAnsi="Verdana"/>
          <w:i/>
          <w:sz w:val="20"/>
          <w:szCs w:val="20"/>
        </w:rPr>
        <w:t>resolutivo</w:t>
      </w:r>
      <w:r w:rsidR="00F81526" w:rsidRPr="00E62EA8">
        <w:rPr>
          <w:rFonts w:ascii="Verdana" w:hAnsi="Verdana"/>
          <w:i/>
          <w:sz w:val="20"/>
          <w:szCs w:val="20"/>
        </w:rPr>
        <w:t xml:space="preserve"> </w:t>
      </w:r>
      <w:r>
        <w:rPr>
          <w:rFonts w:ascii="Verdana" w:hAnsi="Verdana"/>
          <w:i/>
          <w:sz w:val="20"/>
          <w:szCs w:val="20"/>
        </w:rPr>
        <w:t>octavo de la S</w:t>
      </w:r>
      <w:r w:rsidRPr="00E62EA8">
        <w:rPr>
          <w:rFonts w:ascii="Verdana" w:hAnsi="Verdana"/>
          <w:i/>
          <w:sz w:val="20"/>
          <w:szCs w:val="20"/>
        </w:rPr>
        <w:t>entencia</w:t>
      </w:r>
      <w:r>
        <w:rPr>
          <w:rFonts w:ascii="Verdana" w:hAnsi="Verdana"/>
          <w:sz w:val="20"/>
          <w:szCs w:val="20"/>
        </w:rPr>
        <w:t>);</w:t>
      </w:r>
    </w:p>
    <w:p w14:paraId="7016127C" w14:textId="0E24E4F1" w:rsidR="00E87F70" w:rsidRDefault="00E87F70" w:rsidP="00A658D4">
      <w:pPr>
        <w:numPr>
          <w:ilvl w:val="1"/>
          <w:numId w:val="8"/>
        </w:numPr>
        <w:tabs>
          <w:tab w:val="left" w:pos="567"/>
        </w:tabs>
        <w:spacing w:before="240" w:afterLines="160" w:after="384" w:line="240" w:lineRule="auto"/>
        <w:ind w:left="993" w:hanging="426"/>
        <w:jc w:val="both"/>
        <w:rPr>
          <w:rFonts w:ascii="Verdana" w:hAnsi="Verdana"/>
          <w:sz w:val="20"/>
          <w:szCs w:val="20"/>
        </w:rPr>
      </w:pPr>
      <w:r w:rsidRPr="00E87F70">
        <w:rPr>
          <w:rFonts w:ascii="Verdana" w:hAnsi="Verdana"/>
          <w:sz w:val="20"/>
          <w:szCs w:val="20"/>
        </w:rPr>
        <w:t xml:space="preserve">concluir el proceso de saneamiento del territorio indígena </w:t>
      </w:r>
      <w:proofErr w:type="spellStart"/>
      <w:r w:rsidRPr="00E87F70">
        <w:rPr>
          <w:rFonts w:ascii="Verdana" w:hAnsi="Verdana"/>
          <w:sz w:val="20"/>
          <w:szCs w:val="20"/>
        </w:rPr>
        <w:t>Xucuru</w:t>
      </w:r>
      <w:proofErr w:type="spellEnd"/>
      <w:r w:rsidRPr="00E87F70">
        <w:rPr>
          <w:rFonts w:ascii="Verdana" w:hAnsi="Verdana"/>
          <w:sz w:val="20"/>
          <w:szCs w:val="20"/>
        </w:rPr>
        <w:t xml:space="preserve">, con extrema diligencia, realizar los pagos de indemnizaciones por mejoras de buena fe pendientes y remover cualquier tipo de obstáculo o interferencia sobre el territorio en cuestión, de modo a garantizar el dominio pleno y efectivo del Pueblo </w:t>
      </w:r>
      <w:proofErr w:type="spellStart"/>
      <w:r w:rsidRPr="00E87F70">
        <w:rPr>
          <w:rFonts w:ascii="Verdana" w:hAnsi="Verdana"/>
          <w:sz w:val="20"/>
          <w:szCs w:val="20"/>
        </w:rPr>
        <w:t>Xucuru</w:t>
      </w:r>
      <w:proofErr w:type="spellEnd"/>
      <w:r w:rsidRPr="00E87F70">
        <w:rPr>
          <w:rFonts w:ascii="Verdana" w:hAnsi="Verdana"/>
          <w:sz w:val="20"/>
          <w:szCs w:val="20"/>
        </w:rPr>
        <w:t xml:space="preserve"> sobre su territorio en el plazo no mayor a 18 meses</w:t>
      </w:r>
      <w:r>
        <w:rPr>
          <w:rFonts w:ascii="Verdana" w:hAnsi="Verdana"/>
          <w:sz w:val="20"/>
          <w:szCs w:val="20"/>
        </w:rPr>
        <w:t xml:space="preserve"> </w:t>
      </w:r>
      <w:r w:rsidRPr="00E62EA8">
        <w:rPr>
          <w:rFonts w:ascii="Verdana" w:hAnsi="Verdana"/>
          <w:i/>
          <w:sz w:val="20"/>
          <w:szCs w:val="20"/>
        </w:rPr>
        <w:t xml:space="preserve">(punto </w:t>
      </w:r>
      <w:r w:rsidR="00F81526">
        <w:rPr>
          <w:rFonts w:ascii="Verdana" w:hAnsi="Verdana"/>
          <w:i/>
          <w:sz w:val="20"/>
          <w:szCs w:val="20"/>
        </w:rPr>
        <w:t>resolutivo</w:t>
      </w:r>
      <w:r w:rsidR="00F81526" w:rsidRPr="00E62EA8">
        <w:rPr>
          <w:rFonts w:ascii="Verdana" w:hAnsi="Verdana"/>
          <w:i/>
          <w:sz w:val="20"/>
          <w:szCs w:val="20"/>
        </w:rPr>
        <w:t xml:space="preserve"> </w:t>
      </w:r>
      <w:r>
        <w:rPr>
          <w:rFonts w:ascii="Verdana" w:hAnsi="Verdana"/>
          <w:i/>
          <w:sz w:val="20"/>
          <w:szCs w:val="20"/>
        </w:rPr>
        <w:t>noveno de la S</w:t>
      </w:r>
      <w:r w:rsidRPr="00E62EA8">
        <w:rPr>
          <w:rFonts w:ascii="Verdana" w:hAnsi="Verdana"/>
          <w:i/>
          <w:sz w:val="20"/>
          <w:szCs w:val="20"/>
        </w:rPr>
        <w:t>entencia</w:t>
      </w:r>
      <w:r>
        <w:rPr>
          <w:rFonts w:ascii="Verdana" w:hAnsi="Verdana"/>
          <w:sz w:val="20"/>
          <w:szCs w:val="20"/>
        </w:rPr>
        <w:t>);</w:t>
      </w:r>
    </w:p>
    <w:p w14:paraId="66A74A89" w14:textId="30060E88" w:rsidR="009E738C" w:rsidRDefault="008E2DA3" w:rsidP="00A658D4">
      <w:pPr>
        <w:numPr>
          <w:ilvl w:val="1"/>
          <w:numId w:val="8"/>
        </w:numPr>
        <w:tabs>
          <w:tab w:val="left" w:pos="567"/>
        </w:tabs>
        <w:spacing w:before="240" w:afterLines="160" w:after="384" w:line="240" w:lineRule="auto"/>
        <w:ind w:left="993" w:hanging="426"/>
        <w:jc w:val="both"/>
        <w:rPr>
          <w:rFonts w:ascii="Verdana" w:hAnsi="Verdana"/>
          <w:sz w:val="20"/>
          <w:szCs w:val="20"/>
        </w:rPr>
      </w:pPr>
      <w:r w:rsidRPr="00E87F70">
        <w:rPr>
          <w:rFonts w:ascii="Verdana" w:hAnsi="Verdana"/>
          <w:sz w:val="20"/>
          <w:szCs w:val="20"/>
        </w:rPr>
        <w:t>pagar la cantidad fijada por concepto de indemnizaci</w:t>
      </w:r>
      <w:r>
        <w:rPr>
          <w:rFonts w:ascii="Verdana" w:hAnsi="Verdana"/>
          <w:sz w:val="20"/>
          <w:szCs w:val="20"/>
        </w:rPr>
        <w:t>ón</w:t>
      </w:r>
      <w:r w:rsidRPr="00E87F70">
        <w:rPr>
          <w:rFonts w:ascii="Verdana" w:hAnsi="Verdana"/>
          <w:sz w:val="20"/>
          <w:szCs w:val="20"/>
        </w:rPr>
        <w:t xml:space="preserve"> </w:t>
      </w:r>
      <w:r>
        <w:rPr>
          <w:rFonts w:ascii="Verdana" w:hAnsi="Verdana"/>
          <w:sz w:val="20"/>
          <w:szCs w:val="20"/>
        </w:rPr>
        <w:t xml:space="preserve">del </w:t>
      </w:r>
      <w:r w:rsidRPr="00E87F70">
        <w:rPr>
          <w:rFonts w:ascii="Verdana" w:hAnsi="Verdana"/>
          <w:sz w:val="20"/>
          <w:szCs w:val="20"/>
        </w:rPr>
        <w:t>daño inmaterial</w:t>
      </w:r>
      <w:r>
        <w:rPr>
          <w:rFonts w:ascii="Verdana" w:hAnsi="Verdana"/>
          <w:sz w:val="20"/>
          <w:szCs w:val="20"/>
        </w:rPr>
        <w:t xml:space="preserve"> </w:t>
      </w:r>
      <w:r w:rsidRPr="00E62EA8">
        <w:rPr>
          <w:rFonts w:ascii="Verdana" w:hAnsi="Verdana"/>
          <w:i/>
          <w:sz w:val="20"/>
          <w:szCs w:val="20"/>
        </w:rPr>
        <w:t xml:space="preserve">(punto </w:t>
      </w:r>
      <w:r>
        <w:rPr>
          <w:rFonts w:ascii="Verdana" w:hAnsi="Verdana"/>
          <w:i/>
          <w:sz w:val="20"/>
          <w:szCs w:val="20"/>
        </w:rPr>
        <w:t>resolutivo</w:t>
      </w:r>
      <w:r w:rsidRPr="00E62EA8">
        <w:rPr>
          <w:rFonts w:ascii="Verdana" w:hAnsi="Verdana"/>
          <w:i/>
          <w:sz w:val="20"/>
          <w:szCs w:val="20"/>
        </w:rPr>
        <w:t xml:space="preserve"> </w:t>
      </w:r>
      <w:r>
        <w:rPr>
          <w:rFonts w:ascii="Verdana" w:hAnsi="Verdana"/>
          <w:i/>
          <w:sz w:val="20"/>
          <w:szCs w:val="20"/>
        </w:rPr>
        <w:t>d</w:t>
      </w:r>
      <w:r w:rsidR="00FB5E8E">
        <w:rPr>
          <w:rFonts w:ascii="Verdana" w:hAnsi="Verdana"/>
          <w:i/>
          <w:sz w:val="20"/>
          <w:szCs w:val="20"/>
        </w:rPr>
        <w:t>é</w:t>
      </w:r>
      <w:r>
        <w:rPr>
          <w:rFonts w:ascii="Verdana" w:hAnsi="Verdana"/>
          <w:i/>
          <w:sz w:val="20"/>
          <w:szCs w:val="20"/>
        </w:rPr>
        <w:t>cimo</w:t>
      </w:r>
      <w:r w:rsidR="00FB5E8E">
        <w:rPr>
          <w:rFonts w:ascii="Verdana" w:hAnsi="Verdana"/>
          <w:i/>
          <w:sz w:val="20"/>
          <w:szCs w:val="20"/>
        </w:rPr>
        <w:t xml:space="preserve"> </w:t>
      </w:r>
      <w:r>
        <w:rPr>
          <w:rFonts w:ascii="Verdana" w:hAnsi="Verdana"/>
          <w:i/>
          <w:sz w:val="20"/>
          <w:szCs w:val="20"/>
        </w:rPr>
        <w:t>primero de la S</w:t>
      </w:r>
      <w:r w:rsidRPr="00E62EA8">
        <w:rPr>
          <w:rFonts w:ascii="Verdana" w:hAnsi="Verdana"/>
          <w:i/>
          <w:sz w:val="20"/>
          <w:szCs w:val="20"/>
        </w:rPr>
        <w:t>entencia</w:t>
      </w:r>
      <w:r w:rsidR="009E738C">
        <w:rPr>
          <w:rFonts w:ascii="Verdana" w:hAnsi="Verdana"/>
          <w:sz w:val="20"/>
          <w:szCs w:val="20"/>
        </w:rPr>
        <w:t>), y</w:t>
      </w:r>
    </w:p>
    <w:p w14:paraId="19D02326" w14:textId="73684DCC" w:rsidR="00E87F70" w:rsidRPr="00E87F70" w:rsidRDefault="008E2DA3" w:rsidP="00A658D4">
      <w:pPr>
        <w:numPr>
          <w:ilvl w:val="1"/>
          <w:numId w:val="8"/>
        </w:numPr>
        <w:tabs>
          <w:tab w:val="left" w:pos="567"/>
        </w:tabs>
        <w:spacing w:before="240" w:afterLines="160" w:after="384" w:line="240" w:lineRule="auto"/>
        <w:ind w:left="993" w:hanging="426"/>
        <w:jc w:val="both"/>
        <w:rPr>
          <w:rFonts w:ascii="Verdana" w:hAnsi="Verdana"/>
          <w:sz w:val="20"/>
          <w:szCs w:val="20"/>
        </w:rPr>
      </w:pPr>
      <w:r w:rsidRPr="00E87F70">
        <w:rPr>
          <w:rFonts w:ascii="Verdana" w:hAnsi="Verdana"/>
          <w:sz w:val="20"/>
          <w:szCs w:val="20"/>
        </w:rPr>
        <w:t xml:space="preserve">pagar la cantidad fijada por concepto de costas </w:t>
      </w:r>
      <w:r w:rsidRPr="00E62EA8">
        <w:rPr>
          <w:rFonts w:ascii="Verdana" w:hAnsi="Verdana"/>
          <w:i/>
          <w:sz w:val="20"/>
          <w:szCs w:val="20"/>
        </w:rPr>
        <w:t xml:space="preserve">(punto </w:t>
      </w:r>
      <w:r>
        <w:rPr>
          <w:rFonts w:ascii="Verdana" w:hAnsi="Verdana"/>
          <w:i/>
          <w:sz w:val="20"/>
          <w:szCs w:val="20"/>
        </w:rPr>
        <w:t>resolutivo</w:t>
      </w:r>
      <w:r w:rsidRPr="00E62EA8">
        <w:rPr>
          <w:rFonts w:ascii="Verdana" w:hAnsi="Verdana"/>
          <w:i/>
          <w:sz w:val="20"/>
          <w:szCs w:val="20"/>
        </w:rPr>
        <w:t xml:space="preserve"> </w:t>
      </w:r>
      <w:r>
        <w:rPr>
          <w:rFonts w:ascii="Verdana" w:hAnsi="Verdana"/>
          <w:i/>
          <w:sz w:val="20"/>
          <w:szCs w:val="20"/>
        </w:rPr>
        <w:t>d</w:t>
      </w:r>
      <w:r w:rsidR="00FB5E8E">
        <w:rPr>
          <w:rFonts w:ascii="Verdana" w:hAnsi="Verdana"/>
          <w:i/>
          <w:sz w:val="20"/>
          <w:szCs w:val="20"/>
        </w:rPr>
        <w:t>é</w:t>
      </w:r>
      <w:r>
        <w:rPr>
          <w:rFonts w:ascii="Verdana" w:hAnsi="Verdana"/>
          <w:i/>
          <w:sz w:val="20"/>
          <w:szCs w:val="20"/>
        </w:rPr>
        <w:t>cimo</w:t>
      </w:r>
      <w:r w:rsidR="00FB5E8E">
        <w:rPr>
          <w:rFonts w:ascii="Verdana" w:hAnsi="Verdana"/>
          <w:i/>
          <w:sz w:val="20"/>
          <w:szCs w:val="20"/>
        </w:rPr>
        <w:t xml:space="preserve"> </w:t>
      </w:r>
      <w:r>
        <w:rPr>
          <w:rFonts w:ascii="Verdana" w:hAnsi="Verdana"/>
          <w:i/>
          <w:sz w:val="20"/>
          <w:szCs w:val="20"/>
        </w:rPr>
        <w:t>primero de la S</w:t>
      </w:r>
      <w:r w:rsidRPr="00E62EA8">
        <w:rPr>
          <w:rFonts w:ascii="Verdana" w:hAnsi="Verdana"/>
          <w:i/>
          <w:sz w:val="20"/>
          <w:szCs w:val="20"/>
        </w:rPr>
        <w:t>entencia</w:t>
      </w:r>
      <w:r w:rsidR="00E87F70">
        <w:rPr>
          <w:rFonts w:ascii="Verdana" w:hAnsi="Verdana"/>
          <w:sz w:val="20"/>
          <w:szCs w:val="20"/>
        </w:rPr>
        <w:t>)</w:t>
      </w:r>
      <w:r w:rsidR="009E738C">
        <w:rPr>
          <w:rFonts w:ascii="Verdana" w:hAnsi="Verdana"/>
          <w:sz w:val="20"/>
          <w:szCs w:val="20"/>
        </w:rPr>
        <w:t>.</w:t>
      </w:r>
    </w:p>
    <w:p w14:paraId="60E12545" w14:textId="66F17659" w:rsidR="006C78D3" w:rsidRPr="006C78D3" w:rsidRDefault="006C78D3" w:rsidP="00A658D4">
      <w:pPr>
        <w:numPr>
          <w:ilvl w:val="0"/>
          <w:numId w:val="8"/>
        </w:numPr>
        <w:tabs>
          <w:tab w:val="left" w:pos="567"/>
        </w:tabs>
        <w:spacing w:before="240" w:afterLines="160" w:after="384" w:line="240" w:lineRule="auto"/>
        <w:ind w:left="0" w:firstLine="0"/>
        <w:jc w:val="both"/>
        <w:rPr>
          <w:rFonts w:ascii="Verdana" w:hAnsi="Verdana"/>
          <w:sz w:val="20"/>
          <w:szCs w:val="20"/>
        </w:rPr>
      </w:pPr>
      <w:r w:rsidRPr="006C78D3">
        <w:rPr>
          <w:rFonts w:ascii="Verdana" w:hAnsi="Verdana"/>
          <w:sz w:val="20"/>
          <w:szCs w:val="20"/>
        </w:rPr>
        <w:t xml:space="preserve">Disponer que el Estado presente a la Corte Interamericana de Derechos Humanos, a más tardar el </w:t>
      </w:r>
      <w:r w:rsidR="00FD1F71">
        <w:rPr>
          <w:rFonts w:ascii="Verdana" w:hAnsi="Verdana"/>
          <w:sz w:val="20"/>
          <w:szCs w:val="20"/>
        </w:rPr>
        <w:t>21</w:t>
      </w:r>
      <w:r w:rsidRPr="006C78D3">
        <w:rPr>
          <w:rFonts w:ascii="Verdana" w:hAnsi="Verdana"/>
          <w:sz w:val="20"/>
          <w:szCs w:val="20"/>
        </w:rPr>
        <w:t xml:space="preserve"> de </w:t>
      </w:r>
      <w:r w:rsidR="00FD1F71">
        <w:rPr>
          <w:rFonts w:ascii="Verdana" w:hAnsi="Verdana"/>
          <w:sz w:val="20"/>
          <w:szCs w:val="20"/>
        </w:rPr>
        <w:t>febrero</w:t>
      </w:r>
      <w:r w:rsidRPr="006C78D3">
        <w:rPr>
          <w:rFonts w:ascii="Verdana" w:hAnsi="Verdana"/>
          <w:sz w:val="20"/>
          <w:szCs w:val="20"/>
        </w:rPr>
        <w:t xml:space="preserve"> de 2020, un informe sobre todas las medidas pendientes de cumplimiento.</w:t>
      </w:r>
    </w:p>
    <w:p w14:paraId="385FB84F" w14:textId="77777777" w:rsidR="006C78D3" w:rsidRPr="005439D6" w:rsidRDefault="006C78D3" w:rsidP="00A658D4">
      <w:pPr>
        <w:numPr>
          <w:ilvl w:val="0"/>
          <w:numId w:val="8"/>
        </w:numPr>
        <w:tabs>
          <w:tab w:val="left" w:pos="567"/>
        </w:tabs>
        <w:spacing w:before="240" w:afterLines="160" w:after="384" w:line="240" w:lineRule="auto"/>
        <w:ind w:left="0" w:firstLine="0"/>
        <w:jc w:val="both"/>
        <w:rPr>
          <w:rFonts w:ascii="Verdana" w:hAnsi="Verdana"/>
          <w:sz w:val="20"/>
          <w:szCs w:val="20"/>
          <w:lang w:val="es-ES_tradnl"/>
        </w:rPr>
      </w:pPr>
      <w:r w:rsidRPr="006C78D3">
        <w:rPr>
          <w:rFonts w:ascii="Verdana" w:hAnsi="Verdana"/>
          <w:sz w:val="20"/>
          <w:szCs w:val="20"/>
        </w:rPr>
        <w:t>Disponer</w:t>
      </w:r>
      <w:r w:rsidRPr="00754B1D">
        <w:rPr>
          <w:rFonts w:ascii="Verdana" w:hAnsi="Verdana"/>
          <w:sz w:val="20"/>
          <w:szCs w:val="20"/>
          <w:lang w:val="es-ES"/>
        </w:rPr>
        <w:t xml:space="preserve"> que los representantes </w:t>
      </w:r>
      <w:r>
        <w:rPr>
          <w:rFonts w:ascii="Verdana" w:hAnsi="Verdana"/>
          <w:sz w:val="20"/>
          <w:szCs w:val="20"/>
          <w:lang w:val="es-ES"/>
        </w:rPr>
        <w:t xml:space="preserve">de las víctimas </w:t>
      </w:r>
      <w:r w:rsidRPr="00754B1D">
        <w:rPr>
          <w:rFonts w:ascii="Verdana" w:hAnsi="Verdana"/>
          <w:sz w:val="20"/>
          <w:szCs w:val="20"/>
          <w:lang w:val="es-ES"/>
        </w:rPr>
        <w:t xml:space="preserve">y la Comisión presenten observaciones al informe del </w:t>
      </w:r>
      <w:r w:rsidRPr="0041260D">
        <w:rPr>
          <w:rFonts w:ascii="Verdana" w:hAnsi="Verdana"/>
          <w:sz w:val="20"/>
          <w:szCs w:val="20"/>
        </w:rPr>
        <w:t>Estado</w:t>
      </w:r>
      <w:r w:rsidRPr="00754B1D">
        <w:rPr>
          <w:rFonts w:ascii="Verdana" w:hAnsi="Verdana"/>
          <w:sz w:val="20"/>
          <w:szCs w:val="20"/>
          <w:lang w:val="es-ES"/>
        </w:rPr>
        <w:t xml:space="preserve"> mencionado en el punto resolutivo anterior, en los plazos de cuatro y seis semanas, respectivamente, contados a partir de la recepción del informe</w:t>
      </w:r>
    </w:p>
    <w:p w14:paraId="4B2E8C49" w14:textId="1E39730E" w:rsidR="006C78D3" w:rsidRDefault="006C78D3" w:rsidP="00A658D4">
      <w:pPr>
        <w:numPr>
          <w:ilvl w:val="0"/>
          <w:numId w:val="8"/>
        </w:numPr>
        <w:tabs>
          <w:tab w:val="left" w:pos="567"/>
        </w:tabs>
        <w:spacing w:before="240" w:afterLines="160" w:after="384" w:line="240" w:lineRule="auto"/>
        <w:ind w:left="0" w:firstLine="0"/>
        <w:jc w:val="both"/>
        <w:rPr>
          <w:rFonts w:ascii="Verdana" w:hAnsi="Verdana"/>
          <w:sz w:val="20"/>
          <w:szCs w:val="20"/>
          <w:lang w:val="es-ES_tradnl"/>
        </w:rPr>
      </w:pPr>
      <w:r w:rsidRPr="0041260D">
        <w:rPr>
          <w:rFonts w:ascii="Verdana" w:hAnsi="Verdana"/>
          <w:sz w:val="20"/>
          <w:szCs w:val="20"/>
          <w:lang w:val="es-ES"/>
        </w:rPr>
        <w:t>Disponer</w:t>
      </w:r>
      <w:r w:rsidRPr="00711B91">
        <w:rPr>
          <w:rFonts w:ascii="Verdana" w:hAnsi="Verdana"/>
          <w:sz w:val="20"/>
          <w:szCs w:val="20"/>
          <w:lang w:val="es-ES_tradnl"/>
        </w:rPr>
        <w:t xml:space="preserve"> que la Secretaría de la Corte notifique la presente Resolución </w:t>
      </w:r>
      <w:r>
        <w:rPr>
          <w:rFonts w:ascii="Verdana" w:hAnsi="Verdana"/>
          <w:sz w:val="20"/>
          <w:szCs w:val="20"/>
          <w:lang w:val="es-ES_tradnl"/>
        </w:rPr>
        <w:t xml:space="preserve">a la República </w:t>
      </w:r>
      <w:r w:rsidRPr="006C78D3">
        <w:rPr>
          <w:rFonts w:ascii="Verdana" w:hAnsi="Verdana"/>
          <w:sz w:val="20"/>
          <w:szCs w:val="20"/>
        </w:rPr>
        <w:t>Federativa</w:t>
      </w:r>
      <w:r>
        <w:rPr>
          <w:rFonts w:ascii="Verdana" w:hAnsi="Verdana"/>
          <w:sz w:val="20"/>
          <w:szCs w:val="20"/>
          <w:lang w:val="es-ES_tradnl"/>
        </w:rPr>
        <w:t xml:space="preserve"> del Brasil</w:t>
      </w:r>
      <w:r w:rsidRPr="00711B91">
        <w:rPr>
          <w:rFonts w:ascii="Verdana" w:hAnsi="Verdana"/>
          <w:sz w:val="20"/>
          <w:szCs w:val="20"/>
          <w:lang w:val="es-ES_tradnl"/>
        </w:rPr>
        <w:t>, a</w:t>
      </w:r>
      <w:r>
        <w:rPr>
          <w:rFonts w:ascii="Verdana" w:hAnsi="Verdana"/>
          <w:sz w:val="20"/>
          <w:szCs w:val="20"/>
          <w:lang w:val="es-ES_tradnl"/>
        </w:rPr>
        <w:t xml:space="preserve"> </w:t>
      </w:r>
      <w:r w:rsidRPr="00711B91">
        <w:rPr>
          <w:rFonts w:ascii="Verdana" w:hAnsi="Verdana"/>
          <w:sz w:val="20"/>
          <w:szCs w:val="20"/>
          <w:lang w:val="es-ES_tradnl"/>
        </w:rPr>
        <w:t>l</w:t>
      </w:r>
      <w:r>
        <w:rPr>
          <w:rFonts w:ascii="Verdana" w:hAnsi="Verdana"/>
          <w:sz w:val="20"/>
          <w:szCs w:val="20"/>
          <w:lang w:val="es-ES_tradnl"/>
        </w:rPr>
        <w:t xml:space="preserve">os </w:t>
      </w:r>
      <w:r w:rsidRPr="00711B91">
        <w:rPr>
          <w:rFonts w:ascii="Verdana" w:hAnsi="Verdana"/>
          <w:sz w:val="20"/>
          <w:szCs w:val="20"/>
          <w:lang w:val="es-ES_tradnl"/>
        </w:rPr>
        <w:t>representante</w:t>
      </w:r>
      <w:r>
        <w:rPr>
          <w:rFonts w:ascii="Verdana" w:hAnsi="Verdana"/>
          <w:sz w:val="20"/>
          <w:szCs w:val="20"/>
          <w:lang w:val="es-ES_tradnl"/>
        </w:rPr>
        <w:t>s</w:t>
      </w:r>
      <w:r w:rsidRPr="00711B91">
        <w:rPr>
          <w:rFonts w:ascii="Verdana" w:hAnsi="Verdana"/>
          <w:sz w:val="20"/>
          <w:szCs w:val="20"/>
          <w:lang w:val="es-ES_tradnl"/>
        </w:rPr>
        <w:t xml:space="preserve"> de las víctimas y a la Comisión Interamericana de Derechos Humanos.</w:t>
      </w:r>
    </w:p>
    <w:p w14:paraId="1CFFA95E" w14:textId="1711475A" w:rsidR="00AC15B2" w:rsidRDefault="00AC15B2" w:rsidP="00AC15B2">
      <w:pPr>
        <w:tabs>
          <w:tab w:val="left" w:pos="567"/>
        </w:tabs>
        <w:spacing w:before="240" w:afterLines="160" w:after="384" w:line="240" w:lineRule="auto"/>
        <w:jc w:val="both"/>
        <w:rPr>
          <w:rFonts w:ascii="Verdana" w:hAnsi="Verdana"/>
          <w:sz w:val="20"/>
          <w:szCs w:val="20"/>
          <w:lang w:val="es-ES_tradnl"/>
        </w:rPr>
      </w:pPr>
    </w:p>
    <w:p w14:paraId="0CEB171F" w14:textId="31E2C86B" w:rsidR="00AC15B2" w:rsidRDefault="00AC15B2" w:rsidP="00AC15B2">
      <w:pPr>
        <w:tabs>
          <w:tab w:val="left" w:pos="567"/>
        </w:tabs>
        <w:spacing w:before="240" w:afterLines="160" w:after="384" w:line="240" w:lineRule="auto"/>
        <w:jc w:val="both"/>
        <w:rPr>
          <w:rFonts w:ascii="Verdana" w:hAnsi="Verdana"/>
          <w:sz w:val="20"/>
          <w:szCs w:val="20"/>
          <w:lang w:val="es-ES_tradnl"/>
        </w:rPr>
      </w:pPr>
    </w:p>
    <w:p w14:paraId="642F87A3" w14:textId="0E735F18" w:rsidR="00AC15B2" w:rsidRDefault="00AC15B2" w:rsidP="00AC15B2">
      <w:pPr>
        <w:tabs>
          <w:tab w:val="left" w:pos="567"/>
        </w:tabs>
        <w:spacing w:before="240" w:afterLines="160" w:after="384" w:line="240" w:lineRule="auto"/>
        <w:jc w:val="both"/>
        <w:rPr>
          <w:rFonts w:ascii="Verdana" w:hAnsi="Verdana"/>
          <w:sz w:val="20"/>
          <w:szCs w:val="20"/>
          <w:lang w:val="es-ES_tradnl"/>
        </w:rPr>
      </w:pPr>
    </w:p>
    <w:p w14:paraId="7B13DE40" w14:textId="40F7254A" w:rsidR="00AC15B2" w:rsidRDefault="00AC15B2" w:rsidP="00AC15B2">
      <w:pPr>
        <w:tabs>
          <w:tab w:val="left" w:pos="567"/>
        </w:tabs>
        <w:spacing w:before="240" w:afterLines="160" w:after="384" w:line="240" w:lineRule="auto"/>
        <w:jc w:val="both"/>
        <w:rPr>
          <w:rFonts w:ascii="Verdana" w:hAnsi="Verdana"/>
          <w:sz w:val="20"/>
          <w:szCs w:val="20"/>
          <w:lang w:val="es-ES_tradnl"/>
        </w:rPr>
      </w:pPr>
    </w:p>
    <w:p w14:paraId="645E62EB" w14:textId="77777777" w:rsidR="00BB0A0D" w:rsidRDefault="00BB0A0D" w:rsidP="00AC15B2">
      <w:pPr>
        <w:tabs>
          <w:tab w:val="left" w:pos="567"/>
        </w:tabs>
        <w:spacing w:before="240" w:afterLines="160" w:after="384" w:line="240" w:lineRule="auto"/>
        <w:jc w:val="both"/>
        <w:rPr>
          <w:rFonts w:ascii="Verdana" w:hAnsi="Verdana"/>
          <w:sz w:val="20"/>
          <w:szCs w:val="20"/>
          <w:lang w:val="es-ES_tradnl"/>
        </w:rPr>
      </w:pPr>
      <w:bookmarkStart w:id="0" w:name="_GoBack"/>
      <w:bookmarkEnd w:id="0"/>
    </w:p>
    <w:p w14:paraId="3DF1493B" w14:textId="6C933033" w:rsidR="00AC15B2" w:rsidRDefault="00AC15B2" w:rsidP="00AC15B2">
      <w:pPr>
        <w:tabs>
          <w:tab w:val="left" w:pos="567"/>
        </w:tabs>
        <w:spacing w:before="240" w:afterLines="160" w:after="384" w:line="240" w:lineRule="auto"/>
        <w:jc w:val="both"/>
        <w:rPr>
          <w:rFonts w:ascii="Verdana" w:hAnsi="Verdana"/>
          <w:sz w:val="20"/>
          <w:szCs w:val="20"/>
          <w:lang w:val="es-ES_tradnl"/>
        </w:rPr>
      </w:pPr>
    </w:p>
    <w:p w14:paraId="7F7A312C" w14:textId="14988396" w:rsidR="00AC15B2" w:rsidRPr="00AC15B2" w:rsidRDefault="00AC15B2" w:rsidP="00AC15B2">
      <w:pPr>
        <w:jc w:val="both"/>
        <w:rPr>
          <w:rFonts w:ascii="Verdana" w:hAnsi="Verdana" w:cs="Courier New"/>
          <w:noProof/>
          <w:sz w:val="20"/>
          <w:lang w:val="pt-BR"/>
        </w:rPr>
      </w:pPr>
      <w:r w:rsidRPr="00E558C4">
        <w:rPr>
          <w:rFonts w:ascii="Verdana" w:hAnsi="Verdana" w:cs="Courier New"/>
          <w:noProof/>
          <w:sz w:val="20"/>
          <w:lang w:val="pt-BR"/>
        </w:rPr>
        <w:lastRenderedPageBreak/>
        <w:t xml:space="preserve">Corte IDH. </w:t>
      </w:r>
      <w:r w:rsidRPr="00E558C4">
        <w:rPr>
          <w:rFonts w:ascii="Verdana" w:hAnsi="Verdana" w:cs="Courier New"/>
          <w:i/>
          <w:noProof/>
          <w:sz w:val="20"/>
          <w:lang w:val="pt-BR"/>
        </w:rPr>
        <w:t xml:space="preserve">Caso </w:t>
      </w:r>
      <w:r>
        <w:rPr>
          <w:rFonts w:ascii="Verdana" w:hAnsi="Verdana" w:cs="Courier New"/>
          <w:i/>
          <w:noProof/>
          <w:sz w:val="20"/>
          <w:lang w:val="pt-BR"/>
        </w:rPr>
        <w:t>Pueblo Indígena Xucuru y sus Miembros Vs. Brasil.</w:t>
      </w:r>
      <w:r w:rsidRPr="00E558C4">
        <w:rPr>
          <w:rFonts w:ascii="Verdana" w:hAnsi="Verdana" w:cs="Courier New"/>
          <w:noProof/>
          <w:sz w:val="20"/>
          <w:lang w:val="pt-BR"/>
        </w:rPr>
        <w:t xml:space="preserve"> </w:t>
      </w:r>
      <w:r>
        <w:rPr>
          <w:rFonts w:ascii="Verdana" w:hAnsi="Verdana" w:cs="Courier New"/>
          <w:noProof/>
          <w:sz w:val="20"/>
          <w:lang w:val="pt-BR"/>
        </w:rPr>
        <w:t>Supervisión de Cumplimiento de Sentencia. Resolución de la Corte Interamericana de Derechos Humanos de 22 de noviembre de 2019.</w:t>
      </w:r>
    </w:p>
    <w:p w14:paraId="0DBD5142" w14:textId="77777777" w:rsidR="00AC15B2" w:rsidRPr="00847B73" w:rsidRDefault="00AC15B2" w:rsidP="00AC15B2">
      <w:pPr>
        <w:rPr>
          <w:rFonts w:ascii="Verdana" w:hAnsi="Verdana"/>
          <w:sz w:val="20"/>
          <w:lang w:val="es-ES"/>
        </w:rPr>
      </w:pPr>
    </w:p>
    <w:p w14:paraId="32E31696" w14:textId="77777777" w:rsidR="00AC15B2" w:rsidRPr="00847B73" w:rsidRDefault="00AC15B2" w:rsidP="00AC15B2">
      <w:pPr>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4CE64884" w14:textId="77777777" w:rsidR="00AC15B2" w:rsidRPr="00847B73" w:rsidRDefault="00AC15B2" w:rsidP="00AC15B2">
      <w:pPr>
        <w:jc w:val="center"/>
        <w:rPr>
          <w:rFonts w:ascii="Verdana" w:hAnsi="Verdana"/>
          <w:sz w:val="20"/>
          <w:lang w:val="pt-BR"/>
        </w:rPr>
      </w:pPr>
      <w:r w:rsidRPr="00847B73">
        <w:rPr>
          <w:rFonts w:ascii="Verdana" w:hAnsi="Verdana"/>
          <w:sz w:val="20"/>
          <w:lang w:val="pt-BR"/>
        </w:rPr>
        <w:t>Presidente</w:t>
      </w:r>
    </w:p>
    <w:p w14:paraId="317E5CF4" w14:textId="77777777" w:rsidR="00AC15B2" w:rsidRPr="00847B73" w:rsidRDefault="00AC15B2" w:rsidP="00AC15B2">
      <w:pPr>
        <w:jc w:val="both"/>
        <w:rPr>
          <w:rFonts w:ascii="Verdana" w:hAnsi="Verdana"/>
          <w:sz w:val="20"/>
          <w:lang w:val="pt-BR"/>
        </w:rPr>
      </w:pPr>
    </w:p>
    <w:p w14:paraId="57C0CE50" w14:textId="77777777" w:rsidR="00AC15B2" w:rsidRDefault="00AC15B2" w:rsidP="00AC15B2">
      <w:pP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67745C12" w14:textId="77777777" w:rsidR="00AC15B2" w:rsidRPr="00847B73" w:rsidRDefault="00AC15B2" w:rsidP="00AC15B2">
      <w:pPr>
        <w:jc w:val="both"/>
        <w:rPr>
          <w:rFonts w:ascii="Verdana" w:hAnsi="Verdana"/>
          <w:sz w:val="20"/>
          <w:lang w:val="pt-BR"/>
        </w:rPr>
      </w:pPr>
    </w:p>
    <w:p w14:paraId="75FD196B" w14:textId="77777777" w:rsidR="00AC15B2" w:rsidRPr="00847B73" w:rsidRDefault="00AC15B2" w:rsidP="00AC15B2">
      <w:pPr>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14:paraId="0D58B4C1" w14:textId="77777777" w:rsidR="00AC15B2" w:rsidRPr="00847B73" w:rsidRDefault="00AC15B2" w:rsidP="00AC15B2">
      <w:pPr>
        <w:rPr>
          <w:rFonts w:ascii="Verdana" w:hAnsi="Verdana"/>
          <w:sz w:val="20"/>
          <w:lang w:val="pt-BR"/>
        </w:rPr>
      </w:pPr>
    </w:p>
    <w:p w14:paraId="1F1AF535" w14:textId="77777777" w:rsidR="00AC15B2" w:rsidRPr="00847B73" w:rsidRDefault="00AC15B2" w:rsidP="00AC15B2">
      <w:pPr>
        <w:rPr>
          <w:rFonts w:ascii="Verdana" w:hAnsi="Verdana"/>
          <w:sz w:val="20"/>
        </w:rPr>
      </w:pPr>
      <w:r w:rsidRPr="00847B73">
        <w:rPr>
          <w:rFonts w:ascii="Verdana" w:hAnsi="Verdana"/>
          <w:sz w:val="20"/>
          <w:lang w:val="pt-BR"/>
        </w:rPr>
        <w:t xml:space="preserve">L. </w:t>
      </w:r>
      <w:proofErr w:type="spellStart"/>
      <w:r w:rsidRPr="00847B73">
        <w:rPr>
          <w:rFonts w:ascii="Verdana" w:hAnsi="Verdana"/>
          <w:sz w:val="20"/>
          <w:lang w:val="pt-BR"/>
        </w:rPr>
        <w:t>Patricio</w:t>
      </w:r>
      <w:proofErr w:type="spellEnd"/>
      <w:r w:rsidRPr="00847B73">
        <w:rPr>
          <w:rFonts w:ascii="Verdana" w:hAnsi="Verdana"/>
          <w:sz w:val="20"/>
          <w:lang w:val="pt-BR"/>
        </w:rPr>
        <w:t xml:space="preserve"> </w:t>
      </w:r>
      <w:proofErr w:type="spellStart"/>
      <w:r w:rsidRPr="00847B73">
        <w:rPr>
          <w:rFonts w:ascii="Verdana" w:hAnsi="Verdana"/>
          <w:sz w:val="20"/>
          <w:lang w:val="pt-BR"/>
        </w:rPr>
        <w:t>Pazmiño</w:t>
      </w:r>
      <w:proofErr w:type="spellEnd"/>
      <w:r w:rsidRPr="00847B73">
        <w:rPr>
          <w:rFonts w:ascii="Verdana" w:hAnsi="Verdana"/>
          <w:sz w:val="20"/>
          <w:lang w:val="pt-BR"/>
        </w:rPr>
        <w:t xml:space="preserve">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rPr>
        <w:t>Ricardo C. Pérez Manrique</w:t>
      </w:r>
    </w:p>
    <w:p w14:paraId="7AF0FDC2" w14:textId="77777777" w:rsidR="00AC15B2" w:rsidRPr="00847B73" w:rsidRDefault="00AC15B2" w:rsidP="00AC15B2">
      <w:pPr>
        <w:jc w:val="both"/>
        <w:rPr>
          <w:rFonts w:ascii="Verdana" w:hAnsi="Verdana"/>
          <w:sz w:val="20"/>
          <w:lang w:val="pt-BR"/>
        </w:rPr>
      </w:pPr>
    </w:p>
    <w:p w14:paraId="0A43F457" w14:textId="77777777" w:rsidR="00AC15B2" w:rsidRPr="00847B73" w:rsidRDefault="00AC15B2" w:rsidP="00AC15B2">
      <w:pPr>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6C0160A1" w14:textId="77777777" w:rsidR="00AC15B2" w:rsidRPr="00847B73" w:rsidRDefault="00AC15B2" w:rsidP="00AC15B2">
      <w:pPr>
        <w:jc w:val="center"/>
        <w:rPr>
          <w:rFonts w:ascii="Verdana" w:hAnsi="Verdana"/>
          <w:sz w:val="20"/>
          <w:lang w:val="pt-BR"/>
        </w:rPr>
      </w:pPr>
      <w:r>
        <w:rPr>
          <w:rFonts w:ascii="Verdana" w:hAnsi="Verdana"/>
          <w:sz w:val="20"/>
          <w:lang w:val="pt-BR"/>
        </w:rPr>
        <w:t>Secreta</w:t>
      </w:r>
      <w:r w:rsidRPr="00847B73">
        <w:rPr>
          <w:rFonts w:ascii="Verdana" w:hAnsi="Verdana"/>
          <w:sz w:val="20"/>
          <w:lang w:val="pt-BR"/>
        </w:rPr>
        <w:t>rio</w:t>
      </w:r>
    </w:p>
    <w:p w14:paraId="0BE4F515" w14:textId="77777777" w:rsidR="00AC15B2" w:rsidRDefault="00AC15B2" w:rsidP="00AC15B2">
      <w:pPr>
        <w:jc w:val="both"/>
        <w:rPr>
          <w:rFonts w:ascii="Verdana" w:hAnsi="Verdana"/>
          <w:sz w:val="20"/>
          <w:lang w:val="pt-BR"/>
        </w:rPr>
      </w:pPr>
    </w:p>
    <w:p w14:paraId="699ACC04" w14:textId="77777777" w:rsidR="00AC15B2" w:rsidRPr="00847B73" w:rsidRDefault="00AC15B2" w:rsidP="00AC15B2">
      <w:pPr>
        <w:pStyle w:val="Textonotapie"/>
        <w:rPr>
          <w:rFonts w:ascii="Verdana" w:hAnsi="Verdana"/>
          <w:lang w:val="pt-BR"/>
        </w:rPr>
      </w:pPr>
    </w:p>
    <w:p w14:paraId="413E780C" w14:textId="30B4447D" w:rsidR="00AC15B2" w:rsidRPr="00847B73" w:rsidRDefault="00AC15B2" w:rsidP="00AC15B2">
      <w:pPr>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14904073" w14:textId="77777777" w:rsidR="00AC15B2" w:rsidRPr="00847B73" w:rsidRDefault="00AC15B2" w:rsidP="00AC15B2">
      <w:pPr>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7D053851" w14:textId="77777777" w:rsidR="00AC15B2" w:rsidRPr="00847B73" w:rsidRDefault="00AC15B2" w:rsidP="00AC15B2">
      <w:pPr>
        <w:ind w:left="4956"/>
        <w:jc w:val="center"/>
        <w:rPr>
          <w:rFonts w:ascii="Verdana" w:hAnsi="Verdana"/>
          <w:sz w:val="20"/>
          <w:lang w:val="pt-BR"/>
        </w:rPr>
      </w:pPr>
      <w:r w:rsidRPr="00847B73">
        <w:rPr>
          <w:rFonts w:ascii="Verdana" w:hAnsi="Verdana"/>
          <w:sz w:val="20"/>
          <w:lang w:val="pt-BR"/>
        </w:rPr>
        <w:t>Presidente</w:t>
      </w:r>
    </w:p>
    <w:p w14:paraId="4C4E72A3" w14:textId="77777777" w:rsidR="00AC15B2" w:rsidRDefault="00AC15B2" w:rsidP="00AC15B2">
      <w:pPr>
        <w:jc w:val="both"/>
        <w:rPr>
          <w:rFonts w:ascii="Verdana" w:hAnsi="Verdana"/>
          <w:sz w:val="20"/>
          <w:lang w:val="pt-BR"/>
        </w:rPr>
      </w:pPr>
    </w:p>
    <w:p w14:paraId="7890B0C0" w14:textId="77777777" w:rsidR="00AC15B2" w:rsidRPr="00847B73" w:rsidRDefault="00AC15B2" w:rsidP="00AC15B2">
      <w:pPr>
        <w:jc w:val="both"/>
        <w:rPr>
          <w:rFonts w:ascii="Verdana" w:hAnsi="Verdana"/>
          <w:sz w:val="20"/>
          <w:lang w:val="pt-BR"/>
        </w:rPr>
      </w:pPr>
    </w:p>
    <w:p w14:paraId="787F3F73" w14:textId="77777777" w:rsidR="00AC15B2" w:rsidRPr="00847B73" w:rsidRDefault="00AC15B2" w:rsidP="00AC15B2">
      <w:pPr>
        <w:jc w:val="both"/>
        <w:rPr>
          <w:rFonts w:ascii="Verdana" w:hAnsi="Verdana"/>
          <w:sz w:val="20"/>
          <w:lang w:val="pt-BR"/>
        </w:rPr>
      </w:pPr>
    </w:p>
    <w:p w14:paraId="44B21FCE" w14:textId="77777777" w:rsidR="00AC15B2" w:rsidRPr="00847B73" w:rsidRDefault="00AC15B2" w:rsidP="00AC15B2">
      <w:pPr>
        <w:jc w:val="both"/>
        <w:rPr>
          <w:rFonts w:ascii="Verdana" w:hAnsi="Verdana"/>
          <w:sz w:val="20"/>
          <w:lang w:val="es-ES"/>
        </w:rPr>
      </w:pPr>
      <w:r w:rsidRPr="00847B73">
        <w:rPr>
          <w:rFonts w:ascii="Verdana" w:hAnsi="Verdana"/>
          <w:sz w:val="20"/>
          <w:lang w:val="es-ES"/>
        </w:rPr>
        <w:t>Pablo Saavedra Alessandri</w:t>
      </w:r>
    </w:p>
    <w:p w14:paraId="007AF396" w14:textId="77777777" w:rsidR="00AC15B2" w:rsidRPr="00FC7D8B" w:rsidRDefault="00AC15B2" w:rsidP="00AC15B2">
      <w:pPr>
        <w:rPr>
          <w:rFonts w:ascii="Verdana" w:hAnsi="Verdana"/>
          <w:sz w:val="20"/>
        </w:rPr>
      </w:pPr>
      <w:r w:rsidRPr="00847B73">
        <w:rPr>
          <w:rFonts w:ascii="Verdana" w:hAnsi="Verdana"/>
          <w:sz w:val="20"/>
          <w:lang w:val="es-ES"/>
        </w:rPr>
        <w:tab/>
      </w:r>
      <w:r w:rsidRPr="00847B73">
        <w:rPr>
          <w:rFonts w:ascii="Verdana" w:hAnsi="Verdana"/>
          <w:sz w:val="20"/>
        </w:rPr>
        <w:t>Secretario</w:t>
      </w:r>
    </w:p>
    <w:p w14:paraId="65AD1793" w14:textId="77777777" w:rsidR="00AC15B2" w:rsidRDefault="00AC15B2" w:rsidP="00AC15B2">
      <w:pPr>
        <w:tabs>
          <w:tab w:val="left" w:pos="567"/>
        </w:tabs>
        <w:spacing w:before="240" w:afterLines="160" w:after="384" w:line="240" w:lineRule="auto"/>
        <w:jc w:val="both"/>
        <w:rPr>
          <w:rFonts w:ascii="Verdana" w:hAnsi="Verdana"/>
          <w:sz w:val="20"/>
          <w:szCs w:val="20"/>
          <w:lang w:val="es-ES_tradnl"/>
        </w:rPr>
      </w:pPr>
    </w:p>
    <w:p w14:paraId="53C8A156" w14:textId="77777777" w:rsidR="006C78D3" w:rsidRDefault="006C78D3" w:rsidP="006C78D3">
      <w:pPr>
        <w:tabs>
          <w:tab w:val="left" w:pos="567"/>
        </w:tabs>
        <w:spacing w:before="240" w:after="240" w:line="240" w:lineRule="auto"/>
        <w:jc w:val="both"/>
        <w:rPr>
          <w:rFonts w:ascii="Verdana" w:hAnsi="Verdana"/>
          <w:sz w:val="20"/>
          <w:szCs w:val="20"/>
        </w:rPr>
      </w:pPr>
    </w:p>
    <w:p w14:paraId="52E251C2" w14:textId="77777777" w:rsidR="006C78D3" w:rsidRPr="006C78D3" w:rsidRDefault="006C78D3" w:rsidP="006C78D3">
      <w:pPr>
        <w:tabs>
          <w:tab w:val="left" w:pos="709"/>
        </w:tabs>
        <w:spacing w:after="100" w:afterAutospacing="1" w:line="240" w:lineRule="auto"/>
        <w:jc w:val="both"/>
        <w:rPr>
          <w:rFonts w:ascii="Verdana" w:hAnsi="Verdana"/>
          <w:color w:val="000000"/>
          <w:sz w:val="20"/>
          <w:szCs w:val="20"/>
        </w:rPr>
      </w:pPr>
    </w:p>
    <w:sectPr w:rsidR="006C78D3" w:rsidRPr="006C78D3" w:rsidSect="005F09F7">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7494" w14:textId="77777777" w:rsidR="003F151F" w:rsidRDefault="003F151F" w:rsidP="00B041E7">
      <w:pPr>
        <w:spacing w:after="0" w:line="240" w:lineRule="auto"/>
      </w:pPr>
      <w:r>
        <w:separator/>
      </w:r>
    </w:p>
  </w:endnote>
  <w:endnote w:type="continuationSeparator" w:id="0">
    <w:p w14:paraId="6D2BA707" w14:textId="77777777" w:rsidR="003F151F" w:rsidRDefault="003F151F" w:rsidP="00B0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AEA8" w14:textId="145A8B98" w:rsidR="00BD6059" w:rsidRPr="005F09F7" w:rsidRDefault="00BD6059" w:rsidP="005F09F7">
    <w:pPr>
      <w:pStyle w:val="Piedepgina"/>
      <w:jc w:val="center"/>
      <w:rPr>
        <w:rFonts w:ascii="Verdana" w:hAnsi="Verdana"/>
        <w:sz w:val="20"/>
        <w:szCs w:val="20"/>
      </w:rPr>
    </w:pPr>
    <w:r>
      <w:rPr>
        <w:rFonts w:ascii="Verdana" w:hAnsi="Verdana"/>
        <w:sz w:val="20"/>
        <w:szCs w:val="20"/>
      </w:rPr>
      <w:t xml:space="preserve">- </w:t>
    </w:r>
    <w:r w:rsidRPr="00A12B15">
      <w:rPr>
        <w:rFonts w:ascii="Verdana" w:hAnsi="Verdana"/>
        <w:sz w:val="20"/>
        <w:szCs w:val="20"/>
      </w:rPr>
      <w:fldChar w:fldCharType="begin"/>
    </w:r>
    <w:r w:rsidRPr="00A12B15">
      <w:rPr>
        <w:rFonts w:ascii="Verdana" w:hAnsi="Verdana"/>
        <w:sz w:val="20"/>
        <w:szCs w:val="20"/>
      </w:rPr>
      <w:instrText>PAGE   \* MERGEFORMAT</w:instrText>
    </w:r>
    <w:r w:rsidRPr="00A12B15">
      <w:rPr>
        <w:rFonts w:ascii="Verdana" w:hAnsi="Verdana"/>
        <w:sz w:val="20"/>
        <w:szCs w:val="20"/>
      </w:rPr>
      <w:fldChar w:fldCharType="separate"/>
    </w:r>
    <w:r w:rsidR="0004647C" w:rsidRPr="0004647C">
      <w:rPr>
        <w:rFonts w:ascii="Verdana" w:hAnsi="Verdana"/>
        <w:noProof/>
        <w:sz w:val="20"/>
        <w:szCs w:val="20"/>
        <w:lang w:val="es-ES"/>
      </w:rPr>
      <w:t>5</w:t>
    </w:r>
    <w:r w:rsidRPr="00A12B15">
      <w:rPr>
        <w:rFonts w:ascii="Verdana" w:hAnsi="Verdana"/>
        <w:sz w:val="20"/>
        <w:szCs w:val="20"/>
      </w:rPr>
      <w:fldChar w:fldCharType="end"/>
    </w:r>
    <w:r>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A8F4" w14:textId="77777777" w:rsidR="003F151F" w:rsidRDefault="003F151F" w:rsidP="00B041E7">
      <w:pPr>
        <w:spacing w:after="0" w:line="240" w:lineRule="auto"/>
      </w:pPr>
      <w:r>
        <w:separator/>
      </w:r>
    </w:p>
  </w:footnote>
  <w:footnote w:type="continuationSeparator" w:id="0">
    <w:p w14:paraId="2742C39B" w14:textId="77777777" w:rsidR="003F151F" w:rsidRDefault="003F151F" w:rsidP="00B041E7">
      <w:pPr>
        <w:spacing w:after="0" w:line="240" w:lineRule="auto"/>
      </w:pPr>
      <w:r>
        <w:continuationSeparator/>
      </w:r>
    </w:p>
  </w:footnote>
  <w:footnote w:id="1">
    <w:p w14:paraId="2C6ECCF8" w14:textId="77777777" w:rsidR="009C5C57" w:rsidRPr="00C0711E" w:rsidRDefault="009C5C57" w:rsidP="005F09F7">
      <w:pPr>
        <w:pStyle w:val="Textonotapie"/>
        <w:tabs>
          <w:tab w:val="left" w:pos="426"/>
          <w:tab w:val="left" w:pos="567"/>
        </w:tabs>
        <w:jc w:val="both"/>
        <w:rPr>
          <w:rFonts w:ascii="Verdana" w:hAnsi="Verdana" w:cs="Verdana"/>
          <w:sz w:val="16"/>
          <w:szCs w:val="16"/>
          <w:lang w:val="es-CO"/>
        </w:rPr>
      </w:pPr>
      <w:r w:rsidRPr="00C0711E">
        <w:rPr>
          <w:rFonts w:ascii="Verdana" w:hAnsi="Verdana"/>
          <w:sz w:val="16"/>
          <w:szCs w:val="16"/>
          <w:vertAlign w:val="superscript"/>
          <w:lang w:val="es-CR"/>
        </w:rPr>
        <w:t>*</w:t>
      </w:r>
      <w:r w:rsidRPr="00C0711E">
        <w:rPr>
          <w:rFonts w:ascii="Verdana" w:hAnsi="Verdana"/>
          <w:sz w:val="16"/>
          <w:szCs w:val="16"/>
          <w:lang w:val="es-CR"/>
        </w:rPr>
        <w:tab/>
      </w:r>
      <w:r w:rsidRPr="00C0711E">
        <w:rPr>
          <w:rFonts w:ascii="Verdana" w:hAnsi="Verdana"/>
          <w:sz w:val="16"/>
          <w:szCs w:val="16"/>
          <w:lang w:val="es-AR"/>
        </w:rPr>
        <w:t>El</w:t>
      </w:r>
      <w:r w:rsidRPr="00C0711E">
        <w:rPr>
          <w:rFonts w:ascii="Verdana" w:hAnsi="Verdana" w:cs="Verdana"/>
          <w:sz w:val="16"/>
          <w:szCs w:val="16"/>
          <w:lang w:val="es-CO"/>
        </w:rPr>
        <w:t xml:space="preserve"> </w:t>
      </w:r>
      <w:r w:rsidRPr="005F09F7">
        <w:rPr>
          <w:rFonts w:ascii="Verdana" w:hAnsi="Verdana"/>
          <w:color w:val="000000"/>
          <w:sz w:val="16"/>
          <w:szCs w:val="16"/>
          <w:lang w:val="es-CR"/>
        </w:rPr>
        <w:t>Juez</w:t>
      </w:r>
      <w:r w:rsidRPr="00C0711E">
        <w:rPr>
          <w:rFonts w:ascii="Verdana" w:hAnsi="Verdana" w:cs="Verdana"/>
          <w:sz w:val="16"/>
          <w:szCs w:val="16"/>
          <w:lang w:val="es-CO"/>
        </w:rPr>
        <w:t xml:space="preserve"> </w:t>
      </w:r>
      <w:r w:rsidRPr="00C0711E">
        <w:rPr>
          <w:rFonts w:ascii="Verdana" w:hAnsi="Verdana" w:cstheme="minorBidi"/>
          <w:sz w:val="16"/>
          <w:szCs w:val="16"/>
          <w:lang w:val="es-CR"/>
        </w:rPr>
        <w:t>Eduardo</w:t>
      </w:r>
      <w:r>
        <w:rPr>
          <w:rFonts w:ascii="Verdana" w:hAnsi="Verdana" w:cs="Verdana"/>
          <w:sz w:val="16"/>
          <w:szCs w:val="16"/>
          <w:lang w:val="es-CO"/>
        </w:rPr>
        <w:t xml:space="preserve"> Ferrer Mac-</w:t>
      </w:r>
      <w:proofErr w:type="spellStart"/>
      <w:r w:rsidRPr="00C0711E">
        <w:rPr>
          <w:rFonts w:ascii="Verdana" w:hAnsi="Verdana" w:cs="Verdana"/>
          <w:sz w:val="16"/>
          <w:szCs w:val="16"/>
          <w:lang w:val="es-CO"/>
        </w:rPr>
        <w:t>Gregor</w:t>
      </w:r>
      <w:proofErr w:type="spellEnd"/>
      <w:r w:rsidRPr="00C0711E">
        <w:rPr>
          <w:rFonts w:ascii="Verdana" w:hAnsi="Verdana" w:cs="Verdana"/>
          <w:sz w:val="16"/>
          <w:szCs w:val="16"/>
          <w:lang w:val="es-CO"/>
        </w:rPr>
        <w:t xml:space="preserve"> </w:t>
      </w:r>
      <w:proofErr w:type="spellStart"/>
      <w:r w:rsidRPr="00C0711E">
        <w:rPr>
          <w:rFonts w:ascii="Verdana" w:hAnsi="Verdana" w:cs="Verdana"/>
          <w:sz w:val="16"/>
          <w:szCs w:val="16"/>
          <w:lang w:val="es-CO"/>
        </w:rPr>
        <w:t>Poisot</w:t>
      </w:r>
      <w:proofErr w:type="spellEnd"/>
      <w:r w:rsidRPr="00C0711E">
        <w:rPr>
          <w:rFonts w:ascii="Verdana" w:hAnsi="Verdana" w:cs="Verdana"/>
          <w:sz w:val="16"/>
          <w:szCs w:val="16"/>
          <w:lang w:val="es-CO"/>
        </w:rPr>
        <w:t xml:space="preserve"> </w:t>
      </w:r>
      <w:r w:rsidRPr="00C0711E">
        <w:rPr>
          <w:rFonts w:ascii="Verdana" w:hAnsi="Verdana" w:cs="Verdana"/>
          <w:sz w:val="16"/>
          <w:szCs w:val="16"/>
          <w:lang w:val="es-CR"/>
        </w:rPr>
        <w:t>no participó en la deliberación y firma de la presente Resolución por razones de fuerza mayor</w:t>
      </w:r>
      <w:r w:rsidRPr="00C0711E">
        <w:rPr>
          <w:rFonts w:ascii="Verdana" w:hAnsi="Verdana" w:cs="Verdana"/>
          <w:sz w:val="16"/>
          <w:szCs w:val="16"/>
          <w:lang w:val="es-CO"/>
        </w:rPr>
        <w:t>.</w:t>
      </w:r>
    </w:p>
  </w:footnote>
  <w:footnote w:id="2">
    <w:p w14:paraId="7AB50F16" w14:textId="77777777" w:rsidR="00B041E7" w:rsidRDefault="00B041E7" w:rsidP="00221659">
      <w:pPr>
        <w:pStyle w:val="Textonotapie"/>
        <w:tabs>
          <w:tab w:val="left" w:pos="426"/>
          <w:tab w:val="left" w:pos="567"/>
        </w:tabs>
        <w:jc w:val="both"/>
        <w:rPr>
          <w:rFonts w:ascii="Verdana" w:hAnsi="Verdana"/>
          <w:color w:val="000000"/>
          <w:sz w:val="16"/>
          <w:szCs w:val="16"/>
          <w:lang w:val="es-CR"/>
        </w:rPr>
      </w:pPr>
      <w:r>
        <w:rPr>
          <w:rStyle w:val="Refdenotaalpie"/>
          <w:rFonts w:ascii="Verdana" w:hAnsi="Verdana"/>
          <w:color w:val="000000"/>
          <w:sz w:val="16"/>
          <w:szCs w:val="16"/>
        </w:rPr>
        <w:footnoteRef/>
      </w:r>
      <w:r>
        <w:rPr>
          <w:rFonts w:ascii="Verdana" w:hAnsi="Verdana"/>
          <w:color w:val="000000"/>
          <w:sz w:val="16"/>
          <w:szCs w:val="16"/>
          <w:lang w:val="es-CR"/>
        </w:rPr>
        <w:t xml:space="preserve"> </w:t>
      </w:r>
      <w:r>
        <w:rPr>
          <w:rFonts w:ascii="Verdana" w:hAnsi="Verdana"/>
          <w:color w:val="000000"/>
          <w:sz w:val="16"/>
          <w:szCs w:val="16"/>
          <w:lang w:val="es-CR"/>
        </w:rPr>
        <w:tab/>
      </w:r>
      <w:r>
        <w:rPr>
          <w:rFonts w:ascii="Verdana" w:hAnsi="Verdana"/>
          <w:i/>
          <w:color w:val="000000"/>
          <w:sz w:val="16"/>
          <w:szCs w:val="16"/>
          <w:lang w:val="es-CR"/>
        </w:rPr>
        <w:t xml:space="preserve">Cfr. Caso </w:t>
      </w:r>
      <w:r w:rsidR="00E87F70">
        <w:rPr>
          <w:rFonts w:ascii="Verdana" w:hAnsi="Verdana"/>
          <w:i/>
          <w:color w:val="000000"/>
          <w:sz w:val="16"/>
          <w:szCs w:val="16"/>
          <w:lang w:val="es-CR"/>
        </w:rPr>
        <w:t xml:space="preserve">Pueblo Indígena </w:t>
      </w:r>
      <w:proofErr w:type="spellStart"/>
      <w:r w:rsidR="00E87F70">
        <w:rPr>
          <w:rFonts w:ascii="Verdana" w:hAnsi="Verdana"/>
          <w:i/>
          <w:color w:val="000000"/>
          <w:sz w:val="16"/>
          <w:szCs w:val="16"/>
          <w:lang w:val="es-CR"/>
        </w:rPr>
        <w:t>Xucuru</w:t>
      </w:r>
      <w:proofErr w:type="spellEnd"/>
      <w:r w:rsidR="00E87F70">
        <w:rPr>
          <w:rFonts w:ascii="Verdana" w:hAnsi="Verdana"/>
          <w:i/>
          <w:color w:val="000000"/>
          <w:sz w:val="16"/>
          <w:szCs w:val="16"/>
          <w:lang w:val="es-CR"/>
        </w:rPr>
        <w:t xml:space="preserve"> y sus miembros</w:t>
      </w:r>
      <w:r>
        <w:rPr>
          <w:rFonts w:ascii="Verdana" w:hAnsi="Verdana"/>
          <w:i/>
          <w:color w:val="000000"/>
          <w:sz w:val="16"/>
          <w:szCs w:val="16"/>
          <w:lang w:val="es-CR"/>
        </w:rPr>
        <w:t xml:space="preserve"> Vs. Brasil. Excepciones preliminares, Fondo, Reparaciones y Costas</w:t>
      </w:r>
      <w:r>
        <w:rPr>
          <w:rFonts w:ascii="Verdana" w:hAnsi="Verdana"/>
          <w:color w:val="000000"/>
          <w:sz w:val="16"/>
          <w:szCs w:val="16"/>
          <w:lang w:val="es-CR"/>
        </w:rPr>
        <w:t xml:space="preserve">. Sentencia de </w:t>
      </w:r>
      <w:r w:rsidR="00E87F70">
        <w:rPr>
          <w:rFonts w:ascii="Verdana" w:hAnsi="Verdana"/>
          <w:color w:val="000000"/>
          <w:sz w:val="16"/>
          <w:szCs w:val="16"/>
          <w:lang w:val="es-CR"/>
        </w:rPr>
        <w:t>5 de febrero de 2018</w:t>
      </w:r>
      <w:r>
        <w:rPr>
          <w:rFonts w:ascii="Verdana" w:hAnsi="Verdana"/>
          <w:color w:val="000000"/>
          <w:sz w:val="16"/>
          <w:szCs w:val="16"/>
          <w:lang w:val="es-CR"/>
        </w:rPr>
        <w:t>.</w:t>
      </w:r>
      <w:r>
        <w:rPr>
          <w:lang w:val="es-CR"/>
        </w:rPr>
        <w:t xml:space="preserve"> </w:t>
      </w:r>
      <w:r>
        <w:rPr>
          <w:rFonts w:ascii="Verdana" w:hAnsi="Verdana"/>
          <w:color w:val="000000"/>
          <w:sz w:val="16"/>
          <w:szCs w:val="16"/>
          <w:lang w:val="es-CR"/>
        </w:rPr>
        <w:t xml:space="preserve">Serie C No. </w:t>
      </w:r>
      <w:r w:rsidR="002A3534">
        <w:rPr>
          <w:rFonts w:ascii="Verdana" w:hAnsi="Verdana"/>
          <w:color w:val="000000"/>
          <w:sz w:val="16"/>
          <w:szCs w:val="16"/>
          <w:lang w:val="es-CR"/>
        </w:rPr>
        <w:t>346</w:t>
      </w:r>
      <w:r>
        <w:rPr>
          <w:rFonts w:ascii="Verdana" w:hAnsi="Verdana"/>
          <w:color w:val="000000"/>
          <w:sz w:val="16"/>
          <w:szCs w:val="16"/>
          <w:lang w:val="es-CR"/>
        </w:rPr>
        <w:t>.</w:t>
      </w:r>
      <w:r>
        <w:rPr>
          <w:lang w:val="es-CR"/>
        </w:rPr>
        <w:t xml:space="preserve"> </w:t>
      </w:r>
      <w:r>
        <w:rPr>
          <w:rFonts w:ascii="Verdana" w:hAnsi="Verdana"/>
          <w:color w:val="000000"/>
          <w:sz w:val="16"/>
          <w:szCs w:val="16"/>
          <w:lang w:val="es-CR"/>
        </w:rPr>
        <w:t xml:space="preserve">El texto </w:t>
      </w:r>
      <w:r w:rsidR="002A3534">
        <w:rPr>
          <w:rFonts w:ascii="Verdana" w:hAnsi="Verdana"/>
          <w:color w:val="000000"/>
          <w:sz w:val="16"/>
          <w:szCs w:val="16"/>
          <w:lang w:val="es-CR"/>
        </w:rPr>
        <w:t>íntegro</w:t>
      </w:r>
      <w:r>
        <w:rPr>
          <w:rFonts w:ascii="Verdana" w:hAnsi="Verdana"/>
          <w:color w:val="000000"/>
          <w:sz w:val="16"/>
          <w:szCs w:val="16"/>
          <w:lang w:val="es-CR"/>
        </w:rPr>
        <w:t xml:space="preserve"> de la Sentencia se encuentra </w:t>
      </w:r>
      <w:r>
        <w:rPr>
          <w:rFonts w:ascii="Verdana" w:hAnsi="Verdana"/>
          <w:sz w:val="16"/>
          <w:szCs w:val="16"/>
          <w:lang w:val="es-CR"/>
        </w:rPr>
        <w:t>disponible</w:t>
      </w:r>
      <w:r>
        <w:rPr>
          <w:rFonts w:ascii="Verdana" w:hAnsi="Verdana"/>
          <w:color w:val="000000"/>
          <w:sz w:val="16"/>
          <w:szCs w:val="16"/>
          <w:lang w:val="es-CR"/>
        </w:rPr>
        <w:t xml:space="preserve"> en</w:t>
      </w:r>
      <w:r w:rsidRPr="000F21A3">
        <w:rPr>
          <w:rFonts w:ascii="Verdana" w:hAnsi="Verdana"/>
          <w:color w:val="000000"/>
          <w:sz w:val="16"/>
          <w:szCs w:val="16"/>
          <w:lang w:val="es-CR"/>
        </w:rPr>
        <w:t xml:space="preserve">: </w:t>
      </w:r>
      <w:hyperlink r:id="rId1" w:history="1">
        <w:r w:rsidR="002A3534" w:rsidRPr="005F09F7">
          <w:rPr>
            <w:rStyle w:val="Hipervnculo"/>
            <w:rFonts w:ascii="Verdana" w:hAnsi="Verdana"/>
            <w:sz w:val="16"/>
            <w:szCs w:val="16"/>
            <w:lang w:val="es-CR"/>
          </w:rPr>
          <w:t>http://www.corteidh.or.cr/docs/casos/articulos/seriec_346_esp.pdf</w:t>
        </w:r>
      </w:hyperlink>
      <w:r w:rsidRPr="000F21A3">
        <w:rPr>
          <w:rFonts w:ascii="Verdana" w:hAnsi="Verdana"/>
          <w:color w:val="000000"/>
          <w:sz w:val="16"/>
          <w:szCs w:val="16"/>
          <w:lang w:val="es-CR"/>
        </w:rPr>
        <w:t>.</w:t>
      </w:r>
      <w:r>
        <w:rPr>
          <w:rFonts w:ascii="Verdana" w:hAnsi="Verdana"/>
          <w:color w:val="000000"/>
          <w:sz w:val="16"/>
          <w:szCs w:val="16"/>
          <w:lang w:val="es-CR"/>
        </w:rPr>
        <w:t xml:space="preserve"> La Sentencia fue notificada al Estado el 12 de </w:t>
      </w:r>
      <w:r w:rsidR="002A3534">
        <w:rPr>
          <w:rFonts w:ascii="Verdana" w:hAnsi="Verdana"/>
          <w:color w:val="000000"/>
          <w:sz w:val="16"/>
          <w:szCs w:val="16"/>
          <w:lang w:val="es-CR"/>
        </w:rPr>
        <w:t>marzo de 2018</w:t>
      </w:r>
      <w:r>
        <w:rPr>
          <w:rFonts w:ascii="Verdana" w:hAnsi="Verdana"/>
          <w:color w:val="000000"/>
          <w:sz w:val="16"/>
          <w:szCs w:val="16"/>
          <w:lang w:val="es-CR"/>
        </w:rPr>
        <w:t>.</w:t>
      </w:r>
    </w:p>
  </w:footnote>
  <w:footnote w:id="3">
    <w:p w14:paraId="0F10B708" w14:textId="18230728" w:rsidR="00B041E7" w:rsidRDefault="00B041E7" w:rsidP="00221659">
      <w:pPr>
        <w:pStyle w:val="Textonotapie"/>
        <w:tabs>
          <w:tab w:val="left" w:pos="426"/>
          <w:tab w:val="left" w:pos="567"/>
        </w:tabs>
        <w:jc w:val="both"/>
        <w:rPr>
          <w:rFonts w:ascii="Verdana" w:hAnsi="Verdana"/>
          <w:b/>
          <w:color w:val="000000"/>
          <w:sz w:val="16"/>
          <w:szCs w:val="16"/>
          <w:lang w:val="es-CR"/>
        </w:rPr>
      </w:pPr>
      <w:r>
        <w:rPr>
          <w:rStyle w:val="Refdenotaalpie"/>
          <w:rFonts w:ascii="Verdana" w:hAnsi="Verdana"/>
          <w:color w:val="000000"/>
          <w:sz w:val="16"/>
          <w:szCs w:val="16"/>
        </w:rPr>
        <w:footnoteRef/>
      </w:r>
      <w:r>
        <w:rPr>
          <w:rFonts w:ascii="Verdana" w:hAnsi="Verdana"/>
          <w:color w:val="000000"/>
          <w:sz w:val="16"/>
          <w:szCs w:val="16"/>
          <w:lang w:val="es-CR"/>
        </w:rPr>
        <w:t xml:space="preserve"> </w:t>
      </w:r>
      <w:r>
        <w:rPr>
          <w:rFonts w:ascii="Verdana" w:hAnsi="Verdana"/>
          <w:color w:val="000000"/>
          <w:sz w:val="16"/>
          <w:szCs w:val="16"/>
          <w:lang w:val="es-CR"/>
        </w:rPr>
        <w:tab/>
        <w:t>L</w:t>
      </w:r>
      <w:r w:rsidR="00D020D5">
        <w:rPr>
          <w:rFonts w:ascii="Verdana" w:hAnsi="Verdana"/>
          <w:color w:val="000000"/>
          <w:sz w:val="16"/>
          <w:szCs w:val="16"/>
          <w:lang w:val="es-CR"/>
        </w:rPr>
        <w:t xml:space="preserve">as víctimas del presente caso son representadas por </w:t>
      </w:r>
      <w:r w:rsidR="002A3534" w:rsidRPr="002A3534">
        <w:rPr>
          <w:rFonts w:ascii="Verdana" w:hAnsi="Verdana"/>
          <w:color w:val="000000"/>
          <w:sz w:val="16"/>
          <w:szCs w:val="16"/>
          <w:lang w:val="es-CR"/>
        </w:rPr>
        <w:t>el Gabinete de Asesoría Jurídica de las Organizaciones Populares (GAJOP)</w:t>
      </w:r>
      <w:r w:rsidR="003B103B">
        <w:rPr>
          <w:rFonts w:ascii="Verdana" w:hAnsi="Verdana"/>
          <w:color w:val="000000"/>
          <w:sz w:val="16"/>
          <w:szCs w:val="16"/>
          <w:lang w:val="es-CR"/>
        </w:rPr>
        <w:t>,</w:t>
      </w:r>
      <w:r w:rsidR="002A3534" w:rsidRPr="002A3534">
        <w:rPr>
          <w:rFonts w:ascii="Verdana" w:hAnsi="Verdana"/>
          <w:color w:val="000000"/>
          <w:sz w:val="16"/>
          <w:szCs w:val="16"/>
          <w:lang w:val="es-CR"/>
        </w:rPr>
        <w:t xml:space="preserve"> el Consejo Indigenista Misionario (CIMI)</w:t>
      </w:r>
      <w:r w:rsidR="003B103B">
        <w:rPr>
          <w:rFonts w:ascii="Verdana" w:hAnsi="Verdana"/>
          <w:color w:val="000000"/>
          <w:sz w:val="16"/>
          <w:szCs w:val="16"/>
          <w:lang w:val="es-CR"/>
        </w:rPr>
        <w:t xml:space="preserve"> y </w:t>
      </w:r>
      <w:r w:rsidR="002A3534" w:rsidRPr="002A3534">
        <w:rPr>
          <w:rFonts w:ascii="Verdana" w:hAnsi="Verdana"/>
          <w:color w:val="000000"/>
          <w:sz w:val="16"/>
          <w:szCs w:val="16"/>
          <w:lang w:val="es-CR"/>
        </w:rPr>
        <w:t>Justicia Global.</w:t>
      </w:r>
    </w:p>
  </w:footnote>
  <w:footnote w:id="4">
    <w:p w14:paraId="370E5F68" w14:textId="7D2E564F" w:rsidR="000F21A3" w:rsidRPr="005F09F7" w:rsidRDefault="000F21A3" w:rsidP="005F09F7">
      <w:pPr>
        <w:pStyle w:val="Textonotapie"/>
        <w:tabs>
          <w:tab w:val="left" w:pos="426"/>
          <w:tab w:val="left" w:pos="567"/>
        </w:tabs>
        <w:jc w:val="both"/>
        <w:rPr>
          <w:rFonts w:ascii="Verdana" w:hAnsi="Verdana"/>
          <w:sz w:val="16"/>
          <w:szCs w:val="16"/>
          <w:lang w:val="es-AR"/>
        </w:rPr>
      </w:pPr>
      <w:r w:rsidRPr="005F09F7">
        <w:rPr>
          <w:rStyle w:val="Refdenotaalpie"/>
          <w:rFonts w:ascii="Verdana" w:hAnsi="Verdana"/>
          <w:sz w:val="16"/>
          <w:szCs w:val="16"/>
        </w:rPr>
        <w:footnoteRef/>
      </w:r>
      <w:r w:rsidRPr="005F09F7">
        <w:rPr>
          <w:rFonts w:ascii="Verdana" w:hAnsi="Verdana"/>
          <w:sz w:val="16"/>
          <w:szCs w:val="16"/>
          <w:lang w:val="es-AR"/>
        </w:rPr>
        <w:t xml:space="preserve"> </w:t>
      </w:r>
      <w:r w:rsidRPr="005F09F7">
        <w:rPr>
          <w:rFonts w:ascii="Verdana" w:hAnsi="Verdana"/>
          <w:sz w:val="16"/>
          <w:szCs w:val="16"/>
          <w:lang w:val="es-AR"/>
        </w:rPr>
        <w:tab/>
        <w:t xml:space="preserve">El </w:t>
      </w:r>
      <w:r w:rsidRPr="005F09F7">
        <w:rPr>
          <w:rFonts w:ascii="Verdana" w:hAnsi="Verdana"/>
          <w:color w:val="000000"/>
          <w:sz w:val="16"/>
          <w:szCs w:val="16"/>
          <w:lang w:val="es-CR"/>
        </w:rPr>
        <w:t>Estado</w:t>
      </w:r>
      <w:r w:rsidRPr="005F09F7">
        <w:rPr>
          <w:rFonts w:ascii="Verdana" w:hAnsi="Verdana"/>
          <w:sz w:val="16"/>
          <w:szCs w:val="16"/>
          <w:lang w:val="es-AR"/>
        </w:rPr>
        <w:t xml:space="preserve"> no presentó información sobre el cumplimiento de las restantes medidas de reparación dispuestas en la Sentencia. </w:t>
      </w:r>
    </w:p>
  </w:footnote>
  <w:footnote w:id="5">
    <w:p w14:paraId="20850C92" w14:textId="7AFBD51F" w:rsidR="00833E82" w:rsidRPr="00833E82" w:rsidRDefault="00833E82" w:rsidP="005F09F7">
      <w:pPr>
        <w:pStyle w:val="Textonotapie"/>
        <w:tabs>
          <w:tab w:val="left" w:pos="426"/>
          <w:tab w:val="left" w:pos="567"/>
        </w:tabs>
        <w:jc w:val="both"/>
        <w:rPr>
          <w:sz w:val="16"/>
          <w:szCs w:val="16"/>
          <w:lang w:val="es-CR"/>
        </w:rPr>
      </w:pPr>
      <w:r w:rsidRPr="00833E82">
        <w:rPr>
          <w:rStyle w:val="Refdenotaalpie"/>
          <w:rFonts w:ascii="Verdana" w:hAnsi="Verdana"/>
          <w:sz w:val="16"/>
          <w:szCs w:val="16"/>
        </w:rPr>
        <w:footnoteRef/>
      </w:r>
      <w:r w:rsidRPr="00833E82">
        <w:rPr>
          <w:rFonts w:ascii="Verdana" w:hAnsi="Verdana"/>
          <w:sz w:val="16"/>
          <w:szCs w:val="16"/>
          <w:lang w:val="es-CR"/>
        </w:rPr>
        <w:t xml:space="preserve"> </w:t>
      </w:r>
      <w:r w:rsidRPr="00833E82">
        <w:rPr>
          <w:rFonts w:ascii="Verdana" w:hAnsi="Verdana"/>
          <w:sz w:val="16"/>
          <w:szCs w:val="16"/>
          <w:lang w:val="es-CR"/>
        </w:rPr>
        <w:tab/>
        <w:t xml:space="preserve">El Estado </w:t>
      </w:r>
      <w:r w:rsidRPr="00833E82">
        <w:rPr>
          <w:rFonts w:ascii="Verdana" w:hAnsi="Verdana"/>
          <w:color w:val="000000"/>
          <w:sz w:val="16"/>
          <w:szCs w:val="16"/>
          <w:shd w:val="clear" w:color="auto" w:fill="FFFFFF"/>
          <w:lang w:val="es-CR"/>
        </w:rPr>
        <w:t xml:space="preserve">aportó una “minuta de acuerdo de cumplimiento de sentencia” y un “plan de actividades” para la utilización del dinero. </w:t>
      </w:r>
      <w:r>
        <w:rPr>
          <w:rFonts w:ascii="Verdana" w:hAnsi="Verdana"/>
          <w:color w:val="000000"/>
          <w:sz w:val="16"/>
          <w:szCs w:val="16"/>
          <w:shd w:val="clear" w:color="auto" w:fill="FFFFFF"/>
          <w:lang w:val="es-CR"/>
        </w:rPr>
        <w:t xml:space="preserve">Asimismo, explicó que </w:t>
      </w:r>
      <w:r w:rsidRPr="00833E82">
        <w:rPr>
          <w:rFonts w:ascii="Verdana" w:hAnsi="Verdana"/>
          <w:color w:val="000000"/>
          <w:sz w:val="16"/>
          <w:szCs w:val="16"/>
          <w:shd w:val="clear" w:color="auto" w:fill="FFFFFF"/>
          <w:lang w:val="es-CR"/>
        </w:rPr>
        <w:t>“la creación de cualquier fondo en Brasil exige que su constitución se establezca a través de un proyecto de ley”, lo cual “demandaría más tiempo, teniendo en cuenta el trámite de [dicho] proyecto”</w:t>
      </w:r>
      <w:r>
        <w:rPr>
          <w:rFonts w:ascii="Verdana" w:hAnsi="Verdana"/>
          <w:color w:val="000000"/>
          <w:sz w:val="16"/>
          <w:szCs w:val="16"/>
          <w:shd w:val="clear" w:color="auto" w:fill="FFFFFF"/>
          <w:lang w:val="es-CR"/>
        </w:rPr>
        <w:t xml:space="preserve">. </w:t>
      </w:r>
    </w:p>
  </w:footnote>
  <w:footnote w:id="6">
    <w:p w14:paraId="0F4A6116" w14:textId="77777777" w:rsidR="00B041E7" w:rsidRDefault="00B041E7" w:rsidP="00221659">
      <w:pPr>
        <w:pStyle w:val="Textonotapie"/>
        <w:tabs>
          <w:tab w:val="left" w:pos="426"/>
          <w:tab w:val="left" w:pos="567"/>
        </w:tabs>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 xml:space="preserve">Facultad que además </w:t>
      </w:r>
      <w:r>
        <w:rPr>
          <w:rFonts w:ascii="Verdana" w:hAnsi="Verdana"/>
          <w:sz w:val="16"/>
          <w:szCs w:val="16"/>
          <w:lang w:val="es-ES"/>
        </w:rPr>
        <w:t xml:space="preserve">se desprende de lo dispuesto en los artículos 33, 62.1, 62.3 y 65 de la Convención Americana y </w:t>
      </w:r>
      <w:r>
        <w:rPr>
          <w:rFonts w:ascii="Verdana" w:hAnsi="Verdana"/>
          <w:sz w:val="16"/>
          <w:szCs w:val="16"/>
          <w:lang w:val="es-CR"/>
        </w:rPr>
        <w:t>30 de su Estatuto y se encuentra regulada en el artículo 69 de su Reglamento.</w:t>
      </w:r>
    </w:p>
  </w:footnote>
  <w:footnote w:id="7">
    <w:p w14:paraId="337B3ECB" w14:textId="69E6A080" w:rsidR="00B041E7" w:rsidRPr="00274E63" w:rsidRDefault="00B041E7" w:rsidP="00221659">
      <w:pPr>
        <w:pStyle w:val="Textonotapie"/>
        <w:tabs>
          <w:tab w:val="left" w:pos="426"/>
          <w:tab w:val="left" w:pos="567"/>
        </w:tabs>
        <w:jc w:val="both"/>
        <w:rPr>
          <w:rFonts w:ascii="Verdana" w:hAnsi="Verdana"/>
          <w:sz w:val="16"/>
          <w:lang w:val="es-CR"/>
        </w:rPr>
      </w:pPr>
      <w:r>
        <w:rPr>
          <w:rStyle w:val="Refdenotaalpie"/>
        </w:rPr>
        <w:footnoteRef/>
      </w:r>
      <w:r>
        <w:rPr>
          <w:lang w:val="es-CR"/>
        </w:rPr>
        <w:t xml:space="preserve"> </w:t>
      </w:r>
      <w:r>
        <w:rPr>
          <w:lang w:val="es-CR"/>
        </w:rPr>
        <w:tab/>
      </w:r>
      <w:r>
        <w:rPr>
          <w:rFonts w:ascii="Verdana" w:hAnsi="Verdana"/>
          <w:i/>
          <w:sz w:val="16"/>
          <w:lang w:val="es-CR"/>
        </w:rPr>
        <w:t>Cfr</w:t>
      </w:r>
      <w:r>
        <w:rPr>
          <w:rFonts w:ascii="Verdana" w:hAnsi="Verdana"/>
          <w:sz w:val="16"/>
          <w:lang w:val="es-CR"/>
        </w:rPr>
        <w:t xml:space="preserve">. </w:t>
      </w:r>
      <w:r w:rsidRPr="005F09F7">
        <w:rPr>
          <w:rFonts w:ascii="Verdana" w:hAnsi="Verdana"/>
          <w:i/>
          <w:sz w:val="16"/>
          <w:lang w:val="es-CR"/>
        </w:rPr>
        <w:t xml:space="preserve">Caso </w:t>
      </w:r>
      <w:r w:rsidRPr="005F09F7">
        <w:rPr>
          <w:rFonts w:ascii="Verdana" w:hAnsi="Verdana"/>
          <w:i/>
          <w:sz w:val="16"/>
          <w:szCs w:val="16"/>
          <w:lang w:val="es-ES"/>
        </w:rPr>
        <w:t>Cinco</w:t>
      </w:r>
      <w:r w:rsidRPr="005F09F7">
        <w:rPr>
          <w:rFonts w:ascii="Verdana" w:hAnsi="Verdana"/>
          <w:i/>
          <w:sz w:val="16"/>
          <w:lang w:val="es-CR"/>
        </w:rPr>
        <w:t xml:space="preserve"> Pensionistas Vs. Perú. Supervisión de cumplimiento de Sentencia</w:t>
      </w:r>
      <w:r w:rsidRPr="00157638">
        <w:rPr>
          <w:rFonts w:ascii="Verdana" w:hAnsi="Verdana"/>
          <w:sz w:val="16"/>
          <w:lang w:val="es-CR"/>
        </w:rPr>
        <w:t xml:space="preserve">. Resolución de la Corte de 17 de noviembre de 2004, Considerando 5, </w:t>
      </w:r>
      <w:r w:rsidRPr="00274E63">
        <w:rPr>
          <w:rFonts w:ascii="Verdana" w:hAnsi="Verdana"/>
          <w:sz w:val="16"/>
          <w:lang w:val="es-CR"/>
        </w:rPr>
        <w:t xml:space="preserve">y </w:t>
      </w:r>
      <w:r w:rsidR="008B5B0D">
        <w:rPr>
          <w:rFonts w:ascii="Verdana" w:hAnsi="Verdana"/>
          <w:i/>
          <w:sz w:val="16"/>
          <w:szCs w:val="16"/>
          <w:lang w:val="es-AR"/>
        </w:rPr>
        <w:t xml:space="preserve">Caso Carvajal </w:t>
      </w:r>
      <w:proofErr w:type="spellStart"/>
      <w:r w:rsidR="008B5B0D">
        <w:rPr>
          <w:rFonts w:ascii="Verdana" w:hAnsi="Verdana"/>
          <w:i/>
          <w:sz w:val="16"/>
          <w:szCs w:val="16"/>
          <w:lang w:val="es-AR"/>
        </w:rPr>
        <w:t>Carvajal</w:t>
      </w:r>
      <w:proofErr w:type="spellEnd"/>
      <w:r w:rsidR="008B5B0D">
        <w:rPr>
          <w:rFonts w:ascii="Verdana" w:hAnsi="Verdana"/>
          <w:i/>
          <w:sz w:val="16"/>
          <w:szCs w:val="16"/>
          <w:lang w:val="es-AR"/>
        </w:rPr>
        <w:t xml:space="preserve"> y otros Vs. Colombia. Supervisión de cumplimiento de Sentencia.</w:t>
      </w:r>
      <w:r w:rsidR="008B5B0D">
        <w:rPr>
          <w:rFonts w:ascii="Verdana" w:hAnsi="Verdana"/>
          <w:sz w:val="16"/>
          <w:szCs w:val="16"/>
          <w:lang w:val="es-AR"/>
        </w:rPr>
        <w:t xml:space="preserve"> Resolución de la Corte Interamericana de Derechos Humanos de 7 de octubre de 2019, Considerando 2</w:t>
      </w:r>
      <w:r w:rsidRPr="00274E63">
        <w:rPr>
          <w:rFonts w:ascii="Verdana" w:hAnsi="Verdana"/>
          <w:sz w:val="16"/>
          <w:lang w:val="es-CR"/>
        </w:rPr>
        <w:t>.</w:t>
      </w:r>
    </w:p>
  </w:footnote>
  <w:footnote w:id="8">
    <w:p w14:paraId="1A24B542" w14:textId="4FA84928" w:rsidR="00B041E7" w:rsidRDefault="00B041E7" w:rsidP="00221659">
      <w:pPr>
        <w:pStyle w:val="Textonotapie"/>
        <w:tabs>
          <w:tab w:val="left" w:pos="426"/>
          <w:tab w:val="left" w:pos="567"/>
        </w:tabs>
        <w:jc w:val="both"/>
        <w:rPr>
          <w:lang w:val="es-CR"/>
        </w:rPr>
      </w:pPr>
      <w:r w:rsidRPr="00431A4B">
        <w:rPr>
          <w:rStyle w:val="Refdenotaalpie"/>
        </w:rPr>
        <w:footnoteRef/>
      </w:r>
      <w:r w:rsidRPr="00431A4B">
        <w:rPr>
          <w:lang w:val="es-CR"/>
        </w:rPr>
        <w:t xml:space="preserve"> </w:t>
      </w:r>
      <w:r w:rsidRPr="00431A4B">
        <w:rPr>
          <w:lang w:val="es-CR"/>
        </w:rPr>
        <w:tab/>
      </w:r>
      <w:r w:rsidRPr="00431A4B">
        <w:rPr>
          <w:rFonts w:ascii="Verdana" w:hAnsi="Verdana"/>
          <w:i/>
          <w:sz w:val="16"/>
          <w:lang w:val="es-CR"/>
        </w:rPr>
        <w:t>Cfr</w:t>
      </w:r>
      <w:r w:rsidRPr="00431A4B">
        <w:rPr>
          <w:rFonts w:ascii="Verdana" w:hAnsi="Verdana"/>
          <w:sz w:val="16"/>
          <w:lang w:val="es-CR"/>
        </w:rPr>
        <w:t xml:space="preserve">. </w:t>
      </w:r>
      <w:r w:rsidRPr="005F09F7">
        <w:rPr>
          <w:rFonts w:ascii="Verdana" w:hAnsi="Verdana"/>
          <w:i/>
          <w:sz w:val="16"/>
          <w:szCs w:val="16"/>
          <w:lang w:val="es-ES"/>
        </w:rPr>
        <w:t>Caso</w:t>
      </w:r>
      <w:r w:rsidRPr="005F09F7">
        <w:rPr>
          <w:rFonts w:ascii="Verdana" w:hAnsi="Verdana"/>
          <w:i/>
          <w:sz w:val="16"/>
          <w:lang w:val="es-CR"/>
        </w:rPr>
        <w:t xml:space="preserve"> </w:t>
      </w:r>
      <w:proofErr w:type="spellStart"/>
      <w:r w:rsidRPr="005F09F7">
        <w:rPr>
          <w:rFonts w:ascii="Verdana" w:hAnsi="Verdana"/>
          <w:i/>
          <w:sz w:val="16"/>
          <w:lang w:val="es-CR"/>
        </w:rPr>
        <w:t>Ivcher</w:t>
      </w:r>
      <w:proofErr w:type="spellEnd"/>
      <w:r w:rsidRPr="005F09F7">
        <w:rPr>
          <w:rFonts w:ascii="Verdana" w:hAnsi="Verdana"/>
          <w:i/>
          <w:sz w:val="16"/>
          <w:lang w:val="es-CR"/>
        </w:rPr>
        <w:t xml:space="preserve"> </w:t>
      </w:r>
      <w:proofErr w:type="spellStart"/>
      <w:r w:rsidRPr="005F09F7">
        <w:rPr>
          <w:rFonts w:ascii="Verdana" w:hAnsi="Verdana"/>
          <w:i/>
          <w:sz w:val="16"/>
          <w:lang w:val="es-CR"/>
        </w:rPr>
        <w:t>Bronstein</w:t>
      </w:r>
      <w:proofErr w:type="spellEnd"/>
      <w:r w:rsidRPr="005F09F7">
        <w:rPr>
          <w:rFonts w:ascii="Verdana" w:hAnsi="Verdana"/>
          <w:i/>
          <w:sz w:val="16"/>
          <w:lang w:val="es-CR"/>
        </w:rPr>
        <w:t xml:space="preserve"> Vs. Perú. Competencia</w:t>
      </w:r>
      <w:r w:rsidRPr="00431A4B">
        <w:rPr>
          <w:rFonts w:ascii="Verdana" w:hAnsi="Verdana"/>
          <w:sz w:val="16"/>
          <w:lang w:val="es-CR"/>
        </w:rPr>
        <w:t xml:space="preserve">. Sentencia de la Corte Interamericana de Derechos Humanos de 24 de septiembre de 1999. Serie C No. 54, párr. 37, y </w:t>
      </w:r>
      <w:r w:rsidR="008B5B0D">
        <w:rPr>
          <w:rFonts w:ascii="Verdana" w:hAnsi="Verdana"/>
          <w:i/>
          <w:sz w:val="16"/>
          <w:szCs w:val="16"/>
          <w:lang w:val="es-AR"/>
        </w:rPr>
        <w:t xml:space="preserve">Caso Carvajal </w:t>
      </w:r>
      <w:proofErr w:type="spellStart"/>
      <w:r w:rsidR="008B5B0D">
        <w:rPr>
          <w:rFonts w:ascii="Verdana" w:hAnsi="Verdana"/>
          <w:i/>
          <w:sz w:val="16"/>
          <w:szCs w:val="16"/>
          <w:lang w:val="es-AR"/>
        </w:rPr>
        <w:t>Carvajal</w:t>
      </w:r>
      <w:proofErr w:type="spellEnd"/>
      <w:r w:rsidR="008B5B0D">
        <w:rPr>
          <w:rFonts w:ascii="Verdana" w:hAnsi="Verdana"/>
          <w:i/>
          <w:sz w:val="16"/>
          <w:szCs w:val="16"/>
          <w:lang w:val="es-AR"/>
        </w:rPr>
        <w:t xml:space="preserve"> y otros Vs. Colombia</w:t>
      </w:r>
      <w:r w:rsidR="008B5B0D" w:rsidRPr="005F09F7">
        <w:rPr>
          <w:rFonts w:ascii="Verdana" w:hAnsi="Verdana"/>
          <w:sz w:val="16"/>
          <w:szCs w:val="16"/>
          <w:lang w:val="es-AR"/>
        </w:rPr>
        <w:t>,</w:t>
      </w:r>
      <w:r w:rsidR="008B5B0D">
        <w:rPr>
          <w:rFonts w:ascii="Verdana" w:hAnsi="Verdana"/>
          <w:i/>
          <w:sz w:val="16"/>
          <w:szCs w:val="16"/>
          <w:lang w:val="es-AR"/>
        </w:rPr>
        <w:t xml:space="preserve"> supra</w:t>
      </w:r>
      <w:r w:rsidR="008B5B0D">
        <w:rPr>
          <w:rFonts w:ascii="Verdana" w:hAnsi="Verdana"/>
          <w:sz w:val="16"/>
          <w:szCs w:val="16"/>
          <w:lang w:val="es-AR"/>
        </w:rPr>
        <w:t>, Considerando 2</w:t>
      </w:r>
      <w:r w:rsidRPr="00274E63">
        <w:rPr>
          <w:rFonts w:ascii="Verdana" w:hAnsi="Verdana"/>
          <w:sz w:val="16"/>
          <w:lang w:val="es-CR"/>
        </w:rPr>
        <w:t>.</w:t>
      </w:r>
    </w:p>
  </w:footnote>
  <w:footnote w:id="9">
    <w:p w14:paraId="22258700" w14:textId="7C789884" w:rsidR="008B5B0D" w:rsidRPr="005F09F7" w:rsidRDefault="008B5B0D" w:rsidP="005F09F7">
      <w:pPr>
        <w:pStyle w:val="Textonotapie"/>
        <w:tabs>
          <w:tab w:val="left" w:pos="426"/>
          <w:tab w:val="left" w:pos="567"/>
        </w:tabs>
        <w:jc w:val="both"/>
        <w:rPr>
          <w:rFonts w:ascii="Verdana" w:hAnsi="Verdana"/>
          <w:sz w:val="16"/>
          <w:szCs w:val="16"/>
          <w:lang w:val="es-AR"/>
        </w:rPr>
      </w:pPr>
      <w:r w:rsidRPr="005F09F7">
        <w:rPr>
          <w:rStyle w:val="Refdenotaalpie"/>
          <w:rFonts w:ascii="Verdana" w:hAnsi="Verdana"/>
          <w:sz w:val="16"/>
          <w:szCs w:val="16"/>
        </w:rPr>
        <w:footnoteRef/>
      </w:r>
      <w:r w:rsidRPr="005F09F7">
        <w:rPr>
          <w:rFonts w:ascii="Verdana" w:hAnsi="Verdana"/>
          <w:sz w:val="16"/>
          <w:szCs w:val="16"/>
          <w:lang w:val="es-AR"/>
        </w:rPr>
        <w:t xml:space="preserve"> </w:t>
      </w:r>
      <w:r w:rsidRPr="005F09F7">
        <w:rPr>
          <w:rFonts w:ascii="Verdana" w:hAnsi="Verdana"/>
          <w:sz w:val="16"/>
          <w:szCs w:val="16"/>
          <w:lang w:val="es-AR"/>
        </w:rPr>
        <w:tab/>
        <w:t xml:space="preserve">Los </w:t>
      </w:r>
      <w:r w:rsidRPr="005F09F7">
        <w:rPr>
          <w:rFonts w:ascii="Verdana" w:hAnsi="Verdana"/>
          <w:sz w:val="16"/>
          <w:szCs w:val="16"/>
          <w:lang w:val="es-CR"/>
        </w:rPr>
        <w:t>representantes</w:t>
      </w:r>
      <w:r>
        <w:rPr>
          <w:rFonts w:ascii="Verdana" w:hAnsi="Verdana"/>
          <w:sz w:val="16"/>
          <w:szCs w:val="16"/>
          <w:lang w:val="es-CR"/>
        </w:rPr>
        <w:t xml:space="preserve"> no controvirtieron la información proporcionada por el Estado. La Comisión, por su parte, </w:t>
      </w:r>
      <w:r w:rsidR="00C40250">
        <w:rPr>
          <w:rFonts w:ascii="Verdana" w:hAnsi="Verdana"/>
          <w:sz w:val="16"/>
          <w:szCs w:val="16"/>
          <w:lang w:val="es-CR"/>
        </w:rPr>
        <w:t xml:space="preserve">consideró que se podría </w:t>
      </w:r>
      <w:r>
        <w:rPr>
          <w:rFonts w:ascii="Verdana" w:hAnsi="Verdana"/>
          <w:sz w:val="16"/>
          <w:szCs w:val="16"/>
          <w:lang w:val="es-CR"/>
        </w:rPr>
        <w:t xml:space="preserve">“dar por cumplido” este punto resolutivo. </w:t>
      </w:r>
      <w:r>
        <w:rPr>
          <w:rFonts w:ascii="Verdana" w:hAnsi="Verdana"/>
          <w:i/>
          <w:sz w:val="16"/>
          <w:szCs w:val="16"/>
          <w:lang w:val="es-CR"/>
        </w:rPr>
        <w:t xml:space="preserve">Cfr. </w:t>
      </w:r>
      <w:r>
        <w:rPr>
          <w:rFonts w:ascii="Verdana" w:hAnsi="Verdana"/>
          <w:sz w:val="16"/>
          <w:szCs w:val="16"/>
          <w:lang w:val="es-CR"/>
        </w:rPr>
        <w:t>Escrito de observaciones de los representantes de 23 de abril de 2019 y escrito de observaciones de la Comisión de 8 de julio de 2019.</w:t>
      </w:r>
    </w:p>
  </w:footnote>
  <w:footnote w:id="10">
    <w:p w14:paraId="0D4A71B5" w14:textId="3C40361D" w:rsidR="002A3534" w:rsidRPr="009E2368" w:rsidRDefault="002A3534" w:rsidP="00221659">
      <w:pPr>
        <w:pStyle w:val="Textonotapie"/>
        <w:tabs>
          <w:tab w:val="left" w:pos="426"/>
          <w:tab w:val="left" w:pos="567"/>
        </w:tabs>
        <w:jc w:val="both"/>
        <w:rPr>
          <w:rFonts w:ascii="Verdana" w:hAnsi="Verdana"/>
          <w:i/>
          <w:sz w:val="16"/>
          <w:szCs w:val="16"/>
          <w:lang w:val="es-CR"/>
        </w:rPr>
      </w:pPr>
      <w:r w:rsidRPr="009E2368">
        <w:rPr>
          <w:rStyle w:val="Refdenotaalpie"/>
          <w:rFonts w:ascii="Verdana" w:hAnsi="Verdana"/>
          <w:sz w:val="16"/>
          <w:szCs w:val="16"/>
        </w:rPr>
        <w:footnoteRef/>
      </w:r>
      <w:r w:rsidRPr="009E2368">
        <w:rPr>
          <w:rFonts w:ascii="Verdana" w:hAnsi="Verdana"/>
          <w:sz w:val="16"/>
          <w:szCs w:val="16"/>
          <w:lang w:val="es-CR"/>
        </w:rPr>
        <w:t xml:space="preserve"> </w:t>
      </w:r>
      <w:r w:rsidRPr="009E2368">
        <w:rPr>
          <w:rFonts w:ascii="Verdana" w:hAnsi="Verdana"/>
          <w:sz w:val="16"/>
          <w:szCs w:val="16"/>
          <w:lang w:val="es-CR"/>
        </w:rPr>
        <w:tab/>
      </w:r>
      <w:r w:rsidR="00675F8C" w:rsidRPr="009E2368">
        <w:rPr>
          <w:rFonts w:ascii="Verdana" w:hAnsi="Verdana"/>
          <w:i/>
          <w:sz w:val="16"/>
          <w:szCs w:val="16"/>
          <w:lang w:val="es-CR"/>
        </w:rPr>
        <w:t>Cfr</w:t>
      </w:r>
      <w:r w:rsidR="00675F8C" w:rsidRPr="009E2368">
        <w:rPr>
          <w:rFonts w:ascii="Verdana" w:hAnsi="Verdana"/>
          <w:sz w:val="16"/>
          <w:szCs w:val="16"/>
          <w:lang w:val="es-CR"/>
        </w:rPr>
        <w:t xml:space="preserve">. Copia de la publicación realizada en </w:t>
      </w:r>
      <w:r w:rsidR="005A055E">
        <w:rPr>
          <w:rFonts w:ascii="Verdana" w:hAnsi="Verdana"/>
          <w:sz w:val="16"/>
          <w:szCs w:val="16"/>
          <w:lang w:val="es-CR"/>
        </w:rPr>
        <w:t>el Diario Oficial de la Unión</w:t>
      </w:r>
      <w:r w:rsidR="00675F8C" w:rsidRPr="009E2368">
        <w:rPr>
          <w:rFonts w:ascii="Verdana" w:hAnsi="Verdana"/>
          <w:sz w:val="16"/>
          <w:szCs w:val="16"/>
          <w:lang w:val="es-CR"/>
        </w:rPr>
        <w:t xml:space="preserve"> de 13 de se</w:t>
      </w:r>
      <w:r w:rsidR="00641738">
        <w:rPr>
          <w:rFonts w:ascii="Verdana" w:hAnsi="Verdana"/>
          <w:sz w:val="16"/>
          <w:szCs w:val="16"/>
          <w:lang w:val="es-CR"/>
        </w:rPr>
        <w:t>p</w:t>
      </w:r>
      <w:r w:rsidR="00675F8C" w:rsidRPr="009E2368">
        <w:rPr>
          <w:rFonts w:ascii="Verdana" w:hAnsi="Verdana"/>
          <w:sz w:val="16"/>
          <w:szCs w:val="16"/>
          <w:lang w:val="es-CR"/>
        </w:rPr>
        <w:t>tiembre de 2018</w:t>
      </w:r>
      <w:r w:rsidR="00EC2866">
        <w:rPr>
          <w:rFonts w:ascii="Verdana" w:hAnsi="Verdana"/>
          <w:sz w:val="16"/>
          <w:szCs w:val="16"/>
          <w:lang w:val="es-CR"/>
        </w:rPr>
        <w:t xml:space="preserve">, edición </w:t>
      </w:r>
      <w:r w:rsidR="00EC2866" w:rsidRPr="005B399F">
        <w:rPr>
          <w:rFonts w:ascii="Verdana" w:hAnsi="Verdana"/>
          <w:sz w:val="16"/>
          <w:szCs w:val="16"/>
          <w:lang w:val="es-CR"/>
        </w:rPr>
        <w:t>N° 177</w:t>
      </w:r>
      <w:r w:rsidR="00675F8C" w:rsidRPr="009E2368">
        <w:rPr>
          <w:rFonts w:ascii="Verdana" w:hAnsi="Verdana"/>
          <w:sz w:val="16"/>
          <w:szCs w:val="16"/>
          <w:lang w:val="es-CR"/>
        </w:rPr>
        <w:t xml:space="preserve"> (Anex</w:t>
      </w:r>
      <w:r w:rsidR="00641738">
        <w:rPr>
          <w:rFonts w:ascii="Verdana" w:hAnsi="Verdana"/>
          <w:sz w:val="16"/>
          <w:szCs w:val="16"/>
          <w:lang w:val="es-CR"/>
        </w:rPr>
        <w:t>o</w:t>
      </w:r>
      <w:r w:rsidR="00675F8C" w:rsidRPr="009E2368">
        <w:rPr>
          <w:rFonts w:ascii="Verdana" w:hAnsi="Verdana"/>
          <w:sz w:val="16"/>
          <w:szCs w:val="16"/>
          <w:lang w:val="es-CR"/>
        </w:rPr>
        <w:t xml:space="preserve"> 3 al informe estatal de 30 de noviembre de 2018).</w:t>
      </w:r>
    </w:p>
  </w:footnote>
  <w:footnote w:id="11">
    <w:p w14:paraId="7BF8E03A" w14:textId="3D7D9EB2" w:rsidR="00675F8C" w:rsidRPr="00675F8C" w:rsidRDefault="00675F8C" w:rsidP="00221659">
      <w:pPr>
        <w:pStyle w:val="Textonotapie"/>
        <w:tabs>
          <w:tab w:val="left" w:pos="426"/>
          <w:tab w:val="left" w:pos="567"/>
        </w:tabs>
        <w:jc w:val="both"/>
        <w:rPr>
          <w:lang w:val="es-CR"/>
        </w:rPr>
      </w:pPr>
      <w:r w:rsidRPr="009E2368">
        <w:rPr>
          <w:rStyle w:val="Refdenotaalpie"/>
          <w:rFonts w:ascii="Verdana" w:hAnsi="Verdana"/>
          <w:sz w:val="16"/>
          <w:szCs w:val="16"/>
        </w:rPr>
        <w:footnoteRef/>
      </w:r>
      <w:r w:rsidRPr="009E2368">
        <w:rPr>
          <w:rFonts w:ascii="Verdana" w:hAnsi="Verdana"/>
          <w:sz w:val="16"/>
          <w:szCs w:val="16"/>
          <w:lang w:val="es-CR"/>
        </w:rPr>
        <w:t xml:space="preserve"> </w:t>
      </w:r>
      <w:r w:rsidR="00F47C6D" w:rsidRPr="009E2368">
        <w:rPr>
          <w:rFonts w:ascii="Verdana" w:hAnsi="Verdana"/>
          <w:sz w:val="16"/>
          <w:szCs w:val="16"/>
          <w:lang w:val="es-CR"/>
        </w:rPr>
        <w:tab/>
      </w:r>
      <w:r w:rsidRPr="009E2368">
        <w:rPr>
          <w:rFonts w:ascii="Verdana" w:hAnsi="Verdana"/>
          <w:sz w:val="16"/>
          <w:szCs w:val="16"/>
          <w:lang w:val="es-CR"/>
        </w:rPr>
        <w:t xml:space="preserve">El Estado informó que </w:t>
      </w:r>
      <w:r w:rsidR="00722FB2" w:rsidRPr="009E2368">
        <w:rPr>
          <w:rFonts w:ascii="Verdana" w:hAnsi="Verdana"/>
          <w:sz w:val="16"/>
          <w:szCs w:val="16"/>
          <w:lang w:val="es-CR"/>
        </w:rPr>
        <w:t xml:space="preserve">el texto íntegro de la Sentencia </w:t>
      </w:r>
      <w:r w:rsidR="00D661BB" w:rsidRPr="009E2368">
        <w:rPr>
          <w:rFonts w:ascii="Verdana" w:hAnsi="Verdana"/>
          <w:sz w:val="16"/>
          <w:szCs w:val="16"/>
          <w:lang w:val="es-CR"/>
        </w:rPr>
        <w:t xml:space="preserve">se podía consultar: (i) </w:t>
      </w:r>
      <w:r w:rsidR="00722FB2" w:rsidRPr="009E2368">
        <w:rPr>
          <w:rFonts w:ascii="Verdana" w:hAnsi="Verdana"/>
          <w:sz w:val="16"/>
          <w:szCs w:val="16"/>
          <w:lang w:val="es-CR"/>
        </w:rPr>
        <w:t xml:space="preserve">desde el 5 de julio de 2018 en </w:t>
      </w:r>
      <w:r w:rsidR="00F47C6D" w:rsidRPr="009E2368">
        <w:rPr>
          <w:rFonts w:ascii="Verdana" w:hAnsi="Verdana"/>
          <w:sz w:val="16"/>
          <w:szCs w:val="16"/>
          <w:lang w:val="es-CR"/>
        </w:rPr>
        <w:t>el sitio</w:t>
      </w:r>
      <w:r w:rsidR="00C40250">
        <w:rPr>
          <w:rFonts w:ascii="Verdana" w:hAnsi="Verdana"/>
          <w:sz w:val="16"/>
          <w:szCs w:val="16"/>
          <w:lang w:val="es-CR"/>
        </w:rPr>
        <w:t xml:space="preserve"> web</w:t>
      </w:r>
      <w:r w:rsidR="00F47C6D" w:rsidRPr="009E2368">
        <w:rPr>
          <w:rFonts w:ascii="Verdana" w:hAnsi="Verdana"/>
          <w:sz w:val="16"/>
          <w:szCs w:val="16"/>
          <w:lang w:val="es-CR"/>
        </w:rPr>
        <w:t xml:space="preserve"> del Ministerio de Derechos Humanos </w:t>
      </w:r>
      <w:r w:rsidRPr="009E2368">
        <w:rPr>
          <w:rFonts w:ascii="Verdana" w:hAnsi="Verdana"/>
          <w:sz w:val="16"/>
          <w:szCs w:val="16"/>
          <w:lang w:val="es-CR"/>
        </w:rPr>
        <w:t>en el enlace</w:t>
      </w:r>
      <w:r w:rsidR="00F47C6D" w:rsidRPr="009E2368">
        <w:rPr>
          <w:rFonts w:ascii="Verdana" w:hAnsi="Verdana"/>
          <w:sz w:val="16"/>
          <w:szCs w:val="16"/>
          <w:lang w:val="es-CR"/>
        </w:rPr>
        <w:t xml:space="preserve"> </w:t>
      </w:r>
      <w:hyperlink r:id="rId2" w:history="1">
        <w:r w:rsidR="00CF0368" w:rsidRPr="000F78FE">
          <w:rPr>
            <w:rStyle w:val="Hipervnculo"/>
            <w:rFonts w:ascii="Verdana" w:hAnsi="Verdana"/>
            <w:bCs/>
            <w:sz w:val="16"/>
            <w:szCs w:val="16"/>
            <w:lang w:val="es-CR"/>
          </w:rPr>
          <w:t>http:/</w:t>
        </w:r>
        <w:r w:rsidR="00CF0368" w:rsidRPr="000F78FE">
          <w:rPr>
            <w:rStyle w:val="Hipervnculo"/>
            <w:rFonts w:ascii="Verdana" w:hAnsi="Verdana"/>
            <w:sz w:val="16"/>
            <w:szCs w:val="16"/>
            <w:lang w:val="es-CR"/>
          </w:rPr>
          <w:t>/</w:t>
        </w:r>
        <w:r w:rsidR="00CF0368" w:rsidRPr="000F78FE">
          <w:rPr>
            <w:rStyle w:val="Hipervnculo"/>
            <w:rFonts w:ascii="Verdana" w:hAnsi="Verdana"/>
            <w:bCs/>
            <w:sz w:val="16"/>
            <w:szCs w:val="16"/>
            <w:lang w:val="es-CR"/>
          </w:rPr>
          <w:t>www.mdh.gov.br/navegue-por-temas/atuacaointernacional/sentencaxucuru.pd</w:t>
        </w:r>
        <w:r w:rsidR="00CF0368" w:rsidRPr="000F78FE">
          <w:rPr>
            <w:rStyle w:val="Hipervnculo"/>
            <w:rFonts w:ascii="Verdana" w:hAnsi="Verdana"/>
            <w:sz w:val="16"/>
            <w:szCs w:val="16"/>
            <w:lang w:val="es-CR"/>
          </w:rPr>
          <w:t>f</w:t>
        </w:r>
      </w:hyperlink>
      <w:r w:rsidR="00D661BB" w:rsidRPr="005F09F7">
        <w:rPr>
          <w:rStyle w:val="Hipervnculo"/>
          <w:rFonts w:ascii="Verdana" w:hAnsi="Verdana"/>
          <w:color w:val="auto"/>
          <w:sz w:val="16"/>
          <w:szCs w:val="16"/>
          <w:u w:val="none"/>
          <w:lang w:val="es-CR"/>
        </w:rPr>
        <w:t xml:space="preserve">, y (ii) </w:t>
      </w:r>
      <w:r w:rsidR="00D661BB" w:rsidRPr="009E2368">
        <w:rPr>
          <w:rFonts w:ascii="Verdana" w:hAnsi="Verdana"/>
          <w:bCs/>
          <w:sz w:val="16"/>
          <w:szCs w:val="16"/>
          <w:lang w:val="es-CR"/>
        </w:rPr>
        <w:t>desde el 28 de agosto de 2018</w:t>
      </w:r>
      <w:r w:rsidR="00D661BB" w:rsidRPr="00CF0368">
        <w:rPr>
          <w:rFonts w:ascii="Verdana" w:hAnsi="Verdana"/>
          <w:bCs/>
          <w:sz w:val="16"/>
          <w:szCs w:val="16"/>
          <w:lang w:val="es-CR"/>
        </w:rPr>
        <w:t xml:space="preserve"> </w:t>
      </w:r>
      <w:r w:rsidR="00D661BB" w:rsidRPr="009E2368">
        <w:rPr>
          <w:rFonts w:ascii="Verdana" w:hAnsi="Verdana"/>
          <w:bCs/>
          <w:sz w:val="16"/>
          <w:szCs w:val="16"/>
          <w:lang w:val="es-CR"/>
        </w:rPr>
        <w:t>en</w:t>
      </w:r>
      <w:r w:rsidR="00C40250">
        <w:rPr>
          <w:rFonts w:ascii="Verdana" w:hAnsi="Verdana"/>
          <w:bCs/>
          <w:sz w:val="16"/>
          <w:szCs w:val="16"/>
          <w:lang w:val="es-CR"/>
        </w:rPr>
        <w:t xml:space="preserve"> el sitio</w:t>
      </w:r>
      <w:r w:rsidR="00D661BB" w:rsidRPr="009E2368">
        <w:rPr>
          <w:rFonts w:ascii="Verdana" w:hAnsi="Verdana"/>
          <w:bCs/>
          <w:sz w:val="16"/>
          <w:szCs w:val="16"/>
          <w:lang w:val="es-CR"/>
        </w:rPr>
        <w:t xml:space="preserve"> </w:t>
      </w:r>
      <w:r w:rsidR="00C40250">
        <w:rPr>
          <w:rFonts w:ascii="Verdana" w:hAnsi="Verdana"/>
          <w:bCs/>
          <w:sz w:val="16"/>
          <w:szCs w:val="16"/>
          <w:lang w:val="es-CR"/>
        </w:rPr>
        <w:t xml:space="preserve">web </w:t>
      </w:r>
      <w:r w:rsidR="00C40250" w:rsidRPr="009E2368">
        <w:rPr>
          <w:rFonts w:ascii="Verdana" w:hAnsi="Verdana"/>
          <w:bCs/>
          <w:sz w:val="16"/>
          <w:szCs w:val="16"/>
          <w:lang w:val="es-CR"/>
        </w:rPr>
        <w:t xml:space="preserve">del Ministerio de Relaciones Exteriores </w:t>
      </w:r>
      <w:r w:rsidR="00C40250">
        <w:rPr>
          <w:rFonts w:ascii="Verdana" w:hAnsi="Verdana"/>
          <w:bCs/>
          <w:sz w:val="16"/>
          <w:szCs w:val="16"/>
          <w:lang w:val="es-CR"/>
        </w:rPr>
        <w:t xml:space="preserve">en </w:t>
      </w:r>
      <w:r w:rsidR="00D661BB" w:rsidRPr="009E2368">
        <w:rPr>
          <w:rFonts w:ascii="Verdana" w:hAnsi="Verdana"/>
          <w:bCs/>
          <w:sz w:val="16"/>
          <w:szCs w:val="16"/>
          <w:lang w:val="es-CR"/>
        </w:rPr>
        <w:t xml:space="preserve">el enlace </w:t>
      </w:r>
      <w:hyperlink r:id="rId3" w:history="1">
        <w:r w:rsidR="00CF0368" w:rsidRPr="000F78FE">
          <w:rPr>
            <w:rStyle w:val="Hipervnculo"/>
            <w:rFonts w:ascii="Verdana" w:hAnsi="Verdana"/>
            <w:bCs/>
            <w:sz w:val="16"/>
            <w:szCs w:val="16"/>
            <w:lang w:val="es-CR"/>
          </w:rPr>
          <w:t>http://www.itamaraty.gov.br/images/2018/Sentencia_Xucuru.pd</w:t>
        </w:r>
      </w:hyperlink>
      <w:r w:rsidR="005A055E">
        <w:rPr>
          <w:rStyle w:val="Hipervnculo"/>
          <w:rFonts w:ascii="Verdana" w:hAnsi="Verdana"/>
          <w:bCs/>
          <w:sz w:val="16"/>
          <w:szCs w:val="16"/>
          <w:lang w:val="es-CR"/>
        </w:rPr>
        <w:t>f</w:t>
      </w:r>
      <w:r w:rsidR="00C40250">
        <w:rPr>
          <w:rFonts w:ascii="Verdana" w:hAnsi="Verdana"/>
          <w:bCs/>
          <w:sz w:val="16"/>
          <w:szCs w:val="16"/>
          <w:lang w:val="es-CR"/>
        </w:rPr>
        <w:t>.</w:t>
      </w:r>
      <w:r w:rsidR="00EC2866" w:rsidRPr="00EC2866">
        <w:rPr>
          <w:rFonts w:ascii="Verdana" w:hAnsi="Verdana"/>
          <w:bCs/>
          <w:sz w:val="16"/>
          <w:szCs w:val="16"/>
          <w:lang w:val="es-CR"/>
        </w:rPr>
        <w:t xml:space="preserve"> </w:t>
      </w:r>
      <w:r w:rsidR="00EC2866" w:rsidRPr="005B399F">
        <w:rPr>
          <w:rFonts w:ascii="Verdana" w:eastAsiaTheme="minorHAnsi" w:hAnsi="Verdana"/>
          <w:sz w:val="16"/>
          <w:szCs w:val="16"/>
          <w:lang w:val="es-CR"/>
        </w:rPr>
        <w:t xml:space="preserve"> </w:t>
      </w:r>
      <w:r w:rsidR="00C40250">
        <w:rPr>
          <w:rFonts w:ascii="Verdana" w:eastAsiaTheme="minorHAnsi" w:hAnsi="Verdana"/>
          <w:sz w:val="16"/>
          <w:szCs w:val="16"/>
          <w:lang w:val="es-CR"/>
        </w:rPr>
        <w:t xml:space="preserve">Además </w:t>
      </w:r>
      <w:r w:rsidR="00EC2866" w:rsidRPr="00786A64">
        <w:rPr>
          <w:rFonts w:ascii="Verdana" w:hAnsi="Verdana"/>
          <w:sz w:val="16"/>
          <w:szCs w:val="16"/>
          <w:lang w:val="es-CR"/>
        </w:rPr>
        <w:t xml:space="preserve">aportó capturas de pantalla de las </w:t>
      </w:r>
      <w:r w:rsidR="00EC2866">
        <w:rPr>
          <w:rFonts w:ascii="Verdana" w:hAnsi="Verdana"/>
          <w:sz w:val="16"/>
          <w:szCs w:val="16"/>
          <w:lang w:val="es-CR"/>
        </w:rPr>
        <w:t>dos</w:t>
      </w:r>
      <w:r w:rsidR="00EC2866" w:rsidRPr="00786A64">
        <w:rPr>
          <w:rFonts w:ascii="Verdana" w:hAnsi="Verdana"/>
          <w:sz w:val="16"/>
          <w:szCs w:val="16"/>
          <w:lang w:val="es-CR"/>
        </w:rPr>
        <w:t xml:space="preserve"> publicaciones</w:t>
      </w:r>
      <w:r w:rsidR="00D75B15">
        <w:rPr>
          <w:rFonts w:ascii="Verdana" w:hAnsi="Verdana"/>
          <w:sz w:val="16"/>
          <w:szCs w:val="16"/>
          <w:lang w:val="es-CR"/>
        </w:rPr>
        <w:t xml:space="preserve"> (Anexos 1 y 2 al informe estatal de 30 de noviembre de 2018)</w:t>
      </w:r>
      <w:r w:rsidR="00EC2866" w:rsidRPr="00786A64">
        <w:rPr>
          <w:rFonts w:ascii="Verdana" w:hAnsi="Verdana"/>
          <w:sz w:val="16"/>
          <w:szCs w:val="16"/>
          <w:lang w:val="es-CR"/>
        </w:rPr>
        <w:t>.</w:t>
      </w:r>
      <w:r w:rsidR="00D661BB" w:rsidRPr="009E2368">
        <w:rPr>
          <w:rFonts w:ascii="Verdana" w:hAnsi="Verdana"/>
          <w:bCs/>
          <w:sz w:val="16"/>
          <w:szCs w:val="16"/>
          <w:lang w:val="es-CR"/>
        </w:rPr>
        <w:t xml:space="preserve"> Con respecto a la </w:t>
      </w:r>
      <w:r w:rsidR="00D661BB" w:rsidRPr="009E2368">
        <w:rPr>
          <w:rFonts w:ascii="Verdana" w:hAnsi="Verdana"/>
          <w:sz w:val="16"/>
          <w:szCs w:val="16"/>
          <w:lang w:val="es-CR"/>
        </w:rPr>
        <w:t xml:space="preserve">publicación en el sitio </w:t>
      </w:r>
      <w:r w:rsidR="00C40250">
        <w:rPr>
          <w:rFonts w:ascii="Verdana" w:hAnsi="Verdana"/>
          <w:sz w:val="16"/>
          <w:szCs w:val="16"/>
          <w:lang w:val="es-CR"/>
        </w:rPr>
        <w:t xml:space="preserve">web </w:t>
      </w:r>
      <w:r w:rsidR="00D661BB" w:rsidRPr="009E2368">
        <w:rPr>
          <w:rFonts w:ascii="Verdana" w:hAnsi="Verdana"/>
          <w:sz w:val="16"/>
          <w:szCs w:val="16"/>
          <w:lang w:val="es-CR"/>
        </w:rPr>
        <w:t xml:space="preserve">del Ministerio de Relaciones Exteriores, la última vez que dichas páginas fueron visitadas, se pudo constatar que la Sentencia seguía disponible en el referido enlace (visitada por última vez el </w:t>
      </w:r>
      <w:r w:rsidR="00CF0368">
        <w:rPr>
          <w:rFonts w:ascii="Verdana" w:hAnsi="Verdana"/>
          <w:sz w:val="16"/>
          <w:szCs w:val="16"/>
          <w:lang w:val="es-CR"/>
        </w:rPr>
        <w:t>22 de noviembre de 2019</w:t>
      </w:r>
      <w:r w:rsidR="00D661BB" w:rsidRPr="009E2368">
        <w:rPr>
          <w:rFonts w:ascii="Verdana" w:hAnsi="Verdana"/>
          <w:sz w:val="16"/>
          <w:szCs w:val="16"/>
          <w:lang w:val="es-CR"/>
        </w:rPr>
        <w:t xml:space="preserve">). Con respecto a la publicación en el sitio </w:t>
      </w:r>
      <w:r w:rsidR="00C40250">
        <w:rPr>
          <w:rFonts w:ascii="Verdana" w:hAnsi="Verdana"/>
          <w:sz w:val="16"/>
          <w:szCs w:val="16"/>
          <w:lang w:val="es-CR"/>
        </w:rPr>
        <w:t xml:space="preserve">web </w:t>
      </w:r>
      <w:r w:rsidR="00D661BB" w:rsidRPr="009E2368">
        <w:rPr>
          <w:rFonts w:ascii="Verdana" w:hAnsi="Verdana"/>
          <w:sz w:val="16"/>
          <w:szCs w:val="16"/>
          <w:lang w:val="es-CR"/>
        </w:rPr>
        <w:t>del Ministerio de Derechos Humanos, l</w:t>
      </w:r>
      <w:r w:rsidR="00F47C6D" w:rsidRPr="009E2368">
        <w:rPr>
          <w:rFonts w:ascii="Verdana" w:hAnsi="Verdana"/>
          <w:sz w:val="16"/>
          <w:szCs w:val="16"/>
          <w:lang w:val="es-CR"/>
        </w:rPr>
        <w:t>a Corte advierte que la última vez que dicha página fue visitada, se pudo constatar que arrojaba un error</w:t>
      </w:r>
      <w:r w:rsidR="00D661BB" w:rsidRPr="009E2368">
        <w:rPr>
          <w:rFonts w:ascii="Verdana" w:hAnsi="Verdana"/>
          <w:sz w:val="16"/>
          <w:szCs w:val="16"/>
          <w:lang w:val="es-CR"/>
        </w:rPr>
        <w:t>;</w:t>
      </w:r>
      <w:r w:rsidR="00F47C6D" w:rsidRPr="009E2368">
        <w:rPr>
          <w:rFonts w:ascii="Verdana" w:hAnsi="Verdana"/>
          <w:sz w:val="16"/>
          <w:szCs w:val="16"/>
          <w:lang w:val="es-CR"/>
        </w:rPr>
        <w:t xml:space="preserve"> </w:t>
      </w:r>
      <w:r w:rsidR="00D661BB" w:rsidRPr="009E2368">
        <w:rPr>
          <w:rFonts w:ascii="Verdana" w:hAnsi="Verdana"/>
          <w:sz w:val="16"/>
          <w:szCs w:val="16"/>
          <w:lang w:val="es-CR"/>
        </w:rPr>
        <w:t>n</w:t>
      </w:r>
      <w:r w:rsidR="00F47C6D" w:rsidRPr="009E2368">
        <w:rPr>
          <w:rFonts w:ascii="Verdana" w:hAnsi="Verdana"/>
          <w:sz w:val="16"/>
          <w:szCs w:val="16"/>
          <w:lang w:val="es-CR"/>
        </w:rPr>
        <w:t xml:space="preserve">o obstante, esta Corte nota que la Sentencia se encuentra </w:t>
      </w:r>
      <w:r w:rsidR="00D661BB" w:rsidRPr="009E2368">
        <w:rPr>
          <w:rFonts w:ascii="Verdana" w:hAnsi="Verdana"/>
          <w:sz w:val="16"/>
          <w:szCs w:val="16"/>
          <w:lang w:val="es-CR"/>
        </w:rPr>
        <w:t xml:space="preserve">actualmente </w:t>
      </w:r>
      <w:r w:rsidR="00F47C6D" w:rsidRPr="009E2368">
        <w:rPr>
          <w:rFonts w:ascii="Verdana" w:hAnsi="Verdana"/>
          <w:sz w:val="16"/>
          <w:szCs w:val="16"/>
          <w:lang w:val="es-CR"/>
        </w:rPr>
        <w:t>disponible en el enlace</w:t>
      </w:r>
      <w:r w:rsidR="00F47C6D" w:rsidRPr="00597E56">
        <w:rPr>
          <w:rFonts w:ascii="Verdana" w:hAnsi="Verdana"/>
          <w:sz w:val="16"/>
          <w:szCs w:val="16"/>
          <w:lang w:val="es-CR"/>
        </w:rPr>
        <w:t>:</w:t>
      </w:r>
      <w:r w:rsidR="00CF0368">
        <w:rPr>
          <w:rFonts w:ascii="Verdana" w:hAnsi="Verdana"/>
          <w:sz w:val="16"/>
          <w:szCs w:val="16"/>
          <w:lang w:val="es-CR"/>
        </w:rPr>
        <w:t xml:space="preserve"> </w:t>
      </w:r>
      <w:r w:rsidR="00CF0368" w:rsidRPr="00CF0368">
        <w:rPr>
          <w:rFonts w:ascii="Verdana" w:hAnsi="Verdana"/>
          <w:sz w:val="16"/>
          <w:szCs w:val="16"/>
          <w:lang w:val="es-CR"/>
        </w:rPr>
        <w:t>https://www.mdh.gov.br/todas-as-noticias/2018/julho/sentenca-cidh-caso-do-povo-indigena-xucuru-e-seus-membros-vs-brasil</w:t>
      </w:r>
      <w:r w:rsidR="00431A4B" w:rsidRPr="005F09F7">
        <w:rPr>
          <w:rFonts w:ascii="Verdana" w:hAnsi="Verdana"/>
          <w:sz w:val="16"/>
          <w:szCs w:val="16"/>
          <w:lang w:val="es-AR"/>
        </w:rPr>
        <w:t xml:space="preserve"> </w:t>
      </w:r>
      <w:r w:rsidR="00F47C6D" w:rsidRPr="00597E56">
        <w:rPr>
          <w:rFonts w:ascii="Verdana" w:hAnsi="Verdana"/>
          <w:sz w:val="16"/>
          <w:szCs w:val="16"/>
          <w:lang w:val="es-CR"/>
        </w:rPr>
        <w:t>(</w:t>
      </w:r>
      <w:r w:rsidR="00CF0368">
        <w:rPr>
          <w:rFonts w:ascii="Verdana" w:hAnsi="Verdana"/>
          <w:sz w:val="16"/>
          <w:szCs w:val="16"/>
          <w:lang w:val="es-CR"/>
        </w:rPr>
        <w:t xml:space="preserve">visitada por última vez el 22 de noviembre </w:t>
      </w:r>
      <w:r w:rsidR="00F47C6D" w:rsidRPr="009E2368">
        <w:rPr>
          <w:rFonts w:ascii="Verdana" w:hAnsi="Verdana"/>
          <w:sz w:val="16"/>
          <w:szCs w:val="16"/>
          <w:lang w:val="es-CR"/>
        </w:rPr>
        <w:t xml:space="preserve">de 2019). </w:t>
      </w:r>
    </w:p>
  </w:footnote>
  <w:footnote w:id="12">
    <w:p w14:paraId="5CCD2A59" w14:textId="06C9C0AC" w:rsidR="00551C43" w:rsidRPr="00551C43" w:rsidRDefault="00551C43" w:rsidP="005F09F7">
      <w:pPr>
        <w:pStyle w:val="Textonotapie"/>
        <w:tabs>
          <w:tab w:val="left" w:pos="426"/>
          <w:tab w:val="left" w:pos="567"/>
        </w:tabs>
        <w:jc w:val="both"/>
        <w:rPr>
          <w:lang w:val="es-CR"/>
        </w:rPr>
      </w:pPr>
      <w:r w:rsidRPr="009E2368">
        <w:rPr>
          <w:rStyle w:val="Refdenotaalpie"/>
          <w:rFonts w:ascii="Verdana" w:hAnsi="Verdana"/>
          <w:sz w:val="16"/>
          <w:szCs w:val="16"/>
        </w:rPr>
        <w:footnoteRef/>
      </w:r>
      <w:r w:rsidRPr="009E2368">
        <w:rPr>
          <w:rFonts w:ascii="Verdana" w:hAnsi="Verdana"/>
          <w:sz w:val="16"/>
          <w:szCs w:val="16"/>
          <w:lang w:val="es-CR"/>
        </w:rPr>
        <w:t xml:space="preserve"> </w:t>
      </w:r>
      <w:r w:rsidRPr="009E2368">
        <w:rPr>
          <w:rFonts w:ascii="Verdana" w:hAnsi="Verdana"/>
          <w:sz w:val="16"/>
          <w:szCs w:val="16"/>
          <w:lang w:val="es-CR"/>
        </w:rPr>
        <w:tab/>
      </w:r>
      <w:r w:rsidRPr="009E2368">
        <w:rPr>
          <w:rFonts w:ascii="Verdana" w:hAnsi="Verdana"/>
          <w:sz w:val="16"/>
          <w:szCs w:val="16"/>
          <w:lang w:val="es-AR"/>
        </w:rPr>
        <w:t xml:space="preserve">En igual sentido, ver </w:t>
      </w:r>
      <w:r w:rsidRPr="009E2368">
        <w:rPr>
          <w:rFonts w:ascii="Verdana" w:hAnsi="Verdana"/>
          <w:i/>
          <w:iCs/>
          <w:sz w:val="16"/>
          <w:szCs w:val="16"/>
          <w:lang w:val="es-AR"/>
        </w:rPr>
        <w:t xml:space="preserve">Caso Pueblo Indígena </w:t>
      </w:r>
      <w:proofErr w:type="spellStart"/>
      <w:r w:rsidRPr="009E2368">
        <w:rPr>
          <w:rFonts w:ascii="Verdana" w:hAnsi="Verdana"/>
          <w:i/>
          <w:iCs/>
          <w:sz w:val="16"/>
          <w:szCs w:val="16"/>
          <w:lang w:val="es-AR"/>
        </w:rPr>
        <w:t>Kichwa</w:t>
      </w:r>
      <w:proofErr w:type="spellEnd"/>
      <w:r w:rsidRPr="009E2368">
        <w:rPr>
          <w:rFonts w:ascii="Verdana" w:hAnsi="Verdana"/>
          <w:i/>
          <w:iCs/>
          <w:sz w:val="16"/>
          <w:szCs w:val="16"/>
          <w:lang w:val="es-AR"/>
        </w:rPr>
        <w:t xml:space="preserve"> de </w:t>
      </w:r>
      <w:proofErr w:type="spellStart"/>
      <w:r w:rsidRPr="009E2368">
        <w:rPr>
          <w:rFonts w:ascii="Verdana" w:hAnsi="Verdana"/>
          <w:i/>
          <w:iCs/>
          <w:sz w:val="16"/>
          <w:szCs w:val="16"/>
          <w:lang w:val="es-AR"/>
        </w:rPr>
        <w:t>Sarayaku</w:t>
      </w:r>
      <w:proofErr w:type="spellEnd"/>
      <w:r w:rsidRPr="009E2368">
        <w:rPr>
          <w:rFonts w:ascii="Verdana" w:hAnsi="Verdana"/>
          <w:i/>
          <w:iCs/>
          <w:sz w:val="16"/>
          <w:szCs w:val="16"/>
          <w:lang w:val="es-AR"/>
        </w:rPr>
        <w:t xml:space="preserve"> Vs. Ecuador. Supervisión de </w:t>
      </w:r>
      <w:r w:rsidRPr="00221659">
        <w:rPr>
          <w:rFonts w:ascii="Verdana" w:hAnsi="Verdana"/>
          <w:sz w:val="16"/>
          <w:szCs w:val="16"/>
          <w:lang w:val="es-CR"/>
        </w:rPr>
        <w:t>Cumplimiento</w:t>
      </w:r>
      <w:r w:rsidRPr="009E2368">
        <w:rPr>
          <w:rFonts w:ascii="Verdana" w:hAnsi="Verdana"/>
          <w:i/>
          <w:iCs/>
          <w:sz w:val="16"/>
          <w:szCs w:val="16"/>
          <w:lang w:val="es-AR"/>
        </w:rPr>
        <w:t xml:space="preserve"> de Sentencia</w:t>
      </w:r>
      <w:r w:rsidRPr="009E2368">
        <w:rPr>
          <w:rFonts w:ascii="Verdana" w:hAnsi="Verdana"/>
          <w:sz w:val="16"/>
          <w:szCs w:val="16"/>
          <w:lang w:val="es-AR"/>
        </w:rPr>
        <w:t xml:space="preserve">. Resolución de la Corte Interamericana de Derechos Humanos de 22 de junio de 2016, párr. </w:t>
      </w:r>
      <w:r w:rsidR="00D75B15">
        <w:rPr>
          <w:rFonts w:ascii="Verdana" w:hAnsi="Verdana"/>
          <w:sz w:val="16"/>
          <w:szCs w:val="16"/>
          <w:lang w:val="es-AR"/>
        </w:rPr>
        <w:t>31</w:t>
      </w:r>
      <w:r w:rsidRPr="009E2368">
        <w:rPr>
          <w:rFonts w:ascii="Verdana" w:hAnsi="Verdana"/>
          <w:sz w:val="16"/>
          <w:szCs w:val="16"/>
          <w:lang w:val="es-AR"/>
        </w:rPr>
        <w:t xml:space="preserve">, y </w:t>
      </w:r>
      <w:r w:rsidRPr="009E2368">
        <w:rPr>
          <w:rFonts w:ascii="Verdana" w:hAnsi="Verdana"/>
          <w:i/>
          <w:iCs/>
          <w:sz w:val="16"/>
          <w:szCs w:val="16"/>
          <w:lang w:val="es-AR"/>
        </w:rPr>
        <w:t>Caso Masacre de Santo Domingo Vs. Colombia. Supervisión de Cumplimiento de Sentencia</w:t>
      </w:r>
      <w:r w:rsidRPr="009E2368">
        <w:rPr>
          <w:rFonts w:ascii="Verdana" w:hAnsi="Verdana"/>
          <w:sz w:val="16"/>
          <w:szCs w:val="16"/>
          <w:lang w:val="es-AR"/>
        </w:rPr>
        <w:t>. Resolución de la Corte Interamericana de Derechos Humanos de 22 de noviembre de 2018, párr.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391"/>
    <w:multiLevelType w:val="hybridMultilevel"/>
    <w:tmpl w:val="BDA87D80"/>
    <w:lvl w:ilvl="0" w:tplc="F4C247CA">
      <w:start w:val="1"/>
      <w:numFmt w:val="decimal"/>
      <w:lvlText w:val="%1."/>
      <w:lvlJc w:val="left"/>
      <w:pPr>
        <w:ind w:left="720" w:hanging="360"/>
      </w:pPr>
      <w:rPr>
        <w:rFonts w:ascii="Verdana" w:hAnsi="Verdan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21DD5753"/>
    <w:multiLevelType w:val="hybridMultilevel"/>
    <w:tmpl w:val="EAE4F4A2"/>
    <w:lvl w:ilvl="0" w:tplc="040A0015">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26BB03BA"/>
    <w:multiLevelType w:val="hybridMultilevel"/>
    <w:tmpl w:val="2FB8295A"/>
    <w:lvl w:ilvl="0" w:tplc="140A000F">
      <w:start w:val="1"/>
      <w:numFmt w:val="decimal"/>
      <w:lvlText w:val="%1."/>
      <w:lvlJc w:val="left"/>
      <w:pPr>
        <w:ind w:left="720" w:hanging="360"/>
      </w:pPr>
      <w:rPr>
        <w:rFonts w:hint="default"/>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93014FD"/>
    <w:multiLevelType w:val="hybridMultilevel"/>
    <w:tmpl w:val="2FB8295A"/>
    <w:lvl w:ilvl="0" w:tplc="140A000F">
      <w:start w:val="1"/>
      <w:numFmt w:val="decimal"/>
      <w:lvlText w:val="%1."/>
      <w:lvlJc w:val="left"/>
      <w:pPr>
        <w:ind w:left="720" w:hanging="360"/>
      </w:pPr>
      <w:rPr>
        <w:rFonts w:hint="default"/>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BBE0E90"/>
    <w:multiLevelType w:val="hybridMultilevel"/>
    <w:tmpl w:val="D5D26438"/>
    <w:lvl w:ilvl="0" w:tplc="319CA67E">
      <w:start w:val="1"/>
      <w:numFmt w:val="decimal"/>
      <w:lvlText w:val="%1."/>
      <w:lvlJc w:val="left"/>
      <w:pPr>
        <w:ind w:left="720" w:hanging="360"/>
      </w:pPr>
      <w:rPr>
        <w:rFonts w:ascii="Verdana" w:hAnsi="Verdana" w:hint="default"/>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6741046F"/>
    <w:multiLevelType w:val="hybridMultilevel"/>
    <w:tmpl w:val="9F90DB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86A06F8"/>
    <w:multiLevelType w:val="hybridMultilevel"/>
    <w:tmpl w:val="FE20AA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4"/>
  </w:num>
  <w:num w:numId="5">
    <w:abstractNumId w:val="7"/>
  </w:num>
  <w:num w:numId="6">
    <w:abstractNumId w:val="6"/>
  </w:num>
  <w:num w:numId="7">
    <w:abstractNumId w:val="1"/>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E7"/>
    <w:rsid w:val="0004647C"/>
    <w:rsid w:val="0007312E"/>
    <w:rsid w:val="000F21A3"/>
    <w:rsid w:val="001341A5"/>
    <w:rsid w:val="001375C9"/>
    <w:rsid w:val="00157638"/>
    <w:rsid w:val="001A1631"/>
    <w:rsid w:val="001B4918"/>
    <w:rsid w:val="001E3963"/>
    <w:rsid w:val="001F2D66"/>
    <w:rsid w:val="0021132A"/>
    <w:rsid w:val="00221659"/>
    <w:rsid w:val="002343EE"/>
    <w:rsid w:val="00274E63"/>
    <w:rsid w:val="0028210B"/>
    <w:rsid w:val="002A3534"/>
    <w:rsid w:val="002B2206"/>
    <w:rsid w:val="002E13A8"/>
    <w:rsid w:val="003273CD"/>
    <w:rsid w:val="003311E3"/>
    <w:rsid w:val="00352A88"/>
    <w:rsid w:val="00355D44"/>
    <w:rsid w:val="0036702A"/>
    <w:rsid w:val="003B103B"/>
    <w:rsid w:val="003D0EBA"/>
    <w:rsid w:val="003E1C03"/>
    <w:rsid w:val="003E6A55"/>
    <w:rsid w:val="003F151F"/>
    <w:rsid w:val="004022F0"/>
    <w:rsid w:val="00406C81"/>
    <w:rsid w:val="00423F96"/>
    <w:rsid w:val="00431A4B"/>
    <w:rsid w:val="00455706"/>
    <w:rsid w:val="004A2377"/>
    <w:rsid w:val="00551C43"/>
    <w:rsid w:val="00597E56"/>
    <w:rsid w:val="005A055E"/>
    <w:rsid w:val="005D2F46"/>
    <w:rsid w:val="005F09F7"/>
    <w:rsid w:val="00613C05"/>
    <w:rsid w:val="00641738"/>
    <w:rsid w:val="00675F8C"/>
    <w:rsid w:val="006B151D"/>
    <w:rsid w:val="006C78D3"/>
    <w:rsid w:val="00722FB2"/>
    <w:rsid w:val="007553F1"/>
    <w:rsid w:val="007A4AD6"/>
    <w:rsid w:val="00806335"/>
    <w:rsid w:val="00833E82"/>
    <w:rsid w:val="00845418"/>
    <w:rsid w:val="008B5B0D"/>
    <w:rsid w:val="008E2DA3"/>
    <w:rsid w:val="00907923"/>
    <w:rsid w:val="00983CA9"/>
    <w:rsid w:val="00984ABB"/>
    <w:rsid w:val="009932BF"/>
    <w:rsid w:val="009B00B1"/>
    <w:rsid w:val="009C5C57"/>
    <w:rsid w:val="009E2368"/>
    <w:rsid w:val="009E738C"/>
    <w:rsid w:val="00A32AE1"/>
    <w:rsid w:val="00A570B5"/>
    <w:rsid w:val="00A65176"/>
    <w:rsid w:val="00A658D4"/>
    <w:rsid w:val="00AA0B91"/>
    <w:rsid w:val="00AA4A3A"/>
    <w:rsid w:val="00AC15B2"/>
    <w:rsid w:val="00AD151B"/>
    <w:rsid w:val="00AE15C4"/>
    <w:rsid w:val="00B041E7"/>
    <w:rsid w:val="00B31E56"/>
    <w:rsid w:val="00BB0A0D"/>
    <w:rsid w:val="00BD6059"/>
    <w:rsid w:val="00C1609E"/>
    <w:rsid w:val="00C40250"/>
    <w:rsid w:val="00CC3745"/>
    <w:rsid w:val="00CC3A47"/>
    <w:rsid w:val="00CF0368"/>
    <w:rsid w:val="00CF7B5B"/>
    <w:rsid w:val="00D020D5"/>
    <w:rsid w:val="00D661BB"/>
    <w:rsid w:val="00D75B15"/>
    <w:rsid w:val="00D91EA4"/>
    <w:rsid w:val="00DC5570"/>
    <w:rsid w:val="00DD44E7"/>
    <w:rsid w:val="00DE6437"/>
    <w:rsid w:val="00DF6166"/>
    <w:rsid w:val="00E83FDA"/>
    <w:rsid w:val="00E87F70"/>
    <w:rsid w:val="00EC2866"/>
    <w:rsid w:val="00ED50DA"/>
    <w:rsid w:val="00F212DD"/>
    <w:rsid w:val="00F24A5B"/>
    <w:rsid w:val="00F47C6D"/>
    <w:rsid w:val="00F81526"/>
    <w:rsid w:val="00FB5E8E"/>
    <w:rsid w:val="00FD1F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910971"/>
  <w15:docId w15:val="{E44D4B07-CCAD-47B8-A6A0-F7B59E3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041E7"/>
    <w:rPr>
      <w:color w:val="0000FF"/>
      <w:u w:val="singl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locked/>
    <w:rsid w:val="00B041E7"/>
    <w:rPr>
      <w:rFonts w:ascii="Calibri" w:eastAsia="Calibri" w:hAnsi="Calibri" w:cs="Times New Roman"/>
      <w:sz w:val="20"/>
      <w:szCs w:val="20"/>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B041E7"/>
    <w:pPr>
      <w:spacing w:after="0" w:line="240" w:lineRule="auto"/>
    </w:pPr>
    <w:rPr>
      <w:rFonts w:ascii="Calibri" w:eastAsia="Calibri" w:hAnsi="Calibri" w:cs="Times New Roman"/>
      <w:sz w:val="20"/>
      <w:szCs w:val="20"/>
      <w:lang w:val="en-US"/>
    </w:rPr>
  </w:style>
  <w:style w:type="character" w:customStyle="1" w:styleId="FootnoteTextChar1">
    <w:name w:val="Footnote Text Char1"/>
    <w:basedOn w:val="Fuentedeprrafopredeter"/>
    <w:uiPriority w:val="99"/>
    <w:semiHidden/>
    <w:rsid w:val="00B041E7"/>
    <w:rPr>
      <w:sz w:val="20"/>
      <w:szCs w:val="20"/>
    </w:rPr>
  </w:style>
  <w:style w:type="paragraph" w:styleId="Prrafodelista">
    <w:name w:val="List Paragraph"/>
    <w:aliases w:val="Footnote,Párrafo de lista1,Colorful List - Accent 11,Cuadrícula clara - Énfasis 31"/>
    <w:basedOn w:val="Normal"/>
    <w:uiPriority w:val="34"/>
    <w:qFormat/>
    <w:rsid w:val="00B041E7"/>
    <w:pPr>
      <w:ind w:left="720"/>
      <w:contextualSpacing/>
    </w:pPr>
    <w:rPr>
      <w:rFonts w:ascii="Calibri" w:eastAsia="Calibri" w:hAnsi="Calibri" w:cs="Times New Roman"/>
      <w:lang w:val="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unhideWhenUsed/>
    <w:qFormat/>
    <w:rsid w:val="00B041E7"/>
    <w:rPr>
      <w:vertAlign w:val="superscript"/>
    </w:rPr>
  </w:style>
  <w:style w:type="paragraph" w:styleId="Revisin">
    <w:name w:val="Revision"/>
    <w:hidden/>
    <w:uiPriority w:val="99"/>
    <w:semiHidden/>
    <w:rsid w:val="00C1609E"/>
    <w:pPr>
      <w:spacing w:after="0" w:line="240" w:lineRule="auto"/>
    </w:pPr>
  </w:style>
  <w:style w:type="paragraph" w:styleId="Textodeglobo">
    <w:name w:val="Balloon Text"/>
    <w:basedOn w:val="Normal"/>
    <w:link w:val="TextodegloboCar"/>
    <w:uiPriority w:val="99"/>
    <w:semiHidden/>
    <w:unhideWhenUsed/>
    <w:rsid w:val="00E83FD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83FDA"/>
    <w:rPr>
      <w:rFonts w:ascii="Times New Roman" w:hAnsi="Times New Roman" w:cs="Times New Roman"/>
      <w:sz w:val="18"/>
      <w:szCs w:val="18"/>
    </w:rPr>
  </w:style>
  <w:style w:type="paragraph" w:styleId="NormalWeb">
    <w:name w:val="Normal (Web)"/>
    <w:basedOn w:val="Normal"/>
    <w:uiPriority w:val="99"/>
    <w:semiHidden/>
    <w:unhideWhenUsed/>
    <w:rsid w:val="00E83FDA"/>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ED50DA"/>
    <w:rPr>
      <w:sz w:val="18"/>
      <w:szCs w:val="18"/>
    </w:rPr>
  </w:style>
  <w:style w:type="paragraph" w:styleId="Textocomentario">
    <w:name w:val="annotation text"/>
    <w:basedOn w:val="Normal"/>
    <w:link w:val="TextocomentarioCar"/>
    <w:uiPriority w:val="99"/>
    <w:semiHidden/>
    <w:unhideWhenUsed/>
    <w:rsid w:val="00ED50D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D50DA"/>
    <w:rPr>
      <w:sz w:val="24"/>
      <w:szCs w:val="24"/>
    </w:rPr>
  </w:style>
  <w:style w:type="paragraph" w:styleId="Asuntodelcomentario">
    <w:name w:val="annotation subject"/>
    <w:basedOn w:val="Textocomentario"/>
    <w:next w:val="Textocomentario"/>
    <w:link w:val="AsuntodelcomentarioCar"/>
    <w:uiPriority w:val="99"/>
    <w:semiHidden/>
    <w:unhideWhenUsed/>
    <w:rsid w:val="00ED50DA"/>
    <w:rPr>
      <w:b/>
      <w:bCs/>
      <w:sz w:val="20"/>
      <w:szCs w:val="20"/>
    </w:rPr>
  </w:style>
  <w:style w:type="character" w:customStyle="1" w:styleId="AsuntodelcomentarioCar">
    <w:name w:val="Asunto del comentario Car"/>
    <w:basedOn w:val="TextocomentarioCar"/>
    <w:link w:val="Asuntodelcomentario"/>
    <w:uiPriority w:val="99"/>
    <w:semiHidden/>
    <w:rsid w:val="00ED50DA"/>
    <w:rPr>
      <w:b/>
      <w:bCs/>
      <w:sz w:val="20"/>
      <w:szCs w:val="20"/>
    </w:rPr>
  </w:style>
  <w:style w:type="character" w:styleId="Hipervnculovisitado">
    <w:name w:val="FollowedHyperlink"/>
    <w:basedOn w:val="Fuentedeprrafopredeter"/>
    <w:uiPriority w:val="99"/>
    <w:semiHidden/>
    <w:unhideWhenUsed/>
    <w:rsid w:val="00D661BB"/>
    <w:rPr>
      <w:color w:val="800080" w:themeColor="followedHyperlink"/>
      <w:u w:val="single"/>
    </w:rPr>
  </w:style>
  <w:style w:type="paragraph" w:styleId="Encabezado">
    <w:name w:val="header"/>
    <w:basedOn w:val="Normal"/>
    <w:link w:val="EncabezadoCar"/>
    <w:uiPriority w:val="99"/>
    <w:unhideWhenUsed/>
    <w:rsid w:val="002216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21659"/>
  </w:style>
  <w:style w:type="paragraph" w:styleId="Piedepgina">
    <w:name w:val="footer"/>
    <w:basedOn w:val="Normal"/>
    <w:link w:val="PiedepginaCar"/>
    <w:uiPriority w:val="99"/>
    <w:unhideWhenUsed/>
    <w:rsid w:val="002216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21659"/>
  </w:style>
  <w:style w:type="character" w:styleId="Nmerodelnea">
    <w:name w:val="line number"/>
    <w:basedOn w:val="Fuentedeprrafopredeter"/>
    <w:uiPriority w:val="99"/>
    <w:semiHidden/>
    <w:unhideWhenUsed/>
    <w:rsid w:val="00157638"/>
  </w:style>
  <w:style w:type="paragraph" w:customStyle="1" w:styleId="Default">
    <w:name w:val="Default"/>
    <w:rsid w:val="00641738"/>
    <w:pPr>
      <w:autoSpaceDE w:val="0"/>
      <w:autoSpaceDN w:val="0"/>
      <w:adjustRightInd w:val="0"/>
      <w:spacing w:after="0" w:line="240" w:lineRule="auto"/>
    </w:pPr>
    <w:rPr>
      <w:rFonts w:ascii="Verdana" w:hAnsi="Verdana" w:cs="Verdan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C5C57"/>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1951">
      <w:bodyDiv w:val="1"/>
      <w:marLeft w:val="0"/>
      <w:marRight w:val="0"/>
      <w:marTop w:val="0"/>
      <w:marBottom w:val="0"/>
      <w:divBdr>
        <w:top w:val="none" w:sz="0" w:space="0" w:color="auto"/>
        <w:left w:val="none" w:sz="0" w:space="0" w:color="auto"/>
        <w:bottom w:val="none" w:sz="0" w:space="0" w:color="auto"/>
        <w:right w:val="none" w:sz="0" w:space="0" w:color="auto"/>
      </w:divBdr>
      <w:divsChild>
        <w:div w:id="468283514">
          <w:marLeft w:val="0"/>
          <w:marRight w:val="0"/>
          <w:marTop w:val="0"/>
          <w:marBottom w:val="0"/>
          <w:divBdr>
            <w:top w:val="none" w:sz="0" w:space="0" w:color="auto"/>
            <w:left w:val="none" w:sz="0" w:space="0" w:color="auto"/>
            <w:bottom w:val="none" w:sz="0" w:space="0" w:color="auto"/>
            <w:right w:val="none" w:sz="0" w:space="0" w:color="auto"/>
          </w:divBdr>
          <w:divsChild>
            <w:div w:id="1882011716">
              <w:marLeft w:val="0"/>
              <w:marRight w:val="0"/>
              <w:marTop w:val="0"/>
              <w:marBottom w:val="0"/>
              <w:divBdr>
                <w:top w:val="none" w:sz="0" w:space="0" w:color="auto"/>
                <w:left w:val="none" w:sz="0" w:space="0" w:color="auto"/>
                <w:bottom w:val="none" w:sz="0" w:space="0" w:color="auto"/>
                <w:right w:val="none" w:sz="0" w:space="0" w:color="auto"/>
              </w:divBdr>
              <w:divsChild>
                <w:div w:id="6035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7234">
      <w:bodyDiv w:val="1"/>
      <w:marLeft w:val="0"/>
      <w:marRight w:val="0"/>
      <w:marTop w:val="0"/>
      <w:marBottom w:val="0"/>
      <w:divBdr>
        <w:top w:val="none" w:sz="0" w:space="0" w:color="auto"/>
        <w:left w:val="none" w:sz="0" w:space="0" w:color="auto"/>
        <w:bottom w:val="none" w:sz="0" w:space="0" w:color="auto"/>
        <w:right w:val="none" w:sz="0" w:space="0" w:color="auto"/>
      </w:divBdr>
    </w:div>
    <w:div w:id="1149781948">
      <w:bodyDiv w:val="1"/>
      <w:marLeft w:val="0"/>
      <w:marRight w:val="0"/>
      <w:marTop w:val="0"/>
      <w:marBottom w:val="0"/>
      <w:divBdr>
        <w:top w:val="none" w:sz="0" w:space="0" w:color="auto"/>
        <w:left w:val="none" w:sz="0" w:space="0" w:color="auto"/>
        <w:bottom w:val="none" w:sz="0" w:space="0" w:color="auto"/>
        <w:right w:val="none" w:sz="0" w:space="0" w:color="auto"/>
      </w:divBdr>
    </w:div>
    <w:div w:id="1353190936">
      <w:bodyDiv w:val="1"/>
      <w:marLeft w:val="0"/>
      <w:marRight w:val="0"/>
      <w:marTop w:val="0"/>
      <w:marBottom w:val="0"/>
      <w:divBdr>
        <w:top w:val="none" w:sz="0" w:space="0" w:color="auto"/>
        <w:left w:val="none" w:sz="0" w:space="0" w:color="auto"/>
        <w:bottom w:val="none" w:sz="0" w:space="0" w:color="auto"/>
        <w:right w:val="none" w:sz="0" w:space="0" w:color="auto"/>
      </w:divBdr>
      <w:divsChild>
        <w:div w:id="1347094544">
          <w:marLeft w:val="0"/>
          <w:marRight w:val="0"/>
          <w:marTop w:val="0"/>
          <w:marBottom w:val="0"/>
          <w:divBdr>
            <w:top w:val="none" w:sz="0" w:space="0" w:color="auto"/>
            <w:left w:val="none" w:sz="0" w:space="0" w:color="auto"/>
            <w:bottom w:val="none" w:sz="0" w:space="0" w:color="auto"/>
            <w:right w:val="none" w:sz="0" w:space="0" w:color="auto"/>
          </w:divBdr>
          <w:divsChild>
            <w:div w:id="523400352">
              <w:marLeft w:val="0"/>
              <w:marRight w:val="0"/>
              <w:marTop w:val="0"/>
              <w:marBottom w:val="0"/>
              <w:divBdr>
                <w:top w:val="none" w:sz="0" w:space="0" w:color="auto"/>
                <w:left w:val="none" w:sz="0" w:space="0" w:color="auto"/>
                <w:bottom w:val="none" w:sz="0" w:space="0" w:color="auto"/>
                <w:right w:val="none" w:sz="0" w:space="0" w:color="auto"/>
              </w:divBdr>
              <w:divsChild>
                <w:div w:id="11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2633">
      <w:bodyDiv w:val="1"/>
      <w:marLeft w:val="0"/>
      <w:marRight w:val="0"/>
      <w:marTop w:val="0"/>
      <w:marBottom w:val="0"/>
      <w:divBdr>
        <w:top w:val="none" w:sz="0" w:space="0" w:color="auto"/>
        <w:left w:val="none" w:sz="0" w:space="0" w:color="auto"/>
        <w:bottom w:val="none" w:sz="0" w:space="0" w:color="auto"/>
        <w:right w:val="none" w:sz="0" w:space="0" w:color="auto"/>
      </w:divBdr>
    </w:div>
    <w:div w:id="1706715250">
      <w:bodyDiv w:val="1"/>
      <w:marLeft w:val="0"/>
      <w:marRight w:val="0"/>
      <w:marTop w:val="0"/>
      <w:marBottom w:val="0"/>
      <w:divBdr>
        <w:top w:val="none" w:sz="0" w:space="0" w:color="auto"/>
        <w:left w:val="none" w:sz="0" w:space="0" w:color="auto"/>
        <w:bottom w:val="none" w:sz="0" w:space="0" w:color="auto"/>
        <w:right w:val="none" w:sz="0" w:space="0" w:color="auto"/>
      </w:divBdr>
    </w:div>
    <w:div w:id="1808432330">
      <w:bodyDiv w:val="1"/>
      <w:marLeft w:val="0"/>
      <w:marRight w:val="0"/>
      <w:marTop w:val="0"/>
      <w:marBottom w:val="0"/>
      <w:divBdr>
        <w:top w:val="none" w:sz="0" w:space="0" w:color="auto"/>
        <w:left w:val="none" w:sz="0" w:space="0" w:color="auto"/>
        <w:bottom w:val="none" w:sz="0" w:space="0" w:color="auto"/>
        <w:right w:val="none" w:sz="0" w:space="0" w:color="auto"/>
      </w:divBdr>
    </w:div>
    <w:div w:id="1943030852">
      <w:bodyDiv w:val="1"/>
      <w:marLeft w:val="0"/>
      <w:marRight w:val="0"/>
      <w:marTop w:val="0"/>
      <w:marBottom w:val="0"/>
      <w:divBdr>
        <w:top w:val="none" w:sz="0" w:space="0" w:color="auto"/>
        <w:left w:val="none" w:sz="0" w:space="0" w:color="auto"/>
        <w:bottom w:val="none" w:sz="0" w:space="0" w:color="auto"/>
        <w:right w:val="none" w:sz="0" w:space="0" w:color="auto"/>
      </w:divBdr>
    </w:div>
    <w:div w:id="20136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amaraty.gov.br/images/2018/Sentencia_Xucuru.pd" TargetMode="External"/><Relationship Id="rId2" Type="http://schemas.openxmlformats.org/officeDocument/2006/relationships/hyperlink" Target="http://www.mdh.gov.br/navegue-por-temas/atuacaointernacional/sentencaxucuru.pdf" TargetMode="External"/><Relationship Id="rId1" Type="http://schemas.openxmlformats.org/officeDocument/2006/relationships/hyperlink" Target="http://www.corteidh.or.cr/docs/casos/articulos/seriec_346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D027-0AE7-4475-8E76-3204A3CD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9063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2019-12-11T20:38:00Z</cp:lastPrinted>
  <dcterms:created xsi:type="dcterms:W3CDTF">2019-12-11T23:18:00Z</dcterms:created>
  <dcterms:modified xsi:type="dcterms:W3CDTF">2019-12-11T23:18:00Z</dcterms:modified>
</cp:coreProperties>
</file>