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CDCBF" w14:textId="77777777" w:rsidR="00CE43A6" w:rsidRDefault="00CE43A6" w:rsidP="008650AB">
      <w:pPr>
        <w:spacing w:after="0" w:line="240" w:lineRule="auto"/>
        <w:jc w:val="center"/>
        <w:rPr>
          <w:rFonts w:ascii="Verdana" w:hAnsi="Verdana"/>
          <w:b/>
          <w:sz w:val="20"/>
          <w:szCs w:val="20"/>
        </w:rPr>
      </w:pPr>
      <w:bookmarkStart w:id="0" w:name="_GoBack"/>
      <w:bookmarkEnd w:id="0"/>
    </w:p>
    <w:p w14:paraId="3D49A6D0" w14:textId="77777777" w:rsidR="0055750B" w:rsidRDefault="0055750B" w:rsidP="008650AB">
      <w:pPr>
        <w:spacing w:after="0" w:line="240" w:lineRule="auto"/>
        <w:jc w:val="center"/>
        <w:rPr>
          <w:rFonts w:ascii="Verdana" w:hAnsi="Verdana"/>
          <w:b/>
          <w:sz w:val="20"/>
          <w:szCs w:val="20"/>
        </w:rPr>
      </w:pPr>
    </w:p>
    <w:p w14:paraId="4D915679" w14:textId="77777777" w:rsidR="0055750B" w:rsidRDefault="0055750B" w:rsidP="008650AB">
      <w:pPr>
        <w:spacing w:after="0" w:line="240" w:lineRule="auto"/>
        <w:jc w:val="center"/>
        <w:rPr>
          <w:rFonts w:ascii="Verdana" w:hAnsi="Verdana"/>
          <w:b/>
          <w:sz w:val="20"/>
          <w:szCs w:val="20"/>
        </w:rPr>
      </w:pPr>
    </w:p>
    <w:p w14:paraId="5BAF42C9" w14:textId="77777777" w:rsidR="0055750B" w:rsidRDefault="0055750B" w:rsidP="008650AB">
      <w:pPr>
        <w:spacing w:after="0" w:line="240" w:lineRule="auto"/>
        <w:jc w:val="center"/>
        <w:rPr>
          <w:rFonts w:ascii="Verdana" w:hAnsi="Verdana"/>
          <w:b/>
          <w:sz w:val="20"/>
          <w:szCs w:val="20"/>
        </w:rPr>
      </w:pPr>
    </w:p>
    <w:p w14:paraId="6DA20942" w14:textId="77777777" w:rsidR="0055750B" w:rsidRDefault="0055750B" w:rsidP="008650AB">
      <w:pPr>
        <w:spacing w:after="0" w:line="240" w:lineRule="auto"/>
        <w:jc w:val="center"/>
        <w:rPr>
          <w:rFonts w:ascii="Verdana" w:hAnsi="Verdana"/>
          <w:b/>
          <w:sz w:val="20"/>
          <w:szCs w:val="20"/>
        </w:rPr>
      </w:pPr>
    </w:p>
    <w:p w14:paraId="7C4A2CEC" w14:textId="77777777" w:rsidR="0055750B" w:rsidRDefault="0055750B" w:rsidP="008650AB">
      <w:pPr>
        <w:spacing w:after="0" w:line="240" w:lineRule="auto"/>
        <w:jc w:val="center"/>
        <w:rPr>
          <w:rFonts w:ascii="Verdana" w:hAnsi="Verdana"/>
          <w:b/>
          <w:sz w:val="20"/>
          <w:szCs w:val="20"/>
        </w:rPr>
      </w:pPr>
    </w:p>
    <w:p w14:paraId="285D647A" w14:textId="77777777" w:rsidR="00CE43A6" w:rsidRDefault="00CE43A6" w:rsidP="008650AB">
      <w:pPr>
        <w:spacing w:after="0" w:line="240" w:lineRule="auto"/>
        <w:jc w:val="center"/>
        <w:rPr>
          <w:rFonts w:ascii="Verdana" w:hAnsi="Verdana"/>
          <w:b/>
          <w:sz w:val="20"/>
          <w:szCs w:val="20"/>
        </w:rPr>
      </w:pPr>
    </w:p>
    <w:p w14:paraId="21E4750A" w14:textId="77777777" w:rsidR="00644C7F" w:rsidRDefault="00CE43A6" w:rsidP="008650AB">
      <w:pPr>
        <w:spacing w:after="0" w:line="240" w:lineRule="auto"/>
        <w:jc w:val="center"/>
        <w:rPr>
          <w:rFonts w:ascii="Verdana" w:hAnsi="Verdana"/>
          <w:b/>
          <w:sz w:val="20"/>
          <w:szCs w:val="20"/>
        </w:rPr>
      </w:pPr>
      <w:r>
        <w:rPr>
          <w:rFonts w:ascii="Verdana" w:hAnsi="Verdana"/>
          <w:b/>
          <w:sz w:val="20"/>
          <w:szCs w:val="20"/>
        </w:rPr>
        <w:t>RESOLUCIÓN DE</w:t>
      </w:r>
      <w:r w:rsidR="00644C7F">
        <w:rPr>
          <w:rFonts w:ascii="Verdana" w:hAnsi="Verdana"/>
          <w:b/>
          <w:sz w:val="20"/>
          <w:szCs w:val="20"/>
        </w:rPr>
        <w:t xml:space="preserve"> </w:t>
      </w:r>
      <w:r>
        <w:rPr>
          <w:rFonts w:ascii="Verdana" w:hAnsi="Verdana"/>
          <w:b/>
          <w:sz w:val="20"/>
          <w:szCs w:val="20"/>
        </w:rPr>
        <w:t>L</w:t>
      </w:r>
      <w:r w:rsidR="00644C7F">
        <w:rPr>
          <w:rFonts w:ascii="Verdana" w:hAnsi="Verdana"/>
          <w:b/>
          <w:sz w:val="20"/>
          <w:szCs w:val="20"/>
        </w:rPr>
        <w:t>A</w:t>
      </w:r>
      <w:r>
        <w:rPr>
          <w:rFonts w:ascii="Verdana" w:hAnsi="Verdana"/>
          <w:b/>
          <w:sz w:val="20"/>
          <w:szCs w:val="20"/>
        </w:rPr>
        <w:t xml:space="preserve"> </w:t>
      </w:r>
    </w:p>
    <w:p w14:paraId="546AB681" w14:textId="77777777" w:rsidR="00F36166" w:rsidRPr="00A36DC2" w:rsidRDefault="00CE43A6" w:rsidP="00F36166">
      <w:pPr>
        <w:spacing w:after="0" w:line="240" w:lineRule="auto"/>
        <w:jc w:val="center"/>
        <w:rPr>
          <w:rFonts w:ascii="Verdana" w:hAnsi="Verdana"/>
          <w:b/>
          <w:sz w:val="20"/>
          <w:szCs w:val="20"/>
          <w:lang w:val="es-MX"/>
        </w:rPr>
      </w:pPr>
      <w:r>
        <w:rPr>
          <w:rFonts w:ascii="Verdana" w:hAnsi="Verdana"/>
          <w:b/>
          <w:sz w:val="20"/>
          <w:szCs w:val="20"/>
        </w:rPr>
        <w:t>CORTE INTERAMERICANA DE DERECHOS HUMANOS</w:t>
      </w:r>
      <w:r w:rsidR="00F36166" w:rsidRPr="00A36DC2">
        <w:rPr>
          <w:rFonts w:ascii="Verdana" w:hAnsi="Verdana"/>
          <w:b/>
          <w:sz w:val="20"/>
          <w:szCs w:val="20"/>
          <w:lang w:val="es-MX"/>
        </w:rPr>
        <w:t>*</w:t>
      </w:r>
    </w:p>
    <w:p w14:paraId="1CE863B5" w14:textId="77777777" w:rsidR="008650AB" w:rsidRDefault="008650AB" w:rsidP="008650AB">
      <w:pPr>
        <w:spacing w:after="0" w:line="240" w:lineRule="auto"/>
        <w:jc w:val="center"/>
        <w:rPr>
          <w:rFonts w:ascii="Verdana" w:hAnsi="Verdana"/>
          <w:b/>
          <w:sz w:val="20"/>
          <w:szCs w:val="20"/>
        </w:rPr>
      </w:pPr>
    </w:p>
    <w:p w14:paraId="1A45DF5D" w14:textId="634CA7AF" w:rsidR="00CE43A6" w:rsidRDefault="00CE43A6" w:rsidP="008650AB">
      <w:pPr>
        <w:spacing w:after="0" w:line="240" w:lineRule="auto"/>
        <w:jc w:val="center"/>
        <w:rPr>
          <w:rFonts w:ascii="Verdana" w:hAnsi="Verdana"/>
          <w:b/>
          <w:sz w:val="20"/>
          <w:szCs w:val="20"/>
        </w:rPr>
      </w:pPr>
      <w:r>
        <w:rPr>
          <w:rFonts w:ascii="Verdana" w:hAnsi="Verdana"/>
          <w:b/>
          <w:sz w:val="20"/>
          <w:szCs w:val="20"/>
        </w:rPr>
        <w:t xml:space="preserve">DE </w:t>
      </w:r>
      <w:r w:rsidR="00EE47C6">
        <w:rPr>
          <w:rFonts w:ascii="Verdana" w:hAnsi="Verdana"/>
          <w:b/>
          <w:sz w:val="20"/>
          <w:szCs w:val="20"/>
        </w:rPr>
        <w:t>22</w:t>
      </w:r>
      <w:r>
        <w:rPr>
          <w:rFonts w:ascii="Verdana" w:hAnsi="Verdana"/>
          <w:b/>
          <w:sz w:val="20"/>
          <w:szCs w:val="20"/>
        </w:rPr>
        <w:t xml:space="preserve"> DE </w:t>
      </w:r>
      <w:r w:rsidR="00F36166">
        <w:rPr>
          <w:rFonts w:ascii="Verdana" w:hAnsi="Verdana"/>
          <w:b/>
          <w:sz w:val="20"/>
          <w:szCs w:val="20"/>
        </w:rPr>
        <w:t xml:space="preserve">NOVIEMBRE </w:t>
      </w:r>
      <w:r>
        <w:rPr>
          <w:rFonts w:ascii="Verdana" w:hAnsi="Verdana"/>
          <w:b/>
          <w:sz w:val="20"/>
          <w:szCs w:val="20"/>
        </w:rPr>
        <w:t>DE 2019</w:t>
      </w:r>
    </w:p>
    <w:p w14:paraId="0596A6A4" w14:textId="77777777" w:rsidR="00CE43A6" w:rsidRDefault="00CE43A6" w:rsidP="008650AB">
      <w:pPr>
        <w:spacing w:after="0" w:line="240" w:lineRule="auto"/>
        <w:jc w:val="center"/>
        <w:rPr>
          <w:rFonts w:ascii="Verdana" w:hAnsi="Verdana"/>
          <w:b/>
          <w:sz w:val="20"/>
          <w:szCs w:val="20"/>
        </w:rPr>
      </w:pPr>
    </w:p>
    <w:p w14:paraId="7F83895D" w14:textId="77777777" w:rsidR="00CE43A6" w:rsidRDefault="00CE43A6" w:rsidP="008650AB">
      <w:pPr>
        <w:spacing w:after="0" w:line="240" w:lineRule="auto"/>
        <w:jc w:val="center"/>
        <w:rPr>
          <w:rFonts w:ascii="Verdana" w:hAnsi="Verdana"/>
          <w:b/>
          <w:i/>
          <w:sz w:val="20"/>
          <w:szCs w:val="20"/>
        </w:rPr>
      </w:pPr>
      <w:r w:rsidRPr="00F25FE1">
        <w:rPr>
          <w:rFonts w:ascii="Verdana" w:hAnsi="Verdana"/>
          <w:b/>
          <w:i/>
          <w:sz w:val="20"/>
          <w:szCs w:val="20"/>
        </w:rPr>
        <w:t xml:space="preserve">CASO </w:t>
      </w:r>
      <w:r w:rsidR="00912EFF">
        <w:rPr>
          <w:rFonts w:ascii="Verdana" w:hAnsi="Verdana"/>
          <w:b/>
          <w:i/>
          <w:sz w:val="20"/>
          <w:szCs w:val="20"/>
        </w:rPr>
        <w:t>YARCE Y OTRAS VS. COLOMBIA</w:t>
      </w:r>
    </w:p>
    <w:p w14:paraId="74399FEE" w14:textId="77777777" w:rsidR="00FC582F" w:rsidRDefault="00FC582F" w:rsidP="008650AB">
      <w:pPr>
        <w:spacing w:after="0" w:line="240" w:lineRule="auto"/>
        <w:jc w:val="center"/>
        <w:rPr>
          <w:rFonts w:ascii="Verdana" w:hAnsi="Verdana"/>
          <w:b/>
          <w:i/>
          <w:sz w:val="20"/>
          <w:szCs w:val="20"/>
        </w:rPr>
      </w:pPr>
    </w:p>
    <w:p w14:paraId="61B96412" w14:textId="77777777" w:rsidR="00FC582F" w:rsidRPr="00F25FE1" w:rsidRDefault="00FC582F" w:rsidP="008650AB">
      <w:pPr>
        <w:spacing w:after="0" w:line="240" w:lineRule="auto"/>
        <w:jc w:val="center"/>
        <w:rPr>
          <w:rFonts w:ascii="Verdana" w:hAnsi="Verdana"/>
          <w:b/>
          <w:sz w:val="20"/>
          <w:szCs w:val="20"/>
        </w:rPr>
      </w:pPr>
      <w:r w:rsidRPr="00F25FE1">
        <w:rPr>
          <w:rFonts w:ascii="Verdana" w:hAnsi="Verdana"/>
          <w:b/>
          <w:sz w:val="20"/>
          <w:szCs w:val="20"/>
        </w:rPr>
        <w:t>SUPERVISIÓN DE CUMPLIMIENTO DE SENTENCIA</w:t>
      </w:r>
    </w:p>
    <w:p w14:paraId="2040F510" w14:textId="77777777" w:rsidR="00CE43A6" w:rsidRDefault="00CE43A6" w:rsidP="008650AB">
      <w:pPr>
        <w:spacing w:after="0" w:line="240" w:lineRule="auto"/>
        <w:jc w:val="center"/>
        <w:rPr>
          <w:rFonts w:ascii="Verdana" w:hAnsi="Verdana"/>
          <w:b/>
          <w:sz w:val="20"/>
          <w:szCs w:val="20"/>
        </w:rPr>
      </w:pPr>
    </w:p>
    <w:p w14:paraId="77061737" w14:textId="77777777" w:rsidR="00CE43A6" w:rsidRDefault="00CE43A6" w:rsidP="002670E3">
      <w:pPr>
        <w:spacing w:before="120" w:after="120" w:line="240" w:lineRule="auto"/>
        <w:rPr>
          <w:rFonts w:ascii="Verdana" w:hAnsi="Verdana"/>
          <w:b/>
          <w:sz w:val="20"/>
          <w:szCs w:val="20"/>
        </w:rPr>
      </w:pPr>
      <w:r>
        <w:rPr>
          <w:rFonts w:ascii="Verdana" w:hAnsi="Verdana"/>
          <w:b/>
          <w:sz w:val="20"/>
          <w:szCs w:val="20"/>
        </w:rPr>
        <w:t>VISTO:</w:t>
      </w:r>
    </w:p>
    <w:p w14:paraId="3FB57FDB" w14:textId="3B784EB5" w:rsidR="00FC582F" w:rsidRPr="00885628" w:rsidRDefault="00FC582F" w:rsidP="002670E3">
      <w:pPr>
        <w:numPr>
          <w:ilvl w:val="0"/>
          <w:numId w:val="1"/>
        </w:numPr>
        <w:spacing w:before="120" w:after="120" w:line="240" w:lineRule="auto"/>
        <w:ind w:left="0" w:firstLine="0"/>
        <w:jc w:val="both"/>
        <w:rPr>
          <w:rFonts w:ascii="Verdana" w:hAnsi="Verdana" w:cs="Arial"/>
          <w:sz w:val="20"/>
          <w:szCs w:val="20"/>
          <w:shd w:val="clear" w:color="auto" w:fill="FFFFFF"/>
        </w:rPr>
      </w:pPr>
      <w:bookmarkStart w:id="1" w:name="_Ref26777377"/>
      <w:bookmarkStart w:id="2" w:name="_Ref3224330"/>
      <w:r w:rsidRPr="00885628">
        <w:rPr>
          <w:rFonts w:ascii="Verdana" w:hAnsi="Verdana"/>
          <w:sz w:val="20"/>
          <w:szCs w:val="20"/>
        </w:rPr>
        <w:t xml:space="preserve">La Sentencia de </w:t>
      </w:r>
      <w:r w:rsidR="00912EFF" w:rsidRPr="00885628">
        <w:rPr>
          <w:rFonts w:ascii="Verdana" w:hAnsi="Verdana"/>
          <w:sz w:val="20"/>
          <w:szCs w:val="20"/>
        </w:rPr>
        <w:t>excepción preliminar, fondo</w:t>
      </w:r>
      <w:r w:rsidRPr="00885628">
        <w:rPr>
          <w:rFonts w:ascii="Verdana" w:hAnsi="Verdana"/>
          <w:sz w:val="20"/>
          <w:szCs w:val="20"/>
        </w:rPr>
        <w:t>, reparaciones y costas (en adelante “la Sentencia”</w:t>
      </w:r>
      <w:r w:rsidR="00EE47C6">
        <w:rPr>
          <w:rFonts w:ascii="Verdana" w:hAnsi="Verdana"/>
          <w:sz w:val="20"/>
          <w:szCs w:val="20"/>
        </w:rPr>
        <w:t xml:space="preserve"> o “el Fallo”</w:t>
      </w:r>
      <w:r w:rsidRPr="00885628">
        <w:rPr>
          <w:rFonts w:ascii="Verdana" w:hAnsi="Verdana"/>
          <w:sz w:val="20"/>
          <w:szCs w:val="20"/>
        </w:rPr>
        <w:t xml:space="preserve">) dictada por la Corte Interamericana de Derechos Humanos (en adelante “la Corte Interamericana”, “la Corte” o “el Tribunal”) el </w:t>
      </w:r>
      <w:r w:rsidR="00912EFF" w:rsidRPr="00885628">
        <w:rPr>
          <w:rFonts w:ascii="Verdana" w:hAnsi="Verdana"/>
          <w:sz w:val="20"/>
          <w:szCs w:val="20"/>
        </w:rPr>
        <w:t>22</w:t>
      </w:r>
      <w:r w:rsidRPr="00885628">
        <w:rPr>
          <w:rFonts w:ascii="Verdana" w:hAnsi="Verdana"/>
          <w:sz w:val="20"/>
          <w:szCs w:val="20"/>
        </w:rPr>
        <w:t xml:space="preserve"> de </w:t>
      </w:r>
      <w:r w:rsidR="00912EFF" w:rsidRPr="00885628">
        <w:rPr>
          <w:rFonts w:ascii="Verdana" w:hAnsi="Verdana"/>
          <w:sz w:val="20"/>
          <w:szCs w:val="20"/>
        </w:rPr>
        <w:t>noviembre de 2016</w:t>
      </w:r>
      <w:r w:rsidRPr="00CA38EE">
        <w:rPr>
          <w:rStyle w:val="Refdenotaalpie"/>
          <w:rFonts w:ascii="Verdana" w:hAnsi="Verdana"/>
          <w:sz w:val="20"/>
          <w:szCs w:val="20"/>
        </w:rPr>
        <w:footnoteReference w:id="1"/>
      </w:r>
      <w:r w:rsidRPr="00885628">
        <w:rPr>
          <w:rFonts w:ascii="Verdana" w:hAnsi="Verdana"/>
          <w:sz w:val="20"/>
          <w:szCs w:val="20"/>
        </w:rPr>
        <w:t xml:space="preserve">. La Corte declaró la responsabilidad internacional de la República de </w:t>
      </w:r>
      <w:r w:rsidR="00885628" w:rsidRPr="00885628">
        <w:rPr>
          <w:rFonts w:ascii="Verdana" w:hAnsi="Verdana"/>
          <w:sz w:val="20"/>
          <w:szCs w:val="20"/>
        </w:rPr>
        <w:t>Colombia</w:t>
      </w:r>
      <w:r w:rsidRPr="00885628">
        <w:rPr>
          <w:rFonts w:ascii="Verdana" w:hAnsi="Verdana"/>
          <w:sz w:val="20"/>
          <w:szCs w:val="20"/>
        </w:rPr>
        <w:t xml:space="preserve"> (en adelante “</w:t>
      </w:r>
      <w:r w:rsidR="00885628" w:rsidRPr="00885628">
        <w:rPr>
          <w:rFonts w:ascii="Verdana" w:hAnsi="Verdana"/>
          <w:sz w:val="20"/>
          <w:szCs w:val="20"/>
        </w:rPr>
        <w:t>Colombia</w:t>
      </w:r>
      <w:r w:rsidRPr="00885628">
        <w:rPr>
          <w:rFonts w:ascii="Verdana" w:hAnsi="Verdana"/>
          <w:sz w:val="20"/>
          <w:szCs w:val="20"/>
        </w:rPr>
        <w:t>” o “el Estado”) por</w:t>
      </w:r>
      <w:r w:rsidR="003B4AAA">
        <w:rPr>
          <w:rFonts w:ascii="Verdana" w:hAnsi="Verdana"/>
          <w:sz w:val="20"/>
          <w:szCs w:val="20"/>
        </w:rPr>
        <w:t xml:space="preserve"> </w:t>
      </w:r>
      <w:r w:rsidR="00251F62">
        <w:rPr>
          <w:rFonts w:ascii="Verdana" w:hAnsi="Verdana"/>
          <w:sz w:val="20"/>
          <w:szCs w:val="20"/>
        </w:rPr>
        <w:t xml:space="preserve">las </w:t>
      </w:r>
      <w:r w:rsidR="003B4AAA">
        <w:rPr>
          <w:rFonts w:ascii="Verdana" w:hAnsi="Verdana"/>
          <w:sz w:val="20"/>
          <w:szCs w:val="20"/>
        </w:rPr>
        <w:t xml:space="preserve">violaciones cometidas en perjuicio de </w:t>
      </w:r>
      <w:r w:rsidR="00BE7AF5">
        <w:rPr>
          <w:rFonts w:ascii="Verdana" w:hAnsi="Verdana"/>
          <w:sz w:val="20"/>
          <w:szCs w:val="20"/>
        </w:rPr>
        <w:t>las señoras</w:t>
      </w:r>
      <w:r w:rsidR="006D69E9">
        <w:rPr>
          <w:rFonts w:ascii="Verdana" w:hAnsi="Verdana"/>
          <w:sz w:val="20"/>
          <w:szCs w:val="20"/>
        </w:rPr>
        <w:t xml:space="preserve"> </w:t>
      </w:r>
      <w:r w:rsidR="000910F4">
        <w:rPr>
          <w:rFonts w:ascii="Verdana" w:hAnsi="Verdana"/>
          <w:sz w:val="20"/>
          <w:szCs w:val="20"/>
        </w:rPr>
        <w:t>Ana Teresa Yarce, María del Socorro Mosquera Londoño, Mery del Socorro Naranjo Jiménez, Luz Dary Ospina Bastidas y Myriam Eugenia Rúa Figueroa</w:t>
      </w:r>
      <w:r w:rsidR="003B4AAA">
        <w:rPr>
          <w:rFonts w:ascii="Verdana" w:hAnsi="Verdana"/>
          <w:sz w:val="20"/>
          <w:szCs w:val="20"/>
        </w:rPr>
        <w:t xml:space="preserve">, quienes </w:t>
      </w:r>
      <w:r w:rsidR="000910F4">
        <w:rPr>
          <w:rFonts w:ascii="Verdana" w:hAnsi="Verdana"/>
          <w:sz w:val="20"/>
          <w:szCs w:val="20"/>
        </w:rPr>
        <w:t xml:space="preserve">al momento de los hechos </w:t>
      </w:r>
      <w:r w:rsidR="003B4AAA">
        <w:rPr>
          <w:rFonts w:ascii="Verdana" w:hAnsi="Verdana"/>
          <w:sz w:val="20"/>
          <w:szCs w:val="20"/>
        </w:rPr>
        <w:t>eran defensoras de derechos humanos</w:t>
      </w:r>
      <w:r w:rsidR="00BE7AF5">
        <w:rPr>
          <w:rFonts w:ascii="Verdana" w:hAnsi="Verdana"/>
          <w:sz w:val="20"/>
          <w:szCs w:val="20"/>
        </w:rPr>
        <w:t xml:space="preserve"> que desarrollaban actividades </w:t>
      </w:r>
      <w:r w:rsidR="00374606">
        <w:rPr>
          <w:rFonts w:ascii="Verdana" w:hAnsi="Verdana"/>
          <w:sz w:val="20"/>
          <w:szCs w:val="20"/>
        </w:rPr>
        <w:t>de liderazgo</w:t>
      </w:r>
      <w:r w:rsidR="00BE7AF5">
        <w:rPr>
          <w:rFonts w:ascii="Verdana" w:hAnsi="Verdana"/>
          <w:sz w:val="20"/>
          <w:szCs w:val="20"/>
        </w:rPr>
        <w:t xml:space="preserve"> comunitari</w:t>
      </w:r>
      <w:r w:rsidR="00374606">
        <w:rPr>
          <w:rFonts w:ascii="Verdana" w:hAnsi="Verdana"/>
          <w:sz w:val="20"/>
          <w:szCs w:val="20"/>
        </w:rPr>
        <w:t>o</w:t>
      </w:r>
      <w:r w:rsidR="00BE7AF5">
        <w:rPr>
          <w:rFonts w:ascii="Verdana" w:hAnsi="Verdana"/>
          <w:sz w:val="20"/>
          <w:szCs w:val="20"/>
        </w:rPr>
        <w:t xml:space="preserve"> en la Comuna 13 de Medellín</w:t>
      </w:r>
      <w:r w:rsidR="00E55423">
        <w:rPr>
          <w:rFonts w:ascii="Verdana" w:hAnsi="Verdana"/>
          <w:sz w:val="20"/>
          <w:szCs w:val="20"/>
        </w:rPr>
        <w:t>;</w:t>
      </w:r>
      <w:r w:rsidR="006D69E9">
        <w:rPr>
          <w:rFonts w:ascii="Verdana" w:hAnsi="Verdana"/>
          <w:sz w:val="20"/>
          <w:szCs w:val="20"/>
        </w:rPr>
        <w:t xml:space="preserve"> así como </w:t>
      </w:r>
      <w:r w:rsidR="000910F4">
        <w:rPr>
          <w:rFonts w:ascii="Verdana" w:hAnsi="Verdana"/>
          <w:sz w:val="20"/>
          <w:szCs w:val="20"/>
        </w:rPr>
        <w:t>por</w:t>
      </w:r>
      <w:r w:rsidR="00E55423">
        <w:rPr>
          <w:rFonts w:ascii="Verdana" w:hAnsi="Verdana"/>
          <w:sz w:val="20"/>
          <w:szCs w:val="20"/>
        </w:rPr>
        <w:t xml:space="preserve"> las</w:t>
      </w:r>
      <w:r w:rsidR="000910F4">
        <w:rPr>
          <w:rFonts w:ascii="Verdana" w:hAnsi="Verdana"/>
          <w:sz w:val="20"/>
          <w:szCs w:val="20"/>
        </w:rPr>
        <w:t xml:space="preserve"> violaciones cometidas en</w:t>
      </w:r>
      <w:r w:rsidR="006D69E9">
        <w:rPr>
          <w:rFonts w:ascii="Verdana" w:hAnsi="Verdana"/>
          <w:sz w:val="20"/>
          <w:szCs w:val="20"/>
        </w:rPr>
        <w:t xml:space="preserve"> perjuicio de sus familiares</w:t>
      </w:r>
      <w:r w:rsidR="00BE7AF5">
        <w:rPr>
          <w:rFonts w:ascii="Verdana" w:hAnsi="Verdana"/>
          <w:sz w:val="20"/>
          <w:szCs w:val="20"/>
        </w:rPr>
        <w:t xml:space="preserve">. </w:t>
      </w:r>
      <w:r w:rsidR="000910F4">
        <w:rPr>
          <w:rFonts w:ascii="Verdana" w:hAnsi="Verdana"/>
          <w:sz w:val="20"/>
          <w:szCs w:val="20"/>
        </w:rPr>
        <w:t>Los hechos del caso</w:t>
      </w:r>
      <w:r w:rsidR="006D69E9">
        <w:rPr>
          <w:rFonts w:ascii="Verdana" w:hAnsi="Verdana"/>
          <w:sz w:val="20"/>
          <w:szCs w:val="20"/>
        </w:rPr>
        <w:t xml:space="preserve"> ocurrieron a partir del año 2002 y se enmarcaron en el contexto del conflicto armado interno. En </w:t>
      </w:r>
      <w:r w:rsidR="000910F4">
        <w:rPr>
          <w:rFonts w:ascii="Verdana" w:hAnsi="Verdana"/>
          <w:sz w:val="20"/>
          <w:szCs w:val="20"/>
        </w:rPr>
        <w:t>el año 2002</w:t>
      </w:r>
      <w:r w:rsidR="006D69E9">
        <w:rPr>
          <w:rFonts w:ascii="Verdana" w:hAnsi="Verdana"/>
          <w:sz w:val="20"/>
          <w:szCs w:val="20"/>
        </w:rPr>
        <w:t>, se había declarado un estado de excepción</w:t>
      </w:r>
      <w:r w:rsidR="000910F4">
        <w:rPr>
          <w:rFonts w:ascii="Verdana" w:hAnsi="Verdana"/>
          <w:sz w:val="20"/>
          <w:szCs w:val="20"/>
        </w:rPr>
        <w:t xml:space="preserve"> en Colombia, dentro d</w:t>
      </w:r>
      <w:r w:rsidR="006D69E9">
        <w:rPr>
          <w:rFonts w:ascii="Verdana" w:hAnsi="Verdana"/>
          <w:sz w:val="20"/>
          <w:szCs w:val="20"/>
        </w:rPr>
        <w:t>el cual se adoptaron diversas medidas para el control del orden público. En particular, en la Comuna 13</w:t>
      </w:r>
      <w:r w:rsidR="000910F4">
        <w:rPr>
          <w:rFonts w:ascii="Verdana" w:hAnsi="Verdana"/>
          <w:sz w:val="20"/>
          <w:szCs w:val="20"/>
        </w:rPr>
        <w:t xml:space="preserve">, con el objeto de retomar el control territorial, </w:t>
      </w:r>
      <w:r w:rsidR="006D69E9">
        <w:rPr>
          <w:rFonts w:ascii="Verdana" w:hAnsi="Verdana"/>
          <w:sz w:val="20"/>
          <w:szCs w:val="20"/>
        </w:rPr>
        <w:t xml:space="preserve">se llevaron a cabo varios operativos militares </w:t>
      </w:r>
      <w:r w:rsidR="000910F4">
        <w:rPr>
          <w:rFonts w:ascii="Verdana" w:hAnsi="Verdana"/>
          <w:sz w:val="20"/>
          <w:szCs w:val="20"/>
        </w:rPr>
        <w:t xml:space="preserve">en relación con la presencia, actividades y confrontaciones entre grupos armados ilegales. </w:t>
      </w:r>
      <w:r w:rsidR="00D6081F" w:rsidRPr="0055750B">
        <w:rPr>
          <w:rFonts w:ascii="Verdana" w:hAnsi="Verdana"/>
          <w:sz w:val="20"/>
          <w:szCs w:val="20"/>
        </w:rPr>
        <w:t>En el marco de su</w:t>
      </w:r>
      <w:r w:rsidR="00E55423">
        <w:rPr>
          <w:rFonts w:ascii="Verdana" w:hAnsi="Verdana"/>
          <w:sz w:val="20"/>
          <w:szCs w:val="20"/>
        </w:rPr>
        <w:t>s</w:t>
      </w:r>
      <w:r w:rsidR="00D6081F" w:rsidRPr="0055750B">
        <w:rPr>
          <w:rFonts w:ascii="Verdana" w:hAnsi="Verdana"/>
          <w:sz w:val="20"/>
          <w:szCs w:val="20"/>
        </w:rPr>
        <w:t xml:space="preserve"> actividad</w:t>
      </w:r>
      <w:r w:rsidR="00E55423">
        <w:rPr>
          <w:rFonts w:ascii="Verdana" w:hAnsi="Verdana"/>
          <w:sz w:val="20"/>
          <w:szCs w:val="20"/>
        </w:rPr>
        <w:t>es</w:t>
      </w:r>
      <w:r w:rsidR="00D6081F" w:rsidRPr="0055750B">
        <w:rPr>
          <w:rFonts w:ascii="Verdana" w:hAnsi="Verdana"/>
          <w:sz w:val="20"/>
          <w:szCs w:val="20"/>
        </w:rPr>
        <w:t xml:space="preserve"> como defensoras de derechos humanos, desarrollada</w:t>
      </w:r>
      <w:r w:rsidR="00E55423">
        <w:rPr>
          <w:rFonts w:ascii="Verdana" w:hAnsi="Verdana"/>
          <w:sz w:val="20"/>
          <w:szCs w:val="20"/>
        </w:rPr>
        <w:t>s</w:t>
      </w:r>
      <w:r w:rsidR="00D6081F" w:rsidRPr="0055750B">
        <w:rPr>
          <w:rFonts w:ascii="Verdana" w:hAnsi="Verdana"/>
          <w:sz w:val="20"/>
          <w:szCs w:val="20"/>
        </w:rPr>
        <w:t xml:space="preserve"> en el contexto antes </w:t>
      </w:r>
      <w:r w:rsidR="00507AC8" w:rsidRPr="0055750B">
        <w:rPr>
          <w:rFonts w:ascii="Verdana" w:hAnsi="Verdana"/>
          <w:sz w:val="20"/>
          <w:szCs w:val="20"/>
        </w:rPr>
        <w:t>indicado</w:t>
      </w:r>
      <w:r w:rsidR="00D6081F" w:rsidRPr="0055750B">
        <w:rPr>
          <w:rFonts w:ascii="Verdana" w:hAnsi="Verdana"/>
          <w:sz w:val="20"/>
          <w:szCs w:val="20"/>
        </w:rPr>
        <w:t>, las referidas víctimas, así como sus familiares, se vieron afectad</w:t>
      </w:r>
      <w:r w:rsidR="00507AC8">
        <w:rPr>
          <w:rFonts w:ascii="Verdana" w:hAnsi="Verdana"/>
          <w:sz w:val="20"/>
          <w:szCs w:val="20"/>
        </w:rPr>
        <w:t>a</w:t>
      </w:r>
      <w:r w:rsidR="00D6081F" w:rsidRPr="0055750B">
        <w:rPr>
          <w:rFonts w:ascii="Verdana" w:hAnsi="Verdana"/>
          <w:sz w:val="20"/>
          <w:szCs w:val="20"/>
        </w:rPr>
        <w:t>s por hechos vinculados a la actuación de personas relacionadas con grupos armados ilegales.</w:t>
      </w:r>
      <w:r w:rsidR="00D6081F">
        <w:t xml:space="preserve"> </w:t>
      </w:r>
      <w:r w:rsidR="006D69E9">
        <w:rPr>
          <w:rFonts w:ascii="Verdana" w:hAnsi="Verdana"/>
          <w:sz w:val="20"/>
          <w:szCs w:val="20"/>
        </w:rPr>
        <w:t>En concreto, la Corte declaró la responsabilidad internacional de Colombia por</w:t>
      </w:r>
      <w:r w:rsidR="00885628">
        <w:rPr>
          <w:rFonts w:ascii="Verdana" w:hAnsi="Verdana"/>
          <w:sz w:val="20"/>
          <w:szCs w:val="20"/>
        </w:rPr>
        <w:t>:</w:t>
      </w:r>
      <w:r w:rsidRPr="00885628">
        <w:rPr>
          <w:rFonts w:ascii="Verdana" w:hAnsi="Verdana"/>
          <w:sz w:val="20"/>
          <w:szCs w:val="20"/>
        </w:rPr>
        <w:t xml:space="preserve"> </w:t>
      </w:r>
      <w:r w:rsidR="00885628" w:rsidRPr="00885628">
        <w:rPr>
          <w:rFonts w:ascii="Verdana" w:hAnsi="Verdana"/>
          <w:sz w:val="20"/>
          <w:szCs w:val="20"/>
        </w:rPr>
        <w:t xml:space="preserve">i) la detención ilegal y arbitraria de las defensoras de derechos humanos </w:t>
      </w:r>
      <w:r w:rsidR="00507AC8">
        <w:rPr>
          <w:rFonts w:ascii="Verdana" w:hAnsi="Verdana"/>
          <w:sz w:val="20"/>
          <w:szCs w:val="20"/>
        </w:rPr>
        <w:t xml:space="preserve">Ana Teresa </w:t>
      </w:r>
      <w:r w:rsidR="00D6081F" w:rsidRPr="00885628">
        <w:rPr>
          <w:rFonts w:ascii="Verdana" w:hAnsi="Verdana"/>
          <w:sz w:val="20"/>
          <w:szCs w:val="20"/>
        </w:rPr>
        <w:t>Yarce</w:t>
      </w:r>
      <w:r w:rsidR="00D6081F">
        <w:rPr>
          <w:rFonts w:ascii="Verdana" w:hAnsi="Verdana"/>
          <w:sz w:val="20"/>
          <w:szCs w:val="20"/>
        </w:rPr>
        <w:t>,</w:t>
      </w:r>
      <w:r w:rsidR="00D6081F" w:rsidRPr="00885628">
        <w:rPr>
          <w:rFonts w:ascii="Verdana" w:hAnsi="Verdana"/>
          <w:sz w:val="20"/>
          <w:szCs w:val="20"/>
        </w:rPr>
        <w:t xml:space="preserve"> </w:t>
      </w:r>
      <w:r w:rsidR="00507AC8">
        <w:rPr>
          <w:rFonts w:ascii="Verdana" w:hAnsi="Verdana"/>
          <w:sz w:val="20"/>
          <w:szCs w:val="20"/>
        </w:rPr>
        <w:t xml:space="preserve">María del Socorro </w:t>
      </w:r>
      <w:r w:rsidR="00D6081F">
        <w:rPr>
          <w:rFonts w:ascii="Verdana" w:hAnsi="Verdana"/>
          <w:sz w:val="20"/>
          <w:szCs w:val="20"/>
        </w:rPr>
        <w:t>Mosquera Londoño y</w:t>
      </w:r>
      <w:r w:rsidR="00885628" w:rsidRPr="00885628">
        <w:rPr>
          <w:rFonts w:ascii="Verdana" w:hAnsi="Verdana"/>
          <w:sz w:val="20"/>
          <w:szCs w:val="20"/>
        </w:rPr>
        <w:t xml:space="preserve"> </w:t>
      </w:r>
      <w:r w:rsidR="00507AC8">
        <w:rPr>
          <w:rFonts w:ascii="Verdana" w:hAnsi="Verdana"/>
          <w:sz w:val="20"/>
          <w:szCs w:val="20"/>
        </w:rPr>
        <w:t xml:space="preserve">Mery del Socorro </w:t>
      </w:r>
      <w:r w:rsidR="00885628" w:rsidRPr="00885628">
        <w:rPr>
          <w:rFonts w:ascii="Verdana" w:hAnsi="Verdana"/>
          <w:sz w:val="20"/>
          <w:szCs w:val="20"/>
        </w:rPr>
        <w:t xml:space="preserve">Naranjo Jiménez; ii) la violación al derecho a la vida de </w:t>
      </w:r>
      <w:r w:rsidR="000910F4">
        <w:rPr>
          <w:rFonts w:ascii="Verdana" w:hAnsi="Verdana"/>
          <w:sz w:val="20"/>
          <w:szCs w:val="20"/>
        </w:rPr>
        <w:t>la señora</w:t>
      </w:r>
      <w:r w:rsidR="00885628" w:rsidRPr="00885628">
        <w:rPr>
          <w:rFonts w:ascii="Verdana" w:hAnsi="Verdana"/>
          <w:sz w:val="20"/>
          <w:szCs w:val="20"/>
        </w:rPr>
        <w:t xml:space="preserve"> Yarce</w:t>
      </w:r>
      <w:r w:rsidR="00E55423">
        <w:rPr>
          <w:rFonts w:ascii="Verdana" w:hAnsi="Verdana"/>
          <w:sz w:val="20"/>
          <w:szCs w:val="20"/>
        </w:rPr>
        <w:t>,</w:t>
      </w:r>
      <w:r w:rsidR="00885628" w:rsidRPr="00885628">
        <w:rPr>
          <w:rFonts w:ascii="Verdana" w:hAnsi="Verdana"/>
          <w:sz w:val="20"/>
          <w:szCs w:val="20"/>
        </w:rPr>
        <w:t xml:space="preserve"> </w:t>
      </w:r>
      <w:r w:rsidR="00E81FB6">
        <w:rPr>
          <w:rFonts w:ascii="Verdana" w:hAnsi="Verdana"/>
          <w:sz w:val="20"/>
          <w:szCs w:val="20"/>
        </w:rPr>
        <w:t xml:space="preserve">por haber </w:t>
      </w:r>
      <w:r w:rsidR="00885628" w:rsidRPr="00885628">
        <w:rPr>
          <w:rFonts w:ascii="Verdana" w:hAnsi="Verdana"/>
          <w:sz w:val="20"/>
          <w:szCs w:val="20"/>
        </w:rPr>
        <w:t>incumplido su deber de preven</w:t>
      </w:r>
      <w:r w:rsidR="00507AC8">
        <w:rPr>
          <w:rFonts w:ascii="Verdana" w:hAnsi="Verdana"/>
          <w:sz w:val="20"/>
          <w:szCs w:val="20"/>
        </w:rPr>
        <w:t>ir</w:t>
      </w:r>
      <w:r w:rsidR="00885628" w:rsidRPr="00885628">
        <w:rPr>
          <w:rFonts w:ascii="Verdana" w:hAnsi="Verdana"/>
          <w:sz w:val="20"/>
          <w:szCs w:val="20"/>
        </w:rPr>
        <w:t xml:space="preserve"> actos de violencia contra la mujer</w:t>
      </w:r>
      <w:r w:rsidR="00E55423">
        <w:rPr>
          <w:rFonts w:ascii="Verdana" w:hAnsi="Verdana"/>
          <w:sz w:val="20"/>
          <w:szCs w:val="20"/>
        </w:rPr>
        <w:t>;</w:t>
      </w:r>
      <w:r w:rsidR="00885628" w:rsidRPr="00885628">
        <w:rPr>
          <w:rFonts w:ascii="Verdana" w:hAnsi="Verdana"/>
          <w:sz w:val="20"/>
          <w:szCs w:val="20"/>
        </w:rPr>
        <w:t xml:space="preserve"> iii) no adoptar medidas adecuadas para propiciar el retorno seguro a </w:t>
      </w:r>
      <w:r w:rsidR="00E55423">
        <w:rPr>
          <w:rFonts w:ascii="Verdana" w:hAnsi="Verdana"/>
          <w:sz w:val="20"/>
          <w:szCs w:val="20"/>
        </w:rPr>
        <w:t>los</w:t>
      </w:r>
      <w:r w:rsidR="00E55423" w:rsidRPr="00885628">
        <w:rPr>
          <w:rFonts w:ascii="Verdana" w:hAnsi="Verdana"/>
          <w:sz w:val="20"/>
          <w:szCs w:val="20"/>
        </w:rPr>
        <w:t xml:space="preserve"> </w:t>
      </w:r>
      <w:r w:rsidR="00885628" w:rsidRPr="00885628">
        <w:rPr>
          <w:rFonts w:ascii="Verdana" w:hAnsi="Verdana"/>
          <w:sz w:val="20"/>
          <w:szCs w:val="20"/>
        </w:rPr>
        <w:t xml:space="preserve">lugares de residencia de las dos primeras, así como de las defensoras de derechos humanos Ospina Bastidas y Rúa Figueroa, y de los familiares de estas dos últimas y de la señora Mosquera que se encontraban en una situación de desplazamiento forzado intraurbano, y </w:t>
      </w:r>
      <w:proofErr w:type="spellStart"/>
      <w:r w:rsidR="00D6081F">
        <w:rPr>
          <w:rFonts w:ascii="Verdana" w:hAnsi="Verdana"/>
          <w:sz w:val="20"/>
          <w:szCs w:val="20"/>
        </w:rPr>
        <w:t>iv</w:t>
      </w:r>
      <w:proofErr w:type="spellEnd"/>
      <w:r w:rsidR="00D6081F">
        <w:rPr>
          <w:rFonts w:ascii="Verdana" w:hAnsi="Verdana"/>
          <w:sz w:val="20"/>
          <w:szCs w:val="20"/>
        </w:rPr>
        <w:t xml:space="preserve">) </w:t>
      </w:r>
      <w:r w:rsidR="000910F4">
        <w:rPr>
          <w:rFonts w:ascii="Verdana" w:hAnsi="Verdana"/>
          <w:sz w:val="20"/>
          <w:szCs w:val="20"/>
        </w:rPr>
        <w:t xml:space="preserve">por </w:t>
      </w:r>
      <w:r w:rsidR="00885628" w:rsidRPr="00885628">
        <w:rPr>
          <w:rFonts w:ascii="Verdana" w:hAnsi="Verdana"/>
          <w:sz w:val="20"/>
          <w:szCs w:val="20"/>
        </w:rPr>
        <w:t xml:space="preserve">no adoptar las medidas para proteger sus viviendas y garantizar el uso y disfrute </w:t>
      </w:r>
      <w:r w:rsidR="00885628" w:rsidRPr="00885628">
        <w:rPr>
          <w:rFonts w:ascii="Verdana" w:hAnsi="Verdana"/>
          <w:sz w:val="20"/>
          <w:szCs w:val="20"/>
        </w:rPr>
        <w:lastRenderedPageBreak/>
        <w:t>del derecho de propiedad</w:t>
      </w:r>
      <w:r w:rsidR="00307679">
        <w:rPr>
          <w:rFonts w:ascii="Verdana" w:hAnsi="Verdana"/>
          <w:sz w:val="20"/>
          <w:szCs w:val="20"/>
        </w:rPr>
        <w:t>.</w:t>
      </w:r>
      <w:r w:rsidRPr="00885628">
        <w:rPr>
          <w:rFonts w:ascii="Verdana" w:hAnsi="Verdana"/>
          <w:sz w:val="20"/>
          <w:szCs w:val="20"/>
        </w:rPr>
        <w:t xml:space="preserve"> </w:t>
      </w:r>
      <w:r w:rsidR="00507AC8">
        <w:rPr>
          <w:rFonts w:ascii="Verdana" w:hAnsi="Verdana"/>
          <w:sz w:val="20"/>
          <w:szCs w:val="20"/>
        </w:rPr>
        <w:t>El Tribunal</w:t>
      </w:r>
      <w:r w:rsidRPr="00885628">
        <w:rPr>
          <w:rFonts w:ascii="Verdana" w:hAnsi="Verdana"/>
          <w:sz w:val="20"/>
          <w:szCs w:val="20"/>
        </w:rPr>
        <w:t xml:space="preserve"> estableció que su Sentencia constituye por sí misma una forma de reparación y</w:t>
      </w:r>
      <w:r w:rsidR="00507AC8">
        <w:rPr>
          <w:rFonts w:ascii="Verdana" w:hAnsi="Verdana"/>
          <w:sz w:val="20"/>
          <w:szCs w:val="20"/>
        </w:rPr>
        <w:t>, adicionalmente,</w:t>
      </w:r>
      <w:r w:rsidRPr="00885628">
        <w:rPr>
          <w:rFonts w:ascii="Verdana" w:hAnsi="Verdana"/>
          <w:sz w:val="20"/>
          <w:szCs w:val="20"/>
        </w:rPr>
        <w:t xml:space="preserve"> ordenó al Estado </w:t>
      </w:r>
      <w:r w:rsidR="00507AC8">
        <w:rPr>
          <w:rFonts w:ascii="Verdana" w:hAnsi="Verdana"/>
          <w:sz w:val="20"/>
          <w:szCs w:val="20"/>
        </w:rPr>
        <w:t>determinadas</w:t>
      </w:r>
      <w:r w:rsidRPr="00885628">
        <w:rPr>
          <w:rFonts w:ascii="Verdana" w:hAnsi="Verdana"/>
          <w:sz w:val="20"/>
          <w:szCs w:val="20"/>
        </w:rPr>
        <w:t xml:space="preserve"> medidas de reparación (</w:t>
      </w:r>
      <w:r w:rsidRPr="00885628">
        <w:rPr>
          <w:rFonts w:ascii="Verdana" w:hAnsi="Verdana"/>
          <w:i/>
          <w:sz w:val="20"/>
          <w:szCs w:val="20"/>
        </w:rPr>
        <w:t xml:space="preserve">infra </w:t>
      </w:r>
      <w:r w:rsidRPr="00885628">
        <w:rPr>
          <w:rFonts w:ascii="Verdana" w:hAnsi="Verdana"/>
          <w:sz w:val="20"/>
          <w:szCs w:val="20"/>
        </w:rPr>
        <w:t xml:space="preserve">Considerando </w:t>
      </w:r>
      <w:r w:rsidR="00507AC8">
        <w:rPr>
          <w:rFonts w:ascii="Verdana" w:hAnsi="Verdana"/>
          <w:sz w:val="20"/>
          <w:szCs w:val="20"/>
        </w:rPr>
        <w:fldChar w:fldCharType="begin"/>
      </w:r>
      <w:r w:rsidR="00507AC8">
        <w:rPr>
          <w:rFonts w:ascii="Verdana" w:hAnsi="Verdana"/>
          <w:sz w:val="20"/>
          <w:szCs w:val="20"/>
        </w:rPr>
        <w:instrText xml:space="preserve"> REF _Ref26775548 \r \h </w:instrText>
      </w:r>
      <w:r w:rsidR="00507AC8">
        <w:rPr>
          <w:rFonts w:ascii="Verdana" w:hAnsi="Verdana"/>
          <w:sz w:val="20"/>
          <w:szCs w:val="20"/>
        </w:rPr>
      </w:r>
      <w:r w:rsidR="00507AC8">
        <w:rPr>
          <w:rFonts w:ascii="Verdana" w:hAnsi="Verdana"/>
          <w:sz w:val="20"/>
          <w:szCs w:val="20"/>
        </w:rPr>
        <w:fldChar w:fldCharType="separate"/>
      </w:r>
      <w:r w:rsidR="00630FCA">
        <w:rPr>
          <w:rFonts w:ascii="Verdana" w:hAnsi="Verdana"/>
          <w:sz w:val="20"/>
          <w:szCs w:val="20"/>
        </w:rPr>
        <w:t>1</w:t>
      </w:r>
      <w:r w:rsidR="00507AC8">
        <w:rPr>
          <w:rFonts w:ascii="Verdana" w:hAnsi="Verdana"/>
          <w:sz w:val="20"/>
          <w:szCs w:val="20"/>
        </w:rPr>
        <w:fldChar w:fldCharType="end"/>
      </w:r>
      <w:r w:rsidRPr="00885628">
        <w:rPr>
          <w:rFonts w:ascii="Verdana" w:hAnsi="Verdana"/>
          <w:sz w:val="20"/>
          <w:szCs w:val="20"/>
        </w:rPr>
        <w:t>).</w:t>
      </w:r>
      <w:bookmarkEnd w:id="1"/>
    </w:p>
    <w:p w14:paraId="099D969B" w14:textId="77777777" w:rsidR="001D5C2A" w:rsidRPr="001D5C2A" w:rsidRDefault="001D5C2A" w:rsidP="002670E3">
      <w:pPr>
        <w:pStyle w:val="Prrafodelista"/>
        <w:numPr>
          <w:ilvl w:val="0"/>
          <w:numId w:val="1"/>
        </w:numPr>
        <w:spacing w:before="120" w:after="120" w:line="240" w:lineRule="auto"/>
        <w:ind w:left="0" w:firstLine="0"/>
        <w:contextualSpacing w:val="0"/>
        <w:jc w:val="both"/>
        <w:rPr>
          <w:rFonts w:ascii="Verdana" w:hAnsi="Verdana"/>
          <w:sz w:val="20"/>
          <w:szCs w:val="20"/>
        </w:rPr>
      </w:pPr>
      <w:bookmarkStart w:id="3" w:name="_Ref492906675"/>
      <w:r w:rsidRPr="001D5C2A">
        <w:rPr>
          <w:rFonts w:ascii="Verdana" w:hAnsi="Verdana"/>
          <w:sz w:val="20"/>
          <w:szCs w:val="20"/>
        </w:rPr>
        <w:t xml:space="preserve">La Sentencia de interpretación </w:t>
      </w:r>
      <w:r w:rsidR="000910F4">
        <w:rPr>
          <w:rFonts w:ascii="Verdana" w:hAnsi="Verdana"/>
          <w:sz w:val="20"/>
          <w:szCs w:val="20"/>
        </w:rPr>
        <w:t>de la Sentencia de excepci</w:t>
      </w:r>
      <w:r w:rsidR="00F13846">
        <w:rPr>
          <w:rFonts w:ascii="Verdana" w:hAnsi="Verdana"/>
          <w:sz w:val="20"/>
          <w:szCs w:val="20"/>
        </w:rPr>
        <w:t xml:space="preserve">ón preliminar, fondo, reparaciones y costas, </w:t>
      </w:r>
      <w:r w:rsidRPr="001D5C2A">
        <w:rPr>
          <w:rFonts w:ascii="Verdana" w:hAnsi="Verdana"/>
          <w:sz w:val="20"/>
          <w:szCs w:val="20"/>
        </w:rPr>
        <w:t>emitida por la Corte el 21 de noviembre de 2017</w:t>
      </w:r>
      <w:r w:rsidR="00B9483B">
        <w:rPr>
          <w:rFonts w:ascii="Verdana" w:hAnsi="Verdana"/>
          <w:sz w:val="20"/>
          <w:szCs w:val="20"/>
        </w:rPr>
        <w:t xml:space="preserve"> (en adelante “la Sentencia de interpretación”)</w:t>
      </w:r>
      <w:r w:rsidR="00F13846">
        <w:rPr>
          <w:rFonts w:ascii="Verdana" w:hAnsi="Verdana"/>
          <w:sz w:val="20"/>
          <w:szCs w:val="20"/>
        </w:rPr>
        <w:t>, en la cual se pronunció sobre las solicitudes planteadas por el Estado y las representantes de las víctimas sobre el alcance de varios puntos del capítulo de reparaciones de la referida Sentencia</w:t>
      </w:r>
      <w:r w:rsidRPr="001D5C2A">
        <w:rPr>
          <w:rStyle w:val="Refdenotaalpie"/>
          <w:rFonts w:ascii="Verdana" w:hAnsi="Verdana"/>
          <w:sz w:val="20"/>
          <w:szCs w:val="20"/>
        </w:rPr>
        <w:footnoteReference w:id="2"/>
      </w:r>
      <w:r w:rsidRPr="001D5C2A">
        <w:rPr>
          <w:rFonts w:ascii="Verdana" w:hAnsi="Verdana"/>
          <w:sz w:val="20"/>
          <w:szCs w:val="20"/>
        </w:rPr>
        <w:t>.</w:t>
      </w:r>
    </w:p>
    <w:p w14:paraId="7DA776DF" w14:textId="77777777" w:rsidR="00CB4A68" w:rsidRDefault="003C78B5" w:rsidP="002670E3">
      <w:pPr>
        <w:pStyle w:val="Prrafodelista"/>
        <w:numPr>
          <w:ilvl w:val="0"/>
          <w:numId w:val="1"/>
        </w:numPr>
        <w:spacing w:before="120" w:after="120" w:line="240" w:lineRule="auto"/>
        <w:ind w:left="0" w:firstLine="0"/>
        <w:contextualSpacing w:val="0"/>
        <w:jc w:val="both"/>
        <w:rPr>
          <w:rFonts w:ascii="Verdana" w:hAnsi="Verdana"/>
          <w:sz w:val="20"/>
          <w:szCs w:val="20"/>
        </w:rPr>
      </w:pPr>
      <w:r>
        <w:rPr>
          <w:rFonts w:ascii="Verdana" w:hAnsi="Verdana"/>
          <w:sz w:val="20"/>
          <w:szCs w:val="20"/>
        </w:rPr>
        <w:t xml:space="preserve">Los informes presentados </w:t>
      </w:r>
      <w:r w:rsidR="00EE32EC">
        <w:rPr>
          <w:rFonts w:ascii="Verdana" w:hAnsi="Verdana"/>
          <w:sz w:val="20"/>
          <w:szCs w:val="20"/>
        </w:rPr>
        <w:t>por el Estado e</w:t>
      </w:r>
      <w:r w:rsidR="001D5C2A">
        <w:rPr>
          <w:rFonts w:ascii="Verdana" w:hAnsi="Verdana"/>
          <w:sz w:val="20"/>
          <w:szCs w:val="20"/>
        </w:rPr>
        <w:t xml:space="preserve">ntre </w:t>
      </w:r>
      <w:r w:rsidR="00F13846">
        <w:rPr>
          <w:rFonts w:ascii="Verdana" w:hAnsi="Verdana"/>
          <w:sz w:val="20"/>
          <w:szCs w:val="20"/>
        </w:rPr>
        <w:t xml:space="preserve">abril </w:t>
      </w:r>
      <w:r w:rsidR="001D5C2A">
        <w:rPr>
          <w:rFonts w:ascii="Verdana" w:hAnsi="Verdana"/>
          <w:sz w:val="20"/>
          <w:szCs w:val="20"/>
        </w:rPr>
        <w:t xml:space="preserve">de 2017 y </w:t>
      </w:r>
      <w:r w:rsidR="00CF4DCE">
        <w:rPr>
          <w:rFonts w:ascii="Verdana" w:hAnsi="Verdana"/>
          <w:sz w:val="20"/>
          <w:szCs w:val="20"/>
        </w:rPr>
        <w:t xml:space="preserve">octubre </w:t>
      </w:r>
      <w:r w:rsidR="001D5C2A">
        <w:rPr>
          <w:rFonts w:ascii="Verdana" w:hAnsi="Verdana"/>
          <w:sz w:val="20"/>
          <w:szCs w:val="20"/>
        </w:rPr>
        <w:t>de 2019</w:t>
      </w:r>
      <w:r w:rsidR="00EE32EC">
        <w:rPr>
          <w:rFonts w:ascii="Verdana" w:hAnsi="Verdana"/>
          <w:sz w:val="20"/>
          <w:szCs w:val="20"/>
        </w:rPr>
        <w:t xml:space="preserve">. </w:t>
      </w:r>
    </w:p>
    <w:p w14:paraId="1C883C8E" w14:textId="77777777" w:rsidR="001D5C2A" w:rsidRDefault="001D5C2A" w:rsidP="002670E3">
      <w:pPr>
        <w:pStyle w:val="Prrafodelista"/>
        <w:numPr>
          <w:ilvl w:val="0"/>
          <w:numId w:val="1"/>
        </w:numPr>
        <w:spacing w:before="120" w:after="120" w:line="240" w:lineRule="auto"/>
        <w:ind w:left="0" w:firstLine="0"/>
        <w:contextualSpacing w:val="0"/>
        <w:jc w:val="both"/>
        <w:rPr>
          <w:rFonts w:ascii="Verdana" w:hAnsi="Verdana"/>
          <w:sz w:val="20"/>
          <w:szCs w:val="20"/>
        </w:rPr>
      </w:pPr>
      <w:r>
        <w:rPr>
          <w:rFonts w:ascii="Verdana" w:hAnsi="Verdana"/>
          <w:sz w:val="20"/>
          <w:szCs w:val="20"/>
        </w:rPr>
        <w:t xml:space="preserve">Los escritos de observaciones presentados por </w:t>
      </w:r>
      <w:r w:rsidR="002D4422">
        <w:rPr>
          <w:rFonts w:ascii="Verdana" w:hAnsi="Verdana"/>
          <w:sz w:val="20"/>
          <w:szCs w:val="20"/>
        </w:rPr>
        <w:t xml:space="preserve">las </w:t>
      </w:r>
      <w:r>
        <w:rPr>
          <w:rFonts w:ascii="Verdana" w:hAnsi="Verdana"/>
          <w:sz w:val="20"/>
          <w:szCs w:val="20"/>
        </w:rPr>
        <w:t>representantes de las víctimas (en adelante “</w:t>
      </w:r>
      <w:r w:rsidR="002D4422">
        <w:rPr>
          <w:rFonts w:ascii="Verdana" w:hAnsi="Verdana"/>
          <w:sz w:val="20"/>
          <w:szCs w:val="20"/>
        </w:rPr>
        <w:t xml:space="preserve">las </w:t>
      </w:r>
      <w:r>
        <w:rPr>
          <w:rFonts w:ascii="Verdana" w:hAnsi="Verdana"/>
          <w:sz w:val="20"/>
          <w:szCs w:val="20"/>
        </w:rPr>
        <w:t>representantes”)</w:t>
      </w:r>
      <w:r w:rsidR="00E70257">
        <w:rPr>
          <w:rStyle w:val="Refdenotaalpie"/>
          <w:rFonts w:ascii="Verdana" w:hAnsi="Verdana"/>
          <w:sz w:val="20"/>
          <w:szCs w:val="20"/>
        </w:rPr>
        <w:footnoteReference w:id="3"/>
      </w:r>
      <w:r>
        <w:rPr>
          <w:rFonts w:ascii="Verdana" w:hAnsi="Verdana"/>
          <w:sz w:val="20"/>
          <w:szCs w:val="20"/>
        </w:rPr>
        <w:t xml:space="preserve"> </w:t>
      </w:r>
      <w:r w:rsidR="00E70257">
        <w:rPr>
          <w:rFonts w:ascii="Verdana" w:hAnsi="Verdana"/>
          <w:sz w:val="20"/>
          <w:szCs w:val="20"/>
        </w:rPr>
        <w:t xml:space="preserve">entre </w:t>
      </w:r>
      <w:r w:rsidR="00F13846">
        <w:rPr>
          <w:rFonts w:ascii="Verdana" w:hAnsi="Verdana"/>
          <w:sz w:val="20"/>
          <w:szCs w:val="20"/>
        </w:rPr>
        <w:t xml:space="preserve">febrero </w:t>
      </w:r>
      <w:r w:rsidR="00E70257">
        <w:rPr>
          <w:rFonts w:ascii="Verdana" w:hAnsi="Verdana"/>
          <w:sz w:val="20"/>
          <w:szCs w:val="20"/>
        </w:rPr>
        <w:t xml:space="preserve">de 2017 y </w:t>
      </w:r>
      <w:r w:rsidR="00E2702D">
        <w:rPr>
          <w:rFonts w:ascii="Verdana" w:hAnsi="Verdana"/>
          <w:sz w:val="20"/>
          <w:szCs w:val="20"/>
        </w:rPr>
        <w:t xml:space="preserve">febrero </w:t>
      </w:r>
      <w:r w:rsidR="00E70257">
        <w:rPr>
          <w:rFonts w:ascii="Verdana" w:hAnsi="Verdana"/>
          <w:sz w:val="20"/>
          <w:szCs w:val="20"/>
        </w:rPr>
        <w:t>de 2019.</w:t>
      </w:r>
    </w:p>
    <w:p w14:paraId="3187CAA9" w14:textId="77777777" w:rsidR="00E70257" w:rsidRDefault="00E70257" w:rsidP="002670E3">
      <w:pPr>
        <w:pStyle w:val="Prrafodelista"/>
        <w:numPr>
          <w:ilvl w:val="0"/>
          <w:numId w:val="1"/>
        </w:numPr>
        <w:spacing w:before="120" w:after="120" w:line="240" w:lineRule="auto"/>
        <w:ind w:left="0" w:firstLine="0"/>
        <w:contextualSpacing w:val="0"/>
        <w:jc w:val="both"/>
        <w:rPr>
          <w:rFonts w:ascii="Verdana" w:hAnsi="Verdana"/>
          <w:sz w:val="20"/>
          <w:szCs w:val="20"/>
        </w:rPr>
      </w:pPr>
      <w:r w:rsidRPr="00E70257">
        <w:rPr>
          <w:rFonts w:ascii="Verdana" w:hAnsi="Verdana"/>
          <w:sz w:val="20"/>
          <w:szCs w:val="20"/>
        </w:rPr>
        <w:t>Los escritos de observaciones presentados por la Comisión Interamericana de Derechos Humanos (en adelante “la Comisión Interamericana” o “la Comisión”) entre julio de 2017 y mayo de 2019.</w:t>
      </w:r>
    </w:p>
    <w:p w14:paraId="798A832F" w14:textId="19407335" w:rsidR="00434930" w:rsidRPr="00D6081F" w:rsidRDefault="00F246CD" w:rsidP="004965DF">
      <w:pPr>
        <w:pStyle w:val="Prrafodelista"/>
        <w:numPr>
          <w:ilvl w:val="0"/>
          <w:numId w:val="1"/>
        </w:numPr>
        <w:autoSpaceDE w:val="0"/>
        <w:autoSpaceDN w:val="0"/>
        <w:adjustRightInd w:val="0"/>
        <w:spacing w:before="120" w:after="120" w:line="240" w:lineRule="auto"/>
        <w:ind w:left="0" w:firstLine="0"/>
        <w:contextualSpacing w:val="0"/>
        <w:jc w:val="both"/>
        <w:rPr>
          <w:rFonts w:ascii="Verdana" w:hAnsi="Verdana"/>
          <w:sz w:val="20"/>
          <w:szCs w:val="20"/>
        </w:rPr>
      </w:pPr>
      <w:bookmarkStart w:id="4" w:name="_Ref26778239"/>
      <w:r w:rsidRPr="00D6081F">
        <w:rPr>
          <w:rFonts w:ascii="Verdana" w:hAnsi="Verdana"/>
          <w:sz w:val="20"/>
          <w:szCs w:val="20"/>
        </w:rPr>
        <w:t xml:space="preserve">El informe </w:t>
      </w:r>
      <w:r w:rsidR="008B6894" w:rsidRPr="00D6081F">
        <w:rPr>
          <w:rFonts w:ascii="Verdana" w:hAnsi="Verdana"/>
          <w:sz w:val="20"/>
          <w:szCs w:val="20"/>
        </w:rPr>
        <w:t>presentado</w:t>
      </w:r>
      <w:r w:rsidRPr="00D6081F">
        <w:rPr>
          <w:rFonts w:ascii="Verdana" w:hAnsi="Verdana"/>
          <w:sz w:val="20"/>
          <w:szCs w:val="20"/>
        </w:rPr>
        <w:t xml:space="preserve"> por la Defensoría del Pueblo de la República de Colombia el 14 de mayo de 2019</w:t>
      </w:r>
      <w:bookmarkStart w:id="5" w:name="_Ref26786286"/>
      <w:r w:rsidRPr="001A64FD">
        <w:rPr>
          <w:rStyle w:val="Refdenotaalpie"/>
          <w:rFonts w:ascii="Verdana" w:hAnsi="Verdana"/>
          <w:sz w:val="20"/>
          <w:szCs w:val="20"/>
        </w:rPr>
        <w:footnoteReference w:id="4"/>
      </w:r>
      <w:bookmarkEnd w:id="5"/>
      <w:r w:rsidR="00D6081F" w:rsidRPr="00D6081F">
        <w:rPr>
          <w:rFonts w:ascii="Verdana" w:hAnsi="Verdana"/>
          <w:sz w:val="20"/>
          <w:szCs w:val="20"/>
        </w:rPr>
        <w:t xml:space="preserve"> (</w:t>
      </w:r>
      <w:r w:rsidR="00D6081F" w:rsidRPr="00D6081F">
        <w:rPr>
          <w:rFonts w:ascii="Verdana" w:hAnsi="Verdana"/>
          <w:i/>
          <w:sz w:val="20"/>
          <w:szCs w:val="20"/>
        </w:rPr>
        <w:t>infra</w:t>
      </w:r>
      <w:r w:rsidR="00D6081F" w:rsidRPr="00D6081F">
        <w:rPr>
          <w:rFonts w:ascii="Verdana" w:hAnsi="Verdana"/>
          <w:sz w:val="20"/>
          <w:szCs w:val="20"/>
        </w:rPr>
        <w:t xml:space="preserve"> Considerando </w:t>
      </w:r>
      <w:r w:rsidR="002A206F">
        <w:rPr>
          <w:rFonts w:ascii="Verdana" w:hAnsi="Verdana"/>
          <w:sz w:val="20"/>
          <w:szCs w:val="20"/>
        </w:rPr>
        <w:fldChar w:fldCharType="begin"/>
      </w:r>
      <w:r w:rsidR="002A206F">
        <w:rPr>
          <w:rFonts w:ascii="Verdana" w:hAnsi="Verdana"/>
          <w:sz w:val="20"/>
          <w:szCs w:val="20"/>
        </w:rPr>
        <w:instrText xml:space="preserve"> REF _Ref26777135 \r \h </w:instrText>
      </w:r>
      <w:r w:rsidR="002A206F">
        <w:rPr>
          <w:rFonts w:ascii="Verdana" w:hAnsi="Verdana"/>
          <w:sz w:val="20"/>
          <w:szCs w:val="20"/>
        </w:rPr>
      </w:r>
      <w:r w:rsidR="002A206F">
        <w:rPr>
          <w:rFonts w:ascii="Verdana" w:hAnsi="Verdana"/>
          <w:sz w:val="20"/>
          <w:szCs w:val="20"/>
        </w:rPr>
        <w:fldChar w:fldCharType="separate"/>
      </w:r>
      <w:r w:rsidR="00630FCA">
        <w:rPr>
          <w:rFonts w:ascii="Verdana" w:hAnsi="Verdana"/>
          <w:sz w:val="20"/>
          <w:szCs w:val="20"/>
        </w:rPr>
        <w:t>3</w:t>
      </w:r>
      <w:r w:rsidR="002A206F">
        <w:rPr>
          <w:rFonts w:ascii="Verdana" w:hAnsi="Verdana"/>
          <w:sz w:val="20"/>
          <w:szCs w:val="20"/>
        </w:rPr>
        <w:fldChar w:fldCharType="end"/>
      </w:r>
      <w:r w:rsidR="00D6081F" w:rsidRPr="00D6081F">
        <w:rPr>
          <w:rFonts w:ascii="Verdana" w:hAnsi="Verdana"/>
          <w:sz w:val="20"/>
          <w:szCs w:val="20"/>
        </w:rPr>
        <w:t>).</w:t>
      </w:r>
      <w:bookmarkEnd w:id="4"/>
      <w:r w:rsidRPr="00D6081F">
        <w:rPr>
          <w:rFonts w:ascii="Verdana" w:hAnsi="Verdana"/>
          <w:sz w:val="20"/>
          <w:szCs w:val="20"/>
        </w:rPr>
        <w:t xml:space="preserve"> </w:t>
      </w:r>
      <w:bookmarkEnd w:id="2"/>
      <w:bookmarkEnd w:id="3"/>
    </w:p>
    <w:p w14:paraId="40F8F82A" w14:textId="77777777" w:rsidR="00E55423" w:rsidRDefault="00E55423" w:rsidP="002670E3">
      <w:pPr>
        <w:autoSpaceDE w:val="0"/>
        <w:autoSpaceDN w:val="0"/>
        <w:adjustRightInd w:val="0"/>
        <w:spacing w:before="120" w:after="120" w:line="240" w:lineRule="auto"/>
        <w:jc w:val="both"/>
        <w:rPr>
          <w:rFonts w:ascii="Verdana" w:hAnsi="Verdana"/>
          <w:b/>
          <w:sz w:val="20"/>
          <w:szCs w:val="20"/>
        </w:rPr>
      </w:pPr>
    </w:p>
    <w:p w14:paraId="51D7A8A5" w14:textId="77777777" w:rsidR="00CE43A6" w:rsidRDefault="00CE43A6" w:rsidP="002670E3">
      <w:pPr>
        <w:autoSpaceDE w:val="0"/>
        <w:autoSpaceDN w:val="0"/>
        <w:adjustRightInd w:val="0"/>
        <w:spacing w:before="120" w:after="120" w:line="240" w:lineRule="auto"/>
        <w:jc w:val="both"/>
        <w:rPr>
          <w:rFonts w:ascii="Verdana" w:hAnsi="Verdana"/>
          <w:b/>
          <w:sz w:val="20"/>
          <w:szCs w:val="20"/>
        </w:rPr>
      </w:pPr>
      <w:r>
        <w:rPr>
          <w:rFonts w:ascii="Verdana" w:hAnsi="Verdana"/>
          <w:b/>
          <w:sz w:val="20"/>
          <w:szCs w:val="20"/>
        </w:rPr>
        <w:t>CONSIDERANDO QUE:</w:t>
      </w:r>
    </w:p>
    <w:p w14:paraId="0584C644" w14:textId="11C7A3DC" w:rsidR="0055750B" w:rsidRPr="0055750B" w:rsidRDefault="00EE32EC" w:rsidP="0055750B">
      <w:pPr>
        <w:pStyle w:val="Prrafodelista"/>
        <w:numPr>
          <w:ilvl w:val="0"/>
          <w:numId w:val="3"/>
        </w:numPr>
        <w:autoSpaceDE w:val="0"/>
        <w:autoSpaceDN w:val="0"/>
        <w:adjustRightInd w:val="0"/>
        <w:spacing w:before="120" w:after="120" w:line="240" w:lineRule="auto"/>
        <w:ind w:left="0" w:firstLine="0"/>
        <w:contextualSpacing w:val="0"/>
        <w:jc w:val="both"/>
        <w:rPr>
          <w:rFonts w:ascii="Verdana" w:hAnsi="Verdana" w:cs="Arial"/>
          <w:sz w:val="20"/>
          <w:szCs w:val="20"/>
          <w:lang w:val="es-MX"/>
        </w:rPr>
      </w:pPr>
      <w:bookmarkStart w:id="6" w:name="_Ref26775548"/>
      <w:bookmarkStart w:id="7" w:name="_Ref3291976"/>
      <w:r w:rsidRPr="00EE32EC">
        <w:rPr>
          <w:rFonts w:ascii="Verdana" w:hAnsi="Verdana" w:cs="Arial"/>
          <w:sz w:val="20"/>
          <w:szCs w:val="20"/>
          <w:lang w:val="es-MX"/>
        </w:rPr>
        <w:t>En el ejercicio de su función jurisdiccional de supervisar el cumplimiento de sus decisiones</w:t>
      </w:r>
      <w:r>
        <w:rPr>
          <w:rStyle w:val="Refdenotaalpie"/>
          <w:rFonts w:ascii="Verdana" w:hAnsi="Verdana" w:cs="Arial"/>
          <w:sz w:val="20"/>
          <w:szCs w:val="20"/>
          <w:lang w:val="es-MX"/>
        </w:rPr>
        <w:footnoteReference w:id="5"/>
      </w:r>
      <w:r w:rsidRPr="00EE32EC">
        <w:rPr>
          <w:rFonts w:ascii="Verdana" w:hAnsi="Verdana" w:cs="Arial"/>
          <w:sz w:val="20"/>
          <w:szCs w:val="20"/>
          <w:lang w:val="es-MX"/>
        </w:rPr>
        <w:t xml:space="preserve">, la Corte ha venido supervisando la ejecución de la Sentencia emitida en el presente caso </w:t>
      </w:r>
      <w:r w:rsidR="00E2702D">
        <w:rPr>
          <w:rFonts w:ascii="Verdana" w:hAnsi="Verdana" w:cs="Arial"/>
          <w:sz w:val="20"/>
          <w:szCs w:val="20"/>
          <w:lang w:val="es-MX"/>
        </w:rPr>
        <w:t xml:space="preserve">en </w:t>
      </w:r>
      <w:r w:rsidR="00E70257">
        <w:rPr>
          <w:rFonts w:ascii="Verdana" w:hAnsi="Verdana" w:cs="Arial"/>
          <w:sz w:val="20"/>
          <w:szCs w:val="20"/>
          <w:lang w:val="es-MX"/>
        </w:rPr>
        <w:t>el 2016</w:t>
      </w:r>
      <w:r w:rsidRPr="00EE32EC">
        <w:rPr>
          <w:rFonts w:ascii="Verdana" w:hAnsi="Verdana" w:cs="Arial"/>
          <w:sz w:val="20"/>
          <w:szCs w:val="20"/>
          <w:lang w:val="es-MX"/>
        </w:rPr>
        <w:t xml:space="preserve"> (</w:t>
      </w:r>
      <w:r w:rsidRPr="00EE32EC">
        <w:rPr>
          <w:rFonts w:ascii="Verdana" w:hAnsi="Verdana" w:cs="Arial"/>
          <w:i/>
          <w:sz w:val="20"/>
          <w:szCs w:val="20"/>
          <w:lang w:val="es-MX"/>
        </w:rPr>
        <w:t>supra</w:t>
      </w:r>
      <w:r w:rsidR="00E70257">
        <w:rPr>
          <w:rFonts w:ascii="Verdana" w:hAnsi="Verdana" w:cs="Arial"/>
          <w:sz w:val="20"/>
          <w:szCs w:val="20"/>
          <w:lang w:val="es-MX"/>
        </w:rPr>
        <w:t xml:space="preserve"> Visto </w:t>
      </w:r>
      <w:r w:rsidR="002A206F">
        <w:rPr>
          <w:rFonts w:ascii="Verdana" w:hAnsi="Verdana" w:cs="Arial"/>
          <w:sz w:val="20"/>
          <w:szCs w:val="20"/>
          <w:lang w:val="es-MX"/>
        </w:rPr>
        <w:fldChar w:fldCharType="begin"/>
      </w:r>
      <w:r w:rsidR="002A206F">
        <w:rPr>
          <w:rFonts w:ascii="Verdana" w:hAnsi="Verdana" w:cs="Arial"/>
          <w:sz w:val="20"/>
          <w:szCs w:val="20"/>
          <w:lang w:val="es-MX"/>
        </w:rPr>
        <w:instrText xml:space="preserve"> REF _Ref26777377 \r \h </w:instrText>
      </w:r>
      <w:r w:rsidR="002A206F">
        <w:rPr>
          <w:rFonts w:ascii="Verdana" w:hAnsi="Verdana" w:cs="Arial"/>
          <w:sz w:val="20"/>
          <w:szCs w:val="20"/>
          <w:lang w:val="es-MX"/>
        </w:rPr>
      </w:r>
      <w:r w:rsidR="002A206F">
        <w:rPr>
          <w:rFonts w:ascii="Verdana" w:hAnsi="Verdana" w:cs="Arial"/>
          <w:sz w:val="20"/>
          <w:szCs w:val="20"/>
          <w:lang w:val="es-MX"/>
        </w:rPr>
        <w:fldChar w:fldCharType="separate"/>
      </w:r>
      <w:r w:rsidR="00630FCA">
        <w:rPr>
          <w:rFonts w:ascii="Verdana" w:hAnsi="Verdana" w:cs="Arial"/>
          <w:sz w:val="20"/>
          <w:szCs w:val="20"/>
          <w:lang w:val="es-MX"/>
        </w:rPr>
        <w:t>1</w:t>
      </w:r>
      <w:r w:rsidR="002A206F">
        <w:rPr>
          <w:rFonts w:ascii="Verdana" w:hAnsi="Verdana" w:cs="Arial"/>
          <w:sz w:val="20"/>
          <w:szCs w:val="20"/>
          <w:lang w:val="es-MX"/>
        </w:rPr>
        <w:fldChar w:fldCharType="end"/>
      </w:r>
      <w:r w:rsidR="00E70257">
        <w:rPr>
          <w:rFonts w:ascii="Verdana" w:hAnsi="Verdana" w:cs="Arial"/>
          <w:sz w:val="20"/>
          <w:szCs w:val="20"/>
          <w:lang w:val="es-MX"/>
        </w:rPr>
        <w:t xml:space="preserve">), </w:t>
      </w:r>
      <w:r w:rsidR="00E70257" w:rsidRPr="00E70257">
        <w:rPr>
          <w:rFonts w:ascii="Verdana" w:hAnsi="Verdana" w:cs="Arial"/>
          <w:sz w:val="20"/>
          <w:szCs w:val="20"/>
          <w:lang w:val="es-MX"/>
        </w:rPr>
        <w:t xml:space="preserve">en la cual se ordenaron </w:t>
      </w:r>
      <w:r w:rsidR="00E2702D">
        <w:rPr>
          <w:rFonts w:ascii="Verdana" w:hAnsi="Verdana" w:cs="Arial"/>
          <w:sz w:val="20"/>
          <w:szCs w:val="20"/>
          <w:lang w:val="es-MX"/>
        </w:rPr>
        <w:t>siete</w:t>
      </w:r>
      <w:r w:rsidR="00E2702D" w:rsidRPr="00E70257">
        <w:rPr>
          <w:rFonts w:ascii="Verdana" w:hAnsi="Verdana" w:cs="Arial"/>
          <w:sz w:val="20"/>
          <w:szCs w:val="20"/>
          <w:lang w:val="es-MX"/>
        </w:rPr>
        <w:t xml:space="preserve"> </w:t>
      </w:r>
      <w:r w:rsidR="00E70257" w:rsidRPr="00E70257">
        <w:rPr>
          <w:rFonts w:ascii="Verdana" w:hAnsi="Verdana" w:cs="Arial"/>
          <w:sz w:val="20"/>
          <w:szCs w:val="20"/>
          <w:lang w:val="es-MX"/>
        </w:rPr>
        <w:t xml:space="preserve">medidas de </w:t>
      </w:r>
      <w:r w:rsidR="00FF273A">
        <w:rPr>
          <w:rFonts w:ascii="Verdana" w:hAnsi="Verdana" w:cs="Arial"/>
          <w:sz w:val="20"/>
          <w:szCs w:val="20"/>
          <w:lang w:val="es-MX"/>
        </w:rPr>
        <w:t xml:space="preserve">reparación </w:t>
      </w:r>
      <w:r w:rsidRPr="00EE32EC">
        <w:rPr>
          <w:rFonts w:ascii="Verdana" w:hAnsi="Verdana" w:cs="Arial"/>
          <w:sz w:val="20"/>
          <w:szCs w:val="20"/>
          <w:lang w:val="es-MX"/>
        </w:rPr>
        <w:t>(</w:t>
      </w:r>
      <w:r w:rsidRPr="00E70257">
        <w:rPr>
          <w:rFonts w:ascii="Verdana" w:hAnsi="Verdana" w:cs="Arial"/>
          <w:i/>
          <w:sz w:val="20"/>
          <w:szCs w:val="20"/>
          <w:lang w:val="es-MX"/>
        </w:rPr>
        <w:t>in</w:t>
      </w:r>
      <w:r w:rsidRPr="00571CB7">
        <w:rPr>
          <w:rFonts w:ascii="Verdana" w:hAnsi="Verdana" w:cs="Arial"/>
          <w:i/>
          <w:sz w:val="20"/>
          <w:szCs w:val="20"/>
          <w:lang w:val="es-MX"/>
        </w:rPr>
        <w:t>fra</w:t>
      </w:r>
      <w:r w:rsidRPr="00EE32EC">
        <w:rPr>
          <w:rFonts w:ascii="Verdana" w:hAnsi="Verdana" w:cs="Arial"/>
          <w:sz w:val="20"/>
          <w:szCs w:val="20"/>
          <w:lang w:val="es-MX"/>
        </w:rPr>
        <w:t xml:space="preserve"> Considerandos</w:t>
      </w:r>
      <w:r w:rsidR="00E55423">
        <w:rPr>
          <w:rFonts w:ascii="Verdana" w:hAnsi="Verdana" w:cs="Arial"/>
          <w:sz w:val="20"/>
          <w:szCs w:val="20"/>
          <w:lang w:val="es-MX"/>
        </w:rPr>
        <w:t>7, 19, 31, 39, 44 y 50</w:t>
      </w:r>
      <w:r w:rsidRPr="00EE32EC">
        <w:rPr>
          <w:rFonts w:ascii="Verdana" w:hAnsi="Verdana" w:cs="Arial"/>
          <w:sz w:val="20"/>
          <w:szCs w:val="20"/>
          <w:lang w:val="es-MX"/>
        </w:rPr>
        <w:t>)</w:t>
      </w:r>
      <w:r w:rsidR="00E2702D">
        <w:rPr>
          <w:rFonts w:ascii="Verdana" w:hAnsi="Verdana" w:cs="Arial"/>
          <w:sz w:val="20"/>
          <w:szCs w:val="20"/>
          <w:lang w:val="es-MX"/>
        </w:rPr>
        <w:t xml:space="preserve">, y el reintegro al Fondo de Asistencia Legal de Víctimas de la Corte Interamericana </w:t>
      </w:r>
      <w:r w:rsidR="00CC1A6F">
        <w:rPr>
          <w:rFonts w:ascii="Verdana" w:hAnsi="Verdana" w:cs="Arial"/>
          <w:sz w:val="20"/>
          <w:szCs w:val="20"/>
          <w:lang w:val="es-MX"/>
        </w:rPr>
        <w:t xml:space="preserve">(en adelante también “Fondo de Asistencia”) </w:t>
      </w:r>
      <w:r w:rsidR="00E2702D">
        <w:rPr>
          <w:rFonts w:ascii="Verdana" w:hAnsi="Verdana" w:cs="Arial"/>
          <w:sz w:val="20"/>
          <w:szCs w:val="20"/>
          <w:lang w:val="es-MX"/>
        </w:rPr>
        <w:t>(</w:t>
      </w:r>
      <w:r w:rsidR="00E2702D" w:rsidRPr="00E2702D">
        <w:rPr>
          <w:rFonts w:ascii="Verdana" w:hAnsi="Verdana" w:cs="Arial"/>
          <w:i/>
          <w:sz w:val="20"/>
          <w:szCs w:val="20"/>
          <w:lang w:val="es-MX"/>
        </w:rPr>
        <w:t>infra</w:t>
      </w:r>
      <w:r w:rsidR="00E2702D">
        <w:rPr>
          <w:rFonts w:ascii="Verdana" w:hAnsi="Verdana" w:cs="Arial"/>
          <w:sz w:val="20"/>
          <w:szCs w:val="20"/>
          <w:lang w:val="es-MX"/>
        </w:rPr>
        <w:t xml:space="preserve"> Considerando</w:t>
      </w:r>
      <w:r w:rsidR="00E55423">
        <w:rPr>
          <w:rFonts w:ascii="Verdana" w:hAnsi="Verdana" w:cs="Arial"/>
          <w:sz w:val="20"/>
          <w:szCs w:val="20"/>
          <w:lang w:val="es-MX"/>
        </w:rPr>
        <w:t>59</w:t>
      </w:r>
      <w:r w:rsidR="00E2702D">
        <w:rPr>
          <w:rFonts w:ascii="Verdana" w:hAnsi="Verdana" w:cs="Arial"/>
          <w:sz w:val="20"/>
          <w:szCs w:val="20"/>
          <w:lang w:val="es-MX"/>
        </w:rPr>
        <w:t>)</w:t>
      </w:r>
      <w:r w:rsidRPr="00EE32EC">
        <w:rPr>
          <w:rFonts w:ascii="Verdana" w:hAnsi="Verdana" w:cs="Arial"/>
          <w:sz w:val="20"/>
          <w:szCs w:val="20"/>
          <w:lang w:val="es-MX"/>
        </w:rPr>
        <w:t>.</w:t>
      </w:r>
      <w:bookmarkEnd w:id="6"/>
      <w:r w:rsidR="00AF444A" w:rsidRPr="00EE32EC">
        <w:rPr>
          <w:rFonts w:ascii="Verdana" w:hAnsi="Verdana"/>
          <w:sz w:val="20"/>
          <w:szCs w:val="20"/>
        </w:rPr>
        <w:t xml:space="preserve"> </w:t>
      </w:r>
    </w:p>
    <w:p w14:paraId="48FECD9A" w14:textId="52E5B066" w:rsidR="0055750B" w:rsidRPr="0055750B" w:rsidRDefault="0055750B" w:rsidP="0055750B">
      <w:pPr>
        <w:pStyle w:val="Prrafodelista"/>
        <w:numPr>
          <w:ilvl w:val="0"/>
          <w:numId w:val="3"/>
        </w:numPr>
        <w:autoSpaceDE w:val="0"/>
        <w:autoSpaceDN w:val="0"/>
        <w:adjustRightInd w:val="0"/>
        <w:spacing w:before="120" w:after="120" w:line="240" w:lineRule="auto"/>
        <w:ind w:left="0" w:firstLine="0"/>
        <w:contextualSpacing w:val="0"/>
        <w:jc w:val="both"/>
        <w:rPr>
          <w:rFonts w:ascii="Verdana" w:hAnsi="Verdana" w:cs="Arial"/>
          <w:sz w:val="20"/>
          <w:szCs w:val="20"/>
          <w:lang w:val="es-MX"/>
        </w:rPr>
      </w:pPr>
      <w:r w:rsidRPr="0055750B">
        <w:rPr>
          <w:rFonts w:ascii="Verdana" w:hAnsi="Verdana"/>
          <w:sz w:val="20"/>
          <w:szCs w:val="20"/>
        </w:rPr>
        <w:t>De conformidad con lo establecido en el artículo 68.1 de la Convención Americana sobre Derechos Humanos,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Refdenotaalpie"/>
          <w:rFonts w:ascii="Verdana" w:hAnsi="Verdana"/>
        </w:rPr>
        <w:footnoteReference w:id="6"/>
      </w:r>
      <w:r w:rsidRPr="0055750B">
        <w:rPr>
          <w:rFonts w:ascii="Verdana" w:hAnsi="Verdana"/>
          <w:sz w:val="20"/>
          <w:szCs w:val="20"/>
        </w:rPr>
        <w:t>. Los Estados Parte en la Convención deben garantizar el cumplimiento de las disposiciones convencionales y sus efectos propios (</w:t>
      </w:r>
      <w:proofErr w:type="spellStart"/>
      <w:r w:rsidRPr="0055750B">
        <w:rPr>
          <w:rFonts w:ascii="Verdana" w:hAnsi="Verdana"/>
          <w:i/>
          <w:sz w:val="20"/>
          <w:szCs w:val="20"/>
        </w:rPr>
        <w:t>effet</w:t>
      </w:r>
      <w:proofErr w:type="spellEnd"/>
      <w:r w:rsidRPr="0055750B">
        <w:rPr>
          <w:rFonts w:ascii="Verdana" w:hAnsi="Verdana"/>
          <w:i/>
          <w:sz w:val="20"/>
          <w:szCs w:val="20"/>
        </w:rPr>
        <w:t xml:space="preserve"> </w:t>
      </w:r>
      <w:proofErr w:type="spellStart"/>
      <w:r w:rsidRPr="0055750B">
        <w:rPr>
          <w:rFonts w:ascii="Verdana" w:hAnsi="Verdana"/>
          <w:i/>
          <w:sz w:val="20"/>
          <w:szCs w:val="20"/>
        </w:rPr>
        <w:t>utile</w:t>
      </w:r>
      <w:proofErr w:type="spellEnd"/>
      <w:r w:rsidRPr="0055750B">
        <w:rPr>
          <w:rFonts w:ascii="Verdana" w:hAnsi="Verdana"/>
          <w:sz w:val="20"/>
          <w:szCs w:val="20"/>
        </w:rPr>
        <w:t xml:space="preserve">) en el plano de sus respectivos derechos internos. Estas obligaciones deben ser interpretadas y aplicadas de manera que la garantía protegida sea verdaderamente </w:t>
      </w:r>
      <w:r w:rsidRPr="0055750B">
        <w:rPr>
          <w:rFonts w:ascii="Verdana" w:hAnsi="Verdana"/>
          <w:sz w:val="20"/>
          <w:szCs w:val="20"/>
        </w:rPr>
        <w:lastRenderedPageBreak/>
        <w:t>práctica y eficaz, teniendo presente la naturaleza especial de los tratados de derechos humanos</w:t>
      </w:r>
      <w:r>
        <w:rPr>
          <w:rStyle w:val="Refdenotaalpie"/>
          <w:rFonts w:ascii="Verdana" w:hAnsi="Verdana"/>
        </w:rPr>
        <w:footnoteReference w:id="7"/>
      </w:r>
      <w:r w:rsidRPr="0055750B">
        <w:rPr>
          <w:rFonts w:ascii="Verdana" w:hAnsi="Verdana"/>
          <w:sz w:val="20"/>
          <w:szCs w:val="20"/>
        </w:rPr>
        <w:t>.</w:t>
      </w:r>
    </w:p>
    <w:p w14:paraId="797992A1" w14:textId="3B364BEE" w:rsidR="00D6081F" w:rsidRPr="002A206F" w:rsidRDefault="00544066" w:rsidP="007361D1">
      <w:pPr>
        <w:pStyle w:val="Prrafodelista"/>
        <w:numPr>
          <w:ilvl w:val="0"/>
          <w:numId w:val="3"/>
        </w:numPr>
        <w:autoSpaceDE w:val="0"/>
        <w:autoSpaceDN w:val="0"/>
        <w:adjustRightInd w:val="0"/>
        <w:spacing w:before="120" w:after="120" w:line="240" w:lineRule="auto"/>
        <w:ind w:left="0" w:firstLine="0"/>
        <w:contextualSpacing w:val="0"/>
        <w:jc w:val="both"/>
        <w:rPr>
          <w:rFonts w:ascii="Verdana" w:hAnsi="Verdana"/>
          <w:sz w:val="20"/>
          <w:szCs w:val="20"/>
        </w:rPr>
      </w:pPr>
      <w:bookmarkStart w:id="8" w:name="_Ref26777135"/>
      <w:r w:rsidRPr="00773B9F">
        <w:rPr>
          <w:rFonts w:ascii="Verdana" w:hAnsi="Verdana"/>
          <w:sz w:val="20"/>
          <w:szCs w:val="20"/>
        </w:rPr>
        <w:t xml:space="preserve">Seguidamente, la Corte valorará la información presentada por las partes </w:t>
      </w:r>
      <w:r w:rsidR="00571CB7" w:rsidRPr="00773B9F">
        <w:rPr>
          <w:rFonts w:ascii="Verdana" w:hAnsi="Verdana"/>
          <w:sz w:val="20"/>
          <w:szCs w:val="20"/>
        </w:rPr>
        <w:t xml:space="preserve">sobre </w:t>
      </w:r>
      <w:r w:rsidRPr="002A206F">
        <w:rPr>
          <w:rFonts w:ascii="Verdana" w:hAnsi="Verdana"/>
          <w:sz w:val="20"/>
          <w:szCs w:val="20"/>
        </w:rPr>
        <w:t xml:space="preserve">las siete </w:t>
      </w:r>
      <w:r w:rsidR="00571CB7" w:rsidRPr="002A206F">
        <w:rPr>
          <w:rFonts w:ascii="Verdana" w:hAnsi="Verdana"/>
          <w:sz w:val="20"/>
          <w:szCs w:val="20"/>
        </w:rPr>
        <w:t>medidas de reparación</w:t>
      </w:r>
      <w:r w:rsidR="00144E13" w:rsidRPr="002A206F">
        <w:rPr>
          <w:rFonts w:ascii="Verdana" w:hAnsi="Verdana"/>
          <w:sz w:val="20"/>
          <w:szCs w:val="20"/>
        </w:rPr>
        <w:t xml:space="preserve"> ordenadas en la Sentencia</w:t>
      </w:r>
      <w:r w:rsidR="00FF273A" w:rsidRPr="002A206F">
        <w:rPr>
          <w:rFonts w:ascii="Verdana" w:hAnsi="Verdana"/>
          <w:sz w:val="20"/>
          <w:szCs w:val="20"/>
        </w:rPr>
        <w:t xml:space="preserve">, y </w:t>
      </w:r>
      <w:r w:rsidRPr="002A206F">
        <w:rPr>
          <w:rFonts w:ascii="Verdana" w:hAnsi="Verdana"/>
          <w:sz w:val="20"/>
          <w:szCs w:val="20"/>
        </w:rPr>
        <w:t>determinará el grado de cumplimiento por parte del Estado</w:t>
      </w:r>
      <w:r w:rsidR="0014538A" w:rsidRPr="002A206F">
        <w:rPr>
          <w:rFonts w:ascii="Verdana" w:hAnsi="Verdana"/>
          <w:sz w:val="20"/>
          <w:szCs w:val="20"/>
        </w:rPr>
        <w:t>.</w:t>
      </w:r>
      <w:r w:rsidR="00064EAB" w:rsidRPr="002A206F">
        <w:rPr>
          <w:rFonts w:ascii="Verdana" w:eastAsia="Times" w:hAnsi="Verdana"/>
          <w:sz w:val="20"/>
          <w:szCs w:val="20"/>
        </w:rPr>
        <w:t xml:space="preserve"> </w:t>
      </w:r>
      <w:r w:rsidRPr="002A206F">
        <w:rPr>
          <w:rFonts w:ascii="Verdana" w:eastAsia="Times" w:hAnsi="Verdana"/>
          <w:sz w:val="20"/>
          <w:szCs w:val="20"/>
        </w:rPr>
        <w:t>Asimismo, la Corte se pronunciará sobre el incumplimiento del reintegro al Fondo de Asistencia Legal de Víctimas</w:t>
      </w:r>
      <w:r w:rsidRPr="00773B9F">
        <w:rPr>
          <w:rFonts w:ascii="Verdana" w:eastAsia="Times" w:hAnsi="Verdana"/>
          <w:sz w:val="20"/>
          <w:szCs w:val="20"/>
        </w:rPr>
        <w:t xml:space="preserve">. </w:t>
      </w:r>
      <w:r w:rsidR="008B6894" w:rsidRPr="002A206F">
        <w:rPr>
          <w:rFonts w:ascii="Verdana" w:eastAsia="Times" w:hAnsi="Verdana"/>
          <w:sz w:val="20"/>
          <w:szCs w:val="20"/>
        </w:rPr>
        <w:t>El Tribunal tomará en cuenta, en la medida de lo pertinente, lo expuesto por la Defensoría del Pueblo de Colombia en su informe sobre el cumplimiento de las Sentencias</w:t>
      </w:r>
      <w:r w:rsidR="00023B64" w:rsidRPr="002A206F">
        <w:rPr>
          <w:rFonts w:ascii="Verdana" w:eastAsia="Times" w:hAnsi="Verdana"/>
          <w:sz w:val="20"/>
          <w:szCs w:val="20"/>
        </w:rPr>
        <w:t xml:space="preserve"> emitidas por la Corte Interamericana contra ese Estado (</w:t>
      </w:r>
      <w:r w:rsidR="00023B64" w:rsidRPr="007361D1">
        <w:rPr>
          <w:rFonts w:ascii="Verdana" w:eastAsia="Times" w:hAnsi="Verdana"/>
          <w:i/>
          <w:sz w:val="20"/>
          <w:szCs w:val="20"/>
        </w:rPr>
        <w:t>supra</w:t>
      </w:r>
      <w:r w:rsidR="00023B64" w:rsidRPr="00773B9F">
        <w:rPr>
          <w:rFonts w:ascii="Verdana" w:eastAsia="Times" w:hAnsi="Verdana"/>
          <w:sz w:val="20"/>
          <w:szCs w:val="20"/>
        </w:rPr>
        <w:t xml:space="preserve"> Visto </w:t>
      </w:r>
      <w:r w:rsidR="00AD317E">
        <w:rPr>
          <w:rFonts w:ascii="Verdana" w:eastAsia="Times" w:hAnsi="Verdana"/>
          <w:sz w:val="20"/>
          <w:szCs w:val="20"/>
        </w:rPr>
        <w:fldChar w:fldCharType="begin"/>
      </w:r>
      <w:r w:rsidR="00AD317E">
        <w:rPr>
          <w:rFonts w:ascii="Verdana" w:eastAsia="Times" w:hAnsi="Verdana"/>
          <w:sz w:val="20"/>
          <w:szCs w:val="20"/>
        </w:rPr>
        <w:instrText xml:space="preserve"> REF _Ref26778239 \r \h </w:instrText>
      </w:r>
      <w:r w:rsidR="00AD317E">
        <w:rPr>
          <w:rFonts w:ascii="Verdana" w:eastAsia="Times" w:hAnsi="Verdana"/>
          <w:sz w:val="20"/>
          <w:szCs w:val="20"/>
        </w:rPr>
      </w:r>
      <w:r w:rsidR="00AD317E">
        <w:rPr>
          <w:rFonts w:ascii="Verdana" w:eastAsia="Times" w:hAnsi="Verdana"/>
          <w:sz w:val="20"/>
          <w:szCs w:val="20"/>
        </w:rPr>
        <w:fldChar w:fldCharType="separate"/>
      </w:r>
      <w:r w:rsidR="00630FCA">
        <w:rPr>
          <w:rFonts w:ascii="Verdana" w:eastAsia="Times" w:hAnsi="Verdana"/>
          <w:sz w:val="20"/>
          <w:szCs w:val="20"/>
        </w:rPr>
        <w:t>6</w:t>
      </w:r>
      <w:r w:rsidR="00AD317E">
        <w:rPr>
          <w:rFonts w:ascii="Verdana" w:eastAsia="Times" w:hAnsi="Verdana"/>
          <w:sz w:val="20"/>
          <w:szCs w:val="20"/>
        </w:rPr>
        <w:fldChar w:fldCharType="end"/>
      </w:r>
      <w:r w:rsidR="00023B64" w:rsidRPr="00773B9F">
        <w:rPr>
          <w:rFonts w:ascii="Verdana" w:eastAsia="Times" w:hAnsi="Verdana"/>
          <w:sz w:val="20"/>
          <w:szCs w:val="20"/>
        </w:rPr>
        <w:t>)</w:t>
      </w:r>
      <w:r w:rsidR="00023B64" w:rsidRPr="00D6081F">
        <w:rPr>
          <w:rStyle w:val="Refdenotaalpie"/>
          <w:rFonts w:ascii="Verdana" w:eastAsia="Times" w:hAnsi="Verdana"/>
          <w:sz w:val="20"/>
          <w:szCs w:val="20"/>
        </w:rPr>
        <w:footnoteReference w:id="8"/>
      </w:r>
      <w:r w:rsidR="00023B64" w:rsidRPr="00773B9F">
        <w:rPr>
          <w:rFonts w:ascii="Verdana" w:eastAsia="Times" w:hAnsi="Verdana"/>
          <w:sz w:val="20"/>
          <w:szCs w:val="20"/>
        </w:rPr>
        <w:t xml:space="preserve">. </w:t>
      </w:r>
      <w:r w:rsidR="00D6081F" w:rsidRPr="00773B9F">
        <w:rPr>
          <w:rFonts w:ascii="Verdana" w:hAnsi="Verdana"/>
          <w:sz w:val="20"/>
          <w:szCs w:val="20"/>
        </w:rPr>
        <w:t>Ello será valorado por el Tribunal como “otra fuente de i</w:t>
      </w:r>
      <w:r w:rsidR="00D6081F" w:rsidRPr="002A206F">
        <w:rPr>
          <w:rFonts w:ascii="Verdana" w:hAnsi="Verdana"/>
          <w:sz w:val="20"/>
          <w:szCs w:val="20"/>
        </w:rPr>
        <w:t>nformación” que le permita apreciar el cumplimiento de lo ordenado, conforme lo dispuesto en el 69.2 del Reglamento de la Corte</w:t>
      </w:r>
      <w:r w:rsidR="00D6081F" w:rsidRPr="00D6081F">
        <w:rPr>
          <w:rStyle w:val="Refdenotaalpie"/>
          <w:rFonts w:ascii="Verdana" w:hAnsi="Verdana"/>
          <w:sz w:val="20"/>
          <w:szCs w:val="20"/>
        </w:rPr>
        <w:footnoteReference w:id="9"/>
      </w:r>
      <w:r w:rsidR="00D6081F" w:rsidRPr="00773B9F">
        <w:rPr>
          <w:rFonts w:ascii="Verdana" w:hAnsi="Verdana"/>
          <w:sz w:val="20"/>
          <w:szCs w:val="20"/>
        </w:rPr>
        <w:t xml:space="preserve">, y se entiende que esta información es distinta a la que brinda el Estado en su carácter de parte en el proceso de supervisión </w:t>
      </w:r>
      <w:r w:rsidR="00D6081F" w:rsidRPr="002A206F">
        <w:rPr>
          <w:rFonts w:ascii="Verdana" w:hAnsi="Verdana"/>
          <w:sz w:val="20"/>
          <w:szCs w:val="20"/>
        </w:rPr>
        <w:t>de cumplimiento.</w:t>
      </w:r>
      <w:bookmarkEnd w:id="8"/>
    </w:p>
    <w:p w14:paraId="7B71DE06" w14:textId="77777777" w:rsidR="005E663D" w:rsidRPr="00E97B0C" w:rsidRDefault="008B6894" w:rsidP="00023B64">
      <w:pPr>
        <w:pStyle w:val="Prrafodelista"/>
        <w:numPr>
          <w:ilvl w:val="0"/>
          <w:numId w:val="3"/>
        </w:numPr>
        <w:autoSpaceDE w:val="0"/>
        <w:autoSpaceDN w:val="0"/>
        <w:adjustRightInd w:val="0"/>
        <w:spacing w:before="120" w:after="120" w:line="240" w:lineRule="auto"/>
        <w:ind w:left="0" w:firstLine="0"/>
        <w:contextualSpacing w:val="0"/>
        <w:jc w:val="both"/>
        <w:rPr>
          <w:rFonts w:ascii="Verdana" w:hAnsi="Verdana" w:cs="Arial"/>
          <w:sz w:val="20"/>
          <w:szCs w:val="20"/>
          <w:lang w:val="es-MX"/>
        </w:rPr>
      </w:pPr>
      <w:r w:rsidRPr="00E97B0C">
        <w:rPr>
          <w:rFonts w:ascii="Verdana" w:hAnsi="Verdana" w:cs="Arial"/>
          <w:sz w:val="20"/>
          <w:szCs w:val="20"/>
          <w:lang w:val="es-MX"/>
        </w:rPr>
        <w:t>L</w:t>
      </w:r>
      <w:r w:rsidR="005E663D" w:rsidRPr="00E97B0C">
        <w:rPr>
          <w:rFonts w:ascii="Verdana" w:hAnsi="Verdana" w:cs="Arial"/>
          <w:sz w:val="20"/>
          <w:szCs w:val="20"/>
          <w:lang w:val="es-MX"/>
        </w:rPr>
        <w:t xml:space="preserve">a Corte estructurará sus consideraciones en el siguiente orden: </w:t>
      </w:r>
    </w:p>
    <w:p w14:paraId="1E825E63" w14:textId="34A9D12B" w:rsidR="00420794" w:rsidRPr="00420794" w:rsidRDefault="005E663D" w:rsidP="00D6081F">
      <w:pPr>
        <w:pStyle w:val="TDC2"/>
        <w:numPr>
          <w:ilvl w:val="0"/>
          <w:numId w:val="44"/>
        </w:numPr>
        <w:tabs>
          <w:tab w:val="left" w:pos="880"/>
          <w:tab w:val="right" w:leader="dot" w:pos="8828"/>
        </w:tabs>
        <w:spacing w:line="240" w:lineRule="auto"/>
        <w:jc w:val="both"/>
        <w:rPr>
          <w:rFonts w:ascii="Verdana" w:eastAsiaTheme="minorEastAsia" w:hAnsi="Verdana"/>
          <w:noProof/>
          <w:sz w:val="16"/>
          <w:szCs w:val="16"/>
          <w:lang w:val="en-US"/>
        </w:rPr>
      </w:pPr>
      <w:r w:rsidRPr="00420794">
        <w:rPr>
          <w:rFonts w:ascii="Verdana" w:eastAsia="Times" w:hAnsi="Verdana"/>
          <w:i/>
          <w:sz w:val="16"/>
          <w:szCs w:val="16"/>
        </w:rPr>
        <w:fldChar w:fldCharType="begin"/>
      </w:r>
      <w:r w:rsidRPr="00420794">
        <w:rPr>
          <w:rFonts w:ascii="Verdana" w:eastAsia="Times" w:hAnsi="Verdana"/>
          <w:i/>
          <w:sz w:val="16"/>
          <w:szCs w:val="16"/>
        </w:rPr>
        <w:instrText xml:space="preserve"> TOC \o "1-3" \h \z \u </w:instrText>
      </w:r>
      <w:r w:rsidRPr="00420794">
        <w:rPr>
          <w:rFonts w:ascii="Verdana" w:eastAsia="Times" w:hAnsi="Verdana"/>
          <w:i/>
          <w:sz w:val="16"/>
          <w:szCs w:val="16"/>
        </w:rPr>
        <w:fldChar w:fldCharType="separate"/>
      </w:r>
      <w:hyperlink w:anchor="_Toc23769100" w:history="1">
        <w:r w:rsidR="00420794" w:rsidRPr="00420794">
          <w:rPr>
            <w:rStyle w:val="Hipervnculo"/>
            <w:rFonts w:ascii="Verdana" w:hAnsi="Verdana"/>
            <w:i/>
            <w:noProof/>
            <w:sz w:val="16"/>
            <w:szCs w:val="16"/>
          </w:rPr>
          <w:t>Continuar la investigación por el desplazamiento forzado de la señora Rúa Figueroa y sus familiares</w:t>
        </w:r>
        <w:r w:rsidR="00420794" w:rsidRPr="00420794">
          <w:rPr>
            <w:rFonts w:ascii="Verdana" w:hAnsi="Verdana"/>
            <w:noProof/>
            <w:webHidden/>
            <w:sz w:val="16"/>
            <w:szCs w:val="16"/>
          </w:rPr>
          <w:tab/>
        </w:r>
        <w:r w:rsidR="00420794" w:rsidRPr="00420794">
          <w:rPr>
            <w:rFonts w:ascii="Verdana" w:hAnsi="Verdana"/>
            <w:noProof/>
            <w:webHidden/>
            <w:sz w:val="16"/>
            <w:szCs w:val="16"/>
          </w:rPr>
          <w:fldChar w:fldCharType="begin"/>
        </w:r>
        <w:r w:rsidR="00420794" w:rsidRPr="00420794">
          <w:rPr>
            <w:rFonts w:ascii="Verdana" w:hAnsi="Verdana"/>
            <w:noProof/>
            <w:webHidden/>
            <w:sz w:val="16"/>
            <w:szCs w:val="16"/>
          </w:rPr>
          <w:instrText xml:space="preserve"> PAGEREF _Toc23769100 \h </w:instrText>
        </w:r>
        <w:r w:rsidR="00420794" w:rsidRPr="00420794">
          <w:rPr>
            <w:rFonts w:ascii="Verdana" w:hAnsi="Verdana"/>
            <w:noProof/>
            <w:webHidden/>
            <w:sz w:val="16"/>
            <w:szCs w:val="16"/>
          </w:rPr>
        </w:r>
        <w:r w:rsidR="00420794" w:rsidRPr="00420794">
          <w:rPr>
            <w:rFonts w:ascii="Verdana" w:hAnsi="Verdana"/>
            <w:noProof/>
            <w:webHidden/>
            <w:sz w:val="16"/>
            <w:szCs w:val="16"/>
          </w:rPr>
          <w:fldChar w:fldCharType="separate"/>
        </w:r>
        <w:r w:rsidR="00630FCA">
          <w:rPr>
            <w:rFonts w:ascii="Verdana" w:hAnsi="Verdana"/>
            <w:noProof/>
            <w:webHidden/>
            <w:sz w:val="16"/>
            <w:szCs w:val="16"/>
          </w:rPr>
          <w:t>3</w:t>
        </w:r>
        <w:r w:rsidR="00420794" w:rsidRPr="00420794">
          <w:rPr>
            <w:rFonts w:ascii="Verdana" w:hAnsi="Verdana"/>
            <w:noProof/>
            <w:webHidden/>
            <w:sz w:val="16"/>
            <w:szCs w:val="16"/>
          </w:rPr>
          <w:fldChar w:fldCharType="end"/>
        </w:r>
      </w:hyperlink>
    </w:p>
    <w:p w14:paraId="0A6BB091" w14:textId="72194440" w:rsidR="00420794" w:rsidRPr="00420794" w:rsidRDefault="00630FCA" w:rsidP="00D6081F">
      <w:pPr>
        <w:pStyle w:val="TDC2"/>
        <w:numPr>
          <w:ilvl w:val="0"/>
          <w:numId w:val="44"/>
        </w:numPr>
        <w:tabs>
          <w:tab w:val="left" w:pos="880"/>
          <w:tab w:val="right" w:leader="dot" w:pos="8828"/>
        </w:tabs>
        <w:spacing w:line="240" w:lineRule="auto"/>
        <w:jc w:val="both"/>
        <w:rPr>
          <w:rFonts w:ascii="Verdana" w:eastAsiaTheme="minorEastAsia" w:hAnsi="Verdana"/>
          <w:noProof/>
          <w:sz w:val="16"/>
          <w:szCs w:val="16"/>
          <w:lang w:val="en-US"/>
        </w:rPr>
      </w:pPr>
      <w:hyperlink w:anchor="_Toc23769101" w:history="1">
        <w:r w:rsidR="00420794" w:rsidRPr="00420794">
          <w:rPr>
            <w:rStyle w:val="Hipervnculo"/>
            <w:rFonts w:ascii="Verdana" w:hAnsi="Verdana"/>
            <w:i/>
            <w:noProof/>
            <w:sz w:val="16"/>
            <w:szCs w:val="16"/>
          </w:rPr>
          <w:t>Brindar tratamiento de salud y psicológico a las víctimas</w:t>
        </w:r>
        <w:r w:rsidR="00420794" w:rsidRPr="00420794">
          <w:rPr>
            <w:rFonts w:ascii="Verdana" w:hAnsi="Verdana"/>
            <w:noProof/>
            <w:webHidden/>
            <w:sz w:val="16"/>
            <w:szCs w:val="16"/>
          </w:rPr>
          <w:tab/>
        </w:r>
        <w:r w:rsidR="00420794" w:rsidRPr="00420794">
          <w:rPr>
            <w:rFonts w:ascii="Verdana" w:hAnsi="Verdana"/>
            <w:noProof/>
            <w:webHidden/>
            <w:sz w:val="16"/>
            <w:szCs w:val="16"/>
          </w:rPr>
          <w:fldChar w:fldCharType="begin"/>
        </w:r>
        <w:r w:rsidR="00420794" w:rsidRPr="00420794">
          <w:rPr>
            <w:rFonts w:ascii="Verdana" w:hAnsi="Verdana"/>
            <w:noProof/>
            <w:webHidden/>
            <w:sz w:val="16"/>
            <w:szCs w:val="16"/>
          </w:rPr>
          <w:instrText xml:space="preserve"> PAGEREF _Toc23769101 \h </w:instrText>
        </w:r>
        <w:r w:rsidR="00420794" w:rsidRPr="00420794">
          <w:rPr>
            <w:rFonts w:ascii="Verdana" w:hAnsi="Verdana"/>
            <w:noProof/>
            <w:webHidden/>
            <w:sz w:val="16"/>
            <w:szCs w:val="16"/>
          </w:rPr>
        </w:r>
        <w:r w:rsidR="00420794" w:rsidRPr="00420794">
          <w:rPr>
            <w:rFonts w:ascii="Verdana" w:hAnsi="Verdana"/>
            <w:noProof/>
            <w:webHidden/>
            <w:sz w:val="16"/>
            <w:szCs w:val="16"/>
          </w:rPr>
          <w:fldChar w:fldCharType="separate"/>
        </w:r>
        <w:r>
          <w:rPr>
            <w:rFonts w:ascii="Verdana" w:hAnsi="Verdana"/>
            <w:noProof/>
            <w:webHidden/>
            <w:sz w:val="16"/>
            <w:szCs w:val="16"/>
          </w:rPr>
          <w:t>8</w:t>
        </w:r>
        <w:r w:rsidR="00420794" w:rsidRPr="00420794">
          <w:rPr>
            <w:rFonts w:ascii="Verdana" w:hAnsi="Verdana"/>
            <w:noProof/>
            <w:webHidden/>
            <w:sz w:val="16"/>
            <w:szCs w:val="16"/>
          </w:rPr>
          <w:fldChar w:fldCharType="end"/>
        </w:r>
      </w:hyperlink>
    </w:p>
    <w:p w14:paraId="606171C8" w14:textId="41BCA172" w:rsidR="00420794" w:rsidRPr="00420794" w:rsidRDefault="00630FCA" w:rsidP="00D6081F">
      <w:pPr>
        <w:pStyle w:val="TDC2"/>
        <w:numPr>
          <w:ilvl w:val="0"/>
          <w:numId w:val="44"/>
        </w:numPr>
        <w:tabs>
          <w:tab w:val="left" w:pos="880"/>
          <w:tab w:val="right" w:leader="dot" w:pos="8828"/>
        </w:tabs>
        <w:spacing w:line="240" w:lineRule="auto"/>
        <w:jc w:val="both"/>
        <w:rPr>
          <w:rFonts w:ascii="Verdana" w:eastAsiaTheme="minorEastAsia" w:hAnsi="Verdana"/>
          <w:noProof/>
          <w:sz w:val="16"/>
          <w:szCs w:val="16"/>
          <w:lang w:val="en-US"/>
        </w:rPr>
      </w:pPr>
      <w:hyperlink w:anchor="_Toc23769102" w:history="1">
        <w:r w:rsidR="00420794" w:rsidRPr="00420794">
          <w:rPr>
            <w:rStyle w:val="Hipervnculo"/>
            <w:rFonts w:ascii="Verdana" w:hAnsi="Verdana"/>
            <w:i/>
            <w:noProof/>
            <w:sz w:val="16"/>
            <w:szCs w:val="16"/>
          </w:rPr>
          <w:t>Publicación y difusión de la Sentencia</w:t>
        </w:r>
        <w:r w:rsidR="00420794" w:rsidRPr="00420794">
          <w:rPr>
            <w:rFonts w:ascii="Verdana" w:hAnsi="Verdana"/>
            <w:noProof/>
            <w:webHidden/>
            <w:sz w:val="16"/>
            <w:szCs w:val="16"/>
          </w:rPr>
          <w:tab/>
        </w:r>
        <w:r w:rsidR="00420794" w:rsidRPr="00420794">
          <w:rPr>
            <w:rFonts w:ascii="Verdana" w:hAnsi="Verdana"/>
            <w:noProof/>
            <w:webHidden/>
            <w:sz w:val="16"/>
            <w:szCs w:val="16"/>
          </w:rPr>
          <w:fldChar w:fldCharType="begin"/>
        </w:r>
        <w:r w:rsidR="00420794" w:rsidRPr="00420794">
          <w:rPr>
            <w:rFonts w:ascii="Verdana" w:hAnsi="Verdana"/>
            <w:noProof/>
            <w:webHidden/>
            <w:sz w:val="16"/>
            <w:szCs w:val="16"/>
          </w:rPr>
          <w:instrText xml:space="preserve"> PAGEREF _Toc23769102 \h </w:instrText>
        </w:r>
        <w:r w:rsidR="00420794" w:rsidRPr="00420794">
          <w:rPr>
            <w:rFonts w:ascii="Verdana" w:hAnsi="Verdana"/>
            <w:noProof/>
            <w:webHidden/>
            <w:sz w:val="16"/>
            <w:szCs w:val="16"/>
          </w:rPr>
        </w:r>
        <w:r w:rsidR="00420794" w:rsidRPr="00420794">
          <w:rPr>
            <w:rFonts w:ascii="Verdana" w:hAnsi="Verdana"/>
            <w:noProof/>
            <w:webHidden/>
            <w:sz w:val="16"/>
            <w:szCs w:val="16"/>
          </w:rPr>
          <w:fldChar w:fldCharType="separate"/>
        </w:r>
        <w:r>
          <w:rPr>
            <w:rFonts w:ascii="Verdana" w:hAnsi="Verdana"/>
            <w:noProof/>
            <w:webHidden/>
            <w:sz w:val="16"/>
            <w:szCs w:val="16"/>
          </w:rPr>
          <w:t>12</w:t>
        </w:r>
        <w:r w:rsidR="00420794" w:rsidRPr="00420794">
          <w:rPr>
            <w:rFonts w:ascii="Verdana" w:hAnsi="Verdana"/>
            <w:noProof/>
            <w:webHidden/>
            <w:sz w:val="16"/>
            <w:szCs w:val="16"/>
          </w:rPr>
          <w:fldChar w:fldCharType="end"/>
        </w:r>
      </w:hyperlink>
    </w:p>
    <w:p w14:paraId="1556EDF6" w14:textId="647EF5C2" w:rsidR="00420794" w:rsidRPr="00420794" w:rsidRDefault="00630FCA" w:rsidP="00D6081F">
      <w:pPr>
        <w:pStyle w:val="TDC2"/>
        <w:numPr>
          <w:ilvl w:val="0"/>
          <w:numId w:val="44"/>
        </w:numPr>
        <w:tabs>
          <w:tab w:val="left" w:pos="880"/>
          <w:tab w:val="right" w:leader="dot" w:pos="8828"/>
        </w:tabs>
        <w:spacing w:line="240" w:lineRule="auto"/>
        <w:jc w:val="both"/>
        <w:rPr>
          <w:rFonts w:ascii="Verdana" w:eastAsiaTheme="minorEastAsia" w:hAnsi="Verdana"/>
          <w:noProof/>
          <w:sz w:val="16"/>
          <w:szCs w:val="16"/>
          <w:lang w:val="en-US"/>
        </w:rPr>
      </w:pPr>
      <w:hyperlink w:anchor="_Toc23769103" w:history="1">
        <w:r w:rsidR="00420794" w:rsidRPr="00420794">
          <w:rPr>
            <w:rStyle w:val="Hipervnculo"/>
            <w:rFonts w:ascii="Verdana" w:hAnsi="Verdana"/>
            <w:i/>
            <w:noProof/>
            <w:sz w:val="16"/>
            <w:szCs w:val="16"/>
          </w:rPr>
          <w:t>Acto público de reconocimiento de responsabilidad internacional</w:t>
        </w:r>
        <w:r w:rsidR="00420794" w:rsidRPr="00420794">
          <w:rPr>
            <w:rFonts w:ascii="Verdana" w:hAnsi="Verdana"/>
            <w:noProof/>
            <w:webHidden/>
            <w:sz w:val="16"/>
            <w:szCs w:val="16"/>
          </w:rPr>
          <w:tab/>
        </w:r>
        <w:r w:rsidR="00420794" w:rsidRPr="00420794">
          <w:rPr>
            <w:rFonts w:ascii="Verdana" w:hAnsi="Verdana"/>
            <w:noProof/>
            <w:webHidden/>
            <w:sz w:val="16"/>
            <w:szCs w:val="16"/>
          </w:rPr>
          <w:fldChar w:fldCharType="begin"/>
        </w:r>
        <w:r w:rsidR="00420794" w:rsidRPr="00420794">
          <w:rPr>
            <w:rFonts w:ascii="Verdana" w:hAnsi="Verdana"/>
            <w:noProof/>
            <w:webHidden/>
            <w:sz w:val="16"/>
            <w:szCs w:val="16"/>
          </w:rPr>
          <w:instrText xml:space="preserve"> PAGEREF _Toc23769103 \h </w:instrText>
        </w:r>
        <w:r w:rsidR="00420794" w:rsidRPr="00420794">
          <w:rPr>
            <w:rFonts w:ascii="Verdana" w:hAnsi="Verdana"/>
            <w:noProof/>
            <w:webHidden/>
            <w:sz w:val="16"/>
            <w:szCs w:val="16"/>
          </w:rPr>
        </w:r>
        <w:r w:rsidR="00420794" w:rsidRPr="00420794">
          <w:rPr>
            <w:rFonts w:ascii="Verdana" w:hAnsi="Verdana"/>
            <w:noProof/>
            <w:webHidden/>
            <w:sz w:val="16"/>
            <w:szCs w:val="16"/>
          </w:rPr>
          <w:fldChar w:fldCharType="separate"/>
        </w:r>
        <w:r>
          <w:rPr>
            <w:rFonts w:ascii="Verdana" w:hAnsi="Verdana"/>
            <w:noProof/>
            <w:webHidden/>
            <w:sz w:val="16"/>
            <w:szCs w:val="16"/>
          </w:rPr>
          <w:t>14</w:t>
        </w:r>
        <w:r w:rsidR="00420794" w:rsidRPr="00420794">
          <w:rPr>
            <w:rFonts w:ascii="Verdana" w:hAnsi="Verdana"/>
            <w:noProof/>
            <w:webHidden/>
            <w:sz w:val="16"/>
            <w:szCs w:val="16"/>
          </w:rPr>
          <w:fldChar w:fldCharType="end"/>
        </w:r>
      </w:hyperlink>
    </w:p>
    <w:p w14:paraId="42F3A3D9" w14:textId="23E4A051" w:rsidR="00420794" w:rsidRPr="00420794" w:rsidRDefault="00630FCA" w:rsidP="00D6081F">
      <w:pPr>
        <w:pStyle w:val="TDC2"/>
        <w:numPr>
          <w:ilvl w:val="0"/>
          <w:numId w:val="44"/>
        </w:numPr>
        <w:tabs>
          <w:tab w:val="left" w:pos="880"/>
          <w:tab w:val="right" w:leader="dot" w:pos="8828"/>
        </w:tabs>
        <w:spacing w:line="240" w:lineRule="auto"/>
        <w:jc w:val="both"/>
        <w:rPr>
          <w:rFonts w:ascii="Verdana" w:eastAsiaTheme="minorEastAsia" w:hAnsi="Verdana"/>
          <w:noProof/>
          <w:sz w:val="16"/>
          <w:szCs w:val="16"/>
          <w:lang w:val="en-US"/>
        </w:rPr>
      </w:pPr>
      <w:hyperlink w:anchor="_Toc23769104" w:history="1">
        <w:r w:rsidR="00420794" w:rsidRPr="00420794">
          <w:rPr>
            <w:rStyle w:val="Hipervnculo"/>
            <w:rFonts w:ascii="Verdana" w:hAnsi="Verdana"/>
            <w:i/>
            <w:noProof/>
            <w:sz w:val="16"/>
            <w:szCs w:val="16"/>
          </w:rPr>
          <w:t>Programa, curso o taller para promover e instruir sobre el trabajo de las defensoras y defensores de derechos humanos en la Comuna 13</w:t>
        </w:r>
        <w:r w:rsidR="00420794" w:rsidRPr="00420794">
          <w:rPr>
            <w:rFonts w:ascii="Verdana" w:hAnsi="Verdana"/>
            <w:noProof/>
            <w:webHidden/>
            <w:sz w:val="16"/>
            <w:szCs w:val="16"/>
          </w:rPr>
          <w:tab/>
        </w:r>
        <w:r w:rsidR="00420794" w:rsidRPr="00420794">
          <w:rPr>
            <w:rFonts w:ascii="Verdana" w:hAnsi="Verdana"/>
            <w:noProof/>
            <w:webHidden/>
            <w:sz w:val="16"/>
            <w:szCs w:val="16"/>
          </w:rPr>
          <w:fldChar w:fldCharType="begin"/>
        </w:r>
        <w:r w:rsidR="00420794" w:rsidRPr="00420794">
          <w:rPr>
            <w:rFonts w:ascii="Verdana" w:hAnsi="Verdana"/>
            <w:noProof/>
            <w:webHidden/>
            <w:sz w:val="16"/>
            <w:szCs w:val="16"/>
          </w:rPr>
          <w:instrText xml:space="preserve"> PAGEREF _Toc23769104 \h </w:instrText>
        </w:r>
        <w:r w:rsidR="00420794" w:rsidRPr="00420794">
          <w:rPr>
            <w:rFonts w:ascii="Verdana" w:hAnsi="Verdana"/>
            <w:noProof/>
            <w:webHidden/>
            <w:sz w:val="16"/>
            <w:szCs w:val="16"/>
          </w:rPr>
        </w:r>
        <w:r w:rsidR="00420794" w:rsidRPr="00420794">
          <w:rPr>
            <w:rFonts w:ascii="Verdana" w:hAnsi="Verdana"/>
            <w:noProof/>
            <w:webHidden/>
            <w:sz w:val="16"/>
            <w:szCs w:val="16"/>
          </w:rPr>
          <w:fldChar w:fldCharType="separate"/>
        </w:r>
        <w:r>
          <w:rPr>
            <w:rFonts w:ascii="Verdana" w:hAnsi="Verdana"/>
            <w:noProof/>
            <w:webHidden/>
            <w:sz w:val="16"/>
            <w:szCs w:val="16"/>
          </w:rPr>
          <w:t>15</w:t>
        </w:r>
        <w:r w:rsidR="00420794" w:rsidRPr="00420794">
          <w:rPr>
            <w:rFonts w:ascii="Verdana" w:hAnsi="Verdana"/>
            <w:noProof/>
            <w:webHidden/>
            <w:sz w:val="16"/>
            <w:szCs w:val="16"/>
          </w:rPr>
          <w:fldChar w:fldCharType="end"/>
        </w:r>
      </w:hyperlink>
    </w:p>
    <w:p w14:paraId="17E19F7D" w14:textId="01210DF7" w:rsidR="00420794" w:rsidRPr="00420794" w:rsidRDefault="00630FCA" w:rsidP="00D6081F">
      <w:pPr>
        <w:pStyle w:val="TDC2"/>
        <w:numPr>
          <w:ilvl w:val="0"/>
          <w:numId w:val="44"/>
        </w:numPr>
        <w:tabs>
          <w:tab w:val="left" w:pos="880"/>
          <w:tab w:val="right" w:leader="dot" w:pos="8828"/>
        </w:tabs>
        <w:spacing w:line="240" w:lineRule="auto"/>
        <w:jc w:val="both"/>
        <w:rPr>
          <w:rFonts w:ascii="Verdana" w:eastAsiaTheme="minorEastAsia" w:hAnsi="Verdana"/>
          <w:noProof/>
          <w:sz w:val="16"/>
          <w:szCs w:val="16"/>
          <w:lang w:val="en-US"/>
        </w:rPr>
      </w:pPr>
      <w:hyperlink w:anchor="_Toc23769105" w:history="1">
        <w:r w:rsidR="00420794" w:rsidRPr="00420794">
          <w:rPr>
            <w:rStyle w:val="Hipervnculo"/>
            <w:rFonts w:ascii="Verdana" w:hAnsi="Verdana"/>
            <w:i/>
            <w:noProof/>
            <w:sz w:val="16"/>
            <w:szCs w:val="16"/>
          </w:rPr>
          <w:t>Pago de indemnizaciones por daños materiales e inmateriales y reintegro de costas y gastos</w:t>
        </w:r>
        <w:r w:rsidR="00420794" w:rsidRPr="00420794">
          <w:rPr>
            <w:rFonts w:ascii="Verdana" w:hAnsi="Verdana"/>
            <w:noProof/>
            <w:webHidden/>
            <w:sz w:val="16"/>
            <w:szCs w:val="16"/>
          </w:rPr>
          <w:tab/>
        </w:r>
        <w:r w:rsidR="00420794" w:rsidRPr="00420794">
          <w:rPr>
            <w:rFonts w:ascii="Verdana" w:hAnsi="Verdana"/>
            <w:noProof/>
            <w:webHidden/>
            <w:sz w:val="16"/>
            <w:szCs w:val="16"/>
          </w:rPr>
          <w:fldChar w:fldCharType="begin"/>
        </w:r>
        <w:r w:rsidR="00420794" w:rsidRPr="00420794">
          <w:rPr>
            <w:rFonts w:ascii="Verdana" w:hAnsi="Verdana"/>
            <w:noProof/>
            <w:webHidden/>
            <w:sz w:val="16"/>
            <w:szCs w:val="16"/>
          </w:rPr>
          <w:instrText xml:space="preserve"> PAGEREF _Toc23769105 \h </w:instrText>
        </w:r>
        <w:r w:rsidR="00420794" w:rsidRPr="00420794">
          <w:rPr>
            <w:rFonts w:ascii="Verdana" w:hAnsi="Verdana"/>
            <w:noProof/>
            <w:webHidden/>
            <w:sz w:val="16"/>
            <w:szCs w:val="16"/>
          </w:rPr>
        </w:r>
        <w:r w:rsidR="00420794" w:rsidRPr="00420794">
          <w:rPr>
            <w:rFonts w:ascii="Verdana" w:hAnsi="Verdana"/>
            <w:noProof/>
            <w:webHidden/>
            <w:sz w:val="16"/>
            <w:szCs w:val="16"/>
          </w:rPr>
          <w:fldChar w:fldCharType="separate"/>
        </w:r>
        <w:r>
          <w:rPr>
            <w:rFonts w:ascii="Verdana" w:hAnsi="Verdana"/>
            <w:noProof/>
            <w:webHidden/>
            <w:sz w:val="16"/>
            <w:szCs w:val="16"/>
          </w:rPr>
          <w:t>16</w:t>
        </w:r>
        <w:r w:rsidR="00420794" w:rsidRPr="00420794">
          <w:rPr>
            <w:rFonts w:ascii="Verdana" w:hAnsi="Verdana"/>
            <w:noProof/>
            <w:webHidden/>
            <w:sz w:val="16"/>
            <w:szCs w:val="16"/>
          </w:rPr>
          <w:fldChar w:fldCharType="end"/>
        </w:r>
      </w:hyperlink>
    </w:p>
    <w:p w14:paraId="45B04837" w14:textId="5AA3A9DF" w:rsidR="00420794" w:rsidRPr="00420794" w:rsidRDefault="00630FCA" w:rsidP="00D6081F">
      <w:pPr>
        <w:pStyle w:val="TDC2"/>
        <w:numPr>
          <w:ilvl w:val="0"/>
          <w:numId w:val="44"/>
        </w:numPr>
        <w:tabs>
          <w:tab w:val="left" w:pos="880"/>
          <w:tab w:val="right" w:leader="dot" w:pos="8828"/>
        </w:tabs>
        <w:spacing w:line="240" w:lineRule="auto"/>
        <w:jc w:val="both"/>
        <w:rPr>
          <w:rFonts w:ascii="Verdana" w:eastAsiaTheme="minorEastAsia" w:hAnsi="Verdana"/>
          <w:noProof/>
          <w:sz w:val="16"/>
          <w:szCs w:val="16"/>
          <w:lang w:val="en-US"/>
        </w:rPr>
      </w:pPr>
      <w:hyperlink w:anchor="_Toc23769106" w:history="1">
        <w:r w:rsidR="00420794" w:rsidRPr="00420794">
          <w:rPr>
            <w:rStyle w:val="Hipervnculo"/>
            <w:rFonts w:ascii="Verdana" w:hAnsi="Verdana"/>
            <w:i/>
            <w:noProof/>
            <w:sz w:val="16"/>
            <w:szCs w:val="16"/>
          </w:rPr>
          <w:t>Reintegro al Fondo de Asistencia Legal de Víctimas</w:t>
        </w:r>
        <w:r w:rsidR="00420794" w:rsidRPr="00420794">
          <w:rPr>
            <w:rFonts w:ascii="Verdana" w:hAnsi="Verdana"/>
            <w:noProof/>
            <w:webHidden/>
            <w:sz w:val="16"/>
            <w:szCs w:val="16"/>
          </w:rPr>
          <w:tab/>
        </w:r>
        <w:r w:rsidR="00420794" w:rsidRPr="00420794">
          <w:rPr>
            <w:rFonts w:ascii="Verdana" w:hAnsi="Verdana"/>
            <w:noProof/>
            <w:webHidden/>
            <w:sz w:val="16"/>
            <w:szCs w:val="16"/>
          </w:rPr>
          <w:fldChar w:fldCharType="begin"/>
        </w:r>
        <w:r w:rsidR="00420794" w:rsidRPr="00420794">
          <w:rPr>
            <w:rFonts w:ascii="Verdana" w:hAnsi="Verdana"/>
            <w:noProof/>
            <w:webHidden/>
            <w:sz w:val="16"/>
            <w:szCs w:val="16"/>
          </w:rPr>
          <w:instrText xml:space="preserve"> PAGEREF _Toc23769106 \h </w:instrText>
        </w:r>
        <w:r w:rsidR="00420794" w:rsidRPr="00420794">
          <w:rPr>
            <w:rFonts w:ascii="Verdana" w:hAnsi="Verdana"/>
            <w:noProof/>
            <w:webHidden/>
            <w:sz w:val="16"/>
            <w:szCs w:val="16"/>
          </w:rPr>
        </w:r>
        <w:r w:rsidR="00420794" w:rsidRPr="00420794">
          <w:rPr>
            <w:rFonts w:ascii="Verdana" w:hAnsi="Verdana"/>
            <w:noProof/>
            <w:webHidden/>
            <w:sz w:val="16"/>
            <w:szCs w:val="16"/>
          </w:rPr>
          <w:fldChar w:fldCharType="separate"/>
        </w:r>
        <w:r>
          <w:rPr>
            <w:rFonts w:ascii="Verdana" w:hAnsi="Verdana"/>
            <w:noProof/>
            <w:webHidden/>
            <w:sz w:val="16"/>
            <w:szCs w:val="16"/>
          </w:rPr>
          <w:t>19</w:t>
        </w:r>
        <w:r w:rsidR="00420794" w:rsidRPr="00420794">
          <w:rPr>
            <w:rFonts w:ascii="Verdana" w:hAnsi="Verdana"/>
            <w:noProof/>
            <w:webHidden/>
            <w:sz w:val="16"/>
            <w:szCs w:val="16"/>
          </w:rPr>
          <w:fldChar w:fldCharType="end"/>
        </w:r>
      </w:hyperlink>
    </w:p>
    <w:p w14:paraId="16CF3C9A" w14:textId="77777777" w:rsidR="004769E8" w:rsidRDefault="005E663D" w:rsidP="00420794">
      <w:pPr>
        <w:pStyle w:val="Prrafodelista"/>
        <w:autoSpaceDE w:val="0"/>
        <w:autoSpaceDN w:val="0"/>
        <w:adjustRightInd w:val="0"/>
        <w:spacing w:before="120" w:after="120" w:line="240" w:lineRule="auto"/>
        <w:ind w:left="283"/>
        <w:contextualSpacing w:val="0"/>
        <w:jc w:val="both"/>
        <w:rPr>
          <w:rFonts w:ascii="Verdana" w:eastAsia="Times" w:hAnsi="Verdana"/>
          <w:sz w:val="20"/>
          <w:szCs w:val="20"/>
        </w:rPr>
      </w:pPr>
      <w:r w:rsidRPr="00420794">
        <w:rPr>
          <w:rFonts w:ascii="Verdana" w:eastAsia="Times" w:hAnsi="Verdana"/>
          <w:i/>
          <w:sz w:val="16"/>
          <w:szCs w:val="16"/>
        </w:rPr>
        <w:fldChar w:fldCharType="end"/>
      </w:r>
    </w:p>
    <w:p w14:paraId="27549286" w14:textId="77777777" w:rsidR="00144E13" w:rsidRPr="003A6B28" w:rsidRDefault="00DE2D3F" w:rsidP="002670E3">
      <w:pPr>
        <w:pStyle w:val="Ttulo2"/>
        <w:numPr>
          <w:ilvl w:val="0"/>
          <w:numId w:val="30"/>
        </w:numPr>
        <w:spacing w:before="120" w:after="120" w:line="240" w:lineRule="auto"/>
        <w:jc w:val="both"/>
        <w:rPr>
          <w:rFonts w:ascii="Verdana" w:hAnsi="Verdana"/>
          <w:b/>
          <w:i/>
          <w:color w:val="auto"/>
          <w:sz w:val="20"/>
          <w:szCs w:val="20"/>
        </w:rPr>
      </w:pPr>
      <w:bookmarkStart w:id="9" w:name="_Toc9435553"/>
      <w:bookmarkStart w:id="10" w:name="_Toc23769100"/>
      <w:r w:rsidRPr="004F30DA">
        <w:rPr>
          <w:rFonts w:ascii="Verdana" w:hAnsi="Verdana"/>
          <w:b/>
          <w:i/>
          <w:color w:val="auto"/>
          <w:sz w:val="20"/>
          <w:szCs w:val="20"/>
        </w:rPr>
        <w:t>C</w:t>
      </w:r>
      <w:r w:rsidR="00144E13" w:rsidRPr="004F30DA">
        <w:rPr>
          <w:rFonts w:ascii="Verdana" w:hAnsi="Verdana"/>
          <w:b/>
          <w:i/>
          <w:color w:val="auto"/>
          <w:sz w:val="20"/>
          <w:szCs w:val="20"/>
        </w:rPr>
        <w:t>ontinuar la investigación por el desplazamiento forzado de la señora Rúa Figueroa y sus familiares</w:t>
      </w:r>
      <w:bookmarkEnd w:id="9"/>
      <w:bookmarkEnd w:id="10"/>
    </w:p>
    <w:p w14:paraId="7285E975" w14:textId="77777777" w:rsidR="00330B46" w:rsidRDefault="00330B46" w:rsidP="002670E3">
      <w:pPr>
        <w:pStyle w:val="Prrafodelista"/>
        <w:spacing w:before="120" w:after="120" w:line="240" w:lineRule="auto"/>
        <w:contextualSpacing w:val="0"/>
        <w:jc w:val="both"/>
        <w:rPr>
          <w:rFonts w:ascii="Verdana" w:hAnsi="Verdana"/>
          <w:i/>
          <w:sz w:val="20"/>
          <w:szCs w:val="20"/>
        </w:rPr>
      </w:pPr>
      <w:r w:rsidRPr="00CA38EE">
        <w:rPr>
          <w:rFonts w:ascii="Verdana" w:hAnsi="Verdana"/>
          <w:i/>
          <w:sz w:val="20"/>
          <w:szCs w:val="20"/>
        </w:rPr>
        <w:t>A.1. Medida ordenada por la Corte</w:t>
      </w:r>
    </w:p>
    <w:p w14:paraId="0961A874" w14:textId="6B3F907C" w:rsidR="0033420A" w:rsidRPr="0033420A" w:rsidRDefault="006D4B2B" w:rsidP="00884EAD">
      <w:pPr>
        <w:pStyle w:val="Prrafodelista"/>
        <w:numPr>
          <w:ilvl w:val="0"/>
          <w:numId w:val="3"/>
        </w:numPr>
        <w:spacing w:before="120" w:after="120" w:line="240" w:lineRule="auto"/>
        <w:ind w:left="0" w:firstLine="0"/>
        <w:contextualSpacing w:val="0"/>
        <w:jc w:val="both"/>
        <w:rPr>
          <w:rFonts w:ascii="Verdana" w:hAnsi="Verdana"/>
          <w:sz w:val="20"/>
          <w:szCs w:val="20"/>
        </w:rPr>
      </w:pPr>
      <w:bookmarkStart w:id="11" w:name="_Ref26777392"/>
      <w:r>
        <w:rPr>
          <w:rFonts w:ascii="Verdana" w:hAnsi="Verdana"/>
          <w:sz w:val="20"/>
          <w:szCs w:val="20"/>
        </w:rPr>
        <w:t>En la Sentencia la Corte tuvo por probado que la señora Myriam Eugenia Rúa Figueroa</w:t>
      </w:r>
      <w:r w:rsidRPr="00144E13">
        <w:rPr>
          <w:rFonts w:ascii="Verdana" w:hAnsi="Verdana"/>
          <w:sz w:val="20"/>
          <w:szCs w:val="20"/>
        </w:rPr>
        <w:t xml:space="preserve"> </w:t>
      </w:r>
      <w:r>
        <w:rPr>
          <w:rFonts w:ascii="Verdana" w:hAnsi="Verdana"/>
          <w:sz w:val="20"/>
          <w:szCs w:val="20"/>
        </w:rPr>
        <w:t>se vio obligada a dejar la Comuna 13 entre el 24 y el 26 de junio de 2002, junto con sus hijas y su compañero permanente</w:t>
      </w:r>
      <w:r w:rsidR="0077796A">
        <w:rPr>
          <w:rFonts w:ascii="Verdana" w:hAnsi="Verdana"/>
          <w:sz w:val="20"/>
          <w:szCs w:val="20"/>
        </w:rPr>
        <w:t xml:space="preserve">. Dicho desplazamiento estuvo motivado por “los diferentes conflictos que </w:t>
      </w:r>
      <w:proofErr w:type="spellStart"/>
      <w:r w:rsidR="0077796A">
        <w:rPr>
          <w:rFonts w:ascii="Verdana" w:hAnsi="Verdana"/>
          <w:sz w:val="20"/>
          <w:szCs w:val="20"/>
        </w:rPr>
        <w:t>exist</w:t>
      </w:r>
      <w:proofErr w:type="spellEnd"/>
      <w:r w:rsidR="00515A0C">
        <w:rPr>
          <w:rFonts w:ascii="Verdana" w:hAnsi="Verdana"/>
          <w:sz w:val="20"/>
          <w:szCs w:val="20"/>
        </w:rPr>
        <w:t>[</w:t>
      </w:r>
      <w:proofErr w:type="spellStart"/>
      <w:r w:rsidR="00515A0C" w:rsidRPr="00191328">
        <w:rPr>
          <w:rFonts w:ascii="Verdana" w:hAnsi="Verdana"/>
          <w:sz w:val="20"/>
          <w:szCs w:val="20"/>
        </w:rPr>
        <w:t>ían</w:t>
      </w:r>
      <w:proofErr w:type="spellEnd"/>
      <w:r w:rsidR="00515A0C" w:rsidRPr="00191328">
        <w:rPr>
          <w:rFonts w:ascii="Verdana" w:hAnsi="Verdana"/>
          <w:sz w:val="20"/>
          <w:szCs w:val="20"/>
        </w:rPr>
        <w:t>] en el sector”, vinculados con el grupo de autodefensas denominado Comando Cacique Nutibara, y por haber tenido noticia de que el nombre de ella se encontraba en una lista de personas que paramilitares podrían asesinar</w:t>
      </w:r>
      <w:r w:rsidR="00515A0C" w:rsidRPr="00191328">
        <w:rPr>
          <w:rStyle w:val="Refdenotaalpie"/>
          <w:rFonts w:ascii="Verdana" w:hAnsi="Verdana"/>
          <w:sz w:val="20"/>
          <w:szCs w:val="20"/>
        </w:rPr>
        <w:footnoteReference w:id="10"/>
      </w:r>
      <w:r w:rsidR="00515A0C" w:rsidRPr="00191328">
        <w:rPr>
          <w:rFonts w:ascii="Verdana" w:hAnsi="Verdana"/>
          <w:sz w:val="20"/>
          <w:szCs w:val="20"/>
        </w:rPr>
        <w:t xml:space="preserve">. </w:t>
      </w:r>
      <w:r w:rsidR="004D0919" w:rsidRPr="00191328">
        <w:rPr>
          <w:rFonts w:ascii="Verdana" w:hAnsi="Verdana"/>
          <w:sz w:val="20"/>
          <w:szCs w:val="20"/>
        </w:rPr>
        <w:t xml:space="preserve">Respecto a dichos desplazamientos, la Corte consideró que “no </w:t>
      </w:r>
      <w:proofErr w:type="spellStart"/>
      <w:r w:rsidR="004D0919" w:rsidRPr="00191328">
        <w:rPr>
          <w:rFonts w:ascii="Verdana" w:hAnsi="Verdana"/>
          <w:sz w:val="20"/>
          <w:szCs w:val="20"/>
        </w:rPr>
        <w:t>e</w:t>
      </w:r>
      <w:proofErr w:type="spellEnd"/>
      <w:r w:rsidR="00BE6C42">
        <w:rPr>
          <w:rFonts w:ascii="Verdana" w:hAnsi="Verdana"/>
          <w:sz w:val="20"/>
          <w:szCs w:val="20"/>
        </w:rPr>
        <w:t>[</w:t>
      </w:r>
      <w:proofErr w:type="spellStart"/>
      <w:r w:rsidR="00BE6C42">
        <w:rPr>
          <w:rFonts w:ascii="Verdana" w:hAnsi="Verdana"/>
          <w:sz w:val="20"/>
          <w:szCs w:val="20"/>
        </w:rPr>
        <w:t>ra</w:t>
      </w:r>
      <w:proofErr w:type="spellEnd"/>
      <w:r w:rsidR="00BE6C42">
        <w:rPr>
          <w:rFonts w:ascii="Verdana" w:hAnsi="Verdana"/>
          <w:sz w:val="20"/>
          <w:szCs w:val="20"/>
        </w:rPr>
        <w:t>]</w:t>
      </w:r>
      <w:r w:rsidR="004D0919" w:rsidRPr="00191328">
        <w:rPr>
          <w:rFonts w:ascii="Verdana" w:hAnsi="Verdana"/>
          <w:sz w:val="20"/>
          <w:szCs w:val="20"/>
        </w:rPr>
        <w:t xml:space="preserve"> posible atribuir responsabilidad estatal por violación al deber de respeto si no puede constatarse la participación de agentes estatales en hechos concretos que hayan generado el desplazamiento”</w:t>
      </w:r>
      <w:r w:rsidR="00103244" w:rsidRPr="00191328">
        <w:rPr>
          <w:rFonts w:ascii="Verdana" w:hAnsi="Verdana"/>
          <w:sz w:val="20"/>
          <w:szCs w:val="20"/>
        </w:rPr>
        <w:t xml:space="preserve">, </w:t>
      </w:r>
      <w:r w:rsidR="009761C7" w:rsidRPr="00191328">
        <w:rPr>
          <w:rFonts w:ascii="Verdana" w:hAnsi="Verdana"/>
          <w:sz w:val="20"/>
          <w:szCs w:val="20"/>
        </w:rPr>
        <w:t xml:space="preserve">y concluyó </w:t>
      </w:r>
      <w:r w:rsidR="00103244" w:rsidRPr="00191328">
        <w:rPr>
          <w:rFonts w:ascii="Verdana" w:hAnsi="Verdana"/>
          <w:sz w:val="20"/>
          <w:szCs w:val="20"/>
        </w:rPr>
        <w:t xml:space="preserve">que no se había probado “la aquiescencia o colaboración </w:t>
      </w:r>
      <w:r w:rsidR="00103244" w:rsidRPr="00191328">
        <w:rPr>
          <w:rFonts w:ascii="Verdana" w:hAnsi="Verdana"/>
          <w:sz w:val="20"/>
          <w:szCs w:val="20"/>
        </w:rPr>
        <w:lastRenderedPageBreak/>
        <w:t>estatal”</w:t>
      </w:r>
      <w:r w:rsidR="00103244" w:rsidRPr="00191328">
        <w:rPr>
          <w:rStyle w:val="Refdenotaalpie"/>
          <w:rFonts w:ascii="Verdana" w:hAnsi="Verdana"/>
          <w:sz w:val="20"/>
          <w:szCs w:val="20"/>
        </w:rPr>
        <w:footnoteReference w:id="11"/>
      </w:r>
      <w:r w:rsidR="004D0919" w:rsidRPr="00191328">
        <w:rPr>
          <w:rFonts w:ascii="Verdana" w:hAnsi="Verdana"/>
          <w:sz w:val="20"/>
          <w:szCs w:val="20"/>
        </w:rPr>
        <w:t xml:space="preserve">. </w:t>
      </w:r>
      <w:r w:rsidR="0033420A" w:rsidRPr="00191328">
        <w:rPr>
          <w:rFonts w:ascii="Verdana" w:hAnsi="Verdana"/>
          <w:sz w:val="20"/>
          <w:szCs w:val="20"/>
        </w:rPr>
        <w:t>Asimismo, determinó que “</w:t>
      </w:r>
      <w:r w:rsidR="0033420A" w:rsidRPr="00191328">
        <w:rPr>
          <w:rFonts w:ascii="Verdana" w:eastAsia="Batang" w:hAnsi="Verdana" w:cs="Times"/>
          <w:sz w:val="20"/>
          <w:szCs w:val="20"/>
          <w:lang w:val="es-ES_tradnl"/>
        </w:rPr>
        <w:t>no es pertinente respe</w:t>
      </w:r>
      <w:r w:rsidR="0033420A" w:rsidRPr="0033420A">
        <w:rPr>
          <w:rFonts w:ascii="Verdana" w:eastAsia="Batang" w:hAnsi="Verdana" w:cs="Times"/>
          <w:sz w:val="20"/>
          <w:szCs w:val="20"/>
          <w:lang w:val="es-ES_tradnl"/>
        </w:rPr>
        <w:t>cto de los hechos de desplazamiento de este caso, examinar la observancia del deber de prevención por parte del Estado”</w:t>
      </w:r>
      <w:r w:rsidR="0033420A" w:rsidRPr="00093EDF">
        <w:rPr>
          <w:rStyle w:val="Refdenotaalpie"/>
          <w:rFonts w:ascii="Verdana" w:eastAsia="Batang" w:hAnsi="Verdana" w:cs="Times"/>
          <w:sz w:val="20"/>
          <w:szCs w:val="20"/>
          <w:lang w:val="es-ES_tradnl"/>
        </w:rPr>
        <w:footnoteReference w:id="12"/>
      </w:r>
      <w:r w:rsidR="0033420A" w:rsidRPr="00093EDF">
        <w:rPr>
          <w:rFonts w:ascii="Verdana" w:eastAsia="Batang" w:hAnsi="Verdana" w:cs="Times"/>
          <w:sz w:val="20"/>
          <w:szCs w:val="20"/>
          <w:lang w:val="es-ES_tradnl"/>
        </w:rPr>
        <w:t>.</w:t>
      </w:r>
      <w:bookmarkEnd w:id="11"/>
    </w:p>
    <w:p w14:paraId="60F3E8BC" w14:textId="6D19D293" w:rsidR="009C3C0F" w:rsidRPr="00F82E4C" w:rsidRDefault="0033420A" w:rsidP="00F82E4C">
      <w:pPr>
        <w:pStyle w:val="Prrafodelista"/>
        <w:numPr>
          <w:ilvl w:val="0"/>
          <w:numId w:val="3"/>
        </w:numPr>
        <w:spacing w:before="120" w:after="120" w:line="240" w:lineRule="auto"/>
        <w:ind w:left="0" w:firstLine="0"/>
        <w:contextualSpacing w:val="0"/>
        <w:jc w:val="both"/>
        <w:rPr>
          <w:rFonts w:ascii="Verdana" w:hAnsi="Verdana"/>
          <w:sz w:val="20"/>
          <w:szCs w:val="20"/>
        </w:rPr>
      </w:pPr>
      <w:r>
        <w:rPr>
          <w:rFonts w:ascii="Verdana" w:hAnsi="Verdana"/>
          <w:sz w:val="20"/>
          <w:szCs w:val="20"/>
        </w:rPr>
        <w:t>No obstante, la Corte determinó que el Estado era responsable por la violación a las garantías judiciales y la protección judicial en perjuicio de la señora Rúa y sus familiares por la impunidad de tales desplazamientos</w:t>
      </w:r>
      <w:r>
        <w:rPr>
          <w:rStyle w:val="Refdenotaalpie"/>
          <w:rFonts w:ascii="Verdana" w:hAnsi="Verdana"/>
          <w:sz w:val="20"/>
          <w:szCs w:val="20"/>
        </w:rPr>
        <w:footnoteReference w:id="13"/>
      </w:r>
      <w:r>
        <w:rPr>
          <w:rFonts w:ascii="Verdana" w:hAnsi="Verdana"/>
          <w:sz w:val="20"/>
          <w:szCs w:val="20"/>
        </w:rPr>
        <w:t>. La Corte tomó en cuenta que “en Colombia el deber estatal de investigar actos de desplazamiento tiene por base normas de derecho interno”</w:t>
      </w:r>
      <w:r>
        <w:rPr>
          <w:rStyle w:val="Refdenotaalpie"/>
          <w:rFonts w:ascii="Verdana" w:hAnsi="Verdana"/>
          <w:sz w:val="20"/>
          <w:szCs w:val="20"/>
        </w:rPr>
        <w:footnoteReference w:id="14"/>
      </w:r>
      <w:r>
        <w:rPr>
          <w:rFonts w:ascii="Verdana" w:hAnsi="Verdana"/>
          <w:sz w:val="20"/>
          <w:szCs w:val="20"/>
        </w:rPr>
        <w:t xml:space="preserve">. </w:t>
      </w:r>
      <w:r w:rsidR="00515A0C">
        <w:rPr>
          <w:rFonts w:ascii="Verdana" w:hAnsi="Verdana"/>
          <w:sz w:val="20"/>
          <w:szCs w:val="20"/>
        </w:rPr>
        <w:t xml:space="preserve">Asimismo, se dejó constancia de que el 8 de julio de 2002 la señora Rúa presentó una denuncia penal por </w:t>
      </w:r>
      <w:r w:rsidR="00A3730B">
        <w:rPr>
          <w:rFonts w:ascii="Verdana" w:hAnsi="Verdana"/>
          <w:sz w:val="20"/>
          <w:szCs w:val="20"/>
        </w:rPr>
        <w:t xml:space="preserve">el referido desplazamiento </w:t>
      </w:r>
      <w:r w:rsidR="00515A0C">
        <w:rPr>
          <w:rFonts w:ascii="Verdana" w:hAnsi="Verdana"/>
          <w:sz w:val="20"/>
          <w:szCs w:val="20"/>
        </w:rPr>
        <w:t xml:space="preserve">y por </w:t>
      </w:r>
      <w:r w:rsidR="007361D1">
        <w:rPr>
          <w:rFonts w:ascii="Verdana" w:hAnsi="Verdana"/>
          <w:sz w:val="20"/>
          <w:szCs w:val="20"/>
        </w:rPr>
        <w:t xml:space="preserve">la </w:t>
      </w:r>
      <w:r w:rsidR="00515A0C">
        <w:rPr>
          <w:rFonts w:ascii="Verdana" w:hAnsi="Verdana"/>
          <w:sz w:val="20"/>
          <w:szCs w:val="20"/>
        </w:rPr>
        <w:t>ocupación y destrucción de su vivienda por parte de paramilitares</w:t>
      </w:r>
      <w:r w:rsidR="00515A0C">
        <w:rPr>
          <w:rStyle w:val="Refdenotaalpie"/>
          <w:rFonts w:ascii="Verdana" w:hAnsi="Verdana"/>
          <w:sz w:val="20"/>
          <w:szCs w:val="20"/>
        </w:rPr>
        <w:footnoteReference w:id="15"/>
      </w:r>
      <w:r w:rsidR="00515A0C">
        <w:rPr>
          <w:rFonts w:ascii="Verdana" w:hAnsi="Verdana"/>
          <w:sz w:val="20"/>
          <w:szCs w:val="20"/>
        </w:rPr>
        <w:t xml:space="preserve">. </w:t>
      </w:r>
      <w:r w:rsidR="00072C6B">
        <w:rPr>
          <w:rFonts w:ascii="Verdana" w:hAnsi="Verdana"/>
          <w:sz w:val="20"/>
          <w:szCs w:val="20"/>
        </w:rPr>
        <w:t>En la Sentencia se indicó que, e</w:t>
      </w:r>
      <w:r w:rsidR="00A3730B">
        <w:rPr>
          <w:rFonts w:ascii="Verdana" w:hAnsi="Verdana"/>
          <w:sz w:val="20"/>
          <w:szCs w:val="20"/>
        </w:rPr>
        <w:t xml:space="preserve">n razón de esa denuncia, la Fiscalía 18 Especializada </w:t>
      </w:r>
      <w:r w:rsidR="00E43ECF">
        <w:rPr>
          <w:rFonts w:ascii="Verdana" w:hAnsi="Verdana"/>
          <w:sz w:val="20"/>
          <w:szCs w:val="20"/>
        </w:rPr>
        <w:t>– adscrita a la Unidad de Derechos Humanos de la Fiscalía General de la Nación- adelanta</w:t>
      </w:r>
      <w:r w:rsidR="00072C6B">
        <w:rPr>
          <w:rFonts w:ascii="Verdana" w:hAnsi="Verdana"/>
          <w:sz w:val="20"/>
          <w:szCs w:val="20"/>
        </w:rPr>
        <w:t>ba,</w:t>
      </w:r>
      <w:r w:rsidR="00E43ECF">
        <w:rPr>
          <w:rFonts w:ascii="Verdana" w:hAnsi="Verdana"/>
          <w:sz w:val="20"/>
          <w:szCs w:val="20"/>
        </w:rPr>
        <w:t xml:space="preserve"> bajo el radicado No. 4016, una investigación por el presunto delito de desplazamiento forzado</w:t>
      </w:r>
      <w:r w:rsidR="009C3C0F">
        <w:rPr>
          <w:rFonts w:ascii="Verdana" w:hAnsi="Verdana"/>
          <w:sz w:val="20"/>
          <w:szCs w:val="20"/>
        </w:rPr>
        <w:t>. Al respecto, tuvo por probado que e</w:t>
      </w:r>
      <w:r w:rsidR="00E43ECF">
        <w:rPr>
          <w:rFonts w:ascii="Verdana" w:hAnsi="Verdana"/>
          <w:sz w:val="20"/>
          <w:szCs w:val="20"/>
        </w:rPr>
        <w:t xml:space="preserve">n dicha investigación se realizaron distintas actuaciones y </w:t>
      </w:r>
      <w:r w:rsidR="007361D1">
        <w:rPr>
          <w:rFonts w:ascii="Verdana" w:hAnsi="Verdana"/>
          <w:sz w:val="20"/>
          <w:szCs w:val="20"/>
        </w:rPr>
        <w:t xml:space="preserve">que </w:t>
      </w:r>
      <w:r w:rsidR="00E43ECF">
        <w:rPr>
          <w:rFonts w:ascii="Verdana" w:hAnsi="Verdana"/>
          <w:sz w:val="20"/>
          <w:szCs w:val="20"/>
        </w:rPr>
        <w:t xml:space="preserve">estuvo </w:t>
      </w:r>
      <w:r w:rsidR="00F610D5">
        <w:rPr>
          <w:rFonts w:ascii="Verdana" w:hAnsi="Verdana"/>
          <w:sz w:val="20"/>
          <w:szCs w:val="20"/>
        </w:rPr>
        <w:t>suspendida en dos oportunidades.</w:t>
      </w:r>
      <w:r w:rsidR="00E43ECF">
        <w:rPr>
          <w:rFonts w:ascii="Verdana" w:hAnsi="Verdana"/>
          <w:sz w:val="20"/>
          <w:szCs w:val="20"/>
        </w:rPr>
        <w:t xml:space="preserve"> </w:t>
      </w:r>
      <w:r w:rsidR="00F610D5">
        <w:rPr>
          <w:rFonts w:ascii="Verdana" w:hAnsi="Verdana"/>
          <w:sz w:val="20"/>
          <w:szCs w:val="20"/>
        </w:rPr>
        <w:t>A</w:t>
      </w:r>
      <w:r w:rsidR="00E43ECF">
        <w:rPr>
          <w:rFonts w:ascii="Verdana" w:hAnsi="Verdana"/>
          <w:sz w:val="20"/>
          <w:szCs w:val="20"/>
        </w:rPr>
        <w:t>l momento de la Sentencia</w:t>
      </w:r>
      <w:r w:rsidR="0020033F">
        <w:rPr>
          <w:rFonts w:ascii="Verdana" w:hAnsi="Verdana"/>
          <w:sz w:val="20"/>
          <w:szCs w:val="20"/>
        </w:rPr>
        <w:t>,</w:t>
      </w:r>
      <w:r w:rsidR="00F610D5">
        <w:rPr>
          <w:rFonts w:ascii="Verdana" w:hAnsi="Verdana"/>
          <w:sz w:val="20"/>
          <w:szCs w:val="20"/>
        </w:rPr>
        <w:t xml:space="preserve"> </w:t>
      </w:r>
      <w:r w:rsidR="007361D1">
        <w:rPr>
          <w:rFonts w:ascii="Verdana" w:hAnsi="Verdana"/>
          <w:sz w:val="20"/>
          <w:szCs w:val="20"/>
        </w:rPr>
        <w:t xml:space="preserve">esta </w:t>
      </w:r>
      <w:r w:rsidR="00F610D5">
        <w:rPr>
          <w:rFonts w:ascii="Verdana" w:hAnsi="Verdana"/>
          <w:sz w:val="20"/>
          <w:szCs w:val="20"/>
        </w:rPr>
        <w:t xml:space="preserve">investigación estaba en </w:t>
      </w:r>
      <w:r w:rsidR="00AC38E7">
        <w:rPr>
          <w:rFonts w:ascii="Verdana" w:hAnsi="Verdana"/>
          <w:sz w:val="20"/>
          <w:szCs w:val="20"/>
        </w:rPr>
        <w:t>etapa de instrucción, bajo reserva</w:t>
      </w:r>
      <w:r w:rsidR="00F610D5">
        <w:rPr>
          <w:rFonts w:ascii="Verdana" w:hAnsi="Verdana"/>
          <w:sz w:val="20"/>
          <w:szCs w:val="20"/>
        </w:rPr>
        <w:t xml:space="preserve"> y</w:t>
      </w:r>
      <w:r w:rsidR="00E43ECF">
        <w:rPr>
          <w:rFonts w:ascii="Verdana" w:hAnsi="Verdana"/>
          <w:sz w:val="20"/>
          <w:szCs w:val="20"/>
        </w:rPr>
        <w:t xml:space="preserve"> no se había individualizado a ningún responsable</w:t>
      </w:r>
      <w:r w:rsidR="00E43ECF">
        <w:rPr>
          <w:rStyle w:val="Refdenotaalpie"/>
          <w:rFonts w:ascii="Verdana" w:hAnsi="Verdana"/>
          <w:sz w:val="20"/>
          <w:szCs w:val="20"/>
        </w:rPr>
        <w:footnoteReference w:id="16"/>
      </w:r>
      <w:r w:rsidR="00E43ECF">
        <w:rPr>
          <w:rFonts w:ascii="Verdana" w:hAnsi="Verdana"/>
          <w:sz w:val="20"/>
          <w:szCs w:val="20"/>
        </w:rPr>
        <w:t>.</w:t>
      </w:r>
    </w:p>
    <w:p w14:paraId="1870BA5B" w14:textId="115CD74D" w:rsidR="00460227" w:rsidRPr="00884EAD" w:rsidRDefault="000C2A7D" w:rsidP="00884EAD">
      <w:pPr>
        <w:pStyle w:val="Prrafodelista"/>
        <w:numPr>
          <w:ilvl w:val="0"/>
          <w:numId w:val="3"/>
        </w:numPr>
        <w:spacing w:before="120" w:after="120" w:line="240" w:lineRule="auto"/>
        <w:ind w:left="0" w:firstLine="0"/>
        <w:contextualSpacing w:val="0"/>
        <w:jc w:val="both"/>
        <w:rPr>
          <w:rFonts w:ascii="Verdana" w:hAnsi="Verdana"/>
          <w:sz w:val="20"/>
          <w:szCs w:val="20"/>
        </w:rPr>
      </w:pPr>
      <w:bookmarkStart w:id="12" w:name="_Ref26785186"/>
      <w:r w:rsidRPr="00884EAD">
        <w:rPr>
          <w:rFonts w:ascii="Verdana" w:hAnsi="Verdana"/>
          <w:sz w:val="20"/>
          <w:szCs w:val="20"/>
        </w:rPr>
        <w:t xml:space="preserve">En consecuencia, </w:t>
      </w:r>
      <w:r w:rsidR="00312746" w:rsidRPr="00884EAD">
        <w:rPr>
          <w:rFonts w:ascii="Verdana" w:hAnsi="Verdana"/>
          <w:sz w:val="20"/>
          <w:szCs w:val="20"/>
        </w:rPr>
        <w:t>e</w:t>
      </w:r>
      <w:r w:rsidR="00330B46" w:rsidRPr="00884EAD">
        <w:rPr>
          <w:rFonts w:ascii="Verdana" w:hAnsi="Verdana"/>
          <w:sz w:val="20"/>
          <w:szCs w:val="20"/>
        </w:rPr>
        <w:t xml:space="preserve">n el punto </w:t>
      </w:r>
      <w:r w:rsidR="0026017E" w:rsidRPr="00884EAD">
        <w:rPr>
          <w:rFonts w:ascii="Verdana" w:hAnsi="Verdana"/>
          <w:sz w:val="20"/>
          <w:szCs w:val="20"/>
        </w:rPr>
        <w:t xml:space="preserve">resolutivo </w:t>
      </w:r>
      <w:r w:rsidR="00144E13" w:rsidRPr="00884EAD">
        <w:rPr>
          <w:rFonts w:ascii="Verdana" w:hAnsi="Verdana"/>
          <w:sz w:val="20"/>
          <w:szCs w:val="20"/>
        </w:rPr>
        <w:t>vigésimo séptimo</w:t>
      </w:r>
      <w:r w:rsidR="00330B46" w:rsidRPr="00884EAD">
        <w:rPr>
          <w:rFonts w:ascii="Verdana" w:hAnsi="Verdana"/>
          <w:sz w:val="20"/>
          <w:szCs w:val="20"/>
        </w:rPr>
        <w:t xml:space="preserve"> y en </w:t>
      </w:r>
      <w:r w:rsidR="00144E13" w:rsidRPr="00884EAD">
        <w:rPr>
          <w:rFonts w:ascii="Verdana" w:hAnsi="Verdana"/>
          <w:sz w:val="20"/>
          <w:szCs w:val="20"/>
        </w:rPr>
        <w:t>e</w:t>
      </w:r>
      <w:r w:rsidR="00330B46" w:rsidRPr="00884EAD">
        <w:rPr>
          <w:rFonts w:ascii="Verdana" w:hAnsi="Verdana"/>
          <w:sz w:val="20"/>
          <w:szCs w:val="20"/>
        </w:rPr>
        <w:t>l párrafo</w:t>
      </w:r>
      <w:r w:rsidR="00144E13" w:rsidRPr="00884EAD">
        <w:rPr>
          <w:rFonts w:ascii="Verdana" w:hAnsi="Verdana"/>
          <w:sz w:val="20"/>
          <w:szCs w:val="20"/>
        </w:rPr>
        <w:t xml:space="preserve"> 334</w:t>
      </w:r>
      <w:r w:rsidR="00330B46" w:rsidRPr="00884EAD">
        <w:rPr>
          <w:rFonts w:ascii="Verdana" w:hAnsi="Verdana"/>
          <w:sz w:val="20"/>
          <w:szCs w:val="20"/>
        </w:rPr>
        <w:t xml:space="preserve"> de la Sentencia, se dispuso que </w:t>
      </w:r>
      <w:r w:rsidR="00F610D5" w:rsidRPr="00884EAD">
        <w:rPr>
          <w:rFonts w:ascii="Verdana" w:hAnsi="Verdana"/>
          <w:sz w:val="20"/>
          <w:szCs w:val="20"/>
        </w:rPr>
        <w:t>el Estado deb</w:t>
      </w:r>
      <w:r w:rsidR="00191277">
        <w:rPr>
          <w:rFonts w:ascii="Verdana" w:hAnsi="Verdana"/>
          <w:sz w:val="20"/>
          <w:szCs w:val="20"/>
        </w:rPr>
        <w:t>ía</w:t>
      </w:r>
      <w:r w:rsidR="00F610D5" w:rsidRPr="00884EAD">
        <w:rPr>
          <w:rFonts w:ascii="Verdana" w:hAnsi="Verdana"/>
          <w:sz w:val="20"/>
          <w:szCs w:val="20"/>
        </w:rPr>
        <w:t xml:space="preserve"> adoptar, </w:t>
      </w:r>
      <w:r w:rsidR="00144E13" w:rsidRPr="00884EAD">
        <w:rPr>
          <w:rFonts w:ascii="Verdana" w:hAnsi="Verdana"/>
          <w:sz w:val="20"/>
          <w:szCs w:val="20"/>
        </w:rPr>
        <w:t>“de conformidad con su derecho interno y en un plazo razonable</w:t>
      </w:r>
      <w:r w:rsidR="00F610D5" w:rsidRPr="00884EAD">
        <w:rPr>
          <w:rFonts w:ascii="Verdana" w:hAnsi="Verdana"/>
          <w:sz w:val="20"/>
          <w:szCs w:val="20"/>
        </w:rPr>
        <w:t>”</w:t>
      </w:r>
      <w:r w:rsidR="00144E13" w:rsidRPr="00884EAD">
        <w:rPr>
          <w:rFonts w:ascii="Verdana" w:hAnsi="Verdana"/>
          <w:sz w:val="20"/>
          <w:szCs w:val="20"/>
        </w:rPr>
        <w:t xml:space="preserve">, </w:t>
      </w:r>
      <w:r w:rsidR="00F610D5" w:rsidRPr="00884EAD">
        <w:rPr>
          <w:rFonts w:ascii="Verdana" w:hAnsi="Verdana"/>
          <w:sz w:val="20"/>
          <w:szCs w:val="20"/>
        </w:rPr>
        <w:t>“</w:t>
      </w:r>
      <w:r w:rsidR="00144E13" w:rsidRPr="00884EAD">
        <w:rPr>
          <w:rFonts w:ascii="Verdana" w:hAnsi="Verdana"/>
          <w:sz w:val="20"/>
          <w:szCs w:val="20"/>
        </w:rPr>
        <w:t>las medidas necesarias para continuar la investigación a fin de individualizar, juzgar y, en su caso, sancionar a los responsables</w:t>
      </w:r>
      <w:r w:rsidR="00F610D5" w:rsidRPr="00884EAD">
        <w:rPr>
          <w:rFonts w:ascii="Verdana" w:hAnsi="Verdana"/>
          <w:sz w:val="20"/>
          <w:szCs w:val="20"/>
        </w:rPr>
        <w:t xml:space="preserve"> por el desplazamiento forzado de la señora Myriam Eugenia Rúa Figueroa y sus familiares</w:t>
      </w:r>
      <w:r w:rsidR="00330B46" w:rsidRPr="00884EAD">
        <w:rPr>
          <w:rFonts w:ascii="Verdana" w:hAnsi="Verdana"/>
          <w:sz w:val="20"/>
          <w:szCs w:val="20"/>
        </w:rPr>
        <w:t xml:space="preserve">”. </w:t>
      </w:r>
      <w:r w:rsidR="00884EAD" w:rsidRPr="00884EAD">
        <w:rPr>
          <w:rFonts w:ascii="Verdana" w:hAnsi="Verdana"/>
          <w:sz w:val="20"/>
          <w:szCs w:val="20"/>
        </w:rPr>
        <w:t>Por otra parte, en el párrafo 335 de la Sentencia</w:t>
      </w:r>
      <w:r w:rsidR="007361D1">
        <w:rPr>
          <w:rFonts w:ascii="Verdana" w:hAnsi="Verdana"/>
          <w:sz w:val="20"/>
          <w:szCs w:val="20"/>
        </w:rPr>
        <w:t>,</w:t>
      </w:r>
      <w:r w:rsidR="00884EAD" w:rsidRPr="00884EAD">
        <w:rPr>
          <w:rFonts w:ascii="Verdana" w:hAnsi="Verdana"/>
          <w:sz w:val="20"/>
          <w:szCs w:val="20"/>
        </w:rPr>
        <w:t xml:space="preserve"> la Corte “valor[</w:t>
      </w:r>
      <w:proofErr w:type="spellStart"/>
      <w:r w:rsidR="00884EAD" w:rsidRPr="00884EAD">
        <w:rPr>
          <w:rFonts w:ascii="Verdana" w:hAnsi="Verdana"/>
          <w:sz w:val="20"/>
          <w:szCs w:val="20"/>
        </w:rPr>
        <w:t>ó</w:t>
      </w:r>
      <w:proofErr w:type="spellEnd"/>
      <w:r w:rsidR="00884EAD" w:rsidRPr="00884EAD">
        <w:rPr>
          <w:rFonts w:ascii="Verdana" w:hAnsi="Verdana"/>
          <w:sz w:val="20"/>
          <w:szCs w:val="20"/>
        </w:rPr>
        <w:t xml:space="preserve">] positivamente la creación de los nuevos mecanismos de investigación penal, </w:t>
      </w:r>
      <w:r w:rsidR="00191277">
        <w:rPr>
          <w:rFonts w:ascii="Verdana" w:hAnsi="Verdana"/>
          <w:sz w:val="20"/>
          <w:szCs w:val="20"/>
        </w:rPr>
        <w:t xml:space="preserve">[…] </w:t>
      </w:r>
      <w:r w:rsidR="00884EAD" w:rsidRPr="00884EAD">
        <w:rPr>
          <w:rFonts w:ascii="Verdana" w:hAnsi="Verdana"/>
          <w:sz w:val="20"/>
          <w:szCs w:val="20"/>
        </w:rPr>
        <w:t xml:space="preserve">e </w:t>
      </w:r>
      <w:proofErr w:type="spellStart"/>
      <w:r w:rsidR="00884EAD" w:rsidRPr="00884EAD">
        <w:rPr>
          <w:rFonts w:ascii="Verdana" w:hAnsi="Verdana"/>
          <w:sz w:val="20"/>
          <w:szCs w:val="20"/>
        </w:rPr>
        <w:t>inst</w:t>
      </w:r>
      <w:proofErr w:type="spellEnd"/>
      <w:r w:rsidR="00884EAD" w:rsidRPr="00884EAD">
        <w:rPr>
          <w:rFonts w:ascii="Verdana" w:hAnsi="Verdana"/>
          <w:sz w:val="20"/>
          <w:szCs w:val="20"/>
        </w:rPr>
        <w:t>[</w:t>
      </w:r>
      <w:proofErr w:type="spellStart"/>
      <w:r w:rsidR="00884EAD" w:rsidRPr="00884EAD">
        <w:rPr>
          <w:rFonts w:ascii="Verdana" w:hAnsi="Verdana"/>
          <w:sz w:val="20"/>
          <w:szCs w:val="20"/>
        </w:rPr>
        <w:t>ó</w:t>
      </w:r>
      <w:proofErr w:type="spellEnd"/>
      <w:r w:rsidR="00884EAD" w:rsidRPr="00884EAD">
        <w:rPr>
          <w:rFonts w:ascii="Verdana" w:hAnsi="Verdana"/>
          <w:sz w:val="20"/>
          <w:szCs w:val="20"/>
        </w:rPr>
        <w:t>] al Estado a continuar avanzando en su uso para indagar y concluir las investigaciones indicadas en el párrafo anterior”.</w:t>
      </w:r>
      <w:bookmarkEnd w:id="12"/>
    </w:p>
    <w:p w14:paraId="37A9E550" w14:textId="77777777" w:rsidR="003C78B5" w:rsidRPr="003367C3" w:rsidRDefault="003C78B5" w:rsidP="003367C3">
      <w:pPr>
        <w:pStyle w:val="Prrafodelista"/>
        <w:tabs>
          <w:tab w:val="left" w:pos="0"/>
        </w:tabs>
        <w:autoSpaceDE w:val="0"/>
        <w:autoSpaceDN w:val="0"/>
        <w:adjustRightInd w:val="0"/>
        <w:spacing w:before="120" w:after="120" w:line="240" w:lineRule="auto"/>
        <w:ind w:left="0" w:right="96"/>
        <w:jc w:val="both"/>
        <w:rPr>
          <w:rFonts w:ascii="Verdana" w:hAnsi="Verdana" w:cs="Arial"/>
          <w:sz w:val="20"/>
          <w:szCs w:val="20"/>
          <w:lang w:val="es-MX"/>
        </w:rPr>
      </w:pPr>
    </w:p>
    <w:p w14:paraId="0BCF0702" w14:textId="75641D62" w:rsidR="003C78B5" w:rsidRDefault="003C78B5" w:rsidP="005E1591">
      <w:pPr>
        <w:pStyle w:val="Prrafodelista"/>
        <w:tabs>
          <w:tab w:val="left" w:pos="0"/>
        </w:tabs>
        <w:autoSpaceDE w:val="0"/>
        <w:autoSpaceDN w:val="0"/>
        <w:adjustRightInd w:val="0"/>
        <w:spacing w:before="120" w:after="120" w:line="240" w:lineRule="auto"/>
        <w:ind w:left="0" w:right="96"/>
        <w:contextualSpacing w:val="0"/>
        <w:jc w:val="both"/>
        <w:rPr>
          <w:rFonts w:ascii="Verdana" w:hAnsi="Verdana" w:cs="Arial"/>
          <w:i/>
          <w:sz w:val="20"/>
          <w:szCs w:val="20"/>
          <w:lang w:val="es-MX"/>
        </w:rPr>
      </w:pPr>
      <w:r>
        <w:rPr>
          <w:rFonts w:ascii="Verdana" w:hAnsi="Verdana" w:cs="Arial"/>
          <w:i/>
          <w:sz w:val="20"/>
          <w:szCs w:val="20"/>
          <w:lang w:val="es-MX"/>
        </w:rPr>
        <w:tab/>
        <w:t>A.</w:t>
      </w:r>
      <w:r w:rsidR="00092C10">
        <w:rPr>
          <w:rFonts w:ascii="Verdana" w:hAnsi="Verdana" w:cs="Arial"/>
          <w:i/>
          <w:sz w:val="20"/>
          <w:szCs w:val="20"/>
          <w:lang w:val="es-MX"/>
        </w:rPr>
        <w:t>2</w:t>
      </w:r>
      <w:r>
        <w:rPr>
          <w:rFonts w:ascii="Verdana" w:hAnsi="Verdana" w:cs="Arial"/>
          <w:i/>
          <w:sz w:val="20"/>
          <w:szCs w:val="20"/>
          <w:lang w:val="es-MX"/>
        </w:rPr>
        <w:t xml:space="preserve">. </w:t>
      </w:r>
      <w:r w:rsidR="0066104A">
        <w:rPr>
          <w:rFonts w:ascii="Verdana" w:hAnsi="Verdana"/>
          <w:i/>
          <w:sz w:val="20"/>
          <w:szCs w:val="20"/>
        </w:rPr>
        <w:t>Información y observaciones de las partes y de la Comisión</w:t>
      </w:r>
    </w:p>
    <w:p w14:paraId="07B83468" w14:textId="568AF68A" w:rsidR="0066104A" w:rsidRPr="00A531BD" w:rsidRDefault="0066104A" w:rsidP="00D358BB">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color w:val="7030A0"/>
          <w:sz w:val="20"/>
          <w:szCs w:val="20"/>
          <w:lang w:val="es-MX"/>
        </w:rPr>
      </w:pPr>
      <w:bookmarkStart w:id="13" w:name="_Ref26784635"/>
      <w:r w:rsidRPr="00E40021">
        <w:rPr>
          <w:rFonts w:ascii="Verdana" w:hAnsi="Verdana" w:cs="Arial"/>
          <w:sz w:val="20"/>
          <w:szCs w:val="20"/>
          <w:lang w:val="es-MX"/>
        </w:rPr>
        <w:t xml:space="preserve">El </w:t>
      </w:r>
      <w:r w:rsidRPr="00E40021">
        <w:rPr>
          <w:rFonts w:ascii="Verdana" w:hAnsi="Verdana" w:cs="Arial"/>
          <w:i/>
          <w:sz w:val="20"/>
          <w:szCs w:val="20"/>
          <w:lang w:val="es-MX"/>
        </w:rPr>
        <w:t>Estado</w:t>
      </w:r>
      <w:r w:rsidRPr="00E40021">
        <w:rPr>
          <w:rFonts w:ascii="Verdana" w:hAnsi="Verdana" w:cs="Arial"/>
          <w:sz w:val="20"/>
          <w:szCs w:val="20"/>
          <w:lang w:val="es-MX"/>
        </w:rPr>
        <w:t xml:space="preserve"> ha informado sobre las diligencias que se han realizado en la investigación penal identificada con el radicado No. 4016, relativa al delito de desplazamiento forzado de la señora Rúa Figueroa y sus familiares</w:t>
      </w:r>
      <w:r w:rsidR="00E40021" w:rsidRPr="00E40021">
        <w:rPr>
          <w:rFonts w:ascii="Verdana" w:hAnsi="Verdana" w:cs="Arial"/>
          <w:sz w:val="20"/>
          <w:szCs w:val="20"/>
          <w:lang w:val="es-MX"/>
        </w:rPr>
        <w:t xml:space="preserve">, la cual </w:t>
      </w:r>
      <w:r w:rsidR="00191277">
        <w:rPr>
          <w:rFonts w:ascii="Verdana" w:hAnsi="Verdana" w:cs="Arial"/>
          <w:sz w:val="20"/>
          <w:szCs w:val="20"/>
          <w:lang w:val="es-MX"/>
        </w:rPr>
        <w:t>“</w:t>
      </w:r>
      <w:r w:rsidR="00E40021" w:rsidRPr="00E40021">
        <w:rPr>
          <w:rFonts w:ascii="Verdana" w:hAnsi="Verdana" w:cs="Arial"/>
          <w:sz w:val="20"/>
          <w:szCs w:val="20"/>
          <w:lang w:val="es-MX"/>
        </w:rPr>
        <w:t xml:space="preserve">está </w:t>
      </w:r>
      <w:r w:rsidR="00E40021" w:rsidRPr="00E40021">
        <w:rPr>
          <w:rFonts w:ascii="Verdana" w:hAnsi="Verdana"/>
          <w:sz w:val="20"/>
          <w:szCs w:val="20"/>
        </w:rPr>
        <w:t xml:space="preserve">asignada a la Fiscalía 45 Especializada [en Bogotá,] adscrita a la Dirección Especializada contra la Violaciones a </w:t>
      </w:r>
      <w:r w:rsidR="00191277">
        <w:rPr>
          <w:rFonts w:ascii="Verdana" w:hAnsi="Verdana"/>
          <w:sz w:val="20"/>
          <w:szCs w:val="20"/>
        </w:rPr>
        <w:t xml:space="preserve">los </w:t>
      </w:r>
      <w:r w:rsidR="00E40021" w:rsidRPr="00E40021">
        <w:rPr>
          <w:rFonts w:ascii="Verdana" w:hAnsi="Verdana"/>
          <w:sz w:val="20"/>
          <w:szCs w:val="20"/>
        </w:rPr>
        <w:t>Derechos Humanos”</w:t>
      </w:r>
      <w:r w:rsidRPr="00E40021">
        <w:rPr>
          <w:rFonts w:ascii="Verdana" w:hAnsi="Verdana" w:cs="Arial"/>
          <w:sz w:val="20"/>
          <w:szCs w:val="20"/>
          <w:lang w:val="es-MX"/>
        </w:rPr>
        <w:t xml:space="preserve">. Informó que en el marco de dicha investigación se “decretó la apertura de instrucción y consecuente vinculación” de determinada persona, “integrante </w:t>
      </w:r>
      <w:r w:rsidRPr="00E40021">
        <w:rPr>
          <w:rFonts w:ascii="Verdana" w:hAnsi="Verdana"/>
          <w:sz w:val="20"/>
          <w:szCs w:val="20"/>
        </w:rPr>
        <w:t>del Bloque Cacique Nutibara de las AUC para la época de los hechos”</w:t>
      </w:r>
      <w:r w:rsidR="007361D1">
        <w:rPr>
          <w:rFonts w:ascii="Verdana" w:hAnsi="Verdana"/>
          <w:sz w:val="20"/>
          <w:szCs w:val="20"/>
        </w:rPr>
        <w:t>,</w:t>
      </w:r>
      <w:r w:rsidRPr="00E40021">
        <w:rPr>
          <w:rFonts w:ascii="Verdana" w:hAnsi="Verdana"/>
          <w:sz w:val="20"/>
          <w:szCs w:val="20"/>
        </w:rPr>
        <w:t xml:space="preserve"> como presunto responsable por los delitos de desplazamiento forza</w:t>
      </w:r>
      <w:r w:rsidR="00A531BD" w:rsidRPr="00E40021">
        <w:rPr>
          <w:rFonts w:ascii="Verdana" w:hAnsi="Verdana"/>
          <w:sz w:val="20"/>
          <w:szCs w:val="20"/>
        </w:rPr>
        <w:t>do</w:t>
      </w:r>
      <w:r w:rsidR="007361D1">
        <w:rPr>
          <w:rFonts w:ascii="Verdana" w:hAnsi="Verdana"/>
          <w:sz w:val="20"/>
          <w:szCs w:val="20"/>
        </w:rPr>
        <w:t>,</w:t>
      </w:r>
      <w:r w:rsidR="00A531BD" w:rsidRPr="00E40021">
        <w:rPr>
          <w:rFonts w:ascii="Verdana" w:hAnsi="Verdana"/>
          <w:sz w:val="20"/>
          <w:szCs w:val="20"/>
        </w:rPr>
        <w:t xml:space="preserve"> en concurso con los delitos de “invasión de tierras o edificaciones, daño en bien ajeno y hurto calificado”, y que posteriormente esta persona se acogió a la “sentencia anticipada” y “aceptó su responsabilidad” solo por el </w:t>
      </w:r>
      <w:r w:rsidR="007361D1">
        <w:rPr>
          <w:rFonts w:ascii="Verdana" w:hAnsi="Verdana"/>
          <w:sz w:val="20"/>
          <w:szCs w:val="20"/>
        </w:rPr>
        <w:t xml:space="preserve">delito de </w:t>
      </w:r>
      <w:r w:rsidR="00A531BD" w:rsidRPr="00E40021">
        <w:rPr>
          <w:rFonts w:ascii="Verdana" w:hAnsi="Verdana"/>
          <w:sz w:val="20"/>
          <w:szCs w:val="20"/>
        </w:rPr>
        <w:t>desplazamiento forzado</w:t>
      </w:r>
      <w:r w:rsidR="00A531BD">
        <w:rPr>
          <w:rFonts w:ascii="Verdana" w:hAnsi="Verdana"/>
          <w:sz w:val="20"/>
          <w:szCs w:val="20"/>
        </w:rPr>
        <w:t xml:space="preserve">. Indicó que esta persona fue condenada por el delito de desplazamiento forzado y </w:t>
      </w:r>
      <w:r w:rsidR="007361D1">
        <w:rPr>
          <w:rFonts w:ascii="Verdana" w:hAnsi="Verdana"/>
          <w:sz w:val="20"/>
          <w:szCs w:val="20"/>
        </w:rPr>
        <w:t xml:space="preserve">que </w:t>
      </w:r>
      <w:r w:rsidR="00A531BD">
        <w:rPr>
          <w:rFonts w:ascii="Verdana" w:hAnsi="Verdana"/>
          <w:sz w:val="20"/>
          <w:szCs w:val="20"/>
        </w:rPr>
        <w:t>no se encontró mérito para condenarlo por los demás delitos.  El Estado afirmó en</w:t>
      </w:r>
      <w:r w:rsidR="007361D1">
        <w:rPr>
          <w:rFonts w:ascii="Verdana" w:hAnsi="Verdana"/>
          <w:sz w:val="20"/>
          <w:szCs w:val="20"/>
        </w:rPr>
        <w:t xml:space="preserve"> su informe de</w:t>
      </w:r>
      <w:r w:rsidR="00A531BD">
        <w:rPr>
          <w:rFonts w:ascii="Verdana" w:hAnsi="Verdana"/>
          <w:sz w:val="20"/>
          <w:szCs w:val="20"/>
        </w:rPr>
        <w:t xml:space="preserve"> diciembre de 2017 que “durante </w:t>
      </w:r>
      <w:r w:rsidR="00C36925">
        <w:rPr>
          <w:rFonts w:ascii="Verdana" w:hAnsi="Verdana"/>
          <w:sz w:val="20"/>
          <w:szCs w:val="20"/>
        </w:rPr>
        <w:t>[</w:t>
      </w:r>
      <w:r w:rsidR="00A531BD">
        <w:rPr>
          <w:rFonts w:ascii="Verdana" w:hAnsi="Verdana"/>
          <w:sz w:val="20"/>
          <w:szCs w:val="20"/>
        </w:rPr>
        <w:t>el</w:t>
      </w:r>
      <w:r w:rsidR="00C36925">
        <w:rPr>
          <w:rFonts w:ascii="Verdana" w:hAnsi="Verdana"/>
          <w:sz w:val="20"/>
          <w:szCs w:val="20"/>
        </w:rPr>
        <w:t>]</w:t>
      </w:r>
      <w:r w:rsidR="00A531BD">
        <w:rPr>
          <w:rFonts w:ascii="Verdana" w:hAnsi="Verdana"/>
          <w:sz w:val="20"/>
          <w:szCs w:val="20"/>
        </w:rPr>
        <w:t xml:space="preserve"> primer año de ejecutoria de la Sentencia, […] ha venido cumpliendo con lo ordenado, en tanto, en un plazo razonable y de conformidad con su derecho interno, adelantó las medidas necesarias para continuar con la investigación penal por el desplazamiento</w:t>
      </w:r>
      <w:r w:rsidR="00C36925">
        <w:rPr>
          <w:rFonts w:ascii="Verdana" w:hAnsi="Verdana"/>
          <w:sz w:val="20"/>
          <w:szCs w:val="20"/>
        </w:rPr>
        <w:t xml:space="preserve"> forzado</w:t>
      </w:r>
      <w:r w:rsidR="00A531BD">
        <w:rPr>
          <w:rFonts w:ascii="Verdana" w:hAnsi="Verdana"/>
          <w:sz w:val="20"/>
          <w:szCs w:val="20"/>
        </w:rPr>
        <w:t xml:space="preserve"> de la señora […] Rúa </w:t>
      </w:r>
      <w:r w:rsidR="00A531BD">
        <w:rPr>
          <w:rFonts w:ascii="Verdana" w:hAnsi="Verdana"/>
          <w:sz w:val="20"/>
          <w:szCs w:val="20"/>
        </w:rPr>
        <w:lastRenderedPageBreak/>
        <w:t xml:space="preserve">Figueroa y su familia”. En </w:t>
      </w:r>
      <w:r w:rsidR="007361D1">
        <w:rPr>
          <w:rFonts w:ascii="Verdana" w:hAnsi="Verdana"/>
          <w:sz w:val="20"/>
          <w:szCs w:val="20"/>
        </w:rPr>
        <w:t>los</w:t>
      </w:r>
      <w:r w:rsidR="00A531BD">
        <w:rPr>
          <w:rFonts w:ascii="Verdana" w:hAnsi="Verdana"/>
          <w:sz w:val="20"/>
          <w:szCs w:val="20"/>
        </w:rPr>
        <w:t xml:space="preserve"> siguientes informes </w:t>
      </w:r>
      <w:r w:rsidR="007361D1">
        <w:rPr>
          <w:rFonts w:ascii="Verdana" w:hAnsi="Verdana"/>
          <w:sz w:val="20"/>
          <w:szCs w:val="20"/>
        </w:rPr>
        <w:t>dio</w:t>
      </w:r>
      <w:r w:rsidR="00A531BD">
        <w:rPr>
          <w:rFonts w:ascii="Verdana" w:hAnsi="Verdana"/>
          <w:sz w:val="20"/>
          <w:szCs w:val="20"/>
        </w:rPr>
        <w:t xml:space="preserve"> cuenta de que la referida investigación penal </w:t>
      </w:r>
      <w:r w:rsidR="007361D1">
        <w:rPr>
          <w:rFonts w:ascii="Verdana" w:hAnsi="Verdana"/>
          <w:sz w:val="20"/>
          <w:szCs w:val="20"/>
        </w:rPr>
        <w:t>continúa</w:t>
      </w:r>
      <w:r w:rsidR="00A531BD">
        <w:rPr>
          <w:rFonts w:ascii="Verdana" w:hAnsi="Verdana"/>
          <w:sz w:val="20"/>
          <w:szCs w:val="20"/>
        </w:rPr>
        <w:t xml:space="preserve"> en curso y expres</w:t>
      </w:r>
      <w:r w:rsidR="001033C2">
        <w:rPr>
          <w:rFonts w:ascii="Verdana" w:hAnsi="Verdana"/>
          <w:sz w:val="20"/>
          <w:szCs w:val="20"/>
        </w:rPr>
        <w:t>ó</w:t>
      </w:r>
      <w:r w:rsidR="00A531BD">
        <w:rPr>
          <w:rFonts w:ascii="Verdana" w:hAnsi="Verdana"/>
          <w:sz w:val="20"/>
          <w:szCs w:val="20"/>
        </w:rPr>
        <w:t xml:space="preserve"> su “compromiso” </w:t>
      </w:r>
      <w:r w:rsidR="007361D1">
        <w:rPr>
          <w:rFonts w:ascii="Verdana" w:hAnsi="Verdana" w:cs="Arial"/>
          <w:sz w:val="20"/>
          <w:szCs w:val="20"/>
          <w:lang w:val="es-MX"/>
        </w:rPr>
        <w:t>respecto a</w:t>
      </w:r>
      <w:r w:rsidR="00A531BD" w:rsidRPr="00447276">
        <w:rPr>
          <w:rFonts w:ascii="Verdana" w:hAnsi="Verdana" w:cs="Arial"/>
          <w:sz w:val="20"/>
          <w:szCs w:val="20"/>
          <w:lang w:val="es-MX"/>
        </w:rPr>
        <w:t xml:space="preserve"> que “seguir[á] implementando las medidas a su alcance para impulsar la investigación penal por los hechos del caso</w:t>
      </w:r>
      <w:r w:rsidR="00A531BD">
        <w:rPr>
          <w:rFonts w:ascii="Verdana" w:hAnsi="Verdana" w:cs="Arial"/>
          <w:sz w:val="20"/>
          <w:szCs w:val="20"/>
          <w:lang w:val="es-MX"/>
        </w:rPr>
        <w:t>”.</w:t>
      </w:r>
      <w:bookmarkEnd w:id="13"/>
      <w:r w:rsidR="00A531BD">
        <w:rPr>
          <w:rFonts w:ascii="Verdana" w:hAnsi="Verdana" w:cs="Arial"/>
          <w:sz w:val="20"/>
          <w:szCs w:val="20"/>
          <w:lang w:val="es-MX"/>
        </w:rPr>
        <w:t xml:space="preserve"> </w:t>
      </w:r>
      <w:r w:rsidR="001033C2">
        <w:rPr>
          <w:rFonts w:ascii="Verdana" w:hAnsi="Verdana" w:cs="Arial"/>
          <w:sz w:val="20"/>
          <w:szCs w:val="20"/>
          <w:lang w:val="es-MX"/>
        </w:rPr>
        <w:t>No obstante lo anterior, Colombia también señaló los obstáculos que se enfrentan en la investigación penal de estos hechos (</w:t>
      </w:r>
      <w:r w:rsidR="001033C2" w:rsidRPr="001033C2">
        <w:rPr>
          <w:rFonts w:ascii="Verdana" w:hAnsi="Verdana" w:cs="Arial"/>
          <w:i/>
          <w:sz w:val="20"/>
          <w:szCs w:val="20"/>
          <w:lang w:val="es-MX"/>
        </w:rPr>
        <w:t xml:space="preserve">infra </w:t>
      </w:r>
      <w:r w:rsidR="001033C2">
        <w:rPr>
          <w:rFonts w:ascii="Verdana" w:hAnsi="Verdana" w:cs="Arial"/>
          <w:sz w:val="20"/>
          <w:szCs w:val="20"/>
          <w:lang w:val="es-MX"/>
        </w:rPr>
        <w:t>Considerando 16).</w:t>
      </w:r>
    </w:p>
    <w:p w14:paraId="39E3AF0C" w14:textId="2972EAE5" w:rsidR="00A531BD" w:rsidRPr="00A17381" w:rsidRDefault="00A531BD" w:rsidP="00A531BD">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bookmarkStart w:id="14" w:name="_Ref26785210"/>
      <w:r w:rsidRPr="00E40021">
        <w:rPr>
          <w:rFonts w:ascii="Verdana" w:hAnsi="Verdana" w:cs="Arial"/>
          <w:sz w:val="20"/>
          <w:szCs w:val="20"/>
          <w:lang w:val="es-MX"/>
        </w:rPr>
        <w:t xml:space="preserve">Las </w:t>
      </w:r>
      <w:r w:rsidRPr="00E40021">
        <w:rPr>
          <w:rFonts w:ascii="Verdana" w:hAnsi="Verdana" w:cs="Arial"/>
          <w:i/>
          <w:sz w:val="20"/>
          <w:szCs w:val="20"/>
          <w:lang w:val="es-MX"/>
        </w:rPr>
        <w:t xml:space="preserve">representantes </w:t>
      </w:r>
      <w:r w:rsidRPr="00E40021">
        <w:rPr>
          <w:rFonts w:ascii="Verdana" w:hAnsi="Verdana"/>
          <w:sz w:val="20"/>
          <w:szCs w:val="20"/>
        </w:rPr>
        <w:t xml:space="preserve">consideraron que la referida condena no tiene efectos en la práctica porque se trata de “un paramilitar que ya está condenado a 40 años de prisión por otros delitos y está haciendo todo tipo de confesiones desde hace 8 años”. También, señalaron que </w:t>
      </w:r>
      <w:r w:rsidRPr="00E40021">
        <w:rPr>
          <w:rFonts w:ascii="Verdana" w:hAnsi="Verdana" w:cs="Arial"/>
          <w:sz w:val="20"/>
          <w:szCs w:val="20"/>
          <w:lang w:val="es-MX"/>
        </w:rPr>
        <w:t xml:space="preserve">“no se encontró ningún mérito para investigarlo por la invasión de la vivienda de la familia de la [señora] Rúa, ni por el hurto de todos sus bienes ni por la destrucción total del inmueble, lo que hasta la fecha continúa en la impunidad”. </w:t>
      </w:r>
      <w:r w:rsidRPr="00E40021">
        <w:rPr>
          <w:rFonts w:ascii="Verdana" w:hAnsi="Verdana"/>
          <w:sz w:val="20"/>
          <w:szCs w:val="20"/>
        </w:rPr>
        <w:t>Aunado a esto, en respuesta a determinadas afirmaciones realizadas por el Estado</w:t>
      </w:r>
      <w:bookmarkStart w:id="15" w:name="_Ref26784086"/>
      <w:r w:rsidRPr="00E40021">
        <w:rPr>
          <w:rStyle w:val="Refdenotaalpie"/>
          <w:rFonts w:ascii="Verdana" w:hAnsi="Verdana"/>
          <w:sz w:val="20"/>
          <w:szCs w:val="20"/>
        </w:rPr>
        <w:footnoteReference w:id="17"/>
      </w:r>
      <w:bookmarkEnd w:id="15"/>
      <w:r w:rsidRPr="00E40021">
        <w:rPr>
          <w:rFonts w:ascii="Verdana" w:hAnsi="Verdana"/>
          <w:sz w:val="20"/>
          <w:szCs w:val="20"/>
        </w:rPr>
        <w:t>, se refirieron a las razones por las cuales la señora Rúa Figueroa no tiene participación como parte civil en la referida investigación</w:t>
      </w:r>
      <w:bookmarkStart w:id="16" w:name="_Ref26785645"/>
      <w:r w:rsidR="001033C2">
        <w:rPr>
          <w:rFonts w:ascii="Verdana" w:hAnsi="Verdana"/>
          <w:sz w:val="20"/>
          <w:szCs w:val="20"/>
        </w:rPr>
        <w:t xml:space="preserve"> penal</w:t>
      </w:r>
      <w:r w:rsidRPr="00E40021">
        <w:rPr>
          <w:rStyle w:val="Refdenotaalpie"/>
          <w:rFonts w:ascii="Verdana" w:hAnsi="Verdana"/>
          <w:sz w:val="20"/>
          <w:szCs w:val="20"/>
        </w:rPr>
        <w:footnoteReference w:id="18"/>
      </w:r>
      <w:bookmarkEnd w:id="16"/>
      <w:r w:rsidRPr="00E40021">
        <w:rPr>
          <w:rFonts w:ascii="Verdana" w:hAnsi="Verdana"/>
          <w:sz w:val="20"/>
          <w:szCs w:val="20"/>
        </w:rPr>
        <w:t xml:space="preserve"> y, por tanto, no fue informada de la sentencia condenatoria, ni de las actuaciones procesales que precedieron su emisión. Agregaron que</w:t>
      </w:r>
      <w:r w:rsidR="001033C2">
        <w:rPr>
          <w:rFonts w:ascii="Verdana" w:hAnsi="Verdana"/>
          <w:sz w:val="20"/>
          <w:szCs w:val="20"/>
        </w:rPr>
        <w:t>,</w:t>
      </w:r>
      <w:r w:rsidRPr="00E40021">
        <w:rPr>
          <w:rFonts w:ascii="Verdana" w:hAnsi="Verdana"/>
          <w:sz w:val="20"/>
          <w:szCs w:val="20"/>
        </w:rPr>
        <w:t xml:space="preserve"> tanto ellas como las víctimas</w:t>
      </w:r>
      <w:r w:rsidR="001033C2">
        <w:rPr>
          <w:rFonts w:ascii="Verdana" w:hAnsi="Verdana"/>
          <w:sz w:val="20"/>
          <w:szCs w:val="20"/>
        </w:rPr>
        <w:t>,</w:t>
      </w:r>
      <w:r w:rsidRPr="00E40021">
        <w:rPr>
          <w:rFonts w:ascii="Verdana" w:hAnsi="Verdana"/>
          <w:sz w:val="20"/>
          <w:szCs w:val="20"/>
        </w:rPr>
        <w:t xml:space="preserve"> desconocen el contenido de dicha sentencia condenatoria, puesto que no ha sido aportada por el Estado. Asimismo, consideraron que “[a]</w:t>
      </w:r>
      <w:proofErr w:type="spellStart"/>
      <w:r w:rsidRPr="00E40021">
        <w:rPr>
          <w:rFonts w:ascii="Verdana" w:hAnsi="Verdana"/>
          <w:sz w:val="20"/>
          <w:szCs w:val="20"/>
        </w:rPr>
        <w:t>ún</w:t>
      </w:r>
      <w:proofErr w:type="spellEnd"/>
      <w:r w:rsidRPr="00E40021">
        <w:rPr>
          <w:rFonts w:ascii="Verdana" w:hAnsi="Verdana"/>
          <w:sz w:val="20"/>
          <w:szCs w:val="20"/>
        </w:rPr>
        <w:t xml:space="preserve"> con [dicha] </w:t>
      </w:r>
      <w:r w:rsidRPr="00A17381">
        <w:rPr>
          <w:rFonts w:ascii="Verdana" w:hAnsi="Verdana"/>
          <w:sz w:val="20"/>
          <w:szCs w:val="20"/>
        </w:rPr>
        <w:t>sentencia [condenatoria]”, “no se está cumpliendo cabalmente con la obligación de investigar” “mientras no se investigue la vinculación y responsabilidad de Agentes del Estado en los hechos que dieron lugar a la Operación Mariscal, en medio de los cuales fue desplazada la señora […] Rúa y su familia”</w:t>
      </w:r>
      <w:r w:rsidRPr="00A17381">
        <w:rPr>
          <w:rStyle w:val="Refdenotaalpie"/>
          <w:rFonts w:ascii="Verdana" w:hAnsi="Verdana"/>
          <w:sz w:val="20"/>
          <w:szCs w:val="20"/>
        </w:rPr>
        <w:footnoteReference w:id="19"/>
      </w:r>
      <w:r w:rsidRPr="00A17381">
        <w:rPr>
          <w:rFonts w:ascii="Verdana" w:hAnsi="Verdana"/>
          <w:sz w:val="20"/>
          <w:szCs w:val="20"/>
        </w:rPr>
        <w:t>.</w:t>
      </w:r>
      <w:bookmarkEnd w:id="14"/>
      <w:r w:rsidRPr="00A17381">
        <w:rPr>
          <w:rFonts w:ascii="Verdana" w:hAnsi="Verdana"/>
          <w:sz w:val="20"/>
          <w:szCs w:val="20"/>
        </w:rPr>
        <w:t xml:space="preserve"> </w:t>
      </w:r>
    </w:p>
    <w:p w14:paraId="33BE3709" w14:textId="7DDE22B4" w:rsidR="00B23C83" w:rsidRPr="00A17381" w:rsidRDefault="00E40021" w:rsidP="00A531BD">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A17381">
        <w:rPr>
          <w:rFonts w:ascii="Verdana" w:hAnsi="Verdana" w:cs="Arial"/>
          <w:sz w:val="20"/>
          <w:szCs w:val="20"/>
          <w:lang w:val="es-MX"/>
        </w:rPr>
        <w:t xml:space="preserve">La </w:t>
      </w:r>
      <w:r w:rsidRPr="00A17381">
        <w:rPr>
          <w:rFonts w:ascii="Verdana" w:hAnsi="Verdana" w:cs="Arial"/>
          <w:i/>
          <w:sz w:val="20"/>
          <w:szCs w:val="20"/>
          <w:lang w:val="es-MX"/>
        </w:rPr>
        <w:t>Comisión Interamericana</w:t>
      </w:r>
      <w:r w:rsidRPr="00A17381">
        <w:rPr>
          <w:rFonts w:ascii="Verdana" w:hAnsi="Verdana" w:cs="Arial"/>
          <w:sz w:val="20"/>
          <w:szCs w:val="20"/>
          <w:lang w:val="es-MX"/>
        </w:rPr>
        <w:t xml:space="preserve"> </w:t>
      </w:r>
      <w:r w:rsidR="00F34C13" w:rsidRPr="00A17381">
        <w:rPr>
          <w:rFonts w:ascii="Verdana" w:hAnsi="Verdana" w:cs="Arial"/>
          <w:sz w:val="20"/>
          <w:szCs w:val="20"/>
          <w:lang w:val="es-MX"/>
        </w:rPr>
        <w:t>tomó nota de lo informado por el Estado respecto de la referida condena penal. Además, en cuanto a lo alegado por l</w:t>
      </w:r>
      <w:r w:rsidR="00C377B6">
        <w:rPr>
          <w:rFonts w:ascii="Verdana" w:hAnsi="Verdana" w:cs="Arial"/>
          <w:sz w:val="20"/>
          <w:szCs w:val="20"/>
          <w:lang w:val="es-MX"/>
        </w:rPr>
        <w:t>a</w:t>
      </w:r>
      <w:r w:rsidR="00F34C13" w:rsidRPr="00A17381">
        <w:rPr>
          <w:rFonts w:ascii="Verdana" w:hAnsi="Verdana" w:cs="Arial"/>
          <w:sz w:val="20"/>
          <w:szCs w:val="20"/>
          <w:lang w:val="es-MX"/>
        </w:rPr>
        <w:t xml:space="preserve">s representantes respecto de “la falta de investigación de agentes estatales por los hechos denunciados, tanto por su presunta colaboración con grupos paramilitares en operativos llevados a cabo en la </w:t>
      </w:r>
      <w:r w:rsidR="00987AA4">
        <w:rPr>
          <w:rFonts w:ascii="Verdana" w:hAnsi="Verdana" w:cs="Arial"/>
          <w:sz w:val="20"/>
          <w:szCs w:val="20"/>
          <w:lang w:val="es-MX"/>
        </w:rPr>
        <w:t>[</w:t>
      </w:r>
      <w:r w:rsidR="00F34C13" w:rsidRPr="00A17381">
        <w:rPr>
          <w:rFonts w:ascii="Verdana" w:hAnsi="Verdana" w:cs="Arial"/>
          <w:sz w:val="20"/>
          <w:szCs w:val="20"/>
          <w:lang w:val="es-MX"/>
        </w:rPr>
        <w:t>C</w:t>
      </w:r>
      <w:r w:rsidR="00987AA4">
        <w:rPr>
          <w:rFonts w:ascii="Verdana" w:hAnsi="Verdana" w:cs="Arial"/>
          <w:sz w:val="20"/>
          <w:szCs w:val="20"/>
          <w:lang w:val="es-MX"/>
        </w:rPr>
        <w:t>]</w:t>
      </w:r>
      <w:proofErr w:type="spellStart"/>
      <w:r w:rsidR="00F34C13" w:rsidRPr="00A17381">
        <w:rPr>
          <w:rFonts w:ascii="Verdana" w:hAnsi="Verdana" w:cs="Arial"/>
          <w:sz w:val="20"/>
          <w:szCs w:val="20"/>
          <w:lang w:val="es-MX"/>
        </w:rPr>
        <w:t>omuna</w:t>
      </w:r>
      <w:proofErr w:type="spellEnd"/>
      <w:r w:rsidR="00F34C13" w:rsidRPr="00A17381">
        <w:rPr>
          <w:rFonts w:ascii="Verdana" w:hAnsi="Verdana" w:cs="Arial"/>
          <w:sz w:val="20"/>
          <w:szCs w:val="20"/>
          <w:lang w:val="es-MX"/>
        </w:rPr>
        <w:t xml:space="preserve"> 13 como ‘por faltas gravísimas disciplinarias con ocasión de la Operación Mariscal’”, la Comisión “</w:t>
      </w:r>
      <w:proofErr w:type="spellStart"/>
      <w:r w:rsidR="00F34C13" w:rsidRPr="00A17381">
        <w:rPr>
          <w:rFonts w:ascii="Verdana" w:hAnsi="Verdana" w:cs="Arial"/>
          <w:sz w:val="20"/>
          <w:szCs w:val="20"/>
          <w:lang w:val="es-MX"/>
        </w:rPr>
        <w:t>recalc</w:t>
      </w:r>
      <w:proofErr w:type="spellEnd"/>
      <w:r w:rsidR="00F34C13" w:rsidRPr="00A17381">
        <w:rPr>
          <w:rFonts w:ascii="Verdana" w:hAnsi="Verdana" w:cs="Arial"/>
          <w:sz w:val="20"/>
          <w:szCs w:val="20"/>
          <w:lang w:val="es-MX"/>
        </w:rPr>
        <w:t>[</w:t>
      </w:r>
      <w:proofErr w:type="spellStart"/>
      <w:r w:rsidR="00F34C13" w:rsidRPr="00A17381">
        <w:rPr>
          <w:rFonts w:ascii="Verdana" w:hAnsi="Verdana" w:cs="Arial"/>
          <w:sz w:val="20"/>
          <w:szCs w:val="20"/>
          <w:lang w:val="es-MX"/>
        </w:rPr>
        <w:t>ó</w:t>
      </w:r>
      <w:proofErr w:type="spellEnd"/>
      <w:r w:rsidR="00F34C13" w:rsidRPr="00A17381">
        <w:rPr>
          <w:rFonts w:ascii="Verdana" w:hAnsi="Verdana" w:cs="Arial"/>
          <w:sz w:val="20"/>
          <w:szCs w:val="20"/>
          <w:lang w:val="es-MX"/>
        </w:rPr>
        <w:t>]</w:t>
      </w:r>
      <w:r w:rsidR="004F2D89" w:rsidRPr="00A17381">
        <w:rPr>
          <w:rFonts w:ascii="Verdana" w:hAnsi="Verdana" w:cs="Arial"/>
          <w:sz w:val="20"/>
          <w:szCs w:val="20"/>
          <w:lang w:val="es-MX"/>
        </w:rPr>
        <w:t xml:space="preserve"> la responsabilidad del Estado </w:t>
      </w:r>
      <w:r w:rsidR="00987AA4">
        <w:rPr>
          <w:rFonts w:ascii="Verdana" w:hAnsi="Verdana" w:cs="Arial"/>
          <w:sz w:val="20"/>
          <w:szCs w:val="20"/>
          <w:lang w:val="es-MX"/>
        </w:rPr>
        <w:t>[</w:t>
      </w:r>
      <w:r w:rsidR="004F2D89" w:rsidRPr="00A17381">
        <w:rPr>
          <w:rFonts w:ascii="Verdana" w:hAnsi="Verdana" w:cs="Arial"/>
          <w:sz w:val="20"/>
          <w:szCs w:val="20"/>
          <w:lang w:val="es-MX"/>
        </w:rPr>
        <w:t>C</w:t>
      </w:r>
      <w:r w:rsidR="00987AA4">
        <w:rPr>
          <w:rFonts w:ascii="Verdana" w:hAnsi="Verdana" w:cs="Arial"/>
          <w:sz w:val="20"/>
          <w:szCs w:val="20"/>
          <w:lang w:val="es-MX"/>
        </w:rPr>
        <w:t>]</w:t>
      </w:r>
      <w:proofErr w:type="spellStart"/>
      <w:r w:rsidR="004F2D89" w:rsidRPr="00A17381">
        <w:rPr>
          <w:rFonts w:ascii="Verdana" w:hAnsi="Verdana" w:cs="Arial"/>
          <w:sz w:val="20"/>
          <w:szCs w:val="20"/>
          <w:lang w:val="es-MX"/>
        </w:rPr>
        <w:t>olombiano</w:t>
      </w:r>
      <w:proofErr w:type="spellEnd"/>
      <w:r w:rsidR="004F2D89" w:rsidRPr="00A17381">
        <w:rPr>
          <w:rFonts w:ascii="Verdana" w:hAnsi="Verdana" w:cs="Arial"/>
          <w:sz w:val="20"/>
          <w:szCs w:val="20"/>
          <w:lang w:val="es-MX"/>
        </w:rPr>
        <w:t xml:space="preserve"> de llevar a cabo una investigación diligente, </w:t>
      </w:r>
      <w:r w:rsidR="004F2D89" w:rsidRPr="001033C2">
        <w:rPr>
          <w:rFonts w:ascii="Verdana" w:hAnsi="Verdana" w:cs="Arial"/>
          <w:i/>
          <w:sz w:val="20"/>
          <w:szCs w:val="20"/>
          <w:lang w:val="es-MX"/>
        </w:rPr>
        <w:t>ex officio</w:t>
      </w:r>
      <w:r w:rsidR="004F2D89" w:rsidRPr="00A17381">
        <w:rPr>
          <w:rFonts w:ascii="Verdana" w:hAnsi="Verdana" w:cs="Arial"/>
          <w:sz w:val="20"/>
          <w:szCs w:val="20"/>
          <w:lang w:val="es-MX"/>
        </w:rPr>
        <w:t xml:space="preserve"> y exhaustiva, que tiene por objeto investigar y sancionar a todos los eventuales responsables por las violaciones </w:t>
      </w:r>
      <w:r w:rsidR="00987AA4">
        <w:rPr>
          <w:rFonts w:ascii="Verdana" w:hAnsi="Verdana" w:cs="Arial"/>
          <w:sz w:val="20"/>
          <w:szCs w:val="20"/>
          <w:lang w:val="es-MX"/>
        </w:rPr>
        <w:t>de</w:t>
      </w:r>
      <w:r w:rsidR="00987AA4" w:rsidRPr="00A17381">
        <w:rPr>
          <w:rFonts w:ascii="Verdana" w:hAnsi="Verdana" w:cs="Arial"/>
          <w:sz w:val="20"/>
          <w:szCs w:val="20"/>
          <w:lang w:val="es-MX"/>
        </w:rPr>
        <w:t xml:space="preserve"> </w:t>
      </w:r>
      <w:r w:rsidR="004F2D89" w:rsidRPr="00A17381">
        <w:rPr>
          <w:rFonts w:ascii="Verdana" w:hAnsi="Verdana" w:cs="Arial"/>
          <w:sz w:val="20"/>
          <w:szCs w:val="20"/>
          <w:lang w:val="es-MX"/>
        </w:rPr>
        <w:t xml:space="preserve">derechos humanos declaradas en la </w:t>
      </w:r>
      <w:r w:rsidR="00987AA4">
        <w:rPr>
          <w:rFonts w:ascii="Verdana" w:hAnsi="Verdana" w:cs="Arial"/>
          <w:sz w:val="20"/>
          <w:szCs w:val="20"/>
          <w:lang w:val="es-MX"/>
        </w:rPr>
        <w:t>[</w:t>
      </w:r>
      <w:r w:rsidR="004F2D89" w:rsidRPr="00A17381">
        <w:rPr>
          <w:rFonts w:ascii="Verdana" w:hAnsi="Verdana" w:cs="Arial"/>
          <w:sz w:val="20"/>
          <w:szCs w:val="20"/>
          <w:lang w:val="es-MX"/>
        </w:rPr>
        <w:t>S</w:t>
      </w:r>
      <w:r w:rsidR="00987AA4">
        <w:rPr>
          <w:rFonts w:ascii="Verdana" w:hAnsi="Verdana" w:cs="Arial"/>
          <w:sz w:val="20"/>
          <w:szCs w:val="20"/>
          <w:lang w:val="es-MX"/>
        </w:rPr>
        <w:t>]</w:t>
      </w:r>
      <w:r w:rsidR="004F2D89" w:rsidRPr="00A17381">
        <w:rPr>
          <w:rFonts w:ascii="Verdana" w:hAnsi="Verdana" w:cs="Arial"/>
          <w:sz w:val="20"/>
          <w:szCs w:val="20"/>
          <w:lang w:val="es-MX"/>
        </w:rPr>
        <w:t>entencia”. Además, “</w:t>
      </w:r>
      <w:proofErr w:type="spellStart"/>
      <w:r w:rsidR="004F2D89" w:rsidRPr="00A17381">
        <w:rPr>
          <w:rFonts w:ascii="Verdana" w:hAnsi="Verdana" w:cs="Arial"/>
          <w:sz w:val="20"/>
          <w:szCs w:val="20"/>
          <w:lang w:val="es-MX"/>
        </w:rPr>
        <w:t>solicit</w:t>
      </w:r>
      <w:proofErr w:type="spellEnd"/>
      <w:r w:rsidR="004F2D89" w:rsidRPr="00A17381">
        <w:rPr>
          <w:rFonts w:ascii="Verdana" w:hAnsi="Verdana" w:cs="Arial"/>
          <w:sz w:val="20"/>
          <w:szCs w:val="20"/>
          <w:lang w:val="es-MX"/>
        </w:rPr>
        <w:t>[</w:t>
      </w:r>
      <w:proofErr w:type="spellStart"/>
      <w:r w:rsidR="004F2D89" w:rsidRPr="00A17381">
        <w:rPr>
          <w:rFonts w:ascii="Verdana" w:hAnsi="Verdana" w:cs="Arial"/>
          <w:sz w:val="20"/>
          <w:szCs w:val="20"/>
          <w:lang w:val="es-MX"/>
        </w:rPr>
        <w:t>ó</w:t>
      </w:r>
      <w:proofErr w:type="spellEnd"/>
      <w:r w:rsidR="004F2D89" w:rsidRPr="00A17381">
        <w:rPr>
          <w:rFonts w:ascii="Verdana" w:hAnsi="Verdana" w:cs="Arial"/>
          <w:sz w:val="20"/>
          <w:szCs w:val="20"/>
          <w:lang w:val="es-MX"/>
        </w:rPr>
        <w:t xml:space="preserve">] a la Corte que </w:t>
      </w:r>
      <w:r w:rsidR="004F2D89" w:rsidRPr="00A17381">
        <w:rPr>
          <w:rFonts w:ascii="Verdana" w:hAnsi="Verdana" w:cs="Arial"/>
          <w:sz w:val="20"/>
          <w:szCs w:val="20"/>
          <w:lang w:val="es-MX"/>
        </w:rPr>
        <w:lastRenderedPageBreak/>
        <w:t>requiera al Estado</w:t>
      </w:r>
      <w:r w:rsidR="00A17381" w:rsidRPr="00A17381">
        <w:rPr>
          <w:rFonts w:ascii="Verdana" w:hAnsi="Verdana" w:cs="Arial"/>
          <w:sz w:val="20"/>
          <w:szCs w:val="20"/>
          <w:lang w:val="es-MX"/>
        </w:rPr>
        <w:t xml:space="preserve"> informar sobre las diligencias que está</w:t>
      </w:r>
      <w:r w:rsidR="001033C2">
        <w:rPr>
          <w:rFonts w:ascii="Verdana" w:hAnsi="Verdana" w:cs="Arial"/>
          <w:sz w:val="20"/>
          <w:szCs w:val="20"/>
          <w:lang w:val="es-MX"/>
        </w:rPr>
        <w:t xml:space="preserve"> </w:t>
      </w:r>
      <w:r w:rsidR="00A17381" w:rsidRPr="00A17381">
        <w:rPr>
          <w:rFonts w:ascii="Verdana" w:hAnsi="Verdana" w:cs="Arial"/>
          <w:sz w:val="20"/>
          <w:szCs w:val="20"/>
          <w:lang w:val="es-MX"/>
        </w:rPr>
        <w:t xml:space="preserve">realizando para investigar y determinar eventuales responsabilidades de todos los agentes estatales posiblemente involucrados en los hechos”. </w:t>
      </w:r>
    </w:p>
    <w:p w14:paraId="58D1B8EE" w14:textId="77777777" w:rsidR="0066104A" w:rsidRDefault="0066104A" w:rsidP="0066104A">
      <w:pPr>
        <w:pStyle w:val="Prrafodelista"/>
        <w:tabs>
          <w:tab w:val="left" w:pos="0"/>
        </w:tabs>
        <w:autoSpaceDE w:val="0"/>
        <w:autoSpaceDN w:val="0"/>
        <w:adjustRightInd w:val="0"/>
        <w:spacing w:before="120" w:after="120" w:line="240" w:lineRule="auto"/>
        <w:ind w:left="0" w:right="96"/>
        <w:contextualSpacing w:val="0"/>
        <w:jc w:val="both"/>
        <w:rPr>
          <w:rFonts w:ascii="Verdana" w:hAnsi="Verdana" w:cs="Arial"/>
          <w:b/>
          <w:sz w:val="20"/>
          <w:szCs w:val="20"/>
          <w:lang w:val="es-MX"/>
        </w:rPr>
      </w:pPr>
    </w:p>
    <w:p w14:paraId="218F129F" w14:textId="4D9A8980" w:rsidR="0066104A" w:rsidRPr="0066104A" w:rsidRDefault="0066104A" w:rsidP="0066104A">
      <w:pPr>
        <w:pStyle w:val="Prrafodelista"/>
        <w:tabs>
          <w:tab w:val="left" w:pos="0"/>
        </w:tabs>
        <w:autoSpaceDE w:val="0"/>
        <w:autoSpaceDN w:val="0"/>
        <w:adjustRightInd w:val="0"/>
        <w:spacing w:before="120" w:after="120" w:line="240" w:lineRule="auto"/>
        <w:ind w:left="0" w:right="96"/>
        <w:contextualSpacing w:val="0"/>
        <w:jc w:val="both"/>
        <w:rPr>
          <w:rFonts w:ascii="Verdana" w:hAnsi="Verdana" w:cs="Arial"/>
          <w:i/>
          <w:sz w:val="20"/>
          <w:szCs w:val="20"/>
          <w:lang w:val="es-MX"/>
        </w:rPr>
      </w:pPr>
      <w:r>
        <w:rPr>
          <w:rFonts w:ascii="Verdana" w:hAnsi="Verdana" w:cs="Arial"/>
          <w:b/>
          <w:sz w:val="20"/>
          <w:szCs w:val="20"/>
          <w:lang w:val="es-MX"/>
        </w:rPr>
        <w:tab/>
      </w:r>
      <w:r w:rsidRPr="0066104A">
        <w:rPr>
          <w:rFonts w:ascii="Verdana" w:hAnsi="Verdana" w:cs="Arial"/>
          <w:i/>
          <w:sz w:val="20"/>
          <w:szCs w:val="20"/>
          <w:lang w:val="es-MX"/>
        </w:rPr>
        <w:t>A.3. Consideraciones de la Corte</w:t>
      </w:r>
    </w:p>
    <w:p w14:paraId="204C7C25" w14:textId="72C56EE9" w:rsidR="003367C3" w:rsidRPr="003367C3" w:rsidRDefault="006E76BC" w:rsidP="00D358BB">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b/>
          <w:sz w:val="20"/>
          <w:szCs w:val="20"/>
          <w:lang w:val="es-MX"/>
        </w:rPr>
      </w:pPr>
      <w:r w:rsidRPr="003367C3">
        <w:rPr>
          <w:rFonts w:ascii="Verdana" w:hAnsi="Verdana" w:cs="Arial"/>
          <w:sz w:val="20"/>
          <w:szCs w:val="20"/>
          <w:lang w:val="es-MX"/>
        </w:rPr>
        <w:t xml:space="preserve">Según lo señalado por el </w:t>
      </w:r>
      <w:r w:rsidRPr="001033C2">
        <w:rPr>
          <w:rFonts w:ascii="Verdana" w:hAnsi="Verdana" w:cs="Arial"/>
          <w:sz w:val="20"/>
          <w:szCs w:val="20"/>
          <w:lang w:val="es-MX"/>
        </w:rPr>
        <w:t>Estado</w:t>
      </w:r>
      <w:r w:rsidRPr="003367C3">
        <w:rPr>
          <w:rFonts w:ascii="Verdana" w:hAnsi="Verdana" w:cs="Arial"/>
          <w:sz w:val="20"/>
          <w:szCs w:val="20"/>
          <w:lang w:val="es-MX"/>
        </w:rPr>
        <w:t xml:space="preserve"> y no controvertido por las </w:t>
      </w:r>
      <w:r w:rsidRPr="001033C2">
        <w:rPr>
          <w:rFonts w:ascii="Verdana" w:hAnsi="Verdana" w:cs="Arial"/>
          <w:sz w:val="20"/>
          <w:szCs w:val="20"/>
          <w:lang w:val="es-MX"/>
        </w:rPr>
        <w:t>representantes</w:t>
      </w:r>
      <w:r w:rsidRPr="003367C3">
        <w:rPr>
          <w:rFonts w:ascii="Verdana" w:hAnsi="Verdana" w:cs="Arial"/>
          <w:sz w:val="20"/>
          <w:szCs w:val="20"/>
          <w:lang w:val="es-MX"/>
        </w:rPr>
        <w:t>,</w:t>
      </w:r>
      <w:r w:rsidR="006C7B36" w:rsidRPr="003367C3">
        <w:rPr>
          <w:rFonts w:ascii="Verdana" w:hAnsi="Verdana" w:cs="Arial"/>
          <w:sz w:val="20"/>
          <w:szCs w:val="20"/>
          <w:lang w:val="es-MX"/>
        </w:rPr>
        <w:t xml:space="preserve"> </w:t>
      </w:r>
      <w:r w:rsidR="00AE0BC6" w:rsidRPr="003367C3">
        <w:rPr>
          <w:rFonts w:ascii="Verdana" w:hAnsi="Verdana" w:cs="Arial"/>
          <w:sz w:val="20"/>
          <w:szCs w:val="20"/>
          <w:lang w:val="es-MX"/>
        </w:rPr>
        <w:t xml:space="preserve">se </w:t>
      </w:r>
      <w:r w:rsidR="005257EB">
        <w:rPr>
          <w:rFonts w:ascii="Verdana" w:hAnsi="Verdana" w:cs="Arial"/>
          <w:sz w:val="20"/>
          <w:szCs w:val="20"/>
          <w:lang w:val="es-MX"/>
        </w:rPr>
        <w:t xml:space="preserve">continuó </w:t>
      </w:r>
      <w:r w:rsidR="0090366D" w:rsidRPr="003367C3">
        <w:rPr>
          <w:rFonts w:ascii="Verdana" w:hAnsi="Verdana" w:cs="Arial"/>
          <w:sz w:val="20"/>
          <w:szCs w:val="20"/>
          <w:lang w:val="es-MX"/>
        </w:rPr>
        <w:t xml:space="preserve">con </w:t>
      </w:r>
      <w:r w:rsidR="006C7B36" w:rsidRPr="003367C3">
        <w:rPr>
          <w:rFonts w:ascii="Verdana" w:hAnsi="Verdana" w:cs="Arial"/>
          <w:sz w:val="20"/>
          <w:szCs w:val="20"/>
          <w:lang w:val="es-MX"/>
        </w:rPr>
        <w:t>la investigación penal</w:t>
      </w:r>
      <w:r w:rsidRPr="003367C3">
        <w:rPr>
          <w:rFonts w:ascii="Verdana" w:hAnsi="Verdana" w:cs="Arial"/>
          <w:sz w:val="20"/>
          <w:szCs w:val="20"/>
          <w:lang w:val="es-MX"/>
        </w:rPr>
        <w:t xml:space="preserve"> identificada con el radicado No. </w:t>
      </w:r>
      <w:r w:rsidRPr="003367C3">
        <w:rPr>
          <w:rFonts w:ascii="Verdana" w:hAnsi="Verdana"/>
          <w:sz w:val="20"/>
          <w:szCs w:val="20"/>
        </w:rPr>
        <w:t xml:space="preserve">4016 </w:t>
      </w:r>
      <w:r w:rsidRPr="003367C3">
        <w:rPr>
          <w:rFonts w:ascii="Verdana" w:hAnsi="Verdana" w:cs="Arial"/>
          <w:sz w:val="20"/>
          <w:szCs w:val="20"/>
          <w:lang w:val="es-MX"/>
        </w:rPr>
        <w:t xml:space="preserve">relativa a </w:t>
      </w:r>
      <w:r w:rsidR="005257EB">
        <w:rPr>
          <w:rFonts w:ascii="Verdana" w:hAnsi="Verdana" w:cs="Arial"/>
          <w:sz w:val="20"/>
          <w:szCs w:val="20"/>
          <w:lang w:val="es-MX"/>
        </w:rPr>
        <w:t xml:space="preserve">los delitos de desplazamiento forzado por </w:t>
      </w:r>
      <w:r w:rsidRPr="003367C3">
        <w:rPr>
          <w:rFonts w:ascii="Verdana" w:hAnsi="Verdana" w:cs="Arial"/>
          <w:sz w:val="20"/>
          <w:szCs w:val="20"/>
          <w:lang w:val="es-MX"/>
        </w:rPr>
        <w:t xml:space="preserve">los hechos ocurridos a la señora Rúa </w:t>
      </w:r>
      <w:r w:rsidR="005E1591" w:rsidRPr="003367C3">
        <w:rPr>
          <w:rFonts w:ascii="Verdana" w:hAnsi="Verdana" w:cs="Arial"/>
          <w:sz w:val="20"/>
          <w:szCs w:val="20"/>
          <w:lang w:val="es-MX"/>
        </w:rPr>
        <w:t xml:space="preserve">Figueroa </w:t>
      </w:r>
      <w:r w:rsidRPr="003367C3">
        <w:rPr>
          <w:rFonts w:ascii="Verdana" w:hAnsi="Verdana" w:cs="Arial"/>
          <w:sz w:val="20"/>
          <w:szCs w:val="20"/>
          <w:lang w:val="es-MX"/>
        </w:rPr>
        <w:t>y sus familiares</w:t>
      </w:r>
      <w:r w:rsidR="006C7B36" w:rsidRPr="003367C3">
        <w:rPr>
          <w:rFonts w:ascii="Verdana" w:hAnsi="Verdana" w:cs="Arial"/>
          <w:sz w:val="20"/>
          <w:szCs w:val="20"/>
          <w:lang w:val="es-MX"/>
        </w:rPr>
        <w:t xml:space="preserve"> </w:t>
      </w:r>
      <w:r w:rsidRPr="003367C3">
        <w:rPr>
          <w:rFonts w:ascii="Verdana" w:hAnsi="Verdana"/>
          <w:sz w:val="20"/>
          <w:szCs w:val="20"/>
        </w:rPr>
        <w:t>(</w:t>
      </w:r>
      <w:r w:rsidR="00F225AC" w:rsidRPr="003367C3">
        <w:rPr>
          <w:rFonts w:ascii="Verdana" w:hAnsi="Verdana"/>
          <w:i/>
          <w:sz w:val="20"/>
          <w:szCs w:val="20"/>
        </w:rPr>
        <w:t xml:space="preserve">supra </w:t>
      </w:r>
      <w:r w:rsidRPr="003367C3">
        <w:rPr>
          <w:rFonts w:ascii="Verdana" w:hAnsi="Verdana"/>
          <w:sz w:val="20"/>
          <w:szCs w:val="20"/>
        </w:rPr>
        <w:t>Considerando</w:t>
      </w:r>
      <w:r w:rsidR="001033C2">
        <w:rPr>
          <w:rFonts w:ascii="Verdana" w:hAnsi="Verdana"/>
          <w:sz w:val="20"/>
          <w:szCs w:val="20"/>
        </w:rPr>
        <w:t>s 6 y</w:t>
      </w:r>
      <w:r w:rsidRPr="003367C3">
        <w:rPr>
          <w:rFonts w:ascii="Verdana" w:hAnsi="Verdana"/>
          <w:sz w:val="20"/>
          <w:szCs w:val="20"/>
        </w:rPr>
        <w:t xml:space="preserve"> </w:t>
      </w:r>
      <w:r w:rsidR="00987AA4">
        <w:rPr>
          <w:rFonts w:ascii="Verdana" w:hAnsi="Verdana"/>
          <w:sz w:val="20"/>
          <w:szCs w:val="20"/>
        </w:rPr>
        <w:fldChar w:fldCharType="begin"/>
      </w:r>
      <w:r w:rsidR="00987AA4">
        <w:rPr>
          <w:rFonts w:ascii="Verdana" w:hAnsi="Verdana"/>
          <w:sz w:val="20"/>
          <w:szCs w:val="20"/>
        </w:rPr>
        <w:instrText xml:space="preserve"> REF _Ref26784635 \r \h </w:instrText>
      </w:r>
      <w:r w:rsidR="00987AA4">
        <w:rPr>
          <w:rFonts w:ascii="Verdana" w:hAnsi="Verdana"/>
          <w:sz w:val="20"/>
          <w:szCs w:val="20"/>
        </w:rPr>
      </w:r>
      <w:r w:rsidR="00987AA4">
        <w:rPr>
          <w:rFonts w:ascii="Verdana" w:hAnsi="Verdana"/>
          <w:sz w:val="20"/>
          <w:szCs w:val="20"/>
        </w:rPr>
        <w:fldChar w:fldCharType="separate"/>
      </w:r>
      <w:r w:rsidR="00630FCA">
        <w:rPr>
          <w:rFonts w:ascii="Verdana" w:hAnsi="Verdana"/>
          <w:sz w:val="20"/>
          <w:szCs w:val="20"/>
        </w:rPr>
        <w:t>8</w:t>
      </w:r>
      <w:r w:rsidR="00987AA4">
        <w:rPr>
          <w:rFonts w:ascii="Verdana" w:hAnsi="Verdana"/>
          <w:sz w:val="20"/>
          <w:szCs w:val="20"/>
        </w:rPr>
        <w:fldChar w:fldCharType="end"/>
      </w:r>
      <w:r w:rsidRPr="003367C3">
        <w:rPr>
          <w:rFonts w:ascii="Verdana" w:hAnsi="Verdana"/>
          <w:sz w:val="20"/>
          <w:szCs w:val="20"/>
        </w:rPr>
        <w:t>)</w:t>
      </w:r>
      <w:r w:rsidR="00A17381">
        <w:rPr>
          <w:rFonts w:ascii="Verdana" w:hAnsi="Verdana"/>
          <w:sz w:val="20"/>
          <w:szCs w:val="20"/>
        </w:rPr>
        <w:t xml:space="preserve">. </w:t>
      </w:r>
      <w:r w:rsidR="00FA483A" w:rsidRPr="003367C3">
        <w:rPr>
          <w:rFonts w:ascii="Verdana" w:hAnsi="Verdana"/>
          <w:sz w:val="20"/>
          <w:szCs w:val="20"/>
        </w:rPr>
        <w:t xml:space="preserve"> </w:t>
      </w:r>
    </w:p>
    <w:p w14:paraId="3143558F" w14:textId="174ED39C" w:rsidR="0067624F" w:rsidRPr="003367C3" w:rsidRDefault="0090366D" w:rsidP="00D358BB">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b/>
          <w:sz w:val="20"/>
          <w:szCs w:val="20"/>
          <w:lang w:val="es-MX"/>
        </w:rPr>
      </w:pPr>
      <w:bookmarkStart w:id="17" w:name="_Ref26785212"/>
      <w:r w:rsidRPr="003367C3">
        <w:rPr>
          <w:rFonts w:ascii="Verdana" w:hAnsi="Verdana"/>
          <w:sz w:val="20"/>
          <w:szCs w:val="20"/>
        </w:rPr>
        <w:t xml:space="preserve">En el marco de dicha investigación, </w:t>
      </w:r>
      <w:r w:rsidR="004965DF">
        <w:rPr>
          <w:rFonts w:ascii="Verdana" w:hAnsi="Verdana"/>
          <w:sz w:val="20"/>
          <w:szCs w:val="20"/>
        </w:rPr>
        <w:t>“[</w:t>
      </w:r>
      <w:r w:rsidRPr="003367C3">
        <w:rPr>
          <w:rFonts w:ascii="Verdana" w:hAnsi="Verdana"/>
          <w:sz w:val="20"/>
          <w:szCs w:val="20"/>
        </w:rPr>
        <w:t>e</w:t>
      </w:r>
      <w:r w:rsidR="004965DF">
        <w:rPr>
          <w:rFonts w:ascii="Verdana" w:hAnsi="Verdana"/>
          <w:sz w:val="20"/>
          <w:szCs w:val="20"/>
        </w:rPr>
        <w:t>]</w:t>
      </w:r>
      <w:r w:rsidRPr="003367C3">
        <w:rPr>
          <w:rFonts w:ascii="Verdana" w:hAnsi="Verdana"/>
          <w:sz w:val="20"/>
          <w:szCs w:val="20"/>
        </w:rPr>
        <w:t>l 30 de mayo de 2017 se decretó apertura de instrucción contra [</w:t>
      </w:r>
      <w:r w:rsidR="00F42934">
        <w:rPr>
          <w:rFonts w:ascii="Verdana" w:hAnsi="Verdana"/>
          <w:sz w:val="20"/>
          <w:szCs w:val="20"/>
        </w:rPr>
        <w:t>determinada persona</w:t>
      </w:r>
      <w:r w:rsidRPr="003367C3">
        <w:rPr>
          <w:rFonts w:ascii="Verdana" w:hAnsi="Verdana"/>
          <w:sz w:val="20"/>
          <w:szCs w:val="20"/>
        </w:rPr>
        <w:t xml:space="preserve">] integrante del Bloque Cacique Nutibara de las AUC para la época </w:t>
      </w:r>
      <w:r w:rsidR="005E1591" w:rsidRPr="003367C3">
        <w:rPr>
          <w:rFonts w:ascii="Verdana" w:hAnsi="Verdana"/>
          <w:sz w:val="20"/>
          <w:szCs w:val="20"/>
        </w:rPr>
        <w:t>de los hechos</w:t>
      </w:r>
      <w:r w:rsidR="00884EAD">
        <w:rPr>
          <w:rFonts w:ascii="Verdana" w:hAnsi="Verdana"/>
          <w:sz w:val="20"/>
          <w:szCs w:val="20"/>
        </w:rPr>
        <w:t>”</w:t>
      </w:r>
      <w:r w:rsidR="005E1591" w:rsidRPr="003367C3">
        <w:rPr>
          <w:rFonts w:ascii="Verdana" w:hAnsi="Verdana"/>
          <w:sz w:val="20"/>
          <w:szCs w:val="20"/>
        </w:rPr>
        <w:t xml:space="preserve"> como presunto responsable de</w:t>
      </w:r>
      <w:r w:rsidR="00F42934">
        <w:rPr>
          <w:rFonts w:ascii="Verdana" w:hAnsi="Verdana"/>
          <w:sz w:val="20"/>
          <w:szCs w:val="20"/>
        </w:rPr>
        <w:t xml:space="preserve"> </w:t>
      </w:r>
      <w:r w:rsidR="005E1591" w:rsidRPr="003367C3">
        <w:rPr>
          <w:rFonts w:ascii="Verdana" w:hAnsi="Verdana"/>
          <w:sz w:val="20"/>
          <w:szCs w:val="20"/>
        </w:rPr>
        <w:t>l</w:t>
      </w:r>
      <w:r w:rsidR="00F42934">
        <w:rPr>
          <w:rFonts w:ascii="Verdana" w:hAnsi="Verdana"/>
          <w:sz w:val="20"/>
          <w:szCs w:val="20"/>
        </w:rPr>
        <w:t>os</w:t>
      </w:r>
      <w:r w:rsidR="005E1591" w:rsidRPr="003367C3">
        <w:rPr>
          <w:rFonts w:ascii="Verdana" w:hAnsi="Verdana"/>
          <w:sz w:val="20"/>
          <w:szCs w:val="20"/>
        </w:rPr>
        <w:t xml:space="preserve"> delito</w:t>
      </w:r>
      <w:r w:rsidR="00F42934">
        <w:rPr>
          <w:rFonts w:ascii="Verdana" w:hAnsi="Verdana"/>
          <w:sz w:val="20"/>
          <w:szCs w:val="20"/>
        </w:rPr>
        <w:t>s</w:t>
      </w:r>
      <w:r w:rsidR="005E1591" w:rsidRPr="003367C3">
        <w:rPr>
          <w:rFonts w:ascii="Verdana" w:hAnsi="Verdana"/>
          <w:sz w:val="20"/>
          <w:szCs w:val="20"/>
        </w:rPr>
        <w:t xml:space="preserve"> de desplazamiento forzado de la señora Rúa Figueroa y su familia</w:t>
      </w:r>
      <w:r w:rsidR="001033C2">
        <w:rPr>
          <w:rFonts w:ascii="Verdana" w:hAnsi="Verdana"/>
          <w:sz w:val="20"/>
          <w:szCs w:val="20"/>
        </w:rPr>
        <w:t>,</w:t>
      </w:r>
      <w:r w:rsidR="0067624F" w:rsidRPr="003367C3">
        <w:rPr>
          <w:rFonts w:ascii="Verdana" w:hAnsi="Verdana"/>
          <w:sz w:val="20"/>
          <w:szCs w:val="20"/>
        </w:rPr>
        <w:t xml:space="preserve"> en concurso con otros delitos</w:t>
      </w:r>
      <w:r w:rsidR="005E1591" w:rsidRPr="003367C3">
        <w:rPr>
          <w:rFonts w:ascii="Verdana" w:hAnsi="Verdana"/>
          <w:sz w:val="20"/>
          <w:szCs w:val="20"/>
        </w:rPr>
        <w:t xml:space="preserve">. Posteriormente, </w:t>
      </w:r>
      <w:r w:rsidR="0067624F" w:rsidRPr="003367C3">
        <w:rPr>
          <w:rFonts w:ascii="Verdana" w:hAnsi="Verdana"/>
          <w:sz w:val="20"/>
          <w:szCs w:val="20"/>
        </w:rPr>
        <w:t>durante la “diligencia</w:t>
      </w:r>
      <w:r w:rsidR="005E1591" w:rsidRPr="003367C3">
        <w:rPr>
          <w:rFonts w:ascii="Verdana" w:hAnsi="Verdana"/>
          <w:sz w:val="20"/>
          <w:szCs w:val="20"/>
        </w:rPr>
        <w:t xml:space="preserve"> indagatoria</w:t>
      </w:r>
      <w:r w:rsidR="0067624F" w:rsidRPr="003367C3">
        <w:rPr>
          <w:rFonts w:ascii="Verdana" w:hAnsi="Verdana"/>
          <w:sz w:val="20"/>
          <w:szCs w:val="20"/>
        </w:rPr>
        <w:t>”</w:t>
      </w:r>
      <w:r w:rsidR="005E1591" w:rsidRPr="003367C3">
        <w:rPr>
          <w:rFonts w:ascii="Verdana" w:hAnsi="Verdana"/>
          <w:sz w:val="20"/>
          <w:szCs w:val="20"/>
        </w:rPr>
        <w:t xml:space="preserve"> realizada el 13 de junio de 2017 el </w:t>
      </w:r>
      <w:r w:rsidR="0067624F" w:rsidRPr="003367C3">
        <w:rPr>
          <w:rFonts w:ascii="Verdana" w:hAnsi="Verdana"/>
          <w:sz w:val="20"/>
          <w:szCs w:val="20"/>
        </w:rPr>
        <w:t xml:space="preserve">referido </w:t>
      </w:r>
      <w:r w:rsidR="005E1591" w:rsidRPr="003367C3">
        <w:rPr>
          <w:rFonts w:ascii="Verdana" w:hAnsi="Verdana"/>
          <w:sz w:val="20"/>
          <w:szCs w:val="20"/>
        </w:rPr>
        <w:t>sindicado “manifestó su deseo de acogerse a sentencia anticipada”</w:t>
      </w:r>
      <w:r w:rsidR="005E1591">
        <w:rPr>
          <w:rStyle w:val="Refdenotaalpie"/>
          <w:rFonts w:ascii="Verdana" w:hAnsi="Verdana"/>
          <w:sz w:val="20"/>
          <w:szCs w:val="20"/>
        </w:rPr>
        <w:footnoteReference w:id="20"/>
      </w:r>
      <w:r w:rsidR="0067624F" w:rsidRPr="003367C3">
        <w:rPr>
          <w:rFonts w:ascii="Verdana" w:hAnsi="Verdana"/>
          <w:sz w:val="20"/>
          <w:szCs w:val="20"/>
        </w:rPr>
        <w:t xml:space="preserve">. El 2 de agosto de ese año se escuchó nuevamente al sindicado “en ampliación de indagatoria”, en la cual “aceptó su responsabilidad por el delito de desplazamiento forzado, pero no [por] los delitos de invasión de tierras o edificaciones, daño en bien ajeno y hurto”, debido a que “él no cometió tales conductas y tampoco las ordenó”. Ese mismo día “se suscribió acta de formulación de cargos para sentencia anticipada por el delito de desplazamiento forzado”. </w:t>
      </w:r>
      <w:r w:rsidR="00522A0F">
        <w:rPr>
          <w:rFonts w:ascii="Verdana" w:hAnsi="Verdana"/>
          <w:sz w:val="20"/>
          <w:szCs w:val="20"/>
        </w:rPr>
        <w:t>Según lo afirmado por el Estado, a</w:t>
      </w:r>
      <w:r w:rsidR="0067624F" w:rsidRPr="003367C3">
        <w:rPr>
          <w:rFonts w:ascii="Verdana" w:hAnsi="Verdana"/>
          <w:sz w:val="20"/>
          <w:szCs w:val="20"/>
        </w:rPr>
        <w:t>proximadamente dos meses después, el 12 de octubre, “el Juzgado 23 Penal del Circuito con Funciones de Conocimiento de Medellín, profirió sentencia condenatoria en contra de [</w:t>
      </w:r>
      <w:r w:rsidR="00A55A22">
        <w:rPr>
          <w:rFonts w:ascii="Verdana" w:hAnsi="Verdana"/>
          <w:sz w:val="20"/>
          <w:szCs w:val="20"/>
        </w:rPr>
        <w:t>la referida persona</w:t>
      </w:r>
      <w:r w:rsidR="0067624F" w:rsidRPr="003367C3">
        <w:rPr>
          <w:rFonts w:ascii="Verdana" w:hAnsi="Verdana"/>
          <w:sz w:val="20"/>
          <w:szCs w:val="20"/>
        </w:rPr>
        <w:t>] por el delito de desplazamiento forzado”</w:t>
      </w:r>
      <w:r w:rsidR="00884EAD">
        <w:rPr>
          <w:rFonts w:ascii="Verdana" w:hAnsi="Verdana"/>
          <w:sz w:val="20"/>
          <w:szCs w:val="20"/>
        </w:rPr>
        <w:t xml:space="preserve"> en perjuicio de la señora Rúa</w:t>
      </w:r>
      <w:r w:rsidR="0067624F" w:rsidRPr="003367C3">
        <w:rPr>
          <w:rFonts w:ascii="Verdana" w:hAnsi="Verdana"/>
          <w:sz w:val="20"/>
          <w:szCs w:val="20"/>
        </w:rPr>
        <w:t xml:space="preserve">, </w:t>
      </w:r>
      <w:r w:rsidR="00AE0BC6" w:rsidRPr="003367C3">
        <w:rPr>
          <w:rFonts w:ascii="Verdana" w:hAnsi="Verdana"/>
          <w:sz w:val="20"/>
          <w:szCs w:val="20"/>
        </w:rPr>
        <w:t>“imponiéndole pena de prisión a 45 meses</w:t>
      </w:r>
      <w:r w:rsidR="009D6705">
        <w:rPr>
          <w:rFonts w:ascii="Verdana" w:hAnsi="Verdana"/>
          <w:sz w:val="20"/>
          <w:szCs w:val="20"/>
        </w:rPr>
        <w:t>”</w:t>
      </w:r>
      <w:r w:rsidR="00AE0BC6" w:rsidRPr="003367C3">
        <w:rPr>
          <w:rFonts w:ascii="Verdana" w:hAnsi="Verdana"/>
          <w:sz w:val="20"/>
          <w:szCs w:val="20"/>
        </w:rPr>
        <w:t xml:space="preserve">. </w:t>
      </w:r>
      <w:r w:rsidR="00522A0F" w:rsidRPr="00522A0F">
        <w:rPr>
          <w:rFonts w:ascii="Verdana" w:hAnsi="Verdana"/>
          <w:sz w:val="20"/>
          <w:szCs w:val="20"/>
        </w:rPr>
        <w:t>También</w:t>
      </w:r>
      <w:r w:rsidR="00A55A22">
        <w:rPr>
          <w:rFonts w:ascii="Verdana" w:hAnsi="Verdana"/>
          <w:sz w:val="20"/>
          <w:szCs w:val="20"/>
        </w:rPr>
        <w:t>,</w:t>
      </w:r>
      <w:r w:rsidR="00522A0F" w:rsidRPr="00522A0F">
        <w:rPr>
          <w:rFonts w:ascii="Verdana" w:hAnsi="Verdana"/>
          <w:sz w:val="20"/>
          <w:szCs w:val="20"/>
        </w:rPr>
        <w:t xml:space="preserve"> sostuvo que</w:t>
      </w:r>
      <w:r w:rsidR="00522A0F">
        <w:rPr>
          <w:rFonts w:ascii="Verdana" w:hAnsi="Verdana"/>
          <w:b/>
          <w:sz w:val="20"/>
          <w:szCs w:val="20"/>
        </w:rPr>
        <w:t xml:space="preserve"> </w:t>
      </w:r>
      <w:r w:rsidR="00522A0F">
        <w:rPr>
          <w:rFonts w:ascii="Verdana" w:hAnsi="Verdana"/>
          <w:sz w:val="20"/>
          <w:szCs w:val="20"/>
        </w:rPr>
        <w:t>e</w:t>
      </w:r>
      <w:r w:rsidR="00FA7630" w:rsidRPr="003367C3">
        <w:rPr>
          <w:rFonts w:ascii="Verdana" w:hAnsi="Verdana"/>
          <w:sz w:val="20"/>
          <w:szCs w:val="20"/>
        </w:rPr>
        <w:t>l</w:t>
      </w:r>
      <w:r w:rsidR="0067624F" w:rsidRPr="003367C3">
        <w:rPr>
          <w:rFonts w:ascii="Verdana" w:hAnsi="Verdana"/>
          <w:sz w:val="20"/>
          <w:szCs w:val="20"/>
        </w:rPr>
        <w:t xml:space="preserve"> 16 de febrero 2018 se emitió una</w:t>
      </w:r>
      <w:r w:rsidR="0067624F" w:rsidRPr="003367C3">
        <w:rPr>
          <w:rFonts w:ascii="Verdana" w:hAnsi="Verdana"/>
          <w:b/>
          <w:sz w:val="20"/>
          <w:szCs w:val="20"/>
        </w:rPr>
        <w:t xml:space="preserve"> </w:t>
      </w:r>
      <w:r w:rsidR="0067624F" w:rsidRPr="003367C3">
        <w:rPr>
          <w:rFonts w:ascii="Verdana" w:hAnsi="Verdana"/>
          <w:sz w:val="20"/>
          <w:szCs w:val="20"/>
        </w:rPr>
        <w:t xml:space="preserve">“resolución de preclusión de la investigación a su favor, por los delitos de invasión de tierras, daño en bien ajeno y hurto calificado”. </w:t>
      </w:r>
      <w:r w:rsidR="00522A0F" w:rsidRPr="00522A0F">
        <w:rPr>
          <w:rFonts w:ascii="Verdana" w:hAnsi="Verdana"/>
          <w:sz w:val="20"/>
          <w:szCs w:val="20"/>
        </w:rPr>
        <w:t xml:space="preserve">Colombia no aportó copia de </w:t>
      </w:r>
      <w:r w:rsidR="00A55A22">
        <w:rPr>
          <w:rFonts w:ascii="Verdana" w:hAnsi="Verdana"/>
          <w:sz w:val="20"/>
          <w:szCs w:val="20"/>
        </w:rPr>
        <w:t>las mencionadas</w:t>
      </w:r>
      <w:r w:rsidR="00522A0F" w:rsidRPr="00522A0F">
        <w:rPr>
          <w:rFonts w:ascii="Verdana" w:hAnsi="Verdana"/>
          <w:sz w:val="20"/>
          <w:szCs w:val="20"/>
        </w:rPr>
        <w:t xml:space="preserve"> decisiones</w:t>
      </w:r>
      <w:r w:rsidR="00A55A22">
        <w:rPr>
          <w:rFonts w:ascii="Verdana" w:hAnsi="Verdana"/>
          <w:sz w:val="20"/>
          <w:szCs w:val="20"/>
        </w:rPr>
        <w:t xml:space="preserve"> judiciales</w:t>
      </w:r>
      <w:r w:rsidR="00522A0F" w:rsidRPr="00522A0F">
        <w:rPr>
          <w:rFonts w:ascii="Verdana" w:hAnsi="Verdana"/>
          <w:sz w:val="20"/>
          <w:szCs w:val="20"/>
        </w:rPr>
        <w:t>.</w:t>
      </w:r>
      <w:bookmarkEnd w:id="17"/>
    </w:p>
    <w:p w14:paraId="513DB01E" w14:textId="3E1B7AA9" w:rsidR="00A17381" w:rsidRPr="00CF5E8C" w:rsidRDefault="0007124D" w:rsidP="004965DF">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sidRPr="00CF5E8C">
        <w:rPr>
          <w:rFonts w:ascii="Verdana" w:hAnsi="Verdana" w:cs="Arial"/>
          <w:sz w:val="20"/>
          <w:szCs w:val="20"/>
          <w:lang w:val="es-MX"/>
        </w:rPr>
        <w:t xml:space="preserve">La Corte </w:t>
      </w:r>
      <w:r w:rsidR="00ED62A8" w:rsidRPr="00CF5E8C">
        <w:rPr>
          <w:rFonts w:ascii="Verdana" w:hAnsi="Verdana" w:cs="Arial"/>
          <w:sz w:val="20"/>
          <w:szCs w:val="20"/>
          <w:lang w:val="es-MX"/>
        </w:rPr>
        <w:t xml:space="preserve">considera que </w:t>
      </w:r>
      <w:r w:rsidRPr="00CF5E8C">
        <w:rPr>
          <w:rFonts w:ascii="Verdana" w:hAnsi="Verdana" w:cs="Arial"/>
          <w:sz w:val="20"/>
          <w:szCs w:val="20"/>
          <w:lang w:val="es-MX"/>
        </w:rPr>
        <w:t>la condena de uno de los responsables del desplazamiento forzado de la señora R</w:t>
      </w:r>
      <w:r w:rsidR="000117DE" w:rsidRPr="00CF5E8C">
        <w:rPr>
          <w:rFonts w:ascii="Verdana" w:hAnsi="Verdana" w:cs="Arial"/>
          <w:sz w:val="20"/>
          <w:szCs w:val="20"/>
          <w:lang w:val="es-MX"/>
        </w:rPr>
        <w:t xml:space="preserve">úa Figueroa y su familia podría ser reconocida como un avance en </w:t>
      </w:r>
      <w:r w:rsidR="00EE6B4A">
        <w:rPr>
          <w:rFonts w:ascii="Verdana" w:hAnsi="Verdana" w:cs="Arial"/>
          <w:sz w:val="20"/>
          <w:szCs w:val="20"/>
          <w:lang w:val="es-MX"/>
        </w:rPr>
        <w:t>el cumplimiento</w:t>
      </w:r>
      <w:r w:rsidR="000117DE" w:rsidRPr="00CF5E8C">
        <w:rPr>
          <w:rFonts w:ascii="Verdana" w:hAnsi="Verdana" w:cs="Arial"/>
          <w:sz w:val="20"/>
          <w:szCs w:val="20"/>
          <w:lang w:val="es-MX"/>
        </w:rPr>
        <w:t xml:space="preserve"> de la obligación de investigar</w:t>
      </w:r>
      <w:r w:rsidR="0083342D" w:rsidRPr="00CF5E8C">
        <w:rPr>
          <w:rFonts w:ascii="Verdana" w:hAnsi="Verdana" w:cs="Arial"/>
          <w:sz w:val="20"/>
          <w:szCs w:val="20"/>
          <w:lang w:val="es-MX"/>
        </w:rPr>
        <w:t>, puesto que implica que los hechos ocurridos no están en la situación de impunidad existente al momento de la Sentencia (</w:t>
      </w:r>
      <w:r w:rsidR="0083342D" w:rsidRPr="00CF5E8C">
        <w:rPr>
          <w:rFonts w:ascii="Verdana" w:hAnsi="Verdana" w:cs="Arial"/>
          <w:i/>
          <w:sz w:val="20"/>
          <w:szCs w:val="20"/>
          <w:lang w:val="es-MX"/>
        </w:rPr>
        <w:t>supra</w:t>
      </w:r>
      <w:r w:rsidR="0083342D" w:rsidRPr="00CF5E8C">
        <w:rPr>
          <w:rFonts w:ascii="Verdana" w:hAnsi="Verdana" w:cs="Arial"/>
          <w:sz w:val="20"/>
          <w:szCs w:val="20"/>
          <w:lang w:val="es-MX"/>
        </w:rPr>
        <w:t xml:space="preserve"> C</w:t>
      </w:r>
      <w:r w:rsidR="00BD41EF" w:rsidRPr="00CF5E8C">
        <w:rPr>
          <w:rFonts w:ascii="Verdana" w:hAnsi="Verdana" w:cs="Arial"/>
          <w:sz w:val="20"/>
          <w:szCs w:val="20"/>
          <w:lang w:val="es-MX"/>
        </w:rPr>
        <w:t>o</w:t>
      </w:r>
      <w:r w:rsidR="0083342D" w:rsidRPr="00CF5E8C">
        <w:rPr>
          <w:rFonts w:ascii="Verdana" w:hAnsi="Verdana" w:cs="Arial"/>
          <w:sz w:val="20"/>
          <w:szCs w:val="20"/>
          <w:lang w:val="es-MX"/>
        </w:rPr>
        <w:t xml:space="preserve">nsiderando </w:t>
      </w:r>
      <w:r w:rsidR="00EE6B4A">
        <w:rPr>
          <w:rFonts w:ascii="Verdana" w:hAnsi="Verdana" w:cs="Arial"/>
          <w:sz w:val="20"/>
          <w:szCs w:val="20"/>
          <w:lang w:val="es-MX"/>
        </w:rPr>
        <w:t>6</w:t>
      </w:r>
      <w:r w:rsidR="00BD41EF" w:rsidRPr="00CF5E8C">
        <w:rPr>
          <w:rFonts w:ascii="Verdana" w:hAnsi="Verdana" w:cs="Arial"/>
          <w:sz w:val="20"/>
          <w:szCs w:val="20"/>
          <w:lang w:val="es-MX"/>
        </w:rPr>
        <w:t>)</w:t>
      </w:r>
      <w:r w:rsidR="000117DE" w:rsidRPr="00CF5E8C">
        <w:rPr>
          <w:rFonts w:ascii="Verdana" w:hAnsi="Verdana" w:cs="Arial"/>
          <w:sz w:val="20"/>
          <w:szCs w:val="20"/>
          <w:lang w:val="es-MX"/>
        </w:rPr>
        <w:t>. No obstante,</w:t>
      </w:r>
      <w:r w:rsidRPr="00CF5E8C">
        <w:rPr>
          <w:rFonts w:ascii="Verdana" w:hAnsi="Verdana" w:cs="Arial"/>
          <w:sz w:val="20"/>
          <w:szCs w:val="20"/>
          <w:lang w:val="es-MX"/>
        </w:rPr>
        <w:t xml:space="preserve"> </w:t>
      </w:r>
      <w:r w:rsidR="000117DE" w:rsidRPr="00CF5E8C">
        <w:rPr>
          <w:rFonts w:ascii="Verdana" w:hAnsi="Verdana" w:cs="Arial"/>
          <w:sz w:val="20"/>
          <w:szCs w:val="20"/>
          <w:lang w:val="es-MX"/>
        </w:rPr>
        <w:t>p</w:t>
      </w:r>
      <w:r w:rsidRPr="00CF5E8C">
        <w:rPr>
          <w:rFonts w:ascii="Verdana" w:hAnsi="Verdana" w:cs="Arial"/>
          <w:sz w:val="20"/>
          <w:szCs w:val="20"/>
          <w:lang w:val="es-MX"/>
        </w:rPr>
        <w:t xml:space="preserve">ara valorar </w:t>
      </w:r>
      <w:r w:rsidR="000117DE" w:rsidRPr="00CF5E8C">
        <w:rPr>
          <w:rFonts w:ascii="Verdana" w:hAnsi="Verdana" w:cs="Arial"/>
          <w:sz w:val="20"/>
          <w:szCs w:val="20"/>
          <w:lang w:val="es-MX"/>
        </w:rPr>
        <w:t>algún grado de cumplimiento</w:t>
      </w:r>
      <w:r w:rsidR="002651C5" w:rsidRPr="00CF5E8C">
        <w:rPr>
          <w:rFonts w:ascii="Verdana" w:hAnsi="Verdana" w:cs="Arial"/>
          <w:sz w:val="20"/>
          <w:szCs w:val="20"/>
          <w:lang w:val="es-MX"/>
        </w:rPr>
        <w:t xml:space="preserve"> en una posterior Resolución</w:t>
      </w:r>
      <w:r w:rsidR="000117DE" w:rsidRPr="00CF5E8C">
        <w:rPr>
          <w:rFonts w:ascii="Verdana" w:hAnsi="Verdana" w:cs="Arial"/>
          <w:sz w:val="20"/>
          <w:szCs w:val="20"/>
          <w:lang w:val="es-MX"/>
        </w:rPr>
        <w:t xml:space="preserve">, </w:t>
      </w:r>
      <w:r w:rsidR="002651C5" w:rsidRPr="00CF5E8C">
        <w:rPr>
          <w:rFonts w:ascii="Verdana" w:hAnsi="Verdana" w:cs="Arial"/>
          <w:sz w:val="20"/>
          <w:szCs w:val="20"/>
          <w:lang w:val="es-MX"/>
        </w:rPr>
        <w:t>este Tribunal coincide con la</w:t>
      </w:r>
      <w:r w:rsidR="000117DE" w:rsidRPr="00CF5E8C">
        <w:rPr>
          <w:rFonts w:ascii="Verdana" w:hAnsi="Verdana" w:cs="Arial"/>
          <w:sz w:val="20"/>
          <w:szCs w:val="20"/>
          <w:lang w:val="es-MX"/>
        </w:rPr>
        <w:t>s representantes respecto a que es necesario conocer el contenido de las decisiones emitidas, las cuales no han sido aportadas por Colombia</w:t>
      </w:r>
      <w:r w:rsidR="00EE6B4A">
        <w:rPr>
          <w:rFonts w:ascii="Verdana" w:hAnsi="Verdana" w:cs="Arial"/>
          <w:sz w:val="20"/>
          <w:szCs w:val="20"/>
          <w:lang w:val="es-MX"/>
        </w:rPr>
        <w:t xml:space="preserve"> </w:t>
      </w:r>
      <w:r w:rsidR="00EE6B4A" w:rsidRPr="00CF5E8C">
        <w:rPr>
          <w:rFonts w:ascii="Verdana" w:hAnsi="Verdana" w:cs="Arial"/>
          <w:sz w:val="20"/>
          <w:szCs w:val="20"/>
          <w:lang w:val="es-MX"/>
        </w:rPr>
        <w:t>(</w:t>
      </w:r>
      <w:r w:rsidR="00EE6B4A" w:rsidRPr="00CF5E8C">
        <w:rPr>
          <w:rFonts w:ascii="Verdana" w:hAnsi="Verdana" w:cs="Arial"/>
          <w:i/>
          <w:sz w:val="20"/>
          <w:szCs w:val="20"/>
          <w:lang w:val="es-MX"/>
        </w:rPr>
        <w:t xml:space="preserve">supra </w:t>
      </w:r>
      <w:r w:rsidR="00EE6B4A" w:rsidRPr="00CF5E8C">
        <w:rPr>
          <w:rFonts w:ascii="Verdana" w:hAnsi="Verdana" w:cs="Arial"/>
          <w:sz w:val="20"/>
          <w:szCs w:val="20"/>
          <w:lang w:val="es-MX"/>
        </w:rPr>
        <w:t xml:space="preserve">Considerandos </w:t>
      </w:r>
      <w:r w:rsidR="00EE6B4A">
        <w:rPr>
          <w:rFonts w:ascii="Verdana" w:hAnsi="Verdana" w:cs="Arial"/>
          <w:sz w:val="20"/>
          <w:szCs w:val="20"/>
          <w:lang w:val="es-MX"/>
        </w:rPr>
        <w:fldChar w:fldCharType="begin"/>
      </w:r>
      <w:r w:rsidR="00EE6B4A">
        <w:rPr>
          <w:rFonts w:ascii="Verdana" w:hAnsi="Verdana" w:cs="Arial"/>
          <w:sz w:val="20"/>
          <w:szCs w:val="20"/>
          <w:lang w:val="es-MX"/>
        </w:rPr>
        <w:instrText xml:space="preserve"> REF _Ref26785210 \r \h </w:instrText>
      </w:r>
      <w:r w:rsidR="00EE6B4A">
        <w:rPr>
          <w:rFonts w:ascii="Verdana" w:hAnsi="Verdana" w:cs="Arial"/>
          <w:sz w:val="20"/>
          <w:szCs w:val="20"/>
          <w:lang w:val="es-MX"/>
        </w:rPr>
      </w:r>
      <w:r w:rsidR="00EE6B4A">
        <w:rPr>
          <w:rFonts w:ascii="Verdana" w:hAnsi="Verdana" w:cs="Arial"/>
          <w:sz w:val="20"/>
          <w:szCs w:val="20"/>
          <w:lang w:val="es-MX"/>
        </w:rPr>
        <w:fldChar w:fldCharType="separate"/>
      </w:r>
      <w:r w:rsidR="00630FCA">
        <w:rPr>
          <w:rFonts w:ascii="Verdana" w:hAnsi="Verdana" w:cs="Arial"/>
          <w:sz w:val="20"/>
          <w:szCs w:val="20"/>
          <w:lang w:val="es-MX"/>
        </w:rPr>
        <w:t>9</w:t>
      </w:r>
      <w:r w:rsidR="00EE6B4A">
        <w:rPr>
          <w:rFonts w:ascii="Verdana" w:hAnsi="Verdana" w:cs="Arial"/>
          <w:sz w:val="20"/>
          <w:szCs w:val="20"/>
          <w:lang w:val="es-MX"/>
        </w:rPr>
        <w:fldChar w:fldCharType="end"/>
      </w:r>
      <w:r w:rsidR="00EE6B4A">
        <w:rPr>
          <w:rFonts w:ascii="Verdana" w:hAnsi="Verdana" w:cs="Arial"/>
          <w:sz w:val="20"/>
          <w:szCs w:val="20"/>
          <w:lang w:val="es-MX"/>
        </w:rPr>
        <w:t xml:space="preserve"> y </w:t>
      </w:r>
      <w:r w:rsidR="00EE6B4A">
        <w:rPr>
          <w:rFonts w:ascii="Verdana" w:hAnsi="Verdana" w:cs="Arial"/>
          <w:sz w:val="20"/>
          <w:szCs w:val="20"/>
          <w:lang w:val="es-MX"/>
        </w:rPr>
        <w:fldChar w:fldCharType="begin"/>
      </w:r>
      <w:r w:rsidR="00EE6B4A">
        <w:rPr>
          <w:rFonts w:ascii="Verdana" w:hAnsi="Verdana" w:cs="Arial"/>
          <w:sz w:val="20"/>
          <w:szCs w:val="20"/>
          <w:lang w:val="es-MX"/>
        </w:rPr>
        <w:instrText xml:space="preserve"> REF _Ref26785212 \r \h </w:instrText>
      </w:r>
      <w:r w:rsidR="00EE6B4A">
        <w:rPr>
          <w:rFonts w:ascii="Verdana" w:hAnsi="Verdana" w:cs="Arial"/>
          <w:sz w:val="20"/>
          <w:szCs w:val="20"/>
          <w:lang w:val="es-MX"/>
        </w:rPr>
      </w:r>
      <w:r w:rsidR="00EE6B4A">
        <w:rPr>
          <w:rFonts w:ascii="Verdana" w:hAnsi="Verdana" w:cs="Arial"/>
          <w:sz w:val="20"/>
          <w:szCs w:val="20"/>
          <w:lang w:val="es-MX"/>
        </w:rPr>
        <w:fldChar w:fldCharType="separate"/>
      </w:r>
      <w:r w:rsidR="00630FCA">
        <w:rPr>
          <w:rFonts w:ascii="Verdana" w:hAnsi="Verdana" w:cs="Arial"/>
          <w:sz w:val="20"/>
          <w:szCs w:val="20"/>
          <w:lang w:val="es-MX"/>
        </w:rPr>
        <w:t>12</w:t>
      </w:r>
      <w:r w:rsidR="00EE6B4A">
        <w:rPr>
          <w:rFonts w:ascii="Verdana" w:hAnsi="Verdana" w:cs="Arial"/>
          <w:sz w:val="20"/>
          <w:szCs w:val="20"/>
          <w:lang w:val="es-MX"/>
        </w:rPr>
        <w:fldChar w:fldCharType="end"/>
      </w:r>
      <w:r w:rsidR="00EE6B4A" w:rsidRPr="00CF5E8C">
        <w:rPr>
          <w:rFonts w:ascii="Verdana" w:hAnsi="Verdana" w:cs="Arial"/>
          <w:sz w:val="20"/>
          <w:szCs w:val="20"/>
          <w:lang w:val="es-MX"/>
        </w:rPr>
        <w:t>)</w:t>
      </w:r>
      <w:r w:rsidR="000117DE" w:rsidRPr="00CF5E8C">
        <w:rPr>
          <w:rFonts w:ascii="Verdana" w:hAnsi="Verdana" w:cs="Arial"/>
          <w:sz w:val="20"/>
          <w:szCs w:val="20"/>
          <w:lang w:val="es-MX"/>
        </w:rPr>
        <w:t>. En ese sentido, es necesario que el Estado aporte al Tribunal copia de la sentencia condenatoria de 12 de octubre de 2017 (</w:t>
      </w:r>
      <w:r w:rsidR="000117DE" w:rsidRPr="00CF5E8C">
        <w:rPr>
          <w:rFonts w:ascii="Verdana" w:hAnsi="Verdana" w:cs="Arial"/>
          <w:i/>
          <w:sz w:val="20"/>
          <w:szCs w:val="20"/>
          <w:lang w:val="es-MX"/>
        </w:rPr>
        <w:t xml:space="preserve">supra </w:t>
      </w:r>
      <w:r w:rsidR="000117DE" w:rsidRPr="00CF5E8C">
        <w:rPr>
          <w:rFonts w:ascii="Verdana" w:hAnsi="Verdana" w:cs="Arial"/>
          <w:sz w:val="20"/>
          <w:szCs w:val="20"/>
          <w:lang w:val="es-MX"/>
        </w:rPr>
        <w:t xml:space="preserve">Considerando </w:t>
      </w:r>
      <w:r w:rsidR="004965DF">
        <w:rPr>
          <w:rFonts w:ascii="Verdana" w:hAnsi="Verdana" w:cs="Arial"/>
          <w:sz w:val="20"/>
          <w:szCs w:val="20"/>
          <w:lang w:val="es-MX"/>
        </w:rPr>
        <w:fldChar w:fldCharType="begin"/>
      </w:r>
      <w:r w:rsidR="004965DF">
        <w:rPr>
          <w:rFonts w:ascii="Verdana" w:hAnsi="Verdana" w:cs="Arial"/>
          <w:sz w:val="20"/>
          <w:szCs w:val="20"/>
          <w:lang w:val="es-MX"/>
        </w:rPr>
        <w:instrText xml:space="preserve"> REF _Ref26785212 \r \h </w:instrText>
      </w:r>
      <w:r w:rsidR="004965DF">
        <w:rPr>
          <w:rFonts w:ascii="Verdana" w:hAnsi="Verdana" w:cs="Arial"/>
          <w:sz w:val="20"/>
          <w:szCs w:val="20"/>
          <w:lang w:val="es-MX"/>
        </w:rPr>
      </w:r>
      <w:r w:rsidR="004965DF">
        <w:rPr>
          <w:rFonts w:ascii="Verdana" w:hAnsi="Verdana" w:cs="Arial"/>
          <w:sz w:val="20"/>
          <w:szCs w:val="20"/>
          <w:lang w:val="es-MX"/>
        </w:rPr>
        <w:fldChar w:fldCharType="separate"/>
      </w:r>
      <w:r w:rsidR="00630FCA">
        <w:rPr>
          <w:rFonts w:ascii="Verdana" w:hAnsi="Verdana" w:cs="Arial"/>
          <w:sz w:val="20"/>
          <w:szCs w:val="20"/>
          <w:lang w:val="es-MX"/>
        </w:rPr>
        <w:t>12</w:t>
      </w:r>
      <w:r w:rsidR="004965DF">
        <w:rPr>
          <w:rFonts w:ascii="Verdana" w:hAnsi="Verdana" w:cs="Arial"/>
          <w:sz w:val="20"/>
          <w:szCs w:val="20"/>
          <w:lang w:val="es-MX"/>
        </w:rPr>
        <w:fldChar w:fldCharType="end"/>
      </w:r>
      <w:r w:rsidR="000117DE" w:rsidRPr="00CF5E8C">
        <w:rPr>
          <w:rFonts w:ascii="Verdana" w:hAnsi="Verdana" w:cs="Arial"/>
          <w:sz w:val="20"/>
          <w:szCs w:val="20"/>
          <w:lang w:val="es-MX"/>
        </w:rPr>
        <w:t xml:space="preserve">). </w:t>
      </w:r>
      <w:r w:rsidR="00A17381" w:rsidRPr="00CF5E8C">
        <w:rPr>
          <w:rFonts w:ascii="Verdana" w:hAnsi="Verdana" w:cs="Arial"/>
          <w:sz w:val="20"/>
          <w:szCs w:val="20"/>
          <w:lang w:val="es-MX"/>
        </w:rPr>
        <w:t>En cuanto a lo alegado por l</w:t>
      </w:r>
      <w:r w:rsidR="00C377B6">
        <w:rPr>
          <w:rFonts w:ascii="Verdana" w:hAnsi="Verdana" w:cs="Arial"/>
          <w:sz w:val="20"/>
          <w:szCs w:val="20"/>
          <w:lang w:val="es-MX"/>
        </w:rPr>
        <w:t>a</w:t>
      </w:r>
      <w:r w:rsidR="00A17381" w:rsidRPr="00CF5E8C">
        <w:rPr>
          <w:rFonts w:ascii="Verdana" w:hAnsi="Verdana" w:cs="Arial"/>
          <w:sz w:val="20"/>
          <w:szCs w:val="20"/>
          <w:lang w:val="es-MX"/>
        </w:rPr>
        <w:t>s representantes respecto a que los hechos relativos la invasión de la vivienda de la víctima, el hurto de sus bienes y destrucción de su inmueble se encuentran impunes (</w:t>
      </w:r>
      <w:r w:rsidR="00A17381" w:rsidRPr="00EE6B4A">
        <w:rPr>
          <w:rFonts w:ascii="Verdana" w:hAnsi="Verdana" w:cs="Arial"/>
          <w:i/>
          <w:sz w:val="20"/>
          <w:szCs w:val="20"/>
          <w:lang w:val="es-MX"/>
        </w:rPr>
        <w:t>supra</w:t>
      </w:r>
      <w:r w:rsidR="00A17381" w:rsidRPr="00CF5E8C">
        <w:rPr>
          <w:rFonts w:ascii="Verdana" w:hAnsi="Verdana" w:cs="Arial"/>
          <w:sz w:val="20"/>
          <w:szCs w:val="20"/>
          <w:lang w:val="es-MX"/>
        </w:rPr>
        <w:t xml:space="preserve"> Considerando </w:t>
      </w:r>
      <w:r w:rsidR="004965DF">
        <w:rPr>
          <w:rFonts w:ascii="Verdana" w:hAnsi="Verdana" w:cs="Arial"/>
          <w:sz w:val="20"/>
          <w:szCs w:val="20"/>
          <w:lang w:val="es-MX"/>
        </w:rPr>
        <w:fldChar w:fldCharType="begin"/>
      </w:r>
      <w:r w:rsidR="004965DF">
        <w:rPr>
          <w:rFonts w:ascii="Verdana" w:hAnsi="Verdana" w:cs="Arial"/>
          <w:sz w:val="20"/>
          <w:szCs w:val="20"/>
          <w:lang w:val="es-MX"/>
        </w:rPr>
        <w:instrText xml:space="preserve"> REF _Ref26785210 \r \h </w:instrText>
      </w:r>
      <w:r w:rsidR="004965DF">
        <w:rPr>
          <w:rFonts w:ascii="Verdana" w:hAnsi="Verdana" w:cs="Arial"/>
          <w:sz w:val="20"/>
          <w:szCs w:val="20"/>
          <w:lang w:val="es-MX"/>
        </w:rPr>
      </w:r>
      <w:r w:rsidR="004965DF">
        <w:rPr>
          <w:rFonts w:ascii="Verdana" w:hAnsi="Verdana" w:cs="Arial"/>
          <w:sz w:val="20"/>
          <w:szCs w:val="20"/>
          <w:lang w:val="es-MX"/>
        </w:rPr>
        <w:fldChar w:fldCharType="separate"/>
      </w:r>
      <w:r w:rsidR="00630FCA">
        <w:rPr>
          <w:rFonts w:ascii="Verdana" w:hAnsi="Verdana" w:cs="Arial"/>
          <w:sz w:val="20"/>
          <w:szCs w:val="20"/>
          <w:lang w:val="es-MX"/>
        </w:rPr>
        <w:t>9</w:t>
      </w:r>
      <w:r w:rsidR="004965DF">
        <w:rPr>
          <w:rFonts w:ascii="Verdana" w:hAnsi="Verdana" w:cs="Arial"/>
          <w:sz w:val="20"/>
          <w:szCs w:val="20"/>
          <w:lang w:val="es-MX"/>
        </w:rPr>
        <w:fldChar w:fldCharType="end"/>
      </w:r>
      <w:r w:rsidR="00A17381" w:rsidRPr="00CF5E8C">
        <w:rPr>
          <w:rFonts w:ascii="Verdana" w:hAnsi="Verdana" w:cs="Arial"/>
          <w:sz w:val="20"/>
          <w:szCs w:val="20"/>
          <w:lang w:val="es-MX"/>
        </w:rPr>
        <w:t xml:space="preserve">), la Corte recuerda que </w:t>
      </w:r>
      <w:r w:rsidR="00CF5E8C" w:rsidRPr="00CF5E8C">
        <w:rPr>
          <w:rFonts w:ascii="Verdana" w:hAnsi="Verdana" w:cs="Arial"/>
          <w:sz w:val="20"/>
          <w:szCs w:val="20"/>
          <w:lang w:val="es-MX"/>
        </w:rPr>
        <w:t xml:space="preserve">la medida ordenada por este Tribunal se centra en </w:t>
      </w:r>
      <w:r w:rsidR="00CF5E8C" w:rsidRPr="00CF5E8C">
        <w:rPr>
          <w:rFonts w:ascii="Verdana" w:hAnsi="Verdana"/>
          <w:sz w:val="20"/>
          <w:szCs w:val="20"/>
        </w:rPr>
        <w:t>la investigación del desplazamiento forzado de la señora Rúa Figueroa y sus familiares</w:t>
      </w:r>
      <w:r w:rsidR="00CF5E8C">
        <w:rPr>
          <w:rFonts w:ascii="Verdana" w:hAnsi="Verdana"/>
          <w:sz w:val="20"/>
          <w:szCs w:val="20"/>
        </w:rPr>
        <w:t xml:space="preserve"> (</w:t>
      </w:r>
      <w:r w:rsidR="00CF5E8C" w:rsidRPr="00CF5E8C">
        <w:rPr>
          <w:rFonts w:ascii="Verdana" w:hAnsi="Verdana"/>
          <w:i/>
          <w:sz w:val="20"/>
          <w:szCs w:val="20"/>
        </w:rPr>
        <w:t>supra</w:t>
      </w:r>
      <w:r w:rsidR="00CF5E8C">
        <w:rPr>
          <w:rFonts w:ascii="Verdana" w:hAnsi="Verdana"/>
          <w:sz w:val="20"/>
          <w:szCs w:val="20"/>
        </w:rPr>
        <w:t xml:space="preserve"> Considerando </w:t>
      </w:r>
      <w:r w:rsidR="004965DF">
        <w:rPr>
          <w:rFonts w:ascii="Verdana" w:hAnsi="Verdana"/>
          <w:sz w:val="20"/>
          <w:szCs w:val="20"/>
        </w:rPr>
        <w:fldChar w:fldCharType="begin"/>
      </w:r>
      <w:r w:rsidR="004965DF">
        <w:rPr>
          <w:rFonts w:ascii="Verdana" w:hAnsi="Verdana"/>
          <w:sz w:val="20"/>
          <w:szCs w:val="20"/>
        </w:rPr>
        <w:instrText xml:space="preserve"> REF _Ref26785186 \r \h </w:instrText>
      </w:r>
      <w:r w:rsidR="004965DF">
        <w:rPr>
          <w:rFonts w:ascii="Verdana" w:hAnsi="Verdana"/>
          <w:sz w:val="20"/>
          <w:szCs w:val="20"/>
        </w:rPr>
      </w:r>
      <w:r w:rsidR="004965DF">
        <w:rPr>
          <w:rFonts w:ascii="Verdana" w:hAnsi="Verdana"/>
          <w:sz w:val="20"/>
          <w:szCs w:val="20"/>
        </w:rPr>
        <w:fldChar w:fldCharType="separate"/>
      </w:r>
      <w:r w:rsidR="00630FCA">
        <w:rPr>
          <w:rFonts w:ascii="Verdana" w:hAnsi="Verdana"/>
          <w:sz w:val="20"/>
          <w:szCs w:val="20"/>
        </w:rPr>
        <w:t>7</w:t>
      </w:r>
      <w:r w:rsidR="004965DF">
        <w:rPr>
          <w:rFonts w:ascii="Verdana" w:hAnsi="Verdana"/>
          <w:sz w:val="20"/>
          <w:szCs w:val="20"/>
        </w:rPr>
        <w:fldChar w:fldCharType="end"/>
      </w:r>
      <w:r w:rsidR="00CF5E8C">
        <w:rPr>
          <w:rFonts w:ascii="Verdana" w:hAnsi="Verdana"/>
          <w:sz w:val="20"/>
          <w:szCs w:val="20"/>
        </w:rPr>
        <w:t>).</w:t>
      </w:r>
    </w:p>
    <w:p w14:paraId="65A15839" w14:textId="71D738FD" w:rsidR="004E3A57" w:rsidRDefault="00403D3D" w:rsidP="004E3A57">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bookmarkStart w:id="18" w:name="_Ref26785415"/>
      <w:r>
        <w:rPr>
          <w:rFonts w:ascii="Verdana" w:hAnsi="Verdana" w:cs="Arial"/>
          <w:sz w:val="20"/>
          <w:szCs w:val="20"/>
          <w:lang w:val="es-MX"/>
        </w:rPr>
        <w:t>Aun con la referida condena, t</w:t>
      </w:r>
      <w:r w:rsidR="00E549B6">
        <w:rPr>
          <w:rFonts w:ascii="Verdana" w:hAnsi="Verdana" w:cs="Arial"/>
          <w:sz w:val="20"/>
          <w:szCs w:val="20"/>
          <w:lang w:val="es-MX"/>
        </w:rPr>
        <w:t xml:space="preserve">anto las representantes como la Comisión Interamericana han hecho notar que el Estado debe continuar implementando esta medida a fin de identificar a agentes estatales responsables del desplazamiento forzado de la señora Rúa Figueroa y su familia, así como de la </w:t>
      </w:r>
      <w:r w:rsidR="00E549B6">
        <w:rPr>
          <w:rFonts w:ascii="Verdana" w:hAnsi="Verdana"/>
          <w:sz w:val="20"/>
          <w:szCs w:val="20"/>
        </w:rPr>
        <w:t xml:space="preserve">Operación Mariscal, </w:t>
      </w:r>
      <w:r w:rsidR="00447276">
        <w:rPr>
          <w:rFonts w:ascii="Verdana" w:hAnsi="Verdana"/>
          <w:sz w:val="20"/>
          <w:szCs w:val="20"/>
        </w:rPr>
        <w:t xml:space="preserve">que forma </w:t>
      </w:r>
      <w:r w:rsidR="00447276">
        <w:rPr>
          <w:rFonts w:ascii="Verdana" w:hAnsi="Verdana"/>
          <w:sz w:val="20"/>
          <w:szCs w:val="20"/>
        </w:rPr>
        <w:lastRenderedPageBreak/>
        <w:t>parte del contexto dentro del cual</w:t>
      </w:r>
      <w:r w:rsidR="00E549B6">
        <w:rPr>
          <w:rFonts w:ascii="Verdana" w:hAnsi="Verdana"/>
          <w:sz w:val="20"/>
          <w:szCs w:val="20"/>
        </w:rPr>
        <w:t xml:space="preserve"> sucedió el desplazamiento </w:t>
      </w:r>
      <w:r w:rsidR="00E549B6">
        <w:rPr>
          <w:rFonts w:ascii="Verdana" w:hAnsi="Verdana" w:cs="Arial"/>
          <w:sz w:val="20"/>
          <w:szCs w:val="20"/>
          <w:lang w:val="es-MX"/>
        </w:rPr>
        <w:t>(</w:t>
      </w:r>
      <w:r w:rsidR="00E549B6" w:rsidRPr="00E549B6">
        <w:rPr>
          <w:rFonts w:ascii="Verdana" w:hAnsi="Verdana" w:cs="Arial"/>
          <w:i/>
          <w:sz w:val="20"/>
          <w:szCs w:val="20"/>
          <w:lang w:val="es-MX"/>
        </w:rPr>
        <w:t>supra</w:t>
      </w:r>
      <w:r w:rsidR="00E549B6">
        <w:rPr>
          <w:rFonts w:ascii="Verdana" w:hAnsi="Verdana" w:cs="Arial"/>
          <w:sz w:val="20"/>
          <w:szCs w:val="20"/>
          <w:lang w:val="es-MX"/>
        </w:rPr>
        <w:t xml:space="preserve"> Considerando</w:t>
      </w:r>
      <w:r w:rsidR="003B5A0E">
        <w:rPr>
          <w:rFonts w:ascii="Verdana" w:hAnsi="Verdana" w:cs="Arial"/>
          <w:sz w:val="20"/>
          <w:szCs w:val="20"/>
          <w:lang w:val="es-MX"/>
        </w:rPr>
        <w:t>s</w:t>
      </w:r>
      <w:r w:rsidR="00E549B6">
        <w:rPr>
          <w:rFonts w:ascii="Verdana" w:hAnsi="Verdana" w:cs="Arial"/>
          <w:sz w:val="20"/>
          <w:szCs w:val="20"/>
          <w:lang w:val="es-MX"/>
        </w:rPr>
        <w:t xml:space="preserve"> </w:t>
      </w:r>
      <w:r w:rsidR="003B5A0E">
        <w:rPr>
          <w:rFonts w:ascii="Verdana" w:hAnsi="Verdana" w:cs="Arial"/>
          <w:sz w:val="20"/>
          <w:szCs w:val="20"/>
          <w:lang w:val="es-MX"/>
        </w:rPr>
        <w:t>9 y 10</w:t>
      </w:r>
      <w:r w:rsidR="00E549B6">
        <w:rPr>
          <w:rFonts w:ascii="Verdana" w:hAnsi="Verdana" w:cs="Arial"/>
          <w:sz w:val="20"/>
          <w:szCs w:val="20"/>
          <w:lang w:val="es-MX"/>
        </w:rPr>
        <w:t xml:space="preserve">). </w:t>
      </w:r>
      <w:r w:rsidR="003B5A0E">
        <w:rPr>
          <w:rFonts w:ascii="Verdana" w:hAnsi="Verdana" w:cs="Arial"/>
          <w:sz w:val="20"/>
          <w:szCs w:val="20"/>
          <w:lang w:val="es-MX"/>
        </w:rPr>
        <w:t>En cuanto a la referida objeción, l</w:t>
      </w:r>
      <w:r w:rsidR="00CF5E8C">
        <w:rPr>
          <w:rFonts w:ascii="Verdana" w:hAnsi="Verdana" w:cs="Arial"/>
          <w:sz w:val="20"/>
          <w:szCs w:val="20"/>
          <w:lang w:val="es-MX"/>
        </w:rPr>
        <w:t>a Corte nota</w:t>
      </w:r>
      <w:r w:rsidR="003B5A0E">
        <w:rPr>
          <w:rFonts w:ascii="Verdana" w:hAnsi="Verdana" w:cs="Arial"/>
          <w:sz w:val="20"/>
          <w:szCs w:val="20"/>
          <w:lang w:val="es-MX"/>
        </w:rPr>
        <w:t>, en primer lugar,</w:t>
      </w:r>
      <w:r w:rsidR="00CF5E8C">
        <w:rPr>
          <w:rFonts w:ascii="Verdana" w:hAnsi="Verdana" w:cs="Arial"/>
          <w:sz w:val="20"/>
          <w:szCs w:val="20"/>
          <w:lang w:val="es-MX"/>
        </w:rPr>
        <w:t xml:space="preserve"> que las representantes no están alegando que el Estado debe continuar la investigación a fin de determinar la eventual responsabilidad de otros paramilitares en los hechos de desplazamiento forzado de la víctima y su familia.</w:t>
      </w:r>
      <w:bookmarkEnd w:id="18"/>
      <w:r w:rsidR="00CF5E8C">
        <w:rPr>
          <w:rFonts w:ascii="Verdana" w:hAnsi="Verdana" w:cs="Arial"/>
          <w:sz w:val="20"/>
          <w:szCs w:val="20"/>
          <w:lang w:val="es-MX"/>
        </w:rPr>
        <w:t xml:space="preserve"> </w:t>
      </w:r>
    </w:p>
    <w:p w14:paraId="17E2B93A" w14:textId="35219427" w:rsidR="00A621F1" w:rsidRPr="004E3A57" w:rsidRDefault="003B5A0E" w:rsidP="004E3A57">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r>
        <w:rPr>
          <w:rFonts w:ascii="Verdana" w:hAnsi="Verdana" w:cs="Arial"/>
          <w:sz w:val="20"/>
          <w:szCs w:val="20"/>
          <w:lang w:val="es-MX"/>
        </w:rPr>
        <w:t>En segundo lugar, e</w:t>
      </w:r>
      <w:r w:rsidR="00B10401" w:rsidRPr="004E3A57">
        <w:rPr>
          <w:rFonts w:ascii="Verdana" w:hAnsi="Verdana" w:cs="Arial"/>
          <w:sz w:val="20"/>
          <w:szCs w:val="20"/>
          <w:lang w:val="es-MX"/>
        </w:rPr>
        <w:t xml:space="preserve">n cuanto a la referida objeción, </w:t>
      </w:r>
      <w:r w:rsidR="004E3A57" w:rsidRPr="004E3A57">
        <w:rPr>
          <w:rFonts w:ascii="Verdana" w:hAnsi="Verdana" w:cs="Arial"/>
          <w:sz w:val="20"/>
          <w:szCs w:val="20"/>
          <w:lang w:val="es-MX"/>
        </w:rPr>
        <w:t>el Estado sostuvo que “la Fiscalía ha explorado esta hipótesis investigativa, sin encontrar hasta el momento elementos materiales</w:t>
      </w:r>
      <w:r w:rsidR="0032034F">
        <w:rPr>
          <w:rFonts w:ascii="Verdana" w:hAnsi="Verdana" w:cs="Arial"/>
          <w:sz w:val="20"/>
          <w:szCs w:val="20"/>
          <w:lang w:val="es-MX"/>
        </w:rPr>
        <w:t xml:space="preserve"> probatorios</w:t>
      </w:r>
      <w:r w:rsidR="004E3A57" w:rsidRPr="004E3A57">
        <w:rPr>
          <w:rFonts w:ascii="Verdana" w:hAnsi="Verdana" w:cs="Arial"/>
          <w:sz w:val="20"/>
          <w:szCs w:val="20"/>
          <w:lang w:val="es-MX"/>
        </w:rPr>
        <w:t xml:space="preserve"> que señalen la presunta responsabilidad de los agentes del </w:t>
      </w:r>
      <w:r>
        <w:rPr>
          <w:rFonts w:ascii="Verdana" w:hAnsi="Verdana" w:cs="Arial"/>
          <w:sz w:val="20"/>
          <w:szCs w:val="20"/>
          <w:lang w:val="es-MX"/>
        </w:rPr>
        <w:t>E</w:t>
      </w:r>
      <w:r w:rsidR="004E3A57" w:rsidRPr="004E3A57">
        <w:rPr>
          <w:rFonts w:ascii="Verdana" w:hAnsi="Verdana" w:cs="Arial"/>
          <w:sz w:val="20"/>
          <w:szCs w:val="20"/>
          <w:lang w:val="es-MX"/>
        </w:rPr>
        <w:t xml:space="preserve">stado”. Al respecto, esta Corte estima pertinente recordar </w:t>
      </w:r>
      <w:r w:rsidR="00B10401" w:rsidRPr="004E3A57">
        <w:rPr>
          <w:rFonts w:ascii="Verdana" w:hAnsi="Verdana" w:cs="Arial"/>
          <w:sz w:val="20"/>
          <w:szCs w:val="20"/>
          <w:lang w:val="es-MX"/>
        </w:rPr>
        <w:t xml:space="preserve">que en la Sentencia </w:t>
      </w:r>
      <w:r w:rsidR="004E3A57">
        <w:rPr>
          <w:rFonts w:ascii="Verdana" w:hAnsi="Verdana" w:cs="Arial"/>
          <w:sz w:val="20"/>
          <w:szCs w:val="20"/>
          <w:lang w:val="es-MX"/>
        </w:rPr>
        <w:t xml:space="preserve">se </w:t>
      </w:r>
      <w:r w:rsidR="004E3A57" w:rsidRPr="004E3A57">
        <w:rPr>
          <w:rFonts w:ascii="Verdana" w:hAnsi="Verdana" w:cs="Arial"/>
          <w:sz w:val="20"/>
          <w:szCs w:val="20"/>
          <w:lang w:val="es-MX"/>
        </w:rPr>
        <w:t>consideró que no era posible atribuir responsabilidad al Estado por la violación del deber de respeto respecto del desplazamiento forzado, ya que no se había probado la aquiescencia o la colaboración estatal (</w:t>
      </w:r>
      <w:r>
        <w:rPr>
          <w:rFonts w:ascii="Verdana" w:hAnsi="Verdana" w:cs="Arial"/>
          <w:i/>
          <w:sz w:val="20"/>
          <w:szCs w:val="20"/>
          <w:lang w:val="es-MX"/>
        </w:rPr>
        <w:t xml:space="preserve">supra </w:t>
      </w:r>
      <w:r>
        <w:rPr>
          <w:rFonts w:ascii="Verdana" w:hAnsi="Verdana" w:cs="Arial"/>
          <w:sz w:val="20"/>
          <w:szCs w:val="20"/>
          <w:lang w:val="es-MX"/>
        </w:rPr>
        <w:t xml:space="preserve">Visto 1 y </w:t>
      </w:r>
      <w:r w:rsidR="004E3A57" w:rsidRPr="004E3A57">
        <w:rPr>
          <w:rFonts w:ascii="Verdana" w:hAnsi="Verdana" w:cs="Arial"/>
          <w:sz w:val="20"/>
          <w:szCs w:val="20"/>
          <w:lang w:val="es-MX"/>
        </w:rPr>
        <w:t xml:space="preserve">Considerando </w:t>
      </w:r>
      <w:r w:rsidR="0032034F">
        <w:rPr>
          <w:rFonts w:ascii="Verdana" w:hAnsi="Verdana" w:cs="Arial"/>
          <w:sz w:val="20"/>
          <w:szCs w:val="20"/>
          <w:lang w:val="es-MX"/>
        </w:rPr>
        <w:fldChar w:fldCharType="begin"/>
      </w:r>
      <w:r w:rsidR="0032034F">
        <w:rPr>
          <w:rFonts w:ascii="Verdana" w:hAnsi="Verdana" w:cs="Arial"/>
          <w:sz w:val="20"/>
          <w:szCs w:val="20"/>
          <w:lang w:val="es-MX"/>
        </w:rPr>
        <w:instrText xml:space="preserve"> REF _Ref26777392 \r \h </w:instrText>
      </w:r>
      <w:r w:rsidR="0032034F">
        <w:rPr>
          <w:rFonts w:ascii="Verdana" w:hAnsi="Verdana" w:cs="Arial"/>
          <w:sz w:val="20"/>
          <w:szCs w:val="20"/>
          <w:lang w:val="es-MX"/>
        </w:rPr>
      </w:r>
      <w:r w:rsidR="0032034F">
        <w:rPr>
          <w:rFonts w:ascii="Verdana" w:hAnsi="Verdana" w:cs="Arial"/>
          <w:sz w:val="20"/>
          <w:szCs w:val="20"/>
          <w:lang w:val="es-MX"/>
        </w:rPr>
        <w:fldChar w:fldCharType="separate"/>
      </w:r>
      <w:r w:rsidR="00630FCA">
        <w:rPr>
          <w:rFonts w:ascii="Verdana" w:hAnsi="Verdana" w:cs="Arial"/>
          <w:sz w:val="20"/>
          <w:szCs w:val="20"/>
          <w:lang w:val="es-MX"/>
        </w:rPr>
        <w:t>5</w:t>
      </w:r>
      <w:r w:rsidR="0032034F">
        <w:rPr>
          <w:rFonts w:ascii="Verdana" w:hAnsi="Verdana" w:cs="Arial"/>
          <w:sz w:val="20"/>
          <w:szCs w:val="20"/>
          <w:lang w:val="es-MX"/>
        </w:rPr>
        <w:fldChar w:fldCharType="end"/>
      </w:r>
      <w:r w:rsidR="004E3A57" w:rsidRPr="004E3A57">
        <w:rPr>
          <w:rFonts w:ascii="Verdana" w:hAnsi="Verdana" w:cs="Arial"/>
          <w:sz w:val="20"/>
          <w:szCs w:val="20"/>
          <w:lang w:val="es-MX"/>
        </w:rPr>
        <w:t>). Tomando en cuenta la información presentada en la etapa de supervisión de cumplimiento</w:t>
      </w:r>
      <w:r w:rsidR="004E3A57">
        <w:rPr>
          <w:rFonts w:ascii="Verdana" w:hAnsi="Verdana" w:cs="Arial"/>
          <w:sz w:val="20"/>
          <w:szCs w:val="20"/>
          <w:lang w:val="es-MX"/>
        </w:rPr>
        <w:t xml:space="preserve">, este Tribunal no encuentra razones justificadas para exigir al Estado que, en cumplimiento de la obligación de investigar ordenada en el presente caso, deba determinar </w:t>
      </w:r>
      <w:r w:rsidR="001A378C">
        <w:rPr>
          <w:rFonts w:ascii="Verdana" w:hAnsi="Verdana" w:cs="Arial"/>
          <w:sz w:val="20"/>
          <w:szCs w:val="20"/>
          <w:lang w:val="es-MX"/>
        </w:rPr>
        <w:t>responsabilidades estatales por el desplazamiento forzado ocurrido a la víctima y sus familiares.</w:t>
      </w:r>
    </w:p>
    <w:p w14:paraId="11666B52" w14:textId="1C5169C5" w:rsidR="00174BA8" w:rsidRPr="00CE6352" w:rsidRDefault="00AD2687" w:rsidP="00427E74">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sz w:val="20"/>
          <w:szCs w:val="20"/>
        </w:rPr>
      </w:pPr>
      <w:bookmarkStart w:id="19" w:name="_Ref26785811"/>
      <w:r>
        <w:rPr>
          <w:rFonts w:ascii="Verdana" w:hAnsi="Verdana" w:cs="Arial"/>
          <w:sz w:val="20"/>
          <w:szCs w:val="20"/>
          <w:lang w:val="es-MX"/>
        </w:rPr>
        <w:t>Respecto de</w:t>
      </w:r>
      <w:r w:rsidR="00174BA8" w:rsidRPr="000C5843">
        <w:rPr>
          <w:rFonts w:ascii="Verdana" w:hAnsi="Verdana" w:cs="Arial"/>
          <w:sz w:val="20"/>
          <w:szCs w:val="20"/>
          <w:lang w:val="es-MX"/>
        </w:rPr>
        <w:t xml:space="preserve"> lo alegado por el Estado </w:t>
      </w:r>
      <w:r>
        <w:rPr>
          <w:rFonts w:ascii="Verdana" w:hAnsi="Verdana" w:cs="Arial"/>
          <w:sz w:val="20"/>
          <w:szCs w:val="20"/>
          <w:lang w:val="es-MX"/>
        </w:rPr>
        <w:t>en cuanto</w:t>
      </w:r>
      <w:r w:rsidR="00174BA8" w:rsidRPr="000C5843">
        <w:rPr>
          <w:rFonts w:ascii="Verdana" w:hAnsi="Verdana" w:cs="Arial"/>
          <w:sz w:val="20"/>
          <w:szCs w:val="20"/>
          <w:lang w:val="es-MX"/>
        </w:rPr>
        <w:t xml:space="preserve"> a</w:t>
      </w:r>
      <w:r w:rsidR="000C5843" w:rsidRPr="000C5843">
        <w:rPr>
          <w:rFonts w:ascii="Verdana" w:hAnsi="Verdana" w:cs="Arial"/>
          <w:sz w:val="20"/>
          <w:szCs w:val="20"/>
          <w:lang w:val="es-MX"/>
        </w:rPr>
        <w:t xml:space="preserve"> que </w:t>
      </w:r>
      <w:r w:rsidR="000C5843" w:rsidRPr="000C5843">
        <w:rPr>
          <w:rFonts w:ascii="Verdana" w:hAnsi="Verdana"/>
          <w:sz w:val="20"/>
          <w:szCs w:val="20"/>
        </w:rPr>
        <w:t>“el transcurso del tiempo y el temor de algunos testigos a dec</w:t>
      </w:r>
      <w:r w:rsidR="000C5843" w:rsidRPr="00250CFA">
        <w:rPr>
          <w:rFonts w:ascii="Verdana" w:hAnsi="Verdana"/>
          <w:sz w:val="20"/>
          <w:szCs w:val="20"/>
        </w:rPr>
        <w:t>larar han impedido esclarecer los hechos y determinar a los demás autore</w:t>
      </w:r>
      <w:r w:rsidR="000C5843" w:rsidRPr="0027760B">
        <w:rPr>
          <w:rFonts w:ascii="Verdana" w:hAnsi="Verdana"/>
          <w:sz w:val="20"/>
          <w:szCs w:val="20"/>
        </w:rPr>
        <w:t>s</w:t>
      </w:r>
      <w:r w:rsidR="0032034F">
        <w:rPr>
          <w:rFonts w:ascii="Verdana" w:hAnsi="Verdana"/>
          <w:sz w:val="20"/>
          <w:szCs w:val="20"/>
        </w:rPr>
        <w:t xml:space="preserve"> […]</w:t>
      </w:r>
      <w:r w:rsidR="000C5843" w:rsidRPr="0027760B">
        <w:rPr>
          <w:rFonts w:ascii="Verdana" w:hAnsi="Verdana"/>
          <w:sz w:val="20"/>
          <w:szCs w:val="20"/>
        </w:rPr>
        <w:t xml:space="preserve"> y/o partícipes de los mismos”, representa un</w:t>
      </w:r>
      <w:r w:rsidR="000C5843" w:rsidRPr="002C1B4C">
        <w:rPr>
          <w:rFonts w:ascii="Verdana" w:hAnsi="Verdana"/>
          <w:sz w:val="20"/>
          <w:szCs w:val="20"/>
        </w:rPr>
        <w:t xml:space="preserve"> </w:t>
      </w:r>
      <w:r w:rsidR="00174BA8" w:rsidRPr="00A92FF9">
        <w:rPr>
          <w:rFonts w:ascii="Verdana" w:hAnsi="Verdana" w:cs="Arial"/>
          <w:sz w:val="20"/>
          <w:szCs w:val="20"/>
          <w:lang w:val="es-MX"/>
        </w:rPr>
        <w:t>obst</w:t>
      </w:r>
      <w:r w:rsidR="00174BA8" w:rsidRPr="00B25E0E">
        <w:rPr>
          <w:rFonts w:ascii="Verdana" w:hAnsi="Verdana" w:cs="Arial"/>
          <w:sz w:val="20"/>
          <w:szCs w:val="20"/>
          <w:lang w:val="es-MX"/>
        </w:rPr>
        <w:t>áculo en el avance de la investigaci</w:t>
      </w:r>
      <w:r w:rsidR="00174BA8" w:rsidRPr="00873478">
        <w:rPr>
          <w:rFonts w:ascii="Verdana" w:hAnsi="Verdana" w:cs="Arial"/>
          <w:sz w:val="20"/>
          <w:szCs w:val="20"/>
          <w:lang w:val="es-MX"/>
        </w:rPr>
        <w:t>ón</w:t>
      </w:r>
      <w:r w:rsidR="00CA76DC" w:rsidRPr="00873478">
        <w:rPr>
          <w:rFonts w:ascii="Verdana" w:hAnsi="Verdana" w:cs="Arial"/>
          <w:sz w:val="20"/>
          <w:szCs w:val="20"/>
          <w:lang w:val="es-MX"/>
        </w:rPr>
        <w:t xml:space="preserve"> penal</w:t>
      </w:r>
      <w:r w:rsidR="000C5843" w:rsidRPr="00647A80">
        <w:rPr>
          <w:rFonts w:ascii="Verdana" w:hAnsi="Verdana" w:cs="Arial"/>
          <w:sz w:val="20"/>
          <w:szCs w:val="20"/>
          <w:lang w:val="es-MX"/>
        </w:rPr>
        <w:t xml:space="preserve"> del desplazamiento forzado de la señora R</w:t>
      </w:r>
      <w:r w:rsidR="000C5843" w:rsidRPr="00B527FB">
        <w:rPr>
          <w:rFonts w:ascii="Verdana" w:hAnsi="Verdana" w:cs="Arial"/>
          <w:sz w:val="20"/>
          <w:szCs w:val="20"/>
          <w:lang w:val="es-MX"/>
        </w:rPr>
        <w:t xml:space="preserve">úa y sus </w:t>
      </w:r>
      <w:r w:rsidR="000C5843" w:rsidRPr="000A0685">
        <w:rPr>
          <w:rFonts w:ascii="Verdana" w:hAnsi="Verdana" w:cs="Arial"/>
          <w:sz w:val="20"/>
          <w:szCs w:val="20"/>
          <w:lang w:val="es-MX"/>
        </w:rPr>
        <w:t xml:space="preserve">familiares, </w:t>
      </w:r>
      <w:r w:rsidR="00CA76DC">
        <w:rPr>
          <w:rFonts w:ascii="Verdana" w:hAnsi="Verdana" w:cs="Arial"/>
          <w:sz w:val="20"/>
          <w:szCs w:val="20"/>
          <w:lang w:val="es-MX"/>
        </w:rPr>
        <w:t xml:space="preserve">se recuerda que </w:t>
      </w:r>
      <w:r w:rsidR="00CA76DC" w:rsidRPr="007C17FF">
        <w:rPr>
          <w:rFonts w:ascii="Verdana" w:hAnsi="Verdana"/>
          <w:sz w:val="20"/>
          <w:szCs w:val="20"/>
        </w:rPr>
        <w:t>el órgano que investiga una alegada violación de derechos humanos debe utilizar todos los medios disponibles para llevar a cabo, dentro de un plazo razonable, todas aquellas actuaciones y averiguaciones que sean necesarias con el fin de intentar obtener el resultado que se persigue</w:t>
      </w:r>
      <w:r w:rsidR="00CA76DC" w:rsidRPr="007C17FF">
        <w:rPr>
          <w:rStyle w:val="Refdenotaalpie"/>
          <w:rFonts w:ascii="Verdana" w:hAnsi="Verdana"/>
          <w:sz w:val="20"/>
          <w:szCs w:val="20"/>
        </w:rPr>
        <w:footnoteReference w:id="21"/>
      </w:r>
      <w:r w:rsidR="00CA76DC" w:rsidRPr="007C17FF">
        <w:rPr>
          <w:rFonts w:ascii="Verdana" w:hAnsi="Verdana"/>
          <w:sz w:val="20"/>
          <w:szCs w:val="20"/>
        </w:rPr>
        <w:t>.</w:t>
      </w:r>
      <w:r w:rsidR="00CA76DC">
        <w:rPr>
          <w:rFonts w:ascii="Verdana" w:hAnsi="Verdana"/>
          <w:sz w:val="20"/>
          <w:szCs w:val="20"/>
        </w:rPr>
        <w:t xml:space="preserve"> </w:t>
      </w:r>
      <w:r w:rsidR="000C5843">
        <w:rPr>
          <w:rFonts w:ascii="Verdana" w:hAnsi="Verdana"/>
          <w:sz w:val="20"/>
          <w:szCs w:val="20"/>
        </w:rPr>
        <w:t>Por otra parte</w:t>
      </w:r>
      <w:r w:rsidR="00CA76DC">
        <w:rPr>
          <w:rFonts w:ascii="Verdana" w:hAnsi="Verdana"/>
          <w:sz w:val="20"/>
          <w:szCs w:val="20"/>
        </w:rPr>
        <w:t>, en cuanto a los diversos alegatos relativos a la falta de participación de la víctima</w:t>
      </w:r>
      <w:r w:rsidR="00825331">
        <w:rPr>
          <w:rFonts w:ascii="Verdana" w:hAnsi="Verdana"/>
          <w:sz w:val="20"/>
          <w:szCs w:val="20"/>
        </w:rPr>
        <w:t xml:space="preserve"> Rúa Figueroa</w:t>
      </w:r>
      <w:r w:rsidR="00CA76DC">
        <w:rPr>
          <w:rFonts w:ascii="Verdana" w:hAnsi="Verdana"/>
          <w:sz w:val="20"/>
          <w:szCs w:val="20"/>
        </w:rPr>
        <w:t xml:space="preserve"> en la investigación (</w:t>
      </w:r>
      <w:r w:rsidR="00CA76DC" w:rsidRPr="000C5843">
        <w:rPr>
          <w:rFonts w:ascii="Verdana" w:hAnsi="Verdana"/>
          <w:i/>
          <w:sz w:val="20"/>
          <w:szCs w:val="20"/>
        </w:rPr>
        <w:t xml:space="preserve">supra </w:t>
      </w:r>
      <w:r w:rsidR="00CA76DC">
        <w:rPr>
          <w:rFonts w:ascii="Verdana" w:hAnsi="Verdana"/>
          <w:sz w:val="20"/>
          <w:szCs w:val="20"/>
        </w:rPr>
        <w:t xml:space="preserve">Considerando </w:t>
      </w:r>
      <w:r>
        <w:rPr>
          <w:rFonts w:ascii="Verdana" w:hAnsi="Verdana"/>
          <w:sz w:val="20"/>
          <w:szCs w:val="20"/>
        </w:rPr>
        <w:t>9 y nota al pie 17</w:t>
      </w:r>
      <w:r w:rsidR="00CA76DC">
        <w:rPr>
          <w:rFonts w:ascii="Verdana" w:hAnsi="Verdana"/>
          <w:sz w:val="20"/>
          <w:szCs w:val="20"/>
        </w:rPr>
        <w:t xml:space="preserve">), </w:t>
      </w:r>
      <w:r w:rsidR="00CA76DC" w:rsidRPr="00825331">
        <w:rPr>
          <w:rFonts w:ascii="Verdana" w:hAnsi="Verdana"/>
          <w:sz w:val="20"/>
          <w:szCs w:val="20"/>
        </w:rPr>
        <w:t xml:space="preserve">se recuerda que </w:t>
      </w:r>
      <w:r w:rsidR="00825331" w:rsidRPr="00825331">
        <w:rPr>
          <w:rFonts w:ascii="Verdana" w:hAnsi="Verdana"/>
          <w:sz w:val="20"/>
          <w:szCs w:val="20"/>
        </w:rPr>
        <w:t xml:space="preserve">durante la investigación </w:t>
      </w:r>
      <w:r w:rsidR="008435C2">
        <w:rPr>
          <w:rFonts w:ascii="Verdana" w:hAnsi="Verdana"/>
          <w:sz w:val="20"/>
          <w:szCs w:val="20"/>
        </w:rPr>
        <w:t xml:space="preserve">el Estado </w:t>
      </w:r>
      <w:r w:rsidR="00825331" w:rsidRPr="00825331">
        <w:rPr>
          <w:rFonts w:ascii="Verdana" w:hAnsi="Verdana"/>
          <w:sz w:val="20"/>
          <w:szCs w:val="20"/>
        </w:rPr>
        <w:t xml:space="preserve">debe posibilitar el acceso a las actuaciones que se desarrollen, así como la participación de las víctimas involucradas en los hechos o </w:t>
      </w:r>
      <w:r w:rsidR="008435C2">
        <w:rPr>
          <w:rFonts w:ascii="Verdana" w:hAnsi="Verdana"/>
          <w:sz w:val="20"/>
          <w:szCs w:val="20"/>
        </w:rPr>
        <w:t xml:space="preserve">de </w:t>
      </w:r>
      <w:r w:rsidR="00825331" w:rsidRPr="00825331">
        <w:rPr>
          <w:rFonts w:ascii="Verdana" w:hAnsi="Verdana"/>
          <w:sz w:val="20"/>
          <w:szCs w:val="20"/>
        </w:rPr>
        <w:t xml:space="preserve">sus representantes, </w:t>
      </w:r>
      <w:r w:rsidR="008435C2">
        <w:rPr>
          <w:rFonts w:ascii="Verdana" w:hAnsi="Verdana"/>
          <w:sz w:val="20"/>
          <w:szCs w:val="20"/>
        </w:rPr>
        <w:t xml:space="preserve">respecto de lo cual, </w:t>
      </w:r>
      <w:r w:rsidR="00825331" w:rsidRPr="00CE6352">
        <w:rPr>
          <w:rFonts w:ascii="Verdana" w:hAnsi="Verdana"/>
          <w:sz w:val="20"/>
          <w:szCs w:val="20"/>
        </w:rPr>
        <w:t xml:space="preserve">se consulta a Colombia si hay alguna acción que pudiera ser tomada </w:t>
      </w:r>
      <w:r w:rsidR="008435C2">
        <w:rPr>
          <w:rFonts w:ascii="Verdana" w:hAnsi="Verdana"/>
          <w:sz w:val="20"/>
          <w:szCs w:val="20"/>
        </w:rPr>
        <w:t xml:space="preserve">en cuanto </w:t>
      </w:r>
      <w:r w:rsidR="00825331" w:rsidRPr="00CE6352">
        <w:rPr>
          <w:rFonts w:ascii="Verdana" w:hAnsi="Verdana"/>
          <w:sz w:val="20"/>
          <w:szCs w:val="20"/>
        </w:rPr>
        <w:t>a lo sostenido por las representantes sobre la</w:t>
      </w:r>
      <w:r w:rsidR="00CE6352" w:rsidRPr="00CE6352">
        <w:rPr>
          <w:rFonts w:ascii="Verdana" w:hAnsi="Verdana"/>
          <w:sz w:val="20"/>
          <w:szCs w:val="20"/>
        </w:rPr>
        <w:t xml:space="preserve"> imposibilidad de la víctima</w:t>
      </w:r>
      <w:r>
        <w:rPr>
          <w:rFonts w:ascii="Verdana" w:hAnsi="Verdana"/>
          <w:sz w:val="20"/>
          <w:szCs w:val="20"/>
        </w:rPr>
        <w:t xml:space="preserve"> Rúa Figueroa</w:t>
      </w:r>
      <w:r w:rsidR="00CE6352" w:rsidRPr="00CE6352">
        <w:rPr>
          <w:rFonts w:ascii="Verdana" w:hAnsi="Verdana"/>
          <w:sz w:val="20"/>
          <w:szCs w:val="20"/>
        </w:rPr>
        <w:t xml:space="preserve"> de participar en </w:t>
      </w:r>
      <w:r w:rsidR="008435C2">
        <w:rPr>
          <w:rFonts w:ascii="Verdana" w:hAnsi="Verdana"/>
          <w:sz w:val="20"/>
          <w:szCs w:val="20"/>
        </w:rPr>
        <w:t>esta</w:t>
      </w:r>
      <w:r w:rsidR="00CE6352" w:rsidRPr="00CE6352">
        <w:rPr>
          <w:rFonts w:ascii="Verdana" w:hAnsi="Verdana"/>
          <w:sz w:val="20"/>
          <w:szCs w:val="20"/>
        </w:rPr>
        <w:t xml:space="preserve"> investigación</w:t>
      </w:r>
      <w:r w:rsidR="008435C2">
        <w:rPr>
          <w:rFonts w:ascii="Verdana" w:hAnsi="Verdana"/>
          <w:sz w:val="20"/>
          <w:szCs w:val="20"/>
        </w:rPr>
        <w:t xml:space="preserve"> penal</w:t>
      </w:r>
      <w:r w:rsidR="00CE6352" w:rsidRPr="00CE6352">
        <w:rPr>
          <w:rFonts w:ascii="Verdana" w:hAnsi="Verdana"/>
          <w:sz w:val="20"/>
          <w:szCs w:val="20"/>
        </w:rPr>
        <w:t xml:space="preserve"> debido a</w:t>
      </w:r>
      <w:r w:rsidR="008435C2">
        <w:rPr>
          <w:rFonts w:ascii="Verdana" w:hAnsi="Verdana"/>
          <w:sz w:val="20"/>
          <w:szCs w:val="20"/>
        </w:rPr>
        <w:t xml:space="preserve"> </w:t>
      </w:r>
      <w:r>
        <w:rPr>
          <w:rFonts w:ascii="Verdana" w:hAnsi="Verdana"/>
          <w:sz w:val="20"/>
          <w:szCs w:val="20"/>
        </w:rPr>
        <w:t>que fue trasladada</w:t>
      </w:r>
      <w:r w:rsidR="00CE6352" w:rsidRPr="00CE6352">
        <w:rPr>
          <w:rFonts w:ascii="Verdana" w:hAnsi="Verdana"/>
          <w:sz w:val="20"/>
          <w:szCs w:val="20"/>
        </w:rPr>
        <w:t xml:space="preserve"> de Medellín a una fiscalía en Bogotá (</w:t>
      </w:r>
      <w:r w:rsidR="00CE6352" w:rsidRPr="00CE6352">
        <w:rPr>
          <w:rFonts w:ascii="Verdana" w:hAnsi="Verdana"/>
          <w:i/>
          <w:sz w:val="20"/>
          <w:szCs w:val="20"/>
        </w:rPr>
        <w:t>supra</w:t>
      </w:r>
      <w:r w:rsidR="00CE6352" w:rsidRPr="00CE6352">
        <w:rPr>
          <w:rFonts w:ascii="Verdana" w:hAnsi="Verdana"/>
          <w:sz w:val="20"/>
          <w:szCs w:val="20"/>
        </w:rPr>
        <w:t xml:space="preserve"> Considerando </w:t>
      </w:r>
      <w:r w:rsidR="0032034F">
        <w:rPr>
          <w:rFonts w:ascii="Verdana" w:hAnsi="Verdana"/>
          <w:sz w:val="20"/>
          <w:szCs w:val="20"/>
        </w:rPr>
        <w:fldChar w:fldCharType="begin"/>
      </w:r>
      <w:r w:rsidR="0032034F">
        <w:rPr>
          <w:rFonts w:ascii="Verdana" w:hAnsi="Verdana"/>
          <w:sz w:val="20"/>
          <w:szCs w:val="20"/>
        </w:rPr>
        <w:instrText xml:space="preserve"> REF _Ref26785210 \r \h </w:instrText>
      </w:r>
      <w:r w:rsidR="0032034F">
        <w:rPr>
          <w:rFonts w:ascii="Verdana" w:hAnsi="Verdana"/>
          <w:sz w:val="20"/>
          <w:szCs w:val="20"/>
        </w:rPr>
      </w:r>
      <w:r w:rsidR="0032034F">
        <w:rPr>
          <w:rFonts w:ascii="Verdana" w:hAnsi="Verdana"/>
          <w:sz w:val="20"/>
          <w:szCs w:val="20"/>
        </w:rPr>
        <w:fldChar w:fldCharType="separate"/>
      </w:r>
      <w:r w:rsidR="00630FCA">
        <w:rPr>
          <w:rFonts w:ascii="Verdana" w:hAnsi="Verdana"/>
          <w:sz w:val="20"/>
          <w:szCs w:val="20"/>
        </w:rPr>
        <w:t>9</w:t>
      </w:r>
      <w:r w:rsidR="0032034F">
        <w:rPr>
          <w:rFonts w:ascii="Verdana" w:hAnsi="Verdana"/>
          <w:sz w:val="20"/>
          <w:szCs w:val="20"/>
        </w:rPr>
        <w:fldChar w:fldCharType="end"/>
      </w:r>
      <w:r w:rsidR="00CE6352" w:rsidRPr="00CE6352">
        <w:rPr>
          <w:rFonts w:ascii="Verdana" w:hAnsi="Verdana"/>
          <w:sz w:val="20"/>
          <w:szCs w:val="20"/>
        </w:rPr>
        <w:t xml:space="preserve"> y nota al pie </w:t>
      </w:r>
      <w:r w:rsidR="0032034F">
        <w:rPr>
          <w:rFonts w:ascii="Verdana" w:hAnsi="Verdana"/>
          <w:sz w:val="20"/>
          <w:szCs w:val="20"/>
        </w:rPr>
        <w:fldChar w:fldCharType="begin"/>
      </w:r>
      <w:r w:rsidR="0032034F">
        <w:rPr>
          <w:rFonts w:ascii="Verdana" w:hAnsi="Verdana"/>
          <w:sz w:val="20"/>
          <w:szCs w:val="20"/>
        </w:rPr>
        <w:instrText xml:space="preserve"> NOTEREF _Ref26785645 \h </w:instrText>
      </w:r>
      <w:r w:rsidR="0032034F">
        <w:rPr>
          <w:rFonts w:ascii="Verdana" w:hAnsi="Verdana"/>
          <w:sz w:val="20"/>
          <w:szCs w:val="20"/>
        </w:rPr>
      </w:r>
      <w:r w:rsidR="0032034F">
        <w:rPr>
          <w:rFonts w:ascii="Verdana" w:hAnsi="Verdana"/>
          <w:sz w:val="20"/>
          <w:szCs w:val="20"/>
        </w:rPr>
        <w:fldChar w:fldCharType="separate"/>
      </w:r>
      <w:r w:rsidR="00630FCA">
        <w:rPr>
          <w:rFonts w:ascii="Verdana" w:hAnsi="Verdana"/>
          <w:sz w:val="20"/>
          <w:szCs w:val="20"/>
        </w:rPr>
        <w:t>18</w:t>
      </w:r>
      <w:r w:rsidR="0032034F">
        <w:rPr>
          <w:rFonts w:ascii="Verdana" w:hAnsi="Verdana"/>
          <w:sz w:val="20"/>
          <w:szCs w:val="20"/>
        </w:rPr>
        <w:fldChar w:fldCharType="end"/>
      </w:r>
      <w:r w:rsidR="00CE6352" w:rsidRPr="00CE6352">
        <w:rPr>
          <w:rFonts w:ascii="Verdana" w:hAnsi="Verdana"/>
          <w:sz w:val="20"/>
          <w:szCs w:val="20"/>
        </w:rPr>
        <w:t>).</w:t>
      </w:r>
      <w:bookmarkEnd w:id="19"/>
    </w:p>
    <w:p w14:paraId="212FEF26" w14:textId="6E735953" w:rsidR="00447276" w:rsidRPr="00CE6352" w:rsidRDefault="00CA76DC" w:rsidP="00CE6352">
      <w:pPr>
        <w:pStyle w:val="Prrafodelista"/>
        <w:numPr>
          <w:ilvl w:val="0"/>
          <w:numId w:val="3"/>
        </w:numPr>
        <w:tabs>
          <w:tab w:val="left" w:pos="0"/>
        </w:tabs>
        <w:autoSpaceDE w:val="0"/>
        <w:autoSpaceDN w:val="0"/>
        <w:adjustRightInd w:val="0"/>
        <w:spacing w:before="120" w:after="120" w:line="240" w:lineRule="auto"/>
        <w:ind w:left="0" w:right="96" w:firstLine="0"/>
        <w:contextualSpacing w:val="0"/>
        <w:jc w:val="both"/>
        <w:rPr>
          <w:rFonts w:ascii="Verdana" w:hAnsi="Verdana" w:cs="Arial"/>
          <w:sz w:val="20"/>
          <w:szCs w:val="20"/>
          <w:lang w:val="es-MX"/>
        </w:rPr>
      </w:pPr>
      <w:bookmarkStart w:id="20" w:name="_Ref26785812"/>
      <w:r>
        <w:rPr>
          <w:rFonts w:ascii="Verdana" w:hAnsi="Verdana" w:cs="Arial"/>
          <w:sz w:val="20"/>
          <w:szCs w:val="20"/>
          <w:lang w:val="es-MX"/>
        </w:rPr>
        <w:t>T</w:t>
      </w:r>
      <w:r w:rsidR="00447276">
        <w:rPr>
          <w:rFonts w:ascii="Verdana" w:hAnsi="Verdana" w:cs="Arial"/>
          <w:sz w:val="20"/>
          <w:szCs w:val="20"/>
          <w:lang w:val="es-MX"/>
        </w:rPr>
        <w:t xml:space="preserve">omando </w:t>
      </w:r>
      <w:r w:rsidR="00CE6352">
        <w:rPr>
          <w:rFonts w:ascii="Verdana" w:hAnsi="Verdana" w:cs="Arial"/>
          <w:sz w:val="20"/>
          <w:szCs w:val="20"/>
          <w:lang w:val="es-MX"/>
        </w:rPr>
        <w:t>en cuenta que el Estado no ha alegado que haya dado cumplimiento total a está reparación, así como lo expresado respecto a que va a continuar la investigación penal por los hechos (</w:t>
      </w:r>
      <w:r w:rsidR="00CE6352" w:rsidRPr="00E17F09">
        <w:rPr>
          <w:rFonts w:ascii="Verdana" w:hAnsi="Verdana" w:cs="Arial"/>
          <w:i/>
          <w:sz w:val="20"/>
          <w:szCs w:val="20"/>
          <w:lang w:val="es-MX"/>
        </w:rPr>
        <w:t>supra</w:t>
      </w:r>
      <w:r w:rsidR="00CE6352">
        <w:rPr>
          <w:rFonts w:ascii="Verdana" w:hAnsi="Verdana" w:cs="Arial"/>
          <w:sz w:val="20"/>
          <w:szCs w:val="20"/>
          <w:lang w:val="es-MX"/>
        </w:rPr>
        <w:t xml:space="preserve"> Considerando </w:t>
      </w:r>
      <w:r w:rsidR="0032034F">
        <w:rPr>
          <w:rFonts w:ascii="Verdana" w:hAnsi="Verdana" w:cs="Arial"/>
          <w:sz w:val="20"/>
          <w:szCs w:val="20"/>
          <w:lang w:val="es-MX"/>
        </w:rPr>
        <w:fldChar w:fldCharType="begin"/>
      </w:r>
      <w:r w:rsidR="0032034F">
        <w:rPr>
          <w:rFonts w:ascii="Verdana" w:hAnsi="Verdana" w:cs="Arial"/>
          <w:sz w:val="20"/>
          <w:szCs w:val="20"/>
          <w:lang w:val="es-MX"/>
        </w:rPr>
        <w:instrText xml:space="preserve"> REF _Ref26784635 \r \h </w:instrText>
      </w:r>
      <w:r w:rsidR="0032034F">
        <w:rPr>
          <w:rFonts w:ascii="Verdana" w:hAnsi="Verdana" w:cs="Arial"/>
          <w:sz w:val="20"/>
          <w:szCs w:val="20"/>
          <w:lang w:val="es-MX"/>
        </w:rPr>
      </w:r>
      <w:r w:rsidR="0032034F">
        <w:rPr>
          <w:rFonts w:ascii="Verdana" w:hAnsi="Verdana" w:cs="Arial"/>
          <w:sz w:val="20"/>
          <w:szCs w:val="20"/>
          <w:lang w:val="es-MX"/>
        </w:rPr>
        <w:fldChar w:fldCharType="separate"/>
      </w:r>
      <w:r w:rsidR="00630FCA">
        <w:rPr>
          <w:rFonts w:ascii="Verdana" w:hAnsi="Verdana" w:cs="Arial"/>
          <w:sz w:val="20"/>
          <w:szCs w:val="20"/>
          <w:lang w:val="es-MX"/>
        </w:rPr>
        <w:t>8</w:t>
      </w:r>
      <w:r w:rsidR="0032034F">
        <w:rPr>
          <w:rFonts w:ascii="Verdana" w:hAnsi="Verdana" w:cs="Arial"/>
          <w:sz w:val="20"/>
          <w:szCs w:val="20"/>
          <w:lang w:val="es-MX"/>
        </w:rPr>
        <w:fldChar w:fldCharType="end"/>
      </w:r>
      <w:r w:rsidR="00CE6352">
        <w:rPr>
          <w:rFonts w:ascii="Verdana" w:hAnsi="Verdana" w:cs="Arial"/>
          <w:sz w:val="20"/>
          <w:szCs w:val="20"/>
          <w:lang w:val="es-MX"/>
        </w:rPr>
        <w:t xml:space="preserve">), </w:t>
      </w:r>
      <w:r w:rsidR="00174BA8" w:rsidRPr="00CE6352">
        <w:rPr>
          <w:rFonts w:ascii="Verdana" w:hAnsi="Verdana" w:cs="Arial"/>
          <w:sz w:val="20"/>
          <w:szCs w:val="20"/>
          <w:lang w:val="es-MX"/>
        </w:rPr>
        <w:t xml:space="preserve">se solicita </w:t>
      </w:r>
      <w:r w:rsidR="00CE6352">
        <w:rPr>
          <w:rFonts w:ascii="Verdana" w:hAnsi="Verdana" w:cs="Arial"/>
          <w:sz w:val="20"/>
          <w:szCs w:val="20"/>
          <w:lang w:val="es-MX"/>
        </w:rPr>
        <w:t>a Colombia</w:t>
      </w:r>
      <w:r w:rsidR="00174BA8" w:rsidRPr="00CE6352">
        <w:rPr>
          <w:rFonts w:ascii="Verdana" w:hAnsi="Verdana" w:cs="Arial"/>
          <w:sz w:val="20"/>
          <w:szCs w:val="20"/>
          <w:lang w:val="es-MX"/>
        </w:rPr>
        <w:t xml:space="preserve"> que presente información actualizada y detallada sobre </w:t>
      </w:r>
      <w:r w:rsidR="00CE6352">
        <w:rPr>
          <w:rFonts w:ascii="Verdana" w:hAnsi="Verdana" w:cs="Arial"/>
          <w:sz w:val="20"/>
          <w:szCs w:val="20"/>
          <w:lang w:val="es-MX"/>
        </w:rPr>
        <w:t xml:space="preserve">si </w:t>
      </w:r>
      <w:r w:rsidR="00E17F09" w:rsidRPr="00CE6352">
        <w:rPr>
          <w:rFonts w:ascii="Verdana" w:hAnsi="Verdana" w:cs="Arial"/>
          <w:sz w:val="20"/>
          <w:szCs w:val="20"/>
          <w:lang w:val="es-MX"/>
        </w:rPr>
        <w:t>después de</w:t>
      </w:r>
      <w:r w:rsidR="00E17F09">
        <w:rPr>
          <w:rFonts w:ascii="Verdana" w:hAnsi="Verdana" w:cs="Arial"/>
          <w:sz w:val="20"/>
          <w:szCs w:val="20"/>
          <w:lang w:val="es-MX"/>
        </w:rPr>
        <w:t>l</w:t>
      </w:r>
      <w:r w:rsidR="00E17F09" w:rsidRPr="00CE6352">
        <w:rPr>
          <w:rFonts w:ascii="Verdana" w:hAnsi="Verdana" w:cs="Arial"/>
          <w:sz w:val="20"/>
          <w:szCs w:val="20"/>
          <w:lang w:val="es-MX"/>
        </w:rPr>
        <w:t xml:space="preserve"> 2017</w:t>
      </w:r>
      <w:r w:rsidR="00E17F09">
        <w:rPr>
          <w:rFonts w:ascii="Verdana" w:hAnsi="Verdana" w:cs="Arial"/>
          <w:sz w:val="20"/>
          <w:szCs w:val="20"/>
          <w:lang w:val="es-MX"/>
        </w:rPr>
        <w:t xml:space="preserve"> </w:t>
      </w:r>
      <w:r w:rsidR="00CE6352">
        <w:rPr>
          <w:rFonts w:ascii="Verdana" w:hAnsi="Verdana" w:cs="Arial"/>
          <w:sz w:val="20"/>
          <w:szCs w:val="20"/>
          <w:lang w:val="es-MX"/>
        </w:rPr>
        <w:t xml:space="preserve">han sido efectuadas </w:t>
      </w:r>
      <w:r w:rsidR="00E17F09">
        <w:rPr>
          <w:rFonts w:ascii="Verdana" w:hAnsi="Verdana" w:cs="Arial"/>
          <w:sz w:val="20"/>
          <w:szCs w:val="20"/>
          <w:lang w:val="es-MX"/>
        </w:rPr>
        <w:t xml:space="preserve">otras </w:t>
      </w:r>
      <w:r w:rsidR="00174BA8" w:rsidRPr="00CE6352">
        <w:rPr>
          <w:rFonts w:ascii="Verdana" w:hAnsi="Verdana" w:cs="Arial"/>
          <w:sz w:val="20"/>
          <w:szCs w:val="20"/>
          <w:lang w:val="es-MX"/>
        </w:rPr>
        <w:t xml:space="preserve">diligencias en </w:t>
      </w:r>
      <w:r w:rsidR="00CE6352">
        <w:rPr>
          <w:rFonts w:ascii="Verdana" w:hAnsi="Verdana" w:cs="Arial"/>
          <w:sz w:val="20"/>
          <w:szCs w:val="20"/>
          <w:lang w:val="es-MX"/>
        </w:rPr>
        <w:t>esta</w:t>
      </w:r>
      <w:r w:rsidR="00174BA8" w:rsidRPr="00CE6352">
        <w:rPr>
          <w:rFonts w:ascii="Verdana" w:hAnsi="Verdana" w:cs="Arial"/>
          <w:sz w:val="20"/>
          <w:szCs w:val="20"/>
          <w:lang w:val="es-MX"/>
        </w:rPr>
        <w:t xml:space="preserve"> investigación penal, a fin de identificar a otros posibles responsables del desplazamiento forzado de la señora Rúa y sus familiares.</w:t>
      </w:r>
      <w:bookmarkEnd w:id="20"/>
    </w:p>
    <w:p w14:paraId="46F64DC9" w14:textId="1A416F2A" w:rsidR="00144E13" w:rsidRPr="00544066" w:rsidRDefault="00CF4DCE" w:rsidP="002670E3">
      <w:pPr>
        <w:pStyle w:val="Prrafodelista"/>
        <w:numPr>
          <w:ilvl w:val="0"/>
          <w:numId w:val="3"/>
        </w:numPr>
        <w:tabs>
          <w:tab w:val="left" w:pos="0"/>
        </w:tabs>
        <w:autoSpaceDE w:val="0"/>
        <w:autoSpaceDN w:val="0"/>
        <w:adjustRightInd w:val="0"/>
        <w:spacing w:before="120" w:after="120" w:line="240" w:lineRule="auto"/>
        <w:ind w:left="0" w:right="96" w:firstLine="0"/>
        <w:jc w:val="both"/>
        <w:rPr>
          <w:rFonts w:ascii="Verdana" w:hAnsi="Verdana" w:cs="Arial"/>
          <w:b/>
          <w:sz w:val="20"/>
          <w:szCs w:val="20"/>
          <w:lang w:val="es-MX"/>
        </w:rPr>
      </w:pPr>
      <w:bookmarkStart w:id="21" w:name="_Ref26787284"/>
      <w:bookmarkEnd w:id="7"/>
      <w:r>
        <w:rPr>
          <w:rFonts w:ascii="Verdana" w:hAnsi="Verdana"/>
          <w:sz w:val="20"/>
          <w:szCs w:val="20"/>
        </w:rPr>
        <w:t>En síntesis</w:t>
      </w:r>
      <w:r w:rsidR="003856EF" w:rsidRPr="003856EF">
        <w:rPr>
          <w:rFonts w:ascii="Verdana" w:hAnsi="Verdana"/>
          <w:sz w:val="20"/>
          <w:szCs w:val="20"/>
        </w:rPr>
        <w:t xml:space="preserve">, el Tribunal concluye que se encuentra pendiente de cumplimiento la medida de reparación </w:t>
      </w:r>
      <w:r>
        <w:rPr>
          <w:rFonts w:ascii="Verdana" w:hAnsi="Verdana"/>
          <w:sz w:val="20"/>
          <w:szCs w:val="20"/>
        </w:rPr>
        <w:t xml:space="preserve">ordenada en el punto resolutivo vigésimo séptimo de la Sentencia, </w:t>
      </w:r>
      <w:r w:rsidR="003856EF" w:rsidRPr="003856EF">
        <w:rPr>
          <w:rFonts w:ascii="Verdana" w:hAnsi="Verdana"/>
          <w:sz w:val="20"/>
          <w:szCs w:val="20"/>
        </w:rPr>
        <w:t>relativa</w:t>
      </w:r>
      <w:r w:rsidR="003856EF">
        <w:rPr>
          <w:rFonts w:ascii="Verdana" w:hAnsi="Verdana"/>
          <w:sz w:val="20"/>
          <w:szCs w:val="20"/>
        </w:rPr>
        <w:t xml:space="preserve"> </w:t>
      </w:r>
      <w:r w:rsidR="006756BE">
        <w:rPr>
          <w:rFonts w:ascii="Verdana" w:hAnsi="Verdana"/>
          <w:sz w:val="20"/>
          <w:szCs w:val="20"/>
        </w:rPr>
        <w:t xml:space="preserve">a </w:t>
      </w:r>
      <w:r w:rsidR="00551215">
        <w:rPr>
          <w:rFonts w:ascii="Verdana" w:hAnsi="Verdana"/>
          <w:sz w:val="20"/>
          <w:szCs w:val="20"/>
        </w:rPr>
        <w:t>“</w:t>
      </w:r>
      <w:r>
        <w:rPr>
          <w:rFonts w:ascii="Verdana" w:hAnsi="Verdana"/>
          <w:sz w:val="20"/>
          <w:szCs w:val="20"/>
        </w:rPr>
        <w:t>adoptar</w:t>
      </w:r>
      <w:r w:rsidR="0032034F">
        <w:rPr>
          <w:rFonts w:ascii="Verdana" w:hAnsi="Verdana"/>
          <w:sz w:val="20"/>
          <w:szCs w:val="20"/>
        </w:rPr>
        <w:t xml:space="preserve"> […]</w:t>
      </w:r>
      <w:r>
        <w:rPr>
          <w:rFonts w:ascii="Verdana" w:hAnsi="Verdana"/>
          <w:sz w:val="20"/>
          <w:szCs w:val="20"/>
        </w:rPr>
        <w:t xml:space="preserve"> </w:t>
      </w:r>
      <w:r w:rsidRPr="00F610D5">
        <w:rPr>
          <w:rFonts w:ascii="Verdana" w:hAnsi="Verdana"/>
          <w:sz w:val="20"/>
          <w:szCs w:val="20"/>
        </w:rPr>
        <w:t>las medidas necesarias para continuar la investigación a fin de individualizar, juzgar y, en su caso, sancionar a los responsables</w:t>
      </w:r>
      <w:r>
        <w:rPr>
          <w:rFonts w:ascii="Verdana" w:hAnsi="Verdana"/>
          <w:sz w:val="20"/>
          <w:szCs w:val="20"/>
        </w:rPr>
        <w:t xml:space="preserve"> </w:t>
      </w:r>
      <w:r>
        <w:rPr>
          <w:rFonts w:ascii="Verdana" w:hAnsi="Verdana"/>
          <w:sz w:val="20"/>
          <w:szCs w:val="20"/>
        </w:rPr>
        <w:lastRenderedPageBreak/>
        <w:t>por el desplazamiento forzado de la señora Myriam Eugenia Rúa Figueroa y sus familiares</w:t>
      </w:r>
      <w:r w:rsidRPr="00F610D5">
        <w:rPr>
          <w:rFonts w:ascii="Verdana" w:hAnsi="Verdana"/>
          <w:sz w:val="20"/>
          <w:szCs w:val="20"/>
        </w:rPr>
        <w:t>”.</w:t>
      </w:r>
      <w:r w:rsidR="006756BE">
        <w:rPr>
          <w:rFonts w:ascii="Verdana" w:hAnsi="Verdana"/>
          <w:sz w:val="20"/>
          <w:szCs w:val="20"/>
        </w:rPr>
        <w:t xml:space="preserve"> </w:t>
      </w:r>
      <w:r>
        <w:rPr>
          <w:rFonts w:ascii="Verdana" w:hAnsi="Verdana"/>
          <w:sz w:val="20"/>
          <w:szCs w:val="20"/>
        </w:rPr>
        <w:t xml:space="preserve">Para valorar </w:t>
      </w:r>
      <w:r w:rsidR="00551215">
        <w:rPr>
          <w:rFonts w:ascii="Verdana" w:hAnsi="Verdana"/>
          <w:sz w:val="20"/>
          <w:szCs w:val="20"/>
        </w:rPr>
        <w:t>su</w:t>
      </w:r>
      <w:r>
        <w:rPr>
          <w:rFonts w:ascii="Verdana" w:hAnsi="Verdana"/>
          <w:sz w:val="20"/>
          <w:szCs w:val="20"/>
        </w:rPr>
        <w:t xml:space="preserve"> cumplimiento</w:t>
      </w:r>
      <w:r w:rsidR="006756BE">
        <w:rPr>
          <w:rFonts w:ascii="Verdana" w:hAnsi="Verdana"/>
          <w:sz w:val="20"/>
          <w:szCs w:val="20"/>
        </w:rPr>
        <w:t xml:space="preserve">, se requiere </w:t>
      </w:r>
      <w:r>
        <w:rPr>
          <w:rFonts w:ascii="Verdana" w:hAnsi="Verdana"/>
          <w:sz w:val="20"/>
          <w:szCs w:val="20"/>
        </w:rPr>
        <w:t xml:space="preserve">a </w:t>
      </w:r>
      <w:r w:rsidR="006756BE">
        <w:rPr>
          <w:rFonts w:ascii="Verdana" w:hAnsi="Verdana"/>
          <w:sz w:val="20"/>
          <w:szCs w:val="20"/>
        </w:rPr>
        <w:t>Colombia</w:t>
      </w:r>
      <w:r>
        <w:rPr>
          <w:rFonts w:ascii="Verdana" w:hAnsi="Verdana"/>
          <w:sz w:val="20"/>
          <w:szCs w:val="20"/>
        </w:rPr>
        <w:t xml:space="preserve"> que, en el plazo otorgado en el punto resolutivo </w:t>
      </w:r>
      <w:r w:rsidR="0032034F">
        <w:rPr>
          <w:rFonts w:ascii="Verdana" w:hAnsi="Verdana"/>
          <w:sz w:val="20"/>
          <w:szCs w:val="20"/>
        </w:rPr>
        <w:fldChar w:fldCharType="begin"/>
      </w:r>
      <w:r w:rsidR="0032034F">
        <w:rPr>
          <w:rFonts w:ascii="Verdana" w:hAnsi="Verdana"/>
          <w:sz w:val="20"/>
          <w:szCs w:val="20"/>
        </w:rPr>
        <w:instrText xml:space="preserve"> REF _Ref26785784 \r \h </w:instrText>
      </w:r>
      <w:r w:rsidR="0032034F">
        <w:rPr>
          <w:rFonts w:ascii="Verdana" w:hAnsi="Verdana"/>
          <w:sz w:val="20"/>
          <w:szCs w:val="20"/>
        </w:rPr>
      </w:r>
      <w:r w:rsidR="0032034F">
        <w:rPr>
          <w:rFonts w:ascii="Verdana" w:hAnsi="Verdana"/>
          <w:sz w:val="20"/>
          <w:szCs w:val="20"/>
        </w:rPr>
        <w:fldChar w:fldCharType="separate"/>
      </w:r>
      <w:r w:rsidR="00630FCA">
        <w:rPr>
          <w:rFonts w:ascii="Verdana" w:hAnsi="Verdana"/>
          <w:sz w:val="20"/>
          <w:szCs w:val="20"/>
        </w:rPr>
        <w:t>5</w:t>
      </w:r>
      <w:r w:rsidR="0032034F">
        <w:rPr>
          <w:rFonts w:ascii="Verdana" w:hAnsi="Verdana"/>
          <w:sz w:val="20"/>
          <w:szCs w:val="20"/>
        </w:rPr>
        <w:fldChar w:fldCharType="end"/>
      </w:r>
      <w:r>
        <w:rPr>
          <w:rFonts w:ascii="Verdana" w:hAnsi="Verdana"/>
          <w:sz w:val="20"/>
          <w:szCs w:val="20"/>
        </w:rPr>
        <w:t xml:space="preserve"> de esta Resolución,</w:t>
      </w:r>
      <w:r w:rsidR="006756BE">
        <w:rPr>
          <w:rFonts w:ascii="Verdana" w:hAnsi="Verdana"/>
          <w:sz w:val="20"/>
          <w:szCs w:val="20"/>
        </w:rPr>
        <w:t xml:space="preserve"> presente </w:t>
      </w:r>
      <w:r>
        <w:rPr>
          <w:rFonts w:ascii="Verdana" w:hAnsi="Verdana"/>
          <w:sz w:val="20"/>
          <w:szCs w:val="20"/>
        </w:rPr>
        <w:t xml:space="preserve">la </w:t>
      </w:r>
      <w:r w:rsidR="006756BE">
        <w:rPr>
          <w:rFonts w:ascii="Verdana" w:hAnsi="Verdana"/>
          <w:sz w:val="20"/>
          <w:szCs w:val="20"/>
        </w:rPr>
        <w:t xml:space="preserve">información </w:t>
      </w:r>
      <w:r>
        <w:rPr>
          <w:rFonts w:ascii="Verdana" w:hAnsi="Verdana"/>
          <w:sz w:val="20"/>
          <w:szCs w:val="20"/>
        </w:rPr>
        <w:t>requerida en los Considerandos</w:t>
      </w:r>
      <w:r w:rsidR="00E17F09">
        <w:rPr>
          <w:rFonts w:ascii="Verdana" w:hAnsi="Verdana"/>
          <w:sz w:val="20"/>
          <w:szCs w:val="20"/>
        </w:rPr>
        <w:t xml:space="preserve"> 13,</w:t>
      </w:r>
      <w:r>
        <w:rPr>
          <w:rFonts w:ascii="Verdana" w:hAnsi="Verdana"/>
          <w:sz w:val="20"/>
          <w:szCs w:val="20"/>
        </w:rPr>
        <w:t xml:space="preserve"> </w:t>
      </w:r>
      <w:r w:rsidR="0032034F">
        <w:rPr>
          <w:rFonts w:ascii="Verdana" w:hAnsi="Verdana"/>
          <w:sz w:val="20"/>
          <w:szCs w:val="20"/>
        </w:rPr>
        <w:fldChar w:fldCharType="begin"/>
      </w:r>
      <w:r w:rsidR="0032034F">
        <w:rPr>
          <w:rFonts w:ascii="Verdana" w:hAnsi="Verdana"/>
          <w:sz w:val="20"/>
          <w:szCs w:val="20"/>
        </w:rPr>
        <w:instrText xml:space="preserve"> REF _Ref26785811 \r \h </w:instrText>
      </w:r>
      <w:r w:rsidR="0032034F">
        <w:rPr>
          <w:rFonts w:ascii="Verdana" w:hAnsi="Verdana"/>
          <w:sz w:val="20"/>
          <w:szCs w:val="20"/>
        </w:rPr>
      </w:r>
      <w:r w:rsidR="0032034F">
        <w:rPr>
          <w:rFonts w:ascii="Verdana" w:hAnsi="Verdana"/>
          <w:sz w:val="20"/>
          <w:szCs w:val="20"/>
        </w:rPr>
        <w:fldChar w:fldCharType="separate"/>
      </w:r>
      <w:r w:rsidR="00630FCA">
        <w:rPr>
          <w:rFonts w:ascii="Verdana" w:hAnsi="Verdana"/>
          <w:sz w:val="20"/>
          <w:szCs w:val="20"/>
        </w:rPr>
        <w:t>16</w:t>
      </w:r>
      <w:r w:rsidR="0032034F">
        <w:rPr>
          <w:rFonts w:ascii="Verdana" w:hAnsi="Verdana"/>
          <w:sz w:val="20"/>
          <w:szCs w:val="20"/>
        </w:rPr>
        <w:fldChar w:fldCharType="end"/>
      </w:r>
      <w:r w:rsidR="0032034F">
        <w:rPr>
          <w:rFonts w:ascii="Verdana" w:hAnsi="Verdana"/>
          <w:sz w:val="20"/>
          <w:szCs w:val="20"/>
        </w:rPr>
        <w:t xml:space="preserve"> y </w:t>
      </w:r>
      <w:r w:rsidR="0032034F">
        <w:rPr>
          <w:rFonts w:ascii="Verdana" w:hAnsi="Verdana"/>
          <w:sz w:val="20"/>
          <w:szCs w:val="20"/>
        </w:rPr>
        <w:fldChar w:fldCharType="begin"/>
      </w:r>
      <w:r w:rsidR="0032034F">
        <w:rPr>
          <w:rFonts w:ascii="Verdana" w:hAnsi="Verdana"/>
          <w:sz w:val="20"/>
          <w:szCs w:val="20"/>
        </w:rPr>
        <w:instrText xml:space="preserve"> REF _Ref26785812 \r \h </w:instrText>
      </w:r>
      <w:r w:rsidR="0032034F">
        <w:rPr>
          <w:rFonts w:ascii="Verdana" w:hAnsi="Verdana"/>
          <w:sz w:val="20"/>
          <w:szCs w:val="20"/>
        </w:rPr>
      </w:r>
      <w:r w:rsidR="0032034F">
        <w:rPr>
          <w:rFonts w:ascii="Verdana" w:hAnsi="Verdana"/>
          <w:sz w:val="20"/>
          <w:szCs w:val="20"/>
        </w:rPr>
        <w:fldChar w:fldCharType="separate"/>
      </w:r>
      <w:r w:rsidR="00630FCA">
        <w:rPr>
          <w:rFonts w:ascii="Verdana" w:hAnsi="Verdana"/>
          <w:sz w:val="20"/>
          <w:szCs w:val="20"/>
        </w:rPr>
        <w:t>17</w:t>
      </w:r>
      <w:r w:rsidR="0032034F">
        <w:rPr>
          <w:rFonts w:ascii="Verdana" w:hAnsi="Verdana"/>
          <w:sz w:val="20"/>
          <w:szCs w:val="20"/>
        </w:rPr>
        <w:fldChar w:fldCharType="end"/>
      </w:r>
      <w:r w:rsidR="006E3A86">
        <w:rPr>
          <w:rFonts w:ascii="Verdana" w:hAnsi="Verdana"/>
          <w:sz w:val="20"/>
          <w:szCs w:val="20"/>
        </w:rPr>
        <w:t>.</w:t>
      </w:r>
      <w:bookmarkEnd w:id="21"/>
      <w:r w:rsidR="006E3A86">
        <w:rPr>
          <w:rFonts w:ascii="Verdana" w:hAnsi="Verdana"/>
          <w:sz w:val="20"/>
          <w:szCs w:val="20"/>
        </w:rPr>
        <w:t xml:space="preserve"> </w:t>
      </w:r>
    </w:p>
    <w:p w14:paraId="7212EEB5" w14:textId="77777777" w:rsidR="00544066" w:rsidRPr="00544066" w:rsidRDefault="00544066" w:rsidP="002670E3">
      <w:pPr>
        <w:pStyle w:val="Prrafodelista"/>
        <w:spacing w:before="120" w:after="120" w:line="240" w:lineRule="auto"/>
        <w:rPr>
          <w:rFonts w:ascii="Verdana" w:hAnsi="Verdana" w:cs="Arial"/>
          <w:b/>
          <w:sz w:val="20"/>
          <w:szCs w:val="20"/>
          <w:lang w:val="es-MX"/>
        </w:rPr>
      </w:pPr>
    </w:p>
    <w:p w14:paraId="5B5C9C06" w14:textId="77777777" w:rsidR="00544066" w:rsidRPr="001159CE" w:rsidRDefault="00544066" w:rsidP="002670E3">
      <w:pPr>
        <w:pStyle w:val="Ttulo2"/>
        <w:numPr>
          <w:ilvl w:val="0"/>
          <w:numId w:val="30"/>
        </w:numPr>
        <w:spacing w:before="120" w:after="120" w:line="240" w:lineRule="auto"/>
        <w:jc w:val="both"/>
        <w:rPr>
          <w:rFonts w:ascii="Verdana" w:hAnsi="Verdana"/>
          <w:b/>
          <w:i/>
          <w:color w:val="auto"/>
          <w:sz w:val="20"/>
          <w:szCs w:val="20"/>
        </w:rPr>
      </w:pPr>
      <w:bookmarkStart w:id="22" w:name="_Toc23769101"/>
      <w:r w:rsidRPr="001159CE">
        <w:rPr>
          <w:rFonts w:ascii="Verdana" w:hAnsi="Verdana"/>
          <w:b/>
          <w:i/>
          <w:color w:val="auto"/>
          <w:sz w:val="20"/>
          <w:szCs w:val="20"/>
        </w:rPr>
        <w:t>Brindar tratamiento de salud y psicológico a las víctimas</w:t>
      </w:r>
      <w:bookmarkEnd w:id="22"/>
    </w:p>
    <w:p w14:paraId="0ADA7F34" w14:textId="77777777" w:rsidR="00544066" w:rsidRDefault="00544066" w:rsidP="002670E3">
      <w:pPr>
        <w:spacing w:before="120" w:after="120" w:line="240" w:lineRule="auto"/>
        <w:ind w:left="720"/>
        <w:jc w:val="both"/>
        <w:rPr>
          <w:rFonts w:ascii="Verdana" w:hAnsi="Verdana"/>
          <w:i/>
          <w:sz w:val="20"/>
          <w:szCs w:val="20"/>
        </w:rPr>
      </w:pPr>
      <w:r>
        <w:rPr>
          <w:rFonts w:ascii="Verdana" w:hAnsi="Verdana"/>
          <w:i/>
          <w:sz w:val="20"/>
          <w:szCs w:val="20"/>
        </w:rPr>
        <w:t>B</w:t>
      </w:r>
      <w:r w:rsidRPr="00CA38EE">
        <w:rPr>
          <w:rFonts w:ascii="Verdana" w:hAnsi="Verdana"/>
          <w:i/>
          <w:sz w:val="20"/>
          <w:szCs w:val="20"/>
        </w:rPr>
        <w:t>.1. Medida ordenada por la Corte</w:t>
      </w:r>
    </w:p>
    <w:p w14:paraId="7B4EAC61" w14:textId="50F3B437" w:rsidR="008C47C3" w:rsidRDefault="0026017E" w:rsidP="005D7EA2">
      <w:pPr>
        <w:pStyle w:val="Prrafodelista"/>
        <w:numPr>
          <w:ilvl w:val="0"/>
          <w:numId w:val="3"/>
        </w:numPr>
        <w:spacing w:before="120" w:after="120" w:line="240" w:lineRule="auto"/>
        <w:ind w:left="0" w:firstLine="0"/>
        <w:contextualSpacing w:val="0"/>
        <w:jc w:val="both"/>
        <w:rPr>
          <w:rFonts w:ascii="Verdana" w:hAnsi="Verdana"/>
          <w:sz w:val="20"/>
          <w:szCs w:val="20"/>
        </w:rPr>
      </w:pPr>
      <w:bookmarkStart w:id="23" w:name="_Ref26777399"/>
      <w:r w:rsidRPr="0026017E">
        <w:rPr>
          <w:rFonts w:ascii="Verdana" w:hAnsi="Verdana"/>
          <w:sz w:val="20"/>
          <w:szCs w:val="20"/>
        </w:rPr>
        <w:t>En el punto resolutivo</w:t>
      </w:r>
      <w:r>
        <w:rPr>
          <w:rFonts w:ascii="Verdana" w:hAnsi="Verdana"/>
          <w:sz w:val="20"/>
          <w:szCs w:val="20"/>
        </w:rPr>
        <w:t xml:space="preserve"> vigésimo octavo y los párrafos 339 y 340 de la Sentencia, se dispuso que el Estado debe “brindar gratuitamente, sin cargo alguno, el tratamiento de salud y psicológico adecuado y prioritario que requieran las [</w:t>
      </w:r>
      <w:r w:rsidR="00255A85">
        <w:rPr>
          <w:rFonts w:ascii="Verdana" w:hAnsi="Verdana"/>
          <w:sz w:val="20"/>
          <w:szCs w:val="20"/>
        </w:rPr>
        <w:t>dieciséis</w:t>
      </w:r>
      <w:r>
        <w:rPr>
          <w:rFonts w:ascii="Verdana" w:hAnsi="Verdana"/>
          <w:sz w:val="20"/>
          <w:szCs w:val="20"/>
        </w:rPr>
        <w:t>] personas mencionadas en el párrafo [339 de la Sentencia]</w:t>
      </w:r>
      <w:r w:rsidR="00561964">
        <w:rPr>
          <w:rStyle w:val="Refdenotaalpie"/>
          <w:rFonts w:ascii="Verdana" w:hAnsi="Verdana"/>
          <w:sz w:val="20"/>
          <w:szCs w:val="20"/>
        </w:rPr>
        <w:footnoteReference w:id="22"/>
      </w:r>
      <w:r>
        <w:rPr>
          <w:rFonts w:ascii="Verdana" w:hAnsi="Verdana"/>
          <w:sz w:val="20"/>
          <w:szCs w:val="20"/>
        </w:rPr>
        <w:t xml:space="preserve">, previa manifestación de voluntad, la que debe ser dada dentro del plazo de seis meses contado a partir de la notificación de </w:t>
      </w:r>
      <w:r w:rsidR="00D752DE">
        <w:rPr>
          <w:rFonts w:ascii="Verdana" w:hAnsi="Verdana"/>
          <w:sz w:val="20"/>
          <w:szCs w:val="20"/>
        </w:rPr>
        <w:t xml:space="preserve">[la] </w:t>
      </w:r>
      <w:r>
        <w:rPr>
          <w:rFonts w:ascii="Verdana" w:hAnsi="Verdana"/>
          <w:sz w:val="20"/>
          <w:szCs w:val="20"/>
        </w:rPr>
        <w:t>Sentencia, y por el tiempo que sea necesario</w:t>
      </w:r>
      <w:r w:rsidR="008C47C3">
        <w:rPr>
          <w:rFonts w:ascii="Verdana" w:hAnsi="Verdana"/>
          <w:sz w:val="20"/>
          <w:szCs w:val="20"/>
        </w:rPr>
        <w:t xml:space="preserve"> para atender las afecciones derivadas de las violaciones declaradas en la […] Sentencia”. Asimismo, la Corte dispuso que “[e]n tanto resulte adecuado a lo ordenado</w:t>
      </w:r>
      <w:r w:rsidR="00D752DE">
        <w:rPr>
          <w:rFonts w:ascii="Verdana" w:hAnsi="Verdana"/>
          <w:sz w:val="20"/>
          <w:szCs w:val="20"/>
        </w:rPr>
        <w:t>,</w:t>
      </w:r>
      <w:r w:rsidR="008C47C3">
        <w:rPr>
          <w:rFonts w:ascii="Verdana" w:hAnsi="Verdana"/>
          <w:sz w:val="20"/>
          <w:szCs w:val="20"/>
        </w:rPr>
        <w:t xml:space="preserve"> el Estado podrá otorgar dicho tratamiento a través de los servicios nacionales de salud, inclusive por medio del [</w:t>
      </w:r>
      <w:r w:rsidR="00D752DE">
        <w:rPr>
          <w:rFonts w:ascii="Verdana" w:hAnsi="Verdana"/>
          <w:sz w:val="20"/>
          <w:szCs w:val="20"/>
        </w:rPr>
        <w:t>P</w:t>
      </w:r>
      <w:r w:rsidR="008C47C3">
        <w:rPr>
          <w:rFonts w:ascii="Verdana" w:hAnsi="Verdana"/>
          <w:sz w:val="20"/>
          <w:szCs w:val="20"/>
        </w:rPr>
        <w:t xml:space="preserve">rograma de </w:t>
      </w:r>
      <w:r w:rsidR="00D752DE">
        <w:rPr>
          <w:rFonts w:ascii="Verdana" w:hAnsi="Verdana"/>
          <w:sz w:val="20"/>
          <w:szCs w:val="20"/>
        </w:rPr>
        <w:t>A</w:t>
      </w:r>
      <w:r w:rsidR="008C47C3">
        <w:rPr>
          <w:rFonts w:ascii="Verdana" w:hAnsi="Verdana"/>
          <w:sz w:val="20"/>
          <w:szCs w:val="20"/>
        </w:rPr>
        <w:t xml:space="preserve">tención </w:t>
      </w:r>
      <w:r w:rsidR="00D752DE">
        <w:rPr>
          <w:rFonts w:ascii="Verdana" w:hAnsi="Verdana"/>
          <w:sz w:val="20"/>
          <w:szCs w:val="20"/>
        </w:rPr>
        <w:t>P</w:t>
      </w:r>
      <w:r w:rsidR="008C47C3">
        <w:rPr>
          <w:rFonts w:ascii="Verdana" w:hAnsi="Verdana"/>
          <w:sz w:val="20"/>
          <w:szCs w:val="20"/>
        </w:rPr>
        <w:t xml:space="preserve">sicosocial y </w:t>
      </w:r>
      <w:r w:rsidR="00D752DE">
        <w:rPr>
          <w:rFonts w:ascii="Verdana" w:hAnsi="Verdana"/>
          <w:sz w:val="20"/>
          <w:szCs w:val="20"/>
        </w:rPr>
        <w:t>S</w:t>
      </w:r>
      <w:r w:rsidR="008C47C3">
        <w:rPr>
          <w:rFonts w:ascii="Verdana" w:hAnsi="Verdana"/>
          <w:sz w:val="20"/>
          <w:szCs w:val="20"/>
        </w:rPr>
        <w:t xml:space="preserve">alud </w:t>
      </w:r>
      <w:r w:rsidR="00D752DE">
        <w:rPr>
          <w:rFonts w:ascii="Verdana" w:hAnsi="Verdana"/>
          <w:sz w:val="20"/>
          <w:szCs w:val="20"/>
        </w:rPr>
        <w:t>I</w:t>
      </w:r>
      <w:r w:rsidR="008C47C3">
        <w:rPr>
          <w:rFonts w:ascii="Verdana" w:hAnsi="Verdana"/>
          <w:sz w:val="20"/>
          <w:szCs w:val="20"/>
        </w:rPr>
        <w:t>ntegral a Víctimas] PAPSIVI”. Además, se estableció que “[l]as víctimas indicadas deberán tener acceso inmediato y prioritario a las prestaciones de salud, independientemente de los plazos que la legislación interna haya contemplado para ello, evitando obstáculos de cualquier índole”.</w:t>
      </w:r>
      <w:bookmarkEnd w:id="23"/>
      <w:r w:rsidR="008C47C3">
        <w:rPr>
          <w:rFonts w:ascii="Verdana" w:hAnsi="Verdana"/>
          <w:sz w:val="20"/>
          <w:szCs w:val="20"/>
        </w:rPr>
        <w:t xml:space="preserve"> </w:t>
      </w:r>
    </w:p>
    <w:p w14:paraId="50090526" w14:textId="77777777" w:rsidR="00A85AA9" w:rsidRPr="005D7EA2" w:rsidRDefault="00A85AA9" w:rsidP="00A85AA9">
      <w:pPr>
        <w:pStyle w:val="Prrafodelista"/>
        <w:spacing w:before="120" w:after="120" w:line="240" w:lineRule="auto"/>
        <w:ind w:left="0"/>
        <w:contextualSpacing w:val="0"/>
        <w:jc w:val="both"/>
        <w:rPr>
          <w:rFonts w:ascii="Verdana" w:hAnsi="Verdana"/>
          <w:sz w:val="20"/>
          <w:szCs w:val="20"/>
        </w:rPr>
      </w:pPr>
    </w:p>
    <w:p w14:paraId="1437F1D0" w14:textId="77777777" w:rsidR="008C47C3" w:rsidRDefault="008C47C3" w:rsidP="002514E8">
      <w:pPr>
        <w:spacing w:before="120" w:after="120" w:line="240" w:lineRule="auto"/>
        <w:ind w:left="720"/>
        <w:jc w:val="both"/>
        <w:rPr>
          <w:rFonts w:ascii="Verdana" w:hAnsi="Verdana"/>
          <w:i/>
          <w:sz w:val="20"/>
          <w:szCs w:val="20"/>
        </w:rPr>
      </w:pPr>
      <w:r>
        <w:rPr>
          <w:rFonts w:ascii="Verdana" w:hAnsi="Verdana"/>
          <w:i/>
          <w:sz w:val="20"/>
          <w:szCs w:val="20"/>
        </w:rPr>
        <w:t>B</w:t>
      </w:r>
      <w:r w:rsidRPr="00CA38EE">
        <w:rPr>
          <w:rFonts w:ascii="Verdana" w:hAnsi="Verdana"/>
          <w:i/>
          <w:sz w:val="20"/>
          <w:szCs w:val="20"/>
        </w:rPr>
        <w:t>.</w:t>
      </w:r>
      <w:r>
        <w:rPr>
          <w:rFonts w:ascii="Verdana" w:hAnsi="Verdana"/>
          <w:i/>
          <w:sz w:val="20"/>
          <w:szCs w:val="20"/>
        </w:rPr>
        <w:t>2</w:t>
      </w:r>
      <w:r w:rsidRPr="00CA38EE">
        <w:rPr>
          <w:rFonts w:ascii="Verdana" w:hAnsi="Verdana"/>
          <w:i/>
          <w:sz w:val="20"/>
          <w:szCs w:val="20"/>
        </w:rPr>
        <w:t xml:space="preserve">. </w:t>
      </w:r>
      <w:r>
        <w:rPr>
          <w:rFonts w:ascii="Verdana" w:hAnsi="Verdana"/>
          <w:i/>
          <w:sz w:val="20"/>
          <w:szCs w:val="20"/>
        </w:rPr>
        <w:t>Consideraciones de la</w:t>
      </w:r>
      <w:r w:rsidRPr="00CA38EE">
        <w:rPr>
          <w:rFonts w:ascii="Verdana" w:hAnsi="Verdana"/>
          <w:i/>
          <w:sz w:val="20"/>
          <w:szCs w:val="20"/>
        </w:rPr>
        <w:t xml:space="preserve"> Corte</w:t>
      </w:r>
    </w:p>
    <w:p w14:paraId="414473AE" w14:textId="41640FE2" w:rsidR="008C47C3" w:rsidRDefault="002227E5" w:rsidP="002514E8">
      <w:pPr>
        <w:pStyle w:val="Prrafodelista"/>
        <w:numPr>
          <w:ilvl w:val="0"/>
          <w:numId w:val="3"/>
        </w:numPr>
        <w:spacing w:before="120" w:after="120" w:line="240" w:lineRule="auto"/>
        <w:ind w:left="0" w:firstLine="0"/>
        <w:contextualSpacing w:val="0"/>
        <w:jc w:val="both"/>
        <w:rPr>
          <w:rFonts w:ascii="Verdana" w:hAnsi="Verdana"/>
          <w:sz w:val="20"/>
          <w:szCs w:val="20"/>
        </w:rPr>
      </w:pPr>
      <w:r>
        <w:rPr>
          <w:rFonts w:ascii="Verdana" w:hAnsi="Verdana"/>
          <w:sz w:val="20"/>
          <w:szCs w:val="20"/>
        </w:rPr>
        <w:t xml:space="preserve">En primer lugar, la Corte hace notar que no ha sido informada </w:t>
      </w:r>
      <w:r w:rsidR="0026066D">
        <w:rPr>
          <w:rFonts w:ascii="Verdana" w:hAnsi="Verdana"/>
          <w:sz w:val="20"/>
          <w:szCs w:val="20"/>
        </w:rPr>
        <w:t xml:space="preserve">respecto de </w:t>
      </w:r>
      <w:r w:rsidR="002514E8">
        <w:rPr>
          <w:rFonts w:ascii="Verdana" w:hAnsi="Verdana"/>
          <w:sz w:val="20"/>
          <w:szCs w:val="20"/>
        </w:rPr>
        <w:t>cuáles de las dieciséis víctimas expresaron su voluntad de ser beneficiarias de esta reparación (</w:t>
      </w:r>
      <w:r w:rsidR="002514E8" w:rsidRPr="002514E8">
        <w:rPr>
          <w:rFonts w:ascii="Verdana" w:hAnsi="Verdana"/>
          <w:i/>
          <w:sz w:val="20"/>
          <w:szCs w:val="20"/>
        </w:rPr>
        <w:t>supra</w:t>
      </w:r>
      <w:r w:rsidR="002514E8">
        <w:rPr>
          <w:rFonts w:ascii="Verdana" w:hAnsi="Verdana"/>
          <w:sz w:val="20"/>
          <w:szCs w:val="20"/>
        </w:rPr>
        <w:t xml:space="preserve"> Considerando </w:t>
      </w:r>
      <w:r w:rsidR="00D752DE">
        <w:rPr>
          <w:rFonts w:ascii="Verdana" w:hAnsi="Verdana"/>
          <w:sz w:val="20"/>
          <w:szCs w:val="20"/>
        </w:rPr>
        <w:fldChar w:fldCharType="begin"/>
      </w:r>
      <w:r w:rsidR="00D752DE">
        <w:rPr>
          <w:rFonts w:ascii="Verdana" w:hAnsi="Verdana"/>
          <w:sz w:val="20"/>
          <w:szCs w:val="20"/>
        </w:rPr>
        <w:instrText xml:space="preserve"> REF _Ref26777399 \r \h </w:instrText>
      </w:r>
      <w:r w:rsidR="00D752DE">
        <w:rPr>
          <w:rFonts w:ascii="Verdana" w:hAnsi="Verdana"/>
          <w:sz w:val="20"/>
          <w:szCs w:val="20"/>
        </w:rPr>
      </w:r>
      <w:r w:rsidR="00D752DE">
        <w:rPr>
          <w:rFonts w:ascii="Verdana" w:hAnsi="Verdana"/>
          <w:sz w:val="20"/>
          <w:szCs w:val="20"/>
        </w:rPr>
        <w:fldChar w:fldCharType="separate"/>
      </w:r>
      <w:r w:rsidR="00630FCA">
        <w:rPr>
          <w:rFonts w:ascii="Verdana" w:hAnsi="Verdana"/>
          <w:sz w:val="20"/>
          <w:szCs w:val="20"/>
        </w:rPr>
        <w:t>19</w:t>
      </w:r>
      <w:r w:rsidR="00D752DE">
        <w:rPr>
          <w:rFonts w:ascii="Verdana" w:hAnsi="Verdana"/>
          <w:sz w:val="20"/>
          <w:szCs w:val="20"/>
        </w:rPr>
        <w:fldChar w:fldCharType="end"/>
      </w:r>
      <w:r w:rsidR="002514E8">
        <w:rPr>
          <w:rFonts w:ascii="Verdana" w:hAnsi="Verdana"/>
          <w:sz w:val="20"/>
          <w:szCs w:val="20"/>
        </w:rPr>
        <w:t>)</w:t>
      </w:r>
      <w:r w:rsidR="0027760B">
        <w:rPr>
          <w:rStyle w:val="Refdenotaalpie"/>
          <w:rFonts w:ascii="Verdana" w:hAnsi="Verdana"/>
          <w:sz w:val="20"/>
          <w:szCs w:val="20"/>
        </w:rPr>
        <w:footnoteReference w:id="23"/>
      </w:r>
      <w:r w:rsidR="002514E8">
        <w:rPr>
          <w:rFonts w:ascii="Verdana" w:hAnsi="Verdana"/>
          <w:sz w:val="20"/>
          <w:szCs w:val="20"/>
        </w:rPr>
        <w:t>. Por ello, se requiere al Estado y a las representantes que remitan esta información.</w:t>
      </w:r>
    </w:p>
    <w:p w14:paraId="7A16C01C" w14:textId="0EAA830E" w:rsidR="002514E8" w:rsidRPr="00600FFF" w:rsidRDefault="002514E8" w:rsidP="002514E8">
      <w:pPr>
        <w:pStyle w:val="Prrafodelista"/>
        <w:numPr>
          <w:ilvl w:val="0"/>
          <w:numId w:val="3"/>
        </w:numPr>
        <w:spacing w:before="120" w:after="120" w:line="240" w:lineRule="auto"/>
        <w:ind w:left="0" w:firstLine="0"/>
        <w:contextualSpacing w:val="0"/>
        <w:jc w:val="both"/>
        <w:rPr>
          <w:rFonts w:ascii="Verdana" w:hAnsi="Verdana"/>
          <w:sz w:val="20"/>
          <w:szCs w:val="20"/>
        </w:rPr>
      </w:pPr>
      <w:bookmarkStart w:id="24" w:name="_Ref26799945"/>
      <w:r>
        <w:rPr>
          <w:rFonts w:ascii="Verdana" w:hAnsi="Verdana"/>
          <w:sz w:val="20"/>
          <w:szCs w:val="20"/>
        </w:rPr>
        <w:t xml:space="preserve">En segundo lugar, en cuanto a la forma de brindar esta reparación, el </w:t>
      </w:r>
      <w:r w:rsidRPr="00E17F09">
        <w:rPr>
          <w:rFonts w:ascii="Verdana" w:hAnsi="Verdana"/>
          <w:sz w:val="20"/>
          <w:szCs w:val="20"/>
        </w:rPr>
        <w:t xml:space="preserve">Estado </w:t>
      </w:r>
      <w:r w:rsidR="008A1FE2">
        <w:rPr>
          <w:rFonts w:ascii="Verdana" w:hAnsi="Verdana"/>
          <w:sz w:val="20"/>
          <w:szCs w:val="20"/>
        </w:rPr>
        <w:t xml:space="preserve">informó que </w:t>
      </w:r>
      <w:r w:rsidR="008A1FE2" w:rsidRPr="0064329D">
        <w:rPr>
          <w:rFonts w:ascii="Verdana" w:hAnsi="Verdana"/>
          <w:sz w:val="20"/>
          <w:szCs w:val="20"/>
        </w:rPr>
        <w:t xml:space="preserve">“en el marco del Programa de atención psicosocial y salud integral a víctimas – PAPSIVI, </w:t>
      </w:r>
      <w:r w:rsidR="008A1FE2">
        <w:rPr>
          <w:rFonts w:ascii="Verdana" w:hAnsi="Verdana"/>
          <w:sz w:val="20"/>
          <w:szCs w:val="20"/>
        </w:rPr>
        <w:t xml:space="preserve">[se] </w:t>
      </w:r>
      <w:r w:rsidR="008A1FE2" w:rsidRPr="0064329D">
        <w:rPr>
          <w:rFonts w:ascii="Verdana" w:hAnsi="Verdana"/>
          <w:sz w:val="20"/>
          <w:szCs w:val="20"/>
        </w:rPr>
        <w:t xml:space="preserve">atendería a las </w:t>
      </w:r>
      <w:r w:rsidR="008A1FE2">
        <w:rPr>
          <w:rFonts w:ascii="Verdana" w:hAnsi="Verdana"/>
          <w:sz w:val="20"/>
          <w:szCs w:val="20"/>
        </w:rPr>
        <w:t>[…]</w:t>
      </w:r>
      <w:r w:rsidR="008A1FE2" w:rsidRPr="0064329D">
        <w:rPr>
          <w:rFonts w:ascii="Verdana" w:hAnsi="Verdana"/>
          <w:sz w:val="20"/>
          <w:szCs w:val="20"/>
        </w:rPr>
        <w:t xml:space="preserve"> personas que aparecen relacionadas en el párrafo 339 de la Sentencia</w:t>
      </w:r>
      <w:r w:rsidR="008A1FE2">
        <w:rPr>
          <w:rFonts w:ascii="Verdana" w:hAnsi="Verdana"/>
          <w:sz w:val="20"/>
          <w:szCs w:val="20"/>
        </w:rPr>
        <w:t xml:space="preserve">”. Las </w:t>
      </w:r>
      <w:r w:rsidR="008A1FE2" w:rsidRPr="00E17F09">
        <w:rPr>
          <w:rFonts w:ascii="Verdana" w:hAnsi="Verdana"/>
          <w:sz w:val="20"/>
          <w:szCs w:val="20"/>
        </w:rPr>
        <w:t>representantes</w:t>
      </w:r>
      <w:r w:rsidR="008A1FE2" w:rsidRPr="00A74FC4">
        <w:rPr>
          <w:rFonts w:ascii="Verdana" w:hAnsi="Verdana"/>
          <w:i/>
          <w:sz w:val="20"/>
          <w:szCs w:val="20"/>
        </w:rPr>
        <w:t xml:space="preserve"> </w:t>
      </w:r>
      <w:r w:rsidR="0027760B">
        <w:rPr>
          <w:rFonts w:ascii="Verdana" w:hAnsi="Verdana"/>
          <w:sz w:val="20"/>
          <w:szCs w:val="20"/>
        </w:rPr>
        <w:t xml:space="preserve">expresaron que “ni […] las víctimas y/o sus representantes </w:t>
      </w:r>
      <w:r w:rsidR="008A1FE2">
        <w:rPr>
          <w:rFonts w:ascii="Verdana" w:hAnsi="Verdana"/>
          <w:sz w:val="20"/>
          <w:szCs w:val="20"/>
        </w:rPr>
        <w:t>h</w:t>
      </w:r>
      <w:r w:rsidR="0027760B">
        <w:rPr>
          <w:rFonts w:ascii="Verdana" w:hAnsi="Verdana"/>
          <w:sz w:val="20"/>
          <w:szCs w:val="20"/>
        </w:rPr>
        <w:t>[</w:t>
      </w:r>
      <w:proofErr w:type="spellStart"/>
      <w:r w:rsidR="008A1FE2">
        <w:rPr>
          <w:rFonts w:ascii="Verdana" w:hAnsi="Verdana"/>
          <w:sz w:val="20"/>
          <w:szCs w:val="20"/>
        </w:rPr>
        <w:t>an</w:t>
      </w:r>
      <w:proofErr w:type="spellEnd"/>
      <w:r w:rsidR="0027760B">
        <w:rPr>
          <w:rFonts w:ascii="Verdana" w:hAnsi="Verdana"/>
          <w:sz w:val="20"/>
          <w:szCs w:val="20"/>
        </w:rPr>
        <w:t>] aceptado el PAPSIVI como mecanismo válido para brindar salud integral conforme a la Sentencia de la Corte”</w:t>
      </w:r>
      <w:r w:rsidR="00992DC9">
        <w:rPr>
          <w:rFonts w:ascii="Verdana" w:hAnsi="Verdana"/>
          <w:sz w:val="20"/>
          <w:szCs w:val="20"/>
        </w:rPr>
        <w:t xml:space="preserve">, </w:t>
      </w:r>
      <w:r w:rsidR="00992DC9" w:rsidRPr="00992DC9">
        <w:rPr>
          <w:rFonts w:ascii="Verdana" w:hAnsi="Verdana"/>
          <w:sz w:val="20"/>
          <w:szCs w:val="20"/>
        </w:rPr>
        <w:t>y expusieron en detalle</w:t>
      </w:r>
      <w:r w:rsidR="00992DC9">
        <w:rPr>
          <w:rFonts w:ascii="Verdana" w:hAnsi="Verdana"/>
          <w:b/>
          <w:sz w:val="20"/>
          <w:szCs w:val="20"/>
        </w:rPr>
        <w:t xml:space="preserve"> </w:t>
      </w:r>
      <w:r w:rsidR="008A1FE2">
        <w:rPr>
          <w:rFonts w:ascii="Verdana" w:hAnsi="Verdana"/>
          <w:sz w:val="20"/>
          <w:szCs w:val="20"/>
        </w:rPr>
        <w:t>las razones por las cuales</w:t>
      </w:r>
      <w:r w:rsidR="002C1B4C">
        <w:rPr>
          <w:rFonts w:ascii="Verdana" w:hAnsi="Verdana"/>
          <w:sz w:val="20"/>
          <w:szCs w:val="20"/>
        </w:rPr>
        <w:t xml:space="preserve"> </w:t>
      </w:r>
      <w:r w:rsidR="00BC14E6">
        <w:rPr>
          <w:rFonts w:ascii="Verdana" w:hAnsi="Verdana"/>
          <w:sz w:val="20"/>
          <w:szCs w:val="20"/>
        </w:rPr>
        <w:t xml:space="preserve">consideran que el PAPSIVI tiene “limitaciones” que “condiciona[n] que la implementación cumpla con los requisitos de 1) reparación, 2) gratuidad y sin cargo alguno, </w:t>
      </w:r>
      <w:r w:rsidR="00CC6D4C">
        <w:rPr>
          <w:rFonts w:ascii="Verdana" w:hAnsi="Verdana"/>
          <w:sz w:val="20"/>
          <w:szCs w:val="20"/>
        </w:rPr>
        <w:t>[</w:t>
      </w:r>
      <w:r w:rsidR="00BC14E6">
        <w:rPr>
          <w:rFonts w:ascii="Verdana" w:hAnsi="Verdana"/>
          <w:sz w:val="20"/>
          <w:szCs w:val="20"/>
        </w:rPr>
        <w:t>3</w:t>
      </w:r>
      <w:r w:rsidR="00CC6D4C">
        <w:rPr>
          <w:rFonts w:ascii="Verdana" w:hAnsi="Verdana"/>
          <w:sz w:val="20"/>
          <w:szCs w:val="20"/>
        </w:rPr>
        <w:t>]</w:t>
      </w:r>
      <w:r w:rsidR="00BC14E6">
        <w:rPr>
          <w:rFonts w:ascii="Verdana" w:hAnsi="Verdana"/>
          <w:sz w:val="20"/>
          <w:szCs w:val="20"/>
        </w:rPr>
        <w:t xml:space="preserve">) adecuada a las víctimas y sus condiciones de salud particulares y </w:t>
      </w:r>
      <w:r w:rsidR="00CC6D4C">
        <w:rPr>
          <w:rFonts w:ascii="Verdana" w:hAnsi="Verdana"/>
          <w:sz w:val="20"/>
          <w:szCs w:val="20"/>
        </w:rPr>
        <w:t>[</w:t>
      </w:r>
      <w:r w:rsidR="00BC14E6">
        <w:rPr>
          <w:rFonts w:ascii="Verdana" w:hAnsi="Verdana"/>
          <w:sz w:val="20"/>
          <w:szCs w:val="20"/>
        </w:rPr>
        <w:t>4</w:t>
      </w:r>
      <w:r w:rsidR="00CC6D4C">
        <w:rPr>
          <w:rFonts w:ascii="Verdana" w:hAnsi="Verdana"/>
          <w:sz w:val="20"/>
          <w:szCs w:val="20"/>
        </w:rPr>
        <w:t>]</w:t>
      </w:r>
      <w:r w:rsidR="00BC14E6">
        <w:rPr>
          <w:rFonts w:ascii="Verdana" w:hAnsi="Verdana"/>
          <w:sz w:val="20"/>
          <w:szCs w:val="20"/>
        </w:rPr>
        <w:t>) preferencial y prioritario”</w:t>
      </w:r>
      <w:bookmarkStart w:id="25" w:name="_Ref26799953"/>
      <w:r w:rsidR="002C1B4C">
        <w:rPr>
          <w:rStyle w:val="Refdenotaalpie"/>
          <w:rFonts w:ascii="Verdana" w:hAnsi="Verdana"/>
          <w:sz w:val="20"/>
          <w:szCs w:val="20"/>
        </w:rPr>
        <w:footnoteReference w:id="24"/>
      </w:r>
      <w:bookmarkEnd w:id="25"/>
      <w:r w:rsidR="00BC14E6">
        <w:rPr>
          <w:rFonts w:ascii="Verdana" w:hAnsi="Verdana"/>
          <w:sz w:val="20"/>
          <w:szCs w:val="20"/>
        </w:rPr>
        <w:t xml:space="preserve">. </w:t>
      </w:r>
      <w:r w:rsidR="00A74FC4" w:rsidRPr="0014243F">
        <w:rPr>
          <w:rFonts w:ascii="Verdana" w:hAnsi="Verdana"/>
          <w:sz w:val="20"/>
          <w:szCs w:val="20"/>
        </w:rPr>
        <w:t>Aunado a esto, sostuvieron que “</w:t>
      </w:r>
      <w:r w:rsidR="001C498B" w:rsidRPr="0014243F">
        <w:rPr>
          <w:rFonts w:ascii="Verdana" w:hAnsi="Verdana"/>
          <w:sz w:val="20"/>
          <w:szCs w:val="20"/>
        </w:rPr>
        <w:t>[n]</w:t>
      </w:r>
      <w:proofErr w:type="spellStart"/>
      <w:r w:rsidR="001C498B" w:rsidRPr="0014243F">
        <w:rPr>
          <w:rFonts w:ascii="Verdana" w:hAnsi="Verdana"/>
          <w:sz w:val="20"/>
          <w:szCs w:val="20"/>
        </w:rPr>
        <w:t>inguna</w:t>
      </w:r>
      <w:proofErr w:type="spellEnd"/>
      <w:r w:rsidR="001C498B" w:rsidRPr="0014243F">
        <w:rPr>
          <w:rFonts w:ascii="Verdana" w:hAnsi="Verdana"/>
          <w:sz w:val="20"/>
          <w:szCs w:val="20"/>
        </w:rPr>
        <w:t xml:space="preserve"> víctima en </w:t>
      </w:r>
      <w:r w:rsidR="001C498B" w:rsidRPr="0014243F">
        <w:rPr>
          <w:rFonts w:ascii="Verdana" w:hAnsi="Verdana"/>
          <w:sz w:val="20"/>
          <w:szCs w:val="20"/>
        </w:rPr>
        <w:lastRenderedPageBreak/>
        <w:t xml:space="preserve">Colombia requiere de una orden de la Corte Interamericana para acceder a los ‘servicios’ del PAPSIVI y varias de </w:t>
      </w:r>
      <w:r w:rsidR="004C1128" w:rsidRPr="004C1128">
        <w:rPr>
          <w:rFonts w:ascii="Verdana" w:hAnsi="Verdana"/>
          <w:sz w:val="20"/>
          <w:szCs w:val="20"/>
        </w:rPr>
        <w:t>las</w:t>
      </w:r>
      <w:r w:rsidR="001C498B" w:rsidRPr="0014243F">
        <w:rPr>
          <w:rFonts w:ascii="Verdana" w:hAnsi="Verdana"/>
          <w:sz w:val="20"/>
          <w:szCs w:val="20"/>
        </w:rPr>
        <w:t xml:space="preserve"> víctimas del Caso Yarce intentaron en el pasado acceder a tratamientos sicológicos a través de este Programa, encontrando una enorme frustración debido a que tiene los mismos vicios del Sistema General de Seguridad Social en Salud”. </w:t>
      </w:r>
      <w:r w:rsidR="00A92FF9" w:rsidRPr="00A92FF9">
        <w:rPr>
          <w:rFonts w:ascii="Verdana" w:hAnsi="Verdana"/>
          <w:sz w:val="20"/>
          <w:szCs w:val="20"/>
        </w:rPr>
        <w:t>Colombia respondió a estos argumentos de las representantes</w:t>
      </w:r>
      <w:r w:rsidR="00A92FF9" w:rsidRPr="00A92FF9">
        <w:rPr>
          <w:rStyle w:val="Refdenotaalpie"/>
          <w:rFonts w:ascii="Verdana" w:hAnsi="Verdana"/>
          <w:sz w:val="20"/>
          <w:szCs w:val="20"/>
        </w:rPr>
        <w:footnoteReference w:id="25"/>
      </w:r>
      <w:r w:rsidR="00A92FF9" w:rsidRPr="00A92FF9">
        <w:rPr>
          <w:rFonts w:ascii="Verdana" w:hAnsi="Verdana"/>
          <w:sz w:val="20"/>
          <w:szCs w:val="20"/>
        </w:rPr>
        <w:t xml:space="preserve"> y “</w:t>
      </w:r>
      <w:proofErr w:type="spellStart"/>
      <w:r w:rsidR="00A92FF9" w:rsidRPr="00A92FF9">
        <w:rPr>
          <w:rFonts w:ascii="Verdana" w:hAnsi="Verdana"/>
          <w:sz w:val="20"/>
          <w:szCs w:val="20"/>
        </w:rPr>
        <w:t>reiter</w:t>
      </w:r>
      <w:proofErr w:type="spellEnd"/>
      <w:r w:rsidR="00A92FF9" w:rsidRPr="00A92FF9">
        <w:rPr>
          <w:rFonts w:ascii="Verdana" w:hAnsi="Verdana"/>
          <w:sz w:val="20"/>
          <w:szCs w:val="20"/>
        </w:rPr>
        <w:t>[</w:t>
      </w:r>
      <w:proofErr w:type="spellStart"/>
      <w:r w:rsidR="00A92FF9" w:rsidRPr="00A92FF9">
        <w:rPr>
          <w:rFonts w:ascii="Verdana" w:hAnsi="Verdana"/>
          <w:sz w:val="20"/>
          <w:szCs w:val="20"/>
        </w:rPr>
        <w:t>ó</w:t>
      </w:r>
      <w:proofErr w:type="spellEnd"/>
      <w:r w:rsidR="00A92FF9" w:rsidRPr="00A92FF9">
        <w:rPr>
          <w:rFonts w:ascii="Verdana" w:hAnsi="Verdana"/>
          <w:sz w:val="20"/>
          <w:szCs w:val="20"/>
        </w:rPr>
        <w:t>]</w:t>
      </w:r>
      <w:r w:rsidR="00A92FF9">
        <w:rPr>
          <w:rFonts w:ascii="Verdana" w:hAnsi="Verdana"/>
          <w:sz w:val="20"/>
          <w:szCs w:val="20"/>
        </w:rPr>
        <w:t xml:space="preserve"> el ofrecimiento del PAPSIVI para conducir </w:t>
      </w:r>
      <w:r w:rsidR="0008178B">
        <w:rPr>
          <w:rFonts w:ascii="Verdana" w:hAnsi="Verdana"/>
          <w:sz w:val="20"/>
          <w:szCs w:val="20"/>
        </w:rPr>
        <w:t xml:space="preserve">a </w:t>
      </w:r>
      <w:r w:rsidR="00A92FF9">
        <w:rPr>
          <w:rFonts w:ascii="Verdana" w:hAnsi="Verdana"/>
          <w:sz w:val="20"/>
          <w:szCs w:val="20"/>
        </w:rPr>
        <w:t>la rehabilitación de las […] víctimas […] porque está convencido que, técnica y funcionalmente hablando, se trata de la mejor iniciativa […] que actualmente se cuenta para mitigar y reparar los impactos físicos, mentales y psicosociales que pudieron haberse generado”.</w:t>
      </w:r>
      <w:bookmarkEnd w:id="24"/>
    </w:p>
    <w:p w14:paraId="55D4F392" w14:textId="344D3E3F" w:rsidR="00873478" w:rsidRPr="003C2CBF" w:rsidRDefault="00B25E0E" w:rsidP="00647A80">
      <w:pPr>
        <w:numPr>
          <w:ilvl w:val="0"/>
          <w:numId w:val="3"/>
        </w:numPr>
        <w:spacing w:before="120" w:after="120" w:line="240" w:lineRule="auto"/>
        <w:ind w:left="0" w:firstLine="0"/>
        <w:jc w:val="both"/>
        <w:rPr>
          <w:rFonts w:ascii="Verdana" w:hAnsi="Verdana"/>
          <w:sz w:val="20"/>
          <w:szCs w:val="20"/>
        </w:rPr>
      </w:pPr>
      <w:r w:rsidRPr="00B25E0E">
        <w:rPr>
          <w:rFonts w:ascii="Verdana" w:hAnsi="Verdana"/>
          <w:sz w:val="20"/>
          <w:lang w:val="es-MX"/>
        </w:rPr>
        <w:t>Respecto a lo indicado por las partes, en primer lugar, la Corte recuerda que en</w:t>
      </w:r>
      <w:r>
        <w:rPr>
          <w:rFonts w:ascii="Verdana" w:hAnsi="Verdana"/>
          <w:sz w:val="20"/>
          <w:lang w:val="es-MX"/>
        </w:rPr>
        <w:t xml:space="preserve"> la Sentencia del presente caso, así como en la de</w:t>
      </w:r>
      <w:r w:rsidRPr="00B25E0E">
        <w:rPr>
          <w:rFonts w:ascii="Verdana" w:hAnsi="Verdana"/>
          <w:sz w:val="20"/>
          <w:lang w:val="es-MX"/>
        </w:rPr>
        <w:t xml:space="preserve"> otros casos colombianos</w:t>
      </w:r>
      <w:r w:rsidR="00A60CF5">
        <w:rPr>
          <w:rFonts w:ascii="Verdana" w:hAnsi="Verdana"/>
          <w:sz w:val="20"/>
          <w:lang w:val="es-MX"/>
        </w:rPr>
        <w:t>,</w:t>
      </w:r>
      <w:r w:rsidRPr="00B25E0E">
        <w:rPr>
          <w:rFonts w:ascii="Verdana" w:hAnsi="Verdana"/>
          <w:sz w:val="20"/>
          <w:lang w:val="es-MX"/>
        </w:rPr>
        <w:t xml:space="preserve"> ha considerado que el Programa de Atención Psicosocial y Salud Integral a las Víctimas </w:t>
      </w:r>
      <w:r w:rsidRPr="00B25E0E">
        <w:rPr>
          <w:rFonts w:ascii="Verdana" w:hAnsi="Verdana"/>
          <w:sz w:val="20"/>
          <w:szCs w:val="20"/>
          <w:lang w:val="es-MX"/>
        </w:rPr>
        <w:t>es parte de “</w:t>
      </w:r>
      <w:r w:rsidRPr="00B25E0E">
        <w:rPr>
          <w:rFonts w:ascii="Verdana" w:hAnsi="Verdana"/>
          <w:sz w:val="20"/>
          <w:szCs w:val="20"/>
        </w:rPr>
        <w:t>los logros alcanzados por autoridades del Estado en cuanto al creciente otorgamiento de prestaciones de salud para las víctimas del conflicto armado”</w:t>
      </w:r>
      <w:r w:rsidRPr="00B25E0E">
        <w:rPr>
          <w:rFonts w:ascii="Verdana" w:hAnsi="Verdana"/>
          <w:sz w:val="20"/>
          <w:lang w:val="es-MX"/>
        </w:rPr>
        <w:t xml:space="preserve"> y, por tanto, “[e]n tanto resulte adecuado a lo ordenado, […] el Estado podrá otorgar [las medidas de rehabilitación …], inclusive por medio del [referido Programa]”</w:t>
      </w:r>
      <w:r w:rsidRPr="00262E7B">
        <w:rPr>
          <w:rStyle w:val="Refdenotaalpie"/>
          <w:rFonts w:ascii="Verdana" w:hAnsi="Verdana"/>
          <w:sz w:val="20"/>
          <w:lang w:val="es-MX"/>
        </w:rPr>
        <w:footnoteReference w:id="26"/>
      </w:r>
      <w:r w:rsidRPr="00B25E0E">
        <w:rPr>
          <w:rFonts w:ascii="Verdana" w:hAnsi="Verdana"/>
          <w:sz w:val="20"/>
          <w:lang w:val="es-MX"/>
        </w:rPr>
        <w:t>. En este sentido, el Tribunal considera que dicho Programa está orientado a otorgar una atención diferenciada a las víctimas</w:t>
      </w:r>
      <w:r>
        <w:rPr>
          <w:rFonts w:ascii="Verdana" w:hAnsi="Verdana"/>
          <w:sz w:val="20"/>
          <w:lang w:val="es-MX"/>
        </w:rPr>
        <w:t xml:space="preserve"> del conflicto armado</w:t>
      </w:r>
      <w:r w:rsidRPr="00B25E0E">
        <w:rPr>
          <w:rFonts w:ascii="Verdana" w:hAnsi="Verdana"/>
          <w:sz w:val="20"/>
          <w:lang w:val="es-MX"/>
        </w:rPr>
        <w:t xml:space="preserve"> </w:t>
      </w:r>
      <w:r w:rsidRPr="00B25E0E">
        <w:rPr>
          <w:rFonts w:ascii="Verdana" w:hAnsi="Verdana"/>
          <w:sz w:val="20"/>
          <w:szCs w:val="20"/>
          <w:lang w:val="es-MX"/>
        </w:rPr>
        <w:t>respecto del sistema de salud general</w:t>
      </w:r>
      <w:r w:rsidR="00873478">
        <w:rPr>
          <w:rFonts w:ascii="Verdana" w:hAnsi="Verdana"/>
          <w:sz w:val="20"/>
          <w:lang w:val="es-MX"/>
        </w:rPr>
        <w:t>.</w:t>
      </w:r>
    </w:p>
    <w:p w14:paraId="65911C8D" w14:textId="2BAD17EA" w:rsidR="00873478" w:rsidRPr="00873478" w:rsidRDefault="00B25E0E" w:rsidP="00647A80">
      <w:pPr>
        <w:numPr>
          <w:ilvl w:val="0"/>
          <w:numId w:val="3"/>
        </w:numPr>
        <w:spacing w:before="120" w:after="120" w:line="240" w:lineRule="auto"/>
        <w:ind w:left="0" w:firstLine="0"/>
        <w:jc w:val="both"/>
        <w:rPr>
          <w:rFonts w:ascii="Verdana" w:hAnsi="Verdana"/>
          <w:sz w:val="20"/>
          <w:szCs w:val="20"/>
        </w:rPr>
      </w:pPr>
      <w:r w:rsidRPr="00B25E0E">
        <w:rPr>
          <w:rFonts w:ascii="Verdana" w:hAnsi="Verdana"/>
          <w:sz w:val="20"/>
          <w:lang w:val="es-MX"/>
        </w:rPr>
        <w:t xml:space="preserve">No obstante lo anterior, aun cuando la Corte </w:t>
      </w:r>
      <w:r w:rsidR="00D85E04">
        <w:rPr>
          <w:rFonts w:ascii="Verdana" w:hAnsi="Verdana"/>
          <w:sz w:val="20"/>
          <w:lang w:val="es-MX"/>
        </w:rPr>
        <w:t xml:space="preserve">ha </w:t>
      </w:r>
      <w:r w:rsidRPr="00B25E0E">
        <w:rPr>
          <w:rFonts w:ascii="Verdana" w:hAnsi="Verdana"/>
          <w:sz w:val="20"/>
          <w:lang w:val="es-MX"/>
        </w:rPr>
        <w:t>valora</w:t>
      </w:r>
      <w:r w:rsidR="00D85E04">
        <w:rPr>
          <w:rFonts w:ascii="Verdana" w:hAnsi="Verdana"/>
          <w:sz w:val="20"/>
          <w:lang w:val="es-MX"/>
        </w:rPr>
        <w:t>do</w:t>
      </w:r>
      <w:r w:rsidRPr="00B25E0E">
        <w:rPr>
          <w:rFonts w:ascii="Verdana" w:hAnsi="Verdana"/>
          <w:sz w:val="20"/>
          <w:lang w:val="es-MX"/>
        </w:rPr>
        <w:t xml:space="preserve"> positivamente la existencia del referido Programa y reconoce </w:t>
      </w:r>
      <w:r>
        <w:rPr>
          <w:rFonts w:ascii="Verdana" w:hAnsi="Verdana"/>
          <w:sz w:val="20"/>
          <w:lang w:val="es-MX"/>
        </w:rPr>
        <w:t>el ofrecimiento d</w:t>
      </w:r>
      <w:r w:rsidRPr="00B25E0E">
        <w:rPr>
          <w:rFonts w:ascii="Verdana" w:hAnsi="Verdana"/>
          <w:sz w:val="20"/>
          <w:lang w:val="es-MX"/>
        </w:rPr>
        <w:t>el Estado para dar cumplimiento a la referida medida a través del mismo, también</w:t>
      </w:r>
      <w:r w:rsidR="00873478">
        <w:rPr>
          <w:rFonts w:ascii="Verdana" w:hAnsi="Verdana"/>
          <w:sz w:val="20"/>
          <w:lang w:val="es-MX"/>
        </w:rPr>
        <w:t>,</w:t>
      </w:r>
      <w:r w:rsidRPr="00B25E0E">
        <w:rPr>
          <w:rFonts w:ascii="Verdana" w:hAnsi="Verdana"/>
          <w:sz w:val="20"/>
          <w:lang w:val="es-MX"/>
        </w:rPr>
        <w:t xml:space="preserve"> </w:t>
      </w:r>
      <w:r>
        <w:rPr>
          <w:rFonts w:ascii="Verdana" w:hAnsi="Verdana"/>
          <w:sz w:val="20"/>
          <w:lang w:val="es-MX"/>
        </w:rPr>
        <w:t xml:space="preserve">en la </w:t>
      </w:r>
      <w:r w:rsidR="00D85E04">
        <w:rPr>
          <w:rFonts w:ascii="Verdana" w:hAnsi="Verdana"/>
          <w:sz w:val="20"/>
          <w:lang w:val="es-MX"/>
        </w:rPr>
        <w:t xml:space="preserve">etapa de </w:t>
      </w:r>
      <w:r>
        <w:rPr>
          <w:rFonts w:ascii="Verdana" w:hAnsi="Verdana"/>
          <w:sz w:val="20"/>
          <w:lang w:val="es-MX"/>
        </w:rPr>
        <w:t>supervisión de cumplimiento de otro caso contra Colombia</w:t>
      </w:r>
      <w:r w:rsidR="00873478">
        <w:rPr>
          <w:rFonts w:ascii="Verdana" w:hAnsi="Verdana"/>
          <w:sz w:val="20"/>
          <w:lang w:val="es-MX"/>
        </w:rPr>
        <w:t xml:space="preserve">, el </w:t>
      </w:r>
      <w:r w:rsidR="00D85E04">
        <w:rPr>
          <w:rFonts w:ascii="Verdana" w:hAnsi="Verdana"/>
          <w:i/>
          <w:sz w:val="20"/>
          <w:lang w:val="es-MX"/>
        </w:rPr>
        <w:t>c</w:t>
      </w:r>
      <w:r w:rsidR="00873478" w:rsidRPr="003C2CBF">
        <w:rPr>
          <w:rFonts w:ascii="Verdana" w:hAnsi="Verdana"/>
          <w:i/>
          <w:sz w:val="20"/>
          <w:lang w:val="es-MX"/>
        </w:rPr>
        <w:t>aso Masacre de Santo Domingo</w:t>
      </w:r>
      <w:r w:rsidR="00873478">
        <w:rPr>
          <w:rFonts w:ascii="Verdana" w:hAnsi="Verdana"/>
          <w:sz w:val="20"/>
          <w:lang w:val="es-MX"/>
        </w:rPr>
        <w:t xml:space="preserve">, </w:t>
      </w:r>
      <w:r w:rsidR="00D85E04">
        <w:rPr>
          <w:rFonts w:ascii="Verdana" w:hAnsi="Verdana"/>
          <w:sz w:val="20"/>
          <w:lang w:val="es-MX"/>
        </w:rPr>
        <w:t xml:space="preserve">este Tribunal </w:t>
      </w:r>
      <w:r w:rsidR="00873478">
        <w:rPr>
          <w:rFonts w:ascii="Verdana" w:hAnsi="Verdana"/>
          <w:sz w:val="20"/>
          <w:lang w:val="es-MX"/>
        </w:rPr>
        <w:t>ha tomado nota de las objeciones pre</w:t>
      </w:r>
      <w:r w:rsidR="00D85E04">
        <w:rPr>
          <w:rFonts w:ascii="Verdana" w:hAnsi="Verdana"/>
          <w:sz w:val="20"/>
          <w:lang w:val="es-MX"/>
        </w:rPr>
        <w:t xml:space="preserve">sentadas por los representantes </w:t>
      </w:r>
      <w:r w:rsidR="00873478">
        <w:rPr>
          <w:rFonts w:ascii="Verdana" w:hAnsi="Verdana"/>
          <w:sz w:val="20"/>
          <w:lang w:val="es-MX"/>
        </w:rPr>
        <w:t xml:space="preserve">respecto a que dicho Programa </w:t>
      </w:r>
      <w:r w:rsidRPr="00873478">
        <w:rPr>
          <w:rFonts w:ascii="Verdana" w:hAnsi="Verdana"/>
          <w:sz w:val="20"/>
          <w:lang w:val="es-MX"/>
        </w:rPr>
        <w:t>no pareciera haber logrado que las víctimas reciban una atención médica, psicológica y psicosocial de manera</w:t>
      </w:r>
      <w:r w:rsidRPr="00873478">
        <w:rPr>
          <w:rFonts w:ascii="Verdana" w:hAnsi="Verdana"/>
          <w:sz w:val="20"/>
        </w:rPr>
        <w:t xml:space="preserve"> adecuada y </w:t>
      </w:r>
      <w:r w:rsidR="00873478">
        <w:rPr>
          <w:rFonts w:ascii="Verdana" w:hAnsi="Verdana"/>
          <w:sz w:val="20"/>
        </w:rPr>
        <w:t>efectiva</w:t>
      </w:r>
      <w:bookmarkStart w:id="26" w:name="_Ref26800842"/>
      <w:r w:rsidR="00873478">
        <w:rPr>
          <w:rStyle w:val="Refdenotaalpie"/>
          <w:rFonts w:ascii="Verdana" w:hAnsi="Verdana"/>
          <w:sz w:val="20"/>
        </w:rPr>
        <w:footnoteReference w:id="27"/>
      </w:r>
      <w:bookmarkEnd w:id="26"/>
      <w:r w:rsidR="00873478">
        <w:rPr>
          <w:rFonts w:ascii="Verdana" w:hAnsi="Verdana"/>
          <w:sz w:val="20"/>
        </w:rPr>
        <w:t xml:space="preserve">. Además, </w:t>
      </w:r>
      <w:r w:rsidR="00D85E04">
        <w:rPr>
          <w:rFonts w:ascii="Verdana" w:hAnsi="Verdana"/>
          <w:sz w:val="20"/>
        </w:rPr>
        <w:t>la Corte</w:t>
      </w:r>
      <w:r w:rsidR="00873478">
        <w:rPr>
          <w:rFonts w:ascii="Verdana" w:hAnsi="Verdana"/>
          <w:sz w:val="20"/>
        </w:rPr>
        <w:t xml:space="preserve"> </w:t>
      </w:r>
      <w:r w:rsidR="00873478" w:rsidRPr="00873478">
        <w:rPr>
          <w:rFonts w:ascii="Verdana" w:hAnsi="Verdana"/>
          <w:sz w:val="20"/>
        </w:rPr>
        <w:t>obser</w:t>
      </w:r>
      <w:r w:rsidR="00873478">
        <w:rPr>
          <w:rFonts w:ascii="Verdana" w:hAnsi="Verdana"/>
          <w:sz w:val="20"/>
        </w:rPr>
        <w:t>vó que el Estado no había brindado explicaciones sobre los problemas indicados por los representantes de las víctimas de ese caso</w:t>
      </w:r>
      <w:r w:rsidR="00873478">
        <w:rPr>
          <w:rStyle w:val="Refdenotaalpie"/>
          <w:rFonts w:ascii="Verdana" w:hAnsi="Verdana"/>
          <w:sz w:val="20"/>
        </w:rPr>
        <w:footnoteReference w:id="28"/>
      </w:r>
      <w:r w:rsidR="00873478">
        <w:rPr>
          <w:rFonts w:ascii="Verdana" w:hAnsi="Verdana"/>
          <w:sz w:val="20"/>
        </w:rPr>
        <w:t>, algunos de los cuales coinciden con las limitaciones o problemas señalados por las representantes del presente caso (</w:t>
      </w:r>
      <w:r w:rsidR="00873478" w:rsidRPr="003C2CBF">
        <w:rPr>
          <w:rFonts w:ascii="Verdana" w:hAnsi="Verdana"/>
          <w:i/>
          <w:sz w:val="20"/>
        </w:rPr>
        <w:t xml:space="preserve">supra </w:t>
      </w:r>
      <w:r w:rsidR="00873478">
        <w:rPr>
          <w:rFonts w:ascii="Verdana" w:hAnsi="Verdana"/>
          <w:sz w:val="20"/>
        </w:rPr>
        <w:t xml:space="preserve">Considerando </w:t>
      </w:r>
      <w:r w:rsidR="00A60CF5">
        <w:rPr>
          <w:rFonts w:ascii="Verdana" w:hAnsi="Verdana"/>
          <w:sz w:val="20"/>
        </w:rPr>
        <w:fldChar w:fldCharType="begin"/>
      </w:r>
      <w:r w:rsidR="00A60CF5">
        <w:rPr>
          <w:rFonts w:ascii="Verdana" w:hAnsi="Verdana"/>
          <w:sz w:val="20"/>
        </w:rPr>
        <w:instrText xml:space="preserve"> REF _Ref26799945 \r \h </w:instrText>
      </w:r>
      <w:r w:rsidR="00A60CF5">
        <w:rPr>
          <w:rFonts w:ascii="Verdana" w:hAnsi="Verdana"/>
          <w:sz w:val="20"/>
        </w:rPr>
      </w:r>
      <w:r w:rsidR="00A60CF5">
        <w:rPr>
          <w:rFonts w:ascii="Verdana" w:hAnsi="Verdana"/>
          <w:sz w:val="20"/>
        </w:rPr>
        <w:fldChar w:fldCharType="separate"/>
      </w:r>
      <w:r w:rsidR="00630FCA">
        <w:rPr>
          <w:rFonts w:ascii="Verdana" w:hAnsi="Verdana"/>
          <w:sz w:val="20"/>
        </w:rPr>
        <w:t>21</w:t>
      </w:r>
      <w:r w:rsidR="00A60CF5">
        <w:rPr>
          <w:rFonts w:ascii="Verdana" w:hAnsi="Verdana"/>
          <w:sz w:val="20"/>
        </w:rPr>
        <w:fldChar w:fldCharType="end"/>
      </w:r>
      <w:r w:rsidR="00A60CF5">
        <w:rPr>
          <w:rFonts w:ascii="Verdana" w:hAnsi="Verdana"/>
          <w:sz w:val="20"/>
        </w:rPr>
        <w:t xml:space="preserve"> y nota al pie </w:t>
      </w:r>
      <w:r w:rsidR="00A60CF5">
        <w:rPr>
          <w:rFonts w:ascii="Verdana" w:hAnsi="Verdana"/>
          <w:sz w:val="20"/>
        </w:rPr>
        <w:fldChar w:fldCharType="begin"/>
      </w:r>
      <w:r w:rsidR="00A60CF5">
        <w:rPr>
          <w:rFonts w:ascii="Verdana" w:hAnsi="Verdana"/>
          <w:sz w:val="20"/>
        </w:rPr>
        <w:instrText xml:space="preserve"> NOTEREF _Ref26799953 \h </w:instrText>
      </w:r>
      <w:r w:rsidR="00A60CF5">
        <w:rPr>
          <w:rFonts w:ascii="Verdana" w:hAnsi="Verdana"/>
          <w:sz w:val="20"/>
        </w:rPr>
      </w:r>
      <w:r w:rsidR="00A60CF5">
        <w:rPr>
          <w:rFonts w:ascii="Verdana" w:hAnsi="Verdana"/>
          <w:sz w:val="20"/>
        </w:rPr>
        <w:fldChar w:fldCharType="separate"/>
      </w:r>
      <w:r w:rsidR="00630FCA">
        <w:rPr>
          <w:rFonts w:ascii="Verdana" w:hAnsi="Verdana"/>
          <w:sz w:val="20"/>
        </w:rPr>
        <w:t>24</w:t>
      </w:r>
      <w:r w:rsidR="00A60CF5">
        <w:rPr>
          <w:rFonts w:ascii="Verdana" w:hAnsi="Verdana"/>
          <w:sz w:val="20"/>
        </w:rPr>
        <w:fldChar w:fldCharType="end"/>
      </w:r>
      <w:r w:rsidR="00873478">
        <w:rPr>
          <w:rFonts w:ascii="Verdana" w:hAnsi="Verdana"/>
          <w:sz w:val="20"/>
        </w:rPr>
        <w:t xml:space="preserve">). </w:t>
      </w:r>
    </w:p>
    <w:p w14:paraId="0B013860" w14:textId="51C6DA75" w:rsidR="008B5B41" w:rsidRPr="0049258C" w:rsidRDefault="00647A80" w:rsidP="008B5B41">
      <w:pPr>
        <w:numPr>
          <w:ilvl w:val="0"/>
          <w:numId w:val="3"/>
        </w:numPr>
        <w:spacing w:before="120" w:after="120" w:line="240" w:lineRule="auto"/>
        <w:ind w:left="0" w:firstLine="0"/>
        <w:jc w:val="both"/>
        <w:rPr>
          <w:rFonts w:ascii="Verdana" w:hAnsi="Verdana"/>
          <w:sz w:val="20"/>
          <w:szCs w:val="20"/>
        </w:rPr>
      </w:pPr>
      <w:r>
        <w:rPr>
          <w:rFonts w:ascii="Verdana" w:hAnsi="Verdana"/>
          <w:sz w:val="20"/>
        </w:rPr>
        <w:t>La</w:t>
      </w:r>
      <w:r w:rsidR="00585004">
        <w:rPr>
          <w:rFonts w:ascii="Verdana" w:hAnsi="Verdana"/>
          <w:sz w:val="20"/>
        </w:rPr>
        <w:t xml:space="preserve"> Corte observa que la</w:t>
      </w:r>
      <w:r>
        <w:rPr>
          <w:rFonts w:ascii="Verdana" w:hAnsi="Verdana"/>
          <w:sz w:val="20"/>
        </w:rPr>
        <w:t xml:space="preserve">s quejas o rechazo </w:t>
      </w:r>
      <w:r w:rsidR="003C2CBF">
        <w:rPr>
          <w:rFonts w:ascii="Verdana" w:hAnsi="Verdana"/>
          <w:sz w:val="20"/>
        </w:rPr>
        <w:t>de las víctimas de recibir tratamiento a través del PAPSIVI</w:t>
      </w:r>
      <w:r w:rsidR="002C0A27">
        <w:rPr>
          <w:rFonts w:ascii="Verdana" w:hAnsi="Verdana"/>
          <w:sz w:val="20"/>
        </w:rPr>
        <w:t>,</w:t>
      </w:r>
      <w:r w:rsidR="003C2CBF">
        <w:rPr>
          <w:rFonts w:ascii="Verdana" w:hAnsi="Verdana"/>
          <w:sz w:val="20"/>
        </w:rPr>
        <w:t xml:space="preserve"> no es exclusivo de las víctimas y representantes de los casos </w:t>
      </w:r>
      <w:r w:rsidR="003C2CBF" w:rsidRPr="00647A80">
        <w:rPr>
          <w:rFonts w:ascii="Verdana" w:hAnsi="Verdana"/>
          <w:i/>
          <w:sz w:val="20"/>
        </w:rPr>
        <w:t>Yarce</w:t>
      </w:r>
      <w:r w:rsidRPr="00647A80">
        <w:rPr>
          <w:rFonts w:ascii="Verdana" w:hAnsi="Verdana"/>
          <w:i/>
          <w:sz w:val="20"/>
        </w:rPr>
        <w:t xml:space="preserve"> y otras</w:t>
      </w:r>
      <w:r w:rsidR="003C2CBF">
        <w:rPr>
          <w:rFonts w:ascii="Verdana" w:hAnsi="Verdana"/>
          <w:sz w:val="20"/>
        </w:rPr>
        <w:t xml:space="preserve"> y </w:t>
      </w:r>
      <w:r w:rsidR="003C2CBF" w:rsidRPr="00647A80">
        <w:rPr>
          <w:rFonts w:ascii="Verdana" w:hAnsi="Verdana"/>
          <w:i/>
          <w:sz w:val="20"/>
        </w:rPr>
        <w:t>Masacres de Santo Domingo</w:t>
      </w:r>
      <w:r w:rsidR="00D85E04">
        <w:rPr>
          <w:rFonts w:ascii="Verdana" w:hAnsi="Verdana"/>
          <w:i/>
          <w:sz w:val="20"/>
        </w:rPr>
        <w:t xml:space="preserve"> </w:t>
      </w:r>
      <w:r w:rsidR="00D85E04" w:rsidRPr="00D85E04">
        <w:rPr>
          <w:rFonts w:ascii="Verdana" w:hAnsi="Verdana"/>
          <w:sz w:val="20"/>
        </w:rPr>
        <w:t>(</w:t>
      </w:r>
      <w:r w:rsidR="00D85E04">
        <w:rPr>
          <w:rFonts w:ascii="Verdana" w:hAnsi="Verdana"/>
          <w:i/>
          <w:sz w:val="20"/>
        </w:rPr>
        <w:t xml:space="preserve">supra </w:t>
      </w:r>
      <w:r w:rsidR="00D85E04" w:rsidRPr="00D85E04">
        <w:rPr>
          <w:rFonts w:ascii="Verdana" w:hAnsi="Verdana"/>
          <w:sz w:val="20"/>
        </w:rPr>
        <w:t>Considerandos 21 y 23)</w:t>
      </w:r>
      <w:r w:rsidR="003C2CBF">
        <w:rPr>
          <w:rFonts w:ascii="Verdana" w:hAnsi="Verdana"/>
          <w:sz w:val="20"/>
        </w:rPr>
        <w:t xml:space="preserve">, sino que </w:t>
      </w:r>
      <w:r>
        <w:rPr>
          <w:rFonts w:ascii="Verdana" w:hAnsi="Verdana"/>
          <w:sz w:val="20"/>
        </w:rPr>
        <w:t>pareciera ser común a</w:t>
      </w:r>
      <w:r w:rsidR="003C2CBF">
        <w:rPr>
          <w:rFonts w:ascii="Verdana" w:hAnsi="Verdana"/>
          <w:sz w:val="20"/>
        </w:rPr>
        <w:t xml:space="preserve"> </w:t>
      </w:r>
      <w:r w:rsidR="002C0A27">
        <w:rPr>
          <w:rFonts w:ascii="Verdana" w:hAnsi="Verdana"/>
          <w:sz w:val="20"/>
        </w:rPr>
        <w:t xml:space="preserve">las </w:t>
      </w:r>
      <w:r w:rsidR="003C2CBF">
        <w:rPr>
          <w:rFonts w:ascii="Verdana" w:hAnsi="Verdana"/>
          <w:sz w:val="20"/>
        </w:rPr>
        <w:t xml:space="preserve">víctimas de otros casos. De esto da cuenta el informe elaborado por la Defensoría del Pueblo de Colombia </w:t>
      </w:r>
      <w:r>
        <w:rPr>
          <w:rFonts w:ascii="Verdana" w:hAnsi="Verdana"/>
          <w:sz w:val="20"/>
        </w:rPr>
        <w:t>(</w:t>
      </w:r>
      <w:r w:rsidRPr="00647A80">
        <w:rPr>
          <w:rFonts w:ascii="Verdana" w:hAnsi="Verdana"/>
          <w:i/>
          <w:sz w:val="20"/>
        </w:rPr>
        <w:t>supra</w:t>
      </w:r>
      <w:r>
        <w:rPr>
          <w:rFonts w:ascii="Verdana" w:hAnsi="Verdana"/>
          <w:sz w:val="20"/>
        </w:rPr>
        <w:t xml:space="preserve"> Visto </w:t>
      </w:r>
      <w:r w:rsidR="00A60CF5">
        <w:rPr>
          <w:rFonts w:ascii="Verdana" w:hAnsi="Verdana"/>
          <w:sz w:val="20"/>
        </w:rPr>
        <w:fldChar w:fldCharType="begin"/>
      </w:r>
      <w:r w:rsidR="00A60CF5">
        <w:rPr>
          <w:rFonts w:ascii="Verdana" w:hAnsi="Verdana"/>
          <w:sz w:val="20"/>
        </w:rPr>
        <w:instrText xml:space="preserve"> REF _Ref26778239 \r \h </w:instrText>
      </w:r>
      <w:r w:rsidR="00A60CF5">
        <w:rPr>
          <w:rFonts w:ascii="Verdana" w:hAnsi="Verdana"/>
          <w:sz w:val="20"/>
        </w:rPr>
      </w:r>
      <w:r w:rsidR="00A60CF5">
        <w:rPr>
          <w:rFonts w:ascii="Verdana" w:hAnsi="Verdana"/>
          <w:sz w:val="20"/>
        </w:rPr>
        <w:fldChar w:fldCharType="separate"/>
      </w:r>
      <w:r w:rsidR="00630FCA">
        <w:rPr>
          <w:rFonts w:ascii="Verdana" w:hAnsi="Verdana"/>
          <w:sz w:val="20"/>
        </w:rPr>
        <w:t>6</w:t>
      </w:r>
      <w:r w:rsidR="00A60CF5">
        <w:rPr>
          <w:rFonts w:ascii="Verdana" w:hAnsi="Verdana"/>
          <w:sz w:val="20"/>
        </w:rPr>
        <w:fldChar w:fldCharType="end"/>
      </w:r>
      <w:r>
        <w:rPr>
          <w:rFonts w:ascii="Verdana" w:hAnsi="Verdana"/>
          <w:sz w:val="20"/>
        </w:rPr>
        <w:t>)</w:t>
      </w:r>
      <w:r w:rsidR="00B527FB">
        <w:rPr>
          <w:rFonts w:ascii="Verdana" w:hAnsi="Verdana"/>
          <w:sz w:val="20"/>
        </w:rPr>
        <w:t xml:space="preserve">, en el cual se expone que las víctimas </w:t>
      </w:r>
      <w:r w:rsidR="00D85E04">
        <w:rPr>
          <w:rFonts w:ascii="Verdana" w:hAnsi="Verdana"/>
          <w:sz w:val="20"/>
        </w:rPr>
        <w:t xml:space="preserve">de casos ante la Corte Interamericana </w:t>
      </w:r>
      <w:r w:rsidR="00B527FB">
        <w:rPr>
          <w:rFonts w:ascii="Verdana" w:hAnsi="Verdana"/>
          <w:sz w:val="20"/>
        </w:rPr>
        <w:t xml:space="preserve">y sus representantes consideran que el PAPSIVI no cumple con todos los criterios establecidos por </w:t>
      </w:r>
      <w:r w:rsidR="00D85E04">
        <w:rPr>
          <w:rFonts w:ascii="Verdana" w:hAnsi="Verdana"/>
          <w:sz w:val="20"/>
        </w:rPr>
        <w:t>este Tribunal</w:t>
      </w:r>
      <w:r w:rsidR="00B527FB">
        <w:rPr>
          <w:rFonts w:ascii="Verdana" w:hAnsi="Verdana"/>
          <w:sz w:val="20"/>
        </w:rPr>
        <w:t xml:space="preserve"> para brindar la medida </w:t>
      </w:r>
      <w:r w:rsidR="00B527FB">
        <w:rPr>
          <w:rFonts w:ascii="Verdana" w:hAnsi="Verdana"/>
          <w:sz w:val="20"/>
        </w:rPr>
        <w:lastRenderedPageBreak/>
        <w:t>de reparación de rehabilitación,</w:t>
      </w:r>
      <w:r w:rsidR="00B527FB" w:rsidRPr="00B527FB">
        <w:rPr>
          <w:rStyle w:val="Refdenotaalpie"/>
          <w:rFonts w:ascii="Verdana" w:hAnsi="Verdana"/>
          <w:sz w:val="20"/>
        </w:rPr>
        <w:t xml:space="preserve"> </w:t>
      </w:r>
      <w:r w:rsidR="00B527FB">
        <w:rPr>
          <w:rFonts w:ascii="Verdana" w:hAnsi="Verdana"/>
          <w:sz w:val="20"/>
        </w:rPr>
        <w:t>especialmente con los de continuidad, gratuidad e integralidad, y se formuló al Estado una recomendación de que implemente un “programa especializado” para las víctimas que atienda dichos criterios</w:t>
      </w:r>
      <w:r w:rsidR="00B527FB">
        <w:rPr>
          <w:rStyle w:val="Refdenotaalpie"/>
          <w:rFonts w:ascii="Verdana" w:hAnsi="Verdana"/>
          <w:sz w:val="20"/>
        </w:rPr>
        <w:footnoteReference w:id="29"/>
      </w:r>
      <w:r w:rsidR="00B527FB">
        <w:rPr>
          <w:rFonts w:ascii="Verdana" w:hAnsi="Verdana"/>
          <w:sz w:val="20"/>
        </w:rPr>
        <w:t>.</w:t>
      </w:r>
      <w:r w:rsidR="008B5B41">
        <w:rPr>
          <w:rFonts w:ascii="Verdana" w:hAnsi="Verdana"/>
          <w:b/>
          <w:sz w:val="20"/>
          <w:szCs w:val="20"/>
        </w:rPr>
        <w:t xml:space="preserve"> </w:t>
      </w:r>
    </w:p>
    <w:p w14:paraId="48DC649C" w14:textId="7593FEBE" w:rsidR="003C2CBF" w:rsidRPr="00ED142B" w:rsidRDefault="000A0685" w:rsidP="0049258C">
      <w:pPr>
        <w:numPr>
          <w:ilvl w:val="0"/>
          <w:numId w:val="3"/>
        </w:numPr>
        <w:spacing w:before="120" w:after="120" w:line="240" w:lineRule="auto"/>
        <w:ind w:left="0" w:firstLine="0"/>
        <w:jc w:val="both"/>
        <w:rPr>
          <w:rFonts w:ascii="Verdana" w:hAnsi="Verdana"/>
          <w:sz w:val="20"/>
          <w:szCs w:val="20"/>
        </w:rPr>
      </w:pPr>
      <w:bookmarkStart w:id="27" w:name="_Ref26801366"/>
      <w:r>
        <w:rPr>
          <w:rFonts w:ascii="Verdana" w:hAnsi="Verdana"/>
          <w:sz w:val="20"/>
        </w:rPr>
        <w:t xml:space="preserve">Debido a su rechazo al PAPSIVI, las representantes de las víctimas </w:t>
      </w:r>
      <w:r w:rsidR="008B5B41">
        <w:rPr>
          <w:rFonts w:ascii="Verdana" w:hAnsi="Verdana"/>
          <w:sz w:val="20"/>
        </w:rPr>
        <w:t xml:space="preserve">de este caso </w:t>
      </w:r>
      <w:r>
        <w:rPr>
          <w:rFonts w:ascii="Verdana" w:hAnsi="Verdana"/>
          <w:sz w:val="20"/>
        </w:rPr>
        <w:t xml:space="preserve">plantearon una propuesta al Estado para la implementación de esta medida. </w:t>
      </w:r>
      <w:r w:rsidR="008B5B41">
        <w:rPr>
          <w:rFonts w:ascii="Verdana" w:hAnsi="Verdana"/>
          <w:sz w:val="20"/>
        </w:rPr>
        <w:t xml:space="preserve">Ésta consiste en </w:t>
      </w:r>
      <w:r w:rsidR="0049258C">
        <w:rPr>
          <w:rFonts w:ascii="Verdana" w:hAnsi="Verdana"/>
          <w:sz w:val="20"/>
        </w:rPr>
        <w:t>“que las víctimas de este caso fueran incluidas en el proceso de concertación de la medida e</w:t>
      </w:r>
      <w:r w:rsidR="00BB724B">
        <w:rPr>
          <w:rFonts w:ascii="Verdana" w:hAnsi="Verdana"/>
          <w:sz w:val="20"/>
        </w:rPr>
        <w:t>n</w:t>
      </w:r>
      <w:r w:rsidR="0049258C">
        <w:rPr>
          <w:rFonts w:ascii="Verdana" w:hAnsi="Verdana"/>
          <w:sz w:val="20"/>
        </w:rPr>
        <w:t xml:space="preserve"> salud integral de los ‘9 casos colombianos’ que la Corte supervisa colectivamente, [… y</w:t>
      </w:r>
      <w:r w:rsidR="00BB724B">
        <w:rPr>
          <w:rFonts w:ascii="Verdana" w:hAnsi="Verdana"/>
          <w:sz w:val="20"/>
        </w:rPr>
        <w:t>]</w:t>
      </w:r>
      <w:r w:rsidR="0049258C">
        <w:rPr>
          <w:rFonts w:ascii="Verdana" w:hAnsi="Verdana"/>
          <w:sz w:val="20"/>
        </w:rPr>
        <w:t xml:space="preserve"> del que </w:t>
      </w:r>
      <w:r w:rsidR="00F03051">
        <w:rPr>
          <w:rFonts w:ascii="Verdana" w:hAnsi="Verdana"/>
          <w:sz w:val="20"/>
        </w:rPr>
        <w:t>[las representantes] h[</w:t>
      </w:r>
      <w:proofErr w:type="spellStart"/>
      <w:r w:rsidR="00F03051">
        <w:rPr>
          <w:rFonts w:ascii="Verdana" w:hAnsi="Verdana"/>
          <w:sz w:val="20"/>
        </w:rPr>
        <w:t>an</w:t>
      </w:r>
      <w:proofErr w:type="spellEnd"/>
      <w:r w:rsidR="00F03051">
        <w:rPr>
          <w:rFonts w:ascii="Verdana" w:hAnsi="Verdana"/>
          <w:sz w:val="20"/>
        </w:rPr>
        <w:t>] hecho</w:t>
      </w:r>
      <w:r w:rsidR="0049258C">
        <w:rPr>
          <w:rFonts w:ascii="Verdana" w:hAnsi="Verdana"/>
          <w:sz w:val="20"/>
        </w:rPr>
        <w:t xml:space="preserve"> parte desde el inicio en representación de las víctimas de [los casos] </w:t>
      </w:r>
      <w:r w:rsidR="00BB724B">
        <w:rPr>
          <w:rFonts w:ascii="Verdana" w:hAnsi="Verdana"/>
          <w:sz w:val="20"/>
        </w:rPr>
        <w:t xml:space="preserve">de las </w:t>
      </w:r>
      <w:r w:rsidR="0049258C">
        <w:rPr>
          <w:rFonts w:ascii="Verdana" w:hAnsi="Verdana"/>
          <w:sz w:val="20"/>
        </w:rPr>
        <w:t xml:space="preserve">Masacres de Ituango y […]Valle </w:t>
      </w:r>
      <w:r w:rsidR="00BB724B">
        <w:rPr>
          <w:rFonts w:ascii="Verdana" w:hAnsi="Verdana"/>
          <w:sz w:val="20"/>
        </w:rPr>
        <w:t>[</w:t>
      </w:r>
      <w:r w:rsidR="0049258C">
        <w:rPr>
          <w:rFonts w:ascii="Verdana" w:hAnsi="Verdana"/>
          <w:sz w:val="20"/>
        </w:rPr>
        <w:t>Jaramillo</w:t>
      </w:r>
      <w:r w:rsidR="00BB724B">
        <w:rPr>
          <w:rFonts w:ascii="Verdana" w:hAnsi="Verdana"/>
          <w:sz w:val="20"/>
        </w:rPr>
        <w:t>]</w:t>
      </w:r>
      <w:r w:rsidR="0049258C">
        <w:rPr>
          <w:rFonts w:ascii="Verdana" w:hAnsi="Verdana"/>
          <w:sz w:val="20"/>
        </w:rPr>
        <w:t>”</w:t>
      </w:r>
      <w:r w:rsidR="0049258C" w:rsidRPr="00561964">
        <w:rPr>
          <w:rStyle w:val="Refdenotaalpie"/>
          <w:rFonts w:ascii="Verdana" w:hAnsi="Verdana"/>
          <w:sz w:val="20"/>
        </w:rPr>
        <w:footnoteReference w:id="30"/>
      </w:r>
      <w:r w:rsidR="0049258C">
        <w:rPr>
          <w:rFonts w:ascii="Verdana" w:hAnsi="Verdana"/>
          <w:sz w:val="20"/>
        </w:rPr>
        <w:t>.</w:t>
      </w:r>
      <w:r w:rsidR="0049258C">
        <w:rPr>
          <w:rFonts w:ascii="Verdana" w:hAnsi="Verdana"/>
          <w:sz w:val="20"/>
          <w:szCs w:val="20"/>
        </w:rPr>
        <w:t xml:space="preserve"> </w:t>
      </w:r>
      <w:r w:rsidR="00F03051" w:rsidRPr="00F03051">
        <w:rPr>
          <w:rFonts w:ascii="Verdana" w:hAnsi="Verdana"/>
          <w:sz w:val="20"/>
          <w:szCs w:val="20"/>
        </w:rPr>
        <w:t xml:space="preserve">La </w:t>
      </w:r>
      <w:r w:rsidR="00F03051" w:rsidRPr="00D85E04">
        <w:rPr>
          <w:rFonts w:ascii="Verdana" w:hAnsi="Verdana"/>
          <w:sz w:val="20"/>
          <w:szCs w:val="20"/>
        </w:rPr>
        <w:t>Comisión Interamericana</w:t>
      </w:r>
      <w:r w:rsidR="00F03051" w:rsidRPr="00F03051">
        <w:rPr>
          <w:rFonts w:ascii="Verdana" w:hAnsi="Verdana"/>
          <w:sz w:val="20"/>
          <w:szCs w:val="20"/>
        </w:rPr>
        <w:t xml:space="preserve"> consideró que esta propuesta era “procedente, </w:t>
      </w:r>
      <w:r w:rsidR="00F03051" w:rsidRPr="00F03051">
        <w:rPr>
          <w:rFonts w:ascii="Verdana" w:hAnsi="Verdana" w:cs="Arial"/>
          <w:color w:val="111111"/>
          <w:sz w:val="20"/>
          <w:szCs w:val="20"/>
        </w:rPr>
        <w:t>dado que este caso presenta una situación idéntica a los otros ca</w:t>
      </w:r>
      <w:r w:rsidR="00F03051" w:rsidRPr="00F03051">
        <w:rPr>
          <w:rFonts w:ascii="Verdana" w:hAnsi="Verdana" w:cs="Arial"/>
          <w:color w:val="2A2A2A"/>
          <w:sz w:val="20"/>
          <w:szCs w:val="20"/>
        </w:rPr>
        <w:t>s</w:t>
      </w:r>
      <w:r w:rsidR="00F03051" w:rsidRPr="00F03051">
        <w:rPr>
          <w:rFonts w:ascii="Verdana" w:hAnsi="Verdana" w:cs="Arial"/>
          <w:color w:val="111111"/>
          <w:sz w:val="20"/>
          <w:szCs w:val="20"/>
        </w:rPr>
        <w:t>os en materia de aten</w:t>
      </w:r>
      <w:r w:rsidR="00F03051" w:rsidRPr="00F03051">
        <w:rPr>
          <w:rFonts w:ascii="Verdana" w:hAnsi="Verdana" w:cs="Arial"/>
          <w:color w:val="2A2A2A"/>
          <w:sz w:val="20"/>
          <w:szCs w:val="20"/>
        </w:rPr>
        <w:t>c</w:t>
      </w:r>
      <w:r w:rsidR="00F03051" w:rsidRPr="00F03051">
        <w:rPr>
          <w:rFonts w:ascii="Verdana" w:hAnsi="Verdana" w:cs="Arial"/>
          <w:color w:val="111111"/>
          <w:sz w:val="20"/>
          <w:szCs w:val="20"/>
        </w:rPr>
        <w:t>ión médica y psicológica a víctimas del conflicto armado”.</w:t>
      </w:r>
      <w:r w:rsidR="00F03051">
        <w:rPr>
          <w:rFonts w:ascii="Verdana" w:hAnsi="Verdana" w:cs="Arial"/>
          <w:color w:val="111111"/>
          <w:sz w:val="20"/>
          <w:szCs w:val="20"/>
        </w:rPr>
        <w:t xml:space="preserve"> </w:t>
      </w:r>
      <w:r w:rsidR="008B5B41" w:rsidRPr="0049258C">
        <w:rPr>
          <w:rFonts w:ascii="Verdana" w:hAnsi="Verdana"/>
          <w:sz w:val="20"/>
          <w:lang w:val="es-MX"/>
        </w:rPr>
        <w:t>El Estado conoció de esta propuesta en la reunión de concertación que sostuvo con las representa</w:t>
      </w:r>
      <w:r w:rsidR="0049258C" w:rsidRPr="0049258C">
        <w:rPr>
          <w:rFonts w:ascii="Verdana" w:hAnsi="Verdana"/>
          <w:sz w:val="20"/>
          <w:lang w:val="es-MX"/>
        </w:rPr>
        <w:t>n</w:t>
      </w:r>
      <w:r w:rsidR="00D85E04">
        <w:rPr>
          <w:rFonts w:ascii="Verdana" w:hAnsi="Verdana"/>
          <w:sz w:val="20"/>
          <w:lang w:val="es-MX"/>
        </w:rPr>
        <w:t>tes el 27 de septiembre de 2017</w:t>
      </w:r>
      <w:r w:rsidR="0049258C" w:rsidRPr="0049258C">
        <w:rPr>
          <w:rFonts w:ascii="Verdana" w:hAnsi="Verdana"/>
          <w:sz w:val="20"/>
          <w:lang w:val="es-MX"/>
        </w:rPr>
        <w:t xml:space="preserve"> y</w:t>
      </w:r>
      <w:r w:rsidR="00D85E04">
        <w:rPr>
          <w:rFonts w:ascii="Verdana" w:hAnsi="Verdana"/>
          <w:sz w:val="20"/>
          <w:lang w:val="es-MX"/>
        </w:rPr>
        <w:t>,</w:t>
      </w:r>
      <w:r w:rsidR="0049258C" w:rsidRPr="0049258C">
        <w:rPr>
          <w:rFonts w:ascii="Verdana" w:hAnsi="Verdana"/>
          <w:sz w:val="20"/>
          <w:lang w:val="es-MX"/>
        </w:rPr>
        <w:t xml:space="preserve"> formalmente</w:t>
      </w:r>
      <w:r w:rsidR="00D85E04">
        <w:rPr>
          <w:rFonts w:ascii="Verdana" w:hAnsi="Verdana"/>
          <w:sz w:val="20"/>
          <w:lang w:val="es-MX"/>
        </w:rPr>
        <w:t>,</w:t>
      </w:r>
      <w:r w:rsidR="0049258C" w:rsidRPr="0049258C">
        <w:rPr>
          <w:rFonts w:ascii="Verdana" w:hAnsi="Verdana"/>
          <w:sz w:val="20"/>
          <w:lang w:val="es-MX"/>
        </w:rPr>
        <w:t xml:space="preserve"> mediante </w:t>
      </w:r>
      <w:r w:rsidR="0049258C">
        <w:rPr>
          <w:rFonts w:ascii="Verdana" w:hAnsi="Verdana"/>
          <w:sz w:val="20"/>
          <w:lang w:val="es-MX"/>
        </w:rPr>
        <w:t xml:space="preserve">la </w:t>
      </w:r>
      <w:r w:rsidR="0049258C" w:rsidRPr="0049258C">
        <w:rPr>
          <w:rFonts w:ascii="Verdana" w:hAnsi="Verdana"/>
          <w:sz w:val="20"/>
          <w:lang w:val="es-MX"/>
        </w:rPr>
        <w:t xml:space="preserve">comunicación </w:t>
      </w:r>
      <w:r w:rsidR="0049258C">
        <w:rPr>
          <w:rFonts w:ascii="Verdana" w:hAnsi="Verdana"/>
          <w:sz w:val="20"/>
          <w:lang w:val="es-MX"/>
        </w:rPr>
        <w:t xml:space="preserve">que éstas </w:t>
      </w:r>
      <w:r w:rsidR="00D85E04">
        <w:rPr>
          <w:rFonts w:ascii="Verdana" w:hAnsi="Verdana"/>
          <w:sz w:val="20"/>
          <w:lang w:val="es-MX"/>
        </w:rPr>
        <w:t xml:space="preserve">le </w:t>
      </w:r>
      <w:r w:rsidR="0049258C">
        <w:rPr>
          <w:rFonts w:ascii="Verdana" w:hAnsi="Verdana"/>
          <w:sz w:val="20"/>
          <w:lang w:val="es-MX"/>
        </w:rPr>
        <w:t>remitieron</w:t>
      </w:r>
      <w:r w:rsidR="0049258C" w:rsidRPr="0049258C">
        <w:rPr>
          <w:rFonts w:ascii="Verdana" w:hAnsi="Verdana"/>
          <w:sz w:val="20"/>
          <w:lang w:val="es-MX"/>
        </w:rPr>
        <w:t xml:space="preserve"> el 2 de octubre de ese año.</w:t>
      </w:r>
      <w:r w:rsidR="008B5B41" w:rsidRPr="0049258C">
        <w:rPr>
          <w:rFonts w:ascii="Verdana" w:hAnsi="Verdana"/>
          <w:sz w:val="20"/>
          <w:lang w:val="es-MX"/>
        </w:rPr>
        <w:t xml:space="preserve"> </w:t>
      </w:r>
      <w:r w:rsidR="0049258C" w:rsidRPr="0049258C">
        <w:rPr>
          <w:rFonts w:ascii="Verdana" w:hAnsi="Verdana"/>
          <w:sz w:val="20"/>
          <w:lang w:val="es-MX"/>
        </w:rPr>
        <w:t xml:space="preserve">En </w:t>
      </w:r>
      <w:r w:rsidR="0049258C">
        <w:rPr>
          <w:rFonts w:ascii="Verdana" w:hAnsi="Verdana"/>
          <w:sz w:val="20"/>
          <w:lang w:val="es-MX"/>
        </w:rPr>
        <w:t xml:space="preserve">su informe de diciembre de 2017 Colombia sostuvo que esta propuesta “fue remitida al Ministerio de Salud y </w:t>
      </w:r>
      <w:r w:rsidR="00BB724B">
        <w:rPr>
          <w:rFonts w:ascii="Verdana" w:hAnsi="Verdana"/>
          <w:sz w:val="20"/>
          <w:lang w:val="es-MX"/>
        </w:rPr>
        <w:t>P</w:t>
      </w:r>
      <w:r w:rsidR="0049258C">
        <w:rPr>
          <w:rFonts w:ascii="Verdana" w:hAnsi="Verdana"/>
          <w:sz w:val="20"/>
          <w:lang w:val="es-MX"/>
        </w:rPr>
        <w:t xml:space="preserve">rotección </w:t>
      </w:r>
      <w:r w:rsidR="00BB724B">
        <w:rPr>
          <w:rFonts w:ascii="Verdana" w:hAnsi="Verdana"/>
          <w:sz w:val="20"/>
          <w:lang w:val="es-MX"/>
        </w:rPr>
        <w:t>S</w:t>
      </w:r>
      <w:r w:rsidR="0049258C">
        <w:rPr>
          <w:rFonts w:ascii="Verdana" w:hAnsi="Verdana"/>
          <w:sz w:val="20"/>
          <w:lang w:val="es-MX"/>
        </w:rPr>
        <w:t>ocial</w:t>
      </w:r>
      <w:r w:rsidR="00BB724B">
        <w:rPr>
          <w:rFonts w:ascii="Verdana" w:hAnsi="Verdana"/>
          <w:sz w:val="20"/>
          <w:lang w:val="es-MX"/>
        </w:rPr>
        <w:t>,</w:t>
      </w:r>
      <w:r w:rsidR="0049258C">
        <w:rPr>
          <w:rFonts w:ascii="Verdana" w:hAnsi="Verdana"/>
          <w:sz w:val="20"/>
          <w:lang w:val="es-MX"/>
        </w:rPr>
        <w:t xml:space="preserve"> para su debida consideración”. Sin embargo, no ha remitido información actualizada al respecto.</w:t>
      </w:r>
      <w:bookmarkEnd w:id="27"/>
      <w:r w:rsidR="0049258C">
        <w:rPr>
          <w:rFonts w:ascii="Verdana" w:hAnsi="Verdana"/>
          <w:sz w:val="20"/>
          <w:lang w:val="es-MX"/>
        </w:rPr>
        <w:t xml:space="preserve"> </w:t>
      </w:r>
    </w:p>
    <w:p w14:paraId="4A0C952E" w14:textId="238EB0F3" w:rsidR="00193D08" w:rsidRPr="00193D08" w:rsidRDefault="0049258C" w:rsidP="00193D08">
      <w:pPr>
        <w:pStyle w:val="Prrafodelista"/>
        <w:numPr>
          <w:ilvl w:val="0"/>
          <w:numId w:val="3"/>
        </w:numPr>
        <w:spacing w:before="120" w:after="120" w:line="240" w:lineRule="auto"/>
        <w:ind w:left="0" w:firstLine="0"/>
        <w:contextualSpacing w:val="0"/>
        <w:jc w:val="both"/>
        <w:rPr>
          <w:rFonts w:ascii="Verdana" w:hAnsi="Verdana"/>
          <w:color w:val="00B050"/>
          <w:sz w:val="16"/>
          <w:szCs w:val="16"/>
        </w:rPr>
      </w:pPr>
      <w:r w:rsidRPr="00600FFF">
        <w:rPr>
          <w:rFonts w:ascii="Verdana" w:hAnsi="Verdana"/>
          <w:sz w:val="20"/>
          <w:szCs w:val="20"/>
        </w:rPr>
        <w:t>Tomando en cuenta la “disposición e interés [expresados por el Estado] en avanzar en el proceso de diálogo y concertación necesario para lograr la implementación de esta medida</w:t>
      </w:r>
      <w:r w:rsidR="00BB724B">
        <w:rPr>
          <w:rFonts w:ascii="Verdana" w:hAnsi="Verdana"/>
          <w:sz w:val="20"/>
          <w:szCs w:val="20"/>
        </w:rPr>
        <w:t>”</w:t>
      </w:r>
      <w:r w:rsidRPr="00600FFF">
        <w:rPr>
          <w:rFonts w:ascii="Verdana" w:hAnsi="Verdana"/>
          <w:sz w:val="20"/>
          <w:szCs w:val="20"/>
        </w:rPr>
        <w:t xml:space="preserve">, así como lo afirmado por el Ministerio de Salud y Protección Social respecto a que “no caerá en el reduccionismo de limitarse a defender ante la </w:t>
      </w:r>
      <w:r w:rsidR="00BB724B">
        <w:rPr>
          <w:rFonts w:ascii="Verdana" w:hAnsi="Verdana"/>
          <w:sz w:val="20"/>
          <w:szCs w:val="20"/>
        </w:rPr>
        <w:t>‘</w:t>
      </w:r>
      <w:r w:rsidRPr="00600FFF">
        <w:rPr>
          <w:rFonts w:ascii="Verdana" w:hAnsi="Verdana"/>
          <w:sz w:val="20"/>
          <w:szCs w:val="20"/>
        </w:rPr>
        <w:t>Corte IDH</w:t>
      </w:r>
      <w:r w:rsidR="00BB724B">
        <w:rPr>
          <w:rFonts w:ascii="Verdana" w:hAnsi="Verdana"/>
          <w:sz w:val="20"/>
          <w:szCs w:val="20"/>
        </w:rPr>
        <w:t>’</w:t>
      </w:r>
      <w:r w:rsidRPr="00600FFF">
        <w:rPr>
          <w:rFonts w:ascii="Verdana" w:hAnsi="Verdana"/>
          <w:sz w:val="20"/>
          <w:szCs w:val="20"/>
        </w:rPr>
        <w:t xml:space="preserve"> el impacto que ha tenido el P[APSIVI] como respuesta de política pública, en perjuicio del debate de cómo es que debe ser instruida la rehabilitación de las víctimas del </w:t>
      </w:r>
      <w:r>
        <w:rPr>
          <w:rFonts w:ascii="Verdana" w:hAnsi="Verdana"/>
          <w:sz w:val="20"/>
          <w:szCs w:val="20"/>
        </w:rPr>
        <w:t>C</w:t>
      </w:r>
      <w:r w:rsidRPr="00600FFF">
        <w:rPr>
          <w:rFonts w:ascii="Verdana" w:hAnsi="Verdana"/>
          <w:sz w:val="20"/>
          <w:szCs w:val="20"/>
        </w:rPr>
        <w:t xml:space="preserve">aso Yarce y otras”, </w:t>
      </w:r>
      <w:r w:rsidR="00ED142B" w:rsidRPr="00E2665E">
        <w:rPr>
          <w:rFonts w:ascii="Verdana" w:hAnsi="Verdana"/>
          <w:sz w:val="20"/>
          <w:szCs w:val="20"/>
        </w:rPr>
        <w:t xml:space="preserve">se solicita al Estado que se refiera a </w:t>
      </w:r>
      <w:r w:rsidR="00F03051">
        <w:rPr>
          <w:rFonts w:ascii="Verdana" w:hAnsi="Verdana"/>
          <w:sz w:val="20"/>
          <w:szCs w:val="20"/>
        </w:rPr>
        <w:t xml:space="preserve">posibilidad de acoger </w:t>
      </w:r>
      <w:r w:rsidR="00ED142B" w:rsidRPr="00E2665E">
        <w:rPr>
          <w:rFonts w:ascii="Verdana" w:hAnsi="Verdana"/>
          <w:sz w:val="20"/>
          <w:szCs w:val="20"/>
        </w:rPr>
        <w:t xml:space="preserve">la </w:t>
      </w:r>
      <w:r w:rsidR="00733BCC">
        <w:rPr>
          <w:rFonts w:ascii="Verdana" w:hAnsi="Verdana"/>
          <w:sz w:val="20"/>
          <w:szCs w:val="20"/>
        </w:rPr>
        <w:t xml:space="preserve">referida </w:t>
      </w:r>
      <w:r w:rsidR="00ED142B" w:rsidRPr="00E2665E">
        <w:rPr>
          <w:rFonts w:ascii="Verdana" w:hAnsi="Verdana"/>
          <w:sz w:val="20"/>
          <w:szCs w:val="20"/>
        </w:rPr>
        <w:t xml:space="preserve">propuesta </w:t>
      </w:r>
      <w:r w:rsidR="00733BCC">
        <w:rPr>
          <w:rFonts w:ascii="Verdana" w:hAnsi="Verdana"/>
          <w:sz w:val="20"/>
          <w:szCs w:val="20"/>
        </w:rPr>
        <w:t>de</w:t>
      </w:r>
      <w:r w:rsidR="00E2665E" w:rsidRPr="00E2665E">
        <w:rPr>
          <w:rFonts w:ascii="Verdana" w:hAnsi="Verdana"/>
          <w:sz w:val="20"/>
          <w:szCs w:val="20"/>
        </w:rPr>
        <w:t xml:space="preserve"> las</w:t>
      </w:r>
      <w:r w:rsidR="00ED142B" w:rsidRPr="00E2665E">
        <w:rPr>
          <w:rFonts w:ascii="Verdana" w:hAnsi="Verdana"/>
          <w:sz w:val="20"/>
          <w:szCs w:val="20"/>
        </w:rPr>
        <w:t xml:space="preserve"> representantes</w:t>
      </w:r>
      <w:r w:rsidR="00E2665E" w:rsidRPr="00E2665E">
        <w:rPr>
          <w:rFonts w:ascii="Verdana" w:hAnsi="Verdana"/>
          <w:sz w:val="20"/>
          <w:szCs w:val="20"/>
        </w:rPr>
        <w:t xml:space="preserve"> (</w:t>
      </w:r>
      <w:r w:rsidR="00E2665E" w:rsidRPr="00E2665E">
        <w:rPr>
          <w:rFonts w:ascii="Verdana" w:hAnsi="Verdana"/>
          <w:i/>
          <w:sz w:val="20"/>
          <w:szCs w:val="20"/>
        </w:rPr>
        <w:t>supra</w:t>
      </w:r>
      <w:r w:rsidR="00E2665E" w:rsidRPr="00E2665E">
        <w:rPr>
          <w:rFonts w:ascii="Verdana" w:hAnsi="Verdana"/>
          <w:sz w:val="20"/>
          <w:szCs w:val="20"/>
        </w:rPr>
        <w:t xml:space="preserve"> Considerando </w:t>
      </w:r>
      <w:r w:rsidR="00BB724B">
        <w:rPr>
          <w:rFonts w:ascii="Verdana" w:hAnsi="Verdana"/>
          <w:sz w:val="20"/>
          <w:szCs w:val="20"/>
        </w:rPr>
        <w:fldChar w:fldCharType="begin"/>
      </w:r>
      <w:r w:rsidR="00BB724B">
        <w:rPr>
          <w:rFonts w:ascii="Verdana" w:hAnsi="Verdana"/>
          <w:sz w:val="20"/>
          <w:szCs w:val="20"/>
        </w:rPr>
        <w:instrText xml:space="preserve"> REF _Ref26801366 \r \h </w:instrText>
      </w:r>
      <w:r w:rsidR="00BB724B">
        <w:rPr>
          <w:rFonts w:ascii="Verdana" w:hAnsi="Verdana"/>
          <w:sz w:val="20"/>
          <w:szCs w:val="20"/>
        </w:rPr>
      </w:r>
      <w:r w:rsidR="00BB724B">
        <w:rPr>
          <w:rFonts w:ascii="Verdana" w:hAnsi="Verdana"/>
          <w:sz w:val="20"/>
          <w:szCs w:val="20"/>
        </w:rPr>
        <w:fldChar w:fldCharType="separate"/>
      </w:r>
      <w:r w:rsidR="00630FCA">
        <w:rPr>
          <w:rFonts w:ascii="Verdana" w:hAnsi="Verdana"/>
          <w:sz w:val="20"/>
          <w:szCs w:val="20"/>
        </w:rPr>
        <w:t>25</w:t>
      </w:r>
      <w:r w:rsidR="00BB724B">
        <w:rPr>
          <w:rFonts w:ascii="Verdana" w:hAnsi="Verdana"/>
          <w:sz w:val="20"/>
          <w:szCs w:val="20"/>
        </w:rPr>
        <w:fldChar w:fldCharType="end"/>
      </w:r>
      <w:r w:rsidR="00D85E04">
        <w:rPr>
          <w:rFonts w:ascii="Verdana" w:hAnsi="Verdana"/>
          <w:sz w:val="20"/>
          <w:szCs w:val="20"/>
        </w:rPr>
        <w:t xml:space="preserve"> y nota al pie 30</w:t>
      </w:r>
      <w:r w:rsidR="00E2665E" w:rsidRPr="00E2665E">
        <w:rPr>
          <w:rFonts w:ascii="Verdana" w:hAnsi="Verdana"/>
          <w:sz w:val="20"/>
          <w:szCs w:val="20"/>
        </w:rPr>
        <w:t>)</w:t>
      </w:r>
      <w:r w:rsidR="002E13F6">
        <w:rPr>
          <w:rFonts w:ascii="Verdana" w:hAnsi="Verdana"/>
          <w:sz w:val="20"/>
          <w:szCs w:val="20"/>
        </w:rPr>
        <w:t>.</w:t>
      </w:r>
    </w:p>
    <w:p w14:paraId="5FC3DDC0" w14:textId="398311E6" w:rsidR="0014243F" w:rsidRPr="00A300C8" w:rsidRDefault="00ED142B" w:rsidP="0014243F">
      <w:pPr>
        <w:numPr>
          <w:ilvl w:val="0"/>
          <w:numId w:val="3"/>
        </w:numPr>
        <w:spacing w:before="120" w:after="120" w:line="240" w:lineRule="auto"/>
        <w:ind w:left="0" w:firstLine="0"/>
        <w:jc w:val="both"/>
        <w:rPr>
          <w:rFonts w:ascii="Verdana" w:hAnsi="Verdana"/>
          <w:sz w:val="20"/>
          <w:szCs w:val="20"/>
        </w:rPr>
      </w:pPr>
      <w:r>
        <w:rPr>
          <w:rFonts w:ascii="Verdana" w:hAnsi="Verdana"/>
          <w:sz w:val="20"/>
          <w:szCs w:val="20"/>
        </w:rPr>
        <w:t>Por otra parte</w:t>
      </w:r>
      <w:r w:rsidR="00B46B25">
        <w:rPr>
          <w:rFonts w:ascii="Verdana" w:hAnsi="Verdana"/>
          <w:sz w:val="20"/>
          <w:szCs w:val="20"/>
        </w:rPr>
        <w:t>, en cuanto a lo alegado</w:t>
      </w:r>
      <w:r>
        <w:rPr>
          <w:rFonts w:ascii="Verdana" w:hAnsi="Verdana"/>
          <w:sz w:val="20"/>
          <w:szCs w:val="20"/>
        </w:rPr>
        <w:t xml:space="preserve"> de manera general</w:t>
      </w:r>
      <w:r w:rsidR="00B46B25">
        <w:rPr>
          <w:rFonts w:ascii="Verdana" w:hAnsi="Verdana"/>
          <w:sz w:val="20"/>
          <w:szCs w:val="20"/>
        </w:rPr>
        <w:t xml:space="preserve"> por el Estado respecto al criterio de gratuidad de la atención en salud y psicológica</w:t>
      </w:r>
      <w:r w:rsidR="00FB12F8">
        <w:rPr>
          <w:rFonts w:ascii="Verdana" w:hAnsi="Verdana"/>
          <w:sz w:val="20"/>
          <w:szCs w:val="20"/>
        </w:rPr>
        <w:t xml:space="preserve"> ordenado en la Sentencia</w:t>
      </w:r>
      <w:r w:rsidR="00B46B25">
        <w:rPr>
          <w:rStyle w:val="Refdenotaalpie"/>
          <w:rFonts w:ascii="Verdana" w:hAnsi="Verdana"/>
          <w:sz w:val="20"/>
          <w:szCs w:val="20"/>
        </w:rPr>
        <w:footnoteReference w:id="31"/>
      </w:r>
      <w:r w:rsidR="00B46B25">
        <w:rPr>
          <w:rFonts w:ascii="Verdana" w:hAnsi="Verdana"/>
          <w:sz w:val="20"/>
          <w:szCs w:val="20"/>
        </w:rPr>
        <w:t xml:space="preserve">, </w:t>
      </w:r>
      <w:r w:rsidR="00F03051">
        <w:rPr>
          <w:rFonts w:ascii="Verdana" w:hAnsi="Verdana"/>
          <w:sz w:val="20"/>
          <w:szCs w:val="20"/>
        </w:rPr>
        <w:t xml:space="preserve">la Corte recuerda que en la </w:t>
      </w:r>
      <w:r w:rsidR="00157CB3">
        <w:rPr>
          <w:rFonts w:ascii="Verdana" w:hAnsi="Verdana"/>
          <w:sz w:val="20"/>
          <w:szCs w:val="20"/>
        </w:rPr>
        <w:t xml:space="preserve">etapa de </w:t>
      </w:r>
      <w:r w:rsidR="00F03051">
        <w:rPr>
          <w:rFonts w:ascii="Verdana" w:hAnsi="Verdana"/>
          <w:sz w:val="20"/>
          <w:szCs w:val="20"/>
        </w:rPr>
        <w:t xml:space="preserve">supervisión de cumplimiento del caso </w:t>
      </w:r>
      <w:r w:rsidR="00F03051" w:rsidRPr="00F03051">
        <w:rPr>
          <w:rFonts w:ascii="Verdana" w:hAnsi="Verdana"/>
          <w:i/>
          <w:sz w:val="20"/>
          <w:szCs w:val="20"/>
        </w:rPr>
        <w:t>Masacres de Santo Domingo</w:t>
      </w:r>
      <w:r w:rsidR="00F03051">
        <w:rPr>
          <w:rFonts w:ascii="Verdana" w:hAnsi="Verdana"/>
          <w:sz w:val="20"/>
          <w:szCs w:val="20"/>
        </w:rPr>
        <w:t xml:space="preserve"> </w:t>
      </w:r>
      <w:r w:rsidR="0014243F">
        <w:rPr>
          <w:rFonts w:ascii="Verdana" w:hAnsi="Verdana"/>
          <w:sz w:val="20"/>
          <w:lang w:val="es-MX"/>
        </w:rPr>
        <w:t xml:space="preserve">indicó </w:t>
      </w:r>
      <w:r w:rsidR="0014243F" w:rsidRPr="0014243F">
        <w:rPr>
          <w:rFonts w:ascii="Verdana" w:hAnsi="Verdana"/>
          <w:sz w:val="20"/>
          <w:lang w:val="es-MX"/>
        </w:rPr>
        <w:t xml:space="preserve">que </w:t>
      </w:r>
      <w:r w:rsidR="0014243F">
        <w:rPr>
          <w:rFonts w:ascii="Verdana" w:hAnsi="Verdana"/>
          <w:sz w:val="20"/>
          <w:lang w:val="es-MX"/>
        </w:rPr>
        <w:t>“</w:t>
      </w:r>
      <w:r w:rsidR="0014243F" w:rsidRPr="0014243F">
        <w:rPr>
          <w:rFonts w:ascii="Verdana" w:hAnsi="Verdana"/>
          <w:sz w:val="20"/>
          <w:lang w:val="es-MX"/>
        </w:rPr>
        <w:t xml:space="preserve">de conformidad con su jurisprudencia constante, en la </w:t>
      </w:r>
      <w:r w:rsidR="0014243F" w:rsidRPr="0014243F">
        <w:rPr>
          <w:rFonts w:ascii="Verdana" w:hAnsi="Verdana"/>
          <w:sz w:val="20"/>
          <w:lang w:val="es-MX"/>
        </w:rPr>
        <w:lastRenderedPageBreak/>
        <w:t>Sentencia</w:t>
      </w:r>
      <w:r w:rsidR="0014243F">
        <w:rPr>
          <w:rFonts w:ascii="Verdana" w:hAnsi="Verdana"/>
          <w:sz w:val="20"/>
          <w:lang w:val="es-MX"/>
        </w:rPr>
        <w:t xml:space="preserve"> [de ese caso se]</w:t>
      </w:r>
      <w:r w:rsidR="0014243F" w:rsidRPr="0014243F">
        <w:rPr>
          <w:rFonts w:ascii="Verdana" w:hAnsi="Verdana"/>
          <w:sz w:val="20"/>
          <w:lang w:val="es-MX"/>
        </w:rPr>
        <w:t xml:space="preserve"> estableció con claridad que las obligaciones relativas a la ejecución de las medidas de rehabilitación deben ser brindadas gratuitamente a través de sus instituciones de salud especializadas</w:t>
      </w:r>
      <w:r w:rsidR="00BB724B">
        <w:rPr>
          <w:rFonts w:ascii="Verdana" w:hAnsi="Verdana"/>
          <w:sz w:val="20"/>
          <w:lang w:val="es-MX"/>
        </w:rPr>
        <w:t>”</w:t>
      </w:r>
      <w:r w:rsidR="0014243F" w:rsidRPr="0014243F">
        <w:rPr>
          <w:rFonts w:ascii="Verdana" w:hAnsi="Verdana"/>
          <w:sz w:val="20"/>
          <w:lang w:val="es-MX"/>
        </w:rPr>
        <w:t xml:space="preserve"> </w:t>
      </w:r>
      <w:r w:rsidR="0014243F">
        <w:rPr>
          <w:rFonts w:ascii="Verdana" w:hAnsi="Verdana"/>
          <w:sz w:val="20"/>
          <w:lang w:val="es-MX"/>
        </w:rPr>
        <w:t>y que “[e]</w:t>
      </w:r>
      <w:r w:rsidR="0014243F" w:rsidRPr="0014243F">
        <w:rPr>
          <w:rFonts w:ascii="Verdana" w:hAnsi="Verdana"/>
          <w:sz w:val="20"/>
          <w:lang w:val="es-MX"/>
        </w:rPr>
        <w:t>n razón del referido estándar constante de la Corte respecto de la prestación gratuita de las medidas de rehabilitación, el Estado debe remover cualquier obstáculo normativo interno o de cualquier otra índole que impida que las víctimas y beneficiarios declaradas por esta Corte reciban los respectivos tratamientos médicos, psicológicos o psicosociales en dicha condición</w:t>
      </w:r>
      <w:r w:rsidR="0014243F">
        <w:rPr>
          <w:rFonts w:ascii="Verdana" w:hAnsi="Verdana"/>
          <w:sz w:val="20"/>
          <w:lang w:val="es-MX"/>
        </w:rPr>
        <w:t>”</w:t>
      </w:r>
      <w:r w:rsidR="0014243F">
        <w:rPr>
          <w:rStyle w:val="Refdenotaalpie"/>
          <w:rFonts w:ascii="Verdana" w:hAnsi="Verdana"/>
          <w:sz w:val="20"/>
          <w:lang w:val="es-MX"/>
        </w:rPr>
        <w:footnoteReference w:id="32"/>
      </w:r>
      <w:r w:rsidR="0014243F" w:rsidRPr="0014243F">
        <w:rPr>
          <w:rFonts w:ascii="Verdana" w:hAnsi="Verdana"/>
          <w:sz w:val="20"/>
          <w:lang w:val="es-MX"/>
        </w:rPr>
        <w:t>.</w:t>
      </w:r>
      <w:r w:rsidR="0014243F">
        <w:rPr>
          <w:rFonts w:ascii="Verdana" w:hAnsi="Verdana"/>
          <w:sz w:val="20"/>
          <w:lang w:val="es-MX"/>
        </w:rPr>
        <w:t xml:space="preserve"> </w:t>
      </w:r>
    </w:p>
    <w:p w14:paraId="781EF8FF" w14:textId="5DE201C3" w:rsidR="0014243F" w:rsidRDefault="0014243F" w:rsidP="00771B35">
      <w:pPr>
        <w:numPr>
          <w:ilvl w:val="0"/>
          <w:numId w:val="3"/>
        </w:numPr>
        <w:spacing w:before="120" w:after="120" w:line="240" w:lineRule="auto"/>
        <w:ind w:left="0" w:firstLine="0"/>
        <w:jc w:val="both"/>
        <w:rPr>
          <w:rFonts w:ascii="Verdana" w:hAnsi="Verdana"/>
          <w:sz w:val="20"/>
          <w:szCs w:val="20"/>
        </w:rPr>
      </w:pPr>
      <w:r>
        <w:rPr>
          <w:rFonts w:ascii="Verdana" w:hAnsi="Verdana"/>
          <w:sz w:val="20"/>
          <w:lang w:val="es-MX"/>
        </w:rPr>
        <w:t>En el mismo sentido, en la Sentencia de este caso se estableció que la atención en salud debe ser brindada “gratuitamente” y se clarificó que es “sin cargo alguno” (</w:t>
      </w:r>
      <w:r w:rsidRPr="00A300C8">
        <w:rPr>
          <w:rFonts w:ascii="Verdana" w:hAnsi="Verdana"/>
          <w:i/>
          <w:sz w:val="20"/>
          <w:lang w:val="es-MX"/>
        </w:rPr>
        <w:t>supra</w:t>
      </w:r>
      <w:r>
        <w:rPr>
          <w:rFonts w:ascii="Verdana" w:hAnsi="Verdana"/>
          <w:sz w:val="20"/>
          <w:lang w:val="es-MX"/>
        </w:rPr>
        <w:t xml:space="preserve"> Considerando </w:t>
      </w:r>
      <w:r w:rsidR="001B1CA4">
        <w:rPr>
          <w:rFonts w:ascii="Verdana" w:hAnsi="Verdana"/>
          <w:sz w:val="20"/>
          <w:lang w:val="es-MX"/>
        </w:rPr>
        <w:fldChar w:fldCharType="begin"/>
      </w:r>
      <w:r w:rsidR="001B1CA4">
        <w:rPr>
          <w:rFonts w:ascii="Verdana" w:hAnsi="Verdana"/>
          <w:sz w:val="20"/>
          <w:lang w:val="es-MX"/>
        </w:rPr>
        <w:instrText xml:space="preserve"> REF _Ref26777399 \r \h </w:instrText>
      </w:r>
      <w:r w:rsidR="001B1CA4">
        <w:rPr>
          <w:rFonts w:ascii="Verdana" w:hAnsi="Verdana"/>
          <w:sz w:val="20"/>
          <w:lang w:val="es-MX"/>
        </w:rPr>
      </w:r>
      <w:r w:rsidR="001B1CA4">
        <w:rPr>
          <w:rFonts w:ascii="Verdana" w:hAnsi="Verdana"/>
          <w:sz w:val="20"/>
          <w:lang w:val="es-MX"/>
        </w:rPr>
        <w:fldChar w:fldCharType="separate"/>
      </w:r>
      <w:r w:rsidR="00630FCA">
        <w:rPr>
          <w:rFonts w:ascii="Verdana" w:hAnsi="Verdana"/>
          <w:sz w:val="20"/>
          <w:lang w:val="es-MX"/>
        </w:rPr>
        <w:t>19</w:t>
      </w:r>
      <w:r w:rsidR="001B1CA4">
        <w:rPr>
          <w:rFonts w:ascii="Verdana" w:hAnsi="Verdana"/>
          <w:sz w:val="20"/>
          <w:lang w:val="es-MX"/>
        </w:rPr>
        <w:fldChar w:fldCharType="end"/>
      </w:r>
      <w:r>
        <w:rPr>
          <w:rFonts w:ascii="Verdana" w:hAnsi="Verdana"/>
          <w:sz w:val="20"/>
          <w:lang w:val="es-MX"/>
        </w:rPr>
        <w:t>). Lo anterior no deja duda de que el Estado no puede cobrar a las víctimas monto alguno por la ejecución de esta medida de rehabilitación</w:t>
      </w:r>
      <w:r w:rsidR="00CC3896">
        <w:rPr>
          <w:rFonts w:ascii="Verdana" w:hAnsi="Verdana"/>
          <w:sz w:val="20"/>
          <w:lang w:val="es-MX"/>
        </w:rPr>
        <w:t xml:space="preserve">. </w:t>
      </w:r>
      <w:r w:rsidR="00771B35" w:rsidRPr="00FA43B1">
        <w:rPr>
          <w:rFonts w:ascii="Verdana" w:hAnsi="Verdana"/>
          <w:sz w:val="20"/>
          <w:lang w:val="es-MX"/>
        </w:rPr>
        <w:t>La gratuidad en la</w:t>
      </w:r>
      <w:r w:rsidR="00A300C8" w:rsidRPr="00FA43B1">
        <w:rPr>
          <w:rFonts w:ascii="Verdana" w:hAnsi="Verdana"/>
          <w:sz w:val="20"/>
          <w:lang w:val="es-MX"/>
        </w:rPr>
        <w:t xml:space="preserve"> prestación de las medidas de rehabilitación </w:t>
      </w:r>
      <w:r w:rsidR="00FA43B1" w:rsidRPr="00FA43B1">
        <w:rPr>
          <w:rFonts w:ascii="Verdana" w:hAnsi="Verdana"/>
          <w:sz w:val="20"/>
          <w:lang w:val="es-MX"/>
        </w:rPr>
        <w:t xml:space="preserve">responde a parte de la </w:t>
      </w:r>
      <w:r w:rsidR="00A300C8" w:rsidRPr="00FA43B1">
        <w:rPr>
          <w:rFonts w:ascii="Verdana" w:hAnsi="Verdana"/>
          <w:sz w:val="20"/>
          <w:lang w:val="es-MX"/>
        </w:rPr>
        <w:t>reparación que deben recibir</w:t>
      </w:r>
      <w:r w:rsidR="003E5E89">
        <w:rPr>
          <w:rFonts w:ascii="Verdana" w:hAnsi="Verdana"/>
          <w:sz w:val="20"/>
          <w:lang w:val="es-MX"/>
        </w:rPr>
        <w:t xml:space="preserve"> los beneficiarios</w:t>
      </w:r>
      <w:r w:rsidR="00A300C8" w:rsidRPr="00FA43B1">
        <w:rPr>
          <w:rFonts w:ascii="Verdana" w:hAnsi="Verdana"/>
          <w:sz w:val="20"/>
          <w:lang w:val="es-MX"/>
        </w:rPr>
        <w:t xml:space="preserve"> </w:t>
      </w:r>
      <w:r w:rsidR="00FA43B1" w:rsidRPr="00FA43B1">
        <w:rPr>
          <w:rFonts w:ascii="Verdana" w:hAnsi="Verdana"/>
          <w:sz w:val="20"/>
          <w:lang w:val="es-MX"/>
        </w:rPr>
        <w:t xml:space="preserve">por su calidad de </w:t>
      </w:r>
      <w:r w:rsidR="00A300C8" w:rsidRPr="00FA43B1">
        <w:rPr>
          <w:rFonts w:ascii="Verdana" w:hAnsi="Verdana"/>
          <w:sz w:val="20"/>
          <w:lang w:val="es-MX"/>
        </w:rPr>
        <w:t>víctimas de</w:t>
      </w:r>
      <w:r w:rsidR="003E5E89">
        <w:rPr>
          <w:rFonts w:ascii="Verdana" w:hAnsi="Verdana"/>
          <w:sz w:val="20"/>
          <w:lang w:val="es-MX"/>
        </w:rPr>
        <w:t xml:space="preserve"> violaciones de </w:t>
      </w:r>
      <w:r w:rsidR="00A300C8" w:rsidRPr="00FA43B1">
        <w:rPr>
          <w:rFonts w:ascii="Verdana" w:hAnsi="Verdana"/>
          <w:sz w:val="20"/>
          <w:lang w:val="es-MX"/>
        </w:rPr>
        <w:t>derechos humanos declaradas en Sentencias emitidas por esta Corte</w:t>
      </w:r>
      <w:r w:rsidR="00CC3896" w:rsidRPr="00FA43B1">
        <w:rPr>
          <w:rFonts w:ascii="Verdana" w:hAnsi="Verdana"/>
          <w:sz w:val="20"/>
          <w:lang w:val="es-MX"/>
        </w:rPr>
        <w:t xml:space="preserve">, </w:t>
      </w:r>
      <w:r w:rsidR="002E13F6" w:rsidRPr="00FA43B1">
        <w:rPr>
          <w:rFonts w:ascii="Verdana" w:hAnsi="Verdana"/>
          <w:sz w:val="20"/>
          <w:lang w:val="es-MX"/>
        </w:rPr>
        <w:t>independientemente</w:t>
      </w:r>
      <w:r w:rsidR="00CC3896" w:rsidRPr="00FA43B1">
        <w:rPr>
          <w:rFonts w:ascii="Verdana" w:hAnsi="Verdana"/>
          <w:sz w:val="20"/>
          <w:lang w:val="es-MX"/>
        </w:rPr>
        <w:t xml:space="preserve"> del mecanismo que utilice el </w:t>
      </w:r>
      <w:r w:rsidR="002E13F6" w:rsidRPr="00FA43B1">
        <w:rPr>
          <w:rFonts w:ascii="Verdana" w:hAnsi="Verdana"/>
          <w:sz w:val="20"/>
          <w:lang w:val="es-MX"/>
        </w:rPr>
        <w:t>E</w:t>
      </w:r>
      <w:r w:rsidR="00CC3896" w:rsidRPr="00FA43B1">
        <w:rPr>
          <w:rFonts w:ascii="Verdana" w:hAnsi="Verdana"/>
          <w:sz w:val="20"/>
          <w:lang w:val="es-MX"/>
        </w:rPr>
        <w:t xml:space="preserve">stado para brindar la reparación, del sistema de salud que opere en </w:t>
      </w:r>
      <w:r w:rsidR="002E13F6" w:rsidRPr="00FA43B1">
        <w:rPr>
          <w:rFonts w:ascii="Verdana" w:hAnsi="Verdana"/>
          <w:sz w:val="20"/>
          <w:lang w:val="es-MX"/>
        </w:rPr>
        <w:t>éste</w:t>
      </w:r>
      <w:r w:rsidR="00CC3896" w:rsidRPr="00FA43B1">
        <w:rPr>
          <w:rFonts w:ascii="Verdana" w:hAnsi="Verdana"/>
          <w:sz w:val="20"/>
          <w:lang w:val="es-MX"/>
        </w:rPr>
        <w:t xml:space="preserve"> o de lo que disponga su normativa interna</w:t>
      </w:r>
      <w:r w:rsidR="002E13F6" w:rsidRPr="00FA43B1">
        <w:rPr>
          <w:rFonts w:ascii="Verdana" w:hAnsi="Verdana"/>
          <w:sz w:val="20"/>
          <w:lang w:val="es-MX"/>
        </w:rPr>
        <w:t>.</w:t>
      </w:r>
      <w:r w:rsidR="00A300C8">
        <w:rPr>
          <w:rFonts w:ascii="Verdana" w:hAnsi="Verdana"/>
          <w:sz w:val="20"/>
          <w:lang w:val="es-MX"/>
        </w:rPr>
        <w:t xml:space="preserve"> </w:t>
      </w:r>
      <w:r w:rsidR="00A300C8" w:rsidRPr="00771B35">
        <w:rPr>
          <w:rFonts w:ascii="Verdana" w:hAnsi="Verdana"/>
          <w:sz w:val="20"/>
          <w:szCs w:val="20"/>
          <w:lang w:val="es-MX"/>
        </w:rPr>
        <w:t>Considerando que, l</w:t>
      </w:r>
      <w:r w:rsidR="00A300C8" w:rsidRPr="00771B35">
        <w:rPr>
          <w:rFonts w:ascii="Verdana" w:hAnsi="Verdana"/>
          <w:sz w:val="20"/>
          <w:szCs w:val="20"/>
        </w:rPr>
        <w:t xml:space="preserve">os Estados Parte en la Convención </w:t>
      </w:r>
      <w:r w:rsidR="003E5E89">
        <w:rPr>
          <w:rFonts w:ascii="Verdana" w:hAnsi="Verdana"/>
          <w:sz w:val="20"/>
          <w:szCs w:val="20"/>
        </w:rPr>
        <w:t xml:space="preserve">Americana </w:t>
      </w:r>
      <w:r w:rsidR="00A300C8" w:rsidRPr="00771B35">
        <w:rPr>
          <w:rFonts w:ascii="Verdana" w:hAnsi="Verdana"/>
          <w:sz w:val="20"/>
          <w:szCs w:val="20"/>
        </w:rPr>
        <w:t>no pueden invocar disposiciones del derecho constitucional u otros aspectos del derecho interno para justificar una falta de cumplimiento de sus obligaciones internacionales</w:t>
      </w:r>
      <w:r w:rsidR="00A300C8" w:rsidRPr="00771B35">
        <w:rPr>
          <w:rStyle w:val="Refdenotaalpie"/>
          <w:rFonts w:ascii="Verdana" w:hAnsi="Verdana"/>
          <w:sz w:val="20"/>
          <w:szCs w:val="20"/>
        </w:rPr>
        <w:footnoteReference w:id="33"/>
      </w:r>
      <w:r w:rsidR="00771B35">
        <w:rPr>
          <w:rFonts w:ascii="Verdana" w:hAnsi="Verdana"/>
          <w:sz w:val="20"/>
          <w:szCs w:val="20"/>
        </w:rPr>
        <w:t>, se requiere a Colombia que</w:t>
      </w:r>
      <w:r w:rsidR="003E5E89">
        <w:rPr>
          <w:rFonts w:ascii="Verdana" w:hAnsi="Verdana"/>
          <w:sz w:val="20"/>
          <w:szCs w:val="20"/>
        </w:rPr>
        <w:t>,</w:t>
      </w:r>
      <w:r w:rsidR="00771B35">
        <w:rPr>
          <w:rFonts w:ascii="Verdana" w:hAnsi="Verdana"/>
          <w:sz w:val="20"/>
          <w:szCs w:val="20"/>
        </w:rPr>
        <w:t xml:space="preserve"> a la</w:t>
      </w:r>
      <w:r w:rsidR="00CC3896">
        <w:rPr>
          <w:rFonts w:ascii="Verdana" w:hAnsi="Verdana"/>
          <w:sz w:val="20"/>
          <w:szCs w:val="20"/>
        </w:rPr>
        <w:t xml:space="preserve"> </w:t>
      </w:r>
      <w:r w:rsidR="00771B35">
        <w:rPr>
          <w:rFonts w:ascii="Verdana" w:hAnsi="Verdana"/>
          <w:sz w:val="20"/>
          <w:szCs w:val="20"/>
        </w:rPr>
        <w:t xml:space="preserve">mayor brevedad, identifique alternativas legales, administrativas o de cualquier otra índole, que permitan </w:t>
      </w:r>
      <w:r w:rsidR="00CC3896">
        <w:rPr>
          <w:rFonts w:ascii="Verdana" w:hAnsi="Verdana"/>
          <w:sz w:val="20"/>
          <w:szCs w:val="20"/>
        </w:rPr>
        <w:t xml:space="preserve">cumplir con este criterio </w:t>
      </w:r>
      <w:r w:rsidR="003E5E89">
        <w:rPr>
          <w:rFonts w:ascii="Verdana" w:hAnsi="Verdana"/>
          <w:sz w:val="20"/>
          <w:szCs w:val="20"/>
        </w:rPr>
        <w:t xml:space="preserve">de gratuidad </w:t>
      </w:r>
      <w:r w:rsidR="00CC3896">
        <w:rPr>
          <w:rFonts w:ascii="Verdana" w:hAnsi="Verdana"/>
          <w:sz w:val="20"/>
          <w:szCs w:val="20"/>
        </w:rPr>
        <w:t>respecto de las víctimas declaradas en las Sentencias emitidas por la Corte Interamericana.</w:t>
      </w:r>
    </w:p>
    <w:p w14:paraId="57433E34" w14:textId="07FABB82" w:rsidR="002E13F6" w:rsidRPr="002E13F6" w:rsidRDefault="002E13F6" w:rsidP="002E13F6">
      <w:pPr>
        <w:numPr>
          <w:ilvl w:val="0"/>
          <w:numId w:val="3"/>
        </w:numPr>
        <w:spacing w:before="120" w:after="120" w:line="240" w:lineRule="auto"/>
        <w:ind w:left="0" w:firstLine="0"/>
        <w:jc w:val="both"/>
        <w:rPr>
          <w:rFonts w:ascii="Verdana" w:hAnsi="Verdana"/>
          <w:sz w:val="20"/>
          <w:szCs w:val="20"/>
        </w:rPr>
      </w:pPr>
      <w:r>
        <w:rPr>
          <w:rFonts w:ascii="Verdana" w:hAnsi="Verdana"/>
          <w:sz w:val="20"/>
          <w:szCs w:val="20"/>
        </w:rPr>
        <w:t>Finalmente, la Corte destaca que a pesar de que la medida de tratamiento en salud y psicológico a las víctimas de este caso era una obligación de inmediato cumplimiento</w:t>
      </w:r>
      <w:r w:rsidR="003E5E89">
        <w:rPr>
          <w:rFonts w:ascii="Verdana" w:hAnsi="Verdana"/>
          <w:sz w:val="20"/>
          <w:szCs w:val="20"/>
        </w:rPr>
        <w:t xml:space="preserve"> (</w:t>
      </w:r>
      <w:r w:rsidR="003E5E89" w:rsidRPr="003E5E89">
        <w:rPr>
          <w:rFonts w:ascii="Verdana" w:hAnsi="Verdana"/>
          <w:i/>
          <w:sz w:val="20"/>
          <w:szCs w:val="20"/>
        </w:rPr>
        <w:t xml:space="preserve">supra </w:t>
      </w:r>
      <w:r w:rsidR="003E5E89">
        <w:rPr>
          <w:rFonts w:ascii="Verdana" w:hAnsi="Verdana"/>
          <w:sz w:val="20"/>
          <w:szCs w:val="20"/>
        </w:rPr>
        <w:t>Considerando 19)</w:t>
      </w:r>
      <w:r>
        <w:rPr>
          <w:rFonts w:ascii="Verdana" w:hAnsi="Verdana"/>
          <w:sz w:val="20"/>
          <w:szCs w:val="20"/>
        </w:rPr>
        <w:t xml:space="preserve">, a casi tres años desde que fue notificada la Sentencia, el Estado no ha dado un adecuado cumplimiento a la misma. Tampoco se ha recibido información respecto a si las víctimas han recibido algún tipo de tratamiento. En consecuencia, </w:t>
      </w:r>
      <w:r w:rsidRPr="002E13F6">
        <w:rPr>
          <w:rFonts w:ascii="Verdana" w:hAnsi="Verdana"/>
          <w:sz w:val="20"/>
          <w:lang w:val="es-MX"/>
        </w:rPr>
        <w:t xml:space="preserve">este Tribunal requiere al Estado adoptar, a la brevedad posible, todas las acciones necesarias para dar cumplimiento a la misma y, en el plazo indicado en el punto resolutivo </w:t>
      </w:r>
      <w:r w:rsidR="001B1CA4">
        <w:rPr>
          <w:rFonts w:ascii="Verdana" w:hAnsi="Verdana"/>
          <w:sz w:val="20"/>
          <w:lang w:val="es-MX"/>
        </w:rPr>
        <w:fldChar w:fldCharType="begin"/>
      </w:r>
      <w:r w:rsidR="001B1CA4">
        <w:rPr>
          <w:rFonts w:ascii="Verdana" w:hAnsi="Verdana"/>
          <w:sz w:val="20"/>
          <w:lang w:val="es-MX"/>
        </w:rPr>
        <w:instrText xml:space="preserve"> REF _Ref26785784 \r \h </w:instrText>
      </w:r>
      <w:r w:rsidR="001B1CA4">
        <w:rPr>
          <w:rFonts w:ascii="Verdana" w:hAnsi="Verdana"/>
          <w:sz w:val="20"/>
          <w:lang w:val="es-MX"/>
        </w:rPr>
      </w:r>
      <w:r w:rsidR="001B1CA4">
        <w:rPr>
          <w:rFonts w:ascii="Verdana" w:hAnsi="Verdana"/>
          <w:sz w:val="20"/>
          <w:lang w:val="es-MX"/>
        </w:rPr>
        <w:fldChar w:fldCharType="separate"/>
      </w:r>
      <w:r w:rsidR="00630FCA">
        <w:rPr>
          <w:rFonts w:ascii="Verdana" w:hAnsi="Verdana"/>
          <w:sz w:val="20"/>
          <w:lang w:val="es-MX"/>
        </w:rPr>
        <w:t>5</w:t>
      </w:r>
      <w:r w:rsidR="001B1CA4">
        <w:rPr>
          <w:rFonts w:ascii="Verdana" w:hAnsi="Verdana"/>
          <w:sz w:val="20"/>
          <w:lang w:val="es-MX"/>
        </w:rPr>
        <w:fldChar w:fldCharType="end"/>
      </w:r>
      <w:r>
        <w:rPr>
          <w:rFonts w:ascii="Verdana" w:hAnsi="Verdana"/>
          <w:sz w:val="20"/>
          <w:lang w:val="es-MX"/>
        </w:rPr>
        <w:t xml:space="preserve"> </w:t>
      </w:r>
      <w:r w:rsidRPr="002E13F6">
        <w:rPr>
          <w:rFonts w:ascii="Verdana" w:hAnsi="Verdana"/>
          <w:sz w:val="20"/>
          <w:lang w:val="es-MX"/>
        </w:rPr>
        <w:t xml:space="preserve">de la presente Resolución, informar a esta Corte sobre: i) </w:t>
      </w:r>
      <w:r>
        <w:rPr>
          <w:rFonts w:ascii="Verdana" w:hAnsi="Verdana"/>
          <w:sz w:val="20"/>
          <w:lang w:val="es-MX"/>
        </w:rPr>
        <w:t>la posibilidad de acoger la propuesta de las representantes para que las víctimas de este caso que expresen su voluntad de recibir esta medida de reparación</w:t>
      </w:r>
      <w:r w:rsidR="003E5E89">
        <w:rPr>
          <w:rFonts w:ascii="Verdana" w:hAnsi="Verdana"/>
          <w:sz w:val="20"/>
          <w:lang w:val="es-MX"/>
        </w:rPr>
        <w:t>,</w:t>
      </w:r>
      <w:r>
        <w:rPr>
          <w:rFonts w:ascii="Verdana" w:hAnsi="Verdana"/>
          <w:sz w:val="20"/>
          <w:lang w:val="es-MX"/>
        </w:rPr>
        <w:t xml:space="preserve"> sean incluidas en </w:t>
      </w:r>
      <w:r>
        <w:rPr>
          <w:rFonts w:ascii="Verdana" w:hAnsi="Verdana"/>
          <w:sz w:val="20"/>
        </w:rPr>
        <w:t>el proceso de concertación de la medida de salud integral de los ‘9 casos colombianos’ que este Tribunal supervisa conjuntamente</w:t>
      </w:r>
      <w:r w:rsidR="003E5E89">
        <w:rPr>
          <w:rFonts w:ascii="Verdana" w:hAnsi="Verdana"/>
          <w:sz w:val="20"/>
        </w:rPr>
        <w:t xml:space="preserve"> (</w:t>
      </w:r>
      <w:r w:rsidR="003E5E89" w:rsidRPr="003E5E89">
        <w:rPr>
          <w:rFonts w:ascii="Verdana" w:hAnsi="Verdana"/>
          <w:i/>
          <w:sz w:val="20"/>
        </w:rPr>
        <w:t>supra</w:t>
      </w:r>
      <w:r w:rsidR="003E5E89">
        <w:rPr>
          <w:rFonts w:ascii="Verdana" w:hAnsi="Verdana"/>
          <w:sz w:val="20"/>
        </w:rPr>
        <w:t xml:space="preserve"> Considerandos 25 y 26) </w:t>
      </w:r>
      <w:r>
        <w:rPr>
          <w:rFonts w:ascii="Verdana" w:hAnsi="Verdana"/>
          <w:sz w:val="20"/>
          <w:lang w:val="es-MX"/>
        </w:rPr>
        <w:t xml:space="preserve">; ii) </w:t>
      </w:r>
      <w:r w:rsidRPr="002E13F6">
        <w:rPr>
          <w:rFonts w:ascii="Verdana" w:hAnsi="Verdana"/>
          <w:sz w:val="20"/>
          <w:lang w:val="es-MX"/>
        </w:rPr>
        <w:t>todas las medidas adoptadas para dar cumplimiento inmediato a la referida reparación, en los términos indicados en la Sentencia y la presente Resolución, y ii</w:t>
      </w:r>
      <w:r>
        <w:rPr>
          <w:rFonts w:ascii="Verdana" w:hAnsi="Verdana"/>
          <w:sz w:val="20"/>
          <w:lang w:val="es-MX"/>
        </w:rPr>
        <w:t>i</w:t>
      </w:r>
      <w:r w:rsidRPr="002E13F6">
        <w:rPr>
          <w:rFonts w:ascii="Verdana" w:hAnsi="Verdana"/>
          <w:sz w:val="20"/>
          <w:lang w:val="es-MX"/>
        </w:rPr>
        <w:t xml:space="preserve">) </w:t>
      </w:r>
      <w:r w:rsidRPr="002E13F6">
        <w:rPr>
          <w:rFonts w:ascii="Verdana" w:hAnsi="Verdana"/>
          <w:sz w:val="20"/>
          <w:szCs w:val="17"/>
        </w:rPr>
        <w:t>cómo está dando cumplimiento al parámetro fijado en las Sentencias respecto de la gratuidad de la atención</w:t>
      </w:r>
      <w:r w:rsidR="003E5E89">
        <w:rPr>
          <w:rFonts w:ascii="Verdana" w:hAnsi="Verdana"/>
          <w:sz w:val="20"/>
          <w:szCs w:val="17"/>
        </w:rPr>
        <w:t xml:space="preserve"> (</w:t>
      </w:r>
      <w:r w:rsidR="003E5E89" w:rsidRPr="003E5E89">
        <w:rPr>
          <w:rFonts w:ascii="Verdana" w:hAnsi="Verdana"/>
          <w:i/>
          <w:sz w:val="20"/>
          <w:szCs w:val="17"/>
        </w:rPr>
        <w:t xml:space="preserve">supra </w:t>
      </w:r>
      <w:r w:rsidR="003E5E89">
        <w:rPr>
          <w:rFonts w:ascii="Verdana" w:hAnsi="Verdana"/>
          <w:sz w:val="20"/>
          <w:szCs w:val="17"/>
        </w:rPr>
        <w:t>Considerandos 27 y 28)</w:t>
      </w:r>
      <w:r>
        <w:rPr>
          <w:rFonts w:ascii="Verdana" w:hAnsi="Verdana"/>
          <w:sz w:val="20"/>
          <w:szCs w:val="17"/>
        </w:rPr>
        <w:t>.</w:t>
      </w:r>
    </w:p>
    <w:p w14:paraId="49B63C90" w14:textId="35B753F9" w:rsidR="002E13F6" w:rsidRDefault="002E13F6" w:rsidP="002E13F6">
      <w:pPr>
        <w:numPr>
          <w:ilvl w:val="0"/>
          <w:numId w:val="3"/>
        </w:numPr>
        <w:spacing w:before="120" w:after="120" w:line="240" w:lineRule="auto"/>
        <w:ind w:left="0" w:firstLine="0"/>
        <w:jc w:val="both"/>
        <w:rPr>
          <w:rFonts w:ascii="Verdana" w:hAnsi="Verdana"/>
          <w:sz w:val="20"/>
          <w:szCs w:val="20"/>
        </w:rPr>
      </w:pPr>
      <w:bookmarkStart w:id="28" w:name="_Ref26787289"/>
      <w:r w:rsidRPr="002E13F6">
        <w:rPr>
          <w:rFonts w:ascii="Verdana" w:hAnsi="Verdana"/>
          <w:sz w:val="20"/>
          <w:szCs w:val="17"/>
        </w:rPr>
        <w:t xml:space="preserve">En razón de todo lo anterior, </w:t>
      </w:r>
      <w:r w:rsidRPr="002E13F6">
        <w:rPr>
          <w:rFonts w:ascii="Verdana" w:hAnsi="Verdana"/>
          <w:sz w:val="20"/>
          <w:szCs w:val="20"/>
        </w:rPr>
        <w:t>la Corte considera que se encuentra pendiente de cumplimiento la medida de reparación relativa a brindar</w:t>
      </w:r>
      <w:r>
        <w:rPr>
          <w:rFonts w:ascii="Verdana" w:hAnsi="Verdana"/>
          <w:sz w:val="20"/>
          <w:szCs w:val="20"/>
        </w:rPr>
        <w:t xml:space="preserve"> gratuitamente</w:t>
      </w:r>
      <w:r w:rsidRPr="002E13F6">
        <w:rPr>
          <w:rFonts w:ascii="Verdana" w:hAnsi="Verdana"/>
          <w:sz w:val="20"/>
          <w:szCs w:val="20"/>
        </w:rPr>
        <w:t xml:space="preserve"> tratamiento </w:t>
      </w:r>
      <w:r>
        <w:rPr>
          <w:rFonts w:ascii="Verdana" w:hAnsi="Verdana"/>
          <w:sz w:val="20"/>
          <w:szCs w:val="20"/>
        </w:rPr>
        <w:t>de</w:t>
      </w:r>
      <w:r w:rsidRPr="002E13F6">
        <w:rPr>
          <w:rFonts w:ascii="Verdana" w:hAnsi="Verdana"/>
          <w:sz w:val="20"/>
          <w:szCs w:val="20"/>
        </w:rPr>
        <w:t xml:space="preserve"> salud </w:t>
      </w:r>
      <w:r>
        <w:rPr>
          <w:rFonts w:ascii="Verdana" w:hAnsi="Verdana"/>
          <w:sz w:val="20"/>
          <w:szCs w:val="20"/>
        </w:rPr>
        <w:t xml:space="preserve">y psicológico </w:t>
      </w:r>
      <w:r w:rsidRPr="002E13F6">
        <w:rPr>
          <w:rFonts w:ascii="Verdana" w:hAnsi="Verdana"/>
          <w:sz w:val="20"/>
          <w:szCs w:val="20"/>
        </w:rPr>
        <w:t>a las</w:t>
      </w:r>
      <w:r>
        <w:rPr>
          <w:rFonts w:ascii="Verdana" w:hAnsi="Verdana"/>
          <w:sz w:val="20"/>
          <w:szCs w:val="20"/>
        </w:rPr>
        <w:t xml:space="preserve"> </w:t>
      </w:r>
      <w:r w:rsidRPr="002E13F6">
        <w:rPr>
          <w:rFonts w:ascii="Verdana" w:hAnsi="Verdana"/>
          <w:sz w:val="20"/>
          <w:szCs w:val="20"/>
        </w:rPr>
        <w:t>víctimas, según fue ordenad</w:t>
      </w:r>
      <w:r w:rsidR="001B1CA4">
        <w:rPr>
          <w:rFonts w:ascii="Verdana" w:hAnsi="Verdana"/>
          <w:sz w:val="20"/>
          <w:szCs w:val="20"/>
        </w:rPr>
        <w:t>o</w:t>
      </w:r>
      <w:r w:rsidRPr="002E13F6">
        <w:rPr>
          <w:rFonts w:ascii="Verdana" w:hAnsi="Verdana"/>
          <w:sz w:val="20"/>
          <w:szCs w:val="20"/>
        </w:rPr>
        <w:t xml:space="preserve"> en el punto </w:t>
      </w:r>
      <w:r w:rsidRPr="0026017E">
        <w:rPr>
          <w:rFonts w:ascii="Verdana" w:hAnsi="Verdana"/>
          <w:sz w:val="20"/>
          <w:szCs w:val="20"/>
        </w:rPr>
        <w:t>resolutivo</w:t>
      </w:r>
      <w:r>
        <w:rPr>
          <w:rFonts w:ascii="Verdana" w:hAnsi="Verdana"/>
          <w:sz w:val="20"/>
          <w:szCs w:val="20"/>
        </w:rPr>
        <w:t xml:space="preserve"> vigésimo octavo </w:t>
      </w:r>
      <w:r w:rsidRPr="002E13F6">
        <w:rPr>
          <w:rFonts w:ascii="Verdana" w:hAnsi="Verdana"/>
          <w:sz w:val="20"/>
          <w:szCs w:val="20"/>
        </w:rPr>
        <w:t>de la Sentencia.</w:t>
      </w:r>
      <w:bookmarkEnd w:id="28"/>
    </w:p>
    <w:p w14:paraId="6F3E3AD3" w14:textId="77777777" w:rsidR="002E13F6" w:rsidRDefault="002E13F6" w:rsidP="002E13F6">
      <w:pPr>
        <w:spacing w:before="120" w:after="120" w:line="240" w:lineRule="auto"/>
        <w:jc w:val="both"/>
        <w:rPr>
          <w:rFonts w:ascii="Verdana" w:hAnsi="Verdana"/>
          <w:sz w:val="20"/>
          <w:szCs w:val="20"/>
        </w:rPr>
      </w:pPr>
    </w:p>
    <w:p w14:paraId="043A60EC" w14:textId="77777777" w:rsidR="003E5E89" w:rsidRPr="002E13F6" w:rsidRDefault="003E5E89" w:rsidP="002E13F6">
      <w:pPr>
        <w:spacing w:before="120" w:after="120" w:line="240" w:lineRule="auto"/>
        <w:jc w:val="both"/>
        <w:rPr>
          <w:rFonts w:ascii="Verdana" w:hAnsi="Verdana"/>
          <w:sz w:val="20"/>
          <w:szCs w:val="20"/>
        </w:rPr>
      </w:pPr>
    </w:p>
    <w:p w14:paraId="41639AAD" w14:textId="77777777" w:rsidR="00144E13" w:rsidRPr="00FA43B1" w:rsidRDefault="00144E13" w:rsidP="002670E3">
      <w:pPr>
        <w:pStyle w:val="Ttulo2"/>
        <w:numPr>
          <w:ilvl w:val="0"/>
          <w:numId w:val="30"/>
        </w:numPr>
        <w:spacing w:before="120" w:after="120" w:line="240" w:lineRule="auto"/>
        <w:jc w:val="both"/>
        <w:rPr>
          <w:rFonts w:ascii="Verdana" w:hAnsi="Verdana"/>
          <w:b/>
          <w:i/>
          <w:color w:val="auto"/>
          <w:sz w:val="20"/>
          <w:szCs w:val="20"/>
        </w:rPr>
      </w:pPr>
      <w:bookmarkStart w:id="29" w:name="_Toc23769102"/>
      <w:r w:rsidRPr="00FA43B1">
        <w:rPr>
          <w:rFonts w:ascii="Verdana" w:hAnsi="Verdana"/>
          <w:b/>
          <w:i/>
          <w:color w:val="auto"/>
          <w:sz w:val="20"/>
          <w:szCs w:val="20"/>
        </w:rPr>
        <w:lastRenderedPageBreak/>
        <w:t>Publicación y difusión de la Sentencia</w:t>
      </w:r>
      <w:bookmarkEnd w:id="29"/>
    </w:p>
    <w:p w14:paraId="2531B996" w14:textId="77777777" w:rsidR="00144E13" w:rsidRDefault="00C468DE" w:rsidP="00797329">
      <w:pPr>
        <w:spacing w:before="120" w:after="120" w:line="240" w:lineRule="auto"/>
        <w:ind w:left="720"/>
        <w:jc w:val="both"/>
        <w:rPr>
          <w:rFonts w:ascii="Verdana" w:hAnsi="Verdana"/>
          <w:i/>
          <w:sz w:val="20"/>
          <w:szCs w:val="20"/>
        </w:rPr>
      </w:pPr>
      <w:r>
        <w:rPr>
          <w:rFonts w:ascii="Verdana" w:hAnsi="Verdana"/>
          <w:i/>
          <w:sz w:val="20"/>
          <w:szCs w:val="20"/>
        </w:rPr>
        <w:t>C</w:t>
      </w:r>
      <w:r w:rsidR="00144E13" w:rsidRPr="00CA38EE">
        <w:rPr>
          <w:rFonts w:ascii="Verdana" w:hAnsi="Verdana"/>
          <w:i/>
          <w:sz w:val="20"/>
          <w:szCs w:val="20"/>
        </w:rPr>
        <w:t>.1. Medida ordenada por la Corte</w:t>
      </w:r>
    </w:p>
    <w:p w14:paraId="7FA9880E" w14:textId="318F8A74" w:rsidR="00144E13" w:rsidRDefault="00144E13" w:rsidP="008C35C0">
      <w:pPr>
        <w:pStyle w:val="Prrafodelista"/>
        <w:numPr>
          <w:ilvl w:val="0"/>
          <w:numId w:val="3"/>
        </w:numPr>
        <w:spacing w:before="120" w:after="120" w:line="240" w:lineRule="auto"/>
        <w:ind w:left="0" w:firstLine="0"/>
        <w:contextualSpacing w:val="0"/>
        <w:jc w:val="both"/>
        <w:rPr>
          <w:rFonts w:ascii="Verdana" w:hAnsi="Verdana"/>
          <w:sz w:val="20"/>
          <w:szCs w:val="20"/>
        </w:rPr>
      </w:pPr>
      <w:bookmarkStart w:id="30" w:name="_Ref26777403"/>
      <w:r w:rsidRPr="00D2170B">
        <w:rPr>
          <w:rFonts w:ascii="Verdana" w:hAnsi="Verdana"/>
          <w:sz w:val="20"/>
          <w:szCs w:val="20"/>
        </w:rPr>
        <w:t xml:space="preserve">En el punto </w:t>
      </w:r>
      <w:r w:rsidR="00724248">
        <w:rPr>
          <w:rFonts w:ascii="Verdana" w:hAnsi="Verdana"/>
          <w:sz w:val="20"/>
          <w:szCs w:val="20"/>
        </w:rPr>
        <w:t>resolutivo</w:t>
      </w:r>
      <w:r w:rsidR="00724248" w:rsidRPr="00D2170B">
        <w:rPr>
          <w:rFonts w:ascii="Verdana" w:hAnsi="Verdana"/>
          <w:sz w:val="20"/>
          <w:szCs w:val="20"/>
        </w:rPr>
        <w:t xml:space="preserve"> </w:t>
      </w:r>
      <w:r w:rsidRPr="00D2170B">
        <w:rPr>
          <w:rFonts w:ascii="Verdana" w:hAnsi="Verdana"/>
          <w:sz w:val="20"/>
          <w:szCs w:val="20"/>
        </w:rPr>
        <w:t xml:space="preserve">vigésimo </w:t>
      </w:r>
      <w:r w:rsidR="00D2170B" w:rsidRPr="00D2170B">
        <w:rPr>
          <w:rFonts w:ascii="Verdana" w:hAnsi="Verdana"/>
          <w:sz w:val="20"/>
          <w:szCs w:val="20"/>
        </w:rPr>
        <w:t>noveno</w:t>
      </w:r>
      <w:r w:rsidRPr="00D2170B">
        <w:rPr>
          <w:rFonts w:ascii="Verdana" w:hAnsi="Verdana"/>
          <w:sz w:val="20"/>
          <w:szCs w:val="20"/>
        </w:rPr>
        <w:t xml:space="preserve"> y en los párrafos </w:t>
      </w:r>
      <w:r w:rsidR="00D2170B" w:rsidRPr="00D2170B">
        <w:rPr>
          <w:rFonts w:ascii="Verdana" w:hAnsi="Verdana"/>
          <w:sz w:val="20"/>
          <w:szCs w:val="20"/>
        </w:rPr>
        <w:t>343</w:t>
      </w:r>
      <w:r w:rsidRPr="00D2170B">
        <w:rPr>
          <w:rFonts w:ascii="Verdana" w:hAnsi="Verdana"/>
          <w:sz w:val="20"/>
          <w:szCs w:val="20"/>
        </w:rPr>
        <w:t xml:space="preserve"> y 34</w:t>
      </w:r>
      <w:r w:rsidR="00D2170B" w:rsidRPr="00D2170B">
        <w:rPr>
          <w:rFonts w:ascii="Verdana" w:hAnsi="Verdana"/>
          <w:sz w:val="20"/>
          <w:szCs w:val="20"/>
        </w:rPr>
        <w:t>4</w:t>
      </w:r>
      <w:r w:rsidR="00BA54D8">
        <w:rPr>
          <w:rStyle w:val="Refdenotaalpie"/>
          <w:rFonts w:ascii="Verdana" w:hAnsi="Verdana"/>
          <w:sz w:val="20"/>
          <w:szCs w:val="20"/>
        </w:rPr>
        <w:footnoteReference w:id="34"/>
      </w:r>
      <w:r w:rsidRPr="00D2170B">
        <w:rPr>
          <w:rFonts w:ascii="Verdana" w:hAnsi="Verdana"/>
          <w:sz w:val="20"/>
          <w:szCs w:val="20"/>
        </w:rPr>
        <w:t xml:space="preserve"> de la Sentencia, se dispuso que</w:t>
      </w:r>
      <w:r w:rsidR="00724248">
        <w:rPr>
          <w:rFonts w:ascii="Verdana" w:hAnsi="Verdana"/>
          <w:sz w:val="20"/>
          <w:szCs w:val="20"/>
        </w:rPr>
        <w:t>, “en un plazo de seis meses a partir de la notificación de la […] Sentencia”,</w:t>
      </w:r>
      <w:r w:rsidRPr="00D2170B">
        <w:rPr>
          <w:rFonts w:ascii="Verdana" w:hAnsi="Verdana"/>
          <w:sz w:val="20"/>
          <w:szCs w:val="20"/>
        </w:rPr>
        <w:t xml:space="preserve"> el Estado debía “</w:t>
      </w:r>
      <w:proofErr w:type="spellStart"/>
      <w:r w:rsidR="00D2170B" w:rsidRPr="00D2170B">
        <w:rPr>
          <w:rFonts w:ascii="Verdana" w:hAnsi="Verdana"/>
          <w:sz w:val="20"/>
          <w:szCs w:val="20"/>
        </w:rPr>
        <w:t>publi</w:t>
      </w:r>
      <w:proofErr w:type="spellEnd"/>
      <w:r w:rsidR="00D2170B" w:rsidRPr="00D2170B">
        <w:rPr>
          <w:rFonts w:ascii="Verdana" w:hAnsi="Verdana"/>
          <w:sz w:val="20"/>
          <w:szCs w:val="20"/>
        </w:rPr>
        <w:t xml:space="preserve">[car] en el Diario Oficial de Colombia y en un diario de amplia circulación nacional, por una única vez, el resumen oficial de la misma elaborado por la Corte y que la […] Sentencia en su integridad, permanezca disponible por un período de un año, en un sitio </w:t>
      </w:r>
      <w:r w:rsidR="00D2170B" w:rsidRPr="00EF3E63">
        <w:rPr>
          <w:rFonts w:ascii="Verdana" w:hAnsi="Verdana"/>
          <w:i/>
          <w:sz w:val="20"/>
          <w:szCs w:val="20"/>
        </w:rPr>
        <w:t>web</w:t>
      </w:r>
      <w:r w:rsidR="00D2170B" w:rsidRPr="00D2170B">
        <w:rPr>
          <w:rFonts w:ascii="Verdana" w:hAnsi="Verdana"/>
          <w:sz w:val="20"/>
          <w:szCs w:val="20"/>
        </w:rPr>
        <w:t xml:space="preserve"> oficial de instituciones y órganos estatales colombianos</w:t>
      </w:r>
      <w:r w:rsidRPr="00D2170B">
        <w:rPr>
          <w:rFonts w:ascii="Verdana" w:hAnsi="Verdana"/>
          <w:sz w:val="20"/>
          <w:szCs w:val="20"/>
        </w:rPr>
        <w:t>”.</w:t>
      </w:r>
      <w:bookmarkEnd w:id="30"/>
    </w:p>
    <w:p w14:paraId="15F2CDBB" w14:textId="77777777" w:rsidR="00797329" w:rsidRPr="00D2170B" w:rsidRDefault="00797329" w:rsidP="00797329">
      <w:pPr>
        <w:pStyle w:val="Prrafodelista"/>
        <w:spacing w:before="120" w:after="120" w:line="240" w:lineRule="auto"/>
        <w:ind w:left="0"/>
        <w:contextualSpacing w:val="0"/>
        <w:jc w:val="both"/>
        <w:rPr>
          <w:rFonts w:ascii="Verdana" w:hAnsi="Verdana"/>
          <w:sz w:val="20"/>
          <w:szCs w:val="20"/>
        </w:rPr>
      </w:pPr>
    </w:p>
    <w:p w14:paraId="25D575C0" w14:textId="77777777" w:rsidR="008E4744" w:rsidRDefault="00C468DE" w:rsidP="00797329">
      <w:pPr>
        <w:spacing w:before="120" w:after="120" w:line="240" w:lineRule="auto"/>
        <w:ind w:left="720"/>
        <w:jc w:val="both"/>
        <w:rPr>
          <w:rFonts w:ascii="Verdana" w:hAnsi="Verdana"/>
          <w:i/>
          <w:sz w:val="20"/>
          <w:szCs w:val="20"/>
        </w:rPr>
      </w:pPr>
      <w:r>
        <w:rPr>
          <w:rFonts w:ascii="Verdana" w:hAnsi="Verdana"/>
          <w:i/>
          <w:sz w:val="20"/>
          <w:szCs w:val="20"/>
        </w:rPr>
        <w:t>C</w:t>
      </w:r>
      <w:r w:rsidR="00144E13" w:rsidRPr="00CA38EE">
        <w:rPr>
          <w:rFonts w:ascii="Verdana" w:hAnsi="Verdana"/>
          <w:i/>
          <w:sz w:val="20"/>
          <w:szCs w:val="20"/>
        </w:rPr>
        <w:t xml:space="preserve">.2. </w:t>
      </w:r>
      <w:r w:rsidR="00314173" w:rsidRPr="00CA38EE">
        <w:rPr>
          <w:rFonts w:ascii="Verdana" w:hAnsi="Verdana"/>
          <w:i/>
          <w:sz w:val="20"/>
          <w:szCs w:val="20"/>
        </w:rPr>
        <w:t>Información y observaciones de las partes y de la Comisión</w:t>
      </w:r>
    </w:p>
    <w:p w14:paraId="49BFE6CD" w14:textId="606A070F" w:rsidR="00797329" w:rsidRPr="00797329" w:rsidRDefault="0098766D" w:rsidP="008C35C0">
      <w:pPr>
        <w:pStyle w:val="Prrafodelista"/>
        <w:numPr>
          <w:ilvl w:val="0"/>
          <w:numId w:val="3"/>
        </w:numPr>
        <w:spacing w:before="120" w:after="120" w:line="240" w:lineRule="auto"/>
        <w:ind w:left="0" w:firstLine="0"/>
        <w:contextualSpacing w:val="0"/>
        <w:jc w:val="both"/>
        <w:rPr>
          <w:rFonts w:ascii="Verdana" w:hAnsi="Verdana"/>
          <w:b/>
          <w:sz w:val="20"/>
          <w:szCs w:val="20"/>
        </w:rPr>
      </w:pPr>
      <w:r>
        <w:rPr>
          <w:rFonts w:ascii="Verdana" w:hAnsi="Verdana"/>
          <w:sz w:val="20"/>
          <w:szCs w:val="20"/>
        </w:rPr>
        <w:t xml:space="preserve">El </w:t>
      </w:r>
      <w:r w:rsidRPr="00797329">
        <w:rPr>
          <w:rFonts w:ascii="Verdana" w:hAnsi="Verdana"/>
          <w:i/>
          <w:sz w:val="20"/>
          <w:szCs w:val="20"/>
        </w:rPr>
        <w:t>Estado</w:t>
      </w:r>
      <w:r w:rsidRPr="00797329">
        <w:rPr>
          <w:rFonts w:ascii="Verdana" w:hAnsi="Verdana"/>
          <w:sz w:val="20"/>
          <w:szCs w:val="20"/>
        </w:rPr>
        <w:t xml:space="preserve"> </w:t>
      </w:r>
      <w:r>
        <w:rPr>
          <w:rFonts w:ascii="Verdana" w:hAnsi="Verdana"/>
          <w:sz w:val="20"/>
          <w:szCs w:val="20"/>
        </w:rPr>
        <w:t>sostuvo que “efectuó todas las publicaciones que fueron ordenadas en la Sentencia” y reiteradamente ha solicitado que se “declare el cumplimiento total de lo ordenado en [este] punto [resolutivo de la Sentencia</w:t>
      </w:r>
      <w:r w:rsidR="00D807DA">
        <w:rPr>
          <w:rFonts w:ascii="Verdana" w:hAnsi="Verdana"/>
          <w:sz w:val="20"/>
          <w:szCs w:val="20"/>
        </w:rPr>
        <w:t>]</w:t>
      </w:r>
      <w:r>
        <w:rPr>
          <w:rFonts w:ascii="Verdana" w:hAnsi="Verdana"/>
          <w:sz w:val="20"/>
          <w:szCs w:val="20"/>
        </w:rPr>
        <w:t>”.</w:t>
      </w:r>
      <w:r w:rsidR="003D4601" w:rsidRPr="00FD77EA">
        <w:rPr>
          <w:rFonts w:ascii="Verdana" w:hAnsi="Verdana"/>
          <w:sz w:val="20"/>
          <w:szCs w:val="20"/>
        </w:rPr>
        <w:t xml:space="preserve"> </w:t>
      </w:r>
    </w:p>
    <w:p w14:paraId="13186889" w14:textId="21929453" w:rsidR="00797329" w:rsidRDefault="00FD77EA" w:rsidP="008C35C0">
      <w:pPr>
        <w:pStyle w:val="Prrafodelista"/>
        <w:numPr>
          <w:ilvl w:val="0"/>
          <w:numId w:val="3"/>
        </w:numPr>
        <w:spacing w:before="120" w:after="120" w:line="240" w:lineRule="auto"/>
        <w:ind w:left="0" w:firstLine="0"/>
        <w:contextualSpacing w:val="0"/>
        <w:jc w:val="both"/>
        <w:rPr>
          <w:rFonts w:ascii="Verdana" w:hAnsi="Verdana"/>
          <w:b/>
          <w:sz w:val="20"/>
          <w:szCs w:val="20"/>
        </w:rPr>
      </w:pPr>
      <w:bookmarkStart w:id="31" w:name="_Ref26803902"/>
      <w:r w:rsidRPr="00FD77EA">
        <w:rPr>
          <w:rFonts w:ascii="Verdana" w:hAnsi="Verdana"/>
          <w:sz w:val="20"/>
          <w:szCs w:val="20"/>
        </w:rPr>
        <w:t>Al respecto, l</w:t>
      </w:r>
      <w:r w:rsidR="003D4601" w:rsidRPr="00223A76">
        <w:rPr>
          <w:rFonts w:ascii="Verdana" w:hAnsi="Verdana"/>
          <w:sz w:val="20"/>
          <w:szCs w:val="20"/>
        </w:rPr>
        <w:t xml:space="preserve">as </w:t>
      </w:r>
      <w:r w:rsidR="003D4601" w:rsidRPr="008C35C0">
        <w:rPr>
          <w:rFonts w:ascii="Verdana" w:hAnsi="Verdana"/>
          <w:i/>
          <w:sz w:val="20"/>
          <w:szCs w:val="20"/>
        </w:rPr>
        <w:t>representantes</w:t>
      </w:r>
      <w:r w:rsidR="003D4601">
        <w:rPr>
          <w:rFonts w:ascii="Verdana" w:hAnsi="Verdana"/>
          <w:sz w:val="20"/>
          <w:szCs w:val="20"/>
        </w:rPr>
        <w:t xml:space="preserve"> reconocieron que “[e]</w:t>
      </w:r>
      <w:proofErr w:type="spellStart"/>
      <w:r w:rsidR="003D4601">
        <w:rPr>
          <w:rFonts w:ascii="Verdana" w:hAnsi="Verdana"/>
          <w:sz w:val="20"/>
          <w:szCs w:val="20"/>
        </w:rPr>
        <w:t>fectivamente</w:t>
      </w:r>
      <w:proofErr w:type="spellEnd"/>
      <w:r w:rsidR="003D4601">
        <w:rPr>
          <w:rFonts w:ascii="Verdana" w:hAnsi="Verdana"/>
          <w:sz w:val="20"/>
          <w:szCs w:val="20"/>
        </w:rPr>
        <w:t xml:space="preserve"> el Estado h[izo] las publicaciones ordenadas por la Corte en la </w:t>
      </w:r>
      <w:r w:rsidR="008C35C0">
        <w:rPr>
          <w:rFonts w:ascii="Verdana" w:hAnsi="Verdana"/>
          <w:sz w:val="20"/>
          <w:szCs w:val="20"/>
        </w:rPr>
        <w:t>S</w:t>
      </w:r>
      <w:r w:rsidR="003D4601">
        <w:rPr>
          <w:rFonts w:ascii="Verdana" w:hAnsi="Verdana"/>
          <w:sz w:val="20"/>
          <w:szCs w:val="20"/>
        </w:rPr>
        <w:t xml:space="preserve">entencia”, aunque presentaron objeciones sobre las publicaciones realizadas en el diario de circulación nacional y en la página </w:t>
      </w:r>
      <w:r w:rsidR="003D4601" w:rsidRPr="00223A76">
        <w:rPr>
          <w:rFonts w:ascii="Verdana" w:hAnsi="Verdana"/>
          <w:i/>
          <w:sz w:val="20"/>
          <w:szCs w:val="20"/>
        </w:rPr>
        <w:t>web</w:t>
      </w:r>
      <w:r w:rsidR="003D4601">
        <w:rPr>
          <w:rFonts w:ascii="Verdana" w:hAnsi="Verdana"/>
          <w:sz w:val="20"/>
          <w:szCs w:val="20"/>
        </w:rPr>
        <w:t xml:space="preserve"> del Ministerio de Relaciones Exteriores (</w:t>
      </w:r>
      <w:r w:rsidR="003D4601" w:rsidRPr="00223A76">
        <w:rPr>
          <w:rFonts w:ascii="Verdana" w:hAnsi="Verdana"/>
          <w:i/>
          <w:sz w:val="20"/>
          <w:szCs w:val="20"/>
        </w:rPr>
        <w:t>infra</w:t>
      </w:r>
      <w:r w:rsidR="003D4601">
        <w:rPr>
          <w:rFonts w:ascii="Verdana" w:hAnsi="Verdana"/>
          <w:sz w:val="20"/>
          <w:szCs w:val="20"/>
        </w:rPr>
        <w:t xml:space="preserve"> Considerando</w:t>
      </w:r>
      <w:r w:rsidR="004034AE">
        <w:rPr>
          <w:rFonts w:ascii="Verdana" w:hAnsi="Verdana"/>
          <w:sz w:val="20"/>
          <w:szCs w:val="20"/>
        </w:rPr>
        <w:t>s</w:t>
      </w:r>
      <w:r w:rsidR="003D4601">
        <w:rPr>
          <w:rFonts w:ascii="Verdana" w:hAnsi="Verdana"/>
          <w:sz w:val="20"/>
          <w:szCs w:val="20"/>
        </w:rPr>
        <w:t xml:space="preserve"> </w:t>
      </w:r>
      <w:r w:rsidR="00B32CA9">
        <w:rPr>
          <w:rFonts w:ascii="Verdana" w:hAnsi="Verdana"/>
          <w:sz w:val="20"/>
          <w:szCs w:val="20"/>
        </w:rPr>
        <w:fldChar w:fldCharType="begin"/>
      </w:r>
      <w:r w:rsidR="00B32CA9">
        <w:rPr>
          <w:rFonts w:ascii="Verdana" w:hAnsi="Verdana"/>
          <w:sz w:val="20"/>
          <w:szCs w:val="20"/>
        </w:rPr>
        <w:instrText xml:space="preserve"> REF _Ref26802880 \r \h </w:instrText>
      </w:r>
      <w:r w:rsidR="00B32CA9">
        <w:rPr>
          <w:rFonts w:ascii="Verdana" w:hAnsi="Verdana"/>
          <w:sz w:val="20"/>
          <w:szCs w:val="20"/>
        </w:rPr>
      </w:r>
      <w:r w:rsidR="00B32CA9">
        <w:rPr>
          <w:rFonts w:ascii="Verdana" w:hAnsi="Verdana"/>
          <w:sz w:val="20"/>
          <w:szCs w:val="20"/>
        </w:rPr>
        <w:fldChar w:fldCharType="separate"/>
      </w:r>
      <w:r w:rsidR="00630FCA">
        <w:rPr>
          <w:rFonts w:ascii="Verdana" w:hAnsi="Verdana"/>
          <w:sz w:val="20"/>
          <w:szCs w:val="20"/>
        </w:rPr>
        <w:t>36</w:t>
      </w:r>
      <w:r w:rsidR="00B32CA9">
        <w:rPr>
          <w:rFonts w:ascii="Verdana" w:hAnsi="Verdana"/>
          <w:sz w:val="20"/>
          <w:szCs w:val="20"/>
        </w:rPr>
        <w:fldChar w:fldCharType="end"/>
      </w:r>
      <w:r w:rsidR="008C35C0">
        <w:rPr>
          <w:rFonts w:ascii="Verdana" w:hAnsi="Verdana"/>
          <w:sz w:val="20"/>
          <w:szCs w:val="20"/>
        </w:rPr>
        <w:t xml:space="preserve"> y 37</w:t>
      </w:r>
      <w:r w:rsidR="003D4601">
        <w:rPr>
          <w:rFonts w:ascii="Verdana" w:hAnsi="Verdana"/>
          <w:sz w:val="20"/>
          <w:szCs w:val="20"/>
        </w:rPr>
        <w:t>).</w:t>
      </w:r>
      <w:bookmarkEnd w:id="31"/>
      <w:r w:rsidR="003D4601">
        <w:rPr>
          <w:rFonts w:ascii="Verdana" w:hAnsi="Verdana"/>
          <w:b/>
          <w:sz w:val="20"/>
          <w:szCs w:val="20"/>
        </w:rPr>
        <w:t xml:space="preserve"> </w:t>
      </w:r>
    </w:p>
    <w:p w14:paraId="0913198D" w14:textId="51B934FD" w:rsidR="0098766D" w:rsidRDefault="00223A76" w:rsidP="008C35C0">
      <w:pPr>
        <w:pStyle w:val="Prrafodelista"/>
        <w:numPr>
          <w:ilvl w:val="0"/>
          <w:numId w:val="3"/>
        </w:numPr>
        <w:spacing w:before="120" w:after="120" w:line="240" w:lineRule="auto"/>
        <w:ind w:left="0" w:firstLine="0"/>
        <w:contextualSpacing w:val="0"/>
        <w:jc w:val="both"/>
        <w:rPr>
          <w:rFonts w:ascii="Verdana" w:hAnsi="Verdana"/>
          <w:b/>
          <w:sz w:val="20"/>
          <w:szCs w:val="20"/>
        </w:rPr>
      </w:pPr>
      <w:r w:rsidRPr="00223A76">
        <w:rPr>
          <w:rFonts w:ascii="Verdana" w:hAnsi="Verdana"/>
          <w:sz w:val="20"/>
          <w:szCs w:val="20"/>
        </w:rPr>
        <w:t xml:space="preserve">La </w:t>
      </w:r>
      <w:r w:rsidRPr="00797329">
        <w:rPr>
          <w:rFonts w:ascii="Verdana" w:hAnsi="Verdana"/>
          <w:i/>
          <w:sz w:val="20"/>
          <w:szCs w:val="20"/>
        </w:rPr>
        <w:t>Comisión</w:t>
      </w:r>
      <w:r w:rsidRPr="00276438">
        <w:rPr>
          <w:rFonts w:ascii="Verdana" w:hAnsi="Verdana"/>
          <w:b/>
          <w:i/>
          <w:sz w:val="20"/>
          <w:szCs w:val="20"/>
        </w:rPr>
        <w:t xml:space="preserve"> </w:t>
      </w:r>
      <w:r w:rsidRPr="00223A76">
        <w:rPr>
          <w:rFonts w:ascii="Verdana" w:hAnsi="Verdana"/>
          <w:sz w:val="20"/>
          <w:szCs w:val="20"/>
        </w:rPr>
        <w:t xml:space="preserve">también reconoció que se habían efectuado las publicaciones y estimó necesario que el Estado se refiriera a las objeciones </w:t>
      </w:r>
      <w:r w:rsidR="008C35C0">
        <w:rPr>
          <w:rFonts w:ascii="Verdana" w:hAnsi="Verdana"/>
          <w:sz w:val="20"/>
          <w:szCs w:val="20"/>
        </w:rPr>
        <w:t>de</w:t>
      </w:r>
      <w:r w:rsidRPr="00223A76">
        <w:rPr>
          <w:rFonts w:ascii="Verdana" w:hAnsi="Verdana"/>
          <w:sz w:val="20"/>
          <w:szCs w:val="20"/>
        </w:rPr>
        <w:t xml:space="preserve"> las representantes. </w:t>
      </w:r>
    </w:p>
    <w:p w14:paraId="3CC7DEAF" w14:textId="77777777" w:rsidR="00F81D7F" w:rsidRDefault="00F81D7F" w:rsidP="00797329">
      <w:pPr>
        <w:pStyle w:val="Prrafodelista"/>
        <w:spacing w:before="120" w:after="120" w:line="240" w:lineRule="auto"/>
        <w:ind w:left="0"/>
        <w:contextualSpacing w:val="0"/>
        <w:jc w:val="both"/>
        <w:rPr>
          <w:rFonts w:ascii="Verdana" w:hAnsi="Verdana"/>
          <w:b/>
          <w:sz w:val="20"/>
          <w:szCs w:val="20"/>
        </w:rPr>
      </w:pPr>
    </w:p>
    <w:p w14:paraId="5AB6BCB5" w14:textId="77777777" w:rsidR="00F81D7F" w:rsidRPr="00F81D7F" w:rsidRDefault="003C4D75" w:rsidP="00797329">
      <w:pPr>
        <w:pStyle w:val="Prrafodelista"/>
        <w:spacing w:before="120" w:after="120" w:line="240" w:lineRule="auto"/>
        <w:ind w:left="0" w:firstLine="708"/>
        <w:contextualSpacing w:val="0"/>
        <w:jc w:val="both"/>
        <w:rPr>
          <w:rFonts w:ascii="Verdana" w:hAnsi="Verdana"/>
          <w:b/>
          <w:sz w:val="20"/>
          <w:szCs w:val="20"/>
        </w:rPr>
      </w:pPr>
      <w:r w:rsidRPr="003C4D75">
        <w:rPr>
          <w:rFonts w:ascii="Verdana" w:hAnsi="Verdana"/>
          <w:i/>
          <w:sz w:val="20"/>
          <w:szCs w:val="20"/>
        </w:rPr>
        <w:t>C.3. Consideraciones de la Corte</w:t>
      </w:r>
    </w:p>
    <w:p w14:paraId="2F72637E" w14:textId="77777777" w:rsidR="00F81D7F" w:rsidRDefault="008E4744" w:rsidP="00E51D9B">
      <w:pPr>
        <w:pStyle w:val="Prrafodelista"/>
        <w:numPr>
          <w:ilvl w:val="0"/>
          <w:numId w:val="3"/>
        </w:numPr>
        <w:spacing w:before="120" w:after="120" w:line="240" w:lineRule="auto"/>
        <w:ind w:left="0" w:firstLine="0"/>
        <w:contextualSpacing w:val="0"/>
        <w:jc w:val="both"/>
        <w:rPr>
          <w:rFonts w:ascii="Verdana" w:hAnsi="Verdana"/>
          <w:b/>
          <w:sz w:val="20"/>
          <w:szCs w:val="20"/>
        </w:rPr>
      </w:pPr>
      <w:r w:rsidRPr="003C4D75">
        <w:rPr>
          <w:rFonts w:ascii="Verdana" w:hAnsi="Verdana"/>
          <w:sz w:val="20"/>
          <w:szCs w:val="20"/>
        </w:rPr>
        <w:t xml:space="preserve">Con base en </w:t>
      </w:r>
      <w:r w:rsidR="00FD77EA" w:rsidRPr="003C4D75">
        <w:rPr>
          <w:rFonts w:ascii="Verdana" w:hAnsi="Verdana"/>
          <w:sz w:val="20"/>
          <w:szCs w:val="20"/>
        </w:rPr>
        <w:t xml:space="preserve">el </w:t>
      </w:r>
      <w:r w:rsidRPr="003C4D75">
        <w:rPr>
          <w:rFonts w:ascii="Verdana" w:hAnsi="Verdana"/>
          <w:sz w:val="20"/>
          <w:szCs w:val="20"/>
        </w:rPr>
        <w:t>comprobante aportado</w:t>
      </w:r>
      <w:r w:rsidR="00FD77EA" w:rsidRPr="003C4D75">
        <w:rPr>
          <w:rFonts w:ascii="Verdana" w:hAnsi="Verdana"/>
          <w:sz w:val="20"/>
          <w:szCs w:val="20"/>
        </w:rPr>
        <w:t xml:space="preserve"> por el Estado</w:t>
      </w:r>
      <w:r w:rsidRPr="003C4D75">
        <w:rPr>
          <w:rFonts w:ascii="Verdana" w:hAnsi="Verdana"/>
          <w:sz w:val="20"/>
          <w:szCs w:val="20"/>
        </w:rPr>
        <w:t>,</w:t>
      </w:r>
      <w:r w:rsidR="00FD77EA" w:rsidRPr="003C4D75">
        <w:rPr>
          <w:rFonts w:ascii="Verdana" w:hAnsi="Verdana"/>
          <w:sz w:val="20"/>
          <w:szCs w:val="20"/>
        </w:rPr>
        <w:t xml:space="preserve"> el cual no fue controvertido,</w:t>
      </w:r>
      <w:r w:rsidRPr="003C4D75">
        <w:rPr>
          <w:rFonts w:ascii="Verdana" w:hAnsi="Verdana"/>
          <w:sz w:val="20"/>
          <w:szCs w:val="20"/>
        </w:rPr>
        <w:t xml:space="preserve"> este Tribunal constata que</w:t>
      </w:r>
      <w:r w:rsidR="00FD77EA" w:rsidRPr="003C4D75">
        <w:rPr>
          <w:rFonts w:ascii="Verdana" w:hAnsi="Verdana"/>
          <w:sz w:val="20"/>
          <w:szCs w:val="20"/>
        </w:rPr>
        <w:t>, dentro del plazo otorgado en la Sentencia,</w:t>
      </w:r>
      <w:r w:rsidRPr="003C4D75">
        <w:rPr>
          <w:rFonts w:ascii="Verdana" w:hAnsi="Verdana"/>
          <w:sz w:val="20"/>
          <w:szCs w:val="20"/>
        </w:rPr>
        <w:t xml:space="preserve"> el Estado </w:t>
      </w:r>
      <w:r w:rsidR="00FD77EA" w:rsidRPr="003C4D75">
        <w:rPr>
          <w:rFonts w:ascii="Verdana" w:hAnsi="Verdana"/>
          <w:sz w:val="20"/>
          <w:szCs w:val="20"/>
        </w:rPr>
        <w:t xml:space="preserve">publicó, por una sola vez, el resumen oficial de la Sentencia </w:t>
      </w:r>
      <w:r w:rsidRPr="003C4D75">
        <w:rPr>
          <w:rFonts w:ascii="Verdana" w:hAnsi="Verdana"/>
          <w:sz w:val="20"/>
          <w:szCs w:val="20"/>
        </w:rPr>
        <w:t xml:space="preserve">en el Diario Oficial </w:t>
      </w:r>
      <w:r w:rsidR="00FD77EA" w:rsidRPr="003C4D75">
        <w:rPr>
          <w:rFonts w:ascii="Verdana" w:hAnsi="Verdana"/>
          <w:sz w:val="20"/>
          <w:szCs w:val="20"/>
        </w:rPr>
        <w:t>de Colombia</w:t>
      </w:r>
      <w:r w:rsidR="009B7CC8" w:rsidRPr="00E4770E">
        <w:rPr>
          <w:rStyle w:val="Refdenotaalpie"/>
          <w:rFonts w:ascii="Verdana" w:hAnsi="Verdana"/>
          <w:sz w:val="20"/>
          <w:szCs w:val="20"/>
        </w:rPr>
        <w:footnoteReference w:id="35"/>
      </w:r>
      <w:r w:rsidR="009B7CC8" w:rsidRPr="003C4D75">
        <w:rPr>
          <w:rFonts w:ascii="Verdana" w:hAnsi="Verdana"/>
          <w:sz w:val="20"/>
          <w:szCs w:val="20"/>
        </w:rPr>
        <w:t>.</w:t>
      </w:r>
    </w:p>
    <w:p w14:paraId="525F964A" w14:textId="626F3621" w:rsidR="000B74A9" w:rsidRPr="0014310B" w:rsidRDefault="004034AE" w:rsidP="00E51D9B">
      <w:pPr>
        <w:pStyle w:val="Prrafodelista"/>
        <w:numPr>
          <w:ilvl w:val="0"/>
          <w:numId w:val="3"/>
        </w:numPr>
        <w:spacing w:before="120" w:after="120" w:line="240" w:lineRule="auto"/>
        <w:ind w:left="0" w:firstLine="0"/>
        <w:contextualSpacing w:val="0"/>
        <w:jc w:val="both"/>
        <w:rPr>
          <w:rFonts w:ascii="Verdana" w:hAnsi="Verdana"/>
          <w:sz w:val="20"/>
          <w:szCs w:val="20"/>
        </w:rPr>
      </w:pPr>
      <w:bookmarkStart w:id="32" w:name="_Ref26802880"/>
      <w:r w:rsidRPr="00F81D7F">
        <w:rPr>
          <w:rFonts w:ascii="Verdana" w:hAnsi="Verdana"/>
          <w:sz w:val="20"/>
          <w:szCs w:val="20"/>
        </w:rPr>
        <w:t>E</w:t>
      </w:r>
      <w:r w:rsidR="001A2433" w:rsidRPr="00F81D7F">
        <w:rPr>
          <w:rFonts w:ascii="Verdana" w:hAnsi="Verdana"/>
          <w:sz w:val="20"/>
          <w:szCs w:val="20"/>
        </w:rPr>
        <w:t xml:space="preserve">n lo que respecta a la publicación del resumen oficial de la Sentencia en un diario de amplia circulación nacional, </w:t>
      </w:r>
      <w:r w:rsidRPr="00F81D7F">
        <w:rPr>
          <w:rFonts w:ascii="Verdana" w:hAnsi="Verdana"/>
          <w:sz w:val="20"/>
          <w:szCs w:val="20"/>
        </w:rPr>
        <w:t xml:space="preserve">este Tribunal observa que </w:t>
      </w:r>
      <w:r w:rsidR="001A2433" w:rsidRPr="00F81D7F">
        <w:rPr>
          <w:rFonts w:ascii="Verdana" w:hAnsi="Verdana"/>
          <w:sz w:val="20"/>
          <w:szCs w:val="20"/>
        </w:rPr>
        <w:t>el Estado</w:t>
      </w:r>
      <w:r w:rsidRPr="00F81D7F">
        <w:rPr>
          <w:rFonts w:ascii="Verdana" w:hAnsi="Verdana"/>
          <w:sz w:val="20"/>
          <w:szCs w:val="20"/>
        </w:rPr>
        <w:t xml:space="preserve"> afirmó que dio cumplimiento a este aspecto de la Sentencia, ya que</w:t>
      </w:r>
      <w:r w:rsidR="001A2433" w:rsidRPr="00F81D7F">
        <w:rPr>
          <w:rFonts w:ascii="Verdana" w:hAnsi="Verdana"/>
          <w:sz w:val="20"/>
          <w:szCs w:val="20"/>
        </w:rPr>
        <w:t xml:space="preserve"> efectuó </w:t>
      </w:r>
      <w:r w:rsidRPr="00F81D7F">
        <w:rPr>
          <w:rFonts w:ascii="Verdana" w:hAnsi="Verdana"/>
          <w:sz w:val="20"/>
          <w:szCs w:val="20"/>
        </w:rPr>
        <w:t xml:space="preserve">dicha </w:t>
      </w:r>
      <w:r w:rsidR="001A2433" w:rsidRPr="00F81D7F">
        <w:rPr>
          <w:rFonts w:ascii="Verdana" w:hAnsi="Verdana"/>
          <w:sz w:val="20"/>
          <w:szCs w:val="20"/>
        </w:rPr>
        <w:t>publicación en el periódico “El Espectador”</w:t>
      </w:r>
      <w:r w:rsidRPr="00F81D7F">
        <w:rPr>
          <w:rFonts w:ascii="Verdana" w:hAnsi="Verdana"/>
          <w:sz w:val="20"/>
          <w:szCs w:val="20"/>
        </w:rPr>
        <w:t xml:space="preserve"> y aportó el comprobante de la misma</w:t>
      </w:r>
      <w:r w:rsidR="00E4770E" w:rsidRPr="00890802">
        <w:rPr>
          <w:rStyle w:val="Refdenotaalpie"/>
          <w:rFonts w:ascii="Verdana" w:hAnsi="Verdana"/>
          <w:sz w:val="20"/>
          <w:szCs w:val="20"/>
        </w:rPr>
        <w:footnoteReference w:id="36"/>
      </w:r>
      <w:r w:rsidR="00E4770E" w:rsidRPr="00F81D7F">
        <w:rPr>
          <w:rFonts w:ascii="Verdana" w:hAnsi="Verdana"/>
          <w:sz w:val="20"/>
          <w:szCs w:val="20"/>
        </w:rPr>
        <w:t>.</w:t>
      </w:r>
      <w:r w:rsidR="002F7CA3" w:rsidRPr="00F81D7F">
        <w:rPr>
          <w:rFonts w:ascii="Verdana" w:hAnsi="Verdana"/>
          <w:sz w:val="20"/>
          <w:szCs w:val="20"/>
        </w:rPr>
        <w:t xml:space="preserve"> </w:t>
      </w:r>
      <w:r w:rsidR="003C4D75" w:rsidRPr="00F81D7F">
        <w:rPr>
          <w:rFonts w:ascii="Verdana" w:hAnsi="Verdana"/>
          <w:sz w:val="20"/>
          <w:szCs w:val="20"/>
        </w:rPr>
        <w:t xml:space="preserve">Las </w:t>
      </w:r>
      <w:r w:rsidR="006D6167" w:rsidRPr="008C35C0">
        <w:rPr>
          <w:rFonts w:ascii="Verdana" w:hAnsi="Verdana"/>
          <w:sz w:val="20"/>
          <w:szCs w:val="20"/>
        </w:rPr>
        <w:t>representantes</w:t>
      </w:r>
      <w:r w:rsidR="006D6167" w:rsidRPr="00F81D7F">
        <w:rPr>
          <w:rFonts w:ascii="Verdana" w:hAnsi="Verdana"/>
          <w:i/>
          <w:sz w:val="20"/>
          <w:szCs w:val="20"/>
        </w:rPr>
        <w:t xml:space="preserve"> </w:t>
      </w:r>
      <w:r w:rsidR="003C4D75" w:rsidRPr="00F81D7F">
        <w:rPr>
          <w:rFonts w:ascii="Verdana" w:hAnsi="Verdana"/>
          <w:sz w:val="20"/>
          <w:szCs w:val="20"/>
        </w:rPr>
        <w:t xml:space="preserve">plantearon </w:t>
      </w:r>
      <w:r w:rsidR="006D6167" w:rsidRPr="00F81D7F">
        <w:rPr>
          <w:rFonts w:ascii="Verdana" w:hAnsi="Verdana"/>
          <w:sz w:val="20"/>
          <w:szCs w:val="20"/>
        </w:rPr>
        <w:t xml:space="preserve">objeciones </w:t>
      </w:r>
      <w:r w:rsidR="003C4D75" w:rsidRPr="00F81D7F">
        <w:rPr>
          <w:rFonts w:ascii="Verdana" w:hAnsi="Verdana"/>
          <w:sz w:val="20"/>
          <w:szCs w:val="20"/>
        </w:rPr>
        <w:t xml:space="preserve">respecto a que el diario en que se efectuó la publicación no es de amplia circulación nacional, al </w:t>
      </w:r>
      <w:r w:rsidR="00A5485D" w:rsidRPr="00F81D7F">
        <w:rPr>
          <w:rFonts w:ascii="Verdana" w:hAnsi="Verdana"/>
          <w:sz w:val="20"/>
          <w:szCs w:val="20"/>
        </w:rPr>
        <w:t xml:space="preserve">tamaño de letra y </w:t>
      </w:r>
      <w:r w:rsidR="003C4D75" w:rsidRPr="00F81D7F">
        <w:rPr>
          <w:rFonts w:ascii="Verdana" w:hAnsi="Verdana"/>
          <w:sz w:val="20"/>
          <w:szCs w:val="20"/>
        </w:rPr>
        <w:t>formato utilizado para la publicación del resumen</w:t>
      </w:r>
      <w:r w:rsidR="003C4D75">
        <w:rPr>
          <w:rStyle w:val="Refdenotaalpie"/>
          <w:rFonts w:ascii="Verdana" w:hAnsi="Verdana"/>
          <w:sz w:val="20"/>
          <w:szCs w:val="20"/>
        </w:rPr>
        <w:footnoteReference w:id="37"/>
      </w:r>
      <w:r w:rsidR="003C4D75" w:rsidRPr="00F81D7F">
        <w:rPr>
          <w:rFonts w:ascii="Verdana" w:hAnsi="Verdana"/>
          <w:sz w:val="20"/>
          <w:szCs w:val="20"/>
        </w:rPr>
        <w:t xml:space="preserve"> y porque se les avisó sobre su realización el día antes de ser efectuada</w:t>
      </w:r>
      <w:r w:rsidR="00890802">
        <w:rPr>
          <w:rStyle w:val="Refdenotaalpie"/>
          <w:rFonts w:ascii="Verdana" w:hAnsi="Verdana"/>
          <w:sz w:val="20"/>
          <w:szCs w:val="20"/>
        </w:rPr>
        <w:footnoteReference w:id="38"/>
      </w:r>
      <w:r w:rsidR="003C4D75" w:rsidRPr="00F81D7F">
        <w:rPr>
          <w:rFonts w:ascii="Verdana" w:hAnsi="Verdana"/>
          <w:sz w:val="20"/>
          <w:szCs w:val="20"/>
        </w:rPr>
        <w:t xml:space="preserve">. </w:t>
      </w:r>
      <w:r w:rsidR="00D00B1F" w:rsidRPr="00F81D7F">
        <w:rPr>
          <w:rFonts w:ascii="Verdana" w:hAnsi="Verdana"/>
          <w:sz w:val="20"/>
          <w:szCs w:val="20"/>
        </w:rPr>
        <w:lastRenderedPageBreak/>
        <w:t>El Estado</w:t>
      </w:r>
      <w:r w:rsidR="00D358BB" w:rsidRPr="00F81D7F">
        <w:rPr>
          <w:rFonts w:ascii="Verdana" w:hAnsi="Verdana"/>
          <w:sz w:val="20"/>
          <w:szCs w:val="20"/>
        </w:rPr>
        <w:t xml:space="preserve"> </w:t>
      </w:r>
      <w:r w:rsidR="00D00B1F" w:rsidRPr="00F81D7F">
        <w:rPr>
          <w:rFonts w:ascii="Verdana" w:hAnsi="Verdana"/>
          <w:sz w:val="20"/>
          <w:szCs w:val="20"/>
        </w:rPr>
        <w:t xml:space="preserve">se refirió a dichas </w:t>
      </w:r>
      <w:r w:rsidR="00890802" w:rsidRPr="00F81D7F">
        <w:rPr>
          <w:rFonts w:ascii="Verdana" w:hAnsi="Verdana"/>
          <w:sz w:val="20"/>
          <w:szCs w:val="20"/>
        </w:rPr>
        <w:t>objeciones</w:t>
      </w:r>
      <w:r w:rsidR="00D00B1F" w:rsidRPr="00F81D7F">
        <w:rPr>
          <w:rFonts w:ascii="Verdana" w:hAnsi="Verdana"/>
          <w:sz w:val="20"/>
          <w:szCs w:val="20"/>
        </w:rPr>
        <w:t xml:space="preserve">, indicando que </w:t>
      </w:r>
      <w:r w:rsidR="00DD6A8F" w:rsidRPr="00F81D7F">
        <w:rPr>
          <w:rFonts w:ascii="Verdana" w:hAnsi="Verdana"/>
          <w:sz w:val="20"/>
          <w:szCs w:val="20"/>
        </w:rPr>
        <w:t xml:space="preserve">esta </w:t>
      </w:r>
      <w:r w:rsidR="00D00B1F" w:rsidRPr="00F81D7F">
        <w:rPr>
          <w:rFonts w:ascii="Verdana" w:hAnsi="Verdana"/>
          <w:sz w:val="20"/>
          <w:szCs w:val="20"/>
        </w:rPr>
        <w:t xml:space="preserve">publicación </w:t>
      </w:r>
      <w:r w:rsidR="00F81D7F" w:rsidRPr="00F81D7F">
        <w:rPr>
          <w:rFonts w:ascii="Verdana" w:hAnsi="Verdana"/>
          <w:sz w:val="20"/>
          <w:szCs w:val="20"/>
        </w:rPr>
        <w:t>se realizó “</w:t>
      </w:r>
      <w:proofErr w:type="spellStart"/>
      <w:r w:rsidR="00F81D7F" w:rsidRPr="00F81D7F">
        <w:rPr>
          <w:rFonts w:ascii="Verdana" w:hAnsi="Verdana"/>
          <w:sz w:val="20"/>
          <w:szCs w:val="20"/>
        </w:rPr>
        <w:t>atendi</w:t>
      </w:r>
      <w:proofErr w:type="spellEnd"/>
      <w:r w:rsidR="00DD6A8F" w:rsidRPr="00F81D7F">
        <w:rPr>
          <w:rFonts w:ascii="Verdana" w:hAnsi="Verdana"/>
          <w:sz w:val="20"/>
          <w:szCs w:val="20"/>
        </w:rPr>
        <w:t>[</w:t>
      </w:r>
      <w:proofErr w:type="spellStart"/>
      <w:r w:rsidR="00DD6A8F" w:rsidRPr="00F81D7F">
        <w:rPr>
          <w:rFonts w:ascii="Verdana" w:hAnsi="Verdana"/>
          <w:sz w:val="20"/>
          <w:szCs w:val="20"/>
        </w:rPr>
        <w:t>endo</w:t>
      </w:r>
      <w:proofErr w:type="spellEnd"/>
      <w:r w:rsidR="00DD6A8F" w:rsidRPr="00F81D7F">
        <w:rPr>
          <w:rFonts w:ascii="Verdana" w:hAnsi="Verdana"/>
          <w:sz w:val="20"/>
          <w:szCs w:val="20"/>
        </w:rPr>
        <w:t xml:space="preserve">] </w:t>
      </w:r>
      <w:r w:rsidR="00D00B1F" w:rsidRPr="00F81D7F">
        <w:rPr>
          <w:rFonts w:ascii="Verdana" w:hAnsi="Verdana"/>
          <w:sz w:val="20"/>
          <w:szCs w:val="20"/>
        </w:rPr>
        <w:t xml:space="preserve">los acuerdos efectuados con las víctimas y su representante, </w:t>
      </w:r>
      <w:r w:rsidR="00DD6A8F" w:rsidRPr="00F81D7F">
        <w:rPr>
          <w:rFonts w:ascii="Verdana" w:hAnsi="Verdana"/>
          <w:sz w:val="20"/>
          <w:szCs w:val="20"/>
        </w:rPr>
        <w:t xml:space="preserve">[…] </w:t>
      </w:r>
      <w:r w:rsidR="00D00B1F" w:rsidRPr="00F81D7F">
        <w:rPr>
          <w:rFonts w:ascii="Verdana" w:hAnsi="Verdana"/>
          <w:sz w:val="20"/>
          <w:szCs w:val="20"/>
        </w:rPr>
        <w:t>en la reunión sostenida el 27 de septiembre de 2017”</w:t>
      </w:r>
      <w:r w:rsidR="00DD6A8F" w:rsidRPr="00F81D7F">
        <w:rPr>
          <w:rFonts w:ascii="Verdana" w:hAnsi="Verdana"/>
          <w:sz w:val="20"/>
          <w:szCs w:val="20"/>
        </w:rPr>
        <w:t>. Indicó que según lo acordado</w:t>
      </w:r>
      <w:r w:rsidR="00D00B1F" w:rsidRPr="00F81D7F">
        <w:rPr>
          <w:rFonts w:ascii="Verdana" w:hAnsi="Verdana"/>
          <w:sz w:val="20"/>
          <w:szCs w:val="20"/>
        </w:rPr>
        <w:t xml:space="preserve"> “la publicación se realizó en el diario </w:t>
      </w:r>
      <w:r w:rsidR="00D00B1F" w:rsidRPr="00F81D7F">
        <w:rPr>
          <w:rFonts w:ascii="Verdana" w:hAnsi="Verdana"/>
          <w:i/>
          <w:sz w:val="20"/>
          <w:szCs w:val="20"/>
        </w:rPr>
        <w:t>El Espectador</w:t>
      </w:r>
      <w:r w:rsidR="00D00B1F" w:rsidRPr="00F81D7F">
        <w:rPr>
          <w:rFonts w:ascii="Verdana" w:hAnsi="Verdana"/>
          <w:sz w:val="20"/>
          <w:szCs w:val="20"/>
        </w:rPr>
        <w:t>, un día domingo, sin seguir el formato de los avisos judiciales, con el texto dispuesto en las cinco columnas que emplea el resto del periódico, con los títulos y subtítulos destacados en negrilla y con la inclusión de los logos de la Organización de Estados Americanos y la Co</w:t>
      </w:r>
      <w:r w:rsidR="00DD6A8F" w:rsidRPr="00F81D7F">
        <w:rPr>
          <w:rFonts w:ascii="Verdana" w:hAnsi="Verdana"/>
          <w:sz w:val="20"/>
          <w:szCs w:val="20"/>
        </w:rPr>
        <w:t>[</w:t>
      </w:r>
      <w:proofErr w:type="spellStart"/>
      <w:r w:rsidR="00DD6A8F" w:rsidRPr="00F81D7F">
        <w:rPr>
          <w:rFonts w:ascii="Verdana" w:hAnsi="Verdana"/>
          <w:sz w:val="20"/>
          <w:szCs w:val="20"/>
        </w:rPr>
        <w:t>rte</w:t>
      </w:r>
      <w:proofErr w:type="spellEnd"/>
      <w:r w:rsidR="00DD6A8F" w:rsidRPr="00F81D7F">
        <w:rPr>
          <w:rFonts w:ascii="Verdana" w:hAnsi="Verdana"/>
          <w:sz w:val="20"/>
          <w:szCs w:val="20"/>
        </w:rPr>
        <w:t xml:space="preserve">] </w:t>
      </w:r>
      <w:r w:rsidR="00D00B1F" w:rsidRPr="00F81D7F">
        <w:rPr>
          <w:rFonts w:ascii="Verdana" w:hAnsi="Verdana"/>
          <w:sz w:val="20"/>
          <w:szCs w:val="20"/>
        </w:rPr>
        <w:t xml:space="preserve">IDH”. </w:t>
      </w:r>
      <w:r w:rsidR="003E3F3A" w:rsidRPr="00A5485D">
        <w:rPr>
          <w:rFonts w:ascii="Verdana" w:hAnsi="Verdana"/>
          <w:sz w:val="20"/>
          <w:szCs w:val="20"/>
        </w:rPr>
        <w:t xml:space="preserve">En cuanto a lo alegado por las representes respecto </w:t>
      </w:r>
      <w:r w:rsidR="00E51D9B">
        <w:rPr>
          <w:rFonts w:ascii="Verdana" w:hAnsi="Verdana"/>
          <w:sz w:val="20"/>
          <w:szCs w:val="20"/>
        </w:rPr>
        <w:t>a</w:t>
      </w:r>
      <w:r w:rsidR="003E3F3A" w:rsidRPr="00A5485D">
        <w:rPr>
          <w:rFonts w:ascii="Verdana" w:hAnsi="Verdana"/>
          <w:sz w:val="20"/>
          <w:szCs w:val="20"/>
        </w:rPr>
        <w:t xml:space="preserve"> la circulación del diario </w:t>
      </w:r>
      <w:r w:rsidR="003E3F3A" w:rsidRPr="00E51D9B">
        <w:rPr>
          <w:rFonts w:ascii="Verdana" w:hAnsi="Verdana"/>
          <w:i/>
          <w:sz w:val="20"/>
          <w:szCs w:val="20"/>
        </w:rPr>
        <w:t>El Espectador</w:t>
      </w:r>
      <w:r w:rsidR="003E3F3A" w:rsidRPr="00A5485D">
        <w:rPr>
          <w:rFonts w:ascii="Verdana" w:hAnsi="Verdana"/>
          <w:sz w:val="20"/>
          <w:szCs w:val="20"/>
        </w:rPr>
        <w:t>, la Corte observa que ellas mismas sostuvieron que</w:t>
      </w:r>
      <w:r w:rsidR="003E3F3A" w:rsidRPr="000B19A3">
        <w:rPr>
          <w:rFonts w:ascii="Verdana" w:hAnsi="Verdana"/>
          <w:sz w:val="20"/>
          <w:szCs w:val="20"/>
        </w:rPr>
        <w:t xml:space="preserve"> en la referida reuni</w:t>
      </w:r>
      <w:r w:rsidR="003E3F3A" w:rsidRPr="005D7A26">
        <w:rPr>
          <w:rFonts w:ascii="Verdana" w:hAnsi="Verdana"/>
          <w:sz w:val="20"/>
          <w:szCs w:val="20"/>
        </w:rPr>
        <w:t>ón de 27 de septiembre de 2017</w:t>
      </w:r>
      <w:r w:rsidR="003E3F3A" w:rsidRPr="00B85613">
        <w:rPr>
          <w:rFonts w:ascii="Verdana" w:hAnsi="Verdana"/>
          <w:sz w:val="20"/>
          <w:szCs w:val="20"/>
        </w:rPr>
        <w:t xml:space="preserve"> “</w:t>
      </w:r>
      <w:proofErr w:type="gramStart"/>
      <w:r w:rsidR="003E3F3A" w:rsidRPr="00EF3E63">
        <w:rPr>
          <w:rFonts w:ascii="Verdana" w:hAnsi="Verdana"/>
          <w:sz w:val="20"/>
          <w:szCs w:val="20"/>
        </w:rPr>
        <w:t>acepta[</w:t>
      </w:r>
      <w:proofErr w:type="gramEnd"/>
      <w:r w:rsidR="003E3F3A" w:rsidRPr="00EF3E63">
        <w:rPr>
          <w:rFonts w:ascii="Verdana" w:hAnsi="Verdana"/>
          <w:sz w:val="20"/>
          <w:szCs w:val="20"/>
        </w:rPr>
        <w:t>ron ese] periódico”, siempre y cuando la publicaci</w:t>
      </w:r>
      <w:r w:rsidR="003E3F3A" w:rsidRPr="00F02F15">
        <w:rPr>
          <w:rFonts w:ascii="Verdana" w:hAnsi="Verdana"/>
          <w:sz w:val="20"/>
          <w:szCs w:val="20"/>
        </w:rPr>
        <w:t>ón se realizara</w:t>
      </w:r>
      <w:r w:rsidR="003E3F3A" w:rsidRPr="004460E5">
        <w:rPr>
          <w:rFonts w:ascii="Verdana" w:hAnsi="Verdana"/>
          <w:sz w:val="20"/>
          <w:szCs w:val="20"/>
        </w:rPr>
        <w:t xml:space="preserve"> siguiendo determinadas pautas que coinciden con</w:t>
      </w:r>
      <w:r w:rsidR="003E3F3A" w:rsidRPr="003C2364">
        <w:rPr>
          <w:rFonts w:ascii="Verdana" w:hAnsi="Verdana"/>
          <w:sz w:val="20"/>
          <w:szCs w:val="20"/>
        </w:rPr>
        <w:t xml:space="preserve"> las </w:t>
      </w:r>
      <w:r w:rsidR="00E51D9B">
        <w:rPr>
          <w:rFonts w:ascii="Verdana" w:hAnsi="Verdana"/>
          <w:sz w:val="20"/>
          <w:szCs w:val="20"/>
        </w:rPr>
        <w:t xml:space="preserve">que han sido </w:t>
      </w:r>
      <w:r w:rsidR="003E3F3A" w:rsidRPr="003C2364">
        <w:rPr>
          <w:rFonts w:ascii="Verdana" w:hAnsi="Verdana"/>
          <w:sz w:val="20"/>
          <w:szCs w:val="20"/>
        </w:rPr>
        <w:t>señaladas por el Estado</w:t>
      </w:r>
      <w:r w:rsidR="003E3F3A" w:rsidRPr="00940E14">
        <w:rPr>
          <w:rFonts w:ascii="Verdana" w:hAnsi="Verdana"/>
          <w:sz w:val="20"/>
          <w:szCs w:val="20"/>
        </w:rPr>
        <w:t xml:space="preserve">. </w:t>
      </w:r>
      <w:r w:rsidR="00A5485D" w:rsidRPr="00A5485D">
        <w:rPr>
          <w:rFonts w:ascii="Verdana" w:hAnsi="Verdana"/>
          <w:sz w:val="20"/>
          <w:szCs w:val="20"/>
        </w:rPr>
        <w:t xml:space="preserve">En relación a que el aviso </w:t>
      </w:r>
      <w:r w:rsidR="00E51D9B">
        <w:rPr>
          <w:rFonts w:ascii="Verdana" w:hAnsi="Verdana"/>
          <w:sz w:val="20"/>
          <w:szCs w:val="20"/>
        </w:rPr>
        <w:t>realizado por</w:t>
      </w:r>
      <w:r w:rsidR="00A5485D" w:rsidRPr="00A5485D">
        <w:rPr>
          <w:rFonts w:ascii="Verdana" w:hAnsi="Verdana"/>
          <w:sz w:val="20"/>
          <w:szCs w:val="20"/>
        </w:rPr>
        <w:t xml:space="preserve"> el Estado no habría sido efectivo para que las víctimas y representantes se enteraran adecuadamente de la publicación, la Corte observa, con base en lo afirmado por las representantes, que el Estado sí les informó sobre la realización de la publicación. Si bien la Corte coincide con las representantes en la importancia de que las víctimas se encuentren </w:t>
      </w:r>
      <w:r w:rsidR="00A5485D">
        <w:rPr>
          <w:rFonts w:ascii="Verdana" w:hAnsi="Verdana"/>
          <w:sz w:val="20"/>
          <w:szCs w:val="20"/>
        </w:rPr>
        <w:t xml:space="preserve">debidamente </w:t>
      </w:r>
      <w:r w:rsidR="00A5485D" w:rsidRPr="00A5485D">
        <w:rPr>
          <w:rFonts w:ascii="Verdana" w:hAnsi="Verdana"/>
          <w:sz w:val="20"/>
          <w:szCs w:val="20"/>
        </w:rPr>
        <w:t>informadas de la publicación para que puedan tener acceso a la misma en la época en que se efectúa, es necesario hacer notar que, al evaluar el cumplimiento de la publicación, la Corte debe tomar en cuenta que</w:t>
      </w:r>
      <w:r w:rsidR="00C45932">
        <w:rPr>
          <w:rFonts w:ascii="Verdana" w:hAnsi="Verdana"/>
          <w:sz w:val="20"/>
          <w:szCs w:val="20"/>
        </w:rPr>
        <w:t xml:space="preserve"> en</w:t>
      </w:r>
      <w:r w:rsidR="00A5485D" w:rsidRPr="00A5485D">
        <w:rPr>
          <w:rFonts w:ascii="Verdana" w:hAnsi="Verdana"/>
          <w:sz w:val="20"/>
          <w:szCs w:val="20"/>
        </w:rPr>
        <w:t xml:space="preserve"> la Sentencia no dispuso que el Estado debiera informar a l</w:t>
      </w:r>
      <w:r w:rsidR="00C377B6">
        <w:rPr>
          <w:rFonts w:ascii="Verdana" w:hAnsi="Verdana"/>
          <w:sz w:val="20"/>
          <w:szCs w:val="20"/>
        </w:rPr>
        <w:t>a</w:t>
      </w:r>
      <w:r w:rsidR="00A5485D" w:rsidRPr="00A5485D">
        <w:rPr>
          <w:rFonts w:ascii="Verdana" w:hAnsi="Verdana"/>
          <w:sz w:val="20"/>
          <w:szCs w:val="20"/>
        </w:rPr>
        <w:t>s representantes antes de realizarla</w:t>
      </w:r>
      <w:r w:rsidR="00A5485D" w:rsidRPr="00A5485D">
        <w:rPr>
          <w:rStyle w:val="Refdenotaalpie"/>
          <w:rFonts w:ascii="Verdana" w:hAnsi="Verdana"/>
          <w:sz w:val="20"/>
          <w:szCs w:val="20"/>
        </w:rPr>
        <w:footnoteReference w:id="39"/>
      </w:r>
      <w:r w:rsidR="00A330C2" w:rsidRPr="00A5485D">
        <w:rPr>
          <w:rFonts w:ascii="Verdana" w:hAnsi="Verdana"/>
          <w:sz w:val="20"/>
          <w:szCs w:val="20"/>
        </w:rPr>
        <w:t>. Finalmente, r</w:t>
      </w:r>
      <w:r w:rsidR="003E3F3A" w:rsidRPr="00A5485D">
        <w:rPr>
          <w:rFonts w:ascii="Verdana" w:hAnsi="Verdana"/>
          <w:sz w:val="20"/>
          <w:szCs w:val="20"/>
        </w:rPr>
        <w:t xml:space="preserve">especto </w:t>
      </w:r>
      <w:r w:rsidR="00A5485D" w:rsidRPr="00A5485D">
        <w:rPr>
          <w:rFonts w:ascii="Verdana" w:hAnsi="Verdana"/>
          <w:sz w:val="20"/>
          <w:szCs w:val="20"/>
        </w:rPr>
        <w:t xml:space="preserve">de </w:t>
      </w:r>
      <w:r w:rsidR="00A5485D" w:rsidRPr="0014310B">
        <w:rPr>
          <w:rFonts w:ascii="Verdana" w:hAnsi="Verdana"/>
          <w:sz w:val="20"/>
          <w:szCs w:val="20"/>
        </w:rPr>
        <w:t>la objeción relativa al</w:t>
      </w:r>
      <w:r w:rsidR="003E3F3A" w:rsidRPr="0014310B">
        <w:rPr>
          <w:rFonts w:ascii="Verdana" w:hAnsi="Verdana"/>
          <w:sz w:val="20"/>
          <w:szCs w:val="20"/>
        </w:rPr>
        <w:t xml:space="preserve"> formato utilizado para la publicación, </w:t>
      </w:r>
      <w:r w:rsidR="00A330C2" w:rsidRPr="0014310B">
        <w:rPr>
          <w:rFonts w:ascii="Verdana" w:hAnsi="Verdana"/>
          <w:sz w:val="20"/>
          <w:szCs w:val="20"/>
        </w:rPr>
        <w:t xml:space="preserve">la </w:t>
      </w:r>
      <w:r w:rsidR="00136214" w:rsidRPr="0014310B">
        <w:rPr>
          <w:rFonts w:ascii="Verdana" w:hAnsi="Verdana"/>
          <w:sz w:val="20"/>
          <w:szCs w:val="20"/>
        </w:rPr>
        <w:t xml:space="preserve">Corte observa que, como </w:t>
      </w:r>
      <w:r w:rsidR="00A330C2" w:rsidRPr="0014310B">
        <w:rPr>
          <w:rFonts w:ascii="Verdana" w:hAnsi="Verdana"/>
          <w:sz w:val="20"/>
          <w:szCs w:val="20"/>
        </w:rPr>
        <w:t>comprobante</w:t>
      </w:r>
      <w:r w:rsidR="000B74A9" w:rsidRPr="0014310B">
        <w:rPr>
          <w:rFonts w:ascii="Verdana" w:hAnsi="Verdana"/>
          <w:sz w:val="20"/>
          <w:szCs w:val="20"/>
        </w:rPr>
        <w:t xml:space="preserve"> </w:t>
      </w:r>
      <w:r w:rsidR="00136214" w:rsidRPr="0014310B">
        <w:rPr>
          <w:rFonts w:ascii="Verdana" w:hAnsi="Verdana"/>
          <w:sz w:val="20"/>
          <w:szCs w:val="20"/>
        </w:rPr>
        <w:t xml:space="preserve">de esta publicación, el Estado aportó </w:t>
      </w:r>
      <w:r w:rsidR="00A330C2" w:rsidRPr="0014310B">
        <w:rPr>
          <w:rFonts w:ascii="Verdana" w:hAnsi="Verdana"/>
          <w:sz w:val="20"/>
          <w:szCs w:val="20"/>
        </w:rPr>
        <w:t xml:space="preserve">el ejemplar original </w:t>
      </w:r>
      <w:r w:rsidR="00136214" w:rsidRPr="0014310B">
        <w:rPr>
          <w:rFonts w:ascii="Verdana" w:hAnsi="Verdana"/>
          <w:sz w:val="20"/>
          <w:szCs w:val="20"/>
        </w:rPr>
        <w:t>de la misma</w:t>
      </w:r>
      <w:r w:rsidR="00A330C2" w:rsidRPr="0014310B">
        <w:rPr>
          <w:rFonts w:ascii="Verdana" w:hAnsi="Verdana"/>
          <w:sz w:val="20"/>
          <w:szCs w:val="20"/>
        </w:rPr>
        <w:t xml:space="preserve">, </w:t>
      </w:r>
      <w:r w:rsidR="00C45932">
        <w:rPr>
          <w:rFonts w:ascii="Verdana" w:hAnsi="Verdana"/>
          <w:sz w:val="20"/>
          <w:szCs w:val="20"/>
        </w:rPr>
        <w:t>éste demuestra que la publicación</w:t>
      </w:r>
      <w:r w:rsidR="00136214" w:rsidRPr="0014310B">
        <w:rPr>
          <w:rFonts w:ascii="Verdana" w:hAnsi="Verdana"/>
          <w:sz w:val="20"/>
          <w:szCs w:val="20"/>
        </w:rPr>
        <w:t xml:space="preserve"> es</w:t>
      </w:r>
      <w:r w:rsidR="000B74A9" w:rsidRPr="0014310B">
        <w:rPr>
          <w:rFonts w:ascii="Verdana" w:hAnsi="Verdana"/>
          <w:sz w:val="20"/>
          <w:szCs w:val="20"/>
        </w:rPr>
        <w:t xml:space="preserve"> legible</w:t>
      </w:r>
      <w:r w:rsidR="00C45932">
        <w:rPr>
          <w:rFonts w:ascii="Verdana" w:hAnsi="Verdana"/>
          <w:sz w:val="20"/>
          <w:szCs w:val="20"/>
        </w:rPr>
        <w:t xml:space="preserve"> y, además, que pareciera haber seguido el formato acordado por las partes</w:t>
      </w:r>
      <w:r w:rsidR="000B74A9" w:rsidRPr="0014310B">
        <w:rPr>
          <w:rFonts w:ascii="Verdana" w:hAnsi="Verdana"/>
          <w:sz w:val="20"/>
          <w:szCs w:val="20"/>
        </w:rPr>
        <w:t xml:space="preserve">. </w:t>
      </w:r>
      <w:r w:rsidR="00C46F44" w:rsidRPr="0014310B">
        <w:rPr>
          <w:rFonts w:ascii="Verdana" w:hAnsi="Verdana"/>
          <w:sz w:val="20"/>
          <w:szCs w:val="20"/>
        </w:rPr>
        <w:t>En consecuencia,</w:t>
      </w:r>
      <w:r w:rsidR="00A27E90" w:rsidRPr="0014310B">
        <w:rPr>
          <w:rFonts w:ascii="Verdana" w:hAnsi="Verdana"/>
          <w:sz w:val="20"/>
          <w:szCs w:val="20"/>
        </w:rPr>
        <w:t xml:space="preserve"> considerando lo anterior,</w:t>
      </w:r>
      <w:r w:rsidR="00C46F44" w:rsidRPr="0014310B">
        <w:rPr>
          <w:rFonts w:ascii="Verdana" w:hAnsi="Verdana"/>
          <w:sz w:val="20"/>
          <w:szCs w:val="20"/>
        </w:rPr>
        <w:t xml:space="preserve"> la Corte no encuentra motivos suficientes para considerar que la referida publicación no cumple con lo dispuesto en la Sentencia</w:t>
      </w:r>
      <w:r w:rsidR="00A27E90" w:rsidRPr="0014310B">
        <w:rPr>
          <w:rStyle w:val="Refdenotaalpie"/>
          <w:rFonts w:ascii="Verdana" w:hAnsi="Verdana"/>
          <w:sz w:val="20"/>
          <w:szCs w:val="20"/>
        </w:rPr>
        <w:footnoteReference w:id="40"/>
      </w:r>
      <w:r w:rsidR="00C46F44" w:rsidRPr="0014310B">
        <w:rPr>
          <w:rFonts w:ascii="Verdana" w:hAnsi="Verdana"/>
          <w:sz w:val="20"/>
          <w:szCs w:val="20"/>
        </w:rPr>
        <w:t>.</w:t>
      </w:r>
      <w:bookmarkEnd w:id="32"/>
    </w:p>
    <w:p w14:paraId="38157398" w14:textId="6DFB4866" w:rsidR="00E4770E" w:rsidRDefault="00144D40" w:rsidP="00C45932">
      <w:pPr>
        <w:pStyle w:val="Prrafodelista"/>
        <w:numPr>
          <w:ilvl w:val="0"/>
          <w:numId w:val="3"/>
        </w:numPr>
        <w:spacing w:before="120" w:after="120" w:line="240" w:lineRule="auto"/>
        <w:ind w:left="0" w:firstLine="0"/>
        <w:contextualSpacing w:val="0"/>
        <w:jc w:val="both"/>
        <w:rPr>
          <w:rFonts w:ascii="Verdana" w:hAnsi="Verdana"/>
          <w:sz w:val="20"/>
          <w:szCs w:val="20"/>
        </w:rPr>
      </w:pPr>
      <w:r>
        <w:rPr>
          <w:rFonts w:ascii="Verdana" w:hAnsi="Verdana"/>
          <w:sz w:val="20"/>
          <w:szCs w:val="20"/>
        </w:rPr>
        <w:t xml:space="preserve">Adicionalmente, </w:t>
      </w:r>
      <w:r w:rsidR="00D2170B" w:rsidRPr="00E4770E">
        <w:rPr>
          <w:rFonts w:ascii="Verdana" w:hAnsi="Verdana"/>
          <w:sz w:val="20"/>
          <w:szCs w:val="20"/>
        </w:rPr>
        <w:t xml:space="preserve">la Corte constata que </w:t>
      </w:r>
      <w:r>
        <w:rPr>
          <w:rFonts w:ascii="Verdana" w:hAnsi="Verdana"/>
          <w:sz w:val="20"/>
          <w:szCs w:val="20"/>
        </w:rPr>
        <w:t xml:space="preserve">el Estado publicó, de manera íntegra, la Sentencia del presente caso en dos sitios </w:t>
      </w:r>
      <w:r w:rsidRPr="00144D40">
        <w:rPr>
          <w:rFonts w:ascii="Verdana" w:hAnsi="Verdana"/>
          <w:i/>
          <w:sz w:val="20"/>
          <w:szCs w:val="20"/>
        </w:rPr>
        <w:t>web</w:t>
      </w:r>
      <w:r>
        <w:rPr>
          <w:rFonts w:ascii="Verdana" w:hAnsi="Verdana"/>
          <w:sz w:val="20"/>
          <w:szCs w:val="20"/>
        </w:rPr>
        <w:t xml:space="preserve"> oficiales</w:t>
      </w:r>
      <w:r w:rsidR="000B19A3">
        <w:rPr>
          <w:rFonts w:ascii="Verdana" w:hAnsi="Verdana"/>
          <w:sz w:val="20"/>
          <w:szCs w:val="20"/>
        </w:rPr>
        <w:t>, por el período de un año</w:t>
      </w:r>
      <w:r>
        <w:rPr>
          <w:rFonts w:ascii="Verdana" w:hAnsi="Verdana"/>
          <w:sz w:val="20"/>
          <w:szCs w:val="20"/>
        </w:rPr>
        <w:t>. E</w:t>
      </w:r>
      <w:r w:rsidRPr="00E4770E">
        <w:rPr>
          <w:rFonts w:ascii="Verdana" w:hAnsi="Verdana"/>
          <w:sz w:val="20"/>
          <w:szCs w:val="20"/>
        </w:rPr>
        <w:t>sta</w:t>
      </w:r>
      <w:r>
        <w:rPr>
          <w:rFonts w:ascii="Verdana" w:hAnsi="Verdana"/>
          <w:sz w:val="20"/>
          <w:szCs w:val="20"/>
        </w:rPr>
        <w:t xml:space="preserve"> publicación</w:t>
      </w:r>
      <w:r w:rsidRPr="00E4770E">
        <w:rPr>
          <w:rFonts w:ascii="Verdana" w:hAnsi="Verdana"/>
          <w:sz w:val="20"/>
          <w:szCs w:val="20"/>
        </w:rPr>
        <w:t xml:space="preserve"> </w:t>
      </w:r>
      <w:r w:rsidR="00D2170B" w:rsidRPr="00E4770E">
        <w:rPr>
          <w:rFonts w:ascii="Verdana" w:hAnsi="Verdana"/>
          <w:sz w:val="20"/>
          <w:szCs w:val="20"/>
        </w:rPr>
        <w:t xml:space="preserve">fue realizada en la página </w:t>
      </w:r>
      <w:r w:rsidR="00D2170B" w:rsidRPr="00144D40">
        <w:rPr>
          <w:rFonts w:ascii="Verdana" w:hAnsi="Verdana"/>
          <w:i/>
          <w:sz w:val="20"/>
          <w:szCs w:val="20"/>
        </w:rPr>
        <w:t>web</w:t>
      </w:r>
      <w:r w:rsidR="00D2170B" w:rsidRPr="00E4770E">
        <w:rPr>
          <w:rFonts w:ascii="Verdana" w:hAnsi="Verdana"/>
          <w:sz w:val="20"/>
          <w:szCs w:val="20"/>
        </w:rPr>
        <w:t xml:space="preserve"> de la Consejería Presidencial para los Derechos</w:t>
      </w:r>
      <w:r w:rsidR="003B2794">
        <w:rPr>
          <w:rFonts w:ascii="Verdana" w:hAnsi="Verdana"/>
          <w:sz w:val="20"/>
          <w:szCs w:val="20"/>
        </w:rPr>
        <w:t xml:space="preserve"> Humanos</w:t>
      </w:r>
      <w:r w:rsidR="001A2433" w:rsidRPr="00E4770E">
        <w:rPr>
          <w:rFonts w:ascii="Verdana" w:hAnsi="Verdana"/>
          <w:sz w:val="20"/>
          <w:szCs w:val="20"/>
        </w:rPr>
        <w:t xml:space="preserve"> y </w:t>
      </w:r>
      <w:r>
        <w:rPr>
          <w:rFonts w:ascii="Verdana" w:hAnsi="Verdana"/>
          <w:sz w:val="20"/>
          <w:szCs w:val="20"/>
        </w:rPr>
        <w:t xml:space="preserve">en la </w:t>
      </w:r>
      <w:r w:rsidR="001A2433" w:rsidRPr="00E4770E">
        <w:rPr>
          <w:rFonts w:ascii="Verdana" w:hAnsi="Verdana"/>
          <w:sz w:val="20"/>
          <w:szCs w:val="20"/>
        </w:rPr>
        <w:t>del Ministerio de Relaciones Exteriores de Colombia</w:t>
      </w:r>
      <w:r w:rsidR="00D2170B" w:rsidRPr="00E4770E">
        <w:rPr>
          <w:rStyle w:val="Refdenotaalpie"/>
          <w:rFonts w:ascii="Verdana" w:hAnsi="Verdana"/>
          <w:sz w:val="20"/>
          <w:szCs w:val="20"/>
        </w:rPr>
        <w:footnoteReference w:id="41"/>
      </w:r>
      <w:r w:rsidR="00D2170B" w:rsidRPr="00E4770E">
        <w:rPr>
          <w:rFonts w:ascii="Verdana" w:hAnsi="Verdana"/>
          <w:sz w:val="20"/>
          <w:szCs w:val="20"/>
        </w:rPr>
        <w:t xml:space="preserve"> desde, al menos, el 3 de abril de 2017, fecha en la </w:t>
      </w:r>
      <w:r w:rsidR="00C45932">
        <w:rPr>
          <w:rFonts w:ascii="Verdana" w:hAnsi="Verdana"/>
          <w:sz w:val="20"/>
          <w:szCs w:val="20"/>
        </w:rPr>
        <w:t>cual</w:t>
      </w:r>
      <w:r w:rsidR="00D2170B" w:rsidRPr="00E4770E">
        <w:rPr>
          <w:rFonts w:ascii="Verdana" w:hAnsi="Verdana"/>
          <w:sz w:val="20"/>
          <w:szCs w:val="20"/>
        </w:rPr>
        <w:t xml:space="preserve"> </w:t>
      </w:r>
      <w:r>
        <w:rPr>
          <w:rFonts w:ascii="Verdana" w:hAnsi="Verdana"/>
          <w:sz w:val="20"/>
          <w:szCs w:val="20"/>
        </w:rPr>
        <w:t xml:space="preserve">se </w:t>
      </w:r>
      <w:r w:rsidR="00D2170B" w:rsidRPr="00E4770E">
        <w:rPr>
          <w:rFonts w:ascii="Verdana" w:hAnsi="Verdana"/>
          <w:sz w:val="20"/>
          <w:szCs w:val="20"/>
        </w:rPr>
        <w:t xml:space="preserve">comunicó a </w:t>
      </w:r>
      <w:r w:rsidR="00C45932">
        <w:rPr>
          <w:rFonts w:ascii="Verdana" w:hAnsi="Verdana"/>
          <w:sz w:val="20"/>
          <w:szCs w:val="20"/>
        </w:rPr>
        <w:t>esta</w:t>
      </w:r>
      <w:r w:rsidR="00D2170B" w:rsidRPr="00E4770E">
        <w:rPr>
          <w:rFonts w:ascii="Verdana" w:hAnsi="Verdana"/>
          <w:sz w:val="20"/>
          <w:szCs w:val="20"/>
        </w:rPr>
        <w:t xml:space="preserve"> Corte sobre la publicación de la Sentencia</w:t>
      </w:r>
      <w:r>
        <w:rPr>
          <w:rFonts w:ascii="Verdana" w:hAnsi="Verdana"/>
          <w:sz w:val="20"/>
          <w:szCs w:val="20"/>
        </w:rPr>
        <w:t>, y que aún continúan disponibles</w:t>
      </w:r>
      <w:r w:rsidR="00D2170B" w:rsidRPr="00E4770E">
        <w:rPr>
          <w:rFonts w:ascii="Verdana" w:hAnsi="Verdana"/>
          <w:sz w:val="20"/>
          <w:szCs w:val="20"/>
        </w:rPr>
        <w:t>.</w:t>
      </w:r>
      <w:r w:rsidR="000B19A3">
        <w:rPr>
          <w:rFonts w:ascii="Verdana" w:hAnsi="Verdana"/>
          <w:sz w:val="20"/>
          <w:szCs w:val="20"/>
        </w:rPr>
        <w:t xml:space="preserve"> Las representantes reconocieron que habían sido realizadas estas publicaciones y presentaron una objeción sobre la accesibilidad de la publicación realizada en la página </w:t>
      </w:r>
      <w:r w:rsidR="000B19A3" w:rsidRPr="000B19A3">
        <w:rPr>
          <w:rFonts w:ascii="Verdana" w:hAnsi="Verdana"/>
          <w:i/>
          <w:sz w:val="20"/>
          <w:szCs w:val="20"/>
        </w:rPr>
        <w:t>web</w:t>
      </w:r>
      <w:r w:rsidR="000B19A3">
        <w:rPr>
          <w:rFonts w:ascii="Verdana" w:hAnsi="Verdana"/>
          <w:sz w:val="20"/>
          <w:szCs w:val="20"/>
        </w:rPr>
        <w:t xml:space="preserve"> del Ministerio de Relaciones Exteriores</w:t>
      </w:r>
      <w:r w:rsidR="000B19A3">
        <w:rPr>
          <w:rStyle w:val="Refdenotaalpie"/>
          <w:rFonts w:ascii="Verdana" w:hAnsi="Verdana"/>
          <w:sz w:val="20"/>
          <w:szCs w:val="20"/>
        </w:rPr>
        <w:footnoteReference w:id="42"/>
      </w:r>
      <w:r w:rsidR="000B19A3">
        <w:rPr>
          <w:rFonts w:ascii="Verdana" w:hAnsi="Verdana"/>
          <w:sz w:val="20"/>
          <w:szCs w:val="20"/>
        </w:rPr>
        <w:t>.</w:t>
      </w:r>
      <w:r w:rsidR="0014310B">
        <w:rPr>
          <w:rFonts w:ascii="Verdana" w:hAnsi="Verdana"/>
          <w:sz w:val="20"/>
          <w:szCs w:val="20"/>
        </w:rPr>
        <w:t xml:space="preserve"> Si bien la Corte coincide con l</w:t>
      </w:r>
      <w:r w:rsidR="00C377B6">
        <w:rPr>
          <w:rFonts w:ascii="Verdana" w:hAnsi="Verdana"/>
          <w:sz w:val="20"/>
          <w:szCs w:val="20"/>
        </w:rPr>
        <w:t>a</w:t>
      </w:r>
      <w:r w:rsidR="0014310B">
        <w:rPr>
          <w:rFonts w:ascii="Verdana" w:hAnsi="Verdana"/>
          <w:sz w:val="20"/>
          <w:szCs w:val="20"/>
        </w:rPr>
        <w:t>s representantes respecto que las publicaciones de la Sentencia deberían ser de fácil acceso, l</w:t>
      </w:r>
      <w:r w:rsidR="004D2C60">
        <w:rPr>
          <w:rFonts w:ascii="Verdana" w:hAnsi="Verdana"/>
          <w:sz w:val="20"/>
          <w:szCs w:val="20"/>
        </w:rPr>
        <w:t>a Corte recuerda que en la Sentencia no se dispuso que el fallo deb</w:t>
      </w:r>
      <w:r w:rsidR="0014310B">
        <w:rPr>
          <w:rFonts w:ascii="Verdana" w:hAnsi="Verdana"/>
          <w:sz w:val="20"/>
          <w:szCs w:val="20"/>
        </w:rPr>
        <w:t>iera</w:t>
      </w:r>
      <w:r w:rsidR="004D2C60">
        <w:rPr>
          <w:rFonts w:ascii="Verdana" w:hAnsi="Verdana"/>
          <w:sz w:val="20"/>
          <w:szCs w:val="20"/>
        </w:rPr>
        <w:t xml:space="preserve"> estar </w:t>
      </w:r>
      <w:r w:rsidR="0014310B">
        <w:rPr>
          <w:rFonts w:ascii="Verdana" w:hAnsi="Verdana"/>
          <w:sz w:val="20"/>
          <w:szCs w:val="20"/>
        </w:rPr>
        <w:t>publicado en</w:t>
      </w:r>
      <w:r w:rsidR="004D2C60">
        <w:rPr>
          <w:rFonts w:ascii="Verdana" w:hAnsi="Verdana"/>
          <w:sz w:val="20"/>
          <w:szCs w:val="20"/>
        </w:rPr>
        <w:t xml:space="preserve"> la página de inicio del </w:t>
      </w:r>
      <w:r w:rsidR="004D2C60">
        <w:rPr>
          <w:rFonts w:ascii="Verdana" w:hAnsi="Verdana"/>
          <w:sz w:val="20"/>
          <w:szCs w:val="20"/>
        </w:rPr>
        <w:lastRenderedPageBreak/>
        <w:t xml:space="preserve">sitio </w:t>
      </w:r>
      <w:r w:rsidR="004D2C60">
        <w:rPr>
          <w:rFonts w:ascii="Verdana" w:hAnsi="Verdana"/>
          <w:i/>
          <w:sz w:val="20"/>
          <w:szCs w:val="20"/>
        </w:rPr>
        <w:t>web</w:t>
      </w:r>
      <w:r w:rsidR="0014310B">
        <w:rPr>
          <w:rFonts w:ascii="Verdana" w:hAnsi="Verdana"/>
          <w:i/>
          <w:sz w:val="20"/>
          <w:szCs w:val="20"/>
        </w:rPr>
        <w:t xml:space="preserve"> </w:t>
      </w:r>
      <w:r w:rsidR="0014310B" w:rsidRPr="00C45932">
        <w:rPr>
          <w:rFonts w:ascii="Verdana" w:hAnsi="Verdana"/>
          <w:sz w:val="20"/>
          <w:szCs w:val="20"/>
        </w:rPr>
        <w:t>estatal</w:t>
      </w:r>
      <w:r w:rsidR="004D2C60" w:rsidRPr="00C45932">
        <w:rPr>
          <w:rFonts w:ascii="Verdana" w:hAnsi="Verdana"/>
          <w:sz w:val="20"/>
          <w:szCs w:val="20"/>
        </w:rPr>
        <w:t xml:space="preserve">. </w:t>
      </w:r>
      <w:r w:rsidR="0014310B">
        <w:rPr>
          <w:rFonts w:ascii="Verdana" w:hAnsi="Verdana"/>
          <w:sz w:val="20"/>
          <w:szCs w:val="20"/>
        </w:rPr>
        <w:t>Por lo anterior, no considera que lo alegado por l</w:t>
      </w:r>
      <w:r w:rsidR="00C377B6">
        <w:rPr>
          <w:rFonts w:ascii="Verdana" w:hAnsi="Verdana"/>
          <w:sz w:val="20"/>
          <w:szCs w:val="20"/>
        </w:rPr>
        <w:t>a</w:t>
      </w:r>
      <w:r w:rsidR="0014310B">
        <w:rPr>
          <w:rFonts w:ascii="Verdana" w:hAnsi="Verdana"/>
          <w:sz w:val="20"/>
          <w:szCs w:val="20"/>
        </w:rPr>
        <w:t>s representantes sea motivo suficiente para considerar que el Estado no ha cumplido con esta publicación.</w:t>
      </w:r>
    </w:p>
    <w:p w14:paraId="2A005879" w14:textId="569F5D78" w:rsidR="005B5FB3" w:rsidRDefault="00D2170B" w:rsidP="00C45932">
      <w:pPr>
        <w:pStyle w:val="Prrafodelista"/>
        <w:numPr>
          <w:ilvl w:val="0"/>
          <w:numId w:val="3"/>
        </w:numPr>
        <w:spacing w:before="120" w:after="120" w:line="240" w:lineRule="auto"/>
        <w:ind w:left="0" w:firstLine="0"/>
        <w:contextualSpacing w:val="0"/>
        <w:jc w:val="both"/>
        <w:rPr>
          <w:rFonts w:ascii="Verdana" w:hAnsi="Verdana"/>
          <w:sz w:val="20"/>
          <w:szCs w:val="20"/>
        </w:rPr>
      </w:pPr>
      <w:bookmarkStart w:id="33" w:name="_Ref26786990"/>
      <w:r w:rsidRPr="00E4770E">
        <w:rPr>
          <w:rFonts w:ascii="Verdana" w:hAnsi="Verdana"/>
          <w:sz w:val="20"/>
          <w:szCs w:val="20"/>
        </w:rPr>
        <w:t xml:space="preserve">En </w:t>
      </w:r>
      <w:r w:rsidR="00E4770E" w:rsidRPr="00E4770E">
        <w:rPr>
          <w:rFonts w:ascii="Verdana" w:hAnsi="Verdana"/>
          <w:sz w:val="20"/>
          <w:szCs w:val="20"/>
        </w:rPr>
        <w:t>razón</w:t>
      </w:r>
      <w:r w:rsidRPr="00E4770E">
        <w:rPr>
          <w:rFonts w:ascii="Verdana" w:hAnsi="Verdana"/>
          <w:sz w:val="20"/>
          <w:szCs w:val="20"/>
        </w:rPr>
        <w:t xml:space="preserve"> de lo anterior, la Corte considera que</w:t>
      </w:r>
      <w:r w:rsidR="00E4770E" w:rsidRPr="00E4770E">
        <w:rPr>
          <w:rFonts w:ascii="Verdana" w:hAnsi="Verdana"/>
          <w:sz w:val="20"/>
          <w:szCs w:val="20"/>
        </w:rPr>
        <w:t xml:space="preserve"> el Estado</w:t>
      </w:r>
      <w:r w:rsidRPr="00E4770E">
        <w:rPr>
          <w:rFonts w:ascii="Verdana" w:hAnsi="Verdana"/>
          <w:sz w:val="20"/>
          <w:szCs w:val="20"/>
        </w:rPr>
        <w:t xml:space="preserve">, dentro del plazo otorgado en la Sentencia, </w:t>
      </w:r>
      <w:r w:rsidR="00E4770E" w:rsidRPr="00E4770E">
        <w:rPr>
          <w:rFonts w:ascii="Verdana" w:hAnsi="Verdana"/>
          <w:sz w:val="20"/>
          <w:szCs w:val="20"/>
        </w:rPr>
        <w:t xml:space="preserve">ha dado cumplimiento total a las medidas </w:t>
      </w:r>
      <w:r w:rsidR="00880049" w:rsidRPr="00E4770E">
        <w:rPr>
          <w:rFonts w:ascii="Verdana" w:hAnsi="Verdana"/>
          <w:sz w:val="20"/>
          <w:szCs w:val="20"/>
        </w:rPr>
        <w:t>ordenadas en el punto dispositivo vigésimo noveno de la Sentencia</w:t>
      </w:r>
      <w:r w:rsidR="00880049">
        <w:rPr>
          <w:rFonts w:ascii="Verdana" w:hAnsi="Verdana"/>
          <w:sz w:val="20"/>
          <w:szCs w:val="20"/>
        </w:rPr>
        <w:t>,</w:t>
      </w:r>
      <w:r w:rsidR="00880049" w:rsidRPr="00E4770E">
        <w:rPr>
          <w:rFonts w:ascii="Verdana" w:hAnsi="Verdana"/>
          <w:sz w:val="20"/>
          <w:szCs w:val="20"/>
        </w:rPr>
        <w:t xml:space="preserve"> </w:t>
      </w:r>
      <w:r w:rsidR="00E4770E" w:rsidRPr="00E4770E">
        <w:rPr>
          <w:rFonts w:ascii="Verdana" w:hAnsi="Verdana"/>
          <w:sz w:val="20"/>
          <w:szCs w:val="20"/>
        </w:rPr>
        <w:t>relativas a la publicación y difusión de la Sentencia y su resumen oficial.</w:t>
      </w:r>
      <w:bookmarkEnd w:id="33"/>
      <w:r w:rsidR="00E4770E" w:rsidRPr="00E4770E">
        <w:rPr>
          <w:rFonts w:ascii="Verdana" w:hAnsi="Verdana"/>
          <w:sz w:val="20"/>
          <w:szCs w:val="20"/>
        </w:rPr>
        <w:t xml:space="preserve"> </w:t>
      </w:r>
    </w:p>
    <w:p w14:paraId="6A4EF405" w14:textId="77777777" w:rsidR="00C468DE" w:rsidRPr="00600F53" w:rsidRDefault="00C468DE" w:rsidP="002670E3">
      <w:pPr>
        <w:pStyle w:val="Prrafodelista"/>
        <w:spacing w:before="120" w:after="120" w:line="240" w:lineRule="auto"/>
        <w:ind w:left="0"/>
        <w:jc w:val="both"/>
        <w:rPr>
          <w:rFonts w:ascii="Verdana" w:hAnsi="Verdana"/>
          <w:sz w:val="20"/>
          <w:szCs w:val="20"/>
        </w:rPr>
      </w:pPr>
    </w:p>
    <w:p w14:paraId="71F44A64" w14:textId="77777777" w:rsidR="00C468DE" w:rsidRPr="00FA43B1" w:rsidRDefault="00C468DE" w:rsidP="002670E3">
      <w:pPr>
        <w:pStyle w:val="Ttulo2"/>
        <w:numPr>
          <w:ilvl w:val="0"/>
          <w:numId w:val="30"/>
        </w:numPr>
        <w:spacing w:before="120" w:after="120" w:line="240" w:lineRule="auto"/>
        <w:jc w:val="both"/>
        <w:rPr>
          <w:rFonts w:ascii="Verdana" w:hAnsi="Verdana"/>
          <w:b/>
          <w:i/>
          <w:color w:val="auto"/>
          <w:sz w:val="20"/>
          <w:szCs w:val="20"/>
        </w:rPr>
      </w:pPr>
      <w:bookmarkStart w:id="34" w:name="_Toc23769103"/>
      <w:r w:rsidRPr="00FA43B1">
        <w:rPr>
          <w:rFonts w:ascii="Verdana" w:hAnsi="Verdana"/>
          <w:b/>
          <w:i/>
          <w:color w:val="auto"/>
          <w:sz w:val="20"/>
          <w:szCs w:val="20"/>
        </w:rPr>
        <w:t>Acto público de reconocimiento de responsabilidad internacional</w:t>
      </w:r>
      <w:bookmarkEnd w:id="34"/>
    </w:p>
    <w:p w14:paraId="43D6D1B8" w14:textId="77777777" w:rsidR="00C468DE" w:rsidRDefault="002C24CE" w:rsidP="0016126B">
      <w:pPr>
        <w:spacing w:before="120" w:after="120" w:line="240" w:lineRule="auto"/>
        <w:ind w:left="720"/>
        <w:jc w:val="both"/>
        <w:rPr>
          <w:rFonts w:ascii="Verdana" w:hAnsi="Verdana"/>
          <w:i/>
          <w:sz w:val="20"/>
          <w:szCs w:val="20"/>
        </w:rPr>
      </w:pPr>
      <w:r>
        <w:rPr>
          <w:rFonts w:ascii="Verdana" w:hAnsi="Verdana"/>
          <w:i/>
          <w:sz w:val="20"/>
          <w:szCs w:val="20"/>
        </w:rPr>
        <w:t>D</w:t>
      </w:r>
      <w:r w:rsidR="00C468DE" w:rsidRPr="00CA38EE">
        <w:rPr>
          <w:rFonts w:ascii="Verdana" w:hAnsi="Verdana"/>
          <w:i/>
          <w:sz w:val="20"/>
          <w:szCs w:val="20"/>
        </w:rPr>
        <w:t>.1. Medida ordenada por la Corte</w:t>
      </w:r>
    </w:p>
    <w:p w14:paraId="23384F32" w14:textId="2EA53513" w:rsidR="00C468DE" w:rsidRDefault="00BA54D8" w:rsidP="00C45932">
      <w:pPr>
        <w:pStyle w:val="Prrafodelista"/>
        <w:numPr>
          <w:ilvl w:val="0"/>
          <w:numId w:val="3"/>
        </w:numPr>
        <w:spacing w:before="120" w:after="120" w:line="240" w:lineRule="auto"/>
        <w:ind w:left="0" w:firstLine="0"/>
        <w:contextualSpacing w:val="0"/>
        <w:jc w:val="both"/>
        <w:rPr>
          <w:rFonts w:ascii="Verdana" w:hAnsi="Verdana"/>
          <w:sz w:val="20"/>
          <w:szCs w:val="20"/>
        </w:rPr>
      </w:pPr>
      <w:bookmarkStart w:id="35" w:name="_Ref26777406"/>
      <w:r>
        <w:rPr>
          <w:rFonts w:ascii="Verdana" w:hAnsi="Verdana"/>
          <w:sz w:val="20"/>
          <w:szCs w:val="20"/>
        </w:rPr>
        <w:t>En el punto resolutivo trigésimo y el párrafo 345 de la Sentencia, se dispuso que “en el plazo de un año a partir de la notificación de la […] Sentencia, el Estado realice un acto público de reconocimiento de responsabilidad internacional por las violaciones declaradas en [la misma]”. Al respecto, se indicó que “[l]a determinación del lugar y modalidades del acto deberán ser consultados y acordados previamente con las víctimas y sus representantes” y que “[e]l acto deberá ser realizado en una ceremonia pública</w:t>
      </w:r>
      <w:r w:rsidR="006F42D2">
        <w:rPr>
          <w:rFonts w:ascii="Verdana" w:hAnsi="Verdana"/>
          <w:sz w:val="20"/>
          <w:szCs w:val="20"/>
        </w:rPr>
        <w:t>,</w:t>
      </w:r>
      <w:r>
        <w:rPr>
          <w:rFonts w:ascii="Verdana" w:hAnsi="Verdana"/>
          <w:sz w:val="20"/>
          <w:szCs w:val="20"/>
        </w:rPr>
        <w:t xml:space="preserve"> con la presencia de altas autoridades del Estado y de todas las víctimas que quisieren asistir”.</w:t>
      </w:r>
      <w:bookmarkEnd w:id="35"/>
      <w:r>
        <w:rPr>
          <w:rFonts w:ascii="Verdana" w:hAnsi="Verdana"/>
          <w:sz w:val="20"/>
          <w:szCs w:val="20"/>
        </w:rPr>
        <w:t xml:space="preserve"> </w:t>
      </w:r>
    </w:p>
    <w:p w14:paraId="4242F25A" w14:textId="77777777" w:rsidR="00ED0D6E" w:rsidRPr="006B188B" w:rsidRDefault="00ED0D6E" w:rsidP="0016126B">
      <w:pPr>
        <w:pStyle w:val="Prrafodelista"/>
        <w:spacing w:before="120" w:after="120" w:line="240" w:lineRule="auto"/>
        <w:ind w:left="0" w:firstLine="708"/>
        <w:contextualSpacing w:val="0"/>
        <w:jc w:val="both"/>
        <w:rPr>
          <w:rFonts w:ascii="Verdana" w:hAnsi="Verdana"/>
          <w:i/>
          <w:sz w:val="20"/>
          <w:szCs w:val="20"/>
        </w:rPr>
      </w:pPr>
      <w:r w:rsidRPr="006B188B">
        <w:rPr>
          <w:rFonts w:ascii="Verdana" w:hAnsi="Verdana"/>
          <w:i/>
          <w:sz w:val="20"/>
          <w:szCs w:val="20"/>
        </w:rPr>
        <w:t>D.2. Consideraciones de la Corte</w:t>
      </w:r>
    </w:p>
    <w:p w14:paraId="1D584196" w14:textId="2F9BBD6F" w:rsidR="00E34DFD" w:rsidRPr="009C4C4D" w:rsidRDefault="002D4422" w:rsidP="00C45932">
      <w:pPr>
        <w:pStyle w:val="Prrafodelista"/>
        <w:numPr>
          <w:ilvl w:val="0"/>
          <w:numId w:val="3"/>
        </w:numPr>
        <w:spacing w:before="120" w:after="120" w:line="240" w:lineRule="auto"/>
        <w:ind w:left="0" w:firstLine="0"/>
        <w:contextualSpacing w:val="0"/>
        <w:jc w:val="both"/>
        <w:rPr>
          <w:rFonts w:ascii="Verdana" w:hAnsi="Verdana"/>
          <w:b/>
          <w:sz w:val="20"/>
          <w:szCs w:val="20"/>
        </w:rPr>
      </w:pPr>
      <w:r>
        <w:rPr>
          <w:rFonts w:ascii="Verdana" w:hAnsi="Verdana"/>
          <w:sz w:val="20"/>
          <w:szCs w:val="20"/>
        </w:rPr>
        <w:t>Esta Corte observa que</w:t>
      </w:r>
      <w:r w:rsidR="00C45932">
        <w:rPr>
          <w:rFonts w:ascii="Verdana" w:hAnsi="Verdana"/>
          <w:sz w:val="20"/>
          <w:szCs w:val="20"/>
        </w:rPr>
        <w:t>,</w:t>
      </w:r>
      <w:r>
        <w:rPr>
          <w:rFonts w:ascii="Verdana" w:hAnsi="Verdana"/>
          <w:sz w:val="20"/>
          <w:szCs w:val="20"/>
        </w:rPr>
        <w:t xml:space="preserve"> a</w:t>
      </w:r>
      <w:r w:rsidR="007D065C">
        <w:rPr>
          <w:rFonts w:ascii="Verdana" w:hAnsi="Verdana"/>
          <w:sz w:val="20"/>
          <w:szCs w:val="20"/>
        </w:rPr>
        <w:t xml:space="preserve"> pesar de que el Estado y las víctimas y su</w:t>
      </w:r>
      <w:r w:rsidR="00F164B0">
        <w:rPr>
          <w:rFonts w:ascii="Verdana" w:hAnsi="Verdana"/>
          <w:sz w:val="20"/>
          <w:szCs w:val="20"/>
        </w:rPr>
        <w:t>s</w:t>
      </w:r>
      <w:r w:rsidR="007D065C">
        <w:rPr>
          <w:rFonts w:ascii="Verdana" w:hAnsi="Verdana"/>
          <w:sz w:val="20"/>
          <w:szCs w:val="20"/>
        </w:rPr>
        <w:t xml:space="preserve"> representante</w:t>
      </w:r>
      <w:r w:rsidR="00F164B0">
        <w:rPr>
          <w:rFonts w:ascii="Verdana" w:hAnsi="Verdana"/>
          <w:sz w:val="20"/>
          <w:szCs w:val="20"/>
        </w:rPr>
        <w:t>s</w:t>
      </w:r>
      <w:r w:rsidR="007D065C">
        <w:rPr>
          <w:rFonts w:ascii="Verdana" w:hAnsi="Verdana"/>
          <w:sz w:val="20"/>
          <w:szCs w:val="20"/>
        </w:rPr>
        <w:t xml:space="preserve"> han tenido acercamientos para concertar los aspectos relativos</w:t>
      </w:r>
      <w:r w:rsidR="001A64FD">
        <w:rPr>
          <w:rFonts w:ascii="Verdana" w:hAnsi="Verdana"/>
          <w:sz w:val="20"/>
          <w:szCs w:val="20"/>
        </w:rPr>
        <w:t xml:space="preserve"> al cumplimiento de esta medida, el acto público de reconocimiento de responsabilidad internacional aún no ha sido realizado. </w:t>
      </w:r>
    </w:p>
    <w:p w14:paraId="5DD8D7A1" w14:textId="47661517" w:rsidR="00E34DFD" w:rsidRPr="009C4C4D" w:rsidRDefault="002D4422" w:rsidP="00C45932">
      <w:pPr>
        <w:pStyle w:val="Prrafodelista"/>
        <w:numPr>
          <w:ilvl w:val="0"/>
          <w:numId w:val="3"/>
        </w:numPr>
        <w:spacing w:before="120" w:after="120" w:line="240" w:lineRule="auto"/>
        <w:ind w:left="0" w:firstLine="0"/>
        <w:contextualSpacing w:val="0"/>
        <w:jc w:val="both"/>
        <w:rPr>
          <w:rFonts w:ascii="Verdana" w:hAnsi="Verdana"/>
          <w:b/>
          <w:sz w:val="20"/>
          <w:szCs w:val="20"/>
        </w:rPr>
      </w:pPr>
      <w:r w:rsidRPr="002D4422">
        <w:rPr>
          <w:rFonts w:ascii="Verdana" w:hAnsi="Verdana"/>
          <w:sz w:val="20"/>
          <w:szCs w:val="20"/>
        </w:rPr>
        <w:t xml:space="preserve">Al respecto, </w:t>
      </w:r>
      <w:r w:rsidRPr="00C45932">
        <w:rPr>
          <w:rFonts w:ascii="Verdana" w:hAnsi="Verdana"/>
          <w:sz w:val="20"/>
          <w:szCs w:val="20"/>
        </w:rPr>
        <w:t>Colombia</w:t>
      </w:r>
      <w:r w:rsidRPr="002D4422">
        <w:rPr>
          <w:rFonts w:ascii="Verdana" w:hAnsi="Verdana"/>
          <w:sz w:val="20"/>
          <w:szCs w:val="20"/>
        </w:rPr>
        <w:t xml:space="preserve"> afirmó en agosto de 2018 que tiene “disposición y compromiso para </w:t>
      </w:r>
      <w:proofErr w:type="gramStart"/>
      <w:r w:rsidRPr="002D4422">
        <w:rPr>
          <w:rFonts w:ascii="Verdana" w:hAnsi="Verdana"/>
          <w:sz w:val="20"/>
          <w:szCs w:val="20"/>
        </w:rPr>
        <w:t>implementar[</w:t>
      </w:r>
      <w:proofErr w:type="gramEnd"/>
      <w:r w:rsidRPr="002D4422">
        <w:rPr>
          <w:rFonts w:ascii="Verdana" w:hAnsi="Verdana"/>
          <w:sz w:val="20"/>
          <w:szCs w:val="20"/>
        </w:rPr>
        <w:t xml:space="preserve"> esta medida</w:t>
      </w:r>
      <w:r w:rsidR="00F164B0">
        <w:rPr>
          <w:rFonts w:ascii="Verdana" w:hAnsi="Verdana"/>
          <w:sz w:val="20"/>
          <w:szCs w:val="20"/>
        </w:rPr>
        <w:t>]</w:t>
      </w:r>
      <w:r w:rsidRPr="002D4422">
        <w:rPr>
          <w:rFonts w:ascii="Verdana" w:hAnsi="Verdana"/>
          <w:sz w:val="20"/>
          <w:szCs w:val="20"/>
        </w:rPr>
        <w:t xml:space="preserve">” y sostuvo que la Consejería Presidencial </w:t>
      </w:r>
      <w:r w:rsidRPr="00835162">
        <w:rPr>
          <w:rFonts w:ascii="Verdana" w:hAnsi="Verdana"/>
          <w:sz w:val="20"/>
          <w:szCs w:val="20"/>
        </w:rPr>
        <w:t xml:space="preserve">para los Derechos </w:t>
      </w:r>
      <w:r>
        <w:rPr>
          <w:rFonts w:ascii="Verdana" w:hAnsi="Verdana"/>
          <w:sz w:val="20"/>
          <w:szCs w:val="20"/>
        </w:rPr>
        <w:t xml:space="preserve">Humanos estaba </w:t>
      </w:r>
      <w:r w:rsidR="00E624AF">
        <w:rPr>
          <w:rFonts w:ascii="Verdana" w:hAnsi="Verdana"/>
          <w:sz w:val="20"/>
          <w:szCs w:val="20"/>
        </w:rPr>
        <w:t xml:space="preserve">a la espera </w:t>
      </w:r>
      <w:r w:rsidR="003C2364">
        <w:rPr>
          <w:rFonts w:ascii="Verdana" w:hAnsi="Verdana"/>
          <w:sz w:val="20"/>
          <w:szCs w:val="20"/>
        </w:rPr>
        <w:t>de que las representantes le presentaran una propuesta</w:t>
      </w:r>
      <w:r>
        <w:rPr>
          <w:rFonts w:ascii="Verdana" w:hAnsi="Verdana"/>
          <w:sz w:val="20"/>
          <w:szCs w:val="20"/>
        </w:rPr>
        <w:t xml:space="preserve"> para ser tenida en cuenta en su implementación. Posteriormente, en febrero de 2019, las </w:t>
      </w:r>
      <w:r w:rsidRPr="00C45932">
        <w:rPr>
          <w:rFonts w:ascii="Verdana" w:hAnsi="Verdana"/>
          <w:sz w:val="20"/>
          <w:szCs w:val="20"/>
        </w:rPr>
        <w:t>representantes</w:t>
      </w:r>
      <w:r>
        <w:rPr>
          <w:rFonts w:ascii="Verdana" w:hAnsi="Verdana"/>
          <w:sz w:val="20"/>
          <w:szCs w:val="20"/>
        </w:rPr>
        <w:t xml:space="preserve"> informaron que</w:t>
      </w:r>
      <w:r w:rsidR="00835162">
        <w:rPr>
          <w:rFonts w:ascii="Verdana" w:hAnsi="Verdana"/>
          <w:sz w:val="20"/>
          <w:szCs w:val="20"/>
        </w:rPr>
        <w:t xml:space="preserve"> “</w:t>
      </w:r>
      <w:proofErr w:type="spellStart"/>
      <w:r w:rsidR="00835162">
        <w:rPr>
          <w:rFonts w:ascii="Verdana" w:hAnsi="Verdana"/>
          <w:sz w:val="20"/>
          <w:szCs w:val="20"/>
        </w:rPr>
        <w:t>hici</w:t>
      </w:r>
      <w:proofErr w:type="spellEnd"/>
      <w:r w:rsidR="00835162">
        <w:rPr>
          <w:rFonts w:ascii="Verdana" w:hAnsi="Verdana"/>
          <w:sz w:val="20"/>
          <w:szCs w:val="20"/>
        </w:rPr>
        <w:t>[</w:t>
      </w:r>
      <w:proofErr w:type="spellStart"/>
      <w:r w:rsidR="00835162">
        <w:rPr>
          <w:rFonts w:ascii="Verdana" w:hAnsi="Verdana"/>
          <w:sz w:val="20"/>
          <w:szCs w:val="20"/>
        </w:rPr>
        <w:t>eron</w:t>
      </w:r>
      <w:proofErr w:type="spellEnd"/>
      <w:r w:rsidR="00835162">
        <w:rPr>
          <w:rFonts w:ascii="Verdana" w:hAnsi="Verdana"/>
          <w:sz w:val="20"/>
          <w:szCs w:val="20"/>
        </w:rPr>
        <w:t>] una propuesta concreta sobre la que no fue posible llegar a un acuerdo”</w:t>
      </w:r>
      <w:r w:rsidR="00835162">
        <w:rPr>
          <w:rStyle w:val="Refdenotaalpie"/>
          <w:rFonts w:ascii="Verdana" w:hAnsi="Verdana"/>
          <w:sz w:val="20"/>
          <w:szCs w:val="20"/>
        </w:rPr>
        <w:footnoteReference w:id="43"/>
      </w:r>
      <w:r w:rsidR="00835162">
        <w:rPr>
          <w:rFonts w:ascii="Verdana" w:hAnsi="Verdana"/>
          <w:sz w:val="20"/>
          <w:szCs w:val="20"/>
        </w:rPr>
        <w:t xml:space="preserve">. </w:t>
      </w:r>
      <w:r w:rsidR="00835162" w:rsidRPr="00E34DFD">
        <w:rPr>
          <w:rFonts w:ascii="Verdana" w:hAnsi="Verdana"/>
          <w:sz w:val="20"/>
          <w:szCs w:val="20"/>
        </w:rPr>
        <w:t xml:space="preserve">El Estado y las representantes no explicaron </w:t>
      </w:r>
      <w:r w:rsidR="00C938D5">
        <w:rPr>
          <w:rFonts w:ascii="Verdana" w:hAnsi="Verdana"/>
          <w:sz w:val="20"/>
          <w:szCs w:val="20"/>
        </w:rPr>
        <w:t>a este Tribunal</w:t>
      </w:r>
      <w:r w:rsidR="009B05D0">
        <w:rPr>
          <w:rFonts w:ascii="Verdana" w:hAnsi="Verdana"/>
          <w:sz w:val="20"/>
          <w:szCs w:val="20"/>
        </w:rPr>
        <w:t xml:space="preserve"> la referida propuesta ni</w:t>
      </w:r>
      <w:r w:rsidR="00C938D5">
        <w:rPr>
          <w:rFonts w:ascii="Verdana" w:hAnsi="Verdana"/>
          <w:sz w:val="20"/>
          <w:szCs w:val="20"/>
        </w:rPr>
        <w:t xml:space="preserve"> </w:t>
      </w:r>
      <w:r w:rsidR="00835162" w:rsidRPr="00E34DFD">
        <w:rPr>
          <w:rFonts w:ascii="Verdana" w:hAnsi="Verdana"/>
          <w:sz w:val="20"/>
          <w:szCs w:val="20"/>
        </w:rPr>
        <w:t xml:space="preserve">los motivos por los cuales </w:t>
      </w:r>
      <w:r w:rsidR="00835162" w:rsidRPr="009C4C4D">
        <w:rPr>
          <w:rFonts w:ascii="Verdana" w:hAnsi="Verdana"/>
          <w:sz w:val="20"/>
          <w:szCs w:val="20"/>
        </w:rPr>
        <w:t>no pudieron llegar a un acuerdo respecto a la implementación de esta medida</w:t>
      </w:r>
      <w:r w:rsidR="00C938D5">
        <w:rPr>
          <w:rStyle w:val="Refdenotaalpie"/>
          <w:rFonts w:ascii="Verdana" w:hAnsi="Verdana"/>
          <w:sz w:val="20"/>
          <w:szCs w:val="20"/>
        </w:rPr>
        <w:footnoteReference w:id="44"/>
      </w:r>
      <w:r w:rsidR="00835162" w:rsidRPr="009C4C4D">
        <w:rPr>
          <w:rFonts w:ascii="Verdana" w:hAnsi="Verdana"/>
          <w:sz w:val="20"/>
          <w:szCs w:val="20"/>
        </w:rPr>
        <w:t>, por lo cual en esta oportunidad</w:t>
      </w:r>
      <w:r w:rsidR="00C938D5">
        <w:rPr>
          <w:rFonts w:ascii="Verdana" w:hAnsi="Verdana"/>
          <w:sz w:val="20"/>
          <w:szCs w:val="20"/>
        </w:rPr>
        <w:t xml:space="preserve"> no puede </w:t>
      </w:r>
      <w:r w:rsidR="00835162" w:rsidRPr="009C4C4D">
        <w:rPr>
          <w:rFonts w:ascii="Verdana" w:hAnsi="Verdana"/>
          <w:sz w:val="20"/>
          <w:szCs w:val="20"/>
        </w:rPr>
        <w:t xml:space="preserve">emitir un pronunciamiento </w:t>
      </w:r>
      <w:r w:rsidR="00C938D5">
        <w:rPr>
          <w:rFonts w:ascii="Verdana" w:hAnsi="Verdana"/>
          <w:sz w:val="20"/>
          <w:szCs w:val="20"/>
        </w:rPr>
        <w:t>sobre los desacuerdos existentes</w:t>
      </w:r>
      <w:r w:rsidR="009B05D0">
        <w:rPr>
          <w:rFonts w:ascii="Verdana" w:hAnsi="Verdana"/>
          <w:sz w:val="20"/>
          <w:szCs w:val="20"/>
        </w:rPr>
        <w:t xml:space="preserve"> entre las partes,</w:t>
      </w:r>
      <w:r w:rsidR="00C938D5">
        <w:rPr>
          <w:rFonts w:ascii="Verdana" w:hAnsi="Verdana"/>
          <w:sz w:val="20"/>
          <w:szCs w:val="20"/>
        </w:rPr>
        <w:t xml:space="preserve"> a fin de</w:t>
      </w:r>
      <w:r w:rsidR="00835162" w:rsidRPr="009C4C4D">
        <w:rPr>
          <w:rFonts w:ascii="Verdana" w:hAnsi="Verdana"/>
          <w:sz w:val="20"/>
          <w:szCs w:val="20"/>
        </w:rPr>
        <w:t xml:space="preserve"> avanzar en el cumplimiento de </w:t>
      </w:r>
      <w:r w:rsidR="00F164B0">
        <w:rPr>
          <w:rFonts w:ascii="Verdana" w:hAnsi="Verdana"/>
          <w:sz w:val="20"/>
          <w:szCs w:val="20"/>
        </w:rPr>
        <w:t>la referida</w:t>
      </w:r>
      <w:r w:rsidR="00F164B0" w:rsidRPr="009C4C4D">
        <w:rPr>
          <w:rFonts w:ascii="Verdana" w:hAnsi="Verdana"/>
          <w:sz w:val="20"/>
          <w:szCs w:val="20"/>
        </w:rPr>
        <w:t xml:space="preserve"> </w:t>
      </w:r>
      <w:r w:rsidR="00835162" w:rsidRPr="009C4C4D">
        <w:rPr>
          <w:rFonts w:ascii="Verdana" w:hAnsi="Verdana"/>
          <w:sz w:val="20"/>
          <w:szCs w:val="20"/>
        </w:rPr>
        <w:t xml:space="preserve">medida. </w:t>
      </w:r>
    </w:p>
    <w:p w14:paraId="62D527E8" w14:textId="38F20F5F" w:rsidR="00901419" w:rsidRPr="00901419" w:rsidRDefault="00C938D5" w:rsidP="004406B5">
      <w:pPr>
        <w:pStyle w:val="Prrafodelista"/>
        <w:numPr>
          <w:ilvl w:val="0"/>
          <w:numId w:val="3"/>
        </w:numPr>
        <w:spacing w:before="120" w:after="120" w:line="240" w:lineRule="auto"/>
        <w:ind w:left="0" w:firstLine="0"/>
        <w:contextualSpacing w:val="0"/>
        <w:jc w:val="both"/>
        <w:rPr>
          <w:rFonts w:ascii="Verdana" w:hAnsi="Verdana"/>
          <w:b/>
          <w:sz w:val="20"/>
          <w:szCs w:val="20"/>
        </w:rPr>
      </w:pPr>
      <w:bookmarkStart w:id="36" w:name="_Ref26787245"/>
      <w:r>
        <w:rPr>
          <w:rFonts w:ascii="Verdana" w:hAnsi="Verdana"/>
          <w:sz w:val="20"/>
          <w:szCs w:val="20"/>
        </w:rPr>
        <w:t>No obstante lo anterior, c</w:t>
      </w:r>
      <w:r w:rsidR="00835162" w:rsidRPr="009C4C4D">
        <w:rPr>
          <w:rFonts w:ascii="Verdana" w:hAnsi="Verdana"/>
          <w:sz w:val="20"/>
          <w:szCs w:val="20"/>
        </w:rPr>
        <w:t xml:space="preserve">onsiderando que </w:t>
      </w:r>
      <w:r w:rsidR="001A64FD" w:rsidRPr="009C4C4D">
        <w:rPr>
          <w:rFonts w:ascii="Verdana" w:hAnsi="Verdana"/>
          <w:sz w:val="20"/>
          <w:szCs w:val="20"/>
        </w:rPr>
        <w:t xml:space="preserve">han transcurrido aproximadamente un año y diez meses desde el vencimiento del plazo </w:t>
      </w:r>
      <w:r w:rsidR="009B05D0">
        <w:rPr>
          <w:rFonts w:ascii="Verdana" w:hAnsi="Verdana"/>
          <w:sz w:val="20"/>
          <w:szCs w:val="20"/>
        </w:rPr>
        <w:t xml:space="preserve">de un año </w:t>
      </w:r>
      <w:r w:rsidR="001A64FD" w:rsidRPr="009C4C4D">
        <w:rPr>
          <w:rFonts w:ascii="Verdana" w:hAnsi="Verdana"/>
          <w:sz w:val="20"/>
          <w:szCs w:val="20"/>
        </w:rPr>
        <w:t xml:space="preserve">otorgado en la Sentencia para el cumplimiento de </w:t>
      </w:r>
      <w:r w:rsidR="00F164B0">
        <w:rPr>
          <w:rFonts w:ascii="Verdana" w:hAnsi="Verdana"/>
          <w:sz w:val="20"/>
          <w:szCs w:val="20"/>
        </w:rPr>
        <w:t>la</w:t>
      </w:r>
      <w:r w:rsidR="00F164B0" w:rsidRPr="009C4C4D">
        <w:rPr>
          <w:rFonts w:ascii="Verdana" w:hAnsi="Verdana"/>
          <w:sz w:val="20"/>
          <w:szCs w:val="20"/>
        </w:rPr>
        <w:t xml:space="preserve"> </w:t>
      </w:r>
      <w:r w:rsidR="009C4C4D">
        <w:rPr>
          <w:rFonts w:ascii="Verdana" w:hAnsi="Verdana"/>
          <w:sz w:val="20"/>
          <w:szCs w:val="20"/>
        </w:rPr>
        <w:t>medida (</w:t>
      </w:r>
      <w:r w:rsidR="009C4C4D" w:rsidRPr="009C4C4D">
        <w:rPr>
          <w:rFonts w:ascii="Verdana" w:hAnsi="Verdana"/>
          <w:i/>
          <w:sz w:val="20"/>
          <w:szCs w:val="20"/>
        </w:rPr>
        <w:t xml:space="preserve">supra </w:t>
      </w:r>
      <w:r w:rsidR="009C4C4D">
        <w:rPr>
          <w:rFonts w:ascii="Verdana" w:hAnsi="Verdana"/>
          <w:sz w:val="20"/>
          <w:szCs w:val="20"/>
        </w:rPr>
        <w:t xml:space="preserve">Considerando </w:t>
      </w:r>
      <w:r w:rsidR="00F164B0">
        <w:rPr>
          <w:rFonts w:ascii="Verdana" w:hAnsi="Verdana"/>
          <w:sz w:val="20"/>
          <w:szCs w:val="20"/>
        </w:rPr>
        <w:fldChar w:fldCharType="begin"/>
      </w:r>
      <w:r w:rsidR="00F164B0">
        <w:rPr>
          <w:rFonts w:ascii="Verdana" w:hAnsi="Verdana"/>
          <w:sz w:val="20"/>
          <w:szCs w:val="20"/>
        </w:rPr>
        <w:instrText xml:space="preserve"> REF _Ref26777406 \r \h </w:instrText>
      </w:r>
      <w:r w:rsidR="00F164B0">
        <w:rPr>
          <w:rFonts w:ascii="Verdana" w:hAnsi="Verdana"/>
          <w:sz w:val="20"/>
          <w:szCs w:val="20"/>
        </w:rPr>
      </w:r>
      <w:r w:rsidR="00F164B0">
        <w:rPr>
          <w:rFonts w:ascii="Verdana" w:hAnsi="Verdana"/>
          <w:sz w:val="20"/>
          <w:szCs w:val="20"/>
        </w:rPr>
        <w:fldChar w:fldCharType="separate"/>
      </w:r>
      <w:r w:rsidR="00630FCA">
        <w:rPr>
          <w:rFonts w:ascii="Verdana" w:hAnsi="Verdana"/>
          <w:sz w:val="20"/>
          <w:szCs w:val="20"/>
        </w:rPr>
        <w:t>39</w:t>
      </w:r>
      <w:r w:rsidR="00F164B0">
        <w:rPr>
          <w:rFonts w:ascii="Verdana" w:hAnsi="Verdana"/>
          <w:sz w:val="20"/>
          <w:szCs w:val="20"/>
        </w:rPr>
        <w:fldChar w:fldCharType="end"/>
      </w:r>
      <w:r w:rsidR="009C4C4D">
        <w:rPr>
          <w:rFonts w:ascii="Verdana" w:hAnsi="Verdana"/>
          <w:sz w:val="20"/>
          <w:szCs w:val="20"/>
        </w:rPr>
        <w:t>)</w:t>
      </w:r>
      <w:r w:rsidR="001A64FD" w:rsidRPr="009C4C4D">
        <w:rPr>
          <w:rFonts w:ascii="Verdana" w:hAnsi="Verdana"/>
          <w:sz w:val="20"/>
          <w:szCs w:val="20"/>
        </w:rPr>
        <w:t xml:space="preserve">, </w:t>
      </w:r>
      <w:r w:rsidR="009C4C4D">
        <w:rPr>
          <w:rFonts w:ascii="Verdana" w:hAnsi="Verdana"/>
          <w:sz w:val="20"/>
          <w:szCs w:val="20"/>
        </w:rPr>
        <w:t xml:space="preserve">así como el interés común de las partes en alcanzar su cumplimiento, se </w:t>
      </w:r>
      <w:r>
        <w:rPr>
          <w:rFonts w:ascii="Verdana" w:hAnsi="Verdana"/>
          <w:sz w:val="20"/>
          <w:szCs w:val="20"/>
        </w:rPr>
        <w:t xml:space="preserve">solicita </w:t>
      </w:r>
      <w:r w:rsidR="009C4C4D">
        <w:rPr>
          <w:rFonts w:ascii="Verdana" w:hAnsi="Verdana"/>
          <w:sz w:val="20"/>
          <w:szCs w:val="20"/>
        </w:rPr>
        <w:t xml:space="preserve">que a más tardar el </w:t>
      </w:r>
      <w:r w:rsidR="00797329">
        <w:rPr>
          <w:rFonts w:ascii="Verdana" w:hAnsi="Verdana"/>
          <w:sz w:val="20"/>
          <w:szCs w:val="20"/>
        </w:rPr>
        <w:t>16</w:t>
      </w:r>
      <w:r w:rsidR="009C4C4D">
        <w:rPr>
          <w:rFonts w:ascii="Verdana" w:hAnsi="Verdana"/>
          <w:sz w:val="20"/>
          <w:szCs w:val="20"/>
        </w:rPr>
        <w:t xml:space="preserve"> de </w:t>
      </w:r>
      <w:r w:rsidR="00797329">
        <w:rPr>
          <w:rFonts w:ascii="Verdana" w:hAnsi="Verdana"/>
          <w:sz w:val="20"/>
          <w:szCs w:val="20"/>
        </w:rPr>
        <w:t>marzo</w:t>
      </w:r>
      <w:r w:rsidR="009C4C4D">
        <w:rPr>
          <w:rFonts w:ascii="Verdana" w:hAnsi="Verdana"/>
          <w:sz w:val="20"/>
          <w:szCs w:val="20"/>
        </w:rPr>
        <w:t xml:space="preserve"> de 2020, las autoridades estatales correspondientes, las representantes y aquellas víctimas interesadas, sostengan una reunión con el fin de elaborar conjuntamente una propuesta</w:t>
      </w:r>
      <w:r w:rsidR="004406B5">
        <w:rPr>
          <w:rFonts w:ascii="Verdana" w:hAnsi="Verdana"/>
          <w:sz w:val="20"/>
          <w:szCs w:val="20"/>
        </w:rPr>
        <w:t xml:space="preserve"> para la realización</w:t>
      </w:r>
      <w:r w:rsidR="009B05D0">
        <w:rPr>
          <w:rFonts w:ascii="Verdana" w:hAnsi="Verdana"/>
          <w:sz w:val="20"/>
          <w:szCs w:val="20"/>
        </w:rPr>
        <w:t xml:space="preserve"> de</w:t>
      </w:r>
      <w:r w:rsidR="004406B5">
        <w:rPr>
          <w:rFonts w:ascii="Verdana" w:hAnsi="Verdana"/>
          <w:sz w:val="20"/>
          <w:szCs w:val="20"/>
        </w:rPr>
        <w:t>l</w:t>
      </w:r>
      <w:r w:rsidR="009B05D0">
        <w:rPr>
          <w:rFonts w:ascii="Verdana" w:hAnsi="Verdana"/>
          <w:sz w:val="20"/>
          <w:szCs w:val="20"/>
        </w:rPr>
        <w:t xml:space="preserve"> acto público de reconocimiento de </w:t>
      </w:r>
      <w:r w:rsidR="00F164B0">
        <w:rPr>
          <w:rFonts w:ascii="Verdana" w:hAnsi="Verdana"/>
          <w:sz w:val="20"/>
          <w:szCs w:val="20"/>
        </w:rPr>
        <w:t xml:space="preserve">responsabilidad </w:t>
      </w:r>
      <w:r w:rsidR="00F164B0">
        <w:rPr>
          <w:rFonts w:ascii="Verdana" w:hAnsi="Verdana"/>
          <w:sz w:val="20"/>
          <w:szCs w:val="20"/>
        </w:rPr>
        <w:lastRenderedPageBreak/>
        <w:t>internacional</w:t>
      </w:r>
      <w:r w:rsidR="00901419">
        <w:rPr>
          <w:rFonts w:ascii="Verdana" w:hAnsi="Verdana"/>
          <w:sz w:val="20"/>
          <w:szCs w:val="20"/>
        </w:rPr>
        <w:t>, acorde a las disposiciones de la Sentencia (</w:t>
      </w:r>
      <w:r w:rsidR="00901419" w:rsidRPr="00901419">
        <w:rPr>
          <w:rFonts w:ascii="Verdana" w:hAnsi="Verdana"/>
          <w:i/>
          <w:sz w:val="20"/>
          <w:szCs w:val="20"/>
        </w:rPr>
        <w:t xml:space="preserve">supra </w:t>
      </w:r>
      <w:r w:rsidR="00901419">
        <w:rPr>
          <w:rFonts w:ascii="Verdana" w:hAnsi="Verdana"/>
          <w:sz w:val="20"/>
          <w:szCs w:val="20"/>
        </w:rPr>
        <w:t xml:space="preserve">Considerando </w:t>
      </w:r>
      <w:r w:rsidR="00F164B0">
        <w:rPr>
          <w:rFonts w:ascii="Verdana" w:hAnsi="Verdana"/>
          <w:sz w:val="20"/>
          <w:szCs w:val="20"/>
        </w:rPr>
        <w:fldChar w:fldCharType="begin"/>
      </w:r>
      <w:r w:rsidR="00F164B0">
        <w:rPr>
          <w:rFonts w:ascii="Verdana" w:hAnsi="Verdana"/>
          <w:sz w:val="20"/>
          <w:szCs w:val="20"/>
        </w:rPr>
        <w:instrText xml:space="preserve"> REF _Ref26777406 \r \h </w:instrText>
      </w:r>
      <w:r w:rsidR="00F164B0">
        <w:rPr>
          <w:rFonts w:ascii="Verdana" w:hAnsi="Verdana"/>
          <w:sz w:val="20"/>
          <w:szCs w:val="20"/>
        </w:rPr>
      </w:r>
      <w:r w:rsidR="00F164B0">
        <w:rPr>
          <w:rFonts w:ascii="Verdana" w:hAnsi="Verdana"/>
          <w:sz w:val="20"/>
          <w:szCs w:val="20"/>
        </w:rPr>
        <w:fldChar w:fldCharType="separate"/>
      </w:r>
      <w:r w:rsidR="00630FCA">
        <w:rPr>
          <w:rFonts w:ascii="Verdana" w:hAnsi="Verdana"/>
          <w:sz w:val="20"/>
          <w:szCs w:val="20"/>
        </w:rPr>
        <w:t>39</w:t>
      </w:r>
      <w:r w:rsidR="00F164B0">
        <w:rPr>
          <w:rFonts w:ascii="Verdana" w:hAnsi="Verdana"/>
          <w:sz w:val="20"/>
          <w:szCs w:val="20"/>
        </w:rPr>
        <w:fldChar w:fldCharType="end"/>
      </w:r>
      <w:r w:rsidR="00901419">
        <w:rPr>
          <w:rFonts w:ascii="Verdana" w:hAnsi="Verdana"/>
          <w:sz w:val="20"/>
          <w:szCs w:val="20"/>
        </w:rPr>
        <w:t xml:space="preserve">), que permita llevar a cabo el </w:t>
      </w:r>
      <w:r w:rsidR="00F164B0">
        <w:rPr>
          <w:rFonts w:ascii="Verdana" w:hAnsi="Verdana"/>
          <w:sz w:val="20"/>
          <w:szCs w:val="20"/>
        </w:rPr>
        <w:t xml:space="preserve">referido </w:t>
      </w:r>
      <w:r w:rsidR="00901419">
        <w:rPr>
          <w:rFonts w:ascii="Verdana" w:hAnsi="Verdana"/>
          <w:sz w:val="20"/>
          <w:szCs w:val="20"/>
        </w:rPr>
        <w:t>acto</w:t>
      </w:r>
      <w:r w:rsidR="004406B5">
        <w:rPr>
          <w:rFonts w:ascii="Verdana" w:hAnsi="Verdana"/>
          <w:sz w:val="20"/>
          <w:szCs w:val="20"/>
        </w:rPr>
        <w:t xml:space="preserve"> </w:t>
      </w:r>
      <w:r w:rsidR="00901419">
        <w:rPr>
          <w:rFonts w:ascii="Verdana" w:hAnsi="Verdana"/>
          <w:sz w:val="20"/>
          <w:szCs w:val="20"/>
        </w:rPr>
        <w:t xml:space="preserve">en el menor plazo posible. Se requiere que las partes que en el plazo indicado en el punto resolutivo </w:t>
      </w:r>
      <w:r w:rsidR="00F164B0">
        <w:rPr>
          <w:rFonts w:ascii="Verdana" w:hAnsi="Verdana"/>
          <w:sz w:val="20"/>
          <w:szCs w:val="20"/>
        </w:rPr>
        <w:fldChar w:fldCharType="begin"/>
      </w:r>
      <w:r w:rsidR="00F164B0">
        <w:rPr>
          <w:rFonts w:ascii="Verdana" w:hAnsi="Verdana"/>
          <w:sz w:val="20"/>
          <w:szCs w:val="20"/>
        </w:rPr>
        <w:instrText xml:space="preserve"> REF _Ref26785784 \r \h </w:instrText>
      </w:r>
      <w:r w:rsidR="00F164B0">
        <w:rPr>
          <w:rFonts w:ascii="Verdana" w:hAnsi="Verdana"/>
          <w:sz w:val="20"/>
          <w:szCs w:val="20"/>
        </w:rPr>
      </w:r>
      <w:r w:rsidR="00F164B0">
        <w:rPr>
          <w:rFonts w:ascii="Verdana" w:hAnsi="Verdana"/>
          <w:sz w:val="20"/>
          <w:szCs w:val="20"/>
        </w:rPr>
        <w:fldChar w:fldCharType="separate"/>
      </w:r>
      <w:r w:rsidR="00630FCA">
        <w:rPr>
          <w:rFonts w:ascii="Verdana" w:hAnsi="Verdana"/>
          <w:sz w:val="20"/>
          <w:szCs w:val="20"/>
        </w:rPr>
        <w:t>5</w:t>
      </w:r>
      <w:r w:rsidR="00F164B0">
        <w:rPr>
          <w:rFonts w:ascii="Verdana" w:hAnsi="Verdana"/>
          <w:sz w:val="20"/>
          <w:szCs w:val="20"/>
        </w:rPr>
        <w:fldChar w:fldCharType="end"/>
      </w:r>
      <w:r w:rsidR="00901419">
        <w:rPr>
          <w:rFonts w:ascii="Verdana" w:hAnsi="Verdana"/>
          <w:sz w:val="20"/>
          <w:szCs w:val="20"/>
        </w:rPr>
        <w:t xml:space="preserve"> de la presente Resolución </w:t>
      </w:r>
      <w:r w:rsidR="00E06A42">
        <w:rPr>
          <w:rFonts w:ascii="Verdana" w:hAnsi="Verdana"/>
          <w:sz w:val="20"/>
          <w:szCs w:val="20"/>
        </w:rPr>
        <w:t>remitan al Tribunal la referida propuesta conjunta</w:t>
      </w:r>
      <w:r w:rsidR="00901419">
        <w:rPr>
          <w:rFonts w:ascii="Verdana" w:hAnsi="Verdana"/>
          <w:sz w:val="20"/>
          <w:szCs w:val="20"/>
        </w:rPr>
        <w:t>.</w:t>
      </w:r>
      <w:bookmarkEnd w:id="36"/>
    </w:p>
    <w:p w14:paraId="2668E91E" w14:textId="4A8678B0" w:rsidR="009C4C4D" w:rsidRPr="00901419" w:rsidRDefault="00901419" w:rsidP="004406B5">
      <w:pPr>
        <w:pStyle w:val="Prrafodelista"/>
        <w:numPr>
          <w:ilvl w:val="0"/>
          <w:numId w:val="3"/>
        </w:numPr>
        <w:spacing w:before="120" w:after="120" w:line="240" w:lineRule="auto"/>
        <w:ind w:left="0" w:firstLine="0"/>
        <w:contextualSpacing w:val="0"/>
        <w:jc w:val="both"/>
        <w:rPr>
          <w:rFonts w:ascii="Verdana" w:hAnsi="Verdana"/>
          <w:b/>
          <w:sz w:val="20"/>
          <w:szCs w:val="20"/>
        </w:rPr>
      </w:pPr>
      <w:bookmarkStart w:id="37" w:name="_Ref26787293"/>
      <w:r>
        <w:rPr>
          <w:rFonts w:ascii="Verdana" w:hAnsi="Verdana"/>
          <w:sz w:val="20"/>
          <w:szCs w:val="20"/>
        </w:rPr>
        <w:t>En consecuencia, este Tribunal considera que se encuentra pendiente de cumplimiento la medida de reparación ordenada en el punto resolutivo trigésimo de la Sentencia, relativa a realizar un acto público de reconocimiento de responsabilidad internacional por las violaciones de este caso.</w:t>
      </w:r>
      <w:bookmarkEnd w:id="37"/>
    </w:p>
    <w:p w14:paraId="21C3E4B7" w14:textId="77777777" w:rsidR="007D065C" w:rsidRDefault="007D065C" w:rsidP="002670E3">
      <w:pPr>
        <w:tabs>
          <w:tab w:val="left" w:pos="0"/>
          <w:tab w:val="left" w:pos="3187"/>
        </w:tabs>
        <w:autoSpaceDE w:val="0"/>
        <w:autoSpaceDN w:val="0"/>
        <w:adjustRightInd w:val="0"/>
        <w:spacing w:before="120" w:after="120" w:line="240" w:lineRule="auto"/>
        <w:ind w:right="99"/>
        <w:jc w:val="both"/>
        <w:rPr>
          <w:rFonts w:ascii="Verdana" w:hAnsi="Verdana" w:cs="Verdana"/>
          <w:bCs/>
          <w:sz w:val="20"/>
          <w:szCs w:val="20"/>
        </w:rPr>
      </w:pPr>
    </w:p>
    <w:p w14:paraId="7329F886" w14:textId="77777777" w:rsidR="002C24CE" w:rsidRPr="00FA43B1" w:rsidRDefault="002C24CE" w:rsidP="002670E3">
      <w:pPr>
        <w:pStyle w:val="Ttulo2"/>
        <w:numPr>
          <w:ilvl w:val="0"/>
          <w:numId w:val="30"/>
        </w:numPr>
        <w:spacing w:before="120" w:after="120" w:line="240" w:lineRule="auto"/>
        <w:jc w:val="both"/>
        <w:rPr>
          <w:rFonts w:ascii="Verdana" w:hAnsi="Verdana"/>
          <w:b/>
          <w:i/>
          <w:color w:val="auto"/>
          <w:sz w:val="20"/>
          <w:szCs w:val="20"/>
        </w:rPr>
      </w:pPr>
      <w:bookmarkStart w:id="38" w:name="_Toc23769104"/>
      <w:r w:rsidRPr="00FA43B1">
        <w:rPr>
          <w:rFonts w:ascii="Verdana" w:hAnsi="Verdana"/>
          <w:b/>
          <w:i/>
          <w:color w:val="auto"/>
          <w:sz w:val="20"/>
          <w:szCs w:val="20"/>
        </w:rPr>
        <w:t xml:space="preserve">Programa, curso o taller </w:t>
      </w:r>
      <w:r w:rsidR="0040400F" w:rsidRPr="00FA43B1">
        <w:rPr>
          <w:rFonts w:ascii="Verdana" w:hAnsi="Verdana"/>
          <w:b/>
          <w:i/>
          <w:color w:val="auto"/>
          <w:sz w:val="20"/>
          <w:szCs w:val="20"/>
        </w:rPr>
        <w:t>para promover e instruir sobre el trabajo de las defensoras y defensores de derechos humanos en la</w:t>
      </w:r>
      <w:r w:rsidRPr="00FA43B1">
        <w:rPr>
          <w:rFonts w:ascii="Verdana" w:hAnsi="Verdana"/>
          <w:b/>
          <w:i/>
          <w:color w:val="auto"/>
          <w:sz w:val="20"/>
          <w:szCs w:val="20"/>
        </w:rPr>
        <w:t xml:space="preserve"> Comuna 13</w:t>
      </w:r>
      <w:bookmarkEnd w:id="38"/>
    </w:p>
    <w:p w14:paraId="2C3027CA" w14:textId="77777777" w:rsidR="002C24CE" w:rsidRDefault="002C24CE" w:rsidP="002670E3">
      <w:pPr>
        <w:spacing w:before="120" w:after="120" w:line="240" w:lineRule="auto"/>
        <w:ind w:left="720"/>
        <w:jc w:val="both"/>
        <w:rPr>
          <w:rFonts w:ascii="Verdana" w:hAnsi="Verdana"/>
          <w:i/>
          <w:sz w:val="20"/>
          <w:szCs w:val="20"/>
        </w:rPr>
      </w:pPr>
      <w:r>
        <w:rPr>
          <w:rFonts w:ascii="Verdana" w:hAnsi="Verdana"/>
          <w:i/>
          <w:sz w:val="20"/>
          <w:szCs w:val="20"/>
        </w:rPr>
        <w:t>E</w:t>
      </w:r>
      <w:r w:rsidRPr="00CA38EE">
        <w:rPr>
          <w:rFonts w:ascii="Verdana" w:hAnsi="Verdana"/>
          <w:i/>
          <w:sz w:val="20"/>
          <w:szCs w:val="20"/>
        </w:rPr>
        <w:t>.1. Medida ordenada por la Corte</w:t>
      </w:r>
    </w:p>
    <w:p w14:paraId="4E7334A4" w14:textId="05129430" w:rsidR="00B9483B" w:rsidRPr="00F246CD" w:rsidRDefault="00ED0D6E" w:rsidP="0098262F">
      <w:pPr>
        <w:pStyle w:val="Prrafodelista"/>
        <w:numPr>
          <w:ilvl w:val="0"/>
          <w:numId w:val="3"/>
        </w:numPr>
        <w:spacing w:before="120" w:after="120" w:line="240" w:lineRule="auto"/>
        <w:ind w:left="0" w:firstLine="0"/>
        <w:contextualSpacing w:val="0"/>
        <w:jc w:val="both"/>
        <w:rPr>
          <w:rFonts w:ascii="Verdana" w:hAnsi="Verdana"/>
          <w:sz w:val="20"/>
          <w:szCs w:val="20"/>
        </w:rPr>
      </w:pPr>
      <w:bookmarkStart w:id="39" w:name="_Ref26777414"/>
      <w:r w:rsidRPr="00086002">
        <w:rPr>
          <w:rFonts w:ascii="Verdana" w:hAnsi="Verdana"/>
          <w:sz w:val="20"/>
          <w:szCs w:val="20"/>
        </w:rPr>
        <w:t>En el punto resolutivo</w:t>
      </w:r>
      <w:r w:rsidR="00B9483B" w:rsidRPr="00086002">
        <w:rPr>
          <w:rFonts w:ascii="Verdana" w:hAnsi="Verdana"/>
          <w:sz w:val="20"/>
          <w:szCs w:val="20"/>
        </w:rPr>
        <w:t xml:space="preserve"> trigésimo primero y el párrafo 350 de la Sentencia</w:t>
      </w:r>
      <w:r w:rsidR="00A34881">
        <w:rPr>
          <w:rFonts w:ascii="Verdana" w:hAnsi="Verdana"/>
          <w:sz w:val="20"/>
          <w:szCs w:val="20"/>
        </w:rPr>
        <w:t>,</w:t>
      </w:r>
      <w:r w:rsidR="00B9483B" w:rsidRPr="00086002">
        <w:rPr>
          <w:rFonts w:ascii="Verdana" w:hAnsi="Verdana"/>
          <w:sz w:val="20"/>
          <w:szCs w:val="20"/>
        </w:rPr>
        <w:t xml:space="preserve"> la Corte dispuso que el Estado debía “implementar, en el plazo de un año a partir de la notificación de la [</w:t>
      </w:r>
      <w:r w:rsidR="00B9483B" w:rsidRPr="00DA4529">
        <w:rPr>
          <w:rFonts w:ascii="Verdana" w:hAnsi="Verdana"/>
          <w:sz w:val="20"/>
          <w:szCs w:val="20"/>
        </w:rPr>
        <w:t xml:space="preserve">…] Sentencia, un </w:t>
      </w:r>
      <w:r w:rsidR="00B9483B" w:rsidRPr="00086002">
        <w:rPr>
          <w:rFonts w:ascii="Verdana" w:hAnsi="Verdana"/>
          <w:sz w:val="20"/>
          <w:szCs w:val="20"/>
        </w:rPr>
        <w:t xml:space="preserve">programa, curso o taller –puede tratarse de los ya creados por el Estado o bien uno exclusivo para la Comuna 13– que deberá brindarse por las entidades estatales correspondientes dentro de la Comuna 13, y será destinado a promover e instruir sobre el trabajo de las defensoras y defensores de derechos humanos en la Comuna 13 y a fomentar y fortalecer los espacios de diálogo entre la población que allí habita, las defensoras y defensores y el Estado”. Dispuso además que, “el mismo deberá incluir en su temario la experiencia y hechos acaecidos a las señoras Yarce, Mosquera, Naranjo, Ospina y Rúa como consecuencia de su lucha y compromiso con la sociedad, con el objeto de ejemplificar los riesgos que la defensa de los derechos humanos puede acarrear y así fomentar el reconocimiento hacia quienes trabajan en dicha tarea”. Asimismo, estableció que “dicho curso, deberá brindarse a todo miembro de las </w:t>
      </w:r>
      <w:proofErr w:type="gramStart"/>
      <w:r w:rsidR="00B9483B" w:rsidRPr="006B188B">
        <w:rPr>
          <w:rFonts w:ascii="Verdana" w:hAnsi="Verdana"/>
          <w:sz w:val="20"/>
          <w:szCs w:val="20"/>
        </w:rPr>
        <w:t>J</w:t>
      </w:r>
      <w:r w:rsidR="006B188B" w:rsidRPr="006B188B">
        <w:rPr>
          <w:rFonts w:ascii="Verdana" w:hAnsi="Verdana"/>
          <w:sz w:val="20"/>
          <w:szCs w:val="20"/>
        </w:rPr>
        <w:t>[</w:t>
      </w:r>
      <w:proofErr w:type="gramEnd"/>
      <w:r w:rsidR="006B188B" w:rsidRPr="006B188B">
        <w:rPr>
          <w:rFonts w:ascii="Verdana" w:hAnsi="Verdana"/>
          <w:sz w:val="20"/>
          <w:szCs w:val="20"/>
        </w:rPr>
        <w:t xml:space="preserve">untas de Acción Comunal] </w:t>
      </w:r>
      <w:proofErr w:type="spellStart"/>
      <w:r w:rsidR="006B188B" w:rsidRPr="006B188B">
        <w:rPr>
          <w:rFonts w:ascii="Verdana" w:hAnsi="Verdana"/>
          <w:sz w:val="20"/>
          <w:szCs w:val="20"/>
        </w:rPr>
        <w:t>JACs</w:t>
      </w:r>
      <w:proofErr w:type="spellEnd"/>
      <w:r w:rsidR="00B9483B" w:rsidRPr="00006107">
        <w:rPr>
          <w:rFonts w:ascii="Verdana" w:hAnsi="Verdana"/>
          <w:sz w:val="20"/>
          <w:szCs w:val="20"/>
        </w:rPr>
        <w:t xml:space="preserve"> como cualquier habitante de la Comuna que así lo desee”. Finalmente, orden</w:t>
      </w:r>
      <w:r w:rsidR="00B9483B" w:rsidRPr="003D23B9">
        <w:rPr>
          <w:rFonts w:ascii="Verdana" w:hAnsi="Verdana"/>
          <w:sz w:val="20"/>
          <w:szCs w:val="20"/>
        </w:rPr>
        <w:t>ó a Colombia que,</w:t>
      </w:r>
      <w:r w:rsidR="00B9483B" w:rsidRPr="006D1B1D">
        <w:rPr>
          <w:rFonts w:ascii="Verdana" w:hAnsi="Verdana"/>
          <w:sz w:val="20"/>
          <w:szCs w:val="20"/>
        </w:rPr>
        <w:t xml:space="preserve"> </w:t>
      </w:r>
      <w:r w:rsidR="00B9483B" w:rsidRPr="00C24C67">
        <w:rPr>
          <w:rFonts w:ascii="Verdana" w:hAnsi="Verdana"/>
          <w:sz w:val="20"/>
          <w:szCs w:val="20"/>
        </w:rPr>
        <w:t>“a partir de la notificación de la [</w:t>
      </w:r>
      <w:r w:rsidR="00B9483B" w:rsidRPr="00E37033">
        <w:rPr>
          <w:rFonts w:ascii="Verdana" w:hAnsi="Verdana"/>
          <w:sz w:val="20"/>
          <w:szCs w:val="20"/>
        </w:rPr>
        <w:t xml:space="preserve">…] </w:t>
      </w:r>
      <w:r w:rsidR="00B9483B" w:rsidRPr="00F246CD">
        <w:rPr>
          <w:rFonts w:ascii="Verdana" w:hAnsi="Verdana"/>
          <w:sz w:val="20"/>
          <w:szCs w:val="20"/>
        </w:rPr>
        <w:t xml:space="preserve">Sentencia, </w:t>
      </w:r>
      <w:proofErr w:type="spellStart"/>
      <w:r w:rsidR="00B9483B" w:rsidRPr="00F246CD">
        <w:rPr>
          <w:rFonts w:ascii="Verdana" w:hAnsi="Verdana"/>
          <w:sz w:val="20"/>
          <w:szCs w:val="20"/>
        </w:rPr>
        <w:t>deb</w:t>
      </w:r>
      <w:proofErr w:type="spellEnd"/>
      <w:r w:rsidR="00B9483B" w:rsidRPr="00F246CD">
        <w:rPr>
          <w:rFonts w:ascii="Verdana" w:hAnsi="Verdana"/>
          <w:sz w:val="20"/>
          <w:szCs w:val="20"/>
        </w:rPr>
        <w:t>[</w:t>
      </w:r>
      <w:proofErr w:type="spellStart"/>
      <w:r w:rsidR="00B9483B" w:rsidRPr="00F246CD">
        <w:rPr>
          <w:rFonts w:ascii="Verdana" w:hAnsi="Verdana"/>
          <w:sz w:val="20"/>
          <w:szCs w:val="20"/>
        </w:rPr>
        <w:t>ía</w:t>
      </w:r>
      <w:proofErr w:type="spellEnd"/>
      <w:r w:rsidR="00B9483B" w:rsidRPr="00F246CD">
        <w:rPr>
          <w:rFonts w:ascii="Verdana" w:hAnsi="Verdana"/>
          <w:sz w:val="20"/>
          <w:szCs w:val="20"/>
        </w:rPr>
        <w:t>] presentar un informe anual por tres años, indicando las acciones que se han realizado para tal fin”.</w:t>
      </w:r>
      <w:bookmarkEnd w:id="39"/>
    </w:p>
    <w:p w14:paraId="34B763A0" w14:textId="16B3A6CC" w:rsidR="00DA4529" w:rsidRDefault="00B9483B" w:rsidP="0098262F">
      <w:pPr>
        <w:pStyle w:val="Prrafodelista"/>
        <w:numPr>
          <w:ilvl w:val="0"/>
          <w:numId w:val="3"/>
        </w:numPr>
        <w:spacing w:before="120" w:after="120" w:line="240" w:lineRule="auto"/>
        <w:ind w:left="0" w:firstLine="0"/>
        <w:contextualSpacing w:val="0"/>
        <w:jc w:val="both"/>
        <w:rPr>
          <w:rFonts w:ascii="Verdana" w:hAnsi="Verdana"/>
          <w:sz w:val="20"/>
          <w:szCs w:val="20"/>
        </w:rPr>
      </w:pPr>
      <w:r>
        <w:rPr>
          <w:rFonts w:ascii="Verdana" w:hAnsi="Verdana"/>
          <w:sz w:val="20"/>
          <w:szCs w:val="20"/>
        </w:rPr>
        <w:t xml:space="preserve">En </w:t>
      </w:r>
      <w:r w:rsidR="00086002">
        <w:rPr>
          <w:rFonts w:ascii="Verdana" w:hAnsi="Verdana"/>
          <w:sz w:val="20"/>
          <w:szCs w:val="20"/>
        </w:rPr>
        <w:t xml:space="preserve">los párrafos 68 a 70 de </w:t>
      </w:r>
      <w:r>
        <w:rPr>
          <w:rFonts w:ascii="Verdana" w:hAnsi="Verdana"/>
          <w:sz w:val="20"/>
          <w:szCs w:val="20"/>
        </w:rPr>
        <w:t>la Sentencia de interpretación</w:t>
      </w:r>
      <w:r w:rsidR="0098262F">
        <w:rPr>
          <w:rFonts w:ascii="Verdana" w:hAnsi="Verdana"/>
          <w:sz w:val="20"/>
          <w:szCs w:val="20"/>
        </w:rPr>
        <w:t xml:space="preserve"> (supra Visto 2),</w:t>
      </w:r>
      <w:r w:rsidR="00086002">
        <w:rPr>
          <w:rFonts w:ascii="Verdana" w:hAnsi="Verdana"/>
          <w:sz w:val="20"/>
          <w:szCs w:val="20"/>
        </w:rPr>
        <w:t xml:space="preserve"> la Corte realizó precisiones </w:t>
      </w:r>
      <w:r w:rsidR="00935258">
        <w:rPr>
          <w:rFonts w:ascii="Verdana" w:hAnsi="Verdana"/>
          <w:sz w:val="20"/>
          <w:szCs w:val="20"/>
        </w:rPr>
        <w:t>sobre</w:t>
      </w:r>
      <w:r w:rsidR="00086002">
        <w:rPr>
          <w:rFonts w:ascii="Verdana" w:hAnsi="Verdana"/>
          <w:sz w:val="20"/>
          <w:szCs w:val="20"/>
        </w:rPr>
        <w:t xml:space="preserve"> “detalles </w:t>
      </w:r>
      <w:r w:rsidR="00935258">
        <w:rPr>
          <w:rFonts w:ascii="Verdana" w:hAnsi="Verdana"/>
          <w:sz w:val="20"/>
          <w:szCs w:val="20"/>
        </w:rPr>
        <w:t>[d]</w:t>
      </w:r>
      <w:r w:rsidR="00086002">
        <w:rPr>
          <w:rFonts w:ascii="Verdana" w:hAnsi="Verdana"/>
          <w:sz w:val="20"/>
          <w:szCs w:val="20"/>
        </w:rPr>
        <w:t>el programa, curso, o taller que el Estado tiene que implementar</w:t>
      </w:r>
      <w:r w:rsidR="00DA4529">
        <w:rPr>
          <w:rFonts w:ascii="Verdana" w:hAnsi="Verdana"/>
          <w:sz w:val="20"/>
          <w:szCs w:val="20"/>
        </w:rPr>
        <w:t>”</w:t>
      </w:r>
      <w:r w:rsidR="00935258">
        <w:rPr>
          <w:rFonts w:ascii="Verdana" w:hAnsi="Verdana"/>
          <w:sz w:val="20"/>
          <w:szCs w:val="20"/>
        </w:rPr>
        <w:t>, relativos, entre otros, a su forma de ejecución, periodicidad</w:t>
      </w:r>
      <w:r w:rsidR="005C2C46">
        <w:rPr>
          <w:rFonts w:ascii="Verdana" w:hAnsi="Verdana"/>
          <w:sz w:val="20"/>
          <w:szCs w:val="20"/>
        </w:rPr>
        <w:t xml:space="preserve"> del curso</w:t>
      </w:r>
      <w:r w:rsidR="003E70E1">
        <w:rPr>
          <w:rFonts w:ascii="Verdana" w:hAnsi="Verdana"/>
          <w:sz w:val="20"/>
          <w:szCs w:val="20"/>
        </w:rPr>
        <w:t>,</w:t>
      </w:r>
      <w:r w:rsidR="005C2C46">
        <w:rPr>
          <w:rFonts w:ascii="Verdana" w:hAnsi="Verdana"/>
          <w:sz w:val="20"/>
          <w:szCs w:val="20"/>
        </w:rPr>
        <w:t xml:space="preserve"> programa o taller</w:t>
      </w:r>
      <w:r w:rsidR="00935258">
        <w:rPr>
          <w:rFonts w:ascii="Verdana" w:hAnsi="Verdana"/>
          <w:sz w:val="20"/>
          <w:szCs w:val="20"/>
        </w:rPr>
        <w:t>, participación de las víctimas y sus representantes en su desarrollo e implementación</w:t>
      </w:r>
      <w:r w:rsidR="005C2C46">
        <w:rPr>
          <w:rFonts w:ascii="Verdana" w:hAnsi="Verdana"/>
          <w:sz w:val="20"/>
          <w:szCs w:val="20"/>
        </w:rPr>
        <w:t xml:space="preserve"> y duración de la ejecución de esta medida</w:t>
      </w:r>
      <w:r w:rsidR="00935258">
        <w:rPr>
          <w:rStyle w:val="Refdenotaalpie"/>
          <w:rFonts w:ascii="Verdana" w:hAnsi="Verdana"/>
          <w:sz w:val="20"/>
          <w:szCs w:val="20"/>
        </w:rPr>
        <w:footnoteReference w:id="45"/>
      </w:r>
      <w:r w:rsidR="00935258">
        <w:rPr>
          <w:rFonts w:ascii="Verdana" w:hAnsi="Verdana"/>
          <w:sz w:val="20"/>
          <w:szCs w:val="20"/>
        </w:rPr>
        <w:t>.</w:t>
      </w:r>
    </w:p>
    <w:p w14:paraId="138AFC52" w14:textId="77777777" w:rsidR="006B188B" w:rsidRPr="006B188B" w:rsidRDefault="006B188B" w:rsidP="00B85613">
      <w:pPr>
        <w:pStyle w:val="Prrafodelista"/>
        <w:spacing w:before="120" w:after="120" w:line="240" w:lineRule="auto"/>
        <w:ind w:left="0" w:firstLine="708"/>
        <w:contextualSpacing w:val="0"/>
        <w:jc w:val="both"/>
        <w:rPr>
          <w:rFonts w:ascii="Verdana" w:hAnsi="Verdana"/>
          <w:i/>
          <w:sz w:val="20"/>
          <w:szCs w:val="20"/>
        </w:rPr>
      </w:pPr>
      <w:r>
        <w:rPr>
          <w:rFonts w:ascii="Verdana" w:hAnsi="Verdana"/>
          <w:i/>
          <w:sz w:val="20"/>
          <w:szCs w:val="20"/>
        </w:rPr>
        <w:lastRenderedPageBreak/>
        <w:t>E</w:t>
      </w:r>
      <w:r w:rsidRPr="006B188B">
        <w:rPr>
          <w:rFonts w:ascii="Verdana" w:hAnsi="Verdana"/>
          <w:i/>
          <w:sz w:val="20"/>
          <w:szCs w:val="20"/>
        </w:rPr>
        <w:t>.2. Consideraciones de la Corte</w:t>
      </w:r>
    </w:p>
    <w:p w14:paraId="55FE8BF6" w14:textId="0D66521C" w:rsidR="006B188B" w:rsidRDefault="00F02F15" w:rsidP="0098262F">
      <w:pPr>
        <w:pStyle w:val="Prrafodelista"/>
        <w:numPr>
          <w:ilvl w:val="0"/>
          <w:numId w:val="3"/>
        </w:numPr>
        <w:spacing w:before="120" w:after="120" w:line="240" w:lineRule="auto"/>
        <w:ind w:left="0" w:firstLine="0"/>
        <w:contextualSpacing w:val="0"/>
        <w:jc w:val="both"/>
        <w:rPr>
          <w:rFonts w:ascii="Verdana" w:hAnsi="Verdana"/>
          <w:sz w:val="20"/>
          <w:szCs w:val="20"/>
        </w:rPr>
      </w:pPr>
      <w:bookmarkStart w:id="40" w:name="_Ref26892226"/>
      <w:r>
        <w:rPr>
          <w:rFonts w:ascii="Verdana" w:hAnsi="Verdana"/>
          <w:sz w:val="20"/>
          <w:szCs w:val="20"/>
        </w:rPr>
        <w:t>El Tribunal hace notar que, a pesar de que el Estado y las representantes han tenido acercamientos para concretar los aspectos relativos al cumplimiento de esta medida, la ejecución de la misma no ha iniciado. Ni siquiera parecen existir avances en cuanto a la determinación de qué acciones se tomarán para dar cumplimiento a la misma, ni el rol que asumirán las víctimas en su implementación.</w:t>
      </w:r>
      <w:bookmarkEnd w:id="40"/>
    </w:p>
    <w:p w14:paraId="214C42B9" w14:textId="46C65867" w:rsidR="00F02F15" w:rsidRPr="00BA54D8" w:rsidRDefault="00F02F15" w:rsidP="0098262F">
      <w:pPr>
        <w:pStyle w:val="Prrafodelista"/>
        <w:numPr>
          <w:ilvl w:val="0"/>
          <w:numId w:val="3"/>
        </w:numPr>
        <w:spacing w:before="120" w:after="120" w:line="240" w:lineRule="auto"/>
        <w:ind w:left="0" w:firstLine="0"/>
        <w:contextualSpacing w:val="0"/>
        <w:jc w:val="both"/>
        <w:rPr>
          <w:rFonts w:ascii="Verdana" w:hAnsi="Verdana"/>
          <w:sz w:val="20"/>
          <w:szCs w:val="20"/>
        </w:rPr>
      </w:pPr>
      <w:r>
        <w:rPr>
          <w:rFonts w:ascii="Verdana" w:hAnsi="Verdana"/>
          <w:sz w:val="20"/>
          <w:szCs w:val="20"/>
        </w:rPr>
        <w:t xml:space="preserve">El </w:t>
      </w:r>
      <w:r w:rsidRPr="0098262F">
        <w:rPr>
          <w:rFonts w:ascii="Verdana" w:hAnsi="Verdana"/>
          <w:sz w:val="20"/>
          <w:szCs w:val="20"/>
        </w:rPr>
        <w:t>Estado</w:t>
      </w:r>
      <w:r>
        <w:rPr>
          <w:rFonts w:ascii="Verdana" w:hAnsi="Verdana"/>
          <w:sz w:val="20"/>
          <w:szCs w:val="20"/>
        </w:rPr>
        <w:t xml:space="preserve"> </w:t>
      </w:r>
      <w:r w:rsidR="003C2364">
        <w:rPr>
          <w:rFonts w:ascii="Verdana" w:hAnsi="Verdana"/>
          <w:sz w:val="20"/>
          <w:szCs w:val="20"/>
        </w:rPr>
        <w:t>expres</w:t>
      </w:r>
      <w:r w:rsidR="0098262F">
        <w:rPr>
          <w:rFonts w:ascii="Verdana" w:hAnsi="Verdana"/>
          <w:sz w:val="20"/>
          <w:szCs w:val="20"/>
        </w:rPr>
        <w:t>ó</w:t>
      </w:r>
      <w:r w:rsidR="004132EB">
        <w:rPr>
          <w:rFonts w:ascii="Verdana" w:hAnsi="Verdana"/>
          <w:sz w:val="20"/>
          <w:szCs w:val="20"/>
        </w:rPr>
        <w:t xml:space="preserve"> en su informe de agosto de 2018</w:t>
      </w:r>
      <w:r w:rsidR="003C2364">
        <w:rPr>
          <w:rFonts w:ascii="Verdana" w:hAnsi="Verdana"/>
          <w:sz w:val="20"/>
          <w:szCs w:val="20"/>
        </w:rPr>
        <w:t xml:space="preserve"> que tiene “disposición y compromiso para </w:t>
      </w:r>
      <w:proofErr w:type="gramStart"/>
      <w:r w:rsidR="003C2364">
        <w:rPr>
          <w:rFonts w:ascii="Verdana" w:hAnsi="Verdana"/>
          <w:sz w:val="20"/>
          <w:szCs w:val="20"/>
        </w:rPr>
        <w:t>implementar[</w:t>
      </w:r>
      <w:proofErr w:type="gramEnd"/>
      <w:r w:rsidR="003C2364">
        <w:rPr>
          <w:rFonts w:ascii="Verdana" w:hAnsi="Verdana"/>
          <w:sz w:val="20"/>
          <w:szCs w:val="20"/>
        </w:rPr>
        <w:t xml:space="preserve"> esta medida</w:t>
      </w:r>
      <w:r w:rsidR="003E70E1">
        <w:rPr>
          <w:rFonts w:ascii="Verdana" w:hAnsi="Verdana"/>
          <w:sz w:val="20"/>
          <w:szCs w:val="20"/>
        </w:rPr>
        <w:t>]</w:t>
      </w:r>
      <w:r w:rsidR="003C2364">
        <w:rPr>
          <w:rFonts w:ascii="Verdana" w:hAnsi="Verdana"/>
          <w:sz w:val="20"/>
          <w:szCs w:val="20"/>
        </w:rPr>
        <w:t>” y que la Consejería Presidencial para los Derechos Humanos estaba a la espera de que las representantes le presentaran una propuesta para ser tenida en cuenta en su implementación</w:t>
      </w:r>
      <w:r w:rsidR="000070DC">
        <w:rPr>
          <w:rFonts w:ascii="Verdana" w:hAnsi="Verdana"/>
          <w:sz w:val="20"/>
          <w:szCs w:val="20"/>
        </w:rPr>
        <w:t>. Al respecto,</w:t>
      </w:r>
      <w:r w:rsidR="004132EB">
        <w:rPr>
          <w:rFonts w:ascii="Verdana" w:hAnsi="Verdana"/>
          <w:sz w:val="20"/>
          <w:szCs w:val="20"/>
        </w:rPr>
        <w:t xml:space="preserve"> en sus observaciones al referido informe,</w:t>
      </w:r>
      <w:r w:rsidR="000070DC">
        <w:rPr>
          <w:rFonts w:ascii="Verdana" w:hAnsi="Verdana"/>
          <w:sz w:val="20"/>
          <w:szCs w:val="20"/>
        </w:rPr>
        <w:t xml:space="preserve"> las </w:t>
      </w:r>
      <w:r w:rsidR="000070DC" w:rsidRPr="0098262F">
        <w:rPr>
          <w:rFonts w:ascii="Verdana" w:hAnsi="Verdana"/>
          <w:sz w:val="20"/>
          <w:szCs w:val="20"/>
        </w:rPr>
        <w:t>representantes</w:t>
      </w:r>
      <w:r w:rsidR="000070DC">
        <w:rPr>
          <w:rFonts w:ascii="Verdana" w:hAnsi="Verdana"/>
          <w:sz w:val="20"/>
          <w:szCs w:val="20"/>
        </w:rPr>
        <w:t xml:space="preserve"> </w:t>
      </w:r>
      <w:r w:rsidR="004132EB">
        <w:rPr>
          <w:rFonts w:ascii="Verdana" w:hAnsi="Verdana"/>
          <w:sz w:val="20"/>
          <w:szCs w:val="20"/>
        </w:rPr>
        <w:t>“</w:t>
      </w:r>
      <w:proofErr w:type="spellStart"/>
      <w:r w:rsidR="004132EB">
        <w:rPr>
          <w:rFonts w:ascii="Verdana" w:hAnsi="Verdana"/>
          <w:sz w:val="20"/>
          <w:szCs w:val="20"/>
        </w:rPr>
        <w:t>reconoc</w:t>
      </w:r>
      <w:proofErr w:type="spellEnd"/>
      <w:r w:rsidR="003E70E1">
        <w:rPr>
          <w:rFonts w:ascii="Verdana" w:hAnsi="Verdana"/>
          <w:sz w:val="20"/>
          <w:szCs w:val="20"/>
        </w:rPr>
        <w:t>[</w:t>
      </w:r>
      <w:proofErr w:type="spellStart"/>
      <w:r w:rsidR="004132EB">
        <w:rPr>
          <w:rFonts w:ascii="Verdana" w:hAnsi="Verdana"/>
          <w:sz w:val="20"/>
          <w:szCs w:val="20"/>
        </w:rPr>
        <w:t>ieron</w:t>
      </w:r>
      <w:proofErr w:type="spellEnd"/>
      <w:r w:rsidR="003E70E1">
        <w:rPr>
          <w:rFonts w:ascii="Verdana" w:hAnsi="Verdana"/>
          <w:sz w:val="20"/>
          <w:szCs w:val="20"/>
        </w:rPr>
        <w:t>]</w:t>
      </w:r>
      <w:r w:rsidR="004132EB">
        <w:rPr>
          <w:rFonts w:ascii="Verdana" w:hAnsi="Verdana"/>
          <w:sz w:val="20"/>
          <w:szCs w:val="20"/>
        </w:rPr>
        <w:t xml:space="preserve"> como positivo que sea la Consejería Presidencial para los Derechos Humanos la entidad encargada de ejecutar esta medida” y explicaron que “no ha sido posible avanzar al ritmo que </w:t>
      </w:r>
      <w:proofErr w:type="gramStart"/>
      <w:r w:rsidR="004132EB">
        <w:rPr>
          <w:rFonts w:ascii="Verdana" w:hAnsi="Verdana"/>
          <w:sz w:val="20"/>
          <w:szCs w:val="20"/>
        </w:rPr>
        <w:t>quisiera[</w:t>
      </w:r>
      <w:proofErr w:type="gramEnd"/>
      <w:r w:rsidR="004132EB">
        <w:rPr>
          <w:rFonts w:ascii="Verdana" w:hAnsi="Verdana"/>
          <w:sz w:val="20"/>
          <w:szCs w:val="20"/>
        </w:rPr>
        <w:t xml:space="preserve">n con el cumplimiento de esta reparación] pues […] </w:t>
      </w:r>
      <w:proofErr w:type="spellStart"/>
      <w:r w:rsidR="004132EB">
        <w:rPr>
          <w:rFonts w:ascii="Verdana" w:hAnsi="Verdana"/>
          <w:sz w:val="20"/>
          <w:szCs w:val="20"/>
        </w:rPr>
        <w:t>qu</w:t>
      </w:r>
      <w:proofErr w:type="spellEnd"/>
      <w:r w:rsidR="003E70E1">
        <w:rPr>
          <w:rFonts w:ascii="Verdana" w:hAnsi="Verdana"/>
          <w:sz w:val="20"/>
          <w:szCs w:val="20"/>
        </w:rPr>
        <w:t>[</w:t>
      </w:r>
      <w:proofErr w:type="spellStart"/>
      <w:r w:rsidR="004132EB">
        <w:rPr>
          <w:rFonts w:ascii="Verdana" w:hAnsi="Verdana"/>
          <w:sz w:val="20"/>
          <w:szCs w:val="20"/>
        </w:rPr>
        <w:t>ieren</w:t>
      </w:r>
      <w:proofErr w:type="spellEnd"/>
      <w:r w:rsidR="003E70E1">
        <w:rPr>
          <w:rFonts w:ascii="Verdana" w:hAnsi="Verdana"/>
          <w:sz w:val="20"/>
          <w:szCs w:val="20"/>
        </w:rPr>
        <w:t>]</w:t>
      </w:r>
      <w:r w:rsidR="004132EB">
        <w:rPr>
          <w:rFonts w:ascii="Verdana" w:hAnsi="Verdana"/>
          <w:sz w:val="20"/>
          <w:szCs w:val="20"/>
        </w:rPr>
        <w:t xml:space="preserve"> que sean las víctimas quienes se involucren plenamente en la propuesta”.</w:t>
      </w:r>
    </w:p>
    <w:p w14:paraId="05A86B55" w14:textId="0A871EDD" w:rsidR="00D83B31" w:rsidRPr="00901419" w:rsidRDefault="00D83B31" w:rsidP="0098262F">
      <w:pPr>
        <w:pStyle w:val="Prrafodelista"/>
        <w:numPr>
          <w:ilvl w:val="0"/>
          <w:numId w:val="3"/>
        </w:numPr>
        <w:spacing w:before="120" w:after="120" w:line="240" w:lineRule="auto"/>
        <w:ind w:left="0" w:firstLine="0"/>
        <w:contextualSpacing w:val="0"/>
        <w:jc w:val="both"/>
        <w:rPr>
          <w:rFonts w:ascii="Verdana" w:hAnsi="Verdana"/>
          <w:b/>
          <w:sz w:val="20"/>
          <w:szCs w:val="20"/>
        </w:rPr>
      </w:pPr>
      <w:bookmarkStart w:id="41" w:name="_Ref26787252"/>
      <w:r>
        <w:rPr>
          <w:rFonts w:ascii="Verdana" w:hAnsi="Verdana"/>
          <w:sz w:val="20"/>
          <w:szCs w:val="20"/>
        </w:rPr>
        <w:t>C</w:t>
      </w:r>
      <w:r w:rsidRPr="009C4C4D">
        <w:rPr>
          <w:rFonts w:ascii="Verdana" w:hAnsi="Verdana"/>
          <w:sz w:val="20"/>
          <w:szCs w:val="20"/>
        </w:rPr>
        <w:t xml:space="preserve">onsiderando que ha transcurrido aproximadamente un año y diez meses desde el vencimiento del plazo </w:t>
      </w:r>
      <w:r>
        <w:rPr>
          <w:rFonts w:ascii="Verdana" w:hAnsi="Verdana"/>
          <w:sz w:val="20"/>
          <w:szCs w:val="20"/>
        </w:rPr>
        <w:t xml:space="preserve">de un año </w:t>
      </w:r>
      <w:r w:rsidRPr="009C4C4D">
        <w:rPr>
          <w:rFonts w:ascii="Verdana" w:hAnsi="Verdana"/>
          <w:sz w:val="20"/>
          <w:szCs w:val="20"/>
        </w:rPr>
        <w:t xml:space="preserve">otorgado en la Sentencia para </w:t>
      </w:r>
      <w:r>
        <w:rPr>
          <w:rFonts w:ascii="Verdana" w:hAnsi="Verdana"/>
          <w:sz w:val="20"/>
          <w:szCs w:val="20"/>
        </w:rPr>
        <w:t>iniciar con la implementación de esta medida, sin que hayan avances concretos al respecto (</w:t>
      </w:r>
      <w:r w:rsidRPr="009C4C4D">
        <w:rPr>
          <w:rFonts w:ascii="Verdana" w:hAnsi="Verdana"/>
          <w:i/>
          <w:sz w:val="20"/>
          <w:szCs w:val="20"/>
        </w:rPr>
        <w:t xml:space="preserve">supra </w:t>
      </w:r>
      <w:r>
        <w:rPr>
          <w:rFonts w:ascii="Verdana" w:hAnsi="Verdana"/>
          <w:sz w:val="20"/>
          <w:szCs w:val="20"/>
        </w:rPr>
        <w:t>Considerando</w:t>
      </w:r>
      <w:r w:rsidR="0098262F">
        <w:rPr>
          <w:rFonts w:ascii="Verdana" w:hAnsi="Verdana"/>
          <w:sz w:val="20"/>
          <w:szCs w:val="20"/>
        </w:rPr>
        <w:t>s 44 y</w:t>
      </w:r>
      <w:r>
        <w:rPr>
          <w:rFonts w:ascii="Verdana" w:hAnsi="Verdana"/>
          <w:sz w:val="20"/>
          <w:szCs w:val="20"/>
        </w:rPr>
        <w:t xml:space="preserve"> </w:t>
      </w:r>
      <w:r w:rsidR="006716D3">
        <w:rPr>
          <w:rFonts w:ascii="Verdana" w:hAnsi="Verdana"/>
          <w:sz w:val="20"/>
          <w:szCs w:val="20"/>
        </w:rPr>
        <w:fldChar w:fldCharType="begin"/>
      </w:r>
      <w:r w:rsidR="006716D3">
        <w:rPr>
          <w:rFonts w:ascii="Verdana" w:hAnsi="Verdana"/>
          <w:sz w:val="20"/>
          <w:szCs w:val="20"/>
        </w:rPr>
        <w:instrText xml:space="preserve"> REF _Ref26892226 \r \h </w:instrText>
      </w:r>
      <w:r w:rsidR="006716D3">
        <w:rPr>
          <w:rFonts w:ascii="Verdana" w:hAnsi="Verdana"/>
          <w:sz w:val="20"/>
          <w:szCs w:val="20"/>
        </w:rPr>
      </w:r>
      <w:r w:rsidR="006716D3">
        <w:rPr>
          <w:rFonts w:ascii="Verdana" w:hAnsi="Verdana"/>
          <w:sz w:val="20"/>
          <w:szCs w:val="20"/>
        </w:rPr>
        <w:fldChar w:fldCharType="separate"/>
      </w:r>
      <w:r w:rsidR="00630FCA">
        <w:rPr>
          <w:rFonts w:ascii="Verdana" w:hAnsi="Verdana"/>
          <w:sz w:val="20"/>
          <w:szCs w:val="20"/>
        </w:rPr>
        <w:t>46</w:t>
      </w:r>
      <w:r w:rsidR="006716D3">
        <w:rPr>
          <w:rFonts w:ascii="Verdana" w:hAnsi="Verdana"/>
          <w:sz w:val="20"/>
          <w:szCs w:val="20"/>
        </w:rPr>
        <w:fldChar w:fldCharType="end"/>
      </w:r>
      <w:r>
        <w:rPr>
          <w:rFonts w:ascii="Verdana" w:hAnsi="Verdana"/>
          <w:sz w:val="20"/>
          <w:szCs w:val="20"/>
        </w:rPr>
        <w:t>)</w:t>
      </w:r>
      <w:r w:rsidRPr="009C4C4D">
        <w:rPr>
          <w:rFonts w:ascii="Verdana" w:hAnsi="Verdana"/>
          <w:sz w:val="20"/>
          <w:szCs w:val="20"/>
        </w:rPr>
        <w:t xml:space="preserve">, </w:t>
      </w:r>
      <w:r>
        <w:rPr>
          <w:rFonts w:ascii="Verdana" w:hAnsi="Verdana"/>
          <w:sz w:val="20"/>
          <w:szCs w:val="20"/>
        </w:rPr>
        <w:t xml:space="preserve">así como el interés común de las partes en alcanzar su cumplimiento, </w:t>
      </w:r>
      <w:r w:rsidRPr="00D83B31">
        <w:rPr>
          <w:rFonts w:ascii="Verdana" w:hAnsi="Verdana"/>
          <w:sz w:val="20"/>
          <w:szCs w:val="20"/>
        </w:rPr>
        <w:t xml:space="preserve">se solicita que a más tardar el </w:t>
      </w:r>
      <w:r w:rsidR="00797329">
        <w:rPr>
          <w:rFonts w:ascii="Verdana" w:hAnsi="Verdana"/>
          <w:sz w:val="20"/>
          <w:szCs w:val="20"/>
        </w:rPr>
        <w:t>16</w:t>
      </w:r>
      <w:r w:rsidRPr="00D83B31">
        <w:rPr>
          <w:rFonts w:ascii="Verdana" w:hAnsi="Verdana"/>
          <w:sz w:val="20"/>
          <w:szCs w:val="20"/>
        </w:rPr>
        <w:t xml:space="preserve"> de </w:t>
      </w:r>
      <w:r w:rsidR="00797329">
        <w:rPr>
          <w:rFonts w:ascii="Verdana" w:hAnsi="Verdana"/>
          <w:sz w:val="20"/>
          <w:szCs w:val="20"/>
        </w:rPr>
        <w:t>marzo</w:t>
      </w:r>
      <w:r w:rsidRPr="00D83B31">
        <w:rPr>
          <w:rFonts w:ascii="Verdana" w:hAnsi="Verdana"/>
          <w:sz w:val="20"/>
          <w:szCs w:val="20"/>
        </w:rPr>
        <w:t xml:space="preserve"> de </w:t>
      </w:r>
      <w:r w:rsidR="00797329">
        <w:rPr>
          <w:rFonts w:ascii="Verdana" w:hAnsi="Verdana"/>
          <w:sz w:val="20"/>
          <w:szCs w:val="20"/>
        </w:rPr>
        <w:t xml:space="preserve">2020, las autoridades estatales </w:t>
      </w:r>
      <w:r w:rsidRPr="00D83B31">
        <w:rPr>
          <w:rFonts w:ascii="Verdana" w:hAnsi="Verdana"/>
          <w:sz w:val="20"/>
          <w:szCs w:val="20"/>
        </w:rPr>
        <w:t>correspondientes, las representantes y aquellas víctimas interesadas, sostengan una reunión con el fin de elaborar conjuntamente una propuesta</w:t>
      </w:r>
      <w:r>
        <w:rPr>
          <w:rFonts w:ascii="Verdana" w:hAnsi="Verdana"/>
          <w:sz w:val="20"/>
          <w:szCs w:val="20"/>
        </w:rPr>
        <w:t xml:space="preserve"> que permita iniciar la ejecución de esta medida, a la mayor brevedad posible. Se requiere </w:t>
      </w:r>
      <w:r w:rsidR="006716D3">
        <w:rPr>
          <w:rFonts w:ascii="Verdana" w:hAnsi="Verdana"/>
          <w:sz w:val="20"/>
          <w:szCs w:val="20"/>
        </w:rPr>
        <w:t xml:space="preserve">a </w:t>
      </w:r>
      <w:r>
        <w:rPr>
          <w:rFonts w:ascii="Verdana" w:hAnsi="Verdana"/>
          <w:sz w:val="20"/>
          <w:szCs w:val="20"/>
        </w:rPr>
        <w:t xml:space="preserve">las partes que en el plazo indicado en el punto resolutivo </w:t>
      </w:r>
      <w:r w:rsidR="006716D3">
        <w:rPr>
          <w:rFonts w:ascii="Verdana" w:hAnsi="Verdana"/>
          <w:sz w:val="20"/>
          <w:szCs w:val="20"/>
        </w:rPr>
        <w:fldChar w:fldCharType="begin"/>
      </w:r>
      <w:r w:rsidR="006716D3">
        <w:rPr>
          <w:rFonts w:ascii="Verdana" w:hAnsi="Verdana"/>
          <w:sz w:val="20"/>
          <w:szCs w:val="20"/>
        </w:rPr>
        <w:instrText xml:space="preserve"> REF _Ref26785784 \r \h </w:instrText>
      </w:r>
      <w:r w:rsidR="006716D3">
        <w:rPr>
          <w:rFonts w:ascii="Verdana" w:hAnsi="Verdana"/>
          <w:sz w:val="20"/>
          <w:szCs w:val="20"/>
        </w:rPr>
      </w:r>
      <w:r w:rsidR="006716D3">
        <w:rPr>
          <w:rFonts w:ascii="Verdana" w:hAnsi="Verdana"/>
          <w:sz w:val="20"/>
          <w:szCs w:val="20"/>
        </w:rPr>
        <w:fldChar w:fldCharType="separate"/>
      </w:r>
      <w:r w:rsidR="00630FCA">
        <w:rPr>
          <w:rFonts w:ascii="Verdana" w:hAnsi="Verdana"/>
          <w:sz w:val="20"/>
          <w:szCs w:val="20"/>
        </w:rPr>
        <w:t>5</w:t>
      </w:r>
      <w:r w:rsidR="006716D3">
        <w:rPr>
          <w:rFonts w:ascii="Verdana" w:hAnsi="Verdana"/>
          <w:sz w:val="20"/>
          <w:szCs w:val="20"/>
        </w:rPr>
        <w:fldChar w:fldCharType="end"/>
      </w:r>
      <w:r>
        <w:rPr>
          <w:rFonts w:ascii="Verdana" w:hAnsi="Verdana"/>
          <w:sz w:val="20"/>
          <w:szCs w:val="20"/>
        </w:rPr>
        <w:t xml:space="preserve"> de la presente Resolución remitan al Tribunal la referida propuesta conjunta.</w:t>
      </w:r>
      <w:bookmarkEnd w:id="41"/>
    </w:p>
    <w:p w14:paraId="292A513B" w14:textId="00264CB2" w:rsidR="00B85613" w:rsidRPr="00D525B8" w:rsidRDefault="00D525B8" w:rsidP="0098262F">
      <w:pPr>
        <w:pStyle w:val="Prrafodelista"/>
        <w:numPr>
          <w:ilvl w:val="0"/>
          <w:numId w:val="3"/>
        </w:numPr>
        <w:spacing w:before="120" w:after="120" w:line="240" w:lineRule="auto"/>
        <w:ind w:left="0" w:firstLine="0"/>
        <w:contextualSpacing w:val="0"/>
        <w:jc w:val="both"/>
        <w:rPr>
          <w:rFonts w:ascii="Verdana" w:hAnsi="Verdana"/>
          <w:b/>
          <w:sz w:val="20"/>
          <w:szCs w:val="20"/>
        </w:rPr>
      </w:pPr>
      <w:bookmarkStart w:id="42" w:name="_Ref26787297"/>
      <w:r>
        <w:rPr>
          <w:rFonts w:ascii="Verdana" w:hAnsi="Verdana"/>
          <w:sz w:val="20"/>
          <w:szCs w:val="20"/>
        </w:rPr>
        <w:t xml:space="preserve">En consecuencia, este Tribunal considera que se encuentra pendiente de cumplimiento la medida de reparación ordenada en el punto resolutivo trigésimo primero de la Sentencia, relativa a implementar un programa, curso o taller para </w:t>
      </w:r>
      <w:r w:rsidRPr="00D525B8">
        <w:rPr>
          <w:rFonts w:ascii="Verdana" w:hAnsi="Verdana"/>
          <w:sz w:val="20"/>
          <w:szCs w:val="20"/>
        </w:rPr>
        <w:t>promover e instruir sobre el trabajo de las defensoras y defensores de derechos humanos en la Comuna 13</w:t>
      </w:r>
      <w:r>
        <w:rPr>
          <w:rFonts w:ascii="Verdana" w:hAnsi="Verdana"/>
          <w:sz w:val="20"/>
          <w:szCs w:val="20"/>
        </w:rPr>
        <w:t>.</w:t>
      </w:r>
      <w:bookmarkEnd w:id="42"/>
    </w:p>
    <w:p w14:paraId="577B047F" w14:textId="77777777" w:rsidR="005B5FB3" w:rsidRPr="00144E13" w:rsidRDefault="00600F53" w:rsidP="002670E3">
      <w:pPr>
        <w:tabs>
          <w:tab w:val="left" w:pos="0"/>
          <w:tab w:val="left" w:pos="3187"/>
        </w:tabs>
        <w:autoSpaceDE w:val="0"/>
        <w:autoSpaceDN w:val="0"/>
        <w:adjustRightInd w:val="0"/>
        <w:spacing w:before="120" w:after="120" w:line="240" w:lineRule="auto"/>
        <w:ind w:right="99"/>
        <w:jc w:val="both"/>
        <w:rPr>
          <w:rFonts w:ascii="Verdana" w:hAnsi="Verdana" w:cs="Verdana"/>
          <w:bCs/>
          <w:sz w:val="20"/>
          <w:szCs w:val="20"/>
        </w:rPr>
      </w:pPr>
      <w:r>
        <w:rPr>
          <w:rFonts w:ascii="Verdana" w:hAnsi="Verdana" w:cs="Verdana"/>
          <w:bCs/>
          <w:sz w:val="20"/>
          <w:szCs w:val="20"/>
        </w:rPr>
        <w:tab/>
      </w:r>
    </w:p>
    <w:p w14:paraId="25686197" w14:textId="77777777" w:rsidR="00CB4A68" w:rsidRPr="00FA43B1" w:rsidRDefault="00544066" w:rsidP="002670E3">
      <w:pPr>
        <w:pStyle w:val="Ttulo2"/>
        <w:numPr>
          <w:ilvl w:val="0"/>
          <w:numId w:val="30"/>
        </w:numPr>
        <w:spacing w:before="120" w:after="120" w:line="240" w:lineRule="auto"/>
        <w:rPr>
          <w:rFonts w:ascii="Verdana" w:hAnsi="Verdana" w:cs="Verdana"/>
          <w:b/>
          <w:bCs/>
          <w:i/>
          <w:color w:val="auto"/>
          <w:sz w:val="20"/>
          <w:szCs w:val="20"/>
        </w:rPr>
      </w:pPr>
      <w:bookmarkStart w:id="43" w:name="_Toc23769105"/>
      <w:r w:rsidRPr="00FA43B1">
        <w:rPr>
          <w:rFonts w:ascii="Verdana" w:hAnsi="Verdana"/>
          <w:b/>
          <w:i/>
          <w:color w:val="auto"/>
          <w:sz w:val="20"/>
          <w:szCs w:val="20"/>
        </w:rPr>
        <w:t>Pago de indemnizaciones</w:t>
      </w:r>
      <w:r w:rsidR="005B5FB3" w:rsidRPr="00FA43B1">
        <w:rPr>
          <w:rFonts w:ascii="Verdana" w:hAnsi="Verdana"/>
          <w:b/>
          <w:i/>
          <w:color w:val="auto"/>
          <w:sz w:val="20"/>
          <w:szCs w:val="20"/>
        </w:rPr>
        <w:t xml:space="preserve"> por daño</w:t>
      </w:r>
      <w:r w:rsidRPr="00FA43B1">
        <w:rPr>
          <w:rFonts w:ascii="Verdana" w:hAnsi="Verdana"/>
          <w:b/>
          <w:i/>
          <w:color w:val="auto"/>
          <w:sz w:val="20"/>
          <w:szCs w:val="20"/>
        </w:rPr>
        <w:t>s materiales e</w:t>
      </w:r>
      <w:r w:rsidR="005B5FB3" w:rsidRPr="00FA43B1">
        <w:rPr>
          <w:rFonts w:ascii="Verdana" w:hAnsi="Verdana"/>
          <w:b/>
          <w:i/>
          <w:color w:val="auto"/>
          <w:sz w:val="20"/>
          <w:szCs w:val="20"/>
        </w:rPr>
        <w:t xml:space="preserve"> inmaterial</w:t>
      </w:r>
      <w:r w:rsidRPr="00FA43B1">
        <w:rPr>
          <w:rFonts w:ascii="Verdana" w:hAnsi="Verdana"/>
          <w:b/>
          <w:i/>
          <w:color w:val="auto"/>
          <w:sz w:val="20"/>
          <w:szCs w:val="20"/>
        </w:rPr>
        <w:t>es</w:t>
      </w:r>
      <w:r w:rsidR="005B5FB3" w:rsidRPr="00FA43B1">
        <w:rPr>
          <w:rFonts w:ascii="Verdana" w:hAnsi="Verdana"/>
          <w:b/>
          <w:i/>
          <w:color w:val="auto"/>
          <w:sz w:val="20"/>
          <w:szCs w:val="20"/>
        </w:rPr>
        <w:t xml:space="preserve"> y reintegro de costas y gastos</w:t>
      </w:r>
      <w:bookmarkEnd w:id="43"/>
    </w:p>
    <w:p w14:paraId="3074B573" w14:textId="77777777" w:rsidR="0072540F" w:rsidRPr="0072540F" w:rsidRDefault="002C24CE" w:rsidP="002670E3">
      <w:pPr>
        <w:pStyle w:val="Prrafodelista"/>
        <w:spacing w:before="120" w:after="120" w:line="240" w:lineRule="auto"/>
        <w:contextualSpacing w:val="0"/>
        <w:jc w:val="both"/>
        <w:rPr>
          <w:rFonts w:ascii="Verdana" w:hAnsi="Verdana"/>
          <w:i/>
          <w:sz w:val="20"/>
          <w:szCs w:val="20"/>
        </w:rPr>
      </w:pPr>
      <w:r>
        <w:rPr>
          <w:rFonts w:ascii="Verdana" w:hAnsi="Verdana"/>
          <w:i/>
          <w:sz w:val="20"/>
          <w:szCs w:val="20"/>
        </w:rPr>
        <w:t>F</w:t>
      </w:r>
      <w:r w:rsidR="0072540F" w:rsidRPr="0072540F">
        <w:rPr>
          <w:rFonts w:ascii="Verdana" w:hAnsi="Verdana"/>
          <w:i/>
          <w:sz w:val="20"/>
          <w:szCs w:val="20"/>
        </w:rPr>
        <w:t>.1. Medida</w:t>
      </w:r>
      <w:r>
        <w:rPr>
          <w:rFonts w:ascii="Verdana" w:hAnsi="Verdana"/>
          <w:i/>
          <w:sz w:val="20"/>
          <w:szCs w:val="20"/>
        </w:rPr>
        <w:t>s</w:t>
      </w:r>
      <w:r w:rsidR="0072540F" w:rsidRPr="0072540F">
        <w:rPr>
          <w:rFonts w:ascii="Verdana" w:hAnsi="Verdana"/>
          <w:i/>
          <w:sz w:val="20"/>
          <w:szCs w:val="20"/>
        </w:rPr>
        <w:t xml:space="preserve"> ordenada</w:t>
      </w:r>
      <w:r>
        <w:rPr>
          <w:rFonts w:ascii="Verdana" w:hAnsi="Verdana"/>
          <w:i/>
          <w:sz w:val="20"/>
          <w:szCs w:val="20"/>
        </w:rPr>
        <w:t>s</w:t>
      </w:r>
      <w:r w:rsidR="0072540F" w:rsidRPr="0072540F">
        <w:rPr>
          <w:rFonts w:ascii="Verdana" w:hAnsi="Verdana"/>
          <w:i/>
          <w:sz w:val="20"/>
          <w:szCs w:val="20"/>
        </w:rPr>
        <w:t xml:space="preserve"> por la Corte</w:t>
      </w:r>
    </w:p>
    <w:p w14:paraId="0861BD38" w14:textId="370709A5" w:rsidR="003C1D5C" w:rsidRDefault="003C1D5C" w:rsidP="000B062E">
      <w:pPr>
        <w:pStyle w:val="Prrafodelista"/>
        <w:numPr>
          <w:ilvl w:val="0"/>
          <w:numId w:val="3"/>
        </w:numPr>
        <w:spacing w:before="120" w:after="120" w:line="240" w:lineRule="auto"/>
        <w:ind w:left="0" w:firstLine="0"/>
        <w:contextualSpacing w:val="0"/>
        <w:jc w:val="both"/>
        <w:rPr>
          <w:rFonts w:ascii="Verdana" w:hAnsi="Verdana"/>
          <w:sz w:val="20"/>
          <w:szCs w:val="20"/>
        </w:rPr>
      </w:pPr>
      <w:bookmarkStart w:id="44" w:name="_Ref26777418"/>
      <w:r w:rsidRPr="00326999">
        <w:rPr>
          <w:rFonts w:ascii="Verdana" w:hAnsi="Verdana"/>
          <w:sz w:val="20"/>
          <w:szCs w:val="20"/>
        </w:rPr>
        <w:t xml:space="preserve">En el punto </w:t>
      </w:r>
      <w:r w:rsidR="00006107">
        <w:rPr>
          <w:rFonts w:ascii="Verdana" w:hAnsi="Verdana"/>
          <w:sz w:val="20"/>
          <w:szCs w:val="20"/>
        </w:rPr>
        <w:t>resolutivo</w:t>
      </w:r>
      <w:r w:rsidR="00006107" w:rsidRPr="00326999">
        <w:rPr>
          <w:rFonts w:ascii="Verdana" w:hAnsi="Verdana"/>
          <w:sz w:val="20"/>
          <w:szCs w:val="20"/>
        </w:rPr>
        <w:t xml:space="preserve"> </w:t>
      </w:r>
      <w:r w:rsidR="00BD37CB" w:rsidRPr="00326999">
        <w:rPr>
          <w:rFonts w:ascii="Verdana" w:hAnsi="Verdana"/>
          <w:sz w:val="20"/>
          <w:szCs w:val="20"/>
        </w:rPr>
        <w:t>trigésimo segundo</w:t>
      </w:r>
      <w:r w:rsidRPr="00326999">
        <w:rPr>
          <w:rFonts w:ascii="Verdana" w:hAnsi="Verdana"/>
          <w:sz w:val="20"/>
          <w:szCs w:val="20"/>
        </w:rPr>
        <w:t xml:space="preserve"> de la Sentencia, se dispuso que el Estado debía</w:t>
      </w:r>
      <w:r w:rsidR="00326999" w:rsidRPr="00326999">
        <w:rPr>
          <w:rFonts w:ascii="Verdana" w:hAnsi="Verdana"/>
          <w:sz w:val="20"/>
          <w:szCs w:val="20"/>
        </w:rPr>
        <w:t xml:space="preserve"> “pagar las cantidades fijadas en los párrafos 364 a 370, 373 y 379, de la </w:t>
      </w:r>
      <w:r w:rsidR="00326999">
        <w:rPr>
          <w:rFonts w:ascii="Verdana" w:hAnsi="Verdana"/>
          <w:sz w:val="20"/>
          <w:szCs w:val="20"/>
        </w:rPr>
        <w:t>[…]</w:t>
      </w:r>
      <w:r w:rsidR="00326999" w:rsidRPr="00326999">
        <w:rPr>
          <w:rFonts w:ascii="Verdana" w:hAnsi="Verdana"/>
          <w:sz w:val="20"/>
          <w:szCs w:val="20"/>
        </w:rPr>
        <w:t xml:space="preserve"> Sentencia, por concepto de indemnizaciones por daños materiales e inmateriales y por el reintegro de costas y gastos</w:t>
      </w:r>
      <w:r w:rsidR="00006107">
        <w:rPr>
          <w:rFonts w:ascii="Verdana" w:hAnsi="Verdana"/>
          <w:sz w:val="20"/>
          <w:szCs w:val="20"/>
        </w:rPr>
        <w:t>” (</w:t>
      </w:r>
      <w:r w:rsidR="00006107" w:rsidRPr="00006107">
        <w:rPr>
          <w:rFonts w:ascii="Verdana" w:hAnsi="Verdana"/>
          <w:i/>
          <w:sz w:val="20"/>
          <w:szCs w:val="20"/>
        </w:rPr>
        <w:t>infra</w:t>
      </w:r>
      <w:r w:rsidR="00006107">
        <w:rPr>
          <w:rFonts w:ascii="Verdana" w:hAnsi="Verdana"/>
          <w:sz w:val="20"/>
          <w:szCs w:val="20"/>
        </w:rPr>
        <w:t xml:space="preserve"> Considerandos </w:t>
      </w:r>
      <w:r w:rsidR="005958A1">
        <w:rPr>
          <w:rFonts w:ascii="Verdana" w:hAnsi="Verdana"/>
          <w:sz w:val="20"/>
          <w:szCs w:val="20"/>
        </w:rPr>
        <w:fldChar w:fldCharType="begin"/>
      </w:r>
      <w:r w:rsidR="005958A1">
        <w:rPr>
          <w:rFonts w:ascii="Verdana" w:hAnsi="Verdana"/>
          <w:sz w:val="20"/>
          <w:szCs w:val="20"/>
        </w:rPr>
        <w:instrText xml:space="preserve"> REF _Ref26893006 \r \h </w:instrText>
      </w:r>
      <w:r w:rsidR="005958A1">
        <w:rPr>
          <w:rFonts w:ascii="Verdana" w:hAnsi="Verdana"/>
          <w:sz w:val="20"/>
          <w:szCs w:val="20"/>
        </w:rPr>
      </w:r>
      <w:r w:rsidR="005958A1">
        <w:rPr>
          <w:rFonts w:ascii="Verdana" w:hAnsi="Verdana"/>
          <w:sz w:val="20"/>
          <w:szCs w:val="20"/>
        </w:rPr>
        <w:fldChar w:fldCharType="separate"/>
      </w:r>
      <w:r w:rsidR="00630FCA">
        <w:rPr>
          <w:rFonts w:ascii="Verdana" w:hAnsi="Verdana"/>
          <w:sz w:val="20"/>
          <w:szCs w:val="20"/>
        </w:rPr>
        <w:t>55</w:t>
      </w:r>
      <w:r w:rsidR="005958A1">
        <w:rPr>
          <w:rFonts w:ascii="Verdana" w:hAnsi="Verdana"/>
          <w:sz w:val="20"/>
          <w:szCs w:val="20"/>
        </w:rPr>
        <w:fldChar w:fldCharType="end"/>
      </w:r>
      <w:r w:rsidR="000B062E">
        <w:rPr>
          <w:rFonts w:ascii="Verdana" w:hAnsi="Verdana"/>
          <w:sz w:val="20"/>
          <w:szCs w:val="20"/>
        </w:rPr>
        <w:t>2</w:t>
      </w:r>
      <w:r w:rsidR="005958A1">
        <w:rPr>
          <w:rFonts w:ascii="Verdana" w:hAnsi="Verdana"/>
          <w:sz w:val="20"/>
          <w:szCs w:val="20"/>
        </w:rPr>
        <w:t xml:space="preserve"> a </w:t>
      </w:r>
      <w:r w:rsidR="005958A1">
        <w:rPr>
          <w:rFonts w:ascii="Verdana" w:hAnsi="Verdana"/>
          <w:sz w:val="20"/>
          <w:szCs w:val="20"/>
        </w:rPr>
        <w:fldChar w:fldCharType="begin"/>
      </w:r>
      <w:r w:rsidR="005958A1">
        <w:rPr>
          <w:rFonts w:ascii="Verdana" w:hAnsi="Verdana"/>
          <w:sz w:val="20"/>
          <w:szCs w:val="20"/>
        </w:rPr>
        <w:instrText xml:space="preserve"> REF _Ref26787031 \r \h </w:instrText>
      </w:r>
      <w:r w:rsidR="005958A1">
        <w:rPr>
          <w:rFonts w:ascii="Verdana" w:hAnsi="Verdana"/>
          <w:sz w:val="20"/>
          <w:szCs w:val="20"/>
        </w:rPr>
      </w:r>
      <w:r w:rsidR="005958A1">
        <w:rPr>
          <w:rFonts w:ascii="Verdana" w:hAnsi="Verdana"/>
          <w:sz w:val="20"/>
          <w:szCs w:val="20"/>
        </w:rPr>
        <w:fldChar w:fldCharType="separate"/>
      </w:r>
      <w:r w:rsidR="00630FCA">
        <w:rPr>
          <w:rFonts w:ascii="Verdana" w:hAnsi="Verdana"/>
          <w:sz w:val="20"/>
          <w:szCs w:val="20"/>
        </w:rPr>
        <w:t>58</w:t>
      </w:r>
      <w:r w:rsidR="005958A1">
        <w:rPr>
          <w:rFonts w:ascii="Verdana" w:hAnsi="Verdana"/>
          <w:sz w:val="20"/>
          <w:szCs w:val="20"/>
        </w:rPr>
        <w:fldChar w:fldCharType="end"/>
      </w:r>
      <w:r w:rsidR="00006107">
        <w:rPr>
          <w:rFonts w:ascii="Verdana" w:hAnsi="Verdana"/>
          <w:sz w:val="20"/>
          <w:szCs w:val="20"/>
        </w:rPr>
        <w:t>)</w:t>
      </w:r>
      <w:r w:rsidR="00326999" w:rsidRPr="00326999">
        <w:rPr>
          <w:rFonts w:ascii="Verdana" w:hAnsi="Verdana"/>
          <w:sz w:val="20"/>
          <w:szCs w:val="20"/>
        </w:rPr>
        <w:t xml:space="preserve">, </w:t>
      </w:r>
      <w:r w:rsidR="00006107">
        <w:rPr>
          <w:rFonts w:ascii="Verdana" w:hAnsi="Verdana"/>
          <w:sz w:val="20"/>
          <w:szCs w:val="20"/>
        </w:rPr>
        <w:t>“</w:t>
      </w:r>
      <w:r w:rsidR="00326999" w:rsidRPr="00326999">
        <w:rPr>
          <w:rFonts w:ascii="Verdana" w:hAnsi="Verdana"/>
          <w:sz w:val="20"/>
          <w:szCs w:val="20"/>
        </w:rPr>
        <w:t>así como el reintegro al Fondo de Asistencia Legal de</w:t>
      </w:r>
      <w:r w:rsidR="00326999">
        <w:rPr>
          <w:rFonts w:ascii="Verdana" w:hAnsi="Verdana"/>
          <w:sz w:val="20"/>
          <w:szCs w:val="20"/>
        </w:rPr>
        <w:t xml:space="preserve"> </w:t>
      </w:r>
      <w:r w:rsidR="00326999" w:rsidRPr="00326999">
        <w:rPr>
          <w:rFonts w:ascii="Verdana" w:hAnsi="Verdana"/>
          <w:sz w:val="20"/>
          <w:szCs w:val="20"/>
        </w:rPr>
        <w:t>Víctimas</w:t>
      </w:r>
      <w:r w:rsidR="00326999">
        <w:rPr>
          <w:rFonts w:ascii="Verdana" w:hAnsi="Verdana"/>
          <w:sz w:val="20"/>
          <w:szCs w:val="20"/>
        </w:rPr>
        <w:t>”</w:t>
      </w:r>
      <w:r w:rsidR="00006107">
        <w:rPr>
          <w:rFonts w:ascii="Verdana" w:hAnsi="Verdana"/>
          <w:sz w:val="20"/>
          <w:szCs w:val="20"/>
        </w:rPr>
        <w:t xml:space="preserve"> (</w:t>
      </w:r>
      <w:r w:rsidR="00006107" w:rsidRPr="00006107">
        <w:rPr>
          <w:rFonts w:ascii="Verdana" w:hAnsi="Verdana"/>
          <w:i/>
          <w:sz w:val="20"/>
          <w:szCs w:val="20"/>
        </w:rPr>
        <w:t xml:space="preserve">infra </w:t>
      </w:r>
      <w:r w:rsidR="00006107">
        <w:rPr>
          <w:rFonts w:ascii="Verdana" w:hAnsi="Verdana"/>
          <w:sz w:val="20"/>
          <w:szCs w:val="20"/>
        </w:rPr>
        <w:t xml:space="preserve">Considerandos </w:t>
      </w:r>
      <w:r w:rsidR="005958A1">
        <w:rPr>
          <w:rFonts w:ascii="Verdana" w:hAnsi="Verdana"/>
          <w:sz w:val="20"/>
          <w:szCs w:val="20"/>
        </w:rPr>
        <w:fldChar w:fldCharType="begin"/>
      </w:r>
      <w:r w:rsidR="005958A1">
        <w:rPr>
          <w:rFonts w:ascii="Verdana" w:hAnsi="Verdana"/>
          <w:sz w:val="20"/>
          <w:szCs w:val="20"/>
        </w:rPr>
        <w:instrText xml:space="preserve"> REF _Ref26777445 \r \h </w:instrText>
      </w:r>
      <w:r w:rsidR="005958A1">
        <w:rPr>
          <w:rFonts w:ascii="Verdana" w:hAnsi="Verdana"/>
          <w:sz w:val="20"/>
          <w:szCs w:val="20"/>
        </w:rPr>
      </w:r>
      <w:r w:rsidR="005958A1">
        <w:rPr>
          <w:rFonts w:ascii="Verdana" w:hAnsi="Verdana"/>
          <w:sz w:val="20"/>
          <w:szCs w:val="20"/>
        </w:rPr>
        <w:fldChar w:fldCharType="separate"/>
      </w:r>
      <w:r w:rsidR="00630FCA">
        <w:rPr>
          <w:rFonts w:ascii="Verdana" w:hAnsi="Verdana"/>
          <w:sz w:val="20"/>
          <w:szCs w:val="20"/>
        </w:rPr>
        <w:t>59</w:t>
      </w:r>
      <w:r w:rsidR="005958A1">
        <w:rPr>
          <w:rFonts w:ascii="Verdana" w:hAnsi="Verdana"/>
          <w:sz w:val="20"/>
          <w:szCs w:val="20"/>
        </w:rPr>
        <w:fldChar w:fldCharType="end"/>
      </w:r>
      <w:r w:rsidR="005958A1">
        <w:rPr>
          <w:rFonts w:ascii="Verdana" w:hAnsi="Verdana"/>
          <w:sz w:val="20"/>
          <w:szCs w:val="20"/>
        </w:rPr>
        <w:t xml:space="preserve"> a </w:t>
      </w:r>
      <w:r w:rsidR="005958A1">
        <w:rPr>
          <w:rFonts w:ascii="Verdana" w:hAnsi="Verdana"/>
          <w:sz w:val="20"/>
          <w:szCs w:val="20"/>
        </w:rPr>
        <w:fldChar w:fldCharType="begin"/>
      </w:r>
      <w:r w:rsidR="005958A1">
        <w:rPr>
          <w:rFonts w:ascii="Verdana" w:hAnsi="Verdana"/>
          <w:sz w:val="20"/>
          <w:szCs w:val="20"/>
        </w:rPr>
        <w:instrText xml:space="preserve"> REF _Ref26787309 \r \h </w:instrText>
      </w:r>
      <w:r w:rsidR="005958A1">
        <w:rPr>
          <w:rFonts w:ascii="Verdana" w:hAnsi="Verdana"/>
          <w:sz w:val="20"/>
          <w:szCs w:val="20"/>
        </w:rPr>
      </w:r>
      <w:r w:rsidR="005958A1">
        <w:rPr>
          <w:rFonts w:ascii="Verdana" w:hAnsi="Verdana"/>
          <w:sz w:val="20"/>
          <w:szCs w:val="20"/>
        </w:rPr>
        <w:fldChar w:fldCharType="separate"/>
      </w:r>
      <w:r w:rsidR="00630FCA">
        <w:rPr>
          <w:rFonts w:ascii="Verdana" w:hAnsi="Verdana"/>
          <w:sz w:val="20"/>
          <w:szCs w:val="20"/>
        </w:rPr>
        <w:t>62</w:t>
      </w:r>
      <w:r w:rsidR="005958A1">
        <w:rPr>
          <w:rFonts w:ascii="Verdana" w:hAnsi="Verdana"/>
          <w:sz w:val="20"/>
          <w:szCs w:val="20"/>
        </w:rPr>
        <w:fldChar w:fldCharType="end"/>
      </w:r>
      <w:r w:rsidR="00006107">
        <w:rPr>
          <w:rFonts w:ascii="Verdana" w:hAnsi="Verdana"/>
          <w:sz w:val="20"/>
          <w:szCs w:val="20"/>
        </w:rPr>
        <w:t>)</w:t>
      </w:r>
      <w:r w:rsidR="00326999">
        <w:rPr>
          <w:rFonts w:ascii="Verdana" w:hAnsi="Verdana"/>
          <w:sz w:val="20"/>
          <w:szCs w:val="20"/>
        </w:rPr>
        <w:t>.</w:t>
      </w:r>
      <w:r w:rsidR="00F7213C">
        <w:rPr>
          <w:rFonts w:ascii="Verdana" w:hAnsi="Verdana"/>
          <w:sz w:val="20"/>
          <w:szCs w:val="20"/>
        </w:rPr>
        <w:t xml:space="preserve"> </w:t>
      </w:r>
      <w:r w:rsidR="00006107">
        <w:rPr>
          <w:rFonts w:ascii="Verdana" w:hAnsi="Verdana"/>
          <w:sz w:val="20"/>
          <w:szCs w:val="20"/>
        </w:rPr>
        <w:t>En los párrafos 380 a 385 de</w:t>
      </w:r>
      <w:r w:rsidR="003D23B9">
        <w:rPr>
          <w:rFonts w:ascii="Verdana" w:hAnsi="Verdana"/>
          <w:sz w:val="20"/>
          <w:szCs w:val="20"/>
        </w:rPr>
        <w:t xml:space="preserve"> la Sentencia,</w:t>
      </w:r>
      <w:r w:rsidR="00006107">
        <w:rPr>
          <w:rFonts w:ascii="Verdana" w:hAnsi="Verdana"/>
          <w:sz w:val="20"/>
          <w:szCs w:val="20"/>
        </w:rPr>
        <w:t xml:space="preserve"> la Corte realizó </w:t>
      </w:r>
      <w:r w:rsidR="003D23B9">
        <w:rPr>
          <w:rFonts w:ascii="Verdana" w:hAnsi="Verdana"/>
          <w:sz w:val="20"/>
          <w:szCs w:val="20"/>
        </w:rPr>
        <w:t xml:space="preserve">varias </w:t>
      </w:r>
      <w:r w:rsidR="00006107">
        <w:rPr>
          <w:rFonts w:ascii="Verdana" w:hAnsi="Verdana"/>
          <w:sz w:val="20"/>
          <w:szCs w:val="20"/>
        </w:rPr>
        <w:t>previsiones sobre la “[m]</w:t>
      </w:r>
      <w:proofErr w:type="spellStart"/>
      <w:r w:rsidR="00006107">
        <w:rPr>
          <w:rFonts w:ascii="Verdana" w:hAnsi="Verdana"/>
          <w:sz w:val="20"/>
          <w:szCs w:val="20"/>
        </w:rPr>
        <w:t>odalidad</w:t>
      </w:r>
      <w:proofErr w:type="spellEnd"/>
      <w:r w:rsidR="00006107">
        <w:rPr>
          <w:rFonts w:ascii="Verdana" w:hAnsi="Verdana"/>
          <w:sz w:val="20"/>
          <w:szCs w:val="20"/>
        </w:rPr>
        <w:t xml:space="preserve"> de cumplimiento de los pagos ordenados”, entre ellas, dispuso </w:t>
      </w:r>
      <w:r w:rsidR="00F7213C">
        <w:rPr>
          <w:rFonts w:ascii="Verdana" w:hAnsi="Verdana"/>
          <w:sz w:val="20"/>
          <w:szCs w:val="20"/>
        </w:rPr>
        <w:t>que</w:t>
      </w:r>
      <w:r w:rsidR="003D23B9">
        <w:rPr>
          <w:rFonts w:ascii="Verdana" w:hAnsi="Verdana"/>
          <w:sz w:val="20"/>
          <w:szCs w:val="20"/>
        </w:rPr>
        <w:t>,</w:t>
      </w:r>
      <w:r w:rsidR="000B062E">
        <w:rPr>
          <w:rFonts w:ascii="Verdana" w:hAnsi="Verdana"/>
          <w:sz w:val="20"/>
          <w:szCs w:val="20"/>
        </w:rPr>
        <w:t xml:space="preserve"> los pagos por concepto de indemnizaciones y por el reintegro de costas y gastos debían ser realizados “dentro del plazo de un año, contado a partir de la notificación del […] Fallo” y que</w:t>
      </w:r>
      <w:r w:rsidR="00F7213C">
        <w:rPr>
          <w:rFonts w:ascii="Verdana" w:hAnsi="Verdana"/>
          <w:sz w:val="20"/>
          <w:szCs w:val="20"/>
        </w:rPr>
        <w:t xml:space="preserve"> “[e]n </w:t>
      </w:r>
      <w:r w:rsidR="00F7213C" w:rsidRPr="00F7213C">
        <w:rPr>
          <w:rFonts w:ascii="Verdana" w:hAnsi="Verdana"/>
          <w:sz w:val="20"/>
          <w:szCs w:val="20"/>
        </w:rPr>
        <w:t xml:space="preserve">caso de que el Estado incurriera en mora, deberá pagar un interés sobre la </w:t>
      </w:r>
      <w:r w:rsidR="00F7213C" w:rsidRPr="00F7213C">
        <w:rPr>
          <w:rFonts w:ascii="Verdana" w:hAnsi="Verdana"/>
          <w:sz w:val="20"/>
          <w:szCs w:val="20"/>
        </w:rPr>
        <w:lastRenderedPageBreak/>
        <w:t>cantidad adeudada correspondiente al interés bancario moratorio en la República de Colombia”</w:t>
      </w:r>
      <w:r w:rsidR="003D23B9">
        <w:rPr>
          <w:rStyle w:val="Refdenotaalpie"/>
          <w:rFonts w:ascii="Verdana" w:hAnsi="Verdana"/>
          <w:sz w:val="20"/>
          <w:szCs w:val="20"/>
        </w:rPr>
        <w:footnoteReference w:id="46"/>
      </w:r>
      <w:r w:rsidR="00F7213C" w:rsidRPr="00F7213C">
        <w:rPr>
          <w:rFonts w:ascii="Verdana" w:hAnsi="Verdana"/>
          <w:sz w:val="20"/>
          <w:szCs w:val="20"/>
        </w:rPr>
        <w:t>.</w:t>
      </w:r>
      <w:r w:rsidR="00EC794B">
        <w:rPr>
          <w:rFonts w:ascii="Verdana" w:hAnsi="Verdana"/>
          <w:sz w:val="20"/>
          <w:szCs w:val="20"/>
        </w:rPr>
        <w:t xml:space="preserve"> </w:t>
      </w:r>
      <w:bookmarkEnd w:id="44"/>
    </w:p>
    <w:p w14:paraId="28A4C8EA" w14:textId="4A10F937" w:rsidR="00006107" w:rsidRPr="00326999" w:rsidRDefault="008779C1" w:rsidP="000B062E">
      <w:pPr>
        <w:pStyle w:val="Prrafodelista"/>
        <w:numPr>
          <w:ilvl w:val="0"/>
          <w:numId w:val="3"/>
        </w:numPr>
        <w:spacing w:before="120" w:after="120" w:line="240" w:lineRule="auto"/>
        <w:ind w:left="0" w:firstLine="0"/>
        <w:contextualSpacing w:val="0"/>
        <w:jc w:val="both"/>
        <w:rPr>
          <w:rFonts w:ascii="Verdana" w:hAnsi="Verdana"/>
          <w:sz w:val="20"/>
          <w:szCs w:val="20"/>
        </w:rPr>
      </w:pPr>
      <w:r>
        <w:rPr>
          <w:rFonts w:ascii="Verdana" w:hAnsi="Verdana"/>
          <w:sz w:val="20"/>
          <w:szCs w:val="20"/>
        </w:rPr>
        <w:t xml:space="preserve">En los párrafos </w:t>
      </w:r>
      <w:r w:rsidR="00642587">
        <w:rPr>
          <w:rFonts w:ascii="Verdana" w:hAnsi="Verdana"/>
          <w:sz w:val="20"/>
          <w:szCs w:val="20"/>
        </w:rPr>
        <w:t>18 a 20</w:t>
      </w:r>
      <w:r w:rsidR="006D1B1D">
        <w:rPr>
          <w:rFonts w:ascii="Verdana" w:hAnsi="Verdana"/>
          <w:sz w:val="20"/>
          <w:szCs w:val="20"/>
        </w:rPr>
        <w:t xml:space="preserve"> </w:t>
      </w:r>
      <w:r>
        <w:rPr>
          <w:rFonts w:ascii="Verdana" w:hAnsi="Verdana"/>
          <w:sz w:val="20"/>
          <w:szCs w:val="20"/>
        </w:rPr>
        <w:t>de la Sentencia de interpretación</w:t>
      </w:r>
      <w:r w:rsidR="000B062E">
        <w:rPr>
          <w:rFonts w:ascii="Verdana" w:hAnsi="Verdana"/>
          <w:sz w:val="20"/>
          <w:szCs w:val="20"/>
        </w:rPr>
        <w:t xml:space="preserve"> (</w:t>
      </w:r>
      <w:r w:rsidR="000B062E" w:rsidRPr="000B062E">
        <w:rPr>
          <w:rFonts w:ascii="Verdana" w:hAnsi="Verdana"/>
          <w:i/>
          <w:sz w:val="20"/>
          <w:szCs w:val="20"/>
        </w:rPr>
        <w:t>supra</w:t>
      </w:r>
      <w:r w:rsidR="000B062E">
        <w:rPr>
          <w:rFonts w:ascii="Verdana" w:hAnsi="Verdana"/>
          <w:sz w:val="20"/>
          <w:szCs w:val="20"/>
        </w:rPr>
        <w:t xml:space="preserve"> Visto 2)</w:t>
      </w:r>
      <w:r>
        <w:rPr>
          <w:rFonts w:ascii="Verdana" w:hAnsi="Verdana"/>
          <w:sz w:val="20"/>
          <w:szCs w:val="20"/>
        </w:rPr>
        <w:t xml:space="preserve">, el Tribunal </w:t>
      </w:r>
      <w:r w:rsidR="003D23B9">
        <w:rPr>
          <w:rFonts w:ascii="Verdana" w:hAnsi="Verdana"/>
          <w:sz w:val="20"/>
          <w:szCs w:val="20"/>
        </w:rPr>
        <w:t>realizó aclaraciones respecto de</w:t>
      </w:r>
      <w:r w:rsidR="00642587">
        <w:rPr>
          <w:rFonts w:ascii="Verdana" w:hAnsi="Verdana"/>
          <w:sz w:val="20"/>
          <w:szCs w:val="20"/>
        </w:rPr>
        <w:t xml:space="preserve"> </w:t>
      </w:r>
      <w:r w:rsidR="00D6445F">
        <w:rPr>
          <w:rFonts w:ascii="Verdana" w:hAnsi="Verdana"/>
          <w:sz w:val="20"/>
          <w:szCs w:val="20"/>
        </w:rPr>
        <w:t xml:space="preserve">los montos ordenados en el párrafo 369 de la Sentencia </w:t>
      </w:r>
      <w:r w:rsidR="00642587">
        <w:rPr>
          <w:rFonts w:ascii="Verdana" w:hAnsi="Verdana"/>
          <w:sz w:val="20"/>
          <w:szCs w:val="20"/>
        </w:rPr>
        <w:t>y</w:t>
      </w:r>
      <w:r w:rsidR="006D1B1D">
        <w:rPr>
          <w:rFonts w:ascii="Verdana" w:hAnsi="Verdana"/>
          <w:sz w:val="20"/>
          <w:szCs w:val="20"/>
        </w:rPr>
        <w:t xml:space="preserve"> en los párrafos 24, 25 y 41 a 43 realizó precisiones </w:t>
      </w:r>
      <w:r w:rsidR="00642587">
        <w:rPr>
          <w:rFonts w:ascii="Verdana" w:hAnsi="Verdana"/>
          <w:sz w:val="20"/>
          <w:szCs w:val="20"/>
        </w:rPr>
        <w:t xml:space="preserve">sobre la modalidad de cumplimiento de los pagos ordenados. </w:t>
      </w:r>
    </w:p>
    <w:p w14:paraId="54BC7BFE" w14:textId="77777777" w:rsidR="005B5FB3" w:rsidRDefault="005B5FB3" w:rsidP="002670E3">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
          <w:bCs/>
          <w:sz w:val="20"/>
          <w:szCs w:val="20"/>
        </w:rPr>
      </w:pPr>
    </w:p>
    <w:p w14:paraId="5DEDA7F2" w14:textId="77777777" w:rsidR="000E4275" w:rsidRDefault="002C24CE" w:rsidP="002670E3">
      <w:pPr>
        <w:pStyle w:val="Prrafodelista"/>
        <w:spacing w:before="120" w:after="120" w:line="240" w:lineRule="auto"/>
        <w:ind w:left="360" w:firstLine="348"/>
        <w:contextualSpacing w:val="0"/>
        <w:jc w:val="both"/>
        <w:rPr>
          <w:rFonts w:ascii="Verdana" w:hAnsi="Verdana"/>
          <w:i/>
          <w:sz w:val="20"/>
          <w:szCs w:val="20"/>
        </w:rPr>
      </w:pPr>
      <w:r>
        <w:rPr>
          <w:rFonts w:ascii="Verdana" w:hAnsi="Verdana"/>
          <w:i/>
          <w:sz w:val="20"/>
          <w:szCs w:val="20"/>
        </w:rPr>
        <w:t>F</w:t>
      </w:r>
      <w:r w:rsidR="0072540F" w:rsidRPr="0072540F">
        <w:rPr>
          <w:rFonts w:ascii="Verdana" w:hAnsi="Verdana"/>
          <w:i/>
          <w:sz w:val="20"/>
          <w:szCs w:val="20"/>
        </w:rPr>
        <w:t>.2.</w:t>
      </w:r>
      <w:r w:rsidR="000E4275">
        <w:rPr>
          <w:rFonts w:ascii="Verdana" w:hAnsi="Verdana"/>
          <w:i/>
          <w:sz w:val="20"/>
          <w:szCs w:val="20"/>
        </w:rPr>
        <w:t xml:space="preserve"> </w:t>
      </w:r>
      <w:r w:rsidR="000E4275" w:rsidRPr="00CA38EE">
        <w:rPr>
          <w:rFonts w:ascii="Verdana" w:hAnsi="Verdana"/>
          <w:i/>
          <w:sz w:val="20"/>
          <w:szCs w:val="20"/>
        </w:rPr>
        <w:t>Información y observaciones de las partes y de la Comisión</w:t>
      </w:r>
    </w:p>
    <w:p w14:paraId="0150E59B" w14:textId="7DA081F5" w:rsidR="000E4275" w:rsidRDefault="000E4275" w:rsidP="000B062E">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b/>
          <w:bCs/>
          <w:sz w:val="20"/>
          <w:szCs w:val="20"/>
        </w:rPr>
      </w:pPr>
      <w:r>
        <w:rPr>
          <w:rFonts w:ascii="Verdana" w:hAnsi="Verdana" w:cs="Verdana"/>
          <w:bCs/>
          <w:sz w:val="20"/>
          <w:szCs w:val="20"/>
        </w:rPr>
        <w:t xml:space="preserve">En varios de sus escritos el </w:t>
      </w:r>
      <w:r w:rsidRPr="000B062E">
        <w:rPr>
          <w:rFonts w:ascii="Verdana" w:hAnsi="Verdana" w:cs="Verdana"/>
          <w:bCs/>
          <w:i/>
          <w:sz w:val="20"/>
          <w:szCs w:val="20"/>
        </w:rPr>
        <w:t>Estado</w:t>
      </w:r>
      <w:r w:rsidRPr="00940E14">
        <w:rPr>
          <w:rFonts w:ascii="Verdana" w:hAnsi="Verdana" w:cs="Verdana"/>
          <w:b/>
          <w:bCs/>
          <w:sz w:val="20"/>
          <w:szCs w:val="20"/>
        </w:rPr>
        <w:t xml:space="preserve"> </w:t>
      </w:r>
      <w:r>
        <w:rPr>
          <w:rFonts w:ascii="Verdana" w:hAnsi="Verdana" w:cs="Verdana"/>
          <w:bCs/>
          <w:sz w:val="20"/>
          <w:szCs w:val="20"/>
        </w:rPr>
        <w:t>ha informado sobre los pagos efectuados por concepto de indemnizaciones por daños materiales e inmateriales y por reintegro de costas y gastos. En su informe de marzo de 2019, solicitó a la Corte “que se declare el cumplimiento de lo ordenado en [este] punto resolutivo</w:t>
      </w:r>
      <w:r w:rsidR="00C738E2">
        <w:rPr>
          <w:rFonts w:ascii="Verdana" w:hAnsi="Verdana" w:cs="Verdana"/>
          <w:bCs/>
          <w:sz w:val="20"/>
          <w:szCs w:val="20"/>
        </w:rPr>
        <w:t xml:space="preserve"> […]</w:t>
      </w:r>
      <w:r>
        <w:rPr>
          <w:rFonts w:ascii="Verdana" w:hAnsi="Verdana" w:cs="Verdana"/>
          <w:bCs/>
          <w:sz w:val="20"/>
          <w:szCs w:val="20"/>
        </w:rPr>
        <w:t xml:space="preserve"> de la Sentencia”.</w:t>
      </w:r>
      <w:r>
        <w:rPr>
          <w:rFonts w:ascii="Verdana" w:hAnsi="Verdana" w:cs="Verdana"/>
          <w:b/>
          <w:bCs/>
          <w:sz w:val="20"/>
          <w:szCs w:val="20"/>
        </w:rPr>
        <w:t xml:space="preserve"> </w:t>
      </w:r>
    </w:p>
    <w:p w14:paraId="178513FF" w14:textId="0010FC0D" w:rsidR="000E4275" w:rsidRDefault="000E4275" w:rsidP="000B062E">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b/>
          <w:bCs/>
          <w:sz w:val="20"/>
          <w:szCs w:val="20"/>
        </w:rPr>
      </w:pPr>
      <w:bookmarkStart w:id="45" w:name="_Ref26896239"/>
      <w:r>
        <w:rPr>
          <w:rFonts w:ascii="Verdana" w:hAnsi="Verdana" w:cs="Verdana"/>
          <w:bCs/>
          <w:sz w:val="20"/>
          <w:szCs w:val="20"/>
        </w:rPr>
        <w:t>Al respecto, l</w:t>
      </w:r>
      <w:r w:rsidRPr="00393FBF">
        <w:rPr>
          <w:rFonts w:ascii="Verdana" w:hAnsi="Verdana" w:cs="Verdana"/>
          <w:bCs/>
          <w:sz w:val="20"/>
          <w:szCs w:val="20"/>
        </w:rPr>
        <w:t xml:space="preserve">as </w:t>
      </w:r>
      <w:r w:rsidRPr="000B062E">
        <w:rPr>
          <w:rFonts w:ascii="Verdana" w:hAnsi="Verdana" w:cs="Verdana"/>
          <w:bCs/>
          <w:i/>
          <w:sz w:val="20"/>
          <w:szCs w:val="20"/>
        </w:rPr>
        <w:t>representantes</w:t>
      </w:r>
      <w:r>
        <w:rPr>
          <w:rFonts w:ascii="Verdana" w:hAnsi="Verdana" w:cs="Verdana"/>
          <w:bCs/>
          <w:i/>
          <w:sz w:val="20"/>
          <w:szCs w:val="20"/>
        </w:rPr>
        <w:t xml:space="preserve"> </w:t>
      </w:r>
      <w:r>
        <w:rPr>
          <w:rFonts w:ascii="Verdana" w:hAnsi="Verdana" w:cs="Verdana"/>
          <w:bCs/>
          <w:sz w:val="20"/>
          <w:szCs w:val="20"/>
        </w:rPr>
        <w:t xml:space="preserve">observaron </w:t>
      </w:r>
      <w:r w:rsidR="009D1F2D">
        <w:rPr>
          <w:rFonts w:ascii="Verdana" w:hAnsi="Verdana" w:cs="Verdana"/>
          <w:bCs/>
          <w:sz w:val="20"/>
          <w:szCs w:val="20"/>
        </w:rPr>
        <w:t xml:space="preserve">en su escrito de febrero de 2019 </w:t>
      </w:r>
      <w:r>
        <w:rPr>
          <w:rFonts w:ascii="Verdana" w:hAnsi="Verdana" w:cs="Verdana"/>
          <w:bCs/>
          <w:sz w:val="20"/>
          <w:szCs w:val="20"/>
        </w:rPr>
        <w:t>que</w:t>
      </w:r>
      <w:r w:rsidR="005E620C">
        <w:rPr>
          <w:rFonts w:ascii="Verdana" w:hAnsi="Verdana" w:cs="Verdana"/>
          <w:bCs/>
          <w:sz w:val="20"/>
          <w:szCs w:val="20"/>
        </w:rPr>
        <w:t xml:space="preserve"> mediante las resoluciones</w:t>
      </w:r>
      <w:r>
        <w:rPr>
          <w:rFonts w:ascii="Verdana" w:hAnsi="Verdana" w:cs="Verdana"/>
          <w:bCs/>
          <w:sz w:val="20"/>
          <w:szCs w:val="20"/>
        </w:rPr>
        <w:t xml:space="preserve"> </w:t>
      </w:r>
      <w:r w:rsidR="005E620C">
        <w:rPr>
          <w:rFonts w:ascii="Verdana" w:hAnsi="Verdana" w:cs="Verdana"/>
          <w:bCs/>
          <w:sz w:val="20"/>
          <w:szCs w:val="20"/>
        </w:rPr>
        <w:t xml:space="preserve">No. 0181 y 1020 </w:t>
      </w:r>
      <w:r w:rsidRPr="002925FF">
        <w:rPr>
          <w:rFonts w:ascii="Verdana" w:hAnsi="Verdana" w:cs="Verdana"/>
          <w:bCs/>
          <w:sz w:val="20"/>
          <w:szCs w:val="20"/>
        </w:rPr>
        <w:t xml:space="preserve">“el Estado pagó a las víctimas del Caso Yarce y al Grupo Interdisciplinario </w:t>
      </w:r>
      <w:r w:rsidR="000B062E">
        <w:rPr>
          <w:rFonts w:ascii="Verdana" w:hAnsi="Verdana" w:cs="Verdana"/>
          <w:bCs/>
          <w:sz w:val="20"/>
          <w:szCs w:val="20"/>
        </w:rPr>
        <w:t>[por los Derechos Humanos]</w:t>
      </w:r>
      <w:r w:rsidRPr="002925FF">
        <w:rPr>
          <w:rFonts w:ascii="Verdana" w:hAnsi="Verdana" w:cs="Verdana"/>
          <w:bCs/>
          <w:sz w:val="20"/>
          <w:szCs w:val="20"/>
        </w:rPr>
        <w:t xml:space="preserve"> las sumas correspondientes a las indemnizaciones y</w:t>
      </w:r>
      <w:r>
        <w:rPr>
          <w:rFonts w:ascii="Verdana" w:hAnsi="Verdana" w:cs="Verdana"/>
          <w:bCs/>
          <w:sz w:val="20"/>
          <w:szCs w:val="20"/>
        </w:rPr>
        <w:t xml:space="preserve"> costas ordenadas por la Corte”. No obstante, objetaron que Colombia no “</w:t>
      </w:r>
      <w:proofErr w:type="spellStart"/>
      <w:r>
        <w:rPr>
          <w:rFonts w:ascii="Verdana" w:hAnsi="Verdana" w:cs="Verdana"/>
          <w:bCs/>
          <w:sz w:val="20"/>
          <w:szCs w:val="20"/>
        </w:rPr>
        <w:t>atend</w:t>
      </w:r>
      <w:proofErr w:type="spellEnd"/>
      <w:r>
        <w:rPr>
          <w:rFonts w:ascii="Verdana" w:hAnsi="Verdana" w:cs="Verdana"/>
          <w:bCs/>
          <w:sz w:val="20"/>
          <w:szCs w:val="20"/>
        </w:rPr>
        <w:t>[</w:t>
      </w:r>
      <w:proofErr w:type="spellStart"/>
      <w:r>
        <w:rPr>
          <w:rFonts w:ascii="Verdana" w:hAnsi="Verdana" w:cs="Verdana"/>
          <w:bCs/>
          <w:sz w:val="20"/>
          <w:szCs w:val="20"/>
        </w:rPr>
        <w:t>ió</w:t>
      </w:r>
      <w:proofErr w:type="spellEnd"/>
      <w:r>
        <w:rPr>
          <w:rFonts w:ascii="Verdana" w:hAnsi="Verdana" w:cs="Verdana"/>
          <w:bCs/>
          <w:sz w:val="20"/>
          <w:szCs w:val="20"/>
        </w:rPr>
        <w:t xml:space="preserve">] la orden dada por el Tribunal [en la Sentencia] en materia de intereses </w:t>
      </w:r>
      <w:r w:rsidR="00C738E2">
        <w:rPr>
          <w:rFonts w:ascii="Verdana" w:hAnsi="Verdana" w:cs="Verdana"/>
          <w:bCs/>
          <w:sz w:val="20"/>
          <w:szCs w:val="20"/>
        </w:rPr>
        <w:t>[</w:t>
      </w:r>
      <w:r>
        <w:rPr>
          <w:rFonts w:ascii="Verdana" w:hAnsi="Verdana" w:cs="Verdana"/>
          <w:bCs/>
          <w:sz w:val="20"/>
          <w:szCs w:val="20"/>
        </w:rPr>
        <w:t>por</w:t>
      </w:r>
      <w:r w:rsidR="00C738E2">
        <w:rPr>
          <w:rFonts w:ascii="Verdana" w:hAnsi="Verdana" w:cs="Verdana"/>
          <w:bCs/>
          <w:sz w:val="20"/>
          <w:szCs w:val="20"/>
        </w:rPr>
        <w:t>]</w:t>
      </w:r>
      <w:r>
        <w:rPr>
          <w:rFonts w:ascii="Verdana" w:hAnsi="Verdana" w:cs="Verdana"/>
          <w:bCs/>
          <w:sz w:val="20"/>
          <w:szCs w:val="20"/>
        </w:rPr>
        <w:t xml:space="preserve"> mora</w:t>
      </w:r>
      <w:r w:rsidR="00DE6F34">
        <w:rPr>
          <w:rFonts w:ascii="Verdana" w:hAnsi="Verdana" w:cs="Verdana"/>
          <w:bCs/>
          <w:sz w:val="20"/>
          <w:szCs w:val="20"/>
        </w:rPr>
        <w:t>, por falta del cumplimiento del plazo</w:t>
      </w:r>
      <w:r>
        <w:rPr>
          <w:rFonts w:ascii="Verdana" w:hAnsi="Verdana" w:cs="Verdana"/>
          <w:bCs/>
          <w:sz w:val="20"/>
          <w:szCs w:val="20"/>
        </w:rPr>
        <w:t>”</w:t>
      </w:r>
      <w:r w:rsidR="00DE6F34">
        <w:rPr>
          <w:rFonts w:ascii="Verdana" w:hAnsi="Verdana" w:cs="Verdana"/>
          <w:bCs/>
          <w:sz w:val="20"/>
          <w:szCs w:val="20"/>
        </w:rPr>
        <w:t xml:space="preserve"> otorgado para realizar los pagos</w:t>
      </w:r>
      <w:r>
        <w:rPr>
          <w:rFonts w:ascii="Verdana" w:hAnsi="Verdana" w:cs="Verdana"/>
          <w:bCs/>
          <w:sz w:val="20"/>
          <w:szCs w:val="20"/>
        </w:rPr>
        <w:t xml:space="preserve">. Ello, debido a que para su pago utilizó la tasa de los “intereses de captación de los Certificados </w:t>
      </w:r>
      <w:r w:rsidR="00C738E2">
        <w:rPr>
          <w:rFonts w:ascii="Verdana" w:hAnsi="Verdana" w:cs="Verdana"/>
          <w:bCs/>
          <w:sz w:val="20"/>
          <w:szCs w:val="20"/>
        </w:rPr>
        <w:t xml:space="preserve">a </w:t>
      </w:r>
      <w:r>
        <w:rPr>
          <w:rFonts w:ascii="Verdana" w:hAnsi="Verdana" w:cs="Verdana"/>
          <w:bCs/>
          <w:sz w:val="20"/>
          <w:szCs w:val="20"/>
        </w:rPr>
        <w:t xml:space="preserve">Término Fijo” que es la que se emplea para “el pago de indemnizaciones e intereses en los </w:t>
      </w:r>
      <w:r w:rsidR="00C738E2">
        <w:rPr>
          <w:rFonts w:ascii="Verdana" w:hAnsi="Verdana" w:cs="Verdana"/>
          <w:bCs/>
          <w:sz w:val="20"/>
          <w:szCs w:val="20"/>
        </w:rPr>
        <w:t>T</w:t>
      </w:r>
      <w:r>
        <w:rPr>
          <w:rFonts w:ascii="Verdana" w:hAnsi="Verdana" w:cs="Verdana"/>
          <w:bCs/>
          <w:sz w:val="20"/>
          <w:szCs w:val="20"/>
        </w:rPr>
        <w:t xml:space="preserve">ribunales </w:t>
      </w:r>
      <w:r w:rsidR="00940E14">
        <w:rPr>
          <w:rFonts w:ascii="Verdana" w:hAnsi="Verdana" w:cs="Verdana"/>
          <w:bCs/>
          <w:sz w:val="20"/>
          <w:szCs w:val="20"/>
        </w:rPr>
        <w:t>[</w:t>
      </w:r>
      <w:r w:rsidR="00C738E2">
        <w:rPr>
          <w:rFonts w:ascii="Verdana" w:hAnsi="Verdana" w:cs="Verdana"/>
          <w:bCs/>
          <w:sz w:val="20"/>
          <w:szCs w:val="20"/>
        </w:rPr>
        <w:t>C</w:t>
      </w:r>
      <w:r w:rsidR="00940E14">
        <w:rPr>
          <w:rFonts w:ascii="Verdana" w:hAnsi="Verdana" w:cs="Verdana"/>
          <w:bCs/>
          <w:sz w:val="20"/>
          <w:szCs w:val="20"/>
        </w:rPr>
        <w:t>ontencioso-]</w:t>
      </w:r>
      <w:r>
        <w:rPr>
          <w:rFonts w:ascii="Verdana" w:hAnsi="Verdana" w:cs="Verdana"/>
          <w:bCs/>
          <w:sz w:val="20"/>
          <w:szCs w:val="20"/>
        </w:rPr>
        <w:t>administrativos”</w:t>
      </w:r>
      <w:r w:rsidR="00940E14">
        <w:rPr>
          <w:rStyle w:val="Refdenotaalpie"/>
          <w:rFonts w:ascii="Verdana" w:hAnsi="Verdana" w:cs="Verdana"/>
          <w:bCs/>
          <w:sz w:val="20"/>
          <w:szCs w:val="20"/>
        </w:rPr>
        <w:footnoteReference w:id="47"/>
      </w:r>
      <w:r w:rsidR="00940E14">
        <w:rPr>
          <w:rFonts w:ascii="Verdana" w:hAnsi="Verdana" w:cs="Verdana"/>
          <w:bCs/>
          <w:sz w:val="20"/>
          <w:szCs w:val="20"/>
        </w:rPr>
        <w:t>, en lugar de aplicar</w:t>
      </w:r>
      <w:r>
        <w:rPr>
          <w:rFonts w:ascii="Verdana" w:hAnsi="Verdana" w:cs="Verdana"/>
          <w:bCs/>
          <w:sz w:val="20"/>
          <w:szCs w:val="20"/>
        </w:rPr>
        <w:t xml:space="preserve"> </w:t>
      </w:r>
      <w:r w:rsidR="00940E14">
        <w:rPr>
          <w:rFonts w:ascii="Verdana" w:hAnsi="Verdana" w:cs="Verdana"/>
          <w:bCs/>
          <w:sz w:val="20"/>
          <w:szCs w:val="20"/>
        </w:rPr>
        <w:t>para los referidos pagos</w:t>
      </w:r>
      <w:r>
        <w:rPr>
          <w:rFonts w:ascii="Verdana" w:hAnsi="Verdana" w:cs="Verdana"/>
          <w:bCs/>
          <w:sz w:val="20"/>
          <w:szCs w:val="20"/>
        </w:rPr>
        <w:t xml:space="preserve"> la tasa de interés bancario moratorio que rige en Colombia de acuerdo con el</w:t>
      </w:r>
      <w:r w:rsidR="00940E14">
        <w:rPr>
          <w:rFonts w:ascii="Verdana" w:hAnsi="Verdana" w:cs="Verdana"/>
          <w:bCs/>
          <w:sz w:val="20"/>
          <w:szCs w:val="20"/>
        </w:rPr>
        <w:t xml:space="preserve"> </w:t>
      </w:r>
      <w:r w:rsidR="00C738E2">
        <w:rPr>
          <w:rFonts w:ascii="Verdana" w:hAnsi="Verdana" w:cs="Verdana"/>
          <w:bCs/>
          <w:sz w:val="20"/>
          <w:szCs w:val="20"/>
        </w:rPr>
        <w:t>“</w:t>
      </w:r>
      <w:r w:rsidR="00940E14">
        <w:rPr>
          <w:rFonts w:ascii="Verdana" w:hAnsi="Verdana" w:cs="Verdana"/>
          <w:bCs/>
          <w:sz w:val="20"/>
          <w:szCs w:val="20"/>
        </w:rPr>
        <w:t>artículo 884 del</w:t>
      </w:r>
      <w:r>
        <w:rPr>
          <w:rFonts w:ascii="Verdana" w:hAnsi="Verdana" w:cs="Verdana"/>
          <w:bCs/>
          <w:sz w:val="20"/>
          <w:szCs w:val="20"/>
        </w:rPr>
        <w:t xml:space="preserve"> Código </w:t>
      </w:r>
      <w:r w:rsidR="00940E14">
        <w:rPr>
          <w:rFonts w:ascii="Verdana" w:hAnsi="Verdana" w:cs="Verdana"/>
          <w:bCs/>
          <w:sz w:val="20"/>
          <w:szCs w:val="20"/>
        </w:rPr>
        <w:t>de Comercio</w:t>
      </w:r>
      <w:r w:rsidR="00C738E2">
        <w:rPr>
          <w:rFonts w:ascii="Verdana" w:hAnsi="Verdana" w:cs="Verdana"/>
          <w:bCs/>
          <w:sz w:val="20"/>
          <w:szCs w:val="20"/>
        </w:rPr>
        <w:t>”</w:t>
      </w:r>
      <w:bookmarkStart w:id="46" w:name="_Ref26895539"/>
      <w:r w:rsidR="00940E14">
        <w:rPr>
          <w:rStyle w:val="Refdenotaalpie"/>
          <w:rFonts w:ascii="Verdana" w:hAnsi="Verdana" w:cs="Verdana"/>
          <w:bCs/>
          <w:sz w:val="20"/>
          <w:szCs w:val="20"/>
        </w:rPr>
        <w:footnoteReference w:id="48"/>
      </w:r>
      <w:bookmarkEnd w:id="46"/>
      <w:r w:rsidR="00940E14">
        <w:rPr>
          <w:rFonts w:ascii="Verdana" w:hAnsi="Verdana" w:cs="Verdana"/>
          <w:bCs/>
          <w:sz w:val="20"/>
          <w:szCs w:val="20"/>
        </w:rPr>
        <w:t xml:space="preserve">. </w:t>
      </w:r>
      <w:r w:rsidR="00940E14" w:rsidRPr="00940E14">
        <w:rPr>
          <w:rFonts w:ascii="Verdana" w:hAnsi="Verdana" w:cs="Verdana"/>
          <w:bCs/>
          <w:sz w:val="20"/>
          <w:szCs w:val="20"/>
        </w:rPr>
        <w:t xml:space="preserve">Explicaron que la tasa utilizada por el Estado es más baja que la del interés bancario moratorio, con lo cual </w:t>
      </w:r>
      <w:r w:rsidR="000B062E">
        <w:rPr>
          <w:rFonts w:ascii="Verdana" w:hAnsi="Verdana" w:cs="Verdana"/>
          <w:bCs/>
          <w:sz w:val="20"/>
          <w:szCs w:val="20"/>
        </w:rPr>
        <w:t xml:space="preserve">se </w:t>
      </w:r>
      <w:r w:rsidR="00940E14">
        <w:rPr>
          <w:rFonts w:ascii="Verdana" w:hAnsi="Verdana" w:cs="Verdana"/>
          <w:bCs/>
          <w:sz w:val="20"/>
          <w:szCs w:val="20"/>
        </w:rPr>
        <w:t>adeuda</w:t>
      </w:r>
      <w:r w:rsidR="00940E14" w:rsidRPr="00940E14">
        <w:rPr>
          <w:rFonts w:ascii="Verdana" w:hAnsi="Verdana" w:cs="Verdana"/>
          <w:bCs/>
          <w:sz w:val="20"/>
          <w:szCs w:val="20"/>
        </w:rPr>
        <w:t xml:space="preserve"> a las víctimas y representantes una diferencia de dinero</w:t>
      </w:r>
      <w:r w:rsidR="00940E14">
        <w:rPr>
          <w:rFonts w:ascii="Verdana" w:hAnsi="Verdana" w:cs="Verdana"/>
          <w:bCs/>
          <w:sz w:val="20"/>
          <w:szCs w:val="20"/>
        </w:rPr>
        <w:t xml:space="preserve"> por concepto de intereses moratorios</w:t>
      </w:r>
      <w:r w:rsidR="00940E14" w:rsidRPr="00940E14">
        <w:rPr>
          <w:rStyle w:val="Refdenotaalpie"/>
          <w:rFonts w:ascii="Verdana" w:hAnsi="Verdana" w:cs="Verdana"/>
          <w:bCs/>
          <w:sz w:val="20"/>
          <w:szCs w:val="20"/>
        </w:rPr>
        <w:footnoteReference w:id="49"/>
      </w:r>
      <w:r w:rsidR="00940E14" w:rsidRPr="00940E14">
        <w:rPr>
          <w:rFonts w:ascii="Verdana" w:hAnsi="Verdana" w:cs="Verdana"/>
          <w:bCs/>
          <w:sz w:val="20"/>
          <w:szCs w:val="20"/>
        </w:rPr>
        <w:t>.</w:t>
      </w:r>
      <w:r w:rsidR="00940E14">
        <w:rPr>
          <w:rFonts w:ascii="Verdana" w:hAnsi="Verdana" w:cs="Verdana"/>
          <w:b/>
          <w:bCs/>
          <w:sz w:val="20"/>
          <w:szCs w:val="20"/>
        </w:rPr>
        <w:t xml:space="preserve"> </w:t>
      </w:r>
      <w:r w:rsidR="00940E14" w:rsidRPr="00B46EF7">
        <w:rPr>
          <w:rFonts w:ascii="Verdana" w:hAnsi="Verdana" w:cs="Verdana"/>
          <w:bCs/>
          <w:sz w:val="20"/>
          <w:szCs w:val="20"/>
        </w:rPr>
        <w:t xml:space="preserve">Agregaron que, </w:t>
      </w:r>
      <w:r w:rsidR="00BB738A" w:rsidRPr="00B46EF7">
        <w:rPr>
          <w:rFonts w:ascii="Verdana" w:hAnsi="Verdana" w:cs="Verdana"/>
          <w:bCs/>
          <w:sz w:val="20"/>
          <w:szCs w:val="20"/>
        </w:rPr>
        <w:t>“desde el mes de septiembre de 2018 presenta[ron] una solicitud</w:t>
      </w:r>
      <w:r w:rsidR="00C738E2">
        <w:rPr>
          <w:rFonts w:ascii="Verdana" w:hAnsi="Verdana" w:cs="Verdana"/>
          <w:bCs/>
          <w:sz w:val="20"/>
          <w:szCs w:val="20"/>
        </w:rPr>
        <w:t xml:space="preserve"> al Estado </w:t>
      </w:r>
      <w:r w:rsidR="00BB738A" w:rsidRPr="00B46EF7">
        <w:rPr>
          <w:rFonts w:ascii="Verdana" w:hAnsi="Verdana" w:cs="Verdana"/>
          <w:bCs/>
          <w:sz w:val="20"/>
          <w:szCs w:val="20"/>
        </w:rPr>
        <w:t xml:space="preserve">para que re-liquidara los intereses, pero </w:t>
      </w:r>
      <w:r w:rsidR="00C738E2">
        <w:rPr>
          <w:rFonts w:ascii="Verdana" w:hAnsi="Verdana" w:cs="Verdana"/>
          <w:bCs/>
          <w:sz w:val="20"/>
          <w:szCs w:val="20"/>
        </w:rPr>
        <w:t>[</w:t>
      </w:r>
      <w:r w:rsidR="00BB738A" w:rsidRPr="00B46EF7">
        <w:rPr>
          <w:rFonts w:ascii="Verdana" w:hAnsi="Verdana" w:cs="Verdana"/>
          <w:bCs/>
          <w:sz w:val="20"/>
          <w:szCs w:val="20"/>
        </w:rPr>
        <w:t>que no] se [les] ha dad</w:t>
      </w:r>
      <w:r w:rsidR="00882A09">
        <w:rPr>
          <w:rFonts w:ascii="Verdana" w:hAnsi="Verdana" w:cs="Verdana"/>
          <w:bCs/>
          <w:sz w:val="20"/>
          <w:szCs w:val="20"/>
        </w:rPr>
        <w:t>o</w:t>
      </w:r>
      <w:r w:rsidR="00BB738A" w:rsidRPr="00B46EF7">
        <w:rPr>
          <w:rFonts w:ascii="Verdana" w:hAnsi="Verdana" w:cs="Verdana"/>
          <w:bCs/>
          <w:sz w:val="20"/>
          <w:szCs w:val="20"/>
        </w:rPr>
        <w:t xml:space="preserve"> respuesta al requerimiento”.</w:t>
      </w:r>
      <w:r w:rsidR="00BB738A">
        <w:rPr>
          <w:rFonts w:ascii="Verdana" w:hAnsi="Verdana" w:cs="Verdana"/>
          <w:b/>
          <w:bCs/>
          <w:sz w:val="20"/>
          <w:szCs w:val="20"/>
        </w:rPr>
        <w:t xml:space="preserve"> </w:t>
      </w:r>
      <w:r w:rsidR="00BB738A" w:rsidRPr="00B46EF7">
        <w:rPr>
          <w:rFonts w:ascii="Verdana" w:hAnsi="Verdana" w:cs="Verdana"/>
          <w:bCs/>
          <w:sz w:val="20"/>
          <w:szCs w:val="20"/>
        </w:rPr>
        <w:t xml:space="preserve">Por lo anterior, solicitaron a la Corte que “inste al Estado de Colombia a acatar los términos de su Sentencia y proceda a liquidar </w:t>
      </w:r>
      <w:r w:rsidR="00BB738A" w:rsidRPr="00B46EF7">
        <w:rPr>
          <w:rFonts w:ascii="Verdana" w:hAnsi="Verdana" w:cs="Verdana"/>
          <w:bCs/>
          <w:sz w:val="20"/>
          <w:szCs w:val="20"/>
        </w:rPr>
        <w:lastRenderedPageBreak/>
        <w:t xml:space="preserve">y pagar los intereses moratorios que adeuda, haciendo la liquidación hasta el día </w:t>
      </w:r>
      <w:r w:rsidR="00C738E2" w:rsidRPr="00B46EF7">
        <w:rPr>
          <w:rFonts w:ascii="Verdana" w:hAnsi="Verdana" w:cs="Verdana"/>
          <w:bCs/>
          <w:sz w:val="20"/>
          <w:szCs w:val="20"/>
        </w:rPr>
        <w:t xml:space="preserve">del pago </w:t>
      </w:r>
      <w:r w:rsidR="00BB738A" w:rsidRPr="00B46EF7">
        <w:rPr>
          <w:rFonts w:ascii="Verdana" w:hAnsi="Verdana" w:cs="Verdana"/>
          <w:bCs/>
          <w:sz w:val="20"/>
          <w:szCs w:val="20"/>
        </w:rPr>
        <w:t>efectivo”.</w:t>
      </w:r>
      <w:bookmarkEnd w:id="45"/>
      <w:r w:rsidR="00BB738A">
        <w:rPr>
          <w:rFonts w:ascii="Verdana" w:hAnsi="Verdana" w:cs="Verdana"/>
          <w:b/>
          <w:bCs/>
          <w:sz w:val="20"/>
          <w:szCs w:val="20"/>
        </w:rPr>
        <w:t xml:space="preserve"> </w:t>
      </w:r>
    </w:p>
    <w:p w14:paraId="675CE950" w14:textId="4CF7C356" w:rsidR="00BB738A" w:rsidRPr="00F609A0" w:rsidRDefault="00BB738A" w:rsidP="00A46F5B">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b/>
          <w:bCs/>
          <w:sz w:val="20"/>
          <w:szCs w:val="20"/>
        </w:rPr>
      </w:pPr>
      <w:r>
        <w:rPr>
          <w:rFonts w:ascii="Verdana" w:hAnsi="Verdana" w:cs="Verdana"/>
          <w:bCs/>
          <w:sz w:val="20"/>
          <w:szCs w:val="20"/>
        </w:rPr>
        <w:t xml:space="preserve">La </w:t>
      </w:r>
      <w:r w:rsidRPr="000B062E">
        <w:rPr>
          <w:rFonts w:ascii="Verdana" w:hAnsi="Verdana" w:cs="Verdana"/>
          <w:bCs/>
          <w:i/>
          <w:sz w:val="20"/>
          <w:szCs w:val="20"/>
        </w:rPr>
        <w:t>Comisión</w:t>
      </w:r>
      <w:r w:rsidR="000B062E">
        <w:rPr>
          <w:rFonts w:ascii="Verdana" w:hAnsi="Verdana" w:cs="Verdana"/>
          <w:bCs/>
          <w:sz w:val="20"/>
          <w:szCs w:val="20"/>
        </w:rPr>
        <w:t xml:space="preserve"> </w:t>
      </w:r>
      <w:r w:rsidR="000B062E" w:rsidRPr="000B062E">
        <w:rPr>
          <w:rFonts w:ascii="Verdana" w:hAnsi="Verdana" w:cs="Verdana"/>
          <w:bCs/>
          <w:i/>
          <w:sz w:val="20"/>
          <w:szCs w:val="20"/>
        </w:rPr>
        <w:t>Interamericana</w:t>
      </w:r>
      <w:r w:rsidRPr="000B062E">
        <w:rPr>
          <w:rFonts w:ascii="Verdana" w:hAnsi="Verdana" w:cs="Verdana"/>
          <w:bCs/>
          <w:sz w:val="20"/>
          <w:szCs w:val="20"/>
        </w:rPr>
        <w:t xml:space="preserve"> </w:t>
      </w:r>
      <w:r w:rsidR="00F609A0">
        <w:rPr>
          <w:rFonts w:ascii="Verdana" w:hAnsi="Verdana" w:cs="Verdana"/>
          <w:bCs/>
          <w:sz w:val="20"/>
          <w:szCs w:val="20"/>
        </w:rPr>
        <w:t>tomó nota de lo informado por el Estado en relación a la re</w:t>
      </w:r>
      <w:r w:rsidR="009D1F2D">
        <w:rPr>
          <w:rFonts w:ascii="Verdana" w:hAnsi="Verdana" w:cs="Verdana"/>
          <w:bCs/>
          <w:sz w:val="20"/>
          <w:szCs w:val="20"/>
        </w:rPr>
        <w:t>a</w:t>
      </w:r>
      <w:r w:rsidR="00F609A0">
        <w:rPr>
          <w:rFonts w:ascii="Verdana" w:hAnsi="Verdana" w:cs="Verdana"/>
          <w:bCs/>
          <w:sz w:val="20"/>
          <w:szCs w:val="20"/>
        </w:rPr>
        <w:t>lización de los pagos dispuestos en la Sentencia</w:t>
      </w:r>
      <w:r w:rsidR="001B65C5">
        <w:rPr>
          <w:rFonts w:ascii="Verdana" w:hAnsi="Verdana" w:cs="Verdana"/>
          <w:bCs/>
          <w:sz w:val="20"/>
          <w:szCs w:val="20"/>
        </w:rPr>
        <w:t>.</w:t>
      </w:r>
      <w:r w:rsidR="00F609A0">
        <w:rPr>
          <w:rFonts w:ascii="Verdana" w:hAnsi="Verdana" w:cs="Verdana"/>
          <w:bCs/>
          <w:sz w:val="20"/>
          <w:szCs w:val="20"/>
        </w:rPr>
        <w:t xml:space="preserve"> Además,</w:t>
      </w:r>
      <w:r w:rsidR="00C772E4">
        <w:rPr>
          <w:rFonts w:ascii="Verdana" w:hAnsi="Verdana" w:cs="Verdana"/>
          <w:bCs/>
          <w:sz w:val="20"/>
          <w:szCs w:val="20"/>
        </w:rPr>
        <w:t xml:space="preserve"> </w:t>
      </w:r>
      <w:r w:rsidR="00F609A0">
        <w:rPr>
          <w:rFonts w:ascii="Verdana" w:hAnsi="Verdana" w:cs="Verdana"/>
          <w:bCs/>
          <w:sz w:val="20"/>
          <w:szCs w:val="20"/>
        </w:rPr>
        <w:t>“</w:t>
      </w:r>
      <w:r w:rsidR="00C772E4">
        <w:rPr>
          <w:rFonts w:ascii="Verdana" w:hAnsi="Verdana" w:cs="Verdana"/>
          <w:bCs/>
          <w:sz w:val="20"/>
          <w:szCs w:val="20"/>
        </w:rPr>
        <w:t>[</w:t>
      </w:r>
      <w:r w:rsidR="00F609A0">
        <w:rPr>
          <w:rFonts w:ascii="Verdana" w:hAnsi="Verdana" w:cs="Verdana"/>
          <w:bCs/>
          <w:sz w:val="20"/>
          <w:szCs w:val="20"/>
        </w:rPr>
        <w:t>e</w:t>
      </w:r>
      <w:r w:rsidR="00C772E4">
        <w:rPr>
          <w:rFonts w:ascii="Verdana" w:hAnsi="Verdana" w:cs="Verdana"/>
          <w:bCs/>
          <w:sz w:val="20"/>
          <w:szCs w:val="20"/>
        </w:rPr>
        <w:t>]</w:t>
      </w:r>
      <w:r w:rsidR="00F609A0">
        <w:rPr>
          <w:rFonts w:ascii="Verdana" w:hAnsi="Verdana" w:cs="Verdana"/>
          <w:bCs/>
          <w:sz w:val="20"/>
          <w:szCs w:val="20"/>
        </w:rPr>
        <w:t xml:space="preserve">n atención a lo indicado por las víctimas”, consideró necesario que Colombia presente “información sobre el pago de los intereses moratorios respecto de las indemnizaciones que alega cumplidas”. </w:t>
      </w:r>
    </w:p>
    <w:p w14:paraId="726F98EF" w14:textId="77777777" w:rsidR="000E4275" w:rsidRDefault="000E4275" w:rsidP="002670E3">
      <w:pPr>
        <w:pStyle w:val="Prrafodelista"/>
        <w:spacing w:before="120" w:after="120" w:line="240" w:lineRule="auto"/>
        <w:ind w:left="360" w:firstLine="348"/>
        <w:contextualSpacing w:val="0"/>
        <w:jc w:val="both"/>
        <w:rPr>
          <w:rFonts w:ascii="Verdana" w:hAnsi="Verdana"/>
          <w:i/>
          <w:sz w:val="20"/>
          <w:szCs w:val="20"/>
        </w:rPr>
      </w:pPr>
    </w:p>
    <w:p w14:paraId="3E4AFC84" w14:textId="77777777" w:rsidR="0072540F" w:rsidRPr="0072540F" w:rsidRDefault="000E4275" w:rsidP="002670E3">
      <w:pPr>
        <w:pStyle w:val="Prrafodelista"/>
        <w:spacing w:before="120" w:after="120" w:line="240" w:lineRule="auto"/>
        <w:ind w:left="360" w:firstLine="348"/>
        <w:contextualSpacing w:val="0"/>
        <w:jc w:val="both"/>
        <w:rPr>
          <w:rFonts w:ascii="Verdana" w:hAnsi="Verdana"/>
          <w:i/>
          <w:sz w:val="20"/>
          <w:szCs w:val="20"/>
        </w:rPr>
      </w:pPr>
      <w:r>
        <w:rPr>
          <w:rFonts w:ascii="Verdana" w:hAnsi="Verdana"/>
          <w:i/>
          <w:sz w:val="20"/>
          <w:szCs w:val="20"/>
        </w:rPr>
        <w:t xml:space="preserve">F.3. </w:t>
      </w:r>
      <w:r w:rsidR="0072540F" w:rsidRPr="0072540F">
        <w:rPr>
          <w:rFonts w:ascii="Verdana" w:hAnsi="Verdana"/>
          <w:i/>
          <w:sz w:val="20"/>
          <w:szCs w:val="20"/>
        </w:rPr>
        <w:t>Consideraciones de la Corte</w:t>
      </w:r>
    </w:p>
    <w:p w14:paraId="5DC618D0" w14:textId="3E40327C" w:rsidR="00600F53" w:rsidRPr="003A7DAF" w:rsidRDefault="00A11D39" w:rsidP="00A46F5B">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b/>
          <w:bCs/>
          <w:sz w:val="20"/>
          <w:szCs w:val="20"/>
        </w:rPr>
      </w:pPr>
      <w:bookmarkStart w:id="47" w:name="_Ref26893006"/>
      <w:r>
        <w:rPr>
          <w:rFonts w:ascii="Verdana" w:hAnsi="Verdana" w:cs="Verdana"/>
          <w:bCs/>
          <w:sz w:val="20"/>
          <w:szCs w:val="20"/>
        </w:rPr>
        <w:t>Con base en la información aportada por el Estado y las observaciones de las representantes</w:t>
      </w:r>
      <w:r w:rsidR="00B67F34">
        <w:rPr>
          <w:rFonts w:ascii="Verdana" w:hAnsi="Verdana" w:cs="Verdana"/>
          <w:bCs/>
          <w:sz w:val="20"/>
          <w:szCs w:val="20"/>
        </w:rPr>
        <w:t xml:space="preserve"> de las víctimas</w:t>
      </w:r>
      <w:r>
        <w:rPr>
          <w:rFonts w:ascii="Verdana" w:hAnsi="Verdana" w:cs="Verdana"/>
          <w:bCs/>
          <w:sz w:val="20"/>
          <w:szCs w:val="20"/>
        </w:rPr>
        <w:t>, l</w:t>
      </w:r>
      <w:r w:rsidR="0047472F" w:rsidRPr="00600F53">
        <w:rPr>
          <w:rFonts w:ascii="Verdana" w:hAnsi="Verdana" w:cs="Verdana"/>
          <w:bCs/>
          <w:sz w:val="20"/>
          <w:szCs w:val="20"/>
        </w:rPr>
        <w:t xml:space="preserve">a Corte constata que </w:t>
      </w:r>
      <w:r>
        <w:rPr>
          <w:rFonts w:ascii="Verdana" w:hAnsi="Verdana" w:cs="Verdana"/>
          <w:bCs/>
          <w:sz w:val="20"/>
          <w:szCs w:val="20"/>
        </w:rPr>
        <w:t>mediante</w:t>
      </w:r>
      <w:r w:rsidR="00385626">
        <w:rPr>
          <w:rFonts w:ascii="Verdana" w:hAnsi="Verdana" w:cs="Verdana"/>
          <w:bCs/>
          <w:sz w:val="20"/>
          <w:szCs w:val="20"/>
        </w:rPr>
        <w:t xml:space="preserve"> las</w:t>
      </w:r>
      <w:r w:rsidR="0047472F" w:rsidRPr="00600F53">
        <w:rPr>
          <w:rFonts w:ascii="Verdana" w:hAnsi="Verdana" w:cs="Verdana"/>
          <w:bCs/>
          <w:sz w:val="20"/>
          <w:szCs w:val="20"/>
        </w:rPr>
        <w:t xml:space="preserve"> </w:t>
      </w:r>
      <w:r w:rsidR="0047472F" w:rsidRPr="00FB7058">
        <w:rPr>
          <w:rFonts w:ascii="Verdana" w:hAnsi="Verdana" w:cs="Verdana"/>
          <w:bCs/>
          <w:sz w:val="20"/>
          <w:szCs w:val="20"/>
        </w:rPr>
        <w:t>Resoluci</w:t>
      </w:r>
      <w:r w:rsidR="00385626" w:rsidRPr="00FB7058">
        <w:rPr>
          <w:rFonts w:ascii="Verdana" w:hAnsi="Verdana" w:cs="Verdana"/>
          <w:bCs/>
          <w:sz w:val="20"/>
          <w:szCs w:val="20"/>
        </w:rPr>
        <w:t>ones</w:t>
      </w:r>
      <w:r w:rsidR="0047472F" w:rsidRPr="00FB7058">
        <w:rPr>
          <w:rFonts w:ascii="Verdana" w:hAnsi="Verdana" w:cs="Verdana"/>
          <w:bCs/>
          <w:sz w:val="20"/>
          <w:szCs w:val="20"/>
        </w:rPr>
        <w:t xml:space="preserve"> </w:t>
      </w:r>
      <w:r w:rsidR="00385626" w:rsidRPr="00FB7058">
        <w:rPr>
          <w:rFonts w:ascii="Verdana" w:hAnsi="Verdana" w:cs="Verdana"/>
          <w:bCs/>
          <w:sz w:val="20"/>
          <w:szCs w:val="20"/>
        </w:rPr>
        <w:t xml:space="preserve">No. </w:t>
      </w:r>
      <w:r w:rsidR="0047472F" w:rsidRPr="00FB7058">
        <w:rPr>
          <w:rFonts w:ascii="Verdana" w:hAnsi="Verdana" w:cs="Verdana"/>
          <w:bCs/>
          <w:sz w:val="20"/>
          <w:szCs w:val="20"/>
        </w:rPr>
        <w:t xml:space="preserve">0181 de </w:t>
      </w:r>
      <w:r w:rsidR="00385626" w:rsidRPr="00FB7058">
        <w:rPr>
          <w:rFonts w:ascii="Verdana" w:hAnsi="Verdana" w:cs="Verdana"/>
          <w:bCs/>
          <w:sz w:val="20"/>
          <w:szCs w:val="20"/>
        </w:rPr>
        <w:t xml:space="preserve">12 de marzo de </w:t>
      </w:r>
      <w:r w:rsidR="0047472F" w:rsidRPr="00FB7058">
        <w:rPr>
          <w:rFonts w:ascii="Verdana" w:hAnsi="Verdana" w:cs="Verdana"/>
          <w:bCs/>
          <w:sz w:val="20"/>
          <w:szCs w:val="20"/>
        </w:rPr>
        <w:t>2018</w:t>
      </w:r>
      <w:bookmarkStart w:id="48" w:name="_Ref26896767"/>
      <w:r w:rsidR="00385626" w:rsidRPr="00BE101D">
        <w:rPr>
          <w:rStyle w:val="Refdenotaalpie"/>
          <w:rFonts w:ascii="Verdana" w:hAnsi="Verdana" w:cs="Verdana"/>
          <w:bCs/>
          <w:sz w:val="20"/>
          <w:szCs w:val="20"/>
        </w:rPr>
        <w:footnoteReference w:id="50"/>
      </w:r>
      <w:bookmarkEnd w:id="48"/>
      <w:r w:rsidR="00385626" w:rsidRPr="00FB7058">
        <w:rPr>
          <w:rFonts w:ascii="Verdana" w:hAnsi="Verdana" w:cs="Verdana"/>
          <w:bCs/>
          <w:sz w:val="20"/>
          <w:szCs w:val="20"/>
        </w:rPr>
        <w:t xml:space="preserve"> y No. 1020 del 26 de diciembre de 2018</w:t>
      </w:r>
      <w:r w:rsidR="00385626" w:rsidRPr="00BE101D">
        <w:rPr>
          <w:rStyle w:val="Refdenotaalpie"/>
          <w:rFonts w:ascii="Verdana" w:hAnsi="Verdana" w:cs="Verdana"/>
          <w:bCs/>
          <w:sz w:val="20"/>
          <w:szCs w:val="20"/>
        </w:rPr>
        <w:footnoteReference w:id="51"/>
      </w:r>
      <w:r w:rsidR="00385626" w:rsidRPr="00FB7058">
        <w:rPr>
          <w:rFonts w:ascii="Verdana" w:hAnsi="Verdana" w:cs="Verdana"/>
          <w:bCs/>
          <w:sz w:val="20"/>
          <w:szCs w:val="20"/>
        </w:rPr>
        <w:t xml:space="preserve"> emitidas por la </w:t>
      </w:r>
      <w:r w:rsidR="005E620C">
        <w:rPr>
          <w:rFonts w:ascii="Verdana" w:hAnsi="Verdana" w:cs="Verdana"/>
          <w:bCs/>
          <w:sz w:val="20"/>
          <w:szCs w:val="20"/>
        </w:rPr>
        <w:t xml:space="preserve">Dirección de Operaciones del Departamento Administrativo de la </w:t>
      </w:r>
      <w:r w:rsidR="00385626" w:rsidRPr="00FB7058">
        <w:rPr>
          <w:rFonts w:ascii="Verdana" w:hAnsi="Verdana" w:cs="Verdana"/>
          <w:bCs/>
          <w:sz w:val="20"/>
          <w:szCs w:val="20"/>
        </w:rPr>
        <w:t>Presidencia de la República</w:t>
      </w:r>
      <w:r w:rsidR="0047472F" w:rsidRPr="00FB7058">
        <w:rPr>
          <w:rFonts w:ascii="Verdana" w:hAnsi="Verdana" w:cs="Verdana"/>
          <w:bCs/>
          <w:sz w:val="20"/>
          <w:szCs w:val="20"/>
        </w:rPr>
        <w:t>,</w:t>
      </w:r>
      <w:r w:rsidR="0047472F" w:rsidRPr="00600F53">
        <w:rPr>
          <w:rFonts w:ascii="Verdana" w:hAnsi="Verdana" w:cs="Verdana"/>
          <w:bCs/>
          <w:sz w:val="20"/>
          <w:szCs w:val="20"/>
        </w:rPr>
        <w:t xml:space="preserve"> se </w:t>
      </w:r>
      <w:r w:rsidR="00A46F5B">
        <w:rPr>
          <w:rFonts w:ascii="Verdana" w:hAnsi="Verdana" w:cs="Verdana"/>
          <w:bCs/>
          <w:sz w:val="20"/>
          <w:szCs w:val="20"/>
        </w:rPr>
        <w:t>pagó</w:t>
      </w:r>
      <w:r w:rsidR="0047472F" w:rsidRPr="00600F53">
        <w:rPr>
          <w:rFonts w:ascii="Verdana" w:hAnsi="Verdana" w:cs="Verdana"/>
          <w:bCs/>
          <w:sz w:val="20"/>
          <w:szCs w:val="20"/>
        </w:rPr>
        <w:t xml:space="preserve"> </w:t>
      </w:r>
      <w:r w:rsidR="00385626">
        <w:rPr>
          <w:rFonts w:ascii="Verdana" w:hAnsi="Verdana" w:cs="Verdana"/>
          <w:bCs/>
          <w:sz w:val="20"/>
          <w:szCs w:val="20"/>
        </w:rPr>
        <w:t>a las víctimas, por medio de su representante legal</w:t>
      </w:r>
      <w:r w:rsidR="00A46F5B">
        <w:rPr>
          <w:rFonts w:ascii="Verdana" w:hAnsi="Verdana" w:cs="Verdana"/>
          <w:bCs/>
          <w:sz w:val="20"/>
          <w:szCs w:val="20"/>
        </w:rPr>
        <w:t>,</w:t>
      </w:r>
      <w:r w:rsidR="00385626">
        <w:rPr>
          <w:rFonts w:ascii="Verdana" w:hAnsi="Verdana" w:cs="Verdana"/>
          <w:bCs/>
          <w:sz w:val="20"/>
          <w:szCs w:val="20"/>
        </w:rPr>
        <w:t xml:space="preserve"> y al Grupo Interdisciplinario por los Derechos Humanos, </w:t>
      </w:r>
      <w:r w:rsidR="0047472F" w:rsidRPr="00600F53">
        <w:rPr>
          <w:rFonts w:ascii="Verdana" w:hAnsi="Verdana" w:cs="Verdana"/>
          <w:bCs/>
          <w:sz w:val="20"/>
          <w:szCs w:val="20"/>
        </w:rPr>
        <w:t>las sumas ordenadas en la Sentencia</w:t>
      </w:r>
      <w:r w:rsidR="00385626">
        <w:rPr>
          <w:rFonts w:ascii="Verdana" w:hAnsi="Verdana" w:cs="Verdana"/>
          <w:bCs/>
          <w:sz w:val="20"/>
          <w:szCs w:val="20"/>
        </w:rPr>
        <w:t xml:space="preserve"> por concepto de indemnizaciones y por el reintegro de costas y gastos</w:t>
      </w:r>
      <w:r w:rsidR="0047472F" w:rsidRPr="00600F53">
        <w:rPr>
          <w:rFonts w:ascii="Verdana" w:hAnsi="Verdana" w:cs="Verdana"/>
          <w:bCs/>
          <w:sz w:val="20"/>
          <w:szCs w:val="20"/>
        </w:rPr>
        <w:t xml:space="preserve">. </w:t>
      </w:r>
      <w:r w:rsidR="00385626" w:rsidRPr="00385626">
        <w:rPr>
          <w:rFonts w:ascii="Verdana" w:hAnsi="Verdana" w:cs="Verdana"/>
          <w:bCs/>
          <w:sz w:val="20"/>
          <w:szCs w:val="20"/>
        </w:rPr>
        <w:t>Debi</w:t>
      </w:r>
      <w:r w:rsidR="00354C1D">
        <w:rPr>
          <w:rFonts w:ascii="Verdana" w:hAnsi="Verdana" w:cs="Verdana"/>
          <w:bCs/>
          <w:sz w:val="20"/>
          <w:szCs w:val="20"/>
        </w:rPr>
        <w:t>do a que los pagos se efectuaron después del vencimiento del plazo</w:t>
      </w:r>
      <w:r w:rsidR="00A46F5B">
        <w:rPr>
          <w:rFonts w:ascii="Verdana" w:hAnsi="Verdana" w:cs="Verdana"/>
          <w:bCs/>
          <w:sz w:val="20"/>
          <w:szCs w:val="20"/>
        </w:rPr>
        <w:t xml:space="preserve"> de un año</w:t>
      </w:r>
      <w:r w:rsidR="00354C1D">
        <w:rPr>
          <w:rFonts w:ascii="Verdana" w:hAnsi="Verdana" w:cs="Verdana"/>
          <w:bCs/>
          <w:sz w:val="20"/>
          <w:szCs w:val="20"/>
        </w:rPr>
        <w:t xml:space="preserve"> otorgado en la Sentencia</w:t>
      </w:r>
      <w:r w:rsidR="00A46F5B">
        <w:rPr>
          <w:rFonts w:ascii="Verdana" w:hAnsi="Verdana" w:cs="Verdana"/>
          <w:bCs/>
          <w:sz w:val="20"/>
          <w:szCs w:val="20"/>
        </w:rPr>
        <w:t xml:space="preserve"> (</w:t>
      </w:r>
      <w:r w:rsidR="00A46F5B" w:rsidRPr="00A46F5B">
        <w:rPr>
          <w:rFonts w:ascii="Verdana" w:hAnsi="Verdana" w:cs="Verdana"/>
          <w:bCs/>
          <w:i/>
          <w:sz w:val="20"/>
          <w:szCs w:val="20"/>
        </w:rPr>
        <w:t>supra</w:t>
      </w:r>
      <w:r w:rsidR="00A46F5B">
        <w:rPr>
          <w:rFonts w:ascii="Verdana" w:hAnsi="Verdana" w:cs="Verdana"/>
          <w:bCs/>
          <w:sz w:val="20"/>
          <w:szCs w:val="20"/>
        </w:rPr>
        <w:t xml:space="preserve"> Considerando 50)</w:t>
      </w:r>
      <w:r w:rsidR="00354C1D">
        <w:rPr>
          <w:rFonts w:ascii="Verdana" w:hAnsi="Verdana" w:cs="Verdana"/>
          <w:bCs/>
          <w:sz w:val="20"/>
          <w:szCs w:val="20"/>
        </w:rPr>
        <w:t xml:space="preserve">, el Estado pagó a las víctimas y representantes ciertos montos por concepto de </w:t>
      </w:r>
      <w:r w:rsidR="00CD0518" w:rsidRPr="00600F53">
        <w:rPr>
          <w:rFonts w:ascii="Verdana" w:hAnsi="Verdana" w:cs="Verdana"/>
          <w:bCs/>
          <w:sz w:val="20"/>
          <w:szCs w:val="20"/>
        </w:rPr>
        <w:t>intereses moratorios</w:t>
      </w:r>
      <w:r w:rsidR="006F3420" w:rsidRPr="00600F53">
        <w:rPr>
          <w:rFonts w:ascii="Verdana" w:hAnsi="Verdana" w:cs="Verdana"/>
          <w:bCs/>
          <w:sz w:val="20"/>
          <w:szCs w:val="20"/>
        </w:rPr>
        <w:t>.</w:t>
      </w:r>
      <w:bookmarkEnd w:id="47"/>
      <w:r w:rsidR="006F3420" w:rsidRPr="00600F53">
        <w:rPr>
          <w:rFonts w:ascii="Verdana" w:hAnsi="Verdana" w:cs="Verdana"/>
          <w:bCs/>
          <w:sz w:val="20"/>
          <w:szCs w:val="20"/>
        </w:rPr>
        <w:t xml:space="preserve"> </w:t>
      </w:r>
    </w:p>
    <w:p w14:paraId="4AAE8EE0" w14:textId="27DCCD31" w:rsidR="002925FF" w:rsidRPr="0099446A" w:rsidRDefault="00FB7058" w:rsidP="00A46F5B">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bCs/>
          <w:sz w:val="20"/>
          <w:szCs w:val="20"/>
        </w:rPr>
      </w:pPr>
      <w:r w:rsidRPr="0099446A">
        <w:rPr>
          <w:rFonts w:ascii="Verdana" w:hAnsi="Verdana" w:cs="Verdana"/>
          <w:bCs/>
          <w:sz w:val="20"/>
          <w:szCs w:val="20"/>
        </w:rPr>
        <w:t xml:space="preserve">Aun cuando el Estado pagó determinadas cantidades por concepto de intereses moratorios, la Corte observa que las representantes han planteado una objeción respecto de la tasa que se utilizó para </w:t>
      </w:r>
      <w:r w:rsidR="008B6894" w:rsidRPr="0099446A">
        <w:rPr>
          <w:rFonts w:ascii="Verdana" w:hAnsi="Verdana" w:cs="Verdana"/>
          <w:bCs/>
          <w:sz w:val="20"/>
          <w:szCs w:val="20"/>
        </w:rPr>
        <w:t xml:space="preserve">su </w:t>
      </w:r>
      <w:r w:rsidRPr="0099446A">
        <w:rPr>
          <w:rFonts w:ascii="Verdana" w:hAnsi="Verdana" w:cs="Verdana"/>
          <w:bCs/>
          <w:sz w:val="20"/>
          <w:szCs w:val="20"/>
        </w:rPr>
        <w:t>pago, por considerar que no es acorde con lo ordenado en el párrafo 385 de la Sentencia. Por ello, consideran que Colombia les adeuda una diferencia de dinero por este concepto (</w:t>
      </w:r>
      <w:r w:rsidRPr="0099446A">
        <w:rPr>
          <w:rFonts w:ascii="Verdana" w:hAnsi="Verdana" w:cs="Verdana"/>
          <w:bCs/>
          <w:i/>
          <w:sz w:val="20"/>
          <w:szCs w:val="20"/>
        </w:rPr>
        <w:t>supra</w:t>
      </w:r>
      <w:r w:rsidRPr="0099446A">
        <w:rPr>
          <w:rFonts w:ascii="Verdana" w:hAnsi="Verdana" w:cs="Verdana"/>
          <w:bCs/>
          <w:sz w:val="20"/>
          <w:szCs w:val="20"/>
        </w:rPr>
        <w:t xml:space="preserve"> Considerando </w:t>
      </w:r>
      <w:r w:rsidR="0099446A" w:rsidRPr="00E55423">
        <w:rPr>
          <w:rFonts w:ascii="Verdana" w:hAnsi="Verdana" w:cs="Verdana"/>
          <w:bCs/>
          <w:sz w:val="20"/>
          <w:szCs w:val="20"/>
        </w:rPr>
        <w:fldChar w:fldCharType="begin"/>
      </w:r>
      <w:r w:rsidR="0099446A" w:rsidRPr="0099446A">
        <w:rPr>
          <w:rFonts w:ascii="Verdana" w:hAnsi="Verdana" w:cs="Verdana"/>
          <w:bCs/>
          <w:sz w:val="20"/>
          <w:szCs w:val="20"/>
        </w:rPr>
        <w:instrText xml:space="preserve"> REF _Ref26896239 \r \h </w:instrText>
      </w:r>
      <w:r w:rsidR="0099446A" w:rsidRPr="00E55423">
        <w:rPr>
          <w:rFonts w:ascii="Verdana" w:hAnsi="Verdana" w:cs="Verdana"/>
          <w:bCs/>
          <w:sz w:val="20"/>
          <w:szCs w:val="20"/>
        </w:rPr>
      </w:r>
      <w:r w:rsidR="0099446A" w:rsidRPr="00E55423">
        <w:rPr>
          <w:rFonts w:ascii="Verdana" w:hAnsi="Verdana" w:cs="Verdana"/>
          <w:bCs/>
          <w:sz w:val="20"/>
          <w:szCs w:val="20"/>
        </w:rPr>
        <w:fldChar w:fldCharType="separate"/>
      </w:r>
      <w:r w:rsidR="00630FCA">
        <w:rPr>
          <w:rFonts w:ascii="Verdana" w:hAnsi="Verdana" w:cs="Verdana"/>
          <w:bCs/>
          <w:sz w:val="20"/>
          <w:szCs w:val="20"/>
        </w:rPr>
        <w:t>53</w:t>
      </w:r>
      <w:r w:rsidR="0099446A" w:rsidRPr="00E55423">
        <w:rPr>
          <w:rFonts w:ascii="Verdana" w:hAnsi="Verdana" w:cs="Verdana"/>
          <w:bCs/>
          <w:sz w:val="20"/>
          <w:szCs w:val="20"/>
        </w:rPr>
        <w:fldChar w:fldCharType="end"/>
      </w:r>
      <w:r w:rsidRPr="0099446A">
        <w:rPr>
          <w:rFonts w:ascii="Verdana" w:hAnsi="Verdana" w:cs="Verdana"/>
          <w:bCs/>
          <w:sz w:val="20"/>
          <w:szCs w:val="20"/>
        </w:rPr>
        <w:t>).</w:t>
      </w:r>
      <w:r w:rsidR="0099446A">
        <w:rPr>
          <w:rFonts w:ascii="Verdana" w:hAnsi="Verdana" w:cs="Verdana"/>
          <w:bCs/>
          <w:sz w:val="20"/>
          <w:szCs w:val="20"/>
        </w:rPr>
        <w:t xml:space="preserve"> </w:t>
      </w:r>
      <w:r w:rsidR="0047472F" w:rsidRPr="0099446A">
        <w:rPr>
          <w:rFonts w:ascii="Verdana" w:hAnsi="Verdana" w:cs="Verdana"/>
          <w:bCs/>
          <w:sz w:val="20"/>
          <w:szCs w:val="20"/>
        </w:rPr>
        <w:t xml:space="preserve">El </w:t>
      </w:r>
      <w:r w:rsidR="002925FF" w:rsidRPr="0099446A">
        <w:rPr>
          <w:rFonts w:ascii="Verdana" w:hAnsi="Verdana" w:cs="Verdana"/>
          <w:bCs/>
          <w:sz w:val="20"/>
          <w:szCs w:val="20"/>
        </w:rPr>
        <w:t>Estado</w:t>
      </w:r>
      <w:r w:rsidR="0047472F" w:rsidRPr="0099446A">
        <w:rPr>
          <w:rFonts w:ascii="Verdana" w:hAnsi="Verdana" w:cs="Verdana"/>
          <w:bCs/>
          <w:sz w:val="20"/>
          <w:szCs w:val="20"/>
        </w:rPr>
        <w:t xml:space="preserve"> no se </w:t>
      </w:r>
      <w:r w:rsidR="00FC0338" w:rsidRPr="0099446A">
        <w:rPr>
          <w:rFonts w:ascii="Verdana" w:hAnsi="Verdana" w:cs="Verdana"/>
          <w:bCs/>
          <w:sz w:val="20"/>
          <w:szCs w:val="20"/>
        </w:rPr>
        <w:t xml:space="preserve">ha referido </w:t>
      </w:r>
      <w:r w:rsidR="0047472F" w:rsidRPr="0099446A">
        <w:rPr>
          <w:rFonts w:ascii="Verdana" w:hAnsi="Verdana" w:cs="Verdana"/>
          <w:bCs/>
          <w:sz w:val="20"/>
          <w:szCs w:val="20"/>
        </w:rPr>
        <w:t xml:space="preserve">a los alegatos presentados por </w:t>
      </w:r>
      <w:r w:rsidR="00FC0338" w:rsidRPr="0099446A">
        <w:rPr>
          <w:rFonts w:ascii="Verdana" w:hAnsi="Verdana" w:cs="Verdana"/>
          <w:bCs/>
          <w:sz w:val="20"/>
          <w:szCs w:val="20"/>
        </w:rPr>
        <w:t xml:space="preserve">las </w:t>
      </w:r>
      <w:r w:rsidR="0047472F" w:rsidRPr="0099446A">
        <w:rPr>
          <w:rFonts w:ascii="Verdana" w:hAnsi="Verdana" w:cs="Verdana"/>
          <w:bCs/>
          <w:sz w:val="20"/>
          <w:szCs w:val="20"/>
        </w:rPr>
        <w:t>representantes en</w:t>
      </w:r>
      <w:r w:rsidR="00FC0338" w:rsidRPr="0099446A">
        <w:rPr>
          <w:rFonts w:ascii="Verdana" w:hAnsi="Verdana" w:cs="Verdana"/>
          <w:bCs/>
          <w:sz w:val="20"/>
          <w:szCs w:val="20"/>
        </w:rPr>
        <w:t xml:space="preserve"> cuanto a</w:t>
      </w:r>
      <w:r w:rsidR="0047472F" w:rsidRPr="0099446A">
        <w:rPr>
          <w:rFonts w:ascii="Verdana" w:hAnsi="Verdana" w:cs="Verdana"/>
          <w:bCs/>
          <w:sz w:val="20"/>
          <w:szCs w:val="20"/>
        </w:rPr>
        <w:t xml:space="preserve"> este tema. </w:t>
      </w:r>
    </w:p>
    <w:p w14:paraId="25ABFFCB" w14:textId="6E90B1FA" w:rsidR="00BF766F" w:rsidRPr="00C76C7C" w:rsidRDefault="00BF766F" w:rsidP="00A46F5B">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bCs/>
          <w:sz w:val="20"/>
          <w:szCs w:val="20"/>
        </w:rPr>
      </w:pPr>
      <w:bookmarkStart w:id="49" w:name="_Ref26787050"/>
      <w:r w:rsidRPr="00A87BD0">
        <w:rPr>
          <w:rFonts w:ascii="Verdana" w:hAnsi="Verdana" w:cs="Verdana"/>
          <w:bCs/>
          <w:sz w:val="20"/>
          <w:szCs w:val="20"/>
        </w:rPr>
        <w:t xml:space="preserve">En relación con dicha objeción, la Corte </w:t>
      </w:r>
      <w:r w:rsidR="008B6894" w:rsidRPr="00A87BD0">
        <w:rPr>
          <w:rFonts w:ascii="Verdana" w:hAnsi="Verdana" w:cs="Verdana"/>
          <w:bCs/>
          <w:sz w:val="20"/>
          <w:szCs w:val="20"/>
        </w:rPr>
        <w:t>hace notar</w:t>
      </w:r>
      <w:r w:rsidRPr="00A87BD0">
        <w:rPr>
          <w:rFonts w:ascii="Verdana" w:hAnsi="Verdana" w:cs="Verdana"/>
          <w:bCs/>
          <w:sz w:val="20"/>
          <w:szCs w:val="20"/>
        </w:rPr>
        <w:t xml:space="preserve"> que </w:t>
      </w:r>
      <w:r w:rsidR="00420794">
        <w:rPr>
          <w:rFonts w:ascii="Verdana" w:hAnsi="Verdana" w:cs="Verdana"/>
          <w:bCs/>
          <w:sz w:val="20"/>
          <w:szCs w:val="20"/>
        </w:rPr>
        <w:t xml:space="preserve">en </w:t>
      </w:r>
      <w:r w:rsidRPr="00A87BD0">
        <w:rPr>
          <w:rFonts w:ascii="Verdana" w:hAnsi="Verdana" w:cs="Verdana"/>
          <w:bCs/>
          <w:sz w:val="20"/>
          <w:szCs w:val="20"/>
        </w:rPr>
        <w:t>la referida Resolución No. 0181</w:t>
      </w:r>
      <w:r w:rsidR="00AB4226" w:rsidRPr="00A87BD0">
        <w:rPr>
          <w:rFonts w:ascii="Verdana" w:hAnsi="Verdana" w:cs="Verdana"/>
          <w:bCs/>
          <w:sz w:val="20"/>
          <w:szCs w:val="20"/>
        </w:rPr>
        <w:t xml:space="preserve"> se indica que </w:t>
      </w:r>
      <w:r w:rsidR="00AB4226" w:rsidRPr="00126BEF">
        <w:rPr>
          <w:rFonts w:ascii="Verdana" w:hAnsi="Verdana" w:cs="Verdana"/>
          <w:bCs/>
          <w:sz w:val="20"/>
          <w:szCs w:val="20"/>
        </w:rPr>
        <w:t>“la liquidación de los intereses moratorios [se practicó</w:t>
      </w:r>
      <w:r w:rsidR="00F33E7E">
        <w:rPr>
          <w:rFonts w:ascii="Verdana" w:hAnsi="Verdana" w:cs="Verdana"/>
          <w:bCs/>
          <w:sz w:val="20"/>
          <w:szCs w:val="20"/>
        </w:rPr>
        <w:t>]</w:t>
      </w:r>
      <w:r w:rsidR="00AB4226" w:rsidRPr="00126BEF">
        <w:rPr>
          <w:rFonts w:ascii="Verdana" w:hAnsi="Verdana" w:cs="Verdana"/>
          <w:bCs/>
          <w:sz w:val="20"/>
          <w:szCs w:val="20"/>
        </w:rPr>
        <w:t xml:space="preserve"> teniendo en cue</w:t>
      </w:r>
      <w:r w:rsidR="00AB4226" w:rsidRPr="005E1591">
        <w:rPr>
          <w:rFonts w:ascii="Verdana" w:hAnsi="Verdana" w:cs="Verdana"/>
          <w:bCs/>
          <w:sz w:val="20"/>
          <w:szCs w:val="20"/>
        </w:rPr>
        <w:t xml:space="preserve">nta lo establecido en la Ley 1437 de 2011 y la circular </w:t>
      </w:r>
      <w:r w:rsidR="00A46F5B">
        <w:rPr>
          <w:rFonts w:ascii="Verdana" w:hAnsi="Verdana" w:cs="Verdana"/>
          <w:bCs/>
          <w:sz w:val="20"/>
          <w:szCs w:val="20"/>
        </w:rPr>
        <w:t>[…]</w:t>
      </w:r>
      <w:r w:rsidR="00AB4226" w:rsidRPr="005E1591">
        <w:rPr>
          <w:rFonts w:ascii="Verdana" w:hAnsi="Verdana" w:cs="Verdana"/>
          <w:bCs/>
          <w:sz w:val="20"/>
          <w:szCs w:val="20"/>
        </w:rPr>
        <w:t xml:space="preserve"> No 10 de 13 de noviembre de 2014 emitida por la Agencia Nacional de Defensa Jur</w:t>
      </w:r>
      <w:r w:rsidR="00AB4226" w:rsidRPr="0067624F">
        <w:rPr>
          <w:rFonts w:ascii="Verdana" w:hAnsi="Verdana" w:cs="Verdana"/>
          <w:bCs/>
          <w:sz w:val="20"/>
          <w:szCs w:val="20"/>
        </w:rPr>
        <w:t>ídica del Estado”</w:t>
      </w:r>
      <w:r w:rsidR="00784E79" w:rsidRPr="00A87BD0">
        <w:rPr>
          <w:rStyle w:val="Refdenotaalpie"/>
          <w:rFonts w:ascii="Verdana" w:hAnsi="Verdana" w:cs="Verdana"/>
          <w:bCs/>
          <w:sz w:val="20"/>
          <w:szCs w:val="20"/>
        </w:rPr>
        <w:footnoteReference w:id="52"/>
      </w:r>
      <w:r w:rsidR="00AB4226" w:rsidRPr="00A87BD0">
        <w:rPr>
          <w:rFonts w:ascii="Verdana" w:hAnsi="Verdana" w:cs="Verdana"/>
          <w:bCs/>
          <w:sz w:val="20"/>
          <w:szCs w:val="20"/>
        </w:rPr>
        <w:t xml:space="preserve">. </w:t>
      </w:r>
      <w:r w:rsidRPr="00A87BD0">
        <w:rPr>
          <w:rFonts w:ascii="Verdana" w:hAnsi="Verdana" w:cs="Verdana"/>
          <w:bCs/>
          <w:sz w:val="20"/>
          <w:szCs w:val="20"/>
        </w:rPr>
        <w:t xml:space="preserve"> </w:t>
      </w:r>
      <w:r w:rsidR="008B6894" w:rsidRPr="00A87BD0">
        <w:rPr>
          <w:rFonts w:ascii="Verdana" w:hAnsi="Verdana" w:cs="Verdana"/>
          <w:bCs/>
          <w:sz w:val="20"/>
          <w:szCs w:val="20"/>
        </w:rPr>
        <w:t>Aun cuando l</w:t>
      </w:r>
      <w:r w:rsidR="00F33E7E">
        <w:rPr>
          <w:rFonts w:ascii="Verdana" w:hAnsi="Verdana" w:cs="Verdana"/>
          <w:bCs/>
          <w:sz w:val="20"/>
          <w:szCs w:val="20"/>
        </w:rPr>
        <w:t>a</w:t>
      </w:r>
      <w:r w:rsidR="008B6894" w:rsidRPr="00A87BD0">
        <w:rPr>
          <w:rFonts w:ascii="Verdana" w:hAnsi="Verdana" w:cs="Verdana"/>
          <w:bCs/>
          <w:sz w:val="20"/>
          <w:szCs w:val="20"/>
        </w:rPr>
        <w:t xml:space="preserve">s representantes han </w:t>
      </w:r>
      <w:r w:rsidR="00F4761F" w:rsidRPr="00A87BD0">
        <w:rPr>
          <w:rFonts w:ascii="Verdana" w:hAnsi="Verdana" w:cs="Verdana"/>
          <w:bCs/>
          <w:sz w:val="20"/>
          <w:szCs w:val="20"/>
        </w:rPr>
        <w:t>indicado</w:t>
      </w:r>
      <w:r w:rsidR="008B6894" w:rsidRPr="00A87BD0">
        <w:rPr>
          <w:rFonts w:ascii="Verdana" w:hAnsi="Verdana" w:cs="Verdana"/>
          <w:bCs/>
          <w:sz w:val="20"/>
          <w:szCs w:val="20"/>
        </w:rPr>
        <w:t xml:space="preserve"> que dicha ley y circular </w:t>
      </w:r>
      <w:r w:rsidR="00F4761F" w:rsidRPr="00A87BD0">
        <w:rPr>
          <w:rFonts w:ascii="Verdana" w:hAnsi="Verdana" w:cs="Verdana"/>
          <w:bCs/>
          <w:sz w:val="20"/>
          <w:szCs w:val="20"/>
        </w:rPr>
        <w:t xml:space="preserve">“hacen relación a los períodos temporales para liquidar intereses corrientes y moratorios en el pago de </w:t>
      </w:r>
      <w:r w:rsidR="00F33E7E">
        <w:rPr>
          <w:rFonts w:ascii="Verdana" w:hAnsi="Verdana" w:cs="Verdana"/>
          <w:bCs/>
          <w:sz w:val="20"/>
          <w:szCs w:val="20"/>
        </w:rPr>
        <w:t>[</w:t>
      </w:r>
      <w:r w:rsidR="00F4761F" w:rsidRPr="00A87BD0">
        <w:rPr>
          <w:rFonts w:ascii="Verdana" w:hAnsi="Verdana" w:cs="Verdana"/>
          <w:bCs/>
          <w:sz w:val="20"/>
          <w:szCs w:val="20"/>
        </w:rPr>
        <w:t>las s]</w:t>
      </w:r>
      <w:proofErr w:type="spellStart"/>
      <w:r w:rsidR="00F4761F" w:rsidRPr="00A87BD0">
        <w:rPr>
          <w:rFonts w:ascii="Verdana" w:hAnsi="Verdana" w:cs="Verdana"/>
          <w:bCs/>
          <w:sz w:val="20"/>
          <w:szCs w:val="20"/>
        </w:rPr>
        <w:t>entencias</w:t>
      </w:r>
      <w:proofErr w:type="spellEnd"/>
      <w:r w:rsidR="00F4761F" w:rsidRPr="00A87BD0">
        <w:rPr>
          <w:rFonts w:ascii="Verdana" w:hAnsi="Verdana" w:cs="Verdana"/>
          <w:bCs/>
          <w:sz w:val="20"/>
          <w:szCs w:val="20"/>
        </w:rPr>
        <w:t xml:space="preserve"> y [c]</w:t>
      </w:r>
      <w:proofErr w:type="spellStart"/>
      <w:r w:rsidR="00F4761F" w:rsidRPr="00A87BD0">
        <w:rPr>
          <w:rFonts w:ascii="Verdana" w:hAnsi="Verdana" w:cs="Verdana"/>
          <w:bCs/>
          <w:sz w:val="20"/>
          <w:szCs w:val="20"/>
        </w:rPr>
        <w:t>onciliaciones</w:t>
      </w:r>
      <w:proofErr w:type="spellEnd"/>
      <w:r w:rsidR="00F4761F" w:rsidRPr="00A87BD0">
        <w:rPr>
          <w:rFonts w:ascii="Verdana" w:hAnsi="Verdana" w:cs="Verdana"/>
          <w:bCs/>
          <w:sz w:val="20"/>
          <w:szCs w:val="20"/>
        </w:rPr>
        <w:t xml:space="preserve"> en tribunales nacionales en la jurisdicción Contenciosa Administrativa”</w:t>
      </w:r>
      <w:r w:rsidR="008B6894" w:rsidRPr="00A87BD0">
        <w:rPr>
          <w:rFonts w:ascii="Verdana" w:hAnsi="Verdana" w:cs="Verdana"/>
          <w:bCs/>
          <w:sz w:val="20"/>
          <w:szCs w:val="20"/>
        </w:rPr>
        <w:t>, p</w:t>
      </w:r>
      <w:r w:rsidR="00AB4226" w:rsidRPr="00BE101D">
        <w:rPr>
          <w:rFonts w:ascii="Verdana" w:hAnsi="Verdana" w:cs="Verdana"/>
          <w:bCs/>
          <w:sz w:val="20"/>
          <w:szCs w:val="20"/>
        </w:rPr>
        <w:t xml:space="preserve">ara que este Tribunal pueda pronunciarse </w:t>
      </w:r>
      <w:r w:rsidR="008B6894" w:rsidRPr="00126BEF">
        <w:rPr>
          <w:rFonts w:ascii="Verdana" w:hAnsi="Verdana" w:cs="Verdana"/>
          <w:bCs/>
          <w:sz w:val="20"/>
          <w:szCs w:val="20"/>
        </w:rPr>
        <w:t xml:space="preserve">adecuadamente </w:t>
      </w:r>
      <w:r w:rsidR="00AB4226" w:rsidRPr="0090366D">
        <w:rPr>
          <w:rFonts w:ascii="Verdana" w:hAnsi="Verdana" w:cs="Verdana"/>
          <w:bCs/>
          <w:sz w:val="20"/>
          <w:szCs w:val="20"/>
        </w:rPr>
        <w:t>sobre la referida objeción, es necesario</w:t>
      </w:r>
      <w:r w:rsidR="008B6894" w:rsidRPr="0090366D">
        <w:rPr>
          <w:rFonts w:ascii="Verdana" w:hAnsi="Verdana" w:cs="Verdana"/>
          <w:bCs/>
          <w:sz w:val="20"/>
          <w:szCs w:val="20"/>
        </w:rPr>
        <w:t xml:space="preserve"> conocer la postura del</w:t>
      </w:r>
      <w:r w:rsidR="00784E79" w:rsidRPr="0090366D">
        <w:rPr>
          <w:rFonts w:ascii="Verdana" w:hAnsi="Verdana" w:cs="Verdana"/>
          <w:bCs/>
          <w:sz w:val="20"/>
          <w:szCs w:val="20"/>
        </w:rPr>
        <w:t xml:space="preserve"> Estado</w:t>
      </w:r>
      <w:r w:rsidR="008B6894" w:rsidRPr="0090366D">
        <w:rPr>
          <w:rFonts w:ascii="Verdana" w:hAnsi="Verdana" w:cs="Verdana"/>
          <w:bCs/>
          <w:sz w:val="20"/>
          <w:szCs w:val="20"/>
        </w:rPr>
        <w:t>. Al respecto, este Tribunal requiere que Colombia</w:t>
      </w:r>
      <w:r w:rsidR="00AB4226" w:rsidRPr="005E1591">
        <w:rPr>
          <w:rFonts w:ascii="Verdana" w:hAnsi="Verdana" w:cs="Verdana"/>
          <w:bCs/>
          <w:sz w:val="20"/>
          <w:szCs w:val="20"/>
        </w:rPr>
        <w:t xml:space="preserve"> </w:t>
      </w:r>
      <w:r w:rsidR="00784E79" w:rsidRPr="005E1591">
        <w:rPr>
          <w:rFonts w:ascii="Verdana" w:hAnsi="Verdana" w:cs="Verdana"/>
          <w:bCs/>
          <w:sz w:val="20"/>
          <w:szCs w:val="20"/>
        </w:rPr>
        <w:t>aclare</w:t>
      </w:r>
      <w:r w:rsidR="00AB4226" w:rsidRPr="005E1591">
        <w:rPr>
          <w:rFonts w:ascii="Verdana" w:hAnsi="Verdana" w:cs="Verdana"/>
          <w:bCs/>
          <w:sz w:val="20"/>
          <w:szCs w:val="20"/>
        </w:rPr>
        <w:t xml:space="preserve"> en qu</w:t>
      </w:r>
      <w:r w:rsidR="00AB4226" w:rsidRPr="0067624F">
        <w:rPr>
          <w:rFonts w:ascii="Verdana" w:hAnsi="Verdana" w:cs="Verdana"/>
          <w:bCs/>
          <w:sz w:val="20"/>
          <w:szCs w:val="20"/>
        </w:rPr>
        <w:t xml:space="preserve">é consiste la </w:t>
      </w:r>
      <w:r w:rsidR="003C4005" w:rsidRPr="0067624F">
        <w:rPr>
          <w:rFonts w:ascii="Verdana" w:hAnsi="Verdana" w:cs="Verdana"/>
          <w:bCs/>
          <w:sz w:val="20"/>
          <w:szCs w:val="20"/>
        </w:rPr>
        <w:t xml:space="preserve">referida </w:t>
      </w:r>
      <w:r w:rsidR="00AB4226" w:rsidRPr="0067624F">
        <w:rPr>
          <w:rFonts w:ascii="Verdana" w:hAnsi="Verdana" w:cs="Verdana"/>
          <w:bCs/>
          <w:sz w:val="20"/>
          <w:szCs w:val="20"/>
        </w:rPr>
        <w:t>normativa con base en la cual se realizó la liquidación de int</w:t>
      </w:r>
      <w:r w:rsidR="00AB4226" w:rsidRPr="00092C10">
        <w:rPr>
          <w:rFonts w:ascii="Verdana" w:hAnsi="Verdana" w:cs="Verdana"/>
          <w:bCs/>
          <w:sz w:val="20"/>
          <w:szCs w:val="20"/>
        </w:rPr>
        <w:t>erese</w:t>
      </w:r>
      <w:r w:rsidR="008B6894" w:rsidRPr="00092C10">
        <w:rPr>
          <w:rFonts w:ascii="Verdana" w:hAnsi="Verdana" w:cs="Verdana"/>
          <w:bCs/>
          <w:sz w:val="20"/>
          <w:szCs w:val="20"/>
        </w:rPr>
        <w:t>s</w:t>
      </w:r>
      <w:r w:rsidR="00AB4226" w:rsidRPr="00092C10">
        <w:rPr>
          <w:rFonts w:ascii="Verdana" w:hAnsi="Verdana" w:cs="Verdana"/>
          <w:bCs/>
          <w:sz w:val="20"/>
          <w:szCs w:val="20"/>
        </w:rPr>
        <w:t xml:space="preserve"> moratorios</w:t>
      </w:r>
      <w:r w:rsidR="00F4761F" w:rsidRPr="00092C10">
        <w:rPr>
          <w:rFonts w:ascii="Verdana" w:hAnsi="Verdana" w:cs="Verdana"/>
          <w:bCs/>
          <w:sz w:val="20"/>
          <w:szCs w:val="20"/>
        </w:rPr>
        <w:t xml:space="preserve"> y la tasa que establec</w:t>
      </w:r>
      <w:r w:rsidR="00F4761F" w:rsidRPr="00BF5669">
        <w:rPr>
          <w:rFonts w:ascii="Verdana" w:hAnsi="Verdana" w:cs="Verdana"/>
          <w:bCs/>
          <w:sz w:val="20"/>
          <w:szCs w:val="20"/>
        </w:rPr>
        <w:t xml:space="preserve">ía al momento en que el Estado </w:t>
      </w:r>
      <w:r w:rsidR="00F4761F" w:rsidRPr="001E77E5">
        <w:rPr>
          <w:rFonts w:ascii="Verdana" w:hAnsi="Verdana" w:cs="Verdana"/>
          <w:bCs/>
          <w:sz w:val="20"/>
          <w:szCs w:val="20"/>
        </w:rPr>
        <w:t>p</w:t>
      </w:r>
      <w:r w:rsidR="00F4761F" w:rsidRPr="00D35435">
        <w:rPr>
          <w:rFonts w:ascii="Verdana" w:hAnsi="Verdana" w:cs="Verdana"/>
          <w:bCs/>
          <w:sz w:val="20"/>
          <w:szCs w:val="20"/>
        </w:rPr>
        <w:t>agó las indemnizaciones y el rei</w:t>
      </w:r>
      <w:r w:rsidR="00420794">
        <w:rPr>
          <w:rFonts w:ascii="Verdana" w:hAnsi="Verdana" w:cs="Verdana"/>
          <w:bCs/>
          <w:sz w:val="20"/>
          <w:szCs w:val="20"/>
        </w:rPr>
        <w:t>n</w:t>
      </w:r>
      <w:r w:rsidR="00F4761F" w:rsidRPr="00D35435">
        <w:rPr>
          <w:rFonts w:ascii="Verdana" w:hAnsi="Verdana" w:cs="Verdana"/>
          <w:bCs/>
          <w:sz w:val="20"/>
          <w:szCs w:val="20"/>
        </w:rPr>
        <w:t xml:space="preserve">tegro de </w:t>
      </w:r>
      <w:r w:rsidR="00F4761F" w:rsidRPr="00D35435">
        <w:rPr>
          <w:rFonts w:ascii="Verdana" w:hAnsi="Verdana" w:cs="Verdana"/>
          <w:bCs/>
          <w:sz w:val="20"/>
          <w:szCs w:val="20"/>
        </w:rPr>
        <w:lastRenderedPageBreak/>
        <w:t>costas y gastos</w:t>
      </w:r>
      <w:r w:rsidR="00F4761F" w:rsidRPr="000117DE">
        <w:rPr>
          <w:rFonts w:ascii="Verdana" w:hAnsi="Verdana" w:cs="Verdana"/>
          <w:bCs/>
          <w:sz w:val="20"/>
          <w:szCs w:val="20"/>
        </w:rPr>
        <w:t>. Asimismo, se requiere que</w:t>
      </w:r>
      <w:r w:rsidR="00AB4226" w:rsidRPr="00E549B6">
        <w:rPr>
          <w:rFonts w:ascii="Verdana" w:hAnsi="Verdana" w:cs="Verdana"/>
          <w:bCs/>
          <w:sz w:val="20"/>
          <w:szCs w:val="20"/>
        </w:rPr>
        <w:t xml:space="preserve"> </w:t>
      </w:r>
      <w:r w:rsidR="00784E79" w:rsidRPr="00E549B6">
        <w:rPr>
          <w:rFonts w:ascii="Verdana" w:hAnsi="Verdana" w:cs="Verdana"/>
          <w:bCs/>
          <w:sz w:val="20"/>
          <w:szCs w:val="20"/>
        </w:rPr>
        <w:t xml:space="preserve">explique </w:t>
      </w:r>
      <w:r w:rsidR="003C4005" w:rsidRPr="00E549B6">
        <w:rPr>
          <w:rFonts w:ascii="Verdana" w:hAnsi="Verdana" w:cs="Verdana"/>
          <w:bCs/>
          <w:sz w:val="20"/>
          <w:szCs w:val="20"/>
        </w:rPr>
        <w:t xml:space="preserve">la forma en que </w:t>
      </w:r>
      <w:r w:rsidR="008B6894" w:rsidRPr="00E549B6">
        <w:rPr>
          <w:rFonts w:ascii="Verdana" w:hAnsi="Verdana" w:cs="Verdana"/>
          <w:bCs/>
          <w:sz w:val="20"/>
          <w:szCs w:val="20"/>
        </w:rPr>
        <w:t>se establece la tasa d</w:t>
      </w:r>
      <w:r w:rsidR="00784E79" w:rsidRPr="00AA6A90">
        <w:rPr>
          <w:rFonts w:ascii="Verdana" w:hAnsi="Verdana" w:cs="Verdana"/>
          <w:bCs/>
          <w:sz w:val="20"/>
          <w:szCs w:val="20"/>
        </w:rPr>
        <w:t>el interés bancario moratorio en Colombia</w:t>
      </w:r>
      <w:r w:rsidR="00F4761F" w:rsidRPr="00FE3764">
        <w:rPr>
          <w:rFonts w:ascii="Verdana" w:hAnsi="Verdana" w:cs="Verdana"/>
          <w:bCs/>
          <w:sz w:val="20"/>
          <w:szCs w:val="20"/>
        </w:rPr>
        <w:t xml:space="preserve"> e indique cuál era esta tasa</w:t>
      </w:r>
      <w:r w:rsidR="00F4761F" w:rsidRPr="00CC5486">
        <w:rPr>
          <w:rFonts w:ascii="Verdana" w:hAnsi="Verdana" w:cs="Verdana"/>
          <w:bCs/>
          <w:sz w:val="20"/>
          <w:szCs w:val="20"/>
        </w:rPr>
        <w:t xml:space="preserve"> </w:t>
      </w:r>
      <w:r w:rsidR="00F4761F" w:rsidRPr="004D165C">
        <w:rPr>
          <w:rFonts w:ascii="Verdana" w:hAnsi="Verdana" w:cs="Verdana"/>
          <w:bCs/>
          <w:sz w:val="20"/>
          <w:szCs w:val="20"/>
        </w:rPr>
        <w:t xml:space="preserve">al momento en que el Estado </w:t>
      </w:r>
      <w:r w:rsidR="00F4761F" w:rsidRPr="00135A79">
        <w:rPr>
          <w:rFonts w:ascii="Verdana" w:hAnsi="Verdana" w:cs="Verdana"/>
          <w:bCs/>
          <w:sz w:val="20"/>
          <w:szCs w:val="20"/>
        </w:rPr>
        <w:t>pag</w:t>
      </w:r>
      <w:r w:rsidR="00F4761F" w:rsidRPr="00BD41EF">
        <w:rPr>
          <w:rFonts w:ascii="Verdana" w:hAnsi="Verdana" w:cs="Verdana"/>
          <w:bCs/>
          <w:sz w:val="20"/>
          <w:szCs w:val="20"/>
        </w:rPr>
        <w:t>ó las indemnizaciones y el reintegro de costas y gastos</w:t>
      </w:r>
      <w:r w:rsidR="00784E79" w:rsidRPr="00BD41EF">
        <w:rPr>
          <w:rFonts w:ascii="Verdana" w:hAnsi="Verdana" w:cs="Verdana"/>
          <w:bCs/>
          <w:sz w:val="20"/>
          <w:szCs w:val="20"/>
        </w:rPr>
        <w:t xml:space="preserve">. </w:t>
      </w:r>
      <w:r w:rsidR="00CA40F5" w:rsidRPr="00BD41EF">
        <w:rPr>
          <w:rFonts w:ascii="Verdana" w:hAnsi="Verdana" w:cs="Verdana"/>
          <w:bCs/>
          <w:sz w:val="20"/>
          <w:szCs w:val="20"/>
        </w:rPr>
        <w:t>Al remitir esta información</w:t>
      </w:r>
      <w:r w:rsidR="008B6894" w:rsidRPr="00BD41EF">
        <w:rPr>
          <w:rFonts w:ascii="Verdana" w:hAnsi="Verdana" w:cs="Verdana"/>
          <w:bCs/>
          <w:sz w:val="20"/>
          <w:szCs w:val="20"/>
        </w:rPr>
        <w:t>,</w:t>
      </w:r>
      <w:r w:rsidR="00CA40F5" w:rsidRPr="00710356">
        <w:rPr>
          <w:rFonts w:ascii="Verdana" w:hAnsi="Verdana" w:cs="Verdana"/>
          <w:bCs/>
          <w:sz w:val="20"/>
          <w:szCs w:val="20"/>
        </w:rPr>
        <w:t xml:space="preserve"> el Estado debe referirse a lo alegado al respecto por las representantes de las víctimas en </w:t>
      </w:r>
      <w:r w:rsidR="003C4005" w:rsidRPr="00710356">
        <w:rPr>
          <w:rFonts w:ascii="Verdana" w:hAnsi="Verdana" w:cs="Verdana"/>
          <w:bCs/>
          <w:sz w:val="20"/>
          <w:szCs w:val="20"/>
        </w:rPr>
        <w:t xml:space="preserve">las páginas 8 a 12 de </w:t>
      </w:r>
      <w:r w:rsidR="00CA40F5" w:rsidRPr="00710356">
        <w:rPr>
          <w:rFonts w:ascii="Verdana" w:hAnsi="Verdana" w:cs="Verdana"/>
          <w:bCs/>
          <w:sz w:val="20"/>
          <w:szCs w:val="20"/>
        </w:rPr>
        <w:t>su escrito de observacio</w:t>
      </w:r>
      <w:r w:rsidR="00CA40F5" w:rsidRPr="005B19C6">
        <w:rPr>
          <w:rFonts w:ascii="Verdana" w:hAnsi="Verdana" w:cs="Verdana"/>
          <w:bCs/>
          <w:sz w:val="20"/>
          <w:szCs w:val="20"/>
        </w:rPr>
        <w:t xml:space="preserve">nes de </w:t>
      </w:r>
      <w:r w:rsidR="003C4005" w:rsidRPr="00C76C7C">
        <w:rPr>
          <w:rFonts w:ascii="Verdana" w:hAnsi="Verdana" w:cs="Verdana"/>
          <w:bCs/>
          <w:sz w:val="20"/>
          <w:szCs w:val="20"/>
        </w:rPr>
        <w:t xml:space="preserve">12 de </w:t>
      </w:r>
      <w:r w:rsidR="00CA40F5" w:rsidRPr="00C76C7C">
        <w:rPr>
          <w:rFonts w:ascii="Verdana" w:hAnsi="Verdana" w:cs="Verdana"/>
          <w:bCs/>
          <w:sz w:val="20"/>
          <w:szCs w:val="20"/>
        </w:rPr>
        <w:t>febrero de 2019.</w:t>
      </w:r>
      <w:bookmarkEnd w:id="49"/>
    </w:p>
    <w:p w14:paraId="5280CF1C" w14:textId="56D883D2" w:rsidR="00F8528B" w:rsidRDefault="00304D32" w:rsidP="00A46F5B">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bCs/>
          <w:sz w:val="20"/>
          <w:szCs w:val="20"/>
        </w:rPr>
      </w:pPr>
      <w:bookmarkStart w:id="50" w:name="_Ref26787031"/>
      <w:r>
        <w:rPr>
          <w:rFonts w:ascii="Verdana" w:hAnsi="Verdana" w:cs="Verdana"/>
          <w:bCs/>
          <w:sz w:val="20"/>
          <w:szCs w:val="20"/>
        </w:rPr>
        <w:t>Con base en lo expuesto</w:t>
      </w:r>
      <w:r w:rsidR="00F8528B" w:rsidRPr="002925FF">
        <w:rPr>
          <w:rFonts w:ascii="Verdana" w:hAnsi="Verdana" w:cs="Verdana"/>
          <w:bCs/>
          <w:sz w:val="20"/>
          <w:szCs w:val="20"/>
        </w:rPr>
        <w:t>, el Tribunal considera que el Estado ha dado cumplimiento parcial a la medida de reparación</w:t>
      </w:r>
      <w:r w:rsidR="006573B8">
        <w:rPr>
          <w:rFonts w:ascii="Verdana" w:hAnsi="Verdana" w:cs="Verdana"/>
          <w:bCs/>
          <w:sz w:val="20"/>
          <w:szCs w:val="20"/>
        </w:rPr>
        <w:t xml:space="preserve"> ordenada en el punto </w:t>
      </w:r>
      <w:r w:rsidR="006573B8">
        <w:rPr>
          <w:rFonts w:ascii="Verdana" w:hAnsi="Verdana"/>
          <w:sz w:val="20"/>
          <w:szCs w:val="20"/>
        </w:rPr>
        <w:t>resolutivo</w:t>
      </w:r>
      <w:r w:rsidR="006573B8" w:rsidRPr="00326999">
        <w:rPr>
          <w:rFonts w:ascii="Verdana" w:hAnsi="Verdana"/>
          <w:sz w:val="20"/>
          <w:szCs w:val="20"/>
        </w:rPr>
        <w:t xml:space="preserve"> trigésimo segundo</w:t>
      </w:r>
      <w:r w:rsidR="006573B8">
        <w:rPr>
          <w:rFonts w:ascii="Verdana" w:hAnsi="Verdana"/>
          <w:sz w:val="20"/>
          <w:szCs w:val="20"/>
        </w:rPr>
        <w:t xml:space="preserve"> de la Sentencia</w:t>
      </w:r>
      <w:r w:rsidR="00F8528B" w:rsidRPr="002925FF">
        <w:rPr>
          <w:rFonts w:ascii="Verdana" w:hAnsi="Verdana" w:cs="Verdana"/>
          <w:bCs/>
          <w:sz w:val="20"/>
          <w:szCs w:val="20"/>
        </w:rPr>
        <w:t xml:space="preserve">. Esto por cuanto realizó pagos </w:t>
      </w:r>
      <w:r>
        <w:rPr>
          <w:rFonts w:ascii="Verdana" w:hAnsi="Verdana" w:cs="Verdana"/>
          <w:bCs/>
          <w:sz w:val="20"/>
          <w:szCs w:val="20"/>
        </w:rPr>
        <w:t xml:space="preserve">por concepto </w:t>
      </w:r>
      <w:r w:rsidR="00420794">
        <w:rPr>
          <w:rFonts w:ascii="Verdana" w:hAnsi="Verdana" w:cs="Verdana"/>
          <w:bCs/>
          <w:sz w:val="20"/>
          <w:szCs w:val="20"/>
        </w:rPr>
        <w:t>de</w:t>
      </w:r>
      <w:r w:rsidR="00420794" w:rsidRPr="002925FF">
        <w:rPr>
          <w:rFonts w:ascii="Verdana" w:hAnsi="Verdana" w:cs="Verdana"/>
          <w:bCs/>
          <w:sz w:val="20"/>
          <w:szCs w:val="20"/>
        </w:rPr>
        <w:t xml:space="preserve"> </w:t>
      </w:r>
      <w:r w:rsidR="00420794">
        <w:rPr>
          <w:rFonts w:ascii="Verdana" w:hAnsi="Verdana" w:cs="Verdana"/>
          <w:bCs/>
          <w:sz w:val="20"/>
          <w:szCs w:val="20"/>
        </w:rPr>
        <w:t>indemnizaciones</w:t>
      </w:r>
      <w:r>
        <w:rPr>
          <w:rFonts w:ascii="Verdana" w:hAnsi="Verdana" w:cs="Verdana"/>
          <w:bCs/>
          <w:sz w:val="20"/>
          <w:szCs w:val="20"/>
        </w:rPr>
        <w:t xml:space="preserve"> </w:t>
      </w:r>
      <w:r w:rsidR="001673B6">
        <w:rPr>
          <w:rFonts w:ascii="Verdana" w:hAnsi="Verdana" w:cs="Verdana"/>
          <w:bCs/>
          <w:sz w:val="20"/>
          <w:szCs w:val="20"/>
        </w:rPr>
        <w:t xml:space="preserve">por </w:t>
      </w:r>
      <w:r w:rsidR="00F8528B" w:rsidRPr="002925FF">
        <w:rPr>
          <w:rFonts w:ascii="Verdana" w:hAnsi="Verdana" w:cs="Verdana"/>
          <w:bCs/>
          <w:sz w:val="20"/>
          <w:szCs w:val="20"/>
        </w:rPr>
        <w:t>daño</w:t>
      </w:r>
      <w:r>
        <w:rPr>
          <w:rFonts w:ascii="Verdana" w:hAnsi="Verdana" w:cs="Verdana"/>
          <w:bCs/>
          <w:sz w:val="20"/>
          <w:szCs w:val="20"/>
        </w:rPr>
        <w:t>s</w:t>
      </w:r>
      <w:r w:rsidR="00F8528B" w:rsidRPr="002925FF">
        <w:rPr>
          <w:rFonts w:ascii="Verdana" w:hAnsi="Verdana" w:cs="Verdana"/>
          <w:bCs/>
          <w:sz w:val="20"/>
          <w:szCs w:val="20"/>
        </w:rPr>
        <w:t xml:space="preserve"> material</w:t>
      </w:r>
      <w:r>
        <w:rPr>
          <w:rFonts w:ascii="Verdana" w:hAnsi="Verdana" w:cs="Verdana"/>
          <w:bCs/>
          <w:sz w:val="20"/>
          <w:szCs w:val="20"/>
        </w:rPr>
        <w:t>es</w:t>
      </w:r>
      <w:r w:rsidR="00F8528B" w:rsidRPr="002925FF">
        <w:rPr>
          <w:rFonts w:ascii="Verdana" w:hAnsi="Verdana" w:cs="Verdana"/>
          <w:bCs/>
          <w:sz w:val="20"/>
          <w:szCs w:val="20"/>
        </w:rPr>
        <w:t xml:space="preserve"> e inmaterial</w:t>
      </w:r>
      <w:r>
        <w:rPr>
          <w:rFonts w:ascii="Verdana" w:hAnsi="Verdana" w:cs="Verdana"/>
          <w:bCs/>
          <w:sz w:val="20"/>
          <w:szCs w:val="20"/>
        </w:rPr>
        <w:t>es</w:t>
      </w:r>
      <w:r w:rsidR="00F8528B" w:rsidRPr="002925FF">
        <w:rPr>
          <w:rFonts w:ascii="Verdana" w:hAnsi="Verdana" w:cs="Verdana"/>
          <w:bCs/>
          <w:sz w:val="20"/>
          <w:szCs w:val="20"/>
        </w:rPr>
        <w:t xml:space="preserve"> y</w:t>
      </w:r>
      <w:r>
        <w:rPr>
          <w:rFonts w:ascii="Verdana" w:hAnsi="Verdana" w:cs="Verdana"/>
          <w:bCs/>
          <w:sz w:val="20"/>
          <w:szCs w:val="20"/>
        </w:rPr>
        <w:t xml:space="preserve"> por reintegro de </w:t>
      </w:r>
      <w:r w:rsidR="00F8528B" w:rsidRPr="002925FF">
        <w:rPr>
          <w:rFonts w:ascii="Verdana" w:hAnsi="Verdana" w:cs="Verdana"/>
          <w:bCs/>
          <w:sz w:val="20"/>
          <w:szCs w:val="20"/>
        </w:rPr>
        <w:t xml:space="preserve">costas y gastos, </w:t>
      </w:r>
      <w:r>
        <w:rPr>
          <w:rFonts w:ascii="Verdana" w:hAnsi="Verdana" w:cs="Verdana"/>
          <w:bCs/>
          <w:sz w:val="20"/>
          <w:szCs w:val="20"/>
        </w:rPr>
        <w:t>quedando pendiente que Colombia remita a este Tribunal mayor información sobre la tasa utilizada para el pago de los intereses moratorios</w:t>
      </w:r>
      <w:r w:rsidR="006573B8">
        <w:rPr>
          <w:rFonts w:ascii="Verdana" w:hAnsi="Verdana" w:cs="Verdana"/>
          <w:bCs/>
          <w:sz w:val="20"/>
          <w:szCs w:val="20"/>
        </w:rPr>
        <w:t xml:space="preserve"> (</w:t>
      </w:r>
      <w:r w:rsidR="006573B8" w:rsidRPr="006573B8">
        <w:rPr>
          <w:rFonts w:ascii="Verdana" w:hAnsi="Verdana" w:cs="Verdana"/>
          <w:bCs/>
          <w:i/>
          <w:sz w:val="20"/>
          <w:szCs w:val="20"/>
        </w:rPr>
        <w:t>supra</w:t>
      </w:r>
      <w:r w:rsidR="006573B8">
        <w:rPr>
          <w:rFonts w:ascii="Verdana" w:hAnsi="Verdana" w:cs="Verdana"/>
          <w:bCs/>
          <w:sz w:val="20"/>
          <w:szCs w:val="20"/>
        </w:rPr>
        <w:t xml:space="preserve"> Considerando </w:t>
      </w:r>
      <w:r w:rsidR="0099446A">
        <w:rPr>
          <w:rFonts w:ascii="Verdana" w:hAnsi="Verdana" w:cs="Verdana"/>
          <w:bCs/>
          <w:sz w:val="20"/>
          <w:szCs w:val="20"/>
        </w:rPr>
        <w:fldChar w:fldCharType="begin"/>
      </w:r>
      <w:r w:rsidR="0099446A">
        <w:rPr>
          <w:rFonts w:ascii="Verdana" w:hAnsi="Verdana" w:cs="Verdana"/>
          <w:bCs/>
          <w:sz w:val="20"/>
          <w:szCs w:val="20"/>
        </w:rPr>
        <w:instrText xml:space="preserve"> REF _Ref26787050 \r \h </w:instrText>
      </w:r>
      <w:r w:rsidR="0099446A">
        <w:rPr>
          <w:rFonts w:ascii="Verdana" w:hAnsi="Verdana" w:cs="Verdana"/>
          <w:bCs/>
          <w:sz w:val="20"/>
          <w:szCs w:val="20"/>
        </w:rPr>
      </w:r>
      <w:r w:rsidR="0099446A">
        <w:rPr>
          <w:rFonts w:ascii="Verdana" w:hAnsi="Verdana" w:cs="Verdana"/>
          <w:bCs/>
          <w:sz w:val="20"/>
          <w:szCs w:val="20"/>
        </w:rPr>
        <w:fldChar w:fldCharType="separate"/>
      </w:r>
      <w:r w:rsidR="00630FCA">
        <w:rPr>
          <w:rFonts w:ascii="Verdana" w:hAnsi="Verdana" w:cs="Verdana"/>
          <w:bCs/>
          <w:sz w:val="20"/>
          <w:szCs w:val="20"/>
        </w:rPr>
        <w:t>57</w:t>
      </w:r>
      <w:r w:rsidR="0099446A">
        <w:rPr>
          <w:rFonts w:ascii="Verdana" w:hAnsi="Verdana" w:cs="Verdana"/>
          <w:bCs/>
          <w:sz w:val="20"/>
          <w:szCs w:val="20"/>
        </w:rPr>
        <w:fldChar w:fldCharType="end"/>
      </w:r>
      <w:r w:rsidR="006573B8">
        <w:rPr>
          <w:rFonts w:ascii="Verdana" w:hAnsi="Verdana" w:cs="Verdana"/>
          <w:bCs/>
          <w:sz w:val="20"/>
          <w:szCs w:val="20"/>
        </w:rPr>
        <w:t>)</w:t>
      </w:r>
      <w:r>
        <w:rPr>
          <w:rFonts w:ascii="Verdana" w:hAnsi="Verdana" w:cs="Verdana"/>
          <w:bCs/>
          <w:sz w:val="20"/>
          <w:szCs w:val="20"/>
        </w:rPr>
        <w:t xml:space="preserve">. </w:t>
      </w:r>
      <w:r w:rsidR="006573B8">
        <w:rPr>
          <w:rFonts w:ascii="Verdana" w:hAnsi="Verdana" w:cs="Verdana"/>
          <w:bCs/>
          <w:sz w:val="20"/>
          <w:szCs w:val="20"/>
        </w:rPr>
        <w:t>Esta información es necesaria</w:t>
      </w:r>
      <w:r>
        <w:rPr>
          <w:rFonts w:ascii="Verdana" w:hAnsi="Verdana" w:cs="Verdana"/>
          <w:bCs/>
          <w:sz w:val="20"/>
          <w:szCs w:val="20"/>
        </w:rPr>
        <w:t xml:space="preserve"> a efectos de que en una futura Resolución </w:t>
      </w:r>
      <w:r w:rsidR="00CA40F5">
        <w:rPr>
          <w:rFonts w:ascii="Verdana" w:hAnsi="Verdana" w:cs="Verdana"/>
          <w:bCs/>
          <w:sz w:val="20"/>
          <w:szCs w:val="20"/>
        </w:rPr>
        <w:t>e</w:t>
      </w:r>
      <w:r w:rsidR="006573B8">
        <w:rPr>
          <w:rFonts w:ascii="Verdana" w:hAnsi="Verdana" w:cs="Verdana"/>
          <w:bCs/>
          <w:sz w:val="20"/>
          <w:szCs w:val="20"/>
        </w:rPr>
        <w:t>ste</w:t>
      </w:r>
      <w:r w:rsidR="00CA40F5">
        <w:rPr>
          <w:rFonts w:ascii="Verdana" w:hAnsi="Verdana" w:cs="Verdana"/>
          <w:bCs/>
          <w:sz w:val="20"/>
          <w:szCs w:val="20"/>
        </w:rPr>
        <w:t xml:space="preserve"> Tribunal </w:t>
      </w:r>
      <w:r>
        <w:rPr>
          <w:rFonts w:ascii="Verdana" w:hAnsi="Verdana" w:cs="Verdana"/>
          <w:bCs/>
          <w:sz w:val="20"/>
          <w:szCs w:val="20"/>
        </w:rPr>
        <w:t xml:space="preserve">pueda pronunciarse sobre si, </w:t>
      </w:r>
      <w:r w:rsidR="001673B6">
        <w:rPr>
          <w:rFonts w:ascii="Verdana" w:hAnsi="Verdana" w:cs="Verdana"/>
          <w:bCs/>
          <w:sz w:val="20"/>
          <w:szCs w:val="20"/>
        </w:rPr>
        <w:t>eventualmente, corresponde al Es</w:t>
      </w:r>
      <w:r>
        <w:rPr>
          <w:rFonts w:ascii="Verdana" w:hAnsi="Verdana" w:cs="Verdana"/>
          <w:bCs/>
          <w:sz w:val="20"/>
          <w:szCs w:val="20"/>
        </w:rPr>
        <w:t>tado pagar una suma adicional</w:t>
      </w:r>
      <w:r w:rsidR="00CA40F5">
        <w:rPr>
          <w:rFonts w:ascii="Verdana" w:hAnsi="Verdana" w:cs="Verdana"/>
          <w:bCs/>
          <w:sz w:val="20"/>
          <w:szCs w:val="20"/>
        </w:rPr>
        <w:t xml:space="preserve"> por este concepto.</w:t>
      </w:r>
      <w:bookmarkEnd w:id="50"/>
      <w:r>
        <w:rPr>
          <w:rFonts w:ascii="Verdana" w:hAnsi="Verdana" w:cs="Verdana"/>
          <w:bCs/>
          <w:sz w:val="20"/>
          <w:szCs w:val="20"/>
        </w:rPr>
        <w:t xml:space="preserve"> </w:t>
      </w:r>
    </w:p>
    <w:p w14:paraId="32964023" w14:textId="77777777" w:rsidR="00C24C67" w:rsidRDefault="00C24C67" w:rsidP="00C24C67">
      <w:pPr>
        <w:pStyle w:val="Prrafodelista"/>
        <w:tabs>
          <w:tab w:val="left" w:pos="0"/>
        </w:tabs>
        <w:autoSpaceDE w:val="0"/>
        <w:autoSpaceDN w:val="0"/>
        <w:adjustRightInd w:val="0"/>
        <w:spacing w:before="120" w:after="120" w:line="240" w:lineRule="auto"/>
        <w:ind w:left="0" w:right="99"/>
        <w:contextualSpacing w:val="0"/>
        <w:jc w:val="both"/>
        <w:rPr>
          <w:rFonts w:ascii="Verdana" w:hAnsi="Verdana" w:cs="Verdana"/>
          <w:bCs/>
          <w:sz w:val="20"/>
          <w:szCs w:val="20"/>
        </w:rPr>
      </w:pPr>
    </w:p>
    <w:p w14:paraId="492745D2" w14:textId="77777777" w:rsidR="00C24C67" w:rsidRPr="00B9483B" w:rsidRDefault="00C24C67" w:rsidP="00C24C67">
      <w:pPr>
        <w:pStyle w:val="Ttulo2"/>
        <w:numPr>
          <w:ilvl w:val="0"/>
          <w:numId w:val="30"/>
        </w:numPr>
        <w:spacing w:before="120" w:after="120" w:line="240" w:lineRule="auto"/>
        <w:rPr>
          <w:rFonts w:ascii="Verdana" w:hAnsi="Verdana"/>
          <w:b/>
          <w:i/>
          <w:color w:val="auto"/>
          <w:sz w:val="20"/>
          <w:szCs w:val="20"/>
        </w:rPr>
      </w:pPr>
      <w:bookmarkStart w:id="51" w:name="_Toc23769106"/>
      <w:r w:rsidRPr="00B9483B">
        <w:rPr>
          <w:rFonts w:ascii="Verdana" w:hAnsi="Verdana"/>
          <w:b/>
          <w:i/>
          <w:color w:val="auto"/>
          <w:sz w:val="20"/>
          <w:szCs w:val="20"/>
        </w:rPr>
        <w:t>Reintegro al Fondo de Asistencia Legal de Víctimas</w:t>
      </w:r>
      <w:bookmarkEnd w:id="51"/>
    </w:p>
    <w:p w14:paraId="02AE7198" w14:textId="3388667A" w:rsidR="00C24C67" w:rsidRDefault="00C57341" w:rsidP="0050329A">
      <w:pPr>
        <w:pStyle w:val="Prrafodelista"/>
        <w:numPr>
          <w:ilvl w:val="0"/>
          <w:numId w:val="3"/>
        </w:numPr>
        <w:tabs>
          <w:tab w:val="left" w:pos="0"/>
        </w:tabs>
        <w:autoSpaceDE w:val="0"/>
        <w:autoSpaceDN w:val="0"/>
        <w:adjustRightInd w:val="0"/>
        <w:spacing w:before="120" w:after="120" w:line="240" w:lineRule="auto"/>
        <w:ind w:left="0" w:right="99" w:firstLine="0"/>
        <w:contextualSpacing w:val="0"/>
        <w:jc w:val="both"/>
        <w:rPr>
          <w:rFonts w:ascii="Verdana" w:hAnsi="Verdana" w:cs="Verdana"/>
          <w:bCs/>
          <w:sz w:val="20"/>
          <w:szCs w:val="20"/>
        </w:rPr>
      </w:pPr>
      <w:bookmarkStart w:id="52" w:name="_Ref26777445"/>
      <w:r>
        <w:rPr>
          <w:rFonts w:ascii="Verdana" w:hAnsi="Verdana" w:cs="Verdana"/>
          <w:bCs/>
          <w:sz w:val="20"/>
          <w:szCs w:val="20"/>
        </w:rPr>
        <w:t>Tal como ha sido indicado (</w:t>
      </w:r>
      <w:r w:rsidRPr="00C57341">
        <w:rPr>
          <w:rFonts w:ascii="Verdana" w:hAnsi="Verdana" w:cs="Verdana"/>
          <w:bCs/>
          <w:i/>
          <w:sz w:val="20"/>
          <w:szCs w:val="20"/>
        </w:rPr>
        <w:t>supra</w:t>
      </w:r>
      <w:r>
        <w:rPr>
          <w:rFonts w:ascii="Verdana" w:hAnsi="Verdana" w:cs="Verdana"/>
          <w:bCs/>
          <w:sz w:val="20"/>
          <w:szCs w:val="20"/>
        </w:rPr>
        <w:t xml:space="preserve"> Considerando </w:t>
      </w:r>
      <w:r w:rsidR="00870177">
        <w:rPr>
          <w:rFonts w:ascii="Verdana" w:hAnsi="Verdana" w:cs="Verdana"/>
          <w:bCs/>
          <w:sz w:val="20"/>
          <w:szCs w:val="20"/>
        </w:rPr>
        <w:fldChar w:fldCharType="begin"/>
      </w:r>
      <w:r w:rsidR="00870177">
        <w:rPr>
          <w:rFonts w:ascii="Verdana" w:hAnsi="Verdana" w:cs="Verdana"/>
          <w:bCs/>
          <w:sz w:val="20"/>
          <w:szCs w:val="20"/>
        </w:rPr>
        <w:instrText xml:space="preserve"> REF _Ref26777418 \r \h </w:instrText>
      </w:r>
      <w:r w:rsidR="00870177">
        <w:rPr>
          <w:rFonts w:ascii="Verdana" w:hAnsi="Verdana" w:cs="Verdana"/>
          <w:bCs/>
          <w:sz w:val="20"/>
          <w:szCs w:val="20"/>
        </w:rPr>
      </w:r>
      <w:r w:rsidR="00870177">
        <w:rPr>
          <w:rFonts w:ascii="Verdana" w:hAnsi="Verdana" w:cs="Verdana"/>
          <w:bCs/>
          <w:sz w:val="20"/>
          <w:szCs w:val="20"/>
        </w:rPr>
        <w:fldChar w:fldCharType="separate"/>
      </w:r>
      <w:r w:rsidR="00630FCA">
        <w:rPr>
          <w:rFonts w:ascii="Verdana" w:hAnsi="Verdana" w:cs="Verdana"/>
          <w:bCs/>
          <w:sz w:val="20"/>
          <w:szCs w:val="20"/>
        </w:rPr>
        <w:t>50</w:t>
      </w:r>
      <w:r w:rsidR="00870177">
        <w:rPr>
          <w:rFonts w:ascii="Verdana" w:hAnsi="Verdana" w:cs="Verdana"/>
          <w:bCs/>
          <w:sz w:val="20"/>
          <w:szCs w:val="20"/>
        </w:rPr>
        <w:fldChar w:fldCharType="end"/>
      </w:r>
      <w:r>
        <w:rPr>
          <w:rFonts w:ascii="Verdana" w:hAnsi="Verdana" w:cs="Verdana"/>
          <w:bCs/>
          <w:sz w:val="20"/>
          <w:szCs w:val="20"/>
        </w:rPr>
        <w:t xml:space="preserve">), en el punto resolutivo trigésimo segundo y </w:t>
      </w:r>
      <w:r w:rsidR="004E6763">
        <w:rPr>
          <w:rFonts w:ascii="Verdana" w:hAnsi="Verdana" w:cs="Verdana"/>
          <w:bCs/>
          <w:sz w:val="20"/>
          <w:szCs w:val="20"/>
        </w:rPr>
        <w:t>los</w:t>
      </w:r>
      <w:r>
        <w:rPr>
          <w:rFonts w:ascii="Verdana" w:hAnsi="Verdana" w:cs="Verdana"/>
          <w:bCs/>
          <w:sz w:val="20"/>
          <w:szCs w:val="20"/>
        </w:rPr>
        <w:t xml:space="preserve"> párrafo</w:t>
      </w:r>
      <w:r w:rsidR="004E6763">
        <w:rPr>
          <w:rFonts w:ascii="Verdana" w:hAnsi="Verdana" w:cs="Verdana"/>
          <w:bCs/>
          <w:sz w:val="20"/>
          <w:szCs w:val="20"/>
        </w:rPr>
        <w:t>s</w:t>
      </w:r>
      <w:r>
        <w:rPr>
          <w:rFonts w:ascii="Verdana" w:hAnsi="Verdana" w:cs="Verdana"/>
          <w:bCs/>
          <w:sz w:val="20"/>
          <w:szCs w:val="20"/>
        </w:rPr>
        <w:t xml:space="preserve"> 37</w:t>
      </w:r>
      <w:r w:rsidR="004E6763">
        <w:rPr>
          <w:rFonts w:ascii="Verdana" w:hAnsi="Verdana" w:cs="Verdana"/>
          <w:bCs/>
          <w:sz w:val="20"/>
          <w:szCs w:val="20"/>
        </w:rPr>
        <w:t xml:space="preserve">3 y 385 </w:t>
      </w:r>
      <w:r>
        <w:rPr>
          <w:rFonts w:ascii="Verdana" w:hAnsi="Verdana" w:cs="Verdana"/>
          <w:bCs/>
          <w:sz w:val="20"/>
          <w:szCs w:val="20"/>
        </w:rPr>
        <w:t>de la Sentencia, se ordenó “al Estado el reintegro [al] Fondo [de Asistencia Legal de Víctimas] por la cantidad de USD</w:t>
      </w:r>
      <w:r w:rsidR="00870177">
        <w:rPr>
          <w:rFonts w:ascii="Verdana" w:hAnsi="Verdana" w:cs="Verdana"/>
          <w:bCs/>
          <w:sz w:val="20"/>
          <w:szCs w:val="20"/>
        </w:rPr>
        <w:t xml:space="preserve"> </w:t>
      </w:r>
      <w:r>
        <w:rPr>
          <w:rFonts w:ascii="Verdana" w:hAnsi="Verdana" w:cs="Verdana"/>
          <w:bCs/>
          <w:sz w:val="20"/>
          <w:szCs w:val="20"/>
        </w:rPr>
        <w:t xml:space="preserve">$4,841.06 (cuatro mil ochocientos cuarenta y un dólares con seis céntimos de los Estados Unidos de América) por los gastos incurridos” en la tramitación de </w:t>
      </w:r>
      <w:r w:rsidR="004E6763">
        <w:rPr>
          <w:rFonts w:ascii="Verdana" w:hAnsi="Verdana" w:cs="Verdana"/>
          <w:bCs/>
          <w:sz w:val="20"/>
          <w:szCs w:val="20"/>
        </w:rPr>
        <w:t xml:space="preserve">la etapa de fondo de </w:t>
      </w:r>
      <w:r>
        <w:rPr>
          <w:rFonts w:ascii="Verdana" w:hAnsi="Verdana" w:cs="Verdana"/>
          <w:bCs/>
          <w:sz w:val="20"/>
          <w:szCs w:val="20"/>
        </w:rPr>
        <w:t>este caso. Se dispuso que “[e]</w:t>
      </w:r>
      <w:proofErr w:type="spellStart"/>
      <w:r>
        <w:rPr>
          <w:rFonts w:ascii="Verdana" w:hAnsi="Verdana" w:cs="Verdana"/>
          <w:bCs/>
          <w:sz w:val="20"/>
          <w:szCs w:val="20"/>
        </w:rPr>
        <w:t>ste</w:t>
      </w:r>
      <w:proofErr w:type="spellEnd"/>
      <w:r>
        <w:rPr>
          <w:rFonts w:ascii="Verdana" w:hAnsi="Verdana" w:cs="Verdana"/>
          <w:bCs/>
          <w:sz w:val="20"/>
          <w:szCs w:val="20"/>
        </w:rPr>
        <w:t xml:space="preserve"> monto </w:t>
      </w:r>
      <w:proofErr w:type="spellStart"/>
      <w:r>
        <w:rPr>
          <w:rFonts w:ascii="Verdana" w:hAnsi="Verdana" w:cs="Verdana"/>
          <w:bCs/>
          <w:sz w:val="20"/>
          <w:szCs w:val="20"/>
        </w:rPr>
        <w:t>deb</w:t>
      </w:r>
      <w:proofErr w:type="spellEnd"/>
      <w:r>
        <w:rPr>
          <w:rFonts w:ascii="Verdana" w:hAnsi="Verdana" w:cs="Verdana"/>
          <w:bCs/>
          <w:sz w:val="20"/>
          <w:szCs w:val="20"/>
        </w:rPr>
        <w:t>[</w:t>
      </w:r>
      <w:proofErr w:type="spellStart"/>
      <w:r>
        <w:rPr>
          <w:rFonts w:ascii="Verdana" w:hAnsi="Verdana" w:cs="Verdana"/>
          <w:bCs/>
          <w:sz w:val="20"/>
          <w:szCs w:val="20"/>
        </w:rPr>
        <w:t>ía</w:t>
      </w:r>
      <w:proofErr w:type="spellEnd"/>
      <w:r>
        <w:rPr>
          <w:rFonts w:ascii="Verdana" w:hAnsi="Verdana" w:cs="Verdana"/>
          <w:bCs/>
          <w:sz w:val="20"/>
          <w:szCs w:val="20"/>
        </w:rPr>
        <w:t xml:space="preserve">] ser reintegrado a la Corte </w:t>
      </w:r>
      <w:r w:rsidR="004E6763">
        <w:rPr>
          <w:rFonts w:ascii="Verdana" w:hAnsi="Verdana" w:cs="Verdana"/>
          <w:bCs/>
          <w:sz w:val="20"/>
          <w:szCs w:val="20"/>
        </w:rPr>
        <w:t>Interamericana</w:t>
      </w:r>
      <w:r>
        <w:rPr>
          <w:rFonts w:ascii="Verdana" w:hAnsi="Verdana" w:cs="Verdana"/>
          <w:bCs/>
          <w:sz w:val="20"/>
          <w:szCs w:val="20"/>
        </w:rPr>
        <w:t xml:space="preserve"> en el plazo de noventa días, contados a partir de la notificación del fallo”.</w:t>
      </w:r>
      <w:bookmarkEnd w:id="52"/>
      <w:r>
        <w:rPr>
          <w:rFonts w:ascii="Verdana" w:hAnsi="Verdana" w:cs="Verdana"/>
          <w:bCs/>
          <w:sz w:val="20"/>
          <w:szCs w:val="20"/>
        </w:rPr>
        <w:t xml:space="preserve"> </w:t>
      </w:r>
    </w:p>
    <w:p w14:paraId="794881B2" w14:textId="010C2142" w:rsidR="00F246CD" w:rsidRPr="00F246CD" w:rsidRDefault="004E6763" w:rsidP="0050329A">
      <w:pPr>
        <w:numPr>
          <w:ilvl w:val="0"/>
          <w:numId w:val="3"/>
        </w:numPr>
        <w:tabs>
          <w:tab w:val="left" w:pos="0"/>
        </w:tabs>
        <w:autoSpaceDE w:val="0"/>
        <w:autoSpaceDN w:val="0"/>
        <w:adjustRightInd w:val="0"/>
        <w:spacing w:before="120" w:after="120" w:line="240" w:lineRule="auto"/>
        <w:ind w:left="0" w:right="99" w:firstLine="0"/>
        <w:jc w:val="both"/>
        <w:rPr>
          <w:rFonts w:ascii="Verdana" w:hAnsi="Verdana" w:cs="Verdana"/>
          <w:bCs/>
          <w:sz w:val="20"/>
          <w:szCs w:val="20"/>
        </w:rPr>
      </w:pPr>
      <w:r>
        <w:rPr>
          <w:rFonts w:ascii="Verdana" w:hAnsi="Verdana" w:cs="Verdana"/>
          <w:bCs/>
          <w:sz w:val="20"/>
          <w:szCs w:val="20"/>
        </w:rPr>
        <w:t xml:space="preserve">Esta Corte hace notar que el referido plazo venció el 10 de abril de 2017, sin que a la fecha de la emisión de la presente Resolución el Estado hubiera cumplido con el reintegro ordenado y con el correspondiente pago de intereses moratorios. El 22 de agosto de 2018 la Secretaría de la Corte Interamericana, siguiendo instrucciones de su Presidencia, realizó un recordatorio al Estado del vencimiento del referido plazo y le solicitó que presentara un informe al respecto. No obstante lo anterior, Colombia no </w:t>
      </w:r>
      <w:r w:rsidR="009D1F2D">
        <w:rPr>
          <w:rFonts w:ascii="Verdana" w:hAnsi="Verdana" w:cs="Verdana"/>
          <w:bCs/>
          <w:sz w:val="20"/>
          <w:szCs w:val="20"/>
        </w:rPr>
        <w:t>remitió dicho informe</w:t>
      </w:r>
      <w:r w:rsidR="00E37033" w:rsidRPr="0050329A">
        <w:rPr>
          <w:rStyle w:val="Refdenotaalpie"/>
          <w:rFonts w:ascii="Verdana" w:hAnsi="Verdana" w:cs="Verdana"/>
          <w:bCs/>
          <w:sz w:val="20"/>
          <w:szCs w:val="20"/>
        </w:rPr>
        <w:footnoteReference w:id="53"/>
      </w:r>
      <w:r w:rsidR="00E37033" w:rsidRPr="0050329A">
        <w:rPr>
          <w:rFonts w:ascii="Verdana" w:hAnsi="Verdana" w:cs="Verdana"/>
          <w:bCs/>
          <w:sz w:val="20"/>
          <w:szCs w:val="20"/>
        </w:rPr>
        <w:t>.</w:t>
      </w:r>
      <w:r w:rsidR="00E37033" w:rsidRPr="00F246CD">
        <w:rPr>
          <w:rFonts w:ascii="Verdana" w:hAnsi="Verdana" w:cs="Verdana"/>
          <w:bCs/>
          <w:sz w:val="20"/>
          <w:szCs w:val="20"/>
          <w:u w:val="single"/>
        </w:rPr>
        <w:t xml:space="preserve"> </w:t>
      </w:r>
    </w:p>
    <w:p w14:paraId="6DA493AF" w14:textId="58459A3F" w:rsidR="00F246CD" w:rsidRPr="00F246CD" w:rsidRDefault="00F246CD" w:rsidP="0050329A">
      <w:pPr>
        <w:numPr>
          <w:ilvl w:val="0"/>
          <w:numId w:val="3"/>
        </w:numPr>
        <w:tabs>
          <w:tab w:val="left" w:pos="0"/>
        </w:tabs>
        <w:autoSpaceDE w:val="0"/>
        <w:autoSpaceDN w:val="0"/>
        <w:adjustRightInd w:val="0"/>
        <w:spacing w:before="120" w:after="120" w:line="240" w:lineRule="auto"/>
        <w:ind w:left="0" w:right="99" w:firstLine="0"/>
        <w:jc w:val="both"/>
        <w:rPr>
          <w:rFonts w:ascii="Verdana" w:hAnsi="Verdana" w:cs="Verdana"/>
          <w:bCs/>
          <w:sz w:val="20"/>
          <w:szCs w:val="20"/>
        </w:rPr>
      </w:pPr>
      <w:r w:rsidRPr="00F246CD">
        <w:rPr>
          <w:rFonts w:ascii="Verdana" w:hAnsi="Verdana"/>
          <w:sz w:val="20"/>
          <w:lang w:val="es-MX"/>
        </w:rPr>
        <w:t xml:space="preserve">Al respecto, la Corte </w:t>
      </w:r>
      <w:r w:rsidRPr="00F246CD">
        <w:rPr>
          <w:rFonts w:ascii="Verdana" w:hAnsi="Verdana"/>
          <w:sz w:val="20"/>
          <w:szCs w:val="20"/>
        </w:rPr>
        <w:t>recuerda que en lo que respecta al financiamiento del Fondo de Asistencia de la Corte, los recursos disponibles en el mismo son limitados.</w:t>
      </w:r>
      <w:r>
        <w:t xml:space="preserve"> </w:t>
      </w:r>
      <w:r w:rsidRPr="00F246CD">
        <w:rPr>
          <w:rFonts w:ascii="Verdana" w:hAnsi="Verdana"/>
          <w:sz w:val="20"/>
        </w:rPr>
        <w:t>En consecuencia, la falta de cumplimiento oportuno de los Estados del reintegro al Fondo de Asistencia Legal afecta de forma directa su sostenibilidad y, sobre todo, el acceso a la justicia de las presuntas víctimas y, de ser el caso, víctimas ante este Tribunal</w:t>
      </w:r>
      <w:r w:rsidR="0050329A">
        <w:rPr>
          <w:rStyle w:val="Refdenotaalpie"/>
          <w:rFonts w:ascii="Verdana" w:hAnsi="Verdana"/>
          <w:sz w:val="20"/>
        </w:rPr>
        <w:footnoteReference w:id="54"/>
      </w:r>
      <w:r w:rsidRPr="00F246CD">
        <w:rPr>
          <w:rFonts w:ascii="Verdana" w:hAnsi="Verdana"/>
          <w:sz w:val="20"/>
        </w:rPr>
        <w:t>.</w:t>
      </w:r>
      <w:r w:rsidRPr="00F246CD">
        <w:rPr>
          <w:sz w:val="20"/>
        </w:rPr>
        <w:t xml:space="preserve"> </w:t>
      </w:r>
      <w:r w:rsidRPr="00F246CD">
        <w:rPr>
          <w:rFonts w:ascii="Verdana" w:hAnsi="Verdana" w:cs="Verdana"/>
          <w:bCs/>
          <w:sz w:val="20"/>
          <w:szCs w:val="20"/>
        </w:rPr>
        <w:t xml:space="preserve">Es por ello que el </w:t>
      </w:r>
      <w:r w:rsidRPr="00F246CD">
        <w:rPr>
          <w:rFonts w:ascii="Verdana" w:hAnsi="Verdana"/>
          <w:sz w:val="20"/>
          <w:szCs w:val="20"/>
        </w:rPr>
        <w:t>Tribunal</w:t>
      </w:r>
      <w:r w:rsidRPr="00F246CD">
        <w:rPr>
          <w:rFonts w:ascii="Verdana" w:hAnsi="Verdana" w:cs="Verdana"/>
          <w:bCs/>
          <w:sz w:val="20"/>
          <w:szCs w:val="20"/>
        </w:rPr>
        <w:t xml:space="preserve"> </w:t>
      </w:r>
      <w:r w:rsidRPr="00F246CD">
        <w:rPr>
          <w:rFonts w:ascii="Verdana" w:hAnsi="Verdana"/>
          <w:sz w:val="20"/>
          <w:szCs w:val="20"/>
        </w:rPr>
        <w:t xml:space="preserve">resalta la importancia del cumplimiento de las obligaciones internacionales de Colombia respecto al reintegro de los recursos al referido Fondo de Asistencia. </w:t>
      </w:r>
    </w:p>
    <w:p w14:paraId="5DC28174" w14:textId="696BCF68" w:rsidR="00F246CD" w:rsidRPr="00F246CD" w:rsidRDefault="00F246CD" w:rsidP="0050329A">
      <w:pPr>
        <w:numPr>
          <w:ilvl w:val="0"/>
          <w:numId w:val="3"/>
        </w:numPr>
        <w:tabs>
          <w:tab w:val="left" w:pos="0"/>
        </w:tabs>
        <w:autoSpaceDE w:val="0"/>
        <w:autoSpaceDN w:val="0"/>
        <w:adjustRightInd w:val="0"/>
        <w:spacing w:before="120" w:after="120" w:line="240" w:lineRule="auto"/>
        <w:ind w:left="0" w:right="99" w:firstLine="0"/>
        <w:jc w:val="both"/>
        <w:rPr>
          <w:rFonts w:ascii="Verdana" w:hAnsi="Verdana" w:cs="Verdana"/>
          <w:bCs/>
          <w:sz w:val="20"/>
          <w:szCs w:val="20"/>
        </w:rPr>
      </w:pPr>
      <w:bookmarkStart w:id="53" w:name="_Ref26787309"/>
      <w:r w:rsidRPr="00F246CD">
        <w:rPr>
          <w:rFonts w:ascii="Verdana" w:hAnsi="Verdana"/>
          <w:sz w:val="20"/>
          <w:szCs w:val="20"/>
        </w:rPr>
        <w:t xml:space="preserve">En virtud de lo anterior, </w:t>
      </w:r>
      <w:r w:rsidRPr="00F246CD">
        <w:rPr>
          <w:rFonts w:ascii="Verdana" w:hAnsi="Verdana"/>
          <w:sz w:val="20"/>
          <w:lang w:val="es-MX"/>
        </w:rPr>
        <w:t xml:space="preserve">la Corte declara que el Estado no ha dado cumplimiento al reintegro al Fondo de Asistencia Legal de Víctimas, ordenado en el punto </w:t>
      </w:r>
      <w:r>
        <w:rPr>
          <w:rFonts w:ascii="Verdana" w:hAnsi="Verdana"/>
          <w:sz w:val="20"/>
          <w:lang w:val="es-MX"/>
        </w:rPr>
        <w:t>resolutivo</w:t>
      </w:r>
      <w:r w:rsidRPr="00F246CD">
        <w:rPr>
          <w:rFonts w:ascii="Verdana" w:hAnsi="Verdana"/>
          <w:sz w:val="20"/>
          <w:lang w:val="es-MX"/>
        </w:rPr>
        <w:t xml:space="preserve"> </w:t>
      </w:r>
      <w:r>
        <w:rPr>
          <w:rFonts w:ascii="Verdana" w:hAnsi="Verdana"/>
          <w:sz w:val="20"/>
          <w:lang w:val="es-MX"/>
        </w:rPr>
        <w:t>trigésimo segundo</w:t>
      </w:r>
      <w:r w:rsidRPr="00F246CD">
        <w:rPr>
          <w:rFonts w:ascii="Verdana" w:hAnsi="Verdana"/>
          <w:sz w:val="20"/>
          <w:lang w:val="es-MX"/>
        </w:rPr>
        <w:t xml:space="preserve"> de la Sentencia. Por tanto, </w:t>
      </w:r>
      <w:r w:rsidR="009D1F2D">
        <w:rPr>
          <w:rFonts w:ascii="Verdana" w:hAnsi="Verdana"/>
          <w:sz w:val="20"/>
          <w:lang w:val="es-MX"/>
        </w:rPr>
        <w:t xml:space="preserve">le </w:t>
      </w:r>
      <w:r w:rsidRPr="00F246CD">
        <w:rPr>
          <w:rFonts w:ascii="Verdana" w:hAnsi="Verdana"/>
          <w:sz w:val="20"/>
          <w:szCs w:val="20"/>
        </w:rPr>
        <w:t xml:space="preserve">requiere que, en cumplimiento de sus </w:t>
      </w:r>
      <w:r w:rsidRPr="00F246CD">
        <w:rPr>
          <w:rFonts w:ascii="Verdana" w:hAnsi="Verdana"/>
          <w:sz w:val="20"/>
          <w:szCs w:val="20"/>
        </w:rPr>
        <w:lastRenderedPageBreak/>
        <w:t>obligaciones convencionales, proceda a la mayor brevedad</w:t>
      </w:r>
      <w:r w:rsidR="0050329A">
        <w:rPr>
          <w:rFonts w:ascii="Verdana" w:hAnsi="Verdana"/>
          <w:sz w:val="20"/>
          <w:szCs w:val="20"/>
        </w:rPr>
        <w:t xml:space="preserve"> posible</w:t>
      </w:r>
      <w:r w:rsidRPr="00F246CD">
        <w:rPr>
          <w:rFonts w:ascii="Verdana" w:hAnsi="Verdana"/>
          <w:sz w:val="20"/>
          <w:szCs w:val="20"/>
        </w:rPr>
        <w:t xml:space="preserve"> con el referido reintegro</w:t>
      </w:r>
      <w:r>
        <w:rPr>
          <w:rFonts w:ascii="Verdana" w:hAnsi="Verdana"/>
          <w:sz w:val="20"/>
          <w:szCs w:val="20"/>
        </w:rPr>
        <w:t xml:space="preserve"> y con el pago de los correspondientes intereses moratorios</w:t>
      </w:r>
      <w:r w:rsidRPr="00F246CD">
        <w:rPr>
          <w:rFonts w:ascii="Verdana" w:hAnsi="Verdana"/>
          <w:sz w:val="20"/>
          <w:lang w:val="es-MX"/>
        </w:rPr>
        <w:t>.</w:t>
      </w:r>
      <w:bookmarkEnd w:id="53"/>
    </w:p>
    <w:p w14:paraId="09ED3A1A" w14:textId="77777777" w:rsidR="0050644B" w:rsidRDefault="0050644B" w:rsidP="0050329A">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6CDAADB1" w14:textId="77777777" w:rsidR="00D46C1F" w:rsidRDefault="00D46C1F" w:rsidP="0050329A">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r w:rsidRPr="00D46C1F">
        <w:rPr>
          <w:rFonts w:ascii="Verdana" w:hAnsi="Verdana" w:cs="Verdana"/>
          <w:b/>
          <w:bCs/>
          <w:sz w:val="20"/>
          <w:szCs w:val="20"/>
        </w:rPr>
        <w:t xml:space="preserve">POR TANTO: </w:t>
      </w:r>
    </w:p>
    <w:p w14:paraId="1A2D8E1C" w14:textId="77777777" w:rsidR="00C76FD3" w:rsidRPr="00D46C1F" w:rsidRDefault="00C76FD3" w:rsidP="0050329A">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1C464CA0" w14:textId="77777777" w:rsidR="009133DC" w:rsidRDefault="00D46C1F" w:rsidP="0050329A">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r w:rsidRPr="00D46C1F">
        <w:rPr>
          <w:rFonts w:ascii="Verdana" w:hAnsi="Verdana" w:cs="Verdana"/>
          <w:b/>
          <w:bCs/>
          <w:sz w:val="20"/>
          <w:szCs w:val="20"/>
        </w:rPr>
        <w:t>LA CORTE INTERAMERICAN</w:t>
      </w:r>
      <w:r>
        <w:rPr>
          <w:rFonts w:ascii="Verdana" w:hAnsi="Verdana" w:cs="Verdana"/>
          <w:b/>
          <w:bCs/>
          <w:sz w:val="20"/>
          <w:szCs w:val="20"/>
        </w:rPr>
        <w:t>A</w:t>
      </w:r>
      <w:r w:rsidRPr="00D46C1F">
        <w:rPr>
          <w:rFonts w:ascii="Verdana" w:hAnsi="Verdana" w:cs="Verdana"/>
          <w:b/>
          <w:bCs/>
          <w:sz w:val="20"/>
          <w:szCs w:val="20"/>
        </w:rPr>
        <w:t xml:space="preserve"> DE DERECHOS HUMANOS, </w:t>
      </w:r>
    </w:p>
    <w:p w14:paraId="60B17CD8" w14:textId="77777777" w:rsidR="00C76FD3" w:rsidRDefault="00C76FD3" w:rsidP="0050329A">
      <w:pPr>
        <w:pStyle w:val="Prrafodelista"/>
        <w:tabs>
          <w:tab w:val="left" w:pos="0"/>
        </w:tabs>
        <w:autoSpaceDE w:val="0"/>
        <w:autoSpaceDN w:val="0"/>
        <w:adjustRightInd w:val="0"/>
        <w:spacing w:after="0" w:line="240" w:lineRule="auto"/>
        <w:ind w:left="0" w:right="99"/>
        <w:contextualSpacing w:val="0"/>
        <w:jc w:val="both"/>
        <w:rPr>
          <w:rFonts w:ascii="Verdana" w:hAnsi="Verdana"/>
          <w:sz w:val="20"/>
          <w:szCs w:val="20"/>
        </w:rPr>
      </w:pPr>
    </w:p>
    <w:p w14:paraId="4FF64A33" w14:textId="77777777" w:rsidR="009133DC" w:rsidRPr="009133DC" w:rsidRDefault="009133DC" w:rsidP="0050329A">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r>
        <w:rPr>
          <w:rFonts w:ascii="Verdana" w:hAnsi="Verdana"/>
          <w:sz w:val="20"/>
          <w:szCs w:val="20"/>
        </w:rPr>
        <w:t>e</w:t>
      </w:r>
      <w:r w:rsidRPr="00CA38EE">
        <w:rPr>
          <w:rFonts w:ascii="Verdana" w:hAnsi="Verdana"/>
          <w:sz w:val="20"/>
          <w:szCs w:val="20"/>
        </w:rPr>
        <w:t>n el ejercicio de sus atribuciones de supervisión del cumplimiento de sus decisiones, de conformidad con los artículos 33, 62.1, 62.3, 65, 67 y 68.1 de la Convención Americana sobre Derechos Humanos, 24, 25 y 30 del Estatuto, y 31.2 y 69 de su Reglamento,</w:t>
      </w:r>
    </w:p>
    <w:p w14:paraId="36896995" w14:textId="77777777" w:rsidR="00CC4B19" w:rsidRDefault="00CC4B19" w:rsidP="0050329A">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50A457EA" w14:textId="77777777" w:rsidR="00D46C1F" w:rsidRDefault="00D46C1F" w:rsidP="0050329A">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r>
        <w:rPr>
          <w:rFonts w:ascii="Verdana" w:hAnsi="Verdana" w:cs="Verdana"/>
          <w:b/>
          <w:bCs/>
          <w:sz w:val="20"/>
          <w:szCs w:val="20"/>
        </w:rPr>
        <w:t>RESUELVE:</w:t>
      </w:r>
    </w:p>
    <w:p w14:paraId="140F5EE9" w14:textId="77777777" w:rsidR="00C76FD3" w:rsidRDefault="00C76FD3" w:rsidP="0050329A">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4BCD7D3B" w14:textId="1ECEFB8A" w:rsidR="00CB4A68" w:rsidRPr="00E55423" w:rsidRDefault="00CB4A68" w:rsidP="0050329A">
      <w:pPr>
        <w:pStyle w:val="Prrafodelista"/>
        <w:numPr>
          <w:ilvl w:val="0"/>
          <w:numId w:val="17"/>
        </w:numPr>
        <w:tabs>
          <w:tab w:val="left" w:pos="0"/>
        </w:tabs>
        <w:autoSpaceDE w:val="0"/>
        <w:autoSpaceDN w:val="0"/>
        <w:adjustRightInd w:val="0"/>
        <w:spacing w:after="0" w:line="240" w:lineRule="auto"/>
        <w:ind w:left="0" w:right="99" w:firstLine="0"/>
        <w:contextualSpacing w:val="0"/>
        <w:jc w:val="both"/>
        <w:rPr>
          <w:rFonts w:ascii="Verdana" w:hAnsi="Verdana" w:cs="Verdana"/>
          <w:sz w:val="20"/>
          <w:szCs w:val="20"/>
        </w:rPr>
      </w:pPr>
      <w:r w:rsidRPr="00CA38EE">
        <w:rPr>
          <w:rFonts w:ascii="Verdana" w:hAnsi="Verdana"/>
          <w:sz w:val="20"/>
          <w:szCs w:val="20"/>
        </w:rPr>
        <w:t xml:space="preserve">Declarar, de conformidad con lo señalado en </w:t>
      </w:r>
      <w:r>
        <w:rPr>
          <w:rFonts w:ascii="Verdana" w:hAnsi="Verdana"/>
          <w:sz w:val="20"/>
          <w:szCs w:val="20"/>
        </w:rPr>
        <w:t>el</w:t>
      </w:r>
      <w:r w:rsidRPr="00CA38EE">
        <w:rPr>
          <w:rFonts w:ascii="Verdana" w:hAnsi="Verdana"/>
          <w:sz w:val="20"/>
          <w:szCs w:val="20"/>
        </w:rPr>
        <w:t xml:space="preserve"> Considerando</w:t>
      </w:r>
      <w:r>
        <w:rPr>
          <w:rFonts w:ascii="Verdana" w:hAnsi="Verdana"/>
          <w:sz w:val="20"/>
          <w:szCs w:val="20"/>
        </w:rPr>
        <w:t xml:space="preserve"> </w:t>
      </w:r>
      <w:r w:rsidR="0050329A">
        <w:rPr>
          <w:rFonts w:ascii="Verdana" w:hAnsi="Verdana"/>
          <w:sz w:val="20"/>
          <w:szCs w:val="20"/>
        </w:rPr>
        <w:t>38</w:t>
      </w:r>
      <w:r w:rsidRPr="00CA38EE">
        <w:rPr>
          <w:rFonts w:ascii="Verdana" w:hAnsi="Verdana"/>
          <w:sz w:val="20"/>
          <w:szCs w:val="20"/>
        </w:rPr>
        <w:t xml:space="preserve"> de la presente Resolución, que el Estado ha dado cumplimiento total a</w:t>
      </w:r>
      <w:r w:rsidRPr="00CB4A68">
        <w:rPr>
          <w:rFonts w:ascii="Verdana" w:hAnsi="Verdana"/>
          <w:sz w:val="20"/>
          <w:szCs w:val="20"/>
        </w:rPr>
        <w:t xml:space="preserve"> </w:t>
      </w:r>
      <w:r>
        <w:rPr>
          <w:rFonts w:ascii="Verdana" w:hAnsi="Verdana"/>
          <w:sz w:val="20"/>
          <w:szCs w:val="20"/>
        </w:rPr>
        <w:t>la</w:t>
      </w:r>
      <w:r w:rsidR="0050329A">
        <w:rPr>
          <w:rFonts w:ascii="Verdana" w:hAnsi="Verdana"/>
          <w:sz w:val="20"/>
          <w:szCs w:val="20"/>
        </w:rPr>
        <w:t>s</w:t>
      </w:r>
      <w:r>
        <w:rPr>
          <w:rFonts w:ascii="Verdana" w:hAnsi="Verdana"/>
          <w:sz w:val="20"/>
          <w:szCs w:val="20"/>
        </w:rPr>
        <w:t xml:space="preserve"> medida</w:t>
      </w:r>
      <w:r w:rsidR="0050329A">
        <w:rPr>
          <w:rFonts w:ascii="Verdana" w:hAnsi="Verdana"/>
          <w:sz w:val="20"/>
          <w:szCs w:val="20"/>
        </w:rPr>
        <w:t>s</w:t>
      </w:r>
      <w:r>
        <w:rPr>
          <w:rFonts w:ascii="Verdana" w:hAnsi="Verdana"/>
          <w:sz w:val="20"/>
          <w:szCs w:val="20"/>
        </w:rPr>
        <w:t xml:space="preserve"> </w:t>
      </w:r>
      <w:r w:rsidR="00E97B0C">
        <w:rPr>
          <w:rFonts w:ascii="Verdana" w:hAnsi="Verdana"/>
          <w:sz w:val="20"/>
          <w:szCs w:val="20"/>
        </w:rPr>
        <w:t>relativa</w:t>
      </w:r>
      <w:r w:rsidR="0050329A">
        <w:rPr>
          <w:rFonts w:ascii="Verdana" w:hAnsi="Verdana"/>
          <w:sz w:val="20"/>
          <w:szCs w:val="20"/>
        </w:rPr>
        <w:t>s</w:t>
      </w:r>
      <w:r w:rsidR="00E97B0C">
        <w:rPr>
          <w:rFonts w:ascii="Verdana" w:hAnsi="Verdana"/>
          <w:sz w:val="20"/>
          <w:szCs w:val="20"/>
        </w:rPr>
        <w:t xml:space="preserve"> </w:t>
      </w:r>
      <w:r>
        <w:rPr>
          <w:rFonts w:ascii="Verdana" w:hAnsi="Verdana"/>
          <w:sz w:val="20"/>
          <w:szCs w:val="20"/>
        </w:rPr>
        <w:t xml:space="preserve">a </w:t>
      </w:r>
      <w:r w:rsidR="00F8528B">
        <w:rPr>
          <w:rFonts w:ascii="Verdana" w:hAnsi="Verdana"/>
          <w:sz w:val="20"/>
          <w:szCs w:val="20"/>
        </w:rPr>
        <w:t xml:space="preserve">realizar las publicaciones </w:t>
      </w:r>
      <w:r w:rsidR="00E97B0C">
        <w:rPr>
          <w:rFonts w:ascii="Verdana" w:hAnsi="Verdana"/>
          <w:sz w:val="20"/>
          <w:szCs w:val="20"/>
        </w:rPr>
        <w:t xml:space="preserve">de la Sentencia y de su resumen oficial, </w:t>
      </w:r>
      <w:r w:rsidR="00F8528B">
        <w:rPr>
          <w:rFonts w:ascii="Verdana" w:hAnsi="Verdana"/>
          <w:sz w:val="20"/>
          <w:szCs w:val="20"/>
        </w:rPr>
        <w:t xml:space="preserve">ordenadas </w:t>
      </w:r>
      <w:r w:rsidR="00E97B0C">
        <w:rPr>
          <w:rFonts w:ascii="Verdana" w:hAnsi="Verdana"/>
          <w:sz w:val="20"/>
          <w:szCs w:val="20"/>
        </w:rPr>
        <w:t xml:space="preserve">en el </w:t>
      </w:r>
      <w:r>
        <w:rPr>
          <w:rFonts w:ascii="Verdana" w:hAnsi="Verdana"/>
          <w:sz w:val="20"/>
          <w:szCs w:val="20"/>
        </w:rPr>
        <w:t xml:space="preserve">punto </w:t>
      </w:r>
      <w:r w:rsidR="00E97B0C">
        <w:rPr>
          <w:rFonts w:ascii="Verdana" w:hAnsi="Verdana"/>
          <w:sz w:val="20"/>
          <w:szCs w:val="20"/>
        </w:rPr>
        <w:t xml:space="preserve">resolutivo </w:t>
      </w:r>
      <w:r w:rsidR="00F8528B">
        <w:rPr>
          <w:rFonts w:ascii="Verdana" w:hAnsi="Verdana"/>
          <w:sz w:val="20"/>
          <w:szCs w:val="20"/>
        </w:rPr>
        <w:t>vigésimo noveno</w:t>
      </w:r>
      <w:r>
        <w:rPr>
          <w:rFonts w:ascii="Verdana" w:hAnsi="Verdana"/>
          <w:sz w:val="20"/>
          <w:szCs w:val="20"/>
        </w:rPr>
        <w:t xml:space="preserve"> de la </w:t>
      </w:r>
      <w:r w:rsidR="00E97B0C">
        <w:rPr>
          <w:rFonts w:ascii="Verdana" w:hAnsi="Verdana"/>
          <w:sz w:val="20"/>
          <w:szCs w:val="20"/>
        </w:rPr>
        <w:t>misma</w:t>
      </w:r>
      <w:r>
        <w:rPr>
          <w:rFonts w:ascii="Verdana" w:hAnsi="Verdana"/>
          <w:sz w:val="20"/>
          <w:szCs w:val="20"/>
        </w:rPr>
        <w:t>.</w:t>
      </w:r>
    </w:p>
    <w:p w14:paraId="2CB8CE76" w14:textId="77777777" w:rsidR="00C76FD3" w:rsidRPr="00CB4A68" w:rsidRDefault="00C76FD3" w:rsidP="0050329A">
      <w:pPr>
        <w:pStyle w:val="Prrafodelista"/>
        <w:tabs>
          <w:tab w:val="left" w:pos="0"/>
        </w:tabs>
        <w:autoSpaceDE w:val="0"/>
        <w:autoSpaceDN w:val="0"/>
        <w:adjustRightInd w:val="0"/>
        <w:spacing w:after="0" w:line="240" w:lineRule="auto"/>
        <w:ind w:left="0" w:right="99"/>
        <w:contextualSpacing w:val="0"/>
        <w:jc w:val="both"/>
        <w:rPr>
          <w:rFonts w:ascii="Verdana" w:hAnsi="Verdana" w:cs="Verdana"/>
          <w:sz w:val="20"/>
          <w:szCs w:val="20"/>
        </w:rPr>
      </w:pPr>
    </w:p>
    <w:p w14:paraId="264947D4" w14:textId="5297539A" w:rsidR="00F8528B" w:rsidRPr="00E55423" w:rsidRDefault="00F8528B" w:rsidP="0050329A">
      <w:pPr>
        <w:pStyle w:val="Prrafodelista"/>
        <w:numPr>
          <w:ilvl w:val="0"/>
          <w:numId w:val="17"/>
        </w:numPr>
        <w:tabs>
          <w:tab w:val="left" w:pos="0"/>
        </w:tabs>
        <w:autoSpaceDE w:val="0"/>
        <w:autoSpaceDN w:val="0"/>
        <w:adjustRightInd w:val="0"/>
        <w:spacing w:after="0" w:line="240" w:lineRule="auto"/>
        <w:ind w:left="0" w:right="99" w:firstLine="0"/>
        <w:contextualSpacing w:val="0"/>
        <w:jc w:val="both"/>
        <w:rPr>
          <w:rFonts w:ascii="Verdana" w:hAnsi="Verdana" w:cs="Verdana"/>
          <w:sz w:val="20"/>
          <w:szCs w:val="20"/>
        </w:rPr>
      </w:pPr>
      <w:r w:rsidRPr="00CA38EE">
        <w:rPr>
          <w:rFonts w:ascii="Verdana" w:hAnsi="Verdana"/>
          <w:sz w:val="20"/>
          <w:szCs w:val="20"/>
        </w:rPr>
        <w:t xml:space="preserve">Declarar, de conformidad con lo señalado en </w:t>
      </w:r>
      <w:r w:rsidR="00C86869">
        <w:rPr>
          <w:rFonts w:ascii="Verdana" w:hAnsi="Verdana"/>
          <w:sz w:val="20"/>
          <w:szCs w:val="20"/>
        </w:rPr>
        <w:t>los</w:t>
      </w:r>
      <w:r w:rsidR="00C86869" w:rsidRPr="00CA38EE">
        <w:rPr>
          <w:rFonts w:ascii="Verdana" w:hAnsi="Verdana"/>
          <w:sz w:val="20"/>
          <w:szCs w:val="20"/>
        </w:rPr>
        <w:t xml:space="preserve"> </w:t>
      </w:r>
      <w:r w:rsidRPr="00CA38EE">
        <w:rPr>
          <w:rFonts w:ascii="Verdana" w:hAnsi="Verdana"/>
          <w:sz w:val="20"/>
          <w:szCs w:val="20"/>
        </w:rPr>
        <w:t>Considerando</w:t>
      </w:r>
      <w:r w:rsidR="00C86869">
        <w:rPr>
          <w:rFonts w:ascii="Verdana" w:hAnsi="Verdana"/>
          <w:sz w:val="20"/>
          <w:szCs w:val="20"/>
        </w:rPr>
        <w:t>s</w:t>
      </w:r>
      <w:r>
        <w:rPr>
          <w:rFonts w:ascii="Verdana" w:hAnsi="Verdana"/>
          <w:sz w:val="20"/>
          <w:szCs w:val="20"/>
        </w:rPr>
        <w:t xml:space="preserve"> </w:t>
      </w:r>
      <w:r w:rsidR="0050329A">
        <w:rPr>
          <w:rFonts w:ascii="Verdana" w:hAnsi="Verdana"/>
          <w:sz w:val="20"/>
          <w:szCs w:val="20"/>
        </w:rPr>
        <w:t>55 a 58</w:t>
      </w:r>
      <w:r w:rsidRPr="00CA38EE">
        <w:rPr>
          <w:rFonts w:ascii="Verdana" w:hAnsi="Verdana"/>
          <w:sz w:val="20"/>
          <w:szCs w:val="20"/>
        </w:rPr>
        <w:t xml:space="preserve"> de la presente Resolución, que el Estado ha dado cumplimiento </w:t>
      </w:r>
      <w:r w:rsidR="00EC5305">
        <w:rPr>
          <w:rFonts w:ascii="Verdana" w:hAnsi="Verdana"/>
          <w:sz w:val="20"/>
          <w:szCs w:val="20"/>
        </w:rPr>
        <w:t>parcial</w:t>
      </w:r>
      <w:r w:rsidRPr="00CA38EE">
        <w:rPr>
          <w:rFonts w:ascii="Verdana" w:hAnsi="Verdana"/>
          <w:sz w:val="20"/>
          <w:szCs w:val="20"/>
        </w:rPr>
        <w:t xml:space="preserve"> a</w:t>
      </w:r>
      <w:r w:rsidRPr="00CB4A68">
        <w:rPr>
          <w:rFonts w:ascii="Verdana" w:hAnsi="Verdana"/>
          <w:sz w:val="20"/>
          <w:szCs w:val="20"/>
        </w:rPr>
        <w:t xml:space="preserve"> </w:t>
      </w:r>
      <w:r>
        <w:rPr>
          <w:rFonts w:ascii="Verdana" w:hAnsi="Verdana"/>
          <w:sz w:val="20"/>
          <w:szCs w:val="20"/>
        </w:rPr>
        <w:t xml:space="preserve">la medida </w:t>
      </w:r>
      <w:r w:rsidR="00C86869">
        <w:rPr>
          <w:rFonts w:ascii="Verdana" w:hAnsi="Verdana"/>
          <w:sz w:val="20"/>
          <w:szCs w:val="20"/>
        </w:rPr>
        <w:t>relativa a</w:t>
      </w:r>
      <w:r>
        <w:rPr>
          <w:rFonts w:ascii="Verdana" w:hAnsi="Verdana"/>
          <w:sz w:val="20"/>
          <w:szCs w:val="20"/>
        </w:rPr>
        <w:t xml:space="preserve"> </w:t>
      </w:r>
      <w:r w:rsidR="00C86869">
        <w:rPr>
          <w:rFonts w:ascii="Verdana" w:hAnsi="Verdana"/>
          <w:sz w:val="20"/>
          <w:szCs w:val="20"/>
        </w:rPr>
        <w:t xml:space="preserve">pagar las cantidades fijadas en la Sentencia por concepto </w:t>
      </w:r>
      <w:r w:rsidR="00EC5305">
        <w:rPr>
          <w:rFonts w:ascii="Verdana" w:hAnsi="Verdana"/>
          <w:sz w:val="20"/>
          <w:szCs w:val="20"/>
        </w:rPr>
        <w:t xml:space="preserve">de </w:t>
      </w:r>
      <w:r w:rsidR="00C86869">
        <w:rPr>
          <w:rFonts w:ascii="Verdana" w:hAnsi="Verdana"/>
          <w:sz w:val="20"/>
          <w:szCs w:val="20"/>
        </w:rPr>
        <w:t xml:space="preserve">indemnizaciones por </w:t>
      </w:r>
      <w:r w:rsidR="00EC5305">
        <w:rPr>
          <w:rFonts w:ascii="Verdana" w:hAnsi="Verdana"/>
          <w:sz w:val="20"/>
          <w:szCs w:val="20"/>
        </w:rPr>
        <w:t>daño</w:t>
      </w:r>
      <w:r w:rsidR="00C86869">
        <w:rPr>
          <w:rFonts w:ascii="Verdana" w:hAnsi="Verdana"/>
          <w:sz w:val="20"/>
          <w:szCs w:val="20"/>
        </w:rPr>
        <w:t>s</w:t>
      </w:r>
      <w:r w:rsidR="00EC5305">
        <w:rPr>
          <w:rFonts w:ascii="Verdana" w:hAnsi="Verdana"/>
          <w:sz w:val="20"/>
          <w:szCs w:val="20"/>
        </w:rPr>
        <w:t xml:space="preserve"> material</w:t>
      </w:r>
      <w:r w:rsidR="00C86869">
        <w:rPr>
          <w:rFonts w:ascii="Verdana" w:hAnsi="Verdana"/>
          <w:sz w:val="20"/>
          <w:szCs w:val="20"/>
        </w:rPr>
        <w:t>es</w:t>
      </w:r>
      <w:r w:rsidR="00EC5305">
        <w:rPr>
          <w:rFonts w:ascii="Verdana" w:hAnsi="Verdana"/>
          <w:sz w:val="20"/>
          <w:szCs w:val="20"/>
        </w:rPr>
        <w:t xml:space="preserve"> e inmaterial</w:t>
      </w:r>
      <w:r w:rsidR="00C86869">
        <w:rPr>
          <w:rFonts w:ascii="Verdana" w:hAnsi="Verdana"/>
          <w:sz w:val="20"/>
          <w:szCs w:val="20"/>
        </w:rPr>
        <w:t>es</w:t>
      </w:r>
      <w:r w:rsidR="00EC5305">
        <w:rPr>
          <w:rFonts w:ascii="Verdana" w:hAnsi="Verdana"/>
          <w:sz w:val="20"/>
          <w:szCs w:val="20"/>
        </w:rPr>
        <w:t xml:space="preserve">, así como el pago correspondiente a las costas y gastos, </w:t>
      </w:r>
      <w:r>
        <w:rPr>
          <w:rFonts w:ascii="Verdana" w:hAnsi="Verdana"/>
          <w:sz w:val="20"/>
          <w:szCs w:val="20"/>
        </w:rPr>
        <w:t>ordena</w:t>
      </w:r>
      <w:r w:rsidR="00EC5305">
        <w:rPr>
          <w:rFonts w:ascii="Verdana" w:hAnsi="Verdana"/>
          <w:sz w:val="20"/>
          <w:szCs w:val="20"/>
        </w:rPr>
        <w:t>do</w:t>
      </w:r>
      <w:r>
        <w:rPr>
          <w:rFonts w:ascii="Verdana" w:hAnsi="Verdana"/>
          <w:sz w:val="20"/>
          <w:szCs w:val="20"/>
        </w:rPr>
        <w:t>s en</w:t>
      </w:r>
      <w:r w:rsidR="00EC5305">
        <w:rPr>
          <w:rFonts w:ascii="Verdana" w:hAnsi="Verdana"/>
          <w:sz w:val="20"/>
          <w:szCs w:val="20"/>
        </w:rPr>
        <w:t xml:space="preserve"> el punto </w:t>
      </w:r>
      <w:r w:rsidR="00C86869">
        <w:rPr>
          <w:rFonts w:ascii="Verdana" w:hAnsi="Verdana"/>
          <w:sz w:val="20"/>
          <w:szCs w:val="20"/>
        </w:rPr>
        <w:t xml:space="preserve">resolutivo </w:t>
      </w:r>
      <w:r w:rsidR="00EC5305">
        <w:rPr>
          <w:rFonts w:ascii="Verdana" w:hAnsi="Verdana"/>
          <w:sz w:val="20"/>
          <w:szCs w:val="20"/>
        </w:rPr>
        <w:t>trigésimo segundo de</w:t>
      </w:r>
      <w:r>
        <w:rPr>
          <w:rFonts w:ascii="Verdana" w:hAnsi="Verdana"/>
          <w:sz w:val="20"/>
          <w:szCs w:val="20"/>
        </w:rPr>
        <w:t xml:space="preserve"> la Sentencia</w:t>
      </w:r>
      <w:r w:rsidR="00C86869">
        <w:rPr>
          <w:rFonts w:ascii="Verdana" w:hAnsi="Verdana"/>
          <w:sz w:val="20"/>
          <w:szCs w:val="20"/>
        </w:rPr>
        <w:t xml:space="preserve">, quedando pendiente </w:t>
      </w:r>
      <w:r w:rsidR="00834A6F">
        <w:rPr>
          <w:rFonts w:ascii="Verdana" w:hAnsi="Verdana" w:cs="Verdana"/>
          <w:bCs/>
          <w:sz w:val="20"/>
          <w:szCs w:val="20"/>
        </w:rPr>
        <w:t>que Colombia remita a este Tribunal mayor información sobre la tasa utilizada para el pago de los intereses moratorios, a efectos de que en una futura Resolución este Tribunal pueda pronunciarse sobre si, eventualmente, corresponde al Estado pagar una suma adicional por este concepto</w:t>
      </w:r>
      <w:r w:rsidRPr="00834A6F">
        <w:rPr>
          <w:rFonts w:ascii="Verdana" w:hAnsi="Verdana"/>
          <w:sz w:val="20"/>
          <w:szCs w:val="20"/>
        </w:rPr>
        <w:t>.</w:t>
      </w:r>
    </w:p>
    <w:p w14:paraId="48D55916" w14:textId="77777777" w:rsidR="00C76FD3" w:rsidRPr="00CB4A68" w:rsidRDefault="00C76FD3" w:rsidP="0050329A">
      <w:pPr>
        <w:pStyle w:val="Prrafodelista"/>
        <w:tabs>
          <w:tab w:val="left" w:pos="0"/>
        </w:tabs>
        <w:autoSpaceDE w:val="0"/>
        <w:autoSpaceDN w:val="0"/>
        <w:adjustRightInd w:val="0"/>
        <w:spacing w:after="0" w:line="240" w:lineRule="auto"/>
        <w:ind w:left="0" w:right="99"/>
        <w:contextualSpacing w:val="0"/>
        <w:jc w:val="both"/>
        <w:rPr>
          <w:rFonts w:ascii="Verdana" w:hAnsi="Verdana" w:cs="Verdana"/>
          <w:sz w:val="20"/>
          <w:szCs w:val="20"/>
        </w:rPr>
      </w:pPr>
    </w:p>
    <w:p w14:paraId="595A58D4" w14:textId="77777777" w:rsidR="00881366" w:rsidRPr="00881366" w:rsidRDefault="00CB4A68" w:rsidP="00881366">
      <w:pPr>
        <w:pStyle w:val="Prrafodelista"/>
        <w:numPr>
          <w:ilvl w:val="0"/>
          <w:numId w:val="17"/>
        </w:numPr>
        <w:tabs>
          <w:tab w:val="left" w:pos="0"/>
        </w:tabs>
        <w:autoSpaceDE w:val="0"/>
        <w:autoSpaceDN w:val="0"/>
        <w:adjustRightInd w:val="0"/>
        <w:spacing w:before="120" w:after="120" w:line="240" w:lineRule="auto"/>
        <w:ind w:left="0" w:right="99" w:firstLine="0"/>
        <w:contextualSpacing w:val="0"/>
        <w:jc w:val="both"/>
        <w:rPr>
          <w:rFonts w:ascii="Verdana" w:hAnsi="Verdana" w:cs="Verdana"/>
          <w:sz w:val="20"/>
          <w:szCs w:val="20"/>
        </w:rPr>
      </w:pPr>
      <w:r w:rsidRPr="00CB4A68">
        <w:rPr>
          <w:rFonts w:ascii="Verdana" w:hAnsi="Verdana"/>
          <w:sz w:val="20"/>
          <w:szCs w:val="20"/>
        </w:rPr>
        <w:t>Mantener abierto el procedimiento de supervisión de cumplimiento de las siguientes medidas de reparación:</w:t>
      </w:r>
    </w:p>
    <w:p w14:paraId="4E99CF70" w14:textId="77777777" w:rsidR="00881366" w:rsidRDefault="00881366" w:rsidP="00881366">
      <w:pPr>
        <w:numPr>
          <w:ilvl w:val="0"/>
          <w:numId w:val="28"/>
        </w:numPr>
        <w:tabs>
          <w:tab w:val="left" w:pos="567"/>
        </w:tabs>
        <w:spacing w:before="120" w:after="120" w:line="240" w:lineRule="auto"/>
        <w:ind w:right="22"/>
        <w:jc w:val="both"/>
        <w:rPr>
          <w:rFonts w:ascii="Verdana" w:hAnsi="Verdana"/>
          <w:sz w:val="20"/>
          <w:szCs w:val="20"/>
        </w:rPr>
      </w:pPr>
      <w:r>
        <w:rPr>
          <w:rFonts w:ascii="Verdana" w:hAnsi="Verdana"/>
          <w:sz w:val="20"/>
          <w:szCs w:val="20"/>
        </w:rPr>
        <w:t>a</w:t>
      </w:r>
      <w:r w:rsidRPr="00EC5305">
        <w:rPr>
          <w:rFonts w:ascii="Verdana" w:hAnsi="Verdana"/>
          <w:sz w:val="20"/>
          <w:szCs w:val="20"/>
        </w:rPr>
        <w:t>doptar</w:t>
      </w:r>
      <w:r>
        <w:rPr>
          <w:rFonts w:ascii="Verdana" w:hAnsi="Verdana"/>
          <w:sz w:val="20"/>
          <w:szCs w:val="20"/>
        </w:rPr>
        <w:t xml:space="preserve"> </w:t>
      </w:r>
      <w:r w:rsidRPr="00EC5305">
        <w:rPr>
          <w:rFonts w:ascii="Verdana" w:hAnsi="Verdana"/>
          <w:sz w:val="20"/>
          <w:szCs w:val="20"/>
        </w:rPr>
        <w:t>las medidas necesarias para continuar la investigación a fin de individualizar, juzgar y, en su caso, sancionar a los responsables por el desplazamiento forzado de la señora Myriam Eugenia Rúa Figueroa y sus familia</w:t>
      </w:r>
      <w:r>
        <w:rPr>
          <w:rFonts w:ascii="Verdana" w:hAnsi="Verdana"/>
          <w:sz w:val="20"/>
          <w:szCs w:val="20"/>
        </w:rPr>
        <w:t xml:space="preserve">res </w:t>
      </w:r>
      <w:r w:rsidRPr="00CA38EE">
        <w:rPr>
          <w:rFonts w:ascii="Verdana" w:hAnsi="Verdana"/>
          <w:i/>
          <w:sz w:val="20"/>
          <w:szCs w:val="20"/>
        </w:rPr>
        <w:t xml:space="preserve">(punto </w:t>
      </w:r>
      <w:r>
        <w:rPr>
          <w:rFonts w:ascii="Verdana" w:hAnsi="Verdana"/>
          <w:i/>
          <w:sz w:val="20"/>
          <w:szCs w:val="20"/>
        </w:rPr>
        <w:t>resolutivo</w:t>
      </w:r>
      <w:r w:rsidRPr="00CA38EE">
        <w:rPr>
          <w:rFonts w:ascii="Verdana" w:hAnsi="Verdana"/>
          <w:i/>
          <w:sz w:val="20"/>
          <w:szCs w:val="20"/>
        </w:rPr>
        <w:t xml:space="preserve"> </w:t>
      </w:r>
      <w:r>
        <w:rPr>
          <w:rFonts w:ascii="Verdana" w:hAnsi="Verdana"/>
          <w:i/>
          <w:sz w:val="20"/>
          <w:szCs w:val="20"/>
        </w:rPr>
        <w:t>vigésimo séptimo</w:t>
      </w:r>
      <w:r w:rsidRPr="00CA38EE">
        <w:rPr>
          <w:rFonts w:ascii="Verdana" w:hAnsi="Verdana"/>
          <w:i/>
          <w:sz w:val="20"/>
          <w:szCs w:val="20"/>
        </w:rPr>
        <w:t xml:space="preserve"> de la Sentencia)</w:t>
      </w:r>
      <w:r>
        <w:rPr>
          <w:rFonts w:ascii="Verdana" w:hAnsi="Verdana"/>
          <w:sz w:val="20"/>
          <w:szCs w:val="20"/>
        </w:rPr>
        <w:t>;</w:t>
      </w:r>
    </w:p>
    <w:p w14:paraId="7DB7DC1E" w14:textId="77777777" w:rsidR="00881366" w:rsidRPr="00EC5305" w:rsidRDefault="00881366" w:rsidP="00881366">
      <w:pPr>
        <w:numPr>
          <w:ilvl w:val="0"/>
          <w:numId w:val="28"/>
        </w:numPr>
        <w:tabs>
          <w:tab w:val="left" w:pos="567"/>
        </w:tabs>
        <w:spacing w:after="0" w:line="240" w:lineRule="auto"/>
        <w:ind w:right="22"/>
        <w:jc w:val="both"/>
        <w:rPr>
          <w:rFonts w:ascii="Verdana" w:hAnsi="Verdana"/>
          <w:sz w:val="20"/>
          <w:szCs w:val="20"/>
        </w:rPr>
      </w:pPr>
      <w:r>
        <w:rPr>
          <w:rFonts w:ascii="Verdana" w:hAnsi="Verdana"/>
          <w:sz w:val="20"/>
          <w:szCs w:val="20"/>
        </w:rPr>
        <w:t>b</w:t>
      </w:r>
      <w:r w:rsidRPr="00EC5305">
        <w:rPr>
          <w:rFonts w:ascii="Verdana" w:hAnsi="Verdana"/>
          <w:sz w:val="20"/>
          <w:szCs w:val="20"/>
        </w:rPr>
        <w:t xml:space="preserve">rindar tratamiento de salud y psicológico a las víctimas que así lo soliciten </w:t>
      </w:r>
      <w:r w:rsidRPr="00CB4A68">
        <w:rPr>
          <w:rFonts w:ascii="Verdana" w:hAnsi="Verdana"/>
          <w:i/>
          <w:sz w:val="20"/>
          <w:szCs w:val="20"/>
        </w:rPr>
        <w:t xml:space="preserve">(punto </w:t>
      </w:r>
      <w:r>
        <w:rPr>
          <w:rFonts w:ascii="Verdana" w:hAnsi="Verdana"/>
          <w:i/>
          <w:sz w:val="20"/>
          <w:szCs w:val="20"/>
        </w:rPr>
        <w:t>resolutivo</w:t>
      </w:r>
      <w:r w:rsidRPr="00CB4A68">
        <w:rPr>
          <w:rFonts w:ascii="Verdana" w:hAnsi="Verdana"/>
          <w:i/>
          <w:sz w:val="20"/>
          <w:szCs w:val="20"/>
        </w:rPr>
        <w:t xml:space="preserve"> </w:t>
      </w:r>
      <w:r>
        <w:rPr>
          <w:rFonts w:ascii="Verdana" w:hAnsi="Verdana"/>
          <w:i/>
          <w:sz w:val="20"/>
          <w:szCs w:val="20"/>
        </w:rPr>
        <w:t>vigésimo octavo</w:t>
      </w:r>
      <w:r w:rsidRPr="00CB4A68">
        <w:rPr>
          <w:rFonts w:ascii="Verdana" w:hAnsi="Verdana"/>
          <w:i/>
          <w:sz w:val="20"/>
          <w:szCs w:val="20"/>
        </w:rPr>
        <w:t xml:space="preserve"> de la Sentencia</w:t>
      </w:r>
      <w:r>
        <w:rPr>
          <w:rFonts w:ascii="Verdana" w:hAnsi="Verdana"/>
          <w:i/>
          <w:sz w:val="20"/>
          <w:szCs w:val="20"/>
        </w:rPr>
        <w:t>);</w:t>
      </w:r>
    </w:p>
    <w:p w14:paraId="11846256" w14:textId="77777777" w:rsidR="00881366" w:rsidRDefault="00881366" w:rsidP="00881366">
      <w:pPr>
        <w:numPr>
          <w:ilvl w:val="0"/>
          <w:numId w:val="28"/>
        </w:numPr>
        <w:tabs>
          <w:tab w:val="left" w:pos="567"/>
        </w:tabs>
        <w:spacing w:after="0" w:line="240" w:lineRule="auto"/>
        <w:ind w:right="22"/>
        <w:jc w:val="both"/>
        <w:rPr>
          <w:rFonts w:ascii="Verdana" w:hAnsi="Verdana"/>
          <w:sz w:val="20"/>
          <w:szCs w:val="20"/>
        </w:rPr>
      </w:pPr>
      <w:r>
        <w:rPr>
          <w:rFonts w:ascii="Verdana" w:hAnsi="Verdana"/>
          <w:sz w:val="20"/>
          <w:szCs w:val="20"/>
        </w:rPr>
        <w:t xml:space="preserve"> </w:t>
      </w:r>
      <w:r>
        <w:rPr>
          <w:rFonts w:ascii="Verdana" w:hAnsi="Verdana"/>
          <w:sz w:val="20"/>
          <w:szCs w:val="20"/>
        </w:rPr>
        <w:tab/>
        <w:t>r</w:t>
      </w:r>
      <w:r w:rsidRPr="00EC5305">
        <w:rPr>
          <w:rFonts w:ascii="Verdana" w:hAnsi="Verdana"/>
          <w:sz w:val="20"/>
          <w:szCs w:val="20"/>
        </w:rPr>
        <w:t>ealizar un acto público de reconocimiento de responsabilidad intern</w:t>
      </w:r>
      <w:r>
        <w:rPr>
          <w:rFonts w:ascii="Verdana" w:hAnsi="Verdana"/>
          <w:sz w:val="20"/>
          <w:szCs w:val="20"/>
        </w:rPr>
        <w:t>acional por los hechos del caso (</w:t>
      </w:r>
      <w:r>
        <w:rPr>
          <w:rFonts w:ascii="Verdana" w:hAnsi="Verdana"/>
          <w:i/>
          <w:sz w:val="20"/>
          <w:szCs w:val="20"/>
        </w:rPr>
        <w:t>punto resolutivo trigésimo de la Sentencia</w:t>
      </w:r>
      <w:r>
        <w:rPr>
          <w:rFonts w:ascii="Verdana" w:hAnsi="Verdana"/>
          <w:sz w:val="20"/>
          <w:szCs w:val="20"/>
        </w:rPr>
        <w:t>);</w:t>
      </w:r>
    </w:p>
    <w:p w14:paraId="1EBD4567" w14:textId="77777777" w:rsidR="00881366" w:rsidRDefault="00881366" w:rsidP="00881366">
      <w:pPr>
        <w:numPr>
          <w:ilvl w:val="0"/>
          <w:numId w:val="28"/>
        </w:numPr>
        <w:tabs>
          <w:tab w:val="left" w:pos="567"/>
        </w:tabs>
        <w:spacing w:after="0" w:line="240" w:lineRule="auto"/>
        <w:ind w:right="22"/>
        <w:jc w:val="both"/>
        <w:rPr>
          <w:rFonts w:ascii="Verdana" w:hAnsi="Verdana"/>
          <w:sz w:val="20"/>
          <w:szCs w:val="20"/>
        </w:rPr>
      </w:pPr>
      <w:r>
        <w:rPr>
          <w:rFonts w:ascii="Verdana" w:hAnsi="Verdana"/>
          <w:sz w:val="20"/>
          <w:szCs w:val="20"/>
        </w:rPr>
        <w:t>i</w:t>
      </w:r>
      <w:r w:rsidRPr="00EC5305">
        <w:rPr>
          <w:rFonts w:ascii="Verdana" w:hAnsi="Verdana"/>
          <w:sz w:val="20"/>
          <w:szCs w:val="20"/>
        </w:rPr>
        <w:t>mplementar un programa, curso o taller a través de las entidades estatales correspondientes dentro de la Comuna 13</w:t>
      </w:r>
      <w:r>
        <w:rPr>
          <w:rFonts w:ascii="Verdana" w:hAnsi="Verdana"/>
          <w:sz w:val="20"/>
          <w:szCs w:val="20"/>
        </w:rPr>
        <w:t xml:space="preserve"> (</w:t>
      </w:r>
      <w:r>
        <w:rPr>
          <w:rFonts w:ascii="Verdana" w:hAnsi="Verdana"/>
          <w:i/>
          <w:sz w:val="20"/>
          <w:szCs w:val="20"/>
        </w:rPr>
        <w:t>punto resolutivo trigésimo primero de la Sentencia</w:t>
      </w:r>
      <w:r>
        <w:rPr>
          <w:rFonts w:ascii="Verdana" w:hAnsi="Verdana"/>
          <w:sz w:val="20"/>
          <w:szCs w:val="20"/>
        </w:rPr>
        <w:t xml:space="preserve">); </w:t>
      </w:r>
    </w:p>
    <w:p w14:paraId="5E1C30D2" w14:textId="77777777" w:rsidR="00881366" w:rsidRDefault="00881366" w:rsidP="00881366">
      <w:pPr>
        <w:numPr>
          <w:ilvl w:val="0"/>
          <w:numId w:val="28"/>
        </w:numPr>
        <w:tabs>
          <w:tab w:val="left" w:pos="567"/>
        </w:tabs>
        <w:spacing w:after="0" w:line="240" w:lineRule="auto"/>
        <w:ind w:right="22"/>
        <w:jc w:val="both"/>
        <w:rPr>
          <w:rFonts w:ascii="Verdana" w:hAnsi="Verdana"/>
          <w:sz w:val="20"/>
          <w:szCs w:val="20"/>
        </w:rPr>
      </w:pPr>
      <w:r>
        <w:rPr>
          <w:rFonts w:ascii="Verdana" w:hAnsi="Verdana"/>
          <w:sz w:val="20"/>
          <w:szCs w:val="20"/>
        </w:rPr>
        <w:t>p</w:t>
      </w:r>
      <w:r w:rsidRPr="00EC5305">
        <w:rPr>
          <w:rFonts w:ascii="Verdana" w:hAnsi="Verdana"/>
          <w:sz w:val="20"/>
          <w:szCs w:val="20"/>
        </w:rPr>
        <w:t>agar</w:t>
      </w:r>
      <w:r>
        <w:rPr>
          <w:rFonts w:ascii="Verdana" w:hAnsi="Verdana"/>
          <w:sz w:val="20"/>
          <w:szCs w:val="20"/>
        </w:rPr>
        <w:t xml:space="preserve"> las</w:t>
      </w:r>
      <w:r w:rsidRPr="00EC5305">
        <w:rPr>
          <w:rFonts w:ascii="Verdana" w:hAnsi="Verdana"/>
          <w:sz w:val="20"/>
          <w:szCs w:val="20"/>
        </w:rPr>
        <w:t xml:space="preserve"> cantidades fijadas </w:t>
      </w:r>
      <w:r>
        <w:rPr>
          <w:rFonts w:ascii="Verdana" w:hAnsi="Verdana"/>
          <w:sz w:val="20"/>
          <w:szCs w:val="20"/>
        </w:rPr>
        <w:t xml:space="preserve">en la Sentencia </w:t>
      </w:r>
      <w:r w:rsidRPr="00EC5305">
        <w:rPr>
          <w:rFonts w:ascii="Verdana" w:hAnsi="Verdana"/>
          <w:sz w:val="20"/>
          <w:szCs w:val="20"/>
        </w:rPr>
        <w:t>por concepto de</w:t>
      </w:r>
      <w:r>
        <w:rPr>
          <w:rFonts w:ascii="Verdana" w:hAnsi="Verdana"/>
          <w:sz w:val="20"/>
          <w:szCs w:val="20"/>
        </w:rPr>
        <w:t xml:space="preserve"> indemnizaciones por daños materiales e</w:t>
      </w:r>
      <w:r w:rsidRPr="00EC5305">
        <w:rPr>
          <w:rFonts w:ascii="Verdana" w:hAnsi="Verdana"/>
          <w:sz w:val="20"/>
          <w:szCs w:val="20"/>
        </w:rPr>
        <w:t xml:space="preserve"> inmaterial</w:t>
      </w:r>
      <w:r>
        <w:rPr>
          <w:rFonts w:ascii="Verdana" w:hAnsi="Verdana"/>
          <w:sz w:val="20"/>
          <w:szCs w:val="20"/>
        </w:rPr>
        <w:t>es</w:t>
      </w:r>
      <w:r w:rsidRPr="00EC5305">
        <w:rPr>
          <w:rFonts w:ascii="Verdana" w:hAnsi="Verdana"/>
          <w:sz w:val="20"/>
          <w:szCs w:val="20"/>
        </w:rPr>
        <w:t xml:space="preserve"> y reintegro de costas y gastos</w:t>
      </w:r>
      <w:r>
        <w:rPr>
          <w:rFonts w:ascii="Verdana" w:hAnsi="Verdana"/>
          <w:sz w:val="20"/>
          <w:szCs w:val="20"/>
        </w:rPr>
        <w:t>, en específico respecto del eventual pago de una suma adicional por concepto de intereses moratorios (</w:t>
      </w:r>
      <w:r>
        <w:rPr>
          <w:rFonts w:ascii="Verdana" w:hAnsi="Verdana"/>
          <w:i/>
          <w:sz w:val="20"/>
          <w:szCs w:val="20"/>
        </w:rPr>
        <w:t>punto resolutivo trigésimo segundo de la Sentencia</w:t>
      </w:r>
      <w:r>
        <w:rPr>
          <w:rFonts w:ascii="Verdana" w:hAnsi="Verdana"/>
          <w:sz w:val="20"/>
          <w:szCs w:val="20"/>
        </w:rPr>
        <w:t>), y</w:t>
      </w:r>
    </w:p>
    <w:p w14:paraId="7A89CF2A" w14:textId="77777777" w:rsidR="00881366" w:rsidRDefault="00881366" w:rsidP="00881366">
      <w:pPr>
        <w:numPr>
          <w:ilvl w:val="0"/>
          <w:numId w:val="28"/>
        </w:numPr>
        <w:tabs>
          <w:tab w:val="left" w:pos="851"/>
        </w:tabs>
        <w:spacing w:after="0" w:line="240" w:lineRule="auto"/>
        <w:ind w:right="22"/>
        <w:jc w:val="both"/>
        <w:rPr>
          <w:rFonts w:ascii="Verdana" w:hAnsi="Verdana"/>
          <w:sz w:val="20"/>
          <w:szCs w:val="20"/>
        </w:rPr>
      </w:pPr>
      <w:r>
        <w:rPr>
          <w:rFonts w:ascii="Verdana" w:hAnsi="Verdana"/>
          <w:sz w:val="20"/>
          <w:szCs w:val="20"/>
        </w:rPr>
        <w:t>reintegrar al Fondo de Asistencia Legal de Víctimas de la Corte Interamericana la cantidad fijada en el párrafo 373 de la Sentencia y pagar los intereses moratorios que correspondan (</w:t>
      </w:r>
      <w:r w:rsidRPr="00E213C1">
        <w:rPr>
          <w:rFonts w:ascii="Verdana" w:hAnsi="Verdana"/>
          <w:i/>
          <w:sz w:val="20"/>
          <w:szCs w:val="20"/>
        </w:rPr>
        <w:t>punto resolutivo trigésimo segundo de la Sentencia</w:t>
      </w:r>
      <w:r>
        <w:rPr>
          <w:rFonts w:ascii="Verdana" w:hAnsi="Verdana"/>
          <w:sz w:val="20"/>
          <w:szCs w:val="20"/>
        </w:rPr>
        <w:t xml:space="preserve">). </w:t>
      </w:r>
    </w:p>
    <w:p w14:paraId="47B87D4B" w14:textId="77777777" w:rsidR="00881366" w:rsidRDefault="00881366" w:rsidP="00881366">
      <w:pPr>
        <w:pStyle w:val="Prrafodelista"/>
        <w:rPr>
          <w:rFonts w:ascii="Verdana" w:hAnsi="Verdana"/>
          <w:sz w:val="20"/>
          <w:szCs w:val="20"/>
        </w:rPr>
      </w:pPr>
    </w:p>
    <w:p w14:paraId="0BAB8855" w14:textId="77777777" w:rsidR="00881366" w:rsidRPr="00881366" w:rsidRDefault="00881366" w:rsidP="00881366">
      <w:pPr>
        <w:pStyle w:val="Prrafodelista"/>
        <w:rPr>
          <w:rFonts w:ascii="Verdana" w:hAnsi="Verdana"/>
          <w:sz w:val="20"/>
          <w:szCs w:val="20"/>
        </w:rPr>
      </w:pPr>
    </w:p>
    <w:p w14:paraId="0960B060" w14:textId="77777777" w:rsidR="00881366" w:rsidRDefault="00CB4A68" w:rsidP="00881366">
      <w:pPr>
        <w:pStyle w:val="Prrafodelista"/>
        <w:numPr>
          <w:ilvl w:val="0"/>
          <w:numId w:val="17"/>
        </w:numPr>
        <w:tabs>
          <w:tab w:val="left" w:pos="0"/>
        </w:tabs>
        <w:autoSpaceDE w:val="0"/>
        <w:autoSpaceDN w:val="0"/>
        <w:adjustRightInd w:val="0"/>
        <w:spacing w:after="0" w:line="240" w:lineRule="auto"/>
        <w:ind w:left="0" w:right="99" w:firstLine="0"/>
        <w:contextualSpacing w:val="0"/>
        <w:jc w:val="both"/>
        <w:rPr>
          <w:rFonts w:ascii="Verdana" w:hAnsi="Verdana" w:cs="Verdana"/>
          <w:sz w:val="20"/>
          <w:szCs w:val="20"/>
        </w:rPr>
      </w:pPr>
      <w:r w:rsidRPr="00881366">
        <w:rPr>
          <w:rFonts w:ascii="Verdana" w:hAnsi="Verdana"/>
          <w:sz w:val="20"/>
          <w:szCs w:val="20"/>
        </w:rPr>
        <w:lastRenderedPageBreak/>
        <w:t xml:space="preserve">Disponer que el Estado adopte, en definitiva y a la mayor brevedad, las medidas que sean necesarias para dar efectivo y pronto cumplimiento a los puntos pendientes de la Sentencia de </w:t>
      </w:r>
      <w:r w:rsidR="00C86869" w:rsidRPr="00881366">
        <w:rPr>
          <w:rFonts w:ascii="Verdana" w:hAnsi="Verdana"/>
          <w:sz w:val="20"/>
          <w:szCs w:val="20"/>
        </w:rPr>
        <w:t xml:space="preserve">excepción preliminar, </w:t>
      </w:r>
      <w:r w:rsidRPr="00881366">
        <w:rPr>
          <w:rFonts w:ascii="Verdana" w:hAnsi="Verdana"/>
          <w:sz w:val="20"/>
          <w:szCs w:val="20"/>
        </w:rPr>
        <w:t>fondo, reparaciones y costas emitida en el presente caso, de acuerdo con lo considerado en la presente Resolución, y con lo estipulado en el artículo 68.1 de la Convención Americana sobre Derechos Humanos.</w:t>
      </w:r>
    </w:p>
    <w:p w14:paraId="0A42EE86" w14:textId="77777777" w:rsidR="00881366" w:rsidRPr="00881366" w:rsidRDefault="00881366" w:rsidP="00881366">
      <w:pPr>
        <w:pStyle w:val="Prrafodelista"/>
        <w:rPr>
          <w:rFonts w:ascii="Verdana" w:hAnsi="Verdana" w:cs="Verdana"/>
          <w:sz w:val="20"/>
          <w:szCs w:val="20"/>
        </w:rPr>
      </w:pPr>
    </w:p>
    <w:p w14:paraId="038912B0" w14:textId="77777777" w:rsidR="00881366" w:rsidRDefault="00797329" w:rsidP="00881366">
      <w:pPr>
        <w:pStyle w:val="Prrafodelista"/>
        <w:numPr>
          <w:ilvl w:val="0"/>
          <w:numId w:val="17"/>
        </w:numPr>
        <w:tabs>
          <w:tab w:val="left" w:pos="0"/>
        </w:tabs>
        <w:autoSpaceDE w:val="0"/>
        <w:autoSpaceDN w:val="0"/>
        <w:adjustRightInd w:val="0"/>
        <w:spacing w:after="0" w:line="240" w:lineRule="auto"/>
        <w:ind w:left="0" w:right="99" w:firstLine="0"/>
        <w:contextualSpacing w:val="0"/>
        <w:jc w:val="both"/>
        <w:rPr>
          <w:rFonts w:ascii="Verdana" w:hAnsi="Verdana" w:cs="Verdana"/>
          <w:sz w:val="20"/>
          <w:szCs w:val="20"/>
        </w:rPr>
      </w:pPr>
      <w:r w:rsidRPr="00881366">
        <w:rPr>
          <w:rFonts w:ascii="Verdana" w:hAnsi="Verdana" w:cs="Verdana"/>
          <w:sz w:val="20"/>
          <w:szCs w:val="20"/>
        </w:rPr>
        <w:t xml:space="preserve">Disponer, de conformidad con lo señalado en los Considerandos </w:t>
      </w:r>
      <w:r w:rsidR="0050329A" w:rsidRPr="00881366">
        <w:rPr>
          <w:rFonts w:ascii="Verdana" w:hAnsi="Verdana" w:cs="Verdana"/>
          <w:sz w:val="20"/>
          <w:szCs w:val="20"/>
        </w:rPr>
        <w:t>42 y 48</w:t>
      </w:r>
      <w:r w:rsidRPr="00881366">
        <w:rPr>
          <w:rFonts w:ascii="Verdana" w:hAnsi="Verdana" w:cs="Verdana"/>
          <w:sz w:val="20"/>
          <w:szCs w:val="20"/>
        </w:rPr>
        <w:t xml:space="preserve"> de la presente Resolución, que el Estado y las representantes de las víctimas sostengan, a más tardar el 16 de marzo de 2020, una reunión con el fin de elaborar conjuntamente propuestas que permitan </w:t>
      </w:r>
      <w:r w:rsidR="00B561AF" w:rsidRPr="00881366">
        <w:rPr>
          <w:rFonts w:ascii="Verdana" w:hAnsi="Verdana" w:cs="Verdana"/>
          <w:sz w:val="20"/>
          <w:szCs w:val="20"/>
        </w:rPr>
        <w:t xml:space="preserve">avanzar en la ejecución de las medidas de reparación ordenadas en los puntos resolutivos trigésimo y trigésimo primero de la Sentencia, relativas, respectivamente, a la realización del acto público de reconocimiento de responsabilidad </w:t>
      </w:r>
      <w:r w:rsidR="0050329A" w:rsidRPr="00881366">
        <w:rPr>
          <w:rFonts w:ascii="Verdana" w:hAnsi="Verdana" w:cs="Verdana"/>
          <w:sz w:val="20"/>
          <w:szCs w:val="20"/>
        </w:rPr>
        <w:t xml:space="preserve">internacional </w:t>
      </w:r>
      <w:r w:rsidR="00B561AF" w:rsidRPr="00881366">
        <w:rPr>
          <w:rFonts w:ascii="Verdana" w:hAnsi="Verdana" w:cs="Verdana"/>
          <w:sz w:val="20"/>
          <w:szCs w:val="20"/>
        </w:rPr>
        <w:t xml:space="preserve">y a la implementación de un </w:t>
      </w:r>
      <w:r w:rsidR="00B561AF" w:rsidRPr="00881366">
        <w:rPr>
          <w:rFonts w:ascii="Verdana" w:hAnsi="Verdana"/>
          <w:sz w:val="20"/>
          <w:szCs w:val="20"/>
        </w:rPr>
        <w:t>programa, curso o taller en la Comuna 13.</w:t>
      </w:r>
      <w:bookmarkStart w:id="54" w:name="_Ref26785784"/>
    </w:p>
    <w:p w14:paraId="2B2F4703" w14:textId="77777777" w:rsidR="00881366" w:rsidRPr="00881366" w:rsidRDefault="00881366" w:rsidP="00881366">
      <w:pPr>
        <w:pStyle w:val="Prrafodelista"/>
        <w:rPr>
          <w:rFonts w:ascii="Verdana" w:hAnsi="Verdana"/>
          <w:sz w:val="20"/>
          <w:szCs w:val="20"/>
        </w:rPr>
      </w:pPr>
    </w:p>
    <w:p w14:paraId="1F7C6D7A" w14:textId="77777777" w:rsidR="00881366" w:rsidRDefault="00881366" w:rsidP="00881366">
      <w:pPr>
        <w:pStyle w:val="Prrafodelista"/>
        <w:numPr>
          <w:ilvl w:val="0"/>
          <w:numId w:val="17"/>
        </w:numPr>
        <w:tabs>
          <w:tab w:val="left" w:pos="0"/>
        </w:tabs>
        <w:autoSpaceDE w:val="0"/>
        <w:autoSpaceDN w:val="0"/>
        <w:adjustRightInd w:val="0"/>
        <w:spacing w:after="0" w:line="240" w:lineRule="auto"/>
        <w:ind w:left="0" w:right="99" w:firstLine="0"/>
        <w:contextualSpacing w:val="0"/>
        <w:jc w:val="both"/>
        <w:rPr>
          <w:rFonts w:ascii="Verdana" w:hAnsi="Verdana" w:cs="Verdana"/>
          <w:sz w:val="20"/>
          <w:szCs w:val="20"/>
        </w:rPr>
      </w:pPr>
      <w:r>
        <w:rPr>
          <w:rFonts w:ascii="Verdana" w:hAnsi="Verdana"/>
          <w:sz w:val="20"/>
          <w:szCs w:val="20"/>
        </w:rPr>
        <w:t xml:space="preserve"> </w:t>
      </w:r>
      <w:r w:rsidR="00CB4A68" w:rsidRPr="00881366">
        <w:rPr>
          <w:rFonts w:ascii="Verdana" w:hAnsi="Verdana"/>
          <w:sz w:val="20"/>
          <w:szCs w:val="20"/>
        </w:rPr>
        <w:t xml:space="preserve">Disponer que el Estado presente a la Corte Interamericana de Derechos Humanos, a más tardar el </w:t>
      </w:r>
      <w:r w:rsidR="00B561AF" w:rsidRPr="00881366">
        <w:rPr>
          <w:rFonts w:ascii="Verdana" w:hAnsi="Verdana"/>
          <w:sz w:val="20"/>
          <w:szCs w:val="20"/>
        </w:rPr>
        <w:t>16</w:t>
      </w:r>
      <w:r w:rsidR="00CB4A68" w:rsidRPr="00881366">
        <w:rPr>
          <w:rFonts w:ascii="Verdana" w:hAnsi="Verdana"/>
          <w:sz w:val="20"/>
          <w:szCs w:val="20"/>
        </w:rPr>
        <w:t xml:space="preserve"> de </w:t>
      </w:r>
      <w:r w:rsidR="00797329" w:rsidRPr="00881366">
        <w:rPr>
          <w:rFonts w:ascii="Verdana" w:hAnsi="Verdana"/>
          <w:sz w:val="20"/>
          <w:szCs w:val="20"/>
        </w:rPr>
        <w:t>abril</w:t>
      </w:r>
      <w:r w:rsidR="00C86869" w:rsidRPr="00881366">
        <w:rPr>
          <w:rFonts w:ascii="Verdana" w:hAnsi="Verdana"/>
          <w:sz w:val="20"/>
          <w:szCs w:val="20"/>
        </w:rPr>
        <w:t xml:space="preserve"> </w:t>
      </w:r>
      <w:r w:rsidR="00CB4A68" w:rsidRPr="00881366">
        <w:rPr>
          <w:rFonts w:ascii="Verdana" w:hAnsi="Verdana"/>
          <w:sz w:val="20"/>
          <w:szCs w:val="20"/>
        </w:rPr>
        <w:t xml:space="preserve">de </w:t>
      </w:r>
      <w:r w:rsidR="00C86869" w:rsidRPr="00881366">
        <w:rPr>
          <w:rFonts w:ascii="Verdana" w:hAnsi="Verdana"/>
          <w:sz w:val="20"/>
          <w:szCs w:val="20"/>
        </w:rPr>
        <w:t xml:space="preserve">2020, </w:t>
      </w:r>
      <w:r w:rsidR="00CB4A68" w:rsidRPr="00881366">
        <w:rPr>
          <w:rFonts w:ascii="Verdana" w:hAnsi="Verdana"/>
          <w:sz w:val="20"/>
          <w:szCs w:val="20"/>
        </w:rPr>
        <w:t>un informe en el cual indique todas las medidas adoptadas para cumplir con las reparaciones ordenadas por esta Corte que se encuentran pendientes de cumplimiento, de conformidad con los Considerandos</w:t>
      </w:r>
      <w:r w:rsidR="0050329A" w:rsidRPr="00881366">
        <w:rPr>
          <w:rFonts w:ascii="Verdana" w:hAnsi="Verdana"/>
          <w:sz w:val="20"/>
          <w:szCs w:val="20"/>
        </w:rPr>
        <w:t xml:space="preserve"> 13, 16 a 18, 29, 30, 42, 43, 48, 49, 57 y 58</w:t>
      </w:r>
      <w:r w:rsidR="00C86869" w:rsidRPr="00881366">
        <w:rPr>
          <w:rFonts w:ascii="Verdana" w:hAnsi="Verdana"/>
          <w:sz w:val="20"/>
          <w:szCs w:val="20"/>
        </w:rPr>
        <w:t>,</w:t>
      </w:r>
      <w:r w:rsidR="00CB4A68" w:rsidRPr="00881366">
        <w:rPr>
          <w:rFonts w:ascii="Verdana" w:hAnsi="Verdana"/>
          <w:sz w:val="20"/>
          <w:szCs w:val="20"/>
        </w:rPr>
        <w:t xml:space="preserve"> así como con los puntos resolutivos </w:t>
      </w:r>
      <w:r w:rsidR="00B561AF" w:rsidRPr="00881366">
        <w:rPr>
          <w:rFonts w:ascii="Verdana" w:hAnsi="Verdana"/>
          <w:sz w:val="20"/>
          <w:szCs w:val="20"/>
        </w:rPr>
        <w:t>2 a 4</w:t>
      </w:r>
      <w:r w:rsidR="00CB4A68" w:rsidRPr="00881366">
        <w:rPr>
          <w:rFonts w:ascii="Verdana" w:hAnsi="Verdana"/>
          <w:sz w:val="20"/>
          <w:szCs w:val="20"/>
        </w:rPr>
        <w:t xml:space="preserve"> de esta Resolución.</w:t>
      </w:r>
      <w:bookmarkEnd w:id="54"/>
      <w:r w:rsidR="00CB4A68" w:rsidRPr="00881366">
        <w:rPr>
          <w:rFonts w:ascii="Verdana" w:hAnsi="Verdana"/>
          <w:sz w:val="20"/>
          <w:szCs w:val="20"/>
        </w:rPr>
        <w:t xml:space="preserve"> </w:t>
      </w:r>
    </w:p>
    <w:p w14:paraId="7ADB599C" w14:textId="77777777" w:rsidR="00881366" w:rsidRPr="00881366" w:rsidRDefault="00881366" w:rsidP="00881366">
      <w:pPr>
        <w:pStyle w:val="Prrafodelista"/>
        <w:rPr>
          <w:rFonts w:ascii="Verdana" w:hAnsi="Verdana"/>
          <w:sz w:val="20"/>
          <w:szCs w:val="20"/>
        </w:rPr>
      </w:pPr>
    </w:p>
    <w:p w14:paraId="470585F0" w14:textId="77777777" w:rsidR="00881366" w:rsidRDefault="00CB4A68" w:rsidP="00881366">
      <w:pPr>
        <w:pStyle w:val="Prrafodelista"/>
        <w:numPr>
          <w:ilvl w:val="0"/>
          <w:numId w:val="17"/>
        </w:numPr>
        <w:tabs>
          <w:tab w:val="left" w:pos="0"/>
        </w:tabs>
        <w:autoSpaceDE w:val="0"/>
        <w:autoSpaceDN w:val="0"/>
        <w:adjustRightInd w:val="0"/>
        <w:spacing w:after="0" w:line="240" w:lineRule="auto"/>
        <w:ind w:left="0" w:right="99" w:firstLine="0"/>
        <w:contextualSpacing w:val="0"/>
        <w:jc w:val="both"/>
        <w:rPr>
          <w:rFonts w:ascii="Verdana" w:hAnsi="Verdana" w:cs="Verdana"/>
          <w:sz w:val="20"/>
          <w:szCs w:val="20"/>
        </w:rPr>
      </w:pPr>
      <w:r w:rsidRPr="00881366">
        <w:rPr>
          <w:rFonts w:ascii="Verdana" w:hAnsi="Verdana"/>
          <w:sz w:val="20"/>
          <w:szCs w:val="20"/>
        </w:rPr>
        <w:t>Disponer que l</w:t>
      </w:r>
      <w:r w:rsidR="003D5FB1" w:rsidRPr="00881366">
        <w:rPr>
          <w:rFonts w:ascii="Verdana" w:hAnsi="Verdana"/>
          <w:sz w:val="20"/>
          <w:szCs w:val="20"/>
        </w:rPr>
        <w:t xml:space="preserve">as representantes de </w:t>
      </w:r>
      <w:r w:rsidR="00811766" w:rsidRPr="00881366">
        <w:rPr>
          <w:rFonts w:ascii="Verdana" w:hAnsi="Verdana"/>
          <w:sz w:val="20"/>
          <w:szCs w:val="20"/>
        </w:rPr>
        <w:t>las víctimas</w:t>
      </w:r>
      <w:r w:rsidR="003D5FB1" w:rsidRPr="00881366">
        <w:rPr>
          <w:rFonts w:ascii="Verdana" w:hAnsi="Verdana"/>
          <w:sz w:val="20"/>
          <w:szCs w:val="20"/>
        </w:rPr>
        <w:t xml:space="preserve"> </w:t>
      </w:r>
      <w:r w:rsidRPr="00881366">
        <w:rPr>
          <w:rFonts w:ascii="Verdana" w:hAnsi="Verdana"/>
          <w:sz w:val="20"/>
          <w:szCs w:val="20"/>
        </w:rPr>
        <w:t>y la Comisión Interamericana de Derechos Humanos presenten observaciones al informe del Estado mencionado en el punto resolutivo anterior, en los plazos de cuatro y seis semanas, respectivamente, contados a partir de la recepción del informe.</w:t>
      </w:r>
    </w:p>
    <w:p w14:paraId="4EEB5A78" w14:textId="77777777" w:rsidR="00881366" w:rsidRPr="00881366" w:rsidRDefault="00881366" w:rsidP="00881366">
      <w:pPr>
        <w:pStyle w:val="Prrafodelista"/>
        <w:rPr>
          <w:rFonts w:ascii="Verdana" w:hAnsi="Verdana"/>
          <w:sz w:val="20"/>
          <w:szCs w:val="20"/>
        </w:rPr>
      </w:pPr>
    </w:p>
    <w:p w14:paraId="1C74CB53" w14:textId="6465A49A" w:rsidR="00ED6B63" w:rsidRDefault="00CB4A68" w:rsidP="00881366">
      <w:pPr>
        <w:pStyle w:val="Prrafodelista"/>
        <w:numPr>
          <w:ilvl w:val="0"/>
          <w:numId w:val="17"/>
        </w:numPr>
        <w:tabs>
          <w:tab w:val="left" w:pos="0"/>
        </w:tabs>
        <w:autoSpaceDE w:val="0"/>
        <w:autoSpaceDN w:val="0"/>
        <w:adjustRightInd w:val="0"/>
        <w:spacing w:after="0" w:line="240" w:lineRule="auto"/>
        <w:ind w:left="0" w:right="99" w:firstLine="0"/>
        <w:contextualSpacing w:val="0"/>
        <w:jc w:val="both"/>
        <w:rPr>
          <w:rFonts w:ascii="Verdana" w:hAnsi="Verdana"/>
          <w:sz w:val="20"/>
          <w:szCs w:val="20"/>
        </w:rPr>
      </w:pPr>
      <w:r w:rsidRPr="00881366">
        <w:rPr>
          <w:rFonts w:ascii="Verdana" w:hAnsi="Verdana"/>
          <w:sz w:val="20"/>
          <w:szCs w:val="20"/>
        </w:rPr>
        <w:t>Disponer que la Secretaría de la Corte notifique la presente Resolución al Estado</w:t>
      </w:r>
      <w:r w:rsidR="003D5FB1" w:rsidRPr="00881366">
        <w:rPr>
          <w:rFonts w:ascii="Verdana" w:hAnsi="Verdana"/>
          <w:sz w:val="20"/>
          <w:szCs w:val="20"/>
        </w:rPr>
        <w:t xml:space="preserve"> de Colombia</w:t>
      </w:r>
      <w:r w:rsidRPr="00881366">
        <w:rPr>
          <w:rFonts w:ascii="Verdana" w:hAnsi="Verdana"/>
          <w:sz w:val="20"/>
          <w:szCs w:val="20"/>
        </w:rPr>
        <w:t>, a las representantes de la</w:t>
      </w:r>
      <w:r w:rsidR="003D5FB1" w:rsidRPr="00881366">
        <w:rPr>
          <w:rFonts w:ascii="Verdana" w:hAnsi="Verdana"/>
          <w:sz w:val="20"/>
          <w:szCs w:val="20"/>
        </w:rPr>
        <w:t>s</w:t>
      </w:r>
      <w:r w:rsidRPr="00881366">
        <w:rPr>
          <w:rFonts w:ascii="Verdana" w:hAnsi="Verdana"/>
          <w:sz w:val="20"/>
          <w:szCs w:val="20"/>
        </w:rPr>
        <w:t xml:space="preserve"> víctima</w:t>
      </w:r>
      <w:r w:rsidR="003D5FB1" w:rsidRPr="00881366">
        <w:rPr>
          <w:rFonts w:ascii="Verdana" w:hAnsi="Verdana"/>
          <w:sz w:val="20"/>
          <w:szCs w:val="20"/>
        </w:rPr>
        <w:t>s</w:t>
      </w:r>
      <w:r w:rsidRPr="00881366">
        <w:rPr>
          <w:rFonts w:ascii="Verdana" w:hAnsi="Verdana"/>
          <w:sz w:val="20"/>
          <w:szCs w:val="20"/>
        </w:rPr>
        <w:t xml:space="preserve"> y a la Comisión Interamericana de Derechos Humanos.</w:t>
      </w:r>
    </w:p>
    <w:p w14:paraId="2A68987D" w14:textId="77777777" w:rsidR="00ED6B63" w:rsidRDefault="00ED6B63">
      <w:pPr>
        <w:spacing w:after="160" w:line="259" w:lineRule="auto"/>
        <w:rPr>
          <w:rFonts w:ascii="Verdana" w:hAnsi="Verdana"/>
          <w:sz w:val="20"/>
          <w:szCs w:val="20"/>
        </w:rPr>
      </w:pPr>
      <w:r>
        <w:rPr>
          <w:rFonts w:ascii="Verdana" w:hAnsi="Verdana"/>
          <w:sz w:val="20"/>
          <w:szCs w:val="20"/>
        </w:rPr>
        <w:br w:type="page"/>
      </w:r>
    </w:p>
    <w:p w14:paraId="7CAF802F" w14:textId="77777777" w:rsidR="00635B8E" w:rsidRPr="00847B73" w:rsidRDefault="00635B8E" w:rsidP="00635B8E">
      <w:pPr>
        <w:keepNext/>
        <w:spacing w:after="0" w:line="240" w:lineRule="auto"/>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rPr>
        <w:t xml:space="preserve">Caso </w:t>
      </w:r>
      <w:r>
        <w:rPr>
          <w:rFonts w:ascii="Verdana" w:hAnsi="Verdana"/>
          <w:bCs/>
          <w:i/>
          <w:sz w:val="20"/>
        </w:rPr>
        <w:t>Yarce y otras Vs. Colombia.</w:t>
      </w:r>
      <w:r w:rsidRPr="00847B73">
        <w:rPr>
          <w:rFonts w:ascii="Verdana" w:hAnsi="Verdana"/>
          <w:bCs/>
          <w:i/>
          <w:sz w:val="20"/>
        </w:rPr>
        <w:t xml:space="preserve"> </w:t>
      </w:r>
      <w:r>
        <w:rPr>
          <w:rFonts w:ascii="Verdana" w:hAnsi="Verdana" w:cs="Arial"/>
          <w:sz w:val="20"/>
        </w:rPr>
        <w:t>Supervisión de Cumplimiento de Sentencia.</w:t>
      </w:r>
      <w:r>
        <w:rPr>
          <w:rFonts w:ascii="Verdana" w:hAnsi="Verdana" w:cs="Arial"/>
          <w:i/>
          <w:sz w:val="20"/>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22</w:t>
      </w:r>
      <w:r w:rsidRPr="00847B73">
        <w:rPr>
          <w:rFonts w:ascii="Verdana" w:hAnsi="Verdana"/>
          <w:sz w:val="20"/>
        </w:rPr>
        <w:t xml:space="preserve"> de </w:t>
      </w:r>
      <w:r>
        <w:rPr>
          <w:rFonts w:ascii="Verdana" w:hAnsi="Verdana"/>
          <w:sz w:val="20"/>
        </w:rPr>
        <w:t xml:space="preserve">noviembre </w:t>
      </w:r>
      <w:r w:rsidRPr="00847B73">
        <w:rPr>
          <w:rFonts w:ascii="Verdana" w:hAnsi="Verdana"/>
          <w:sz w:val="20"/>
        </w:rPr>
        <w:t>de 2019</w:t>
      </w:r>
      <w:r w:rsidRPr="00847B73">
        <w:rPr>
          <w:rFonts w:ascii="Verdana" w:hAnsi="Verdana"/>
          <w:sz w:val="20"/>
          <w:lang w:val="es-ES"/>
        </w:rPr>
        <w:t xml:space="preserve">. </w:t>
      </w:r>
    </w:p>
    <w:p w14:paraId="73D58A60" w14:textId="77777777" w:rsidR="00635B8E" w:rsidRPr="00847B73" w:rsidRDefault="00635B8E" w:rsidP="00635B8E">
      <w:pPr>
        <w:spacing w:after="0" w:line="240" w:lineRule="auto"/>
        <w:jc w:val="center"/>
        <w:rPr>
          <w:rFonts w:ascii="Verdana" w:hAnsi="Verdana"/>
          <w:sz w:val="20"/>
          <w:lang w:val="es-ES"/>
        </w:rPr>
      </w:pPr>
    </w:p>
    <w:p w14:paraId="622A7617" w14:textId="77777777" w:rsidR="00635B8E" w:rsidRPr="00847B73" w:rsidRDefault="00635B8E" w:rsidP="00635B8E">
      <w:pPr>
        <w:spacing w:after="0" w:line="240" w:lineRule="auto"/>
        <w:jc w:val="center"/>
        <w:rPr>
          <w:rFonts w:ascii="Verdana" w:hAnsi="Verdana"/>
          <w:sz w:val="20"/>
          <w:lang w:val="es-ES"/>
        </w:rPr>
      </w:pPr>
    </w:p>
    <w:p w14:paraId="12013BE1" w14:textId="77777777" w:rsidR="00635B8E" w:rsidRPr="00826239" w:rsidRDefault="00635B8E" w:rsidP="00635B8E">
      <w:pPr>
        <w:tabs>
          <w:tab w:val="left" w:pos="567"/>
        </w:tabs>
        <w:spacing w:after="0" w:line="240" w:lineRule="auto"/>
        <w:ind w:right="4"/>
        <w:jc w:val="center"/>
        <w:rPr>
          <w:rFonts w:ascii="Verdana" w:hAnsi="Verdana"/>
          <w:b/>
          <w:smallCaps/>
          <w:sz w:val="20"/>
          <w:lang w:val="es-CO"/>
        </w:rPr>
      </w:pPr>
    </w:p>
    <w:p w14:paraId="5462F350" w14:textId="77777777" w:rsidR="00635B8E" w:rsidRPr="00D31312" w:rsidRDefault="00635B8E" w:rsidP="00635B8E">
      <w:pPr>
        <w:spacing w:after="0" w:line="240" w:lineRule="auto"/>
        <w:rPr>
          <w:rFonts w:ascii="Verdana" w:hAnsi="Verdana"/>
          <w:sz w:val="20"/>
          <w:lang w:val="es-CO"/>
        </w:rPr>
      </w:pPr>
    </w:p>
    <w:p w14:paraId="731D3653" w14:textId="77777777" w:rsidR="00635B8E" w:rsidRPr="00847B73" w:rsidRDefault="00635B8E" w:rsidP="00635B8E">
      <w:pPr>
        <w:spacing w:after="0" w:line="240" w:lineRule="auto"/>
        <w:rPr>
          <w:rFonts w:ascii="Verdana" w:hAnsi="Verdana"/>
          <w:sz w:val="20"/>
          <w:lang w:val="es-ES"/>
        </w:rPr>
      </w:pPr>
    </w:p>
    <w:p w14:paraId="42BA0E6E" w14:textId="77777777" w:rsidR="00635B8E" w:rsidRPr="00847B73" w:rsidRDefault="00635B8E" w:rsidP="00635B8E">
      <w:pPr>
        <w:spacing w:after="0" w:line="240" w:lineRule="auto"/>
        <w:rPr>
          <w:rFonts w:ascii="Verdana" w:hAnsi="Verdana"/>
          <w:sz w:val="20"/>
          <w:lang w:val="es-ES"/>
        </w:rPr>
      </w:pPr>
    </w:p>
    <w:p w14:paraId="76C86A99" w14:textId="77777777" w:rsidR="00635B8E" w:rsidRPr="00847B73" w:rsidRDefault="00635B8E" w:rsidP="00635B8E">
      <w:pPr>
        <w:spacing w:after="0" w:line="240" w:lineRule="auto"/>
        <w:rPr>
          <w:rFonts w:ascii="Verdana" w:hAnsi="Verdana"/>
          <w:sz w:val="20"/>
          <w:lang w:val="es-ES"/>
        </w:rPr>
      </w:pPr>
    </w:p>
    <w:p w14:paraId="01AE6B38" w14:textId="77777777" w:rsidR="00635B8E" w:rsidRDefault="00635B8E" w:rsidP="00635B8E">
      <w:pPr>
        <w:spacing w:after="0" w:line="240" w:lineRule="auto"/>
        <w:jc w:val="center"/>
        <w:rPr>
          <w:rFonts w:ascii="Verdana" w:hAnsi="Verdana"/>
          <w:sz w:val="20"/>
          <w:lang w:val="pt-BR"/>
        </w:rPr>
      </w:pPr>
      <w:r w:rsidRPr="00847B73">
        <w:rPr>
          <w:rFonts w:ascii="Verdana" w:hAnsi="Verdana"/>
          <w:sz w:val="20"/>
          <w:lang w:val="pt-BR"/>
        </w:rPr>
        <w:t xml:space="preserve">Eduardo Vio Grossi </w:t>
      </w:r>
    </w:p>
    <w:p w14:paraId="1B53EBBC" w14:textId="77777777" w:rsidR="00635B8E" w:rsidRPr="00847B73" w:rsidRDefault="00635B8E" w:rsidP="00635B8E">
      <w:pPr>
        <w:spacing w:after="0" w:line="240" w:lineRule="auto"/>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7D873B1A" w14:textId="77777777" w:rsidR="00635B8E" w:rsidRPr="00847B73" w:rsidRDefault="00635B8E" w:rsidP="00635B8E">
      <w:pPr>
        <w:spacing w:after="0" w:line="240" w:lineRule="auto"/>
        <w:jc w:val="both"/>
        <w:rPr>
          <w:rFonts w:ascii="Verdana" w:hAnsi="Verdana"/>
          <w:sz w:val="20"/>
          <w:lang w:val="pt-BR"/>
        </w:rPr>
      </w:pPr>
    </w:p>
    <w:p w14:paraId="47F340F1" w14:textId="77777777" w:rsidR="00635B8E" w:rsidRPr="00847B73" w:rsidRDefault="00635B8E" w:rsidP="00635B8E">
      <w:pPr>
        <w:spacing w:after="0" w:line="240" w:lineRule="auto"/>
        <w:jc w:val="both"/>
        <w:rPr>
          <w:rFonts w:ascii="Verdana" w:hAnsi="Verdana"/>
          <w:sz w:val="20"/>
          <w:lang w:val="pt-BR"/>
        </w:rPr>
      </w:pPr>
    </w:p>
    <w:p w14:paraId="5A0F37FD" w14:textId="77777777" w:rsidR="00635B8E" w:rsidRDefault="00635B8E" w:rsidP="00635B8E">
      <w:pPr>
        <w:spacing w:after="0" w:line="240" w:lineRule="auto"/>
        <w:jc w:val="both"/>
        <w:rPr>
          <w:rFonts w:ascii="Verdana" w:hAnsi="Verdana"/>
          <w:sz w:val="20"/>
          <w:lang w:val="pt-BR"/>
        </w:rPr>
      </w:pPr>
    </w:p>
    <w:p w14:paraId="14E3C7F8" w14:textId="77777777" w:rsidR="00635B8E" w:rsidRPr="00847B73" w:rsidRDefault="00635B8E" w:rsidP="00635B8E">
      <w:pPr>
        <w:spacing w:after="0" w:line="240" w:lineRule="auto"/>
        <w:jc w:val="both"/>
        <w:rPr>
          <w:rFonts w:ascii="Verdana" w:hAnsi="Verdana"/>
          <w:sz w:val="20"/>
          <w:lang w:val="pt-BR"/>
        </w:rPr>
      </w:pPr>
    </w:p>
    <w:p w14:paraId="017B2D85" w14:textId="77777777" w:rsidR="00635B8E" w:rsidRPr="00847B73" w:rsidRDefault="00635B8E" w:rsidP="00635B8E">
      <w:pPr>
        <w:spacing w:after="0" w:line="240" w:lineRule="auto"/>
        <w:jc w:val="both"/>
        <w:rPr>
          <w:rFonts w:ascii="Verdana" w:hAnsi="Verdana"/>
          <w:sz w:val="20"/>
          <w:lang w:val="pt-BR"/>
        </w:rPr>
      </w:pPr>
    </w:p>
    <w:p w14:paraId="6D8DF22C" w14:textId="77777777" w:rsidR="00635B8E" w:rsidRDefault="00635B8E" w:rsidP="00635B8E">
      <w:pPr>
        <w:spacing w:after="0" w:line="240" w:lineRule="auto"/>
        <w:rPr>
          <w:rFonts w:ascii="Verdana" w:hAnsi="Verdana"/>
          <w:sz w:val="20"/>
          <w:lang w:val="pt-BR"/>
        </w:rPr>
      </w:pPr>
      <w:r w:rsidRPr="00847B73">
        <w:rPr>
          <w:rFonts w:ascii="Verdana" w:hAnsi="Verdana"/>
          <w:sz w:val="20"/>
          <w:lang w:val="pt-BR"/>
        </w:rPr>
        <w:t>Elizabeth Odio Benito</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420B34">
        <w:rPr>
          <w:rFonts w:ascii="Verdana" w:hAnsi="Verdana"/>
          <w:sz w:val="20"/>
          <w:lang w:val="pt-BR"/>
        </w:rPr>
        <w:t xml:space="preserve"> </w:t>
      </w:r>
      <w:r w:rsidRPr="00847B73">
        <w:rPr>
          <w:rFonts w:ascii="Verdana" w:hAnsi="Verdana"/>
          <w:sz w:val="20"/>
          <w:lang w:val="pt-BR"/>
        </w:rPr>
        <w:t>Eugenio Raúl Zaffaroni</w:t>
      </w:r>
    </w:p>
    <w:p w14:paraId="79907E4A" w14:textId="77777777" w:rsidR="00635B8E" w:rsidRDefault="00635B8E" w:rsidP="00635B8E">
      <w:pPr>
        <w:spacing w:after="0" w:line="240" w:lineRule="auto"/>
        <w:rPr>
          <w:rFonts w:ascii="Verdana" w:hAnsi="Verdana"/>
          <w:sz w:val="20"/>
          <w:lang w:val="pt-BR"/>
        </w:rPr>
      </w:pPr>
    </w:p>
    <w:p w14:paraId="3749CF73" w14:textId="77777777" w:rsidR="00635B8E" w:rsidRDefault="00635B8E" w:rsidP="00635B8E">
      <w:pPr>
        <w:spacing w:after="0" w:line="240" w:lineRule="auto"/>
        <w:rPr>
          <w:rFonts w:ascii="Verdana" w:hAnsi="Verdana"/>
          <w:sz w:val="20"/>
          <w:lang w:val="pt-BR"/>
        </w:rPr>
      </w:pPr>
    </w:p>
    <w:p w14:paraId="25A83E47" w14:textId="77777777" w:rsidR="00635B8E" w:rsidRPr="00847B73" w:rsidRDefault="00635B8E" w:rsidP="00635B8E">
      <w:pPr>
        <w:spacing w:after="0" w:line="240" w:lineRule="auto"/>
        <w:rPr>
          <w:rFonts w:ascii="Verdana" w:hAnsi="Verdana"/>
          <w:sz w:val="20"/>
          <w:lang w:val="pt-BR"/>
        </w:rPr>
      </w:pPr>
    </w:p>
    <w:p w14:paraId="4269F8EB" w14:textId="77777777" w:rsidR="00635B8E" w:rsidRDefault="00635B8E" w:rsidP="00635B8E">
      <w:pPr>
        <w:spacing w:after="0" w:line="240" w:lineRule="auto"/>
        <w:jc w:val="both"/>
        <w:rPr>
          <w:rFonts w:ascii="Verdana" w:hAnsi="Verdana"/>
          <w:sz w:val="20"/>
          <w:lang w:val="pt-BR"/>
        </w:rPr>
      </w:pPr>
    </w:p>
    <w:p w14:paraId="767F2204" w14:textId="77777777" w:rsidR="00635B8E" w:rsidRPr="00847B73" w:rsidRDefault="00635B8E" w:rsidP="00635B8E">
      <w:pPr>
        <w:spacing w:after="0" w:line="240" w:lineRule="auto"/>
        <w:jc w:val="both"/>
        <w:rPr>
          <w:rFonts w:ascii="Verdana" w:hAnsi="Verdana"/>
          <w:sz w:val="20"/>
          <w:lang w:val="pt-BR"/>
        </w:rPr>
      </w:pPr>
    </w:p>
    <w:p w14:paraId="0648DAB5" w14:textId="77777777" w:rsidR="00635B8E" w:rsidRPr="00847B73" w:rsidRDefault="00635B8E" w:rsidP="00635B8E">
      <w:pPr>
        <w:spacing w:after="0" w:line="240" w:lineRule="auto"/>
        <w:rPr>
          <w:rFonts w:ascii="Verdana" w:hAnsi="Verdana"/>
          <w:sz w:val="20"/>
        </w:rPr>
      </w:pPr>
      <w:r w:rsidRPr="00847B73">
        <w:rPr>
          <w:rFonts w:ascii="Verdana" w:hAnsi="Verdana"/>
          <w:sz w:val="20"/>
          <w:lang w:val="pt-BR"/>
        </w:rPr>
        <w:t>L. Patricio Pazmiño Freire</w:t>
      </w:r>
      <w:r w:rsidRPr="00420B34">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sidRPr="00847B73">
        <w:rPr>
          <w:rFonts w:ascii="Verdana" w:hAnsi="Verdana"/>
          <w:sz w:val="20"/>
        </w:rPr>
        <w:t>Ricardo C. Pérez Manrique</w:t>
      </w:r>
    </w:p>
    <w:p w14:paraId="33FB10EB" w14:textId="77777777" w:rsidR="00635B8E" w:rsidRPr="00847B73" w:rsidRDefault="00635B8E" w:rsidP="00635B8E">
      <w:pPr>
        <w:spacing w:after="0" w:line="240" w:lineRule="auto"/>
        <w:rPr>
          <w:rFonts w:ascii="Verdana" w:hAnsi="Verdana"/>
          <w:sz w:val="20"/>
          <w:lang w:val="pt-BR"/>
        </w:rPr>
      </w:pPr>
    </w:p>
    <w:p w14:paraId="41C4E5EE" w14:textId="77777777" w:rsidR="00635B8E" w:rsidRPr="00847B73" w:rsidRDefault="00635B8E" w:rsidP="00635B8E">
      <w:pPr>
        <w:spacing w:after="0" w:line="240" w:lineRule="auto"/>
        <w:rPr>
          <w:rFonts w:ascii="Verdana" w:hAnsi="Verdana"/>
          <w:sz w:val="20"/>
          <w:lang w:val="pt-BR"/>
        </w:rPr>
      </w:pPr>
    </w:p>
    <w:p w14:paraId="39B5BE24" w14:textId="77777777" w:rsidR="00635B8E" w:rsidRDefault="00635B8E" w:rsidP="00635B8E">
      <w:pPr>
        <w:spacing w:after="0" w:line="240" w:lineRule="auto"/>
        <w:rPr>
          <w:rFonts w:ascii="Verdana" w:hAnsi="Verdana"/>
          <w:sz w:val="20"/>
          <w:lang w:val="pt-BR"/>
        </w:rPr>
      </w:pPr>
    </w:p>
    <w:p w14:paraId="0C4C4D63" w14:textId="77777777" w:rsidR="00635B8E" w:rsidRPr="00847B73" w:rsidRDefault="00635B8E" w:rsidP="00635B8E">
      <w:pPr>
        <w:spacing w:after="0" w:line="240" w:lineRule="auto"/>
        <w:rPr>
          <w:rFonts w:ascii="Verdana" w:hAnsi="Verdana"/>
          <w:sz w:val="20"/>
          <w:lang w:val="pt-BR"/>
        </w:rPr>
      </w:pPr>
    </w:p>
    <w:p w14:paraId="66418E6D" w14:textId="77777777" w:rsidR="00635B8E" w:rsidRPr="00847B73" w:rsidRDefault="00635B8E" w:rsidP="00635B8E">
      <w:pPr>
        <w:spacing w:after="0" w:line="240" w:lineRule="auto"/>
        <w:rPr>
          <w:rFonts w:ascii="Verdana" w:hAnsi="Verdana"/>
          <w:sz w:val="20"/>
          <w:lang w:val="pt-BR"/>
        </w:rPr>
      </w:pPr>
    </w:p>
    <w:p w14:paraId="7C01E607" w14:textId="77777777" w:rsidR="00635B8E" w:rsidRPr="00847B73" w:rsidRDefault="00635B8E" w:rsidP="00635B8E">
      <w:pPr>
        <w:spacing w:after="0" w:line="240" w:lineRule="auto"/>
        <w:jc w:val="both"/>
        <w:rPr>
          <w:rFonts w:ascii="Verdana" w:hAnsi="Verdana"/>
          <w:sz w:val="20"/>
          <w:lang w:val="pt-BR"/>
        </w:rPr>
      </w:pPr>
    </w:p>
    <w:p w14:paraId="6FE2931A" w14:textId="77777777" w:rsidR="00635B8E" w:rsidRPr="00847B73" w:rsidRDefault="00635B8E" w:rsidP="00635B8E">
      <w:pPr>
        <w:spacing w:after="0" w:line="240" w:lineRule="auto"/>
        <w:jc w:val="center"/>
        <w:rPr>
          <w:rFonts w:ascii="Verdana" w:hAnsi="Verdana"/>
          <w:sz w:val="20"/>
          <w:lang w:val="pt-BR"/>
        </w:rPr>
      </w:pPr>
      <w:r w:rsidRPr="00847B73">
        <w:rPr>
          <w:rFonts w:ascii="Verdana" w:hAnsi="Verdana"/>
          <w:sz w:val="20"/>
          <w:lang w:val="pt-BR"/>
        </w:rPr>
        <w:t>Pablo Saavedra Alessandri</w:t>
      </w:r>
    </w:p>
    <w:p w14:paraId="62323053" w14:textId="77777777" w:rsidR="00635B8E" w:rsidRPr="00847B73" w:rsidRDefault="00635B8E" w:rsidP="00635B8E">
      <w:pPr>
        <w:spacing w:after="0" w:line="240" w:lineRule="auto"/>
        <w:jc w:val="center"/>
        <w:rPr>
          <w:rFonts w:ascii="Verdana" w:hAnsi="Verdana"/>
          <w:sz w:val="20"/>
          <w:lang w:val="pt-BR"/>
        </w:rPr>
      </w:pPr>
      <w:r w:rsidRPr="00847B73">
        <w:rPr>
          <w:rFonts w:ascii="Verdana" w:hAnsi="Verdana"/>
          <w:sz w:val="20"/>
          <w:lang w:val="pt-BR"/>
        </w:rPr>
        <w:t>Secretario</w:t>
      </w:r>
    </w:p>
    <w:p w14:paraId="3A74BEF0" w14:textId="77777777" w:rsidR="00635B8E" w:rsidRPr="00847B73" w:rsidRDefault="00635B8E" w:rsidP="00635B8E">
      <w:pPr>
        <w:spacing w:after="0" w:line="240" w:lineRule="auto"/>
        <w:rPr>
          <w:rFonts w:ascii="Verdana" w:hAnsi="Verdana"/>
          <w:sz w:val="20"/>
          <w:lang w:val="pt-BR"/>
        </w:rPr>
      </w:pPr>
    </w:p>
    <w:p w14:paraId="2BCDCE69" w14:textId="77777777" w:rsidR="00635B8E" w:rsidRPr="00847B73" w:rsidRDefault="00635B8E" w:rsidP="00635B8E">
      <w:pPr>
        <w:pStyle w:val="Textonotapie"/>
        <w:rPr>
          <w:rFonts w:ascii="Verdana" w:hAnsi="Verdana"/>
          <w:lang w:val="pt-BR"/>
        </w:rPr>
      </w:pPr>
    </w:p>
    <w:p w14:paraId="11746817" w14:textId="77777777" w:rsidR="00635B8E" w:rsidRPr="00847B73" w:rsidRDefault="00635B8E" w:rsidP="00635B8E">
      <w:pPr>
        <w:spacing w:after="0" w:line="240" w:lineRule="auto"/>
        <w:rPr>
          <w:rFonts w:ascii="Verdana" w:hAnsi="Verdana"/>
          <w:sz w:val="20"/>
          <w:lang w:val="pt-BR"/>
        </w:rPr>
      </w:pPr>
    </w:p>
    <w:p w14:paraId="39C9FAF2" w14:textId="77777777" w:rsidR="00635B8E" w:rsidRPr="00847B73" w:rsidRDefault="00635B8E" w:rsidP="00635B8E">
      <w:pPr>
        <w:pStyle w:val="Textonotapie"/>
        <w:rPr>
          <w:rFonts w:ascii="Verdana" w:hAnsi="Verdana"/>
          <w:lang w:val="pt-BR"/>
        </w:rPr>
      </w:pPr>
    </w:p>
    <w:p w14:paraId="14ACDF6C" w14:textId="77777777" w:rsidR="00635B8E" w:rsidRPr="00847B73" w:rsidRDefault="00635B8E" w:rsidP="00635B8E">
      <w:pPr>
        <w:spacing w:after="0" w:line="240" w:lineRule="auto"/>
        <w:jc w:val="both"/>
        <w:rPr>
          <w:rFonts w:ascii="Verdana" w:hAnsi="Verdana"/>
          <w:sz w:val="20"/>
          <w:lang w:val="pt-BR"/>
        </w:rPr>
      </w:pPr>
      <w:r w:rsidRPr="00847B73">
        <w:rPr>
          <w:rFonts w:ascii="Verdana" w:hAnsi="Verdana"/>
          <w:sz w:val="20"/>
          <w:lang w:val="pt-BR"/>
        </w:rPr>
        <w:t>Comuníquese y ejecútese,</w:t>
      </w:r>
    </w:p>
    <w:p w14:paraId="4703ECFA" w14:textId="77777777" w:rsidR="00635B8E" w:rsidRPr="00847B73" w:rsidRDefault="00635B8E" w:rsidP="00635B8E">
      <w:pPr>
        <w:spacing w:after="0" w:line="240" w:lineRule="auto"/>
        <w:jc w:val="both"/>
        <w:rPr>
          <w:rFonts w:ascii="Verdana" w:hAnsi="Verdana"/>
          <w:sz w:val="20"/>
          <w:lang w:val="pt-BR"/>
        </w:rPr>
      </w:pPr>
    </w:p>
    <w:p w14:paraId="7CA71C3E" w14:textId="77777777" w:rsidR="00635B8E" w:rsidRPr="00847B73" w:rsidRDefault="00635B8E" w:rsidP="00635B8E">
      <w:pPr>
        <w:spacing w:after="0" w:line="240" w:lineRule="auto"/>
        <w:jc w:val="both"/>
        <w:rPr>
          <w:rFonts w:ascii="Verdana" w:hAnsi="Verdana"/>
          <w:sz w:val="20"/>
          <w:lang w:val="pt-BR"/>
        </w:rPr>
      </w:pPr>
    </w:p>
    <w:p w14:paraId="31F3662B" w14:textId="77777777" w:rsidR="00635B8E" w:rsidRPr="00847B73" w:rsidRDefault="00635B8E" w:rsidP="00635B8E">
      <w:pPr>
        <w:spacing w:after="0" w:line="240" w:lineRule="auto"/>
        <w:jc w:val="both"/>
        <w:rPr>
          <w:rFonts w:ascii="Verdana" w:hAnsi="Verdana"/>
          <w:sz w:val="20"/>
          <w:lang w:val="pt-BR"/>
        </w:rPr>
      </w:pPr>
    </w:p>
    <w:p w14:paraId="61A34BF9" w14:textId="77777777" w:rsidR="00635B8E" w:rsidRDefault="00635B8E" w:rsidP="00635B8E">
      <w:pPr>
        <w:spacing w:after="0" w:line="240" w:lineRule="auto"/>
        <w:jc w:val="both"/>
        <w:rPr>
          <w:rFonts w:ascii="Verdana" w:hAnsi="Verdana"/>
          <w:sz w:val="20"/>
          <w:lang w:val="pt-BR"/>
        </w:rPr>
      </w:pPr>
    </w:p>
    <w:p w14:paraId="50A66CD1" w14:textId="77777777" w:rsidR="00635B8E" w:rsidRPr="00847B73" w:rsidRDefault="00635B8E" w:rsidP="00635B8E">
      <w:pPr>
        <w:spacing w:after="0" w:line="240" w:lineRule="auto"/>
        <w:jc w:val="both"/>
        <w:rPr>
          <w:rFonts w:ascii="Verdana" w:hAnsi="Verdana"/>
          <w:sz w:val="20"/>
          <w:lang w:val="pt-BR"/>
        </w:rPr>
      </w:pPr>
    </w:p>
    <w:p w14:paraId="1BA97435" w14:textId="77777777" w:rsidR="00635B8E" w:rsidRDefault="00635B8E" w:rsidP="00635B8E">
      <w:pPr>
        <w:spacing w:after="0" w:line="240" w:lineRule="auto"/>
        <w:ind w:left="6372"/>
        <w:jc w:val="both"/>
        <w:rPr>
          <w:rFonts w:ascii="Verdana" w:hAnsi="Verdana"/>
          <w:sz w:val="20"/>
          <w:lang w:val="pt-BR"/>
        </w:rPr>
      </w:pPr>
      <w:r w:rsidRPr="00847B73">
        <w:rPr>
          <w:rFonts w:ascii="Verdana" w:hAnsi="Verdana"/>
          <w:sz w:val="20"/>
          <w:lang w:val="pt-BR"/>
        </w:rPr>
        <w:t xml:space="preserve">Eduardo Vio Grossi </w:t>
      </w:r>
    </w:p>
    <w:p w14:paraId="4EDBC668" w14:textId="77777777" w:rsidR="00635B8E" w:rsidRPr="00847B73" w:rsidRDefault="00635B8E" w:rsidP="00635B8E">
      <w:pPr>
        <w:spacing w:after="0" w:line="240" w:lineRule="auto"/>
        <w:ind w:left="5664"/>
        <w:jc w:val="both"/>
        <w:rPr>
          <w:rFonts w:ascii="Verdana" w:hAnsi="Verdana"/>
          <w:sz w:val="20"/>
          <w:lang w:val="pt-BR"/>
        </w:rPr>
      </w:pPr>
      <w:r>
        <w:rPr>
          <w:rFonts w:ascii="Verdana" w:hAnsi="Verdana"/>
          <w:sz w:val="20"/>
          <w:lang w:val="pt-BR"/>
        </w:rPr>
        <w:t xml:space="preserve">        </w:t>
      </w:r>
      <w:r w:rsidRPr="00847B73">
        <w:rPr>
          <w:rFonts w:ascii="Verdana" w:hAnsi="Verdana"/>
          <w:sz w:val="20"/>
          <w:lang w:val="pt-BR"/>
        </w:rPr>
        <w:t>Presidente</w:t>
      </w:r>
      <w:r>
        <w:rPr>
          <w:rFonts w:ascii="Verdana" w:hAnsi="Verdana"/>
          <w:sz w:val="20"/>
          <w:lang w:val="pt-BR"/>
        </w:rPr>
        <w:t xml:space="preserve"> en ejercicio</w:t>
      </w:r>
    </w:p>
    <w:p w14:paraId="6057639D" w14:textId="77777777" w:rsidR="00635B8E" w:rsidRPr="00847B73" w:rsidRDefault="00635B8E" w:rsidP="00635B8E">
      <w:pPr>
        <w:spacing w:after="0" w:line="240" w:lineRule="auto"/>
        <w:jc w:val="both"/>
        <w:rPr>
          <w:rFonts w:ascii="Verdana" w:hAnsi="Verdana"/>
          <w:sz w:val="20"/>
          <w:lang w:val="pt-BR"/>
        </w:rPr>
      </w:pPr>
    </w:p>
    <w:p w14:paraId="13956417" w14:textId="77777777" w:rsidR="00635B8E" w:rsidRDefault="00635B8E" w:rsidP="00635B8E">
      <w:pPr>
        <w:spacing w:after="0" w:line="240" w:lineRule="auto"/>
        <w:jc w:val="both"/>
        <w:rPr>
          <w:rFonts w:ascii="Verdana" w:hAnsi="Verdana"/>
          <w:sz w:val="20"/>
          <w:lang w:val="pt-BR"/>
        </w:rPr>
      </w:pPr>
    </w:p>
    <w:p w14:paraId="652D88F7" w14:textId="77777777" w:rsidR="00635B8E" w:rsidRDefault="00635B8E" w:rsidP="00635B8E">
      <w:pPr>
        <w:spacing w:after="0" w:line="240" w:lineRule="auto"/>
        <w:jc w:val="both"/>
        <w:rPr>
          <w:rFonts w:ascii="Verdana" w:hAnsi="Verdana"/>
          <w:sz w:val="20"/>
          <w:lang w:val="pt-BR"/>
        </w:rPr>
      </w:pPr>
    </w:p>
    <w:p w14:paraId="1EEC57EE" w14:textId="77777777" w:rsidR="00635B8E" w:rsidRDefault="00635B8E" w:rsidP="00635B8E">
      <w:pPr>
        <w:spacing w:after="0" w:line="240" w:lineRule="auto"/>
        <w:jc w:val="both"/>
        <w:rPr>
          <w:rFonts w:ascii="Verdana" w:hAnsi="Verdana"/>
          <w:sz w:val="20"/>
          <w:lang w:val="pt-BR"/>
        </w:rPr>
      </w:pPr>
    </w:p>
    <w:p w14:paraId="6BF60406" w14:textId="77777777" w:rsidR="00635B8E" w:rsidRPr="00847B73" w:rsidRDefault="00635B8E" w:rsidP="00635B8E">
      <w:pPr>
        <w:spacing w:after="0" w:line="240" w:lineRule="auto"/>
        <w:jc w:val="both"/>
        <w:rPr>
          <w:rFonts w:ascii="Verdana" w:hAnsi="Verdana"/>
          <w:sz w:val="20"/>
          <w:lang w:val="pt-BR"/>
        </w:rPr>
      </w:pPr>
    </w:p>
    <w:p w14:paraId="58054DB8" w14:textId="77777777" w:rsidR="00635B8E" w:rsidRPr="00847B73" w:rsidRDefault="00635B8E" w:rsidP="00635B8E">
      <w:pPr>
        <w:spacing w:after="0" w:line="240" w:lineRule="auto"/>
        <w:jc w:val="both"/>
        <w:rPr>
          <w:rFonts w:ascii="Verdana" w:hAnsi="Verdana"/>
          <w:sz w:val="20"/>
          <w:lang w:val="pt-BR"/>
        </w:rPr>
      </w:pPr>
    </w:p>
    <w:p w14:paraId="5E836947" w14:textId="77777777" w:rsidR="00635B8E" w:rsidRPr="00847B73" w:rsidRDefault="00635B8E" w:rsidP="00635B8E">
      <w:pPr>
        <w:spacing w:after="0" w:line="240" w:lineRule="auto"/>
        <w:jc w:val="both"/>
        <w:rPr>
          <w:rFonts w:ascii="Verdana" w:hAnsi="Verdana"/>
          <w:sz w:val="20"/>
          <w:lang w:val="es-ES"/>
        </w:rPr>
      </w:pPr>
      <w:r w:rsidRPr="00847B73">
        <w:rPr>
          <w:rFonts w:ascii="Verdana" w:hAnsi="Verdana"/>
          <w:sz w:val="20"/>
          <w:lang w:val="es-ES"/>
        </w:rPr>
        <w:t>Pablo Saavedra Alessandri</w:t>
      </w:r>
    </w:p>
    <w:p w14:paraId="726AB609" w14:textId="77777777" w:rsidR="00635B8E" w:rsidRPr="00FC7D8B" w:rsidRDefault="00635B8E" w:rsidP="00635B8E">
      <w:pPr>
        <w:spacing w:after="0" w:line="240" w:lineRule="auto"/>
        <w:rPr>
          <w:rFonts w:ascii="Verdana" w:hAnsi="Verdana"/>
          <w:sz w:val="20"/>
        </w:rPr>
      </w:pPr>
      <w:r w:rsidRPr="00847B73">
        <w:rPr>
          <w:rFonts w:ascii="Verdana" w:hAnsi="Verdana"/>
          <w:sz w:val="20"/>
          <w:lang w:val="es-ES"/>
        </w:rPr>
        <w:tab/>
      </w:r>
      <w:r w:rsidRPr="00847B73">
        <w:rPr>
          <w:rFonts w:ascii="Verdana" w:hAnsi="Verdana"/>
          <w:sz w:val="20"/>
        </w:rPr>
        <w:t>Secretario</w:t>
      </w:r>
    </w:p>
    <w:p w14:paraId="5EE7243A" w14:textId="77777777" w:rsidR="00CB4A68" w:rsidRPr="00881366" w:rsidRDefault="00CB4A68" w:rsidP="00635B8E">
      <w:pPr>
        <w:pStyle w:val="Prrafodelista"/>
        <w:tabs>
          <w:tab w:val="left" w:pos="0"/>
        </w:tabs>
        <w:autoSpaceDE w:val="0"/>
        <w:autoSpaceDN w:val="0"/>
        <w:adjustRightInd w:val="0"/>
        <w:spacing w:after="0" w:line="240" w:lineRule="auto"/>
        <w:ind w:left="0" w:right="99"/>
        <w:contextualSpacing w:val="0"/>
        <w:jc w:val="both"/>
        <w:rPr>
          <w:rFonts w:ascii="Verdana" w:hAnsi="Verdana" w:cs="Verdana"/>
          <w:sz w:val="20"/>
          <w:szCs w:val="20"/>
        </w:rPr>
      </w:pPr>
    </w:p>
    <w:sectPr w:rsidR="00CB4A68" w:rsidRPr="00881366" w:rsidSect="00ED6B63">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CCC12" w14:textId="77777777" w:rsidR="007361D1" w:rsidRDefault="007361D1" w:rsidP="00CE43A6">
      <w:pPr>
        <w:spacing w:after="0" w:line="240" w:lineRule="auto"/>
      </w:pPr>
      <w:r>
        <w:separator/>
      </w:r>
    </w:p>
  </w:endnote>
  <w:endnote w:type="continuationSeparator" w:id="0">
    <w:p w14:paraId="1E5DE775" w14:textId="77777777" w:rsidR="007361D1" w:rsidRDefault="007361D1" w:rsidP="00CE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142684"/>
      <w:docPartObj>
        <w:docPartGallery w:val="Page Numbers (Bottom of Page)"/>
        <w:docPartUnique/>
      </w:docPartObj>
    </w:sdtPr>
    <w:sdtEndPr>
      <w:rPr>
        <w:rFonts w:ascii="Verdana" w:hAnsi="Verdana"/>
        <w:sz w:val="20"/>
        <w:szCs w:val="20"/>
      </w:rPr>
    </w:sdtEndPr>
    <w:sdtContent>
      <w:p w14:paraId="2985D28A" w14:textId="77777777" w:rsidR="007361D1" w:rsidRPr="00202488" w:rsidRDefault="007361D1">
        <w:pPr>
          <w:pStyle w:val="Piedepgina"/>
          <w:jc w:val="center"/>
          <w:rPr>
            <w:rFonts w:ascii="Verdana" w:hAnsi="Verdana"/>
            <w:sz w:val="20"/>
            <w:szCs w:val="20"/>
          </w:rPr>
        </w:pPr>
        <w:r w:rsidRPr="00202488">
          <w:rPr>
            <w:rFonts w:ascii="Verdana" w:hAnsi="Verdana"/>
            <w:sz w:val="20"/>
            <w:szCs w:val="20"/>
          </w:rPr>
          <w:t>-</w:t>
        </w:r>
        <w:r w:rsidRPr="00202488">
          <w:rPr>
            <w:rFonts w:ascii="Verdana" w:hAnsi="Verdana"/>
            <w:sz w:val="20"/>
            <w:szCs w:val="20"/>
          </w:rPr>
          <w:fldChar w:fldCharType="begin"/>
        </w:r>
        <w:r w:rsidRPr="00202488">
          <w:rPr>
            <w:rFonts w:ascii="Verdana" w:hAnsi="Verdana"/>
            <w:sz w:val="20"/>
            <w:szCs w:val="20"/>
          </w:rPr>
          <w:instrText>PAGE   \* MERGEFORMAT</w:instrText>
        </w:r>
        <w:r w:rsidRPr="00202488">
          <w:rPr>
            <w:rFonts w:ascii="Verdana" w:hAnsi="Verdana"/>
            <w:sz w:val="20"/>
            <w:szCs w:val="20"/>
          </w:rPr>
          <w:fldChar w:fldCharType="separate"/>
        </w:r>
        <w:r w:rsidR="00635B8E" w:rsidRPr="00635B8E">
          <w:rPr>
            <w:rFonts w:ascii="Verdana" w:hAnsi="Verdana"/>
            <w:noProof/>
            <w:sz w:val="20"/>
            <w:szCs w:val="20"/>
            <w:lang w:val="es-ES"/>
          </w:rPr>
          <w:t>22</w:t>
        </w:r>
        <w:r w:rsidRPr="00202488">
          <w:rPr>
            <w:rFonts w:ascii="Verdana" w:hAnsi="Verdana"/>
            <w:sz w:val="20"/>
            <w:szCs w:val="20"/>
          </w:rPr>
          <w:fldChar w:fldCharType="end"/>
        </w:r>
        <w:r w:rsidRPr="00202488">
          <w:rPr>
            <w:rFonts w:ascii="Verdana" w:hAnsi="Verdana"/>
            <w:sz w:val="20"/>
            <w:szCs w:val="20"/>
          </w:rPr>
          <w:t>-</w:t>
        </w:r>
      </w:p>
    </w:sdtContent>
  </w:sdt>
  <w:p w14:paraId="0DEAB042" w14:textId="77777777" w:rsidR="007361D1" w:rsidRDefault="007361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51F9" w14:textId="77777777" w:rsidR="007361D1" w:rsidRDefault="007361D1" w:rsidP="00CE43A6">
      <w:pPr>
        <w:spacing w:after="0" w:line="240" w:lineRule="auto"/>
      </w:pPr>
      <w:r>
        <w:separator/>
      </w:r>
    </w:p>
  </w:footnote>
  <w:footnote w:type="continuationSeparator" w:id="0">
    <w:p w14:paraId="2937BE70" w14:textId="77777777" w:rsidR="007361D1" w:rsidRDefault="007361D1" w:rsidP="00CE43A6">
      <w:pPr>
        <w:spacing w:after="0" w:line="240" w:lineRule="auto"/>
      </w:pPr>
      <w:r>
        <w:continuationSeparator/>
      </w:r>
    </w:p>
  </w:footnote>
  <w:footnote w:id="1">
    <w:p w14:paraId="7FE3E24A" w14:textId="4E0B1211" w:rsidR="007361D1" w:rsidRPr="00E40021" w:rsidRDefault="007361D1" w:rsidP="00FC582F">
      <w:pPr>
        <w:pStyle w:val="Textonotapie"/>
        <w:tabs>
          <w:tab w:val="left" w:pos="426"/>
          <w:tab w:val="left" w:pos="567"/>
        </w:tabs>
        <w:jc w:val="both"/>
        <w:rPr>
          <w:rFonts w:ascii="Verdana" w:hAnsi="Verdana"/>
          <w:sz w:val="16"/>
          <w:szCs w:val="16"/>
        </w:rPr>
      </w:pPr>
      <w:r w:rsidRPr="00E40021">
        <w:rPr>
          <w:rFonts w:ascii="Verdana" w:hAnsi="Verdana"/>
          <w:sz w:val="16"/>
          <w:szCs w:val="16"/>
        </w:rPr>
        <w:t>*</w:t>
      </w:r>
      <w:r w:rsidRPr="00E40021">
        <w:rPr>
          <w:rFonts w:ascii="Verdana" w:hAnsi="Verdana"/>
          <w:sz w:val="16"/>
          <w:szCs w:val="16"/>
        </w:rPr>
        <w:tab/>
        <w:t>El Juez Humberto Sierra Porto, de nacionalidad colombiana, no participó en la deliberación y firma de la Sentencia del presente caso, ni en el conocimiento y deliberación de la presente Resolución, de conformidad con lo dispuesto en el artículo 19.1 del Reglamento de la Corte.</w:t>
      </w:r>
      <w:r>
        <w:rPr>
          <w:rFonts w:ascii="Verdana" w:hAnsi="Verdana"/>
          <w:sz w:val="16"/>
          <w:szCs w:val="16"/>
        </w:rPr>
        <w:t xml:space="preserve"> </w:t>
      </w:r>
      <w:r w:rsidRPr="00354BEB">
        <w:rPr>
          <w:rFonts w:ascii="Verdana" w:hAnsi="Verdana"/>
          <w:sz w:val="16"/>
          <w:szCs w:val="16"/>
        </w:rPr>
        <w:t>El Juez Eduardo Ferrer Mac-</w:t>
      </w:r>
      <w:proofErr w:type="spellStart"/>
      <w:r w:rsidRPr="00354BEB">
        <w:rPr>
          <w:rFonts w:ascii="Verdana" w:hAnsi="Verdana"/>
          <w:sz w:val="16"/>
          <w:szCs w:val="16"/>
        </w:rPr>
        <w:t>Gregor</w:t>
      </w:r>
      <w:proofErr w:type="spellEnd"/>
      <w:r w:rsidRPr="00354BEB">
        <w:rPr>
          <w:rFonts w:ascii="Verdana" w:hAnsi="Verdana"/>
          <w:sz w:val="16"/>
          <w:szCs w:val="16"/>
        </w:rPr>
        <w:t xml:space="preserve"> </w:t>
      </w:r>
      <w:proofErr w:type="spellStart"/>
      <w:r w:rsidRPr="00354BEB">
        <w:rPr>
          <w:rFonts w:ascii="Verdana" w:hAnsi="Verdana"/>
          <w:sz w:val="16"/>
          <w:szCs w:val="16"/>
        </w:rPr>
        <w:t>Poisot</w:t>
      </w:r>
      <w:proofErr w:type="spellEnd"/>
      <w:r w:rsidRPr="00354BEB">
        <w:rPr>
          <w:rFonts w:ascii="Verdana" w:hAnsi="Verdana"/>
          <w:sz w:val="16"/>
          <w:szCs w:val="16"/>
        </w:rPr>
        <w:t xml:space="preserve"> no participó en la deliberación y firma de la presente Resolución por razones de fuerza mayor.</w:t>
      </w:r>
    </w:p>
    <w:p w14:paraId="646D35CE" w14:textId="558B6678" w:rsidR="007361D1" w:rsidRPr="00E40021" w:rsidRDefault="007361D1" w:rsidP="00FC582F">
      <w:pPr>
        <w:pStyle w:val="Textonotapie"/>
        <w:tabs>
          <w:tab w:val="left" w:pos="426"/>
          <w:tab w:val="left" w:pos="567"/>
        </w:tabs>
        <w:jc w:val="both"/>
        <w:rPr>
          <w:rFonts w:ascii="Verdana" w:hAnsi="Verdana"/>
          <w:b/>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Style w:val="Textoennegrita"/>
          <w:rFonts w:ascii="Verdana" w:hAnsi="Verdana"/>
          <w:b w:val="0"/>
          <w:i/>
          <w:sz w:val="16"/>
          <w:szCs w:val="16"/>
          <w:shd w:val="clear" w:color="auto" w:fill="FFFFFF"/>
        </w:rPr>
        <w:t xml:space="preserve">Caso Yarce y otras Vs. Colombia. Excepción Preliminar, Fondo, Reparaciones y Costas. </w:t>
      </w:r>
      <w:r w:rsidRPr="00E40021">
        <w:rPr>
          <w:rStyle w:val="Textoennegrita"/>
          <w:rFonts w:ascii="Verdana" w:hAnsi="Verdana"/>
          <w:b w:val="0"/>
          <w:sz w:val="16"/>
          <w:szCs w:val="16"/>
          <w:shd w:val="clear" w:color="auto" w:fill="FFFFFF"/>
        </w:rPr>
        <w:t xml:space="preserve">Sentencia de 22 de noviembre de 2016. Serie C No. 325. </w:t>
      </w:r>
      <w:r>
        <w:rPr>
          <w:rFonts w:ascii="Verdana" w:hAnsi="Verdana"/>
          <w:sz w:val="16"/>
          <w:szCs w:val="16"/>
        </w:rPr>
        <w:t>D</w:t>
      </w:r>
      <w:r w:rsidRPr="00E40021">
        <w:rPr>
          <w:rFonts w:ascii="Verdana" w:hAnsi="Verdana"/>
          <w:sz w:val="16"/>
          <w:szCs w:val="16"/>
        </w:rPr>
        <w:t xml:space="preserve">isponible en: </w:t>
      </w:r>
      <w:hyperlink r:id="rId1" w:history="1">
        <w:r w:rsidRPr="00E40021">
          <w:rPr>
            <w:rStyle w:val="Hipervnculo"/>
            <w:rFonts w:ascii="Verdana" w:hAnsi="Verdana"/>
            <w:sz w:val="16"/>
            <w:szCs w:val="16"/>
          </w:rPr>
          <w:t>http://www.corteidh.or.cr/docs/casos/articulos/seriec_325_esp.pdf</w:t>
        </w:r>
      </w:hyperlink>
      <w:r w:rsidRPr="00E40021">
        <w:rPr>
          <w:rFonts w:ascii="Verdana" w:hAnsi="Verdana"/>
          <w:sz w:val="16"/>
          <w:szCs w:val="16"/>
        </w:rPr>
        <w:t xml:space="preserve">. </w:t>
      </w:r>
      <w:r w:rsidRPr="00E40021">
        <w:rPr>
          <w:rFonts w:ascii="Verdana" w:hAnsi="Verdana" w:cs="Arial"/>
          <w:sz w:val="16"/>
          <w:szCs w:val="16"/>
        </w:rPr>
        <w:t xml:space="preserve">La Sentencia fue notificada el 10 de enero de 2017. </w:t>
      </w:r>
    </w:p>
  </w:footnote>
  <w:footnote w:id="2">
    <w:p w14:paraId="4CB602AA" w14:textId="16B4C953" w:rsidR="007361D1" w:rsidRPr="00E40021" w:rsidRDefault="007361D1" w:rsidP="0098697C">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Cfr. Caso Yarce y otras Vs. Colombia. Interpretación de la Sentencia de Excepción Preliminar, Fondo, Reparaciones y Costas</w:t>
      </w:r>
      <w:r w:rsidRPr="00E40021">
        <w:rPr>
          <w:rFonts w:ascii="Verdana" w:hAnsi="Verdana"/>
          <w:sz w:val="16"/>
          <w:szCs w:val="16"/>
        </w:rPr>
        <w:t xml:space="preserve">. Sentencia de 21 de noviembre 2017. Serie C No. 343. </w:t>
      </w:r>
      <w:r>
        <w:rPr>
          <w:rFonts w:ascii="Verdana" w:hAnsi="Verdana"/>
          <w:sz w:val="16"/>
          <w:szCs w:val="16"/>
        </w:rPr>
        <w:t>D</w:t>
      </w:r>
      <w:r w:rsidRPr="00E40021">
        <w:rPr>
          <w:rFonts w:ascii="Verdana" w:hAnsi="Verdana"/>
          <w:sz w:val="16"/>
          <w:szCs w:val="16"/>
        </w:rPr>
        <w:t xml:space="preserve">isponible en: </w:t>
      </w:r>
      <w:hyperlink r:id="rId2" w:history="1">
        <w:r w:rsidRPr="00E40021">
          <w:rPr>
            <w:rStyle w:val="Hipervnculo"/>
            <w:rFonts w:ascii="Verdana" w:hAnsi="Verdana"/>
            <w:sz w:val="16"/>
            <w:szCs w:val="16"/>
          </w:rPr>
          <w:t>http://www.corteidh.or.cr/docs/casos/articulos/seriec_343_esp.pdf</w:t>
        </w:r>
      </w:hyperlink>
      <w:r w:rsidRPr="00E40021">
        <w:rPr>
          <w:rFonts w:ascii="Verdana" w:hAnsi="Verdana"/>
          <w:sz w:val="16"/>
          <w:szCs w:val="16"/>
        </w:rPr>
        <w:t xml:space="preserve">. </w:t>
      </w:r>
    </w:p>
  </w:footnote>
  <w:footnote w:id="3">
    <w:p w14:paraId="7D9123FF" w14:textId="77777777" w:rsidR="007361D1" w:rsidRPr="00E40021" w:rsidRDefault="007361D1" w:rsidP="00EF210D">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La organización Grupo Interdisciplinario por los Derechos Humanos. Los escritos han sido presentados por las señoras María Victoria </w:t>
      </w:r>
      <w:proofErr w:type="spellStart"/>
      <w:r w:rsidRPr="00E40021">
        <w:rPr>
          <w:rFonts w:ascii="Verdana" w:hAnsi="Verdana"/>
          <w:sz w:val="16"/>
          <w:szCs w:val="16"/>
        </w:rPr>
        <w:t>Fallon</w:t>
      </w:r>
      <w:proofErr w:type="spellEnd"/>
      <w:r w:rsidRPr="00E40021">
        <w:rPr>
          <w:rFonts w:ascii="Verdana" w:hAnsi="Verdana"/>
          <w:sz w:val="16"/>
          <w:szCs w:val="16"/>
        </w:rPr>
        <w:t xml:space="preserve"> y Patricia Fuenmayor, representantes de dicha organización.</w:t>
      </w:r>
    </w:p>
  </w:footnote>
  <w:footnote w:id="4">
    <w:p w14:paraId="441EF196" w14:textId="75B4ED48" w:rsidR="007361D1" w:rsidRPr="00E40021" w:rsidRDefault="007361D1" w:rsidP="00372F66">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Este informe se titula </w:t>
      </w:r>
      <w:r w:rsidRPr="00E40021">
        <w:rPr>
          <w:rFonts w:ascii="Verdana" w:hAnsi="Verdana"/>
          <w:i/>
          <w:sz w:val="16"/>
          <w:szCs w:val="16"/>
        </w:rPr>
        <w:t xml:space="preserve">“Ampliando el horizonte de justicia para las víctimas. Informe del </w:t>
      </w:r>
      <w:r>
        <w:rPr>
          <w:rFonts w:ascii="Verdana" w:hAnsi="Verdana"/>
          <w:i/>
          <w:sz w:val="16"/>
          <w:szCs w:val="16"/>
        </w:rPr>
        <w:t>e</w:t>
      </w:r>
      <w:r w:rsidRPr="00E40021">
        <w:rPr>
          <w:rFonts w:ascii="Verdana" w:hAnsi="Verdana"/>
          <w:i/>
          <w:sz w:val="16"/>
          <w:szCs w:val="16"/>
        </w:rPr>
        <w:t>stado de cumplimiento de las sentencias de la Corte Interamericana de Derechos Humanos contra Colombia</w:t>
      </w:r>
      <w:r w:rsidRPr="00E40021">
        <w:rPr>
          <w:rFonts w:ascii="Verdana" w:hAnsi="Verdana"/>
          <w:sz w:val="16"/>
          <w:szCs w:val="16"/>
        </w:rPr>
        <w:t>”, y fue presentado por el Defensor del Pueblo al Pleno de la Corte IDH durante su 61 Período Extraordinario de Sesiones. El 10 de junio de 2019 fue transmitido a los Agentes del Estado, a l</w:t>
      </w:r>
      <w:r>
        <w:rPr>
          <w:rFonts w:ascii="Verdana" w:hAnsi="Verdana"/>
          <w:sz w:val="16"/>
          <w:szCs w:val="16"/>
        </w:rPr>
        <w:t>a</w:t>
      </w:r>
      <w:r w:rsidRPr="00E40021">
        <w:rPr>
          <w:rFonts w:ascii="Verdana" w:hAnsi="Verdana"/>
          <w:sz w:val="16"/>
          <w:szCs w:val="16"/>
        </w:rPr>
        <w:t>s representantes de las víctimas y a la Comisión Interamericana para que presentaran observaciones.</w:t>
      </w:r>
    </w:p>
  </w:footnote>
  <w:footnote w:id="5">
    <w:p w14:paraId="57E19416" w14:textId="03295F08" w:rsidR="007361D1" w:rsidRPr="00E40021" w:rsidRDefault="007361D1" w:rsidP="00EE32EC">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Facultad que además se desprende de lo dispuesto en los artículos 33, 62.1, 62.3 y 65 de la Convención Americana </w:t>
      </w:r>
      <w:r>
        <w:rPr>
          <w:rFonts w:ascii="Verdana" w:hAnsi="Verdana"/>
          <w:sz w:val="16"/>
          <w:szCs w:val="16"/>
        </w:rPr>
        <w:t xml:space="preserve">sobre Derechos Humanos </w:t>
      </w:r>
      <w:r w:rsidRPr="00E40021">
        <w:rPr>
          <w:rFonts w:ascii="Verdana" w:hAnsi="Verdana"/>
          <w:sz w:val="16"/>
          <w:szCs w:val="16"/>
        </w:rPr>
        <w:t>y 30 de su Estatuto y se encuentra regulada en el artículo 69 de su Reglamento.</w:t>
      </w:r>
    </w:p>
  </w:footnote>
  <w:footnote w:id="6">
    <w:p w14:paraId="722279F7" w14:textId="77777777" w:rsidR="007361D1" w:rsidRPr="00A97A11" w:rsidRDefault="007361D1" w:rsidP="0055750B">
      <w:pPr>
        <w:pStyle w:val="Textonotapie"/>
        <w:jc w:val="both"/>
        <w:rPr>
          <w:rFonts w:ascii="Verdana" w:hAnsi="Verdana"/>
          <w:sz w:val="16"/>
          <w:szCs w:val="16"/>
        </w:rPr>
      </w:pPr>
      <w:r w:rsidRPr="00A97A11">
        <w:rPr>
          <w:rStyle w:val="Refdenotaalpie"/>
          <w:rFonts w:ascii="Verdana" w:hAnsi="Verdana"/>
          <w:sz w:val="16"/>
          <w:szCs w:val="16"/>
        </w:rPr>
        <w:footnoteRef/>
      </w:r>
      <w:r w:rsidRPr="00A97A11">
        <w:rPr>
          <w:rFonts w:ascii="Verdana" w:hAnsi="Verdana"/>
          <w:sz w:val="16"/>
          <w:szCs w:val="16"/>
        </w:rPr>
        <w:t xml:space="preserve"> </w:t>
      </w:r>
      <w:r w:rsidRPr="00A97A11">
        <w:rPr>
          <w:rFonts w:ascii="Verdana" w:hAnsi="Verdana"/>
          <w:sz w:val="16"/>
          <w:szCs w:val="16"/>
        </w:rPr>
        <w:tab/>
      </w:r>
      <w:r w:rsidRPr="00A97A11">
        <w:rPr>
          <w:rFonts w:ascii="Verdana" w:hAnsi="Verdana"/>
          <w:i/>
          <w:sz w:val="16"/>
          <w:szCs w:val="16"/>
        </w:rPr>
        <w:t xml:space="preserve">Cfr. Caso Cinco Pensionistas Vs. Perú. </w:t>
      </w:r>
      <w:r w:rsidRPr="00A97A11">
        <w:rPr>
          <w:rFonts w:ascii="Verdana" w:hAnsi="Verdana"/>
          <w:sz w:val="16"/>
          <w:szCs w:val="16"/>
        </w:rPr>
        <w:t xml:space="preserve">Resolución de la Corte Interamericana de Derechos Humanos de 17 de noviembre de 2004, Considerando 5, y </w:t>
      </w:r>
      <w:r w:rsidRPr="00A97A11">
        <w:rPr>
          <w:rStyle w:val="Textoennegrita"/>
          <w:rFonts w:ascii="Verdana" w:hAnsi="Verdana"/>
          <w:b w:val="0"/>
          <w:i/>
          <w:color w:val="000000"/>
          <w:sz w:val="16"/>
          <w:szCs w:val="16"/>
          <w:shd w:val="clear" w:color="auto" w:fill="FFFFFF"/>
        </w:rPr>
        <w:t xml:space="preserve">Caso Carvajal </w:t>
      </w:r>
      <w:proofErr w:type="spellStart"/>
      <w:r w:rsidRPr="00A97A11">
        <w:rPr>
          <w:rStyle w:val="Textoennegrita"/>
          <w:rFonts w:ascii="Verdana" w:hAnsi="Verdana"/>
          <w:b w:val="0"/>
          <w:i/>
          <w:color w:val="000000"/>
          <w:sz w:val="16"/>
          <w:szCs w:val="16"/>
          <w:shd w:val="clear" w:color="auto" w:fill="FFFFFF"/>
        </w:rPr>
        <w:t>Carvajal</w:t>
      </w:r>
      <w:proofErr w:type="spellEnd"/>
      <w:r w:rsidRPr="00A97A11">
        <w:rPr>
          <w:rStyle w:val="Textoennegrita"/>
          <w:rFonts w:ascii="Verdana" w:hAnsi="Verdana"/>
          <w:b w:val="0"/>
          <w:i/>
          <w:color w:val="000000"/>
          <w:sz w:val="16"/>
          <w:szCs w:val="16"/>
          <w:shd w:val="clear" w:color="auto" w:fill="FFFFFF"/>
        </w:rPr>
        <w:t xml:space="preserve"> y otros Vs. Colombia. Supervisión de Cumplimiento de Sentencia. </w:t>
      </w:r>
      <w:r w:rsidRPr="00A97A11">
        <w:rPr>
          <w:rStyle w:val="Textoennegrita"/>
          <w:rFonts w:ascii="Verdana" w:hAnsi="Verdana"/>
          <w:b w:val="0"/>
          <w:color w:val="000000"/>
          <w:sz w:val="16"/>
          <w:szCs w:val="16"/>
          <w:shd w:val="clear" w:color="auto" w:fill="FFFFFF"/>
        </w:rPr>
        <w:t>Resolución de la Corte Interamericana de Derechos Humanos de 7 de octubre de 2019, Considerando 2.</w:t>
      </w:r>
    </w:p>
  </w:footnote>
  <w:footnote w:id="7">
    <w:p w14:paraId="2FADDD96" w14:textId="1C419B47" w:rsidR="007361D1" w:rsidRPr="00A97A11" w:rsidRDefault="007361D1" w:rsidP="0055750B">
      <w:pPr>
        <w:pStyle w:val="Textonotapie"/>
        <w:jc w:val="both"/>
        <w:rPr>
          <w:rFonts w:ascii="Verdana" w:hAnsi="Verdana"/>
          <w:sz w:val="16"/>
          <w:szCs w:val="16"/>
        </w:rPr>
      </w:pPr>
      <w:r w:rsidRPr="00A97A11">
        <w:rPr>
          <w:rStyle w:val="Refdenotaalpie"/>
          <w:rFonts w:ascii="Verdana" w:hAnsi="Verdana"/>
          <w:sz w:val="16"/>
          <w:szCs w:val="16"/>
        </w:rPr>
        <w:footnoteRef/>
      </w:r>
      <w:r w:rsidRPr="00A97A11">
        <w:rPr>
          <w:rFonts w:ascii="Verdana" w:hAnsi="Verdana"/>
          <w:sz w:val="16"/>
          <w:szCs w:val="16"/>
        </w:rPr>
        <w:t xml:space="preserve"> </w:t>
      </w:r>
      <w:r w:rsidRPr="00A97A11">
        <w:rPr>
          <w:rFonts w:ascii="Verdana" w:hAnsi="Verdana"/>
          <w:sz w:val="16"/>
          <w:szCs w:val="16"/>
        </w:rPr>
        <w:tab/>
      </w:r>
      <w:r w:rsidRPr="00A97A11">
        <w:rPr>
          <w:rFonts w:ascii="Verdana" w:hAnsi="Verdana"/>
          <w:i/>
          <w:sz w:val="16"/>
          <w:szCs w:val="16"/>
        </w:rPr>
        <w:t xml:space="preserve">Cfr. Caso </w:t>
      </w:r>
      <w:proofErr w:type="spellStart"/>
      <w:r w:rsidRPr="00A97A11">
        <w:rPr>
          <w:rFonts w:ascii="Verdana" w:hAnsi="Verdana"/>
          <w:i/>
          <w:sz w:val="16"/>
          <w:szCs w:val="16"/>
        </w:rPr>
        <w:t>Ivcher</w:t>
      </w:r>
      <w:proofErr w:type="spellEnd"/>
      <w:r w:rsidRPr="00A97A11">
        <w:rPr>
          <w:rFonts w:ascii="Verdana" w:hAnsi="Verdana"/>
          <w:i/>
          <w:sz w:val="16"/>
          <w:szCs w:val="16"/>
        </w:rPr>
        <w:t xml:space="preserve"> </w:t>
      </w:r>
      <w:proofErr w:type="spellStart"/>
      <w:r w:rsidRPr="00A97A11">
        <w:rPr>
          <w:rFonts w:ascii="Verdana" w:hAnsi="Verdana"/>
          <w:i/>
          <w:sz w:val="16"/>
          <w:szCs w:val="16"/>
        </w:rPr>
        <w:t>Bronstein</w:t>
      </w:r>
      <w:proofErr w:type="spellEnd"/>
      <w:r w:rsidRPr="00A97A11">
        <w:rPr>
          <w:rFonts w:ascii="Verdana" w:hAnsi="Verdana"/>
          <w:i/>
          <w:sz w:val="16"/>
          <w:szCs w:val="16"/>
        </w:rPr>
        <w:t xml:space="preserve"> Vs. Perú. Competencia.</w:t>
      </w:r>
      <w:r w:rsidRPr="00A97A11">
        <w:rPr>
          <w:rFonts w:ascii="Verdana" w:hAnsi="Verdana"/>
          <w:sz w:val="16"/>
          <w:szCs w:val="16"/>
        </w:rPr>
        <w:t xml:space="preserve"> Sentencia de la Corte Interamericana de Derechos Humanos de 24 de septiembre de 1999. Serie C No. 54, párr. 37, y </w:t>
      </w:r>
      <w:r w:rsidRPr="00A97A11">
        <w:rPr>
          <w:rStyle w:val="Textoennegrita"/>
          <w:rFonts w:ascii="Verdana" w:hAnsi="Verdana"/>
          <w:b w:val="0"/>
          <w:i/>
          <w:color w:val="000000"/>
          <w:sz w:val="16"/>
          <w:szCs w:val="16"/>
          <w:shd w:val="clear" w:color="auto" w:fill="FFFFFF"/>
        </w:rPr>
        <w:t xml:space="preserve">Caso Carvajal </w:t>
      </w:r>
      <w:proofErr w:type="spellStart"/>
      <w:r w:rsidRPr="00A97A11">
        <w:rPr>
          <w:rStyle w:val="Textoennegrita"/>
          <w:rFonts w:ascii="Verdana" w:hAnsi="Verdana"/>
          <w:b w:val="0"/>
          <w:i/>
          <w:color w:val="000000"/>
          <w:sz w:val="16"/>
          <w:szCs w:val="16"/>
          <w:shd w:val="clear" w:color="auto" w:fill="FFFFFF"/>
        </w:rPr>
        <w:t>Carvajal</w:t>
      </w:r>
      <w:proofErr w:type="spellEnd"/>
      <w:r w:rsidRPr="00A97A11">
        <w:rPr>
          <w:rStyle w:val="Textoennegrita"/>
          <w:rFonts w:ascii="Verdana" w:hAnsi="Verdana"/>
          <w:b w:val="0"/>
          <w:i/>
          <w:color w:val="000000"/>
          <w:sz w:val="16"/>
          <w:szCs w:val="16"/>
          <w:shd w:val="clear" w:color="auto" w:fill="FFFFFF"/>
        </w:rPr>
        <w:t xml:space="preserve"> y otros Vs. Colombia, supra </w:t>
      </w:r>
      <w:r w:rsidRPr="00A97A11">
        <w:rPr>
          <w:rStyle w:val="Textoennegrita"/>
          <w:rFonts w:ascii="Verdana" w:hAnsi="Verdana"/>
          <w:b w:val="0"/>
          <w:color w:val="000000"/>
          <w:sz w:val="16"/>
          <w:szCs w:val="16"/>
          <w:shd w:val="clear" w:color="auto" w:fill="FFFFFF"/>
        </w:rPr>
        <w:t xml:space="preserve">nota </w:t>
      </w:r>
      <w:r>
        <w:rPr>
          <w:rStyle w:val="Textoennegrita"/>
          <w:rFonts w:ascii="Verdana" w:hAnsi="Verdana"/>
          <w:b w:val="0"/>
          <w:color w:val="000000"/>
          <w:sz w:val="16"/>
          <w:szCs w:val="16"/>
          <w:shd w:val="clear" w:color="auto" w:fill="FFFFFF"/>
        </w:rPr>
        <w:t>6</w:t>
      </w:r>
      <w:r w:rsidRPr="00A97A11">
        <w:rPr>
          <w:rStyle w:val="Textoennegrita"/>
          <w:rFonts w:ascii="Verdana" w:hAnsi="Verdana"/>
          <w:b w:val="0"/>
          <w:color w:val="000000"/>
          <w:sz w:val="16"/>
          <w:szCs w:val="16"/>
          <w:shd w:val="clear" w:color="auto" w:fill="FFFFFF"/>
        </w:rPr>
        <w:t>, Considerando 2.</w:t>
      </w:r>
    </w:p>
  </w:footnote>
  <w:footnote w:id="8">
    <w:p w14:paraId="0E63F1BE" w14:textId="461CDC5F" w:rsidR="007361D1" w:rsidRPr="00E40021" w:rsidRDefault="007361D1" w:rsidP="00E97B0C">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En similar sentido ver: </w:t>
      </w:r>
      <w:r w:rsidRPr="00E40021">
        <w:rPr>
          <w:rFonts w:ascii="Verdana" w:hAnsi="Verdana"/>
          <w:i/>
          <w:sz w:val="16"/>
          <w:szCs w:val="16"/>
        </w:rPr>
        <w:t>Caso Artavia Murillo y otros ("Fecundación In Vitro") Vs. Costa Rica.</w:t>
      </w:r>
      <w:r w:rsidRPr="00E40021">
        <w:rPr>
          <w:rFonts w:ascii="Verdana" w:hAnsi="Verdana"/>
          <w:sz w:val="16"/>
          <w:szCs w:val="16"/>
        </w:rPr>
        <w:t xml:space="preserve"> Resolución de la Corte </w:t>
      </w:r>
      <w:r>
        <w:rPr>
          <w:rFonts w:ascii="Verdana" w:hAnsi="Verdana"/>
          <w:sz w:val="16"/>
          <w:szCs w:val="16"/>
        </w:rPr>
        <w:t xml:space="preserve">Interamericana de Derechos Humanos </w:t>
      </w:r>
      <w:r w:rsidRPr="00E40021">
        <w:rPr>
          <w:rFonts w:ascii="Verdana" w:hAnsi="Verdana"/>
          <w:sz w:val="16"/>
          <w:szCs w:val="16"/>
        </w:rPr>
        <w:t xml:space="preserve">de 26 de febrero de 2016, Considerando </w:t>
      </w:r>
      <w:r>
        <w:rPr>
          <w:rFonts w:ascii="Verdana" w:hAnsi="Verdana"/>
          <w:sz w:val="16"/>
          <w:szCs w:val="16"/>
        </w:rPr>
        <w:t>2</w:t>
      </w:r>
      <w:r w:rsidRPr="00E40021">
        <w:rPr>
          <w:rFonts w:ascii="Verdana" w:hAnsi="Verdana"/>
          <w:sz w:val="16"/>
          <w:szCs w:val="16"/>
        </w:rPr>
        <w:t>;</w:t>
      </w:r>
      <w:r>
        <w:rPr>
          <w:rFonts w:ascii="Verdana" w:hAnsi="Verdana"/>
          <w:sz w:val="16"/>
          <w:szCs w:val="16"/>
        </w:rPr>
        <w:t xml:space="preserve"> </w:t>
      </w:r>
      <w:r w:rsidRPr="00E40021">
        <w:rPr>
          <w:rFonts w:ascii="Verdana" w:hAnsi="Verdana"/>
          <w:i/>
          <w:sz w:val="16"/>
          <w:szCs w:val="16"/>
        </w:rPr>
        <w:t>Caso Palamara Iribarne Vs. Chile. Supervisión de Cumplimiento de Sentencia.</w:t>
      </w:r>
      <w:r w:rsidRPr="00E40021">
        <w:rPr>
          <w:rFonts w:ascii="Verdana" w:hAnsi="Verdana"/>
          <w:sz w:val="16"/>
          <w:szCs w:val="16"/>
        </w:rPr>
        <w:t xml:space="preserve"> Resolución de la Corte Interamericana de Derechos Humanos de 1 de septiembre de 2016, Considerando 4; </w:t>
      </w:r>
      <w:r w:rsidRPr="00E40021">
        <w:rPr>
          <w:rFonts w:ascii="Verdana" w:hAnsi="Verdana"/>
          <w:i/>
          <w:sz w:val="16"/>
          <w:szCs w:val="16"/>
          <w:lang w:val="es-ES_tradnl"/>
        </w:rPr>
        <w:t xml:space="preserve">Caso Penal Miguel Castro </w:t>
      </w:r>
      <w:proofErr w:type="spellStart"/>
      <w:r w:rsidRPr="00E40021">
        <w:rPr>
          <w:rFonts w:ascii="Verdana" w:hAnsi="Verdana"/>
          <w:i/>
          <w:sz w:val="16"/>
          <w:szCs w:val="16"/>
          <w:lang w:val="es-ES_tradnl"/>
        </w:rPr>
        <w:t>Castro</w:t>
      </w:r>
      <w:proofErr w:type="spellEnd"/>
      <w:r w:rsidRPr="00E40021">
        <w:rPr>
          <w:rFonts w:ascii="Verdana" w:hAnsi="Verdana"/>
          <w:i/>
          <w:sz w:val="16"/>
          <w:szCs w:val="16"/>
          <w:lang w:val="es-ES_tradnl"/>
        </w:rPr>
        <w:t xml:space="preserve"> Vs. Perú. Supervisión de Cumplimiento de Sentencia. </w:t>
      </w:r>
      <w:r w:rsidRPr="00E40021">
        <w:rPr>
          <w:rFonts w:ascii="Verdana" w:hAnsi="Verdana"/>
          <w:sz w:val="16"/>
          <w:szCs w:val="16"/>
          <w:lang w:val="es-ES_tradnl"/>
        </w:rPr>
        <w:t>Resolución de la Corte Interamericana de Derechos Humanos de 9 de febrero de 2017, Considerando 3</w:t>
      </w:r>
      <w:r>
        <w:rPr>
          <w:rFonts w:ascii="Verdana" w:hAnsi="Verdana"/>
          <w:sz w:val="16"/>
          <w:szCs w:val="16"/>
          <w:lang w:val="es-ES_tradnl"/>
        </w:rPr>
        <w:t>, y</w:t>
      </w:r>
      <w:r w:rsidRPr="007361D1">
        <w:rPr>
          <w:rFonts w:ascii="Verdana" w:hAnsi="Verdana"/>
          <w:i/>
          <w:sz w:val="16"/>
          <w:szCs w:val="16"/>
        </w:rPr>
        <w:t xml:space="preserve"> </w:t>
      </w:r>
      <w:r w:rsidRPr="00E40021">
        <w:rPr>
          <w:rFonts w:ascii="Verdana" w:hAnsi="Verdana"/>
          <w:i/>
          <w:sz w:val="16"/>
          <w:szCs w:val="16"/>
        </w:rPr>
        <w:t>Caso Masacres de El Mozote y lugares aledaños Vs. El Salvador. Solicitud de Medidas Provisionales y Supervisión de Cumplimiento de Sentencia.</w:t>
      </w:r>
      <w:r w:rsidRPr="00E40021">
        <w:rPr>
          <w:rFonts w:ascii="Verdana" w:hAnsi="Verdana"/>
          <w:sz w:val="16"/>
          <w:szCs w:val="16"/>
        </w:rPr>
        <w:t xml:space="preserve"> Resolución de la Corte Interamericana de Derechos Humanos de 3 de septiembre de 2019, Visto 14</w:t>
      </w:r>
      <w:r w:rsidRPr="00E40021">
        <w:rPr>
          <w:rFonts w:ascii="Verdana" w:hAnsi="Verdana"/>
          <w:sz w:val="16"/>
          <w:szCs w:val="16"/>
          <w:lang w:val="es-ES_tradnl"/>
        </w:rPr>
        <w:t>.</w:t>
      </w:r>
    </w:p>
  </w:footnote>
  <w:footnote w:id="9">
    <w:p w14:paraId="0B3CA7A2" w14:textId="77777777" w:rsidR="007361D1" w:rsidRPr="00E40021" w:rsidRDefault="007361D1" w:rsidP="00D6081F">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El artículo 69.2 dispone que “[l]a Corte podrá requerir a otras fuentes de información datos relevantes sobre el caso, que permitan apreciar el cumplimiento”.</w:t>
      </w:r>
    </w:p>
  </w:footnote>
  <w:footnote w:id="10">
    <w:p w14:paraId="2B3DBCDF" w14:textId="5C3F0725" w:rsidR="007361D1" w:rsidRPr="00E40021" w:rsidRDefault="007361D1">
      <w:pPr>
        <w:pStyle w:val="Textonotapie"/>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Style w:val="Textoennegrita"/>
          <w:rFonts w:ascii="Verdana" w:hAnsi="Verdana"/>
          <w:b w:val="0"/>
          <w:i/>
          <w:sz w:val="16"/>
          <w:szCs w:val="16"/>
          <w:shd w:val="clear" w:color="auto" w:fill="FFFFFF"/>
        </w:rPr>
        <w:t>Caso Yarce y otras Vs. Colombia</w:t>
      </w:r>
      <w:r>
        <w:rPr>
          <w:rStyle w:val="Textoennegrita"/>
          <w:rFonts w:ascii="Verdana" w:hAnsi="Verdana"/>
          <w:b w:val="0"/>
          <w:i/>
          <w:sz w:val="16"/>
          <w:szCs w:val="16"/>
          <w:shd w:val="clear" w:color="auto" w:fill="FFFFFF"/>
        </w:rPr>
        <w:t xml:space="preserve">, supra </w:t>
      </w:r>
      <w:r>
        <w:rPr>
          <w:rStyle w:val="Textoennegrita"/>
          <w:rFonts w:ascii="Verdana" w:hAnsi="Verdana"/>
          <w:b w:val="0"/>
          <w:sz w:val="16"/>
          <w:szCs w:val="16"/>
          <w:shd w:val="clear" w:color="auto" w:fill="FFFFFF"/>
        </w:rPr>
        <w:t>nota 1,</w:t>
      </w:r>
      <w:r w:rsidRPr="00E40021">
        <w:rPr>
          <w:rFonts w:ascii="Verdana" w:hAnsi="Verdana"/>
          <w:sz w:val="16"/>
          <w:szCs w:val="16"/>
        </w:rPr>
        <w:t xml:space="preserve"> </w:t>
      </w:r>
      <w:r>
        <w:rPr>
          <w:rFonts w:ascii="Verdana" w:hAnsi="Verdana"/>
          <w:sz w:val="16"/>
          <w:szCs w:val="16"/>
        </w:rPr>
        <w:t>p</w:t>
      </w:r>
      <w:r w:rsidRPr="00E40021">
        <w:rPr>
          <w:rFonts w:ascii="Verdana" w:hAnsi="Verdana"/>
          <w:sz w:val="16"/>
          <w:szCs w:val="16"/>
        </w:rPr>
        <w:t xml:space="preserve">árrs. 107 y 141. </w:t>
      </w:r>
    </w:p>
  </w:footnote>
  <w:footnote w:id="11">
    <w:p w14:paraId="7FA7F180" w14:textId="3E2E9805" w:rsidR="007361D1" w:rsidRPr="00E40021" w:rsidRDefault="007361D1">
      <w:pPr>
        <w:pStyle w:val="Textonotapie"/>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Style w:val="Textoennegrita"/>
          <w:rFonts w:ascii="Verdana" w:hAnsi="Verdana"/>
          <w:b w:val="0"/>
          <w:i/>
          <w:sz w:val="16"/>
          <w:szCs w:val="16"/>
          <w:shd w:val="clear" w:color="auto" w:fill="FFFFFF"/>
        </w:rPr>
        <w:t>Caso Yarce y otras Vs. Colombia</w:t>
      </w:r>
      <w:r>
        <w:rPr>
          <w:rStyle w:val="Textoennegrita"/>
          <w:rFonts w:ascii="Verdana" w:hAnsi="Verdana"/>
          <w:b w:val="0"/>
          <w:i/>
          <w:sz w:val="16"/>
          <w:szCs w:val="16"/>
          <w:shd w:val="clear" w:color="auto" w:fill="FFFFFF"/>
        </w:rPr>
        <w:t xml:space="preserve">, supra </w:t>
      </w:r>
      <w:r>
        <w:rPr>
          <w:rStyle w:val="Textoennegrita"/>
          <w:rFonts w:ascii="Verdana" w:hAnsi="Verdana"/>
          <w:b w:val="0"/>
          <w:sz w:val="16"/>
          <w:szCs w:val="16"/>
          <w:shd w:val="clear" w:color="auto" w:fill="FFFFFF"/>
        </w:rPr>
        <w:t>nota 1,</w:t>
      </w:r>
      <w:r w:rsidRPr="00E40021">
        <w:rPr>
          <w:rFonts w:ascii="Verdana" w:hAnsi="Verdana"/>
          <w:sz w:val="16"/>
          <w:szCs w:val="16"/>
        </w:rPr>
        <w:t xml:space="preserve"> </w:t>
      </w:r>
      <w:r>
        <w:rPr>
          <w:rFonts w:ascii="Verdana" w:hAnsi="Verdana"/>
          <w:sz w:val="16"/>
          <w:szCs w:val="16"/>
        </w:rPr>
        <w:t>p</w:t>
      </w:r>
      <w:r w:rsidRPr="00E40021">
        <w:rPr>
          <w:rFonts w:ascii="Verdana" w:hAnsi="Verdana"/>
          <w:sz w:val="16"/>
          <w:szCs w:val="16"/>
        </w:rPr>
        <w:t>árrs. 219 a 221.</w:t>
      </w:r>
    </w:p>
  </w:footnote>
  <w:footnote w:id="12">
    <w:p w14:paraId="7F0B9937" w14:textId="1C8AD2B5" w:rsidR="007361D1" w:rsidRPr="00E40021" w:rsidRDefault="007361D1">
      <w:pPr>
        <w:pStyle w:val="Textonotapie"/>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Style w:val="Textoennegrita"/>
          <w:rFonts w:ascii="Verdana" w:hAnsi="Verdana"/>
          <w:b w:val="0"/>
          <w:i/>
          <w:sz w:val="16"/>
          <w:szCs w:val="16"/>
          <w:shd w:val="clear" w:color="auto" w:fill="FFFFFF"/>
        </w:rPr>
        <w:t>Caso Yarce y otras Vs. Colombia</w:t>
      </w:r>
      <w:r>
        <w:rPr>
          <w:rStyle w:val="Textoennegrita"/>
          <w:rFonts w:ascii="Verdana" w:hAnsi="Verdana"/>
          <w:b w:val="0"/>
          <w:i/>
          <w:sz w:val="16"/>
          <w:szCs w:val="16"/>
          <w:shd w:val="clear" w:color="auto" w:fill="FFFFFF"/>
        </w:rPr>
        <w:t xml:space="preserve">, supra </w:t>
      </w:r>
      <w:r>
        <w:rPr>
          <w:rStyle w:val="Textoennegrita"/>
          <w:rFonts w:ascii="Verdana" w:hAnsi="Verdana"/>
          <w:b w:val="0"/>
          <w:sz w:val="16"/>
          <w:szCs w:val="16"/>
          <w:shd w:val="clear" w:color="auto" w:fill="FFFFFF"/>
        </w:rPr>
        <w:t>nota 1,</w:t>
      </w:r>
      <w:r w:rsidRPr="00E40021">
        <w:rPr>
          <w:rFonts w:ascii="Verdana" w:hAnsi="Verdana"/>
          <w:sz w:val="16"/>
          <w:szCs w:val="16"/>
        </w:rPr>
        <w:t xml:space="preserve"> </w:t>
      </w:r>
      <w:r>
        <w:rPr>
          <w:rFonts w:ascii="Verdana" w:hAnsi="Verdana"/>
          <w:sz w:val="16"/>
          <w:szCs w:val="16"/>
        </w:rPr>
        <w:t>p</w:t>
      </w:r>
      <w:r w:rsidRPr="00E40021">
        <w:rPr>
          <w:rFonts w:ascii="Verdana" w:hAnsi="Verdana"/>
          <w:sz w:val="16"/>
          <w:szCs w:val="16"/>
        </w:rPr>
        <w:t>árr. 222.</w:t>
      </w:r>
    </w:p>
  </w:footnote>
  <w:footnote w:id="13">
    <w:p w14:paraId="3474B6A0" w14:textId="14C229E5" w:rsidR="007361D1" w:rsidRPr="00E40021" w:rsidRDefault="007361D1" w:rsidP="0033420A">
      <w:pPr>
        <w:pStyle w:val="Textonotapie"/>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Style w:val="Textoennegrita"/>
          <w:rFonts w:ascii="Verdana" w:hAnsi="Verdana"/>
          <w:b w:val="0"/>
          <w:i/>
          <w:sz w:val="16"/>
          <w:szCs w:val="16"/>
          <w:shd w:val="clear" w:color="auto" w:fill="FFFFFF"/>
        </w:rPr>
        <w:t>Caso Yarce y otras Vs. Colombia</w:t>
      </w:r>
      <w:r>
        <w:rPr>
          <w:rStyle w:val="Textoennegrita"/>
          <w:rFonts w:ascii="Verdana" w:hAnsi="Verdana"/>
          <w:b w:val="0"/>
          <w:i/>
          <w:sz w:val="16"/>
          <w:szCs w:val="16"/>
          <w:shd w:val="clear" w:color="auto" w:fill="FFFFFF"/>
        </w:rPr>
        <w:t xml:space="preserve">, supra </w:t>
      </w:r>
      <w:r>
        <w:rPr>
          <w:rStyle w:val="Textoennegrita"/>
          <w:rFonts w:ascii="Verdana" w:hAnsi="Verdana"/>
          <w:b w:val="0"/>
          <w:sz w:val="16"/>
          <w:szCs w:val="16"/>
          <w:shd w:val="clear" w:color="auto" w:fill="FFFFFF"/>
        </w:rPr>
        <w:t>nota 1,</w:t>
      </w:r>
      <w:r w:rsidRPr="00E40021">
        <w:rPr>
          <w:rFonts w:ascii="Verdana" w:hAnsi="Verdana"/>
          <w:sz w:val="16"/>
          <w:szCs w:val="16"/>
        </w:rPr>
        <w:t xml:space="preserve"> </w:t>
      </w:r>
      <w:r>
        <w:rPr>
          <w:rFonts w:ascii="Verdana" w:hAnsi="Verdana"/>
          <w:sz w:val="16"/>
          <w:szCs w:val="16"/>
        </w:rPr>
        <w:t>p</w:t>
      </w:r>
      <w:r w:rsidRPr="00E40021">
        <w:rPr>
          <w:rFonts w:ascii="Verdana" w:hAnsi="Verdana"/>
          <w:sz w:val="16"/>
          <w:szCs w:val="16"/>
        </w:rPr>
        <w:t>árrs. 284 a 299.</w:t>
      </w:r>
    </w:p>
  </w:footnote>
  <w:footnote w:id="14">
    <w:p w14:paraId="7A18C667" w14:textId="77CDFC3F" w:rsidR="007361D1" w:rsidRPr="00E40021" w:rsidRDefault="007361D1" w:rsidP="0033420A">
      <w:pPr>
        <w:pStyle w:val="Textonotapie"/>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Style w:val="Textoennegrita"/>
          <w:rFonts w:ascii="Verdana" w:hAnsi="Verdana"/>
          <w:b w:val="0"/>
          <w:i/>
          <w:sz w:val="16"/>
          <w:szCs w:val="16"/>
          <w:shd w:val="clear" w:color="auto" w:fill="FFFFFF"/>
        </w:rPr>
        <w:t>Caso Yarce y otras Vs. Colombia</w:t>
      </w:r>
      <w:r>
        <w:rPr>
          <w:rStyle w:val="Textoennegrita"/>
          <w:rFonts w:ascii="Verdana" w:hAnsi="Verdana"/>
          <w:b w:val="0"/>
          <w:i/>
          <w:sz w:val="16"/>
          <w:szCs w:val="16"/>
          <w:shd w:val="clear" w:color="auto" w:fill="FFFFFF"/>
        </w:rPr>
        <w:t xml:space="preserve">, supra </w:t>
      </w:r>
      <w:r>
        <w:rPr>
          <w:rStyle w:val="Textoennegrita"/>
          <w:rFonts w:ascii="Verdana" w:hAnsi="Verdana"/>
          <w:b w:val="0"/>
          <w:sz w:val="16"/>
          <w:szCs w:val="16"/>
          <w:shd w:val="clear" w:color="auto" w:fill="FFFFFF"/>
        </w:rPr>
        <w:t>nota 1,</w:t>
      </w:r>
      <w:r w:rsidRPr="00E40021">
        <w:rPr>
          <w:rFonts w:ascii="Verdana" w:hAnsi="Verdana"/>
          <w:sz w:val="16"/>
          <w:szCs w:val="16"/>
        </w:rPr>
        <w:t xml:space="preserve"> </w:t>
      </w:r>
      <w:r>
        <w:rPr>
          <w:rFonts w:ascii="Verdana" w:hAnsi="Verdana"/>
          <w:sz w:val="16"/>
          <w:szCs w:val="16"/>
        </w:rPr>
        <w:t>p</w:t>
      </w:r>
      <w:r w:rsidRPr="00E40021">
        <w:rPr>
          <w:rFonts w:ascii="Verdana" w:hAnsi="Verdana"/>
          <w:sz w:val="16"/>
          <w:szCs w:val="16"/>
        </w:rPr>
        <w:t>árr. 287.</w:t>
      </w:r>
    </w:p>
  </w:footnote>
  <w:footnote w:id="15">
    <w:p w14:paraId="7A838F59" w14:textId="3452F6B9" w:rsidR="007361D1" w:rsidRPr="00E40021" w:rsidRDefault="007361D1">
      <w:pPr>
        <w:pStyle w:val="Textonotapie"/>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Style w:val="Textoennegrita"/>
          <w:rFonts w:ascii="Verdana" w:hAnsi="Verdana"/>
          <w:b w:val="0"/>
          <w:i/>
          <w:sz w:val="16"/>
          <w:szCs w:val="16"/>
          <w:shd w:val="clear" w:color="auto" w:fill="FFFFFF"/>
        </w:rPr>
        <w:t>Caso Yarce y otras Vs. Colombia</w:t>
      </w:r>
      <w:r>
        <w:rPr>
          <w:rStyle w:val="Textoennegrita"/>
          <w:rFonts w:ascii="Verdana" w:hAnsi="Verdana"/>
          <w:b w:val="0"/>
          <w:i/>
          <w:sz w:val="16"/>
          <w:szCs w:val="16"/>
          <w:shd w:val="clear" w:color="auto" w:fill="FFFFFF"/>
        </w:rPr>
        <w:t xml:space="preserve">, supra </w:t>
      </w:r>
      <w:r>
        <w:rPr>
          <w:rStyle w:val="Textoennegrita"/>
          <w:rFonts w:ascii="Verdana" w:hAnsi="Verdana"/>
          <w:b w:val="0"/>
          <w:sz w:val="16"/>
          <w:szCs w:val="16"/>
          <w:shd w:val="clear" w:color="auto" w:fill="FFFFFF"/>
        </w:rPr>
        <w:t>nota 1,</w:t>
      </w:r>
      <w:r w:rsidRPr="00E40021">
        <w:rPr>
          <w:rFonts w:ascii="Verdana" w:hAnsi="Verdana"/>
          <w:sz w:val="16"/>
          <w:szCs w:val="16"/>
        </w:rPr>
        <w:t xml:space="preserve"> </w:t>
      </w:r>
      <w:r>
        <w:rPr>
          <w:rFonts w:ascii="Verdana" w:hAnsi="Verdana"/>
          <w:sz w:val="16"/>
          <w:szCs w:val="16"/>
        </w:rPr>
        <w:t>p</w:t>
      </w:r>
      <w:r w:rsidRPr="00E40021">
        <w:rPr>
          <w:rFonts w:ascii="Verdana" w:hAnsi="Verdana"/>
          <w:sz w:val="16"/>
          <w:szCs w:val="16"/>
        </w:rPr>
        <w:t>árrs. 107 y 108.</w:t>
      </w:r>
    </w:p>
  </w:footnote>
  <w:footnote w:id="16">
    <w:p w14:paraId="241F4F75" w14:textId="6DCFD82B" w:rsidR="007361D1" w:rsidRPr="00E40021" w:rsidRDefault="007361D1">
      <w:pPr>
        <w:pStyle w:val="Textonotapie"/>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Style w:val="Textoennegrita"/>
          <w:rFonts w:ascii="Verdana" w:hAnsi="Verdana"/>
          <w:b w:val="0"/>
          <w:i/>
          <w:sz w:val="16"/>
          <w:szCs w:val="16"/>
          <w:shd w:val="clear" w:color="auto" w:fill="FFFFFF"/>
        </w:rPr>
        <w:t>Caso Yarce y otras Vs. Colombia</w:t>
      </w:r>
      <w:r>
        <w:rPr>
          <w:rStyle w:val="Textoennegrita"/>
          <w:rFonts w:ascii="Verdana" w:hAnsi="Verdana"/>
          <w:b w:val="0"/>
          <w:i/>
          <w:sz w:val="16"/>
          <w:szCs w:val="16"/>
          <w:shd w:val="clear" w:color="auto" w:fill="FFFFFF"/>
        </w:rPr>
        <w:t xml:space="preserve">, supra </w:t>
      </w:r>
      <w:r>
        <w:rPr>
          <w:rStyle w:val="Textoennegrita"/>
          <w:rFonts w:ascii="Verdana" w:hAnsi="Verdana"/>
          <w:b w:val="0"/>
          <w:sz w:val="16"/>
          <w:szCs w:val="16"/>
          <w:shd w:val="clear" w:color="auto" w:fill="FFFFFF"/>
        </w:rPr>
        <w:t>nota 1,</w:t>
      </w:r>
      <w:r w:rsidRPr="00E40021">
        <w:rPr>
          <w:rFonts w:ascii="Verdana" w:hAnsi="Verdana"/>
          <w:sz w:val="16"/>
          <w:szCs w:val="16"/>
        </w:rPr>
        <w:t xml:space="preserve"> </w:t>
      </w:r>
      <w:r>
        <w:rPr>
          <w:rFonts w:ascii="Verdana" w:hAnsi="Verdana"/>
          <w:sz w:val="16"/>
          <w:szCs w:val="16"/>
        </w:rPr>
        <w:t>p</w:t>
      </w:r>
      <w:r w:rsidRPr="00E40021">
        <w:rPr>
          <w:rFonts w:ascii="Verdana" w:hAnsi="Verdana"/>
          <w:sz w:val="16"/>
          <w:szCs w:val="16"/>
        </w:rPr>
        <w:t>árr. 108.</w:t>
      </w:r>
    </w:p>
  </w:footnote>
  <w:footnote w:id="17">
    <w:p w14:paraId="6EBF3586" w14:textId="1A3327F7" w:rsidR="007361D1" w:rsidRPr="00E40021" w:rsidRDefault="007361D1" w:rsidP="00A531BD">
      <w:pPr>
        <w:pStyle w:val="Textonotapie"/>
        <w:jc w:val="both"/>
        <w:rPr>
          <w:rFonts w:ascii="Verdana" w:hAnsi="Verdana"/>
          <w:b/>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En </w:t>
      </w:r>
      <w:r w:rsidR="001033C2">
        <w:rPr>
          <w:rFonts w:ascii="Verdana" w:hAnsi="Verdana"/>
          <w:sz w:val="16"/>
          <w:szCs w:val="16"/>
        </w:rPr>
        <w:t>el</w:t>
      </w:r>
      <w:r w:rsidRPr="00E40021">
        <w:rPr>
          <w:rFonts w:ascii="Verdana" w:hAnsi="Verdana"/>
          <w:sz w:val="16"/>
          <w:szCs w:val="16"/>
        </w:rPr>
        <w:t xml:space="preserve"> informe de febrero de 2018 </w:t>
      </w:r>
      <w:r w:rsidRPr="00E40021">
        <w:rPr>
          <w:rFonts w:ascii="Verdana" w:hAnsi="Verdana"/>
          <w:i/>
          <w:sz w:val="16"/>
          <w:szCs w:val="16"/>
        </w:rPr>
        <w:t xml:space="preserve">Colombia </w:t>
      </w:r>
      <w:r w:rsidRPr="00E40021">
        <w:rPr>
          <w:rFonts w:ascii="Verdana" w:hAnsi="Verdana"/>
          <w:sz w:val="16"/>
          <w:szCs w:val="16"/>
        </w:rPr>
        <w:t>sostuvo, respecto a “la participación de las víctimas dentro de la investigación”, que “no se ha[</w:t>
      </w:r>
      <w:proofErr w:type="spellStart"/>
      <w:r w:rsidRPr="00E40021">
        <w:rPr>
          <w:rFonts w:ascii="Verdana" w:hAnsi="Verdana"/>
          <w:sz w:val="16"/>
          <w:szCs w:val="16"/>
        </w:rPr>
        <w:t>bía</w:t>
      </w:r>
      <w:proofErr w:type="spellEnd"/>
      <w:r w:rsidRPr="00E40021">
        <w:rPr>
          <w:rFonts w:ascii="Verdana" w:hAnsi="Verdana"/>
          <w:sz w:val="16"/>
          <w:szCs w:val="16"/>
        </w:rPr>
        <w:t xml:space="preserve">] </w:t>
      </w:r>
      <w:proofErr w:type="gramStart"/>
      <w:r w:rsidRPr="00E40021">
        <w:rPr>
          <w:rFonts w:ascii="Verdana" w:hAnsi="Verdana"/>
          <w:sz w:val="16"/>
          <w:szCs w:val="16"/>
        </w:rPr>
        <w:t>presentado demanda</w:t>
      </w:r>
      <w:proofErr w:type="gramEnd"/>
      <w:r w:rsidRPr="00E40021">
        <w:rPr>
          <w:rFonts w:ascii="Verdana" w:hAnsi="Verdana"/>
          <w:sz w:val="16"/>
          <w:szCs w:val="16"/>
        </w:rPr>
        <w:t xml:space="preserve"> de constitución como parte civil y no ha[</w:t>
      </w:r>
      <w:proofErr w:type="spellStart"/>
      <w:r w:rsidRPr="00E40021">
        <w:rPr>
          <w:rFonts w:ascii="Verdana" w:hAnsi="Verdana"/>
          <w:sz w:val="16"/>
          <w:szCs w:val="16"/>
        </w:rPr>
        <w:t>bían</w:t>
      </w:r>
      <w:proofErr w:type="spellEnd"/>
      <w:r w:rsidRPr="00E40021">
        <w:rPr>
          <w:rFonts w:ascii="Verdana" w:hAnsi="Verdana"/>
          <w:sz w:val="16"/>
          <w:szCs w:val="16"/>
        </w:rPr>
        <w:t xml:space="preserve">] intervenido en las distintas diligencias adelantadas por la Fiscalía”. En el informe de agosto de 2018 agregó que “la participación de las víctimas dentro de la investigación […] ha sido nula […], pues se han mostrado renuentes a colaborar”. </w:t>
      </w:r>
    </w:p>
  </w:footnote>
  <w:footnote w:id="18">
    <w:p w14:paraId="38755189" w14:textId="540E9205" w:rsidR="007361D1" w:rsidRPr="00E40021" w:rsidRDefault="007361D1" w:rsidP="00A531BD">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Pr>
          <w:rFonts w:ascii="Verdana" w:hAnsi="Verdana"/>
          <w:sz w:val="16"/>
          <w:szCs w:val="16"/>
        </w:rPr>
        <w:t>E</w:t>
      </w:r>
      <w:r w:rsidRPr="00E40021">
        <w:rPr>
          <w:rFonts w:ascii="Verdana" w:hAnsi="Verdana"/>
          <w:sz w:val="16"/>
          <w:szCs w:val="16"/>
        </w:rPr>
        <w:t xml:space="preserve">xplicaron que la señora Rúa Figueroa “no tiene representación como </w:t>
      </w:r>
      <w:r>
        <w:rPr>
          <w:rFonts w:ascii="Verdana" w:hAnsi="Verdana"/>
          <w:sz w:val="16"/>
          <w:szCs w:val="16"/>
        </w:rPr>
        <w:t>P</w:t>
      </w:r>
      <w:r w:rsidRPr="00E40021">
        <w:rPr>
          <w:rFonts w:ascii="Verdana" w:hAnsi="Verdana"/>
          <w:sz w:val="16"/>
          <w:szCs w:val="16"/>
        </w:rPr>
        <w:t xml:space="preserve">arte </w:t>
      </w:r>
      <w:r>
        <w:rPr>
          <w:rFonts w:ascii="Verdana" w:hAnsi="Verdana"/>
          <w:sz w:val="16"/>
          <w:szCs w:val="16"/>
        </w:rPr>
        <w:t>C</w:t>
      </w:r>
      <w:r w:rsidRPr="00E40021">
        <w:rPr>
          <w:rFonts w:ascii="Verdana" w:hAnsi="Verdana"/>
          <w:sz w:val="16"/>
          <w:szCs w:val="16"/>
        </w:rPr>
        <w:t xml:space="preserve">ivil en la investigación penal, </w:t>
      </w:r>
      <w:r w:rsidR="001033C2">
        <w:rPr>
          <w:rFonts w:ascii="Verdana" w:hAnsi="Verdana"/>
          <w:sz w:val="16"/>
          <w:szCs w:val="16"/>
        </w:rPr>
        <w:t>[…]</w:t>
      </w:r>
      <w:r w:rsidRPr="00E40021">
        <w:rPr>
          <w:rFonts w:ascii="Verdana" w:hAnsi="Verdana"/>
          <w:sz w:val="16"/>
          <w:szCs w:val="16"/>
        </w:rPr>
        <w:t xml:space="preserve"> porque </w:t>
      </w:r>
      <w:r>
        <w:rPr>
          <w:rFonts w:ascii="Verdana" w:hAnsi="Verdana"/>
          <w:sz w:val="16"/>
          <w:szCs w:val="16"/>
        </w:rPr>
        <w:t>[</w:t>
      </w:r>
      <w:r w:rsidRPr="00E40021">
        <w:rPr>
          <w:rFonts w:ascii="Verdana" w:hAnsi="Verdana"/>
          <w:sz w:val="16"/>
          <w:szCs w:val="16"/>
        </w:rPr>
        <w:t>é</w:t>
      </w:r>
      <w:r>
        <w:rPr>
          <w:rFonts w:ascii="Verdana" w:hAnsi="Verdana"/>
          <w:sz w:val="16"/>
          <w:szCs w:val="16"/>
        </w:rPr>
        <w:t>]</w:t>
      </w:r>
      <w:proofErr w:type="spellStart"/>
      <w:r w:rsidRPr="00E40021">
        <w:rPr>
          <w:rFonts w:ascii="Verdana" w:hAnsi="Verdana"/>
          <w:sz w:val="16"/>
          <w:szCs w:val="16"/>
        </w:rPr>
        <w:t>sta</w:t>
      </w:r>
      <w:proofErr w:type="spellEnd"/>
      <w:r w:rsidRPr="00E40021">
        <w:rPr>
          <w:rFonts w:ascii="Verdana" w:hAnsi="Verdana"/>
          <w:sz w:val="16"/>
          <w:szCs w:val="16"/>
        </w:rPr>
        <w:t xml:space="preserve"> fue trasladada sin ningún fundamento a la ciudad de Bogotá, a pesar de haber ocurrido los hechos en Medellín”, y “carece de medios para constituirse como parte civil en una investigación que se surte en una ciudad diferente a la de su residencia que es Medellín”. Indicaron que la Fiscalía Especializada que realizó la acusación es una “Fiscalía Especializada de Bogotá”. En cuanto a lo sostenido por el Estado respecto a la renuencia de la víctima a colaborar en la investigación (</w:t>
      </w:r>
      <w:r w:rsidRPr="00E40021">
        <w:rPr>
          <w:rFonts w:ascii="Verdana" w:hAnsi="Verdana"/>
          <w:i/>
          <w:sz w:val="16"/>
          <w:szCs w:val="16"/>
        </w:rPr>
        <w:t>supra</w:t>
      </w:r>
      <w:r w:rsidRPr="00E40021">
        <w:rPr>
          <w:rFonts w:ascii="Verdana" w:hAnsi="Verdana"/>
          <w:sz w:val="16"/>
          <w:szCs w:val="16"/>
        </w:rPr>
        <w:t xml:space="preserve"> nota al pie </w:t>
      </w:r>
      <w:r>
        <w:rPr>
          <w:rFonts w:ascii="Verdana" w:hAnsi="Verdana"/>
          <w:sz w:val="16"/>
          <w:szCs w:val="16"/>
        </w:rPr>
        <w:fldChar w:fldCharType="begin"/>
      </w:r>
      <w:r>
        <w:rPr>
          <w:rFonts w:ascii="Verdana" w:hAnsi="Verdana"/>
          <w:sz w:val="16"/>
          <w:szCs w:val="16"/>
        </w:rPr>
        <w:instrText xml:space="preserve"> NOTEREF _Ref26784086 \h </w:instrText>
      </w:r>
      <w:r>
        <w:rPr>
          <w:rFonts w:ascii="Verdana" w:hAnsi="Verdana"/>
          <w:sz w:val="16"/>
          <w:szCs w:val="16"/>
        </w:rPr>
      </w:r>
      <w:r>
        <w:rPr>
          <w:rFonts w:ascii="Verdana" w:hAnsi="Verdana"/>
          <w:sz w:val="16"/>
          <w:szCs w:val="16"/>
        </w:rPr>
        <w:fldChar w:fldCharType="separate"/>
      </w:r>
      <w:r w:rsidR="00630FCA">
        <w:rPr>
          <w:rFonts w:ascii="Verdana" w:hAnsi="Verdana"/>
          <w:sz w:val="16"/>
          <w:szCs w:val="16"/>
        </w:rPr>
        <w:t>17</w:t>
      </w:r>
      <w:r>
        <w:rPr>
          <w:rFonts w:ascii="Verdana" w:hAnsi="Verdana"/>
          <w:sz w:val="16"/>
          <w:szCs w:val="16"/>
        </w:rPr>
        <w:fldChar w:fldCharType="end"/>
      </w:r>
      <w:r w:rsidRPr="00E40021">
        <w:rPr>
          <w:rFonts w:ascii="Verdana" w:hAnsi="Verdana"/>
          <w:sz w:val="16"/>
          <w:szCs w:val="16"/>
        </w:rPr>
        <w:t xml:space="preserve">), expresaron que con ello “el Estado continúa agrediendo a las víctimas”, y que se trata de una “injusta acusación del Estado”, ya que “la señora Rúa no posee más información de la que dio desde un principio en </w:t>
      </w:r>
      <w:r>
        <w:rPr>
          <w:rFonts w:ascii="Verdana" w:hAnsi="Verdana"/>
          <w:sz w:val="16"/>
          <w:szCs w:val="16"/>
        </w:rPr>
        <w:t>su</w:t>
      </w:r>
      <w:r w:rsidRPr="00E40021">
        <w:rPr>
          <w:rFonts w:ascii="Verdana" w:hAnsi="Verdana"/>
          <w:sz w:val="16"/>
          <w:szCs w:val="16"/>
        </w:rPr>
        <w:t xml:space="preserve"> denuncia, ni tiene los medios económicos y técnicos para conseguirla, que sería</w:t>
      </w:r>
      <w:r>
        <w:rPr>
          <w:rFonts w:ascii="Verdana" w:hAnsi="Verdana"/>
          <w:sz w:val="16"/>
          <w:szCs w:val="16"/>
        </w:rPr>
        <w:t xml:space="preserve"> el</w:t>
      </w:r>
      <w:r w:rsidRPr="00E40021">
        <w:rPr>
          <w:rFonts w:ascii="Verdana" w:hAnsi="Verdana"/>
          <w:sz w:val="16"/>
          <w:szCs w:val="16"/>
        </w:rPr>
        <w:t xml:space="preserve"> trabajo de un investigador judicial”. Al respecto, resaltaron que “la falta de constitución de las víctimas como parte civil dentro del proceso penal no puede argumentarse como obstáculo para investigar”.  </w:t>
      </w:r>
    </w:p>
  </w:footnote>
  <w:footnote w:id="19">
    <w:p w14:paraId="07C5D85A" w14:textId="6D3D0F79" w:rsidR="007361D1" w:rsidRPr="00E40021" w:rsidRDefault="007361D1" w:rsidP="00A531BD">
      <w:pPr>
        <w:pStyle w:val="Textonotapie"/>
        <w:jc w:val="both"/>
        <w:rPr>
          <w:rFonts w:ascii="Verdana" w:hAnsi="Verdana" w:cs="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Pr>
          <w:rFonts w:ascii="Verdana" w:hAnsi="Verdana"/>
          <w:sz w:val="16"/>
          <w:szCs w:val="16"/>
        </w:rPr>
        <w:t>I</w:t>
      </w:r>
      <w:r w:rsidRPr="00E40021">
        <w:rPr>
          <w:rFonts w:ascii="Verdana" w:hAnsi="Verdana"/>
          <w:sz w:val="16"/>
          <w:szCs w:val="16"/>
        </w:rPr>
        <w:t xml:space="preserve">ndicaron que </w:t>
      </w:r>
      <w:r w:rsidRPr="00E40021">
        <w:rPr>
          <w:rFonts w:ascii="Verdana" w:hAnsi="Verdana" w:cs="Arial"/>
          <w:sz w:val="16"/>
          <w:szCs w:val="16"/>
          <w:lang w:val="es-MX"/>
        </w:rPr>
        <w:t xml:space="preserve">“[n]o hay ninguna evidencia de que la Fiscalía vaya a investigar la responsabilidad de agentes del Estado en [los] hechos que están relacionados con la Operación Mariscal realizada por fuerzas conjuntas del Estado”. </w:t>
      </w:r>
      <w:r w:rsidRPr="00E40021">
        <w:rPr>
          <w:rFonts w:ascii="Verdana" w:hAnsi="Verdana" w:cs="Verdana"/>
          <w:sz w:val="16"/>
          <w:szCs w:val="16"/>
        </w:rPr>
        <w:t xml:space="preserve">Agregaron que “si el Estado no asume un plan metodológico para establecer eventuales responsabilidades penales de </w:t>
      </w:r>
      <w:r>
        <w:rPr>
          <w:rFonts w:ascii="Verdana" w:hAnsi="Verdana" w:cs="Verdana"/>
          <w:sz w:val="16"/>
          <w:szCs w:val="16"/>
        </w:rPr>
        <w:t xml:space="preserve">los oficiales de </w:t>
      </w:r>
      <w:r w:rsidRPr="00E40021">
        <w:rPr>
          <w:rFonts w:ascii="Verdana" w:hAnsi="Verdana" w:cs="Verdana"/>
          <w:sz w:val="16"/>
          <w:szCs w:val="16"/>
        </w:rPr>
        <w:t xml:space="preserve">la Policía y el Ejército […] que fueron sancionados de tiempo atrás por la Procuraduría por faltas gravísimas disciplinarias con ocasión de la Operación Mariscal, no se está cumpliendo con [la] obligación de medio” de investigar. </w:t>
      </w:r>
      <w:r w:rsidR="001033C2">
        <w:rPr>
          <w:rFonts w:ascii="Verdana" w:hAnsi="Verdana" w:cs="Verdana"/>
          <w:sz w:val="16"/>
          <w:szCs w:val="16"/>
        </w:rPr>
        <w:t>Sostuvieron</w:t>
      </w:r>
      <w:r w:rsidRPr="00E40021">
        <w:rPr>
          <w:rFonts w:ascii="Verdana" w:hAnsi="Verdana" w:cs="Verdana"/>
          <w:sz w:val="16"/>
          <w:szCs w:val="16"/>
        </w:rPr>
        <w:t xml:space="preserve"> que “</w:t>
      </w:r>
      <w:r>
        <w:rPr>
          <w:rFonts w:ascii="Verdana" w:hAnsi="Verdana" w:cs="Verdana"/>
          <w:sz w:val="16"/>
          <w:szCs w:val="16"/>
        </w:rPr>
        <w:t>[</w:t>
      </w:r>
      <w:r w:rsidRPr="00E40021">
        <w:rPr>
          <w:rFonts w:ascii="Verdana" w:hAnsi="Verdana" w:cs="Verdana"/>
          <w:sz w:val="16"/>
          <w:szCs w:val="16"/>
        </w:rPr>
        <w:t>c</w:t>
      </w:r>
      <w:r>
        <w:rPr>
          <w:rFonts w:ascii="Verdana" w:hAnsi="Verdana" w:cs="Verdana"/>
          <w:sz w:val="16"/>
          <w:szCs w:val="16"/>
        </w:rPr>
        <w:t>]</w:t>
      </w:r>
      <w:proofErr w:type="spellStart"/>
      <w:r w:rsidRPr="00E40021">
        <w:rPr>
          <w:rFonts w:ascii="Verdana" w:hAnsi="Verdana" w:cs="Verdana"/>
          <w:sz w:val="16"/>
          <w:szCs w:val="16"/>
        </w:rPr>
        <w:t>onforme</w:t>
      </w:r>
      <w:proofErr w:type="spellEnd"/>
      <w:r w:rsidRPr="00E40021">
        <w:rPr>
          <w:rFonts w:ascii="Verdana" w:hAnsi="Verdana" w:cs="Verdana"/>
          <w:sz w:val="16"/>
          <w:szCs w:val="16"/>
        </w:rPr>
        <w:t xml:space="preserve"> a lo anterior […] la Fiscalía debe implementar </w:t>
      </w:r>
      <w:r>
        <w:rPr>
          <w:rFonts w:ascii="Verdana" w:hAnsi="Verdana" w:cs="Verdana"/>
          <w:sz w:val="16"/>
          <w:szCs w:val="16"/>
        </w:rPr>
        <w:t xml:space="preserve">[…] </w:t>
      </w:r>
      <w:r w:rsidRPr="00E40021">
        <w:rPr>
          <w:rFonts w:ascii="Verdana" w:hAnsi="Verdana" w:cs="Verdana"/>
          <w:sz w:val="16"/>
          <w:szCs w:val="16"/>
        </w:rPr>
        <w:t>la Directiva 01 del 4 de octubre de 2012 para abordar adecuadamente la investigación de los hechos”, mencionada en el párrafo 332 de la Sentencia de la Corte Interamericana, a efecto de “</w:t>
      </w:r>
      <w:proofErr w:type="spellStart"/>
      <w:r w:rsidRPr="00E40021">
        <w:rPr>
          <w:rFonts w:ascii="Verdana" w:hAnsi="Verdana" w:cs="Verdana"/>
          <w:sz w:val="16"/>
          <w:szCs w:val="16"/>
        </w:rPr>
        <w:t>dot</w:t>
      </w:r>
      <w:proofErr w:type="spellEnd"/>
      <w:r>
        <w:rPr>
          <w:rFonts w:ascii="Verdana" w:hAnsi="Verdana" w:cs="Verdana"/>
          <w:sz w:val="16"/>
          <w:szCs w:val="16"/>
        </w:rPr>
        <w:t>[</w:t>
      </w:r>
      <w:r w:rsidRPr="00E40021">
        <w:rPr>
          <w:rFonts w:ascii="Verdana" w:hAnsi="Verdana" w:cs="Verdana"/>
          <w:sz w:val="16"/>
          <w:szCs w:val="16"/>
        </w:rPr>
        <w:t>ar</w:t>
      </w:r>
      <w:r>
        <w:rPr>
          <w:rFonts w:ascii="Verdana" w:hAnsi="Verdana" w:cs="Verdana"/>
          <w:sz w:val="16"/>
          <w:szCs w:val="16"/>
        </w:rPr>
        <w:t>]</w:t>
      </w:r>
      <w:r w:rsidRPr="00E40021">
        <w:rPr>
          <w:rFonts w:ascii="Verdana" w:hAnsi="Verdana" w:cs="Verdana"/>
          <w:sz w:val="16"/>
          <w:szCs w:val="16"/>
        </w:rPr>
        <w:t xml:space="preserve"> de contexto” la investigación de los hechos ocurridos a la señora Rúa Figueroa. </w:t>
      </w:r>
    </w:p>
  </w:footnote>
  <w:footnote w:id="20">
    <w:p w14:paraId="5DA6DB8B" w14:textId="4CD055C0" w:rsidR="007361D1" w:rsidRPr="00E40021" w:rsidRDefault="007361D1" w:rsidP="0067624F">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El 22 de junio de 2017 “la Fiscalía 45 </w:t>
      </w:r>
      <w:r w:rsidR="00EE6B4A">
        <w:rPr>
          <w:rFonts w:ascii="Verdana" w:hAnsi="Verdana"/>
          <w:sz w:val="16"/>
          <w:szCs w:val="16"/>
        </w:rPr>
        <w:t>E</w:t>
      </w:r>
      <w:r w:rsidRPr="00E40021">
        <w:rPr>
          <w:rFonts w:ascii="Verdana" w:hAnsi="Verdana"/>
          <w:sz w:val="16"/>
          <w:szCs w:val="16"/>
        </w:rPr>
        <w:t xml:space="preserve">specializada resolvió la situación jurídica del sindicado, imponiéndole medida de aseguramiento consistente en detención preventiva sin derecho a excarcelación, como coautor de las conductas punibles endilgadas en la indagatoria”. </w:t>
      </w:r>
    </w:p>
  </w:footnote>
  <w:footnote w:id="21">
    <w:p w14:paraId="53CC4D81" w14:textId="616A67F4" w:rsidR="007361D1" w:rsidRPr="00E40021" w:rsidRDefault="007361D1" w:rsidP="0032034F">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Cfr.</w:t>
      </w:r>
      <w:r w:rsidRPr="00E40021">
        <w:rPr>
          <w:rFonts w:ascii="Verdana" w:hAnsi="Verdana"/>
          <w:sz w:val="16"/>
          <w:szCs w:val="16"/>
        </w:rPr>
        <w:t xml:space="preserve"> </w:t>
      </w:r>
      <w:r w:rsidRPr="008435C2">
        <w:rPr>
          <w:rFonts w:ascii="Verdana" w:hAnsi="Verdana"/>
          <w:i/>
          <w:sz w:val="16"/>
          <w:szCs w:val="16"/>
        </w:rPr>
        <w:t>Caso Velásquez Rodríguez Vs. Honduras</w:t>
      </w:r>
      <w:r>
        <w:rPr>
          <w:rFonts w:ascii="Verdana" w:hAnsi="Verdana"/>
          <w:i/>
          <w:sz w:val="16"/>
          <w:szCs w:val="16"/>
        </w:rPr>
        <w:t>.</w:t>
      </w:r>
      <w:r w:rsidRPr="00E40021">
        <w:rPr>
          <w:rFonts w:ascii="Verdana" w:hAnsi="Verdana"/>
          <w:sz w:val="16"/>
          <w:szCs w:val="16"/>
        </w:rPr>
        <w:t xml:space="preserve"> </w:t>
      </w:r>
      <w:r w:rsidRPr="00E17F09">
        <w:rPr>
          <w:rFonts w:ascii="Verdana" w:hAnsi="Verdana"/>
          <w:i/>
          <w:sz w:val="16"/>
          <w:szCs w:val="16"/>
        </w:rPr>
        <w:t>Fondo</w:t>
      </w:r>
      <w:r w:rsidRPr="00870177">
        <w:rPr>
          <w:rFonts w:ascii="Verdana" w:hAnsi="Verdana"/>
          <w:sz w:val="16"/>
          <w:szCs w:val="16"/>
        </w:rPr>
        <w:t>. Sentencia de 29 de julio de 1988. Serie C No. 4</w:t>
      </w:r>
      <w:r w:rsidRPr="00E40021">
        <w:rPr>
          <w:rFonts w:ascii="Verdana" w:hAnsi="Verdana"/>
          <w:sz w:val="16"/>
          <w:szCs w:val="16"/>
        </w:rPr>
        <w:t xml:space="preserve">, párr. 177 y </w:t>
      </w:r>
      <w:r w:rsidRPr="008435C2">
        <w:rPr>
          <w:rFonts w:ascii="Verdana" w:hAnsi="Verdana"/>
          <w:i/>
          <w:sz w:val="16"/>
          <w:szCs w:val="16"/>
        </w:rPr>
        <w:t>Caso Acosta y otros Vs. Nicaragu</w:t>
      </w:r>
      <w:r w:rsidR="00E17F09">
        <w:rPr>
          <w:rFonts w:ascii="Verdana" w:hAnsi="Verdana"/>
          <w:i/>
          <w:sz w:val="16"/>
          <w:szCs w:val="16"/>
        </w:rPr>
        <w:t>a</w:t>
      </w:r>
      <w:r>
        <w:rPr>
          <w:rFonts w:ascii="Verdana" w:hAnsi="Verdana"/>
          <w:i/>
          <w:sz w:val="16"/>
          <w:szCs w:val="16"/>
        </w:rPr>
        <w:t>.</w:t>
      </w:r>
      <w:r w:rsidRPr="00E40021">
        <w:rPr>
          <w:rFonts w:ascii="Verdana" w:hAnsi="Verdana"/>
          <w:sz w:val="16"/>
          <w:szCs w:val="16"/>
        </w:rPr>
        <w:t xml:space="preserve"> </w:t>
      </w:r>
      <w:r w:rsidRPr="00E17F09">
        <w:rPr>
          <w:rFonts w:ascii="Verdana" w:hAnsi="Verdana"/>
          <w:i/>
          <w:sz w:val="16"/>
          <w:szCs w:val="16"/>
        </w:rPr>
        <w:t>Excepciones Preliminares, Fondo, Reparaciones y Costas</w:t>
      </w:r>
      <w:r w:rsidRPr="00870177">
        <w:rPr>
          <w:rFonts w:ascii="Verdana" w:hAnsi="Verdana"/>
          <w:sz w:val="16"/>
          <w:szCs w:val="16"/>
        </w:rPr>
        <w:t>. Sentencia de 25 de marzo de 2017. Serie C No. 334</w:t>
      </w:r>
      <w:r w:rsidRPr="00E40021">
        <w:rPr>
          <w:rFonts w:ascii="Verdana" w:hAnsi="Verdana"/>
          <w:sz w:val="16"/>
          <w:szCs w:val="16"/>
        </w:rPr>
        <w:t xml:space="preserve">, párr. 136. Ver también </w:t>
      </w:r>
      <w:r w:rsidRPr="00E17F09">
        <w:rPr>
          <w:rFonts w:ascii="Verdana" w:hAnsi="Verdana"/>
          <w:i/>
          <w:sz w:val="16"/>
          <w:szCs w:val="16"/>
        </w:rPr>
        <w:t>12 Casos Guatemaltecos Vs. Guatemala. Supervisión de Cumplimiento de Sentencia</w:t>
      </w:r>
      <w:r w:rsidRPr="0032034F">
        <w:rPr>
          <w:rFonts w:ascii="Verdana" w:hAnsi="Verdana"/>
          <w:sz w:val="16"/>
          <w:szCs w:val="16"/>
        </w:rPr>
        <w:t>. Resolución de la Corte Interamericana de Derechos</w:t>
      </w:r>
      <w:r>
        <w:rPr>
          <w:rFonts w:ascii="Verdana" w:hAnsi="Verdana"/>
          <w:sz w:val="16"/>
          <w:szCs w:val="16"/>
        </w:rPr>
        <w:t xml:space="preserve"> </w:t>
      </w:r>
      <w:r w:rsidRPr="0032034F">
        <w:rPr>
          <w:rFonts w:ascii="Verdana" w:hAnsi="Verdana"/>
          <w:sz w:val="16"/>
          <w:szCs w:val="16"/>
        </w:rPr>
        <w:t>Humanos de 24 de noviembre de 2015</w:t>
      </w:r>
      <w:r w:rsidRPr="00E40021">
        <w:rPr>
          <w:rFonts w:ascii="Verdana" w:hAnsi="Verdana"/>
          <w:sz w:val="16"/>
          <w:szCs w:val="16"/>
        </w:rPr>
        <w:t>, Considerando 124</w:t>
      </w:r>
      <w:r w:rsidR="00E17F09">
        <w:rPr>
          <w:rFonts w:ascii="Verdana" w:hAnsi="Verdana"/>
          <w:sz w:val="16"/>
          <w:szCs w:val="16"/>
        </w:rPr>
        <w:t>,</w:t>
      </w:r>
      <w:r>
        <w:rPr>
          <w:rFonts w:ascii="Verdana" w:hAnsi="Verdana"/>
          <w:sz w:val="16"/>
          <w:szCs w:val="16"/>
        </w:rPr>
        <w:t xml:space="preserve"> y </w:t>
      </w:r>
      <w:r w:rsidRPr="00E17F09">
        <w:rPr>
          <w:rFonts w:ascii="Verdana" w:hAnsi="Verdana"/>
          <w:i/>
          <w:sz w:val="16"/>
          <w:szCs w:val="16"/>
        </w:rPr>
        <w:t xml:space="preserve">Caso </w:t>
      </w:r>
      <w:proofErr w:type="spellStart"/>
      <w:r w:rsidRPr="00E17F09">
        <w:rPr>
          <w:rFonts w:ascii="Verdana" w:hAnsi="Verdana"/>
          <w:i/>
          <w:sz w:val="16"/>
          <w:szCs w:val="16"/>
        </w:rPr>
        <w:t>Kawas</w:t>
      </w:r>
      <w:proofErr w:type="spellEnd"/>
      <w:r w:rsidRPr="00E17F09">
        <w:rPr>
          <w:rFonts w:ascii="Verdana" w:hAnsi="Verdana"/>
          <w:i/>
          <w:sz w:val="16"/>
          <w:szCs w:val="16"/>
        </w:rPr>
        <w:t xml:space="preserve"> Fernández y Caso Luna López Vs. Honduras. Supervisión de Cumplimiento de Sentencias</w:t>
      </w:r>
      <w:r w:rsidRPr="0032034F">
        <w:rPr>
          <w:rFonts w:ascii="Verdana" w:hAnsi="Verdana"/>
          <w:sz w:val="16"/>
          <w:szCs w:val="16"/>
        </w:rPr>
        <w:t>. Resolución de la Corte Interamericana de Derechos Humanos de 30 de agosto de 2017</w:t>
      </w:r>
      <w:r>
        <w:rPr>
          <w:rFonts w:ascii="Verdana" w:hAnsi="Verdana"/>
          <w:sz w:val="16"/>
          <w:szCs w:val="16"/>
        </w:rPr>
        <w:t>, Considerando 50.</w:t>
      </w:r>
    </w:p>
  </w:footnote>
  <w:footnote w:id="22">
    <w:p w14:paraId="512747F7" w14:textId="77777777" w:rsidR="007361D1" w:rsidRPr="00E40021" w:rsidRDefault="007361D1" w:rsidP="00DB50AE">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En cuanto a las víctimas que son beneficiarias de esta reparación, en el párrafo 339 de la Sentencia se estableció que son las siguientes dieciséis personas: las señoras Myriam Eugenia Rúa Figueroa, Luz Dary Ospina Bastidas, Mery del Socorro Naranjo Jiménez y María del Socorro Mosquera Londoño, así como Gustavo de Jesús Tobón Meneses, Bárbara del Sol Palacios Rúa, Úrsula Manuela Palacios Rúa, Valentina Tobón Rúa, Oscar Tulio Hoyos Oquendo, </w:t>
      </w:r>
      <w:proofErr w:type="spellStart"/>
      <w:r w:rsidRPr="00E40021">
        <w:rPr>
          <w:rFonts w:ascii="Verdana" w:hAnsi="Verdana"/>
          <w:sz w:val="16"/>
          <w:szCs w:val="16"/>
        </w:rPr>
        <w:t>Edid</w:t>
      </w:r>
      <w:proofErr w:type="spellEnd"/>
      <w:r w:rsidRPr="00E40021">
        <w:rPr>
          <w:rFonts w:ascii="Verdana" w:hAnsi="Verdana"/>
          <w:sz w:val="16"/>
          <w:szCs w:val="16"/>
        </w:rPr>
        <w:t xml:space="preserve"> </w:t>
      </w:r>
      <w:proofErr w:type="spellStart"/>
      <w:r w:rsidRPr="00E40021">
        <w:rPr>
          <w:rFonts w:ascii="Verdana" w:hAnsi="Verdana"/>
          <w:sz w:val="16"/>
          <w:szCs w:val="16"/>
        </w:rPr>
        <w:t>Yazmín</w:t>
      </w:r>
      <w:proofErr w:type="spellEnd"/>
      <w:r w:rsidRPr="00E40021">
        <w:rPr>
          <w:rFonts w:ascii="Verdana" w:hAnsi="Verdana"/>
          <w:sz w:val="16"/>
          <w:szCs w:val="16"/>
        </w:rPr>
        <w:t xml:space="preserve"> Hoyos Ospina, Oscar Darío Hoyos Ospina, Migdalia Andrea Hoyos Ospina, Mónica </w:t>
      </w:r>
      <w:proofErr w:type="spellStart"/>
      <w:r w:rsidRPr="00E40021">
        <w:rPr>
          <w:rFonts w:ascii="Verdana" w:hAnsi="Verdana"/>
          <w:sz w:val="16"/>
          <w:szCs w:val="16"/>
        </w:rPr>
        <w:t>Dulfari</w:t>
      </w:r>
      <w:proofErr w:type="spellEnd"/>
      <w:r w:rsidRPr="00E40021">
        <w:rPr>
          <w:rFonts w:ascii="Verdana" w:hAnsi="Verdana"/>
          <w:sz w:val="16"/>
          <w:szCs w:val="16"/>
        </w:rPr>
        <w:t xml:space="preserve"> Orozco Yarce, Sirley Vanessa Yarce, John Henry Yarce, e Hilda Milena Villa Mosquera. </w:t>
      </w:r>
    </w:p>
  </w:footnote>
  <w:footnote w:id="23">
    <w:p w14:paraId="6B00B348" w14:textId="372F7B5E" w:rsidR="007361D1" w:rsidRPr="00E40021" w:rsidRDefault="007361D1" w:rsidP="00DB50AE">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La única referencia a este aspecto de la Sentencia la efectuó el Estado en su informe de diciembre de 2017, en </w:t>
      </w:r>
      <w:r w:rsidR="00E17F09">
        <w:rPr>
          <w:rFonts w:ascii="Verdana" w:hAnsi="Verdana"/>
          <w:sz w:val="16"/>
          <w:szCs w:val="16"/>
        </w:rPr>
        <w:t>el</w:t>
      </w:r>
      <w:r w:rsidRPr="00E40021">
        <w:rPr>
          <w:rFonts w:ascii="Verdana" w:hAnsi="Verdana"/>
          <w:sz w:val="16"/>
          <w:szCs w:val="16"/>
        </w:rPr>
        <w:t xml:space="preserve"> cual indicó que “solicitar[</w:t>
      </w:r>
      <w:proofErr w:type="spellStart"/>
      <w:r w:rsidRPr="00E40021">
        <w:rPr>
          <w:rFonts w:ascii="Verdana" w:hAnsi="Verdana"/>
          <w:sz w:val="16"/>
          <w:szCs w:val="16"/>
        </w:rPr>
        <w:t>ía</w:t>
      </w:r>
      <w:proofErr w:type="spellEnd"/>
      <w:r w:rsidRPr="00E40021">
        <w:rPr>
          <w:rFonts w:ascii="Verdana" w:hAnsi="Verdana"/>
          <w:sz w:val="16"/>
          <w:szCs w:val="16"/>
        </w:rPr>
        <w:t xml:space="preserve">] formalmente a los representantes allegar el listado de beneficiarios que deseen recibir el tratamiento en salud y </w:t>
      </w:r>
      <w:proofErr w:type="gramStart"/>
      <w:r w:rsidRPr="00E40021">
        <w:rPr>
          <w:rFonts w:ascii="Verdana" w:hAnsi="Verdana"/>
          <w:sz w:val="16"/>
          <w:szCs w:val="16"/>
        </w:rPr>
        <w:t>psicológico[</w:t>
      </w:r>
      <w:proofErr w:type="gramEnd"/>
      <w:r w:rsidRPr="00E40021">
        <w:rPr>
          <w:rFonts w:ascii="Verdana" w:hAnsi="Verdana"/>
          <w:sz w:val="16"/>
          <w:szCs w:val="16"/>
        </w:rPr>
        <w:t xml:space="preserve">,] de acuerdo con lo indicado en el punto resolutivo 28 de la Sentencia”.  </w:t>
      </w:r>
    </w:p>
  </w:footnote>
  <w:footnote w:id="24">
    <w:p w14:paraId="14EAC838" w14:textId="3D2808C7" w:rsidR="007361D1" w:rsidRPr="00E40021" w:rsidRDefault="007361D1" w:rsidP="002C1B4C">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Entre las razones indicadas para rechazar el PAPSIVI, l</w:t>
      </w:r>
      <w:r>
        <w:rPr>
          <w:rFonts w:ascii="Verdana" w:hAnsi="Verdana"/>
          <w:sz w:val="16"/>
          <w:szCs w:val="16"/>
        </w:rPr>
        <w:t>a</w:t>
      </w:r>
      <w:r w:rsidRPr="00E40021">
        <w:rPr>
          <w:rFonts w:ascii="Verdana" w:hAnsi="Verdana"/>
          <w:sz w:val="16"/>
          <w:szCs w:val="16"/>
        </w:rPr>
        <w:t>s representantes detallaron</w:t>
      </w:r>
      <w:r w:rsidR="00E17F09">
        <w:rPr>
          <w:rFonts w:ascii="Verdana" w:hAnsi="Verdana"/>
          <w:sz w:val="16"/>
          <w:szCs w:val="16"/>
        </w:rPr>
        <w:t xml:space="preserve"> que</w:t>
      </w:r>
      <w:r w:rsidRPr="00E40021">
        <w:rPr>
          <w:rFonts w:ascii="Verdana" w:hAnsi="Verdana"/>
          <w:sz w:val="16"/>
          <w:szCs w:val="16"/>
        </w:rPr>
        <w:t>: a) es una “medida de asistencia y no […] una medida de reparación”; b) es “</w:t>
      </w:r>
      <w:r w:rsidRPr="00E40021">
        <w:rPr>
          <w:rFonts w:ascii="Verdana" w:hAnsi="Verdana" w:cs="Verdana"/>
          <w:sz w:val="16"/>
          <w:szCs w:val="16"/>
        </w:rPr>
        <w:t xml:space="preserve">necesario contar como requisito previo para la implementación de la medida </w:t>
      </w:r>
      <w:r w:rsidR="00E17F09">
        <w:rPr>
          <w:rFonts w:ascii="Verdana" w:hAnsi="Verdana" w:cs="Verdana"/>
          <w:sz w:val="16"/>
          <w:szCs w:val="16"/>
        </w:rPr>
        <w:t xml:space="preserve">con </w:t>
      </w:r>
      <w:r w:rsidRPr="00E40021">
        <w:rPr>
          <w:rFonts w:ascii="Verdana" w:hAnsi="Verdana" w:cs="Verdana"/>
          <w:sz w:val="16"/>
          <w:szCs w:val="16"/>
        </w:rPr>
        <w:t>una fase de evaluación médica y psicosocial, que cuente con el aval de las víctimas”; c) el concepto de víctima utilizado en la Ley de Víctimas no corresponde con el concepto de víctima utilizado en el Sistema Interamericano</w:t>
      </w:r>
      <w:r w:rsidR="00E17F09">
        <w:rPr>
          <w:rFonts w:ascii="Verdana" w:hAnsi="Verdana" w:cs="Verdana"/>
          <w:sz w:val="16"/>
          <w:szCs w:val="16"/>
        </w:rPr>
        <w:t xml:space="preserve"> de Protección de Derechos Humanos</w:t>
      </w:r>
      <w:r w:rsidRPr="00E40021">
        <w:rPr>
          <w:rFonts w:ascii="Verdana" w:hAnsi="Verdana" w:cs="Verdana"/>
          <w:sz w:val="16"/>
          <w:szCs w:val="16"/>
        </w:rPr>
        <w:t xml:space="preserve">, por lo que no podrían gozar de los servicios en el PAPSIVI; d) el PAPSIVI no permite la atención preferencial o prioritaria de las víctimas; e) no resulta gratuito por cuanto debe pagarse una cuota mensual; f) el tratamiento dura máximo 10 años, lo cual es insuficiente para tratar las secuelas de salud de las víctimas en el presente caso, y g) el PAPSIVI no cuenta con servicios especializados, como lo fue ordenado en la Sentencia. </w:t>
      </w:r>
    </w:p>
  </w:footnote>
  <w:footnote w:id="25">
    <w:p w14:paraId="0E0FD7F3" w14:textId="77777777" w:rsidR="007361D1" w:rsidRPr="00E40021" w:rsidRDefault="007361D1">
      <w:pPr>
        <w:pStyle w:val="Textonotapie"/>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En su informe de agosto de 2018. </w:t>
      </w:r>
    </w:p>
  </w:footnote>
  <w:footnote w:id="26">
    <w:p w14:paraId="10DC4352" w14:textId="68514276" w:rsidR="007361D1" w:rsidRPr="00E40021" w:rsidRDefault="007361D1" w:rsidP="00B25E0E">
      <w:pPr>
        <w:pStyle w:val="Textonotapie"/>
        <w:tabs>
          <w:tab w:val="left" w:pos="540"/>
        </w:tabs>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0D0F00">
        <w:rPr>
          <w:rFonts w:ascii="Verdana" w:hAnsi="Verdana"/>
          <w:sz w:val="16"/>
          <w:szCs w:val="16"/>
        </w:rPr>
        <w:tab/>
      </w:r>
      <w:r w:rsidRPr="000D0F00">
        <w:rPr>
          <w:rFonts w:ascii="Verdana" w:hAnsi="Verdana"/>
          <w:i/>
          <w:sz w:val="16"/>
          <w:szCs w:val="16"/>
        </w:rPr>
        <w:t xml:space="preserve">Cfr. Caso Yarce y otras Vs. Colombia, supra </w:t>
      </w:r>
      <w:r w:rsidRPr="000D0F00">
        <w:rPr>
          <w:rFonts w:ascii="Verdana" w:hAnsi="Verdana"/>
          <w:sz w:val="16"/>
          <w:szCs w:val="16"/>
        </w:rPr>
        <w:t>nota al pie 1</w:t>
      </w:r>
      <w:r w:rsidR="000D0F00" w:rsidRPr="000D0F00">
        <w:rPr>
          <w:rFonts w:ascii="Verdana" w:hAnsi="Verdana"/>
          <w:sz w:val="16"/>
          <w:szCs w:val="16"/>
        </w:rPr>
        <w:t>, párr. 340. También ver:</w:t>
      </w:r>
      <w:r w:rsidRPr="000D0F00">
        <w:rPr>
          <w:rFonts w:ascii="Verdana" w:hAnsi="Verdana"/>
          <w:i/>
          <w:sz w:val="16"/>
          <w:szCs w:val="16"/>
        </w:rPr>
        <w:t xml:space="preserve"> Caso Vereda La Esperanza Vs. Colombia. Excepciones Preliminares, Fondo, Reparaciones y Costas. </w:t>
      </w:r>
      <w:r w:rsidRPr="000D0F00">
        <w:rPr>
          <w:rFonts w:ascii="Verdana" w:hAnsi="Verdana"/>
          <w:sz w:val="16"/>
          <w:szCs w:val="16"/>
        </w:rPr>
        <w:t>Sentencia de 31 de agosto de 20</w:t>
      </w:r>
      <w:r w:rsidR="000D0F00" w:rsidRPr="000D0F00">
        <w:rPr>
          <w:rFonts w:ascii="Verdana" w:hAnsi="Verdana"/>
          <w:sz w:val="16"/>
          <w:szCs w:val="16"/>
        </w:rPr>
        <w:t xml:space="preserve">17. Serie C No. 341, párr. 278; </w:t>
      </w:r>
      <w:r w:rsidRPr="000D0F00">
        <w:rPr>
          <w:rFonts w:ascii="Verdana" w:hAnsi="Verdana"/>
          <w:i/>
          <w:sz w:val="16"/>
          <w:szCs w:val="16"/>
        </w:rPr>
        <w:t xml:space="preserve">Caso Carvajal </w:t>
      </w:r>
      <w:proofErr w:type="spellStart"/>
      <w:r w:rsidRPr="000D0F00">
        <w:rPr>
          <w:rFonts w:ascii="Verdana" w:hAnsi="Verdana"/>
          <w:i/>
          <w:sz w:val="16"/>
          <w:szCs w:val="16"/>
        </w:rPr>
        <w:t>Carvajal</w:t>
      </w:r>
      <w:proofErr w:type="spellEnd"/>
      <w:r w:rsidRPr="000D0F00">
        <w:rPr>
          <w:rFonts w:ascii="Verdana" w:hAnsi="Verdana"/>
          <w:i/>
          <w:sz w:val="16"/>
          <w:szCs w:val="16"/>
        </w:rPr>
        <w:t xml:space="preserve"> y otros Vs. Colombia. Fondo, Reparaciones y Costas. </w:t>
      </w:r>
      <w:r w:rsidRPr="000D0F00">
        <w:rPr>
          <w:rFonts w:ascii="Verdana" w:hAnsi="Verdana"/>
          <w:sz w:val="16"/>
          <w:szCs w:val="16"/>
        </w:rPr>
        <w:t>Sentencia de 13 de marzo de 2</w:t>
      </w:r>
      <w:r w:rsidR="000D0F00" w:rsidRPr="000D0F00">
        <w:rPr>
          <w:rFonts w:ascii="Verdana" w:hAnsi="Verdana"/>
          <w:sz w:val="16"/>
          <w:szCs w:val="16"/>
        </w:rPr>
        <w:t xml:space="preserve">018. Serie C No. 352, párr. 206; </w:t>
      </w:r>
      <w:r w:rsidR="000D0F00" w:rsidRPr="000D0F00">
        <w:rPr>
          <w:rStyle w:val="Textoennegrita"/>
          <w:rFonts w:ascii="Verdana" w:hAnsi="Verdana"/>
          <w:b w:val="0"/>
          <w:i/>
          <w:color w:val="000000"/>
          <w:sz w:val="16"/>
          <w:szCs w:val="16"/>
          <w:shd w:val="clear" w:color="auto" w:fill="FFFFFF"/>
        </w:rPr>
        <w:t>Caso Isaza Uribe y otros Vs. Colombia. Fondo, Reparaciones y Costas.</w:t>
      </w:r>
      <w:r w:rsidR="000D0F00" w:rsidRPr="000D0F00">
        <w:rPr>
          <w:rStyle w:val="Textoennegrita"/>
          <w:rFonts w:ascii="Verdana" w:hAnsi="Verdana"/>
          <w:b w:val="0"/>
          <w:color w:val="000000"/>
          <w:sz w:val="16"/>
          <w:szCs w:val="16"/>
          <w:shd w:val="clear" w:color="auto" w:fill="FFFFFF"/>
        </w:rPr>
        <w:t xml:space="preserve"> Sentencia de 20 de noviembre de 2018. Serie C No. 363, párr. 184; </w:t>
      </w:r>
      <w:r w:rsidR="000D0F00" w:rsidRPr="000D0F00">
        <w:rPr>
          <w:rStyle w:val="Textoennegrita"/>
          <w:rFonts w:ascii="Verdana" w:hAnsi="Verdana"/>
          <w:b w:val="0"/>
          <w:i/>
          <w:color w:val="000000"/>
          <w:sz w:val="16"/>
          <w:szCs w:val="16"/>
          <w:shd w:val="clear" w:color="auto" w:fill="FFFFFF"/>
        </w:rPr>
        <w:t>Caso Villamizar Durán y otros Vs. Colombia. Excepción Preliminar, Fondo, Reparaciones y Costas.</w:t>
      </w:r>
      <w:r w:rsidR="000D0F00" w:rsidRPr="000D0F00">
        <w:rPr>
          <w:rStyle w:val="Textoennegrita"/>
          <w:rFonts w:ascii="Verdana" w:hAnsi="Verdana"/>
          <w:b w:val="0"/>
          <w:color w:val="000000"/>
          <w:sz w:val="16"/>
          <w:szCs w:val="16"/>
          <w:shd w:val="clear" w:color="auto" w:fill="FFFFFF"/>
        </w:rPr>
        <w:t xml:space="preserve"> Sentencia de 20 de noviembre de 2018. Serie C No. 364, párr. 206, y </w:t>
      </w:r>
      <w:r w:rsidR="000D0F00" w:rsidRPr="000D0F00">
        <w:rPr>
          <w:rStyle w:val="Textoennegrita"/>
          <w:rFonts w:ascii="Verdana" w:hAnsi="Verdana"/>
          <w:b w:val="0"/>
          <w:i/>
          <w:color w:val="000000"/>
          <w:sz w:val="16"/>
          <w:szCs w:val="16"/>
          <w:shd w:val="clear" w:color="auto" w:fill="FFFFFF"/>
        </w:rPr>
        <w:t xml:space="preserve">Caso </w:t>
      </w:r>
      <w:proofErr w:type="spellStart"/>
      <w:r w:rsidR="000D0F00" w:rsidRPr="000D0F00">
        <w:rPr>
          <w:rStyle w:val="Textoennegrita"/>
          <w:rFonts w:ascii="Verdana" w:hAnsi="Verdana"/>
          <w:b w:val="0"/>
          <w:i/>
          <w:color w:val="000000"/>
          <w:sz w:val="16"/>
          <w:szCs w:val="16"/>
          <w:shd w:val="clear" w:color="auto" w:fill="FFFFFF"/>
        </w:rPr>
        <w:t>Omeara</w:t>
      </w:r>
      <w:proofErr w:type="spellEnd"/>
      <w:r w:rsidR="000D0F00" w:rsidRPr="000D0F00">
        <w:rPr>
          <w:rStyle w:val="Textoennegrita"/>
          <w:rFonts w:ascii="Verdana" w:hAnsi="Verdana"/>
          <w:b w:val="0"/>
          <w:i/>
          <w:color w:val="000000"/>
          <w:sz w:val="16"/>
          <w:szCs w:val="16"/>
          <w:shd w:val="clear" w:color="auto" w:fill="FFFFFF"/>
        </w:rPr>
        <w:t xml:space="preserve"> Carrascal y otros Vs. Colombia. Fondo, Reparaciones y Costas. </w:t>
      </w:r>
      <w:r w:rsidR="000D0F00" w:rsidRPr="000D0F00">
        <w:rPr>
          <w:rStyle w:val="Textoennegrita"/>
          <w:rFonts w:ascii="Verdana" w:hAnsi="Verdana"/>
          <w:b w:val="0"/>
          <w:color w:val="000000"/>
          <w:sz w:val="16"/>
          <w:szCs w:val="16"/>
          <w:shd w:val="clear" w:color="auto" w:fill="FFFFFF"/>
        </w:rPr>
        <w:t>Sentencia de 21 de noviembre de 2018. Serie C No. 368, párr. 300.</w:t>
      </w:r>
    </w:p>
  </w:footnote>
  <w:footnote w:id="27">
    <w:p w14:paraId="6D0F638C" w14:textId="77777777" w:rsidR="007361D1" w:rsidRPr="00E40021" w:rsidRDefault="007361D1" w:rsidP="00873478">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lang w:val="es-MX"/>
        </w:rPr>
        <w:t xml:space="preserve">Cfr. </w:t>
      </w:r>
      <w:r w:rsidRPr="00E40021">
        <w:rPr>
          <w:rStyle w:val="Textoennegrita"/>
          <w:rFonts w:ascii="Verdana" w:hAnsi="Verdana"/>
          <w:b w:val="0"/>
          <w:i/>
          <w:color w:val="000000"/>
          <w:sz w:val="16"/>
          <w:szCs w:val="16"/>
          <w:shd w:val="clear" w:color="auto" w:fill="FFFFFF"/>
        </w:rPr>
        <w:t>Caso Masacre de Santo Domingo Vs. Colombia. Supervisión de Cumplimiento de Sentencia.</w:t>
      </w:r>
      <w:r w:rsidRPr="00E40021">
        <w:rPr>
          <w:rStyle w:val="Textoennegrita"/>
          <w:rFonts w:ascii="Verdana" w:hAnsi="Verdana"/>
          <w:b w:val="0"/>
          <w:color w:val="000000"/>
          <w:sz w:val="16"/>
          <w:szCs w:val="16"/>
          <w:shd w:val="clear" w:color="auto" w:fill="FFFFFF"/>
        </w:rPr>
        <w:t xml:space="preserve"> Resolución de la Corte Interamericana de Derechos Humanos de 22 de noviembre de 2018, Considerando 19.</w:t>
      </w:r>
    </w:p>
  </w:footnote>
  <w:footnote w:id="28">
    <w:p w14:paraId="026AEBFF" w14:textId="237FF046" w:rsidR="007361D1" w:rsidRPr="00E40021" w:rsidRDefault="007361D1" w:rsidP="00873478">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sz w:val="16"/>
          <w:szCs w:val="16"/>
          <w:lang w:val="es-MX"/>
        </w:rPr>
        <w:t xml:space="preserve">Los representantes </w:t>
      </w:r>
      <w:r w:rsidR="000D0F00">
        <w:rPr>
          <w:rFonts w:ascii="Verdana" w:hAnsi="Verdana"/>
          <w:sz w:val="16"/>
          <w:szCs w:val="16"/>
          <w:lang w:val="es-MX"/>
        </w:rPr>
        <w:t xml:space="preserve">de las víctimas </w:t>
      </w:r>
      <w:r w:rsidRPr="00E40021">
        <w:rPr>
          <w:rFonts w:ascii="Verdana" w:hAnsi="Verdana"/>
          <w:sz w:val="16"/>
          <w:szCs w:val="16"/>
          <w:lang w:val="es-MX"/>
        </w:rPr>
        <w:t xml:space="preserve">del </w:t>
      </w:r>
      <w:r w:rsidR="000D0F00">
        <w:rPr>
          <w:rFonts w:ascii="Verdana" w:hAnsi="Verdana"/>
          <w:i/>
          <w:sz w:val="16"/>
          <w:szCs w:val="16"/>
          <w:lang w:val="es-MX"/>
        </w:rPr>
        <w:t>c</w:t>
      </w:r>
      <w:r w:rsidRPr="00E40021">
        <w:rPr>
          <w:rFonts w:ascii="Verdana" w:hAnsi="Verdana"/>
          <w:i/>
          <w:sz w:val="16"/>
          <w:szCs w:val="16"/>
          <w:lang w:val="es-MX"/>
        </w:rPr>
        <w:t>aso Masacres de Santo Domingo</w:t>
      </w:r>
      <w:r w:rsidRPr="00E40021">
        <w:rPr>
          <w:rFonts w:ascii="Verdana" w:hAnsi="Verdana"/>
          <w:sz w:val="16"/>
          <w:szCs w:val="16"/>
          <w:lang w:val="es-MX"/>
        </w:rPr>
        <w:t xml:space="preserve"> se refirieron a problemas relativos a: </w:t>
      </w:r>
      <w:r>
        <w:rPr>
          <w:rFonts w:ascii="Verdana" w:hAnsi="Verdana"/>
          <w:sz w:val="16"/>
          <w:szCs w:val="16"/>
          <w:lang w:val="es-MX"/>
        </w:rPr>
        <w:t>“</w:t>
      </w:r>
      <w:r w:rsidRPr="00E40021">
        <w:rPr>
          <w:rFonts w:ascii="Verdana" w:hAnsi="Verdana"/>
          <w:sz w:val="16"/>
          <w:szCs w:val="16"/>
          <w:lang w:val="es-MX"/>
        </w:rPr>
        <w:t>i) cómo brindar atención prioritaria para casos urgentes; ii) otorgar la atención en los centros más cercanos a los lugares de residencia de las víctimas y sus familiares; y iii) la gratuidad de la atención</w:t>
      </w:r>
      <w:r>
        <w:rPr>
          <w:rFonts w:ascii="Verdana" w:hAnsi="Verdana"/>
          <w:sz w:val="16"/>
          <w:szCs w:val="16"/>
          <w:lang w:val="es-MX"/>
        </w:rPr>
        <w:t>”</w:t>
      </w:r>
      <w:r w:rsidRPr="00E40021">
        <w:rPr>
          <w:rFonts w:ascii="Verdana" w:hAnsi="Verdana"/>
          <w:sz w:val="16"/>
          <w:szCs w:val="16"/>
          <w:lang w:val="es-MX"/>
        </w:rPr>
        <w:t xml:space="preserve">. </w:t>
      </w:r>
      <w:r w:rsidRPr="00E40021">
        <w:rPr>
          <w:rFonts w:ascii="Verdana" w:hAnsi="Verdana"/>
          <w:i/>
          <w:sz w:val="16"/>
          <w:szCs w:val="16"/>
          <w:lang w:val="es-MX"/>
        </w:rPr>
        <w:t>Cfr.</w:t>
      </w:r>
      <w:r w:rsidRPr="00E40021">
        <w:rPr>
          <w:rFonts w:ascii="Verdana" w:hAnsi="Verdana"/>
          <w:sz w:val="16"/>
          <w:szCs w:val="16"/>
          <w:lang w:val="es-MX"/>
        </w:rPr>
        <w:t xml:space="preserve"> </w:t>
      </w:r>
      <w:r w:rsidRPr="00E40021">
        <w:rPr>
          <w:rStyle w:val="Textoennegrita"/>
          <w:rFonts w:ascii="Verdana" w:hAnsi="Verdana"/>
          <w:b w:val="0"/>
          <w:i/>
          <w:color w:val="000000"/>
          <w:sz w:val="16"/>
          <w:szCs w:val="16"/>
          <w:shd w:val="clear" w:color="auto" w:fill="FFFFFF"/>
        </w:rPr>
        <w:t xml:space="preserve">Caso Masacre de Santo Domingo Vs. Colombia, supra </w:t>
      </w:r>
      <w:r w:rsidRPr="00E40021">
        <w:rPr>
          <w:rStyle w:val="Textoennegrita"/>
          <w:rFonts w:ascii="Verdana" w:hAnsi="Verdana"/>
          <w:b w:val="0"/>
          <w:color w:val="000000"/>
          <w:sz w:val="16"/>
          <w:szCs w:val="16"/>
          <w:shd w:val="clear" w:color="auto" w:fill="FFFFFF"/>
        </w:rPr>
        <w:t>nota</w:t>
      </w:r>
      <w:r>
        <w:rPr>
          <w:rStyle w:val="Textoennegrita"/>
          <w:rFonts w:ascii="Verdana" w:hAnsi="Verdana"/>
          <w:b w:val="0"/>
          <w:color w:val="000000"/>
          <w:sz w:val="16"/>
          <w:szCs w:val="16"/>
          <w:shd w:val="clear" w:color="auto" w:fill="FFFFFF"/>
        </w:rPr>
        <w:t xml:space="preserve"> </w:t>
      </w:r>
      <w:r>
        <w:rPr>
          <w:rStyle w:val="Textoennegrita"/>
          <w:rFonts w:ascii="Verdana" w:hAnsi="Verdana"/>
          <w:b w:val="0"/>
          <w:color w:val="000000"/>
          <w:sz w:val="16"/>
          <w:szCs w:val="16"/>
          <w:shd w:val="clear" w:color="auto" w:fill="FFFFFF"/>
        </w:rPr>
        <w:fldChar w:fldCharType="begin"/>
      </w:r>
      <w:r>
        <w:rPr>
          <w:rStyle w:val="Textoennegrita"/>
          <w:rFonts w:ascii="Verdana" w:hAnsi="Verdana"/>
          <w:b w:val="0"/>
          <w:color w:val="000000"/>
          <w:sz w:val="16"/>
          <w:szCs w:val="16"/>
          <w:shd w:val="clear" w:color="auto" w:fill="FFFFFF"/>
        </w:rPr>
        <w:instrText xml:space="preserve"> NOTEREF _Ref26800842 \h </w:instrText>
      </w:r>
      <w:r>
        <w:rPr>
          <w:rStyle w:val="Textoennegrita"/>
          <w:rFonts w:ascii="Verdana" w:hAnsi="Verdana"/>
          <w:b w:val="0"/>
          <w:color w:val="000000"/>
          <w:sz w:val="16"/>
          <w:szCs w:val="16"/>
          <w:shd w:val="clear" w:color="auto" w:fill="FFFFFF"/>
        </w:rPr>
      </w:r>
      <w:r>
        <w:rPr>
          <w:rStyle w:val="Textoennegrita"/>
          <w:rFonts w:ascii="Verdana" w:hAnsi="Verdana"/>
          <w:b w:val="0"/>
          <w:color w:val="000000"/>
          <w:sz w:val="16"/>
          <w:szCs w:val="16"/>
          <w:shd w:val="clear" w:color="auto" w:fill="FFFFFF"/>
        </w:rPr>
        <w:fldChar w:fldCharType="separate"/>
      </w:r>
      <w:r w:rsidR="00630FCA">
        <w:rPr>
          <w:rStyle w:val="Textoennegrita"/>
          <w:rFonts w:ascii="Verdana" w:hAnsi="Verdana"/>
          <w:b w:val="0"/>
          <w:color w:val="000000"/>
          <w:sz w:val="16"/>
          <w:szCs w:val="16"/>
          <w:shd w:val="clear" w:color="auto" w:fill="FFFFFF"/>
        </w:rPr>
        <w:t>27</w:t>
      </w:r>
      <w:r>
        <w:rPr>
          <w:rStyle w:val="Textoennegrita"/>
          <w:rFonts w:ascii="Verdana" w:hAnsi="Verdana"/>
          <w:b w:val="0"/>
          <w:color w:val="000000"/>
          <w:sz w:val="16"/>
          <w:szCs w:val="16"/>
          <w:shd w:val="clear" w:color="auto" w:fill="FFFFFF"/>
        </w:rPr>
        <w:fldChar w:fldCharType="end"/>
      </w:r>
      <w:r w:rsidRPr="00E40021">
        <w:rPr>
          <w:rStyle w:val="Textoennegrita"/>
          <w:rFonts w:ascii="Verdana" w:hAnsi="Verdana"/>
          <w:b w:val="0"/>
          <w:color w:val="000000"/>
          <w:sz w:val="16"/>
          <w:szCs w:val="16"/>
          <w:shd w:val="clear" w:color="auto" w:fill="FFFFFF"/>
        </w:rPr>
        <w:t>, Considerando 19.</w:t>
      </w:r>
    </w:p>
  </w:footnote>
  <w:footnote w:id="29">
    <w:p w14:paraId="5AEC4C1C" w14:textId="4A1CD666" w:rsidR="007361D1" w:rsidRPr="00E40021" w:rsidRDefault="007361D1" w:rsidP="00B527FB">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Al respecto, la Defensoría del Pueblo recomendó “[a]l Ministerio de Salud y Protección Social: implementar un programa especializado que cumpla con los criterios de continuidad, gratuidad e integralidad, con el fin de que atiendan a las víctimas hasta que logren recobrar su proyecto de vida, se sientan tranquilas y puedan desarrollar con normalidad todos los aspectos de su cotidianidad”. </w:t>
      </w:r>
      <w:r w:rsidRPr="00E40021">
        <w:rPr>
          <w:rFonts w:ascii="Verdana" w:hAnsi="Verdana"/>
          <w:i/>
          <w:sz w:val="16"/>
          <w:szCs w:val="16"/>
        </w:rPr>
        <w:t>Cfr</w:t>
      </w:r>
      <w:r w:rsidRPr="00E40021">
        <w:rPr>
          <w:rFonts w:ascii="Verdana" w:hAnsi="Verdana"/>
          <w:sz w:val="16"/>
          <w:szCs w:val="16"/>
        </w:rPr>
        <w:t xml:space="preserve">. Informe “Ampliando el horizonte de la justicia para las víctimas. Informe del estado de cumplimiento de las sentencias de la Corte Interamericana de Derechos Humanos contra Colombia”, </w:t>
      </w:r>
      <w:r w:rsidRPr="00E40021">
        <w:rPr>
          <w:rFonts w:ascii="Verdana" w:hAnsi="Verdana"/>
          <w:i/>
          <w:sz w:val="16"/>
          <w:szCs w:val="16"/>
        </w:rPr>
        <w:t xml:space="preserve">supra </w:t>
      </w:r>
      <w:r w:rsidR="00D85E04">
        <w:rPr>
          <w:rFonts w:ascii="Verdana" w:hAnsi="Verdana"/>
          <w:sz w:val="16"/>
          <w:szCs w:val="16"/>
        </w:rPr>
        <w:t>nota</w:t>
      </w:r>
      <w:r>
        <w:rPr>
          <w:rFonts w:ascii="Verdana" w:hAnsi="Verdana"/>
          <w:sz w:val="16"/>
          <w:szCs w:val="16"/>
        </w:rPr>
        <w:t xml:space="preserve"> </w:t>
      </w:r>
      <w:r w:rsidRPr="00D85E04">
        <w:rPr>
          <w:rFonts w:ascii="Verdana" w:hAnsi="Verdana"/>
          <w:sz w:val="16"/>
          <w:szCs w:val="16"/>
        </w:rPr>
        <w:fldChar w:fldCharType="begin"/>
      </w:r>
      <w:r w:rsidRPr="00D85E04">
        <w:rPr>
          <w:rFonts w:ascii="Verdana" w:hAnsi="Verdana"/>
          <w:sz w:val="16"/>
          <w:szCs w:val="16"/>
        </w:rPr>
        <w:instrText xml:space="preserve"> NOTEREF _Ref26786286 \h </w:instrText>
      </w:r>
      <w:r>
        <w:rPr>
          <w:rFonts w:ascii="Verdana" w:hAnsi="Verdana"/>
          <w:sz w:val="16"/>
          <w:szCs w:val="16"/>
        </w:rPr>
        <w:instrText xml:space="preserve"> \* MERGEFORMAT </w:instrText>
      </w:r>
      <w:r w:rsidRPr="00D85E04">
        <w:rPr>
          <w:rFonts w:ascii="Verdana" w:hAnsi="Verdana"/>
          <w:sz w:val="16"/>
          <w:szCs w:val="16"/>
        </w:rPr>
      </w:r>
      <w:r w:rsidRPr="00D85E04">
        <w:rPr>
          <w:rFonts w:ascii="Verdana" w:hAnsi="Verdana"/>
          <w:sz w:val="16"/>
          <w:szCs w:val="16"/>
        </w:rPr>
        <w:fldChar w:fldCharType="separate"/>
      </w:r>
      <w:r w:rsidR="00630FCA">
        <w:rPr>
          <w:rFonts w:ascii="Verdana" w:hAnsi="Verdana"/>
          <w:sz w:val="16"/>
          <w:szCs w:val="16"/>
        </w:rPr>
        <w:t>4</w:t>
      </w:r>
      <w:r w:rsidRPr="00D85E04">
        <w:rPr>
          <w:rFonts w:ascii="Verdana" w:hAnsi="Verdana"/>
          <w:sz w:val="16"/>
          <w:szCs w:val="16"/>
        </w:rPr>
        <w:fldChar w:fldCharType="end"/>
      </w:r>
      <w:r w:rsidRPr="00E40021">
        <w:rPr>
          <w:rFonts w:ascii="Verdana" w:hAnsi="Verdana"/>
          <w:sz w:val="16"/>
          <w:szCs w:val="16"/>
        </w:rPr>
        <w:t>, págs. 63 a 82.</w:t>
      </w:r>
    </w:p>
  </w:footnote>
  <w:footnote w:id="30">
    <w:p w14:paraId="3630AA0A" w14:textId="1CE95198" w:rsidR="007361D1" w:rsidRPr="00E40021" w:rsidRDefault="007361D1" w:rsidP="00561964">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En la propuesta las representantes indicaron que “[e]</w:t>
      </w:r>
      <w:proofErr w:type="spellStart"/>
      <w:r w:rsidRPr="00E40021">
        <w:rPr>
          <w:rFonts w:ascii="Verdana" w:hAnsi="Verdana"/>
          <w:sz w:val="16"/>
          <w:szCs w:val="16"/>
        </w:rPr>
        <w:t>nt</w:t>
      </w:r>
      <w:proofErr w:type="spellEnd"/>
      <w:r w:rsidRPr="00E40021">
        <w:rPr>
          <w:rFonts w:ascii="Verdana" w:hAnsi="Verdana"/>
          <w:sz w:val="16"/>
          <w:szCs w:val="16"/>
        </w:rPr>
        <w:t>[</w:t>
      </w:r>
      <w:proofErr w:type="spellStart"/>
      <w:r w:rsidRPr="00E40021">
        <w:rPr>
          <w:rFonts w:ascii="Verdana" w:hAnsi="Verdana"/>
          <w:sz w:val="16"/>
          <w:szCs w:val="16"/>
        </w:rPr>
        <w:t>ienden</w:t>
      </w:r>
      <w:proofErr w:type="spellEnd"/>
      <w:r w:rsidRPr="00E40021">
        <w:rPr>
          <w:rFonts w:ascii="Verdana" w:hAnsi="Verdana"/>
          <w:sz w:val="16"/>
          <w:szCs w:val="16"/>
        </w:rPr>
        <w:t xml:space="preserve">] que la inclusión del caso Yarce y otros, retomaría dichos acuerdos en el estado en que se encuentran y en todas sus partes, tanto de observaciones por parte del Estado como de observaciones por parte de los representantes de las víctimas” y que “[e]n </w:t>
      </w:r>
      <w:r>
        <w:rPr>
          <w:rFonts w:ascii="Verdana" w:hAnsi="Verdana"/>
          <w:sz w:val="16"/>
          <w:szCs w:val="16"/>
        </w:rPr>
        <w:t>[</w:t>
      </w:r>
      <w:r w:rsidRPr="00E40021">
        <w:rPr>
          <w:rFonts w:ascii="Verdana" w:hAnsi="Verdana"/>
          <w:sz w:val="16"/>
          <w:szCs w:val="16"/>
        </w:rPr>
        <w:t>c</w:t>
      </w:r>
      <w:r>
        <w:rPr>
          <w:rFonts w:ascii="Verdana" w:hAnsi="Verdana"/>
          <w:sz w:val="16"/>
          <w:szCs w:val="16"/>
        </w:rPr>
        <w:t>]</w:t>
      </w:r>
      <w:r w:rsidRPr="00E40021">
        <w:rPr>
          <w:rFonts w:ascii="Verdana" w:hAnsi="Verdana"/>
          <w:sz w:val="16"/>
          <w:szCs w:val="16"/>
        </w:rPr>
        <w:t>aso de que el Estado acepte esta propuesta, propone</w:t>
      </w:r>
      <w:r>
        <w:rPr>
          <w:rFonts w:ascii="Verdana" w:hAnsi="Verdana"/>
          <w:sz w:val="16"/>
          <w:szCs w:val="16"/>
        </w:rPr>
        <w:t>[</w:t>
      </w:r>
      <w:r w:rsidRPr="00E40021">
        <w:rPr>
          <w:rFonts w:ascii="Verdana" w:hAnsi="Verdana"/>
          <w:sz w:val="16"/>
          <w:szCs w:val="16"/>
        </w:rPr>
        <w:t xml:space="preserve">n] suscribir </w:t>
      </w:r>
      <w:r>
        <w:rPr>
          <w:rFonts w:ascii="Verdana" w:hAnsi="Verdana"/>
          <w:sz w:val="16"/>
          <w:szCs w:val="16"/>
        </w:rPr>
        <w:t xml:space="preserve">un </w:t>
      </w:r>
      <w:r w:rsidRPr="00E40021">
        <w:rPr>
          <w:rFonts w:ascii="Verdana" w:hAnsi="Verdana"/>
          <w:sz w:val="16"/>
          <w:szCs w:val="16"/>
        </w:rPr>
        <w:t xml:space="preserve">Acta conjunta para informar a la Corte Interamericana de la decisión”. </w:t>
      </w:r>
      <w:r w:rsidRPr="00E40021">
        <w:rPr>
          <w:rFonts w:ascii="Verdana" w:hAnsi="Verdana"/>
          <w:i/>
          <w:sz w:val="16"/>
          <w:szCs w:val="16"/>
        </w:rPr>
        <w:t>Cfr.</w:t>
      </w:r>
      <w:r w:rsidRPr="00E40021">
        <w:rPr>
          <w:rFonts w:ascii="Verdana" w:hAnsi="Verdana"/>
          <w:sz w:val="16"/>
          <w:szCs w:val="16"/>
        </w:rPr>
        <w:t xml:space="preserve"> Nota de 2 de octubre de 2017, suscrita por la señora María Victoria Fallón del Grupo Interdisciplinario, dirigida a la Coordinadora del Grupo de Seguimiento </w:t>
      </w:r>
      <w:r>
        <w:rPr>
          <w:rFonts w:ascii="Verdana" w:hAnsi="Verdana"/>
          <w:sz w:val="16"/>
          <w:szCs w:val="16"/>
        </w:rPr>
        <w:t>a</w:t>
      </w:r>
      <w:r w:rsidRPr="00E40021">
        <w:rPr>
          <w:rFonts w:ascii="Verdana" w:hAnsi="Verdana"/>
          <w:sz w:val="16"/>
          <w:szCs w:val="16"/>
        </w:rPr>
        <w:t xml:space="preserve"> Decisiones de Órganos Internacionales en Derechos Humanos del Ministerio de Relaciones Exteriores (anexo al escrito de las representantes de 25 de enero de 2018). </w:t>
      </w:r>
    </w:p>
  </w:footnote>
  <w:footnote w:id="31">
    <w:p w14:paraId="03F80047" w14:textId="6E350949" w:rsidR="007361D1" w:rsidRPr="00E40021" w:rsidRDefault="007361D1" w:rsidP="00D41F2D">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El </w:t>
      </w:r>
      <w:r w:rsidRPr="00E40021">
        <w:rPr>
          <w:rFonts w:ascii="Verdana" w:hAnsi="Verdana"/>
          <w:i/>
          <w:sz w:val="16"/>
          <w:szCs w:val="16"/>
        </w:rPr>
        <w:t>Estado</w:t>
      </w:r>
      <w:r w:rsidRPr="00E40021">
        <w:rPr>
          <w:rFonts w:ascii="Verdana" w:hAnsi="Verdana"/>
          <w:sz w:val="16"/>
          <w:szCs w:val="16"/>
        </w:rPr>
        <w:t xml:space="preserve"> indicó que “la prestación del servicio de salud y psicológico, de forma gratuita y sin cargo alguno, según fue ordenado en el párrafo 340 de la Sentencia, tiene un alcance interno limitado por otro principio constitucional, como es el Principio de solidaridad, que es precisamente aquel principio sobre el cual se cimienta todo el Sistema General de Seguridad Social en Salud”.</w:t>
      </w:r>
      <w:r w:rsidRPr="00E40021">
        <w:rPr>
          <w:rFonts w:ascii="Verdana" w:hAnsi="Verdana"/>
          <w:b/>
          <w:sz w:val="16"/>
          <w:szCs w:val="16"/>
        </w:rPr>
        <w:t xml:space="preserve"> </w:t>
      </w:r>
      <w:r w:rsidRPr="00E40021">
        <w:rPr>
          <w:rFonts w:ascii="Verdana" w:hAnsi="Verdana"/>
          <w:sz w:val="16"/>
          <w:szCs w:val="16"/>
        </w:rPr>
        <w:t xml:space="preserve">Explicaron que el cobro de “contribuciones parafiscales que se hacen a algunas víctimas con capacidad de pago […] no afecta la gratuidad”, debido a que “son solo una de las fuentes a través de las cuales se financia el Sistema de Salud en Colombia” y </w:t>
      </w:r>
      <w:r w:rsidR="00F57C45">
        <w:rPr>
          <w:rFonts w:ascii="Verdana" w:hAnsi="Verdana"/>
          <w:sz w:val="16"/>
          <w:szCs w:val="16"/>
        </w:rPr>
        <w:t xml:space="preserve">que </w:t>
      </w:r>
      <w:r w:rsidRPr="00E40021">
        <w:rPr>
          <w:rFonts w:ascii="Verdana" w:hAnsi="Verdana"/>
          <w:sz w:val="16"/>
          <w:szCs w:val="16"/>
        </w:rPr>
        <w:t>“no se exigen como condición para acceder a un bien, tecnología o servicio de salud requerido por una persona, sin</w:t>
      </w:r>
      <w:r>
        <w:rPr>
          <w:rFonts w:ascii="Verdana" w:hAnsi="Verdana"/>
          <w:sz w:val="16"/>
          <w:szCs w:val="16"/>
        </w:rPr>
        <w:t>o</w:t>
      </w:r>
      <w:r w:rsidRPr="00E40021">
        <w:rPr>
          <w:rFonts w:ascii="Verdana" w:hAnsi="Verdana"/>
          <w:sz w:val="16"/>
          <w:szCs w:val="16"/>
        </w:rPr>
        <w:t xml:space="preserve"> que son gravámenes establecidos con carácter obligatorio por la Ley para los colombianos con capacidad de pago, cuya oportunidad de recaudo (en algunos casos) coincide con el momento de la prestación del servicio, y están destinados a la financiación del funcionamiento y las prestaciones derivadas de la protección social”.</w:t>
      </w:r>
      <w:r w:rsidRPr="00E40021">
        <w:rPr>
          <w:rFonts w:ascii="Verdana" w:hAnsi="Verdana"/>
          <w:b/>
          <w:sz w:val="16"/>
          <w:szCs w:val="16"/>
        </w:rPr>
        <w:t xml:space="preserve"> </w:t>
      </w:r>
      <w:r w:rsidRPr="00E40021">
        <w:rPr>
          <w:rFonts w:ascii="Verdana" w:hAnsi="Verdana"/>
          <w:sz w:val="16"/>
          <w:szCs w:val="16"/>
        </w:rPr>
        <w:t>Agregaron que</w:t>
      </w:r>
      <w:r w:rsidR="00F57C45">
        <w:rPr>
          <w:rFonts w:ascii="Verdana" w:hAnsi="Verdana"/>
          <w:sz w:val="16"/>
          <w:szCs w:val="16"/>
        </w:rPr>
        <w:t>,</w:t>
      </w:r>
      <w:r w:rsidRPr="00E40021">
        <w:rPr>
          <w:rFonts w:ascii="Verdana" w:hAnsi="Verdana"/>
          <w:sz w:val="16"/>
          <w:szCs w:val="16"/>
        </w:rPr>
        <w:t xml:space="preserve"> “en caso que la víctima no cuente con capacidad de pago, el Sistema de Salud subsidiaría la prestación, incluyendo los referidos aportes parafiscales”. </w:t>
      </w:r>
    </w:p>
  </w:footnote>
  <w:footnote w:id="32">
    <w:p w14:paraId="5C2F5193" w14:textId="44D39159" w:rsidR="007361D1" w:rsidRPr="00E40021" w:rsidRDefault="007361D1" w:rsidP="00771B35">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lang w:val="es-MX"/>
        </w:rPr>
        <w:t>Cfr.</w:t>
      </w:r>
      <w:r w:rsidRPr="00E40021">
        <w:rPr>
          <w:rFonts w:ascii="Verdana" w:hAnsi="Verdana"/>
          <w:sz w:val="16"/>
          <w:szCs w:val="16"/>
          <w:lang w:val="es-MX"/>
        </w:rPr>
        <w:t xml:space="preserve"> </w:t>
      </w:r>
      <w:r w:rsidRPr="00E40021">
        <w:rPr>
          <w:rStyle w:val="Textoennegrita"/>
          <w:rFonts w:ascii="Verdana" w:hAnsi="Verdana"/>
          <w:b w:val="0"/>
          <w:i/>
          <w:color w:val="000000"/>
          <w:sz w:val="16"/>
          <w:szCs w:val="16"/>
          <w:shd w:val="clear" w:color="auto" w:fill="FFFFFF"/>
        </w:rPr>
        <w:t xml:space="preserve">Caso Masacre de Santo Domingo Vs. Colombia, supra </w:t>
      </w:r>
      <w:r w:rsidRPr="00E40021">
        <w:rPr>
          <w:rStyle w:val="Textoennegrita"/>
          <w:rFonts w:ascii="Verdana" w:hAnsi="Verdana"/>
          <w:b w:val="0"/>
          <w:color w:val="000000"/>
          <w:sz w:val="16"/>
          <w:szCs w:val="16"/>
          <w:shd w:val="clear" w:color="auto" w:fill="FFFFFF"/>
        </w:rPr>
        <w:t>nota</w:t>
      </w:r>
      <w:r>
        <w:rPr>
          <w:rStyle w:val="Textoennegrita"/>
          <w:rFonts w:ascii="Verdana" w:hAnsi="Verdana"/>
          <w:b w:val="0"/>
          <w:color w:val="000000"/>
          <w:sz w:val="16"/>
          <w:szCs w:val="16"/>
          <w:shd w:val="clear" w:color="auto" w:fill="FFFFFF"/>
        </w:rPr>
        <w:t xml:space="preserve"> </w:t>
      </w:r>
      <w:r>
        <w:rPr>
          <w:rStyle w:val="Textoennegrita"/>
          <w:rFonts w:ascii="Verdana" w:hAnsi="Verdana"/>
          <w:b w:val="0"/>
          <w:color w:val="000000"/>
          <w:sz w:val="16"/>
          <w:szCs w:val="16"/>
          <w:shd w:val="clear" w:color="auto" w:fill="FFFFFF"/>
        </w:rPr>
        <w:fldChar w:fldCharType="begin"/>
      </w:r>
      <w:r>
        <w:rPr>
          <w:rStyle w:val="Textoennegrita"/>
          <w:rFonts w:ascii="Verdana" w:hAnsi="Verdana"/>
          <w:b w:val="0"/>
          <w:color w:val="000000"/>
          <w:sz w:val="16"/>
          <w:szCs w:val="16"/>
          <w:shd w:val="clear" w:color="auto" w:fill="FFFFFF"/>
        </w:rPr>
        <w:instrText xml:space="preserve"> NOTEREF _Ref26800842 \h </w:instrText>
      </w:r>
      <w:r>
        <w:rPr>
          <w:rStyle w:val="Textoennegrita"/>
          <w:rFonts w:ascii="Verdana" w:hAnsi="Verdana"/>
          <w:b w:val="0"/>
          <w:color w:val="000000"/>
          <w:sz w:val="16"/>
          <w:szCs w:val="16"/>
          <w:shd w:val="clear" w:color="auto" w:fill="FFFFFF"/>
        </w:rPr>
      </w:r>
      <w:r>
        <w:rPr>
          <w:rStyle w:val="Textoennegrita"/>
          <w:rFonts w:ascii="Verdana" w:hAnsi="Verdana"/>
          <w:b w:val="0"/>
          <w:color w:val="000000"/>
          <w:sz w:val="16"/>
          <w:szCs w:val="16"/>
          <w:shd w:val="clear" w:color="auto" w:fill="FFFFFF"/>
        </w:rPr>
        <w:fldChar w:fldCharType="separate"/>
      </w:r>
      <w:r w:rsidR="00630FCA">
        <w:rPr>
          <w:rStyle w:val="Textoennegrita"/>
          <w:rFonts w:ascii="Verdana" w:hAnsi="Verdana"/>
          <w:b w:val="0"/>
          <w:color w:val="000000"/>
          <w:sz w:val="16"/>
          <w:szCs w:val="16"/>
          <w:shd w:val="clear" w:color="auto" w:fill="FFFFFF"/>
        </w:rPr>
        <w:t>27</w:t>
      </w:r>
      <w:r>
        <w:rPr>
          <w:rStyle w:val="Textoennegrita"/>
          <w:rFonts w:ascii="Verdana" w:hAnsi="Verdana"/>
          <w:b w:val="0"/>
          <w:color w:val="000000"/>
          <w:sz w:val="16"/>
          <w:szCs w:val="16"/>
          <w:shd w:val="clear" w:color="auto" w:fill="FFFFFF"/>
        </w:rPr>
        <w:fldChar w:fldCharType="end"/>
      </w:r>
      <w:r w:rsidRPr="00E40021">
        <w:rPr>
          <w:rStyle w:val="Textoennegrita"/>
          <w:rFonts w:ascii="Verdana" w:hAnsi="Verdana"/>
          <w:b w:val="0"/>
          <w:color w:val="000000"/>
          <w:sz w:val="16"/>
          <w:szCs w:val="16"/>
          <w:shd w:val="clear" w:color="auto" w:fill="FFFFFF"/>
        </w:rPr>
        <w:t>, Considerando 20.</w:t>
      </w:r>
    </w:p>
  </w:footnote>
  <w:footnote w:id="33">
    <w:p w14:paraId="1E594D92" w14:textId="20F37AA5" w:rsidR="007361D1" w:rsidRPr="00E40021" w:rsidRDefault="007361D1" w:rsidP="00771B35">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Caso </w:t>
      </w:r>
      <w:proofErr w:type="spellStart"/>
      <w:r w:rsidRPr="00E40021">
        <w:rPr>
          <w:rFonts w:ascii="Verdana" w:hAnsi="Verdana"/>
          <w:i/>
          <w:sz w:val="16"/>
          <w:szCs w:val="16"/>
        </w:rPr>
        <w:t>Ivcher</w:t>
      </w:r>
      <w:proofErr w:type="spellEnd"/>
      <w:r w:rsidRPr="00E40021">
        <w:rPr>
          <w:rFonts w:ascii="Verdana" w:hAnsi="Verdana"/>
          <w:i/>
          <w:sz w:val="16"/>
          <w:szCs w:val="16"/>
        </w:rPr>
        <w:t xml:space="preserve"> </w:t>
      </w:r>
      <w:proofErr w:type="spellStart"/>
      <w:r w:rsidRPr="00E40021">
        <w:rPr>
          <w:rFonts w:ascii="Verdana" w:hAnsi="Verdana"/>
          <w:i/>
          <w:sz w:val="16"/>
          <w:szCs w:val="16"/>
        </w:rPr>
        <w:t>Bronstein</w:t>
      </w:r>
      <w:proofErr w:type="spellEnd"/>
      <w:r w:rsidRPr="00E40021">
        <w:rPr>
          <w:rFonts w:ascii="Verdana" w:hAnsi="Verdana"/>
          <w:i/>
          <w:sz w:val="16"/>
          <w:szCs w:val="16"/>
        </w:rPr>
        <w:t xml:space="preserve"> Vs. Perú. Competencia.</w:t>
      </w:r>
      <w:r w:rsidRPr="00E40021">
        <w:rPr>
          <w:rFonts w:ascii="Verdana" w:hAnsi="Verdana"/>
          <w:sz w:val="16"/>
          <w:szCs w:val="16"/>
        </w:rPr>
        <w:t xml:space="preserve"> Sentencia de 24 de septiembre de 1999. Serie C No. 54, párr. 37, y </w:t>
      </w:r>
      <w:r w:rsidRPr="00157CB3">
        <w:rPr>
          <w:rFonts w:ascii="Verdana" w:hAnsi="Verdana"/>
          <w:i/>
          <w:sz w:val="16"/>
          <w:szCs w:val="16"/>
        </w:rPr>
        <w:t xml:space="preserve">Caso Wong Ho </w:t>
      </w:r>
      <w:proofErr w:type="spellStart"/>
      <w:r w:rsidRPr="00157CB3">
        <w:rPr>
          <w:rFonts w:ascii="Verdana" w:hAnsi="Verdana"/>
          <w:i/>
          <w:sz w:val="16"/>
          <w:szCs w:val="16"/>
        </w:rPr>
        <w:t>Wing</w:t>
      </w:r>
      <w:proofErr w:type="spellEnd"/>
      <w:r w:rsidRPr="00157CB3">
        <w:rPr>
          <w:rFonts w:ascii="Verdana" w:hAnsi="Verdana"/>
          <w:i/>
          <w:sz w:val="16"/>
          <w:szCs w:val="16"/>
        </w:rPr>
        <w:t xml:space="preserve"> Vs. Perú. Supervisión de Cumplimiento de Sentencia</w:t>
      </w:r>
      <w:r w:rsidRPr="001B1CA4">
        <w:rPr>
          <w:rFonts w:ascii="Verdana" w:hAnsi="Verdana"/>
          <w:sz w:val="16"/>
          <w:szCs w:val="16"/>
        </w:rPr>
        <w:t>. Resolución de la Corte Interamericana de Derechos Humanos de 21 de noviembre de 2018</w:t>
      </w:r>
      <w:r w:rsidRPr="00E40021">
        <w:rPr>
          <w:rFonts w:ascii="Verdana" w:hAnsi="Verdana"/>
          <w:sz w:val="16"/>
          <w:szCs w:val="16"/>
        </w:rPr>
        <w:t xml:space="preserve">, Considerando </w:t>
      </w:r>
      <w:r>
        <w:rPr>
          <w:rFonts w:ascii="Verdana" w:hAnsi="Verdana"/>
          <w:sz w:val="16"/>
          <w:szCs w:val="16"/>
        </w:rPr>
        <w:t>15</w:t>
      </w:r>
      <w:r w:rsidRPr="00E40021">
        <w:rPr>
          <w:rFonts w:ascii="Verdana" w:hAnsi="Verdana"/>
          <w:sz w:val="16"/>
          <w:szCs w:val="16"/>
        </w:rPr>
        <w:t>.</w:t>
      </w:r>
    </w:p>
  </w:footnote>
  <w:footnote w:id="34">
    <w:p w14:paraId="6301935B" w14:textId="0149EF93" w:rsidR="007361D1" w:rsidRPr="00E40021" w:rsidRDefault="007361D1" w:rsidP="00BA54D8">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En el párrafo 344 se estableció que “[e]l Estado </w:t>
      </w:r>
      <w:proofErr w:type="spellStart"/>
      <w:r w:rsidRPr="00E40021">
        <w:rPr>
          <w:rFonts w:ascii="Verdana" w:hAnsi="Verdana"/>
          <w:sz w:val="16"/>
          <w:szCs w:val="16"/>
        </w:rPr>
        <w:t>deb</w:t>
      </w:r>
      <w:proofErr w:type="spellEnd"/>
      <w:r w:rsidRPr="00E40021">
        <w:rPr>
          <w:rFonts w:ascii="Verdana" w:hAnsi="Verdana"/>
          <w:sz w:val="16"/>
          <w:szCs w:val="16"/>
        </w:rPr>
        <w:t>[</w:t>
      </w:r>
      <w:proofErr w:type="spellStart"/>
      <w:r w:rsidRPr="00E40021">
        <w:rPr>
          <w:rFonts w:ascii="Verdana" w:hAnsi="Verdana"/>
          <w:sz w:val="16"/>
          <w:szCs w:val="16"/>
        </w:rPr>
        <w:t>ía</w:t>
      </w:r>
      <w:proofErr w:type="spellEnd"/>
      <w:r w:rsidRPr="00E40021">
        <w:rPr>
          <w:rFonts w:ascii="Verdana" w:hAnsi="Verdana"/>
          <w:sz w:val="16"/>
          <w:szCs w:val="16"/>
        </w:rPr>
        <w:t xml:space="preserve">] informar de forma inmediata a </w:t>
      </w:r>
      <w:r>
        <w:rPr>
          <w:rFonts w:ascii="Verdana" w:hAnsi="Verdana"/>
          <w:sz w:val="16"/>
          <w:szCs w:val="16"/>
        </w:rPr>
        <w:t>[la]</w:t>
      </w:r>
      <w:r w:rsidRPr="00E40021">
        <w:rPr>
          <w:rFonts w:ascii="Verdana" w:hAnsi="Verdana"/>
          <w:sz w:val="16"/>
          <w:szCs w:val="16"/>
        </w:rPr>
        <w:t xml:space="preserve"> Corte una vez que proceda a realizar cada una de las publicaciones dispuestas, independientemente del plazo de un año para presentar su primer </w:t>
      </w:r>
      <w:proofErr w:type="gramStart"/>
      <w:r w:rsidRPr="00E40021">
        <w:rPr>
          <w:rFonts w:ascii="Verdana" w:hAnsi="Verdana"/>
          <w:sz w:val="16"/>
          <w:szCs w:val="16"/>
        </w:rPr>
        <w:t>informe[</w:t>
      </w:r>
      <w:proofErr w:type="gramEnd"/>
      <w:r w:rsidRPr="00E40021">
        <w:rPr>
          <w:rFonts w:ascii="Verdana" w:hAnsi="Verdana"/>
          <w:sz w:val="16"/>
          <w:szCs w:val="16"/>
        </w:rPr>
        <w:t xml:space="preserve">,] dispuesto en el punto resolutivo 30 de la Sentencia”. </w:t>
      </w:r>
    </w:p>
  </w:footnote>
  <w:footnote w:id="35">
    <w:p w14:paraId="4E7F0889" w14:textId="06D182A4" w:rsidR="007361D1" w:rsidRPr="00E40021" w:rsidRDefault="007361D1" w:rsidP="009B7CC8">
      <w:pPr>
        <w:pStyle w:val="Textonotapie"/>
        <w:jc w:val="both"/>
        <w:rPr>
          <w:rFonts w:ascii="Verdana" w:hAnsi="Verdana"/>
          <w:b/>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Fonts w:ascii="Verdana" w:hAnsi="Verdana"/>
          <w:sz w:val="16"/>
          <w:szCs w:val="16"/>
        </w:rPr>
        <w:t>Ejemplar original de la publicación del resumen oficial de la Sentencia en el</w:t>
      </w:r>
      <w:r w:rsidRPr="00E40021">
        <w:rPr>
          <w:rFonts w:ascii="Verdana" w:hAnsi="Verdana"/>
          <w:i/>
          <w:sz w:val="16"/>
          <w:szCs w:val="16"/>
        </w:rPr>
        <w:t xml:space="preserve"> </w:t>
      </w:r>
      <w:r w:rsidRPr="00E40021">
        <w:rPr>
          <w:rFonts w:ascii="Verdana" w:hAnsi="Verdana"/>
          <w:sz w:val="16"/>
          <w:szCs w:val="16"/>
        </w:rPr>
        <w:t>Diario Oficial de Colombia, Año CLII</w:t>
      </w:r>
      <w:r>
        <w:rPr>
          <w:rFonts w:ascii="Verdana" w:hAnsi="Verdana"/>
          <w:sz w:val="16"/>
          <w:szCs w:val="16"/>
        </w:rPr>
        <w:t>, Edición</w:t>
      </w:r>
      <w:r w:rsidRPr="00E40021">
        <w:rPr>
          <w:rFonts w:ascii="Verdana" w:hAnsi="Verdana"/>
          <w:sz w:val="16"/>
          <w:szCs w:val="16"/>
        </w:rPr>
        <w:t xml:space="preserve"> No. 50.147, ISS N 0122-2112, de 14 de febrero de 2017, págs. 48 y 49 (anexo al informe estatal de 6 de septiembre de 2017).</w:t>
      </w:r>
    </w:p>
  </w:footnote>
  <w:footnote w:id="36">
    <w:p w14:paraId="7A7760FC" w14:textId="6A28FD7D" w:rsidR="007361D1" w:rsidRPr="00E40021" w:rsidRDefault="007361D1" w:rsidP="004034AE">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Fonts w:ascii="Verdana" w:hAnsi="Verdana"/>
          <w:sz w:val="16"/>
          <w:szCs w:val="16"/>
        </w:rPr>
        <w:t>Ejemplar original de</w:t>
      </w:r>
      <w:r w:rsidRPr="00E40021">
        <w:rPr>
          <w:rFonts w:ascii="Verdana" w:hAnsi="Verdana"/>
          <w:i/>
          <w:sz w:val="16"/>
          <w:szCs w:val="16"/>
        </w:rPr>
        <w:t xml:space="preserve"> </w:t>
      </w:r>
      <w:r w:rsidRPr="00E40021">
        <w:rPr>
          <w:rFonts w:ascii="Verdana" w:hAnsi="Verdana"/>
          <w:sz w:val="16"/>
          <w:szCs w:val="16"/>
        </w:rPr>
        <w:t xml:space="preserve">la publicación del resumen oficial de la Sentencia en el diario “El Espectador” de 15 de octubre de 2017, pág. 5 (anexo al informe estatal de </w:t>
      </w:r>
      <w:r>
        <w:rPr>
          <w:rFonts w:ascii="Verdana" w:hAnsi="Verdana"/>
          <w:sz w:val="16"/>
          <w:szCs w:val="16"/>
        </w:rPr>
        <w:t>31</w:t>
      </w:r>
      <w:r w:rsidRPr="00E40021">
        <w:rPr>
          <w:rFonts w:ascii="Verdana" w:hAnsi="Verdana"/>
          <w:sz w:val="16"/>
          <w:szCs w:val="16"/>
        </w:rPr>
        <w:t xml:space="preserve"> de </w:t>
      </w:r>
      <w:r>
        <w:rPr>
          <w:rFonts w:ascii="Verdana" w:hAnsi="Verdana"/>
          <w:sz w:val="16"/>
          <w:szCs w:val="16"/>
        </w:rPr>
        <w:t>octubre</w:t>
      </w:r>
      <w:r w:rsidRPr="00E40021">
        <w:rPr>
          <w:rFonts w:ascii="Verdana" w:hAnsi="Verdana"/>
          <w:sz w:val="16"/>
          <w:szCs w:val="16"/>
        </w:rPr>
        <w:t xml:space="preserve"> de </w:t>
      </w:r>
      <w:r>
        <w:rPr>
          <w:rFonts w:ascii="Verdana" w:hAnsi="Verdana"/>
          <w:sz w:val="16"/>
          <w:szCs w:val="16"/>
        </w:rPr>
        <w:t>2017</w:t>
      </w:r>
      <w:r w:rsidRPr="00E40021">
        <w:rPr>
          <w:rFonts w:ascii="Verdana" w:hAnsi="Verdana"/>
          <w:sz w:val="16"/>
          <w:szCs w:val="16"/>
        </w:rPr>
        <w:t xml:space="preserve">). </w:t>
      </w:r>
    </w:p>
  </w:footnote>
  <w:footnote w:id="37">
    <w:p w14:paraId="50D08EFE" w14:textId="41919D62" w:rsidR="007361D1" w:rsidRPr="00E40021" w:rsidRDefault="007361D1" w:rsidP="00890802">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Observaron que el cumplimiento de esta reparación “generó más desazón que reparación”, ya que consideran que no es suficiente que “el Estado haga imprimir el resumen de la sentencia en una página de un periódico de circulación nacional restringida, con letra casi ilegible, sin ningún formato, para que las víctimas se sientan reparadas”. En cuanto al formato utilizado, consideraron que “la letra es más pequeña que la del resto del periódico, [que] la estrechez [de la publicación] es tal que no permitió poner el encabezado ni la numeración del Periódico en esa página”. Agregaron que ninguna de las “20 personas” a las que le consultaron habían leído esta publicación. </w:t>
      </w:r>
    </w:p>
  </w:footnote>
  <w:footnote w:id="38">
    <w:p w14:paraId="6C0A9265" w14:textId="4B71B896" w:rsidR="007361D1" w:rsidRPr="00E40021" w:rsidRDefault="007361D1" w:rsidP="00DD6A8F">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Sostuvieron que “[l]as víctimas ni siquiera conocieron el periódico ese día, porque la advertencia de </w:t>
      </w:r>
      <w:r>
        <w:rPr>
          <w:rFonts w:ascii="Verdana" w:hAnsi="Verdana"/>
          <w:sz w:val="16"/>
          <w:szCs w:val="16"/>
        </w:rPr>
        <w:t>[</w:t>
      </w:r>
      <w:r w:rsidRPr="00E40021">
        <w:rPr>
          <w:rFonts w:ascii="Verdana" w:hAnsi="Verdana"/>
          <w:sz w:val="16"/>
          <w:szCs w:val="16"/>
        </w:rPr>
        <w:t>la</w:t>
      </w:r>
      <w:r>
        <w:rPr>
          <w:rFonts w:ascii="Verdana" w:hAnsi="Verdana"/>
          <w:sz w:val="16"/>
          <w:szCs w:val="16"/>
        </w:rPr>
        <w:t>]</w:t>
      </w:r>
      <w:r w:rsidRPr="00E40021">
        <w:rPr>
          <w:rFonts w:ascii="Verdana" w:hAnsi="Verdana"/>
          <w:sz w:val="16"/>
          <w:szCs w:val="16"/>
        </w:rPr>
        <w:t xml:space="preserve"> publicación se hizo un día no hábil </w:t>
      </w:r>
      <w:r>
        <w:rPr>
          <w:rFonts w:ascii="Verdana" w:hAnsi="Verdana"/>
          <w:sz w:val="16"/>
          <w:szCs w:val="16"/>
        </w:rPr>
        <w:t>y</w:t>
      </w:r>
      <w:r w:rsidRPr="00E40021">
        <w:rPr>
          <w:rFonts w:ascii="Verdana" w:hAnsi="Verdana"/>
          <w:sz w:val="16"/>
          <w:szCs w:val="16"/>
        </w:rPr>
        <w:t xml:space="preserve"> solo se supo de ello el lunes siguiente y porque el periódico El Espectador no se consigue en todas las zonas de </w:t>
      </w:r>
      <w:r>
        <w:rPr>
          <w:rFonts w:ascii="Verdana" w:hAnsi="Verdana"/>
          <w:sz w:val="16"/>
          <w:szCs w:val="16"/>
        </w:rPr>
        <w:t xml:space="preserve">la ciudad de </w:t>
      </w:r>
      <w:r w:rsidRPr="00E40021">
        <w:rPr>
          <w:rFonts w:ascii="Verdana" w:hAnsi="Verdana"/>
          <w:sz w:val="16"/>
          <w:szCs w:val="16"/>
        </w:rPr>
        <w:t xml:space="preserve">Medellín”. </w:t>
      </w:r>
    </w:p>
  </w:footnote>
  <w:footnote w:id="39">
    <w:p w14:paraId="6C9F0AA6" w14:textId="41FD715D" w:rsidR="007361D1" w:rsidRPr="00E40021" w:rsidRDefault="007361D1" w:rsidP="005D7A26">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Style w:val="Textoennegrita"/>
          <w:rFonts w:ascii="Verdana" w:hAnsi="Verdana"/>
          <w:b w:val="0"/>
          <w:i/>
          <w:color w:val="000000"/>
          <w:sz w:val="16"/>
          <w:szCs w:val="16"/>
          <w:shd w:val="clear" w:color="auto" w:fill="FFFFFF"/>
        </w:rPr>
        <w:t>Caso Pueblo Indígena Kichwa de Sarayaku Vs. Ecuador. Supervisión de Cumplimiento de Sentencia.</w:t>
      </w:r>
      <w:r w:rsidRPr="00E40021">
        <w:rPr>
          <w:rStyle w:val="Textoennegrita"/>
          <w:rFonts w:ascii="Verdana" w:hAnsi="Verdana"/>
          <w:b w:val="0"/>
          <w:color w:val="000000"/>
          <w:sz w:val="16"/>
          <w:szCs w:val="16"/>
          <w:shd w:val="clear" w:color="auto" w:fill="FFFFFF"/>
        </w:rPr>
        <w:t xml:space="preserve"> Resolución de la Corte Interamericana de Derechos Humanos de 22 de junio de 2016, Considerando 27</w:t>
      </w:r>
      <w:r>
        <w:rPr>
          <w:rStyle w:val="Textoennegrita"/>
          <w:rFonts w:ascii="Verdana" w:hAnsi="Verdana"/>
          <w:b w:val="0"/>
          <w:color w:val="000000"/>
          <w:sz w:val="16"/>
          <w:szCs w:val="16"/>
          <w:shd w:val="clear" w:color="auto" w:fill="FFFFFF"/>
        </w:rPr>
        <w:t xml:space="preserve">, y </w:t>
      </w:r>
      <w:r>
        <w:rPr>
          <w:rStyle w:val="Textoennegrita"/>
          <w:rFonts w:ascii="Verdana" w:hAnsi="Verdana"/>
          <w:b w:val="0"/>
          <w:i/>
          <w:color w:val="000000"/>
          <w:sz w:val="16"/>
          <w:szCs w:val="16"/>
          <w:shd w:val="clear" w:color="auto" w:fill="FFFFFF"/>
        </w:rPr>
        <w:t xml:space="preserve">Caso Masacre de Santo Domingo Vs. Colombia, supra </w:t>
      </w:r>
      <w:r>
        <w:rPr>
          <w:rStyle w:val="Textoennegrita"/>
          <w:rFonts w:ascii="Verdana" w:hAnsi="Verdana"/>
          <w:b w:val="0"/>
          <w:color w:val="000000"/>
          <w:sz w:val="16"/>
          <w:szCs w:val="16"/>
          <w:shd w:val="clear" w:color="auto" w:fill="FFFFFF"/>
        </w:rPr>
        <w:t xml:space="preserve">nota </w:t>
      </w:r>
      <w:r>
        <w:rPr>
          <w:rStyle w:val="Textoennegrita"/>
          <w:rFonts w:ascii="Verdana" w:hAnsi="Verdana"/>
          <w:b w:val="0"/>
          <w:color w:val="000000"/>
          <w:sz w:val="16"/>
          <w:szCs w:val="16"/>
          <w:shd w:val="clear" w:color="auto" w:fill="FFFFFF"/>
        </w:rPr>
        <w:fldChar w:fldCharType="begin"/>
      </w:r>
      <w:r>
        <w:rPr>
          <w:rStyle w:val="Textoennegrita"/>
          <w:rFonts w:ascii="Verdana" w:hAnsi="Verdana"/>
          <w:b w:val="0"/>
          <w:color w:val="000000"/>
          <w:sz w:val="16"/>
          <w:szCs w:val="16"/>
          <w:shd w:val="clear" w:color="auto" w:fill="FFFFFF"/>
        </w:rPr>
        <w:instrText xml:space="preserve"> NOTEREF _Ref26800842 \h </w:instrText>
      </w:r>
      <w:r>
        <w:rPr>
          <w:rStyle w:val="Textoennegrita"/>
          <w:rFonts w:ascii="Verdana" w:hAnsi="Verdana"/>
          <w:b w:val="0"/>
          <w:color w:val="000000"/>
          <w:sz w:val="16"/>
          <w:szCs w:val="16"/>
          <w:shd w:val="clear" w:color="auto" w:fill="FFFFFF"/>
        </w:rPr>
      </w:r>
      <w:r>
        <w:rPr>
          <w:rStyle w:val="Textoennegrita"/>
          <w:rFonts w:ascii="Verdana" w:hAnsi="Verdana"/>
          <w:b w:val="0"/>
          <w:color w:val="000000"/>
          <w:sz w:val="16"/>
          <w:szCs w:val="16"/>
          <w:shd w:val="clear" w:color="auto" w:fill="FFFFFF"/>
        </w:rPr>
        <w:fldChar w:fldCharType="separate"/>
      </w:r>
      <w:r w:rsidR="00630FCA">
        <w:rPr>
          <w:rStyle w:val="Textoennegrita"/>
          <w:rFonts w:ascii="Verdana" w:hAnsi="Verdana"/>
          <w:b w:val="0"/>
          <w:color w:val="000000"/>
          <w:sz w:val="16"/>
          <w:szCs w:val="16"/>
          <w:shd w:val="clear" w:color="auto" w:fill="FFFFFF"/>
        </w:rPr>
        <w:t>27</w:t>
      </w:r>
      <w:r>
        <w:rPr>
          <w:rStyle w:val="Textoennegrita"/>
          <w:rFonts w:ascii="Verdana" w:hAnsi="Verdana"/>
          <w:b w:val="0"/>
          <w:color w:val="000000"/>
          <w:sz w:val="16"/>
          <w:szCs w:val="16"/>
          <w:shd w:val="clear" w:color="auto" w:fill="FFFFFF"/>
        </w:rPr>
        <w:fldChar w:fldCharType="end"/>
      </w:r>
      <w:r>
        <w:rPr>
          <w:rStyle w:val="Textoennegrita"/>
          <w:rFonts w:ascii="Verdana" w:hAnsi="Verdana"/>
          <w:b w:val="0"/>
          <w:color w:val="000000"/>
          <w:sz w:val="16"/>
          <w:szCs w:val="16"/>
          <w:shd w:val="clear" w:color="auto" w:fill="FFFFFF"/>
        </w:rPr>
        <w:t xml:space="preserve">, Considerando 14. </w:t>
      </w:r>
    </w:p>
  </w:footnote>
  <w:footnote w:id="40">
    <w:p w14:paraId="2C687A1E" w14:textId="07DE9A7E" w:rsidR="007361D1" w:rsidRPr="00E40021" w:rsidRDefault="007361D1" w:rsidP="00A27E90">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Cfr. Caso García Cruz y Sánchez Silvestre Vs. México. Supervisión de Cumplimiento de Sentencia.</w:t>
      </w:r>
      <w:r w:rsidRPr="00E40021">
        <w:rPr>
          <w:rFonts w:ascii="Verdana" w:hAnsi="Verdana"/>
          <w:sz w:val="16"/>
          <w:szCs w:val="16"/>
        </w:rPr>
        <w:t xml:space="preserve"> Resolución de la Corte Interamericana de Derechos Humanos de 1 de septiembre de 2016, Considerando </w:t>
      </w:r>
      <w:r w:rsidR="00C45932">
        <w:rPr>
          <w:rFonts w:ascii="Verdana" w:hAnsi="Verdana"/>
          <w:sz w:val="16"/>
          <w:szCs w:val="16"/>
        </w:rPr>
        <w:t>8</w:t>
      </w:r>
      <w:r w:rsidRPr="00E40021">
        <w:rPr>
          <w:rFonts w:ascii="Verdana" w:hAnsi="Verdana"/>
          <w:sz w:val="16"/>
          <w:szCs w:val="16"/>
        </w:rPr>
        <w:t xml:space="preserve">, </w:t>
      </w:r>
      <w:r w:rsidRPr="00E40021">
        <w:rPr>
          <w:rStyle w:val="Textoennegrita"/>
          <w:rFonts w:ascii="Verdana" w:hAnsi="Verdana"/>
          <w:b w:val="0"/>
          <w:i/>
          <w:color w:val="000000"/>
          <w:sz w:val="16"/>
          <w:szCs w:val="16"/>
          <w:shd w:val="clear" w:color="auto" w:fill="FFFFFF"/>
        </w:rPr>
        <w:t>Caso Norín Catrimán y otros (Dirigentes, Miembros y Activista del Pueblo Indígena Mapuche) Vs. Chile. Supervisión de Cumplimiento de Sentencia.</w:t>
      </w:r>
      <w:r w:rsidRPr="00E40021">
        <w:rPr>
          <w:rStyle w:val="Textoennegrita"/>
          <w:rFonts w:ascii="Verdana" w:hAnsi="Verdana"/>
          <w:b w:val="0"/>
          <w:color w:val="000000"/>
          <w:sz w:val="16"/>
          <w:szCs w:val="16"/>
          <w:shd w:val="clear" w:color="auto" w:fill="FFFFFF"/>
        </w:rPr>
        <w:t xml:space="preserve"> Resolución de la Corte Interamericana de Derechos Humanos de 28 de noviembre de 2018, Considerando 56.</w:t>
      </w:r>
    </w:p>
  </w:footnote>
  <w:footnote w:id="41">
    <w:p w14:paraId="3F219575" w14:textId="45CDCA27" w:rsidR="007361D1" w:rsidRPr="00E40021" w:rsidRDefault="007361D1" w:rsidP="001A2433">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En el informe de abril de 2017 el Estado, indicó los enlaces electrónicos a través de los cuales se podía acceder a las publicaciones. La publicación de la Sentencia aún se encuentra disponible a través de la página de inicio de los sitios </w:t>
      </w:r>
      <w:r w:rsidRPr="00C45932">
        <w:rPr>
          <w:rFonts w:ascii="Verdana" w:hAnsi="Verdana"/>
          <w:i/>
          <w:sz w:val="16"/>
          <w:szCs w:val="16"/>
        </w:rPr>
        <w:t>web</w:t>
      </w:r>
      <w:r w:rsidRPr="00E40021">
        <w:rPr>
          <w:rFonts w:ascii="Verdana" w:hAnsi="Verdana"/>
          <w:sz w:val="16"/>
          <w:szCs w:val="16"/>
        </w:rPr>
        <w:t xml:space="preserve"> oficiales de la Consejería Presidencial para los Derechos y del Ministerio de Relaciones Exteriores de Colombia a través de los siguientes enlaces: </w:t>
      </w:r>
      <w:hyperlink r:id="rId3" w:history="1">
        <w:r w:rsidRPr="00E40021">
          <w:rPr>
            <w:rStyle w:val="Hipervnculo"/>
            <w:rFonts w:ascii="Verdana" w:hAnsi="Verdana"/>
            <w:sz w:val="16"/>
            <w:szCs w:val="16"/>
          </w:rPr>
          <w:t>http://www.derechoshumanos.gov.co/Prensa/2017/Documents/170302-Caso%20Yarce-otras-Colombia.pdf</w:t>
        </w:r>
      </w:hyperlink>
      <w:r w:rsidRPr="00E40021">
        <w:rPr>
          <w:rFonts w:ascii="Verdana" w:hAnsi="Verdana"/>
          <w:sz w:val="16"/>
          <w:szCs w:val="16"/>
        </w:rPr>
        <w:t xml:space="preserve"> y </w:t>
      </w:r>
      <w:hyperlink r:id="rId4" w:history="1">
        <w:r w:rsidRPr="00E40021">
          <w:rPr>
            <w:rStyle w:val="Hipervnculo"/>
            <w:rFonts w:ascii="Verdana" w:hAnsi="Verdana"/>
            <w:sz w:val="16"/>
            <w:szCs w:val="16"/>
          </w:rPr>
          <w:t>https://www.cancilleria.gov.co/fallos-la-corte-interamericana-derechos-humanos</w:t>
        </w:r>
      </w:hyperlink>
      <w:r w:rsidRPr="00E40021">
        <w:rPr>
          <w:rFonts w:ascii="Verdana" w:hAnsi="Verdana"/>
          <w:sz w:val="16"/>
          <w:szCs w:val="16"/>
        </w:rPr>
        <w:t xml:space="preserve"> (última consulta el </w:t>
      </w:r>
      <w:r w:rsidR="00C45932">
        <w:rPr>
          <w:rFonts w:ascii="Verdana" w:hAnsi="Verdana"/>
          <w:sz w:val="16"/>
          <w:szCs w:val="16"/>
        </w:rPr>
        <w:t>22</w:t>
      </w:r>
      <w:r w:rsidRPr="00E40021">
        <w:rPr>
          <w:rFonts w:ascii="Verdana" w:hAnsi="Verdana"/>
          <w:sz w:val="16"/>
          <w:szCs w:val="16"/>
        </w:rPr>
        <w:t xml:space="preserve"> de </w:t>
      </w:r>
      <w:r w:rsidR="00C45932">
        <w:rPr>
          <w:rFonts w:ascii="Verdana" w:hAnsi="Verdana"/>
          <w:sz w:val="16"/>
          <w:szCs w:val="16"/>
        </w:rPr>
        <w:t>noviembre</w:t>
      </w:r>
      <w:r w:rsidRPr="00E40021">
        <w:rPr>
          <w:rFonts w:ascii="Verdana" w:hAnsi="Verdana"/>
          <w:sz w:val="16"/>
          <w:szCs w:val="16"/>
        </w:rPr>
        <w:t xml:space="preserve"> de 2019).</w:t>
      </w:r>
    </w:p>
  </w:footnote>
  <w:footnote w:id="42">
    <w:p w14:paraId="066F8B10" w14:textId="77777777" w:rsidR="007361D1" w:rsidRPr="00E40021" w:rsidRDefault="007361D1" w:rsidP="00B85613">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Observaron que “[e]n la página web de la Cancillería, […] no </w:t>
      </w:r>
      <w:proofErr w:type="spellStart"/>
      <w:r w:rsidRPr="00E40021">
        <w:rPr>
          <w:rFonts w:ascii="Verdana" w:hAnsi="Verdana"/>
          <w:sz w:val="16"/>
          <w:szCs w:val="16"/>
        </w:rPr>
        <w:t>pudi</w:t>
      </w:r>
      <w:proofErr w:type="spellEnd"/>
      <w:r w:rsidRPr="00E40021">
        <w:rPr>
          <w:rFonts w:ascii="Verdana" w:hAnsi="Verdana"/>
          <w:sz w:val="16"/>
          <w:szCs w:val="16"/>
        </w:rPr>
        <w:t>[</w:t>
      </w:r>
      <w:proofErr w:type="spellStart"/>
      <w:r w:rsidRPr="00E40021">
        <w:rPr>
          <w:rFonts w:ascii="Verdana" w:hAnsi="Verdana"/>
          <w:sz w:val="16"/>
          <w:szCs w:val="16"/>
        </w:rPr>
        <w:t>eron</w:t>
      </w:r>
      <w:proofErr w:type="spellEnd"/>
      <w:r w:rsidRPr="00E40021">
        <w:rPr>
          <w:rFonts w:ascii="Verdana" w:hAnsi="Verdana"/>
          <w:sz w:val="16"/>
          <w:szCs w:val="16"/>
        </w:rPr>
        <w:t>] encontrar la sentencia buscándola directamente en la página”.</w:t>
      </w:r>
    </w:p>
  </w:footnote>
  <w:footnote w:id="43">
    <w:p w14:paraId="0036AB53" w14:textId="6055F80C" w:rsidR="007361D1" w:rsidRPr="00E40021" w:rsidRDefault="007361D1" w:rsidP="00835162">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Adicionalmente, indicaron que “debe tenerse en cuenta que la situación de orden público y los hostigamientos contra líderes, lideresas y defensores dificultó cualquier posibilidad de darle a un </w:t>
      </w:r>
      <w:r w:rsidR="004406B5">
        <w:rPr>
          <w:rFonts w:ascii="Verdana" w:hAnsi="Verdana"/>
          <w:sz w:val="16"/>
          <w:szCs w:val="16"/>
        </w:rPr>
        <w:t>[a]</w:t>
      </w:r>
      <w:proofErr w:type="spellStart"/>
      <w:r w:rsidRPr="00E40021">
        <w:rPr>
          <w:rFonts w:ascii="Verdana" w:hAnsi="Verdana"/>
          <w:sz w:val="16"/>
          <w:szCs w:val="16"/>
        </w:rPr>
        <w:t>cto</w:t>
      </w:r>
      <w:proofErr w:type="spellEnd"/>
      <w:r w:rsidRPr="00E40021">
        <w:rPr>
          <w:rFonts w:ascii="Verdana" w:hAnsi="Verdana"/>
          <w:sz w:val="16"/>
          <w:szCs w:val="16"/>
        </w:rPr>
        <w:t xml:space="preserve"> de esta naturaleza un verdadero sentido </w:t>
      </w:r>
      <w:r>
        <w:rPr>
          <w:rFonts w:ascii="Verdana" w:hAnsi="Verdana"/>
          <w:sz w:val="16"/>
          <w:szCs w:val="16"/>
        </w:rPr>
        <w:t xml:space="preserve">de </w:t>
      </w:r>
      <w:r w:rsidRPr="00E40021">
        <w:rPr>
          <w:rFonts w:ascii="Verdana" w:hAnsi="Verdana"/>
          <w:sz w:val="16"/>
          <w:szCs w:val="16"/>
        </w:rPr>
        <w:t>repara</w:t>
      </w:r>
      <w:r>
        <w:rPr>
          <w:rFonts w:ascii="Verdana" w:hAnsi="Verdana"/>
          <w:sz w:val="16"/>
          <w:szCs w:val="16"/>
        </w:rPr>
        <w:t>ción</w:t>
      </w:r>
      <w:r w:rsidRPr="00E40021">
        <w:rPr>
          <w:rFonts w:ascii="Verdana" w:hAnsi="Verdana"/>
          <w:sz w:val="16"/>
          <w:szCs w:val="16"/>
        </w:rPr>
        <w:t xml:space="preserve">”. </w:t>
      </w:r>
    </w:p>
  </w:footnote>
  <w:footnote w:id="44">
    <w:p w14:paraId="4C573FB5" w14:textId="5D19C28B" w:rsidR="007361D1" w:rsidRPr="00E40021" w:rsidRDefault="007361D1" w:rsidP="00C938D5">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En el informe elaborado por la Defensoría del Pueblo de Colombia se indicó, en relación con esta medida, que “las víctimas [de este caso] señalaron que el Gobierno regional ejerce presión constante sobre la comunidad para evitar la divulgación de los hechos que están ocurriendo actualmente en la comuna. Además</w:t>
      </w:r>
      <w:r>
        <w:rPr>
          <w:rFonts w:ascii="Verdana" w:hAnsi="Verdana"/>
          <w:sz w:val="16"/>
          <w:szCs w:val="16"/>
        </w:rPr>
        <w:t>,</w:t>
      </w:r>
      <w:r w:rsidRPr="00E40021">
        <w:rPr>
          <w:rFonts w:ascii="Verdana" w:hAnsi="Verdana"/>
          <w:sz w:val="16"/>
          <w:szCs w:val="16"/>
        </w:rPr>
        <w:t xml:space="preserve"> las víctimas manifestaron sus reparos respecto a la implementación de medidas de perdón o reconocimiento cuando no hay claridad de los hechos y no se ha dicho la verdad, lo cual indica que deben realizar acciones previas de socialización del contenido de la decisión”. </w:t>
      </w:r>
      <w:r w:rsidRPr="00E40021">
        <w:rPr>
          <w:rFonts w:ascii="Verdana" w:hAnsi="Verdana"/>
          <w:i/>
          <w:sz w:val="16"/>
          <w:szCs w:val="16"/>
        </w:rPr>
        <w:t>Cfr</w:t>
      </w:r>
      <w:r w:rsidRPr="00E40021">
        <w:rPr>
          <w:rFonts w:ascii="Verdana" w:hAnsi="Verdana"/>
          <w:sz w:val="16"/>
          <w:szCs w:val="16"/>
        </w:rPr>
        <w:t xml:space="preserve">. Informe “Ampliando el horizonte de la justicia para las víctimas. Informe del estado de cumplimiento de las sentencias de la Corte Interamericana de Derechos Humanos contra Colombia”, </w:t>
      </w:r>
      <w:r w:rsidRPr="00E40021">
        <w:rPr>
          <w:rFonts w:ascii="Verdana" w:hAnsi="Verdana"/>
          <w:i/>
          <w:sz w:val="16"/>
          <w:szCs w:val="16"/>
        </w:rPr>
        <w:t xml:space="preserve">supra </w:t>
      </w:r>
      <w:r w:rsidR="004406B5">
        <w:rPr>
          <w:rFonts w:ascii="Verdana" w:hAnsi="Verdana"/>
          <w:sz w:val="16"/>
          <w:szCs w:val="16"/>
        </w:rPr>
        <w:t>nota</w:t>
      </w:r>
      <w:r w:rsidRPr="00E40021">
        <w:rPr>
          <w:rFonts w:ascii="Verdana" w:hAnsi="Verdana"/>
          <w:sz w:val="16"/>
          <w:szCs w:val="16"/>
        </w:rPr>
        <w:t xml:space="preserve"> </w:t>
      </w:r>
      <w:r w:rsidR="004406B5">
        <w:rPr>
          <w:rFonts w:ascii="Verdana" w:hAnsi="Verdana"/>
          <w:sz w:val="16"/>
          <w:szCs w:val="16"/>
        </w:rPr>
        <w:t>4</w:t>
      </w:r>
      <w:r w:rsidRPr="00E40021">
        <w:rPr>
          <w:rFonts w:ascii="Verdana" w:hAnsi="Verdana"/>
          <w:sz w:val="16"/>
          <w:szCs w:val="16"/>
        </w:rPr>
        <w:t>, pág. 113.</w:t>
      </w:r>
    </w:p>
  </w:footnote>
  <w:footnote w:id="45">
    <w:p w14:paraId="4A33D134" w14:textId="77777777" w:rsidR="007361D1" w:rsidRPr="00E40021" w:rsidRDefault="007361D1" w:rsidP="00935258">
      <w:pPr>
        <w:pStyle w:val="Textonotapie"/>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La Corte estableció, entre otros aspectos, que:</w:t>
      </w:r>
    </w:p>
    <w:p w14:paraId="40EDA6EF" w14:textId="5C31DEFB" w:rsidR="007361D1" w:rsidRPr="00E40021" w:rsidRDefault="007361D1" w:rsidP="00470D38">
      <w:pPr>
        <w:pStyle w:val="Prrafodelista"/>
        <w:numPr>
          <w:ilvl w:val="0"/>
          <w:numId w:val="39"/>
        </w:numPr>
        <w:spacing w:after="0" w:line="240" w:lineRule="auto"/>
        <w:contextualSpacing w:val="0"/>
        <w:jc w:val="both"/>
        <w:rPr>
          <w:rFonts w:ascii="Verdana" w:hAnsi="Verdana"/>
          <w:sz w:val="16"/>
          <w:szCs w:val="16"/>
        </w:rPr>
      </w:pPr>
      <w:r w:rsidRPr="00E40021">
        <w:rPr>
          <w:rFonts w:ascii="Verdana" w:hAnsi="Verdana"/>
          <w:sz w:val="16"/>
          <w:szCs w:val="16"/>
        </w:rPr>
        <w:t xml:space="preserve">“el desarrollo del programa, taller o curso, así como su implementación, debe ser cumplido en colaboración con las víctimas del caso, en tanto éstas así lo deseen y lo hagan saber a las autoridades encargadas de la implementación, así como con sus representantes, esto con el fin de que […] sea parte </w:t>
      </w:r>
      <w:r>
        <w:rPr>
          <w:rFonts w:ascii="Verdana" w:hAnsi="Verdana"/>
          <w:sz w:val="16"/>
          <w:szCs w:val="16"/>
        </w:rPr>
        <w:t xml:space="preserve">integral </w:t>
      </w:r>
      <w:r w:rsidRPr="00E40021">
        <w:rPr>
          <w:rFonts w:ascii="Verdana" w:hAnsi="Verdana"/>
          <w:sz w:val="16"/>
          <w:szCs w:val="16"/>
        </w:rPr>
        <w:t>de la reparación que reciban las víctimas del presente caso</w:t>
      </w:r>
      <w:r>
        <w:rPr>
          <w:rFonts w:ascii="Verdana" w:hAnsi="Verdana"/>
          <w:sz w:val="16"/>
          <w:szCs w:val="16"/>
        </w:rPr>
        <w:t>”</w:t>
      </w:r>
      <w:r w:rsidRPr="00E40021">
        <w:rPr>
          <w:rFonts w:ascii="Verdana" w:hAnsi="Verdana"/>
          <w:sz w:val="16"/>
          <w:szCs w:val="16"/>
        </w:rPr>
        <w:t>;</w:t>
      </w:r>
    </w:p>
    <w:p w14:paraId="782A0001" w14:textId="00441FCD" w:rsidR="007361D1" w:rsidRPr="00E40021" w:rsidRDefault="007361D1" w:rsidP="006B188B">
      <w:pPr>
        <w:pStyle w:val="Prrafodelista"/>
        <w:numPr>
          <w:ilvl w:val="0"/>
          <w:numId w:val="39"/>
        </w:numPr>
        <w:spacing w:after="0" w:line="240" w:lineRule="auto"/>
        <w:contextualSpacing w:val="0"/>
        <w:jc w:val="both"/>
        <w:rPr>
          <w:rFonts w:ascii="Verdana" w:hAnsi="Verdana"/>
          <w:sz w:val="16"/>
          <w:szCs w:val="16"/>
        </w:rPr>
      </w:pPr>
      <w:r w:rsidRPr="00E40021">
        <w:rPr>
          <w:rFonts w:ascii="Verdana" w:hAnsi="Verdana"/>
          <w:sz w:val="16"/>
          <w:szCs w:val="16"/>
        </w:rPr>
        <w:t xml:space="preserve">“la inclusión de la experiencia y </w:t>
      </w:r>
      <w:r>
        <w:rPr>
          <w:rFonts w:ascii="Verdana" w:hAnsi="Verdana"/>
          <w:sz w:val="16"/>
          <w:szCs w:val="16"/>
        </w:rPr>
        <w:t xml:space="preserve">los </w:t>
      </w:r>
      <w:r w:rsidRPr="00E40021">
        <w:rPr>
          <w:rFonts w:ascii="Verdana" w:hAnsi="Verdana"/>
          <w:sz w:val="16"/>
          <w:szCs w:val="16"/>
        </w:rPr>
        <w:t xml:space="preserve">hechos sufridos por las señoras Yarce, Mosquera, Naranjo, Ospina y Rúa [… y la] mención al contenido de la Sentencia del caso Yarce y otras Vs. Colombia [no] </w:t>
      </w:r>
      <w:proofErr w:type="spellStart"/>
      <w:r w:rsidRPr="00E40021">
        <w:rPr>
          <w:rFonts w:ascii="Verdana" w:hAnsi="Verdana"/>
          <w:sz w:val="16"/>
          <w:szCs w:val="16"/>
        </w:rPr>
        <w:t>impli</w:t>
      </w:r>
      <w:proofErr w:type="spellEnd"/>
      <w:r w:rsidRPr="00E40021">
        <w:rPr>
          <w:rFonts w:ascii="Verdana" w:hAnsi="Verdana"/>
          <w:sz w:val="16"/>
          <w:szCs w:val="16"/>
        </w:rPr>
        <w:t>[</w:t>
      </w:r>
      <w:r>
        <w:rPr>
          <w:rFonts w:ascii="Verdana" w:hAnsi="Verdana"/>
          <w:sz w:val="16"/>
          <w:szCs w:val="16"/>
        </w:rPr>
        <w:t>c</w:t>
      </w:r>
      <w:r w:rsidRPr="00E40021">
        <w:rPr>
          <w:rFonts w:ascii="Verdana" w:hAnsi="Verdana"/>
          <w:sz w:val="16"/>
          <w:szCs w:val="16"/>
        </w:rPr>
        <w:t>a] que las víctimas deban participar activamente en la impartición del programa, curso o taller”;</w:t>
      </w:r>
    </w:p>
    <w:p w14:paraId="7E4F16C1" w14:textId="045314EF" w:rsidR="007361D1" w:rsidRPr="00E40021" w:rsidRDefault="007361D1" w:rsidP="003E0539">
      <w:pPr>
        <w:pStyle w:val="Prrafodelista"/>
        <w:numPr>
          <w:ilvl w:val="0"/>
          <w:numId w:val="39"/>
        </w:numPr>
        <w:spacing w:after="0" w:line="240" w:lineRule="auto"/>
        <w:contextualSpacing w:val="0"/>
        <w:jc w:val="both"/>
        <w:rPr>
          <w:rFonts w:ascii="Verdana" w:hAnsi="Verdana"/>
          <w:sz w:val="16"/>
          <w:szCs w:val="16"/>
        </w:rPr>
      </w:pPr>
      <w:r w:rsidRPr="00E40021">
        <w:rPr>
          <w:rFonts w:ascii="Verdana" w:hAnsi="Verdana"/>
          <w:sz w:val="16"/>
          <w:szCs w:val="16"/>
        </w:rPr>
        <w:t xml:space="preserve">“[e]l tema de si debe ser un programa, curso o taller nuevo o uno ya existente, […] debe ser acordado entre las partes, pues tal como es indicado en la Sentencia, lo que requiere la Corte es que se incluya la promoción e instrucción sobre el trabajo de las defensoras y defensores de Derechos Humanos en la Comuna 13 y que esté destinado a </w:t>
      </w:r>
      <w:r>
        <w:rPr>
          <w:rFonts w:ascii="Verdana" w:hAnsi="Verdana"/>
          <w:sz w:val="16"/>
          <w:szCs w:val="16"/>
        </w:rPr>
        <w:t xml:space="preserve">fomentar y </w:t>
      </w:r>
      <w:r w:rsidRPr="00E40021">
        <w:rPr>
          <w:rFonts w:ascii="Verdana" w:hAnsi="Verdana"/>
          <w:sz w:val="16"/>
          <w:szCs w:val="16"/>
        </w:rPr>
        <w:t>fortalecer los espacios de diálogo entre la población que allí habita, las defensoras y defensores y el Estado”;</w:t>
      </w:r>
    </w:p>
    <w:p w14:paraId="3B28D5A3" w14:textId="52DD41B3" w:rsidR="007361D1" w:rsidRPr="00E40021" w:rsidRDefault="007361D1" w:rsidP="003E0539">
      <w:pPr>
        <w:pStyle w:val="Prrafodelista"/>
        <w:numPr>
          <w:ilvl w:val="0"/>
          <w:numId w:val="39"/>
        </w:numPr>
        <w:spacing w:after="0" w:line="240" w:lineRule="auto"/>
        <w:contextualSpacing w:val="0"/>
        <w:jc w:val="both"/>
        <w:rPr>
          <w:rFonts w:ascii="Verdana" w:hAnsi="Verdana"/>
          <w:sz w:val="16"/>
          <w:szCs w:val="16"/>
        </w:rPr>
      </w:pPr>
      <w:r w:rsidRPr="00E40021">
        <w:rPr>
          <w:rFonts w:ascii="Verdana" w:hAnsi="Verdana"/>
          <w:sz w:val="16"/>
          <w:szCs w:val="16"/>
        </w:rPr>
        <w:t>“</w:t>
      </w:r>
      <w:r>
        <w:rPr>
          <w:rFonts w:ascii="Verdana" w:hAnsi="Verdana"/>
          <w:sz w:val="16"/>
          <w:szCs w:val="16"/>
        </w:rPr>
        <w:t>[</w:t>
      </w:r>
      <w:r w:rsidRPr="00E40021">
        <w:rPr>
          <w:rFonts w:ascii="Verdana" w:hAnsi="Verdana"/>
          <w:sz w:val="16"/>
          <w:szCs w:val="16"/>
        </w:rPr>
        <w:t>l</w:t>
      </w:r>
      <w:r>
        <w:rPr>
          <w:rFonts w:ascii="Verdana" w:hAnsi="Verdana"/>
          <w:sz w:val="16"/>
          <w:szCs w:val="16"/>
        </w:rPr>
        <w:t>]</w:t>
      </w:r>
      <w:r w:rsidRPr="00E40021">
        <w:rPr>
          <w:rFonts w:ascii="Verdana" w:hAnsi="Verdana"/>
          <w:sz w:val="16"/>
          <w:szCs w:val="16"/>
        </w:rPr>
        <w:t>a periodicidad del curso, taller o programa debe ser acordado en conjunto con las víctimas del caso, pero independientemente del acuerdo, […] según la Sentencia del caso, el Estado debe implementarlo por un mínimo de tres años”;</w:t>
      </w:r>
    </w:p>
    <w:p w14:paraId="28989ADE" w14:textId="77777777" w:rsidR="007361D1" w:rsidRPr="00E40021" w:rsidRDefault="007361D1" w:rsidP="003E0539">
      <w:pPr>
        <w:pStyle w:val="Prrafodelista"/>
        <w:numPr>
          <w:ilvl w:val="0"/>
          <w:numId w:val="39"/>
        </w:numPr>
        <w:spacing w:after="0" w:line="240" w:lineRule="auto"/>
        <w:contextualSpacing w:val="0"/>
        <w:jc w:val="both"/>
        <w:rPr>
          <w:rFonts w:ascii="Verdana" w:hAnsi="Verdana"/>
          <w:sz w:val="16"/>
          <w:szCs w:val="16"/>
        </w:rPr>
      </w:pPr>
      <w:r w:rsidRPr="00E40021">
        <w:rPr>
          <w:rFonts w:ascii="Verdana" w:hAnsi="Verdana"/>
          <w:sz w:val="16"/>
          <w:szCs w:val="16"/>
        </w:rPr>
        <w:t>“el Estado cuenta con un año de plazo, a partir de la notificación de la Sentencia […], para la creación, o bien la adaptación de un programa, taller o curso ya existente”, y que</w:t>
      </w:r>
    </w:p>
    <w:p w14:paraId="017A0986" w14:textId="0A64128B" w:rsidR="007361D1" w:rsidRPr="00E40021" w:rsidRDefault="007361D1" w:rsidP="003E0539">
      <w:pPr>
        <w:pStyle w:val="Prrafodelista"/>
        <w:numPr>
          <w:ilvl w:val="0"/>
          <w:numId w:val="39"/>
        </w:numPr>
        <w:spacing w:after="0" w:line="240" w:lineRule="auto"/>
        <w:contextualSpacing w:val="0"/>
        <w:jc w:val="both"/>
        <w:rPr>
          <w:rFonts w:ascii="Verdana" w:hAnsi="Verdana"/>
          <w:sz w:val="16"/>
          <w:szCs w:val="16"/>
        </w:rPr>
      </w:pPr>
      <w:r w:rsidRPr="00E40021">
        <w:rPr>
          <w:rFonts w:ascii="Verdana" w:hAnsi="Verdana"/>
          <w:sz w:val="16"/>
          <w:szCs w:val="16"/>
        </w:rPr>
        <w:t>“e</w:t>
      </w:r>
      <w:r>
        <w:rPr>
          <w:rFonts w:ascii="Verdana" w:hAnsi="Verdana"/>
          <w:sz w:val="16"/>
          <w:szCs w:val="16"/>
        </w:rPr>
        <w:t>[</w:t>
      </w:r>
      <w:r w:rsidRPr="00E40021">
        <w:rPr>
          <w:rFonts w:ascii="Verdana" w:hAnsi="Verdana"/>
          <w:sz w:val="16"/>
          <w:szCs w:val="16"/>
        </w:rPr>
        <w:t>l</w:t>
      </w:r>
      <w:r>
        <w:rPr>
          <w:rFonts w:ascii="Verdana" w:hAnsi="Verdana"/>
          <w:sz w:val="16"/>
          <w:szCs w:val="16"/>
        </w:rPr>
        <w:t>]</w:t>
      </w:r>
      <w:r w:rsidRPr="00E40021">
        <w:rPr>
          <w:rFonts w:ascii="Verdana" w:hAnsi="Verdana"/>
          <w:sz w:val="16"/>
          <w:szCs w:val="16"/>
        </w:rPr>
        <w:t xml:space="preserve"> Tribunal no estableció parámetros para los acuerdos entre [el Estado y las víctimas], por lo que ambas partes deben dialogar y en el tiempo definido presentar a la Corte el programa, curso o taller que va a desarrollar en cumplimiento con la medida”, y “si</w:t>
      </w:r>
      <w:r>
        <w:rPr>
          <w:rFonts w:ascii="Verdana" w:hAnsi="Verdana"/>
          <w:sz w:val="16"/>
          <w:szCs w:val="16"/>
        </w:rPr>
        <w:t xml:space="preserve"> </w:t>
      </w:r>
      <w:r w:rsidRPr="00E40021">
        <w:rPr>
          <w:rFonts w:ascii="Verdana" w:hAnsi="Verdana"/>
          <w:sz w:val="16"/>
          <w:szCs w:val="16"/>
        </w:rPr>
        <w:t xml:space="preserve">no se logra llegar a un acuerdo, ambas partes deberán someter </w:t>
      </w:r>
      <w:r>
        <w:rPr>
          <w:rFonts w:ascii="Verdana" w:hAnsi="Verdana"/>
          <w:sz w:val="16"/>
          <w:szCs w:val="16"/>
        </w:rPr>
        <w:t>a la Corte la</w:t>
      </w:r>
      <w:r w:rsidRPr="00E40021">
        <w:rPr>
          <w:rFonts w:ascii="Verdana" w:hAnsi="Verdana"/>
          <w:sz w:val="16"/>
          <w:szCs w:val="16"/>
        </w:rPr>
        <w:t xml:space="preserve"> propuesta de manera tal que sea </w:t>
      </w:r>
      <w:r>
        <w:rPr>
          <w:rFonts w:ascii="Verdana" w:hAnsi="Verdana"/>
          <w:sz w:val="16"/>
          <w:szCs w:val="16"/>
        </w:rPr>
        <w:t>[ésta]</w:t>
      </w:r>
      <w:r w:rsidRPr="00E40021">
        <w:rPr>
          <w:rFonts w:ascii="Verdana" w:hAnsi="Verdana"/>
          <w:sz w:val="16"/>
          <w:szCs w:val="16"/>
        </w:rPr>
        <w:t xml:space="preserve"> quien decida cómo se cumple de mejor manera la medida ordenada”.</w:t>
      </w:r>
    </w:p>
  </w:footnote>
  <w:footnote w:id="46">
    <w:p w14:paraId="41CC091C" w14:textId="3C28229B" w:rsidR="007361D1" w:rsidRPr="00E40021" w:rsidRDefault="007361D1">
      <w:pPr>
        <w:pStyle w:val="Textonotapie"/>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 xml:space="preserve">Cfr. </w:t>
      </w:r>
      <w:r w:rsidRPr="00E40021">
        <w:rPr>
          <w:rStyle w:val="Textoennegrita"/>
          <w:rFonts w:ascii="Verdana" w:hAnsi="Verdana"/>
          <w:b w:val="0"/>
          <w:i/>
          <w:sz w:val="16"/>
          <w:szCs w:val="16"/>
          <w:shd w:val="clear" w:color="auto" w:fill="FFFFFF"/>
        </w:rPr>
        <w:t>Caso Yarce y otras Vs. Colombia</w:t>
      </w:r>
      <w:r>
        <w:rPr>
          <w:rStyle w:val="Textoennegrita"/>
          <w:rFonts w:ascii="Verdana" w:hAnsi="Verdana"/>
          <w:b w:val="0"/>
          <w:sz w:val="16"/>
          <w:szCs w:val="16"/>
          <w:shd w:val="clear" w:color="auto" w:fill="FFFFFF"/>
        </w:rPr>
        <w:t xml:space="preserve">, </w:t>
      </w:r>
      <w:r>
        <w:rPr>
          <w:rStyle w:val="Textoennegrita"/>
          <w:rFonts w:ascii="Verdana" w:hAnsi="Verdana"/>
          <w:b w:val="0"/>
          <w:i/>
          <w:sz w:val="16"/>
          <w:szCs w:val="16"/>
          <w:shd w:val="clear" w:color="auto" w:fill="FFFFFF"/>
        </w:rPr>
        <w:t xml:space="preserve">supra </w:t>
      </w:r>
      <w:r>
        <w:rPr>
          <w:rStyle w:val="Textoennegrita"/>
          <w:rFonts w:ascii="Verdana" w:hAnsi="Verdana"/>
          <w:b w:val="0"/>
          <w:sz w:val="16"/>
          <w:szCs w:val="16"/>
          <w:shd w:val="clear" w:color="auto" w:fill="FFFFFF"/>
        </w:rPr>
        <w:t>nota 1,</w:t>
      </w:r>
      <w:r w:rsidRPr="00E40021">
        <w:rPr>
          <w:rFonts w:ascii="Verdana" w:hAnsi="Verdana"/>
          <w:sz w:val="16"/>
          <w:szCs w:val="16"/>
        </w:rPr>
        <w:t xml:space="preserve"> </w:t>
      </w:r>
      <w:r>
        <w:rPr>
          <w:rFonts w:ascii="Verdana" w:hAnsi="Verdana"/>
          <w:sz w:val="16"/>
          <w:szCs w:val="16"/>
        </w:rPr>
        <w:t>p</w:t>
      </w:r>
      <w:r w:rsidRPr="00E40021">
        <w:rPr>
          <w:rFonts w:ascii="Verdana" w:hAnsi="Verdana"/>
          <w:sz w:val="16"/>
          <w:szCs w:val="16"/>
        </w:rPr>
        <w:t>árr. 385.</w:t>
      </w:r>
    </w:p>
  </w:footnote>
  <w:footnote w:id="47">
    <w:p w14:paraId="4B865030" w14:textId="68FDF058" w:rsidR="007361D1" w:rsidRPr="00E40021" w:rsidRDefault="007361D1" w:rsidP="00B67F34">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Las </w:t>
      </w:r>
      <w:r w:rsidRPr="000B062E">
        <w:rPr>
          <w:rFonts w:ascii="Verdana" w:hAnsi="Verdana"/>
          <w:sz w:val="16"/>
          <w:szCs w:val="16"/>
        </w:rPr>
        <w:t>representantes</w:t>
      </w:r>
      <w:r w:rsidRPr="00E40021">
        <w:rPr>
          <w:rFonts w:ascii="Verdana" w:hAnsi="Verdana"/>
          <w:sz w:val="16"/>
          <w:szCs w:val="16"/>
        </w:rPr>
        <w:t xml:space="preserve"> expusieron que el Estado practicó la liquidación de los intereses moratorios correspondientes a los meses de enero, febrero y marzo de 2018 utilizando la “Tasa de Captación de </w:t>
      </w:r>
      <w:r>
        <w:rPr>
          <w:rFonts w:ascii="Verdana" w:hAnsi="Verdana"/>
          <w:sz w:val="16"/>
          <w:szCs w:val="16"/>
        </w:rPr>
        <w:t xml:space="preserve">los </w:t>
      </w:r>
      <w:r w:rsidRPr="00E40021">
        <w:rPr>
          <w:rFonts w:ascii="Verdana" w:hAnsi="Verdana"/>
          <w:sz w:val="16"/>
          <w:szCs w:val="16"/>
        </w:rPr>
        <w:t xml:space="preserve">Certificados </w:t>
      </w:r>
      <w:r>
        <w:rPr>
          <w:rFonts w:ascii="Verdana" w:hAnsi="Verdana"/>
          <w:sz w:val="16"/>
          <w:szCs w:val="16"/>
        </w:rPr>
        <w:t xml:space="preserve">de Depósito </w:t>
      </w:r>
      <w:r w:rsidRPr="00E40021">
        <w:rPr>
          <w:rFonts w:ascii="Verdana" w:hAnsi="Verdana"/>
          <w:sz w:val="16"/>
          <w:szCs w:val="16"/>
        </w:rPr>
        <w:t xml:space="preserve">a Término </w:t>
      </w:r>
      <w:r>
        <w:rPr>
          <w:rFonts w:ascii="Verdana" w:hAnsi="Verdana"/>
          <w:sz w:val="16"/>
          <w:szCs w:val="16"/>
        </w:rPr>
        <w:t>F</w:t>
      </w:r>
      <w:r w:rsidRPr="00E40021">
        <w:rPr>
          <w:rFonts w:ascii="Verdana" w:hAnsi="Verdana"/>
          <w:sz w:val="16"/>
          <w:szCs w:val="16"/>
        </w:rPr>
        <w:t xml:space="preserve">ijo mensual” y que para ello tuvo en cuenta lo previsto en la “Ley 1437 de 2011 y la Circular Externa No. 10 de 13 de noviembre de 2014 emitida por la Agencia </w:t>
      </w:r>
      <w:r>
        <w:rPr>
          <w:rFonts w:ascii="Verdana" w:hAnsi="Verdana"/>
          <w:sz w:val="16"/>
          <w:szCs w:val="16"/>
        </w:rPr>
        <w:t xml:space="preserve">Nacional de Defensa </w:t>
      </w:r>
      <w:r w:rsidRPr="00E40021">
        <w:rPr>
          <w:rFonts w:ascii="Verdana" w:hAnsi="Verdana"/>
          <w:sz w:val="16"/>
          <w:szCs w:val="16"/>
        </w:rPr>
        <w:t>Jurídica del Estado [</w:t>
      </w:r>
      <w:r>
        <w:rPr>
          <w:rFonts w:ascii="Verdana" w:hAnsi="Verdana"/>
          <w:sz w:val="16"/>
          <w:szCs w:val="16"/>
        </w:rPr>
        <w:t xml:space="preserve">… </w:t>
      </w:r>
      <w:r w:rsidRPr="00E40021">
        <w:rPr>
          <w:rFonts w:ascii="Verdana" w:hAnsi="Verdana"/>
          <w:sz w:val="16"/>
          <w:szCs w:val="16"/>
        </w:rPr>
        <w:t xml:space="preserve">las cuales] hacen relación a los períodos temporales para liquidar </w:t>
      </w:r>
      <w:r>
        <w:rPr>
          <w:rFonts w:ascii="Verdana" w:hAnsi="Verdana"/>
          <w:sz w:val="16"/>
          <w:szCs w:val="16"/>
        </w:rPr>
        <w:t xml:space="preserve">los </w:t>
      </w:r>
      <w:r w:rsidRPr="00E40021">
        <w:rPr>
          <w:rFonts w:ascii="Verdana" w:hAnsi="Verdana"/>
          <w:sz w:val="16"/>
          <w:szCs w:val="16"/>
        </w:rPr>
        <w:t>intereses corrientes y moratorios en el pago de Sentencias y Conciliaciones en tribunales nacionales en la jurisdicción Contencios</w:t>
      </w:r>
      <w:r>
        <w:rPr>
          <w:rFonts w:ascii="Verdana" w:hAnsi="Verdana"/>
          <w:sz w:val="16"/>
          <w:szCs w:val="16"/>
        </w:rPr>
        <w:t>a</w:t>
      </w:r>
      <w:r w:rsidRPr="00E40021">
        <w:rPr>
          <w:rFonts w:ascii="Verdana" w:hAnsi="Verdana"/>
          <w:sz w:val="16"/>
          <w:szCs w:val="16"/>
        </w:rPr>
        <w:t xml:space="preserve"> Administrativa”. Indicaron que para esos tres meses dicha tasa fue de 5.28% para el mes de enero, 5.21% para el mes de febrero y de 5.07</w:t>
      </w:r>
      <w:r>
        <w:rPr>
          <w:rFonts w:ascii="Verdana" w:hAnsi="Verdana"/>
          <w:sz w:val="16"/>
          <w:szCs w:val="16"/>
        </w:rPr>
        <w:t>%</w:t>
      </w:r>
      <w:r w:rsidRPr="00E40021">
        <w:rPr>
          <w:rFonts w:ascii="Verdana" w:hAnsi="Verdana"/>
          <w:sz w:val="16"/>
          <w:szCs w:val="16"/>
        </w:rPr>
        <w:t xml:space="preserve"> para el mes de marzo de 2018. </w:t>
      </w:r>
    </w:p>
  </w:footnote>
  <w:footnote w:id="48">
    <w:p w14:paraId="7ABF1EA5" w14:textId="71A4610C" w:rsidR="007361D1" w:rsidRPr="00E40021" w:rsidRDefault="007361D1" w:rsidP="00B67F34">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Sostuvieron que “en Colombia solo hay una tasa de interés bancario moratorio” y que “[e]l artículo 884 del Código de Comercio, modificado por el artículo 111 de la Ley 510 de 199</w:t>
      </w:r>
      <w:r>
        <w:rPr>
          <w:rFonts w:ascii="Verdana" w:hAnsi="Verdana"/>
          <w:sz w:val="16"/>
          <w:szCs w:val="16"/>
        </w:rPr>
        <w:t>9,</w:t>
      </w:r>
      <w:r w:rsidRPr="00E40021">
        <w:rPr>
          <w:rFonts w:ascii="Verdana" w:hAnsi="Verdana"/>
          <w:sz w:val="16"/>
          <w:szCs w:val="16"/>
        </w:rPr>
        <w:t xml:space="preserve"> es la norma que permite determinar cuál es [ese] interés”. Indicaron que según el referido artículo el interés bancario moratorio se “</w:t>
      </w:r>
      <w:proofErr w:type="gramStart"/>
      <w:r w:rsidRPr="00E40021">
        <w:rPr>
          <w:rFonts w:ascii="Verdana" w:hAnsi="Verdana"/>
          <w:sz w:val="16"/>
          <w:szCs w:val="16"/>
        </w:rPr>
        <w:t>calcula[</w:t>
      </w:r>
      <w:proofErr w:type="gramEnd"/>
      <w:r w:rsidRPr="00E40021">
        <w:rPr>
          <w:rFonts w:ascii="Verdana" w:hAnsi="Verdana"/>
          <w:sz w:val="16"/>
          <w:szCs w:val="16"/>
        </w:rPr>
        <w:t xml:space="preserve">…] a partir de incrementar una y media vez el interés corriente bancario”. Agregaron que “[l]a Resolución 1890 del 27 de diciembre de 2017 de la Superintendencia Financiera </w:t>
      </w:r>
      <w:r w:rsidRPr="00E40021">
        <w:rPr>
          <w:rFonts w:ascii="Verdana" w:hAnsi="Verdana" w:cs="Verdana"/>
          <w:bCs/>
          <w:sz w:val="16"/>
          <w:szCs w:val="16"/>
        </w:rPr>
        <w:t>fijó la tasa de interés corriente bancario entre el 1º y el 31 de enero de 2018 en 20.69% Efectivo Anual (EA), lo que arroja un interés moratorio de 31.035% EA”; [l]a Resolución 0131 de</w:t>
      </w:r>
      <w:r>
        <w:rPr>
          <w:rFonts w:ascii="Verdana" w:hAnsi="Verdana" w:cs="Verdana"/>
          <w:bCs/>
          <w:sz w:val="16"/>
          <w:szCs w:val="16"/>
        </w:rPr>
        <w:t>l</w:t>
      </w:r>
      <w:r w:rsidRPr="00E40021">
        <w:rPr>
          <w:rFonts w:ascii="Verdana" w:hAnsi="Verdana" w:cs="Verdana"/>
          <w:bCs/>
          <w:sz w:val="16"/>
          <w:szCs w:val="16"/>
        </w:rPr>
        <w:t xml:space="preserve"> 31 de enero de 2018, fijó la tasa de interés corriente en 21.01%, para un interés moratorio de 31.51% EA</w:t>
      </w:r>
      <w:r>
        <w:rPr>
          <w:rFonts w:ascii="Verdana" w:hAnsi="Verdana" w:cs="Verdana"/>
          <w:bCs/>
          <w:sz w:val="16"/>
          <w:szCs w:val="16"/>
        </w:rPr>
        <w:t>[</w:t>
      </w:r>
      <w:r w:rsidRPr="00E40021">
        <w:rPr>
          <w:rFonts w:ascii="Verdana" w:hAnsi="Verdana" w:cs="Verdana"/>
          <w:bCs/>
          <w:sz w:val="16"/>
          <w:szCs w:val="16"/>
        </w:rPr>
        <w:t>, y</w:t>
      </w:r>
      <w:r>
        <w:rPr>
          <w:rFonts w:ascii="Verdana" w:hAnsi="Verdana" w:cs="Verdana"/>
          <w:bCs/>
          <w:sz w:val="16"/>
          <w:szCs w:val="16"/>
        </w:rPr>
        <w:t>]</w:t>
      </w:r>
      <w:r w:rsidRPr="00E40021">
        <w:rPr>
          <w:rFonts w:ascii="Verdana" w:hAnsi="Verdana" w:cs="Verdana"/>
          <w:bCs/>
          <w:sz w:val="16"/>
          <w:szCs w:val="16"/>
        </w:rPr>
        <w:t xml:space="preserve"> la Resolución 0259 de 28 de febrero de 2018 fijó la tasa de interés corriente bancario para el 1º al 31 de marzo de 2018 en 20.68%</w:t>
      </w:r>
      <w:r w:rsidR="00A46F5B">
        <w:rPr>
          <w:rFonts w:ascii="Verdana" w:hAnsi="Verdana" w:cs="Verdana"/>
          <w:bCs/>
          <w:sz w:val="16"/>
          <w:szCs w:val="16"/>
        </w:rPr>
        <w:t xml:space="preserve"> </w:t>
      </w:r>
      <w:r w:rsidRPr="00E40021">
        <w:rPr>
          <w:rFonts w:ascii="Verdana" w:hAnsi="Verdana" w:cs="Verdana"/>
          <w:bCs/>
          <w:sz w:val="16"/>
          <w:szCs w:val="16"/>
        </w:rPr>
        <w:t>EA para un interés moratorio de 31.02%”. Indicaron que la liquidación de los intereses moratorios relativos a los meses de enero, febrero y marzo de 2018 debían realizarse con las referidas tasas.</w:t>
      </w:r>
      <w:r w:rsidRPr="00E40021">
        <w:rPr>
          <w:rFonts w:ascii="Verdana" w:hAnsi="Verdana" w:cs="Verdana"/>
          <w:b/>
          <w:bCs/>
          <w:sz w:val="16"/>
          <w:szCs w:val="16"/>
        </w:rPr>
        <w:t xml:space="preserve"> </w:t>
      </w:r>
    </w:p>
  </w:footnote>
  <w:footnote w:id="49">
    <w:p w14:paraId="11079EA6" w14:textId="28A20F7D" w:rsidR="007361D1" w:rsidRPr="00E40021" w:rsidRDefault="007361D1" w:rsidP="00B67F34">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En el escrito de febrero de 2019 las </w:t>
      </w:r>
      <w:r w:rsidRPr="000B062E">
        <w:rPr>
          <w:rFonts w:ascii="Verdana" w:hAnsi="Verdana"/>
          <w:sz w:val="16"/>
          <w:szCs w:val="16"/>
        </w:rPr>
        <w:t xml:space="preserve">representantes </w:t>
      </w:r>
      <w:r w:rsidRPr="00E40021">
        <w:rPr>
          <w:rFonts w:ascii="Verdana" w:hAnsi="Verdana"/>
          <w:sz w:val="16"/>
          <w:szCs w:val="16"/>
        </w:rPr>
        <w:t>hicieron un cálculo con los intereses moratorios que les adeudaría el Estado utilizando la tasa de interés bancario moratorio (</w:t>
      </w:r>
      <w:r w:rsidRPr="00E40021">
        <w:rPr>
          <w:rFonts w:ascii="Verdana" w:hAnsi="Verdana"/>
          <w:i/>
          <w:sz w:val="16"/>
          <w:szCs w:val="16"/>
        </w:rPr>
        <w:t>supra</w:t>
      </w:r>
      <w:r w:rsidRPr="00E40021">
        <w:rPr>
          <w:rFonts w:ascii="Verdana" w:hAnsi="Verdana"/>
          <w:sz w:val="16"/>
          <w:szCs w:val="16"/>
        </w:rPr>
        <w:t xml:space="preserve"> nota al pie </w:t>
      </w:r>
      <w:r>
        <w:rPr>
          <w:rFonts w:ascii="Verdana" w:hAnsi="Verdana"/>
          <w:sz w:val="16"/>
          <w:szCs w:val="16"/>
        </w:rPr>
        <w:fldChar w:fldCharType="begin"/>
      </w:r>
      <w:r>
        <w:rPr>
          <w:rFonts w:ascii="Verdana" w:hAnsi="Verdana"/>
          <w:sz w:val="16"/>
          <w:szCs w:val="16"/>
        </w:rPr>
        <w:instrText xml:space="preserve"> NOTEREF _Ref26895539 \h </w:instrText>
      </w:r>
      <w:r>
        <w:rPr>
          <w:rFonts w:ascii="Verdana" w:hAnsi="Verdana"/>
          <w:sz w:val="16"/>
          <w:szCs w:val="16"/>
        </w:rPr>
      </w:r>
      <w:r>
        <w:rPr>
          <w:rFonts w:ascii="Verdana" w:hAnsi="Verdana"/>
          <w:sz w:val="16"/>
          <w:szCs w:val="16"/>
        </w:rPr>
        <w:fldChar w:fldCharType="separate"/>
      </w:r>
      <w:r w:rsidR="00630FCA">
        <w:rPr>
          <w:rFonts w:ascii="Verdana" w:hAnsi="Verdana"/>
          <w:sz w:val="16"/>
          <w:szCs w:val="16"/>
        </w:rPr>
        <w:t>48</w:t>
      </w:r>
      <w:r>
        <w:rPr>
          <w:rFonts w:ascii="Verdana" w:hAnsi="Verdana"/>
          <w:sz w:val="16"/>
          <w:szCs w:val="16"/>
        </w:rPr>
        <w:fldChar w:fldCharType="end"/>
      </w:r>
      <w:r w:rsidRPr="00E40021">
        <w:rPr>
          <w:rFonts w:ascii="Verdana" w:hAnsi="Verdana"/>
          <w:sz w:val="16"/>
          <w:szCs w:val="16"/>
        </w:rPr>
        <w:t xml:space="preserve">). Según dichos cálculos, sostuvieron que “el Estado de Colombia debe a las víctimas por concepto de intereses moratorios ordenados en el párrafo 385 de la Sentencia […] la suma de </w:t>
      </w:r>
      <w:r w:rsidRPr="00E40021">
        <w:rPr>
          <w:rFonts w:ascii="Verdana" w:hAnsi="Verdana" w:cs="Verdana"/>
          <w:bCs/>
          <w:sz w:val="16"/>
          <w:szCs w:val="16"/>
        </w:rPr>
        <w:t>USD 26.832,25 (</w:t>
      </w:r>
      <w:r>
        <w:rPr>
          <w:rFonts w:ascii="Verdana" w:hAnsi="Verdana" w:cs="Verdana"/>
          <w:bCs/>
          <w:sz w:val="16"/>
          <w:szCs w:val="16"/>
        </w:rPr>
        <w:t>V</w:t>
      </w:r>
      <w:r w:rsidRPr="00E40021">
        <w:rPr>
          <w:rFonts w:ascii="Verdana" w:hAnsi="Verdana" w:cs="Verdana"/>
          <w:bCs/>
          <w:sz w:val="16"/>
          <w:szCs w:val="16"/>
        </w:rPr>
        <w:t>eintiséis mil ochocientos treinta y dos dólares con veinticinco centavos) y</w:t>
      </w:r>
      <w:r w:rsidRPr="00E40021">
        <w:rPr>
          <w:rFonts w:ascii="Verdana" w:hAnsi="Verdana" w:cs="Verdana"/>
          <w:b/>
          <w:bCs/>
          <w:sz w:val="16"/>
          <w:szCs w:val="16"/>
        </w:rPr>
        <w:t xml:space="preserve"> </w:t>
      </w:r>
      <w:r w:rsidRPr="00E40021">
        <w:rPr>
          <w:rFonts w:ascii="Verdana" w:hAnsi="Verdana" w:cs="Verdana"/>
          <w:bCs/>
          <w:sz w:val="16"/>
          <w:szCs w:val="16"/>
        </w:rPr>
        <w:t>al Grupo Interdisciplinario por los Derechos Humanos la suma de USD 2.266,24 (</w:t>
      </w:r>
      <w:r>
        <w:rPr>
          <w:rFonts w:ascii="Verdana" w:hAnsi="Verdana" w:cs="Verdana"/>
          <w:bCs/>
          <w:sz w:val="16"/>
          <w:szCs w:val="16"/>
        </w:rPr>
        <w:t>D</w:t>
      </w:r>
      <w:r w:rsidRPr="00E40021">
        <w:rPr>
          <w:rFonts w:ascii="Verdana" w:hAnsi="Verdana" w:cs="Verdana"/>
          <w:bCs/>
          <w:sz w:val="16"/>
          <w:szCs w:val="16"/>
        </w:rPr>
        <w:t>os mil doscientos sesenta y seis dólares con veint</w:t>
      </w:r>
      <w:r>
        <w:rPr>
          <w:rFonts w:ascii="Verdana" w:hAnsi="Verdana" w:cs="Verdana"/>
          <w:bCs/>
          <w:sz w:val="16"/>
          <w:szCs w:val="16"/>
        </w:rPr>
        <w:t xml:space="preserve">e </w:t>
      </w:r>
      <w:r w:rsidRPr="00E40021">
        <w:rPr>
          <w:rFonts w:ascii="Verdana" w:hAnsi="Verdana" w:cs="Verdana"/>
          <w:bCs/>
          <w:sz w:val="16"/>
          <w:szCs w:val="16"/>
        </w:rPr>
        <w:t xml:space="preserve">cuatro centavos)”.  </w:t>
      </w:r>
    </w:p>
  </w:footnote>
  <w:footnote w:id="50">
    <w:p w14:paraId="6C5DFFC6" w14:textId="11AA7AB2" w:rsidR="007361D1" w:rsidRPr="00E40021" w:rsidRDefault="007361D1" w:rsidP="00385626">
      <w:pPr>
        <w:pStyle w:val="Textonotapie"/>
        <w:jc w:val="both"/>
        <w:rPr>
          <w:rFonts w:ascii="Verdana" w:hAnsi="Verdana"/>
          <w:b/>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En esta resolución se indica que se pagó al Grupo Interdisciplinario por los Derechos Humanos “la suma [total] de USD 647.449,58” y que dicho pago se realizó “en pesos colombianos, utilizando para el efecto la tasa representativa de mercado vigente del día anterior al trámite del pago”. De dicha suma total</w:t>
      </w:r>
      <w:r>
        <w:rPr>
          <w:rFonts w:ascii="Verdana" w:hAnsi="Verdana"/>
          <w:sz w:val="16"/>
          <w:szCs w:val="16"/>
        </w:rPr>
        <w:t>,</w:t>
      </w:r>
      <w:r w:rsidRPr="00E40021">
        <w:rPr>
          <w:rFonts w:ascii="Verdana" w:hAnsi="Verdana"/>
          <w:sz w:val="16"/>
          <w:szCs w:val="16"/>
        </w:rPr>
        <w:t xml:space="preserve"> USD 642.000 corresponden al “valor a pagar por daño material e inmaterial [y] gastos y costas” y USD 5.449,58 a los “intereses de mora” devengados entre el 11 de enero de 2018 y el 12 de marzo de 2018. </w:t>
      </w:r>
      <w:r w:rsidRPr="00E40021">
        <w:rPr>
          <w:rFonts w:ascii="Verdana" w:hAnsi="Verdana"/>
          <w:i/>
          <w:sz w:val="16"/>
          <w:szCs w:val="16"/>
        </w:rPr>
        <w:t xml:space="preserve">Cfr. </w:t>
      </w:r>
      <w:r w:rsidRPr="00E40021">
        <w:rPr>
          <w:rFonts w:ascii="Verdana" w:hAnsi="Verdana"/>
          <w:sz w:val="16"/>
          <w:szCs w:val="16"/>
        </w:rPr>
        <w:t xml:space="preserve">Resolución No. 0181 emitida por la Directora de Operaciones del Departamento Administrativo de la Presidencia de la República el 12 de marzo de 2018 (anexo al informe estatal de 13 de agosto de 2018). </w:t>
      </w:r>
    </w:p>
  </w:footnote>
  <w:footnote w:id="51">
    <w:p w14:paraId="6D2A34FB" w14:textId="615AA3CD" w:rsidR="007361D1" w:rsidRPr="00E40021" w:rsidRDefault="007361D1" w:rsidP="00ED5E94">
      <w:pPr>
        <w:pStyle w:val="Textonotapie"/>
        <w:jc w:val="both"/>
        <w:rPr>
          <w:rFonts w:ascii="Verdana" w:hAnsi="Verdana"/>
          <w:b/>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t xml:space="preserve">El Estado no aportó copia de esta resolución. En su informe de marzo de 2019 indicó que “el Departamento  Administrativo de la Presidencia por medio de la Resolución 1020 de diciembre de 2018 reconoció, ordenó y pagó, por conducto de su apoderada, las sumas determinadas por el Tribunal Interamericano a favor de Sofía Flórez Montoya y Carlos </w:t>
      </w:r>
      <w:r>
        <w:rPr>
          <w:rFonts w:ascii="Verdana" w:hAnsi="Verdana"/>
          <w:sz w:val="16"/>
          <w:szCs w:val="16"/>
        </w:rPr>
        <w:t xml:space="preserve">Mario </w:t>
      </w:r>
      <w:r w:rsidRPr="00E40021">
        <w:rPr>
          <w:rFonts w:ascii="Verdana" w:hAnsi="Verdana"/>
          <w:sz w:val="16"/>
          <w:szCs w:val="16"/>
        </w:rPr>
        <w:t>Bedoya Serna”. Las representantes confirmaron que mediante esta resolución y la No. 0181 el Estado pagó las indemnizaciones y costas y gastos ordenadas en este caso (</w:t>
      </w:r>
      <w:r w:rsidRPr="00E40021">
        <w:rPr>
          <w:rFonts w:ascii="Verdana" w:hAnsi="Verdana"/>
          <w:i/>
          <w:sz w:val="16"/>
          <w:szCs w:val="16"/>
        </w:rPr>
        <w:t xml:space="preserve">supra </w:t>
      </w:r>
      <w:r w:rsidRPr="00E40021">
        <w:rPr>
          <w:rFonts w:ascii="Verdana" w:hAnsi="Verdana"/>
          <w:sz w:val="16"/>
          <w:szCs w:val="16"/>
        </w:rPr>
        <w:t xml:space="preserve">Considerando </w:t>
      </w:r>
      <w:r>
        <w:rPr>
          <w:rFonts w:ascii="Verdana" w:hAnsi="Verdana"/>
          <w:sz w:val="16"/>
          <w:szCs w:val="16"/>
        </w:rPr>
        <w:fldChar w:fldCharType="begin"/>
      </w:r>
      <w:r>
        <w:rPr>
          <w:rFonts w:ascii="Verdana" w:hAnsi="Verdana"/>
          <w:sz w:val="16"/>
          <w:szCs w:val="16"/>
        </w:rPr>
        <w:instrText xml:space="preserve"> REF _Ref26896239 \r \h </w:instrText>
      </w:r>
      <w:r>
        <w:rPr>
          <w:rFonts w:ascii="Verdana" w:hAnsi="Verdana"/>
          <w:sz w:val="16"/>
          <w:szCs w:val="16"/>
        </w:rPr>
      </w:r>
      <w:r>
        <w:rPr>
          <w:rFonts w:ascii="Verdana" w:hAnsi="Verdana"/>
          <w:sz w:val="16"/>
          <w:szCs w:val="16"/>
        </w:rPr>
        <w:fldChar w:fldCharType="separate"/>
      </w:r>
      <w:r w:rsidR="00630FCA">
        <w:rPr>
          <w:rFonts w:ascii="Verdana" w:hAnsi="Verdana"/>
          <w:sz w:val="16"/>
          <w:szCs w:val="16"/>
        </w:rPr>
        <w:t>53</w:t>
      </w:r>
      <w:r>
        <w:rPr>
          <w:rFonts w:ascii="Verdana" w:hAnsi="Verdana"/>
          <w:sz w:val="16"/>
          <w:szCs w:val="16"/>
        </w:rPr>
        <w:fldChar w:fldCharType="end"/>
      </w:r>
      <w:r w:rsidRPr="00E40021">
        <w:rPr>
          <w:rFonts w:ascii="Verdana" w:hAnsi="Verdana"/>
          <w:sz w:val="16"/>
          <w:szCs w:val="16"/>
        </w:rPr>
        <w:t xml:space="preserve">). </w:t>
      </w:r>
    </w:p>
  </w:footnote>
  <w:footnote w:id="52">
    <w:p w14:paraId="073F6A50" w14:textId="6CF6A73E" w:rsidR="007361D1" w:rsidRPr="00E40021" w:rsidRDefault="007361D1">
      <w:pPr>
        <w:pStyle w:val="Textonotapie"/>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E40021">
        <w:rPr>
          <w:rFonts w:ascii="Verdana" w:hAnsi="Verdana"/>
          <w:i/>
          <w:sz w:val="16"/>
          <w:szCs w:val="16"/>
        </w:rPr>
        <w:t>Cfr.</w:t>
      </w:r>
      <w:r w:rsidRPr="00E40021">
        <w:rPr>
          <w:rFonts w:ascii="Verdana" w:hAnsi="Verdana"/>
          <w:sz w:val="16"/>
          <w:szCs w:val="16"/>
        </w:rPr>
        <w:t xml:space="preserve"> Resolución No. 0181, </w:t>
      </w:r>
      <w:r w:rsidRPr="00E40021">
        <w:rPr>
          <w:rFonts w:ascii="Verdana" w:hAnsi="Verdana"/>
          <w:i/>
          <w:sz w:val="16"/>
          <w:szCs w:val="16"/>
        </w:rPr>
        <w:t>supra</w:t>
      </w:r>
      <w:r w:rsidRPr="00E40021">
        <w:rPr>
          <w:rFonts w:ascii="Verdana" w:hAnsi="Verdana"/>
          <w:sz w:val="16"/>
          <w:szCs w:val="16"/>
        </w:rPr>
        <w:t xml:space="preserve"> nota </w:t>
      </w:r>
      <w:r>
        <w:rPr>
          <w:rFonts w:ascii="Verdana" w:hAnsi="Verdana"/>
          <w:sz w:val="16"/>
          <w:szCs w:val="16"/>
        </w:rPr>
        <w:fldChar w:fldCharType="begin"/>
      </w:r>
      <w:r>
        <w:rPr>
          <w:rFonts w:ascii="Verdana" w:hAnsi="Verdana"/>
          <w:sz w:val="16"/>
          <w:szCs w:val="16"/>
        </w:rPr>
        <w:instrText xml:space="preserve"> NOTEREF _Ref26896767 \h </w:instrText>
      </w:r>
      <w:r>
        <w:rPr>
          <w:rFonts w:ascii="Verdana" w:hAnsi="Verdana"/>
          <w:sz w:val="16"/>
          <w:szCs w:val="16"/>
        </w:rPr>
      </w:r>
      <w:r>
        <w:rPr>
          <w:rFonts w:ascii="Verdana" w:hAnsi="Verdana"/>
          <w:sz w:val="16"/>
          <w:szCs w:val="16"/>
        </w:rPr>
        <w:fldChar w:fldCharType="separate"/>
      </w:r>
      <w:r w:rsidR="00630FCA">
        <w:rPr>
          <w:rFonts w:ascii="Verdana" w:hAnsi="Verdana"/>
          <w:sz w:val="16"/>
          <w:szCs w:val="16"/>
        </w:rPr>
        <w:t>50</w:t>
      </w:r>
      <w:r>
        <w:rPr>
          <w:rFonts w:ascii="Verdana" w:hAnsi="Verdana"/>
          <w:sz w:val="16"/>
          <w:szCs w:val="16"/>
        </w:rPr>
        <w:fldChar w:fldCharType="end"/>
      </w:r>
      <w:r w:rsidRPr="00E40021">
        <w:rPr>
          <w:rFonts w:ascii="Verdana" w:hAnsi="Verdana"/>
          <w:sz w:val="16"/>
          <w:szCs w:val="16"/>
        </w:rPr>
        <w:t>, hoja 8.</w:t>
      </w:r>
    </w:p>
  </w:footnote>
  <w:footnote w:id="53">
    <w:p w14:paraId="26DE2C8C" w14:textId="5A18062E" w:rsidR="007361D1" w:rsidRPr="00E40021" w:rsidRDefault="007361D1" w:rsidP="00F246CD">
      <w:pPr>
        <w:pStyle w:val="Textonotapie"/>
        <w:jc w:val="both"/>
        <w:rPr>
          <w:rFonts w:ascii="Verdana" w:hAnsi="Verdana"/>
          <w:sz w:val="16"/>
          <w:szCs w:val="16"/>
        </w:rPr>
      </w:pPr>
      <w:r w:rsidRPr="00E40021">
        <w:rPr>
          <w:rStyle w:val="Refdenotaalpie"/>
          <w:rFonts w:ascii="Verdana" w:hAnsi="Verdana"/>
          <w:sz w:val="16"/>
          <w:szCs w:val="16"/>
        </w:rPr>
        <w:footnoteRef/>
      </w:r>
      <w:r w:rsidRPr="00E40021">
        <w:rPr>
          <w:rFonts w:ascii="Verdana" w:hAnsi="Verdana"/>
          <w:sz w:val="16"/>
          <w:szCs w:val="16"/>
        </w:rPr>
        <w:t xml:space="preserve"> </w:t>
      </w:r>
      <w:r w:rsidRPr="00E40021">
        <w:rPr>
          <w:rFonts w:ascii="Verdana" w:hAnsi="Verdana"/>
          <w:sz w:val="16"/>
          <w:szCs w:val="16"/>
        </w:rPr>
        <w:tab/>
      </w:r>
      <w:r w:rsidRPr="0050329A">
        <w:rPr>
          <w:rFonts w:ascii="Verdana" w:hAnsi="Verdana" w:cs="Verdana"/>
          <w:bCs/>
          <w:sz w:val="16"/>
          <w:szCs w:val="16"/>
        </w:rPr>
        <w:t>La única información con la que cuenta este Tribunal es la contenida en el informe publicado en 2019 por la Defensoría del Pueblo de Colombia (</w:t>
      </w:r>
      <w:r w:rsidRPr="0050329A">
        <w:rPr>
          <w:rFonts w:ascii="Verdana" w:hAnsi="Verdana" w:cs="Verdana"/>
          <w:bCs/>
          <w:i/>
          <w:sz w:val="16"/>
          <w:szCs w:val="16"/>
        </w:rPr>
        <w:t>supra</w:t>
      </w:r>
      <w:r w:rsidRPr="0050329A">
        <w:rPr>
          <w:rFonts w:ascii="Verdana" w:hAnsi="Verdana" w:cs="Verdana"/>
          <w:bCs/>
          <w:sz w:val="16"/>
          <w:szCs w:val="16"/>
        </w:rPr>
        <w:t xml:space="preserve"> Visto </w:t>
      </w:r>
      <w:r w:rsidRPr="0050329A">
        <w:rPr>
          <w:rFonts w:ascii="Verdana" w:hAnsi="Verdana" w:cs="Verdana"/>
          <w:bCs/>
          <w:sz w:val="16"/>
          <w:szCs w:val="16"/>
        </w:rPr>
        <w:fldChar w:fldCharType="begin"/>
      </w:r>
      <w:r w:rsidRPr="0050329A">
        <w:rPr>
          <w:rFonts w:ascii="Verdana" w:hAnsi="Verdana" w:cs="Verdana"/>
          <w:bCs/>
          <w:sz w:val="16"/>
          <w:szCs w:val="16"/>
        </w:rPr>
        <w:instrText xml:space="preserve"> REF _Ref26778239 \r \h </w:instrText>
      </w:r>
      <w:r>
        <w:rPr>
          <w:rFonts w:ascii="Verdana" w:hAnsi="Verdana" w:cs="Verdana"/>
          <w:bCs/>
          <w:sz w:val="16"/>
          <w:szCs w:val="16"/>
        </w:rPr>
        <w:instrText xml:space="preserve"> \* MERGEFORMAT </w:instrText>
      </w:r>
      <w:r w:rsidRPr="0050329A">
        <w:rPr>
          <w:rFonts w:ascii="Verdana" w:hAnsi="Verdana" w:cs="Verdana"/>
          <w:bCs/>
          <w:sz w:val="16"/>
          <w:szCs w:val="16"/>
        </w:rPr>
      </w:r>
      <w:r w:rsidRPr="0050329A">
        <w:rPr>
          <w:rFonts w:ascii="Verdana" w:hAnsi="Verdana" w:cs="Verdana"/>
          <w:bCs/>
          <w:sz w:val="16"/>
          <w:szCs w:val="16"/>
        </w:rPr>
        <w:fldChar w:fldCharType="separate"/>
      </w:r>
      <w:r w:rsidR="00630FCA">
        <w:rPr>
          <w:rFonts w:ascii="Verdana" w:hAnsi="Verdana" w:cs="Verdana"/>
          <w:bCs/>
          <w:sz w:val="16"/>
          <w:szCs w:val="16"/>
        </w:rPr>
        <w:t>6</w:t>
      </w:r>
      <w:r w:rsidRPr="0050329A">
        <w:rPr>
          <w:rFonts w:ascii="Verdana" w:hAnsi="Verdana" w:cs="Verdana"/>
          <w:bCs/>
          <w:sz w:val="16"/>
          <w:szCs w:val="16"/>
        </w:rPr>
        <w:fldChar w:fldCharType="end"/>
      </w:r>
      <w:r w:rsidRPr="0050329A">
        <w:rPr>
          <w:rFonts w:ascii="Verdana" w:hAnsi="Verdana" w:cs="Verdana"/>
          <w:bCs/>
          <w:sz w:val="16"/>
          <w:szCs w:val="16"/>
        </w:rPr>
        <w:t xml:space="preserve">), en el cual se afirma que en octubre de 2018 “el Ministerio de Relaciones Exteriores informó que la Consejería Presidencial para los Derechos Humanos […] aún </w:t>
      </w:r>
      <w:r>
        <w:rPr>
          <w:rFonts w:ascii="Verdana" w:hAnsi="Verdana" w:cs="Verdana"/>
          <w:bCs/>
          <w:sz w:val="16"/>
          <w:szCs w:val="16"/>
        </w:rPr>
        <w:t>[</w:t>
      </w:r>
      <w:r w:rsidRPr="0050329A">
        <w:rPr>
          <w:rFonts w:ascii="Verdana" w:hAnsi="Verdana" w:cs="Verdana"/>
          <w:bCs/>
          <w:sz w:val="16"/>
          <w:szCs w:val="16"/>
        </w:rPr>
        <w:t>estaba</w:t>
      </w:r>
      <w:r>
        <w:rPr>
          <w:rFonts w:ascii="Verdana" w:hAnsi="Verdana" w:cs="Verdana"/>
          <w:bCs/>
          <w:sz w:val="16"/>
          <w:szCs w:val="16"/>
        </w:rPr>
        <w:t>]</w:t>
      </w:r>
      <w:r w:rsidRPr="0050329A">
        <w:rPr>
          <w:rFonts w:ascii="Verdana" w:hAnsi="Verdana" w:cs="Verdana"/>
          <w:bCs/>
          <w:sz w:val="16"/>
          <w:szCs w:val="16"/>
        </w:rPr>
        <w:t xml:space="preserve"> consultando cuál entidad asumir</w:t>
      </w:r>
      <w:r>
        <w:rPr>
          <w:rFonts w:ascii="Verdana" w:hAnsi="Verdana" w:cs="Verdana"/>
          <w:bCs/>
          <w:sz w:val="16"/>
          <w:szCs w:val="16"/>
        </w:rPr>
        <w:t>[</w:t>
      </w:r>
      <w:proofErr w:type="spellStart"/>
      <w:r>
        <w:rPr>
          <w:rFonts w:ascii="Verdana" w:hAnsi="Verdana" w:cs="Verdana"/>
          <w:bCs/>
          <w:sz w:val="16"/>
          <w:szCs w:val="16"/>
        </w:rPr>
        <w:t>ía</w:t>
      </w:r>
      <w:proofErr w:type="spellEnd"/>
      <w:r>
        <w:rPr>
          <w:rFonts w:ascii="Verdana" w:hAnsi="Verdana" w:cs="Verdana"/>
          <w:bCs/>
          <w:sz w:val="16"/>
          <w:szCs w:val="16"/>
        </w:rPr>
        <w:t>]</w:t>
      </w:r>
      <w:r w:rsidRPr="0050329A">
        <w:rPr>
          <w:rFonts w:ascii="Verdana" w:hAnsi="Verdana" w:cs="Verdana"/>
          <w:bCs/>
          <w:sz w:val="16"/>
          <w:szCs w:val="16"/>
        </w:rPr>
        <w:t xml:space="preserve"> el cumplimiento” del reintegro ordenado en este caso. </w:t>
      </w:r>
      <w:r w:rsidRPr="00E40021">
        <w:rPr>
          <w:rFonts w:ascii="Verdana" w:hAnsi="Verdana"/>
          <w:i/>
          <w:sz w:val="16"/>
          <w:szCs w:val="16"/>
        </w:rPr>
        <w:t>Cfr.</w:t>
      </w:r>
      <w:r w:rsidRPr="00E40021">
        <w:rPr>
          <w:rFonts w:ascii="Verdana" w:hAnsi="Verdana"/>
          <w:sz w:val="16"/>
          <w:szCs w:val="16"/>
        </w:rPr>
        <w:t xml:space="preserve"> Informe “Ampliando el horizonte de la justicia para las víctimas. Informe del estado de cumplimiento de las sentencias de la Corte Interamericana de Derechos Humanos contra Colombia”, </w:t>
      </w:r>
      <w:r w:rsidRPr="00E40021">
        <w:rPr>
          <w:rFonts w:ascii="Verdana" w:hAnsi="Verdana"/>
          <w:i/>
          <w:sz w:val="16"/>
          <w:szCs w:val="16"/>
        </w:rPr>
        <w:t xml:space="preserve">supra </w:t>
      </w:r>
      <w:r>
        <w:rPr>
          <w:rFonts w:ascii="Verdana" w:hAnsi="Verdana"/>
          <w:sz w:val="16"/>
          <w:szCs w:val="16"/>
        </w:rPr>
        <w:t xml:space="preserve">nota </w:t>
      </w:r>
      <w:r>
        <w:rPr>
          <w:rFonts w:ascii="Verdana" w:hAnsi="Verdana"/>
          <w:sz w:val="16"/>
          <w:szCs w:val="16"/>
        </w:rPr>
        <w:fldChar w:fldCharType="begin"/>
      </w:r>
      <w:r>
        <w:rPr>
          <w:rFonts w:ascii="Verdana" w:hAnsi="Verdana"/>
          <w:sz w:val="16"/>
          <w:szCs w:val="16"/>
        </w:rPr>
        <w:instrText xml:space="preserve"> NOTEREF _Ref26786286 \h </w:instrText>
      </w:r>
      <w:r>
        <w:rPr>
          <w:rFonts w:ascii="Verdana" w:hAnsi="Verdana"/>
          <w:sz w:val="16"/>
          <w:szCs w:val="16"/>
        </w:rPr>
      </w:r>
      <w:r>
        <w:rPr>
          <w:rFonts w:ascii="Verdana" w:hAnsi="Verdana"/>
          <w:sz w:val="16"/>
          <w:szCs w:val="16"/>
        </w:rPr>
        <w:fldChar w:fldCharType="separate"/>
      </w:r>
      <w:r w:rsidR="00630FCA">
        <w:rPr>
          <w:rFonts w:ascii="Verdana" w:hAnsi="Verdana"/>
          <w:sz w:val="16"/>
          <w:szCs w:val="16"/>
        </w:rPr>
        <w:t>4</w:t>
      </w:r>
      <w:r>
        <w:rPr>
          <w:rFonts w:ascii="Verdana" w:hAnsi="Verdana"/>
          <w:sz w:val="16"/>
          <w:szCs w:val="16"/>
        </w:rPr>
        <w:fldChar w:fldCharType="end"/>
      </w:r>
      <w:r w:rsidRPr="00E40021">
        <w:rPr>
          <w:rFonts w:ascii="Verdana" w:hAnsi="Verdana"/>
          <w:sz w:val="16"/>
          <w:szCs w:val="16"/>
        </w:rPr>
        <w:t>, pág. 46.</w:t>
      </w:r>
    </w:p>
  </w:footnote>
  <w:footnote w:id="54">
    <w:p w14:paraId="013B5874" w14:textId="73EF5EC7" w:rsidR="0050329A" w:rsidRPr="0050329A" w:rsidRDefault="0050329A" w:rsidP="0050329A">
      <w:pPr>
        <w:pStyle w:val="Textonotapie"/>
        <w:jc w:val="both"/>
        <w:rPr>
          <w:rFonts w:ascii="Verdana" w:hAnsi="Verdana"/>
          <w:sz w:val="16"/>
          <w:szCs w:val="16"/>
        </w:rPr>
      </w:pPr>
      <w:r w:rsidRPr="0050329A">
        <w:rPr>
          <w:rStyle w:val="Refdenotaalpie"/>
          <w:rFonts w:ascii="Verdana" w:hAnsi="Verdana"/>
          <w:sz w:val="16"/>
          <w:szCs w:val="16"/>
        </w:rPr>
        <w:footnoteRef/>
      </w:r>
      <w:r w:rsidRPr="0050329A">
        <w:rPr>
          <w:rFonts w:ascii="Verdana" w:hAnsi="Verdana"/>
          <w:sz w:val="16"/>
          <w:szCs w:val="16"/>
        </w:rPr>
        <w:t xml:space="preserve"> </w:t>
      </w:r>
      <w:r w:rsidRPr="0050329A">
        <w:rPr>
          <w:rFonts w:ascii="Verdana" w:hAnsi="Verdana"/>
          <w:sz w:val="16"/>
          <w:szCs w:val="16"/>
        </w:rPr>
        <w:tab/>
      </w:r>
      <w:r w:rsidRPr="0050329A">
        <w:rPr>
          <w:rFonts w:ascii="Verdana" w:hAnsi="Verdana"/>
          <w:i/>
          <w:sz w:val="16"/>
          <w:szCs w:val="16"/>
        </w:rPr>
        <w:t xml:space="preserve">Cfr. </w:t>
      </w:r>
      <w:r w:rsidRPr="0050329A">
        <w:rPr>
          <w:rStyle w:val="Textoennegrita"/>
          <w:rFonts w:ascii="Verdana" w:hAnsi="Verdana"/>
          <w:b w:val="0"/>
          <w:i/>
          <w:color w:val="000000"/>
          <w:sz w:val="16"/>
          <w:szCs w:val="16"/>
          <w:shd w:val="clear" w:color="auto" w:fill="FFFFFF"/>
        </w:rPr>
        <w:t>Caso Duque Vs. Colombia. Supervisión de Cumplimiento de Sentencia.</w:t>
      </w:r>
      <w:r w:rsidRPr="0050329A">
        <w:rPr>
          <w:rStyle w:val="Textoennegrita"/>
          <w:rFonts w:ascii="Verdana" w:hAnsi="Verdana"/>
          <w:b w:val="0"/>
          <w:color w:val="000000"/>
          <w:sz w:val="16"/>
          <w:szCs w:val="16"/>
          <w:shd w:val="clear" w:color="auto" w:fill="FFFFFF"/>
        </w:rPr>
        <w:t xml:space="preserve"> Resolución de la Corte Interamericana de Derechos Humanos de 22 de noviembre de 2018, Considerando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EA0"/>
    <w:multiLevelType w:val="hybridMultilevel"/>
    <w:tmpl w:val="C456A8F4"/>
    <w:lvl w:ilvl="0" w:tplc="5566B49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F36DEF"/>
    <w:multiLevelType w:val="hybridMultilevel"/>
    <w:tmpl w:val="7CECF910"/>
    <w:lvl w:ilvl="0" w:tplc="6EBC9E30">
      <w:start w:val="1"/>
      <w:numFmt w:val="upperLetter"/>
      <w:lvlText w:val="%1."/>
      <w:lvlJc w:val="left"/>
      <w:pPr>
        <w:ind w:left="580" w:hanging="360"/>
      </w:pPr>
      <w:rPr>
        <w:rFonts w:eastAsiaTheme="minorHAnsi" w:hint="default"/>
        <w:i/>
        <w:color w:val="auto"/>
        <w:u w:val="none"/>
      </w:rPr>
    </w:lvl>
    <w:lvl w:ilvl="1" w:tplc="140A0019" w:tentative="1">
      <w:start w:val="1"/>
      <w:numFmt w:val="lowerLetter"/>
      <w:lvlText w:val="%2."/>
      <w:lvlJc w:val="left"/>
      <w:pPr>
        <w:ind w:left="1300" w:hanging="360"/>
      </w:pPr>
    </w:lvl>
    <w:lvl w:ilvl="2" w:tplc="140A001B" w:tentative="1">
      <w:start w:val="1"/>
      <w:numFmt w:val="lowerRoman"/>
      <w:lvlText w:val="%3."/>
      <w:lvlJc w:val="right"/>
      <w:pPr>
        <w:ind w:left="2020" w:hanging="180"/>
      </w:pPr>
    </w:lvl>
    <w:lvl w:ilvl="3" w:tplc="140A000F" w:tentative="1">
      <w:start w:val="1"/>
      <w:numFmt w:val="decimal"/>
      <w:lvlText w:val="%4."/>
      <w:lvlJc w:val="left"/>
      <w:pPr>
        <w:ind w:left="2740" w:hanging="360"/>
      </w:pPr>
    </w:lvl>
    <w:lvl w:ilvl="4" w:tplc="140A0019" w:tentative="1">
      <w:start w:val="1"/>
      <w:numFmt w:val="lowerLetter"/>
      <w:lvlText w:val="%5."/>
      <w:lvlJc w:val="left"/>
      <w:pPr>
        <w:ind w:left="3460" w:hanging="360"/>
      </w:pPr>
    </w:lvl>
    <w:lvl w:ilvl="5" w:tplc="140A001B" w:tentative="1">
      <w:start w:val="1"/>
      <w:numFmt w:val="lowerRoman"/>
      <w:lvlText w:val="%6."/>
      <w:lvlJc w:val="right"/>
      <w:pPr>
        <w:ind w:left="4180" w:hanging="180"/>
      </w:pPr>
    </w:lvl>
    <w:lvl w:ilvl="6" w:tplc="140A000F" w:tentative="1">
      <w:start w:val="1"/>
      <w:numFmt w:val="decimal"/>
      <w:lvlText w:val="%7."/>
      <w:lvlJc w:val="left"/>
      <w:pPr>
        <w:ind w:left="4900" w:hanging="360"/>
      </w:pPr>
    </w:lvl>
    <w:lvl w:ilvl="7" w:tplc="140A0019" w:tentative="1">
      <w:start w:val="1"/>
      <w:numFmt w:val="lowerLetter"/>
      <w:lvlText w:val="%8."/>
      <w:lvlJc w:val="left"/>
      <w:pPr>
        <w:ind w:left="5620" w:hanging="360"/>
      </w:pPr>
    </w:lvl>
    <w:lvl w:ilvl="8" w:tplc="140A001B" w:tentative="1">
      <w:start w:val="1"/>
      <w:numFmt w:val="lowerRoman"/>
      <w:lvlText w:val="%9."/>
      <w:lvlJc w:val="right"/>
      <w:pPr>
        <w:ind w:left="6340" w:hanging="180"/>
      </w:pPr>
    </w:lvl>
  </w:abstractNum>
  <w:abstractNum w:abstractNumId="2" w15:restartNumberingAfterBreak="0">
    <w:nsid w:val="045975AF"/>
    <w:multiLevelType w:val="hybridMultilevel"/>
    <w:tmpl w:val="769A8C74"/>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AA14BD"/>
    <w:multiLevelType w:val="hybridMultilevel"/>
    <w:tmpl w:val="F9DE58F6"/>
    <w:lvl w:ilvl="0" w:tplc="59A2FE94">
      <w:start w:val="1"/>
      <w:numFmt w:val="upperLetter"/>
      <w:lvlText w:val="%1."/>
      <w:lvlJc w:val="left"/>
      <w:pPr>
        <w:ind w:left="720" w:hanging="360"/>
      </w:pPr>
      <w:rPr>
        <w:rFonts w:ascii="Verdana" w:hAnsi="Verdana"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E57391"/>
    <w:multiLevelType w:val="hybridMultilevel"/>
    <w:tmpl w:val="BDA87D80"/>
    <w:lvl w:ilvl="0" w:tplc="F4C247CA">
      <w:start w:val="1"/>
      <w:numFmt w:val="decimal"/>
      <w:lvlText w:val="%1."/>
      <w:lvlJc w:val="left"/>
      <w:pPr>
        <w:ind w:left="720" w:hanging="360"/>
      </w:pPr>
      <w:rPr>
        <w:rFonts w:ascii="Verdana" w:hAnsi="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81667DC"/>
    <w:multiLevelType w:val="hybridMultilevel"/>
    <w:tmpl w:val="63F65A62"/>
    <w:lvl w:ilvl="0" w:tplc="EAC66D3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55699"/>
    <w:multiLevelType w:val="hybridMultilevel"/>
    <w:tmpl w:val="6D76AA7C"/>
    <w:lvl w:ilvl="0" w:tplc="E610A7D2">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DAE460E"/>
    <w:multiLevelType w:val="hybridMultilevel"/>
    <w:tmpl w:val="E5F0BC8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FFF21A0"/>
    <w:multiLevelType w:val="hybridMultilevel"/>
    <w:tmpl w:val="922E8DB2"/>
    <w:lvl w:ilvl="0" w:tplc="FF10B30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1211A9F"/>
    <w:multiLevelType w:val="hybridMultilevel"/>
    <w:tmpl w:val="35345656"/>
    <w:lvl w:ilvl="0" w:tplc="59A2FE94">
      <w:start w:val="1"/>
      <w:numFmt w:val="upperLetter"/>
      <w:lvlText w:val="%1."/>
      <w:lvlJc w:val="left"/>
      <w:pPr>
        <w:ind w:left="720" w:hanging="360"/>
      </w:pPr>
      <w:rPr>
        <w:rFonts w:ascii="Verdana" w:hAnsi="Verdana"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1EF7E60"/>
    <w:multiLevelType w:val="hybridMultilevel"/>
    <w:tmpl w:val="E7EE5104"/>
    <w:lvl w:ilvl="0" w:tplc="172A26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944D71"/>
    <w:multiLevelType w:val="hybridMultilevel"/>
    <w:tmpl w:val="769A8C74"/>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6B078C3"/>
    <w:multiLevelType w:val="hybridMultilevel"/>
    <w:tmpl w:val="645699D6"/>
    <w:lvl w:ilvl="0" w:tplc="DB8AB64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620E7"/>
    <w:multiLevelType w:val="hybridMultilevel"/>
    <w:tmpl w:val="50A0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27152"/>
    <w:multiLevelType w:val="hybridMultilevel"/>
    <w:tmpl w:val="922E8DB2"/>
    <w:lvl w:ilvl="0" w:tplc="FF10B30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E01786"/>
    <w:multiLevelType w:val="hybridMultilevel"/>
    <w:tmpl w:val="26526DB0"/>
    <w:lvl w:ilvl="0" w:tplc="8DC2E5C6">
      <w:start w:val="1"/>
      <w:numFmt w:val="lowerRoman"/>
      <w:lvlText w:val="%1)"/>
      <w:lvlJc w:val="left"/>
      <w:pPr>
        <w:ind w:left="360" w:hanging="360"/>
      </w:pPr>
      <w:rPr>
        <w:rFonts w:ascii="Verdana" w:hAnsi="Verdana" w:hint="default"/>
        <w:sz w:val="16"/>
        <w:szCs w:val="16"/>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C414D38"/>
    <w:multiLevelType w:val="hybridMultilevel"/>
    <w:tmpl w:val="46DE27E4"/>
    <w:lvl w:ilvl="0" w:tplc="5BE84A3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E1C0A41"/>
    <w:multiLevelType w:val="hybridMultilevel"/>
    <w:tmpl w:val="8DDEF9F2"/>
    <w:lvl w:ilvl="0" w:tplc="59A2FE94">
      <w:start w:val="1"/>
      <w:numFmt w:val="upperLetter"/>
      <w:lvlText w:val="%1."/>
      <w:lvlJc w:val="left"/>
      <w:pPr>
        <w:ind w:left="720" w:hanging="360"/>
      </w:pPr>
      <w:rPr>
        <w:rFonts w:ascii="Verdana" w:hAnsi="Verdana"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EEA4B13"/>
    <w:multiLevelType w:val="hybridMultilevel"/>
    <w:tmpl w:val="38209824"/>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0DA2D9B"/>
    <w:multiLevelType w:val="hybridMultilevel"/>
    <w:tmpl w:val="22BCDA36"/>
    <w:lvl w:ilvl="0" w:tplc="FFCCD182">
      <w:start w:val="1"/>
      <w:numFmt w:val="decimal"/>
      <w:lvlText w:val="%1."/>
      <w:lvlJc w:val="left"/>
      <w:pPr>
        <w:ind w:left="360" w:hanging="360"/>
      </w:pPr>
      <w:rPr>
        <w:rFonts w:ascii="Verdana" w:hAnsi="Verdana"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1680369"/>
    <w:multiLevelType w:val="hybridMultilevel"/>
    <w:tmpl w:val="38209824"/>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31955B8"/>
    <w:multiLevelType w:val="hybridMultilevel"/>
    <w:tmpl w:val="75B8A852"/>
    <w:lvl w:ilvl="0" w:tplc="140A0017">
      <w:start w:val="1"/>
      <w:numFmt w:val="lowerLetter"/>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70B4581"/>
    <w:multiLevelType w:val="hybridMultilevel"/>
    <w:tmpl w:val="C03EA0F6"/>
    <w:lvl w:ilvl="0" w:tplc="BF4A11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396D7B"/>
    <w:multiLevelType w:val="hybridMultilevel"/>
    <w:tmpl w:val="FF421822"/>
    <w:lvl w:ilvl="0" w:tplc="5770F51E">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BBE0E90"/>
    <w:multiLevelType w:val="hybridMultilevel"/>
    <w:tmpl w:val="68A4D502"/>
    <w:lvl w:ilvl="0" w:tplc="838AAB90">
      <w:start w:val="1"/>
      <w:numFmt w:val="decimal"/>
      <w:lvlText w:val="%1."/>
      <w:lvlJc w:val="left"/>
      <w:pPr>
        <w:ind w:left="2487"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C675C9F"/>
    <w:multiLevelType w:val="hybridMultilevel"/>
    <w:tmpl w:val="D0BAEABA"/>
    <w:lvl w:ilvl="0" w:tplc="6A56DE10">
      <w:start w:val="1"/>
      <w:numFmt w:val="lowerRoman"/>
      <w:lvlText w:val="%1)"/>
      <w:lvlJc w:val="left"/>
      <w:pPr>
        <w:ind w:left="1428" w:hanging="720"/>
      </w:pPr>
      <w:rPr>
        <w:rFonts w:hint="default"/>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6" w15:restartNumberingAfterBreak="0">
    <w:nsid w:val="4ECD4BC6"/>
    <w:multiLevelType w:val="hybridMultilevel"/>
    <w:tmpl w:val="D0BAEABA"/>
    <w:lvl w:ilvl="0" w:tplc="6A56DE10">
      <w:start w:val="1"/>
      <w:numFmt w:val="lowerRoman"/>
      <w:lvlText w:val="%1)"/>
      <w:lvlJc w:val="left"/>
      <w:pPr>
        <w:ind w:left="1428" w:hanging="720"/>
      </w:pPr>
      <w:rPr>
        <w:rFonts w:hint="default"/>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7" w15:restartNumberingAfterBreak="0">
    <w:nsid w:val="5B1C7A63"/>
    <w:multiLevelType w:val="hybridMultilevel"/>
    <w:tmpl w:val="922E8DB2"/>
    <w:lvl w:ilvl="0" w:tplc="FF10B30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DE56BFD"/>
    <w:multiLevelType w:val="hybridMultilevel"/>
    <w:tmpl w:val="7A105A9C"/>
    <w:lvl w:ilvl="0" w:tplc="140A0017">
      <w:start w:val="1"/>
      <w:numFmt w:val="lowerLetter"/>
      <w:lvlText w:val="%1)"/>
      <w:lvlJc w:val="left"/>
      <w:pPr>
        <w:ind w:left="108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E692BFE"/>
    <w:multiLevelType w:val="hybridMultilevel"/>
    <w:tmpl w:val="14D6952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2AA6FE3"/>
    <w:multiLevelType w:val="hybridMultilevel"/>
    <w:tmpl w:val="03D45B06"/>
    <w:lvl w:ilvl="0" w:tplc="59A2FE94">
      <w:start w:val="1"/>
      <w:numFmt w:val="upperLetter"/>
      <w:lvlText w:val="%1."/>
      <w:lvlJc w:val="left"/>
      <w:pPr>
        <w:ind w:left="720" w:hanging="360"/>
      </w:pPr>
      <w:rPr>
        <w:rFonts w:ascii="Verdana" w:hAnsi="Verdana"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3B023B6"/>
    <w:multiLevelType w:val="hybridMultilevel"/>
    <w:tmpl w:val="1C4049C8"/>
    <w:lvl w:ilvl="0" w:tplc="15942E56">
      <w:start w:val="5"/>
      <w:numFmt w:val="decimal"/>
      <w:lvlText w:val="%1."/>
      <w:lvlJc w:val="left"/>
      <w:pPr>
        <w:ind w:left="990" w:hanging="360"/>
      </w:pPr>
      <w:rPr>
        <w:rFonts w:ascii="Verdana" w:hAnsi="Verdana" w:hint="default"/>
        <w:b w:val="0"/>
        <w:i w:val="0"/>
        <w:color w:val="auto"/>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63CF46F3"/>
    <w:multiLevelType w:val="hybridMultilevel"/>
    <w:tmpl w:val="35E61AE0"/>
    <w:lvl w:ilvl="0" w:tplc="42CC1992">
      <w:start w:val="16"/>
      <w:numFmt w:val="bullet"/>
      <w:lvlText w:val="-"/>
      <w:lvlJc w:val="left"/>
      <w:pPr>
        <w:ind w:left="720" w:hanging="360"/>
      </w:pPr>
      <w:rPr>
        <w:rFonts w:ascii="Calibri" w:eastAsiaTheme="minorHAnsi" w:hAnsi="Calibri"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65A5C6F"/>
    <w:multiLevelType w:val="hybridMultilevel"/>
    <w:tmpl w:val="6314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A1D96"/>
    <w:multiLevelType w:val="hybridMultilevel"/>
    <w:tmpl w:val="1248ADD0"/>
    <w:lvl w:ilvl="0" w:tplc="97E83616">
      <w:start w:val="1"/>
      <w:numFmt w:val="decimal"/>
      <w:lvlText w:val="%1."/>
      <w:lvlJc w:val="left"/>
      <w:pPr>
        <w:ind w:left="6314" w:hanging="360"/>
      </w:pPr>
      <w:rPr>
        <w:rFonts w:ascii="Verdana" w:hAnsi="Verdana" w:hint="default"/>
        <w:b w:val="0"/>
        <w:i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84E373C"/>
    <w:multiLevelType w:val="hybridMultilevel"/>
    <w:tmpl w:val="F808ED7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AE36050"/>
    <w:multiLevelType w:val="hybridMultilevel"/>
    <w:tmpl w:val="F4889BD4"/>
    <w:lvl w:ilvl="0" w:tplc="C38EB188">
      <w:start w:val="1"/>
      <w:numFmt w:val="decimal"/>
      <w:lvlText w:val="%1."/>
      <w:lvlJc w:val="left"/>
      <w:pPr>
        <w:ind w:left="502" w:hanging="360"/>
      </w:pPr>
      <w:rPr>
        <w:rFonts w:hint="default"/>
        <w:b w:val="0"/>
        <w:bCs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7" w15:restartNumberingAfterBreak="0">
    <w:nsid w:val="6B17326A"/>
    <w:multiLevelType w:val="hybridMultilevel"/>
    <w:tmpl w:val="769A8C74"/>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BD754B7"/>
    <w:multiLevelType w:val="hybridMultilevel"/>
    <w:tmpl w:val="8BA4777A"/>
    <w:lvl w:ilvl="0" w:tplc="BF4A11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F24713"/>
    <w:multiLevelType w:val="hybridMultilevel"/>
    <w:tmpl w:val="BE5E93AE"/>
    <w:lvl w:ilvl="0" w:tplc="E01061C8">
      <w:start w:val="20"/>
      <w:numFmt w:val="decimal"/>
      <w:lvlText w:val="%1."/>
      <w:lvlJc w:val="left"/>
      <w:pPr>
        <w:ind w:left="1065" w:hanging="360"/>
      </w:pPr>
      <w:rPr>
        <w:rFonts w:ascii="Verdana" w:hAnsi="Verdana" w:hint="default"/>
        <w:b w:val="0"/>
        <w:sz w:val="20"/>
        <w:szCs w:val="20"/>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40" w15:restartNumberingAfterBreak="0">
    <w:nsid w:val="758F365A"/>
    <w:multiLevelType w:val="hybridMultilevel"/>
    <w:tmpl w:val="C03EA0F6"/>
    <w:lvl w:ilvl="0" w:tplc="BF4A11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9712735"/>
    <w:multiLevelType w:val="hybridMultilevel"/>
    <w:tmpl w:val="6F187C08"/>
    <w:lvl w:ilvl="0" w:tplc="5566B49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C121A9D"/>
    <w:multiLevelType w:val="hybridMultilevel"/>
    <w:tmpl w:val="F776FEE8"/>
    <w:lvl w:ilvl="0" w:tplc="C0006520">
      <w:start w:val="1"/>
      <w:numFmt w:val="decimal"/>
      <w:lvlText w:val="%1."/>
      <w:lvlJc w:val="left"/>
      <w:pPr>
        <w:ind w:left="360" w:hanging="360"/>
      </w:pPr>
      <w:rPr>
        <w:rFonts w:ascii="Verdana" w:hAnsi="Verdana" w:hint="default"/>
        <w:b w:val="0"/>
        <w:color w:val="auto"/>
        <w:sz w:val="20"/>
        <w:szCs w:val="20"/>
        <w:lang w:val="es-CR"/>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E6D61DF"/>
    <w:multiLevelType w:val="hybridMultilevel"/>
    <w:tmpl w:val="15641662"/>
    <w:lvl w:ilvl="0" w:tplc="BEE84FB2">
      <w:start w:val="1"/>
      <w:numFmt w:val="decimal"/>
      <w:lvlText w:val="%1."/>
      <w:lvlJc w:val="left"/>
      <w:pPr>
        <w:ind w:left="1080" w:hanging="720"/>
      </w:pPr>
      <w:rPr>
        <w:rFonts w:hint="default"/>
        <w:b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42050"/>
    <w:multiLevelType w:val="hybridMultilevel"/>
    <w:tmpl w:val="A6BE59A0"/>
    <w:lvl w:ilvl="0" w:tplc="1B88ABCA">
      <w:start w:val="4"/>
      <w:numFmt w:val="decimal"/>
      <w:lvlText w:val="%1."/>
      <w:lvlJc w:val="left"/>
      <w:pPr>
        <w:ind w:left="720" w:hanging="360"/>
      </w:pPr>
      <w:rPr>
        <w:rFonts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16"/>
  </w:num>
  <w:num w:numId="3">
    <w:abstractNumId w:val="42"/>
  </w:num>
  <w:num w:numId="4">
    <w:abstractNumId w:val="19"/>
  </w:num>
  <w:num w:numId="5">
    <w:abstractNumId w:val="26"/>
  </w:num>
  <w:num w:numId="6">
    <w:abstractNumId w:val="21"/>
  </w:num>
  <w:num w:numId="7">
    <w:abstractNumId w:val="8"/>
  </w:num>
  <w:num w:numId="8">
    <w:abstractNumId w:val="11"/>
  </w:num>
  <w:num w:numId="9">
    <w:abstractNumId w:val="37"/>
  </w:num>
  <w:num w:numId="10">
    <w:abstractNumId w:val="25"/>
  </w:num>
  <w:num w:numId="11">
    <w:abstractNumId w:val="23"/>
  </w:num>
  <w:num w:numId="12">
    <w:abstractNumId w:val="2"/>
  </w:num>
  <w:num w:numId="13">
    <w:abstractNumId w:val="14"/>
  </w:num>
  <w:num w:numId="14">
    <w:abstractNumId w:val="27"/>
  </w:num>
  <w:num w:numId="15">
    <w:abstractNumId w:val="10"/>
  </w:num>
  <w:num w:numId="16">
    <w:abstractNumId w:val="43"/>
  </w:num>
  <w:num w:numId="17">
    <w:abstractNumId w:val="36"/>
  </w:num>
  <w:num w:numId="18">
    <w:abstractNumId w:val="41"/>
  </w:num>
  <w:num w:numId="19">
    <w:abstractNumId w:val="0"/>
  </w:num>
  <w:num w:numId="20">
    <w:abstractNumId w:val="38"/>
  </w:num>
  <w:num w:numId="21">
    <w:abstractNumId w:val="40"/>
  </w:num>
  <w:num w:numId="22">
    <w:abstractNumId w:val="22"/>
  </w:num>
  <w:num w:numId="23">
    <w:abstractNumId w:val="24"/>
  </w:num>
  <w:num w:numId="24">
    <w:abstractNumId w:val="12"/>
  </w:num>
  <w:num w:numId="25">
    <w:abstractNumId w:val="34"/>
  </w:num>
  <w:num w:numId="26">
    <w:abstractNumId w:val="28"/>
  </w:num>
  <w:num w:numId="27">
    <w:abstractNumId w:val="6"/>
  </w:num>
  <w:num w:numId="28">
    <w:abstractNumId w:val="29"/>
  </w:num>
  <w:num w:numId="29">
    <w:abstractNumId w:val="33"/>
  </w:num>
  <w:num w:numId="30">
    <w:abstractNumId w:val="9"/>
  </w:num>
  <w:num w:numId="31">
    <w:abstractNumId w:val="35"/>
  </w:num>
  <w:num w:numId="32">
    <w:abstractNumId w:val="7"/>
  </w:num>
  <w:num w:numId="33">
    <w:abstractNumId w:val="18"/>
  </w:num>
  <w:num w:numId="34">
    <w:abstractNumId w:val="20"/>
  </w:num>
  <w:num w:numId="35">
    <w:abstractNumId w:val="32"/>
  </w:num>
  <w:num w:numId="36">
    <w:abstractNumId w:val="13"/>
  </w:num>
  <w:num w:numId="37">
    <w:abstractNumId w:val="30"/>
  </w:num>
  <w:num w:numId="38">
    <w:abstractNumId w:val="17"/>
  </w:num>
  <w:num w:numId="39">
    <w:abstractNumId w:val="15"/>
  </w:num>
  <w:num w:numId="40">
    <w:abstractNumId w:val="3"/>
  </w:num>
  <w:num w:numId="41">
    <w:abstractNumId w:val="44"/>
  </w:num>
  <w:num w:numId="42">
    <w:abstractNumId w:val="31"/>
  </w:num>
  <w:num w:numId="43">
    <w:abstractNumId w:val="39"/>
  </w:num>
  <w:num w:numId="44">
    <w:abstractNumId w:val="1"/>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A6"/>
    <w:rsid w:val="0000040C"/>
    <w:rsid w:val="00004A51"/>
    <w:rsid w:val="00006107"/>
    <w:rsid w:val="00006319"/>
    <w:rsid w:val="000068D5"/>
    <w:rsid w:val="000070DC"/>
    <w:rsid w:val="000117DE"/>
    <w:rsid w:val="00011D33"/>
    <w:rsid w:val="000165BD"/>
    <w:rsid w:val="00020990"/>
    <w:rsid w:val="00023B64"/>
    <w:rsid w:val="00026AA1"/>
    <w:rsid w:val="00027599"/>
    <w:rsid w:val="000276EF"/>
    <w:rsid w:val="00031869"/>
    <w:rsid w:val="00043671"/>
    <w:rsid w:val="000466B1"/>
    <w:rsid w:val="000474FA"/>
    <w:rsid w:val="00063386"/>
    <w:rsid w:val="00064EAB"/>
    <w:rsid w:val="0006741B"/>
    <w:rsid w:val="0007124D"/>
    <w:rsid w:val="000725E7"/>
    <w:rsid w:val="00072C6B"/>
    <w:rsid w:val="00073256"/>
    <w:rsid w:val="00075B90"/>
    <w:rsid w:val="0008178B"/>
    <w:rsid w:val="00086002"/>
    <w:rsid w:val="00087550"/>
    <w:rsid w:val="00090A93"/>
    <w:rsid w:val="000910F4"/>
    <w:rsid w:val="000917CE"/>
    <w:rsid w:val="00092C10"/>
    <w:rsid w:val="00093EDF"/>
    <w:rsid w:val="00096E8D"/>
    <w:rsid w:val="000973AE"/>
    <w:rsid w:val="00097B64"/>
    <w:rsid w:val="000A05D8"/>
    <w:rsid w:val="000A0685"/>
    <w:rsid w:val="000A1727"/>
    <w:rsid w:val="000A36AD"/>
    <w:rsid w:val="000A3C0B"/>
    <w:rsid w:val="000A4009"/>
    <w:rsid w:val="000A42E3"/>
    <w:rsid w:val="000B062E"/>
    <w:rsid w:val="000B19A3"/>
    <w:rsid w:val="000B2655"/>
    <w:rsid w:val="000B2701"/>
    <w:rsid w:val="000B30E5"/>
    <w:rsid w:val="000B5D93"/>
    <w:rsid w:val="000B74A9"/>
    <w:rsid w:val="000B763B"/>
    <w:rsid w:val="000C2A7D"/>
    <w:rsid w:val="000C2D1A"/>
    <w:rsid w:val="000C57AF"/>
    <w:rsid w:val="000C5843"/>
    <w:rsid w:val="000C5C31"/>
    <w:rsid w:val="000D060F"/>
    <w:rsid w:val="000D0F00"/>
    <w:rsid w:val="000D3A30"/>
    <w:rsid w:val="000D481E"/>
    <w:rsid w:val="000D671D"/>
    <w:rsid w:val="000E0FC8"/>
    <w:rsid w:val="000E1701"/>
    <w:rsid w:val="000E1B00"/>
    <w:rsid w:val="000E3B5E"/>
    <w:rsid w:val="000E4275"/>
    <w:rsid w:val="000E6932"/>
    <w:rsid w:val="000F0FDE"/>
    <w:rsid w:val="000F46A6"/>
    <w:rsid w:val="000F46E8"/>
    <w:rsid w:val="000F4D8D"/>
    <w:rsid w:val="000F7D09"/>
    <w:rsid w:val="001027E8"/>
    <w:rsid w:val="00103244"/>
    <w:rsid w:val="001033C2"/>
    <w:rsid w:val="00105240"/>
    <w:rsid w:val="00106ECB"/>
    <w:rsid w:val="0011507D"/>
    <w:rsid w:val="001159CE"/>
    <w:rsid w:val="00117048"/>
    <w:rsid w:val="00121116"/>
    <w:rsid w:val="00121C1D"/>
    <w:rsid w:val="00126BEF"/>
    <w:rsid w:val="001315B7"/>
    <w:rsid w:val="00135A79"/>
    <w:rsid w:val="00136214"/>
    <w:rsid w:val="00137375"/>
    <w:rsid w:val="00137555"/>
    <w:rsid w:val="0014243F"/>
    <w:rsid w:val="0014310B"/>
    <w:rsid w:val="00143FFF"/>
    <w:rsid w:val="00144D40"/>
    <w:rsid w:val="00144E13"/>
    <w:rsid w:val="0014538A"/>
    <w:rsid w:val="001511A4"/>
    <w:rsid w:val="00151A88"/>
    <w:rsid w:val="0015218E"/>
    <w:rsid w:val="001560E7"/>
    <w:rsid w:val="0015657D"/>
    <w:rsid w:val="00157CB3"/>
    <w:rsid w:val="00157E4F"/>
    <w:rsid w:val="0016126B"/>
    <w:rsid w:val="00162E9D"/>
    <w:rsid w:val="001634CE"/>
    <w:rsid w:val="001662BD"/>
    <w:rsid w:val="00166908"/>
    <w:rsid w:val="001673B6"/>
    <w:rsid w:val="0016741D"/>
    <w:rsid w:val="0017087F"/>
    <w:rsid w:val="0017184F"/>
    <w:rsid w:val="00171CDB"/>
    <w:rsid w:val="001721C9"/>
    <w:rsid w:val="00174BA8"/>
    <w:rsid w:val="0017642D"/>
    <w:rsid w:val="00176EA4"/>
    <w:rsid w:val="001805D8"/>
    <w:rsid w:val="00184D33"/>
    <w:rsid w:val="00191277"/>
    <w:rsid w:val="00191328"/>
    <w:rsid w:val="00192803"/>
    <w:rsid w:val="00193D08"/>
    <w:rsid w:val="001A0D9B"/>
    <w:rsid w:val="001A2433"/>
    <w:rsid w:val="001A378C"/>
    <w:rsid w:val="001A64FD"/>
    <w:rsid w:val="001B1BA6"/>
    <w:rsid w:val="001B1CA4"/>
    <w:rsid w:val="001B428C"/>
    <w:rsid w:val="001B605D"/>
    <w:rsid w:val="001B65C5"/>
    <w:rsid w:val="001C498B"/>
    <w:rsid w:val="001C4EFD"/>
    <w:rsid w:val="001C7977"/>
    <w:rsid w:val="001C7CF5"/>
    <w:rsid w:val="001D0341"/>
    <w:rsid w:val="001D27B1"/>
    <w:rsid w:val="001D5C2A"/>
    <w:rsid w:val="001E09FB"/>
    <w:rsid w:val="001E6BF9"/>
    <w:rsid w:val="001E77E5"/>
    <w:rsid w:val="001F158C"/>
    <w:rsid w:val="0020033F"/>
    <w:rsid w:val="00202488"/>
    <w:rsid w:val="0021105A"/>
    <w:rsid w:val="00221B53"/>
    <w:rsid w:val="002227E5"/>
    <w:rsid w:val="00223A76"/>
    <w:rsid w:val="00231D73"/>
    <w:rsid w:val="00234E19"/>
    <w:rsid w:val="00250CFA"/>
    <w:rsid w:val="002514E8"/>
    <w:rsid w:val="00251F62"/>
    <w:rsid w:val="00255A85"/>
    <w:rsid w:val="00256F89"/>
    <w:rsid w:val="0026017E"/>
    <w:rsid w:val="0026066D"/>
    <w:rsid w:val="00260745"/>
    <w:rsid w:val="00264FD0"/>
    <w:rsid w:val="002651C5"/>
    <w:rsid w:val="002670E3"/>
    <w:rsid w:val="002718F9"/>
    <w:rsid w:val="00276438"/>
    <w:rsid w:val="00276C5E"/>
    <w:rsid w:val="00276C90"/>
    <w:rsid w:val="0027760B"/>
    <w:rsid w:val="00281039"/>
    <w:rsid w:val="0028292E"/>
    <w:rsid w:val="0029224D"/>
    <w:rsid w:val="002925FF"/>
    <w:rsid w:val="002960A0"/>
    <w:rsid w:val="002A206F"/>
    <w:rsid w:val="002A2216"/>
    <w:rsid w:val="002A4F24"/>
    <w:rsid w:val="002C0A27"/>
    <w:rsid w:val="002C0D99"/>
    <w:rsid w:val="002C1B4C"/>
    <w:rsid w:val="002C1BC1"/>
    <w:rsid w:val="002C24CE"/>
    <w:rsid w:val="002C35EC"/>
    <w:rsid w:val="002D1524"/>
    <w:rsid w:val="002D4422"/>
    <w:rsid w:val="002D720B"/>
    <w:rsid w:val="002E13F6"/>
    <w:rsid w:val="002E4792"/>
    <w:rsid w:val="002E4B2E"/>
    <w:rsid w:val="002F7CA3"/>
    <w:rsid w:val="00304D32"/>
    <w:rsid w:val="003057A1"/>
    <w:rsid w:val="00307679"/>
    <w:rsid w:val="00307A1C"/>
    <w:rsid w:val="00312746"/>
    <w:rsid w:val="00314173"/>
    <w:rsid w:val="00314939"/>
    <w:rsid w:val="00317D64"/>
    <w:rsid w:val="0032034F"/>
    <w:rsid w:val="0032054F"/>
    <w:rsid w:val="00326999"/>
    <w:rsid w:val="003273C9"/>
    <w:rsid w:val="00330B46"/>
    <w:rsid w:val="00332E27"/>
    <w:rsid w:val="0033420A"/>
    <w:rsid w:val="003367C3"/>
    <w:rsid w:val="00337240"/>
    <w:rsid w:val="003401BB"/>
    <w:rsid w:val="0034091B"/>
    <w:rsid w:val="0034122A"/>
    <w:rsid w:val="00354C1D"/>
    <w:rsid w:val="00362948"/>
    <w:rsid w:val="00372F66"/>
    <w:rsid w:val="00374606"/>
    <w:rsid w:val="003843DE"/>
    <w:rsid w:val="00385626"/>
    <w:rsid w:val="003856EF"/>
    <w:rsid w:val="00393FBF"/>
    <w:rsid w:val="00396B0F"/>
    <w:rsid w:val="003A0683"/>
    <w:rsid w:val="003A19BB"/>
    <w:rsid w:val="003A6B28"/>
    <w:rsid w:val="003A7DAF"/>
    <w:rsid w:val="003A7F33"/>
    <w:rsid w:val="003B1EC6"/>
    <w:rsid w:val="003B2794"/>
    <w:rsid w:val="003B4622"/>
    <w:rsid w:val="003B4AAA"/>
    <w:rsid w:val="003B5A0E"/>
    <w:rsid w:val="003B7E80"/>
    <w:rsid w:val="003C1D5C"/>
    <w:rsid w:val="003C2077"/>
    <w:rsid w:val="003C2364"/>
    <w:rsid w:val="003C27D9"/>
    <w:rsid w:val="003C2CBF"/>
    <w:rsid w:val="003C3BC4"/>
    <w:rsid w:val="003C4005"/>
    <w:rsid w:val="003C4860"/>
    <w:rsid w:val="003C4D75"/>
    <w:rsid w:val="003C78B5"/>
    <w:rsid w:val="003D1230"/>
    <w:rsid w:val="003D23B9"/>
    <w:rsid w:val="003D4601"/>
    <w:rsid w:val="003D5FB1"/>
    <w:rsid w:val="003D673B"/>
    <w:rsid w:val="003E0539"/>
    <w:rsid w:val="003E3F3A"/>
    <w:rsid w:val="003E5E89"/>
    <w:rsid w:val="003E70E1"/>
    <w:rsid w:val="004034AE"/>
    <w:rsid w:val="00403B3B"/>
    <w:rsid w:val="00403D3D"/>
    <w:rsid w:val="0040400F"/>
    <w:rsid w:val="004073E5"/>
    <w:rsid w:val="00407453"/>
    <w:rsid w:val="004132EB"/>
    <w:rsid w:val="00420794"/>
    <w:rsid w:val="00421DCA"/>
    <w:rsid w:val="00422F7E"/>
    <w:rsid w:val="00424308"/>
    <w:rsid w:val="0042771A"/>
    <w:rsid w:val="00427E74"/>
    <w:rsid w:val="00434930"/>
    <w:rsid w:val="004406B5"/>
    <w:rsid w:val="004460E5"/>
    <w:rsid w:val="00447276"/>
    <w:rsid w:val="00456D3F"/>
    <w:rsid w:val="004571EC"/>
    <w:rsid w:val="00460227"/>
    <w:rsid w:val="00462F70"/>
    <w:rsid w:val="0046457E"/>
    <w:rsid w:val="00464A7A"/>
    <w:rsid w:val="00465957"/>
    <w:rsid w:val="00470D38"/>
    <w:rsid w:val="00473873"/>
    <w:rsid w:val="0047472F"/>
    <w:rsid w:val="004769E8"/>
    <w:rsid w:val="00484DB9"/>
    <w:rsid w:val="004858E4"/>
    <w:rsid w:val="00491F8A"/>
    <w:rsid w:val="0049258C"/>
    <w:rsid w:val="00492CF3"/>
    <w:rsid w:val="00493622"/>
    <w:rsid w:val="004965DF"/>
    <w:rsid w:val="004A1D1A"/>
    <w:rsid w:val="004A4E86"/>
    <w:rsid w:val="004A7E66"/>
    <w:rsid w:val="004B1B5D"/>
    <w:rsid w:val="004B6197"/>
    <w:rsid w:val="004C1128"/>
    <w:rsid w:val="004C24B0"/>
    <w:rsid w:val="004C5816"/>
    <w:rsid w:val="004D0919"/>
    <w:rsid w:val="004D165C"/>
    <w:rsid w:val="004D2BB1"/>
    <w:rsid w:val="004D2C60"/>
    <w:rsid w:val="004D4215"/>
    <w:rsid w:val="004D6924"/>
    <w:rsid w:val="004E0DD4"/>
    <w:rsid w:val="004E3A57"/>
    <w:rsid w:val="004E6763"/>
    <w:rsid w:val="004F2D89"/>
    <w:rsid w:val="004F30DA"/>
    <w:rsid w:val="004F6436"/>
    <w:rsid w:val="0050329A"/>
    <w:rsid w:val="00503DD1"/>
    <w:rsid w:val="0050644B"/>
    <w:rsid w:val="00506551"/>
    <w:rsid w:val="00507AC8"/>
    <w:rsid w:val="00512446"/>
    <w:rsid w:val="00513B57"/>
    <w:rsid w:val="005140D1"/>
    <w:rsid w:val="00515A0C"/>
    <w:rsid w:val="00522275"/>
    <w:rsid w:val="00522A0F"/>
    <w:rsid w:val="005257EB"/>
    <w:rsid w:val="005349B3"/>
    <w:rsid w:val="005353D5"/>
    <w:rsid w:val="0053657D"/>
    <w:rsid w:val="00537C44"/>
    <w:rsid w:val="00537EA3"/>
    <w:rsid w:val="00544066"/>
    <w:rsid w:val="00546046"/>
    <w:rsid w:val="00551215"/>
    <w:rsid w:val="00554C1F"/>
    <w:rsid w:val="00556011"/>
    <w:rsid w:val="0055750B"/>
    <w:rsid w:val="00561964"/>
    <w:rsid w:val="00562AB5"/>
    <w:rsid w:val="0056595A"/>
    <w:rsid w:val="00567615"/>
    <w:rsid w:val="00571CB7"/>
    <w:rsid w:val="00573462"/>
    <w:rsid w:val="00574E5D"/>
    <w:rsid w:val="00583A05"/>
    <w:rsid w:val="00585004"/>
    <w:rsid w:val="00585DBA"/>
    <w:rsid w:val="00586203"/>
    <w:rsid w:val="00586E74"/>
    <w:rsid w:val="00591CE6"/>
    <w:rsid w:val="0059423C"/>
    <w:rsid w:val="005948FD"/>
    <w:rsid w:val="005958A1"/>
    <w:rsid w:val="005A6EB4"/>
    <w:rsid w:val="005B1459"/>
    <w:rsid w:val="005B19C6"/>
    <w:rsid w:val="005B1BA2"/>
    <w:rsid w:val="005B3025"/>
    <w:rsid w:val="005B32C4"/>
    <w:rsid w:val="005B428E"/>
    <w:rsid w:val="005B47C9"/>
    <w:rsid w:val="005B5FB3"/>
    <w:rsid w:val="005B6D86"/>
    <w:rsid w:val="005C0450"/>
    <w:rsid w:val="005C15B9"/>
    <w:rsid w:val="005C1CD5"/>
    <w:rsid w:val="005C2C46"/>
    <w:rsid w:val="005C74F7"/>
    <w:rsid w:val="005C7C9C"/>
    <w:rsid w:val="005D1BB8"/>
    <w:rsid w:val="005D5B3C"/>
    <w:rsid w:val="005D792E"/>
    <w:rsid w:val="005D7A26"/>
    <w:rsid w:val="005D7EA2"/>
    <w:rsid w:val="005E1241"/>
    <w:rsid w:val="005E1591"/>
    <w:rsid w:val="005E1726"/>
    <w:rsid w:val="005E620C"/>
    <w:rsid w:val="005E630A"/>
    <w:rsid w:val="005E663D"/>
    <w:rsid w:val="005E6822"/>
    <w:rsid w:val="005F4CC7"/>
    <w:rsid w:val="005F583A"/>
    <w:rsid w:val="005F6878"/>
    <w:rsid w:val="005F7CBD"/>
    <w:rsid w:val="00600F53"/>
    <w:rsid w:val="00600FFF"/>
    <w:rsid w:val="006055FC"/>
    <w:rsid w:val="0060637B"/>
    <w:rsid w:val="0060722F"/>
    <w:rsid w:val="00611342"/>
    <w:rsid w:val="00623641"/>
    <w:rsid w:val="006247B5"/>
    <w:rsid w:val="00630FCA"/>
    <w:rsid w:val="00635B8E"/>
    <w:rsid w:val="00640686"/>
    <w:rsid w:val="0064124B"/>
    <w:rsid w:val="00642587"/>
    <w:rsid w:val="0064329D"/>
    <w:rsid w:val="00644C7F"/>
    <w:rsid w:val="006461A0"/>
    <w:rsid w:val="006471EB"/>
    <w:rsid w:val="00647A80"/>
    <w:rsid w:val="00652909"/>
    <w:rsid w:val="006556B9"/>
    <w:rsid w:val="006573B8"/>
    <w:rsid w:val="00657CF1"/>
    <w:rsid w:val="00657F34"/>
    <w:rsid w:val="0066104A"/>
    <w:rsid w:val="00663EC7"/>
    <w:rsid w:val="006672EC"/>
    <w:rsid w:val="006716D3"/>
    <w:rsid w:val="006756BE"/>
    <w:rsid w:val="0067624F"/>
    <w:rsid w:val="00676DE8"/>
    <w:rsid w:val="00680992"/>
    <w:rsid w:val="00683982"/>
    <w:rsid w:val="00686C80"/>
    <w:rsid w:val="00687CC8"/>
    <w:rsid w:val="006A1CA3"/>
    <w:rsid w:val="006A7454"/>
    <w:rsid w:val="006B188B"/>
    <w:rsid w:val="006B1B63"/>
    <w:rsid w:val="006B4A73"/>
    <w:rsid w:val="006B6A3F"/>
    <w:rsid w:val="006C0576"/>
    <w:rsid w:val="006C4A5D"/>
    <w:rsid w:val="006C7B36"/>
    <w:rsid w:val="006D1B1D"/>
    <w:rsid w:val="006D4B2B"/>
    <w:rsid w:val="006D5C1C"/>
    <w:rsid w:val="006D6167"/>
    <w:rsid w:val="006D69E9"/>
    <w:rsid w:val="006E1368"/>
    <w:rsid w:val="006E1E17"/>
    <w:rsid w:val="006E3A86"/>
    <w:rsid w:val="006E5E0E"/>
    <w:rsid w:val="006E68DF"/>
    <w:rsid w:val="006E6CA3"/>
    <w:rsid w:val="006E76BC"/>
    <w:rsid w:val="006E772C"/>
    <w:rsid w:val="006F1420"/>
    <w:rsid w:val="006F1C7D"/>
    <w:rsid w:val="006F3420"/>
    <w:rsid w:val="006F42D2"/>
    <w:rsid w:val="00703B92"/>
    <w:rsid w:val="00704091"/>
    <w:rsid w:val="00710356"/>
    <w:rsid w:val="007201C3"/>
    <w:rsid w:val="00724248"/>
    <w:rsid w:val="0072540F"/>
    <w:rsid w:val="00725B1E"/>
    <w:rsid w:val="00726255"/>
    <w:rsid w:val="00733BCC"/>
    <w:rsid w:val="0073410A"/>
    <w:rsid w:val="007347D5"/>
    <w:rsid w:val="007361D1"/>
    <w:rsid w:val="00740EA4"/>
    <w:rsid w:val="0074597A"/>
    <w:rsid w:val="00752456"/>
    <w:rsid w:val="00753405"/>
    <w:rsid w:val="00753A56"/>
    <w:rsid w:val="00753E93"/>
    <w:rsid w:val="00757AE9"/>
    <w:rsid w:val="00760EC6"/>
    <w:rsid w:val="00761C37"/>
    <w:rsid w:val="00764C29"/>
    <w:rsid w:val="00767267"/>
    <w:rsid w:val="00771B35"/>
    <w:rsid w:val="00771E8F"/>
    <w:rsid w:val="00773B9F"/>
    <w:rsid w:val="00775D90"/>
    <w:rsid w:val="0077796A"/>
    <w:rsid w:val="00781D79"/>
    <w:rsid w:val="007821F4"/>
    <w:rsid w:val="00784E79"/>
    <w:rsid w:val="007912A7"/>
    <w:rsid w:val="00797329"/>
    <w:rsid w:val="007A0524"/>
    <w:rsid w:val="007C17FF"/>
    <w:rsid w:val="007C5137"/>
    <w:rsid w:val="007D05DF"/>
    <w:rsid w:val="007D065C"/>
    <w:rsid w:val="007D09ED"/>
    <w:rsid w:val="007D40D1"/>
    <w:rsid w:val="007D5BC6"/>
    <w:rsid w:val="007D7DAA"/>
    <w:rsid w:val="007E09B5"/>
    <w:rsid w:val="007E64CD"/>
    <w:rsid w:val="007E6A88"/>
    <w:rsid w:val="007E7572"/>
    <w:rsid w:val="007F6BFF"/>
    <w:rsid w:val="007F7725"/>
    <w:rsid w:val="008002E4"/>
    <w:rsid w:val="00802B40"/>
    <w:rsid w:val="00805B97"/>
    <w:rsid w:val="00810928"/>
    <w:rsid w:val="00811766"/>
    <w:rsid w:val="008209E8"/>
    <w:rsid w:val="00825331"/>
    <w:rsid w:val="00825907"/>
    <w:rsid w:val="0083342D"/>
    <w:rsid w:val="00834908"/>
    <w:rsid w:val="00834A6F"/>
    <w:rsid w:val="00835162"/>
    <w:rsid w:val="008435C2"/>
    <w:rsid w:val="0084365E"/>
    <w:rsid w:val="00844510"/>
    <w:rsid w:val="00847C10"/>
    <w:rsid w:val="00852ED1"/>
    <w:rsid w:val="008578DF"/>
    <w:rsid w:val="00861C0E"/>
    <w:rsid w:val="008650AB"/>
    <w:rsid w:val="00870177"/>
    <w:rsid w:val="00873478"/>
    <w:rsid w:val="008779C1"/>
    <w:rsid w:val="00880049"/>
    <w:rsid w:val="00881366"/>
    <w:rsid w:val="00882A09"/>
    <w:rsid w:val="00884EAD"/>
    <w:rsid w:val="00884FC1"/>
    <w:rsid w:val="00885628"/>
    <w:rsid w:val="00890802"/>
    <w:rsid w:val="008943DD"/>
    <w:rsid w:val="00895587"/>
    <w:rsid w:val="00896A2C"/>
    <w:rsid w:val="008A1FE2"/>
    <w:rsid w:val="008A341F"/>
    <w:rsid w:val="008A7301"/>
    <w:rsid w:val="008A7D45"/>
    <w:rsid w:val="008B0D51"/>
    <w:rsid w:val="008B1A84"/>
    <w:rsid w:val="008B4981"/>
    <w:rsid w:val="008B5B41"/>
    <w:rsid w:val="008B6894"/>
    <w:rsid w:val="008B7E8C"/>
    <w:rsid w:val="008C166D"/>
    <w:rsid w:val="008C35C0"/>
    <w:rsid w:val="008C47C3"/>
    <w:rsid w:val="008C5D31"/>
    <w:rsid w:val="008C7A88"/>
    <w:rsid w:val="008D13E0"/>
    <w:rsid w:val="008D174E"/>
    <w:rsid w:val="008E4744"/>
    <w:rsid w:val="008F11AB"/>
    <w:rsid w:val="008F24B2"/>
    <w:rsid w:val="008F409D"/>
    <w:rsid w:val="008F49ED"/>
    <w:rsid w:val="00901419"/>
    <w:rsid w:val="009028FB"/>
    <w:rsid w:val="00902BA2"/>
    <w:rsid w:val="0090366D"/>
    <w:rsid w:val="00906FDA"/>
    <w:rsid w:val="0090778A"/>
    <w:rsid w:val="009100DF"/>
    <w:rsid w:val="009118AA"/>
    <w:rsid w:val="00911D41"/>
    <w:rsid w:val="00912EFF"/>
    <w:rsid w:val="009133DC"/>
    <w:rsid w:val="00913E76"/>
    <w:rsid w:val="00922BF9"/>
    <w:rsid w:val="00930E83"/>
    <w:rsid w:val="0093155F"/>
    <w:rsid w:val="009351E6"/>
    <w:rsid w:val="00935258"/>
    <w:rsid w:val="00940E14"/>
    <w:rsid w:val="00943456"/>
    <w:rsid w:val="00944B2A"/>
    <w:rsid w:val="00946229"/>
    <w:rsid w:val="0095218C"/>
    <w:rsid w:val="009553EB"/>
    <w:rsid w:val="00955481"/>
    <w:rsid w:val="00955853"/>
    <w:rsid w:val="00957CB7"/>
    <w:rsid w:val="00961400"/>
    <w:rsid w:val="00975940"/>
    <w:rsid w:val="009761C7"/>
    <w:rsid w:val="0098262F"/>
    <w:rsid w:val="00983357"/>
    <w:rsid w:val="00986596"/>
    <w:rsid w:val="0098697C"/>
    <w:rsid w:val="00986A62"/>
    <w:rsid w:val="009870CD"/>
    <w:rsid w:val="0098766D"/>
    <w:rsid w:val="00987AA4"/>
    <w:rsid w:val="00992DC9"/>
    <w:rsid w:val="0099446A"/>
    <w:rsid w:val="0099752C"/>
    <w:rsid w:val="009A339E"/>
    <w:rsid w:val="009A5903"/>
    <w:rsid w:val="009A7584"/>
    <w:rsid w:val="009B05D0"/>
    <w:rsid w:val="009B2E70"/>
    <w:rsid w:val="009B642A"/>
    <w:rsid w:val="009B723B"/>
    <w:rsid w:val="009B7B87"/>
    <w:rsid w:val="009B7CC8"/>
    <w:rsid w:val="009C0591"/>
    <w:rsid w:val="009C247B"/>
    <w:rsid w:val="009C3B5E"/>
    <w:rsid w:val="009C3C0F"/>
    <w:rsid w:val="009C4C4D"/>
    <w:rsid w:val="009D0DFF"/>
    <w:rsid w:val="009D13F7"/>
    <w:rsid w:val="009D1F2D"/>
    <w:rsid w:val="009D37E1"/>
    <w:rsid w:val="009D6705"/>
    <w:rsid w:val="009D7A98"/>
    <w:rsid w:val="009E343B"/>
    <w:rsid w:val="009E46AF"/>
    <w:rsid w:val="009E724B"/>
    <w:rsid w:val="009E72B5"/>
    <w:rsid w:val="009F3835"/>
    <w:rsid w:val="009F55B9"/>
    <w:rsid w:val="00A06BC5"/>
    <w:rsid w:val="00A11CD5"/>
    <w:rsid w:val="00A11D39"/>
    <w:rsid w:val="00A126B6"/>
    <w:rsid w:val="00A17381"/>
    <w:rsid w:val="00A2350B"/>
    <w:rsid w:val="00A2476A"/>
    <w:rsid w:val="00A27126"/>
    <w:rsid w:val="00A27E90"/>
    <w:rsid w:val="00A300C8"/>
    <w:rsid w:val="00A330C2"/>
    <w:rsid w:val="00A34881"/>
    <w:rsid w:val="00A35A4E"/>
    <w:rsid w:val="00A3730B"/>
    <w:rsid w:val="00A46F5B"/>
    <w:rsid w:val="00A51BDB"/>
    <w:rsid w:val="00A531BD"/>
    <w:rsid w:val="00A5485D"/>
    <w:rsid w:val="00A55A22"/>
    <w:rsid w:val="00A604B7"/>
    <w:rsid w:val="00A60CF5"/>
    <w:rsid w:val="00A61DF2"/>
    <w:rsid w:val="00A621F1"/>
    <w:rsid w:val="00A6312A"/>
    <w:rsid w:val="00A63FFE"/>
    <w:rsid w:val="00A67D09"/>
    <w:rsid w:val="00A72B51"/>
    <w:rsid w:val="00A74FC4"/>
    <w:rsid w:val="00A76EF1"/>
    <w:rsid w:val="00A85AA9"/>
    <w:rsid w:val="00A86659"/>
    <w:rsid w:val="00A87BD0"/>
    <w:rsid w:val="00A92FF9"/>
    <w:rsid w:val="00A96B14"/>
    <w:rsid w:val="00AA2C74"/>
    <w:rsid w:val="00AA4CEA"/>
    <w:rsid w:val="00AA6A90"/>
    <w:rsid w:val="00AB243E"/>
    <w:rsid w:val="00AB4226"/>
    <w:rsid w:val="00AB6653"/>
    <w:rsid w:val="00AC38E7"/>
    <w:rsid w:val="00AC4FBD"/>
    <w:rsid w:val="00AD2687"/>
    <w:rsid w:val="00AD317E"/>
    <w:rsid w:val="00AE0BC6"/>
    <w:rsid w:val="00AE5F6E"/>
    <w:rsid w:val="00AE7D4E"/>
    <w:rsid w:val="00AF444A"/>
    <w:rsid w:val="00B04AC0"/>
    <w:rsid w:val="00B04B66"/>
    <w:rsid w:val="00B10401"/>
    <w:rsid w:val="00B118E6"/>
    <w:rsid w:val="00B141B9"/>
    <w:rsid w:val="00B210B4"/>
    <w:rsid w:val="00B23C83"/>
    <w:rsid w:val="00B25E0E"/>
    <w:rsid w:val="00B31C94"/>
    <w:rsid w:val="00B32CA9"/>
    <w:rsid w:val="00B33373"/>
    <w:rsid w:val="00B36404"/>
    <w:rsid w:val="00B36758"/>
    <w:rsid w:val="00B40634"/>
    <w:rsid w:val="00B415A8"/>
    <w:rsid w:val="00B419B0"/>
    <w:rsid w:val="00B424CE"/>
    <w:rsid w:val="00B46B25"/>
    <w:rsid w:val="00B46EF7"/>
    <w:rsid w:val="00B4754E"/>
    <w:rsid w:val="00B5244C"/>
    <w:rsid w:val="00B527FB"/>
    <w:rsid w:val="00B561AF"/>
    <w:rsid w:val="00B626F8"/>
    <w:rsid w:val="00B649ED"/>
    <w:rsid w:val="00B65FEB"/>
    <w:rsid w:val="00B661D7"/>
    <w:rsid w:val="00B6726D"/>
    <w:rsid w:val="00B67F34"/>
    <w:rsid w:val="00B716FC"/>
    <w:rsid w:val="00B72967"/>
    <w:rsid w:val="00B72DFC"/>
    <w:rsid w:val="00B731C9"/>
    <w:rsid w:val="00B74F78"/>
    <w:rsid w:val="00B85613"/>
    <w:rsid w:val="00B86088"/>
    <w:rsid w:val="00B87668"/>
    <w:rsid w:val="00B91CD5"/>
    <w:rsid w:val="00B9328C"/>
    <w:rsid w:val="00B9483B"/>
    <w:rsid w:val="00B962B9"/>
    <w:rsid w:val="00B97507"/>
    <w:rsid w:val="00BA1174"/>
    <w:rsid w:val="00BA54D8"/>
    <w:rsid w:val="00BA5DBA"/>
    <w:rsid w:val="00BB23AC"/>
    <w:rsid w:val="00BB305D"/>
    <w:rsid w:val="00BB724B"/>
    <w:rsid w:val="00BB738A"/>
    <w:rsid w:val="00BB7982"/>
    <w:rsid w:val="00BC01AF"/>
    <w:rsid w:val="00BC14E6"/>
    <w:rsid w:val="00BD28DE"/>
    <w:rsid w:val="00BD37CB"/>
    <w:rsid w:val="00BD41EF"/>
    <w:rsid w:val="00BD45D4"/>
    <w:rsid w:val="00BD68C1"/>
    <w:rsid w:val="00BE101D"/>
    <w:rsid w:val="00BE2356"/>
    <w:rsid w:val="00BE4715"/>
    <w:rsid w:val="00BE54D3"/>
    <w:rsid w:val="00BE6C42"/>
    <w:rsid w:val="00BE7219"/>
    <w:rsid w:val="00BE7728"/>
    <w:rsid w:val="00BE7AF5"/>
    <w:rsid w:val="00BF388F"/>
    <w:rsid w:val="00BF4614"/>
    <w:rsid w:val="00BF5669"/>
    <w:rsid w:val="00BF711D"/>
    <w:rsid w:val="00BF766F"/>
    <w:rsid w:val="00C05963"/>
    <w:rsid w:val="00C06FB1"/>
    <w:rsid w:val="00C07E8C"/>
    <w:rsid w:val="00C1084B"/>
    <w:rsid w:val="00C171D1"/>
    <w:rsid w:val="00C24C67"/>
    <w:rsid w:val="00C32E4D"/>
    <w:rsid w:val="00C347DF"/>
    <w:rsid w:val="00C36925"/>
    <w:rsid w:val="00C377B6"/>
    <w:rsid w:val="00C37EA4"/>
    <w:rsid w:val="00C4013E"/>
    <w:rsid w:val="00C40560"/>
    <w:rsid w:val="00C434F2"/>
    <w:rsid w:val="00C434FA"/>
    <w:rsid w:val="00C43FC2"/>
    <w:rsid w:val="00C45932"/>
    <w:rsid w:val="00C4613B"/>
    <w:rsid w:val="00C468DE"/>
    <w:rsid w:val="00C46F44"/>
    <w:rsid w:val="00C4793B"/>
    <w:rsid w:val="00C558FB"/>
    <w:rsid w:val="00C57341"/>
    <w:rsid w:val="00C60F4D"/>
    <w:rsid w:val="00C61A0C"/>
    <w:rsid w:val="00C6339A"/>
    <w:rsid w:val="00C70461"/>
    <w:rsid w:val="00C70640"/>
    <w:rsid w:val="00C728A2"/>
    <w:rsid w:val="00C73342"/>
    <w:rsid w:val="00C738E2"/>
    <w:rsid w:val="00C76C7C"/>
    <w:rsid w:val="00C76FD3"/>
    <w:rsid w:val="00C772E4"/>
    <w:rsid w:val="00C80EDA"/>
    <w:rsid w:val="00C8147E"/>
    <w:rsid w:val="00C819F0"/>
    <w:rsid w:val="00C84CA8"/>
    <w:rsid w:val="00C86869"/>
    <w:rsid w:val="00C938D5"/>
    <w:rsid w:val="00CA1170"/>
    <w:rsid w:val="00CA4041"/>
    <w:rsid w:val="00CA40F5"/>
    <w:rsid w:val="00CA5549"/>
    <w:rsid w:val="00CA5B00"/>
    <w:rsid w:val="00CA6A66"/>
    <w:rsid w:val="00CA76DC"/>
    <w:rsid w:val="00CA7F0D"/>
    <w:rsid w:val="00CB19AC"/>
    <w:rsid w:val="00CB1A62"/>
    <w:rsid w:val="00CB4A68"/>
    <w:rsid w:val="00CB6FE0"/>
    <w:rsid w:val="00CB7492"/>
    <w:rsid w:val="00CC1A6F"/>
    <w:rsid w:val="00CC2148"/>
    <w:rsid w:val="00CC2438"/>
    <w:rsid w:val="00CC3896"/>
    <w:rsid w:val="00CC4B19"/>
    <w:rsid w:val="00CC5486"/>
    <w:rsid w:val="00CC6490"/>
    <w:rsid w:val="00CC6D4C"/>
    <w:rsid w:val="00CC70C4"/>
    <w:rsid w:val="00CD0518"/>
    <w:rsid w:val="00CD1EBB"/>
    <w:rsid w:val="00CD44CE"/>
    <w:rsid w:val="00CD6592"/>
    <w:rsid w:val="00CE43A6"/>
    <w:rsid w:val="00CE4CA2"/>
    <w:rsid w:val="00CE6352"/>
    <w:rsid w:val="00CE6A12"/>
    <w:rsid w:val="00CF162A"/>
    <w:rsid w:val="00CF1F2B"/>
    <w:rsid w:val="00CF317E"/>
    <w:rsid w:val="00CF365F"/>
    <w:rsid w:val="00CF4DCE"/>
    <w:rsid w:val="00CF59D8"/>
    <w:rsid w:val="00CF5E8C"/>
    <w:rsid w:val="00CF62B0"/>
    <w:rsid w:val="00D00B1F"/>
    <w:rsid w:val="00D0121C"/>
    <w:rsid w:val="00D02501"/>
    <w:rsid w:val="00D05FAE"/>
    <w:rsid w:val="00D0721B"/>
    <w:rsid w:val="00D16912"/>
    <w:rsid w:val="00D17049"/>
    <w:rsid w:val="00D2170B"/>
    <w:rsid w:val="00D26E11"/>
    <w:rsid w:val="00D305FF"/>
    <w:rsid w:val="00D309C9"/>
    <w:rsid w:val="00D31EE3"/>
    <w:rsid w:val="00D35435"/>
    <w:rsid w:val="00D358BB"/>
    <w:rsid w:val="00D41F2D"/>
    <w:rsid w:val="00D424EC"/>
    <w:rsid w:val="00D469AB"/>
    <w:rsid w:val="00D46C1F"/>
    <w:rsid w:val="00D525B8"/>
    <w:rsid w:val="00D536E9"/>
    <w:rsid w:val="00D558EE"/>
    <w:rsid w:val="00D6081F"/>
    <w:rsid w:val="00D633EB"/>
    <w:rsid w:val="00D6370F"/>
    <w:rsid w:val="00D6445F"/>
    <w:rsid w:val="00D72424"/>
    <w:rsid w:val="00D73527"/>
    <w:rsid w:val="00D752DE"/>
    <w:rsid w:val="00D807DA"/>
    <w:rsid w:val="00D83B31"/>
    <w:rsid w:val="00D8484B"/>
    <w:rsid w:val="00D85E04"/>
    <w:rsid w:val="00D878BD"/>
    <w:rsid w:val="00D92013"/>
    <w:rsid w:val="00D93322"/>
    <w:rsid w:val="00D945D4"/>
    <w:rsid w:val="00D963EE"/>
    <w:rsid w:val="00DA1283"/>
    <w:rsid w:val="00DA1D45"/>
    <w:rsid w:val="00DA4529"/>
    <w:rsid w:val="00DB1F83"/>
    <w:rsid w:val="00DB50AE"/>
    <w:rsid w:val="00DB747C"/>
    <w:rsid w:val="00DB7C8A"/>
    <w:rsid w:val="00DC4437"/>
    <w:rsid w:val="00DC5366"/>
    <w:rsid w:val="00DC7E2D"/>
    <w:rsid w:val="00DD6A8F"/>
    <w:rsid w:val="00DE2D3F"/>
    <w:rsid w:val="00DE2ED3"/>
    <w:rsid w:val="00DE6F34"/>
    <w:rsid w:val="00DF0B56"/>
    <w:rsid w:val="00DF15BF"/>
    <w:rsid w:val="00DF37FE"/>
    <w:rsid w:val="00DF4926"/>
    <w:rsid w:val="00DF5D91"/>
    <w:rsid w:val="00E05C3B"/>
    <w:rsid w:val="00E06A42"/>
    <w:rsid w:val="00E129D0"/>
    <w:rsid w:val="00E138EA"/>
    <w:rsid w:val="00E16C22"/>
    <w:rsid w:val="00E17F09"/>
    <w:rsid w:val="00E213C1"/>
    <w:rsid w:val="00E2665E"/>
    <w:rsid w:val="00E2702D"/>
    <w:rsid w:val="00E3032C"/>
    <w:rsid w:val="00E31C4E"/>
    <w:rsid w:val="00E34DFD"/>
    <w:rsid w:val="00E37033"/>
    <w:rsid w:val="00E40021"/>
    <w:rsid w:val="00E4018B"/>
    <w:rsid w:val="00E4372E"/>
    <w:rsid w:val="00E43ECF"/>
    <w:rsid w:val="00E453F7"/>
    <w:rsid w:val="00E4770E"/>
    <w:rsid w:val="00E4777E"/>
    <w:rsid w:val="00E5177C"/>
    <w:rsid w:val="00E51D9B"/>
    <w:rsid w:val="00E538EE"/>
    <w:rsid w:val="00E5423B"/>
    <w:rsid w:val="00E54302"/>
    <w:rsid w:val="00E549B6"/>
    <w:rsid w:val="00E55423"/>
    <w:rsid w:val="00E61540"/>
    <w:rsid w:val="00E61F22"/>
    <w:rsid w:val="00E624AF"/>
    <w:rsid w:val="00E652DA"/>
    <w:rsid w:val="00E7015E"/>
    <w:rsid w:val="00E70257"/>
    <w:rsid w:val="00E81E07"/>
    <w:rsid w:val="00E81FB6"/>
    <w:rsid w:val="00E8222F"/>
    <w:rsid w:val="00E85B51"/>
    <w:rsid w:val="00E8694B"/>
    <w:rsid w:val="00E9171A"/>
    <w:rsid w:val="00E93E65"/>
    <w:rsid w:val="00E9420D"/>
    <w:rsid w:val="00E96EE9"/>
    <w:rsid w:val="00E97B0C"/>
    <w:rsid w:val="00E97C13"/>
    <w:rsid w:val="00EA32CA"/>
    <w:rsid w:val="00EA41E1"/>
    <w:rsid w:val="00EA6BA1"/>
    <w:rsid w:val="00EA7035"/>
    <w:rsid w:val="00EB3088"/>
    <w:rsid w:val="00EB6C40"/>
    <w:rsid w:val="00EB7A09"/>
    <w:rsid w:val="00EC00B5"/>
    <w:rsid w:val="00EC3C08"/>
    <w:rsid w:val="00EC5305"/>
    <w:rsid w:val="00EC5762"/>
    <w:rsid w:val="00EC794B"/>
    <w:rsid w:val="00EC7A34"/>
    <w:rsid w:val="00ED0D6E"/>
    <w:rsid w:val="00ED142B"/>
    <w:rsid w:val="00ED2B1F"/>
    <w:rsid w:val="00ED5E94"/>
    <w:rsid w:val="00ED62A8"/>
    <w:rsid w:val="00ED6B63"/>
    <w:rsid w:val="00EE32EC"/>
    <w:rsid w:val="00EE47C6"/>
    <w:rsid w:val="00EE6B4A"/>
    <w:rsid w:val="00EF0C24"/>
    <w:rsid w:val="00EF0FE4"/>
    <w:rsid w:val="00EF1483"/>
    <w:rsid w:val="00EF210D"/>
    <w:rsid w:val="00EF3D2A"/>
    <w:rsid w:val="00EF3E63"/>
    <w:rsid w:val="00EF5AC4"/>
    <w:rsid w:val="00F02F15"/>
    <w:rsid w:val="00F03051"/>
    <w:rsid w:val="00F03123"/>
    <w:rsid w:val="00F0602D"/>
    <w:rsid w:val="00F13846"/>
    <w:rsid w:val="00F152DE"/>
    <w:rsid w:val="00F164B0"/>
    <w:rsid w:val="00F225AC"/>
    <w:rsid w:val="00F246CD"/>
    <w:rsid w:val="00F33E7E"/>
    <w:rsid w:val="00F34B23"/>
    <w:rsid w:val="00F34C13"/>
    <w:rsid w:val="00F34F42"/>
    <w:rsid w:val="00F3588C"/>
    <w:rsid w:val="00F36166"/>
    <w:rsid w:val="00F42934"/>
    <w:rsid w:val="00F43C5E"/>
    <w:rsid w:val="00F4761F"/>
    <w:rsid w:val="00F57C45"/>
    <w:rsid w:val="00F6067F"/>
    <w:rsid w:val="00F609A0"/>
    <w:rsid w:val="00F610D5"/>
    <w:rsid w:val="00F61F75"/>
    <w:rsid w:val="00F66E8D"/>
    <w:rsid w:val="00F66F21"/>
    <w:rsid w:val="00F7213C"/>
    <w:rsid w:val="00F765E0"/>
    <w:rsid w:val="00F8071F"/>
    <w:rsid w:val="00F81D7F"/>
    <w:rsid w:val="00F82E4C"/>
    <w:rsid w:val="00F84D35"/>
    <w:rsid w:val="00F8528B"/>
    <w:rsid w:val="00F85543"/>
    <w:rsid w:val="00F8575C"/>
    <w:rsid w:val="00F85F4B"/>
    <w:rsid w:val="00F8775F"/>
    <w:rsid w:val="00F91F47"/>
    <w:rsid w:val="00FA43B1"/>
    <w:rsid w:val="00FA4561"/>
    <w:rsid w:val="00FA469C"/>
    <w:rsid w:val="00FA483A"/>
    <w:rsid w:val="00FA5914"/>
    <w:rsid w:val="00FA5C13"/>
    <w:rsid w:val="00FA7630"/>
    <w:rsid w:val="00FB03A0"/>
    <w:rsid w:val="00FB0732"/>
    <w:rsid w:val="00FB0B24"/>
    <w:rsid w:val="00FB12F8"/>
    <w:rsid w:val="00FB472A"/>
    <w:rsid w:val="00FB7058"/>
    <w:rsid w:val="00FB7242"/>
    <w:rsid w:val="00FB7EBE"/>
    <w:rsid w:val="00FC0338"/>
    <w:rsid w:val="00FC528E"/>
    <w:rsid w:val="00FC582F"/>
    <w:rsid w:val="00FC6ECF"/>
    <w:rsid w:val="00FC7B3A"/>
    <w:rsid w:val="00FC7C7B"/>
    <w:rsid w:val="00FD2554"/>
    <w:rsid w:val="00FD77EA"/>
    <w:rsid w:val="00FE3764"/>
    <w:rsid w:val="00FE44C0"/>
    <w:rsid w:val="00FF0F47"/>
    <w:rsid w:val="00FF273A"/>
    <w:rsid w:val="00FF39B2"/>
    <w:rsid w:val="00FF5183"/>
    <w:rsid w:val="00FF5F4F"/>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F0ED13F"/>
  <w15:docId w15:val="{B9483FD8-34CA-4F58-BDB6-B7031212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A6"/>
    <w:pPr>
      <w:spacing w:after="200" w:line="276" w:lineRule="auto"/>
    </w:pPr>
  </w:style>
  <w:style w:type="paragraph" w:styleId="Ttulo1">
    <w:name w:val="heading 1"/>
    <w:aliases w:val="Título Verdana"/>
    <w:basedOn w:val="Normal"/>
    <w:next w:val="Normal"/>
    <w:link w:val="Ttulo1Car1"/>
    <w:autoRedefine/>
    <w:qFormat/>
    <w:rsid w:val="00CE43A6"/>
    <w:pPr>
      <w:keepNext/>
      <w:shd w:val="clear" w:color="auto" w:fill="FFFFFF"/>
      <w:spacing w:after="0" w:line="240" w:lineRule="auto"/>
      <w:jc w:val="both"/>
      <w:outlineLvl w:val="0"/>
    </w:pPr>
    <w:rPr>
      <w:rFonts w:ascii="Verdana" w:eastAsia="Batang" w:hAnsi="Verdana" w:cs="Times New Roman"/>
      <w:bCs/>
      <w:kern w:val="32"/>
      <w:sz w:val="16"/>
      <w:szCs w:val="16"/>
      <w:lang w:val="es-AR"/>
    </w:rPr>
  </w:style>
  <w:style w:type="paragraph" w:styleId="Ttulo2">
    <w:name w:val="heading 2"/>
    <w:basedOn w:val="Normal"/>
    <w:next w:val="Normal"/>
    <w:link w:val="Ttulo2Car"/>
    <w:uiPriority w:val="9"/>
    <w:unhideWhenUsed/>
    <w:qFormat/>
    <w:rsid w:val="00144E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CE43A6"/>
    <w:rPr>
      <w:rFonts w:asciiTheme="majorHAnsi" w:eastAsiaTheme="majorEastAsia" w:hAnsiTheme="majorHAnsi" w:cstheme="majorBidi"/>
      <w:color w:val="2E74B5" w:themeColor="accent1" w:themeShade="BF"/>
      <w:sz w:val="32"/>
      <w:szCs w:val="32"/>
    </w:rPr>
  </w:style>
  <w:style w:type="paragraph" w:styleId="Prrafodelista">
    <w:name w:val="List Paragraph"/>
    <w:aliases w:val="Footnote,Párrafo de lista1,Colorful List - Accent 11,Cuadrícula clara - Énfasis 31,List Paragraph1,List Paragraph2,Lista vistosa - Énfasis 11,Lista clara - Énfasis 51"/>
    <w:basedOn w:val="Normal"/>
    <w:link w:val="PrrafodelistaCar"/>
    <w:uiPriority w:val="34"/>
    <w:qFormat/>
    <w:rsid w:val="00CE43A6"/>
    <w:pPr>
      <w:ind w:left="720"/>
      <w:contextualSpacing/>
    </w:pPr>
  </w:style>
  <w:style w:type="paragraph" w:styleId="Textonotapie">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TextonotapieCar"/>
    <w:unhideWhenUsed/>
    <w:qFormat/>
    <w:rsid w:val="00CE43A6"/>
    <w:pPr>
      <w:spacing w:after="0" w:line="240" w:lineRule="auto"/>
    </w:pPr>
    <w:rPr>
      <w:sz w:val="20"/>
      <w:szCs w:val="20"/>
    </w:rPr>
  </w:style>
  <w:style w:type="character" w:customStyle="1" w:styleId="TextonotapieCar">
    <w:name w:val="Texto nota pie Car"/>
    <w:aliases w:val="FA Fu Car1,Footnote Text Char Char Char Char Char Car,Footnote Text Char Char Char Char Car,Footnote reference Car,Footnote Text Char Char Char Car,Footnote Text Cha Car,FA Fußnotentext Car,FA Fuﬂnotentext Car,FA Fu Car Car,Ca Car"/>
    <w:basedOn w:val="Fuentedeprrafopredeter"/>
    <w:link w:val="Textonotapie"/>
    <w:qFormat/>
    <w:rsid w:val="00CE43A6"/>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nhideWhenUsed/>
    <w:qFormat/>
    <w:rsid w:val="00CE43A6"/>
    <w:rPr>
      <w:vertAlign w:val="superscript"/>
    </w:rPr>
  </w:style>
  <w:style w:type="character" w:styleId="Hipervnculo">
    <w:name w:val="Hyperlink"/>
    <w:basedOn w:val="Fuentedeprrafopredeter"/>
    <w:uiPriority w:val="99"/>
    <w:unhideWhenUsed/>
    <w:rsid w:val="00CE43A6"/>
    <w:rPr>
      <w:color w:val="0563C1" w:themeColor="hyperlink"/>
      <w:u w:val="single"/>
    </w:rPr>
  </w:style>
  <w:style w:type="character" w:customStyle="1" w:styleId="PrrafodelistaCar">
    <w:name w:val="Párrafo de lista Car"/>
    <w:aliases w:val="Footnote Car,Párrafo de lista1 Car,Colorful List - Accent 11 Car,Cuadrícula clara - Énfasis 31 Car,List Paragraph1 Car,List Paragraph2 Car,Lista vistosa - Énfasis 11 Car,Lista clara - Énfasis 51 Car"/>
    <w:link w:val="Prrafodelista"/>
    <w:uiPriority w:val="34"/>
    <w:locked/>
    <w:rsid w:val="00CE43A6"/>
  </w:style>
  <w:style w:type="character" w:styleId="Textoennegrita">
    <w:name w:val="Strong"/>
    <w:basedOn w:val="Fuentedeprrafopredeter"/>
    <w:uiPriority w:val="22"/>
    <w:qFormat/>
    <w:rsid w:val="00CE43A6"/>
    <w:rPr>
      <w:b/>
      <w:bCs/>
    </w:rPr>
  </w:style>
  <w:style w:type="character" w:styleId="Refdecomentario">
    <w:name w:val="annotation reference"/>
    <w:basedOn w:val="Fuentedeprrafopredeter"/>
    <w:uiPriority w:val="99"/>
    <w:semiHidden/>
    <w:unhideWhenUsed/>
    <w:rsid w:val="00CE43A6"/>
    <w:rPr>
      <w:sz w:val="16"/>
      <w:szCs w:val="16"/>
    </w:rPr>
  </w:style>
  <w:style w:type="paragraph" w:styleId="Textocomentario">
    <w:name w:val="annotation text"/>
    <w:basedOn w:val="Normal"/>
    <w:link w:val="TextocomentarioCar"/>
    <w:uiPriority w:val="99"/>
    <w:semiHidden/>
    <w:unhideWhenUsed/>
    <w:rsid w:val="00CE43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3A6"/>
    <w:rPr>
      <w:sz w:val="20"/>
      <w:szCs w:val="20"/>
    </w:rPr>
  </w:style>
  <w:style w:type="paragraph" w:styleId="Asuntodelcomentario">
    <w:name w:val="annotation subject"/>
    <w:basedOn w:val="Textocomentario"/>
    <w:next w:val="Textocomentario"/>
    <w:link w:val="AsuntodelcomentarioCar"/>
    <w:uiPriority w:val="99"/>
    <w:semiHidden/>
    <w:unhideWhenUsed/>
    <w:rsid w:val="00CE43A6"/>
    <w:rPr>
      <w:b/>
      <w:bCs/>
    </w:rPr>
  </w:style>
  <w:style w:type="character" w:customStyle="1" w:styleId="AsuntodelcomentarioCar">
    <w:name w:val="Asunto del comentario Car"/>
    <w:basedOn w:val="TextocomentarioCar"/>
    <w:link w:val="Asuntodelcomentario"/>
    <w:uiPriority w:val="99"/>
    <w:semiHidden/>
    <w:rsid w:val="00CE43A6"/>
    <w:rPr>
      <w:b/>
      <w:bCs/>
      <w:sz w:val="20"/>
      <w:szCs w:val="20"/>
    </w:rPr>
  </w:style>
  <w:style w:type="paragraph" w:styleId="Textodeglobo">
    <w:name w:val="Balloon Text"/>
    <w:basedOn w:val="Normal"/>
    <w:link w:val="TextodegloboCar"/>
    <w:uiPriority w:val="99"/>
    <w:semiHidden/>
    <w:unhideWhenUsed/>
    <w:rsid w:val="00CE43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3A6"/>
    <w:rPr>
      <w:rFonts w:ascii="Tahoma" w:hAnsi="Tahoma" w:cs="Tahoma"/>
      <w:sz w:val="16"/>
      <w:szCs w:val="16"/>
    </w:rPr>
  </w:style>
  <w:style w:type="paragraph" w:customStyle="1" w:styleId="Default">
    <w:name w:val="Default"/>
    <w:rsid w:val="00CE43A6"/>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CE4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3A6"/>
  </w:style>
  <w:style w:type="paragraph" w:styleId="Piedepgina">
    <w:name w:val="footer"/>
    <w:basedOn w:val="Normal"/>
    <w:link w:val="PiedepginaCar"/>
    <w:uiPriority w:val="99"/>
    <w:unhideWhenUsed/>
    <w:rsid w:val="00CE4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3A6"/>
  </w:style>
  <w:style w:type="character" w:styleId="Nmerodelnea">
    <w:name w:val="line number"/>
    <w:basedOn w:val="Fuentedeprrafopredeter"/>
    <w:uiPriority w:val="99"/>
    <w:semiHidden/>
    <w:unhideWhenUsed/>
    <w:rsid w:val="00CE43A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CE43A6"/>
    <w:pPr>
      <w:spacing w:after="0" w:line="240" w:lineRule="auto"/>
      <w:jc w:val="both"/>
    </w:pPr>
    <w:rPr>
      <w:vertAlign w:val="superscript"/>
    </w:rPr>
  </w:style>
  <w:style w:type="character" w:styleId="Hipervnculovisitado">
    <w:name w:val="FollowedHyperlink"/>
    <w:basedOn w:val="Fuentedeprrafopredeter"/>
    <w:uiPriority w:val="99"/>
    <w:semiHidden/>
    <w:unhideWhenUsed/>
    <w:rsid w:val="00CE43A6"/>
    <w:rPr>
      <w:color w:val="954F72" w:themeColor="followedHyperlink"/>
      <w:u w:val="single"/>
    </w:rPr>
  </w:style>
  <w:style w:type="character" w:customStyle="1" w:styleId="apple-converted-space">
    <w:name w:val="apple-converted-space"/>
    <w:basedOn w:val="Fuentedeprrafopredeter"/>
    <w:rsid w:val="00CE43A6"/>
  </w:style>
  <w:style w:type="character" w:styleId="nfasis">
    <w:name w:val="Emphasis"/>
    <w:basedOn w:val="Fuentedeprrafopredeter"/>
    <w:uiPriority w:val="20"/>
    <w:qFormat/>
    <w:rsid w:val="00CE43A6"/>
    <w:rPr>
      <w:i/>
      <w:iCs/>
    </w:rPr>
  </w:style>
  <w:style w:type="character" w:customStyle="1" w:styleId="Ttulo1Car1">
    <w:name w:val="Título 1 Car1"/>
    <w:aliases w:val="Título Verdana Car"/>
    <w:basedOn w:val="Fuentedeprrafopredeter"/>
    <w:link w:val="Ttulo1"/>
    <w:rsid w:val="00CE43A6"/>
    <w:rPr>
      <w:rFonts w:ascii="Verdana" w:eastAsia="Batang" w:hAnsi="Verdana" w:cs="Times New Roman"/>
      <w:bCs/>
      <w:kern w:val="32"/>
      <w:sz w:val="16"/>
      <w:szCs w:val="16"/>
      <w:shd w:val="clear" w:color="auto" w:fill="FFFFFF"/>
      <w:lang w:val="es-AR"/>
    </w:rPr>
  </w:style>
  <w:style w:type="paragraph" w:styleId="Textonotaalfinal">
    <w:name w:val="endnote text"/>
    <w:basedOn w:val="Normal"/>
    <w:link w:val="TextonotaalfinalCar"/>
    <w:uiPriority w:val="99"/>
    <w:semiHidden/>
    <w:unhideWhenUsed/>
    <w:rsid w:val="00CE43A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E43A6"/>
    <w:rPr>
      <w:sz w:val="20"/>
      <w:szCs w:val="20"/>
    </w:rPr>
  </w:style>
  <w:style w:type="character" w:styleId="Refdenotaalfinal">
    <w:name w:val="endnote reference"/>
    <w:basedOn w:val="Fuentedeprrafopredeter"/>
    <w:uiPriority w:val="99"/>
    <w:semiHidden/>
    <w:unhideWhenUsed/>
    <w:rsid w:val="00CE43A6"/>
    <w:rPr>
      <w:vertAlign w:val="superscript"/>
    </w:rPr>
  </w:style>
  <w:style w:type="character" w:styleId="nfasisintenso">
    <w:name w:val="Intense Emphasis"/>
    <w:basedOn w:val="Fuentedeprrafopredeter"/>
    <w:uiPriority w:val="21"/>
    <w:qFormat/>
    <w:rsid w:val="00151A88"/>
    <w:rPr>
      <w:i/>
      <w:iCs/>
      <w:color w:val="5B9BD5" w:themeColor="accent1"/>
    </w:rPr>
  </w:style>
  <w:style w:type="character" w:styleId="Textodelmarcadordeposicin">
    <w:name w:val="Placeholder Text"/>
    <w:basedOn w:val="Fuentedeprrafopredeter"/>
    <w:uiPriority w:val="99"/>
    <w:semiHidden/>
    <w:rsid w:val="004B6197"/>
    <w:rPr>
      <w:color w:val="808080"/>
    </w:rPr>
  </w:style>
  <w:style w:type="character" w:customStyle="1" w:styleId="eacep">
    <w:name w:val="eacep"/>
    <w:basedOn w:val="Fuentedeprrafopredeter"/>
    <w:rsid w:val="00E5423B"/>
  </w:style>
  <w:style w:type="paragraph" w:styleId="NormalWeb">
    <w:name w:val="Normal (Web)"/>
    <w:basedOn w:val="Normal"/>
    <w:uiPriority w:val="99"/>
    <w:semiHidden/>
    <w:unhideWhenUsed/>
    <w:rsid w:val="00A61D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rsid w:val="005E663D"/>
    <w:pPr>
      <w:spacing w:after="100"/>
    </w:pPr>
  </w:style>
  <w:style w:type="character" w:customStyle="1" w:styleId="Ttulo2Car">
    <w:name w:val="Título 2 Car"/>
    <w:basedOn w:val="Fuentedeprrafopredeter"/>
    <w:link w:val="Ttulo2"/>
    <w:uiPriority w:val="9"/>
    <w:rsid w:val="00144E13"/>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8E4744"/>
    <w:pPr>
      <w:spacing w:after="100"/>
      <w:ind w:left="220"/>
    </w:pPr>
  </w:style>
  <w:style w:type="table" w:styleId="Listaclara-nfasis2">
    <w:name w:val="Light List Accent 2"/>
    <w:basedOn w:val="Tablanormal"/>
    <w:uiPriority w:val="61"/>
    <w:rsid w:val="007E09B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44810">
      <w:bodyDiv w:val="1"/>
      <w:marLeft w:val="0"/>
      <w:marRight w:val="0"/>
      <w:marTop w:val="0"/>
      <w:marBottom w:val="0"/>
      <w:divBdr>
        <w:top w:val="none" w:sz="0" w:space="0" w:color="auto"/>
        <w:left w:val="none" w:sz="0" w:space="0" w:color="auto"/>
        <w:bottom w:val="none" w:sz="0" w:space="0" w:color="auto"/>
        <w:right w:val="none" w:sz="0" w:space="0" w:color="auto"/>
      </w:divBdr>
    </w:div>
    <w:div w:id="1858502480">
      <w:bodyDiv w:val="1"/>
      <w:marLeft w:val="0"/>
      <w:marRight w:val="0"/>
      <w:marTop w:val="0"/>
      <w:marBottom w:val="0"/>
      <w:divBdr>
        <w:top w:val="none" w:sz="0" w:space="0" w:color="auto"/>
        <w:left w:val="none" w:sz="0" w:space="0" w:color="auto"/>
        <w:bottom w:val="none" w:sz="0" w:space="0" w:color="auto"/>
        <w:right w:val="none" w:sz="0" w:space="0" w:color="auto"/>
      </w:divBdr>
    </w:div>
    <w:div w:id="21410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erechoshumanos.gov.co/Prensa/2017/Documents/170302-Caso%20Yarce-otras-Colombia.pdf" TargetMode="External"/><Relationship Id="rId2" Type="http://schemas.openxmlformats.org/officeDocument/2006/relationships/hyperlink" Target="http://www.corteidh.or.cr/docs/casos/articulos/seriec_343_esp.pdf" TargetMode="External"/><Relationship Id="rId1" Type="http://schemas.openxmlformats.org/officeDocument/2006/relationships/hyperlink" Target="http://www.corteidh.or.cr/docs/casos/articulos/seriec_325_esp.pdf" TargetMode="External"/><Relationship Id="rId4" Type="http://schemas.openxmlformats.org/officeDocument/2006/relationships/hyperlink" Target="https://www.cancilleria.gov.co/fallos-la-corte-interamericana-derechos-hum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2782-D6C3-48F4-8BC3-924ADF69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9408</Words>
  <Characters>51744</Characters>
  <Application>Microsoft Office Word</Application>
  <DocSecurity>0</DocSecurity>
  <Lines>431</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Magda Ramirez</cp:lastModifiedBy>
  <cp:revision>3</cp:revision>
  <cp:lastPrinted>2019-12-18T18:41:00Z</cp:lastPrinted>
  <dcterms:created xsi:type="dcterms:W3CDTF">2019-12-18T18:40:00Z</dcterms:created>
  <dcterms:modified xsi:type="dcterms:W3CDTF">2019-12-18T18:42:00Z</dcterms:modified>
</cp:coreProperties>
</file>