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CA1CA" w14:textId="77777777" w:rsidR="000A4A5D" w:rsidRDefault="000A4A5D" w:rsidP="00594052">
      <w:pPr>
        <w:jc w:val="center"/>
        <w:rPr>
          <w:rFonts w:ascii="Verdana" w:hAnsi="Verdana"/>
          <w:b/>
          <w:sz w:val="20"/>
          <w:lang w:val="es-MX"/>
        </w:rPr>
      </w:pPr>
      <w:bookmarkStart w:id="0" w:name="_GoBack"/>
      <w:bookmarkEnd w:id="0"/>
    </w:p>
    <w:p w14:paraId="700E5B6B" w14:textId="77777777" w:rsidR="000A4A5D" w:rsidRDefault="000A4A5D" w:rsidP="00594052">
      <w:pPr>
        <w:jc w:val="center"/>
        <w:rPr>
          <w:rFonts w:ascii="Verdana" w:hAnsi="Verdana"/>
          <w:b/>
          <w:sz w:val="20"/>
          <w:lang w:val="es-MX"/>
        </w:rPr>
      </w:pPr>
    </w:p>
    <w:p w14:paraId="3C5E7F5D" w14:textId="77777777" w:rsidR="000A4A5D" w:rsidRDefault="000A4A5D" w:rsidP="00594052">
      <w:pPr>
        <w:jc w:val="center"/>
        <w:rPr>
          <w:rFonts w:ascii="Verdana" w:hAnsi="Verdana"/>
          <w:b/>
          <w:sz w:val="20"/>
          <w:lang w:val="es-MX"/>
        </w:rPr>
      </w:pPr>
    </w:p>
    <w:p w14:paraId="4CE99A42" w14:textId="77777777" w:rsidR="000A4A5D" w:rsidRDefault="000A4A5D" w:rsidP="00594052">
      <w:pPr>
        <w:jc w:val="center"/>
        <w:rPr>
          <w:rFonts w:ascii="Verdana" w:hAnsi="Verdana"/>
          <w:b/>
          <w:sz w:val="20"/>
          <w:lang w:val="es-MX"/>
        </w:rPr>
      </w:pPr>
    </w:p>
    <w:p w14:paraId="6A933177" w14:textId="77777777" w:rsidR="000A4A5D" w:rsidRDefault="000A4A5D" w:rsidP="00594052">
      <w:pPr>
        <w:jc w:val="center"/>
        <w:rPr>
          <w:rFonts w:ascii="Verdana" w:hAnsi="Verdana"/>
          <w:b/>
          <w:sz w:val="20"/>
          <w:lang w:val="es-MX"/>
        </w:rPr>
      </w:pPr>
    </w:p>
    <w:p w14:paraId="195FF85E" w14:textId="77777777" w:rsidR="000A4A5D" w:rsidRDefault="000A4A5D" w:rsidP="00594052">
      <w:pPr>
        <w:jc w:val="center"/>
        <w:rPr>
          <w:rFonts w:ascii="Verdana" w:hAnsi="Verdana"/>
          <w:b/>
          <w:sz w:val="20"/>
          <w:lang w:val="es-MX"/>
        </w:rPr>
      </w:pPr>
    </w:p>
    <w:p w14:paraId="66868825" w14:textId="77777777" w:rsidR="000A4A5D" w:rsidRDefault="000A4A5D" w:rsidP="00594052">
      <w:pPr>
        <w:jc w:val="center"/>
        <w:rPr>
          <w:rFonts w:ascii="Verdana" w:hAnsi="Verdana"/>
          <w:b/>
          <w:sz w:val="20"/>
          <w:lang w:val="es-MX"/>
        </w:rPr>
      </w:pPr>
    </w:p>
    <w:p w14:paraId="04C37FBF" w14:textId="77777777" w:rsidR="00594052" w:rsidRPr="0082778F" w:rsidRDefault="00594052" w:rsidP="00594052">
      <w:pPr>
        <w:jc w:val="center"/>
        <w:rPr>
          <w:rFonts w:ascii="Verdana" w:hAnsi="Verdana"/>
          <w:b/>
          <w:sz w:val="20"/>
          <w:lang w:val="es-MX"/>
        </w:rPr>
      </w:pPr>
      <w:r w:rsidRPr="0082778F">
        <w:rPr>
          <w:rFonts w:ascii="Verdana" w:hAnsi="Verdana"/>
          <w:b/>
          <w:sz w:val="20"/>
          <w:lang w:val="es-MX"/>
        </w:rPr>
        <w:t xml:space="preserve">RESOLUCIÓN DE LA </w:t>
      </w:r>
    </w:p>
    <w:p w14:paraId="5B088871" w14:textId="77777777" w:rsidR="00594052" w:rsidRDefault="00594052" w:rsidP="00902547">
      <w:pPr>
        <w:jc w:val="center"/>
        <w:rPr>
          <w:rFonts w:ascii="Verdana" w:hAnsi="Verdana"/>
          <w:b/>
          <w:sz w:val="20"/>
          <w:lang w:val="es-MX"/>
        </w:rPr>
      </w:pPr>
      <w:r w:rsidRPr="0082778F">
        <w:rPr>
          <w:rFonts w:ascii="Verdana" w:hAnsi="Verdana"/>
          <w:b/>
          <w:sz w:val="20"/>
          <w:lang w:val="es-MX"/>
        </w:rPr>
        <w:t>CORTE INTERAMERICANA DE DERECHOS HUMANOS</w:t>
      </w:r>
    </w:p>
    <w:p w14:paraId="716750E2" w14:textId="77777777" w:rsidR="001F27DB" w:rsidRDefault="001F27DB" w:rsidP="00902547">
      <w:pPr>
        <w:jc w:val="center"/>
        <w:rPr>
          <w:b/>
        </w:rPr>
      </w:pPr>
    </w:p>
    <w:p w14:paraId="1D5591FC" w14:textId="77777777" w:rsidR="000A4A5D" w:rsidRPr="00902547" w:rsidRDefault="000A4A5D" w:rsidP="00902547">
      <w:pPr>
        <w:jc w:val="center"/>
        <w:rPr>
          <w:b/>
        </w:rPr>
      </w:pPr>
    </w:p>
    <w:p w14:paraId="2396D548" w14:textId="287A247F" w:rsidR="00594052" w:rsidRPr="0082778F" w:rsidRDefault="00594052" w:rsidP="00594052">
      <w:pPr>
        <w:jc w:val="center"/>
        <w:rPr>
          <w:rFonts w:ascii="Verdana" w:hAnsi="Verdana"/>
          <w:b/>
          <w:sz w:val="20"/>
          <w:lang w:val="es-MX"/>
        </w:rPr>
      </w:pPr>
      <w:r w:rsidRPr="0082778F">
        <w:rPr>
          <w:rFonts w:ascii="Verdana" w:hAnsi="Verdana"/>
          <w:b/>
          <w:sz w:val="20"/>
          <w:lang w:val="es-MX"/>
        </w:rPr>
        <w:t xml:space="preserve">DE </w:t>
      </w:r>
      <w:r w:rsidR="00901DED">
        <w:rPr>
          <w:rFonts w:ascii="Verdana" w:hAnsi="Verdana"/>
          <w:b/>
          <w:sz w:val="20"/>
          <w:lang w:val="es-MX"/>
        </w:rPr>
        <w:t>20</w:t>
      </w:r>
      <w:r w:rsidRPr="0082778F">
        <w:rPr>
          <w:rFonts w:ascii="Verdana" w:hAnsi="Verdana"/>
          <w:b/>
          <w:sz w:val="20"/>
          <w:lang w:val="es-MX"/>
        </w:rPr>
        <w:t xml:space="preserve"> DE NOVIEMBRE DE 2015</w:t>
      </w:r>
    </w:p>
    <w:p w14:paraId="279BF682" w14:textId="77777777" w:rsidR="001F27DB" w:rsidRPr="0082778F" w:rsidRDefault="001F27DB" w:rsidP="00594052">
      <w:pPr>
        <w:rPr>
          <w:rFonts w:ascii="Verdana" w:hAnsi="Verdana"/>
          <w:b/>
          <w:sz w:val="20"/>
          <w:lang w:val="es-MX"/>
        </w:rPr>
      </w:pPr>
    </w:p>
    <w:p w14:paraId="254C994B" w14:textId="33C11C14" w:rsidR="00594052" w:rsidRPr="001F27DB" w:rsidRDefault="00594052" w:rsidP="001F27DB">
      <w:pPr>
        <w:jc w:val="center"/>
        <w:rPr>
          <w:rFonts w:ascii="Verdana" w:hAnsi="Verdana"/>
          <w:b/>
          <w:sz w:val="20"/>
          <w:lang w:val="es-MX"/>
        </w:rPr>
      </w:pPr>
      <w:r w:rsidRPr="0082778F">
        <w:rPr>
          <w:rFonts w:ascii="Verdana" w:hAnsi="Verdana"/>
          <w:b/>
          <w:sz w:val="20"/>
          <w:lang w:val="es-MX"/>
        </w:rPr>
        <w:t>CASO YVON NEPTUNE VS</w:t>
      </w:r>
      <w:r w:rsidR="004C2366">
        <w:rPr>
          <w:rFonts w:ascii="Verdana" w:hAnsi="Verdana"/>
          <w:b/>
          <w:sz w:val="20"/>
          <w:lang w:val="es-MX"/>
        </w:rPr>
        <w:t>.</w:t>
      </w:r>
      <w:r w:rsidRPr="0082778F">
        <w:rPr>
          <w:rFonts w:ascii="Verdana" w:hAnsi="Verdana"/>
          <w:b/>
          <w:sz w:val="20"/>
          <w:lang w:val="es-MX"/>
        </w:rPr>
        <w:t xml:space="preserve"> HAITÍ</w:t>
      </w:r>
      <w:r w:rsidRPr="0082778F">
        <w:rPr>
          <w:rFonts w:ascii="Verdana" w:hAnsi="Verdana"/>
          <w:i/>
          <w:sz w:val="20"/>
          <w:lang w:val="es-CR"/>
        </w:rPr>
        <w:t xml:space="preserve">  </w:t>
      </w:r>
    </w:p>
    <w:p w14:paraId="06A19157" w14:textId="77777777" w:rsidR="00902547" w:rsidRPr="0082778F" w:rsidRDefault="00902547" w:rsidP="00594052">
      <w:pPr>
        <w:jc w:val="center"/>
        <w:rPr>
          <w:rFonts w:ascii="Verdana" w:hAnsi="Verdana"/>
          <w:b/>
          <w:sz w:val="20"/>
          <w:lang w:val="es-MX"/>
        </w:rPr>
      </w:pPr>
    </w:p>
    <w:p w14:paraId="7F5167D4" w14:textId="052509F3" w:rsidR="00594052" w:rsidRPr="0082778F" w:rsidRDefault="00901DED" w:rsidP="00594052">
      <w:pPr>
        <w:jc w:val="center"/>
        <w:rPr>
          <w:rFonts w:ascii="Verdana" w:hAnsi="Verdana"/>
          <w:b/>
          <w:sz w:val="20"/>
          <w:lang w:val="es-MX"/>
        </w:rPr>
      </w:pPr>
      <w:r>
        <w:rPr>
          <w:rFonts w:ascii="Verdana" w:hAnsi="Verdana"/>
          <w:b/>
          <w:sz w:val="20"/>
          <w:lang w:val="es-MX"/>
        </w:rPr>
        <w:t>SUPERVISIÓN DE CUMPLIMIENTO DE SENTENCIA</w:t>
      </w:r>
    </w:p>
    <w:p w14:paraId="71093D2E" w14:textId="77777777" w:rsidR="00594052" w:rsidRDefault="00594052" w:rsidP="00594052">
      <w:pPr>
        <w:jc w:val="both"/>
        <w:rPr>
          <w:rFonts w:ascii="Verdana" w:hAnsi="Verdana"/>
          <w:b/>
          <w:sz w:val="20"/>
          <w:szCs w:val="22"/>
          <w:lang w:val="es-MX"/>
        </w:rPr>
      </w:pPr>
    </w:p>
    <w:p w14:paraId="49232CAE" w14:textId="77777777" w:rsidR="000A4A5D" w:rsidRDefault="000A4A5D" w:rsidP="00594052">
      <w:pPr>
        <w:jc w:val="both"/>
        <w:rPr>
          <w:rFonts w:ascii="Verdana" w:hAnsi="Verdana"/>
          <w:b/>
          <w:sz w:val="20"/>
          <w:szCs w:val="22"/>
          <w:lang w:val="es-MX"/>
        </w:rPr>
      </w:pPr>
    </w:p>
    <w:p w14:paraId="187FEB79" w14:textId="77777777" w:rsidR="000A4A5D" w:rsidRDefault="000A4A5D" w:rsidP="00594052">
      <w:pPr>
        <w:jc w:val="both"/>
        <w:rPr>
          <w:rFonts w:ascii="Verdana" w:hAnsi="Verdana"/>
          <w:b/>
          <w:sz w:val="20"/>
          <w:szCs w:val="22"/>
          <w:lang w:val="es-MX"/>
        </w:rPr>
      </w:pPr>
    </w:p>
    <w:p w14:paraId="3D164ED5" w14:textId="77777777" w:rsidR="000A4A5D" w:rsidRPr="0082778F" w:rsidRDefault="000A4A5D" w:rsidP="00594052">
      <w:pPr>
        <w:jc w:val="both"/>
        <w:rPr>
          <w:rFonts w:ascii="Verdana" w:hAnsi="Verdana"/>
          <w:b/>
          <w:sz w:val="20"/>
          <w:szCs w:val="22"/>
          <w:lang w:val="es-MX"/>
        </w:rPr>
      </w:pPr>
    </w:p>
    <w:p w14:paraId="0A7CEFA5" w14:textId="77777777" w:rsidR="00594052" w:rsidRPr="0082778F" w:rsidRDefault="00594052" w:rsidP="00594052">
      <w:pPr>
        <w:jc w:val="both"/>
        <w:rPr>
          <w:rFonts w:ascii="Verdana" w:hAnsi="Verdana"/>
          <w:b/>
          <w:sz w:val="20"/>
          <w:szCs w:val="22"/>
          <w:lang w:val="es-MX"/>
        </w:rPr>
      </w:pPr>
    </w:p>
    <w:p w14:paraId="76025000" w14:textId="77777777" w:rsidR="00594052" w:rsidRPr="0082778F" w:rsidRDefault="00594052" w:rsidP="00594052">
      <w:pPr>
        <w:jc w:val="both"/>
        <w:rPr>
          <w:rFonts w:ascii="Verdana" w:hAnsi="Verdana"/>
          <w:b/>
          <w:sz w:val="20"/>
          <w:lang w:val="es-MX"/>
        </w:rPr>
      </w:pPr>
      <w:r w:rsidRPr="0082778F">
        <w:rPr>
          <w:rFonts w:ascii="Verdana" w:hAnsi="Verdana"/>
          <w:b/>
          <w:sz w:val="20"/>
          <w:lang w:val="es-MX"/>
        </w:rPr>
        <w:t>VISTO:</w:t>
      </w:r>
    </w:p>
    <w:p w14:paraId="51C3FFA4" w14:textId="77777777" w:rsidR="00594052" w:rsidRPr="0082778F" w:rsidRDefault="00594052" w:rsidP="00594052">
      <w:pPr>
        <w:jc w:val="both"/>
        <w:rPr>
          <w:rFonts w:ascii="Verdana" w:hAnsi="Verdana"/>
          <w:b/>
          <w:sz w:val="20"/>
          <w:lang w:val="es-MX"/>
        </w:rPr>
      </w:pPr>
    </w:p>
    <w:p w14:paraId="6733294B" w14:textId="77777777" w:rsidR="00594052" w:rsidRPr="0082778F" w:rsidRDefault="00594052" w:rsidP="00594052">
      <w:pPr>
        <w:jc w:val="both"/>
        <w:rPr>
          <w:rFonts w:ascii="Verdana" w:hAnsi="Verdana"/>
          <w:b/>
          <w:sz w:val="20"/>
          <w:lang w:val="es-MX"/>
        </w:rPr>
      </w:pPr>
    </w:p>
    <w:p w14:paraId="30C3FF9C" w14:textId="1461797E" w:rsidR="00594052" w:rsidRPr="0076390D" w:rsidRDefault="00594052" w:rsidP="008A7943">
      <w:pPr>
        <w:numPr>
          <w:ilvl w:val="0"/>
          <w:numId w:val="2"/>
        </w:numPr>
        <w:ind w:left="0" w:firstLine="0"/>
        <w:jc w:val="both"/>
        <w:rPr>
          <w:rFonts w:ascii="Verdana" w:hAnsi="Verdana"/>
          <w:sz w:val="20"/>
          <w:lang w:val="es-VE"/>
        </w:rPr>
      </w:pPr>
      <w:bookmarkStart w:id="1" w:name="_Ref437273668"/>
      <w:r w:rsidRPr="0076390D">
        <w:rPr>
          <w:rFonts w:ascii="Verdana" w:hAnsi="Verdana"/>
          <w:sz w:val="20"/>
          <w:lang w:val="es-MX"/>
        </w:rPr>
        <w:t xml:space="preserve">La Sentencia de fondo, reparaciones y costas (en adelante “la Sentencia”) dictada por la Corte Interamericana de Derechos Humanos (en adelante “la Corte”, “la Corte Interamericana” o “el Tribunal”) el 6 de mayo de 2008 </w:t>
      </w:r>
      <w:r w:rsidR="0021614D" w:rsidRPr="0076390D">
        <w:rPr>
          <w:rFonts w:ascii="Verdana" w:hAnsi="Verdana"/>
          <w:sz w:val="20"/>
          <w:lang w:val="es-MX"/>
        </w:rPr>
        <w:t>con relación al</w:t>
      </w:r>
      <w:r w:rsidRPr="0076390D">
        <w:rPr>
          <w:rFonts w:ascii="Verdana" w:hAnsi="Verdana"/>
          <w:sz w:val="20"/>
          <w:lang w:val="es-MX"/>
        </w:rPr>
        <w:t xml:space="preserve"> caso </w:t>
      </w:r>
      <w:r w:rsidRPr="0076390D">
        <w:rPr>
          <w:rFonts w:ascii="Verdana" w:hAnsi="Verdana"/>
          <w:i/>
          <w:sz w:val="20"/>
          <w:lang w:val="es-MX"/>
        </w:rPr>
        <w:t>Yvon Neptune</w:t>
      </w:r>
      <w:r w:rsidRPr="0076390D">
        <w:rPr>
          <w:rStyle w:val="FootnoteReference"/>
          <w:rFonts w:ascii="Verdana" w:hAnsi="Verdana"/>
          <w:sz w:val="20"/>
          <w:lang w:val="es-MX"/>
        </w:rPr>
        <w:footnoteReference w:id="1"/>
      </w:r>
      <w:r w:rsidRPr="0076390D">
        <w:rPr>
          <w:rFonts w:ascii="Verdana" w:hAnsi="Verdana"/>
          <w:sz w:val="20"/>
          <w:lang w:val="es-MX"/>
        </w:rPr>
        <w:t xml:space="preserve">. </w:t>
      </w:r>
      <w:r w:rsidR="0076390D" w:rsidRPr="0076390D">
        <w:rPr>
          <w:rFonts w:ascii="Verdana" w:hAnsi="Verdana"/>
          <w:sz w:val="20"/>
          <w:lang w:val="es-MX"/>
        </w:rPr>
        <w:t>L</w:t>
      </w:r>
      <w:r w:rsidR="008A7943" w:rsidRPr="0076390D">
        <w:rPr>
          <w:rFonts w:ascii="Verdana" w:hAnsi="Verdana"/>
          <w:sz w:val="20"/>
          <w:lang w:val="es-MX"/>
        </w:rPr>
        <w:t xml:space="preserve">a Corte </w:t>
      </w:r>
      <w:r w:rsidR="008A7943" w:rsidRPr="0076390D">
        <w:rPr>
          <w:rFonts w:ascii="Verdana" w:hAnsi="Verdana"/>
          <w:sz w:val="20"/>
        </w:rPr>
        <w:t xml:space="preserve">declaró responsable </w:t>
      </w:r>
      <w:r w:rsidR="008A7943" w:rsidRPr="0076390D">
        <w:rPr>
          <w:rFonts w:ascii="Verdana" w:hAnsi="Verdana"/>
          <w:bCs/>
          <w:sz w:val="20"/>
          <w:lang w:val="es-MX"/>
        </w:rPr>
        <w:t>internacionalmente</w:t>
      </w:r>
      <w:r w:rsidR="008A7943" w:rsidRPr="0076390D">
        <w:rPr>
          <w:rFonts w:ascii="Verdana" w:hAnsi="Verdana"/>
          <w:sz w:val="20"/>
        </w:rPr>
        <w:t xml:space="preserve"> a la República de Haití (en adelante “el Estado” o “Haití”)</w:t>
      </w:r>
      <w:r w:rsidR="000A5B73" w:rsidRPr="0076390D">
        <w:rPr>
          <w:rFonts w:ascii="Verdana" w:hAnsi="Verdana"/>
          <w:sz w:val="20"/>
        </w:rPr>
        <w:t>,</w:t>
      </w:r>
      <w:r w:rsidR="008A7943" w:rsidRPr="0076390D">
        <w:rPr>
          <w:rFonts w:ascii="Verdana" w:hAnsi="Verdana"/>
          <w:sz w:val="20"/>
        </w:rPr>
        <w:t xml:space="preserve"> </w:t>
      </w:r>
      <w:r w:rsidR="008A7943" w:rsidRPr="0076390D">
        <w:rPr>
          <w:rFonts w:ascii="Verdana" w:hAnsi="Verdana"/>
          <w:i/>
          <w:sz w:val="20"/>
        </w:rPr>
        <w:t>inter alia</w:t>
      </w:r>
      <w:r w:rsidR="000A5B73" w:rsidRPr="0076390D">
        <w:rPr>
          <w:rFonts w:ascii="Verdana" w:hAnsi="Verdana"/>
          <w:sz w:val="20"/>
        </w:rPr>
        <w:t>,</w:t>
      </w:r>
      <w:r w:rsidR="008A7943" w:rsidRPr="0076390D">
        <w:rPr>
          <w:rFonts w:ascii="Verdana" w:hAnsi="Verdana"/>
          <w:i/>
          <w:sz w:val="20"/>
        </w:rPr>
        <w:t xml:space="preserve"> </w:t>
      </w:r>
      <w:r w:rsidR="008A7943" w:rsidRPr="0076390D">
        <w:rPr>
          <w:rFonts w:ascii="Verdana" w:hAnsi="Verdana"/>
          <w:sz w:val="20"/>
        </w:rPr>
        <w:t xml:space="preserve">por </w:t>
      </w:r>
      <w:r w:rsidR="00E113C6" w:rsidRPr="0076390D">
        <w:rPr>
          <w:rFonts w:ascii="Verdana" w:hAnsi="Verdana"/>
          <w:sz w:val="20"/>
        </w:rPr>
        <w:t xml:space="preserve">las violaciones </w:t>
      </w:r>
      <w:r w:rsidR="00370C76" w:rsidRPr="0076390D">
        <w:rPr>
          <w:rFonts w:ascii="Verdana" w:hAnsi="Verdana"/>
          <w:sz w:val="20"/>
        </w:rPr>
        <w:t xml:space="preserve">a los derechos a la libertad personal, integridad </w:t>
      </w:r>
      <w:r w:rsidR="00B8365B">
        <w:rPr>
          <w:rFonts w:ascii="Verdana" w:hAnsi="Verdana"/>
          <w:sz w:val="20"/>
        </w:rPr>
        <w:t>personal,a las</w:t>
      </w:r>
      <w:r w:rsidR="00370C76" w:rsidRPr="0076390D">
        <w:rPr>
          <w:rFonts w:ascii="Verdana" w:hAnsi="Verdana"/>
          <w:sz w:val="20"/>
        </w:rPr>
        <w:t xml:space="preserve"> garantías judiciales </w:t>
      </w:r>
      <w:r w:rsidR="00B8365B">
        <w:rPr>
          <w:rFonts w:ascii="Verdana" w:hAnsi="Verdana"/>
          <w:sz w:val="20"/>
        </w:rPr>
        <w:t xml:space="preserve">y a la protección judicial </w:t>
      </w:r>
      <w:r w:rsidR="00E113C6" w:rsidRPr="0076390D">
        <w:rPr>
          <w:rFonts w:ascii="Verdana" w:hAnsi="Verdana"/>
          <w:sz w:val="20"/>
        </w:rPr>
        <w:t>cometidas en el 2004</w:t>
      </w:r>
      <w:r w:rsidR="00B8365B">
        <w:rPr>
          <w:rFonts w:ascii="Verdana" w:hAnsi="Verdana"/>
          <w:sz w:val="20"/>
        </w:rPr>
        <w:t>,</w:t>
      </w:r>
      <w:r w:rsidR="00E113C6" w:rsidRPr="0076390D">
        <w:rPr>
          <w:rFonts w:ascii="Verdana" w:hAnsi="Verdana"/>
          <w:sz w:val="20"/>
        </w:rPr>
        <w:t xml:space="preserve"> en perjuicio del señor Yvon Neptune</w:t>
      </w:r>
      <w:r w:rsidR="00901DED" w:rsidRPr="0076390D">
        <w:rPr>
          <w:rFonts w:ascii="Verdana" w:hAnsi="Verdana"/>
          <w:sz w:val="20"/>
        </w:rPr>
        <w:t>.</w:t>
      </w:r>
      <w:r w:rsidR="0076390D" w:rsidRPr="0076390D">
        <w:rPr>
          <w:rFonts w:ascii="Verdana" w:hAnsi="Verdana"/>
          <w:sz w:val="20"/>
        </w:rPr>
        <w:t xml:space="preserve"> Dicho caso se refirió a la privación de libertad ilegal y arbitraria del</w:t>
      </w:r>
      <w:r w:rsidR="00CC161E">
        <w:rPr>
          <w:rFonts w:ascii="Verdana" w:hAnsi="Verdana"/>
          <w:sz w:val="20"/>
        </w:rPr>
        <w:t xml:space="preserve"> señor</w:t>
      </w:r>
      <w:r w:rsidR="0076390D" w:rsidRPr="0076390D">
        <w:rPr>
          <w:rFonts w:ascii="Verdana" w:hAnsi="Verdana"/>
          <w:sz w:val="20"/>
        </w:rPr>
        <w:t xml:space="preserve"> ex Primer Ministro de Haití</w:t>
      </w:r>
      <w:r w:rsidR="00CC161E">
        <w:rPr>
          <w:rFonts w:ascii="Verdana" w:hAnsi="Verdana"/>
          <w:sz w:val="20"/>
        </w:rPr>
        <w:t>,</w:t>
      </w:r>
      <w:r w:rsidR="0076390D" w:rsidRPr="0076390D">
        <w:rPr>
          <w:rFonts w:ascii="Verdana" w:hAnsi="Verdana"/>
          <w:sz w:val="20"/>
        </w:rPr>
        <w:t xml:space="preserve"> quien fue arrestado el 27 de junio de 2004 en medio de un contexto de polarización política e inseguridad pública. Al momento de su arresto no se le informó acerca de las razones de su detención, no se le comunicaron sus derechos, no le permitieron comparecer, sin demora, ante un juez u otro funcionario autorizado por ley para ejercer funciones judiciales</w:t>
      </w:r>
      <w:r w:rsidR="0076390D">
        <w:rPr>
          <w:rFonts w:ascii="Verdana" w:hAnsi="Verdana"/>
          <w:sz w:val="20"/>
        </w:rPr>
        <w:t>,</w:t>
      </w:r>
      <w:r w:rsidR="0076390D" w:rsidRPr="0076390D">
        <w:rPr>
          <w:rFonts w:ascii="Verdana" w:hAnsi="Verdana"/>
          <w:sz w:val="20"/>
        </w:rPr>
        <w:t xml:space="preserve"> y no se le otorgó un recurso ante un tribunal competente para que revisara la legalidad de su arresto. La Corte, con relación a su detención, determinó que no se garantizó su integridad física, mental y moral, al no ser separado de los condenados </w:t>
      </w:r>
      <w:r w:rsidR="00CC161E">
        <w:rPr>
          <w:rFonts w:ascii="Verdana" w:hAnsi="Verdana"/>
          <w:sz w:val="20"/>
        </w:rPr>
        <w:t>y</w:t>
      </w:r>
      <w:r w:rsidR="0076390D" w:rsidRPr="0076390D">
        <w:rPr>
          <w:rFonts w:ascii="Verdana" w:hAnsi="Verdana"/>
          <w:sz w:val="20"/>
        </w:rPr>
        <w:t xml:space="preserve"> las condiciones y el tratamiento a los cuales fue expuesto durante su detención, las cuales se mantuvieron hasta que fue liberado por razones humanitarias. </w:t>
      </w:r>
      <w:r w:rsidR="00901DED" w:rsidRPr="0076390D">
        <w:rPr>
          <w:rFonts w:ascii="Verdana" w:hAnsi="Verdana"/>
          <w:sz w:val="20"/>
        </w:rPr>
        <w:t xml:space="preserve"> L</w:t>
      </w:r>
      <w:r w:rsidR="000A5B73" w:rsidRPr="0076390D">
        <w:rPr>
          <w:rFonts w:ascii="Verdana" w:hAnsi="Verdana"/>
          <w:sz w:val="20"/>
        </w:rPr>
        <w:t xml:space="preserve">a Corte determinó que la referida Sentencia constituía </w:t>
      </w:r>
      <w:r w:rsidR="000A5B73" w:rsidRPr="0076390D">
        <w:rPr>
          <w:rFonts w:ascii="Verdana" w:hAnsi="Verdana"/>
          <w:i/>
          <w:sz w:val="20"/>
        </w:rPr>
        <w:t>per se</w:t>
      </w:r>
      <w:r w:rsidR="000A5B73" w:rsidRPr="0076390D">
        <w:rPr>
          <w:rFonts w:ascii="Verdana" w:hAnsi="Verdana"/>
          <w:sz w:val="20"/>
        </w:rPr>
        <w:t xml:space="preserve"> una forma de reparación, y ordenó al Estado determinadas medidas de reparación</w:t>
      </w:r>
      <w:r w:rsidR="0076390D">
        <w:rPr>
          <w:rFonts w:ascii="Verdana" w:hAnsi="Verdana"/>
          <w:sz w:val="20"/>
        </w:rPr>
        <w:t xml:space="preserve"> (</w:t>
      </w:r>
      <w:r w:rsidR="0076390D">
        <w:rPr>
          <w:rFonts w:ascii="Verdana" w:hAnsi="Verdana"/>
          <w:i/>
          <w:sz w:val="20"/>
        </w:rPr>
        <w:t>infra</w:t>
      </w:r>
      <w:r w:rsidR="0076390D">
        <w:rPr>
          <w:rFonts w:ascii="Verdana" w:hAnsi="Verdana"/>
          <w:sz w:val="20"/>
        </w:rPr>
        <w:t xml:space="preserve"> Considerando </w:t>
      </w:r>
      <w:r w:rsidR="0076390D">
        <w:rPr>
          <w:rFonts w:ascii="Verdana" w:hAnsi="Verdana"/>
          <w:sz w:val="20"/>
        </w:rPr>
        <w:fldChar w:fldCharType="begin"/>
      </w:r>
      <w:r w:rsidR="0076390D">
        <w:rPr>
          <w:rFonts w:ascii="Verdana" w:hAnsi="Verdana"/>
          <w:sz w:val="20"/>
        </w:rPr>
        <w:instrText xml:space="preserve"> REF _Ref437268967 \r \h </w:instrText>
      </w:r>
      <w:r w:rsidR="0076390D">
        <w:rPr>
          <w:rFonts w:ascii="Verdana" w:hAnsi="Verdana"/>
          <w:sz w:val="20"/>
        </w:rPr>
      </w:r>
      <w:r w:rsidR="0076390D">
        <w:rPr>
          <w:rFonts w:ascii="Verdana" w:hAnsi="Verdana"/>
          <w:sz w:val="20"/>
        </w:rPr>
        <w:fldChar w:fldCharType="separate"/>
      </w:r>
      <w:r w:rsidR="00B602F2">
        <w:rPr>
          <w:rFonts w:ascii="Verdana" w:hAnsi="Verdana"/>
          <w:sz w:val="20"/>
        </w:rPr>
        <w:t>1</w:t>
      </w:r>
      <w:r w:rsidR="0076390D">
        <w:rPr>
          <w:rFonts w:ascii="Verdana" w:hAnsi="Verdana"/>
          <w:sz w:val="20"/>
        </w:rPr>
        <w:fldChar w:fldCharType="end"/>
      </w:r>
      <w:r w:rsidR="0076390D">
        <w:rPr>
          <w:rFonts w:ascii="Verdana" w:hAnsi="Verdana"/>
          <w:sz w:val="20"/>
        </w:rPr>
        <w:t>)</w:t>
      </w:r>
      <w:r w:rsidR="000A5B73" w:rsidRPr="0076390D">
        <w:rPr>
          <w:rFonts w:ascii="Verdana" w:hAnsi="Verdana"/>
          <w:sz w:val="20"/>
        </w:rPr>
        <w:t>.</w:t>
      </w:r>
      <w:bookmarkEnd w:id="1"/>
    </w:p>
    <w:p w14:paraId="6A31C395" w14:textId="77777777" w:rsidR="00594052" w:rsidRPr="0082778F" w:rsidRDefault="00594052" w:rsidP="00594052">
      <w:pPr>
        <w:jc w:val="both"/>
        <w:rPr>
          <w:rFonts w:ascii="Verdana" w:hAnsi="Verdana" w:cs="Arial"/>
          <w:sz w:val="20"/>
          <w:lang w:val="es-MX"/>
        </w:rPr>
      </w:pPr>
    </w:p>
    <w:p w14:paraId="12292903" w14:textId="5E9B8CC6" w:rsidR="00031741" w:rsidRDefault="00594052" w:rsidP="00031741">
      <w:pPr>
        <w:numPr>
          <w:ilvl w:val="0"/>
          <w:numId w:val="2"/>
        </w:numPr>
        <w:ind w:left="0" w:firstLine="0"/>
        <w:jc w:val="both"/>
        <w:rPr>
          <w:rFonts w:ascii="Verdana" w:hAnsi="Verdana"/>
          <w:sz w:val="20"/>
          <w:lang w:val="es-MX"/>
        </w:rPr>
      </w:pPr>
      <w:r w:rsidRPr="00E22F81">
        <w:rPr>
          <w:rFonts w:ascii="Verdana" w:hAnsi="Verdana" w:cs="Arial"/>
          <w:sz w:val="20"/>
          <w:lang w:val="es-MX"/>
        </w:rPr>
        <w:t xml:space="preserve">Las </w:t>
      </w:r>
      <w:r w:rsidR="0045725D">
        <w:rPr>
          <w:rFonts w:ascii="Verdana" w:hAnsi="Verdana" w:cs="Arial"/>
          <w:sz w:val="20"/>
          <w:lang w:val="es-MX"/>
        </w:rPr>
        <w:t xml:space="preserve">tres </w:t>
      </w:r>
      <w:r w:rsidRPr="00E22F81">
        <w:rPr>
          <w:rFonts w:ascii="Verdana" w:hAnsi="Verdana" w:cs="Arial"/>
          <w:sz w:val="20"/>
          <w:lang w:val="es-MX"/>
        </w:rPr>
        <w:t>notas de la Secretaría de la Corte</w:t>
      </w:r>
      <w:r w:rsidR="0045725D">
        <w:rPr>
          <w:rStyle w:val="FootnoteReference"/>
          <w:rFonts w:ascii="Verdana" w:hAnsi="Verdana" w:cs="Arial"/>
          <w:sz w:val="20"/>
          <w:lang w:val="es-MX"/>
        </w:rPr>
        <w:footnoteReference w:id="2"/>
      </w:r>
      <w:r w:rsidR="00864DC7">
        <w:rPr>
          <w:rFonts w:ascii="Verdana" w:hAnsi="Verdana" w:cs="Arial"/>
          <w:sz w:val="20"/>
          <w:lang w:val="es-MX"/>
        </w:rPr>
        <w:t>,</w:t>
      </w:r>
      <w:r w:rsidRPr="00E22F81">
        <w:rPr>
          <w:rFonts w:ascii="Verdana" w:hAnsi="Verdana" w:cs="Arial"/>
          <w:sz w:val="20"/>
          <w:lang w:val="es-MX"/>
        </w:rPr>
        <w:t xml:space="preserve"> mediante las cuales, siguiendo instrucciones del Presidente del Tribunal, </w:t>
      </w:r>
      <w:r w:rsidRPr="00E22F81">
        <w:rPr>
          <w:rFonts w:ascii="Verdana" w:hAnsi="Verdana"/>
          <w:sz w:val="20"/>
          <w:lang w:val="es-MX"/>
        </w:rPr>
        <w:t>se r</w:t>
      </w:r>
      <w:r w:rsidR="0045725D">
        <w:rPr>
          <w:rFonts w:ascii="Verdana" w:hAnsi="Verdana"/>
          <w:sz w:val="20"/>
          <w:lang w:val="es-MX"/>
        </w:rPr>
        <w:t>ecordó</w:t>
      </w:r>
      <w:r w:rsidRPr="00E22F81">
        <w:rPr>
          <w:rFonts w:ascii="Verdana" w:hAnsi="Verdana"/>
          <w:sz w:val="20"/>
          <w:lang w:val="es-MX"/>
        </w:rPr>
        <w:t xml:space="preserve"> al Estado que</w:t>
      </w:r>
      <w:r w:rsidR="0076390D">
        <w:rPr>
          <w:rFonts w:ascii="Verdana" w:hAnsi="Verdana"/>
          <w:sz w:val="20"/>
          <w:lang w:val="es-MX"/>
        </w:rPr>
        <w:t xml:space="preserve"> el </w:t>
      </w:r>
      <w:r w:rsidR="00C522C2">
        <w:rPr>
          <w:rFonts w:ascii="Verdana" w:hAnsi="Verdana"/>
          <w:sz w:val="20"/>
          <w:lang w:val="es-MX"/>
        </w:rPr>
        <w:t>9</w:t>
      </w:r>
      <w:r w:rsidR="0076390D">
        <w:rPr>
          <w:rFonts w:ascii="Verdana" w:hAnsi="Verdana"/>
          <w:sz w:val="20"/>
          <w:lang w:val="es-MX"/>
        </w:rPr>
        <w:t xml:space="preserve"> de junio de 2009 venció el plazo para que </w:t>
      </w:r>
      <w:r w:rsidR="0045725D">
        <w:rPr>
          <w:rFonts w:ascii="Verdana" w:hAnsi="Verdana"/>
          <w:sz w:val="20"/>
          <w:lang w:val="es-MX"/>
        </w:rPr>
        <w:t>presentar</w:t>
      </w:r>
      <w:r w:rsidR="0076390D">
        <w:rPr>
          <w:rFonts w:ascii="Verdana" w:hAnsi="Verdana"/>
          <w:sz w:val="20"/>
          <w:lang w:val="es-MX"/>
        </w:rPr>
        <w:t>a</w:t>
      </w:r>
      <w:r w:rsidRPr="00E22F81">
        <w:rPr>
          <w:rFonts w:ascii="Verdana" w:hAnsi="Verdana"/>
          <w:sz w:val="20"/>
          <w:lang w:val="es-MX"/>
        </w:rPr>
        <w:t xml:space="preserve"> el informe sobre el cumplimiento de las reparaciones requerido en la Sentencia</w:t>
      </w:r>
      <w:r w:rsidR="0076390D">
        <w:rPr>
          <w:rFonts w:ascii="Verdana" w:hAnsi="Verdana"/>
          <w:sz w:val="20"/>
          <w:lang w:val="es-MX"/>
        </w:rPr>
        <w:t>, y se le solicitó su presentación</w:t>
      </w:r>
      <w:r w:rsidR="00E22F81">
        <w:rPr>
          <w:rFonts w:ascii="Verdana" w:hAnsi="Verdana"/>
          <w:sz w:val="20"/>
          <w:lang w:val="es-MX"/>
        </w:rPr>
        <w:t>.</w:t>
      </w:r>
      <w:r w:rsidRPr="00E22F81">
        <w:rPr>
          <w:rFonts w:ascii="Verdana" w:hAnsi="Verdana"/>
          <w:sz w:val="20"/>
          <w:lang w:val="es-MX"/>
        </w:rPr>
        <w:t xml:space="preserve"> </w:t>
      </w:r>
    </w:p>
    <w:p w14:paraId="5017118F" w14:textId="77777777" w:rsidR="00594052" w:rsidRPr="0082778F" w:rsidRDefault="00594052" w:rsidP="00594052">
      <w:pPr>
        <w:jc w:val="both"/>
        <w:rPr>
          <w:rFonts w:ascii="Verdana" w:hAnsi="Verdana"/>
          <w:sz w:val="20"/>
          <w:lang w:val="es-MX"/>
        </w:rPr>
      </w:pPr>
    </w:p>
    <w:p w14:paraId="4405CDA7" w14:textId="385179CB" w:rsidR="00594052" w:rsidRPr="0082778F" w:rsidRDefault="00594052" w:rsidP="00594052">
      <w:pPr>
        <w:numPr>
          <w:ilvl w:val="0"/>
          <w:numId w:val="2"/>
        </w:numPr>
        <w:ind w:left="0" w:firstLine="0"/>
        <w:jc w:val="both"/>
        <w:rPr>
          <w:rFonts w:ascii="Verdana" w:hAnsi="Verdana"/>
          <w:sz w:val="20"/>
          <w:lang w:val="es-MX"/>
        </w:rPr>
      </w:pPr>
      <w:bookmarkStart w:id="2" w:name="_Ref437269987"/>
      <w:r w:rsidRPr="0082778F">
        <w:rPr>
          <w:rFonts w:ascii="Verdana" w:hAnsi="Verdana"/>
          <w:sz w:val="20"/>
          <w:lang w:val="es-MX"/>
        </w:rPr>
        <w:lastRenderedPageBreak/>
        <w:t xml:space="preserve">El </w:t>
      </w:r>
      <w:r w:rsidRPr="0082778F">
        <w:rPr>
          <w:rFonts w:ascii="Verdana" w:hAnsi="Verdana" w:cs="Arial"/>
          <w:sz w:val="20"/>
          <w:lang w:val="es-MX"/>
        </w:rPr>
        <w:t>escrito</w:t>
      </w:r>
      <w:r w:rsidRPr="0082778F">
        <w:rPr>
          <w:rFonts w:ascii="Verdana" w:hAnsi="Verdana"/>
          <w:sz w:val="20"/>
          <w:lang w:val="es-MX"/>
        </w:rPr>
        <w:t xml:space="preserve"> presentado por </w:t>
      </w:r>
      <w:r w:rsidR="004C3A9B">
        <w:rPr>
          <w:rFonts w:ascii="Verdana" w:hAnsi="Verdana"/>
          <w:sz w:val="20"/>
          <w:lang w:val="es-MX"/>
        </w:rPr>
        <w:t xml:space="preserve">el Estado </w:t>
      </w:r>
      <w:r w:rsidR="0045725D">
        <w:rPr>
          <w:rFonts w:ascii="Verdana" w:hAnsi="Verdana"/>
          <w:sz w:val="20"/>
          <w:lang w:val="es-MX"/>
        </w:rPr>
        <w:t>el</w:t>
      </w:r>
      <w:r w:rsidR="004C3A9B">
        <w:rPr>
          <w:rFonts w:ascii="Verdana" w:hAnsi="Verdana"/>
          <w:sz w:val="20"/>
          <w:lang w:val="es-MX"/>
        </w:rPr>
        <w:t xml:space="preserve"> 4 de septiembre de </w:t>
      </w:r>
      <w:r w:rsidRPr="0082778F">
        <w:rPr>
          <w:rFonts w:ascii="Verdana" w:hAnsi="Verdana"/>
          <w:sz w:val="20"/>
          <w:lang w:val="es-MX"/>
        </w:rPr>
        <w:t xml:space="preserve">2008, en el </w:t>
      </w:r>
      <w:r w:rsidR="004F06B5">
        <w:rPr>
          <w:rFonts w:ascii="Verdana" w:hAnsi="Verdana"/>
          <w:sz w:val="20"/>
          <w:lang w:val="es-MX"/>
        </w:rPr>
        <w:t xml:space="preserve">cual </w:t>
      </w:r>
      <w:r w:rsidR="004F06B5">
        <w:rPr>
          <w:rFonts w:ascii="Verdana" w:hAnsi="Verdana"/>
          <w:sz w:val="20"/>
          <w:lang w:val="es-CR"/>
        </w:rPr>
        <w:t>cuestionó</w:t>
      </w:r>
      <w:r w:rsidR="004F06B5" w:rsidRPr="00A064E5">
        <w:rPr>
          <w:rFonts w:ascii="Verdana" w:hAnsi="Verdana"/>
          <w:sz w:val="20"/>
          <w:lang w:val="es-CR"/>
        </w:rPr>
        <w:t xml:space="preserve"> las conclusiones</w:t>
      </w:r>
      <w:r w:rsidR="00CC161E">
        <w:rPr>
          <w:rFonts w:ascii="Verdana" w:hAnsi="Verdana"/>
          <w:sz w:val="20"/>
          <w:lang w:val="es-CR"/>
        </w:rPr>
        <w:t xml:space="preserve"> </w:t>
      </w:r>
      <w:r w:rsidR="00CC161E" w:rsidRPr="00A064E5">
        <w:rPr>
          <w:rFonts w:ascii="Verdana" w:hAnsi="Verdana"/>
          <w:sz w:val="20"/>
          <w:lang w:val="es-CR"/>
        </w:rPr>
        <w:t>sobre los derechos violados</w:t>
      </w:r>
      <w:r w:rsidR="004F06B5" w:rsidRPr="00A064E5">
        <w:rPr>
          <w:rFonts w:ascii="Verdana" w:hAnsi="Verdana"/>
          <w:sz w:val="20"/>
          <w:lang w:val="es-CR"/>
        </w:rPr>
        <w:t xml:space="preserve"> a </w:t>
      </w:r>
      <w:r w:rsidR="004F06B5">
        <w:rPr>
          <w:rFonts w:ascii="Verdana" w:hAnsi="Verdana"/>
          <w:sz w:val="20"/>
          <w:lang w:val="es-CR"/>
        </w:rPr>
        <w:t>l</w:t>
      </w:r>
      <w:r w:rsidR="00CD760D">
        <w:rPr>
          <w:rFonts w:ascii="Verdana" w:hAnsi="Verdana"/>
          <w:sz w:val="20"/>
          <w:lang w:val="es-CR"/>
        </w:rPr>
        <w:t>a</w:t>
      </w:r>
      <w:r w:rsidR="004F06B5">
        <w:rPr>
          <w:rFonts w:ascii="Verdana" w:hAnsi="Verdana"/>
          <w:sz w:val="20"/>
          <w:lang w:val="es-CR"/>
        </w:rPr>
        <w:t xml:space="preserve">s </w:t>
      </w:r>
      <w:r w:rsidR="004F06B5" w:rsidRPr="00A064E5">
        <w:rPr>
          <w:rFonts w:ascii="Verdana" w:hAnsi="Verdana"/>
          <w:sz w:val="20"/>
          <w:lang w:val="es-CR"/>
        </w:rPr>
        <w:t>que había lleg</w:t>
      </w:r>
      <w:r w:rsidR="004F06B5">
        <w:rPr>
          <w:rFonts w:ascii="Verdana" w:hAnsi="Verdana"/>
          <w:sz w:val="20"/>
          <w:lang w:val="es-CR"/>
        </w:rPr>
        <w:t>ado la Corte</w:t>
      </w:r>
      <w:r w:rsidR="00C522C2">
        <w:rPr>
          <w:rFonts w:ascii="Verdana" w:hAnsi="Verdana"/>
          <w:sz w:val="20"/>
          <w:lang w:val="es-CR"/>
        </w:rPr>
        <w:t xml:space="preserve"> en la Sentencia</w:t>
      </w:r>
      <w:r w:rsidR="00C93D87">
        <w:rPr>
          <w:rFonts w:ascii="Verdana" w:hAnsi="Verdana"/>
          <w:i/>
          <w:sz w:val="20"/>
          <w:lang w:val="es-MX"/>
        </w:rPr>
        <w:t xml:space="preserve"> </w:t>
      </w:r>
      <w:r w:rsidR="00C93D87" w:rsidRPr="0082778F">
        <w:rPr>
          <w:rFonts w:ascii="Verdana" w:hAnsi="Verdana"/>
          <w:sz w:val="20"/>
          <w:lang w:val="es-MX"/>
        </w:rPr>
        <w:t>(</w:t>
      </w:r>
      <w:r w:rsidR="00C93D87" w:rsidRPr="0082778F">
        <w:rPr>
          <w:rFonts w:ascii="Verdana" w:hAnsi="Verdana"/>
          <w:i/>
          <w:sz w:val="20"/>
          <w:lang w:val="es-MX"/>
        </w:rPr>
        <w:t>infra</w:t>
      </w:r>
      <w:r w:rsidR="00C93D87" w:rsidRPr="0082778F">
        <w:rPr>
          <w:rFonts w:ascii="Verdana" w:hAnsi="Verdana"/>
          <w:sz w:val="20"/>
          <w:lang w:val="es-MX"/>
        </w:rPr>
        <w:t xml:space="preserve"> </w:t>
      </w:r>
      <w:r w:rsidR="00C93D87">
        <w:rPr>
          <w:rFonts w:ascii="Verdana" w:hAnsi="Verdana" w:cs="Arial"/>
          <w:sz w:val="20"/>
          <w:lang w:val="es-MX"/>
        </w:rPr>
        <w:t xml:space="preserve">Considerando </w:t>
      </w:r>
      <w:r w:rsidR="00C522C2">
        <w:rPr>
          <w:rFonts w:ascii="Verdana" w:hAnsi="Verdana"/>
          <w:sz w:val="20"/>
          <w:lang w:val="es-MX"/>
        </w:rPr>
        <w:fldChar w:fldCharType="begin"/>
      </w:r>
      <w:r w:rsidR="00C522C2">
        <w:rPr>
          <w:rFonts w:ascii="Verdana" w:hAnsi="Verdana" w:cs="Arial"/>
          <w:sz w:val="20"/>
          <w:lang w:val="es-MX"/>
        </w:rPr>
        <w:instrText xml:space="preserve"> REF _Ref437269647 \r \h </w:instrText>
      </w:r>
      <w:r w:rsidR="00C522C2">
        <w:rPr>
          <w:rFonts w:ascii="Verdana" w:hAnsi="Verdana"/>
          <w:sz w:val="20"/>
          <w:lang w:val="es-MX"/>
        </w:rPr>
      </w:r>
      <w:r w:rsidR="00C522C2">
        <w:rPr>
          <w:rFonts w:ascii="Verdana" w:hAnsi="Verdana"/>
          <w:sz w:val="20"/>
          <w:lang w:val="es-MX"/>
        </w:rPr>
        <w:fldChar w:fldCharType="separate"/>
      </w:r>
      <w:r w:rsidR="00B602F2">
        <w:rPr>
          <w:rFonts w:ascii="Verdana" w:hAnsi="Verdana" w:cs="Arial"/>
          <w:sz w:val="20"/>
          <w:lang w:val="es-MX"/>
        </w:rPr>
        <w:t>5</w:t>
      </w:r>
      <w:r w:rsidR="00C522C2">
        <w:rPr>
          <w:rFonts w:ascii="Verdana" w:hAnsi="Verdana"/>
          <w:sz w:val="20"/>
          <w:lang w:val="es-MX"/>
        </w:rPr>
        <w:fldChar w:fldCharType="end"/>
      </w:r>
      <w:r w:rsidR="00C93D87" w:rsidRPr="0082778F">
        <w:rPr>
          <w:rFonts w:ascii="Verdana" w:hAnsi="Verdana"/>
          <w:sz w:val="20"/>
          <w:lang w:val="es-MX"/>
        </w:rPr>
        <w:t>)</w:t>
      </w:r>
      <w:r w:rsidRPr="0082778F">
        <w:rPr>
          <w:rFonts w:ascii="Verdana" w:hAnsi="Verdana"/>
          <w:sz w:val="20"/>
          <w:lang w:val="es-MX"/>
        </w:rPr>
        <w:t>.</w:t>
      </w:r>
      <w:bookmarkEnd w:id="2"/>
      <w:r w:rsidRPr="0082778F">
        <w:rPr>
          <w:rFonts w:ascii="Verdana" w:hAnsi="Verdana"/>
          <w:sz w:val="20"/>
          <w:lang w:val="es-MX"/>
        </w:rPr>
        <w:t xml:space="preserve"> </w:t>
      </w:r>
    </w:p>
    <w:p w14:paraId="2DAF6499" w14:textId="77777777" w:rsidR="00594052" w:rsidRPr="0082778F" w:rsidRDefault="00594052" w:rsidP="00594052">
      <w:pPr>
        <w:jc w:val="both"/>
        <w:rPr>
          <w:rFonts w:ascii="Verdana" w:hAnsi="Verdana"/>
          <w:sz w:val="20"/>
          <w:lang w:val="es-MX"/>
        </w:rPr>
      </w:pPr>
    </w:p>
    <w:p w14:paraId="3CB30EC2" w14:textId="10746EBC" w:rsidR="00594052" w:rsidRDefault="00594052" w:rsidP="00594052">
      <w:pPr>
        <w:numPr>
          <w:ilvl w:val="0"/>
          <w:numId w:val="2"/>
        </w:numPr>
        <w:ind w:left="0" w:firstLine="0"/>
        <w:jc w:val="both"/>
        <w:rPr>
          <w:rFonts w:ascii="Verdana" w:hAnsi="Verdana"/>
          <w:sz w:val="20"/>
          <w:lang w:val="es-MX"/>
        </w:rPr>
      </w:pPr>
      <w:bookmarkStart w:id="3" w:name="_Ref437273540"/>
      <w:r w:rsidRPr="0082778F">
        <w:rPr>
          <w:rFonts w:ascii="Verdana" w:hAnsi="Verdana"/>
          <w:sz w:val="20"/>
          <w:lang w:val="es-MX"/>
        </w:rPr>
        <w:t>El escrito presentado por los representantes de la víctima</w:t>
      </w:r>
      <w:r w:rsidR="0045725D">
        <w:rPr>
          <w:rStyle w:val="FootnoteReference"/>
          <w:rFonts w:ascii="Verdana" w:hAnsi="Verdana"/>
          <w:sz w:val="20"/>
          <w:lang w:val="es-MX"/>
        </w:rPr>
        <w:footnoteReference w:id="3"/>
      </w:r>
      <w:r w:rsidRPr="0082778F">
        <w:rPr>
          <w:rFonts w:ascii="Verdana" w:hAnsi="Verdana"/>
          <w:sz w:val="20"/>
          <w:lang w:val="es-MX"/>
        </w:rPr>
        <w:t xml:space="preserve"> el 5 de octubre de 2009, en el que se </w:t>
      </w:r>
      <w:r w:rsidR="0045725D">
        <w:rPr>
          <w:rFonts w:ascii="Verdana" w:hAnsi="Verdana"/>
          <w:sz w:val="20"/>
          <w:lang w:val="es-MX"/>
        </w:rPr>
        <w:t>refirieron</w:t>
      </w:r>
      <w:r w:rsidRPr="0082778F">
        <w:rPr>
          <w:rFonts w:ascii="Verdana" w:hAnsi="Verdana"/>
          <w:sz w:val="20"/>
          <w:lang w:val="es-MX"/>
        </w:rPr>
        <w:t xml:space="preserve"> a</w:t>
      </w:r>
      <w:r w:rsidR="00CF6C5A">
        <w:rPr>
          <w:rFonts w:ascii="Verdana" w:hAnsi="Verdana"/>
          <w:sz w:val="20"/>
          <w:lang w:val="es-MX"/>
        </w:rPr>
        <w:t xml:space="preserve">l escrito </w:t>
      </w:r>
      <w:r w:rsidRPr="0082778F">
        <w:rPr>
          <w:rFonts w:ascii="Verdana" w:hAnsi="Verdana"/>
          <w:sz w:val="20"/>
          <w:lang w:val="es-MX"/>
        </w:rPr>
        <w:t xml:space="preserve">del Estado </w:t>
      </w:r>
      <w:r w:rsidR="00CF6C5A">
        <w:rPr>
          <w:rFonts w:ascii="Verdana" w:hAnsi="Verdana"/>
          <w:sz w:val="20"/>
          <w:lang w:val="es-MX"/>
        </w:rPr>
        <w:t>de septiembre de 2008</w:t>
      </w:r>
      <w:r w:rsidR="00601FC4">
        <w:rPr>
          <w:rFonts w:ascii="Verdana" w:hAnsi="Verdana"/>
          <w:sz w:val="20"/>
          <w:lang w:val="es-MX"/>
        </w:rPr>
        <w:t>.</w:t>
      </w:r>
      <w:bookmarkEnd w:id="3"/>
    </w:p>
    <w:p w14:paraId="5E873708" w14:textId="77777777" w:rsidR="000525C6" w:rsidRDefault="000525C6" w:rsidP="000525C6">
      <w:pPr>
        <w:pStyle w:val="ListParagraph"/>
        <w:rPr>
          <w:rFonts w:ascii="Verdana" w:hAnsi="Verdana"/>
          <w:sz w:val="20"/>
          <w:lang w:val="es-MX"/>
        </w:rPr>
      </w:pPr>
    </w:p>
    <w:p w14:paraId="7ECBE925" w14:textId="4C88324D" w:rsidR="004C3A9B" w:rsidRPr="000525C6" w:rsidRDefault="004C3A9B" w:rsidP="004C3A9B">
      <w:pPr>
        <w:numPr>
          <w:ilvl w:val="0"/>
          <w:numId w:val="2"/>
        </w:numPr>
        <w:ind w:left="0" w:firstLine="0"/>
        <w:jc w:val="both"/>
        <w:rPr>
          <w:rFonts w:ascii="Verdana" w:hAnsi="Verdana"/>
          <w:sz w:val="20"/>
          <w:lang w:val="es-MX"/>
        </w:rPr>
      </w:pPr>
      <w:bookmarkStart w:id="4" w:name="_Ref437273840"/>
      <w:r>
        <w:rPr>
          <w:rFonts w:ascii="Verdana" w:hAnsi="Verdana"/>
          <w:sz w:val="20"/>
          <w:lang w:val="es-MX"/>
        </w:rPr>
        <w:t>La nota de</w:t>
      </w:r>
      <w:r w:rsidR="0045725D">
        <w:rPr>
          <w:rFonts w:ascii="Verdana" w:hAnsi="Verdana"/>
          <w:sz w:val="20"/>
          <w:lang w:val="es-MX"/>
        </w:rPr>
        <w:t xml:space="preserve"> la</w:t>
      </w:r>
      <w:r>
        <w:rPr>
          <w:rFonts w:ascii="Verdana" w:hAnsi="Verdana"/>
          <w:sz w:val="20"/>
          <w:lang w:val="es-MX"/>
        </w:rPr>
        <w:t xml:space="preserve"> Secretaría de la Corte de 12 de agosto de 2015, en la que</w:t>
      </w:r>
      <w:r w:rsidR="00302E77">
        <w:rPr>
          <w:rFonts w:ascii="Verdana" w:hAnsi="Verdana"/>
          <w:sz w:val="20"/>
          <w:lang w:val="es-MX"/>
        </w:rPr>
        <w:t>, siguiendo instrucciones del Presidente del Tribunal,</w:t>
      </w:r>
      <w:r>
        <w:rPr>
          <w:rFonts w:ascii="Verdana" w:hAnsi="Verdana"/>
          <w:sz w:val="20"/>
          <w:lang w:val="es-MX"/>
        </w:rPr>
        <w:t xml:space="preserve"> se </w:t>
      </w:r>
      <w:r w:rsidR="00302E77">
        <w:rPr>
          <w:rFonts w:ascii="Verdana" w:hAnsi="Verdana"/>
          <w:sz w:val="20"/>
          <w:lang w:val="es-MX"/>
        </w:rPr>
        <w:t xml:space="preserve">otorgó un plazo </w:t>
      </w:r>
      <w:r>
        <w:rPr>
          <w:rFonts w:ascii="Verdana" w:hAnsi="Verdana"/>
          <w:sz w:val="20"/>
          <w:lang w:val="es-MX"/>
        </w:rPr>
        <w:t xml:space="preserve">al Estado </w:t>
      </w:r>
      <w:r w:rsidR="00302E77">
        <w:rPr>
          <w:rFonts w:ascii="Verdana" w:hAnsi="Verdana"/>
          <w:sz w:val="20"/>
          <w:lang w:val="es-MX"/>
        </w:rPr>
        <w:t xml:space="preserve">para </w:t>
      </w:r>
      <w:r>
        <w:rPr>
          <w:rFonts w:ascii="Verdana" w:hAnsi="Verdana"/>
          <w:sz w:val="20"/>
          <w:lang w:val="es-MX"/>
        </w:rPr>
        <w:t xml:space="preserve">que </w:t>
      </w:r>
      <w:r>
        <w:rPr>
          <w:rFonts w:ascii="Verdana" w:hAnsi="Verdana"/>
          <w:sz w:val="20"/>
          <w:lang w:val="es-CR"/>
        </w:rPr>
        <w:t xml:space="preserve">manifestara si </w:t>
      </w:r>
      <w:r w:rsidR="00AD1460">
        <w:rPr>
          <w:rFonts w:ascii="Verdana" w:hAnsi="Verdana"/>
          <w:sz w:val="20"/>
          <w:lang w:val="es-CR"/>
        </w:rPr>
        <w:t>mantenía</w:t>
      </w:r>
      <w:r>
        <w:rPr>
          <w:rFonts w:ascii="Verdana" w:hAnsi="Verdana"/>
          <w:sz w:val="20"/>
          <w:lang w:val="es-CR"/>
        </w:rPr>
        <w:t xml:space="preserve"> la posición señalada en su escrito de 4 de septiembre de 2008 (</w:t>
      </w:r>
      <w:r>
        <w:rPr>
          <w:rFonts w:ascii="Verdana" w:hAnsi="Verdana"/>
          <w:i/>
          <w:sz w:val="20"/>
          <w:lang w:val="es-CR"/>
        </w:rPr>
        <w:t xml:space="preserve">supra </w:t>
      </w:r>
      <w:r>
        <w:rPr>
          <w:rFonts w:ascii="Verdana" w:hAnsi="Verdana"/>
          <w:sz w:val="20"/>
          <w:lang w:val="es-CR"/>
        </w:rPr>
        <w:t>Visto</w:t>
      </w:r>
      <w:r>
        <w:rPr>
          <w:rFonts w:ascii="Verdana" w:hAnsi="Verdana"/>
          <w:i/>
          <w:sz w:val="20"/>
          <w:lang w:val="es-CR"/>
        </w:rPr>
        <w:t xml:space="preserve"> </w:t>
      </w:r>
      <w:r w:rsidR="00BB6C32">
        <w:rPr>
          <w:rFonts w:ascii="Verdana" w:hAnsi="Verdana"/>
          <w:sz w:val="20"/>
          <w:lang w:val="es-CR"/>
        </w:rPr>
        <w:fldChar w:fldCharType="begin"/>
      </w:r>
      <w:r w:rsidR="00BB6C32">
        <w:rPr>
          <w:rFonts w:ascii="Verdana" w:hAnsi="Verdana"/>
          <w:i/>
          <w:sz w:val="20"/>
          <w:lang w:val="es-CR"/>
        </w:rPr>
        <w:instrText xml:space="preserve"> REF _Ref437269987 \r \h </w:instrText>
      </w:r>
      <w:r w:rsidR="00BB6C32">
        <w:rPr>
          <w:rFonts w:ascii="Verdana" w:hAnsi="Verdana"/>
          <w:sz w:val="20"/>
          <w:lang w:val="es-CR"/>
        </w:rPr>
      </w:r>
      <w:r w:rsidR="00BB6C32">
        <w:rPr>
          <w:rFonts w:ascii="Verdana" w:hAnsi="Verdana"/>
          <w:sz w:val="20"/>
          <w:lang w:val="es-CR"/>
        </w:rPr>
        <w:fldChar w:fldCharType="separate"/>
      </w:r>
      <w:r w:rsidR="00B602F2">
        <w:rPr>
          <w:rFonts w:ascii="Verdana" w:hAnsi="Verdana"/>
          <w:i/>
          <w:sz w:val="20"/>
          <w:lang w:val="es-CR"/>
        </w:rPr>
        <w:t>3</w:t>
      </w:r>
      <w:r w:rsidR="00BB6C32">
        <w:rPr>
          <w:rFonts w:ascii="Verdana" w:hAnsi="Verdana"/>
          <w:sz w:val="20"/>
          <w:lang w:val="es-CR"/>
        </w:rPr>
        <w:fldChar w:fldCharType="end"/>
      </w:r>
      <w:r w:rsidRPr="004C3A9B">
        <w:rPr>
          <w:rFonts w:ascii="Verdana" w:hAnsi="Verdana"/>
          <w:sz w:val="20"/>
          <w:lang w:val="es-CR"/>
        </w:rPr>
        <w:t>)</w:t>
      </w:r>
      <w:r w:rsidR="00AD1460">
        <w:rPr>
          <w:rFonts w:ascii="Verdana" w:hAnsi="Verdana"/>
          <w:sz w:val="20"/>
          <w:lang w:val="es-CR"/>
        </w:rPr>
        <w:t>,</w:t>
      </w:r>
      <w:r>
        <w:rPr>
          <w:rFonts w:ascii="Verdana" w:hAnsi="Verdana"/>
          <w:i/>
          <w:sz w:val="20"/>
          <w:lang w:val="es-CR"/>
        </w:rPr>
        <w:t xml:space="preserve"> </w:t>
      </w:r>
      <w:r>
        <w:rPr>
          <w:rFonts w:ascii="Verdana" w:hAnsi="Verdana"/>
          <w:sz w:val="20"/>
          <w:lang w:val="es-CR"/>
        </w:rPr>
        <w:t>o bien que remit</w:t>
      </w:r>
      <w:r w:rsidR="00AD1460">
        <w:rPr>
          <w:rFonts w:ascii="Verdana" w:hAnsi="Verdana"/>
          <w:sz w:val="20"/>
          <w:lang w:val="es-CR"/>
        </w:rPr>
        <w:t>i</w:t>
      </w:r>
      <w:r>
        <w:rPr>
          <w:rFonts w:ascii="Verdana" w:hAnsi="Verdana"/>
          <w:sz w:val="20"/>
          <w:lang w:val="es-CR"/>
        </w:rPr>
        <w:t>era a la Corte el informe sobre el cumplimiento de la Sentencia requerido</w:t>
      </w:r>
      <w:r w:rsidR="008B3906">
        <w:rPr>
          <w:rFonts w:ascii="Verdana" w:hAnsi="Verdana"/>
          <w:sz w:val="20"/>
          <w:lang w:val="es-CR"/>
        </w:rPr>
        <w:t xml:space="preserve"> en la misma</w:t>
      </w:r>
      <w:r w:rsidR="00AD1460">
        <w:rPr>
          <w:rFonts w:ascii="Verdana" w:hAnsi="Verdana"/>
          <w:sz w:val="20"/>
          <w:lang w:val="es-CR"/>
        </w:rPr>
        <w:t>.</w:t>
      </w:r>
      <w:bookmarkEnd w:id="4"/>
    </w:p>
    <w:p w14:paraId="273A8607" w14:textId="77777777" w:rsidR="000525C6" w:rsidRDefault="000525C6" w:rsidP="000525C6">
      <w:pPr>
        <w:pStyle w:val="ListParagraph"/>
        <w:rPr>
          <w:rFonts w:ascii="Verdana" w:hAnsi="Verdana"/>
          <w:sz w:val="20"/>
          <w:lang w:val="es-MX"/>
        </w:rPr>
      </w:pPr>
    </w:p>
    <w:p w14:paraId="21E7F896" w14:textId="77777777" w:rsidR="00594052" w:rsidRPr="0082778F" w:rsidRDefault="00594052" w:rsidP="00594052">
      <w:pPr>
        <w:jc w:val="both"/>
        <w:rPr>
          <w:rFonts w:ascii="Verdana" w:hAnsi="Verdana"/>
          <w:b/>
          <w:sz w:val="20"/>
          <w:lang w:val="es-MX"/>
        </w:rPr>
      </w:pPr>
    </w:p>
    <w:p w14:paraId="5B385CBF" w14:textId="77777777" w:rsidR="00594052" w:rsidRPr="0082778F" w:rsidRDefault="00594052" w:rsidP="00594052">
      <w:pPr>
        <w:jc w:val="both"/>
        <w:rPr>
          <w:rFonts w:ascii="Verdana" w:hAnsi="Verdana"/>
          <w:b/>
          <w:sz w:val="20"/>
          <w:lang w:val="es-MX"/>
        </w:rPr>
      </w:pPr>
      <w:r w:rsidRPr="0082778F">
        <w:rPr>
          <w:rFonts w:ascii="Verdana" w:hAnsi="Verdana"/>
          <w:b/>
          <w:sz w:val="20"/>
          <w:lang w:val="es-MX"/>
        </w:rPr>
        <w:t xml:space="preserve">CONSIDERANDO QUE: </w:t>
      </w:r>
    </w:p>
    <w:p w14:paraId="1C4AE574" w14:textId="77777777" w:rsidR="00594052" w:rsidRPr="0082778F" w:rsidRDefault="00594052" w:rsidP="00594052">
      <w:pPr>
        <w:jc w:val="both"/>
        <w:rPr>
          <w:rFonts w:ascii="Verdana" w:hAnsi="Verdana"/>
          <w:b/>
          <w:sz w:val="20"/>
          <w:lang w:val="es-MX"/>
        </w:rPr>
      </w:pPr>
    </w:p>
    <w:p w14:paraId="0051535C" w14:textId="72C46038" w:rsidR="00601FC4" w:rsidRPr="00C6309F" w:rsidRDefault="00594052" w:rsidP="00C6309F">
      <w:pPr>
        <w:numPr>
          <w:ilvl w:val="0"/>
          <w:numId w:val="3"/>
        </w:numPr>
        <w:ind w:left="0" w:firstLine="0"/>
        <w:jc w:val="both"/>
        <w:rPr>
          <w:rFonts w:ascii="Verdana" w:hAnsi="Verdana"/>
          <w:sz w:val="20"/>
          <w:lang w:val="es-MX"/>
        </w:rPr>
      </w:pPr>
      <w:bookmarkStart w:id="5" w:name="_Ref437268967"/>
      <w:r w:rsidRPr="0082778F">
        <w:rPr>
          <w:rFonts w:ascii="Verdana" w:hAnsi="Verdana"/>
          <w:sz w:val="20"/>
        </w:rPr>
        <w:t xml:space="preserve">En el ejercicio de </w:t>
      </w:r>
      <w:r w:rsidRPr="0082778F">
        <w:rPr>
          <w:rFonts w:ascii="Verdana" w:hAnsi="Verdana"/>
          <w:sz w:val="20"/>
          <w:lang w:val="es-ES"/>
        </w:rPr>
        <w:t xml:space="preserve">su función jurisdiccional de </w:t>
      </w:r>
      <w:r w:rsidRPr="0082778F">
        <w:rPr>
          <w:rFonts w:ascii="Verdana" w:hAnsi="Verdana"/>
          <w:sz w:val="20"/>
        </w:rPr>
        <w:t>supervisar el cumplimiento de sus decisiones</w:t>
      </w:r>
      <w:r w:rsidRPr="0082778F">
        <w:rPr>
          <w:rStyle w:val="FootnoteReference"/>
          <w:rFonts w:ascii="Verdana" w:hAnsi="Verdana"/>
          <w:sz w:val="20"/>
        </w:rPr>
        <w:footnoteReference w:id="4"/>
      </w:r>
      <w:r w:rsidRPr="0082778F">
        <w:rPr>
          <w:rFonts w:ascii="Verdana" w:hAnsi="Verdana"/>
          <w:sz w:val="20"/>
        </w:rPr>
        <w:t>, la Corte ha venido supervisando el cumplimiento de la Sentencia</w:t>
      </w:r>
      <w:r w:rsidRPr="0082778F">
        <w:rPr>
          <w:rFonts w:ascii="Verdana" w:hAnsi="Verdana"/>
          <w:sz w:val="20"/>
          <w:lang w:val="es-MX"/>
        </w:rPr>
        <w:t xml:space="preserve"> desde hace </w:t>
      </w:r>
      <w:r w:rsidR="00BB6C32">
        <w:rPr>
          <w:rFonts w:ascii="Verdana" w:hAnsi="Verdana"/>
          <w:sz w:val="20"/>
          <w:lang w:val="es-MX"/>
        </w:rPr>
        <w:t>siete</w:t>
      </w:r>
      <w:r w:rsidRPr="0082778F">
        <w:rPr>
          <w:rFonts w:ascii="Verdana" w:hAnsi="Verdana"/>
          <w:sz w:val="20"/>
          <w:lang w:val="es-MX"/>
        </w:rPr>
        <w:t xml:space="preserve"> años</w:t>
      </w:r>
      <w:r w:rsidR="00BB6C32">
        <w:rPr>
          <w:rFonts w:ascii="Verdana" w:hAnsi="Verdana"/>
          <w:sz w:val="20"/>
          <w:lang w:val="es-MX"/>
        </w:rPr>
        <w:t xml:space="preserve"> y cinco meses</w:t>
      </w:r>
      <w:r w:rsidRPr="0082778F">
        <w:rPr>
          <w:rFonts w:ascii="Verdana" w:hAnsi="Verdana"/>
          <w:sz w:val="20"/>
          <w:lang w:val="es-MX"/>
        </w:rPr>
        <w:t xml:space="preserve"> (</w:t>
      </w:r>
      <w:r w:rsidRPr="0082778F">
        <w:rPr>
          <w:rFonts w:ascii="Verdana" w:hAnsi="Verdana"/>
          <w:i/>
          <w:sz w:val="20"/>
          <w:lang w:val="es-MX"/>
        </w:rPr>
        <w:t>supra</w:t>
      </w:r>
      <w:r w:rsidRPr="0082778F">
        <w:rPr>
          <w:rFonts w:ascii="Verdana" w:hAnsi="Verdana"/>
          <w:sz w:val="20"/>
          <w:lang w:val="es-MX"/>
        </w:rPr>
        <w:t xml:space="preserve"> Visto 1)</w:t>
      </w:r>
      <w:r w:rsidR="004E2FE8">
        <w:rPr>
          <w:rFonts w:ascii="Verdana" w:hAnsi="Verdana"/>
          <w:sz w:val="20"/>
          <w:lang w:val="es-MX"/>
        </w:rPr>
        <w:t>.</w:t>
      </w:r>
      <w:r w:rsidR="001E0672">
        <w:rPr>
          <w:rFonts w:ascii="Verdana" w:hAnsi="Verdana"/>
          <w:sz w:val="20"/>
          <w:lang w:val="es-MX"/>
        </w:rPr>
        <w:t xml:space="preserve"> </w:t>
      </w:r>
      <w:r w:rsidR="001E0672" w:rsidRPr="009773E8">
        <w:rPr>
          <w:rFonts w:ascii="Verdana" w:hAnsi="Verdana"/>
          <w:sz w:val="20"/>
          <w:lang w:val="es-MX"/>
        </w:rPr>
        <w:t xml:space="preserve">Al respecto, en </w:t>
      </w:r>
      <w:r w:rsidR="00901DED">
        <w:rPr>
          <w:rFonts w:ascii="Verdana" w:hAnsi="Verdana"/>
          <w:sz w:val="20"/>
          <w:lang w:val="es-MX"/>
        </w:rPr>
        <w:t>dicho caso</w:t>
      </w:r>
      <w:r w:rsidR="001E0672" w:rsidRPr="009773E8">
        <w:rPr>
          <w:rFonts w:ascii="Verdana" w:hAnsi="Verdana"/>
          <w:sz w:val="20"/>
          <w:lang w:val="es-MX"/>
        </w:rPr>
        <w:t xml:space="preserve">, la Corte ordenó </w:t>
      </w:r>
      <w:r w:rsidR="00032DCA" w:rsidRPr="009773E8">
        <w:rPr>
          <w:rFonts w:ascii="Verdana" w:hAnsi="Verdana"/>
          <w:sz w:val="20"/>
          <w:lang w:val="es-MX"/>
        </w:rPr>
        <w:t>como medidas de reparación</w:t>
      </w:r>
      <w:r w:rsidR="00E32948">
        <w:rPr>
          <w:rFonts w:ascii="Verdana" w:hAnsi="Verdana"/>
          <w:sz w:val="20"/>
          <w:lang w:val="es-MX"/>
        </w:rPr>
        <w:t>:</w:t>
      </w:r>
      <w:r w:rsidR="00032DCA" w:rsidRPr="009773E8">
        <w:rPr>
          <w:rFonts w:ascii="Verdana" w:hAnsi="Verdana"/>
          <w:sz w:val="20"/>
          <w:lang w:val="es-MX"/>
        </w:rPr>
        <w:t xml:space="preserve"> el pago de</w:t>
      </w:r>
      <w:r w:rsidR="000374D9" w:rsidRPr="009773E8">
        <w:rPr>
          <w:rFonts w:ascii="Verdana" w:hAnsi="Verdana"/>
          <w:sz w:val="20"/>
          <w:lang w:val="es-MX"/>
        </w:rPr>
        <w:t xml:space="preserve"> </w:t>
      </w:r>
      <w:r w:rsidR="00032DCA" w:rsidRPr="009773E8">
        <w:rPr>
          <w:rFonts w:ascii="Verdana" w:hAnsi="Verdana"/>
          <w:sz w:val="20"/>
          <w:lang w:val="es-MX"/>
        </w:rPr>
        <w:t xml:space="preserve">indemnizaciones por concepto de daños materiales e inmateriales y el reintegro de </w:t>
      </w:r>
      <w:r w:rsidR="000374D9" w:rsidRPr="009773E8">
        <w:rPr>
          <w:rFonts w:ascii="Verdana" w:hAnsi="Verdana"/>
          <w:sz w:val="20"/>
          <w:lang w:val="es-MX"/>
        </w:rPr>
        <w:t>determinadas cantidad</w:t>
      </w:r>
      <w:r w:rsidR="001C6249" w:rsidRPr="009773E8">
        <w:rPr>
          <w:rFonts w:ascii="Verdana" w:hAnsi="Verdana"/>
          <w:sz w:val="20"/>
          <w:lang w:val="es-MX"/>
        </w:rPr>
        <w:t>es</w:t>
      </w:r>
      <w:r w:rsidR="000374D9" w:rsidRPr="009773E8">
        <w:rPr>
          <w:rFonts w:ascii="Verdana" w:hAnsi="Verdana"/>
          <w:sz w:val="20"/>
          <w:lang w:val="es-MX"/>
        </w:rPr>
        <w:t xml:space="preserve"> por concepto de </w:t>
      </w:r>
      <w:r w:rsidR="00032DCA" w:rsidRPr="009773E8">
        <w:rPr>
          <w:rFonts w:ascii="Verdana" w:hAnsi="Verdana"/>
          <w:sz w:val="20"/>
          <w:lang w:val="es-MX"/>
        </w:rPr>
        <w:t>costas y gastos</w:t>
      </w:r>
      <w:r w:rsidR="00032DCA" w:rsidRPr="009773E8">
        <w:rPr>
          <w:rStyle w:val="FootnoteReference"/>
          <w:rFonts w:ascii="Verdana" w:hAnsi="Verdana"/>
          <w:sz w:val="20"/>
          <w:lang w:val="es-MX"/>
        </w:rPr>
        <w:footnoteReference w:id="5"/>
      </w:r>
      <w:r w:rsidR="00CF696D" w:rsidRPr="009773E8">
        <w:rPr>
          <w:rFonts w:ascii="Verdana" w:hAnsi="Verdana"/>
          <w:sz w:val="20"/>
          <w:lang w:val="es-MX"/>
        </w:rPr>
        <w:t>;</w:t>
      </w:r>
      <w:r w:rsidR="00D33E6D" w:rsidRPr="009773E8">
        <w:rPr>
          <w:rFonts w:ascii="Verdana" w:hAnsi="Verdana"/>
          <w:sz w:val="20"/>
          <w:lang w:val="es-MX"/>
        </w:rPr>
        <w:t xml:space="preserve"> </w:t>
      </w:r>
      <w:r w:rsidR="00CF696D" w:rsidRPr="009773E8">
        <w:rPr>
          <w:rFonts w:ascii="Verdana" w:hAnsi="Verdana"/>
          <w:sz w:val="20"/>
          <w:lang w:val="es-MX"/>
        </w:rPr>
        <w:t>la publicación de la Sentencia</w:t>
      </w:r>
      <w:r w:rsidR="00CF696D" w:rsidRPr="009773E8">
        <w:rPr>
          <w:rStyle w:val="FootnoteReference"/>
          <w:rFonts w:ascii="Verdana" w:hAnsi="Verdana"/>
          <w:sz w:val="20"/>
          <w:lang w:val="es-MX"/>
        </w:rPr>
        <w:footnoteReference w:id="6"/>
      </w:r>
      <w:r w:rsidR="00E32948">
        <w:rPr>
          <w:rFonts w:ascii="Verdana" w:hAnsi="Verdana"/>
          <w:sz w:val="20"/>
          <w:lang w:val="es-MX"/>
        </w:rPr>
        <w:t>,</w:t>
      </w:r>
      <w:r w:rsidR="007D4790" w:rsidRPr="009773E8">
        <w:rPr>
          <w:rFonts w:ascii="Verdana" w:hAnsi="Verdana"/>
          <w:sz w:val="20"/>
          <w:lang w:val="es-MX"/>
        </w:rPr>
        <w:t xml:space="preserve"> </w:t>
      </w:r>
      <w:r w:rsidR="00B971C0" w:rsidRPr="00282756">
        <w:rPr>
          <w:rFonts w:ascii="Verdana" w:hAnsi="Verdana" w:cs="Verdana"/>
          <w:sz w:val="20"/>
        </w:rPr>
        <w:t xml:space="preserve">adoptar </w:t>
      </w:r>
      <w:r w:rsidR="00282756">
        <w:rPr>
          <w:rFonts w:ascii="Verdana" w:hAnsi="Verdana" w:cs="Verdana"/>
          <w:sz w:val="20"/>
        </w:rPr>
        <w:t>“</w:t>
      </w:r>
      <w:r w:rsidR="00282756" w:rsidRPr="00282756">
        <w:rPr>
          <w:rFonts w:ascii="Verdana" w:hAnsi="Verdana" w:cs="Verdana"/>
          <w:sz w:val="20"/>
        </w:rPr>
        <w:t xml:space="preserve">las medidas judiciales y de cualquier otra índole necesarias para que </w:t>
      </w:r>
      <w:r w:rsidR="00B971C0" w:rsidRPr="00282756">
        <w:rPr>
          <w:rFonts w:ascii="Verdana" w:hAnsi="Verdana"/>
          <w:sz w:val="20"/>
        </w:rPr>
        <w:t>en el plazo más breve posible</w:t>
      </w:r>
      <w:r w:rsidR="00B971C0" w:rsidRPr="00282756">
        <w:rPr>
          <w:rFonts w:ascii="Verdana" w:hAnsi="Verdana" w:cs="Verdana"/>
          <w:sz w:val="20"/>
        </w:rPr>
        <w:t>, la situación jurídica del señor Yvon Neptune quede totalmente definida con respecto al proceso penal abierto en su contra</w:t>
      </w:r>
      <w:r w:rsidR="00B971C0">
        <w:rPr>
          <w:rFonts w:ascii="Verdana" w:hAnsi="Verdana" w:cs="Verdana"/>
          <w:sz w:val="20"/>
        </w:rPr>
        <w:t>”</w:t>
      </w:r>
      <w:r w:rsidR="00B971C0">
        <w:rPr>
          <w:rStyle w:val="FootnoteReference"/>
          <w:rFonts w:ascii="Verdana" w:hAnsi="Verdana" w:cs="Verdana"/>
          <w:sz w:val="20"/>
        </w:rPr>
        <w:footnoteReference w:id="7"/>
      </w:r>
      <w:r w:rsidR="00D33E6D" w:rsidRPr="00B971C0">
        <w:rPr>
          <w:rFonts w:ascii="Verdana" w:hAnsi="Verdana"/>
          <w:sz w:val="20"/>
        </w:rPr>
        <w:t>.</w:t>
      </w:r>
      <w:r w:rsidR="00D33E6D">
        <w:rPr>
          <w:rFonts w:ascii="Verdana" w:hAnsi="Verdana"/>
          <w:sz w:val="20"/>
        </w:rPr>
        <w:t xml:space="preserve"> </w:t>
      </w:r>
      <w:r w:rsidR="00C6309F">
        <w:rPr>
          <w:rFonts w:ascii="Verdana" w:hAnsi="Verdana"/>
          <w:sz w:val="20"/>
        </w:rPr>
        <w:t>Además, se ordenaron las siguie</w:t>
      </w:r>
      <w:r w:rsidR="00C6309F" w:rsidRPr="009773E8">
        <w:rPr>
          <w:rFonts w:ascii="Verdana" w:hAnsi="Verdana"/>
          <w:sz w:val="20"/>
        </w:rPr>
        <w:t>ntes</w:t>
      </w:r>
      <w:r w:rsidR="00C6309F" w:rsidRPr="009773E8">
        <w:rPr>
          <w:rFonts w:ascii="Verdana" w:hAnsi="Verdana"/>
          <w:sz w:val="20"/>
          <w:lang w:val="es-MX"/>
        </w:rPr>
        <w:t xml:space="preserve"> </w:t>
      </w:r>
      <w:r w:rsidR="00865BA8" w:rsidRPr="009773E8">
        <w:rPr>
          <w:rFonts w:ascii="Verdana" w:hAnsi="Verdana"/>
          <w:sz w:val="20"/>
          <w:lang w:val="es-MX"/>
        </w:rPr>
        <w:t xml:space="preserve">garantías </w:t>
      </w:r>
      <w:r w:rsidR="001E0672" w:rsidRPr="009773E8">
        <w:rPr>
          <w:rFonts w:ascii="Verdana" w:hAnsi="Verdana"/>
          <w:sz w:val="20"/>
          <w:lang w:val="es-MX"/>
        </w:rPr>
        <w:t>de no repetición</w:t>
      </w:r>
      <w:r w:rsidR="00B971C0" w:rsidRPr="009773E8">
        <w:rPr>
          <w:rFonts w:ascii="Verdana" w:hAnsi="Verdana"/>
          <w:sz w:val="20"/>
          <w:lang w:val="es-MX"/>
        </w:rPr>
        <w:t>:</w:t>
      </w:r>
      <w:r w:rsidR="009773E8" w:rsidRPr="009773E8">
        <w:rPr>
          <w:rFonts w:ascii="Verdana" w:hAnsi="Verdana"/>
          <w:sz w:val="20"/>
          <w:lang w:val="es-MX"/>
        </w:rPr>
        <w:t xml:space="preserve"> </w:t>
      </w:r>
      <w:r w:rsidR="00F63BAF" w:rsidRPr="009773E8">
        <w:t>“</w:t>
      </w:r>
      <w:r w:rsidR="001E0672" w:rsidRPr="009773E8">
        <w:rPr>
          <w:rFonts w:ascii="Verdana" w:hAnsi="Verdana"/>
          <w:sz w:val="20"/>
          <w:lang w:val="es-MX"/>
        </w:rPr>
        <w:t>adop</w:t>
      </w:r>
      <w:r w:rsidR="00F63BAF" w:rsidRPr="009773E8">
        <w:rPr>
          <w:rFonts w:ascii="Verdana" w:hAnsi="Verdana"/>
          <w:sz w:val="20"/>
          <w:lang w:val="es-MX"/>
        </w:rPr>
        <w:t xml:space="preserve">tar, a la mayor brevedad posible, las </w:t>
      </w:r>
      <w:r w:rsidR="001E0672" w:rsidRPr="009773E8">
        <w:rPr>
          <w:rFonts w:ascii="Verdana" w:hAnsi="Verdana"/>
          <w:sz w:val="20"/>
          <w:lang w:val="es-MX"/>
        </w:rPr>
        <w:t xml:space="preserve">medidas </w:t>
      </w:r>
      <w:r w:rsidR="00F63BAF" w:rsidRPr="009773E8">
        <w:rPr>
          <w:rFonts w:ascii="Verdana" w:hAnsi="Verdana"/>
          <w:sz w:val="20"/>
          <w:lang w:val="es-MX"/>
        </w:rPr>
        <w:t xml:space="preserve">legislativas y de cualquier otra índole </w:t>
      </w:r>
      <w:r w:rsidR="001E0672" w:rsidRPr="009773E8">
        <w:rPr>
          <w:rFonts w:ascii="Verdana" w:hAnsi="Verdana"/>
          <w:sz w:val="20"/>
          <w:lang w:val="es-MX"/>
        </w:rPr>
        <w:t>para regular los procedimiento</w:t>
      </w:r>
      <w:r w:rsidR="00F63BAF" w:rsidRPr="009773E8">
        <w:rPr>
          <w:rFonts w:ascii="Verdana" w:hAnsi="Verdana"/>
          <w:sz w:val="20"/>
          <w:lang w:val="es-MX"/>
        </w:rPr>
        <w:t>s</w:t>
      </w:r>
      <w:r w:rsidR="001E0672" w:rsidRPr="009773E8">
        <w:rPr>
          <w:rFonts w:ascii="Verdana" w:hAnsi="Verdana"/>
          <w:sz w:val="20"/>
          <w:lang w:val="es-MX"/>
        </w:rPr>
        <w:t xml:space="preserve"> relativos a la Alta Corte de Justicia</w:t>
      </w:r>
      <w:r w:rsidR="00F63BAF" w:rsidRPr="009773E8">
        <w:rPr>
          <w:rFonts w:ascii="Verdana" w:hAnsi="Verdana"/>
          <w:sz w:val="20"/>
          <w:lang w:val="es-MX"/>
        </w:rPr>
        <w:t>”</w:t>
      </w:r>
      <w:r w:rsidR="00F63BAF" w:rsidRPr="009773E8">
        <w:rPr>
          <w:rStyle w:val="FootnoteReference"/>
          <w:rFonts w:ascii="Verdana" w:hAnsi="Verdana"/>
          <w:sz w:val="20"/>
          <w:lang w:val="es-MX"/>
        </w:rPr>
        <w:footnoteReference w:id="8"/>
      </w:r>
      <w:r w:rsidR="00F36A72">
        <w:rPr>
          <w:rFonts w:ascii="Verdana" w:hAnsi="Verdana"/>
          <w:sz w:val="20"/>
          <w:lang w:val="es-MX"/>
        </w:rPr>
        <w:t>,</w:t>
      </w:r>
      <w:r w:rsidR="00DA05DE" w:rsidRPr="009773E8">
        <w:rPr>
          <w:rFonts w:ascii="Verdana" w:hAnsi="Verdana"/>
          <w:sz w:val="20"/>
          <w:lang w:val="es-MX"/>
        </w:rPr>
        <w:t xml:space="preserve"> </w:t>
      </w:r>
      <w:r w:rsidR="00901DED">
        <w:rPr>
          <w:rFonts w:ascii="Verdana" w:hAnsi="Verdana"/>
          <w:sz w:val="20"/>
          <w:lang w:val="es-MX"/>
        </w:rPr>
        <w:t>y</w:t>
      </w:r>
      <w:r w:rsidR="001E0672" w:rsidRPr="009773E8">
        <w:rPr>
          <w:rFonts w:ascii="Verdana" w:hAnsi="Verdana"/>
          <w:sz w:val="20"/>
          <w:lang w:val="es-MX"/>
        </w:rPr>
        <w:t xml:space="preserve"> </w:t>
      </w:r>
      <w:r w:rsidR="00334F08" w:rsidRPr="009773E8">
        <w:rPr>
          <w:rFonts w:ascii="Verdana" w:hAnsi="Verdana"/>
          <w:sz w:val="20"/>
          <w:lang w:val="es-MX"/>
        </w:rPr>
        <w:t>“</w:t>
      </w:r>
      <w:r w:rsidR="00334F08" w:rsidRPr="009773E8">
        <w:rPr>
          <w:rFonts w:ascii="Verdana" w:hAnsi="Verdana" w:cs="Verdana"/>
          <w:sz w:val="20"/>
        </w:rPr>
        <w:t xml:space="preserve">adoptar, dentro de un plazo razonable, las medidas legislativas, administrativas, y de cualquier otra índole necesarias </w:t>
      </w:r>
      <w:r w:rsidR="001E0672" w:rsidRPr="009773E8">
        <w:rPr>
          <w:rFonts w:ascii="Verdana" w:hAnsi="Verdana"/>
          <w:sz w:val="20"/>
          <w:lang w:val="es-MX"/>
        </w:rPr>
        <w:t xml:space="preserve">para mejorar </w:t>
      </w:r>
      <w:r w:rsidR="00334F08" w:rsidRPr="009773E8">
        <w:rPr>
          <w:rFonts w:ascii="Verdana" w:hAnsi="Verdana"/>
          <w:sz w:val="20"/>
          <w:lang w:val="es-MX"/>
        </w:rPr>
        <w:t xml:space="preserve">sustancialmente </w:t>
      </w:r>
      <w:r w:rsidR="001E0672" w:rsidRPr="009773E8">
        <w:rPr>
          <w:rFonts w:ascii="Verdana" w:hAnsi="Verdana"/>
          <w:sz w:val="20"/>
          <w:lang w:val="es-MX"/>
        </w:rPr>
        <w:t>las condiciones de las cárceles haitianas,</w:t>
      </w:r>
      <w:r w:rsidR="00334F08" w:rsidRPr="009773E8">
        <w:rPr>
          <w:rFonts w:ascii="Verdana" w:hAnsi="Verdana"/>
          <w:sz w:val="20"/>
          <w:lang w:val="es-MX"/>
        </w:rPr>
        <w:t xml:space="preserve"> </w:t>
      </w:r>
      <w:r w:rsidR="00334F08" w:rsidRPr="009773E8">
        <w:rPr>
          <w:rFonts w:ascii="Verdana" w:hAnsi="Verdana" w:cs="Verdana"/>
          <w:sz w:val="20"/>
        </w:rPr>
        <w:t>adecuándolas a las normas internacionales de derechos humanos”</w:t>
      </w:r>
      <w:r w:rsidR="00ED0303" w:rsidRPr="009773E8">
        <w:rPr>
          <w:rStyle w:val="FootnoteReference"/>
          <w:rFonts w:ascii="Verdana" w:hAnsi="Verdana" w:cs="Verdana"/>
          <w:sz w:val="20"/>
        </w:rPr>
        <w:footnoteReference w:id="9"/>
      </w:r>
      <w:r w:rsidR="001E0672" w:rsidRPr="009773E8">
        <w:rPr>
          <w:rFonts w:ascii="Verdana" w:hAnsi="Verdana"/>
          <w:sz w:val="20"/>
          <w:lang w:val="es-MX"/>
        </w:rPr>
        <w:t>.</w:t>
      </w:r>
      <w:r w:rsidR="001E0672" w:rsidRPr="00C6309F">
        <w:rPr>
          <w:rFonts w:ascii="Verdana" w:hAnsi="Verdana"/>
          <w:sz w:val="20"/>
          <w:lang w:val="es-MX"/>
        </w:rPr>
        <w:t xml:space="preserve"> </w:t>
      </w:r>
      <w:r w:rsidR="00F36A72">
        <w:rPr>
          <w:rFonts w:ascii="Verdana" w:hAnsi="Verdana"/>
          <w:sz w:val="20"/>
          <w:lang w:val="es-MX"/>
        </w:rPr>
        <w:t>En este sentido</w:t>
      </w:r>
      <w:r w:rsidR="002C6959">
        <w:rPr>
          <w:rFonts w:ascii="Verdana" w:hAnsi="Verdana"/>
          <w:sz w:val="20"/>
          <w:lang w:val="es-MX"/>
        </w:rPr>
        <w:t xml:space="preserve">, </w:t>
      </w:r>
      <w:r w:rsidR="00901DED">
        <w:rPr>
          <w:rFonts w:ascii="Verdana" w:hAnsi="Verdana"/>
          <w:sz w:val="20"/>
        </w:rPr>
        <w:t>el</w:t>
      </w:r>
      <w:r w:rsidR="002C6959" w:rsidRPr="002C6959">
        <w:rPr>
          <w:rFonts w:ascii="Verdana" w:hAnsi="Verdana"/>
          <w:sz w:val="20"/>
        </w:rPr>
        <w:t xml:space="preserve"> plazo para que el Estado presentara </w:t>
      </w:r>
      <w:r w:rsidR="00901DED">
        <w:rPr>
          <w:rFonts w:ascii="Verdana" w:hAnsi="Verdana"/>
          <w:sz w:val="20"/>
        </w:rPr>
        <w:t>el</w:t>
      </w:r>
      <w:r w:rsidR="002C6959" w:rsidRPr="002C6959">
        <w:rPr>
          <w:rFonts w:ascii="Verdana" w:hAnsi="Verdana"/>
          <w:sz w:val="20"/>
        </w:rPr>
        <w:t xml:space="preserve"> informe sobre cumplimiento </w:t>
      </w:r>
      <w:r w:rsidR="002C6959">
        <w:rPr>
          <w:rFonts w:ascii="Verdana" w:hAnsi="Verdana"/>
          <w:sz w:val="20"/>
        </w:rPr>
        <w:t xml:space="preserve">requerido </w:t>
      </w:r>
      <w:r w:rsidR="00901DED">
        <w:rPr>
          <w:rFonts w:ascii="Verdana" w:hAnsi="Verdana"/>
          <w:sz w:val="20"/>
        </w:rPr>
        <w:t>en</w:t>
      </w:r>
      <w:r w:rsidR="002C6959" w:rsidRPr="002C6959">
        <w:rPr>
          <w:rFonts w:ascii="Verdana" w:hAnsi="Verdana"/>
          <w:sz w:val="20"/>
        </w:rPr>
        <w:t xml:space="preserve"> la Sentencia </w:t>
      </w:r>
      <w:r w:rsidR="00901DED">
        <w:rPr>
          <w:rFonts w:ascii="Verdana" w:hAnsi="Verdana"/>
          <w:sz w:val="20"/>
        </w:rPr>
        <w:t>venció</w:t>
      </w:r>
      <w:r w:rsidR="002C6959" w:rsidRPr="002C6959">
        <w:rPr>
          <w:rFonts w:ascii="Verdana" w:hAnsi="Verdana"/>
          <w:sz w:val="20"/>
        </w:rPr>
        <w:t xml:space="preserve"> el </w:t>
      </w:r>
      <w:r w:rsidR="00F36A72">
        <w:rPr>
          <w:rFonts w:ascii="Verdana" w:hAnsi="Verdana"/>
          <w:sz w:val="20"/>
        </w:rPr>
        <w:t xml:space="preserve">9 </w:t>
      </w:r>
      <w:r w:rsidR="002C6959" w:rsidRPr="002C6959">
        <w:rPr>
          <w:rFonts w:ascii="Verdana" w:hAnsi="Verdana"/>
          <w:sz w:val="20"/>
        </w:rPr>
        <w:t>de junio de 2009</w:t>
      </w:r>
      <w:r w:rsidR="002C6959">
        <w:rPr>
          <w:rFonts w:ascii="Verdana" w:hAnsi="Verdana"/>
          <w:sz w:val="20"/>
        </w:rPr>
        <w:t xml:space="preserve">. </w:t>
      </w:r>
      <w:r w:rsidR="004E2FE8" w:rsidRPr="00C6309F">
        <w:rPr>
          <w:rFonts w:ascii="Verdana" w:hAnsi="Verdana"/>
          <w:sz w:val="20"/>
          <w:lang w:val="es-MX"/>
        </w:rPr>
        <w:t>A pesar del prolongado tiempo transcurrido, Haití no ha proporcionado información alguna sobre el cumplimiento de la Sentencia hasta la presente fecha.</w:t>
      </w:r>
      <w:bookmarkEnd w:id="5"/>
      <w:r w:rsidR="004E2FE8" w:rsidRPr="00C6309F">
        <w:rPr>
          <w:rFonts w:ascii="Verdana" w:hAnsi="Verdana"/>
          <w:sz w:val="20"/>
          <w:lang w:val="es-MX"/>
        </w:rPr>
        <w:t xml:space="preserve"> </w:t>
      </w:r>
    </w:p>
    <w:p w14:paraId="4AF79716" w14:textId="77777777" w:rsidR="00594052" w:rsidRPr="0082778F" w:rsidRDefault="00594052" w:rsidP="00594052">
      <w:pPr>
        <w:jc w:val="both"/>
        <w:rPr>
          <w:rFonts w:ascii="Verdana" w:hAnsi="Verdana"/>
          <w:sz w:val="20"/>
          <w:lang w:val="es-MX"/>
        </w:rPr>
      </w:pPr>
    </w:p>
    <w:p w14:paraId="176BF658" w14:textId="77777777" w:rsidR="00594052" w:rsidRPr="008C5394" w:rsidRDefault="008C5394" w:rsidP="008C5394">
      <w:pPr>
        <w:numPr>
          <w:ilvl w:val="0"/>
          <w:numId w:val="3"/>
        </w:numPr>
        <w:ind w:left="0" w:firstLine="0"/>
        <w:jc w:val="both"/>
        <w:rPr>
          <w:rFonts w:ascii="Verdana" w:hAnsi="Verdana"/>
          <w:sz w:val="20"/>
          <w:lang w:val="es-ES"/>
        </w:rPr>
      </w:pPr>
      <w:bookmarkStart w:id="6" w:name="_Ref437274109"/>
      <w:r>
        <w:rPr>
          <w:rFonts w:ascii="Verdana" w:hAnsi="Verdana"/>
          <w:sz w:val="20"/>
          <w:lang w:val="es-MX"/>
        </w:rPr>
        <w:t>D</w:t>
      </w:r>
      <w:r>
        <w:rPr>
          <w:rFonts w:ascii="Verdana" w:hAnsi="Verdana"/>
          <w:sz w:val="20"/>
        </w:rPr>
        <w:t xml:space="preserve">e conformidad con lo establecido en el artículo </w:t>
      </w:r>
      <w:r>
        <w:rPr>
          <w:rFonts w:ascii="Verdana" w:hAnsi="Verdana"/>
          <w:color w:val="000000"/>
          <w:sz w:val="20"/>
          <w:lang w:val="es-CO"/>
        </w:rPr>
        <w:t>68.1 de la Convención Americana, “[l]os Estados Partes en la Convención se comprometen a cumplir la decisión de la Corte en todo caso en que sean partes”</w:t>
      </w:r>
      <w:r>
        <w:rPr>
          <w:rFonts w:ascii="Verdana" w:hAnsi="Verdana" w:cs="Verdana"/>
          <w:sz w:val="20"/>
        </w:rPr>
        <w:t xml:space="preserve">. </w:t>
      </w:r>
      <w:r>
        <w:rPr>
          <w:rFonts w:ascii="Verdana" w:hAnsi="Verdana"/>
          <w:sz w:val="20"/>
        </w:rPr>
        <w:t>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rPr>
        <w:footnoteReference w:id="10"/>
      </w:r>
      <w:r>
        <w:rPr>
          <w:rFonts w:ascii="Verdana" w:hAnsi="Verdana"/>
          <w:sz w:val="20"/>
        </w:rPr>
        <w:t xml:space="preserve">. </w:t>
      </w:r>
      <w:r w:rsidR="00594052" w:rsidRPr="008C5394">
        <w:rPr>
          <w:rFonts w:ascii="Verdana" w:eastAsia="Times New Roman" w:hAnsi="Verdana"/>
          <w:sz w:val="20"/>
          <w:shd w:val="clear" w:color="auto" w:fill="FFFFFF"/>
        </w:rPr>
        <w:t xml:space="preserve">Al efecto, cabe tener presente, además, que, según el artículo 67 de la Convención Americana, </w:t>
      </w:r>
      <w:r w:rsidR="00594052" w:rsidRPr="008C5394">
        <w:rPr>
          <w:rFonts w:ascii="Verdana" w:eastAsia="Times New Roman" w:hAnsi="Verdana"/>
          <w:sz w:val="20"/>
          <w:shd w:val="clear" w:color="auto" w:fill="FFFFFF"/>
        </w:rPr>
        <w:lastRenderedPageBreak/>
        <w:t>“[e]</w:t>
      </w:r>
      <w:r w:rsidR="00594052" w:rsidRPr="008C5394">
        <w:rPr>
          <w:rFonts w:ascii="Verdana" w:eastAsia="Calibri" w:hAnsi="Verdana" w:cs="Tahoma"/>
          <w:sz w:val="20"/>
          <w:lang w:val="es-CL"/>
        </w:rPr>
        <w:t xml:space="preserve">l fallo de la Corte será definitivo e inapelable”, de manera que, </w:t>
      </w:r>
      <w:r w:rsidR="00594052" w:rsidRPr="008C5394">
        <w:rPr>
          <w:rFonts w:ascii="Verdana" w:eastAsia="Times New Roman" w:hAnsi="Verdana"/>
          <w:sz w:val="20"/>
          <w:shd w:val="clear" w:color="auto" w:fill="FFFFFF"/>
        </w:rPr>
        <w:t>una</w:t>
      </w:r>
      <w:r w:rsidR="00594052" w:rsidRPr="008C5394">
        <w:rPr>
          <w:rFonts w:ascii="Verdana" w:eastAsia="Times New Roman" w:hAnsi="Verdana"/>
          <w:sz w:val="20"/>
          <w:lang w:val="es-CO"/>
        </w:rPr>
        <w:t xml:space="preserve"> vez que este Tribunal dicta sentencia, ella produce los efectos de cosa juzgada</w:t>
      </w:r>
      <w:r w:rsidR="00594052" w:rsidRPr="008C5394">
        <w:rPr>
          <w:rFonts w:ascii="Verdana" w:eastAsia="Times New Roman" w:hAnsi="Verdana"/>
          <w:sz w:val="20"/>
        </w:rPr>
        <w:t xml:space="preserve"> y</w:t>
      </w:r>
      <w:r w:rsidR="00594052" w:rsidRPr="008C5394">
        <w:rPr>
          <w:rFonts w:ascii="Verdana" w:eastAsia="Times New Roman" w:hAnsi="Verdana"/>
          <w:sz w:val="20"/>
          <w:shd w:val="clear" w:color="auto" w:fill="FFFFFF"/>
        </w:rPr>
        <w:t xml:space="preserve"> debe ser prontamente cumplida por el Estado en forma íntegra.</w:t>
      </w:r>
      <w:bookmarkEnd w:id="6"/>
    </w:p>
    <w:p w14:paraId="23D65D8B" w14:textId="77777777" w:rsidR="00594052" w:rsidRPr="008C5394" w:rsidRDefault="00594052" w:rsidP="00594052">
      <w:pPr>
        <w:jc w:val="both"/>
        <w:rPr>
          <w:rFonts w:ascii="Verdana" w:eastAsia="Times New Roman" w:hAnsi="Verdana"/>
          <w:sz w:val="20"/>
          <w:shd w:val="clear" w:color="auto" w:fill="FFFFFF"/>
          <w:lang w:val="es-ES"/>
        </w:rPr>
      </w:pPr>
    </w:p>
    <w:p w14:paraId="71CF7396" w14:textId="15E2C8BF" w:rsidR="00594052" w:rsidRPr="000525C6" w:rsidRDefault="00594052" w:rsidP="00594052">
      <w:pPr>
        <w:numPr>
          <w:ilvl w:val="0"/>
          <w:numId w:val="3"/>
        </w:numPr>
        <w:tabs>
          <w:tab w:val="left" w:pos="567"/>
        </w:tabs>
        <w:ind w:left="0" w:right="4" w:firstLine="0"/>
        <w:contextualSpacing/>
        <w:jc w:val="both"/>
        <w:rPr>
          <w:rFonts w:ascii="Verdana" w:hAnsi="Verdana"/>
          <w:sz w:val="18"/>
          <w:szCs w:val="18"/>
        </w:rPr>
      </w:pPr>
      <w:bookmarkStart w:id="7" w:name="_Ref437522392"/>
      <w:r w:rsidRPr="007E400D">
        <w:rPr>
          <w:rFonts w:ascii="Verdana" w:eastAsia="Times New Roman" w:hAnsi="Verdana"/>
          <w:sz w:val="20"/>
          <w:lang w:val="es-CO"/>
        </w:rPr>
        <w:t xml:space="preserve">De modo, entonces, los Estados Partes de la Convención Americana tienen la obligación convencional de implementar tanto a nivel internacional como interno y </w:t>
      </w:r>
      <w:r w:rsidRPr="007E400D">
        <w:rPr>
          <w:rFonts w:ascii="Verdana" w:eastAsia="Times New Roman" w:hAnsi="Verdana"/>
          <w:sz w:val="20"/>
        </w:rPr>
        <w:t xml:space="preserve">de forma pronta e íntegra, lo </w:t>
      </w:r>
      <w:r w:rsidRPr="007E400D">
        <w:rPr>
          <w:rFonts w:ascii="Verdana" w:eastAsia="Times New Roman" w:hAnsi="Verdana"/>
          <w:sz w:val="20"/>
          <w:lang w:val="es-CO"/>
        </w:rPr>
        <w:t>dispuesto por el Tribunal en las Sentencias que a ellos conciernan, obligación que, como lo señala el derecho internacional consuetudinario y lo ha recordado la Corte, vincula a todos los poderes y órganos estatales</w:t>
      </w:r>
      <w:r w:rsidRPr="007E400D">
        <w:rPr>
          <w:rStyle w:val="FootnoteReference"/>
          <w:rFonts w:ascii="Verdana" w:hAnsi="Verdana" w:cs="Verdana"/>
          <w:sz w:val="20"/>
        </w:rPr>
        <w:footnoteReference w:id="11"/>
      </w:r>
      <w:r w:rsidRPr="007E400D">
        <w:rPr>
          <w:rFonts w:ascii="Verdana" w:eastAsia="Times New Roman" w:hAnsi="Verdana"/>
          <w:sz w:val="20"/>
        </w:rPr>
        <w:t xml:space="preserve"> y, de no cumplirse, se incurre en un ilícito internacional</w:t>
      </w:r>
      <w:r w:rsidRPr="007E400D">
        <w:rPr>
          <w:rFonts w:ascii="Verdana" w:eastAsia="Times New Roman" w:hAnsi="Verdana"/>
          <w:sz w:val="20"/>
          <w:lang w:val="pl-PL"/>
        </w:rPr>
        <w:t>. Al respecto, es menester añadir que siempre, según el derecho internacional consuetudinario y lo afirmado por la Corte, al producirse un hecho ilícito atribuible a un Estado, surge la responsabilidad internacional de éste por violación de una norma internacional, dándose así origen a una relación jurídica nueva que consiste en la obligación de reparar</w:t>
      </w:r>
      <w:r w:rsidRPr="007E400D">
        <w:rPr>
          <w:rStyle w:val="FootnoteReference"/>
          <w:rFonts w:ascii="Verdana" w:hAnsi="Verdana"/>
          <w:sz w:val="20"/>
        </w:rPr>
        <w:footnoteReference w:id="12"/>
      </w:r>
      <w:r w:rsidRPr="007E400D">
        <w:rPr>
          <w:rFonts w:ascii="Verdana" w:eastAsia="Times New Roman" w:hAnsi="Verdana"/>
          <w:sz w:val="20"/>
          <w:lang w:val="pl-PL"/>
        </w:rPr>
        <w:t xml:space="preserve">. </w:t>
      </w:r>
      <w:r w:rsidRPr="000525C6">
        <w:rPr>
          <w:rFonts w:ascii="Verdana" w:hAnsi="Verdana"/>
          <w:sz w:val="20"/>
          <w:lang w:val="pl-PL"/>
        </w:rPr>
        <w:t>Tal como ha indicado la Corte</w:t>
      </w:r>
      <w:r w:rsidRPr="000525C6">
        <w:rPr>
          <w:rStyle w:val="FootnoteReference"/>
          <w:rFonts w:ascii="Verdana" w:hAnsi="Verdana"/>
          <w:sz w:val="20"/>
        </w:rPr>
        <w:footnoteReference w:id="13"/>
      </w:r>
      <w:r w:rsidRPr="000525C6">
        <w:rPr>
          <w:rFonts w:ascii="Verdana" w:hAnsi="Verdana"/>
          <w:sz w:val="20"/>
          <w:lang w:val="pl-PL"/>
        </w:rPr>
        <w:t>, el artículo 63.1 de la Convención reproduce el texto de una norma consuetudinaria que constituye uno de los principios fundamentales del derecho de la responsabilidad internacional de los Estados</w:t>
      </w:r>
      <w:r w:rsidRPr="000525C6">
        <w:rPr>
          <w:rStyle w:val="FootnoteReference"/>
          <w:rFonts w:ascii="Verdana" w:hAnsi="Verdana"/>
          <w:sz w:val="20"/>
        </w:rPr>
        <w:footnoteReference w:id="14"/>
      </w:r>
      <w:r w:rsidRPr="000525C6">
        <w:rPr>
          <w:rFonts w:ascii="Verdana" w:hAnsi="Verdana"/>
          <w:sz w:val="20"/>
          <w:lang w:val="pl-PL"/>
        </w:rPr>
        <w:t>.</w:t>
      </w:r>
      <w:bookmarkEnd w:id="7"/>
    </w:p>
    <w:p w14:paraId="17DB7E52" w14:textId="77777777" w:rsidR="000525C6" w:rsidRDefault="000525C6" w:rsidP="000525C6">
      <w:pPr>
        <w:pStyle w:val="ListParagraph"/>
        <w:rPr>
          <w:rFonts w:ascii="Verdana" w:hAnsi="Verdana"/>
          <w:sz w:val="18"/>
          <w:szCs w:val="18"/>
        </w:rPr>
      </w:pPr>
    </w:p>
    <w:p w14:paraId="68DB59D4" w14:textId="1F444FFE" w:rsidR="00557D4D" w:rsidRPr="00557D4D" w:rsidRDefault="008E6529" w:rsidP="00557D4D">
      <w:pPr>
        <w:numPr>
          <w:ilvl w:val="0"/>
          <w:numId w:val="3"/>
        </w:numPr>
        <w:tabs>
          <w:tab w:val="left" w:pos="567"/>
        </w:tabs>
        <w:ind w:left="0" w:right="4" w:firstLine="0"/>
        <w:contextualSpacing/>
        <w:jc w:val="both"/>
        <w:rPr>
          <w:rFonts w:ascii="Verdana" w:hAnsi="Verdana"/>
          <w:sz w:val="18"/>
          <w:szCs w:val="18"/>
        </w:rPr>
      </w:pPr>
      <w:bookmarkStart w:id="8" w:name="_Ref437522493"/>
      <w:r>
        <w:rPr>
          <w:rFonts w:ascii="Verdana" w:hAnsi="Verdana"/>
          <w:sz w:val="20"/>
        </w:rPr>
        <w:t>En este sentido</w:t>
      </w:r>
      <w:r w:rsidR="00557D4D" w:rsidRPr="00557D4D">
        <w:rPr>
          <w:rFonts w:ascii="Verdana" w:hAnsi="Verdana"/>
          <w:sz w:val="20"/>
        </w:rPr>
        <w:t>, el Estado sólo presentó un escrito mediante el cual cuestionó las conclusiones a las que llegó la Corte en su Sentencia de fondo, reparaciones y costas</w:t>
      </w:r>
      <w:r w:rsidR="00E32948">
        <w:rPr>
          <w:rFonts w:ascii="Verdana" w:hAnsi="Verdana"/>
          <w:sz w:val="20"/>
        </w:rPr>
        <w:t xml:space="preserve"> (</w:t>
      </w:r>
      <w:r w:rsidR="00E32948">
        <w:rPr>
          <w:rFonts w:ascii="Verdana" w:hAnsi="Verdana"/>
          <w:i/>
          <w:sz w:val="20"/>
        </w:rPr>
        <w:t xml:space="preserve">supra </w:t>
      </w:r>
      <w:r w:rsidR="00E32948">
        <w:rPr>
          <w:rFonts w:ascii="Verdana" w:hAnsi="Verdana"/>
          <w:sz w:val="20"/>
        </w:rPr>
        <w:t xml:space="preserve">Visto </w:t>
      </w:r>
      <w:r w:rsidR="00E32948">
        <w:rPr>
          <w:rFonts w:ascii="Verdana" w:hAnsi="Verdana"/>
          <w:sz w:val="20"/>
        </w:rPr>
        <w:fldChar w:fldCharType="begin"/>
      </w:r>
      <w:r w:rsidR="00E32948">
        <w:rPr>
          <w:rFonts w:ascii="Verdana" w:hAnsi="Verdana"/>
          <w:sz w:val="20"/>
        </w:rPr>
        <w:instrText xml:space="preserve"> REF _Ref437269987 \r \h </w:instrText>
      </w:r>
      <w:r w:rsidR="00E32948">
        <w:rPr>
          <w:rFonts w:ascii="Verdana" w:hAnsi="Verdana"/>
          <w:sz w:val="20"/>
        </w:rPr>
      </w:r>
      <w:r w:rsidR="00E32948">
        <w:rPr>
          <w:rFonts w:ascii="Verdana" w:hAnsi="Verdana"/>
          <w:sz w:val="20"/>
        </w:rPr>
        <w:fldChar w:fldCharType="separate"/>
      </w:r>
      <w:r w:rsidR="00B602F2">
        <w:rPr>
          <w:rFonts w:ascii="Verdana" w:hAnsi="Verdana"/>
          <w:sz w:val="20"/>
        </w:rPr>
        <w:t>3</w:t>
      </w:r>
      <w:r w:rsidR="00E32948">
        <w:rPr>
          <w:rFonts w:ascii="Verdana" w:hAnsi="Verdana"/>
          <w:sz w:val="20"/>
        </w:rPr>
        <w:fldChar w:fldCharType="end"/>
      </w:r>
      <w:r w:rsidR="00E32948">
        <w:rPr>
          <w:rFonts w:ascii="Verdana" w:hAnsi="Verdana"/>
          <w:sz w:val="20"/>
        </w:rPr>
        <w:t>)</w:t>
      </w:r>
      <w:r w:rsidR="00557D4D" w:rsidRPr="00557D4D">
        <w:rPr>
          <w:rFonts w:ascii="Verdana" w:hAnsi="Verdana"/>
          <w:sz w:val="20"/>
        </w:rPr>
        <w:t xml:space="preserve">. </w:t>
      </w:r>
      <w:r>
        <w:rPr>
          <w:rFonts w:ascii="Verdana" w:hAnsi="Verdana"/>
          <w:sz w:val="20"/>
        </w:rPr>
        <w:t>E</w:t>
      </w:r>
      <w:r w:rsidR="00557D4D" w:rsidRPr="00557D4D">
        <w:rPr>
          <w:rFonts w:ascii="Verdana" w:hAnsi="Verdana"/>
          <w:sz w:val="20"/>
        </w:rPr>
        <w:t xml:space="preserve">l Estado no </w:t>
      </w:r>
      <w:r w:rsidR="00542B30">
        <w:rPr>
          <w:rFonts w:ascii="Verdana" w:hAnsi="Verdana"/>
          <w:sz w:val="20"/>
        </w:rPr>
        <w:t>ha presentado</w:t>
      </w:r>
      <w:r w:rsidR="00557D4D" w:rsidRPr="00557D4D">
        <w:rPr>
          <w:rFonts w:ascii="Verdana" w:hAnsi="Verdana"/>
          <w:sz w:val="20"/>
        </w:rPr>
        <w:t xml:space="preserve"> informe</w:t>
      </w:r>
      <w:r w:rsidR="00542B30">
        <w:rPr>
          <w:rFonts w:ascii="Verdana" w:hAnsi="Verdana"/>
          <w:sz w:val="20"/>
        </w:rPr>
        <w:t xml:space="preserve"> alguno</w:t>
      </w:r>
      <w:r w:rsidR="00557D4D" w:rsidRPr="00557D4D">
        <w:rPr>
          <w:rFonts w:ascii="Verdana" w:hAnsi="Verdana"/>
          <w:sz w:val="20"/>
        </w:rPr>
        <w:t xml:space="preserve"> en el que hiciera referencia al cumplimiento de la Sentencia.</w:t>
      </w:r>
      <w:bookmarkEnd w:id="8"/>
      <w:r w:rsidR="00557D4D" w:rsidRPr="00557D4D">
        <w:rPr>
          <w:rFonts w:ascii="Verdana" w:hAnsi="Verdana"/>
          <w:sz w:val="20"/>
        </w:rPr>
        <w:t xml:space="preserve"> </w:t>
      </w:r>
    </w:p>
    <w:p w14:paraId="20718656" w14:textId="77777777" w:rsidR="00557D4D" w:rsidRDefault="00557D4D" w:rsidP="005D4754">
      <w:pPr>
        <w:pStyle w:val="ListParagraph"/>
        <w:rPr>
          <w:rFonts w:ascii="Verdana" w:hAnsi="Verdana"/>
          <w:color w:val="365F91" w:themeColor="accent1" w:themeShade="BF"/>
          <w:sz w:val="20"/>
          <w:lang w:val="es-MX"/>
        </w:rPr>
      </w:pPr>
    </w:p>
    <w:p w14:paraId="28A405E1" w14:textId="4392A5B8" w:rsidR="00EB752C" w:rsidRPr="00CD760D" w:rsidRDefault="00BD31C4" w:rsidP="00EB752C">
      <w:pPr>
        <w:numPr>
          <w:ilvl w:val="0"/>
          <w:numId w:val="3"/>
        </w:numPr>
        <w:ind w:left="0" w:firstLine="0"/>
        <w:jc w:val="both"/>
        <w:rPr>
          <w:rFonts w:ascii="Verdana" w:hAnsi="Verdana"/>
          <w:color w:val="365F91" w:themeColor="accent1" w:themeShade="BF"/>
          <w:sz w:val="20"/>
          <w:lang w:val="es-MX"/>
        </w:rPr>
      </w:pPr>
      <w:bookmarkStart w:id="9" w:name="_Ref437269647"/>
      <w:r>
        <w:rPr>
          <w:rFonts w:ascii="Verdana" w:hAnsi="Verdana"/>
          <w:sz w:val="20"/>
          <w:lang w:val="es-MX"/>
        </w:rPr>
        <w:t>L</w:t>
      </w:r>
      <w:r w:rsidR="00EB752C">
        <w:rPr>
          <w:rFonts w:ascii="Verdana" w:hAnsi="Verdana"/>
          <w:sz w:val="20"/>
        </w:rPr>
        <w:t>a</w:t>
      </w:r>
      <w:r w:rsidR="00EB752C" w:rsidRPr="00A064E5">
        <w:rPr>
          <w:rFonts w:ascii="Verdana" w:hAnsi="Verdana"/>
          <w:sz w:val="20"/>
        </w:rPr>
        <w:t xml:space="preserve"> posición asumida por Haití </w:t>
      </w:r>
      <w:r w:rsidR="008E6529">
        <w:rPr>
          <w:rFonts w:ascii="Verdana" w:hAnsi="Verdana"/>
          <w:sz w:val="20"/>
        </w:rPr>
        <w:t>con respecto a esta Sentencia</w:t>
      </w:r>
      <w:r>
        <w:rPr>
          <w:rFonts w:ascii="Verdana" w:hAnsi="Verdana"/>
          <w:sz w:val="20"/>
        </w:rPr>
        <w:t xml:space="preserve"> reviste especial gravedad</w:t>
      </w:r>
      <w:r w:rsidR="00EB752C" w:rsidRPr="00A064E5">
        <w:rPr>
          <w:rFonts w:ascii="Verdana" w:hAnsi="Verdana"/>
          <w:sz w:val="20"/>
        </w:rPr>
        <w:t xml:space="preserve">, </w:t>
      </w:r>
      <w:r w:rsidR="00EB752C">
        <w:rPr>
          <w:rFonts w:ascii="Verdana" w:hAnsi="Verdana"/>
          <w:sz w:val="20"/>
        </w:rPr>
        <w:t xml:space="preserve">ya que en septiembre de  2008, tres meses después de que le fue notificada la misma </w:t>
      </w:r>
      <w:r w:rsidR="00EB752C" w:rsidRPr="00A064E5">
        <w:rPr>
          <w:rFonts w:ascii="Verdana" w:hAnsi="Verdana"/>
          <w:sz w:val="20"/>
        </w:rPr>
        <w:t>(</w:t>
      </w:r>
      <w:r w:rsidR="00EB752C" w:rsidRPr="00A064E5">
        <w:rPr>
          <w:rFonts w:ascii="Verdana" w:hAnsi="Verdana"/>
          <w:i/>
          <w:sz w:val="20"/>
        </w:rPr>
        <w:t>supra</w:t>
      </w:r>
      <w:r w:rsidR="00EB752C">
        <w:rPr>
          <w:rFonts w:ascii="Verdana" w:hAnsi="Verdana"/>
          <w:sz w:val="20"/>
        </w:rPr>
        <w:t xml:space="preserve"> Visto</w:t>
      </w:r>
      <w:r w:rsidR="000A2A69">
        <w:rPr>
          <w:rFonts w:ascii="Verdana" w:hAnsi="Verdana"/>
          <w:sz w:val="20"/>
        </w:rPr>
        <w:t>s</w:t>
      </w:r>
      <w:r w:rsidR="00EB752C">
        <w:rPr>
          <w:rFonts w:ascii="Verdana" w:hAnsi="Verdana"/>
          <w:sz w:val="20"/>
        </w:rPr>
        <w:t xml:space="preserve"> </w:t>
      </w:r>
      <w:r w:rsidR="000A2A69">
        <w:rPr>
          <w:rFonts w:ascii="Verdana" w:hAnsi="Verdana"/>
          <w:sz w:val="20"/>
        </w:rPr>
        <w:fldChar w:fldCharType="begin"/>
      </w:r>
      <w:r w:rsidR="000A2A69">
        <w:rPr>
          <w:rFonts w:ascii="Verdana" w:hAnsi="Verdana"/>
          <w:sz w:val="20"/>
        </w:rPr>
        <w:instrText xml:space="preserve"> REF _Ref437273668 \r \h </w:instrText>
      </w:r>
      <w:r w:rsidR="000A2A69">
        <w:rPr>
          <w:rFonts w:ascii="Verdana" w:hAnsi="Verdana"/>
          <w:sz w:val="20"/>
        </w:rPr>
      </w:r>
      <w:r w:rsidR="000A2A69">
        <w:rPr>
          <w:rFonts w:ascii="Verdana" w:hAnsi="Verdana"/>
          <w:sz w:val="20"/>
        </w:rPr>
        <w:fldChar w:fldCharType="separate"/>
      </w:r>
      <w:r w:rsidR="00B602F2">
        <w:rPr>
          <w:rFonts w:ascii="Verdana" w:hAnsi="Verdana"/>
          <w:sz w:val="20"/>
        </w:rPr>
        <w:t>1</w:t>
      </w:r>
      <w:r w:rsidR="000A2A69">
        <w:rPr>
          <w:rFonts w:ascii="Verdana" w:hAnsi="Verdana"/>
          <w:sz w:val="20"/>
        </w:rPr>
        <w:fldChar w:fldCharType="end"/>
      </w:r>
      <w:r w:rsidR="000A2A69">
        <w:rPr>
          <w:rFonts w:ascii="Verdana" w:hAnsi="Verdana"/>
          <w:sz w:val="20"/>
        </w:rPr>
        <w:t xml:space="preserve"> y </w:t>
      </w:r>
      <w:r w:rsidR="000A2A69">
        <w:rPr>
          <w:rFonts w:ascii="Verdana" w:hAnsi="Verdana"/>
          <w:sz w:val="20"/>
        </w:rPr>
        <w:fldChar w:fldCharType="begin"/>
      </w:r>
      <w:r w:rsidR="000A2A69">
        <w:rPr>
          <w:rFonts w:ascii="Verdana" w:hAnsi="Verdana"/>
          <w:sz w:val="20"/>
        </w:rPr>
        <w:instrText xml:space="preserve"> REF _Ref437269987 \r \h </w:instrText>
      </w:r>
      <w:r w:rsidR="000A2A69">
        <w:rPr>
          <w:rFonts w:ascii="Verdana" w:hAnsi="Verdana"/>
          <w:sz w:val="20"/>
        </w:rPr>
      </w:r>
      <w:r w:rsidR="000A2A69">
        <w:rPr>
          <w:rFonts w:ascii="Verdana" w:hAnsi="Verdana"/>
          <w:sz w:val="20"/>
        </w:rPr>
        <w:fldChar w:fldCharType="separate"/>
      </w:r>
      <w:r w:rsidR="00B602F2">
        <w:rPr>
          <w:rFonts w:ascii="Verdana" w:hAnsi="Verdana"/>
          <w:sz w:val="20"/>
        </w:rPr>
        <w:t>3</w:t>
      </w:r>
      <w:r w:rsidR="000A2A69">
        <w:rPr>
          <w:rFonts w:ascii="Verdana" w:hAnsi="Verdana"/>
          <w:sz w:val="20"/>
        </w:rPr>
        <w:fldChar w:fldCharType="end"/>
      </w:r>
      <w:r w:rsidR="00EB752C">
        <w:rPr>
          <w:rFonts w:ascii="Verdana" w:hAnsi="Verdana"/>
          <w:sz w:val="20"/>
        </w:rPr>
        <w:t>), presentó un escrito en el cual</w:t>
      </w:r>
      <w:r w:rsidR="00EB752C" w:rsidRPr="00A064E5">
        <w:rPr>
          <w:rFonts w:ascii="Verdana" w:hAnsi="Verdana"/>
          <w:sz w:val="20"/>
          <w:lang w:val="es-MX"/>
        </w:rPr>
        <w:t>,</w:t>
      </w:r>
      <w:r w:rsidR="00EB752C" w:rsidRPr="00A064E5">
        <w:rPr>
          <w:rFonts w:ascii="Verdana" w:hAnsi="Verdana"/>
          <w:color w:val="00B050"/>
          <w:sz w:val="20"/>
          <w:lang w:val="es-CR"/>
        </w:rPr>
        <w:t xml:space="preserve"> </w:t>
      </w:r>
      <w:r w:rsidR="00EB752C">
        <w:rPr>
          <w:rFonts w:ascii="Verdana" w:hAnsi="Verdana"/>
          <w:i/>
          <w:sz w:val="20"/>
          <w:lang w:val="es-CR"/>
        </w:rPr>
        <w:t>inter alia</w:t>
      </w:r>
      <w:r w:rsidR="00E32948" w:rsidRPr="00E32948">
        <w:rPr>
          <w:rFonts w:ascii="Verdana" w:hAnsi="Verdana"/>
          <w:sz w:val="20"/>
          <w:lang w:val="es-CR"/>
        </w:rPr>
        <w:t>:</w:t>
      </w:r>
      <w:r w:rsidR="000A2A69">
        <w:rPr>
          <w:rFonts w:ascii="Verdana" w:hAnsi="Verdana"/>
          <w:sz w:val="20"/>
          <w:lang w:val="es-CR"/>
        </w:rPr>
        <w:t xml:space="preserve"> señaló</w:t>
      </w:r>
      <w:r w:rsidR="00EB752C" w:rsidRPr="00A064E5">
        <w:rPr>
          <w:rFonts w:ascii="Verdana" w:hAnsi="Verdana"/>
          <w:i/>
          <w:sz w:val="20"/>
          <w:lang w:val="es-CR"/>
        </w:rPr>
        <w:t xml:space="preserve"> </w:t>
      </w:r>
      <w:r w:rsidR="00EB752C" w:rsidRPr="00A064E5">
        <w:rPr>
          <w:rFonts w:ascii="Verdana" w:hAnsi="Verdana"/>
          <w:sz w:val="20"/>
          <w:lang w:val="es-CR"/>
        </w:rPr>
        <w:t xml:space="preserve">que la Sentencia era </w:t>
      </w:r>
      <w:r w:rsidR="00EB752C">
        <w:rPr>
          <w:rFonts w:ascii="Verdana" w:hAnsi="Verdana"/>
          <w:sz w:val="20"/>
          <w:lang w:val="es-CR"/>
        </w:rPr>
        <w:t>“</w:t>
      </w:r>
      <w:r w:rsidR="00EB752C" w:rsidRPr="00A064E5">
        <w:rPr>
          <w:rFonts w:ascii="Verdana" w:hAnsi="Verdana"/>
          <w:sz w:val="20"/>
          <w:lang w:val="es-CR"/>
        </w:rPr>
        <w:t>injusta</w:t>
      </w:r>
      <w:r w:rsidR="00EB752C">
        <w:rPr>
          <w:rFonts w:ascii="Verdana" w:hAnsi="Verdana"/>
          <w:sz w:val="20"/>
          <w:lang w:val="es-CR"/>
        </w:rPr>
        <w:t>”</w:t>
      </w:r>
      <w:r w:rsidR="00EB752C" w:rsidRPr="00A064E5">
        <w:rPr>
          <w:rFonts w:ascii="Verdana" w:hAnsi="Verdana"/>
          <w:sz w:val="20"/>
          <w:lang w:val="es-CR"/>
        </w:rPr>
        <w:t xml:space="preserve"> e </w:t>
      </w:r>
      <w:r w:rsidR="00EB752C">
        <w:rPr>
          <w:rFonts w:ascii="Verdana" w:hAnsi="Verdana"/>
          <w:sz w:val="20"/>
          <w:lang w:val="es-CR"/>
        </w:rPr>
        <w:t>“</w:t>
      </w:r>
      <w:r w:rsidR="00EB752C" w:rsidRPr="00A064E5">
        <w:rPr>
          <w:rFonts w:ascii="Verdana" w:hAnsi="Verdana"/>
          <w:sz w:val="20"/>
          <w:lang w:val="es-CR"/>
        </w:rPr>
        <w:t>inapropiada</w:t>
      </w:r>
      <w:r w:rsidR="00EB752C">
        <w:rPr>
          <w:rFonts w:ascii="Verdana" w:hAnsi="Verdana"/>
          <w:sz w:val="20"/>
          <w:lang w:val="es-CR"/>
        </w:rPr>
        <w:t>”</w:t>
      </w:r>
      <w:r w:rsidR="00EB752C" w:rsidRPr="00A064E5">
        <w:rPr>
          <w:rFonts w:ascii="Verdana" w:hAnsi="Verdana"/>
          <w:sz w:val="20"/>
          <w:lang w:val="es-CR"/>
        </w:rPr>
        <w:t xml:space="preserve"> por no tener en cuenta la realidad del país</w:t>
      </w:r>
      <w:r w:rsidR="00E32948">
        <w:rPr>
          <w:rFonts w:ascii="Verdana" w:hAnsi="Verdana"/>
          <w:sz w:val="20"/>
          <w:lang w:val="es-CR"/>
        </w:rPr>
        <w:t>;</w:t>
      </w:r>
      <w:r w:rsidR="00EB752C">
        <w:rPr>
          <w:rFonts w:ascii="Verdana" w:hAnsi="Verdana"/>
          <w:sz w:val="20"/>
          <w:lang w:val="es-CR"/>
        </w:rPr>
        <w:t xml:space="preserve"> </w:t>
      </w:r>
      <w:r w:rsidR="00EB752C" w:rsidRPr="00A064E5">
        <w:rPr>
          <w:rFonts w:ascii="Verdana" w:hAnsi="Verdana"/>
          <w:sz w:val="20"/>
          <w:lang w:val="es-CR"/>
        </w:rPr>
        <w:t>cuestion</w:t>
      </w:r>
      <w:r w:rsidR="00EB752C">
        <w:rPr>
          <w:rFonts w:ascii="Verdana" w:hAnsi="Verdana"/>
          <w:sz w:val="20"/>
          <w:lang w:val="es-CR"/>
        </w:rPr>
        <w:t>ó</w:t>
      </w:r>
      <w:r w:rsidR="00EB752C" w:rsidRPr="00A064E5">
        <w:rPr>
          <w:rFonts w:ascii="Verdana" w:hAnsi="Verdana"/>
          <w:sz w:val="20"/>
          <w:lang w:val="es-CR"/>
        </w:rPr>
        <w:t xml:space="preserve"> las conclusiones sobre los derechos violados a </w:t>
      </w:r>
      <w:r w:rsidR="00EB752C">
        <w:rPr>
          <w:rFonts w:ascii="Verdana" w:hAnsi="Verdana"/>
          <w:sz w:val="20"/>
          <w:lang w:val="es-CR"/>
        </w:rPr>
        <w:t xml:space="preserve">las </w:t>
      </w:r>
      <w:r w:rsidR="00EB752C" w:rsidRPr="00A064E5">
        <w:rPr>
          <w:rFonts w:ascii="Verdana" w:hAnsi="Verdana"/>
          <w:sz w:val="20"/>
          <w:lang w:val="es-CR"/>
        </w:rPr>
        <w:t>que había lleg</w:t>
      </w:r>
      <w:r w:rsidR="00EB752C">
        <w:rPr>
          <w:rFonts w:ascii="Verdana" w:hAnsi="Verdana"/>
          <w:sz w:val="20"/>
          <w:lang w:val="es-CR"/>
        </w:rPr>
        <w:t>ado la Corte en la misma</w:t>
      </w:r>
      <w:r w:rsidR="000A2A69">
        <w:rPr>
          <w:rFonts w:ascii="Verdana" w:hAnsi="Verdana"/>
          <w:sz w:val="20"/>
          <w:lang w:val="es-CR"/>
        </w:rPr>
        <w:t>,</w:t>
      </w:r>
      <w:r w:rsidR="00EB752C">
        <w:rPr>
          <w:rFonts w:ascii="Verdana" w:hAnsi="Verdana"/>
          <w:sz w:val="20"/>
          <w:lang w:val="es-CR"/>
        </w:rPr>
        <w:t xml:space="preserve"> e </w:t>
      </w:r>
      <w:r w:rsidR="00EB752C" w:rsidRPr="00A064E5">
        <w:rPr>
          <w:rFonts w:ascii="Verdana" w:hAnsi="Verdana"/>
          <w:sz w:val="20"/>
          <w:lang w:val="es-CR"/>
        </w:rPr>
        <w:t>hizo observaciones relacionadas al fondo del caso</w:t>
      </w:r>
      <w:r w:rsidR="00EB752C">
        <w:rPr>
          <w:rFonts w:ascii="Verdana" w:hAnsi="Verdana"/>
          <w:sz w:val="20"/>
          <w:lang w:val="es-CR"/>
        </w:rPr>
        <w:t>. Asimismo,</w:t>
      </w:r>
      <w:r w:rsidR="00EB752C" w:rsidRPr="00A064E5">
        <w:rPr>
          <w:rFonts w:ascii="Verdana" w:hAnsi="Verdana"/>
          <w:sz w:val="20"/>
          <w:lang w:val="es-CR"/>
        </w:rPr>
        <w:t xml:space="preserve"> afirmó que la ejecuc</w:t>
      </w:r>
      <w:r w:rsidR="00EB752C">
        <w:rPr>
          <w:rFonts w:ascii="Verdana" w:hAnsi="Verdana"/>
          <w:sz w:val="20"/>
          <w:lang w:val="es-CR"/>
        </w:rPr>
        <w:t>ión de la Sentencia expondría a</w:t>
      </w:r>
      <w:r w:rsidR="00EB752C" w:rsidRPr="00A064E5">
        <w:rPr>
          <w:rFonts w:ascii="Verdana" w:hAnsi="Verdana"/>
          <w:sz w:val="20"/>
          <w:lang w:val="es-CR"/>
        </w:rPr>
        <w:t xml:space="preserve"> Haití a una </w:t>
      </w:r>
      <w:r w:rsidR="00EB752C">
        <w:rPr>
          <w:rFonts w:ascii="Verdana" w:hAnsi="Verdana"/>
          <w:sz w:val="20"/>
          <w:lang w:val="es-CR"/>
        </w:rPr>
        <w:t>“</w:t>
      </w:r>
      <w:r w:rsidR="00EB752C" w:rsidRPr="00A064E5">
        <w:rPr>
          <w:rFonts w:ascii="Verdana" w:hAnsi="Verdana"/>
          <w:sz w:val="20"/>
          <w:lang w:val="es-CR"/>
        </w:rPr>
        <w:t>desestabilización permanente</w:t>
      </w:r>
      <w:r w:rsidR="00EB752C">
        <w:rPr>
          <w:rFonts w:ascii="Verdana" w:hAnsi="Verdana"/>
          <w:sz w:val="20"/>
          <w:lang w:val="es-CR"/>
        </w:rPr>
        <w:t>”</w:t>
      </w:r>
      <w:r w:rsidR="00EB752C">
        <w:rPr>
          <w:rStyle w:val="FootnoteReference"/>
          <w:rFonts w:ascii="Verdana" w:hAnsi="Verdana"/>
          <w:sz w:val="20"/>
          <w:lang w:val="es-CR"/>
        </w:rPr>
        <w:footnoteReference w:id="15"/>
      </w:r>
      <w:r w:rsidR="00EB752C" w:rsidRPr="00A064E5">
        <w:rPr>
          <w:rFonts w:ascii="Verdana" w:hAnsi="Verdana"/>
          <w:sz w:val="20"/>
          <w:lang w:val="es-CR"/>
        </w:rPr>
        <w:t>.</w:t>
      </w:r>
      <w:r w:rsidR="00EB752C">
        <w:rPr>
          <w:rFonts w:ascii="Verdana" w:hAnsi="Verdana"/>
          <w:sz w:val="20"/>
          <w:lang w:val="es-CR"/>
        </w:rPr>
        <w:t xml:space="preserve"> Más aún, el Estado no dio respuesta alguna a la solicitud que le hizo el Presidente del Tribunal en agosto de 2015 </w:t>
      </w:r>
      <w:r w:rsidR="004E66DE">
        <w:rPr>
          <w:rFonts w:ascii="Verdana" w:hAnsi="Verdana"/>
          <w:sz w:val="20"/>
          <w:lang w:val="es-CR"/>
        </w:rPr>
        <w:t>para</w:t>
      </w:r>
      <w:r w:rsidR="00EB752C">
        <w:rPr>
          <w:rFonts w:ascii="Verdana" w:hAnsi="Verdana"/>
          <w:sz w:val="20"/>
          <w:lang w:val="es-CR"/>
        </w:rPr>
        <w:t xml:space="preserve"> </w:t>
      </w:r>
      <w:r w:rsidR="00EB752C" w:rsidRPr="00EE5FCB">
        <w:rPr>
          <w:rFonts w:ascii="Verdana" w:hAnsi="Verdana"/>
          <w:sz w:val="20"/>
        </w:rPr>
        <w:t xml:space="preserve">que señalara si mantenía la posición indicada en </w:t>
      </w:r>
      <w:r w:rsidR="00EB752C">
        <w:rPr>
          <w:rFonts w:ascii="Verdana" w:hAnsi="Verdana"/>
          <w:sz w:val="20"/>
        </w:rPr>
        <w:t xml:space="preserve">el referido </w:t>
      </w:r>
      <w:r w:rsidR="00EB752C" w:rsidRPr="00EE5FCB">
        <w:rPr>
          <w:rFonts w:ascii="Verdana" w:hAnsi="Verdana"/>
          <w:sz w:val="20"/>
        </w:rPr>
        <w:t>escrito de septiembre de 2008 (</w:t>
      </w:r>
      <w:r w:rsidR="00EB752C" w:rsidRPr="00EE5FCB">
        <w:rPr>
          <w:rFonts w:ascii="Verdana" w:hAnsi="Verdana"/>
          <w:i/>
          <w:sz w:val="20"/>
        </w:rPr>
        <w:t>supra</w:t>
      </w:r>
      <w:r w:rsidR="00EB752C" w:rsidRPr="00EE5FCB">
        <w:rPr>
          <w:rFonts w:ascii="Verdana" w:hAnsi="Verdana"/>
          <w:sz w:val="20"/>
        </w:rPr>
        <w:t xml:space="preserve"> Visto </w:t>
      </w:r>
      <w:r w:rsidR="004E66DE">
        <w:rPr>
          <w:rFonts w:ascii="Verdana" w:hAnsi="Verdana"/>
          <w:sz w:val="20"/>
        </w:rPr>
        <w:fldChar w:fldCharType="begin"/>
      </w:r>
      <w:r w:rsidR="004E66DE">
        <w:rPr>
          <w:rFonts w:ascii="Verdana" w:hAnsi="Verdana"/>
          <w:sz w:val="20"/>
        </w:rPr>
        <w:instrText xml:space="preserve"> REF _Ref437273840 \r \h </w:instrText>
      </w:r>
      <w:r w:rsidR="004E66DE">
        <w:rPr>
          <w:rFonts w:ascii="Verdana" w:hAnsi="Verdana"/>
          <w:sz w:val="20"/>
        </w:rPr>
      </w:r>
      <w:r w:rsidR="004E66DE">
        <w:rPr>
          <w:rFonts w:ascii="Verdana" w:hAnsi="Verdana"/>
          <w:sz w:val="20"/>
        </w:rPr>
        <w:fldChar w:fldCharType="separate"/>
      </w:r>
      <w:r w:rsidR="00B602F2">
        <w:rPr>
          <w:rFonts w:ascii="Verdana" w:hAnsi="Verdana"/>
          <w:sz w:val="20"/>
        </w:rPr>
        <w:t>5</w:t>
      </w:r>
      <w:r w:rsidR="004E66DE">
        <w:rPr>
          <w:rFonts w:ascii="Verdana" w:hAnsi="Verdana"/>
          <w:sz w:val="20"/>
        </w:rPr>
        <w:fldChar w:fldCharType="end"/>
      </w:r>
      <w:r w:rsidR="00EB752C" w:rsidRPr="00EE5FCB">
        <w:rPr>
          <w:rFonts w:ascii="Verdana" w:hAnsi="Verdana"/>
          <w:sz w:val="20"/>
        </w:rPr>
        <w:t>)</w:t>
      </w:r>
      <w:r w:rsidR="00EB752C">
        <w:rPr>
          <w:rFonts w:ascii="Verdana" w:hAnsi="Verdana"/>
          <w:sz w:val="20"/>
        </w:rPr>
        <w:t xml:space="preserve">, ni presentó en alguna oportunidad posterior información sobre el cumplimiento de la Sentencia, a más de </w:t>
      </w:r>
      <w:r w:rsidR="004E66DE">
        <w:rPr>
          <w:rFonts w:ascii="Verdana" w:hAnsi="Verdana"/>
          <w:sz w:val="20"/>
        </w:rPr>
        <w:t>siete</w:t>
      </w:r>
      <w:r w:rsidR="00EB752C">
        <w:rPr>
          <w:rFonts w:ascii="Verdana" w:hAnsi="Verdana"/>
          <w:sz w:val="20"/>
        </w:rPr>
        <w:t xml:space="preserve"> años de la notificación</w:t>
      </w:r>
      <w:r w:rsidR="00D94653">
        <w:rPr>
          <w:rFonts w:ascii="Verdana" w:hAnsi="Verdana"/>
          <w:sz w:val="20"/>
        </w:rPr>
        <w:t xml:space="preserve"> la misma</w:t>
      </w:r>
      <w:r w:rsidR="00EB752C" w:rsidRPr="00EE5FCB">
        <w:rPr>
          <w:rFonts w:ascii="Verdana" w:hAnsi="Verdana"/>
          <w:sz w:val="20"/>
        </w:rPr>
        <w:t xml:space="preserve">. </w:t>
      </w:r>
      <w:r w:rsidR="009C1BF9">
        <w:rPr>
          <w:rFonts w:ascii="Verdana" w:hAnsi="Verdana"/>
          <w:sz w:val="20"/>
        </w:rPr>
        <w:t>L</w:t>
      </w:r>
      <w:r w:rsidR="00576AE5">
        <w:rPr>
          <w:rFonts w:ascii="Verdana" w:hAnsi="Verdana"/>
          <w:sz w:val="20"/>
        </w:rPr>
        <w:t>os representantes de la víctima presentaron un escrito (</w:t>
      </w:r>
      <w:r w:rsidR="00576AE5" w:rsidRPr="00576AE5">
        <w:rPr>
          <w:rFonts w:ascii="Verdana" w:hAnsi="Verdana"/>
          <w:i/>
          <w:sz w:val="20"/>
        </w:rPr>
        <w:t>supra</w:t>
      </w:r>
      <w:r w:rsidR="00576AE5">
        <w:rPr>
          <w:rFonts w:ascii="Verdana" w:hAnsi="Verdana"/>
          <w:sz w:val="20"/>
        </w:rPr>
        <w:t xml:space="preserve"> Visto</w:t>
      </w:r>
      <w:r w:rsidR="00052B94">
        <w:rPr>
          <w:rFonts w:ascii="Verdana" w:hAnsi="Verdana"/>
          <w:sz w:val="20"/>
        </w:rPr>
        <w:t xml:space="preserve"> </w:t>
      </w:r>
      <w:r w:rsidR="00E848E5">
        <w:rPr>
          <w:rFonts w:ascii="Verdana" w:hAnsi="Verdana"/>
          <w:sz w:val="20"/>
        </w:rPr>
        <w:fldChar w:fldCharType="begin"/>
      </w:r>
      <w:r w:rsidR="00E848E5">
        <w:rPr>
          <w:rFonts w:ascii="Verdana" w:hAnsi="Verdana"/>
          <w:sz w:val="20"/>
        </w:rPr>
        <w:instrText xml:space="preserve"> REF _Ref437273540 \r \h </w:instrText>
      </w:r>
      <w:r w:rsidR="00E848E5">
        <w:rPr>
          <w:rFonts w:ascii="Verdana" w:hAnsi="Verdana"/>
          <w:sz w:val="20"/>
        </w:rPr>
      </w:r>
      <w:r w:rsidR="00E848E5">
        <w:rPr>
          <w:rFonts w:ascii="Verdana" w:hAnsi="Verdana"/>
          <w:sz w:val="20"/>
        </w:rPr>
        <w:fldChar w:fldCharType="separate"/>
      </w:r>
      <w:r w:rsidR="00B602F2">
        <w:rPr>
          <w:rFonts w:ascii="Verdana" w:hAnsi="Verdana"/>
          <w:sz w:val="20"/>
        </w:rPr>
        <w:t>4</w:t>
      </w:r>
      <w:r w:rsidR="00E848E5">
        <w:rPr>
          <w:rFonts w:ascii="Verdana" w:hAnsi="Verdana"/>
          <w:sz w:val="20"/>
        </w:rPr>
        <w:fldChar w:fldCharType="end"/>
      </w:r>
      <w:r w:rsidR="00576AE5">
        <w:rPr>
          <w:rFonts w:ascii="Verdana" w:hAnsi="Verdana"/>
          <w:sz w:val="20"/>
        </w:rPr>
        <w:t xml:space="preserve">) en el cual </w:t>
      </w:r>
      <w:r w:rsidR="00576AE5" w:rsidRPr="00DC4AAB">
        <w:rPr>
          <w:rFonts w:ascii="Verdana" w:hAnsi="Verdana"/>
          <w:sz w:val="20"/>
        </w:rPr>
        <w:lastRenderedPageBreak/>
        <w:t xml:space="preserve">manifestaron </w:t>
      </w:r>
      <w:r w:rsidR="00052B94" w:rsidRPr="00DC4AAB">
        <w:rPr>
          <w:rFonts w:ascii="Verdana" w:hAnsi="Verdana"/>
          <w:sz w:val="20"/>
        </w:rPr>
        <w:t>que el Estado no habría dado cumplimiento a ninguno de los pun</w:t>
      </w:r>
      <w:r w:rsidR="00A31253" w:rsidRPr="00DC4AAB">
        <w:rPr>
          <w:rFonts w:ascii="Verdana" w:hAnsi="Verdana"/>
          <w:sz w:val="20"/>
        </w:rPr>
        <w:t>tos resolutivos ordenados</w:t>
      </w:r>
      <w:r w:rsidR="00A31253" w:rsidRPr="00DC4AAB">
        <w:rPr>
          <w:rStyle w:val="FootnoteReference"/>
          <w:rFonts w:ascii="Verdana" w:hAnsi="Verdana"/>
          <w:sz w:val="20"/>
        </w:rPr>
        <w:footnoteReference w:id="16"/>
      </w:r>
      <w:r w:rsidR="00576AE5" w:rsidRPr="00DC4AAB">
        <w:rPr>
          <w:rFonts w:ascii="Verdana" w:hAnsi="Verdana"/>
          <w:sz w:val="20"/>
        </w:rPr>
        <w:t>.</w:t>
      </w:r>
      <w:bookmarkEnd w:id="9"/>
      <w:r w:rsidR="00576AE5">
        <w:rPr>
          <w:rFonts w:ascii="Verdana" w:hAnsi="Verdana"/>
          <w:sz w:val="20"/>
        </w:rPr>
        <w:t xml:space="preserve"> </w:t>
      </w:r>
    </w:p>
    <w:p w14:paraId="358AB9F9" w14:textId="77777777" w:rsidR="00594052" w:rsidRDefault="00594052" w:rsidP="00594052">
      <w:pPr>
        <w:pStyle w:val="ListParagraph"/>
      </w:pPr>
    </w:p>
    <w:p w14:paraId="260D5CAD" w14:textId="317CB3FE" w:rsidR="00594052" w:rsidRDefault="009A557C" w:rsidP="00594052">
      <w:pPr>
        <w:numPr>
          <w:ilvl w:val="0"/>
          <w:numId w:val="3"/>
        </w:numPr>
        <w:ind w:left="0" w:firstLine="0"/>
        <w:jc w:val="both"/>
        <w:rPr>
          <w:rFonts w:ascii="Verdana" w:hAnsi="Verdana"/>
          <w:sz w:val="20"/>
          <w:lang w:val="es-MX"/>
        </w:rPr>
      </w:pPr>
      <w:r>
        <w:rPr>
          <w:rFonts w:ascii="Verdana" w:hAnsi="Verdana"/>
          <w:sz w:val="20"/>
        </w:rPr>
        <w:t>En cuanto al cumplimiento de la Sentencia,</w:t>
      </w:r>
      <w:r w:rsidR="007A73D2">
        <w:rPr>
          <w:rFonts w:ascii="Verdana" w:hAnsi="Verdana"/>
          <w:sz w:val="20"/>
        </w:rPr>
        <w:t xml:space="preserve"> e</w:t>
      </w:r>
      <w:r w:rsidR="00BA7C51">
        <w:rPr>
          <w:rFonts w:ascii="Verdana" w:hAnsi="Verdana"/>
          <w:sz w:val="20"/>
        </w:rPr>
        <w:t xml:space="preserve">l Tribunal estima inaceptable que </w:t>
      </w:r>
      <w:r w:rsidR="00BA7C51" w:rsidRPr="00620859">
        <w:rPr>
          <w:rFonts w:ascii="Verdana" w:hAnsi="Verdana"/>
          <w:sz w:val="20"/>
        </w:rPr>
        <w:t>Haití</w:t>
      </w:r>
      <w:r w:rsidR="00BA7C51" w:rsidRPr="00620859">
        <w:rPr>
          <w:rFonts w:ascii="Verdana" w:hAnsi="Verdana"/>
          <w:sz w:val="20"/>
          <w:lang w:val="es-MX"/>
        </w:rPr>
        <w:t xml:space="preserve"> </w:t>
      </w:r>
      <w:r w:rsidR="00BA7C51">
        <w:rPr>
          <w:rFonts w:ascii="Verdana" w:hAnsi="Verdana"/>
          <w:sz w:val="20"/>
        </w:rPr>
        <w:t>pretenda</w:t>
      </w:r>
      <w:r w:rsidR="00BA7C51" w:rsidRPr="00620859">
        <w:rPr>
          <w:rFonts w:ascii="Verdana" w:hAnsi="Verdana"/>
          <w:sz w:val="20"/>
        </w:rPr>
        <w:t xml:space="preserve"> reabrir debates que no corresponden a esta e</w:t>
      </w:r>
      <w:r w:rsidR="004F4641">
        <w:rPr>
          <w:rFonts w:ascii="Verdana" w:hAnsi="Verdana"/>
          <w:sz w:val="20"/>
        </w:rPr>
        <w:t xml:space="preserve">tapa del proceso internacional. </w:t>
      </w:r>
      <w:r w:rsidR="00594052" w:rsidRPr="00620859">
        <w:rPr>
          <w:rFonts w:ascii="Verdana" w:hAnsi="Verdana"/>
          <w:sz w:val="20"/>
        </w:rPr>
        <w:t xml:space="preserve">La postura adoptada por el Estado </w:t>
      </w:r>
      <w:r w:rsidR="00C90C53">
        <w:rPr>
          <w:rFonts w:ascii="Verdana" w:hAnsi="Verdana"/>
          <w:sz w:val="20"/>
        </w:rPr>
        <w:t xml:space="preserve">en la etapa de supervisión de cumplimiento </w:t>
      </w:r>
      <w:r w:rsidR="00594052" w:rsidRPr="00620859">
        <w:rPr>
          <w:rFonts w:ascii="Verdana" w:hAnsi="Verdana"/>
          <w:sz w:val="20"/>
        </w:rPr>
        <w:t xml:space="preserve">constituye un cuestionamiento a lo decidido por la Corte en </w:t>
      </w:r>
      <w:r w:rsidR="00594052">
        <w:rPr>
          <w:rFonts w:ascii="Verdana" w:hAnsi="Verdana"/>
          <w:sz w:val="20"/>
          <w:lang w:val="es-MX"/>
        </w:rPr>
        <w:t xml:space="preserve">dicha Sentencia, </w:t>
      </w:r>
      <w:r w:rsidR="00594052" w:rsidRPr="00215413">
        <w:rPr>
          <w:rFonts w:ascii="Verdana" w:hAnsi="Verdana"/>
          <w:sz w:val="20"/>
        </w:rPr>
        <w:t xml:space="preserve">lo cual resulta inadmisible de conformidad con el artículo 67 de la Convención Americana </w:t>
      </w:r>
      <w:r w:rsidR="004E66DE">
        <w:rPr>
          <w:rFonts w:ascii="Verdana" w:hAnsi="Verdana"/>
          <w:sz w:val="20"/>
        </w:rPr>
        <w:t>(</w:t>
      </w:r>
      <w:r w:rsidR="004E66DE">
        <w:rPr>
          <w:rFonts w:ascii="Verdana" w:hAnsi="Verdana"/>
          <w:i/>
          <w:sz w:val="20"/>
        </w:rPr>
        <w:t>supra</w:t>
      </w:r>
      <w:r w:rsidR="004E66DE">
        <w:rPr>
          <w:rFonts w:ascii="Verdana" w:hAnsi="Verdana"/>
          <w:sz w:val="20"/>
        </w:rPr>
        <w:t xml:space="preserve"> Considerando </w:t>
      </w:r>
      <w:r w:rsidR="004E66DE">
        <w:rPr>
          <w:rFonts w:ascii="Verdana" w:hAnsi="Verdana"/>
          <w:sz w:val="20"/>
        </w:rPr>
        <w:fldChar w:fldCharType="begin"/>
      </w:r>
      <w:r w:rsidR="004E66DE">
        <w:rPr>
          <w:rFonts w:ascii="Verdana" w:hAnsi="Verdana"/>
          <w:sz w:val="20"/>
        </w:rPr>
        <w:instrText xml:space="preserve"> REF _Ref437274109 \r \h </w:instrText>
      </w:r>
      <w:r w:rsidR="004E66DE">
        <w:rPr>
          <w:rFonts w:ascii="Verdana" w:hAnsi="Verdana"/>
          <w:sz w:val="20"/>
        </w:rPr>
      </w:r>
      <w:r w:rsidR="004E66DE">
        <w:rPr>
          <w:rFonts w:ascii="Verdana" w:hAnsi="Verdana"/>
          <w:sz w:val="20"/>
        </w:rPr>
        <w:fldChar w:fldCharType="separate"/>
      </w:r>
      <w:r w:rsidR="00B602F2">
        <w:rPr>
          <w:rFonts w:ascii="Verdana" w:hAnsi="Verdana"/>
          <w:sz w:val="20"/>
        </w:rPr>
        <w:t>2</w:t>
      </w:r>
      <w:r w:rsidR="004E66DE">
        <w:rPr>
          <w:rFonts w:ascii="Verdana" w:hAnsi="Verdana"/>
          <w:sz w:val="20"/>
        </w:rPr>
        <w:fldChar w:fldCharType="end"/>
      </w:r>
      <w:r w:rsidR="004E66DE">
        <w:rPr>
          <w:rFonts w:ascii="Verdana" w:hAnsi="Verdana"/>
          <w:sz w:val="20"/>
        </w:rPr>
        <w:t>)</w:t>
      </w:r>
      <w:r w:rsidR="00594052" w:rsidRPr="00215413">
        <w:rPr>
          <w:rFonts w:ascii="Verdana" w:hAnsi="Verdana"/>
          <w:sz w:val="20"/>
        </w:rPr>
        <w:t>. Consecuentemente, la Corte no debe contestar esos cuestionamientos</w:t>
      </w:r>
      <w:r w:rsidR="007A73D2">
        <w:rPr>
          <w:rFonts w:ascii="Verdana" w:hAnsi="Verdana"/>
          <w:sz w:val="20"/>
        </w:rPr>
        <w:t xml:space="preserve"> planteados</w:t>
      </w:r>
      <w:r w:rsidR="00594052" w:rsidRPr="00620859">
        <w:rPr>
          <w:rStyle w:val="FootnoteReference"/>
          <w:rFonts w:ascii="Verdana" w:hAnsi="Verdana"/>
          <w:sz w:val="20"/>
        </w:rPr>
        <w:footnoteReference w:id="17"/>
      </w:r>
      <w:r w:rsidR="00594052" w:rsidRPr="00215413">
        <w:rPr>
          <w:rFonts w:ascii="Verdana" w:hAnsi="Verdana"/>
          <w:sz w:val="20"/>
        </w:rPr>
        <w:t>.</w:t>
      </w:r>
      <w:r w:rsidR="00594052" w:rsidRPr="00215413">
        <w:rPr>
          <w:rFonts w:ascii="Verdana" w:hAnsi="Verdana"/>
          <w:sz w:val="20"/>
          <w:lang w:val="es-MX"/>
        </w:rPr>
        <w:t xml:space="preserve"> </w:t>
      </w:r>
    </w:p>
    <w:p w14:paraId="19D71854" w14:textId="77777777" w:rsidR="00D804C3" w:rsidRDefault="00D804C3" w:rsidP="00D804C3">
      <w:pPr>
        <w:pStyle w:val="ListParagraph"/>
        <w:rPr>
          <w:rFonts w:ascii="Verdana" w:hAnsi="Verdana"/>
          <w:sz w:val="20"/>
          <w:lang w:val="es-MX"/>
        </w:rPr>
      </w:pPr>
    </w:p>
    <w:p w14:paraId="17B38512" w14:textId="47ED88B5" w:rsidR="00D804C3" w:rsidRPr="00D804C3" w:rsidRDefault="009C1BF9" w:rsidP="00D804C3">
      <w:pPr>
        <w:numPr>
          <w:ilvl w:val="0"/>
          <w:numId w:val="3"/>
        </w:numPr>
        <w:ind w:left="0" w:firstLine="0"/>
        <w:jc w:val="both"/>
        <w:rPr>
          <w:rFonts w:ascii="Verdana" w:hAnsi="Verdana"/>
          <w:color w:val="365F91" w:themeColor="accent1" w:themeShade="BF"/>
          <w:sz w:val="20"/>
          <w:lang w:val="es-MX"/>
        </w:rPr>
      </w:pPr>
      <w:bookmarkStart w:id="10" w:name="_Ref437274661"/>
      <w:r>
        <w:rPr>
          <w:rFonts w:ascii="Verdana" w:hAnsi="Verdana"/>
          <w:sz w:val="20"/>
        </w:rPr>
        <w:t>D</w:t>
      </w:r>
      <w:r w:rsidR="00D804C3">
        <w:rPr>
          <w:rFonts w:ascii="Verdana" w:hAnsi="Verdana"/>
          <w:sz w:val="20"/>
        </w:rPr>
        <w:t xml:space="preserve">icha posición </w:t>
      </w:r>
      <w:r w:rsidR="00D804C3" w:rsidRPr="00A064E5">
        <w:rPr>
          <w:rFonts w:ascii="Verdana" w:hAnsi="Verdana"/>
          <w:sz w:val="20"/>
        </w:rPr>
        <w:t xml:space="preserve">constituye un acto de evidente desacato de la obligatoriedad de las Sentencias de esta Corte, contrario al principio internacional de acatar sus obligaciones convencionales de buena fe y </w:t>
      </w:r>
      <w:r w:rsidR="00D804C3" w:rsidRPr="00CD4882">
        <w:rPr>
          <w:rFonts w:ascii="Verdana" w:hAnsi="Verdana"/>
          <w:sz w:val="20"/>
        </w:rPr>
        <w:t>un incumplimiento al deber de informar al Tribunal</w:t>
      </w:r>
      <w:r w:rsidR="00D804C3">
        <w:rPr>
          <w:rStyle w:val="FootnoteReference"/>
          <w:rFonts w:ascii="Verdana" w:hAnsi="Verdana"/>
          <w:sz w:val="20"/>
        </w:rPr>
        <w:footnoteReference w:id="18"/>
      </w:r>
      <w:r w:rsidR="00D804C3" w:rsidRPr="00CD4882">
        <w:rPr>
          <w:rFonts w:ascii="Verdana" w:hAnsi="Verdana"/>
          <w:sz w:val="20"/>
        </w:rPr>
        <w:t>.</w:t>
      </w:r>
      <w:r w:rsidR="000071EC">
        <w:rPr>
          <w:rFonts w:ascii="Verdana" w:hAnsi="Verdana"/>
          <w:sz w:val="20"/>
        </w:rPr>
        <w:t xml:space="preserve"> Igualmente, el escrito allegado por los representantes (</w:t>
      </w:r>
      <w:r w:rsidR="000071EC">
        <w:rPr>
          <w:rFonts w:ascii="Verdana" w:hAnsi="Verdana"/>
          <w:i/>
          <w:sz w:val="20"/>
        </w:rPr>
        <w:t>supra</w:t>
      </w:r>
      <w:r w:rsidR="000071EC">
        <w:rPr>
          <w:rFonts w:ascii="Verdana" w:hAnsi="Verdana"/>
          <w:sz w:val="20"/>
        </w:rPr>
        <w:t xml:space="preserve"> Considerando </w:t>
      </w:r>
      <w:r w:rsidR="00A27A9D">
        <w:rPr>
          <w:rFonts w:ascii="Verdana" w:hAnsi="Verdana"/>
          <w:sz w:val="20"/>
        </w:rPr>
        <w:fldChar w:fldCharType="begin"/>
      </w:r>
      <w:r w:rsidR="00A27A9D">
        <w:rPr>
          <w:rFonts w:ascii="Verdana" w:hAnsi="Verdana"/>
          <w:sz w:val="20"/>
        </w:rPr>
        <w:instrText xml:space="preserve"> REF _Ref437269647 \r \h </w:instrText>
      </w:r>
      <w:r w:rsidR="00A27A9D">
        <w:rPr>
          <w:rFonts w:ascii="Verdana" w:hAnsi="Verdana"/>
          <w:sz w:val="20"/>
        </w:rPr>
      </w:r>
      <w:r w:rsidR="00A27A9D">
        <w:rPr>
          <w:rFonts w:ascii="Verdana" w:hAnsi="Verdana"/>
          <w:sz w:val="20"/>
        </w:rPr>
        <w:fldChar w:fldCharType="separate"/>
      </w:r>
      <w:r w:rsidR="00B602F2">
        <w:rPr>
          <w:rFonts w:ascii="Verdana" w:hAnsi="Verdana"/>
          <w:sz w:val="20"/>
        </w:rPr>
        <w:t>5</w:t>
      </w:r>
      <w:r w:rsidR="00A27A9D">
        <w:rPr>
          <w:rFonts w:ascii="Verdana" w:hAnsi="Verdana"/>
          <w:sz w:val="20"/>
        </w:rPr>
        <w:fldChar w:fldCharType="end"/>
      </w:r>
      <w:r w:rsidR="000071EC">
        <w:rPr>
          <w:rFonts w:ascii="Verdana" w:hAnsi="Verdana"/>
          <w:sz w:val="20"/>
        </w:rPr>
        <w:t>) permite afirmar que las reparaciones indicadas (</w:t>
      </w:r>
      <w:r w:rsidR="000071EC">
        <w:rPr>
          <w:rFonts w:ascii="Verdana" w:hAnsi="Verdana"/>
          <w:i/>
          <w:sz w:val="20"/>
        </w:rPr>
        <w:t>supra</w:t>
      </w:r>
      <w:r w:rsidR="000071EC">
        <w:rPr>
          <w:rFonts w:ascii="Verdana" w:hAnsi="Verdana"/>
          <w:sz w:val="20"/>
        </w:rPr>
        <w:t xml:space="preserve"> Considerando </w:t>
      </w:r>
      <w:r w:rsidR="00A27A9D">
        <w:rPr>
          <w:rFonts w:ascii="Verdana" w:hAnsi="Verdana"/>
          <w:sz w:val="20"/>
        </w:rPr>
        <w:fldChar w:fldCharType="begin"/>
      </w:r>
      <w:r w:rsidR="00A27A9D">
        <w:rPr>
          <w:rFonts w:ascii="Verdana" w:hAnsi="Verdana"/>
          <w:sz w:val="20"/>
        </w:rPr>
        <w:instrText xml:space="preserve"> REF _Ref437268967 \r \h </w:instrText>
      </w:r>
      <w:r w:rsidR="00A27A9D">
        <w:rPr>
          <w:rFonts w:ascii="Verdana" w:hAnsi="Verdana"/>
          <w:sz w:val="20"/>
        </w:rPr>
      </w:r>
      <w:r w:rsidR="00A27A9D">
        <w:rPr>
          <w:rFonts w:ascii="Verdana" w:hAnsi="Verdana"/>
          <w:sz w:val="20"/>
        </w:rPr>
        <w:fldChar w:fldCharType="separate"/>
      </w:r>
      <w:r w:rsidR="00B602F2">
        <w:rPr>
          <w:rFonts w:ascii="Verdana" w:hAnsi="Verdana"/>
          <w:sz w:val="20"/>
        </w:rPr>
        <w:t>1</w:t>
      </w:r>
      <w:r w:rsidR="00A27A9D">
        <w:rPr>
          <w:rFonts w:ascii="Verdana" w:hAnsi="Verdana"/>
          <w:sz w:val="20"/>
        </w:rPr>
        <w:fldChar w:fldCharType="end"/>
      </w:r>
      <w:r w:rsidR="000071EC">
        <w:rPr>
          <w:rFonts w:ascii="Verdana" w:hAnsi="Verdana"/>
          <w:sz w:val="20"/>
        </w:rPr>
        <w:t>) continúan pendientes de ejecución por Haití.</w:t>
      </w:r>
      <w:r w:rsidR="00DC4AAB">
        <w:rPr>
          <w:rFonts w:ascii="Verdana" w:hAnsi="Verdana"/>
          <w:sz w:val="20"/>
        </w:rPr>
        <w:t xml:space="preserve"> </w:t>
      </w:r>
      <w:r w:rsidR="00DC4AAB">
        <w:rPr>
          <w:rFonts w:ascii="Verdana" w:hAnsi="Verdana"/>
          <w:sz w:val="20"/>
          <w:lang w:val="es-MX"/>
        </w:rPr>
        <w:t>El Estado, con su silencio, no contradijo lo sostenido por los representantes.</w:t>
      </w:r>
      <w:bookmarkEnd w:id="10"/>
    </w:p>
    <w:p w14:paraId="69A91CCE" w14:textId="77777777" w:rsidR="00594052" w:rsidRPr="004D00A5" w:rsidRDefault="00594052" w:rsidP="00594052">
      <w:pPr>
        <w:jc w:val="both"/>
        <w:rPr>
          <w:rFonts w:ascii="Verdana" w:hAnsi="Verdana"/>
          <w:color w:val="365F91" w:themeColor="accent1" w:themeShade="BF"/>
          <w:sz w:val="18"/>
          <w:lang w:val="es-MX"/>
        </w:rPr>
      </w:pPr>
    </w:p>
    <w:p w14:paraId="17C30160" w14:textId="36B2C727" w:rsidR="00594052" w:rsidRPr="007A73D2" w:rsidRDefault="00594052" w:rsidP="00902547">
      <w:pPr>
        <w:numPr>
          <w:ilvl w:val="0"/>
          <w:numId w:val="3"/>
        </w:numPr>
        <w:ind w:left="0" w:firstLine="0"/>
        <w:jc w:val="both"/>
        <w:rPr>
          <w:rFonts w:ascii="Verdana" w:hAnsi="Verdana"/>
          <w:sz w:val="20"/>
          <w:lang w:val="es-MX"/>
        </w:rPr>
      </w:pPr>
      <w:bookmarkStart w:id="11" w:name="_Ref437275254"/>
      <w:r w:rsidRPr="007F6D54">
        <w:rPr>
          <w:rFonts w:ascii="Verdana" w:hAnsi="Verdana" w:cs="Arial"/>
          <w:sz w:val="20"/>
          <w:lang w:val="es-ES"/>
        </w:rPr>
        <w:t xml:space="preserve">La Corte considera que </w:t>
      </w:r>
      <w:r w:rsidR="007A73D2">
        <w:rPr>
          <w:rFonts w:ascii="Verdana" w:hAnsi="Verdana" w:cs="Arial"/>
          <w:sz w:val="20"/>
          <w:lang w:val="es-ES"/>
        </w:rPr>
        <w:t>los referidos</w:t>
      </w:r>
      <w:r w:rsidRPr="007F6D54">
        <w:rPr>
          <w:rFonts w:ascii="Verdana" w:hAnsi="Verdana" w:cs="Arial"/>
          <w:sz w:val="20"/>
          <w:lang w:val="es-ES"/>
        </w:rPr>
        <w:t xml:space="preserve"> incumplimiento</w:t>
      </w:r>
      <w:r w:rsidR="007A73D2">
        <w:rPr>
          <w:rFonts w:ascii="Verdana" w:hAnsi="Verdana" w:cs="Arial"/>
          <w:sz w:val="20"/>
          <w:lang w:val="es-ES"/>
        </w:rPr>
        <w:t>s (</w:t>
      </w:r>
      <w:r w:rsidR="007A73D2">
        <w:rPr>
          <w:rFonts w:ascii="Verdana" w:hAnsi="Verdana" w:cs="Arial"/>
          <w:i/>
          <w:sz w:val="20"/>
          <w:lang w:val="es-ES"/>
        </w:rPr>
        <w:t>supra</w:t>
      </w:r>
      <w:r w:rsidR="007A73D2">
        <w:rPr>
          <w:rFonts w:ascii="Verdana" w:hAnsi="Verdana" w:cs="Arial"/>
          <w:sz w:val="20"/>
          <w:lang w:val="es-ES"/>
        </w:rPr>
        <w:t xml:space="preserve"> Considerandos </w:t>
      </w:r>
      <w:r w:rsidR="00E32948">
        <w:rPr>
          <w:rFonts w:ascii="Verdana" w:hAnsi="Verdana" w:cs="Arial"/>
          <w:sz w:val="20"/>
          <w:lang w:val="es-ES"/>
        </w:rPr>
        <w:fldChar w:fldCharType="begin"/>
      </w:r>
      <w:r w:rsidR="00E32948">
        <w:rPr>
          <w:rFonts w:ascii="Verdana" w:hAnsi="Verdana" w:cs="Arial"/>
          <w:sz w:val="20"/>
          <w:lang w:val="es-ES"/>
        </w:rPr>
        <w:instrText xml:space="preserve"> REF _Ref437522493 \r \h </w:instrText>
      </w:r>
      <w:r w:rsidR="00E32948">
        <w:rPr>
          <w:rFonts w:ascii="Verdana" w:hAnsi="Verdana" w:cs="Arial"/>
          <w:sz w:val="20"/>
          <w:lang w:val="es-ES"/>
        </w:rPr>
      </w:r>
      <w:r w:rsidR="00E32948">
        <w:rPr>
          <w:rFonts w:ascii="Verdana" w:hAnsi="Verdana" w:cs="Arial"/>
          <w:sz w:val="20"/>
          <w:lang w:val="es-ES"/>
        </w:rPr>
        <w:fldChar w:fldCharType="separate"/>
      </w:r>
      <w:r w:rsidR="00B602F2">
        <w:rPr>
          <w:rFonts w:ascii="Verdana" w:hAnsi="Verdana" w:cs="Arial"/>
          <w:sz w:val="20"/>
          <w:lang w:val="es-ES"/>
        </w:rPr>
        <w:t>4</w:t>
      </w:r>
      <w:r w:rsidR="00E32948">
        <w:rPr>
          <w:rFonts w:ascii="Verdana" w:hAnsi="Verdana" w:cs="Arial"/>
          <w:sz w:val="20"/>
          <w:lang w:val="es-ES"/>
        </w:rPr>
        <w:fldChar w:fldCharType="end"/>
      </w:r>
      <w:r w:rsidR="007A73D2">
        <w:rPr>
          <w:rFonts w:ascii="Verdana" w:hAnsi="Verdana" w:cs="Arial"/>
          <w:sz w:val="20"/>
          <w:lang w:val="es-ES"/>
        </w:rPr>
        <w:t xml:space="preserve"> </w:t>
      </w:r>
      <w:r w:rsidR="00FC1270">
        <w:rPr>
          <w:rFonts w:ascii="Verdana" w:hAnsi="Verdana" w:cs="Arial"/>
          <w:sz w:val="20"/>
          <w:lang w:val="es-ES"/>
        </w:rPr>
        <w:t>a</w:t>
      </w:r>
      <w:r w:rsidR="007A73D2">
        <w:rPr>
          <w:rFonts w:ascii="Verdana" w:hAnsi="Verdana" w:cs="Arial"/>
          <w:sz w:val="20"/>
          <w:lang w:val="es-ES"/>
        </w:rPr>
        <w:t xml:space="preserve"> </w:t>
      </w:r>
      <w:r w:rsidR="00FC1270">
        <w:rPr>
          <w:rFonts w:ascii="Verdana" w:hAnsi="Verdana" w:cs="Arial"/>
          <w:sz w:val="20"/>
          <w:lang w:val="es-ES"/>
        </w:rPr>
        <w:fldChar w:fldCharType="begin"/>
      </w:r>
      <w:r w:rsidR="00FC1270">
        <w:rPr>
          <w:rFonts w:ascii="Verdana" w:hAnsi="Verdana" w:cs="Arial"/>
          <w:sz w:val="20"/>
          <w:lang w:val="es-ES"/>
        </w:rPr>
        <w:instrText xml:space="preserve"> REF _Ref437274661 \r \h </w:instrText>
      </w:r>
      <w:r w:rsidR="00FC1270">
        <w:rPr>
          <w:rFonts w:ascii="Verdana" w:hAnsi="Verdana" w:cs="Arial"/>
          <w:sz w:val="20"/>
          <w:lang w:val="es-ES"/>
        </w:rPr>
      </w:r>
      <w:r w:rsidR="00FC1270">
        <w:rPr>
          <w:rFonts w:ascii="Verdana" w:hAnsi="Verdana" w:cs="Arial"/>
          <w:sz w:val="20"/>
          <w:lang w:val="es-ES"/>
        </w:rPr>
        <w:fldChar w:fldCharType="separate"/>
      </w:r>
      <w:r w:rsidR="00B602F2">
        <w:rPr>
          <w:rFonts w:ascii="Verdana" w:hAnsi="Verdana" w:cs="Arial"/>
          <w:sz w:val="20"/>
          <w:lang w:val="es-ES"/>
        </w:rPr>
        <w:t>7</w:t>
      </w:r>
      <w:r w:rsidR="00FC1270">
        <w:rPr>
          <w:rFonts w:ascii="Verdana" w:hAnsi="Verdana" w:cs="Arial"/>
          <w:sz w:val="20"/>
          <w:lang w:val="es-ES"/>
        </w:rPr>
        <w:fldChar w:fldCharType="end"/>
      </w:r>
      <w:r w:rsidR="007A73D2">
        <w:rPr>
          <w:rFonts w:ascii="Verdana" w:hAnsi="Verdana" w:cs="Arial"/>
          <w:sz w:val="20"/>
          <w:lang w:val="es-ES"/>
        </w:rPr>
        <w:t>)</w:t>
      </w:r>
      <w:r w:rsidRPr="007F6D54">
        <w:rPr>
          <w:rFonts w:ascii="Verdana" w:hAnsi="Verdana" w:cs="Arial"/>
          <w:sz w:val="20"/>
          <w:lang w:val="es-ES"/>
        </w:rPr>
        <w:t xml:space="preserve"> constituye</w:t>
      </w:r>
      <w:r w:rsidR="007A73D2">
        <w:rPr>
          <w:rFonts w:ascii="Verdana" w:hAnsi="Verdana" w:cs="Arial"/>
          <w:sz w:val="20"/>
          <w:lang w:val="es-ES"/>
        </w:rPr>
        <w:t>n</w:t>
      </w:r>
      <w:r w:rsidRPr="007F6D54">
        <w:rPr>
          <w:rFonts w:ascii="Verdana" w:hAnsi="Verdana" w:cs="Arial"/>
          <w:sz w:val="20"/>
          <w:lang w:val="es-ES"/>
        </w:rPr>
        <w:t xml:space="preserve"> un desconocimiento de las obligaciones emanadas de la Sentencia dictada por el Tribunal y de los compromisos convencionales del Estado, </w:t>
      </w:r>
      <w:r w:rsidR="007E621C">
        <w:rPr>
          <w:rFonts w:ascii="Verdana" w:hAnsi="Verdana" w:cs="Arial"/>
          <w:sz w:val="20"/>
          <w:lang w:val="es-ES"/>
        </w:rPr>
        <w:t xml:space="preserve">e </w:t>
      </w:r>
      <w:r w:rsidRPr="007F6D54">
        <w:rPr>
          <w:rFonts w:ascii="Verdana" w:hAnsi="Verdana" w:cs="Arial"/>
          <w:sz w:val="20"/>
          <w:lang w:val="es-ES"/>
        </w:rPr>
        <w:t>impide</w:t>
      </w:r>
      <w:r w:rsidR="007A73D2">
        <w:rPr>
          <w:rFonts w:ascii="Verdana" w:hAnsi="Verdana" w:cs="Arial"/>
          <w:sz w:val="20"/>
          <w:lang w:val="es-ES"/>
        </w:rPr>
        <w:t>n</w:t>
      </w:r>
      <w:r w:rsidRPr="007F6D54">
        <w:rPr>
          <w:rFonts w:ascii="Verdana" w:hAnsi="Verdana" w:cs="Arial"/>
          <w:sz w:val="20"/>
          <w:lang w:val="es-ES"/>
        </w:rPr>
        <w:t xml:space="preserve"> que se reparen las violaciones a los derechos humanos declaradas en </w:t>
      </w:r>
      <w:r w:rsidR="003A7BD9">
        <w:rPr>
          <w:rFonts w:ascii="Verdana" w:hAnsi="Verdana" w:cs="Arial"/>
          <w:sz w:val="20"/>
          <w:lang w:val="es-ES"/>
        </w:rPr>
        <w:t>los</w:t>
      </w:r>
      <w:r w:rsidRPr="007F6D54">
        <w:rPr>
          <w:rFonts w:ascii="Verdana" w:hAnsi="Verdana" w:cs="Arial"/>
          <w:sz w:val="20"/>
          <w:lang w:val="es-ES"/>
        </w:rPr>
        <w:t xml:space="preserve"> Fallo</w:t>
      </w:r>
      <w:r w:rsidR="003A7BD9">
        <w:rPr>
          <w:rFonts w:ascii="Verdana" w:hAnsi="Verdana" w:cs="Arial"/>
          <w:sz w:val="20"/>
          <w:lang w:val="es-ES"/>
        </w:rPr>
        <w:t>s</w:t>
      </w:r>
      <w:bookmarkEnd w:id="11"/>
      <w:r w:rsidR="00613FA9">
        <w:rPr>
          <w:rFonts w:ascii="Verdana" w:hAnsi="Verdana" w:cs="Arial"/>
          <w:sz w:val="20"/>
          <w:lang w:val="es-ES"/>
        </w:rPr>
        <w:t>, y despoja del efecto útil (</w:t>
      </w:r>
      <w:r w:rsidR="00613FA9" w:rsidRPr="00613FA9">
        <w:rPr>
          <w:rFonts w:ascii="Verdana" w:hAnsi="Verdana" w:cs="Arial"/>
          <w:i/>
          <w:sz w:val="20"/>
          <w:lang w:val="es-ES"/>
        </w:rPr>
        <w:t>effet utile</w:t>
      </w:r>
      <w:r w:rsidR="00613FA9">
        <w:rPr>
          <w:rFonts w:ascii="Verdana" w:hAnsi="Verdana" w:cs="Arial"/>
          <w:sz w:val="20"/>
          <w:lang w:val="es-ES"/>
        </w:rPr>
        <w:t>) de la Convención en el caso concreto</w:t>
      </w:r>
      <w:r w:rsidR="00613FA9">
        <w:rPr>
          <w:rStyle w:val="FootnoteReference"/>
          <w:rFonts w:ascii="Verdana" w:hAnsi="Verdana" w:cs="Arial"/>
          <w:sz w:val="20"/>
          <w:lang w:val="es-ES"/>
        </w:rPr>
        <w:footnoteReference w:id="19"/>
      </w:r>
      <w:r w:rsidR="00613FA9">
        <w:rPr>
          <w:rFonts w:ascii="Verdana" w:hAnsi="Verdana" w:cs="Arial"/>
          <w:sz w:val="20"/>
          <w:lang w:val="es-ES"/>
        </w:rPr>
        <w:t>.</w:t>
      </w:r>
      <w:r w:rsidRPr="007F6D54">
        <w:rPr>
          <w:rFonts w:ascii="Verdana" w:hAnsi="Verdana" w:cs="Arial"/>
          <w:sz w:val="20"/>
          <w:lang w:val="es-ES"/>
        </w:rPr>
        <w:t xml:space="preserve"> </w:t>
      </w:r>
    </w:p>
    <w:p w14:paraId="10B217AC" w14:textId="77777777" w:rsidR="000B19F2" w:rsidRPr="000B19F2" w:rsidRDefault="000B19F2" w:rsidP="007A73D2">
      <w:pPr>
        <w:jc w:val="both"/>
        <w:rPr>
          <w:rFonts w:ascii="Verdana" w:hAnsi="Verdana"/>
          <w:b/>
          <w:sz w:val="20"/>
          <w:lang w:val="es-MX"/>
        </w:rPr>
      </w:pPr>
    </w:p>
    <w:p w14:paraId="1565D8A4" w14:textId="47DCA0C6" w:rsidR="00594052" w:rsidRPr="007A0D40" w:rsidRDefault="00594052" w:rsidP="00594052">
      <w:pPr>
        <w:numPr>
          <w:ilvl w:val="0"/>
          <w:numId w:val="3"/>
        </w:numPr>
        <w:ind w:left="0" w:firstLine="0"/>
        <w:jc w:val="both"/>
        <w:rPr>
          <w:rFonts w:ascii="Verdana" w:hAnsi="Verdana"/>
          <w:sz w:val="20"/>
          <w:lang w:val="es-CR"/>
        </w:rPr>
      </w:pPr>
      <w:bookmarkStart w:id="12" w:name="_Ref437522572"/>
      <w:r w:rsidRPr="00901050">
        <w:rPr>
          <w:rFonts w:ascii="Verdana" w:hAnsi="Verdana"/>
          <w:sz w:val="20"/>
          <w:lang w:val="es-MX"/>
        </w:rPr>
        <w:t>Con base en la situación constatada, el Tribunal considera necesario dar aplicación a lo dispuesto en los artículos 65 de la Convención Americana</w:t>
      </w:r>
      <w:r w:rsidRPr="00CD76B1">
        <w:rPr>
          <w:rStyle w:val="FootnoteReference"/>
          <w:rFonts w:ascii="Verdana" w:hAnsi="Verdana"/>
          <w:sz w:val="20"/>
          <w:lang w:val="es-MX"/>
        </w:rPr>
        <w:footnoteReference w:id="20"/>
      </w:r>
      <w:r w:rsidRPr="00901050">
        <w:rPr>
          <w:rFonts w:ascii="Verdana" w:hAnsi="Verdana"/>
          <w:sz w:val="20"/>
          <w:lang w:val="es-MX"/>
        </w:rPr>
        <w:t xml:space="preserve"> y 30 de su Estatuto</w:t>
      </w:r>
      <w:r w:rsidRPr="00CD76B1">
        <w:rPr>
          <w:rStyle w:val="FootnoteReference"/>
          <w:rFonts w:ascii="Verdana" w:hAnsi="Verdana"/>
          <w:sz w:val="20"/>
          <w:lang w:val="es-MX"/>
        </w:rPr>
        <w:footnoteReference w:id="21"/>
      </w:r>
      <w:r w:rsidRPr="00901050">
        <w:rPr>
          <w:rFonts w:ascii="Verdana" w:hAnsi="Verdana"/>
          <w:sz w:val="20"/>
          <w:lang w:val="es-MX"/>
        </w:rPr>
        <w:t xml:space="preserve">, de manera que en el Informe Anual de labores del 2015, que </w:t>
      </w:r>
      <w:r w:rsidRPr="00901050">
        <w:rPr>
          <w:rFonts w:ascii="Verdana" w:hAnsi="Verdana"/>
          <w:sz w:val="20"/>
        </w:rPr>
        <w:t xml:space="preserve">someterá a la consideración de la Asamblea General de la Organización de los Estados Americanos, </w:t>
      </w:r>
      <w:r w:rsidR="009D5A6B" w:rsidRPr="00901050">
        <w:rPr>
          <w:rFonts w:ascii="Verdana" w:hAnsi="Verdana"/>
          <w:sz w:val="20"/>
        </w:rPr>
        <w:t>incorporará la presente Resolución</w:t>
      </w:r>
      <w:r w:rsidR="00A447BF" w:rsidRPr="00901050">
        <w:rPr>
          <w:rFonts w:ascii="Verdana" w:hAnsi="Verdana"/>
          <w:sz w:val="20"/>
        </w:rPr>
        <w:t xml:space="preserve">, </w:t>
      </w:r>
      <w:r w:rsidRPr="00FC1270">
        <w:rPr>
          <w:rFonts w:ascii="Verdana" w:hAnsi="Verdana"/>
          <w:sz w:val="20"/>
        </w:rPr>
        <w:t>señala</w:t>
      </w:r>
      <w:r w:rsidR="00A447BF" w:rsidRPr="00FC1270">
        <w:rPr>
          <w:rFonts w:ascii="Verdana" w:hAnsi="Verdana"/>
          <w:sz w:val="20"/>
        </w:rPr>
        <w:t>ndo</w:t>
      </w:r>
      <w:r w:rsidRPr="00FC1270">
        <w:rPr>
          <w:rFonts w:ascii="Verdana" w:hAnsi="Verdana"/>
          <w:sz w:val="20"/>
        </w:rPr>
        <w:t xml:space="preserve"> que Haití ha incumplido </w:t>
      </w:r>
      <w:r w:rsidR="007A757D" w:rsidRPr="00FC1270">
        <w:rPr>
          <w:rFonts w:ascii="Verdana" w:hAnsi="Verdana"/>
          <w:sz w:val="20"/>
        </w:rPr>
        <w:t xml:space="preserve">durante </w:t>
      </w:r>
      <w:r w:rsidR="00901050" w:rsidRPr="00FC1270">
        <w:rPr>
          <w:rFonts w:ascii="Verdana" w:hAnsi="Verdana"/>
          <w:sz w:val="20"/>
        </w:rPr>
        <w:t>seis</w:t>
      </w:r>
      <w:r w:rsidR="007A757D" w:rsidRPr="00FC1270">
        <w:rPr>
          <w:rFonts w:ascii="Verdana" w:hAnsi="Verdana"/>
          <w:sz w:val="20"/>
        </w:rPr>
        <w:t xml:space="preserve"> años </w:t>
      </w:r>
      <w:r w:rsidR="00FC1270">
        <w:rPr>
          <w:rFonts w:ascii="Verdana" w:hAnsi="Verdana"/>
          <w:sz w:val="20"/>
        </w:rPr>
        <w:t xml:space="preserve">y cinco meses </w:t>
      </w:r>
      <w:r w:rsidRPr="00FC1270">
        <w:rPr>
          <w:rFonts w:ascii="Verdana" w:hAnsi="Verdana"/>
          <w:sz w:val="20"/>
        </w:rPr>
        <w:t xml:space="preserve">su deber de informar </w:t>
      </w:r>
      <w:r w:rsidR="00B4454E" w:rsidRPr="00FC1270">
        <w:rPr>
          <w:rFonts w:ascii="Verdana" w:hAnsi="Verdana"/>
          <w:sz w:val="20"/>
        </w:rPr>
        <w:t>sobre la ejecución de la Sentencia</w:t>
      </w:r>
      <w:r w:rsidR="00901050" w:rsidRPr="00FC1270">
        <w:rPr>
          <w:rFonts w:ascii="Verdana" w:hAnsi="Verdana"/>
          <w:sz w:val="20"/>
        </w:rPr>
        <w:t>, y que además</w:t>
      </w:r>
      <w:r w:rsidR="00B4454E" w:rsidRPr="00FC1270">
        <w:rPr>
          <w:rFonts w:ascii="Verdana" w:hAnsi="Verdana"/>
          <w:sz w:val="20"/>
        </w:rPr>
        <w:t xml:space="preserve"> </w:t>
      </w:r>
      <w:r w:rsidR="007A757D" w:rsidRPr="00FC1270">
        <w:rPr>
          <w:rFonts w:ascii="Verdana" w:hAnsi="Verdana"/>
          <w:sz w:val="20"/>
        </w:rPr>
        <w:t xml:space="preserve">ha </w:t>
      </w:r>
      <w:r w:rsidR="00545D60" w:rsidRPr="00FC1270">
        <w:rPr>
          <w:rFonts w:ascii="Verdana" w:hAnsi="Verdana"/>
          <w:sz w:val="20"/>
        </w:rPr>
        <w:t xml:space="preserve">asumido una actitud de desacato de la </w:t>
      </w:r>
      <w:r w:rsidR="00E32948">
        <w:rPr>
          <w:rFonts w:ascii="Verdana" w:hAnsi="Verdana"/>
          <w:sz w:val="20"/>
        </w:rPr>
        <w:t>misma</w:t>
      </w:r>
      <w:r w:rsidRPr="00901050">
        <w:rPr>
          <w:rFonts w:ascii="Verdana" w:hAnsi="Verdana"/>
          <w:sz w:val="20"/>
        </w:rPr>
        <w:t xml:space="preserve">. Ante esta situación los Estados Americanos han dispuesto un sistema de garantía colectiva en donde todos los Estados Parte deben realizar todos los esfuerzos para que no haya un evidente abandono </w:t>
      </w:r>
      <w:r w:rsidR="006D1E0C" w:rsidRPr="00901050">
        <w:rPr>
          <w:rFonts w:ascii="Verdana" w:hAnsi="Verdana"/>
          <w:sz w:val="20"/>
        </w:rPr>
        <w:t xml:space="preserve">por parte de los Estados de su obligación </w:t>
      </w:r>
      <w:r w:rsidRPr="00901050">
        <w:rPr>
          <w:rFonts w:ascii="Verdana" w:hAnsi="Verdana"/>
          <w:sz w:val="20"/>
        </w:rPr>
        <w:t>de cumplir y acatar las Sentencias de la Corte.</w:t>
      </w:r>
      <w:bookmarkEnd w:id="12"/>
      <w:r w:rsidR="007A757D" w:rsidRPr="00901050">
        <w:rPr>
          <w:rFonts w:ascii="Verdana" w:hAnsi="Verdana"/>
          <w:sz w:val="20"/>
        </w:rPr>
        <w:t xml:space="preserve"> </w:t>
      </w:r>
    </w:p>
    <w:p w14:paraId="0C69C48E" w14:textId="77777777" w:rsidR="007A0D40" w:rsidRPr="00901050" w:rsidRDefault="007A0D40" w:rsidP="007A0D40">
      <w:pPr>
        <w:jc w:val="both"/>
        <w:rPr>
          <w:rFonts w:ascii="Verdana" w:hAnsi="Verdana"/>
          <w:sz w:val="20"/>
          <w:lang w:val="es-CR"/>
        </w:rPr>
      </w:pPr>
    </w:p>
    <w:p w14:paraId="7F34D142" w14:textId="267AC259" w:rsidR="00594052" w:rsidRPr="0082778F" w:rsidRDefault="009C1BF9" w:rsidP="00594052">
      <w:pPr>
        <w:numPr>
          <w:ilvl w:val="0"/>
          <w:numId w:val="3"/>
        </w:numPr>
        <w:tabs>
          <w:tab w:val="num" w:pos="0"/>
        </w:tabs>
        <w:ind w:left="0" w:firstLine="0"/>
        <w:jc w:val="both"/>
        <w:rPr>
          <w:rFonts w:ascii="Verdana" w:hAnsi="Verdana"/>
          <w:sz w:val="20"/>
          <w:lang w:val="es-ES"/>
        </w:rPr>
      </w:pPr>
      <w:r>
        <w:rPr>
          <w:rFonts w:ascii="Verdana" w:hAnsi="Verdana"/>
          <w:spacing w:val="-3"/>
          <w:sz w:val="20"/>
          <w:lang w:val="es-CO"/>
        </w:rPr>
        <w:lastRenderedPageBreak/>
        <w:t>E</w:t>
      </w:r>
      <w:r w:rsidR="00594052" w:rsidRPr="0082778F">
        <w:rPr>
          <w:rFonts w:ascii="Verdana" w:hAnsi="Verdana"/>
          <w:spacing w:val="-3"/>
          <w:sz w:val="20"/>
          <w:lang w:val="es-CO"/>
        </w:rPr>
        <w:t xml:space="preserve">ste Tribunal ha señalado que la Convención Americana, así como los demás tratados de derechos </w:t>
      </w:r>
      <w:r w:rsidR="00594052" w:rsidRPr="0082778F">
        <w:rPr>
          <w:rFonts w:ascii="Verdana" w:hAnsi="Verdana"/>
          <w:sz w:val="20"/>
        </w:rPr>
        <w:t>humanos</w:t>
      </w:r>
      <w:r w:rsidR="00594052" w:rsidRPr="0082778F">
        <w:rPr>
          <w:rFonts w:ascii="Verdana" w:hAnsi="Verdana"/>
          <w:spacing w:val="-3"/>
          <w:sz w:val="20"/>
          <w:lang w:val="es-CO"/>
        </w:rPr>
        <w:t>, se aplican de conformidad con la noción de garantía colectiva y tienen una naturaleza especial, que los diferencian de los demás tratados, los cuales reglamentan intereses recíprocos entre los Estados Partes</w:t>
      </w:r>
      <w:r w:rsidR="00594052" w:rsidRPr="0082778F">
        <w:rPr>
          <w:rStyle w:val="FootnoteReference"/>
          <w:rFonts w:ascii="Verdana" w:hAnsi="Verdana"/>
          <w:spacing w:val="-3"/>
          <w:sz w:val="20"/>
        </w:rPr>
        <w:footnoteReference w:id="22"/>
      </w:r>
      <w:r w:rsidR="00594052" w:rsidRPr="0082778F">
        <w:rPr>
          <w:rFonts w:ascii="Verdana" w:hAnsi="Verdana"/>
          <w:spacing w:val="-3"/>
          <w:sz w:val="20"/>
          <w:lang w:val="es-CO"/>
        </w:rPr>
        <w:t xml:space="preserve">. Dicha noción de </w:t>
      </w:r>
      <w:r w:rsidR="00594052" w:rsidRPr="0082778F">
        <w:rPr>
          <w:rFonts w:ascii="Verdana" w:hAnsi="Verdana"/>
          <w:sz w:val="20"/>
          <w:lang w:val="es-CO"/>
        </w:rPr>
        <w:t xml:space="preserve">garantía colectiva se encuentra estrechamente relacionada con el efecto útil de las Sentencias de la Corte Interamericana, por cuanto </w:t>
      </w:r>
      <w:r w:rsidR="00594052" w:rsidRPr="0082778F">
        <w:rPr>
          <w:rFonts w:ascii="Verdana" w:hAnsi="Verdana"/>
          <w:sz w:val="20"/>
          <w:lang w:val="es-ES"/>
        </w:rPr>
        <w:t>la Convención Americana consagra un sistema que constituye un verdadero orden público regional, cuyo mantenimiento es de interés de todos y cada uno de los Estados Partes. El interés de los Estados signatarios es el mantenimiento del sistema de protección de los derechos humanos que ellos mismos han creado, y si un Estado viola su obligación de acatar lo resuelto por el único órgano jurisdiccional sobre la materia se está quebrantando el compromiso asumido hacia los otros Estados de cumplir con las sentencias de la Corte. Por tanto, la labor de la Asamblea General de la Organización de los Estados Americanos</w:t>
      </w:r>
      <w:r>
        <w:rPr>
          <w:rFonts w:ascii="Verdana" w:hAnsi="Verdana"/>
          <w:sz w:val="20"/>
          <w:lang w:val="es-ES"/>
        </w:rPr>
        <w:t>,</w:t>
      </w:r>
      <w:r w:rsidR="00594052" w:rsidRPr="0082778F">
        <w:rPr>
          <w:rFonts w:ascii="Verdana" w:hAnsi="Verdana"/>
          <w:sz w:val="20"/>
          <w:lang w:val="es-ES"/>
        </w:rPr>
        <w:t xml:space="preserve"> cuando se le presenta un incumplimiento manifiesto por parte de uno de los Estados de una Sentencia emitida por la Corte Interamericana, es precisamente la de proteger el efecto útil de la Convención Americana y evitar que la justicia interamericana se torne ilusoria al quedar al arbitrio de las decisiones internas de un Estado.</w:t>
      </w:r>
    </w:p>
    <w:p w14:paraId="284CCE55" w14:textId="77777777" w:rsidR="00594052" w:rsidRPr="0082778F" w:rsidRDefault="00594052" w:rsidP="00594052">
      <w:pPr>
        <w:jc w:val="both"/>
        <w:rPr>
          <w:rFonts w:ascii="Verdana" w:hAnsi="Verdana"/>
          <w:sz w:val="20"/>
          <w:lang w:val="es-ES"/>
        </w:rPr>
      </w:pPr>
    </w:p>
    <w:p w14:paraId="275BBEE5" w14:textId="791AD0B1" w:rsidR="00B01F08" w:rsidRPr="0060689E" w:rsidRDefault="00594052" w:rsidP="00594052">
      <w:pPr>
        <w:numPr>
          <w:ilvl w:val="0"/>
          <w:numId w:val="3"/>
        </w:numPr>
        <w:tabs>
          <w:tab w:val="num" w:pos="0"/>
        </w:tabs>
        <w:ind w:left="0" w:firstLine="0"/>
        <w:jc w:val="both"/>
        <w:rPr>
          <w:rFonts w:ascii="Verdana" w:hAnsi="Verdana"/>
          <w:sz w:val="20"/>
          <w:lang w:val="es-MX"/>
        </w:rPr>
      </w:pPr>
      <w:r w:rsidRPr="0060689E">
        <w:rPr>
          <w:rFonts w:ascii="Verdana" w:hAnsi="Verdana"/>
          <w:sz w:val="20"/>
          <w:lang w:val="es-CO"/>
        </w:rPr>
        <w:t xml:space="preserve">Una vez que ha determinado la aplicación de los referidos artículos en casos de incumplimiento de sus Sentencias, y así lo haya informado mediante su Informe Anual para la consideración de la Asamblea General de la Organización de los Estados Americanos, la Corte continuará incluyendo dicho incumplimiento cada año, al presentar su </w:t>
      </w:r>
      <w:r w:rsidR="00CC0F17" w:rsidRPr="0060689E">
        <w:rPr>
          <w:rFonts w:ascii="Verdana" w:hAnsi="Verdana"/>
          <w:sz w:val="20"/>
          <w:lang w:val="es-CO"/>
        </w:rPr>
        <w:t>I</w:t>
      </w:r>
      <w:r w:rsidRPr="0060689E">
        <w:rPr>
          <w:rFonts w:ascii="Verdana" w:hAnsi="Verdana"/>
          <w:sz w:val="20"/>
          <w:lang w:val="es-CO"/>
        </w:rPr>
        <w:t>nforme Anual, a menos que el Estado acredite que está adoptando las medidas necesarias para cumplir con las reparaciones ordenadas en la Sentencia, o que los representantes de las víctimas o la Comisión acompañen información sobre la implementación y cumplimiento de los puntos de la Sentencia que requiera ser valorada por este Tribunal</w:t>
      </w:r>
      <w:r w:rsidRPr="0082778F">
        <w:rPr>
          <w:rStyle w:val="FootnoteReference"/>
          <w:rFonts w:ascii="Verdana" w:hAnsi="Verdana"/>
          <w:sz w:val="20"/>
          <w:lang w:val="es-CO"/>
        </w:rPr>
        <w:footnoteReference w:id="23"/>
      </w:r>
      <w:r w:rsidRPr="0060689E">
        <w:rPr>
          <w:rFonts w:ascii="Verdana" w:hAnsi="Verdana"/>
          <w:sz w:val="20"/>
          <w:lang w:val="es-CO"/>
        </w:rPr>
        <w:t xml:space="preserve">. </w:t>
      </w:r>
    </w:p>
    <w:p w14:paraId="2215DCA2" w14:textId="77777777" w:rsidR="0060689E" w:rsidRDefault="0060689E" w:rsidP="00594052">
      <w:pPr>
        <w:jc w:val="both"/>
        <w:rPr>
          <w:rFonts w:ascii="Verdana" w:hAnsi="Verdana"/>
          <w:b/>
          <w:sz w:val="20"/>
          <w:lang w:val="es-MX"/>
        </w:rPr>
      </w:pPr>
    </w:p>
    <w:p w14:paraId="3BBDFAA2" w14:textId="77777777" w:rsidR="0060689E" w:rsidRDefault="0060689E" w:rsidP="00594052">
      <w:pPr>
        <w:jc w:val="both"/>
        <w:rPr>
          <w:rFonts w:ascii="Verdana" w:hAnsi="Verdana"/>
          <w:b/>
          <w:sz w:val="20"/>
          <w:lang w:val="es-MX"/>
        </w:rPr>
      </w:pPr>
    </w:p>
    <w:p w14:paraId="373D08BF" w14:textId="77777777" w:rsidR="0060689E" w:rsidRDefault="0060689E" w:rsidP="00594052">
      <w:pPr>
        <w:jc w:val="both"/>
        <w:rPr>
          <w:rFonts w:ascii="Verdana" w:hAnsi="Verdana"/>
          <w:b/>
          <w:sz w:val="20"/>
          <w:lang w:val="es-MX"/>
        </w:rPr>
      </w:pPr>
    </w:p>
    <w:p w14:paraId="0360EF70" w14:textId="77777777" w:rsidR="00594052" w:rsidRPr="0082778F" w:rsidRDefault="00594052" w:rsidP="00594052">
      <w:pPr>
        <w:jc w:val="both"/>
        <w:rPr>
          <w:rFonts w:ascii="Verdana" w:hAnsi="Verdana"/>
          <w:b/>
          <w:sz w:val="20"/>
          <w:lang w:val="es-MX"/>
        </w:rPr>
      </w:pPr>
      <w:r w:rsidRPr="0082778F">
        <w:rPr>
          <w:rFonts w:ascii="Verdana" w:hAnsi="Verdana"/>
          <w:b/>
          <w:sz w:val="20"/>
          <w:lang w:val="es-MX"/>
        </w:rPr>
        <w:t>POR TANTO</w:t>
      </w:r>
    </w:p>
    <w:p w14:paraId="38CE4D84" w14:textId="77777777" w:rsidR="00594052" w:rsidRDefault="00594052" w:rsidP="00594052">
      <w:pPr>
        <w:jc w:val="both"/>
        <w:rPr>
          <w:rFonts w:ascii="Verdana" w:hAnsi="Verdana"/>
          <w:b/>
          <w:sz w:val="20"/>
          <w:lang w:val="es-MX"/>
        </w:rPr>
      </w:pPr>
    </w:p>
    <w:p w14:paraId="0244F325" w14:textId="77777777" w:rsidR="0060689E" w:rsidRPr="0082778F" w:rsidRDefault="0060689E" w:rsidP="00594052">
      <w:pPr>
        <w:jc w:val="both"/>
        <w:rPr>
          <w:rFonts w:ascii="Verdana" w:hAnsi="Verdana"/>
          <w:b/>
          <w:sz w:val="20"/>
          <w:lang w:val="es-MX"/>
        </w:rPr>
      </w:pPr>
    </w:p>
    <w:p w14:paraId="5D8092C6" w14:textId="77777777" w:rsidR="00594052" w:rsidRPr="0082778F" w:rsidRDefault="00594052" w:rsidP="00594052">
      <w:pPr>
        <w:jc w:val="both"/>
        <w:rPr>
          <w:rFonts w:ascii="Verdana" w:hAnsi="Verdana"/>
          <w:b/>
          <w:sz w:val="20"/>
          <w:lang w:val="es-MX"/>
        </w:rPr>
      </w:pPr>
      <w:r w:rsidRPr="0082778F">
        <w:rPr>
          <w:rFonts w:ascii="Verdana" w:hAnsi="Verdana"/>
          <w:b/>
          <w:sz w:val="20"/>
          <w:lang w:val="es-MX"/>
        </w:rPr>
        <w:t>LA CORTE INTERAMERICANA DE DERECHOS HUMANOS,</w:t>
      </w:r>
    </w:p>
    <w:p w14:paraId="288B9D42" w14:textId="77777777" w:rsidR="00594052" w:rsidRPr="0082778F" w:rsidRDefault="00594052" w:rsidP="00594052">
      <w:pPr>
        <w:jc w:val="both"/>
        <w:rPr>
          <w:rFonts w:ascii="Verdana" w:hAnsi="Verdana"/>
          <w:sz w:val="20"/>
          <w:lang w:val="es-MX"/>
        </w:rPr>
      </w:pPr>
    </w:p>
    <w:p w14:paraId="5E66C580" w14:textId="10CDD0CF" w:rsidR="001E0672" w:rsidRDefault="004375D5" w:rsidP="00594052">
      <w:pPr>
        <w:jc w:val="both"/>
        <w:rPr>
          <w:rFonts w:ascii="Verdana" w:hAnsi="Verdana"/>
          <w:sz w:val="20"/>
          <w:lang w:val="es-MX"/>
        </w:rPr>
      </w:pPr>
      <w:r w:rsidRPr="004375D5">
        <w:rPr>
          <w:rFonts w:ascii="Verdana" w:hAnsi="Verdana"/>
          <w:sz w:val="20"/>
          <w:lang w:val="es-MX"/>
        </w:rPr>
        <w:t>En ejercicio de sus atribuciones de supervisión del cumplimiento de sus decisiones, de conformidad con los artículos 33, 62.1, 62.3, 65, 67 y 68.1 de la Convención Americana sobre Derechos Humanos, 24, 25 y 30 del Estatuto y 31 y 69 del Reglamento,</w:t>
      </w:r>
    </w:p>
    <w:p w14:paraId="42D0411B" w14:textId="77777777" w:rsidR="004375D5" w:rsidRDefault="004375D5" w:rsidP="00594052">
      <w:pPr>
        <w:jc w:val="both"/>
        <w:rPr>
          <w:rFonts w:ascii="Verdana" w:hAnsi="Verdana"/>
          <w:sz w:val="20"/>
          <w:lang w:val="es-MX"/>
        </w:rPr>
      </w:pPr>
    </w:p>
    <w:p w14:paraId="2A308133" w14:textId="77777777" w:rsidR="0060689E" w:rsidRDefault="0060689E" w:rsidP="00594052">
      <w:pPr>
        <w:jc w:val="both"/>
        <w:rPr>
          <w:rFonts w:ascii="Verdana" w:hAnsi="Verdana"/>
          <w:sz w:val="20"/>
          <w:lang w:val="es-MX"/>
        </w:rPr>
      </w:pPr>
    </w:p>
    <w:p w14:paraId="5B0A53DE" w14:textId="1052E1A6" w:rsidR="00EF183C" w:rsidRDefault="004C1A1E" w:rsidP="00594052">
      <w:pPr>
        <w:jc w:val="both"/>
        <w:rPr>
          <w:rFonts w:ascii="Verdana" w:hAnsi="Verdana"/>
          <w:b/>
          <w:sz w:val="20"/>
          <w:lang w:val="es-MX"/>
        </w:rPr>
      </w:pPr>
      <w:r>
        <w:rPr>
          <w:rFonts w:ascii="Verdana" w:hAnsi="Verdana"/>
          <w:b/>
          <w:sz w:val="20"/>
          <w:lang w:val="es-MX"/>
        </w:rPr>
        <w:t>DECLARA QUE:</w:t>
      </w:r>
    </w:p>
    <w:p w14:paraId="19987C1D" w14:textId="77777777" w:rsidR="004C1A1E" w:rsidRDefault="004C1A1E" w:rsidP="00594052">
      <w:pPr>
        <w:jc w:val="both"/>
        <w:rPr>
          <w:rFonts w:ascii="Verdana" w:hAnsi="Verdana"/>
          <w:b/>
          <w:sz w:val="20"/>
          <w:lang w:val="es-MX"/>
        </w:rPr>
      </w:pPr>
    </w:p>
    <w:p w14:paraId="62B43AB4" w14:textId="77777777" w:rsidR="0060689E" w:rsidRDefault="0060689E" w:rsidP="00594052">
      <w:pPr>
        <w:jc w:val="both"/>
        <w:rPr>
          <w:rFonts w:ascii="Verdana" w:hAnsi="Verdana"/>
          <w:b/>
          <w:sz w:val="20"/>
          <w:lang w:val="es-MX"/>
        </w:rPr>
      </w:pPr>
    </w:p>
    <w:p w14:paraId="6156C768" w14:textId="66D08C18" w:rsidR="004C1A1E" w:rsidRPr="00D4191B" w:rsidRDefault="004C1A1E" w:rsidP="004C1A1E">
      <w:pPr>
        <w:numPr>
          <w:ilvl w:val="0"/>
          <w:numId w:val="1"/>
        </w:numPr>
        <w:ind w:left="0" w:hanging="11"/>
        <w:jc w:val="both"/>
        <w:rPr>
          <w:rFonts w:ascii="Verdana" w:hAnsi="Verdana"/>
          <w:sz w:val="20"/>
          <w:lang w:val="es-MX"/>
        </w:rPr>
      </w:pPr>
      <w:bookmarkStart w:id="13" w:name="_Ref437275515"/>
      <w:r w:rsidRPr="00D4191B">
        <w:rPr>
          <w:rFonts w:ascii="Verdana" w:hAnsi="Verdana"/>
          <w:sz w:val="20"/>
          <w:lang w:val="es-CR"/>
        </w:rPr>
        <w:t xml:space="preserve">El Estado </w:t>
      </w:r>
      <w:r w:rsidRPr="00D4191B">
        <w:rPr>
          <w:rFonts w:ascii="Verdana" w:hAnsi="Verdana"/>
          <w:sz w:val="20"/>
        </w:rPr>
        <w:t xml:space="preserve">ha incumplido durante </w:t>
      </w:r>
      <w:r w:rsidR="00901050">
        <w:rPr>
          <w:rFonts w:ascii="Verdana" w:hAnsi="Verdana"/>
          <w:sz w:val="20"/>
        </w:rPr>
        <w:t>seis</w:t>
      </w:r>
      <w:r w:rsidRPr="00D4191B">
        <w:rPr>
          <w:rFonts w:ascii="Verdana" w:hAnsi="Verdana"/>
          <w:sz w:val="20"/>
        </w:rPr>
        <w:t xml:space="preserve"> años </w:t>
      </w:r>
      <w:r w:rsidR="001017B9">
        <w:rPr>
          <w:rFonts w:ascii="Verdana" w:hAnsi="Verdana"/>
          <w:sz w:val="20"/>
        </w:rPr>
        <w:t xml:space="preserve">y </w:t>
      </w:r>
      <w:r w:rsidR="00E32948">
        <w:rPr>
          <w:rFonts w:ascii="Verdana" w:hAnsi="Verdana"/>
          <w:sz w:val="20"/>
        </w:rPr>
        <w:t>cinco</w:t>
      </w:r>
      <w:r w:rsidR="001017B9">
        <w:rPr>
          <w:rFonts w:ascii="Verdana" w:hAnsi="Verdana"/>
          <w:sz w:val="20"/>
        </w:rPr>
        <w:t xml:space="preserve"> meses </w:t>
      </w:r>
      <w:r w:rsidRPr="00D4191B">
        <w:rPr>
          <w:rFonts w:ascii="Verdana" w:hAnsi="Verdana"/>
          <w:sz w:val="20"/>
        </w:rPr>
        <w:t xml:space="preserve">su deber de informar sobre la </w:t>
      </w:r>
      <w:r w:rsidR="00C8098E" w:rsidRPr="00D4191B">
        <w:rPr>
          <w:rFonts w:ascii="Verdana" w:hAnsi="Verdana"/>
          <w:sz w:val="20"/>
        </w:rPr>
        <w:t>ejecución de la Sentencia emitida el 6 de mayo de 200</w:t>
      </w:r>
      <w:r w:rsidR="001017B9">
        <w:rPr>
          <w:rFonts w:ascii="Verdana" w:hAnsi="Verdana"/>
          <w:sz w:val="20"/>
        </w:rPr>
        <w:t>8</w:t>
      </w:r>
      <w:r w:rsidR="00C8098E" w:rsidRPr="00D4191B">
        <w:rPr>
          <w:rFonts w:ascii="Verdana" w:hAnsi="Verdana"/>
          <w:sz w:val="20"/>
        </w:rPr>
        <w:t xml:space="preserve"> en el caso </w:t>
      </w:r>
      <w:r w:rsidR="00C8098E" w:rsidRPr="00D4191B">
        <w:rPr>
          <w:rFonts w:ascii="Verdana" w:hAnsi="Verdana"/>
          <w:i/>
          <w:sz w:val="20"/>
        </w:rPr>
        <w:t>Yvon Neptune</w:t>
      </w:r>
      <w:r w:rsidR="00C8098E" w:rsidRPr="00D4191B">
        <w:rPr>
          <w:rFonts w:ascii="Verdana" w:hAnsi="Verdana"/>
          <w:sz w:val="20"/>
        </w:rPr>
        <w:t>,</w:t>
      </w:r>
      <w:r w:rsidRPr="00D4191B">
        <w:rPr>
          <w:rFonts w:ascii="Verdana" w:hAnsi="Verdana"/>
          <w:sz w:val="20"/>
        </w:rPr>
        <w:t xml:space="preserve"> </w:t>
      </w:r>
      <w:r w:rsidRPr="00557D4D">
        <w:rPr>
          <w:rFonts w:ascii="Verdana" w:hAnsi="Verdana"/>
          <w:sz w:val="20"/>
        </w:rPr>
        <w:t>y ha asumido una actitud de</w:t>
      </w:r>
      <w:r w:rsidR="00557D4D" w:rsidRPr="00557D4D">
        <w:rPr>
          <w:rFonts w:ascii="Verdana" w:hAnsi="Verdana"/>
          <w:sz w:val="20"/>
        </w:rPr>
        <w:t xml:space="preserve"> evidente</w:t>
      </w:r>
      <w:r w:rsidRPr="00557D4D">
        <w:rPr>
          <w:rFonts w:ascii="Verdana" w:hAnsi="Verdana"/>
          <w:sz w:val="20"/>
        </w:rPr>
        <w:t xml:space="preserve"> desacato </w:t>
      </w:r>
      <w:r w:rsidR="00557D4D" w:rsidRPr="00557D4D">
        <w:rPr>
          <w:rFonts w:ascii="Verdana" w:hAnsi="Verdana"/>
          <w:sz w:val="20"/>
        </w:rPr>
        <w:t xml:space="preserve">respecto a la obligatoriedad de </w:t>
      </w:r>
      <w:r w:rsidR="001017B9">
        <w:rPr>
          <w:rFonts w:ascii="Verdana" w:hAnsi="Verdana"/>
          <w:sz w:val="20"/>
        </w:rPr>
        <w:t>é</w:t>
      </w:r>
      <w:r w:rsidR="00557D4D" w:rsidRPr="00557D4D">
        <w:rPr>
          <w:rFonts w:ascii="Verdana" w:hAnsi="Verdana"/>
          <w:sz w:val="20"/>
        </w:rPr>
        <w:t xml:space="preserve">sta, contraria al principio internacional de acatar sus obligaciones convencionales de buena fe, en los términos expuestos en los Considerandos </w:t>
      </w:r>
      <w:r w:rsidR="001017B9">
        <w:rPr>
          <w:rFonts w:ascii="Verdana" w:hAnsi="Verdana"/>
          <w:sz w:val="20"/>
        </w:rPr>
        <w:fldChar w:fldCharType="begin"/>
      </w:r>
      <w:r w:rsidR="001017B9">
        <w:rPr>
          <w:rFonts w:ascii="Verdana" w:hAnsi="Verdana"/>
          <w:sz w:val="20"/>
        </w:rPr>
        <w:instrText xml:space="preserve"> REF _Ref437269647 \r \h </w:instrText>
      </w:r>
      <w:r w:rsidR="001017B9">
        <w:rPr>
          <w:rFonts w:ascii="Verdana" w:hAnsi="Verdana"/>
          <w:sz w:val="20"/>
        </w:rPr>
      </w:r>
      <w:r w:rsidR="001017B9">
        <w:rPr>
          <w:rFonts w:ascii="Verdana" w:hAnsi="Verdana"/>
          <w:sz w:val="20"/>
        </w:rPr>
        <w:fldChar w:fldCharType="separate"/>
      </w:r>
      <w:r w:rsidR="00B602F2">
        <w:rPr>
          <w:rFonts w:ascii="Verdana" w:hAnsi="Verdana"/>
          <w:sz w:val="20"/>
        </w:rPr>
        <w:t>5</w:t>
      </w:r>
      <w:r w:rsidR="001017B9">
        <w:rPr>
          <w:rFonts w:ascii="Verdana" w:hAnsi="Verdana"/>
          <w:sz w:val="20"/>
        </w:rPr>
        <w:fldChar w:fldCharType="end"/>
      </w:r>
      <w:r w:rsidR="001017B9">
        <w:rPr>
          <w:rFonts w:ascii="Verdana" w:hAnsi="Verdana"/>
          <w:sz w:val="20"/>
        </w:rPr>
        <w:t xml:space="preserve"> </w:t>
      </w:r>
      <w:r w:rsidR="00557D4D" w:rsidRPr="00557D4D">
        <w:rPr>
          <w:rFonts w:ascii="Verdana" w:hAnsi="Verdana"/>
          <w:sz w:val="20"/>
        </w:rPr>
        <w:t xml:space="preserve">a </w:t>
      </w:r>
      <w:r w:rsidR="00E32948">
        <w:rPr>
          <w:rFonts w:ascii="Verdana" w:hAnsi="Verdana"/>
          <w:sz w:val="20"/>
        </w:rPr>
        <w:fldChar w:fldCharType="begin"/>
      </w:r>
      <w:r w:rsidR="00E32948">
        <w:rPr>
          <w:rFonts w:ascii="Verdana" w:hAnsi="Verdana"/>
          <w:sz w:val="20"/>
        </w:rPr>
        <w:instrText xml:space="preserve"> REF _Ref437522572 \r \h </w:instrText>
      </w:r>
      <w:r w:rsidR="00E32948">
        <w:rPr>
          <w:rFonts w:ascii="Verdana" w:hAnsi="Verdana"/>
          <w:sz w:val="20"/>
        </w:rPr>
      </w:r>
      <w:r w:rsidR="00E32948">
        <w:rPr>
          <w:rFonts w:ascii="Verdana" w:hAnsi="Verdana"/>
          <w:sz w:val="20"/>
        </w:rPr>
        <w:fldChar w:fldCharType="separate"/>
      </w:r>
      <w:r w:rsidR="00B602F2">
        <w:rPr>
          <w:rFonts w:ascii="Verdana" w:hAnsi="Verdana"/>
          <w:sz w:val="20"/>
        </w:rPr>
        <w:t>9</w:t>
      </w:r>
      <w:r w:rsidR="00E32948">
        <w:rPr>
          <w:rFonts w:ascii="Verdana" w:hAnsi="Verdana"/>
          <w:sz w:val="20"/>
        </w:rPr>
        <w:fldChar w:fldCharType="end"/>
      </w:r>
      <w:r w:rsidR="00557D4D" w:rsidRPr="00557D4D">
        <w:rPr>
          <w:rFonts w:ascii="Verdana" w:hAnsi="Verdana"/>
          <w:sz w:val="20"/>
        </w:rPr>
        <w:t xml:space="preserve"> de la presente Resolución</w:t>
      </w:r>
      <w:r w:rsidRPr="00557D4D">
        <w:rPr>
          <w:rFonts w:ascii="Verdana" w:hAnsi="Verdana"/>
          <w:i/>
          <w:sz w:val="20"/>
        </w:rPr>
        <w:t>.</w:t>
      </w:r>
      <w:bookmarkEnd w:id="13"/>
      <w:r w:rsidR="00557D4D">
        <w:rPr>
          <w:rFonts w:ascii="Verdana" w:hAnsi="Verdana"/>
          <w:i/>
          <w:sz w:val="20"/>
        </w:rPr>
        <w:t xml:space="preserve"> </w:t>
      </w:r>
    </w:p>
    <w:p w14:paraId="0943AC32" w14:textId="77777777" w:rsidR="004C1A1E" w:rsidRDefault="004C1A1E" w:rsidP="004C1A1E">
      <w:pPr>
        <w:rPr>
          <w:rFonts w:ascii="Verdana" w:hAnsi="Verdana"/>
          <w:sz w:val="20"/>
          <w:highlight w:val="yellow"/>
          <w:lang w:val="es-MX"/>
        </w:rPr>
      </w:pPr>
    </w:p>
    <w:p w14:paraId="21D94232" w14:textId="77777777" w:rsidR="0060689E" w:rsidRDefault="0060689E" w:rsidP="004C1A1E">
      <w:pPr>
        <w:rPr>
          <w:rFonts w:ascii="Verdana" w:hAnsi="Verdana"/>
          <w:sz w:val="20"/>
          <w:highlight w:val="yellow"/>
          <w:lang w:val="es-MX"/>
        </w:rPr>
      </w:pPr>
    </w:p>
    <w:p w14:paraId="26CD3947" w14:textId="77777777" w:rsidR="0060689E" w:rsidRDefault="0060689E" w:rsidP="004C1A1E">
      <w:pPr>
        <w:rPr>
          <w:rFonts w:ascii="Verdana" w:hAnsi="Verdana"/>
          <w:sz w:val="20"/>
          <w:highlight w:val="yellow"/>
          <w:lang w:val="es-MX"/>
        </w:rPr>
      </w:pPr>
    </w:p>
    <w:p w14:paraId="2A1B2CB7" w14:textId="77777777" w:rsidR="0060689E" w:rsidRDefault="0060689E" w:rsidP="004C1A1E">
      <w:pPr>
        <w:rPr>
          <w:rFonts w:ascii="Verdana" w:hAnsi="Verdana"/>
          <w:sz w:val="20"/>
          <w:highlight w:val="yellow"/>
          <w:lang w:val="es-MX"/>
        </w:rPr>
      </w:pPr>
    </w:p>
    <w:p w14:paraId="4D9C9628" w14:textId="1B0BD509" w:rsidR="004C1A1E" w:rsidRPr="00D4191B" w:rsidRDefault="004C1A1E" w:rsidP="004C1A1E">
      <w:pPr>
        <w:numPr>
          <w:ilvl w:val="0"/>
          <w:numId w:val="1"/>
        </w:numPr>
        <w:ind w:left="0" w:hanging="11"/>
        <w:jc w:val="both"/>
        <w:rPr>
          <w:rFonts w:ascii="Verdana" w:hAnsi="Verdana"/>
          <w:sz w:val="20"/>
          <w:lang w:val="es-MX"/>
        </w:rPr>
      </w:pPr>
      <w:bookmarkStart w:id="14" w:name="_Ref437275518"/>
      <w:r w:rsidRPr="00D4191B">
        <w:rPr>
          <w:rFonts w:ascii="Verdana" w:hAnsi="Verdana"/>
          <w:sz w:val="20"/>
          <w:lang w:val="es-MX"/>
        </w:rPr>
        <w:lastRenderedPageBreak/>
        <w:t>El Estado no ha dado cumplimiento a ninguna de las reparaciones ordenadas en la Sentencia:</w:t>
      </w:r>
      <w:bookmarkEnd w:id="14"/>
    </w:p>
    <w:p w14:paraId="2D1DEB33" w14:textId="77777777" w:rsidR="004C1A1E" w:rsidRPr="00D4191B" w:rsidRDefault="004C1A1E" w:rsidP="004C1A1E">
      <w:pPr>
        <w:jc w:val="both"/>
        <w:rPr>
          <w:rFonts w:ascii="Verdana" w:hAnsi="Verdana"/>
          <w:sz w:val="20"/>
          <w:lang w:val="es-MX"/>
        </w:rPr>
      </w:pPr>
    </w:p>
    <w:p w14:paraId="46BDAD99" w14:textId="2E127739" w:rsidR="004C1A1E" w:rsidRPr="00D4191B" w:rsidRDefault="000162F2" w:rsidP="004C1A1E">
      <w:pPr>
        <w:pStyle w:val="ListParagraph"/>
        <w:numPr>
          <w:ilvl w:val="0"/>
          <w:numId w:val="8"/>
        </w:numPr>
        <w:jc w:val="both"/>
        <w:rPr>
          <w:rFonts w:ascii="Verdana" w:hAnsi="Verdana"/>
          <w:sz w:val="20"/>
          <w:lang w:val="es-MX"/>
        </w:rPr>
      </w:pPr>
      <w:r>
        <w:rPr>
          <w:rFonts w:ascii="Verdana" w:hAnsi="Verdana"/>
          <w:sz w:val="20"/>
          <w:lang w:val="es-MX"/>
        </w:rPr>
        <w:t>a</w:t>
      </w:r>
      <w:r w:rsidR="004C1A1E" w:rsidRPr="00D4191B">
        <w:rPr>
          <w:rFonts w:ascii="Verdana" w:hAnsi="Verdana"/>
          <w:sz w:val="20"/>
          <w:lang w:val="es-MX"/>
        </w:rPr>
        <w:t>doptar las medidas judiciales y de cualquier otra índole necesarias para que, en el plazo más breve posible, la situación jurídica del señor Yvon Neptune quede totalmente definida con respecto al proceso penal en su contra. Si el Estado resuelve someterlo a otro procedimiento, éste deberá desarrollarse en conformidad con los procedimientos legales y constitucionales aplicables, satisfacer las exigencias del debido proceso legal y respetar plenamente las garantías de defensa para el inculpado, en los términos de la Convención Americana</w:t>
      </w:r>
      <w:r w:rsidR="00CC237C" w:rsidRPr="00D4191B">
        <w:rPr>
          <w:rFonts w:ascii="Verdana" w:hAnsi="Verdana"/>
          <w:sz w:val="20"/>
          <w:lang w:val="es-MX"/>
        </w:rPr>
        <w:t xml:space="preserve"> </w:t>
      </w:r>
      <w:r w:rsidR="00CC237C" w:rsidRPr="00D4191B">
        <w:rPr>
          <w:rFonts w:ascii="Verdana" w:hAnsi="Verdana"/>
          <w:i/>
          <w:sz w:val="20"/>
          <w:lang w:val="es-MX"/>
        </w:rPr>
        <w:t>(punto resolutivo sexto)</w:t>
      </w:r>
      <w:r>
        <w:rPr>
          <w:rFonts w:ascii="Verdana" w:hAnsi="Verdana"/>
          <w:sz w:val="20"/>
          <w:lang w:val="es-MX"/>
        </w:rPr>
        <w:t>;</w:t>
      </w:r>
    </w:p>
    <w:p w14:paraId="3576F4D6" w14:textId="1CC5987B" w:rsidR="004C1A1E" w:rsidRPr="00D4191B" w:rsidRDefault="000162F2" w:rsidP="004C1A1E">
      <w:pPr>
        <w:pStyle w:val="ListParagraph"/>
        <w:numPr>
          <w:ilvl w:val="0"/>
          <w:numId w:val="8"/>
        </w:numPr>
        <w:jc w:val="both"/>
        <w:rPr>
          <w:rFonts w:ascii="Verdana" w:hAnsi="Verdana"/>
          <w:sz w:val="20"/>
          <w:lang w:val="es-MX"/>
        </w:rPr>
      </w:pPr>
      <w:r>
        <w:rPr>
          <w:rFonts w:ascii="Verdana" w:hAnsi="Verdana"/>
          <w:sz w:val="20"/>
          <w:lang w:val="es-MX"/>
        </w:rPr>
        <w:t>a</w:t>
      </w:r>
      <w:r w:rsidR="004C1A1E" w:rsidRPr="00D4191B">
        <w:rPr>
          <w:rFonts w:ascii="Verdana" w:hAnsi="Verdana"/>
          <w:sz w:val="20"/>
          <w:lang w:val="es-MX"/>
        </w:rPr>
        <w:t>doptar, a la mayor brevedad posible, las medidas legislativas y de cualquier otra índole para regular los procedimientos relativos a la Alta Corte de Justicia, de forma que se definan las respectivas competencias, las normas procesales y las garantías mínimas del debido proceso</w:t>
      </w:r>
      <w:r w:rsidR="00CC237C" w:rsidRPr="00D4191B">
        <w:rPr>
          <w:rFonts w:ascii="Verdana" w:hAnsi="Verdana"/>
          <w:sz w:val="20"/>
          <w:lang w:val="es-MX"/>
        </w:rPr>
        <w:t xml:space="preserve"> </w:t>
      </w:r>
      <w:r w:rsidR="00CC237C" w:rsidRPr="00D4191B">
        <w:rPr>
          <w:rFonts w:ascii="Verdana" w:hAnsi="Verdana"/>
          <w:i/>
          <w:sz w:val="20"/>
          <w:lang w:val="es-MX"/>
        </w:rPr>
        <w:t>(punto resolutivo séptimo)</w:t>
      </w:r>
      <w:r>
        <w:rPr>
          <w:rFonts w:ascii="Verdana" w:hAnsi="Verdana"/>
          <w:sz w:val="20"/>
          <w:lang w:val="es-MX"/>
        </w:rPr>
        <w:t>;</w:t>
      </w:r>
    </w:p>
    <w:p w14:paraId="15DE7438" w14:textId="2E0F115A" w:rsidR="004C1A1E" w:rsidRPr="00D4191B" w:rsidRDefault="000162F2" w:rsidP="004C1A1E">
      <w:pPr>
        <w:pStyle w:val="ListParagraph"/>
        <w:numPr>
          <w:ilvl w:val="0"/>
          <w:numId w:val="8"/>
        </w:numPr>
        <w:jc w:val="both"/>
        <w:rPr>
          <w:rFonts w:ascii="Verdana" w:hAnsi="Verdana"/>
          <w:sz w:val="20"/>
          <w:lang w:val="es-MX"/>
        </w:rPr>
      </w:pPr>
      <w:r>
        <w:rPr>
          <w:rFonts w:ascii="Verdana" w:hAnsi="Verdana"/>
          <w:sz w:val="20"/>
          <w:lang w:val="es-MX"/>
        </w:rPr>
        <w:t>p</w:t>
      </w:r>
      <w:r w:rsidR="004C1A1E" w:rsidRPr="00D4191B">
        <w:rPr>
          <w:rFonts w:ascii="Verdana" w:hAnsi="Verdana"/>
          <w:sz w:val="20"/>
          <w:lang w:val="es-MX"/>
        </w:rPr>
        <w:t>ublicar en el Diario Oficial y en otro diario de amplia circulación nacional, por una sola vez, los párrafos 1 a 10, 16 a 21, 36 a 155, 161, 163, 167, 168 y 170 a 183 de la presente Sentencia y la parte resolutiva de la misma</w:t>
      </w:r>
      <w:r w:rsidR="00CC237C" w:rsidRPr="00D4191B">
        <w:rPr>
          <w:rFonts w:ascii="Verdana" w:hAnsi="Verdana"/>
          <w:sz w:val="20"/>
          <w:lang w:val="es-MX"/>
        </w:rPr>
        <w:t xml:space="preserve"> </w:t>
      </w:r>
      <w:r w:rsidR="00CC237C" w:rsidRPr="00D4191B">
        <w:rPr>
          <w:rFonts w:ascii="Verdana" w:hAnsi="Verdana"/>
          <w:i/>
          <w:sz w:val="20"/>
          <w:lang w:val="es-MX"/>
        </w:rPr>
        <w:t>(punto resolutivo octavo)</w:t>
      </w:r>
      <w:r>
        <w:rPr>
          <w:rFonts w:ascii="Verdana" w:hAnsi="Verdana"/>
          <w:sz w:val="20"/>
          <w:lang w:val="es-MX"/>
        </w:rPr>
        <w:t>;</w:t>
      </w:r>
    </w:p>
    <w:p w14:paraId="709D7C98" w14:textId="3BFC5D6D" w:rsidR="004C1A1E" w:rsidRPr="00D4191B" w:rsidRDefault="000162F2" w:rsidP="004C1A1E">
      <w:pPr>
        <w:pStyle w:val="ListParagraph"/>
        <w:numPr>
          <w:ilvl w:val="0"/>
          <w:numId w:val="8"/>
        </w:numPr>
        <w:jc w:val="both"/>
        <w:rPr>
          <w:rFonts w:ascii="Verdana" w:hAnsi="Verdana"/>
          <w:sz w:val="20"/>
          <w:lang w:val="es-MX"/>
        </w:rPr>
      </w:pPr>
      <w:r>
        <w:rPr>
          <w:rFonts w:ascii="Verdana" w:hAnsi="Verdana"/>
          <w:sz w:val="20"/>
          <w:lang w:val="es-MX"/>
        </w:rPr>
        <w:t>a</w:t>
      </w:r>
      <w:r w:rsidR="004C1A1E" w:rsidRPr="00D4191B">
        <w:rPr>
          <w:rFonts w:ascii="Verdana" w:hAnsi="Verdana"/>
          <w:sz w:val="20"/>
          <w:lang w:val="es-MX"/>
        </w:rPr>
        <w:t>doptar, dentro de un plazo razonable, las medidas legislativas, administrativas, y de cualquier otra índole necesarias para mejorar sustancialmente las condiciones de las cárceles haitianas, adecuándolas a las normas internacionales de derechos humanos</w:t>
      </w:r>
      <w:r w:rsidR="00CC237C" w:rsidRPr="00D4191B">
        <w:rPr>
          <w:rFonts w:ascii="Verdana" w:hAnsi="Verdana"/>
          <w:sz w:val="20"/>
          <w:lang w:val="es-MX"/>
        </w:rPr>
        <w:t xml:space="preserve"> </w:t>
      </w:r>
      <w:r w:rsidR="00CC237C" w:rsidRPr="00D4191B">
        <w:rPr>
          <w:rFonts w:ascii="Verdana" w:hAnsi="Verdana"/>
          <w:i/>
          <w:sz w:val="20"/>
          <w:lang w:val="es-MX"/>
        </w:rPr>
        <w:t>(punto resolutivo noveno)</w:t>
      </w:r>
      <w:r>
        <w:rPr>
          <w:rFonts w:ascii="Verdana" w:hAnsi="Verdana"/>
          <w:sz w:val="20"/>
          <w:lang w:val="es-MX"/>
        </w:rPr>
        <w:t>, y</w:t>
      </w:r>
    </w:p>
    <w:p w14:paraId="5862BE3B" w14:textId="46CE949C" w:rsidR="004C1A1E" w:rsidRPr="00D4191B" w:rsidRDefault="000162F2" w:rsidP="004C1A1E">
      <w:pPr>
        <w:pStyle w:val="ListParagraph"/>
        <w:numPr>
          <w:ilvl w:val="0"/>
          <w:numId w:val="8"/>
        </w:numPr>
        <w:jc w:val="both"/>
        <w:rPr>
          <w:rFonts w:ascii="Verdana" w:hAnsi="Verdana"/>
          <w:sz w:val="20"/>
          <w:lang w:val="es-MX"/>
        </w:rPr>
      </w:pPr>
      <w:r>
        <w:rPr>
          <w:rFonts w:ascii="Verdana" w:hAnsi="Verdana"/>
          <w:sz w:val="20"/>
          <w:lang w:val="es-MX"/>
        </w:rPr>
        <w:t>r</w:t>
      </w:r>
      <w:r w:rsidR="004C1A1E" w:rsidRPr="00D4191B">
        <w:rPr>
          <w:rFonts w:ascii="Verdana" w:hAnsi="Verdana"/>
          <w:sz w:val="20"/>
          <w:lang w:val="es-MX"/>
        </w:rPr>
        <w:t>ealizar los pagos de las cantida</w:t>
      </w:r>
      <w:r w:rsidR="00CC237C" w:rsidRPr="00D4191B">
        <w:rPr>
          <w:rFonts w:ascii="Verdana" w:hAnsi="Verdana"/>
          <w:sz w:val="20"/>
          <w:lang w:val="es-MX"/>
        </w:rPr>
        <w:t xml:space="preserve">des establecidas en la </w:t>
      </w:r>
      <w:r w:rsidR="004C1A1E" w:rsidRPr="00D4191B">
        <w:rPr>
          <w:rFonts w:ascii="Verdana" w:hAnsi="Verdana"/>
          <w:sz w:val="20"/>
          <w:lang w:val="es-MX"/>
        </w:rPr>
        <w:t>Sentencia por concepto de daño material, inmaterial y reintegro de costas y gastos</w:t>
      </w:r>
      <w:r w:rsidR="00CC237C" w:rsidRPr="00D4191B">
        <w:rPr>
          <w:rFonts w:ascii="Verdana" w:hAnsi="Verdana"/>
          <w:sz w:val="20"/>
          <w:lang w:val="es-MX"/>
        </w:rPr>
        <w:t xml:space="preserve"> </w:t>
      </w:r>
      <w:r w:rsidR="00CC237C" w:rsidRPr="00D4191B">
        <w:rPr>
          <w:rFonts w:ascii="Verdana" w:hAnsi="Verdana"/>
          <w:i/>
          <w:sz w:val="20"/>
          <w:lang w:val="es-MX"/>
        </w:rPr>
        <w:t>(punto resolutivo décimo)</w:t>
      </w:r>
      <w:r w:rsidR="00CC237C" w:rsidRPr="00D4191B">
        <w:rPr>
          <w:rFonts w:ascii="Verdana" w:hAnsi="Verdana"/>
          <w:sz w:val="20"/>
          <w:lang w:val="es-MX"/>
        </w:rPr>
        <w:t>.</w:t>
      </w:r>
    </w:p>
    <w:p w14:paraId="0BA23E29" w14:textId="77777777" w:rsidR="00CC237C" w:rsidRPr="00D4191B" w:rsidRDefault="00CC237C" w:rsidP="00CC237C">
      <w:pPr>
        <w:jc w:val="both"/>
        <w:rPr>
          <w:rFonts w:ascii="Verdana" w:hAnsi="Verdana"/>
          <w:sz w:val="20"/>
          <w:lang w:val="es-MX"/>
        </w:rPr>
      </w:pPr>
    </w:p>
    <w:p w14:paraId="5D545FF3" w14:textId="77777777" w:rsidR="00EF183C" w:rsidRDefault="00EF183C" w:rsidP="00EF183C">
      <w:pPr>
        <w:jc w:val="both"/>
        <w:rPr>
          <w:rFonts w:ascii="Verdana" w:hAnsi="Verdana"/>
          <w:b/>
          <w:sz w:val="20"/>
          <w:lang w:val="es-MX"/>
        </w:rPr>
      </w:pPr>
      <w:r w:rsidRPr="0082778F">
        <w:rPr>
          <w:rFonts w:ascii="Verdana" w:hAnsi="Verdana"/>
          <w:b/>
          <w:sz w:val="20"/>
          <w:lang w:val="es-MX"/>
        </w:rPr>
        <w:t xml:space="preserve">Y RESUELVE: </w:t>
      </w:r>
    </w:p>
    <w:p w14:paraId="08F1C58C" w14:textId="77777777" w:rsidR="00594052" w:rsidRPr="0082778F" w:rsidRDefault="00594052" w:rsidP="00594052">
      <w:pPr>
        <w:jc w:val="both"/>
        <w:rPr>
          <w:rFonts w:ascii="Verdana" w:hAnsi="Verdana"/>
          <w:b/>
          <w:sz w:val="20"/>
          <w:lang w:val="es-MX"/>
        </w:rPr>
      </w:pPr>
    </w:p>
    <w:p w14:paraId="26ECFAEE" w14:textId="154E4489" w:rsidR="00EF183C" w:rsidRPr="0060689E" w:rsidRDefault="00EF183C" w:rsidP="00EF183C">
      <w:pPr>
        <w:numPr>
          <w:ilvl w:val="0"/>
          <w:numId w:val="1"/>
        </w:numPr>
        <w:ind w:left="0" w:hanging="11"/>
        <w:jc w:val="both"/>
        <w:rPr>
          <w:rFonts w:ascii="Verdana" w:hAnsi="Verdana"/>
          <w:sz w:val="20"/>
        </w:rPr>
      </w:pPr>
      <w:r w:rsidRPr="0060689E">
        <w:rPr>
          <w:rFonts w:ascii="Verdana" w:hAnsi="Verdana"/>
          <w:sz w:val="20"/>
        </w:rPr>
        <w:t>Mantener abierto el procedimiento de supervisión de cumplimiento respecto de todas las medidas de reparación ordenadas en la Sentencia</w:t>
      </w:r>
      <w:r w:rsidR="0060689E" w:rsidRPr="0060689E">
        <w:rPr>
          <w:rFonts w:ascii="Verdana" w:hAnsi="Verdana"/>
          <w:sz w:val="20"/>
        </w:rPr>
        <w:t>, en los términos del Considerando 11 de la presente Resolución</w:t>
      </w:r>
      <w:r w:rsidRPr="0060689E">
        <w:rPr>
          <w:rFonts w:ascii="Verdana" w:hAnsi="Verdana"/>
          <w:sz w:val="20"/>
        </w:rPr>
        <w:t>.</w:t>
      </w:r>
    </w:p>
    <w:p w14:paraId="6C634583" w14:textId="77777777" w:rsidR="00EF183C" w:rsidRPr="00EF183C" w:rsidRDefault="00EF183C" w:rsidP="00EF183C">
      <w:pPr>
        <w:jc w:val="both"/>
        <w:rPr>
          <w:rFonts w:ascii="Verdana" w:hAnsi="Verdana"/>
          <w:sz w:val="20"/>
          <w:lang w:val="es-MX"/>
        </w:rPr>
      </w:pPr>
    </w:p>
    <w:p w14:paraId="376EB69D" w14:textId="416E3B17" w:rsidR="00EF183C" w:rsidRPr="00EF183C" w:rsidRDefault="00EF183C" w:rsidP="00EF183C">
      <w:pPr>
        <w:numPr>
          <w:ilvl w:val="0"/>
          <w:numId w:val="1"/>
        </w:numPr>
        <w:ind w:left="0" w:hanging="11"/>
        <w:jc w:val="both"/>
        <w:rPr>
          <w:rFonts w:ascii="Verdana" w:hAnsi="Verdana"/>
          <w:sz w:val="20"/>
          <w:lang w:val="es-MX"/>
        </w:rPr>
      </w:pPr>
      <w:r w:rsidRPr="0082778F">
        <w:rPr>
          <w:rFonts w:ascii="Verdana" w:hAnsi="Verdana"/>
          <w:sz w:val="20"/>
        </w:rPr>
        <w:t xml:space="preserve">Disponer que Haití adopte, en definitiva y a la mayor brevedad posible, las medidas que sean necesarias para dar efectivo y pronto </w:t>
      </w:r>
      <w:r w:rsidR="00404EA5">
        <w:rPr>
          <w:rFonts w:ascii="Verdana" w:hAnsi="Verdana"/>
          <w:sz w:val="20"/>
        </w:rPr>
        <w:t>cumplimiento</w:t>
      </w:r>
      <w:r w:rsidRPr="0082778F">
        <w:rPr>
          <w:rFonts w:ascii="Verdana" w:hAnsi="Verdana"/>
          <w:sz w:val="20"/>
        </w:rPr>
        <w:t xml:space="preserve"> a </w:t>
      </w:r>
      <w:r w:rsidR="00404EA5">
        <w:rPr>
          <w:rFonts w:ascii="Verdana" w:hAnsi="Verdana"/>
          <w:sz w:val="20"/>
        </w:rPr>
        <w:t xml:space="preserve">las reparaciones ordenadas en </w:t>
      </w:r>
      <w:r w:rsidRPr="0082778F">
        <w:rPr>
          <w:rFonts w:ascii="Verdana" w:hAnsi="Verdana"/>
          <w:sz w:val="20"/>
        </w:rPr>
        <w:t xml:space="preserve">la Sentencia, de acuerdo con lo considerado en la presente Resolución, y con lo estipulado en el artículo 68.1 de la Convención Americana </w:t>
      </w:r>
      <w:r w:rsidR="00A4079A">
        <w:rPr>
          <w:rFonts w:ascii="Verdana" w:hAnsi="Verdana"/>
          <w:sz w:val="20"/>
        </w:rPr>
        <w:t>sobre</w:t>
      </w:r>
      <w:r w:rsidRPr="0082778F">
        <w:rPr>
          <w:rFonts w:ascii="Verdana" w:hAnsi="Verdana"/>
          <w:sz w:val="20"/>
        </w:rPr>
        <w:t xml:space="preserve"> Derechos Humanos.</w:t>
      </w:r>
    </w:p>
    <w:p w14:paraId="2D6080F9" w14:textId="77777777" w:rsidR="00594052" w:rsidRPr="0082778F" w:rsidRDefault="00594052" w:rsidP="00594052">
      <w:pPr>
        <w:jc w:val="both"/>
        <w:rPr>
          <w:rFonts w:ascii="Verdana" w:hAnsi="Verdana"/>
          <w:sz w:val="20"/>
          <w:lang w:val="es-MX"/>
        </w:rPr>
      </w:pPr>
    </w:p>
    <w:p w14:paraId="6A40A56C" w14:textId="3E7818AD" w:rsidR="00594052" w:rsidRPr="0082778F" w:rsidRDefault="00594052" w:rsidP="00594052">
      <w:pPr>
        <w:numPr>
          <w:ilvl w:val="0"/>
          <w:numId w:val="1"/>
        </w:numPr>
        <w:ind w:left="0" w:hanging="11"/>
        <w:jc w:val="both"/>
        <w:rPr>
          <w:rFonts w:ascii="Verdana" w:hAnsi="Verdana"/>
          <w:sz w:val="20"/>
          <w:lang w:val="es-MX"/>
        </w:rPr>
      </w:pPr>
      <w:r w:rsidRPr="0082778F">
        <w:rPr>
          <w:rFonts w:ascii="Verdana" w:hAnsi="Verdana"/>
          <w:sz w:val="20"/>
          <w:lang w:val="es-CL"/>
        </w:rPr>
        <w:t>Incorporar en el próximo Informe Anual de la Corte Interamericana de Derechos Humanos lo decidido en la presente Resolución con el fin de</w:t>
      </w:r>
      <w:r w:rsidRPr="0082778F">
        <w:rPr>
          <w:rFonts w:ascii="Verdana" w:hAnsi="Verdana"/>
          <w:b/>
          <w:sz w:val="20"/>
          <w:lang w:val="es-CL"/>
        </w:rPr>
        <w:t xml:space="preserve"> </w:t>
      </w:r>
      <w:r w:rsidRPr="0082778F">
        <w:rPr>
          <w:rFonts w:ascii="Verdana" w:hAnsi="Verdana"/>
          <w:sz w:val="20"/>
        </w:rPr>
        <w:t xml:space="preserve">informar a la Asamblea General de la Organización de los Estados Americanos, en aplicación del artículo 65 de la Convención Americana sobre Derechos Humanos, sobre el incumplimiento por parte del Estado de </w:t>
      </w:r>
      <w:r>
        <w:rPr>
          <w:rFonts w:ascii="Verdana" w:hAnsi="Verdana"/>
          <w:sz w:val="20"/>
        </w:rPr>
        <w:t>Haití</w:t>
      </w:r>
      <w:r w:rsidRPr="0082778F">
        <w:rPr>
          <w:rFonts w:ascii="Verdana" w:hAnsi="Verdana"/>
          <w:sz w:val="20"/>
        </w:rPr>
        <w:t xml:space="preserve"> de sus obligaciones señaladas en </w:t>
      </w:r>
      <w:r w:rsidR="00A4079A">
        <w:rPr>
          <w:rFonts w:ascii="Verdana" w:hAnsi="Verdana"/>
          <w:sz w:val="20"/>
        </w:rPr>
        <w:t>los</w:t>
      </w:r>
      <w:r w:rsidRPr="0082778F">
        <w:rPr>
          <w:rFonts w:ascii="Verdana" w:hAnsi="Verdana"/>
          <w:sz w:val="20"/>
        </w:rPr>
        <w:t xml:space="preserve"> punto</w:t>
      </w:r>
      <w:r w:rsidR="00A4079A">
        <w:rPr>
          <w:rFonts w:ascii="Verdana" w:hAnsi="Verdana"/>
          <w:sz w:val="20"/>
        </w:rPr>
        <w:t>s</w:t>
      </w:r>
      <w:r w:rsidRPr="0082778F">
        <w:rPr>
          <w:rFonts w:ascii="Verdana" w:hAnsi="Verdana"/>
          <w:sz w:val="20"/>
        </w:rPr>
        <w:t xml:space="preserve"> resolutivo</w:t>
      </w:r>
      <w:r w:rsidR="00A4079A">
        <w:rPr>
          <w:rFonts w:ascii="Verdana" w:hAnsi="Verdana"/>
          <w:sz w:val="20"/>
        </w:rPr>
        <w:t xml:space="preserve">s </w:t>
      </w:r>
      <w:r w:rsidR="002E4E03">
        <w:rPr>
          <w:rFonts w:ascii="Verdana" w:hAnsi="Verdana"/>
          <w:sz w:val="20"/>
        </w:rPr>
        <w:fldChar w:fldCharType="begin"/>
      </w:r>
      <w:r w:rsidR="002E4E03">
        <w:rPr>
          <w:rFonts w:ascii="Verdana" w:hAnsi="Verdana"/>
          <w:sz w:val="20"/>
        </w:rPr>
        <w:instrText xml:space="preserve"> REF _Ref437275515 \r \h </w:instrText>
      </w:r>
      <w:r w:rsidR="002E4E03">
        <w:rPr>
          <w:rFonts w:ascii="Verdana" w:hAnsi="Verdana"/>
          <w:sz w:val="20"/>
        </w:rPr>
      </w:r>
      <w:r w:rsidR="002E4E03">
        <w:rPr>
          <w:rFonts w:ascii="Verdana" w:hAnsi="Verdana"/>
          <w:sz w:val="20"/>
        </w:rPr>
        <w:fldChar w:fldCharType="separate"/>
      </w:r>
      <w:r w:rsidR="00B602F2">
        <w:rPr>
          <w:rFonts w:ascii="Verdana" w:hAnsi="Verdana"/>
          <w:sz w:val="20"/>
        </w:rPr>
        <w:t>1</w:t>
      </w:r>
      <w:r w:rsidR="002E4E03">
        <w:rPr>
          <w:rFonts w:ascii="Verdana" w:hAnsi="Verdana"/>
          <w:sz w:val="20"/>
        </w:rPr>
        <w:fldChar w:fldCharType="end"/>
      </w:r>
      <w:r w:rsidR="00A4079A">
        <w:rPr>
          <w:rFonts w:ascii="Verdana" w:hAnsi="Verdana"/>
          <w:sz w:val="20"/>
        </w:rPr>
        <w:t xml:space="preserve"> y</w:t>
      </w:r>
      <w:r w:rsidRPr="0082778F">
        <w:rPr>
          <w:rFonts w:ascii="Verdana" w:hAnsi="Verdana"/>
          <w:sz w:val="20"/>
        </w:rPr>
        <w:t xml:space="preserve"> </w:t>
      </w:r>
      <w:r w:rsidR="002E4E03">
        <w:rPr>
          <w:rFonts w:ascii="Verdana" w:hAnsi="Verdana"/>
          <w:sz w:val="20"/>
        </w:rPr>
        <w:fldChar w:fldCharType="begin"/>
      </w:r>
      <w:r w:rsidR="002E4E03">
        <w:rPr>
          <w:rFonts w:ascii="Verdana" w:hAnsi="Verdana"/>
          <w:sz w:val="20"/>
        </w:rPr>
        <w:instrText xml:space="preserve"> REF _Ref437275518 \r \h </w:instrText>
      </w:r>
      <w:r w:rsidR="002E4E03">
        <w:rPr>
          <w:rFonts w:ascii="Verdana" w:hAnsi="Verdana"/>
          <w:sz w:val="20"/>
        </w:rPr>
      </w:r>
      <w:r w:rsidR="002E4E03">
        <w:rPr>
          <w:rFonts w:ascii="Verdana" w:hAnsi="Verdana"/>
          <w:sz w:val="20"/>
        </w:rPr>
        <w:fldChar w:fldCharType="separate"/>
      </w:r>
      <w:r w:rsidR="00B602F2">
        <w:rPr>
          <w:rFonts w:ascii="Verdana" w:hAnsi="Verdana"/>
          <w:sz w:val="20"/>
        </w:rPr>
        <w:t>2</w:t>
      </w:r>
      <w:r w:rsidR="002E4E03">
        <w:rPr>
          <w:rFonts w:ascii="Verdana" w:hAnsi="Verdana"/>
          <w:sz w:val="20"/>
        </w:rPr>
        <w:fldChar w:fldCharType="end"/>
      </w:r>
      <w:r w:rsidRPr="0082778F">
        <w:rPr>
          <w:rFonts w:ascii="Verdana" w:hAnsi="Verdana"/>
          <w:sz w:val="20"/>
        </w:rPr>
        <w:t xml:space="preserve"> de la presente Resolución. </w:t>
      </w:r>
    </w:p>
    <w:p w14:paraId="4D171FB0" w14:textId="77777777" w:rsidR="00594052" w:rsidRPr="0082778F" w:rsidRDefault="00594052" w:rsidP="00594052">
      <w:pPr>
        <w:jc w:val="both"/>
        <w:rPr>
          <w:rFonts w:ascii="Verdana" w:hAnsi="Verdana"/>
          <w:sz w:val="20"/>
          <w:lang w:val="es-MX"/>
        </w:rPr>
      </w:pPr>
    </w:p>
    <w:p w14:paraId="0B277BA8" w14:textId="42551FB8" w:rsidR="00594052" w:rsidRPr="003B4353" w:rsidRDefault="00594052" w:rsidP="00594052">
      <w:pPr>
        <w:numPr>
          <w:ilvl w:val="0"/>
          <w:numId w:val="1"/>
        </w:numPr>
        <w:ind w:left="0" w:hanging="11"/>
        <w:jc w:val="both"/>
        <w:rPr>
          <w:rFonts w:ascii="Verdana" w:hAnsi="Verdana"/>
          <w:sz w:val="20"/>
          <w:lang w:val="es-MX"/>
        </w:rPr>
      </w:pPr>
      <w:r w:rsidRPr="0082778F">
        <w:rPr>
          <w:rFonts w:ascii="Verdana" w:hAnsi="Verdana"/>
          <w:sz w:val="20"/>
        </w:rPr>
        <w:t>Disponer que la Secretaría de la Corte notifique la presente Resolución al Estado, a los representantes de las víctimas y a la Comisión Interamericana de Derechos Humanos</w:t>
      </w:r>
      <w:r w:rsidR="00B201BB">
        <w:rPr>
          <w:rFonts w:ascii="Verdana" w:hAnsi="Verdana"/>
          <w:sz w:val="20"/>
        </w:rPr>
        <w:t>.</w:t>
      </w:r>
    </w:p>
    <w:p w14:paraId="43DC8F31" w14:textId="77777777" w:rsidR="003B4353" w:rsidRDefault="003B4353" w:rsidP="003B4353">
      <w:pPr>
        <w:pStyle w:val="ListParagraph"/>
        <w:rPr>
          <w:rFonts w:ascii="Verdana" w:hAnsi="Verdana"/>
          <w:sz w:val="20"/>
          <w:lang w:val="es-MX"/>
        </w:rPr>
      </w:pPr>
    </w:p>
    <w:p w14:paraId="4C03ABA4" w14:textId="77777777" w:rsidR="003B4353" w:rsidRDefault="003B4353" w:rsidP="003B4353">
      <w:pPr>
        <w:jc w:val="both"/>
        <w:rPr>
          <w:rFonts w:ascii="Verdana" w:hAnsi="Verdana"/>
          <w:sz w:val="20"/>
          <w:lang w:val="es-MX"/>
        </w:rPr>
      </w:pPr>
    </w:p>
    <w:p w14:paraId="7F6E11C1" w14:textId="77777777" w:rsidR="003B4353" w:rsidRDefault="003B4353" w:rsidP="003B4353">
      <w:pPr>
        <w:jc w:val="both"/>
        <w:rPr>
          <w:rFonts w:ascii="Verdana" w:hAnsi="Verdana"/>
          <w:sz w:val="20"/>
          <w:lang w:val="es-MX"/>
        </w:rPr>
      </w:pPr>
    </w:p>
    <w:p w14:paraId="3CAC19D7" w14:textId="77777777" w:rsidR="003B4353" w:rsidRDefault="003B4353" w:rsidP="003B4353">
      <w:pPr>
        <w:jc w:val="both"/>
        <w:rPr>
          <w:rFonts w:ascii="Verdana" w:hAnsi="Verdana"/>
          <w:sz w:val="20"/>
          <w:lang w:val="es-MX"/>
        </w:rPr>
      </w:pPr>
    </w:p>
    <w:p w14:paraId="31682932" w14:textId="77777777" w:rsidR="003B4353" w:rsidRDefault="003B4353" w:rsidP="003B4353">
      <w:pPr>
        <w:jc w:val="both"/>
        <w:rPr>
          <w:rFonts w:ascii="Verdana" w:hAnsi="Verdana"/>
          <w:sz w:val="20"/>
          <w:lang w:val="es-MX"/>
        </w:rPr>
      </w:pPr>
    </w:p>
    <w:p w14:paraId="04011FB6" w14:textId="77777777" w:rsidR="003B4353" w:rsidRDefault="003B4353" w:rsidP="003B4353">
      <w:pPr>
        <w:jc w:val="both"/>
        <w:rPr>
          <w:rFonts w:ascii="Verdana" w:hAnsi="Verdana"/>
          <w:sz w:val="20"/>
          <w:lang w:val="es-MX"/>
        </w:rPr>
      </w:pPr>
    </w:p>
    <w:p w14:paraId="3A2A339A" w14:textId="77777777" w:rsidR="003B4353" w:rsidRDefault="003B4353" w:rsidP="003B4353">
      <w:pPr>
        <w:jc w:val="both"/>
        <w:rPr>
          <w:rFonts w:ascii="Verdana" w:hAnsi="Verdana"/>
          <w:sz w:val="20"/>
          <w:lang w:val="es-MX"/>
        </w:rPr>
      </w:pPr>
    </w:p>
    <w:p w14:paraId="000A746A" w14:textId="77777777" w:rsidR="003B4353" w:rsidRDefault="003B4353" w:rsidP="003B4353">
      <w:pPr>
        <w:jc w:val="both"/>
        <w:rPr>
          <w:rFonts w:ascii="Verdana" w:hAnsi="Verdana"/>
          <w:sz w:val="20"/>
          <w:lang w:val="es-MX"/>
        </w:rPr>
      </w:pPr>
    </w:p>
    <w:p w14:paraId="2442C33D" w14:textId="77777777" w:rsidR="003B4353" w:rsidRPr="003B4353" w:rsidRDefault="003B4353" w:rsidP="003B4353">
      <w:pPr>
        <w:tabs>
          <w:tab w:val="left" w:pos="567"/>
        </w:tabs>
        <w:rPr>
          <w:rFonts w:ascii="Verdana" w:eastAsiaTheme="minorHAnsi" w:hAnsi="Verdana" w:cstheme="minorBidi"/>
          <w:sz w:val="20"/>
          <w:szCs w:val="22"/>
          <w:lang w:val="es-CR"/>
        </w:rPr>
      </w:pPr>
      <w:r w:rsidRPr="003B4353">
        <w:rPr>
          <w:rFonts w:ascii="Verdana" w:hAnsi="Verdana"/>
          <w:sz w:val="20"/>
          <w:lang w:val="es-ES"/>
        </w:rPr>
        <w:lastRenderedPageBreak/>
        <w:t>Resolución de la Corte Interamericana de Derechos Humanos. Caso Yvon Neptune Vs. Haití</w:t>
      </w:r>
      <w:r w:rsidRPr="003B4353">
        <w:rPr>
          <w:rFonts w:ascii="Verdana" w:eastAsiaTheme="minorHAnsi" w:hAnsi="Verdana" w:cstheme="minorBidi"/>
          <w:sz w:val="20"/>
          <w:szCs w:val="22"/>
          <w:lang w:val="es-CR"/>
        </w:rPr>
        <w:t xml:space="preserve">.  </w:t>
      </w:r>
      <w:r w:rsidRPr="003B4353">
        <w:rPr>
          <w:rFonts w:ascii="Verdana" w:hAnsi="Verdana"/>
          <w:sz w:val="20"/>
          <w:lang w:val="es-ES"/>
        </w:rPr>
        <w:t>Supervisión de Cumplimiento de Sentencia.</w:t>
      </w:r>
    </w:p>
    <w:p w14:paraId="3048B30F" w14:textId="77777777" w:rsidR="003B4353" w:rsidRPr="003B4353" w:rsidRDefault="003B4353" w:rsidP="003B4353">
      <w:pPr>
        <w:rPr>
          <w:rFonts w:ascii="Verdana" w:hAnsi="Verdana"/>
          <w:sz w:val="20"/>
          <w:lang w:val="es-ES"/>
        </w:rPr>
      </w:pPr>
    </w:p>
    <w:p w14:paraId="700A0D41" w14:textId="77777777" w:rsidR="003B4353" w:rsidRPr="003B4353" w:rsidRDefault="003B4353" w:rsidP="003B4353">
      <w:pPr>
        <w:jc w:val="center"/>
        <w:rPr>
          <w:rFonts w:ascii="Verdana" w:hAnsi="Verdana"/>
          <w:sz w:val="20"/>
          <w:lang w:val="es-ES"/>
        </w:rPr>
      </w:pPr>
    </w:p>
    <w:p w14:paraId="4CAB6967" w14:textId="77777777" w:rsidR="003B4353" w:rsidRPr="003B4353" w:rsidRDefault="003B4353" w:rsidP="003B4353">
      <w:pPr>
        <w:jc w:val="center"/>
        <w:rPr>
          <w:rFonts w:ascii="Verdana" w:hAnsi="Verdana"/>
          <w:sz w:val="20"/>
          <w:lang w:val="es-ES"/>
        </w:rPr>
      </w:pPr>
    </w:p>
    <w:p w14:paraId="66F778BF" w14:textId="77777777" w:rsidR="003B4353" w:rsidRPr="003B4353" w:rsidRDefault="003B4353" w:rsidP="003B4353">
      <w:pPr>
        <w:jc w:val="center"/>
        <w:rPr>
          <w:rFonts w:ascii="Verdana" w:hAnsi="Verdana"/>
          <w:sz w:val="20"/>
          <w:lang w:val="es-ES"/>
        </w:rPr>
      </w:pPr>
    </w:p>
    <w:p w14:paraId="3EE0198B" w14:textId="77777777" w:rsidR="003B4353" w:rsidRPr="003B4353" w:rsidRDefault="003B4353" w:rsidP="003B4353">
      <w:pPr>
        <w:jc w:val="both"/>
        <w:rPr>
          <w:rFonts w:ascii="Verdana" w:hAnsi="Verdana"/>
          <w:sz w:val="20"/>
          <w:lang w:val="es-CR"/>
        </w:rPr>
      </w:pPr>
    </w:p>
    <w:p w14:paraId="3640C163" w14:textId="77777777" w:rsidR="003B4353" w:rsidRPr="003B4353" w:rsidRDefault="003B4353" w:rsidP="003B4353">
      <w:pPr>
        <w:jc w:val="both"/>
        <w:rPr>
          <w:rFonts w:ascii="Verdana" w:hAnsi="Verdana"/>
          <w:sz w:val="20"/>
          <w:lang w:val="es-CR"/>
        </w:rPr>
      </w:pPr>
    </w:p>
    <w:p w14:paraId="6D47CF46" w14:textId="77777777" w:rsidR="003B4353" w:rsidRPr="003B4353" w:rsidRDefault="003B4353" w:rsidP="003B4353">
      <w:pPr>
        <w:jc w:val="center"/>
        <w:rPr>
          <w:rFonts w:ascii="Verdana" w:hAnsi="Verdana"/>
          <w:sz w:val="20"/>
          <w:lang w:val="es-ES"/>
        </w:rPr>
      </w:pPr>
      <w:r w:rsidRPr="003B4353">
        <w:rPr>
          <w:rFonts w:ascii="Verdana" w:hAnsi="Verdana"/>
          <w:sz w:val="20"/>
          <w:lang w:val="es-ES"/>
        </w:rPr>
        <w:t>Humberto Antonio Sierra Porto</w:t>
      </w:r>
    </w:p>
    <w:p w14:paraId="76E7A83D" w14:textId="77777777" w:rsidR="003B4353" w:rsidRPr="003B4353" w:rsidRDefault="003B4353" w:rsidP="003B4353">
      <w:pPr>
        <w:jc w:val="center"/>
        <w:rPr>
          <w:rFonts w:ascii="Verdana" w:hAnsi="Verdana"/>
          <w:sz w:val="20"/>
          <w:lang w:val="es-ES"/>
        </w:rPr>
      </w:pPr>
      <w:r w:rsidRPr="003B4353">
        <w:rPr>
          <w:rFonts w:ascii="Verdana" w:hAnsi="Verdana"/>
          <w:sz w:val="20"/>
          <w:lang w:val="es-ES"/>
        </w:rPr>
        <w:t xml:space="preserve">Presidente </w:t>
      </w:r>
    </w:p>
    <w:p w14:paraId="302E1716" w14:textId="77777777" w:rsidR="003B4353" w:rsidRPr="003B4353" w:rsidRDefault="003B4353" w:rsidP="003B4353">
      <w:pPr>
        <w:jc w:val="both"/>
        <w:rPr>
          <w:rFonts w:ascii="Verdana" w:hAnsi="Verdana"/>
          <w:sz w:val="20"/>
          <w:lang w:val="es-ES"/>
        </w:rPr>
      </w:pPr>
    </w:p>
    <w:p w14:paraId="73386242" w14:textId="77777777" w:rsidR="003B4353" w:rsidRPr="003B4353" w:rsidRDefault="003B4353" w:rsidP="003B4353">
      <w:pPr>
        <w:jc w:val="both"/>
        <w:rPr>
          <w:rFonts w:ascii="Verdana" w:hAnsi="Verdana"/>
          <w:sz w:val="20"/>
          <w:lang w:val="es-ES"/>
        </w:rPr>
      </w:pPr>
    </w:p>
    <w:p w14:paraId="551E71D1" w14:textId="77777777" w:rsidR="003B4353" w:rsidRPr="003B4353" w:rsidRDefault="003B4353" w:rsidP="003B4353">
      <w:pPr>
        <w:jc w:val="both"/>
        <w:rPr>
          <w:rFonts w:ascii="Verdana" w:hAnsi="Verdana"/>
          <w:sz w:val="20"/>
          <w:lang w:val="es-ES"/>
        </w:rPr>
      </w:pPr>
    </w:p>
    <w:p w14:paraId="0C0131BA" w14:textId="77777777" w:rsidR="003B4353" w:rsidRPr="003B4353" w:rsidRDefault="003B4353" w:rsidP="003B4353">
      <w:pPr>
        <w:jc w:val="both"/>
        <w:rPr>
          <w:rFonts w:ascii="Verdana" w:hAnsi="Verdana"/>
          <w:sz w:val="20"/>
          <w:lang w:val="es-ES"/>
        </w:rPr>
      </w:pPr>
    </w:p>
    <w:p w14:paraId="24DD5509" w14:textId="77777777" w:rsidR="003B4353" w:rsidRPr="003B4353" w:rsidRDefault="003B4353" w:rsidP="003B4353">
      <w:pPr>
        <w:jc w:val="both"/>
        <w:rPr>
          <w:rFonts w:ascii="Verdana" w:hAnsi="Verdana"/>
          <w:sz w:val="20"/>
          <w:lang w:val="es-ES"/>
        </w:rPr>
      </w:pPr>
    </w:p>
    <w:p w14:paraId="5A13F10A" w14:textId="77777777" w:rsidR="003B4353" w:rsidRPr="003B4353" w:rsidRDefault="003B4353" w:rsidP="003B4353">
      <w:pPr>
        <w:jc w:val="both"/>
        <w:rPr>
          <w:rFonts w:ascii="Verdana" w:hAnsi="Verdana"/>
          <w:sz w:val="20"/>
          <w:lang w:val="es-ES"/>
        </w:rPr>
      </w:pPr>
      <w:r w:rsidRPr="003B4353">
        <w:rPr>
          <w:rFonts w:ascii="Verdana" w:hAnsi="Verdana"/>
          <w:sz w:val="20"/>
          <w:lang w:val="es-ES"/>
        </w:rPr>
        <w:t>Roberto F. Caldas</w:t>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t>Manuel E. Ventura Robles</w:t>
      </w:r>
    </w:p>
    <w:p w14:paraId="4A13045E" w14:textId="77777777" w:rsidR="003B4353" w:rsidRPr="003B4353" w:rsidRDefault="003B4353" w:rsidP="003B4353">
      <w:pPr>
        <w:jc w:val="both"/>
        <w:rPr>
          <w:rFonts w:ascii="Verdana" w:hAnsi="Verdana"/>
          <w:sz w:val="20"/>
          <w:lang w:val="es-ES"/>
        </w:rPr>
      </w:pPr>
    </w:p>
    <w:p w14:paraId="569B6E07" w14:textId="77777777" w:rsidR="003B4353" w:rsidRPr="003B4353" w:rsidRDefault="003B4353" w:rsidP="003B4353">
      <w:pPr>
        <w:jc w:val="both"/>
        <w:rPr>
          <w:rFonts w:ascii="Verdana" w:hAnsi="Verdana"/>
          <w:sz w:val="20"/>
          <w:lang w:val="es-ES"/>
        </w:rPr>
      </w:pPr>
    </w:p>
    <w:p w14:paraId="23D8E141" w14:textId="77777777" w:rsidR="003B4353" w:rsidRPr="003B4353" w:rsidRDefault="003B4353" w:rsidP="003B4353">
      <w:pPr>
        <w:jc w:val="both"/>
        <w:rPr>
          <w:rFonts w:ascii="Verdana" w:hAnsi="Verdana"/>
          <w:sz w:val="20"/>
          <w:lang w:val="es-ES"/>
        </w:rPr>
      </w:pPr>
    </w:p>
    <w:p w14:paraId="524644DE" w14:textId="77777777" w:rsidR="003B4353" w:rsidRPr="003B4353" w:rsidRDefault="003B4353" w:rsidP="003B4353">
      <w:pPr>
        <w:jc w:val="both"/>
        <w:rPr>
          <w:rFonts w:ascii="Verdana" w:hAnsi="Verdana"/>
          <w:sz w:val="20"/>
          <w:lang w:val="es-ES"/>
        </w:rPr>
      </w:pPr>
    </w:p>
    <w:p w14:paraId="6CCCD2B6" w14:textId="77777777" w:rsidR="003B4353" w:rsidRPr="003B4353" w:rsidRDefault="003B4353" w:rsidP="003B4353">
      <w:pPr>
        <w:jc w:val="both"/>
        <w:rPr>
          <w:rFonts w:ascii="Verdana" w:hAnsi="Verdana"/>
          <w:sz w:val="20"/>
          <w:lang w:val="es-ES"/>
        </w:rPr>
      </w:pPr>
    </w:p>
    <w:p w14:paraId="08BC76B3" w14:textId="77777777" w:rsidR="003B4353" w:rsidRPr="003B4353" w:rsidRDefault="003B4353" w:rsidP="003B4353">
      <w:pPr>
        <w:jc w:val="both"/>
        <w:rPr>
          <w:rFonts w:ascii="Verdana" w:hAnsi="Verdana"/>
          <w:sz w:val="20"/>
          <w:lang w:val="es-ES"/>
        </w:rPr>
      </w:pPr>
      <w:r w:rsidRPr="003B4353">
        <w:rPr>
          <w:rFonts w:ascii="Verdana" w:hAnsi="Verdana"/>
          <w:sz w:val="20"/>
          <w:lang w:val="es-ES"/>
        </w:rPr>
        <w:t xml:space="preserve">Diego García-Sayán </w:t>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r>
      <w:r w:rsidRPr="003B4353">
        <w:rPr>
          <w:rFonts w:ascii="Verdana" w:hAnsi="Verdana"/>
          <w:sz w:val="20"/>
          <w:lang w:val="es-ES"/>
        </w:rPr>
        <w:tab/>
        <w:t xml:space="preserve">Alberto Pérez Pérez </w:t>
      </w:r>
      <w:r w:rsidRPr="003B4353">
        <w:rPr>
          <w:rFonts w:ascii="Verdana" w:hAnsi="Verdana"/>
          <w:sz w:val="20"/>
          <w:lang w:val="es-ES"/>
        </w:rPr>
        <w:tab/>
      </w:r>
    </w:p>
    <w:p w14:paraId="412257C4" w14:textId="77777777" w:rsidR="003B4353" w:rsidRPr="003B4353" w:rsidRDefault="003B4353" w:rsidP="003B4353">
      <w:pPr>
        <w:jc w:val="both"/>
        <w:rPr>
          <w:rFonts w:ascii="Verdana" w:hAnsi="Verdana"/>
          <w:sz w:val="20"/>
          <w:lang w:val="es-ES"/>
        </w:rPr>
      </w:pPr>
    </w:p>
    <w:p w14:paraId="5D8DD085" w14:textId="77777777" w:rsidR="003B4353" w:rsidRPr="003B4353" w:rsidRDefault="003B4353" w:rsidP="003B4353">
      <w:pPr>
        <w:jc w:val="both"/>
        <w:rPr>
          <w:rFonts w:ascii="Verdana" w:hAnsi="Verdana"/>
          <w:sz w:val="20"/>
          <w:lang w:val="es-ES"/>
        </w:rPr>
      </w:pPr>
    </w:p>
    <w:p w14:paraId="248561C0" w14:textId="77777777" w:rsidR="003B4353" w:rsidRPr="003B4353" w:rsidRDefault="003B4353" w:rsidP="003B4353">
      <w:pPr>
        <w:jc w:val="both"/>
        <w:rPr>
          <w:rFonts w:ascii="Verdana" w:hAnsi="Verdana"/>
          <w:sz w:val="20"/>
          <w:lang w:val="es-ES"/>
        </w:rPr>
      </w:pPr>
    </w:p>
    <w:p w14:paraId="2C03B7A7" w14:textId="77777777" w:rsidR="003B4353" w:rsidRPr="003B4353" w:rsidRDefault="003B4353" w:rsidP="003B4353">
      <w:pPr>
        <w:jc w:val="both"/>
        <w:rPr>
          <w:rFonts w:ascii="Verdana" w:hAnsi="Verdana"/>
          <w:sz w:val="20"/>
          <w:lang w:val="es-ES"/>
        </w:rPr>
      </w:pPr>
    </w:p>
    <w:p w14:paraId="25A93E49" w14:textId="77777777" w:rsidR="003B4353" w:rsidRPr="003B4353" w:rsidRDefault="003B4353" w:rsidP="003B4353">
      <w:pPr>
        <w:jc w:val="both"/>
        <w:rPr>
          <w:rFonts w:ascii="Verdana" w:hAnsi="Verdana"/>
          <w:sz w:val="20"/>
          <w:lang w:val="es-ES"/>
        </w:rPr>
      </w:pPr>
    </w:p>
    <w:p w14:paraId="68C74E55" w14:textId="77777777" w:rsidR="003B4353" w:rsidRPr="003B4353" w:rsidRDefault="003B4353" w:rsidP="003B4353">
      <w:pPr>
        <w:jc w:val="both"/>
        <w:rPr>
          <w:rFonts w:ascii="Verdana" w:hAnsi="Verdana"/>
          <w:sz w:val="20"/>
          <w:lang w:val="es-ES"/>
        </w:rPr>
      </w:pPr>
      <w:r w:rsidRPr="003B4353">
        <w:rPr>
          <w:rFonts w:ascii="Verdana" w:hAnsi="Verdana"/>
          <w:sz w:val="20"/>
          <w:lang w:val="es-ES"/>
        </w:rPr>
        <w:t>Eduardo Vio Grossi                                                       Eduardo Ferrer Mac-Gregor Poisot</w:t>
      </w:r>
    </w:p>
    <w:p w14:paraId="41150E96" w14:textId="77777777" w:rsidR="003B4353" w:rsidRPr="003B4353" w:rsidRDefault="003B4353" w:rsidP="003B4353">
      <w:pPr>
        <w:jc w:val="both"/>
        <w:rPr>
          <w:rFonts w:ascii="Verdana" w:hAnsi="Verdana"/>
          <w:sz w:val="20"/>
          <w:lang w:val="es-ES"/>
        </w:rPr>
      </w:pPr>
    </w:p>
    <w:p w14:paraId="5FDD660F" w14:textId="77777777" w:rsidR="003B4353" w:rsidRPr="003B4353" w:rsidRDefault="003B4353" w:rsidP="003B4353">
      <w:pPr>
        <w:jc w:val="both"/>
        <w:rPr>
          <w:rFonts w:ascii="Verdana" w:hAnsi="Verdana"/>
          <w:sz w:val="20"/>
          <w:lang w:val="es-ES"/>
        </w:rPr>
      </w:pPr>
    </w:p>
    <w:p w14:paraId="4BA137EC" w14:textId="77777777" w:rsidR="003B4353" w:rsidRPr="003B4353" w:rsidRDefault="003B4353" w:rsidP="003B4353">
      <w:pPr>
        <w:jc w:val="both"/>
        <w:rPr>
          <w:rFonts w:ascii="Verdana" w:hAnsi="Verdana"/>
          <w:sz w:val="20"/>
          <w:lang w:val="es-ES"/>
        </w:rPr>
      </w:pPr>
    </w:p>
    <w:p w14:paraId="02EB36D9" w14:textId="77777777" w:rsidR="003B4353" w:rsidRPr="003B4353" w:rsidRDefault="003B4353" w:rsidP="003B4353">
      <w:pPr>
        <w:jc w:val="both"/>
        <w:rPr>
          <w:rFonts w:ascii="Verdana" w:hAnsi="Verdana"/>
          <w:sz w:val="20"/>
          <w:lang w:val="es-ES"/>
        </w:rPr>
      </w:pPr>
    </w:p>
    <w:p w14:paraId="14A3DBB5" w14:textId="77777777" w:rsidR="003B4353" w:rsidRPr="003B4353" w:rsidRDefault="003B4353" w:rsidP="003B4353">
      <w:pPr>
        <w:rPr>
          <w:rFonts w:ascii="Verdana" w:hAnsi="Verdana"/>
          <w:sz w:val="20"/>
          <w:lang w:val="es-ES"/>
        </w:rPr>
      </w:pPr>
    </w:p>
    <w:p w14:paraId="6D305D0F" w14:textId="77777777" w:rsidR="003B4353" w:rsidRPr="003B4353" w:rsidRDefault="003B4353" w:rsidP="003B4353">
      <w:pPr>
        <w:jc w:val="center"/>
        <w:rPr>
          <w:rFonts w:ascii="Verdana" w:hAnsi="Verdana"/>
          <w:sz w:val="20"/>
          <w:lang w:val="es-ES"/>
        </w:rPr>
      </w:pPr>
    </w:p>
    <w:p w14:paraId="736F0307" w14:textId="77777777" w:rsidR="003B4353" w:rsidRPr="003B4353" w:rsidRDefault="003B4353" w:rsidP="003B4353">
      <w:pPr>
        <w:jc w:val="center"/>
        <w:rPr>
          <w:rFonts w:ascii="Verdana" w:hAnsi="Verdana"/>
          <w:sz w:val="20"/>
          <w:lang w:val="es-ES"/>
        </w:rPr>
      </w:pPr>
      <w:r w:rsidRPr="003B4353">
        <w:rPr>
          <w:rFonts w:ascii="Verdana" w:hAnsi="Verdana"/>
          <w:sz w:val="20"/>
          <w:lang w:val="es-ES"/>
        </w:rPr>
        <w:t>Pablo Saavedra Alessandri</w:t>
      </w:r>
    </w:p>
    <w:p w14:paraId="04D42A0B" w14:textId="77777777" w:rsidR="003B4353" w:rsidRPr="003B4353" w:rsidRDefault="003B4353" w:rsidP="003B4353">
      <w:pPr>
        <w:jc w:val="center"/>
        <w:rPr>
          <w:rFonts w:ascii="Verdana" w:hAnsi="Verdana"/>
          <w:sz w:val="20"/>
          <w:lang w:val="es-ES"/>
        </w:rPr>
      </w:pPr>
      <w:r w:rsidRPr="003B4353">
        <w:rPr>
          <w:rFonts w:ascii="Verdana" w:hAnsi="Verdana"/>
          <w:sz w:val="20"/>
          <w:lang w:val="es-ES"/>
        </w:rPr>
        <w:t>Secretario</w:t>
      </w:r>
    </w:p>
    <w:p w14:paraId="5A5D9D45" w14:textId="77777777" w:rsidR="003B4353" w:rsidRPr="003B4353" w:rsidRDefault="003B4353" w:rsidP="003B4353">
      <w:pPr>
        <w:rPr>
          <w:rFonts w:ascii="Verdana" w:hAnsi="Verdana"/>
          <w:sz w:val="20"/>
          <w:lang w:val="es-ES"/>
        </w:rPr>
      </w:pPr>
    </w:p>
    <w:p w14:paraId="54673F86" w14:textId="77777777" w:rsidR="003B4353" w:rsidRPr="003B4353" w:rsidRDefault="003B4353" w:rsidP="003B4353">
      <w:pPr>
        <w:jc w:val="both"/>
        <w:rPr>
          <w:rFonts w:ascii="Verdana" w:hAnsi="Verdana"/>
          <w:sz w:val="20"/>
          <w:lang w:val="es-ES"/>
        </w:rPr>
      </w:pPr>
    </w:p>
    <w:p w14:paraId="17FCE142" w14:textId="77777777" w:rsidR="003B4353" w:rsidRPr="003B4353" w:rsidRDefault="003B4353" w:rsidP="003B4353">
      <w:pPr>
        <w:jc w:val="both"/>
        <w:rPr>
          <w:rFonts w:ascii="Verdana" w:hAnsi="Verdana"/>
          <w:sz w:val="20"/>
          <w:lang w:val="es-ES"/>
        </w:rPr>
      </w:pPr>
      <w:r w:rsidRPr="003B4353">
        <w:rPr>
          <w:rFonts w:ascii="Verdana" w:hAnsi="Verdana"/>
          <w:sz w:val="20"/>
          <w:lang w:val="es-ES"/>
        </w:rPr>
        <w:t>Comuníquese y ejecútese,</w:t>
      </w:r>
    </w:p>
    <w:p w14:paraId="5B5A51D4" w14:textId="77777777" w:rsidR="003B4353" w:rsidRPr="003B4353" w:rsidRDefault="003B4353" w:rsidP="003B4353">
      <w:pPr>
        <w:jc w:val="both"/>
        <w:rPr>
          <w:rFonts w:ascii="Verdana" w:hAnsi="Verdana"/>
          <w:sz w:val="20"/>
          <w:lang w:val="es-ES"/>
        </w:rPr>
      </w:pPr>
    </w:p>
    <w:p w14:paraId="33021C57" w14:textId="77777777" w:rsidR="003B4353" w:rsidRPr="003B4353" w:rsidRDefault="003B4353" w:rsidP="003B4353">
      <w:pPr>
        <w:jc w:val="both"/>
        <w:rPr>
          <w:rFonts w:ascii="Verdana" w:hAnsi="Verdana"/>
          <w:sz w:val="20"/>
          <w:lang w:val="es-ES"/>
        </w:rPr>
      </w:pPr>
    </w:p>
    <w:p w14:paraId="730605C7" w14:textId="77777777" w:rsidR="003B4353" w:rsidRPr="003B4353" w:rsidRDefault="003B4353" w:rsidP="003B4353">
      <w:pPr>
        <w:jc w:val="both"/>
        <w:rPr>
          <w:rFonts w:ascii="Verdana" w:hAnsi="Verdana"/>
          <w:sz w:val="20"/>
          <w:lang w:val="es-ES"/>
        </w:rPr>
      </w:pPr>
    </w:p>
    <w:p w14:paraId="49188AC5" w14:textId="77777777" w:rsidR="003B4353" w:rsidRPr="003B4353" w:rsidRDefault="003B4353" w:rsidP="003B4353">
      <w:pPr>
        <w:jc w:val="both"/>
        <w:rPr>
          <w:rFonts w:ascii="Verdana" w:hAnsi="Verdana"/>
          <w:sz w:val="20"/>
          <w:lang w:val="es-CR"/>
        </w:rPr>
      </w:pPr>
    </w:p>
    <w:p w14:paraId="4D907B8F" w14:textId="77777777" w:rsidR="003B4353" w:rsidRPr="003B4353" w:rsidRDefault="003B4353" w:rsidP="003B4353">
      <w:pPr>
        <w:ind w:left="5040"/>
        <w:rPr>
          <w:rFonts w:ascii="Verdana" w:hAnsi="Verdana"/>
          <w:sz w:val="20"/>
          <w:lang w:val="es-ES"/>
        </w:rPr>
      </w:pPr>
      <w:r w:rsidRPr="003B4353">
        <w:rPr>
          <w:rFonts w:ascii="Verdana" w:hAnsi="Verdana"/>
          <w:sz w:val="20"/>
          <w:lang w:val="es-ES"/>
        </w:rPr>
        <w:t xml:space="preserve">       Humberto Antonio Sierra Porto</w:t>
      </w:r>
      <w:r w:rsidRPr="003B4353">
        <w:rPr>
          <w:rFonts w:ascii="Verdana" w:hAnsi="Verdana"/>
          <w:sz w:val="20"/>
          <w:lang w:val="es-ES"/>
        </w:rPr>
        <w:tab/>
      </w:r>
    </w:p>
    <w:p w14:paraId="3AE10E8B" w14:textId="77777777" w:rsidR="003B4353" w:rsidRPr="003B4353" w:rsidRDefault="003B4353" w:rsidP="003B4353">
      <w:pPr>
        <w:ind w:left="5760"/>
        <w:rPr>
          <w:rFonts w:ascii="Verdana" w:hAnsi="Verdana"/>
          <w:sz w:val="20"/>
          <w:lang w:val="es-ES"/>
        </w:rPr>
      </w:pPr>
      <w:r w:rsidRPr="003B4353">
        <w:rPr>
          <w:rFonts w:ascii="Verdana" w:hAnsi="Verdana"/>
          <w:sz w:val="20"/>
          <w:lang w:val="es-ES"/>
        </w:rPr>
        <w:t xml:space="preserve">          Presidente</w:t>
      </w:r>
    </w:p>
    <w:p w14:paraId="66F7AC0E" w14:textId="77777777" w:rsidR="003B4353" w:rsidRPr="003B4353" w:rsidRDefault="003B4353" w:rsidP="003B4353">
      <w:pPr>
        <w:jc w:val="both"/>
        <w:rPr>
          <w:rFonts w:ascii="Verdana" w:hAnsi="Verdana"/>
          <w:sz w:val="20"/>
          <w:lang w:val="es-ES"/>
        </w:rPr>
      </w:pPr>
    </w:p>
    <w:p w14:paraId="469092D1" w14:textId="77777777" w:rsidR="003B4353" w:rsidRPr="003B4353" w:rsidRDefault="003B4353" w:rsidP="003B4353">
      <w:pPr>
        <w:jc w:val="both"/>
        <w:rPr>
          <w:rFonts w:ascii="Verdana" w:hAnsi="Verdana"/>
          <w:sz w:val="20"/>
          <w:lang w:val="es-ES"/>
        </w:rPr>
      </w:pPr>
    </w:p>
    <w:p w14:paraId="335D2DD3" w14:textId="77777777" w:rsidR="003B4353" w:rsidRPr="003B4353" w:rsidRDefault="003B4353" w:rsidP="003B4353">
      <w:pPr>
        <w:jc w:val="both"/>
        <w:rPr>
          <w:rFonts w:ascii="Verdana" w:hAnsi="Verdana"/>
          <w:sz w:val="20"/>
          <w:lang w:val="es-ES"/>
        </w:rPr>
      </w:pPr>
    </w:p>
    <w:p w14:paraId="18B3BF96" w14:textId="77777777" w:rsidR="003B4353" w:rsidRPr="003B4353" w:rsidRDefault="003B4353" w:rsidP="003B4353">
      <w:pPr>
        <w:jc w:val="both"/>
        <w:rPr>
          <w:rFonts w:ascii="Verdana" w:hAnsi="Verdana"/>
          <w:sz w:val="20"/>
          <w:lang w:val="es-ES"/>
        </w:rPr>
      </w:pPr>
    </w:p>
    <w:p w14:paraId="42C99F5B" w14:textId="77777777" w:rsidR="003B4353" w:rsidRPr="003B4353" w:rsidRDefault="003B4353" w:rsidP="003B4353">
      <w:pPr>
        <w:jc w:val="both"/>
        <w:rPr>
          <w:rFonts w:ascii="Verdana" w:hAnsi="Verdana"/>
          <w:sz w:val="20"/>
          <w:lang w:val="es-ES"/>
        </w:rPr>
      </w:pPr>
    </w:p>
    <w:p w14:paraId="4BF332EF" w14:textId="77777777" w:rsidR="003B4353" w:rsidRPr="003B4353" w:rsidRDefault="003B4353" w:rsidP="003B4353">
      <w:pPr>
        <w:jc w:val="both"/>
        <w:rPr>
          <w:rFonts w:ascii="Verdana" w:hAnsi="Verdana"/>
          <w:sz w:val="20"/>
          <w:lang w:val="es-ES"/>
        </w:rPr>
      </w:pPr>
      <w:r w:rsidRPr="003B4353">
        <w:rPr>
          <w:rFonts w:ascii="Verdana" w:hAnsi="Verdana"/>
          <w:sz w:val="20"/>
          <w:lang w:val="es-ES"/>
        </w:rPr>
        <w:t>Pablo Saavedra Alessandri</w:t>
      </w:r>
    </w:p>
    <w:p w14:paraId="4BF5E299" w14:textId="77777777" w:rsidR="003B4353" w:rsidRPr="003B4353" w:rsidRDefault="003B4353" w:rsidP="003B4353">
      <w:pPr>
        <w:rPr>
          <w:rFonts w:ascii="Verdana" w:hAnsi="Verdana"/>
          <w:sz w:val="20"/>
          <w:lang w:val="en-US"/>
        </w:rPr>
      </w:pPr>
      <w:r w:rsidRPr="003B4353">
        <w:rPr>
          <w:rFonts w:ascii="Verdana" w:hAnsi="Verdana"/>
          <w:sz w:val="20"/>
          <w:lang w:val="es-ES"/>
        </w:rPr>
        <w:tab/>
      </w:r>
      <w:r w:rsidRPr="003B4353">
        <w:rPr>
          <w:rFonts w:ascii="Verdana" w:hAnsi="Verdana"/>
          <w:sz w:val="20"/>
          <w:lang w:val="en-US"/>
        </w:rPr>
        <w:t>Secretario</w:t>
      </w:r>
    </w:p>
    <w:p w14:paraId="3302F760" w14:textId="77777777" w:rsidR="003B4353" w:rsidRPr="003B4353" w:rsidRDefault="003B4353" w:rsidP="003B4353">
      <w:pPr>
        <w:rPr>
          <w:rFonts w:ascii="Verdana" w:hAnsi="Verdana"/>
          <w:sz w:val="20"/>
          <w:lang w:val="es-CR"/>
        </w:rPr>
      </w:pPr>
    </w:p>
    <w:p w14:paraId="04BF91E9" w14:textId="77777777" w:rsidR="00594052" w:rsidRPr="0082778F" w:rsidRDefault="00594052" w:rsidP="00594052">
      <w:pPr>
        <w:pStyle w:val="ListParagraph"/>
        <w:rPr>
          <w:rFonts w:ascii="Verdana" w:hAnsi="Verdana"/>
          <w:sz w:val="20"/>
          <w:lang w:val="es-MX"/>
        </w:rPr>
      </w:pPr>
    </w:p>
    <w:sectPr w:rsidR="00594052" w:rsidRPr="0082778F" w:rsidSect="00F84048">
      <w:headerReference w:type="even" r:id="rId9"/>
      <w:headerReference w:type="default" r:id="rId10"/>
      <w:footerReference w:type="even" r:id="rId11"/>
      <w:footerReference w:type="default" r:id="rId12"/>
      <w:headerReference w:type="first" r:id="rId13"/>
      <w:footerReference w:type="first" r:id="rId14"/>
      <w:pgSz w:w="12240" w:h="15840" w:code="1"/>
      <w:pgMar w:top="128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8C095" w14:textId="77777777" w:rsidR="00B55B24" w:rsidRDefault="00B55B24" w:rsidP="00594052">
      <w:r>
        <w:separator/>
      </w:r>
    </w:p>
  </w:endnote>
  <w:endnote w:type="continuationSeparator" w:id="0">
    <w:p w14:paraId="6F1A18E7" w14:textId="77777777" w:rsidR="00B55B24" w:rsidRDefault="00B55B24" w:rsidP="0059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0DE7" w14:textId="77777777" w:rsidR="00032DCA" w:rsidRDefault="00032DCA" w:rsidP="006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B3733" w14:textId="77777777" w:rsidR="00032DCA" w:rsidRDefault="00032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81A9" w14:textId="77777777" w:rsidR="00032DCA" w:rsidRDefault="00032DCA" w:rsidP="006E214A">
    <w:pPr>
      <w:pStyle w:val="Footer"/>
      <w:framePr w:wrap="around" w:vAnchor="text" w:hAnchor="margin" w:xAlign="center" w:y="1"/>
      <w:rPr>
        <w:rStyle w:val="PageNumber"/>
      </w:rPr>
    </w:pPr>
  </w:p>
  <w:p w14:paraId="71BC1AB7" w14:textId="77777777" w:rsidR="00032DCA" w:rsidRDefault="00032DCA" w:rsidP="006E2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96324"/>
      <w:docPartObj>
        <w:docPartGallery w:val="Page Numbers (Bottom of Page)"/>
        <w:docPartUnique/>
      </w:docPartObj>
    </w:sdtPr>
    <w:sdtEndPr>
      <w:rPr>
        <w:noProof/>
      </w:rPr>
    </w:sdtEndPr>
    <w:sdtContent>
      <w:p w14:paraId="22BF905D" w14:textId="77777777" w:rsidR="00032DCA" w:rsidRDefault="00032DCA">
        <w:pPr>
          <w:pStyle w:val="Footer"/>
          <w:jc w:val="right"/>
        </w:pPr>
        <w:r>
          <w:fldChar w:fldCharType="begin"/>
        </w:r>
        <w:r>
          <w:instrText xml:space="preserve"> PAGE   \* MERGEFORMAT </w:instrText>
        </w:r>
        <w:r>
          <w:fldChar w:fldCharType="separate"/>
        </w:r>
        <w:r w:rsidR="0091440A">
          <w:rPr>
            <w:noProof/>
          </w:rPr>
          <w:t>1</w:t>
        </w:r>
        <w:r>
          <w:rPr>
            <w:noProof/>
          </w:rPr>
          <w:fldChar w:fldCharType="end"/>
        </w:r>
      </w:p>
    </w:sdtContent>
  </w:sdt>
  <w:p w14:paraId="2A120CF7" w14:textId="77777777" w:rsidR="00032DCA" w:rsidRDefault="0003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5CC05" w14:textId="77777777" w:rsidR="00B55B24" w:rsidRDefault="00B55B24" w:rsidP="00594052">
      <w:r>
        <w:separator/>
      </w:r>
    </w:p>
  </w:footnote>
  <w:footnote w:type="continuationSeparator" w:id="0">
    <w:p w14:paraId="09BE445D" w14:textId="77777777" w:rsidR="00B55B24" w:rsidRDefault="00B55B24" w:rsidP="00594052">
      <w:r>
        <w:continuationSeparator/>
      </w:r>
    </w:p>
  </w:footnote>
  <w:footnote w:id="1">
    <w:p w14:paraId="3E0BC975" w14:textId="7721ADCB" w:rsidR="00032DCA" w:rsidRPr="000A5B73" w:rsidRDefault="00032DCA" w:rsidP="000A5B73">
      <w:pPr>
        <w:pStyle w:val="FootnoteText"/>
        <w:tabs>
          <w:tab w:val="left" w:pos="567"/>
        </w:tabs>
        <w:jc w:val="both"/>
        <w:rPr>
          <w:rFonts w:ascii="Verdana" w:hAnsi="Verdana"/>
          <w:sz w:val="16"/>
          <w:szCs w:val="16"/>
          <w:lang w:val="es-CR"/>
        </w:rPr>
      </w:pPr>
      <w:r w:rsidRPr="000A5B73">
        <w:rPr>
          <w:rStyle w:val="FootnoteReference"/>
          <w:rFonts w:ascii="Verdana" w:hAnsi="Verdana"/>
          <w:sz w:val="16"/>
          <w:szCs w:val="16"/>
        </w:rPr>
        <w:footnoteRef/>
      </w:r>
      <w:r w:rsidRPr="000A5B73">
        <w:rPr>
          <w:rFonts w:ascii="Verdana" w:hAnsi="Verdana"/>
          <w:sz w:val="16"/>
          <w:szCs w:val="16"/>
        </w:rPr>
        <w:t xml:space="preserve"> </w:t>
      </w:r>
      <w:r w:rsidRPr="000A5B73">
        <w:rPr>
          <w:rFonts w:ascii="Verdana" w:hAnsi="Verdana"/>
          <w:sz w:val="16"/>
          <w:szCs w:val="16"/>
          <w:lang w:val="es-CR"/>
        </w:rPr>
        <w:tab/>
      </w:r>
      <w:r w:rsidR="00C522C2">
        <w:rPr>
          <w:rFonts w:ascii="Verdana" w:hAnsi="Verdana"/>
          <w:sz w:val="16"/>
          <w:szCs w:val="16"/>
          <w:lang w:val="es-CR"/>
        </w:rPr>
        <w:tab/>
      </w:r>
      <w:r w:rsidRPr="000A5B73">
        <w:rPr>
          <w:rFonts w:ascii="Verdana" w:hAnsi="Verdana"/>
          <w:i/>
          <w:sz w:val="16"/>
          <w:szCs w:val="16"/>
          <w:lang w:val="es-CR"/>
        </w:rPr>
        <w:t xml:space="preserve">Cfr. </w:t>
      </w:r>
      <w:r w:rsidRPr="000A5B73">
        <w:rPr>
          <w:rStyle w:val="Strong"/>
          <w:rFonts w:ascii="Verdana" w:hAnsi="Verdana"/>
          <w:b w:val="0"/>
          <w:i/>
          <w:color w:val="000000"/>
          <w:sz w:val="16"/>
          <w:szCs w:val="16"/>
        </w:rPr>
        <w:t>Caso Yvon Neptune Vs. Haití.</w:t>
      </w:r>
      <w:r w:rsidRPr="000A5B73">
        <w:rPr>
          <w:rStyle w:val="Strong"/>
          <w:rFonts w:ascii="Verdana" w:hAnsi="Verdana"/>
          <w:b w:val="0"/>
          <w:sz w:val="16"/>
          <w:szCs w:val="16"/>
        </w:rPr>
        <w:t xml:space="preserve"> Fondo, Reparaciones y Costas. Sentencia de 6 de mayo de 2008. </w:t>
      </w:r>
      <w:r w:rsidRPr="000A5B73">
        <w:rPr>
          <w:rStyle w:val="Strong"/>
          <w:rFonts w:ascii="Verdana" w:hAnsi="Verdana"/>
          <w:b w:val="0"/>
          <w:color w:val="000000"/>
          <w:sz w:val="16"/>
          <w:szCs w:val="16"/>
        </w:rPr>
        <w:t>Serie C No. 180</w:t>
      </w:r>
      <w:r w:rsidRPr="000A5B73">
        <w:rPr>
          <w:rStyle w:val="Strong"/>
          <w:rFonts w:ascii="Verdana" w:hAnsi="Verdana"/>
          <w:b w:val="0"/>
          <w:sz w:val="16"/>
          <w:szCs w:val="16"/>
        </w:rPr>
        <w:t>.</w:t>
      </w:r>
      <w:r w:rsidRPr="000A5B73">
        <w:rPr>
          <w:rFonts w:ascii="Verdana" w:hAnsi="Verdana"/>
          <w:sz w:val="16"/>
          <w:szCs w:val="16"/>
          <w:lang w:val="es-CR"/>
        </w:rPr>
        <w:t xml:space="preserve"> El texto íntegro de la Sentencia se encuentra disponible en:  </w:t>
      </w:r>
      <w:hyperlink r:id="rId1" w:history="1">
        <w:r w:rsidRPr="000A5B73">
          <w:rPr>
            <w:rStyle w:val="Hyperlink"/>
            <w:rFonts w:ascii="Verdana" w:hAnsi="Verdana"/>
            <w:sz w:val="16"/>
            <w:szCs w:val="16"/>
            <w:lang w:val="es-CR"/>
          </w:rPr>
          <w:t>http://www.corteidh.or.cr/docs/casos/articulos/seriec_180_esp1.pdf</w:t>
        </w:r>
      </w:hyperlink>
      <w:r w:rsidRPr="000A5B73">
        <w:rPr>
          <w:rFonts w:ascii="Verdana" w:hAnsi="Verdana"/>
          <w:sz w:val="16"/>
          <w:szCs w:val="16"/>
          <w:lang w:val="es-CR"/>
        </w:rPr>
        <w:t xml:space="preserve">. La Sentencia fue notificada al Estado el 6 de junio de 2008. </w:t>
      </w:r>
    </w:p>
  </w:footnote>
  <w:footnote w:id="2">
    <w:p w14:paraId="45FB7F87" w14:textId="59965B35" w:rsidR="00032DCA" w:rsidRPr="0045725D" w:rsidRDefault="00032DCA">
      <w:pPr>
        <w:pStyle w:val="FootnoteText"/>
        <w:rPr>
          <w:rFonts w:ascii="Verdana" w:hAnsi="Verdana"/>
          <w:sz w:val="16"/>
          <w:szCs w:val="16"/>
        </w:rPr>
      </w:pPr>
      <w:r w:rsidRPr="0045725D">
        <w:rPr>
          <w:rStyle w:val="FootnoteReference"/>
          <w:rFonts w:ascii="Verdana" w:hAnsi="Verdana"/>
          <w:sz w:val="16"/>
          <w:szCs w:val="16"/>
        </w:rPr>
        <w:footnoteRef/>
      </w:r>
      <w:r w:rsidRPr="0045725D">
        <w:rPr>
          <w:rFonts w:ascii="Verdana" w:hAnsi="Verdana"/>
          <w:sz w:val="16"/>
          <w:szCs w:val="16"/>
        </w:rPr>
        <w:t xml:space="preserve"> </w:t>
      </w:r>
      <w:r w:rsidRPr="0045725D">
        <w:rPr>
          <w:rFonts w:ascii="Verdana" w:hAnsi="Verdana"/>
          <w:sz w:val="16"/>
          <w:szCs w:val="16"/>
        </w:rPr>
        <w:tab/>
        <w:t xml:space="preserve">Dichas notas fueron </w:t>
      </w:r>
      <w:r w:rsidR="00CC161E">
        <w:rPr>
          <w:rFonts w:ascii="Verdana" w:hAnsi="Verdana"/>
          <w:sz w:val="16"/>
          <w:szCs w:val="16"/>
        </w:rPr>
        <w:t>r</w:t>
      </w:r>
      <w:r w:rsidRPr="0045725D">
        <w:rPr>
          <w:rFonts w:ascii="Verdana" w:hAnsi="Verdana"/>
          <w:sz w:val="16"/>
          <w:szCs w:val="16"/>
        </w:rPr>
        <w:t xml:space="preserve">emitidas el </w:t>
      </w:r>
      <w:r w:rsidRPr="0045725D">
        <w:rPr>
          <w:rFonts w:ascii="Verdana" w:hAnsi="Verdana" w:cs="Arial"/>
          <w:sz w:val="16"/>
          <w:szCs w:val="16"/>
          <w:lang w:val="es-MX"/>
        </w:rPr>
        <w:t xml:space="preserve">22 de octubre de 2009, </w:t>
      </w:r>
      <w:r w:rsidRPr="0076390D">
        <w:rPr>
          <w:rFonts w:ascii="Verdana" w:hAnsi="Verdana" w:cs="Arial"/>
          <w:sz w:val="16"/>
          <w:szCs w:val="16"/>
          <w:lang w:val="es-MX"/>
        </w:rPr>
        <w:t xml:space="preserve">el </w:t>
      </w:r>
      <w:r w:rsidRPr="0045725D">
        <w:rPr>
          <w:rFonts w:ascii="Verdana" w:hAnsi="Verdana" w:cs="Arial"/>
          <w:sz w:val="16"/>
          <w:szCs w:val="16"/>
          <w:lang w:val="es-MX"/>
        </w:rPr>
        <w:t>11 de marzo y el 1 de julio de 2015</w:t>
      </w:r>
      <w:r w:rsidRPr="0076390D">
        <w:rPr>
          <w:rFonts w:ascii="Verdana" w:hAnsi="Verdana" w:cs="Arial"/>
          <w:sz w:val="16"/>
          <w:szCs w:val="16"/>
          <w:lang w:val="es-MX"/>
        </w:rPr>
        <w:t>.</w:t>
      </w:r>
    </w:p>
  </w:footnote>
  <w:footnote w:id="3">
    <w:p w14:paraId="3DF1DB75" w14:textId="77777777" w:rsidR="00032DCA" w:rsidRPr="0045725D" w:rsidRDefault="00032DCA" w:rsidP="0045725D">
      <w:pPr>
        <w:pStyle w:val="FootnoteText"/>
        <w:jc w:val="both"/>
        <w:rPr>
          <w:rFonts w:ascii="Verdana" w:hAnsi="Verdana"/>
          <w:sz w:val="16"/>
          <w:szCs w:val="16"/>
        </w:rPr>
      </w:pPr>
      <w:r w:rsidRPr="0045725D">
        <w:rPr>
          <w:rStyle w:val="FootnoteReference"/>
          <w:rFonts w:ascii="Verdana" w:hAnsi="Verdana"/>
          <w:sz w:val="16"/>
          <w:szCs w:val="16"/>
        </w:rPr>
        <w:footnoteRef/>
      </w:r>
      <w:r w:rsidRPr="0045725D">
        <w:rPr>
          <w:rFonts w:ascii="Verdana" w:hAnsi="Verdana"/>
          <w:sz w:val="16"/>
          <w:szCs w:val="16"/>
        </w:rPr>
        <w:t xml:space="preserve"> </w:t>
      </w:r>
      <w:r w:rsidRPr="0045725D">
        <w:rPr>
          <w:rFonts w:ascii="Verdana" w:hAnsi="Verdana"/>
          <w:sz w:val="16"/>
          <w:szCs w:val="16"/>
        </w:rPr>
        <w:tab/>
        <w:t>La víctima en este caso fue representada por el Institute for Justice and Democracy in Haiti.</w:t>
      </w:r>
    </w:p>
  </w:footnote>
  <w:footnote w:id="4">
    <w:p w14:paraId="027CEB6D" w14:textId="4B1EE158" w:rsidR="00032DCA" w:rsidRPr="000A5B73" w:rsidRDefault="00032DCA" w:rsidP="000A5B73">
      <w:pPr>
        <w:pStyle w:val="FootnoteText"/>
        <w:tabs>
          <w:tab w:val="left" w:pos="284"/>
          <w:tab w:val="left" w:pos="567"/>
        </w:tabs>
        <w:jc w:val="both"/>
        <w:rPr>
          <w:rFonts w:ascii="Verdana" w:hAnsi="Verdana"/>
          <w:sz w:val="16"/>
          <w:szCs w:val="16"/>
          <w:lang w:val="es-CR"/>
        </w:rPr>
      </w:pPr>
      <w:r w:rsidRPr="000A5B73">
        <w:rPr>
          <w:rStyle w:val="FootnoteReference"/>
          <w:rFonts w:ascii="Verdana" w:hAnsi="Verdana"/>
          <w:sz w:val="16"/>
          <w:szCs w:val="16"/>
          <w:lang w:val="es-CR"/>
        </w:rPr>
        <w:footnoteRef/>
      </w:r>
      <w:r w:rsidR="00A20C7A">
        <w:rPr>
          <w:rFonts w:ascii="Verdana" w:hAnsi="Verdana"/>
          <w:sz w:val="16"/>
          <w:szCs w:val="16"/>
          <w:lang w:val="es-CR"/>
        </w:rPr>
        <w:t xml:space="preserve"> </w:t>
      </w:r>
      <w:r w:rsidR="00A20C7A">
        <w:rPr>
          <w:rFonts w:ascii="Verdana" w:hAnsi="Verdana"/>
          <w:sz w:val="16"/>
          <w:szCs w:val="16"/>
          <w:lang w:val="es-CR"/>
        </w:rPr>
        <w:tab/>
      </w:r>
      <w:r w:rsidR="00A20C7A">
        <w:rPr>
          <w:rFonts w:ascii="Verdana" w:hAnsi="Verdana"/>
          <w:sz w:val="16"/>
          <w:szCs w:val="16"/>
          <w:lang w:val="es-CR"/>
        </w:rPr>
        <w:tab/>
      </w:r>
      <w:r w:rsidR="00A20C7A">
        <w:rPr>
          <w:rFonts w:ascii="Verdana" w:hAnsi="Verdana"/>
          <w:sz w:val="16"/>
          <w:szCs w:val="16"/>
          <w:lang w:val="es-CR"/>
        </w:rPr>
        <w:tab/>
      </w:r>
      <w:r w:rsidRPr="000A5B73">
        <w:rPr>
          <w:rFonts w:ascii="Verdana" w:hAnsi="Verdana"/>
          <w:sz w:val="16"/>
          <w:szCs w:val="16"/>
          <w:lang w:val="es-CR"/>
        </w:rPr>
        <w:t>Facultad que además se desprende de lo dispuesto en los artículos 33, 62.1, 62.3 y 65 de la Convención Americana y 30 de su Estatuto y regulado, también, en el artículo 69 de su Reglamento.</w:t>
      </w:r>
    </w:p>
  </w:footnote>
  <w:footnote w:id="5">
    <w:p w14:paraId="66E53520" w14:textId="306A413C" w:rsidR="00032DCA" w:rsidRDefault="00032DCA" w:rsidP="00282756">
      <w:pPr>
        <w:pStyle w:val="FootnoteText"/>
        <w:jc w:val="both"/>
      </w:pPr>
      <w:r w:rsidRPr="00F36A72">
        <w:rPr>
          <w:rStyle w:val="FootnoteReference"/>
          <w:rFonts w:ascii="Verdana" w:hAnsi="Verdana"/>
          <w:sz w:val="16"/>
          <w:szCs w:val="16"/>
        </w:rPr>
        <w:footnoteRef/>
      </w:r>
      <w:r w:rsidRPr="00F36A72">
        <w:rPr>
          <w:rFonts w:ascii="Verdana" w:hAnsi="Verdana"/>
          <w:sz w:val="16"/>
          <w:szCs w:val="16"/>
        </w:rPr>
        <w:t xml:space="preserve"> </w:t>
      </w:r>
      <w:r>
        <w:tab/>
      </w:r>
      <w:r w:rsidRPr="00032DCA">
        <w:rPr>
          <w:rFonts w:ascii="Verdana" w:hAnsi="Verdana"/>
          <w:sz w:val="16"/>
          <w:szCs w:val="16"/>
        </w:rPr>
        <w:t>P</w:t>
      </w:r>
      <w:r w:rsidR="00733830">
        <w:rPr>
          <w:rFonts w:ascii="Verdana" w:hAnsi="Verdana"/>
          <w:sz w:val="16"/>
          <w:szCs w:val="16"/>
        </w:rPr>
        <w:t>unto resolutivo décimo de la Sentencia</w:t>
      </w:r>
      <w:r w:rsidR="00F36A72">
        <w:rPr>
          <w:rFonts w:ascii="Verdana" w:hAnsi="Verdana"/>
          <w:sz w:val="16"/>
          <w:szCs w:val="16"/>
        </w:rPr>
        <w:t>.</w:t>
      </w:r>
    </w:p>
  </w:footnote>
  <w:footnote w:id="6">
    <w:p w14:paraId="07F171C4" w14:textId="1F42F725" w:rsidR="00CF696D" w:rsidRPr="00282756" w:rsidRDefault="00CF696D">
      <w:pPr>
        <w:pStyle w:val="FootnoteText"/>
        <w:rPr>
          <w:rFonts w:ascii="Verdana" w:hAnsi="Verdana"/>
          <w:sz w:val="16"/>
          <w:szCs w:val="16"/>
        </w:rPr>
      </w:pPr>
      <w:r w:rsidRPr="00282756">
        <w:rPr>
          <w:rStyle w:val="FootnoteReference"/>
          <w:rFonts w:ascii="Verdana" w:hAnsi="Verdana"/>
          <w:sz w:val="16"/>
          <w:szCs w:val="16"/>
        </w:rPr>
        <w:footnoteRef/>
      </w:r>
      <w:r w:rsidRPr="00282756">
        <w:rPr>
          <w:rFonts w:ascii="Verdana" w:hAnsi="Verdana"/>
          <w:sz w:val="16"/>
          <w:szCs w:val="16"/>
        </w:rPr>
        <w:t xml:space="preserve"> </w:t>
      </w:r>
      <w:r w:rsidRPr="00282756">
        <w:rPr>
          <w:rFonts w:ascii="Verdana" w:hAnsi="Verdana"/>
          <w:sz w:val="16"/>
          <w:szCs w:val="16"/>
        </w:rPr>
        <w:tab/>
      </w:r>
      <w:r w:rsidR="00901DED">
        <w:rPr>
          <w:rFonts w:ascii="Verdana" w:hAnsi="Verdana"/>
          <w:sz w:val="16"/>
          <w:szCs w:val="16"/>
        </w:rPr>
        <w:t>P</w:t>
      </w:r>
      <w:r w:rsidRPr="00282756">
        <w:rPr>
          <w:rFonts w:ascii="Verdana" w:hAnsi="Verdana"/>
          <w:sz w:val="16"/>
          <w:szCs w:val="16"/>
        </w:rPr>
        <w:t xml:space="preserve">unto </w:t>
      </w:r>
      <w:r w:rsidR="00733830" w:rsidRPr="00282756">
        <w:rPr>
          <w:rFonts w:ascii="Verdana" w:hAnsi="Verdana"/>
          <w:sz w:val="16"/>
          <w:szCs w:val="16"/>
        </w:rPr>
        <w:t>resolutivo octavo y párrafo 180 de la Sentencia</w:t>
      </w:r>
      <w:r w:rsidRPr="00282756">
        <w:rPr>
          <w:rFonts w:ascii="Verdana" w:hAnsi="Verdana"/>
          <w:sz w:val="16"/>
          <w:szCs w:val="16"/>
        </w:rPr>
        <w:t>.</w:t>
      </w:r>
    </w:p>
  </w:footnote>
  <w:footnote w:id="7">
    <w:p w14:paraId="4FD2757E" w14:textId="5A06FB08" w:rsidR="00B971C0" w:rsidRPr="00B971C0" w:rsidRDefault="00B971C0" w:rsidP="00B971C0">
      <w:pPr>
        <w:pStyle w:val="FootnoteText"/>
        <w:jc w:val="both"/>
        <w:rPr>
          <w:rFonts w:ascii="Verdana" w:hAnsi="Verdana"/>
          <w:sz w:val="16"/>
          <w:szCs w:val="16"/>
        </w:rPr>
      </w:pPr>
      <w:r w:rsidRPr="00B971C0">
        <w:rPr>
          <w:rStyle w:val="FootnoteReference"/>
          <w:rFonts w:ascii="Verdana" w:hAnsi="Verdana"/>
          <w:sz w:val="16"/>
          <w:szCs w:val="16"/>
        </w:rPr>
        <w:footnoteRef/>
      </w:r>
      <w:r w:rsidRPr="00B971C0">
        <w:rPr>
          <w:rFonts w:ascii="Verdana" w:hAnsi="Verdana"/>
          <w:sz w:val="16"/>
          <w:szCs w:val="16"/>
        </w:rPr>
        <w:t xml:space="preserve"> </w:t>
      </w:r>
      <w:r w:rsidRPr="00B971C0">
        <w:rPr>
          <w:rFonts w:ascii="Verdana" w:hAnsi="Verdana"/>
          <w:sz w:val="16"/>
          <w:szCs w:val="16"/>
        </w:rPr>
        <w:tab/>
      </w:r>
      <w:r w:rsidR="00407BC2">
        <w:rPr>
          <w:rFonts w:ascii="Verdana" w:hAnsi="Verdana"/>
          <w:sz w:val="16"/>
          <w:szCs w:val="16"/>
        </w:rPr>
        <w:t>Asimismo, la Corte indicó que “[s]</w:t>
      </w:r>
      <w:r w:rsidRPr="00B971C0">
        <w:rPr>
          <w:rFonts w:ascii="Verdana" w:hAnsi="Verdana"/>
          <w:sz w:val="16"/>
          <w:szCs w:val="16"/>
        </w:rPr>
        <w:t>i el Estado resuelve someterlo a otro procedimiento, éste</w:t>
      </w:r>
      <w:r w:rsidRPr="00B971C0">
        <w:rPr>
          <w:rFonts w:ascii="Verdana" w:hAnsi="Verdana" w:cs="Verdana"/>
          <w:sz w:val="16"/>
          <w:szCs w:val="16"/>
          <w:lang w:eastAsia="es-CL"/>
        </w:rPr>
        <w:t xml:space="preserve"> deberá desarrollarse en conformidad con los procedimientos legales y constitucionales aplicables, satisfacer las exigencias del debido proceso legal y respetar plenamente las garantías de defensa para el inculpado</w:t>
      </w:r>
      <w:r w:rsidR="00407BC2">
        <w:rPr>
          <w:rFonts w:ascii="Verdana" w:hAnsi="Verdana" w:cs="Verdana"/>
          <w:sz w:val="16"/>
          <w:szCs w:val="16"/>
          <w:lang w:eastAsia="es-CL"/>
        </w:rPr>
        <w:t>”</w:t>
      </w:r>
      <w:r>
        <w:rPr>
          <w:rFonts w:ascii="Verdana" w:hAnsi="Verdana" w:cs="Verdana"/>
          <w:sz w:val="16"/>
          <w:szCs w:val="16"/>
          <w:lang w:eastAsia="es-CL"/>
        </w:rPr>
        <w:t>.</w:t>
      </w:r>
      <w:r w:rsidR="00282756">
        <w:rPr>
          <w:rFonts w:ascii="Verdana" w:hAnsi="Verdana" w:cs="Verdana"/>
          <w:sz w:val="16"/>
          <w:szCs w:val="16"/>
          <w:lang w:eastAsia="es-CL"/>
        </w:rPr>
        <w:t xml:space="preserve"> Punto resolutivo sexto</w:t>
      </w:r>
      <w:r w:rsidR="00E82CE2">
        <w:rPr>
          <w:rFonts w:ascii="Verdana" w:hAnsi="Verdana" w:cs="Verdana"/>
          <w:sz w:val="16"/>
          <w:szCs w:val="16"/>
          <w:lang w:eastAsia="es-CL"/>
        </w:rPr>
        <w:t xml:space="preserve"> de la Sentencia</w:t>
      </w:r>
      <w:r w:rsidR="00282756">
        <w:rPr>
          <w:rFonts w:ascii="Verdana" w:hAnsi="Verdana" w:cs="Verdana"/>
          <w:sz w:val="16"/>
          <w:szCs w:val="16"/>
          <w:lang w:eastAsia="es-CL"/>
        </w:rPr>
        <w:t>.</w:t>
      </w:r>
    </w:p>
  </w:footnote>
  <w:footnote w:id="8">
    <w:p w14:paraId="19A15C02" w14:textId="40793EBE" w:rsidR="00F63BAF" w:rsidRPr="00F63BAF" w:rsidRDefault="00F63BAF">
      <w:pPr>
        <w:pStyle w:val="FootnoteText"/>
        <w:rPr>
          <w:rFonts w:ascii="Verdana" w:hAnsi="Verdana"/>
          <w:sz w:val="16"/>
          <w:szCs w:val="16"/>
        </w:rPr>
      </w:pPr>
      <w:r w:rsidRPr="00F63BAF">
        <w:rPr>
          <w:rStyle w:val="FootnoteReference"/>
          <w:rFonts w:ascii="Verdana" w:hAnsi="Verdana"/>
          <w:sz w:val="16"/>
          <w:szCs w:val="16"/>
        </w:rPr>
        <w:footnoteRef/>
      </w:r>
      <w:r w:rsidRPr="00F63BAF">
        <w:rPr>
          <w:rFonts w:ascii="Verdana" w:hAnsi="Verdana"/>
          <w:sz w:val="16"/>
          <w:szCs w:val="16"/>
        </w:rPr>
        <w:t xml:space="preserve"> </w:t>
      </w:r>
      <w:r w:rsidRPr="00F63BAF">
        <w:rPr>
          <w:rFonts w:ascii="Verdana" w:hAnsi="Verdana"/>
          <w:sz w:val="16"/>
          <w:szCs w:val="16"/>
        </w:rPr>
        <w:tab/>
      </w:r>
      <w:r w:rsidR="00F231FF">
        <w:rPr>
          <w:rFonts w:ascii="Verdana" w:hAnsi="Verdana"/>
          <w:sz w:val="16"/>
          <w:szCs w:val="16"/>
        </w:rPr>
        <w:t xml:space="preserve">Lo señalado </w:t>
      </w:r>
      <w:r w:rsidRPr="00F63BAF">
        <w:rPr>
          <w:rFonts w:ascii="Verdana" w:hAnsi="Verdana"/>
          <w:sz w:val="16"/>
          <w:szCs w:val="16"/>
        </w:rPr>
        <w:t>“de forma que se definan las respectivas competencias, las normas procesales y las garantías mínimas del debido proceso”. Punto resolutivo séptimo</w:t>
      </w:r>
      <w:r w:rsidR="00A31074">
        <w:rPr>
          <w:rFonts w:ascii="Verdana" w:hAnsi="Verdana"/>
          <w:sz w:val="16"/>
          <w:szCs w:val="16"/>
        </w:rPr>
        <w:t xml:space="preserve"> de la Sentencia</w:t>
      </w:r>
      <w:r w:rsidRPr="00F63BAF">
        <w:rPr>
          <w:rFonts w:ascii="Verdana" w:hAnsi="Verdana"/>
          <w:sz w:val="16"/>
          <w:szCs w:val="16"/>
        </w:rPr>
        <w:t xml:space="preserve">. </w:t>
      </w:r>
    </w:p>
  </w:footnote>
  <w:footnote w:id="9">
    <w:p w14:paraId="620FB1F0" w14:textId="49311E04" w:rsidR="00ED0303" w:rsidRPr="00ED0303" w:rsidRDefault="00ED0303" w:rsidP="00ED0303">
      <w:pPr>
        <w:jc w:val="both"/>
        <w:rPr>
          <w:rFonts w:ascii="Verdana" w:hAnsi="Verdana"/>
          <w:sz w:val="16"/>
          <w:szCs w:val="16"/>
        </w:rPr>
      </w:pPr>
      <w:r w:rsidRPr="00ED0303">
        <w:rPr>
          <w:rStyle w:val="FootnoteReference"/>
          <w:rFonts w:ascii="Verdana" w:hAnsi="Verdana"/>
          <w:sz w:val="16"/>
          <w:szCs w:val="16"/>
        </w:rPr>
        <w:footnoteRef/>
      </w:r>
      <w:r w:rsidRPr="00ED0303">
        <w:rPr>
          <w:rFonts w:ascii="Verdana" w:hAnsi="Verdana"/>
          <w:sz w:val="16"/>
          <w:szCs w:val="16"/>
        </w:rPr>
        <w:t xml:space="preserve"> </w:t>
      </w:r>
      <w:r w:rsidRPr="00ED0303">
        <w:rPr>
          <w:rFonts w:ascii="Verdana" w:hAnsi="Verdana"/>
          <w:sz w:val="16"/>
          <w:szCs w:val="16"/>
        </w:rPr>
        <w:tab/>
        <w:t>Asimismo, se dispuso que “[p]ara estos efectos, el Estado deberá establecer, en un plazo de dos años, un programa de acción y planificación, así como un cronograma de actividades vinculados al cumplimiento de esta disposición”.</w:t>
      </w:r>
      <w:r w:rsidR="00A31074">
        <w:rPr>
          <w:rFonts w:ascii="Verdana" w:hAnsi="Verdana"/>
          <w:sz w:val="16"/>
          <w:szCs w:val="16"/>
        </w:rPr>
        <w:t xml:space="preserve"> Punto resolutivo noveno y párrafos 181 a 183 de la Sentencia.</w:t>
      </w:r>
    </w:p>
  </w:footnote>
  <w:footnote w:id="10">
    <w:p w14:paraId="4909559B" w14:textId="77777777" w:rsidR="00032DCA" w:rsidRPr="008C5394" w:rsidRDefault="00032DCA" w:rsidP="008C5394">
      <w:pPr>
        <w:pStyle w:val="FootnoteText"/>
        <w:jc w:val="both"/>
        <w:rPr>
          <w:rFonts w:ascii="Verdana" w:hAnsi="Verdana"/>
          <w:i/>
          <w:sz w:val="16"/>
          <w:szCs w:val="16"/>
        </w:rPr>
      </w:pPr>
      <w:r w:rsidRPr="008C5394">
        <w:rPr>
          <w:rStyle w:val="FootnoteReference"/>
          <w:rFonts w:ascii="Verdana" w:hAnsi="Verdana"/>
          <w:sz w:val="16"/>
          <w:szCs w:val="16"/>
        </w:rPr>
        <w:footnoteRef/>
      </w:r>
      <w:r w:rsidRPr="008C5394">
        <w:rPr>
          <w:rFonts w:ascii="Verdana" w:hAnsi="Verdana"/>
          <w:sz w:val="16"/>
          <w:szCs w:val="16"/>
        </w:rPr>
        <w:t xml:space="preserve"> </w:t>
      </w:r>
      <w:r w:rsidRPr="008C5394">
        <w:rPr>
          <w:rFonts w:ascii="Verdana" w:hAnsi="Verdana"/>
          <w:sz w:val="16"/>
          <w:szCs w:val="16"/>
        </w:rPr>
        <w:tab/>
      </w:r>
      <w:r w:rsidRPr="008C5394">
        <w:rPr>
          <w:rFonts w:ascii="Verdana" w:hAnsi="Verdana"/>
          <w:i/>
          <w:sz w:val="16"/>
          <w:szCs w:val="16"/>
        </w:rPr>
        <w:t xml:space="preserve">Cfr. Caso Familia Barrios Vs. Venezuela. Supervisión de Cumplimiento de Sentencia. </w:t>
      </w:r>
      <w:r w:rsidRPr="008C5394">
        <w:rPr>
          <w:rFonts w:ascii="Verdana" w:hAnsi="Verdana"/>
          <w:sz w:val="16"/>
          <w:szCs w:val="16"/>
        </w:rPr>
        <w:t>Resolución de la Corte Interamericana de Derechos Humanos de 2 de septiembre de 2015, Considerando 2.</w:t>
      </w:r>
    </w:p>
  </w:footnote>
  <w:footnote w:id="11">
    <w:p w14:paraId="0626094F" w14:textId="0F05D58C" w:rsidR="00032DCA" w:rsidRPr="000A5B73" w:rsidRDefault="00032DCA" w:rsidP="000A5B73">
      <w:pPr>
        <w:pStyle w:val="FootnoteText"/>
        <w:tabs>
          <w:tab w:val="left" w:pos="567"/>
        </w:tabs>
        <w:ind w:right="4"/>
        <w:jc w:val="both"/>
        <w:rPr>
          <w:rFonts w:ascii="Verdana" w:hAnsi="Verdana"/>
          <w:color w:val="000000"/>
          <w:sz w:val="16"/>
          <w:szCs w:val="16"/>
          <w:lang w:val="es-CR"/>
        </w:rPr>
      </w:pPr>
      <w:r w:rsidRPr="000A5B73">
        <w:rPr>
          <w:rStyle w:val="FootnoteReference"/>
          <w:rFonts w:ascii="Verdana" w:hAnsi="Verdana"/>
          <w:sz w:val="16"/>
          <w:szCs w:val="16"/>
        </w:rPr>
        <w:footnoteRef/>
      </w:r>
      <w:r w:rsidRPr="000A5B73">
        <w:rPr>
          <w:rFonts w:ascii="Verdana" w:hAnsi="Verdana"/>
          <w:sz w:val="16"/>
          <w:szCs w:val="16"/>
          <w:lang w:val="es-CR"/>
        </w:rPr>
        <w:t xml:space="preserve"> </w:t>
      </w:r>
      <w:r w:rsidRPr="000A5B73">
        <w:rPr>
          <w:rFonts w:ascii="Verdana" w:hAnsi="Verdana"/>
          <w:sz w:val="16"/>
          <w:szCs w:val="16"/>
          <w:lang w:val="es-CR"/>
        </w:rPr>
        <w:tab/>
      </w:r>
      <w:r w:rsidR="00EA7AFA">
        <w:rPr>
          <w:rFonts w:ascii="Verdana" w:hAnsi="Verdana"/>
          <w:i/>
          <w:color w:val="000000"/>
          <w:sz w:val="16"/>
          <w:szCs w:val="16"/>
          <w:lang w:val="es-MX"/>
        </w:rPr>
        <w:t xml:space="preserve">Cfr. Caso Castillo Petruzzi y otros Vs. Perú. Supervisión de Cumplimiento de Sentencia. Resolución de la Corte de 17 de noviembre de 1999, Considerando 3, </w:t>
      </w:r>
      <w:r w:rsidR="00EA7AFA">
        <w:rPr>
          <w:rFonts w:ascii="Verdana" w:hAnsi="Verdana"/>
          <w:color w:val="000000"/>
          <w:sz w:val="16"/>
          <w:szCs w:val="16"/>
          <w:lang w:val="es-MX"/>
        </w:rPr>
        <w:t>y</w:t>
      </w:r>
      <w:r w:rsidR="00EA7AFA">
        <w:rPr>
          <w:rFonts w:ascii="Verdana" w:hAnsi="Verdana"/>
          <w:i/>
          <w:color w:val="000000"/>
          <w:sz w:val="16"/>
          <w:szCs w:val="16"/>
          <w:lang w:val="es-MX"/>
        </w:rPr>
        <w:t xml:space="preserve"> </w:t>
      </w:r>
      <w:r w:rsidR="00EA7AFA" w:rsidRPr="00EA7AFA">
        <w:rPr>
          <w:rStyle w:val="Strong"/>
          <w:rFonts w:ascii="Verdana" w:hAnsi="Verdana"/>
          <w:b w:val="0"/>
          <w:i/>
          <w:color w:val="000000"/>
          <w:sz w:val="16"/>
          <w:szCs w:val="16"/>
        </w:rPr>
        <w:t>Caso Defensor de Derechos Humanos y otros Vs. Guatemala. Supervisión de Cumplimiento de Sentencia.</w:t>
      </w:r>
      <w:r w:rsidR="00EA7AFA" w:rsidRPr="00EA7AFA">
        <w:rPr>
          <w:rStyle w:val="Strong"/>
          <w:rFonts w:ascii="Verdana" w:hAnsi="Verdana"/>
          <w:b w:val="0"/>
          <w:color w:val="000000"/>
          <w:sz w:val="16"/>
          <w:szCs w:val="16"/>
        </w:rPr>
        <w:t xml:space="preserve"> Resolución de la Corte Interamericana de Derechos Humanos de 2 de septiembre de 2015, Considerando 5.</w:t>
      </w:r>
    </w:p>
  </w:footnote>
  <w:footnote w:id="12">
    <w:p w14:paraId="7C3FC1AF" w14:textId="0E1F0589" w:rsidR="00032DCA" w:rsidRPr="000A5B73" w:rsidRDefault="00032DCA" w:rsidP="000A5B73">
      <w:pPr>
        <w:pStyle w:val="FootnoteText"/>
        <w:tabs>
          <w:tab w:val="left" w:pos="567"/>
        </w:tabs>
        <w:ind w:right="4"/>
        <w:jc w:val="both"/>
        <w:rPr>
          <w:rFonts w:ascii="Verdana" w:hAnsi="Verdana"/>
          <w:sz w:val="16"/>
          <w:szCs w:val="16"/>
          <w:lang w:val="es-CR"/>
        </w:rPr>
      </w:pPr>
      <w:r w:rsidRPr="000A5B73">
        <w:rPr>
          <w:rStyle w:val="FootnoteReference"/>
          <w:rFonts w:ascii="Verdana" w:hAnsi="Verdana"/>
          <w:sz w:val="16"/>
          <w:szCs w:val="16"/>
        </w:rPr>
        <w:footnoteRef/>
      </w:r>
      <w:r w:rsidRPr="000A5B73">
        <w:rPr>
          <w:rFonts w:ascii="Verdana" w:hAnsi="Verdana"/>
          <w:sz w:val="16"/>
          <w:szCs w:val="16"/>
          <w:lang w:val="es-CR"/>
        </w:rPr>
        <w:t xml:space="preserve"> </w:t>
      </w:r>
      <w:r w:rsidRPr="000A5B73">
        <w:rPr>
          <w:rFonts w:ascii="Verdana" w:hAnsi="Verdana"/>
          <w:sz w:val="16"/>
          <w:szCs w:val="16"/>
          <w:lang w:val="es-CR"/>
        </w:rPr>
        <w:tab/>
      </w:r>
      <w:r w:rsidR="00025899">
        <w:rPr>
          <w:rFonts w:ascii="Verdana" w:hAnsi="Verdana"/>
          <w:i/>
          <w:sz w:val="16"/>
          <w:szCs w:val="16"/>
          <w:lang w:val="es-CR"/>
        </w:rPr>
        <w:t>Cfr. Caso Garrido y Baigorria. Reparaciones</w:t>
      </w:r>
      <w:r w:rsidR="00025899">
        <w:rPr>
          <w:rFonts w:ascii="Verdana" w:hAnsi="Verdana"/>
          <w:sz w:val="16"/>
          <w:szCs w:val="16"/>
          <w:lang w:val="es-CR"/>
        </w:rPr>
        <w:t xml:space="preserve"> (art. 63.1 Convención Americana sobre Derechos Humanos). Sentencia de 27 de agosto de 1998. Serie C No. 39, párr. 40, </w:t>
      </w:r>
      <w:r w:rsidR="00025899" w:rsidRPr="00025899">
        <w:rPr>
          <w:rFonts w:ascii="Verdana" w:hAnsi="Verdana"/>
          <w:sz w:val="16"/>
          <w:szCs w:val="16"/>
          <w:lang w:val="es-CR"/>
        </w:rPr>
        <w:t>y</w:t>
      </w:r>
      <w:r w:rsidR="00025899" w:rsidRPr="00025899">
        <w:rPr>
          <w:rFonts w:ascii="Verdana" w:hAnsi="Verdana"/>
          <w:b/>
          <w:i/>
          <w:sz w:val="16"/>
          <w:szCs w:val="16"/>
          <w:lang w:val="es-CR"/>
        </w:rPr>
        <w:t xml:space="preserve"> </w:t>
      </w:r>
      <w:r w:rsidR="00025899" w:rsidRPr="00025899">
        <w:rPr>
          <w:rStyle w:val="Strong"/>
          <w:rFonts w:ascii="Verdana" w:hAnsi="Verdana"/>
          <w:b w:val="0"/>
          <w:i/>
          <w:color w:val="000000"/>
          <w:sz w:val="16"/>
          <w:szCs w:val="16"/>
        </w:rPr>
        <w:t>Caso Fontevecchia y D’amico Vs. Argentina. Supervisión de Cumplimiento de Sentencia</w:t>
      </w:r>
      <w:r w:rsidR="00025899" w:rsidRPr="00025899">
        <w:rPr>
          <w:rStyle w:val="Strong"/>
          <w:rFonts w:ascii="Verdana" w:hAnsi="Verdana"/>
          <w:b w:val="0"/>
          <w:color w:val="000000"/>
          <w:sz w:val="16"/>
          <w:szCs w:val="16"/>
        </w:rPr>
        <w:t>. Resolución de la Corte Interamericana de Derechos Humanos de 1 de septiembre de 2015, Considerando 5.</w:t>
      </w:r>
    </w:p>
  </w:footnote>
  <w:footnote w:id="13">
    <w:p w14:paraId="34F65A4D" w14:textId="39C3FD30" w:rsidR="00032DCA" w:rsidRPr="00B602F2" w:rsidRDefault="00032DCA" w:rsidP="000A5B73">
      <w:pPr>
        <w:pStyle w:val="FootnoteText"/>
        <w:tabs>
          <w:tab w:val="left" w:pos="567"/>
        </w:tabs>
        <w:ind w:right="4"/>
        <w:jc w:val="both"/>
        <w:rPr>
          <w:rFonts w:ascii="Verdana" w:hAnsi="Verdana"/>
          <w:color w:val="000000"/>
          <w:sz w:val="16"/>
          <w:szCs w:val="16"/>
          <w:lang w:val="es-CR"/>
        </w:rPr>
      </w:pPr>
      <w:r w:rsidRPr="000A5B73">
        <w:rPr>
          <w:rStyle w:val="FootnoteReference"/>
          <w:rFonts w:ascii="Verdana" w:hAnsi="Verdana"/>
          <w:sz w:val="16"/>
          <w:szCs w:val="16"/>
        </w:rPr>
        <w:footnoteRef/>
      </w:r>
      <w:r w:rsidRPr="000A5B73">
        <w:rPr>
          <w:rFonts w:ascii="Verdana" w:hAnsi="Verdana"/>
          <w:sz w:val="16"/>
          <w:szCs w:val="16"/>
          <w:lang w:val="es-CR"/>
        </w:rPr>
        <w:t xml:space="preserve"> </w:t>
      </w:r>
      <w:r w:rsidRPr="000A5B73">
        <w:rPr>
          <w:rFonts w:ascii="Verdana" w:hAnsi="Verdana"/>
          <w:sz w:val="16"/>
          <w:szCs w:val="16"/>
          <w:lang w:val="es-CR"/>
        </w:rPr>
        <w:tab/>
      </w:r>
      <w:r w:rsidR="00025899">
        <w:rPr>
          <w:rFonts w:ascii="Verdana" w:hAnsi="Verdana"/>
          <w:i/>
          <w:sz w:val="16"/>
          <w:szCs w:val="16"/>
          <w:lang w:val="es-ES"/>
        </w:rPr>
        <w:t>Cfr.</w:t>
      </w:r>
      <w:r w:rsidR="00025899">
        <w:rPr>
          <w:rFonts w:ascii="Verdana" w:hAnsi="Verdana"/>
          <w:b/>
          <w:sz w:val="16"/>
          <w:szCs w:val="16"/>
          <w:lang w:val="es-ES"/>
        </w:rPr>
        <w:t xml:space="preserve"> </w:t>
      </w:r>
      <w:r w:rsidR="00025899">
        <w:rPr>
          <w:rFonts w:ascii="Verdana" w:hAnsi="Verdana"/>
          <w:bCs/>
          <w:i/>
          <w:color w:val="000000"/>
          <w:sz w:val="16"/>
          <w:szCs w:val="16"/>
          <w:lang w:val="es-CR"/>
        </w:rPr>
        <w:t>Caso Castillo Páez Vs. Perú</w:t>
      </w:r>
      <w:r w:rsidR="00025899">
        <w:rPr>
          <w:rFonts w:ascii="Verdana" w:hAnsi="Verdana"/>
          <w:b/>
          <w:bCs/>
          <w:color w:val="000000"/>
          <w:sz w:val="16"/>
          <w:szCs w:val="16"/>
          <w:lang w:val="es-CR"/>
        </w:rPr>
        <w:t xml:space="preserve">. </w:t>
      </w:r>
      <w:r w:rsidR="00025899">
        <w:rPr>
          <w:rFonts w:ascii="Verdana" w:hAnsi="Verdana"/>
          <w:i/>
          <w:color w:val="000000"/>
          <w:sz w:val="16"/>
          <w:szCs w:val="16"/>
          <w:lang w:val="es-CR"/>
        </w:rPr>
        <w:t>Reparaciones y Costas.</w:t>
      </w:r>
      <w:r w:rsidR="00025899">
        <w:rPr>
          <w:rFonts w:ascii="Verdana" w:hAnsi="Verdana"/>
          <w:color w:val="000000"/>
          <w:sz w:val="16"/>
          <w:szCs w:val="16"/>
          <w:lang w:val="es-CR"/>
        </w:rPr>
        <w:t xml:space="preserve"> Sentencia de 27 de noviembre de 1998. Serie C No. 43, párr. 50,</w:t>
      </w:r>
      <w:r w:rsidR="00025899">
        <w:rPr>
          <w:rFonts w:ascii="Verdana" w:hAnsi="Verdana"/>
          <w:sz w:val="16"/>
          <w:szCs w:val="16"/>
          <w:lang w:val="es-ES"/>
        </w:rPr>
        <w:t xml:space="preserve"> y </w:t>
      </w:r>
      <w:r w:rsidR="00025899" w:rsidRPr="00025899">
        <w:rPr>
          <w:rStyle w:val="Strong"/>
          <w:rFonts w:ascii="Verdana" w:hAnsi="Verdana"/>
          <w:b w:val="0"/>
          <w:i/>
          <w:color w:val="000000"/>
          <w:sz w:val="16"/>
          <w:szCs w:val="16"/>
        </w:rPr>
        <w:t>Caso Fontevecchia y D’amico Vs. Argentina. Supervisión de Cumplimiento de Sentencia</w:t>
      </w:r>
      <w:r w:rsidR="00025899" w:rsidRPr="00025899">
        <w:rPr>
          <w:rStyle w:val="Strong"/>
          <w:rFonts w:ascii="Verdana" w:hAnsi="Verdana"/>
          <w:b w:val="0"/>
          <w:color w:val="000000"/>
          <w:sz w:val="16"/>
          <w:szCs w:val="16"/>
        </w:rPr>
        <w:t>. Resolución de la Corte Interamericana de Derechos Humanos de 1 de septiembre de 2015, Considerando 5.</w:t>
      </w:r>
    </w:p>
  </w:footnote>
  <w:footnote w:id="14">
    <w:p w14:paraId="69F2FC09" w14:textId="77777777" w:rsidR="00032DCA" w:rsidRPr="000A5B73" w:rsidRDefault="00032DCA" w:rsidP="000A5B73">
      <w:pPr>
        <w:pStyle w:val="FootnoteText"/>
        <w:tabs>
          <w:tab w:val="left" w:pos="567"/>
        </w:tabs>
        <w:ind w:right="4"/>
        <w:jc w:val="both"/>
        <w:rPr>
          <w:rFonts w:ascii="Verdana" w:hAnsi="Verdana"/>
          <w:sz w:val="16"/>
          <w:szCs w:val="16"/>
          <w:lang w:val="pl-PL"/>
        </w:rPr>
      </w:pPr>
      <w:r w:rsidRPr="000A5B73">
        <w:rPr>
          <w:rStyle w:val="FootnoteReference"/>
          <w:rFonts w:ascii="Verdana" w:hAnsi="Verdana"/>
          <w:sz w:val="16"/>
          <w:szCs w:val="16"/>
        </w:rPr>
        <w:footnoteRef/>
      </w:r>
      <w:r w:rsidRPr="000A5B73">
        <w:rPr>
          <w:rFonts w:ascii="Verdana" w:hAnsi="Verdana"/>
          <w:sz w:val="16"/>
          <w:szCs w:val="16"/>
          <w:lang w:val="fr-FR"/>
        </w:rPr>
        <w:t xml:space="preserve"> </w:t>
      </w:r>
      <w:r w:rsidRPr="000A5B73">
        <w:rPr>
          <w:rFonts w:ascii="Verdana" w:hAnsi="Verdana"/>
          <w:sz w:val="16"/>
          <w:szCs w:val="16"/>
          <w:lang w:val="fr-FR"/>
        </w:rPr>
        <w:tab/>
      </w:r>
      <w:r w:rsidRPr="000A5B73">
        <w:rPr>
          <w:rFonts w:ascii="Verdana" w:hAnsi="Verdana"/>
          <w:i/>
          <w:sz w:val="16"/>
          <w:szCs w:val="16"/>
          <w:lang w:val="pl-PL"/>
        </w:rPr>
        <w:t>Cfr</w:t>
      </w:r>
      <w:r w:rsidRPr="000A5B73">
        <w:rPr>
          <w:rFonts w:ascii="Verdana" w:hAnsi="Verdana"/>
          <w:sz w:val="16"/>
          <w:szCs w:val="16"/>
          <w:lang w:val="pl-PL"/>
        </w:rPr>
        <w:t xml:space="preserve">. </w:t>
      </w:r>
      <w:r w:rsidRPr="000A5B73">
        <w:rPr>
          <w:rFonts w:ascii="Verdana" w:hAnsi="Verdana"/>
          <w:i/>
          <w:sz w:val="16"/>
          <w:szCs w:val="16"/>
          <w:lang w:val="pl-PL"/>
        </w:rPr>
        <w:t>Reparation for Injuries Suffered in the Service of the United Nations</w:t>
      </w:r>
      <w:r w:rsidRPr="000A5B73">
        <w:rPr>
          <w:rFonts w:ascii="Verdana" w:hAnsi="Verdana"/>
          <w:sz w:val="16"/>
          <w:szCs w:val="16"/>
          <w:lang w:val="pl-PL"/>
        </w:rPr>
        <w:t xml:space="preserve">, </w:t>
      </w:r>
      <w:r w:rsidRPr="000A5B73">
        <w:rPr>
          <w:rFonts w:ascii="Verdana" w:hAnsi="Verdana"/>
          <w:i/>
          <w:sz w:val="16"/>
          <w:szCs w:val="16"/>
          <w:lang w:val="pl-PL"/>
        </w:rPr>
        <w:t>Advisory Opinion: I.C.J. Reports 1949, p. 184;</w:t>
      </w:r>
      <w:r w:rsidRPr="000A5B73">
        <w:rPr>
          <w:rFonts w:ascii="Verdana" w:hAnsi="Verdana"/>
          <w:sz w:val="16"/>
          <w:szCs w:val="16"/>
          <w:lang w:val="pl-PL"/>
        </w:rPr>
        <w:t xml:space="preserve"> </w:t>
      </w:r>
      <w:r w:rsidRPr="000A5B73">
        <w:rPr>
          <w:rFonts w:ascii="Verdana" w:hAnsi="Verdana"/>
          <w:i/>
          <w:sz w:val="16"/>
          <w:szCs w:val="16"/>
          <w:lang w:val="pl-PL"/>
        </w:rPr>
        <w:t>Affaire relative à l’Usine de Chorzów (Demande en Indemnité) (Fond), Arrêt Nº 13, le 13 septembre 1928, C.P.J.I. Série A-Nº 17, p. 29;</w:t>
      </w:r>
      <w:r w:rsidRPr="000A5B73">
        <w:rPr>
          <w:rFonts w:ascii="Verdana" w:hAnsi="Verdana"/>
          <w:sz w:val="16"/>
          <w:szCs w:val="16"/>
          <w:lang w:val="pl-PL"/>
        </w:rPr>
        <w:t xml:space="preserve"> y </w:t>
      </w:r>
      <w:r w:rsidRPr="000A5B73">
        <w:rPr>
          <w:rFonts w:ascii="Verdana" w:hAnsi="Verdana"/>
          <w:i/>
          <w:sz w:val="16"/>
          <w:szCs w:val="16"/>
          <w:lang w:val="pl-PL"/>
        </w:rPr>
        <w:t>Affaire relative à l’Usine de Chorzów</w:t>
      </w:r>
      <w:r w:rsidRPr="000A5B73">
        <w:rPr>
          <w:rFonts w:ascii="Verdana" w:hAnsi="Verdana"/>
          <w:sz w:val="16"/>
          <w:szCs w:val="16"/>
          <w:lang w:val="pl-PL"/>
        </w:rPr>
        <w:t xml:space="preserve"> </w:t>
      </w:r>
      <w:r w:rsidRPr="000A5B73">
        <w:rPr>
          <w:rFonts w:ascii="Verdana" w:hAnsi="Verdana"/>
          <w:i/>
          <w:sz w:val="16"/>
          <w:szCs w:val="16"/>
          <w:lang w:val="pl-PL"/>
        </w:rPr>
        <w:t>(Demande en Indemnité) (Compétence)</w:t>
      </w:r>
      <w:r w:rsidRPr="000A5B73">
        <w:rPr>
          <w:rFonts w:ascii="Verdana" w:hAnsi="Verdana"/>
          <w:sz w:val="16"/>
          <w:szCs w:val="16"/>
          <w:lang w:val="pl-PL"/>
        </w:rPr>
        <w:t xml:space="preserve">, </w:t>
      </w:r>
      <w:r w:rsidRPr="000A5B73">
        <w:rPr>
          <w:rFonts w:ascii="Verdana" w:hAnsi="Verdana"/>
          <w:i/>
          <w:sz w:val="16"/>
          <w:szCs w:val="16"/>
          <w:lang w:val="pl-PL"/>
        </w:rPr>
        <w:t>Arrêt Nº 8, le 26 juillet 1927, C.P.J.I. Série A-Nº 9, p. 21.</w:t>
      </w:r>
    </w:p>
  </w:footnote>
  <w:footnote w:id="15">
    <w:p w14:paraId="0B916CB9" w14:textId="6E228DA5" w:rsidR="00032DCA" w:rsidRPr="005D4754" w:rsidRDefault="00032DCA" w:rsidP="00EB752C">
      <w:pPr>
        <w:pStyle w:val="FootnoteText"/>
        <w:jc w:val="both"/>
        <w:rPr>
          <w:rFonts w:ascii="Verdana" w:hAnsi="Verdana"/>
          <w:sz w:val="16"/>
          <w:szCs w:val="16"/>
        </w:rPr>
      </w:pPr>
      <w:r w:rsidRPr="00307690">
        <w:rPr>
          <w:rStyle w:val="FootnoteReference"/>
          <w:rFonts w:ascii="Verdana" w:hAnsi="Verdana"/>
          <w:sz w:val="16"/>
          <w:szCs w:val="16"/>
        </w:rPr>
        <w:footnoteRef/>
      </w:r>
      <w:r w:rsidRPr="00307690">
        <w:rPr>
          <w:rFonts w:ascii="Verdana" w:hAnsi="Verdana"/>
          <w:sz w:val="16"/>
          <w:szCs w:val="16"/>
        </w:rPr>
        <w:t xml:space="preserve"> </w:t>
      </w:r>
      <w:r w:rsidRPr="00307690">
        <w:rPr>
          <w:rFonts w:ascii="Verdana" w:hAnsi="Verdana"/>
          <w:sz w:val="16"/>
          <w:szCs w:val="16"/>
        </w:rPr>
        <w:tab/>
        <w:t>El Estado, al respecto, señaló que dicho caso llevaría a un riesgo de desestabilización en el ordenamiento jurídico y penitenciario interno, y que el fallo desestabilizaría a los países más pobres del hemisferio american</w:t>
      </w:r>
      <w:r w:rsidR="00E32948">
        <w:rPr>
          <w:rFonts w:ascii="Verdana" w:hAnsi="Verdana"/>
          <w:sz w:val="16"/>
          <w:szCs w:val="16"/>
        </w:rPr>
        <w:t>o</w:t>
      </w:r>
      <w:r w:rsidRPr="00307690">
        <w:rPr>
          <w:rFonts w:ascii="Verdana" w:hAnsi="Verdana"/>
          <w:sz w:val="16"/>
          <w:szCs w:val="16"/>
        </w:rPr>
        <w:t xml:space="preserve">, e ignora la realidad del país y los esfuerzos realizados por los distintos gobiernos y la comunidad internacional, para mejorar el sistema penitenciario. </w:t>
      </w:r>
      <w:r w:rsidR="00052B94">
        <w:rPr>
          <w:rFonts w:ascii="Verdana" w:hAnsi="Verdana"/>
          <w:sz w:val="16"/>
          <w:szCs w:val="16"/>
        </w:rPr>
        <w:t>Igualmente, señal</w:t>
      </w:r>
      <w:r w:rsidR="00E32948">
        <w:rPr>
          <w:rFonts w:ascii="Verdana" w:hAnsi="Verdana"/>
          <w:sz w:val="16"/>
          <w:szCs w:val="16"/>
        </w:rPr>
        <w:t>ó</w:t>
      </w:r>
      <w:r w:rsidR="00052B94">
        <w:rPr>
          <w:rFonts w:ascii="Verdana" w:hAnsi="Verdana"/>
          <w:sz w:val="16"/>
          <w:szCs w:val="16"/>
        </w:rPr>
        <w:t xml:space="preserve"> que no podía aceptar que la Corte determinara que existió una violación al derecho a acceder y a ser oído por un tribunal competente, y que, el 5 de junio de 1995 ya habría emitido un decreto mediante el cual se dispuso la reorganización de la administración penitenciaria, atendiendo con ello a lo dispuesto por la Corte con relación a las condiciones carcelarias.</w:t>
      </w:r>
    </w:p>
  </w:footnote>
  <w:footnote w:id="16">
    <w:p w14:paraId="253E3BA9" w14:textId="040623CA" w:rsidR="00A31253" w:rsidRPr="00A31253" w:rsidRDefault="00A31253" w:rsidP="00A31253">
      <w:pPr>
        <w:pStyle w:val="FootnoteText"/>
        <w:jc w:val="both"/>
        <w:rPr>
          <w:rFonts w:ascii="Verdana" w:hAnsi="Verdana"/>
          <w:sz w:val="16"/>
          <w:szCs w:val="16"/>
        </w:rPr>
      </w:pPr>
      <w:r w:rsidRPr="00A31253">
        <w:rPr>
          <w:rStyle w:val="FootnoteReference"/>
          <w:rFonts w:ascii="Verdana" w:hAnsi="Verdana"/>
          <w:sz w:val="16"/>
          <w:szCs w:val="16"/>
        </w:rPr>
        <w:footnoteRef/>
      </w:r>
      <w:r w:rsidRPr="00A31253">
        <w:rPr>
          <w:rFonts w:ascii="Verdana" w:hAnsi="Verdana"/>
          <w:sz w:val="16"/>
          <w:szCs w:val="16"/>
        </w:rPr>
        <w:t xml:space="preserve"> </w:t>
      </w:r>
      <w:r w:rsidRPr="00A31253">
        <w:rPr>
          <w:rFonts w:ascii="Verdana" w:hAnsi="Verdana"/>
          <w:sz w:val="16"/>
          <w:szCs w:val="16"/>
        </w:rPr>
        <w:tab/>
        <w:t xml:space="preserve">Los representantes afirmaron que </w:t>
      </w:r>
      <w:r>
        <w:rPr>
          <w:rFonts w:ascii="Verdana" w:hAnsi="Verdana"/>
          <w:sz w:val="16"/>
          <w:szCs w:val="16"/>
        </w:rPr>
        <w:t xml:space="preserve">no se habría adoptado ninguna medida judicial o de otra naturaleza dirigida para definir la situación jurídica de Yvon Neptune. Señalaron que no se ha publicado la Sentencia, ni se han realizado los pagos correspondientes a daños materiales e inmateriales, ni </w:t>
      </w:r>
      <w:r w:rsidR="004E66DE">
        <w:rPr>
          <w:rFonts w:ascii="Verdana" w:hAnsi="Verdana"/>
          <w:sz w:val="16"/>
          <w:szCs w:val="16"/>
        </w:rPr>
        <w:t>de</w:t>
      </w:r>
      <w:r>
        <w:rPr>
          <w:rFonts w:ascii="Verdana" w:hAnsi="Verdana"/>
          <w:sz w:val="16"/>
          <w:szCs w:val="16"/>
        </w:rPr>
        <w:t xml:space="preserve"> costas y gastos. Igualmente, afirmaron que han realizado varios esfuerzos para comunicarse con el </w:t>
      </w:r>
      <w:r w:rsidR="004E66DE">
        <w:rPr>
          <w:rFonts w:ascii="Verdana" w:hAnsi="Verdana"/>
          <w:sz w:val="16"/>
          <w:szCs w:val="16"/>
        </w:rPr>
        <w:t>G</w:t>
      </w:r>
      <w:r>
        <w:rPr>
          <w:rFonts w:ascii="Verdana" w:hAnsi="Verdana"/>
          <w:sz w:val="16"/>
          <w:szCs w:val="16"/>
        </w:rPr>
        <w:t>obierno con relación al cumplimiento de dicha Sentencia, entre ellos, comunicaciones con el Ministerio de Justicia, sin resultado alguno.</w:t>
      </w:r>
    </w:p>
  </w:footnote>
  <w:footnote w:id="17">
    <w:p w14:paraId="058C130A" w14:textId="77777777" w:rsidR="00032DCA" w:rsidRPr="000A5B73" w:rsidRDefault="00032DCA" w:rsidP="000A5B73">
      <w:pPr>
        <w:pStyle w:val="FootnoteText"/>
        <w:jc w:val="both"/>
        <w:rPr>
          <w:rFonts w:ascii="Verdana" w:hAnsi="Verdana"/>
          <w:sz w:val="16"/>
          <w:szCs w:val="16"/>
          <w:lang w:val="es-CR"/>
        </w:rPr>
      </w:pPr>
      <w:r w:rsidRPr="000A5B73">
        <w:rPr>
          <w:rStyle w:val="FootnoteReference"/>
          <w:rFonts w:ascii="Verdana" w:hAnsi="Verdana"/>
          <w:sz w:val="16"/>
          <w:szCs w:val="16"/>
        </w:rPr>
        <w:footnoteRef/>
      </w:r>
      <w:r w:rsidRPr="000A5B73">
        <w:rPr>
          <w:rFonts w:ascii="Verdana" w:hAnsi="Verdana"/>
          <w:sz w:val="16"/>
          <w:szCs w:val="16"/>
        </w:rPr>
        <w:t xml:space="preserve"> </w:t>
      </w:r>
      <w:r w:rsidRPr="000A5B73">
        <w:rPr>
          <w:rFonts w:ascii="Verdana" w:hAnsi="Verdana"/>
          <w:sz w:val="16"/>
          <w:szCs w:val="16"/>
        </w:rPr>
        <w:tab/>
      </w:r>
      <w:r w:rsidRPr="000A5B73">
        <w:rPr>
          <w:rFonts w:ascii="Verdana" w:hAnsi="Verdana"/>
          <w:i/>
          <w:sz w:val="16"/>
          <w:szCs w:val="16"/>
        </w:rPr>
        <w:t>Cfr.</w:t>
      </w:r>
      <w:r w:rsidRPr="000A5B73">
        <w:rPr>
          <w:rFonts w:ascii="Verdana" w:hAnsi="Verdana"/>
          <w:b/>
          <w:i/>
          <w:sz w:val="16"/>
          <w:szCs w:val="16"/>
        </w:rPr>
        <w:t xml:space="preserve"> </w:t>
      </w:r>
      <w:r w:rsidRPr="000A5B73">
        <w:rPr>
          <w:rStyle w:val="Strong"/>
          <w:rFonts w:ascii="Verdana" w:hAnsi="Verdana"/>
          <w:b w:val="0"/>
          <w:i/>
          <w:color w:val="000000"/>
          <w:sz w:val="16"/>
          <w:szCs w:val="16"/>
        </w:rPr>
        <w:t>Caso Supervisión conjunta de 11 casos Vs. Guatemala.</w:t>
      </w:r>
      <w:r w:rsidRPr="000A5B73">
        <w:rPr>
          <w:rStyle w:val="Strong"/>
          <w:rFonts w:ascii="Verdana" w:hAnsi="Verdana"/>
          <w:b w:val="0"/>
          <w:color w:val="000000"/>
          <w:sz w:val="16"/>
          <w:szCs w:val="16"/>
        </w:rPr>
        <w:t xml:space="preserve"> </w:t>
      </w:r>
      <w:r w:rsidRPr="000A5B73">
        <w:rPr>
          <w:rStyle w:val="Strong"/>
          <w:rFonts w:ascii="Verdana" w:hAnsi="Verdana"/>
          <w:b w:val="0"/>
          <w:i/>
          <w:color w:val="000000"/>
          <w:sz w:val="16"/>
          <w:szCs w:val="16"/>
        </w:rPr>
        <w:t>Supervisión de Cumplimiento de Sentencia.</w:t>
      </w:r>
      <w:r w:rsidRPr="000A5B73">
        <w:rPr>
          <w:rStyle w:val="Strong"/>
          <w:rFonts w:ascii="Verdana" w:hAnsi="Verdana"/>
          <w:b w:val="0"/>
          <w:color w:val="000000"/>
          <w:sz w:val="16"/>
          <w:szCs w:val="16"/>
        </w:rPr>
        <w:t xml:space="preserve"> Resolución de la Corte Interamericana de Derechos Humanos de 21 de agosto de 2014, Considerando 9.</w:t>
      </w:r>
      <w:r w:rsidRPr="000A5B73">
        <w:rPr>
          <w:rStyle w:val="Strong"/>
          <w:rFonts w:ascii="Verdana" w:hAnsi="Verdana"/>
          <w:color w:val="000000"/>
          <w:sz w:val="16"/>
          <w:szCs w:val="16"/>
        </w:rPr>
        <w:t xml:space="preserve"> </w:t>
      </w:r>
    </w:p>
  </w:footnote>
  <w:footnote w:id="18">
    <w:p w14:paraId="0487142E" w14:textId="574DD00C" w:rsidR="00032DCA" w:rsidRPr="007A73D2" w:rsidRDefault="00032DCA" w:rsidP="00D804C3">
      <w:pPr>
        <w:pStyle w:val="FootnoteText"/>
        <w:jc w:val="both"/>
        <w:rPr>
          <w:rFonts w:ascii="Verdana" w:hAnsi="Verdana"/>
          <w:sz w:val="16"/>
          <w:szCs w:val="16"/>
        </w:rPr>
      </w:pPr>
      <w:r w:rsidRPr="007A73D2">
        <w:rPr>
          <w:rStyle w:val="FootnoteReference"/>
          <w:rFonts w:ascii="Verdana" w:hAnsi="Verdana"/>
          <w:sz w:val="16"/>
          <w:szCs w:val="16"/>
        </w:rPr>
        <w:footnoteRef/>
      </w:r>
      <w:r w:rsidRPr="007A73D2">
        <w:rPr>
          <w:rFonts w:ascii="Verdana" w:hAnsi="Verdana"/>
          <w:sz w:val="16"/>
          <w:szCs w:val="16"/>
        </w:rPr>
        <w:t xml:space="preserve"> </w:t>
      </w:r>
      <w:r w:rsidRPr="007A73D2">
        <w:rPr>
          <w:rFonts w:ascii="Verdana" w:hAnsi="Verdana"/>
          <w:sz w:val="16"/>
          <w:szCs w:val="16"/>
        </w:rPr>
        <w:tab/>
        <w:t>Al respecto, los representantes de la víctima, en su escrito de 5 de octubre de 2009</w:t>
      </w:r>
      <w:r>
        <w:rPr>
          <w:rFonts w:ascii="Verdana" w:hAnsi="Verdana"/>
          <w:sz w:val="16"/>
          <w:szCs w:val="16"/>
        </w:rPr>
        <w:t xml:space="preserve"> (</w:t>
      </w:r>
      <w:r>
        <w:rPr>
          <w:rFonts w:ascii="Verdana" w:hAnsi="Verdana"/>
          <w:i/>
          <w:sz w:val="16"/>
          <w:szCs w:val="16"/>
        </w:rPr>
        <w:t>supra</w:t>
      </w:r>
      <w:r>
        <w:rPr>
          <w:rFonts w:ascii="Verdana" w:hAnsi="Verdana"/>
          <w:sz w:val="16"/>
          <w:szCs w:val="16"/>
        </w:rPr>
        <w:t xml:space="preserve"> Visto </w:t>
      </w:r>
      <w:r w:rsidR="00360FA1">
        <w:rPr>
          <w:rFonts w:ascii="Verdana" w:hAnsi="Verdana"/>
          <w:sz w:val="16"/>
          <w:szCs w:val="16"/>
        </w:rPr>
        <w:t xml:space="preserve">4 y Considerando </w:t>
      </w:r>
      <w:r w:rsidR="00360FA1">
        <w:rPr>
          <w:rFonts w:ascii="Verdana" w:hAnsi="Verdana"/>
          <w:sz w:val="16"/>
          <w:szCs w:val="16"/>
        </w:rPr>
        <w:fldChar w:fldCharType="begin"/>
      </w:r>
      <w:r w:rsidR="00360FA1">
        <w:rPr>
          <w:rFonts w:ascii="Verdana" w:hAnsi="Verdana"/>
          <w:sz w:val="16"/>
          <w:szCs w:val="16"/>
        </w:rPr>
        <w:instrText xml:space="preserve"> REF _Ref437269647 \r \h </w:instrText>
      </w:r>
      <w:r w:rsidR="00360FA1">
        <w:rPr>
          <w:rFonts w:ascii="Verdana" w:hAnsi="Verdana"/>
          <w:sz w:val="16"/>
          <w:szCs w:val="16"/>
        </w:rPr>
      </w:r>
      <w:r w:rsidR="00360FA1">
        <w:rPr>
          <w:rFonts w:ascii="Verdana" w:hAnsi="Verdana"/>
          <w:sz w:val="16"/>
          <w:szCs w:val="16"/>
        </w:rPr>
        <w:fldChar w:fldCharType="separate"/>
      </w:r>
      <w:r w:rsidR="00B602F2">
        <w:rPr>
          <w:rFonts w:ascii="Verdana" w:hAnsi="Verdana"/>
          <w:sz w:val="16"/>
          <w:szCs w:val="16"/>
        </w:rPr>
        <w:t>5</w:t>
      </w:r>
      <w:r w:rsidR="00360FA1">
        <w:rPr>
          <w:rFonts w:ascii="Verdana" w:hAnsi="Verdana"/>
          <w:sz w:val="16"/>
          <w:szCs w:val="16"/>
        </w:rPr>
        <w:fldChar w:fldCharType="end"/>
      </w:r>
      <w:r>
        <w:rPr>
          <w:rFonts w:ascii="Verdana" w:hAnsi="Verdana"/>
          <w:sz w:val="16"/>
          <w:szCs w:val="16"/>
        </w:rPr>
        <w:t>)</w:t>
      </w:r>
      <w:r w:rsidRPr="007A73D2">
        <w:rPr>
          <w:rFonts w:ascii="Verdana" w:hAnsi="Verdana"/>
          <w:sz w:val="16"/>
          <w:szCs w:val="16"/>
        </w:rPr>
        <w:t xml:space="preserve">, indicaron que </w:t>
      </w:r>
      <w:r w:rsidRPr="007A73D2">
        <w:rPr>
          <w:rFonts w:ascii="Verdana" w:hAnsi="Verdana"/>
          <w:sz w:val="16"/>
          <w:szCs w:val="16"/>
          <w:lang w:val="es-MX"/>
        </w:rPr>
        <w:t>el señor Neptune se encontraba en una situación de inseguridad jurídica ya que</w:t>
      </w:r>
      <w:r w:rsidR="00360FA1">
        <w:rPr>
          <w:rFonts w:ascii="Verdana" w:hAnsi="Verdana"/>
          <w:sz w:val="16"/>
          <w:szCs w:val="16"/>
          <w:lang w:val="es-MX"/>
        </w:rPr>
        <w:t>,</w:t>
      </w:r>
      <w:r w:rsidRPr="007A73D2">
        <w:rPr>
          <w:rFonts w:ascii="Verdana" w:hAnsi="Verdana"/>
          <w:sz w:val="16"/>
          <w:szCs w:val="16"/>
          <w:lang w:val="es-MX"/>
        </w:rPr>
        <w:t xml:space="preserve"> pese a haber sido liberado provis</w:t>
      </w:r>
      <w:r w:rsidR="00360FA1">
        <w:rPr>
          <w:rFonts w:ascii="Verdana" w:hAnsi="Verdana"/>
          <w:sz w:val="16"/>
          <w:szCs w:val="16"/>
          <w:lang w:val="es-MX"/>
        </w:rPr>
        <w:t>ionalmente por razones de salud</w:t>
      </w:r>
      <w:r w:rsidRPr="007A73D2">
        <w:rPr>
          <w:rFonts w:ascii="Verdana" w:hAnsi="Verdana"/>
          <w:sz w:val="16"/>
          <w:szCs w:val="16"/>
          <w:lang w:val="es-MX"/>
        </w:rPr>
        <w:t>, seguía en riesgo de ser arrestado nuevamente. Señalaron además que, como consecuencia de ello, el señor Neptune habría evitado salir de su casa y se habría visto obligado a abstenerse de realizar actividad política</w:t>
      </w:r>
      <w:r w:rsidR="00A27A9D">
        <w:rPr>
          <w:rFonts w:ascii="Verdana" w:hAnsi="Verdana"/>
          <w:sz w:val="16"/>
          <w:szCs w:val="16"/>
          <w:lang w:val="es-MX"/>
        </w:rPr>
        <w:t>.</w:t>
      </w:r>
      <w:r w:rsidRPr="007A73D2">
        <w:rPr>
          <w:rFonts w:ascii="Verdana" w:hAnsi="Verdana"/>
          <w:sz w:val="16"/>
          <w:szCs w:val="16"/>
          <w:lang w:val="es-MX"/>
        </w:rPr>
        <w:t xml:space="preserve"> </w:t>
      </w:r>
    </w:p>
  </w:footnote>
  <w:footnote w:id="19">
    <w:p w14:paraId="7B00FB37" w14:textId="7348BDA4" w:rsidR="00613FA9" w:rsidRPr="00613FA9" w:rsidRDefault="00613FA9">
      <w:pPr>
        <w:pStyle w:val="FootnoteText"/>
        <w:rPr>
          <w:rFonts w:ascii="Verdana" w:hAnsi="Verdana"/>
          <w:sz w:val="16"/>
          <w:szCs w:val="16"/>
        </w:rPr>
      </w:pPr>
      <w:r w:rsidRPr="00613FA9">
        <w:rPr>
          <w:rStyle w:val="FootnoteReference"/>
          <w:rFonts w:ascii="Verdana" w:hAnsi="Verdana"/>
          <w:sz w:val="16"/>
          <w:szCs w:val="16"/>
        </w:rPr>
        <w:footnoteRef/>
      </w:r>
      <w:r w:rsidRPr="00613FA9">
        <w:rPr>
          <w:rFonts w:ascii="Verdana" w:hAnsi="Verdana"/>
          <w:sz w:val="16"/>
          <w:szCs w:val="16"/>
        </w:rPr>
        <w:t xml:space="preserve"> </w:t>
      </w:r>
      <w:r w:rsidRPr="00613FA9">
        <w:rPr>
          <w:rFonts w:ascii="Verdana" w:hAnsi="Verdana"/>
          <w:sz w:val="16"/>
          <w:szCs w:val="16"/>
        </w:rPr>
        <w:tab/>
      </w:r>
      <w:r w:rsidRPr="00613FA9">
        <w:rPr>
          <w:rFonts w:ascii="Verdana" w:hAnsi="Verdana" w:cs="Verdana"/>
          <w:bCs/>
          <w:i/>
          <w:sz w:val="16"/>
          <w:szCs w:val="16"/>
        </w:rPr>
        <w:t>Cfr.</w:t>
      </w:r>
      <w:r w:rsidRPr="00613FA9">
        <w:rPr>
          <w:rFonts w:ascii="Verdana" w:hAnsi="Verdana" w:cs="Verdana"/>
          <w:bCs/>
          <w:sz w:val="16"/>
          <w:szCs w:val="16"/>
        </w:rPr>
        <w:t xml:space="preserve"> </w:t>
      </w:r>
      <w:r w:rsidRPr="00613FA9">
        <w:rPr>
          <w:rFonts w:ascii="Verdana" w:hAnsi="Verdana" w:cs="Arial"/>
          <w:i/>
          <w:sz w:val="16"/>
          <w:szCs w:val="16"/>
          <w:lang w:val="es-CR"/>
        </w:rPr>
        <w:t xml:space="preserve">Caso Caso Yatama Vs. Nicaragua, </w:t>
      </w:r>
      <w:r w:rsidRPr="00613FA9">
        <w:rPr>
          <w:rStyle w:val="Strong"/>
          <w:rFonts w:ascii="Verdana" w:hAnsi="Verdana"/>
          <w:b w:val="0"/>
          <w:i/>
          <w:color w:val="000000"/>
          <w:sz w:val="16"/>
          <w:szCs w:val="16"/>
        </w:rPr>
        <w:t xml:space="preserve">Supervisión de Cumplimiento de Sentencia. </w:t>
      </w:r>
      <w:r w:rsidRPr="00613FA9">
        <w:rPr>
          <w:rStyle w:val="Strong"/>
          <w:rFonts w:ascii="Verdana" w:hAnsi="Verdana"/>
          <w:b w:val="0"/>
          <w:color w:val="000000"/>
          <w:sz w:val="16"/>
          <w:szCs w:val="16"/>
        </w:rPr>
        <w:t xml:space="preserve">Resolución de la Corte Interamericana de </w:t>
      </w:r>
      <w:r w:rsidRPr="00613FA9">
        <w:rPr>
          <w:rStyle w:val="Strong"/>
          <w:rFonts w:ascii="Verdana" w:hAnsi="Verdana"/>
          <w:b w:val="0"/>
          <w:sz w:val="16"/>
          <w:szCs w:val="16"/>
        </w:rPr>
        <w:t>Derechos Humanos de 22 de agosto de 2013,</w:t>
      </w:r>
      <w:r w:rsidRPr="00613FA9">
        <w:rPr>
          <w:rFonts w:ascii="Verdana" w:hAnsi="Verdana" w:cs="Arial"/>
          <w:i/>
          <w:sz w:val="16"/>
          <w:szCs w:val="16"/>
          <w:lang w:val="pt-BR"/>
        </w:rPr>
        <w:t xml:space="preserve"> </w:t>
      </w:r>
      <w:r w:rsidRPr="00613FA9">
        <w:rPr>
          <w:rFonts w:ascii="Verdana" w:hAnsi="Verdana" w:cs="Arial"/>
          <w:sz w:val="16"/>
          <w:szCs w:val="16"/>
          <w:lang w:val="pt-BR"/>
        </w:rPr>
        <w:t xml:space="preserve">Considerando </w:t>
      </w:r>
      <w:r>
        <w:rPr>
          <w:rFonts w:ascii="Verdana" w:hAnsi="Verdana" w:cs="Arial"/>
          <w:sz w:val="16"/>
          <w:szCs w:val="16"/>
          <w:lang w:val="pt-BR"/>
        </w:rPr>
        <w:t>15</w:t>
      </w:r>
      <w:r w:rsidRPr="00613FA9">
        <w:rPr>
          <w:rFonts w:ascii="Verdana" w:hAnsi="Verdana" w:cs="Arial"/>
          <w:sz w:val="16"/>
          <w:szCs w:val="16"/>
          <w:lang w:val="pt-BR"/>
        </w:rPr>
        <w:t>.</w:t>
      </w:r>
    </w:p>
  </w:footnote>
  <w:footnote w:id="20">
    <w:p w14:paraId="7E79C292" w14:textId="77777777" w:rsidR="00032DCA" w:rsidRPr="000A5B73" w:rsidRDefault="00032DCA" w:rsidP="000A5B73">
      <w:pPr>
        <w:pStyle w:val="Sangradetindependiente"/>
        <w:tabs>
          <w:tab w:val="left" w:pos="567"/>
          <w:tab w:val="left" w:pos="8280"/>
        </w:tabs>
        <w:spacing w:afterLines="20" w:after="48"/>
        <w:ind w:right="-138"/>
        <w:rPr>
          <w:rFonts w:ascii="Verdana" w:hAnsi="Verdana"/>
          <w:sz w:val="16"/>
          <w:szCs w:val="16"/>
        </w:rPr>
      </w:pPr>
      <w:r w:rsidRPr="000A5B73">
        <w:rPr>
          <w:rStyle w:val="FootnoteReference"/>
          <w:rFonts w:ascii="Verdana" w:hAnsi="Verdana"/>
          <w:sz w:val="16"/>
          <w:szCs w:val="16"/>
        </w:rPr>
        <w:footnoteRef/>
      </w:r>
      <w:r w:rsidRPr="000A5B73">
        <w:rPr>
          <w:rFonts w:ascii="Verdana" w:hAnsi="Verdana"/>
          <w:sz w:val="16"/>
          <w:szCs w:val="16"/>
        </w:rPr>
        <w:t xml:space="preserve"> </w:t>
      </w:r>
      <w:r w:rsidRPr="000A5B73">
        <w:rPr>
          <w:rFonts w:ascii="Verdana" w:hAnsi="Verdana"/>
          <w:sz w:val="16"/>
          <w:szCs w:val="16"/>
        </w:rPr>
        <w:tab/>
        <w:t xml:space="preserve">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21">
    <w:p w14:paraId="202A5A92" w14:textId="77777777" w:rsidR="00032DCA" w:rsidRPr="000A5B73" w:rsidRDefault="00032DCA" w:rsidP="000A5B73">
      <w:pPr>
        <w:pStyle w:val="FootnoteText"/>
        <w:tabs>
          <w:tab w:val="left" w:pos="567"/>
        </w:tabs>
        <w:jc w:val="both"/>
        <w:rPr>
          <w:rFonts w:ascii="Verdana" w:hAnsi="Verdana"/>
          <w:sz w:val="16"/>
          <w:szCs w:val="16"/>
        </w:rPr>
      </w:pPr>
      <w:r w:rsidRPr="000A5B73">
        <w:rPr>
          <w:rStyle w:val="FootnoteReference"/>
          <w:rFonts w:ascii="Verdana" w:hAnsi="Verdana"/>
          <w:sz w:val="16"/>
          <w:szCs w:val="16"/>
        </w:rPr>
        <w:footnoteRef/>
      </w:r>
      <w:r w:rsidRPr="000A5B73">
        <w:rPr>
          <w:rFonts w:ascii="Verdana" w:hAnsi="Verdana"/>
          <w:sz w:val="16"/>
          <w:szCs w:val="16"/>
        </w:rPr>
        <w:t xml:space="preserve"> </w:t>
      </w:r>
      <w:r w:rsidRPr="000A5B73">
        <w:rPr>
          <w:rFonts w:ascii="Verdana" w:hAnsi="Verdana"/>
          <w:sz w:val="16"/>
          <w:szCs w:val="16"/>
        </w:rPr>
        <w:tab/>
        <w:t>“</w:t>
      </w:r>
      <w:r w:rsidRPr="000A5B73">
        <w:rPr>
          <w:rFonts w:ascii="Verdana" w:hAnsi="Verdana"/>
          <w:color w:val="000000"/>
          <w:sz w:val="16"/>
          <w:szCs w:val="16"/>
          <w:lang w:val="es-CO"/>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p>
  </w:footnote>
  <w:footnote w:id="22">
    <w:p w14:paraId="4540FD47" w14:textId="77777777" w:rsidR="00032DCA" w:rsidRPr="000A5B73" w:rsidRDefault="00032DCA" w:rsidP="000A5B73">
      <w:pPr>
        <w:pStyle w:val="FootnoteText"/>
        <w:jc w:val="both"/>
        <w:rPr>
          <w:rFonts w:ascii="Verdana" w:hAnsi="Verdana"/>
          <w:sz w:val="16"/>
          <w:szCs w:val="16"/>
          <w:lang w:val="es-CO"/>
        </w:rPr>
      </w:pPr>
      <w:r w:rsidRPr="000A5B73">
        <w:rPr>
          <w:rStyle w:val="FootnoteReference"/>
          <w:rFonts w:ascii="Verdana" w:hAnsi="Verdana"/>
          <w:sz w:val="16"/>
          <w:szCs w:val="16"/>
        </w:rPr>
        <w:footnoteRef/>
      </w:r>
      <w:r w:rsidRPr="000A5B73">
        <w:rPr>
          <w:rFonts w:ascii="Verdana" w:hAnsi="Verdana"/>
          <w:sz w:val="16"/>
          <w:szCs w:val="16"/>
        </w:rPr>
        <w:t xml:space="preserve"> </w:t>
      </w:r>
      <w:r w:rsidRPr="000A5B73">
        <w:rPr>
          <w:rFonts w:ascii="Verdana" w:hAnsi="Verdana"/>
          <w:sz w:val="16"/>
          <w:szCs w:val="16"/>
        </w:rPr>
        <w:tab/>
      </w:r>
      <w:r w:rsidRPr="000A5B73">
        <w:rPr>
          <w:rFonts w:ascii="Verdana" w:hAnsi="Verdana"/>
          <w:i/>
          <w:sz w:val="16"/>
          <w:szCs w:val="16"/>
          <w:lang w:val="es-ES"/>
        </w:rPr>
        <w:t>Cfr</w:t>
      </w:r>
      <w:r w:rsidRPr="000A5B73">
        <w:rPr>
          <w:rFonts w:ascii="Verdana" w:hAnsi="Verdana"/>
          <w:sz w:val="16"/>
          <w:szCs w:val="16"/>
          <w:lang w:val="es-ES"/>
        </w:rPr>
        <w:t xml:space="preserve">. </w:t>
      </w:r>
      <w:r w:rsidRPr="000A5B73">
        <w:rPr>
          <w:rFonts w:ascii="Verdana" w:hAnsi="Verdana"/>
          <w:i/>
          <w:sz w:val="16"/>
          <w:szCs w:val="16"/>
          <w:lang w:val="es-ES"/>
        </w:rPr>
        <w:t>Caso Baena Ricardo y otros Vs. Panamá</w:t>
      </w:r>
      <w:r w:rsidRPr="000A5B73">
        <w:rPr>
          <w:rFonts w:ascii="Verdana" w:hAnsi="Verdana"/>
          <w:sz w:val="16"/>
          <w:szCs w:val="16"/>
          <w:lang w:val="es-ES"/>
        </w:rPr>
        <w:t xml:space="preserve">. </w:t>
      </w:r>
      <w:r w:rsidRPr="000A5B73">
        <w:rPr>
          <w:rFonts w:ascii="Verdana" w:hAnsi="Verdana"/>
          <w:i/>
          <w:sz w:val="16"/>
          <w:szCs w:val="16"/>
          <w:lang w:val="es-ES"/>
        </w:rPr>
        <w:t>Competencia,</w:t>
      </w:r>
      <w:r w:rsidRPr="000A5B73">
        <w:rPr>
          <w:rFonts w:ascii="Verdana" w:hAnsi="Verdana"/>
          <w:sz w:val="16"/>
          <w:szCs w:val="16"/>
          <w:lang w:val="es-ES"/>
        </w:rPr>
        <w:t xml:space="preserve"> </w:t>
      </w:r>
      <w:r w:rsidRPr="000A5B73">
        <w:rPr>
          <w:rFonts w:ascii="Verdana" w:hAnsi="Verdana"/>
          <w:sz w:val="16"/>
          <w:szCs w:val="16"/>
        </w:rPr>
        <w:t>párr. 96.</w:t>
      </w:r>
    </w:p>
  </w:footnote>
  <w:footnote w:id="23">
    <w:p w14:paraId="694175C4" w14:textId="65785704" w:rsidR="00032DCA" w:rsidRPr="000A5B73" w:rsidRDefault="00032DCA" w:rsidP="000A5B73">
      <w:pPr>
        <w:pStyle w:val="FootnoteText"/>
        <w:tabs>
          <w:tab w:val="left" w:pos="567"/>
        </w:tabs>
        <w:jc w:val="both"/>
        <w:rPr>
          <w:rFonts w:ascii="Verdana" w:hAnsi="Verdana"/>
          <w:sz w:val="16"/>
          <w:szCs w:val="16"/>
          <w:lang w:val="es-CR"/>
        </w:rPr>
      </w:pPr>
      <w:r w:rsidRPr="000A5B73">
        <w:rPr>
          <w:rStyle w:val="FootnoteReference"/>
          <w:rFonts w:ascii="Verdana" w:hAnsi="Verdana"/>
          <w:sz w:val="16"/>
          <w:szCs w:val="16"/>
        </w:rPr>
        <w:footnoteRef/>
      </w:r>
      <w:r w:rsidRPr="000A5B73">
        <w:rPr>
          <w:rFonts w:ascii="Verdana" w:hAnsi="Verdana"/>
          <w:sz w:val="16"/>
          <w:szCs w:val="16"/>
        </w:rPr>
        <w:t xml:space="preserve"> </w:t>
      </w:r>
      <w:r w:rsidRPr="000A5B73">
        <w:rPr>
          <w:rFonts w:ascii="Verdana" w:hAnsi="Verdana"/>
          <w:sz w:val="16"/>
          <w:szCs w:val="16"/>
        </w:rPr>
        <w:tab/>
      </w:r>
      <w:r w:rsidR="007C290E">
        <w:rPr>
          <w:rFonts w:ascii="Verdana" w:hAnsi="Verdana"/>
          <w:sz w:val="16"/>
          <w:szCs w:val="16"/>
        </w:rPr>
        <w:tab/>
      </w:r>
      <w:r w:rsidR="007C290E">
        <w:rPr>
          <w:rFonts w:ascii="Verdana" w:hAnsi="Verdana"/>
          <w:i/>
          <w:sz w:val="16"/>
          <w:szCs w:val="16"/>
        </w:rPr>
        <w:t xml:space="preserve">Cfr. </w:t>
      </w:r>
      <w:r w:rsidRPr="000A5B73">
        <w:rPr>
          <w:rStyle w:val="Strong"/>
          <w:rFonts w:ascii="Verdana" w:hAnsi="Verdana"/>
          <w:b w:val="0"/>
          <w:i/>
          <w:color w:val="000000"/>
          <w:sz w:val="16"/>
          <w:szCs w:val="16"/>
          <w:shd w:val="clear" w:color="auto" w:fill="FFFFFF"/>
        </w:rPr>
        <w:t>Caso Apitz Barbera y Otros ("Corte Primera de lo Contencioso Administrativo") Vs. Venezuela. Supervisión de Cumplimiento de Sentencia.</w:t>
      </w:r>
      <w:r w:rsidRPr="000A5B73">
        <w:rPr>
          <w:rStyle w:val="Strong"/>
          <w:rFonts w:ascii="Verdana" w:hAnsi="Verdana"/>
          <w:b w:val="0"/>
          <w:color w:val="000000"/>
          <w:sz w:val="16"/>
          <w:szCs w:val="16"/>
          <w:shd w:val="clear" w:color="auto" w:fill="FFFFFF"/>
        </w:rPr>
        <w:t xml:space="preserve"> Resolución de la Corte Interamericana de Derechos Humanos de 23 de noviembre de 2012,</w:t>
      </w:r>
      <w:r w:rsidRPr="000A5B73">
        <w:rPr>
          <w:rFonts w:ascii="Verdana" w:hAnsi="Verdana"/>
          <w:b/>
          <w:sz w:val="16"/>
          <w:szCs w:val="16"/>
          <w:lang w:val="es-CR"/>
        </w:rPr>
        <w:t xml:space="preserve"> </w:t>
      </w:r>
      <w:r w:rsidRPr="000A5B73">
        <w:rPr>
          <w:rFonts w:ascii="Verdana" w:hAnsi="Verdana"/>
          <w:sz w:val="16"/>
          <w:szCs w:val="16"/>
          <w:lang w:val="es-CR"/>
        </w:rPr>
        <w:t xml:space="preserve">Considerando </w:t>
      </w:r>
      <w:r w:rsidR="00002144">
        <w:rPr>
          <w:rFonts w:ascii="Verdana" w:hAnsi="Verdana"/>
          <w:sz w:val="16"/>
          <w:szCs w:val="16"/>
          <w:lang w:val="es-CR"/>
        </w:rPr>
        <w:t>48</w:t>
      </w:r>
      <w:r w:rsidRPr="000A5B73">
        <w:rPr>
          <w:rFonts w:ascii="Verdana" w:hAnsi="Verdana"/>
          <w:sz w:val="16"/>
          <w:szCs w:val="16"/>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C8C8" w14:textId="77777777" w:rsidR="00032DCA" w:rsidRDefault="00032DCA" w:rsidP="006E21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736A9C" w14:textId="77777777" w:rsidR="00032DCA" w:rsidRDefault="00032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CCC5" w14:textId="77777777" w:rsidR="00032DCA" w:rsidRDefault="00032DCA">
    <w:pPr>
      <w:pStyle w:val="Header"/>
      <w:jc w:val="center"/>
      <w:rPr>
        <w:rFonts w:ascii="Verdana" w:hAnsi="Verdana"/>
        <w:sz w:val="20"/>
      </w:rPr>
    </w:pPr>
  </w:p>
  <w:p w14:paraId="249C6D19" w14:textId="77777777" w:rsidR="00032DCA" w:rsidRPr="004304A9" w:rsidRDefault="00032DCA">
    <w:pPr>
      <w:pStyle w:val="Header"/>
      <w:jc w:val="center"/>
      <w:rPr>
        <w:rFonts w:ascii="Verdana" w:hAnsi="Verdana"/>
        <w:sz w:val="20"/>
      </w:rPr>
    </w:pPr>
    <w:r>
      <w:rPr>
        <w:rFonts w:ascii="Verdana" w:hAnsi="Verdana"/>
        <w:sz w:val="20"/>
      </w:rPr>
      <w:t>-</w:t>
    </w:r>
    <w:r w:rsidRPr="004304A9">
      <w:rPr>
        <w:rFonts w:ascii="Verdana" w:hAnsi="Verdana"/>
        <w:sz w:val="20"/>
      </w:rPr>
      <w:fldChar w:fldCharType="begin"/>
    </w:r>
    <w:r w:rsidRPr="004304A9">
      <w:rPr>
        <w:rFonts w:ascii="Verdana" w:hAnsi="Verdana"/>
        <w:sz w:val="20"/>
      </w:rPr>
      <w:instrText xml:space="preserve"> PAGE   \* MERGEFORMAT </w:instrText>
    </w:r>
    <w:r w:rsidRPr="004304A9">
      <w:rPr>
        <w:rFonts w:ascii="Verdana" w:hAnsi="Verdana"/>
        <w:sz w:val="20"/>
      </w:rPr>
      <w:fldChar w:fldCharType="separate"/>
    </w:r>
    <w:r w:rsidR="0091440A">
      <w:rPr>
        <w:rFonts w:ascii="Verdana" w:hAnsi="Verdana"/>
        <w:noProof/>
        <w:sz w:val="20"/>
      </w:rPr>
      <w:t>2</w:t>
    </w:r>
    <w:r w:rsidRPr="004304A9">
      <w:rPr>
        <w:rFonts w:ascii="Verdana" w:hAnsi="Verdana"/>
        <w:sz w:val="20"/>
      </w:rPr>
      <w:fldChar w:fldCharType="end"/>
    </w:r>
    <w:r>
      <w:rPr>
        <w:rFonts w:ascii="Verdana" w:hAnsi="Verdana"/>
        <w:sz w:val="20"/>
      </w:rPr>
      <w:t>-</w:t>
    </w:r>
  </w:p>
  <w:p w14:paraId="20120F28" w14:textId="77777777" w:rsidR="00032DCA" w:rsidRDefault="00032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259E" w14:textId="77777777" w:rsidR="00032DCA" w:rsidRPr="00BC2421" w:rsidRDefault="00032DCA" w:rsidP="006E214A">
    <w:pPr>
      <w:pStyle w:val="Header"/>
      <w:jc w:val="right"/>
      <w:rPr>
        <w:b/>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E6"/>
    <w:multiLevelType w:val="multilevel"/>
    <w:tmpl w:val="86806766"/>
    <w:lvl w:ilvl="0">
      <w:start w:val="1"/>
      <w:numFmt w:val="decimal"/>
      <w:lvlText w:val="%1."/>
      <w:lvlJc w:val="left"/>
      <w:pPr>
        <w:ind w:left="720" w:hanging="36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1">
    <w:nsid w:val="1B6059A7"/>
    <w:multiLevelType w:val="hybridMultilevel"/>
    <w:tmpl w:val="75C0CA12"/>
    <w:lvl w:ilvl="0" w:tplc="BE88D86E">
      <w:start w:val="1"/>
      <w:numFmt w:val="decimal"/>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1E085AF9"/>
    <w:multiLevelType w:val="hybridMultilevel"/>
    <w:tmpl w:val="B168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F7C2C"/>
    <w:multiLevelType w:val="hybridMultilevel"/>
    <w:tmpl w:val="E7AA042A"/>
    <w:lvl w:ilvl="0" w:tplc="A128FFBE">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84A524C"/>
    <w:multiLevelType w:val="hybridMultilevel"/>
    <w:tmpl w:val="5F56C960"/>
    <w:lvl w:ilvl="0" w:tplc="DB028CCA">
      <w:start w:val="1"/>
      <w:numFmt w:val="decimal"/>
      <w:lvlText w:val="%1."/>
      <w:lvlJc w:val="left"/>
      <w:pPr>
        <w:ind w:left="360" w:hanging="360"/>
      </w:pPr>
      <w:rPr>
        <w:rFonts w:hint="default"/>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31EF6264"/>
    <w:multiLevelType w:val="multilevel"/>
    <w:tmpl w:val="C57E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33E9D"/>
    <w:multiLevelType w:val="hybridMultilevel"/>
    <w:tmpl w:val="4A24A910"/>
    <w:lvl w:ilvl="0" w:tplc="7004AB80">
      <w:start w:val="1"/>
      <w:numFmt w:val="lowerLetter"/>
      <w:lvlText w:val="%1)"/>
      <w:lvlJc w:val="left"/>
      <w:pPr>
        <w:ind w:left="720" w:hanging="360"/>
      </w:pPr>
      <w:rPr>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02257"/>
    <w:multiLevelType w:val="hybridMultilevel"/>
    <w:tmpl w:val="8AD485B8"/>
    <w:lvl w:ilvl="0" w:tplc="140A0017">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63CE1069"/>
    <w:multiLevelType w:val="hybridMultilevel"/>
    <w:tmpl w:val="EB9673E6"/>
    <w:lvl w:ilvl="0" w:tplc="FF3AFD1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7983635B"/>
    <w:multiLevelType w:val="hybridMultilevel"/>
    <w:tmpl w:val="E57687BC"/>
    <w:lvl w:ilvl="0" w:tplc="AC1C5414">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start w:val="1"/>
      <w:numFmt w:val="decimal"/>
      <w:lvlText w:val="%4."/>
      <w:lvlJc w:val="left"/>
      <w:pPr>
        <w:ind w:left="-6476" w:hanging="360"/>
      </w:pPr>
    </w:lvl>
    <w:lvl w:ilvl="4" w:tplc="140A0019">
      <w:start w:val="1"/>
      <w:numFmt w:val="lowerLetter"/>
      <w:lvlText w:val="%5."/>
      <w:lvlJc w:val="left"/>
      <w:pPr>
        <w:ind w:left="-5756" w:hanging="360"/>
      </w:pPr>
    </w:lvl>
    <w:lvl w:ilvl="5" w:tplc="140A001B">
      <w:start w:val="1"/>
      <w:numFmt w:val="lowerRoman"/>
      <w:lvlText w:val="%6."/>
      <w:lvlJc w:val="right"/>
      <w:pPr>
        <w:ind w:left="-5036" w:hanging="180"/>
      </w:pPr>
    </w:lvl>
    <w:lvl w:ilvl="6" w:tplc="140A000F">
      <w:start w:val="1"/>
      <w:numFmt w:val="decimal"/>
      <w:lvlText w:val="%7."/>
      <w:lvlJc w:val="left"/>
      <w:pPr>
        <w:ind w:left="-4316" w:hanging="360"/>
      </w:pPr>
    </w:lvl>
    <w:lvl w:ilvl="7" w:tplc="140A0019">
      <w:start w:val="1"/>
      <w:numFmt w:val="lowerLetter"/>
      <w:lvlText w:val="%8."/>
      <w:lvlJc w:val="left"/>
      <w:pPr>
        <w:ind w:left="-3596" w:hanging="360"/>
      </w:pPr>
    </w:lvl>
    <w:lvl w:ilvl="8" w:tplc="140A001B">
      <w:start w:val="1"/>
      <w:numFmt w:val="lowerRoman"/>
      <w:lvlText w:val="%9."/>
      <w:lvlJc w:val="right"/>
      <w:pPr>
        <w:ind w:left="-2876" w:hanging="180"/>
      </w:pPr>
    </w:lvl>
  </w:abstractNum>
  <w:num w:numId="1">
    <w:abstractNumId w:val="0"/>
  </w:num>
  <w:num w:numId="2">
    <w:abstractNumId w:val="1"/>
  </w:num>
  <w:num w:numId="3">
    <w:abstractNumId w:val="4"/>
  </w:num>
  <w:num w:numId="4">
    <w:abstractNumId w:val="6"/>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52"/>
    <w:rsid w:val="00002144"/>
    <w:rsid w:val="00003423"/>
    <w:rsid w:val="000071EC"/>
    <w:rsid w:val="000162F2"/>
    <w:rsid w:val="00025899"/>
    <w:rsid w:val="00027033"/>
    <w:rsid w:val="00031741"/>
    <w:rsid w:val="00032DCA"/>
    <w:rsid w:val="00036162"/>
    <w:rsid w:val="00036237"/>
    <w:rsid w:val="000369C7"/>
    <w:rsid w:val="000374D9"/>
    <w:rsid w:val="000450D1"/>
    <w:rsid w:val="000525C6"/>
    <w:rsid w:val="00052B94"/>
    <w:rsid w:val="00061C28"/>
    <w:rsid w:val="00087BBD"/>
    <w:rsid w:val="000918B7"/>
    <w:rsid w:val="000A2A69"/>
    <w:rsid w:val="000A4A5D"/>
    <w:rsid w:val="000A5B73"/>
    <w:rsid w:val="000B19F2"/>
    <w:rsid w:val="000D5839"/>
    <w:rsid w:val="000E09BB"/>
    <w:rsid w:val="000F4074"/>
    <w:rsid w:val="000F476B"/>
    <w:rsid w:val="001017B9"/>
    <w:rsid w:val="00115381"/>
    <w:rsid w:val="00155834"/>
    <w:rsid w:val="00176BF6"/>
    <w:rsid w:val="001C1616"/>
    <w:rsid w:val="001C6249"/>
    <w:rsid w:val="001E0672"/>
    <w:rsid w:val="001F27DB"/>
    <w:rsid w:val="00213593"/>
    <w:rsid w:val="0021614D"/>
    <w:rsid w:val="00224536"/>
    <w:rsid w:val="00225DFC"/>
    <w:rsid w:val="00232857"/>
    <w:rsid w:val="00282756"/>
    <w:rsid w:val="002900D5"/>
    <w:rsid w:val="002A0111"/>
    <w:rsid w:val="002A0660"/>
    <w:rsid w:val="002C6959"/>
    <w:rsid w:val="002E4E03"/>
    <w:rsid w:val="002E7F87"/>
    <w:rsid w:val="00302E77"/>
    <w:rsid w:val="00304362"/>
    <w:rsid w:val="003064AD"/>
    <w:rsid w:val="00307690"/>
    <w:rsid w:val="00322FD5"/>
    <w:rsid w:val="00334F08"/>
    <w:rsid w:val="00344F33"/>
    <w:rsid w:val="003552A0"/>
    <w:rsid w:val="00360FA1"/>
    <w:rsid w:val="00361A0B"/>
    <w:rsid w:val="00370C76"/>
    <w:rsid w:val="003A7BD9"/>
    <w:rsid w:val="003B4353"/>
    <w:rsid w:val="003F5428"/>
    <w:rsid w:val="00404EA5"/>
    <w:rsid w:val="004061BE"/>
    <w:rsid w:val="00407BC2"/>
    <w:rsid w:val="004375D5"/>
    <w:rsid w:val="0045725D"/>
    <w:rsid w:val="004A3EB6"/>
    <w:rsid w:val="004C1A1E"/>
    <w:rsid w:val="004C2366"/>
    <w:rsid w:val="004C3A9B"/>
    <w:rsid w:val="004C515E"/>
    <w:rsid w:val="004D45C9"/>
    <w:rsid w:val="004D66FC"/>
    <w:rsid w:val="004E2FE8"/>
    <w:rsid w:val="004E66DE"/>
    <w:rsid w:val="004F06B5"/>
    <w:rsid w:val="004F4641"/>
    <w:rsid w:val="00512BCC"/>
    <w:rsid w:val="0051425A"/>
    <w:rsid w:val="00542B30"/>
    <w:rsid w:val="00545D60"/>
    <w:rsid w:val="00557D4D"/>
    <w:rsid w:val="00576AE5"/>
    <w:rsid w:val="00594052"/>
    <w:rsid w:val="00597D3F"/>
    <w:rsid w:val="005C53E7"/>
    <w:rsid w:val="005C712E"/>
    <w:rsid w:val="005D4754"/>
    <w:rsid w:val="005E24C1"/>
    <w:rsid w:val="005E697C"/>
    <w:rsid w:val="005E7C66"/>
    <w:rsid w:val="00601FC4"/>
    <w:rsid w:val="0060689E"/>
    <w:rsid w:val="00613FA9"/>
    <w:rsid w:val="006239D3"/>
    <w:rsid w:val="006538A8"/>
    <w:rsid w:val="00656D76"/>
    <w:rsid w:val="00666620"/>
    <w:rsid w:val="0067184E"/>
    <w:rsid w:val="00693E21"/>
    <w:rsid w:val="006B707C"/>
    <w:rsid w:val="006C3056"/>
    <w:rsid w:val="006D1E0C"/>
    <w:rsid w:val="006E214A"/>
    <w:rsid w:val="006E6721"/>
    <w:rsid w:val="00701592"/>
    <w:rsid w:val="00703827"/>
    <w:rsid w:val="00733830"/>
    <w:rsid w:val="00742061"/>
    <w:rsid w:val="0076390D"/>
    <w:rsid w:val="007674A1"/>
    <w:rsid w:val="007719EB"/>
    <w:rsid w:val="007A0D40"/>
    <w:rsid w:val="007A73D2"/>
    <w:rsid w:val="007A757D"/>
    <w:rsid w:val="007B29C1"/>
    <w:rsid w:val="007C0806"/>
    <w:rsid w:val="007C1602"/>
    <w:rsid w:val="007C290E"/>
    <w:rsid w:val="007D4790"/>
    <w:rsid w:val="007E400D"/>
    <w:rsid w:val="007E621C"/>
    <w:rsid w:val="007F2959"/>
    <w:rsid w:val="007F6D54"/>
    <w:rsid w:val="00816E86"/>
    <w:rsid w:val="00832926"/>
    <w:rsid w:val="008560C5"/>
    <w:rsid w:val="00864DC7"/>
    <w:rsid w:val="00865BA8"/>
    <w:rsid w:val="008708C2"/>
    <w:rsid w:val="008A3E2B"/>
    <w:rsid w:val="008A7943"/>
    <w:rsid w:val="008B3906"/>
    <w:rsid w:val="008B5E41"/>
    <w:rsid w:val="008C5394"/>
    <w:rsid w:val="008D4BA9"/>
    <w:rsid w:val="008E6529"/>
    <w:rsid w:val="008F33A3"/>
    <w:rsid w:val="00901050"/>
    <w:rsid w:val="00901DED"/>
    <w:rsid w:val="00902547"/>
    <w:rsid w:val="00905928"/>
    <w:rsid w:val="009131B8"/>
    <w:rsid w:val="00913C86"/>
    <w:rsid w:val="0091440A"/>
    <w:rsid w:val="009170F6"/>
    <w:rsid w:val="00926273"/>
    <w:rsid w:val="00930FD9"/>
    <w:rsid w:val="0095093B"/>
    <w:rsid w:val="009773E8"/>
    <w:rsid w:val="00987720"/>
    <w:rsid w:val="009944ED"/>
    <w:rsid w:val="00995ACC"/>
    <w:rsid w:val="009A557C"/>
    <w:rsid w:val="009C1BF9"/>
    <w:rsid w:val="009C38E8"/>
    <w:rsid w:val="009D0DAC"/>
    <w:rsid w:val="009D558D"/>
    <w:rsid w:val="009D5A6B"/>
    <w:rsid w:val="00A064E5"/>
    <w:rsid w:val="00A20C7A"/>
    <w:rsid w:val="00A27A9D"/>
    <w:rsid w:val="00A31074"/>
    <w:rsid w:val="00A31253"/>
    <w:rsid w:val="00A368A1"/>
    <w:rsid w:val="00A4079A"/>
    <w:rsid w:val="00A428A7"/>
    <w:rsid w:val="00A447BF"/>
    <w:rsid w:val="00A75898"/>
    <w:rsid w:val="00AB6E0C"/>
    <w:rsid w:val="00AD1460"/>
    <w:rsid w:val="00AF4DF5"/>
    <w:rsid w:val="00B01C2C"/>
    <w:rsid w:val="00B01F08"/>
    <w:rsid w:val="00B1103D"/>
    <w:rsid w:val="00B16D7A"/>
    <w:rsid w:val="00B17166"/>
    <w:rsid w:val="00B201BB"/>
    <w:rsid w:val="00B4454E"/>
    <w:rsid w:val="00B46377"/>
    <w:rsid w:val="00B51FFA"/>
    <w:rsid w:val="00B55B24"/>
    <w:rsid w:val="00B602F2"/>
    <w:rsid w:val="00B8365B"/>
    <w:rsid w:val="00B971C0"/>
    <w:rsid w:val="00BA7C51"/>
    <w:rsid w:val="00BB45AB"/>
    <w:rsid w:val="00BB6C32"/>
    <w:rsid w:val="00BD31C4"/>
    <w:rsid w:val="00BD6E6D"/>
    <w:rsid w:val="00BE3DE5"/>
    <w:rsid w:val="00C4369A"/>
    <w:rsid w:val="00C513BE"/>
    <w:rsid w:val="00C5180A"/>
    <w:rsid w:val="00C522C2"/>
    <w:rsid w:val="00C6309F"/>
    <w:rsid w:val="00C8098E"/>
    <w:rsid w:val="00C90C53"/>
    <w:rsid w:val="00C93D87"/>
    <w:rsid w:val="00CC0F17"/>
    <w:rsid w:val="00CC161E"/>
    <w:rsid w:val="00CC237C"/>
    <w:rsid w:val="00CD22E8"/>
    <w:rsid w:val="00CD3619"/>
    <w:rsid w:val="00CD4882"/>
    <w:rsid w:val="00CD760D"/>
    <w:rsid w:val="00CE1841"/>
    <w:rsid w:val="00CF696D"/>
    <w:rsid w:val="00CF6C5A"/>
    <w:rsid w:val="00D03317"/>
    <w:rsid w:val="00D26A3B"/>
    <w:rsid w:val="00D2745F"/>
    <w:rsid w:val="00D30B92"/>
    <w:rsid w:val="00D33E6D"/>
    <w:rsid w:val="00D4191B"/>
    <w:rsid w:val="00D464CF"/>
    <w:rsid w:val="00D52D85"/>
    <w:rsid w:val="00D56F3C"/>
    <w:rsid w:val="00D63413"/>
    <w:rsid w:val="00D804C3"/>
    <w:rsid w:val="00D94653"/>
    <w:rsid w:val="00D9701B"/>
    <w:rsid w:val="00DA05DE"/>
    <w:rsid w:val="00DC3822"/>
    <w:rsid w:val="00DC40B8"/>
    <w:rsid w:val="00DC4AAB"/>
    <w:rsid w:val="00DD06A5"/>
    <w:rsid w:val="00E03D78"/>
    <w:rsid w:val="00E06334"/>
    <w:rsid w:val="00E06CC9"/>
    <w:rsid w:val="00E113C6"/>
    <w:rsid w:val="00E22F81"/>
    <w:rsid w:val="00E268D9"/>
    <w:rsid w:val="00E32948"/>
    <w:rsid w:val="00E3406A"/>
    <w:rsid w:val="00E752A7"/>
    <w:rsid w:val="00E82CE2"/>
    <w:rsid w:val="00E848E5"/>
    <w:rsid w:val="00E84B78"/>
    <w:rsid w:val="00E866DC"/>
    <w:rsid w:val="00EA7AFA"/>
    <w:rsid w:val="00EB752C"/>
    <w:rsid w:val="00ED0303"/>
    <w:rsid w:val="00EE5FCB"/>
    <w:rsid w:val="00EF183C"/>
    <w:rsid w:val="00F23057"/>
    <w:rsid w:val="00F231FF"/>
    <w:rsid w:val="00F36A72"/>
    <w:rsid w:val="00F63BAF"/>
    <w:rsid w:val="00F84048"/>
    <w:rsid w:val="00F87046"/>
    <w:rsid w:val="00F8764D"/>
    <w:rsid w:val="00FA336C"/>
    <w:rsid w:val="00FC1270"/>
    <w:rsid w:val="00FC44BC"/>
    <w:rsid w:val="00FE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0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52"/>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594052"/>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594052"/>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594052"/>
    <w:rPr>
      <w:vertAlign w:val="superscript"/>
    </w:rPr>
  </w:style>
  <w:style w:type="paragraph" w:styleId="BodyText">
    <w:name w:val="Body Text"/>
    <w:basedOn w:val="Normal"/>
    <w:link w:val="BodyTextChar"/>
    <w:rsid w:val="00594052"/>
    <w:pPr>
      <w:ind w:right="764"/>
      <w:jc w:val="both"/>
    </w:pPr>
    <w:rPr>
      <w:lang w:eastAsia="x-none"/>
    </w:rPr>
  </w:style>
  <w:style w:type="character" w:customStyle="1" w:styleId="BodyTextChar">
    <w:name w:val="Body Text Char"/>
    <w:basedOn w:val="DefaultParagraphFont"/>
    <w:link w:val="BodyText"/>
    <w:rsid w:val="00594052"/>
    <w:rPr>
      <w:rFonts w:ascii="Garamond" w:eastAsia="Times" w:hAnsi="Garamond" w:cs="Times New Roman"/>
      <w:sz w:val="24"/>
      <w:szCs w:val="20"/>
      <w:lang w:val="es-ES_tradnl" w:eastAsia="x-none"/>
    </w:rPr>
  </w:style>
  <w:style w:type="paragraph" w:styleId="Footer">
    <w:name w:val="footer"/>
    <w:basedOn w:val="Normal"/>
    <w:link w:val="FooterChar"/>
    <w:uiPriority w:val="99"/>
    <w:rsid w:val="00594052"/>
    <w:pPr>
      <w:tabs>
        <w:tab w:val="center" w:pos="4320"/>
        <w:tab w:val="right" w:pos="8640"/>
      </w:tabs>
    </w:pPr>
    <w:rPr>
      <w:lang w:eastAsia="x-none"/>
    </w:rPr>
  </w:style>
  <w:style w:type="character" w:customStyle="1" w:styleId="FooterChar">
    <w:name w:val="Footer Char"/>
    <w:basedOn w:val="DefaultParagraphFont"/>
    <w:link w:val="Footer"/>
    <w:uiPriority w:val="99"/>
    <w:rsid w:val="00594052"/>
    <w:rPr>
      <w:rFonts w:ascii="Garamond" w:eastAsia="Times" w:hAnsi="Garamond" w:cs="Times New Roman"/>
      <w:sz w:val="24"/>
      <w:szCs w:val="20"/>
      <w:lang w:val="es-ES_tradnl" w:eastAsia="x-none"/>
    </w:rPr>
  </w:style>
  <w:style w:type="character" w:styleId="PageNumber">
    <w:name w:val="page number"/>
    <w:basedOn w:val="DefaultParagraphFont"/>
    <w:rsid w:val="00594052"/>
  </w:style>
  <w:style w:type="paragraph" w:styleId="Header">
    <w:name w:val="header"/>
    <w:basedOn w:val="Normal"/>
    <w:link w:val="HeaderChar"/>
    <w:uiPriority w:val="99"/>
    <w:rsid w:val="00594052"/>
    <w:pPr>
      <w:tabs>
        <w:tab w:val="center" w:pos="4320"/>
        <w:tab w:val="right" w:pos="8640"/>
      </w:tabs>
    </w:pPr>
    <w:rPr>
      <w:lang w:eastAsia="x-none"/>
    </w:rPr>
  </w:style>
  <w:style w:type="character" w:customStyle="1" w:styleId="HeaderChar">
    <w:name w:val="Header Char"/>
    <w:basedOn w:val="DefaultParagraphFont"/>
    <w:link w:val="Header"/>
    <w:uiPriority w:val="99"/>
    <w:rsid w:val="00594052"/>
    <w:rPr>
      <w:rFonts w:ascii="Garamond" w:eastAsia="Times" w:hAnsi="Garamond" w:cs="Times New Roman"/>
      <w:sz w:val="24"/>
      <w:szCs w:val="20"/>
      <w:lang w:val="es-ES_tradnl" w:eastAsia="x-none"/>
    </w:rPr>
  </w:style>
  <w:style w:type="character" w:styleId="Hyperlink">
    <w:name w:val="Hyperlink"/>
    <w:uiPriority w:val="99"/>
    <w:unhideWhenUsed/>
    <w:rsid w:val="00594052"/>
    <w:rPr>
      <w:color w:val="0000FF"/>
      <w:u w:val="single"/>
    </w:rPr>
  </w:style>
  <w:style w:type="paragraph" w:customStyle="1" w:styleId="Sangradetindependiente">
    <w:name w:val="SangrÌa de t. independiente"/>
    <w:basedOn w:val="Normal"/>
    <w:rsid w:val="00594052"/>
    <w:pPr>
      <w:ind w:right="12"/>
      <w:jc w:val="both"/>
    </w:pPr>
    <w:rPr>
      <w:rFonts w:eastAsia="Times New Roman"/>
      <w:sz w:val="20"/>
      <w:lang w:eastAsia="es-ES"/>
    </w:rPr>
  </w:style>
  <w:style w:type="character" w:styleId="Strong">
    <w:name w:val="Strong"/>
    <w:uiPriority w:val="22"/>
    <w:qFormat/>
    <w:rsid w:val="00594052"/>
    <w:rPr>
      <w:b/>
      <w:bCs/>
    </w:rPr>
  </w:style>
  <w:style w:type="paragraph" w:styleId="ListParagraph">
    <w:name w:val="List Paragraph"/>
    <w:aliases w:val="Footnote,Párrafo de lista1"/>
    <w:basedOn w:val="Normal"/>
    <w:link w:val="ListParagraphChar"/>
    <w:uiPriority w:val="34"/>
    <w:qFormat/>
    <w:rsid w:val="00594052"/>
    <w:pPr>
      <w:ind w:left="708"/>
    </w:pPr>
  </w:style>
  <w:style w:type="character" w:styleId="LineNumber">
    <w:name w:val="line number"/>
    <w:basedOn w:val="DefaultParagraphFont"/>
    <w:uiPriority w:val="99"/>
    <w:semiHidden/>
    <w:unhideWhenUsed/>
    <w:rsid w:val="00594052"/>
  </w:style>
  <w:style w:type="character" w:customStyle="1" w:styleId="ListParagraphChar">
    <w:name w:val="List Paragraph Char"/>
    <w:aliases w:val="Footnote Char,Párrafo de lista1 Char"/>
    <w:link w:val="ListParagraph"/>
    <w:uiPriority w:val="34"/>
    <w:locked/>
    <w:rsid w:val="008C5394"/>
    <w:rPr>
      <w:rFonts w:ascii="Garamond" w:eastAsia="Times" w:hAnsi="Garamond" w:cs="Times New Roman"/>
      <w:sz w:val="24"/>
      <w:szCs w:val="20"/>
      <w:lang w:val="es-ES_tradnl"/>
    </w:rPr>
  </w:style>
  <w:style w:type="character" w:styleId="CommentReference">
    <w:name w:val="annotation reference"/>
    <w:basedOn w:val="DefaultParagraphFont"/>
    <w:uiPriority w:val="99"/>
    <w:semiHidden/>
    <w:unhideWhenUsed/>
    <w:rsid w:val="008C5394"/>
    <w:rPr>
      <w:sz w:val="16"/>
      <w:szCs w:val="16"/>
    </w:rPr>
  </w:style>
  <w:style w:type="paragraph" w:styleId="CommentText">
    <w:name w:val="annotation text"/>
    <w:basedOn w:val="Normal"/>
    <w:link w:val="CommentTextChar"/>
    <w:uiPriority w:val="99"/>
    <w:semiHidden/>
    <w:unhideWhenUsed/>
    <w:rsid w:val="008C5394"/>
    <w:rPr>
      <w:sz w:val="20"/>
    </w:rPr>
  </w:style>
  <w:style w:type="character" w:customStyle="1" w:styleId="CommentTextChar">
    <w:name w:val="Comment Text Char"/>
    <w:basedOn w:val="DefaultParagraphFont"/>
    <w:link w:val="CommentText"/>
    <w:uiPriority w:val="99"/>
    <w:semiHidden/>
    <w:rsid w:val="008C5394"/>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8C5394"/>
    <w:rPr>
      <w:b/>
      <w:bCs/>
    </w:rPr>
  </w:style>
  <w:style w:type="character" w:customStyle="1" w:styleId="CommentSubjectChar">
    <w:name w:val="Comment Subject Char"/>
    <w:basedOn w:val="CommentTextChar"/>
    <w:link w:val="CommentSubject"/>
    <w:uiPriority w:val="99"/>
    <w:semiHidden/>
    <w:rsid w:val="008C5394"/>
    <w:rPr>
      <w:rFonts w:ascii="Garamond" w:eastAsia="Times" w:hAnsi="Garamond" w:cs="Times New Roman"/>
      <w:b/>
      <w:bCs/>
      <w:sz w:val="20"/>
      <w:szCs w:val="20"/>
      <w:lang w:val="es-ES_tradnl"/>
    </w:rPr>
  </w:style>
  <w:style w:type="paragraph" w:styleId="BalloonText">
    <w:name w:val="Balloon Text"/>
    <w:basedOn w:val="Normal"/>
    <w:link w:val="BalloonTextChar"/>
    <w:uiPriority w:val="99"/>
    <w:semiHidden/>
    <w:unhideWhenUsed/>
    <w:rsid w:val="008C5394"/>
    <w:rPr>
      <w:rFonts w:ascii="Tahoma" w:hAnsi="Tahoma" w:cs="Tahoma"/>
      <w:sz w:val="16"/>
      <w:szCs w:val="16"/>
    </w:rPr>
  </w:style>
  <w:style w:type="character" w:customStyle="1" w:styleId="BalloonTextChar">
    <w:name w:val="Balloon Text Char"/>
    <w:basedOn w:val="DefaultParagraphFont"/>
    <w:link w:val="BalloonText"/>
    <w:uiPriority w:val="99"/>
    <w:semiHidden/>
    <w:rsid w:val="008C5394"/>
    <w:rPr>
      <w:rFonts w:ascii="Tahoma" w:eastAsia="Times" w:hAnsi="Tahoma" w:cs="Tahoma"/>
      <w:sz w:val="16"/>
      <w:szCs w:val="16"/>
      <w:lang w:val="es-ES_tradnl"/>
    </w:rPr>
  </w:style>
  <w:style w:type="paragraph" w:customStyle="1" w:styleId="Default">
    <w:name w:val="Default"/>
    <w:rsid w:val="007A757D"/>
    <w:pPr>
      <w:autoSpaceDE w:val="0"/>
      <w:autoSpaceDN w:val="0"/>
      <w:adjustRightInd w:val="0"/>
      <w:spacing w:after="0" w:line="240" w:lineRule="auto"/>
    </w:pPr>
    <w:rPr>
      <w:rFonts w:ascii="Verdana" w:hAnsi="Verdana" w:cs="Verdana"/>
      <w:color w:val="000000"/>
      <w:sz w:val="24"/>
      <w:szCs w:val="24"/>
      <w:lang w:val="es-CR"/>
    </w:rPr>
  </w:style>
  <w:style w:type="paragraph" w:styleId="NormalWeb">
    <w:name w:val="Normal (Web)"/>
    <w:basedOn w:val="Normal"/>
    <w:uiPriority w:val="99"/>
    <w:semiHidden/>
    <w:unhideWhenUsed/>
    <w:rsid w:val="007D4790"/>
    <w:pPr>
      <w:spacing w:before="100" w:beforeAutospacing="1" w:after="100" w:afterAutospacing="1"/>
    </w:pPr>
    <w:rPr>
      <w:rFonts w:ascii="Times" w:eastAsiaTheme="minorHAnsi"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52"/>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594052"/>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594052"/>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594052"/>
    <w:rPr>
      <w:vertAlign w:val="superscript"/>
    </w:rPr>
  </w:style>
  <w:style w:type="paragraph" w:styleId="BodyText">
    <w:name w:val="Body Text"/>
    <w:basedOn w:val="Normal"/>
    <w:link w:val="BodyTextChar"/>
    <w:rsid w:val="00594052"/>
    <w:pPr>
      <w:ind w:right="764"/>
      <w:jc w:val="both"/>
    </w:pPr>
    <w:rPr>
      <w:lang w:eastAsia="x-none"/>
    </w:rPr>
  </w:style>
  <w:style w:type="character" w:customStyle="1" w:styleId="BodyTextChar">
    <w:name w:val="Body Text Char"/>
    <w:basedOn w:val="DefaultParagraphFont"/>
    <w:link w:val="BodyText"/>
    <w:rsid w:val="00594052"/>
    <w:rPr>
      <w:rFonts w:ascii="Garamond" w:eastAsia="Times" w:hAnsi="Garamond" w:cs="Times New Roman"/>
      <w:sz w:val="24"/>
      <w:szCs w:val="20"/>
      <w:lang w:val="es-ES_tradnl" w:eastAsia="x-none"/>
    </w:rPr>
  </w:style>
  <w:style w:type="paragraph" w:styleId="Footer">
    <w:name w:val="footer"/>
    <w:basedOn w:val="Normal"/>
    <w:link w:val="FooterChar"/>
    <w:uiPriority w:val="99"/>
    <w:rsid w:val="00594052"/>
    <w:pPr>
      <w:tabs>
        <w:tab w:val="center" w:pos="4320"/>
        <w:tab w:val="right" w:pos="8640"/>
      </w:tabs>
    </w:pPr>
    <w:rPr>
      <w:lang w:eastAsia="x-none"/>
    </w:rPr>
  </w:style>
  <w:style w:type="character" w:customStyle="1" w:styleId="FooterChar">
    <w:name w:val="Footer Char"/>
    <w:basedOn w:val="DefaultParagraphFont"/>
    <w:link w:val="Footer"/>
    <w:uiPriority w:val="99"/>
    <w:rsid w:val="00594052"/>
    <w:rPr>
      <w:rFonts w:ascii="Garamond" w:eastAsia="Times" w:hAnsi="Garamond" w:cs="Times New Roman"/>
      <w:sz w:val="24"/>
      <w:szCs w:val="20"/>
      <w:lang w:val="es-ES_tradnl" w:eastAsia="x-none"/>
    </w:rPr>
  </w:style>
  <w:style w:type="character" w:styleId="PageNumber">
    <w:name w:val="page number"/>
    <w:basedOn w:val="DefaultParagraphFont"/>
    <w:rsid w:val="00594052"/>
  </w:style>
  <w:style w:type="paragraph" w:styleId="Header">
    <w:name w:val="header"/>
    <w:basedOn w:val="Normal"/>
    <w:link w:val="HeaderChar"/>
    <w:uiPriority w:val="99"/>
    <w:rsid w:val="00594052"/>
    <w:pPr>
      <w:tabs>
        <w:tab w:val="center" w:pos="4320"/>
        <w:tab w:val="right" w:pos="8640"/>
      </w:tabs>
    </w:pPr>
    <w:rPr>
      <w:lang w:eastAsia="x-none"/>
    </w:rPr>
  </w:style>
  <w:style w:type="character" w:customStyle="1" w:styleId="HeaderChar">
    <w:name w:val="Header Char"/>
    <w:basedOn w:val="DefaultParagraphFont"/>
    <w:link w:val="Header"/>
    <w:uiPriority w:val="99"/>
    <w:rsid w:val="00594052"/>
    <w:rPr>
      <w:rFonts w:ascii="Garamond" w:eastAsia="Times" w:hAnsi="Garamond" w:cs="Times New Roman"/>
      <w:sz w:val="24"/>
      <w:szCs w:val="20"/>
      <w:lang w:val="es-ES_tradnl" w:eastAsia="x-none"/>
    </w:rPr>
  </w:style>
  <w:style w:type="character" w:styleId="Hyperlink">
    <w:name w:val="Hyperlink"/>
    <w:uiPriority w:val="99"/>
    <w:unhideWhenUsed/>
    <w:rsid w:val="00594052"/>
    <w:rPr>
      <w:color w:val="0000FF"/>
      <w:u w:val="single"/>
    </w:rPr>
  </w:style>
  <w:style w:type="paragraph" w:customStyle="1" w:styleId="Sangradetindependiente">
    <w:name w:val="SangrÌa de t. independiente"/>
    <w:basedOn w:val="Normal"/>
    <w:rsid w:val="00594052"/>
    <w:pPr>
      <w:ind w:right="12"/>
      <w:jc w:val="both"/>
    </w:pPr>
    <w:rPr>
      <w:rFonts w:eastAsia="Times New Roman"/>
      <w:sz w:val="20"/>
      <w:lang w:eastAsia="es-ES"/>
    </w:rPr>
  </w:style>
  <w:style w:type="character" w:styleId="Strong">
    <w:name w:val="Strong"/>
    <w:uiPriority w:val="22"/>
    <w:qFormat/>
    <w:rsid w:val="00594052"/>
    <w:rPr>
      <w:b/>
      <w:bCs/>
    </w:rPr>
  </w:style>
  <w:style w:type="paragraph" w:styleId="ListParagraph">
    <w:name w:val="List Paragraph"/>
    <w:aliases w:val="Footnote,Párrafo de lista1"/>
    <w:basedOn w:val="Normal"/>
    <w:link w:val="ListParagraphChar"/>
    <w:uiPriority w:val="34"/>
    <w:qFormat/>
    <w:rsid w:val="00594052"/>
    <w:pPr>
      <w:ind w:left="708"/>
    </w:pPr>
  </w:style>
  <w:style w:type="character" w:styleId="LineNumber">
    <w:name w:val="line number"/>
    <w:basedOn w:val="DefaultParagraphFont"/>
    <w:uiPriority w:val="99"/>
    <w:semiHidden/>
    <w:unhideWhenUsed/>
    <w:rsid w:val="00594052"/>
  </w:style>
  <w:style w:type="character" w:customStyle="1" w:styleId="ListParagraphChar">
    <w:name w:val="List Paragraph Char"/>
    <w:aliases w:val="Footnote Char,Párrafo de lista1 Char"/>
    <w:link w:val="ListParagraph"/>
    <w:uiPriority w:val="34"/>
    <w:locked/>
    <w:rsid w:val="008C5394"/>
    <w:rPr>
      <w:rFonts w:ascii="Garamond" w:eastAsia="Times" w:hAnsi="Garamond" w:cs="Times New Roman"/>
      <w:sz w:val="24"/>
      <w:szCs w:val="20"/>
      <w:lang w:val="es-ES_tradnl"/>
    </w:rPr>
  </w:style>
  <w:style w:type="character" w:styleId="CommentReference">
    <w:name w:val="annotation reference"/>
    <w:basedOn w:val="DefaultParagraphFont"/>
    <w:uiPriority w:val="99"/>
    <w:semiHidden/>
    <w:unhideWhenUsed/>
    <w:rsid w:val="008C5394"/>
    <w:rPr>
      <w:sz w:val="16"/>
      <w:szCs w:val="16"/>
    </w:rPr>
  </w:style>
  <w:style w:type="paragraph" w:styleId="CommentText">
    <w:name w:val="annotation text"/>
    <w:basedOn w:val="Normal"/>
    <w:link w:val="CommentTextChar"/>
    <w:uiPriority w:val="99"/>
    <w:semiHidden/>
    <w:unhideWhenUsed/>
    <w:rsid w:val="008C5394"/>
    <w:rPr>
      <w:sz w:val="20"/>
    </w:rPr>
  </w:style>
  <w:style w:type="character" w:customStyle="1" w:styleId="CommentTextChar">
    <w:name w:val="Comment Text Char"/>
    <w:basedOn w:val="DefaultParagraphFont"/>
    <w:link w:val="CommentText"/>
    <w:uiPriority w:val="99"/>
    <w:semiHidden/>
    <w:rsid w:val="008C5394"/>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8C5394"/>
    <w:rPr>
      <w:b/>
      <w:bCs/>
    </w:rPr>
  </w:style>
  <w:style w:type="character" w:customStyle="1" w:styleId="CommentSubjectChar">
    <w:name w:val="Comment Subject Char"/>
    <w:basedOn w:val="CommentTextChar"/>
    <w:link w:val="CommentSubject"/>
    <w:uiPriority w:val="99"/>
    <w:semiHidden/>
    <w:rsid w:val="008C5394"/>
    <w:rPr>
      <w:rFonts w:ascii="Garamond" w:eastAsia="Times" w:hAnsi="Garamond" w:cs="Times New Roman"/>
      <w:b/>
      <w:bCs/>
      <w:sz w:val="20"/>
      <w:szCs w:val="20"/>
      <w:lang w:val="es-ES_tradnl"/>
    </w:rPr>
  </w:style>
  <w:style w:type="paragraph" w:styleId="BalloonText">
    <w:name w:val="Balloon Text"/>
    <w:basedOn w:val="Normal"/>
    <w:link w:val="BalloonTextChar"/>
    <w:uiPriority w:val="99"/>
    <w:semiHidden/>
    <w:unhideWhenUsed/>
    <w:rsid w:val="008C5394"/>
    <w:rPr>
      <w:rFonts w:ascii="Tahoma" w:hAnsi="Tahoma" w:cs="Tahoma"/>
      <w:sz w:val="16"/>
      <w:szCs w:val="16"/>
    </w:rPr>
  </w:style>
  <w:style w:type="character" w:customStyle="1" w:styleId="BalloonTextChar">
    <w:name w:val="Balloon Text Char"/>
    <w:basedOn w:val="DefaultParagraphFont"/>
    <w:link w:val="BalloonText"/>
    <w:uiPriority w:val="99"/>
    <w:semiHidden/>
    <w:rsid w:val="008C5394"/>
    <w:rPr>
      <w:rFonts w:ascii="Tahoma" w:eastAsia="Times" w:hAnsi="Tahoma" w:cs="Tahoma"/>
      <w:sz w:val="16"/>
      <w:szCs w:val="16"/>
      <w:lang w:val="es-ES_tradnl"/>
    </w:rPr>
  </w:style>
  <w:style w:type="paragraph" w:customStyle="1" w:styleId="Default">
    <w:name w:val="Default"/>
    <w:rsid w:val="007A757D"/>
    <w:pPr>
      <w:autoSpaceDE w:val="0"/>
      <w:autoSpaceDN w:val="0"/>
      <w:adjustRightInd w:val="0"/>
      <w:spacing w:after="0" w:line="240" w:lineRule="auto"/>
    </w:pPr>
    <w:rPr>
      <w:rFonts w:ascii="Verdana" w:hAnsi="Verdana" w:cs="Verdana"/>
      <w:color w:val="000000"/>
      <w:sz w:val="24"/>
      <w:szCs w:val="24"/>
      <w:lang w:val="es-CR"/>
    </w:rPr>
  </w:style>
  <w:style w:type="paragraph" w:styleId="NormalWeb">
    <w:name w:val="Normal (Web)"/>
    <w:basedOn w:val="Normal"/>
    <w:uiPriority w:val="99"/>
    <w:semiHidden/>
    <w:unhideWhenUsed/>
    <w:rsid w:val="007D4790"/>
    <w:pPr>
      <w:spacing w:before="100" w:beforeAutospacing="1" w:after="100" w:afterAutospacing="1"/>
    </w:pPr>
    <w:rPr>
      <w:rFonts w:ascii="Times" w:eastAsiaTheme="minorHAnsi"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6957">
      <w:bodyDiv w:val="1"/>
      <w:marLeft w:val="0"/>
      <w:marRight w:val="0"/>
      <w:marTop w:val="0"/>
      <w:marBottom w:val="0"/>
      <w:divBdr>
        <w:top w:val="none" w:sz="0" w:space="0" w:color="auto"/>
        <w:left w:val="none" w:sz="0" w:space="0" w:color="auto"/>
        <w:bottom w:val="none" w:sz="0" w:space="0" w:color="auto"/>
        <w:right w:val="none" w:sz="0" w:space="0" w:color="auto"/>
      </w:divBdr>
    </w:div>
    <w:div w:id="1433283284">
      <w:bodyDiv w:val="1"/>
      <w:marLeft w:val="0"/>
      <w:marRight w:val="0"/>
      <w:marTop w:val="0"/>
      <w:marBottom w:val="0"/>
      <w:divBdr>
        <w:top w:val="none" w:sz="0" w:space="0" w:color="auto"/>
        <w:left w:val="none" w:sz="0" w:space="0" w:color="auto"/>
        <w:bottom w:val="none" w:sz="0" w:space="0" w:color="auto"/>
        <w:right w:val="none" w:sz="0" w:space="0" w:color="auto"/>
      </w:divBdr>
    </w:div>
    <w:div w:id="1567108751">
      <w:bodyDiv w:val="1"/>
      <w:marLeft w:val="0"/>
      <w:marRight w:val="0"/>
      <w:marTop w:val="0"/>
      <w:marBottom w:val="0"/>
      <w:divBdr>
        <w:top w:val="none" w:sz="0" w:space="0" w:color="auto"/>
        <w:left w:val="none" w:sz="0" w:space="0" w:color="auto"/>
        <w:bottom w:val="none" w:sz="0" w:space="0" w:color="auto"/>
        <w:right w:val="none" w:sz="0" w:space="0" w:color="auto"/>
      </w:divBdr>
      <w:divsChild>
        <w:div w:id="1293632062">
          <w:marLeft w:val="0"/>
          <w:marRight w:val="0"/>
          <w:marTop w:val="0"/>
          <w:marBottom w:val="0"/>
          <w:divBdr>
            <w:top w:val="none" w:sz="0" w:space="0" w:color="auto"/>
            <w:left w:val="none" w:sz="0" w:space="0" w:color="auto"/>
            <w:bottom w:val="none" w:sz="0" w:space="0" w:color="auto"/>
            <w:right w:val="none" w:sz="0" w:space="0" w:color="auto"/>
          </w:divBdr>
          <w:divsChild>
            <w:div w:id="221527920">
              <w:marLeft w:val="0"/>
              <w:marRight w:val="0"/>
              <w:marTop w:val="0"/>
              <w:marBottom w:val="0"/>
              <w:divBdr>
                <w:top w:val="none" w:sz="0" w:space="0" w:color="auto"/>
                <w:left w:val="none" w:sz="0" w:space="0" w:color="auto"/>
                <w:bottom w:val="none" w:sz="0" w:space="0" w:color="auto"/>
                <w:right w:val="none" w:sz="0" w:space="0" w:color="auto"/>
              </w:divBdr>
              <w:divsChild>
                <w:div w:id="4071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31826">
      <w:bodyDiv w:val="1"/>
      <w:marLeft w:val="0"/>
      <w:marRight w:val="0"/>
      <w:marTop w:val="0"/>
      <w:marBottom w:val="0"/>
      <w:divBdr>
        <w:top w:val="none" w:sz="0" w:space="0" w:color="auto"/>
        <w:left w:val="none" w:sz="0" w:space="0" w:color="auto"/>
        <w:bottom w:val="none" w:sz="0" w:space="0" w:color="auto"/>
        <w:right w:val="none" w:sz="0" w:space="0" w:color="auto"/>
      </w:divBdr>
      <w:divsChild>
        <w:div w:id="359747585">
          <w:marLeft w:val="0"/>
          <w:marRight w:val="0"/>
          <w:marTop w:val="0"/>
          <w:marBottom w:val="0"/>
          <w:divBdr>
            <w:top w:val="none" w:sz="0" w:space="0" w:color="auto"/>
            <w:left w:val="none" w:sz="0" w:space="0" w:color="auto"/>
            <w:bottom w:val="none" w:sz="0" w:space="0" w:color="auto"/>
            <w:right w:val="none" w:sz="0" w:space="0" w:color="auto"/>
          </w:divBdr>
          <w:divsChild>
            <w:div w:id="668674455">
              <w:marLeft w:val="0"/>
              <w:marRight w:val="0"/>
              <w:marTop w:val="0"/>
              <w:marBottom w:val="0"/>
              <w:divBdr>
                <w:top w:val="none" w:sz="0" w:space="0" w:color="auto"/>
                <w:left w:val="none" w:sz="0" w:space="0" w:color="auto"/>
                <w:bottom w:val="none" w:sz="0" w:space="0" w:color="auto"/>
                <w:right w:val="none" w:sz="0" w:space="0" w:color="auto"/>
              </w:divBdr>
              <w:divsChild>
                <w:div w:id="8019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3637">
      <w:bodyDiv w:val="1"/>
      <w:marLeft w:val="0"/>
      <w:marRight w:val="0"/>
      <w:marTop w:val="0"/>
      <w:marBottom w:val="0"/>
      <w:divBdr>
        <w:top w:val="none" w:sz="0" w:space="0" w:color="auto"/>
        <w:left w:val="none" w:sz="0" w:space="0" w:color="auto"/>
        <w:bottom w:val="none" w:sz="0" w:space="0" w:color="auto"/>
        <w:right w:val="none" w:sz="0" w:space="0" w:color="auto"/>
      </w:divBdr>
      <w:divsChild>
        <w:div w:id="1387488195">
          <w:marLeft w:val="0"/>
          <w:marRight w:val="0"/>
          <w:marTop w:val="0"/>
          <w:marBottom w:val="0"/>
          <w:divBdr>
            <w:top w:val="none" w:sz="0" w:space="0" w:color="auto"/>
            <w:left w:val="none" w:sz="0" w:space="0" w:color="auto"/>
            <w:bottom w:val="none" w:sz="0" w:space="0" w:color="auto"/>
            <w:right w:val="none" w:sz="0" w:space="0" w:color="auto"/>
          </w:divBdr>
          <w:divsChild>
            <w:div w:id="1225992030">
              <w:marLeft w:val="0"/>
              <w:marRight w:val="0"/>
              <w:marTop w:val="0"/>
              <w:marBottom w:val="0"/>
              <w:divBdr>
                <w:top w:val="none" w:sz="0" w:space="0" w:color="auto"/>
                <w:left w:val="none" w:sz="0" w:space="0" w:color="auto"/>
                <w:bottom w:val="none" w:sz="0" w:space="0" w:color="auto"/>
                <w:right w:val="none" w:sz="0" w:space="0" w:color="auto"/>
              </w:divBdr>
              <w:divsChild>
                <w:div w:id="3580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2384">
      <w:bodyDiv w:val="1"/>
      <w:marLeft w:val="0"/>
      <w:marRight w:val="0"/>
      <w:marTop w:val="0"/>
      <w:marBottom w:val="0"/>
      <w:divBdr>
        <w:top w:val="none" w:sz="0" w:space="0" w:color="auto"/>
        <w:left w:val="none" w:sz="0" w:space="0" w:color="auto"/>
        <w:bottom w:val="none" w:sz="0" w:space="0" w:color="auto"/>
        <w:right w:val="none" w:sz="0" w:space="0" w:color="auto"/>
      </w:divBdr>
      <w:divsChild>
        <w:div w:id="1081833653">
          <w:marLeft w:val="0"/>
          <w:marRight w:val="0"/>
          <w:marTop w:val="0"/>
          <w:marBottom w:val="0"/>
          <w:divBdr>
            <w:top w:val="none" w:sz="0" w:space="0" w:color="auto"/>
            <w:left w:val="none" w:sz="0" w:space="0" w:color="auto"/>
            <w:bottom w:val="none" w:sz="0" w:space="0" w:color="auto"/>
            <w:right w:val="none" w:sz="0" w:space="0" w:color="auto"/>
          </w:divBdr>
          <w:divsChild>
            <w:div w:id="1430926298">
              <w:marLeft w:val="0"/>
              <w:marRight w:val="0"/>
              <w:marTop w:val="0"/>
              <w:marBottom w:val="0"/>
              <w:divBdr>
                <w:top w:val="none" w:sz="0" w:space="0" w:color="auto"/>
                <w:left w:val="none" w:sz="0" w:space="0" w:color="auto"/>
                <w:bottom w:val="none" w:sz="0" w:space="0" w:color="auto"/>
                <w:right w:val="none" w:sz="0" w:space="0" w:color="auto"/>
              </w:divBdr>
              <w:divsChild>
                <w:div w:id="9565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7751">
      <w:bodyDiv w:val="1"/>
      <w:marLeft w:val="0"/>
      <w:marRight w:val="0"/>
      <w:marTop w:val="0"/>
      <w:marBottom w:val="0"/>
      <w:divBdr>
        <w:top w:val="none" w:sz="0" w:space="0" w:color="auto"/>
        <w:left w:val="none" w:sz="0" w:space="0" w:color="auto"/>
        <w:bottom w:val="none" w:sz="0" w:space="0" w:color="auto"/>
        <w:right w:val="none" w:sz="0" w:space="0" w:color="auto"/>
      </w:divBdr>
    </w:div>
    <w:div w:id="2033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180_es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75B9-CEFA-4996-BA37-569008B6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14077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2015-12-15T18:08:00Z</cp:lastPrinted>
  <dcterms:created xsi:type="dcterms:W3CDTF">2015-12-19T00:39:00Z</dcterms:created>
  <dcterms:modified xsi:type="dcterms:W3CDTF">2015-12-19T00:39:00Z</dcterms:modified>
</cp:coreProperties>
</file>