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F0400" w14:textId="04C4C07B" w:rsidR="00C1515A" w:rsidRDefault="00C1515A" w:rsidP="0031420C">
      <w:pPr>
        <w:jc w:val="center"/>
        <w:rPr>
          <w:rFonts w:ascii="Verdana" w:hAnsi="Verdana"/>
          <w:b/>
          <w:color w:val="00B050"/>
          <w:sz w:val="16"/>
          <w:szCs w:val="16"/>
          <w:lang w:val="es-CR"/>
        </w:rPr>
      </w:pPr>
      <w:bookmarkStart w:id="0" w:name="_GoBack"/>
      <w:bookmarkEnd w:id="0"/>
    </w:p>
    <w:p w14:paraId="1578CB52" w14:textId="77777777" w:rsidR="00080B9F" w:rsidRDefault="00080B9F" w:rsidP="0031420C">
      <w:pPr>
        <w:jc w:val="center"/>
        <w:rPr>
          <w:rFonts w:ascii="Verdana" w:hAnsi="Verdana"/>
          <w:b/>
          <w:color w:val="00B050"/>
          <w:sz w:val="16"/>
          <w:szCs w:val="16"/>
          <w:lang w:val="es-CR"/>
        </w:rPr>
      </w:pPr>
    </w:p>
    <w:p w14:paraId="561CC867" w14:textId="77777777" w:rsidR="00080B9F" w:rsidRDefault="00080B9F" w:rsidP="0031420C">
      <w:pPr>
        <w:jc w:val="center"/>
        <w:rPr>
          <w:rFonts w:ascii="Verdana" w:hAnsi="Verdana"/>
          <w:b/>
          <w:color w:val="00B050"/>
          <w:sz w:val="16"/>
          <w:szCs w:val="16"/>
          <w:lang w:val="es-CR"/>
        </w:rPr>
      </w:pPr>
    </w:p>
    <w:p w14:paraId="2940F96D" w14:textId="77777777" w:rsidR="00080B9F" w:rsidRDefault="00080B9F" w:rsidP="0031420C">
      <w:pPr>
        <w:jc w:val="center"/>
        <w:rPr>
          <w:rFonts w:ascii="Verdana" w:hAnsi="Verdana"/>
          <w:b/>
          <w:color w:val="00B050"/>
          <w:sz w:val="16"/>
          <w:szCs w:val="16"/>
          <w:lang w:val="es-CR"/>
        </w:rPr>
      </w:pPr>
    </w:p>
    <w:p w14:paraId="3CAD948D" w14:textId="77777777" w:rsidR="00080B9F" w:rsidRDefault="00080B9F" w:rsidP="0031420C">
      <w:pPr>
        <w:jc w:val="center"/>
        <w:rPr>
          <w:rFonts w:ascii="Verdana" w:hAnsi="Verdana"/>
          <w:b/>
          <w:color w:val="00B050"/>
          <w:sz w:val="16"/>
          <w:szCs w:val="16"/>
          <w:lang w:val="es-CR"/>
        </w:rPr>
      </w:pPr>
    </w:p>
    <w:p w14:paraId="6A28C9C6" w14:textId="77777777" w:rsidR="00080B9F" w:rsidRDefault="00080B9F" w:rsidP="0031420C">
      <w:pPr>
        <w:jc w:val="center"/>
        <w:rPr>
          <w:rFonts w:ascii="Verdana" w:hAnsi="Verdana"/>
          <w:b/>
          <w:color w:val="00B050"/>
          <w:sz w:val="16"/>
          <w:szCs w:val="16"/>
          <w:lang w:val="es-CR"/>
        </w:rPr>
      </w:pPr>
    </w:p>
    <w:p w14:paraId="39D1A7FE" w14:textId="77777777" w:rsidR="00080B9F" w:rsidRPr="0031420C" w:rsidRDefault="00080B9F" w:rsidP="0031420C">
      <w:pPr>
        <w:jc w:val="center"/>
        <w:rPr>
          <w:rFonts w:ascii="Verdana" w:hAnsi="Verdana"/>
          <w:b/>
          <w:color w:val="00B050"/>
          <w:sz w:val="16"/>
          <w:szCs w:val="16"/>
          <w:lang w:val="es-CR"/>
        </w:rPr>
      </w:pPr>
    </w:p>
    <w:p w14:paraId="5579819D"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RESOLUCIÓN DE LA </w:t>
      </w:r>
    </w:p>
    <w:p w14:paraId="316E4990" w14:textId="77777777" w:rsidR="00C1515A" w:rsidRDefault="00C1515A" w:rsidP="00C1515A">
      <w:pPr>
        <w:spacing w:after="0" w:line="240" w:lineRule="auto"/>
        <w:jc w:val="center"/>
        <w:rPr>
          <w:rFonts w:ascii="Verdana" w:hAnsi="Verdana"/>
          <w:b/>
          <w:sz w:val="20"/>
          <w:szCs w:val="20"/>
          <w:lang w:val="es-CR"/>
        </w:rPr>
      </w:pPr>
    </w:p>
    <w:p w14:paraId="6F08F7DF" w14:textId="457D8AFB"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CORTE INTERAMERICANA DE DERECHOS HUMANOS</w:t>
      </w:r>
      <w:r w:rsidR="00080B9F" w:rsidRPr="00E9356D">
        <w:rPr>
          <w:rStyle w:val="FootnoteReference"/>
          <w:rFonts w:ascii="Verdana" w:hAnsi="Verdana"/>
          <w:b/>
          <w:sz w:val="20"/>
          <w:szCs w:val="20"/>
          <w:lang w:val="es-CR"/>
        </w:rPr>
        <w:footnoteReference w:customMarkFollows="1" w:id="1"/>
        <w:t>*</w:t>
      </w:r>
    </w:p>
    <w:p w14:paraId="461A08B1" w14:textId="77777777" w:rsidR="00C1515A" w:rsidRDefault="00C1515A" w:rsidP="00C1515A">
      <w:pPr>
        <w:spacing w:after="0" w:line="240" w:lineRule="auto"/>
        <w:jc w:val="center"/>
        <w:rPr>
          <w:rFonts w:ascii="Verdana" w:hAnsi="Verdana"/>
          <w:b/>
          <w:sz w:val="20"/>
          <w:szCs w:val="20"/>
          <w:lang w:val="es-CR"/>
        </w:rPr>
      </w:pPr>
    </w:p>
    <w:p w14:paraId="6FCC50AE" w14:textId="6CEF74A0"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DE </w:t>
      </w:r>
      <w:r w:rsidR="00520F22">
        <w:rPr>
          <w:rFonts w:ascii="Verdana" w:hAnsi="Verdana"/>
          <w:b/>
          <w:sz w:val="20"/>
          <w:szCs w:val="20"/>
          <w:lang w:val="es-CR"/>
        </w:rPr>
        <w:t>30</w:t>
      </w:r>
      <w:r>
        <w:rPr>
          <w:rFonts w:ascii="Verdana" w:hAnsi="Verdana"/>
          <w:b/>
          <w:sz w:val="20"/>
          <w:szCs w:val="20"/>
          <w:lang w:val="es-CR"/>
        </w:rPr>
        <w:t xml:space="preserve"> DE </w:t>
      </w:r>
      <w:r w:rsidR="003D542B">
        <w:rPr>
          <w:rFonts w:ascii="Verdana" w:hAnsi="Verdana"/>
          <w:b/>
          <w:sz w:val="20"/>
          <w:szCs w:val="20"/>
          <w:lang w:val="es-CR"/>
        </w:rPr>
        <w:t>MAYO</w:t>
      </w:r>
      <w:r>
        <w:rPr>
          <w:rFonts w:ascii="Verdana" w:hAnsi="Verdana"/>
          <w:b/>
          <w:sz w:val="20"/>
          <w:szCs w:val="20"/>
          <w:lang w:val="es-CR"/>
        </w:rPr>
        <w:t xml:space="preserve"> DE 2018</w:t>
      </w:r>
    </w:p>
    <w:p w14:paraId="0C401003" w14:textId="77777777" w:rsidR="00C1515A" w:rsidRDefault="00C1515A" w:rsidP="00C1515A">
      <w:pPr>
        <w:spacing w:after="0" w:line="240" w:lineRule="auto"/>
        <w:jc w:val="center"/>
        <w:rPr>
          <w:rFonts w:ascii="Verdana" w:hAnsi="Verdana"/>
          <w:b/>
          <w:sz w:val="20"/>
          <w:szCs w:val="20"/>
          <w:lang w:val="es-CR"/>
        </w:rPr>
      </w:pPr>
    </w:p>
    <w:p w14:paraId="10B2ECAE"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 xml:space="preserve">CASO </w:t>
      </w:r>
      <w:r w:rsidR="001A189E">
        <w:rPr>
          <w:rFonts w:ascii="Verdana" w:hAnsi="Verdana"/>
          <w:b/>
          <w:sz w:val="20"/>
          <w:szCs w:val="20"/>
          <w:lang w:val="es-CR"/>
        </w:rPr>
        <w:t>ZEGARRA MARÍN</w:t>
      </w:r>
      <w:r>
        <w:rPr>
          <w:rFonts w:ascii="Verdana" w:hAnsi="Verdana"/>
          <w:b/>
          <w:sz w:val="20"/>
          <w:szCs w:val="20"/>
          <w:lang w:val="es-CR"/>
        </w:rPr>
        <w:t xml:space="preserve"> VS. </w:t>
      </w:r>
      <w:r w:rsidR="001A189E">
        <w:rPr>
          <w:rFonts w:ascii="Verdana" w:hAnsi="Verdana"/>
          <w:b/>
          <w:sz w:val="20"/>
          <w:szCs w:val="20"/>
          <w:lang w:val="es-CR"/>
        </w:rPr>
        <w:t>PERÚ</w:t>
      </w:r>
    </w:p>
    <w:p w14:paraId="3B2E7B6B" w14:textId="77777777" w:rsidR="00C1515A" w:rsidRDefault="00C1515A" w:rsidP="00C1515A">
      <w:pPr>
        <w:spacing w:after="0" w:line="240" w:lineRule="auto"/>
        <w:jc w:val="center"/>
        <w:rPr>
          <w:rFonts w:ascii="Verdana" w:hAnsi="Verdana"/>
          <w:b/>
          <w:sz w:val="20"/>
          <w:szCs w:val="20"/>
          <w:lang w:val="es-CR"/>
        </w:rPr>
      </w:pPr>
    </w:p>
    <w:p w14:paraId="01419828" w14:textId="77777777" w:rsidR="00C1515A" w:rsidRDefault="00C1515A" w:rsidP="00C1515A">
      <w:pPr>
        <w:spacing w:after="0" w:line="240" w:lineRule="auto"/>
        <w:jc w:val="center"/>
        <w:rPr>
          <w:rFonts w:ascii="Verdana" w:hAnsi="Verdana"/>
          <w:b/>
          <w:sz w:val="20"/>
          <w:szCs w:val="20"/>
          <w:lang w:val="es-CR"/>
        </w:rPr>
      </w:pPr>
      <w:r>
        <w:rPr>
          <w:rFonts w:ascii="Verdana" w:hAnsi="Verdana"/>
          <w:b/>
          <w:sz w:val="20"/>
          <w:szCs w:val="20"/>
          <w:lang w:val="es-CR"/>
        </w:rPr>
        <w:t>SUPERVISIÓN DE CUMPLIMIENTO DE SENTENCIA</w:t>
      </w:r>
    </w:p>
    <w:p w14:paraId="4C76F9AB" w14:textId="77777777" w:rsidR="00C1515A" w:rsidRDefault="00C1515A" w:rsidP="00C1515A">
      <w:pPr>
        <w:spacing w:after="0" w:line="240" w:lineRule="auto"/>
        <w:rPr>
          <w:rFonts w:ascii="Verdana" w:hAnsi="Verdana"/>
          <w:b/>
          <w:sz w:val="20"/>
          <w:szCs w:val="20"/>
          <w:lang w:val="es-CR"/>
        </w:rPr>
      </w:pPr>
    </w:p>
    <w:p w14:paraId="0B54E560" w14:textId="77777777" w:rsidR="00C1515A" w:rsidRDefault="00C1515A" w:rsidP="00C1515A">
      <w:pPr>
        <w:spacing w:after="0" w:line="240" w:lineRule="auto"/>
        <w:rPr>
          <w:rFonts w:ascii="Verdana" w:hAnsi="Verdana"/>
          <w:b/>
          <w:sz w:val="20"/>
          <w:szCs w:val="20"/>
          <w:lang w:val="es-CR"/>
        </w:rPr>
      </w:pPr>
      <w:r>
        <w:rPr>
          <w:rFonts w:ascii="Verdana" w:hAnsi="Verdana"/>
          <w:b/>
          <w:sz w:val="20"/>
          <w:szCs w:val="20"/>
          <w:lang w:val="es-CR"/>
        </w:rPr>
        <w:t xml:space="preserve">VISTO: </w:t>
      </w:r>
    </w:p>
    <w:p w14:paraId="52F0410E" w14:textId="77777777" w:rsidR="00C1515A" w:rsidRDefault="00C1515A" w:rsidP="00C1515A">
      <w:pPr>
        <w:spacing w:after="0" w:line="240" w:lineRule="auto"/>
        <w:rPr>
          <w:rFonts w:ascii="Verdana" w:hAnsi="Verdana"/>
          <w:sz w:val="20"/>
          <w:szCs w:val="20"/>
          <w:lang w:val="es-CR"/>
        </w:rPr>
      </w:pPr>
    </w:p>
    <w:p w14:paraId="65FCA43B" w14:textId="57CE1701" w:rsidR="00C1515A" w:rsidRDefault="00C1515A" w:rsidP="00C1515A">
      <w:pPr>
        <w:pStyle w:val="ListParagraph"/>
        <w:numPr>
          <w:ilvl w:val="0"/>
          <w:numId w:val="1"/>
        </w:numPr>
        <w:spacing w:after="0" w:line="240" w:lineRule="auto"/>
        <w:ind w:left="0" w:firstLine="0"/>
        <w:jc w:val="both"/>
        <w:rPr>
          <w:rFonts w:ascii="Verdana" w:hAnsi="Verdana"/>
          <w:sz w:val="20"/>
          <w:szCs w:val="20"/>
          <w:lang w:val="es-CR"/>
        </w:rPr>
      </w:pPr>
      <w:bookmarkStart w:id="1" w:name="_Ref514413502"/>
      <w:r w:rsidRPr="00C1515A">
        <w:rPr>
          <w:rFonts w:ascii="Verdana" w:hAnsi="Verdana"/>
          <w:sz w:val="20"/>
          <w:szCs w:val="20"/>
          <w:lang w:val="es-CR"/>
        </w:rPr>
        <w:t xml:space="preserve">La Sentencia de </w:t>
      </w:r>
      <w:r w:rsidR="001A7693">
        <w:rPr>
          <w:rFonts w:ascii="Verdana" w:hAnsi="Verdana"/>
          <w:sz w:val="20"/>
          <w:szCs w:val="20"/>
          <w:lang w:val="es-CR"/>
        </w:rPr>
        <w:t xml:space="preserve">excepciones preliminares, </w:t>
      </w:r>
      <w:r w:rsidRPr="00C1515A">
        <w:rPr>
          <w:rFonts w:ascii="Verdana" w:hAnsi="Verdana"/>
          <w:sz w:val="20"/>
          <w:szCs w:val="20"/>
          <w:lang w:val="es-CR"/>
        </w:rPr>
        <w:t xml:space="preserve">fondo, reparaciones y costas (en adelante “la Sentencia”) dictada por la Corte Interamericana de Derechos Humanos (en adelante “la Corte Interamericana”, </w:t>
      </w:r>
      <w:r w:rsidR="001A7693">
        <w:rPr>
          <w:rFonts w:ascii="Verdana" w:hAnsi="Verdana"/>
          <w:sz w:val="20"/>
          <w:szCs w:val="20"/>
          <w:lang w:val="es-CR"/>
        </w:rPr>
        <w:t>“la Corte” o “el Tribunal”) el 1</w:t>
      </w:r>
      <w:r w:rsidRPr="00C1515A">
        <w:rPr>
          <w:rFonts w:ascii="Verdana" w:hAnsi="Verdana"/>
          <w:sz w:val="20"/>
          <w:szCs w:val="20"/>
          <w:lang w:val="es-CR"/>
        </w:rPr>
        <w:t xml:space="preserve">5 de </w:t>
      </w:r>
      <w:r w:rsidR="001A7693">
        <w:rPr>
          <w:rFonts w:ascii="Verdana" w:hAnsi="Verdana"/>
          <w:sz w:val="20"/>
          <w:szCs w:val="20"/>
          <w:lang w:val="es-CR"/>
        </w:rPr>
        <w:t>febrero</w:t>
      </w:r>
      <w:r w:rsidRPr="00C1515A">
        <w:rPr>
          <w:rFonts w:ascii="Verdana" w:hAnsi="Verdana"/>
          <w:sz w:val="20"/>
          <w:szCs w:val="20"/>
          <w:lang w:val="es-CR"/>
        </w:rPr>
        <w:t xml:space="preserve"> de 201</w:t>
      </w:r>
      <w:r w:rsidR="001A7693">
        <w:rPr>
          <w:rFonts w:ascii="Verdana" w:hAnsi="Verdana"/>
          <w:sz w:val="20"/>
          <w:szCs w:val="20"/>
          <w:lang w:val="es-CR"/>
        </w:rPr>
        <w:t>7</w:t>
      </w:r>
      <w:r>
        <w:rPr>
          <w:rStyle w:val="FootnoteReference"/>
          <w:rFonts w:ascii="Verdana" w:hAnsi="Verdana"/>
          <w:sz w:val="20"/>
          <w:szCs w:val="20"/>
          <w:lang w:val="es-CR"/>
        </w:rPr>
        <w:footnoteReference w:id="2"/>
      </w:r>
      <w:r w:rsidR="0020718E">
        <w:rPr>
          <w:rFonts w:ascii="Verdana" w:hAnsi="Verdana"/>
          <w:sz w:val="20"/>
          <w:szCs w:val="20"/>
          <w:lang w:val="es-CR"/>
        </w:rPr>
        <w:t xml:space="preserve"> y la Sentencia de interpretación </w:t>
      </w:r>
      <w:r w:rsidR="00FE3EDC">
        <w:rPr>
          <w:rFonts w:ascii="Verdana" w:hAnsi="Verdana"/>
          <w:sz w:val="20"/>
          <w:szCs w:val="20"/>
          <w:lang w:val="es-CR"/>
        </w:rPr>
        <w:t xml:space="preserve">de dicha Sentencia </w:t>
      </w:r>
      <w:r w:rsidR="0020718E">
        <w:rPr>
          <w:rFonts w:ascii="Verdana" w:hAnsi="Verdana"/>
          <w:sz w:val="20"/>
          <w:szCs w:val="20"/>
          <w:lang w:val="es-CR"/>
        </w:rPr>
        <w:t>emitida el 8 de febrero de 2018</w:t>
      </w:r>
      <w:r w:rsidR="0020718E">
        <w:rPr>
          <w:rStyle w:val="FootnoteReference"/>
          <w:rFonts w:ascii="Verdana" w:hAnsi="Verdana"/>
          <w:sz w:val="20"/>
          <w:szCs w:val="20"/>
          <w:lang w:val="es-CR"/>
        </w:rPr>
        <w:footnoteReference w:id="3"/>
      </w:r>
      <w:r w:rsidRPr="00C1515A">
        <w:rPr>
          <w:rFonts w:ascii="Verdana" w:hAnsi="Verdana"/>
          <w:sz w:val="20"/>
          <w:szCs w:val="20"/>
          <w:lang w:val="es-CR"/>
        </w:rPr>
        <w:t xml:space="preserve">. El caso se refirió a </w:t>
      </w:r>
      <w:r w:rsidR="004026A9">
        <w:rPr>
          <w:rFonts w:ascii="Verdana" w:hAnsi="Verdana"/>
          <w:sz w:val="20"/>
          <w:szCs w:val="20"/>
          <w:lang w:val="es-CR"/>
        </w:rPr>
        <w:t>la violación del debido proceso judicial por parte del Estado de</w:t>
      </w:r>
      <w:r w:rsidR="00F204E6">
        <w:rPr>
          <w:rFonts w:ascii="Verdana" w:hAnsi="Verdana"/>
          <w:sz w:val="20"/>
          <w:szCs w:val="20"/>
          <w:lang w:val="es-CR"/>
        </w:rPr>
        <w:t>l</w:t>
      </w:r>
      <w:r w:rsidR="004026A9">
        <w:rPr>
          <w:rFonts w:ascii="Verdana" w:hAnsi="Verdana"/>
          <w:sz w:val="20"/>
          <w:szCs w:val="20"/>
          <w:lang w:val="es-CR"/>
        </w:rPr>
        <w:t xml:space="preserve"> Perú (en adelante “el Estado” o “Perú”) en perjuicio del señor Agustín Zegarra Marín. La Corte consideró que </w:t>
      </w:r>
      <w:r w:rsidR="007B722B">
        <w:rPr>
          <w:rFonts w:ascii="Verdana" w:hAnsi="Verdana"/>
          <w:sz w:val="20"/>
          <w:szCs w:val="20"/>
          <w:lang w:val="es-CR"/>
        </w:rPr>
        <w:t xml:space="preserve">en el proceso penal seguido contra el </w:t>
      </w:r>
      <w:r w:rsidR="004026A9">
        <w:rPr>
          <w:rFonts w:ascii="Verdana" w:hAnsi="Verdana"/>
          <w:sz w:val="20"/>
          <w:szCs w:val="20"/>
          <w:lang w:val="es-CR"/>
        </w:rPr>
        <w:t xml:space="preserve">señor Zegarra Marín no se había respetado </w:t>
      </w:r>
      <w:r w:rsidR="007B722B">
        <w:rPr>
          <w:rFonts w:ascii="Verdana" w:hAnsi="Verdana"/>
          <w:sz w:val="20"/>
          <w:szCs w:val="20"/>
          <w:lang w:val="es-CR"/>
        </w:rPr>
        <w:t xml:space="preserve">el principio de presunción de inocencia </w:t>
      </w:r>
      <w:r w:rsidR="00003FF3">
        <w:rPr>
          <w:rFonts w:ascii="Verdana" w:hAnsi="Verdana"/>
          <w:sz w:val="20"/>
          <w:szCs w:val="20"/>
          <w:lang w:val="es-CR"/>
        </w:rPr>
        <w:t xml:space="preserve">ya </w:t>
      </w:r>
      <w:r w:rsidR="004026A9">
        <w:rPr>
          <w:rFonts w:ascii="Verdana" w:hAnsi="Verdana"/>
          <w:sz w:val="20"/>
          <w:szCs w:val="20"/>
          <w:lang w:val="es-CR"/>
        </w:rPr>
        <w:t xml:space="preserve">que la Quinta Sala Penal de </w:t>
      </w:r>
      <w:r w:rsidR="00E46FC1">
        <w:rPr>
          <w:rFonts w:ascii="Verdana" w:hAnsi="Verdana"/>
          <w:sz w:val="20"/>
          <w:szCs w:val="20"/>
          <w:lang w:val="es-CR"/>
        </w:rPr>
        <w:t xml:space="preserve">la Corte Suprema de Justicia de </w:t>
      </w:r>
      <w:r w:rsidR="004026A9">
        <w:rPr>
          <w:rFonts w:ascii="Verdana" w:hAnsi="Verdana"/>
          <w:sz w:val="20"/>
          <w:szCs w:val="20"/>
          <w:lang w:val="es-CR"/>
        </w:rPr>
        <w:t>Perú</w:t>
      </w:r>
      <w:r w:rsidR="00003FF3">
        <w:rPr>
          <w:rFonts w:ascii="Verdana" w:hAnsi="Verdana"/>
          <w:sz w:val="20"/>
          <w:szCs w:val="20"/>
          <w:lang w:val="es-CR"/>
        </w:rPr>
        <w:t>, en su decisión de 8 de noviembre de 1996,</w:t>
      </w:r>
      <w:r w:rsidR="00315C72">
        <w:rPr>
          <w:rFonts w:ascii="Verdana" w:hAnsi="Verdana"/>
          <w:sz w:val="20"/>
          <w:szCs w:val="20"/>
          <w:lang w:val="es-CR"/>
        </w:rPr>
        <w:t xml:space="preserve"> mediante la cual se condenó a la víctima por delitos contra la administración de justicia, contra la fe pública y corrupción de funcionarios,</w:t>
      </w:r>
      <w:r w:rsidR="004026A9">
        <w:rPr>
          <w:rFonts w:ascii="Verdana" w:hAnsi="Verdana"/>
          <w:sz w:val="20"/>
          <w:szCs w:val="20"/>
          <w:lang w:val="es-CR"/>
        </w:rPr>
        <w:t xml:space="preserve"> </w:t>
      </w:r>
      <w:r w:rsidR="00BD75D1">
        <w:rPr>
          <w:rFonts w:ascii="Verdana" w:hAnsi="Verdana"/>
          <w:sz w:val="20"/>
          <w:szCs w:val="20"/>
          <w:lang w:val="es-CR"/>
        </w:rPr>
        <w:t>no valoró</w:t>
      </w:r>
      <w:r w:rsidR="004026A9">
        <w:rPr>
          <w:rFonts w:ascii="Verdana" w:hAnsi="Verdana"/>
          <w:sz w:val="20"/>
          <w:szCs w:val="20"/>
          <w:lang w:val="es-CR"/>
        </w:rPr>
        <w:t xml:space="preserve"> racional y objetivamente las pruebas de cargo y descargo, y las pruebas de oficio, así como </w:t>
      </w:r>
      <w:r w:rsidR="00BD75D1">
        <w:rPr>
          <w:rFonts w:ascii="Verdana" w:hAnsi="Verdana"/>
          <w:sz w:val="20"/>
          <w:szCs w:val="20"/>
          <w:lang w:val="es-CR"/>
        </w:rPr>
        <w:t>desvirtuó</w:t>
      </w:r>
      <w:r w:rsidR="004026A9">
        <w:rPr>
          <w:rFonts w:ascii="Verdana" w:hAnsi="Verdana"/>
          <w:sz w:val="20"/>
          <w:szCs w:val="20"/>
          <w:lang w:val="es-CR"/>
        </w:rPr>
        <w:t xml:space="preserve"> la hipótesis de inocencia que surgiera a partir de dichas pruebas para determinar la responsabilidad penal. Asimismo, el Tribunal constató que la sentencia condenatoria del señor Agustín Zegarra Marín careció de una debida motivación</w:t>
      </w:r>
      <w:r w:rsidR="00003FF3">
        <w:rPr>
          <w:rFonts w:ascii="Verdana" w:hAnsi="Verdana"/>
          <w:sz w:val="20"/>
          <w:szCs w:val="20"/>
          <w:lang w:val="es-CR"/>
        </w:rPr>
        <w:t xml:space="preserve">, lo cual </w:t>
      </w:r>
      <w:r w:rsidR="00397610">
        <w:rPr>
          <w:rFonts w:ascii="Verdana" w:hAnsi="Verdana"/>
          <w:sz w:val="20"/>
          <w:szCs w:val="20"/>
          <w:lang w:val="es-CR"/>
        </w:rPr>
        <w:t xml:space="preserve">tuvo un impacto directo en el ejercicio de los derechos a la defensa y a recurrir el fallo. En virtud de ello, la Corte determinó que el Estado </w:t>
      </w:r>
      <w:r w:rsidR="00003FF3">
        <w:rPr>
          <w:rFonts w:ascii="Verdana" w:hAnsi="Verdana"/>
          <w:sz w:val="20"/>
          <w:szCs w:val="20"/>
          <w:lang w:val="es-CR"/>
        </w:rPr>
        <w:t>violó</w:t>
      </w:r>
      <w:r w:rsidR="00397610">
        <w:rPr>
          <w:rFonts w:ascii="Verdana" w:hAnsi="Verdana"/>
          <w:sz w:val="20"/>
          <w:szCs w:val="20"/>
          <w:lang w:val="es-CR"/>
        </w:rPr>
        <w:t xml:space="preserve"> el principio de presunción de inocencia del señor Zegarra Marín y no garantizó la motivación del fallo. Finalmente, el Tribunal concluyó que el Estado violó el derecho a recurrir el fallo ante juez o tribunal superior, por cuanto la Primera Sala Penal Transitoria resolvió el recurso de nulidad </w:t>
      </w:r>
      <w:r w:rsidR="00397610">
        <w:rPr>
          <w:rFonts w:ascii="Verdana" w:hAnsi="Verdana"/>
          <w:sz w:val="20"/>
          <w:szCs w:val="20"/>
          <w:lang w:val="es-CR"/>
        </w:rPr>
        <w:lastRenderedPageBreak/>
        <w:t xml:space="preserve">planteado por el señor Zegarra Marín sin pronunciarse sobre los argumentos principales presentados por éste, no garantizándose una revisión integral de la sentencia condenatoria por lo que </w:t>
      </w:r>
      <w:r w:rsidR="00E46FC1">
        <w:rPr>
          <w:rFonts w:ascii="Verdana" w:hAnsi="Verdana"/>
          <w:sz w:val="20"/>
          <w:szCs w:val="20"/>
          <w:lang w:val="es-CR"/>
        </w:rPr>
        <w:t xml:space="preserve">el recurso </w:t>
      </w:r>
      <w:r w:rsidR="00397610">
        <w:rPr>
          <w:rFonts w:ascii="Verdana" w:hAnsi="Verdana"/>
          <w:sz w:val="20"/>
          <w:szCs w:val="20"/>
          <w:lang w:val="es-CR"/>
        </w:rPr>
        <w:t xml:space="preserve">careció de eficacia. </w:t>
      </w:r>
      <w:r w:rsidRPr="00C1515A">
        <w:rPr>
          <w:rFonts w:ascii="Verdana" w:hAnsi="Verdana"/>
          <w:sz w:val="20"/>
          <w:szCs w:val="20"/>
          <w:lang w:val="es-CR"/>
        </w:rPr>
        <w:t>El Tribunal estableció que su Sentencia constituye por sí misma una forma de reparación y, adicionalmente, ordenó al Estado determinadas medidas de reparación (</w:t>
      </w:r>
      <w:r w:rsidRPr="00397610">
        <w:rPr>
          <w:rFonts w:ascii="Verdana" w:hAnsi="Verdana"/>
          <w:i/>
          <w:sz w:val="20"/>
          <w:szCs w:val="20"/>
          <w:lang w:val="es-CR"/>
        </w:rPr>
        <w:t>infra</w:t>
      </w:r>
      <w:r w:rsidRPr="00C1515A">
        <w:rPr>
          <w:rFonts w:ascii="Verdana" w:hAnsi="Verdana"/>
          <w:sz w:val="20"/>
          <w:szCs w:val="20"/>
          <w:lang w:val="es-CR"/>
        </w:rPr>
        <w:t xml:space="preserve"> Considerando </w:t>
      </w:r>
      <w:r w:rsidR="00E46FC1">
        <w:rPr>
          <w:rFonts w:ascii="Verdana" w:hAnsi="Verdana"/>
          <w:sz w:val="20"/>
          <w:szCs w:val="20"/>
          <w:lang w:val="es-CR"/>
        </w:rPr>
        <w:fldChar w:fldCharType="begin"/>
      </w:r>
      <w:r w:rsidR="00E46FC1">
        <w:rPr>
          <w:rFonts w:ascii="Verdana" w:hAnsi="Verdana"/>
          <w:sz w:val="20"/>
          <w:szCs w:val="20"/>
          <w:lang w:val="es-CR"/>
        </w:rPr>
        <w:instrText xml:space="preserve"> REF _Ref514413225 \r \h </w:instrText>
      </w:r>
      <w:r w:rsidR="00E46FC1">
        <w:rPr>
          <w:rFonts w:ascii="Verdana" w:hAnsi="Verdana"/>
          <w:sz w:val="20"/>
          <w:szCs w:val="20"/>
          <w:lang w:val="es-CR"/>
        </w:rPr>
      </w:r>
      <w:r w:rsidR="00E46FC1">
        <w:rPr>
          <w:rFonts w:ascii="Verdana" w:hAnsi="Verdana"/>
          <w:sz w:val="20"/>
          <w:szCs w:val="20"/>
          <w:lang w:val="es-CR"/>
        </w:rPr>
        <w:fldChar w:fldCharType="separate"/>
      </w:r>
      <w:r w:rsidR="00D876EC">
        <w:rPr>
          <w:rFonts w:ascii="Verdana" w:hAnsi="Verdana"/>
          <w:sz w:val="20"/>
          <w:szCs w:val="20"/>
          <w:lang w:val="es-CR"/>
        </w:rPr>
        <w:t>1</w:t>
      </w:r>
      <w:r w:rsidR="00E46FC1">
        <w:rPr>
          <w:rFonts w:ascii="Verdana" w:hAnsi="Verdana"/>
          <w:sz w:val="20"/>
          <w:szCs w:val="20"/>
          <w:lang w:val="es-CR"/>
        </w:rPr>
        <w:fldChar w:fldCharType="end"/>
      </w:r>
      <w:r w:rsidRPr="00C1515A">
        <w:rPr>
          <w:rFonts w:ascii="Verdana" w:hAnsi="Verdana"/>
          <w:sz w:val="20"/>
          <w:szCs w:val="20"/>
          <w:lang w:val="es-CR"/>
        </w:rPr>
        <w:t>)</w:t>
      </w:r>
      <w:r>
        <w:rPr>
          <w:rFonts w:ascii="Verdana" w:hAnsi="Verdana"/>
          <w:sz w:val="20"/>
          <w:szCs w:val="20"/>
          <w:lang w:val="es-CR"/>
        </w:rPr>
        <w:t>.</w:t>
      </w:r>
      <w:bookmarkEnd w:id="1"/>
    </w:p>
    <w:p w14:paraId="283545B9" w14:textId="77777777" w:rsidR="00E71CBC" w:rsidRDefault="00E71CBC" w:rsidP="00E71CBC">
      <w:pPr>
        <w:pStyle w:val="ListParagraph"/>
        <w:spacing w:after="0" w:line="240" w:lineRule="auto"/>
        <w:ind w:left="0"/>
        <w:jc w:val="both"/>
        <w:rPr>
          <w:rFonts w:ascii="Verdana" w:hAnsi="Verdana"/>
          <w:sz w:val="20"/>
          <w:szCs w:val="20"/>
          <w:lang w:val="es-CR"/>
        </w:rPr>
      </w:pPr>
    </w:p>
    <w:p w14:paraId="1EC09F54" w14:textId="70D61455" w:rsidR="008109D5" w:rsidRDefault="008109D5" w:rsidP="0031420C">
      <w:pPr>
        <w:pStyle w:val="ListParagraph"/>
        <w:numPr>
          <w:ilvl w:val="0"/>
          <w:numId w:val="1"/>
        </w:numPr>
        <w:spacing w:after="0" w:line="240" w:lineRule="auto"/>
        <w:ind w:left="0" w:firstLine="0"/>
        <w:jc w:val="both"/>
        <w:rPr>
          <w:rFonts w:ascii="Verdana" w:hAnsi="Verdana"/>
          <w:sz w:val="20"/>
          <w:szCs w:val="20"/>
          <w:lang w:val="es-CR"/>
        </w:rPr>
      </w:pPr>
      <w:r w:rsidRPr="00397610">
        <w:rPr>
          <w:rFonts w:ascii="Verdana" w:hAnsi="Verdana"/>
          <w:sz w:val="20"/>
          <w:szCs w:val="20"/>
          <w:lang w:val="es-CR"/>
        </w:rPr>
        <w:t xml:space="preserve">Los </w:t>
      </w:r>
      <w:r w:rsidR="00E46FC1">
        <w:rPr>
          <w:rFonts w:ascii="Verdana" w:hAnsi="Verdana"/>
          <w:sz w:val="20"/>
          <w:szCs w:val="20"/>
          <w:lang w:val="es-CR"/>
        </w:rPr>
        <w:t>tres</w:t>
      </w:r>
      <w:r w:rsidR="00E46FC1" w:rsidRPr="00397610">
        <w:rPr>
          <w:rFonts w:ascii="Verdana" w:hAnsi="Verdana"/>
          <w:sz w:val="20"/>
          <w:szCs w:val="20"/>
          <w:lang w:val="es-CR"/>
        </w:rPr>
        <w:t xml:space="preserve"> </w:t>
      </w:r>
      <w:r w:rsidRPr="00397610">
        <w:rPr>
          <w:rFonts w:ascii="Verdana" w:hAnsi="Verdana"/>
          <w:sz w:val="20"/>
          <w:szCs w:val="20"/>
          <w:lang w:val="es-CR"/>
        </w:rPr>
        <w:t>informes presentados por el Estado</w:t>
      </w:r>
      <w:r w:rsidR="00E46FC1">
        <w:rPr>
          <w:rFonts w:ascii="Verdana" w:hAnsi="Verdana"/>
          <w:sz w:val="20"/>
          <w:szCs w:val="20"/>
          <w:lang w:val="es-CR"/>
        </w:rPr>
        <w:t xml:space="preserve"> entre</w:t>
      </w:r>
      <w:r w:rsidR="0031420C">
        <w:rPr>
          <w:rFonts w:ascii="Verdana" w:hAnsi="Verdana"/>
          <w:sz w:val="20"/>
          <w:szCs w:val="20"/>
          <w:lang w:val="es-CR"/>
        </w:rPr>
        <w:t xml:space="preserve"> junio de 2017</w:t>
      </w:r>
      <w:r w:rsidR="00E46FC1">
        <w:rPr>
          <w:rFonts w:ascii="Verdana" w:hAnsi="Verdana"/>
          <w:sz w:val="20"/>
          <w:szCs w:val="20"/>
          <w:lang w:val="es-CR"/>
        </w:rPr>
        <w:t xml:space="preserve"> y mayo de 2018</w:t>
      </w:r>
      <w:r w:rsidR="00E46FC1">
        <w:rPr>
          <w:rStyle w:val="FootnoteReference"/>
          <w:rFonts w:ascii="Verdana" w:hAnsi="Verdana"/>
          <w:sz w:val="20"/>
          <w:szCs w:val="20"/>
          <w:lang w:val="es-CR"/>
        </w:rPr>
        <w:footnoteReference w:id="4"/>
      </w:r>
      <w:r w:rsidR="0031420C">
        <w:rPr>
          <w:rFonts w:ascii="Verdana" w:hAnsi="Verdana"/>
          <w:sz w:val="20"/>
          <w:szCs w:val="20"/>
          <w:lang w:val="es-CR"/>
        </w:rPr>
        <w:t xml:space="preserve">, y las observaciones presentadas por </w:t>
      </w:r>
      <w:r w:rsidR="00F94BC4" w:rsidRPr="0031420C">
        <w:rPr>
          <w:rFonts w:ascii="Verdana" w:hAnsi="Verdana"/>
          <w:sz w:val="20"/>
          <w:szCs w:val="20"/>
          <w:lang w:val="es-CR"/>
        </w:rPr>
        <w:t>l</w:t>
      </w:r>
      <w:r w:rsidR="00626F0B" w:rsidRPr="0031420C">
        <w:rPr>
          <w:rFonts w:ascii="Verdana" w:hAnsi="Verdana"/>
          <w:sz w:val="20"/>
          <w:szCs w:val="20"/>
          <w:lang w:val="es-CR"/>
        </w:rPr>
        <w:t>a</w:t>
      </w:r>
      <w:r w:rsidR="00F94BC4" w:rsidRPr="0031420C">
        <w:rPr>
          <w:rFonts w:ascii="Verdana" w:hAnsi="Verdana"/>
          <w:sz w:val="20"/>
          <w:szCs w:val="20"/>
          <w:lang w:val="es-CR"/>
        </w:rPr>
        <w:t xml:space="preserve"> representante de la</w:t>
      </w:r>
      <w:r w:rsidR="00626F0B" w:rsidRPr="0031420C">
        <w:rPr>
          <w:rFonts w:ascii="Verdana" w:hAnsi="Verdana"/>
          <w:sz w:val="20"/>
          <w:szCs w:val="20"/>
          <w:lang w:val="es-CR"/>
        </w:rPr>
        <w:t xml:space="preserve"> víctima</w:t>
      </w:r>
      <w:r w:rsidR="002A750C">
        <w:rPr>
          <w:rStyle w:val="FootnoteReference"/>
          <w:rFonts w:ascii="Verdana" w:hAnsi="Verdana"/>
          <w:sz w:val="20"/>
          <w:szCs w:val="20"/>
          <w:lang w:val="es-CR"/>
        </w:rPr>
        <w:footnoteReference w:id="5"/>
      </w:r>
      <w:r w:rsidR="00F94BC4" w:rsidRPr="0031420C">
        <w:rPr>
          <w:rFonts w:ascii="Verdana" w:hAnsi="Verdana"/>
          <w:sz w:val="20"/>
          <w:szCs w:val="20"/>
          <w:lang w:val="es-CR"/>
        </w:rPr>
        <w:t xml:space="preserve"> (en adelante “l</w:t>
      </w:r>
      <w:r w:rsidR="00626F0B" w:rsidRPr="0031420C">
        <w:rPr>
          <w:rFonts w:ascii="Verdana" w:hAnsi="Verdana"/>
          <w:sz w:val="20"/>
          <w:szCs w:val="20"/>
          <w:lang w:val="es-CR"/>
        </w:rPr>
        <w:t>a</w:t>
      </w:r>
      <w:r w:rsidR="00F94BC4" w:rsidRPr="0031420C">
        <w:rPr>
          <w:rFonts w:ascii="Verdana" w:hAnsi="Verdana"/>
          <w:sz w:val="20"/>
          <w:szCs w:val="20"/>
          <w:lang w:val="es-CR"/>
        </w:rPr>
        <w:t xml:space="preserve"> representante”) </w:t>
      </w:r>
      <w:r w:rsidR="00397610" w:rsidRPr="0031420C">
        <w:rPr>
          <w:rFonts w:ascii="Verdana" w:hAnsi="Verdana"/>
          <w:sz w:val="20"/>
          <w:szCs w:val="20"/>
          <w:lang w:val="es-CR"/>
        </w:rPr>
        <w:t>el 4 de julio de 2017</w:t>
      </w:r>
      <w:r w:rsidR="0031420C">
        <w:rPr>
          <w:rFonts w:ascii="Verdana" w:hAnsi="Verdana"/>
          <w:sz w:val="20"/>
          <w:szCs w:val="20"/>
          <w:lang w:val="es-CR"/>
        </w:rPr>
        <w:t xml:space="preserve">, y </w:t>
      </w:r>
      <w:r w:rsidRPr="0031420C">
        <w:rPr>
          <w:rFonts w:ascii="Verdana" w:hAnsi="Verdana"/>
          <w:sz w:val="20"/>
          <w:szCs w:val="20"/>
          <w:lang w:val="es-CR"/>
        </w:rPr>
        <w:t xml:space="preserve">por la Comisión Interamericana de Derechos Humanos (en adelante “la Comisión Interamericana” o “la Comisión”) </w:t>
      </w:r>
      <w:r w:rsidR="0031716E" w:rsidRPr="0031420C">
        <w:rPr>
          <w:rFonts w:ascii="Verdana" w:hAnsi="Verdana"/>
          <w:sz w:val="20"/>
          <w:szCs w:val="20"/>
          <w:lang w:val="es-CR"/>
        </w:rPr>
        <w:t>el 3 de septiembre de 2017</w:t>
      </w:r>
      <w:r w:rsidRPr="0031420C">
        <w:rPr>
          <w:rFonts w:ascii="Verdana" w:hAnsi="Verdana"/>
          <w:sz w:val="20"/>
          <w:szCs w:val="20"/>
          <w:lang w:val="es-CR"/>
        </w:rPr>
        <w:t xml:space="preserve">. </w:t>
      </w:r>
    </w:p>
    <w:p w14:paraId="1BA83714" w14:textId="77777777" w:rsidR="002A1CD9" w:rsidRDefault="002A1CD9" w:rsidP="002A1CD9">
      <w:pPr>
        <w:pStyle w:val="ListParagraph"/>
        <w:spacing w:after="0" w:line="240" w:lineRule="auto"/>
        <w:ind w:left="0"/>
        <w:jc w:val="both"/>
        <w:rPr>
          <w:rFonts w:ascii="Verdana" w:hAnsi="Verdana"/>
          <w:sz w:val="20"/>
          <w:szCs w:val="20"/>
          <w:lang w:val="es-CR"/>
        </w:rPr>
      </w:pPr>
    </w:p>
    <w:p w14:paraId="1034A0C3" w14:textId="41520D13" w:rsidR="002A1CD9" w:rsidRDefault="002A1CD9" w:rsidP="002A1CD9">
      <w:pPr>
        <w:pStyle w:val="ListParagraph"/>
        <w:numPr>
          <w:ilvl w:val="0"/>
          <w:numId w:val="1"/>
        </w:numPr>
        <w:spacing w:after="0" w:line="240" w:lineRule="auto"/>
        <w:ind w:left="0" w:firstLine="0"/>
        <w:jc w:val="both"/>
        <w:rPr>
          <w:rFonts w:ascii="Verdana" w:hAnsi="Verdana"/>
          <w:sz w:val="20"/>
          <w:szCs w:val="20"/>
          <w:lang w:val="es-CR"/>
        </w:rPr>
      </w:pPr>
      <w:r>
        <w:rPr>
          <w:rFonts w:ascii="Verdana" w:hAnsi="Verdana"/>
          <w:sz w:val="20"/>
          <w:szCs w:val="20"/>
          <w:lang w:val="es-CR"/>
        </w:rPr>
        <w:t>L</w:t>
      </w:r>
      <w:r w:rsidRPr="002A1CD9">
        <w:rPr>
          <w:rFonts w:ascii="Verdana" w:hAnsi="Verdana"/>
          <w:sz w:val="20"/>
          <w:szCs w:val="20"/>
          <w:lang w:val="es-CR"/>
        </w:rPr>
        <w:t xml:space="preserve">a transferencia electrónica recibida el 14 de febrero de 2018, mediante la cual Perú realizó el reintegro al Fondo de Asistencia </w:t>
      </w:r>
      <w:r>
        <w:rPr>
          <w:rFonts w:ascii="Verdana" w:hAnsi="Verdana"/>
          <w:sz w:val="20"/>
          <w:szCs w:val="20"/>
          <w:lang w:val="es-CR"/>
        </w:rPr>
        <w:t>Legal de Víctimas de la Corte (en adelante “el Fondo de Asistencia”)</w:t>
      </w:r>
      <w:r w:rsidRPr="002A1CD9">
        <w:rPr>
          <w:rFonts w:ascii="Verdana" w:hAnsi="Verdana"/>
          <w:sz w:val="20"/>
          <w:szCs w:val="20"/>
          <w:lang w:val="es-CR"/>
        </w:rPr>
        <w:t xml:space="preserve"> (</w:t>
      </w:r>
      <w:r w:rsidRPr="002A1CD9">
        <w:rPr>
          <w:rFonts w:ascii="Verdana" w:hAnsi="Verdana"/>
          <w:i/>
          <w:sz w:val="20"/>
          <w:szCs w:val="20"/>
          <w:lang w:val="es-CR"/>
        </w:rPr>
        <w:t>infra</w:t>
      </w:r>
      <w:r w:rsidRPr="002A1CD9">
        <w:rPr>
          <w:rFonts w:ascii="Verdana" w:hAnsi="Verdana"/>
          <w:sz w:val="20"/>
          <w:szCs w:val="20"/>
          <w:lang w:val="es-CR"/>
        </w:rPr>
        <w:t xml:space="preserve"> Considerando </w:t>
      </w:r>
      <w:r w:rsidR="00BD75D1">
        <w:rPr>
          <w:rFonts w:ascii="Verdana" w:hAnsi="Verdana"/>
          <w:sz w:val="20"/>
          <w:szCs w:val="20"/>
          <w:lang w:val="es-CR"/>
        </w:rPr>
        <w:fldChar w:fldCharType="begin"/>
      </w:r>
      <w:r w:rsidR="00BD75D1">
        <w:rPr>
          <w:rFonts w:ascii="Verdana" w:hAnsi="Verdana"/>
          <w:sz w:val="20"/>
          <w:szCs w:val="20"/>
          <w:lang w:val="es-CR"/>
        </w:rPr>
        <w:instrText xml:space="preserve"> REF _Ref514417154 \r \h </w:instrText>
      </w:r>
      <w:r w:rsidR="00BD75D1">
        <w:rPr>
          <w:rFonts w:ascii="Verdana" w:hAnsi="Verdana"/>
          <w:sz w:val="20"/>
          <w:szCs w:val="20"/>
          <w:lang w:val="es-CR"/>
        </w:rPr>
      </w:r>
      <w:r w:rsidR="00BD75D1">
        <w:rPr>
          <w:rFonts w:ascii="Verdana" w:hAnsi="Verdana"/>
          <w:sz w:val="20"/>
          <w:szCs w:val="20"/>
          <w:lang w:val="es-CR"/>
        </w:rPr>
        <w:fldChar w:fldCharType="separate"/>
      </w:r>
      <w:r w:rsidR="00D876EC">
        <w:rPr>
          <w:rFonts w:ascii="Verdana" w:hAnsi="Verdana"/>
          <w:sz w:val="20"/>
          <w:szCs w:val="20"/>
          <w:lang w:val="es-CR"/>
        </w:rPr>
        <w:t>7</w:t>
      </w:r>
      <w:r w:rsidR="00BD75D1">
        <w:rPr>
          <w:rFonts w:ascii="Verdana" w:hAnsi="Verdana"/>
          <w:sz w:val="20"/>
          <w:szCs w:val="20"/>
          <w:lang w:val="es-CR"/>
        </w:rPr>
        <w:fldChar w:fldCharType="end"/>
      </w:r>
      <w:r w:rsidRPr="002A1CD9">
        <w:rPr>
          <w:rFonts w:ascii="Verdana" w:hAnsi="Verdana"/>
          <w:sz w:val="20"/>
          <w:szCs w:val="20"/>
          <w:lang w:val="es-CR"/>
        </w:rPr>
        <w:t xml:space="preserve">). </w:t>
      </w:r>
      <w:r w:rsidRPr="002A1CD9">
        <w:rPr>
          <w:rFonts w:ascii="Verdana" w:hAnsi="Verdana"/>
          <w:sz w:val="20"/>
          <w:szCs w:val="20"/>
          <w:lang w:val="es-CR"/>
        </w:rPr>
        <w:tab/>
      </w:r>
    </w:p>
    <w:p w14:paraId="0508E72D" w14:textId="77777777" w:rsidR="002A1CD9" w:rsidRPr="002A1CD9" w:rsidRDefault="002A1CD9" w:rsidP="002A1CD9">
      <w:pPr>
        <w:pStyle w:val="ListParagraph"/>
        <w:spacing w:after="0" w:line="240" w:lineRule="auto"/>
        <w:ind w:left="0"/>
        <w:jc w:val="both"/>
        <w:rPr>
          <w:rFonts w:ascii="Verdana" w:hAnsi="Verdana"/>
          <w:sz w:val="20"/>
          <w:szCs w:val="20"/>
          <w:lang w:val="es-CR"/>
        </w:rPr>
      </w:pPr>
    </w:p>
    <w:p w14:paraId="29008C3E" w14:textId="1823C664" w:rsidR="002A1CD9" w:rsidRPr="002A1CD9" w:rsidRDefault="002A1CD9" w:rsidP="002A1CD9">
      <w:pPr>
        <w:pStyle w:val="ListParagraph"/>
        <w:numPr>
          <w:ilvl w:val="0"/>
          <w:numId w:val="1"/>
        </w:numPr>
        <w:spacing w:after="0" w:line="240" w:lineRule="auto"/>
        <w:ind w:left="0" w:firstLine="0"/>
        <w:jc w:val="both"/>
        <w:rPr>
          <w:rFonts w:ascii="Verdana" w:hAnsi="Verdana"/>
          <w:sz w:val="20"/>
          <w:szCs w:val="20"/>
          <w:lang w:val="es-CR"/>
        </w:rPr>
      </w:pPr>
      <w:r w:rsidRPr="002A1CD9">
        <w:rPr>
          <w:rFonts w:ascii="Verdana" w:hAnsi="Verdana"/>
          <w:sz w:val="20"/>
          <w:szCs w:val="20"/>
          <w:lang w:val="es-CR"/>
        </w:rPr>
        <w:t>La nota de la Secretaría de la Corte de 16 de abril de 2018, mediante la cual se remitió al Estado el recibo del pago realizado mediante transferencia electrónica efectuada el 14 de febrero de 2018 respecto al reintegro al Fondo de Asistencia.</w:t>
      </w:r>
    </w:p>
    <w:p w14:paraId="5EAD1A2D" w14:textId="77777777" w:rsidR="00C15C7E" w:rsidRDefault="00C15C7E" w:rsidP="00C15C7E">
      <w:pPr>
        <w:spacing w:after="0" w:line="240" w:lineRule="auto"/>
        <w:jc w:val="both"/>
        <w:rPr>
          <w:rFonts w:ascii="Verdana" w:hAnsi="Verdana"/>
          <w:sz w:val="20"/>
          <w:szCs w:val="20"/>
          <w:lang w:val="es-CR"/>
        </w:rPr>
      </w:pPr>
    </w:p>
    <w:p w14:paraId="2CFA87D8" w14:textId="40B15107" w:rsidR="00BF4D0B" w:rsidRDefault="00C15C7E" w:rsidP="00C15C7E">
      <w:pPr>
        <w:spacing w:after="0" w:line="240" w:lineRule="auto"/>
        <w:jc w:val="both"/>
        <w:rPr>
          <w:rFonts w:ascii="Verdana" w:hAnsi="Verdana"/>
          <w:b/>
          <w:sz w:val="20"/>
          <w:szCs w:val="20"/>
          <w:lang w:val="es-CR"/>
        </w:rPr>
      </w:pPr>
      <w:r>
        <w:rPr>
          <w:rFonts w:ascii="Verdana" w:hAnsi="Verdana"/>
          <w:b/>
          <w:sz w:val="20"/>
          <w:szCs w:val="20"/>
          <w:lang w:val="es-CR"/>
        </w:rPr>
        <w:t>CONSIDERANDO QUE:</w:t>
      </w:r>
    </w:p>
    <w:p w14:paraId="6636130F" w14:textId="6856EDA3" w:rsidR="00C15C7E" w:rsidRPr="00315C72" w:rsidRDefault="00C15C7E" w:rsidP="00BF4D0B">
      <w:pPr>
        <w:spacing w:after="0" w:line="240" w:lineRule="auto"/>
        <w:jc w:val="both"/>
        <w:rPr>
          <w:rFonts w:ascii="Times" w:hAnsi="Times"/>
          <w:sz w:val="20"/>
          <w:szCs w:val="20"/>
        </w:rPr>
      </w:pPr>
    </w:p>
    <w:p w14:paraId="43861040" w14:textId="576075AB" w:rsidR="00226C10" w:rsidRDefault="00C15C7E" w:rsidP="00226C10">
      <w:pPr>
        <w:pStyle w:val="ListParagraph"/>
        <w:numPr>
          <w:ilvl w:val="0"/>
          <w:numId w:val="2"/>
        </w:numPr>
        <w:spacing w:after="0" w:line="240" w:lineRule="auto"/>
        <w:ind w:left="0" w:firstLine="0"/>
        <w:jc w:val="both"/>
        <w:rPr>
          <w:rFonts w:ascii="Verdana" w:hAnsi="Verdana"/>
          <w:sz w:val="20"/>
          <w:szCs w:val="20"/>
          <w:lang w:val="es-CR"/>
        </w:rPr>
      </w:pPr>
      <w:bookmarkStart w:id="2" w:name="_Ref514413225"/>
      <w:r w:rsidRPr="00C15C7E">
        <w:rPr>
          <w:rFonts w:ascii="Verdana" w:hAnsi="Verdana"/>
          <w:sz w:val="20"/>
          <w:szCs w:val="20"/>
          <w:lang w:val="es-CR"/>
        </w:rPr>
        <w:t>En el ejercicio de su función jurisdiccional de supervisar el cumplimiento de sus decisiones</w:t>
      </w:r>
      <w:r>
        <w:rPr>
          <w:rStyle w:val="FootnoteReference"/>
          <w:rFonts w:ascii="Verdana" w:hAnsi="Verdana"/>
          <w:sz w:val="20"/>
          <w:szCs w:val="20"/>
          <w:lang w:val="es-CR"/>
        </w:rPr>
        <w:footnoteReference w:id="6"/>
      </w:r>
      <w:r w:rsidRPr="00C15C7E">
        <w:rPr>
          <w:rFonts w:ascii="Verdana" w:hAnsi="Verdana"/>
          <w:sz w:val="20"/>
          <w:szCs w:val="20"/>
          <w:lang w:val="es-CR"/>
        </w:rPr>
        <w:t xml:space="preserve">, la Corte ha venido supervisando la ejecución de la Sentencia emitida en el presente caso </w:t>
      </w:r>
      <w:r w:rsidR="007B722B">
        <w:rPr>
          <w:rFonts w:ascii="Verdana" w:hAnsi="Verdana"/>
          <w:sz w:val="20"/>
          <w:szCs w:val="20"/>
          <w:lang w:val="es-CR"/>
        </w:rPr>
        <w:t>hace un</w:t>
      </w:r>
      <w:r w:rsidR="00626F0B">
        <w:rPr>
          <w:rFonts w:ascii="Verdana" w:hAnsi="Verdana"/>
          <w:sz w:val="20"/>
          <w:szCs w:val="20"/>
          <w:lang w:val="es-CR"/>
        </w:rPr>
        <w:t xml:space="preserve"> año</w:t>
      </w:r>
      <w:r w:rsidRPr="00C15C7E">
        <w:rPr>
          <w:rFonts w:ascii="Verdana" w:hAnsi="Verdana"/>
          <w:sz w:val="20"/>
          <w:szCs w:val="20"/>
          <w:lang w:val="es-CR"/>
        </w:rPr>
        <w:t xml:space="preserve"> (</w:t>
      </w:r>
      <w:r w:rsidRPr="00E81753">
        <w:rPr>
          <w:rFonts w:ascii="Verdana" w:hAnsi="Verdana"/>
          <w:i/>
          <w:sz w:val="20"/>
          <w:szCs w:val="20"/>
          <w:lang w:val="es-CR"/>
        </w:rPr>
        <w:t>supra</w:t>
      </w:r>
      <w:r w:rsidRPr="00C15C7E">
        <w:rPr>
          <w:rFonts w:ascii="Verdana" w:hAnsi="Verdana"/>
          <w:sz w:val="20"/>
          <w:szCs w:val="20"/>
          <w:lang w:val="es-CR"/>
        </w:rPr>
        <w:t xml:space="preserve"> Visto </w:t>
      </w:r>
      <w:r w:rsidR="00E46FC1">
        <w:rPr>
          <w:rFonts w:ascii="Verdana" w:hAnsi="Verdana"/>
          <w:sz w:val="20"/>
          <w:szCs w:val="20"/>
          <w:lang w:val="es-CR"/>
        </w:rPr>
        <w:fldChar w:fldCharType="begin"/>
      </w:r>
      <w:r w:rsidR="00E46FC1">
        <w:rPr>
          <w:rFonts w:ascii="Verdana" w:hAnsi="Verdana"/>
          <w:sz w:val="20"/>
          <w:szCs w:val="20"/>
          <w:lang w:val="es-CR"/>
        </w:rPr>
        <w:instrText xml:space="preserve"> REF _Ref514413502 \r \h </w:instrText>
      </w:r>
      <w:r w:rsidR="00E46FC1">
        <w:rPr>
          <w:rFonts w:ascii="Verdana" w:hAnsi="Verdana"/>
          <w:sz w:val="20"/>
          <w:szCs w:val="20"/>
          <w:lang w:val="es-CR"/>
        </w:rPr>
      </w:r>
      <w:r w:rsidR="00E46FC1">
        <w:rPr>
          <w:rFonts w:ascii="Verdana" w:hAnsi="Verdana"/>
          <w:sz w:val="20"/>
          <w:szCs w:val="20"/>
          <w:lang w:val="es-CR"/>
        </w:rPr>
        <w:fldChar w:fldCharType="separate"/>
      </w:r>
      <w:r w:rsidR="00D876EC">
        <w:rPr>
          <w:rFonts w:ascii="Verdana" w:hAnsi="Verdana"/>
          <w:sz w:val="20"/>
          <w:szCs w:val="20"/>
          <w:lang w:val="es-CR"/>
        </w:rPr>
        <w:t>1</w:t>
      </w:r>
      <w:r w:rsidR="00E46FC1">
        <w:rPr>
          <w:rFonts w:ascii="Verdana" w:hAnsi="Verdana"/>
          <w:sz w:val="20"/>
          <w:szCs w:val="20"/>
          <w:lang w:val="es-CR"/>
        </w:rPr>
        <w:fldChar w:fldCharType="end"/>
      </w:r>
      <w:r w:rsidRPr="00C15C7E">
        <w:rPr>
          <w:rFonts w:ascii="Verdana" w:hAnsi="Verdana"/>
          <w:sz w:val="20"/>
          <w:szCs w:val="20"/>
          <w:lang w:val="es-CR"/>
        </w:rPr>
        <w:t xml:space="preserve">). </w:t>
      </w:r>
      <w:r w:rsidR="00626F0B">
        <w:rPr>
          <w:rFonts w:ascii="Verdana" w:hAnsi="Verdana"/>
          <w:sz w:val="20"/>
          <w:szCs w:val="20"/>
          <w:lang w:val="es-CR"/>
        </w:rPr>
        <w:t xml:space="preserve">En la Sentencia, la Corte ordenó al Estado las siguientes medidas de reparación: i) </w:t>
      </w:r>
      <w:r w:rsidR="00CD5C97">
        <w:rPr>
          <w:rFonts w:ascii="Verdana" w:hAnsi="Verdana"/>
          <w:sz w:val="20"/>
          <w:szCs w:val="20"/>
          <w:lang w:val="es-CR"/>
        </w:rPr>
        <w:t xml:space="preserve">debido a que la Corte declaró que la sentencia condenatoria del señor Zegarra Marín “carece de efectos jurídicos en lo que respecta a [éste…,] el Estado debe adoptar todas las medidas necesarias para dejar sin efecto las consecuencias que de ella se derivan [respecto del señor Zegarra Marín] </w:t>
      </w:r>
      <w:r w:rsidR="00E46FC1">
        <w:rPr>
          <w:rFonts w:ascii="Verdana" w:hAnsi="Verdana"/>
          <w:sz w:val="20"/>
          <w:szCs w:val="20"/>
          <w:lang w:val="es-CR"/>
        </w:rPr>
        <w:t xml:space="preserve">así </w:t>
      </w:r>
      <w:r w:rsidR="00CD5C97">
        <w:rPr>
          <w:rFonts w:ascii="Verdana" w:hAnsi="Verdana"/>
          <w:sz w:val="20"/>
          <w:szCs w:val="20"/>
          <w:lang w:val="es-CR"/>
        </w:rPr>
        <w:t xml:space="preserve">como los antecedentes judiciales o administrativos, penales o policiales que existan en su contra a raíz de dicho proceso” </w:t>
      </w:r>
      <w:r w:rsidR="00626F0B">
        <w:rPr>
          <w:rFonts w:ascii="Verdana" w:hAnsi="Verdana"/>
          <w:sz w:val="20"/>
          <w:szCs w:val="20"/>
          <w:lang w:val="es-CR"/>
        </w:rPr>
        <w:t>(</w:t>
      </w:r>
      <w:r w:rsidR="00626F0B">
        <w:rPr>
          <w:rFonts w:ascii="Verdana" w:hAnsi="Verdana"/>
          <w:i/>
          <w:sz w:val="20"/>
          <w:szCs w:val="20"/>
          <w:lang w:val="es-CR"/>
        </w:rPr>
        <w:t>punto resolutivo noveno de la Sentencia</w:t>
      </w:r>
      <w:r w:rsidR="00626F0B">
        <w:rPr>
          <w:rFonts w:ascii="Verdana" w:hAnsi="Verdana"/>
          <w:sz w:val="20"/>
          <w:szCs w:val="20"/>
          <w:lang w:val="es-CR"/>
        </w:rPr>
        <w:t xml:space="preserve">); ii) realizar las publicaciones </w:t>
      </w:r>
      <w:r w:rsidR="00A001EE">
        <w:rPr>
          <w:rFonts w:ascii="Verdana" w:hAnsi="Verdana"/>
          <w:sz w:val="20"/>
          <w:szCs w:val="20"/>
          <w:lang w:val="es-CR"/>
        </w:rPr>
        <w:t xml:space="preserve">de la Sentencia y su resumen oficial </w:t>
      </w:r>
      <w:r w:rsidR="00626F0B">
        <w:rPr>
          <w:rFonts w:ascii="Verdana" w:hAnsi="Verdana"/>
          <w:sz w:val="20"/>
          <w:szCs w:val="20"/>
          <w:lang w:val="es-CR"/>
        </w:rPr>
        <w:t xml:space="preserve">indicadas en el párrafo 205 de la </w:t>
      </w:r>
      <w:r w:rsidR="00A001EE">
        <w:rPr>
          <w:rFonts w:ascii="Verdana" w:hAnsi="Verdana"/>
          <w:sz w:val="20"/>
          <w:szCs w:val="20"/>
          <w:lang w:val="es-CR"/>
        </w:rPr>
        <w:t xml:space="preserve">misma </w:t>
      </w:r>
      <w:r w:rsidR="00626F0B">
        <w:rPr>
          <w:rFonts w:ascii="Verdana" w:hAnsi="Verdana"/>
          <w:sz w:val="20"/>
          <w:szCs w:val="20"/>
          <w:lang w:val="es-CR"/>
        </w:rPr>
        <w:t>(</w:t>
      </w:r>
      <w:r w:rsidR="00626F0B">
        <w:rPr>
          <w:rFonts w:ascii="Verdana" w:hAnsi="Verdana"/>
          <w:i/>
          <w:sz w:val="20"/>
          <w:szCs w:val="20"/>
          <w:lang w:val="es-CR"/>
        </w:rPr>
        <w:t xml:space="preserve">infra </w:t>
      </w:r>
      <w:r w:rsidR="00626F0B">
        <w:rPr>
          <w:rFonts w:ascii="Verdana" w:hAnsi="Verdana"/>
          <w:sz w:val="20"/>
          <w:szCs w:val="20"/>
          <w:lang w:val="es-CR"/>
        </w:rPr>
        <w:t xml:space="preserve">Considerando </w:t>
      </w:r>
      <w:r w:rsidR="00E96FAC">
        <w:rPr>
          <w:rFonts w:ascii="Verdana" w:hAnsi="Verdana"/>
          <w:sz w:val="20"/>
          <w:szCs w:val="20"/>
          <w:lang w:val="es-CR"/>
        </w:rPr>
        <w:fldChar w:fldCharType="begin"/>
      </w:r>
      <w:r w:rsidR="00E96FAC">
        <w:rPr>
          <w:rFonts w:ascii="Verdana" w:hAnsi="Verdana"/>
          <w:sz w:val="20"/>
          <w:szCs w:val="20"/>
          <w:lang w:val="es-CR"/>
        </w:rPr>
        <w:instrText xml:space="preserve"> REF _Ref514413645 \r \h </w:instrText>
      </w:r>
      <w:r w:rsidR="00E96FAC">
        <w:rPr>
          <w:rFonts w:ascii="Verdana" w:hAnsi="Verdana"/>
          <w:sz w:val="20"/>
          <w:szCs w:val="20"/>
          <w:lang w:val="es-CR"/>
        </w:rPr>
      </w:r>
      <w:r w:rsidR="00E96FAC">
        <w:rPr>
          <w:rFonts w:ascii="Verdana" w:hAnsi="Verdana"/>
          <w:sz w:val="20"/>
          <w:szCs w:val="20"/>
          <w:lang w:val="es-CR"/>
        </w:rPr>
        <w:fldChar w:fldCharType="separate"/>
      </w:r>
      <w:r w:rsidR="00D876EC">
        <w:rPr>
          <w:rFonts w:ascii="Verdana" w:hAnsi="Verdana"/>
          <w:sz w:val="20"/>
          <w:szCs w:val="20"/>
          <w:lang w:val="es-CR"/>
        </w:rPr>
        <w:t>4</w:t>
      </w:r>
      <w:r w:rsidR="00E96FAC">
        <w:rPr>
          <w:rFonts w:ascii="Verdana" w:hAnsi="Verdana"/>
          <w:sz w:val="20"/>
          <w:szCs w:val="20"/>
          <w:lang w:val="es-CR"/>
        </w:rPr>
        <w:fldChar w:fldCharType="end"/>
      </w:r>
      <w:r w:rsidR="00626F0B">
        <w:rPr>
          <w:rFonts w:ascii="Verdana" w:hAnsi="Verdana"/>
          <w:sz w:val="20"/>
          <w:szCs w:val="20"/>
          <w:lang w:val="es-CR"/>
        </w:rPr>
        <w:t>); iii) pagar las cantidades fijadas en los párrafos 226 y 231 de la Sentencia, por concepto de compensación por daño inmaterial y por el reintegro de costas y gastos</w:t>
      </w:r>
      <w:r w:rsidR="00E96FAC">
        <w:rPr>
          <w:rFonts w:ascii="Verdana" w:hAnsi="Verdana"/>
          <w:sz w:val="20"/>
          <w:szCs w:val="20"/>
          <w:lang w:val="es-CR"/>
        </w:rPr>
        <w:t xml:space="preserve"> (</w:t>
      </w:r>
      <w:r w:rsidR="00E96FAC">
        <w:rPr>
          <w:rFonts w:ascii="Verdana" w:hAnsi="Verdana"/>
          <w:i/>
          <w:sz w:val="20"/>
          <w:szCs w:val="20"/>
          <w:lang w:val="es-CR"/>
        </w:rPr>
        <w:t>punto resolutivo décimo primero de la Sentencia</w:t>
      </w:r>
      <w:r w:rsidR="00E96FAC">
        <w:rPr>
          <w:rFonts w:ascii="Verdana" w:hAnsi="Verdana"/>
          <w:sz w:val="20"/>
          <w:szCs w:val="20"/>
          <w:lang w:val="es-CR"/>
        </w:rPr>
        <w:t>)</w:t>
      </w:r>
      <w:r w:rsidR="00626F0B">
        <w:rPr>
          <w:rFonts w:ascii="Verdana" w:hAnsi="Verdana"/>
          <w:sz w:val="20"/>
          <w:szCs w:val="20"/>
          <w:lang w:val="es-CR"/>
        </w:rPr>
        <w:t>; y iv) reintegrar al Fondo de Asistencia Legal de Víctimas de la Corte la cantidad erogada durante la tramitación del caso</w:t>
      </w:r>
      <w:r w:rsidR="00E96FAC">
        <w:rPr>
          <w:rFonts w:ascii="Verdana" w:hAnsi="Verdana"/>
          <w:sz w:val="20"/>
          <w:szCs w:val="20"/>
          <w:lang w:val="es-CR"/>
        </w:rPr>
        <w:t xml:space="preserve"> (</w:t>
      </w:r>
      <w:r w:rsidR="00E96FAC">
        <w:rPr>
          <w:rFonts w:ascii="Verdana" w:hAnsi="Verdana"/>
          <w:i/>
          <w:sz w:val="20"/>
          <w:szCs w:val="20"/>
          <w:lang w:val="es-CR"/>
        </w:rPr>
        <w:t>punto resolutivo décimo segundo de la Sentencia</w:t>
      </w:r>
      <w:r w:rsidR="00E96FAC">
        <w:rPr>
          <w:rFonts w:ascii="Verdana" w:hAnsi="Verdana"/>
          <w:sz w:val="20"/>
          <w:szCs w:val="20"/>
          <w:lang w:val="es-CR"/>
        </w:rPr>
        <w:t>)</w:t>
      </w:r>
      <w:r w:rsidR="00626F0B">
        <w:rPr>
          <w:rFonts w:ascii="Verdana" w:hAnsi="Verdana"/>
          <w:sz w:val="20"/>
          <w:szCs w:val="20"/>
          <w:lang w:val="es-CR"/>
        </w:rPr>
        <w:t>.</w:t>
      </w:r>
      <w:bookmarkEnd w:id="2"/>
      <w:r w:rsidR="00626F0B">
        <w:rPr>
          <w:rFonts w:ascii="Verdana" w:hAnsi="Verdana"/>
          <w:sz w:val="20"/>
          <w:szCs w:val="20"/>
          <w:lang w:val="es-CR"/>
        </w:rPr>
        <w:t xml:space="preserve"> </w:t>
      </w:r>
      <w:r w:rsidR="00315C72">
        <w:rPr>
          <w:rFonts w:ascii="Verdana" w:hAnsi="Verdana"/>
          <w:sz w:val="20"/>
          <w:szCs w:val="20"/>
          <w:lang w:val="es-CR"/>
        </w:rPr>
        <w:t xml:space="preserve"> </w:t>
      </w:r>
    </w:p>
    <w:p w14:paraId="092A2D03" w14:textId="77777777" w:rsidR="00626F0B" w:rsidRPr="00626F0B" w:rsidRDefault="00626F0B" w:rsidP="00626F0B">
      <w:pPr>
        <w:pStyle w:val="ListParagraph"/>
        <w:spacing w:after="0" w:line="240" w:lineRule="auto"/>
        <w:ind w:left="0"/>
        <w:jc w:val="both"/>
        <w:rPr>
          <w:rFonts w:ascii="Verdana" w:hAnsi="Verdana"/>
          <w:sz w:val="20"/>
          <w:szCs w:val="20"/>
          <w:lang w:val="es-CR"/>
        </w:rPr>
      </w:pPr>
    </w:p>
    <w:p w14:paraId="320D83B0" w14:textId="77777777" w:rsidR="00226C10" w:rsidRDefault="00226C10" w:rsidP="00226C10">
      <w:pPr>
        <w:pStyle w:val="ListParagraph"/>
        <w:numPr>
          <w:ilvl w:val="0"/>
          <w:numId w:val="2"/>
        </w:numPr>
        <w:spacing w:after="0" w:line="240" w:lineRule="auto"/>
        <w:ind w:left="0" w:firstLine="0"/>
        <w:jc w:val="both"/>
        <w:rPr>
          <w:rFonts w:ascii="Verdana" w:hAnsi="Verdana"/>
          <w:sz w:val="20"/>
          <w:szCs w:val="20"/>
          <w:lang w:val="es-CR"/>
        </w:rPr>
      </w:pPr>
      <w:r w:rsidRPr="00226C10">
        <w:rPr>
          <w:rFonts w:ascii="Verdana" w:hAnsi="Verdana"/>
          <w:sz w:val="20"/>
          <w:szCs w:val="20"/>
          <w:lang w:val="es-CR"/>
        </w:rPr>
        <w:t>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FootnoteReference"/>
          <w:rFonts w:ascii="Verdana" w:hAnsi="Verdana"/>
          <w:sz w:val="20"/>
          <w:szCs w:val="20"/>
          <w:lang w:val="es-CR"/>
        </w:rPr>
        <w:footnoteReference w:id="7"/>
      </w:r>
      <w:r w:rsidRPr="00226C10">
        <w:rPr>
          <w:rFonts w:ascii="Verdana" w:hAnsi="Verdana"/>
          <w:sz w:val="20"/>
          <w:szCs w:val="20"/>
          <w:lang w:val="es-CR"/>
        </w:rPr>
        <w:t>. Los Estados Parte en la Convención deben garantizar el cumplimiento de las disposiciones convencionales y sus efectos propios (</w:t>
      </w:r>
      <w:r w:rsidRPr="00226C10">
        <w:rPr>
          <w:rFonts w:ascii="Verdana" w:hAnsi="Verdana"/>
          <w:i/>
          <w:sz w:val="20"/>
          <w:szCs w:val="20"/>
          <w:lang w:val="es-CR"/>
        </w:rPr>
        <w:t>effet utile</w:t>
      </w:r>
      <w:r w:rsidRPr="00226C10">
        <w:rPr>
          <w:rFonts w:ascii="Verdana" w:hAnsi="Verdana"/>
          <w:sz w:val="20"/>
          <w:szCs w:val="20"/>
          <w:lang w:val="es-CR"/>
        </w:rPr>
        <w:t xml:space="preserve">) en el plano de sus respectivos derechos </w:t>
      </w:r>
      <w:r w:rsidRPr="00226C10">
        <w:rPr>
          <w:rFonts w:ascii="Verdana" w:hAnsi="Verdana"/>
          <w:sz w:val="20"/>
          <w:szCs w:val="20"/>
          <w:lang w:val="es-CR"/>
        </w:rPr>
        <w:lastRenderedPageBreak/>
        <w:t>internos. Estas obligaciones deben ser interpretadas y aplicadas de manera que la garantía protegida sea verdaderamente práctica y eficaz, teniendo presente la naturaleza especial de los tratados de derechos humanos</w:t>
      </w:r>
      <w:r>
        <w:rPr>
          <w:rStyle w:val="FootnoteReference"/>
          <w:rFonts w:ascii="Verdana" w:hAnsi="Verdana"/>
          <w:sz w:val="20"/>
          <w:szCs w:val="20"/>
          <w:lang w:val="es-CR"/>
        </w:rPr>
        <w:footnoteReference w:id="8"/>
      </w:r>
      <w:r>
        <w:rPr>
          <w:rFonts w:ascii="Verdana" w:hAnsi="Verdana"/>
          <w:sz w:val="20"/>
          <w:szCs w:val="20"/>
          <w:lang w:val="es-CR"/>
        </w:rPr>
        <w:t>.</w:t>
      </w:r>
    </w:p>
    <w:p w14:paraId="4B81C83C" w14:textId="77777777" w:rsidR="003561C4" w:rsidRPr="003561C4" w:rsidRDefault="003561C4" w:rsidP="003561C4">
      <w:pPr>
        <w:pStyle w:val="ListParagraph"/>
        <w:rPr>
          <w:rFonts w:ascii="Verdana" w:hAnsi="Verdana"/>
          <w:sz w:val="20"/>
          <w:szCs w:val="20"/>
          <w:lang w:val="es-CR"/>
        </w:rPr>
      </w:pPr>
    </w:p>
    <w:p w14:paraId="4CEB82B5" w14:textId="36BC72E9" w:rsidR="003561C4" w:rsidRPr="00100E39" w:rsidRDefault="003561C4" w:rsidP="003561C4">
      <w:pPr>
        <w:pStyle w:val="ListParagraph"/>
        <w:numPr>
          <w:ilvl w:val="0"/>
          <w:numId w:val="2"/>
        </w:numPr>
        <w:spacing w:after="0" w:line="240" w:lineRule="auto"/>
        <w:ind w:left="0" w:firstLine="0"/>
        <w:jc w:val="both"/>
        <w:rPr>
          <w:rFonts w:ascii="Verdana" w:hAnsi="Verdana"/>
          <w:sz w:val="20"/>
          <w:szCs w:val="20"/>
          <w:lang w:val="es-CR"/>
        </w:rPr>
      </w:pPr>
      <w:bookmarkStart w:id="3" w:name="_Ref514413403"/>
      <w:r w:rsidRPr="00CD632D">
        <w:rPr>
          <w:rFonts w:ascii="Verdana" w:hAnsi="Verdana"/>
          <w:sz w:val="20"/>
          <w:szCs w:val="20"/>
          <w:lang w:val="es-CR"/>
        </w:rPr>
        <w:t xml:space="preserve">La Corte se pronunciará </w:t>
      </w:r>
      <w:r w:rsidR="00A001EE" w:rsidRPr="00100E39">
        <w:rPr>
          <w:rFonts w:ascii="Verdana" w:hAnsi="Verdana"/>
          <w:sz w:val="20"/>
          <w:szCs w:val="20"/>
          <w:lang w:val="es-CR"/>
        </w:rPr>
        <w:t xml:space="preserve">únicamente </w:t>
      </w:r>
      <w:r w:rsidRPr="00100E39">
        <w:rPr>
          <w:rFonts w:ascii="Verdana" w:hAnsi="Verdana"/>
          <w:sz w:val="20"/>
          <w:szCs w:val="20"/>
          <w:lang w:val="es-CR"/>
        </w:rPr>
        <w:t>sobre la</w:t>
      </w:r>
      <w:r w:rsidR="00A42753" w:rsidRPr="00100E39">
        <w:rPr>
          <w:rFonts w:ascii="Verdana" w:hAnsi="Verdana"/>
          <w:sz w:val="20"/>
          <w:szCs w:val="20"/>
          <w:lang w:val="es-CR"/>
        </w:rPr>
        <w:t>s</w:t>
      </w:r>
      <w:r w:rsidRPr="00100E39">
        <w:rPr>
          <w:rFonts w:ascii="Verdana" w:hAnsi="Verdana"/>
          <w:sz w:val="20"/>
          <w:szCs w:val="20"/>
          <w:lang w:val="es-CR"/>
        </w:rPr>
        <w:t xml:space="preserve"> medida</w:t>
      </w:r>
      <w:r w:rsidR="002F2654" w:rsidRPr="00100E39">
        <w:rPr>
          <w:rFonts w:ascii="Verdana" w:hAnsi="Verdana"/>
          <w:sz w:val="20"/>
          <w:szCs w:val="20"/>
          <w:lang w:val="es-CR"/>
        </w:rPr>
        <w:t>s</w:t>
      </w:r>
      <w:r w:rsidRPr="00100E39">
        <w:rPr>
          <w:rFonts w:ascii="Verdana" w:hAnsi="Verdana"/>
          <w:sz w:val="20"/>
          <w:szCs w:val="20"/>
          <w:lang w:val="es-CR"/>
        </w:rPr>
        <w:t xml:space="preserve"> relativa</w:t>
      </w:r>
      <w:r w:rsidR="002F2654" w:rsidRPr="00100E39">
        <w:rPr>
          <w:rFonts w:ascii="Verdana" w:hAnsi="Verdana"/>
          <w:sz w:val="20"/>
          <w:szCs w:val="20"/>
          <w:lang w:val="es-CR"/>
        </w:rPr>
        <w:t>s</w:t>
      </w:r>
      <w:r w:rsidRPr="00100E39">
        <w:rPr>
          <w:rFonts w:ascii="Verdana" w:hAnsi="Verdana"/>
          <w:sz w:val="20"/>
          <w:szCs w:val="20"/>
          <w:lang w:val="es-CR"/>
        </w:rPr>
        <w:t xml:space="preserve"> a </w:t>
      </w:r>
      <w:r w:rsidR="00626F0B" w:rsidRPr="00100E39">
        <w:rPr>
          <w:rFonts w:ascii="Verdana" w:hAnsi="Verdana"/>
          <w:sz w:val="20"/>
          <w:szCs w:val="20"/>
          <w:lang w:val="es-CR"/>
        </w:rPr>
        <w:t>realizar las publicaciones de la Sentencia</w:t>
      </w:r>
      <w:r w:rsidR="00A42753" w:rsidRPr="00100E39">
        <w:rPr>
          <w:rFonts w:ascii="Verdana" w:hAnsi="Verdana"/>
          <w:sz w:val="20"/>
          <w:szCs w:val="20"/>
          <w:lang w:val="es-CR"/>
        </w:rPr>
        <w:t xml:space="preserve"> </w:t>
      </w:r>
      <w:r w:rsidR="00A42753" w:rsidRPr="00CD632D">
        <w:rPr>
          <w:rFonts w:ascii="Verdana" w:hAnsi="Verdana"/>
          <w:sz w:val="20"/>
          <w:szCs w:val="20"/>
          <w:lang w:val="es-CR"/>
        </w:rPr>
        <w:t xml:space="preserve">y al reintegro al </w:t>
      </w:r>
      <w:r w:rsidR="00304A70" w:rsidRPr="00CD632D">
        <w:rPr>
          <w:rFonts w:ascii="Verdana" w:hAnsi="Verdana"/>
          <w:sz w:val="20"/>
          <w:szCs w:val="20"/>
          <w:lang w:val="es-CR"/>
        </w:rPr>
        <w:t>F</w:t>
      </w:r>
      <w:r w:rsidR="00A42753" w:rsidRPr="00CD632D">
        <w:rPr>
          <w:rFonts w:ascii="Verdana" w:hAnsi="Verdana"/>
          <w:sz w:val="20"/>
          <w:szCs w:val="20"/>
          <w:lang w:val="es-CR"/>
        </w:rPr>
        <w:t xml:space="preserve">ondo de </w:t>
      </w:r>
      <w:r w:rsidR="00304A70" w:rsidRPr="00CD632D">
        <w:rPr>
          <w:rFonts w:ascii="Verdana" w:hAnsi="Verdana"/>
          <w:sz w:val="20"/>
          <w:szCs w:val="20"/>
          <w:lang w:val="es-CR"/>
        </w:rPr>
        <w:t>A</w:t>
      </w:r>
      <w:r w:rsidR="00A42753" w:rsidRPr="00CD632D">
        <w:rPr>
          <w:rFonts w:ascii="Verdana" w:hAnsi="Verdana"/>
          <w:sz w:val="20"/>
          <w:szCs w:val="20"/>
          <w:lang w:val="es-CR"/>
        </w:rPr>
        <w:t xml:space="preserve">sistencia </w:t>
      </w:r>
      <w:r w:rsidR="00304A70" w:rsidRPr="00CD632D">
        <w:rPr>
          <w:rFonts w:ascii="Verdana" w:hAnsi="Verdana"/>
          <w:sz w:val="20"/>
          <w:szCs w:val="20"/>
          <w:lang w:val="es-CR"/>
        </w:rPr>
        <w:t>Legal de Víctimas de la Corte</w:t>
      </w:r>
      <w:r w:rsidR="00BD75D1">
        <w:rPr>
          <w:rFonts w:ascii="Verdana" w:hAnsi="Verdana"/>
          <w:sz w:val="20"/>
          <w:szCs w:val="20"/>
          <w:lang w:val="es-CR"/>
        </w:rPr>
        <w:t>, respecto de los cuales el Estado informó en el 2017</w:t>
      </w:r>
      <w:r w:rsidRPr="00CD632D">
        <w:rPr>
          <w:rFonts w:ascii="Verdana" w:hAnsi="Verdana"/>
          <w:sz w:val="20"/>
          <w:szCs w:val="20"/>
          <w:lang w:val="es-CR"/>
        </w:rPr>
        <w:t>.</w:t>
      </w:r>
      <w:r w:rsidR="00BD75D1">
        <w:rPr>
          <w:rFonts w:ascii="Verdana" w:hAnsi="Verdana"/>
          <w:sz w:val="20"/>
          <w:szCs w:val="20"/>
          <w:lang w:val="es-CR"/>
        </w:rPr>
        <w:t xml:space="preserve"> Sobre las restantes reparaciones,</w:t>
      </w:r>
      <w:r w:rsidR="00885904" w:rsidRPr="00CD632D">
        <w:rPr>
          <w:rFonts w:ascii="Verdana" w:hAnsi="Verdana"/>
          <w:sz w:val="20"/>
          <w:szCs w:val="20"/>
          <w:lang w:val="es-CR"/>
        </w:rPr>
        <w:t xml:space="preserve"> </w:t>
      </w:r>
      <w:r w:rsidR="00BD75D1">
        <w:rPr>
          <w:rFonts w:ascii="Verdana" w:hAnsi="Verdana"/>
          <w:sz w:val="20"/>
          <w:szCs w:val="20"/>
          <w:lang w:val="es-CR"/>
        </w:rPr>
        <w:t>e</w:t>
      </w:r>
      <w:r w:rsidR="00AB6A5D">
        <w:rPr>
          <w:rFonts w:ascii="Verdana" w:hAnsi="Verdana"/>
          <w:sz w:val="20"/>
          <w:szCs w:val="20"/>
          <w:lang w:val="es-CR"/>
        </w:rPr>
        <w:t xml:space="preserve">l Estado presentó </w:t>
      </w:r>
      <w:r w:rsidR="00BD75D1">
        <w:rPr>
          <w:rFonts w:ascii="Verdana" w:hAnsi="Verdana"/>
          <w:sz w:val="20"/>
          <w:szCs w:val="20"/>
          <w:lang w:val="es-CR"/>
        </w:rPr>
        <w:t>un</w:t>
      </w:r>
      <w:r w:rsidR="00AB6A5D">
        <w:rPr>
          <w:rFonts w:ascii="Verdana" w:hAnsi="Verdana"/>
          <w:sz w:val="20"/>
          <w:szCs w:val="20"/>
          <w:lang w:val="es-CR"/>
        </w:rPr>
        <w:t xml:space="preserve"> informe el 14 de mayo de 2018. Actualmente se encuentran corriendo los plazos para observaciones de la representante de la víctima y la Comisión, por lo que </w:t>
      </w:r>
      <w:r w:rsidR="00BD75D1">
        <w:rPr>
          <w:rFonts w:ascii="Verdana" w:hAnsi="Verdana"/>
          <w:sz w:val="20"/>
          <w:szCs w:val="20"/>
          <w:lang w:val="es-CR"/>
        </w:rPr>
        <w:t>en una posterior resolución</w:t>
      </w:r>
      <w:r w:rsidR="00AB6A5D">
        <w:rPr>
          <w:rFonts w:ascii="Verdana" w:hAnsi="Verdana"/>
          <w:sz w:val="20"/>
          <w:szCs w:val="20"/>
          <w:lang w:val="es-CR"/>
        </w:rPr>
        <w:t xml:space="preserve">, el Tribunal procederá a evaluar </w:t>
      </w:r>
      <w:r w:rsidR="00BD75D1">
        <w:rPr>
          <w:rFonts w:ascii="Verdana" w:hAnsi="Verdana"/>
          <w:sz w:val="20"/>
          <w:szCs w:val="20"/>
          <w:lang w:val="es-CR"/>
        </w:rPr>
        <w:t>su nivel de</w:t>
      </w:r>
      <w:r w:rsidR="00AB6A5D">
        <w:rPr>
          <w:rFonts w:ascii="Verdana" w:hAnsi="Verdana"/>
          <w:sz w:val="20"/>
          <w:szCs w:val="20"/>
          <w:lang w:val="es-CR"/>
        </w:rPr>
        <w:t xml:space="preserve"> cumplimiento. </w:t>
      </w:r>
      <w:bookmarkEnd w:id="3"/>
    </w:p>
    <w:p w14:paraId="02023C97" w14:textId="77777777" w:rsidR="003561C4" w:rsidRDefault="003561C4" w:rsidP="00BF18DF">
      <w:pPr>
        <w:spacing w:after="0" w:line="240" w:lineRule="auto"/>
        <w:jc w:val="both"/>
        <w:rPr>
          <w:rFonts w:ascii="Verdana" w:hAnsi="Verdana"/>
          <w:sz w:val="20"/>
          <w:szCs w:val="20"/>
          <w:lang w:val="es-CR"/>
        </w:rPr>
      </w:pPr>
    </w:p>
    <w:p w14:paraId="27494AB2" w14:textId="36050B2E" w:rsidR="00A42753" w:rsidRPr="00A42753" w:rsidRDefault="00A42753" w:rsidP="00A42753">
      <w:pPr>
        <w:pStyle w:val="ListParagraph"/>
        <w:numPr>
          <w:ilvl w:val="0"/>
          <w:numId w:val="8"/>
        </w:numPr>
        <w:spacing w:after="0" w:line="240" w:lineRule="auto"/>
        <w:jc w:val="both"/>
        <w:rPr>
          <w:rFonts w:ascii="Verdana" w:hAnsi="Verdana"/>
          <w:sz w:val="20"/>
          <w:szCs w:val="20"/>
          <w:lang w:val="es-CR"/>
        </w:rPr>
      </w:pPr>
      <w:r>
        <w:rPr>
          <w:rFonts w:ascii="Verdana" w:hAnsi="Verdana"/>
          <w:b/>
          <w:sz w:val="20"/>
          <w:szCs w:val="20"/>
          <w:lang w:val="es-CR"/>
        </w:rPr>
        <w:t>Publicación y difusión de la Sentencia</w:t>
      </w:r>
    </w:p>
    <w:p w14:paraId="1C33958F" w14:textId="77777777" w:rsidR="00A42753" w:rsidRPr="00BF18DF" w:rsidRDefault="00A42753" w:rsidP="00BF18DF">
      <w:pPr>
        <w:spacing w:after="0" w:line="240" w:lineRule="auto"/>
        <w:jc w:val="both"/>
        <w:rPr>
          <w:rFonts w:ascii="Verdana" w:hAnsi="Verdana"/>
          <w:sz w:val="20"/>
          <w:szCs w:val="20"/>
          <w:lang w:val="es-CR"/>
        </w:rPr>
      </w:pPr>
    </w:p>
    <w:p w14:paraId="2ADB1060" w14:textId="77777777" w:rsidR="00BF18DF" w:rsidRDefault="00BF18DF" w:rsidP="00BF18DF">
      <w:pPr>
        <w:spacing w:after="0" w:line="240" w:lineRule="auto"/>
        <w:ind w:firstLine="720"/>
        <w:jc w:val="both"/>
        <w:rPr>
          <w:rFonts w:ascii="Verdana" w:hAnsi="Verdana"/>
          <w:i/>
          <w:sz w:val="20"/>
          <w:szCs w:val="20"/>
          <w:lang w:val="es-CR"/>
        </w:rPr>
      </w:pPr>
      <w:r w:rsidRPr="00BF18DF">
        <w:rPr>
          <w:rFonts w:ascii="Verdana" w:hAnsi="Verdana"/>
          <w:i/>
          <w:sz w:val="20"/>
          <w:szCs w:val="20"/>
          <w:lang w:val="es-CR"/>
        </w:rPr>
        <w:t>A.1. Medida ordenada por la Corte</w:t>
      </w:r>
    </w:p>
    <w:p w14:paraId="310FEA1A" w14:textId="77777777" w:rsidR="00BF18DF" w:rsidRPr="00BF18DF" w:rsidRDefault="00BF18DF" w:rsidP="00BF18DF">
      <w:pPr>
        <w:spacing w:after="0" w:line="240" w:lineRule="auto"/>
        <w:ind w:firstLine="720"/>
        <w:jc w:val="both"/>
        <w:rPr>
          <w:rFonts w:ascii="Verdana" w:hAnsi="Verdana"/>
          <w:i/>
          <w:sz w:val="20"/>
          <w:szCs w:val="20"/>
          <w:lang w:val="es-CR"/>
        </w:rPr>
      </w:pPr>
    </w:p>
    <w:p w14:paraId="4A94ACE7" w14:textId="77777777" w:rsidR="003561C4" w:rsidRDefault="003561C4" w:rsidP="00BF18DF">
      <w:pPr>
        <w:pStyle w:val="ListParagraph"/>
        <w:numPr>
          <w:ilvl w:val="0"/>
          <w:numId w:val="2"/>
        </w:numPr>
        <w:spacing w:after="0" w:line="240" w:lineRule="auto"/>
        <w:ind w:left="0" w:firstLine="0"/>
        <w:jc w:val="both"/>
        <w:rPr>
          <w:rFonts w:ascii="Verdana" w:hAnsi="Verdana"/>
          <w:sz w:val="20"/>
          <w:szCs w:val="20"/>
          <w:lang w:val="es-CR"/>
        </w:rPr>
      </w:pPr>
      <w:bookmarkStart w:id="4" w:name="_Ref514413645"/>
      <w:r w:rsidRPr="00050DE9">
        <w:rPr>
          <w:rFonts w:ascii="Verdana" w:hAnsi="Verdana"/>
          <w:sz w:val="20"/>
          <w:szCs w:val="20"/>
          <w:lang w:val="es-CR"/>
        </w:rPr>
        <w:t xml:space="preserve">En el punto resolutivo décimo y en </w:t>
      </w:r>
      <w:r w:rsidR="00F0554E">
        <w:rPr>
          <w:rFonts w:ascii="Verdana" w:hAnsi="Verdana"/>
          <w:sz w:val="20"/>
          <w:szCs w:val="20"/>
          <w:lang w:val="es-CR"/>
        </w:rPr>
        <w:t>el párrafo</w:t>
      </w:r>
      <w:r w:rsidRPr="00050DE9">
        <w:rPr>
          <w:rFonts w:ascii="Verdana" w:hAnsi="Verdana"/>
          <w:sz w:val="20"/>
          <w:szCs w:val="20"/>
          <w:lang w:val="es-CR"/>
        </w:rPr>
        <w:t xml:space="preserve"> </w:t>
      </w:r>
      <w:r w:rsidR="00F0554E">
        <w:rPr>
          <w:rFonts w:ascii="Verdana" w:hAnsi="Verdana"/>
          <w:sz w:val="20"/>
          <w:szCs w:val="20"/>
          <w:lang w:val="es-CR"/>
        </w:rPr>
        <w:t>205</w:t>
      </w:r>
      <w:r w:rsidRPr="00050DE9">
        <w:rPr>
          <w:rFonts w:ascii="Verdana" w:hAnsi="Verdana"/>
          <w:sz w:val="20"/>
          <w:szCs w:val="20"/>
          <w:lang w:val="es-CR"/>
        </w:rPr>
        <w:t xml:space="preserve"> de la Sentencia, la Corte ordenó al Estado </w:t>
      </w:r>
      <w:r w:rsidR="00050DE9" w:rsidRPr="00050DE9">
        <w:rPr>
          <w:rFonts w:ascii="Verdana" w:hAnsi="Verdana"/>
          <w:sz w:val="20"/>
          <w:szCs w:val="20"/>
          <w:lang w:val="es-CR"/>
        </w:rPr>
        <w:t>“</w:t>
      </w:r>
      <w:r w:rsidR="00F0554E">
        <w:rPr>
          <w:rFonts w:ascii="Verdana" w:hAnsi="Verdana"/>
          <w:sz w:val="20"/>
          <w:szCs w:val="20"/>
          <w:lang w:val="es-CR"/>
        </w:rPr>
        <w:t>publicar, en el plazo de seis meses, contado a partir de la notificación de la […] Sentencia: a) el resumen oficial de [la] Sentencia elaborado por la Corte, por una sola vez, en el Diario Oficial en un tamaño de letra legible y adecuado; b) el resumen oficial de la Sentencia elaborado por la Corte, por una sola vez, en un diario de amplia circulación nacional en un tamaño de letra legible y adecuado, y c) la […] Sentencia en su integridad, disponible por un período de un año, en un sitio web oficial, de manera accesible al público</w:t>
      </w:r>
      <w:r w:rsidR="007F664A">
        <w:rPr>
          <w:rFonts w:ascii="Verdana" w:hAnsi="Verdana"/>
          <w:sz w:val="20"/>
          <w:szCs w:val="20"/>
          <w:lang w:val="es-CR"/>
        </w:rPr>
        <w:t>”.</w:t>
      </w:r>
      <w:bookmarkEnd w:id="4"/>
      <w:r w:rsidR="007F664A">
        <w:rPr>
          <w:rFonts w:ascii="Verdana" w:hAnsi="Verdana"/>
          <w:sz w:val="20"/>
          <w:szCs w:val="20"/>
          <w:lang w:val="es-CR"/>
        </w:rPr>
        <w:t xml:space="preserve"> </w:t>
      </w:r>
    </w:p>
    <w:p w14:paraId="7845A5ED" w14:textId="77777777" w:rsidR="0061239E" w:rsidRDefault="0061239E" w:rsidP="0061239E">
      <w:pPr>
        <w:pStyle w:val="ListParagraph"/>
        <w:spacing w:after="0" w:line="240" w:lineRule="auto"/>
        <w:ind w:left="0"/>
        <w:jc w:val="both"/>
        <w:rPr>
          <w:rFonts w:ascii="Verdana" w:hAnsi="Verdana"/>
          <w:sz w:val="20"/>
          <w:szCs w:val="20"/>
          <w:lang w:val="es-CR"/>
        </w:rPr>
      </w:pPr>
    </w:p>
    <w:p w14:paraId="22FB6B09" w14:textId="77777777" w:rsidR="00BF18DF" w:rsidRPr="00BF18DF" w:rsidRDefault="00BF18DF" w:rsidP="00BF18DF">
      <w:pPr>
        <w:spacing w:after="0" w:line="240" w:lineRule="auto"/>
        <w:ind w:firstLine="720"/>
        <w:jc w:val="both"/>
        <w:rPr>
          <w:rFonts w:ascii="Verdana" w:hAnsi="Verdana"/>
          <w:i/>
          <w:sz w:val="20"/>
          <w:szCs w:val="20"/>
          <w:lang w:val="es-CR"/>
        </w:rPr>
      </w:pPr>
      <w:r>
        <w:rPr>
          <w:rFonts w:ascii="Verdana" w:hAnsi="Verdana"/>
          <w:i/>
          <w:sz w:val="20"/>
          <w:szCs w:val="20"/>
          <w:lang w:val="es-CR"/>
        </w:rPr>
        <w:t>A.2. Consideraciones de la Corte</w:t>
      </w:r>
    </w:p>
    <w:p w14:paraId="22460E84" w14:textId="77777777" w:rsidR="00BF18DF" w:rsidRDefault="00BF18DF" w:rsidP="00BF18DF">
      <w:pPr>
        <w:pStyle w:val="ListParagraph"/>
        <w:spacing w:after="0" w:line="240" w:lineRule="auto"/>
        <w:ind w:left="0"/>
        <w:jc w:val="both"/>
        <w:rPr>
          <w:rFonts w:ascii="Verdana" w:hAnsi="Verdana"/>
          <w:sz w:val="20"/>
          <w:szCs w:val="20"/>
          <w:lang w:val="es-CR"/>
        </w:rPr>
      </w:pPr>
    </w:p>
    <w:p w14:paraId="74A7940C" w14:textId="2B585DBC" w:rsidR="00050DE9" w:rsidRDefault="008B59F4" w:rsidP="0053546C">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La Corte constata, con base en la</w:t>
      </w:r>
      <w:r w:rsidR="00F0554E">
        <w:rPr>
          <w:rFonts w:ascii="Verdana" w:hAnsi="Verdana"/>
          <w:sz w:val="20"/>
          <w:szCs w:val="20"/>
          <w:lang w:val="es-CR"/>
        </w:rPr>
        <w:t xml:space="preserve"> información presentada por el Estado y lo reconocido por la representante</w:t>
      </w:r>
      <w:r w:rsidR="00F476B1">
        <w:rPr>
          <w:rStyle w:val="FootnoteReference"/>
          <w:rFonts w:ascii="Verdana" w:hAnsi="Verdana"/>
          <w:sz w:val="20"/>
          <w:szCs w:val="20"/>
          <w:lang w:val="es-CR"/>
        </w:rPr>
        <w:footnoteReference w:id="9"/>
      </w:r>
      <w:r w:rsidR="00F0554E">
        <w:rPr>
          <w:rFonts w:ascii="Verdana" w:hAnsi="Verdana"/>
          <w:sz w:val="20"/>
          <w:szCs w:val="20"/>
          <w:lang w:val="es-CR"/>
        </w:rPr>
        <w:t xml:space="preserve"> y la Comisión</w:t>
      </w:r>
      <w:r w:rsidR="00FA2A81">
        <w:rPr>
          <w:rStyle w:val="FootnoteReference"/>
          <w:rFonts w:ascii="Verdana" w:hAnsi="Verdana"/>
          <w:sz w:val="20"/>
          <w:szCs w:val="20"/>
          <w:lang w:val="es-CR"/>
        </w:rPr>
        <w:footnoteReference w:id="10"/>
      </w:r>
      <w:r w:rsidR="00F0554E">
        <w:rPr>
          <w:rFonts w:ascii="Verdana" w:hAnsi="Verdana"/>
          <w:sz w:val="20"/>
          <w:szCs w:val="20"/>
          <w:lang w:val="es-CR"/>
        </w:rPr>
        <w:t>, que Perú dio cumplimento a la medida relativa a publicar el resumen de la Sentencia en el Diario Oficial</w:t>
      </w:r>
      <w:r w:rsidR="00F476B1">
        <w:rPr>
          <w:rStyle w:val="FootnoteReference"/>
          <w:rFonts w:ascii="Verdana" w:hAnsi="Verdana"/>
          <w:sz w:val="20"/>
          <w:szCs w:val="20"/>
          <w:lang w:val="es-CR"/>
        </w:rPr>
        <w:footnoteReference w:id="11"/>
      </w:r>
      <w:r w:rsidR="00F0554E">
        <w:rPr>
          <w:rFonts w:ascii="Verdana" w:hAnsi="Verdana"/>
          <w:sz w:val="20"/>
          <w:szCs w:val="20"/>
          <w:lang w:val="es-CR"/>
        </w:rPr>
        <w:t xml:space="preserve"> y en un diario de amplia circulación</w:t>
      </w:r>
      <w:r w:rsidR="00315C72" w:rsidRPr="00315C72">
        <w:rPr>
          <w:rFonts w:ascii="Verdana" w:hAnsi="Verdana"/>
          <w:sz w:val="20"/>
          <w:szCs w:val="20"/>
          <w:lang w:val="es-CR"/>
        </w:rPr>
        <w:t xml:space="preserve"> </w:t>
      </w:r>
      <w:r w:rsidR="00315C72">
        <w:rPr>
          <w:rFonts w:ascii="Verdana" w:hAnsi="Verdana"/>
          <w:sz w:val="20"/>
          <w:szCs w:val="20"/>
          <w:lang w:val="es-CR"/>
        </w:rPr>
        <w:t>nacional</w:t>
      </w:r>
      <w:r w:rsidR="00F476B1">
        <w:rPr>
          <w:rStyle w:val="FootnoteReference"/>
          <w:rFonts w:ascii="Verdana" w:hAnsi="Verdana"/>
          <w:sz w:val="20"/>
          <w:szCs w:val="20"/>
          <w:lang w:val="es-CR"/>
        </w:rPr>
        <w:footnoteReference w:id="12"/>
      </w:r>
      <w:r w:rsidR="00F0554E">
        <w:rPr>
          <w:rFonts w:ascii="Verdana" w:hAnsi="Verdana"/>
          <w:sz w:val="20"/>
          <w:szCs w:val="20"/>
          <w:lang w:val="es-CR"/>
        </w:rPr>
        <w:t>, al igual que la publicación de la Sentencia en la página web</w:t>
      </w:r>
      <w:r w:rsidR="00F476B1">
        <w:rPr>
          <w:rFonts w:ascii="Verdana" w:hAnsi="Verdana"/>
          <w:sz w:val="20"/>
          <w:szCs w:val="20"/>
          <w:lang w:val="es-CR"/>
        </w:rPr>
        <w:t xml:space="preserve"> del Ministerio de Justicia y Derechos Humanos</w:t>
      </w:r>
      <w:r w:rsidR="00F476B1">
        <w:rPr>
          <w:rStyle w:val="FootnoteReference"/>
          <w:rFonts w:ascii="Verdana" w:hAnsi="Verdana"/>
          <w:sz w:val="20"/>
          <w:szCs w:val="20"/>
          <w:lang w:val="es-CR"/>
        </w:rPr>
        <w:footnoteReference w:id="13"/>
      </w:r>
      <w:r w:rsidR="00F0554E">
        <w:rPr>
          <w:rFonts w:ascii="Verdana" w:hAnsi="Verdana"/>
          <w:sz w:val="20"/>
          <w:szCs w:val="20"/>
          <w:lang w:val="es-CR"/>
        </w:rPr>
        <w:t xml:space="preserve">. En lo que respecta a esta última, el Estado indicó que fue realizada a partir de </w:t>
      </w:r>
      <w:r w:rsidR="00F476B1">
        <w:rPr>
          <w:rFonts w:ascii="Verdana" w:hAnsi="Verdana"/>
          <w:sz w:val="20"/>
          <w:szCs w:val="20"/>
          <w:lang w:val="es-CR"/>
        </w:rPr>
        <w:t>16 de mayo de 2017</w:t>
      </w:r>
      <w:r w:rsidR="00F0554E">
        <w:rPr>
          <w:rFonts w:ascii="Verdana" w:hAnsi="Verdana"/>
          <w:sz w:val="20"/>
          <w:szCs w:val="20"/>
          <w:lang w:val="es-CR"/>
        </w:rPr>
        <w:t xml:space="preserve">, sin que haya sido controvertida la referida fecha ni por la representante ni por la Comisión. </w:t>
      </w:r>
      <w:r w:rsidR="00AB6A5D">
        <w:rPr>
          <w:rFonts w:ascii="Verdana" w:hAnsi="Verdana"/>
          <w:sz w:val="20"/>
          <w:szCs w:val="20"/>
          <w:lang w:val="es-CR"/>
        </w:rPr>
        <w:t>En virtud de ello, l</w:t>
      </w:r>
      <w:r w:rsidR="00F204E6">
        <w:rPr>
          <w:rFonts w:ascii="Verdana" w:hAnsi="Verdana"/>
          <w:sz w:val="20"/>
          <w:szCs w:val="20"/>
          <w:lang w:val="es-CR"/>
        </w:rPr>
        <w:t>a Corte considera que el Estado ha dado cumplimiento a esta medida</w:t>
      </w:r>
      <w:r w:rsidR="00AB6A5D">
        <w:rPr>
          <w:rFonts w:ascii="Verdana" w:hAnsi="Verdana"/>
          <w:sz w:val="20"/>
          <w:szCs w:val="20"/>
          <w:lang w:val="es-CR"/>
        </w:rPr>
        <w:t xml:space="preserve">, </w:t>
      </w:r>
      <w:r w:rsidR="00080B9F">
        <w:rPr>
          <w:rFonts w:ascii="Verdana" w:hAnsi="Verdana"/>
          <w:sz w:val="20"/>
          <w:szCs w:val="20"/>
          <w:lang w:val="es-CR"/>
        </w:rPr>
        <w:t>dado que mantuvo la Sentencia publicada por el tiempo ordenado en la misma</w:t>
      </w:r>
      <w:r w:rsidR="00F204E6">
        <w:rPr>
          <w:rFonts w:ascii="Verdana" w:hAnsi="Verdana"/>
          <w:sz w:val="20"/>
          <w:szCs w:val="20"/>
          <w:lang w:val="es-CR"/>
        </w:rPr>
        <w:t>.</w:t>
      </w:r>
    </w:p>
    <w:p w14:paraId="5BE7961B" w14:textId="77777777" w:rsidR="00E5152E" w:rsidRPr="0053546C" w:rsidRDefault="00E5152E" w:rsidP="00E5152E">
      <w:pPr>
        <w:pStyle w:val="ListParagraph"/>
        <w:spacing w:after="0" w:line="240" w:lineRule="auto"/>
        <w:ind w:left="0"/>
        <w:jc w:val="both"/>
        <w:rPr>
          <w:rFonts w:ascii="Verdana" w:hAnsi="Verdana"/>
          <w:sz w:val="20"/>
          <w:szCs w:val="20"/>
          <w:lang w:val="es-CR"/>
        </w:rPr>
      </w:pPr>
    </w:p>
    <w:p w14:paraId="5E766C7D" w14:textId="77777777" w:rsidR="00BF18DF" w:rsidRPr="00CD632D" w:rsidRDefault="00F0554E" w:rsidP="00BF18DF">
      <w:pPr>
        <w:pStyle w:val="ListParagraph"/>
        <w:numPr>
          <w:ilvl w:val="0"/>
          <w:numId w:val="2"/>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En consecuencia, </w:t>
      </w:r>
      <w:r w:rsidR="00EB08CC">
        <w:rPr>
          <w:rFonts w:ascii="Verdana" w:hAnsi="Verdana"/>
          <w:sz w:val="20"/>
          <w:szCs w:val="20"/>
          <w:lang w:val="es-CR"/>
        </w:rPr>
        <w:t>la Corte considera que</w:t>
      </w:r>
      <w:r>
        <w:rPr>
          <w:rFonts w:ascii="Verdana" w:hAnsi="Verdana"/>
          <w:sz w:val="20"/>
          <w:szCs w:val="20"/>
          <w:lang w:val="es-CR"/>
        </w:rPr>
        <w:t xml:space="preserve">, dentro del plazo otorgado para ello, </w:t>
      </w:r>
      <w:r w:rsidR="00E5152E">
        <w:rPr>
          <w:rFonts w:ascii="Verdana" w:hAnsi="Verdana"/>
          <w:sz w:val="20"/>
          <w:szCs w:val="20"/>
          <w:lang w:val="es-CR"/>
        </w:rPr>
        <w:t xml:space="preserve">el Estado </w:t>
      </w:r>
      <w:r w:rsidR="00EB08CC">
        <w:rPr>
          <w:rFonts w:ascii="Verdana" w:hAnsi="Verdana"/>
          <w:sz w:val="20"/>
          <w:szCs w:val="20"/>
          <w:lang w:val="es-CR"/>
        </w:rPr>
        <w:t>dio</w:t>
      </w:r>
      <w:r w:rsidR="00E5152E">
        <w:rPr>
          <w:rFonts w:ascii="Verdana" w:hAnsi="Verdana"/>
          <w:sz w:val="20"/>
          <w:szCs w:val="20"/>
          <w:lang w:val="es-CR"/>
        </w:rPr>
        <w:t xml:space="preserve"> cumplimiento total a la</w:t>
      </w:r>
      <w:r>
        <w:rPr>
          <w:rFonts w:ascii="Verdana" w:hAnsi="Verdana"/>
          <w:sz w:val="20"/>
          <w:szCs w:val="20"/>
          <w:lang w:val="es-CR"/>
        </w:rPr>
        <w:t>s</w:t>
      </w:r>
      <w:r w:rsidR="00E5152E">
        <w:rPr>
          <w:rFonts w:ascii="Verdana" w:hAnsi="Verdana"/>
          <w:sz w:val="20"/>
          <w:szCs w:val="20"/>
          <w:lang w:val="es-CR"/>
        </w:rPr>
        <w:t xml:space="preserve"> medida</w:t>
      </w:r>
      <w:r>
        <w:rPr>
          <w:rFonts w:ascii="Verdana" w:hAnsi="Verdana"/>
          <w:sz w:val="20"/>
          <w:szCs w:val="20"/>
          <w:lang w:val="es-CR"/>
        </w:rPr>
        <w:t>s</w:t>
      </w:r>
      <w:r w:rsidR="00E5152E">
        <w:rPr>
          <w:rFonts w:ascii="Verdana" w:hAnsi="Verdana"/>
          <w:sz w:val="20"/>
          <w:szCs w:val="20"/>
          <w:lang w:val="es-CR"/>
        </w:rPr>
        <w:t xml:space="preserve"> de </w:t>
      </w:r>
      <w:r>
        <w:rPr>
          <w:rFonts w:ascii="Verdana" w:hAnsi="Verdana"/>
          <w:sz w:val="20"/>
          <w:szCs w:val="20"/>
          <w:lang w:val="es-CR"/>
        </w:rPr>
        <w:t xml:space="preserve">publicación del resumen oficial de la Sentencia en el Diario Oficial, en un diario de amplia circulación nacional, y de la Sentencia en </w:t>
      </w:r>
      <w:r w:rsidRPr="00CD632D">
        <w:rPr>
          <w:rFonts w:ascii="Verdana" w:hAnsi="Verdana"/>
          <w:sz w:val="20"/>
          <w:szCs w:val="20"/>
          <w:lang w:val="es-CR"/>
        </w:rPr>
        <w:t xml:space="preserve">un sitio </w:t>
      </w:r>
      <w:r w:rsidRPr="00CD632D">
        <w:rPr>
          <w:rFonts w:ascii="Verdana" w:hAnsi="Verdana"/>
          <w:i/>
          <w:sz w:val="20"/>
          <w:szCs w:val="20"/>
          <w:lang w:val="es-CR"/>
        </w:rPr>
        <w:t>web</w:t>
      </w:r>
      <w:r w:rsidRPr="00CD632D">
        <w:rPr>
          <w:rFonts w:ascii="Verdana" w:hAnsi="Verdana"/>
          <w:sz w:val="20"/>
          <w:szCs w:val="20"/>
          <w:lang w:val="es-CR"/>
        </w:rPr>
        <w:t xml:space="preserve"> oficial, ordenadas en el punto resolutivo décimo de la Sentencia.</w:t>
      </w:r>
      <w:r w:rsidR="00E5152E" w:rsidRPr="00CD632D">
        <w:rPr>
          <w:rFonts w:ascii="Verdana" w:hAnsi="Verdana"/>
          <w:sz w:val="20"/>
          <w:szCs w:val="20"/>
          <w:lang w:val="es-CR"/>
        </w:rPr>
        <w:t xml:space="preserve"> </w:t>
      </w:r>
    </w:p>
    <w:p w14:paraId="002CD9B8" w14:textId="6E6B062F" w:rsidR="00E5152E" w:rsidRPr="00CD632D" w:rsidRDefault="00E5152E" w:rsidP="00E5152E">
      <w:pPr>
        <w:spacing w:after="0" w:line="240" w:lineRule="auto"/>
        <w:jc w:val="both"/>
        <w:rPr>
          <w:rFonts w:ascii="Verdana" w:hAnsi="Verdana"/>
          <w:sz w:val="20"/>
          <w:szCs w:val="20"/>
          <w:lang w:val="es-CR"/>
        </w:rPr>
      </w:pPr>
    </w:p>
    <w:p w14:paraId="65CDEED5" w14:textId="40676019" w:rsidR="00A42753" w:rsidRPr="00CD632D" w:rsidRDefault="00A42753" w:rsidP="00A42753">
      <w:pPr>
        <w:pStyle w:val="ListParagraph"/>
        <w:numPr>
          <w:ilvl w:val="0"/>
          <w:numId w:val="8"/>
        </w:numPr>
        <w:spacing w:after="0" w:line="240" w:lineRule="auto"/>
        <w:jc w:val="both"/>
        <w:rPr>
          <w:rFonts w:ascii="Verdana" w:hAnsi="Verdana"/>
          <w:b/>
          <w:sz w:val="20"/>
          <w:szCs w:val="20"/>
          <w:lang w:val="es-CR"/>
        </w:rPr>
      </w:pPr>
      <w:r w:rsidRPr="00CD632D">
        <w:rPr>
          <w:rFonts w:ascii="Verdana" w:hAnsi="Verdana"/>
          <w:b/>
          <w:sz w:val="20"/>
          <w:szCs w:val="20"/>
          <w:lang w:val="es-CR"/>
        </w:rPr>
        <w:t xml:space="preserve">Reintegro al Fondo de Asistencia </w:t>
      </w:r>
      <w:r w:rsidR="004A5B6C" w:rsidRPr="00CD632D">
        <w:rPr>
          <w:rFonts w:ascii="Verdana" w:hAnsi="Verdana"/>
          <w:b/>
          <w:sz w:val="20"/>
          <w:szCs w:val="20"/>
          <w:lang w:val="es-CR"/>
        </w:rPr>
        <w:t xml:space="preserve">Legal de </w:t>
      </w:r>
      <w:r w:rsidRPr="00CD632D">
        <w:rPr>
          <w:rFonts w:ascii="Verdana" w:hAnsi="Verdana"/>
          <w:b/>
          <w:sz w:val="20"/>
          <w:szCs w:val="20"/>
          <w:lang w:val="es-CR"/>
        </w:rPr>
        <w:t>Víctima</w:t>
      </w:r>
      <w:r w:rsidR="004A5B6C" w:rsidRPr="00CD632D">
        <w:rPr>
          <w:rFonts w:ascii="Verdana" w:hAnsi="Verdana"/>
          <w:b/>
          <w:sz w:val="20"/>
          <w:szCs w:val="20"/>
          <w:lang w:val="es-CR"/>
        </w:rPr>
        <w:t>s</w:t>
      </w:r>
    </w:p>
    <w:p w14:paraId="63CEF7A6" w14:textId="77777777" w:rsidR="00A42753" w:rsidRPr="00CD632D" w:rsidRDefault="00A42753" w:rsidP="00A42753">
      <w:pPr>
        <w:spacing w:after="0" w:line="240" w:lineRule="auto"/>
        <w:jc w:val="both"/>
        <w:rPr>
          <w:rFonts w:ascii="Verdana" w:hAnsi="Verdana"/>
          <w:b/>
          <w:sz w:val="20"/>
          <w:szCs w:val="20"/>
          <w:lang w:val="es-CR"/>
        </w:rPr>
      </w:pPr>
    </w:p>
    <w:p w14:paraId="187D99F7" w14:textId="059F0907" w:rsidR="00A42753" w:rsidRPr="00CD632D" w:rsidRDefault="00A42753" w:rsidP="00A42753">
      <w:pPr>
        <w:spacing w:after="0" w:line="240" w:lineRule="auto"/>
        <w:ind w:firstLine="720"/>
        <w:jc w:val="both"/>
        <w:rPr>
          <w:rFonts w:ascii="Verdana" w:hAnsi="Verdana"/>
          <w:i/>
          <w:sz w:val="20"/>
          <w:szCs w:val="20"/>
          <w:lang w:val="es-CR"/>
        </w:rPr>
      </w:pPr>
      <w:r w:rsidRPr="00CD632D">
        <w:rPr>
          <w:rFonts w:ascii="Verdana" w:hAnsi="Verdana"/>
          <w:i/>
          <w:sz w:val="20"/>
          <w:szCs w:val="20"/>
          <w:lang w:val="es-CR"/>
        </w:rPr>
        <w:t>B.1. Medida ordenada por la Corte</w:t>
      </w:r>
    </w:p>
    <w:p w14:paraId="565ACFEE" w14:textId="77777777" w:rsidR="00A42753" w:rsidRPr="00CD632D" w:rsidRDefault="00A42753" w:rsidP="00A42753">
      <w:pPr>
        <w:spacing w:after="0" w:line="240" w:lineRule="auto"/>
        <w:jc w:val="both"/>
        <w:rPr>
          <w:rFonts w:ascii="Verdana" w:hAnsi="Verdana"/>
          <w:b/>
          <w:sz w:val="20"/>
          <w:szCs w:val="20"/>
          <w:lang w:val="es-CR"/>
        </w:rPr>
      </w:pPr>
    </w:p>
    <w:p w14:paraId="3715F7A6" w14:textId="38120F14" w:rsidR="00A42753" w:rsidRPr="00CD632D" w:rsidRDefault="00A42753" w:rsidP="00A42753">
      <w:pPr>
        <w:pStyle w:val="ListParagraph"/>
        <w:numPr>
          <w:ilvl w:val="0"/>
          <w:numId w:val="2"/>
        </w:numPr>
        <w:spacing w:after="0" w:line="240" w:lineRule="auto"/>
        <w:ind w:left="0" w:firstLine="0"/>
        <w:jc w:val="both"/>
        <w:rPr>
          <w:rFonts w:ascii="Verdana" w:hAnsi="Verdana"/>
          <w:sz w:val="20"/>
          <w:szCs w:val="20"/>
          <w:lang w:val="es-CR"/>
        </w:rPr>
      </w:pPr>
      <w:bookmarkStart w:id="5" w:name="_Ref514417154"/>
      <w:r w:rsidRPr="00CD632D">
        <w:rPr>
          <w:rFonts w:ascii="Verdana" w:hAnsi="Verdana"/>
          <w:sz w:val="20"/>
          <w:szCs w:val="20"/>
          <w:lang w:val="es-CR"/>
        </w:rPr>
        <w:t>En razón de las violaciones declaradas en la Sentencia (</w:t>
      </w:r>
      <w:r w:rsidRPr="00CD632D">
        <w:rPr>
          <w:rFonts w:ascii="Verdana" w:hAnsi="Verdana"/>
          <w:i/>
          <w:sz w:val="20"/>
          <w:szCs w:val="20"/>
          <w:lang w:val="es-CR"/>
        </w:rPr>
        <w:t>supra</w:t>
      </w:r>
      <w:r w:rsidRPr="00CD632D">
        <w:rPr>
          <w:rFonts w:ascii="Verdana" w:hAnsi="Verdana"/>
          <w:sz w:val="20"/>
          <w:szCs w:val="20"/>
          <w:lang w:val="es-CR"/>
        </w:rPr>
        <w:t xml:space="preserve"> Visto </w:t>
      </w:r>
      <w:r w:rsidR="00AB6A5D">
        <w:rPr>
          <w:rFonts w:ascii="Verdana" w:hAnsi="Verdana"/>
          <w:sz w:val="20"/>
          <w:szCs w:val="20"/>
          <w:lang w:val="es-CR"/>
        </w:rPr>
        <w:fldChar w:fldCharType="begin"/>
      </w:r>
      <w:r w:rsidR="00AB6A5D">
        <w:rPr>
          <w:rFonts w:ascii="Verdana" w:hAnsi="Verdana"/>
          <w:sz w:val="20"/>
          <w:szCs w:val="20"/>
          <w:lang w:val="es-CR"/>
        </w:rPr>
        <w:instrText xml:space="preserve"> REF _Ref514413225 \r \h </w:instrText>
      </w:r>
      <w:r w:rsidR="00AB6A5D">
        <w:rPr>
          <w:rFonts w:ascii="Verdana" w:hAnsi="Verdana"/>
          <w:sz w:val="20"/>
          <w:szCs w:val="20"/>
          <w:lang w:val="es-CR"/>
        </w:rPr>
      </w:r>
      <w:r w:rsidR="00AB6A5D">
        <w:rPr>
          <w:rFonts w:ascii="Verdana" w:hAnsi="Verdana"/>
          <w:sz w:val="20"/>
          <w:szCs w:val="20"/>
          <w:lang w:val="es-CR"/>
        </w:rPr>
        <w:fldChar w:fldCharType="separate"/>
      </w:r>
      <w:r w:rsidR="00D876EC">
        <w:rPr>
          <w:rFonts w:ascii="Verdana" w:hAnsi="Verdana"/>
          <w:sz w:val="20"/>
          <w:szCs w:val="20"/>
          <w:lang w:val="es-CR"/>
        </w:rPr>
        <w:t>1</w:t>
      </w:r>
      <w:r w:rsidR="00AB6A5D">
        <w:rPr>
          <w:rFonts w:ascii="Verdana" w:hAnsi="Verdana"/>
          <w:sz w:val="20"/>
          <w:szCs w:val="20"/>
          <w:lang w:val="es-CR"/>
        </w:rPr>
        <w:fldChar w:fldCharType="end"/>
      </w:r>
      <w:r w:rsidRPr="00CD632D">
        <w:rPr>
          <w:rFonts w:ascii="Verdana" w:hAnsi="Verdana"/>
          <w:sz w:val="20"/>
          <w:szCs w:val="20"/>
          <w:lang w:val="es-CR"/>
        </w:rPr>
        <w:t>) y en atención a lo establecido en el artículo 5 del Reglamento del Fondo de Asistencia</w:t>
      </w:r>
      <w:r w:rsidRPr="00CD632D">
        <w:rPr>
          <w:rStyle w:val="FootnoteReference"/>
          <w:rFonts w:ascii="Verdana" w:hAnsi="Verdana"/>
          <w:sz w:val="20"/>
          <w:szCs w:val="20"/>
        </w:rPr>
        <w:footnoteReference w:id="14"/>
      </w:r>
      <w:r w:rsidRPr="00CD632D">
        <w:rPr>
          <w:rFonts w:ascii="Verdana" w:hAnsi="Verdana"/>
          <w:sz w:val="20"/>
          <w:szCs w:val="20"/>
          <w:lang w:val="es-CR"/>
        </w:rPr>
        <w:t>, en el párrafo 237 y en el punto dispositivo décimo segundo del Fallo, la Corte ordenó al Estado el reintegro a dicho Fondo de la cantidad de USD $ 8.523,10 (ocho mil quinientos veintitrés dólares de los Estados Unidos de América con diez centavos)</w:t>
      </w:r>
      <w:r w:rsidR="00CD632D" w:rsidRPr="00CD632D">
        <w:rPr>
          <w:rFonts w:ascii="Verdana" w:hAnsi="Verdana" w:cs="Verdana"/>
          <w:sz w:val="20"/>
          <w:szCs w:val="20"/>
          <w:lang w:val="es-CR"/>
        </w:rPr>
        <w:t xml:space="preserve">. </w:t>
      </w:r>
      <w:r w:rsidRPr="00CD632D">
        <w:rPr>
          <w:rFonts w:ascii="Verdana" w:hAnsi="Verdana" w:cs="Verdana"/>
          <w:sz w:val="20"/>
          <w:szCs w:val="20"/>
          <w:lang w:val="es-CR"/>
        </w:rPr>
        <w:t>La Corte dispuso que dicha cantidad debía ser reintegrada en el plazo de 90 días contado a partir de la notificación del Fallo</w:t>
      </w:r>
      <w:r w:rsidRPr="00CD632D">
        <w:rPr>
          <w:rStyle w:val="FootnoteReference"/>
          <w:rFonts w:ascii="Verdana" w:hAnsi="Verdana" w:cs="Verdana"/>
          <w:sz w:val="20"/>
          <w:szCs w:val="20"/>
        </w:rPr>
        <w:footnoteReference w:id="15"/>
      </w:r>
      <w:r w:rsidRPr="00CD632D">
        <w:rPr>
          <w:rFonts w:ascii="Verdana" w:hAnsi="Verdana" w:cs="Verdana"/>
          <w:sz w:val="20"/>
          <w:szCs w:val="20"/>
          <w:lang w:val="es-CR"/>
        </w:rPr>
        <w:t>.</w:t>
      </w:r>
      <w:bookmarkEnd w:id="5"/>
      <w:r w:rsidRPr="00CD632D">
        <w:rPr>
          <w:rFonts w:ascii="Verdana" w:hAnsi="Verdana" w:cs="Verdana"/>
          <w:sz w:val="20"/>
          <w:szCs w:val="20"/>
          <w:lang w:val="es-CR"/>
        </w:rPr>
        <w:t xml:space="preserve"> </w:t>
      </w:r>
    </w:p>
    <w:p w14:paraId="412A1055" w14:textId="77777777" w:rsidR="00A42753" w:rsidRPr="00CD632D" w:rsidRDefault="00A42753" w:rsidP="00A42753">
      <w:pPr>
        <w:spacing w:after="0" w:line="240" w:lineRule="auto"/>
        <w:jc w:val="both"/>
        <w:rPr>
          <w:rFonts w:ascii="Verdana" w:hAnsi="Verdana"/>
          <w:b/>
          <w:sz w:val="20"/>
          <w:szCs w:val="20"/>
          <w:lang w:val="es-CR"/>
        </w:rPr>
      </w:pPr>
    </w:p>
    <w:p w14:paraId="40363FE4" w14:textId="4DE24699" w:rsidR="00A42753" w:rsidRPr="00CD632D" w:rsidRDefault="00A42753" w:rsidP="00A42753">
      <w:pPr>
        <w:spacing w:after="0" w:line="240" w:lineRule="auto"/>
        <w:ind w:firstLine="720"/>
        <w:jc w:val="both"/>
        <w:rPr>
          <w:rFonts w:ascii="Verdana" w:hAnsi="Verdana"/>
          <w:i/>
          <w:sz w:val="20"/>
          <w:szCs w:val="20"/>
          <w:lang w:val="es-CR"/>
        </w:rPr>
      </w:pPr>
      <w:r w:rsidRPr="00CD632D">
        <w:rPr>
          <w:rFonts w:ascii="Verdana" w:hAnsi="Verdana"/>
          <w:i/>
          <w:sz w:val="20"/>
          <w:szCs w:val="20"/>
          <w:lang w:val="es-CR"/>
        </w:rPr>
        <w:t>B.2. Consideraciones de la Corte</w:t>
      </w:r>
    </w:p>
    <w:p w14:paraId="0017C2D1" w14:textId="77777777" w:rsidR="00A42753" w:rsidRPr="00CD632D" w:rsidRDefault="00A42753" w:rsidP="00A42753">
      <w:pPr>
        <w:spacing w:after="0" w:line="240" w:lineRule="auto"/>
        <w:jc w:val="both"/>
        <w:rPr>
          <w:rFonts w:ascii="Verdana" w:hAnsi="Verdana"/>
          <w:b/>
          <w:sz w:val="20"/>
          <w:szCs w:val="20"/>
          <w:lang w:val="es-CR"/>
        </w:rPr>
      </w:pPr>
    </w:p>
    <w:p w14:paraId="03FF4A83" w14:textId="5DE67D87" w:rsidR="00A42753" w:rsidRPr="00CD632D" w:rsidRDefault="00A42753" w:rsidP="00A42753">
      <w:pPr>
        <w:pStyle w:val="ListParagraph"/>
        <w:numPr>
          <w:ilvl w:val="0"/>
          <w:numId w:val="2"/>
        </w:numPr>
        <w:spacing w:after="0" w:line="240" w:lineRule="auto"/>
        <w:ind w:left="0" w:firstLine="0"/>
        <w:jc w:val="both"/>
        <w:rPr>
          <w:rFonts w:ascii="Verdana" w:hAnsi="Verdana"/>
          <w:b/>
          <w:sz w:val="20"/>
          <w:szCs w:val="20"/>
          <w:lang w:val="es-CR"/>
        </w:rPr>
      </w:pPr>
      <w:r w:rsidRPr="00CD632D">
        <w:rPr>
          <w:rFonts w:ascii="Verdana" w:hAnsi="Verdana" w:cs="Verdana"/>
          <w:sz w:val="20"/>
          <w:szCs w:val="20"/>
          <w:lang w:val="es-CR"/>
        </w:rPr>
        <w:t xml:space="preserve">El Tribunal ha constatado que, mediante transferencia bancaria realizada el </w:t>
      </w:r>
      <w:r w:rsidR="00CD632D" w:rsidRPr="00CD632D">
        <w:rPr>
          <w:rFonts w:ascii="Verdana" w:hAnsi="Verdana" w:cs="Verdana"/>
          <w:sz w:val="20"/>
          <w:szCs w:val="20"/>
          <w:lang w:val="es-CR"/>
        </w:rPr>
        <w:t>14</w:t>
      </w:r>
      <w:r w:rsidRPr="00CD632D">
        <w:rPr>
          <w:rFonts w:ascii="Verdana" w:hAnsi="Verdana" w:cs="Verdana"/>
          <w:sz w:val="20"/>
          <w:szCs w:val="20"/>
          <w:lang w:val="es-CR"/>
        </w:rPr>
        <w:t xml:space="preserve"> de </w:t>
      </w:r>
      <w:r w:rsidR="00CD632D" w:rsidRPr="00CD632D">
        <w:rPr>
          <w:rFonts w:ascii="Verdana" w:hAnsi="Verdana" w:cs="Verdana"/>
          <w:sz w:val="20"/>
          <w:szCs w:val="20"/>
          <w:lang w:val="es-CR"/>
        </w:rPr>
        <w:t>febrero</w:t>
      </w:r>
      <w:r w:rsidRPr="00CD632D">
        <w:rPr>
          <w:rFonts w:ascii="Verdana" w:hAnsi="Verdana" w:cs="Verdana"/>
          <w:sz w:val="20"/>
          <w:szCs w:val="20"/>
          <w:lang w:val="es-CR"/>
        </w:rPr>
        <w:t xml:space="preserve"> de 2018 por el Ministerio de Justicia y Derechos Humanos del Perú</w:t>
      </w:r>
      <w:r w:rsidR="00227475" w:rsidRPr="00CD632D">
        <w:rPr>
          <w:rStyle w:val="FootnoteReference"/>
          <w:rFonts w:ascii="Verdana" w:hAnsi="Verdana" w:cs="Verdana"/>
          <w:sz w:val="20"/>
          <w:szCs w:val="20"/>
          <w:lang w:val="es-CR"/>
        </w:rPr>
        <w:footnoteReference w:id="16"/>
      </w:r>
      <w:r w:rsidRPr="00CD632D">
        <w:rPr>
          <w:rFonts w:ascii="Verdana" w:hAnsi="Verdana" w:cs="Verdana"/>
          <w:sz w:val="20"/>
          <w:szCs w:val="20"/>
          <w:lang w:val="es-CR"/>
        </w:rPr>
        <w:t xml:space="preserve">, </w:t>
      </w:r>
      <w:r w:rsidR="00227475" w:rsidRPr="00CD632D">
        <w:rPr>
          <w:rFonts w:ascii="Verdana" w:hAnsi="Verdana" w:cs="Verdana"/>
          <w:sz w:val="20"/>
          <w:szCs w:val="20"/>
          <w:lang w:val="es-CR"/>
        </w:rPr>
        <w:t xml:space="preserve">el Estado ha cumplido con reintegrar al Fondo de Asistencia Legal de Víctimas la cantidad dispuesta en el párrafo </w:t>
      </w:r>
      <w:r w:rsidR="00196FC6">
        <w:rPr>
          <w:rFonts w:ascii="Verdana" w:hAnsi="Verdana" w:cs="Verdana"/>
          <w:sz w:val="20"/>
          <w:szCs w:val="20"/>
          <w:lang w:val="es-CR"/>
        </w:rPr>
        <w:t>237</w:t>
      </w:r>
      <w:r w:rsidR="00196FC6" w:rsidRPr="00CD632D">
        <w:rPr>
          <w:rFonts w:ascii="Verdana" w:hAnsi="Verdana" w:cs="Verdana"/>
          <w:sz w:val="20"/>
          <w:szCs w:val="20"/>
          <w:lang w:val="es-CR"/>
        </w:rPr>
        <w:t xml:space="preserve"> </w:t>
      </w:r>
      <w:r w:rsidR="00227475" w:rsidRPr="00CD632D">
        <w:rPr>
          <w:rFonts w:ascii="Verdana" w:hAnsi="Verdana" w:cs="Verdana"/>
          <w:sz w:val="20"/>
          <w:szCs w:val="20"/>
          <w:lang w:val="es-CR"/>
        </w:rPr>
        <w:t xml:space="preserve">de la Sentencia. Sin embargo, realizó dicho pago </w:t>
      </w:r>
      <w:r w:rsidR="004A5B6C" w:rsidRPr="00CD632D">
        <w:rPr>
          <w:rFonts w:ascii="Verdana" w:hAnsi="Verdana" w:cs="Verdana"/>
          <w:sz w:val="20"/>
          <w:szCs w:val="20"/>
          <w:lang w:val="es-CR"/>
        </w:rPr>
        <w:t xml:space="preserve">casi </w:t>
      </w:r>
      <w:r w:rsidR="00CD632D">
        <w:rPr>
          <w:rFonts w:ascii="Verdana" w:hAnsi="Verdana" w:cs="Verdana"/>
          <w:sz w:val="20"/>
          <w:szCs w:val="20"/>
          <w:lang w:val="es-CR"/>
        </w:rPr>
        <w:t>seis</w:t>
      </w:r>
      <w:r w:rsidR="00227475" w:rsidRPr="00CD632D">
        <w:rPr>
          <w:rFonts w:ascii="Verdana" w:hAnsi="Verdana" w:cs="Verdana"/>
          <w:sz w:val="20"/>
          <w:szCs w:val="20"/>
          <w:lang w:val="es-CR"/>
        </w:rPr>
        <w:t xml:space="preserve"> meses después del vencimiento del plazo de seis meses dispuesto en </w:t>
      </w:r>
      <w:r w:rsidR="004A5B6C" w:rsidRPr="00CD632D">
        <w:rPr>
          <w:rFonts w:ascii="Verdana" w:hAnsi="Verdana" w:cs="Verdana"/>
          <w:sz w:val="20"/>
          <w:szCs w:val="20"/>
          <w:lang w:val="es-CR"/>
        </w:rPr>
        <w:t>la Sentencia</w:t>
      </w:r>
      <w:r w:rsidR="00227475" w:rsidRPr="00CD632D">
        <w:rPr>
          <w:rFonts w:ascii="Verdana" w:hAnsi="Verdana" w:cs="Verdana"/>
          <w:sz w:val="20"/>
          <w:szCs w:val="20"/>
          <w:lang w:val="es-CR"/>
        </w:rPr>
        <w:t xml:space="preserve"> (</w:t>
      </w:r>
      <w:r w:rsidR="00227475" w:rsidRPr="00CD632D">
        <w:rPr>
          <w:rFonts w:ascii="Verdana" w:hAnsi="Verdana" w:cs="Verdana"/>
          <w:i/>
          <w:sz w:val="20"/>
          <w:szCs w:val="20"/>
          <w:lang w:val="es-CR"/>
        </w:rPr>
        <w:t>supra</w:t>
      </w:r>
      <w:r w:rsidR="00227475" w:rsidRPr="00CD632D">
        <w:rPr>
          <w:rFonts w:ascii="Verdana" w:hAnsi="Verdana" w:cs="Verdana"/>
          <w:sz w:val="20"/>
          <w:szCs w:val="20"/>
          <w:lang w:val="es-CR"/>
        </w:rPr>
        <w:t xml:space="preserve"> Visto </w:t>
      </w:r>
      <w:r w:rsidR="00196FC6">
        <w:rPr>
          <w:rFonts w:ascii="Verdana" w:hAnsi="Verdana" w:cs="Verdana"/>
          <w:sz w:val="20"/>
          <w:szCs w:val="20"/>
          <w:lang w:val="es-CR"/>
        </w:rPr>
        <w:fldChar w:fldCharType="begin"/>
      </w:r>
      <w:r w:rsidR="00196FC6">
        <w:rPr>
          <w:rFonts w:ascii="Verdana" w:hAnsi="Verdana" w:cs="Verdana"/>
          <w:sz w:val="20"/>
          <w:szCs w:val="20"/>
          <w:lang w:val="es-CR"/>
        </w:rPr>
        <w:instrText xml:space="preserve"> REF _Ref514413502 \r \h </w:instrText>
      </w:r>
      <w:r w:rsidR="00196FC6">
        <w:rPr>
          <w:rFonts w:ascii="Verdana" w:hAnsi="Verdana" w:cs="Verdana"/>
          <w:sz w:val="20"/>
          <w:szCs w:val="20"/>
          <w:lang w:val="es-CR"/>
        </w:rPr>
      </w:r>
      <w:r w:rsidR="00196FC6">
        <w:rPr>
          <w:rFonts w:ascii="Verdana" w:hAnsi="Verdana" w:cs="Verdana"/>
          <w:sz w:val="20"/>
          <w:szCs w:val="20"/>
          <w:lang w:val="es-CR"/>
        </w:rPr>
        <w:fldChar w:fldCharType="separate"/>
      </w:r>
      <w:r w:rsidR="00D876EC">
        <w:rPr>
          <w:rFonts w:ascii="Verdana" w:hAnsi="Verdana" w:cs="Verdana"/>
          <w:sz w:val="20"/>
          <w:szCs w:val="20"/>
          <w:lang w:val="es-CR"/>
        </w:rPr>
        <w:t>1</w:t>
      </w:r>
      <w:r w:rsidR="00196FC6">
        <w:rPr>
          <w:rFonts w:ascii="Verdana" w:hAnsi="Verdana" w:cs="Verdana"/>
          <w:sz w:val="20"/>
          <w:szCs w:val="20"/>
          <w:lang w:val="es-CR"/>
        </w:rPr>
        <w:fldChar w:fldCharType="end"/>
      </w:r>
      <w:r w:rsidR="00227475" w:rsidRPr="00CD632D">
        <w:rPr>
          <w:rFonts w:ascii="Verdana" w:hAnsi="Verdana" w:cs="Verdana"/>
          <w:sz w:val="20"/>
          <w:szCs w:val="20"/>
          <w:lang w:val="es-CR"/>
        </w:rPr>
        <w:t xml:space="preserve"> y Considerando </w:t>
      </w:r>
      <w:r w:rsidR="00196FC6">
        <w:rPr>
          <w:rFonts w:ascii="Verdana" w:hAnsi="Verdana" w:cs="Verdana"/>
          <w:sz w:val="20"/>
          <w:szCs w:val="20"/>
          <w:lang w:val="es-CR"/>
        </w:rPr>
        <w:fldChar w:fldCharType="begin"/>
      </w:r>
      <w:r w:rsidR="00196FC6">
        <w:rPr>
          <w:rFonts w:ascii="Verdana" w:hAnsi="Verdana" w:cs="Verdana"/>
          <w:sz w:val="20"/>
          <w:szCs w:val="20"/>
          <w:lang w:val="es-CR"/>
        </w:rPr>
        <w:instrText xml:space="preserve"> REF _Ref514417154 \r \h </w:instrText>
      </w:r>
      <w:r w:rsidR="00196FC6">
        <w:rPr>
          <w:rFonts w:ascii="Verdana" w:hAnsi="Verdana" w:cs="Verdana"/>
          <w:sz w:val="20"/>
          <w:szCs w:val="20"/>
          <w:lang w:val="es-CR"/>
        </w:rPr>
      </w:r>
      <w:r w:rsidR="00196FC6">
        <w:rPr>
          <w:rFonts w:ascii="Verdana" w:hAnsi="Verdana" w:cs="Verdana"/>
          <w:sz w:val="20"/>
          <w:szCs w:val="20"/>
          <w:lang w:val="es-CR"/>
        </w:rPr>
        <w:fldChar w:fldCharType="separate"/>
      </w:r>
      <w:r w:rsidR="00D876EC">
        <w:rPr>
          <w:rFonts w:ascii="Verdana" w:hAnsi="Verdana" w:cs="Verdana"/>
          <w:sz w:val="20"/>
          <w:szCs w:val="20"/>
          <w:lang w:val="es-CR"/>
        </w:rPr>
        <w:t>7</w:t>
      </w:r>
      <w:r w:rsidR="00196FC6">
        <w:rPr>
          <w:rFonts w:ascii="Verdana" w:hAnsi="Verdana" w:cs="Verdana"/>
          <w:sz w:val="20"/>
          <w:szCs w:val="20"/>
          <w:lang w:val="es-CR"/>
        </w:rPr>
        <w:fldChar w:fldCharType="end"/>
      </w:r>
      <w:r w:rsidR="00227475" w:rsidRPr="00CD632D">
        <w:rPr>
          <w:rFonts w:ascii="Verdana" w:hAnsi="Verdana" w:cs="Verdana"/>
          <w:sz w:val="20"/>
          <w:szCs w:val="20"/>
          <w:lang w:val="es-CR"/>
        </w:rPr>
        <w:t>), y no incluyó un monto por concepto de los intereses moratorios derivados de ese tiempo de retraso</w:t>
      </w:r>
      <w:r w:rsidR="00196FC6">
        <w:rPr>
          <w:rStyle w:val="FootnoteReference"/>
          <w:rFonts w:ascii="Verdana" w:hAnsi="Verdana" w:cs="Verdana"/>
          <w:sz w:val="20"/>
          <w:szCs w:val="20"/>
          <w:lang w:val="es-CR"/>
        </w:rPr>
        <w:footnoteReference w:id="17"/>
      </w:r>
      <w:r w:rsidR="00227475" w:rsidRPr="00CD632D">
        <w:rPr>
          <w:rFonts w:ascii="Verdana" w:hAnsi="Verdana" w:cs="Verdana"/>
          <w:sz w:val="20"/>
          <w:szCs w:val="20"/>
          <w:lang w:val="es-CR"/>
        </w:rPr>
        <w:t>. Por lo tanto, se requiere al Estado que, a la brevedad, pague al Fondo de Asistencia de la Corte el monto correspondiente a los referidos intereses moratorios.</w:t>
      </w:r>
    </w:p>
    <w:p w14:paraId="25D058F9" w14:textId="77777777" w:rsidR="00227475" w:rsidRPr="00227475" w:rsidRDefault="00227475" w:rsidP="00227475">
      <w:pPr>
        <w:pStyle w:val="ListParagraph"/>
        <w:spacing w:after="0" w:line="240" w:lineRule="auto"/>
        <w:ind w:left="0"/>
        <w:jc w:val="both"/>
        <w:rPr>
          <w:rFonts w:ascii="Verdana" w:hAnsi="Verdana"/>
          <w:b/>
          <w:sz w:val="20"/>
          <w:szCs w:val="20"/>
          <w:highlight w:val="yellow"/>
          <w:lang w:val="es-CR"/>
        </w:rPr>
      </w:pPr>
    </w:p>
    <w:p w14:paraId="2995FD11" w14:textId="50F3BCB7" w:rsidR="00227475" w:rsidRPr="00CD632D" w:rsidRDefault="00227475" w:rsidP="00227475">
      <w:pPr>
        <w:pStyle w:val="ListParagraph"/>
        <w:numPr>
          <w:ilvl w:val="0"/>
          <w:numId w:val="2"/>
        </w:numPr>
        <w:spacing w:after="0" w:line="240" w:lineRule="auto"/>
        <w:ind w:left="0" w:firstLine="0"/>
        <w:jc w:val="both"/>
        <w:rPr>
          <w:rFonts w:ascii="Verdana" w:hAnsi="Verdana"/>
          <w:sz w:val="20"/>
          <w:szCs w:val="20"/>
          <w:lang w:val="es-CR"/>
        </w:rPr>
      </w:pPr>
      <w:r w:rsidRPr="00CD632D">
        <w:rPr>
          <w:rFonts w:ascii="Verdana" w:hAnsi="Verdana"/>
          <w:sz w:val="20"/>
          <w:szCs w:val="20"/>
          <w:lang w:val="es-CR"/>
        </w:rPr>
        <w:t xml:space="preserve">El Tribunal recuerda que la creación del Fondo de Asistencia Legal del Sistema </w:t>
      </w:r>
      <w:r w:rsidRPr="00CD632D">
        <w:rPr>
          <w:rFonts w:ascii="Verdana" w:hAnsi="Verdana" w:cs="Verdana"/>
          <w:sz w:val="20"/>
          <w:szCs w:val="20"/>
          <w:lang w:val="es-CR"/>
        </w:rPr>
        <w:t>Interamericano</w:t>
      </w:r>
      <w:r w:rsidRPr="00CD632D">
        <w:rPr>
          <w:rFonts w:ascii="Verdana" w:hAnsi="Verdana"/>
          <w:sz w:val="20"/>
          <w:szCs w:val="20"/>
          <w:lang w:val="es-CR"/>
        </w:rPr>
        <w:t xml:space="preserve"> fue aprobada en el 2008 por la Asamblea General de la OEA</w:t>
      </w:r>
      <w:r w:rsidRPr="00CD632D">
        <w:rPr>
          <w:rStyle w:val="FootnoteReference"/>
          <w:rFonts w:ascii="Verdana" w:hAnsi="Verdana"/>
          <w:sz w:val="20"/>
          <w:szCs w:val="20"/>
        </w:rPr>
        <w:footnoteReference w:id="18"/>
      </w:r>
      <w:r w:rsidRPr="00CD632D">
        <w:rPr>
          <w:rFonts w:ascii="Verdana" w:hAnsi="Verdana"/>
          <w:sz w:val="20"/>
          <w:szCs w:val="20"/>
          <w:lang w:val="es-CR"/>
        </w:rPr>
        <w:t>, y se aprobó que tuviera dos cuentas separadas: una para la Comisión Interamericana y otra para la Corte Interamericana</w:t>
      </w:r>
      <w:r w:rsidRPr="00CD632D">
        <w:rPr>
          <w:rStyle w:val="FootnoteReference"/>
          <w:rFonts w:ascii="Verdana" w:hAnsi="Verdana"/>
          <w:sz w:val="20"/>
          <w:szCs w:val="20"/>
        </w:rPr>
        <w:footnoteReference w:id="19"/>
      </w:r>
      <w:r w:rsidRPr="00CD632D">
        <w:rPr>
          <w:rFonts w:ascii="Verdana" w:hAnsi="Verdana"/>
          <w:sz w:val="20"/>
          <w:szCs w:val="20"/>
          <w:lang w:val="es-CR"/>
        </w:rPr>
        <w:t xml:space="preserve">. En lo que respecta al financiamiento del Fondo de Asistencia de la Corte, el Tribunal recuerda que desde su funcionamiento a partir del 2010, este ha dependido de los </w:t>
      </w:r>
      <w:r w:rsidRPr="00CD632D">
        <w:rPr>
          <w:rFonts w:ascii="Verdana" w:hAnsi="Verdana" w:cs="Verdana"/>
          <w:sz w:val="20"/>
          <w:szCs w:val="20"/>
          <w:lang w:val="es-CR"/>
        </w:rPr>
        <w:t>aportes de capital voluntarios de fuentes cooperantes y del aporte de un Estado miembro de la OEA</w:t>
      </w:r>
      <w:r w:rsidRPr="00CD632D">
        <w:rPr>
          <w:rStyle w:val="FootnoteReference"/>
          <w:rFonts w:ascii="Verdana" w:hAnsi="Verdana" w:cs="Verdana"/>
          <w:sz w:val="20"/>
          <w:szCs w:val="20"/>
        </w:rPr>
        <w:footnoteReference w:id="20"/>
      </w:r>
      <w:r w:rsidRPr="00CD632D">
        <w:rPr>
          <w:rFonts w:ascii="Verdana" w:hAnsi="Verdana" w:cs="Verdana"/>
          <w:sz w:val="20"/>
          <w:szCs w:val="20"/>
          <w:lang w:val="es-CR"/>
        </w:rPr>
        <w:t xml:space="preserve">, así como de los reintegros que realicen los Estados responsables, razón por la cual los recursos </w:t>
      </w:r>
      <w:r w:rsidRPr="00CD632D">
        <w:rPr>
          <w:rFonts w:ascii="Verdana" w:hAnsi="Verdana" w:cs="Verdana"/>
          <w:bCs/>
          <w:sz w:val="20"/>
          <w:szCs w:val="20"/>
          <w:lang w:val="es-CR"/>
        </w:rPr>
        <w:t xml:space="preserve">disponibles en el mismo son limitados. Es por </w:t>
      </w:r>
      <w:r w:rsidRPr="00CD632D">
        <w:rPr>
          <w:rFonts w:ascii="Verdana" w:hAnsi="Verdana" w:cs="Verdana"/>
          <w:bCs/>
          <w:sz w:val="20"/>
          <w:szCs w:val="20"/>
          <w:lang w:val="es-CR"/>
        </w:rPr>
        <w:lastRenderedPageBreak/>
        <w:t xml:space="preserve">ello que el </w:t>
      </w:r>
      <w:r w:rsidRPr="00CD632D">
        <w:rPr>
          <w:rFonts w:ascii="Verdana" w:hAnsi="Verdana"/>
          <w:sz w:val="20"/>
          <w:szCs w:val="20"/>
          <w:lang w:val="es-CR"/>
        </w:rPr>
        <w:t>Tribunal</w:t>
      </w:r>
      <w:r w:rsidRPr="00CD632D">
        <w:rPr>
          <w:rFonts w:ascii="Verdana" w:hAnsi="Verdana" w:cs="Verdana"/>
          <w:bCs/>
          <w:sz w:val="20"/>
          <w:szCs w:val="20"/>
          <w:lang w:val="es-CR"/>
        </w:rPr>
        <w:t xml:space="preserve"> </w:t>
      </w:r>
      <w:r w:rsidRPr="00CD632D">
        <w:rPr>
          <w:rFonts w:ascii="Verdana" w:hAnsi="Verdana"/>
          <w:sz w:val="20"/>
          <w:szCs w:val="20"/>
          <w:lang w:val="es-CR"/>
        </w:rPr>
        <w:t>resalta la voluntad de cumplimiento de sus obligaciones internacionales demostrada por el Estado del Perú al reintegrar los recursos al referido Fondo de Asistencia. El reintegro realizado por el Perú contribuirá a la sostenibilidad de dicho Fondo, el cual está dirigido a brindar asistencia económica a las presuntas víctimas que carecen de recursos económicos suficientes para sufragar los gastos del litigio ante la Corte Interamericana, garantizando su acceso a la justicia en términos igualitarios.</w:t>
      </w:r>
    </w:p>
    <w:p w14:paraId="445ED4DE" w14:textId="77777777" w:rsidR="00227475" w:rsidRPr="00A42753" w:rsidRDefault="00227475" w:rsidP="00227475">
      <w:pPr>
        <w:pStyle w:val="ListParagraph"/>
        <w:spacing w:after="0" w:line="240" w:lineRule="auto"/>
        <w:ind w:left="0"/>
        <w:jc w:val="both"/>
        <w:rPr>
          <w:rFonts w:ascii="Verdana" w:hAnsi="Verdana"/>
          <w:b/>
          <w:sz w:val="20"/>
          <w:szCs w:val="20"/>
          <w:lang w:val="es-CR"/>
        </w:rPr>
      </w:pPr>
    </w:p>
    <w:p w14:paraId="73C6251E" w14:textId="77777777" w:rsidR="00A42753" w:rsidRDefault="00A42753" w:rsidP="00E5152E">
      <w:pPr>
        <w:spacing w:after="0" w:line="240" w:lineRule="auto"/>
        <w:jc w:val="both"/>
        <w:rPr>
          <w:rFonts w:ascii="Verdana" w:hAnsi="Verdana"/>
          <w:sz w:val="20"/>
          <w:szCs w:val="20"/>
          <w:lang w:val="es-CR"/>
        </w:rPr>
      </w:pPr>
    </w:p>
    <w:p w14:paraId="53A9274F" w14:textId="42FD1C4F" w:rsidR="00E5152E" w:rsidRDefault="00E5152E" w:rsidP="00AE4AD5">
      <w:pPr>
        <w:tabs>
          <w:tab w:val="left" w:pos="3644"/>
        </w:tabs>
        <w:spacing w:after="0" w:line="240" w:lineRule="auto"/>
        <w:jc w:val="both"/>
        <w:rPr>
          <w:rFonts w:ascii="Verdana" w:hAnsi="Verdana"/>
          <w:b/>
          <w:sz w:val="20"/>
          <w:szCs w:val="20"/>
          <w:lang w:val="es-CR"/>
        </w:rPr>
      </w:pPr>
      <w:r>
        <w:rPr>
          <w:rFonts w:ascii="Verdana" w:hAnsi="Verdana"/>
          <w:b/>
          <w:sz w:val="20"/>
          <w:szCs w:val="20"/>
          <w:lang w:val="es-CR"/>
        </w:rPr>
        <w:t>POR TANTO:</w:t>
      </w:r>
      <w:r w:rsidR="00AE4AD5">
        <w:rPr>
          <w:rFonts w:ascii="Verdana" w:hAnsi="Verdana"/>
          <w:b/>
          <w:sz w:val="20"/>
          <w:szCs w:val="20"/>
          <w:lang w:val="es-CR"/>
        </w:rPr>
        <w:tab/>
      </w:r>
    </w:p>
    <w:p w14:paraId="28159478" w14:textId="77777777" w:rsidR="0018708E" w:rsidRDefault="0018708E" w:rsidP="00AE4AD5">
      <w:pPr>
        <w:tabs>
          <w:tab w:val="left" w:pos="3644"/>
        </w:tabs>
        <w:spacing w:after="0" w:line="240" w:lineRule="auto"/>
        <w:jc w:val="both"/>
        <w:rPr>
          <w:rFonts w:ascii="Verdana" w:hAnsi="Verdana"/>
          <w:b/>
          <w:sz w:val="20"/>
          <w:szCs w:val="20"/>
          <w:lang w:val="es-CR"/>
        </w:rPr>
      </w:pPr>
    </w:p>
    <w:p w14:paraId="1B55D5C6" w14:textId="77777777" w:rsidR="00E5152E" w:rsidRDefault="00E5152E" w:rsidP="00E5152E">
      <w:pPr>
        <w:spacing w:after="0" w:line="240" w:lineRule="auto"/>
        <w:jc w:val="both"/>
        <w:rPr>
          <w:rFonts w:ascii="Verdana" w:hAnsi="Verdana"/>
          <w:b/>
          <w:sz w:val="20"/>
          <w:szCs w:val="20"/>
          <w:lang w:val="es-CR"/>
        </w:rPr>
      </w:pPr>
      <w:r>
        <w:rPr>
          <w:rFonts w:ascii="Verdana" w:hAnsi="Verdana"/>
          <w:b/>
          <w:sz w:val="20"/>
          <w:szCs w:val="20"/>
          <w:lang w:val="es-CR"/>
        </w:rPr>
        <w:t xml:space="preserve">LA CORTE INTERAMERICANA DE DERECHOS HUMANOS, </w:t>
      </w:r>
    </w:p>
    <w:p w14:paraId="46F6C726" w14:textId="77777777" w:rsidR="00E5152E" w:rsidRDefault="00E5152E" w:rsidP="00E5152E">
      <w:pPr>
        <w:spacing w:after="0" w:line="240" w:lineRule="auto"/>
        <w:jc w:val="both"/>
        <w:rPr>
          <w:rFonts w:ascii="Verdana" w:hAnsi="Verdana"/>
          <w:b/>
          <w:sz w:val="20"/>
          <w:szCs w:val="20"/>
          <w:lang w:val="es-CR"/>
        </w:rPr>
      </w:pPr>
    </w:p>
    <w:p w14:paraId="1DDC6FE2" w14:textId="6EF8EF9B" w:rsidR="00E5152E" w:rsidRDefault="008F4C18" w:rsidP="008F4C18">
      <w:pPr>
        <w:spacing w:after="0" w:line="240" w:lineRule="auto"/>
        <w:jc w:val="both"/>
        <w:rPr>
          <w:rFonts w:ascii="Verdana" w:hAnsi="Verdana"/>
          <w:sz w:val="20"/>
          <w:szCs w:val="20"/>
          <w:lang w:val="es-CR"/>
        </w:rPr>
      </w:pPr>
      <w:r w:rsidRPr="008F4C18">
        <w:rPr>
          <w:rFonts w:ascii="Verdana" w:hAnsi="Verdana"/>
          <w:sz w:val="20"/>
          <w:szCs w:val="20"/>
          <w:lang w:val="es-CR"/>
        </w:rPr>
        <w:t>en el ejercicio de sus atribuciones de supervisión del cumplimiento de sus decisiones, de</w:t>
      </w:r>
      <w:r w:rsidR="0018708E">
        <w:rPr>
          <w:rFonts w:ascii="Verdana" w:hAnsi="Verdana"/>
          <w:sz w:val="20"/>
          <w:szCs w:val="20"/>
          <w:lang w:val="es-CR"/>
        </w:rPr>
        <w:t xml:space="preserve"> </w:t>
      </w:r>
      <w:r w:rsidRPr="008F4C18">
        <w:rPr>
          <w:rFonts w:ascii="Verdana" w:hAnsi="Verdana"/>
          <w:sz w:val="20"/>
          <w:szCs w:val="20"/>
          <w:lang w:val="es-CR"/>
        </w:rPr>
        <w:t>conformidad con los artículos 33, 62.1, 62.3, 65, 67 y 68.1 de la Convención Americana</w:t>
      </w:r>
      <w:r w:rsidR="0018708E">
        <w:rPr>
          <w:rFonts w:ascii="Verdana" w:hAnsi="Verdana"/>
          <w:sz w:val="20"/>
          <w:szCs w:val="20"/>
          <w:lang w:val="es-CR"/>
        </w:rPr>
        <w:t xml:space="preserve"> </w:t>
      </w:r>
      <w:r w:rsidRPr="008F4C18">
        <w:rPr>
          <w:rFonts w:ascii="Verdana" w:hAnsi="Verdana"/>
          <w:sz w:val="20"/>
          <w:szCs w:val="20"/>
          <w:lang w:val="es-CR"/>
        </w:rPr>
        <w:t>sobre Derechos Humanos, 24, 25 y 30 del Estatuto y 31.2 y 69 de su Reglamento,</w:t>
      </w:r>
    </w:p>
    <w:p w14:paraId="2CBCF2D1" w14:textId="77777777" w:rsidR="008F4C18" w:rsidRDefault="008F4C18" w:rsidP="008F4C18">
      <w:pPr>
        <w:spacing w:after="0" w:line="240" w:lineRule="auto"/>
        <w:jc w:val="both"/>
        <w:rPr>
          <w:rFonts w:ascii="Verdana" w:hAnsi="Verdana"/>
          <w:sz w:val="20"/>
          <w:szCs w:val="20"/>
          <w:lang w:val="es-CR"/>
        </w:rPr>
      </w:pPr>
    </w:p>
    <w:p w14:paraId="67BBFADD" w14:textId="77777777" w:rsidR="008F4C18" w:rsidRDefault="008F4C18" w:rsidP="008F4C18">
      <w:pPr>
        <w:spacing w:after="0" w:line="240" w:lineRule="auto"/>
        <w:jc w:val="both"/>
        <w:rPr>
          <w:rFonts w:ascii="Verdana" w:hAnsi="Verdana"/>
          <w:b/>
          <w:sz w:val="20"/>
          <w:szCs w:val="20"/>
          <w:lang w:val="es-CR"/>
        </w:rPr>
      </w:pPr>
      <w:r>
        <w:rPr>
          <w:rFonts w:ascii="Verdana" w:hAnsi="Verdana"/>
          <w:b/>
          <w:sz w:val="20"/>
          <w:szCs w:val="20"/>
          <w:lang w:val="es-CR"/>
        </w:rPr>
        <w:t>RESUELVE:</w:t>
      </w:r>
    </w:p>
    <w:p w14:paraId="3193E04E" w14:textId="77777777" w:rsidR="008F4C18" w:rsidRDefault="008F4C18" w:rsidP="008F4C18">
      <w:pPr>
        <w:spacing w:after="0" w:line="240" w:lineRule="auto"/>
        <w:jc w:val="both"/>
        <w:rPr>
          <w:rFonts w:ascii="Verdana" w:hAnsi="Verdana"/>
          <w:b/>
          <w:sz w:val="20"/>
          <w:szCs w:val="20"/>
          <w:lang w:val="es-CR"/>
        </w:rPr>
      </w:pPr>
    </w:p>
    <w:p w14:paraId="730A4E69" w14:textId="2F50425C" w:rsidR="00227475" w:rsidRDefault="008F4C18" w:rsidP="008F4C18">
      <w:pPr>
        <w:pStyle w:val="ListParagraph"/>
        <w:numPr>
          <w:ilvl w:val="0"/>
          <w:numId w:val="4"/>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Declarar, de conformidad con </w:t>
      </w:r>
      <w:r w:rsidR="00F0554E">
        <w:rPr>
          <w:rFonts w:ascii="Verdana" w:hAnsi="Verdana"/>
          <w:sz w:val="20"/>
          <w:szCs w:val="20"/>
          <w:lang w:val="es-CR"/>
        </w:rPr>
        <w:t xml:space="preserve">lo señalado en </w:t>
      </w:r>
      <w:r w:rsidR="00401ED5">
        <w:rPr>
          <w:rFonts w:ascii="Verdana" w:hAnsi="Verdana"/>
          <w:sz w:val="20"/>
          <w:szCs w:val="20"/>
          <w:lang w:val="es-CR"/>
        </w:rPr>
        <w:t>los</w:t>
      </w:r>
      <w:r w:rsidR="00F0554E">
        <w:rPr>
          <w:rFonts w:ascii="Verdana" w:hAnsi="Verdana"/>
          <w:sz w:val="20"/>
          <w:szCs w:val="20"/>
          <w:lang w:val="es-CR"/>
        </w:rPr>
        <w:t xml:space="preserve"> Considerando</w:t>
      </w:r>
      <w:r w:rsidR="00401ED5">
        <w:rPr>
          <w:rFonts w:ascii="Verdana" w:hAnsi="Verdana"/>
          <w:sz w:val="20"/>
          <w:szCs w:val="20"/>
          <w:lang w:val="es-CR"/>
        </w:rPr>
        <w:t>s</w:t>
      </w:r>
      <w:r w:rsidR="00F0554E">
        <w:rPr>
          <w:rFonts w:ascii="Verdana" w:hAnsi="Verdana"/>
          <w:sz w:val="20"/>
          <w:szCs w:val="20"/>
          <w:lang w:val="es-CR"/>
        </w:rPr>
        <w:t xml:space="preserve"> </w:t>
      </w:r>
      <w:r w:rsidR="00401ED5">
        <w:rPr>
          <w:rFonts w:ascii="Verdana" w:hAnsi="Verdana"/>
          <w:sz w:val="20"/>
          <w:szCs w:val="20"/>
          <w:lang w:val="es-CR"/>
        </w:rPr>
        <w:t>6 y 8</w:t>
      </w:r>
      <w:r>
        <w:rPr>
          <w:rFonts w:ascii="Verdana" w:hAnsi="Verdana"/>
          <w:sz w:val="20"/>
          <w:szCs w:val="20"/>
          <w:lang w:val="es-CR"/>
        </w:rPr>
        <w:t xml:space="preserve"> de la presente Resolución, que el Estado ha dado cumplimiento total a la</w:t>
      </w:r>
      <w:r w:rsidR="00227475">
        <w:rPr>
          <w:rFonts w:ascii="Verdana" w:hAnsi="Verdana"/>
          <w:sz w:val="20"/>
          <w:szCs w:val="20"/>
          <w:lang w:val="es-CR"/>
        </w:rPr>
        <w:t>s siguientes</w:t>
      </w:r>
      <w:r>
        <w:rPr>
          <w:rFonts w:ascii="Verdana" w:hAnsi="Verdana"/>
          <w:sz w:val="20"/>
          <w:szCs w:val="20"/>
          <w:lang w:val="es-CR"/>
        </w:rPr>
        <w:t xml:space="preserve"> medida</w:t>
      </w:r>
      <w:r w:rsidR="00227475">
        <w:rPr>
          <w:rFonts w:ascii="Verdana" w:hAnsi="Verdana"/>
          <w:sz w:val="20"/>
          <w:szCs w:val="20"/>
          <w:lang w:val="es-CR"/>
        </w:rPr>
        <w:t>s</w:t>
      </w:r>
      <w:r>
        <w:rPr>
          <w:rFonts w:ascii="Verdana" w:hAnsi="Verdana"/>
          <w:sz w:val="20"/>
          <w:szCs w:val="20"/>
          <w:lang w:val="es-CR"/>
        </w:rPr>
        <w:t xml:space="preserve"> </w:t>
      </w:r>
      <w:r w:rsidR="00227475">
        <w:rPr>
          <w:rFonts w:ascii="Verdana" w:hAnsi="Verdana"/>
          <w:sz w:val="20"/>
          <w:szCs w:val="20"/>
          <w:lang w:val="es-CR"/>
        </w:rPr>
        <w:t>de reparación:</w:t>
      </w:r>
    </w:p>
    <w:p w14:paraId="08CE1990" w14:textId="29B6384F" w:rsidR="00227475" w:rsidRDefault="00F0554E" w:rsidP="00227475">
      <w:pPr>
        <w:pStyle w:val="ListParagraph"/>
        <w:numPr>
          <w:ilvl w:val="1"/>
          <w:numId w:val="6"/>
        </w:numPr>
        <w:spacing w:after="0" w:line="240" w:lineRule="auto"/>
        <w:jc w:val="both"/>
        <w:rPr>
          <w:rFonts w:ascii="Verdana" w:hAnsi="Verdana"/>
          <w:sz w:val="20"/>
          <w:szCs w:val="20"/>
          <w:lang w:val="es-CR"/>
        </w:rPr>
      </w:pPr>
      <w:r>
        <w:rPr>
          <w:rFonts w:ascii="Verdana" w:hAnsi="Verdana"/>
          <w:sz w:val="20"/>
          <w:szCs w:val="20"/>
          <w:lang w:val="es-CR"/>
        </w:rPr>
        <w:t xml:space="preserve">realizar las publicaciones </w:t>
      </w:r>
      <w:r w:rsidR="00401ED5">
        <w:rPr>
          <w:rFonts w:ascii="Verdana" w:hAnsi="Verdana"/>
          <w:sz w:val="20"/>
          <w:szCs w:val="20"/>
          <w:lang w:val="es-CR"/>
        </w:rPr>
        <w:t xml:space="preserve">de la Sentencia y su resumen oficial </w:t>
      </w:r>
      <w:r>
        <w:rPr>
          <w:rFonts w:ascii="Verdana" w:hAnsi="Verdana"/>
          <w:sz w:val="20"/>
          <w:szCs w:val="20"/>
          <w:lang w:val="es-CR"/>
        </w:rPr>
        <w:t xml:space="preserve">indicadas en el párrafo 205 de la </w:t>
      </w:r>
      <w:r w:rsidR="00401ED5">
        <w:rPr>
          <w:rFonts w:ascii="Verdana" w:hAnsi="Verdana"/>
          <w:sz w:val="20"/>
          <w:szCs w:val="20"/>
          <w:lang w:val="es-CR"/>
        </w:rPr>
        <w:t xml:space="preserve">misma </w:t>
      </w:r>
      <w:r w:rsidR="00227475">
        <w:rPr>
          <w:rFonts w:ascii="Verdana" w:hAnsi="Verdana"/>
          <w:sz w:val="20"/>
          <w:szCs w:val="20"/>
          <w:lang w:val="es-CR"/>
        </w:rPr>
        <w:t>(</w:t>
      </w:r>
      <w:r w:rsidR="00227475" w:rsidRPr="00080B9F">
        <w:rPr>
          <w:rFonts w:ascii="Verdana" w:hAnsi="Verdana"/>
          <w:i/>
          <w:sz w:val="20"/>
          <w:szCs w:val="20"/>
          <w:lang w:val="es-CR"/>
        </w:rPr>
        <w:t>punto resolutivo décimo de la Sentencia</w:t>
      </w:r>
      <w:r w:rsidR="00227475">
        <w:rPr>
          <w:rFonts w:ascii="Verdana" w:hAnsi="Verdana"/>
          <w:sz w:val="20"/>
          <w:szCs w:val="20"/>
          <w:lang w:val="es-CR"/>
        </w:rPr>
        <w:t>); y</w:t>
      </w:r>
    </w:p>
    <w:p w14:paraId="1110D905" w14:textId="712C85AA" w:rsidR="008F4C18" w:rsidRDefault="008F4C18" w:rsidP="00227475">
      <w:pPr>
        <w:pStyle w:val="ListParagraph"/>
        <w:numPr>
          <w:ilvl w:val="1"/>
          <w:numId w:val="6"/>
        </w:numPr>
        <w:spacing w:after="0" w:line="240" w:lineRule="auto"/>
        <w:jc w:val="both"/>
        <w:rPr>
          <w:rFonts w:ascii="Verdana" w:hAnsi="Verdana"/>
          <w:sz w:val="20"/>
          <w:szCs w:val="20"/>
          <w:lang w:val="es-CR"/>
        </w:rPr>
      </w:pPr>
      <w:r>
        <w:rPr>
          <w:rFonts w:ascii="Verdana" w:hAnsi="Verdana"/>
          <w:sz w:val="20"/>
          <w:szCs w:val="20"/>
          <w:lang w:val="es-CR"/>
        </w:rPr>
        <w:t xml:space="preserve"> </w:t>
      </w:r>
      <w:r w:rsidR="00227475">
        <w:rPr>
          <w:rFonts w:ascii="Verdana" w:hAnsi="Verdana"/>
          <w:sz w:val="20"/>
          <w:szCs w:val="20"/>
          <w:lang w:val="es-CR"/>
        </w:rPr>
        <w:t xml:space="preserve">reintegrar al </w:t>
      </w:r>
      <w:r w:rsidR="00401ED5">
        <w:rPr>
          <w:rFonts w:ascii="Verdana" w:hAnsi="Verdana"/>
          <w:sz w:val="20"/>
          <w:szCs w:val="20"/>
          <w:lang w:val="es-CR"/>
        </w:rPr>
        <w:t>F</w:t>
      </w:r>
      <w:r w:rsidR="00227475">
        <w:rPr>
          <w:rFonts w:ascii="Verdana" w:hAnsi="Verdana"/>
          <w:sz w:val="20"/>
          <w:szCs w:val="20"/>
          <w:lang w:val="es-CR"/>
        </w:rPr>
        <w:t xml:space="preserve">ondo de </w:t>
      </w:r>
      <w:r w:rsidR="00401ED5">
        <w:rPr>
          <w:rFonts w:ascii="Verdana" w:hAnsi="Verdana"/>
          <w:sz w:val="20"/>
          <w:szCs w:val="20"/>
          <w:lang w:val="es-CR"/>
        </w:rPr>
        <w:t>A</w:t>
      </w:r>
      <w:r w:rsidR="00227475">
        <w:rPr>
          <w:rFonts w:ascii="Verdana" w:hAnsi="Verdana"/>
          <w:sz w:val="20"/>
          <w:szCs w:val="20"/>
          <w:lang w:val="es-CR"/>
        </w:rPr>
        <w:t xml:space="preserve">sistencia </w:t>
      </w:r>
      <w:r w:rsidR="00401ED5">
        <w:rPr>
          <w:rFonts w:ascii="Verdana" w:hAnsi="Verdana"/>
          <w:sz w:val="20"/>
          <w:szCs w:val="20"/>
          <w:lang w:val="es-CR"/>
        </w:rPr>
        <w:t>Legal de V</w:t>
      </w:r>
      <w:r w:rsidR="00227475">
        <w:rPr>
          <w:rFonts w:ascii="Verdana" w:hAnsi="Verdana"/>
          <w:sz w:val="20"/>
          <w:szCs w:val="20"/>
          <w:lang w:val="es-CR"/>
        </w:rPr>
        <w:t>íctima</w:t>
      </w:r>
      <w:r w:rsidR="00401ED5">
        <w:rPr>
          <w:rFonts w:ascii="Verdana" w:hAnsi="Verdana"/>
          <w:sz w:val="20"/>
          <w:szCs w:val="20"/>
          <w:lang w:val="es-CR"/>
        </w:rPr>
        <w:t>s</w:t>
      </w:r>
      <w:r w:rsidR="00227475">
        <w:rPr>
          <w:rFonts w:ascii="Verdana" w:hAnsi="Verdana"/>
          <w:sz w:val="20"/>
          <w:szCs w:val="20"/>
          <w:lang w:val="es-CR"/>
        </w:rPr>
        <w:t xml:space="preserve"> </w:t>
      </w:r>
      <w:r w:rsidR="00401ED5">
        <w:rPr>
          <w:rFonts w:ascii="Verdana" w:hAnsi="Verdana"/>
          <w:sz w:val="20"/>
          <w:szCs w:val="20"/>
          <w:lang w:val="es-CR"/>
        </w:rPr>
        <w:t xml:space="preserve">de la Corte Interamericana </w:t>
      </w:r>
      <w:r w:rsidR="00227475">
        <w:rPr>
          <w:rFonts w:ascii="Verdana" w:hAnsi="Verdana"/>
          <w:sz w:val="20"/>
          <w:szCs w:val="20"/>
          <w:lang w:val="es-CR"/>
        </w:rPr>
        <w:t>la cantidad dispuesta en el párrafo 237 de la Sentencia (</w:t>
      </w:r>
      <w:r w:rsidR="00227475" w:rsidRPr="00080B9F">
        <w:rPr>
          <w:rFonts w:ascii="Verdana" w:hAnsi="Verdana"/>
          <w:i/>
          <w:sz w:val="20"/>
          <w:szCs w:val="20"/>
          <w:lang w:val="es-CR"/>
        </w:rPr>
        <w:t>punto resolutivo décimo segundo de la Sentencia</w:t>
      </w:r>
      <w:r w:rsidR="00227475">
        <w:rPr>
          <w:rFonts w:ascii="Verdana" w:hAnsi="Verdana"/>
          <w:sz w:val="20"/>
          <w:szCs w:val="20"/>
          <w:lang w:val="es-CR"/>
        </w:rPr>
        <w:t>).</w:t>
      </w:r>
    </w:p>
    <w:p w14:paraId="4E624FA2" w14:textId="77777777" w:rsidR="008F4C18" w:rsidRDefault="008F4C18" w:rsidP="008F4C18">
      <w:pPr>
        <w:pStyle w:val="ListParagraph"/>
        <w:spacing w:after="0" w:line="240" w:lineRule="auto"/>
        <w:ind w:left="0"/>
        <w:jc w:val="both"/>
        <w:rPr>
          <w:rFonts w:ascii="Verdana" w:hAnsi="Verdana"/>
          <w:sz w:val="20"/>
          <w:szCs w:val="20"/>
          <w:lang w:val="es-CR"/>
        </w:rPr>
      </w:pPr>
    </w:p>
    <w:p w14:paraId="2C95EA3F" w14:textId="77777777" w:rsidR="008F4C18" w:rsidRPr="0031420C" w:rsidRDefault="008F4C18" w:rsidP="0031420C">
      <w:pPr>
        <w:pStyle w:val="ListParagraph"/>
        <w:numPr>
          <w:ilvl w:val="0"/>
          <w:numId w:val="4"/>
        </w:numPr>
        <w:spacing w:after="0" w:line="240" w:lineRule="auto"/>
        <w:ind w:left="0" w:firstLine="0"/>
        <w:jc w:val="both"/>
        <w:rPr>
          <w:rFonts w:ascii="Verdana" w:hAnsi="Verdana"/>
          <w:sz w:val="20"/>
          <w:szCs w:val="20"/>
          <w:lang w:val="es-CR"/>
        </w:rPr>
      </w:pPr>
      <w:r>
        <w:rPr>
          <w:rFonts w:ascii="Verdana" w:hAnsi="Verdana"/>
          <w:sz w:val="20"/>
          <w:szCs w:val="20"/>
          <w:lang w:val="es-CR"/>
        </w:rPr>
        <w:t xml:space="preserve">Mantener abierto el procedimiento de supervisión de cumplimiento de las siguientes medidas de reparación: </w:t>
      </w:r>
    </w:p>
    <w:p w14:paraId="0E48380D" w14:textId="5DD587A0" w:rsidR="008F4C18" w:rsidRPr="0031420C" w:rsidRDefault="00E51B87" w:rsidP="00100E39">
      <w:pPr>
        <w:pStyle w:val="ListParagraph"/>
        <w:numPr>
          <w:ilvl w:val="0"/>
          <w:numId w:val="10"/>
        </w:numPr>
        <w:spacing w:after="0" w:line="240" w:lineRule="auto"/>
        <w:jc w:val="both"/>
        <w:rPr>
          <w:rFonts w:ascii="Verdana" w:hAnsi="Verdana"/>
          <w:sz w:val="18"/>
          <w:szCs w:val="18"/>
          <w:lang w:val="es-CR"/>
        </w:rPr>
      </w:pPr>
      <w:r>
        <w:rPr>
          <w:rFonts w:ascii="Verdana" w:hAnsi="Verdana"/>
          <w:sz w:val="20"/>
          <w:szCs w:val="20"/>
          <w:lang w:val="es-CR"/>
        </w:rPr>
        <w:t>“</w:t>
      </w:r>
      <w:r w:rsidR="0018708E">
        <w:rPr>
          <w:rFonts w:ascii="Verdana" w:hAnsi="Verdana"/>
          <w:sz w:val="20"/>
          <w:szCs w:val="20"/>
          <w:lang w:val="es-CR"/>
        </w:rPr>
        <w:t>[</w:t>
      </w:r>
      <w:r w:rsidR="0068557C">
        <w:rPr>
          <w:rFonts w:ascii="Verdana" w:hAnsi="Verdana"/>
          <w:sz w:val="20"/>
          <w:szCs w:val="20"/>
          <w:lang w:val="es-CR"/>
        </w:rPr>
        <w:t>a</w:t>
      </w:r>
      <w:r w:rsidR="0018708E">
        <w:rPr>
          <w:rFonts w:ascii="Verdana" w:hAnsi="Verdana"/>
          <w:sz w:val="20"/>
          <w:szCs w:val="20"/>
          <w:lang w:val="es-CR"/>
        </w:rPr>
        <w:t>]</w:t>
      </w:r>
      <w:r>
        <w:rPr>
          <w:rFonts w:ascii="Verdana" w:hAnsi="Verdana"/>
          <w:sz w:val="20"/>
          <w:szCs w:val="20"/>
          <w:lang w:val="es-CR"/>
        </w:rPr>
        <w:t xml:space="preserve">doptar todas las medidas necesarias para dejar sin efecto las consecuencias que de ella se derivan [respecto del señor Zegarra Marín] </w:t>
      </w:r>
      <w:r w:rsidR="0018708E">
        <w:rPr>
          <w:rFonts w:ascii="Verdana" w:hAnsi="Verdana"/>
          <w:sz w:val="20"/>
          <w:szCs w:val="20"/>
          <w:lang w:val="es-CR"/>
        </w:rPr>
        <w:t xml:space="preserve">así </w:t>
      </w:r>
      <w:r>
        <w:rPr>
          <w:rFonts w:ascii="Verdana" w:hAnsi="Verdana"/>
          <w:sz w:val="20"/>
          <w:szCs w:val="20"/>
          <w:lang w:val="es-CR"/>
        </w:rPr>
        <w:t xml:space="preserve">como los antecedentes judiciales o administrativos, penales o policiales que existan en su contra a raíz de dicho proceso” </w:t>
      </w:r>
      <w:r w:rsidR="00F204DF" w:rsidRPr="0031420C">
        <w:rPr>
          <w:rFonts w:ascii="Verdana" w:hAnsi="Verdana"/>
          <w:sz w:val="18"/>
          <w:szCs w:val="18"/>
          <w:lang w:val="es-CR"/>
        </w:rPr>
        <w:t>(</w:t>
      </w:r>
      <w:r w:rsidR="00F204DF" w:rsidRPr="00080B9F">
        <w:rPr>
          <w:rFonts w:ascii="Verdana" w:hAnsi="Verdana"/>
          <w:i/>
          <w:sz w:val="20"/>
          <w:szCs w:val="20"/>
          <w:lang w:val="es-CR"/>
        </w:rPr>
        <w:t xml:space="preserve">punto resolutivo </w:t>
      </w:r>
      <w:r w:rsidR="00227475" w:rsidRPr="00080B9F">
        <w:rPr>
          <w:rFonts w:ascii="Verdana" w:hAnsi="Verdana"/>
          <w:i/>
          <w:sz w:val="20"/>
          <w:szCs w:val="20"/>
          <w:lang w:val="es-CR"/>
        </w:rPr>
        <w:t>noveno</w:t>
      </w:r>
      <w:r w:rsidR="00F204DF" w:rsidRPr="00080B9F">
        <w:rPr>
          <w:rFonts w:ascii="Verdana" w:hAnsi="Verdana"/>
          <w:i/>
          <w:sz w:val="20"/>
          <w:szCs w:val="20"/>
          <w:lang w:val="es-CR"/>
        </w:rPr>
        <w:t xml:space="preserve"> de la Sentencia</w:t>
      </w:r>
      <w:r w:rsidR="00F204DF" w:rsidRPr="0031420C">
        <w:rPr>
          <w:rFonts w:ascii="Verdana" w:hAnsi="Verdana"/>
          <w:sz w:val="18"/>
          <w:szCs w:val="18"/>
          <w:lang w:val="es-CR"/>
        </w:rPr>
        <w:t>)</w:t>
      </w:r>
      <w:r w:rsidR="00304A70">
        <w:rPr>
          <w:rFonts w:ascii="Verdana" w:hAnsi="Verdana"/>
          <w:sz w:val="18"/>
          <w:szCs w:val="18"/>
          <w:lang w:val="es-CR"/>
        </w:rPr>
        <w:t>,</w:t>
      </w:r>
      <w:r w:rsidR="00A42753">
        <w:rPr>
          <w:rFonts w:ascii="Verdana" w:hAnsi="Verdana"/>
          <w:sz w:val="18"/>
          <w:szCs w:val="18"/>
          <w:lang w:val="es-CR"/>
        </w:rPr>
        <w:t xml:space="preserve"> y</w:t>
      </w:r>
    </w:p>
    <w:p w14:paraId="039AF0F1" w14:textId="7C35F8DE" w:rsidR="00F204DF" w:rsidRPr="0031420C" w:rsidRDefault="0018708E" w:rsidP="00100E39">
      <w:pPr>
        <w:pStyle w:val="ListParagraph"/>
        <w:numPr>
          <w:ilvl w:val="0"/>
          <w:numId w:val="10"/>
        </w:numPr>
        <w:spacing w:after="0" w:line="240" w:lineRule="auto"/>
        <w:jc w:val="both"/>
        <w:rPr>
          <w:rFonts w:ascii="Verdana" w:hAnsi="Verdana"/>
          <w:sz w:val="18"/>
          <w:szCs w:val="18"/>
          <w:lang w:val="es-CR"/>
        </w:rPr>
      </w:pPr>
      <w:r>
        <w:rPr>
          <w:rFonts w:ascii="Verdana" w:hAnsi="Verdana"/>
          <w:sz w:val="20"/>
          <w:szCs w:val="20"/>
          <w:lang w:val="es-CR"/>
        </w:rPr>
        <w:t>“</w:t>
      </w:r>
      <w:r w:rsidR="0068557C">
        <w:rPr>
          <w:rFonts w:ascii="Verdana" w:hAnsi="Verdana"/>
          <w:sz w:val="20"/>
          <w:szCs w:val="20"/>
          <w:lang w:val="es-CR"/>
        </w:rPr>
        <w:t>[p]</w:t>
      </w:r>
      <w:r w:rsidR="00F204DF" w:rsidRPr="00100E39">
        <w:rPr>
          <w:rFonts w:ascii="Verdana" w:hAnsi="Verdana"/>
          <w:sz w:val="20"/>
          <w:szCs w:val="20"/>
          <w:lang w:val="es-CR"/>
        </w:rPr>
        <w:t xml:space="preserve">agar las cantidades fijadas en los párrafos 226 y 231 de </w:t>
      </w:r>
      <w:r>
        <w:rPr>
          <w:rFonts w:ascii="Verdana" w:hAnsi="Verdana"/>
          <w:sz w:val="20"/>
          <w:szCs w:val="20"/>
          <w:lang w:val="es-CR"/>
        </w:rPr>
        <w:t>[</w:t>
      </w:r>
      <w:r w:rsidR="00F204DF" w:rsidRPr="00100E39">
        <w:rPr>
          <w:rFonts w:ascii="Verdana" w:hAnsi="Verdana"/>
          <w:sz w:val="20"/>
          <w:szCs w:val="20"/>
          <w:lang w:val="es-CR"/>
        </w:rPr>
        <w:t>la</w:t>
      </w:r>
      <w:r>
        <w:rPr>
          <w:rFonts w:ascii="Verdana" w:hAnsi="Verdana"/>
          <w:sz w:val="20"/>
          <w:szCs w:val="20"/>
          <w:lang w:val="es-CR"/>
        </w:rPr>
        <w:t>]</w:t>
      </w:r>
      <w:r w:rsidR="00F204DF" w:rsidRPr="00100E39">
        <w:rPr>
          <w:rFonts w:ascii="Verdana" w:hAnsi="Verdana"/>
          <w:sz w:val="20"/>
          <w:szCs w:val="20"/>
          <w:lang w:val="es-CR"/>
        </w:rPr>
        <w:t xml:space="preserve"> Sentencia, por concepto de compensación por daño inmaterial y por el</w:t>
      </w:r>
      <w:r w:rsidR="00A42753" w:rsidRPr="00100E39">
        <w:rPr>
          <w:rFonts w:ascii="Verdana" w:hAnsi="Verdana"/>
          <w:sz w:val="20"/>
          <w:szCs w:val="20"/>
          <w:lang w:val="es-CR"/>
        </w:rPr>
        <w:t xml:space="preserve"> reintegro de costas y gastos</w:t>
      </w:r>
      <w:r w:rsidR="008D6BC8">
        <w:rPr>
          <w:rFonts w:ascii="Verdana" w:hAnsi="Verdana"/>
          <w:sz w:val="20"/>
          <w:szCs w:val="20"/>
          <w:lang w:val="es-CR"/>
        </w:rPr>
        <w:t>”</w:t>
      </w:r>
      <w:r w:rsidR="00227475">
        <w:rPr>
          <w:rFonts w:ascii="Verdana" w:hAnsi="Verdana"/>
          <w:sz w:val="18"/>
          <w:szCs w:val="18"/>
          <w:lang w:val="es-CR"/>
        </w:rPr>
        <w:t xml:space="preserve"> (</w:t>
      </w:r>
      <w:r w:rsidR="00227475" w:rsidRPr="0068557C">
        <w:rPr>
          <w:rFonts w:ascii="Verdana" w:hAnsi="Verdana"/>
          <w:i/>
          <w:sz w:val="20"/>
          <w:szCs w:val="18"/>
          <w:lang w:val="es-CR"/>
        </w:rPr>
        <w:t>punto resolutivo décimo primero de la Sentencia</w:t>
      </w:r>
      <w:r w:rsidR="00227475">
        <w:rPr>
          <w:rFonts w:ascii="Verdana" w:hAnsi="Verdana"/>
          <w:sz w:val="18"/>
          <w:szCs w:val="18"/>
          <w:lang w:val="es-CR"/>
        </w:rPr>
        <w:t>)</w:t>
      </w:r>
      <w:r w:rsidR="00A42753">
        <w:rPr>
          <w:rFonts w:ascii="Verdana" w:hAnsi="Verdana"/>
          <w:sz w:val="18"/>
          <w:szCs w:val="18"/>
          <w:lang w:val="es-CR"/>
        </w:rPr>
        <w:t>.</w:t>
      </w:r>
    </w:p>
    <w:p w14:paraId="008F9346" w14:textId="77777777" w:rsidR="00F96ACD" w:rsidRPr="00F96ACD" w:rsidRDefault="00F96ACD" w:rsidP="00F96ACD">
      <w:pPr>
        <w:spacing w:after="0" w:line="240" w:lineRule="auto"/>
        <w:jc w:val="both"/>
        <w:rPr>
          <w:rFonts w:ascii="Verdana" w:hAnsi="Verdana"/>
          <w:sz w:val="20"/>
          <w:szCs w:val="20"/>
          <w:lang w:val="es-CR"/>
        </w:rPr>
      </w:pPr>
    </w:p>
    <w:p w14:paraId="1F1196B5" w14:textId="21D1B546" w:rsidR="00D876EC" w:rsidRDefault="00F96ACD" w:rsidP="00F96ACD">
      <w:pPr>
        <w:pStyle w:val="ListParagraph"/>
        <w:numPr>
          <w:ilvl w:val="0"/>
          <w:numId w:val="4"/>
        </w:numPr>
        <w:spacing w:after="0" w:line="240" w:lineRule="auto"/>
        <w:ind w:left="0" w:firstLine="0"/>
        <w:jc w:val="both"/>
        <w:rPr>
          <w:rFonts w:ascii="Verdana" w:hAnsi="Verdana"/>
          <w:sz w:val="20"/>
          <w:szCs w:val="20"/>
          <w:lang w:val="es-CR"/>
        </w:rPr>
      </w:pPr>
      <w:r w:rsidRPr="00F96ACD">
        <w:rPr>
          <w:rFonts w:ascii="Verdana" w:hAnsi="Verdana"/>
          <w:sz w:val="20"/>
          <w:szCs w:val="20"/>
          <w:lang w:val="es-CR"/>
        </w:rPr>
        <w:t>Requerir a la Secretaría de la Corte que notifique la presente Resolución al Estado, a l</w:t>
      </w:r>
      <w:r w:rsidR="00F204DF">
        <w:rPr>
          <w:rFonts w:ascii="Verdana" w:hAnsi="Verdana"/>
          <w:sz w:val="20"/>
          <w:szCs w:val="20"/>
          <w:lang w:val="es-CR"/>
        </w:rPr>
        <w:t>a</w:t>
      </w:r>
      <w:r w:rsidRPr="00F96ACD">
        <w:rPr>
          <w:rFonts w:ascii="Verdana" w:hAnsi="Verdana"/>
          <w:sz w:val="20"/>
          <w:szCs w:val="20"/>
          <w:lang w:val="es-CR"/>
        </w:rPr>
        <w:t xml:space="preserve"> representante de la víctima y a la Comisión Interamericana de Derechos Humanos.</w:t>
      </w:r>
    </w:p>
    <w:p w14:paraId="05241341" w14:textId="77777777" w:rsidR="00D876EC" w:rsidRDefault="00D876EC">
      <w:pPr>
        <w:rPr>
          <w:rFonts w:ascii="Verdana" w:hAnsi="Verdana"/>
          <w:sz w:val="20"/>
          <w:szCs w:val="20"/>
          <w:lang w:val="es-CR"/>
        </w:rPr>
      </w:pPr>
      <w:r>
        <w:rPr>
          <w:rFonts w:ascii="Verdana" w:hAnsi="Verdana"/>
          <w:sz w:val="20"/>
          <w:szCs w:val="20"/>
          <w:lang w:val="es-CR"/>
        </w:rPr>
        <w:br w:type="page"/>
      </w:r>
    </w:p>
    <w:p w14:paraId="45F4FDE4" w14:textId="77777777" w:rsidR="00D876EC" w:rsidRDefault="00D876EC" w:rsidP="00D876EC">
      <w:pPr>
        <w:keepNext/>
        <w:spacing w:after="0" w:line="240" w:lineRule="auto"/>
        <w:jc w:val="both"/>
        <w:outlineLvl w:val="0"/>
        <w:rPr>
          <w:rFonts w:ascii="Verdana" w:hAnsi="Verdana" w:cs="Verdana"/>
          <w:b/>
          <w:bCs/>
          <w:sz w:val="20"/>
          <w:lang w:val="es-ES"/>
        </w:rPr>
      </w:pPr>
      <w:r w:rsidRPr="00E95134">
        <w:rPr>
          <w:rFonts w:ascii="Verdana" w:hAnsi="Verdana" w:cs="Courier New"/>
          <w:noProof/>
          <w:sz w:val="20"/>
          <w:lang w:val="es-AR"/>
        </w:rPr>
        <w:lastRenderedPageBreak/>
        <w:t xml:space="preserve">Corte IDH. </w:t>
      </w:r>
      <w:r w:rsidRPr="00E95134">
        <w:rPr>
          <w:rFonts w:ascii="Verdana" w:hAnsi="Verdana"/>
          <w:bCs/>
          <w:i/>
          <w:sz w:val="20"/>
          <w:lang w:val="es-CR"/>
        </w:rPr>
        <w:t xml:space="preserve">Caso </w:t>
      </w:r>
      <w:r>
        <w:rPr>
          <w:rFonts w:ascii="Verdana" w:hAnsi="Verdana"/>
          <w:bCs/>
          <w:i/>
          <w:sz w:val="20"/>
          <w:lang w:val="es-CR"/>
        </w:rPr>
        <w:t>Zegarra Marín</w:t>
      </w:r>
      <w:r w:rsidRPr="00E95134">
        <w:rPr>
          <w:rFonts w:ascii="Verdana" w:hAnsi="Verdana"/>
          <w:bCs/>
          <w:i/>
          <w:sz w:val="20"/>
          <w:lang w:val="es-CR"/>
        </w:rPr>
        <w:t xml:space="preserve"> Vs. Perú</w:t>
      </w:r>
      <w:r w:rsidRPr="00E95134">
        <w:rPr>
          <w:rFonts w:ascii="Verdana" w:hAnsi="Verdana"/>
          <w:i/>
          <w:sz w:val="20"/>
          <w:lang w:val="es-ES"/>
        </w:rPr>
        <w:t>.</w:t>
      </w:r>
      <w:r w:rsidRPr="00E95134">
        <w:rPr>
          <w:rFonts w:ascii="Verdana" w:hAnsi="Verdana" w:cs="Arial"/>
          <w:i/>
          <w:sz w:val="20"/>
          <w:lang w:val="es-CR"/>
        </w:rPr>
        <w:t xml:space="preserve"> </w:t>
      </w:r>
      <w:r>
        <w:rPr>
          <w:rFonts w:ascii="Verdana" w:hAnsi="Verdana"/>
          <w:sz w:val="20"/>
          <w:lang w:val="es-CR"/>
        </w:rPr>
        <w:t>Supervisión de Cumplimiento de Sentencia</w:t>
      </w:r>
      <w:r w:rsidRPr="00E95134">
        <w:rPr>
          <w:rFonts w:ascii="Verdana" w:hAnsi="Verdana"/>
          <w:sz w:val="20"/>
          <w:lang w:val="es-CR"/>
        </w:rPr>
        <w:t xml:space="preserve">. </w:t>
      </w:r>
      <w:r w:rsidRPr="00E95134">
        <w:rPr>
          <w:rFonts w:ascii="Verdana" w:hAnsi="Verdana"/>
          <w:sz w:val="20"/>
          <w:lang w:val="es-ES"/>
        </w:rPr>
        <w:t xml:space="preserve">Resolución de la Corte Interamericana de Derechos Humanos de </w:t>
      </w:r>
      <w:r>
        <w:rPr>
          <w:rFonts w:ascii="Verdana" w:hAnsi="Verdana"/>
          <w:sz w:val="20"/>
          <w:lang w:val="es-CR"/>
        </w:rPr>
        <w:t>30</w:t>
      </w:r>
      <w:r w:rsidRPr="00E95134">
        <w:rPr>
          <w:rFonts w:ascii="Verdana" w:hAnsi="Verdana"/>
          <w:sz w:val="20"/>
          <w:lang w:val="es-CR"/>
        </w:rPr>
        <w:t xml:space="preserve"> de </w:t>
      </w:r>
      <w:r>
        <w:rPr>
          <w:rFonts w:ascii="Verdana" w:hAnsi="Verdana"/>
          <w:sz w:val="20"/>
          <w:lang w:val="es-CR"/>
        </w:rPr>
        <w:t>mayo</w:t>
      </w:r>
      <w:r w:rsidRPr="00E95134">
        <w:rPr>
          <w:rFonts w:ascii="Verdana" w:hAnsi="Verdana"/>
          <w:sz w:val="20"/>
          <w:lang w:val="es-CR"/>
        </w:rPr>
        <w:t xml:space="preserve"> de 2018</w:t>
      </w:r>
      <w:r w:rsidRPr="00E95134">
        <w:rPr>
          <w:rFonts w:ascii="Verdana" w:hAnsi="Verdana"/>
          <w:sz w:val="20"/>
          <w:lang w:val="es-ES"/>
        </w:rPr>
        <w:t>.</w:t>
      </w:r>
      <w:r>
        <w:rPr>
          <w:rFonts w:ascii="Verdana" w:hAnsi="Verdana"/>
          <w:sz w:val="20"/>
          <w:lang w:val="es-ES"/>
        </w:rPr>
        <w:t xml:space="preserve"> </w:t>
      </w:r>
    </w:p>
    <w:p w14:paraId="62BCE101" w14:textId="77777777" w:rsidR="00D876EC" w:rsidRDefault="00D876EC" w:rsidP="00D876EC">
      <w:pPr>
        <w:spacing w:after="0" w:line="240" w:lineRule="auto"/>
        <w:jc w:val="center"/>
        <w:rPr>
          <w:rFonts w:ascii="Verdana" w:hAnsi="Verdana"/>
          <w:sz w:val="20"/>
          <w:lang w:val="es-ES"/>
        </w:rPr>
      </w:pPr>
    </w:p>
    <w:p w14:paraId="0310C0A7" w14:textId="77777777" w:rsidR="00D876EC" w:rsidRDefault="00D876EC" w:rsidP="00D876EC">
      <w:pPr>
        <w:spacing w:after="0" w:line="240" w:lineRule="auto"/>
        <w:jc w:val="center"/>
        <w:rPr>
          <w:rFonts w:ascii="Verdana" w:hAnsi="Verdana"/>
          <w:sz w:val="20"/>
          <w:lang w:val="es-ES"/>
        </w:rPr>
      </w:pPr>
    </w:p>
    <w:p w14:paraId="34BB7F9D" w14:textId="77777777" w:rsidR="00D876EC" w:rsidRDefault="00D876EC" w:rsidP="00D876EC">
      <w:pPr>
        <w:spacing w:after="0" w:line="240" w:lineRule="auto"/>
        <w:jc w:val="center"/>
        <w:rPr>
          <w:rFonts w:ascii="Verdana" w:hAnsi="Verdana"/>
          <w:sz w:val="20"/>
          <w:lang w:val="es-ES"/>
        </w:rPr>
      </w:pPr>
    </w:p>
    <w:p w14:paraId="181B85AD" w14:textId="77777777" w:rsidR="00D876EC" w:rsidRDefault="00D876EC" w:rsidP="00D876EC">
      <w:pPr>
        <w:spacing w:after="0" w:line="240" w:lineRule="auto"/>
        <w:jc w:val="center"/>
        <w:rPr>
          <w:rFonts w:ascii="Verdana" w:hAnsi="Verdana"/>
          <w:sz w:val="20"/>
          <w:lang w:val="es-ES"/>
        </w:rPr>
      </w:pPr>
    </w:p>
    <w:p w14:paraId="72E40DF1" w14:textId="77777777" w:rsidR="00D876EC" w:rsidRDefault="00D876EC" w:rsidP="00D876EC">
      <w:pPr>
        <w:spacing w:after="0" w:line="240" w:lineRule="auto"/>
        <w:jc w:val="center"/>
        <w:rPr>
          <w:rFonts w:ascii="Verdana" w:hAnsi="Verdana"/>
          <w:sz w:val="20"/>
          <w:lang w:val="es-ES"/>
        </w:rPr>
      </w:pPr>
    </w:p>
    <w:p w14:paraId="31F7DD6C" w14:textId="77777777" w:rsidR="00D876EC" w:rsidRDefault="00D876EC" w:rsidP="00D876EC">
      <w:pPr>
        <w:spacing w:after="0" w:line="240" w:lineRule="auto"/>
        <w:jc w:val="center"/>
        <w:rPr>
          <w:rFonts w:ascii="Verdana" w:hAnsi="Verdana"/>
          <w:sz w:val="20"/>
          <w:lang w:val="es-ES"/>
        </w:rPr>
      </w:pPr>
    </w:p>
    <w:p w14:paraId="0CF65047" w14:textId="77777777" w:rsidR="00D876EC" w:rsidRDefault="00D876EC" w:rsidP="00D876EC">
      <w:pPr>
        <w:spacing w:after="0" w:line="240" w:lineRule="auto"/>
        <w:jc w:val="center"/>
        <w:rPr>
          <w:rFonts w:ascii="Verdana" w:hAnsi="Verdana"/>
          <w:sz w:val="20"/>
          <w:lang w:val="pt-BR"/>
        </w:rPr>
      </w:pPr>
      <w:r w:rsidRPr="00D0325C">
        <w:rPr>
          <w:rFonts w:ascii="Verdana" w:hAnsi="Verdana"/>
          <w:sz w:val="20"/>
          <w:lang w:val="pt-BR"/>
        </w:rPr>
        <w:t xml:space="preserve">Eduardo Ferrer Mac-Gregor Poisot </w:t>
      </w:r>
    </w:p>
    <w:p w14:paraId="607277AD" w14:textId="77777777" w:rsidR="00D876EC" w:rsidRPr="00D0325C" w:rsidRDefault="00D876EC" w:rsidP="00D876EC">
      <w:pPr>
        <w:spacing w:after="0" w:line="240" w:lineRule="auto"/>
        <w:jc w:val="center"/>
        <w:rPr>
          <w:rFonts w:ascii="Verdana" w:hAnsi="Verdana"/>
          <w:sz w:val="20"/>
          <w:lang w:val="pt-BR"/>
        </w:rPr>
      </w:pPr>
      <w:r w:rsidRPr="00D0325C">
        <w:rPr>
          <w:rFonts w:ascii="Verdana" w:hAnsi="Verdana"/>
          <w:sz w:val="20"/>
          <w:lang w:val="pt-BR"/>
        </w:rPr>
        <w:t>Presidente</w:t>
      </w:r>
    </w:p>
    <w:p w14:paraId="2266176B" w14:textId="77777777" w:rsidR="00D876EC" w:rsidRPr="00D0325C" w:rsidRDefault="00D876EC" w:rsidP="00D876EC">
      <w:pPr>
        <w:spacing w:after="0" w:line="240" w:lineRule="auto"/>
        <w:jc w:val="both"/>
        <w:rPr>
          <w:rFonts w:ascii="Verdana" w:hAnsi="Verdana"/>
          <w:sz w:val="20"/>
          <w:lang w:val="pt-BR"/>
        </w:rPr>
      </w:pPr>
    </w:p>
    <w:p w14:paraId="419D291B" w14:textId="77777777" w:rsidR="00D876EC" w:rsidRPr="00CC275C" w:rsidRDefault="00D876EC" w:rsidP="00D876EC">
      <w:pPr>
        <w:spacing w:after="0" w:line="240" w:lineRule="auto"/>
        <w:jc w:val="both"/>
        <w:rPr>
          <w:rFonts w:ascii="Verdana" w:hAnsi="Verdana"/>
          <w:sz w:val="20"/>
          <w:lang w:val="pt-BR"/>
        </w:rPr>
      </w:pPr>
    </w:p>
    <w:p w14:paraId="453EC45B" w14:textId="77777777" w:rsidR="00D876EC" w:rsidRDefault="00D876EC" w:rsidP="00D876EC">
      <w:pPr>
        <w:spacing w:after="0" w:line="240" w:lineRule="auto"/>
        <w:jc w:val="both"/>
        <w:rPr>
          <w:rFonts w:ascii="Verdana" w:hAnsi="Verdana"/>
          <w:sz w:val="20"/>
          <w:lang w:val="pt-BR"/>
        </w:rPr>
      </w:pPr>
    </w:p>
    <w:p w14:paraId="13FF9ED8" w14:textId="77777777" w:rsidR="00D876EC" w:rsidRDefault="00D876EC" w:rsidP="00D876EC">
      <w:pPr>
        <w:spacing w:after="0" w:line="240" w:lineRule="auto"/>
        <w:jc w:val="both"/>
        <w:rPr>
          <w:rFonts w:ascii="Verdana" w:hAnsi="Verdana"/>
          <w:sz w:val="20"/>
          <w:lang w:val="pt-BR"/>
        </w:rPr>
      </w:pPr>
    </w:p>
    <w:p w14:paraId="507D7865" w14:textId="77777777" w:rsidR="00D876EC" w:rsidRPr="00CC275C" w:rsidRDefault="00D876EC" w:rsidP="00D876EC">
      <w:pPr>
        <w:spacing w:after="0" w:line="240" w:lineRule="auto"/>
        <w:jc w:val="both"/>
        <w:rPr>
          <w:rFonts w:ascii="Verdana" w:hAnsi="Verdana"/>
          <w:sz w:val="20"/>
          <w:lang w:val="pt-BR"/>
        </w:rPr>
      </w:pPr>
    </w:p>
    <w:p w14:paraId="78808FCF" w14:textId="77777777" w:rsidR="00D876EC" w:rsidRPr="00CC275C" w:rsidRDefault="00D876EC" w:rsidP="00D876EC">
      <w:pPr>
        <w:spacing w:after="0" w:line="240" w:lineRule="auto"/>
        <w:jc w:val="both"/>
        <w:rPr>
          <w:rFonts w:ascii="Verdana" w:hAnsi="Verdana"/>
          <w:sz w:val="20"/>
          <w:lang w:val="pt-BR"/>
        </w:rPr>
      </w:pPr>
    </w:p>
    <w:p w14:paraId="7719DF39" w14:textId="77777777" w:rsidR="00D876EC" w:rsidRPr="00CC275C" w:rsidRDefault="00D876EC" w:rsidP="00D876EC">
      <w:pPr>
        <w:spacing w:after="0" w:line="240" w:lineRule="auto"/>
        <w:jc w:val="both"/>
        <w:rPr>
          <w:rFonts w:ascii="Verdana" w:hAnsi="Verdana"/>
          <w:sz w:val="20"/>
          <w:lang w:val="pt-BR"/>
        </w:rPr>
      </w:pPr>
      <w:r w:rsidRPr="00CC275C">
        <w:rPr>
          <w:rFonts w:ascii="Verdana" w:hAnsi="Verdana"/>
          <w:sz w:val="20"/>
          <w:lang w:val="pt-BR"/>
        </w:rPr>
        <w:t>Eduardo Vio Grossi</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Humberto Antonio Sierra Porto</w:t>
      </w:r>
      <w:r w:rsidRPr="00CC275C">
        <w:rPr>
          <w:rFonts w:ascii="Verdana" w:hAnsi="Verdana"/>
          <w:sz w:val="20"/>
          <w:lang w:val="pt-BR"/>
        </w:rPr>
        <w:tab/>
      </w:r>
      <w:r w:rsidRPr="00CC275C">
        <w:rPr>
          <w:rFonts w:ascii="Verdana" w:hAnsi="Verdana"/>
          <w:sz w:val="20"/>
          <w:lang w:val="pt-BR"/>
        </w:rPr>
        <w:tab/>
        <w:t xml:space="preserve">        </w:t>
      </w:r>
    </w:p>
    <w:p w14:paraId="3695849E" w14:textId="77777777" w:rsidR="00D876EC" w:rsidRPr="00CC275C" w:rsidRDefault="00D876EC" w:rsidP="00D876EC">
      <w:pPr>
        <w:spacing w:after="0" w:line="240" w:lineRule="auto"/>
        <w:jc w:val="both"/>
        <w:rPr>
          <w:rFonts w:ascii="Verdana" w:hAnsi="Verdana"/>
          <w:sz w:val="20"/>
          <w:lang w:val="pt-BR"/>
        </w:rPr>
      </w:pPr>
    </w:p>
    <w:p w14:paraId="210D856E" w14:textId="77777777" w:rsidR="00D876EC" w:rsidRDefault="00D876EC" w:rsidP="00D876EC">
      <w:pPr>
        <w:spacing w:after="0" w:line="240" w:lineRule="auto"/>
        <w:jc w:val="both"/>
        <w:rPr>
          <w:rFonts w:ascii="Verdana" w:hAnsi="Verdana"/>
          <w:sz w:val="20"/>
          <w:lang w:val="pt-BR"/>
        </w:rPr>
      </w:pPr>
    </w:p>
    <w:p w14:paraId="1EC4933F" w14:textId="77777777" w:rsidR="00D876EC" w:rsidRPr="00CC275C" w:rsidRDefault="00D876EC" w:rsidP="00D876EC">
      <w:pPr>
        <w:spacing w:after="0" w:line="240" w:lineRule="auto"/>
        <w:jc w:val="both"/>
        <w:rPr>
          <w:rFonts w:ascii="Verdana" w:hAnsi="Verdana"/>
          <w:sz w:val="20"/>
          <w:lang w:val="pt-BR"/>
        </w:rPr>
      </w:pPr>
    </w:p>
    <w:p w14:paraId="765199E5" w14:textId="77777777" w:rsidR="00D876EC" w:rsidRDefault="00D876EC" w:rsidP="00D876EC">
      <w:pPr>
        <w:spacing w:after="0" w:line="240" w:lineRule="auto"/>
        <w:jc w:val="both"/>
        <w:rPr>
          <w:rFonts w:ascii="Verdana" w:hAnsi="Verdana"/>
          <w:sz w:val="20"/>
          <w:lang w:val="pt-BR"/>
        </w:rPr>
      </w:pPr>
    </w:p>
    <w:p w14:paraId="3389E75E" w14:textId="77777777" w:rsidR="00D876EC" w:rsidRDefault="00D876EC" w:rsidP="00D876EC">
      <w:pPr>
        <w:spacing w:after="0" w:line="240" w:lineRule="auto"/>
        <w:jc w:val="both"/>
        <w:rPr>
          <w:rFonts w:ascii="Verdana" w:hAnsi="Verdana"/>
          <w:sz w:val="20"/>
          <w:lang w:val="pt-BR"/>
        </w:rPr>
      </w:pPr>
    </w:p>
    <w:p w14:paraId="4C7DE0AE" w14:textId="77777777" w:rsidR="00D876EC" w:rsidRDefault="00D876EC" w:rsidP="00D876EC">
      <w:pPr>
        <w:spacing w:after="0" w:line="240" w:lineRule="auto"/>
        <w:jc w:val="both"/>
        <w:rPr>
          <w:rFonts w:ascii="Verdana" w:hAnsi="Verdana"/>
          <w:sz w:val="20"/>
          <w:lang w:val="pt-BR"/>
        </w:rPr>
      </w:pPr>
    </w:p>
    <w:p w14:paraId="142163C2" w14:textId="77777777" w:rsidR="00D876EC" w:rsidRPr="00CC275C" w:rsidRDefault="00D876EC" w:rsidP="00D876EC">
      <w:pPr>
        <w:spacing w:after="0" w:line="240" w:lineRule="auto"/>
        <w:jc w:val="both"/>
        <w:rPr>
          <w:rFonts w:ascii="Verdana" w:hAnsi="Verdana"/>
          <w:sz w:val="20"/>
          <w:lang w:val="pt-BR"/>
        </w:rPr>
      </w:pPr>
    </w:p>
    <w:p w14:paraId="5FFCB635" w14:textId="77777777" w:rsidR="00D876EC" w:rsidRPr="00CC275C" w:rsidRDefault="00D876EC" w:rsidP="00D876EC">
      <w:pPr>
        <w:spacing w:after="0" w:line="240" w:lineRule="auto"/>
        <w:jc w:val="both"/>
        <w:rPr>
          <w:rFonts w:ascii="Verdana" w:hAnsi="Verdana"/>
          <w:sz w:val="20"/>
          <w:lang w:val="pt-BR"/>
        </w:rPr>
      </w:pPr>
      <w:r w:rsidRPr="00CC275C">
        <w:rPr>
          <w:rFonts w:ascii="Verdana" w:hAnsi="Verdana"/>
          <w:sz w:val="20"/>
          <w:lang w:val="pt-BR"/>
        </w:rPr>
        <w:t>Elizabeth Odio Benito</w:t>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r>
      <w:r w:rsidRPr="00CC275C">
        <w:rPr>
          <w:rFonts w:ascii="Verdana" w:hAnsi="Verdana"/>
          <w:sz w:val="20"/>
          <w:lang w:val="pt-BR"/>
        </w:rPr>
        <w:tab/>
        <w:t xml:space="preserve">    </w:t>
      </w:r>
      <w:r>
        <w:rPr>
          <w:rFonts w:ascii="Verdana" w:hAnsi="Verdana"/>
          <w:sz w:val="20"/>
          <w:lang w:val="pt-BR"/>
        </w:rPr>
        <w:tab/>
        <w:t xml:space="preserve">        </w:t>
      </w:r>
      <w:r w:rsidRPr="00CC275C">
        <w:rPr>
          <w:rFonts w:ascii="Verdana" w:hAnsi="Verdana"/>
          <w:sz w:val="20"/>
          <w:lang w:val="pt-BR"/>
        </w:rPr>
        <w:t>L. Patricio Pazmiño Freire</w:t>
      </w:r>
    </w:p>
    <w:p w14:paraId="7CE6F9F3" w14:textId="77777777" w:rsidR="00D876EC" w:rsidRDefault="00D876EC" w:rsidP="00D876EC">
      <w:pPr>
        <w:spacing w:after="0" w:line="240" w:lineRule="auto"/>
        <w:jc w:val="both"/>
        <w:rPr>
          <w:rFonts w:ascii="Verdana" w:hAnsi="Verdana"/>
          <w:sz w:val="20"/>
          <w:lang w:val="pt-BR"/>
        </w:rPr>
      </w:pPr>
    </w:p>
    <w:p w14:paraId="440FD24B" w14:textId="77777777" w:rsidR="00D876EC" w:rsidRDefault="00D876EC" w:rsidP="00D876EC">
      <w:pPr>
        <w:spacing w:after="0" w:line="240" w:lineRule="auto"/>
        <w:jc w:val="both"/>
        <w:rPr>
          <w:rFonts w:ascii="Verdana" w:hAnsi="Verdana"/>
          <w:sz w:val="20"/>
          <w:lang w:val="pt-BR"/>
        </w:rPr>
      </w:pPr>
    </w:p>
    <w:p w14:paraId="2E035A31" w14:textId="77777777" w:rsidR="00D876EC" w:rsidRPr="00CC275C" w:rsidRDefault="00D876EC" w:rsidP="00D876EC">
      <w:pPr>
        <w:spacing w:after="0" w:line="240" w:lineRule="auto"/>
        <w:jc w:val="both"/>
        <w:rPr>
          <w:rFonts w:ascii="Verdana" w:hAnsi="Verdana"/>
          <w:sz w:val="20"/>
          <w:lang w:val="pt-BR"/>
        </w:rPr>
      </w:pPr>
    </w:p>
    <w:p w14:paraId="51A7E690" w14:textId="77777777" w:rsidR="00D876EC" w:rsidRPr="00CC275C" w:rsidRDefault="00D876EC" w:rsidP="00D876EC">
      <w:pPr>
        <w:spacing w:after="0" w:line="240" w:lineRule="auto"/>
        <w:jc w:val="both"/>
        <w:rPr>
          <w:rFonts w:ascii="Verdana" w:hAnsi="Verdana"/>
          <w:sz w:val="20"/>
          <w:lang w:val="pt-BR"/>
        </w:rPr>
      </w:pPr>
    </w:p>
    <w:p w14:paraId="3144F735" w14:textId="77777777" w:rsidR="00D876EC" w:rsidRPr="00CC275C" w:rsidRDefault="00D876EC" w:rsidP="00D876EC">
      <w:pPr>
        <w:spacing w:after="0" w:line="240" w:lineRule="auto"/>
        <w:jc w:val="both"/>
        <w:rPr>
          <w:rFonts w:ascii="Verdana" w:hAnsi="Verdana"/>
          <w:sz w:val="20"/>
          <w:lang w:val="pt-BR"/>
        </w:rPr>
      </w:pPr>
    </w:p>
    <w:p w14:paraId="3DCC7E60" w14:textId="77777777" w:rsidR="00D876EC" w:rsidRPr="00CC275C" w:rsidRDefault="00D876EC" w:rsidP="00D876EC">
      <w:pPr>
        <w:spacing w:after="0" w:line="240" w:lineRule="auto"/>
        <w:jc w:val="both"/>
        <w:rPr>
          <w:rFonts w:ascii="Verdana" w:hAnsi="Verdana"/>
          <w:sz w:val="20"/>
          <w:lang w:val="pt-BR"/>
        </w:rPr>
      </w:pPr>
    </w:p>
    <w:p w14:paraId="691905B5" w14:textId="77777777" w:rsidR="00D876EC" w:rsidRPr="00CC275C" w:rsidRDefault="00D876EC" w:rsidP="00D876EC">
      <w:pPr>
        <w:spacing w:after="0" w:line="240" w:lineRule="auto"/>
        <w:jc w:val="both"/>
        <w:rPr>
          <w:rFonts w:ascii="Verdana" w:hAnsi="Verdana"/>
          <w:sz w:val="20"/>
          <w:lang w:val="pt-BR"/>
        </w:rPr>
      </w:pPr>
    </w:p>
    <w:p w14:paraId="7FFCF2FA" w14:textId="77777777" w:rsidR="00D876EC" w:rsidRPr="00CC275C" w:rsidRDefault="00D876EC" w:rsidP="00D876EC">
      <w:pPr>
        <w:spacing w:after="0" w:line="240" w:lineRule="auto"/>
        <w:jc w:val="center"/>
        <w:rPr>
          <w:rFonts w:ascii="Verdana" w:hAnsi="Verdana"/>
          <w:sz w:val="20"/>
          <w:lang w:val="pt-BR"/>
        </w:rPr>
      </w:pPr>
      <w:r w:rsidRPr="00CC275C">
        <w:rPr>
          <w:rFonts w:ascii="Verdana" w:hAnsi="Verdana"/>
          <w:sz w:val="20"/>
          <w:lang w:val="pt-BR"/>
        </w:rPr>
        <w:t>Pablo Saavedra Alessandri</w:t>
      </w:r>
    </w:p>
    <w:p w14:paraId="26025530" w14:textId="77777777" w:rsidR="00D876EC" w:rsidRPr="00CC275C" w:rsidRDefault="00D876EC" w:rsidP="00D876EC">
      <w:pPr>
        <w:spacing w:after="0" w:line="240" w:lineRule="auto"/>
        <w:jc w:val="center"/>
        <w:rPr>
          <w:rFonts w:ascii="Verdana" w:hAnsi="Verdana"/>
          <w:sz w:val="20"/>
          <w:lang w:val="pt-BR"/>
        </w:rPr>
      </w:pPr>
      <w:r w:rsidRPr="00CC275C">
        <w:rPr>
          <w:rFonts w:ascii="Verdana" w:hAnsi="Verdana"/>
          <w:sz w:val="20"/>
          <w:lang w:val="pt-BR"/>
        </w:rPr>
        <w:t>Secretario</w:t>
      </w:r>
    </w:p>
    <w:p w14:paraId="428AC95C" w14:textId="77777777" w:rsidR="00D876EC" w:rsidRPr="00CC275C" w:rsidRDefault="00D876EC" w:rsidP="00D876EC">
      <w:pPr>
        <w:spacing w:after="0" w:line="240" w:lineRule="auto"/>
        <w:rPr>
          <w:rFonts w:ascii="Verdana" w:hAnsi="Verdana"/>
          <w:sz w:val="20"/>
          <w:lang w:val="pt-BR"/>
        </w:rPr>
      </w:pPr>
    </w:p>
    <w:p w14:paraId="615BADBB" w14:textId="77777777" w:rsidR="00D876EC" w:rsidRPr="00CC275C" w:rsidRDefault="00D876EC" w:rsidP="00D876EC">
      <w:pPr>
        <w:pStyle w:val="FootnoteText"/>
        <w:rPr>
          <w:rFonts w:ascii="Verdana" w:hAnsi="Verdana"/>
          <w:lang w:val="pt-BR"/>
        </w:rPr>
      </w:pPr>
    </w:p>
    <w:p w14:paraId="1524BA93" w14:textId="77777777" w:rsidR="00D876EC" w:rsidRPr="00CC275C" w:rsidRDefault="00D876EC" w:rsidP="00D876EC">
      <w:pPr>
        <w:spacing w:after="0" w:line="240" w:lineRule="auto"/>
        <w:jc w:val="both"/>
        <w:rPr>
          <w:rFonts w:ascii="Verdana" w:hAnsi="Verdana"/>
          <w:sz w:val="20"/>
          <w:lang w:val="pt-BR"/>
        </w:rPr>
      </w:pPr>
      <w:r w:rsidRPr="00CC275C">
        <w:rPr>
          <w:rFonts w:ascii="Verdana" w:hAnsi="Verdana"/>
          <w:sz w:val="20"/>
          <w:lang w:val="pt-BR"/>
        </w:rPr>
        <w:t>Comuníquese y ejecútese,</w:t>
      </w:r>
    </w:p>
    <w:p w14:paraId="3D165280" w14:textId="77777777" w:rsidR="00D876EC" w:rsidRPr="00CC275C" w:rsidRDefault="00D876EC" w:rsidP="00D876EC">
      <w:pPr>
        <w:spacing w:after="0" w:line="240" w:lineRule="auto"/>
        <w:jc w:val="both"/>
        <w:rPr>
          <w:rFonts w:ascii="Verdana" w:hAnsi="Verdana"/>
          <w:sz w:val="20"/>
          <w:lang w:val="pt-BR"/>
        </w:rPr>
      </w:pPr>
    </w:p>
    <w:p w14:paraId="1C67BBB7" w14:textId="77777777" w:rsidR="00D876EC" w:rsidRPr="00CC275C" w:rsidRDefault="00D876EC" w:rsidP="00D876EC">
      <w:pPr>
        <w:spacing w:after="0" w:line="240" w:lineRule="auto"/>
        <w:jc w:val="both"/>
        <w:rPr>
          <w:rFonts w:ascii="Verdana" w:hAnsi="Verdana"/>
          <w:sz w:val="20"/>
          <w:lang w:val="pt-BR"/>
        </w:rPr>
      </w:pPr>
    </w:p>
    <w:p w14:paraId="52990C55" w14:textId="77777777" w:rsidR="00D876EC" w:rsidRPr="00CC275C" w:rsidRDefault="00D876EC" w:rsidP="00D876EC">
      <w:pPr>
        <w:spacing w:after="0" w:line="240" w:lineRule="auto"/>
        <w:jc w:val="both"/>
        <w:rPr>
          <w:rFonts w:ascii="Verdana" w:hAnsi="Verdana"/>
          <w:sz w:val="20"/>
          <w:lang w:val="pt-BR"/>
        </w:rPr>
      </w:pPr>
    </w:p>
    <w:p w14:paraId="547B0334" w14:textId="77777777" w:rsidR="00D876EC" w:rsidRPr="00CC275C" w:rsidRDefault="00D876EC" w:rsidP="00D876EC">
      <w:pPr>
        <w:spacing w:after="0" w:line="240" w:lineRule="auto"/>
        <w:jc w:val="both"/>
        <w:rPr>
          <w:rFonts w:ascii="Verdana" w:hAnsi="Verdana"/>
          <w:sz w:val="20"/>
          <w:lang w:val="pt-BR"/>
        </w:rPr>
      </w:pPr>
    </w:p>
    <w:p w14:paraId="0E36B211" w14:textId="77777777" w:rsidR="00D876EC" w:rsidRDefault="00D876EC" w:rsidP="00D876EC">
      <w:pPr>
        <w:spacing w:after="0" w:line="240" w:lineRule="auto"/>
        <w:ind w:left="4956"/>
        <w:jc w:val="center"/>
        <w:rPr>
          <w:rFonts w:ascii="Verdana" w:hAnsi="Verdana"/>
          <w:sz w:val="20"/>
          <w:lang w:val="pt-BR"/>
        </w:rPr>
      </w:pPr>
      <w:r w:rsidRPr="00D0325C">
        <w:rPr>
          <w:rFonts w:ascii="Verdana" w:hAnsi="Verdana"/>
          <w:sz w:val="20"/>
          <w:lang w:val="pt-BR"/>
        </w:rPr>
        <w:t xml:space="preserve">Eduardo Ferrer Mac-Gregor Poisot </w:t>
      </w:r>
    </w:p>
    <w:p w14:paraId="6359F749" w14:textId="77777777" w:rsidR="00D876EC" w:rsidRPr="00D0325C" w:rsidRDefault="00D876EC" w:rsidP="00D876EC">
      <w:pPr>
        <w:spacing w:after="0" w:line="240" w:lineRule="auto"/>
        <w:ind w:left="4956"/>
        <w:jc w:val="center"/>
        <w:rPr>
          <w:rFonts w:ascii="Verdana" w:hAnsi="Verdana"/>
          <w:sz w:val="20"/>
          <w:lang w:val="pt-BR"/>
        </w:rPr>
      </w:pPr>
      <w:r w:rsidRPr="00D0325C">
        <w:rPr>
          <w:rFonts w:ascii="Verdana" w:hAnsi="Verdana"/>
          <w:sz w:val="20"/>
          <w:lang w:val="pt-BR"/>
        </w:rPr>
        <w:t>Presidente</w:t>
      </w:r>
    </w:p>
    <w:p w14:paraId="0D70A5CE" w14:textId="77777777" w:rsidR="00D876EC" w:rsidRPr="00CC275C" w:rsidRDefault="00D876EC" w:rsidP="00D876EC">
      <w:pPr>
        <w:spacing w:after="0" w:line="240" w:lineRule="auto"/>
        <w:jc w:val="both"/>
        <w:rPr>
          <w:rFonts w:ascii="Verdana" w:hAnsi="Verdana"/>
          <w:sz w:val="20"/>
          <w:lang w:val="pt-BR"/>
        </w:rPr>
      </w:pPr>
    </w:p>
    <w:p w14:paraId="35959419" w14:textId="77777777" w:rsidR="00D876EC" w:rsidRPr="00CC275C" w:rsidRDefault="00D876EC" w:rsidP="00D876EC">
      <w:pPr>
        <w:spacing w:after="0" w:line="240" w:lineRule="auto"/>
        <w:jc w:val="both"/>
        <w:rPr>
          <w:rFonts w:ascii="Verdana" w:hAnsi="Verdana"/>
          <w:sz w:val="20"/>
          <w:lang w:val="pt-BR"/>
        </w:rPr>
      </w:pPr>
    </w:p>
    <w:p w14:paraId="465F48C4" w14:textId="77777777" w:rsidR="00D876EC" w:rsidRDefault="00D876EC" w:rsidP="00D876EC">
      <w:pPr>
        <w:spacing w:after="0" w:line="240" w:lineRule="auto"/>
        <w:jc w:val="both"/>
        <w:rPr>
          <w:rFonts w:ascii="Verdana" w:hAnsi="Verdana"/>
          <w:sz w:val="20"/>
          <w:lang w:val="pt-BR"/>
        </w:rPr>
      </w:pPr>
    </w:p>
    <w:p w14:paraId="50775E32" w14:textId="77777777" w:rsidR="00D876EC" w:rsidRDefault="00D876EC" w:rsidP="00D876EC">
      <w:pPr>
        <w:spacing w:after="0" w:line="240" w:lineRule="auto"/>
        <w:jc w:val="both"/>
        <w:rPr>
          <w:rFonts w:ascii="Verdana" w:hAnsi="Verdana"/>
          <w:sz w:val="20"/>
          <w:lang w:val="pt-BR"/>
        </w:rPr>
      </w:pPr>
    </w:p>
    <w:p w14:paraId="0E657996" w14:textId="77777777" w:rsidR="00D876EC" w:rsidRPr="00CC275C" w:rsidRDefault="00D876EC" w:rsidP="00D876EC">
      <w:pPr>
        <w:spacing w:after="0" w:line="240" w:lineRule="auto"/>
        <w:jc w:val="both"/>
        <w:rPr>
          <w:rFonts w:ascii="Verdana" w:hAnsi="Verdana"/>
          <w:sz w:val="20"/>
          <w:lang w:val="pt-BR"/>
        </w:rPr>
      </w:pPr>
    </w:p>
    <w:p w14:paraId="65F625AA" w14:textId="77777777" w:rsidR="00D876EC" w:rsidRPr="00CC275C" w:rsidRDefault="00D876EC" w:rsidP="00D876EC">
      <w:pPr>
        <w:spacing w:after="0" w:line="240" w:lineRule="auto"/>
        <w:jc w:val="both"/>
        <w:rPr>
          <w:rFonts w:ascii="Verdana" w:hAnsi="Verdana"/>
          <w:sz w:val="20"/>
          <w:lang w:val="pt-BR"/>
        </w:rPr>
      </w:pPr>
    </w:p>
    <w:p w14:paraId="2F0FD11C" w14:textId="77777777" w:rsidR="00D876EC" w:rsidRPr="004B7A1D" w:rsidRDefault="00D876EC" w:rsidP="00D876EC">
      <w:pPr>
        <w:spacing w:after="0" w:line="240" w:lineRule="auto"/>
        <w:jc w:val="both"/>
        <w:rPr>
          <w:rFonts w:ascii="Verdana" w:hAnsi="Verdana"/>
          <w:sz w:val="20"/>
          <w:lang w:val="es-ES"/>
        </w:rPr>
      </w:pPr>
      <w:r w:rsidRPr="004B7A1D">
        <w:rPr>
          <w:rFonts w:ascii="Verdana" w:hAnsi="Verdana"/>
          <w:sz w:val="20"/>
          <w:lang w:val="es-ES"/>
        </w:rPr>
        <w:t>Pablo Saavedra Alessandri</w:t>
      </w:r>
    </w:p>
    <w:p w14:paraId="0CD5FDA9" w14:textId="77777777" w:rsidR="00D876EC" w:rsidRPr="004B7A1D" w:rsidRDefault="00D876EC" w:rsidP="00D876EC">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0A455B71" w14:textId="77777777" w:rsidR="00F96ACD" w:rsidRPr="00F96ACD" w:rsidRDefault="00F96ACD" w:rsidP="00D876EC">
      <w:pPr>
        <w:pStyle w:val="ListParagraph"/>
        <w:spacing w:after="0" w:line="240" w:lineRule="auto"/>
        <w:ind w:left="0"/>
        <w:jc w:val="both"/>
        <w:rPr>
          <w:rFonts w:ascii="Verdana" w:hAnsi="Verdana"/>
          <w:sz w:val="20"/>
          <w:szCs w:val="20"/>
          <w:lang w:val="es-CR"/>
        </w:rPr>
      </w:pPr>
    </w:p>
    <w:sectPr w:rsidR="00F96ACD" w:rsidRPr="00F96ACD" w:rsidSect="00BD75D1">
      <w:headerReference w:type="default" r:id="rId9"/>
      <w:footerReference w:type="even"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B1B8E" w14:textId="77777777" w:rsidR="009E36E2" w:rsidRDefault="009E36E2" w:rsidP="00C1515A">
      <w:pPr>
        <w:spacing w:after="0" w:line="240" w:lineRule="auto"/>
      </w:pPr>
      <w:r>
        <w:separator/>
      </w:r>
    </w:p>
  </w:endnote>
  <w:endnote w:type="continuationSeparator" w:id="0">
    <w:p w14:paraId="62DD81CD" w14:textId="77777777" w:rsidR="009E36E2" w:rsidRDefault="009E36E2" w:rsidP="00C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BAA96" w14:textId="77777777" w:rsidR="009E36E2" w:rsidRDefault="009E36E2" w:rsidP="009E3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BF36A" w14:textId="77777777" w:rsidR="009E36E2" w:rsidRDefault="009E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F7307" w14:textId="77777777" w:rsidR="009E36E2" w:rsidRDefault="009E36E2" w:rsidP="00C1515A">
      <w:pPr>
        <w:spacing w:after="0" w:line="240" w:lineRule="auto"/>
      </w:pPr>
      <w:r>
        <w:separator/>
      </w:r>
    </w:p>
  </w:footnote>
  <w:footnote w:type="continuationSeparator" w:id="0">
    <w:p w14:paraId="115EAC0A" w14:textId="77777777" w:rsidR="009E36E2" w:rsidRDefault="009E36E2" w:rsidP="00C1515A">
      <w:pPr>
        <w:spacing w:after="0" w:line="240" w:lineRule="auto"/>
      </w:pPr>
      <w:r>
        <w:continuationSeparator/>
      </w:r>
    </w:p>
  </w:footnote>
  <w:footnote w:id="1">
    <w:p w14:paraId="7C499EDD" w14:textId="24507039" w:rsidR="00080B9F" w:rsidRPr="00E9356D" w:rsidRDefault="00080B9F" w:rsidP="00080B9F">
      <w:pPr>
        <w:pStyle w:val="FootnoteText"/>
        <w:jc w:val="both"/>
        <w:rPr>
          <w:rFonts w:ascii="Verdana" w:hAnsi="Verdana"/>
          <w:sz w:val="16"/>
          <w:szCs w:val="16"/>
          <w:lang w:val="es-CR"/>
        </w:rPr>
      </w:pPr>
      <w:r w:rsidRPr="00E9356D">
        <w:rPr>
          <w:rStyle w:val="FootnoteReference"/>
          <w:rFonts w:ascii="Verdana" w:hAnsi="Verdana"/>
          <w:sz w:val="16"/>
          <w:szCs w:val="16"/>
          <w:lang w:val="es-CR"/>
        </w:rPr>
        <w:t>*</w:t>
      </w:r>
      <w:r w:rsidRPr="00E9356D">
        <w:rPr>
          <w:rFonts w:ascii="Verdana" w:hAnsi="Verdana"/>
          <w:sz w:val="16"/>
          <w:szCs w:val="16"/>
          <w:lang w:val="es-CR"/>
        </w:rPr>
        <w:t xml:space="preserve"> </w:t>
      </w:r>
      <w:r w:rsidRPr="00E9356D">
        <w:rPr>
          <w:rFonts w:ascii="Verdana" w:hAnsi="Verdana"/>
          <w:sz w:val="16"/>
          <w:szCs w:val="16"/>
          <w:lang w:val="es-CR"/>
        </w:rPr>
        <w:tab/>
      </w:r>
      <w:r w:rsidR="00520F22" w:rsidRPr="00520F22">
        <w:rPr>
          <w:rFonts w:ascii="Verdana" w:hAnsi="Verdana"/>
          <w:sz w:val="16"/>
          <w:szCs w:val="16"/>
          <w:lang w:val="es-CR"/>
        </w:rPr>
        <w:t>El Juez Eugenio Raúl Zaffaroni no asistió al 124º Período Ordinario de Sesiones de la Corte Interamericana por motivos de fuerza mayor, lo cual fue aceptado por el Pleno. Por esa razón no participó en la deliberación y firma de esta Resolución.</w:t>
      </w:r>
    </w:p>
  </w:footnote>
  <w:footnote w:id="2">
    <w:p w14:paraId="3AF97E92" w14:textId="77777777" w:rsidR="009E36E2" w:rsidRPr="001A7693" w:rsidRDefault="009E36E2" w:rsidP="00C1515A">
      <w:pPr>
        <w:pStyle w:val="FootnoteText"/>
        <w:jc w:val="both"/>
        <w:rPr>
          <w:rFonts w:ascii="Verdana" w:hAnsi="Verdana"/>
          <w:sz w:val="16"/>
          <w:szCs w:val="16"/>
          <w:lang w:val="es-CR"/>
        </w:rPr>
      </w:pPr>
      <w:r w:rsidRPr="001A7693">
        <w:rPr>
          <w:rStyle w:val="FootnoteReference"/>
          <w:rFonts w:ascii="Verdana" w:hAnsi="Verdana"/>
          <w:sz w:val="16"/>
          <w:szCs w:val="16"/>
        </w:rPr>
        <w:footnoteRef/>
      </w:r>
      <w:r w:rsidRPr="001A7693">
        <w:rPr>
          <w:rFonts w:ascii="Verdana" w:hAnsi="Verdana"/>
          <w:sz w:val="16"/>
          <w:szCs w:val="16"/>
          <w:lang w:val="es-CR"/>
        </w:rPr>
        <w:t xml:space="preserve"> </w:t>
      </w:r>
      <w:r w:rsidRPr="001A7693">
        <w:rPr>
          <w:rFonts w:ascii="Verdana" w:hAnsi="Verdana"/>
          <w:sz w:val="16"/>
          <w:szCs w:val="16"/>
          <w:lang w:val="es-CR"/>
        </w:rPr>
        <w:tab/>
      </w:r>
      <w:r w:rsidRPr="001A7693">
        <w:rPr>
          <w:rFonts w:ascii="Verdana" w:hAnsi="Verdana"/>
          <w:i/>
          <w:sz w:val="16"/>
          <w:szCs w:val="16"/>
          <w:lang w:val="es-CR"/>
        </w:rPr>
        <w:t xml:space="preserve">Cfr. Caso Zegarra Marín Vs. </w:t>
      </w:r>
      <w:r>
        <w:rPr>
          <w:rFonts w:ascii="Verdana" w:hAnsi="Verdana"/>
          <w:i/>
          <w:sz w:val="16"/>
          <w:szCs w:val="16"/>
          <w:lang w:val="es-CR"/>
        </w:rPr>
        <w:t>Perú</w:t>
      </w:r>
      <w:r w:rsidRPr="001A7693">
        <w:rPr>
          <w:rFonts w:ascii="Verdana" w:hAnsi="Verdana"/>
          <w:i/>
          <w:sz w:val="16"/>
          <w:szCs w:val="16"/>
          <w:lang w:val="es-CR"/>
        </w:rPr>
        <w:t>. Excepciones Preliminares, Fondo, Reparaciones y Costas.</w:t>
      </w:r>
      <w:r w:rsidRPr="001A7693">
        <w:rPr>
          <w:rFonts w:ascii="Verdana" w:hAnsi="Verdana"/>
          <w:sz w:val="16"/>
          <w:szCs w:val="16"/>
          <w:lang w:val="es-CR"/>
        </w:rPr>
        <w:t xml:space="preserve"> Sentencia de 15 de febrero de 2017. Serie C No. 331. El texto íntegro de la Sentencia se encuentra disponible en: </w:t>
      </w:r>
      <w:hyperlink r:id="rId1" w:history="1">
        <w:r w:rsidRPr="001A7693">
          <w:rPr>
            <w:rStyle w:val="Hyperlink"/>
            <w:rFonts w:ascii="Verdana" w:hAnsi="Verdana"/>
            <w:sz w:val="16"/>
            <w:szCs w:val="16"/>
            <w:lang w:val="es-CR"/>
          </w:rPr>
          <w:t>http://www.corteidh.or.cr/docs/casos/articulos/seriec_331_esp.pdf</w:t>
        </w:r>
      </w:hyperlink>
      <w:r w:rsidRPr="001A7693">
        <w:rPr>
          <w:rFonts w:ascii="Verdana" w:hAnsi="Verdana"/>
          <w:sz w:val="16"/>
          <w:szCs w:val="16"/>
          <w:lang w:val="es-CR"/>
        </w:rPr>
        <w:t>. La Sentencia fue notificada al Estado el 11 de mayo de 2017.</w:t>
      </w:r>
    </w:p>
  </w:footnote>
  <w:footnote w:id="3">
    <w:p w14:paraId="2CFB58FC" w14:textId="0B1627F4" w:rsidR="009E36E2" w:rsidRPr="00003FF3" w:rsidRDefault="009E36E2" w:rsidP="00003FF3">
      <w:pPr>
        <w:pStyle w:val="FootnoteText"/>
        <w:jc w:val="both"/>
        <w:rPr>
          <w:rFonts w:ascii="Verdana" w:hAnsi="Verdana"/>
          <w:sz w:val="16"/>
          <w:szCs w:val="16"/>
          <w:lang w:val="es-ES_tradnl"/>
        </w:rPr>
      </w:pPr>
      <w:r w:rsidRPr="00003FF3">
        <w:rPr>
          <w:rStyle w:val="FootnoteReference"/>
          <w:rFonts w:ascii="Verdana" w:hAnsi="Verdana"/>
          <w:sz w:val="16"/>
          <w:szCs w:val="16"/>
        </w:rPr>
        <w:footnoteRef/>
      </w:r>
      <w:r w:rsidRPr="00003FF3">
        <w:rPr>
          <w:rFonts w:ascii="Verdana" w:hAnsi="Verdana"/>
          <w:sz w:val="16"/>
          <w:szCs w:val="16"/>
          <w:lang w:val="es-CR"/>
        </w:rPr>
        <w:t xml:space="preserve"> </w:t>
      </w:r>
      <w:r w:rsidR="00003FF3" w:rsidRPr="00003FF3">
        <w:rPr>
          <w:rFonts w:ascii="Verdana" w:hAnsi="Verdana"/>
          <w:sz w:val="16"/>
          <w:szCs w:val="16"/>
          <w:lang w:val="es-CR"/>
        </w:rPr>
        <w:tab/>
      </w:r>
      <w:r w:rsidR="00003FF3" w:rsidRPr="00003FF3">
        <w:rPr>
          <w:rFonts w:ascii="Verdana" w:hAnsi="Verdana"/>
          <w:i/>
          <w:sz w:val="16"/>
          <w:szCs w:val="16"/>
          <w:lang w:val="es-CR"/>
        </w:rPr>
        <w:t xml:space="preserve">Cfr. Caso Zegarra Marín Vs. Perú. Interpretación de la Sentencia de Excepciones Preliminares, Fondo, Reparaciones y Costas. </w:t>
      </w:r>
      <w:r w:rsidR="00003FF3" w:rsidRPr="00BD75D1">
        <w:rPr>
          <w:rFonts w:ascii="Verdana" w:hAnsi="Verdana"/>
          <w:sz w:val="16"/>
          <w:szCs w:val="16"/>
          <w:lang w:val="es-CR"/>
        </w:rPr>
        <w:t>Sentencia de 8 de febrero de 2018.</w:t>
      </w:r>
      <w:r w:rsidR="00003FF3" w:rsidRPr="00003FF3">
        <w:rPr>
          <w:rFonts w:ascii="Verdana" w:hAnsi="Verdana"/>
          <w:i/>
          <w:sz w:val="16"/>
          <w:szCs w:val="16"/>
          <w:lang w:val="es-CR"/>
        </w:rPr>
        <w:t xml:space="preserve"> </w:t>
      </w:r>
      <w:r w:rsidR="00003FF3" w:rsidRPr="00080B9F">
        <w:rPr>
          <w:rFonts w:ascii="Verdana" w:hAnsi="Verdana"/>
          <w:sz w:val="16"/>
          <w:szCs w:val="16"/>
          <w:lang w:val="es-CR"/>
        </w:rPr>
        <w:t>Serie C No. 347</w:t>
      </w:r>
      <w:r w:rsidR="00003FF3" w:rsidRPr="00003FF3">
        <w:rPr>
          <w:rFonts w:ascii="Verdana" w:hAnsi="Verdana"/>
          <w:sz w:val="16"/>
          <w:szCs w:val="16"/>
          <w:lang w:val="es-CR"/>
        </w:rPr>
        <w:t xml:space="preserve">. El texto íntegro de la Sentencia se encuentra disponible en: </w:t>
      </w:r>
      <w:hyperlink r:id="rId2" w:history="1">
        <w:r w:rsidR="00E96FAC" w:rsidRPr="000D167B">
          <w:rPr>
            <w:rStyle w:val="Hyperlink"/>
            <w:rFonts w:ascii="Verdana" w:hAnsi="Verdana"/>
            <w:sz w:val="16"/>
            <w:szCs w:val="16"/>
            <w:lang w:val="es-CR"/>
          </w:rPr>
          <w:t>http://www.corteidh.or.cr/docs/casos/articulos/seriec_347_esp.pdf</w:t>
        </w:r>
      </w:hyperlink>
      <w:r w:rsidR="00E96FAC">
        <w:rPr>
          <w:rFonts w:ascii="Verdana" w:hAnsi="Verdana"/>
          <w:sz w:val="16"/>
          <w:szCs w:val="16"/>
          <w:lang w:val="es-CR"/>
        </w:rPr>
        <w:t xml:space="preserve">. </w:t>
      </w:r>
      <w:r w:rsidR="00140C03">
        <w:rPr>
          <w:rFonts w:ascii="Verdana" w:hAnsi="Verdana"/>
          <w:sz w:val="16"/>
          <w:szCs w:val="16"/>
          <w:lang w:val="es-CR"/>
        </w:rPr>
        <w:t xml:space="preserve">La Sentencia fue notificada el 20 de febrero de 2018. </w:t>
      </w:r>
    </w:p>
  </w:footnote>
  <w:footnote w:id="4">
    <w:p w14:paraId="6B50D717" w14:textId="2FBF688F" w:rsidR="00E46FC1" w:rsidRPr="00080B9F" w:rsidRDefault="00E46FC1" w:rsidP="00080B9F">
      <w:pPr>
        <w:pStyle w:val="FootnoteText"/>
        <w:jc w:val="both"/>
        <w:rPr>
          <w:rFonts w:ascii="Verdana" w:hAnsi="Verdana"/>
          <w:sz w:val="16"/>
          <w:szCs w:val="16"/>
          <w:lang w:val="es-CR"/>
        </w:rPr>
      </w:pPr>
      <w:r w:rsidRPr="00080B9F">
        <w:rPr>
          <w:rStyle w:val="FootnoteReference"/>
          <w:rFonts w:ascii="Verdana" w:hAnsi="Verdana"/>
          <w:sz w:val="16"/>
          <w:szCs w:val="16"/>
        </w:rPr>
        <w:footnoteRef/>
      </w:r>
      <w:r w:rsidRPr="00080B9F">
        <w:rPr>
          <w:rFonts w:ascii="Verdana" w:hAnsi="Verdana"/>
          <w:sz w:val="16"/>
          <w:szCs w:val="16"/>
          <w:lang w:val="es-CR"/>
        </w:rPr>
        <w:t xml:space="preserve"> </w:t>
      </w:r>
      <w:r w:rsidRPr="00080B9F">
        <w:rPr>
          <w:rFonts w:ascii="Verdana" w:hAnsi="Verdana"/>
          <w:sz w:val="16"/>
          <w:szCs w:val="16"/>
          <w:lang w:val="es-CR"/>
        </w:rPr>
        <w:tab/>
        <w:t>Escritos de 8 y 22 de junio de 2017 y 14 de mayo de 2018.</w:t>
      </w:r>
    </w:p>
  </w:footnote>
  <w:footnote w:id="5">
    <w:p w14:paraId="10797738" w14:textId="03CC703E" w:rsidR="009E36E2" w:rsidRPr="002A750C" w:rsidRDefault="009E36E2" w:rsidP="002A750C">
      <w:pPr>
        <w:pStyle w:val="FootnoteText"/>
        <w:jc w:val="both"/>
        <w:rPr>
          <w:rFonts w:ascii="Verdana" w:hAnsi="Verdana"/>
          <w:sz w:val="16"/>
          <w:szCs w:val="16"/>
          <w:lang w:val="es-CR"/>
        </w:rPr>
      </w:pPr>
      <w:r w:rsidRPr="002A750C">
        <w:rPr>
          <w:rStyle w:val="FootnoteReference"/>
          <w:rFonts w:ascii="Verdana" w:hAnsi="Verdana"/>
          <w:sz w:val="16"/>
          <w:szCs w:val="16"/>
        </w:rPr>
        <w:footnoteRef/>
      </w:r>
      <w:r w:rsidRPr="002A750C">
        <w:rPr>
          <w:rFonts w:ascii="Verdana" w:hAnsi="Verdana"/>
          <w:sz w:val="16"/>
          <w:szCs w:val="16"/>
          <w:lang w:val="es-CR"/>
        </w:rPr>
        <w:t xml:space="preserve"> </w:t>
      </w:r>
      <w:r w:rsidRPr="002A750C">
        <w:rPr>
          <w:rFonts w:ascii="Verdana" w:hAnsi="Verdana"/>
          <w:sz w:val="16"/>
          <w:szCs w:val="16"/>
          <w:lang w:val="es-CR"/>
        </w:rPr>
        <w:tab/>
      </w:r>
      <w:r w:rsidR="00315C72">
        <w:rPr>
          <w:rFonts w:ascii="Verdana" w:hAnsi="Verdana"/>
          <w:sz w:val="16"/>
          <w:szCs w:val="16"/>
          <w:lang w:val="es-CR"/>
        </w:rPr>
        <w:t xml:space="preserve">La víctima del presente caso es representada por </w:t>
      </w:r>
      <w:r>
        <w:rPr>
          <w:rFonts w:ascii="Verdana" w:hAnsi="Verdana"/>
          <w:sz w:val="16"/>
          <w:szCs w:val="16"/>
          <w:lang w:val="es-CR"/>
        </w:rPr>
        <w:t>Silvia E. Martínez, Defensora Interamericana</w:t>
      </w:r>
      <w:r w:rsidR="00315C72">
        <w:rPr>
          <w:rFonts w:ascii="Verdana" w:hAnsi="Verdana"/>
          <w:sz w:val="16"/>
          <w:szCs w:val="16"/>
          <w:lang w:val="es-CR"/>
        </w:rPr>
        <w:t>.</w:t>
      </w:r>
    </w:p>
  </w:footnote>
  <w:footnote w:id="6">
    <w:p w14:paraId="1EDF5119" w14:textId="77777777" w:rsidR="009E36E2" w:rsidRPr="00C15C7E" w:rsidRDefault="009E36E2" w:rsidP="00C15C7E">
      <w:pPr>
        <w:pStyle w:val="FootnoteText"/>
        <w:jc w:val="both"/>
        <w:rPr>
          <w:rFonts w:ascii="Verdana" w:hAnsi="Verdana"/>
          <w:sz w:val="16"/>
          <w:szCs w:val="16"/>
          <w:lang w:val="es-CR"/>
        </w:rPr>
      </w:pPr>
      <w:r w:rsidRPr="00C15C7E">
        <w:rPr>
          <w:rStyle w:val="FootnoteReference"/>
          <w:rFonts w:ascii="Verdana" w:hAnsi="Verdana"/>
          <w:sz w:val="16"/>
          <w:szCs w:val="16"/>
        </w:rPr>
        <w:footnoteRef/>
      </w:r>
      <w:r w:rsidRPr="00C15C7E">
        <w:rPr>
          <w:rFonts w:ascii="Verdana" w:hAnsi="Verdana"/>
          <w:sz w:val="16"/>
          <w:szCs w:val="16"/>
          <w:lang w:val="es-CR"/>
        </w:rPr>
        <w:t xml:space="preserve"> </w:t>
      </w:r>
      <w:r w:rsidRPr="00C15C7E">
        <w:rPr>
          <w:rFonts w:ascii="Verdana" w:hAnsi="Verdana"/>
          <w:sz w:val="16"/>
          <w:szCs w:val="16"/>
          <w:lang w:val="es-CR"/>
        </w:rPr>
        <w:tab/>
        <w:t>Facultad que además se desprende de lo dispuesto en los artículos 33, 62.1, 62.3 y 65 de la Convención</w:t>
      </w:r>
    </w:p>
    <w:p w14:paraId="7836F6EF" w14:textId="77777777" w:rsidR="009E36E2" w:rsidRPr="00C15C7E" w:rsidRDefault="009E36E2" w:rsidP="00C15C7E">
      <w:pPr>
        <w:pStyle w:val="FootnoteText"/>
        <w:jc w:val="both"/>
        <w:rPr>
          <w:lang w:val="es-CR"/>
        </w:rPr>
      </w:pPr>
      <w:r w:rsidRPr="00C15C7E">
        <w:rPr>
          <w:rFonts w:ascii="Verdana" w:hAnsi="Verdana"/>
          <w:sz w:val="16"/>
          <w:szCs w:val="16"/>
          <w:lang w:val="es-CR"/>
        </w:rPr>
        <w:t>Americana y 30 de su Estatuto y se encuentra regulada en el artículo 69 de su Reglamento.</w:t>
      </w:r>
    </w:p>
  </w:footnote>
  <w:footnote w:id="7">
    <w:p w14:paraId="6FAC1A45" w14:textId="524B986E" w:rsidR="009E36E2" w:rsidRPr="00226C10" w:rsidRDefault="009E36E2"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Cinco Pensionistas Vs. Perú.</w:t>
      </w:r>
      <w:r>
        <w:rPr>
          <w:rFonts w:ascii="Verdana" w:hAnsi="Verdana"/>
          <w:i/>
          <w:sz w:val="16"/>
          <w:szCs w:val="16"/>
          <w:lang w:val="es-CR"/>
        </w:rPr>
        <w:t xml:space="preserve"> Supervisión de Cumplimiento de Sentencia.</w:t>
      </w:r>
      <w:r w:rsidRPr="00226C10">
        <w:rPr>
          <w:rFonts w:ascii="Verdana" w:hAnsi="Verdana"/>
          <w:sz w:val="16"/>
          <w:szCs w:val="16"/>
          <w:lang w:val="es-CR"/>
        </w:rPr>
        <w:t xml:space="preserve"> Resolución de la Corte Interamericana de Derechos Humanos de 17 de noviembre de 2004, Considerando 5, y </w:t>
      </w:r>
      <w:r w:rsidRPr="0053546C">
        <w:rPr>
          <w:rFonts w:ascii="Verdana" w:hAnsi="Verdana"/>
          <w:i/>
          <w:sz w:val="16"/>
          <w:szCs w:val="16"/>
          <w:lang w:val="es-CR"/>
        </w:rPr>
        <w:t>Caso Masacre</w:t>
      </w:r>
      <w:r w:rsidR="00E96FAC">
        <w:rPr>
          <w:rFonts w:ascii="Verdana" w:hAnsi="Verdana"/>
          <w:i/>
          <w:sz w:val="16"/>
          <w:szCs w:val="16"/>
          <w:lang w:val="es-CR"/>
        </w:rPr>
        <w:t>s</w:t>
      </w:r>
      <w:r w:rsidRPr="0053546C">
        <w:rPr>
          <w:rFonts w:ascii="Verdana" w:hAnsi="Verdana"/>
          <w:i/>
          <w:sz w:val="16"/>
          <w:szCs w:val="16"/>
          <w:lang w:val="es-CR"/>
        </w:rPr>
        <w:t xml:space="preserve"> de </w:t>
      </w:r>
      <w:r w:rsidR="00E96FAC">
        <w:rPr>
          <w:rFonts w:ascii="Verdana" w:hAnsi="Verdana"/>
          <w:i/>
          <w:sz w:val="16"/>
          <w:szCs w:val="16"/>
          <w:lang w:val="es-CR"/>
        </w:rPr>
        <w:t>Río Negro</w:t>
      </w:r>
      <w:r w:rsidRPr="0053546C">
        <w:rPr>
          <w:rFonts w:ascii="Verdana" w:hAnsi="Verdana"/>
          <w:i/>
          <w:sz w:val="16"/>
          <w:szCs w:val="16"/>
          <w:lang w:val="es-CR"/>
        </w:rPr>
        <w:t xml:space="preserve"> Vs. Guatemala. Supervisión de Cumplimiento de Sentencia.</w:t>
      </w:r>
      <w:r w:rsidRPr="00226C10">
        <w:rPr>
          <w:rFonts w:ascii="Verdana" w:hAnsi="Verdana"/>
          <w:sz w:val="16"/>
          <w:szCs w:val="16"/>
          <w:lang w:val="es-CR"/>
        </w:rPr>
        <w:t xml:space="preserve"> Resolución de la Corte Interamericana de Derechos Humanos </w:t>
      </w:r>
      <w:r w:rsidR="00E96FAC">
        <w:rPr>
          <w:rFonts w:ascii="Verdana" w:hAnsi="Verdana"/>
          <w:sz w:val="16"/>
          <w:szCs w:val="16"/>
          <w:lang w:val="es-CR"/>
        </w:rPr>
        <w:t>14</w:t>
      </w:r>
      <w:r w:rsidRPr="00226C10">
        <w:rPr>
          <w:rFonts w:ascii="Verdana" w:hAnsi="Verdana"/>
          <w:sz w:val="16"/>
          <w:szCs w:val="16"/>
          <w:lang w:val="es-CR"/>
        </w:rPr>
        <w:t xml:space="preserve"> de ma</w:t>
      </w:r>
      <w:r w:rsidR="00E96FAC">
        <w:rPr>
          <w:rFonts w:ascii="Verdana" w:hAnsi="Verdana"/>
          <w:sz w:val="16"/>
          <w:szCs w:val="16"/>
          <w:lang w:val="es-CR"/>
        </w:rPr>
        <w:t>rz</w:t>
      </w:r>
      <w:r w:rsidRPr="00226C10">
        <w:rPr>
          <w:rFonts w:ascii="Verdana" w:hAnsi="Verdana"/>
          <w:sz w:val="16"/>
          <w:szCs w:val="16"/>
          <w:lang w:val="es-CR"/>
        </w:rPr>
        <w:t>o de 201</w:t>
      </w:r>
      <w:r w:rsidR="00E96FAC">
        <w:rPr>
          <w:rFonts w:ascii="Verdana" w:hAnsi="Verdana"/>
          <w:sz w:val="16"/>
          <w:szCs w:val="16"/>
          <w:lang w:val="es-CR"/>
        </w:rPr>
        <w:t>8</w:t>
      </w:r>
      <w:r w:rsidRPr="00226C10">
        <w:rPr>
          <w:rFonts w:ascii="Verdana" w:hAnsi="Verdana"/>
          <w:sz w:val="16"/>
          <w:szCs w:val="16"/>
          <w:lang w:val="es-CR"/>
        </w:rPr>
        <w:t>, Considerando 2.</w:t>
      </w:r>
    </w:p>
  </w:footnote>
  <w:footnote w:id="8">
    <w:p w14:paraId="3878B530" w14:textId="7810C4B8" w:rsidR="009E36E2" w:rsidRPr="00226C10" w:rsidRDefault="009E36E2" w:rsidP="00226C10">
      <w:pPr>
        <w:pStyle w:val="FootnoteText"/>
        <w:jc w:val="both"/>
        <w:rPr>
          <w:rFonts w:ascii="Verdana" w:hAnsi="Verdana"/>
          <w:sz w:val="16"/>
          <w:szCs w:val="16"/>
          <w:lang w:val="es-CR"/>
        </w:rPr>
      </w:pPr>
      <w:r w:rsidRPr="00226C10">
        <w:rPr>
          <w:rStyle w:val="FootnoteReference"/>
          <w:rFonts w:ascii="Verdana" w:hAnsi="Verdana"/>
          <w:sz w:val="16"/>
          <w:szCs w:val="16"/>
        </w:rPr>
        <w:footnoteRef/>
      </w:r>
      <w:r w:rsidRPr="00226C10">
        <w:rPr>
          <w:rFonts w:ascii="Verdana" w:hAnsi="Verdana"/>
          <w:sz w:val="16"/>
          <w:szCs w:val="16"/>
          <w:lang w:val="es-CR"/>
        </w:rPr>
        <w:t xml:space="preserve"> </w:t>
      </w:r>
      <w:r w:rsidRPr="00226C10">
        <w:rPr>
          <w:rFonts w:ascii="Verdana" w:hAnsi="Verdana"/>
          <w:sz w:val="16"/>
          <w:szCs w:val="16"/>
          <w:lang w:val="es-CR"/>
        </w:rPr>
        <w:tab/>
      </w:r>
      <w:r w:rsidRPr="0053546C">
        <w:rPr>
          <w:rFonts w:ascii="Verdana" w:hAnsi="Verdana"/>
          <w:i/>
          <w:sz w:val="16"/>
          <w:szCs w:val="16"/>
          <w:lang w:val="es-CR"/>
        </w:rPr>
        <w:t>Cfr. Caso Ivcher Bronstein Vs. Perú. Competencia.</w:t>
      </w:r>
      <w:r w:rsidRPr="00226C10">
        <w:rPr>
          <w:rFonts w:ascii="Verdana" w:hAnsi="Verdana"/>
          <w:sz w:val="16"/>
          <w:szCs w:val="16"/>
          <w:lang w:val="es-CR"/>
        </w:rPr>
        <w:t xml:space="preserve"> Sentencia de la Corte Interamericana de Derechos Humanos de 24 de septiembre de 1999. Serie C No. 54, párr. 37, y </w:t>
      </w:r>
      <w:r w:rsidRPr="0053546C">
        <w:rPr>
          <w:rFonts w:ascii="Verdana" w:hAnsi="Verdana"/>
          <w:i/>
          <w:sz w:val="16"/>
          <w:szCs w:val="16"/>
          <w:lang w:val="es-CR"/>
        </w:rPr>
        <w:t>Caso Masacre</w:t>
      </w:r>
      <w:r w:rsidR="00E96FAC">
        <w:rPr>
          <w:rFonts w:ascii="Verdana" w:hAnsi="Verdana"/>
          <w:i/>
          <w:sz w:val="16"/>
          <w:szCs w:val="16"/>
          <w:lang w:val="es-CR"/>
        </w:rPr>
        <w:t>s</w:t>
      </w:r>
      <w:r w:rsidRPr="0053546C">
        <w:rPr>
          <w:rFonts w:ascii="Verdana" w:hAnsi="Verdana"/>
          <w:i/>
          <w:sz w:val="16"/>
          <w:szCs w:val="16"/>
          <w:lang w:val="es-CR"/>
        </w:rPr>
        <w:t xml:space="preserve"> de </w:t>
      </w:r>
      <w:r w:rsidR="00E96FAC">
        <w:rPr>
          <w:rFonts w:ascii="Verdana" w:hAnsi="Verdana"/>
          <w:i/>
          <w:sz w:val="16"/>
          <w:szCs w:val="16"/>
          <w:lang w:val="es-CR"/>
        </w:rPr>
        <w:t>Río Negro</w:t>
      </w:r>
      <w:r w:rsidRPr="0053546C">
        <w:rPr>
          <w:rFonts w:ascii="Verdana" w:hAnsi="Verdana"/>
          <w:i/>
          <w:sz w:val="16"/>
          <w:szCs w:val="16"/>
          <w:lang w:val="es-CR"/>
        </w:rPr>
        <w:t xml:space="preserve"> Vs. Guatemala. Supervisión de Cumplimiento de Sentencia.</w:t>
      </w:r>
      <w:r w:rsidRPr="00226C10">
        <w:rPr>
          <w:rFonts w:ascii="Verdana" w:hAnsi="Verdana"/>
          <w:sz w:val="16"/>
          <w:szCs w:val="16"/>
          <w:lang w:val="es-CR"/>
        </w:rPr>
        <w:t xml:space="preserve"> Resolución de la Corte Interamericana de Derechos Humanos </w:t>
      </w:r>
      <w:r w:rsidR="0068557C">
        <w:rPr>
          <w:rFonts w:ascii="Verdana" w:hAnsi="Verdana"/>
          <w:sz w:val="16"/>
          <w:szCs w:val="16"/>
          <w:lang w:val="es-CR"/>
        </w:rPr>
        <w:t xml:space="preserve">de </w:t>
      </w:r>
      <w:r w:rsidR="00E96FAC">
        <w:rPr>
          <w:rFonts w:ascii="Verdana" w:hAnsi="Verdana"/>
          <w:sz w:val="16"/>
          <w:szCs w:val="16"/>
          <w:lang w:val="es-CR"/>
        </w:rPr>
        <w:t>14</w:t>
      </w:r>
      <w:r w:rsidRPr="00226C10">
        <w:rPr>
          <w:rFonts w:ascii="Verdana" w:hAnsi="Verdana"/>
          <w:sz w:val="16"/>
          <w:szCs w:val="16"/>
          <w:lang w:val="es-CR"/>
        </w:rPr>
        <w:t xml:space="preserve"> de ma</w:t>
      </w:r>
      <w:r w:rsidR="00E96FAC">
        <w:rPr>
          <w:rFonts w:ascii="Verdana" w:hAnsi="Verdana"/>
          <w:sz w:val="16"/>
          <w:szCs w:val="16"/>
          <w:lang w:val="es-CR"/>
        </w:rPr>
        <w:t>rz</w:t>
      </w:r>
      <w:r w:rsidRPr="00226C10">
        <w:rPr>
          <w:rFonts w:ascii="Verdana" w:hAnsi="Verdana"/>
          <w:sz w:val="16"/>
          <w:szCs w:val="16"/>
          <w:lang w:val="es-CR"/>
        </w:rPr>
        <w:t>o de 201</w:t>
      </w:r>
      <w:r w:rsidR="00E96FAC">
        <w:rPr>
          <w:rFonts w:ascii="Verdana" w:hAnsi="Verdana"/>
          <w:sz w:val="16"/>
          <w:szCs w:val="16"/>
          <w:lang w:val="es-CR"/>
        </w:rPr>
        <w:t>8</w:t>
      </w:r>
      <w:r w:rsidRPr="00226C10">
        <w:rPr>
          <w:rFonts w:ascii="Verdana" w:hAnsi="Verdana"/>
          <w:sz w:val="16"/>
          <w:szCs w:val="16"/>
          <w:lang w:val="es-CR"/>
        </w:rPr>
        <w:t>, Considerando 2.</w:t>
      </w:r>
    </w:p>
  </w:footnote>
  <w:footnote w:id="9">
    <w:p w14:paraId="6B098A38" w14:textId="77777777" w:rsidR="009E36E2" w:rsidRPr="00FA2A81" w:rsidRDefault="009E36E2" w:rsidP="00FA2A81">
      <w:pPr>
        <w:pStyle w:val="FootnoteText"/>
        <w:jc w:val="both"/>
        <w:rPr>
          <w:rFonts w:ascii="Verdana" w:hAnsi="Verdana"/>
          <w:sz w:val="16"/>
          <w:szCs w:val="16"/>
          <w:lang w:val="es-CR"/>
        </w:rPr>
      </w:pPr>
      <w:r w:rsidRPr="00FA2A81">
        <w:rPr>
          <w:rStyle w:val="FootnoteReference"/>
          <w:rFonts w:ascii="Verdana" w:hAnsi="Verdana"/>
          <w:sz w:val="16"/>
          <w:szCs w:val="16"/>
        </w:rPr>
        <w:footnoteRef/>
      </w:r>
      <w:r w:rsidRPr="00FA2A81">
        <w:rPr>
          <w:rFonts w:ascii="Verdana" w:hAnsi="Verdana"/>
          <w:sz w:val="16"/>
          <w:szCs w:val="16"/>
          <w:lang w:val="es-CR"/>
        </w:rPr>
        <w:t xml:space="preserve"> </w:t>
      </w:r>
      <w:r w:rsidRPr="00FA2A81">
        <w:rPr>
          <w:rFonts w:ascii="Verdana" w:hAnsi="Verdana"/>
          <w:sz w:val="16"/>
          <w:szCs w:val="16"/>
          <w:lang w:val="es-CR"/>
        </w:rPr>
        <w:tab/>
        <w:t xml:space="preserve">La representante observó que la “Corte puede tener por cumplida la medida referida en el punto dispositivo décimo de la Sentencia…”. </w:t>
      </w:r>
    </w:p>
  </w:footnote>
  <w:footnote w:id="10">
    <w:p w14:paraId="6808857F" w14:textId="77777777" w:rsidR="009E36E2" w:rsidRPr="00FA2A81" w:rsidRDefault="009E36E2" w:rsidP="00FA2A81">
      <w:pPr>
        <w:pStyle w:val="FootnoteText"/>
        <w:jc w:val="both"/>
        <w:rPr>
          <w:rFonts w:ascii="Verdana" w:hAnsi="Verdana"/>
          <w:sz w:val="16"/>
          <w:szCs w:val="16"/>
          <w:lang w:val="es-CR"/>
        </w:rPr>
      </w:pPr>
      <w:r w:rsidRPr="00FA2A81">
        <w:rPr>
          <w:rStyle w:val="FootnoteReference"/>
          <w:rFonts w:ascii="Verdana" w:hAnsi="Verdana"/>
          <w:sz w:val="16"/>
          <w:szCs w:val="16"/>
        </w:rPr>
        <w:footnoteRef/>
      </w:r>
      <w:r w:rsidRPr="00FA2A81">
        <w:rPr>
          <w:rFonts w:ascii="Verdana" w:hAnsi="Verdana"/>
          <w:sz w:val="16"/>
          <w:szCs w:val="16"/>
          <w:lang w:val="es-CR"/>
        </w:rPr>
        <w:t xml:space="preserve"> </w:t>
      </w:r>
      <w:r w:rsidRPr="00FA2A81">
        <w:rPr>
          <w:rFonts w:ascii="Verdana" w:hAnsi="Verdana"/>
          <w:sz w:val="16"/>
          <w:szCs w:val="16"/>
          <w:lang w:val="es-CR"/>
        </w:rPr>
        <w:tab/>
        <w:t xml:space="preserve">La Comisión observó que “[t]omando en cuenta que las partes están de acuerdo en que la medida relacionada con las publicaciones fue cu[m]plida , la Comisión no t[enía] observaciones adicionales que formular”. </w:t>
      </w:r>
    </w:p>
  </w:footnote>
  <w:footnote w:id="11">
    <w:p w14:paraId="29F63C6B" w14:textId="77777777" w:rsidR="009E36E2" w:rsidRPr="00F476B1" w:rsidRDefault="009E36E2" w:rsidP="00F476B1">
      <w:pPr>
        <w:pStyle w:val="FootnoteText"/>
        <w:jc w:val="both"/>
        <w:rPr>
          <w:rFonts w:ascii="Verdana" w:hAnsi="Verdana"/>
          <w:sz w:val="16"/>
          <w:szCs w:val="16"/>
          <w:lang w:val="es-CR"/>
        </w:rPr>
      </w:pPr>
      <w:r w:rsidRPr="00F476B1">
        <w:rPr>
          <w:rStyle w:val="FootnoteReference"/>
          <w:rFonts w:ascii="Verdana" w:hAnsi="Verdana"/>
          <w:sz w:val="16"/>
          <w:szCs w:val="16"/>
        </w:rPr>
        <w:footnoteRef/>
      </w:r>
      <w:r w:rsidRPr="00F476B1">
        <w:rPr>
          <w:rFonts w:ascii="Verdana" w:hAnsi="Verdana"/>
          <w:sz w:val="16"/>
          <w:szCs w:val="16"/>
          <w:lang w:val="es-CR"/>
        </w:rPr>
        <w:t xml:space="preserve"> </w:t>
      </w:r>
      <w:r w:rsidRPr="00F476B1">
        <w:rPr>
          <w:rFonts w:ascii="Verdana" w:hAnsi="Verdana"/>
          <w:sz w:val="16"/>
          <w:szCs w:val="16"/>
          <w:lang w:val="es-CR"/>
        </w:rPr>
        <w:tab/>
      </w:r>
      <w:r w:rsidRPr="00F476B1">
        <w:rPr>
          <w:rFonts w:ascii="Verdana" w:hAnsi="Verdana"/>
          <w:i/>
          <w:sz w:val="16"/>
          <w:szCs w:val="16"/>
          <w:lang w:val="es-CR"/>
        </w:rPr>
        <w:t xml:space="preserve">Cfr. </w:t>
      </w:r>
      <w:r w:rsidRPr="00F476B1">
        <w:rPr>
          <w:rFonts w:ascii="Verdana" w:hAnsi="Verdana"/>
          <w:sz w:val="16"/>
          <w:szCs w:val="16"/>
          <w:lang w:val="es-CR"/>
        </w:rPr>
        <w:t xml:space="preserve">Copia del diario oficial “El Peruano” de </w:t>
      </w:r>
      <w:r>
        <w:rPr>
          <w:rFonts w:ascii="Verdana" w:hAnsi="Verdana"/>
          <w:sz w:val="16"/>
          <w:szCs w:val="16"/>
          <w:lang w:val="es-CR"/>
        </w:rPr>
        <w:t>21 de mayo de 2017</w:t>
      </w:r>
      <w:r w:rsidRPr="00F476B1">
        <w:rPr>
          <w:rFonts w:ascii="Verdana" w:hAnsi="Verdana"/>
          <w:sz w:val="16"/>
          <w:szCs w:val="16"/>
          <w:lang w:val="es-CR"/>
        </w:rPr>
        <w:t xml:space="preserve">, pág. </w:t>
      </w:r>
      <w:r>
        <w:rPr>
          <w:rFonts w:ascii="Verdana" w:hAnsi="Verdana"/>
          <w:sz w:val="16"/>
          <w:szCs w:val="16"/>
          <w:lang w:val="es-CR"/>
        </w:rPr>
        <w:t>2</w:t>
      </w:r>
      <w:r w:rsidRPr="00F476B1">
        <w:rPr>
          <w:rFonts w:ascii="Verdana" w:hAnsi="Verdana"/>
          <w:sz w:val="16"/>
          <w:szCs w:val="16"/>
          <w:lang w:val="es-CR"/>
        </w:rPr>
        <w:t xml:space="preserve"> (Anexo al informe del Estado de 8 de junio de 2017). </w:t>
      </w:r>
      <w:r w:rsidRPr="00F476B1">
        <w:rPr>
          <w:rFonts w:ascii="Verdana" w:hAnsi="Verdana"/>
          <w:sz w:val="16"/>
          <w:szCs w:val="16"/>
          <w:lang w:val="es-CR"/>
        </w:rPr>
        <w:tab/>
      </w:r>
    </w:p>
  </w:footnote>
  <w:footnote w:id="12">
    <w:p w14:paraId="6678A232" w14:textId="77777777" w:rsidR="009E36E2" w:rsidRPr="00F476B1" w:rsidRDefault="009E36E2" w:rsidP="00F476B1">
      <w:pPr>
        <w:pStyle w:val="FootnoteText"/>
        <w:jc w:val="both"/>
        <w:rPr>
          <w:rFonts w:ascii="Verdana" w:hAnsi="Verdana"/>
          <w:sz w:val="16"/>
          <w:szCs w:val="16"/>
          <w:lang w:val="es-CR"/>
        </w:rPr>
      </w:pPr>
      <w:r w:rsidRPr="00F476B1">
        <w:rPr>
          <w:rStyle w:val="FootnoteReference"/>
          <w:rFonts w:ascii="Verdana" w:hAnsi="Verdana"/>
          <w:sz w:val="16"/>
          <w:szCs w:val="16"/>
        </w:rPr>
        <w:footnoteRef/>
      </w:r>
      <w:r w:rsidRPr="00F476B1">
        <w:rPr>
          <w:rFonts w:ascii="Verdana" w:hAnsi="Verdana"/>
          <w:sz w:val="16"/>
          <w:szCs w:val="16"/>
          <w:lang w:val="es-CR"/>
        </w:rPr>
        <w:t xml:space="preserve"> </w:t>
      </w:r>
      <w:r w:rsidRPr="00F476B1">
        <w:rPr>
          <w:rFonts w:ascii="Verdana" w:hAnsi="Verdana"/>
          <w:sz w:val="16"/>
          <w:szCs w:val="16"/>
          <w:lang w:val="es-CR"/>
        </w:rPr>
        <w:tab/>
      </w:r>
      <w:r w:rsidRPr="00F476B1">
        <w:rPr>
          <w:rFonts w:ascii="Verdana" w:hAnsi="Verdana"/>
          <w:i/>
          <w:sz w:val="16"/>
          <w:szCs w:val="16"/>
          <w:lang w:val="es-CR"/>
        </w:rPr>
        <w:t>Cfr.</w:t>
      </w:r>
      <w:r w:rsidRPr="00F476B1">
        <w:rPr>
          <w:rFonts w:ascii="Verdana" w:hAnsi="Verdana"/>
          <w:sz w:val="16"/>
          <w:szCs w:val="16"/>
          <w:lang w:val="es-CR"/>
        </w:rPr>
        <w:t xml:space="preserve"> Copia del diario “Uno” de 22 de junio de 2017, pág. 17 (Anexo al informe del Estado de 22 de junio de 2017). </w:t>
      </w:r>
    </w:p>
  </w:footnote>
  <w:footnote w:id="13">
    <w:p w14:paraId="3CF34363" w14:textId="22ABE8E3" w:rsidR="009E36E2" w:rsidRPr="00F476B1" w:rsidRDefault="009E36E2" w:rsidP="00F476B1">
      <w:pPr>
        <w:pStyle w:val="FootnoteText"/>
        <w:jc w:val="both"/>
        <w:rPr>
          <w:rFonts w:ascii="Verdana" w:hAnsi="Verdana"/>
          <w:sz w:val="16"/>
          <w:szCs w:val="16"/>
          <w:lang w:val="es-CR"/>
        </w:rPr>
      </w:pPr>
      <w:r w:rsidRPr="00F476B1">
        <w:rPr>
          <w:rStyle w:val="FootnoteReference"/>
          <w:rFonts w:ascii="Verdana" w:hAnsi="Verdana"/>
          <w:sz w:val="16"/>
          <w:szCs w:val="16"/>
        </w:rPr>
        <w:footnoteRef/>
      </w:r>
      <w:r w:rsidRPr="00F476B1">
        <w:rPr>
          <w:rFonts w:ascii="Verdana" w:hAnsi="Verdana"/>
          <w:sz w:val="16"/>
          <w:szCs w:val="16"/>
          <w:lang w:val="es-CR"/>
        </w:rPr>
        <w:t xml:space="preserve"> </w:t>
      </w:r>
      <w:r w:rsidRPr="00F476B1">
        <w:rPr>
          <w:rFonts w:ascii="Verdana" w:hAnsi="Verdana"/>
          <w:sz w:val="16"/>
          <w:szCs w:val="16"/>
          <w:lang w:val="es-CR"/>
        </w:rPr>
        <w:tab/>
      </w:r>
      <w:r w:rsidRPr="00F476B1">
        <w:rPr>
          <w:rFonts w:ascii="Verdana" w:hAnsi="Verdana"/>
          <w:i/>
          <w:sz w:val="16"/>
          <w:szCs w:val="16"/>
          <w:lang w:val="es-CR"/>
        </w:rPr>
        <w:t xml:space="preserve">Cfr. </w:t>
      </w:r>
      <w:r w:rsidRPr="00F476B1">
        <w:rPr>
          <w:rFonts w:ascii="Verdana" w:hAnsi="Verdana"/>
          <w:sz w:val="16"/>
          <w:szCs w:val="16"/>
          <w:lang w:val="es-CR"/>
        </w:rPr>
        <w:t xml:space="preserve">Página Web del Ministerio de Justicia y Derechos Humanos (enlace al documento indicado por el Estado en su comunicación de 8 de junio de 2017 disponible en: </w:t>
      </w:r>
      <w:hyperlink r:id="rId3" w:history="1">
        <w:r w:rsidRPr="00F476B1">
          <w:rPr>
            <w:rStyle w:val="Hyperlink"/>
            <w:rFonts w:ascii="Verdana" w:hAnsi="Verdana"/>
            <w:sz w:val="16"/>
            <w:szCs w:val="16"/>
            <w:lang w:val="es-CR"/>
          </w:rPr>
          <w:t>https://www.minjus.gob.pe/sentencia-en-el-caso-zegarra-marin-versus-peru/</w:t>
        </w:r>
      </w:hyperlink>
      <w:r w:rsidRPr="00F476B1">
        <w:rPr>
          <w:rFonts w:ascii="Verdana" w:hAnsi="Verdana"/>
          <w:sz w:val="16"/>
          <w:szCs w:val="16"/>
          <w:lang w:val="es-CR"/>
        </w:rPr>
        <w:t xml:space="preserve">, última consulta el </w:t>
      </w:r>
      <w:r w:rsidR="00AB6A5D">
        <w:rPr>
          <w:rFonts w:ascii="Verdana" w:hAnsi="Verdana"/>
          <w:sz w:val="16"/>
          <w:szCs w:val="16"/>
          <w:lang w:val="es-CR"/>
        </w:rPr>
        <w:t>18</w:t>
      </w:r>
      <w:r w:rsidRPr="00F476B1">
        <w:rPr>
          <w:rFonts w:ascii="Verdana" w:hAnsi="Verdana"/>
          <w:sz w:val="16"/>
          <w:szCs w:val="16"/>
          <w:lang w:val="es-CR"/>
        </w:rPr>
        <w:t xml:space="preserve"> de </w:t>
      </w:r>
      <w:r w:rsidR="00AB6A5D">
        <w:rPr>
          <w:rFonts w:ascii="Verdana" w:hAnsi="Verdana"/>
          <w:sz w:val="16"/>
          <w:szCs w:val="16"/>
          <w:lang w:val="es-CR"/>
        </w:rPr>
        <w:t>mayo</w:t>
      </w:r>
      <w:r w:rsidR="00AB6A5D" w:rsidRPr="00F476B1">
        <w:rPr>
          <w:rFonts w:ascii="Verdana" w:hAnsi="Verdana"/>
          <w:sz w:val="16"/>
          <w:szCs w:val="16"/>
          <w:lang w:val="es-CR"/>
        </w:rPr>
        <w:t xml:space="preserve"> </w:t>
      </w:r>
      <w:r w:rsidRPr="00F476B1">
        <w:rPr>
          <w:rFonts w:ascii="Verdana" w:hAnsi="Verdana"/>
          <w:sz w:val="16"/>
          <w:szCs w:val="16"/>
          <w:lang w:val="es-CR"/>
        </w:rPr>
        <w:t>de 2018).</w:t>
      </w:r>
    </w:p>
  </w:footnote>
  <w:footnote w:id="14">
    <w:p w14:paraId="60CA7764" w14:textId="77777777" w:rsidR="00A42753" w:rsidRPr="00A42753" w:rsidRDefault="00A42753" w:rsidP="00A42753">
      <w:pPr>
        <w:pStyle w:val="FootnoteText"/>
        <w:jc w:val="both"/>
        <w:rPr>
          <w:rFonts w:ascii="Verdana" w:hAnsi="Verdana"/>
          <w:sz w:val="16"/>
          <w:szCs w:val="16"/>
          <w:lang w:val="es-CR"/>
        </w:rPr>
      </w:pPr>
      <w:r>
        <w:rPr>
          <w:rStyle w:val="FootnoteReference"/>
          <w:rFonts w:ascii="Verdana" w:hAnsi="Verdana"/>
          <w:sz w:val="16"/>
          <w:szCs w:val="16"/>
        </w:rPr>
        <w:footnoteRef/>
      </w:r>
      <w:r w:rsidRPr="00A42753">
        <w:rPr>
          <w:rFonts w:ascii="Verdana" w:hAnsi="Verdana"/>
          <w:sz w:val="16"/>
          <w:szCs w:val="16"/>
          <w:lang w:val="es-CR"/>
        </w:rPr>
        <w:t xml:space="preserve"> </w:t>
      </w:r>
      <w:r w:rsidRPr="00A42753">
        <w:rPr>
          <w:rFonts w:ascii="Verdana" w:hAnsi="Verdana"/>
          <w:sz w:val="16"/>
          <w:szCs w:val="16"/>
          <w:lang w:val="es-CR"/>
        </w:rPr>
        <w:tab/>
        <w:t xml:space="preserve">Reglamento de la Corte Interamericana de Derechos Humanos sobre el Funcionamiento del Fondo de Asistencia Legal de Víctimas, aprobado por el Tribunal el 4 de febrero de 2010, y en vigor a partir del 1 de junio de 2010. Disponible en: </w:t>
      </w:r>
      <w:hyperlink r:id="rId4" w:history="1">
        <w:r w:rsidRPr="00A42753">
          <w:rPr>
            <w:rStyle w:val="Hyperlink"/>
            <w:rFonts w:ascii="Verdana" w:hAnsi="Verdana"/>
            <w:sz w:val="16"/>
            <w:szCs w:val="16"/>
            <w:lang w:val="es-CR"/>
          </w:rPr>
          <w:t>http://www.corteidh.or.cr/docs/regla_victimas/victimas_esp.pdf</w:t>
        </w:r>
      </w:hyperlink>
      <w:r w:rsidRPr="00A42753">
        <w:rPr>
          <w:rFonts w:ascii="Verdana" w:hAnsi="Verdana"/>
          <w:sz w:val="16"/>
          <w:szCs w:val="16"/>
          <w:lang w:val="es-CR"/>
        </w:rPr>
        <w:t xml:space="preserve">. </w:t>
      </w:r>
    </w:p>
  </w:footnote>
  <w:footnote w:id="15">
    <w:p w14:paraId="52531A3C" w14:textId="28C473ED" w:rsidR="00A42753" w:rsidRDefault="00A42753" w:rsidP="00A42753">
      <w:pPr>
        <w:pStyle w:val="FootnoteText"/>
        <w:jc w:val="both"/>
        <w:rPr>
          <w:rFonts w:ascii="Verdana" w:hAnsi="Verdana"/>
          <w:sz w:val="16"/>
          <w:szCs w:val="16"/>
          <w:lang w:val="es-CR"/>
        </w:rPr>
      </w:pPr>
      <w:r>
        <w:rPr>
          <w:rStyle w:val="FootnoteReference"/>
          <w:rFonts w:ascii="Verdana" w:hAnsi="Verdana"/>
          <w:sz w:val="16"/>
          <w:szCs w:val="16"/>
        </w:rPr>
        <w:footnoteRef/>
      </w:r>
      <w:r w:rsidRPr="00A42753">
        <w:rPr>
          <w:rFonts w:ascii="Verdana" w:hAnsi="Verdana"/>
          <w:sz w:val="16"/>
          <w:szCs w:val="16"/>
          <w:lang w:val="es-CR"/>
        </w:rPr>
        <w:t xml:space="preserve"> </w:t>
      </w:r>
      <w:r>
        <w:rPr>
          <w:rFonts w:ascii="Verdana" w:hAnsi="Verdana"/>
          <w:sz w:val="16"/>
          <w:szCs w:val="16"/>
          <w:lang w:val="es-CR"/>
        </w:rPr>
        <w:tab/>
        <w:t>Dicho plazo venció el 9 de agosto de 2017.</w:t>
      </w:r>
    </w:p>
  </w:footnote>
  <w:footnote w:id="16">
    <w:p w14:paraId="1DA8D8E6" w14:textId="4E612872" w:rsidR="00227475" w:rsidRPr="00B77E60" w:rsidRDefault="00227475">
      <w:pPr>
        <w:pStyle w:val="FootnoteText"/>
        <w:rPr>
          <w:rFonts w:ascii="Verdana" w:hAnsi="Verdana"/>
          <w:sz w:val="16"/>
          <w:szCs w:val="16"/>
          <w:lang w:val="es-CR"/>
        </w:rPr>
      </w:pPr>
      <w:r w:rsidRPr="00B77E60">
        <w:rPr>
          <w:rStyle w:val="FootnoteReference"/>
          <w:rFonts w:ascii="Verdana" w:hAnsi="Verdana"/>
          <w:sz w:val="16"/>
          <w:szCs w:val="16"/>
        </w:rPr>
        <w:footnoteRef/>
      </w:r>
      <w:r w:rsidRPr="00B77E60">
        <w:rPr>
          <w:rFonts w:ascii="Verdana" w:hAnsi="Verdana"/>
          <w:sz w:val="16"/>
          <w:szCs w:val="16"/>
          <w:lang w:val="es-CR"/>
        </w:rPr>
        <w:t xml:space="preserve"> </w:t>
      </w:r>
      <w:r w:rsidRPr="00B77E60">
        <w:rPr>
          <w:rFonts w:ascii="Verdana" w:hAnsi="Verdana"/>
          <w:sz w:val="16"/>
          <w:szCs w:val="16"/>
          <w:lang w:val="es-CR"/>
        </w:rPr>
        <w:tab/>
        <w:t xml:space="preserve">En dicha transferencia, se incluyeron los pagos correspondientes al reintegro al Fondo de Asistencia a la Víctima del presente caso y de los casos </w:t>
      </w:r>
      <w:r w:rsidRPr="00B77E60">
        <w:rPr>
          <w:rFonts w:ascii="Verdana" w:hAnsi="Verdana"/>
          <w:i/>
          <w:sz w:val="16"/>
          <w:szCs w:val="16"/>
          <w:lang w:val="es-CR"/>
        </w:rPr>
        <w:t xml:space="preserve">Lagos del Campo </w:t>
      </w:r>
      <w:r w:rsidRPr="00B77E60">
        <w:rPr>
          <w:rFonts w:ascii="Verdana" w:hAnsi="Verdana"/>
          <w:sz w:val="16"/>
          <w:szCs w:val="16"/>
          <w:lang w:val="es-CR"/>
        </w:rPr>
        <w:t xml:space="preserve">y </w:t>
      </w:r>
      <w:r w:rsidRPr="00B77E60">
        <w:rPr>
          <w:rFonts w:ascii="Verdana" w:hAnsi="Verdana"/>
          <w:i/>
          <w:sz w:val="16"/>
          <w:szCs w:val="16"/>
          <w:lang w:val="es-CR"/>
        </w:rPr>
        <w:t>Pollo Rivera</w:t>
      </w:r>
      <w:r w:rsidRPr="00B77E60">
        <w:rPr>
          <w:rFonts w:ascii="Verdana" w:hAnsi="Verdana"/>
          <w:sz w:val="16"/>
          <w:szCs w:val="16"/>
          <w:lang w:val="es-CR"/>
        </w:rPr>
        <w:t xml:space="preserve">. </w:t>
      </w:r>
    </w:p>
  </w:footnote>
  <w:footnote w:id="17">
    <w:p w14:paraId="43D80AC9" w14:textId="458AFFE8" w:rsidR="00196FC6" w:rsidRPr="00080B9F" w:rsidRDefault="00196FC6" w:rsidP="00080B9F">
      <w:pPr>
        <w:pStyle w:val="FootnoteText"/>
        <w:jc w:val="both"/>
        <w:rPr>
          <w:rFonts w:ascii="Verdana" w:hAnsi="Verdana"/>
          <w:sz w:val="16"/>
          <w:szCs w:val="16"/>
          <w:lang w:val="es-CR"/>
        </w:rPr>
      </w:pPr>
      <w:r w:rsidRPr="00080B9F">
        <w:rPr>
          <w:rStyle w:val="FootnoteReference"/>
          <w:rFonts w:ascii="Verdana" w:hAnsi="Verdana"/>
          <w:sz w:val="16"/>
          <w:szCs w:val="16"/>
        </w:rPr>
        <w:footnoteRef/>
      </w:r>
      <w:r w:rsidRPr="00080B9F">
        <w:rPr>
          <w:rFonts w:ascii="Verdana" w:hAnsi="Verdana"/>
          <w:sz w:val="16"/>
          <w:szCs w:val="16"/>
          <w:lang w:val="es-CR"/>
        </w:rPr>
        <w:t xml:space="preserve"> </w:t>
      </w:r>
      <w:r w:rsidRPr="00080B9F">
        <w:rPr>
          <w:rFonts w:ascii="Verdana" w:hAnsi="Verdana"/>
          <w:sz w:val="16"/>
          <w:szCs w:val="16"/>
          <w:lang w:val="es-CR"/>
        </w:rPr>
        <w:tab/>
        <w:t>En el párrafo 243 de la Sentencia, la Corte dispuso que “[e]n caso de que el Estado incurriera en mora, incluyendo en el reintegro de los gastos al Fondo de Asistencia Legal de Víctimas, deberá pagar un interés sobre la cantidad adeudada, correspondiente al interés bancario moratorio en la República del Perú”.</w:t>
      </w:r>
    </w:p>
  </w:footnote>
  <w:footnote w:id="18">
    <w:p w14:paraId="7A1A3D7A" w14:textId="77777777" w:rsidR="00227475" w:rsidRPr="00227475" w:rsidRDefault="00227475" w:rsidP="00227475">
      <w:pPr>
        <w:pStyle w:val="FootnoteText"/>
        <w:jc w:val="both"/>
        <w:rPr>
          <w:rFonts w:ascii="Verdana" w:hAnsi="Verdana"/>
          <w:sz w:val="16"/>
          <w:szCs w:val="16"/>
          <w:lang w:val="es-CR"/>
        </w:rPr>
      </w:pPr>
      <w:r w:rsidRPr="00011A45">
        <w:rPr>
          <w:rStyle w:val="FootnoteReference"/>
          <w:rFonts w:ascii="Verdana" w:hAnsi="Verdana"/>
          <w:sz w:val="16"/>
          <w:szCs w:val="16"/>
        </w:rPr>
        <w:footnoteRef/>
      </w:r>
      <w:r w:rsidRPr="00227475">
        <w:rPr>
          <w:rFonts w:ascii="Verdana" w:hAnsi="Verdana"/>
          <w:sz w:val="16"/>
          <w:szCs w:val="16"/>
          <w:lang w:val="es-CR"/>
        </w:rPr>
        <w:t xml:space="preserve"> </w:t>
      </w:r>
      <w:r w:rsidRPr="00227475">
        <w:rPr>
          <w:rFonts w:ascii="Verdana" w:hAnsi="Verdana"/>
          <w:sz w:val="16"/>
          <w:szCs w:val="16"/>
          <w:lang w:val="es-CR"/>
        </w:rPr>
        <w:tab/>
        <w:t>Con el “objeto [de] facilitar acceso al sistema interamericano de derechos humanos a aquellas personas que actualmente no tienen los recursos necesarios para llevar su caso al sistema”. AG/RES. 2426 (XXXVIII-O/08) Resolución adoptada por la Asamblea General de la OEA durante la celebración del XXXVIII Período Ordinario de Sesiones de la OEA, en la cuarta sesión plenaria, celebrada el 3 de junio de 2008, “Creación del Fondo de Asistencia Legal del Sistema Interamericano de Derechos Humanos”, párrafo dispositivo 2.</w:t>
      </w:r>
      <w:r>
        <w:rPr>
          <w:rFonts w:ascii="Verdana" w:hAnsi="Verdana"/>
          <w:sz w:val="16"/>
          <w:szCs w:val="16"/>
          <w:lang w:val="es-ES"/>
        </w:rPr>
        <w:t>a</w:t>
      </w:r>
      <w:r w:rsidRPr="00227475">
        <w:rPr>
          <w:rFonts w:ascii="Verdana" w:hAnsi="Verdana"/>
          <w:sz w:val="16"/>
          <w:szCs w:val="16"/>
          <w:lang w:val="es-CR"/>
        </w:rPr>
        <w:t>.</w:t>
      </w:r>
    </w:p>
  </w:footnote>
  <w:footnote w:id="19">
    <w:p w14:paraId="5BB57C63" w14:textId="77777777" w:rsidR="00227475" w:rsidRPr="00227475" w:rsidRDefault="00227475" w:rsidP="00227475">
      <w:pPr>
        <w:pStyle w:val="FootnoteText"/>
        <w:jc w:val="both"/>
        <w:rPr>
          <w:rFonts w:ascii="Verdana" w:hAnsi="Verdana"/>
          <w:sz w:val="16"/>
          <w:szCs w:val="16"/>
          <w:lang w:val="es-CR"/>
        </w:rPr>
      </w:pPr>
      <w:r w:rsidRPr="00011A45">
        <w:rPr>
          <w:rStyle w:val="FootnoteReference"/>
          <w:rFonts w:ascii="Verdana" w:hAnsi="Verdana"/>
          <w:sz w:val="16"/>
          <w:szCs w:val="16"/>
        </w:rPr>
        <w:footnoteRef/>
      </w:r>
      <w:r w:rsidRPr="00227475">
        <w:rPr>
          <w:rFonts w:ascii="Verdana" w:hAnsi="Verdana"/>
          <w:sz w:val="16"/>
          <w:szCs w:val="16"/>
          <w:lang w:val="es-CR"/>
        </w:rPr>
        <w:t xml:space="preserve"> </w:t>
      </w:r>
      <w:r w:rsidRPr="00227475">
        <w:rPr>
          <w:rFonts w:ascii="Verdana" w:hAnsi="Verdana"/>
          <w:sz w:val="16"/>
          <w:szCs w:val="16"/>
          <w:lang w:val="es-CR"/>
        </w:rPr>
        <w:tab/>
        <w:t xml:space="preserve">El artículo 2.1 del Reglamento del Fondo de Asistencia Legal de Víctimas del Sistema Interamericano, estipuló que éste se financia por medio de los “[a]portes de capital voluntarios de los Estados miembros de la OEA, de los Estados Observadores Permanentes, y de otros Estados y donantes que deseen colaborar”. CP/RES. 963 (1728/09), Resolución adoptada el 11 de noviembre de 2009 por el Consejo Permanente de la OEA, “Reglamento para el Funcionamiento del Fondo de Asistencia Legal del Sistema Interamericano de Derechos Humanos”, artículo 2.1. </w:t>
      </w:r>
    </w:p>
  </w:footnote>
  <w:footnote w:id="20">
    <w:p w14:paraId="5C71C099" w14:textId="5C16D159" w:rsidR="00227475" w:rsidRPr="00196FC6" w:rsidRDefault="00227475" w:rsidP="00227475">
      <w:pPr>
        <w:pStyle w:val="FootnoteText"/>
        <w:jc w:val="both"/>
        <w:rPr>
          <w:rFonts w:ascii="Verdana" w:hAnsi="Verdana"/>
          <w:sz w:val="16"/>
          <w:szCs w:val="16"/>
          <w:lang w:val="es-CR"/>
        </w:rPr>
      </w:pPr>
      <w:r w:rsidRPr="00196FC6">
        <w:rPr>
          <w:rStyle w:val="FootnoteReference"/>
          <w:rFonts w:ascii="Verdana" w:hAnsi="Verdana"/>
          <w:sz w:val="16"/>
          <w:szCs w:val="16"/>
        </w:rPr>
        <w:footnoteRef/>
      </w:r>
      <w:r w:rsidRPr="00196FC6">
        <w:rPr>
          <w:rFonts w:ascii="Verdana" w:hAnsi="Verdana"/>
          <w:sz w:val="16"/>
          <w:szCs w:val="16"/>
          <w:lang w:val="es-CR"/>
        </w:rPr>
        <w:t xml:space="preserve"> </w:t>
      </w:r>
      <w:r w:rsidRPr="00196FC6">
        <w:rPr>
          <w:rFonts w:ascii="Verdana" w:hAnsi="Verdana"/>
          <w:sz w:val="16"/>
          <w:szCs w:val="16"/>
          <w:lang w:val="es-CR"/>
        </w:rPr>
        <w:tab/>
        <w:t>El Fondo de Asistencia Legal de Víctimas de la Corte Interamericana no cuenta con recursos del presupuesto ordinario de la OEA. Hasta la fecha los fondos provienen de proyectos de cooperación firmados por el Tribunal con Noruega y Dinamarca, y del aporte voluntario realizado por Colombia. Al respecto ver: Informe Anual de la Corte Interamericana de Derechos Humanos de 201</w:t>
      </w:r>
      <w:r w:rsidR="00196FC6" w:rsidRPr="00196FC6">
        <w:rPr>
          <w:rFonts w:ascii="Verdana" w:hAnsi="Verdana"/>
          <w:sz w:val="16"/>
          <w:szCs w:val="16"/>
          <w:lang w:val="es-CR"/>
        </w:rPr>
        <w:t>7</w:t>
      </w:r>
      <w:r w:rsidRPr="00196FC6">
        <w:rPr>
          <w:rFonts w:ascii="Verdana" w:hAnsi="Verdana"/>
          <w:sz w:val="16"/>
          <w:szCs w:val="16"/>
          <w:lang w:val="es-CR"/>
        </w:rPr>
        <w:t>, págs. 1</w:t>
      </w:r>
      <w:r w:rsidR="00196FC6">
        <w:rPr>
          <w:rFonts w:ascii="Verdana" w:hAnsi="Verdana"/>
          <w:sz w:val="16"/>
          <w:szCs w:val="16"/>
          <w:lang w:val="es-CR"/>
        </w:rPr>
        <w:t>63</w:t>
      </w:r>
      <w:r w:rsidRPr="00196FC6">
        <w:rPr>
          <w:rFonts w:ascii="Verdana" w:hAnsi="Verdana"/>
          <w:sz w:val="16"/>
          <w:szCs w:val="16"/>
          <w:lang w:val="es-CR"/>
        </w:rPr>
        <w:t xml:space="preserve"> a 17</w:t>
      </w:r>
      <w:r w:rsidR="00196FC6">
        <w:rPr>
          <w:rFonts w:ascii="Verdana" w:hAnsi="Verdana"/>
          <w:sz w:val="16"/>
          <w:szCs w:val="16"/>
          <w:lang w:val="es-CR"/>
        </w:rPr>
        <w:t>6</w:t>
      </w:r>
      <w:r w:rsidRPr="00196FC6">
        <w:rPr>
          <w:rFonts w:ascii="Verdana" w:hAnsi="Verdana"/>
          <w:sz w:val="16"/>
          <w:szCs w:val="16"/>
          <w:lang w:val="es-CR"/>
        </w:rPr>
        <w:t xml:space="preserve">, disponible en: </w:t>
      </w:r>
      <w:hyperlink r:id="rId5" w:history="1">
        <w:r w:rsidR="00196FC6" w:rsidRPr="00080B9F">
          <w:rPr>
            <w:rStyle w:val="Hyperlink"/>
            <w:rFonts w:ascii="Verdana" w:hAnsi="Verdana"/>
            <w:sz w:val="16"/>
            <w:szCs w:val="16"/>
            <w:lang w:val="es-CR"/>
          </w:rPr>
          <w:t>http://www.corteidh.or.cr/tablas/informe2017/espanol.pdf</w:t>
        </w:r>
      </w:hyperlink>
      <w:r w:rsidR="00196FC6" w:rsidRPr="00080B9F">
        <w:rPr>
          <w:rFonts w:ascii="Verdana" w:hAnsi="Verdana"/>
          <w:sz w:val="16"/>
          <w:szCs w:val="16"/>
          <w:lang w:val="es-CR"/>
        </w:rPr>
        <w:t xml:space="preserve">. </w:t>
      </w:r>
      <w:r w:rsidRPr="00196FC6">
        <w:rPr>
          <w:rFonts w:ascii="Verdana" w:hAnsi="Verdana"/>
          <w:sz w:val="16"/>
          <w:szCs w:val="16"/>
          <w:lang w:val="es-C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4BD2" w14:textId="0C10625B" w:rsidR="00BD75D1" w:rsidRPr="00BD75D1" w:rsidRDefault="00561552">
    <w:pPr>
      <w:pStyle w:val="Header"/>
      <w:jc w:val="center"/>
      <w:rPr>
        <w:rFonts w:ascii="Verdana" w:hAnsi="Verdana"/>
        <w:sz w:val="20"/>
        <w:szCs w:val="20"/>
      </w:rPr>
    </w:pPr>
    <w:sdt>
      <w:sdtPr>
        <w:id w:val="1644998218"/>
        <w:docPartObj>
          <w:docPartGallery w:val="Page Numbers (Top of Page)"/>
          <w:docPartUnique/>
        </w:docPartObj>
      </w:sdtPr>
      <w:sdtEndPr>
        <w:rPr>
          <w:rFonts w:ascii="Verdana" w:hAnsi="Verdana"/>
          <w:noProof/>
          <w:sz w:val="20"/>
          <w:szCs w:val="20"/>
        </w:rPr>
      </w:sdtEndPr>
      <w:sdtContent>
        <w:r w:rsidR="00BD75D1">
          <w:t>-</w:t>
        </w:r>
        <w:r w:rsidR="00BD75D1" w:rsidRPr="00BD75D1">
          <w:rPr>
            <w:rFonts w:ascii="Verdana" w:hAnsi="Verdana"/>
            <w:sz w:val="20"/>
            <w:szCs w:val="20"/>
          </w:rPr>
          <w:fldChar w:fldCharType="begin"/>
        </w:r>
        <w:r w:rsidR="00BD75D1" w:rsidRPr="00BD75D1">
          <w:rPr>
            <w:rFonts w:ascii="Verdana" w:hAnsi="Verdana"/>
            <w:sz w:val="20"/>
            <w:szCs w:val="20"/>
          </w:rPr>
          <w:instrText xml:space="preserve"> PAGE   \* MERGEFORMAT </w:instrText>
        </w:r>
        <w:r w:rsidR="00BD75D1" w:rsidRPr="00BD75D1">
          <w:rPr>
            <w:rFonts w:ascii="Verdana" w:hAnsi="Verdana"/>
            <w:sz w:val="20"/>
            <w:szCs w:val="20"/>
          </w:rPr>
          <w:fldChar w:fldCharType="separate"/>
        </w:r>
        <w:r>
          <w:rPr>
            <w:rFonts w:ascii="Verdana" w:hAnsi="Verdana"/>
            <w:noProof/>
            <w:sz w:val="20"/>
            <w:szCs w:val="20"/>
          </w:rPr>
          <w:t>2</w:t>
        </w:r>
        <w:r w:rsidR="00BD75D1" w:rsidRPr="00BD75D1">
          <w:rPr>
            <w:rFonts w:ascii="Verdana" w:hAnsi="Verdana"/>
            <w:noProof/>
            <w:sz w:val="20"/>
            <w:szCs w:val="20"/>
          </w:rPr>
          <w:fldChar w:fldCharType="end"/>
        </w:r>
      </w:sdtContent>
    </w:sdt>
    <w:r w:rsidR="00BD75D1">
      <w:rPr>
        <w:rFonts w:ascii="Verdana" w:hAnsi="Verdana"/>
        <w:noProof/>
        <w:sz w:val="20"/>
        <w:szCs w:val="20"/>
      </w:rPr>
      <w:t>-</w:t>
    </w:r>
  </w:p>
  <w:p w14:paraId="10444271" w14:textId="77777777" w:rsidR="00BD75D1" w:rsidRDefault="00BD7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B3C"/>
    <w:multiLevelType w:val="hybridMultilevel"/>
    <w:tmpl w:val="EA92608E"/>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96A68B0"/>
    <w:multiLevelType w:val="hybridMultilevel"/>
    <w:tmpl w:val="1CE6273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3B783BD6"/>
    <w:multiLevelType w:val="hybridMultilevel"/>
    <w:tmpl w:val="7484749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45A7617"/>
    <w:multiLevelType w:val="hybridMultilevel"/>
    <w:tmpl w:val="303A9F10"/>
    <w:lvl w:ilvl="0" w:tplc="71F64FA2">
      <w:start w:val="1"/>
      <w:numFmt w:val="decimal"/>
      <w:lvlText w:val="%1."/>
      <w:lvlJc w:val="left"/>
      <w:pPr>
        <w:ind w:left="720"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48CB63FA"/>
    <w:multiLevelType w:val="hybridMultilevel"/>
    <w:tmpl w:val="4B685DC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5B2977ED"/>
    <w:multiLevelType w:val="hybridMultilevel"/>
    <w:tmpl w:val="B874C3BE"/>
    <w:lvl w:ilvl="0" w:tplc="E794D3C8">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BCD11D8"/>
    <w:multiLevelType w:val="hybridMultilevel"/>
    <w:tmpl w:val="12F0CDD4"/>
    <w:lvl w:ilvl="0" w:tplc="D9FC4774">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608C38E4"/>
    <w:multiLevelType w:val="hybridMultilevel"/>
    <w:tmpl w:val="405C8402"/>
    <w:lvl w:ilvl="0" w:tplc="140A000F">
      <w:start w:val="1"/>
      <w:numFmt w:val="decimal"/>
      <w:lvlText w:val="%1."/>
      <w:lvlJc w:val="left"/>
      <w:pPr>
        <w:ind w:left="720" w:hanging="360"/>
      </w:pPr>
      <w:rPr>
        <w:rFonts w:hint="default"/>
      </w:rPr>
    </w:lvl>
    <w:lvl w:ilvl="1" w:tplc="13562E16">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765F7225"/>
    <w:multiLevelType w:val="hybridMultilevel"/>
    <w:tmpl w:val="78723590"/>
    <w:lvl w:ilvl="0" w:tplc="6130F396">
      <w:start w:val="1"/>
      <w:numFmt w:val="lowerLetter"/>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nsid w:val="7BB64F80"/>
    <w:multiLevelType w:val="hybridMultilevel"/>
    <w:tmpl w:val="4AAAD25E"/>
    <w:lvl w:ilvl="0" w:tplc="140A0017">
      <w:start w:val="1"/>
      <w:numFmt w:val="lowerLetter"/>
      <w:lvlText w:val="%1)"/>
      <w:lvlJc w:val="left"/>
      <w:pPr>
        <w:ind w:left="720" w:hanging="360"/>
      </w:pPr>
    </w:lvl>
    <w:lvl w:ilvl="1" w:tplc="140A0017">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7"/>
  </w:num>
  <w:num w:numId="5">
    <w:abstractNumId w:val="0"/>
  </w:num>
  <w:num w:numId="6">
    <w:abstractNumId w:val="9"/>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003FF3"/>
    <w:rsid w:val="00050DE9"/>
    <w:rsid w:val="00072E53"/>
    <w:rsid w:val="00080B9F"/>
    <w:rsid w:val="000E5129"/>
    <w:rsid w:val="00100944"/>
    <w:rsid w:val="00100E39"/>
    <w:rsid w:val="00140C03"/>
    <w:rsid w:val="00150529"/>
    <w:rsid w:val="00181BE4"/>
    <w:rsid w:val="00185198"/>
    <w:rsid w:val="0018708E"/>
    <w:rsid w:val="00196FC6"/>
    <w:rsid w:val="001A189E"/>
    <w:rsid w:val="001A7693"/>
    <w:rsid w:val="001D511E"/>
    <w:rsid w:val="0020718E"/>
    <w:rsid w:val="00226C10"/>
    <w:rsid w:val="00227475"/>
    <w:rsid w:val="00243193"/>
    <w:rsid w:val="002905E3"/>
    <w:rsid w:val="002A1CD9"/>
    <w:rsid w:val="002A750C"/>
    <w:rsid w:val="002D0E0F"/>
    <w:rsid w:val="002F2654"/>
    <w:rsid w:val="00304A70"/>
    <w:rsid w:val="0031420C"/>
    <w:rsid w:val="00315C72"/>
    <w:rsid w:val="0031716E"/>
    <w:rsid w:val="003466A2"/>
    <w:rsid w:val="003561C4"/>
    <w:rsid w:val="00380945"/>
    <w:rsid w:val="00397610"/>
    <w:rsid w:val="003D1D53"/>
    <w:rsid w:val="003D542B"/>
    <w:rsid w:val="003D590D"/>
    <w:rsid w:val="00401ED5"/>
    <w:rsid w:val="004026A9"/>
    <w:rsid w:val="00417C29"/>
    <w:rsid w:val="004A5B6C"/>
    <w:rsid w:val="004D6539"/>
    <w:rsid w:val="00520F22"/>
    <w:rsid w:val="0053546C"/>
    <w:rsid w:val="00561552"/>
    <w:rsid w:val="0056413B"/>
    <w:rsid w:val="0061239E"/>
    <w:rsid w:val="00626F0B"/>
    <w:rsid w:val="0063636F"/>
    <w:rsid w:val="00660CB6"/>
    <w:rsid w:val="0068557C"/>
    <w:rsid w:val="006C4AD5"/>
    <w:rsid w:val="0077088C"/>
    <w:rsid w:val="00783FBC"/>
    <w:rsid w:val="007B722B"/>
    <w:rsid w:val="007F664A"/>
    <w:rsid w:val="008109D5"/>
    <w:rsid w:val="00885904"/>
    <w:rsid w:val="008B59F4"/>
    <w:rsid w:val="008D6BC8"/>
    <w:rsid w:val="008F4C18"/>
    <w:rsid w:val="009A2C06"/>
    <w:rsid w:val="009E36E2"/>
    <w:rsid w:val="00A001EE"/>
    <w:rsid w:val="00A04452"/>
    <w:rsid w:val="00A42753"/>
    <w:rsid w:val="00AA4B09"/>
    <w:rsid w:val="00AB6A5D"/>
    <w:rsid w:val="00AE4AD5"/>
    <w:rsid w:val="00AF0162"/>
    <w:rsid w:val="00AF33D1"/>
    <w:rsid w:val="00B35DB1"/>
    <w:rsid w:val="00B41404"/>
    <w:rsid w:val="00B6025A"/>
    <w:rsid w:val="00B77E60"/>
    <w:rsid w:val="00BA689B"/>
    <w:rsid w:val="00BB0974"/>
    <w:rsid w:val="00BC32D4"/>
    <w:rsid w:val="00BD4AEB"/>
    <w:rsid w:val="00BD75D1"/>
    <w:rsid w:val="00BF18DF"/>
    <w:rsid w:val="00BF4D0B"/>
    <w:rsid w:val="00C01CA3"/>
    <w:rsid w:val="00C1515A"/>
    <w:rsid w:val="00C15C7E"/>
    <w:rsid w:val="00CD5C97"/>
    <w:rsid w:val="00CD632D"/>
    <w:rsid w:val="00CE36AD"/>
    <w:rsid w:val="00D876EC"/>
    <w:rsid w:val="00DE3C97"/>
    <w:rsid w:val="00E050CA"/>
    <w:rsid w:val="00E16A82"/>
    <w:rsid w:val="00E46FC1"/>
    <w:rsid w:val="00E5152E"/>
    <w:rsid w:val="00E51B87"/>
    <w:rsid w:val="00E71CBC"/>
    <w:rsid w:val="00E81753"/>
    <w:rsid w:val="00E90D6E"/>
    <w:rsid w:val="00E96FAC"/>
    <w:rsid w:val="00EB08CC"/>
    <w:rsid w:val="00EC48B1"/>
    <w:rsid w:val="00EF7911"/>
    <w:rsid w:val="00F0554E"/>
    <w:rsid w:val="00F204DF"/>
    <w:rsid w:val="00F204E6"/>
    <w:rsid w:val="00F304A3"/>
    <w:rsid w:val="00F476B1"/>
    <w:rsid w:val="00F63B8F"/>
    <w:rsid w:val="00F76E50"/>
    <w:rsid w:val="00F9251B"/>
    <w:rsid w:val="00F94BC4"/>
    <w:rsid w:val="00F951D2"/>
    <w:rsid w:val="00F96ACD"/>
    <w:rsid w:val="00FA2A81"/>
    <w:rsid w:val="00FA62D2"/>
    <w:rsid w:val="00FB69F9"/>
    <w:rsid w:val="00FD3248"/>
    <w:rsid w:val="00FE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F9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character" w:styleId="PageNumber">
    <w:name w:val="page number"/>
    <w:basedOn w:val="DefaultParagraphFont"/>
    <w:uiPriority w:val="99"/>
    <w:semiHidden/>
    <w:unhideWhenUsed/>
    <w:rsid w:val="0031420C"/>
  </w:style>
  <w:style w:type="paragraph" w:styleId="NormalWeb">
    <w:name w:val="Normal (Web)"/>
    <w:basedOn w:val="Normal"/>
    <w:uiPriority w:val="99"/>
    <w:unhideWhenUsed/>
    <w:rsid w:val="00CD5C9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B6A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1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15A"/>
  </w:style>
  <w:style w:type="paragraph" w:styleId="Footer">
    <w:name w:val="footer"/>
    <w:basedOn w:val="Normal"/>
    <w:link w:val="FooterChar"/>
    <w:uiPriority w:val="99"/>
    <w:unhideWhenUsed/>
    <w:rsid w:val="00C15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15A"/>
  </w:style>
  <w:style w:type="paragraph" w:styleId="ListParagraph">
    <w:name w:val="List Paragraph"/>
    <w:basedOn w:val="Normal"/>
    <w:uiPriority w:val="34"/>
    <w:qFormat/>
    <w:rsid w:val="00C1515A"/>
    <w:pPr>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unhideWhenUsed/>
    <w:qFormat/>
    <w:rsid w:val="00C1515A"/>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C1515A"/>
    <w:rPr>
      <w:sz w:val="20"/>
      <w:szCs w:val="20"/>
    </w:rPr>
  </w:style>
  <w:style w:type="character" w:styleId="FootnoteReference">
    <w:name w:val="footnote reference"/>
    <w:aliases w:val="Texto de nota al pie,Footnotes refss,Appel note de bas de page,Footnote number,referencia nota al pie,BVI fnr,f,4_G,16 Point,Superscript 6 Point,Footnote Reference Char3,Footnote Reference Char1 Char,Footnote Reference Char Char Char"/>
    <w:basedOn w:val="DefaultParagraphFont"/>
    <w:uiPriority w:val="99"/>
    <w:unhideWhenUsed/>
    <w:qFormat/>
    <w:rsid w:val="00C1515A"/>
    <w:rPr>
      <w:vertAlign w:val="superscript"/>
    </w:rPr>
  </w:style>
  <w:style w:type="character" w:styleId="Hyperlink">
    <w:name w:val="Hyperlink"/>
    <w:basedOn w:val="DefaultParagraphFont"/>
    <w:uiPriority w:val="99"/>
    <w:unhideWhenUsed/>
    <w:rsid w:val="00C1515A"/>
    <w:rPr>
      <w:color w:val="0000FF" w:themeColor="hyperlink"/>
      <w:u w:val="single"/>
    </w:rPr>
  </w:style>
  <w:style w:type="character" w:customStyle="1" w:styleId="Heading1Char">
    <w:name w:val="Heading 1 Char"/>
    <w:basedOn w:val="DefaultParagraphFont"/>
    <w:link w:val="Heading1"/>
    <w:uiPriority w:val="9"/>
    <w:rsid w:val="003561C4"/>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E5152E"/>
  </w:style>
  <w:style w:type="character" w:styleId="CommentReference">
    <w:name w:val="annotation reference"/>
    <w:basedOn w:val="DefaultParagraphFont"/>
    <w:uiPriority w:val="99"/>
    <w:semiHidden/>
    <w:unhideWhenUsed/>
    <w:rsid w:val="0061239E"/>
    <w:rPr>
      <w:sz w:val="16"/>
      <w:szCs w:val="16"/>
    </w:rPr>
  </w:style>
  <w:style w:type="paragraph" w:styleId="CommentText">
    <w:name w:val="annotation text"/>
    <w:basedOn w:val="Normal"/>
    <w:link w:val="CommentTextChar"/>
    <w:uiPriority w:val="99"/>
    <w:semiHidden/>
    <w:unhideWhenUsed/>
    <w:rsid w:val="0061239E"/>
    <w:pPr>
      <w:spacing w:line="240" w:lineRule="auto"/>
    </w:pPr>
    <w:rPr>
      <w:sz w:val="20"/>
      <w:szCs w:val="20"/>
    </w:rPr>
  </w:style>
  <w:style w:type="character" w:customStyle="1" w:styleId="CommentTextChar">
    <w:name w:val="Comment Text Char"/>
    <w:basedOn w:val="DefaultParagraphFont"/>
    <w:link w:val="CommentText"/>
    <w:uiPriority w:val="99"/>
    <w:semiHidden/>
    <w:rsid w:val="0061239E"/>
    <w:rPr>
      <w:sz w:val="20"/>
      <w:szCs w:val="20"/>
    </w:rPr>
  </w:style>
  <w:style w:type="paragraph" w:styleId="CommentSubject">
    <w:name w:val="annotation subject"/>
    <w:basedOn w:val="CommentText"/>
    <w:next w:val="CommentText"/>
    <w:link w:val="CommentSubjectChar"/>
    <w:uiPriority w:val="99"/>
    <w:semiHidden/>
    <w:unhideWhenUsed/>
    <w:rsid w:val="0061239E"/>
    <w:rPr>
      <w:b/>
      <w:bCs/>
    </w:rPr>
  </w:style>
  <w:style w:type="character" w:customStyle="1" w:styleId="CommentSubjectChar">
    <w:name w:val="Comment Subject Char"/>
    <w:basedOn w:val="CommentTextChar"/>
    <w:link w:val="CommentSubject"/>
    <w:uiPriority w:val="99"/>
    <w:semiHidden/>
    <w:rsid w:val="0061239E"/>
    <w:rPr>
      <w:b/>
      <w:bCs/>
      <w:sz w:val="20"/>
      <w:szCs w:val="20"/>
    </w:rPr>
  </w:style>
  <w:style w:type="paragraph" w:styleId="BalloonText">
    <w:name w:val="Balloon Text"/>
    <w:basedOn w:val="Normal"/>
    <w:link w:val="BalloonTextChar"/>
    <w:uiPriority w:val="99"/>
    <w:semiHidden/>
    <w:unhideWhenUsed/>
    <w:rsid w:val="0061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9E"/>
    <w:rPr>
      <w:rFonts w:ascii="Tahoma" w:hAnsi="Tahoma" w:cs="Tahoma"/>
      <w:sz w:val="16"/>
      <w:szCs w:val="16"/>
    </w:rPr>
  </w:style>
  <w:style w:type="character" w:styleId="PageNumber">
    <w:name w:val="page number"/>
    <w:basedOn w:val="DefaultParagraphFont"/>
    <w:uiPriority w:val="99"/>
    <w:semiHidden/>
    <w:unhideWhenUsed/>
    <w:rsid w:val="0031420C"/>
  </w:style>
  <w:style w:type="paragraph" w:styleId="NormalWeb">
    <w:name w:val="Normal (Web)"/>
    <w:basedOn w:val="Normal"/>
    <w:uiPriority w:val="99"/>
    <w:unhideWhenUsed/>
    <w:rsid w:val="00CD5C97"/>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B6A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6300">
      <w:bodyDiv w:val="1"/>
      <w:marLeft w:val="0"/>
      <w:marRight w:val="0"/>
      <w:marTop w:val="0"/>
      <w:marBottom w:val="0"/>
      <w:divBdr>
        <w:top w:val="none" w:sz="0" w:space="0" w:color="auto"/>
        <w:left w:val="none" w:sz="0" w:space="0" w:color="auto"/>
        <w:bottom w:val="none" w:sz="0" w:space="0" w:color="auto"/>
        <w:right w:val="none" w:sz="0" w:space="0" w:color="auto"/>
      </w:divBdr>
    </w:div>
    <w:div w:id="1117748629">
      <w:bodyDiv w:val="1"/>
      <w:marLeft w:val="0"/>
      <w:marRight w:val="0"/>
      <w:marTop w:val="0"/>
      <w:marBottom w:val="0"/>
      <w:divBdr>
        <w:top w:val="none" w:sz="0" w:space="0" w:color="auto"/>
        <w:left w:val="none" w:sz="0" w:space="0" w:color="auto"/>
        <w:bottom w:val="none" w:sz="0" w:space="0" w:color="auto"/>
        <w:right w:val="none" w:sz="0" w:space="0" w:color="auto"/>
      </w:divBdr>
      <w:divsChild>
        <w:div w:id="1851068285">
          <w:marLeft w:val="0"/>
          <w:marRight w:val="0"/>
          <w:marTop w:val="0"/>
          <w:marBottom w:val="0"/>
          <w:divBdr>
            <w:top w:val="none" w:sz="0" w:space="0" w:color="auto"/>
            <w:left w:val="none" w:sz="0" w:space="0" w:color="auto"/>
            <w:bottom w:val="none" w:sz="0" w:space="0" w:color="auto"/>
            <w:right w:val="none" w:sz="0" w:space="0" w:color="auto"/>
          </w:divBdr>
          <w:divsChild>
            <w:div w:id="1438715831">
              <w:marLeft w:val="0"/>
              <w:marRight w:val="0"/>
              <w:marTop w:val="0"/>
              <w:marBottom w:val="0"/>
              <w:divBdr>
                <w:top w:val="none" w:sz="0" w:space="0" w:color="auto"/>
                <w:left w:val="none" w:sz="0" w:space="0" w:color="auto"/>
                <w:bottom w:val="none" w:sz="0" w:space="0" w:color="auto"/>
                <w:right w:val="none" w:sz="0" w:space="0" w:color="auto"/>
              </w:divBdr>
              <w:divsChild>
                <w:div w:id="6162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njus.gob.pe/sentencia-en-el-caso-zegarra-marin-versus-peru/" TargetMode="External"/><Relationship Id="rId2" Type="http://schemas.openxmlformats.org/officeDocument/2006/relationships/hyperlink" Target="http://www.corteidh.or.cr/docs/casos/articulos/seriec_347_esp.pdf" TargetMode="External"/><Relationship Id="rId1" Type="http://schemas.openxmlformats.org/officeDocument/2006/relationships/hyperlink" Target="http://www.corteidh.or.cr/docs/casos/articulos/seriec_331_esp.pdf" TargetMode="External"/><Relationship Id="rId5" Type="http://schemas.openxmlformats.org/officeDocument/2006/relationships/hyperlink" Target="http://www.corteidh.or.cr/tablas/informe2017/espanol.pdf" TargetMode="External"/><Relationship Id="rId4" Type="http://schemas.openxmlformats.org/officeDocument/2006/relationships/hyperlink" Target="http://www.corteidh.or.cr/docs/regla_victimas/victimas_e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EF68-CEB9-4C5A-A067-8882F0BC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1933</Words>
  <Characters>10634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2</cp:revision>
  <cp:lastPrinted>2018-07-03T21:20:00Z</cp:lastPrinted>
  <dcterms:created xsi:type="dcterms:W3CDTF">2018-07-03T22:02:00Z</dcterms:created>
  <dcterms:modified xsi:type="dcterms:W3CDTF">2018-07-03T22:02:00Z</dcterms:modified>
</cp:coreProperties>
</file>