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E3E28" w14:textId="77777777" w:rsidR="001B3B0A" w:rsidRPr="00265174" w:rsidRDefault="001B3B0A" w:rsidP="002A18BD">
      <w:pPr>
        <w:pStyle w:val="4GChar"/>
        <w:rPr>
          <w:rStyle w:val="FootnoteReference"/>
          <w:lang w:val="en-US"/>
        </w:rPr>
      </w:pPr>
      <w:bookmarkStart w:id="0" w:name="_GoBack"/>
      <w:bookmarkEnd w:id="0"/>
    </w:p>
    <w:p w14:paraId="3E9357B4" w14:textId="77777777" w:rsidR="001B3B0A" w:rsidRPr="00265174" w:rsidRDefault="001B3B0A" w:rsidP="00017D5A">
      <w:pPr>
        <w:jc w:val="center"/>
        <w:rPr>
          <w:rFonts w:ascii="Verdana" w:hAnsi="Verdana"/>
          <w:b/>
          <w:lang w:val="en-US"/>
        </w:rPr>
      </w:pPr>
    </w:p>
    <w:p w14:paraId="35985FB2" w14:textId="77777777" w:rsidR="001B3B0A" w:rsidRPr="00265174" w:rsidRDefault="001B3B0A" w:rsidP="00017D5A">
      <w:pPr>
        <w:jc w:val="center"/>
        <w:rPr>
          <w:rFonts w:ascii="Verdana" w:hAnsi="Verdana"/>
          <w:b/>
          <w:lang w:val="en-US"/>
        </w:rPr>
      </w:pPr>
    </w:p>
    <w:p w14:paraId="319BF832" w14:textId="77777777" w:rsidR="001B3B0A" w:rsidRPr="00265174" w:rsidRDefault="001B3B0A" w:rsidP="00017D5A">
      <w:pPr>
        <w:jc w:val="center"/>
        <w:rPr>
          <w:rFonts w:ascii="Verdana" w:hAnsi="Verdana"/>
          <w:b/>
          <w:lang w:val="en-US"/>
        </w:rPr>
      </w:pPr>
    </w:p>
    <w:p w14:paraId="478D6969" w14:textId="77777777" w:rsidR="001B3B0A" w:rsidRPr="00265174" w:rsidRDefault="001B3B0A" w:rsidP="00017D5A">
      <w:pPr>
        <w:jc w:val="center"/>
        <w:rPr>
          <w:rFonts w:ascii="Verdana" w:hAnsi="Verdana"/>
          <w:b/>
          <w:lang w:val="en-US"/>
        </w:rPr>
      </w:pPr>
    </w:p>
    <w:p w14:paraId="1711B36B" w14:textId="77777777" w:rsidR="001B3B0A" w:rsidRPr="00265174" w:rsidRDefault="001B3B0A" w:rsidP="00017D5A">
      <w:pPr>
        <w:jc w:val="center"/>
        <w:rPr>
          <w:rFonts w:ascii="Verdana" w:hAnsi="Verdana"/>
          <w:b/>
          <w:lang w:val="en-US"/>
        </w:rPr>
      </w:pPr>
    </w:p>
    <w:p w14:paraId="1D1CD448" w14:textId="77777777" w:rsidR="001B3B0A" w:rsidRPr="00265174" w:rsidRDefault="001B3B0A" w:rsidP="00017D5A">
      <w:pPr>
        <w:jc w:val="center"/>
        <w:rPr>
          <w:rFonts w:ascii="Verdana" w:hAnsi="Verdana"/>
          <w:b/>
          <w:lang w:val="en-US"/>
        </w:rPr>
      </w:pPr>
    </w:p>
    <w:p w14:paraId="09D5C222" w14:textId="0005EDA5" w:rsidR="00017D5A" w:rsidRPr="0038373F" w:rsidRDefault="00220125" w:rsidP="00017D5A">
      <w:pPr>
        <w:jc w:val="center"/>
        <w:rPr>
          <w:rFonts w:ascii="Verdana" w:hAnsi="Verdana"/>
          <w:b/>
          <w:lang w:val="en-US"/>
        </w:rPr>
      </w:pPr>
      <w:r w:rsidRPr="0038373F">
        <w:rPr>
          <w:rFonts w:ascii="Verdana" w:hAnsi="Verdana"/>
          <w:b/>
          <w:lang w:val="en-US"/>
        </w:rPr>
        <w:t xml:space="preserve">DISSENTING OPINION OF JUDGE </w:t>
      </w:r>
      <w:r w:rsidR="00623BE3" w:rsidRPr="0038373F">
        <w:rPr>
          <w:rFonts w:ascii="Verdana" w:hAnsi="Verdana"/>
          <w:b/>
          <w:lang w:val="en-US"/>
        </w:rPr>
        <w:t xml:space="preserve">L. </w:t>
      </w:r>
      <w:r w:rsidR="0070237E" w:rsidRPr="0038373F">
        <w:rPr>
          <w:rFonts w:ascii="Verdana" w:hAnsi="Verdana"/>
          <w:b/>
          <w:lang w:val="en-US"/>
        </w:rPr>
        <w:t>PATRICIO PAZMIÑO FREIRE</w:t>
      </w:r>
    </w:p>
    <w:p w14:paraId="688547A0" w14:textId="77777777" w:rsidR="00017D5A" w:rsidRPr="0038373F" w:rsidRDefault="00017D5A" w:rsidP="00017D5A">
      <w:pPr>
        <w:jc w:val="center"/>
        <w:rPr>
          <w:rFonts w:ascii="Verdana" w:hAnsi="Verdana"/>
          <w:b/>
          <w:lang w:val="en-US"/>
        </w:rPr>
      </w:pPr>
    </w:p>
    <w:p w14:paraId="5C19A495" w14:textId="13FD79FB" w:rsidR="00017D5A" w:rsidRPr="0038373F" w:rsidRDefault="00220125" w:rsidP="00017D5A">
      <w:pPr>
        <w:jc w:val="center"/>
        <w:rPr>
          <w:rFonts w:ascii="Verdana" w:hAnsi="Verdana"/>
          <w:b/>
          <w:lang w:val="en-US"/>
        </w:rPr>
      </w:pPr>
      <w:r w:rsidRPr="0038373F">
        <w:rPr>
          <w:rFonts w:ascii="Verdana" w:hAnsi="Verdana"/>
          <w:b/>
          <w:lang w:val="en-US"/>
        </w:rPr>
        <w:t xml:space="preserve">ON THE ORDER OF MAY 29, </w:t>
      </w:r>
      <w:r w:rsidR="002D613B" w:rsidRPr="0038373F">
        <w:rPr>
          <w:rFonts w:ascii="Verdana" w:hAnsi="Verdana"/>
          <w:b/>
          <w:lang w:val="en-US"/>
        </w:rPr>
        <w:t>2018</w:t>
      </w:r>
    </w:p>
    <w:p w14:paraId="1D74CB94" w14:textId="77777777" w:rsidR="00514E6E" w:rsidRPr="0038373F" w:rsidRDefault="00514E6E" w:rsidP="00017D5A">
      <w:pPr>
        <w:jc w:val="center"/>
        <w:rPr>
          <w:rFonts w:ascii="Verdana" w:hAnsi="Verdana"/>
          <w:b/>
          <w:lang w:val="en-US"/>
        </w:rPr>
      </w:pPr>
    </w:p>
    <w:p w14:paraId="5ECBD1B4" w14:textId="316239C4" w:rsidR="00017D5A" w:rsidRPr="0038373F" w:rsidRDefault="00220125" w:rsidP="009C7158">
      <w:pPr>
        <w:jc w:val="center"/>
        <w:outlineLvl w:val="0"/>
        <w:rPr>
          <w:rFonts w:ascii="Verdana" w:hAnsi="Verdana"/>
          <w:b/>
          <w:lang w:val="en-US"/>
        </w:rPr>
      </w:pPr>
      <w:r w:rsidRPr="0038373F">
        <w:rPr>
          <w:rFonts w:ascii="Verdana" w:hAnsi="Verdana"/>
          <w:b/>
          <w:lang w:val="en-US"/>
        </w:rPr>
        <w:t>OF THE INTER-AMERICAN COURT OF HUMAN RIGHTS</w:t>
      </w:r>
    </w:p>
    <w:p w14:paraId="4C38BD9B" w14:textId="77777777" w:rsidR="00017D5A" w:rsidRPr="0038373F" w:rsidRDefault="00017D5A" w:rsidP="001172EC">
      <w:pPr>
        <w:jc w:val="both"/>
        <w:rPr>
          <w:rFonts w:ascii="Verdana" w:hAnsi="Verdana"/>
          <w:b/>
          <w:lang w:val="en-US"/>
        </w:rPr>
      </w:pPr>
    </w:p>
    <w:p w14:paraId="21DD79C0" w14:textId="07F1D8C9" w:rsidR="00242F3A" w:rsidRPr="0038373F" w:rsidRDefault="00242F3A" w:rsidP="001172EC">
      <w:pPr>
        <w:jc w:val="both"/>
        <w:rPr>
          <w:rFonts w:ascii="Verdana" w:hAnsi="Verdana"/>
          <w:b/>
          <w:lang w:val="en-US"/>
        </w:rPr>
      </w:pPr>
    </w:p>
    <w:p w14:paraId="1B130358" w14:textId="6A8DF7F4" w:rsidR="00220125" w:rsidRPr="0038373F" w:rsidRDefault="00220125" w:rsidP="00DF2840">
      <w:pPr>
        <w:jc w:val="both"/>
        <w:rPr>
          <w:rFonts w:ascii="Verdana" w:hAnsi="Verdana"/>
          <w:lang w:val="en-US"/>
        </w:rPr>
      </w:pPr>
      <w:r w:rsidRPr="0038373F">
        <w:rPr>
          <w:rFonts w:ascii="Verdana" w:hAnsi="Verdana"/>
          <w:lang w:val="en-US"/>
        </w:rPr>
        <w:t>In exercise of my authority under Article 65(2) of the Rules of Procedure of the Inter-American Court of Human Rights, I respectfully state the reasons and grounds for my decision to diverge from the majority opinion in th</w:t>
      </w:r>
      <w:r w:rsidR="000A3EC6" w:rsidRPr="0038373F">
        <w:rPr>
          <w:rFonts w:ascii="Verdana" w:hAnsi="Verdana"/>
          <w:lang w:val="en-US"/>
        </w:rPr>
        <w:t>e above</w:t>
      </w:r>
      <w:r w:rsidRPr="0038373F">
        <w:rPr>
          <w:rFonts w:ascii="Verdana" w:hAnsi="Verdana"/>
          <w:lang w:val="en-US"/>
        </w:rPr>
        <w:t xml:space="preserve"> order.</w:t>
      </w:r>
    </w:p>
    <w:p w14:paraId="190DE0D3" w14:textId="77777777" w:rsidR="00A26DF1" w:rsidRPr="0038373F" w:rsidRDefault="00A26DF1" w:rsidP="00DF2840">
      <w:pPr>
        <w:jc w:val="both"/>
        <w:rPr>
          <w:rFonts w:ascii="Verdana" w:hAnsi="Verdana"/>
          <w:lang w:val="en-US"/>
        </w:rPr>
      </w:pPr>
    </w:p>
    <w:p w14:paraId="6DEFACCC" w14:textId="7A748541" w:rsidR="00220125" w:rsidRPr="0038373F" w:rsidRDefault="00220125" w:rsidP="00220125">
      <w:pPr>
        <w:pStyle w:val="ListParagraph"/>
        <w:numPr>
          <w:ilvl w:val="0"/>
          <w:numId w:val="13"/>
        </w:numPr>
        <w:ind w:left="0" w:firstLine="0"/>
        <w:jc w:val="both"/>
        <w:rPr>
          <w:rFonts w:ascii="Verdana" w:hAnsi="Verdana"/>
          <w:sz w:val="20"/>
          <w:szCs w:val="20"/>
        </w:rPr>
      </w:pPr>
      <w:r w:rsidRPr="0038373F">
        <w:rPr>
          <w:rFonts w:ascii="Verdana" w:hAnsi="Verdana"/>
          <w:sz w:val="20"/>
          <w:szCs w:val="20"/>
        </w:rPr>
        <w:t xml:space="preserve">Regarding the analysis that concluded with the inadmissibility decided by the majority of my colleagues, members of the Court, I do not share </w:t>
      </w:r>
      <w:r w:rsidR="000A3EC6" w:rsidRPr="0038373F">
        <w:rPr>
          <w:rFonts w:ascii="Verdana" w:hAnsi="Verdana"/>
          <w:sz w:val="20"/>
          <w:szCs w:val="20"/>
        </w:rPr>
        <w:t>this</w:t>
      </w:r>
      <w:r w:rsidRPr="0038373F">
        <w:rPr>
          <w:rFonts w:ascii="Verdana" w:hAnsi="Verdana"/>
          <w:sz w:val="20"/>
          <w:szCs w:val="20"/>
        </w:rPr>
        <w:t xml:space="preserve"> because</w:t>
      </w:r>
      <w:r w:rsidR="000A3EC6" w:rsidRPr="0038373F">
        <w:rPr>
          <w:rFonts w:ascii="Verdana" w:hAnsi="Verdana"/>
          <w:sz w:val="20"/>
          <w:szCs w:val="20"/>
        </w:rPr>
        <w:t>,</w:t>
      </w:r>
      <w:r w:rsidRPr="0038373F">
        <w:rPr>
          <w:rFonts w:ascii="Verdana" w:hAnsi="Verdana"/>
          <w:sz w:val="20"/>
          <w:szCs w:val="20"/>
        </w:rPr>
        <w:t xml:space="preserve"> in my opinion, the request presented by the Commission has sufficient merits </w:t>
      </w:r>
      <w:r w:rsidR="00FC21AA" w:rsidRPr="0038373F">
        <w:rPr>
          <w:rFonts w:ascii="Verdana" w:hAnsi="Verdana"/>
          <w:sz w:val="20"/>
          <w:szCs w:val="20"/>
        </w:rPr>
        <w:t>to be</w:t>
      </w:r>
      <w:r w:rsidRPr="0038373F">
        <w:rPr>
          <w:rFonts w:ascii="Verdana" w:hAnsi="Verdana"/>
          <w:sz w:val="20"/>
          <w:szCs w:val="20"/>
        </w:rPr>
        <w:t xml:space="preserve"> admi</w:t>
      </w:r>
      <w:r w:rsidR="00FC21AA" w:rsidRPr="0038373F">
        <w:rPr>
          <w:rFonts w:ascii="Verdana" w:hAnsi="Verdana"/>
          <w:sz w:val="20"/>
          <w:szCs w:val="20"/>
        </w:rPr>
        <w:t>tted</w:t>
      </w:r>
      <w:r w:rsidRPr="0038373F">
        <w:rPr>
          <w:rFonts w:ascii="Verdana" w:hAnsi="Verdana"/>
          <w:sz w:val="20"/>
          <w:szCs w:val="20"/>
        </w:rPr>
        <w:t xml:space="preserve">. Thus, given the significance and nature of the questions, and the guidance that our ruling would </w:t>
      </w:r>
      <w:r w:rsidR="000A3EC6" w:rsidRPr="0038373F">
        <w:rPr>
          <w:rFonts w:ascii="Verdana" w:hAnsi="Verdana"/>
          <w:sz w:val="20"/>
          <w:szCs w:val="20"/>
        </w:rPr>
        <w:t xml:space="preserve">have </w:t>
      </w:r>
      <w:r w:rsidRPr="0038373F">
        <w:rPr>
          <w:rFonts w:ascii="Verdana" w:hAnsi="Verdana"/>
          <w:sz w:val="20"/>
          <w:szCs w:val="20"/>
        </w:rPr>
        <w:t>provide</w:t>
      </w:r>
      <w:r w:rsidR="000A3EC6" w:rsidRPr="0038373F">
        <w:rPr>
          <w:rFonts w:ascii="Verdana" w:hAnsi="Verdana"/>
          <w:sz w:val="20"/>
          <w:szCs w:val="20"/>
        </w:rPr>
        <w:t>d</w:t>
      </w:r>
      <w:r w:rsidRPr="0038373F">
        <w:rPr>
          <w:rFonts w:ascii="Verdana" w:hAnsi="Verdana"/>
          <w:sz w:val="20"/>
          <w:szCs w:val="20"/>
        </w:rPr>
        <w:t xml:space="preserve"> by interpreting the meaning, object and purpose of the international norms indicated in the request, </w:t>
      </w:r>
      <w:r w:rsidR="00FC21AA" w:rsidRPr="0038373F">
        <w:rPr>
          <w:rFonts w:ascii="Verdana" w:hAnsi="Verdana"/>
          <w:sz w:val="20"/>
          <w:szCs w:val="20"/>
        </w:rPr>
        <w:t>this ruling</w:t>
      </w:r>
      <w:r w:rsidRPr="0038373F">
        <w:rPr>
          <w:rFonts w:ascii="Verdana" w:hAnsi="Verdana"/>
          <w:sz w:val="20"/>
          <w:szCs w:val="20"/>
        </w:rPr>
        <w:t xml:space="preserve"> could </w:t>
      </w:r>
      <w:r w:rsidR="000A3EC6" w:rsidRPr="0038373F">
        <w:rPr>
          <w:rFonts w:ascii="Verdana" w:hAnsi="Verdana"/>
          <w:sz w:val="20"/>
          <w:szCs w:val="20"/>
        </w:rPr>
        <w:t>have enhanc</w:t>
      </w:r>
      <w:r w:rsidR="006E6C24" w:rsidRPr="0038373F">
        <w:rPr>
          <w:rFonts w:ascii="Verdana" w:hAnsi="Verdana"/>
          <w:sz w:val="20"/>
          <w:szCs w:val="20"/>
        </w:rPr>
        <w:t>ed</w:t>
      </w:r>
      <w:r w:rsidRPr="0038373F">
        <w:rPr>
          <w:rFonts w:ascii="Verdana" w:hAnsi="Verdana"/>
          <w:sz w:val="20"/>
          <w:szCs w:val="20"/>
        </w:rPr>
        <w:t xml:space="preserve"> the contents of the notion of inter-American </w:t>
      </w:r>
      <w:r w:rsidR="000A3EC6" w:rsidRPr="0038373F">
        <w:rPr>
          <w:rFonts w:ascii="Verdana" w:hAnsi="Verdana"/>
          <w:sz w:val="20"/>
          <w:szCs w:val="20"/>
        </w:rPr>
        <w:t xml:space="preserve">public </w:t>
      </w:r>
      <w:r w:rsidRPr="0038373F">
        <w:rPr>
          <w:rFonts w:ascii="Verdana" w:hAnsi="Verdana"/>
          <w:sz w:val="20"/>
          <w:szCs w:val="20"/>
        </w:rPr>
        <w:t xml:space="preserve">order and, above all, from a systemic perspective, </w:t>
      </w:r>
      <w:r w:rsidR="000A3EC6" w:rsidRPr="0038373F">
        <w:rPr>
          <w:rFonts w:ascii="Verdana" w:hAnsi="Verdana"/>
          <w:sz w:val="20"/>
          <w:szCs w:val="20"/>
        </w:rPr>
        <w:t>assist</w:t>
      </w:r>
      <w:r w:rsidR="006E6C24" w:rsidRPr="0038373F">
        <w:rPr>
          <w:rFonts w:ascii="Verdana" w:hAnsi="Verdana"/>
          <w:sz w:val="20"/>
          <w:szCs w:val="20"/>
        </w:rPr>
        <w:t>ed</w:t>
      </w:r>
      <w:r w:rsidRPr="0038373F">
        <w:rPr>
          <w:rFonts w:ascii="Verdana" w:hAnsi="Verdana"/>
          <w:sz w:val="20"/>
          <w:szCs w:val="20"/>
        </w:rPr>
        <w:t xml:space="preserve"> the States of the Americas: “to </w:t>
      </w:r>
      <w:r w:rsidRPr="0038373F">
        <w:rPr>
          <w:rFonts w:ascii="Verdana" w:hAnsi="Verdana"/>
          <w:spacing w:val="-3"/>
          <w:sz w:val="20"/>
          <w:szCs w:val="20"/>
        </w:rPr>
        <w:t>consolidate in this hemisphere, within the framework of democratic institutions, a system of personal liberty and social justice based on respect for the essential rights of man,” as stated in the Preamble to the American Convention on Human Rights “Pact of San José, Costa Rica.”</w:t>
      </w:r>
    </w:p>
    <w:p w14:paraId="4F0A5921" w14:textId="77777777" w:rsidR="00C67785" w:rsidRPr="0038373F" w:rsidRDefault="00C67785" w:rsidP="00514E6E">
      <w:pPr>
        <w:jc w:val="both"/>
        <w:rPr>
          <w:rFonts w:ascii="Verdana" w:hAnsi="Verdana"/>
          <w:lang w:val="en-US"/>
        </w:rPr>
      </w:pPr>
    </w:p>
    <w:p w14:paraId="40DBB587" w14:textId="10262658" w:rsidR="00220125" w:rsidRPr="0038373F" w:rsidRDefault="00220125" w:rsidP="00514E6E">
      <w:pPr>
        <w:pStyle w:val="ListParagraph"/>
        <w:numPr>
          <w:ilvl w:val="0"/>
          <w:numId w:val="13"/>
        </w:numPr>
        <w:ind w:left="0" w:firstLine="0"/>
        <w:jc w:val="both"/>
        <w:rPr>
          <w:rFonts w:ascii="Verdana" w:hAnsi="Verdana"/>
          <w:sz w:val="20"/>
          <w:szCs w:val="20"/>
        </w:rPr>
      </w:pPr>
      <w:r w:rsidRPr="0038373F">
        <w:rPr>
          <w:rFonts w:ascii="Verdana" w:hAnsi="Verdana"/>
          <w:sz w:val="20"/>
          <w:szCs w:val="20"/>
        </w:rPr>
        <w:t xml:space="preserve">This significant and pertinent request for an advisory opinion warranted a more thorough and detailed examination by the Court. Consequently, the purpose of this opinion is to place on record the essential aspects on which I disagree with my colleagues, and the grounds on which I consider that the Court is </w:t>
      </w:r>
      <w:r w:rsidR="00B83564" w:rsidRPr="0038373F">
        <w:rPr>
          <w:rFonts w:ascii="Verdana" w:hAnsi="Verdana"/>
          <w:sz w:val="20"/>
          <w:szCs w:val="20"/>
        </w:rPr>
        <w:t xml:space="preserve">foregoing an important opportunity to develop international human rights law, </w:t>
      </w:r>
      <w:r w:rsidR="00FC21AA" w:rsidRPr="0038373F">
        <w:rPr>
          <w:rFonts w:ascii="Verdana" w:hAnsi="Verdana"/>
          <w:sz w:val="20"/>
          <w:szCs w:val="20"/>
        </w:rPr>
        <w:t>and</w:t>
      </w:r>
      <w:r w:rsidR="00B83564" w:rsidRPr="0038373F">
        <w:rPr>
          <w:rFonts w:ascii="Verdana" w:hAnsi="Verdana"/>
          <w:sz w:val="20"/>
          <w:szCs w:val="20"/>
        </w:rPr>
        <w:t xml:space="preserve"> to offer elements that provide content to the notion of inter-American public order</w:t>
      </w:r>
      <w:r w:rsidR="00FC21AA" w:rsidRPr="0038373F">
        <w:rPr>
          <w:rFonts w:ascii="Verdana" w:hAnsi="Verdana"/>
          <w:sz w:val="20"/>
          <w:szCs w:val="20"/>
        </w:rPr>
        <w:t xml:space="preserve"> </w:t>
      </w:r>
      <w:r w:rsidR="00B83564" w:rsidRPr="0038373F">
        <w:rPr>
          <w:rFonts w:ascii="Verdana" w:hAnsi="Verdana"/>
          <w:sz w:val="20"/>
          <w:szCs w:val="20"/>
        </w:rPr>
        <w:t xml:space="preserve">in its </w:t>
      </w:r>
      <w:r w:rsidR="00FC21AA" w:rsidRPr="0038373F">
        <w:rPr>
          <w:rFonts w:ascii="Verdana" w:hAnsi="Verdana"/>
          <w:sz w:val="20"/>
          <w:szCs w:val="20"/>
        </w:rPr>
        <w:t>close</w:t>
      </w:r>
      <w:r w:rsidR="00B83564" w:rsidRPr="0038373F">
        <w:rPr>
          <w:rFonts w:ascii="Verdana" w:hAnsi="Verdana"/>
          <w:sz w:val="20"/>
          <w:szCs w:val="20"/>
        </w:rPr>
        <w:t xml:space="preserve"> and increasingly complex relationship with the substantive values of democracy in the region.</w:t>
      </w:r>
    </w:p>
    <w:p w14:paraId="5C2F94D7" w14:textId="77777777" w:rsidR="00A26DF1" w:rsidRPr="0038373F" w:rsidRDefault="00A26DF1" w:rsidP="00514E6E">
      <w:pPr>
        <w:jc w:val="both"/>
        <w:rPr>
          <w:rFonts w:ascii="Verdana" w:hAnsi="Verdana"/>
          <w:lang w:val="en-US"/>
        </w:rPr>
      </w:pPr>
    </w:p>
    <w:p w14:paraId="19379362" w14:textId="5A51D6E1" w:rsidR="00C3085D" w:rsidRPr="0038373F" w:rsidRDefault="00B83564" w:rsidP="005436AF">
      <w:pPr>
        <w:pStyle w:val="ListParagraph"/>
        <w:numPr>
          <w:ilvl w:val="0"/>
          <w:numId w:val="13"/>
        </w:numPr>
        <w:ind w:left="0" w:firstLine="0"/>
        <w:jc w:val="both"/>
        <w:rPr>
          <w:rFonts w:ascii="Verdana" w:hAnsi="Verdana"/>
          <w:sz w:val="20"/>
          <w:szCs w:val="20"/>
        </w:rPr>
      </w:pPr>
      <w:r w:rsidRPr="0038373F">
        <w:rPr>
          <w:rFonts w:ascii="Verdana" w:hAnsi="Verdana"/>
          <w:spacing w:val="-2"/>
          <w:sz w:val="20"/>
          <w:szCs w:val="20"/>
        </w:rPr>
        <w:t>Without prejudice to the majority opinion expressed in th</w:t>
      </w:r>
      <w:r w:rsidR="00FC21AA" w:rsidRPr="0038373F">
        <w:rPr>
          <w:rFonts w:ascii="Verdana" w:hAnsi="Verdana"/>
          <w:spacing w:val="-2"/>
          <w:sz w:val="20"/>
          <w:szCs w:val="20"/>
        </w:rPr>
        <w:t>e said</w:t>
      </w:r>
      <w:r w:rsidRPr="0038373F">
        <w:rPr>
          <w:rFonts w:ascii="Verdana" w:hAnsi="Verdana"/>
          <w:spacing w:val="-2"/>
          <w:sz w:val="20"/>
          <w:szCs w:val="20"/>
        </w:rPr>
        <w:t xml:space="preserve"> order, I must call attention to previous rulings that the Court has made, also in the context of advisory proceedings, </w:t>
      </w:r>
      <w:r w:rsidR="00FC21AA" w:rsidRPr="0038373F">
        <w:rPr>
          <w:rFonts w:ascii="Verdana" w:hAnsi="Verdana"/>
          <w:spacing w:val="-2"/>
          <w:sz w:val="20"/>
          <w:szCs w:val="20"/>
        </w:rPr>
        <w:t xml:space="preserve">and </w:t>
      </w:r>
      <w:r w:rsidRPr="0038373F">
        <w:rPr>
          <w:rFonts w:ascii="Verdana" w:hAnsi="Verdana"/>
          <w:spacing w:val="-2"/>
          <w:sz w:val="20"/>
          <w:szCs w:val="20"/>
        </w:rPr>
        <w:t>to which I ratify my adhesion on this occasion, where it has established that “the mere fact that</w:t>
      </w:r>
      <w:r w:rsidR="00FC21AA" w:rsidRPr="0038373F">
        <w:rPr>
          <w:rFonts w:ascii="Verdana" w:hAnsi="Verdana"/>
          <w:spacing w:val="-2"/>
          <w:sz w:val="20"/>
          <w:szCs w:val="20"/>
        </w:rPr>
        <w:t xml:space="preserve"> petitions related to the subject matter of the request have been lodged before</w:t>
      </w:r>
      <w:r w:rsidRPr="0038373F">
        <w:rPr>
          <w:rFonts w:ascii="Verdana" w:hAnsi="Verdana"/>
          <w:spacing w:val="-2"/>
          <w:sz w:val="20"/>
          <w:szCs w:val="20"/>
        </w:rPr>
        <w:t xml:space="preserve"> </w:t>
      </w:r>
      <w:r w:rsidR="00FC21AA" w:rsidRPr="0038373F">
        <w:rPr>
          <w:rFonts w:ascii="Verdana" w:hAnsi="Verdana"/>
          <w:spacing w:val="-2"/>
          <w:sz w:val="20"/>
          <w:szCs w:val="20"/>
        </w:rPr>
        <w:t xml:space="preserve">the </w:t>
      </w:r>
      <w:r w:rsidR="005436AF" w:rsidRPr="0038373F">
        <w:rPr>
          <w:rFonts w:ascii="Verdana" w:hAnsi="Verdana"/>
          <w:spacing w:val="-2"/>
          <w:sz w:val="20"/>
          <w:szCs w:val="20"/>
        </w:rPr>
        <w:t>Commission is not in itself sufficient for the Court to abstain from responding to the questions submitted to it.</w:t>
      </w:r>
      <w:r w:rsidR="00CC10E2" w:rsidRPr="0038373F">
        <w:rPr>
          <w:rFonts w:ascii="Verdana" w:hAnsi="Verdana"/>
          <w:spacing w:val="-2"/>
          <w:sz w:val="20"/>
          <w:szCs w:val="20"/>
        </w:rPr>
        <w:t>”</w:t>
      </w:r>
      <w:r w:rsidR="00CC10E2" w:rsidRPr="0038373F">
        <w:rPr>
          <w:rStyle w:val="FootnoteReference"/>
          <w:rFonts w:ascii="Verdana" w:hAnsi="Verdana"/>
          <w:spacing w:val="-2"/>
          <w:sz w:val="20"/>
          <w:szCs w:val="20"/>
        </w:rPr>
        <w:footnoteReference w:id="1"/>
      </w:r>
      <w:r w:rsidR="00A26DF1" w:rsidRPr="0038373F">
        <w:rPr>
          <w:rFonts w:ascii="Verdana" w:hAnsi="Verdana"/>
          <w:spacing w:val="-2"/>
          <w:sz w:val="20"/>
          <w:szCs w:val="20"/>
        </w:rPr>
        <w:t xml:space="preserve"> </w:t>
      </w:r>
      <w:r w:rsidR="005436AF" w:rsidRPr="0038373F">
        <w:rPr>
          <w:rFonts w:ascii="Verdana" w:hAnsi="Verdana"/>
          <w:spacing w:val="-2"/>
          <w:sz w:val="20"/>
          <w:szCs w:val="20"/>
        </w:rPr>
        <w:t xml:space="preserve">It should also be pointed out, in support of my position, </w:t>
      </w:r>
      <w:r w:rsidR="00387711" w:rsidRPr="0038373F">
        <w:rPr>
          <w:rFonts w:ascii="Verdana" w:hAnsi="Verdana"/>
          <w:spacing w:val="-2"/>
          <w:sz w:val="20"/>
          <w:szCs w:val="20"/>
        </w:rPr>
        <w:t xml:space="preserve">that </w:t>
      </w:r>
      <w:r w:rsidR="00FC21AA" w:rsidRPr="0038373F">
        <w:rPr>
          <w:rFonts w:ascii="Verdana" w:hAnsi="Verdana"/>
          <w:spacing w:val="-2"/>
          <w:sz w:val="20"/>
          <w:szCs w:val="20"/>
        </w:rPr>
        <w:t>this is</w:t>
      </w:r>
      <w:r w:rsidR="00387711" w:rsidRPr="0038373F">
        <w:rPr>
          <w:rFonts w:ascii="Verdana" w:hAnsi="Verdana"/>
          <w:spacing w:val="-2"/>
          <w:sz w:val="20"/>
          <w:szCs w:val="20"/>
        </w:rPr>
        <w:t xml:space="preserve"> base</w:t>
      </w:r>
      <w:r w:rsidR="00FC21AA" w:rsidRPr="0038373F">
        <w:rPr>
          <w:rFonts w:ascii="Verdana" w:hAnsi="Verdana"/>
          <w:spacing w:val="-2"/>
          <w:sz w:val="20"/>
          <w:szCs w:val="20"/>
        </w:rPr>
        <w:t>d</w:t>
      </w:r>
      <w:r w:rsidR="00387711" w:rsidRPr="0038373F">
        <w:rPr>
          <w:rFonts w:ascii="Verdana" w:hAnsi="Verdana"/>
          <w:spacing w:val="-2"/>
          <w:sz w:val="20"/>
          <w:szCs w:val="20"/>
        </w:rPr>
        <w:t xml:space="preserve"> specifically on the contents of Advisory Opinion OC-23 where the Court examined the </w:t>
      </w:r>
      <w:r w:rsidR="00387711" w:rsidRPr="0038373F">
        <w:rPr>
          <w:rFonts w:ascii="Verdana" w:hAnsi="Verdana"/>
          <w:spacing w:val="-2"/>
          <w:sz w:val="20"/>
          <w:szCs w:val="20"/>
        </w:rPr>
        <w:lastRenderedPageBreak/>
        <w:t>request presented by a State arguing that the individual petition that was being processed and had been highlighted by the Commission had not been declared admissible.</w:t>
      </w:r>
      <w:r w:rsidR="00CC10E2" w:rsidRPr="0038373F">
        <w:rPr>
          <w:rStyle w:val="FootnoteReference"/>
          <w:rFonts w:ascii="Verdana" w:hAnsi="Verdana"/>
          <w:spacing w:val="-2"/>
          <w:sz w:val="20"/>
          <w:szCs w:val="20"/>
        </w:rPr>
        <w:footnoteReference w:id="2"/>
      </w:r>
      <w:r w:rsidR="00387711" w:rsidRPr="0038373F">
        <w:rPr>
          <w:rFonts w:ascii="Verdana" w:hAnsi="Verdana"/>
          <w:spacing w:val="-2"/>
          <w:sz w:val="20"/>
          <w:szCs w:val="20"/>
        </w:rPr>
        <w:t xml:space="preserve"> A situation that is similar to the present request for an advisory opinion</w:t>
      </w:r>
      <w:r w:rsidR="008D3C09" w:rsidRPr="0038373F">
        <w:rPr>
          <w:rFonts w:ascii="Verdana" w:hAnsi="Verdana"/>
          <w:spacing w:val="-2"/>
          <w:sz w:val="20"/>
          <w:szCs w:val="20"/>
        </w:rPr>
        <w:t>.</w:t>
      </w:r>
      <w:r w:rsidR="00DF2840" w:rsidRPr="0038373F">
        <w:rPr>
          <w:rFonts w:ascii="Verdana" w:hAnsi="Verdana"/>
          <w:sz w:val="20"/>
          <w:szCs w:val="20"/>
        </w:rPr>
        <w:t xml:space="preserve"> </w:t>
      </w:r>
    </w:p>
    <w:p w14:paraId="06C70877" w14:textId="77777777" w:rsidR="00C3085D" w:rsidRPr="0038373F" w:rsidRDefault="00C3085D" w:rsidP="00514E6E">
      <w:pPr>
        <w:jc w:val="both"/>
        <w:rPr>
          <w:rFonts w:ascii="Verdana" w:hAnsi="Verdana"/>
          <w:lang w:val="en-US"/>
        </w:rPr>
      </w:pPr>
    </w:p>
    <w:p w14:paraId="496BD4E0" w14:textId="33911C93" w:rsidR="00E7431E" w:rsidRPr="0038373F" w:rsidRDefault="00387711" w:rsidP="005429AE">
      <w:pPr>
        <w:pStyle w:val="ListParagraph"/>
        <w:numPr>
          <w:ilvl w:val="0"/>
          <w:numId w:val="13"/>
        </w:numPr>
        <w:ind w:left="0" w:firstLine="0"/>
        <w:jc w:val="both"/>
        <w:rPr>
          <w:rFonts w:ascii="Verdana" w:hAnsi="Verdana"/>
          <w:sz w:val="20"/>
          <w:szCs w:val="20"/>
        </w:rPr>
      </w:pPr>
      <w:r w:rsidRPr="0038373F">
        <w:rPr>
          <w:rFonts w:ascii="Verdana" w:hAnsi="Verdana"/>
          <w:sz w:val="20"/>
          <w:szCs w:val="20"/>
        </w:rPr>
        <w:t xml:space="preserve">I ratify my position </w:t>
      </w:r>
      <w:r w:rsidR="005429AE" w:rsidRPr="0038373F">
        <w:rPr>
          <w:rFonts w:ascii="Verdana" w:hAnsi="Verdana"/>
          <w:sz w:val="20"/>
          <w:szCs w:val="20"/>
        </w:rPr>
        <w:t xml:space="preserve">in </w:t>
      </w:r>
      <w:r w:rsidRPr="0038373F">
        <w:rPr>
          <w:rFonts w:ascii="Verdana" w:hAnsi="Verdana"/>
          <w:sz w:val="20"/>
          <w:szCs w:val="20"/>
        </w:rPr>
        <w:t>agree</w:t>
      </w:r>
      <w:r w:rsidR="005429AE" w:rsidRPr="0038373F">
        <w:rPr>
          <w:rFonts w:ascii="Verdana" w:hAnsi="Verdana"/>
          <w:sz w:val="20"/>
          <w:szCs w:val="20"/>
        </w:rPr>
        <w:t>ment</w:t>
      </w:r>
      <w:r w:rsidRPr="0038373F">
        <w:rPr>
          <w:rFonts w:ascii="Verdana" w:hAnsi="Verdana"/>
          <w:sz w:val="20"/>
          <w:szCs w:val="20"/>
        </w:rPr>
        <w:t xml:space="preserve"> with the Court when it assumed and </w:t>
      </w:r>
      <w:r w:rsidR="005429AE" w:rsidRPr="0038373F">
        <w:rPr>
          <w:rFonts w:ascii="Verdana" w:hAnsi="Verdana"/>
          <w:sz w:val="20"/>
          <w:szCs w:val="20"/>
        </w:rPr>
        <w:t>found it admissible to examine</w:t>
      </w:r>
      <w:r w:rsidRPr="0038373F">
        <w:rPr>
          <w:rFonts w:ascii="Verdana" w:hAnsi="Verdana"/>
          <w:sz w:val="20"/>
          <w:szCs w:val="20"/>
        </w:rPr>
        <w:t xml:space="preserve"> the question</w:t>
      </w:r>
      <w:r w:rsidR="005429AE" w:rsidRPr="0038373F">
        <w:rPr>
          <w:rFonts w:ascii="Verdana" w:hAnsi="Verdana"/>
          <w:sz w:val="20"/>
          <w:szCs w:val="20"/>
        </w:rPr>
        <w:t>s</w:t>
      </w:r>
      <w:r w:rsidRPr="0038373F">
        <w:rPr>
          <w:rFonts w:ascii="Verdana" w:hAnsi="Verdana"/>
          <w:sz w:val="20"/>
          <w:szCs w:val="20"/>
        </w:rPr>
        <w:t xml:space="preserve"> in Advisory Opinion OC-24, recently adopted by the </w:t>
      </w:r>
      <w:r w:rsidR="005429AE" w:rsidRPr="0038373F">
        <w:rPr>
          <w:rFonts w:ascii="Verdana" w:hAnsi="Verdana"/>
          <w:sz w:val="20"/>
          <w:szCs w:val="20"/>
        </w:rPr>
        <w:t xml:space="preserve">full </w:t>
      </w:r>
      <w:r w:rsidRPr="0038373F">
        <w:rPr>
          <w:rFonts w:ascii="Verdana" w:hAnsi="Verdana"/>
          <w:sz w:val="20"/>
          <w:szCs w:val="20"/>
        </w:rPr>
        <w:t xml:space="preserve">Court, </w:t>
      </w:r>
      <w:r w:rsidR="005429AE" w:rsidRPr="0038373F">
        <w:rPr>
          <w:rFonts w:ascii="Verdana" w:hAnsi="Verdana"/>
          <w:sz w:val="20"/>
          <w:szCs w:val="20"/>
        </w:rPr>
        <w:t xml:space="preserve">and in </w:t>
      </w:r>
      <w:r w:rsidRPr="0038373F">
        <w:rPr>
          <w:rFonts w:ascii="Verdana" w:hAnsi="Verdana"/>
          <w:sz w:val="20"/>
          <w:szCs w:val="20"/>
        </w:rPr>
        <w:t>wh</w:t>
      </w:r>
      <w:r w:rsidR="005429AE" w:rsidRPr="0038373F">
        <w:rPr>
          <w:rFonts w:ascii="Verdana" w:hAnsi="Verdana"/>
          <w:sz w:val="20"/>
          <w:szCs w:val="20"/>
        </w:rPr>
        <w:t>ich</w:t>
      </w:r>
      <w:r w:rsidRPr="0038373F">
        <w:rPr>
          <w:rFonts w:ascii="Verdana" w:hAnsi="Verdana"/>
          <w:sz w:val="20"/>
          <w:szCs w:val="20"/>
        </w:rPr>
        <w:t xml:space="preserve"> it clearly established that</w:t>
      </w:r>
      <w:r w:rsidR="005429AE" w:rsidRPr="0038373F">
        <w:rPr>
          <w:rFonts w:ascii="Verdana" w:hAnsi="Verdana"/>
          <w:sz w:val="20"/>
          <w:szCs w:val="20"/>
        </w:rPr>
        <w:t xml:space="preserve"> the Court “must go beyond the formalism that would prevent [it] from considering questions that have a juridical interest for the protection and promotion of human rights</w:t>
      </w:r>
      <w:r w:rsidR="00CC10E2" w:rsidRPr="0038373F">
        <w:rPr>
          <w:rFonts w:ascii="Verdana" w:hAnsi="Verdana"/>
          <w:sz w:val="20"/>
          <w:szCs w:val="20"/>
        </w:rPr>
        <w:t>”</w:t>
      </w:r>
      <w:r w:rsidR="00CC10E2" w:rsidRPr="0038373F">
        <w:rPr>
          <w:rStyle w:val="FootnoteReference"/>
          <w:rFonts w:ascii="Verdana" w:hAnsi="Verdana"/>
          <w:sz w:val="20"/>
          <w:szCs w:val="20"/>
        </w:rPr>
        <w:footnoteReference w:id="3"/>
      </w:r>
      <w:r w:rsidR="001E2477" w:rsidRPr="0038373F">
        <w:rPr>
          <w:rFonts w:ascii="Verdana" w:hAnsi="Verdana"/>
          <w:sz w:val="20"/>
          <w:szCs w:val="20"/>
        </w:rPr>
        <w:t xml:space="preserve"> </w:t>
      </w:r>
      <w:r w:rsidR="005429AE" w:rsidRPr="0038373F">
        <w:rPr>
          <w:rFonts w:ascii="Verdana" w:hAnsi="Verdana"/>
          <w:sz w:val="20"/>
          <w:szCs w:val="20"/>
        </w:rPr>
        <w:t>while stating</w:t>
      </w:r>
      <w:r w:rsidR="00E7431E" w:rsidRPr="0038373F">
        <w:rPr>
          <w:rFonts w:ascii="Verdana" w:hAnsi="Verdana"/>
          <w:sz w:val="20"/>
          <w:szCs w:val="20"/>
        </w:rPr>
        <w:t xml:space="preserve"> that i</w:t>
      </w:r>
      <w:r w:rsidR="005429AE" w:rsidRPr="0038373F">
        <w:rPr>
          <w:rFonts w:ascii="Verdana" w:hAnsi="Verdana"/>
          <w:sz w:val="20"/>
          <w:szCs w:val="20"/>
        </w:rPr>
        <w:t>t</w:t>
      </w:r>
      <w:r w:rsidR="00E7431E" w:rsidRPr="0038373F">
        <w:rPr>
          <w:rFonts w:ascii="Verdana" w:hAnsi="Verdana"/>
          <w:sz w:val="20"/>
          <w:szCs w:val="20"/>
        </w:rPr>
        <w:t xml:space="preserve">s </w:t>
      </w:r>
      <w:r w:rsidR="003C50E4" w:rsidRPr="0038373F">
        <w:rPr>
          <w:rFonts w:ascii="Verdana" w:hAnsi="Verdana"/>
          <w:sz w:val="20"/>
          <w:szCs w:val="20"/>
        </w:rPr>
        <w:t>“</w:t>
      </w:r>
      <w:r w:rsidR="00E7431E" w:rsidRPr="0038373F">
        <w:rPr>
          <w:rFonts w:ascii="Verdana" w:hAnsi="Verdana"/>
          <w:sz w:val="20"/>
          <w:szCs w:val="20"/>
        </w:rPr>
        <w:t xml:space="preserve">advisory competence should not, in principle, be </w:t>
      </w:r>
      <w:r w:rsidR="005429AE" w:rsidRPr="0038373F">
        <w:rPr>
          <w:rFonts w:ascii="Verdana" w:hAnsi="Verdana"/>
          <w:sz w:val="20"/>
          <w:szCs w:val="20"/>
        </w:rPr>
        <w:t>used for</w:t>
      </w:r>
      <w:r w:rsidR="00E7431E" w:rsidRPr="0038373F">
        <w:rPr>
          <w:rFonts w:ascii="Verdana" w:hAnsi="Verdana"/>
          <w:sz w:val="20"/>
          <w:szCs w:val="20"/>
        </w:rPr>
        <w:t xml:space="preserve"> abstract speculations with</w:t>
      </w:r>
      <w:r w:rsidR="005429AE" w:rsidRPr="0038373F">
        <w:rPr>
          <w:rFonts w:ascii="Verdana" w:hAnsi="Verdana"/>
          <w:sz w:val="20"/>
          <w:szCs w:val="20"/>
        </w:rPr>
        <w:t>out a</w:t>
      </w:r>
      <w:r w:rsidR="00E7431E" w:rsidRPr="0038373F">
        <w:rPr>
          <w:rFonts w:ascii="Verdana" w:hAnsi="Verdana"/>
          <w:sz w:val="20"/>
          <w:szCs w:val="20"/>
        </w:rPr>
        <w:t xml:space="preserve"> foreseeable application to specific situations that justify </w:t>
      </w:r>
      <w:r w:rsidR="003C50E4" w:rsidRPr="0038373F">
        <w:rPr>
          <w:rFonts w:ascii="Verdana" w:hAnsi="Verdana"/>
          <w:sz w:val="20"/>
          <w:szCs w:val="20"/>
        </w:rPr>
        <w:t>the</w:t>
      </w:r>
      <w:r w:rsidR="00E7431E" w:rsidRPr="0038373F">
        <w:rPr>
          <w:rFonts w:ascii="Verdana" w:hAnsi="Verdana"/>
          <w:sz w:val="20"/>
          <w:szCs w:val="20"/>
        </w:rPr>
        <w:t xml:space="preserve"> issu</w:t>
      </w:r>
      <w:r w:rsidR="003C50E4" w:rsidRPr="0038373F">
        <w:rPr>
          <w:rFonts w:ascii="Verdana" w:hAnsi="Verdana"/>
          <w:sz w:val="20"/>
          <w:szCs w:val="20"/>
        </w:rPr>
        <w:t>e of</w:t>
      </w:r>
      <w:r w:rsidR="00E7431E" w:rsidRPr="0038373F">
        <w:rPr>
          <w:rFonts w:ascii="Verdana" w:hAnsi="Verdana"/>
          <w:sz w:val="20"/>
          <w:szCs w:val="20"/>
        </w:rPr>
        <w:t xml:space="preserve"> an advisory opinion.</w:t>
      </w:r>
      <w:r w:rsidR="003C50E4" w:rsidRPr="0038373F">
        <w:rPr>
          <w:rFonts w:ascii="Verdana" w:hAnsi="Verdana"/>
          <w:sz w:val="20"/>
          <w:szCs w:val="20"/>
        </w:rPr>
        <w:t>”</w:t>
      </w:r>
      <w:r w:rsidR="00CC10E2" w:rsidRPr="0038373F">
        <w:rPr>
          <w:rStyle w:val="FootnoteReference"/>
          <w:rFonts w:ascii="Verdana" w:eastAsia="Times" w:hAnsi="Verdana"/>
          <w:sz w:val="20"/>
          <w:szCs w:val="20"/>
        </w:rPr>
        <w:footnoteReference w:id="4"/>
      </w:r>
      <w:r w:rsidR="00600A6B" w:rsidRPr="0038373F">
        <w:rPr>
          <w:rFonts w:ascii="Verdana" w:hAnsi="Verdana"/>
          <w:sz w:val="20"/>
          <w:szCs w:val="20"/>
        </w:rPr>
        <w:t xml:space="preserve"> </w:t>
      </w:r>
      <w:r w:rsidR="00E7431E" w:rsidRPr="0038373F">
        <w:rPr>
          <w:rFonts w:ascii="Verdana" w:hAnsi="Verdana"/>
          <w:sz w:val="20"/>
          <w:szCs w:val="20"/>
        </w:rPr>
        <w:t>Thus, the Court considered, correctly in my opinion, that the advisory function enables the Court “to perform a service for all the members of the inter-American system and is designed to assist them in fulfilling their international human rights obligation.”</w:t>
      </w:r>
      <w:r w:rsidR="00CC10E2" w:rsidRPr="0038373F">
        <w:rPr>
          <w:rStyle w:val="FootnoteReference"/>
          <w:rFonts w:ascii="Verdana" w:hAnsi="Verdana"/>
          <w:sz w:val="20"/>
          <w:szCs w:val="20"/>
        </w:rPr>
        <w:footnoteReference w:id="5"/>
      </w:r>
      <w:r w:rsidR="00E7431E" w:rsidRPr="0038373F">
        <w:rPr>
          <w:rFonts w:ascii="Verdana" w:hAnsi="Verdana"/>
          <w:sz w:val="20"/>
          <w:szCs w:val="20"/>
        </w:rPr>
        <w:t xml:space="preserve"> It is my belief, </w:t>
      </w:r>
      <w:r w:rsidR="003C50E4" w:rsidRPr="0038373F">
        <w:rPr>
          <w:rFonts w:ascii="Verdana" w:hAnsi="Verdana"/>
          <w:sz w:val="20"/>
          <w:szCs w:val="20"/>
        </w:rPr>
        <w:t xml:space="preserve">based on </w:t>
      </w:r>
      <w:r w:rsidR="00E7431E" w:rsidRPr="0038373F">
        <w:rPr>
          <w:rFonts w:ascii="Verdana" w:hAnsi="Verdana"/>
          <w:sz w:val="20"/>
          <w:szCs w:val="20"/>
        </w:rPr>
        <w:t>my academic training and professional career in the judiciary</w:t>
      </w:r>
      <w:r w:rsidR="003C50E4" w:rsidRPr="0038373F">
        <w:rPr>
          <w:rFonts w:ascii="Verdana" w:hAnsi="Verdana"/>
          <w:sz w:val="20"/>
          <w:szCs w:val="20"/>
        </w:rPr>
        <w:t>,</w:t>
      </w:r>
      <w:r w:rsidR="00E7431E" w:rsidRPr="0038373F">
        <w:rPr>
          <w:rFonts w:ascii="Verdana" w:hAnsi="Verdana"/>
          <w:sz w:val="20"/>
          <w:szCs w:val="20"/>
        </w:rPr>
        <w:t xml:space="preserve"> that human rights are realized, ensured and strengthened in the sphere of concrete realities, in specific social, political, legal, economic and cultural contexts. This perception, which I have incorporated</w:t>
      </w:r>
      <w:r w:rsidR="009A412E" w:rsidRPr="0038373F">
        <w:rPr>
          <w:rFonts w:ascii="Verdana" w:hAnsi="Verdana"/>
          <w:sz w:val="20"/>
          <w:szCs w:val="20"/>
        </w:rPr>
        <w:t xml:space="preserve"> in</w:t>
      </w:r>
      <w:r w:rsidR="00552871" w:rsidRPr="0038373F">
        <w:rPr>
          <w:rFonts w:ascii="Verdana" w:hAnsi="Verdana"/>
          <w:sz w:val="20"/>
          <w:szCs w:val="20"/>
        </w:rPr>
        <w:t>to</w:t>
      </w:r>
      <w:r w:rsidR="009A412E" w:rsidRPr="0038373F">
        <w:rPr>
          <w:rFonts w:ascii="Verdana" w:hAnsi="Verdana"/>
          <w:sz w:val="20"/>
          <w:szCs w:val="20"/>
        </w:rPr>
        <w:t xml:space="preserve"> many rulings, jurisdictional presentations, and academic texts, </w:t>
      </w:r>
      <w:r w:rsidR="003C50E4" w:rsidRPr="0038373F">
        <w:rPr>
          <w:rFonts w:ascii="Verdana" w:hAnsi="Verdana"/>
          <w:sz w:val="20"/>
          <w:szCs w:val="20"/>
        </w:rPr>
        <w:t>means that I cannot</w:t>
      </w:r>
      <w:r w:rsidR="009A412E" w:rsidRPr="0038373F">
        <w:rPr>
          <w:rFonts w:ascii="Verdana" w:hAnsi="Verdana"/>
          <w:sz w:val="20"/>
          <w:szCs w:val="20"/>
        </w:rPr>
        <w:t xml:space="preserve"> ignore or overlook what is happening in the region, or be apathetic or permissive </w:t>
      </w:r>
      <w:r w:rsidR="003C50E4" w:rsidRPr="0038373F">
        <w:rPr>
          <w:rFonts w:ascii="Verdana" w:hAnsi="Verdana"/>
          <w:sz w:val="20"/>
          <w:szCs w:val="20"/>
        </w:rPr>
        <w:t>in the face of</w:t>
      </w:r>
      <w:r w:rsidR="009A412E" w:rsidRPr="0038373F">
        <w:rPr>
          <w:rFonts w:ascii="Verdana" w:hAnsi="Verdana"/>
          <w:sz w:val="20"/>
          <w:szCs w:val="20"/>
        </w:rPr>
        <w:t xml:space="preserve"> facts, situations and actions that not only weak the institutional framework of the States but</w:t>
      </w:r>
      <w:r w:rsidR="003C50E4" w:rsidRPr="0038373F">
        <w:rPr>
          <w:rFonts w:ascii="Verdana" w:hAnsi="Verdana"/>
          <w:sz w:val="20"/>
          <w:szCs w:val="20"/>
        </w:rPr>
        <w:t>,</w:t>
      </w:r>
      <w:r w:rsidR="009A412E" w:rsidRPr="0038373F">
        <w:rPr>
          <w:rFonts w:ascii="Verdana" w:hAnsi="Verdana"/>
          <w:sz w:val="20"/>
          <w:szCs w:val="20"/>
        </w:rPr>
        <w:t xml:space="preserve"> at the same time</w:t>
      </w:r>
      <w:r w:rsidR="003C50E4" w:rsidRPr="0038373F">
        <w:rPr>
          <w:rFonts w:ascii="Verdana" w:hAnsi="Verdana"/>
          <w:sz w:val="20"/>
          <w:szCs w:val="20"/>
        </w:rPr>
        <w:t>,</w:t>
      </w:r>
      <w:r w:rsidR="009A412E" w:rsidRPr="0038373F">
        <w:rPr>
          <w:rFonts w:ascii="Verdana" w:hAnsi="Verdana"/>
          <w:sz w:val="20"/>
          <w:szCs w:val="20"/>
        </w:rPr>
        <w:t xml:space="preserve"> threaten the survival of the democratic model and</w:t>
      </w:r>
      <w:r w:rsidR="003C50E4" w:rsidRPr="0038373F">
        <w:rPr>
          <w:rFonts w:ascii="Verdana" w:hAnsi="Verdana"/>
          <w:sz w:val="20"/>
          <w:szCs w:val="20"/>
        </w:rPr>
        <w:t>,</w:t>
      </w:r>
      <w:r w:rsidR="009A412E" w:rsidRPr="0038373F">
        <w:rPr>
          <w:rFonts w:ascii="Verdana" w:hAnsi="Verdana"/>
          <w:sz w:val="20"/>
          <w:szCs w:val="20"/>
        </w:rPr>
        <w:t xml:space="preserve"> thus</w:t>
      </w:r>
      <w:r w:rsidR="003C50E4" w:rsidRPr="0038373F">
        <w:rPr>
          <w:rFonts w:ascii="Verdana" w:hAnsi="Verdana"/>
          <w:sz w:val="20"/>
          <w:szCs w:val="20"/>
        </w:rPr>
        <w:t>,</w:t>
      </w:r>
      <w:r w:rsidR="009A412E" w:rsidRPr="0038373F">
        <w:rPr>
          <w:rFonts w:ascii="Verdana" w:hAnsi="Verdana"/>
          <w:sz w:val="20"/>
          <w:szCs w:val="20"/>
        </w:rPr>
        <w:t xml:space="preserve"> dis</w:t>
      </w:r>
      <w:r w:rsidR="003C50E4" w:rsidRPr="0038373F">
        <w:rPr>
          <w:rFonts w:ascii="Verdana" w:hAnsi="Verdana"/>
          <w:sz w:val="20"/>
          <w:szCs w:val="20"/>
        </w:rPr>
        <w:t>tor</w:t>
      </w:r>
      <w:r w:rsidR="009A412E" w:rsidRPr="0038373F">
        <w:rPr>
          <w:rFonts w:ascii="Verdana" w:hAnsi="Verdana"/>
          <w:sz w:val="20"/>
          <w:szCs w:val="20"/>
        </w:rPr>
        <w:t>t the inter-American legal system, undermining compliance with the international obligations and commitments of political leaders and States.</w:t>
      </w:r>
    </w:p>
    <w:p w14:paraId="0125606E" w14:textId="77777777" w:rsidR="0019476D" w:rsidRPr="0038373F" w:rsidRDefault="0019476D" w:rsidP="00514E6E">
      <w:pPr>
        <w:jc w:val="both"/>
        <w:rPr>
          <w:rFonts w:ascii="Verdana" w:hAnsi="Verdana"/>
          <w:lang w:val="en-US"/>
        </w:rPr>
      </w:pPr>
    </w:p>
    <w:p w14:paraId="1538636E" w14:textId="310F10D3" w:rsidR="00C46785" w:rsidRPr="0038373F" w:rsidRDefault="009A412E" w:rsidP="00192AC4">
      <w:pPr>
        <w:pStyle w:val="ListParagraph"/>
        <w:numPr>
          <w:ilvl w:val="0"/>
          <w:numId w:val="13"/>
        </w:numPr>
        <w:ind w:left="0" w:firstLine="0"/>
        <w:jc w:val="both"/>
        <w:rPr>
          <w:rFonts w:ascii="Verdana" w:hAnsi="Verdana"/>
          <w:sz w:val="20"/>
          <w:szCs w:val="20"/>
        </w:rPr>
      </w:pPr>
      <w:r w:rsidRPr="0038373F">
        <w:rPr>
          <w:rFonts w:ascii="Verdana" w:hAnsi="Verdana"/>
          <w:sz w:val="20"/>
          <w:szCs w:val="20"/>
        </w:rPr>
        <w:t xml:space="preserve">Consequently, and with regard to </w:t>
      </w:r>
      <w:r w:rsidR="003C50E4" w:rsidRPr="0038373F">
        <w:rPr>
          <w:rFonts w:ascii="Verdana" w:hAnsi="Verdana"/>
          <w:sz w:val="20"/>
          <w:szCs w:val="20"/>
        </w:rPr>
        <w:t xml:space="preserve">some </w:t>
      </w:r>
      <w:r w:rsidRPr="0038373F">
        <w:rPr>
          <w:rFonts w:ascii="Verdana" w:hAnsi="Verdana"/>
          <w:sz w:val="20"/>
          <w:szCs w:val="20"/>
        </w:rPr>
        <w:t xml:space="preserve">comments made by interested third parties during </w:t>
      </w:r>
      <w:r w:rsidR="003C50E4" w:rsidRPr="0038373F">
        <w:rPr>
          <w:rFonts w:ascii="Verdana" w:hAnsi="Verdana"/>
          <w:sz w:val="20"/>
          <w:szCs w:val="20"/>
        </w:rPr>
        <w:t xml:space="preserve">the </w:t>
      </w:r>
      <w:r w:rsidRPr="0038373F">
        <w:rPr>
          <w:rFonts w:ascii="Verdana" w:hAnsi="Verdana"/>
          <w:sz w:val="20"/>
          <w:szCs w:val="20"/>
        </w:rPr>
        <w:t xml:space="preserve">Court’s deliberations on the request, </w:t>
      </w:r>
      <w:r w:rsidR="003C50E4" w:rsidRPr="0038373F">
        <w:rPr>
          <w:rFonts w:ascii="Verdana" w:hAnsi="Verdana"/>
          <w:sz w:val="20"/>
          <w:szCs w:val="20"/>
        </w:rPr>
        <w:t xml:space="preserve">advocating </w:t>
      </w:r>
      <w:r w:rsidRPr="0038373F">
        <w:rPr>
          <w:rFonts w:ascii="Verdana" w:hAnsi="Verdana"/>
          <w:sz w:val="20"/>
          <w:szCs w:val="20"/>
        </w:rPr>
        <w:t xml:space="preserve">that the Court not examine it because </w:t>
      </w:r>
      <w:r w:rsidR="003C50E4" w:rsidRPr="0038373F">
        <w:rPr>
          <w:rFonts w:ascii="Verdana" w:hAnsi="Verdana"/>
          <w:sz w:val="20"/>
          <w:szCs w:val="20"/>
        </w:rPr>
        <w:t>caution</w:t>
      </w:r>
      <w:r w:rsidR="00FD7371" w:rsidRPr="0038373F">
        <w:rPr>
          <w:rFonts w:ascii="Verdana" w:hAnsi="Verdana"/>
          <w:sz w:val="20"/>
          <w:szCs w:val="20"/>
        </w:rPr>
        <w:t xml:space="preserve"> should be exercised</w:t>
      </w:r>
      <w:r w:rsidRPr="0038373F">
        <w:rPr>
          <w:rFonts w:ascii="Verdana" w:hAnsi="Verdana"/>
          <w:sz w:val="20"/>
          <w:szCs w:val="20"/>
        </w:rPr>
        <w:t xml:space="preserve"> in the case of texts that reveal</w:t>
      </w:r>
      <w:r w:rsidR="003C50E4" w:rsidRPr="0038373F">
        <w:rPr>
          <w:rFonts w:ascii="Verdana" w:hAnsi="Verdana"/>
          <w:sz w:val="20"/>
          <w:szCs w:val="20"/>
        </w:rPr>
        <w:t>ed</w:t>
      </w:r>
      <w:r w:rsidRPr="0038373F">
        <w:rPr>
          <w:rFonts w:ascii="Verdana" w:hAnsi="Verdana"/>
          <w:sz w:val="20"/>
          <w:szCs w:val="20"/>
        </w:rPr>
        <w:t xml:space="preserve"> </w:t>
      </w:r>
      <w:r w:rsidR="00FD7371" w:rsidRPr="0038373F">
        <w:rPr>
          <w:rFonts w:ascii="Verdana" w:hAnsi="Verdana"/>
          <w:sz w:val="20"/>
          <w:szCs w:val="20"/>
        </w:rPr>
        <w:t xml:space="preserve">a </w:t>
      </w:r>
      <w:r w:rsidRPr="0038373F">
        <w:rPr>
          <w:rFonts w:ascii="Verdana" w:hAnsi="Verdana"/>
          <w:sz w:val="20"/>
          <w:szCs w:val="20"/>
        </w:rPr>
        <w:t xml:space="preserve">clear or evident “political </w:t>
      </w:r>
      <w:r w:rsidR="00FD7371" w:rsidRPr="0038373F">
        <w:rPr>
          <w:rFonts w:ascii="Verdana" w:hAnsi="Verdana"/>
          <w:sz w:val="20"/>
          <w:szCs w:val="20"/>
        </w:rPr>
        <w:t>issue</w:t>
      </w:r>
      <w:r w:rsidRPr="0038373F">
        <w:rPr>
          <w:rFonts w:ascii="Verdana" w:hAnsi="Verdana"/>
          <w:sz w:val="20"/>
          <w:szCs w:val="20"/>
        </w:rPr>
        <w:t xml:space="preserve">,” I </w:t>
      </w:r>
      <w:r w:rsidR="00235D97" w:rsidRPr="0038373F">
        <w:rPr>
          <w:rFonts w:ascii="Verdana" w:hAnsi="Verdana"/>
          <w:sz w:val="20"/>
          <w:szCs w:val="20"/>
        </w:rPr>
        <w:t>would like to place on record my explicit object</w:t>
      </w:r>
      <w:r w:rsidR="00192AC4" w:rsidRPr="0038373F">
        <w:rPr>
          <w:rFonts w:ascii="Verdana" w:hAnsi="Verdana"/>
          <w:sz w:val="20"/>
          <w:szCs w:val="20"/>
        </w:rPr>
        <w:t>ion</w:t>
      </w:r>
      <w:r w:rsidR="00235D97" w:rsidRPr="0038373F">
        <w:rPr>
          <w:rFonts w:ascii="Verdana" w:hAnsi="Verdana"/>
          <w:sz w:val="20"/>
          <w:szCs w:val="20"/>
        </w:rPr>
        <w:t xml:space="preserve"> to the said reasoning and </w:t>
      </w:r>
      <w:r w:rsidR="003C50E4" w:rsidRPr="0038373F">
        <w:rPr>
          <w:rFonts w:ascii="Verdana" w:hAnsi="Verdana"/>
          <w:sz w:val="20"/>
          <w:szCs w:val="20"/>
        </w:rPr>
        <w:t>endorse</w:t>
      </w:r>
      <w:r w:rsidR="00235D97" w:rsidRPr="0038373F">
        <w:rPr>
          <w:rFonts w:ascii="Verdana" w:hAnsi="Verdana"/>
          <w:sz w:val="20"/>
          <w:szCs w:val="20"/>
        </w:rPr>
        <w:t xml:space="preserve"> </w:t>
      </w:r>
      <w:r w:rsidR="007F5D93" w:rsidRPr="0038373F">
        <w:rPr>
          <w:rFonts w:ascii="Verdana" w:hAnsi="Verdana"/>
          <w:sz w:val="20"/>
          <w:szCs w:val="20"/>
        </w:rPr>
        <w:t>the</w:t>
      </w:r>
      <w:r w:rsidR="002254D8" w:rsidRPr="0038373F">
        <w:rPr>
          <w:rFonts w:ascii="Verdana" w:hAnsi="Verdana"/>
          <w:sz w:val="20"/>
          <w:szCs w:val="20"/>
        </w:rPr>
        <w:t xml:space="preserve"> </w:t>
      </w:r>
      <w:r w:rsidR="007F5D93" w:rsidRPr="0038373F">
        <w:rPr>
          <w:rFonts w:ascii="Verdana" w:hAnsi="Verdana"/>
          <w:sz w:val="20"/>
          <w:szCs w:val="20"/>
        </w:rPr>
        <w:t>ruling of the International Court of Justice,</w:t>
      </w:r>
      <w:r w:rsidR="002D41B3" w:rsidRPr="0038373F">
        <w:rPr>
          <w:rStyle w:val="FootnoteReference"/>
          <w:rFonts w:ascii="Verdana" w:hAnsi="Verdana"/>
          <w:sz w:val="20"/>
          <w:szCs w:val="20"/>
        </w:rPr>
        <w:footnoteReference w:id="6"/>
      </w:r>
      <w:r w:rsidR="00C46785" w:rsidRPr="0038373F">
        <w:rPr>
          <w:rFonts w:ascii="Verdana" w:hAnsi="Verdana"/>
          <w:sz w:val="20"/>
          <w:szCs w:val="20"/>
        </w:rPr>
        <w:t xml:space="preserve"> </w:t>
      </w:r>
      <w:r w:rsidR="00192AC4" w:rsidRPr="0038373F">
        <w:rPr>
          <w:rFonts w:ascii="Verdana" w:hAnsi="Verdana"/>
          <w:sz w:val="20"/>
          <w:szCs w:val="20"/>
        </w:rPr>
        <w:t xml:space="preserve">in the sense that those requests that </w:t>
      </w:r>
      <w:r w:rsidR="003C50E4" w:rsidRPr="0038373F">
        <w:rPr>
          <w:rFonts w:ascii="Verdana" w:hAnsi="Verdana"/>
          <w:sz w:val="20"/>
          <w:szCs w:val="20"/>
        </w:rPr>
        <w:t>involve</w:t>
      </w:r>
      <w:r w:rsidR="00192AC4" w:rsidRPr="0038373F">
        <w:rPr>
          <w:rFonts w:ascii="Verdana" w:hAnsi="Verdana"/>
          <w:sz w:val="20"/>
          <w:szCs w:val="20"/>
        </w:rPr>
        <w:t xml:space="preserve"> political </w:t>
      </w:r>
      <w:r w:rsidR="00FD7371" w:rsidRPr="0038373F">
        <w:rPr>
          <w:rFonts w:ascii="Verdana" w:hAnsi="Verdana"/>
          <w:sz w:val="20"/>
          <w:szCs w:val="20"/>
        </w:rPr>
        <w:t>aspects</w:t>
      </w:r>
      <w:r w:rsidR="00B37973" w:rsidRPr="0038373F">
        <w:rPr>
          <w:rFonts w:ascii="Verdana" w:hAnsi="Verdana"/>
          <w:sz w:val="20"/>
          <w:szCs w:val="20"/>
        </w:rPr>
        <w:t xml:space="preserve"> – a</w:t>
      </w:r>
      <w:r w:rsidR="00192AC4" w:rsidRPr="0038373F">
        <w:rPr>
          <w:rFonts w:ascii="Verdana" w:hAnsi="Verdana"/>
          <w:sz w:val="20"/>
          <w:szCs w:val="20"/>
        </w:rPr>
        <w:t xml:space="preserve"> legitimate right of those presenting requests and those submitting observations</w:t>
      </w:r>
      <w:r w:rsidR="00B37973" w:rsidRPr="0038373F">
        <w:rPr>
          <w:rFonts w:ascii="Verdana" w:hAnsi="Verdana"/>
          <w:sz w:val="20"/>
          <w:szCs w:val="20"/>
        </w:rPr>
        <w:t xml:space="preserve"> – can</w:t>
      </w:r>
      <w:r w:rsidR="00192AC4" w:rsidRPr="0038373F">
        <w:rPr>
          <w:rFonts w:ascii="Verdana" w:hAnsi="Verdana"/>
          <w:sz w:val="20"/>
          <w:szCs w:val="20"/>
        </w:rPr>
        <w:t xml:space="preserve"> never </w:t>
      </w:r>
      <w:r w:rsidR="00B37973" w:rsidRPr="0038373F">
        <w:rPr>
          <w:rFonts w:ascii="Verdana" w:hAnsi="Verdana"/>
          <w:sz w:val="20"/>
          <w:szCs w:val="20"/>
        </w:rPr>
        <w:t>prevent</w:t>
      </w:r>
      <w:r w:rsidR="00192AC4" w:rsidRPr="0038373F">
        <w:rPr>
          <w:rFonts w:ascii="Verdana" w:hAnsi="Verdana"/>
          <w:sz w:val="20"/>
          <w:szCs w:val="20"/>
        </w:rPr>
        <w:t xml:space="preserve"> </w:t>
      </w:r>
      <w:r w:rsidR="00192AC4" w:rsidRPr="0038373F">
        <w:rPr>
          <w:rFonts w:ascii="Verdana" w:hAnsi="Verdana"/>
          <w:i/>
          <w:sz w:val="20"/>
          <w:szCs w:val="20"/>
        </w:rPr>
        <w:t>per se</w:t>
      </w:r>
      <w:r w:rsidR="00192AC4" w:rsidRPr="0038373F">
        <w:rPr>
          <w:rFonts w:ascii="Verdana" w:hAnsi="Verdana"/>
          <w:sz w:val="20"/>
          <w:szCs w:val="20"/>
        </w:rPr>
        <w:t xml:space="preserve"> the exercise of the advisory function, especially if th</w:t>
      </w:r>
      <w:r w:rsidR="00B37973" w:rsidRPr="0038373F">
        <w:rPr>
          <w:rFonts w:ascii="Verdana" w:hAnsi="Verdana"/>
          <w:sz w:val="20"/>
          <w:szCs w:val="20"/>
        </w:rPr>
        <w:t>o</w:t>
      </w:r>
      <w:r w:rsidR="00192AC4" w:rsidRPr="0038373F">
        <w:rPr>
          <w:rFonts w:ascii="Verdana" w:hAnsi="Verdana"/>
          <w:sz w:val="20"/>
          <w:szCs w:val="20"/>
        </w:rPr>
        <w:t xml:space="preserve">se </w:t>
      </w:r>
      <w:r w:rsidR="00FD7371" w:rsidRPr="0038373F">
        <w:rPr>
          <w:rFonts w:ascii="Verdana" w:hAnsi="Verdana"/>
          <w:sz w:val="20"/>
          <w:szCs w:val="20"/>
        </w:rPr>
        <w:t>aspects</w:t>
      </w:r>
      <w:r w:rsidR="00B37973" w:rsidRPr="0038373F">
        <w:rPr>
          <w:rFonts w:ascii="Verdana" w:hAnsi="Verdana"/>
          <w:sz w:val="20"/>
          <w:szCs w:val="20"/>
        </w:rPr>
        <w:t xml:space="preserve"> </w:t>
      </w:r>
      <w:r w:rsidR="00192AC4" w:rsidRPr="0038373F">
        <w:rPr>
          <w:rFonts w:ascii="Verdana" w:hAnsi="Verdana"/>
          <w:sz w:val="20"/>
          <w:szCs w:val="20"/>
        </w:rPr>
        <w:t xml:space="preserve">may lead to the sphere of a “legal </w:t>
      </w:r>
      <w:r w:rsidR="00FD7371" w:rsidRPr="0038373F">
        <w:rPr>
          <w:rFonts w:ascii="Verdana" w:hAnsi="Verdana"/>
          <w:sz w:val="20"/>
          <w:szCs w:val="20"/>
        </w:rPr>
        <w:t>issue</w:t>
      </w:r>
      <w:r w:rsidR="00192AC4" w:rsidRPr="0038373F">
        <w:rPr>
          <w:rFonts w:ascii="Verdana" w:hAnsi="Verdana"/>
          <w:sz w:val="20"/>
          <w:szCs w:val="20"/>
        </w:rPr>
        <w:t xml:space="preserve">.” Consequently, </w:t>
      </w:r>
      <w:r w:rsidR="00E618F7" w:rsidRPr="0038373F">
        <w:rPr>
          <w:rFonts w:ascii="Verdana" w:hAnsi="Verdana"/>
          <w:sz w:val="20"/>
          <w:szCs w:val="20"/>
        </w:rPr>
        <w:t xml:space="preserve">it is incumbent on the Court to provide a conventional legal </w:t>
      </w:r>
      <w:r w:rsidR="00FD7371" w:rsidRPr="0038373F">
        <w:rPr>
          <w:rFonts w:ascii="Verdana" w:hAnsi="Verdana"/>
          <w:sz w:val="20"/>
          <w:szCs w:val="20"/>
        </w:rPr>
        <w:t>interpretation of</w:t>
      </w:r>
      <w:r w:rsidR="00E618F7" w:rsidRPr="0038373F">
        <w:rPr>
          <w:rFonts w:ascii="Verdana" w:hAnsi="Verdana"/>
          <w:sz w:val="20"/>
          <w:szCs w:val="20"/>
        </w:rPr>
        <w:t xml:space="preserve"> the questions </w:t>
      </w:r>
      <w:r w:rsidR="00E618F7" w:rsidRPr="0038373F">
        <w:rPr>
          <w:rFonts w:ascii="Verdana" w:hAnsi="Verdana"/>
          <w:sz w:val="20"/>
          <w:szCs w:val="20"/>
        </w:rPr>
        <w:lastRenderedPageBreak/>
        <w:t xml:space="preserve">and concerns presented to it so that, in this way, its </w:t>
      </w:r>
      <w:r w:rsidR="005B4405" w:rsidRPr="0038373F">
        <w:rPr>
          <w:rFonts w:ascii="Verdana" w:hAnsi="Verdana"/>
          <w:i/>
          <w:sz w:val="20"/>
          <w:szCs w:val="20"/>
        </w:rPr>
        <w:t>ratio</w:t>
      </w:r>
      <w:r w:rsidR="005B4405" w:rsidRPr="0038373F">
        <w:rPr>
          <w:rFonts w:ascii="Verdana" w:hAnsi="Verdana"/>
          <w:sz w:val="20"/>
          <w:szCs w:val="20"/>
        </w:rPr>
        <w:t xml:space="preserve"> </w:t>
      </w:r>
      <w:r w:rsidR="005B4405" w:rsidRPr="0038373F">
        <w:rPr>
          <w:rFonts w:ascii="Verdana" w:hAnsi="Verdana"/>
          <w:i/>
          <w:sz w:val="20"/>
          <w:szCs w:val="20"/>
        </w:rPr>
        <w:t>decidendi</w:t>
      </w:r>
      <w:r w:rsidR="001E2477" w:rsidRPr="0038373F">
        <w:rPr>
          <w:rFonts w:ascii="Verdana" w:hAnsi="Verdana"/>
          <w:sz w:val="20"/>
          <w:szCs w:val="20"/>
        </w:rPr>
        <w:t xml:space="preserve"> and </w:t>
      </w:r>
      <w:r w:rsidR="00E618F7" w:rsidRPr="0038373F">
        <w:rPr>
          <w:rFonts w:ascii="Verdana" w:hAnsi="Verdana"/>
          <w:sz w:val="20"/>
          <w:szCs w:val="20"/>
        </w:rPr>
        <w:t>the</w:t>
      </w:r>
      <w:r w:rsidR="005B4405" w:rsidRPr="0038373F">
        <w:rPr>
          <w:rFonts w:ascii="Verdana" w:hAnsi="Verdana"/>
          <w:sz w:val="20"/>
          <w:szCs w:val="20"/>
        </w:rPr>
        <w:t xml:space="preserve"> </w:t>
      </w:r>
      <w:r w:rsidR="005B4405" w:rsidRPr="0038373F">
        <w:rPr>
          <w:rFonts w:ascii="Verdana" w:hAnsi="Verdana"/>
          <w:i/>
          <w:sz w:val="20"/>
          <w:szCs w:val="20"/>
        </w:rPr>
        <w:t>resolusium</w:t>
      </w:r>
      <w:r w:rsidR="005B4405" w:rsidRPr="0038373F">
        <w:rPr>
          <w:rFonts w:ascii="Verdana" w:hAnsi="Verdana"/>
          <w:sz w:val="20"/>
          <w:szCs w:val="20"/>
        </w:rPr>
        <w:t xml:space="preserve"> </w:t>
      </w:r>
      <w:r w:rsidR="00E618F7" w:rsidRPr="0038373F">
        <w:rPr>
          <w:rFonts w:ascii="Verdana" w:hAnsi="Verdana"/>
          <w:sz w:val="20"/>
          <w:szCs w:val="20"/>
        </w:rPr>
        <w:t>may contribute to inter-American</w:t>
      </w:r>
      <w:r w:rsidR="005B4405" w:rsidRPr="0038373F">
        <w:rPr>
          <w:rFonts w:ascii="Verdana" w:hAnsi="Verdana"/>
          <w:sz w:val="20"/>
          <w:szCs w:val="20"/>
        </w:rPr>
        <w:t xml:space="preserve"> </w:t>
      </w:r>
      <w:r w:rsidR="005B4405" w:rsidRPr="0038373F">
        <w:rPr>
          <w:rFonts w:ascii="Verdana" w:hAnsi="Verdana"/>
          <w:i/>
          <w:sz w:val="20"/>
          <w:szCs w:val="20"/>
        </w:rPr>
        <w:t>jus com</w:t>
      </w:r>
      <w:r w:rsidR="00712DF1" w:rsidRPr="0038373F">
        <w:rPr>
          <w:rFonts w:ascii="Verdana" w:hAnsi="Verdana"/>
          <w:i/>
          <w:sz w:val="20"/>
          <w:szCs w:val="20"/>
        </w:rPr>
        <w:t>m</w:t>
      </w:r>
      <w:r w:rsidR="005B4405" w:rsidRPr="0038373F">
        <w:rPr>
          <w:rFonts w:ascii="Verdana" w:hAnsi="Verdana"/>
          <w:i/>
          <w:sz w:val="20"/>
          <w:szCs w:val="20"/>
        </w:rPr>
        <w:t>un</w:t>
      </w:r>
      <w:r w:rsidR="00712DF1" w:rsidRPr="0038373F">
        <w:rPr>
          <w:rFonts w:ascii="Verdana" w:hAnsi="Verdana"/>
          <w:i/>
          <w:sz w:val="20"/>
          <w:szCs w:val="20"/>
        </w:rPr>
        <w:t>e</w:t>
      </w:r>
      <w:r w:rsidR="005B4405" w:rsidRPr="0038373F">
        <w:rPr>
          <w:rFonts w:ascii="Verdana" w:hAnsi="Verdana"/>
          <w:sz w:val="20"/>
          <w:szCs w:val="20"/>
        </w:rPr>
        <w:t xml:space="preserve"> </w:t>
      </w:r>
      <w:r w:rsidR="001E2477" w:rsidRPr="0038373F">
        <w:rPr>
          <w:rFonts w:ascii="Verdana" w:hAnsi="Verdana"/>
          <w:sz w:val="20"/>
          <w:szCs w:val="20"/>
        </w:rPr>
        <w:t>and</w:t>
      </w:r>
      <w:r w:rsidR="00E618F7" w:rsidRPr="0038373F">
        <w:rPr>
          <w:rFonts w:ascii="Verdana" w:hAnsi="Verdana"/>
          <w:sz w:val="20"/>
          <w:szCs w:val="20"/>
        </w:rPr>
        <w:t xml:space="preserve"> to strengthening inter-American public order.</w:t>
      </w:r>
    </w:p>
    <w:p w14:paraId="5C9B5728" w14:textId="77777777" w:rsidR="00C46785" w:rsidRPr="0038373F" w:rsidRDefault="00C46785" w:rsidP="00514E6E">
      <w:pPr>
        <w:jc w:val="both"/>
        <w:rPr>
          <w:rFonts w:ascii="Verdana" w:hAnsi="Verdana"/>
          <w:lang w:val="en-US"/>
        </w:rPr>
      </w:pPr>
    </w:p>
    <w:p w14:paraId="44D70E2A" w14:textId="4AFBBC66" w:rsidR="009265FF" w:rsidRPr="0038373F" w:rsidRDefault="009265FF" w:rsidP="00514E6E">
      <w:pPr>
        <w:pStyle w:val="ListParagraph"/>
        <w:numPr>
          <w:ilvl w:val="0"/>
          <w:numId w:val="13"/>
        </w:numPr>
        <w:ind w:left="0" w:firstLine="0"/>
        <w:jc w:val="both"/>
        <w:rPr>
          <w:rFonts w:ascii="Verdana" w:hAnsi="Verdana"/>
          <w:sz w:val="20"/>
          <w:szCs w:val="20"/>
        </w:rPr>
      </w:pPr>
      <w:r w:rsidRPr="0038373F">
        <w:rPr>
          <w:rFonts w:ascii="Verdana" w:hAnsi="Verdana"/>
          <w:sz w:val="20"/>
          <w:szCs w:val="20"/>
        </w:rPr>
        <w:t xml:space="preserve">Based on the Court’s most recent precedents, in situations similar to those of this request for an advisory opinion, I consider that the Court missed an opportunity to hear </w:t>
      </w:r>
      <w:r w:rsidR="00B37973" w:rsidRPr="0038373F">
        <w:rPr>
          <w:rFonts w:ascii="Verdana" w:hAnsi="Verdana"/>
          <w:sz w:val="20"/>
          <w:szCs w:val="20"/>
        </w:rPr>
        <w:t xml:space="preserve">the </w:t>
      </w:r>
      <w:r w:rsidR="003A116F" w:rsidRPr="0038373F">
        <w:rPr>
          <w:rFonts w:ascii="Verdana" w:hAnsi="Verdana"/>
          <w:sz w:val="20"/>
          <w:szCs w:val="20"/>
        </w:rPr>
        <w:t>arguments</w:t>
      </w:r>
      <w:r w:rsidRPr="0038373F">
        <w:rPr>
          <w:rFonts w:ascii="Verdana" w:hAnsi="Verdana"/>
          <w:sz w:val="20"/>
          <w:szCs w:val="20"/>
        </w:rPr>
        <w:t xml:space="preserve"> during the respective public hearing, with the participation of States, OAS organs, and interested third parties</w:t>
      </w:r>
      <w:r w:rsidR="00B37973" w:rsidRPr="0038373F">
        <w:rPr>
          <w:rFonts w:ascii="Verdana" w:hAnsi="Verdana"/>
          <w:sz w:val="20"/>
          <w:szCs w:val="20"/>
        </w:rPr>
        <w:t xml:space="preserve">. </w:t>
      </w:r>
      <w:r w:rsidR="00FD7371" w:rsidRPr="0038373F">
        <w:rPr>
          <w:rFonts w:ascii="Verdana" w:hAnsi="Verdana"/>
          <w:sz w:val="20"/>
          <w:szCs w:val="20"/>
        </w:rPr>
        <w:t>Since a public hearing</w:t>
      </w:r>
      <w:r w:rsidRPr="0038373F">
        <w:rPr>
          <w:rFonts w:ascii="Verdana" w:hAnsi="Verdana"/>
          <w:sz w:val="20"/>
          <w:szCs w:val="20"/>
        </w:rPr>
        <w:t xml:space="preserve"> is a deliberative public forum to which the parties to a request for an advisory opinion have </w:t>
      </w:r>
      <w:r w:rsidR="00E505E2" w:rsidRPr="0038373F">
        <w:rPr>
          <w:rFonts w:ascii="Verdana" w:hAnsi="Verdana"/>
          <w:sz w:val="20"/>
          <w:szCs w:val="20"/>
        </w:rPr>
        <w:t>a</w:t>
      </w:r>
      <w:r w:rsidRPr="0038373F">
        <w:rPr>
          <w:rFonts w:ascii="Verdana" w:hAnsi="Verdana"/>
          <w:sz w:val="20"/>
          <w:szCs w:val="20"/>
        </w:rPr>
        <w:t xml:space="preserve"> right</w:t>
      </w:r>
      <w:r w:rsidR="00E505E2" w:rsidRPr="0038373F">
        <w:rPr>
          <w:rFonts w:ascii="Verdana" w:hAnsi="Verdana"/>
          <w:sz w:val="20"/>
          <w:szCs w:val="20"/>
        </w:rPr>
        <w:t xml:space="preserve"> – even</w:t>
      </w:r>
      <w:r w:rsidRPr="0038373F">
        <w:rPr>
          <w:rFonts w:ascii="Verdana" w:hAnsi="Verdana"/>
          <w:sz w:val="20"/>
          <w:szCs w:val="20"/>
        </w:rPr>
        <w:t xml:space="preserve"> though </w:t>
      </w:r>
      <w:r w:rsidR="00E505E2" w:rsidRPr="0038373F">
        <w:rPr>
          <w:rFonts w:ascii="Verdana" w:hAnsi="Verdana"/>
          <w:sz w:val="20"/>
          <w:szCs w:val="20"/>
        </w:rPr>
        <w:t>this does not involve</w:t>
      </w:r>
      <w:r w:rsidR="003A116F" w:rsidRPr="0038373F">
        <w:rPr>
          <w:rFonts w:ascii="Verdana" w:hAnsi="Verdana"/>
          <w:sz w:val="20"/>
          <w:szCs w:val="20"/>
        </w:rPr>
        <w:t xml:space="preserve"> rebuttal</w:t>
      </w:r>
      <w:r w:rsidR="00E505E2" w:rsidRPr="0038373F">
        <w:rPr>
          <w:rFonts w:ascii="Verdana" w:hAnsi="Verdana"/>
          <w:sz w:val="20"/>
          <w:szCs w:val="20"/>
        </w:rPr>
        <w:t xml:space="preserve"> </w:t>
      </w:r>
      <w:r w:rsidR="003A116F" w:rsidRPr="0038373F">
        <w:rPr>
          <w:rFonts w:ascii="Verdana" w:hAnsi="Verdana"/>
          <w:sz w:val="20"/>
          <w:szCs w:val="20"/>
        </w:rPr>
        <w:t xml:space="preserve">since </w:t>
      </w:r>
      <w:r w:rsidRPr="0038373F">
        <w:rPr>
          <w:rFonts w:ascii="Verdana" w:hAnsi="Verdana"/>
          <w:sz w:val="20"/>
          <w:szCs w:val="20"/>
        </w:rPr>
        <w:t>it is not a judicial proceeding</w:t>
      </w:r>
      <w:r w:rsidR="00E505E2" w:rsidRPr="0038373F">
        <w:rPr>
          <w:rFonts w:ascii="Verdana" w:hAnsi="Verdana"/>
          <w:sz w:val="20"/>
          <w:szCs w:val="20"/>
        </w:rPr>
        <w:t xml:space="preserve"> –</w:t>
      </w:r>
      <w:r w:rsidRPr="0038373F">
        <w:rPr>
          <w:rFonts w:ascii="Verdana" w:hAnsi="Verdana"/>
          <w:sz w:val="20"/>
          <w:szCs w:val="20"/>
        </w:rPr>
        <w:t xml:space="preserve"> they would</w:t>
      </w:r>
      <w:r w:rsidR="00E505E2" w:rsidRPr="0038373F">
        <w:rPr>
          <w:rFonts w:ascii="Verdana" w:hAnsi="Verdana"/>
          <w:sz w:val="20"/>
          <w:szCs w:val="20"/>
        </w:rPr>
        <w:t>, at least,</w:t>
      </w:r>
      <w:r w:rsidRPr="0038373F">
        <w:rPr>
          <w:rFonts w:ascii="Verdana" w:hAnsi="Verdana"/>
          <w:sz w:val="20"/>
          <w:szCs w:val="20"/>
        </w:rPr>
        <w:t xml:space="preserve"> have been able to express their opinions so that, subsequently, the Court could </w:t>
      </w:r>
      <w:r w:rsidR="00E505E2" w:rsidRPr="0038373F">
        <w:rPr>
          <w:rFonts w:ascii="Verdana" w:hAnsi="Verdana"/>
          <w:sz w:val="20"/>
          <w:szCs w:val="20"/>
        </w:rPr>
        <w:t xml:space="preserve">have </w:t>
      </w:r>
      <w:r w:rsidRPr="0038373F">
        <w:rPr>
          <w:rFonts w:ascii="Verdana" w:hAnsi="Verdana"/>
          <w:sz w:val="20"/>
          <w:szCs w:val="20"/>
        </w:rPr>
        <w:t>systematize</w:t>
      </w:r>
      <w:r w:rsidR="00E505E2" w:rsidRPr="0038373F">
        <w:rPr>
          <w:rFonts w:ascii="Verdana" w:hAnsi="Verdana"/>
          <w:sz w:val="20"/>
          <w:szCs w:val="20"/>
        </w:rPr>
        <w:t>d them</w:t>
      </w:r>
      <w:r w:rsidRPr="0038373F">
        <w:rPr>
          <w:rFonts w:ascii="Verdana" w:hAnsi="Verdana"/>
          <w:sz w:val="20"/>
          <w:szCs w:val="20"/>
        </w:rPr>
        <w:t xml:space="preserve"> and </w:t>
      </w:r>
      <w:r w:rsidR="00E505E2" w:rsidRPr="0038373F">
        <w:rPr>
          <w:rFonts w:ascii="Verdana" w:hAnsi="Verdana"/>
          <w:sz w:val="20"/>
          <w:szCs w:val="20"/>
        </w:rPr>
        <w:t>issued</w:t>
      </w:r>
      <w:r w:rsidRPr="0038373F">
        <w:rPr>
          <w:rFonts w:ascii="Verdana" w:hAnsi="Verdana"/>
          <w:sz w:val="20"/>
          <w:szCs w:val="20"/>
        </w:rPr>
        <w:t xml:space="preserve"> its conclusions and</w:t>
      </w:r>
      <w:r w:rsidR="00E505E2" w:rsidRPr="0038373F">
        <w:rPr>
          <w:rFonts w:ascii="Verdana" w:hAnsi="Verdana"/>
          <w:sz w:val="20"/>
          <w:szCs w:val="20"/>
        </w:rPr>
        <w:t>,</w:t>
      </w:r>
      <w:r w:rsidRPr="0038373F">
        <w:rPr>
          <w:rFonts w:ascii="Verdana" w:hAnsi="Verdana"/>
          <w:sz w:val="20"/>
          <w:szCs w:val="20"/>
        </w:rPr>
        <w:t xml:space="preserve"> as appropriate, </w:t>
      </w:r>
      <w:r w:rsidR="003A116F" w:rsidRPr="0038373F">
        <w:rPr>
          <w:rFonts w:ascii="Verdana" w:hAnsi="Verdana"/>
          <w:sz w:val="20"/>
          <w:szCs w:val="20"/>
        </w:rPr>
        <w:t xml:space="preserve">it would even </w:t>
      </w:r>
      <w:r w:rsidR="00E505E2" w:rsidRPr="0038373F">
        <w:rPr>
          <w:rFonts w:ascii="Verdana" w:hAnsi="Verdana"/>
          <w:sz w:val="20"/>
          <w:szCs w:val="20"/>
        </w:rPr>
        <w:t xml:space="preserve">have </w:t>
      </w:r>
      <w:r w:rsidRPr="0038373F">
        <w:rPr>
          <w:rFonts w:ascii="Verdana" w:hAnsi="Verdana"/>
          <w:sz w:val="20"/>
          <w:szCs w:val="20"/>
        </w:rPr>
        <w:t>enable</w:t>
      </w:r>
      <w:r w:rsidR="00E505E2" w:rsidRPr="0038373F">
        <w:rPr>
          <w:rFonts w:ascii="Verdana" w:hAnsi="Verdana"/>
          <w:sz w:val="20"/>
          <w:szCs w:val="20"/>
        </w:rPr>
        <w:t>d</w:t>
      </w:r>
      <w:r w:rsidRPr="0038373F">
        <w:rPr>
          <w:rFonts w:ascii="Verdana" w:hAnsi="Verdana"/>
          <w:sz w:val="20"/>
          <w:szCs w:val="20"/>
        </w:rPr>
        <w:t xml:space="preserve"> the judges to </w:t>
      </w:r>
      <w:r w:rsidR="003A116F" w:rsidRPr="0038373F">
        <w:rPr>
          <w:rFonts w:ascii="Verdana" w:hAnsi="Verdana"/>
          <w:sz w:val="20"/>
          <w:szCs w:val="20"/>
        </w:rPr>
        <w:t>play an</w:t>
      </w:r>
      <w:r w:rsidR="00E505E2" w:rsidRPr="0038373F">
        <w:rPr>
          <w:rFonts w:ascii="Verdana" w:hAnsi="Verdana"/>
          <w:sz w:val="20"/>
          <w:szCs w:val="20"/>
        </w:rPr>
        <w:t xml:space="preserve"> active</w:t>
      </w:r>
      <w:r w:rsidR="003A116F" w:rsidRPr="0038373F">
        <w:rPr>
          <w:rFonts w:ascii="Verdana" w:hAnsi="Verdana"/>
          <w:sz w:val="20"/>
          <w:szCs w:val="20"/>
        </w:rPr>
        <w:t xml:space="preserve"> role</w:t>
      </w:r>
      <w:r w:rsidRPr="0038373F">
        <w:rPr>
          <w:rFonts w:ascii="Verdana" w:hAnsi="Verdana"/>
          <w:sz w:val="20"/>
          <w:szCs w:val="20"/>
        </w:rPr>
        <w:t xml:space="preserve">. </w:t>
      </w:r>
    </w:p>
    <w:p w14:paraId="4DE39A1C" w14:textId="77777777" w:rsidR="00DD30F9" w:rsidRPr="0038373F" w:rsidRDefault="00DD30F9" w:rsidP="00514E6E">
      <w:pPr>
        <w:jc w:val="both"/>
        <w:rPr>
          <w:rFonts w:ascii="Verdana" w:hAnsi="Verdana"/>
          <w:lang w:val="en-US"/>
        </w:rPr>
      </w:pPr>
    </w:p>
    <w:p w14:paraId="143CBF6D" w14:textId="584214CC" w:rsidR="001F2236" w:rsidRPr="0038373F" w:rsidRDefault="009265FF" w:rsidP="009265FF">
      <w:pPr>
        <w:pStyle w:val="ListParagraph"/>
        <w:numPr>
          <w:ilvl w:val="0"/>
          <w:numId w:val="13"/>
        </w:numPr>
        <w:ind w:left="0" w:firstLine="0"/>
        <w:jc w:val="both"/>
        <w:rPr>
          <w:rFonts w:ascii="Verdana" w:hAnsi="Verdana"/>
          <w:sz w:val="20"/>
          <w:szCs w:val="20"/>
        </w:rPr>
      </w:pPr>
      <w:r w:rsidRPr="0038373F">
        <w:rPr>
          <w:rFonts w:ascii="Verdana" w:hAnsi="Verdana"/>
          <w:sz w:val="20"/>
          <w:szCs w:val="20"/>
        </w:rPr>
        <w:t xml:space="preserve">In view of </w:t>
      </w:r>
      <w:r w:rsidR="007B49B5" w:rsidRPr="0038373F">
        <w:rPr>
          <w:rFonts w:ascii="Verdana" w:hAnsi="Verdana"/>
          <w:sz w:val="20"/>
          <w:szCs w:val="20"/>
        </w:rPr>
        <w:t xml:space="preserve">recent generally </w:t>
      </w:r>
      <w:r w:rsidRPr="0038373F">
        <w:rPr>
          <w:rFonts w:ascii="Verdana" w:hAnsi="Verdana"/>
          <w:sz w:val="20"/>
          <w:szCs w:val="20"/>
        </w:rPr>
        <w:t>known public events in the region</w:t>
      </w:r>
      <w:r w:rsidR="007B49B5" w:rsidRPr="0038373F">
        <w:rPr>
          <w:rFonts w:ascii="Verdana" w:hAnsi="Verdana"/>
          <w:sz w:val="20"/>
          <w:szCs w:val="20"/>
        </w:rPr>
        <w:t>,</w:t>
      </w:r>
      <w:r w:rsidRPr="0038373F">
        <w:rPr>
          <w:rFonts w:ascii="Verdana" w:hAnsi="Verdana"/>
          <w:sz w:val="20"/>
          <w:szCs w:val="20"/>
        </w:rPr>
        <w:t xml:space="preserve"> in</w:t>
      </w:r>
      <w:r w:rsidR="007B49B5" w:rsidRPr="0038373F">
        <w:rPr>
          <w:rFonts w:ascii="Verdana" w:hAnsi="Verdana"/>
          <w:sz w:val="20"/>
          <w:szCs w:val="20"/>
        </w:rPr>
        <w:t xml:space="preserve"> </w:t>
      </w:r>
      <w:r w:rsidRPr="0038373F">
        <w:rPr>
          <w:rFonts w:ascii="Verdana" w:hAnsi="Verdana"/>
          <w:sz w:val="20"/>
          <w:szCs w:val="20"/>
        </w:rPr>
        <w:t xml:space="preserve">circumstances in which the strength of the democratic institutional framework </w:t>
      </w:r>
      <w:r w:rsidR="007B49B5" w:rsidRPr="0038373F">
        <w:rPr>
          <w:rFonts w:ascii="Verdana" w:hAnsi="Verdana"/>
          <w:sz w:val="20"/>
          <w:szCs w:val="20"/>
        </w:rPr>
        <w:t>and also</w:t>
      </w:r>
      <w:r w:rsidR="00E505E2" w:rsidRPr="0038373F">
        <w:rPr>
          <w:rFonts w:ascii="Verdana" w:hAnsi="Verdana"/>
          <w:sz w:val="20"/>
          <w:szCs w:val="20"/>
        </w:rPr>
        <w:t xml:space="preserve"> </w:t>
      </w:r>
      <w:r w:rsidR="009314DC" w:rsidRPr="0038373F">
        <w:rPr>
          <w:rFonts w:ascii="Verdana" w:hAnsi="Verdana"/>
          <w:sz w:val="20"/>
          <w:szCs w:val="20"/>
        </w:rPr>
        <w:t xml:space="preserve">the </w:t>
      </w:r>
      <w:r w:rsidR="007B49B5" w:rsidRPr="0038373F">
        <w:rPr>
          <w:rFonts w:ascii="Verdana" w:hAnsi="Verdana"/>
          <w:sz w:val="20"/>
          <w:szCs w:val="20"/>
        </w:rPr>
        <w:t>expansion</w:t>
      </w:r>
      <w:r w:rsidR="009314DC" w:rsidRPr="0038373F">
        <w:rPr>
          <w:rFonts w:ascii="Verdana" w:hAnsi="Verdana"/>
          <w:sz w:val="20"/>
          <w:szCs w:val="20"/>
        </w:rPr>
        <w:t xml:space="preserve"> and resilience of civil and political rights</w:t>
      </w:r>
      <w:r w:rsidR="007B49B5" w:rsidRPr="0038373F">
        <w:rPr>
          <w:rFonts w:ascii="Verdana" w:hAnsi="Verdana"/>
          <w:sz w:val="20"/>
          <w:szCs w:val="20"/>
        </w:rPr>
        <w:t xml:space="preserve"> were assumed</w:t>
      </w:r>
      <w:r w:rsidR="009314DC" w:rsidRPr="0038373F">
        <w:rPr>
          <w:rFonts w:ascii="Verdana" w:hAnsi="Verdana"/>
          <w:sz w:val="20"/>
          <w:szCs w:val="20"/>
        </w:rPr>
        <w:t xml:space="preserve">, we are </w:t>
      </w:r>
      <w:r w:rsidR="007B49B5" w:rsidRPr="0038373F">
        <w:rPr>
          <w:rFonts w:ascii="Verdana" w:hAnsi="Verdana"/>
          <w:sz w:val="20"/>
          <w:szCs w:val="20"/>
        </w:rPr>
        <w:t>unexpectedly confronted by</w:t>
      </w:r>
      <w:r w:rsidR="009314DC" w:rsidRPr="0038373F">
        <w:rPr>
          <w:rFonts w:ascii="Verdana" w:hAnsi="Verdana"/>
          <w:sz w:val="20"/>
          <w:szCs w:val="20"/>
        </w:rPr>
        <w:t xml:space="preserve"> a scenario that makes it urgent, and even compulsory, for the highest court of the system to help interpret the meaning, object and purpose of the international norms that are part of the </w:t>
      </w:r>
      <w:r w:rsidR="007B49B5" w:rsidRPr="0038373F">
        <w:rPr>
          <w:rFonts w:ascii="Verdana" w:hAnsi="Verdana"/>
          <w:sz w:val="20"/>
          <w:szCs w:val="20"/>
        </w:rPr>
        <w:t>whole</w:t>
      </w:r>
      <w:r w:rsidR="009314DC" w:rsidRPr="0038373F">
        <w:rPr>
          <w:rFonts w:ascii="Verdana" w:hAnsi="Verdana"/>
          <w:sz w:val="20"/>
          <w:szCs w:val="20"/>
        </w:rPr>
        <w:t xml:space="preserve"> human rights </w:t>
      </w:r>
      <w:r w:rsidR="007B49B5" w:rsidRPr="0038373F">
        <w:rPr>
          <w:rFonts w:ascii="Verdana" w:hAnsi="Verdana"/>
          <w:sz w:val="20"/>
          <w:szCs w:val="20"/>
        </w:rPr>
        <w:t>system, providing</w:t>
      </w:r>
      <w:r w:rsidR="009314DC" w:rsidRPr="0038373F">
        <w:rPr>
          <w:rFonts w:ascii="Verdana" w:hAnsi="Verdana"/>
          <w:sz w:val="20"/>
          <w:szCs w:val="20"/>
        </w:rPr>
        <w:t xml:space="preserve"> a necessary clarification of the standards for the protection of the human rights at stake in the </w:t>
      </w:r>
      <w:r w:rsidR="00E505E2" w:rsidRPr="0038373F">
        <w:rPr>
          <w:rFonts w:ascii="Verdana" w:hAnsi="Verdana"/>
          <w:sz w:val="20"/>
          <w:szCs w:val="20"/>
        </w:rPr>
        <w:t>impeachment proceedings</w:t>
      </w:r>
      <w:r w:rsidR="009314DC" w:rsidRPr="0038373F">
        <w:rPr>
          <w:rFonts w:ascii="Verdana" w:hAnsi="Verdana"/>
          <w:sz w:val="20"/>
          <w:szCs w:val="20"/>
        </w:rPr>
        <w:t xml:space="preserve"> in the region. The analysis of these proceedings and the human rights in play, traditionally conceived as foundation stones of the liberal and republic democratic system, would evidently be better served by the authorized ruling of the Inter-American Court developing the arguments for the </w:t>
      </w:r>
      <w:r w:rsidR="00FD7371" w:rsidRPr="0038373F">
        <w:rPr>
          <w:rFonts w:ascii="Verdana" w:hAnsi="Verdana"/>
          <w:sz w:val="20"/>
          <w:szCs w:val="20"/>
        </w:rPr>
        <w:t>decisive</w:t>
      </w:r>
      <w:r w:rsidR="009314DC" w:rsidRPr="0038373F">
        <w:rPr>
          <w:rFonts w:ascii="Verdana" w:hAnsi="Verdana"/>
          <w:sz w:val="20"/>
          <w:szCs w:val="20"/>
        </w:rPr>
        <w:t xml:space="preserve"> interpretation of the American Convention on Human Rights and the Inter-American Democratic Charter in an advisory opinion.</w:t>
      </w:r>
    </w:p>
    <w:p w14:paraId="006AB4CE" w14:textId="77777777" w:rsidR="001F2236" w:rsidRPr="0038373F" w:rsidRDefault="001F2236" w:rsidP="00514E6E">
      <w:pPr>
        <w:jc w:val="both"/>
        <w:rPr>
          <w:rFonts w:ascii="Verdana" w:hAnsi="Verdana"/>
          <w:lang w:val="en-US"/>
        </w:rPr>
      </w:pPr>
    </w:p>
    <w:p w14:paraId="2BCB204B" w14:textId="2E0CD254" w:rsidR="00FE6AB9" w:rsidRPr="0038373F" w:rsidRDefault="009314DC" w:rsidP="00D45090">
      <w:pPr>
        <w:pStyle w:val="ListParagraph"/>
        <w:numPr>
          <w:ilvl w:val="0"/>
          <w:numId w:val="13"/>
        </w:numPr>
        <w:ind w:left="0" w:firstLine="0"/>
        <w:jc w:val="both"/>
        <w:rPr>
          <w:rFonts w:ascii="Verdana" w:hAnsi="Verdana"/>
          <w:sz w:val="20"/>
          <w:szCs w:val="20"/>
        </w:rPr>
      </w:pPr>
      <w:r w:rsidRPr="0038373F">
        <w:rPr>
          <w:rFonts w:ascii="Verdana" w:hAnsi="Verdana"/>
          <w:sz w:val="20"/>
          <w:szCs w:val="20"/>
        </w:rPr>
        <w:t xml:space="preserve">Consequently, I recognize the importance of the issues raised by the Commission and the tendency towards political </w:t>
      </w:r>
      <w:r w:rsidR="00FD7371" w:rsidRPr="0038373F">
        <w:rPr>
          <w:rFonts w:ascii="Verdana" w:hAnsi="Verdana"/>
          <w:sz w:val="20"/>
          <w:szCs w:val="20"/>
        </w:rPr>
        <w:t>in</w:t>
      </w:r>
      <w:r w:rsidRPr="0038373F">
        <w:rPr>
          <w:rFonts w:ascii="Verdana" w:hAnsi="Verdana"/>
          <w:sz w:val="20"/>
          <w:szCs w:val="20"/>
        </w:rPr>
        <w:t xml:space="preserve">stability </w:t>
      </w:r>
      <w:r w:rsidR="00D45090" w:rsidRPr="0038373F">
        <w:rPr>
          <w:rFonts w:ascii="Verdana" w:hAnsi="Verdana"/>
          <w:sz w:val="20"/>
          <w:szCs w:val="20"/>
        </w:rPr>
        <w:t>generated by the instrumentalization of impeachment proceedings in the region. This does not mean that the Court would be ruling on particular cases or specific l</w:t>
      </w:r>
      <w:r w:rsidR="003A116F" w:rsidRPr="0038373F">
        <w:rPr>
          <w:rFonts w:ascii="Verdana" w:hAnsi="Verdana"/>
          <w:sz w:val="20"/>
          <w:szCs w:val="20"/>
        </w:rPr>
        <w:t>aws</w:t>
      </w:r>
      <w:r w:rsidR="00D45090" w:rsidRPr="0038373F">
        <w:rPr>
          <w:rFonts w:ascii="Verdana" w:hAnsi="Verdana"/>
          <w:sz w:val="20"/>
          <w:szCs w:val="20"/>
        </w:rPr>
        <w:t xml:space="preserve">, but rather that, by following its recent precedents in </w:t>
      </w:r>
      <w:r w:rsidR="003A116F" w:rsidRPr="0038373F">
        <w:rPr>
          <w:rFonts w:ascii="Verdana" w:hAnsi="Verdana"/>
          <w:sz w:val="20"/>
          <w:szCs w:val="20"/>
        </w:rPr>
        <w:t xml:space="preserve">Advisory Opinions </w:t>
      </w:r>
      <w:r w:rsidR="00D45090" w:rsidRPr="0038373F">
        <w:rPr>
          <w:rFonts w:ascii="Verdana" w:hAnsi="Verdana"/>
          <w:sz w:val="20"/>
          <w:szCs w:val="20"/>
        </w:rPr>
        <w:t xml:space="preserve">OC-23 and OC-24, it should perform its advisory function in the terms requested by the Inter-American Commission. This is so because we should consider that “owing to the general interest of advisory opinions, their scope should not be limited to </w:t>
      </w:r>
      <w:r w:rsidR="00E73E57" w:rsidRPr="0038373F">
        <w:rPr>
          <w:rFonts w:ascii="Verdana" w:hAnsi="Verdana"/>
          <w:sz w:val="20"/>
          <w:szCs w:val="20"/>
        </w:rPr>
        <w:t>a few</w:t>
      </w:r>
      <w:r w:rsidR="00D45090" w:rsidRPr="0038373F">
        <w:rPr>
          <w:rFonts w:ascii="Verdana" w:hAnsi="Verdana"/>
          <w:sz w:val="20"/>
          <w:szCs w:val="20"/>
        </w:rPr>
        <w:t xml:space="preserve"> specific States.</w:t>
      </w:r>
      <w:r w:rsidR="00CC10E2" w:rsidRPr="0038373F">
        <w:rPr>
          <w:rFonts w:ascii="Verdana" w:hAnsi="Verdana"/>
          <w:sz w:val="20"/>
          <w:szCs w:val="20"/>
        </w:rPr>
        <w:t>”</w:t>
      </w:r>
      <w:r w:rsidR="00CC10E2" w:rsidRPr="0038373F">
        <w:rPr>
          <w:rStyle w:val="FootnoteReference"/>
          <w:rFonts w:ascii="Verdana" w:hAnsi="Verdana"/>
          <w:sz w:val="20"/>
          <w:szCs w:val="20"/>
        </w:rPr>
        <w:footnoteReference w:id="7"/>
      </w:r>
      <w:r w:rsidR="00D45090" w:rsidRPr="0038373F">
        <w:rPr>
          <w:rFonts w:ascii="Verdana" w:hAnsi="Verdana"/>
          <w:sz w:val="20"/>
          <w:szCs w:val="20"/>
        </w:rPr>
        <w:t xml:space="preserve"> This clearly means that the Court cannot and should not issue advisory opinions related to a particular situation or a specific case, but rather that, by interpreting the meaning, object and purpose of the international human rights norms</w:t>
      </w:r>
      <w:r w:rsidR="00E73E57" w:rsidRPr="0038373F">
        <w:rPr>
          <w:rFonts w:ascii="Verdana" w:hAnsi="Verdana"/>
          <w:sz w:val="20"/>
          <w:szCs w:val="20"/>
        </w:rPr>
        <w:t>, the Court</w:t>
      </w:r>
      <w:r w:rsidR="00D45090" w:rsidRPr="0038373F">
        <w:rPr>
          <w:rFonts w:ascii="Verdana" w:hAnsi="Verdana"/>
          <w:sz w:val="20"/>
          <w:szCs w:val="20"/>
        </w:rPr>
        <w:t xml:space="preserve"> should</w:t>
      </w:r>
      <w:r w:rsidR="00E73E57" w:rsidRPr="0038373F">
        <w:rPr>
          <w:rFonts w:ascii="Verdana" w:hAnsi="Verdana"/>
          <w:sz w:val="20"/>
          <w:szCs w:val="20"/>
        </w:rPr>
        <w:t xml:space="preserve"> endeavor</w:t>
      </w:r>
      <w:r w:rsidR="00D45090" w:rsidRPr="0038373F">
        <w:rPr>
          <w:rFonts w:ascii="Verdana" w:hAnsi="Verdana"/>
          <w:sz w:val="20"/>
          <w:szCs w:val="20"/>
        </w:rPr>
        <w:t xml:space="preserve"> to establis</w:t>
      </w:r>
      <w:r w:rsidR="00E73E57" w:rsidRPr="0038373F">
        <w:rPr>
          <w:rFonts w:ascii="Verdana" w:hAnsi="Verdana"/>
          <w:sz w:val="20"/>
          <w:szCs w:val="20"/>
        </w:rPr>
        <w:t>h</w:t>
      </w:r>
      <w:r w:rsidR="00D45090" w:rsidRPr="0038373F">
        <w:rPr>
          <w:rFonts w:ascii="Verdana" w:hAnsi="Verdana"/>
          <w:sz w:val="20"/>
          <w:szCs w:val="20"/>
        </w:rPr>
        <w:t xml:space="preserve"> common legal criteria</w:t>
      </w:r>
      <w:r w:rsidR="00E73E57" w:rsidRPr="0038373F">
        <w:rPr>
          <w:rFonts w:ascii="Verdana" w:hAnsi="Verdana"/>
          <w:sz w:val="20"/>
          <w:szCs w:val="20"/>
        </w:rPr>
        <w:t xml:space="preserve"> that</w:t>
      </w:r>
      <w:r w:rsidR="00D45090" w:rsidRPr="0038373F">
        <w:rPr>
          <w:rFonts w:ascii="Verdana" w:hAnsi="Verdana"/>
          <w:sz w:val="20"/>
          <w:szCs w:val="20"/>
        </w:rPr>
        <w:t xml:space="preserve"> </w:t>
      </w:r>
      <w:r w:rsidR="00E73E57" w:rsidRPr="0038373F">
        <w:rPr>
          <w:rFonts w:ascii="Verdana" w:hAnsi="Verdana"/>
          <w:sz w:val="20"/>
          <w:szCs w:val="20"/>
        </w:rPr>
        <w:t>provide guidance to</w:t>
      </w:r>
      <w:r w:rsidR="00D45090" w:rsidRPr="0038373F">
        <w:rPr>
          <w:rFonts w:ascii="Verdana" w:hAnsi="Verdana"/>
          <w:sz w:val="20"/>
          <w:szCs w:val="20"/>
        </w:rPr>
        <w:t xml:space="preserve"> OAS Member States and organs </w:t>
      </w:r>
      <w:r w:rsidR="00E73E57" w:rsidRPr="0038373F">
        <w:rPr>
          <w:rFonts w:ascii="Verdana" w:hAnsi="Verdana"/>
          <w:sz w:val="20"/>
          <w:szCs w:val="20"/>
        </w:rPr>
        <w:t>for</w:t>
      </w:r>
      <w:r w:rsidR="00EB5169" w:rsidRPr="0038373F">
        <w:rPr>
          <w:rFonts w:ascii="Verdana" w:hAnsi="Verdana"/>
          <w:sz w:val="20"/>
          <w:szCs w:val="20"/>
        </w:rPr>
        <w:t xml:space="preserve"> the</w:t>
      </w:r>
      <w:r w:rsidR="00E73E57" w:rsidRPr="0038373F">
        <w:rPr>
          <w:rFonts w:ascii="Verdana" w:hAnsi="Verdana"/>
          <w:sz w:val="20"/>
          <w:szCs w:val="20"/>
        </w:rPr>
        <w:t xml:space="preserve"> full and effective compliance</w:t>
      </w:r>
      <w:r w:rsidR="00D45090" w:rsidRPr="0038373F">
        <w:rPr>
          <w:rFonts w:ascii="Verdana" w:hAnsi="Verdana"/>
          <w:sz w:val="20"/>
          <w:szCs w:val="20"/>
        </w:rPr>
        <w:t xml:space="preserve"> with their international obligations</w:t>
      </w:r>
      <w:r w:rsidR="00440569" w:rsidRPr="0038373F">
        <w:rPr>
          <w:rFonts w:ascii="Verdana" w:hAnsi="Verdana"/>
          <w:sz w:val="20"/>
          <w:szCs w:val="20"/>
        </w:rPr>
        <w:t xml:space="preserve"> (OC</w:t>
      </w:r>
      <w:r w:rsidR="00E73E57" w:rsidRPr="0038373F">
        <w:rPr>
          <w:rFonts w:ascii="Verdana" w:hAnsi="Verdana"/>
          <w:sz w:val="20"/>
          <w:szCs w:val="20"/>
        </w:rPr>
        <w:t>-</w:t>
      </w:r>
      <w:r w:rsidR="00440569" w:rsidRPr="0038373F">
        <w:rPr>
          <w:rFonts w:ascii="Verdana" w:hAnsi="Verdana"/>
          <w:sz w:val="20"/>
          <w:szCs w:val="20"/>
        </w:rPr>
        <w:t>16/99)</w:t>
      </w:r>
      <w:r w:rsidR="002254D8" w:rsidRPr="0038373F">
        <w:rPr>
          <w:rFonts w:ascii="Verdana" w:hAnsi="Verdana"/>
          <w:sz w:val="20"/>
          <w:szCs w:val="20"/>
        </w:rPr>
        <w:t>.</w:t>
      </w:r>
      <w:r w:rsidR="00CC10E2" w:rsidRPr="0038373F">
        <w:rPr>
          <w:rFonts w:ascii="Verdana" w:hAnsi="Verdana"/>
          <w:sz w:val="20"/>
          <w:szCs w:val="20"/>
        </w:rPr>
        <w:t xml:space="preserve"> </w:t>
      </w:r>
    </w:p>
    <w:p w14:paraId="3F1A3B61" w14:textId="77777777" w:rsidR="00FE6AB9" w:rsidRPr="0038373F" w:rsidRDefault="00FE6AB9" w:rsidP="00514E6E">
      <w:pPr>
        <w:jc w:val="both"/>
        <w:rPr>
          <w:rFonts w:ascii="Verdana" w:hAnsi="Verdana"/>
          <w:lang w:val="en-US"/>
        </w:rPr>
      </w:pPr>
    </w:p>
    <w:p w14:paraId="711AE82D" w14:textId="309B531F" w:rsidR="00D45090" w:rsidRPr="0038373F" w:rsidRDefault="00D45090" w:rsidP="00514E6E">
      <w:pPr>
        <w:pStyle w:val="ListParagraph"/>
        <w:numPr>
          <w:ilvl w:val="0"/>
          <w:numId w:val="13"/>
        </w:numPr>
        <w:ind w:left="0" w:firstLine="0"/>
        <w:jc w:val="both"/>
        <w:rPr>
          <w:rFonts w:ascii="Verdana" w:hAnsi="Verdana"/>
          <w:sz w:val="20"/>
          <w:szCs w:val="20"/>
        </w:rPr>
      </w:pPr>
      <w:r w:rsidRPr="0038373F">
        <w:rPr>
          <w:rFonts w:ascii="Verdana" w:hAnsi="Verdana"/>
          <w:sz w:val="20"/>
          <w:szCs w:val="20"/>
        </w:rPr>
        <w:t xml:space="preserve">I repeat, therefore, that the Court would in no way </w:t>
      </w:r>
      <w:r w:rsidR="00E73E57" w:rsidRPr="0038373F">
        <w:rPr>
          <w:rFonts w:ascii="Verdana" w:hAnsi="Verdana"/>
          <w:sz w:val="20"/>
          <w:szCs w:val="20"/>
        </w:rPr>
        <w:t xml:space="preserve">have </w:t>
      </w:r>
      <w:r w:rsidRPr="0038373F">
        <w:rPr>
          <w:rFonts w:ascii="Verdana" w:hAnsi="Verdana"/>
          <w:sz w:val="20"/>
          <w:szCs w:val="20"/>
        </w:rPr>
        <w:t>be</w:t>
      </w:r>
      <w:r w:rsidR="00E73E57" w:rsidRPr="0038373F">
        <w:rPr>
          <w:rFonts w:ascii="Verdana" w:hAnsi="Verdana"/>
          <w:sz w:val="20"/>
          <w:szCs w:val="20"/>
        </w:rPr>
        <w:t>en</w:t>
      </w:r>
      <w:r w:rsidRPr="0038373F">
        <w:rPr>
          <w:rFonts w:ascii="Verdana" w:hAnsi="Verdana"/>
          <w:sz w:val="20"/>
          <w:szCs w:val="20"/>
        </w:rPr>
        <w:t xml:space="preserve"> examining </w:t>
      </w:r>
      <w:r w:rsidR="00E73E57" w:rsidRPr="0038373F">
        <w:rPr>
          <w:rFonts w:ascii="Verdana" w:hAnsi="Verdana"/>
          <w:sz w:val="20"/>
          <w:szCs w:val="20"/>
        </w:rPr>
        <w:t>domestic</w:t>
      </w:r>
      <w:r w:rsidRPr="0038373F">
        <w:rPr>
          <w:rFonts w:ascii="Verdana" w:hAnsi="Verdana"/>
          <w:sz w:val="20"/>
          <w:szCs w:val="20"/>
        </w:rPr>
        <w:t xml:space="preserve"> laws, constitutional texts or specific cases, but </w:t>
      </w:r>
      <w:r w:rsidR="00E73E57" w:rsidRPr="0038373F">
        <w:rPr>
          <w:rFonts w:ascii="Verdana" w:hAnsi="Verdana"/>
          <w:sz w:val="20"/>
          <w:szCs w:val="20"/>
        </w:rPr>
        <w:t xml:space="preserve">rather </w:t>
      </w:r>
      <w:r w:rsidRPr="0038373F">
        <w:rPr>
          <w:rFonts w:ascii="Verdana" w:hAnsi="Verdana"/>
          <w:sz w:val="20"/>
          <w:szCs w:val="20"/>
        </w:rPr>
        <w:t xml:space="preserve">should have decided to continue processing the advisory opinion and </w:t>
      </w:r>
      <w:r w:rsidR="00A8211A" w:rsidRPr="0038373F">
        <w:rPr>
          <w:rFonts w:ascii="Verdana" w:hAnsi="Verdana"/>
          <w:sz w:val="20"/>
          <w:szCs w:val="20"/>
        </w:rPr>
        <w:t>to interpret which judicial guarantees, as a general and acceptable common minimum, are applicable in impeachment proceedings in the hemisphere.</w:t>
      </w:r>
    </w:p>
    <w:p w14:paraId="6A128711" w14:textId="77777777" w:rsidR="00FE6AB9" w:rsidRPr="0038373F" w:rsidRDefault="00FE6AB9" w:rsidP="00514E6E">
      <w:pPr>
        <w:jc w:val="both"/>
        <w:rPr>
          <w:rFonts w:ascii="Verdana" w:hAnsi="Verdana"/>
          <w:lang w:val="en-US"/>
        </w:rPr>
      </w:pPr>
    </w:p>
    <w:p w14:paraId="3CA94441" w14:textId="113F9359" w:rsidR="00A8211A" w:rsidRPr="0038373F" w:rsidRDefault="00A8211A" w:rsidP="00514E6E">
      <w:pPr>
        <w:pStyle w:val="ListParagraph"/>
        <w:numPr>
          <w:ilvl w:val="0"/>
          <w:numId w:val="13"/>
        </w:numPr>
        <w:ind w:left="0" w:firstLine="0"/>
        <w:jc w:val="both"/>
        <w:rPr>
          <w:rFonts w:ascii="Verdana" w:hAnsi="Verdana"/>
          <w:sz w:val="20"/>
          <w:szCs w:val="20"/>
        </w:rPr>
      </w:pPr>
      <w:r w:rsidRPr="0038373F">
        <w:rPr>
          <w:rFonts w:ascii="Verdana" w:hAnsi="Verdana"/>
          <w:sz w:val="20"/>
          <w:szCs w:val="20"/>
        </w:rPr>
        <w:t xml:space="preserve">Additionally, I should like to make it clear that, to date, the Court has not issued a </w:t>
      </w:r>
      <w:r w:rsidR="00E73E57" w:rsidRPr="0038373F">
        <w:rPr>
          <w:rFonts w:ascii="Verdana" w:hAnsi="Verdana"/>
          <w:sz w:val="20"/>
          <w:szCs w:val="20"/>
        </w:rPr>
        <w:t>specific</w:t>
      </w:r>
      <w:r w:rsidRPr="0038373F">
        <w:rPr>
          <w:rFonts w:ascii="Verdana" w:hAnsi="Verdana"/>
          <w:sz w:val="20"/>
          <w:szCs w:val="20"/>
        </w:rPr>
        <w:t xml:space="preserve"> ruling on the implications of the guarantees of due process and the principle of </w:t>
      </w:r>
      <w:r w:rsidRPr="0038373F">
        <w:rPr>
          <w:rFonts w:ascii="Verdana" w:hAnsi="Verdana"/>
          <w:sz w:val="20"/>
          <w:szCs w:val="20"/>
        </w:rPr>
        <w:lastRenderedPageBreak/>
        <w:t>legality in the context of</w:t>
      </w:r>
      <w:r w:rsidR="00EB5169" w:rsidRPr="0038373F">
        <w:rPr>
          <w:rFonts w:ascii="Verdana" w:hAnsi="Verdana"/>
          <w:sz w:val="20"/>
          <w:szCs w:val="20"/>
        </w:rPr>
        <w:t xml:space="preserve"> the</w:t>
      </w:r>
      <w:r w:rsidRPr="0038373F">
        <w:rPr>
          <w:rFonts w:ascii="Verdana" w:hAnsi="Verdana"/>
          <w:sz w:val="20"/>
          <w:szCs w:val="20"/>
        </w:rPr>
        <w:t xml:space="preserve"> impeachment </w:t>
      </w:r>
      <w:r w:rsidR="00EB5169" w:rsidRPr="0038373F">
        <w:rPr>
          <w:rFonts w:ascii="Verdana" w:hAnsi="Verdana"/>
          <w:sz w:val="20"/>
          <w:szCs w:val="20"/>
        </w:rPr>
        <w:t>of</w:t>
      </w:r>
      <w:r w:rsidRPr="0038373F">
        <w:rPr>
          <w:rFonts w:ascii="Verdana" w:hAnsi="Verdana"/>
          <w:sz w:val="20"/>
          <w:szCs w:val="20"/>
        </w:rPr>
        <w:t xml:space="preserve"> Presidents, because the cases relating to impeachment that have been submitted to the Inter-American Court’s consideration have been limited to three cases concerning</w:t>
      </w:r>
      <w:r w:rsidR="002C0A36" w:rsidRPr="0038373F">
        <w:rPr>
          <w:rFonts w:ascii="Verdana" w:hAnsi="Verdana"/>
          <w:sz w:val="20"/>
          <w:szCs w:val="20"/>
        </w:rPr>
        <w:t xml:space="preserve"> high court</w:t>
      </w:r>
      <w:r w:rsidRPr="0038373F">
        <w:rPr>
          <w:rFonts w:ascii="Verdana" w:hAnsi="Verdana"/>
          <w:sz w:val="20"/>
          <w:szCs w:val="20"/>
        </w:rPr>
        <w:t xml:space="preserve"> judges who were removed from office using this type of proceeding </w:t>
      </w:r>
      <w:r w:rsidR="00CC10E2" w:rsidRPr="0038373F">
        <w:rPr>
          <w:rFonts w:ascii="Verdana" w:hAnsi="Verdana"/>
          <w:bCs/>
          <w:sz w:val="20"/>
          <w:szCs w:val="20"/>
        </w:rPr>
        <w:t>(</w:t>
      </w:r>
      <w:r w:rsidRPr="0038373F">
        <w:rPr>
          <w:rFonts w:ascii="Verdana" w:hAnsi="Verdana"/>
          <w:bCs/>
          <w:sz w:val="20"/>
          <w:szCs w:val="20"/>
        </w:rPr>
        <w:t xml:space="preserve">Case of the Constitutional Court </w:t>
      </w:r>
      <w:r w:rsidRPr="0038373F">
        <w:rPr>
          <w:rFonts w:ascii="Verdana" w:hAnsi="Verdana"/>
          <w:bCs/>
          <w:i/>
          <w:sz w:val="20"/>
          <w:szCs w:val="20"/>
        </w:rPr>
        <w:t>v.</w:t>
      </w:r>
      <w:r w:rsidRPr="0038373F">
        <w:rPr>
          <w:rFonts w:ascii="Verdana" w:hAnsi="Verdana"/>
          <w:bCs/>
          <w:sz w:val="20"/>
          <w:szCs w:val="20"/>
        </w:rPr>
        <w:t xml:space="preserve"> Peru, Case of the </w:t>
      </w:r>
      <w:r w:rsidR="002F6C85" w:rsidRPr="0038373F">
        <w:rPr>
          <w:rStyle w:val="Strong"/>
          <w:rFonts w:ascii="Verdana" w:hAnsi="Verdana"/>
          <w:b w:val="0"/>
          <w:sz w:val="20"/>
          <w:szCs w:val="20"/>
          <w:shd w:val="clear" w:color="auto" w:fill="FFFFFF"/>
        </w:rPr>
        <w:t>Constitu</w:t>
      </w:r>
      <w:r w:rsidRPr="0038373F">
        <w:rPr>
          <w:rStyle w:val="Strong"/>
          <w:rFonts w:ascii="Verdana" w:hAnsi="Verdana"/>
          <w:b w:val="0"/>
          <w:sz w:val="20"/>
          <w:szCs w:val="20"/>
          <w:shd w:val="clear" w:color="auto" w:fill="FFFFFF"/>
        </w:rPr>
        <w:t>t</w:t>
      </w:r>
      <w:r w:rsidR="002F6C85" w:rsidRPr="0038373F">
        <w:rPr>
          <w:rStyle w:val="Strong"/>
          <w:rFonts w:ascii="Verdana" w:hAnsi="Verdana"/>
          <w:b w:val="0"/>
          <w:sz w:val="20"/>
          <w:szCs w:val="20"/>
          <w:shd w:val="clear" w:color="auto" w:fill="FFFFFF"/>
        </w:rPr>
        <w:t>ional</w:t>
      </w:r>
      <w:r w:rsidRPr="0038373F">
        <w:rPr>
          <w:rStyle w:val="Strong"/>
          <w:rFonts w:ascii="Verdana" w:hAnsi="Verdana"/>
          <w:b w:val="0"/>
          <w:sz w:val="20"/>
          <w:szCs w:val="20"/>
          <w:shd w:val="clear" w:color="auto" w:fill="FFFFFF"/>
        </w:rPr>
        <w:t xml:space="preserve"> Tribunal</w:t>
      </w:r>
      <w:r w:rsidR="002F6C85" w:rsidRPr="0038373F">
        <w:rPr>
          <w:rStyle w:val="Strong"/>
          <w:rFonts w:ascii="Verdana" w:hAnsi="Verdana"/>
          <w:b w:val="0"/>
          <w:sz w:val="20"/>
          <w:szCs w:val="20"/>
          <w:shd w:val="clear" w:color="auto" w:fill="FFFFFF"/>
        </w:rPr>
        <w:t xml:space="preserve"> (Camba Campos</w:t>
      </w:r>
      <w:r w:rsidR="001E2477" w:rsidRPr="0038373F">
        <w:rPr>
          <w:rStyle w:val="Strong"/>
          <w:rFonts w:ascii="Verdana" w:hAnsi="Verdana"/>
          <w:b w:val="0"/>
          <w:sz w:val="20"/>
          <w:szCs w:val="20"/>
          <w:shd w:val="clear" w:color="auto" w:fill="FFFFFF"/>
        </w:rPr>
        <w:t xml:space="preserve"> </w:t>
      </w:r>
      <w:r w:rsidRPr="0038373F">
        <w:rPr>
          <w:rStyle w:val="Strong"/>
          <w:rFonts w:ascii="Verdana" w:hAnsi="Verdana"/>
          <w:b w:val="0"/>
          <w:i/>
          <w:sz w:val="20"/>
          <w:szCs w:val="20"/>
          <w:shd w:val="clear" w:color="auto" w:fill="FFFFFF"/>
        </w:rPr>
        <w:t>et al.</w:t>
      </w:r>
      <w:r w:rsidR="002F6C85" w:rsidRPr="0038373F">
        <w:rPr>
          <w:rStyle w:val="Strong"/>
          <w:rFonts w:ascii="Verdana" w:hAnsi="Verdana"/>
          <w:b w:val="0"/>
          <w:i/>
          <w:sz w:val="20"/>
          <w:szCs w:val="20"/>
          <w:shd w:val="clear" w:color="auto" w:fill="FFFFFF"/>
        </w:rPr>
        <w:t xml:space="preserve">) </w:t>
      </w:r>
      <w:r w:rsidRPr="0038373F">
        <w:rPr>
          <w:rStyle w:val="Strong"/>
          <w:rFonts w:ascii="Verdana" w:hAnsi="Verdana"/>
          <w:b w:val="0"/>
          <w:i/>
          <w:sz w:val="20"/>
          <w:szCs w:val="20"/>
          <w:shd w:val="clear" w:color="auto" w:fill="FFFFFF"/>
        </w:rPr>
        <w:t>v</w:t>
      </w:r>
      <w:r w:rsidR="002F6C85" w:rsidRPr="0038373F">
        <w:rPr>
          <w:rStyle w:val="Strong"/>
          <w:rFonts w:ascii="Verdana" w:hAnsi="Verdana"/>
          <w:b w:val="0"/>
          <w:i/>
          <w:sz w:val="20"/>
          <w:szCs w:val="20"/>
          <w:shd w:val="clear" w:color="auto" w:fill="FFFFFF"/>
        </w:rPr>
        <w:t>.</w:t>
      </w:r>
      <w:r w:rsidR="002F6C85" w:rsidRPr="0038373F">
        <w:rPr>
          <w:rStyle w:val="Strong"/>
          <w:rFonts w:ascii="Verdana" w:hAnsi="Verdana"/>
          <w:b w:val="0"/>
          <w:sz w:val="20"/>
          <w:szCs w:val="20"/>
          <w:shd w:val="clear" w:color="auto" w:fill="FFFFFF"/>
        </w:rPr>
        <w:t xml:space="preserve"> Ecuador</w:t>
      </w:r>
      <w:r w:rsidR="002C0A36" w:rsidRPr="0038373F">
        <w:rPr>
          <w:rStyle w:val="Strong"/>
          <w:rFonts w:ascii="Verdana" w:hAnsi="Verdana"/>
          <w:b w:val="0"/>
          <w:sz w:val="20"/>
          <w:szCs w:val="20"/>
          <w:shd w:val="clear" w:color="auto" w:fill="FFFFFF"/>
        </w:rPr>
        <w:t>,</w:t>
      </w:r>
      <w:r w:rsidR="001E2477" w:rsidRPr="0038373F">
        <w:rPr>
          <w:rStyle w:val="Strong"/>
          <w:rFonts w:ascii="Verdana" w:hAnsi="Verdana"/>
          <w:b w:val="0"/>
          <w:sz w:val="20"/>
          <w:szCs w:val="20"/>
          <w:shd w:val="clear" w:color="auto" w:fill="FFFFFF"/>
        </w:rPr>
        <w:t xml:space="preserve"> and </w:t>
      </w:r>
      <w:r w:rsidRPr="0038373F">
        <w:rPr>
          <w:rFonts w:ascii="Verdana" w:hAnsi="Verdana"/>
          <w:bCs/>
          <w:sz w:val="20"/>
          <w:szCs w:val="20"/>
        </w:rPr>
        <w:t xml:space="preserve">Case of the Supreme Court of Justice </w:t>
      </w:r>
      <w:r w:rsidR="007F5FAE" w:rsidRPr="0038373F">
        <w:rPr>
          <w:rStyle w:val="Strong"/>
          <w:rFonts w:ascii="Verdana" w:hAnsi="Verdana"/>
          <w:b w:val="0"/>
          <w:sz w:val="20"/>
          <w:szCs w:val="20"/>
          <w:shd w:val="clear" w:color="auto" w:fill="FFFFFF"/>
        </w:rPr>
        <w:t>(Quintana Coello</w:t>
      </w:r>
      <w:r w:rsidRPr="0038373F">
        <w:rPr>
          <w:rStyle w:val="Strong"/>
          <w:rFonts w:ascii="Verdana" w:hAnsi="Verdana"/>
          <w:b w:val="0"/>
          <w:i/>
          <w:sz w:val="20"/>
          <w:szCs w:val="20"/>
          <w:shd w:val="clear" w:color="auto" w:fill="FFFFFF"/>
        </w:rPr>
        <w:t xml:space="preserve"> et al.) v.</w:t>
      </w:r>
      <w:r w:rsidR="007F5FAE" w:rsidRPr="0038373F">
        <w:rPr>
          <w:rStyle w:val="Strong"/>
          <w:rFonts w:ascii="Verdana" w:hAnsi="Verdana"/>
          <w:b w:val="0"/>
          <w:sz w:val="20"/>
          <w:szCs w:val="20"/>
          <w:shd w:val="clear" w:color="auto" w:fill="FFFFFF"/>
        </w:rPr>
        <w:t xml:space="preserve"> Ecuador</w:t>
      </w:r>
      <w:r w:rsidR="00CC10E2" w:rsidRPr="0038373F">
        <w:rPr>
          <w:rFonts w:ascii="Verdana" w:hAnsi="Verdana"/>
          <w:bCs/>
          <w:sz w:val="20"/>
          <w:szCs w:val="20"/>
        </w:rPr>
        <w:t xml:space="preserve">). </w:t>
      </w:r>
      <w:r w:rsidRPr="0038373F">
        <w:rPr>
          <w:rFonts w:ascii="Verdana" w:hAnsi="Verdana"/>
          <w:bCs/>
          <w:sz w:val="20"/>
          <w:szCs w:val="20"/>
        </w:rPr>
        <w:t xml:space="preserve">Consequently, the Court has made no </w:t>
      </w:r>
      <w:r w:rsidR="00265174" w:rsidRPr="0038373F">
        <w:rPr>
          <w:rFonts w:ascii="Verdana" w:hAnsi="Verdana"/>
          <w:bCs/>
          <w:sz w:val="20"/>
          <w:szCs w:val="20"/>
        </w:rPr>
        <w:t>explicit</w:t>
      </w:r>
      <w:r w:rsidRPr="0038373F">
        <w:rPr>
          <w:rFonts w:ascii="Verdana" w:hAnsi="Verdana"/>
          <w:bCs/>
          <w:sz w:val="20"/>
          <w:szCs w:val="20"/>
        </w:rPr>
        <w:t xml:space="preserve"> ruling on the</w:t>
      </w:r>
      <w:r w:rsidR="0002673E" w:rsidRPr="0038373F">
        <w:rPr>
          <w:rFonts w:ascii="Verdana" w:hAnsi="Verdana"/>
          <w:bCs/>
          <w:sz w:val="20"/>
          <w:szCs w:val="20"/>
        </w:rPr>
        <w:t xml:space="preserve"> potential</w:t>
      </w:r>
      <w:r w:rsidRPr="0038373F">
        <w:rPr>
          <w:rFonts w:ascii="Verdana" w:hAnsi="Verdana"/>
          <w:bCs/>
          <w:sz w:val="20"/>
          <w:szCs w:val="20"/>
        </w:rPr>
        <w:t xml:space="preserve"> implications</w:t>
      </w:r>
      <w:r w:rsidR="0002673E" w:rsidRPr="0038373F">
        <w:rPr>
          <w:rFonts w:ascii="Verdana" w:hAnsi="Verdana"/>
          <w:bCs/>
          <w:sz w:val="20"/>
          <w:szCs w:val="20"/>
        </w:rPr>
        <w:t xml:space="preserve"> of the arbitrary use of this </w:t>
      </w:r>
      <w:r w:rsidR="002C0A36" w:rsidRPr="0038373F">
        <w:rPr>
          <w:rFonts w:ascii="Verdana" w:hAnsi="Verdana"/>
          <w:bCs/>
          <w:sz w:val="20"/>
          <w:szCs w:val="20"/>
        </w:rPr>
        <w:t>mechanism</w:t>
      </w:r>
      <w:r w:rsidR="0002673E" w:rsidRPr="0038373F">
        <w:rPr>
          <w:rFonts w:ascii="Verdana" w:hAnsi="Verdana"/>
          <w:bCs/>
          <w:sz w:val="20"/>
          <w:szCs w:val="20"/>
        </w:rPr>
        <w:t>, with</w:t>
      </w:r>
      <w:r w:rsidR="002C0A36" w:rsidRPr="0038373F">
        <w:rPr>
          <w:rFonts w:ascii="Verdana" w:hAnsi="Verdana"/>
          <w:bCs/>
          <w:sz w:val="20"/>
          <w:szCs w:val="20"/>
        </w:rPr>
        <w:t xml:space="preserve"> no</w:t>
      </w:r>
      <w:r w:rsidR="0002673E" w:rsidRPr="0038373F">
        <w:rPr>
          <w:rFonts w:ascii="Verdana" w:hAnsi="Verdana"/>
          <w:bCs/>
          <w:sz w:val="20"/>
          <w:szCs w:val="20"/>
        </w:rPr>
        <w:t xml:space="preserve"> minimum normative safeguards or parameters,</w:t>
      </w:r>
      <w:r w:rsidRPr="0038373F">
        <w:rPr>
          <w:rFonts w:ascii="Verdana" w:hAnsi="Verdana"/>
          <w:bCs/>
          <w:sz w:val="20"/>
          <w:szCs w:val="20"/>
        </w:rPr>
        <w:t xml:space="preserve"> on the exercise of human rights</w:t>
      </w:r>
      <w:r w:rsidR="0002673E" w:rsidRPr="0038373F">
        <w:rPr>
          <w:rFonts w:ascii="Verdana" w:hAnsi="Verdana"/>
          <w:bCs/>
          <w:sz w:val="20"/>
          <w:szCs w:val="20"/>
        </w:rPr>
        <w:t xml:space="preserve"> in the case of democratically elected presidents in our hemisphere.</w:t>
      </w:r>
    </w:p>
    <w:p w14:paraId="120F3F5C" w14:textId="77777777" w:rsidR="00A92591" w:rsidRPr="0038373F" w:rsidRDefault="00A92591" w:rsidP="00514E6E">
      <w:pPr>
        <w:jc w:val="both"/>
        <w:rPr>
          <w:rFonts w:ascii="Verdana" w:hAnsi="Verdana"/>
          <w:lang w:val="en-US"/>
        </w:rPr>
      </w:pPr>
    </w:p>
    <w:p w14:paraId="275963B0" w14:textId="3203B4AC" w:rsidR="0002673E" w:rsidRPr="0038373F" w:rsidRDefault="0002673E" w:rsidP="00514E6E">
      <w:pPr>
        <w:pStyle w:val="ListParagraph"/>
        <w:numPr>
          <w:ilvl w:val="0"/>
          <w:numId w:val="13"/>
        </w:numPr>
        <w:ind w:left="0" w:firstLine="0"/>
        <w:jc w:val="both"/>
        <w:rPr>
          <w:rFonts w:ascii="Verdana" w:hAnsi="Verdana"/>
          <w:sz w:val="20"/>
          <w:szCs w:val="20"/>
        </w:rPr>
      </w:pPr>
      <w:r w:rsidRPr="0038373F">
        <w:rPr>
          <w:rFonts w:ascii="Verdana" w:hAnsi="Verdana"/>
          <w:sz w:val="20"/>
          <w:szCs w:val="20"/>
        </w:rPr>
        <w:t xml:space="preserve"> I regret the fact that my colleagues have not chosen to make a thorough examination of this issue which, in my opinion, is essential in order to avoid the erosion of democracy in our region. The effective guarantee and defense of civil and political rights, as well as the human rights</w:t>
      </w:r>
      <w:r w:rsidR="002C0A36" w:rsidRPr="0038373F">
        <w:rPr>
          <w:rFonts w:ascii="Verdana" w:hAnsi="Verdana"/>
          <w:sz w:val="20"/>
          <w:szCs w:val="20"/>
        </w:rPr>
        <w:t xml:space="preserve"> system</w:t>
      </w:r>
      <w:r w:rsidRPr="0038373F">
        <w:rPr>
          <w:rFonts w:ascii="Verdana" w:hAnsi="Verdana"/>
          <w:sz w:val="20"/>
          <w:szCs w:val="20"/>
        </w:rPr>
        <w:t xml:space="preserve"> as a whole, ha</w:t>
      </w:r>
      <w:r w:rsidR="002C0A36" w:rsidRPr="0038373F">
        <w:rPr>
          <w:rFonts w:ascii="Verdana" w:hAnsi="Verdana"/>
          <w:sz w:val="20"/>
          <w:szCs w:val="20"/>
        </w:rPr>
        <w:t>s</w:t>
      </w:r>
      <w:r w:rsidRPr="0038373F">
        <w:rPr>
          <w:rFonts w:ascii="Verdana" w:hAnsi="Verdana"/>
          <w:sz w:val="20"/>
          <w:szCs w:val="20"/>
        </w:rPr>
        <w:t xml:space="preserve"> become and </w:t>
      </w:r>
      <w:r w:rsidR="002C0A36" w:rsidRPr="0038373F">
        <w:rPr>
          <w:rFonts w:ascii="Verdana" w:hAnsi="Verdana"/>
          <w:sz w:val="20"/>
          <w:szCs w:val="20"/>
        </w:rPr>
        <w:t>is</w:t>
      </w:r>
      <w:r w:rsidRPr="0038373F">
        <w:rPr>
          <w:rFonts w:ascii="Verdana" w:hAnsi="Verdana"/>
          <w:sz w:val="20"/>
          <w:szCs w:val="20"/>
        </w:rPr>
        <w:t xml:space="preserve"> a </w:t>
      </w:r>
      <w:r w:rsidR="002C0A36" w:rsidRPr="0038373F">
        <w:rPr>
          <w:rFonts w:ascii="Verdana" w:hAnsi="Verdana"/>
          <w:sz w:val="20"/>
          <w:szCs w:val="20"/>
        </w:rPr>
        <w:t>cruci</w:t>
      </w:r>
      <w:r w:rsidRPr="0038373F">
        <w:rPr>
          <w:rFonts w:ascii="Verdana" w:hAnsi="Verdana"/>
          <w:sz w:val="20"/>
          <w:szCs w:val="20"/>
        </w:rPr>
        <w:t xml:space="preserve">al part of the essence of modern democracies. </w:t>
      </w:r>
      <w:r w:rsidR="002C0A36" w:rsidRPr="0038373F">
        <w:rPr>
          <w:rFonts w:ascii="Verdana" w:hAnsi="Verdana"/>
          <w:sz w:val="20"/>
          <w:szCs w:val="20"/>
        </w:rPr>
        <w:t>Accordingly</w:t>
      </w:r>
      <w:r w:rsidRPr="0038373F">
        <w:rPr>
          <w:rFonts w:ascii="Verdana" w:hAnsi="Verdana"/>
          <w:sz w:val="20"/>
          <w:szCs w:val="20"/>
        </w:rPr>
        <w:t>, I consider it of the highest importance that the Court establish parameters that assist States</w:t>
      </w:r>
      <w:r w:rsidR="00EB5169" w:rsidRPr="0038373F">
        <w:rPr>
          <w:rFonts w:ascii="Verdana" w:hAnsi="Verdana"/>
          <w:sz w:val="20"/>
          <w:szCs w:val="20"/>
        </w:rPr>
        <w:t xml:space="preserve"> in</w:t>
      </w:r>
      <w:r w:rsidRPr="0038373F">
        <w:rPr>
          <w:rFonts w:ascii="Verdana" w:hAnsi="Verdana"/>
          <w:sz w:val="20"/>
          <w:szCs w:val="20"/>
        </w:rPr>
        <w:t xml:space="preserve"> </w:t>
      </w:r>
      <w:r w:rsidR="00EB5169" w:rsidRPr="0038373F">
        <w:rPr>
          <w:rFonts w:ascii="Verdana" w:hAnsi="Verdana"/>
          <w:sz w:val="20"/>
          <w:szCs w:val="20"/>
        </w:rPr>
        <w:t>fulfilling</w:t>
      </w:r>
      <w:r w:rsidRPr="0038373F">
        <w:rPr>
          <w:rFonts w:ascii="Verdana" w:hAnsi="Verdana"/>
          <w:sz w:val="20"/>
          <w:szCs w:val="20"/>
        </w:rPr>
        <w:t xml:space="preserve"> their international obligations and</w:t>
      </w:r>
      <w:r w:rsidR="002C0A36" w:rsidRPr="0038373F">
        <w:rPr>
          <w:rFonts w:ascii="Verdana" w:hAnsi="Verdana"/>
          <w:sz w:val="20"/>
          <w:szCs w:val="20"/>
        </w:rPr>
        <w:t>,</w:t>
      </w:r>
      <w:r w:rsidRPr="0038373F">
        <w:rPr>
          <w:rFonts w:ascii="Verdana" w:hAnsi="Verdana"/>
          <w:sz w:val="20"/>
          <w:szCs w:val="20"/>
        </w:rPr>
        <w:t xml:space="preserve"> thus, that guarantee the full effectiveness of the American Convention and the strengthening of inter-American public order.</w:t>
      </w:r>
    </w:p>
    <w:p w14:paraId="00FF0326" w14:textId="77777777" w:rsidR="00A92591" w:rsidRPr="0038373F" w:rsidRDefault="00A92591" w:rsidP="00514E6E">
      <w:pPr>
        <w:jc w:val="both"/>
        <w:rPr>
          <w:rFonts w:ascii="Verdana" w:hAnsi="Verdana"/>
          <w:lang w:val="en-US"/>
        </w:rPr>
      </w:pPr>
    </w:p>
    <w:p w14:paraId="02248F0E" w14:textId="01F98192" w:rsidR="0002673E" w:rsidRPr="0038373F" w:rsidRDefault="0002673E" w:rsidP="002C0A36">
      <w:pPr>
        <w:pStyle w:val="ListParagraph"/>
        <w:numPr>
          <w:ilvl w:val="0"/>
          <w:numId w:val="13"/>
        </w:numPr>
        <w:ind w:left="0" w:firstLine="0"/>
        <w:jc w:val="both"/>
        <w:rPr>
          <w:rFonts w:ascii="Verdana" w:hAnsi="Verdana"/>
          <w:sz w:val="20"/>
          <w:szCs w:val="20"/>
        </w:rPr>
      </w:pPr>
      <w:r w:rsidRPr="0038373F">
        <w:rPr>
          <w:rFonts w:ascii="Verdana" w:hAnsi="Verdana"/>
          <w:sz w:val="20"/>
          <w:szCs w:val="20"/>
        </w:rPr>
        <w:t>The experiences of conflict and political persecution</w:t>
      </w:r>
      <w:r w:rsidR="00EB5169" w:rsidRPr="0038373F">
        <w:rPr>
          <w:rFonts w:ascii="Verdana" w:hAnsi="Verdana"/>
          <w:sz w:val="20"/>
          <w:szCs w:val="20"/>
        </w:rPr>
        <w:t xml:space="preserve"> in our hemisphere</w:t>
      </w:r>
      <w:r w:rsidRPr="0038373F">
        <w:rPr>
          <w:rFonts w:ascii="Verdana" w:hAnsi="Verdana"/>
          <w:sz w:val="20"/>
          <w:szCs w:val="20"/>
        </w:rPr>
        <w:t>, a</w:t>
      </w:r>
      <w:r w:rsidR="002C0A36" w:rsidRPr="0038373F">
        <w:rPr>
          <w:rFonts w:ascii="Verdana" w:hAnsi="Verdana"/>
          <w:sz w:val="20"/>
          <w:szCs w:val="20"/>
        </w:rPr>
        <w:t>s well as</w:t>
      </w:r>
      <w:r w:rsidRPr="0038373F">
        <w:rPr>
          <w:rFonts w:ascii="Verdana" w:hAnsi="Verdana"/>
          <w:sz w:val="20"/>
          <w:szCs w:val="20"/>
        </w:rPr>
        <w:t xml:space="preserve"> constitutional reform without minimum standards of convention</w:t>
      </w:r>
      <w:r w:rsidR="002C0A36" w:rsidRPr="0038373F">
        <w:rPr>
          <w:rFonts w:ascii="Verdana" w:hAnsi="Verdana"/>
          <w:sz w:val="20"/>
          <w:szCs w:val="20"/>
        </w:rPr>
        <w:t>-based</w:t>
      </w:r>
      <w:r w:rsidRPr="0038373F">
        <w:rPr>
          <w:rFonts w:ascii="Verdana" w:hAnsi="Verdana"/>
          <w:sz w:val="20"/>
          <w:szCs w:val="20"/>
        </w:rPr>
        <w:t xml:space="preserve"> prevention</w:t>
      </w:r>
      <w:r w:rsidR="00EB5169" w:rsidRPr="0038373F">
        <w:rPr>
          <w:rFonts w:ascii="Verdana" w:hAnsi="Verdana"/>
          <w:sz w:val="20"/>
          <w:szCs w:val="20"/>
        </w:rPr>
        <w:t xml:space="preserve">, </w:t>
      </w:r>
      <w:r w:rsidRPr="0038373F">
        <w:rPr>
          <w:rFonts w:ascii="Verdana" w:hAnsi="Verdana"/>
          <w:sz w:val="20"/>
          <w:szCs w:val="20"/>
        </w:rPr>
        <w:t xml:space="preserve">bear witness to what can happen </w:t>
      </w:r>
      <w:r w:rsidR="00810DE9" w:rsidRPr="0038373F">
        <w:rPr>
          <w:rFonts w:ascii="Verdana" w:hAnsi="Verdana"/>
          <w:sz w:val="20"/>
          <w:szCs w:val="20"/>
        </w:rPr>
        <w:t>in the absence of</w:t>
      </w:r>
      <w:r w:rsidRPr="0038373F">
        <w:rPr>
          <w:rFonts w:ascii="Verdana" w:hAnsi="Verdana"/>
          <w:sz w:val="20"/>
          <w:szCs w:val="20"/>
        </w:rPr>
        <w:t xml:space="preserve"> adequate safeguards for the democratic institutional framework. The Court had the opportunity to reflect on the best practices of OAS Member States in an advisory opinion. I must insist that I regret that this opportunity has been missed</w:t>
      </w:r>
      <w:r w:rsidR="00804BC7" w:rsidRPr="0038373F">
        <w:rPr>
          <w:rFonts w:ascii="Verdana" w:hAnsi="Verdana"/>
          <w:sz w:val="20"/>
          <w:szCs w:val="20"/>
        </w:rPr>
        <w:t xml:space="preserve"> and that, now, </w:t>
      </w:r>
      <w:r w:rsidR="00EB5169" w:rsidRPr="0038373F">
        <w:rPr>
          <w:rFonts w:ascii="Verdana" w:hAnsi="Verdana"/>
          <w:sz w:val="20"/>
          <w:szCs w:val="20"/>
        </w:rPr>
        <w:t>we</w:t>
      </w:r>
      <w:r w:rsidR="00804BC7" w:rsidRPr="0038373F">
        <w:rPr>
          <w:rFonts w:ascii="Verdana" w:hAnsi="Verdana"/>
          <w:sz w:val="20"/>
          <w:szCs w:val="20"/>
        </w:rPr>
        <w:t xml:space="preserve"> must wait patiently</w:t>
      </w:r>
      <w:r w:rsidR="002C0A36" w:rsidRPr="0038373F">
        <w:rPr>
          <w:rFonts w:ascii="Verdana" w:hAnsi="Verdana"/>
          <w:sz w:val="20"/>
          <w:szCs w:val="20"/>
        </w:rPr>
        <w:t xml:space="preserve"> until, hopefully, one day this discussion will be undertaken in the inter-American contentious jurisdiction, where I hope that, </w:t>
      </w:r>
      <w:r w:rsidR="00EB5169" w:rsidRPr="0038373F">
        <w:rPr>
          <w:rFonts w:ascii="Verdana" w:hAnsi="Verdana"/>
          <w:sz w:val="20"/>
          <w:szCs w:val="20"/>
        </w:rPr>
        <w:t>for</w:t>
      </w:r>
      <w:r w:rsidR="002C0A36" w:rsidRPr="0038373F">
        <w:rPr>
          <w:rFonts w:ascii="Verdana" w:hAnsi="Verdana"/>
          <w:sz w:val="20"/>
          <w:szCs w:val="20"/>
        </w:rPr>
        <w:t xml:space="preserve"> the </w:t>
      </w:r>
      <w:r w:rsidR="00EB5169" w:rsidRPr="0038373F">
        <w:rPr>
          <w:rFonts w:ascii="Verdana" w:hAnsi="Verdana"/>
          <w:sz w:val="20"/>
          <w:szCs w:val="20"/>
        </w:rPr>
        <w:t>corresponding members</w:t>
      </w:r>
      <w:r w:rsidR="002C0A36" w:rsidRPr="0038373F">
        <w:rPr>
          <w:rFonts w:ascii="Verdana" w:hAnsi="Verdana"/>
          <w:sz w:val="20"/>
          <w:szCs w:val="20"/>
        </w:rPr>
        <w:t xml:space="preserve"> of the Court, it will not be too late to </w:t>
      </w:r>
      <w:r w:rsidR="00265174" w:rsidRPr="0038373F">
        <w:rPr>
          <w:rFonts w:ascii="Verdana" w:hAnsi="Verdana"/>
          <w:sz w:val="20"/>
          <w:szCs w:val="20"/>
        </w:rPr>
        <w:t>rectify</w:t>
      </w:r>
      <w:r w:rsidR="00804BC7" w:rsidRPr="0038373F">
        <w:rPr>
          <w:rFonts w:ascii="Verdana" w:hAnsi="Verdana"/>
          <w:sz w:val="20"/>
          <w:szCs w:val="20"/>
        </w:rPr>
        <w:t xml:space="preserve"> the grav</w:t>
      </w:r>
      <w:r w:rsidR="00265174" w:rsidRPr="0038373F">
        <w:rPr>
          <w:rFonts w:ascii="Verdana" w:hAnsi="Verdana"/>
          <w:sz w:val="20"/>
          <w:szCs w:val="20"/>
        </w:rPr>
        <w:t xml:space="preserve">e errors </w:t>
      </w:r>
      <w:r w:rsidR="00804BC7" w:rsidRPr="0038373F">
        <w:rPr>
          <w:rFonts w:ascii="Verdana" w:hAnsi="Verdana"/>
          <w:sz w:val="20"/>
          <w:szCs w:val="20"/>
        </w:rPr>
        <w:t xml:space="preserve">and </w:t>
      </w:r>
      <w:r w:rsidR="00265174" w:rsidRPr="0038373F">
        <w:rPr>
          <w:rFonts w:ascii="Verdana" w:hAnsi="Verdana"/>
          <w:sz w:val="20"/>
          <w:szCs w:val="20"/>
        </w:rPr>
        <w:t xml:space="preserve">the </w:t>
      </w:r>
      <w:r w:rsidR="00804BC7" w:rsidRPr="0038373F">
        <w:rPr>
          <w:rFonts w:ascii="Verdana" w:hAnsi="Verdana"/>
          <w:sz w:val="20"/>
          <w:szCs w:val="20"/>
        </w:rPr>
        <w:t xml:space="preserve">degradation of inter-American public order </w:t>
      </w:r>
      <w:r w:rsidR="00D11277" w:rsidRPr="0038373F">
        <w:rPr>
          <w:rFonts w:ascii="Verdana" w:hAnsi="Verdana"/>
          <w:sz w:val="20"/>
          <w:szCs w:val="20"/>
        </w:rPr>
        <w:t>arising from</w:t>
      </w:r>
      <w:r w:rsidR="00804BC7" w:rsidRPr="0038373F">
        <w:rPr>
          <w:rFonts w:ascii="Verdana" w:hAnsi="Verdana"/>
          <w:sz w:val="20"/>
          <w:szCs w:val="20"/>
        </w:rPr>
        <w:t xml:space="preserve"> </w:t>
      </w:r>
      <w:r w:rsidR="00265174" w:rsidRPr="0038373F">
        <w:rPr>
          <w:rFonts w:ascii="Verdana" w:hAnsi="Verdana"/>
          <w:sz w:val="20"/>
          <w:szCs w:val="20"/>
        </w:rPr>
        <w:t>the</w:t>
      </w:r>
      <w:r w:rsidR="00804BC7" w:rsidRPr="0038373F">
        <w:rPr>
          <w:rFonts w:ascii="Verdana" w:hAnsi="Verdana"/>
          <w:sz w:val="20"/>
          <w:szCs w:val="20"/>
        </w:rPr>
        <w:t xml:space="preserve"> persistent and constant violation of the treaty-based civil and political rights, and human rights as a whole, to the detriment of inter-American public order and the democratic systems of the American Convention signatory States. </w:t>
      </w:r>
    </w:p>
    <w:p w14:paraId="40727FD8" w14:textId="0E2A25D1" w:rsidR="00CC10E2" w:rsidRPr="0038373F" w:rsidRDefault="00CC10E2" w:rsidP="00CC10E2">
      <w:pPr>
        <w:rPr>
          <w:rFonts w:ascii="Verdana" w:hAnsi="Verdana"/>
          <w:lang w:val="en-US"/>
        </w:rPr>
      </w:pPr>
    </w:p>
    <w:p w14:paraId="2FD78176" w14:textId="77777777" w:rsidR="0089740C" w:rsidRPr="0038373F" w:rsidRDefault="0089740C" w:rsidP="009D7294">
      <w:pPr>
        <w:jc w:val="both"/>
        <w:rPr>
          <w:rFonts w:ascii="Verdana" w:hAnsi="Verdana"/>
          <w:lang w:val="en-US"/>
        </w:rPr>
      </w:pPr>
    </w:p>
    <w:p w14:paraId="6257589E" w14:textId="77777777" w:rsidR="00B0661F" w:rsidRPr="0038373F" w:rsidRDefault="00B0661F" w:rsidP="009D7294">
      <w:pPr>
        <w:jc w:val="both"/>
        <w:rPr>
          <w:rFonts w:ascii="Verdana" w:hAnsi="Verdana"/>
          <w:lang w:val="en-US"/>
        </w:rPr>
      </w:pPr>
    </w:p>
    <w:p w14:paraId="7588F30C" w14:textId="7C8ED459" w:rsidR="00035BF0" w:rsidRPr="0038373F" w:rsidRDefault="00035BF0" w:rsidP="00035BF0">
      <w:pPr>
        <w:pStyle w:val="ListParagraph"/>
        <w:jc w:val="center"/>
        <w:rPr>
          <w:rFonts w:ascii="Verdana" w:hAnsi="Verdana"/>
          <w:sz w:val="20"/>
          <w:szCs w:val="20"/>
        </w:rPr>
      </w:pPr>
    </w:p>
    <w:p w14:paraId="0D0F7641" w14:textId="162E0114" w:rsidR="00A71CD3" w:rsidRPr="0038373F" w:rsidRDefault="00A71CD3" w:rsidP="00035BF0">
      <w:pPr>
        <w:pStyle w:val="ListParagraph"/>
        <w:jc w:val="center"/>
        <w:rPr>
          <w:rFonts w:ascii="Verdana" w:hAnsi="Verdana"/>
          <w:sz w:val="20"/>
          <w:szCs w:val="20"/>
        </w:rPr>
      </w:pPr>
    </w:p>
    <w:p w14:paraId="5CF1AD7A" w14:textId="4C932263" w:rsidR="00035BF0" w:rsidRPr="0038373F" w:rsidRDefault="00FE7C14" w:rsidP="00035BF0">
      <w:pPr>
        <w:ind w:left="4248"/>
        <w:jc w:val="center"/>
        <w:rPr>
          <w:rFonts w:ascii="Verdana" w:hAnsi="Verdana"/>
          <w:lang w:val="es-CR"/>
        </w:rPr>
      </w:pPr>
      <w:r w:rsidRPr="0038373F">
        <w:rPr>
          <w:rFonts w:ascii="Verdana" w:hAnsi="Verdana"/>
          <w:lang w:val="es-CR"/>
        </w:rPr>
        <w:t xml:space="preserve">L. </w:t>
      </w:r>
      <w:r w:rsidR="00C01B74" w:rsidRPr="0038373F">
        <w:rPr>
          <w:rFonts w:ascii="Verdana" w:hAnsi="Verdana"/>
          <w:lang w:val="es-CR"/>
        </w:rPr>
        <w:t>Patricio Pazmiño Freire</w:t>
      </w:r>
    </w:p>
    <w:p w14:paraId="2E11D549" w14:textId="66FD4A44" w:rsidR="00035BF0" w:rsidRPr="0038373F" w:rsidRDefault="00035BF0" w:rsidP="00035BF0">
      <w:pPr>
        <w:ind w:left="4248"/>
        <w:jc w:val="center"/>
        <w:rPr>
          <w:rFonts w:ascii="Verdana" w:hAnsi="Verdana"/>
          <w:lang w:val="es-CR"/>
        </w:rPr>
      </w:pPr>
      <w:r w:rsidRPr="0038373F">
        <w:rPr>
          <w:rFonts w:ascii="Verdana" w:hAnsi="Verdana"/>
          <w:lang w:val="es-CR"/>
        </w:rPr>
        <w:t>Ju</w:t>
      </w:r>
      <w:r w:rsidR="007F5D93" w:rsidRPr="0038373F">
        <w:rPr>
          <w:rFonts w:ascii="Verdana" w:hAnsi="Verdana"/>
          <w:lang w:val="es-CR"/>
        </w:rPr>
        <w:t>dge</w:t>
      </w:r>
    </w:p>
    <w:p w14:paraId="7D301A59" w14:textId="77777777" w:rsidR="00035BF0" w:rsidRPr="0038373F" w:rsidRDefault="00035BF0" w:rsidP="00035BF0">
      <w:pPr>
        <w:tabs>
          <w:tab w:val="left" w:pos="1440"/>
        </w:tabs>
        <w:jc w:val="center"/>
        <w:rPr>
          <w:rFonts w:ascii="Verdana" w:hAnsi="Verdana"/>
          <w:lang w:val="es-CR"/>
        </w:rPr>
      </w:pPr>
    </w:p>
    <w:p w14:paraId="7D4129EF" w14:textId="77777777" w:rsidR="00035BF0" w:rsidRPr="0038373F" w:rsidRDefault="00035BF0" w:rsidP="00035BF0">
      <w:pPr>
        <w:tabs>
          <w:tab w:val="left" w:pos="1440"/>
        </w:tabs>
        <w:rPr>
          <w:rFonts w:ascii="Verdana" w:hAnsi="Verdana"/>
          <w:lang w:val="es-CR"/>
        </w:rPr>
      </w:pPr>
      <w:r w:rsidRPr="0038373F">
        <w:rPr>
          <w:rFonts w:ascii="Verdana" w:hAnsi="Verdana"/>
          <w:lang w:val="es-CR"/>
        </w:rPr>
        <w:t>Pablo Saavedra Alessandri</w:t>
      </w:r>
    </w:p>
    <w:p w14:paraId="7F20C872" w14:textId="09461834" w:rsidR="00924DAA" w:rsidRPr="00265174" w:rsidRDefault="00035BF0" w:rsidP="00B61D76">
      <w:pPr>
        <w:tabs>
          <w:tab w:val="left" w:pos="1440"/>
        </w:tabs>
        <w:rPr>
          <w:rFonts w:ascii="Verdana" w:hAnsi="Verdana"/>
          <w:lang w:val="en-US"/>
        </w:rPr>
      </w:pPr>
      <w:r w:rsidRPr="0038373F">
        <w:rPr>
          <w:rFonts w:ascii="Verdana" w:hAnsi="Verdana"/>
          <w:lang w:val="es-CR"/>
        </w:rPr>
        <w:t xml:space="preserve">          </w:t>
      </w:r>
      <w:r w:rsidRPr="0038373F">
        <w:rPr>
          <w:rFonts w:ascii="Verdana" w:hAnsi="Verdana"/>
          <w:lang w:val="en-US"/>
        </w:rPr>
        <w:t>Secretar</w:t>
      </w:r>
      <w:r w:rsidR="007F5D93" w:rsidRPr="0038373F">
        <w:rPr>
          <w:rFonts w:ascii="Verdana" w:hAnsi="Verdana"/>
          <w:lang w:val="en-US"/>
        </w:rPr>
        <w:t>y</w:t>
      </w:r>
    </w:p>
    <w:sectPr w:rsidR="00924DAA" w:rsidRPr="00265174" w:rsidSect="00514E6E">
      <w:headerReference w:type="default" r:id="rId9"/>
      <w:footerReference w:type="default" r:id="rId10"/>
      <w:pgSz w:w="12240" w:h="15840" w:code="1"/>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1360A" w14:textId="77777777" w:rsidR="00CE5823" w:rsidRDefault="00CE5823" w:rsidP="00CD29C6">
      <w:r>
        <w:separator/>
      </w:r>
    </w:p>
  </w:endnote>
  <w:endnote w:type="continuationSeparator" w:id="0">
    <w:p w14:paraId="47743646" w14:textId="77777777" w:rsidR="00CE5823" w:rsidRDefault="00CE5823" w:rsidP="00CD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Bold">
    <w:altName w:val="Verdana"/>
    <w:panose1 w:val="020B08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74EC7" w14:textId="170C8DF6" w:rsidR="008D3C09" w:rsidRDefault="008D3C09">
    <w:pPr>
      <w:pStyle w:val="Footer"/>
      <w:jc w:val="right"/>
    </w:pPr>
  </w:p>
  <w:p w14:paraId="22C62BF2" w14:textId="77777777" w:rsidR="008D3C09" w:rsidRDefault="008D3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4EAA4" w14:textId="77777777" w:rsidR="00CE5823" w:rsidRDefault="00CE5823" w:rsidP="00CD29C6">
      <w:r>
        <w:separator/>
      </w:r>
    </w:p>
  </w:footnote>
  <w:footnote w:type="continuationSeparator" w:id="0">
    <w:p w14:paraId="48793191" w14:textId="77777777" w:rsidR="00CE5823" w:rsidRDefault="00CE5823" w:rsidP="00CD29C6">
      <w:r>
        <w:continuationSeparator/>
      </w:r>
    </w:p>
  </w:footnote>
  <w:footnote w:id="1">
    <w:p w14:paraId="039F5624" w14:textId="0D7D8ED5" w:rsidR="008D3C09" w:rsidRPr="0038373F" w:rsidRDefault="008D3C09" w:rsidP="002F6C85">
      <w:pPr>
        <w:pStyle w:val="FootnoteText"/>
        <w:spacing w:after="120"/>
        <w:jc w:val="both"/>
        <w:rPr>
          <w:rFonts w:ascii="Verdana" w:hAnsi="Verdana"/>
          <w:sz w:val="16"/>
          <w:szCs w:val="16"/>
          <w:lang w:val="en-US"/>
        </w:rPr>
      </w:pPr>
      <w:r w:rsidRPr="0038373F">
        <w:rPr>
          <w:rStyle w:val="FootnoteReference"/>
          <w:rFonts w:ascii="Verdana" w:hAnsi="Verdana"/>
          <w:sz w:val="16"/>
          <w:szCs w:val="16"/>
          <w:lang w:val="en-US"/>
        </w:rPr>
        <w:footnoteRef/>
      </w:r>
      <w:r w:rsidRPr="0038373F">
        <w:rPr>
          <w:rFonts w:ascii="Verdana" w:hAnsi="Verdana"/>
          <w:sz w:val="16"/>
          <w:szCs w:val="16"/>
          <w:lang w:val="en-US"/>
        </w:rPr>
        <w:t xml:space="preserve"> </w:t>
      </w:r>
      <w:r w:rsidRPr="0038373F">
        <w:rPr>
          <w:rFonts w:ascii="Verdana" w:hAnsi="Verdana"/>
          <w:sz w:val="16"/>
          <w:szCs w:val="16"/>
          <w:lang w:val="en-US"/>
        </w:rPr>
        <w:tab/>
      </w:r>
      <w:r w:rsidR="00B90447" w:rsidRPr="0038373F">
        <w:rPr>
          <w:rFonts w:ascii="Verdana" w:hAnsi="Verdana"/>
          <w:i/>
          <w:sz w:val="16"/>
          <w:szCs w:val="16"/>
          <w:lang w:val="en-US"/>
        </w:rPr>
        <w:t>Cf.</w:t>
      </w:r>
      <w:r w:rsidRPr="0038373F">
        <w:rPr>
          <w:rFonts w:ascii="Verdana" w:hAnsi="Verdana"/>
          <w:sz w:val="16"/>
          <w:szCs w:val="16"/>
          <w:lang w:val="en-US"/>
        </w:rPr>
        <w:t xml:space="preserve"> </w:t>
      </w:r>
      <w:hyperlink r:id="rId1" w:history="1">
        <w:r w:rsidR="00B90447" w:rsidRPr="0038373F">
          <w:rPr>
            <w:rFonts w:ascii="Verdana" w:hAnsi="Verdana"/>
            <w:i/>
            <w:sz w:val="16"/>
            <w:szCs w:val="16"/>
            <w:lang w:val="en-US"/>
          </w:rPr>
          <w:t>The Right to Information on Consular Assistance in the Framework of the Guarantees of Due Process of Law</w:t>
        </w:r>
      </w:hyperlink>
      <w:r w:rsidR="00B90447" w:rsidRPr="0038373F">
        <w:rPr>
          <w:rFonts w:ascii="Verdana" w:hAnsi="Verdana"/>
          <w:i/>
          <w:sz w:val="16"/>
          <w:szCs w:val="16"/>
          <w:lang w:val="en-US"/>
        </w:rPr>
        <w:t xml:space="preserve">. </w:t>
      </w:r>
      <w:r w:rsidR="00B90447" w:rsidRPr="0038373F">
        <w:rPr>
          <w:rFonts w:ascii="Verdana" w:hAnsi="Verdana"/>
          <w:sz w:val="16"/>
          <w:szCs w:val="16"/>
          <w:lang w:val="en-US"/>
        </w:rPr>
        <w:t xml:space="preserve">Advisory Opinion OC-16/99 of October 1, 1999. Series A No. 16, paras. </w:t>
      </w:r>
      <w:r w:rsidRPr="0038373F">
        <w:rPr>
          <w:rFonts w:ascii="Verdana" w:hAnsi="Verdana"/>
          <w:sz w:val="16"/>
          <w:szCs w:val="16"/>
          <w:lang w:val="en-US"/>
        </w:rPr>
        <w:t xml:space="preserve">45 </w:t>
      </w:r>
      <w:r w:rsidR="00B90447" w:rsidRPr="0038373F">
        <w:rPr>
          <w:rFonts w:ascii="Verdana" w:hAnsi="Verdana"/>
          <w:sz w:val="16"/>
          <w:szCs w:val="16"/>
          <w:lang w:val="en-US"/>
        </w:rPr>
        <w:t>to</w:t>
      </w:r>
      <w:r w:rsidRPr="0038373F">
        <w:rPr>
          <w:rFonts w:ascii="Verdana" w:hAnsi="Verdana"/>
          <w:sz w:val="16"/>
          <w:szCs w:val="16"/>
          <w:lang w:val="en-US"/>
        </w:rPr>
        <w:t xml:space="preserve"> 65; </w:t>
      </w:r>
      <w:r w:rsidR="00B90447" w:rsidRPr="0038373F">
        <w:rPr>
          <w:rFonts w:ascii="Verdana" w:hAnsi="Verdana"/>
          <w:i/>
          <w:sz w:val="16"/>
          <w:szCs w:val="16"/>
          <w:lang w:val="en-US"/>
        </w:rPr>
        <w:t>Juridical Status and Human Rights of</w:t>
      </w:r>
      <w:r w:rsidR="00B90447" w:rsidRPr="0038373F">
        <w:rPr>
          <w:rFonts w:ascii="Verdana" w:hAnsi="Verdana"/>
          <w:sz w:val="16"/>
          <w:szCs w:val="16"/>
          <w:lang w:val="en-US"/>
        </w:rPr>
        <w:t xml:space="preserve"> </w:t>
      </w:r>
      <w:r w:rsidR="00B90447" w:rsidRPr="0038373F">
        <w:rPr>
          <w:rFonts w:ascii="Verdana" w:hAnsi="Verdana"/>
          <w:i/>
          <w:sz w:val="16"/>
          <w:szCs w:val="16"/>
          <w:lang w:val="en-US"/>
        </w:rPr>
        <w:t xml:space="preserve">Undocumented Migrants. </w:t>
      </w:r>
      <w:r w:rsidR="00B90447" w:rsidRPr="0038373F">
        <w:rPr>
          <w:rFonts w:ascii="Verdana" w:hAnsi="Verdana"/>
          <w:sz w:val="16"/>
          <w:szCs w:val="16"/>
          <w:lang w:val="en-US"/>
        </w:rPr>
        <w:t xml:space="preserve">Advisory Opinion OC-18/03 of September 17, 2003. Series A No. 18, paras. </w:t>
      </w:r>
      <w:r w:rsidRPr="0038373F">
        <w:rPr>
          <w:rFonts w:ascii="Verdana" w:hAnsi="Verdana"/>
          <w:sz w:val="16"/>
          <w:szCs w:val="16"/>
          <w:lang w:val="en-US"/>
        </w:rPr>
        <w:t xml:space="preserve">62 </w:t>
      </w:r>
      <w:r w:rsidR="00B90447" w:rsidRPr="0038373F">
        <w:rPr>
          <w:rFonts w:ascii="Verdana" w:hAnsi="Verdana"/>
          <w:sz w:val="16"/>
          <w:szCs w:val="16"/>
          <w:lang w:val="en-US"/>
        </w:rPr>
        <w:t>to</w:t>
      </w:r>
      <w:r w:rsidRPr="0038373F">
        <w:rPr>
          <w:rFonts w:ascii="Verdana" w:hAnsi="Verdana"/>
          <w:sz w:val="16"/>
          <w:szCs w:val="16"/>
          <w:lang w:val="en-US"/>
        </w:rPr>
        <w:t xml:space="preserve"> 66, </w:t>
      </w:r>
      <w:r w:rsidR="00B90447" w:rsidRPr="0038373F">
        <w:rPr>
          <w:rFonts w:ascii="Verdana" w:hAnsi="Verdana"/>
          <w:sz w:val="16"/>
          <w:szCs w:val="16"/>
          <w:lang w:val="en-US"/>
        </w:rPr>
        <w:t xml:space="preserve">and </w:t>
      </w:r>
      <w:r w:rsidR="00B90447" w:rsidRPr="0038373F">
        <w:rPr>
          <w:rFonts w:ascii="Verdana" w:hAnsi="Verdana"/>
          <w:bCs/>
          <w:i/>
          <w:sz w:val="16"/>
          <w:szCs w:val="16"/>
          <w:lang w:val="en-US"/>
        </w:rPr>
        <w:t xml:space="preserve">Gender Identity, and Equality and Non-Discrimination with regard to Same-Sex Couples. State Obligations in </w:t>
      </w:r>
      <w:r w:rsidR="006E6C24" w:rsidRPr="0038373F">
        <w:rPr>
          <w:rFonts w:ascii="Verdana" w:hAnsi="Verdana"/>
          <w:bCs/>
          <w:i/>
          <w:sz w:val="16"/>
          <w:szCs w:val="16"/>
          <w:lang w:val="en-US"/>
        </w:rPr>
        <w:t>R</w:t>
      </w:r>
      <w:r w:rsidR="00B90447" w:rsidRPr="0038373F">
        <w:rPr>
          <w:rFonts w:ascii="Verdana" w:hAnsi="Verdana"/>
          <w:bCs/>
          <w:i/>
          <w:sz w:val="16"/>
          <w:szCs w:val="16"/>
          <w:lang w:val="en-US"/>
        </w:rPr>
        <w:t xml:space="preserve">elation to Change of Name, Gender Identity, and Rights deriving from a </w:t>
      </w:r>
      <w:r w:rsidR="006E6C24" w:rsidRPr="0038373F">
        <w:rPr>
          <w:rFonts w:ascii="Verdana" w:hAnsi="Verdana"/>
          <w:bCs/>
          <w:i/>
          <w:sz w:val="16"/>
          <w:szCs w:val="16"/>
          <w:lang w:val="en-US"/>
        </w:rPr>
        <w:t>R</w:t>
      </w:r>
      <w:r w:rsidR="00B90447" w:rsidRPr="0038373F">
        <w:rPr>
          <w:rFonts w:ascii="Verdana" w:hAnsi="Verdana"/>
          <w:bCs/>
          <w:i/>
          <w:sz w:val="16"/>
          <w:szCs w:val="16"/>
          <w:lang w:val="en-US"/>
        </w:rPr>
        <w:t>elationship between Same-Sex Couples (Interpretation and scope of Articles 1(1), 3, 7, 11(2), 13, 17, 18 and 24, in relation to Article 1, of the American Convention on Human Rights</w:t>
      </w:r>
      <w:r w:rsidR="00B90447" w:rsidRPr="0038373F">
        <w:rPr>
          <w:rFonts w:ascii="Verdana" w:hAnsi="Verdana"/>
          <w:i/>
          <w:sz w:val="16"/>
          <w:szCs w:val="16"/>
          <w:lang w:val="en-US"/>
        </w:rPr>
        <w:t>)</w:t>
      </w:r>
      <w:r w:rsidR="00B90447" w:rsidRPr="0038373F">
        <w:rPr>
          <w:rFonts w:ascii="Verdana" w:hAnsi="Verdana"/>
          <w:sz w:val="16"/>
          <w:szCs w:val="16"/>
          <w:lang w:val="en-US"/>
        </w:rPr>
        <w:t>. Advisory Opinion OC-24/17 of November 24, 2017. Series A No. 24, para</w:t>
      </w:r>
      <w:r w:rsidR="001E2477" w:rsidRPr="0038373F">
        <w:rPr>
          <w:rFonts w:ascii="Verdana" w:hAnsi="Verdana"/>
          <w:sz w:val="16"/>
          <w:szCs w:val="16"/>
          <w:lang w:val="en-US"/>
        </w:rPr>
        <w:t xml:space="preserve">. </w:t>
      </w:r>
      <w:r w:rsidRPr="0038373F">
        <w:rPr>
          <w:rFonts w:ascii="Verdana" w:hAnsi="Verdana"/>
          <w:sz w:val="16"/>
          <w:szCs w:val="16"/>
          <w:lang w:val="en-US"/>
        </w:rPr>
        <w:t xml:space="preserve">24.  </w:t>
      </w:r>
    </w:p>
  </w:footnote>
  <w:footnote w:id="2">
    <w:p w14:paraId="12B8604C" w14:textId="7DB621C4" w:rsidR="008D3C09" w:rsidRPr="0038373F" w:rsidRDefault="008D3C09" w:rsidP="001E2477">
      <w:pPr>
        <w:tabs>
          <w:tab w:val="left" w:pos="567"/>
        </w:tabs>
        <w:spacing w:after="120"/>
        <w:jc w:val="both"/>
        <w:rPr>
          <w:rFonts w:ascii="Verdana" w:hAnsi="Verdana"/>
          <w:caps/>
          <w:sz w:val="16"/>
          <w:szCs w:val="16"/>
          <w:lang w:val="en-US"/>
        </w:rPr>
      </w:pPr>
      <w:r w:rsidRPr="0038373F">
        <w:rPr>
          <w:rStyle w:val="FootnoteReference"/>
          <w:rFonts w:ascii="Verdana" w:hAnsi="Verdana"/>
          <w:sz w:val="16"/>
          <w:szCs w:val="16"/>
          <w:lang w:val="en-US"/>
        </w:rPr>
        <w:footnoteRef/>
      </w:r>
      <w:r w:rsidRPr="0038373F">
        <w:rPr>
          <w:rFonts w:ascii="Verdana" w:hAnsi="Verdana"/>
          <w:sz w:val="16"/>
          <w:szCs w:val="16"/>
          <w:lang w:val="en-US"/>
        </w:rPr>
        <w:tab/>
      </w:r>
      <w:r w:rsidR="001E2477" w:rsidRPr="0038373F">
        <w:rPr>
          <w:rFonts w:ascii="Verdana" w:hAnsi="Verdana"/>
          <w:i/>
          <w:sz w:val="16"/>
          <w:szCs w:val="16"/>
          <w:lang w:val="en-US"/>
        </w:rPr>
        <w:t>The Environment and Human Rights</w:t>
      </w:r>
      <w:r w:rsidR="001E2477" w:rsidRPr="0038373F">
        <w:rPr>
          <w:rFonts w:ascii="Verdana" w:hAnsi="Verdana"/>
          <w:i/>
          <w:caps/>
          <w:sz w:val="16"/>
          <w:szCs w:val="16"/>
          <w:lang w:val="en-US"/>
        </w:rPr>
        <w:t xml:space="preserve"> </w:t>
      </w:r>
      <w:r w:rsidR="001E2477" w:rsidRPr="0038373F">
        <w:rPr>
          <w:rFonts w:ascii="Verdana" w:hAnsi="Verdana"/>
          <w:i/>
          <w:sz w:val="16"/>
          <w:szCs w:val="16"/>
          <w:lang w:val="en-US"/>
        </w:rPr>
        <w:t>(State obligations in relation to the environment in the context of protection and guarantee of the rights to life and to personal integrity – interpretation and scope of Articles 4(1) and 5(1) in relation to Articles 1(1) and 2 of the American</w:t>
      </w:r>
      <w:r w:rsidR="001E2477" w:rsidRPr="0038373F">
        <w:rPr>
          <w:rFonts w:ascii="Verdana" w:hAnsi="Verdana"/>
          <w:b/>
          <w:i/>
          <w:lang w:val="en-US"/>
        </w:rPr>
        <w:t xml:space="preserve"> </w:t>
      </w:r>
      <w:r w:rsidR="001E2477" w:rsidRPr="0038373F">
        <w:rPr>
          <w:rFonts w:ascii="Verdana" w:hAnsi="Verdana"/>
          <w:i/>
          <w:sz w:val="16"/>
          <w:szCs w:val="16"/>
          <w:lang w:val="en-US"/>
        </w:rPr>
        <w:t>Convention on Human Rights)</w:t>
      </w:r>
      <w:r w:rsidR="001E2477" w:rsidRPr="0038373F">
        <w:rPr>
          <w:rFonts w:ascii="Verdana" w:hAnsi="Verdana"/>
          <w:sz w:val="16"/>
          <w:szCs w:val="16"/>
          <w:lang w:val="en-US"/>
        </w:rPr>
        <w:t>. Advisory Opinion OC-23/17 of November 15, 2017. Series A No. 23, para. 26.</w:t>
      </w:r>
    </w:p>
  </w:footnote>
  <w:footnote w:id="3">
    <w:p w14:paraId="46530672" w14:textId="7D0EFCB0" w:rsidR="008D3C09" w:rsidRPr="0038373F" w:rsidRDefault="008D3C09" w:rsidP="002F6C85">
      <w:pPr>
        <w:pStyle w:val="FootnoteText"/>
        <w:spacing w:after="120"/>
        <w:jc w:val="both"/>
        <w:rPr>
          <w:rFonts w:ascii="Verdana" w:hAnsi="Verdana"/>
          <w:sz w:val="16"/>
          <w:szCs w:val="16"/>
          <w:lang w:val="en-US"/>
        </w:rPr>
      </w:pPr>
      <w:r w:rsidRPr="0038373F">
        <w:rPr>
          <w:rStyle w:val="FootnoteReference"/>
          <w:rFonts w:ascii="Verdana" w:eastAsia="Times" w:hAnsi="Verdana"/>
          <w:sz w:val="16"/>
          <w:szCs w:val="16"/>
          <w:lang w:val="en-US"/>
        </w:rPr>
        <w:footnoteRef/>
      </w:r>
      <w:r w:rsidRPr="0038373F">
        <w:rPr>
          <w:rFonts w:ascii="Verdana" w:hAnsi="Verdana"/>
          <w:i/>
          <w:sz w:val="16"/>
          <w:szCs w:val="16"/>
          <w:lang w:val="en-US"/>
        </w:rPr>
        <w:tab/>
      </w:r>
      <w:r w:rsidR="001E2477" w:rsidRPr="0038373F">
        <w:rPr>
          <w:rFonts w:ascii="Verdana" w:hAnsi="Verdana"/>
          <w:i/>
          <w:sz w:val="16"/>
          <w:szCs w:val="16"/>
          <w:lang w:val="en-US"/>
        </w:rPr>
        <w:t xml:space="preserve">Cf. </w:t>
      </w:r>
      <w:r w:rsidR="001E2477" w:rsidRPr="0038373F">
        <w:rPr>
          <w:rFonts w:ascii="Verdana" w:hAnsi="Verdana"/>
          <w:sz w:val="16"/>
          <w:szCs w:val="16"/>
          <w:lang w:val="en-US"/>
        </w:rPr>
        <w:t>Advisory Opinion</w:t>
      </w:r>
      <w:r w:rsidRPr="0038373F">
        <w:rPr>
          <w:rFonts w:ascii="Verdana" w:hAnsi="Verdana"/>
          <w:sz w:val="16"/>
          <w:szCs w:val="16"/>
          <w:lang w:val="en-US"/>
        </w:rPr>
        <w:t xml:space="preserve"> OC-1/82, </w:t>
      </w:r>
      <w:r w:rsidR="001E2477" w:rsidRPr="0038373F">
        <w:rPr>
          <w:rFonts w:ascii="Verdana" w:hAnsi="Verdana"/>
          <w:sz w:val="16"/>
          <w:szCs w:val="16"/>
          <w:lang w:val="en-US"/>
        </w:rPr>
        <w:t>para.</w:t>
      </w:r>
      <w:r w:rsidRPr="0038373F">
        <w:rPr>
          <w:rFonts w:ascii="Verdana" w:hAnsi="Verdana"/>
          <w:sz w:val="16"/>
          <w:szCs w:val="16"/>
          <w:lang w:val="en-US"/>
        </w:rPr>
        <w:t xml:space="preserve"> 25;</w:t>
      </w:r>
      <w:r w:rsidRPr="0038373F">
        <w:rPr>
          <w:rFonts w:ascii="Verdana" w:hAnsi="Verdana"/>
          <w:i/>
          <w:sz w:val="16"/>
          <w:szCs w:val="16"/>
          <w:lang w:val="en-US"/>
        </w:rPr>
        <w:t xml:space="preserve"> </w:t>
      </w:r>
      <w:hyperlink r:id="rId2" w:history="1">
        <w:r w:rsidR="001E2477" w:rsidRPr="0038373F">
          <w:rPr>
            <w:rFonts w:ascii="Verdana" w:hAnsi="Verdana"/>
            <w:i/>
            <w:sz w:val="16"/>
            <w:szCs w:val="16"/>
            <w:lang w:val="en-US"/>
          </w:rPr>
          <w:t xml:space="preserve">Certain Attributes of the Inter-American Commission </w:t>
        </w:r>
        <w:r w:rsidR="00B37973" w:rsidRPr="0038373F">
          <w:rPr>
            <w:rFonts w:ascii="Verdana" w:hAnsi="Verdana"/>
            <w:i/>
            <w:sz w:val="16"/>
            <w:szCs w:val="16"/>
            <w:lang w:val="en-US"/>
          </w:rPr>
          <w:t>o</w:t>
        </w:r>
        <w:r w:rsidR="001E2477" w:rsidRPr="0038373F">
          <w:rPr>
            <w:rFonts w:ascii="Verdana" w:hAnsi="Verdana"/>
            <w:i/>
            <w:sz w:val="16"/>
            <w:szCs w:val="16"/>
            <w:lang w:val="en-US"/>
          </w:rPr>
          <w:t>n Human Rights (Arts. 41, 42, 44, 46, 47, 50 and 51 of the American Convention on Human Rights)</w:t>
        </w:r>
      </w:hyperlink>
      <w:r w:rsidRPr="0038373F">
        <w:rPr>
          <w:rFonts w:ascii="Verdana" w:hAnsi="Verdana"/>
          <w:iCs/>
          <w:sz w:val="16"/>
          <w:szCs w:val="16"/>
          <w:lang w:val="en-US"/>
        </w:rPr>
        <w:t>.</w:t>
      </w:r>
      <w:r w:rsidRPr="0038373F">
        <w:rPr>
          <w:rFonts w:ascii="Verdana" w:hAnsi="Verdana"/>
          <w:sz w:val="16"/>
          <w:szCs w:val="16"/>
          <w:lang w:val="en-US"/>
        </w:rPr>
        <w:t xml:space="preserve"> </w:t>
      </w:r>
      <w:r w:rsidR="001E2477" w:rsidRPr="0038373F">
        <w:rPr>
          <w:rFonts w:ascii="Verdana" w:hAnsi="Verdana"/>
          <w:sz w:val="16"/>
          <w:szCs w:val="16"/>
          <w:lang w:val="en-US"/>
        </w:rPr>
        <w:t>Advisory Opinion</w:t>
      </w:r>
      <w:r w:rsidRPr="0038373F">
        <w:rPr>
          <w:rFonts w:ascii="Verdana" w:hAnsi="Verdana"/>
          <w:sz w:val="16"/>
          <w:szCs w:val="16"/>
          <w:lang w:val="en-US"/>
        </w:rPr>
        <w:t xml:space="preserve"> OC-13/93 </w:t>
      </w:r>
      <w:r w:rsidR="001E2477" w:rsidRPr="0038373F">
        <w:rPr>
          <w:rFonts w:ascii="Verdana" w:hAnsi="Verdana"/>
          <w:sz w:val="16"/>
          <w:szCs w:val="16"/>
          <w:lang w:val="en-US"/>
        </w:rPr>
        <w:t>of July 16,</w:t>
      </w:r>
      <w:r w:rsidRPr="0038373F">
        <w:rPr>
          <w:rFonts w:ascii="Verdana" w:hAnsi="Verdana"/>
          <w:sz w:val="16"/>
          <w:szCs w:val="16"/>
          <w:lang w:val="en-US"/>
        </w:rPr>
        <w:t xml:space="preserve"> 1993, Serie A No. 13, </w:t>
      </w:r>
      <w:r w:rsidR="001E2477" w:rsidRPr="0038373F">
        <w:rPr>
          <w:rFonts w:ascii="Verdana" w:hAnsi="Verdana"/>
          <w:sz w:val="16"/>
          <w:szCs w:val="16"/>
          <w:lang w:val="en-US"/>
        </w:rPr>
        <w:t>para.</w:t>
      </w:r>
      <w:r w:rsidRPr="0038373F">
        <w:rPr>
          <w:rFonts w:ascii="Verdana" w:hAnsi="Verdana"/>
          <w:sz w:val="16"/>
          <w:szCs w:val="16"/>
          <w:lang w:val="en-US"/>
        </w:rPr>
        <w:t xml:space="preserve"> 41</w:t>
      </w:r>
      <w:r w:rsidR="00387711" w:rsidRPr="0038373F">
        <w:rPr>
          <w:rFonts w:ascii="Verdana" w:hAnsi="Verdana"/>
          <w:sz w:val="16"/>
          <w:szCs w:val="16"/>
          <w:lang w:val="en-US"/>
        </w:rPr>
        <w:t>;</w:t>
      </w:r>
      <w:r w:rsidRPr="0038373F">
        <w:rPr>
          <w:rFonts w:ascii="Verdana" w:hAnsi="Verdana"/>
          <w:sz w:val="16"/>
          <w:szCs w:val="16"/>
          <w:lang w:val="en-US"/>
        </w:rPr>
        <w:t xml:space="preserve"> </w:t>
      </w:r>
      <w:r w:rsidR="001E2477" w:rsidRPr="0038373F">
        <w:rPr>
          <w:rFonts w:ascii="Verdana" w:hAnsi="Verdana"/>
          <w:sz w:val="16"/>
          <w:szCs w:val="16"/>
          <w:lang w:val="en-US"/>
        </w:rPr>
        <w:t>Advisory Opinion</w:t>
      </w:r>
      <w:r w:rsidRPr="0038373F">
        <w:rPr>
          <w:rFonts w:ascii="Verdana" w:hAnsi="Verdana"/>
          <w:sz w:val="16"/>
          <w:szCs w:val="16"/>
          <w:lang w:val="en-US"/>
        </w:rPr>
        <w:t xml:space="preserve"> OC-15/97, </w:t>
      </w:r>
      <w:r w:rsidR="001E2477" w:rsidRPr="0038373F">
        <w:rPr>
          <w:rFonts w:ascii="Verdana" w:hAnsi="Verdana"/>
          <w:sz w:val="16"/>
          <w:szCs w:val="16"/>
          <w:lang w:val="en-US"/>
        </w:rPr>
        <w:t>para.</w:t>
      </w:r>
      <w:r w:rsidRPr="0038373F">
        <w:rPr>
          <w:rFonts w:ascii="Verdana" w:hAnsi="Verdana"/>
          <w:sz w:val="16"/>
          <w:szCs w:val="16"/>
          <w:lang w:val="en-US"/>
        </w:rPr>
        <w:t xml:space="preserve"> 39</w:t>
      </w:r>
      <w:r w:rsidR="00387711" w:rsidRPr="0038373F">
        <w:rPr>
          <w:rFonts w:ascii="Verdana" w:hAnsi="Verdana"/>
          <w:sz w:val="16"/>
          <w:szCs w:val="16"/>
          <w:lang w:val="en-US"/>
        </w:rPr>
        <w:t>,</w:t>
      </w:r>
      <w:r w:rsidR="001E2477" w:rsidRPr="0038373F">
        <w:rPr>
          <w:rFonts w:ascii="Verdana" w:hAnsi="Verdana"/>
          <w:sz w:val="16"/>
          <w:szCs w:val="16"/>
          <w:lang w:val="en-US"/>
        </w:rPr>
        <w:t xml:space="preserve"> and Advisory Opinion</w:t>
      </w:r>
      <w:r w:rsidRPr="0038373F">
        <w:rPr>
          <w:rFonts w:ascii="Verdana" w:hAnsi="Verdana"/>
          <w:sz w:val="16"/>
          <w:szCs w:val="16"/>
          <w:lang w:val="en-US"/>
        </w:rPr>
        <w:t xml:space="preserve"> OC-19/05, </w:t>
      </w:r>
      <w:r w:rsidR="001E2477" w:rsidRPr="0038373F">
        <w:rPr>
          <w:rFonts w:ascii="Verdana" w:hAnsi="Verdana"/>
          <w:sz w:val="16"/>
          <w:szCs w:val="16"/>
          <w:lang w:val="en-US"/>
        </w:rPr>
        <w:t>para.</w:t>
      </w:r>
      <w:r w:rsidRPr="0038373F">
        <w:rPr>
          <w:rFonts w:ascii="Verdana" w:hAnsi="Verdana"/>
          <w:sz w:val="16"/>
          <w:szCs w:val="16"/>
          <w:lang w:val="en-US"/>
        </w:rPr>
        <w:t xml:space="preserve"> 17.</w:t>
      </w:r>
    </w:p>
  </w:footnote>
  <w:footnote w:id="4">
    <w:p w14:paraId="7A2B1E26" w14:textId="410792BE" w:rsidR="008D3C09" w:rsidRPr="0038373F" w:rsidRDefault="008D3C09" w:rsidP="002F6C85">
      <w:pPr>
        <w:spacing w:after="120"/>
        <w:jc w:val="both"/>
        <w:rPr>
          <w:rFonts w:ascii="Verdana" w:hAnsi="Verdana"/>
          <w:sz w:val="16"/>
          <w:szCs w:val="16"/>
          <w:lang w:val="en-US"/>
        </w:rPr>
      </w:pPr>
      <w:r w:rsidRPr="0038373F">
        <w:rPr>
          <w:rStyle w:val="FootnoteReference"/>
          <w:rFonts w:ascii="Verdana" w:eastAsia="Times" w:hAnsi="Verdana"/>
          <w:sz w:val="16"/>
          <w:szCs w:val="16"/>
          <w:lang w:val="en-US"/>
        </w:rPr>
        <w:footnoteRef/>
      </w:r>
      <w:r w:rsidRPr="0038373F">
        <w:rPr>
          <w:rFonts w:ascii="Verdana" w:hAnsi="Verdana"/>
          <w:sz w:val="16"/>
          <w:szCs w:val="16"/>
          <w:lang w:val="en-US"/>
        </w:rPr>
        <w:tab/>
      </w:r>
      <w:r w:rsidR="001E2477" w:rsidRPr="0038373F">
        <w:rPr>
          <w:rFonts w:ascii="Verdana" w:hAnsi="Verdana"/>
          <w:i/>
          <w:sz w:val="16"/>
          <w:szCs w:val="16"/>
          <w:lang w:val="en-US"/>
        </w:rPr>
        <w:t xml:space="preserve">Cf. </w:t>
      </w:r>
      <w:hyperlink r:id="rId3" w:history="1">
        <w:bookmarkStart w:id="1" w:name="_Hlk515975081"/>
        <w:r w:rsidR="001E2477" w:rsidRPr="0038373F">
          <w:rPr>
            <w:rFonts w:ascii="Verdana" w:eastAsia="Times New Roman" w:hAnsi="Verdana"/>
            <w:i/>
            <w:sz w:val="16"/>
            <w:szCs w:val="16"/>
            <w:lang w:val="en-US"/>
          </w:rPr>
          <w:t>Judicial Guarantees in States of Emergency (Arts. 27.2, 25 and 8 American Convention on Human Rights</w:t>
        </w:r>
        <w:bookmarkEnd w:id="1"/>
        <w:r w:rsidR="001E2477" w:rsidRPr="0038373F">
          <w:rPr>
            <w:rFonts w:ascii="Verdana" w:eastAsia="Times New Roman" w:hAnsi="Verdana"/>
            <w:i/>
            <w:sz w:val="16"/>
            <w:szCs w:val="16"/>
            <w:lang w:val="en-US"/>
          </w:rPr>
          <w:t>)</w:t>
        </w:r>
      </w:hyperlink>
      <w:r w:rsidR="001E2477" w:rsidRPr="0038373F">
        <w:rPr>
          <w:rFonts w:ascii="Verdana" w:eastAsia="Times New Roman" w:hAnsi="Verdana"/>
          <w:i/>
          <w:sz w:val="16"/>
          <w:szCs w:val="16"/>
          <w:lang w:val="en-US"/>
        </w:rPr>
        <w:t xml:space="preserve">, </w:t>
      </w:r>
      <w:r w:rsidR="001E2477" w:rsidRPr="0038373F">
        <w:rPr>
          <w:rFonts w:ascii="Verdana" w:hAnsi="Verdana"/>
          <w:bCs/>
          <w:sz w:val="16"/>
          <w:szCs w:val="16"/>
          <w:lang w:val="en-US"/>
        </w:rPr>
        <w:t>Advisory Opinion</w:t>
      </w:r>
      <w:r w:rsidRPr="0038373F">
        <w:rPr>
          <w:rFonts w:ascii="Verdana" w:hAnsi="Verdana"/>
          <w:bCs/>
          <w:sz w:val="16"/>
          <w:szCs w:val="16"/>
          <w:lang w:val="en-US"/>
        </w:rPr>
        <w:t xml:space="preserve"> OC-9/87 </w:t>
      </w:r>
      <w:r w:rsidR="001E2477" w:rsidRPr="0038373F">
        <w:rPr>
          <w:rFonts w:ascii="Verdana" w:hAnsi="Verdana"/>
          <w:bCs/>
          <w:sz w:val="16"/>
          <w:szCs w:val="16"/>
          <w:lang w:val="en-US"/>
        </w:rPr>
        <w:t>of October 6,</w:t>
      </w:r>
      <w:r w:rsidRPr="0038373F">
        <w:rPr>
          <w:rFonts w:ascii="Verdana" w:hAnsi="Verdana"/>
          <w:bCs/>
          <w:sz w:val="16"/>
          <w:szCs w:val="16"/>
          <w:lang w:val="en-US"/>
        </w:rPr>
        <w:t xml:space="preserve"> 1987. Serie A No. 9</w:t>
      </w:r>
      <w:r w:rsidRPr="0038373F">
        <w:rPr>
          <w:rFonts w:ascii="Verdana" w:hAnsi="Verdana"/>
          <w:sz w:val="16"/>
          <w:szCs w:val="16"/>
          <w:lang w:val="en-US"/>
        </w:rPr>
        <w:t xml:space="preserve">, </w:t>
      </w:r>
      <w:r w:rsidR="001E2477" w:rsidRPr="0038373F">
        <w:rPr>
          <w:rFonts w:ascii="Verdana" w:hAnsi="Verdana"/>
          <w:sz w:val="16"/>
          <w:szCs w:val="16"/>
          <w:lang w:val="en-US"/>
        </w:rPr>
        <w:t>para.</w:t>
      </w:r>
      <w:r w:rsidRPr="0038373F">
        <w:rPr>
          <w:rFonts w:ascii="Verdana" w:hAnsi="Verdana"/>
          <w:sz w:val="16"/>
          <w:szCs w:val="16"/>
          <w:lang w:val="en-US"/>
        </w:rPr>
        <w:t xml:space="preserve"> 16; </w:t>
      </w:r>
      <w:r w:rsidR="001E2477" w:rsidRPr="0038373F">
        <w:rPr>
          <w:rFonts w:ascii="Verdana" w:hAnsi="Verdana"/>
          <w:sz w:val="16"/>
          <w:szCs w:val="16"/>
          <w:lang w:val="en-US"/>
        </w:rPr>
        <w:t>Advisory Opinion</w:t>
      </w:r>
      <w:r w:rsidRPr="0038373F">
        <w:rPr>
          <w:rFonts w:ascii="Verdana" w:hAnsi="Verdana"/>
          <w:sz w:val="16"/>
          <w:szCs w:val="16"/>
          <w:lang w:val="en-US"/>
        </w:rPr>
        <w:t xml:space="preserve"> </w:t>
      </w:r>
      <w:r w:rsidRPr="0038373F">
        <w:rPr>
          <w:rStyle w:val="Strong"/>
          <w:rFonts w:ascii="Verdana" w:hAnsi="Verdana"/>
          <w:b w:val="0"/>
          <w:sz w:val="16"/>
          <w:szCs w:val="16"/>
          <w:lang w:val="en-US"/>
        </w:rPr>
        <w:t xml:space="preserve">OC-21/14, </w:t>
      </w:r>
      <w:r w:rsidR="001E2477" w:rsidRPr="0038373F">
        <w:rPr>
          <w:rStyle w:val="Strong"/>
          <w:rFonts w:ascii="Verdana" w:hAnsi="Verdana"/>
          <w:b w:val="0"/>
          <w:sz w:val="16"/>
          <w:szCs w:val="16"/>
          <w:lang w:val="en-US"/>
        </w:rPr>
        <w:t>para.</w:t>
      </w:r>
      <w:r w:rsidRPr="0038373F">
        <w:rPr>
          <w:rStyle w:val="Strong"/>
          <w:rFonts w:ascii="Verdana" w:hAnsi="Verdana"/>
          <w:b w:val="0"/>
          <w:sz w:val="16"/>
          <w:szCs w:val="16"/>
          <w:lang w:val="en-US"/>
        </w:rPr>
        <w:t xml:space="preserve"> 25</w:t>
      </w:r>
      <w:r w:rsidRPr="0038373F">
        <w:rPr>
          <w:rFonts w:ascii="Verdana" w:hAnsi="Verdana"/>
          <w:sz w:val="16"/>
          <w:szCs w:val="16"/>
          <w:lang w:val="en-US"/>
        </w:rPr>
        <w:t>,</w:t>
      </w:r>
      <w:r w:rsidR="001E2477" w:rsidRPr="0038373F">
        <w:rPr>
          <w:rFonts w:ascii="Verdana" w:hAnsi="Verdana"/>
          <w:sz w:val="16"/>
          <w:szCs w:val="16"/>
          <w:lang w:val="en-US"/>
        </w:rPr>
        <w:t xml:space="preserve"> and Advisory Opinion</w:t>
      </w:r>
      <w:r w:rsidRPr="0038373F">
        <w:rPr>
          <w:rFonts w:ascii="Verdana" w:hAnsi="Verdana"/>
          <w:sz w:val="16"/>
          <w:szCs w:val="16"/>
          <w:lang w:val="en-US"/>
        </w:rPr>
        <w:t xml:space="preserve"> OC-22/16, </w:t>
      </w:r>
      <w:r w:rsidR="001E2477" w:rsidRPr="0038373F">
        <w:rPr>
          <w:rFonts w:ascii="Verdana" w:hAnsi="Verdana"/>
          <w:sz w:val="16"/>
          <w:szCs w:val="16"/>
          <w:lang w:val="en-US"/>
        </w:rPr>
        <w:t>para.</w:t>
      </w:r>
      <w:r w:rsidRPr="0038373F">
        <w:rPr>
          <w:rFonts w:ascii="Verdana" w:hAnsi="Verdana"/>
          <w:sz w:val="16"/>
          <w:szCs w:val="16"/>
          <w:lang w:val="en-US"/>
        </w:rPr>
        <w:t xml:space="preserve"> 21.</w:t>
      </w:r>
    </w:p>
  </w:footnote>
  <w:footnote w:id="5">
    <w:p w14:paraId="633096BB" w14:textId="38C94938" w:rsidR="008D3C09" w:rsidRPr="0038373F" w:rsidRDefault="008D3C09" w:rsidP="002F6C85">
      <w:pPr>
        <w:pStyle w:val="FootnoteText"/>
        <w:spacing w:after="120"/>
        <w:jc w:val="both"/>
        <w:rPr>
          <w:rFonts w:ascii="Verdana" w:hAnsi="Verdana"/>
          <w:sz w:val="16"/>
          <w:szCs w:val="16"/>
          <w:lang w:val="en-US"/>
        </w:rPr>
      </w:pPr>
      <w:r w:rsidRPr="0038373F">
        <w:rPr>
          <w:rStyle w:val="FootnoteReference"/>
          <w:rFonts w:ascii="Verdana" w:eastAsia="Times" w:hAnsi="Verdana"/>
          <w:sz w:val="16"/>
          <w:szCs w:val="16"/>
          <w:lang w:val="en-US"/>
        </w:rPr>
        <w:footnoteRef/>
      </w:r>
      <w:r w:rsidRPr="0038373F">
        <w:rPr>
          <w:rFonts w:ascii="Verdana" w:hAnsi="Verdana"/>
          <w:sz w:val="16"/>
          <w:szCs w:val="16"/>
          <w:lang w:val="en-US"/>
        </w:rPr>
        <w:tab/>
      </w:r>
      <w:r w:rsidR="001E2477" w:rsidRPr="0038373F">
        <w:rPr>
          <w:rFonts w:ascii="Verdana" w:hAnsi="Verdana"/>
          <w:i/>
          <w:sz w:val="16"/>
          <w:szCs w:val="16"/>
          <w:lang w:val="en-US"/>
        </w:rPr>
        <w:t xml:space="preserve">Cf. </w:t>
      </w:r>
      <w:r w:rsidR="001E2477" w:rsidRPr="0038373F">
        <w:rPr>
          <w:rFonts w:ascii="Verdana" w:hAnsi="Verdana"/>
          <w:sz w:val="16"/>
          <w:szCs w:val="16"/>
          <w:lang w:val="en-US"/>
        </w:rPr>
        <w:t>Advisory Opinion</w:t>
      </w:r>
      <w:r w:rsidRPr="0038373F">
        <w:rPr>
          <w:rFonts w:ascii="Verdana" w:hAnsi="Verdana"/>
          <w:sz w:val="16"/>
          <w:szCs w:val="16"/>
          <w:lang w:val="en-US"/>
        </w:rPr>
        <w:t xml:space="preserve"> OC-1/82, </w:t>
      </w:r>
      <w:r w:rsidR="001E2477" w:rsidRPr="0038373F">
        <w:rPr>
          <w:rFonts w:ascii="Verdana" w:hAnsi="Verdana"/>
          <w:sz w:val="16"/>
          <w:szCs w:val="16"/>
          <w:lang w:val="en-US"/>
        </w:rPr>
        <w:t>para.</w:t>
      </w:r>
      <w:r w:rsidRPr="0038373F">
        <w:rPr>
          <w:rFonts w:ascii="Verdana" w:hAnsi="Verdana"/>
          <w:sz w:val="16"/>
          <w:szCs w:val="16"/>
          <w:lang w:val="en-US"/>
        </w:rPr>
        <w:t xml:space="preserve"> 39; </w:t>
      </w:r>
      <w:r w:rsidR="001E2477" w:rsidRPr="0038373F">
        <w:rPr>
          <w:rFonts w:ascii="Verdana" w:hAnsi="Verdana"/>
          <w:sz w:val="16"/>
          <w:szCs w:val="16"/>
          <w:lang w:val="en-US"/>
        </w:rPr>
        <w:t>Advisory Opinion</w:t>
      </w:r>
      <w:r w:rsidRPr="0038373F">
        <w:rPr>
          <w:rFonts w:ascii="Verdana" w:hAnsi="Verdana"/>
          <w:sz w:val="16"/>
          <w:szCs w:val="16"/>
          <w:lang w:val="en-US"/>
        </w:rPr>
        <w:t xml:space="preserve"> OC-19/05,</w:t>
      </w:r>
      <w:r w:rsidRPr="0038373F">
        <w:rPr>
          <w:rFonts w:ascii="Verdana" w:hAnsi="Verdana"/>
          <w:i/>
          <w:sz w:val="16"/>
          <w:szCs w:val="16"/>
          <w:lang w:val="en-US"/>
        </w:rPr>
        <w:t xml:space="preserve"> </w:t>
      </w:r>
      <w:r w:rsidR="001E2477" w:rsidRPr="0038373F">
        <w:rPr>
          <w:rFonts w:ascii="Verdana" w:hAnsi="Verdana"/>
          <w:sz w:val="16"/>
          <w:szCs w:val="16"/>
          <w:lang w:val="en-US"/>
        </w:rPr>
        <w:t>para.</w:t>
      </w:r>
      <w:r w:rsidRPr="0038373F">
        <w:rPr>
          <w:rFonts w:ascii="Verdana" w:hAnsi="Verdana"/>
          <w:sz w:val="16"/>
          <w:szCs w:val="16"/>
          <w:lang w:val="en-US"/>
        </w:rPr>
        <w:t xml:space="preserve"> 18; </w:t>
      </w:r>
      <w:r w:rsidR="001E2477" w:rsidRPr="0038373F">
        <w:rPr>
          <w:rFonts w:ascii="Verdana" w:hAnsi="Verdana"/>
          <w:sz w:val="16"/>
          <w:szCs w:val="16"/>
          <w:lang w:val="en-US"/>
        </w:rPr>
        <w:t>Advisory Opinion</w:t>
      </w:r>
      <w:r w:rsidRPr="0038373F">
        <w:rPr>
          <w:rFonts w:ascii="Verdana" w:hAnsi="Verdana"/>
          <w:sz w:val="16"/>
          <w:szCs w:val="16"/>
          <w:lang w:val="en-US"/>
        </w:rPr>
        <w:t xml:space="preserve"> </w:t>
      </w:r>
      <w:r w:rsidRPr="0038373F">
        <w:rPr>
          <w:rStyle w:val="Strong"/>
          <w:rFonts w:ascii="Verdana" w:hAnsi="Verdana"/>
          <w:b w:val="0"/>
          <w:sz w:val="16"/>
          <w:szCs w:val="16"/>
          <w:lang w:val="en-US"/>
        </w:rPr>
        <w:t xml:space="preserve">OC-21/14, </w:t>
      </w:r>
      <w:r w:rsidR="001E2477" w:rsidRPr="0038373F">
        <w:rPr>
          <w:rStyle w:val="Strong"/>
          <w:rFonts w:ascii="Verdana" w:hAnsi="Verdana"/>
          <w:b w:val="0"/>
          <w:sz w:val="16"/>
          <w:szCs w:val="16"/>
          <w:lang w:val="en-US"/>
        </w:rPr>
        <w:t>para.</w:t>
      </w:r>
      <w:r w:rsidRPr="0038373F">
        <w:rPr>
          <w:rStyle w:val="Strong"/>
          <w:rFonts w:ascii="Verdana" w:hAnsi="Verdana"/>
          <w:b w:val="0"/>
          <w:sz w:val="16"/>
          <w:szCs w:val="16"/>
          <w:lang w:val="en-US"/>
        </w:rPr>
        <w:t xml:space="preserve"> 28</w:t>
      </w:r>
      <w:r w:rsidRPr="0038373F">
        <w:rPr>
          <w:rFonts w:ascii="Verdana" w:hAnsi="Verdana"/>
          <w:sz w:val="16"/>
          <w:szCs w:val="16"/>
          <w:lang w:val="en-US"/>
        </w:rPr>
        <w:t>,</w:t>
      </w:r>
      <w:r w:rsidR="001E2477" w:rsidRPr="0038373F">
        <w:rPr>
          <w:rFonts w:ascii="Verdana" w:hAnsi="Verdana"/>
          <w:sz w:val="16"/>
          <w:szCs w:val="16"/>
          <w:lang w:val="en-US"/>
        </w:rPr>
        <w:t xml:space="preserve"> and </w:t>
      </w:r>
      <w:r w:rsidR="001E2477" w:rsidRPr="0038373F">
        <w:rPr>
          <w:rFonts w:ascii="Verdana" w:hAnsi="Verdana"/>
          <w:iCs/>
          <w:sz w:val="16"/>
          <w:szCs w:val="16"/>
          <w:lang w:val="en-US"/>
        </w:rPr>
        <w:t>Advisory Opinion</w:t>
      </w:r>
      <w:r w:rsidRPr="0038373F">
        <w:rPr>
          <w:rFonts w:ascii="Verdana" w:hAnsi="Verdana"/>
          <w:iCs/>
          <w:sz w:val="16"/>
          <w:szCs w:val="16"/>
          <w:lang w:val="en-US"/>
        </w:rPr>
        <w:t xml:space="preserve"> </w:t>
      </w:r>
      <w:r w:rsidRPr="0038373F">
        <w:rPr>
          <w:rFonts w:ascii="Verdana" w:hAnsi="Verdana"/>
          <w:sz w:val="16"/>
          <w:szCs w:val="16"/>
          <w:lang w:val="en-US"/>
        </w:rPr>
        <w:t xml:space="preserve">OC-22/16, </w:t>
      </w:r>
      <w:r w:rsidR="001E2477" w:rsidRPr="0038373F">
        <w:rPr>
          <w:rFonts w:ascii="Verdana" w:hAnsi="Verdana"/>
          <w:sz w:val="16"/>
          <w:szCs w:val="16"/>
          <w:lang w:val="en-US"/>
        </w:rPr>
        <w:t>para.</w:t>
      </w:r>
      <w:r w:rsidRPr="0038373F">
        <w:rPr>
          <w:rFonts w:ascii="Verdana" w:hAnsi="Verdana"/>
          <w:sz w:val="16"/>
          <w:szCs w:val="16"/>
          <w:lang w:val="en-US"/>
        </w:rPr>
        <w:t xml:space="preserve"> 23.</w:t>
      </w:r>
    </w:p>
  </w:footnote>
  <w:footnote w:id="6">
    <w:p w14:paraId="11C0B9BB" w14:textId="0F116D5F" w:rsidR="002D41B3" w:rsidRPr="0038373F" w:rsidRDefault="002D41B3" w:rsidP="002D41B3">
      <w:pPr>
        <w:contextualSpacing/>
        <w:jc w:val="both"/>
        <w:rPr>
          <w:rFonts w:ascii="Verdana" w:hAnsi="Verdana"/>
          <w:i/>
          <w:iCs/>
          <w:color w:val="000000"/>
          <w:spacing w:val="-2"/>
          <w:sz w:val="16"/>
          <w:szCs w:val="16"/>
          <w:lang w:val="en-US"/>
        </w:rPr>
      </w:pPr>
      <w:r w:rsidRPr="0038373F">
        <w:rPr>
          <w:rStyle w:val="FootnoteReference"/>
          <w:rFonts w:ascii="Verdana" w:hAnsi="Verdana"/>
          <w:sz w:val="16"/>
          <w:szCs w:val="16"/>
          <w:lang w:val="en-US"/>
        </w:rPr>
        <w:footnoteRef/>
      </w:r>
      <w:r w:rsidRPr="0038373F">
        <w:rPr>
          <w:rFonts w:ascii="Verdana" w:hAnsi="Verdana"/>
          <w:sz w:val="16"/>
          <w:szCs w:val="16"/>
          <w:lang w:val="en-US"/>
        </w:rPr>
        <w:t xml:space="preserve"> </w:t>
      </w:r>
      <w:r w:rsidRPr="0038373F">
        <w:rPr>
          <w:rFonts w:ascii="Verdana" w:hAnsi="Verdana"/>
          <w:sz w:val="16"/>
          <w:szCs w:val="16"/>
          <w:lang w:val="en-US"/>
        </w:rPr>
        <w:tab/>
      </w:r>
      <w:r w:rsidR="001E2477" w:rsidRPr="0038373F">
        <w:rPr>
          <w:rFonts w:ascii="Verdana" w:hAnsi="Verdana"/>
          <w:sz w:val="16"/>
          <w:szCs w:val="16"/>
          <w:lang w:val="en-US"/>
        </w:rPr>
        <w:t xml:space="preserve">International Court of Justice, </w:t>
      </w:r>
      <w:r w:rsidRPr="0038373F">
        <w:rPr>
          <w:rFonts w:ascii="Verdana" w:hAnsi="Verdana"/>
          <w:sz w:val="16"/>
          <w:szCs w:val="16"/>
          <w:lang w:val="en-US"/>
        </w:rPr>
        <w:t>Legali</w:t>
      </w:r>
      <w:r w:rsidR="00235D97" w:rsidRPr="0038373F">
        <w:rPr>
          <w:rFonts w:ascii="Verdana" w:hAnsi="Verdana"/>
          <w:sz w:val="16"/>
          <w:szCs w:val="16"/>
          <w:lang w:val="en-US"/>
        </w:rPr>
        <w:t>ty of the Threat or Use of Nuclear Weapons</w:t>
      </w:r>
      <w:r w:rsidRPr="0038373F">
        <w:rPr>
          <w:rFonts w:ascii="Verdana" w:hAnsi="Verdana"/>
          <w:sz w:val="16"/>
          <w:szCs w:val="16"/>
          <w:lang w:val="en-US"/>
        </w:rPr>
        <w:t xml:space="preserve">, </w:t>
      </w:r>
      <w:r w:rsidR="001E2477" w:rsidRPr="0038373F">
        <w:rPr>
          <w:rFonts w:ascii="Verdana" w:hAnsi="Verdana"/>
          <w:sz w:val="16"/>
          <w:szCs w:val="16"/>
          <w:lang w:val="en-US"/>
        </w:rPr>
        <w:t>Advisory Opinion</w:t>
      </w:r>
      <w:r w:rsidRPr="0038373F">
        <w:rPr>
          <w:rFonts w:ascii="Verdana" w:hAnsi="Verdana"/>
          <w:sz w:val="16"/>
          <w:szCs w:val="16"/>
          <w:lang w:val="en-US"/>
        </w:rPr>
        <w:t xml:space="preserve"> </w:t>
      </w:r>
      <w:r w:rsidR="007F5D93" w:rsidRPr="0038373F">
        <w:rPr>
          <w:rFonts w:ascii="Verdana" w:hAnsi="Verdana"/>
          <w:sz w:val="16"/>
          <w:szCs w:val="16"/>
          <w:lang w:val="en-US"/>
        </w:rPr>
        <w:t>of July 8,</w:t>
      </w:r>
      <w:r w:rsidRPr="0038373F">
        <w:rPr>
          <w:rFonts w:ascii="Verdana" w:hAnsi="Verdana"/>
          <w:color w:val="000000"/>
          <w:spacing w:val="-2"/>
          <w:sz w:val="16"/>
          <w:szCs w:val="16"/>
          <w:lang w:val="en-US"/>
        </w:rPr>
        <w:t xml:space="preserve"> 1996, </w:t>
      </w:r>
      <w:r w:rsidR="001E2477" w:rsidRPr="0038373F">
        <w:rPr>
          <w:rFonts w:ascii="Verdana" w:hAnsi="Verdana"/>
          <w:color w:val="000000"/>
          <w:spacing w:val="-2"/>
          <w:sz w:val="16"/>
          <w:szCs w:val="16"/>
          <w:lang w:val="en-US"/>
        </w:rPr>
        <w:t>para.</w:t>
      </w:r>
      <w:r w:rsidRPr="0038373F">
        <w:rPr>
          <w:rFonts w:ascii="Verdana" w:hAnsi="Verdana"/>
          <w:color w:val="000000"/>
          <w:spacing w:val="-2"/>
          <w:sz w:val="16"/>
          <w:szCs w:val="16"/>
          <w:lang w:val="en-US"/>
        </w:rPr>
        <w:t xml:space="preserve"> 13</w:t>
      </w:r>
      <w:r w:rsidRPr="0038373F">
        <w:rPr>
          <w:rFonts w:ascii="Verdana" w:hAnsi="Verdana"/>
          <w:sz w:val="16"/>
          <w:szCs w:val="16"/>
          <w:lang w:val="en-US"/>
        </w:rPr>
        <w:t xml:space="preserve">: </w:t>
      </w:r>
      <w:r w:rsidR="00192AC4" w:rsidRPr="0038373F">
        <w:rPr>
          <w:rFonts w:ascii="Verdana" w:hAnsi="Verdana"/>
          <w:sz w:val="16"/>
          <w:szCs w:val="16"/>
          <w:lang w:val="en-US"/>
        </w:rPr>
        <w:t>“</w:t>
      </w:r>
      <w:r w:rsidR="00192AC4" w:rsidRPr="0038373F">
        <w:rPr>
          <w:rFonts w:ascii="Verdana" w:eastAsia="Times New Roman" w:hAnsi="Verdana"/>
          <w:sz w:val="16"/>
          <w:szCs w:val="16"/>
          <w:lang w:val="en-US"/>
        </w:rPr>
        <w:t xml:space="preserve">The fact that this question also has political aspects, as, in the nature of things, is the case with so many questions which arise in international life, does not suffice to deprive it of its character as a "legal question" and to "deprive the Court of a competence expressly conferred on it by its Statute." </w:t>
      </w:r>
      <w:bookmarkStart w:id="2" w:name="_Hlk516068428"/>
      <w:r w:rsidR="00192AC4" w:rsidRPr="0038373F">
        <w:rPr>
          <w:rFonts w:ascii="Verdana" w:eastAsia="Times New Roman" w:hAnsi="Verdana"/>
          <w:sz w:val="16"/>
          <w:szCs w:val="16"/>
          <w:lang w:val="en-US"/>
        </w:rPr>
        <w:t>The Cour</w:t>
      </w:r>
      <w:r w:rsidR="003A116F" w:rsidRPr="0038373F">
        <w:rPr>
          <w:rFonts w:ascii="Verdana" w:eastAsia="Times New Roman" w:hAnsi="Verdana"/>
          <w:sz w:val="16"/>
          <w:szCs w:val="16"/>
          <w:lang w:val="en-US"/>
        </w:rPr>
        <w:t xml:space="preserve">t </w:t>
      </w:r>
      <w:r w:rsidR="00192AC4" w:rsidRPr="0038373F">
        <w:rPr>
          <w:rFonts w:ascii="Verdana" w:eastAsia="Times New Roman" w:hAnsi="Verdana"/>
          <w:sz w:val="16"/>
          <w:szCs w:val="16"/>
          <w:lang w:val="en-US"/>
        </w:rPr>
        <w:t>moreover</w:t>
      </w:r>
      <w:r w:rsidR="003A116F" w:rsidRPr="0038373F">
        <w:rPr>
          <w:rFonts w:ascii="Verdana" w:eastAsia="Times New Roman" w:hAnsi="Verdana"/>
          <w:sz w:val="16"/>
          <w:szCs w:val="16"/>
          <w:lang w:val="en-US"/>
        </w:rPr>
        <w:t xml:space="preserve"> considers</w:t>
      </w:r>
      <w:r w:rsidR="00192AC4" w:rsidRPr="0038373F">
        <w:rPr>
          <w:rFonts w:ascii="Verdana" w:eastAsia="Times New Roman" w:hAnsi="Verdana"/>
          <w:sz w:val="16"/>
          <w:szCs w:val="16"/>
          <w:lang w:val="en-US"/>
        </w:rPr>
        <w:t xml:space="preserve"> that the political nature of the motives which may be said to have inspired the request and the political implications that the opinion given might have are of no relevance in the establishment of its jurisdiction to give such an opinion.</w:t>
      </w:r>
      <w:bookmarkEnd w:id="2"/>
      <w:r w:rsidR="00192AC4" w:rsidRPr="0038373F">
        <w:rPr>
          <w:rFonts w:ascii="Verdana" w:hAnsi="Verdana"/>
          <w:iCs/>
          <w:color w:val="000000"/>
          <w:spacing w:val="-2"/>
          <w:sz w:val="16"/>
          <w:szCs w:val="16"/>
          <w:lang w:val="en-US"/>
        </w:rPr>
        <w:t>”</w:t>
      </w:r>
    </w:p>
  </w:footnote>
  <w:footnote w:id="7">
    <w:p w14:paraId="5A137898" w14:textId="487F0218" w:rsidR="008D3C09" w:rsidRPr="000C7EE9" w:rsidRDefault="008D3C09" w:rsidP="002F6C85">
      <w:pPr>
        <w:pStyle w:val="FootnoteText"/>
        <w:spacing w:after="120"/>
        <w:jc w:val="both"/>
        <w:rPr>
          <w:rFonts w:ascii="Verdana" w:hAnsi="Verdana"/>
          <w:sz w:val="16"/>
          <w:szCs w:val="16"/>
          <w:lang w:val="en-US"/>
        </w:rPr>
      </w:pPr>
      <w:r w:rsidRPr="0038373F">
        <w:rPr>
          <w:rStyle w:val="FootnoteReference"/>
          <w:rFonts w:ascii="Verdana" w:hAnsi="Verdana"/>
          <w:sz w:val="16"/>
          <w:szCs w:val="16"/>
          <w:lang w:val="en-US"/>
        </w:rPr>
        <w:footnoteRef/>
      </w:r>
      <w:r w:rsidRPr="0038373F">
        <w:rPr>
          <w:rFonts w:ascii="Verdana" w:hAnsi="Verdana"/>
          <w:sz w:val="16"/>
          <w:szCs w:val="16"/>
          <w:lang w:val="en-US"/>
        </w:rPr>
        <w:t xml:space="preserve"> </w:t>
      </w:r>
      <w:r w:rsidRPr="0038373F">
        <w:rPr>
          <w:rFonts w:ascii="Verdana" w:hAnsi="Verdana"/>
          <w:sz w:val="16"/>
          <w:szCs w:val="16"/>
          <w:lang w:val="en-US"/>
        </w:rPr>
        <w:tab/>
      </w:r>
      <w:r w:rsidR="001E2477" w:rsidRPr="0038373F">
        <w:rPr>
          <w:rFonts w:ascii="Verdana" w:hAnsi="Verdana"/>
          <w:i/>
          <w:sz w:val="16"/>
          <w:szCs w:val="16"/>
          <w:lang w:val="en-US"/>
        </w:rPr>
        <w:t>The Environment and Human Rights</w:t>
      </w:r>
      <w:r w:rsidR="001E2477" w:rsidRPr="0038373F">
        <w:rPr>
          <w:rFonts w:ascii="Verdana" w:hAnsi="Verdana"/>
          <w:i/>
          <w:caps/>
          <w:sz w:val="16"/>
          <w:szCs w:val="16"/>
          <w:lang w:val="en-US"/>
        </w:rPr>
        <w:t xml:space="preserve"> </w:t>
      </w:r>
      <w:r w:rsidR="001E2477" w:rsidRPr="0038373F">
        <w:rPr>
          <w:rFonts w:ascii="Verdana" w:hAnsi="Verdana"/>
          <w:i/>
          <w:sz w:val="16"/>
          <w:szCs w:val="16"/>
          <w:lang w:val="en-US"/>
        </w:rPr>
        <w:t>(State obligations in relation to the environment in the context of protection and guarantee of the rights to life and to personal integrity – interpretation and scope of Articles 4(1) and 5(1) in relation to Articles 1(1) and 2 of the American</w:t>
      </w:r>
      <w:r w:rsidR="001E2477" w:rsidRPr="0038373F">
        <w:rPr>
          <w:rFonts w:ascii="Verdana" w:hAnsi="Verdana"/>
          <w:b/>
          <w:i/>
          <w:lang w:val="en-US"/>
        </w:rPr>
        <w:t xml:space="preserve"> </w:t>
      </w:r>
      <w:r w:rsidR="001E2477" w:rsidRPr="0038373F">
        <w:rPr>
          <w:rFonts w:ascii="Verdana" w:hAnsi="Verdana"/>
          <w:i/>
          <w:sz w:val="16"/>
          <w:szCs w:val="16"/>
          <w:lang w:val="en-US"/>
        </w:rPr>
        <w:t>Convention on Human Rights)</w:t>
      </w:r>
      <w:r w:rsidR="001E2477" w:rsidRPr="0038373F">
        <w:rPr>
          <w:rFonts w:ascii="Verdana" w:hAnsi="Verdana"/>
          <w:sz w:val="16"/>
          <w:szCs w:val="16"/>
          <w:lang w:val="en-US"/>
        </w:rPr>
        <w:t>. Advisory Opinion OC-23/17 of November 15, 2017. Series A No. 23, para.</w:t>
      </w:r>
      <w:r w:rsidRPr="0038373F">
        <w:rPr>
          <w:rFonts w:ascii="Verdana" w:hAnsi="Verdana"/>
          <w:sz w:val="16"/>
          <w:szCs w:val="16"/>
          <w:lang w:val="en-US"/>
        </w:rPr>
        <w:t xml:space="preserve"> </w:t>
      </w:r>
      <w:r w:rsidR="006718F6">
        <w:rPr>
          <w:rFonts w:ascii="Verdana" w:hAnsi="Verdana"/>
          <w:sz w:val="16"/>
          <w:szCs w:val="16"/>
          <w:lang w:val="en-US"/>
        </w:rPr>
        <w:t>3</w:t>
      </w:r>
      <w:r w:rsidRPr="0038373F">
        <w:rPr>
          <w:rFonts w:ascii="Verdana" w:hAnsi="Verdana"/>
          <w:sz w:val="16"/>
          <w:szCs w:val="16"/>
          <w:lang w:val="en-US"/>
        </w:rPr>
        <w:t>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rPr>
      <w:id w:val="1820299137"/>
      <w:docPartObj>
        <w:docPartGallery w:val="Page Numbers (Top of Page)"/>
        <w:docPartUnique/>
      </w:docPartObj>
    </w:sdtPr>
    <w:sdtEndPr>
      <w:rPr>
        <w:noProof/>
      </w:rPr>
    </w:sdtEndPr>
    <w:sdtContent>
      <w:p w14:paraId="68F8149E" w14:textId="51DF705A" w:rsidR="008D3C09" w:rsidRPr="008F2B34" w:rsidRDefault="008D3C09">
        <w:pPr>
          <w:pStyle w:val="Header"/>
          <w:jc w:val="center"/>
          <w:rPr>
            <w:rFonts w:ascii="Verdana" w:hAnsi="Verdana"/>
          </w:rPr>
        </w:pPr>
        <w:r w:rsidRPr="008F2B34">
          <w:rPr>
            <w:rFonts w:ascii="Verdana" w:hAnsi="Verdana"/>
          </w:rPr>
          <w:fldChar w:fldCharType="begin"/>
        </w:r>
        <w:r w:rsidRPr="008F2B34">
          <w:rPr>
            <w:rFonts w:ascii="Verdana" w:hAnsi="Verdana"/>
          </w:rPr>
          <w:instrText xml:space="preserve"> PAGE   \* MERGEFORMAT </w:instrText>
        </w:r>
        <w:r w:rsidRPr="008F2B34">
          <w:rPr>
            <w:rFonts w:ascii="Verdana" w:hAnsi="Verdana"/>
          </w:rPr>
          <w:fldChar w:fldCharType="separate"/>
        </w:r>
        <w:r w:rsidR="00CE5911">
          <w:rPr>
            <w:rFonts w:ascii="Verdana" w:hAnsi="Verdana"/>
            <w:noProof/>
          </w:rPr>
          <w:t>4</w:t>
        </w:r>
        <w:r w:rsidRPr="008F2B34">
          <w:rPr>
            <w:rFonts w:ascii="Verdana" w:hAnsi="Verdana"/>
            <w:noProof/>
          </w:rPr>
          <w:fldChar w:fldCharType="end"/>
        </w:r>
      </w:p>
    </w:sdtContent>
  </w:sdt>
  <w:p w14:paraId="3EACBD53" w14:textId="77777777" w:rsidR="008D3C09" w:rsidRDefault="008D3C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FC320B"/>
    <w:multiLevelType w:val="hybridMultilevel"/>
    <w:tmpl w:val="95FC487E"/>
    <w:lvl w:ilvl="0" w:tplc="94809758">
      <w:start w:val="1"/>
      <w:numFmt w:val="decimal"/>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2E2293B"/>
    <w:multiLevelType w:val="hybridMultilevel"/>
    <w:tmpl w:val="5BE4D60C"/>
    <w:lvl w:ilvl="0" w:tplc="33BE4BF8">
      <w:start w:val="1"/>
      <w:numFmt w:val="decimal"/>
      <w:lvlText w:val="%1."/>
      <w:lvlJc w:val="left"/>
      <w:pPr>
        <w:ind w:left="360" w:hanging="360"/>
      </w:pPr>
      <w:rPr>
        <w:rFonts w:hint="default"/>
        <w:b w:val="0"/>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140412F1"/>
    <w:multiLevelType w:val="hybridMultilevel"/>
    <w:tmpl w:val="E16EE408"/>
    <w:lvl w:ilvl="0" w:tplc="56741354">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3A074F80"/>
    <w:multiLevelType w:val="hybridMultilevel"/>
    <w:tmpl w:val="39749326"/>
    <w:lvl w:ilvl="0" w:tplc="C4F224A4">
      <w:start w:val="1"/>
      <w:numFmt w:val="decimal"/>
      <w:lvlText w:val="%1."/>
      <w:lvlJc w:val="left"/>
      <w:pPr>
        <w:ind w:left="720" w:hanging="360"/>
      </w:pPr>
      <w:rPr>
        <w:sz w:val="20"/>
        <w:szCs w:val="2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nsid w:val="47456DE5"/>
    <w:multiLevelType w:val="hybridMultilevel"/>
    <w:tmpl w:val="5BE4D60C"/>
    <w:lvl w:ilvl="0" w:tplc="33BE4BF8">
      <w:start w:val="1"/>
      <w:numFmt w:val="decimal"/>
      <w:lvlText w:val="%1."/>
      <w:lvlJc w:val="left"/>
      <w:pPr>
        <w:ind w:left="360" w:hanging="360"/>
      </w:pPr>
      <w:rPr>
        <w:rFonts w:hint="default"/>
        <w:b w:val="0"/>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47460567"/>
    <w:multiLevelType w:val="hybridMultilevel"/>
    <w:tmpl w:val="B14AF2BA"/>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503D70FF"/>
    <w:multiLevelType w:val="hybridMultilevel"/>
    <w:tmpl w:val="272C298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641546F7"/>
    <w:multiLevelType w:val="hybridMultilevel"/>
    <w:tmpl w:val="11320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6A9646C8"/>
    <w:multiLevelType w:val="hybridMultilevel"/>
    <w:tmpl w:val="5FB4E9D0"/>
    <w:lvl w:ilvl="0" w:tplc="B7C0BCBE">
      <w:start w:val="1"/>
      <w:numFmt w:val="upp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6B4F0C5E"/>
    <w:multiLevelType w:val="hybridMultilevel"/>
    <w:tmpl w:val="41C6A6CA"/>
    <w:lvl w:ilvl="0" w:tplc="77264A14">
      <w:start w:val="13"/>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B4221F"/>
    <w:multiLevelType w:val="hybridMultilevel"/>
    <w:tmpl w:val="240EA624"/>
    <w:lvl w:ilvl="0" w:tplc="2976046C">
      <w:start w:val="1"/>
      <w:numFmt w:val="decimal"/>
      <w:lvlText w:val="%1."/>
      <w:lvlJc w:val="left"/>
      <w:pPr>
        <w:ind w:left="720" w:hanging="360"/>
      </w:pPr>
      <w:rPr>
        <w:rFonts w:ascii="Verdana" w:hAnsi="Verdana" w:hint="default"/>
        <w:b w:val="0"/>
        <w:i w:val="0"/>
        <w:sz w:val="20"/>
        <w:szCs w:val="20"/>
        <w:lang w:val="es-CR"/>
      </w:rPr>
    </w:lvl>
    <w:lvl w:ilvl="1" w:tplc="B04015CE">
      <w:start w:val="1"/>
      <w:numFmt w:val="lowerRoman"/>
      <w:lvlText w:val="%2."/>
      <w:lvlJc w:val="left"/>
      <w:pPr>
        <w:ind w:left="1350" w:hanging="360"/>
      </w:pPr>
      <w:rPr>
        <w:rFonts w:hint="default"/>
        <w:b w:val="0"/>
        <w:i w:val="0"/>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
    <w:nsid w:val="7AC369FF"/>
    <w:multiLevelType w:val="hybridMultilevel"/>
    <w:tmpl w:val="88F24608"/>
    <w:lvl w:ilvl="0" w:tplc="9F701216">
      <w:start w:val="1"/>
      <w:numFmt w:val="decimal"/>
      <w:lvlText w:val="%1."/>
      <w:lvlJc w:val="left"/>
      <w:pPr>
        <w:ind w:left="847" w:hanging="705"/>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5"/>
  </w:num>
  <w:num w:numId="2">
    <w:abstractNumId w:val="9"/>
  </w:num>
  <w:num w:numId="3">
    <w:abstractNumId w:val="6"/>
  </w:num>
  <w:num w:numId="4">
    <w:abstractNumId w:val="2"/>
  </w:num>
  <w:num w:numId="5">
    <w:abstractNumId w:val="10"/>
  </w:num>
  <w:num w:numId="6">
    <w:abstractNumId w:val="3"/>
  </w:num>
  <w:num w:numId="7">
    <w:abstractNumId w:val="12"/>
  </w:num>
  <w:num w:numId="8">
    <w:abstractNumId w:val="0"/>
  </w:num>
  <w:num w:numId="9">
    <w:abstractNumId w:val="8"/>
  </w:num>
  <w:num w:numId="10">
    <w:abstractNumId w:val="1"/>
  </w:num>
  <w:num w:numId="11">
    <w:abstractNumId w:val="7"/>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_tradnl" w:vendorID="64" w:dllVersion="6" w:nlCheck="1" w:checkStyle="1"/>
  <w:activeWritingStyle w:appName="MSWord" w:lang="es-CR" w:vendorID="64" w:dllVersion="6" w:nlCheck="1" w:checkStyle="1"/>
  <w:activeWritingStyle w:appName="MSWord" w:lang="es-MX" w:vendorID="64" w:dllVersion="6" w:nlCheck="1" w:checkStyle="1"/>
  <w:activeWritingStyle w:appName="MSWord" w:lang="es-CO" w:vendorID="64" w:dllVersion="6" w:nlCheck="1" w:checkStyle="1"/>
  <w:activeWritingStyle w:appName="MSWord" w:lang="es-ES" w:vendorID="64" w:dllVersion="6" w:nlCheck="1" w:checkStyle="1"/>
  <w:activeWritingStyle w:appName="MSWord" w:lang="es-CL" w:vendorID="64" w:dllVersion="6" w:nlCheck="1" w:checkStyle="1"/>
  <w:activeWritingStyle w:appName="MSWord" w:lang="en-US" w:vendorID="64" w:dllVersion="0" w:nlCheck="1" w:checkStyle="0"/>
  <w:activeWritingStyle w:appName="MSWord" w:lang="es-CR" w:vendorID="64" w:dllVersion="0" w:nlCheck="1" w:checkStyle="0"/>
  <w:activeWritingStyle w:appName="MSWord" w:lang="es-CL"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78C"/>
    <w:rsid w:val="000043D0"/>
    <w:rsid w:val="00005018"/>
    <w:rsid w:val="00007F81"/>
    <w:rsid w:val="00010C33"/>
    <w:rsid w:val="00011C11"/>
    <w:rsid w:val="00012C79"/>
    <w:rsid w:val="00013E01"/>
    <w:rsid w:val="00015C57"/>
    <w:rsid w:val="00015C8E"/>
    <w:rsid w:val="00017D5A"/>
    <w:rsid w:val="00022C9C"/>
    <w:rsid w:val="00024163"/>
    <w:rsid w:val="00024D7D"/>
    <w:rsid w:val="0002673E"/>
    <w:rsid w:val="00026D51"/>
    <w:rsid w:val="000270C2"/>
    <w:rsid w:val="000276A9"/>
    <w:rsid w:val="0003001B"/>
    <w:rsid w:val="00033A29"/>
    <w:rsid w:val="00035BF0"/>
    <w:rsid w:val="00035DDC"/>
    <w:rsid w:val="00036F42"/>
    <w:rsid w:val="00041A3D"/>
    <w:rsid w:val="00041E39"/>
    <w:rsid w:val="000430AE"/>
    <w:rsid w:val="000436C0"/>
    <w:rsid w:val="00045802"/>
    <w:rsid w:val="0004598E"/>
    <w:rsid w:val="0005000C"/>
    <w:rsid w:val="00050933"/>
    <w:rsid w:val="00061374"/>
    <w:rsid w:val="000614D5"/>
    <w:rsid w:val="00061CB4"/>
    <w:rsid w:val="00062F21"/>
    <w:rsid w:val="00064D15"/>
    <w:rsid w:val="00065330"/>
    <w:rsid w:val="0006539A"/>
    <w:rsid w:val="0007043C"/>
    <w:rsid w:val="00071B30"/>
    <w:rsid w:val="00084645"/>
    <w:rsid w:val="00086228"/>
    <w:rsid w:val="000869CF"/>
    <w:rsid w:val="000911C1"/>
    <w:rsid w:val="00093971"/>
    <w:rsid w:val="000946EF"/>
    <w:rsid w:val="00095950"/>
    <w:rsid w:val="000A0CA2"/>
    <w:rsid w:val="000A2705"/>
    <w:rsid w:val="000A3EC6"/>
    <w:rsid w:val="000A59F7"/>
    <w:rsid w:val="000A7D15"/>
    <w:rsid w:val="000B30D0"/>
    <w:rsid w:val="000B517F"/>
    <w:rsid w:val="000B6BD9"/>
    <w:rsid w:val="000C18A8"/>
    <w:rsid w:val="000C1F1F"/>
    <w:rsid w:val="000C2A97"/>
    <w:rsid w:val="000C3A89"/>
    <w:rsid w:val="000C5016"/>
    <w:rsid w:val="000C51CD"/>
    <w:rsid w:val="000C7EE9"/>
    <w:rsid w:val="000D162A"/>
    <w:rsid w:val="000D3448"/>
    <w:rsid w:val="000D34D5"/>
    <w:rsid w:val="000D54B4"/>
    <w:rsid w:val="000D7159"/>
    <w:rsid w:val="000E3112"/>
    <w:rsid w:val="000E4097"/>
    <w:rsid w:val="000E41F9"/>
    <w:rsid w:val="000E486E"/>
    <w:rsid w:val="000E4BB4"/>
    <w:rsid w:val="000E6A83"/>
    <w:rsid w:val="000E6B75"/>
    <w:rsid w:val="000F3071"/>
    <w:rsid w:val="000F514F"/>
    <w:rsid w:val="000F5B47"/>
    <w:rsid w:val="000F5EF1"/>
    <w:rsid w:val="000F791E"/>
    <w:rsid w:val="00101421"/>
    <w:rsid w:val="00101A8E"/>
    <w:rsid w:val="00102F6A"/>
    <w:rsid w:val="001050BD"/>
    <w:rsid w:val="00106868"/>
    <w:rsid w:val="00107681"/>
    <w:rsid w:val="00107B18"/>
    <w:rsid w:val="00112414"/>
    <w:rsid w:val="0011537D"/>
    <w:rsid w:val="001172EC"/>
    <w:rsid w:val="0011730F"/>
    <w:rsid w:val="00117968"/>
    <w:rsid w:val="001215F6"/>
    <w:rsid w:val="001218F2"/>
    <w:rsid w:val="00121DF2"/>
    <w:rsid w:val="00125AA9"/>
    <w:rsid w:val="00125F95"/>
    <w:rsid w:val="00125FED"/>
    <w:rsid w:val="00131163"/>
    <w:rsid w:val="00132199"/>
    <w:rsid w:val="00132C6E"/>
    <w:rsid w:val="00133387"/>
    <w:rsid w:val="001351CB"/>
    <w:rsid w:val="00137E21"/>
    <w:rsid w:val="00140F35"/>
    <w:rsid w:val="00142A8E"/>
    <w:rsid w:val="001430F6"/>
    <w:rsid w:val="00145458"/>
    <w:rsid w:val="00146DB0"/>
    <w:rsid w:val="00147835"/>
    <w:rsid w:val="00147AC9"/>
    <w:rsid w:val="00147B36"/>
    <w:rsid w:val="00151EE0"/>
    <w:rsid w:val="00154E11"/>
    <w:rsid w:val="00155A51"/>
    <w:rsid w:val="0016266D"/>
    <w:rsid w:val="001644E0"/>
    <w:rsid w:val="00164684"/>
    <w:rsid w:val="0016563B"/>
    <w:rsid w:val="001662ED"/>
    <w:rsid w:val="001725EB"/>
    <w:rsid w:val="00172CC4"/>
    <w:rsid w:val="00172F42"/>
    <w:rsid w:val="00174935"/>
    <w:rsid w:val="00176117"/>
    <w:rsid w:val="00176790"/>
    <w:rsid w:val="0017735B"/>
    <w:rsid w:val="001849CB"/>
    <w:rsid w:val="00186E87"/>
    <w:rsid w:val="00187C8F"/>
    <w:rsid w:val="00190CA2"/>
    <w:rsid w:val="00192AC4"/>
    <w:rsid w:val="00193EBA"/>
    <w:rsid w:val="00194271"/>
    <w:rsid w:val="0019476D"/>
    <w:rsid w:val="001A1374"/>
    <w:rsid w:val="001A14B2"/>
    <w:rsid w:val="001B0859"/>
    <w:rsid w:val="001B3B0A"/>
    <w:rsid w:val="001B6D12"/>
    <w:rsid w:val="001C3BA1"/>
    <w:rsid w:val="001C3BD2"/>
    <w:rsid w:val="001C3BFA"/>
    <w:rsid w:val="001C4CB6"/>
    <w:rsid w:val="001C77D6"/>
    <w:rsid w:val="001C79BD"/>
    <w:rsid w:val="001C7BD1"/>
    <w:rsid w:val="001D195B"/>
    <w:rsid w:val="001D3E71"/>
    <w:rsid w:val="001D7AE0"/>
    <w:rsid w:val="001E09E0"/>
    <w:rsid w:val="001E2477"/>
    <w:rsid w:val="001E3AF8"/>
    <w:rsid w:val="001E4202"/>
    <w:rsid w:val="001E52B5"/>
    <w:rsid w:val="001E71EC"/>
    <w:rsid w:val="001E7A95"/>
    <w:rsid w:val="001F158C"/>
    <w:rsid w:val="001F2236"/>
    <w:rsid w:val="001F2249"/>
    <w:rsid w:val="001F3449"/>
    <w:rsid w:val="001F3C71"/>
    <w:rsid w:val="0020083B"/>
    <w:rsid w:val="002024FC"/>
    <w:rsid w:val="00204679"/>
    <w:rsid w:val="00204A8C"/>
    <w:rsid w:val="002064E9"/>
    <w:rsid w:val="00206631"/>
    <w:rsid w:val="0021036B"/>
    <w:rsid w:val="00212873"/>
    <w:rsid w:val="002143F0"/>
    <w:rsid w:val="00215856"/>
    <w:rsid w:val="00220125"/>
    <w:rsid w:val="002222F1"/>
    <w:rsid w:val="002228C1"/>
    <w:rsid w:val="00224C7A"/>
    <w:rsid w:val="002254D8"/>
    <w:rsid w:val="002263EC"/>
    <w:rsid w:val="0023178C"/>
    <w:rsid w:val="00231CF8"/>
    <w:rsid w:val="002351B4"/>
    <w:rsid w:val="0023579E"/>
    <w:rsid w:val="00235D97"/>
    <w:rsid w:val="00235E40"/>
    <w:rsid w:val="002376D7"/>
    <w:rsid w:val="00240EF5"/>
    <w:rsid w:val="00242F3A"/>
    <w:rsid w:val="00243034"/>
    <w:rsid w:val="00245C36"/>
    <w:rsid w:val="0024692C"/>
    <w:rsid w:val="00246F0B"/>
    <w:rsid w:val="00247707"/>
    <w:rsid w:val="00250DD3"/>
    <w:rsid w:val="00250F19"/>
    <w:rsid w:val="0025249A"/>
    <w:rsid w:val="0025265F"/>
    <w:rsid w:val="002550DB"/>
    <w:rsid w:val="00255259"/>
    <w:rsid w:val="00256ED2"/>
    <w:rsid w:val="00260830"/>
    <w:rsid w:val="00260C2F"/>
    <w:rsid w:val="0026101F"/>
    <w:rsid w:val="00263DC8"/>
    <w:rsid w:val="00263E93"/>
    <w:rsid w:val="002645C3"/>
    <w:rsid w:val="00265174"/>
    <w:rsid w:val="0026663C"/>
    <w:rsid w:val="00271556"/>
    <w:rsid w:val="002715DD"/>
    <w:rsid w:val="00271FA9"/>
    <w:rsid w:val="00272FA2"/>
    <w:rsid w:val="00275002"/>
    <w:rsid w:val="00275B44"/>
    <w:rsid w:val="0028146C"/>
    <w:rsid w:val="002825C2"/>
    <w:rsid w:val="00286B7B"/>
    <w:rsid w:val="002900A3"/>
    <w:rsid w:val="0029048A"/>
    <w:rsid w:val="00290917"/>
    <w:rsid w:val="00290D02"/>
    <w:rsid w:val="00293F88"/>
    <w:rsid w:val="00294008"/>
    <w:rsid w:val="00294C0B"/>
    <w:rsid w:val="00297C21"/>
    <w:rsid w:val="002A18BD"/>
    <w:rsid w:val="002A4E21"/>
    <w:rsid w:val="002B204C"/>
    <w:rsid w:val="002C0A36"/>
    <w:rsid w:val="002C151B"/>
    <w:rsid w:val="002C37BB"/>
    <w:rsid w:val="002C4350"/>
    <w:rsid w:val="002C5FC8"/>
    <w:rsid w:val="002C7299"/>
    <w:rsid w:val="002D2898"/>
    <w:rsid w:val="002D3855"/>
    <w:rsid w:val="002D41B3"/>
    <w:rsid w:val="002D5C8F"/>
    <w:rsid w:val="002D613B"/>
    <w:rsid w:val="002D63DC"/>
    <w:rsid w:val="002D7664"/>
    <w:rsid w:val="002E13E2"/>
    <w:rsid w:val="002E1C3A"/>
    <w:rsid w:val="002E24AC"/>
    <w:rsid w:val="002E3870"/>
    <w:rsid w:val="002E5BEA"/>
    <w:rsid w:val="002E5FEA"/>
    <w:rsid w:val="002E7E26"/>
    <w:rsid w:val="002F1577"/>
    <w:rsid w:val="002F16AB"/>
    <w:rsid w:val="002F522E"/>
    <w:rsid w:val="002F6253"/>
    <w:rsid w:val="002F6C85"/>
    <w:rsid w:val="002F6EA7"/>
    <w:rsid w:val="002F6FC8"/>
    <w:rsid w:val="00301260"/>
    <w:rsid w:val="0030218B"/>
    <w:rsid w:val="003031B7"/>
    <w:rsid w:val="00303A4C"/>
    <w:rsid w:val="00303AE3"/>
    <w:rsid w:val="00306CA2"/>
    <w:rsid w:val="00307B2C"/>
    <w:rsid w:val="0031346D"/>
    <w:rsid w:val="0032152D"/>
    <w:rsid w:val="00322927"/>
    <w:rsid w:val="00322DB5"/>
    <w:rsid w:val="003304BE"/>
    <w:rsid w:val="00331745"/>
    <w:rsid w:val="00332918"/>
    <w:rsid w:val="0033292C"/>
    <w:rsid w:val="00334F26"/>
    <w:rsid w:val="00336D40"/>
    <w:rsid w:val="00344223"/>
    <w:rsid w:val="0034488C"/>
    <w:rsid w:val="0034705D"/>
    <w:rsid w:val="00347772"/>
    <w:rsid w:val="003510CA"/>
    <w:rsid w:val="00351C0C"/>
    <w:rsid w:val="003531A3"/>
    <w:rsid w:val="003552CE"/>
    <w:rsid w:val="0035634C"/>
    <w:rsid w:val="00356C2C"/>
    <w:rsid w:val="0035740E"/>
    <w:rsid w:val="00360215"/>
    <w:rsid w:val="003602BC"/>
    <w:rsid w:val="00364AB1"/>
    <w:rsid w:val="0036594F"/>
    <w:rsid w:val="003724BE"/>
    <w:rsid w:val="003745BA"/>
    <w:rsid w:val="00374D99"/>
    <w:rsid w:val="003757B0"/>
    <w:rsid w:val="00377105"/>
    <w:rsid w:val="00380DD7"/>
    <w:rsid w:val="00381481"/>
    <w:rsid w:val="003831F9"/>
    <w:rsid w:val="0038373F"/>
    <w:rsid w:val="00384C01"/>
    <w:rsid w:val="00385159"/>
    <w:rsid w:val="00387711"/>
    <w:rsid w:val="00387D0B"/>
    <w:rsid w:val="00390A01"/>
    <w:rsid w:val="00391226"/>
    <w:rsid w:val="00393C7D"/>
    <w:rsid w:val="00396A2F"/>
    <w:rsid w:val="003971FA"/>
    <w:rsid w:val="003A116F"/>
    <w:rsid w:val="003A1CCA"/>
    <w:rsid w:val="003A247E"/>
    <w:rsid w:val="003B5597"/>
    <w:rsid w:val="003B71E5"/>
    <w:rsid w:val="003B7330"/>
    <w:rsid w:val="003B78BB"/>
    <w:rsid w:val="003C0318"/>
    <w:rsid w:val="003C0D6C"/>
    <w:rsid w:val="003C29F1"/>
    <w:rsid w:val="003C50E4"/>
    <w:rsid w:val="003C562D"/>
    <w:rsid w:val="003C5DFA"/>
    <w:rsid w:val="003D1033"/>
    <w:rsid w:val="003D1128"/>
    <w:rsid w:val="003D31C8"/>
    <w:rsid w:val="003D3279"/>
    <w:rsid w:val="003D589E"/>
    <w:rsid w:val="003D6B78"/>
    <w:rsid w:val="003E0BDF"/>
    <w:rsid w:val="003E143F"/>
    <w:rsid w:val="003E274C"/>
    <w:rsid w:val="003E3C14"/>
    <w:rsid w:val="003E4646"/>
    <w:rsid w:val="003E5360"/>
    <w:rsid w:val="003E5386"/>
    <w:rsid w:val="003E570C"/>
    <w:rsid w:val="003E6144"/>
    <w:rsid w:val="003F0BAA"/>
    <w:rsid w:val="003F145B"/>
    <w:rsid w:val="003F1B8B"/>
    <w:rsid w:val="003F225B"/>
    <w:rsid w:val="003F2C14"/>
    <w:rsid w:val="003F4017"/>
    <w:rsid w:val="003F45A4"/>
    <w:rsid w:val="003F5C57"/>
    <w:rsid w:val="003F7458"/>
    <w:rsid w:val="00400D98"/>
    <w:rsid w:val="00401881"/>
    <w:rsid w:val="004024B7"/>
    <w:rsid w:val="00403728"/>
    <w:rsid w:val="00405B09"/>
    <w:rsid w:val="00405F85"/>
    <w:rsid w:val="00406636"/>
    <w:rsid w:val="00413D13"/>
    <w:rsid w:val="0041764D"/>
    <w:rsid w:val="0042305E"/>
    <w:rsid w:val="004307DA"/>
    <w:rsid w:val="00431751"/>
    <w:rsid w:val="00431C9F"/>
    <w:rsid w:val="004403A0"/>
    <w:rsid w:val="00440569"/>
    <w:rsid w:val="00441D26"/>
    <w:rsid w:val="00442971"/>
    <w:rsid w:val="004517D0"/>
    <w:rsid w:val="0045329E"/>
    <w:rsid w:val="00454DF2"/>
    <w:rsid w:val="00457663"/>
    <w:rsid w:val="00461EBA"/>
    <w:rsid w:val="0046250F"/>
    <w:rsid w:val="004628E1"/>
    <w:rsid w:val="00464B3B"/>
    <w:rsid w:val="00465AE6"/>
    <w:rsid w:val="004664FE"/>
    <w:rsid w:val="004676F5"/>
    <w:rsid w:val="004732AB"/>
    <w:rsid w:val="00473498"/>
    <w:rsid w:val="0047419E"/>
    <w:rsid w:val="004756C2"/>
    <w:rsid w:val="00475E73"/>
    <w:rsid w:val="00477E06"/>
    <w:rsid w:val="004803C8"/>
    <w:rsid w:val="00480A31"/>
    <w:rsid w:val="004823A6"/>
    <w:rsid w:val="00482A2D"/>
    <w:rsid w:val="004865DD"/>
    <w:rsid w:val="004913F8"/>
    <w:rsid w:val="004978D2"/>
    <w:rsid w:val="00497DD4"/>
    <w:rsid w:val="004A0F52"/>
    <w:rsid w:val="004A10F2"/>
    <w:rsid w:val="004A12AB"/>
    <w:rsid w:val="004A17DA"/>
    <w:rsid w:val="004A2223"/>
    <w:rsid w:val="004A5458"/>
    <w:rsid w:val="004A7FCF"/>
    <w:rsid w:val="004B1740"/>
    <w:rsid w:val="004B4230"/>
    <w:rsid w:val="004B47F2"/>
    <w:rsid w:val="004B49D1"/>
    <w:rsid w:val="004B6907"/>
    <w:rsid w:val="004C1F81"/>
    <w:rsid w:val="004C535E"/>
    <w:rsid w:val="004C60BD"/>
    <w:rsid w:val="004D059F"/>
    <w:rsid w:val="004D0C02"/>
    <w:rsid w:val="004D1C42"/>
    <w:rsid w:val="004D3D5F"/>
    <w:rsid w:val="004D582B"/>
    <w:rsid w:val="004E21CC"/>
    <w:rsid w:val="004E2758"/>
    <w:rsid w:val="004E3AAF"/>
    <w:rsid w:val="004E46FD"/>
    <w:rsid w:val="004E651C"/>
    <w:rsid w:val="004E7A5C"/>
    <w:rsid w:val="004E7ABE"/>
    <w:rsid w:val="004F1B5F"/>
    <w:rsid w:val="004F30EF"/>
    <w:rsid w:val="004F71EE"/>
    <w:rsid w:val="004F7781"/>
    <w:rsid w:val="004F7CD0"/>
    <w:rsid w:val="005011A4"/>
    <w:rsid w:val="0050293C"/>
    <w:rsid w:val="0050400F"/>
    <w:rsid w:val="00505478"/>
    <w:rsid w:val="00505BC3"/>
    <w:rsid w:val="0051209A"/>
    <w:rsid w:val="00512CF0"/>
    <w:rsid w:val="00513966"/>
    <w:rsid w:val="00514B8F"/>
    <w:rsid w:val="00514E6E"/>
    <w:rsid w:val="00515FC7"/>
    <w:rsid w:val="00521052"/>
    <w:rsid w:val="00523B93"/>
    <w:rsid w:val="0052514A"/>
    <w:rsid w:val="00534A72"/>
    <w:rsid w:val="00537664"/>
    <w:rsid w:val="00540532"/>
    <w:rsid w:val="005429AE"/>
    <w:rsid w:val="005436AF"/>
    <w:rsid w:val="00544E05"/>
    <w:rsid w:val="0054547A"/>
    <w:rsid w:val="0054576D"/>
    <w:rsid w:val="00546057"/>
    <w:rsid w:val="00551189"/>
    <w:rsid w:val="00552871"/>
    <w:rsid w:val="005535B5"/>
    <w:rsid w:val="00554D8B"/>
    <w:rsid w:val="00554D9D"/>
    <w:rsid w:val="0055565D"/>
    <w:rsid w:val="00555773"/>
    <w:rsid w:val="00561A32"/>
    <w:rsid w:val="00563CE1"/>
    <w:rsid w:val="005654C2"/>
    <w:rsid w:val="00566ECE"/>
    <w:rsid w:val="00572021"/>
    <w:rsid w:val="00573180"/>
    <w:rsid w:val="0057407D"/>
    <w:rsid w:val="005751DE"/>
    <w:rsid w:val="00576B53"/>
    <w:rsid w:val="00576F74"/>
    <w:rsid w:val="0057791C"/>
    <w:rsid w:val="0058069E"/>
    <w:rsid w:val="00582FDB"/>
    <w:rsid w:val="005835BB"/>
    <w:rsid w:val="00583753"/>
    <w:rsid w:val="00583F35"/>
    <w:rsid w:val="00587D1B"/>
    <w:rsid w:val="0059093E"/>
    <w:rsid w:val="00590D35"/>
    <w:rsid w:val="00592283"/>
    <w:rsid w:val="00593E77"/>
    <w:rsid w:val="00595E4B"/>
    <w:rsid w:val="0059714F"/>
    <w:rsid w:val="00597B03"/>
    <w:rsid w:val="00597BEA"/>
    <w:rsid w:val="00597FFE"/>
    <w:rsid w:val="005A18B7"/>
    <w:rsid w:val="005A2202"/>
    <w:rsid w:val="005A41F8"/>
    <w:rsid w:val="005B05E5"/>
    <w:rsid w:val="005B2B3B"/>
    <w:rsid w:val="005B4405"/>
    <w:rsid w:val="005B5B2D"/>
    <w:rsid w:val="005C3394"/>
    <w:rsid w:val="005C4BD4"/>
    <w:rsid w:val="005D13A5"/>
    <w:rsid w:val="005D3377"/>
    <w:rsid w:val="005D3827"/>
    <w:rsid w:val="005D5CF9"/>
    <w:rsid w:val="005D62E0"/>
    <w:rsid w:val="005D76F1"/>
    <w:rsid w:val="005D7798"/>
    <w:rsid w:val="005E4725"/>
    <w:rsid w:val="005E626B"/>
    <w:rsid w:val="005E6EE2"/>
    <w:rsid w:val="005F0EFF"/>
    <w:rsid w:val="005F1CCC"/>
    <w:rsid w:val="005F3495"/>
    <w:rsid w:val="005F41BA"/>
    <w:rsid w:val="005F4BA4"/>
    <w:rsid w:val="005F621B"/>
    <w:rsid w:val="005F631D"/>
    <w:rsid w:val="005F63D1"/>
    <w:rsid w:val="005F66E7"/>
    <w:rsid w:val="005F6D6D"/>
    <w:rsid w:val="005F6D97"/>
    <w:rsid w:val="005F6DFC"/>
    <w:rsid w:val="005F7938"/>
    <w:rsid w:val="00600A6B"/>
    <w:rsid w:val="00600C5D"/>
    <w:rsid w:val="00602D1D"/>
    <w:rsid w:val="006039CC"/>
    <w:rsid w:val="006043F0"/>
    <w:rsid w:val="00605318"/>
    <w:rsid w:val="006110D2"/>
    <w:rsid w:val="0061270E"/>
    <w:rsid w:val="00622343"/>
    <w:rsid w:val="00623BE3"/>
    <w:rsid w:val="00623CD3"/>
    <w:rsid w:val="006240DF"/>
    <w:rsid w:val="00631191"/>
    <w:rsid w:val="006313EE"/>
    <w:rsid w:val="00632991"/>
    <w:rsid w:val="00633131"/>
    <w:rsid w:val="00635E83"/>
    <w:rsid w:val="0063628D"/>
    <w:rsid w:val="00637D8D"/>
    <w:rsid w:val="006405A5"/>
    <w:rsid w:val="00643347"/>
    <w:rsid w:val="006455DB"/>
    <w:rsid w:val="00647D8B"/>
    <w:rsid w:val="0065089D"/>
    <w:rsid w:val="00650957"/>
    <w:rsid w:val="006510CE"/>
    <w:rsid w:val="00652CA3"/>
    <w:rsid w:val="006532FA"/>
    <w:rsid w:val="00653402"/>
    <w:rsid w:val="006546BE"/>
    <w:rsid w:val="00654B21"/>
    <w:rsid w:val="00655FC0"/>
    <w:rsid w:val="006564D7"/>
    <w:rsid w:val="006567EF"/>
    <w:rsid w:val="00657E30"/>
    <w:rsid w:val="006603F2"/>
    <w:rsid w:val="00661903"/>
    <w:rsid w:val="006628F7"/>
    <w:rsid w:val="00663CC0"/>
    <w:rsid w:val="00663D97"/>
    <w:rsid w:val="00665759"/>
    <w:rsid w:val="00666674"/>
    <w:rsid w:val="00670F5A"/>
    <w:rsid w:val="006718F6"/>
    <w:rsid w:val="00671DD0"/>
    <w:rsid w:val="00673A02"/>
    <w:rsid w:val="00673CEF"/>
    <w:rsid w:val="006740C4"/>
    <w:rsid w:val="00674A12"/>
    <w:rsid w:val="006818B4"/>
    <w:rsid w:val="00684C30"/>
    <w:rsid w:val="00692594"/>
    <w:rsid w:val="00693D2D"/>
    <w:rsid w:val="00694484"/>
    <w:rsid w:val="00695E06"/>
    <w:rsid w:val="00696FB7"/>
    <w:rsid w:val="006977E7"/>
    <w:rsid w:val="006A06E2"/>
    <w:rsid w:val="006A15E6"/>
    <w:rsid w:val="006A17BE"/>
    <w:rsid w:val="006A4D4C"/>
    <w:rsid w:val="006A7820"/>
    <w:rsid w:val="006B0410"/>
    <w:rsid w:val="006B0A4F"/>
    <w:rsid w:val="006B2186"/>
    <w:rsid w:val="006B32F0"/>
    <w:rsid w:val="006B5B81"/>
    <w:rsid w:val="006C28A8"/>
    <w:rsid w:val="006C35DD"/>
    <w:rsid w:val="006C5F84"/>
    <w:rsid w:val="006C6C0C"/>
    <w:rsid w:val="006D1C60"/>
    <w:rsid w:val="006D4CBF"/>
    <w:rsid w:val="006D565F"/>
    <w:rsid w:val="006D7999"/>
    <w:rsid w:val="006D7F7E"/>
    <w:rsid w:val="006E1ED7"/>
    <w:rsid w:val="006E4BA8"/>
    <w:rsid w:val="006E537F"/>
    <w:rsid w:val="006E6C24"/>
    <w:rsid w:val="006F003E"/>
    <w:rsid w:val="006F0332"/>
    <w:rsid w:val="006F6316"/>
    <w:rsid w:val="006F67F7"/>
    <w:rsid w:val="00700512"/>
    <w:rsid w:val="0070237E"/>
    <w:rsid w:val="007029A8"/>
    <w:rsid w:val="007041EC"/>
    <w:rsid w:val="00704AFE"/>
    <w:rsid w:val="00704FF0"/>
    <w:rsid w:val="00705CF3"/>
    <w:rsid w:val="00710135"/>
    <w:rsid w:val="0071182F"/>
    <w:rsid w:val="00712DF1"/>
    <w:rsid w:val="00714293"/>
    <w:rsid w:val="0071780D"/>
    <w:rsid w:val="00720D91"/>
    <w:rsid w:val="00722FEA"/>
    <w:rsid w:val="00724AFA"/>
    <w:rsid w:val="00724E08"/>
    <w:rsid w:val="00725065"/>
    <w:rsid w:val="00725531"/>
    <w:rsid w:val="00730600"/>
    <w:rsid w:val="00735836"/>
    <w:rsid w:val="00742E8E"/>
    <w:rsid w:val="00746016"/>
    <w:rsid w:val="00747D54"/>
    <w:rsid w:val="00751313"/>
    <w:rsid w:val="0075291F"/>
    <w:rsid w:val="00752ECD"/>
    <w:rsid w:val="00757258"/>
    <w:rsid w:val="00760612"/>
    <w:rsid w:val="00765E46"/>
    <w:rsid w:val="00766097"/>
    <w:rsid w:val="00766501"/>
    <w:rsid w:val="00767715"/>
    <w:rsid w:val="00770235"/>
    <w:rsid w:val="00770552"/>
    <w:rsid w:val="00770DEF"/>
    <w:rsid w:val="00771854"/>
    <w:rsid w:val="00772CB3"/>
    <w:rsid w:val="007749CD"/>
    <w:rsid w:val="00774CDE"/>
    <w:rsid w:val="00776368"/>
    <w:rsid w:val="0078090D"/>
    <w:rsid w:val="007840E1"/>
    <w:rsid w:val="0078726C"/>
    <w:rsid w:val="0078735D"/>
    <w:rsid w:val="00787D32"/>
    <w:rsid w:val="00790B55"/>
    <w:rsid w:val="00794371"/>
    <w:rsid w:val="00795EF8"/>
    <w:rsid w:val="007A36CE"/>
    <w:rsid w:val="007A59B4"/>
    <w:rsid w:val="007A7285"/>
    <w:rsid w:val="007A7979"/>
    <w:rsid w:val="007B072C"/>
    <w:rsid w:val="007B105D"/>
    <w:rsid w:val="007B3D37"/>
    <w:rsid w:val="007B4812"/>
    <w:rsid w:val="007B49B5"/>
    <w:rsid w:val="007B7C21"/>
    <w:rsid w:val="007C105A"/>
    <w:rsid w:val="007C1384"/>
    <w:rsid w:val="007C511D"/>
    <w:rsid w:val="007C60F2"/>
    <w:rsid w:val="007C7A35"/>
    <w:rsid w:val="007C7F89"/>
    <w:rsid w:val="007D3850"/>
    <w:rsid w:val="007D4385"/>
    <w:rsid w:val="007D4E5B"/>
    <w:rsid w:val="007D6800"/>
    <w:rsid w:val="007E1F3B"/>
    <w:rsid w:val="007E22AE"/>
    <w:rsid w:val="007E22DC"/>
    <w:rsid w:val="007E355F"/>
    <w:rsid w:val="007E56A6"/>
    <w:rsid w:val="007E7602"/>
    <w:rsid w:val="007F157B"/>
    <w:rsid w:val="007F5161"/>
    <w:rsid w:val="007F5D93"/>
    <w:rsid w:val="007F5FAE"/>
    <w:rsid w:val="007F7472"/>
    <w:rsid w:val="007F7CBC"/>
    <w:rsid w:val="007F7D40"/>
    <w:rsid w:val="00801319"/>
    <w:rsid w:val="00803DE6"/>
    <w:rsid w:val="0080415F"/>
    <w:rsid w:val="00804BC7"/>
    <w:rsid w:val="00807C37"/>
    <w:rsid w:val="0081037A"/>
    <w:rsid w:val="00810C93"/>
    <w:rsid w:val="00810DE9"/>
    <w:rsid w:val="008156C4"/>
    <w:rsid w:val="00816CC6"/>
    <w:rsid w:val="008214F2"/>
    <w:rsid w:val="0082385B"/>
    <w:rsid w:val="008309E4"/>
    <w:rsid w:val="00831E89"/>
    <w:rsid w:val="008335D3"/>
    <w:rsid w:val="00833E90"/>
    <w:rsid w:val="008347D6"/>
    <w:rsid w:val="00834D4B"/>
    <w:rsid w:val="0083569E"/>
    <w:rsid w:val="008416AE"/>
    <w:rsid w:val="00843764"/>
    <w:rsid w:val="00843F17"/>
    <w:rsid w:val="00844342"/>
    <w:rsid w:val="00844F6F"/>
    <w:rsid w:val="00846F8A"/>
    <w:rsid w:val="00851B3A"/>
    <w:rsid w:val="00851F1C"/>
    <w:rsid w:val="00854FC8"/>
    <w:rsid w:val="008552F0"/>
    <w:rsid w:val="00855854"/>
    <w:rsid w:val="00855E64"/>
    <w:rsid w:val="00861132"/>
    <w:rsid w:val="00861EE1"/>
    <w:rsid w:val="00864154"/>
    <w:rsid w:val="008706BD"/>
    <w:rsid w:val="00870861"/>
    <w:rsid w:val="00871EAF"/>
    <w:rsid w:val="0087498A"/>
    <w:rsid w:val="008773EE"/>
    <w:rsid w:val="008776D7"/>
    <w:rsid w:val="00881276"/>
    <w:rsid w:val="00885B6E"/>
    <w:rsid w:val="00886DB6"/>
    <w:rsid w:val="00886FE7"/>
    <w:rsid w:val="00887ABC"/>
    <w:rsid w:val="008910BB"/>
    <w:rsid w:val="00891352"/>
    <w:rsid w:val="00891388"/>
    <w:rsid w:val="008928DF"/>
    <w:rsid w:val="00895DCB"/>
    <w:rsid w:val="0089740C"/>
    <w:rsid w:val="00897A4C"/>
    <w:rsid w:val="008A0868"/>
    <w:rsid w:val="008A0FDF"/>
    <w:rsid w:val="008A20EF"/>
    <w:rsid w:val="008A2522"/>
    <w:rsid w:val="008A7DB3"/>
    <w:rsid w:val="008B35FA"/>
    <w:rsid w:val="008B4956"/>
    <w:rsid w:val="008B5AFB"/>
    <w:rsid w:val="008B5D12"/>
    <w:rsid w:val="008B6C90"/>
    <w:rsid w:val="008B734C"/>
    <w:rsid w:val="008C07E7"/>
    <w:rsid w:val="008C0AC0"/>
    <w:rsid w:val="008C313B"/>
    <w:rsid w:val="008C6881"/>
    <w:rsid w:val="008D0005"/>
    <w:rsid w:val="008D3C09"/>
    <w:rsid w:val="008D48D8"/>
    <w:rsid w:val="008D618E"/>
    <w:rsid w:val="008D6E68"/>
    <w:rsid w:val="008E021E"/>
    <w:rsid w:val="008E2D9A"/>
    <w:rsid w:val="008E3748"/>
    <w:rsid w:val="008E4D0C"/>
    <w:rsid w:val="008E5D93"/>
    <w:rsid w:val="008E694C"/>
    <w:rsid w:val="008E70EC"/>
    <w:rsid w:val="008E71CE"/>
    <w:rsid w:val="008F06BE"/>
    <w:rsid w:val="008F102B"/>
    <w:rsid w:val="008F22CD"/>
    <w:rsid w:val="008F2B34"/>
    <w:rsid w:val="008F45AF"/>
    <w:rsid w:val="008F55B4"/>
    <w:rsid w:val="00901A05"/>
    <w:rsid w:val="00901F46"/>
    <w:rsid w:val="00904288"/>
    <w:rsid w:val="00907352"/>
    <w:rsid w:val="00910284"/>
    <w:rsid w:val="00910EA5"/>
    <w:rsid w:val="00912C1C"/>
    <w:rsid w:val="00912EA4"/>
    <w:rsid w:val="009144DB"/>
    <w:rsid w:val="00914700"/>
    <w:rsid w:val="00915E16"/>
    <w:rsid w:val="0091643E"/>
    <w:rsid w:val="00923B0F"/>
    <w:rsid w:val="00924DAA"/>
    <w:rsid w:val="009265FF"/>
    <w:rsid w:val="00926E2F"/>
    <w:rsid w:val="00927A2C"/>
    <w:rsid w:val="009314DC"/>
    <w:rsid w:val="009338C8"/>
    <w:rsid w:val="009364B7"/>
    <w:rsid w:val="009376C2"/>
    <w:rsid w:val="00937A8E"/>
    <w:rsid w:val="00940AF7"/>
    <w:rsid w:val="00942075"/>
    <w:rsid w:val="00942255"/>
    <w:rsid w:val="00942668"/>
    <w:rsid w:val="0094502B"/>
    <w:rsid w:val="0094720D"/>
    <w:rsid w:val="00951167"/>
    <w:rsid w:val="00951821"/>
    <w:rsid w:val="009525B0"/>
    <w:rsid w:val="00956C7A"/>
    <w:rsid w:val="009570CC"/>
    <w:rsid w:val="009615A2"/>
    <w:rsid w:val="009623DF"/>
    <w:rsid w:val="00962F83"/>
    <w:rsid w:val="009651F9"/>
    <w:rsid w:val="00965833"/>
    <w:rsid w:val="009659CF"/>
    <w:rsid w:val="00967BD8"/>
    <w:rsid w:val="00970962"/>
    <w:rsid w:val="00971525"/>
    <w:rsid w:val="00971AF2"/>
    <w:rsid w:val="00976C79"/>
    <w:rsid w:val="009808A7"/>
    <w:rsid w:val="00982DAD"/>
    <w:rsid w:val="00983CD2"/>
    <w:rsid w:val="009841F1"/>
    <w:rsid w:val="00985B0A"/>
    <w:rsid w:val="00986D6C"/>
    <w:rsid w:val="00993173"/>
    <w:rsid w:val="009A063C"/>
    <w:rsid w:val="009A358C"/>
    <w:rsid w:val="009A412E"/>
    <w:rsid w:val="009A5DBB"/>
    <w:rsid w:val="009A6AD4"/>
    <w:rsid w:val="009B07D7"/>
    <w:rsid w:val="009B25F9"/>
    <w:rsid w:val="009B33CF"/>
    <w:rsid w:val="009C066C"/>
    <w:rsid w:val="009C7158"/>
    <w:rsid w:val="009C7CED"/>
    <w:rsid w:val="009D6A1D"/>
    <w:rsid w:val="009D7294"/>
    <w:rsid w:val="009D73B1"/>
    <w:rsid w:val="009E4C25"/>
    <w:rsid w:val="009E6550"/>
    <w:rsid w:val="009E6556"/>
    <w:rsid w:val="009F2211"/>
    <w:rsid w:val="009F3112"/>
    <w:rsid w:val="009F6682"/>
    <w:rsid w:val="009F66A6"/>
    <w:rsid w:val="009F6E82"/>
    <w:rsid w:val="009F7EB9"/>
    <w:rsid w:val="00A002AA"/>
    <w:rsid w:val="00A0330C"/>
    <w:rsid w:val="00A03A72"/>
    <w:rsid w:val="00A04082"/>
    <w:rsid w:val="00A04E0B"/>
    <w:rsid w:val="00A04E6E"/>
    <w:rsid w:val="00A0562B"/>
    <w:rsid w:val="00A06F94"/>
    <w:rsid w:val="00A06FF8"/>
    <w:rsid w:val="00A11A70"/>
    <w:rsid w:val="00A11B6E"/>
    <w:rsid w:val="00A136A4"/>
    <w:rsid w:val="00A1410C"/>
    <w:rsid w:val="00A15F46"/>
    <w:rsid w:val="00A1668A"/>
    <w:rsid w:val="00A20F6C"/>
    <w:rsid w:val="00A26DF1"/>
    <w:rsid w:val="00A27772"/>
    <w:rsid w:val="00A27A3A"/>
    <w:rsid w:val="00A31110"/>
    <w:rsid w:val="00A31D06"/>
    <w:rsid w:val="00A32C93"/>
    <w:rsid w:val="00A364EA"/>
    <w:rsid w:val="00A36ADD"/>
    <w:rsid w:val="00A36C5E"/>
    <w:rsid w:val="00A41285"/>
    <w:rsid w:val="00A414FB"/>
    <w:rsid w:val="00A429F6"/>
    <w:rsid w:val="00A439FC"/>
    <w:rsid w:val="00A47ED2"/>
    <w:rsid w:val="00A50D43"/>
    <w:rsid w:val="00A52115"/>
    <w:rsid w:val="00A52F11"/>
    <w:rsid w:val="00A531D3"/>
    <w:rsid w:val="00A55680"/>
    <w:rsid w:val="00A56639"/>
    <w:rsid w:val="00A601D3"/>
    <w:rsid w:val="00A6441D"/>
    <w:rsid w:val="00A652A1"/>
    <w:rsid w:val="00A656B4"/>
    <w:rsid w:val="00A65CC5"/>
    <w:rsid w:val="00A70005"/>
    <w:rsid w:val="00A701CF"/>
    <w:rsid w:val="00A71CD3"/>
    <w:rsid w:val="00A75CA8"/>
    <w:rsid w:val="00A769DE"/>
    <w:rsid w:val="00A77B34"/>
    <w:rsid w:val="00A8211A"/>
    <w:rsid w:val="00A878AA"/>
    <w:rsid w:val="00A878F4"/>
    <w:rsid w:val="00A91767"/>
    <w:rsid w:val="00A92591"/>
    <w:rsid w:val="00A946A2"/>
    <w:rsid w:val="00A95C52"/>
    <w:rsid w:val="00AA0907"/>
    <w:rsid w:val="00AA26E5"/>
    <w:rsid w:val="00AA3259"/>
    <w:rsid w:val="00AA3A6A"/>
    <w:rsid w:val="00AA4941"/>
    <w:rsid w:val="00AA4B5C"/>
    <w:rsid w:val="00AA5720"/>
    <w:rsid w:val="00AA6594"/>
    <w:rsid w:val="00AB0C39"/>
    <w:rsid w:val="00AB2026"/>
    <w:rsid w:val="00AB286E"/>
    <w:rsid w:val="00AC354D"/>
    <w:rsid w:val="00AD21D6"/>
    <w:rsid w:val="00AD7A61"/>
    <w:rsid w:val="00AE1192"/>
    <w:rsid w:val="00AE2770"/>
    <w:rsid w:val="00AE42E2"/>
    <w:rsid w:val="00AE49EC"/>
    <w:rsid w:val="00AE6309"/>
    <w:rsid w:val="00AE6A82"/>
    <w:rsid w:val="00AE78FA"/>
    <w:rsid w:val="00AF14B6"/>
    <w:rsid w:val="00AF3C03"/>
    <w:rsid w:val="00AF44E9"/>
    <w:rsid w:val="00AF5A6F"/>
    <w:rsid w:val="00AF6286"/>
    <w:rsid w:val="00AF77A2"/>
    <w:rsid w:val="00AF77D7"/>
    <w:rsid w:val="00B0272E"/>
    <w:rsid w:val="00B02847"/>
    <w:rsid w:val="00B03A1A"/>
    <w:rsid w:val="00B04AD5"/>
    <w:rsid w:val="00B0661F"/>
    <w:rsid w:val="00B066B1"/>
    <w:rsid w:val="00B12EEB"/>
    <w:rsid w:val="00B16CD5"/>
    <w:rsid w:val="00B16E30"/>
    <w:rsid w:val="00B16FF6"/>
    <w:rsid w:val="00B208AA"/>
    <w:rsid w:val="00B2157B"/>
    <w:rsid w:val="00B2476A"/>
    <w:rsid w:val="00B24EC8"/>
    <w:rsid w:val="00B24F8D"/>
    <w:rsid w:val="00B3252F"/>
    <w:rsid w:val="00B328AA"/>
    <w:rsid w:val="00B33FD0"/>
    <w:rsid w:val="00B37076"/>
    <w:rsid w:val="00B37179"/>
    <w:rsid w:val="00B37973"/>
    <w:rsid w:val="00B37D20"/>
    <w:rsid w:val="00B4197C"/>
    <w:rsid w:val="00B42923"/>
    <w:rsid w:val="00B460B0"/>
    <w:rsid w:val="00B462E9"/>
    <w:rsid w:val="00B508ED"/>
    <w:rsid w:val="00B52D43"/>
    <w:rsid w:val="00B54C14"/>
    <w:rsid w:val="00B55586"/>
    <w:rsid w:val="00B61D76"/>
    <w:rsid w:val="00B62297"/>
    <w:rsid w:val="00B638B5"/>
    <w:rsid w:val="00B677FB"/>
    <w:rsid w:val="00B72222"/>
    <w:rsid w:val="00B74F32"/>
    <w:rsid w:val="00B760FD"/>
    <w:rsid w:val="00B76299"/>
    <w:rsid w:val="00B801E6"/>
    <w:rsid w:val="00B83564"/>
    <w:rsid w:val="00B85640"/>
    <w:rsid w:val="00B8697A"/>
    <w:rsid w:val="00B90447"/>
    <w:rsid w:val="00B90E96"/>
    <w:rsid w:val="00B94395"/>
    <w:rsid w:val="00B957AD"/>
    <w:rsid w:val="00B95831"/>
    <w:rsid w:val="00B95AE0"/>
    <w:rsid w:val="00B96922"/>
    <w:rsid w:val="00BA59E7"/>
    <w:rsid w:val="00BA6602"/>
    <w:rsid w:val="00BA69AE"/>
    <w:rsid w:val="00BB011E"/>
    <w:rsid w:val="00BB13EA"/>
    <w:rsid w:val="00BB1497"/>
    <w:rsid w:val="00BB249F"/>
    <w:rsid w:val="00BB24D2"/>
    <w:rsid w:val="00BB3039"/>
    <w:rsid w:val="00BB4634"/>
    <w:rsid w:val="00BC157C"/>
    <w:rsid w:val="00BC2309"/>
    <w:rsid w:val="00BC5B46"/>
    <w:rsid w:val="00BD193F"/>
    <w:rsid w:val="00BD1AE0"/>
    <w:rsid w:val="00BD1CB8"/>
    <w:rsid w:val="00BD2A6F"/>
    <w:rsid w:val="00BD34B9"/>
    <w:rsid w:val="00BD4F73"/>
    <w:rsid w:val="00BD791F"/>
    <w:rsid w:val="00BE5CB6"/>
    <w:rsid w:val="00BE768D"/>
    <w:rsid w:val="00BF0346"/>
    <w:rsid w:val="00BF0BB0"/>
    <w:rsid w:val="00BF36BB"/>
    <w:rsid w:val="00BF3B1A"/>
    <w:rsid w:val="00BF42CA"/>
    <w:rsid w:val="00BF716F"/>
    <w:rsid w:val="00C01B74"/>
    <w:rsid w:val="00C028E5"/>
    <w:rsid w:val="00C054F0"/>
    <w:rsid w:val="00C0565D"/>
    <w:rsid w:val="00C1026A"/>
    <w:rsid w:val="00C12C9D"/>
    <w:rsid w:val="00C15665"/>
    <w:rsid w:val="00C1736A"/>
    <w:rsid w:val="00C1795B"/>
    <w:rsid w:val="00C23A9B"/>
    <w:rsid w:val="00C24AB5"/>
    <w:rsid w:val="00C25E38"/>
    <w:rsid w:val="00C25EAA"/>
    <w:rsid w:val="00C3017D"/>
    <w:rsid w:val="00C3085D"/>
    <w:rsid w:val="00C31BC9"/>
    <w:rsid w:val="00C33FE2"/>
    <w:rsid w:val="00C34123"/>
    <w:rsid w:val="00C40C50"/>
    <w:rsid w:val="00C41A57"/>
    <w:rsid w:val="00C422C9"/>
    <w:rsid w:val="00C43814"/>
    <w:rsid w:val="00C454B3"/>
    <w:rsid w:val="00C46785"/>
    <w:rsid w:val="00C501A6"/>
    <w:rsid w:val="00C523EB"/>
    <w:rsid w:val="00C54471"/>
    <w:rsid w:val="00C54E73"/>
    <w:rsid w:val="00C5564A"/>
    <w:rsid w:val="00C57266"/>
    <w:rsid w:val="00C62E91"/>
    <w:rsid w:val="00C66EB5"/>
    <w:rsid w:val="00C67785"/>
    <w:rsid w:val="00C67871"/>
    <w:rsid w:val="00C701E0"/>
    <w:rsid w:val="00C73EC6"/>
    <w:rsid w:val="00C80C2E"/>
    <w:rsid w:val="00C80FB0"/>
    <w:rsid w:val="00C8171F"/>
    <w:rsid w:val="00C82785"/>
    <w:rsid w:val="00C83F3E"/>
    <w:rsid w:val="00C84884"/>
    <w:rsid w:val="00C86124"/>
    <w:rsid w:val="00C91782"/>
    <w:rsid w:val="00C93897"/>
    <w:rsid w:val="00C93FD3"/>
    <w:rsid w:val="00CA0189"/>
    <w:rsid w:val="00CA0F83"/>
    <w:rsid w:val="00CA1C14"/>
    <w:rsid w:val="00CA3D37"/>
    <w:rsid w:val="00CA4115"/>
    <w:rsid w:val="00CA46D1"/>
    <w:rsid w:val="00CA4C29"/>
    <w:rsid w:val="00CA7E29"/>
    <w:rsid w:val="00CB47A4"/>
    <w:rsid w:val="00CB4CD8"/>
    <w:rsid w:val="00CB5B83"/>
    <w:rsid w:val="00CC0F50"/>
    <w:rsid w:val="00CC10E2"/>
    <w:rsid w:val="00CC17A0"/>
    <w:rsid w:val="00CC1A0C"/>
    <w:rsid w:val="00CC1A56"/>
    <w:rsid w:val="00CC27DB"/>
    <w:rsid w:val="00CC2ABD"/>
    <w:rsid w:val="00CC3B17"/>
    <w:rsid w:val="00CC6588"/>
    <w:rsid w:val="00CC6F28"/>
    <w:rsid w:val="00CC739A"/>
    <w:rsid w:val="00CD00E5"/>
    <w:rsid w:val="00CD0E67"/>
    <w:rsid w:val="00CD29C6"/>
    <w:rsid w:val="00CD3773"/>
    <w:rsid w:val="00CD462A"/>
    <w:rsid w:val="00CD5E41"/>
    <w:rsid w:val="00CD6711"/>
    <w:rsid w:val="00CE0242"/>
    <w:rsid w:val="00CE049D"/>
    <w:rsid w:val="00CE1D23"/>
    <w:rsid w:val="00CE2B01"/>
    <w:rsid w:val="00CE3E96"/>
    <w:rsid w:val="00CE5823"/>
    <w:rsid w:val="00CE5911"/>
    <w:rsid w:val="00CE7912"/>
    <w:rsid w:val="00CF4689"/>
    <w:rsid w:val="00CF469B"/>
    <w:rsid w:val="00D00F8E"/>
    <w:rsid w:val="00D01C0E"/>
    <w:rsid w:val="00D01C9B"/>
    <w:rsid w:val="00D035E0"/>
    <w:rsid w:val="00D03609"/>
    <w:rsid w:val="00D07EC8"/>
    <w:rsid w:val="00D11277"/>
    <w:rsid w:val="00D12331"/>
    <w:rsid w:val="00D1525F"/>
    <w:rsid w:val="00D17D39"/>
    <w:rsid w:val="00D2146A"/>
    <w:rsid w:val="00D24E3A"/>
    <w:rsid w:val="00D261B1"/>
    <w:rsid w:val="00D26A52"/>
    <w:rsid w:val="00D324B0"/>
    <w:rsid w:val="00D3483B"/>
    <w:rsid w:val="00D34A78"/>
    <w:rsid w:val="00D355BE"/>
    <w:rsid w:val="00D35C59"/>
    <w:rsid w:val="00D41D14"/>
    <w:rsid w:val="00D42C56"/>
    <w:rsid w:val="00D42DB8"/>
    <w:rsid w:val="00D43177"/>
    <w:rsid w:val="00D43C27"/>
    <w:rsid w:val="00D44E22"/>
    <w:rsid w:val="00D45090"/>
    <w:rsid w:val="00D45BC8"/>
    <w:rsid w:val="00D50908"/>
    <w:rsid w:val="00D514B6"/>
    <w:rsid w:val="00D528F4"/>
    <w:rsid w:val="00D54AF4"/>
    <w:rsid w:val="00D6160F"/>
    <w:rsid w:val="00D6255B"/>
    <w:rsid w:val="00D636FC"/>
    <w:rsid w:val="00D65F66"/>
    <w:rsid w:val="00D6604B"/>
    <w:rsid w:val="00D66E1C"/>
    <w:rsid w:val="00D71088"/>
    <w:rsid w:val="00D71141"/>
    <w:rsid w:val="00D728B1"/>
    <w:rsid w:val="00D72E78"/>
    <w:rsid w:val="00D7778B"/>
    <w:rsid w:val="00D778E9"/>
    <w:rsid w:val="00D81CC5"/>
    <w:rsid w:val="00D82833"/>
    <w:rsid w:val="00D84467"/>
    <w:rsid w:val="00D84B33"/>
    <w:rsid w:val="00D86D55"/>
    <w:rsid w:val="00D86F92"/>
    <w:rsid w:val="00D8767A"/>
    <w:rsid w:val="00D87BD6"/>
    <w:rsid w:val="00D9022A"/>
    <w:rsid w:val="00D91D4E"/>
    <w:rsid w:val="00D92E4C"/>
    <w:rsid w:val="00D93E74"/>
    <w:rsid w:val="00D94349"/>
    <w:rsid w:val="00D94630"/>
    <w:rsid w:val="00D955D1"/>
    <w:rsid w:val="00D95E11"/>
    <w:rsid w:val="00D96EF9"/>
    <w:rsid w:val="00DA4EB8"/>
    <w:rsid w:val="00DA7371"/>
    <w:rsid w:val="00DB1806"/>
    <w:rsid w:val="00DB2EAF"/>
    <w:rsid w:val="00DB7029"/>
    <w:rsid w:val="00DC0233"/>
    <w:rsid w:val="00DC1327"/>
    <w:rsid w:val="00DC4940"/>
    <w:rsid w:val="00DC5207"/>
    <w:rsid w:val="00DC7A29"/>
    <w:rsid w:val="00DD30F9"/>
    <w:rsid w:val="00DD333D"/>
    <w:rsid w:val="00DE32F5"/>
    <w:rsid w:val="00DE755C"/>
    <w:rsid w:val="00DE7AFC"/>
    <w:rsid w:val="00DF12C0"/>
    <w:rsid w:val="00DF2840"/>
    <w:rsid w:val="00DF47DF"/>
    <w:rsid w:val="00DF6D4E"/>
    <w:rsid w:val="00E01C7C"/>
    <w:rsid w:val="00E02487"/>
    <w:rsid w:val="00E03353"/>
    <w:rsid w:val="00E0475F"/>
    <w:rsid w:val="00E056D2"/>
    <w:rsid w:val="00E07DD3"/>
    <w:rsid w:val="00E10F62"/>
    <w:rsid w:val="00E15574"/>
    <w:rsid w:val="00E164E4"/>
    <w:rsid w:val="00E177F3"/>
    <w:rsid w:val="00E2064F"/>
    <w:rsid w:val="00E21611"/>
    <w:rsid w:val="00E23831"/>
    <w:rsid w:val="00E24671"/>
    <w:rsid w:val="00E24A20"/>
    <w:rsid w:val="00E24DA8"/>
    <w:rsid w:val="00E26B67"/>
    <w:rsid w:val="00E26EA4"/>
    <w:rsid w:val="00E26F7E"/>
    <w:rsid w:val="00E30186"/>
    <w:rsid w:val="00E303BD"/>
    <w:rsid w:val="00E305A0"/>
    <w:rsid w:val="00E32EF7"/>
    <w:rsid w:val="00E36951"/>
    <w:rsid w:val="00E37986"/>
    <w:rsid w:val="00E42BE4"/>
    <w:rsid w:val="00E42E67"/>
    <w:rsid w:val="00E452BF"/>
    <w:rsid w:val="00E505E2"/>
    <w:rsid w:val="00E53691"/>
    <w:rsid w:val="00E552A1"/>
    <w:rsid w:val="00E57E3D"/>
    <w:rsid w:val="00E60823"/>
    <w:rsid w:val="00E60BC5"/>
    <w:rsid w:val="00E614E4"/>
    <w:rsid w:val="00E61743"/>
    <w:rsid w:val="00E618F7"/>
    <w:rsid w:val="00E64505"/>
    <w:rsid w:val="00E651E8"/>
    <w:rsid w:val="00E66349"/>
    <w:rsid w:val="00E733B2"/>
    <w:rsid w:val="00E73E57"/>
    <w:rsid w:val="00E7431E"/>
    <w:rsid w:val="00E74BEB"/>
    <w:rsid w:val="00E75D90"/>
    <w:rsid w:val="00E76831"/>
    <w:rsid w:val="00E802CC"/>
    <w:rsid w:val="00E8266E"/>
    <w:rsid w:val="00E82844"/>
    <w:rsid w:val="00E83FEB"/>
    <w:rsid w:val="00E85F5A"/>
    <w:rsid w:val="00E860C6"/>
    <w:rsid w:val="00E879C6"/>
    <w:rsid w:val="00E92824"/>
    <w:rsid w:val="00E9398A"/>
    <w:rsid w:val="00E972C6"/>
    <w:rsid w:val="00EA1526"/>
    <w:rsid w:val="00EA24DD"/>
    <w:rsid w:val="00EA278C"/>
    <w:rsid w:val="00EA405B"/>
    <w:rsid w:val="00EA45F1"/>
    <w:rsid w:val="00EA7C59"/>
    <w:rsid w:val="00EB07FB"/>
    <w:rsid w:val="00EB0FA5"/>
    <w:rsid w:val="00EB4274"/>
    <w:rsid w:val="00EB437A"/>
    <w:rsid w:val="00EB5169"/>
    <w:rsid w:val="00EB6451"/>
    <w:rsid w:val="00EB7727"/>
    <w:rsid w:val="00EC1678"/>
    <w:rsid w:val="00EC207E"/>
    <w:rsid w:val="00EC2A30"/>
    <w:rsid w:val="00EC354D"/>
    <w:rsid w:val="00EC5AAC"/>
    <w:rsid w:val="00EC63C7"/>
    <w:rsid w:val="00EC6491"/>
    <w:rsid w:val="00EC71E7"/>
    <w:rsid w:val="00ED2718"/>
    <w:rsid w:val="00ED35BC"/>
    <w:rsid w:val="00ED3963"/>
    <w:rsid w:val="00ED6549"/>
    <w:rsid w:val="00ED79E8"/>
    <w:rsid w:val="00EE3A5A"/>
    <w:rsid w:val="00EE4E73"/>
    <w:rsid w:val="00EE6275"/>
    <w:rsid w:val="00EE7A50"/>
    <w:rsid w:val="00F00E7D"/>
    <w:rsid w:val="00F03434"/>
    <w:rsid w:val="00F07F9F"/>
    <w:rsid w:val="00F07FD6"/>
    <w:rsid w:val="00F101B8"/>
    <w:rsid w:val="00F124E5"/>
    <w:rsid w:val="00F13504"/>
    <w:rsid w:val="00F149A7"/>
    <w:rsid w:val="00F14BD3"/>
    <w:rsid w:val="00F17C34"/>
    <w:rsid w:val="00F2068E"/>
    <w:rsid w:val="00F22CC2"/>
    <w:rsid w:val="00F238F2"/>
    <w:rsid w:val="00F315DF"/>
    <w:rsid w:val="00F3214E"/>
    <w:rsid w:val="00F33BEB"/>
    <w:rsid w:val="00F34292"/>
    <w:rsid w:val="00F41657"/>
    <w:rsid w:val="00F42979"/>
    <w:rsid w:val="00F440D4"/>
    <w:rsid w:val="00F44364"/>
    <w:rsid w:val="00F470ED"/>
    <w:rsid w:val="00F4786D"/>
    <w:rsid w:val="00F47C57"/>
    <w:rsid w:val="00F507A9"/>
    <w:rsid w:val="00F5228A"/>
    <w:rsid w:val="00F52FB8"/>
    <w:rsid w:val="00F553FD"/>
    <w:rsid w:val="00F55C37"/>
    <w:rsid w:val="00F55EA9"/>
    <w:rsid w:val="00F571AD"/>
    <w:rsid w:val="00F576AA"/>
    <w:rsid w:val="00F61754"/>
    <w:rsid w:val="00F62867"/>
    <w:rsid w:val="00F640DB"/>
    <w:rsid w:val="00F650D4"/>
    <w:rsid w:val="00F66F42"/>
    <w:rsid w:val="00F67F45"/>
    <w:rsid w:val="00F70766"/>
    <w:rsid w:val="00F717F0"/>
    <w:rsid w:val="00F71951"/>
    <w:rsid w:val="00F74654"/>
    <w:rsid w:val="00F77E64"/>
    <w:rsid w:val="00F80397"/>
    <w:rsid w:val="00F81BE2"/>
    <w:rsid w:val="00F861D5"/>
    <w:rsid w:val="00F874ED"/>
    <w:rsid w:val="00F90CD8"/>
    <w:rsid w:val="00F937A7"/>
    <w:rsid w:val="00F96346"/>
    <w:rsid w:val="00FA054F"/>
    <w:rsid w:val="00FA38DC"/>
    <w:rsid w:val="00FA4FBE"/>
    <w:rsid w:val="00FA5A74"/>
    <w:rsid w:val="00FB08E9"/>
    <w:rsid w:val="00FB0EF2"/>
    <w:rsid w:val="00FB1B9E"/>
    <w:rsid w:val="00FB29C8"/>
    <w:rsid w:val="00FB3E85"/>
    <w:rsid w:val="00FC16AF"/>
    <w:rsid w:val="00FC21AA"/>
    <w:rsid w:val="00FC31B0"/>
    <w:rsid w:val="00FC4709"/>
    <w:rsid w:val="00FC4D63"/>
    <w:rsid w:val="00FC4E28"/>
    <w:rsid w:val="00FC57E8"/>
    <w:rsid w:val="00FC5D1F"/>
    <w:rsid w:val="00FC6AA2"/>
    <w:rsid w:val="00FC6FE2"/>
    <w:rsid w:val="00FC73D6"/>
    <w:rsid w:val="00FC7FF7"/>
    <w:rsid w:val="00FD0BA9"/>
    <w:rsid w:val="00FD1F07"/>
    <w:rsid w:val="00FD2A04"/>
    <w:rsid w:val="00FD3A0D"/>
    <w:rsid w:val="00FD3BEC"/>
    <w:rsid w:val="00FD3EF1"/>
    <w:rsid w:val="00FD47FE"/>
    <w:rsid w:val="00FD575C"/>
    <w:rsid w:val="00FD6F33"/>
    <w:rsid w:val="00FD7371"/>
    <w:rsid w:val="00FE37C0"/>
    <w:rsid w:val="00FE691F"/>
    <w:rsid w:val="00FE6AB9"/>
    <w:rsid w:val="00FE71F1"/>
    <w:rsid w:val="00FE7C14"/>
    <w:rsid w:val="00FF128E"/>
    <w:rsid w:val="00FF1696"/>
    <w:rsid w:val="00FF17A1"/>
    <w:rsid w:val="00FF2C63"/>
    <w:rsid w:val="00FF45B5"/>
    <w:rsid w:val="00FF45E5"/>
    <w:rsid w:val="00FF5886"/>
    <w:rsid w:val="00FF6210"/>
    <w:rsid w:val="00FF7CCA"/>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5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rPr>
      <w:lang w:val="es-ES_tradnl"/>
    </w:rPr>
  </w:style>
  <w:style w:type="paragraph" w:styleId="Heading1">
    <w:name w:val="heading 1"/>
    <w:basedOn w:val="Normal"/>
    <w:next w:val="Normal"/>
    <w:link w:val="Heading1Char"/>
    <w:uiPriority w:val="9"/>
    <w:qFormat/>
    <w:rsid w:val="005D5CF9"/>
    <w:pPr>
      <w:keepNext/>
      <w:spacing w:before="240" w:after="60" w:line="276" w:lineRule="auto"/>
      <w:jc w:val="center"/>
      <w:outlineLvl w:val="0"/>
    </w:pPr>
    <w:rPr>
      <w:rFonts w:ascii="Verdana Bold" w:eastAsia="Times New Roman" w:hAnsi="Verdana Bold"/>
      <w:b/>
      <w:bCs/>
      <w:caps/>
      <w:kern w:val="32"/>
      <w:szCs w:val="32"/>
    </w:rPr>
  </w:style>
  <w:style w:type="paragraph" w:styleId="Heading2">
    <w:name w:val="heading 2"/>
    <w:basedOn w:val="Normal"/>
    <w:next w:val="Normal"/>
    <w:link w:val="Heading2Char"/>
    <w:uiPriority w:val="9"/>
    <w:unhideWhenUsed/>
    <w:qFormat/>
    <w:rsid w:val="005D5CF9"/>
    <w:pPr>
      <w:keepNext/>
      <w:spacing w:before="240" w:after="60" w:line="276" w:lineRule="auto"/>
      <w:jc w:val="both"/>
      <w:outlineLvl w:val="1"/>
    </w:pPr>
    <w:rPr>
      <w:rFonts w:ascii="Verdana" w:eastAsia="Times New Roman" w:hAnsi="Verdana"/>
      <w:b/>
      <w:bCs/>
      <w:i/>
      <w:iCs/>
      <w:szCs w:val="28"/>
    </w:rPr>
  </w:style>
  <w:style w:type="paragraph" w:styleId="Heading3">
    <w:name w:val="heading 3"/>
    <w:basedOn w:val="Normal"/>
    <w:next w:val="Normal"/>
    <w:link w:val="Heading3Char"/>
    <w:uiPriority w:val="9"/>
    <w:semiHidden/>
    <w:unhideWhenUsed/>
    <w:qFormat/>
    <w:rsid w:val="005D5CF9"/>
    <w:pPr>
      <w:keepNext/>
      <w:spacing w:before="240" w:after="60" w:line="276" w:lineRule="auto"/>
      <w:outlineLvl w:val="2"/>
    </w:pPr>
    <w:rPr>
      <w:rFonts w:ascii="Cambria" w:eastAsia="Times New Roman" w:hAnsi="Cambria"/>
      <w:b/>
      <w:bCs/>
      <w:sz w:val="26"/>
      <w:szCs w:val="26"/>
    </w:rPr>
  </w:style>
  <w:style w:type="paragraph" w:styleId="Heading5">
    <w:name w:val="heading 5"/>
    <w:basedOn w:val="Normal"/>
    <w:next w:val="Normal"/>
    <w:link w:val="Heading5Char"/>
    <w:qFormat/>
    <w:rsid w:val="005D5CF9"/>
    <w:pPr>
      <w:spacing w:before="240" w:after="60"/>
      <w:outlineLvl w:val="4"/>
    </w:pPr>
    <w:rPr>
      <w:rFonts w:ascii="Verdana" w:eastAsia="Times New Roman" w:hAnsi="Verdana"/>
      <w:b/>
      <w:i/>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delibro">
    <w:name w:val="Título de libro"/>
    <w:uiPriority w:val="33"/>
    <w:qFormat/>
    <w:rsid w:val="005D5CF9"/>
    <w:rPr>
      <w:b/>
      <w:bCs/>
      <w:smallCaps/>
      <w:spacing w:val="5"/>
    </w:rPr>
  </w:style>
  <w:style w:type="paragraph" w:customStyle="1" w:styleId="Estilo1">
    <w:name w:val="Estilo1"/>
    <w:basedOn w:val="Normal"/>
    <w:link w:val="Estilo1Car"/>
    <w:qFormat/>
    <w:rsid w:val="005D5CF9"/>
    <w:pPr>
      <w:spacing w:after="120"/>
      <w:ind w:left="2018" w:right="6" w:hanging="180"/>
      <w:jc w:val="both"/>
    </w:pPr>
    <w:rPr>
      <w:rFonts w:ascii="Verdana" w:eastAsia="Batang" w:hAnsi="Verdana" w:cs="Times"/>
      <w:i/>
      <w:noProof/>
      <w:szCs w:val="24"/>
      <w:lang w:eastAsia="en-US"/>
    </w:rPr>
  </w:style>
  <w:style w:type="character" w:customStyle="1" w:styleId="Estilo1Car">
    <w:name w:val="Estilo1 Car"/>
    <w:link w:val="Estilo1"/>
    <w:rsid w:val="005D5CF9"/>
    <w:rPr>
      <w:rFonts w:ascii="Verdana" w:eastAsia="Batang" w:hAnsi="Verdana" w:cs="Times"/>
      <w:i/>
      <w:noProof/>
      <w:szCs w:val="24"/>
      <w:lang w:val="es-ES_tradnl" w:eastAsia="en-US"/>
    </w:rPr>
  </w:style>
  <w:style w:type="character" w:customStyle="1" w:styleId="Heading1Char">
    <w:name w:val="Heading 1 Char"/>
    <w:link w:val="Heading1"/>
    <w:uiPriority w:val="9"/>
    <w:rsid w:val="005D5CF9"/>
    <w:rPr>
      <w:rFonts w:ascii="Verdana Bold" w:eastAsia="Times New Roman" w:hAnsi="Verdana Bold"/>
      <w:b/>
      <w:bCs/>
      <w:caps/>
      <w:kern w:val="32"/>
      <w:szCs w:val="32"/>
    </w:rPr>
  </w:style>
  <w:style w:type="character" w:customStyle="1" w:styleId="Heading2Char">
    <w:name w:val="Heading 2 Char"/>
    <w:link w:val="Heading2"/>
    <w:uiPriority w:val="9"/>
    <w:rsid w:val="005D5CF9"/>
    <w:rPr>
      <w:rFonts w:ascii="Verdana" w:eastAsia="Times New Roman" w:hAnsi="Verdana"/>
      <w:b/>
      <w:bCs/>
      <w:i/>
      <w:iCs/>
      <w:szCs w:val="28"/>
    </w:rPr>
  </w:style>
  <w:style w:type="character" w:customStyle="1" w:styleId="Heading3Char">
    <w:name w:val="Heading 3 Char"/>
    <w:link w:val="Heading3"/>
    <w:uiPriority w:val="9"/>
    <w:semiHidden/>
    <w:rsid w:val="005D5CF9"/>
    <w:rPr>
      <w:rFonts w:ascii="Cambria" w:eastAsia="Times New Roman" w:hAnsi="Cambria"/>
      <w:b/>
      <w:bCs/>
      <w:sz w:val="26"/>
      <w:szCs w:val="26"/>
    </w:rPr>
  </w:style>
  <w:style w:type="character" w:customStyle="1" w:styleId="Heading5Char">
    <w:name w:val="Heading 5 Char"/>
    <w:link w:val="Heading5"/>
    <w:rsid w:val="005D5CF9"/>
    <w:rPr>
      <w:rFonts w:ascii="Verdana" w:eastAsia="Times New Roman" w:hAnsi="Verdana"/>
      <w:b/>
      <w:i/>
      <w:szCs w:val="26"/>
      <w:lang w:eastAsia="x-none"/>
    </w:rPr>
  </w:style>
  <w:style w:type="paragraph" w:styleId="FootnoteText">
    <w:name w:val="footnote text"/>
    <w:aliases w:val="Footnote Text Char Char Char Char Char,Footnote Text Char Char Char Char,Footnote reference,FA Fu,Footnote Text Char Char Char,footnote text,Footnote Text Cha,FA Fußnotentext,FA Fuﬂnotentext,Texto nota pie Car,Footnote Text Char Char,Car"/>
    <w:basedOn w:val="Normal"/>
    <w:link w:val="FootnoteTextChar"/>
    <w:uiPriority w:val="99"/>
    <w:qFormat/>
    <w:rsid w:val="005D5CF9"/>
    <w:rPr>
      <w:rFonts w:ascii="Times New Roman" w:eastAsia="Times New Roman" w:hAnsi="Times New Roman"/>
      <w:lang w:val="es-MX"/>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r,Footnote Text Cha Char,FA Fußnotentext Char,Car Char"/>
    <w:link w:val="FootnoteText"/>
    <w:uiPriority w:val="99"/>
    <w:qFormat/>
    <w:rsid w:val="005D5CF9"/>
    <w:rPr>
      <w:rFonts w:ascii="Times New Roman" w:eastAsia="Times New Roman" w:hAnsi="Times New Roman"/>
      <w:lang w:val="es-MX"/>
    </w:rPr>
  </w:style>
  <w:style w:type="paragraph" w:styleId="Title">
    <w:name w:val="Title"/>
    <w:basedOn w:val="Normal"/>
    <w:link w:val="TitleChar"/>
    <w:uiPriority w:val="99"/>
    <w:qFormat/>
    <w:rsid w:val="005D5CF9"/>
    <w:pPr>
      <w:spacing w:before="60" w:after="60"/>
      <w:jc w:val="center"/>
    </w:pPr>
    <w:rPr>
      <w:rFonts w:ascii="Verdana" w:eastAsia="Times New Roman" w:hAnsi="Verdana"/>
      <w:b/>
      <w:lang w:eastAsia="en-US"/>
    </w:rPr>
  </w:style>
  <w:style w:type="character" w:customStyle="1" w:styleId="TitleChar">
    <w:name w:val="Title Char"/>
    <w:link w:val="Title"/>
    <w:uiPriority w:val="99"/>
    <w:rsid w:val="005D5CF9"/>
    <w:rPr>
      <w:rFonts w:ascii="Verdana" w:eastAsia="Times New Roman" w:hAnsi="Verdana"/>
      <w:b/>
      <w:lang w:val="es-ES_tradnl" w:eastAsia="en-US"/>
    </w:rPr>
  </w:style>
  <w:style w:type="paragraph" w:styleId="Subtitle">
    <w:name w:val="Subtitle"/>
    <w:basedOn w:val="Normal"/>
    <w:next w:val="Normal"/>
    <w:link w:val="SubtitleChar"/>
    <w:qFormat/>
    <w:rsid w:val="005D5CF9"/>
    <w:pPr>
      <w:numPr>
        <w:ilvl w:val="1"/>
      </w:numPr>
      <w:spacing w:before="60" w:after="60"/>
      <w:jc w:val="center"/>
    </w:pPr>
    <w:rPr>
      <w:rFonts w:ascii="Verdana" w:eastAsia="Times New Roman" w:hAnsi="Verdana"/>
      <w:b/>
      <w:i/>
      <w:iCs/>
      <w:spacing w:val="15"/>
      <w:szCs w:val="24"/>
      <w:lang w:eastAsia="en-US"/>
    </w:rPr>
  </w:style>
  <w:style w:type="character" w:customStyle="1" w:styleId="SubtitleChar">
    <w:name w:val="Subtitle Char"/>
    <w:link w:val="Subtitle"/>
    <w:rsid w:val="005D5CF9"/>
    <w:rPr>
      <w:rFonts w:ascii="Verdana" w:eastAsia="Times New Roman" w:hAnsi="Verdana"/>
      <w:b/>
      <w:i/>
      <w:iCs/>
      <w:spacing w:val="15"/>
      <w:szCs w:val="24"/>
      <w:lang w:val="es-ES_tradnl" w:eastAsia="en-US"/>
    </w:rPr>
  </w:style>
  <w:style w:type="character" w:styleId="Strong">
    <w:name w:val="Strong"/>
    <w:uiPriority w:val="22"/>
    <w:qFormat/>
    <w:rsid w:val="005D5CF9"/>
    <w:rPr>
      <w:b/>
      <w:bCs/>
    </w:rPr>
  </w:style>
  <w:style w:type="paragraph" w:styleId="NoSpacing">
    <w:name w:val="No Spacing"/>
    <w:uiPriority w:val="1"/>
    <w:qFormat/>
    <w:rsid w:val="005D5CF9"/>
    <w:rPr>
      <w:sz w:val="22"/>
      <w:szCs w:val="22"/>
      <w:lang w:val="en-US" w:eastAsia="en-US"/>
    </w:rPr>
  </w:style>
  <w:style w:type="paragraph" w:styleId="ListParagraph">
    <w:name w:val="List Paragraph"/>
    <w:aliases w:val="Colorful List - Accent 11,Lista vistosa - Énfasis 11,Footnote,List Paragraph1,Párrafo de lista1"/>
    <w:link w:val="ListParagraphChar1"/>
    <w:uiPriority w:val="34"/>
    <w:qFormat/>
    <w:rsid w:val="005D5CF9"/>
    <w:pPr>
      <w:ind w:left="720"/>
    </w:pPr>
    <w:rPr>
      <w:rFonts w:ascii="Cambria" w:eastAsia="Cambria" w:hAnsi="Cambria" w:cs="Cambria"/>
      <w:color w:val="000000"/>
      <w:sz w:val="24"/>
      <w:szCs w:val="24"/>
      <w:u w:color="000000"/>
      <w:lang w:val="en-US" w:eastAsia="es-ES"/>
    </w:rPr>
  </w:style>
  <w:style w:type="paragraph" w:styleId="TOCHeading">
    <w:name w:val="TOC Heading"/>
    <w:basedOn w:val="Heading1"/>
    <w:next w:val="Normal"/>
    <w:uiPriority w:val="39"/>
    <w:semiHidden/>
    <w:unhideWhenUsed/>
    <w:qFormat/>
    <w:rsid w:val="005D5CF9"/>
    <w:pPr>
      <w:keepLines/>
      <w:spacing w:before="480" w:after="0"/>
      <w:jc w:val="left"/>
      <w:outlineLvl w:val="9"/>
    </w:pPr>
    <w:rPr>
      <w:rFonts w:ascii="Cambria" w:hAnsi="Cambria"/>
      <w:color w:val="365F91"/>
      <w:kern w:val="0"/>
      <w:sz w:val="28"/>
      <w:szCs w:val="28"/>
      <w:lang w:val="en-US" w:eastAsia="ja-JP"/>
    </w:rPr>
  </w:style>
  <w:style w:type="character" w:customStyle="1" w:styleId="ColorfulList-Accent1Char">
    <w:name w:val="Colorful List - Accent 1 Char"/>
    <w:aliases w:val="Párrafo de lista1 Char,List Paragraph1 Char,List Paragraph2 Char,List Paragraph Char,Footnote Char,Colorful List - Accent 11 Char,Lista vistosa - Énfasis 11 Char"/>
    <w:link w:val="ColorfulList-Accent1"/>
    <w:rsid w:val="005D5CF9"/>
    <w:rPr>
      <w:rFonts w:eastAsia="Times New Roman"/>
      <w:lang w:val="es-CR" w:eastAsia="es-CR"/>
    </w:rPr>
  </w:style>
  <w:style w:type="table" w:styleId="ColorfulList-Accent1">
    <w:name w:val="Colorful List Accent 1"/>
    <w:basedOn w:val="TableNormal"/>
    <w:link w:val="ColorfulList-Accent1Char"/>
    <w:uiPriority w:val="99"/>
    <w:rsid w:val="005D5CF9"/>
    <w:rPr>
      <w:rFonts w:eastAsia="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basedOn w:val="DefaultParagraphFont"/>
    <w:link w:val="4GChar"/>
    <w:unhideWhenUsed/>
    <w:qFormat/>
    <w:rsid w:val="00CD29C6"/>
    <w:rPr>
      <w:vertAlign w:val="superscript"/>
    </w:rPr>
  </w:style>
  <w:style w:type="paragraph" w:styleId="NormalWeb">
    <w:name w:val="Normal (Web)"/>
    <w:aliases w:val="Normal (Web) Char1,Normal (Web) Char Char,Normal (Web) Char1 Char,Normal (Web) Char Char Char"/>
    <w:basedOn w:val="Normal"/>
    <w:uiPriority w:val="99"/>
    <w:unhideWhenUsed/>
    <w:rsid w:val="00E8266E"/>
    <w:pPr>
      <w:spacing w:before="100" w:beforeAutospacing="1" w:after="100" w:afterAutospacing="1"/>
    </w:pPr>
    <w:rPr>
      <w:rFonts w:ascii="Times New Roman" w:eastAsia="Times New Roman" w:hAnsi="Times New Roman"/>
      <w:sz w:val="24"/>
      <w:szCs w:val="24"/>
      <w:lang w:val="en-US" w:eastAsia="en-US"/>
    </w:rPr>
  </w:style>
  <w:style w:type="character" w:styleId="CommentReference">
    <w:name w:val="annotation reference"/>
    <w:basedOn w:val="DefaultParagraphFont"/>
    <w:uiPriority w:val="99"/>
    <w:semiHidden/>
    <w:unhideWhenUsed/>
    <w:rsid w:val="0075291F"/>
    <w:rPr>
      <w:sz w:val="16"/>
      <w:szCs w:val="16"/>
    </w:rPr>
  </w:style>
  <w:style w:type="paragraph" w:styleId="CommentText">
    <w:name w:val="annotation text"/>
    <w:basedOn w:val="Normal"/>
    <w:link w:val="CommentTextChar"/>
    <w:uiPriority w:val="99"/>
    <w:semiHidden/>
    <w:unhideWhenUsed/>
    <w:rsid w:val="0075291F"/>
  </w:style>
  <w:style w:type="character" w:customStyle="1" w:styleId="CommentTextChar">
    <w:name w:val="Comment Text Char"/>
    <w:basedOn w:val="DefaultParagraphFont"/>
    <w:link w:val="CommentText"/>
    <w:uiPriority w:val="99"/>
    <w:semiHidden/>
    <w:rsid w:val="0075291F"/>
  </w:style>
  <w:style w:type="paragraph" w:styleId="CommentSubject">
    <w:name w:val="annotation subject"/>
    <w:basedOn w:val="CommentText"/>
    <w:next w:val="CommentText"/>
    <w:link w:val="CommentSubjectChar"/>
    <w:uiPriority w:val="99"/>
    <w:semiHidden/>
    <w:unhideWhenUsed/>
    <w:rsid w:val="0075291F"/>
    <w:rPr>
      <w:b/>
      <w:bCs/>
    </w:rPr>
  </w:style>
  <w:style w:type="character" w:customStyle="1" w:styleId="CommentSubjectChar">
    <w:name w:val="Comment Subject Char"/>
    <w:basedOn w:val="CommentTextChar"/>
    <w:link w:val="CommentSubject"/>
    <w:uiPriority w:val="99"/>
    <w:semiHidden/>
    <w:rsid w:val="0075291F"/>
    <w:rPr>
      <w:b/>
      <w:bCs/>
    </w:rPr>
  </w:style>
  <w:style w:type="paragraph" w:styleId="BalloonText">
    <w:name w:val="Balloon Text"/>
    <w:basedOn w:val="Normal"/>
    <w:link w:val="BalloonTextChar"/>
    <w:uiPriority w:val="99"/>
    <w:semiHidden/>
    <w:unhideWhenUsed/>
    <w:rsid w:val="0075291F"/>
    <w:rPr>
      <w:rFonts w:ascii="Tahoma" w:hAnsi="Tahoma" w:cs="Tahoma"/>
      <w:sz w:val="16"/>
      <w:szCs w:val="16"/>
    </w:rPr>
  </w:style>
  <w:style w:type="character" w:customStyle="1" w:styleId="BalloonTextChar">
    <w:name w:val="Balloon Text Char"/>
    <w:basedOn w:val="DefaultParagraphFont"/>
    <w:link w:val="BalloonText"/>
    <w:uiPriority w:val="99"/>
    <w:semiHidden/>
    <w:rsid w:val="0075291F"/>
    <w:rPr>
      <w:rFonts w:ascii="Tahoma" w:hAnsi="Tahoma" w:cs="Tahoma"/>
      <w:sz w:val="16"/>
      <w:szCs w:val="16"/>
    </w:rPr>
  </w:style>
  <w:style w:type="paragraph" w:styleId="Header">
    <w:name w:val="header"/>
    <w:basedOn w:val="Normal"/>
    <w:link w:val="HeaderChar"/>
    <w:uiPriority w:val="99"/>
    <w:unhideWhenUsed/>
    <w:rsid w:val="000F5EF1"/>
    <w:pPr>
      <w:tabs>
        <w:tab w:val="center" w:pos="4419"/>
        <w:tab w:val="right" w:pos="8838"/>
      </w:tabs>
    </w:pPr>
  </w:style>
  <w:style w:type="character" w:customStyle="1" w:styleId="HeaderChar">
    <w:name w:val="Header Char"/>
    <w:basedOn w:val="DefaultParagraphFont"/>
    <w:link w:val="Header"/>
    <w:uiPriority w:val="99"/>
    <w:rsid w:val="000F5EF1"/>
  </w:style>
  <w:style w:type="paragraph" w:styleId="Footer">
    <w:name w:val="footer"/>
    <w:basedOn w:val="Normal"/>
    <w:link w:val="FooterChar"/>
    <w:uiPriority w:val="99"/>
    <w:unhideWhenUsed/>
    <w:rsid w:val="000F5EF1"/>
    <w:pPr>
      <w:tabs>
        <w:tab w:val="center" w:pos="4419"/>
        <w:tab w:val="right" w:pos="8838"/>
      </w:tabs>
    </w:pPr>
  </w:style>
  <w:style w:type="character" w:customStyle="1" w:styleId="FooterChar">
    <w:name w:val="Footer Char"/>
    <w:basedOn w:val="DefaultParagraphFont"/>
    <w:link w:val="Footer"/>
    <w:uiPriority w:val="99"/>
    <w:rsid w:val="000F5EF1"/>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3C562D"/>
    <w:pPr>
      <w:jc w:val="both"/>
    </w:pPr>
    <w:rPr>
      <w:vertAlign w:val="superscript"/>
    </w:rPr>
  </w:style>
  <w:style w:type="paragraph" w:styleId="DocumentMap">
    <w:name w:val="Document Map"/>
    <w:basedOn w:val="Normal"/>
    <w:link w:val="DocumentMapChar"/>
    <w:uiPriority w:val="99"/>
    <w:semiHidden/>
    <w:unhideWhenUsed/>
    <w:rsid w:val="009C7158"/>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9C7158"/>
    <w:rPr>
      <w:rFonts w:ascii="Times New Roman" w:hAnsi="Times New Roman"/>
      <w:sz w:val="24"/>
      <w:szCs w:val="24"/>
    </w:rPr>
  </w:style>
  <w:style w:type="paragraph" w:styleId="Revision">
    <w:name w:val="Revision"/>
    <w:hidden/>
    <w:uiPriority w:val="99"/>
    <w:semiHidden/>
    <w:rsid w:val="009C7158"/>
  </w:style>
  <w:style w:type="character" w:customStyle="1" w:styleId="ListParagraphChar1">
    <w:name w:val="List Paragraph Char1"/>
    <w:aliases w:val="Colorful List - Accent 11 Char1,Lista vistosa - Énfasis 11 Char1,Footnote Char1,List Paragraph1 Char1,Párrafo de lista1 Char1"/>
    <w:basedOn w:val="DefaultParagraphFont"/>
    <w:link w:val="ListParagraph"/>
    <w:locked/>
    <w:rsid w:val="00D41D14"/>
    <w:rPr>
      <w:rFonts w:ascii="Cambria" w:eastAsia="Cambria" w:hAnsi="Cambria" w:cs="Cambria"/>
      <w:color w:val="000000"/>
      <w:sz w:val="24"/>
      <w:szCs w:val="24"/>
      <w:u w:color="000000"/>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rPr>
      <w:lang w:val="es-ES_tradnl"/>
    </w:rPr>
  </w:style>
  <w:style w:type="paragraph" w:styleId="Heading1">
    <w:name w:val="heading 1"/>
    <w:basedOn w:val="Normal"/>
    <w:next w:val="Normal"/>
    <w:link w:val="Heading1Char"/>
    <w:uiPriority w:val="9"/>
    <w:qFormat/>
    <w:rsid w:val="005D5CF9"/>
    <w:pPr>
      <w:keepNext/>
      <w:spacing w:before="240" w:after="60" w:line="276" w:lineRule="auto"/>
      <w:jc w:val="center"/>
      <w:outlineLvl w:val="0"/>
    </w:pPr>
    <w:rPr>
      <w:rFonts w:ascii="Verdana Bold" w:eastAsia="Times New Roman" w:hAnsi="Verdana Bold"/>
      <w:b/>
      <w:bCs/>
      <w:caps/>
      <w:kern w:val="32"/>
      <w:szCs w:val="32"/>
    </w:rPr>
  </w:style>
  <w:style w:type="paragraph" w:styleId="Heading2">
    <w:name w:val="heading 2"/>
    <w:basedOn w:val="Normal"/>
    <w:next w:val="Normal"/>
    <w:link w:val="Heading2Char"/>
    <w:uiPriority w:val="9"/>
    <w:unhideWhenUsed/>
    <w:qFormat/>
    <w:rsid w:val="005D5CF9"/>
    <w:pPr>
      <w:keepNext/>
      <w:spacing w:before="240" w:after="60" w:line="276" w:lineRule="auto"/>
      <w:jc w:val="both"/>
      <w:outlineLvl w:val="1"/>
    </w:pPr>
    <w:rPr>
      <w:rFonts w:ascii="Verdana" w:eastAsia="Times New Roman" w:hAnsi="Verdana"/>
      <w:b/>
      <w:bCs/>
      <w:i/>
      <w:iCs/>
      <w:szCs w:val="28"/>
    </w:rPr>
  </w:style>
  <w:style w:type="paragraph" w:styleId="Heading3">
    <w:name w:val="heading 3"/>
    <w:basedOn w:val="Normal"/>
    <w:next w:val="Normal"/>
    <w:link w:val="Heading3Char"/>
    <w:uiPriority w:val="9"/>
    <w:semiHidden/>
    <w:unhideWhenUsed/>
    <w:qFormat/>
    <w:rsid w:val="005D5CF9"/>
    <w:pPr>
      <w:keepNext/>
      <w:spacing w:before="240" w:after="60" w:line="276" w:lineRule="auto"/>
      <w:outlineLvl w:val="2"/>
    </w:pPr>
    <w:rPr>
      <w:rFonts w:ascii="Cambria" w:eastAsia="Times New Roman" w:hAnsi="Cambria"/>
      <w:b/>
      <w:bCs/>
      <w:sz w:val="26"/>
      <w:szCs w:val="26"/>
    </w:rPr>
  </w:style>
  <w:style w:type="paragraph" w:styleId="Heading5">
    <w:name w:val="heading 5"/>
    <w:basedOn w:val="Normal"/>
    <w:next w:val="Normal"/>
    <w:link w:val="Heading5Char"/>
    <w:qFormat/>
    <w:rsid w:val="005D5CF9"/>
    <w:pPr>
      <w:spacing w:before="240" w:after="60"/>
      <w:outlineLvl w:val="4"/>
    </w:pPr>
    <w:rPr>
      <w:rFonts w:ascii="Verdana" w:eastAsia="Times New Roman" w:hAnsi="Verdana"/>
      <w:b/>
      <w:i/>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delibro">
    <w:name w:val="Título de libro"/>
    <w:uiPriority w:val="33"/>
    <w:qFormat/>
    <w:rsid w:val="005D5CF9"/>
    <w:rPr>
      <w:b/>
      <w:bCs/>
      <w:smallCaps/>
      <w:spacing w:val="5"/>
    </w:rPr>
  </w:style>
  <w:style w:type="paragraph" w:customStyle="1" w:styleId="Estilo1">
    <w:name w:val="Estilo1"/>
    <w:basedOn w:val="Normal"/>
    <w:link w:val="Estilo1Car"/>
    <w:qFormat/>
    <w:rsid w:val="005D5CF9"/>
    <w:pPr>
      <w:spacing w:after="120"/>
      <w:ind w:left="2018" w:right="6" w:hanging="180"/>
      <w:jc w:val="both"/>
    </w:pPr>
    <w:rPr>
      <w:rFonts w:ascii="Verdana" w:eastAsia="Batang" w:hAnsi="Verdana" w:cs="Times"/>
      <w:i/>
      <w:noProof/>
      <w:szCs w:val="24"/>
      <w:lang w:eastAsia="en-US"/>
    </w:rPr>
  </w:style>
  <w:style w:type="character" w:customStyle="1" w:styleId="Estilo1Car">
    <w:name w:val="Estilo1 Car"/>
    <w:link w:val="Estilo1"/>
    <w:rsid w:val="005D5CF9"/>
    <w:rPr>
      <w:rFonts w:ascii="Verdana" w:eastAsia="Batang" w:hAnsi="Verdana" w:cs="Times"/>
      <w:i/>
      <w:noProof/>
      <w:szCs w:val="24"/>
      <w:lang w:val="es-ES_tradnl" w:eastAsia="en-US"/>
    </w:rPr>
  </w:style>
  <w:style w:type="character" w:customStyle="1" w:styleId="Heading1Char">
    <w:name w:val="Heading 1 Char"/>
    <w:link w:val="Heading1"/>
    <w:uiPriority w:val="9"/>
    <w:rsid w:val="005D5CF9"/>
    <w:rPr>
      <w:rFonts w:ascii="Verdana Bold" w:eastAsia="Times New Roman" w:hAnsi="Verdana Bold"/>
      <w:b/>
      <w:bCs/>
      <w:caps/>
      <w:kern w:val="32"/>
      <w:szCs w:val="32"/>
    </w:rPr>
  </w:style>
  <w:style w:type="character" w:customStyle="1" w:styleId="Heading2Char">
    <w:name w:val="Heading 2 Char"/>
    <w:link w:val="Heading2"/>
    <w:uiPriority w:val="9"/>
    <w:rsid w:val="005D5CF9"/>
    <w:rPr>
      <w:rFonts w:ascii="Verdana" w:eastAsia="Times New Roman" w:hAnsi="Verdana"/>
      <w:b/>
      <w:bCs/>
      <w:i/>
      <w:iCs/>
      <w:szCs w:val="28"/>
    </w:rPr>
  </w:style>
  <w:style w:type="character" w:customStyle="1" w:styleId="Heading3Char">
    <w:name w:val="Heading 3 Char"/>
    <w:link w:val="Heading3"/>
    <w:uiPriority w:val="9"/>
    <w:semiHidden/>
    <w:rsid w:val="005D5CF9"/>
    <w:rPr>
      <w:rFonts w:ascii="Cambria" w:eastAsia="Times New Roman" w:hAnsi="Cambria"/>
      <w:b/>
      <w:bCs/>
      <w:sz w:val="26"/>
      <w:szCs w:val="26"/>
    </w:rPr>
  </w:style>
  <w:style w:type="character" w:customStyle="1" w:styleId="Heading5Char">
    <w:name w:val="Heading 5 Char"/>
    <w:link w:val="Heading5"/>
    <w:rsid w:val="005D5CF9"/>
    <w:rPr>
      <w:rFonts w:ascii="Verdana" w:eastAsia="Times New Roman" w:hAnsi="Verdana"/>
      <w:b/>
      <w:i/>
      <w:szCs w:val="26"/>
      <w:lang w:eastAsia="x-none"/>
    </w:rPr>
  </w:style>
  <w:style w:type="paragraph" w:styleId="FootnoteText">
    <w:name w:val="footnote text"/>
    <w:aliases w:val="Footnote Text Char Char Char Char Char,Footnote Text Char Char Char Char,Footnote reference,FA Fu,Footnote Text Char Char Char,footnote text,Footnote Text Cha,FA Fußnotentext,FA Fuﬂnotentext,Texto nota pie Car,Footnote Text Char Char,Car"/>
    <w:basedOn w:val="Normal"/>
    <w:link w:val="FootnoteTextChar"/>
    <w:uiPriority w:val="99"/>
    <w:qFormat/>
    <w:rsid w:val="005D5CF9"/>
    <w:rPr>
      <w:rFonts w:ascii="Times New Roman" w:eastAsia="Times New Roman" w:hAnsi="Times New Roman"/>
      <w:lang w:val="es-MX"/>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r,Footnote Text Cha Char,FA Fußnotentext Char,Car Char"/>
    <w:link w:val="FootnoteText"/>
    <w:uiPriority w:val="99"/>
    <w:qFormat/>
    <w:rsid w:val="005D5CF9"/>
    <w:rPr>
      <w:rFonts w:ascii="Times New Roman" w:eastAsia="Times New Roman" w:hAnsi="Times New Roman"/>
      <w:lang w:val="es-MX"/>
    </w:rPr>
  </w:style>
  <w:style w:type="paragraph" w:styleId="Title">
    <w:name w:val="Title"/>
    <w:basedOn w:val="Normal"/>
    <w:link w:val="TitleChar"/>
    <w:uiPriority w:val="99"/>
    <w:qFormat/>
    <w:rsid w:val="005D5CF9"/>
    <w:pPr>
      <w:spacing w:before="60" w:after="60"/>
      <w:jc w:val="center"/>
    </w:pPr>
    <w:rPr>
      <w:rFonts w:ascii="Verdana" w:eastAsia="Times New Roman" w:hAnsi="Verdana"/>
      <w:b/>
      <w:lang w:eastAsia="en-US"/>
    </w:rPr>
  </w:style>
  <w:style w:type="character" w:customStyle="1" w:styleId="TitleChar">
    <w:name w:val="Title Char"/>
    <w:link w:val="Title"/>
    <w:uiPriority w:val="99"/>
    <w:rsid w:val="005D5CF9"/>
    <w:rPr>
      <w:rFonts w:ascii="Verdana" w:eastAsia="Times New Roman" w:hAnsi="Verdana"/>
      <w:b/>
      <w:lang w:val="es-ES_tradnl" w:eastAsia="en-US"/>
    </w:rPr>
  </w:style>
  <w:style w:type="paragraph" w:styleId="Subtitle">
    <w:name w:val="Subtitle"/>
    <w:basedOn w:val="Normal"/>
    <w:next w:val="Normal"/>
    <w:link w:val="SubtitleChar"/>
    <w:qFormat/>
    <w:rsid w:val="005D5CF9"/>
    <w:pPr>
      <w:numPr>
        <w:ilvl w:val="1"/>
      </w:numPr>
      <w:spacing w:before="60" w:after="60"/>
      <w:jc w:val="center"/>
    </w:pPr>
    <w:rPr>
      <w:rFonts w:ascii="Verdana" w:eastAsia="Times New Roman" w:hAnsi="Verdana"/>
      <w:b/>
      <w:i/>
      <w:iCs/>
      <w:spacing w:val="15"/>
      <w:szCs w:val="24"/>
      <w:lang w:eastAsia="en-US"/>
    </w:rPr>
  </w:style>
  <w:style w:type="character" w:customStyle="1" w:styleId="SubtitleChar">
    <w:name w:val="Subtitle Char"/>
    <w:link w:val="Subtitle"/>
    <w:rsid w:val="005D5CF9"/>
    <w:rPr>
      <w:rFonts w:ascii="Verdana" w:eastAsia="Times New Roman" w:hAnsi="Verdana"/>
      <w:b/>
      <w:i/>
      <w:iCs/>
      <w:spacing w:val="15"/>
      <w:szCs w:val="24"/>
      <w:lang w:val="es-ES_tradnl" w:eastAsia="en-US"/>
    </w:rPr>
  </w:style>
  <w:style w:type="character" w:styleId="Strong">
    <w:name w:val="Strong"/>
    <w:uiPriority w:val="22"/>
    <w:qFormat/>
    <w:rsid w:val="005D5CF9"/>
    <w:rPr>
      <w:b/>
      <w:bCs/>
    </w:rPr>
  </w:style>
  <w:style w:type="paragraph" w:styleId="NoSpacing">
    <w:name w:val="No Spacing"/>
    <w:uiPriority w:val="1"/>
    <w:qFormat/>
    <w:rsid w:val="005D5CF9"/>
    <w:rPr>
      <w:sz w:val="22"/>
      <w:szCs w:val="22"/>
      <w:lang w:val="en-US" w:eastAsia="en-US"/>
    </w:rPr>
  </w:style>
  <w:style w:type="paragraph" w:styleId="ListParagraph">
    <w:name w:val="List Paragraph"/>
    <w:aliases w:val="Colorful List - Accent 11,Lista vistosa - Énfasis 11,Footnote,List Paragraph1,Párrafo de lista1"/>
    <w:link w:val="ListParagraphChar1"/>
    <w:uiPriority w:val="34"/>
    <w:qFormat/>
    <w:rsid w:val="005D5CF9"/>
    <w:pPr>
      <w:ind w:left="720"/>
    </w:pPr>
    <w:rPr>
      <w:rFonts w:ascii="Cambria" w:eastAsia="Cambria" w:hAnsi="Cambria" w:cs="Cambria"/>
      <w:color w:val="000000"/>
      <w:sz w:val="24"/>
      <w:szCs w:val="24"/>
      <w:u w:color="000000"/>
      <w:lang w:val="en-US" w:eastAsia="es-ES"/>
    </w:rPr>
  </w:style>
  <w:style w:type="paragraph" w:styleId="TOCHeading">
    <w:name w:val="TOC Heading"/>
    <w:basedOn w:val="Heading1"/>
    <w:next w:val="Normal"/>
    <w:uiPriority w:val="39"/>
    <w:semiHidden/>
    <w:unhideWhenUsed/>
    <w:qFormat/>
    <w:rsid w:val="005D5CF9"/>
    <w:pPr>
      <w:keepLines/>
      <w:spacing w:before="480" w:after="0"/>
      <w:jc w:val="left"/>
      <w:outlineLvl w:val="9"/>
    </w:pPr>
    <w:rPr>
      <w:rFonts w:ascii="Cambria" w:hAnsi="Cambria"/>
      <w:color w:val="365F91"/>
      <w:kern w:val="0"/>
      <w:sz w:val="28"/>
      <w:szCs w:val="28"/>
      <w:lang w:val="en-US" w:eastAsia="ja-JP"/>
    </w:rPr>
  </w:style>
  <w:style w:type="character" w:customStyle="1" w:styleId="ColorfulList-Accent1Char">
    <w:name w:val="Colorful List - Accent 1 Char"/>
    <w:aliases w:val="Párrafo de lista1 Char,List Paragraph1 Char,List Paragraph2 Char,List Paragraph Char,Footnote Char,Colorful List - Accent 11 Char,Lista vistosa - Énfasis 11 Char"/>
    <w:link w:val="ColorfulList-Accent1"/>
    <w:rsid w:val="005D5CF9"/>
    <w:rPr>
      <w:rFonts w:eastAsia="Times New Roman"/>
      <w:lang w:val="es-CR" w:eastAsia="es-CR"/>
    </w:rPr>
  </w:style>
  <w:style w:type="table" w:styleId="ColorfulList-Accent1">
    <w:name w:val="Colorful List Accent 1"/>
    <w:basedOn w:val="TableNormal"/>
    <w:link w:val="ColorfulList-Accent1Char"/>
    <w:uiPriority w:val="99"/>
    <w:rsid w:val="005D5CF9"/>
    <w:rPr>
      <w:rFonts w:eastAsia="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basedOn w:val="DefaultParagraphFont"/>
    <w:link w:val="4GChar"/>
    <w:unhideWhenUsed/>
    <w:qFormat/>
    <w:rsid w:val="00CD29C6"/>
    <w:rPr>
      <w:vertAlign w:val="superscript"/>
    </w:rPr>
  </w:style>
  <w:style w:type="paragraph" w:styleId="NormalWeb">
    <w:name w:val="Normal (Web)"/>
    <w:aliases w:val="Normal (Web) Char1,Normal (Web) Char Char,Normal (Web) Char1 Char,Normal (Web) Char Char Char"/>
    <w:basedOn w:val="Normal"/>
    <w:uiPriority w:val="99"/>
    <w:unhideWhenUsed/>
    <w:rsid w:val="00E8266E"/>
    <w:pPr>
      <w:spacing w:before="100" w:beforeAutospacing="1" w:after="100" w:afterAutospacing="1"/>
    </w:pPr>
    <w:rPr>
      <w:rFonts w:ascii="Times New Roman" w:eastAsia="Times New Roman" w:hAnsi="Times New Roman"/>
      <w:sz w:val="24"/>
      <w:szCs w:val="24"/>
      <w:lang w:val="en-US" w:eastAsia="en-US"/>
    </w:rPr>
  </w:style>
  <w:style w:type="character" w:styleId="CommentReference">
    <w:name w:val="annotation reference"/>
    <w:basedOn w:val="DefaultParagraphFont"/>
    <w:uiPriority w:val="99"/>
    <w:semiHidden/>
    <w:unhideWhenUsed/>
    <w:rsid w:val="0075291F"/>
    <w:rPr>
      <w:sz w:val="16"/>
      <w:szCs w:val="16"/>
    </w:rPr>
  </w:style>
  <w:style w:type="paragraph" w:styleId="CommentText">
    <w:name w:val="annotation text"/>
    <w:basedOn w:val="Normal"/>
    <w:link w:val="CommentTextChar"/>
    <w:uiPriority w:val="99"/>
    <w:semiHidden/>
    <w:unhideWhenUsed/>
    <w:rsid w:val="0075291F"/>
  </w:style>
  <w:style w:type="character" w:customStyle="1" w:styleId="CommentTextChar">
    <w:name w:val="Comment Text Char"/>
    <w:basedOn w:val="DefaultParagraphFont"/>
    <w:link w:val="CommentText"/>
    <w:uiPriority w:val="99"/>
    <w:semiHidden/>
    <w:rsid w:val="0075291F"/>
  </w:style>
  <w:style w:type="paragraph" w:styleId="CommentSubject">
    <w:name w:val="annotation subject"/>
    <w:basedOn w:val="CommentText"/>
    <w:next w:val="CommentText"/>
    <w:link w:val="CommentSubjectChar"/>
    <w:uiPriority w:val="99"/>
    <w:semiHidden/>
    <w:unhideWhenUsed/>
    <w:rsid w:val="0075291F"/>
    <w:rPr>
      <w:b/>
      <w:bCs/>
    </w:rPr>
  </w:style>
  <w:style w:type="character" w:customStyle="1" w:styleId="CommentSubjectChar">
    <w:name w:val="Comment Subject Char"/>
    <w:basedOn w:val="CommentTextChar"/>
    <w:link w:val="CommentSubject"/>
    <w:uiPriority w:val="99"/>
    <w:semiHidden/>
    <w:rsid w:val="0075291F"/>
    <w:rPr>
      <w:b/>
      <w:bCs/>
    </w:rPr>
  </w:style>
  <w:style w:type="paragraph" w:styleId="BalloonText">
    <w:name w:val="Balloon Text"/>
    <w:basedOn w:val="Normal"/>
    <w:link w:val="BalloonTextChar"/>
    <w:uiPriority w:val="99"/>
    <w:semiHidden/>
    <w:unhideWhenUsed/>
    <w:rsid w:val="0075291F"/>
    <w:rPr>
      <w:rFonts w:ascii="Tahoma" w:hAnsi="Tahoma" w:cs="Tahoma"/>
      <w:sz w:val="16"/>
      <w:szCs w:val="16"/>
    </w:rPr>
  </w:style>
  <w:style w:type="character" w:customStyle="1" w:styleId="BalloonTextChar">
    <w:name w:val="Balloon Text Char"/>
    <w:basedOn w:val="DefaultParagraphFont"/>
    <w:link w:val="BalloonText"/>
    <w:uiPriority w:val="99"/>
    <w:semiHidden/>
    <w:rsid w:val="0075291F"/>
    <w:rPr>
      <w:rFonts w:ascii="Tahoma" w:hAnsi="Tahoma" w:cs="Tahoma"/>
      <w:sz w:val="16"/>
      <w:szCs w:val="16"/>
    </w:rPr>
  </w:style>
  <w:style w:type="paragraph" w:styleId="Header">
    <w:name w:val="header"/>
    <w:basedOn w:val="Normal"/>
    <w:link w:val="HeaderChar"/>
    <w:uiPriority w:val="99"/>
    <w:unhideWhenUsed/>
    <w:rsid w:val="000F5EF1"/>
    <w:pPr>
      <w:tabs>
        <w:tab w:val="center" w:pos="4419"/>
        <w:tab w:val="right" w:pos="8838"/>
      </w:tabs>
    </w:pPr>
  </w:style>
  <w:style w:type="character" w:customStyle="1" w:styleId="HeaderChar">
    <w:name w:val="Header Char"/>
    <w:basedOn w:val="DefaultParagraphFont"/>
    <w:link w:val="Header"/>
    <w:uiPriority w:val="99"/>
    <w:rsid w:val="000F5EF1"/>
  </w:style>
  <w:style w:type="paragraph" w:styleId="Footer">
    <w:name w:val="footer"/>
    <w:basedOn w:val="Normal"/>
    <w:link w:val="FooterChar"/>
    <w:uiPriority w:val="99"/>
    <w:unhideWhenUsed/>
    <w:rsid w:val="000F5EF1"/>
    <w:pPr>
      <w:tabs>
        <w:tab w:val="center" w:pos="4419"/>
        <w:tab w:val="right" w:pos="8838"/>
      </w:tabs>
    </w:pPr>
  </w:style>
  <w:style w:type="character" w:customStyle="1" w:styleId="FooterChar">
    <w:name w:val="Footer Char"/>
    <w:basedOn w:val="DefaultParagraphFont"/>
    <w:link w:val="Footer"/>
    <w:uiPriority w:val="99"/>
    <w:rsid w:val="000F5EF1"/>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3C562D"/>
    <w:pPr>
      <w:jc w:val="both"/>
    </w:pPr>
    <w:rPr>
      <w:vertAlign w:val="superscript"/>
    </w:rPr>
  </w:style>
  <w:style w:type="paragraph" w:styleId="DocumentMap">
    <w:name w:val="Document Map"/>
    <w:basedOn w:val="Normal"/>
    <w:link w:val="DocumentMapChar"/>
    <w:uiPriority w:val="99"/>
    <w:semiHidden/>
    <w:unhideWhenUsed/>
    <w:rsid w:val="009C7158"/>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9C7158"/>
    <w:rPr>
      <w:rFonts w:ascii="Times New Roman" w:hAnsi="Times New Roman"/>
      <w:sz w:val="24"/>
      <w:szCs w:val="24"/>
    </w:rPr>
  </w:style>
  <w:style w:type="paragraph" w:styleId="Revision">
    <w:name w:val="Revision"/>
    <w:hidden/>
    <w:uiPriority w:val="99"/>
    <w:semiHidden/>
    <w:rsid w:val="009C7158"/>
  </w:style>
  <w:style w:type="character" w:customStyle="1" w:styleId="ListParagraphChar1">
    <w:name w:val="List Paragraph Char1"/>
    <w:aliases w:val="Colorful List - Accent 11 Char1,Lista vistosa - Énfasis 11 Char1,Footnote Char1,List Paragraph1 Char1,Párrafo de lista1 Char1"/>
    <w:basedOn w:val="DefaultParagraphFont"/>
    <w:link w:val="ListParagraph"/>
    <w:locked/>
    <w:rsid w:val="00D41D14"/>
    <w:rPr>
      <w:rFonts w:ascii="Cambria" w:eastAsia="Cambria" w:hAnsi="Cambria" w:cs="Cambria"/>
      <w:color w:val="000000"/>
      <w:sz w:val="24"/>
      <w:szCs w:val="24"/>
      <w:u w:color="00000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4360">
      <w:bodyDiv w:val="1"/>
      <w:marLeft w:val="0"/>
      <w:marRight w:val="0"/>
      <w:marTop w:val="0"/>
      <w:marBottom w:val="0"/>
      <w:divBdr>
        <w:top w:val="none" w:sz="0" w:space="0" w:color="auto"/>
        <w:left w:val="none" w:sz="0" w:space="0" w:color="auto"/>
        <w:bottom w:val="none" w:sz="0" w:space="0" w:color="auto"/>
        <w:right w:val="none" w:sz="0" w:space="0" w:color="auto"/>
      </w:divBdr>
    </w:div>
    <w:div w:id="218634838">
      <w:bodyDiv w:val="1"/>
      <w:marLeft w:val="0"/>
      <w:marRight w:val="0"/>
      <w:marTop w:val="0"/>
      <w:marBottom w:val="0"/>
      <w:divBdr>
        <w:top w:val="none" w:sz="0" w:space="0" w:color="auto"/>
        <w:left w:val="none" w:sz="0" w:space="0" w:color="auto"/>
        <w:bottom w:val="none" w:sz="0" w:space="0" w:color="auto"/>
        <w:right w:val="none" w:sz="0" w:space="0" w:color="auto"/>
      </w:divBdr>
      <w:divsChild>
        <w:div w:id="83889797">
          <w:marLeft w:val="0"/>
          <w:marRight w:val="0"/>
          <w:marTop w:val="0"/>
          <w:marBottom w:val="0"/>
          <w:divBdr>
            <w:top w:val="none" w:sz="0" w:space="0" w:color="auto"/>
            <w:left w:val="none" w:sz="0" w:space="0" w:color="auto"/>
            <w:bottom w:val="none" w:sz="0" w:space="0" w:color="auto"/>
            <w:right w:val="none" w:sz="0" w:space="0" w:color="auto"/>
          </w:divBdr>
          <w:divsChild>
            <w:div w:id="1248539688">
              <w:marLeft w:val="0"/>
              <w:marRight w:val="0"/>
              <w:marTop w:val="0"/>
              <w:marBottom w:val="0"/>
              <w:divBdr>
                <w:top w:val="none" w:sz="0" w:space="0" w:color="auto"/>
                <w:left w:val="none" w:sz="0" w:space="0" w:color="auto"/>
                <w:bottom w:val="none" w:sz="0" w:space="0" w:color="auto"/>
                <w:right w:val="none" w:sz="0" w:space="0" w:color="auto"/>
              </w:divBdr>
              <w:divsChild>
                <w:div w:id="15381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5248">
      <w:bodyDiv w:val="1"/>
      <w:marLeft w:val="0"/>
      <w:marRight w:val="0"/>
      <w:marTop w:val="0"/>
      <w:marBottom w:val="0"/>
      <w:divBdr>
        <w:top w:val="none" w:sz="0" w:space="0" w:color="auto"/>
        <w:left w:val="none" w:sz="0" w:space="0" w:color="auto"/>
        <w:bottom w:val="none" w:sz="0" w:space="0" w:color="auto"/>
        <w:right w:val="none" w:sz="0" w:space="0" w:color="auto"/>
      </w:divBdr>
      <w:divsChild>
        <w:div w:id="824859781">
          <w:marLeft w:val="0"/>
          <w:marRight w:val="0"/>
          <w:marTop w:val="0"/>
          <w:marBottom w:val="0"/>
          <w:divBdr>
            <w:top w:val="none" w:sz="0" w:space="0" w:color="auto"/>
            <w:left w:val="none" w:sz="0" w:space="0" w:color="auto"/>
            <w:bottom w:val="none" w:sz="0" w:space="0" w:color="auto"/>
            <w:right w:val="none" w:sz="0" w:space="0" w:color="auto"/>
          </w:divBdr>
          <w:divsChild>
            <w:div w:id="841242651">
              <w:marLeft w:val="0"/>
              <w:marRight w:val="0"/>
              <w:marTop w:val="0"/>
              <w:marBottom w:val="0"/>
              <w:divBdr>
                <w:top w:val="none" w:sz="0" w:space="0" w:color="auto"/>
                <w:left w:val="none" w:sz="0" w:space="0" w:color="auto"/>
                <w:bottom w:val="none" w:sz="0" w:space="0" w:color="auto"/>
                <w:right w:val="none" w:sz="0" w:space="0" w:color="auto"/>
              </w:divBdr>
              <w:divsChild>
                <w:div w:id="10375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25532">
      <w:bodyDiv w:val="1"/>
      <w:marLeft w:val="0"/>
      <w:marRight w:val="0"/>
      <w:marTop w:val="0"/>
      <w:marBottom w:val="0"/>
      <w:divBdr>
        <w:top w:val="none" w:sz="0" w:space="0" w:color="auto"/>
        <w:left w:val="none" w:sz="0" w:space="0" w:color="auto"/>
        <w:bottom w:val="none" w:sz="0" w:space="0" w:color="auto"/>
        <w:right w:val="none" w:sz="0" w:space="0" w:color="auto"/>
      </w:divBdr>
      <w:divsChild>
        <w:div w:id="2015298928">
          <w:marLeft w:val="0"/>
          <w:marRight w:val="0"/>
          <w:marTop w:val="0"/>
          <w:marBottom w:val="0"/>
          <w:divBdr>
            <w:top w:val="none" w:sz="0" w:space="0" w:color="auto"/>
            <w:left w:val="none" w:sz="0" w:space="0" w:color="auto"/>
            <w:bottom w:val="none" w:sz="0" w:space="0" w:color="auto"/>
            <w:right w:val="none" w:sz="0" w:space="0" w:color="auto"/>
          </w:divBdr>
          <w:divsChild>
            <w:div w:id="658463220">
              <w:marLeft w:val="0"/>
              <w:marRight w:val="0"/>
              <w:marTop w:val="0"/>
              <w:marBottom w:val="0"/>
              <w:divBdr>
                <w:top w:val="none" w:sz="0" w:space="0" w:color="auto"/>
                <w:left w:val="none" w:sz="0" w:space="0" w:color="auto"/>
                <w:bottom w:val="none" w:sz="0" w:space="0" w:color="auto"/>
                <w:right w:val="none" w:sz="0" w:space="0" w:color="auto"/>
              </w:divBdr>
              <w:divsChild>
                <w:div w:id="17759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4232">
      <w:bodyDiv w:val="1"/>
      <w:marLeft w:val="0"/>
      <w:marRight w:val="0"/>
      <w:marTop w:val="0"/>
      <w:marBottom w:val="0"/>
      <w:divBdr>
        <w:top w:val="none" w:sz="0" w:space="0" w:color="auto"/>
        <w:left w:val="none" w:sz="0" w:space="0" w:color="auto"/>
        <w:bottom w:val="none" w:sz="0" w:space="0" w:color="auto"/>
        <w:right w:val="none" w:sz="0" w:space="0" w:color="auto"/>
      </w:divBdr>
    </w:div>
    <w:div w:id="1385175643">
      <w:bodyDiv w:val="1"/>
      <w:marLeft w:val="0"/>
      <w:marRight w:val="0"/>
      <w:marTop w:val="0"/>
      <w:marBottom w:val="0"/>
      <w:divBdr>
        <w:top w:val="none" w:sz="0" w:space="0" w:color="auto"/>
        <w:left w:val="none" w:sz="0" w:space="0" w:color="auto"/>
        <w:bottom w:val="none" w:sz="0" w:space="0" w:color="auto"/>
        <w:right w:val="none" w:sz="0" w:space="0" w:color="auto"/>
      </w:divBdr>
    </w:div>
    <w:div w:id="1784299228">
      <w:bodyDiv w:val="1"/>
      <w:marLeft w:val="0"/>
      <w:marRight w:val="0"/>
      <w:marTop w:val="0"/>
      <w:marBottom w:val="0"/>
      <w:divBdr>
        <w:top w:val="none" w:sz="0" w:space="0" w:color="auto"/>
        <w:left w:val="none" w:sz="0" w:space="0" w:color="auto"/>
        <w:bottom w:val="none" w:sz="0" w:space="0" w:color="auto"/>
        <w:right w:val="none" w:sz="0" w:space="0" w:color="auto"/>
      </w:divBdr>
    </w:div>
    <w:div w:id="2012833334">
      <w:bodyDiv w:val="1"/>
      <w:marLeft w:val="0"/>
      <w:marRight w:val="0"/>
      <w:marTop w:val="0"/>
      <w:marBottom w:val="0"/>
      <w:divBdr>
        <w:top w:val="none" w:sz="0" w:space="0" w:color="auto"/>
        <w:left w:val="none" w:sz="0" w:space="0" w:color="auto"/>
        <w:bottom w:val="none" w:sz="0" w:space="0" w:color="auto"/>
        <w:right w:val="none" w:sz="0" w:space="0" w:color="auto"/>
      </w:divBdr>
      <w:divsChild>
        <w:div w:id="1468157307">
          <w:marLeft w:val="0"/>
          <w:marRight w:val="0"/>
          <w:marTop w:val="0"/>
          <w:marBottom w:val="0"/>
          <w:divBdr>
            <w:top w:val="none" w:sz="0" w:space="0" w:color="auto"/>
            <w:left w:val="none" w:sz="0" w:space="0" w:color="auto"/>
            <w:bottom w:val="none" w:sz="0" w:space="0" w:color="auto"/>
            <w:right w:val="none" w:sz="0" w:space="0" w:color="auto"/>
          </w:divBdr>
          <w:divsChild>
            <w:div w:id="1754014541">
              <w:marLeft w:val="0"/>
              <w:marRight w:val="0"/>
              <w:marTop w:val="0"/>
              <w:marBottom w:val="0"/>
              <w:divBdr>
                <w:top w:val="none" w:sz="0" w:space="0" w:color="auto"/>
                <w:left w:val="none" w:sz="0" w:space="0" w:color="auto"/>
                <w:bottom w:val="none" w:sz="0" w:space="0" w:color="auto"/>
                <w:right w:val="none" w:sz="0" w:space="0" w:color="auto"/>
              </w:divBdr>
              <w:divsChild>
                <w:div w:id="1208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5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hrlibrary.umn.edu/iachr/b_11_4i.htm" TargetMode="External"/><Relationship Id="rId2" Type="http://schemas.openxmlformats.org/officeDocument/2006/relationships/hyperlink" Target="http://hrlibrary.umn.edu/iachr/b_11_4m.htm" TargetMode="External"/><Relationship Id="rId1" Type="http://schemas.openxmlformats.org/officeDocument/2006/relationships/hyperlink" Target="http://hrlibrary.umn.edu/iachr/A/OC-16ingles-sinfirm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08B84-72BD-463B-A181-AE8FE6A58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1692</Words>
  <Characters>9647</Characters>
  <Application>Microsoft Office Word</Application>
  <DocSecurity>0</DocSecurity>
  <Lines>80</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Hannia Sanchez</cp:lastModifiedBy>
  <cp:revision>2</cp:revision>
  <cp:lastPrinted>2018-06-01T20:28:00Z</cp:lastPrinted>
  <dcterms:created xsi:type="dcterms:W3CDTF">2018-06-20T14:34:00Z</dcterms:created>
  <dcterms:modified xsi:type="dcterms:W3CDTF">2018-06-20T14:34:00Z</dcterms:modified>
</cp:coreProperties>
</file>