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713E3B" w14:textId="77777777" w:rsidR="002876E8" w:rsidRPr="001D48D1" w:rsidRDefault="002876E8" w:rsidP="003D717E">
      <w:pPr>
        <w:widowControl w:val="0"/>
        <w:tabs>
          <w:tab w:val="left" w:pos="567"/>
        </w:tabs>
        <w:adjustRightInd w:val="0"/>
        <w:textAlignment w:val="baseline"/>
        <w:rPr>
          <w:rFonts w:eastAsiaTheme="minorHAnsi" w:cs="Verdana Bold"/>
          <w:bCs/>
          <w:caps/>
          <w:spacing w:val="-4"/>
          <w:sz w:val="16"/>
          <w:szCs w:val="16"/>
          <w:lang w:val="en-US"/>
        </w:rPr>
      </w:pPr>
      <w:bookmarkStart w:id="0" w:name="_Ref395209168"/>
    </w:p>
    <w:p w14:paraId="166D3E65" w14:textId="77777777" w:rsidR="002876E8" w:rsidRPr="001D48D1" w:rsidRDefault="002876E8" w:rsidP="003D717E">
      <w:pPr>
        <w:widowControl w:val="0"/>
        <w:tabs>
          <w:tab w:val="left" w:pos="567"/>
        </w:tabs>
        <w:adjustRightInd w:val="0"/>
        <w:textAlignment w:val="baseline"/>
        <w:rPr>
          <w:rFonts w:eastAsiaTheme="minorHAnsi" w:cs="Verdana Bold"/>
          <w:bCs/>
          <w:caps/>
          <w:spacing w:val="-4"/>
          <w:sz w:val="16"/>
          <w:szCs w:val="16"/>
          <w:lang w:val="en-US"/>
        </w:rPr>
      </w:pPr>
    </w:p>
    <w:p w14:paraId="1F7EF459" w14:textId="77777777" w:rsidR="003E41F4" w:rsidRPr="001D48D1" w:rsidRDefault="003E41F4" w:rsidP="003D717E">
      <w:pPr>
        <w:widowControl w:val="0"/>
        <w:tabs>
          <w:tab w:val="left" w:pos="567"/>
        </w:tabs>
        <w:adjustRightInd w:val="0"/>
        <w:textAlignment w:val="baseline"/>
        <w:rPr>
          <w:rFonts w:eastAsiaTheme="minorHAnsi" w:cs="Verdana Bold"/>
          <w:b/>
          <w:bCs/>
          <w:caps/>
          <w:spacing w:val="-4"/>
          <w:szCs w:val="20"/>
          <w:lang w:val="en-US"/>
        </w:rPr>
      </w:pPr>
    </w:p>
    <w:p w14:paraId="6F43FE83" w14:textId="77777777" w:rsidR="003D717E" w:rsidRPr="001D48D1" w:rsidRDefault="003D717E" w:rsidP="003D717E">
      <w:pPr>
        <w:widowControl w:val="0"/>
        <w:tabs>
          <w:tab w:val="left" w:pos="567"/>
        </w:tabs>
        <w:adjustRightInd w:val="0"/>
        <w:textAlignment w:val="baseline"/>
        <w:rPr>
          <w:rFonts w:eastAsiaTheme="minorHAnsi" w:cs="Verdana Bold"/>
          <w:b/>
          <w:bCs/>
          <w:caps/>
          <w:spacing w:val="-4"/>
          <w:szCs w:val="20"/>
          <w:lang w:val="en-US"/>
        </w:rPr>
      </w:pPr>
    </w:p>
    <w:p w14:paraId="1E87E985" w14:textId="77777777" w:rsidR="003D717E" w:rsidRPr="001D48D1" w:rsidRDefault="003D717E" w:rsidP="003D717E">
      <w:pPr>
        <w:widowControl w:val="0"/>
        <w:tabs>
          <w:tab w:val="left" w:pos="567"/>
        </w:tabs>
        <w:adjustRightInd w:val="0"/>
        <w:textAlignment w:val="baseline"/>
        <w:rPr>
          <w:rFonts w:eastAsiaTheme="minorHAnsi" w:cs="Verdana Bold"/>
          <w:b/>
          <w:bCs/>
          <w:caps/>
          <w:spacing w:val="-4"/>
          <w:szCs w:val="20"/>
          <w:lang w:val="en-US"/>
        </w:rPr>
      </w:pPr>
    </w:p>
    <w:p w14:paraId="5F164597" w14:textId="77777777" w:rsidR="003D717E" w:rsidRPr="001D48D1" w:rsidRDefault="003D717E" w:rsidP="003D717E">
      <w:pPr>
        <w:widowControl w:val="0"/>
        <w:tabs>
          <w:tab w:val="left" w:pos="567"/>
        </w:tabs>
        <w:adjustRightInd w:val="0"/>
        <w:textAlignment w:val="baseline"/>
        <w:rPr>
          <w:rFonts w:eastAsiaTheme="minorHAnsi" w:cs="Verdana Bold"/>
          <w:b/>
          <w:bCs/>
          <w:caps/>
          <w:spacing w:val="-4"/>
          <w:szCs w:val="20"/>
          <w:lang w:val="en-US"/>
        </w:rPr>
      </w:pPr>
    </w:p>
    <w:p w14:paraId="7478AD7C" w14:textId="77777777" w:rsidR="003D717E" w:rsidRPr="001D48D1" w:rsidRDefault="003D717E" w:rsidP="003D717E">
      <w:pPr>
        <w:widowControl w:val="0"/>
        <w:tabs>
          <w:tab w:val="left" w:pos="567"/>
        </w:tabs>
        <w:adjustRightInd w:val="0"/>
        <w:textAlignment w:val="baseline"/>
        <w:rPr>
          <w:b/>
          <w:spacing w:val="-4"/>
          <w:szCs w:val="20"/>
          <w:lang w:val="en-US" w:eastAsia="es-CR"/>
        </w:rPr>
      </w:pPr>
    </w:p>
    <w:p w14:paraId="54A46302" w14:textId="77777777" w:rsidR="003D717E" w:rsidRPr="001D48D1" w:rsidRDefault="003D717E" w:rsidP="003D717E">
      <w:pPr>
        <w:widowControl w:val="0"/>
        <w:tabs>
          <w:tab w:val="left" w:pos="567"/>
        </w:tabs>
        <w:adjustRightInd w:val="0"/>
        <w:jc w:val="center"/>
        <w:textAlignment w:val="baseline"/>
        <w:rPr>
          <w:b/>
          <w:spacing w:val="-4"/>
          <w:szCs w:val="20"/>
          <w:lang w:val="en-US" w:eastAsia="es-CR"/>
        </w:rPr>
      </w:pPr>
    </w:p>
    <w:p w14:paraId="41773265" w14:textId="4DE7E00A" w:rsidR="003D717E" w:rsidRPr="00A50E4D" w:rsidRDefault="009808C5" w:rsidP="003D717E">
      <w:pPr>
        <w:jc w:val="center"/>
        <w:rPr>
          <w:b/>
          <w:spacing w:val="-4"/>
          <w:lang w:val="en-US"/>
        </w:rPr>
      </w:pPr>
      <w:r w:rsidRPr="00A50E4D">
        <w:rPr>
          <w:b/>
          <w:spacing w:val="-4"/>
          <w:lang w:val="en-US"/>
        </w:rPr>
        <w:t>INTER-AMERICAN COURT OF HUMAN RIGHTS</w:t>
      </w:r>
    </w:p>
    <w:p w14:paraId="14D53166" w14:textId="77777777" w:rsidR="003D717E" w:rsidRPr="00A50E4D" w:rsidRDefault="003D717E" w:rsidP="003D717E">
      <w:pPr>
        <w:jc w:val="center"/>
        <w:rPr>
          <w:b/>
          <w:spacing w:val="-4"/>
          <w:lang w:val="en-US"/>
        </w:rPr>
      </w:pPr>
    </w:p>
    <w:p w14:paraId="51D4CE53" w14:textId="14F0B2CE" w:rsidR="003D717E" w:rsidRPr="00A50E4D" w:rsidRDefault="009808C5" w:rsidP="003D717E">
      <w:pPr>
        <w:jc w:val="center"/>
        <w:rPr>
          <w:b/>
          <w:spacing w:val="-4"/>
          <w:lang w:val="en-US"/>
        </w:rPr>
      </w:pPr>
      <w:bookmarkStart w:id="1" w:name="_Toc424833991"/>
      <w:bookmarkStart w:id="2" w:name="_Toc424834592"/>
      <w:bookmarkStart w:id="3" w:name="_Toc424834675"/>
      <w:bookmarkStart w:id="4" w:name="_Toc424834742"/>
      <w:r w:rsidRPr="00A50E4D">
        <w:rPr>
          <w:b/>
          <w:spacing w:val="-4"/>
          <w:lang w:val="en-US"/>
        </w:rPr>
        <w:t>CASE OF</w:t>
      </w:r>
      <w:r w:rsidR="003D717E" w:rsidRPr="00A50E4D">
        <w:rPr>
          <w:b/>
          <w:spacing w:val="-4"/>
          <w:lang w:val="en-US"/>
        </w:rPr>
        <w:t xml:space="preserve"> LÓPEZ </w:t>
      </w:r>
      <w:r w:rsidRPr="00A50E4D">
        <w:rPr>
          <w:b/>
          <w:spacing w:val="-4"/>
          <w:lang w:val="en-US"/>
        </w:rPr>
        <w:t xml:space="preserve">LONE </w:t>
      </w:r>
      <w:r w:rsidRPr="00A50E4D">
        <w:rPr>
          <w:b/>
          <w:i/>
          <w:spacing w:val="-4"/>
          <w:lang w:val="en-US"/>
        </w:rPr>
        <w:t>ET AL.</w:t>
      </w:r>
      <w:r w:rsidR="003D717E" w:rsidRPr="00A50E4D">
        <w:rPr>
          <w:b/>
          <w:i/>
          <w:spacing w:val="-4"/>
          <w:lang w:val="en-US"/>
        </w:rPr>
        <w:t xml:space="preserve"> V.</w:t>
      </w:r>
      <w:r w:rsidR="003D717E" w:rsidRPr="00A50E4D">
        <w:rPr>
          <w:b/>
          <w:spacing w:val="-4"/>
          <w:lang w:val="en-US"/>
        </w:rPr>
        <w:t xml:space="preserve"> HONDURAS</w:t>
      </w:r>
      <w:bookmarkEnd w:id="1"/>
      <w:bookmarkEnd w:id="2"/>
      <w:bookmarkEnd w:id="3"/>
      <w:bookmarkEnd w:id="4"/>
    </w:p>
    <w:p w14:paraId="6BFC2FCD" w14:textId="77777777" w:rsidR="003D717E" w:rsidRPr="00A50E4D" w:rsidRDefault="003D717E" w:rsidP="003D717E">
      <w:pPr>
        <w:jc w:val="center"/>
        <w:rPr>
          <w:b/>
          <w:spacing w:val="-4"/>
          <w:lang w:val="en-US"/>
        </w:rPr>
      </w:pPr>
    </w:p>
    <w:p w14:paraId="44C2A9A8" w14:textId="2276C14A" w:rsidR="003D717E" w:rsidRPr="00A50E4D" w:rsidRDefault="009808C5" w:rsidP="003D717E">
      <w:pPr>
        <w:jc w:val="center"/>
        <w:rPr>
          <w:b/>
          <w:spacing w:val="-4"/>
          <w:lang w:val="en-US"/>
        </w:rPr>
      </w:pPr>
      <w:bookmarkStart w:id="5" w:name="_Toc424833992"/>
      <w:bookmarkStart w:id="6" w:name="_Toc424834593"/>
      <w:bookmarkStart w:id="7" w:name="_Toc424834676"/>
      <w:bookmarkStart w:id="8" w:name="_Toc424834743"/>
      <w:r w:rsidRPr="00A50E4D">
        <w:rPr>
          <w:b/>
          <w:spacing w:val="-4"/>
          <w:lang w:val="en-US"/>
        </w:rPr>
        <w:t xml:space="preserve">JUDGMENT OF OCTOBER </w:t>
      </w:r>
      <w:r w:rsidR="00645CD6" w:rsidRPr="00A50E4D">
        <w:rPr>
          <w:b/>
          <w:spacing w:val="-4"/>
          <w:lang w:val="en-US"/>
        </w:rPr>
        <w:t>5</w:t>
      </w:r>
      <w:r w:rsidRPr="00A50E4D">
        <w:rPr>
          <w:b/>
          <w:spacing w:val="-4"/>
          <w:lang w:val="en-US"/>
        </w:rPr>
        <w:t xml:space="preserve">, </w:t>
      </w:r>
      <w:r w:rsidR="003D717E" w:rsidRPr="00A50E4D">
        <w:rPr>
          <w:b/>
          <w:spacing w:val="-4"/>
          <w:lang w:val="en-US"/>
        </w:rPr>
        <w:t>2015</w:t>
      </w:r>
      <w:bookmarkEnd w:id="5"/>
      <w:bookmarkEnd w:id="6"/>
      <w:bookmarkEnd w:id="7"/>
      <w:bookmarkEnd w:id="8"/>
    </w:p>
    <w:p w14:paraId="7AF3784E" w14:textId="77777777" w:rsidR="003D717E" w:rsidRPr="00A50E4D" w:rsidRDefault="003D717E" w:rsidP="004D030C">
      <w:pPr>
        <w:rPr>
          <w:spacing w:val="-4"/>
          <w:lang w:val="en-US"/>
        </w:rPr>
      </w:pPr>
    </w:p>
    <w:p w14:paraId="695B4637" w14:textId="459DBDB9" w:rsidR="003D717E" w:rsidRPr="00A50E4D" w:rsidRDefault="003D717E" w:rsidP="003D717E">
      <w:pPr>
        <w:jc w:val="center"/>
        <w:rPr>
          <w:rFonts w:cs="Verdana"/>
          <w:b/>
          <w:bCs/>
          <w:caps/>
          <w:snapToGrid w:val="0"/>
          <w:spacing w:val="-4"/>
          <w:lang w:val="en-US" w:eastAsia="es-ES"/>
        </w:rPr>
      </w:pPr>
      <w:bookmarkStart w:id="9" w:name="_Toc424833993"/>
      <w:bookmarkStart w:id="10" w:name="_Toc424834594"/>
      <w:bookmarkStart w:id="11" w:name="_Toc424834677"/>
      <w:bookmarkStart w:id="12" w:name="_Toc424834744"/>
      <w:r w:rsidRPr="00A50E4D">
        <w:rPr>
          <w:b/>
          <w:spacing w:val="-4"/>
          <w:lang w:val="en-US"/>
        </w:rPr>
        <w:t>(</w:t>
      </w:r>
      <w:r w:rsidR="009808C5" w:rsidRPr="00A50E4D">
        <w:rPr>
          <w:b/>
          <w:i/>
          <w:spacing w:val="-4"/>
          <w:lang w:val="en-US"/>
        </w:rPr>
        <w:t>Preliminary objection, merits, reparations and costs</w:t>
      </w:r>
      <w:r w:rsidRPr="00A50E4D">
        <w:rPr>
          <w:b/>
          <w:spacing w:val="-4"/>
          <w:lang w:val="en-US"/>
        </w:rPr>
        <w:t>)</w:t>
      </w:r>
      <w:bookmarkEnd w:id="9"/>
      <w:bookmarkEnd w:id="10"/>
      <w:bookmarkEnd w:id="11"/>
      <w:bookmarkEnd w:id="12"/>
    </w:p>
    <w:p w14:paraId="6DA18BD0" w14:textId="77777777" w:rsidR="003D717E" w:rsidRPr="00A50E4D" w:rsidRDefault="003D717E" w:rsidP="003D717E">
      <w:pPr>
        <w:widowControl w:val="0"/>
        <w:tabs>
          <w:tab w:val="left" w:pos="567"/>
          <w:tab w:val="left" w:pos="720"/>
        </w:tabs>
        <w:adjustRightInd w:val="0"/>
        <w:textAlignment w:val="baseline"/>
        <w:rPr>
          <w:rFonts w:cs="Verdana"/>
          <w:b/>
          <w:bCs/>
          <w:smallCaps/>
          <w:spacing w:val="-4"/>
          <w:szCs w:val="20"/>
          <w:lang w:val="en-US" w:eastAsia="es-CR"/>
        </w:rPr>
      </w:pPr>
    </w:p>
    <w:p w14:paraId="697D909D" w14:textId="77777777" w:rsidR="003D717E" w:rsidRPr="00A50E4D" w:rsidRDefault="003D717E" w:rsidP="003D717E">
      <w:pPr>
        <w:widowControl w:val="0"/>
        <w:tabs>
          <w:tab w:val="left" w:pos="567"/>
          <w:tab w:val="left" w:pos="720"/>
        </w:tabs>
        <w:adjustRightInd w:val="0"/>
        <w:textAlignment w:val="baseline"/>
        <w:rPr>
          <w:rFonts w:cs="Verdana"/>
          <w:spacing w:val="-4"/>
          <w:szCs w:val="20"/>
          <w:lang w:val="en-US" w:eastAsia="es-CR"/>
        </w:rPr>
      </w:pPr>
    </w:p>
    <w:p w14:paraId="1121C02A" w14:textId="77777777" w:rsidR="003D717E" w:rsidRPr="00A50E4D" w:rsidRDefault="003D717E" w:rsidP="003D717E">
      <w:pPr>
        <w:widowControl w:val="0"/>
        <w:tabs>
          <w:tab w:val="left" w:pos="567"/>
          <w:tab w:val="left" w:pos="720"/>
        </w:tabs>
        <w:adjustRightInd w:val="0"/>
        <w:textAlignment w:val="baseline"/>
        <w:rPr>
          <w:rFonts w:cs="Verdana"/>
          <w:spacing w:val="-4"/>
          <w:szCs w:val="20"/>
          <w:lang w:val="en-US" w:eastAsia="es-CR"/>
        </w:rPr>
      </w:pPr>
    </w:p>
    <w:p w14:paraId="77FF5DD0" w14:textId="77777777" w:rsidR="002876E8" w:rsidRPr="00A50E4D" w:rsidRDefault="002876E8" w:rsidP="003D717E">
      <w:pPr>
        <w:widowControl w:val="0"/>
        <w:tabs>
          <w:tab w:val="left" w:pos="567"/>
          <w:tab w:val="left" w:pos="720"/>
        </w:tabs>
        <w:adjustRightInd w:val="0"/>
        <w:textAlignment w:val="baseline"/>
        <w:rPr>
          <w:rFonts w:cs="Verdana"/>
          <w:spacing w:val="-4"/>
          <w:szCs w:val="20"/>
          <w:lang w:val="en-US" w:eastAsia="es-CR"/>
        </w:rPr>
      </w:pPr>
    </w:p>
    <w:p w14:paraId="1ABEEC73" w14:textId="77777777" w:rsidR="002876E8" w:rsidRPr="00A50E4D" w:rsidRDefault="002876E8" w:rsidP="003D717E">
      <w:pPr>
        <w:widowControl w:val="0"/>
        <w:tabs>
          <w:tab w:val="left" w:pos="567"/>
          <w:tab w:val="left" w:pos="720"/>
        </w:tabs>
        <w:adjustRightInd w:val="0"/>
        <w:textAlignment w:val="baseline"/>
        <w:rPr>
          <w:rFonts w:cs="Verdana"/>
          <w:spacing w:val="-4"/>
          <w:szCs w:val="20"/>
          <w:lang w:val="en-US" w:eastAsia="es-CR"/>
        </w:rPr>
      </w:pPr>
    </w:p>
    <w:p w14:paraId="2981C33B" w14:textId="77777777" w:rsidR="002876E8" w:rsidRPr="00A50E4D" w:rsidRDefault="002876E8" w:rsidP="003D717E">
      <w:pPr>
        <w:widowControl w:val="0"/>
        <w:tabs>
          <w:tab w:val="left" w:pos="567"/>
          <w:tab w:val="left" w:pos="720"/>
        </w:tabs>
        <w:adjustRightInd w:val="0"/>
        <w:textAlignment w:val="baseline"/>
        <w:rPr>
          <w:rFonts w:cs="Verdana"/>
          <w:spacing w:val="-4"/>
          <w:szCs w:val="20"/>
          <w:lang w:val="en-US" w:eastAsia="es-CR"/>
        </w:rPr>
      </w:pPr>
    </w:p>
    <w:p w14:paraId="56D5B8AA" w14:textId="77777777" w:rsidR="003D717E" w:rsidRPr="00A50E4D" w:rsidRDefault="003D717E" w:rsidP="003D717E">
      <w:pPr>
        <w:widowControl w:val="0"/>
        <w:tabs>
          <w:tab w:val="left" w:pos="567"/>
          <w:tab w:val="left" w:pos="720"/>
        </w:tabs>
        <w:adjustRightInd w:val="0"/>
        <w:textAlignment w:val="baseline"/>
        <w:rPr>
          <w:rFonts w:cs="Verdana"/>
          <w:spacing w:val="-4"/>
          <w:szCs w:val="20"/>
          <w:lang w:val="en-US" w:eastAsia="es-CR"/>
        </w:rPr>
      </w:pPr>
    </w:p>
    <w:p w14:paraId="601A2E71" w14:textId="77777777" w:rsidR="003D717E" w:rsidRPr="00A50E4D" w:rsidRDefault="003D717E" w:rsidP="003D717E">
      <w:pPr>
        <w:widowControl w:val="0"/>
        <w:tabs>
          <w:tab w:val="left" w:pos="567"/>
          <w:tab w:val="left" w:pos="720"/>
        </w:tabs>
        <w:adjustRightInd w:val="0"/>
        <w:textAlignment w:val="baseline"/>
        <w:rPr>
          <w:rFonts w:cs="Verdana"/>
          <w:spacing w:val="-4"/>
          <w:szCs w:val="20"/>
          <w:lang w:val="en-US" w:eastAsia="es-CR"/>
        </w:rPr>
      </w:pPr>
    </w:p>
    <w:p w14:paraId="67749956" w14:textId="77777777" w:rsidR="003D717E" w:rsidRPr="00A50E4D" w:rsidRDefault="003D717E" w:rsidP="003D717E">
      <w:pPr>
        <w:widowControl w:val="0"/>
        <w:tabs>
          <w:tab w:val="left" w:pos="567"/>
          <w:tab w:val="left" w:pos="720"/>
        </w:tabs>
        <w:adjustRightInd w:val="0"/>
        <w:textAlignment w:val="baseline"/>
        <w:rPr>
          <w:rFonts w:cs="Verdana"/>
          <w:spacing w:val="-4"/>
          <w:szCs w:val="20"/>
          <w:lang w:val="en-US" w:eastAsia="es-CR"/>
        </w:rPr>
      </w:pPr>
    </w:p>
    <w:p w14:paraId="7F2B74D8" w14:textId="77777777" w:rsidR="003D717E" w:rsidRPr="00A50E4D" w:rsidRDefault="003D717E" w:rsidP="003D717E">
      <w:pPr>
        <w:widowControl w:val="0"/>
        <w:tabs>
          <w:tab w:val="left" w:pos="567"/>
          <w:tab w:val="left" w:pos="720"/>
        </w:tabs>
        <w:adjustRightInd w:val="0"/>
        <w:textAlignment w:val="baseline"/>
        <w:rPr>
          <w:rFonts w:cs="Verdana"/>
          <w:spacing w:val="-4"/>
          <w:szCs w:val="20"/>
          <w:lang w:val="en-US" w:eastAsia="es-CR"/>
        </w:rPr>
      </w:pPr>
    </w:p>
    <w:p w14:paraId="412E854B" w14:textId="214590A9" w:rsidR="003D717E" w:rsidRPr="00A50E4D" w:rsidRDefault="009808C5" w:rsidP="003D717E">
      <w:pPr>
        <w:widowControl w:val="0"/>
        <w:tabs>
          <w:tab w:val="left" w:pos="567"/>
          <w:tab w:val="left" w:pos="720"/>
        </w:tabs>
        <w:adjustRightInd w:val="0"/>
        <w:textAlignment w:val="baseline"/>
        <w:rPr>
          <w:rFonts w:cs="Verdana"/>
          <w:i/>
          <w:iCs/>
          <w:spacing w:val="-4"/>
          <w:szCs w:val="20"/>
          <w:lang w:val="en-US" w:eastAsia="es-CR"/>
        </w:rPr>
      </w:pPr>
      <w:r w:rsidRPr="00A50E4D">
        <w:rPr>
          <w:rFonts w:cs="Verdana"/>
          <w:spacing w:val="-4"/>
          <w:szCs w:val="20"/>
          <w:lang w:val="en-US" w:eastAsia="es-CR"/>
        </w:rPr>
        <w:t>In the case of</w:t>
      </w:r>
      <w:r w:rsidR="003D717E" w:rsidRPr="00A50E4D">
        <w:rPr>
          <w:rFonts w:cs="Verdana"/>
          <w:i/>
          <w:iCs/>
          <w:spacing w:val="-4"/>
          <w:szCs w:val="20"/>
          <w:lang w:val="en-US" w:eastAsia="es-CR"/>
        </w:rPr>
        <w:t xml:space="preserve"> López </w:t>
      </w:r>
      <w:r w:rsidRPr="00A50E4D">
        <w:rPr>
          <w:rFonts w:cs="Verdana"/>
          <w:i/>
          <w:iCs/>
          <w:spacing w:val="-4"/>
          <w:szCs w:val="20"/>
          <w:lang w:val="en-US" w:eastAsia="es-CR"/>
        </w:rPr>
        <w:t>Lone et al.</w:t>
      </w:r>
      <w:r w:rsidR="003D717E" w:rsidRPr="00A50E4D">
        <w:rPr>
          <w:rFonts w:cs="Verdana"/>
          <w:i/>
          <w:iCs/>
          <w:spacing w:val="-4"/>
          <w:szCs w:val="20"/>
          <w:lang w:val="en-US" w:eastAsia="es-CR"/>
        </w:rPr>
        <w:t xml:space="preserve"> </w:t>
      </w:r>
      <w:r w:rsidRPr="00A50E4D">
        <w:rPr>
          <w:rFonts w:cs="Verdana"/>
          <w:i/>
          <w:iCs/>
          <w:spacing w:val="-4"/>
          <w:szCs w:val="20"/>
          <w:lang w:val="en-US" w:eastAsia="es-CR"/>
        </w:rPr>
        <w:t>v.</w:t>
      </w:r>
      <w:r w:rsidR="003D717E" w:rsidRPr="00A50E4D">
        <w:rPr>
          <w:rFonts w:cs="Verdana"/>
          <w:i/>
          <w:iCs/>
          <w:spacing w:val="-4"/>
          <w:szCs w:val="20"/>
          <w:lang w:val="en-US" w:eastAsia="es-CR"/>
        </w:rPr>
        <w:t xml:space="preserve"> Honduras, </w:t>
      </w:r>
    </w:p>
    <w:p w14:paraId="30BC6DC8" w14:textId="77777777" w:rsidR="003D717E" w:rsidRPr="00A50E4D" w:rsidRDefault="003D717E" w:rsidP="003D717E">
      <w:pPr>
        <w:widowControl w:val="0"/>
        <w:tabs>
          <w:tab w:val="left" w:pos="567"/>
          <w:tab w:val="left" w:pos="720"/>
        </w:tabs>
        <w:adjustRightInd w:val="0"/>
        <w:textAlignment w:val="baseline"/>
        <w:rPr>
          <w:rFonts w:cs="Verdana"/>
          <w:spacing w:val="-4"/>
          <w:szCs w:val="20"/>
          <w:lang w:val="en-US" w:eastAsia="es-CR"/>
        </w:rPr>
      </w:pPr>
    </w:p>
    <w:p w14:paraId="47CC5BD6" w14:textId="3D094B54" w:rsidR="003D717E" w:rsidRPr="00A50E4D" w:rsidRDefault="009808C5" w:rsidP="003D717E">
      <w:pPr>
        <w:widowControl w:val="0"/>
        <w:tabs>
          <w:tab w:val="left" w:pos="567"/>
          <w:tab w:val="left" w:pos="720"/>
        </w:tabs>
        <w:adjustRightInd w:val="0"/>
        <w:textAlignment w:val="baseline"/>
        <w:rPr>
          <w:rFonts w:cs="Verdana"/>
          <w:spacing w:val="-4"/>
          <w:szCs w:val="20"/>
          <w:lang w:val="en-US" w:eastAsia="es-CR"/>
        </w:rPr>
      </w:pPr>
      <w:r w:rsidRPr="00A50E4D">
        <w:rPr>
          <w:rFonts w:cs="Verdana"/>
          <w:spacing w:val="-4"/>
          <w:szCs w:val="20"/>
          <w:lang w:val="en-US" w:eastAsia="es-CR"/>
        </w:rPr>
        <w:t>the Inter-American Court of Human Rights</w:t>
      </w:r>
      <w:r w:rsidR="003D717E" w:rsidRPr="00A50E4D">
        <w:rPr>
          <w:rFonts w:cs="Verdana"/>
          <w:spacing w:val="-4"/>
          <w:szCs w:val="20"/>
          <w:lang w:val="en-US" w:eastAsia="es-CR"/>
        </w:rPr>
        <w:t xml:space="preserve"> (</w:t>
      </w:r>
      <w:r w:rsidRPr="00A50E4D">
        <w:rPr>
          <w:rFonts w:cs="Verdana"/>
          <w:spacing w:val="-4"/>
          <w:szCs w:val="20"/>
          <w:lang w:val="en-US" w:eastAsia="es-CR"/>
        </w:rPr>
        <w:t>hereinafter</w:t>
      </w:r>
      <w:r w:rsidR="003D717E" w:rsidRPr="00A50E4D">
        <w:rPr>
          <w:rFonts w:cs="Verdana"/>
          <w:spacing w:val="-4"/>
          <w:szCs w:val="20"/>
          <w:lang w:val="en-US" w:eastAsia="es-CR"/>
        </w:rPr>
        <w:t xml:space="preserve"> “</w:t>
      </w:r>
      <w:r w:rsidRPr="00A50E4D">
        <w:rPr>
          <w:rFonts w:cs="Verdana"/>
          <w:spacing w:val="-4"/>
          <w:szCs w:val="20"/>
          <w:lang w:val="en-US" w:eastAsia="es-CR"/>
        </w:rPr>
        <w:t>the Inter-American Court,” or</w:t>
      </w:r>
      <w:r w:rsidR="003D717E" w:rsidRPr="00A50E4D">
        <w:rPr>
          <w:rFonts w:cs="Verdana"/>
          <w:spacing w:val="-4"/>
          <w:szCs w:val="20"/>
          <w:lang w:val="en-US" w:eastAsia="es-CR"/>
        </w:rPr>
        <w:t xml:space="preserve"> “</w:t>
      </w:r>
      <w:r w:rsidRPr="00A50E4D">
        <w:rPr>
          <w:rFonts w:cs="Verdana"/>
          <w:spacing w:val="-4"/>
          <w:szCs w:val="20"/>
          <w:lang w:val="en-US" w:eastAsia="es-CR"/>
        </w:rPr>
        <w:t>the Court”), composed of the following judges</w:t>
      </w:r>
      <w:r w:rsidR="003D717E" w:rsidRPr="00A50E4D">
        <w:rPr>
          <w:rFonts w:cs="Verdana"/>
          <w:spacing w:val="-4"/>
          <w:szCs w:val="20"/>
          <w:lang w:val="en-US" w:eastAsia="es-CR"/>
        </w:rPr>
        <w:t>:</w:t>
      </w:r>
    </w:p>
    <w:p w14:paraId="05EBF3D7" w14:textId="77777777" w:rsidR="003D717E" w:rsidRPr="00A50E4D" w:rsidRDefault="003D717E" w:rsidP="003D717E">
      <w:pPr>
        <w:widowControl w:val="0"/>
        <w:tabs>
          <w:tab w:val="left" w:pos="567"/>
          <w:tab w:val="left" w:pos="720"/>
        </w:tabs>
        <w:adjustRightInd w:val="0"/>
        <w:textAlignment w:val="baseline"/>
        <w:rPr>
          <w:rFonts w:cs="Verdana"/>
          <w:spacing w:val="-4"/>
          <w:szCs w:val="20"/>
          <w:lang w:val="en-US" w:eastAsia="es-CR"/>
        </w:rPr>
      </w:pPr>
    </w:p>
    <w:p w14:paraId="47F64371" w14:textId="56F1DD93" w:rsidR="003D717E" w:rsidRPr="00914F55" w:rsidRDefault="003D717E" w:rsidP="003D717E">
      <w:pPr>
        <w:pStyle w:val="citaindirecta"/>
        <w:tabs>
          <w:tab w:val="left" w:pos="567"/>
          <w:tab w:val="left" w:pos="851"/>
        </w:tabs>
        <w:ind w:left="0" w:right="-174"/>
        <w:rPr>
          <w:spacing w:val="-4"/>
        </w:rPr>
      </w:pPr>
      <w:r w:rsidRPr="00914F55">
        <w:rPr>
          <w:spacing w:val="-4"/>
        </w:rPr>
        <w:t xml:space="preserve">Humberto Antonio Sierra Porto, </w:t>
      </w:r>
      <w:r w:rsidR="009808C5" w:rsidRPr="00914F55">
        <w:rPr>
          <w:spacing w:val="-4"/>
        </w:rPr>
        <w:t>President</w:t>
      </w:r>
    </w:p>
    <w:p w14:paraId="4D8612B4" w14:textId="17CE4166" w:rsidR="003D717E" w:rsidRPr="00914F55" w:rsidRDefault="003D717E" w:rsidP="003D717E">
      <w:pPr>
        <w:pStyle w:val="citaindirecta"/>
        <w:tabs>
          <w:tab w:val="left" w:pos="567"/>
          <w:tab w:val="left" w:pos="851"/>
        </w:tabs>
        <w:ind w:left="0" w:right="-174"/>
        <w:rPr>
          <w:spacing w:val="-4"/>
        </w:rPr>
      </w:pPr>
      <w:r w:rsidRPr="00914F55">
        <w:rPr>
          <w:spacing w:val="-4"/>
        </w:rPr>
        <w:t>Roberto F. Caldas,</w:t>
      </w:r>
      <w:r w:rsidRPr="00914F55">
        <w:rPr>
          <w:rFonts w:cs="Verdana"/>
          <w:spacing w:val="-4"/>
        </w:rPr>
        <w:t xml:space="preserve"> Vice</w:t>
      </w:r>
      <w:r w:rsidR="009808C5" w:rsidRPr="00914F55">
        <w:rPr>
          <w:rFonts w:cs="Verdana"/>
          <w:spacing w:val="-4"/>
        </w:rPr>
        <w:t xml:space="preserve"> President</w:t>
      </w:r>
    </w:p>
    <w:p w14:paraId="2B885643" w14:textId="11234DC6" w:rsidR="003D717E" w:rsidRPr="00914F55" w:rsidRDefault="003D717E" w:rsidP="003D717E">
      <w:pPr>
        <w:tabs>
          <w:tab w:val="left" w:pos="567"/>
          <w:tab w:val="left" w:pos="720"/>
          <w:tab w:val="left" w:pos="851"/>
        </w:tabs>
        <w:ind w:right="-174"/>
        <w:rPr>
          <w:rFonts w:cs="Verdana"/>
          <w:spacing w:val="-4"/>
          <w:szCs w:val="20"/>
        </w:rPr>
      </w:pPr>
      <w:r w:rsidRPr="00914F55">
        <w:rPr>
          <w:rFonts w:cs="Verdana"/>
          <w:spacing w:val="-4"/>
          <w:szCs w:val="20"/>
        </w:rPr>
        <w:t xml:space="preserve">Manuel E. Ventura Robles, </w:t>
      </w:r>
      <w:r w:rsidR="009808C5" w:rsidRPr="00914F55">
        <w:rPr>
          <w:spacing w:val="-4"/>
          <w:szCs w:val="20"/>
        </w:rPr>
        <w:t>Judge</w:t>
      </w:r>
    </w:p>
    <w:p w14:paraId="28621E22" w14:textId="3987B256" w:rsidR="003D717E" w:rsidRPr="00914F55" w:rsidRDefault="003D717E" w:rsidP="003D717E">
      <w:pPr>
        <w:tabs>
          <w:tab w:val="left" w:pos="567"/>
          <w:tab w:val="left" w:pos="720"/>
          <w:tab w:val="left" w:pos="851"/>
        </w:tabs>
        <w:ind w:right="-174"/>
        <w:rPr>
          <w:rFonts w:cs="Verdana"/>
          <w:spacing w:val="-4"/>
          <w:szCs w:val="20"/>
        </w:rPr>
      </w:pPr>
      <w:r w:rsidRPr="00914F55">
        <w:rPr>
          <w:spacing w:val="-4"/>
          <w:szCs w:val="20"/>
        </w:rPr>
        <w:t>Diego García-Sayán,</w:t>
      </w:r>
      <w:r w:rsidRPr="00914F55">
        <w:rPr>
          <w:rFonts w:cs="Verdana"/>
          <w:spacing w:val="-4"/>
          <w:szCs w:val="20"/>
        </w:rPr>
        <w:t xml:space="preserve"> </w:t>
      </w:r>
      <w:r w:rsidR="009808C5" w:rsidRPr="00914F55">
        <w:rPr>
          <w:spacing w:val="-4"/>
          <w:szCs w:val="20"/>
        </w:rPr>
        <w:t>Judge</w:t>
      </w:r>
    </w:p>
    <w:p w14:paraId="572AD75E" w14:textId="25D15A7F" w:rsidR="003D717E" w:rsidRPr="00A50E4D" w:rsidRDefault="003D717E" w:rsidP="003D717E">
      <w:pPr>
        <w:pStyle w:val="citaindirecta"/>
        <w:tabs>
          <w:tab w:val="left" w:pos="567"/>
          <w:tab w:val="left" w:pos="851"/>
        </w:tabs>
        <w:ind w:left="0" w:right="-174"/>
        <w:rPr>
          <w:spacing w:val="-4"/>
          <w:lang w:val="en-US"/>
        </w:rPr>
      </w:pPr>
      <w:r w:rsidRPr="00A50E4D">
        <w:rPr>
          <w:spacing w:val="-4"/>
          <w:lang w:val="en-US"/>
        </w:rPr>
        <w:t xml:space="preserve">Alberto Pérez Pérez, </w:t>
      </w:r>
      <w:r w:rsidR="009808C5" w:rsidRPr="00A50E4D">
        <w:rPr>
          <w:spacing w:val="-4"/>
          <w:lang w:val="en-US"/>
        </w:rPr>
        <w:t>Judge</w:t>
      </w:r>
    </w:p>
    <w:p w14:paraId="219502E6" w14:textId="2D1D4521" w:rsidR="003D717E" w:rsidRPr="00A50E4D" w:rsidRDefault="003D717E" w:rsidP="003D717E">
      <w:pPr>
        <w:pStyle w:val="citaindirecta"/>
        <w:tabs>
          <w:tab w:val="left" w:pos="567"/>
          <w:tab w:val="left" w:pos="851"/>
        </w:tabs>
        <w:ind w:left="0" w:right="-174"/>
        <w:rPr>
          <w:spacing w:val="-4"/>
          <w:lang w:val="en-US"/>
        </w:rPr>
      </w:pPr>
      <w:r w:rsidRPr="00A50E4D">
        <w:rPr>
          <w:spacing w:val="-4"/>
          <w:lang w:val="en-US"/>
        </w:rPr>
        <w:t xml:space="preserve">Eduardo Vio Grossi, </w:t>
      </w:r>
      <w:r w:rsidR="009808C5" w:rsidRPr="00A50E4D">
        <w:rPr>
          <w:spacing w:val="-4"/>
          <w:lang w:val="en-US"/>
        </w:rPr>
        <w:t>Judge, and</w:t>
      </w:r>
    </w:p>
    <w:p w14:paraId="6C9CEB8C" w14:textId="470CCA89" w:rsidR="003D717E" w:rsidRPr="00A50E4D" w:rsidRDefault="003D717E" w:rsidP="003D717E">
      <w:pPr>
        <w:pStyle w:val="citaindirecta"/>
        <w:tabs>
          <w:tab w:val="left" w:pos="567"/>
          <w:tab w:val="left" w:pos="851"/>
        </w:tabs>
        <w:ind w:left="0" w:right="-174"/>
        <w:rPr>
          <w:spacing w:val="-4"/>
          <w:lang w:val="en-US"/>
        </w:rPr>
      </w:pPr>
      <w:r w:rsidRPr="00A50E4D">
        <w:rPr>
          <w:spacing w:val="-4"/>
          <w:lang w:val="en-US"/>
        </w:rPr>
        <w:t xml:space="preserve">Eduardo Ferrer Mac-Gregor Poisot, </w:t>
      </w:r>
      <w:r w:rsidR="009808C5" w:rsidRPr="00A50E4D">
        <w:rPr>
          <w:spacing w:val="-4"/>
          <w:lang w:val="en-US"/>
        </w:rPr>
        <w:t>Judge</w:t>
      </w:r>
      <w:r w:rsidRPr="00A50E4D">
        <w:rPr>
          <w:spacing w:val="-4"/>
          <w:lang w:val="en-US"/>
        </w:rPr>
        <w:t>;</w:t>
      </w:r>
    </w:p>
    <w:p w14:paraId="5B054A53" w14:textId="77777777" w:rsidR="003D717E" w:rsidRPr="00A50E4D" w:rsidRDefault="003D717E" w:rsidP="003D717E">
      <w:pPr>
        <w:widowControl w:val="0"/>
        <w:tabs>
          <w:tab w:val="left" w:pos="567"/>
          <w:tab w:val="left" w:pos="720"/>
        </w:tabs>
        <w:adjustRightInd w:val="0"/>
        <w:textAlignment w:val="baseline"/>
        <w:rPr>
          <w:rFonts w:cs="Verdana"/>
          <w:spacing w:val="-4"/>
          <w:szCs w:val="20"/>
          <w:lang w:val="en-US" w:eastAsia="es-CR"/>
        </w:rPr>
      </w:pPr>
    </w:p>
    <w:p w14:paraId="750144B7" w14:textId="73CD65BE" w:rsidR="003D717E" w:rsidRPr="00A50E4D" w:rsidRDefault="009808C5" w:rsidP="003D717E">
      <w:pPr>
        <w:widowControl w:val="0"/>
        <w:tabs>
          <w:tab w:val="left" w:pos="567"/>
          <w:tab w:val="left" w:pos="720"/>
        </w:tabs>
        <w:adjustRightInd w:val="0"/>
        <w:textAlignment w:val="baseline"/>
        <w:rPr>
          <w:rFonts w:cs="Verdana"/>
          <w:spacing w:val="-4"/>
          <w:szCs w:val="20"/>
          <w:lang w:val="en-US" w:eastAsia="es-CR"/>
        </w:rPr>
      </w:pPr>
      <w:r w:rsidRPr="00A50E4D">
        <w:rPr>
          <w:rFonts w:cs="Verdana"/>
          <w:spacing w:val="-4"/>
          <w:szCs w:val="20"/>
          <w:lang w:val="en-US" w:eastAsia="es-CR"/>
        </w:rPr>
        <w:t>also present</w:t>
      </w:r>
      <w:r w:rsidR="003D717E" w:rsidRPr="00A50E4D">
        <w:rPr>
          <w:rFonts w:cs="Verdana"/>
          <w:spacing w:val="-4"/>
          <w:szCs w:val="20"/>
          <w:lang w:val="en-US" w:eastAsia="es-CR"/>
        </w:rPr>
        <w:t>,</w:t>
      </w:r>
    </w:p>
    <w:p w14:paraId="4CB61644" w14:textId="77777777" w:rsidR="003D717E" w:rsidRPr="00A50E4D" w:rsidRDefault="003D717E" w:rsidP="003D717E">
      <w:pPr>
        <w:widowControl w:val="0"/>
        <w:tabs>
          <w:tab w:val="left" w:pos="567"/>
          <w:tab w:val="left" w:pos="720"/>
        </w:tabs>
        <w:adjustRightInd w:val="0"/>
        <w:textAlignment w:val="baseline"/>
        <w:rPr>
          <w:rFonts w:cs="Verdana"/>
          <w:spacing w:val="-4"/>
          <w:szCs w:val="20"/>
          <w:lang w:val="en-US" w:eastAsia="es-CR"/>
        </w:rPr>
      </w:pPr>
    </w:p>
    <w:p w14:paraId="00811D3A" w14:textId="58AAF027" w:rsidR="003D717E" w:rsidRPr="00A50E4D" w:rsidRDefault="003D717E" w:rsidP="003D717E">
      <w:pPr>
        <w:widowControl w:val="0"/>
        <w:tabs>
          <w:tab w:val="left" w:pos="567"/>
          <w:tab w:val="left" w:pos="720"/>
        </w:tabs>
        <w:adjustRightInd w:val="0"/>
        <w:textAlignment w:val="baseline"/>
        <w:rPr>
          <w:rFonts w:cs="Verdana"/>
          <w:spacing w:val="-4"/>
          <w:szCs w:val="20"/>
          <w:lang w:val="en-US" w:eastAsia="es-CR"/>
        </w:rPr>
      </w:pPr>
      <w:r w:rsidRPr="00A50E4D">
        <w:rPr>
          <w:rFonts w:cs="Verdana"/>
          <w:spacing w:val="-4"/>
          <w:szCs w:val="20"/>
          <w:lang w:val="en-US" w:eastAsia="es-CR"/>
        </w:rPr>
        <w:t xml:space="preserve">Pablo Saavedra Alessandri, </w:t>
      </w:r>
      <w:r w:rsidR="009808C5" w:rsidRPr="00A50E4D">
        <w:rPr>
          <w:rFonts w:cs="Verdana"/>
          <w:spacing w:val="-4"/>
          <w:szCs w:val="20"/>
          <w:lang w:val="en-US" w:eastAsia="es-CR"/>
        </w:rPr>
        <w:t>Secretary</w:t>
      </w:r>
      <w:r w:rsidRPr="00A50E4D">
        <w:rPr>
          <w:rFonts w:cs="Verdana"/>
          <w:spacing w:val="-4"/>
          <w:szCs w:val="20"/>
          <w:lang w:val="en-US" w:eastAsia="es-CR"/>
        </w:rPr>
        <w:t>,</w:t>
      </w:r>
      <w:r w:rsidR="009808C5" w:rsidRPr="00A50E4D">
        <w:rPr>
          <w:rFonts w:cs="Verdana"/>
          <w:spacing w:val="-4"/>
          <w:szCs w:val="20"/>
          <w:lang w:val="en-US" w:eastAsia="es-CR"/>
        </w:rPr>
        <w:t xml:space="preserve"> and </w:t>
      </w:r>
    </w:p>
    <w:p w14:paraId="744AEA79" w14:textId="118F573A" w:rsidR="003D717E" w:rsidRPr="00914F55" w:rsidRDefault="003D717E" w:rsidP="003D717E">
      <w:pPr>
        <w:widowControl w:val="0"/>
        <w:tabs>
          <w:tab w:val="left" w:pos="567"/>
          <w:tab w:val="left" w:pos="720"/>
        </w:tabs>
        <w:adjustRightInd w:val="0"/>
        <w:textAlignment w:val="baseline"/>
        <w:rPr>
          <w:rFonts w:cs="Verdana"/>
          <w:spacing w:val="-4"/>
          <w:szCs w:val="20"/>
          <w:lang w:eastAsia="es-CR"/>
        </w:rPr>
      </w:pPr>
      <w:r w:rsidRPr="00914F55">
        <w:rPr>
          <w:rFonts w:cs="Verdana"/>
          <w:spacing w:val="-4"/>
          <w:szCs w:val="20"/>
          <w:lang w:eastAsia="es-MX"/>
        </w:rPr>
        <w:t xml:space="preserve">Emilia Segares Rodríguez, </w:t>
      </w:r>
      <w:r w:rsidR="009808C5" w:rsidRPr="00914F55">
        <w:rPr>
          <w:rFonts w:cs="Verdana"/>
          <w:spacing w:val="-4"/>
          <w:szCs w:val="20"/>
          <w:lang w:eastAsia="es-MX"/>
        </w:rPr>
        <w:t>Deputy Secretary,</w:t>
      </w:r>
    </w:p>
    <w:p w14:paraId="79120AD5" w14:textId="77777777" w:rsidR="003D717E" w:rsidRPr="00914F55" w:rsidRDefault="003D717E" w:rsidP="003D717E">
      <w:pPr>
        <w:widowControl w:val="0"/>
        <w:tabs>
          <w:tab w:val="left" w:pos="567"/>
          <w:tab w:val="left" w:pos="720"/>
        </w:tabs>
        <w:adjustRightInd w:val="0"/>
        <w:textAlignment w:val="baseline"/>
        <w:rPr>
          <w:rFonts w:cs="Verdana"/>
          <w:spacing w:val="-4"/>
          <w:szCs w:val="20"/>
          <w:lang w:eastAsia="es-CR"/>
        </w:rPr>
      </w:pPr>
    </w:p>
    <w:p w14:paraId="443681E4" w14:textId="46EC23A7" w:rsidR="003D717E" w:rsidRPr="00A50E4D" w:rsidRDefault="009808C5" w:rsidP="003D717E">
      <w:pPr>
        <w:widowControl w:val="0"/>
        <w:tabs>
          <w:tab w:val="left" w:pos="567"/>
          <w:tab w:val="left" w:pos="720"/>
        </w:tabs>
        <w:adjustRightInd w:val="0"/>
        <w:textAlignment w:val="baseline"/>
        <w:rPr>
          <w:rFonts w:cs="Verdana"/>
          <w:spacing w:val="-4"/>
          <w:szCs w:val="20"/>
          <w:lang w:val="en-US" w:eastAsia="es-CR"/>
        </w:rPr>
      </w:pPr>
      <w:r w:rsidRPr="00A50E4D">
        <w:rPr>
          <w:rFonts w:cs="Verdana"/>
          <w:spacing w:val="-4"/>
          <w:szCs w:val="20"/>
          <w:lang w:val="en-US" w:eastAsia="es-CR"/>
        </w:rPr>
        <w:t>pursuant to</w:t>
      </w:r>
      <w:r w:rsidR="003D717E" w:rsidRPr="00A50E4D">
        <w:rPr>
          <w:rFonts w:cs="Verdana"/>
          <w:spacing w:val="-4"/>
          <w:szCs w:val="20"/>
          <w:lang w:val="en-US" w:eastAsia="es-CR"/>
        </w:rPr>
        <w:t xml:space="preserve"> </w:t>
      </w:r>
      <w:r w:rsidRPr="00A50E4D">
        <w:rPr>
          <w:rFonts w:cs="Verdana"/>
          <w:spacing w:val="-4"/>
          <w:szCs w:val="20"/>
          <w:lang w:val="en-US" w:eastAsia="es-CR"/>
        </w:rPr>
        <w:t>Articles</w:t>
      </w:r>
      <w:r w:rsidR="003D717E" w:rsidRPr="00A50E4D">
        <w:rPr>
          <w:rFonts w:cs="Verdana"/>
          <w:spacing w:val="-4"/>
          <w:szCs w:val="20"/>
          <w:lang w:val="en-US" w:eastAsia="es-CR"/>
        </w:rPr>
        <w:t xml:space="preserve"> </w:t>
      </w:r>
      <w:r w:rsidRPr="00A50E4D">
        <w:rPr>
          <w:rFonts w:cs="Verdana"/>
          <w:spacing w:val="-4"/>
          <w:szCs w:val="20"/>
          <w:lang w:val="en-US" w:eastAsia="es-CR"/>
        </w:rPr>
        <w:t>62(3) and 63(1) of the American Convention on Human Rights</w:t>
      </w:r>
      <w:r w:rsidR="003D717E" w:rsidRPr="00A50E4D">
        <w:rPr>
          <w:rFonts w:cs="Verdana"/>
          <w:spacing w:val="-4"/>
          <w:szCs w:val="20"/>
          <w:lang w:val="en-US" w:eastAsia="es-CR"/>
        </w:rPr>
        <w:t xml:space="preserve"> (</w:t>
      </w:r>
      <w:r w:rsidRPr="00A50E4D">
        <w:rPr>
          <w:rFonts w:cs="Verdana"/>
          <w:spacing w:val="-4"/>
          <w:szCs w:val="20"/>
          <w:lang w:val="en-US" w:eastAsia="es-CR"/>
        </w:rPr>
        <w:t>hereinafter</w:t>
      </w:r>
      <w:r w:rsidR="003D717E" w:rsidRPr="00A50E4D">
        <w:rPr>
          <w:rFonts w:cs="Verdana"/>
          <w:spacing w:val="-4"/>
          <w:szCs w:val="20"/>
          <w:lang w:val="en-US" w:eastAsia="es-CR"/>
        </w:rPr>
        <w:t xml:space="preserve"> “</w:t>
      </w:r>
      <w:r w:rsidRPr="00A50E4D">
        <w:rPr>
          <w:rFonts w:cs="Verdana"/>
          <w:spacing w:val="-4"/>
          <w:szCs w:val="20"/>
          <w:lang w:val="en-US" w:eastAsia="es-CR"/>
        </w:rPr>
        <w:t>the American Convention</w:t>
      </w:r>
      <w:r w:rsidR="003D717E" w:rsidRPr="00A50E4D">
        <w:rPr>
          <w:rFonts w:cs="Verdana"/>
          <w:spacing w:val="-4"/>
          <w:szCs w:val="20"/>
          <w:lang w:val="en-US" w:eastAsia="es-CR"/>
        </w:rPr>
        <w:t>” o</w:t>
      </w:r>
      <w:r w:rsidRPr="00A50E4D">
        <w:rPr>
          <w:rFonts w:cs="Verdana"/>
          <w:spacing w:val="-4"/>
          <w:szCs w:val="20"/>
          <w:lang w:val="en-US" w:eastAsia="es-CR"/>
        </w:rPr>
        <w:t>r</w:t>
      </w:r>
      <w:r w:rsidR="003D717E" w:rsidRPr="00A50E4D">
        <w:rPr>
          <w:rFonts w:cs="Verdana"/>
          <w:spacing w:val="-4"/>
          <w:szCs w:val="20"/>
          <w:lang w:val="en-US" w:eastAsia="es-CR"/>
        </w:rPr>
        <w:t xml:space="preserve"> “</w:t>
      </w:r>
      <w:r w:rsidRPr="00A50E4D">
        <w:rPr>
          <w:rFonts w:cs="Verdana"/>
          <w:spacing w:val="-4"/>
          <w:szCs w:val="20"/>
          <w:lang w:val="en-US" w:eastAsia="es-CR"/>
        </w:rPr>
        <w:t>the Convention</w:t>
      </w:r>
      <w:r w:rsidR="003D717E" w:rsidRPr="00A50E4D">
        <w:rPr>
          <w:rFonts w:cs="Verdana"/>
          <w:spacing w:val="-4"/>
          <w:szCs w:val="20"/>
          <w:lang w:val="en-US" w:eastAsia="es-CR"/>
        </w:rPr>
        <w:t>”)</w:t>
      </w:r>
      <w:r w:rsidRPr="00A50E4D">
        <w:rPr>
          <w:rFonts w:cs="Verdana"/>
          <w:spacing w:val="-4"/>
          <w:szCs w:val="20"/>
          <w:lang w:val="en-US" w:eastAsia="es-CR"/>
        </w:rPr>
        <w:t xml:space="preserve"> and</w:t>
      </w:r>
      <w:r w:rsidR="003D717E" w:rsidRPr="00A50E4D">
        <w:rPr>
          <w:rFonts w:cs="Verdana"/>
          <w:spacing w:val="-4"/>
          <w:szCs w:val="20"/>
          <w:lang w:val="en-US" w:eastAsia="es-CR"/>
        </w:rPr>
        <w:t xml:space="preserve"> </w:t>
      </w:r>
      <w:r w:rsidRPr="00A50E4D">
        <w:rPr>
          <w:rFonts w:cs="Verdana"/>
          <w:spacing w:val="-4"/>
          <w:szCs w:val="20"/>
          <w:lang w:val="en-US" w:eastAsia="es-CR"/>
        </w:rPr>
        <w:t>Articles</w:t>
      </w:r>
      <w:r w:rsidR="003D717E" w:rsidRPr="00A50E4D">
        <w:rPr>
          <w:rFonts w:cs="Verdana"/>
          <w:spacing w:val="-4"/>
          <w:szCs w:val="20"/>
          <w:lang w:val="en-US" w:eastAsia="es-CR"/>
        </w:rPr>
        <w:t xml:space="preserve"> 31, 32, 42, 65</w:t>
      </w:r>
      <w:r w:rsidRPr="00A50E4D">
        <w:rPr>
          <w:rFonts w:cs="Verdana"/>
          <w:spacing w:val="-4"/>
          <w:szCs w:val="20"/>
          <w:lang w:val="en-US" w:eastAsia="es-CR"/>
        </w:rPr>
        <w:t xml:space="preserve"> and </w:t>
      </w:r>
      <w:r w:rsidR="003D717E" w:rsidRPr="00A50E4D">
        <w:rPr>
          <w:rFonts w:cs="Verdana"/>
          <w:spacing w:val="-4"/>
          <w:szCs w:val="20"/>
          <w:lang w:val="en-US" w:eastAsia="es-CR"/>
        </w:rPr>
        <w:t>67</w:t>
      </w:r>
      <w:r w:rsidRPr="00A50E4D">
        <w:rPr>
          <w:rFonts w:cs="Verdana"/>
          <w:spacing w:val="-4"/>
          <w:szCs w:val="20"/>
          <w:lang w:val="en-US" w:eastAsia="es-CR"/>
        </w:rPr>
        <w:t xml:space="preserve"> of </w:t>
      </w:r>
      <w:r w:rsidR="00CD2874" w:rsidRPr="00A50E4D">
        <w:rPr>
          <w:rFonts w:cs="Verdana"/>
          <w:spacing w:val="-4"/>
          <w:szCs w:val="20"/>
          <w:lang w:val="en-US" w:eastAsia="es-CR"/>
        </w:rPr>
        <w:t>the Rules of Procedure of the Court</w:t>
      </w:r>
      <w:r w:rsidR="003D717E" w:rsidRPr="00A50E4D">
        <w:rPr>
          <w:rFonts w:cs="Verdana"/>
          <w:spacing w:val="-4"/>
          <w:szCs w:val="20"/>
          <w:lang w:val="en-US" w:eastAsia="es-CR"/>
        </w:rPr>
        <w:t xml:space="preserve"> (</w:t>
      </w:r>
      <w:r w:rsidRPr="00A50E4D">
        <w:rPr>
          <w:rFonts w:cs="Verdana"/>
          <w:spacing w:val="-4"/>
          <w:szCs w:val="20"/>
          <w:lang w:val="en-US" w:eastAsia="es-CR"/>
        </w:rPr>
        <w:t>hereinafter</w:t>
      </w:r>
      <w:r w:rsidR="003D717E" w:rsidRPr="00A50E4D">
        <w:rPr>
          <w:rFonts w:cs="Verdana"/>
          <w:spacing w:val="-4"/>
          <w:szCs w:val="20"/>
          <w:lang w:val="en-US" w:eastAsia="es-CR"/>
        </w:rPr>
        <w:t xml:space="preserve"> “</w:t>
      </w:r>
      <w:r w:rsidRPr="00A50E4D">
        <w:rPr>
          <w:rFonts w:cs="Verdana"/>
          <w:spacing w:val="-4"/>
          <w:szCs w:val="20"/>
          <w:lang w:val="en-US" w:eastAsia="es-CR"/>
        </w:rPr>
        <w:t>the Rules of Procedure</w:t>
      </w:r>
      <w:r w:rsidR="003D717E" w:rsidRPr="00A50E4D">
        <w:rPr>
          <w:rFonts w:cs="Verdana"/>
          <w:spacing w:val="-4"/>
          <w:szCs w:val="20"/>
          <w:lang w:val="en-US" w:eastAsia="es-CR"/>
        </w:rPr>
        <w:t>” o</w:t>
      </w:r>
      <w:r w:rsidRPr="00A50E4D">
        <w:rPr>
          <w:rFonts w:cs="Verdana"/>
          <w:spacing w:val="-4"/>
          <w:szCs w:val="20"/>
          <w:lang w:val="en-US" w:eastAsia="es-CR"/>
        </w:rPr>
        <w:t>r</w:t>
      </w:r>
      <w:r w:rsidR="003D717E" w:rsidRPr="00A50E4D">
        <w:rPr>
          <w:rFonts w:cs="Verdana"/>
          <w:spacing w:val="-4"/>
          <w:szCs w:val="20"/>
          <w:lang w:val="en-US" w:eastAsia="es-CR"/>
        </w:rPr>
        <w:t xml:space="preserve"> “</w:t>
      </w:r>
      <w:r w:rsidRPr="00A50E4D">
        <w:rPr>
          <w:rFonts w:cs="Verdana"/>
          <w:spacing w:val="-4"/>
          <w:szCs w:val="20"/>
          <w:lang w:val="en-US" w:eastAsia="es-CR"/>
        </w:rPr>
        <w:t>the Court’s Rules of Procedure</w:t>
      </w:r>
      <w:r w:rsidR="003D717E" w:rsidRPr="00A50E4D">
        <w:rPr>
          <w:rFonts w:cs="Verdana"/>
          <w:spacing w:val="-4"/>
          <w:szCs w:val="20"/>
          <w:lang w:val="en-US" w:eastAsia="es-CR"/>
        </w:rPr>
        <w:t>”), d</w:t>
      </w:r>
      <w:r w:rsidRPr="00A50E4D">
        <w:rPr>
          <w:rFonts w:cs="Verdana"/>
          <w:spacing w:val="-4"/>
          <w:szCs w:val="20"/>
          <w:lang w:val="en-US" w:eastAsia="es-CR"/>
        </w:rPr>
        <w:t>elivers this judgment, structured as follows:</w:t>
      </w:r>
    </w:p>
    <w:p w14:paraId="7A21F30C" w14:textId="77777777" w:rsidR="003D717E" w:rsidRPr="00A50E4D" w:rsidRDefault="003D717E" w:rsidP="003D717E">
      <w:pPr>
        <w:widowControl w:val="0"/>
        <w:tabs>
          <w:tab w:val="left" w:pos="567"/>
          <w:tab w:val="left" w:pos="720"/>
        </w:tabs>
        <w:adjustRightInd w:val="0"/>
        <w:textAlignment w:val="baseline"/>
        <w:rPr>
          <w:rFonts w:cs="Verdana"/>
          <w:spacing w:val="-4"/>
          <w:szCs w:val="20"/>
          <w:lang w:val="en-US" w:eastAsia="es-CR"/>
        </w:rPr>
      </w:pPr>
    </w:p>
    <w:p w14:paraId="636EF1EB" w14:textId="6242D718" w:rsidR="0081357D" w:rsidRPr="00A50E4D" w:rsidRDefault="003D717E" w:rsidP="00DB3A3D">
      <w:pPr>
        <w:jc w:val="left"/>
        <w:rPr>
          <w:b/>
          <w:spacing w:val="-4"/>
          <w:sz w:val="18"/>
          <w:szCs w:val="18"/>
          <w:lang w:val="en-US"/>
        </w:rPr>
      </w:pPr>
      <w:r w:rsidRPr="00A50E4D">
        <w:rPr>
          <w:b/>
          <w:spacing w:val="-4"/>
          <w:sz w:val="18"/>
          <w:szCs w:val="18"/>
          <w:lang w:val="en-US"/>
        </w:rPr>
        <w:br w:type="page"/>
      </w:r>
    </w:p>
    <w:p w14:paraId="3243AAB9" w14:textId="5762F6F8" w:rsidR="0081357D" w:rsidRPr="00A50E4D" w:rsidRDefault="00371BB7" w:rsidP="00DB3A3D">
      <w:pPr>
        <w:tabs>
          <w:tab w:val="left" w:pos="567"/>
        </w:tabs>
        <w:spacing w:before="100" w:after="100"/>
        <w:jc w:val="center"/>
        <w:rPr>
          <w:b/>
          <w:spacing w:val="-4"/>
          <w:sz w:val="18"/>
          <w:szCs w:val="18"/>
          <w:lang w:val="en-US"/>
        </w:rPr>
      </w:pPr>
      <w:r w:rsidRPr="00A50E4D">
        <w:rPr>
          <w:b/>
          <w:spacing w:val="-4"/>
          <w:sz w:val="18"/>
          <w:szCs w:val="18"/>
          <w:lang w:val="en-US"/>
        </w:rPr>
        <w:lastRenderedPageBreak/>
        <w:t>TABLE OF CONTENTS</w:t>
      </w:r>
    </w:p>
    <w:p w14:paraId="07944AFF" w14:textId="77777777" w:rsidR="0068755C" w:rsidRPr="00A50E4D" w:rsidRDefault="0068755C" w:rsidP="00DB3A3D">
      <w:pPr>
        <w:tabs>
          <w:tab w:val="left" w:pos="567"/>
        </w:tabs>
        <w:spacing w:before="100" w:after="100"/>
        <w:jc w:val="center"/>
        <w:rPr>
          <w:b/>
          <w:spacing w:val="-4"/>
          <w:sz w:val="18"/>
          <w:szCs w:val="18"/>
          <w:lang w:val="en-US"/>
        </w:rPr>
      </w:pPr>
    </w:p>
    <w:bookmarkStart w:id="13" w:name="_Toc424834678"/>
    <w:p w14:paraId="1CE851DF" w14:textId="5219E9DA" w:rsidR="0068755C" w:rsidRPr="00914F55" w:rsidRDefault="00F52058">
      <w:pPr>
        <w:pStyle w:val="TOC1"/>
        <w:rPr>
          <w:rFonts w:asciiTheme="minorHAnsi" w:eastAsiaTheme="minorEastAsia" w:hAnsiTheme="minorHAnsi" w:cstheme="minorBidi"/>
          <w:b w:val="0"/>
          <w:spacing w:val="0"/>
          <w:lang w:val="en-US"/>
        </w:rPr>
      </w:pPr>
      <w:r w:rsidRPr="008136A0">
        <w:rPr>
          <w:lang w:val="en-US" w:eastAsia="es-CR"/>
        </w:rPr>
        <w:fldChar w:fldCharType="begin"/>
      </w:r>
      <w:r w:rsidRPr="00A50E4D">
        <w:rPr>
          <w:lang w:val="en-US" w:eastAsia="es-CR"/>
        </w:rPr>
        <w:instrText xml:space="preserve"> TOC \o "1-5" \h \z \u </w:instrText>
      </w:r>
      <w:r w:rsidRPr="008136A0">
        <w:rPr>
          <w:lang w:val="en-US" w:eastAsia="es-CR"/>
        </w:rPr>
        <w:fldChar w:fldCharType="separate"/>
      </w:r>
      <w:r w:rsidR="0068755C" w:rsidRPr="00914F55">
        <w:rPr>
          <w:rStyle w:val="Hyperlink"/>
          <w:color w:val="auto"/>
          <w:u w:val="none"/>
          <w:lang w:val="en-US"/>
        </w:rPr>
        <w:t xml:space="preserve">I </w:t>
      </w:r>
      <w:hyperlink w:anchor="_Toc471717235" w:history="1">
        <w:r w:rsidR="0068755C" w:rsidRPr="00A50E4D">
          <w:rPr>
            <w:rStyle w:val="Hyperlink"/>
            <w:lang w:val="en-US"/>
          </w:rPr>
          <w:t>INTRODUCTION OF THE CASE AND PURPOSE OF THE DISPUTE</w:t>
        </w:r>
        <w:r w:rsidR="0068755C" w:rsidRPr="00914F55">
          <w:rPr>
            <w:webHidden/>
            <w:lang w:val="en-US"/>
          </w:rPr>
          <w:tab/>
          <w:t>4</w:t>
        </w:r>
      </w:hyperlink>
    </w:p>
    <w:p w14:paraId="788BEBF3" w14:textId="2C955737" w:rsidR="0068755C" w:rsidRPr="00914F55" w:rsidRDefault="0068755C">
      <w:pPr>
        <w:pStyle w:val="TOC1"/>
        <w:rPr>
          <w:rFonts w:asciiTheme="minorHAnsi" w:eastAsiaTheme="minorEastAsia" w:hAnsiTheme="minorHAnsi" w:cstheme="minorBidi"/>
          <w:b w:val="0"/>
          <w:spacing w:val="0"/>
          <w:lang w:val="en-US"/>
        </w:rPr>
      </w:pPr>
      <w:r w:rsidRPr="00914F55">
        <w:rPr>
          <w:rStyle w:val="Hyperlink"/>
          <w:color w:val="auto"/>
          <w:u w:val="none"/>
          <w:lang w:val="en-US"/>
        </w:rPr>
        <w:t xml:space="preserve">II </w:t>
      </w:r>
      <w:hyperlink w:anchor="_Toc471717237" w:history="1">
        <w:r w:rsidRPr="00A50E4D">
          <w:rPr>
            <w:rStyle w:val="Hyperlink"/>
            <w:lang w:val="en-US"/>
          </w:rPr>
          <w:t>PROCEEDINGS BEFORE THE COURT</w:t>
        </w:r>
        <w:r w:rsidRPr="00914F55">
          <w:rPr>
            <w:webHidden/>
            <w:lang w:val="en-US"/>
          </w:rPr>
          <w:tab/>
          <w:t>5</w:t>
        </w:r>
      </w:hyperlink>
    </w:p>
    <w:p w14:paraId="1879ED66" w14:textId="3E65B7D7" w:rsidR="0068755C" w:rsidRPr="00914F55" w:rsidRDefault="0068755C">
      <w:pPr>
        <w:pStyle w:val="TOC1"/>
        <w:rPr>
          <w:rFonts w:asciiTheme="minorHAnsi" w:eastAsiaTheme="minorEastAsia" w:hAnsiTheme="minorHAnsi" w:cstheme="minorBidi"/>
          <w:b w:val="0"/>
          <w:spacing w:val="0"/>
          <w:lang w:val="en-US"/>
        </w:rPr>
      </w:pPr>
      <w:r w:rsidRPr="00914F55">
        <w:rPr>
          <w:rStyle w:val="Hyperlink"/>
          <w:color w:val="auto"/>
          <w:u w:val="none"/>
          <w:lang w:val="en-US"/>
        </w:rPr>
        <w:t>III</w:t>
      </w:r>
      <w:r w:rsidRPr="00914F55">
        <w:rPr>
          <w:rStyle w:val="Hyperlink"/>
          <w:u w:val="none"/>
          <w:lang w:val="en-US"/>
        </w:rPr>
        <w:t xml:space="preserve"> </w:t>
      </w:r>
      <w:hyperlink w:anchor="_Toc471717239" w:history="1">
        <w:r w:rsidRPr="00A50E4D">
          <w:rPr>
            <w:rStyle w:val="Hyperlink"/>
            <w:snapToGrid w:val="0"/>
            <w:lang w:val="en-US"/>
          </w:rPr>
          <w:t>JURISDICTION</w:t>
        </w:r>
        <w:r w:rsidRPr="00914F55">
          <w:rPr>
            <w:webHidden/>
            <w:lang w:val="en-US"/>
          </w:rPr>
          <w:tab/>
        </w:r>
        <w:r w:rsidRPr="00914F55">
          <w:rPr>
            <w:webHidden/>
            <w:lang w:val="en-US"/>
          </w:rPr>
          <w:fldChar w:fldCharType="begin"/>
        </w:r>
        <w:r w:rsidRPr="00914F55">
          <w:rPr>
            <w:webHidden/>
            <w:lang w:val="en-US"/>
          </w:rPr>
          <w:instrText xml:space="preserve"> PAGEREF _Toc471717239 \h </w:instrText>
        </w:r>
        <w:r w:rsidRPr="00914F55">
          <w:rPr>
            <w:webHidden/>
            <w:lang w:val="en-US"/>
          </w:rPr>
        </w:r>
        <w:r w:rsidRPr="00914F55">
          <w:rPr>
            <w:webHidden/>
            <w:lang w:val="en-US"/>
          </w:rPr>
          <w:fldChar w:fldCharType="separate"/>
        </w:r>
        <w:r w:rsidR="00547588">
          <w:rPr>
            <w:webHidden/>
            <w:lang w:val="en-US"/>
          </w:rPr>
          <w:t>7</w:t>
        </w:r>
        <w:r w:rsidRPr="00914F55">
          <w:rPr>
            <w:webHidden/>
            <w:lang w:val="en-US"/>
          </w:rPr>
          <w:fldChar w:fldCharType="end"/>
        </w:r>
      </w:hyperlink>
    </w:p>
    <w:p w14:paraId="29DAFA6B" w14:textId="4B44639E" w:rsidR="0068755C" w:rsidRPr="00914F55" w:rsidRDefault="0068755C">
      <w:pPr>
        <w:pStyle w:val="TOC1"/>
        <w:rPr>
          <w:rFonts w:asciiTheme="minorHAnsi" w:eastAsiaTheme="minorEastAsia" w:hAnsiTheme="minorHAnsi" w:cstheme="minorBidi"/>
          <w:b w:val="0"/>
          <w:spacing w:val="0"/>
          <w:lang w:val="en-US"/>
        </w:rPr>
      </w:pPr>
      <w:r w:rsidRPr="00914F55">
        <w:rPr>
          <w:rStyle w:val="Hyperlink"/>
          <w:color w:val="auto"/>
          <w:u w:val="none"/>
          <w:lang w:val="en-US"/>
        </w:rPr>
        <w:t xml:space="preserve">IV </w:t>
      </w:r>
      <w:hyperlink w:anchor="_Toc471717241" w:history="1">
        <w:r w:rsidRPr="00A50E4D">
          <w:rPr>
            <w:rStyle w:val="Hyperlink"/>
            <w:lang w:val="en-US"/>
          </w:rPr>
          <w:t>PRELIMINARY OBJECTION</w:t>
        </w:r>
        <w:r w:rsidRPr="00914F55">
          <w:rPr>
            <w:webHidden/>
            <w:lang w:val="en-US"/>
          </w:rPr>
          <w:tab/>
        </w:r>
        <w:r w:rsidRPr="00914F55">
          <w:rPr>
            <w:webHidden/>
            <w:lang w:val="en-US"/>
          </w:rPr>
          <w:fldChar w:fldCharType="begin"/>
        </w:r>
        <w:r w:rsidRPr="00914F55">
          <w:rPr>
            <w:webHidden/>
            <w:lang w:val="en-US"/>
          </w:rPr>
          <w:instrText xml:space="preserve"> PAGEREF _Toc471717241 \h </w:instrText>
        </w:r>
        <w:r w:rsidRPr="00914F55">
          <w:rPr>
            <w:webHidden/>
            <w:lang w:val="en-US"/>
          </w:rPr>
        </w:r>
        <w:r w:rsidRPr="00914F55">
          <w:rPr>
            <w:webHidden/>
            <w:lang w:val="en-US"/>
          </w:rPr>
          <w:fldChar w:fldCharType="separate"/>
        </w:r>
        <w:r w:rsidR="00547588">
          <w:rPr>
            <w:webHidden/>
            <w:lang w:val="en-US"/>
          </w:rPr>
          <w:t>7</w:t>
        </w:r>
        <w:r w:rsidRPr="00914F55">
          <w:rPr>
            <w:webHidden/>
            <w:lang w:val="en-US"/>
          </w:rPr>
          <w:fldChar w:fldCharType="end"/>
        </w:r>
      </w:hyperlink>
    </w:p>
    <w:p w14:paraId="50C59803" w14:textId="19AE8D13" w:rsidR="0068755C" w:rsidRPr="00914F55" w:rsidRDefault="007353B6">
      <w:pPr>
        <w:pStyle w:val="TOC2"/>
        <w:rPr>
          <w:rFonts w:asciiTheme="minorHAnsi" w:eastAsiaTheme="minorEastAsia" w:hAnsiTheme="minorHAnsi" w:cstheme="minorBidi"/>
          <w:noProof/>
          <w:sz w:val="18"/>
          <w:szCs w:val="18"/>
          <w:lang w:val="en-US"/>
        </w:rPr>
      </w:pPr>
      <w:hyperlink w:anchor="_Toc471717242" w:history="1">
        <w:r w:rsidR="0068755C" w:rsidRPr="00914F55">
          <w:rPr>
            <w:rStyle w:val="Hyperlink"/>
            <w:noProof/>
            <w:spacing w:val="-4"/>
            <w:sz w:val="18"/>
            <w:szCs w:val="18"/>
            <w:lang w:val="en-US"/>
          </w:rPr>
          <w:t>A.</w:t>
        </w:r>
        <w:r w:rsidR="0068755C" w:rsidRPr="00914F55">
          <w:rPr>
            <w:rFonts w:asciiTheme="minorHAnsi" w:eastAsiaTheme="minorEastAsia" w:hAnsiTheme="minorHAnsi" w:cstheme="minorBidi"/>
            <w:noProof/>
            <w:sz w:val="18"/>
            <w:szCs w:val="18"/>
            <w:lang w:val="en-US"/>
          </w:rPr>
          <w:tab/>
        </w:r>
        <w:r w:rsidR="0068755C" w:rsidRPr="00914F55">
          <w:rPr>
            <w:rStyle w:val="Hyperlink"/>
            <w:noProof/>
            <w:spacing w:val="-4"/>
            <w:sz w:val="18"/>
            <w:szCs w:val="18"/>
            <w:lang w:val="en-US"/>
          </w:rPr>
          <w:t>Arguments of the State and observations of the representatives and the Commission</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_Toc471717242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7</w:t>
        </w:r>
        <w:r w:rsidR="0068755C" w:rsidRPr="00914F55">
          <w:rPr>
            <w:noProof/>
            <w:webHidden/>
            <w:sz w:val="18"/>
            <w:szCs w:val="18"/>
            <w:lang w:val="en-US"/>
          </w:rPr>
          <w:fldChar w:fldCharType="end"/>
        </w:r>
      </w:hyperlink>
    </w:p>
    <w:p w14:paraId="47658D52" w14:textId="5866E239" w:rsidR="0068755C" w:rsidRPr="00914F55" w:rsidRDefault="007353B6">
      <w:pPr>
        <w:pStyle w:val="TOC2"/>
        <w:rPr>
          <w:rFonts w:asciiTheme="minorHAnsi" w:eastAsiaTheme="minorEastAsia" w:hAnsiTheme="minorHAnsi" w:cstheme="minorBidi"/>
          <w:noProof/>
          <w:sz w:val="18"/>
          <w:szCs w:val="18"/>
          <w:lang w:val="en-US"/>
        </w:rPr>
      </w:pPr>
      <w:hyperlink w:anchor="_Toc471717243" w:history="1">
        <w:r w:rsidR="0068755C" w:rsidRPr="00914F55">
          <w:rPr>
            <w:rStyle w:val="Hyperlink"/>
            <w:noProof/>
            <w:spacing w:val="-4"/>
            <w:sz w:val="18"/>
            <w:szCs w:val="18"/>
            <w:lang w:val="en-US"/>
          </w:rPr>
          <w:t>B.</w:t>
        </w:r>
        <w:r w:rsidR="0068755C" w:rsidRPr="00914F55">
          <w:rPr>
            <w:rFonts w:asciiTheme="minorHAnsi" w:eastAsiaTheme="minorEastAsia" w:hAnsiTheme="minorHAnsi" w:cstheme="minorBidi"/>
            <w:noProof/>
            <w:sz w:val="18"/>
            <w:szCs w:val="18"/>
            <w:lang w:val="en-US"/>
          </w:rPr>
          <w:tab/>
        </w:r>
        <w:r w:rsidR="0068755C" w:rsidRPr="00914F55">
          <w:rPr>
            <w:rStyle w:val="Hyperlink"/>
            <w:noProof/>
            <w:spacing w:val="-4"/>
            <w:sz w:val="18"/>
            <w:szCs w:val="18"/>
            <w:lang w:val="en-US"/>
          </w:rPr>
          <w:t>Considerations of the Court</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_Toc471717243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8</w:t>
        </w:r>
        <w:r w:rsidR="0068755C" w:rsidRPr="00914F55">
          <w:rPr>
            <w:noProof/>
            <w:webHidden/>
            <w:sz w:val="18"/>
            <w:szCs w:val="18"/>
            <w:lang w:val="en-US"/>
          </w:rPr>
          <w:fldChar w:fldCharType="end"/>
        </w:r>
      </w:hyperlink>
    </w:p>
    <w:p w14:paraId="6A0DF57E" w14:textId="1E8262F1" w:rsidR="0068755C" w:rsidRPr="00914F55" w:rsidRDefault="0068755C">
      <w:pPr>
        <w:pStyle w:val="TOC1"/>
        <w:rPr>
          <w:rFonts w:asciiTheme="minorHAnsi" w:eastAsiaTheme="minorEastAsia" w:hAnsiTheme="minorHAnsi" w:cstheme="minorBidi"/>
          <w:b w:val="0"/>
          <w:spacing w:val="0"/>
          <w:lang w:val="en-US"/>
        </w:rPr>
      </w:pPr>
      <w:r w:rsidRPr="00914F55">
        <w:rPr>
          <w:rStyle w:val="Hyperlink"/>
          <w:color w:val="auto"/>
          <w:u w:val="none"/>
          <w:lang w:val="en-US"/>
        </w:rPr>
        <w:t xml:space="preserve">V </w:t>
      </w:r>
      <w:hyperlink w:anchor="_Toc471717245" w:history="1">
        <w:r w:rsidRPr="00A50E4D">
          <w:rPr>
            <w:rStyle w:val="Hyperlink"/>
            <w:lang w:val="en-US"/>
          </w:rPr>
          <w:t>EVIDENCE</w:t>
        </w:r>
        <w:r w:rsidRPr="00914F55">
          <w:rPr>
            <w:webHidden/>
            <w:lang w:val="en-US"/>
          </w:rPr>
          <w:tab/>
        </w:r>
        <w:r w:rsidRPr="00914F55">
          <w:rPr>
            <w:webHidden/>
            <w:lang w:val="en-US"/>
          </w:rPr>
          <w:fldChar w:fldCharType="begin"/>
        </w:r>
        <w:r w:rsidRPr="00914F55">
          <w:rPr>
            <w:webHidden/>
            <w:lang w:val="en-US"/>
          </w:rPr>
          <w:instrText xml:space="preserve"> PAGEREF _Toc471717245 \h </w:instrText>
        </w:r>
        <w:r w:rsidRPr="00914F55">
          <w:rPr>
            <w:webHidden/>
            <w:lang w:val="en-US"/>
          </w:rPr>
        </w:r>
        <w:r w:rsidRPr="00914F55">
          <w:rPr>
            <w:webHidden/>
            <w:lang w:val="en-US"/>
          </w:rPr>
          <w:fldChar w:fldCharType="separate"/>
        </w:r>
        <w:r w:rsidR="00547588">
          <w:rPr>
            <w:webHidden/>
            <w:lang w:val="en-US"/>
          </w:rPr>
          <w:t>11</w:t>
        </w:r>
        <w:r w:rsidRPr="00914F55">
          <w:rPr>
            <w:webHidden/>
            <w:lang w:val="en-US"/>
          </w:rPr>
          <w:fldChar w:fldCharType="end"/>
        </w:r>
      </w:hyperlink>
    </w:p>
    <w:p w14:paraId="348FDAF6" w14:textId="0B1A7CB7" w:rsidR="0068755C" w:rsidRPr="00914F55" w:rsidRDefault="007353B6">
      <w:pPr>
        <w:pStyle w:val="TOC2"/>
        <w:rPr>
          <w:rFonts w:asciiTheme="minorHAnsi" w:eastAsiaTheme="minorEastAsia" w:hAnsiTheme="minorHAnsi" w:cstheme="minorBidi"/>
          <w:noProof/>
          <w:sz w:val="18"/>
          <w:szCs w:val="18"/>
          <w:lang w:val="en-US"/>
        </w:rPr>
      </w:pPr>
      <w:hyperlink w:anchor="_Toc471717246" w:history="1">
        <w:r w:rsidR="0068755C" w:rsidRPr="00914F55">
          <w:rPr>
            <w:rStyle w:val="Hyperlink"/>
            <w:noProof/>
            <w:spacing w:val="-4"/>
            <w:sz w:val="18"/>
            <w:szCs w:val="18"/>
            <w:lang w:val="en-US"/>
          </w:rPr>
          <w:t>A. Documentary, testimonial and expert evidence</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_Toc471717246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11</w:t>
        </w:r>
        <w:r w:rsidR="0068755C" w:rsidRPr="00914F55">
          <w:rPr>
            <w:noProof/>
            <w:webHidden/>
            <w:sz w:val="18"/>
            <w:szCs w:val="18"/>
            <w:lang w:val="en-US"/>
          </w:rPr>
          <w:fldChar w:fldCharType="end"/>
        </w:r>
      </w:hyperlink>
    </w:p>
    <w:p w14:paraId="0DCFD055" w14:textId="122F1EB2" w:rsidR="0068755C" w:rsidRPr="00914F55" w:rsidRDefault="007353B6">
      <w:pPr>
        <w:pStyle w:val="TOC2"/>
        <w:rPr>
          <w:rFonts w:asciiTheme="minorHAnsi" w:eastAsiaTheme="minorEastAsia" w:hAnsiTheme="minorHAnsi" w:cstheme="minorBidi"/>
          <w:noProof/>
          <w:sz w:val="18"/>
          <w:szCs w:val="18"/>
          <w:lang w:val="en-US"/>
        </w:rPr>
      </w:pPr>
      <w:hyperlink w:anchor="_Toc471717247" w:history="1">
        <w:r w:rsidR="0068755C" w:rsidRPr="00914F55">
          <w:rPr>
            <w:rStyle w:val="Hyperlink"/>
            <w:noProof/>
            <w:spacing w:val="-4"/>
            <w:sz w:val="18"/>
            <w:szCs w:val="18"/>
            <w:lang w:val="en-US"/>
          </w:rPr>
          <w:t>B. Admission of the evidence</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_Toc471717247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11</w:t>
        </w:r>
        <w:r w:rsidR="0068755C" w:rsidRPr="00914F55">
          <w:rPr>
            <w:noProof/>
            <w:webHidden/>
            <w:sz w:val="18"/>
            <w:szCs w:val="18"/>
            <w:lang w:val="en-US"/>
          </w:rPr>
          <w:fldChar w:fldCharType="end"/>
        </w:r>
      </w:hyperlink>
    </w:p>
    <w:p w14:paraId="787812DC" w14:textId="34B95E91"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248" w:history="1">
        <w:r w:rsidR="0068755C" w:rsidRPr="00914F55">
          <w:rPr>
            <w:rStyle w:val="Hyperlink"/>
            <w:noProof/>
            <w:spacing w:val="-4"/>
            <w:sz w:val="18"/>
            <w:szCs w:val="18"/>
            <w:lang w:val="en-US"/>
          </w:rPr>
          <w:t>B.1) Admission of the documentary evidence</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_Toc471717248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11</w:t>
        </w:r>
        <w:r w:rsidR="0068755C" w:rsidRPr="00914F55">
          <w:rPr>
            <w:noProof/>
            <w:webHidden/>
            <w:sz w:val="18"/>
            <w:szCs w:val="18"/>
            <w:lang w:val="en-US"/>
          </w:rPr>
          <w:fldChar w:fldCharType="end"/>
        </w:r>
      </w:hyperlink>
    </w:p>
    <w:p w14:paraId="317874CA" w14:textId="466DBA97"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249" w:history="1">
        <w:r w:rsidR="0068755C" w:rsidRPr="00914F55">
          <w:rPr>
            <w:rStyle w:val="Hyperlink"/>
            <w:noProof/>
            <w:spacing w:val="-4"/>
            <w:sz w:val="18"/>
            <w:szCs w:val="18"/>
            <w:lang w:val="en-US"/>
          </w:rPr>
          <w:t>B.2) Admission of the testimonial and expert evidence</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_Toc471717249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13</w:t>
        </w:r>
        <w:r w:rsidR="0068755C" w:rsidRPr="00914F55">
          <w:rPr>
            <w:noProof/>
            <w:webHidden/>
            <w:sz w:val="18"/>
            <w:szCs w:val="18"/>
            <w:lang w:val="en-US"/>
          </w:rPr>
          <w:fldChar w:fldCharType="end"/>
        </w:r>
      </w:hyperlink>
    </w:p>
    <w:p w14:paraId="75252E64" w14:textId="7A9C0B7E" w:rsidR="0068755C" w:rsidRPr="00914F55" w:rsidRDefault="007353B6">
      <w:pPr>
        <w:pStyle w:val="TOC2"/>
        <w:rPr>
          <w:rFonts w:asciiTheme="minorHAnsi" w:eastAsiaTheme="minorEastAsia" w:hAnsiTheme="minorHAnsi" w:cstheme="minorBidi"/>
          <w:noProof/>
          <w:sz w:val="18"/>
          <w:szCs w:val="18"/>
          <w:lang w:val="en-US"/>
        </w:rPr>
      </w:pPr>
      <w:hyperlink w:anchor="_Toc471717250" w:history="1">
        <w:r w:rsidR="0068755C" w:rsidRPr="00914F55">
          <w:rPr>
            <w:rStyle w:val="Hyperlink"/>
            <w:noProof/>
            <w:spacing w:val="-4"/>
            <w:sz w:val="18"/>
            <w:szCs w:val="18"/>
            <w:lang w:val="en-US"/>
          </w:rPr>
          <w:t>C. Assessment of the evidence</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_Toc471717250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13</w:t>
        </w:r>
        <w:r w:rsidR="0068755C" w:rsidRPr="00914F55">
          <w:rPr>
            <w:noProof/>
            <w:webHidden/>
            <w:sz w:val="18"/>
            <w:szCs w:val="18"/>
            <w:lang w:val="en-US"/>
          </w:rPr>
          <w:fldChar w:fldCharType="end"/>
        </w:r>
      </w:hyperlink>
    </w:p>
    <w:p w14:paraId="56C76C06" w14:textId="5E215088" w:rsidR="0068755C" w:rsidRPr="00914F55" w:rsidRDefault="0068755C">
      <w:pPr>
        <w:pStyle w:val="TOC1"/>
        <w:rPr>
          <w:rFonts w:asciiTheme="minorHAnsi" w:eastAsiaTheme="minorEastAsia" w:hAnsiTheme="minorHAnsi" w:cstheme="minorBidi"/>
          <w:b w:val="0"/>
          <w:spacing w:val="0"/>
          <w:lang w:val="en-US"/>
        </w:rPr>
      </w:pPr>
      <w:r w:rsidRPr="00914F55">
        <w:rPr>
          <w:rStyle w:val="Hyperlink"/>
          <w:color w:val="auto"/>
          <w:u w:val="none"/>
          <w:lang w:val="en-US"/>
        </w:rPr>
        <w:t xml:space="preserve">VI </w:t>
      </w:r>
      <w:hyperlink w:anchor="_Toc471717252" w:history="1">
        <w:r w:rsidRPr="00A50E4D">
          <w:rPr>
            <w:rStyle w:val="Hyperlink"/>
            <w:lang w:val="en-US"/>
          </w:rPr>
          <w:t>PROVEN FACTS</w:t>
        </w:r>
        <w:r w:rsidRPr="00914F55">
          <w:rPr>
            <w:webHidden/>
            <w:lang w:val="en-US"/>
          </w:rPr>
          <w:tab/>
        </w:r>
        <w:r w:rsidRPr="00914F55">
          <w:rPr>
            <w:webHidden/>
            <w:lang w:val="en-US"/>
          </w:rPr>
          <w:fldChar w:fldCharType="begin"/>
        </w:r>
        <w:r w:rsidRPr="00914F55">
          <w:rPr>
            <w:webHidden/>
            <w:lang w:val="en-US"/>
          </w:rPr>
          <w:instrText xml:space="preserve"> PAGEREF _Toc471717252 \h </w:instrText>
        </w:r>
        <w:r w:rsidRPr="00914F55">
          <w:rPr>
            <w:webHidden/>
            <w:lang w:val="en-US"/>
          </w:rPr>
        </w:r>
        <w:r w:rsidRPr="00914F55">
          <w:rPr>
            <w:webHidden/>
            <w:lang w:val="en-US"/>
          </w:rPr>
          <w:fldChar w:fldCharType="separate"/>
        </w:r>
        <w:r w:rsidR="00547588">
          <w:rPr>
            <w:webHidden/>
            <w:lang w:val="en-US"/>
          </w:rPr>
          <w:t>14</w:t>
        </w:r>
        <w:r w:rsidRPr="00914F55">
          <w:rPr>
            <w:webHidden/>
            <w:lang w:val="en-US"/>
          </w:rPr>
          <w:fldChar w:fldCharType="end"/>
        </w:r>
      </w:hyperlink>
    </w:p>
    <w:p w14:paraId="3B87FB58" w14:textId="3F1B4793" w:rsidR="0068755C" w:rsidRPr="00914F55" w:rsidRDefault="007353B6">
      <w:pPr>
        <w:pStyle w:val="TOC2"/>
        <w:rPr>
          <w:rFonts w:asciiTheme="minorHAnsi" w:eastAsiaTheme="minorEastAsia" w:hAnsiTheme="minorHAnsi" w:cstheme="minorBidi"/>
          <w:noProof/>
          <w:sz w:val="18"/>
          <w:szCs w:val="18"/>
          <w:lang w:val="en-US"/>
        </w:rPr>
      </w:pPr>
      <w:hyperlink w:anchor="_Toc471717253" w:history="1">
        <w:r w:rsidR="0068755C" w:rsidRPr="00914F55">
          <w:rPr>
            <w:rStyle w:val="Hyperlink"/>
            <w:noProof/>
            <w:spacing w:val="-4"/>
            <w:sz w:val="18"/>
            <w:szCs w:val="18"/>
            <w:lang w:val="en-US"/>
          </w:rPr>
          <w:t>A. Context</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_Toc471717253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14</w:t>
        </w:r>
        <w:r w:rsidR="0068755C" w:rsidRPr="00914F55">
          <w:rPr>
            <w:noProof/>
            <w:webHidden/>
            <w:sz w:val="18"/>
            <w:szCs w:val="18"/>
            <w:lang w:val="en-US"/>
          </w:rPr>
          <w:fldChar w:fldCharType="end"/>
        </w:r>
      </w:hyperlink>
    </w:p>
    <w:p w14:paraId="6AC23EA6" w14:textId="1495A7E6"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254" w:history="1">
        <w:r w:rsidR="0068755C" w:rsidRPr="00914F55">
          <w:rPr>
            <w:rStyle w:val="Hyperlink"/>
            <w:noProof/>
            <w:spacing w:val="-4"/>
            <w:sz w:val="18"/>
            <w:szCs w:val="18"/>
            <w:lang w:val="en-US"/>
          </w:rPr>
          <w:t xml:space="preserve">A.1) The </w:t>
        </w:r>
        <w:r w:rsidR="0068755C" w:rsidRPr="00914F55">
          <w:rPr>
            <w:rStyle w:val="Hyperlink"/>
            <w:i/>
            <w:noProof/>
            <w:spacing w:val="-4"/>
            <w:sz w:val="18"/>
            <w:szCs w:val="18"/>
            <w:lang w:val="en-US"/>
          </w:rPr>
          <w:t>coup d’état</w:t>
        </w:r>
        <w:r w:rsidR="0068755C" w:rsidRPr="00914F55">
          <w:rPr>
            <w:rStyle w:val="Hyperlink"/>
            <w:noProof/>
            <w:spacing w:val="-4"/>
            <w:sz w:val="18"/>
            <w:szCs w:val="18"/>
            <w:lang w:val="en-US"/>
          </w:rPr>
          <w:t xml:space="preserve"> in Honduras</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_Toc471717254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15</w:t>
        </w:r>
        <w:r w:rsidR="0068755C" w:rsidRPr="00914F55">
          <w:rPr>
            <w:noProof/>
            <w:webHidden/>
            <w:sz w:val="18"/>
            <w:szCs w:val="18"/>
            <w:lang w:val="en-US"/>
          </w:rPr>
          <w:fldChar w:fldCharType="end"/>
        </w:r>
      </w:hyperlink>
    </w:p>
    <w:p w14:paraId="38EA64C9" w14:textId="4C56DFB2"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255" w:history="1">
        <w:r w:rsidR="0068755C" w:rsidRPr="00914F55">
          <w:rPr>
            <w:rStyle w:val="Hyperlink"/>
            <w:noProof/>
            <w:sz w:val="18"/>
            <w:szCs w:val="18"/>
            <w:lang w:val="en-US"/>
          </w:rPr>
          <w:t xml:space="preserve">A.2) The international reaction to the </w:t>
        </w:r>
        <w:r w:rsidR="0068755C" w:rsidRPr="00914F55">
          <w:rPr>
            <w:rStyle w:val="Hyperlink"/>
            <w:i/>
            <w:noProof/>
            <w:sz w:val="18"/>
            <w:szCs w:val="18"/>
            <w:lang w:val="en-US"/>
          </w:rPr>
          <w:t>coup d’état</w:t>
        </w:r>
        <w:r w:rsidR="0068755C" w:rsidRPr="00914F55">
          <w:rPr>
            <w:rStyle w:val="Hyperlink"/>
            <w:noProof/>
            <w:sz w:val="18"/>
            <w:szCs w:val="18"/>
            <w:lang w:val="en-US"/>
          </w:rPr>
          <w:t xml:space="preserve"> and the actions taken by the OAS</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_Toc471717255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17</w:t>
        </w:r>
        <w:r w:rsidR="0068755C" w:rsidRPr="00914F55">
          <w:rPr>
            <w:noProof/>
            <w:webHidden/>
            <w:sz w:val="18"/>
            <w:szCs w:val="18"/>
            <w:lang w:val="en-US"/>
          </w:rPr>
          <w:fldChar w:fldCharType="end"/>
        </w:r>
      </w:hyperlink>
    </w:p>
    <w:p w14:paraId="13293DE0" w14:textId="3BD091E5"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256" w:history="1">
        <w:r w:rsidR="0068755C" w:rsidRPr="00914F55">
          <w:rPr>
            <w:rStyle w:val="Hyperlink"/>
            <w:noProof/>
            <w:spacing w:val="-4"/>
            <w:sz w:val="18"/>
            <w:szCs w:val="18"/>
            <w:lang w:val="en-US"/>
          </w:rPr>
          <w:t>A.3) The position of the Supreme Court of Justice</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_Toc471717256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20</w:t>
        </w:r>
        <w:r w:rsidR="0068755C" w:rsidRPr="00914F55">
          <w:rPr>
            <w:noProof/>
            <w:webHidden/>
            <w:sz w:val="18"/>
            <w:szCs w:val="18"/>
            <w:lang w:val="en-US"/>
          </w:rPr>
          <w:fldChar w:fldCharType="end"/>
        </w:r>
      </w:hyperlink>
    </w:p>
    <w:p w14:paraId="30377F76" w14:textId="4B79DD0D"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257" w:history="1">
        <w:r w:rsidR="0068755C" w:rsidRPr="00914F55">
          <w:rPr>
            <w:rStyle w:val="Hyperlink"/>
            <w:noProof/>
            <w:spacing w:val="-4"/>
            <w:sz w:val="18"/>
            <w:szCs w:val="18"/>
            <w:lang w:val="en-US"/>
          </w:rPr>
          <w:t>A.4) The Association of Judges for Democracy (AJD)</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_Toc471717257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22</w:t>
        </w:r>
        <w:r w:rsidR="0068755C" w:rsidRPr="00914F55">
          <w:rPr>
            <w:noProof/>
            <w:webHidden/>
            <w:sz w:val="18"/>
            <w:szCs w:val="18"/>
            <w:lang w:val="en-US"/>
          </w:rPr>
          <w:fldChar w:fldCharType="end"/>
        </w:r>
      </w:hyperlink>
    </w:p>
    <w:p w14:paraId="5C219779" w14:textId="1D2213EA" w:rsidR="0068755C" w:rsidRPr="00914F55" w:rsidRDefault="007353B6">
      <w:pPr>
        <w:pStyle w:val="TOC2"/>
        <w:rPr>
          <w:rFonts w:asciiTheme="minorHAnsi" w:eastAsiaTheme="minorEastAsia" w:hAnsiTheme="minorHAnsi" w:cstheme="minorBidi"/>
          <w:noProof/>
          <w:sz w:val="18"/>
          <w:szCs w:val="18"/>
          <w:lang w:val="en-US"/>
        </w:rPr>
      </w:pPr>
      <w:hyperlink w:anchor="_Toc471717258" w:history="1">
        <w:r w:rsidR="0068755C" w:rsidRPr="00914F55">
          <w:rPr>
            <w:rStyle w:val="Hyperlink"/>
            <w:noProof/>
            <w:sz w:val="18"/>
            <w:szCs w:val="18"/>
            <w:lang w:val="en-US"/>
          </w:rPr>
          <w:t>B) Legal framework</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_Toc471717258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22</w:t>
        </w:r>
        <w:r w:rsidR="0068755C" w:rsidRPr="00914F55">
          <w:rPr>
            <w:noProof/>
            <w:webHidden/>
            <w:sz w:val="18"/>
            <w:szCs w:val="18"/>
            <w:lang w:val="en-US"/>
          </w:rPr>
          <w:fldChar w:fldCharType="end"/>
        </w:r>
      </w:hyperlink>
    </w:p>
    <w:p w14:paraId="0FBCF359" w14:textId="3F62C9D4"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259" w:history="1">
        <w:r w:rsidR="0068755C" w:rsidRPr="00914F55">
          <w:rPr>
            <w:rStyle w:val="Hyperlink"/>
            <w:noProof/>
            <w:sz w:val="18"/>
            <w:szCs w:val="18"/>
            <w:lang w:val="en-US"/>
          </w:rPr>
          <w:t>B.1) Rights and duties of judges and incompatibilities with the office</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_Toc471717259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23</w:t>
        </w:r>
        <w:r w:rsidR="0068755C" w:rsidRPr="00914F55">
          <w:rPr>
            <w:noProof/>
            <w:webHidden/>
            <w:sz w:val="18"/>
            <w:szCs w:val="18"/>
            <w:lang w:val="en-US"/>
          </w:rPr>
          <w:fldChar w:fldCharType="end"/>
        </w:r>
      </w:hyperlink>
    </w:p>
    <w:p w14:paraId="5ED05082" w14:textId="4BE5B157"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260" w:history="1">
        <w:r w:rsidR="0068755C" w:rsidRPr="00914F55">
          <w:rPr>
            <w:rStyle w:val="Hyperlink"/>
            <w:noProof/>
            <w:sz w:val="18"/>
            <w:szCs w:val="18"/>
            <w:lang w:val="en-US"/>
          </w:rPr>
          <w:t>B.2) Competent organs and disciplinary proceedings against judges in Honduras</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_Toc471717260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26</w:t>
        </w:r>
        <w:r w:rsidR="0068755C" w:rsidRPr="00914F55">
          <w:rPr>
            <w:noProof/>
            <w:webHidden/>
            <w:sz w:val="18"/>
            <w:szCs w:val="18"/>
            <w:lang w:val="en-US"/>
          </w:rPr>
          <w:fldChar w:fldCharType="end"/>
        </w:r>
      </w:hyperlink>
    </w:p>
    <w:p w14:paraId="78AD6763" w14:textId="45D142F4"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261" w:history="1">
        <w:r w:rsidR="0068755C" w:rsidRPr="00914F55">
          <w:rPr>
            <w:rStyle w:val="Hyperlink"/>
            <w:noProof/>
            <w:sz w:val="18"/>
            <w:szCs w:val="18"/>
            <w:lang w:val="en-US"/>
          </w:rPr>
          <w:t>B.3) The proceeding for removing judges in Honduras</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_Toc471717261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27</w:t>
        </w:r>
        <w:r w:rsidR="0068755C" w:rsidRPr="00914F55">
          <w:rPr>
            <w:noProof/>
            <w:webHidden/>
            <w:sz w:val="18"/>
            <w:szCs w:val="18"/>
            <w:lang w:val="en-US"/>
          </w:rPr>
          <w:fldChar w:fldCharType="end"/>
        </w:r>
      </w:hyperlink>
    </w:p>
    <w:p w14:paraId="2F642AD7" w14:textId="08025725" w:rsidR="0068755C" w:rsidRPr="00914F55" w:rsidRDefault="007353B6">
      <w:pPr>
        <w:pStyle w:val="TOC2"/>
        <w:rPr>
          <w:rFonts w:asciiTheme="minorHAnsi" w:eastAsiaTheme="minorEastAsia" w:hAnsiTheme="minorHAnsi" w:cstheme="minorBidi"/>
          <w:noProof/>
          <w:sz w:val="18"/>
          <w:szCs w:val="18"/>
          <w:lang w:val="en-US"/>
        </w:rPr>
      </w:pPr>
      <w:hyperlink w:anchor="_Toc471717262" w:history="1">
        <w:r w:rsidR="0068755C" w:rsidRPr="00914F55">
          <w:rPr>
            <w:rStyle w:val="Hyperlink"/>
            <w:noProof/>
            <w:spacing w:val="-4"/>
            <w:sz w:val="18"/>
            <w:szCs w:val="18"/>
            <w:lang w:val="en-US"/>
          </w:rPr>
          <w:t>C. The disciplinary proceedings against the presumed victims</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_Toc471717262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28</w:t>
        </w:r>
        <w:r w:rsidR="0068755C" w:rsidRPr="00914F55">
          <w:rPr>
            <w:noProof/>
            <w:webHidden/>
            <w:sz w:val="18"/>
            <w:szCs w:val="18"/>
            <w:lang w:val="en-US"/>
          </w:rPr>
          <w:fldChar w:fldCharType="end"/>
        </w:r>
      </w:hyperlink>
    </w:p>
    <w:p w14:paraId="30CC46E9" w14:textId="5CD5EB60"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263" w:history="1">
        <w:r w:rsidR="0068755C" w:rsidRPr="00914F55">
          <w:rPr>
            <w:rStyle w:val="Hyperlink"/>
            <w:noProof/>
            <w:spacing w:val="-4"/>
            <w:sz w:val="18"/>
            <w:szCs w:val="18"/>
            <w:lang w:val="en-US"/>
          </w:rPr>
          <w:t>C.1) Adán Guillermo López Lone</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_Toc471717263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28</w:t>
        </w:r>
        <w:r w:rsidR="0068755C" w:rsidRPr="00914F55">
          <w:rPr>
            <w:noProof/>
            <w:webHidden/>
            <w:sz w:val="18"/>
            <w:szCs w:val="18"/>
            <w:lang w:val="en-US"/>
          </w:rPr>
          <w:fldChar w:fldCharType="end"/>
        </w:r>
      </w:hyperlink>
    </w:p>
    <w:p w14:paraId="27C91317" w14:textId="15B39FEA"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264" w:history="1">
        <w:r w:rsidR="0068755C" w:rsidRPr="00914F55">
          <w:rPr>
            <w:rStyle w:val="Hyperlink"/>
            <w:noProof/>
            <w:spacing w:val="-4"/>
            <w:sz w:val="18"/>
            <w:szCs w:val="18"/>
            <w:lang w:val="en-US"/>
          </w:rPr>
          <w:t>C.2) Tirza del Carmen Flores Lanza</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_Toc471717264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34</w:t>
        </w:r>
        <w:r w:rsidR="0068755C" w:rsidRPr="00914F55">
          <w:rPr>
            <w:noProof/>
            <w:webHidden/>
            <w:sz w:val="18"/>
            <w:szCs w:val="18"/>
            <w:lang w:val="en-US"/>
          </w:rPr>
          <w:fldChar w:fldCharType="end"/>
        </w:r>
      </w:hyperlink>
    </w:p>
    <w:p w14:paraId="67EE26E7" w14:textId="270A85E9"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265" w:history="1">
        <w:r w:rsidR="0068755C" w:rsidRPr="00914F55">
          <w:rPr>
            <w:rStyle w:val="Hyperlink"/>
            <w:noProof/>
            <w:spacing w:val="-4"/>
            <w:sz w:val="18"/>
            <w:szCs w:val="18"/>
            <w:lang w:val="en-US"/>
          </w:rPr>
          <w:t>C.3) Luis Alonso Chévez de la Rocha</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_Toc471717265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39</w:t>
        </w:r>
        <w:r w:rsidR="0068755C" w:rsidRPr="00914F55">
          <w:rPr>
            <w:noProof/>
            <w:webHidden/>
            <w:sz w:val="18"/>
            <w:szCs w:val="18"/>
            <w:lang w:val="en-US"/>
          </w:rPr>
          <w:fldChar w:fldCharType="end"/>
        </w:r>
      </w:hyperlink>
    </w:p>
    <w:p w14:paraId="36576C0C" w14:textId="59C0146F"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266" w:history="1">
        <w:r w:rsidR="0068755C" w:rsidRPr="00914F55">
          <w:rPr>
            <w:rStyle w:val="Hyperlink"/>
            <w:noProof/>
            <w:spacing w:val="-4"/>
            <w:sz w:val="18"/>
            <w:szCs w:val="18"/>
            <w:lang w:val="en-US"/>
          </w:rPr>
          <w:t>C.4) Ramón Enrique Barrios Maldonado</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_Toc471717266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44</w:t>
        </w:r>
        <w:r w:rsidR="0068755C" w:rsidRPr="00914F55">
          <w:rPr>
            <w:noProof/>
            <w:webHidden/>
            <w:sz w:val="18"/>
            <w:szCs w:val="18"/>
            <w:lang w:val="en-US"/>
          </w:rPr>
          <w:fldChar w:fldCharType="end"/>
        </w:r>
      </w:hyperlink>
    </w:p>
    <w:p w14:paraId="6325EA52" w14:textId="092C2CC5" w:rsidR="0068755C" w:rsidRPr="00914F55" w:rsidRDefault="0068755C">
      <w:pPr>
        <w:pStyle w:val="TOC1"/>
        <w:rPr>
          <w:rFonts w:asciiTheme="minorHAnsi" w:eastAsiaTheme="minorEastAsia" w:hAnsiTheme="minorHAnsi" w:cstheme="minorBidi"/>
          <w:b w:val="0"/>
          <w:spacing w:val="0"/>
          <w:lang w:val="en-US"/>
        </w:rPr>
      </w:pPr>
      <w:r w:rsidRPr="00914F55">
        <w:rPr>
          <w:rStyle w:val="Hyperlink"/>
          <w:color w:val="auto"/>
          <w:u w:val="none"/>
          <w:lang w:val="en-US"/>
        </w:rPr>
        <w:t xml:space="preserve">VII </w:t>
      </w:r>
      <w:hyperlink w:anchor="_Toc471717268" w:history="1">
        <w:r w:rsidRPr="00A50E4D">
          <w:rPr>
            <w:rStyle w:val="Hyperlink"/>
            <w:lang w:val="en-US"/>
          </w:rPr>
          <w:t>MERITS</w:t>
        </w:r>
        <w:r w:rsidRPr="00914F55">
          <w:rPr>
            <w:webHidden/>
            <w:lang w:val="en-US"/>
          </w:rPr>
          <w:tab/>
        </w:r>
        <w:r w:rsidRPr="00914F55">
          <w:rPr>
            <w:webHidden/>
            <w:lang w:val="en-US"/>
          </w:rPr>
          <w:fldChar w:fldCharType="begin"/>
        </w:r>
        <w:r w:rsidRPr="00914F55">
          <w:rPr>
            <w:webHidden/>
            <w:lang w:val="en-US"/>
          </w:rPr>
          <w:instrText xml:space="preserve"> PAGEREF _Toc471717268 \h </w:instrText>
        </w:r>
        <w:r w:rsidRPr="00914F55">
          <w:rPr>
            <w:webHidden/>
            <w:lang w:val="en-US"/>
          </w:rPr>
        </w:r>
        <w:r w:rsidRPr="00914F55">
          <w:rPr>
            <w:webHidden/>
            <w:lang w:val="en-US"/>
          </w:rPr>
          <w:fldChar w:fldCharType="separate"/>
        </w:r>
        <w:r w:rsidR="00547588">
          <w:rPr>
            <w:webHidden/>
            <w:lang w:val="en-US"/>
          </w:rPr>
          <w:t>48</w:t>
        </w:r>
        <w:r w:rsidRPr="00914F55">
          <w:rPr>
            <w:webHidden/>
            <w:lang w:val="en-US"/>
          </w:rPr>
          <w:fldChar w:fldCharType="end"/>
        </w:r>
      </w:hyperlink>
    </w:p>
    <w:p w14:paraId="1EF335A4" w14:textId="5F7EF5C4" w:rsidR="0068755C" w:rsidRPr="00914F55" w:rsidRDefault="0068755C">
      <w:pPr>
        <w:pStyle w:val="TOC1"/>
        <w:rPr>
          <w:rFonts w:asciiTheme="minorHAnsi" w:eastAsiaTheme="minorEastAsia" w:hAnsiTheme="minorHAnsi" w:cstheme="minorBidi"/>
          <w:b w:val="0"/>
          <w:spacing w:val="0"/>
          <w:lang w:val="en-US"/>
        </w:rPr>
      </w:pPr>
      <w:r w:rsidRPr="00914F55">
        <w:rPr>
          <w:rStyle w:val="Hyperlink"/>
          <w:color w:val="auto"/>
          <w:u w:val="none"/>
          <w:lang w:val="en-US"/>
        </w:rPr>
        <w:t xml:space="preserve">VII-1 </w:t>
      </w:r>
      <w:hyperlink w:anchor="_Toc471717270" w:history="1">
        <w:r w:rsidRPr="00A50E4D">
          <w:rPr>
            <w:rStyle w:val="Hyperlink"/>
            <w:lang w:val="en-US"/>
          </w:rPr>
          <w:t>POLITICAL RIGHTS, FREEDOM OF EXPRESSION, THE RIGHT OF ASSEMBLY AND FREEDOM OF ASSOCIATION, IN RELATION TO THE OBLIGATION TO RESPECT AND ENSURE RIGHTS AND THE OBLIGATION TO ADOPT DOMESTIC LEGAL PROVISIONS</w:t>
        </w:r>
        <w:r w:rsidRPr="00914F55">
          <w:rPr>
            <w:webHidden/>
            <w:lang w:val="en-US"/>
          </w:rPr>
          <w:tab/>
        </w:r>
        <w:r w:rsidRPr="00914F55">
          <w:rPr>
            <w:webHidden/>
            <w:lang w:val="en-US"/>
          </w:rPr>
          <w:fldChar w:fldCharType="begin"/>
        </w:r>
        <w:r w:rsidRPr="00914F55">
          <w:rPr>
            <w:webHidden/>
            <w:lang w:val="en-US"/>
          </w:rPr>
          <w:instrText xml:space="preserve"> PAGEREF _Toc471717270 \h </w:instrText>
        </w:r>
        <w:r w:rsidRPr="00914F55">
          <w:rPr>
            <w:webHidden/>
            <w:lang w:val="en-US"/>
          </w:rPr>
        </w:r>
        <w:r w:rsidRPr="00914F55">
          <w:rPr>
            <w:webHidden/>
            <w:lang w:val="en-US"/>
          </w:rPr>
          <w:fldChar w:fldCharType="separate"/>
        </w:r>
        <w:r w:rsidR="00547588">
          <w:rPr>
            <w:webHidden/>
            <w:lang w:val="en-US"/>
          </w:rPr>
          <w:t>51</w:t>
        </w:r>
        <w:r w:rsidRPr="00914F55">
          <w:rPr>
            <w:webHidden/>
            <w:lang w:val="en-US"/>
          </w:rPr>
          <w:fldChar w:fldCharType="end"/>
        </w:r>
      </w:hyperlink>
    </w:p>
    <w:p w14:paraId="735D8ECB" w14:textId="24A74030" w:rsidR="0068755C" w:rsidRPr="00914F55" w:rsidRDefault="007353B6">
      <w:pPr>
        <w:pStyle w:val="TOC2"/>
        <w:rPr>
          <w:rFonts w:asciiTheme="minorHAnsi" w:eastAsiaTheme="minorEastAsia" w:hAnsiTheme="minorHAnsi" w:cstheme="minorBidi"/>
          <w:noProof/>
          <w:sz w:val="18"/>
          <w:szCs w:val="18"/>
          <w:lang w:val="en-US"/>
        </w:rPr>
      </w:pPr>
      <w:hyperlink w:anchor="_Toc471717271" w:history="1">
        <w:r w:rsidR="0068755C" w:rsidRPr="00914F55">
          <w:rPr>
            <w:rStyle w:val="Hyperlink"/>
            <w:noProof/>
            <w:spacing w:val="-4"/>
            <w:sz w:val="18"/>
            <w:szCs w:val="18"/>
            <w:lang w:val="en-US"/>
          </w:rPr>
          <w:t>A. Arguments of the Commission and of the parties</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_Toc471717271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52</w:t>
        </w:r>
        <w:r w:rsidR="0068755C" w:rsidRPr="00914F55">
          <w:rPr>
            <w:noProof/>
            <w:webHidden/>
            <w:sz w:val="18"/>
            <w:szCs w:val="18"/>
            <w:lang w:val="en-US"/>
          </w:rPr>
          <w:fldChar w:fldCharType="end"/>
        </w:r>
      </w:hyperlink>
    </w:p>
    <w:p w14:paraId="673C071E" w14:textId="3F563F10" w:rsidR="0068755C" w:rsidRPr="00914F55" w:rsidRDefault="007353B6">
      <w:pPr>
        <w:pStyle w:val="TOC2"/>
        <w:rPr>
          <w:rFonts w:asciiTheme="minorHAnsi" w:eastAsiaTheme="minorEastAsia" w:hAnsiTheme="minorHAnsi" w:cstheme="minorBidi"/>
          <w:noProof/>
          <w:sz w:val="18"/>
          <w:szCs w:val="18"/>
          <w:lang w:val="en-US"/>
        </w:rPr>
      </w:pPr>
      <w:hyperlink w:anchor="_Toc471717272" w:history="1">
        <w:r w:rsidR="0068755C" w:rsidRPr="00914F55">
          <w:rPr>
            <w:rStyle w:val="Hyperlink"/>
            <w:noProof/>
            <w:spacing w:val="-4"/>
            <w:sz w:val="18"/>
            <w:szCs w:val="18"/>
            <w:lang w:val="en-US"/>
          </w:rPr>
          <w:t>B. Considerations of the Court</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_Toc471717272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53</w:t>
        </w:r>
        <w:r w:rsidR="0068755C" w:rsidRPr="00914F55">
          <w:rPr>
            <w:noProof/>
            <w:webHidden/>
            <w:sz w:val="18"/>
            <w:szCs w:val="18"/>
            <w:lang w:val="en-US"/>
          </w:rPr>
          <w:fldChar w:fldCharType="end"/>
        </w:r>
      </w:hyperlink>
    </w:p>
    <w:p w14:paraId="04E9F008" w14:textId="6ABE298B"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273" w:history="1">
        <w:r w:rsidR="0068755C" w:rsidRPr="00914F55">
          <w:rPr>
            <w:rStyle w:val="Hyperlink"/>
            <w:noProof/>
            <w:spacing w:val="-4"/>
            <w:sz w:val="18"/>
            <w:szCs w:val="18"/>
            <w:lang w:val="en-US"/>
          </w:rPr>
          <w:t>B.1) Adán Guillermo López Lone</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_Toc471717273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58</w:t>
        </w:r>
        <w:r w:rsidR="0068755C" w:rsidRPr="00914F55">
          <w:rPr>
            <w:noProof/>
            <w:webHidden/>
            <w:sz w:val="18"/>
            <w:szCs w:val="18"/>
            <w:lang w:val="en-US"/>
          </w:rPr>
          <w:fldChar w:fldCharType="end"/>
        </w:r>
      </w:hyperlink>
    </w:p>
    <w:p w14:paraId="1DAA0620" w14:textId="1C4CA672"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274" w:history="1">
        <w:r w:rsidR="0068755C" w:rsidRPr="00914F55">
          <w:rPr>
            <w:rStyle w:val="Hyperlink"/>
            <w:noProof/>
            <w:spacing w:val="-4"/>
            <w:sz w:val="18"/>
            <w:szCs w:val="18"/>
            <w:lang w:val="en-US"/>
          </w:rPr>
          <w:t>B.2) Luis Alonso Chévez de la Rocha</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_Toc471717274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59</w:t>
        </w:r>
        <w:r w:rsidR="0068755C" w:rsidRPr="00914F55">
          <w:rPr>
            <w:noProof/>
            <w:webHidden/>
            <w:sz w:val="18"/>
            <w:szCs w:val="18"/>
            <w:lang w:val="en-US"/>
          </w:rPr>
          <w:fldChar w:fldCharType="end"/>
        </w:r>
      </w:hyperlink>
    </w:p>
    <w:p w14:paraId="1EB9BB57" w14:textId="439A1AF0"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275" w:history="1">
        <w:r w:rsidR="0068755C" w:rsidRPr="00914F55">
          <w:rPr>
            <w:rStyle w:val="Hyperlink"/>
            <w:noProof/>
            <w:spacing w:val="-4"/>
            <w:sz w:val="18"/>
            <w:szCs w:val="18"/>
            <w:lang w:val="en-US"/>
          </w:rPr>
          <w:t>B.3) Tirza del Carmen Flores Lanza</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_Toc471717275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59</w:t>
        </w:r>
        <w:r w:rsidR="0068755C" w:rsidRPr="00914F55">
          <w:rPr>
            <w:noProof/>
            <w:webHidden/>
            <w:sz w:val="18"/>
            <w:szCs w:val="18"/>
            <w:lang w:val="en-US"/>
          </w:rPr>
          <w:fldChar w:fldCharType="end"/>
        </w:r>
      </w:hyperlink>
    </w:p>
    <w:p w14:paraId="5654B78B" w14:textId="0A083385"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276" w:history="1">
        <w:r w:rsidR="0068755C" w:rsidRPr="00914F55">
          <w:rPr>
            <w:rStyle w:val="Hyperlink"/>
            <w:noProof/>
            <w:spacing w:val="-4"/>
            <w:sz w:val="18"/>
            <w:szCs w:val="18"/>
            <w:lang w:val="en-US"/>
          </w:rPr>
          <w:t>B.4) Ramón Enrique Barrios Maldonado</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_Toc471717276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60</w:t>
        </w:r>
        <w:r w:rsidR="0068755C" w:rsidRPr="00914F55">
          <w:rPr>
            <w:noProof/>
            <w:webHidden/>
            <w:sz w:val="18"/>
            <w:szCs w:val="18"/>
            <w:lang w:val="en-US"/>
          </w:rPr>
          <w:fldChar w:fldCharType="end"/>
        </w:r>
      </w:hyperlink>
    </w:p>
    <w:p w14:paraId="0B123F84" w14:textId="77AD2FFB" w:rsidR="0068755C" w:rsidRPr="00914F55" w:rsidRDefault="007353B6">
      <w:pPr>
        <w:pStyle w:val="TOC2"/>
        <w:rPr>
          <w:rFonts w:asciiTheme="minorHAnsi" w:eastAsiaTheme="minorEastAsia" w:hAnsiTheme="minorHAnsi" w:cstheme="minorBidi"/>
          <w:noProof/>
          <w:sz w:val="18"/>
          <w:szCs w:val="18"/>
          <w:lang w:val="en-US"/>
        </w:rPr>
      </w:pPr>
      <w:hyperlink w:anchor="_Toc471717277" w:history="1">
        <w:r w:rsidR="0068755C" w:rsidRPr="00914F55">
          <w:rPr>
            <w:rStyle w:val="Hyperlink"/>
            <w:noProof/>
            <w:spacing w:val="-4"/>
            <w:sz w:val="18"/>
            <w:szCs w:val="18"/>
            <w:lang w:val="en-US"/>
          </w:rPr>
          <w:t>C.</w:t>
        </w:r>
        <w:r w:rsidR="0068755C" w:rsidRPr="00914F55">
          <w:rPr>
            <w:rFonts w:asciiTheme="minorHAnsi" w:eastAsiaTheme="minorEastAsia" w:hAnsiTheme="minorHAnsi" w:cstheme="minorBidi"/>
            <w:noProof/>
            <w:sz w:val="18"/>
            <w:szCs w:val="18"/>
            <w:lang w:val="en-US"/>
          </w:rPr>
          <w:tab/>
        </w:r>
        <w:r w:rsidR="0068755C" w:rsidRPr="00914F55">
          <w:rPr>
            <w:rStyle w:val="Hyperlink"/>
            <w:noProof/>
            <w:spacing w:val="-4"/>
            <w:sz w:val="18"/>
            <w:szCs w:val="18"/>
            <w:lang w:val="en-US"/>
          </w:rPr>
          <w:t>Freedom of association and alleged indirect violation of freedom of expression</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_Toc471717277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61</w:t>
        </w:r>
        <w:r w:rsidR="0068755C" w:rsidRPr="00914F55">
          <w:rPr>
            <w:noProof/>
            <w:webHidden/>
            <w:sz w:val="18"/>
            <w:szCs w:val="18"/>
            <w:lang w:val="en-US"/>
          </w:rPr>
          <w:fldChar w:fldCharType="end"/>
        </w:r>
      </w:hyperlink>
    </w:p>
    <w:p w14:paraId="762FEF08" w14:textId="64C428EA" w:rsidR="0068755C" w:rsidRPr="00914F55" w:rsidRDefault="0068755C">
      <w:pPr>
        <w:pStyle w:val="TOC1"/>
        <w:rPr>
          <w:rFonts w:asciiTheme="minorHAnsi" w:eastAsiaTheme="minorEastAsia" w:hAnsiTheme="minorHAnsi" w:cstheme="minorBidi"/>
          <w:b w:val="0"/>
          <w:spacing w:val="0"/>
          <w:lang w:val="en-US"/>
        </w:rPr>
      </w:pPr>
      <w:r w:rsidRPr="00914F55">
        <w:rPr>
          <w:rStyle w:val="Hyperlink"/>
          <w:color w:val="auto"/>
          <w:u w:val="none"/>
          <w:lang w:val="en-US"/>
        </w:rPr>
        <w:t>VII-2</w:t>
      </w:r>
      <w:r w:rsidRPr="00914F55">
        <w:rPr>
          <w:rStyle w:val="Hyperlink"/>
          <w:u w:val="none"/>
          <w:lang w:val="en-US"/>
        </w:rPr>
        <w:t xml:space="preserve"> </w:t>
      </w:r>
      <w:hyperlink w:anchor="_Toc471717279" w:history="1">
        <w:r w:rsidRPr="00A50E4D">
          <w:rPr>
            <w:rStyle w:val="Hyperlink"/>
            <w:lang w:val="en-US"/>
          </w:rPr>
          <w:t>JUDICIAL GUARANTEES, JUDICIAL PROTECTION AND POLITICAL RIGHTS, IN RELATION TO THE OBLIGATION TO RESPECT AND ENSURE RIGHTS AND THE OBLIGATION TO ADOPT DOMESTIC LEGAL PROVISIONS</w:t>
        </w:r>
        <w:r w:rsidRPr="00914F55">
          <w:rPr>
            <w:webHidden/>
            <w:lang w:val="en-US"/>
          </w:rPr>
          <w:tab/>
        </w:r>
        <w:r w:rsidRPr="00914F55">
          <w:rPr>
            <w:webHidden/>
            <w:lang w:val="en-US"/>
          </w:rPr>
          <w:fldChar w:fldCharType="begin"/>
        </w:r>
        <w:r w:rsidRPr="00914F55">
          <w:rPr>
            <w:webHidden/>
            <w:lang w:val="en-US"/>
          </w:rPr>
          <w:instrText xml:space="preserve"> PAGEREF _Toc471717279 \h </w:instrText>
        </w:r>
        <w:r w:rsidRPr="00914F55">
          <w:rPr>
            <w:webHidden/>
            <w:lang w:val="en-US"/>
          </w:rPr>
        </w:r>
        <w:r w:rsidRPr="00914F55">
          <w:rPr>
            <w:webHidden/>
            <w:lang w:val="en-US"/>
          </w:rPr>
          <w:fldChar w:fldCharType="separate"/>
        </w:r>
        <w:r w:rsidR="00547588">
          <w:rPr>
            <w:webHidden/>
            <w:lang w:val="en-US"/>
          </w:rPr>
          <w:t>62</w:t>
        </w:r>
        <w:r w:rsidRPr="00914F55">
          <w:rPr>
            <w:webHidden/>
            <w:lang w:val="en-US"/>
          </w:rPr>
          <w:fldChar w:fldCharType="end"/>
        </w:r>
      </w:hyperlink>
    </w:p>
    <w:p w14:paraId="27F1F64D" w14:textId="546272C5" w:rsidR="0068755C" w:rsidRPr="00914F55" w:rsidRDefault="007353B6">
      <w:pPr>
        <w:pStyle w:val="TOC2"/>
        <w:rPr>
          <w:rFonts w:asciiTheme="minorHAnsi" w:eastAsiaTheme="minorEastAsia" w:hAnsiTheme="minorHAnsi" w:cstheme="minorBidi"/>
          <w:noProof/>
          <w:sz w:val="18"/>
          <w:szCs w:val="18"/>
          <w:lang w:val="en-US"/>
        </w:rPr>
      </w:pPr>
      <w:hyperlink w:anchor="_Toc471717280" w:history="1">
        <w:r w:rsidR="0068755C" w:rsidRPr="00914F55">
          <w:rPr>
            <w:rStyle w:val="Hyperlink"/>
            <w:noProof/>
            <w:spacing w:val="-4"/>
            <w:sz w:val="18"/>
            <w:szCs w:val="18"/>
            <w:lang w:val="en-US"/>
          </w:rPr>
          <w:t>A.</w:t>
        </w:r>
        <w:r w:rsidR="0068755C" w:rsidRPr="00914F55">
          <w:rPr>
            <w:rFonts w:asciiTheme="minorHAnsi" w:eastAsiaTheme="minorEastAsia" w:hAnsiTheme="minorHAnsi" w:cstheme="minorBidi"/>
            <w:noProof/>
            <w:sz w:val="18"/>
            <w:szCs w:val="18"/>
            <w:lang w:val="en-US"/>
          </w:rPr>
          <w:tab/>
        </w:r>
        <w:r w:rsidR="0068755C" w:rsidRPr="00914F55">
          <w:rPr>
            <w:rStyle w:val="Hyperlink"/>
            <w:noProof/>
            <w:spacing w:val="-4"/>
            <w:sz w:val="18"/>
            <w:szCs w:val="18"/>
            <w:lang w:val="en-US"/>
          </w:rPr>
          <w:t>General considerations of the Court on the guarantees of due process and judicial protection in the context of disciplinary proceedings against judges</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_Toc471717280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62</w:t>
        </w:r>
        <w:r w:rsidR="0068755C" w:rsidRPr="00914F55">
          <w:rPr>
            <w:noProof/>
            <w:webHidden/>
            <w:sz w:val="18"/>
            <w:szCs w:val="18"/>
            <w:lang w:val="en-US"/>
          </w:rPr>
          <w:fldChar w:fldCharType="end"/>
        </w:r>
      </w:hyperlink>
    </w:p>
    <w:p w14:paraId="0882AD23" w14:textId="5FD9E0A2" w:rsidR="0068755C" w:rsidRPr="00914F55" w:rsidRDefault="007353B6">
      <w:pPr>
        <w:pStyle w:val="TOC2"/>
        <w:rPr>
          <w:rFonts w:asciiTheme="minorHAnsi" w:eastAsiaTheme="minorEastAsia" w:hAnsiTheme="minorHAnsi" w:cstheme="minorBidi"/>
          <w:noProof/>
          <w:sz w:val="18"/>
          <w:szCs w:val="18"/>
          <w:lang w:val="en-US"/>
        </w:rPr>
      </w:pPr>
      <w:hyperlink w:anchor="_Toc471717281" w:history="1">
        <w:r w:rsidR="0068755C" w:rsidRPr="00914F55">
          <w:rPr>
            <w:rStyle w:val="Hyperlink"/>
            <w:noProof/>
            <w:spacing w:val="-4"/>
            <w:sz w:val="18"/>
            <w:szCs w:val="18"/>
            <w:lang w:val="en-US"/>
          </w:rPr>
          <w:t>B.</w:t>
        </w:r>
        <w:r w:rsidR="0068755C" w:rsidRPr="00914F55">
          <w:rPr>
            <w:rFonts w:asciiTheme="minorHAnsi" w:eastAsiaTheme="minorEastAsia" w:hAnsiTheme="minorHAnsi" w:cstheme="minorBidi"/>
            <w:noProof/>
            <w:sz w:val="18"/>
            <w:szCs w:val="18"/>
            <w:lang w:val="en-US"/>
          </w:rPr>
          <w:tab/>
        </w:r>
        <w:r w:rsidR="0068755C" w:rsidRPr="00914F55">
          <w:rPr>
            <w:rStyle w:val="Hyperlink"/>
            <w:noProof/>
            <w:spacing w:val="-4"/>
            <w:sz w:val="18"/>
            <w:szCs w:val="18"/>
            <w:lang w:val="en-US"/>
          </w:rPr>
          <w:t>Guarantees of the competence, independence and impartiality of the disciplinary authorities in cases involving judges</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_Toc471717281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66</w:t>
        </w:r>
        <w:r w:rsidR="0068755C" w:rsidRPr="00914F55">
          <w:rPr>
            <w:noProof/>
            <w:webHidden/>
            <w:sz w:val="18"/>
            <w:szCs w:val="18"/>
            <w:lang w:val="en-US"/>
          </w:rPr>
          <w:fldChar w:fldCharType="end"/>
        </w:r>
      </w:hyperlink>
    </w:p>
    <w:p w14:paraId="1838BDEE" w14:textId="448B845D"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282" w:history="1">
        <w:r w:rsidR="0068755C" w:rsidRPr="00914F55">
          <w:rPr>
            <w:rStyle w:val="Hyperlink"/>
            <w:noProof/>
            <w:spacing w:val="-4"/>
            <w:sz w:val="18"/>
            <w:szCs w:val="18"/>
            <w:lang w:val="en-US"/>
          </w:rPr>
          <w:t>B.1) Arguments of the Commission and of the parties</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_Toc471717282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66</w:t>
        </w:r>
        <w:r w:rsidR="0068755C" w:rsidRPr="00914F55">
          <w:rPr>
            <w:noProof/>
            <w:webHidden/>
            <w:sz w:val="18"/>
            <w:szCs w:val="18"/>
            <w:lang w:val="en-US"/>
          </w:rPr>
          <w:fldChar w:fldCharType="end"/>
        </w:r>
      </w:hyperlink>
    </w:p>
    <w:p w14:paraId="53DB1F5D" w14:textId="3761B1A3"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283" w:history="1">
        <w:r w:rsidR="0068755C" w:rsidRPr="00914F55">
          <w:rPr>
            <w:rStyle w:val="Hyperlink"/>
            <w:noProof/>
            <w:spacing w:val="-4"/>
            <w:sz w:val="18"/>
            <w:szCs w:val="18"/>
            <w:lang w:val="en-US"/>
          </w:rPr>
          <w:t>B.2) Considerations of the Court</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_Toc471717283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67</w:t>
        </w:r>
        <w:r w:rsidR="0068755C" w:rsidRPr="00914F55">
          <w:rPr>
            <w:noProof/>
            <w:webHidden/>
            <w:sz w:val="18"/>
            <w:szCs w:val="18"/>
            <w:lang w:val="en-US"/>
          </w:rPr>
          <w:fldChar w:fldCharType="end"/>
        </w:r>
      </w:hyperlink>
    </w:p>
    <w:p w14:paraId="184F0CB4" w14:textId="39E8897D" w:rsidR="0068755C" w:rsidRPr="00914F55" w:rsidRDefault="007353B6">
      <w:pPr>
        <w:pStyle w:val="TOC4"/>
        <w:tabs>
          <w:tab w:val="right" w:leader="dot" w:pos="9736"/>
        </w:tabs>
        <w:rPr>
          <w:rFonts w:asciiTheme="minorHAnsi" w:eastAsiaTheme="minorEastAsia" w:hAnsiTheme="minorHAnsi" w:cstheme="minorBidi"/>
          <w:noProof/>
          <w:sz w:val="18"/>
          <w:szCs w:val="18"/>
          <w:lang w:val="en-US"/>
        </w:rPr>
      </w:pPr>
      <w:hyperlink w:anchor="_Toc471717284" w:history="1">
        <w:r w:rsidR="0068755C" w:rsidRPr="00914F55">
          <w:rPr>
            <w:rStyle w:val="Hyperlink"/>
            <w:noProof/>
            <w:spacing w:val="-4"/>
            <w:sz w:val="18"/>
            <w:szCs w:val="18"/>
            <w:lang w:val="en-US"/>
          </w:rPr>
          <w:t>B.2.a) Lack of competence and independence of the Judicial Service Council</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_Toc471717284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70</w:t>
        </w:r>
        <w:r w:rsidR="0068755C" w:rsidRPr="00914F55">
          <w:rPr>
            <w:noProof/>
            <w:webHidden/>
            <w:sz w:val="18"/>
            <w:szCs w:val="18"/>
            <w:lang w:val="en-US"/>
          </w:rPr>
          <w:fldChar w:fldCharType="end"/>
        </w:r>
      </w:hyperlink>
    </w:p>
    <w:p w14:paraId="2BA707AB" w14:textId="28EF60FF" w:rsidR="0068755C" w:rsidRPr="00914F55" w:rsidRDefault="007353B6">
      <w:pPr>
        <w:pStyle w:val="TOC4"/>
        <w:tabs>
          <w:tab w:val="right" w:leader="dot" w:pos="9736"/>
        </w:tabs>
        <w:rPr>
          <w:rFonts w:asciiTheme="minorHAnsi" w:eastAsiaTheme="minorEastAsia" w:hAnsiTheme="minorHAnsi" w:cstheme="minorBidi"/>
          <w:noProof/>
          <w:sz w:val="18"/>
          <w:szCs w:val="18"/>
          <w:lang w:val="en-US"/>
        </w:rPr>
      </w:pPr>
      <w:hyperlink w:anchor="_Toc471717285" w:history="1">
        <w:r w:rsidR="0068755C" w:rsidRPr="00914F55">
          <w:rPr>
            <w:rStyle w:val="Hyperlink"/>
            <w:noProof/>
            <w:spacing w:val="-4"/>
            <w:sz w:val="18"/>
            <w:szCs w:val="18"/>
            <w:lang w:val="en-US"/>
          </w:rPr>
          <w:t>B.2.b) Lack of impartiality of the Judicial Service Council</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_Toc471717285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72</w:t>
        </w:r>
        <w:r w:rsidR="0068755C" w:rsidRPr="00914F55">
          <w:rPr>
            <w:noProof/>
            <w:webHidden/>
            <w:sz w:val="18"/>
            <w:szCs w:val="18"/>
            <w:lang w:val="en-US"/>
          </w:rPr>
          <w:fldChar w:fldCharType="end"/>
        </w:r>
      </w:hyperlink>
    </w:p>
    <w:p w14:paraId="41DE0064" w14:textId="0268CF49" w:rsidR="0068755C" w:rsidRPr="00914F55" w:rsidRDefault="007353B6">
      <w:pPr>
        <w:pStyle w:val="TOC4"/>
        <w:tabs>
          <w:tab w:val="right" w:leader="dot" w:pos="9736"/>
        </w:tabs>
        <w:rPr>
          <w:rFonts w:asciiTheme="minorHAnsi" w:eastAsiaTheme="minorEastAsia" w:hAnsiTheme="minorHAnsi" w:cstheme="minorBidi"/>
          <w:noProof/>
          <w:sz w:val="18"/>
          <w:szCs w:val="18"/>
          <w:lang w:val="en-US"/>
        </w:rPr>
      </w:pPr>
      <w:hyperlink w:anchor="_Toc471717286" w:history="1">
        <w:r w:rsidR="0068755C" w:rsidRPr="00914F55">
          <w:rPr>
            <w:rStyle w:val="Hyperlink"/>
            <w:noProof/>
            <w:spacing w:val="-4"/>
            <w:sz w:val="18"/>
            <w:szCs w:val="18"/>
            <w:lang w:val="en-US"/>
          </w:rPr>
          <w:t>B.2.c) Bias of the Supreme Court of Justice</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_Toc471717286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75</w:t>
        </w:r>
        <w:r w:rsidR="0068755C" w:rsidRPr="00914F55">
          <w:rPr>
            <w:noProof/>
            <w:webHidden/>
            <w:sz w:val="18"/>
            <w:szCs w:val="18"/>
            <w:lang w:val="en-US"/>
          </w:rPr>
          <w:fldChar w:fldCharType="end"/>
        </w:r>
      </w:hyperlink>
    </w:p>
    <w:p w14:paraId="7CC1CAED" w14:textId="09E4E34A" w:rsidR="0068755C" w:rsidRPr="00914F55" w:rsidRDefault="007353B6">
      <w:pPr>
        <w:pStyle w:val="TOC2"/>
        <w:rPr>
          <w:rFonts w:asciiTheme="minorHAnsi" w:eastAsiaTheme="minorEastAsia" w:hAnsiTheme="minorHAnsi" w:cstheme="minorBidi"/>
          <w:noProof/>
          <w:sz w:val="18"/>
          <w:szCs w:val="18"/>
          <w:lang w:val="en-US"/>
        </w:rPr>
      </w:pPr>
      <w:hyperlink w:anchor="_Toc471717287" w:history="1">
        <w:r w:rsidR="0068755C" w:rsidRPr="00914F55">
          <w:rPr>
            <w:rStyle w:val="Hyperlink"/>
            <w:noProof/>
            <w:spacing w:val="-4"/>
            <w:sz w:val="18"/>
            <w:szCs w:val="18"/>
            <w:lang w:val="en-US"/>
          </w:rPr>
          <w:t>C.</w:t>
        </w:r>
        <w:r w:rsidR="0068755C" w:rsidRPr="00914F55">
          <w:rPr>
            <w:rFonts w:asciiTheme="minorHAnsi" w:eastAsiaTheme="minorEastAsia" w:hAnsiTheme="minorHAnsi" w:cstheme="minorBidi"/>
            <w:noProof/>
            <w:sz w:val="18"/>
            <w:szCs w:val="18"/>
            <w:lang w:val="en-US"/>
          </w:rPr>
          <w:tab/>
        </w:r>
        <w:r w:rsidR="0068755C" w:rsidRPr="00914F55">
          <w:rPr>
            <w:rStyle w:val="Hyperlink"/>
            <w:noProof/>
            <w:spacing w:val="-4"/>
            <w:sz w:val="18"/>
            <w:szCs w:val="18"/>
            <w:lang w:val="en-US"/>
          </w:rPr>
          <w:t>Right to remain in office on general terms of equality</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_Toc471717287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76</w:t>
        </w:r>
        <w:r w:rsidR="0068755C" w:rsidRPr="00914F55">
          <w:rPr>
            <w:noProof/>
            <w:webHidden/>
            <w:sz w:val="18"/>
            <w:szCs w:val="18"/>
            <w:lang w:val="en-US"/>
          </w:rPr>
          <w:fldChar w:fldCharType="end"/>
        </w:r>
      </w:hyperlink>
    </w:p>
    <w:p w14:paraId="3192D4B1" w14:textId="2CF0311A" w:rsidR="0068755C" w:rsidRPr="00914F55" w:rsidRDefault="007353B6">
      <w:pPr>
        <w:pStyle w:val="TOC2"/>
        <w:rPr>
          <w:rFonts w:asciiTheme="minorHAnsi" w:eastAsiaTheme="minorEastAsia" w:hAnsiTheme="minorHAnsi" w:cstheme="minorBidi"/>
          <w:noProof/>
          <w:sz w:val="18"/>
          <w:szCs w:val="18"/>
          <w:lang w:val="en-US"/>
        </w:rPr>
      </w:pPr>
      <w:hyperlink w:anchor="_Toc471717288" w:history="1">
        <w:r w:rsidR="0068755C" w:rsidRPr="00914F55">
          <w:rPr>
            <w:rStyle w:val="Hyperlink"/>
            <w:noProof/>
            <w:spacing w:val="-4"/>
            <w:sz w:val="18"/>
            <w:szCs w:val="18"/>
            <w:lang w:val="en-US"/>
          </w:rPr>
          <w:t>D.</w:t>
        </w:r>
        <w:r w:rsidR="0068755C" w:rsidRPr="00914F55">
          <w:rPr>
            <w:rFonts w:asciiTheme="minorHAnsi" w:eastAsiaTheme="minorEastAsia" w:hAnsiTheme="minorHAnsi" w:cstheme="minorBidi"/>
            <w:noProof/>
            <w:sz w:val="18"/>
            <w:szCs w:val="18"/>
            <w:lang w:val="en-US"/>
          </w:rPr>
          <w:tab/>
        </w:r>
        <w:r w:rsidR="0068755C" w:rsidRPr="00914F55">
          <w:rPr>
            <w:rStyle w:val="Hyperlink"/>
            <w:noProof/>
            <w:spacing w:val="-4"/>
            <w:sz w:val="18"/>
            <w:szCs w:val="18"/>
            <w:lang w:val="en-US"/>
          </w:rPr>
          <w:t>Conclusion on the guarantees of due process and political rights</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_Toc471717288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78</w:t>
        </w:r>
        <w:r w:rsidR="0068755C" w:rsidRPr="00914F55">
          <w:rPr>
            <w:noProof/>
            <w:webHidden/>
            <w:sz w:val="18"/>
            <w:szCs w:val="18"/>
            <w:lang w:val="en-US"/>
          </w:rPr>
          <w:fldChar w:fldCharType="end"/>
        </w:r>
      </w:hyperlink>
    </w:p>
    <w:p w14:paraId="68F66809" w14:textId="15988B27" w:rsidR="0068755C" w:rsidRPr="00914F55" w:rsidRDefault="007353B6">
      <w:pPr>
        <w:pStyle w:val="TOC2"/>
        <w:rPr>
          <w:rFonts w:asciiTheme="minorHAnsi" w:eastAsiaTheme="minorEastAsia" w:hAnsiTheme="minorHAnsi" w:cstheme="minorBidi"/>
          <w:noProof/>
          <w:sz w:val="18"/>
          <w:szCs w:val="18"/>
          <w:lang w:val="en-US"/>
        </w:rPr>
      </w:pPr>
      <w:hyperlink w:anchor="_Toc471717289" w:history="1">
        <w:r w:rsidR="0068755C" w:rsidRPr="00914F55">
          <w:rPr>
            <w:rStyle w:val="Hyperlink"/>
            <w:noProof/>
            <w:spacing w:val="-4"/>
            <w:sz w:val="18"/>
            <w:szCs w:val="18"/>
            <w:lang w:val="en-US"/>
          </w:rPr>
          <w:t>E.</w:t>
        </w:r>
        <w:r w:rsidR="0068755C" w:rsidRPr="00914F55">
          <w:rPr>
            <w:rFonts w:asciiTheme="minorHAnsi" w:eastAsiaTheme="minorEastAsia" w:hAnsiTheme="minorHAnsi" w:cstheme="minorBidi"/>
            <w:noProof/>
            <w:sz w:val="18"/>
            <w:szCs w:val="18"/>
            <w:lang w:val="en-US"/>
          </w:rPr>
          <w:tab/>
        </w:r>
        <w:r w:rsidR="0068755C" w:rsidRPr="00914F55">
          <w:rPr>
            <w:rStyle w:val="Hyperlink"/>
            <w:noProof/>
            <w:spacing w:val="-4"/>
            <w:sz w:val="18"/>
            <w:szCs w:val="18"/>
            <w:lang w:val="en-US"/>
          </w:rPr>
          <w:t>Other alleged violations of due process in the disciplinary proceedings instituted against the presumed victims</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_Toc471717289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78</w:t>
        </w:r>
        <w:r w:rsidR="0068755C" w:rsidRPr="00914F55">
          <w:rPr>
            <w:noProof/>
            <w:webHidden/>
            <w:sz w:val="18"/>
            <w:szCs w:val="18"/>
            <w:lang w:val="en-US"/>
          </w:rPr>
          <w:fldChar w:fldCharType="end"/>
        </w:r>
      </w:hyperlink>
    </w:p>
    <w:p w14:paraId="50020406" w14:textId="181F2429" w:rsidR="0068755C" w:rsidRPr="00914F55" w:rsidRDefault="007353B6">
      <w:pPr>
        <w:pStyle w:val="TOC2"/>
        <w:rPr>
          <w:rFonts w:asciiTheme="minorHAnsi" w:eastAsiaTheme="minorEastAsia" w:hAnsiTheme="minorHAnsi" w:cstheme="minorBidi"/>
          <w:noProof/>
          <w:sz w:val="18"/>
          <w:szCs w:val="18"/>
          <w:lang w:val="en-US"/>
        </w:rPr>
      </w:pPr>
      <w:hyperlink w:anchor="_Toc471717290" w:history="1">
        <w:r w:rsidR="0068755C" w:rsidRPr="00914F55">
          <w:rPr>
            <w:rStyle w:val="Hyperlink"/>
            <w:noProof/>
            <w:spacing w:val="-4"/>
            <w:sz w:val="18"/>
            <w:szCs w:val="18"/>
            <w:lang w:val="en-US"/>
          </w:rPr>
          <w:t>F.</w:t>
        </w:r>
        <w:r w:rsidR="0068755C" w:rsidRPr="00914F55">
          <w:rPr>
            <w:rFonts w:asciiTheme="minorHAnsi" w:eastAsiaTheme="minorEastAsia" w:hAnsiTheme="minorHAnsi" w:cstheme="minorBidi"/>
            <w:noProof/>
            <w:sz w:val="18"/>
            <w:szCs w:val="18"/>
            <w:lang w:val="en-US"/>
          </w:rPr>
          <w:tab/>
        </w:r>
        <w:r w:rsidR="0068755C" w:rsidRPr="00914F55">
          <w:rPr>
            <w:rStyle w:val="Hyperlink"/>
            <w:noProof/>
            <w:spacing w:val="-4"/>
            <w:sz w:val="18"/>
            <w:szCs w:val="18"/>
            <w:lang w:val="en-US"/>
          </w:rPr>
          <w:t>Right to judicial protection</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_Toc471717290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78</w:t>
        </w:r>
        <w:r w:rsidR="0068755C" w:rsidRPr="00914F55">
          <w:rPr>
            <w:noProof/>
            <w:webHidden/>
            <w:sz w:val="18"/>
            <w:szCs w:val="18"/>
            <w:lang w:val="en-US"/>
          </w:rPr>
          <w:fldChar w:fldCharType="end"/>
        </w:r>
      </w:hyperlink>
    </w:p>
    <w:p w14:paraId="78614373" w14:textId="7DBAF193"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291" w:history="1">
        <w:r w:rsidR="0068755C" w:rsidRPr="00914F55">
          <w:rPr>
            <w:rStyle w:val="Hyperlink"/>
            <w:noProof/>
            <w:spacing w:val="-4"/>
            <w:sz w:val="18"/>
            <w:szCs w:val="18"/>
            <w:lang w:val="en-US"/>
          </w:rPr>
          <w:t>F.1) Arguments of the Commission and of the parties</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_Toc471717291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78</w:t>
        </w:r>
        <w:r w:rsidR="0068755C" w:rsidRPr="00914F55">
          <w:rPr>
            <w:noProof/>
            <w:webHidden/>
            <w:sz w:val="18"/>
            <w:szCs w:val="18"/>
            <w:lang w:val="en-US"/>
          </w:rPr>
          <w:fldChar w:fldCharType="end"/>
        </w:r>
      </w:hyperlink>
    </w:p>
    <w:p w14:paraId="46659AD9" w14:textId="07D29133"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292" w:history="1">
        <w:r w:rsidR="0068755C" w:rsidRPr="00914F55">
          <w:rPr>
            <w:rStyle w:val="Hyperlink"/>
            <w:noProof/>
            <w:spacing w:val="-4"/>
            <w:sz w:val="18"/>
            <w:szCs w:val="18"/>
            <w:lang w:val="en-US"/>
          </w:rPr>
          <w:t>F.2) Considerations of the Court</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_Toc471717292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79</w:t>
        </w:r>
        <w:r w:rsidR="0068755C" w:rsidRPr="00914F55">
          <w:rPr>
            <w:noProof/>
            <w:webHidden/>
            <w:sz w:val="18"/>
            <w:szCs w:val="18"/>
            <w:lang w:val="en-US"/>
          </w:rPr>
          <w:fldChar w:fldCharType="end"/>
        </w:r>
      </w:hyperlink>
    </w:p>
    <w:p w14:paraId="643EB177" w14:textId="3F04477C" w:rsidR="0068755C" w:rsidRPr="00914F55" w:rsidRDefault="0068755C">
      <w:pPr>
        <w:pStyle w:val="TOC1"/>
        <w:rPr>
          <w:rFonts w:asciiTheme="minorHAnsi" w:eastAsiaTheme="minorEastAsia" w:hAnsiTheme="minorHAnsi" w:cstheme="minorBidi"/>
          <w:b w:val="0"/>
          <w:spacing w:val="0"/>
          <w:lang w:val="en-US"/>
        </w:rPr>
      </w:pPr>
      <w:r w:rsidRPr="00914F55">
        <w:rPr>
          <w:rStyle w:val="Hyperlink"/>
          <w:color w:val="auto"/>
          <w:u w:val="none"/>
          <w:lang w:val="en-US"/>
        </w:rPr>
        <w:t>VII-3</w:t>
      </w:r>
      <w:r w:rsidRPr="00914F55">
        <w:rPr>
          <w:rStyle w:val="Hyperlink"/>
          <w:u w:val="none"/>
          <w:lang w:val="en-US"/>
        </w:rPr>
        <w:t xml:space="preserve"> </w:t>
      </w:r>
      <w:hyperlink w:anchor="_Toc471717294" w:history="1">
        <w:r w:rsidRPr="00A50E4D">
          <w:rPr>
            <w:rStyle w:val="Hyperlink"/>
            <w:lang w:val="en-US"/>
          </w:rPr>
          <w:t>PRINCIPLE OF LEGALITY</w:t>
        </w:r>
        <w:r w:rsidRPr="00914F55">
          <w:rPr>
            <w:webHidden/>
            <w:lang w:val="en-US"/>
          </w:rPr>
          <w:tab/>
        </w:r>
        <w:r w:rsidRPr="00914F55">
          <w:rPr>
            <w:webHidden/>
            <w:lang w:val="en-US"/>
          </w:rPr>
          <w:fldChar w:fldCharType="begin"/>
        </w:r>
        <w:r w:rsidRPr="00914F55">
          <w:rPr>
            <w:webHidden/>
            <w:lang w:val="en-US"/>
          </w:rPr>
          <w:instrText xml:space="preserve"> PAGEREF _Toc471717294 \h </w:instrText>
        </w:r>
        <w:r w:rsidRPr="00914F55">
          <w:rPr>
            <w:webHidden/>
            <w:lang w:val="en-US"/>
          </w:rPr>
        </w:r>
        <w:r w:rsidRPr="00914F55">
          <w:rPr>
            <w:webHidden/>
            <w:lang w:val="en-US"/>
          </w:rPr>
          <w:fldChar w:fldCharType="separate"/>
        </w:r>
        <w:r w:rsidR="00547588">
          <w:rPr>
            <w:webHidden/>
            <w:lang w:val="en-US"/>
          </w:rPr>
          <w:t>81</w:t>
        </w:r>
        <w:r w:rsidRPr="00914F55">
          <w:rPr>
            <w:webHidden/>
            <w:lang w:val="en-US"/>
          </w:rPr>
          <w:fldChar w:fldCharType="end"/>
        </w:r>
      </w:hyperlink>
    </w:p>
    <w:p w14:paraId="542B17CB" w14:textId="22372E59" w:rsidR="0068755C" w:rsidRPr="00914F55" w:rsidRDefault="007353B6">
      <w:pPr>
        <w:pStyle w:val="TOC2"/>
        <w:rPr>
          <w:rFonts w:asciiTheme="minorHAnsi" w:eastAsiaTheme="minorEastAsia" w:hAnsiTheme="minorHAnsi" w:cstheme="minorBidi"/>
          <w:noProof/>
          <w:sz w:val="18"/>
          <w:szCs w:val="18"/>
          <w:lang w:val="en-US"/>
        </w:rPr>
      </w:pPr>
      <w:hyperlink w:anchor="_Toc471717295" w:history="1">
        <w:r w:rsidR="0068755C" w:rsidRPr="00914F55">
          <w:rPr>
            <w:rStyle w:val="Hyperlink"/>
            <w:noProof/>
            <w:spacing w:val="-4"/>
            <w:sz w:val="18"/>
            <w:szCs w:val="18"/>
            <w:lang w:val="en-US"/>
          </w:rPr>
          <w:t>A. Arguments of the Commission and of the parties</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_Toc471717295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81</w:t>
        </w:r>
        <w:r w:rsidR="0068755C" w:rsidRPr="00914F55">
          <w:rPr>
            <w:noProof/>
            <w:webHidden/>
            <w:sz w:val="18"/>
            <w:szCs w:val="18"/>
            <w:lang w:val="en-US"/>
          </w:rPr>
          <w:fldChar w:fldCharType="end"/>
        </w:r>
      </w:hyperlink>
    </w:p>
    <w:p w14:paraId="143CA05D" w14:textId="39F9DF0E" w:rsidR="0068755C" w:rsidRPr="00914F55" w:rsidRDefault="007353B6">
      <w:pPr>
        <w:pStyle w:val="TOC2"/>
        <w:rPr>
          <w:rFonts w:asciiTheme="minorHAnsi" w:eastAsiaTheme="minorEastAsia" w:hAnsiTheme="minorHAnsi" w:cstheme="minorBidi"/>
          <w:noProof/>
          <w:sz w:val="18"/>
          <w:szCs w:val="18"/>
          <w:lang w:val="en-US"/>
        </w:rPr>
      </w:pPr>
      <w:hyperlink w:anchor="_Toc471717296" w:history="1">
        <w:r w:rsidR="0068755C" w:rsidRPr="00914F55">
          <w:rPr>
            <w:rStyle w:val="Hyperlink"/>
            <w:noProof/>
            <w:spacing w:val="-4"/>
            <w:sz w:val="18"/>
            <w:szCs w:val="18"/>
            <w:lang w:val="en-US"/>
          </w:rPr>
          <w:t>B. Considerations of the Court</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_Toc471717296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83</w:t>
        </w:r>
        <w:r w:rsidR="0068755C" w:rsidRPr="00914F55">
          <w:rPr>
            <w:noProof/>
            <w:webHidden/>
            <w:sz w:val="18"/>
            <w:szCs w:val="18"/>
            <w:lang w:val="en-US"/>
          </w:rPr>
          <w:fldChar w:fldCharType="end"/>
        </w:r>
      </w:hyperlink>
    </w:p>
    <w:p w14:paraId="6F1422F9" w14:textId="04AB75D0" w:rsidR="0068755C" w:rsidRPr="00914F55" w:rsidRDefault="0068755C">
      <w:pPr>
        <w:pStyle w:val="TOC1"/>
        <w:rPr>
          <w:rFonts w:asciiTheme="minorHAnsi" w:eastAsiaTheme="minorEastAsia" w:hAnsiTheme="minorHAnsi" w:cstheme="minorBidi"/>
          <w:b w:val="0"/>
          <w:spacing w:val="0"/>
          <w:lang w:val="en-US"/>
        </w:rPr>
      </w:pPr>
      <w:r w:rsidRPr="00914F55">
        <w:rPr>
          <w:rStyle w:val="Hyperlink"/>
          <w:color w:val="auto"/>
          <w:u w:val="none"/>
          <w:lang w:val="en-US"/>
        </w:rPr>
        <w:t xml:space="preserve">VII-4 </w:t>
      </w:r>
      <w:hyperlink w:anchor="_Toc471717298" w:history="1">
        <w:r w:rsidRPr="00A50E4D">
          <w:rPr>
            <w:rStyle w:val="Hyperlink"/>
            <w:lang w:val="en-US"/>
          </w:rPr>
          <w:t>RIGHT TO PERSONAL LIBERTY OF JUDGE CHÉVEZ DE LA ROCHA</w:t>
        </w:r>
        <w:r w:rsidRPr="00914F55">
          <w:rPr>
            <w:webHidden/>
            <w:lang w:val="en-US"/>
          </w:rPr>
          <w:tab/>
        </w:r>
        <w:r w:rsidRPr="00914F55">
          <w:rPr>
            <w:webHidden/>
            <w:lang w:val="en-US"/>
          </w:rPr>
          <w:fldChar w:fldCharType="begin"/>
        </w:r>
        <w:r w:rsidRPr="00914F55">
          <w:rPr>
            <w:webHidden/>
            <w:lang w:val="en-US"/>
          </w:rPr>
          <w:instrText xml:space="preserve"> PAGEREF _Toc471717298 \h </w:instrText>
        </w:r>
        <w:r w:rsidRPr="00914F55">
          <w:rPr>
            <w:webHidden/>
            <w:lang w:val="en-US"/>
          </w:rPr>
        </w:r>
        <w:r w:rsidRPr="00914F55">
          <w:rPr>
            <w:webHidden/>
            <w:lang w:val="en-US"/>
          </w:rPr>
          <w:fldChar w:fldCharType="separate"/>
        </w:r>
        <w:r w:rsidR="00547588">
          <w:rPr>
            <w:webHidden/>
            <w:lang w:val="en-US"/>
          </w:rPr>
          <w:t>88</w:t>
        </w:r>
        <w:r w:rsidRPr="00914F55">
          <w:rPr>
            <w:webHidden/>
            <w:lang w:val="en-US"/>
          </w:rPr>
          <w:fldChar w:fldCharType="end"/>
        </w:r>
      </w:hyperlink>
    </w:p>
    <w:p w14:paraId="728E9E12" w14:textId="40D35732" w:rsidR="0068755C" w:rsidRPr="00914F55" w:rsidRDefault="007353B6">
      <w:pPr>
        <w:pStyle w:val="TOC2"/>
        <w:rPr>
          <w:rFonts w:asciiTheme="minorHAnsi" w:eastAsiaTheme="minorEastAsia" w:hAnsiTheme="minorHAnsi" w:cstheme="minorBidi"/>
          <w:noProof/>
          <w:sz w:val="18"/>
          <w:szCs w:val="18"/>
          <w:lang w:val="en-US"/>
        </w:rPr>
      </w:pPr>
      <w:hyperlink w:anchor="_Toc471717299" w:history="1">
        <w:r w:rsidR="0068755C" w:rsidRPr="00914F55">
          <w:rPr>
            <w:rStyle w:val="Hyperlink"/>
            <w:noProof/>
            <w:spacing w:val="-4"/>
            <w:sz w:val="18"/>
            <w:szCs w:val="18"/>
            <w:lang w:val="en-US"/>
          </w:rPr>
          <w:t>A. Arguments of the Commission and the parties</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_Toc471717299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89</w:t>
        </w:r>
        <w:r w:rsidR="0068755C" w:rsidRPr="00914F55">
          <w:rPr>
            <w:noProof/>
            <w:webHidden/>
            <w:sz w:val="18"/>
            <w:szCs w:val="18"/>
            <w:lang w:val="en-US"/>
          </w:rPr>
          <w:fldChar w:fldCharType="end"/>
        </w:r>
      </w:hyperlink>
    </w:p>
    <w:p w14:paraId="6452FCDE" w14:textId="06C50092" w:rsidR="0068755C" w:rsidRPr="00914F55" w:rsidRDefault="007353B6">
      <w:pPr>
        <w:pStyle w:val="TOC2"/>
        <w:rPr>
          <w:rFonts w:asciiTheme="minorHAnsi" w:eastAsiaTheme="minorEastAsia" w:hAnsiTheme="minorHAnsi" w:cstheme="minorBidi"/>
          <w:noProof/>
          <w:sz w:val="18"/>
          <w:szCs w:val="18"/>
          <w:lang w:val="en-US"/>
        </w:rPr>
      </w:pPr>
      <w:hyperlink w:anchor="_Toc471717300" w:history="1">
        <w:r w:rsidR="0068755C" w:rsidRPr="00914F55">
          <w:rPr>
            <w:rStyle w:val="Hyperlink"/>
            <w:noProof/>
            <w:spacing w:val="-4"/>
            <w:sz w:val="18"/>
            <w:szCs w:val="18"/>
            <w:lang w:val="en-US"/>
          </w:rPr>
          <w:t>B. Considerations of the Court</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_Toc471717300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89</w:t>
        </w:r>
        <w:r w:rsidR="0068755C" w:rsidRPr="00914F55">
          <w:rPr>
            <w:noProof/>
            <w:webHidden/>
            <w:sz w:val="18"/>
            <w:szCs w:val="18"/>
            <w:lang w:val="en-US"/>
          </w:rPr>
          <w:fldChar w:fldCharType="end"/>
        </w:r>
      </w:hyperlink>
    </w:p>
    <w:p w14:paraId="61CA4099" w14:textId="5866F3DE" w:rsidR="0068755C" w:rsidRPr="00914F55" w:rsidRDefault="0068755C">
      <w:pPr>
        <w:pStyle w:val="TOC1"/>
        <w:rPr>
          <w:rFonts w:asciiTheme="minorHAnsi" w:eastAsiaTheme="minorEastAsia" w:hAnsiTheme="minorHAnsi" w:cstheme="minorBidi"/>
          <w:b w:val="0"/>
          <w:spacing w:val="0"/>
          <w:lang w:val="en-US"/>
        </w:rPr>
      </w:pPr>
      <w:r w:rsidRPr="00914F55">
        <w:rPr>
          <w:rStyle w:val="Hyperlink"/>
          <w:color w:val="auto"/>
          <w:u w:val="none"/>
          <w:lang w:val="en-US"/>
        </w:rPr>
        <w:t xml:space="preserve">VII-5 </w:t>
      </w:r>
      <w:hyperlink w:anchor="_Toc471717302" w:history="1">
        <w:r w:rsidRPr="00A50E4D">
          <w:rPr>
            <w:rStyle w:val="Hyperlink"/>
            <w:lang w:val="en-US"/>
          </w:rPr>
          <w:t>OTHER ALLEGED VIOLATIONS</w:t>
        </w:r>
        <w:r w:rsidRPr="00914F55">
          <w:rPr>
            <w:webHidden/>
            <w:lang w:val="en-US"/>
          </w:rPr>
          <w:tab/>
        </w:r>
        <w:r w:rsidRPr="00914F55">
          <w:rPr>
            <w:webHidden/>
            <w:lang w:val="en-US"/>
          </w:rPr>
          <w:fldChar w:fldCharType="begin"/>
        </w:r>
        <w:r w:rsidRPr="00914F55">
          <w:rPr>
            <w:webHidden/>
            <w:lang w:val="en-US"/>
          </w:rPr>
          <w:instrText xml:space="preserve"> PAGEREF _Toc471717302 \h </w:instrText>
        </w:r>
        <w:r w:rsidRPr="00914F55">
          <w:rPr>
            <w:webHidden/>
            <w:lang w:val="en-US"/>
          </w:rPr>
        </w:r>
        <w:r w:rsidRPr="00914F55">
          <w:rPr>
            <w:webHidden/>
            <w:lang w:val="en-US"/>
          </w:rPr>
          <w:fldChar w:fldCharType="separate"/>
        </w:r>
        <w:r w:rsidR="00547588">
          <w:rPr>
            <w:webHidden/>
            <w:lang w:val="en-US"/>
          </w:rPr>
          <w:t>90</w:t>
        </w:r>
        <w:r w:rsidRPr="00914F55">
          <w:rPr>
            <w:webHidden/>
            <w:lang w:val="en-US"/>
          </w:rPr>
          <w:fldChar w:fldCharType="end"/>
        </w:r>
      </w:hyperlink>
    </w:p>
    <w:p w14:paraId="1F734EC1" w14:textId="0D3C5F4E" w:rsidR="0068755C" w:rsidRPr="00914F55" w:rsidRDefault="0068755C">
      <w:pPr>
        <w:pStyle w:val="TOC1"/>
        <w:rPr>
          <w:rFonts w:asciiTheme="minorHAnsi" w:eastAsiaTheme="minorEastAsia" w:hAnsiTheme="minorHAnsi" w:cstheme="minorBidi"/>
          <w:b w:val="0"/>
          <w:spacing w:val="0"/>
          <w:lang w:val="en-US"/>
        </w:rPr>
      </w:pPr>
      <w:r w:rsidRPr="00914F55">
        <w:rPr>
          <w:rStyle w:val="Hyperlink"/>
          <w:color w:val="auto"/>
          <w:u w:val="none"/>
          <w:lang w:val="en-US"/>
        </w:rPr>
        <w:t xml:space="preserve">VIII </w:t>
      </w:r>
      <w:hyperlink w:anchor="_Toc471717304" w:history="1">
        <w:r w:rsidRPr="00A50E4D">
          <w:rPr>
            <w:rStyle w:val="Hyperlink"/>
            <w:lang w:val="en-US"/>
          </w:rPr>
          <w:t>REPARATIONS (Application of Article 63(1) of the American Convention)</w:t>
        </w:r>
        <w:r w:rsidRPr="00914F55">
          <w:rPr>
            <w:webHidden/>
            <w:lang w:val="en-US"/>
          </w:rPr>
          <w:tab/>
        </w:r>
        <w:r w:rsidRPr="00914F55">
          <w:rPr>
            <w:webHidden/>
            <w:lang w:val="en-US"/>
          </w:rPr>
          <w:fldChar w:fldCharType="begin"/>
        </w:r>
        <w:r w:rsidRPr="00914F55">
          <w:rPr>
            <w:webHidden/>
            <w:lang w:val="en-US"/>
          </w:rPr>
          <w:instrText xml:space="preserve"> PAGEREF _Toc471717304 \h </w:instrText>
        </w:r>
        <w:r w:rsidRPr="00914F55">
          <w:rPr>
            <w:webHidden/>
            <w:lang w:val="en-US"/>
          </w:rPr>
        </w:r>
        <w:r w:rsidRPr="00914F55">
          <w:rPr>
            <w:webHidden/>
            <w:lang w:val="en-US"/>
          </w:rPr>
          <w:fldChar w:fldCharType="separate"/>
        </w:r>
        <w:r w:rsidR="00547588">
          <w:rPr>
            <w:webHidden/>
            <w:lang w:val="en-US"/>
          </w:rPr>
          <w:t>90</w:t>
        </w:r>
        <w:r w:rsidRPr="00914F55">
          <w:rPr>
            <w:webHidden/>
            <w:lang w:val="en-US"/>
          </w:rPr>
          <w:fldChar w:fldCharType="end"/>
        </w:r>
      </w:hyperlink>
    </w:p>
    <w:p w14:paraId="2CFFDC40" w14:textId="6BB07ACD" w:rsidR="0068755C" w:rsidRPr="00914F55" w:rsidRDefault="007353B6">
      <w:pPr>
        <w:pStyle w:val="TOC2"/>
        <w:rPr>
          <w:rFonts w:asciiTheme="minorHAnsi" w:eastAsiaTheme="minorEastAsia" w:hAnsiTheme="minorHAnsi" w:cstheme="minorBidi"/>
          <w:noProof/>
          <w:sz w:val="18"/>
          <w:szCs w:val="18"/>
          <w:lang w:val="en-US"/>
        </w:rPr>
      </w:pPr>
      <w:hyperlink w:anchor="_Toc471717306" w:history="1">
        <w:r w:rsidR="0068755C" w:rsidRPr="00914F55">
          <w:rPr>
            <w:rStyle w:val="Hyperlink"/>
            <w:noProof/>
            <w:spacing w:val="-4"/>
            <w:sz w:val="18"/>
            <w:szCs w:val="18"/>
            <w:lang w:val="en-US"/>
          </w:rPr>
          <w:t>A. Injured party</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_Toc471717306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91</w:t>
        </w:r>
        <w:r w:rsidR="0068755C" w:rsidRPr="00914F55">
          <w:rPr>
            <w:noProof/>
            <w:webHidden/>
            <w:sz w:val="18"/>
            <w:szCs w:val="18"/>
            <w:lang w:val="en-US"/>
          </w:rPr>
          <w:fldChar w:fldCharType="end"/>
        </w:r>
      </w:hyperlink>
    </w:p>
    <w:p w14:paraId="6EB14FC0" w14:textId="6C63EAAE" w:rsidR="0068755C" w:rsidRPr="00914F55" w:rsidRDefault="007353B6">
      <w:pPr>
        <w:pStyle w:val="TOC2"/>
        <w:rPr>
          <w:rFonts w:asciiTheme="minorHAnsi" w:eastAsiaTheme="minorEastAsia" w:hAnsiTheme="minorHAnsi" w:cstheme="minorBidi"/>
          <w:noProof/>
          <w:sz w:val="18"/>
          <w:szCs w:val="18"/>
          <w:lang w:val="en-US"/>
        </w:rPr>
      </w:pPr>
      <w:hyperlink w:anchor="_Toc471717307" w:history="1">
        <w:r w:rsidR="0068755C" w:rsidRPr="00914F55">
          <w:rPr>
            <w:rStyle w:val="Hyperlink"/>
            <w:noProof/>
            <w:spacing w:val="-4"/>
            <w:sz w:val="18"/>
            <w:szCs w:val="18"/>
            <w:lang w:val="en-US"/>
          </w:rPr>
          <w:t>B. General arguments of the State</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_Toc471717307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91</w:t>
        </w:r>
        <w:r w:rsidR="0068755C" w:rsidRPr="00914F55">
          <w:rPr>
            <w:noProof/>
            <w:webHidden/>
            <w:sz w:val="18"/>
            <w:szCs w:val="18"/>
            <w:lang w:val="en-US"/>
          </w:rPr>
          <w:fldChar w:fldCharType="end"/>
        </w:r>
      </w:hyperlink>
    </w:p>
    <w:p w14:paraId="234D640D" w14:textId="502EF7BE" w:rsidR="0068755C" w:rsidRPr="00914F55" w:rsidRDefault="007353B6">
      <w:pPr>
        <w:pStyle w:val="TOC2"/>
        <w:rPr>
          <w:rFonts w:asciiTheme="minorHAnsi" w:eastAsiaTheme="minorEastAsia" w:hAnsiTheme="minorHAnsi" w:cstheme="minorBidi"/>
          <w:noProof/>
          <w:sz w:val="18"/>
          <w:szCs w:val="18"/>
          <w:lang w:val="en-US"/>
        </w:rPr>
      </w:pPr>
      <w:hyperlink w:anchor="_Toc471717308" w:history="1">
        <w:r w:rsidR="0068755C" w:rsidRPr="00914F55">
          <w:rPr>
            <w:rStyle w:val="Hyperlink"/>
            <w:noProof/>
            <w:spacing w:val="-4"/>
            <w:sz w:val="18"/>
            <w:szCs w:val="18"/>
            <w:lang w:val="en-US"/>
          </w:rPr>
          <w:t>C. Measures of integral reparation: restitution, satisfaction and guarantees of non-repetition</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_Toc471717308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91</w:t>
        </w:r>
        <w:r w:rsidR="0068755C" w:rsidRPr="00914F55">
          <w:rPr>
            <w:noProof/>
            <w:webHidden/>
            <w:sz w:val="18"/>
            <w:szCs w:val="18"/>
            <w:lang w:val="en-US"/>
          </w:rPr>
          <w:fldChar w:fldCharType="end"/>
        </w:r>
      </w:hyperlink>
    </w:p>
    <w:p w14:paraId="6B03FE64" w14:textId="34E30878"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309" w:history="1">
        <w:r w:rsidR="0068755C" w:rsidRPr="00914F55">
          <w:rPr>
            <w:rStyle w:val="Hyperlink"/>
            <w:noProof/>
            <w:spacing w:val="-4"/>
            <w:sz w:val="18"/>
            <w:szCs w:val="18"/>
            <w:lang w:val="en-US"/>
          </w:rPr>
          <w:t>C.1) Restitution</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_Toc471717309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92</w:t>
        </w:r>
        <w:r w:rsidR="0068755C" w:rsidRPr="00914F55">
          <w:rPr>
            <w:noProof/>
            <w:webHidden/>
            <w:sz w:val="18"/>
            <w:szCs w:val="18"/>
            <w:lang w:val="en-US"/>
          </w:rPr>
          <w:fldChar w:fldCharType="end"/>
        </w:r>
      </w:hyperlink>
    </w:p>
    <w:p w14:paraId="134340F6" w14:textId="04C8B246"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310" w:history="1">
        <w:r w:rsidR="0068755C" w:rsidRPr="00914F55">
          <w:rPr>
            <w:rStyle w:val="Hyperlink"/>
            <w:noProof/>
            <w:spacing w:val="-4"/>
            <w:sz w:val="18"/>
            <w:szCs w:val="18"/>
            <w:lang w:val="en-US"/>
          </w:rPr>
          <w:t>C.2)  Satisfaction: publication and dissemination of the judgment</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_Toc471717310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93</w:t>
        </w:r>
        <w:r w:rsidR="0068755C" w:rsidRPr="00914F55">
          <w:rPr>
            <w:noProof/>
            <w:webHidden/>
            <w:sz w:val="18"/>
            <w:szCs w:val="18"/>
            <w:lang w:val="en-US"/>
          </w:rPr>
          <w:fldChar w:fldCharType="end"/>
        </w:r>
      </w:hyperlink>
    </w:p>
    <w:p w14:paraId="161FCFF2" w14:textId="226BD045"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311" w:history="1">
        <w:r w:rsidR="0068755C" w:rsidRPr="00914F55">
          <w:rPr>
            <w:rStyle w:val="Hyperlink"/>
            <w:noProof/>
            <w:spacing w:val="-4"/>
            <w:sz w:val="18"/>
            <w:szCs w:val="18"/>
            <w:lang w:val="en-US"/>
          </w:rPr>
          <w:t>C.3)  Other measures requested</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_Toc471717311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94</w:t>
        </w:r>
        <w:r w:rsidR="0068755C" w:rsidRPr="00914F55">
          <w:rPr>
            <w:noProof/>
            <w:webHidden/>
            <w:sz w:val="18"/>
            <w:szCs w:val="18"/>
            <w:lang w:val="en-US"/>
          </w:rPr>
          <w:fldChar w:fldCharType="end"/>
        </w:r>
      </w:hyperlink>
    </w:p>
    <w:p w14:paraId="5D7941B1" w14:textId="1D219A52" w:rsidR="0068755C" w:rsidRPr="00914F55" w:rsidRDefault="007353B6">
      <w:pPr>
        <w:pStyle w:val="TOC2"/>
        <w:rPr>
          <w:rFonts w:asciiTheme="minorHAnsi" w:eastAsiaTheme="minorEastAsia" w:hAnsiTheme="minorHAnsi" w:cstheme="minorBidi"/>
          <w:noProof/>
          <w:sz w:val="18"/>
          <w:szCs w:val="18"/>
          <w:lang w:val="en-US"/>
        </w:rPr>
      </w:pPr>
      <w:hyperlink w:anchor="_Toc471717312" w:history="1">
        <w:r w:rsidR="0068755C" w:rsidRPr="00914F55">
          <w:rPr>
            <w:rStyle w:val="Hyperlink"/>
            <w:noProof/>
            <w:spacing w:val="-4"/>
            <w:sz w:val="18"/>
            <w:szCs w:val="18"/>
            <w:lang w:val="en-US"/>
          </w:rPr>
          <w:t>D. Compensation</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_Toc471717312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95</w:t>
        </w:r>
        <w:r w:rsidR="0068755C" w:rsidRPr="00914F55">
          <w:rPr>
            <w:noProof/>
            <w:webHidden/>
            <w:sz w:val="18"/>
            <w:szCs w:val="18"/>
            <w:lang w:val="en-US"/>
          </w:rPr>
          <w:fldChar w:fldCharType="end"/>
        </w:r>
      </w:hyperlink>
    </w:p>
    <w:p w14:paraId="0FDA07C8" w14:textId="2D29F88F"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313" w:history="1">
        <w:r w:rsidR="0068755C" w:rsidRPr="00914F55">
          <w:rPr>
            <w:rStyle w:val="Hyperlink"/>
            <w:noProof/>
            <w:spacing w:val="-4"/>
            <w:sz w:val="18"/>
            <w:szCs w:val="18"/>
            <w:lang w:val="en-US"/>
          </w:rPr>
          <w:t>D.1)  Pecuniary damage</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_Toc471717313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95</w:t>
        </w:r>
        <w:r w:rsidR="0068755C" w:rsidRPr="00914F55">
          <w:rPr>
            <w:noProof/>
            <w:webHidden/>
            <w:sz w:val="18"/>
            <w:szCs w:val="18"/>
            <w:lang w:val="en-US"/>
          </w:rPr>
          <w:fldChar w:fldCharType="end"/>
        </w:r>
      </w:hyperlink>
    </w:p>
    <w:p w14:paraId="3A694D63" w14:textId="3E314557" w:rsidR="0068755C" w:rsidRPr="00914F55" w:rsidRDefault="007353B6">
      <w:pPr>
        <w:pStyle w:val="TOC3"/>
        <w:tabs>
          <w:tab w:val="right" w:leader="dot" w:pos="9736"/>
        </w:tabs>
        <w:rPr>
          <w:rFonts w:asciiTheme="minorHAnsi" w:eastAsiaTheme="minorEastAsia" w:hAnsiTheme="minorHAnsi" w:cstheme="minorBidi"/>
          <w:noProof/>
          <w:sz w:val="18"/>
          <w:szCs w:val="18"/>
          <w:lang w:val="en-US"/>
        </w:rPr>
      </w:pPr>
      <w:hyperlink w:anchor="_Toc471717314" w:history="1">
        <w:r w:rsidR="0068755C" w:rsidRPr="00914F55">
          <w:rPr>
            <w:rStyle w:val="Hyperlink"/>
            <w:noProof/>
            <w:spacing w:val="-4"/>
            <w:sz w:val="18"/>
            <w:szCs w:val="18"/>
            <w:lang w:val="en-US"/>
          </w:rPr>
          <w:t>D.2)  Non-pecuniary damage</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_Toc471717314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98</w:t>
        </w:r>
        <w:r w:rsidR="0068755C" w:rsidRPr="00914F55">
          <w:rPr>
            <w:noProof/>
            <w:webHidden/>
            <w:sz w:val="18"/>
            <w:szCs w:val="18"/>
            <w:lang w:val="en-US"/>
          </w:rPr>
          <w:fldChar w:fldCharType="end"/>
        </w:r>
      </w:hyperlink>
    </w:p>
    <w:p w14:paraId="74CA9E9C" w14:textId="033DE7B6" w:rsidR="0068755C" w:rsidRPr="00914F55" w:rsidRDefault="007353B6">
      <w:pPr>
        <w:pStyle w:val="TOC2"/>
        <w:rPr>
          <w:rFonts w:asciiTheme="minorHAnsi" w:eastAsiaTheme="minorEastAsia" w:hAnsiTheme="minorHAnsi" w:cstheme="minorBidi"/>
          <w:noProof/>
          <w:sz w:val="18"/>
          <w:szCs w:val="18"/>
          <w:lang w:val="en-US"/>
        </w:rPr>
      </w:pPr>
      <w:hyperlink w:anchor="_Toc471717315" w:history="1">
        <w:r w:rsidR="0068755C" w:rsidRPr="00914F55">
          <w:rPr>
            <w:rStyle w:val="Hyperlink"/>
            <w:noProof/>
            <w:spacing w:val="-4"/>
            <w:sz w:val="18"/>
            <w:szCs w:val="18"/>
            <w:lang w:val="en-US"/>
          </w:rPr>
          <w:t>E. Costs and expenses</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_Toc471717315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99</w:t>
        </w:r>
        <w:r w:rsidR="0068755C" w:rsidRPr="00914F55">
          <w:rPr>
            <w:noProof/>
            <w:webHidden/>
            <w:sz w:val="18"/>
            <w:szCs w:val="18"/>
            <w:lang w:val="en-US"/>
          </w:rPr>
          <w:fldChar w:fldCharType="end"/>
        </w:r>
      </w:hyperlink>
    </w:p>
    <w:p w14:paraId="1C33CA19" w14:textId="78EEE111" w:rsidR="0068755C" w:rsidRPr="00914F55" w:rsidRDefault="007353B6">
      <w:pPr>
        <w:pStyle w:val="TOC2"/>
        <w:rPr>
          <w:rFonts w:asciiTheme="minorHAnsi" w:eastAsiaTheme="minorEastAsia" w:hAnsiTheme="minorHAnsi" w:cstheme="minorBidi"/>
          <w:noProof/>
          <w:sz w:val="18"/>
          <w:szCs w:val="18"/>
          <w:lang w:val="en-US"/>
        </w:rPr>
      </w:pPr>
      <w:hyperlink w:anchor="_Toc471717316" w:history="1">
        <w:r w:rsidR="0068755C" w:rsidRPr="00914F55">
          <w:rPr>
            <w:rStyle w:val="Hyperlink"/>
            <w:noProof/>
            <w:spacing w:val="-4"/>
            <w:sz w:val="18"/>
            <w:szCs w:val="18"/>
            <w:lang w:val="en-US"/>
          </w:rPr>
          <w:t>F. Method of complying with the payments ordered</w:t>
        </w:r>
        <w:r w:rsidR="0068755C" w:rsidRPr="00914F55">
          <w:rPr>
            <w:noProof/>
            <w:webHidden/>
            <w:sz w:val="18"/>
            <w:szCs w:val="18"/>
            <w:lang w:val="en-US"/>
          </w:rPr>
          <w:tab/>
        </w:r>
        <w:r w:rsidR="0068755C" w:rsidRPr="00914F55">
          <w:rPr>
            <w:noProof/>
            <w:webHidden/>
            <w:sz w:val="18"/>
            <w:szCs w:val="18"/>
            <w:lang w:val="en-US"/>
          </w:rPr>
          <w:fldChar w:fldCharType="begin"/>
        </w:r>
        <w:r w:rsidR="0068755C" w:rsidRPr="00914F55">
          <w:rPr>
            <w:noProof/>
            <w:webHidden/>
            <w:sz w:val="18"/>
            <w:szCs w:val="18"/>
            <w:lang w:val="en-US"/>
          </w:rPr>
          <w:instrText xml:space="preserve"> PAGEREF _Toc471717316 \h </w:instrText>
        </w:r>
        <w:r w:rsidR="0068755C" w:rsidRPr="00914F55">
          <w:rPr>
            <w:noProof/>
            <w:webHidden/>
            <w:sz w:val="18"/>
            <w:szCs w:val="18"/>
            <w:lang w:val="en-US"/>
          </w:rPr>
        </w:r>
        <w:r w:rsidR="0068755C" w:rsidRPr="00914F55">
          <w:rPr>
            <w:noProof/>
            <w:webHidden/>
            <w:sz w:val="18"/>
            <w:szCs w:val="18"/>
            <w:lang w:val="en-US"/>
          </w:rPr>
          <w:fldChar w:fldCharType="separate"/>
        </w:r>
        <w:r w:rsidR="00547588">
          <w:rPr>
            <w:noProof/>
            <w:webHidden/>
            <w:sz w:val="18"/>
            <w:szCs w:val="18"/>
            <w:lang w:val="en-US"/>
          </w:rPr>
          <w:t>102</w:t>
        </w:r>
        <w:r w:rsidR="0068755C" w:rsidRPr="00914F55">
          <w:rPr>
            <w:noProof/>
            <w:webHidden/>
            <w:sz w:val="18"/>
            <w:szCs w:val="18"/>
            <w:lang w:val="en-US"/>
          </w:rPr>
          <w:fldChar w:fldCharType="end"/>
        </w:r>
      </w:hyperlink>
    </w:p>
    <w:p w14:paraId="7B489BC9" w14:textId="6EA4E65B" w:rsidR="0068755C" w:rsidRPr="00914F55" w:rsidRDefault="0068755C">
      <w:pPr>
        <w:pStyle w:val="TOC1"/>
        <w:rPr>
          <w:rFonts w:asciiTheme="minorHAnsi" w:eastAsiaTheme="minorEastAsia" w:hAnsiTheme="minorHAnsi" w:cstheme="minorBidi"/>
          <w:b w:val="0"/>
          <w:spacing w:val="0"/>
          <w:lang w:val="en-US"/>
        </w:rPr>
      </w:pPr>
      <w:r w:rsidRPr="00914F55">
        <w:rPr>
          <w:rStyle w:val="Hyperlink"/>
          <w:color w:val="auto"/>
          <w:u w:val="none"/>
          <w:lang w:val="en-US"/>
        </w:rPr>
        <w:t xml:space="preserve">IX </w:t>
      </w:r>
      <w:hyperlink w:anchor="_Toc471717318" w:history="1">
        <w:r w:rsidRPr="00A50E4D">
          <w:rPr>
            <w:rStyle w:val="Hyperlink"/>
            <w:lang w:val="en-US"/>
          </w:rPr>
          <w:t>OPERATIVE PARAGRAPHS</w:t>
        </w:r>
        <w:r w:rsidRPr="00914F55">
          <w:rPr>
            <w:webHidden/>
            <w:lang w:val="en-US"/>
          </w:rPr>
          <w:tab/>
        </w:r>
        <w:r w:rsidRPr="00914F55">
          <w:rPr>
            <w:webHidden/>
            <w:lang w:val="en-US"/>
          </w:rPr>
          <w:fldChar w:fldCharType="begin"/>
        </w:r>
        <w:r w:rsidRPr="00914F55">
          <w:rPr>
            <w:webHidden/>
            <w:lang w:val="en-US"/>
          </w:rPr>
          <w:instrText xml:space="preserve"> PAGEREF _Toc471717318 \h </w:instrText>
        </w:r>
        <w:r w:rsidRPr="00914F55">
          <w:rPr>
            <w:webHidden/>
            <w:lang w:val="en-US"/>
          </w:rPr>
        </w:r>
        <w:r w:rsidRPr="00914F55">
          <w:rPr>
            <w:webHidden/>
            <w:lang w:val="en-US"/>
          </w:rPr>
          <w:fldChar w:fldCharType="separate"/>
        </w:r>
        <w:r w:rsidR="00547588">
          <w:rPr>
            <w:webHidden/>
            <w:lang w:val="en-US"/>
          </w:rPr>
          <w:t>103</w:t>
        </w:r>
        <w:r w:rsidRPr="00914F55">
          <w:rPr>
            <w:webHidden/>
            <w:lang w:val="en-US"/>
          </w:rPr>
          <w:fldChar w:fldCharType="end"/>
        </w:r>
      </w:hyperlink>
    </w:p>
    <w:p w14:paraId="4BD84DC3" w14:textId="77777777" w:rsidR="00DB3A3D" w:rsidRPr="00914F55" w:rsidRDefault="00F52058" w:rsidP="00231C59">
      <w:pPr>
        <w:pStyle w:val="Heading1"/>
        <w:spacing w:before="100" w:after="100"/>
        <w:jc w:val="both"/>
        <w:rPr>
          <w:sz w:val="14"/>
          <w:szCs w:val="14"/>
          <w:lang w:val="en-US"/>
        </w:rPr>
      </w:pPr>
      <w:r w:rsidRPr="008136A0">
        <w:rPr>
          <w:sz w:val="18"/>
          <w:szCs w:val="18"/>
          <w:lang w:val="en-US"/>
        </w:rPr>
        <w:fldChar w:fldCharType="end"/>
      </w:r>
      <w:bookmarkStart w:id="14" w:name="_Toc427932784"/>
      <w:bookmarkStart w:id="15" w:name="_Toc431584601"/>
      <w:r w:rsidR="00DB3A3D" w:rsidRPr="00914F55">
        <w:rPr>
          <w:sz w:val="14"/>
          <w:szCs w:val="14"/>
          <w:lang w:val="en-US"/>
        </w:rPr>
        <w:br w:type="page"/>
      </w:r>
    </w:p>
    <w:p w14:paraId="31A62EDF" w14:textId="666BACFD" w:rsidR="003D717E" w:rsidRPr="00A50E4D" w:rsidRDefault="003D717E" w:rsidP="00DB3A3D">
      <w:pPr>
        <w:pStyle w:val="Heading1"/>
        <w:rPr>
          <w:rFonts w:eastAsiaTheme="minorEastAsia" w:cstheme="minorBidi"/>
          <w:lang w:val="en-US"/>
        </w:rPr>
      </w:pPr>
      <w:bookmarkStart w:id="16" w:name="_Toc471717234"/>
      <w:r w:rsidRPr="00A50E4D">
        <w:rPr>
          <w:spacing w:val="-4"/>
          <w:lang w:val="en-US"/>
        </w:rPr>
        <w:lastRenderedPageBreak/>
        <w:t>I</w:t>
      </w:r>
      <w:bookmarkEnd w:id="13"/>
      <w:bookmarkEnd w:id="14"/>
      <w:bookmarkEnd w:id="15"/>
      <w:bookmarkEnd w:id="16"/>
    </w:p>
    <w:p w14:paraId="4F60E186" w14:textId="0341C026" w:rsidR="003D717E" w:rsidRPr="00A50E4D" w:rsidRDefault="00371BB7" w:rsidP="00DB3A3D">
      <w:pPr>
        <w:pStyle w:val="Heading1"/>
        <w:rPr>
          <w:spacing w:val="-4"/>
          <w:lang w:val="en-US"/>
        </w:rPr>
      </w:pPr>
      <w:bookmarkStart w:id="17" w:name="_Toc471717235"/>
      <w:r w:rsidRPr="00A50E4D">
        <w:rPr>
          <w:spacing w:val="-4"/>
          <w:lang w:val="en-US"/>
        </w:rPr>
        <w:t>INTRODUCTION OF THE CASE AND PURPOSE OF THE DISPUTE</w:t>
      </w:r>
      <w:bookmarkEnd w:id="17"/>
    </w:p>
    <w:p w14:paraId="52B8BA94" w14:textId="77777777" w:rsidR="003D717E" w:rsidRPr="00A50E4D" w:rsidRDefault="003D717E" w:rsidP="003D717E">
      <w:pPr>
        <w:pStyle w:val="NoSpacing"/>
        <w:tabs>
          <w:tab w:val="left" w:pos="567"/>
        </w:tabs>
        <w:rPr>
          <w:spacing w:val="-4"/>
          <w:lang w:val="en-US"/>
        </w:rPr>
      </w:pPr>
    </w:p>
    <w:p w14:paraId="13DAA4FF" w14:textId="791B5811" w:rsidR="003D717E" w:rsidRPr="00A50E4D" w:rsidRDefault="00371BB7" w:rsidP="00371BB7">
      <w:pPr>
        <w:pStyle w:val="PrrafodeSentencia"/>
        <w:rPr>
          <w:b/>
          <w:lang w:val="en-US"/>
        </w:rPr>
      </w:pPr>
      <w:bookmarkStart w:id="18" w:name="_Ref308343890"/>
      <w:bookmarkStart w:id="19" w:name="_Ref314691210"/>
      <w:bookmarkStart w:id="20" w:name="_Ref343554304"/>
      <w:r w:rsidRPr="00A50E4D">
        <w:rPr>
          <w:i/>
          <w:lang w:val="en-US"/>
        </w:rPr>
        <w:t>The case submitted to</w:t>
      </w:r>
      <w:r w:rsidR="003D717E" w:rsidRPr="00A50E4D">
        <w:rPr>
          <w:i/>
          <w:lang w:val="en-US"/>
        </w:rPr>
        <w:t xml:space="preserve"> </w:t>
      </w:r>
      <w:r w:rsidR="009808C5" w:rsidRPr="00A50E4D">
        <w:rPr>
          <w:i/>
          <w:lang w:val="en-US"/>
        </w:rPr>
        <w:t>the Court</w:t>
      </w:r>
      <w:r w:rsidRPr="00A50E4D">
        <w:rPr>
          <w:i/>
          <w:lang w:val="en-US"/>
        </w:rPr>
        <w:t>.</w:t>
      </w:r>
      <w:r w:rsidR="003D717E" w:rsidRPr="00A50E4D">
        <w:rPr>
          <w:i/>
          <w:lang w:val="en-US"/>
        </w:rPr>
        <w:t xml:space="preserve"> </w:t>
      </w:r>
      <w:r w:rsidRPr="00A50E4D">
        <w:rPr>
          <w:lang w:val="en-US"/>
        </w:rPr>
        <w:t>On March 17,</w:t>
      </w:r>
      <w:r w:rsidR="003D717E" w:rsidRPr="00A50E4D">
        <w:rPr>
          <w:lang w:val="en-US"/>
        </w:rPr>
        <w:t xml:space="preserve"> 2014, </w:t>
      </w:r>
      <w:r w:rsidRPr="00A50E4D">
        <w:rPr>
          <w:lang w:val="en-US"/>
        </w:rPr>
        <w:t xml:space="preserve">in accordance with the provisions of </w:t>
      </w:r>
      <w:r w:rsidR="009808C5" w:rsidRPr="00A50E4D">
        <w:rPr>
          <w:lang w:val="en-US"/>
        </w:rPr>
        <w:t>Articles</w:t>
      </w:r>
      <w:r w:rsidR="003D717E" w:rsidRPr="00A50E4D">
        <w:rPr>
          <w:lang w:val="en-US"/>
        </w:rPr>
        <w:t xml:space="preserve"> 51</w:t>
      </w:r>
      <w:r w:rsidR="009808C5" w:rsidRPr="00A50E4D">
        <w:rPr>
          <w:lang w:val="en-US"/>
        </w:rPr>
        <w:t xml:space="preserve"> and </w:t>
      </w:r>
      <w:r w:rsidR="003D717E" w:rsidRPr="00A50E4D">
        <w:rPr>
          <w:lang w:val="en-US"/>
        </w:rPr>
        <w:t>61</w:t>
      </w:r>
      <w:r w:rsidR="009808C5" w:rsidRPr="00A50E4D">
        <w:rPr>
          <w:lang w:val="en-US"/>
        </w:rPr>
        <w:t xml:space="preserve"> of the American Convention and Article</w:t>
      </w:r>
      <w:r w:rsidR="003D717E" w:rsidRPr="00A50E4D">
        <w:rPr>
          <w:lang w:val="en-US"/>
        </w:rPr>
        <w:t xml:space="preserve"> 35</w:t>
      </w:r>
      <w:r w:rsidR="009808C5" w:rsidRPr="00A50E4D">
        <w:rPr>
          <w:lang w:val="en-US"/>
        </w:rPr>
        <w:t xml:space="preserve"> of the </w:t>
      </w:r>
      <w:r w:rsidRPr="00A50E4D">
        <w:rPr>
          <w:lang w:val="en-US"/>
        </w:rPr>
        <w:t xml:space="preserve">Court’s </w:t>
      </w:r>
      <w:r w:rsidR="009808C5" w:rsidRPr="00A50E4D">
        <w:rPr>
          <w:lang w:val="en-US"/>
        </w:rPr>
        <w:t>Rules of Procedure</w:t>
      </w:r>
      <w:r w:rsidR="003D717E" w:rsidRPr="00A50E4D">
        <w:rPr>
          <w:lang w:val="en-US"/>
        </w:rPr>
        <w:t xml:space="preserve">, </w:t>
      </w:r>
      <w:r w:rsidR="009808C5" w:rsidRPr="00A50E4D">
        <w:rPr>
          <w:lang w:val="en-US"/>
        </w:rPr>
        <w:t>the Inter-American Commission on Human Rights</w:t>
      </w:r>
      <w:r w:rsidR="003D717E" w:rsidRPr="00A50E4D">
        <w:rPr>
          <w:lang w:val="en-US"/>
        </w:rPr>
        <w:t xml:space="preserve"> (</w:t>
      </w:r>
      <w:r w:rsidR="009808C5" w:rsidRPr="00A50E4D">
        <w:rPr>
          <w:lang w:val="en-US"/>
        </w:rPr>
        <w:t>hereinafter</w:t>
      </w:r>
      <w:r w:rsidR="003D717E" w:rsidRPr="00A50E4D">
        <w:rPr>
          <w:lang w:val="en-US"/>
        </w:rPr>
        <w:t xml:space="preserve"> “</w:t>
      </w:r>
      <w:r w:rsidR="009808C5" w:rsidRPr="00A50E4D">
        <w:rPr>
          <w:lang w:val="en-US"/>
        </w:rPr>
        <w:t>the Inter-American Commission</w:t>
      </w:r>
      <w:r w:rsidR="003D717E" w:rsidRPr="00A50E4D">
        <w:rPr>
          <w:lang w:val="en-US"/>
        </w:rPr>
        <w:t>” o</w:t>
      </w:r>
      <w:r w:rsidRPr="00A50E4D">
        <w:rPr>
          <w:lang w:val="en-US"/>
        </w:rPr>
        <w:t>r</w:t>
      </w:r>
      <w:r w:rsidR="003D717E" w:rsidRPr="00A50E4D">
        <w:rPr>
          <w:lang w:val="en-US"/>
        </w:rPr>
        <w:t xml:space="preserve"> “</w:t>
      </w:r>
      <w:r w:rsidR="009808C5" w:rsidRPr="00A50E4D">
        <w:rPr>
          <w:lang w:val="en-US"/>
        </w:rPr>
        <w:t>the Commission</w:t>
      </w:r>
      <w:r w:rsidR="003D717E" w:rsidRPr="00A50E4D">
        <w:rPr>
          <w:lang w:val="en-US"/>
        </w:rPr>
        <w:t xml:space="preserve">”) </w:t>
      </w:r>
      <w:r w:rsidRPr="00A50E4D">
        <w:rPr>
          <w:lang w:val="en-US"/>
        </w:rPr>
        <w:t xml:space="preserve">submitted to the jurisdiction </w:t>
      </w:r>
      <w:r w:rsidR="009808C5" w:rsidRPr="00A50E4D">
        <w:rPr>
          <w:lang w:val="en-US"/>
        </w:rPr>
        <w:t>of the Inter-American Court</w:t>
      </w:r>
      <w:r w:rsidR="003D717E" w:rsidRPr="00A50E4D">
        <w:rPr>
          <w:lang w:val="en-US"/>
        </w:rPr>
        <w:t xml:space="preserve"> </w:t>
      </w:r>
      <w:r w:rsidRPr="00A50E4D">
        <w:rPr>
          <w:lang w:val="en-US"/>
        </w:rPr>
        <w:t>the case of</w:t>
      </w:r>
      <w:r w:rsidR="003D717E" w:rsidRPr="00A50E4D">
        <w:rPr>
          <w:lang w:val="en-US"/>
        </w:rPr>
        <w:t xml:space="preserve"> </w:t>
      </w:r>
      <w:r w:rsidR="003D717E" w:rsidRPr="00A50E4D">
        <w:rPr>
          <w:i/>
          <w:lang w:val="en-US"/>
        </w:rPr>
        <w:t xml:space="preserve">Adán Guillermo López </w:t>
      </w:r>
      <w:r w:rsidR="009808C5" w:rsidRPr="00A50E4D">
        <w:rPr>
          <w:i/>
          <w:lang w:val="en-US"/>
        </w:rPr>
        <w:t>Lone et al.</w:t>
      </w:r>
      <w:r w:rsidR="003D717E" w:rsidRPr="00A50E4D">
        <w:rPr>
          <w:lang w:val="en-US"/>
        </w:rPr>
        <w:t xml:space="preserve"> </w:t>
      </w:r>
      <w:r w:rsidRPr="00A50E4D">
        <w:rPr>
          <w:i/>
          <w:iCs/>
          <w:lang w:val="en-US"/>
        </w:rPr>
        <w:t xml:space="preserve">versus the Republic of </w:t>
      </w:r>
      <w:r w:rsidR="003D717E" w:rsidRPr="00A50E4D">
        <w:rPr>
          <w:i/>
          <w:iCs/>
          <w:lang w:val="en-US"/>
        </w:rPr>
        <w:t>Honduras</w:t>
      </w:r>
      <w:r w:rsidR="00A77DCC" w:rsidRPr="00A50E4D">
        <w:rPr>
          <w:i/>
          <w:iCs/>
          <w:lang w:val="en-US"/>
        </w:rPr>
        <w:t xml:space="preserve"> </w:t>
      </w:r>
      <w:r w:rsidR="00A77DCC" w:rsidRPr="00A50E4D">
        <w:rPr>
          <w:lang w:val="en-US"/>
        </w:rPr>
        <w:t>(</w:t>
      </w:r>
      <w:r w:rsidR="009808C5" w:rsidRPr="00A50E4D">
        <w:rPr>
          <w:lang w:val="en-US"/>
        </w:rPr>
        <w:t>hereinafter</w:t>
      </w:r>
      <w:r w:rsidR="00A77DCC" w:rsidRPr="00A50E4D">
        <w:rPr>
          <w:lang w:val="en-US"/>
        </w:rPr>
        <w:t xml:space="preserve"> “</w:t>
      </w:r>
      <w:r w:rsidR="009808C5" w:rsidRPr="00A50E4D">
        <w:rPr>
          <w:lang w:val="en-US"/>
        </w:rPr>
        <w:t>the State</w:t>
      </w:r>
      <w:r w:rsidR="00A77DCC" w:rsidRPr="00A50E4D">
        <w:rPr>
          <w:lang w:val="en-US"/>
        </w:rPr>
        <w:t>” o</w:t>
      </w:r>
      <w:r w:rsidRPr="00A50E4D">
        <w:rPr>
          <w:lang w:val="en-US"/>
        </w:rPr>
        <w:t>r</w:t>
      </w:r>
      <w:r w:rsidR="00A77DCC" w:rsidRPr="00A50E4D">
        <w:rPr>
          <w:lang w:val="en-US"/>
        </w:rPr>
        <w:t xml:space="preserve"> “Honduras”)</w:t>
      </w:r>
      <w:r w:rsidR="003D717E" w:rsidRPr="00A50E4D">
        <w:rPr>
          <w:lang w:val="en-US"/>
        </w:rPr>
        <w:t xml:space="preserve">. </w:t>
      </w:r>
      <w:r w:rsidRPr="00A50E4D">
        <w:rPr>
          <w:lang w:val="en-US"/>
        </w:rPr>
        <w:t>According to the Commission, the case relates to the disci</w:t>
      </w:r>
      <w:r w:rsidR="00B11ACA" w:rsidRPr="00A50E4D">
        <w:rPr>
          <w:lang w:val="en-US"/>
        </w:rPr>
        <w:t>plinary proceedings to which</w:t>
      </w:r>
      <w:r w:rsidR="003D717E" w:rsidRPr="00A50E4D">
        <w:rPr>
          <w:lang w:val="en-US"/>
        </w:rPr>
        <w:t xml:space="preserve"> </w:t>
      </w:r>
      <w:r w:rsidR="00B11ACA" w:rsidRPr="00A50E4D">
        <w:rPr>
          <w:lang w:val="en-US"/>
        </w:rPr>
        <w:t>J</w:t>
      </w:r>
      <w:r w:rsidR="009808C5" w:rsidRPr="00A50E4D">
        <w:rPr>
          <w:lang w:val="en-US"/>
        </w:rPr>
        <w:t>udges</w:t>
      </w:r>
      <w:r w:rsidR="003D717E" w:rsidRPr="00A50E4D">
        <w:rPr>
          <w:lang w:val="en-US"/>
        </w:rPr>
        <w:t xml:space="preserve"> Adán Guillermo López Lone, Luis Alonso </w:t>
      </w:r>
      <w:r w:rsidR="009A7056" w:rsidRPr="00A50E4D">
        <w:rPr>
          <w:lang w:val="en-US"/>
        </w:rPr>
        <w:t>Chévez de la Rocha</w:t>
      </w:r>
      <w:r w:rsidR="009808C5" w:rsidRPr="00A50E4D">
        <w:rPr>
          <w:lang w:val="en-US"/>
        </w:rPr>
        <w:t xml:space="preserve"> and </w:t>
      </w:r>
      <w:r w:rsidR="003D717E" w:rsidRPr="00A50E4D">
        <w:rPr>
          <w:lang w:val="en-US"/>
        </w:rPr>
        <w:t xml:space="preserve">Ramón Enrique Barrios Maldonado, </w:t>
      </w:r>
      <w:r w:rsidR="00B11ACA" w:rsidRPr="00A50E4D">
        <w:rPr>
          <w:lang w:val="en-US"/>
        </w:rPr>
        <w:t>and</w:t>
      </w:r>
      <w:r w:rsidRPr="00A50E4D">
        <w:rPr>
          <w:lang w:val="en-US"/>
        </w:rPr>
        <w:t xml:space="preserve"> </w:t>
      </w:r>
      <w:r w:rsidR="00B11ACA" w:rsidRPr="00A50E4D">
        <w:rPr>
          <w:lang w:val="en-US"/>
        </w:rPr>
        <w:t>J</w:t>
      </w:r>
      <w:r w:rsidR="00277E12" w:rsidRPr="00A50E4D">
        <w:rPr>
          <w:lang w:val="en-US"/>
        </w:rPr>
        <w:t>ustice</w:t>
      </w:r>
      <w:r w:rsidR="003D717E" w:rsidRPr="00A50E4D">
        <w:rPr>
          <w:lang w:val="en-US"/>
        </w:rPr>
        <w:t xml:space="preserve"> </w:t>
      </w:r>
      <w:r w:rsidR="008217D7" w:rsidRPr="00A50E4D">
        <w:rPr>
          <w:lang w:val="en-US"/>
        </w:rPr>
        <w:t>Tirza del Carmen</w:t>
      </w:r>
      <w:r w:rsidR="003D717E" w:rsidRPr="00A50E4D">
        <w:rPr>
          <w:lang w:val="en-US"/>
        </w:rPr>
        <w:t xml:space="preserve"> Flores Lanza</w:t>
      </w:r>
      <w:r w:rsidRPr="00A50E4D">
        <w:rPr>
          <w:lang w:val="en-US"/>
        </w:rPr>
        <w:t xml:space="preserve"> were subjected in the context of the </w:t>
      </w:r>
      <w:r w:rsidR="00B11ACA" w:rsidRPr="00A50E4D">
        <w:rPr>
          <w:i/>
          <w:lang w:val="en-US"/>
        </w:rPr>
        <w:t>coup d’état</w:t>
      </w:r>
      <w:r w:rsidRPr="00A50E4D">
        <w:rPr>
          <w:lang w:val="en-US"/>
        </w:rPr>
        <w:t xml:space="preserve"> that took place in Honduras in </w:t>
      </w:r>
      <w:r w:rsidR="00C150F2" w:rsidRPr="00A50E4D">
        <w:rPr>
          <w:lang w:val="en-US"/>
        </w:rPr>
        <w:t>June</w:t>
      </w:r>
      <w:r w:rsidRPr="00A50E4D">
        <w:rPr>
          <w:lang w:val="en-US"/>
        </w:rPr>
        <w:t xml:space="preserve"> 2009. The presumed victims were members of the </w:t>
      </w:r>
      <w:r w:rsidR="003D717E" w:rsidRPr="00A50E4D">
        <w:rPr>
          <w:lang w:val="en-US"/>
        </w:rPr>
        <w:t>“</w:t>
      </w:r>
      <w:r w:rsidR="00B11ACA" w:rsidRPr="00A50E4D">
        <w:rPr>
          <w:i/>
          <w:lang w:val="en-US"/>
        </w:rPr>
        <w:t>Asociación de Jueces por la Democracia</w:t>
      </w:r>
      <w:r w:rsidRPr="00A50E4D">
        <w:rPr>
          <w:lang w:val="en-US"/>
        </w:rPr>
        <w:t xml:space="preserve">” </w:t>
      </w:r>
      <w:r w:rsidR="00B11ACA" w:rsidRPr="00A50E4D">
        <w:rPr>
          <w:lang w:val="en-US"/>
        </w:rPr>
        <w:t xml:space="preserve">(Association of Judges for Democracy) </w:t>
      </w:r>
      <w:r w:rsidRPr="00A50E4D">
        <w:rPr>
          <w:lang w:val="en-US"/>
        </w:rPr>
        <w:t xml:space="preserve">which had issued various public communiqués </w:t>
      </w:r>
      <w:r w:rsidR="0039531B" w:rsidRPr="00A50E4D">
        <w:rPr>
          <w:lang w:val="en-US"/>
        </w:rPr>
        <w:t>calling</w:t>
      </w:r>
      <w:r w:rsidRPr="00A50E4D">
        <w:rPr>
          <w:lang w:val="en-US"/>
        </w:rPr>
        <w:t xml:space="preserve"> the events relating to the removal of </w:t>
      </w:r>
      <w:r w:rsidR="0039531B" w:rsidRPr="00A50E4D">
        <w:rPr>
          <w:lang w:val="en-US"/>
        </w:rPr>
        <w:t xml:space="preserve">former President Zelaya </w:t>
      </w:r>
      <w:r w:rsidRPr="00A50E4D">
        <w:rPr>
          <w:lang w:val="en-US"/>
        </w:rPr>
        <w:t xml:space="preserve">a </w:t>
      </w:r>
      <w:r w:rsidR="00B11ACA" w:rsidRPr="00A50E4D">
        <w:rPr>
          <w:i/>
          <w:lang w:val="en-US"/>
        </w:rPr>
        <w:t>coup d’état</w:t>
      </w:r>
      <w:r w:rsidRPr="00A50E4D">
        <w:rPr>
          <w:lang w:val="en-US"/>
        </w:rPr>
        <w:t xml:space="preserve">, contrary to the official version of the Supreme Court of Justice indicating that </w:t>
      </w:r>
      <w:r w:rsidR="00B11ACA" w:rsidRPr="00A50E4D">
        <w:rPr>
          <w:lang w:val="en-US"/>
        </w:rPr>
        <w:t>it was</w:t>
      </w:r>
      <w:r w:rsidRPr="00A50E4D">
        <w:rPr>
          <w:lang w:val="en-US"/>
        </w:rPr>
        <w:t xml:space="preserve"> a constitutional succession. According to the Commission, the disciplinary proceedings were instituted against the presumed victims to </w:t>
      </w:r>
      <w:r w:rsidR="00217182" w:rsidRPr="00A50E4D">
        <w:rPr>
          <w:lang w:val="en-US"/>
        </w:rPr>
        <w:t>sanction</w:t>
      </w:r>
      <w:r w:rsidRPr="00A50E4D">
        <w:rPr>
          <w:lang w:val="en-US"/>
        </w:rPr>
        <w:t xml:space="preserve"> the</w:t>
      </w:r>
      <w:r w:rsidR="00217182" w:rsidRPr="00A50E4D">
        <w:rPr>
          <w:lang w:val="en-US"/>
        </w:rPr>
        <w:t>ir</w:t>
      </w:r>
      <w:r w:rsidRPr="00A50E4D">
        <w:rPr>
          <w:lang w:val="en-US"/>
        </w:rPr>
        <w:t xml:space="preserve"> actions and statements against the </w:t>
      </w:r>
      <w:r w:rsidR="00B11ACA" w:rsidRPr="00A50E4D">
        <w:rPr>
          <w:i/>
          <w:lang w:val="en-US"/>
        </w:rPr>
        <w:t>coup d’état</w:t>
      </w:r>
      <w:r w:rsidR="00B11ACA" w:rsidRPr="00A50E4D">
        <w:rPr>
          <w:lang w:val="en-US"/>
        </w:rPr>
        <w:t xml:space="preserve">, but </w:t>
      </w:r>
      <w:r w:rsidRPr="00A50E4D">
        <w:rPr>
          <w:lang w:val="en-US"/>
        </w:rPr>
        <w:t>were</w:t>
      </w:r>
      <w:r w:rsidR="00B11ACA" w:rsidRPr="00A50E4D">
        <w:rPr>
          <w:lang w:val="en-US"/>
        </w:rPr>
        <w:t xml:space="preserve"> beset</w:t>
      </w:r>
      <w:r w:rsidRPr="00A50E4D">
        <w:rPr>
          <w:lang w:val="en-US"/>
        </w:rPr>
        <w:t xml:space="preserve"> </w:t>
      </w:r>
      <w:r w:rsidR="00B11ACA" w:rsidRPr="00A50E4D">
        <w:rPr>
          <w:lang w:val="en-US"/>
        </w:rPr>
        <w:t>“with</w:t>
      </w:r>
      <w:r w:rsidRPr="00A50E4D">
        <w:rPr>
          <w:lang w:val="en-US"/>
        </w:rPr>
        <w:t xml:space="preserve"> numerous irregularities that affected due process.” In this context, the case relates to alleged violations of the rights to judicial guarantees, the principle of </w:t>
      </w:r>
      <w:r w:rsidR="007E14CE" w:rsidRPr="00A50E4D">
        <w:rPr>
          <w:lang w:val="en-US"/>
        </w:rPr>
        <w:t>legality</w:t>
      </w:r>
      <w:r w:rsidR="003D717E" w:rsidRPr="00A50E4D">
        <w:rPr>
          <w:lang w:val="en-US"/>
        </w:rPr>
        <w:t xml:space="preserve">, </w:t>
      </w:r>
      <w:r w:rsidRPr="00A50E4D">
        <w:rPr>
          <w:lang w:val="en-US"/>
        </w:rPr>
        <w:t>freedom of expression</w:t>
      </w:r>
      <w:r w:rsidR="003D717E" w:rsidRPr="00A50E4D">
        <w:rPr>
          <w:lang w:val="en-US"/>
        </w:rPr>
        <w:t xml:space="preserve">, </w:t>
      </w:r>
      <w:r w:rsidRPr="00A50E4D">
        <w:rPr>
          <w:lang w:val="en-US"/>
        </w:rPr>
        <w:t>freedom of association</w:t>
      </w:r>
      <w:r w:rsidR="003D717E" w:rsidRPr="00A50E4D">
        <w:rPr>
          <w:lang w:val="en-US"/>
        </w:rPr>
        <w:t xml:space="preserve">, </w:t>
      </w:r>
      <w:r w:rsidRPr="00A50E4D">
        <w:rPr>
          <w:lang w:val="en-US"/>
        </w:rPr>
        <w:t>political rights</w:t>
      </w:r>
      <w:r w:rsidR="003D717E" w:rsidRPr="00A50E4D">
        <w:rPr>
          <w:lang w:val="en-US"/>
        </w:rPr>
        <w:t xml:space="preserve">, </w:t>
      </w:r>
      <w:r w:rsidRPr="00A50E4D">
        <w:rPr>
          <w:lang w:val="en-US"/>
        </w:rPr>
        <w:t>judicial protection,</w:t>
      </w:r>
      <w:r w:rsidR="009808C5" w:rsidRPr="00A50E4D">
        <w:rPr>
          <w:lang w:val="en-US"/>
        </w:rPr>
        <w:t xml:space="preserve"> and </w:t>
      </w:r>
      <w:r w:rsidRPr="00A50E4D">
        <w:rPr>
          <w:lang w:val="en-US"/>
        </w:rPr>
        <w:t>the right of assembly of the presumed victims</w:t>
      </w:r>
      <w:r w:rsidR="003D717E" w:rsidRPr="00A50E4D">
        <w:rPr>
          <w:lang w:val="en-US"/>
        </w:rPr>
        <w:t>.</w:t>
      </w:r>
      <w:bookmarkEnd w:id="18"/>
      <w:r w:rsidR="003D717E" w:rsidRPr="00A50E4D">
        <w:rPr>
          <w:lang w:val="en-US"/>
        </w:rPr>
        <w:t xml:space="preserve"> </w:t>
      </w:r>
      <w:bookmarkStart w:id="21" w:name="_Ref343555492"/>
      <w:bookmarkEnd w:id="19"/>
      <w:bookmarkEnd w:id="20"/>
    </w:p>
    <w:p w14:paraId="45F88D53" w14:textId="77777777" w:rsidR="003D717E" w:rsidRPr="00A50E4D" w:rsidRDefault="003D717E" w:rsidP="003D717E">
      <w:pPr>
        <w:pStyle w:val="NoSpacing"/>
        <w:tabs>
          <w:tab w:val="left" w:pos="567"/>
        </w:tabs>
        <w:rPr>
          <w:b/>
          <w:spacing w:val="-4"/>
          <w:lang w:val="en-US"/>
        </w:rPr>
      </w:pPr>
    </w:p>
    <w:p w14:paraId="6B5275F4" w14:textId="5A1F8E48" w:rsidR="003D717E" w:rsidRPr="00A50E4D" w:rsidRDefault="00371BB7" w:rsidP="003D717E">
      <w:pPr>
        <w:pStyle w:val="PrrafodeSentencia"/>
        <w:rPr>
          <w:b/>
          <w:lang w:val="en-US"/>
        </w:rPr>
      </w:pPr>
      <w:bookmarkStart w:id="22" w:name="_Ref419215582"/>
      <w:r w:rsidRPr="00A50E4D">
        <w:rPr>
          <w:i/>
          <w:lang w:val="en-US"/>
        </w:rPr>
        <w:t>Proce</w:t>
      </w:r>
      <w:r w:rsidR="00B11ACA" w:rsidRPr="00A50E4D">
        <w:rPr>
          <w:i/>
          <w:lang w:val="en-US"/>
        </w:rPr>
        <w:t>dure</w:t>
      </w:r>
      <w:r w:rsidRPr="00A50E4D">
        <w:rPr>
          <w:i/>
          <w:lang w:val="en-US"/>
        </w:rPr>
        <w:t xml:space="preserve"> before</w:t>
      </w:r>
      <w:r w:rsidR="003D717E" w:rsidRPr="00A50E4D">
        <w:rPr>
          <w:i/>
          <w:lang w:val="en-US"/>
        </w:rPr>
        <w:t xml:space="preserve"> </w:t>
      </w:r>
      <w:r w:rsidR="009808C5" w:rsidRPr="00A50E4D">
        <w:rPr>
          <w:i/>
          <w:lang w:val="en-US"/>
        </w:rPr>
        <w:t>the Commission</w:t>
      </w:r>
      <w:r w:rsidRPr="00A50E4D">
        <w:rPr>
          <w:i/>
          <w:lang w:val="en-US"/>
        </w:rPr>
        <w:t xml:space="preserve">. </w:t>
      </w:r>
      <w:r w:rsidRPr="00A50E4D">
        <w:rPr>
          <w:lang w:val="en-US"/>
        </w:rPr>
        <w:t>The proce</w:t>
      </w:r>
      <w:r w:rsidR="00B11ACA" w:rsidRPr="00A50E4D">
        <w:rPr>
          <w:lang w:val="en-US"/>
        </w:rPr>
        <w:t>dure</w:t>
      </w:r>
      <w:r w:rsidRPr="00A50E4D">
        <w:rPr>
          <w:lang w:val="en-US"/>
        </w:rPr>
        <w:t xml:space="preserve"> before </w:t>
      </w:r>
      <w:r w:rsidR="009808C5" w:rsidRPr="00A50E4D">
        <w:rPr>
          <w:lang w:val="en-US"/>
        </w:rPr>
        <w:t>the Commission</w:t>
      </w:r>
      <w:r w:rsidR="003D717E" w:rsidRPr="00A50E4D">
        <w:rPr>
          <w:lang w:val="en-US"/>
        </w:rPr>
        <w:t xml:space="preserve"> </w:t>
      </w:r>
      <w:r w:rsidRPr="00A50E4D">
        <w:rPr>
          <w:lang w:val="en-US"/>
        </w:rPr>
        <w:t>was as follows</w:t>
      </w:r>
      <w:r w:rsidR="003D717E" w:rsidRPr="00A50E4D">
        <w:rPr>
          <w:lang w:val="en-US"/>
        </w:rPr>
        <w:t>:</w:t>
      </w:r>
      <w:bookmarkEnd w:id="22"/>
    </w:p>
    <w:p w14:paraId="5583F272" w14:textId="77777777" w:rsidR="003D717E" w:rsidRPr="00A50E4D" w:rsidRDefault="003D717E" w:rsidP="003D717E">
      <w:pPr>
        <w:pStyle w:val="NoSpacing"/>
        <w:tabs>
          <w:tab w:val="left" w:pos="567"/>
        </w:tabs>
        <w:rPr>
          <w:i/>
          <w:spacing w:val="-4"/>
          <w:lang w:val="en-US"/>
        </w:rPr>
      </w:pPr>
    </w:p>
    <w:p w14:paraId="33EC2E68" w14:textId="3F2CE337" w:rsidR="0048601C" w:rsidRPr="00A50E4D" w:rsidRDefault="0048601C" w:rsidP="0048601C">
      <w:pPr>
        <w:pStyle w:val="NoSpacing"/>
        <w:numPr>
          <w:ilvl w:val="1"/>
          <w:numId w:val="0"/>
        </w:numPr>
        <w:tabs>
          <w:tab w:val="left" w:pos="709"/>
          <w:tab w:val="left" w:pos="1134"/>
        </w:tabs>
        <w:ind w:left="709"/>
        <w:rPr>
          <w:spacing w:val="-4"/>
          <w:lang w:val="en-US"/>
        </w:rPr>
      </w:pPr>
      <w:r w:rsidRPr="00A50E4D">
        <w:rPr>
          <w:i/>
          <w:spacing w:val="-4"/>
          <w:lang w:val="en-US"/>
        </w:rPr>
        <w:t xml:space="preserve">Petition. </w:t>
      </w:r>
      <w:r w:rsidRPr="00A50E4D">
        <w:rPr>
          <w:spacing w:val="-4"/>
          <w:lang w:val="en-US"/>
        </w:rPr>
        <w:t>On July 6,</w:t>
      </w:r>
      <w:r w:rsidR="001867BD" w:rsidRPr="00A50E4D">
        <w:rPr>
          <w:spacing w:val="-4"/>
          <w:lang w:val="en-US"/>
        </w:rPr>
        <w:t xml:space="preserve"> 2010</w:t>
      </w:r>
      <w:r w:rsidRPr="00A50E4D">
        <w:rPr>
          <w:spacing w:val="-4"/>
          <w:lang w:val="en-US"/>
        </w:rPr>
        <w:t>,</w:t>
      </w:r>
      <w:r w:rsidR="001867BD" w:rsidRPr="00A50E4D">
        <w:rPr>
          <w:spacing w:val="-4"/>
          <w:lang w:val="en-US"/>
        </w:rPr>
        <w:t xml:space="preserve"> </w:t>
      </w:r>
      <w:r w:rsidRPr="00A50E4D">
        <w:rPr>
          <w:spacing w:val="-4"/>
          <w:lang w:val="en-US"/>
        </w:rPr>
        <w:t>the Association of Judges</w:t>
      </w:r>
      <w:r w:rsidR="00371BB7" w:rsidRPr="00A50E4D">
        <w:rPr>
          <w:spacing w:val="-4"/>
          <w:lang w:val="en-US"/>
        </w:rPr>
        <w:t xml:space="preserve"> for Democracy</w:t>
      </w:r>
      <w:r w:rsidR="003D717E" w:rsidRPr="00A50E4D">
        <w:rPr>
          <w:spacing w:val="-4"/>
          <w:lang w:val="en-US"/>
        </w:rPr>
        <w:t xml:space="preserve"> (</w:t>
      </w:r>
      <w:r w:rsidR="009808C5" w:rsidRPr="00A50E4D">
        <w:rPr>
          <w:spacing w:val="-4"/>
          <w:lang w:val="en-US"/>
        </w:rPr>
        <w:t>hereinafter</w:t>
      </w:r>
      <w:r w:rsidR="003D717E" w:rsidRPr="00A50E4D">
        <w:rPr>
          <w:spacing w:val="-4"/>
          <w:lang w:val="en-US"/>
        </w:rPr>
        <w:t xml:space="preserve"> “AJD”)</w:t>
      </w:r>
      <w:r w:rsidR="009808C5" w:rsidRPr="00A50E4D">
        <w:rPr>
          <w:spacing w:val="-4"/>
          <w:lang w:val="en-US"/>
        </w:rPr>
        <w:t xml:space="preserve"> and </w:t>
      </w:r>
      <w:r w:rsidRPr="00A50E4D">
        <w:rPr>
          <w:spacing w:val="-4"/>
          <w:lang w:val="en-US"/>
        </w:rPr>
        <w:t>the Center for Justice and International Law</w:t>
      </w:r>
      <w:r w:rsidR="003D717E" w:rsidRPr="00A50E4D">
        <w:rPr>
          <w:spacing w:val="-4"/>
          <w:lang w:val="en-US"/>
        </w:rPr>
        <w:t xml:space="preserve"> (</w:t>
      </w:r>
      <w:r w:rsidR="009808C5" w:rsidRPr="00A50E4D">
        <w:rPr>
          <w:spacing w:val="-4"/>
          <w:lang w:val="en-US"/>
        </w:rPr>
        <w:t>hereinafter</w:t>
      </w:r>
      <w:r w:rsidR="003D717E" w:rsidRPr="00A50E4D">
        <w:rPr>
          <w:spacing w:val="-4"/>
          <w:lang w:val="en-US"/>
        </w:rPr>
        <w:t xml:space="preserve"> “CEJIL”) </w:t>
      </w:r>
      <w:r w:rsidRPr="00A50E4D">
        <w:rPr>
          <w:spacing w:val="-4"/>
          <w:lang w:val="en-US"/>
        </w:rPr>
        <w:t>lodged the initial petition.</w:t>
      </w:r>
    </w:p>
    <w:p w14:paraId="069BB749" w14:textId="06BD1F08" w:rsidR="003D717E" w:rsidRPr="00A50E4D" w:rsidRDefault="003D717E" w:rsidP="0048601C">
      <w:pPr>
        <w:pStyle w:val="NoSpacing"/>
        <w:numPr>
          <w:ilvl w:val="1"/>
          <w:numId w:val="0"/>
        </w:numPr>
        <w:tabs>
          <w:tab w:val="left" w:pos="709"/>
          <w:tab w:val="left" w:pos="1134"/>
        </w:tabs>
        <w:rPr>
          <w:spacing w:val="-4"/>
          <w:lang w:val="en-US"/>
        </w:rPr>
      </w:pPr>
      <w:r w:rsidRPr="00A50E4D">
        <w:rPr>
          <w:spacing w:val="-4"/>
          <w:lang w:val="en-US"/>
        </w:rPr>
        <w:t xml:space="preserve"> </w:t>
      </w:r>
    </w:p>
    <w:p w14:paraId="1ED30FDD" w14:textId="30B79290" w:rsidR="003D717E" w:rsidRPr="00A50E4D" w:rsidRDefault="0048601C" w:rsidP="003D717E">
      <w:pPr>
        <w:pStyle w:val="NoSpacing"/>
        <w:numPr>
          <w:ilvl w:val="1"/>
          <w:numId w:val="0"/>
        </w:numPr>
        <w:tabs>
          <w:tab w:val="left" w:pos="709"/>
          <w:tab w:val="left" w:pos="1134"/>
        </w:tabs>
        <w:ind w:left="709"/>
        <w:rPr>
          <w:spacing w:val="-4"/>
          <w:lang w:val="en-US"/>
        </w:rPr>
      </w:pPr>
      <w:r w:rsidRPr="00A50E4D">
        <w:rPr>
          <w:i/>
          <w:spacing w:val="-4"/>
          <w:lang w:val="en-US"/>
        </w:rPr>
        <w:t xml:space="preserve">Admissibility Report. </w:t>
      </w:r>
      <w:r w:rsidRPr="00A50E4D">
        <w:rPr>
          <w:spacing w:val="-4"/>
          <w:lang w:val="en-US"/>
        </w:rPr>
        <w:t>On March 31,</w:t>
      </w:r>
      <w:r w:rsidR="003D717E" w:rsidRPr="00A50E4D">
        <w:rPr>
          <w:spacing w:val="-4"/>
          <w:lang w:val="en-US"/>
        </w:rPr>
        <w:t xml:space="preserve"> 2011</w:t>
      </w:r>
      <w:r w:rsidRPr="00A50E4D">
        <w:rPr>
          <w:spacing w:val="-4"/>
          <w:lang w:val="en-US"/>
        </w:rPr>
        <w:t>,</w:t>
      </w:r>
      <w:r w:rsidR="003D717E" w:rsidRPr="00A50E4D">
        <w:rPr>
          <w:spacing w:val="-4"/>
          <w:lang w:val="en-US"/>
        </w:rPr>
        <w:t xml:space="preserve"> </w:t>
      </w:r>
      <w:r w:rsidR="009808C5" w:rsidRPr="00A50E4D">
        <w:rPr>
          <w:spacing w:val="-4"/>
          <w:lang w:val="en-US"/>
        </w:rPr>
        <w:t>the Commission</w:t>
      </w:r>
      <w:r w:rsidR="00AD5EE7" w:rsidRPr="00A50E4D">
        <w:rPr>
          <w:spacing w:val="-4"/>
          <w:lang w:val="en-US"/>
        </w:rPr>
        <w:t xml:space="preserve"> adopted </w:t>
      </w:r>
      <w:r w:rsidRPr="00A50E4D">
        <w:rPr>
          <w:spacing w:val="-4"/>
          <w:lang w:val="en-US"/>
        </w:rPr>
        <w:t>Admissibility Report</w:t>
      </w:r>
      <w:r w:rsidR="003D717E" w:rsidRPr="00A50E4D">
        <w:rPr>
          <w:spacing w:val="-4"/>
          <w:lang w:val="en-US"/>
        </w:rPr>
        <w:t xml:space="preserve"> No</w:t>
      </w:r>
      <w:r w:rsidR="00A77DCC" w:rsidRPr="00A50E4D">
        <w:rPr>
          <w:spacing w:val="-4"/>
          <w:lang w:val="en-US"/>
        </w:rPr>
        <w:t>.</w:t>
      </w:r>
      <w:r w:rsidR="003D717E" w:rsidRPr="00A50E4D">
        <w:rPr>
          <w:spacing w:val="-4"/>
          <w:lang w:val="en-US"/>
        </w:rPr>
        <w:t xml:space="preserve"> 70/11</w:t>
      </w:r>
      <w:bookmarkEnd w:id="0"/>
      <w:bookmarkEnd w:id="21"/>
      <w:r w:rsidRPr="00A50E4D">
        <w:rPr>
          <w:spacing w:val="-4"/>
          <w:lang w:val="en-US"/>
        </w:rPr>
        <w:t>.</w:t>
      </w:r>
      <w:r w:rsidR="003D717E" w:rsidRPr="00A50E4D">
        <w:rPr>
          <w:rStyle w:val="FootnoteReference"/>
          <w:spacing w:val="-4"/>
          <w:lang w:val="en-US"/>
        </w:rPr>
        <w:footnoteReference w:id="1"/>
      </w:r>
      <w:r w:rsidR="003D717E" w:rsidRPr="00A50E4D">
        <w:rPr>
          <w:spacing w:val="-4"/>
          <w:lang w:val="en-US"/>
        </w:rPr>
        <w:t xml:space="preserve"> </w:t>
      </w:r>
    </w:p>
    <w:p w14:paraId="2214486F" w14:textId="77777777" w:rsidR="003D717E" w:rsidRPr="00A50E4D" w:rsidRDefault="003D717E" w:rsidP="003D717E">
      <w:pPr>
        <w:pStyle w:val="NoSpacing"/>
        <w:tabs>
          <w:tab w:val="left" w:pos="709"/>
          <w:tab w:val="left" w:pos="1134"/>
        </w:tabs>
        <w:ind w:left="709"/>
        <w:rPr>
          <w:spacing w:val="-4"/>
          <w:lang w:val="en-US"/>
        </w:rPr>
      </w:pPr>
    </w:p>
    <w:p w14:paraId="7F2B982C" w14:textId="62933651" w:rsidR="003D717E" w:rsidRPr="00A50E4D" w:rsidRDefault="0048601C" w:rsidP="003D717E">
      <w:pPr>
        <w:pStyle w:val="NoSpacing"/>
        <w:numPr>
          <w:ilvl w:val="1"/>
          <w:numId w:val="0"/>
        </w:numPr>
        <w:tabs>
          <w:tab w:val="left" w:pos="709"/>
          <w:tab w:val="left" w:pos="1134"/>
        </w:tabs>
        <w:ind w:left="709"/>
        <w:rPr>
          <w:spacing w:val="-4"/>
          <w:lang w:val="en-US"/>
        </w:rPr>
      </w:pPr>
      <w:r w:rsidRPr="00A50E4D">
        <w:rPr>
          <w:i/>
          <w:spacing w:val="-4"/>
          <w:lang w:val="en-US"/>
        </w:rPr>
        <w:t>Repor</w:t>
      </w:r>
      <w:r w:rsidR="00AD5EE7" w:rsidRPr="00A50E4D">
        <w:rPr>
          <w:i/>
          <w:spacing w:val="-4"/>
          <w:lang w:val="en-US"/>
        </w:rPr>
        <w:t>t on the Meri</w:t>
      </w:r>
      <w:r w:rsidRPr="00A50E4D">
        <w:rPr>
          <w:i/>
          <w:spacing w:val="-4"/>
          <w:lang w:val="en-US"/>
        </w:rPr>
        <w:t>t</w:t>
      </w:r>
      <w:r w:rsidR="00AD5EE7" w:rsidRPr="00A50E4D">
        <w:rPr>
          <w:i/>
          <w:spacing w:val="-4"/>
          <w:lang w:val="en-US"/>
        </w:rPr>
        <w:t>s</w:t>
      </w:r>
      <w:r w:rsidRPr="00A50E4D">
        <w:rPr>
          <w:i/>
          <w:spacing w:val="-4"/>
          <w:lang w:val="en-US"/>
        </w:rPr>
        <w:t xml:space="preserve">. </w:t>
      </w:r>
      <w:r w:rsidRPr="00A50E4D">
        <w:rPr>
          <w:spacing w:val="-4"/>
          <w:lang w:val="en-US"/>
        </w:rPr>
        <w:t>On November 5,</w:t>
      </w:r>
      <w:r w:rsidR="003D717E" w:rsidRPr="00A50E4D">
        <w:rPr>
          <w:spacing w:val="-4"/>
          <w:lang w:val="en-US"/>
        </w:rPr>
        <w:t xml:space="preserve"> 2013</w:t>
      </w:r>
      <w:r w:rsidRPr="00A50E4D">
        <w:rPr>
          <w:spacing w:val="-4"/>
          <w:lang w:val="en-US"/>
        </w:rPr>
        <w:t>,</w:t>
      </w:r>
      <w:r w:rsidR="003D717E" w:rsidRPr="00A50E4D">
        <w:rPr>
          <w:spacing w:val="-4"/>
          <w:lang w:val="en-US"/>
        </w:rPr>
        <w:t xml:space="preserve"> </w:t>
      </w:r>
      <w:r w:rsidR="009808C5" w:rsidRPr="00A50E4D">
        <w:rPr>
          <w:spacing w:val="-4"/>
          <w:lang w:val="en-US"/>
        </w:rPr>
        <w:t>the Commission</w:t>
      </w:r>
      <w:r w:rsidR="003D717E" w:rsidRPr="00A50E4D">
        <w:rPr>
          <w:spacing w:val="-4"/>
          <w:lang w:val="en-US"/>
        </w:rPr>
        <w:t xml:space="preserve"> </w:t>
      </w:r>
      <w:r w:rsidRPr="00A50E4D">
        <w:rPr>
          <w:spacing w:val="-4"/>
          <w:lang w:val="en-US"/>
        </w:rPr>
        <w:t>a</w:t>
      </w:r>
      <w:r w:rsidR="00AD5EE7" w:rsidRPr="00A50E4D">
        <w:rPr>
          <w:spacing w:val="-4"/>
          <w:lang w:val="en-US"/>
        </w:rPr>
        <w:t>dopte</w:t>
      </w:r>
      <w:r w:rsidRPr="00A50E4D">
        <w:rPr>
          <w:spacing w:val="-4"/>
          <w:lang w:val="en-US"/>
        </w:rPr>
        <w:t>d</w:t>
      </w:r>
      <w:r w:rsidR="003D717E" w:rsidRPr="00A50E4D">
        <w:rPr>
          <w:spacing w:val="-4"/>
          <w:lang w:val="en-US"/>
        </w:rPr>
        <w:t xml:space="preserve"> </w:t>
      </w:r>
      <w:r w:rsidRPr="00A50E4D">
        <w:rPr>
          <w:spacing w:val="-4"/>
          <w:lang w:val="en-US"/>
        </w:rPr>
        <w:t>Merits Report</w:t>
      </w:r>
      <w:r w:rsidR="003D717E" w:rsidRPr="00A50E4D">
        <w:rPr>
          <w:spacing w:val="-4"/>
          <w:lang w:val="en-US"/>
        </w:rPr>
        <w:t xml:space="preserve"> No</w:t>
      </w:r>
      <w:r w:rsidR="00A77DCC" w:rsidRPr="00A50E4D">
        <w:rPr>
          <w:spacing w:val="-4"/>
          <w:lang w:val="en-US"/>
        </w:rPr>
        <w:t>.</w:t>
      </w:r>
      <w:r w:rsidR="003D717E" w:rsidRPr="00A50E4D">
        <w:rPr>
          <w:spacing w:val="-4"/>
          <w:lang w:val="en-US"/>
        </w:rPr>
        <w:t xml:space="preserve"> 103/13, </w:t>
      </w:r>
      <w:r w:rsidRPr="00A50E4D">
        <w:rPr>
          <w:spacing w:val="-4"/>
          <w:lang w:val="en-US"/>
        </w:rPr>
        <w:t>in which it reached a series of conclusions and made several recommendations to the State:</w:t>
      </w:r>
    </w:p>
    <w:p w14:paraId="4679C59F" w14:textId="77777777" w:rsidR="003D717E" w:rsidRPr="00A50E4D" w:rsidRDefault="003D717E" w:rsidP="003D717E">
      <w:pPr>
        <w:pStyle w:val="NoSpacing"/>
        <w:tabs>
          <w:tab w:val="left" w:pos="567"/>
        </w:tabs>
        <w:rPr>
          <w:i/>
          <w:spacing w:val="-4"/>
          <w:lang w:val="en-US"/>
        </w:rPr>
      </w:pPr>
    </w:p>
    <w:p w14:paraId="489F457E" w14:textId="6EDF718A" w:rsidR="003D717E" w:rsidRPr="00A50E4D" w:rsidRDefault="003D717E" w:rsidP="003D717E">
      <w:pPr>
        <w:pStyle w:val="NoSpacing"/>
        <w:numPr>
          <w:ilvl w:val="0"/>
          <w:numId w:val="5"/>
        </w:numPr>
        <w:tabs>
          <w:tab w:val="left" w:pos="567"/>
        </w:tabs>
        <w:rPr>
          <w:spacing w:val="-4"/>
          <w:lang w:val="en-US"/>
        </w:rPr>
      </w:pPr>
      <w:r w:rsidRPr="00A50E4D">
        <w:rPr>
          <w:i/>
          <w:spacing w:val="-4"/>
          <w:lang w:val="en-US"/>
        </w:rPr>
        <w:t>Conc</w:t>
      </w:r>
      <w:r w:rsidR="0048601C" w:rsidRPr="00A50E4D">
        <w:rPr>
          <w:i/>
          <w:spacing w:val="-4"/>
          <w:lang w:val="en-US"/>
        </w:rPr>
        <w:t>lusion</w:t>
      </w:r>
      <w:r w:rsidRPr="00A50E4D">
        <w:rPr>
          <w:i/>
          <w:spacing w:val="-4"/>
          <w:lang w:val="en-US"/>
        </w:rPr>
        <w:t>s.</w:t>
      </w:r>
      <w:r w:rsidR="0049336A" w:rsidRPr="00A50E4D">
        <w:rPr>
          <w:i/>
          <w:spacing w:val="-4"/>
          <w:lang w:val="en-US"/>
        </w:rPr>
        <w:t xml:space="preserve"> </w:t>
      </w:r>
      <w:r w:rsidR="0048601C" w:rsidRPr="00A50E4D">
        <w:rPr>
          <w:spacing w:val="-4"/>
          <w:lang w:val="en-US"/>
        </w:rPr>
        <w:t xml:space="preserve">The Commission concluded that </w:t>
      </w:r>
      <w:r w:rsidR="009808C5" w:rsidRPr="00A50E4D">
        <w:rPr>
          <w:spacing w:val="-4"/>
          <w:lang w:val="en-US"/>
        </w:rPr>
        <w:t xml:space="preserve">the </w:t>
      </w:r>
      <w:r w:rsidR="0048601C" w:rsidRPr="00A50E4D">
        <w:rPr>
          <w:spacing w:val="-4"/>
          <w:lang w:val="en-US"/>
        </w:rPr>
        <w:t>State of Honduras</w:t>
      </w:r>
      <w:r w:rsidRPr="00A50E4D">
        <w:rPr>
          <w:spacing w:val="-4"/>
          <w:lang w:val="en-US"/>
        </w:rPr>
        <w:t xml:space="preserve"> </w:t>
      </w:r>
      <w:r w:rsidR="0048601C" w:rsidRPr="00A50E4D">
        <w:rPr>
          <w:spacing w:val="-4"/>
          <w:lang w:val="en-US"/>
        </w:rPr>
        <w:t xml:space="preserve">was responsible for </w:t>
      </w:r>
      <w:r w:rsidR="00B11ACA" w:rsidRPr="00A50E4D">
        <w:rPr>
          <w:spacing w:val="-4"/>
          <w:lang w:val="en-US"/>
        </w:rPr>
        <w:t>violating</w:t>
      </w:r>
      <w:r w:rsidR="0048601C" w:rsidRPr="00A50E4D">
        <w:rPr>
          <w:spacing w:val="-4"/>
          <w:lang w:val="en-US"/>
        </w:rPr>
        <w:t xml:space="preserve"> </w:t>
      </w:r>
      <w:r w:rsidR="009808C5" w:rsidRPr="00A50E4D">
        <w:rPr>
          <w:spacing w:val="-4"/>
          <w:lang w:val="en-US"/>
        </w:rPr>
        <w:t>Articles</w:t>
      </w:r>
      <w:r w:rsidRPr="00A50E4D">
        <w:rPr>
          <w:spacing w:val="-4"/>
          <w:lang w:val="en-US"/>
        </w:rPr>
        <w:t xml:space="preserve"> 8, 9, 13, 16, 23</w:t>
      </w:r>
      <w:r w:rsidR="009808C5" w:rsidRPr="00A50E4D">
        <w:rPr>
          <w:spacing w:val="-4"/>
          <w:lang w:val="en-US"/>
        </w:rPr>
        <w:t xml:space="preserve"> and </w:t>
      </w:r>
      <w:r w:rsidRPr="00A50E4D">
        <w:rPr>
          <w:spacing w:val="-4"/>
          <w:lang w:val="en-US"/>
        </w:rPr>
        <w:t>25</w:t>
      </w:r>
      <w:r w:rsidR="009808C5" w:rsidRPr="00A50E4D">
        <w:rPr>
          <w:spacing w:val="-4"/>
          <w:lang w:val="en-US"/>
        </w:rPr>
        <w:t xml:space="preserve"> of the American Convention</w:t>
      </w:r>
      <w:r w:rsidRPr="00A50E4D">
        <w:rPr>
          <w:spacing w:val="-4"/>
          <w:lang w:val="en-US"/>
        </w:rPr>
        <w:t xml:space="preserve">, </w:t>
      </w:r>
      <w:r w:rsidR="0048601C" w:rsidRPr="00A50E4D">
        <w:rPr>
          <w:spacing w:val="-4"/>
          <w:lang w:val="en-US"/>
        </w:rPr>
        <w:t>in relation to Articles 1(1)</w:t>
      </w:r>
      <w:r w:rsidR="009808C5" w:rsidRPr="00A50E4D">
        <w:rPr>
          <w:spacing w:val="-4"/>
          <w:lang w:val="en-US"/>
        </w:rPr>
        <w:t xml:space="preserve"> and </w:t>
      </w:r>
      <w:r w:rsidRPr="00A50E4D">
        <w:rPr>
          <w:spacing w:val="-4"/>
          <w:lang w:val="en-US"/>
        </w:rPr>
        <w:t xml:space="preserve">2 </w:t>
      </w:r>
      <w:r w:rsidR="0048601C" w:rsidRPr="00A50E4D">
        <w:rPr>
          <w:spacing w:val="-4"/>
          <w:lang w:val="en-US"/>
        </w:rPr>
        <w:t>of this instrument</w:t>
      </w:r>
      <w:r w:rsidRPr="00A50E4D">
        <w:rPr>
          <w:spacing w:val="-4"/>
          <w:lang w:val="en-US"/>
        </w:rPr>
        <w:t xml:space="preserve">, </w:t>
      </w:r>
      <w:r w:rsidR="0048601C" w:rsidRPr="00A50E4D">
        <w:rPr>
          <w:spacing w:val="-4"/>
          <w:lang w:val="en-US"/>
        </w:rPr>
        <w:t>to the detriment of Adán</w:t>
      </w:r>
      <w:r w:rsidRPr="00A50E4D">
        <w:rPr>
          <w:spacing w:val="-4"/>
          <w:lang w:val="en-US"/>
        </w:rPr>
        <w:t xml:space="preserve"> Guillermo López Lone, Ramón Enrique Barrios Maldonado, Luis </w:t>
      </w:r>
      <w:r w:rsidR="009A7056" w:rsidRPr="00A50E4D">
        <w:rPr>
          <w:spacing w:val="-4"/>
          <w:lang w:val="en-US"/>
        </w:rPr>
        <w:t>Chévez de la Rocha</w:t>
      </w:r>
      <w:r w:rsidR="0048601C" w:rsidRPr="00A50E4D">
        <w:rPr>
          <w:spacing w:val="-4"/>
          <w:lang w:val="en-US"/>
        </w:rPr>
        <w:t xml:space="preserve"> and</w:t>
      </w:r>
      <w:r w:rsidRPr="00A50E4D">
        <w:rPr>
          <w:spacing w:val="-4"/>
          <w:lang w:val="en-US"/>
        </w:rPr>
        <w:t xml:space="preserve"> </w:t>
      </w:r>
      <w:r w:rsidR="008217D7" w:rsidRPr="00A50E4D">
        <w:rPr>
          <w:spacing w:val="-4"/>
          <w:lang w:val="en-US"/>
        </w:rPr>
        <w:t>Tirza del Carmen</w:t>
      </w:r>
      <w:r w:rsidRPr="00A50E4D">
        <w:rPr>
          <w:spacing w:val="-4"/>
          <w:lang w:val="en-US"/>
        </w:rPr>
        <w:t xml:space="preserve"> Flores Lanza, </w:t>
      </w:r>
      <w:r w:rsidR="0048601C" w:rsidRPr="00A50E4D">
        <w:rPr>
          <w:spacing w:val="-4"/>
          <w:lang w:val="en-US"/>
        </w:rPr>
        <w:t xml:space="preserve">and also for </w:t>
      </w:r>
      <w:r w:rsidR="00B11ACA" w:rsidRPr="00A50E4D">
        <w:rPr>
          <w:spacing w:val="-4"/>
          <w:lang w:val="en-US"/>
        </w:rPr>
        <w:t>violating</w:t>
      </w:r>
      <w:r w:rsidR="0048601C" w:rsidRPr="00A50E4D">
        <w:rPr>
          <w:spacing w:val="-4"/>
          <w:lang w:val="en-US"/>
        </w:rPr>
        <w:t xml:space="preserve"> Article</w:t>
      </w:r>
      <w:r w:rsidRPr="00A50E4D">
        <w:rPr>
          <w:spacing w:val="-4"/>
          <w:lang w:val="en-US"/>
        </w:rPr>
        <w:t xml:space="preserve"> 15</w:t>
      </w:r>
      <w:r w:rsidR="009808C5" w:rsidRPr="00A50E4D">
        <w:rPr>
          <w:spacing w:val="-4"/>
          <w:lang w:val="en-US"/>
        </w:rPr>
        <w:t xml:space="preserve"> of the Convention</w:t>
      </w:r>
      <w:r w:rsidR="00B064BB" w:rsidRPr="00A50E4D">
        <w:rPr>
          <w:spacing w:val="-4"/>
          <w:lang w:val="en-US"/>
        </w:rPr>
        <w:t>,</w:t>
      </w:r>
      <w:r w:rsidRPr="00A50E4D">
        <w:rPr>
          <w:spacing w:val="-4"/>
          <w:lang w:val="en-US"/>
        </w:rPr>
        <w:t xml:space="preserve"> </w:t>
      </w:r>
      <w:r w:rsidR="0048601C" w:rsidRPr="00A50E4D">
        <w:rPr>
          <w:spacing w:val="-4"/>
          <w:lang w:val="en-US"/>
        </w:rPr>
        <w:t>in relation to Article 1(1)</w:t>
      </w:r>
      <w:r w:rsidR="009808C5" w:rsidRPr="00A50E4D">
        <w:rPr>
          <w:spacing w:val="-4"/>
          <w:lang w:val="en-US"/>
        </w:rPr>
        <w:t xml:space="preserve"> and </w:t>
      </w:r>
      <w:r w:rsidRPr="00A50E4D">
        <w:rPr>
          <w:spacing w:val="-4"/>
          <w:lang w:val="en-US"/>
        </w:rPr>
        <w:t>2</w:t>
      </w:r>
      <w:r w:rsidR="009808C5" w:rsidRPr="00A50E4D">
        <w:rPr>
          <w:spacing w:val="-4"/>
          <w:lang w:val="en-US"/>
        </w:rPr>
        <w:t xml:space="preserve"> of the Convention</w:t>
      </w:r>
      <w:r w:rsidR="00B064BB" w:rsidRPr="00A50E4D">
        <w:rPr>
          <w:spacing w:val="-4"/>
          <w:lang w:val="en-US"/>
        </w:rPr>
        <w:t>,</w:t>
      </w:r>
      <w:r w:rsidRPr="00A50E4D">
        <w:rPr>
          <w:spacing w:val="-4"/>
          <w:lang w:val="en-US"/>
        </w:rPr>
        <w:t xml:space="preserve"> </w:t>
      </w:r>
      <w:r w:rsidR="0048601C" w:rsidRPr="00A50E4D">
        <w:rPr>
          <w:spacing w:val="-4"/>
          <w:lang w:val="en-US"/>
        </w:rPr>
        <w:t>to the detriment of Guillermo</w:t>
      </w:r>
      <w:r w:rsidRPr="00A50E4D">
        <w:rPr>
          <w:spacing w:val="-4"/>
          <w:lang w:val="en-US"/>
        </w:rPr>
        <w:t xml:space="preserve"> López Lone. </w:t>
      </w:r>
    </w:p>
    <w:p w14:paraId="2139DFB9" w14:textId="77777777" w:rsidR="003D717E" w:rsidRPr="00A50E4D" w:rsidRDefault="003D717E" w:rsidP="003D717E">
      <w:pPr>
        <w:pStyle w:val="NoSpacing"/>
        <w:tabs>
          <w:tab w:val="left" w:pos="567"/>
        </w:tabs>
        <w:rPr>
          <w:i/>
          <w:spacing w:val="-4"/>
          <w:lang w:val="en-US"/>
        </w:rPr>
      </w:pPr>
    </w:p>
    <w:p w14:paraId="444873BB" w14:textId="03F14BFD" w:rsidR="003D717E" w:rsidRPr="00A50E4D" w:rsidRDefault="0048601C" w:rsidP="003D717E">
      <w:pPr>
        <w:pStyle w:val="NoSpacing"/>
        <w:numPr>
          <w:ilvl w:val="0"/>
          <w:numId w:val="5"/>
        </w:numPr>
        <w:tabs>
          <w:tab w:val="left" w:pos="567"/>
        </w:tabs>
        <w:rPr>
          <w:spacing w:val="-4"/>
          <w:lang w:val="en-US"/>
        </w:rPr>
      </w:pPr>
      <w:r w:rsidRPr="00A50E4D">
        <w:rPr>
          <w:i/>
          <w:spacing w:val="-4"/>
          <w:lang w:val="en-US"/>
        </w:rPr>
        <w:t xml:space="preserve">Recommendations. </w:t>
      </w:r>
      <w:r w:rsidRPr="00A50E4D">
        <w:rPr>
          <w:spacing w:val="-4"/>
          <w:lang w:val="en-US"/>
        </w:rPr>
        <w:t>Consequently</w:t>
      </w:r>
      <w:r w:rsidR="003D717E" w:rsidRPr="00A50E4D">
        <w:rPr>
          <w:spacing w:val="-4"/>
          <w:lang w:val="en-US"/>
        </w:rPr>
        <w:t xml:space="preserve">, </w:t>
      </w:r>
      <w:r w:rsidR="009808C5" w:rsidRPr="00A50E4D">
        <w:rPr>
          <w:spacing w:val="-4"/>
          <w:lang w:val="en-US"/>
        </w:rPr>
        <w:t>the Commission</w:t>
      </w:r>
      <w:r w:rsidR="003D717E" w:rsidRPr="00A50E4D">
        <w:rPr>
          <w:spacing w:val="-4"/>
          <w:lang w:val="en-US"/>
        </w:rPr>
        <w:t xml:space="preserve"> </w:t>
      </w:r>
      <w:r w:rsidRPr="00A50E4D">
        <w:rPr>
          <w:spacing w:val="-4"/>
          <w:lang w:val="en-US"/>
        </w:rPr>
        <w:t>made a series of recommendations to the State, namely:</w:t>
      </w:r>
    </w:p>
    <w:p w14:paraId="2A8C9744" w14:textId="77777777" w:rsidR="003D717E" w:rsidRPr="00A50E4D" w:rsidRDefault="003D717E" w:rsidP="003D717E">
      <w:pPr>
        <w:pStyle w:val="NoSpacing"/>
        <w:tabs>
          <w:tab w:val="left" w:pos="1843"/>
        </w:tabs>
        <w:ind w:left="1843" w:hanging="142"/>
        <w:rPr>
          <w:spacing w:val="-4"/>
          <w:lang w:val="en-US"/>
        </w:rPr>
      </w:pPr>
    </w:p>
    <w:p w14:paraId="6E93C65F" w14:textId="3C85C86C" w:rsidR="003D717E" w:rsidRPr="00A50E4D" w:rsidRDefault="003D717E" w:rsidP="003D717E">
      <w:pPr>
        <w:pStyle w:val="NoSpacing"/>
        <w:numPr>
          <w:ilvl w:val="0"/>
          <w:numId w:val="4"/>
        </w:numPr>
        <w:tabs>
          <w:tab w:val="left" w:pos="1843"/>
        </w:tabs>
        <w:ind w:left="1843" w:hanging="142"/>
        <w:rPr>
          <w:spacing w:val="-4"/>
          <w:sz w:val="18"/>
          <w:szCs w:val="18"/>
          <w:lang w:val="en-US"/>
        </w:rPr>
      </w:pPr>
      <w:r w:rsidRPr="00A50E4D">
        <w:rPr>
          <w:spacing w:val="-4"/>
          <w:sz w:val="18"/>
          <w:szCs w:val="18"/>
          <w:lang w:val="en-US"/>
        </w:rPr>
        <w:t>Rein</w:t>
      </w:r>
      <w:r w:rsidR="00217182" w:rsidRPr="00A50E4D">
        <w:rPr>
          <w:spacing w:val="-4"/>
          <w:sz w:val="18"/>
          <w:szCs w:val="18"/>
          <w:lang w:val="en-US"/>
        </w:rPr>
        <w:t xml:space="preserve">state the victims in the Judiciary, in a post similar to the one they </w:t>
      </w:r>
      <w:r w:rsidR="00B11ACA" w:rsidRPr="00A50E4D">
        <w:rPr>
          <w:spacing w:val="-4"/>
          <w:sz w:val="18"/>
          <w:szCs w:val="18"/>
          <w:lang w:val="en-US"/>
        </w:rPr>
        <w:t>held</w:t>
      </w:r>
      <w:r w:rsidR="00217182" w:rsidRPr="00A50E4D">
        <w:rPr>
          <w:spacing w:val="-4"/>
          <w:sz w:val="18"/>
          <w:szCs w:val="18"/>
          <w:lang w:val="en-US"/>
        </w:rPr>
        <w:t xml:space="preserve">, with the same salary and benefits, and </w:t>
      </w:r>
      <w:r w:rsidR="00B11ACA" w:rsidRPr="00A50E4D">
        <w:rPr>
          <w:spacing w:val="-4"/>
          <w:sz w:val="18"/>
          <w:szCs w:val="18"/>
          <w:lang w:val="en-US"/>
        </w:rPr>
        <w:t>at a similar level</w:t>
      </w:r>
      <w:r w:rsidR="00217182" w:rsidRPr="00A50E4D">
        <w:rPr>
          <w:spacing w:val="-4"/>
          <w:sz w:val="18"/>
          <w:szCs w:val="18"/>
          <w:lang w:val="en-US"/>
        </w:rPr>
        <w:t xml:space="preserve"> to the </w:t>
      </w:r>
      <w:r w:rsidR="00B11ACA" w:rsidRPr="00A50E4D">
        <w:rPr>
          <w:spacing w:val="-4"/>
          <w:sz w:val="18"/>
          <w:szCs w:val="18"/>
          <w:lang w:val="en-US"/>
        </w:rPr>
        <w:t>level</w:t>
      </w:r>
      <w:r w:rsidR="00217182" w:rsidRPr="00A50E4D">
        <w:rPr>
          <w:spacing w:val="-4"/>
          <w:sz w:val="18"/>
          <w:szCs w:val="18"/>
          <w:lang w:val="en-US"/>
        </w:rPr>
        <w:t xml:space="preserve"> they would have had currently if they had not been dismissed, for the time remaining in their term of office; alternatively, if, on reasonable grounds, it is not possible to reinstate them, the State must pay compensation.</w:t>
      </w:r>
    </w:p>
    <w:p w14:paraId="362E0CF8" w14:textId="77777777" w:rsidR="003D717E" w:rsidRPr="00A50E4D" w:rsidRDefault="003D717E" w:rsidP="003D717E">
      <w:pPr>
        <w:pStyle w:val="NoSpacing"/>
        <w:tabs>
          <w:tab w:val="left" w:pos="1843"/>
        </w:tabs>
        <w:ind w:left="1843" w:hanging="142"/>
        <w:rPr>
          <w:spacing w:val="-4"/>
          <w:sz w:val="18"/>
          <w:szCs w:val="18"/>
          <w:lang w:val="en-US"/>
        </w:rPr>
      </w:pPr>
    </w:p>
    <w:p w14:paraId="1FB453A6" w14:textId="32E4A9E5" w:rsidR="003D717E" w:rsidRPr="00A50E4D" w:rsidRDefault="003D717E" w:rsidP="003D717E">
      <w:pPr>
        <w:pStyle w:val="NoSpacing"/>
        <w:numPr>
          <w:ilvl w:val="0"/>
          <w:numId w:val="4"/>
        </w:numPr>
        <w:tabs>
          <w:tab w:val="left" w:pos="1843"/>
        </w:tabs>
        <w:ind w:left="1843" w:hanging="142"/>
        <w:rPr>
          <w:spacing w:val="-4"/>
          <w:sz w:val="18"/>
          <w:szCs w:val="18"/>
          <w:lang w:val="en-US"/>
        </w:rPr>
      </w:pPr>
      <w:r w:rsidRPr="00A50E4D">
        <w:rPr>
          <w:spacing w:val="-4"/>
          <w:sz w:val="18"/>
          <w:szCs w:val="18"/>
          <w:lang w:val="en-US"/>
        </w:rPr>
        <w:t>Re</w:t>
      </w:r>
      <w:r w:rsidR="00217182" w:rsidRPr="00A50E4D">
        <w:rPr>
          <w:spacing w:val="-4"/>
          <w:sz w:val="18"/>
          <w:szCs w:val="18"/>
          <w:lang w:val="en-US"/>
        </w:rPr>
        <w:t xml:space="preserve">dress the </w:t>
      </w:r>
      <w:r w:rsidR="003E41F4" w:rsidRPr="00A50E4D">
        <w:rPr>
          <w:spacing w:val="-4"/>
          <w:sz w:val="18"/>
          <w:szCs w:val="18"/>
          <w:lang w:val="en-US"/>
        </w:rPr>
        <w:t>consequences</w:t>
      </w:r>
      <w:r w:rsidR="00217182" w:rsidRPr="00A50E4D">
        <w:rPr>
          <w:spacing w:val="-4"/>
          <w:sz w:val="18"/>
          <w:szCs w:val="18"/>
          <w:lang w:val="en-US"/>
        </w:rPr>
        <w:t xml:space="preserve"> of the violations declared in the </w:t>
      </w:r>
      <w:r w:rsidR="0048601C" w:rsidRPr="00A50E4D">
        <w:rPr>
          <w:spacing w:val="-4"/>
          <w:sz w:val="18"/>
          <w:szCs w:val="18"/>
          <w:lang w:val="en-US"/>
        </w:rPr>
        <w:t>Merits Report</w:t>
      </w:r>
      <w:r w:rsidRPr="00A50E4D">
        <w:rPr>
          <w:spacing w:val="-4"/>
          <w:sz w:val="18"/>
          <w:szCs w:val="18"/>
          <w:lang w:val="en-US"/>
        </w:rPr>
        <w:t>, inclu</w:t>
      </w:r>
      <w:r w:rsidR="00217182" w:rsidRPr="00A50E4D">
        <w:rPr>
          <w:spacing w:val="-4"/>
          <w:sz w:val="18"/>
          <w:szCs w:val="18"/>
          <w:lang w:val="en-US"/>
        </w:rPr>
        <w:t xml:space="preserve">ding both </w:t>
      </w:r>
      <w:r w:rsidR="00B11ACA" w:rsidRPr="00A50E4D">
        <w:rPr>
          <w:spacing w:val="-4"/>
          <w:sz w:val="18"/>
          <w:szCs w:val="18"/>
          <w:lang w:val="en-US"/>
        </w:rPr>
        <w:t xml:space="preserve">the </w:t>
      </w:r>
      <w:r w:rsidR="00217182" w:rsidRPr="00A50E4D">
        <w:rPr>
          <w:spacing w:val="-4"/>
          <w:sz w:val="18"/>
          <w:szCs w:val="18"/>
          <w:lang w:val="en-US"/>
        </w:rPr>
        <w:t xml:space="preserve">pecuniary and </w:t>
      </w:r>
      <w:r w:rsidR="00B11ACA" w:rsidRPr="00A50E4D">
        <w:rPr>
          <w:spacing w:val="-4"/>
          <w:sz w:val="18"/>
          <w:szCs w:val="18"/>
          <w:lang w:val="en-US"/>
        </w:rPr>
        <w:t xml:space="preserve">the </w:t>
      </w:r>
      <w:r w:rsidR="00217182" w:rsidRPr="00A50E4D">
        <w:rPr>
          <w:spacing w:val="-4"/>
          <w:sz w:val="18"/>
          <w:szCs w:val="18"/>
          <w:lang w:val="en-US"/>
        </w:rPr>
        <w:t>non-pecuniary dama</w:t>
      </w:r>
      <w:r w:rsidR="00B11ACA" w:rsidRPr="00A50E4D">
        <w:rPr>
          <w:spacing w:val="-4"/>
          <w:sz w:val="18"/>
          <w:szCs w:val="18"/>
          <w:lang w:val="en-US"/>
        </w:rPr>
        <w:t>ge</w:t>
      </w:r>
      <w:r w:rsidR="00217182" w:rsidRPr="00A50E4D">
        <w:rPr>
          <w:spacing w:val="-4"/>
          <w:sz w:val="18"/>
          <w:szCs w:val="18"/>
          <w:lang w:val="en-US"/>
        </w:rPr>
        <w:t>.</w:t>
      </w:r>
    </w:p>
    <w:p w14:paraId="63F9BAB4" w14:textId="77777777" w:rsidR="003D717E" w:rsidRPr="00A50E4D" w:rsidRDefault="003D717E" w:rsidP="003D717E">
      <w:pPr>
        <w:pStyle w:val="NoSpacing"/>
        <w:tabs>
          <w:tab w:val="left" w:pos="1843"/>
        </w:tabs>
        <w:ind w:left="1843" w:hanging="142"/>
        <w:rPr>
          <w:spacing w:val="-4"/>
          <w:sz w:val="18"/>
          <w:szCs w:val="18"/>
          <w:lang w:val="en-US"/>
        </w:rPr>
      </w:pPr>
    </w:p>
    <w:p w14:paraId="7E7C7C74" w14:textId="5542BE38" w:rsidR="003D717E" w:rsidRPr="00A50E4D" w:rsidRDefault="00217182" w:rsidP="003D717E">
      <w:pPr>
        <w:pStyle w:val="NoSpacing"/>
        <w:numPr>
          <w:ilvl w:val="0"/>
          <w:numId w:val="4"/>
        </w:numPr>
        <w:tabs>
          <w:tab w:val="left" w:pos="1843"/>
        </w:tabs>
        <w:ind w:left="1843" w:hanging="142"/>
        <w:rPr>
          <w:spacing w:val="-4"/>
          <w:sz w:val="18"/>
          <w:szCs w:val="18"/>
          <w:lang w:val="en-US"/>
        </w:rPr>
      </w:pPr>
      <w:r w:rsidRPr="00A50E4D">
        <w:rPr>
          <w:spacing w:val="-4"/>
          <w:sz w:val="18"/>
          <w:szCs w:val="18"/>
          <w:lang w:val="en-US"/>
        </w:rPr>
        <w:t xml:space="preserve">Expedite the </w:t>
      </w:r>
      <w:r w:rsidR="00B11ACA" w:rsidRPr="00A50E4D">
        <w:rPr>
          <w:spacing w:val="-4"/>
          <w:sz w:val="18"/>
          <w:szCs w:val="18"/>
          <w:lang w:val="en-US"/>
        </w:rPr>
        <w:t xml:space="preserve">necessary </w:t>
      </w:r>
      <w:r w:rsidRPr="00A50E4D">
        <w:rPr>
          <w:spacing w:val="-4"/>
          <w:sz w:val="18"/>
          <w:szCs w:val="18"/>
          <w:lang w:val="en-US"/>
        </w:rPr>
        <w:t xml:space="preserve">amendments to the law to ensure that </w:t>
      </w:r>
      <w:r w:rsidR="003E41F4" w:rsidRPr="00A50E4D">
        <w:rPr>
          <w:spacing w:val="-4"/>
          <w:sz w:val="18"/>
          <w:szCs w:val="18"/>
          <w:lang w:val="en-US"/>
        </w:rPr>
        <w:t>disciplinary</w:t>
      </w:r>
      <w:r w:rsidRPr="00A50E4D">
        <w:rPr>
          <w:spacing w:val="-4"/>
          <w:sz w:val="18"/>
          <w:szCs w:val="18"/>
          <w:lang w:val="en-US"/>
        </w:rPr>
        <w:t xml:space="preserve"> proceedings against </w:t>
      </w:r>
      <w:r w:rsidR="009808C5" w:rsidRPr="00A50E4D">
        <w:rPr>
          <w:spacing w:val="-4"/>
          <w:sz w:val="18"/>
          <w:szCs w:val="18"/>
          <w:lang w:val="en-US"/>
        </w:rPr>
        <w:t xml:space="preserve">judges </w:t>
      </w:r>
      <w:r w:rsidRPr="00A50E4D">
        <w:rPr>
          <w:spacing w:val="-4"/>
          <w:sz w:val="18"/>
          <w:szCs w:val="18"/>
          <w:lang w:val="en-US"/>
        </w:rPr>
        <w:t>are conducted by competent authorities with sufficient guarantees of independence and impartiality.</w:t>
      </w:r>
    </w:p>
    <w:p w14:paraId="08BF7205" w14:textId="77777777" w:rsidR="003D717E" w:rsidRPr="00A50E4D" w:rsidRDefault="003D717E" w:rsidP="003D717E">
      <w:pPr>
        <w:pStyle w:val="NoSpacing"/>
        <w:tabs>
          <w:tab w:val="left" w:pos="1843"/>
        </w:tabs>
        <w:ind w:left="1843" w:hanging="142"/>
        <w:rPr>
          <w:spacing w:val="-4"/>
          <w:sz w:val="18"/>
          <w:szCs w:val="18"/>
          <w:lang w:val="en-US"/>
        </w:rPr>
      </w:pPr>
    </w:p>
    <w:p w14:paraId="3385D14E" w14:textId="5605B9BF" w:rsidR="00412676" w:rsidRPr="00A50E4D" w:rsidRDefault="00217182" w:rsidP="00412676">
      <w:pPr>
        <w:pStyle w:val="NoSpacing"/>
        <w:numPr>
          <w:ilvl w:val="0"/>
          <w:numId w:val="4"/>
        </w:numPr>
        <w:tabs>
          <w:tab w:val="left" w:pos="1843"/>
        </w:tabs>
        <w:ind w:left="1843" w:hanging="142"/>
        <w:rPr>
          <w:spacing w:val="-4"/>
          <w:sz w:val="18"/>
          <w:szCs w:val="18"/>
          <w:lang w:val="en-US"/>
        </w:rPr>
      </w:pPr>
      <w:r w:rsidRPr="00A50E4D">
        <w:rPr>
          <w:spacing w:val="-4"/>
          <w:sz w:val="18"/>
          <w:szCs w:val="18"/>
          <w:lang w:val="en-US"/>
        </w:rPr>
        <w:t>Expedite the</w:t>
      </w:r>
      <w:r w:rsidR="00B11ACA" w:rsidRPr="00A50E4D">
        <w:rPr>
          <w:spacing w:val="-4"/>
          <w:sz w:val="18"/>
          <w:szCs w:val="18"/>
          <w:lang w:val="en-US"/>
        </w:rPr>
        <w:t xml:space="preserve"> necessary amendments to the law </w:t>
      </w:r>
      <w:r w:rsidRPr="00A50E4D">
        <w:rPr>
          <w:spacing w:val="-4"/>
          <w:sz w:val="18"/>
          <w:szCs w:val="18"/>
          <w:lang w:val="en-US"/>
        </w:rPr>
        <w:t>to ensure that</w:t>
      </w:r>
      <w:r w:rsidR="00B11ACA" w:rsidRPr="00A50E4D">
        <w:rPr>
          <w:spacing w:val="-4"/>
          <w:sz w:val="18"/>
          <w:szCs w:val="18"/>
          <w:lang w:val="en-US"/>
        </w:rPr>
        <w:t xml:space="preserve"> the </w:t>
      </w:r>
      <w:r w:rsidRPr="00A50E4D">
        <w:rPr>
          <w:spacing w:val="-4"/>
          <w:sz w:val="18"/>
          <w:szCs w:val="18"/>
          <w:lang w:val="en-US"/>
        </w:rPr>
        <w:t xml:space="preserve">grounds for disciplinary action against judges and the applicable sanctions are compatible with the </w:t>
      </w:r>
      <w:r w:rsidR="00371BB7" w:rsidRPr="00A50E4D">
        <w:rPr>
          <w:spacing w:val="-4"/>
          <w:sz w:val="18"/>
          <w:szCs w:val="18"/>
          <w:lang w:val="en-US"/>
        </w:rPr>
        <w:t xml:space="preserve">principle of </w:t>
      </w:r>
      <w:r w:rsidR="007E14CE" w:rsidRPr="00A50E4D">
        <w:rPr>
          <w:spacing w:val="-4"/>
          <w:sz w:val="18"/>
          <w:szCs w:val="18"/>
          <w:lang w:val="en-US"/>
        </w:rPr>
        <w:t>legality</w:t>
      </w:r>
      <w:r w:rsidR="003D717E" w:rsidRPr="00A50E4D">
        <w:rPr>
          <w:spacing w:val="-4"/>
          <w:sz w:val="18"/>
          <w:szCs w:val="18"/>
          <w:lang w:val="en-US"/>
        </w:rPr>
        <w:t xml:space="preserve">, </w:t>
      </w:r>
      <w:r w:rsidRPr="00A50E4D">
        <w:rPr>
          <w:spacing w:val="-4"/>
          <w:sz w:val="18"/>
          <w:szCs w:val="18"/>
          <w:lang w:val="en-US"/>
        </w:rPr>
        <w:t xml:space="preserve">in the terms set out in the </w:t>
      </w:r>
      <w:r w:rsidR="0048601C" w:rsidRPr="00A50E4D">
        <w:rPr>
          <w:spacing w:val="-4"/>
          <w:sz w:val="18"/>
          <w:szCs w:val="18"/>
          <w:lang w:val="en-US"/>
        </w:rPr>
        <w:t>Merits Report</w:t>
      </w:r>
      <w:r w:rsidR="003D717E" w:rsidRPr="00A50E4D">
        <w:rPr>
          <w:spacing w:val="-4"/>
          <w:sz w:val="18"/>
          <w:szCs w:val="18"/>
          <w:lang w:val="en-US"/>
        </w:rPr>
        <w:t xml:space="preserve">. </w:t>
      </w:r>
    </w:p>
    <w:p w14:paraId="2FBB6C9D" w14:textId="77777777" w:rsidR="003D717E" w:rsidRPr="00A50E4D" w:rsidRDefault="003D717E" w:rsidP="003D717E">
      <w:pPr>
        <w:pStyle w:val="NoSpacing"/>
        <w:tabs>
          <w:tab w:val="left" w:pos="567"/>
        </w:tabs>
        <w:rPr>
          <w:spacing w:val="-4"/>
          <w:lang w:val="en-US"/>
        </w:rPr>
      </w:pPr>
    </w:p>
    <w:p w14:paraId="44427D41" w14:textId="41F614F5" w:rsidR="003D717E" w:rsidRPr="00A50E4D" w:rsidRDefault="00AD5EE7" w:rsidP="00022CF2">
      <w:pPr>
        <w:pStyle w:val="NoSpacing"/>
        <w:numPr>
          <w:ilvl w:val="0"/>
          <w:numId w:val="20"/>
        </w:numPr>
        <w:tabs>
          <w:tab w:val="left" w:pos="567"/>
          <w:tab w:val="left" w:pos="1134"/>
        </w:tabs>
        <w:rPr>
          <w:b/>
          <w:spacing w:val="-4"/>
          <w:lang w:val="en-US"/>
        </w:rPr>
      </w:pPr>
      <w:r w:rsidRPr="00A50E4D">
        <w:rPr>
          <w:i/>
          <w:spacing w:val="-4"/>
          <w:lang w:val="en-US"/>
        </w:rPr>
        <w:t xml:space="preserve">Notification of the </w:t>
      </w:r>
      <w:r w:rsidR="0048601C" w:rsidRPr="00A50E4D">
        <w:rPr>
          <w:i/>
          <w:spacing w:val="-4"/>
          <w:lang w:val="en-US"/>
        </w:rPr>
        <w:t>Merits Report</w:t>
      </w:r>
      <w:r w:rsidRPr="00A50E4D">
        <w:rPr>
          <w:i/>
          <w:spacing w:val="-4"/>
          <w:lang w:val="en-US"/>
        </w:rPr>
        <w:t>.</w:t>
      </w:r>
      <w:r w:rsidR="003D717E" w:rsidRPr="00A50E4D">
        <w:rPr>
          <w:spacing w:val="-4"/>
          <w:lang w:val="en-US"/>
        </w:rPr>
        <w:t xml:space="preserve"> </w:t>
      </w:r>
      <w:r w:rsidR="00B11ACA" w:rsidRPr="00A50E4D">
        <w:rPr>
          <w:spacing w:val="-4"/>
          <w:lang w:val="en-US"/>
        </w:rPr>
        <w:t>On December 17, 2013, t</w:t>
      </w:r>
      <w:r w:rsidRPr="00A50E4D">
        <w:rPr>
          <w:spacing w:val="-4"/>
          <w:lang w:val="en-US"/>
        </w:rPr>
        <w:t xml:space="preserve">he </w:t>
      </w:r>
      <w:r w:rsidR="0048601C" w:rsidRPr="00A50E4D">
        <w:rPr>
          <w:spacing w:val="-4"/>
          <w:lang w:val="en-US"/>
        </w:rPr>
        <w:t>Merits Report</w:t>
      </w:r>
      <w:r w:rsidR="003D717E" w:rsidRPr="00A50E4D">
        <w:rPr>
          <w:spacing w:val="-4"/>
          <w:lang w:val="en-US"/>
        </w:rPr>
        <w:t xml:space="preserve"> </w:t>
      </w:r>
      <w:r w:rsidRPr="00A50E4D">
        <w:rPr>
          <w:spacing w:val="-4"/>
          <w:lang w:val="en-US"/>
        </w:rPr>
        <w:t xml:space="preserve">was notified to the State </w:t>
      </w:r>
      <w:r w:rsidR="00B11ACA" w:rsidRPr="00A50E4D">
        <w:rPr>
          <w:spacing w:val="-4"/>
          <w:lang w:val="en-US"/>
        </w:rPr>
        <w:t>granting it</w:t>
      </w:r>
      <w:r w:rsidRPr="00A50E4D">
        <w:rPr>
          <w:spacing w:val="-4"/>
          <w:lang w:val="en-US"/>
        </w:rPr>
        <w:t xml:space="preserve"> two months to report on compliance with the recommendations. The State presented a report on the measures taken to comply with these recommendations on February 17, </w:t>
      </w:r>
      <w:r w:rsidR="003D717E" w:rsidRPr="00A50E4D">
        <w:rPr>
          <w:spacing w:val="-4"/>
          <w:lang w:val="en-US"/>
        </w:rPr>
        <w:t xml:space="preserve">2014. </w:t>
      </w:r>
    </w:p>
    <w:p w14:paraId="45CC059F" w14:textId="77777777" w:rsidR="003D717E" w:rsidRPr="00A50E4D" w:rsidRDefault="003D717E" w:rsidP="003D717E">
      <w:pPr>
        <w:pStyle w:val="NoSpacing"/>
        <w:tabs>
          <w:tab w:val="left" w:pos="567"/>
        </w:tabs>
        <w:rPr>
          <w:b/>
          <w:spacing w:val="-4"/>
          <w:lang w:val="en-US"/>
        </w:rPr>
      </w:pPr>
    </w:p>
    <w:p w14:paraId="3F008AE4" w14:textId="0406C16E" w:rsidR="003D717E" w:rsidRPr="00A50E4D" w:rsidRDefault="00AD5EE7" w:rsidP="00AD5EE7">
      <w:pPr>
        <w:pStyle w:val="PrrafodeSentencia"/>
        <w:rPr>
          <w:b/>
          <w:lang w:val="en-US"/>
        </w:rPr>
      </w:pPr>
      <w:r w:rsidRPr="00A50E4D">
        <w:rPr>
          <w:i/>
          <w:lang w:val="en-US"/>
        </w:rPr>
        <w:t>Submission to</w:t>
      </w:r>
      <w:r w:rsidR="003D717E" w:rsidRPr="00A50E4D">
        <w:rPr>
          <w:i/>
          <w:lang w:val="en-US"/>
        </w:rPr>
        <w:t xml:space="preserve"> </w:t>
      </w:r>
      <w:r w:rsidR="009808C5" w:rsidRPr="00A50E4D">
        <w:rPr>
          <w:i/>
          <w:lang w:val="en-US"/>
        </w:rPr>
        <w:t>the Court</w:t>
      </w:r>
      <w:r w:rsidR="003D717E" w:rsidRPr="00A50E4D">
        <w:rPr>
          <w:i/>
          <w:lang w:val="en-US"/>
        </w:rPr>
        <w:t xml:space="preserve">. </w:t>
      </w:r>
      <w:r w:rsidRPr="00A50E4D">
        <w:rPr>
          <w:lang w:val="en-US"/>
        </w:rPr>
        <w:t>On March 17,</w:t>
      </w:r>
      <w:r w:rsidR="003D717E" w:rsidRPr="00A50E4D">
        <w:rPr>
          <w:lang w:val="en-US"/>
        </w:rPr>
        <w:t xml:space="preserve"> 2014</w:t>
      </w:r>
      <w:r w:rsidRPr="00A50E4D">
        <w:rPr>
          <w:lang w:val="en-US"/>
        </w:rPr>
        <w:t>,</w:t>
      </w:r>
      <w:r w:rsidR="003D717E" w:rsidRPr="00A50E4D">
        <w:rPr>
          <w:lang w:val="en-US"/>
        </w:rPr>
        <w:t xml:space="preserve"> </w:t>
      </w:r>
      <w:r w:rsidR="009808C5" w:rsidRPr="00A50E4D">
        <w:rPr>
          <w:lang w:val="en-US"/>
        </w:rPr>
        <w:t>the Commission</w:t>
      </w:r>
      <w:r w:rsidR="003D717E" w:rsidRPr="00A50E4D">
        <w:rPr>
          <w:lang w:val="en-US"/>
        </w:rPr>
        <w:t xml:space="preserve"> </w:t>
      </w:r>
      <w:r w:rsidRPr="00A50E4D">
        <w:rPr>
          <w:lang w:val="en-US"/>
        </w:rPr>
        <w:t xml:space="preserve">submitted this case to the Court, “owing to the need to obtain justice for the [presumed] victims.” The Commission appointed Commissioner Tracy Robinson, Executive Secretary Emilio Álvarez Icaza and the Special Rapporteur for Freedom of Expression at the time, Catalina Botero, as delegates, and </w:t>
      </w:r>
      <w:r w:rsidR="003D717E" w:rsidRPr="00A50E4D">
        <w:rPr>
          <w:lang w:val="en-US"/>
        </w:rPr>
        <w:t xml:space="preserve">Elizabeth Abi-Mershed, </w:t>
      </w:r>
      <w:r w:rsidRPr="00A50E4D">
        <w:rPr>
          <w:lang w:val="en-US"/>
        </w:rPr>
        <w:t xml:space="preserve">Deputy Executive Secretary, </w:t>
      </w:r>
      <w:r w:rsidR="007E2006" w:rsidRPr="00A50E4D">
        <w:rPr>
          <w:lang w:val="en-US"/>
        </w:rPr>
        <w:t>Silvia Serrano Guzmán,</w:t>
      </w:r>
      <w:r w:rsidR="003D717E" w:rsidRPr="00A50E4D">
        <w:rPr>
          <w:lang w:val="en-US"/>
        </w:rPr>
        <w:t xml:space="preserve"> Ona Flores</w:t>
      </w:r>
      <w:r w:rsidR="009808C5" w:rsidRPr="00A50E4D">
        <w:rPr>
          <w:lang w:val="en-US"/>
        </w:rPr>
        <w:t xml:space="preserve"> and </w:t>
      </w:r>
      <w:r w:rsidR="003D717E" w:rsidRPr="00A50E4D">
        <w:rPr>
          <w:lang w:val="en-US"/>
        </w:rPr>
        <w:t>Jorge H. Meza Flores,</w:t>
      </w:r>
      <w:r w:rsidRPr="00A50E4D">
        <w:rPr>
          <w:lang w:val="en-US"/>
        </w:rPr>
        <w:t xml:space="preserve"> as legal advisers.</w:t>
      </w:r>
    </w:p>
    <w:p w14:paraId="12DD1669" w14:textId="77777777" w:rsidR="003D717E" w:rsidRPr="00A50E4D" w:rsidRDefault="003D717E" w:rsidP="003D717E">
      <w:pPr>
        <w:pStyle w:val="NoSpacing"/>
        <w:tabs>
          <w:tab w:val="left" w:pos="567"/>
        </w:tabs>
        <w:rPr>
          <w:b/>
          <w:spacing w:val="-4"/>
          <w:lang w:val="en-US"/>
        </w:rPr>
      </w:pPr>
    </w:p>
    <w:p w14:paraId="46B17BDB" w14:textId="061D5AA3" w:rsidR="003D717E" w:rsidRPr="00A50E4D" w:rsidRDefault="00AD5EE7" w:rsidP="003D717E">
      <w:pPr>
        <w:pStyle w:val="PrrafodeSentencia"/>
        <w:rPr>
          <w:b/>
          <w:lang w:val="en-US"/>
        </w:rPr>
      </w:pPr>
      <w:r w:rsidRPr="00A50E4D">
        <w:rPr>
          <w:i/>
          <w:lang w:val="en-US"/>
        </w:rPr>
        <w:t>Requests</w:t>
      </w:r>
      <w:r w:rsidR="009808C5" w:rsidRPr="00A50E4D">
        <w:rPr>
          <w:i/>
          <w:lang w:val="en-US"/>
        </w:rPr>
        <w:t xml:space="preserve"> of the Inter-American Commission</w:t>
      </w:r>
      <w:r w:rsidRPr="00A50E4D">
        <w:rPr>
          <w:i/>
          <w:lang w:val="en-US"/>
        </w:rPr>
        <w:t xml:space="preserve">. </w:t>
      </w:r>
      <w:r w:rsidRPr="00A50E4D">
        <w:rPr>
          <w:lang w:val="en-US"/>
        </w:rPr>
        <w:t xml:space="preserve">Based on </w:t>
      </w:r>
      <w:r w:rsidR="00B11ACA" w:rsidRPr="00A50E4D">
        <w:rPr>
          <w:lang w:val="en-US"/>
        </w:rPr>
        <w:t xml:space="preserve">the </w:t>
      </w:r>
      <w:r w:rsidRPr="00A50E4D">
        <w:rPr>
          <w:lang w:val="en-US"/>
        </w:rPr>
        <w:t>above</w:t>
      </w:r>
      <w:r w:rsidR="003D717E" w:rsidRPr="00A50E4D">
        <w:rPr>
          <w:lang w:val="en-US"/>
        </w:rPr>
        <w:t xml:space="preserve">, </w:t>
      </w:r>
      <w:r w:rsidR="009808C5" w:rsidRPr="00A50E4D">
        <w:rPr>
          <w:lang w:val="en-US"/>
        </w:rPr>
        <w:t>the Inter-American Commission</w:t>
      </w:r>
      <w:r w:rsidR="003D717E" w:rsidRPr="00A50E4D">
        <w:rPr>
          <w:lang w:val="en-US"/>
        </w:rPr>
        <w:t xml:space="preserve"> </w:t>
      </w:r>
      <w:r w:rsidRPr="00A50E4D">
        <w:rPr>
          <w:lang w:val="en-US"/>
        </w:rPr>
        <w:t xml:space="preserve">asked the Court to conclude and declare that Honduras was internationally responsible for the violations described in the </w:t>
      </w:r>
      <w:r w:rsidR="0048601C" w:rsidRPr="00A50E4D">
        <w:rPr>
          <w:lang w:val="en-US"/>
        </w:rPr>
        <w:t>Merits Report</w:t>
      </w:r>
      <w:r w:rsidR="009808C5" w:rsidRPr="00A50E4D">
        <w:rPr>
          <w:lang w:val="en-US"/>
        </w:rPr>
        <w:t xml:space="preserve"> and </w:t>
      </w:r>
      <w:r w:rsidRPr="00A50E4D">
        <w:rPr>
          <w:lang w:val="en-US"/>
        </w:rPr>
        <w:t xml:space="preserve">to order the State, as measures of reparation, to comply with </w:t>
      </w:r>
      <w:r w:rsidR="00B11ACA" w:rsidRPr="00A50E4D">
        <w:rPr>
          <w:lang w:val="en-US"/>
        </w:rPr>
        <w:t>the recommendations made in the</w:t>
      </w:r>
      <w:r w:rsidRPr="00A50E4D">
        <w:rPr>
          <w:lang w:val="en-US"/>
        </w:rPr>
        <w:t xml:space="preserve"> report </w:t>
      </w:r>
      <w:r w:rsidR="003D717E" w:rsidRPr="00A50E4D">
        <w:rPr>
          <w:lang w:val="en-US"/>
        </w:rPr>
        <w:t>(</w:t>
      </w:r>
      <w:r w:rsidR="003D717E" w:rsidRPr="00A50E4D">
        <w:rPr>
          <w:i/>
          <w:lang w:val="en-US"/>
        </w:rPr>
        <w:t>supra</w:t>
      </w:r>
      <w:r w:rsidR="003D717E" w:rsidRPr="00A50E4D">
        <w:rPr>
          <w:lang w:val="en-US"/>
        </w:rPr>
        <w:t xml:space="preserve"> </w:t>
      </w:r>
      <w:r w:rsidRPr="00A50E4D">
        <w:rPr>
          <w:lang w:val="en-US"/>
        </w:rPr>
        <w:t>para.</w:t>
      </w:r>
      <w:r w:rsidR="003D717E" w:rsidRPr="00A50E4D">
        <w:rPr>
          <w:lang w:val="en-US"/>
        </w:rPr>
        <w:t xml:space="preserve"> </w:t>
      </w:r>
      <w:r w:rsidR="00C721D2" w:rsidRPr="008136A0">
        <w:rPr>
          <w:lang w:val="en-US"/>
        </w:rPr>
        <w:fldChar w:fldCharType="begin"/>
      </w:r>
      <w:r w:rsidR="00C721D2" w:rsidRPr="00A50E4D">
        <w:rPr>
          <w:lang w:val="en-US"/>
        </w:rPr>
        <w:instrText xml:space="preserve"> REF _Ref419215582 \r \h  \* MERGEFORMAT </w:instrText>
      </w:r>
      <w:r w:rsidR="00C721D2" w:rsidRPr="008136A0">
        <w:rPr>
          <w:lang w:val="en-US"/>
        </w:rPr>
      </w:r>
      <w:r w:rsidR="00C721D2" w:rsidRPr="008136A0">
        <w:rPr>
          <w:lang w:val="en-US"/>
        </w:rPr>
        <w:fldChar w:fldCharType="separate"/>
      </w:r>
      <w:r w:rsidR="00547588">
        <w:rPr>
          <w:lang w:val="en-US"/>
        </w:rPr>
        <w:t>2</w:t>
      </w:r>
      <w:r w:rsidR="00C721D2" w:rsidRPr="008136A0">
        <w:rPr>
          <w:lang w:val="en-US"/>
        </w:rPr>
        <w:fldChar w:fldCharType="end"/>
      </w:r>
      <w:r w:rsidR="003D717E" w:rsidRPr="00A50E4D">
        <w:rPr>
          <w:lang w:val="en-US"/>
        </w:rPr>
        <w:t>).</w:t>
      </w:r>
    </w:p>
    <w:p w14:paraId="21E965DD" w14:textId="77777777" w:rsidR="003D717E" w:rsidRPr="00A50E4D" w:rsidRDefault="003D717E" w:rsidP="003D717E">
      <w:pPr>
        <w:pStyle w:val="NoSpacing"/>
        <w:tabs>
          <w:tab w:val="left" w:pos="567"/>
        </w:tabs>
        <w:rPr>
          <w:b/>
          <w:spacing w:val="-4"/>
          <w:lang w:val="en-US"/>
        </w:rPr>
      </w:pPr>
    </w:p>
    <w:p w14:paraId="11F598F1" w14:textId="77777777" w:rsidR="003D717E" w:rsidRPr="00A50E4D" w:rsidRDefault="003D717E" w:rsidP="003D717E">
      <w:pPr>
        <w:pStyle w:val="Heading1"/>
        <w:rPr>
          <w:spacing w:val="-4"/>
          <w:lang w:val="en-US"/>
        </w:rPr>
      </w:pPr>
      <w:bookmarkStart w:id="23" w:name="_Toc424834680"/>
      <w:bookmarkStart w:id="24" w:name="_Toc427932786"/>
      <w:bookmarkStart w:id="25" w:name="_Toc431584603"/>
      <w:bookmarkStart w:id="26" w:name="_Toc471717236"/>
      <w:r w:rsidRPr="00A50E4D">
        <w:rPr>
          <w:spacing w:val="-4"/>
          <w:lang w:val="en-US"/>
        </w:rPr>
        <w:t>II</w:t>
      </w:r>
      <w:bookmarkEnd w:id="23"/>
      <w:bookmarkEnd w:id="24"/>
      <w:bookmarkEnd w:id="25"/>
      <w:bookmarkEnd w:id="26"/>
    </w:p>
    <w:p w14:paraId="15F91E3C" w14:textId="0950344B" w:rsidR="003D717E" w:rsidRPr="00A50E4D" w:rsidRDefault="00AD5EE7" w:rsidP="003D717E">
      <w:pPr>
        <w:pStyle w:val="Heading1"/>
        <w:rPr>
          <w:spacing w:val="-4"/>
          <w:lang w:val="en-US"/>
        </w:rPr>
      </w:pPr>
      <w:bookmarkStart w:id="27" w:name="_Toc471717237"/>
      <w:r w:rsidRPr="00A50E4D">
        <w:rPr>
          <w:spacing w:val="-4"/>
          <w:lang w:val="en-US"/>
        </w:rPr>
        <w:t>PROCEEDINGS BEFORE THE COURT</w:t>
      </w:r>
      <w:bookmarkEnd w:id="27"/>
    </w:p>
    <w:p w14:paraId="11099E9E" w14:textId="77777777" w:rsidR="003D717E" w:rsidRPr="00A50E4D" w:rsidRDefault="003D717E" w:rsidP="003D717E">
      <w:pPr>
        <w:rPr>
          <w:spacing w:val="-4"/>
          <w:lang w:val="en-US"/>
        </w:rPr>
      </w:pPr>
    </w:p>
    <w:p w14:paraId="3916DD6E" w14:textId="04E68CA0" w:rsidR="003D717E" w:rsidRPr="00A50E4D" w:rsidRDefault="003D717E" w:rsidP="003D717E">
      <w:pPr>
        <w:pStyle w:val="PrrafodeSentencia"/>
        <w:rPr>
          <w:lang w:val="en-US"/>
        </w:rPr>
      </w:pPr>
      <w:bookmarkStart w:id="28" w:name="_Ref357172062"/>
      <w:bookmarkStart w:id="29" w:name="_Ref343555499"/>
      <w:r w:rsidRPr="00A50E4D">
        <w:rPr>
          <w:i/>
          <w:lang w:val="en-US"/>
        </w:rPr>
        <w:t>Notifica</w:t>
      </w:r>
      <w:r w:rsidR="00AD5EE7" w:rsidRPr="00A50E4D">
        <w:rPr>
          <w:i/>
          <w:lang w:val="en-US"/>
        </w:rPr>
        <w:t xml:space="preserve">tion to the State </w:t>
      </w:r>
      <w:r w:rsidR="009808C5" w:rsidRPr="00A50E4D">
        <w:rPr>
          <w:i/>
          <w:lang w:val="en-US"/>
        </w:rPr>
        <w:t xml:space="preserve">and </w:t>
      </w:r>
      <w:r w:rsidR="00AD5EE7" w:rsidRPr="00A50E4D">
        <w:rPr>
          <w:i/>
          <w:lang w:val="en-US"/>
        </w:rPr>
        <w:t>to the representatives.</w:t>
      </w:r>
      <w:r w:rsidRPr="00A50E4D">
        <w:rPr>
          <w:i/>
          <w:lang w:val="en-US"/>
        </w:rPr>
        <w:t xml:space="preserve"> </w:t>
      </w:r>
      <w:r w:rsidR="00CD2874" w:rsidRPr="00A50E4D">
        <w:rPr>
          <w:lang w:val="en-US"/>
        </w:rPr>
        <w:t xml:space="preserve">The submission of the case was notified to </w:t>
      </w:r>
      <w:r w:rsidR="00AD5EE7" w:rsidRPr="00A50E4D">
        <w:rPr>
          <w:lang w:val="en-US"/>
        </w:rPr>
        <w:t>the representatives</w:t>
      </w:r>
      <w:r w:rsidR="00371BB7" w:rsidRPr="00A50E4D">
        <w:rPr>
          <w:lang w:val="en-US"/>
        </w:rPr>
        <w:t xml:space="preserve"> of the presumed victims</w:t>
      </w:r>
      <w:r w:rsidR="009808C5" w:rsidRPr="00A50E4D">
        <w:rPr>
          <w:lang w:val="en-US"/>
        </w:rPr>
        <w:t xml:space="preserve"> and </w:t>
      </w:r>
      <w:r w:rsidR="00CD2874" w:rsidRPr="00A50E4D">
        <w:rPr>
          <w:lang w:val="en-US"/>
        </w:rPr>
        <w:t>to the State</w:t>
      </w:r>
      <w:r w:rsidRPr="00A50E4D">
        <w:rPr>
          <w:lang w:val="en-US"/>
        </w:rPr>
        <w:t xml:space="preserve"> </w:t>
      </w:r>
      <w:r w:rsidR="00CD2874" w:rsidRPr="00A50E4D">
        <w:rPr>
          <w:lang w:val="en-US"/>
        </w:rPr>
        <w:t xml:space="preserve">on April </w:t>
      </w:r>
      <w:r w:rsidRPr="00A50E4D">
        <w:rPr>
          <w:lang w:val="en-US"/>
        </w:rPr>
        <w:t>29</w:t>
      </w:r>
      <w:r w:rsidR="009808C5" w:rsidRPr="00A50E4D">
        <w:rPr>
          <w:lang w:val="en-US"/>
        </w:rPr>
        <w:t xml:space="preserve"> and </w:t>
      </w:r>
      <w:r w:rsidR="00CD2874" w:rsidRPr="00A50E4D">
        <w:rPr>
          <w:lang w:val="en-US"/>
        </w:rPr>
        <w:t xml:space="preserve">30, </w:t>
      </w:r>
      <w:r w:rsidRPr="00A50E4D">
        <w:rPr>
          <w:lang w:val="en-US"/>
        </w:rPr>
        <w:t>2014</w:t>
      </w:r>
      <w:bookmarkEnd w:id="28"/>
      <w:r w:rsidRPr="00A50E4D">
        <w:rPr>
          <w:lang w:val="en-US"/>
        </w:rPr>
        <w:t>, respectiv</w:t>
      </w:r>
      <w:r w:rsidR="00CD2874" w:rsidRPr="00A50E4D">
        <w:rPr>
          <w:lang w:val="en-US"/>
        </w:rPr>
        <w:t>ely</w:t>
      </w:r>
      <w:r w:rsidRPr="00A50E4D">
        <w:rPr>
          <w:lang w:val="en-US"/>
        </w:rPr>
        <w:t xml:space="preserve">. </w:t>
      </w:r>
      <w:bookmarkEnd w:id="29"/>
    </w:p>
    <w:p w14:paraId="3D398A1F" w14:textId="77777777" w:rsidR="003D717E" w:rsidRPr="00A50E4D" w:rsidRDefault="003D717E" w:rsidP="003D717E">
      <w:pPr>
        <w:pStyle w:val="PrrafodeSentencia"/>
        <w:numPr>
          <w:ilvl w:val="0"/>
          <w:numId w:val="0"/>
        </w:numPr>
        <w:rPr>
          <w:lang w:val="en-US"/>
        </w:rPr>
      </w:pPr>
    </w:p>
    <w:p w14:paraId="637493D6" w14:textId="69C7E239" w:rsidR="003D717E" w:rsidRPr="00A50E4D" w:rsidRDefault="00CD2874" w:rsidP="00CD2874">
      <w:pPr>
        <w:pStyle w:val="PrrafodeSentencia"/>
        <w:rPr>
          <w:lang w:val="en-US"/>
        </w:rPr>
      </w:pPr>
      <w:bookmarkStart w:id="30" w:name="_Ref308343867"/>
      <w:bookmarkStart w:id="31" w:name="_Ref357172044"/>
      <w:r w:rsidRPr="00A50E4D">
        <w:rPr>
          <w:i/>
          <w:lang w:val="en-US"/>
        </w:rPr>
        <w:t xml:space="preserve">Brief with </w:t>
      </w:r>
      <w:r w:rsidR="00D77F26" w:rsidRPr="00A50E4D">
        <w:rPr>
          <w:i/>
          <w:lang w:val="en-US"/>
        </w:rPr>
        <w:t>pleadings, motions</w:t>
      </w:r>
      <w:r w:rsidRPr="00A50E4D">
        <w:rPr>
          <w:i/>
          <w:lang w:val="en-US"/>
        </w:rPr>
        <w:t xml:space="preserve"> and evidence. </w:t>
      </w:r>
      <w:r w:rsidRPr="00A50E4D">
        <w:rPr>
          <w:lang w:val="en-US"/>
        </w:rPr>
        <w:t xml:space="preserve">On </w:t>
      </w:r>
      <w:r w:rsidR="00C150F2" w:rsidRPr="00A50E4D">
        <w:rPr>
          <w:lang w:val="en-US"/>
        </w:rPr>
        <w:t>June</w:t>
      </w:r>
      <w:r w:rsidRPr="00A50E4D">
        <w:rPr>
          <w:lang w:val="en-US"/>
        </w:rPr>
        <w:t xml:space="preserve"> 29,</w:t>
      </w:r>
      <w:r w:rsidR="003D717E" w:rsidRPr="00A50E4D">
        <w:rPr>
          <w:lang w:val="en-US"/>
        </w:rPr>
        <w:t xml:space="preserve"> 2014</w:t>
      </w:r>
      <w:r w:rsidRPr="00A50E4D">
        <w:rPr>
          <w:lang w:val="en-US"/>
        </w:rPr>
        <w:t>,</w:t>
      </w:r>
      <w:r w:rsidR="003D717E" w:rsidRPr="00A50E4D">
        <w:rPr>
          <w:lang w:val="en-US"/>
        </w:rPr>
        <w:t xml:space="preserve"> </w:t>
      </w:r>
      <w:r w:rsidR="0048601C" w:rsidRPr="00A50E4D">
        <w:rPr>
          <w:lang w:val="en-US"/>
        </w:rPr>
        <w:t>the Center for Justice and International Law</w:t>
      </w:r>
      <w:r w:rsidR="003D717E" w:rsidRPr="00A50E4D">
        <w:rPr>
          <w:lang w:val="en-US"/>
        </w:rPr>
        <w:t xml:space="preserve"> (CEJIL) (</w:t>
      </w:r>
      <w:r w:rsidR="009808C5" w:rsidRPr="00A50E4D">
        <w:rPr>
          <w:lang w:val="en-US"/>
        </w:rPr>
        <w:t>hereinafter</w:t>
      </w:r>
      <w:r w:rsidR="003D717E" w:rsidRPr="00A50E4D">
        <w:rPr>
          <w:lang w:val="en-US"/>
        </w:rPr>
        <w:t xml:space="preserve"> “</w:t>
      </w:r>
      <w:r w:rsidR="00AD5EE7" w:rsidRPr="00A50E4D">
        <w:rPr>
          <w:lang w:val="en-US"/>
        </w:rPr>
        <w:t>the representatives</w:t>
      </w:r>
      <w:r w:rsidRPr="00A50E4D">
        <w:rPr>
          <w:lang w:val="en-US"/>
        </w:rPr>
        <w:t xml:space="preserve">”) presented their brief with </w:t>
      </w:r>
      <w:r w:rsidR="00D77F26" w:rsidRPr="00A50E4D">
        <w:rPr>
          <w:lang w:val="en-US"/>
        </w:rPr>
        <w:t>pleadings, motions</w:t>
      </w:r>
      <w:r w:rsidRPr="00A50E4D">
        <w:rPr>
          <w:lang w:val="en-US"/>
        </w:rPr>
        <w:t xml:space="preserve"> and evidence </w:t>
      </w:r>
      <w:r w:rsidR="003D717E" w:rsidRPr="00A50E4D">
        <w:rPr>
          <w:lang w:val="en-US"/>
        </w:rPr>
        <w:t>(</w:t>
      </w:r>
      <w:r w:rsidR="009808C5" w:rsidRPr="00A50E4D">
        <w:rPr>
          <w:lang w:val="en-US"/>
        </w:rPr>
        <w:t>hereinafter</w:t>
      </w:r>
      <w:r w:rsidR="003D717E" w:rsidRPr="00A50E4D">
        <w:rPr>
          <w:lang w:val="en-US"/>
        </w:rPr>
        <w:t xml:space="preserve"> “</w:t>
      </w:r>
      <w:r w:rsidR="00D77F26" w:rsidRPr="00A50E4D">
        <w:rPr>
          <w:lang w:val="en-US"/>
        </w:rPr>
        <w:t>pleadings and motions</w:t>
      </w:r>
      <w:r w:rsidRPr="00A50E4D">
        <w:rPr>
          <w:lang w:val="en-US"/>
        </w:rPr>
        <w:t xml:space="preserve"> brief”)</w:t>
      </w:r>
      <w:r w:rsidR="003D717E" w:rsidRPr="00A50E4D">
        <w:rPr>
          <w:lang w:val="en-US"/>
        </w:rPr>
        <w:t xml:space="preserve"> </w:t>
      </w:r>
      <w:r w:rsidRPr="00A50E4D">
        <w:rPr>
          <w:lang w:val="en-US"/>
        </w:rPr>
        <w:t>pursuant to</w:t>
      </w:r>
      <w:r w:rsidR="003D717E" w:rsidRPr="00A50E4D">
        <w:rPr>
          <w:lang w:val="en-US"/>
        </w:rPr>
        <w:t xml:space="preserve"> </w:t>
      </w:r>
      <w:r w:rsidR="009808C5" w:rsidRPr="00A50E4D">
        <w:rPr>
          <w:lang w:val="en-US"/>
        </w:rPr>
        <w:t>Articles</w:t>
      </w:r>
      <w:r w:rsidR="003D717E" w:rsidRPr="00A50E4D">
        <w:rPr>
          <w:lang w:val="en-US"/>
        </w:rPr>
        <w:t xml:space="preserve"> 25</w:t>
      </w:r>
      <w:r w:rsidR="009808C5" w:rsidRPr="00A50E4D">
        <w:rPr>
          <w:lang w:val="en-US"/>
        </w:rPr>
        <w:t xml:space="preserve"> and </w:t>
      </w:r>
      <w:r w:rsidR="003D717E" w:rsidRPr="00A50E4D">
        <w:rPr>
          <w:lang w:val="en-US"/>
        </w:rPr>
        <w:t>40</w:t>
      </w:r>
      <w:r w:rsidR="009808C5" w:rsidRPr="00A50E4D">
        <w:rPr>
          <w:lang w:val="en-US"/>
        </w:rPr>
        <w:t xml:space="preserve"> of </w:t>
      </w:r>
      <w:r w:rsidRPr="00A50E4D">
        <w:rPr>
          <w:lang w:val="en-US"/>
        </w:rPr>
        <w:t>the Court’s Rules of Procedure</w:t>
      </w:r>
      <w:r w:rsidR="003D717E" w:rsidRPr="00A50E4D">
        <w:rPr>
          <w:lang w:val="en-US"/>
        </w:rPr>
        <w:t xml:space="preserve">. </w:t>
      </w:r>
      <w:r w:rsidR="00AD5EE7" w:rsidRPr="00A50E4D">
        <w:rPr>
          <w:lang w:val="en-US"/>
        </w:rPr>
        <w:t>The representatives</w:t>
      </w:r>
      <w:r w:rsidR="003D717E" w:rsidRPr="00A50E4D">
        <w:rPr>
          <w:lang w:val="en-US"/>
        </w:rPr>
        <w:t xml:space="preserve"> </w:t>
      </w:r>
      <w:r w:rsidRPr="00A50E4D">
        <w:rPr>
          <w:lang w:val="en-US"/>
        </w:rPr>
        <w:t>were in substantial agreement with the arguments of the Commission and asked the Court to declare that the State was internationally responsible for violating the same articles indicated by the Commission. In addition, they alleged the violation of the presumed victims’ rights to personal integrity and to honor, dignity and development of their life project, recognized in</w:t>
      </w:r>
      <w:r w:rsidR="003D717E" w:rsidRPr="00A50E4D">
        <w:rPr>
          <w:lang w:val="en-US"/>
        </w:rPr>
        <w:t xml:space="preserve"> </w:t>
      </w:r>
      <w:r w:rsidR="009808C5" w:rsidRPr="00A50E4D">
        <w:rPr>
          <w:lang w:val="en-US"/>
        </w:rPr>
        <w:t>Articles</w:t>
      </w:r>
      <w:r w:rsidR="003D717E" w:rsidRPr="00A50E4D">
        <w:rPr>
          <w:lang w:val="en-US"/>
        </w:rPr>
        <w:t xml:space="preserve"> 5</w:t>
      </w:r>
      <w:r w:rsidR="009808C5" w:rsidRPr="00A50E4D">
        <w:rPr>
          <w:lang w:val="en-US"/>
        </w:rPr>
        <w:t xml:space="preserve"> and </w:t>
      </w:r>
      <w:r w:rsidR="003D717E" w:rsidRPr="00A50E4D">
        <w:rPr>
          <w:lang w:val="en-US"/>
        </w:rPr>
        <w:t>11</w:t>
      </w:r>
      <w:r w:rsidR="009808C5" w:rsidRPr="00A50E4D">
        <w:rPr>
          <w:lang w:val="en-US"/>
        </w:rPr>
        <w:t xml:space="preserve"> of the American Convention</w:t>
      </w:r>
      <w:r w:rsidR="003D717E" w:rsidRPr="00A50E4D">
        <w:rPr>
          <w:lang w:val="en-US"/>
        </w:rPr>
        <w:t xml:space="preserve">, </w:t>
      </w:r>
      <w:r w:rsidRPr="00A50E4D">
        <w:rPr>
          <w:lang w:val="en-US"/>
        </w:rPr>
        <w:t>the presumed violation of the right to personal liberty</w:t>
      </w:r>
      <w:r w:rsidR="003D717E" w:rsidRPr="00A50E4D">
        <w:rPr>
          <w:lang w:val="en-US"/>
        </w:rPr>
        <w:t xml:space="preserve"> </w:t>
      </w:r>
      <w:r w:rsidRPr="00A50E4D">
        <w:rPr>
          <w:lang w:val="en-US"/>
        </w:rPr>
        <w:t>of</w:t>
      </w:r>
      <w:r w:rsidR="003D717E" w:rsidRPr="00A50E4D">
        <w:rPr>
          <w:lang w:val="en-US"/>
        </w:rPr>
        <w:t xml:space="preserve"> </w:t>
      </w:r>
      <w:r w:rsidR="009808C5" w:rsidRPr="00A50E4D">
        <w:rPr>
          <w:lang w:val="en-US"/>
        </w:rPr>
        <w:t>Judge</w:t>
      </w:r>
      <w:r w:rsidR="003D717E" w:rsidRPr="00A50E4D">
        <w:rPr>
          <w:lang w:val="en-US"/>
        </w:rPr>
        <w:t xml:space="preserve"> Chévez, </w:t>
      </w:r>
      <w:r w:rsidRPr="00A50E4D">
        <w:rPr>
          <w:lang w:val="en-US"/>
        </w:rPr>
        <w:t>recognized in</w:t>
      </w:r>
      <w:r w:rsidR="003D717E" w:rsidRPr="00A50E4D">
        <w:rPr>
          <w:lang w:val="en-US"/>
        </w:rPr>
        <w:t xml:space="preserve"> </w:t>
      </w:r>
      <w:r w:rsidR="009808C5" w:rsidRPr="00A50E4D">
        <w:rPr>
          <w:lang w:val="en-US"/>
        </w:rPr>
        <w:t>Article</w:t>
      </w:r>
      <w:r w:rsidR="00797862" w:rsidRPr="00A50E4D">
        <w:rPr>
          <w:lang w:val="en-US"/>
        </w:rPr>
        <w:t xml:space="preserve"> 7</w:t>
      </w:r>
      <w:r w:rsidR="009808C5" w:rsidRPr="00A50E4D">
        <w:rPr>
          <w:lang w:val="en-US"/>
        </w:rPr>
        <w:t xml:space="preserve"> of the Convention</w:t>
      </w:r>
      <w:r w:rsidR="00797862" w:rsidRPr="00A50E4D">
        <w:rPr>
          <w:lang w:val="en-US"/>
        </w:rPr>
        <w:t>, a</w:t>
      </w:r>
      <w:r w:rsidRPr="00A50E4D">
        <w:rPr>
          <w:lang w:val="en-US"/>
        </w:rPr>
        <w:t xml:space="preserve">nd also the violation of the “autonomous right to defend human rights” </w:t>
      </w:r>
      <w:r w:rsidR="00371BB7" w:rsidRPr="00A50E4D">
        <w:rPr>
          <w:lang w:val="en-US"/>
        </w:rPr>
        <w:t>of the presumed victims</w:t>
      </w:r>
      <w:r w:rsidR="003D717E" w:rsidRPr="00A50E4D">
        <w:rPr>
          <w:lang w:val="en-US"/>
        </w:rPr>
        <w:t xml:space="preserve">, </w:t>
      </w:r>
      <w:r w:rsidR="00896C43" w:rsidRPr="00A50E4D">
        <w:rPr>
          <w:lang w:val="en-US"/>
        </w:rPr>
        <w:t>alleged</w:t>
      </w:r>
      <w:r w:rsidRPr="00A50E4D">
        <w:rPr>
          <w:lang w:val="en-US"/>
        </w:rPr>
        <w:t xml:space="preserve">ly recognized in </w:t>
      </w:r>
      <w:r w:rsidR="009808C5" w:rsidRPr="00A50E4D">
        <w:rPr>
          <w:lang w:val="en-US"/>
        </w:rPr>
        <w:t>Articles</w:t>
      </w:r>
      <w:r w:rsidR="003D717E" w:rsidRPr="00A50E4D">
        <w:rPr>
          <w:lang w:val="en-US"/>
        </w:rPr>
        <w:t xml:space="preserve"> </w:t>
      </w:r>
      <w:r w:rsidRPr="00A50E4D">
        <w:rPr>
          <w:lang w:val="en-US"/>
        </w:rPr>
        <w:t>13(1)</w:t>
      </w:r>
      <w:r w:rsidR="003D717E" w:rsidRPr="00A50E4D">
        <w:rPr>
          <w:lang w:val="en-US"/>
        </w:rPr>
        <w:t xml:space="preserve">, 15, </w:t>
      </w:r>
      <w:r w:rsidRPr="00A50E4D">
        <w:rPr>
          <w:lang w:val="en-US"/>
        </w:rPr>
        <w:t>16(1)</w:t>
      </w:r>
      <w:r w:rsidR="003D717E" w:rsidRPr="00A50E4D">
        <w:rPr>
          <w:lang w:val="en-US"/>
        </w:rPr>
        <w:t xml:space="preserve">, </w:t>
      </w:r>
      <w:r w:rsidRPr="00A50E4D">
        <w:rPr>
          <w:lang w:val="en-US"/>
        </w:rPr>
        <w:t>23(1)(a)</w:t>
      </w:r>
      <w:r w:rsidR="009808C5" w:rsidRPr="00A50E4D">
        <w:rPr>
          <w:lang w:val="en-US"/>
        </w:rPr>
        <w:t xml:space="preserve"> and </w:t>
      </w:r>
      <w:r w:rsidR="003D717E" w:rsidRPr="00A50E4D">
        <w:rPr>
          <w:lang w:val="en-US"/>
        </w:rPr>
        <w:t>25</w:t>
      </w:r>
      <w:r w:rsidR="009808C5" w:rsidRPr="00A50E4D">
        <w:rPr>
          <w:lang w:val="en-US"/>
        </w:rPr>
        <w:t xml:space="preserve"> of the Convention</w:t>
      </w:r>
      <w:r w:rsidR="003D717E" w:rsidRPr="00A50E4D">
        <w:rPr>
          <w:lang w:val="en-US"/>
        </w:rPr>
        <w:t xml:space="preserve">. </w:t>
      </w:r>
      <w:r w:rsidRPr="00A50E4D">
        <w:rPr>
          <w:lang w:val="en-US"/>
        </w:rPr>
        <w:t>Lastly</w:t>
      </w:r>
      <w:r w:rsidR="003D717E" w:rsidRPr="00A50E4D">
        <w:rPr>
          <w:lang w:val="en-US"/>
        </w:rPr>
        <w:t xml:space="preserve">, </w:t>
      </w:r>
      <w:r w:rsidR="00AD5EE7" w:rsidRPr="00A50E4D">
        <w:rPr>
          <w:lang w:val="en-US"/>
        </w:rPr>
        <w:t>the representatives</w:t>
      </w:r>
      <w:r w:rsidR="003D717E" w:rsidRPr="00A50E4D">
        <w:rPr>
          <w:lang w:val="en-US"/>
        </w:rPr>
        <w:t xml:space="preserve"> </w:t>
      </w:r>
      <w:r w:rsidRPr="00A50E4D">
        <w:rPr>
          <w:lang w:val="en-US"/>
        </w:rPr>
        <w:t>asked that the Court order the State to adopt various measures of reparation and to reimburse certain costs and expenses.</w:t>
      </w:r>
      <w:bookmarkEnd w:id="30"/>
      <w:bookmarkEnd w:id="31"/>
    </w:p>
    <w:p w14:paraId="0A586B03" w14:textId="77777777" w:rsidR="003D717E" w:rsidRPr="00A50E4D" w:rsidRDefault="003D717E" w:rsidP="003D717E">
      <w:pPr>
        <w:pStyle w:val="PrrafodeSentencia"/>
        <w:numPr>
          <w:ilvl w:val="0"/>
          <w:numId w:val="0"/>
        </w:numPr>
        <w:rPr>
          <w:lang w:val="en-US"/>
        </w:rPr>
      </w:pPr>
    </w:p>
    <w:p w14:paraId="1DFB3D39" w14:textId="5F3C045C" w:rsidR="003D717E" w:rsidRDefault="00CD2874" w:rsidP="00896C43">
      <w:pPr>
        <w:pStyle w:val="PrrafodeSentencia"/>
        <w:rPr>
          <w:lang w:val="en-US"/>
        </w:rPr>
      </w:pPr>
      <w:bookmarkStart w:id="32" w:name="_Ref308343874"/>
      <w:r w:rsidRPr="00A50E4D">
        <w:rPr>
          <w:i/>
          <w:lang w:val="en-US"/>
        </w:rPr>
        <w:t>Answering brief</w:t>
      </w:r>
      <w:r w:rsidR="003D717E" w:rsidRPr="00A50E4D">
        <w:rPr>
          <w:i/>
          <w:lang w:val="en-US"/>
        </w:rPr>
        <w:t xml:space="preserve">. </w:t>
      </w:r>
      <w:r w:rsidRPr="00A50E4D">
        <w:rPr>
          <w:lang w:val="en-US"/>
        </w:rPr>
        <w:t>On September 25,</w:t>
      </w:r>
      <w:r w:rsidR="003D717E" w:rsidRPr="00A50E4D">
        <w:rPr>
          <w:lang w:val="en-US"/>
        </w:rPr>
        <w:t xml:space="preserve"> 2014</w:t>
      </w:r>
      <w:r w:rsidRPr="00A50E4D">
        <w:rPr>
          <w:lang w:val="en-US"/>
        </w:rPr>
        <w:t>,</w:t>
      </w:r>
      <w:r w:rsidR="003D717E" w:rsidRPr="00A50E4D">
        <w:rPr>
          <w:lang w:val="en-US"/>
        </w:rPr>
        <w:t xml:space="preserve"> </w:t>
      </w:r>
      <w:r w:rsidR="009808C5" w:rsidRPr="00A50E4D">
        <w:rPr>
          <w:lang w:val="en-US"/>
        </w:rPr>
        <w:t>the State</w:t>
      </w:r>
      <w:r w:rsidRPr="00A50E4D">
        <w:rPr>
          <w:lang w:val="en-US"/>
        </w:rPr>
        <w:t xml:space="preserve"> submitted to the Court its brief with a </w:t>
      </w:r>
      <w:r w:rsidR="009808C5" w:rsidRPr="00A50E4D">
        <w:rPr>
          <w:lang w:val="en-US"/>
        </w:rPr>
        <w:t>preliminary objection</w:t>
      </w:r>
      <w:r w:rsidR="007E29F9" w:rsidRPr="00A50E4D">
        <w:rPr>
          <w:lang w:val="en-US"/>
        </w:rPr>
        <w:t>,</w:t>
      </w:r>
      <w:r w:rsidR="003D717E" w:rsidRPr="00A50E4D">
        <w:rPr>
          <w:lang w:val="en-US"/>
        </w:rPr>
        <w:t xml:space="preserve"> </w:t>
      </w:r>
      <w:r w:rsidRPr="00A50E4D">
        <w:rPr>
          <w:lang w:val="en-US"/>
        </w:rPr>
        <w:t xml:space="preserve">answering the submission of the case by </w:t>
      </w:r>
      <w:r w:rsidR="009808C5" w:rsidRPr="00A50E4D">
        <w:rPr>
          <w:lang w:val="en-US"/>
        </w:rPr>
        <w:t>the Commission</w:t>
      </w:r>
      <w:r w:rsidR="00896C43" w:rsidRPr="00A50E4D">
        <w:rPr>
          <w:lang w:val="en-US"/>
        </w:rPr>
        <w:t>,</w:t>
      </w:r>
      <w:r w:rsidR="009808C5" w:rsidRPr="00A50E4D">
        <w:rPr>
          <w:lang w:val="en-US"/>
        </w:rPr>
        <w:t xml:space="preserve"> and </w:t>
      </w:r>
      <w:r w:rsidRPr="00A50E4D">
        <w:rPr>
          <w:lang w:val="en-US"/>
        </w:rPr>
        <w:t xml:space="preserve">with observations on the </w:t>
      </w:r>
      <w:r w:rsidR="00D77F26" w:rsidRPr="00A50E4D">
        <w:rPr>
          <w:lang w:val="en-US"/>
        </w:rPr>
        <w:t>pleadings and motions</w:t>
      </w:r>
      <w:r w:rsidRPr="00A50E4D">
        <w:rPr>
          <w:lang w:val="en-US"/>
        </w:rPr>
        <w:t xml:space="preserve"> brief</w:t>
      </w:r>
      <w:r w:rsidR="003D717E" w:rsidRPr="00A50E4D">
        <w:rPr>
          <w:lang w:val="en-US"/>
        </w:rPr>
        <w:t xml:space="preserve"> (</w:t>
      </w:r>
      <w:r w:rsidR="009808C5" w:rsidRPr="00A50E4D">
        <w:rPr>
          <w:lang w:val="en-US"/>
        </w:rPr>
        <w:t>hereinafter</w:t>
      </w:r>
      <w:r w:rsidR="003D717E" w:rsidRPr="00A50E4D">
        <w:rPr>
          <w:lang w:val="en-US"/>
        </w:rPr>
        <w:t xml:space="preserve"> “</w:t>
      </w:r>
      <w:r w:rsidRPr="00A50E4D">
        <w:rPr>
          <w:lang w:val="en-US"/>
        </w:rPr>
        <w:t>answering brief</w:t>
      </w:r>
      <w:r w:rsidR="003D717E" w:rsidRPr="00A50E4D">
        <w:rPr>
          <w:lang w:val="en-US"/>
        </w:rPr>
        <w:t xml:space="preserve">”). </w:t>
      </w:r>
      <w:r w:rsidRPr="00A50E4D">
        <w:rPr>
          <w:lang w:val="en-US"/>
        </w:rPr>
        <w:t xml:space="preserve">In this brief, the </w:t>
      </w:r>
      <w:r w:rsidRPr="00A50E4D">
        <w:rPr>
          <w:lang w:val="en-US"/>
        </w:rPr>
        <w:lastRenderedPageBreak/>
        <w:t xml:space="preserve">State filed a </w:t>
      </w:r>
      <w:r w:rsidR="009808C5" w:rsidRPr="00A50E4D">
        <w:rPr>
          <w:lang w:val="en-US"/>
        </w:rPr>
        <w:t>preliminary objection</w:t>
      </w:r>
      <w:r w:rsidR="003D717E" w:rsidRPr="00A50E4D">
        <w:rPr>
          <w:lang w:val="en-US"/>
        </w:rPr>
        <w:t xml:space="preserve"> </w:t>
      </w:r>
      <w:r w:rsidRPr="00A50E4D">
        <w:rPr>
          <w:lang w:val="en-US"/>
        </w:rPr>
        <w:t>based on the presumed failure to exhaust domestic remedies, described the facts, and contested all the alleged violations.</w:t>
      </w:r>
      <w:bookmarkEnd w:id="32"/>
    </w:p>
    <w:p w14:paraId="114DE3DC" w14:textId="77777777" w:rsidR="00F25627" w:rsidRPr="00F25627" w:rsidRDefault="00F25627" w:rsidP="00F25627">
      <w:pPr>
        <w:rPr>
          <w:lang w:val="en-US" w:eastAsia="es-MX"/>
        </w:rPr>
      </w:pPr>
    </w:p>
    <w:p w14:paraId="4A6862B0" w14:textId="0FC1AA28" w:rsidR="003D717E" w:rsidRPr="00A50E4D" w:rsidRDefault="003D717E" w:rsidP="003D717E">
      <w:pPr>
        <w:pStyle w:val="PrrafodeSentencia"/>
        <w:rPr>
          <w:lang w:val="en-US"/>
        </w:rPr>
      </w:pPr>
      <w:r w:rsidRPr="00A50E4D">
        <w:rPr>
          <w:i/>
          <w:lang w:val="en-US"/>
        </w:rPr>
        <w:t>Observa</w:t>
      </w:r>
      <w:r w:rsidR="00CD2874" w:rsidRPr="00A50E4D">
        <w:rPr>
          <w:i/>
          <w:lang w:val="en-US"/>
        </w:rPr>
        <w:t xml:space="preserve">tions on the </w:t>
      </w:r>
      <w:r w:rsidR="009808C5" w:rsidRPr="00A50E4D">
        <w:rPr>
          <w:i/>
          <w:lang w:val="en-US"/>
        </w:rPr>
        <w:t>preliminary objection</w:t>
      </w:r>
      <w:r w:rsidR="00CD2874" w:rsidRPr="00A50E4D">
        <w:rPr>
          <w:i/>
          <w:lang w:val="en-US"/>
        </w:rPr>
        <w:t xml:space="preserve">. </w:t>
      </w:r>
      <w:r w:rsidR="00CD2874" w:rsidRPr="00A50E4D">
        <w:rPr>
          <w:lang w:val="en-US"/>
        </w:rPr>
        <w:t>On November</w:t>
      </w:r>
      <w:r w:rsidRPr="00A50E4D">
        <w:rPr>
          <w:lang w:val="en-US"/>
        </w:rPr>
        <w:t xml:space="preserve"> 13</w:t>
      </w:r>
      <w:r w:rsidR="009808C5" w:rsidRPr="00A50E4D">
        <w:rPr>
          <w:lang w:val="en-US"/>
        </w:rPr>
        <w:t xml:space="preserve"> and </w:t>
      </w:r>
      <w:r w:rsidRPr="00A50E4D">
        <w:rPr>
          <w:lang w:val="en-US"/>
        </w:rPr>
        <w:t>16</w:t>
      </w:r>
      <w:r w:rsidR="00CD2874" w:rsidRPr="00A50E4D">
        <w:rPr>
          <w:lang w:val="en-US"/>
        </w:rPr>
        <w:t xml:space="preserve">, </w:t>
      </w:r>
      <w:r w:rsidRPr="00A50E4D">
        <w:rPr>
          <w:lang w:val="en-US"/>
        </w:rPr>
        <w:t>2014</w:t>
      </w:r>
      <w:r w:rsidR="00CD2874" w:rsidRPr="00A50E4D">
        <w:rPr>
          <w:lang w:val="en-US"/>
        </w:rPr>
        <w:t>,</w:t>
      </w:r>
      <w:r w:rsidRPr="00A50E4D">
        <w:rPr>
          <w:lang w:val="en-US"/>
        </w:rPr>
        <w:t xml:space="preserve"> </w:t>
      </w:r>
      <w:r w:rsidR="00AD5EE7" w:rsidRPr="00A50E4D">
        <w:rPr>
          <w:lang w:val="en-US"/>
        </w:rPr>
        <w:t>the representatives</w:t>
      </w:r>
      <w:r w:rsidR="009808C5" w:rsidRPr="00A50E4D">
        <w:rPr>
          <w:lang w:val="en-US"/>
        </w:rPr>
        <w:t xml:space="preserve"> and the Commission</w:t>
      </w:r>
      <w:r w:rsidR="00CD2874" w:rsidRPr="00A50E4D">
        <w:rPr>
          <w:lang w:val="en-US"/>
        </w:rPr>
        <w:t xml:space="preserve">, respectively, presented their observations on the </w:t>
      </w:r>
      <w:r w:rsidR="009808C5" w:rsidRPr="00A50E4D">
        <w:rPr>
          <w:lang w:val="en-US"/>
        </w:rPr>
        <w:t>preliminary objection</w:t>
      </w:r>
      <w:r w:rsidRPr="00A50E4D">
        <w:rPr>
          <w:lang w:val="en-US"/>
        </w:rPr>
        <w:t xml:space="preserve"> </w:t>
      </w:r>
      <w:r w:rsidR="00CD2874" w:rsidRPr="00A50E4D">
        <w:rPr>
          <w:lang w:val="en-US"/>
        </w:rPr>
        <w:t>filed by</w:t>
      </w:r>
      <w:r w:rsidRPr="00A50E4D">
        <w:rPr>
          <w:lang w:val="en-US"/>
        </w:rPr>
        <w:t xml:space="preserve"> </w:t>
      </w:r>
      <w:r w:rsidR="009808C5" w:rsidRPr="00A50E4D">
        <w:rPr>
          <w:lang w:val="en-US"/>
        </w:rPr>
        <w:t>the State</w:t>
      </w:r>
      <w:r w:rsidRPr="00A50E4D">
        <w:rPr>
          <w:lang w:val="en-US"/>
        </w:rPr>
        <w:t xml:space="preserve">. </w:t>
      </w:r>
    </w:p>
    <w:p w14:paraId="219ECF82" w14:textId="77777777" w:rsidR="003D717E" w:rsidRPr="00A50E4D" w:rsidRDefault="003D717E" w:rsidP="003D717E">
      <w:pPr>
        <w:pStyle w:val="PrrafodeSentencia"/>
        <w:numPr>
          <w:ilvl w:val="0"/>
          <w:numId w:val="0"/>
        </w:numPr>
        <w:rPr>
          <w:lang w:val="en-US"/>
        </w:rPr>
      </w:pPr>
    </w:p>
    <w:p w14:paraId="648B7256" w14:textId="14B3A611" w:rsidR="003D717E" w:rsidRPr="00A50E4D" w:rsidRDefault="00CD2874" w:rsidP="00CD2874">
      <w:pPr>
        <w:pStyle w:val="PrrafodeSentencia"/>
        <w:rPr>
          <w:lang w:val="en-US"/>
        </w:rPr>
      </w:pPr>
      <w:bookmarkStart w:id="33" w:name="_Ref308536157"/>
      <w:bookmarkStart w:id="34" w:name="_Ref427771015"/>
      <w:r w:rsidRPr="00A50E4D">
        <w:rPr>
          <w:i/>
          <w:lang w:val="en-US"/>
        </w:rPr>
        <w:t>Public hearing</w:t>
      </w:r>
      <w:r w:rsidR="00896C43" w:rsidRPr="00A50E4D">
        <w:rPr>
          <w:i/>
          <w:lang w:val="en-US"/>
        </w:rPr>
        <w:t>.</w:t>
      </w:r>
      <w:r w:rsidR="003D717E" w:rsidRPr="00A50E4D">
        <w:rPr>
          <w:i/>
          <w:lang w:val="en-US"/>
        </w:rPr>
        <w:t xml:space="preserve"> </w:t>
      </w:r>
      <w:r w:rsidRPr="00A50E4D">
        <w:rPr>
          <w:lang w:val="en-US"/>
        </w:rPr>
        <w:t>On December 10,</w:t>
      </w:r>
      <w:r w:rsidR="003D717E" w:rsidRPr="00A50E4D">
        <w:rPr>
          <w:lang w:val="en-US"/>
        </w:rPr>
        <w:t xml:space="preserve"> 2014</w:t>
      </w:r>
      <w:r w:rsidRPr="00A50E4D">
        <w:rPr>
          <w:lang w:val="en-US"/>
        </w:rPr>
        <w:t>,</w:t>
      </w:r>
      <w:r w:rsidR="003D717E" w:rsidRPr="00A50E4D">
        <w:rPr>
          <w:lang w:val="en-US"/>
        </w:rPr>
        <w:t xml:space="preserve"> </w:t>
      </w:r>
      <w:r w:rsidRPr="00A50E4D">
        <w:rPr>
          <w:lang w:val="en-US"/>
        </w:rPr>
        <w:t>the President of t</w:t>
      </w:r>
      <w:bookmarkStart w:id="35" w:name="_Ref424783166"/>
      <w:r w:rsidRPr="00A50E4D">
        <w:rPr>
          <w:lang w:val="en-US"/>
        </w:rPr>
        <w:t>he Court issued an order</w:t>
      </w:r>
      <w:r w:rsidR="003D717E" w:rsidRPr="00A50E4D">
        <w:rPr>
          <w:rStyle w:val="FootnoteReference"/>
          <w:sz w:val="20"/>
          <w:szCs w:val="20"/>
          <w:lang w:val="en-US"/>
        </w:rPr>
        <w:footnoteReference w:id="2"/>
      </w:r>
      <w:bookmarkEnd w:id="35"/>
      <w:r w:rsidR="003D717E" w:rsidRPr="00A50E4D">
        <w:rPr>
          <w:lang w:val="en-US"/>
        </w:rPr>
        <w:t xml:space="preserve"> </w:t>
      </w:r>
      <w:r w:rsidRPr="00A50E4D">
        <w:rPr>
          <w:lang w:val="en-US"/>
        </w:rPr>
        <w:t>in which he convened the State</w:t>
      </w:r>
      <w:r w:rsidR="003D717E" w:rsidRPr="00A50E4D">
        <w:rPr>
          <w:lang w:val="en-US"/>
        </w:rPr>
        <w:t xml:space="preserve">, </w:t>
      </w:r>
      <w:r w:rsidR="00AD5EE7" w:rsidRPr="00A50E4D">
        <w:rPr>
          <w:lang w:val="en-US"/>
        </w:rPr>
        <w:t>the representatives</w:t>
      </w:r>
      <w:r w:rsidRPr="00A50E4D">
        <w:rPr>
          <w:lang w:val="en-US"/>
        </w:rPr>
        <w:t xml:space="preserve"> and</w:t>
      </w:r>
      <w:r w:rsidR="003D717E" w:rsidRPr="00A50E4D">
        <w:rPr>
          <w:lang w:val="en-US"/>
        </w:rPr>
        <w:t xml:space="preserve"> </w:t>
      </w:r>
      <w:r w:rsidR="009808C5" w:rsidRPr="00A50E4D">
        <w:rPr>
          <w:lang w:val="en-US"/>
        </w:rPr>
        <w:t>the Inter-American Commission</w:t>
      </w:r>
      <w:r w:rsidR="003D717E" w:rsidRPr="00A50E4D">
        <w:rPr>
          <w:lang w:val="en-US"/>
        </w:rPr>
        <w:t xml:space="preserve"> </w:t>
      </w:r>
      <w:r w:rsidRPr="00A50E4D">
        <w:rPr>
          <w:lang w:val="en-US"/>
        </w:rPr>
        <w:t>to a public hearing on the</w:t>
      </w:r>
      <w:r w:rsidR="003D717E" w:rsidRPr="00A50E4D">
        <w:rPr>
          <w:lang w:val="en-US"/>
        </w:rPr>
        <w:t xml:space="preserve"> </w:t>
      </w:r>
      <w:r w:rsidR="009808C5" w:rsidRPr="00A50E4D">
        <w:rPr>
          <w:lang w:val="en-US"/>
        </w:rPr>
        <w:t xml:space="preserve">preliminary objection and </w:t>
      </w:r>
      <w:r w:rsidR="00896C43" w:rsidRPr="00A50E4D">
        <w:rPr>
          <w:lang w:val="en-US"/>
        </w:rPr>
        <w:t>eventua</w:t>
      </w:r>
      <w:r w:rsidRPr="00A50E4D">
        <w:rPr>
          <w:lang w:val="en-US"/>
        </w:rPr>
        <w:t>l</w:t>
      </w:r>
      <w:r w:rsidR="003D717E" w:rsidRPr="00A50E4D">
        <w:rPr>
          <w:lang w:val="en-US"/>
        </w:rPr>
        <w:t xml:space="preserve"> </w:t>
      </w:r>
      <w:r w:rsidR="009808C5" w:rsidRPr="00A50E4D">
        <w:rPr>
          <w:lang w:val="en-US"/>
        </w:rPr>
        <w:t>merits, reparations and costs</w:t>
      </w:r>
      <w:r w:rsidR="003D717E" w:rsidRPr="00A50E4D">
        <w:rPr>
          <w:lang w:val="en-US"/>
        </w:rPr>
        <w:t xml:space="preserve">, </w:t>
      </w:r>
      <w:r w:rsidRPr="00A50E4D">
        <w:rPr>
          <w:lang w:val="en-US"/>
        </w:rPr>
        <w:t xml:space="preserve">in order to hear the final oral arguments of the parties and the final oral observations </w:t>
      </w:r>
      <w:r w:rsidR="009808C5" w:rsidRPr="00A50E4D">
        <w:rPr>
          <w:lang w:val="en-US"/>
        </w:rPr>
        <w:t>of the Commission</w:t>
      </w:r>
      <w:r w:rsidRPr="00A50E4D">
        <w:rPr>
          <w:lang w:val="en-US"/>
        </w:rPr>
        <w:t xml:space="preserve"> on these issues. Also, in this order, he required that the statements of three presumed victims, four witnesses and seven expert witnesses be received by affidavit, and these were submitted by </w:t>
      </w:r>
      <w:bookmarkStart w:id="36" w:name="_Ref334952616"/>
      <w:bookmarkStart w:id="37" w:name="_Ref343195762"/>
      <w:bookmarkStart w:id="38" w:name="_Ref340281601"/>
      <w:r w:rsidR="00AD5EE7" w:rsidRPr="00A50E4D">
        <w:rPr>
          <w:lang w:val="en-US"/>
        </w:rPr>
        <w:t>the representatives</w:t>
      </w:r>
      <w:r w:rsidR="009808C5" w:rsidRPr="00A50E4D">
        <w:rPr>
          <w:lang w:val="en-US"/>
        </w:rPr>
        <w:t xml:space="preserve"> and the Commission</w:t>
      </w:r>
      <w:r w:rsidR="0043736F" w:rsidRPr="00A50E4D">
        <w:rPr>
          <w:lang w:val="en-US"/>
        </w:rPr>
        <w:t xml:space="preserve"> </w:t>
      </w:r>
      <w:r w:rsidRPr="00A50E4D">
        <w:rPr>
          <w:lang w:val="en-US"/>
        </w:rPr>
        <w:t>on January 12,</w:t>
      </w:r>
      <w:r w:rsidR="003D717E" w:rsidRPr="00A50E4D">
        <w:rPr>
          <w:lang w:val="en-US"/>
        </w:rPr>
        <w:t xml:space="preserve"> 2015</w:t>
      </w:r>
      <w:r w:rsidR="007E29F9" w:rsidRPr="00A50E4D">
        <w:rPr>
          <w:lang w:val="en-US"/>
        </w:rPr>
        <w:t>.</w:t>
      </w:r>
      <w:r w:rsidR="003D717E" w:rsidRPr="00A50E4D">
        <w:rPr>
          <w:b/>
          <w:bCs/>
          <w:lang w:val="en-US"/>
        </w:rPr>
        <w:t xml:space="preserve"> </w:t>
      </w:r>
      <w:r w:rsidR="00AD5EE7" w:rsidRPr="00A50E4D">
        <w:rPr>
          <w:bCs/>
          <w:lang w:val="en-US"/>
        </w:rPr>
        <w:t>The representatives</w:t>
      </w:r>
      <w:r w:rsidR="009808C5" w:rsidRPr="00A50E4D">
        <w:rPr>
          <w:lang w:val="en-US"/>
        </w:rPr>
        <w:t xml:space="preserve"> and the State</w:t>
      </w:r>
      <w:r w:rsidR="003D717E" w:rsidRPr="00A50E4D">
        <w:rPr>
          <w:lang w:val="en-US"/>
        </w:rPr>
        <w:t xml:space="preserve"> </w:t>
      </w:r>
      <w:r w:rsidRPr="00A50E4D">
        <w:rPr>
          <w:lang w:val="en-US"/>
        </w:rPr>
        <w:t>were able to submit questions and comments to the deponents offered by</w:t>
      </w:r>
      <w:r w:rsidR="003D717E" w:rsidRPr="00A50E4D">
        <w:rPr>
          <w:lang w:val="en-US"/>
        </w:rPr>
        <w:t xml:space="preserve"> </w:t>
      </w:r>
      <w:r w:rsidR="009808C5" w:rsidRPr="00A50E4D">
        <w:rPr>
          <w:lang w:val="en-US"/>
        </w:rPr>
        <w:t>the Commission</w:t>
      </w:r>
      <w:r w:rsidR="005B2B62" w:rsidRPr="00A50E4D">
        <w:rPr>
          <w:lang w:val="en-US"/>
        </w:rPr>
        <w:t xml:space="preserve"> </w:t>
      </w:r>
      <w:r w:rsidRPr="00A50E4D">
        <w:rPr>
          <w:lang w:val="en-US"/>
        </w:rPr>
        <w:t xml:space="preserve">and, in the case </w:t>
      </w:r>
      <w:r w:rsidR="009808C5" w:rsidRPr="00A50E4D">
        <w:rPr>
          <w:lang w:val="en-US"/>
        </w:rPr>
        <w:t>of the State</w:t>
      </w:r>
      <w:r w:rsidR="005B2B62" w:rsidRPr="00A50E4D">
        <w:rPr>
          <w:lang w:val="en-US"/>
        </w:rPr>
        <w:t xml:space="preserve">, </w:t>
      </w:r>
      <w:r w:rsidRPr="00A50E4D">
        <w:rPr>
          <w:lang w:val="en-US"/>
        </w:rPr>
        <w:t xml:space="preserve">to those offered by </w:t>
      </w:r>
      <w:r w:rsidR="00AD5EE7" w:rsidRPr="00A50E4D">
        <w:rPr>
          <w:lang w:val="en-US"/>
        </w:rPr>
        <w:t>the representatives</w:t>
      </w:r>
      <w:r w:rsidR="003D717E" w:rsidRPr="00A50E4D">
        <w:rPr>
          <w:lang w:val="en-US"/>
        </w:rPr>
        <w:t xml:space="preserve">. </w:t>
      </w:r>
      <w:r w:rsidRPr="00A50E4D">
        <w:rPr>
          <w:lang w:val="en-US"/>
        </w:rPr>
        <w:t xml:space="preserve">The Commission was able to submit questions to an expert witness offered by </w:t>
      </w:r>
      <w:r w:rsidR="00AD5EE7" w:rsidRPr="00A50E4D">
        <w:rPr>
          <w:lang w:val="en-US"/>
        </w:rPr>
        <w:t>the representatives</w:t>
      </w:r>
      <w:r w:rsidR="003D717E" w:rsidRPr="00A50E4D">
        <w:rPr>
          <w:lang w:val="en-US"/>
        </w:rPr>
        <w:t xml:space="preserve">. </w:t>
      </w:r>
      <w:r w:rsidRPr="00A50E4D">
        <w:rPr>
          <w:lang w:val="en-US"/>
        </w:rPr>
        <w:t>The above-mentioned order also summoned one presumed victim, two expert witnesses proposed by the representatives, and one expert witness proposed by the Commission to testify at the public hearing</w:t>
      </w:r>
      <w:r w:rsidR="003D717E" w:rsidRPr="00A50E4D">
        <w:rPr>
          <w:lang w:val="en-US"/>
        </w:rPr>
        <w:t xml:space="preserve">. </w:t>
      </w:r>
      <w:r w:rsidRPr="00A50E4D">
        <w:rPr>
          <w:lang w:val="en-US"/>
        </w:rPr>
        <w:t>In view of the with</w:t>
      </w:r>
      <w:r w:rsidR="004626E5" w:rsidRPr="00A50E4D">
        <w:rPr>
          <w:lang w:val="en-US"/>
        </w:rPr>
        <w:t xml:space="preserve">drawal of the expert witness proposed by </w:t>
      </w:r>
      <w:r w:rsidR="009808C5" w:rsidRPr="00A50E4D">
        <w:rPr>
          <w:lang w:val="en-US"/>
        </w:rPr>
        <w:t xml:space="preserve">the Commission and </w:t>
      </w:r>
      <w:r w:rsidR="004626E5" w:rsidRPr="00A50E4D">
        <w:rPr>
          <w:lang w:val="en-US"/>
        </w:rPr>
        <w:t xml:space="preserve">a request by </w:t>
      </w:r>
      <w:r w:rsidR="00AD5EE7" w:rsidRPr="00A50E4D">
        <w:rPr>
          <w:lang w:val="en-US"/>
        </w:rPr>
        <w:t>the representatives</w:t>
      </w:r>
      <w:r w:rsidR="003D717E" w:rsidRPr="00A50E4D">
        <w:rPr>
          <w:lang w:val="en-US"/>
        </w:rPr>
        <w:t xml:space="preserve">, </w:t>
      </w:r>
      <w:r w:rsidR="004626E5" w:rsidRPr="00A50E4D">
        <w:rPr>
          <w:lang w:val="en-US"/>
        </w:rPr>
        <w:t>on January 26,</w:t>
      </w:r>
      <w:r w:rsidR="003D717E" w:rsidRPr="00A50E4D">
        <w:rPr>
          <w:lang w:val="en-US"/>
        </w:rPr>
        <w:t xml:space="preserve"> 2015, </w:t>
      </w:r>
      <w:r w:rsidR="009808C5" w:rsidRPr="00A50E4D">
        <w:rPr>
          <w:lang w:val="en-US"/>
        </w:rPr>
        <w:t>the Court</w:t>
      </w:r>
      <w:r w:rsidR="004626E5" w:rsidRPr="00A50E4D">
        <w:rPr>
          <w:lang w:val="en-US"/>
        </w:rPr>
        <w:t xml:space="preserve"> decided to summon to the </w:t>
      </w:r>
      <w:r w:rsidR="004626E5" w:rsidRPr="00A50E4D">
        <w:rPr>
          <w:szCs w:val="20"/>
          <w:lang w:val="en-US"/>
        </w:rPr>
        <w:t>public hearing</w:t>
      </w:r>
      <w:r w:rsidR="004626E5" w:rsidRPr="00A50E4D">
        <w:rPr>
          <w:lang w:val="en-US"/>
        </w:rPr>
        <w:t xml:space="preserve"> an additional expert witness </w:t>
      </w:r>
      <w:r w:rsidR="00896C43" w:rsidRPr="00A50E4D">
        <w:rPr>
          <w:lang w:val="en-US"/>
        </w:rPr>
        <w:t>proposed by the representatives</w:t>
      </w:r>
      <w:r w:rsidR="004626E5" w:rsidRPr="00A50E4D">
        <w:rPr>
          <w:lang w:val="en-US"/>
        </w:rPr>
        <w:t xml:space="preserve"> who had initially been summoned to testify by affidavit</w:t>
      </w:r>
      <w:r w:rsidR="004626E5" w:rsidRPr="00A50E4D">
        <w:rPr>
          <w:szCs w:val="20"/>
          <w:lang w:val="en-US"/>
        </w:rPr>
        <w:t>.</w:t>
      </w:r>
      <w:r w:rsidR="003D717E" w:rsidRPr="00A50E4D">
        <w:rPr>
          <w:rStyle w:val="FootnoteReference"/>
          <w:sz w:val="20"/>
          <w:szCs w:val="20"/>
          <w:lang w:val="en-US"/>
        </w:rPr>
        <w:footnoteReference w:id="3"/>
      </w:r>
      <w:r w:rsidR="003D717E" w:rsidRPr="00A50E4D">
        <w:rPr>
          <w:szCs w:val="20"/>
          <w:lang w:val="en-US"/>
        </w:rPr>
        <w:t xml:space="preserve"> </w:t>
      </w:r>
      <w:r w:rsidR="004626E5" w:rsidRPr="00A50E4D">
        <w:rPr>
          <w:szCs w:val="20"/>
          <w:lang w:val="en-US"/>
        </w:rPr>
        <w:t>The</w:t>
      </w:r>
      <w:r w:rsidR="003D717E" w:rsidRPr="00A50E4D">
        <w:rPr>
          <w:szCs w:val="20"/>
          <w:lang w:val="en-US"/>
        </w:rPr>
        <w:t xml:space="preserve"> </w:t>
      </w:r>
      <w:r w:rsidRPr="00A50E4D">
        <w:rPr>
          <w:szCs w:val="20"/>
          <w:lang w:val="en-US"/>
        </w:rPr>
        <w:t>public hearing</w:t>
      </w:r>
      <w:r w:rsidR="003D717E" w:rsidRPr="00A50E4D">
        <w:rPr>
          <w:szCs w:val="20"/>
          <w:lang w:val="en-US"/>
        </w:rPr>
        <w:t xml:space="preserve"> </w:t>
      </w:r>
      <w:r w:rsidR="004626E5" w:rsidRPr="00A50E4D">
        <w:rPr>
          <w:szCs w:val="20"/>
          <w:lang w:val="en-US"/>
        </w:rPr>
        <w:t>took place on February 2 and 3,</w:t>
      </w:r>
      <w:r w:rsidR="003D717E" w:rsidRPr="00A50E4D">
        <w:rPr>
          <w:szCs w:val="20"/>
          <w:lang w:val="en-US"/>
        </w:rPr>
        <w:t xml:space="preserve"> 2015</w:t>
      </w:r>
      <w:r w:rsidR="004626E5" w:rsidRPr="00A50E4D">
        <w:rPr>
          <w:szCs w:val="20"/>
          <w:lang w:val="en-US"/>
        </w:rPr>
        <w:t>, during the Court’s 107</w:t>
      </w:r>
      <w:r w:rsidR="004626E5" w:rsidRPr="00A50E4D">
        <w:rPr>
          <w:szCs w:val="20"/>
          <w:vertAlign w:val="superscript"/>
          <w:lang w:val="en-US"/>
        </w:rPr>
        <w:t>th</w:t>
      </w:r>
      <w:r w:rsidR="00896C43" w:rsidRPr="00A50E4D">
        <w:rPr>
          <w:szCs w:val="20"/>
          <w:lang w:val="en-US"/>
        </w:rPr>
        <w:t xml:space="preserve"> session</w:t>
      </w:r>
      <w:r w:rsidR="004626E5" w:rsidRPr="00A50E4D">
        <w:rPr>
          <w:szCs w:val="20"/>
          <w:lang w:val="en-US"/>
        </w:rPr>
        <w:t xml:space="preserve"> held in </w:t>
      </w:r>
      <w:r w:rsidR="003D717E" w:rsidRPr="00A50E4D">
        <w:rPr>
          <w:szCs w:val="20"/>
          <w:lang w:val="en-US"/>
        </w:rPr>
        <w:t>San José, Costa Rica</w:t>
      </w:r>
      <w:r w:rsidR="004626E5" w:rsidRPr="00A50E4D">
        <w:rPr>
          <w:szCs w:val="20"/>
          <w:lang w:val="en-US"/>
        </w:rPr>
        <w:t>.</w:t>
      </w:r>
      <w:r w:rsidR="003D717E" w:rsidRPr="00A50E4D">
        <w:rPr>
          <w:szCs w:val="20"/>
          <w:vertAlign w:val="superscript"/>
          <w:lang w:val="en-US"/>
        </w:rPr>
        <w:footnoteReference w:id="4"/>
      </w:r>
      <w:r w:rsidR="004626E5" w:rsidRPr="00A50E4D">
        <w:rPr>
          <w:szCs w:val="20"/>
          <w:lang w:val="en-US"/>
        </w:rPr>
        <w:t xml:space="preserve"> During this hearing, the State presented various documents and the Court’s judges asked for specific information and explanations.</w:t>
      </w:r>
      <w:bookmarkStart w:id="39" w:name="_Ref354147731"/>
      <w:bookmarkEnd w:id="33"/>
      <w:bookmarkEnd w:id="34"/>
      <w:bookmarkEnd w:id="36"/>
      <w:bookmarkEnd w:id="37"/>
      <w:bookmarkEnd w:id="38"/>
    </w:p>
    <w:p w14:paraId="54AE2B5A" w14:textId="77777777" w:rsidR="003D717E" w:rsidRPr="00A50E4D" w:rsidRDefault="003D717E" w:rsidP="003D717E">
      <w:pPr>
        <w:pStyle w:val="PrrafodeSentencia"/>
        <w:numPr>
          <w:ilvl w:val="0"/>
          <w:numId w:val="0"/>
        </w:numPr>
        <w:rPr>
          <w:lang w:val="en-US"/>
        </w:rPr>
      </w:pPr>
    </w:p>
    <w:p w14:paraId="38C1FAEE" w14:textId="2A4927CD" w:rsidR="003D717E" w:rsidRPr="00A50E4D" w:rsidRDefault="003D717E" w:rsidP="00D05D2C">
      <w:pPr>
        <w:pStyle w:val="PrrafodeSentencia"/>
        <w:rPr>
          <w:bCs/>
          <w:lang w:val="en-US"/>
        </w:rPr>
      </w:pPr>
      <w:r w:rsidRPr="00A50E4D">
        <w:rPr>
          <w:i/>
          <w:lang w:val="en-US"/>
        </w:rPr>
        <w:t xml:space="preserve">Amicus curiae. </w:t>
      </w:r>
      <w:r w:rsidR="004626E5" w:rsidRPr="00A50E4D">
        <w:rPr>
          <w:lang w:val="en-US"/>
        </w:rPr>
        <w:t xml:space="preserve">The Court received </w:t>
      </w:r>
      <w:r w:rsidRPr="00A50E4D">
        <w:rPr>
          <w:i/>
          <w:lang w:val="en-US"/>
        </w:rPr>
        <w:t>amicus curiae</w:t>
      </w:r>
      <w:r w:rsidRPr="00A50E4D">
        <w:rPr>
          <w:lang w:val="en-US"/>
        </w:rPr>
        <w:t xml:space="preserve"> </w:t>
      </w:r>
      <w:r w:rsidR="004626E5" w:rsidRPr="00A50E4D">
        <w:rPr>
          <w:lang w:val="en-US"/>
        </w:rPr>
        <w:t>briefs from:</w:t>
      </w:r>
      <w:r w:rsidRPr="00A50E4D">
        <w:rPr>
          <w:lang w:val="en-US"/>
        </w:rPr>
        <w:t xml:space="preserve"> (1) Gilma Tatiana Rincón Covelli, </w:t>
      </w:r>
      <w:r w:rsidR="004626E5" w:rsidRPr="00A50E4D">
        <w:rPr>
          <w:lang w:val="en-US"/>
        </w:rPr>
        <w:t>a collaborator of the Justice and Democracy Research Unit of the Universidad</w:t>
      </w:r>
      <w:r w:rsidR="00FF35A9" w:rsidRPr="00A50E4D">
        <w:rPr>
          <w:lang w:val="en-US"/>
        </w:rPr>
        <w:t xml:space="preserve"> </w:t>
      </w:r>
      <w:r w:rsidR="00896C43" w:rsidRPr="00A50E4D">
        <w:rPr>
          <w:lang w:val="en-US"/>
        </w:rPr>
        <w:t>del</w:t>
      </w:r>
      <w:r w:rsidR="00FF35A9" w:rsidRPr="00A50E4D">
        <w:rPr>
          <w:lang w:val="en-US"/>
        </w:rPr>
        <w:t xml:space="preserve"> </w:t>
      </w:r>
      <w:r w:rsidR="004626E5" w:rsidRPr="00A50E4D">
        <w:rPr>
          <w:lang w:val="en-US"/>
        </w:rPr>
        <w:t>Rosario,</w:t>
      </w:r>
      <w:r w:rsidRPr="00A50E4D">
        <w:rPr>
          <w:lang w:val="en-US"/>
        </w:rPr>
        <w:t xml:space="preserve"> Bogotá, Colombia; (2)</w:t>
      </w:r>
      <w:r w:rsidRPr="00A50E4D">
        <w:rPr>
          <w:bCs/>
          <w:lang w:val="en-US"/>
        </w:rPr>
        <w:t xml:space="preserve"> Corporación Fundamental, Centro para la Justicia</w:t>
      </w:r>
      <w:r w:rsidR="009808C5" w:rsidRPr="00A50E4D">
        <w:rPr>
          <w:bCs/>
          <w:lang w:val="en-US"/>
        </w:rPr>
        <w:t xml:space="preserve"> </w:t>
      </w:r>
      <w:r w:rsidR="00896C43" w:rsidRPr="00A50E4D">
        <w:rPr>
          <w:bCs/>
          <w:lang w:val="en-US"/>
        </w:rPr>
        <w:t>y</w:t>
      </w:r>
      <w:r w:rsidR="009808C5" w:rsidRPr="00A50E4D">
        <w:rPr>
          <w:bCs/>
          <w:lang w:val="en-US"/>
        </w:rPr>
        <w:t xml:space="preserve"> </w:t>
      </w:r>
      <w:r w:rsidRPr="00A50E4D">
        <w:rPr>
          <w:bCs/>
          <w:lang w:val="en-US"/>
        </w:rPr>
        <w:t>los Derechos Humanos</w:t>
      </w:r>
      <w:r w:rsidR="00896C43" w:rsidRPr="00A50E4D">
        <w:rPr>
          <w:bCs/>
          <w:lang w:val="en-US"/>
        </w:rPr>
        <w:t>, Chile</w:t>
      </w:r>
      <w:r w:rsidRPr="00A50E4D">
        <w:rPr>
          <w:bCs/>
          <w:lang w:val="en-US"/>
        </w:rPr>
        <w:t xml:space="preserve">; (3) </w:t>
      </w:r>
      <w:r w:rsidR="004626E5" w:rsidRPr="00A50E4D">
        <w:rPr>
          <w:lang w:val="en-US"/>
        </w:rPr>
        <w:t>Magistrats Européens pour la démocratie et les libertés</w:t>
      </w:r>
      <w:r w:rsidR="004626E5" w:rsidRPr="00A50E4D">
        <w:rPr>
          <w:bCs/>
          <w:lang w:val="en-US"/>
        </w:rPr>
        <w:t xml:space="preserve"> </w:t>
      </w:r>
      <w:r w:rsidRPr="00A50E4D">
        <w:rPr>
          <w:bCs/>
          <w:lang w:val="en-US"/>
        </w:rPr>
        <w:t xml:space="preserve">(MEDEL), </w:t>
      </w:r>
      <w:r w:rsidR="009808C5" w:rsidRPr="00A50E4D">
        <w:rPr>
          <w:bCs/>
          <w:lang w:val="en-US"/>
        </w:rPr>
        <w:t>Ju</w:t>
      </w:r>
      <w:r w:rsidR="004626E5" w:rsidRPr="00A50E4D">
        <w:rPr>
          <w:bCs/>
          <w:lang w:val="en-US"/>
        </w:rPr>
        <w:t>eces</w:t>
      </w:r>
      <w:r w:rsidRPr="00A50E4D">
        <w:rPr>
          <w:bCs/>
          <w:lang w:val="en-US"/>
        </w:rPr>
        <w:t xml:space="preserve"> para la Democracia</w:t>
      </w:r>
      <w:r w:rsidR="004626E5" w:rsidRPr="00A50E4D">
        <w:rPr>
          <w:bCs/>
          <w:lang w:val="en-US"/>
        </w:rPr>
        <w:t xml:space="preserve">, Unión Progresista de Fiscales, Spain, </w:t>
      </w:r>
      <w:r w:rsidR="009808C5" w:rsidRPr="00A50E4D">
        <w:rPr>
          <w:bCs/>
          <w:lang w:val="en-US"/>
        </w:rPr>
        <w:t xml:space="preserve">and </w:t>
      </w:r>
      <w:r w:rsidRPr="00A50E4D">
        <w:rPr>
          <w:bCs/>
          <w:lang w:val="en-US"/>
        </w:rPr>
        <w:t>Neue Richter Vereinigung</w:t>
      </w:r>
      <w:r w:rsidR="004626E5" w:rsidRPr="00A50E4D">
        <w:rPr>
          <w:bCs/>
          <w:lang w:val="en-US"/>
        </w:rPr>
        <w:t>, Germany</w:t>
      </w:r>
      <w:r w:rsidRPr="00A50E4D">
        <w:rPr>
          <w:bCs/>
          <w:lang w:val="en-US"/>
        </w:rPr>
        <w:t xml:space="preserve">; </w:t>
      </w:r>
      <w:r w:rsidR="004626E5" w:rsidRPr="00A50E4D">
        <w:rPr>
          <w:bCs/>
          <w:lang w:val="en-US"/>
        </w:rPr>
        <w:t xml:space="preserve">(4) </w:t>
      </w:r>
      <w:r w:rsidRPr="00A50E4D">
        <w:rPr>
          <w:bCs/>
          <w:lang w:val="en-US"/>
        </w:rPr>
        <w:t>Asociación por los Derechos Civiles (ADC)</w:t>
      </w:r>
      <w:r w:rsidR="009808C5" w:rsidRPr="00A50E4D">
        <w:rPr>
          <w:bCs/>
          <w:lang w:val="en-US"/>
        </w:rPr>
        <w:t xml:space="preserve"> and </w:t>
      </w:r>
      <w:r w:rsidRPr="00A50E4D">
        <w:rPr>
          <w:bCs/>
          <w:lang w:val="en-US"/>
        </w:rPr>
        <w:t>Asociación Civil por la Igualdad</w:t>
      </w:r>
      <w:r w:rsidR="009808C5" w:rsidRPr="00A50E4D">
        <w:rPr>
          <w:bCs/>
          <w:lang w:val="en-US"/>
        </w:rPr>
        <w:t xml:space="preserve"> </w:t>
      </w:r>
      <w:r w:rsidR="009E0AD7" w:rsidRPr="00A50E4D">
        <w:rPr>
          <w:bCs/>
          <w:lang w:val="en-US"/>
        </w:rPr>
        <w:t>y</w:t>
      </w:r>
      <w:r w:rsidR="009808C5" w:rsidRPr="00A50E4D">
        <w:rPr>
          <w:bCs/>
          <w:lang w:val="en-US"/>
        </w:rPr>
        <w:t xml:space="preserve"> </w:t>
      </w:r>
      <w:r w:rsidRPr="00A50E4D">
        <w:rPr>
          <w:bCs/>
          <w:lang w:val="en-US"/>
        </w:rPr>
        <w:t>la Justicia (ACIJ)</w:t>
      </w:r>
      <w:r w:rsidR="00896C43" w:rsidRPr="00A50E4D">
        <w:rPr>
          <w:bCs/>
          <w:lang w:val="en-US"/>
        </w:rPr>
        <w:t>, Argentina</w:t>
      </w:r>
      <w:r w:rsidRPr="00A50E4D">
        <w:rPr>
          <w:bCs/>
          <w:lang w:val="en-US"/>
        </w:rPr>
        <w:t xml:space="preserve">; (5) </w:t>
      </w:r>
      <w:r w:rsidR="004626E5" w:rsidRPr="00A50E4D">
        <w:rPr>
          <w:bCs/>
          <w:lang w:val="en-US"/>
        </w:rPr>
        <w:t xml:space="preserve">Roberto Garretón Merino; (6) </w:t>
      </w:r>
      <w:r w:rsidRPr="00A50E4D">
        <w:rPr>
          <w:bCs/>
          <w:lang w:val="en-US"/>
        </w:rPr>
        <w:t xml:space="preserve">Red Iberoamericana de </w:t>
      </w:r>
      <w:r w:rsidR="004626E5" w:rsidRPr="00A50E4D">
        <w:rPr>
          <w:bCs/>
          <w:lang w:val="en-US"/>
        </w:rPr>
        <w:t>Jueces</w:t>
      </w:r>
      <w:r w:rsidRPr="00A50E4D">
        <w:rPr>
          <w:bCs/>
          <w:lang w:val="en-US"/>
        </w:rPr>
        <w:t xml:space="preserve"> (REDIJ),</w:t>
      </w:r>
      <w:r w:rsidR="009808C5" w:rsidRPr="00A50E4D">
        <w:rPr>
          <w:bCs/>
          <w:lang w:val="en-US"/>
        </w:rPr>
        <w:t xml:space="preserve"> and </w:t>
      </w:r>
      <w:r w:rsidRPr="00A50E4D">
        <w:rPr>
          <w:bCs/>
          <w:lang w:val="en-US"/>
        </w:rPr>
        <w:t xml:space="preserve">(7) </w:t>
      </w:r>
      <w:r w:rsidR="004626E5" w:rsidRPr="00A50E4D">
        <w:rPr>
          <w:bCs/>
          <w:lang w:val="en-US"/>
        </w:rPr>
        <w:t xml:space="preserve">the International Affairs Committee of the </w:t>
      </w:r>
      <w:r w:rsidRPr="00A50E4D">
        <w:rPr>
          <w:bCs/>
          <w:lang w:val="en-US"/>
        </w:rPr>
        <w:t>National Lawy</w:t>
      </w:r>
      <w:r w:rsidR="004626E5" w:rsidRPr="00A50E4D">
        <w:rPr>
          <w:bCs/>
          <w:lang w:val="en-US"/>
        </w:rPr>
        <w:t xml:space="preserve">ers Guild, </w:t>
      </w:r>
      <w:r w:rsidR="009E0AD7" w:rsidRPr="00A50E4D">
        <w:rPr>
          <w:bCs/>
          <w:lang w:val="en-US"/>
        </w:rPr>
        <w:t>United States of America</w:t>
      </w:r>
      <w:r w:rsidR="004626E5" w:rsidRPr="00A50E4D">
        <w:rPr>
          <w:bCs/>
          <w:lang w:val="en-US"/>
        </w:rPr>
        <w:t>, on January 25, and February</w:t>
      </w:r>
      <w:r w:rsidR="009808C5" w:rsidRPr="00A50E4D">
        <w:rPr>
          <w:lang w:val="en-US"/>
        </w:rPr>
        <w:t xml:space="preserve"> </w:t>
      </w:r>
      <w:r w:rsidRPr="00A50E4D">
        <w:rPr>
          <w:lang w:val="en-US"/>
        </w:rPr>
        <w:t>2, 11, 13</w:t>
      </w:r>
      <w:r w:rsidR="009808C5" w:rsidRPr="00A50E4D">
        <w:rPr>
          <w:lang w:val="en-US"/>
        </w:rPr>
        <w:t xml:space="preserve"> and </w:t>
      </w:r>
      <w:r w:rsidR="004626E5" w:rsidRPr="00A50E4D">
        <w:rPr>
          <w:lang w:val="en-US"/>
        </w:rPr>
        <w:t xml:space="preserve">18, </w:t>
      </w:r>
      <w:r w:rsidRPr="00A50E4D">
        <w:rPr>
          <w:lang w:val="en-US"/>
        </w:rPr>
        <w:t xml:space="preserve">2015. </w:t>
      </w:r>
    </w:p>
    <w:p w14:paraId="04C45122" w14:textId="77777777" w:rsidR="003D717E" w:rsidRPr="00A50E4D" w:rsidRDefault="003D717E" w:rsidP="003D717E">
      <w:pPr>
        <w:pStyle w:val="PrrafodeSentencia"/>
        <w:numPr>
          <w:ilvl w:val="0"/>
          <w:numId w:val="0"/>
        </w:numPr>
        <w:rPr>
          <w:lang w:val="en-US"/>
        </w:rPr>
      </w:pPr>
    </w:p>
    <w:p w14:paraId="7A694291" w14:textId="5E2B5677" w:rsidR="003D717E" w:rsidRPr="00A50E4D" w:rsidRDefault="004626E5" w:rsidP="003D717E">
      <w:pPr>
        <w:pStyle w:val="PrrafodeSentencia"/>
        <w:rPr>
          <w:lang w:val="en-US"/>
        </w:rPr>
      </w:pPr>
      <w:r w:rsidRPr="00A50E4D">
        <w:rPr>
          <w:i/>
          <w:lang w:val="en-US"/>
        </w:rPr>
        <w:lastRenderedPageBreak/>
        <w:t xml:space="preserve">Final written arguments and observations. </w:t>
      </w:r>
      <w:bookmarkStart w:id="40" w:name="_Ref374884810"/>
      <w:bookmarkStart w:id="41" w:name="_Ref367791100"/>
      <w:bookmarkEnd w:id="39"/>
      <w:r w:rsidRPr="00A50E4D">
        <w:rPr>
          <w:lang w:val="en-US"/>
        </w:rPr>
        <w:t>On March 3,</w:t>
      </w:r>
      <w:r w:rsidR="003D717E" w:rsidRPr="00A50E4D">
        <w:rPr>
          <w:lang w:val="en-US"/>
        </w:rPr>
        <w:t xml:space="preserve"> 2015</w:t>
      </w:r>
      <w:r w:rsidRPr="00A50E4D">
        <w:rPr>
          <w:lang w:val="en-US"/>
        </w:rPr>
        <w:t xml:space="preserve">, the parties </w:t>
      </w:r>
      <w:r w:rsidR="009808C5" w:rsidRPr="00A50E4D">
        <w:rPr>
          <w:lang w:val="en-US"/>
        </w:rPr>
        <w:t>and the Commission</w:t>
      </w:r>
      <w:r w:rsidR="003D717E" w:rsidRPr="00A50E4D">
        <w:rPr>
          <w:lang w:val="en-US"/>
        </w:rPr>
        <w:t xml:space="preserve"> present</w:t>
      </w:r>
      <w:r w:rsidRPr="00A50E4D">
        <w:rPr>
          <w:lang w:val="en-US"/>
        </w:rPr>
        <w:t xml:space="preserve">ed their final written arguments and observations, respectively. Together with their </w:t>
      </w:r>
      <w:r w:rsidRPr="00A50E4D">
        <w:rPr>
          <w:rFonts w:eastAsia="Times New Roman"/>
          <w:color w:val="000000"/>
          <w:lang w:val="en-US"/>
        </w:rPr>
        <w:t>final written arguments</w:t>
      </w:r>
      <w:r w:rsidR="003D717E" w:rsidRPr="00A50E4D">
        <w:rPr>
          <w:lang w:val="en-US"/>
        </w:rPr>
        <w:t xml:space="preserve"> </w:t>
      </w:r>
      <w:r w:rsidRPr="00A50E4D">
        <w:rPr>
          <w:lang w:val="en-US"/>
        </w:rPr>
        <w:t xml:space="preserve">the parties presented some of the information, explanations, and useful evidence requested by the judges of this Court </w:t>
      </w:r>
      <w:r w:rsidR="003D717E" w:rsidRPr="00A50E4D">
        <w:rPr>
          <w:lang w:val="en-US"/>
        </w:rPr>
        <w:t>(</w:t>
      </w:r>
      <w:r w:rsidR="003D717E" w:rsidRPr="00A50E4D">
        <w:rPr>
          <w:i/>
          <w:iCs/>
          <w:lang w:val="en-US"/>
        </w:rPr>
        <w:t>supra</w:t>
      </w:r>
      <w:r w:rsidR="003D717E" w:rsidRPr="00A50E4D">
        <w:rPr>
          <w:lang w:val="en-US"/>
        </w:rPr>
        <w:t xml:space="preserve"> </w:t>
      </w:r>
      <w:r w:rsidR="00AD5EE7" w:rsidRPr="00A50E4D">
        <w:rPr>
          <w:lang w:val="en-US"/>
        </w:rPr>
        <w:t>para.</w:t>
      </w:r>
      <w:r w:rsidR="003D717E" w:rsidRPr="00A50E4D">
        <w:rPr>
          <w:lang w:val="en-US"/>
        </w:rPr>
        <w:t xml:space="preserve"> </w:t>
      </w:r>
      <w:r w:rsidR="00C721D2" w:rsidRPr="008136A0">
        <w:rPr>
          <w:lang w:val="en-US"/>
        </w:rPr>
        <w:fldChar w:fldCharType="begin"/>
      </w:r>
      <w:r w:rsidR="00C721D2" w:rsidRPr="00A50E4D">
        <w:rPr>
          <w:lang w:val="en-US"/>
        </w:rPr>
        <w:instrText xml:space="preserve"> REF _Ref427771015 \r \h  \* MERGEFORMAT </w:instrText>
      </w:r>
      <w:r w:rsidR="00C721D2" w:rsidRPr="008136A0">
        <w:rPr>
          <w:lang w:val="en-US"/>
        </w:rPr>
      </w:r>
      <w:r w:rsidR="00C721D2" w:rsidRPr="008136A0">
        <w:rPr>
          <w:lang w:val="en-US"/>
        </w:rPr>
        <w:fldChar w:fldCharType="separate"/>
      </w:r>
      <w:r w:rsidR="00547588">
        <w:rPr>
          <w:lang w:val="en-US"/>
        </w:rPr>
        <w:t>9</w:t>
      </w:r>
      <w:r w:rsidR="00C721D2" w:rsidRPr="008136A0">
        <w:rPr>
          <w:lang w:val="en-US"/>
        </w:rPr>
        <w:fldChar w:fldCharType="end"/>
      </w:r>
      <w:r w:rsidR="003D717E" w:rsidRPr="00A50E4D">
        <w:rPr>
          <w:lang w:val="en-US"/>
        </w:rPr>
        <w:t>), as</w:t>
      </w:r>
      <w:r w:rsidRPr="00A50E4D">
        <w:rPr>
          <w:lang w:val="en-US"/>
        </w:rPr>
        <w:t xml:space="preserve"> well as certain documentation. On March 6, </w:t>
      </w:r>
      <w:r w:rsidR="003D717E" w:rsidRPr="00A50E4D">
        <w:rPr>
          <w:rFonts w:eastAsia="Times New Roman"/>
          <w:color w:val="000000"/>
          <w:lang w:val="en-US"/>
        </w:rPr>
        <w:t>2015</w:t>
      </w:r>
      <w:r w:rsidRPr="00A50E4D">
        <w:rPr>
          <w:rFonts w:eastAsia="Times New Roman"/>
          <w:color w:val="000000"/>
          <w:lang w:val="en-US"/>
        </w:rPr>
        <w:t>, the Court’s Secretariat, at the request</w:t>
      </w:r>
      <w:r w:rsidR="003D717E" w:rsidRPr="00A50E4D">
        <w:rPr>
          <w:rFonts w:eastAsia="Times New Roman"/>
          <w:color w:val="000000"/>
          <w:lang w:val="en-US"/>
        </w:rPr>
        <w:t xml:space="preserve"> </w:t>
      </w:r>
      <w:r w:rsidRPr="00A50E4D">
        <w:rPr>
          <w:rFonts w:eastAsia="Times New Roman"/>
          <w:color w:val="000000"/>
          <w:lang w:val="en-US"/>
        </w:rPr>
        <w:t xml:space="preserve">of the </w:t>
      </w:r>
      <w:r w:rsidR="00CD2874" w:rsidRPr="00A50E4D">
        <w:rPr>
          <w:rFonts w:eastAsia="Times New Roman"/>
          <w:color w:val="000000"/>
          <w:lang w:val="en-US"/>
        </w:rPr>
        <w:t>President</w:t>
      </w:r>
      <w:r w:rsidR="003D717E" w:rsidRPr="00A50E4D">
        <w:rPr>
          <w:rFonts w:eastAsia="Times New Roman"/>
          <w:color w:val="000000"/>
          <w:lang w:val="en-US"/>
        </w:rPr>
        <w:t xml:space="preserve">, </w:t>
      </w:r>
      <w:r w:rsidRPr="00A50E4D">
        <w:rPr>
          <w:rFonts w:eastAsia="Times New Roman"/>
          <w:color w:val="000000"/>
          <w:lang w:val="en-US"/>
        </w:rPr>
        <w:t>asked the parties and</w:t>
      </w:r>
      <w:r w:rsidR="003D717E" w:rsidRPr="00A50E4D">
        <w:rPr>
          <w:rFonts w:eastAsia="Times New Roman"/>
          <w:color w:val="000000"/>
          <w:lang w:val="en-US"/>
        </w:rPr>
        <w:t xml:space="preserve"> </w:t>
      </w:r>
      <w:r w:rsidR="009808C5" w:rsidRPr="00A50E4D">
        <w:rPr>
          <w:rFonts w:eastAsia="Times New Roman"/>
          <w:color w:val="000000"/>
          <w:lang w:val="en-US"/>
        </w:rPr>
        <w:t>the Commission</w:t>
      </w:r>
      <w:r w:rsidR="003D717E" w:rsidRPr="00A50E4D">
        <w:rPr>
          <w:rFonts w:eastAsia="Times New Roman"/>
          <w:color w:val="000000"/>
          <w:lang w:val="en-US"/>
        </w:rPr>
        <w:t xml:space="preserve"> </w:t>
      </w:r>
      <w:r w:rsidRPr="00A50E4D">
        <w:rPr>
          <w:rFonts w:eastAsia="Times New Roman"/>
          <w:color w:val="000000"/>
          <w:lang w:val="en-US"/>
        </w:rPr>
        <w:t>to submit any observations they deemed pertinent on the said documentation.</w:t>
      </w:r>
    </w:p>
    <w:p w14:paraId="332B9DE0" w14:textId="77777777" w:rsidR="003D717E" w:rsidRPr="00A50E4D" w:rsidRDefault="003D717E" w:rsidP="003D717E">
      <w:pPr>
        <w:pStyle w:val="PrrafodeSentencia"/>
        <w:numPr>
          <w:ilvl w:val="0"/>
          <w:numId w:val="0"/>
        </w:numPr>
        <w:rPr>
          <w:lang w:val="en-US"/>
        </w:rPr>
      </w:pPr>
    </w:p>
    <w:p w14:paraId="2B54751D" w14:textId="31202ABA" w:rsidR="003D717E" w:rsidRPr="00A50E4D" w:rsidRDefault="00E84FC7" w:rsidP="003D717E">
      <w:pPr>
        <w:pStyle w:val="PrrafodeSentencia"/>
        <w:rPr>
          <w:lang w:val="en-US"/>
        </w:rPr>
      </w:pPr>
      <w:r w:rsidRPr="00A50E4D">
        <w:rPr>
          <w:i/>
          <w:lang w:val="en-US"/>
        </w:rPr>
        <w:t>Useful information and evidence</w:t>
      </w:r>
      <w:r w:rsidR="001D6DF6" w:rsidRPr="00A50E4D">
        <w:rPr>
          <w:i/>
          <w:lang w:val="en-US"/>
        </w:rPr>
        <w:t>, and s</w:t>
      </w:r>
      <w:r w:rsidRPr="00A50E4D">
        <w:rPr>
          <w:i/>
          <w:lang w:val="en-US"/>
        </w:rPr>
        <w:t>upervening evidence on expenses.</w:t>
      </w:r>
      <w:bookmarkStart w:id="42" w:name="_Ref374886052"/>
      <w:bookmarkStart w:id="43" w:name="_Ref368677486"/>
      <w:bookmarkEnd w:id="40"/>
      <w:bookmarkEnd w:id="41"/>
      <w:r w:rsidR="00BE1230" w:rsidRPr="00A50E4D">
        <w:rPr>
          <w:lang w:val="en-US"/>
        </w:rPr>
        <w:t xml:space="preserve"> </w:t>
      </w:r>
      <w:r w:rsidRPr="00A50E4D">
        <w:rPr>
          <w:lang w:val="en-US"/>
        </w:rPr>
        <w:t xml:space="preserve">On July </w:t>
      </w:r>
      <w:r w:rsidR="003D717E" w:rsidRPr="00A50E4D">
        <w:rPr>
          <w:lang w:val="en-US"/>
        </w:rPr>
        <w:t>20</w:t>
      </w:r>
      <w:r w:rsidR="009808C5" w:rsidRPr="00A50E4D">
        <w:rPr>
          <w:lang w:val="en-US"/>
        </w:rPr>
        <w:t xml:space="preserve"> and </w:t>
      </w:r>
      <w:r w:rsidRPr="00A50E4D">
        <w:rPr>
          <w:lang w:val="en-US"/>
        </w:rPr>
        <w:t xml:space="preserve">23, </w:t>
      </w:r>
      <w:r w:rsidR="003D717E" w:rsidRPr="00A50E4D">
        <w:rPr>
          <w:lang w:val="en-US"/>
        </w:rPr>
        <w:t>2015</w:t>
      </w:r>
      <w:r w:rsidRPr="00A50E4D">
        <w:rPr>
          <w:lang w:val="en-US"/>
        </w:rPr>
        <w:t>,</w:t>
      </w:r>
      <w:r w:rsidR="003D717E" w:rsidRPr="00A50E4D">
        <w:rPr>
          <w:lang w:val="en-US"/>
        </w:rPr>
        <w:t xml:space="preserve"> </w:t>
      </w:r>
      <w:r w:rsidR="00CD2874" w:rsidRPr="00A50E4D">
        <w:rPr>
          <w:lang w:val="en-US"/>
        </w:rPr>
        <w:t>the President</w:t>
      </w:r>
      <w:r w:rsidR="009808C5" w:rsidRPr="00A50E4D">
        <w:rPr>
          <w:lang w:val="en-US"/>
        </w:rPr>
        <w:t xml:space="preserve"> of the Court</w:t>
      </w:r>
      <w:r w:rsidR="003D717E" w:rsidRPr="00A50E4D">
        <w:rPr>
          <w:lang w:val="en-US"/>
        </w:rPr>
        <w:t xml:space="preserve"> </w:t>
      </w:r>
      <w:r w:rsidRPr="00A50E4D">
        <w:rPr>
          <w:lang w:val="en-US"/>
        </w:rPr>
        <w:t>asked</w:t>
      </w:r>
      <w:r w:rsidR="00CD2874" w:rsidRPr="00A50E4D">
        <w:rPr>
          <w:lang w:val="en-US"/>
        </w:rPr>
        <w:t xml:space="preserve"> the State</w:t>
      </w:r>
      <w:r w:rsidR="003D717E" w:rsidRPr="00A50E4D">
        <w:rPr>
          <w:lang w:val="en-US"/>
        </w:rPr>
        <w:t xml:space="preserve"> </w:t>
      </w:r>
      <w:r w:rsidRPr="00A50E4D">
        <w:rPr>
          <w:lang w:val="en-US"/>
        </w:rPr>
        <w:t xml:space="preserve">to present useful information and evidence. The State submitted this information and documentation on August 7, </w:t>
      </w:r>
      <w:r w:rsidR="003D717E" w:rsidRPr="00A50E4D">
        <w:rPr>
          <w:lang w:val="en-US"/>
        </w:rPr>
        <w:t xml:space="preserve">2015. </w:t>
      </w:r>
    </w:p>
    <w:p w14:paraId="621DB219" w14:textId="77777777" w:rsidR="003D717E" w:rsidRPr="00A50E4D" w:rsidRDefault="003D717E" w:rsidP="003D717E">
      <w:pPr>
        <w:pStyle w:val="PrrafodeSentencia"/>
        <w:numPr>
          <w:ilvl w:val="0"/>
          <w:numId w:val="0"/>
        </w:numPr>
        <w:rPr>
          <w:lang w:val="en-US"/>
        </w:rPr>
      </w:pPr>
    </w:p>
    <w:p w14:paraId="28465DBF" w14:textId="47C026F0" w:rsidR="003D717E" w:rsidRPr="00A50E4D" w:rsidRDefault="003D717E" w:rsidP="003D717E">
      <w:pPr>
        <w:pStyle w:val="PrrafodeSentencia"/>
        <w:rPr>
          <w:lang w:val="en-US"/>
        </w:rPr>
      </w:pPr>
      <w:r w:rsidRPr="00A50E4D">
        <w:rPr>
          <w:i/>
          <w:lang w:val="en-US"/>
        </w:rPr>
        <w:t>Observa</w:t>
      </w:r>
      <w:r w:rsidR="00E84FC7" w:rsidRPr="00A50E4D">
        <w:rPr>
          <w:i/>
          <w:lang w:val="en-US"/>
        </w:rPr>
        <w:t xml:space="preserve">tions on the useful information and evidence, and the supervening evidence on expenses. </w:t>
      </w:r>
      <w:bookmarkEnd w:id="42"/>
      <w:bookmarkEnd w:id="43"/>
      <w:r w:rsidR="00E84FC7" w:rsidRPr="00A50E4D">
        <w:rPr>
          <w:lang w:val="en-US"/>
        </w:rPr>
        <w:t>On March</w:t>
      </w:r>
      <w:r w:rsidRPr="00A50E4D">
        <w:rPr>
          <w:lang w:val="en-US"/>
        </w:rPr>
        <w:t xml:space="preserve"> 13, 18</w:t>
      </w:r>
      <w:r w:rsidR="009808C5" w:rsidRPr="00A50E4D">
        <w:rPr>
          <w:lang w:val="en-US"/>
        </w:rPr>
        <w:t xml:space="preserve"> and </w:t>
      </w:r>
      <w:r w:rsidR="00E84FC7" w:rsidRPr="00A50E4D">
        <w:rPr>
          <w:lang w:val="en-US"/>
        </w:rPr>
        <w:t xml:space="preserve">25, </w:t>
      </w:r>
      <w:r w:rsidRPr="00A50E4D">
        <w:rPr>
          <w:lang w:val="en-US"/>
        </w:rPr>
        <w:t>2015</w:t>
      </w:r>
      <w:r w:rsidR="00E84FC7" w:rsidRPr="00A50E4D">
        <w:rPr>
          <w:lang w:val="en-US"/>
        </w:rPr>
        <w:t>,</w:t>
      </w:r>
      <w:r w:rsidRPr="00A50E4D">
        <w:rPr>
          <w:lang w:val="en-US"/>
        </w:rPr>
        <w:t xml:space="preserve"> </w:t>
      </w:r>
      <w:r w:rsidR="009808C5" w:rsidRPr="00A50E4D">
        <w:rPr>
          <w:lang w:val="en-US"/>
        </w:rPr>
        <w:t xml:space="preserve">the State and </w:t>
      </w:r>
      <w:r w:rsidR="00AD5EE7" w:rsidRPr="00A50E4D">
        <w:rPr>
          <w:lang w:val="en-US"/>
        </w:rPr>
        <w:t>the representatives</w:t>
      </w:r>
      <w:r w:rsidRPr="00A50E4D">
        <w:rPr>
          <w:lang w:val="en-US"/>
        </w:rPr>
        <w:t xml:space="preserve"> present</w:t>
      </w:r>
      <w:r w:rsidR="00E84FC7" w:rsidRPr="00A50E4D">
        <w:rPr>
          <w:lang w:val="en-US"/>
        </w:rPr>
        <w:t xml:space="preserve">ed their observations on the documentation presented by the other party together with their </w:t>
      </w:r>
      <w:r w:rsidR="004626E5" w:rsidRPr="00A50E4D">
        <w:rPr>
          <w:lang w:val="en-US"/>
        </w:rPr>
        <w:t>final written arguments</w:t>
      </w:r>
      <w:r w:rsidRPr="00A50E4D">
        <w:rPr>
          <w:lang w:val="en-US"/>
        </w:rPr>
        <w:t xml:space="preserve">. </w:t>
      </w:r>
      <w:r w:rsidR="00E84FC7" w:rsidRPr="00A50E4D">
        <w:rPr>
          <w:lang w:val="en-US"/>
        </w:rPr>
        <w:t>On August</w:t>
      </w:r>
      <w:r w:rsidR="00104B36" w:rsidRPr="00A50E4D">
        <w:rPr>
          <w:lang w:val="en-US"/>
        </w:rPr>
        <w:t xml:space="preserve"> 19</w:t>
      </w:r>
      <w:r w:rsidR="009808C5" w:rsidRPr="00A50E4D">
        <w:rPr>
          <w:lang w:val="en-US"/>
        </w:rPr>
        <w:t xml:space="preserve"> and </w:t>
      </w:r>
      <w:r w:rsidR="00836BDB" w:rsidRPr="00A50E4D">
        <w:rPr>
          <w:lang w:val="en-US"/>
        </w:rPr>
        <w:t>21</w:t>
      </w:r>
      <w:r w:rsidR="00E84FC7" w:rsidRPr="00A50E4D">
        <w:rPr>
          <w:lang w:val="en-US"/>
        </w:rPr>
        <w:t xml:space="preserve">, </w:t>
      </w:r>
      <w:r w:rsidRPr="00A50E4D">
        <w:rPr>
          <w:lang w:val="en-US"/>
        </w:rPr>
        <w:t>2015</w:t>
      </w:r>
      <w:r w:rsidR="00E84FC7" w:rsidRPr="00A50E4D">
        <w:rPr>
          <w:lang w:val="en-US"/>
        </w:rPr>
        <w:t>,</w:t>
      </w:r>
      <w:r w:rsidRPr="00A50E4D">
        <w:rPr>
          <w:lang w:val="en-US"/>
        </w:rPr>
        <w:t xml:space="preserve"> </w:t>
      </w:r>
      <w:r w:rsidR="00AD5EE7" w:rsidRPr="00A50E4D">
        <w:rPr>
          <w:lang w:val="en-US"/>
        </w:rPr>
        <w:t>the representatives</w:t>
      </w:r>
      <w:r w:rsidR="009808C5" w:rsidRPr="00A50E4D">
        <w:rPr>
          <w:lang w:val="en-US"/>
        </w:rPr>
        <w:t xml:space="preserve"> and the Commission</w:t>
      </w:r>
      <w:r w:rsidRPr="00A50E4D">
        <w:rPr>
          <w:lang w:val="en-US"/>
        </w:rPr>
        <w:t xml:space="preserve"> present</w:t>
      </w:r>
      <w:r w:rsidR="00E84FC7" w:rsidRPr="00A50E4D">
        <w:rPr>
          <w:lang w:val="en-US"/>
        </w:rPr>
        <w:t xml:space="preserve">ed their observations on the information and documentation </w:t>
      </w:r>
      <w:r w:rsidR="009E0AD7" w:rsidRPr="00A50E4D">
        <w:rPr>
          <w:lang w:val="en-US"/>
        </w:rPr>
        <w:t>submitted</w:t>
      </w:r>
      <w:r w:rsidR="00E84FC7" w:rsidRPr="00A50E4D">
        <w:rPr>
          <w:lang w:val="en-US"/>
        </w:rPr>
        <w:t xml:space="preserve"> by </w:t>
      </w:r>
      <w:r w:rsidR="009808C5" w:rsidRPr="00A50E4D">
        <w:rPr>
          <w:lang w:val="en-US"/>
        </w:rPr>
        <w:t>the State</w:t>
      </w:r>
      <w:r w:rsidRPr="00A50E4D">
        <w:rPr>
          <w:lang w:val="en-US"/>
        </w:rPr>
        <w:t xml:space="preserve"> </w:t>
      </w:r>
      <w:r w:rsidR="00E84FC7" w:rsidRPr="00A50E4D">
        <w:rPr>
          <w:lang w:val="en-US"/>
        </w:rPr>
        <w:t>on August 7,</w:t>
      </w:r>
      <w:r w:rsidRPr="00A50E4D">
        <w:rPr>
          <w:lang w:val="en-US"/>
        </w:rPr>
        <w:t xml:space="preserve"> 2015.</w:t>
      </w:r>
    </w:p>
    <w:p w14:paraId="2E873B1C" w14:textId="77777777" w:rsidR="003D717E" w:rsidRPr="00A50E4D" w:rsidRDefault="003D717E" w:rsidP="003D717E">
      <w:pPr>
        <w:pStyle w:val="PrrafodeSentencia"/>
        <w:numPr>
          <w:ilvl w:val="0"/>
          <w:numId w:val="0"/>
        </w:numPr>
        <w:rPr>
          <w:lang w:val="en-US"/>
        </w:rPr>
      </w:pPr>
    </w:p>
    <w:p w14:paraId="14F36908" w14:textId="4F93253A" w:rsidR="003D717E" w:rsidRPr="00A50E4D" w:rsidRDefault="003D717E" w:rsidP="003D717E">
      <w:pPr>
        <w:pStyle w:val="PrrafodeSentencia"/>
        <w:rPr>
          <w:lang w:val="en-US"/>
        </w:rPr>
      </w:pPr>
      <w:r w:rsidRPr="00A50E4D">
        <w:rPr>
          <w:i/>
          <w:lang w:val="en-US"/>
        </w:rPr>
        <w:t>Delibera</w:t>
      </w:r>
      <w:r w:rsidR="00E84FC7" w:rsidRPr="00A50E4D">
        <w:rPr>
          <w:i/>
          <w:lang w:val="en-US"/>
        </w:rPr>
        <w:t xml:space="preserve">tion of this case. </w:t>
      </w:r>
      <w:r w:rsidR="009808C5" w:rsidRPr="00A50E4D">
        <w:rPr>
          <w:lang w:val="en-US"/>
        </w:rPr>
        <w:t>The Court</w:t>
      </w:r>
      <w:r w:rsidR="00E84FC7" w:rsidRPr="00A50E4D">
        <w:rPr>
          <w:lang w:val="en-US"/>
        </w:rPr>
        <w:t xml:space="preserve"> began deliberating this judgment on September 28, </w:t>
      </w:r>
      <w:r w:rsidRPr="00A50E4D">
        <w:rPr>
          <w:lang w:val="en-US"/>
        </w:rPr>
        <w:t>2015.</w:t>
      </w:r>
    </w:p>
    <w:p w14:paraId="591112CC" w14:textId="77777777" w:rsidR="003D717E" w:rsidRPr="00914F55" w:rsidRDefault="003D717E" w:rsidP="003D717E">
      <w:pPr>
        <w:pStyle w:val="NoSpacing"/>
        <w:tabs>
          <w:tab w:val="left" w:pos="567"/>
        </w:tabs>
        <w:rPr>
          <w:rStyle w:val="CommentReference"/>
          <w:spacing w:val="-4"/>
          <w:szCs w:val="20"/>
          <w:lang w:val="en-US"/>
        </w:rPr>
      </w:pPr>
    </w:p>
    <w:p w14:paraId="7F0B1377" w14:textId="77777777" w:rsidR="003D717E" w:rsidRPr="00A50E4D" w:rsidRDefault="003D717E" w:rsidP="003D717E">
      <w:pPr>
        <w:pStyle w:val="Heading1"/>
        <w:rPr>
          <w:snapToGrid w:val="0"/>
          <w:spacing w:val="-4"/>
          <w:lang w:val="en-US"/>
        </w:rPr>
      </w:pPr>
      <w:bookmarkStart w:id="44" w:name="_Toc424834682"/>
      <w:bookmarkStart w:id="45" w:name="_Toc427932788"/>
      <w:bookmarkStart w:id="46" w:name="_Toc431584605"/>
      <w:bookmarkStart w:id="47" w:name="_Toc471717238"/>
      <w:r w:rsidRPr="00914F55">
        <w:rPr>
          <w:snapToGrid w:val="0"/>
          <w:spacing w:val="-4"/>
          <w:lang w:val="en-US"/>
        </w:rPr>
        <w:t>III</w:t>
      </w:r>
      <w:bookmarkEnd w:id="44"/>
      <w:bookmarkEnd w:id="45"/>
      <w:bookmarkEnd w:id="46"/>
      <w:bookmarkEnd w:id="47"/>
    </w:p>
    <w:p w14:paraId="66F6C9FE" w14:textId="6E670776" w:rsidR="003D717E" w:rsidRPr="00A50E4D" w:rsidRDefault="00E84FC7" w:rsidP="003D717E">
      <w:pPr>
        <w:pStyle w:val="Heading1"/>
        <w:rPr>
          <w:strike/>
          <w:snapToGrid w:val="0"/>
          <w:spacing w:val="-4"/>
          <w:lang w:val="en-US"/>
        </w:rPr>
      </w:pPr>
      <w:bookmarkStart w:id="48" w:name="_Toc471717239"/>
      <w:r w:rsidRPr="00A50E4D">
        <w:rPr>
          <w:snapToGrid w:val="0"/>
          <w:spacing w:val="-4"/>
          <w:lang w:val="en-US"/>
        </w:rPr>
        <w:t>JURISDICTION</w:t>
      </w:r>
      <w:bookmarkEnd w:id="48"/>
    </w:p>
    <w:p w14:paraId="24B00897" w14:textId="77777777" w:rsidR="003D717E" w:rsidRPr="00A50E4D" w:rsidRDefault="003D717E" w:rsidP="003D717E">
      <w:pPr>
        <w:pStyle w:val="NoSpacing"/>
        <w:tabs>
          <w:tab w:val="left" w:pos="567"/>
        </w:tabs>
        <w:rPr>
          <w:spacing w:val="-4"/>
          <w:lang w:val="en-US"/>
        </w:rPr>
      </w:pPr>
    </w:p>
    <w:p w14:paraId="74A75677" w14:textId="5D631F43" w:rsidR="003D717E" w:rsidRPr="00A50E4D" w:rsidRDefault="009808C5" w:rsidP="003D717E">
      <w:pPr>
        <w:pStyle w:val="PrrafodeSentencia"/>
        <w:rPr>
          <w:lang w:val="en-US"/>
        </w:rPr>
      </w:pPr>
      <w:r w:rsidRPr="00A50E4D">
        <w:rPr>
          <w:lang w:val="en-US"/>
        </w:rPr>
        <w:t>The Court</w:t>
      </w:r>
      <w:r w:rsidR="003D717E" w:rsidRPr="00A50E4D">
        <w:rPr>
          <w:lang w:val="en-US"/>
        </w:rPr>
        <w:t xml:space="preserve"> </w:t>
      </w:r>
      <w:r w:rsidR="009E0AD7" w:rsidRPr="00A50E4D">
        <w:rPr>
          <w:lang w:val="en-US"/>
        </w:rPr>
        <w:t>is competent</w:t>
      </w:r>
      <w:r w:rsidR="001D6DF6" w:rsidRPr="00A50E4D">
        <w:rPr>
          <w:lang w:val="en-US"/>
        </w:rPr>
        <w:t xml:space="preserve"> to hear this case pursuant to </w:t>
      </w:r>
      <w:r w:rsidR="0048601C" w:rsidRPr="00A50E4D">
        <w:rPr>
          <w:lang w:val="en-US"/>
        </w:rPr>
        <w:t>Article</w:t>
      </w:r>
      <w:r w:rsidR="003D717E" w:rsidRPr="00A50E4D">
        <w:rPr>
          <w:lang w:val="en-US"/>
        </w:rPr>
        <w:t xml:space="preserve"> </w:t>
      </w:r>
      <w:r w:rsidRPr="00A50E4D">
        <w:rPr>
          <w:lang w:val="en-US"/>
        </w:rPr>
        <w:t>62(3) of the Convention</w:t>
      </w:r>
      <w:r w:rsidR="003D717E" w:rsidRPr="00A50E4D">
        <w:rPr>
          <w:lang w:val="en-US"/>
        </w:rPr>
        <w:t xml:space="preserve">, </w:t>
      </w:r>
      <w:r w:rsidR="001D6DF6" w:rsidRPr="00A50E4D">
        <w:rPr>
          <w:lang w:val="en-US"/>
        </w:rPr>
        <w:t xml:space="preserve">because </w:t>
      </w:r>
      <w:r w:rsidR="003D717E" w:rsidRPr="00A50E4D">
        <w:rPr>
          <w:lang w:val="en-US"/>
        </w:rPr>
        <w:t xml:space="preserve">Honduras </w:t>
      </w:r>
      <w:r w:rsidR="001D6DF6" w:rsidRPr="00A50E4D">
        <w:rPr>
          <w:lang w:val="en-US"/>
        </w:rPr>
        <w:t xml:space="preserve">has been a State Party to </w:t>
      </w:r>
      <w:r w:rsidRPr="00A50E4D">
        <w:rPr>
          <w:lang w:val="en-US"/>
        </w:rPr>
        <w:t>the American Convention</w:t>
      </w:r>
      <w:r w:rsidR="003D717E" w:rsidRPr="00A50E4D">
        <w:rPr>
          <w:lang w:val="en-US"/>
        </w:rPr>
        <w:t xml:space="preserve"> </w:t>
      </w:r>
      <w:r w:rsidR="001D6DF6" w:rsidRPr="00A50E4D">
        <w:rPr>
          <w:lang w:val="en-US"/>
        </w:rPr>
        <w:t xml:space="preserve">since September 8, </w:t>
      </w:r>
      <w:r w:rsidR="003D717E" w:rsidRPr="00A50E4D">
        <w:rPr>
          <w:lang w:val="en-US"/>
        </w:rPr>
        <w:t>1977</w:t>
      </w:r>
      <w:r w:rsidR="001D6DF6" w:rsidRPr="00A50E4D">
        <w:rPr>
          <w:lang w:val="en-US"/>
        </w:rPr>
        <w:t>,</w:t>
      </w:r>
      <w:r w:rsidRPr="00A50E4D">
        <w:rPr>
          <w:lang w:val="en-US"/>
        </w:rPr>
        <w:t xml:space="preserve"> and </w:t>
      </w:r>
      <w:r w:rsidR="001D6DF6" w:rsidRPr="00A50E4D">
        <w:rPr>
          <w:lang w:val="en-US"/>
        </w:rPr>
        <w:t xml:space="preserve">accepted the contentious jurisdiction </w:t>
      </w:r>
      <w:r w:rsidRPr="00A50E4D">
        <w:rPr>
          <w:lang w:val="en-US"/>
        </w:rPr>
        <w:t>of the Court</w:t>
      </w:r>
      <w:r w:rsidR="003D717E" w:rsidRPr="00A50E4D">
        <w:rPr>
          <w:lang w:val="en-US"/>
        </w:rPr>
        <w:t xml:space="preserve"> </w:t>
      </w:r>
      <w:r w:rsidR="001D6DF6" w:rsidRPr="00A50E4D">
        <w:rPr>
          <w:lang w:val="en-US"/>
        </w:rPr>
        <w:t>on September 9,</w:t>
      </w:r>
      <w:r w:rsidR="003D717E" w:rsidRPr="00A50E4D">
        <w:rPr>
          <w:lang w:val="en-US"/>
        </w:rPr>
        <w:t xml:space="preserve"> 1981. </w:t>
      </w:r>
      <w:bookmarkStart w:id="49" w:name="_Toc375560910"/>
      <w:bookmarkStart w:id="50" w:name="_Toc395213496"/>
      <w:bookmarkStart w:id="51" w:name="_Toc396514853"/>
      <w:bookmarkStart w:id="52" w:name="_Toc405857803"/>
    </w:p>
    <w:p w14:paraId="5916AD35" w14:textId="77777777" w:rsidR="00313267" w:rsidRPr="00A50E4D" w:rsidRDefault="00313267" w:rsidP="00313267">
      <w:pPr>
        <w:rPr>
          <w:lang w:val="en-US"/>
        </w:rPr>
      </w:pPr>
    </w:p>
    <w:p w14:paraId="52AD141B" w14:textId="77777777" w:rsidR="003D717E" w:rsidRPr="00A50E4D" w:rsidRDefault="003D717E" w:rsidP="003D717E">
      <w:pPr>
        <w:pStyle w:val="Heading1"/>
        <w:rPr>
          <w:spacing w:val="-4"/>
          <w:lang w:val="en-US"/>
        </w:rPr>
      </w:pPr>
      <w:bookmarkStart w:id="53" w:name="_Toc424834684"/>
      <w:bookmarkStart w:id="54" w:name="_Toc427932790"/>
      <w:bookmarkStart w:id="55" w:name="_Toc431584607"/>
      <w:bookmarkStart w:id="56" w:name="_Toc471717240"/>
      <w:r w:rsidRPr="00A50E4D">
        <w:rPr>
          <w:spacing w:val="-4"/>
          <w:lang w:val="en-US"/>
        </w:rPr>
        <w:t>IV</w:t>
      </w:r>
      <w:bookmarkEnd w:id="53"/>
      <w:bookmarkEnd w:id="54"/>
      <w:bookmarkEnd w:id="55"/>
      <w:bookmarkEnd w:id="56"/>
    </w:p>
    <w:p w14:paraId="54E939D5" w14:textId="37207FC6" w:rsidR="003D717E" w:rsidRPr="00A50E4D" w:rsidRDefault="009808C5" w:rsidP="003D717E">
      <w:pPr>
        <w:pStyle w:val="Heading1"/>
        <w:rPr>
          <w:spacing w:val="-4"/>
          <w:lang w:val="en-US"/>
        </w:rPr>
      </w:pPr>
      <w:bookmarkStart w:id="57" w:name="_Toc471717241"/>
      <w:r w:rsidRPr="00A50E4D">
        <w:rPr>
          <w:spacing w:val="-4"/>
          <w:lang w:val="en-US"/>
        </w:rPr>
        <w:t>PRELIMINARY OBJECTION</w:t>
      </w:r>
      <w:bookmarkEnd w:id="57"/>
    </w:p>
    <w:p w14:paraId="125C7B0C" w14:textId="2035423C" w:rsidR="00405AFD" w:rsidRPr="00A50E4D" w:rsidRDefault="00E84FC7" w:rsidP="00405AFD">
      <w:pPr>
        <w:jc w:val="center"/>
        <w:rPr>
          <w:b/>
          <w:lang w:val="en-US" w:eastAsia="es-CR"/>
        </w:rPr>
      </w:pPr>
      <w:r w:rsidRPr="00A50E4D">
        <w:rPr>
          <w:b/>
          <w:lang w:val="en-US" w:eastAsia="es-CR"/>
        </w:rPr>
        <w:t>ALLEGED FAILURE TO EXHAUST DOMESTIC REMEDIES</w:t>
      </w:r>
    </w:p>
    <w:p w14:paraId="00E92699" w14:textId="77777777" w:rsidR="003D717E" w:rsidRPr="00A50E4D" w:rsidRDefault="003D717E" w:rsidP="004D030C">
      <w:pPr>
        <w:rPr>
          <w:spacing w:val="-4"/>
          <w:lang w:val="en-US"/>
        </w:rPr>
      </w:pPr>
    </w:p>
    <w:p w14:paraId="0B7A67A5" w14:textId="02B5F4B6" w:rsidR="003D717E" w:rsidRPr="00A50E4D" w:rsidRDefault="00E84FC7" w:rsidP="003D717E">
      <w:pPr>
        <w:pStyle w:val="Heading2"/>
        <w:numPr>
          <w:ilvl w:val="0"/>
          <w:numId w:val="6"/>
        </w:numPr>
        <w:rPr>
          <w:spacing w:val="-4"/>
          <w:lang w:val="en-US"/>
        </w:rPr>
      </w:pPr>
      <w:bookmarkStart w:id="58" w:name="_Toc427932792"/>
      <w:bookmarkStart w:id="59" w:name="_Toc431584609"/>
      <w:bookmarkStart w:id="60" w:name="_Toc471717242"/>
      <w:r w:rsidRPr="00A50E4D">
        <w:rPr>
          <w:spacing w:val="-4"/>
          <w:lang w:val="en-US"/>
        </w:rPr>
        <w:t>Arguments</w:t>
      </w:r>
      <w:r w:rsidR="009808C5" w:rsidRPr="00A50E4D">
        <w:rPr>
          <w:spacing w:val="-4"/>
          <w:lang w:val="en-US"/>
        </w:rPr>
        <w:t xml:space="preserve"> of the State and </w:t>
      </w:r>
      <w:r w:rsidRPr="00A50E4D">
        <w:rPr>
          <w:spacing w:val="-4"/>
          <w:lang w:val="en-US"/>
        </w:rPr>
        <w:t>observations</w:t>
      </w:r>
      <w:r w:rsidR="004626E5" w:rsidRPr="00A50E4D">
        <w:rPr>
          <w:spacing w:val="-4"/>
          <w:lang w:val="en-US"/>
        </w:rPr>
        <w:t xml:space="preserve"> of the </w:t>
      </w:r>
      <w:r w:rsidR="00AD5EE7" w:rsidRPr="00A50E4D">
        <w:rPr>
          <w:spacing w:val="-4"/>
          <w:lang w:val="en-US"/>
        </w:rPr>
        <w:t>representatives</w:t>
      </w:r>
      <w:r w:rsidR="009808C5" w:rsidRPr="00A50E4D">
        <w:rPr>
          <w:spacing w:val="-4"/>
          <w:lang w:val="en-US"/>
        </w:rPr>
        <w:t xml:space="preserve"> and the Commission</w:t>
      </w:r>
      <w:bookmarkEnd w:id="58"/>
      <w:bookmarkEnd w:id="59"/>
      <w:bookmarkEnd w:id="60"/>
    </w:p>
    <w:p w14:paraId="71E6D0EC" w14:textId="77777777" w:rsidR="003D717E" w:rsidRPr="00A50E4D" w:rsidRDefault="003D717E" w:rsidP="003D717E">
      <w:pPr>
        <w:pStyle w:val="PrrafodeSentencia"/>
        <w:numPr>
          <w:ilvl w:val="0"/>
          <w:numId w:val="0"/>
        </w:numPr>
        <w:rPr>
          <w:lang w:val="en-US"/>
        </w:rPr>
      </w:pPr>
    </w:p>
    <w:p w14:paraId="3EE9EAFA" w14:textId="599982A2" w:rsidR="00340157" w:rsidRPr="00A50E4D" w:rsidRDefault="009808C5" w:rsidP="007C2EEE">
      <w:pPr>
        <w:pStyle w:val="PrrafodeSentencia"/>
        <w:rPr>
          <w:lang w:val="en-US"/>
        </w:rPr>
      </w:pPr>
      <w:r w:rsidRPr="00A50E4D">
        <w:rPr>
          <w:lang w:val="en-US"/>
        </w:rPr>
        <w:t>The State</w:t>
      </w:r>
      <w:r w:rsidR="003D717E" w:rsidRPr="00A50E4D">
        <w:rPr>
          <w:lang w:val="en-US"/>
        </w:rPr>
        <w:t xml:space="preserve"> a</w:t>
      </w:r>
      <w:r w:rsidR="007C2EEE" w:rsidRPr="00A50E4D">
        <w:rPr>
          <w:lang w:val="en-US"/>
        </w:rPr>
        <w:t xml:space="preserve">rgued that neither the contentious administrative action nor the application for </w:t>
      </w:r>
      <w:r w:rsidR="00B11ACA" w:rsidRPr="00A50E4D">
        <w:rPr>
          <w:i/>
          <w:lang w:val="en-US"/>
        </w:rPr>
        <w:t>amparo</w:t>
      </w:r>
      <w:r w:rsidR="007C2EEE" w:rsidRPr="00A50E4D">
        <w:rPr>
          <w:lang w:val="en-US"/>
        </w:rPr>
        <w:t xml:space="preserve"> had been exhausted. Regarding the contentious administrative action, it </w:t>
      </w:r>
      <w:r w:rsidR="003E41F4" w:rsidRPr="00A50E4D">
        <w:rPr>
          <w:lang w:val="en-US"/>
        </w:rPr>
        <w:t>indicated</w:t>
      </w:r>
      <w:r w:rsidR="007C2EEE" w:rsidRPr="00A50E4D">
        <w:rPr>
          <w:lang w:val="en-US"/>
        </w:rPr>
        <w:t xml:space="preserve"> that, according to the law, this remedy is able to examine “[t]he ex</w:t>
      </w:r>
      <w:r w:rsidR="00530463" w:rsidRPr="00A50E4D">
        <w:rPr>
          <w:lang w:val="en-US"/>
        </w:rPr>
        <w:t xml:space="preserve">ecution of decisions adopted under </w:t>
      </w:r>
      <w:r w:rsidR="007C2EEE" w:rsidRPr="00A50E4D">
        <w:rPr>
          <w:lang w:val="en-US"/>
        </w:rPr>
        <w:t>the Judicial Service Act aimed at reimbursements or payment of compensation.</w:t>
      </w:r>
      <w:r w:rsidR="003D717E" w:rsidRPr="00A50E4D">
        <w:rPr>
          <w:lang w:val="en-US"/>
        </w:rPr>
        <w:t>”</w:t>
      </w:r>
      <w:r w:rsidR="003D717E" w:rsidRPr="00A50E4D">
        <w:rPr>
          <w:rStyle w:val="FootnoteReference"/>
          <w:sz w:val="20"/>
          <w:szCs w:val="20"/>
          <w:lang w:val="en-US"/>
        </w:rPr>
        <w:footnoteReference w:id="5"/>
      </w:r>
      <w:r w:rsidR="003D717E" w:rsidRPr="00A50E4D">
        <w:rPr>
          <w:b/>
          <w:lang w:val="en-US"/>
        </w:rPr>
        <w:t xml:space="preserve"> </w:t>
      </w:r>
      <w:r w:rsidR="003D717E" w:rsidRPr="00A50E4D">
        <w:rPr>
          <w:lang w:val="en-US"/>
        </w:rPr>
        <w:t>Re</w:t>
      </w:r>
      <w:r w:rsidR="007C2EEE" w:rsidRPr="00A50E4D">
        <w:rPr>
          <w:lang w:val="en-US"/>
        </w:rPr>
        <w:t xml:space="preserve">garding the application for </w:t>
      </w:r>
      <w:r w:rsidR="00B11ACA" w:rsidRPr="00A50E4D">
        <w:rPr>
          <w:i/>
          <w:lang w:val="en-US"/>
        </w:rPr>
        <w:t>amparo</w:t>
      </w:r>
      <w:r w:rsidR="007C2EEE" w:rsidRPr="00A50E4D">
        <w:rPr>
          <w:lang w:val="en-US"/>
        </w:rPr>
        <w:t xml:space="preserve"> (constitutional protection), it a</w:t>
      </w:r>
      <w:r w:rsidR="00530463" w:rsidRPr="00A50E4D">
        <w:rPr>
          <w:lang w:val="en-US"/>
        </w:rPr>
        <w:t>ssert</w:t>
      </w:r>
      <w:r w:rsidR="007C2EEE" w:rsidRPr="00A50E4D">
        <w:rPr>
          <w:lang w:val="en-US"/>
        </w:rPr>
        <w:t>ed that</w:t>
      </w:r>
      <w:r w:rsidR="003D717E" w:rsidRPr="00A50E4D">
        <w:rPr>
          <w:lang w:val="en-US"/>
        </w:rPr>
        <w:t xml:space="preserve"> </w:t>
      </w:r>
      <w:r w:rsidR="007C2EEE" w:rsidRPr="00A50E4D">
        <w:rPr>
          <w:lang w:val="en-US"/>
        </w:rPr>
        <w:t>a</w:t>
      </w:r>
      <w:r w:rsidRPr="00A50E4D">
        <w:rPr>
          <w:lang w:val="en-US"/>
        </w:rPr>
        <w:t>rticle</w:t>
      </w:r>
      <w:r w:rsidR="003D717E" w:rsidRPr="00A50E4D">
        <w:rPr>
          <w:lang w:val="en-US"/>
        </w:rPr>
        <w:t xml:space="preserve"> 183</w:t>
      </w:r>
      <w:r w:rsidR="00530463" w:rsidRPr="00A50E4D">
        <w:rPr>
          <w:lang w:val="en-US"/>
        </w:rPr>
        <w:t xml:space="preserve"> of</w:t>
      </w:r>
      <w:r w:rsidR="003D717E" w:rsidRPr="00A50E4D">
        <w:rPr>
          <w:lang w:val="en-US"/>
        </w:rPr>
        <w:t xml:space="preserve"> </w:t>
      </w:r>
      <w:r w:rsidR="007C2EEE" w:rsidRPr="00A50E4D">
        <w:rPr>
          <w:lang w:val="en-US"/>
        </w:rPr>
        <w:t xml:space="preserve">the Constitution, as well as the Constitutional Justice Act recognized the guarantee of </w:t>
      </w:r>
      <w:r w:rsidR="00B11ACA" w:rsidRPr="00A50E4D">
        <w:rPr>
          <w:i/>
          <w:lang w:val="en-US"/>
        </w:rPr>
        <w:t>amparo</w:t>
      </w:r>
      <w:r w:rsidR="007C2EEE" w:rsidRPr="00A50E4D">
        <w:rPr>
          <w:lang w:val="en-US"/>
        </w:rPr>
        <w:t>, thereby tacitly annulling a</w:t>
      </w:r>
      <w:r w:rsidRPr="00A50E4D">
        <w:rPr>
          <w:lang w:val="en-US"/>
        </w:rPr>
        <w:t>rticle</w:t>
      </w:r>
      <w:r w:rsidR="003D717E" w:rsidRPr="00A50E4D">
        <w:rPr>
          <w:lang w:val="en-US"/>
        </w:rPr>
        <w:t xml:space="preserve"> 31</w:t>
      </w:r>
      <w:r w:rsidRPr="00A50E4D">
        <w:rPr>
          <w:lang w:val="en-US"/>
        </w:rPr>
        <w:t xml:space="preserve"> of the </w:t>
      </w:r>
      <w:r w:rsidR="00530463" w:rsidRPr="00A50E4D">
        <w:rPr>
          <w:lang w:val="en-US"/>
        </w:rPr>
        <w:t xml:space="preserve">rules of procedure </w:t>
      </w:r>
      <w:r w:rsidR="0087695C" w:rsidRPr="00A50E4D">
        <w:rPr>
          <w:lang w:val="en-US"/>
        </w:rPr>
        <w:t>of the Judicial Service Council</w:t>
      </w:r>
      <w:r w:rsidR="003D717E" w:rsidRPr="00A50E4D">
        <w:rPr>
          <w:lang w:val="en-US"/>
        </w:rPr>
        <w:t xml:space="preserve">. </w:t>
      </w:r>
    </w:p>
    <w:p w14:paraId="2EE85702" w14:textId="77777777" w:rsidR="00340157" w:rsidRPr="00A50E4D" w:rsidRDefault="00340157" w:rsidP="00340157">
      <w:pPr>
        <w:rPr>
          <w:lang w:val="en-US" w:eastAsia="es-MX"/>
        </w:rPr>
      </w:pPr>
    </w:p>
    <w:p w14:paraId="225EA791" w14:textId="3787F48D" w:rsidR="003D717E" w:rsidRPr="00A50E4D" w:rsidRDefault="00CD2874" w:rsidP="007C2EEE">
      <w:pPr>
        <w:pStyle w:val="PrrafodeSentencia"/>
        <w:rPr>
          <w:lang w:val="en-US"/>
        </w:rPr>
      </w:pPr>
      <w:r w:rsidRPr="00A50E4D">
        <w:rPr>
          <w:lang w:val="en-US"/>
        </w:rPr>
        <w:t>The Commission</w:t>
      </w:r>
      <w:r w:rsidR="003D717E" w:rsidRPr="00A50E4D">
        <w:rPr>
          <w:lang w:val="en-US"/>
        </w:rPr>
        <w:t xml:space="preserve"> </w:t>
      </w:r>
      <w:r w:rsidR="007C2EEE" w:rsidRPr="00A50E4D">
        <w:rPr>
          <w:lang w:val="en-US"/>
        </w:rPr>
        <w:t>reiterated that,</w:t>
      </w:r>
      <w:r w:rsidR="003D717E" w:rsidRPr="00A50E4D">
        <w:rPr>
          <w:lang w:val="en-US"/>
        </w:rPr>
        <w:t xml:space="preserve"> “</w:t>
      </w:r>
      <w:r w:rsidR="00530463" w:rsidRPr="00A50E4D">
        <w:rPr>
          <w:lang w:val="en-US"/>
        </w:rPr>
        <w:t>in the first place</w:t>
      </w:r>
      <w:r w:rsidR="007C2EEE" w:rsidRPr="00A50E4D">
        <w:rPr>
          <w:lang w:val="en-US"/>
        </w:rPr>
        <w:t xml:space="preserve">, </w:t>
      </w:r>
      <w:r w:rsidR="009808C5" w:rsidRPr="00A50E4D">
        <w:rPr>
          <w:lang w:val="en-US"/>
        </w:rPr>
        <w:t>the Convention</w:t>
      </w:r>
      <w:r w:rsidR="007C2EEE" w:rsidRPr="00A50E4D">
        <w:rPr>
          <w:lang w:val="en-US"/>
        </w:rPr>
        <w:t xml:space="preserve"> attribute[d] decisions </w:t>
      </w:r>
      <w:r w:rsidR="00530463" w:rsidRPr="00A50E4D">
        <w:rPr>
          <w:lang w:val="en-US"/>
        </w:rPr>
        <w:t>concerning</w:t>
      </w:r>
      <w:r w:rsidR="007C2EEE" w:rsidRPr="00A50E4D">
        <w:rPr>
          <w:lang w:val="en-US"/>
        </w:rPr>
        <w:t xml:space="preserve"> admissibility” to the Commissi</w:t>
      </w:r>
      <w:r w:rsidR="00530463" w:rsidRPr="00A50E4D">
        <w:rPr>
          <w:lang w:val="en-US"/>
        </w:rPr>
        <w:t xml:space="preserve">on, so that “the content of </w:t>
      </w:r>
      <w:r w:rsidR="007C2EEE" w:rsidRPr="00A50E4D">
        <w:rPr>
          <w:lang w:val="en-US"/>
        </w:rPr>
        <w:t>admissibility decisions […] should not be re-examined at subsequent stages of the proceedings.” It indicated that, “in principle, and in the absence of exceptional circumstances, it was incumbent on the Court to defer to the decisions taken by the [Commission] in this regard.” It stressed that the argument of failure to exhaust the contentious administrative action</w:t>
      </w:r>
      <w:r w:rsidR="003D717E" w:rsidRPr="00A50E4D">
        <w:rPr>
          <w:lang w:val="en-US"/>
        </w:rPr>
        <w:t xml:space="preserve"> </w:t>
      </w:r>
      <w:r w:rsidR="007C2EEE" w:rsidRPr="00A50E4D">
        <w:rPr>
          <w:lang w:val="en-US"/>
        </w:rPr>
        <w:t xml:space="preserve">was time-barred. Furthermore, it indicated that the </w:t>
      </w:r>
      <w:r w:rsidR="00530463" w:rsidRPr="00A50E4D">
        <w:rPr>
          <w:lang w:val="en-US"/>
        </w:rPr>
        <w:t xml:space="preserve">Council’s </w:t>
      </w:r>
      <w:r w:rsidR="007C2EEE" w:rsidRPr="00A50E4D">
        <w:rPr>
          <w:lang w:val="en-US"/>
        </w:rPr>
        <w:t xml:space="preserve">decision </w:t>
      </w:r>
      <w:r w:rsidR="00530463" w:rsidRPr="00A50E4D">
        <w:rPr>
          <w:lang w:val="en-US"/>
        </w:rPr>
        <w:t>could not be contest</w:t>
      </w:r>
      <w:r w:rsidR="007C2EEE" w:rsidRPr="00A50E4D">
        <w:rPr>
          <w:lang w:val="en-US"/>
        </w:rPr>
        <w:t xml:space="preserve"> </w:t>
      </w:r>
      <w:r w:rsidR="00530463" w:rsidRPr="00A50E4D">
        <w:rPr>
          <w:lang w:val="en-US"/>
        </w:rPr>
        <w:t>according to</w:t>
      </w:r>
      <w:r w:rsidR="007C2EEE" w:rsidRPr="00A50E4D">
        <w:rPr>
          <w:lang w:val="en-US"/>
        </w:rPr>
        <w:t xml:space="preserve"> article 31 </w:t>
      </w:r>
      <w:r w:rsidR="009808C5" w:rsidRPr="00A50E4D">
        <w:rPr>
          <w:lang w:val="en-US"/>
        </w:rPr>
        <w:t>of the</w:t>
      </w:r>
      <w:r w:rsidR="007C2EEE" w:rsidRPr="00A50E4D">
        <w:rPr>
          <w:lang w:val="en-US"/>
        </w:rPr>
        <w:t xml:space="preserve"> </w:t>
      </w:r>
      <w:r w:rsidR="000E6A0D" w:rsidRPr="00A50E4D">
        <w:rPr>
          <w:lang w:val="en-US"/>
        </w:rPr>
        <w:t>rules of procedure</w:t>
      </w:r>
      <w:r w:rsidR="00EB6155" w:rsidRPr="00A50E4D">
        <w:rPr>
          <w:lang w:val="en-US"/>
        </w:rPr>
        <w:t xml:space="preserve"> o</w:t>
      </w:r>
      <w:r w:rsidR="0087695C" w:rsidRPr="00A50E4D">
        <w:rPr>
          <w:lang w:val="en-US"/>
        </w:rPr>
        <w:t>f the Judicial Service Council</w:t>
      </w:r>
      <w:r w:rsidR="00530463" w:rsidRPr="00A50E4D">
        <w:rPr>
          <w:lang w:val="en-US"/>
        </w:rPr>
        <w:t>. Lastly, it</w:t>
      </w:r>
      <w:r w:rsidR="007C2EEE" w:rsidRPr="00A50E4D">
        <w:rPr>
          <w:lang w:val="en-US"/>
        </w:rPr>
        <w:t xml:space="preserve"> indicated that, in the </w:t>
      </w:r>
      <w:r w:rsidR="0048601C" w:rsidRPr="00A50E4D">
        <w:rPr>
          <w:lang w:val="en-US"/>
        </w:rPr>
        <w:t>Admissibility Report</w:t>
      </w:r>
      <w:r w:rsidR="007C2EEE" w:rsidRPr="00A50E4D">
        <w:rPr>
          <w:lang w:val="en-US"/>
        </w:rPr>
        <w:t xml:space="preserve">, it had established that </w:t>
      </w:r>
      <w:r w:rsidR="007C2EEE" w:rsidRPr="00A50E4D">
        <w:rPr>
          <w:lang w:val="en-US"/>
        </w:rPr>
        <w:lastRenderedPageBreak/>
        <w:t xml:space="preserve">the application for </w:t>
      </w:r>
      <w:r w:rsidR="00B11ACA" w:rsidRPr="00A50E4D">
        <w:rPr>
          <w:i/>
          <w:lang w:val="en-US"/>
        </w:rPr>
        <w:t>amparo</w:t>
      </w:r>
      <w:r w:rsidR="007C2EEE" w:rsidRPr="00A50E4D">
        <w:rPr>
          <w:lang w:val="en-US"/>
        </w:rPr>
        <w:t xml:space="preserve"> was ineffective owing to the composition and </w:t>
      </w:r>
      <w:r w:rsidR="006A756C" w:rsidRPr="00A50E4D">
        <w:rPr>
          <w:lang w:val="en-US"/>
        </w:rPr>
        <w:t>functional dependence of the Judicial Service Council.</w:t>
      </w:r>
    </w:p>
    <w:p w14:paraId="244F363A" w14:textId="77777777" w:rsidR="003D717E" w:rsidRPr="00A50E4D" w:rsidRDefault="003D717E" w:rsidP="003D717E">
      <w:pPr>
        <w:pStyle w:val="PrrafodeSentencia"/>
        <w:numPr>
          <w:ilvl w:val="0"/>
          <w:numId w:val="0"/>
        </w:numPr>
        <w:rPr>
          <w:lang w:val="en-US"/>
        </w:rPr>
      </w:pPr>
    </w:p>
    <w:p w14:paraId="0DE00CAA" w14:textId="75BD89B4" w:rsidR="003D717E" w:rsidRPr="00A50E4D" w:rsidRDefault="00AD5EE7" w:rsidP="008D7A04">
      <w:pPr>
        <w:pStyle w:val="PrrafodeSentencia"/>
        <w:rPr>
          <w:szCs w:val="20"/>
          <w:lang w:val="en-US"/>
        </w:rPr>
      </w:pPr>
      <w:r w:rsidRPr="00A50E4D">
        <w:rPr>
          <w:lang w:val="en-US"/>
        </w:rPr>
        <w:t>The representatives</w:t>
      </w:r>
      <w:r w:rsidR="003D717E" w:rsidRPr="00A50E4D">
        <w:rPr>
          <w:lang w:val="en-US"/>
        </w:rPr>
        <w:t xml:space="preserve"> a</w:t>
      </w:r>
      <w:r w:rsidR="006A756C" w:rsidRPr="00A50E4D">
        <w:rPr>
          <w:lang w:val="en-US"/>
        </w:rPr>
        <w:t xml:space="preserve">rgued that the filing of the objection regarding the action before </w:t>
      </w:r>
      <w:r w:rsidR="000A786A" w:rsidRPr="00A50E4D">
        <w:rPr>
          <w:lang w:val="en-US"/>
        </w:rPr>
        <w:t>the</w:t>
      </w:r>
      <w:r w:rsidR="006A756C" w:rsidRPr="00A50E4D">
        <w:rPr>
          <w:lang w:val="en-US"/>
        </w:rPr>
        <w:t xml:space="preserve"> contentious administrative jurisdiction was time-barred. Regarding the application for </w:t>
      </w:r>
      <w:r w:rsidR="00B11ACA" w:rsidRPr="00A50E4D">
        <w:rPr>
          <w:i/>
          <w:lang w:val="en-US"/>
        </w:rPr>
        <w:t>amparo</w:t>
      </w:r>
      <w:r w:rsidR="003D717E" w:rsidRPr="00A50E4D">
        <w:rPr>
          <w:lang w:val="en-US"/>
        </w:rPr>
        <w:t xml:space="preserve">, </w:t>
      </w:r>
      <w:r w:rsidR="006A756C" w:rsidRPr="00A50E4D">
        <w:rPr>
          <w:lang w:val="en-US"/>
        </w:rPr>
        <w:t xml:space="preserve">they indicated that it is exceptional in nature so that “it </w:t>
      </w:r>
      <w:r w:rsidR="000A786A" w:rsidRPr="00A50E4D">
        <w:rPr>
          <w:lang w:val="en-US"/>
        </w:rPr>
        <w:t>does</w:t>
      </w:r>
      <w:r w:rsidR="006A756C" w:rsidRPr="00A50E4D">
        <w:rPr>
          <w:lang w:val="en-US"/>
        </w:rPr>
        <w:t xml:space="preserve"> not necessarily have to be exhausted.” In addition, they emphasized that, “in its answer to the initial petition, the State itself </w:t>
      </w:r>
      <w:r w:rsidR="00530463" w:rsidRPr="00A50E4D">
        <w:rPr>
          <w:lang w:val="en-US"/>
        </w:rPr>
        <w:t xml:space="preserve">had </w:t>
      </w:r>
      <w:r w:rsidR="006A756C" w:rsidRPr="00A50E4D">
        <w:rPr>
          <w:lang w:val="en-US"/>
        </w:rPr>
        <w:t xml:space="preserve">accepted that [based on article 31 </w:t>
      </w:r>
      <w:r w:rsidR="009808C5" w:rsidRPr="00A50E4D">
        <w:rPr>
          <w:lang w:val="en-US"/>
        </w:rPr>
        <w:t xml:space="preserve">of </w:t>
      </w:r>
      <w:r w:rsidR="006A756C" w:rsidRPr="00A50E4D">
        <w:rPr>
          <w:lang w:val="en-US"/>
        </w:rPr>
        <w:t xml:space="preserve">the </w:t>
      </w:r>
      <w:r w:rsidR="000E6A0D" w:rsidRPr="00A50E4D">
        <w:rPr>
          <w:lang w:val="en-US"/>
        </w:rPr>
        <w:t>rules of procedure</w:t>
      </w:r>
      <w:r w:rsidR="00EB6155" w:rsidRPr="00A50E4D">
        <w:rPr>
          <w:lang w:val="en-US"/>
        </w:rPr>
        <w:t xml:space="preserve"> of the Judicial Service </w:t>
      </w:r>
      <w:r w:rsidR="000A786A" w:rsidRPr="00A50E4D">
        <w:rPr>
          <w:lang w:val="en-US"/>
        </w:rPr>
        <w:t>Council,</w:t>
      </w:r>
      <w:r w:rsidR="006A756C" w:rsidRPr="00A50E4D">
        <w:rPr>
          <w:lang w:val="en-US"/>
        </w:rPr>
        <w:t xml:space="preserve">] there was no remedy whatsoever against the decisions </w:t>
      </w:r>
      <w:r w:rsidR="009808C5" w:rsidRPr="00A50E4D">
        <w:rPr>
          <w:szCs w:val="20"/>
          <w:lang w:val="en-US"/>
        </w:rPr>
        <w:t xml:space="preserve">of the </w:t>
      </w:r>
      <w:r w:rsidR="00371BB7" w:rsidRPr="00A50E4D">
        <w:rPr>
          <w:szCs w:val="20"/>
          <w:lang w:val="en-US"/>
        </w:rPr>
        <w:t>Supreme Court of Justice</w:t>
      </w:r>
      <w:r w:rsidR="006A756C" w:rsidRPr="00A50E4D">
        <w:rPr>
          <w:szCs w:val="20"/>
          <w:lang w:val="en-US"/>
        </w:rPr>
        <w:t xml:space="preserve">.” Lastly, they indicated that the application for </w:t>
      </w:r>
      <w:r w:rsidR="00B11ACA" w:rsidRPr="00A50E4D">
        <w:rPr>
          <w:i/>
          <w:szCs w:val="20"/>
          <w:lang w:val="en-US"/>
        </w:rPr>
        <w:t>amparo</w:t>
      </w:r>
      <w:r w:rsidR="00BB6BBD" w:rsidRPr="00A50E4D">
        <w:rPr>
          <w:szCs w:val="20"/>
          <w:lang w:val="en-US"/>
        </w:rPr>
        <w:t xml:space="preserve"> </w:t>
      </w:r>
      <w:r w:rsidR="006A756C" w:rsidRPr="00A50E4D">
        <w:rPr>
          <w:szCs w:val="20"/>
          <w:lang w:val="en-US"/>
        </w:rPr>
        <w:t>was also illusory, because the State Judiciary did not have the necessary independence to decide this.</w:t>
      </w:r>
    </w:p>
    <w:p w14:paraId="67529512" w14:textId="77777777" w:rsidR="003D717E" w:rsidRPr="00A50E4D" w:rsidRDefault="003D717E" w:rsidP="003D717E">
      <w:pPr>
        <w:pStyle w:val="ListParagraph"/>
        <w:numPr>
          <w:ilvl w:val="0"/>
          <w:numId w:val="0"/>
        </w:numPr>
        <w:tabs>
          <w:tab w:val="left" w:pos="567"/>
        </w:tabs>
        <w:rPr>
          <w:color w:val="00B050"/>
          <w:spacing w:val="-4"/>
          <w:lang w:val="en-US"/>
        </w:rPr>
      </w:pPr>
    </w:p>
    <w:p w14:paraId="662DC009" w14:textId="33AA99F4" w:rsidR="003D717E" w:rsidRPr="00A50E4D" w:rsidRDefault="001D6DF6" w:rsidP="003D717E">
      <w:pPr>
        <w:pStyle w:val="Heading2"/>
        <w:numPr>
          <w:ilvl w:val="0"/>
          <w:numId w:val="6"/>
        </w:numPr>
        <w:rPr>
          <w:spacing w:val="-4"/>
          <w:szCs w:val="20"/>
          <w:lang w:val="en-US"/>
        </w:rPr>
      </w:pPr>
      <w:bookmarkStart w:id="61" w:name="_Toc427932793"/>
      <w:bookmarkStart w:id="62" w:name="_Toc431584610"/>
      <w:bookmarkStart w:id="63" w:name="_Toc471717243"/>
      <w:r w:rsidRPr="00A50E4D">
        <w:rPr>
          <w:spacing w:val="-4"/>
          <w:szCs w:val="20"/>
          <w:lang w:val="en-US"/>
        </w:rPr>
        <w:t>Considerations</w:t>
      </w:r>
      <w:r w:rsidR="009808C5" w:rsidRPr="00A50E4D">
        <w:rPr>
          <w:spacing w:val="-4"/>
          <w:szCs w:val="20"/>
          <w:lang w:val="en-US"/>
        </w:rPr>
        <w:t xml:space="preserve"> of the Court</w:t>
      </w:r>
      <w:bookmarkEnd w:id="61"/>
      <w:bookmarkEnd w:id="62"/>
      <w:bookmarkEnd w:id="63"/>
    </w:p>
    <w:p w14:paraId="042CF3B6" w14:textId="77777777" w:rsidR="0092187E" w:rsidRPr="00A50E4D" w:rsidRDefault="0092187E" w:rsidP="003B54A6">
      <w:pPr>
        <w:pStyle w:val="PrrafodeSentencia"/>
        <w:numPr>
          <w:ilvl w:val="0"/>
          <w:numId w:val="0"/>
        </w:numPr>
        <w:rPr>
          <w:szCs w:val="20"/>
          <w:lang w:val="en-US"/>
        </w:rPr>
      </w:pPr>
      <w:bookmarkStart w:id="64" w:name="_Ref426972141"/>
    </w:p>
    <w:p w14:paraId="4B8E49CF" w14:textId="44CD6A6F" w:rsidR="003B54A6" w:rsidRPr="00A50E4D" w:rsidRDefault="009808C5" w:rsidP="003D717E">
      <w:pPr>
        <w:pStyle w:val="PrrafodeSentencia"/>
        <w:rPr>
          <w:szCs w:val="20"/>
          <w:lang w:val="en-US"/>
        </w:rPr>
      </w:pPr>
      <w:bookmarkStart w:id="65" w:name="_Ref431391501"/>
      <w:r w:rsidRPr="00A50E4D">
        <w:rPr>
          <w:szCs w:val="20"/>
          <w:lang w:val="en-US"/>
        </w:rPr>
        <w:t>The Convention</w:t>
      </w:r>
      <w:r w:rsidR="003B54A6" w:rsidRPr="00A50E4D">
        <w:rPr>
          <w:szCs w:val="20"/>
          <w:lang w:val="en-US"/>
        </w:rPr>
        <w:t xml:space="preserve"> at</w:t>
      </w:r>
      <w:r w:rsidR="009D6A26" w:rsidRPr="00A50E4D">
        <w:rPr>
          <w:szCs w:val="20"/>
          <w:lang w:val="en-US"/>
        </w:rPr>
        <w:t>t</w:t>
      </w:r>
      <w:r w:rsidR="003B54A6" w:rsidRPr="00A50E4D">
        <w:rPr>
          <w:szCs w:val="20"/>
          <w:lang w:val="en-US"/>
        </w:rPr>
        <w:t>ribu</w:t>
      </w:r>
      <w:r w:rsidR="009D6A26" w:rsidRPr="00A50E4D">
        <w:rPr>
          <w:szCs w:val="20"/>
          <w:lang w:val="en-US"/>
        </w:rPr>
        <w:t>tes to</w:t>
      </w:r>
      <w:r w:rsidR="003B54A6" w:rsidRPr="00A50E4D">
        <w:rPr>
          <w:szCs w:val="20"/>
          <w:lang w:val="en-US"/>
        </w:rPr>
        <w:t xml:space="preserve"> </w:t>
      </w:r>
      <w:r w:rsidRPr="00A50E4D">
        <w:rPr>
          <w:szCs w:val="20"/>
          <w:lang w:val="en-US"/>
        </w:rPr>
        <w:t>the Court</w:t>
      </w:r>
      <w:r w:rsidR="003B54A6" w:rsidRPr="00A50E4D">
        <w:rPr>
          <w:szCs w:val="20"/>
          <w:lang w:val="en-US"/>
        </w:rPr>
        <w:t xml:space="preserve"> </w:t>
      </w:r>
      <w:r w:rsidR="009D6A26" w:rsidRPr="00A50E4D">
        <w:rPr>
          <w:szCs w:val="20"/>
          <w:lang w:val="en-US"/>
        </w:rPr>
        <w:t xml:space="preserve">full jurisdiction over all matters pertaining to a case that it is examining, including those of a procedural nature on which the possibility of it exercising its </w:t>
      </w:r>
      <w:r w:rsidR="00530463" w:rsidRPr="00A50E4D">
        <w:rPr>
          <w:szCs w:val="20"/>
          <w:lang w:val="en-US"/>
        </w:rPr>
        <w:t>jurisdiction</w:t>
      </w:r>
      <w:r w:rsidR="009D6A26" w:rsidRPr="00A50E4D">
        <w:rPr>
          <w:szCs w:val="20"/>
          <w:lang w:val="en-US"/>
        </w:rPr>
        <w:t xml:space="preserve"> is based.</w:t>
      </w:r>
      <w:r w:rsidR="003B54A6" w:rsidRPr="00A50E4D">
        <w:rPr>
          <w:rStyle w:val="FootnoteReference"/>
          <w:sz w:val="20"/>
          <w:szCs w:val="20"/>
          <w:lang w:val="en-US"/>
        </w:rPr>
        <w:footnoteReference w:id="6"/>
      </w:r>
      <w:r w:rsidR="009D6A26" w:rsidRPr="00A50E4D">
        <w:rPr>
          <w:szCs w:val="20"/>
          <w:lang w:val="en-US"/>
        </w:rPr>
        <w:t xml:space="preserve"> Under</w:t>
      </w:r>
      <w:r w:rsidR="00645CD6" w:rsidRPr="00A50E4D">
        <w:rPr>
          <w:szCs w:val="20"/>
          <w:lang w:val="en-US"/>
        </w:rPr>
        <w:t xml:space="preserve"> </w:t>
      </w:r>
      <w:r w:rsidRPr="00A50E4D">
        <w:rPr>
          <w:szCs w:val="20"/>
          <w:lang w:val="en-US"/>
        </w:rPr>
        <w:t>Article</w:t>
      </w:r>
      <w:r w:rsidR="009D6A26" w:rsidRPr="00A50E4D">
        <w:rPr>
          <w:szCs w:val="20"/>
          <w:lang w:val="en-US"/>
        </w:rPr>
        <w:t xml:space="preserve"> 61(</w:t>
      </w:r>
      <w:r w:rsidR="008C4B72" w:rsidRPr="00A50E4D">
        <w:rPr>
          <w:szCs w:val="20"/>
          <w:lang w:val="en-US"/>
        </w:rPr>
        <w:t>2</w:t>
      </w:r>
      <w:r w:rsidR="009D6A26" w:rsidRPr="00A50E4D">
        <w:rPr>
          <w:szCs w:val="20"/>
          <w:lang w:val="en-US"/>
        </w:rPr>
        <w:t>)</w:t>
      </w:r>
      <w:r w:rsidRPr="00A50E4D">
        <w:rPr>
          <w:szCs w:val="20"/>
          <w:lang w:val="en-US"/>
        </w:rPr>
        <w:t xml:space="preserve"> of the Convention</w:t>
      </w:r>
      <w:r w:rsidR="00645CD6" w:rsidRPr="00A50E4D">
        <w:rPr>
          <w:szCs w:val="20"/>
          <w:lang w:val="en-US"/>
        </w:rPr>
        <w:t>,</w:t>
      </w:r>
      <w:r w:rsidR="009D6A26" w:rsidRPr="00A50E4D">
        <w:rPr>
          <w:szCs w:val="20"/>
          <w:lang w:val="en-US"/>
        </w:rPr>
        <w:t xml:space="preserve"> in the exercise of that power, the Court is not bound by a prior ruling </w:t>
      </w:r>
      <w:r w:rsidRPr="00A50E4D">
        <w:rPr>
          <w:szCs w:val="20"/>
          <w:lang w:val="en-US"/>
        </w:rPr>
        <w:t>of the Commission</w:t>
      </w:r>
      <w:r w:rsidR="003B54A6" w:rsidRPr="00A50E4D">
        <w:rPr>
          <w:szCs w:val="20"/>
          <w:lang w:val="en-US"/>
        </w:rPr>
        <w:t xml:space="preserve">, </w:t>
      </w:r>
      <w:r w:rsidR="009D6A26" w:rsidRPr="00A50E4D">
        <w:rPr>
          <w:szCs w:val="20"/>
          <w:lang w:val="en-US"/>
        </w:rPr>
        <w:t>but is authorized to render judgment freely, based on its own assessment.</w:t>
      </w:r>
      <w:r w:rsidR="003B54A6" w:rsidRPr="00A50E4D">
        <w:rPr>
          <w:rStyle w:val="FootnoteReference"/>
          <w:sz w:val="20"/>
          <w:szCs w:val="20"/>
          <w:lang w:val="en-US"/>
        </w:rPr>
        <w:footnoteReference w:id="7"/>
      </w:r>
      <w:bookmarkEnd w:id="65"/>
    </w:p>
    <w:p w14:paraId="2CB268FC" w14:textId="77777777" w:rsidR="003B54A6" w:rsidRPr="00A50E4D" w:rsidRDefault="003B54A6" w:rsidP="003B54A6">
      <w:pPr>
        <w:rPr>
          <w:szCs w:val="20"/>
          <w:lang w:val="en-US" w:eastAsia="es-MX"/>
        </w:rPr>
      </w:pPr>
    </w:p>
    <w:p w14:paraId="53725CC5" w14:textId="65080C27" w:rsidR="003D717E" w:rsidRPr="00A50E4D" w:rsidRDefault="009808C5" w:rsidP="009D6A26">
      <w:pPr>
        <w:pStyle w:val="PrrafodeSentencia"/>
        <w:rPr>
          <w:szCs w:val="20"/>
          <w:lang w:val="en-US"/>
        </w:rPr>
      </w:pPr>
      <w:bookmarkStart w:id="66" w:name="_Ref434494745"/>
      <w:r w:rsidRPr="00A50E4D">
        <w:rPr>
          <w:szCs w:val="20"/>
          <w:lang w:val="en-US"/>
        </w:rPr>
        <w:t>Article</w:t>
      </w:r>
      <w:r w:rsidR="009D6A26" w:rsidRPr="00A50E4D">
        <w:rPr>
          <w:szCs w:val="20"/>
          <w:lang w:val="en-US"/>
        </w:rPr>
        <w:t xml:space="preserve"> 46(1)(</w:t>
      </w:r>
      <w:r w:rsidR="003D717E" w:rsidRPr="00A50E4D">
        <w:rPr>
          <w:szCs w:val="20"/>
          <w:lang w:val="en-US"/>
        </w:rPr>
        <w:t>a)</w:t>
      </w:r>
      <w:r w:rsidRPr="00A50E4D">
        <w:rPr>
          <w:szCs w:val="20"/>
          <w:lang w:val="en-US"/>
        </w:rPr>
        <w:t xml:space="preserve"> of the Convention</w:t>
      </w:r>
      <w:r w:rsidR="003D717E" w:rsidRPr="00A50E4D">
        <w:rPr>
          <w:szCs w:val="20"/>
          <w:lang w:val="en-US"/>
        </w:rPr>
        <w:t xml:space="preserve"> </w:t>
      </w:r>
      <w:r w:rsidR="009D6A26" w:rsidRPr="00A50E4D">
        <w:rPr>
          <w:szCs w:val="20"/>
          <w:lang w:val="en-US"/>
        </w:rPr>
        <w:t>stipulates that, admission by the Commission of a petition or communication lodged in accordance with Articles 44 or 45 shall be subject to the requirement that the</w:t>
      </w:r>
      <w:r w:rsidR="009D6A26" w:rsidRPr="00A50E4D">
        <w:rPr>
          <w:spacing w:val="-3"/>
          <w:szCs w:val="20"/>
          <w:lang w:val="en-US"/>
        </w:rPr>
        <w:t xml:space="preserve"> remedies under domestic law have been pursued and exhausted in accordance with generally recognized principles of international law.</w:t>
      </w:r>
      <w:r w:rsidR="003D717E" w:rsidRPr="00A50E4D">
        <w:rPr>
          <w:rStyle w:val="FootnoteReference"/>
          <w:sz w:val="20"/>
          <w:szCs w:val="20"/>
          <w:lang w:val="en-US"/>
        </w:rPr>
        <w:footnoteReference w:id="8"/>
      </w:r>
      <w:r w:rsidR="003D717E" w:rsidRPr="00A50E4D">
        <w:rPr>
          <w:szCs w:val="20"/>
          <w:lang w:val="en-US"/>
        </w:rPr>
        <w:t xml:space="preserve"> </w:t>
      </w:r>
      <w:r w:rsidR="00BD6FA6" w:rsidRPr="00A50E4D">
        <w:rPr>
          <w:szCs w:val="20"/>
          <w:lang w:val="en-US"/>
        </w:rPr>
        <w:t>The rule of the prior exhaustion of domestic remedies was conceived in the interest of the State, because it seeks to exempt it from responding before an international organ for acts of which it is accused before having had the opportunity to remedy them by its own means.</w:t>
      </w:r>
      <w:r w:rsidR="003D717E" w:rsidRPr="00A50E4D">
        <w:rPr>
          <w:rStyle w:val="FootnoteReference"/>
          <w:sz w:val="20"/>
          <w:szCs w:val="20"/>
          <w:lang w:val="en-US"/>
        </w:rPr>
        <w:footnoteReference w:id="9"/>
      </w:r>
      <w:r w:rsidR="00BD6FA6" w:rsidRPr="00A50E4D">
        <w:rPr>
          <w:lang w:val="en-US"/>
        </w:rPr>
        <w:t xml:space="preserve"> </w:t>
      </w:r>
      <w:r w:rsidR="00530463" w:rsidRPr="00A50E4D">
        <w:rPr>
          <w:lang w:val="en-US"/>
        </w:rPr>
        <w:t>However</w:t>
      </w:r>
      <w:r w:rsidR="00BD6FA6" w:rsidRPr="00A50E4D">
        <w:rPr>
          <w:lang w:val="en-US"/>
        </w:rPr>
        <w:t>, the Court has maintained that an objection to the exercise of its jurisdiction based on the supposed failure to exhaust domestic remedies must be filed at the proper procedural moment; that is, during the admissibility proce</w:t>
      </w:r>
      <w:r w:rsidR="00530463" w:rsidRPr="00A50E4D">
        <w:rPr>
          <w:lang w:val="en-US"/>
        </w:rPr>
        <w:t>dure</w:t>
      </w:r>
      <w:r w:rsidR="00BD6FA6" w:rsidRPr="00A50E4D">
        <w:rPr>
          <w:lang w:val="en-US"/>
        </w:rPr>
        <w:t xml:space="preserve"> before </w:t>
      </w:r>
      <w:r w:rsidRPr="00A50E4D">
        <w:rPr>
          <w:lang w:val="en-US"/>
        </w:rPr>
        <w:t>the Commission</w:t>
      </w:r>
      <w:r w:rsidR="00BD6FA6" w:rsidRPr="00A50E4D">
        <w:rPr>
          <w:lang w:val="en-US"/>
        </w:rPr>
        <w:t>.</w:t>
      </w:r>
      <w:r w:rsidR="003D717E" w:rsidRPr="00A50E4D">
        <w:rPr>
          <w:rStyle w:val="FootnoteReference"/>
          <w:sz w:val="20"/>
          <w:szCs w:val="20"/>
          <w:lang w:val="en-US"/>
        </w:rPr>
        <w:footnoteReference w:id="10"/>
      </w:r>
      <w:bookmarkEnd w:id="64"/>
      <w:bookmarkEnd w:id="66"/>
    </w:p>
    <w:p w14:paraId="655DC782" w14:textId="77777777" w:rsidR="003D717E" w:rsidRPr="00A50E4D" w:rsidRDefault="003D717E" w:rsidP="003D717E">
      <w:pPr>
        <w:tabs>
          <w:tab w:val="left" w:pos="567"/>
          <w:tab w:val="left" w:pos="9498"/>
        </w:tabs>
        <w:autoSpaceDE w:val="0"/>
        <w:autoSpaceDN w:val="0"/>
        <w:adjustRightInd w:val="0"/>
        <w:rPr>
          <w:spacing w:val="-4"/>
          <w:szCs w:val="20"/>
          <w:lang w:val="en-US"/>
        </w:rPr>
      </w:pPr>
    </w:p>
    <w:p w14:paraId="59BBAD2D" w14:textId="0D850E10" w:rsidR="003D717E" w:rsidRPr="00A50E4D" w:rsidRDefault="00F02FB7" w:rsidP="00F02FB7">
      <w:pPr>
        <w:pStyle w:val="PrrafodeSentencia"/>
        <w:rPr>
          <w:lang w:val="en-US"/>
        </w:rPr>
      </w:pPr>
      <w:bookmarkStart w:id="67" w:name="_Ref425947766"/>
      <w:r w:rsidRPr="00A50E4D">
        <w:rPr>
          <w:lang w:val="en-US"/>
        </w:rPr>
        <w:t>When arguing the failure to exhaust domestic remedies, the State must, at the same time, specify the domestic remedies that have yet to be exhausted</w:t>
      </w:r>
      <w:r w:rsidR="00530463" w:rsidRPr="00A50E4D">
        <w:rPr>
          <w:lang w:val="en-US"/>
        </w:rPr>
        <w:t xml:space="preserve"> and prove that those remedies are</w:t>
      </w:r>
      <w:r w:rsidRPr="00A50E4D">
        <w:rPr>
          <w:lang w:val="en-US"/>
        </w:rPr>
        <w:t xml:space="preserve"> available and adequate, appropriate and effective.</w:t>
      </w:r>
      <w:r w:rsidRPr="00A50E4D">
        <w:rPr>
          <w:rStyle w:val="FootnoteReference"/>
          <w:sz w:val="20"/>
          <w:szCs w:val="20"/>
          <w:lang w:val="en-US"/>
        </w:rPr>
        <w:footnoteReference w:id="11"/>
      </w:r>
      <w:r w:rsidRPr="00A50E4D">
        <w:rPr>
          <w:lang w:val="en-US"/>
        </w:rPr>
        <w:t xml:space="preserve"> Thus, it is not the task of either </w:t>
      </w:r>
      <w:r w:rsidR="009808C5" w:rsidRPr="00A50E4D">
        <w:rPr>
          <w:lang w:val="en-US"/>
        </w:rPr>
        <w:t>the Court</w:t>
      </w:r>
      <w:r w:rsidR="003D717E" w:rsidRPr="00A50E4D">
        <w:rPr>
          <w:lang w:val="en-US"/>
        </w:rPr>
        <w:t xml:space="preserve"> </w:t>
      </w:r>
      <w:r w:rsidRPr="00A50E4D">
        <w:rPr>
          <w:lang w:val="en-US"/>
        </w:rPr>
        <w:t>or</w:t>
      </w:r>
      <w:r w:rsidR="009808C5" w:rsidRPr="00A50E4D">
        <w:rPr>
          <w:lang w:val="en-US"/>
        </w:rPr>
        <w:t xml:space="preserve"> the Commission</w:t>
      </w:r>
      <w:r w:rsidR="003D717E" w:rsidRPr="00A50E4D">
        <w:rPr>
          <w:lang w:val="en-US"/>
        </w:rPr>
        <w:t xml:space="preserve"> </w:t>
      </w:r>
      <w:r w:rsidRPr="00A50E4D">
        <w:rPr>
          <w:lang w:val="en-US"/>
        </w:rPr>
        <w:t>to identify</w:t>
      </w:r>
      <w:r w:rsidR="003D717E" w:rsidRPr="00A50E4D">
        <w:rPr>
          <w:lang w:val="en-US"/>
        </w:rPr>
        <w:t xml:space="preserve"> </w:t>
      </w:r>
      <w:r w:rsidR="003D717E" w:rsidRPr="00A50E4D">
        <w:rPr>
          <w:i/>
          <w:iCs/>
          <w:lang w:val="en-US"/>
        </w:rPr>
        <w:t xml:space="preserve">ex officio </w:t>
      </w:r>
      <w:r w:rsidRPr="00A50E4D">
        <w:rPr>
          <w:lang w:val="en-US"/>
        </w:rPr>
        <w:t>the domestic remedies that remain to be exhausted. The Court underlines that it is not incumbent on the int</w:t>
      </w:r>
      <w:r w:rsidR="00530463" w:rsidRPr="00A50E4D">
        <w:rPr>
          <w:lang w:val="en-US"/>
        </w:rPr>
        <w:t>ernational organs to rectify any</w:t>
      </w:r>
      <w:r w:rsidRPr="00A50E4D">
        <w:rPr>
          <w:lang w:val="en-US"/>
        </w:rPr>
        <w:t xml:space="preserve"> lack of precision in the </w:t>
      </w:r>
      <w:r w:rsidRPr="00A50E4D">
        <w:rPr>
          <w:lang w:val="en-US"/>
        </w:rPr>
        <w:lastRenderedPageBreak/>
        <w:t>State’s arguments.</w:t>
      </w:r>
      <w:r w:rsidR="003D717E" w:rsidRPr="00A50E4D">
        <w:rPr>
          <w:rStyle w:val="FootnoteReference"/>
          <w:sz w:val="20"/>
          <w:szCs w:val="20"/>
          <w:lang w:val="en-US"/>
        </w:rPr>
        <w:footnoteReference w:id="12"/>
      </w:r>
      <w:r w:rsidRPr="00A50E4D">
        <w:rPr>
          <w:lang w:val="en-US"/>
        </w:rPr>
        <w:t xml:space="preserve"> </w:t>
      </w:r>
      <w:r w:rsidR="00530463" w:rsidRPr="00A50E4D">
        <w:rPr>
          <w:lang w:val="en-US"/>
        </w:rPr>
        <w:t>Consequently,</w:t>
      </w:r>
      <w:r w:rsidRPr="00A50E4D">
        <w:rPr>
          <w:lang w:val="en-US"/>
        </w:rPr>
        <w:t xml:space="preserve"> when a State cites the existence of a domestic remedy that has not been exhausted, </w:t>
      </w:r>
      <w:r w:rsidR="00530463" w:rsidRPr="00A50E4D">
        <w:rPr>
          <w:lang w:val="en-US"/>
        </w:rPr>
        <w:t>it must do so at the proper moment</w:t>
      </w:r>
      <w:r w:rsidRPr="00A50E4D">
        <w:rPr>
          <w:lang w:val="en-US"/>
        </w:rPr>
        <w:t xml:space="preserve"> </w:t>
      </w:r>
      <w:r w:rsidR="00530463" w:rsidRPr="00A50E4D">
        <w:rPr>
          <w:lang w:val="en-US"/>
        </w:rPr>
        <w:t xml:space="preserve">and identify clearly </w:t>
      </w:r>
      <w:r w:rsidRPr="00A50E4D">
        <w:rPr>
          <w:lang w:val="en-US"/>
        </w:rPr>
        <w:t>the remedy in question, as well as how it would be adequate and effective to protect the persons in the situation that has been denounced.</w:t>
      </w:r>
      <w:r w:rsidR="003D717E" w:rsidRPr="00A50E4D">
        <w:rPr>
          <w:rStyle w:val="FootnoteReference"/>
          <w:sz w:val="20"/>
          <w:szCs w:val="20"/>
          <w:lang w:val="en-US"/>
        </w:rPr>
        <w:footnoteReference w:id="13"/>
      </w:r>
      <w:r w:rsidRPr="00A50E4D">
        <w:rPr>
          <w:lang w:val="en-US"/>
        </w:rPr>
        <w:t xml:space="preserve"> Thus, it is not sufficient to indicate the existence of a remedy, but its availability must also be proved.</w:t>
      </w:r>
      <w:r w:rsidR="003D717E" w:rsidRPr="00A50E4D">
        <w:rPr>
          <w:rStyle w:val="FootnoteReference"/>
          <w:sz w:val="20"/>
          <w:szCs w:val="20"/>
          <w:lang w:val="en-US"/>
        </w:rPr>
        <w:footnoteReference w:id="14"/>
      </w:r>
      <w:bookmarkEnd w:id="67"/>
    </w:p>
    <w:p w14:paraId="0FEF8738" w14:textId="77777777" w:rsidR="003D717E" w:rsidRPr="00A50E4D" w:rsidRDefault="003D717E" w:rsidP="003D717E">
      <w:pPr>
        <w:pStyle w:val="ListParagraph"/>
        <w:numPr>
          <w:ilvl w:val="0"/>
          <w:numId w:val="0"/>
        </w:numPr>
        <w:rPr>
          <w:spacing w:val="-4"/>
          <w:lang w:val="en-US"/>
        </w:rPr>
      </w:pPr>
    </w:p>
    <w:p w14:paraId="73232A16" w14:textId="69D8428A" w:rsidR="003D717E" w:rsidRPr="00A50E4D" w:rsidRDefault="00F02FB7" w:rsidP="003D717E">
      <w:pPr>
        <w:pStyle w:val="PrrafodeSentencia"/>
        <w:rPr>
          <w:lang w:val="en-US"/>
        </w:rPr>
      </w:pPr>
      <w:r w:rsidRPr="00A50E4D">
        <w:rPr>
          <w:lang w:val="en-US"/>
        </w:rPr>
        <w:t xml:space="preserve">In this case, the State argued the failure to exhaust two specific remedies: (i) </w:t>
      </w:r>
      <w:r w:rsidR="007C2EEE" w:rsidRPr="00A50E4D">
        <w:rPr>
          <w:lang w:val="en-US"/>
        </w:rPr>
        <w:t>the contentious administrative action</w:t>
      </w:r>
      <w:r w:rsidR="003D717E" w:rsidRPr="00A50E4D">
        <w:rPr>
          <w:lang w:val="en-US"/>
        </w:rPr>
        <w:t>,</w:t>
      </w:r>
      <w:r w:rsidR="009808C5" w:rsidRPr="00A50E4D">
        <w:rPr>
          <w:lang w:val="en-US"/>
        </w:rPr>
        <w:t xml:space="preserve"> and </w:t>
      </w:r>
      <w:r w:rsidRPr="00A50E4D">
        <w:rPr>
          <w:lang w:val="en-US"/>
        </w:rPr>
        <w:t>(ii) the</w:t>
      </w:r>
      <w:r w:rsidR="003D717E" w:rsidRPr="00A50E4D">
        <w:rPr>
          <w:lang w:val="en-US"/>
        </w:rPr>
        <w:t xml:space="preserve"> </w:t>
      </w:r>
      <w:r w:rsidR="006A756C" w:rsidRPr="00A50E4D">
        <w:rPr>
          <w:lang w:val="en-US"/>
        </w:rPr>
        <w:t xml:space="preserve">application for </w:t>
      </w:r>
      <w:r w:rsidR="00B11ACA" w:rsidRPr="00A50E4D">
        <w:rPr>
          <w:i/>
          <w:lang w:val="en-US"/>
        </w:rPr>
        <w:t>amparo</w:t>
      </w:r>
      <w:r w:rsidR="003D717E" w:rsidRPr="00A50E4D">
        <w:rPr>
          <w:lang w:val="en-US"/>
        </w:rPr>
        <w:t xml:space="preserve">. </w:t>
      </w:r>
      <w:r w:rsidRPr="00A50E4D">
        <w:rPr>
          <w:lang w:val="en-US"/>
        </w:rPr>
        <w:t xml:space="preserve">Therefore, </w:t>
      </w:r>
      <w:r w:rsidR="00530463" w:rsidRPr="00A50E4D">
        <w:rPr>
          <w:lang w:val="en-US"/>
        </w:rPr>
        <w:t>the Court must</w:t>
      </w:r>
      <w:r w:rsidRPr="00A50E4D">
        <w:rPr>
          <w:lang w:val="en-US"/>
        </w:rPr>
        <w:t xml:space="preserve"> analyze whether the</w:t>
      </w:r>
      <w:r w:rsidR="00530463" w:rsidRPr="00A50E4D">
        <w:rPr>
          <w:lang w:val="en-US"/>
        </w:rPr>
        <w:t xml:space="preserve"> State presented arguments concerning</w:t>
      </w:r>
      <w:r w:rsidRPr="00A50E4D">
        <w:rPr>
          <w:lang w:val="en-US"/>
        </w:rPr>
        <w:t xml:space="preserve"> both remedies during the admissibility proce</w:t>
      </w:r>
      <w:r w:rsidR="00530463" w:rsidRPr="00A50E4D">
        <w:rPr>
          <w:lang w:val="en-US"/>
        </w:rPr>
        <w:t>dure</w:t>
      </w:r>
      <w:r w:rsidRPr="00A50E4D">
        <w:rPr>
          <w:lang w:val="en-US"/>
        </w:rPr>
        <w:t xml:space="preserve"> before </w:t>
      </w:r>
      <w:r w:rsidR="009808C5" w:rsidRPr="00A50E4D">
        <w:rPr>
          <w:lang w:val="en-US"/>
        </w:rPr>
        <w:t>the Commission</w:t>
      </w:r>
      <w:r w:rsidR="003D717E" w:rsidRPr="00A50E4D">
        <w:rPr>
          <w:lang w:val="en-US"/>
        </w:rPr>
        <w:t xml:space="preserve">. </w:t>
      </w:r>
    </w:p>
    <w:p w14:paraId="2712776B" w14:textId="77777777" w:rsidR="003D717E" w:rsidRPr="00A50E4D" w:rsidRDefault="003D717E" w:rsidP="003D717E">
      <w:pPr>
        <w:pStyle w:val="ListParagraph"/>
        <w:numPr>
          <w:ilvl w:val="0"/>
          <w:numId w:val="0"/>
        </w:numPr>
        <w:tabs>
          <w:tab w:val="left" w:pos="567"/>
        </w:tabs>
        <w:rPr>
          <w:spacing w:val="-4"/>
          <w:lang w:val="en-US"/>
        </w:rPr>
      </w:pPr>
    </w:p>
    <w:p w14:paraId="0A7C0D3B" w14:textId="29149913" w:rsidR="003D717E" w:rsidRPr="00A50E4D" w:rsidRDefault="00F02FB7" w:rsidP="003D717E">
      <w:pPr>
        <w:pStyle w:val="PrrafodeSentencia"/>
        <w:rPr>
          <w:lang w:val="en-US"/>
        </w:rPr>
      </w:pPr>
      <w:r w:rsidRPr="00A50E4D">
        <w:rPr>
          <w:lang w:val="en-US"/>
        </w:rPr>
        <w:t>Regarding</w:t>
      </w:r>
      <w:r w:rsidR="00DB41D5" w:rsidRPr="00A50E4D">
        <w:rPr>
          <w:lang w:val="en-US"/>
        </w:rPr>
        <w:t xml:space="preserve"> </w:t>
      </w:r>
      <w:r w:rsidRPr="00A50E4D">
        <w:rPr>
          <w:lang w:val="en-US"/>
        </w:rPr>
        <w:t>the contentious administrative jurisdiction</w:t>
      </w:r>
      <w:r w:rsidR="003D717E" w:rsidRPr="00A50E4D">
        <w:rPr>
          <w:lang w:val="en-US"/>
        </w:rPr>
        <w:t xml:space="preserve">, </w:t>
      </w:r>
      <w:r w:rsidR="009808C5" w:rsidRPr="00A50E4D">
        <w:rPr>
          <w:lang w:val="en-US"/>
        </w:rPr>
        <w:t>the Court</w:t>
      </w:r>
      <w:r w:rsidR="003D717E" w:rsidRPr="00A50E4D">
        <w:rPr>
          <w:lang w:val="en-US"/>
        </w:rPr>
        <w:t xml:space="preserve"> </w:t>
      </w:r>
      <w:r w:rsidRPr="00A50E4D">
        <w:rPr>
          <w:lang w:val="en-US"/>
        </w:rPr>
        <w:t xml:space="preserve">notes that </w:t>
      </w:r>
      <w:r w:rsidR="009808C5" w:rsidRPr="00A50E4D">
        <w:rPr>
          <w:lang w:val="en-US"/>
        </w:rPr>
        <w:t>the State</w:t>
      </w:r>
      <w:r w:rsidR="003D717E" w:rsidRPr="00A50E4D">
        <w:rPr>
          <w:lang w:val="en-US"/>
        </w:rPr>
        <w:t xml:space="preserve"> </w:t>
      </w:r>
      <w:r w:rsidR="00530463" w:rsidRPr="00A50E4D">
        <w:rPr>
          <w:lang w:val="en-US"/>
        </w:rPr>
        <w:t>mentioned</w:t>
      </w:r>
      <w:r w:rsidRPr="00A50E4D">
        <w:rPr>
          <w:lang w:val="en-US"/>
        </w:rPr>
        <w:t xml:space="preserve"> the alleged failure to exhaust this remedy</w:t>
      </w:r>
      <w:r w:rsidR="00530463" w:rsidRPr="00A50E4D">
        <w:rPr>
          <w:lang w:val="en-US"/>
        </w:rPr>
        <w:t xml:space="preserve"> for the first time</w:t>
      </w:r>
      <w:r w:rsidRPr="00A50E4D">
        <w:rPr>
          <w:lang w:val="en-US"/>
        </w:rPr>
        <w:t xml:space="preserve"> in its </w:t>
      </w:r>
      <w:r w:rsidR="00CD2874" w:rsidRPr="00A50E4D">
        <w:rPr>
          <w:lang w:val="en-US"/>
        </w:rPr>
        <w:t>answering brief</w:t>
      </w:r>
      <w:r w:rsidR="003D717E" w:rsidRPr="00A50E4D">
        <w:rPr>
          <w:lang w:val="en-US"/>
        </w:rPr>
        <w:t xml:space="preserve"> </w:t>
      </w:r>
      <w:r w:rsidRPr="00A50E4D">
        <w:rPr>
          <w:lang w:val="en-US"/>
        </w:rPr>
        <w:t>before this Court</w:t>
      </w:r>
      <w:r w:rsidR="003D717E" w:rsidRPr="00A50E4D">
        <w:rPr>
          <w:lang w:val="en-US"/>
        </w:rPr>
        <w:t xml:space="preserve">. </w:t>
      </w:r>
      <w:r w:rsidRPr="00A50E4D">
        <w:rPr>
          <w:lang w:val="en-US"/>
        </w:rPr>
        <w:t xml:space="preserve">Thus, the State did not refer to the said remedy at the proper procedural moment. Consequently, this </w:t>
      </w:r>
      <w:r w:rsidR="00530463" w:rsidRPr="00A50E4D">
        <w:rPr>
          <w:lang w:val="en-US"/>
        </w:rPr>
        <w:t>aspect</w:t>
      </w:r>
      <w:r w:rsidRPr="00A50E4D">
        <w:rPr>
          <w:lang w:val="en-US"/>
        </w:rPr>
        <w:t xml:space="preserve"> of the </w:t>
      </w:r>
      <w:r w:rsidR="009808C5" w:rsidRPr="00A50E4D">
        <w:rPr>
          <w:lang w:val="en-US"/>
        </w:rPr>
        <w:t>preliminary objection</w:t>
      </w:r>
      <w:r w:rsidRPr="00A50E4D">
        <w:rPr>
          <w:lang w:val="en-US"/>
        </w:rPr>
        <w:t xml:space="preserve"> is rejected</w:t>
      </w:r>
      <w:r w:rsidR="003D717E" w:rsidRPr="00A50E4D">
        <w:rPr>
          <w:lang w:val="en-US"/>
        </w:rPr>
        <w:t>.</w:t>
      </w:r>
    </w:p>
    <w:p w14:paraId="54143D3D" w14:textId="77777777" w:rsidR="003D717E" w:rsidRPr="00A50E4D" w:rsidRDefault="003D717E" w:rsidP="003D717E">
      <w:pPr>
        <w:pStyle w:val="ListParagraph"/>
        <w:numPr>
          <w:ilvl w:val="0"/>
          <w:numId w:val="0"/>
        </w:numPr>
        <w:rPr>
          <w:spacing w:val="-4"/>
          <w:lang w:val="en-US"/>
        </w:rPr>
      </w:pPr>
    </w:p>
    <w:p w14:paraId="277E3ED4" w14:textId="2FEC64E0" w:rsidR="003D717E" w:rsidRPr="00A50E4D" w:rsidRDefault="00F02FB7" w:rsidP="003D717E">
      <w:pPr>
        <w:pStyle w:val="PrrafodeSentencia"/>
        <w:rPr>
          <w:lang w:val="en-US"/>
        </w:rPr>
      </w:pPr>
      <w:r w:rsidRPr="00A50E4D">
        <w:rPr>
          <w:lang w:val="en-US"/>
        </w:rPr>
        <w:t>Meanwhile, it can be observed that, during the admissibility proce</w:t>
      </w:r>
      <w:r w:rsidR="00530463" w:rsidRPr="00A50E4D">
        <w:rPr>
          <w:lang w:val="en-US"/>
        </w:rPr>
        <w:t>dure</w:t>
      </w:r>
      <w:r w:rsidRPr="00A50E4D">
        <w:rPr>
          <w:lang w:val="en-US"/>
        </w:rPr>
        <w:t xml:space="preserve"> before</w:t>
      </w:r>
      <w:r w:rsidR="003D717E" w:rsidRPr="00A50E4D">
        <w:rPr>
          <w:lang w:val="en-US"/>
        </w:rPr>
        <w:t xml:space="preserve"> </w:t>
      </w:r>
      <w:r w:rsidR="009808C5" w:rsidRPr="00A50E4D">
        <w:rPr>
          <w:lang w:val="en-US"/>
        </w:rPr>
        <w:t>the Commission</w:t>
      </w:r>
      <w:r w:rsidRPr="00A50E4D">
        <w:rPr>
          <w:lang w:val="en-US"/>
        </w:rPr>
        <w:t>, in communications dated October 19,</w:t>
      </w:r>
      <w:r w:rsidR="003D717E" w:rsidRPr="00A50E4D">
        <w:rPr>
          <w:lang w:val="en-US"/>
        </w:rPr>
        <w:t xml:space="preserve"> 2010</w:t>
      </w:r>
      <w:r w:rsidRPr="00A50E4D">
        <w:rPr>
          <w:lang w:val="en-US"/>
        </w:rPr>
        <w:t>,</w:t>
      </w:r>
      <w:r w:rsidR="003D717E" w:rsidRPr="00A50E4D">
        <w:rPr>
          <w:rStyle w:val="FootnoteReference"/>
          <w:sz w:val="20"/>
          <w:szCs w:val="20"/>
          <w:lang w:val="en-US"/>
        </w:rPr>
        <w:footnoteReference w:id="15"/>
      </w:r>
      <w:r w:rsidRPr="00A50E4D">
        <w:rPr>
          <w:lang w:val="en-US"/>
        </w:rPr>
        <w:t xml:space="preserve"> and March</w:t>
      </w:r>
      <w:r w:rsidR="003D717E" w:rsidRPr="00A50E4D">
        <w:rPr>
          <w:lang w:val="en-US"/>
        </w:rPr>
        <w:t xml:space="preserve"> 16</w:t>
      </w:r>
      <w:r w:rsidR="009808C5" w:rsidRPr="00A50E4D">
        <w:rPr>
          <w:lang w:val="en-US"/>
        </w:rPr>
        <w:t xml:space="preserve"> and </w:t>
      </w:r>
      <w:r w:rsidRPr="00A50E4D">
        <w:rPr>
          <w:lang w:val="en-US"/>
        </w:rPr>
        <w:t xml:space="preserve">25, 2011, the State argued that the presumed victims could still exhaust the application for </w:t>
      </w:r>
      <w:r w:rsidR="00B11ACA" w:rsidRPr="00A50E4D">
        <w:rPr>
          <w:i/>
          <w:lang w:val="en-US"/>
        </w:rPr>
        <w:t>amparo</w:t>
      </w:r>
      <w:r w:rsidRPr="00A50E4D">
        <w:rPr>
          <w:lang w:val="en-US"/>
        </w:rPr>
        <w:t>.</w:t>
      </w:r>
      <w:r w:rsidR="003D717E" w:rsidRPr="00A50E4D">
        <w:rPr>
          <w:rStyle w:val="FootnoteReference"/>
          <w:sz w:val="20"/>
          <w:szCs w:val="20"/>
          <w:lang w:val="en-US"/>
        </w:rPr>
        <w:footnoteReference w:id="16"/>
      </w:r>
      <w:r w:rsidR="003D717E" w:rsidRPr="00A50E4D">
        <w:rPr>
          <w:lang w:val="en-US"/>
        </w:rPr>
        <w:t xml:space="preserve"> </w:t>
      </w:r>
      <w:r w:rsidRPr="00A50E4D">
        <w:rPr>
          <w:lang w:val="en-US"/>
        </w:rPr>
        <w:t>Following the</w:t>
      </w:r>
      <w:r w:rsidR="003D717E" w:rsidRPr="00A50E4D">
        <w:rPr>
          <w:lang w:val="en-US"/>
        </w:rPr>
        <w:t xml:space="preserve"> </w:t>
      </w:r>
      <w:r w:rsidR="0048601C" w:rsidRPr="00A50E4D">
        <w:rPr>
          <w:lang w:val="en-US"/>
        </w:rPr>
        <w:t>Admissibility Report</w:t>
      </w:r>
      <w:r w:rsidRPr="00A50E4D">
        <w:rPr>
          <w:lang w:val="en-US"/>
        </w:rPr>
        <w:t>,</w:t>
      </w:r>
      <w:r w:rsidR="003D717E" w:rsidRPr="00A50E4D">
        <w:rPr>
          <w:rStyle w:val="FootnoteReference"/>
          <w:sz w:val="20"/>
          <w:szCs w:val="20"/>
          <w:lang w:val="en-US"/>
        </w:rPr>
        <w:footnoteReference w:id="17"/>
      </w:r>
      <w:r w:rsidRPr="00A50E4D">
        <w:rPr>
          <w:lang w:val="en-US"/>
        </w:rPr>
        <w:t xml:space="preserve"> in which </w:t>
      </w:r>
      <w:r w:rsidR="009808C5" w:rsidRPr="00A50E4D">
        <w:rPr>
          <w:lang w:val="en-US"/>
        </w:rPr>
        <w:t>the Commission</w:t>
      </w:r>
      <w:r w:rsidR="003D717E" w:rsidRPr="00A50E4D">
        <w:rPr>
          <w:lang w:val="en-US"/>
        </w:rPr>
        <w:t xml:space="preserve"> decid</w:t>
      </w:r>
      <w:r w:rsidRPr="00A50E4D">
        <w:rPr>
          <w:lang w:val="en-US"/>
        </w:rPr>
        <w:t>ed to</w:t>
      </w:r>
      <w:r w:rsidR="00530463" w:rsidRPr="00A50E4D">
        <w:rPr>
          <w:lang w:val="en-US"/>
        </w:rPr>
        <w:t xml:space="preserve"> combine the matter of the failure to exhaust domestic remedies with the analysis of the merits of the</w:t>
      </w:r>
      <w:r w:rsidRPr="00A50E4D">
        <w:rPr>
          <w:lang w:val="en-US"/>
        </w:rPr>
        <w:t xml:space="preserve"> </w:t>
      </w:r>
      <w:r w:rsidR="0048601C" w:rsidRPr="00A50E4D">
        <w:rPr>
          <w:lang w:val="en-US"/>
        </w:rPr>
        <w:t>petition</w:t>
      </w:r>
      <w:r w:rsidR="003D717E" w:rsidRPr="00A50E4D">
        <w:rPr>
          <w:lang w:val="en-US"/>
        </w:rPr>
        <w:t xml:space="preserve">, </w:t>
      </w:r>
      <w:r w:rsidR="009808C5" w:rsidRPr="00A50E4D">
        <w:rPr>
          <w:lang w:val="en-US"/>
        </w:rPr>
        <w:t>the State</w:t>
      </w:r>
      <w:r w:rsidR="003D717E" w:rsidRPr="00A50E4D">
        <w:rPr>
          <w:lang w:val="en-US"/>
        </w:rPr>
        <w:t xml:space="preserve"> continu</w:t>
      </w:r>
      <w:r w:rsidRPr="00A50E4D">
        <w:rPr>
          <w:lang w:val="en-US"/>
        </w:rPr>
        <w:t xml:space="preserve">ed to present </w:t>
      </w:r>
      <w:r w:rsidR="00E84FC7" w:rsidRPr="00A50E4D">
        <w:rPr>
          <w:lang w:val="en-US"/>
        </w:rPr>
        <w:t>arguments</w:t>
      </w:r>
      <w:r w:rsidR="003D717E" w:rsidRPr="00A50E4D">
        <w:rPr>
          <w:lang w:val="en-US"/>
        </w:rPr>
        <w:t xml:space="preserve"> </w:t>
      </w:r>
      <w:r w:rsidRPr="00A50E4D">
        <w:rPr>
          <w:lang w:val="en-US"/>
        </w:rPr>
        <w:t>in this regard on February 1</w:t>
      </w:r>
      <w:r w:rsidR="003D717E" w:rsidRPr="00A50E4D">
        <w:rPr>
          <w:rStyle w:val="FootnoteReference"/>
          <w:sz w:val="20"/>
          <w:szCs w:val="20"/>
          <w:lang w:val="en-US"/>
        </w:rPr>
        <w:footnoteReference w:id="18"/>
      </w:r>
      <w:r w:rsidR="009808C5" w:rsidRPr="00A50E4D">
        <w:rPr>
          <w:lang w:val="en-US"/>
        </w:rPr>
        <w:t xml:space="preserve"> and </w:t>
      </w:r>
      <w:r w:rsidR="00C150F2" w:rsidRPr="00A50E4D">
        <w:rPr>
          <w:lang w:val="en-US"/>
        </w:rPr>
        <w:t>June</w:t>
      </w:r>
      <w:r w:rsidRPr="00A50E4D">
        <w:rPr>
          <w:lang w:val="en-US"/>
        </w:rPr>
        <w:t xml:space="preserve"> </w:t>
      </w:r>
      <w:r w:rsidR="003D717E" w:rsidRPr="00A50E4D">
        <w:rPr>
          <w:lang w:val="en-US"/>
        </w:rPr>
        <w:t>2</w:t>
      </w:r>
      <w:r w:rsidR="00F63C10" w:rsidRPr="00A50E4D">
        <w:rPr>
          <w:lang w:val="en-US"/>
        </w:rPr>
        <w:t>5</w:t>
      </w:r>
      <w:r w:rsidRPr="00A50E4D">
        <w:rPr>
          <w:lang w:val="en-US"/>
        </w:rPr>
        <w:t xml:space="preserve">, </w:t>
      </w:r>
      <w:r w:rsidR="003D717E" w:rsidRPr="00A50E4D">
        <w:rPr>
          <w:lang w:val="en-US"/>
        </w:rPr>
        <w:t>2012</w:t>
      </w:r>
      <w:r w:rsidRPr="00A50E4D">
        <w:rPr>
          <w:lang w:val="en-US"/>
        </w:rPr>
        <w:t>.</w:t>
      </w:r>
      <w:r w:rsidR="003D717E" w:rsidRPr="00A50E4D">
        <w:rPr>
          <w:rStyle w:val="FootnoteReference"/>
          <w:sz w:val="20"/>
          <w:szCs w:val="20"/>
          <w:lang w:val="en-US"/>
        </w:rPr>
        <w:footnoteReference w:id="19"/>
      </w:r>
      <w:r w:rsidRPr="00A50E4D">
        <w:rPr>
          <w:lang w:val="en-US"/>
        </w:rPr>
        <w:t xml:space="preserve"> In those briefs, the State argued that the application for </w:t>
      </w:r>
      <w:r w:rsidR="00B11ACA" w:rsidRPr="00A50E4D">
        <w:rPr>
          <w:i/>
          <w:lang w:val="en-US"/>
        </w:rPr>
        <w:t>amparo</w:t>
      </w:r>
      <w:r w:rsidRPr="00A50E4D">
        <w:rPr>
          <w:lang w:val="en-US"/>
        </w:rPr>
        <w:t xml:space="preserve"> was </w:t>
      </w:r>
      <w:r w:rsidR="00D723AB" w:rsidRPr="00A50E4D">
        <w:rPr>
          <w:lang w:val="en-US"/>
        </w:rPr>
        <w:t xml:space="preserve">suitable and adequate “to contest [the] hypothetical </w:t>
      </w:r>
      <w:r w:rsidRPr="00A50E4D">
        <w:rPr>
          <w:lang w:val="en-US"/>
        </w:rPr>
        <w:t>rights</w:t>
      </w:r>
      <w:r w:rsidR="00D723AB" w:rsidRPr="00A50E4D">
        <w:rPr>
          <w:lang w:val="en-US"/>
        </w:rPr>
        <w:t xml:space="preserve"> violations</w:t>
      </w:r>
      <w:r w:rsidRPr="00A50E4D">
        <w:rPr>
          <w:lang w:val="en-US"/>
        </w:rPr>
        <w:t xml:space="preserve"> during the disciplinary proceedings” and that it could be filed within two months of notification of the </w:t>
      </w:r>
      <w:r w:rsidR="006A756C" w:rsidRPr="00A50E4D">
        <w:rPr>
          <w:lang w:val="en-US"/>
        </w:rPr>
        <w:t>Judicial Service Council</w:t>
      </w:r>
      <w:r w:rsidR="00D723AB" w:rsidRPr="00A50E4D">
        <w:rPr>
          <w:lang w:val="en-US"/>
        </w:rPr>
        <w:t>’s decision</w:t>
      </w:r>
      <w:r w:rsidR="003D717E" w:rsidRPr="00A50E4D">
        <w:rPr>
          <w:lang w:val="en-US"/>
        </w:rPr>
        <w:t xml:space="preserve">. </w:t>
      </w:r>
      <w:r w:rsidRPr="00A50E4D">
        <w:rPr>
          <w:lang w:val="en-US"/>
        </w:rPr>
        <w:t xml:space="preserve">It also indicated that, the </w:t>
      </w:r>
      <w:r w:rsidR="00B11ACA" w:rsidRPr="00A50E4D">
        <w:rPr>
          <w:i/>
          <w:lang w:val="en-US"/>
        </w:rPr>
        <w:t>amparo</w:t>
      </w:r>
      <w:r w:rsidRPr="00A50E4D">
        <w:rPr>
          <w:lang w:val="en-US"/>
        </w:rPr>
        <w:t xml:space="preserve"> could “uphold or reinstate the enjoyment of the rights and guarantees </w:t>
      </w:r>
      <w:r w:rsidR="00D723AB" w:rsidRPr="00A50E4D">
        <w:rPr>
          <w:lang w:val="en-US"/>
        </w:rPr>
        <w:t>established by the Constitution and</w:t>
      </w:r>
      <w:r w:rsidRPr="00A50E4D">
        <w:rPr>
          <w:lang w:val="en-US"/>
        </w:rPr>
        <w:t xml:space="preserve"> international treaties, conventions and other instruments.</w:t>
      </w:r>
      <w:r w:rsidR="003D717E" w:rsidRPr="00A50E4D">
        <w:rPr>
          <w:lang w:val="en-US"/>
        </w:rPr>
        <w:t>”</w:t>
      </w:r>
      <w:r w:rsidR="003D717E" w:rsidRPr="00A50E4D">
        <w:rPr>
          <w:rStyle w:val="FootnoteReference"/>
          <w:sz w:val="20"/>
          <w:szCs w:val="20"/>
          <w:lang w:val="en-US"/>
        </w:rPr>
        <w:footnoteReference w:id="20"/>
      </w:r>
    </w:p>
    <w:p w14:paraId="313D138C" w14:textId="77777777" w:rsidR="003D717E" w:rsidRPr="00A50E4D" w:rsidRDefault="003D717E" w:rsidP="003D717E">
      <w:pPr>
        <w:pStyle w:val="ListParagraph"/>
        <w:numPr>
          <w:ilvl w:val="0"/>
          <w:numId w:val="0"/>
        </w:numPr>
        <w:rPr>
          <w:spacing w:val="-4"/>
          <w:lang w:val="en-US"/>
        </w:rPr>
      </w:pPr>
    </w:p>
    <w:p w14:paraId="0F23B51C" w14:textId="470ADAB1" w:rsidR="00CD37A0" w:rsidRPr="00A50E4D" w:rsidRDefault="00F02FB7" w:rsidP="00CD37A0">
      <w:pPr>
        <w:pStyle w:val="PrrafodeSentencia"/>
        <w:rPr>
          <w:lang w:val="en-US"/>
        </w:rPr>
      </w:pPr>
      <w:r w:rsidRPr="00A50E4D">
        <w:rPr>
          <w:lang w:val="en-US"/>
        </w:rPr>
        <w:t xml:space="preserve">Meanwhile, </w:t>
      </w:r>
      <w:r w:rsidR="00AD5EE7" w:rsidRPr="00A50E4D">
        <w:rPr>
          <w:lang w:val="en-US"/>
        </w:rPr>
        <w:t>the representatives</w:t>
      </w:r>
      <w:r w:rsidR="003D717E" w:rsidRPr="00A50E4D">
        <w:rPr>
          <w:lang w:val="en-US"/>
        </w:rPr>
        <w:t xml:space="preserve"> </w:t>
      </w:r>
      <w:r w:rsidRPr="00A50E4D">
        <w:rPr>
          <w:lang w:val="en-US"/>
        </w:rPr>
        <w:t>indicated that, according to article</w:t>
      </w:r>
      <w:r w:rsidR="003D717E" w:rsidRPr="00A50E4D">
        <w:rPr>
          <w:lang w:val="en-US"/>
        </w:rPr>
        <w:t xml:space="preserve"> 31</w:t>
      </w:r>
      <w:r w:rsidR="009808C5" w:rsidRPr="00A50E4D">
        <w:rPr>
          <w:lang w:val="en-US"/>
        </w:rPr>
        <w:t xml:space="preserve"> of </w:t>
      </w:r>
      <w:r w:rsidR="006A756C" w:rsidRPr="00A50E4D">
        <w:rPr>
          <w:lang w:val="en-US"/>
        </w:rPr>
        <w:t xml:space="preserve">the </w:t>
      </w:r>
      <w:r w:rsidR="000E6A0D" w:rsidRPr="00A50E4D">
        <w:rPr>
          <w:lang w:val="en-US"/>
        </w:rPr>
        <w:t>rules of procedure</w:t>
      </w:r>
      <w:r w:rsidR="00EB6155" w:rsidRPr="00A50E4D">
        <w:rPr>
          <w:lang w:val="en-US"/>
        </w:rPr>
        <w:t xml:space="preserve"> o</w:t>
      </w:r>
      <w:r w:rsidR="00D723AB" w:rsidRPr="00A50E4D">
        <w:rPr>
          <w:lang w:val="en-US"/>
        </w:rPr>
        <w:t>f the Judicial Service Council,</w:t>
      </w:r>
      <w:r w:rsidRPr="00A50E4D">
        <w:rPr>
          <w:lang w:val="en-US"/>
        </w:rPr>
        <w:t xml:space="preserve"> </w:t>
      </w:r>
      <w:r w:rsidR="00D723AB" w:rsidRPr="00A50E4D">
        <w:rPr>
          <w:lang w:val="en-US"/>
        </w:rPr>
        <w:t>no</w:t>
      </w:r>
      <w:r w:rsidRPr="00A50E4D">
        <w:rPr>
          <w:lang w:val="en-US"/>
        </w:rPr>
        <w:t xml:space="preserve"> remedy </w:t>
      </w:r>
      <w:r w:rsidR="00D723AB" w:rsidRPr="00A50E4D">
        <w:rPr>
          <w:lang w:val="en-US"/>
        </w:rPr>
        <w:t xml:space="preserve">could be filed, </w:t>
      </w:r>
      <w:r w:rsidRPr="00A50E4D">
        <w:rPr>
          <w:lang w:val="en-US"/>
        </w:rPr>
        <w:t xml:space="preserve">against the </w:t>
      </w:r>
      <w:r w:rsidR="006A756C" w:rsidRPr="00A50E4D">
        <w:rPr>
          <w:lang w:val="en-US"/>
        </w:rPr>
        <w:t>Council</w:t>
      </w:r>
      <w:r w:rsidR="00D723AB" w:rsidRPr="00A50E4D">
        <w:rPr>
          <w:lang w:val="en-US"/>
        </w:rPr>
        <w:t>’s decisions</w:t>
      </w:r>
      <w:r w:rsidR="003D717E" w:rsidRPr="00A50E4D">
        <w:rPr>
          <w:lang w:val="en-US"/>
        </w:rPr>
        <w:t xml:space="preserve">, </w:t>
      </w:r>
      <w:r w:rsidR="00D723AB" w:rsidRPr="00A50E4D">
        <w:rPr>
          <w:lang w:val="en-US"/>
        </w:rPr>
        <w:t>not even</w:t>
      </w:r>
      <w:r w:rsidRPr="00A50E4D">
        <w:rPr>
          <w:lang w:val="en-US"/>
        </w:rPr>
        <w:t xml:space="preserve"> the </w:t>
      </w:r>
      <w:r w:rsidR="006A756C" w:rsidRPr="00A50E4D">
        <w:rPr>
          <w:lang w:val="en-US"/>
        </w:rPr>
        <w:t xml:space="preserve">application for </w:t>
      </w:r>
      <w:r w:rsidR="00B11ACA" w:rsidRPr="00A50E4D">
        <w:rPr>
          <w:i/>
          <w:lang w:val="en-US"/>
        </w:rPr>
        <w:t>amparo</w:t>
      </w:r>
      <w:r w:rsidRPr="00A50E4D">
        <w:rPr>
          <w:lang w:val="en-US"/>
        </w:rPr>
        <w:t>.</w:t>
      </w:r>
      <w:r w:rsidR="003D717E" w:rsidRPr="00A50E4D">
        <w:rPr>
          <w:rStyle w:val="FootnoteReference"/>
          <w:rFonts w:cs="Arial"/>
          <w:sz w:val="20"/>
          <w:szCs w:val="20"/>
          <w:lang w:val="en-US"/>
        </w:rPr>
        <w:footnoteReference w:id="21"/>
      </w:r>
    </w:p>
    <w:p w14:paraId="67E79F14" w14:textId="77777777" w:rsidR="00CD37A0" w:rsidRPr="00A50E4D" w:rsidRDefault="00CD37A0" w:rsidP="00CD37A0">
      <w:pPr>
        <w:rPr>
          <w:lang w:val="en-US" w:eastAsia="es-MX"/>
        </w:rPr>
      </w:pPr>
    </w:p>
    <w:p w14:paraId="3BCEAD0A" w14:textId="03E9248E" w:rsidR="003B54A6" w:rsidRPr="00A50E4D" w:rsidRDefault="009808C5" w:rsidP="003B54A6">
      <w:pPr>
        <w:pStyle w:val="PrrafodeSentencia"/>
        <w:rPr>
          <w:lang w:val="en-US"/>
        </w:rPr>
      </w:pPr>
      <w:bookmarkStart w:id="68" w:name="_Ref431408772"/>
      <w:r w:rsidRPr="00A50E4D">
        <w:rPr>
          <w:lang w:val="en-US"/>
        </w:rPr>
        <w:t>The Court</w:t>
      </w:r>
      <w:r w:rsidR="00D723AB" w:rsidRPr="00A50E4D">
        <w:rPr>
          <w:lang w:val="en-US"/>
        </w:rPr>
        <w:t xml:space="preserve"> notes that, in the</w:t>
      </w:r>
      <w:r w:rsidR="00F02FB7" w:rsidRPr="00A50E4D">
        <w:rPr>
          <w:lang w:val="en-US"/>
        </w:rPr>
        <w:t xml:space="preserve"> first brief </w:t>
      </w:r>
      <w:r w:rsidR="00D723AB" w:rsidRPr="00A50E4D">
        <w:rPr>
          <w:lang w:val="en-US"/>
        </w:rPr>
        <w:t>it submitted to</w:t>
      </w:r>
      <w:r w:rsidR="00F02FB7" w:rsidRPr="00A50E4D">
        <w:rPr>
          <w:lang w:val="en-US"/>
        </w:rPr>
        <w:t xml:space="preserve"> </w:t>
      </w:r>
      <w:r w:rsidRPr="00A50E4D">
        <w:rPr>
          <w:lang w:val="en-US"/>
        </w:rPr>
        <w:t>the Commission</w:t>
      </w:r>
      <w:r w:rsidR="00CD37A0" w:rsidRPr="00A50E4D">
        <w:rPr>
          <w:lang w:val="en-US"/>
        </w:rPr>
        <w:t xml:space="preserve">, </w:t>
      </w:r>
      <w:r w:rsidRPr="00A50E4D">
        <w:rPr>
          <w:lang w:val="en-US"/>
        </w:rPr>
        <w:t>the State</w:t>
      </w:r>
      <w:r w:rsidR="00D723AB" w:rsidRPr="00A50E4D">
        <w:rPr>
          <w:lang w:val="en-US"/>
        </w:rPr>
        <w:t xml:space="preserve"> had</w:t>
      </w:r>
      <w:r w:rsidR="00F02FB7" w:rsidRPr="00A50E4D">
        <w:rPr>
          <w:lang w:val="en-US"/>
        </w:rPr>
        <w:t xml:space="preserve"> indicated that, according to</w:t>
      </w:r>
      <w:r w:rsidR="00CD37A0" w:rsidRPr="00A50E4D">
        <w:rPr>
          <w:lang w:val="en-US"/>
        </w:rPr>
        <w:t xml:space="preserve"> </w:t>
      </w:r>
      <w:r w:rsidR="00F02FB7" w:rsidRPr="00A50E4D">
        <w:rPr>
          <w:lang w:val="en-US"/>
        </w:rPr>
        <w:t>article</w:t>
      </w:r>
      <w:r w:rsidR="00CD37A0" w:rsidRPr="00A50E4D">
        <w:rPr>
          <w:lang w:val="en-US"/>
        </w:rPr>
        <w:t xml:space="preserve"> 31</w:t>
      </w:r>
      <w:r w:rsidRPr="00A50E4D">
        <w:rPr>
          <w:lang w:val="en-US"/>
        </w:rPr>
        <w:t xml:space="preserve"> of </w:t>
      </w:r>
      <w:r w:rsidR="006A756C" w:rsidRPr="00A50E4D">
        <w:rPr>
          <w:lang w:val="en-US"/>
        </w:rPr>
        <w:t xml:space="preserve">the </w:t>
      </w:r>
      <w:r w:rsidR="000E6A0D" w:rsidRPr="00A50E4D">
        <w:rPr>
          <w:lang w:val="en-US"/>
        </w:rPr>
        <w:t>rules of procedure</w:t>
      </w:r>
      <w:r w:rsidR="00EB6155" w:rsidRPr="00A50E4D">
        <w:rPr>
          <w:lang w:val="en-US"/>
        </w:rPr>
        <w:t xml:space="preserve"> of the Judicial Service </w:t>
      </w:r>
      <w:r w:rsidR="000A786A" w:rsidRPr="00A50E4D">
        <w:rPr>
          <w:lang w:val="en-US"/>
        </w:rPr>
        <w:t>Council,</w:t>
      </w:r>
      <w:r w:rsidR="00F02FB7" w:rsidRPr="00A50E4D">
        <w:rPr>
          <w:lang w:val="en-US"/>
        </w:rPr>
        <w:t xml:space="preserve"> it was not possible to file another remedy.</w:t>
      </w:r>
      <w:r w:rsidR="00CD37A0" w:rsidRPr="00A50E4D">
        <w:rPr>
          <w:rStyle w:val="FootnoteReference"/>
          <w:sz w:val="20"/>
          <w:szCs w:val="20"/>
          <w:lang w:val="en-US"/>
        </w:rPr>
        <w:footnoteReference w:id="22"/>
      </w:r>
      <w:r w:rsidR="00F02FB7" w:rsidRPr="00A50E4D">
        <w:rPr>
          <w:lang w:val="en-US"/>
        </w:rPr>
        <w:t xml:space="preserve"> The said</w:t>
      </w:r>
      <w:r w:rsidR="003B54A6" w:rsidRPr="00A50E4D">
        <w:rPr>
          <w:lang w:val="en-US"/>
        </w:rPr>
        <w:t xml:space="preserve"> </w:t>
      </w:r>
      <w:r w:rsidR="00F02FB7" w:rsidRPr="00A50E4D">
        <w:rPr>
          <w:lang w:val="en-US"/>
        </w:rPr>
        <w:t>article 31 stipulates that</w:t>
      </w:r>
      <w:r w:rsidR="003B54A6" w:rsidRPr="00A50E4D">
        <w:rPr>
          <w:lang w:val="en-US"/>
        </w:rPr>
        <w:t>:</w:t>
      </w:r>
      <w:bookmarkEnd w:id="68"/>
    </w:p>
    <w:p w14:paraId="02D12C42" w14:textId="77777777" w:rsidR="003B54A6" w:rsidRPr="00A50E4D" w:rsidRDefault="003B54A6" w:rsidP="003B54A6">
      <w:pPr>
        <w:rPr>
          <w:lang w:val="en-US" w:eastAsia="es-MX"/>
        </w:rPr>
      </w:pPr>
    </w:p>
    <w:p w14:paraId="2D9B885D" w14:textId="090CC019" w:rsidR="003B54A6" w:rsidRPr="00A50E4D" w:rsidRDefault="00F02FB7" w:rsidP="00314E4B">
      <w:pPr>
        <w:pStyle w:val="NoSpacing"/>
        <w:tabs>
          <w:tab w:val="left" w:pos="567"/>
        </w:tabs>
        <w:ind w:left="567" w:right="713"/>
        <w:rPr>
          <w:spacing w:val="-4"/>
          <w:sz w:val="16"/>
          <w:szCs w:val="16"/>
          <w:lang w:val="en-US"/>
        </w:rPr>
      </w:pPr>
      <w:r w:rsidRPr="00A50E4D">
        <w:rPr>
          <w:spacing w:val="-4"/>
          <w:sz w:val="16"/>
          <w:szCs w:val="16"/>
          <w:lang w:val="en-US"/>
        </w:rPr>
        <w:t>Article</w:t>
      </w:r>
      <w:r w:rsidR="00314E4B" w:rsidRPr="00A50E4D">
        <w:rPr>
          <w:spacing w:val="-4"/>
          <w:sz w:val="16"/>
          <w:szCs w:val="16"/>
          <w:lang w:val="en-US"/>
        </w:rPr>
        <w:t xml:space="preserve"> 31.</w:t>
      </w:r>
      <w:r w:rsidR="003B54A6" w:rsidRPr="00A50E4D">
        <w:rPr>
          <w:spacing w:val="-4"/>
          <w:sz w:val="16"/>
          <w:szCs w:val="16"/>
          <w:lang w:val="en-US"/>
        </w:rPr>
        <w:t xml:space="preserve"> </w:t>
      </w:r>
      <w:r w:rsidR="00314E4B" w:rsidRPr="00A50E4D">
        <w:rPr>
          <w:spacing w:val="-4"/>
          <w:sz w:val="16"/>
          <w:szCs w:val="16"/>
          <w:lang w:val="en-US"/>
        </w:rPr>
        <w:t>The final decisions issued by the Council shall be clear, precise and congruent with the complaint and the other claims opportunely</w:t>
      </w:r>
      <w:r w:rsidR="00D723AB" w:rsidRPr="00A50E4D">
        <w:rPr>
          <w:spacing w:val="-4"/>
          <w:sz w:val="16"/>
          <w:szCs w:val="16"/>
          <w:lang w:val="en-US"/>
        </w:rPr>
        <w:t xml:space="preserve"> submitted during</w:t>
      </w:r>
      <w:r w:rsidR="00314E4B" w:rsidRPr="00A50E4D">
        <w:rPr>
          <w:spacing w:val="-4"/>
          <w:sz w:val="16"/>
          <w:szCs w:val="16"/>
          <w:lang w:val="en-US"/>
        </w:rPr>
        <w:t xml:space="preserve"> litigation, and shall include the </w:t>
      </w:r>
      <w:r w:rsidR="00D723AB" w:rsidRPr="00A50E4D">
        <w:rPr>
          <w:spacing w:val="-4"/>
          <w:sz w:val="16"/>
          <w:szCs w:val="16"/>
          <w:lang w:val="en-US"/>
        </w:rPr>
        <w:t xml:space="preserve">considerations required by such claims, </w:t>
      </w:r>
      <w:r w:rsidR="00314E4B" w:rsidRPr="00A50E4D">
        <w:rPr>
          <w:spacing w:val="-4"/>
          <w:sz w:val="16"/>
          <w:szCs w:val="16"/>
          <w:lang w:val="en-US"/>
        </w:rPr>
        <w:t xml:space="preserve">declare </w:t>
      </w:r>
      <w:r w:rsidR="00D723AB" w:rsidRPr="00A50E4D">
        <w:rPr>
          <w:spacing w:val="-4"/>
          <w:sz w:val="16"/>
          <w:szCs w:val="16"/>
          <w:lang w:val="en-US"/>
        </w:rPr>
        <w:t xml:space="preserve">whether or not </w:t>
      </w:r>
      <w:r w:rsidR="00314E4B" w:rsidRPr="00A50E4D">
        <w:rPr>
          <w:spacing w:val="-4"/>
          <w:sz w:val="16"/>
          <w:szCs w:val="16"/>
          <w:lang w:val="en-US"/>
        </w:rPr>
        <w:t>the claims</w:t>
      </w:r>
      <w:r w:rsidR="00D723AB" w:rsidRPr="00A50E4D">
        <w:rPr>
          <w:spacing w:val="-4"/>
          <w:sz w:val="16"/>
          <w:szCs w:val="16"/>
          <w:lang w:val="en-US"/>
        </w:rPr>
        <w:t xml:space="preserve"> are</w:t>
      </w:r>
      <w:r w:rsidR="00314E4B" w:rsidRPr="00A50E4D">
        <w:rPr>
          <w:spacing w:val="-4"/>
          <w:sz w:val="16"/>
          <w:szCs w:val="16"/>
          <w:lang w:val="en-US"/>
        </w:rPr>
        <w:t xml:space="preserve"> admissible, and decide all the contentious issu</w:t>
      </w:r>
      <w:r w:rsidR="00D723AB" w:rsidRPr="00A50E4D">
        <w:rPr>
          <w:spacing w:val="-4"/>
          <w:sz w:val="16"/>
          <w:szCs w:val="16"/>
          <w:lang w:val="en-US"/>
        </w:rPr>
        <w:t>es that were in dispute</w:t>
      </w:r>
      <w:r w:rsidR="00314E4B" w:rsidRPr="00A50E4D">
        <w:rPr>
          <w:spacing w:val="-4"/>
          <w:sz w:val="16"/>
          <w:szCs w:val="16"/>
          <w:lang w:val="en-US"/>
        </w:rPr>
        <w:t xml:space="preserve">. If there </w:t>
      </w:r>
      <w:r w:rsidR="00D723AB" w:rsidRPr="00A50E4D">
        <w:rPr>
          <w:spacing w:val="-4"/>
          <w:sz w:val="16"/>
          <w:szCs w:val="16"/>
          <w:lang w:val="en-US"/>
        </w:rPr>
        <w:t>were</w:t>
      </w:r>
      <w:r w:rsidR="00314E4B" w:rsidRPr="00A50E4D">
        <w:rPr>
          <w:spacing w:val="-4"/>
          <w:sz w:val="16"/>
          <w:szCs w:val="16"/>
          <w:lang w:val="en-US"/>
        </w:rPr>
        <w:t xml:space="preserve"> several issues, this shall be done duly separating the ruling corresponding to each</w:t>
      </w:r>
      <w:r w:rsidR="00D723AB" w:rsidRPr="00A50E4D">
        <w:rPr>
          <w:spacing w:val="-4"/>
          <w:sz w:val="16"/>
          <w:szCs w:val="16"/>
          <w:lang w:val="en-US"/>
        </w:rPr>
        <w:t xml:space="preserve"> of them</w:t>
      </w:r>
      <w:r w:rsidR="00314E4B" w:rsidRPr="00A50E4D">
        <w:rPr>
          <w:spacing w:val="-4"/>
          <w:sz w:val="16"/>
          <w:szCs w:val="16"/>
          <w:lang w:val="en-US"/>
        </w:rPr>
        <w:t>. No ordinary or special appeal shall be admissible against the final decisions of the Council.</w:t>
      </w:r>
      <w:r w:rsidR="003B54A6" w:rsidRPr="00A50E4D">
        <w:rPr>
          <w:rStyle w:val="FootnoteReference"/>
          <w:rFonts w:cs="Arial"/>
          <w:spacing w:val="-4"/>
          <w:lang w:val="en-US"/>
        </w:rPr>
        <w:footnoteReference w:id="23"/>
      </w:r>
    </w:p>
    <w:p w14:paraId="42CB2DF5" w14:textId="77777777" w:rsidR="003B54A6" w:rsidRPr="00A50E4D" w:rsidRDefault="003B54A6" w:rsidP="003B54A6">
      <w:pPr>
        <w:rPr>
          <w:lang w:val="en-US" w:eastAsia="es-MX"/>
        </w:rPr>
      </w:pPr>
    </w:p>
    <w:p w14:paraId="07AED624" w14:textId="387942A6" w:rsidR="003B54A6" w:rsidRPr="00A50E4D" w:rsidRDefault="00314E4B" w:rsidP="00314E4B">
      <w:pPr>
        <w:pStyle w:val="PrrafodeSentencia"/>
        <w:rPr>
          <w:lang w:val="en-US"/>
        </w:rPr>
      </w:pPr>
      <w:r w:rsidRPr="00A50E4D">
        <w:rPr>
          <w:lang w:val="en-US"/>
        </w:rPr>
        <w:t xml:space="preserve">However, in subsequent briefs </w:t>
      </w:r>
      <w:r w:rsidR="00CB12DE" w:rsidRPr="00A50E4D">
        <w:rPr>
          <w:lang w:val="en-US"/>
        </w:rPr>
        <w:t xml:space="preserve">Honduras </w:t>
      </w:r>
      <w:r w:rsidR="00C05339" w:rsidRPr="00A50E4D">
        <w:rPr>
          <w:lang w:val="en-US"/>
        </w:rPr>
        <w:t>indicated that this conclusion</w:t>
      </w:r>
      <w:r w:rsidRPr="00A50E4D">
        <w:rPr>
          <w:lang w:val="en-US"/>
        </w:rPr>
        <w:t xml:space="preserve"> “disregard[ed] and contravene[d] a</w:t>
      </w:r>
      <w:r w:rsidR="009808C5" w:rsidRPr="00A50E4D">
        <w:rPr>
          <w:lang w:val="en-US"/>
        </w:rPr>
        <w:t>rticle</w:t>
      </w:r>
      <w:r w:rsidR="00CD37A0" w:rsidRPr="00A50E4D">
        <w:rPr>
          <w:lang w:val="en-US"/>
        </w:rPr>
        <w:t xml:space="preserve"> 320 </w:t>
      </w:r>
      <w:r w:rsidRPr="00A50E4D">
        <w:rPr>
          <w:lang w:val="en-US"/>
        </w:rPr>
        <w:t>of the Constitution</w:t>
      </w:r>
      <w:r w:rsidR="00CD37A0" w:rsidRPr="00A50E4D">
        <w:rPr>
          <w:lang w:val="en-US"/>
        </w:rPr>
        <w:t xml:space="preserve"> </w:t>
      </w:r>
      <w:r w:rsidRPr="00A50E4D">
        <w:rPr>
          <w:lang w:val="en-US"/>
        </w:rPr>
        <w:t xml:space="preserve">which establishes that “[i]n cases of incompatibility between a constitutional norm and an ordinary </w:t>
      </w:r>
      <w:r w:rsidR="00C05339" w:rsidRPr="00A50E4D">
        <w:rPr>
          <w:lang w:val="en-US"/>
        </w:rPr>
        <w:t xml:space="preserve">legal norm, the former shall apply”; thus </w:t>
      </w:r>
      <w:r w:rsidRPr="00A50E4D">
        <w:rPr>
          <w:lang w:val="en-US"/>
        </w:rPr>
        <w:t xml:space="preserve">article 31 of the </w:t>
      </w:r>
      <w:r w:rsidR="000E6A0D" w:rsidRPr="00A50E4D">
        <w:rPr>
          <w:lang w:val="en-US"/>
        </w:rPr>
        <w:t>rules of procedure</w:t>
      </w:r>
      <w:r w:rsidR="00EB6155" w:rsidRPr="00A50E4D">
        <w:rPr>
          <w:lang w:val="en-US"/>
        </w:rPr>
        <w:t xml:space="preserve"> of the Judicial Service Coun</w:t>
      </w:r>
      <w:r w:rsidR="00C05339" w:rsidRPr="00A50E4D">
        <w:rPr>
          <w:lang w:val="en-US"/>
        </w:rPr>
        <w:t>cil</w:t>
      </w:r>
      <w:r w:rsidRPr="00A50E4D">
        <w:rPr>
          <w:lang w:val="en-US"/>
        </w:rPr>
        <w:t xml:space="preserve"> was not applicable.</w:t>
      </w:r>
      <w:r w:rsidR="00CD37A0" w:rsidRPr="00A50E4D">
        <w:rPr>
          <w:rStyle w:val="FootnoteReference"/>
          <w:sz w:val="20"/>
          <w:szCs w:val="20"/>
          <w:lang w:val="en-US"/>
        </w:rPr>
        <w:footnoteReference w:id="24"/>
      </w:r>
      <w:r w:rsidRPr="00A50E4D">
        <w:rPr>
          <w:lang w:val="en-US"/>
        </w:rPr>
        <w:t xml:space="preserve"> </w:t>
      </w:r>
      <w:r w:rsidR="00BC7FB1" w:rsidRPr="00A50E4D">
        <w:rPr>
          <w:lang w:val="en-US"/>
        </w:rPr>
        <w:t xml:space="preserve">In this </w:t>
      </w:r>
      <w:r w:rsidR="000B62CF" w:rsidRPr="00A50E4D">
        <w:rPr>
          <w:lang w:val="en-US"/>
        </w:rPr>
        <w:t>regard</w:t>
      </w:r>
      <w:r w:rsidR="00BC7FB1" w:rsidRPr="00A50E4D">
        <w:rPr>
          <w:lang w:val="en-US"/>
        </w:rPr>
        <w:t>, the</w:t>
      </w:r>
      <w:r w:rsidRPr="00A50E4D">
        <w:rPr>
          <w:lang w:val="en-US"/>
        </w:rPr>
        <w:t xml:space="preserve"> State emphasized that, since its creation, the Constitutional Chamber </w:t>
      </w:r>
      <w:r w:rsidR="009808C5" w:rsidRPr="00A50E4D">
        <w:rPr>
          <w:lang w:val="en-US"/>
        </w:rPr>
        <w:t xml:space="preserve">of the </w:t>
      </w:r>
      <w:r w:rsidR="00371BB7" w:rsidRPr="00A50E4D">
        <w:rPr>
          <w:lang w:val="en-US"/>
        </w:rPr>
        <w:t>Supreme Court of Justice</w:t>
      </w:r>
      <w:r w:rsidR="00CD37A0" w:rsidRPr="00A50E4D">
        <w:rPr>
          <w:lang w:val="en-US"/>
        </w:rPr>
        <w:t xml:space="preserve"> </w:t>
      </w:r>
      <w:r w:rsidR="00C05339" w:rsidRPr="00A50E4D">
        <w:rPr>
          <w:lang w:val="en-US"/>
        </w:rPr>
        <w:t>ha</w:t>
      </w:r>
      <w:r w:rsidR="00BC7FB1" w:rsidRPr="00A50E4D">
        <w:rPr>
          <w:lang w:val="en-US"/>
        </w:rPr>
        <w:t>d</w:t>
      </w:r>
      <w:r w:rsidR="00C05339" w:rsidRPr="00A50E4D">
        <w:rPr>
          <w:lang w:val="en-US"/>
        </w:rPr>
        <w:t xml:space="preserve"> been basing itself on </w:t>
      </w:r>
      <w:r w:rsidR="00BC7FB1" w:rsidRPr="00A50E4D">
        <w:rPr>
          <w:lang w:val="en-US"/>
        </w:rPr>
        <w:t xml:space="preserve">the said </w:t>
      </w:r>
      <w:r w:rsidR="00C05339" w:rsidRPr="00A50E4D">
        <w:rPr>
          <w:lang w:val="en-US"/>
        </w:rPr>
        <w:t>article 320 of the Constitution to “found its rulings on</w:t>
      </w:r>
      <w:r w:rsidRPr="00A50E4D">
        <w:rPr>
          <w:lang w:val="en-US"/>
        </w:rPr>
        <w:t xml:space="preserve"> the admissibility </w:t>
      </w:r>
      <w:r w:rsidR="00C05339" w:rsidRPr="00A50E4D">
        <w:rPr>
          <w:lang w:val="en-US"/>
        </w:rPr>
        <w:t xml:space="preserve">of, </w:t>
      </w:r>
      <w:r w:rsidRPr="00A50E4D">
        <w:rPr>
          <w:lang w:val="en-US"/>
        </w:rPr>
        <w:t xml:space="preserve">and </w:t>
      </w:r>
      <w:r w:rsidR="00C05339" w:rsidRPr="00A50E4D">
        <w:rPr>
          <w:lang w:val="en-US"/>
        </w:rPr>
        <w:t>decisions</w:t>
      </w:r>
      <w:r w:rsidR="00BC7FB1" w:rsidRPr="00A50E4D">
        <w:rPr>
          <w:lang w:val="en-US"/>
        </w:rPr>
        <w:t xml:space="preserve"> taken</w:t>
      </w:r>
      <w:r w:rsidRPr="00A50E4D">
        <w:rPr>
          <w:lang w:val="en-US"/>
        </w:rPr>
        <w:t xml:space="preserve"> o</w:t>
      </w:r>
      <w:r w:rsidR="00C05339" w:rsidRPr="00A50E4D">
        <w:rPr>
          <w:lang w:val="en-US"/>
        </w:rPr>
        <w:t>n,</w:t>
      </w:r>
      <w:r w:rsidRPr="00A50E4D">
        <w:rPr>
          <w:lang w:val="en-US"/>
        </w:rPr>
        <w:t xml:space="preserve"> the different applications for </w:t>
      </w:r>
      <w:r w:rsidR="00B11ACA" w:rsidRPr="00A50E4D">
        <w:rPr>
          <w:i/>
          <w:lang w:val="en-US"/>
        </w:rPr>
        <w:t>amparo</w:t>
      </w:r>
      <w:r w:rsidRPr="00A50E4D">
        <w:rPr>
          <w:lang w:val="en-US"/>
        </w:rPr>
        <w:t xml:space="preserve"> filed against acts </w:t>
      </w:r>
      <w:r w:rsidR="006A756C" w:rsidRPr="00A50E4D">
        <w:rPr>
          <w:lang w:val="en-US"/>
        </w:rPr>
        <w:t>of the Judicial Service Council</w:t>
      </w:r>
      <w:r w:rsidR="00C05339" w:rsidRPr="00A50E4D">
        <w:rPr>
          <w:lang w:val="en-US"/>
        </w:rPr>
        <w:t>.”</w:t>
      </w:r>
      <w:r w:rsidR="00C05339" w:rsidRPr="00A50E4D">
        <w:rPr>
          <w:rStyle w:val="FootnoteReference"/>
          <w:sz w:val="20"/>
          <w:szCs w:val="20"/>
          <w:lang w:val="en-US"/>
        </w:rPr>
        <w:footnoteReference w:id="25"/>
      </w:r>
      <w:r w:rsidR="00C05339" w:rsidRPr="00A50E4D">
        <w:rPr>
          <w:lang w:val="en-US"/>
        </w:rPr>
        <w:t xml:space="preserve"> </w:t>
      </w:r>
      <w:r w:rsidR="009808C5" w:rsidRPr="00A50E4D">
        <w:rPr>
          <w:lang w:val="en-US"/>
        </w:rPr>
        <w:t>The State</w:t>
      </w:r>
      <w:r w:rsidR="00CD37A0" w:rsidRPr="00A50E4D">
        <w:rPr>
          <w:lang w:val="en-US"/>
        </w:rPr>
        <w:t xml:space="preserve">, </w:t>
      </w:r>
      <w:r w:rsidRPr="00A50E4D">
        <w:rPr>
          <w:lang w:val="en-US"/>
        </w:rPr>
        <w:t xml:space="preserve">in a report presented by the President of the Supreme Court, </w:t>
      </w:r>
      <w:r w:rsidR="00C05339" w:rsidRPr="00A50E4D">
        <w:rPr>
          <w:lang w:val="en-US"/>
        </w:rPr>
        <w:t>gave</w:t>
      </w:r>
      <w:r w:rsidRPr="00A50E4D">
        <w:rPr>
          <w:lang w:val="en-US"/>
        </w:rPr>
        <w:t xml:space="preserve"> the names</w:t>
      </w:r>
      <w:r w:rsidR="00BC7FB1" w:rsidRPr="00A50E4D">
        <w:rPr>
          <w:lang w:val="en-US"/>
        </w:rPr>
        <w:t xml:space="preserve"> of,</w:t>
      </w:r>
      <w:r w:rsidRPr="00A50E4D">
        <w:rPr>
          <w:lang w:val="en-US"/>
        </w:rPr>
        <w:t xml:space="preserve"> and basic information on</w:t>
      </w:r>
      <w:r w:rsidR="00BC7FB1" w:rsidRPr="00A50E4D">
        <w:rPr>
          <w:lang w:val="en-US"/>
        </w:rPr>
        <w:t>,</w:t>
      </w:r>
      <w:r w:rsidRPr="00A50E4D">
        <w:rPr>
          <w:lang w:val="en-US"/>
        </w:rPr>
        <w:t xml:space="preserve"> 39 precedents that presumably demonstrated the</w:t>
      </w:r>
      <w:r w:rsidR="00C05339" w:rsidRPr="00A50E4D">
        <w:rPr>
          <w:lang w:val="en-US"/>
        </w:rPr>
        <w:t xml:space="preserve"> availability of the remedy; </w:t>
      </w:r>
      <w:r w:rsidR="00BC7FB1" w:rsidRPr="00A50E4D">
        <w:rPr>
          <w:lang w:val="en-US"/>
        </w:rPr>
        <w:t>however</w:t>
      </w:r>
      <w:r w:rsidR="00C05339" w:rsidRPr="00A50E4D">
        <w:rPr>
          <w:lang w:val="en-US"/>
        </w:rPr>
        <w:t>, it</w:t>
      </w:r>
      <w:r w:rsidRPr="00A50E4D">
        <w:rPr>
          <w:lang w:val="en-US"/>
        </w:rPr>
        <w:t xml:space="preserve"> did not provide copies of these cases or </w:t>
      </w:r>
      <w:r w:rsidR="00BC7FB1" w:rsidRPr="00A50E4D">
        <w:rPr>
          <w:lang w:val="en-US"/>
        </w:rPr>
        <w:t>refer</w:t>
      </w:r>
      <w:r w:rsidRPr="00A50E4D">
        <w:rPr>
          <w:lang w:val="en-US"/>
        </w:rPr>
        <w:t xml:space="preserve"> to the grounds used by the respective courts </w:t>
      </w:r>
      <w:r w:rsidR="00BC7FB1" w:rsidRPr="00A50E4D">
        <w:rPr>
          <w:lang w:val="en-US"/>
        </w:rPr>
        <w:t>so as</w:t>
      </w:r>
      <w:r w:rsidRPr="00A50E4D">
        <w:rPr>
          <w:lang w:val="en-US"/>
        </w:rPr>
        <w:t xml:space="preserve"> not to apply a</w:t>
      </w:r>
      <w:r w:rsidR="009808C5" w:rsidRPr="00A50E4D">
        <w:rPr>
          <w:lang w:val="en-US"/>
        </w:rPr>
        <w:t>rticle</w:t>
      </w:r>
      <w:r w:rsidR="00CD37A0" w:rsidRPr="00A50E4D">
        <w:rPr>
          <w:lang w:val="en-US"/>
        </w:rPr>
        <w:t xml:space="preserve"> 31</w:t>
      </w:r>
      <w:r w:rsidR="009808C5" w:rsidRPr="00A50E4D">
        <w:rPr>
          <w:lang w:val="en-US"/>
        </w:rPr>
        <w:t xml:space="preserve"> of </w:t>
      </w:r>
      <w:r w:rsidR="006A756C" w:rsidRPr="00A50E4D">
        <w:rPr>
          <w:lang w:val="en-US"/>
        </w:rPr>
        <w:t xml:space="preserve">the </w:t>
      </w:r>
      <w:r w:rsidR="000E6A0D" w:rsidRPr="00A50E4D">
        <w:rPr>
          <w:lang w:val="en-US"/>
        </w:rPr>
        <w:t>rules of procedure</w:t>
      </w:r>
      <w:r w:rsidR="00EB6155" w:rsidRPr="00A50E4D">
        <w:rPr>
          <w:lang w:val="en-US"/>
        </w:rPr>
        <w:t xml:space="preserve"> of the Judicial Service </w:t>
      </w:r>
      <w:r w:rsidR="000A786A" w:rsidRPr="00A50E4D">
        <w:rPr>
          <w:lang w:val="en-US"/>
        </w:rPr>
        <w:t>Council.</w:t>
      </w:r>
      <w:r w:rsidR="00CD37A0" w:rsidRPr="00A50E4D">
        <w:rPr>
          <w:rStyle w:val="FootnoteReference"/>
          <w:sz w:val="20"/>
          <w:szCs w:val="20"/>
          <w:lang w:val="en-US"/>
        </w:rPr>
        <w:footnoteReference w:id="26"/>
      </w:r>
    </w:p>
    <w:p w14:paraId="5959D727" w14:textId="77777777" w:rsidR="003B54A6" w:rsidRPr="00A50E4D" w:rsidRDefault="003B54A6" w:rsidP="003B54A6">
      <w:pPr>
        <w:rPr>
          <w:lang w:val="en-US" w:eastAsia="es-MX"/>
        </w:rPr>
      </w:pPr>
    </w:p>
    <w:p w14:paraId="669FD639" w14:textId="593A2295" w:rsidR="003B54A6" w:rsidRPr="00A50E4D" w:rsidRDefault="009808C5" w:rsidP="00314E4B">
      <w:pPr>
        <w:pStyle w:val="PrrafodeSentencia"/>
        <w:rPr>
          <w:lang w:val="en-US"/>
        </w:rPr>
      </w:pPr>
      <w:bookmarkStart w:id="69" w:name="_Ref431549422"/>
      <w:r w:rsidRPr="00A50E4D">
        <w:rPr>
          <w:lang w:val="en-US"/>
        </w:rPr>
        <w:t>The Court</w:t>
      </w:r>
      <w:r w:rsidR="00CD37A0" w:rsidRPr="00A50E4D">
        <w:rPr>
          <w:lang w:val="en-US"/>
        </w:rPr>
        <w:t xml:space="preserve"> </w:t>
      </w:r>
      <w:r w:rsidR="00314E4B" w:rsidRPr="00A50E4D">
        <w:rPr>
          <w:lang w:val="en-US"/>
        </w:rPr>
        <w:t>notes that</w:t>
      </w:r>
      <w:r w:rsidR="00CD37A0" w:rsidRPr="00A50E4D">
        <w:rPr>
          <w:lang w:val="en-US"/>
        </w:rPr>
        <w:t xml:space="preserve"> </w:t>
      </w:r>
      <w:r w:rsidR="00314E4B" w:rsidRPr="00A50E4D">
        <w:rPr>
          <w:lang w:val="en-US"/>
        </w:rPr>
        <w:t>the Constitution</w:t>
      </w:r>
      <w:r w:rsidR="00CD37A0" w:rsidRPr="00A50E4D">
        <w:rPr>
          <w:rStyle w:val="FootnoteReference"/>
          <w:sz w:val="20"/>
          <w:szCs w:val="20"/>
          <w:lang w:val="en-US"/>
        </w:rPr>
        <w:footnoteReference w:id="27"/>
      </w:r>
      <w:r w:rsidRPr="00A50E4D">
        <w:rPr>
          <w:lang w:val="en-US"/>
        </w:rPr>
        <w:t xml:space="preserve"> and </w:t>
      </w:r>
      <w:r w:rsidR="00314E4B" w:rsidRPr="00A50E4D">
        <w:rPr>
          <w:lang w:val="en-US"/>
        </w:rPr>
        <w:t>the</w:t>
      </w:r>
      <w:r w:rsidR="00DB21B2" w:rsidRPr="00A50E4D">
        <w:rPr>
          <w:lang w:val="en-US"/>
        </w:rPr>
        <w:t xml:space="preserve"> </w:t>
      </w:r>
      <w:r w:rsidR="009F43F8" w:rsidRPr="00A50E4D">
        <w:rPr>
          <w:lang w:val="en-US"/>
        </w:rPr>
        <w:t>Constitutional Justice Act</w:t>
      </w:r>
      <w:r w:rsidR="00CD37A0" w:rsidRPr="00A50E4D">
        <w:rPr>
          <w:lang w:val="en-US"/>
        </w:rPr>
        <w:t xml:space="preserve"> </w:t>
      </w:r>
      <w:r w:rsidR="00314E4B" w:rsidRPr="00A50E4D">
        <w:rPr>
          <w:lang w:val="en-US"/>
        </w:rPr>
        <w:t>granted</w:t>
      </w:r>
      <w:r w:rsidR="00CD37A0" w:rsidRPr="00A50E4D">
        <w:rPr>
          <w:lang w:val="en-US"/>
        </w:rPr>
        <w:t xml:space="preserve"> </w:t>
      </w:r>
      <w:r w:rsidR="00371BB7" w:rsidRPr="00A50E4D">
        <w:rPr>
          <w:lang w:val="en-US"/>
        </w:rPr>
        <w:t>the presumed victims</w:t>
      </w:r>
      <w:r w:rsidR="00CD37A0" w:rsidRPr="00A50E4D">
        <w:rPr>
          <w:lang w:val="en-US"/>
        </w:rPr>
        <w:t xml:space="preserve"> </w:t>
      </w:r>
      <w:r w:rsidR="00314E4B" w:rsidRPr="00A50E4D">
        <w:rPr>
          <w:lang w:val="en-US"/>
        </w:rPr>
        <w:t xml:space="preserve">the possibility of filing an </w:t>
      </w:r>
      <w:r w:rsidR="006A756C" w:rsidRPr="00A50E4D">
        <w:rPr>
          <w:lang w:val="en-US"/>
        </w:rPr>
        <w:t xml:space="preserve">application for </w:t>
      </w:r>
      <w:r w:rsidR="00B11ACA" w:rsidRPr="00A50E4D">
        <w:rPr>
          <w:i/>
          <w:lang w:val="en-US"/>
        </w:rPr>
        <w:t>amparo</w:t>
      </w:r>
      <w:r w:rsidR="00314E4B" w:rsidRPr="00A50E4D">
        <w:rPr>
          <w:lang w:val="en-US"/>
        </w:rPr>
        <w:t>.</w:t>
      </w:r>
      <w:r w:rsidR="00CD37A0" w:rsidRPr="00A50E4D">
        <w:rPr>
          <w:rStyle w:val="FootnoteReference"/>
          <w:sz w:val="20"/>
          <w:szCs w:val="20"/>
          <w:lang w:val="en-US"/>
        </w:rPr>
        <w:footnoteReference w:id="28"/>
      </w:r>
      <w:r w:rsidR="00314E4B" w:rsidRPr="00A50E4D">
        <w:rPr>
          <w:lang w:val="en-US"/>
        </w:rPr>
        <w:t xml:space="preserve"> However, </w:t>
      </w:r>
      <w:r w:rsidR="00BC7FB1" w:rsidRPr="00A50E4D">
        <w:rPr>
          <w:lang w:val="en-US"/>
        </w:rPr>
        <w:t>since</w:t>
      </w:r>
      <w:r w:rsidR="00B51D96" w:rsidRPr="00A50E4D">
        <w:rPr>
          <w:lang w:val="en-US"/>
        </w:rPr>
        <w:t xml:space="preserve"> </w:t>
      </w:r>
      <w:r w:rsidR="00314E4B" w:rsidRPr="00A50E4D">
        <w:rPr>
          <w:lang w:val="en-US"/>
        </w:rPr>
        <w:t>a</w:t>
      </w:r>
      <w:r w:rsidRPr="00A50E4D">
        <w:rPr>
          <w:lang w:val="en-US"/>
        </w:rPr>
        <w:t>rticle</w:t>
      </w:r>
      <w:r w:rsidR="00CD37A0" w:rsidRPr="00A50E4D">
        <w:rPr>
          <w:lang w:val="en-US"/>
        </w:rPr>
        <w:t xml:space="preserve"> 31</w:t>
      </w:r>
      <w:r w:rsidRPr="00A50E4D">
        <w:rPr>
          <w:lang w:val="en-US"/>
        </w:rPr>
        <w:t xml:space="preserve"> of </w:t>
      </w:r>
      <w:r w:rsidR="006A756C" w:rsidRPr="00A50E4D">
        <w:rPr>
          <w:lang w:val="en-US"/>
        </w:rPr>
        <w:t xml:space="preserve">the </w:t>
      </w:r>
      <w:r w:rsidR="000E6A0D" w:rsidRPr="00A50E4D">
        <w:rPr>
          <w:lang w:val="en-US"/>
        </w:rPr>
        <w:t>rules of procedure</w:t>
      </w:r>
      <w:r w:rsidR="00EB6155" w:rsidRPr="00A50E4D">
        <w:rPr>
          <w:lang w:val="en-US"/>
        </w:rPr>
        <w:t xml:space="preserve"> o</w:t>
      </w:r>
      <w:r w:rsidR="00C05339" w:rsidRPr="00A50E4D">
        <w:rPr>
          <w:lang w:val="en-US"/>
        </w:rPr>
        <w:t xml:space="preserve">f the Judicial Service Council </w:t>
      </w:r>
      <w:r w:rsidR="00314E4B" w:rsidRPr="00A50E4D">
        <w:rPr>
          <w:lang w:val="en-US"/>
        </w:rPr>
        <w:t xml:space="preserve">established that </w:t>
      </w:r>
      <w:r w:rsidR="00314E4B" w:rsidRPr="00A50E4D">
        <w:rPr>
          <w:szCs w:val="20"/>
          <w:lang w:val="en-US"/>
        </w:rPr>
        <w:t>“[n]o ordinary or special appeal shall be admissible against the final decisions of the [</w:t>
      </w:r>
      <w:r w:rsidR="00314E4B" w:rsidRPr="00A50E4D">
        <w:rPr>
          <w:lang w:val="en-US"/>
        </w:rPr>
        <w:t>Judicial Service]</w:t>
      </w:r>
      <w:r w:rsidR="00314E4B" w:rsidRPr="00A50E4D">
        <w:rPr>
          <w:szCs w:val="20"/>
          <w:lang w:val="en-US"/>
        </w:rPr>
        <w:t xml:space="preserve"> Council,” it could be interpreted that</w:t>
      </w:r>
      <w:r w:rsidR="00C05339" w:rsidRPr="00A50E4D">
        <w:rPr>
          <w:szCs w:val="20"/>
          <w:lang w:val="en-US"/>
        </w:rPr>
        <w:t xml:space="preserve"> it was not possible to file an</w:t>
      </w:r>
      <w:r w:rsidR="00314E4B" w:rsidRPr="00A50E4D">
        <w:rPr>
          <w:szCs w:val="20"/>
          <w:lang w:val="en-US"/>
        </w:rPr>
        <w:t xml:space="preserve"> </w:t>
      </w:r>
      <w:r w:rsidR="00314E4B" w:rsidRPr="00A50E4D">
        <w:rPr>
          <w:lang w:val="en-US"/>
        </w:rPr>
        <w:t xml:space="preserve">application for </w:t>
      </w:r>
      <w:r w:rsidR="00B11ACA" w:rsidRPr="00A50E4D">
        <w:rPr>
          <w:i/>
          <w:lang w:val="en-US"/>
        </w:rPr>
        <w:t>amparo</w:t>
      </w:r>
      <w:r w:rsidR="00314E4B" w:rsidRPr="00A50E4D">
        <w:rPr>
          <w:lang w:val="en-US"/>
        </w:rPr>
        <w:t>.</w:t>
      </w:r>
      <w:r w:rsidR="00314E4B" w:rsidRPr="00A50E4D">
        <w:rPr>
          <w:rStyle w:val="FootnoteReference"/>
          <w:rFonts w:cs="Arial"/>
          <w:sz w:val="20"/>
          <w:szCs w:val="20"/>
          <w:lang w:val="en-US"/>
        </w:rPr>
        <w:footnoteReference w:id="29"/>
      </w:r>
      <w:r w:rsidR="00314E4B" w:rsidRPr="00A50E4D">
        <w:rPr>
          <w:lang w:val="en-US"/>
        </w:rPr>
        <w:t xml:space="preserve"> Given the uncertainty arising from the prohibition establi</w:t>
      </w:r>
      <w:r w:rsidR="00BC7FB1" w:rsidRPr="00A50E4D">
        <w:rPr>
          <w:lang w:val="en-US"/>
        </w:rPr>
        <w:t>shed in</w:t>
      </w:r>
      <w:r w:rsidR="00314E4B" w:rsidRPr="00A50E4D">
        <w:rPr>
          <w:lang w:val="en-US"/>
        </w:rPr>
        <w:t xml:space="preserve"> article 31 of the said rules of procedure, the presumed victims could not be required to exhaust the application for </w:t>
      </w:r>
      <w:r w:rsidR="00B11ACA" w:rsidRPr="00A50E4D">
        <w:rPr>
          <w:i/>
          <w:lang w:val="en-US"/>
        </w:rPr>
        <w:t>amparo</w:t>
      </w:r>
      <w:r w:rsidR="00314E4B" w:rsidRPr="00A50E4D">
        <w:rPr>
          <w:lang w:val="en-US"/>
        </w:rPr>
        <w:t xml:space="preserve"> as a requirement of admissibility. Furthermore, the State did not </w:t>
      </w:r>
      <w:r w:rsidR="000A786A" w:rsidRPr="00A50E4D">
        <w:rPr>
          <w:lang w:val="en-US"/>
        </w:rPr>
        <w:t>indicate</w:t>
      </w:r>
      <w:r w:rsidR="00314E4B" w:rsidRPr="00A50E4D">
        <w:rPr>
          <w:lang w:val="en-US"/>
        </w:rPr>
        <w:t xml:space="preserve"> why the said article 31 had not been expressly an</w:t>
      </w:r>
      <w:r w:rsidR="00BC7FB1" w:rsidRPr="00A50E4D">
        <w:rPr>
          <w:lang w:val="en-US"/>
        </w:rPr>
        <w:t xml:space="preserve">nulled. It </w:t>
      </w:r>
      <w:r w:rsidR="00314E4B" w:rsidRPr="00A50E4D">
        <w:rPr>
          <w:lang w:val="en-US"/>
        </w:rPr>
        <w:t xml:space="preserve">should </w:t>
      </w:r>
      <w:r w:rsidR="00BC7FB1" w:rsidRPr="00A50E4D">
        <w:rPr>
          <w:lang w:val="en-US"/>
        </w:rPr>
        <w:t xml:space="preserve">also </w:t>
      </w:r>
      <w:r w:rsidR="00314E4B" w:rsidRPr="00A50E4D">
        <w:rPr>
          <w:lang w:val="en-US"/>
        </w:rPr>
        <w:t>be emphasized that, during the admissibility stage of the proce</w:t>
      </w:r>
      <w:r w:rsidR="00C05339" w:rsidRPr="00A50E4D">
        <w:rPr>
          <w:lang w:val="en-US"/>
        </w:rPr>
        <w:t>dure</w:t>
      </w:r>
      <w:r w:rsidR="00314E4B" w:rsidRPr="00A50E4D">
        <w:rPr>
          <w:lang w:val="en-US"/>
        </w:rPr>
        <w:t xml:space="preserve"> before the Commission, the State </w:t>
      </w:r>
      <w:r w:rsidR="00BC7FB1" w:rsidRPr="00A50E4D">
        <w:rPr>
          <w:lang w:val="en-US"/>
        </w:rPr>
        <w:t>failed to</w:t>
      </w:r>
      <w:r w:rsidR="00314E4B" w:rsidRPr="00A50E4D">
        <w:rPr>
          <w:lang w:val="en-US"/>
        </w:rPr>
        <w:t xml:space="preserve"> prove that article 31 of the said rules of procedure was not applicable in practice. The mere reference to the names and basic information of precedents of cases where application</w:t>
      </w:r>
      <w:r w:rsidR="00C05339" w:rsidRPr="00A50E4D">
        <w:rPr>
          <w:lang w:val="en-US"/>
        </w:rPr>
        <w:t>s</w:t>
      </w:r>
      <w:r w:rsidR="00314E4B" w:rsidRPr="00A50E4D">
        <w:rPr>
          <w:lang w:val="en-US"/>
        </w:rPr>
        <w:t xml:space="preserve"> for </w:t>
      </w:r>
      <w:r w:rsidR="00B11ACA" w:rsidRPr="00A50E4D">
        <w:rPr>
          <w:i/>
          <w:lang w:val="en-US"/>
        </w:rPr>
        <w:t>amparo</w:t>
      </w:r>
      <w:r w:rsidR="00314E4B" w:rsidRPr="00A50E4D">
        <w:rPr>
          <w:lang w:val="en-US"/>
        </w:rPr>
        <w:t xml:space="preserve"> had been decided against decisions of the Judicial Service Council was insufficient. The Court recalls that, when arguing the failure to exhaust domestic </w:t>
      </w:r>
      <w:r w:rsidR="00314E4B" w:rsidRPr="00A50E4D">
        <w:rPr>
          <w:lang w:val="en-US"/>
        </w:rPr>
        <w:lastRenderedPageBreak/>
        <w:t>remedies, the State has the burden of specifying, at the proper opportunity</w:t>
      </w:r>
      <w:r w:rsidR="00C05339" w:rsidRPr="00A50E4D">
        <w:rPr>
          <w:lang w:val="en-US"/>
        </w:rPr>
        <w:t>,</w:t>
      </w:r>
      <w:r w:rsidR="00314E4B" w:rsidRPr="00A50E4D">
        <w:rPr>
          <w:lang w:val="en-US"/>
        </w:rPr>
        <w:t xml:space="preserve"> the </w:t>
      </w:r>
      <w:r w:rsidR="000A786A" w:rsidRPr="00A50E4D">
        <w:rPr>
          <w:lang w:val="en-US"/>
        </w:rPr>
        <w:t>domestic remedies</w:t>
      </w:r>
      <w:r w:rsidR="00314E4B" w:rsidRPr="00A50E4D">
        <w:rPr>
          <w:lang w:val="en-US"/>
        </w:rPr>
        <w:t xml:space="preserve"> that remain to be exhausted, and demonstrating that those remedies were available and adequate, appropriate and effective</w:t>
      </w:r>
      <w:r w:rsidR="00CD37A0" w:rsidRPr="00A50E4D">
        <w:rPr>
          <w:lang w:val="en-US"/>
        </w:rPr>
        <w:t xml:space="preserve"> (</w:t>
      </w:r>
      <w:r w:rsidR="00CD37A0" w:rsidRPr="00A50E4D">
        <w:rPr>
          <w:i/>
          <w:lang w:val="en-US"/>
        </w:rPr>
        <w:t xml:space="preserve">supra </w:t>
      </w:r>
      <w:r w:rsidR="00AD5EE7" w:rsidRPr="00A50E4D">
        <w:rPr>
          <w:lang w:val="en-US"/>
        </w:rPr>
        <w:t>paras.</w:t>
      </w:r>
      <w:r w:rsidR="00CD37A0" w:rsidRPr="00A50E4D">
        <w:rPr>
          <w:lang w:val="en-US"/>
        </w:rPr>
        <w:t xml:space="preserve"> </w:t>
      </w:r>
      <w:r w:rsidR="00FA182C" w:rsidRPr="008136A0">
        <w:rPr>
          <w:lang w:val="en-US"/>
        </w:rPr>
        <w:fldChar w:fldCharType="begin"/>
      </w:r>
      <w:r w:rsidR="00FA182C" w:rsidRPr="00A50E4D">
        <w:rPr>
          <w:lang w:val="en-US"/>
        </w:rPr>
        <w:instrText xml:space="preserve"> REF _Ref434494745 \r \h </w:instrText>
      </w:r>
      <w:r w:rsidR="00EA20A5" w:rsidRPr="00A50E4D">
        <w:rPr>
          <w:lang w:val="en-US"/>
        </w:rPr>
        <w:instrText xml:space="preserve"> \* MERGEFORMAT </w:instrText>
      </w:r>
      <w:r w:rsidR="00FA182C" w:rsidRPr="008136A0">
        <w:rPr>
          <w:lang w:val="en-US"/>
        </w:rPr>
      </w:r>
      <w:r w:rsidR="00FA182C" w:rsidRPr="008136A0">
        <w:rPr>
          <w:lang w:val="en-US"/>
        </w:rPr>
        <w:fldChar w:fldCharType="separate"/>
      </w:r>
      <w:r w:rsidR="00547588">
        <w:rPr>
          <w:lang w:val="en-US"/>
        </w:rPr>
        <w:t>20</w:t>
      </w:r>
      <w:r w:rsidR="00FA182C" w:rsidRPr="008136A0">
        <w:rPr>
          <w:lang w:val="en-US"/>
        </w:rPr>
        <w:fldChar w:fldCharType="end"/>
      </w:r>
      <w:r w:rsidRPr="00A50E4D">
        <w:rPr>
          <w:lang w:val="en-US"/>
        </w:rPr>
        <w:t xml:space="preserve"> and </w:t>
      </w:r>
      <w:r w:rsidR="00C721D2" w:rsidRPr="008136A0">
        <w:rPr>
          <w:lang w:val="en-US"/>
        </w:rPr>
        <w:fldChar w:fldCharType="begin"/>
      </w:r>
      <w:r w:rsidR="00C721D2" w:rsidRPr="00A50E4D">
        <w:rPr>
          <w:lang w:val="en-US"/>
        </w:rPr>
        <w:instrText xml:space="preserve"> REF _Ref425947766 \r \h  \* MERGEFORMAT </w:instrText>
      </w:r>
      <w:r w:rsidR="00C721D2" w:rsidRPr="008136A0">
        <w:rPr>
          <w:lang w:val="en-US"/>
        </w:rPr>
      </w:r>
      <w:r w:rsidR="00C721D2" w:rsidRPr="008136A0">
        <w:rPr>
          <w:lang w:val="en-US"/>
        </w:rPr>
        <w:fldChar w:fldCharType="separate"/>
      </w:r>
      <w:r w:rsidR="00547588">
        <w:rPr>
          <w:lang w:val="en-US"/>
        </w:rPr>
        <w:t>21</w:t>
      </w:r>
      <w:r w:rsidR="00C721D2" w:rsidRPr="008136A0">
        <w:rPr>
          <w:lang w:val="en-US"/>
        </w:rPr>
        <w:fldChar w:fldCharType="end"/>
      </w:r>
      <w:r w:rsidR="00CD37A0" w:rsidRPr="00A50E4D">
        <w:rPr>
          <w:lang w:val="en-US"/>
        </w:rPr>
        <w:t xml:space="preserve">). </w:t>
      </w:r>
      <w:r w:rsidRPr="00A50E4D">
        <w:rPr>
          <w:lang w:val="en-US"/>
        </w:rPr>
        <w:t>The Court</w:t>
      </w:r>
      <w:r w:rsidR="00CD37A0" w:rsidRPr="00A50E4D">
        <w:rPr>
          <w:lang w:val="en-US"/>
        </w:rPr>
        <w:t xml:space="preserve"> </w:t>
      </w:r>
      <w:r w:rsidR="00314E4B" w:rsidRPr="00A50E4D">
        <w:rPr>
          <w:lang w:val="en-US"/>
        </w:rPr>
        <w:t>notes that, in this case, the State did not comply with this burden of proof.</w:t>
      </w:r>
      <w:bookmarkEnd w:id="69"/>
    </w:p>
    <w:p w14:paraId="1CEA277E" w14:textId="77777777" w:rsidR="003B54A6" w:rsidRPr="00A50E4D" w:rsidRDefault="003B54A6" w:rsidP="003B54A6">
      <w:pPr>
        <w:rPr>
          <w:lang w:val="en-US" w:eastAsia="es-MX"/>
        </w:rPr>
      </w:pPr>
    </w:p>
    <w:p w14:paraId="55C65594" w14:textId="68C8F532" w:rsidR="00353204" w:rsidRPr="00A50E4D" w:rsidRDefault="00314E4B" w:rsidP="003D717E">
      <w:pPr>
        <w:pStyle w:val="PrrafodeSentencia"/>
        <w:rPr>
          <w:lang w:val="en-US"/>
        </w:rPr>
      </w:pPr>
      <w:bookmarkStart w:id="70" w:name="_Ref431392413"/>
      <w:r w:rsidRPr="00A50E4D">
        <w:rPr>
          <w:lang w:val="en-US"/>
        </w:rPr>
        <w:t xml:space="preserve">Based on the above </w:t>
      </w:r>
      <w:r w:rsidR="001D6DF6" w:rsidRPr="00A50E4D">
        <w:rPr>
          <w:lang w:val="en-US"/>
        </w:rPr>
        <w:t>considerations</w:t>
      </w:r>
      <w:r w:rsidR="00CD37A0" w:rsidRPr="00A50E4D">
        <w:rPr>
          <w:lang w:val="en-US"/>
        </w:rPr>
        <w:t xml:space="preserve">, </w:t>
      </w:r>
      <w:r w:rsidR="009808C5" w:rsidRPr="00A50E4D">
        <w:rPr>
          <w:lang w:val="en-US"/>
        </w:rPr>
        <w:t>the Court</w:t>
      </w:r>
      <w:r w:rsidR="00CD37A0" w:rsidRPr="00A50E4D">
        <w:rPr>
          <w:lang w:val="en-US"/>
        </w:rPr>
        <w:t xml:space="preserve"> </w:t>
      </w:r>
      <w:r w:rsidRPr="00A50E4D">
        <w:rPr>
          <w:lang w:val="en-US"/>
        </w:rPr>
        <w:t xml:space="preserve">rejects the </w:t>
      </w:r>
      <w:r w:rsidR="009808C5" w:rsidRPr="00A50E4D">
        <w:rPr>
          <w:lang w:val="en-US"/>
        </w:rPr>
        <w:t>preliminary objection</w:t>
      </w:r>
      <w:r w:rsidRPr="00A50E4D">
        <w:rPr>
          <w:lang w:val="en-US"/>
        </w:rPr>
        <w:t xml:space="preserve"> filed by the State.</w:t>
      </w:r>
      <w:bookmarkEnd w:id="70"/>
    </w:p>
    <w:p w14:paraId="6C92D6C3" w14:textId="77777777" w:rsidR="00313267" w:rsidRPr="00A50E4D" w:rsidRDefault="00313267" w:rsidP="00313267">
      <w:pPr>
        <w:rPr>
          <w:lang w:val="en-US" w:eastAsia="es-MX"/>
        </w:rPr>
      </w:pPr>
    </w:p>
    <w:p w14:paraId="34CDF5B8" w14:textId="77777777" w:rsidR="003D717E" w:rsidRPr="00A50E4D" w:rsidRDefault="003D717E" w:rsidP="003D717E">
      <w:pPr>
        <w:pStyle w:val="Heading1"/>
        <w:rPr>
          <w:spacing w:val="-4"/>
          <w:lang w:val="en-US"/>
        </w:rPr>
      </w:pPr>
      <w:bookmarkStart w:id="71" w:name="_Toc424834688"/>
      <w:bookmarkStart w:id="72" w:name="_Toc427932794"/>
      <w:bookmarkStart w:id="73" w:name="_Toc431584611"/>
      <w:bookmarkStart w:id="74" w:name="_Toc471717244"/>
      <w:r w:rsidRPr="00A50E4D">
        <w:rPr>
          <w:spacing w:val="-4"/>
          <w:lang w:val="en-US"/>
        </w:rPr>
        <w:t>V</w:t>
      </w:r>
      <w:bookmarkEnd w:id="71"/>
      <w:bookmarkEnd w:id="72"/>
      <w:bookmarkEnd w:id="73"/>
      <w:bookmarkEnd w:id="74"/>
    </w:p>
    <w:p w14:paraId="5C585D59" w14:textId="53759808" w:rsidR="003D717E" w:rsidRPr="00A50E4D" w:rsidRDefault="00A3368B" w:rsidP="003D717E">
      <w:pPr>
        <w:pStyle w:val="Heading1"/>
        <w:rPr>
          <w:spacing w:val="-4"/>
          <w:lang w:val="en-US"/>
        </w:rPr>
      </w:pPr>
      <w:bookmarkStart w:id="75" w:name="_Toc471717245"/>
      <w:r w:rsidRPr="00A50E4D">
        <w:rPr>
          <w:spacing w:val="-4"/>
          <w:lang w:val="en-US"/>
        </w:rPr>
        <w:t>EVIDENCE</w:t>
      </w:r>
      <w:bookmarkEnd w:id="75"/>
    </w:p>
    <w:p w14:paraId="45020070" w14:textId="77777777" w:rsidR="003D717E" w:rsidRPr="00A50E4D" w:rsidRDefault="003D717E" w:rsidP="003D717E">
      <w:pPr>
        <w:pStyle w:val="NoSpacing"/>
        <w:jc w:val="center"/>
        <w:rPr>
          <w:b/>
          <w:spacing w:val="-4"/>
          <w:szCs w:val="20"/>
          <w:lang w:val="en-US" w:eastAsia="es-MX"/>
        </w:rPr>
      </w:pPr>
    </w:p>
    <w:p w14:paraId="78D7B21C" w14:textId="5C376B45" w:rsidR="003D717E" w:rsidRPr="00A50E4D" w:rsidRDefault="003D717E" w:rsidP="003D717E">
      <w:pPr>
        <w:pStyle w:val="Heading2"/>
        <w:rPr>
          <w:spacing w:val="-4"/>
          <w:lang w:val="en-US"/>
        </w:rPr>
      </w:pPr>
      <w:bookmarkStart w:id="76" w:name="_Toc424834690"/>
      <w:bookmarkStart w:id="77" w:name="_Toc427932796"/>
      <w:bookmarkStart w:id="78" w:name="_Toc431584613"/>
      <w:bookmarkStart w:id="79" w:name="_Toc471717246"/>
      <w:r w:rsidRPr="00A50E4D">
        <w:rPr>
          <w:spacing w:val="-4"/>
          <w:lang w:val="en-US"/>
        </w:rPr>
        <w:t xml:space="preserve">A. </w:t>
      </w:r>
      <w:r w:rsidR="00A3368B" w:rsidRPr="00A50E4D">
        <w:rPr>
          <w:spacing w:val="-4"/>
          <w:lang w:val="en-US"/>
        </w:rPr>
        <w:t>Documentary, testimonial and expert evidence</w:t>
      </w:r>
      <w:bookmarkEnd w:id="49"/>
      <w:bookmarkEnd w:id="50"/>
      <w:bookmarkEnd w:id="51"/>
      <w:bookmarkEnd w:id="52"/>
      <w:bookmarkEnd w:id="76"/>
      <w:bookmarkEnd w:id="77"/>
      <w:bookmarkEnd w:id="78"/>
      <w:bookmarkEnd w:id="79"/>
    </w:p>
    <w:p w14:paraId="05D8CBD2" w14:textId="77777777" w:rsidR="003D717E" w:rsidRPr="00A50E4D" w:rsidRDefault="003D717E" w:rsidP="004D030C">
      <w:pPr>
        <w:rPr>
          <w:spacing w:val="-4"/>
          <w:lang w:val="en-US"/>
        </w:rPr>
      </w:pPr>
    </w:p>
    <w:p w14:paraId="690FDD47" w14:textId="434DD8CC" w:rsidR="003D717E" w:rsidRPr="00A50E4D" w:rsidRDefault="00E06E5C" w:rsidP="003D717E">
      <w:pPr>
        <w:pStyle w:val="PrrafodeSentencia"/>
        <w:rPr>
          <w:lang w:val="en-US"/>
        </w:rPr>
      </w:pPr>
      <w:r w:rsidRPr="00A50E4D">
        <w:rPr>
          <w:lang w:val="en-US"/>
        </w:rPr>
        <w:t>The</w:t>
      </w:r>
      <w:r w:rsidR="00A3368B" w:rsidRPr="00A50E4D">
        <w:rPr>
          <w:lang w:val="en-US"/>
        </w:rPr>
        <w:t xml:space="preserve"> Court has received d</w:t>
      </w:r>
      <w:r w:rsidR="00834616" w:rsidRPr="00A50E4D">
        <w:rPr>
          <w:lang w:val="en-US"/>
        </w:rPr>
        <w:t>iverse</w:t>
      </w:r>
      <w:r w:rsidR="00A3368B" w:rsidRPr="00A50E4D">
        <w:rPr>
          <w:lang w:val="en-US"/>
        </w:rPr>
        <w:t xml:space="preserve"> documents presented as evidence by </w:t>
      </w:r>
      <w:r w:rsidR="009808C5" w:rsidRPr="00A50E4D">
        <w:rPr>
          <w:lang w:val="en-US"/>
        </w:rPr>
        <w:t xml:space="preserve">the Commission and </w:t>
      </w:r>
      <w:r w:rsidR="00A3368B" w:rsidRPr="00A50E4D">
        <w:rPr>
          <w:lang w:val="en-US"/>
        </w:rPr>
        <w:t xml:space="preserve">the parties attached to their main briefs </w:t>
      </w:r>
      <w:r w:rsidR="003D717E" w:rsidRPr="00A50E4D">
        <w:rPr>
          <w:lang w:val="en-US"/>
        </w:rPr>
        <w:t>(</w:t>
      </w:r>
      <w:r w:rsidR="003D717E" w:rsidRPr="00A50E4D">
        <w:rPr>
          <w:i/>
          <w:lang w:val="en-US"/>
        </w:rPr>
        <w:t xml:space="preserve">supra </w:t>
      </w:r>
      <w:r w:rsidR="00AD5EE7" w:rsidRPr="00A50E4D">
        <w:rPr>
          <w:lang w:val="en-US"/>
        </w:rPr>
        <w:t>paras.</w:t>
      </w:r>
      <w:r w:rsidR="00C13A10" w:rsidRPr="00A50E4D">
        <w:rPr>
          <w:lang w:val="en-US"/>
        </w:rPr>
        <w:t xml:space="preserve"> </w:t>
      </w:r>
      <w:r w:rsidR="00C13A10" w:rsidRPr="008136A0">
        <w:rPr>
          <w:lang w:val="en-US"/>
        </w:rPr>
        <w:fldChar w:fldCharType="begin"/>
      </w:r>
      <w:r w:rsidR="00C13A10" w:rsidRPr="00A50E4D">
        <w:rPr>
          <w:lang w:val="en-US"/>
        </w:rPr>
        <w:instrText xml:space="preserve"> REF _Ref308343890 \r \h </w:instrText>
      </w:r>
      <w:r w:rsidR="00EA20A5" w:rsidRPr="00A50E4D">
        <w:rPr>
          <w:lang w:val="en-US"/>
        </w:rPr>
        <w:instrText xml:space="preserve"> \* MERGEFORMAT </w:instrText>
      </w:r>
      <w:r w:rsidR="00C13A10" w:rsidRPr="008136A0">
        <w:rPr>
          <w:lang w:val="en-US"/>
        </w:rPr>
      </w:r>
      <w:r w:rsidR="00C13A10" w:rsidRPr="008136A0">
        <w:rPr>
          <w:lang w:val="en-US"/>
        </w:rPr>
        <w:fldChar w:fldCharType="separate"/>
      </w:r>
      <w:r w:rsidR="00547588">
        <w:rPr>
          <w:lang w:val="en-US"/>
        </w:rPr>
        <w:t>1</w:t>
      </w:r>
      <w:r w:rsidR="00C13A10" w:rsidRPr="008136A0">
        <w:rPr>
          <w:lang w:val="en-US"/>
        </w:rPr>
        <w:fldChar w:fldCharType="end"/>
      </w:r>
      <w:r w:rsidR="00C13A10" w:rsidRPr="00A50E4D">
        <w:rPr>
          <w:lang w:val="en-US"/>
        </w:rPr>
        <w:t xml:space="preserve">, </w:t>
      </w:r>
      <w:r w:rsidR="00C13A10" w:rsidRPr="008136A0">
        <w:rPr>
          <w:lang w:val="en-US"/>
        </w:rPr>
        <w:fldChar w:fldCharType="begin"/>
      </w:r>
      <w:r w:rsidR="00C13A10" w:rsidRPr="00A50E4D">
        <w:rPr>
          <w:lang w:val="en-US"/>
        </w:rPr>
        <w:instrText xml:space="preserve"> REF _Ref308343867 \r \h </w:instrText>
      </w:r>
      <w:r w:rsidR="00EA20A5" w:rsidRPr="00A50E4D">
        <w:rPr>
          <w:lang w:val="en-US"/>
        </w:rPr>
        <w:instrText xml:space="preserve"> \* MERGEFORMAT </w:instrText>
      </w:r>
      <w:r w:rsidR="00C13A10" w:rsidRPr="008136A0">
        <w:rPr>
          <w:lang w:val="en-US"/>
        </w:rPr>
      </w:r>
      <w:r w:rsidR="00C13A10" w:rsidRPr="008136A0">
        <w:rPr>
          <w:lang w:val="en-US"/>
        </w:rPr>
        <w:fldChar w:fldCharType="separate"/>
      </w:r>
      <w:r w:rsidR="00547588">
        <w:rPr>
          <w:lang w:val="en-US"/>
        </w:rPr>
        <w:t>6</w:t>
      </w:r>
      <w:r w:rsidR="00C13A10" w:rsidRPr="008136A0">
        <w:rPr>
          <w:lang w:val="en-US"/>
        </w:rPr>
        <w:fldChar w:fldCharType="end"/>
      </w:r>
      <w:r w:rsidR="009808C5" w:rsidRPr="00A50E4D">
        <w:rPr>
          <w:lang w:val="en-US"/>
        </w:rPr>
        <w:t xml:space="preserve"> and </w:t>
      </w:r>
      <w:r w:rsidR="00C13A10" w:rsidRPr="008136A0">
        <w:rPr>
          <w:lang w:val="en-US"/>
        </w:rPr>
        <w:fldChar w:fldCharType="begin"/>
      </w:r>
      <w:r w:rsidR="00C13A10" w:rsidRPr="00A50E4D">
        <w:rPr>
          <w:lang w:val="en-US"/>
        </w:rPr>
        <w:instrText xml:space="preserve"> REF _Ref308343874 \r \h </w:instrText>
      </w:r>
      <w:r w:rsidR="00EA20A5" w:rsidRPr="00A50E4D">
        <w:rPr>
          <w:lang w:val="en-US"/>
        </w:rPr>
        <w:instrText xml:space="preserve"> \* MERGEFORMAT </w:instrText>
      </w:r>
      <w:r w:rsidR="00C13A10" w:rsidRPr="008136A0">
        <w:rPr>
          <w:lang w:val="en-US"/>
        </w:rPr>
      </w:r>
      <w:r w:rsidR="00C13A10" w:rsidRPr="008136A0">
        <w:rPr>
          <w:lang w:val="en-US"/>
        </w:rPr>
        <w:fldChar w:fldCharType="separate"/>
      </w:r>
      <w:r w:rsidR="00547588">
        <w:rPr>
          <w:lang w:val="en-US"/>
        </w:rPr>
        <w:t>7</w:t>
      </w:r>
      <w:r w:rsidR="00C13A10" w:rsidRPr="008136A0">
        <w:rPr>
          <w:lang w:val="en-US"/>
        </w:rPr>
        <w:fldChar w:fldCharType="end"/>
      </w:r>
      <w:r w:rsidR="003D717E" w:rsidRPr="00A50E4D">
        <w:rPr>
          <w:lang w:val="en-US"/>
        </w:rPr>
        <w:t xml:space="preserve">). </w:t>
      </w:r>
      <w:r w:rsidR="00A3368B" w:rsidRPr="00A50E4D">
        <w:rPr>
          <w:lang w:val="en-US"/>
        </w:rPr>
        <w:t>Similarly, the Cour</w:t>
      </w:r>
      <w:r w:rsidR="00834616" w:rsidRPr="00A50E4D">
        <w:rPr>
          <w:lang w:val="en-US"/>
        </w:rPr>
        <w:t>t has received from the parties</w:t>
      </w:r>
      <w:r w:rsidR="00A3368B" w:rsidRPr="00A50E4D">
        <w:rPr>
          <w:lang w:val="en-US"/>
        </w:rPr>
        <w:t xml:space="preserve"> documents requested by the Court’s judges as helpful evidence </w:t>
      </w:r>
      <w:r w:rsidR="00834616" w:rsidRPr="00A50E4D">
        <w:rPr>
          <w:lang w:val="en-US"/>
        </w:rPr>
        <w:t>under</w:t>
      </w:r>
      <w:r w:rsidR="00A3368B" w:rsidRPr="00A50E4D">
        <w:rPr>
          <w:lang w:val="en-US"/>
        </w:rPr>
        <w:t xml:space="preserve"> </w:t>
      </w:r>
      <w:r w:rsidR="009808C5" w:rsidRPr="00A50E4D">
        <w:rPr>
          <w:lang w:val="en-US"/>
        </w:rPr>
        <w:t>Article</w:t>
      </w:r>
      <w:r w:rsidR="003D717E" w:rsidRPr="00A50E4D">
        <w:rPr>
          <w:lang w:val="en-US"/>
        </w:rPr>
        <w:t xml:space="preserve"> 58</w:t>
      </w:r>
      <w:r w:rsidR="009808C5" w:rsidRPr="00A50E4D">
        <w:rPr>
          <w:lang w:val="en-US"/>
        </w:rPr>
        <w:t xml:space="preserve"> of the Rules of Procedure</w:t>
      </w:r>
      <w:r w:rsidR="003D717E" w:rsidRPr="00A50E4D">
        <w:rPr>
          <w:lang w:val="en-US"/>
        </w:rPr>
        <w:t xml:space="preserve">. </w:t>
      </w:r>
      <w:r w:rsidR="00A3368B" w:rsidRPr="00A50E4D">
        <w:rPr>
          <w:lang w:val="en-US"/>
        </w:rPr>
        <w:t xml:space="preserve">The </w:t>
      </w:r>
      <w:r w:rsidR="009808C5" w:rsidRPr="00A50E4D">
        <w:rPr>
          <w:lang w:val="en-US"/>
        </w:rPr>
        <w:t>Court</w:t>
      </w:r>
      <w:r w:rsidR="003D717E" w:rsidRPr="00A50E4D">
        <w:rPr>
          <w:lang w:val="en-US"/>
        </w:rPr>
        <w:t xml:space="preserve"> </w:t>
      </w:r>
      <w:r w:rsidR="00A3368B" w:rsidRPr="00A50E4D">
        <w:rPr>
          <w:lang w:val="en-US"/>
        </w:rPr>
        <w:t xml:space="preserve">has also </w:t>
      </w:r>
      <w:r w:rsidR="00834616" w:rsidRPr="00A50E4D">
        <w:rPr>
          <w:lang w:val="en-US"/>
        </w:rPr>
        <w:t>received the affidavits made by</w:t>
      </w:r>
      <w:r w:rsidR="003D717E" w:rsidRPr="00A50E4D">
        <w:rPr>
          <w:lang w:val="en-US"/>
        </w:rPr>
        <w:t xml:space="preserve"> </w:t>
      </w:r>
      <w:r w:rsidR="00371BB7" w:rsidRPr="00A50E4D">
        <w:rPr>
          <w:lang w:val="en-US"/>
        </w:rPr>
        <w:t>presumed victims</w:t>
      </w:r>
      <w:r w:rsidR="003D717E" w:rsidRPr="00A50E4D">
        <w:rPr>
          <w:lang w:val="en-US"/>
        </w:rPr>
        <w:t xml:space="preserve"> Luis Alonso </w:t>
      </w:r>
      <w:r w:rsidR="009A7056" w:rsidRPr="00A50E4D">
        <w:rPr>
          <w:lang w:val="en-US"/>
        </w:rPr>
        <w:t>Chévez de la Rocha</w:t>
      </w:r>
      <w:r w:rsidR="003D717E" w:rsidRPr="00A50E4D">
        <w:rPr>
          <w:lang w:val="en-US"/>
        </w:rPr>
        <w:t xml:space="preserve">, </w:t>
      </w:r>
      <w:r w:rsidR="008217D7" w:rsidRPr="00A50E4D">
        <w:rPr>
          <w:lang w:val="en-US"/>
        </w:rPr>
        <w:t>Tirza del Carmen</w:t>
      </w:r>
      <w:r w:rsidR="00834616" w:rsidRPr="00A50E4D">
        <w:rPr>
          <w:lang w:val="en-US"/>
        </w:rPr>
        <w:t xml:space="preserve"> Flores Lanza and Ramón Enrique Barrios Maldonado, and</w:t>
      </w:r>
      <w:r w:rsidR="003D717E" w:rsidRPr="00A50E4D">
        <w:rPr>
          <w:lang w:val="en-US"/>
        </w:rPr>
        <w:t xml:space="preserve"> </w:t>
      </w:r>
      <w:r w:rsidR="00A3368B" w:rsidRPr="00A50E4D">
        <w:rPr>
          <w:lang w:val="en-US"/>
        </w:rPr>
        <w:t>witnesses</w:t>
      </w:r>
      <w:r w:rsidR="003D717E" w:rsidRPr="00A50E4D">
        <w:rPr>
          <w:lang w:val="en-US"/>
        </w:rPr>
        <w:t xml:space="preserve"> Carmen Haydee López Flores, José Ernesto López Flor</w:t>
      </w:r>
      <w:r w:rsidR="00834616" w:rsidRPr="00A50E4D">
        <w:rPr>
          <w:lang w:val="en-US"/>
        </w:rPr>
        <w:t>es, Daniel Antonio López Flores and</w:t>
      </w:r>
      <w:r w:rsidR="00A3368B" w:rsidRPr="00A50E4D">
        <w:rPr>
          <w:lang w:val="en-US"/>
        </w:rPr>
        <w:t xml:space="preserve"> Lid</w:t>
      </w:r>
      <w:r w:rsidR="00834616" w:rsidRPr="00A50E4D">
        <w:rPr>
          <w:lang w:val="en-US"/>
        </w:rPr>
        <w:t>ia Blasina Galindo Martínez. In addition, it has received</w:t>
      </w:r>
      <w:r w:rsidR="00A3368B" w:rsidRPr="00A50E4D">
        <w:rPr>
          <w:lang w:val="en-US"/>
        </w:rPr>
        <w:t xml:space="preserve"> the expert opinions of </w:t>
      </w:r>
      <w:r w:rsidR="003D717E" w:rsidRPr="00A50E4D">
        <w:rPr>
          <w:lang w:val="en-US"/>
        </w:rPr>
        <w:t>Leandro Despouy, María Sol Yáñez</w:t>
      </w:r>
      <w:r w:rsidR="00FF35A9" w:rsidRPr="00A50E4D">
        <w:rPr>
          <w:lang w:val="en-US"/>
        </w:rPr>
        <w:t xml:space="preserve"> </w:t>
      </w:r>
      <w:r w:rsidR="001D48D1" w:rsidRPr="00A50E4D">
        <w:rPr>
          <w:lang w:val="en-US"/>
        </w:rPr>
        <w:t>de la</w:t>
      </w:r>
      <w:r w:rsidR="00FF35A9" w:rsidRPr="00A50E4D">
        <w:rPr>
          <w:lang w:val="en-US"/>
        </w:rPr>
        <w:t xml:space="preserve"> </w:t>
      </w:r>
      <w:r w:rsidR="003D717E" w:rsidRPr="00A50E4D">
        <w:rPr>
          <w:lang w:val="en-US"/>
        </w:rPr>
        <w:t>Cruz, Hina Jilani</w:t>
      </w:r>
      <w:r w:rsidR="00A3368B" w:rsidRPr="00A50E4D">
        <w:rPr>
          <w:lang w:val="en-US"/>
        </w:rPr>
        <w:t>,</w:t>
      </w:r>
      <w:r w:rsidR="003D717E" w:rsidRPr="00A50E4D">
        <w:rPr>
          <w:rStyle w:val="FootnoteReference"/>
          <w:sz w:val="20"/>
          <w:szCs w:val="20"/>
          <w:lang w:val="en-US"/>
        </w:rPr>
        <w:footnoteReference w:id="30"/>
      </w:r>
      <w:r w:rsidR="003D717E" w:rsidRPr="00A50E4D">
        <w:rPr>
          <w:lang w:val="en-US"/>
        </w:rPr>
        <w:t xml:space="preserve"> Frank La Rue, Julio Escoto, Joaquín Mejía Rivera</w:t>
      </w:r>
      <w:r w:rsidR="009808C5" w:rsidRPr="00A50E4D">
        <w:rPr>
          <w:lang w:val="en-US"/>
        </w:rPr>
        <w:t xml:space="preserve"> and </w:t>
      </w:r>
      <w:r w:rsidR="003D717E" w:rsidRPr="00A50E4D">
        <w:rPr>
          <w:lang w:val="en-US"/>
        </w:rPr>
        <w:t xml:space="preserve">Martín Federico </w:t>
      </w:r>
      <w:r w:rsidR="001D48D1" w:rsidRPr="00A50E4D">
        <w:rPr>
          <w:iCs/>
          <w:szCs w:val="20"/>
          <w:lang w:val="en-US"/>
        </w:rPr>
        <w:t>Böhmer</w:t>
      </w:r>
      <w:r w:rsidR="00A3368B" w:rsidRPr="00A50E4D">
        <w:rPr>
          <w:lang w:val="en-US"/>
        </w:rPr>
        <w:t>.</w:t>
      </w:r>
      <w:r w:rsidR="003D717E" w:rsidRPr="00A50E4D">
        <w:rPr>
          <w:rStyle w:val="FootnoteReference"/>
          <w:sz w:val="20"/>
          <w:szCs w:val="20"/>
          <w:lang w:val="en-US"/>
        </w:rPr>
        <w:footnoteReference w:id="31"/>
      </w:r>
      <w:r w:rsidR="00A3368B" w:rsidRPr="00A50E4D">
        <w:rPr>
          <w:szCs w:val="20"/>
          <w:lang w:val="en-US"/>
        </w:rPr>
        <w:t xml:space="preserve"> </w:t>
      </w:r>
      <w:r w:rsidR="00A3368B" w:rsidRPr="00A50E4D">
        <w:rPr>
          <w:lang w:val="en-US"/>
        </w:rPr>
        <w:t>With regard to the evidence provided at the</w:t>
      </w:r>
      <w:r w:rsidR="003D717E" w:rsidRPr="00A50E4D">
        <w:rPr>
          <w:rFonts w:eastAsia="Times New Roman"/>
          <w:lang w:val="en-US" w:eastAsia="es-CR"/>
        </w:rPr>
        <w:t xml:space="preserve"> </w:t>
      </w:r>
      <w:r w:rsidR="00CD2874" w:rsidRPr="00A50E4D">
        <w:rPr>
          <w:rFonts w:eastAsia="Times New Roman"/>
          <w:lang w:val="en-US" w:eastAsia="es-CR"/>
        </w:rPr>
        <w:t>public hearing</w:t>
      </w:r>
      <w:r w:rsidR="003D717E" w:rsidRPr="00A50E4D">
        <w:rPr>
          <w:rFonts w:eastAsia="Times New Roman"/>
          <w:lang w:val="en-US" w:eastAsia="es-CR"/>
        </w:rPr>
        <w:t xml:space="preserve">, </w:t>
      </w:r>
      <w:r w:rsidR="009808C5" w:rsidRPr="00A50E4D">
        <w:rPr>
          <w:rFonts w:eastAsia="Times New Roman"/>
          <w:lang w:val="en-US" w:eastAsia="es-CR"/>
        </w:rPr>
        <w:t>the Court</w:t>
      </w:r>
      <w:r w:rsidR="003D717E" w:rsidRPr="00A50E4D">
        <w:rPr>
          <w:rFonts w:eastAsia="Times New Roman"/>
          <w:lang w:val="en-US" w:eastAsia="es-CR"/>
        </w:rPr>
        <w:t xml:space="preserve"> </w:t>
      </w:r>
      <w:r w:rsidR="00A3368B" w:rsidRPr="00A50E4D">
        <w:rPr>
          <w:rFonts w:eastAsia="Times New Roman"/>
          <w:lang w:val="en-US" w:eastAsia="es-CR"/>
        </w:rPr>
        <w:t xml:space="preserve">received the statements of the presumed victim </w:t>
      </w:r>
      <w:r w:rsidR="003D717E" w:rsidRPr="00A50E4D">
        <w:rPr>
          <w:lang w:val="en-US"/>
        </w:rPr>
        <w:t>Adán Guillermo López Lone,</w:t>
      </w:r>
      <w:r w:rsidR="009808C5" w:rsidRPr="00A50E4D">
        <w:rPr>
          <w:lang w:val="en-US"/>
        </w:rPr>
        <w:t xml:space="preserve"> and </w:t>
      </w:r>
      <w:r w:rsidR="00A3368B" w:rsidRPr="00A50E4D">
        <w:rPr>
          <w:lang w:val="en-US"/>
        </w:rPr>
        <w:t xml:space="preserve">the expert witnesses </w:t>
      </w:r>
      <w:r w:rsidR="003D717E" w:rsidRPr="00A50E4D">
        <w:rPr>
          <w:lang w:val="en-US"/>
        </w:rPr>
        <w:t>Perfecto Andrés Ibáñez, Leandro Despouy</w:t>
      </w:r>
      <w:r w:rsidR="009808C5" w:rsidRPr="00A50E4D">
        <w:rPr>
          <w:lang w:val="en-US"/>
        </w:rPr>
        <w:t xml:space="preserve"> and </w:t>
      </w:r>
      <w:r w:rsidR="003D717E" w:rsidRPr="00A50E4D">
        <w:rPr>
          <w:color w:val="000000"/>
          <w:lang w:val="en-US"/>
        </w:rPr>
        <w:t>Antonio Maldonado Paredes</w:t>
      </w:r>
      <w:r w:rsidR="003D717E" w:rsidRPr="00A50E4D">
        <w:rPr>
          <w:lang w:val="en-US"/>
        </w:rPr>
        <w:t>.</w:t>
      </w:r>
    </w:p>
    <w:p w14:paraId="20A8CA28" w14:textId="77777777" w:rsidR="003D717E" w:rsidRPr="00A50E4D" w:rsidRDefault="003D717E" w:rsidP="003D717E">
      <w:pPr>
        <w:pStyle w:val="NoSpacing"/>
        <w:tabs>
          <w:tab w:val="left" w:pos="567"/>
        </w:tabs>
        <w:rPr>
          <w:spacing w:val="-4"/>
          <w:lang w:val="en-US"/>
        </w:rPr>
      </w:pPr>
    </w:p>
    <w:p w14:paraId="06602073" w14:textId="168444A8" w:rsidR="003D717E" w:rsidRPr="00A50E4D" w:rsidRDefault="003D717E" w:rsidP="003D717E">
      <w:pPr>
        <w:pStyle w:val="Heading2"/>
        <w:rPr>
          <w:spacing w:val="-4"/>
          <w:lang w:val="en-US"/>
        </w:rPr>
      </w:pPr>
      <w:bookmarkStart w:id="80" w:name="_Toc424834691"/>
      <w:bookmarkStart w:id="81" w:name="_Toc427932797"/>
      <w:bookmarkStart w:id="82" w:name="_Toc431584614"/>
      <w:bookmarkStart w:id="83" w:name="_Toc471717247"/>
      <w:r w:rsidRPr="00A50E4D">
        <w:rPr>
          <w:spacing w:val="-4"/>
          <w:lang w:val="en-US"/>
        </w:rPr>
        <w:t xml:space="preserve">B. </w:t>
      </w:r>
      <w:r w:rsidR="00A3368B" w:rsidRPr="00A50E4D">
        <w:rPr>
          <w:spacing w:val="-4"/>
          <w:lang w:val="en-US"/>
        </w:rPr>
        <w:t>Admission of the evidence</w:t>
      </w:r>
      <w:bookmarkEnd w:id="80"/>
      <w:bookmarkEnd w:id="81"/>
      <w:bookmarkEnd w:id="82"/>
      <w:bookmarkEnd w:id="83"/>
    </w:p>
    <w:p w14:paraId="30C98CEE" w14:textId="77777777" w:rsidR="003D717E" w:rsidRPr="00A50E4D" w:rsidRDefault="003D717E" w:rsidP="003D717E">
      <w:pPr>
        <w:rPr>
          <w:spacing w:val="-4"/>
          <w:lang w:val="en-US"/>
        </w:rPr>
      </w:pPr>
    </w:p>
    <w:p w14:paraId="3F30664B" w14:textId="3366E46D" w:rsidR="003D717E" w:rsidRPr="00A50E4D" w:rsidRDefault="003D717E" w:rsidP="003D717E">
      <w:pPr>
        <w:pStyle w:val="Heading3"/>
        <w:rPr>
          <w:spacing w:val="-4"/>
          <w:lang w:val="en-US"/>
        </w:rPr>
      </w:pPr>
      <w:bookmarkStart w:id="84" w:name="_Toc424834692"/>
      <w:bookmarkStart w:id="85" w:name="_Toc431584615"/>
      <w:bookmarkStart w:id="86" w:name="_Toc471717248"/>
      <w:r w:rsidRPr="00A50E4D">
        <w:rPr>
          <w:spacing w:val="-4"/>
          <w:lang w:val="en-US"/>
        </w:rPr>
        <w:t xml:space="preserve">B.1) </w:t>
      </w:r>
      <w:r w:rsidR="00A3368B" w:rsidRPr="00A50E4D">
        <w:rPr>
          <w:spacing w:val="-4"/>
          <w:lang w:val="en-US"/>
        </w:rPr>
        <w:t>Admission of the documentary evidence</w:t>
      </w:r>
      <w:bookmarkEnd w:id="84"/>
      <w:bookmarkEnd w:id="85"/>
      <w:bookmarkEnd w:id="86"/>
    </w:p>
    <w:p w14:paraId="3ED1314C" w14:textId="77777777" w:rsidR="003D717E" w:rsidRPr="00A50E4D" w:rsidRDefault="003D717E" w:rsidP="004D030C">
      <w:pPr>
        <w:rPr>
          <w:spacing w:val="-4"/>
          <w:lang w:val="en-US"/>
        </w:rPr>
      </w:pPr>
    </w:p>
    <w:p w14:paraId="7A5D1995" w14:textId="7BF2D6B4" w:rsidR="003D717E" w:rsidRPr="00A50E4D" w:rsidRDefault="00E06E5C" w:rsidP="003D717E">
      <w:pPr>
        <w:pStyle w:val="PrrafodeSentencia"/>
        <w:rPr>
          <w:lang w:val="en-US"/>
        </w:rPr>
      </w:pPr>
      <w:r w:rsidRPr="00A50E4D">
        <w:rPr>
          <w:lang w:val="en-US"/>
        </w:rPr>
        <w:t xml:space="preserve">In this case, as in others, the Court admits those documents presented by the parties and the Commission at the </w:t>
      </w:r>
      <w:r w:rsidR="00D77F26" w:rsidRPr="00A50E4D">
        <w:rPr>
          <w:lang w:val="en-US"/>
        </w:rPr>
        <w:t>appropriate</w:t>
      </w:r>
      <w:r w:rsidRPr="00A50E4D">
        <w:rPr>
          <w:lang w:val="en-US"/>
        </w:rPr>
        <w:t xml:space="preserve"> </w:t>
      </w:r>
      <w:r w:rsidR="00D77F26" w:rsidRPr="00A50E4D">
        <w:rPr>
          <w:lang w:val="en-US"/>
        </w:rPr>
        <w:t xml:space="preserve">moment </w:t>
      </w:r>
      <w:r w:rsidRPr="00A50E4D">
        <w:rPr>
          <w:lang w:val="en-US"/>
        </w:rPr>
        <w:t xml:space="preserve">or requested as useful evidence by </w:t>
      </w:r>
      <w:r w:rsidR="009808C5" w:rsidRPr="00A50E4D">
        <w:rPr>
          <w:szCs w:val="20"/>
          <w:lang w:val="en-US"/>
        </w:rPr>
        <w:t>the Court</w:t>
      </w:r>
      <w:r w:rsidR="00B46A54" w:rsidRPr="00A50E4D">
        <w:rPr>
          <w:szCs w:val="20"/>
          <w:lang w:val="en-US"/>
        </w:rPr>
        <w:t xml:space="preserve"> o</w:t>
      </w:r>
      <w:r w:rsidRPr="00A50E4D">
        <w:rPr>
          <w:szCs w:val="20"/>
          <w:lang w:val="en-US"/>
        </w:rPr>
        <w:t xml:space="preserve">r its President, the admissibility of which was neither contested nor </w:t>
      </w:r>
      <w:r w:rsidR="00D77F26" w:rsidRPr="00A50E4D">
        <w:rPr>
          <w:szCs w:val="20"/>
          <w:lang w:val="en-US"/>
        </w:rPr>
        <w:t>opposed</w:t>
      </w:r>
      <w:r w:rsidRPr="00A50E4D">
        <w:rPr>
          <w:szCs w:val="20"/>
          <w:lang w:val="en-US"/>
        </w:rPr>
        <w:t>.</w:t>
      </w:r>
      <w:r w:rsidR="003D717E" w:rsidRPr="00A50E4D">
        <w:rPr>
          <w:rStyle w:val="FootnoteReference"/>
          <w:sz w:val="20"/>
          <w:szCs w:val="20"/>
          <w:lang w:val="en-US"/>
        </w:rPr>
        <w:footnoteReference w:id="32"/>
      </w:r>
    </w:p>
    <w:p w14:paraId="60AB5553" w14:textId="77777777" w:rsidR="003D717E" w:rsidRPr="00A50E4D" w:rsidRDefault="003D717E" w:rsidP="003D717E">
      <w:pPr>
        <w:pStyle w:val="NoSpacing"/>
        <w:tabs>
          <w:tab w:val="left" w:pos="567"/>
        </w:tabs>
        <w:rPr>
          <w:spacing w:val="-4"/>
          <w:szCs w:val="20"/>
          <w:lang w:val="en-US"/>
        </w:rPr>
      </w:pPr>
    </w:p>
    <w:p w14:paraId="27F53615" w14:textId="30AA43AC" w:rsidR="003D717E" w:rsidRPr="00A50E4D" w:rsidRDefault="00E06E5C" w:rsidP="003D717E">
      <w:pPr>
        <w:pStyle w:val="PrrafodeSentencia"/>
        <w:rPr>
          <w:lang w:val="en-US"/>
        </w:rPr>
      </w:pPr>
      <w:r w:rsidRPr="00A50E4D">
        <w:rPr>
          <w:lang w:val="en-US"/>
        </w:rPr>
        <w:t>As regards the newspaper articles presented by the parties with their briefs, the Court has considered that the</w:t>
      </w:r>
      <w:r w:rsidR="00834616" w:rsidRPr="00A50E4D">
        <w:rPr>
          <w:lang w:val="en-US"/>
        </w:rPr>
        <w:t>se</w:t>
      </w:r>
      <w:r w:rsidRPr="00A50E4D">
        <w:rPr>
          <w:lang w:val="en-US"/>
        </w:rPr>
        <w:t xml:space="preserve"> may be assessed when they refer to well-known public facts or statements made by State officials, or when they corroborate aspects related to the case.</w:t>
      </w:r>
      <w:r w:rsidR="003D717E" w:rsidRPr="00A50E4D">
        <w:rPr>
          <w:rStyle w:val="FootnoteReference"/>
          <w:sz w:val="20"/>
          <w:szCs w:val="20"/>
          <w:lang w:val="en-US"/>
        </w:rPr>
        <w:footnoteReference w:id="33"/>
      </w:r>
      <w:r w:rsidR="003D717E" w:rsidRPr="00A50E4D">
        <w:rPr>
          <w:szCs w:val="20"/>
          <w:lang w:val="en-US"/>
        </w:rPr>
        <w:t xml:space="preserve"> </w:t>
      </w:r>
      <w:r w:rsidR="009808C5" w:rsidRPr="00A50E4D">
        <w:rPr>
          <w:szCs w:val="20"/>
          <w:lang w:val="en-US"/>
        </w:rPr>
        <w:t>The Court</w:t>
      </w:r>
      <w:r w:rsidR="003D717E" w:rsidRPr="00A50E4D">
        <w:rPr>
          <w:lang w:val="en-US"/>
        </w:rPr>
        <w:t xml:space="preserve"> decide</w:t>
      </w:r>
      <w:r w:rsidRPr="00A50E4D">
        <w:rPr>
          <w:lang w:val="en-US"/>
        </w:rPr>
        <w:t>s to admit those documents that are complete or in which</w:t>
      </w:r>
      <w:r w:rsidR="00834616" w:rsidRPr="00A50E4D">
        <w:rPr>
          <w:lang w:val="en-US"/>
        </w:rPr>
        <w:t xml:space="preserve"> </w:t>
      </w:r>
      <w:r w:rsidRPr="00A50E4D">
        <w:rPr>
          <w:lang w:val="en-US"/>
        </w:rPr>
        <w:t>it is possible to observe</w:t>
      </w:r>
      <w:r w:rsidR="00834616" w:rsidRPr="00A50E4D">
        <w:rPr>
          <w:lang w:val="en-US"/>
        </w:rPr>
        <w:t>, at least,</w:t>
      </w:r>
      <w:r w:rsidRPr="00A50E4D">
        <w:rPr>
          <w:lang w:val="en-US"/>
        </w:rPr>
        <w:t xml:space="preserve"> their source and date of publication.</w:t>
      </w:r>
    </w:p>
    <w:p w14:paraId="052890CF" w14:textId="77777777" w:rsidR="003D717E" w:rsidRPr="00A50E4D" w:rsidRDefault="003D717E" w:rsidP="003D717E">
      <w:pPr>
        <w:pStyle w:val="NoSpacing"/>
        <w:tabs>
          <w:tab w:val="left" w:pos="567"/>
        </w:tabs>
        <w:rPr>
          <w:spacing w:val="-4"/>
          <w:szCs w:val="20"/>
          <w:lang w:val="en-US"/>
        </w:rPr>
      </w:pPr>
    </w:p>
    <w:p w14:paraId="00480C20" w14:textId="32A2F902" w:rsidR="003D717E" w:rsidRPr="00A50E4D" w:rsidRDefault="00834616" w:rsidP="003D717E">
      <w:pPr>
        <w:pStyle w:val="PrrafodeSentencia"/>
        <w:rPr>
          <w:szCs w:val="20"/>
          <w:lang w:val="en-US"/>
        </w:rPr>
      </w:pPr>
      <w:r w:rsidRPr="00A50E4D">
        <w:rPr>
          <w:lang w:val="en-US"/>
        </w:rPr>
        <w:t>Moreover</w:t>
      </w:r>
      <w:r w:rsidR="00E06E5C" w:rsidRPr="00A50E4D">
        <w:rPr>
          <w:lang w:val="en-US"/>
        </w:rPr>
        <w:t xml:space="preserve">, regarding some documents indicated by one of the parties by means of </w:t>
      </w:r>
      <w:r w:rsidRPr="00A50E4D">
        <w:rPr>
          <w:lang w:val="en-US"/>
        </w:rPr>
        <w:t>an electronic link</w:t>
      </w:r>
      <w:r w:rsidR="00E06E5C" w:rsidRPr="00A50E4D">
        <w:rPr>
          <w:lang w:val="en-US"/>
        </w:rPr>
        <w:t>, the</w:t>
      </w:r>
      <w:r w:rsidRPr="00A50E4D">
        <w:rPr>
          <w:lang w:val="en-US"/>
        </w:rPr>
        <w:t xml:space="preserve"> Court has established that if the</w:t>
      </w:r>
      <w:r w:rsidR="00E06E5C" w:rsidRPr="00A50E4D">
        <w:rPr>
          <w:lang w:val="en-US"/>
        </w:rPr>
        <w:t xml:space="preserve"> </w:t>
      </w:r>
      <w:r w:rsidR="00D77F26" w:rsidRPr="00A50E4D">
        <w:rPr>
          <w:lang w:val="en-US"/>
        </w:rPr>
        <w:t xml:space="preserve">party provides, </w:t>
      </w:r>
      <w:r w:rsidR="00E06E5C" w:rsidRPr="00A50E4D">
        <w:rPr>
          <w:lang w:val="en-US"/>
        </w:rPr>
        <w:t>at least, the direct electronic link to the doc</w:t>
      </w:r>
      <w:r w:rsidR="00D77F26" w:rsidRPr="00A50E4D">
        <w:rPr>
          <w:lang w:val="en-US"/>
        </w:rPr>
        <w:t>ument that it cites as evidence</w:t>
      </w:r>
      <w:r w:rsidR="00E06E5C" w:rsidRPr="00A50E4D">
        <w:rPr>
          <w:lang w:val="en-US"/>
        </w:rPr>
        <w:t xml:space="preserve"> and it is possible to access </w:t>
      </w:r>
      <w:r w:rsidRPr="00A50E4D">
        <w:rPr>
          <w:lang w:val="en-US"/>
        </w:rPr>
        <w:t>it</w:t>
      </w:r>
      <w:r w:rsidR="00E06E5C" w:rsidRPr="00A50E4D">
        <w:rPr>
          <w:lang w:val="en-US"/>
        </w:rPr>
        <w:t xml:space="preserve">, neither legal certainty nor </w:t>
      </w:r>
      <w:r w:rsidR="00E06E5C" w:rsidRPr="00A50E4D">
        <w:rPr>
          <w:lang w:val="en-US"/>
        </w:rPr>
        <w:lastRenderedPageBreak/>
        <w:t xml:space="preserve">procedural </w:t>
      </w:r>
      <w:r w:rsidR="00D77F26" w:rsidRPr="00A50E4D">
        <w:rPr>
          <w:lang w:val="en-US"/>
        </w:rPr>
        <w:t>equality</w:t>
      </w:r>
      <w:r w:rsidR="00E06E5C" w:rsidRPr="00A50E4D">
        <w:rPr>
          <w:lang w:val="en-US"/>
        </w:rPr>
        <w:t xml:space="preserve"> is </w:t>
      </w:r>
      <w:r w:rsidR="00D77F26" w:rsidRPr="00A50E4D">
        <w:rPr>
          <w:lang w:val="en-US"/>
        </w:rPr>
        <w:t>harmed</w:t>
      </w:r>
      <w:r w:rsidR="00E06E5C" w:rsidRPr="00A50E4D">
        <w:rPr>
          <w:lang w:val="en-US"/>
        </w:rPr>
        <w:t xml:space="preserve"> because it can be </w:t>
      </w:r>
      <w:r w:rsidR="00D77F26" w:rsidRPr="00A50E4D">
        <w:rPr>
          <w:lang w:val="en-US"/>
        </w:rPr>
        <w:t>found</w:t>
      </w:r>
      <w:r w:rsidR="00E06E5C" w:rsidRPr="00A50E4D">
        <w:rPr>
          <w:lang w:val="en-US"/>
        </w:rPr>
        <w:t xml:space="preserve"> immediately by </w:t>
      </w:r>
      <w:r w:rsidR="00D77F26" w:rsidRPr="00A50E4D">
        <w:rPr>
          <w:szCs w:val="20"/>
          <w:lang w:val="en-US"/>
        </w:rPr>
        <w:t xml:space="preserve">the Court, </w:t>
      </w:r>
      <w:r w:rsidR="00E06E5C" w:rsidRPr="00A50E4D">
        <w:rPr>
          <w:szCs w:val="20"/>
          <w:lang w:val="en-US"/>
        </w:rPr>
        <w:t>the other party</w:t>
      </w:r>
      <w:r w:rsidRPr="00A50E4D">
        <w:rPr>
          <w:szCs w:val="20"/>
          <w:lang w:val="en-US"/>
        </w:rPr>
        <w:t>,</w:t>
      </w:r>
      <w:r w:rsidR="009808C5" w:rsidRPr="00A50E4D">
        <w:rPr>
          <w:szCs w:val="20"/>
          <w:lang w:val="en-US"/>
        </w:rPr>
        <w:t xml:space="preserve"> and the Commission</w:t>
      </w:r>
      <w:r w:rsidR="00E06E5C" w:rsidRPr="00A50E4D">
        <w:rPr>
          <w:szCs w:val="20"/>
          <w:lang w:val="en-US"/>
        </w:rPr>
        <w:t>.</w:t>
      </w:r>
      <w:r w:rsidR="003D717E" w:rsidRPr="00A50E4D">
        <w:rPr>
          <w:rStyle w:val="FootnoteReference"/>
          <w:sz w:val="20"/>
          <w:szCs w:val="20"/>
          <w:lang w:val="en-US"/>
        </w:rPr>
        <w:footnoteReference w:id="34"/>
      </w:r>
    </w:p>
    <w:p w14:paraId="6705E092" w14:textId="77777777" w:rsidR="003D717E" w:rsidRPr="00A50E4D" w:rsidRDefault="003D717E" w:rsidP="003D717E">
      <w:pPr>
        <w:pStyle w:val="NoSpacing"/>
        <w:tabs>
          <w:tab w:val="left" w:pos="567"/>
        </w:tabs>
        <w:rPr>
          <w:spacing w:val="-4"/>
          <w:szCs w:val="20"/>
          <w:lang w:val="en-US"/>
        </w:rPr>
      </w:pPr>
    </w:p>
    <w:p w14:paraId="67851CAD" w14:textId="441FECC6" w:rsidR="003D717E" w:rsidRPr="00A50E4D" w:rsidRDefault="00D77F26" w:rsidP="003D717E">
      <w:pPr>
        <w:pStyle w:val="PrrafodeSentencia"/>
        <w:rPr>
          <w:lang w:val="en-US"/>
        </w:rPr>
      </w:pPr>
      <w:r w:rsidRPr="00A50E4D">
        <w:rPr>
          <w:lang w:val="en-US"/>
        </w:rPr>
        <w:t xml:space="preserve">With regard to the procedural </w:t>
      </w:r>
      <w:r w:rsidR="000A786A" w:rsidRPr="00A50E4D">
        <w:rPr>
          <w:lang w:val="en-US"/>
        </w:rPr>
        <w:t>moment</w:t>
      </w:r>
      <w:r w:rsidRPr="00A50E4D">
        <w:rPr>
          <w:lang w:val="en-US"/>
        </w:rPr>
        <w:t xml:space="preserve"> </w:t>
      </w:r>
      <w:r w:rsidR="00834616" w:rsidRPr="00A50E4D">
        <w:rPr>
          <w:lang w:val="en-US"/>
        </w:rPr>
        <w:t xml:space="preserve">at which </w:t>
      </w:r>
      <w:r w:rsidRPr="00A50E4D">
        <w:rPr>
          <w:lang w:val="en-US"/>
        </w:rPr>
        <w:t>documentary evidence</w:t>
      </w:r>
      <w:r w:rsidR="00834616" w:rsidRPr="00A50E4D">
        <w:rPr>
          <w:lang w:val="en-US"/>
        </w:rPr>
        <w:t xml:space="preserve"> should be submitted</w:t>
      </w:r>
      <w:r w:rsidRPr="00A50E4D">
        <w:rPr>
          <w:lang w:val="en-US"/>
        </w:rPr>
        <w:t xml:space="preserve">, according to </w:t>
      </w:r>
      <w:r w:rsidR="009808C5" w:rsidRPr="00A50E4D">
        <w:rPr>
          <w:lang w:val="en-US"/>
        </w:rPr>
        <w:t>Article</w:t>
      </w:r>
      <w:r w:rsidR="00C13A10" w:rsidRPr="00A50E4D">
        <w:rPr>
          <w:lang w:val="en-US"/>
        </w:rPr>
        <w:t xml:space="preserve"> </w:t>
      </w:r>
      <w:r w:rsidR="000F731B" w:rsidRPr="00A50E4D">
        <w:rPr>
          <w:lang w:val="en-US"/>
        </w:rPr>
        <w:t>57(2)</w:t>
      </w:r>
      <w:r w:rsidR="009808C5" w:rsidRPr="00A50E4D">
        <w:rPr>
          <w:lang w:val="en-US"/>
        </w:rPr>
        <w:t xml:space="preserve"> of the Rules of Procedure</w:t>
      </w:r>
      <w:r w:rsidRPr="00A50E4D">
        <w:rPr>
          <w:lang w:val="en-US"/>
        </w:rPr>
        <w:t xml:space="preserve"> </w:t>
      </w:r>
      <w:r w:rsidR="00834616" w:rsidRPr="00A50E4D">
        <w:rPr>
          <w:lang w:val="en-US"/>
        </w:rPr>
        <w:t>it</w:t>
      </w:r>
      <w:r w:rsidRPr="00A50E4D">
        <w:rPr>
          <w:lang w:val="en-US"/>
        </w:rPr>
        <w:t xml:space="preserve"> should be presented, in general, with the briefs submitting the case, with pleadings and motions, or answering the submission of the case, as applicable. Evidence forwarded outside the</w:t>
      </w:r>
      <w:r w:rsidR="00B455E4" w:rsidRPr="00A50E4D">
        <w:rPr>
          <w:lang w:val="en-US"/>
        </w:rPr>
        <w:t xml:space="preserve"> appropriate procedural moments is not admissible, except in the cases established in the </w:t>
      </w:r>
      <w:r w:rsidR="00834616" w:rsidRPr="00A50E4D">
        <w:rPr>
          <w:lang w:val="en-US"/>
        </w:rPr>
        <w:t>said</w:t>
      </w:r>
      <w:r w:rsidR="00B455E4" w:rsidRPr="00A50E4D">
        <w:rPr>
          <w:lang w:val="en-US"/>
        </w:rPr>
        <w:t xml:space="preserve"> A</w:t>
      </w:r>
      <w:r w:rsidR="00F02FB7" w:rsidRPr="00A50E4D">
        <w:rPr>
          <w:lang w:val="en-US"/>
        </w:rPr>
        <w:t>rticle</w:t>
      </w:r>
      <w:r w:rsidR="003D717E" w:rsidRPr="00A50E4D">
        <w:rPr>
          <w:lang w:val="en-US"/>
        </w:rPr>
        <w:t xml:space="preserve"> </w:t>
      </w:r>
      <w:r w:rsidR="000F731B" w:rsidRPr="00A50E4D">
        <w:rPr>
          <w:lang w:val="en-US"/>
        </w:rPr>
        <w:t>57(2)</w:t>
      </w:r>
      <w:r w:rsidR="009808C5" w:rsidRPr="00A50E4D">
        <w:rPr>
          <w:lang w:val="en-US"/>
        </w:rPr>
        <w:t xml:space="preserve"> of the Rules of Procedure</w:t>
      </w:r>
      <w:r w:rsidR="00B455E4" w:rsidRPr="00A50E4D">
        <w:rPr>
          <w:lang w:val="en-US"/>
        </w:rPr>
        <w:t xml:space="preserve">; namely, </w:t>
      </w:r>
      <w:r w:rsidR="00B455E4" w:rsidRPr="00A50E4D">
        <w:rPr>
          <w:i/>
          <w:lang w:val="en-US"/>
        </w:rPr>
        <w:t>force majeure</w:t>
      </w:r>
      <w:r w:rsidR="00B455E4" w:rsidRPr="00A50E4D">
        <w:rPr>
          <w:lang w:val="en-US"/>
        </w:rPr>
        <w:t xml:space="preserve">, serious impediment or if it relates to a fact that took place </w:t>
      </w:r>
      <w:r w:rsidR="00834616" w:rsidRPr="00A50E4D">
        <w:rPr>
          <w:lang w:val="en-US"/>
        </w:rPr>
        <w:t>after</w:t>
      </w:r>
      <w:r w:rsidR="00B455E4" w:rsidRPr="00A50E4D">
        <w:rPr>
          <w:lang w:val="en-US"/>
        </w:rPr>
        <w:t xml:space="preserve"> the said procedural moments.</w:t>
      </w:r>
    </w:p>
    <w:p w14:paraId="78AA06B0" w14:textId="77777777" w:rsidR="003D717E" w:rsidRPr="00A50E4D" w:rsidRDefault="003D717E" w:rsidP="003D717E">
      <w:pPr>
        <w:pStyle w:val="NoSpacing"/>
        <w:tabs>
          <w:tab w:val="left" w:pos="567"/>
        </w:tabs>
        <w:rPr>
          <w:spacing w:val="-4"/>
          <w:lang w:val="en-US"/>
        </w:rPr>
      </w:pPr>
    </w:p>
    <w:p w14:paraId="2DCF9915" w14:textId="78AB9641" w:rsidR="003D717E" w:rsidRPr="00A50E4D" w:rsidRDefault="00B455E4" w:rsidP="00B455E4">
      <w:pPr>
        <w:pStyle w:val="PrrafodeSentencia"/>
        <w:rPr>
          <w:lang w:val="en-US"/>
        </w:rPr>
      </w:pPr>
      <w:r w:rsidRPr="00A50E4D">
        <w:rPr>
          <w:lang w:val="en-US"/>
        </w:rPr>
        <w:t xml:space="preserve">After </w:t>
      </w:r>
      <w:r w:rsidR="00834616" w:rsidRPr="00A50E4D">
        <w:rPr>
          <w:lang w:val="en-US"/>
        </w:rPr>
        <w:t>testifying at</w:t>
      </w:r>
      <w:r w:rsidRPr="00A50E4D">
        <w:rPr>
          <w:lang w:val="en-US"/>
        </w:rPr>
        <w:t xml:space="preserve"> the </w:t>
      </w:r>
      <w:r w:rsidR="00CD2874" w:rsidRPr="00A50E4D">
        <w:rPr>
          <w:lang w:val="en-US"/>
        </w:rPr>
        <w:t>public hearing</w:t>
      </w:r>
      <w:r w:rsidR="003D717E" w:rsidRPr="00A50E4D">
        <w:rPr>
          <w:lang w:val="en-US"/>
        </w:rPr>
        <w:t xml:space="preserve">, </w:t>
      </w:r>
      <w:r w:rsidRPr="00A50E4D">
        <w:rPr>
          <w:lang w:val="en-US"/>
        </w:rPr>
        <w:t>expert witness</w:t>
      </w:r>
      <w:r w:rsidR="003D717E" w:rsidRPr="00A50E4D">
        <w:rPr>
          <w:lang w:val="en-US"/>
        </w:rPr>
        <w:t xml:space="preserve"> Perfecto Andrés Ibáñez </w:t>
      </w:r>
      <w:r w:rsidR="00834616" w:rsidRPr="00A50E4D">
        <w:rPr>
          <w:lang w:val="en-US"/>
        </w:rPr>
        <w:t>submitted</w:t>
      </w:r>
      <w:r w:rsidRPr="00A50E4D">
        <w:rPr>
          <w:lang w:val="en-US"/>
        </w:rPr>
        <w:t xml:space="preserve"> a written report relating to his opinion, and expert witness </w:t>
      </w:r>
      <w:r w:rsidR="003D717E" w:rsidRPr="00A50E4D">
        <w:rPr>
          <w:lang w:val="en-US"/>
        </w:rPr>
        <w:t xml:space="preserve">Antonio Maldonado Paredes </w:t>
      </w:r>
      <w:r w:rsidR="00834616" w:rsidRPr="00A50E4D">
        <w:rPr>
          <w:lang w:val="en-US"/>
        </w:rPr>
        <w:t>submitted</w:t>
      </w:r>
      <w:r w:rsidRPr="00A50E4D">
        <w:rPr>
          <w:lang w:val="en-US"/>
        </w:rPr>
        <w:t xml:space="preserve"> a copy of the </w:t>
      </w:r>
      <w:r w:rsidR="003D717E" w:rsidRPr="00A50E4D">
        <w:rPr>
          <w:lang w:val="en-US"/>
        </w:rPr>
        <w:t>“</w:t>
      </w:r>
      <w:r w:rsidR="00D03F60" w:rsidRPr="00A50E4D">
        <w:rPr>
          <w:lang w:val="en-US"/>
        </w:rPr>
        <w:t>Report of the United Nations High Commissioner for Human Rights</w:t>
      </w:r>
      <w:r w:rsidR="003D717E" w:rsidRPr="00A50E4D">
        <w:rPr>
          <w:lang w:val="en-US"/>
        </w:rPr>
        <w:t xml:space="preserve"> </w:t>
      </w:r>
      <w:r w:rsidR="00D03F60" w:rsidRPr="00A50E4D">
        <w:rPr>
          <w:lang w:val="en-US"/>
        </w:rPr>
        <w:t>on the violations of human rights</w:t>
      </w:r>
      <w:r w:rsidR="003D717E" w:rsidRPr="00A50E4D">
        <w:rPr>
          <w:lang w:val="en-US"/>
        </w:rPr>
        <w:t xml:space="preserve"> </w:t>
      </w:r>
      <w:r w:rsidR="00700DEC" w:rsidRPr="00A50E4D">
        <w:rPr>
          <w:lang w:val="en-US"/>
        </w:rPr>
        <w:t>in Honduras</w:t>
      </w:r>
      <w:r w:rsidR="003D717E" w:rsidRPr="00A50E4D">
        <w:rPr>
          <w:lang w:val="en-US"/>
        </w:rPr>
        <w:t xml:space="preserve"> </w:t>
      </w:r>
      <w:r w:rsidRPr="00A50E4D">
        <w:rPr>
          <w:lang w:val="en-US"/>
        </w:rPr>
        <w:t>since</w:t>
      </w:r>
      <w:r w:rsidR="003D717E" w:rsidRPr="00A50E4D">
        <w:rPr>
          <w:lang w:val="en-US"/>
        </w:rPr>
        <w:t xml:space="preserve"> </w:t>
      </w:r>
      <w:r w:rsidR="00371BB7" w:rsidRPr="00A50E4D">
        <w:rPr>
          <w:lang w:val="en-US"/>
        </w:rPr>
        <w:t xml:space="preserve">the </w:t>
      </w:r>
      <w:r w:rsidR="00B11ACA" w:rsidRPr="00A50E4D">
        <w:rPr>
          <w:i/>
          <w:lang w:val="en-US"/>
        </w:rPr>
        <w:t>coup d’état</w:t>
      </w:r>
      <w:r w:rsidR="003D717E" w:rsidRPr="00A50E4D">
        <w:rPr>
          <w:lang w:val="en-US"/>
        </w:rPr>
        <w:t xml:space="preserve"> </w:t>
      </w:r>
      <w:r w:rsidRPr="00A50E4D">
        <w:rPr>
          <w:lang w:val="en-US"/>
        </w:rPr>
        <w:t xml:space="preserve">of 28 </w:t>
      </w:r>
      <w:r w:rsidR="00C150F2" w:rsidRPr="00A50E4D">
        <w:rPr>
          <w:lang w:val="en-US"/>
        </w:rPr>
        <w:t>June</w:t>
      </w:r>
      <w:r w:rsidR="003D717E" w:rsidRPr="00A50E4D">
        <w:rPr>
          <w:lang w:val="en-US"/>
        </w:rPr>
        <w:t xml:space="preserve"> 2009</w:t>
      </w:r>
      <w:r w:rsidRPr="00A50E4D">
        <w:rPr>
          <w:lang w:val="en-US"/>
        </w:rPr>
        <w:t>.</w:t>
      </w:r>
      <w:r w:rsidR="003D717E" w:rsidRPr="00A50E4D">
        <w:rPr>
          <w:lang w:val="en-US"/>
        </w:rPr>
        <w:t>”</w:t>
      </w:r>
      <w:r w:rsidR="003D717E" w:rsidRPr="00A50E4D">
        <w:rPr>
          <w:vertAlign w:val="superscript"/>
          <w:lang w:val="en-US"/>
        </w:rPr>
        <w:footnoteReference w:id="35"/>
      </w:r>
      <w:r w:rsidR="003D717E" w:rsidRPr="00A50E4D">
        <w:rPr>
          <w:lang w:val="en-US"/>
        </w:rPr>
        <w:t xml:space="preserve"> </w:t>
      </w:r>
      <w:r w:rsidR="000E78F8" w:rsidRPr="00A50E4D">
        <w:rPr>
          <w:lang w:val="en-US"/>
        </w:rPr>
        <w:t>Copi</w:t>
      </w:r>
      <w:r w:rsidRPr="00A50E4D">
        <w:rPr>
          <w:lang w:val="en-US"/>
        </w:rPr>
        <w:t xml:space="preserve">es of both documents were handed over to the parties and to </w:t>
      </w:r>
      <w:r w:rsidR="009808C5" w:rsidRPr="00A50E4D">
        <w:rPr>
          <w:lang w:val="en-US"/>
        </w:rPr>
        <w:t xml:space="preserve">the Commission and </w:t>
      </w:r>
      <w:r w:rsidRPr="00A50E4D">
        <w:rPr>
          <w:lang w:val="en-US"/>
        </w:rPr>
        <w:t xml:space="preserve">they were allowed to </w:t>
      </w:r>
      <w:r w:rsidR="00834616" w:rsidRPr="00A50E4D">
        <w:rPr>
          <w:lang w:val="en-US"/>
        </w:rPr>
        <w:t>present</w:t>
      </w:r>
      <w:r w:rsidRPr="00A50E4D">
        <w:rPr>
          <w:lang w:val="en-US"/>
        </w:rPr>
        <w:t xml:space="preserve"> their observations. The admissibility of these do</w:t>
      </w:r>
      <w:r w:rsidR="00834616" w:rsidRPr="00A50E4D">
        <w:rPr>
          <w:lang w:val="en-US"/>
        </w:rPr>
        <w:t>cuments was not challenged and</w:t>
      </w:r>
      <w:r w:rsidRPr="00A50E4D">
        <w:rPr>
          <w:lang w:val="en-US"/>
        </w:rPr>
        <w:t xml:space="preserve"> their authenticity</w:t>
      </w:r>
      <w:r w:rsidR="00834616" w:rsidRPr="00A50E4D">
        <w:rPr>
          <w:lang w:val="en-US"/>
        </w:rPr>
        <w:t xml:space="preserve"> was not</w:t>
      </w:r>
      <w:r w:rsidRPr="00A50E4D">
        <w:rPr>
          <w:lang w:val="en-US"/>
        </w:rPr>
        <w:t xml:space="preserve"> contested. Regarding the report of the United Nations High Commissioner for Human Rights, the Court notes that it was also provided by the representatives in their pleadings and motions brief</w:t>
      </w:r>
      <w:r w:rsidR="00834616" w:rsidRPr="00A50E4D">
        <w:rPr>
          <w:lang w:val="en-US"/>
        </w:rPr>
        <w:t xml:space="preserve"> by means of an electronic link</w:t>
      </w:r>
      <w:r w:rsidRPr="00A50E4D">
        <w:rPr>
          <w:lang w:val="en-US"/>
        </w:rPr>
        <w:t>. Since it already formed part of the case file, there is no point in making a separate analysis of the admissibility of the copy provided by expert witness Maldonado Paredes. Regarding the written report of expert witness Perfecto Andrés Ibáñez, the Court admits this documen</w:t>
      </w:r>
      <w:r w:rsidR="00834616" w:rsidRPr="00A50E4D">
        <w:rPr>
          <w:lang w:val="en-US"/>
        </w:rPr>
        <w:t>t, considering it useful for</w:t>
      </w:r>
      <w:r w:rsidRPr="00A50E4D">
        <w:rPr>
          <w:lang w:val="en-US"/>
        </w:rPr>
        <w:t xml:space="preserve"> deciding this case, insofar as it re</w:t>
      </w:r>
      <w:r w:rsidR="00834616" w:rsidRPr="00A50E4D">
        <w:rPr>
          <w:lang w:val="en-US"/>
        </w:rPr>
        <w:t>lates</w:t>
      </w:r>
      <w:r w:rsidRPr="00A50E4D">
        <w:rPr>
          <w:lang w:val="en-US"/>
        </w:rPr>
        <w:t xml:space="preserve"> to the purpose</w:t>
      </w:r>
      <w:r w:rsidR="00834616" w:rsidRPr="00A50E4D">
        <w:rPr>
          <w:lang w:val="en-US"/>
        </w:rPr>
        <w:t xml:space="preserve"> of this expert opinion</w:t>
      </w:r>
      <w:r w:rsidRPr="00A50E4D">
        <w:rPr>
          <w:lang w:val="en-US"/>
        </w:rPr>
        <w:t xml:space="preserve"> </w:t>
      </w:r>
      <w:r w:rsidR="00834616" w:rsidRPr="00A50E4D">
        <w:rPr>
          <w:lang w:val="en-US"/>
        </w:rPr>
        <w:t>duly defined by the</w:t>
      </w:r>
      <w:r w:rsidRPr="00A50E4D">
        <w:rPr>
          <w:lang w:val="en-US"/>
        </w:rPr>
        <w:t xml:space="preserve"> President in the terms </w:t>
      </w:r>
      <w:r w:rsidR="0048601C" w:rsidRPr="00A50E4D">
        <w:rPr>
          <w:lang w:val="en-US"/>
        </w:rPr>
        <w:t>of Article</w:t>
      </w:r>
      <w:r w:rsidR="003D717E" w:rsidRPr="00A50E4D">
        <w:rPr>
          <w:lang w:val="en-US"/>
        </w:rPr>
        <w:t xml:space="preserve"> 58</w:t>
      </w:r>
      <w:r w:rsidR="009808C5" w:rsidRPr="00A50E4D">
        <w:rPr>
          <w:lang w:val="en-US"/>
        </w:rPr>
        <w:t xml:space="preserve"> of the Rules of Procedure</w:t>
      </w:r>
      <w:r w:rsidR="003D717E" w:rsidRPr="00A50E4D">
        <w:rPr>
          <w:lang w:val="en-US"/>
        </w:rPr>
        <w:t xml:space="preserve">. </w:t>
      </w:r>
    </w:p>
    <w:p w14:paraId="103079F2" w14:textId="77777777" w:rsidR="003D717E" w:rsidRPr="00A50E4D" w:rsidRDefault="003D717E" w:rsidP="003D717E">
      <w:pPr>
        <w:pStyle w:val="NoSpacing"/>
        <w:tabs>
          <w:tab w:val="left" w:pos="567"/>
        </w:tabs>
        <w:rPr>
          <w:rFonts w:cs="Verdana"/>
          <w:spacing w:val="-4"/>
          <w:szCs w:val="20"/>
          <w:lang w:val="en-US"/>
        </w:rPr>
      </w:pPr>
    </w:p>
    <w:p w14:paraId="2EC2FF0C" w14:textId="1DB83308" w:rsidR="00CF13D1" w:rsidRPr="00A50E4D" w:rsidRDefault="00B455E4" w:rsidP="00CF13D1">
      <w:pPr>
        <w:pStyle w:val="PrrafodeSentencia"/>
        <w:rPr>
          <w:lang w:val="en-US"/>
        </w:rPr>
      </w:pPr>
      <w:r w:rsidRPr="00A50E4D">
        <w:rPr>
          <w:lang w:val="en-US"/>
        </w:rPr>
        <w:t>During the</w:t>
      </w:r>
      <w:r w:rsidR="003D717E" w:rsidRPr="00A50E4D">
        <w:rPr>
          <w:lang w:val="en-US"/>
        </w:rPr>
        <w:t xml:space="preserve"> </w:t>
      </w:r>
      <w:r w:rsidR="00CD2874" w:rsidRPr="00A50E4D">
        <w:rPr>
          <w:lang w:val="en-US"/>
        </w:rPr>
        <w:t>public hearing</w:t>
      </w:r>
      <w:r w:rsidR="003D717E" w:rsidRPr="00A50E4D">
        <w:rPr>
          <w:lang w:val="en-US"/>
        </w:rPr>
        <w:t xml:space="preserve"> </w:t>
      </w:r>
      <w:r w:rsidR="009808C5" w:rsidRPr="00A50E4D">
        <w:rPr>
          <w:lang w:val="en-US"/>
        </w:rPr>
        <w:t>the State</w:t>
      </w:r>
      <w:r w:rsidRPr="00A50E4D">
        <w:rPr>
          <w:lang w:val="en-US"/>
        </w:rPr>
        <w:t xml:space="preserve"> </w:t>
      </w:r>
      <w:r w:rsidR="00834616" w:rsidRPr="00A50E4D">
        <w:rPr>
          <w:lang w:val="en-US"/>
        </w:rPr>
        <w:t>submitted</w:t>
      </w:r>
      <w:r w:rsidRPr="00A50E4D">
        <w:rPr>
          <w:lang w:val="en-US"/>
        </w:rPr>
        <w:t xml:space="preserve"> a copy of </w:t>
      </w:r>
      <w:r w:rsidR="00834616" w:rsidRPr="00A50E4D">
        <w:rPr>
          <w:lang w:val="en-US"/>
        </w:rPr>
        <w:t>the Law on the Council of the Judiciary and the Judicial Service</w:t>
      </w:r>
      <w:r w:rsidR="00410BBD" w:rsidRPr="00A50E4D">
        <w:rPr>
          <w:lang w:val="en-US"/>
        </w:rPr>
        <w:t xml:space="preserve">, </w:t>
      </w:r>
      <w:r w:rsidR="009808C5" w:rsidRPr="00A50E4D">
        <w:rPr>
          <w:lang w:val="en-US"/>
        </w:rPr>
        <w:t xml:space="preserve">the </w:t>
      </w:r>
      <w:r w:rsidR="00410BBD" w:rsidRPr="00A50E4D">
        <w:rPr>
          <w:lang w:val="en-US"/>
        </w:rPr>
        <w:t xml:space="preserve">Regulations governing </w:t>
      </w:r>
      <w:r w:rsidR="00834616" w:rsidRPr="00A50E4D">
        <w:rPr>
          <w:lang w:val="en-US"/>
        </w:rPr>
        <w:t>the Law on the Council of the Judiciary and the Judicial Service</w:t>
      </w:r>
      <w:r w:rsidR="00410BBD" w:rsidRPr="00A50E4D">
        <w:rPr>
          <w:lang w:val="en-US"/>
        </w:rPr>
        <w:t>,</w:t>
      </w:r>
      <w:r w:rsidR="003D717E" w:rsidRPr="00A50E4D">
        <w:rPr>
          <w:lang w:val="en-US"/>
        </w:rPr>
        <w:t xml:space="preserve"> </w:t>
      </w:r>
      <w:r w:rsidR="006A756C" w:rsidRPr="00A50E4D">
        <w:rPr>
          <w:lang w:val="en-US"/>
        </w:rPr>
        <w:t xml:space="preserve">the </w:t>
      </w:r>
      <w:r w:rsidR="000E6A0D" w:rsidRPr="00A50E4D">
        <w:rPr>
          <w:lang w:val="en-US"/>
        </w:rPr>
        <w:t>rules of procedure</w:t>
      </w:r>
      <w:r w:rsidR="00EB6155" w:rsidRPr="00A50E4D">
        <w:rPr>
          <w:lang w:val="en-US"/>
        </w:rPr>
        <w:t xml:space="preserve"> of the Judicial Service </w:t>
      </w:r>
      <w:r w:rsidR="000A786A" w:rsidRPr="00A50E4D">
        <w:rPr>
          <w:lang w:val="en-US"/>
        </w:rPr>
        <w:t>Council,</w:t>
      </w:r>
      <w:r w:rsidR="009808C5" w:rsidRPr="00A50E4D">
        <w:rPr>
          <w:szCs w:val="20"/>
          <w:lang w:val="en-US"/>
        </w:rPr>
        <w:t xml:space="preserve"> and </w:t>
      </w:r>
      <w:r w:rsidR="00410BBD" w:rsidRPr="00A50E4D">
        <w:rPr>
          <w:szCs w:val="20"/>
          <w:lang w:val="en-US"/>
        </w:rPr>
        <w:t xml:space="preserve">certifications of ten rulings delivered </w:t>
      </w:r>
      <w:r w:rsidR="00834616" w:rsidRPr="00A50E4D">
        <w:rPr>
          <w:szCs w:val="20"/>
          <w:lang w:val="en-US"/>
        </w:rPr>
        <w:t>on</w:t>
      </w:r>
      <w:r w:rsidR="00410BBD" w:rsidRPr="00A50E4D">
        <w:rPr>
          <w:szCs w:val="20"/>
          <w:lang w:val="en-US"/>
        </w:rPr>
        <w:t xml:space="preserve"> applications for </w:t>
      </w:r>
      <w:r w:rsidR="00B11ACA" w:rsidRPr="00A50E4D">
        <w:rPr>
          <w:i/>
          <w:szCs w:val="20"/>
          <w:lang w:val="en-US"/>
        </w:rPr>
        <w:t>amparo</w:t>
      </w:r>
      <w:r w:rsidR="00410BBD" w:rsidRPr="00A50E4D">
        <w:rPr>
          <w:szCs w:val="20"/>
          <w:lang w:val="en-US"/>
        </w:rPr>
        <w:t>.</w:t>
      </w:r>
      <w:r w:rsidR="003D717E" w:rsidRPr="00A50E4D">
        <w:rPr>
          <w:rStyle w:val="FootnoteReference"/>
          <w:sz w:val="20"/>
          <w:szCs w:val="20"/>
          <w:lang w:val="en-US"/>
        </w:rPr>
        <w:footnoteReference w:id="36"/>
      </w:r>
      <w:r w:rsidR="003D717E" w:rsidRPr="00A50E4D">
        <w:rPr>
          <w:szCs w:val="20"/>
          <w:lang w:val="en-US"/>
        </w:rPr>
        <w:t xml:space="preserve"> </w:t>
      </w:r>
      <w:r w:rsidR="00410BBD" w:rsidRPr="00A50E4D">
        <w:rPr>
          <w:szCs w:val="20"/>
          <w:lang w:val="en-US"/>
        </w:rPr>
        <w:t>Neither</w:t>
      </w:r>
      <w:r w:rsidR="00F60DA5" w:rsidRPr="00A50E4D">
        <w:rPr>
          <w:szCs w:val="20"/>
          <w:lang w:val="en-US"/>
        </w:rPr>
        <w:t xml:space="preserve"> </w:t>
      </w:r>
      <w:r w:rsidR="00AD5EE7" w:rsidRPr="00A50E4D">
        <w:rPr>
          <w:szCs w:val="20"/>
          <w:lang w:val="en-US"/>
        </w:rPr>
        <w:t>the representatives</w:t>
      </w:r>
      <w:r w:rsidR="00410BBD" w:rsidRPr="00A50E4D">
        <w:rPr>
          <w:szCs w:val="20"/>
          <w:lang w:val="en-US"/>
        </w:rPr>
        <w:t xml:space="preserve"> nor</w:t>
      </w:r>
      <w:r w:rsidR="00F60DA5" w:rsidRPr="00A50E4D">
        <w:rPr>
          <w:szCs w:val="20"/>
          <w:lang w:val="en-US"/>
        </w:rPr>
        <w:t xml:space="preserve"> </w:t>
      </w:r>
      <w:r w:rsidR="009808C5" w:rsidRPr="00A50E4D">
        <w:rPr>
          <w:szCs w:val="20"/>
          <w:lang w:val="en-US"/>
        </w:rPr>
        <w:t>the Commission</w:t>
      </w:r>
      <w:r w:rsidR="00F60DA5" w:rsidRPr="00A50E4D">
        <w:rPr>
          <w:szCs w:val="20"/>
          <w:lang w:val="en-US"/>
        </w:rPr>
        <w:t xml:space="preserve"> </w:t>
      </w:r>
      <w:r w:rsidR="00410BBD" w:rsidRPr="00A50E4D">
        <w:rPr>
          <w:szCs w:val="20"/>
          <w:lang w:val="en-US"/>
        </w:rPr>
        <w:t xml:space="preserve">contested the admission of the domestic norms provided by the State. Considering them useful for deciding the case, the Court admits the said domestic norms in the terms </w:t>
      </w:r>
      <w:r w:rsidR="0048601C" w:rsidRPr="00A50E4D">
        <w:rPr>
          <w:lang w:val="en-US"/>
        </w:rPr>
        <w:t>of Article</w:t>
      </w:r>
      <w:r w:rsidR="00F60DA5" w:rsidRPr="00A50E4D">
        <w:rPr>
          <w:lang w:val="en-US"/>
        </w:rPr>
        <w:t xml:space="preserve"> 58</w:t>
      </w:r>
      <w:r w:rsidR="009808C5" w:rsidRPr="00A50E4D">
        <w:rPr>
          <w:lang w:val="en-US"/>
        </w:rPr>
        <w:t xml:space="preserve"> of the Rules of Procedure</w:t>
      </w:r>
      <w:r w:rsidR="00F60DA5" w:rsidRPr="00A50E4D">
        <w:rPr>
          <w:lang w:val="en-US"/>
        </w:rPr>
        <w:t xml:space="preserve">. </w:t>
      </w:r>
    </w:p>
    <w:p w14:paraId="09BF49CD" w14:textId="77777777" w:rsidR="00CF13D1" w:rsidRPr="00A50E4D" w:rsidRDefault="00CF13D1" w:rsidP="00CF13D1">
      <w:pPr>
        <w:rPr>
          <w:lang w:val="en-US" w:eastAsia="es-MX"/>
        </w:rPr>
      </w:pPr>
    </w:p>
    <w:p w14:paraId="0A7EFA2B" w14:textId="1C9340B9" w:rsidR="003D717E" w:rsidRPr="00A50E4D" w:rsidRDefault="00834616" w:rsidP="00410BBD">
      <w:pPr>
        <w:pStyle w:val="PrrafodeSentencia"/>
        <w:rPr>
          <w:lang w:val="en-US"/>
        </w:rPr>
      </w:pPr>
      <w:r w:rsidRPr="00A50E4D">
        <w:rPr>
          <w:szCs w:val="20"/>
          <w:lang w:val="en-US"/>
        </w:rPr>
        <w:t>However</w:t>
      </w:r>
      <w:r w:rsidR="00410BBD" w:rsidRPr="00A50E4D">
        <w:rPr>
          <w:szCs w:val="20"/>
          <w:lang w:val="en-US"/>
        </w:rPr>
        <w:t xml:space="preserve">, with regard to the judgments on </w:t>
      </w:r>
      <w:r w:rsidR="00B11ACA" w:rsidRPr="00A50E4D">
        <w:rPr>
          <w:i/>
          <w:szCs w:val="20"/>
          <w:lang w:val="en-US"/>
        </w:rPr>
        <w:t>amparo</w:t>
      </w:r>
      <w:r w:rsidR="003D717E" w:rsidRPr="00A50E4D">
        <w:rPr>
          <w:szCs w:val="20"/>
          <w:lang w:val="en-US"/>
        </w:rPr>
        <w:t xml:space="preserve"> </w:t>
      </w:r>
      <w:r w:rsidR="00410BBD" w:rsidRPr="00A50E4D">
        <w:rPr>
          <w:szCs w:val="20"/>
          <w:lang w:val="en-US"/>
        </w:rPr>
        <w:t>provided by</w:t>
      </w:r>
      <w:r w:rsidR="00F60DA5" w:rsidRPr="00A50E4D">
        <w:rPr>
          <w:szCs w:val="20"/>
          <w:lang w:val="en-US"/>
        </w:rPr>
        <w:t xml:space="preserve"> </w:t>
      </w:r>
      <w:r w:rsidR="009808C5" w:rsidRPr="00A50E4D">
        <w:rPr>
          <w:szCs w:val="20"/>
          <w:lang w:val="en-US"/>
        </w:rPr>
        <w:t>the State</w:t>
      </w:r>
      <w:r w:rsidR="00F60DA5" w:rsidRPr="00A50E4D">
        <w:rPr>
          <w:szCs w:val="20"/>
          <w:lang w:val="en-US"/>
        </w:rPr>
        <w:t xml:space="preserve">, </w:t>
      </w:r>
      <w:r w:rsidR="00AD5EE7" w:rsidRPr="00A50E4D">
        <w:rPr>
          <w:szCs w:val="20"/>
          <w:lang w:val="en-US"/>
        </w:rPr>
        <w:t>the representatives</w:t>
      </w:r>
      <w:r w:rsidR="00F60DA5" w:rsidRPr="00A50E4D">
        <w:rPr>
          <w:szCs w:val="20"/>
          <w:lang w:val="en-US"/>
        </w:rPr>
        <w:t xml:space="preserve"> </w:t>
      </w:r>
      <w:r w:rsidR="00410BBD" w:rsidRPr="00A50E4D">
        <w:rPr>
          <w:szCs w:val="20"/>
          <w:lang w:val="en-US"/>
        </w:rPr>
        <w:t xml:space="preserve">contested their admission, considering that they were time-barred and that the State had not offered any reason of </w:t>
      </w:r>
      <w:r w:rsidR="00410BBD" w:rsidRPr="00A50E4D">
        <w:rPr>
          <w:i/>
          <w:szCs w:val="20"/>
          <w:lang w:val="en-US"/>
        </w:rPr>
        <w:t>force majeure</w:t>
      </w:r>
      <w:r w:rsidR="00410BBD" w:rsidRPr="00A50E4D">
        <w:rPr>
          <w:szCs w:val="20"/>
          <w:lang w:val="en-US"/>
        </w:rPr>
        <w:t xml:space="preserve"> that would have prevented it from presenting them with its </w:t>
      </w:r>
      <w:r w:rsidR="00CD2874" w:rsidRPr="00A50E4D">
        <w:rPr>
          <w:szCs w:val="20"/>
          <w:lang w:val="en-US"/>
        </w:rPr>
        <w:t>answering brief</w:t>
      </w:r>
      <w:r w:rsidR="003D717E" w:rsidRPr="00A50E4D">
        <w:rPr>
          <w:szCs w:val="20"/>
          <w:lang w:val="en-US"/>
        </w:rPr>
        <w:t xml:space="preserve">. </w:t>
      </w:r>
      <w:r w:rsidR="00410BBD" w:rsidRPr="00A50E4D">
        <w:rPr>
          <w:szCs w:val="20"/>
          <w:lang w:val="en-US"/>
        </w:rPr>
        <w:t xml:space="preserve">Moreover, they indicated that the said decisions bore no </w:t>
      </w:r>
      <w:r w:rsidRPr="00A50E4D">
        <w:rPr>
          <w:szCs w:val="20"/>
          <w:lang w:val="en-US"/>
        </w:rPr>
        <w:t>relationship to the facts of this</w:t>
      </w:r>
      <w:r w:rsidR="00410BBD" w:rsidRPr="00A50E4D">
        <w:rPr>
          <w:szCs w:val="20"/>
          <w:lang w:val="en-US"/>
        </w:rPr>
        <w:t xml:space="preserve"> case, because they were issued in a different context, mainly against decisions of the new Council of the Judiciary and the Judicial Service, rather than</w:t>
      </w:r>
      <w:r w:rsidRPr="00A50E4D">
        <w:rPr>
          <w:szCs w:val="20"/>
          <w:lang w:val="en-US"/>
        </w:rPr>
        <w:t xml:space="preserve"> against</w:t>
      </w:r>
      <w:r w:rsidR="00410BBD" w:rsidRPr="00A50E4D">
        <w:rPr>
          <w:szCs w:val="20"/>
          <w:lang w:val="en-US"/>
        </w:rPr>
        <w:t xml:space="preserve"> those of the Supreme Court of Justice as in this case, with a different purpose</w:t>
      </w:r>
      <w:r w:rsidRPr="00A50E4D">
        <w:rPr>
          <w:szCs w:val="20"/>
          <w:lang w:val="en-US"/>
        </w:rPr>
        <w:t>,</w:t>
      </w:r>
      <w:r w:rsidR="00410BBD" w:rsidRPr="00A50E4D">
        <w:rPr>
          <w:szCs w:val="20"/>
          <w:lang w:val="en-US"/>
        </w:rPr>
        <w:t xml:space="preserve"> and by a Constitutional Chamber with a different composition to the one that decided the cases of the presumed victims. In this regard,</w:t>
      </w:r>
      <w:r w:rsidRPr="00A50E4D">
        <w:rPr>
          <w:szCs w:val="20"/>
          <w:lang w:val="en-US"/>
        </w:rPr>
        <w:t xml:space="preserve"> the Court notes that, </w:t>
      </w:r>
      <w:r w:rsidR="00410BBD" w:rsidRPr="00A50E4D">
        <w:rPr>
          <w:szCs w:val="20"/>
          <w:lang w:val="en-US"/>
        </w:rPr>
        <w:t>in its answering brief</w:t>
      </w:r>
      <w:r w:rsidRPr="00A50E4D">
        <w:rPr>
          <w:szCs w:val="20"/>
          <w:lang w:val="en-US"/>
        </w:rPr>
        <w:t>, the State had indicated</w:t>
      </w:r>
      <w:r w:rsidR="00410BBD" w:rsidRPr="00A50E4D">
        <w:rPr>
          <w:szCs w:val="20"/>
          <w:lang w:val="en-US"/>
        </w:rPr>
        <w:t xml:space="preserve"> that, in addition to the “</w:t>
      </w:r>
      <w:r w:rsidRPr="00A50E4D">
        <w:rPr>
          <w:szCs w:val="20"/>
          <w:lang w:val="en-US"/>
        </w:rPr>
        <w:t>rulings</w:t>
      </w:r>
      <w:r w:rsidR="00410BBD" w:rsidRPr="00A50E4D">
        <w:rPr>
          <w:szCs w:val="20"/>
          <w:lang w:val="en-US"/>
        </w:rPr>
        <w:t xml:space="preserve"> on </w:t>
      </w:r>
      <w:r w:rsidR="00B11ACA" w:rsidRPr="00A50E4D">
        <w:rPr>
          <w:i/>
          <w:szCs w:val="20"/>
          <w:lang w:val="en-US"/>
        </w:rPr>
        <w:t>amparo</w:t>
      </w:r>
      <w:r w:rsidRPr="00A50E4D">
        <w:rPr>
          <w:i/>
          <w:szCs w:val="20"/>
          <w:lang w:val="en-US"/>
        </w:rPr>
        <w:t xml:space="preserve"> </w:t>
      </w:r>
      <w:r w:rsidRPr="00A50E4D">
        <w:rPr>
          <w:szCs w:val="20"/>
          <w:lang w:val="en-US"/>
        </w:rPr>
        <w:t>guarantees</w:t>
      </w:r>
      <w:r w:rsidR="00410BBD" w:rsidRPr="00A50E4D">
        <w:rPr>
          <w:szCs w:val="20"/>
          <w:lang w:val="en-US"/>
        </w:rPr>
        <w:t xml:space="preserve">” already attached to note </w:t>
      </w:r>
      <w:r w:rsidR="00410BBD" w:rsidRPr="00A50E4D">
        <w:rPr>
          <w:szCs w:val="20"/>
          <w:lang w:val="en-US" w:eastAsia="es-ES"/>
        </w:rPr>
        <w:t xml:space="preserve">No. SP-A-90-2012 of </w:t>
      </w:r>
      <w:r w:rsidR="00C150F2" w:rsidRPr="00A50E4D">
        <w:rPr>
          <w:szCs w:val="20"/>
          <w:lang w:val="en-US" w:eastAsia="es-ES"/>
        </w:rPr>
        <w:t>June</w:t>
      </w:r>
      <w:r w:rsidR="00410BBD" w:rsidRPr="00A50E4D">
        <w:rPr>
          <w:szCs w:val="20"/>
          <w:lang w:val="en-US" w:eastAsia="es-ES"/>
        </w:rPr>
        <w:t xml:space="preserve"> 25, 2012, presented during the </w:t>
      </w:r>
      <w:r w:rsidR="00410BBD" w:rsidRPr="00A50E4D">
        <w:rPr>
          <w:szCs w:val="20"/>
          <w:lang w:val="en-US" w:eastAsia="es-ES"/>
        </w:rPr>
        <w:lastRenderedPageBreak/>
        <w:t>proce</w:t>
      </w:r>
      <w:r w:rsidRPr="00A50E4D">
        <w:rPr>
          <w:szCs w:val="20"/>
          <w:lang w:val="en-US" w:eastAsia="es-ES"/>
        </w:rPr>
        <w:t>dure</w:t>
      </w:r>
      <w:r w:rsidR="00410BBD" w:rsidRPr="00A50E4D">
        <w:rPr>
          <w:szCs w:val="20"/>
          <w:lang w:val="en-US" w:eastAsia="es-ES"/>
        </w:rPr>
        <w:t xml:space="preserve"> before the Commission (annex 1 of the</w:t>
      </w:r>
      <w:r w:rsidR="00410BBD" w:rsidRPr="00A50E4D">
        <w:rPr>
          <w:lang w:val="en-US"/>
        </w:rPr>
        <w:t xml:space="preserve"> </w:t>
      </w:r>
      <w:r w:rsidR="0048601C" w:rsidRPr="00A50E4D">
        <w:rPr>
          <w:szCs w:val="20"/>
          <w:lang w:val="en-US" w:eastAsia="es-ES"/>
        </w:rPr>
        <w:t>Merits Report</w:t>
      </w:r>
      <w:r w:rsidR="003D717E" w:rsidRPr="00A50E4D">
        <w:rPr>
          <w:szCs w:val="20"/>
          <w:lang w:val="en-US" w:eastAsia="es-ES"/>
        </w:rPr>
        <w:t xml:space="preserve">), </w:t>
      </w:r>
      <w:r w:rsidR="00410BBD" w:rsidRPr="00A50E4D">
        <w:rPr>
          <w:szCs w:val="20"/>
          <w:lang w:val="en-US" w:eastAsia="es-ES"/>
        </w:rPr>
        <w:t xml:space="preserve">it would </w:t>
      </w:r>
      <w:r w:rsidR="003D717E" w:rsidRPr="00A50E4D">
        <w:rPr>
          <w:szCs w:val="20"/>
          <w:lang w:val="en-US" w:eastAsia="es-ES"/>
        </w:rPr>
        <w:t>“</w:t>
      </w:r>
      <w:r w:rsidR="00410BBD" w:rsidRPr="00A50E4D">
        <w:rPr>
          <w:szCs w:val="20"/>
          <w:lang w:val="en-US" w:eastAsia="es-ES"/>
        </w:rPr>
        <w:t xml:space="preserve">provide rulings subsequent to the date of that note.” Nevertheless, those rulings were not presented with the </w:t>
      </w:r>
      <w:r w:rsidR="00CD2874" w:rsidRPr="00A50E4D">
        <w:rPr>
          <w:szCs w:val="20"/>
          <w:lang w:val="en-US" w:eastAsia="es-ES"/>
        </w:rPr>
        <w:t>answering brief</w:t>
      </w:r>
      <w:r w:rsidRPr="00A50E4D">
        <w:rPr>
          <w:szCs w:val="20"/>
          <w:lang w:val="en-US" w:eastAsia="es-ES"/>
        </w:rPr>
        <w:t xml:space="preserve">; </w:t>
      </w:r>
      <w:r w:rsidR="00410BBD" w:rsidRPr="00A50E4D">
        <w:rPr>
          <w:szCs w:val="20"/>
          <w:lang w:val="en-US" w:eastAsia="es-ES"/>
        </w:rPr>
        <w:t xml:space="preserve">rather the State submitted them during the </w:t>
      </w:r>
      <w:r w:rsidR="00CD2874" w:rsidRPr="00A50E4D">
        <w:rPr>
          <w:szCs w:val="20"/>
          <w:lang w:val="en-US" w:eastAsia="es-ES"/>
        </w:rPr>
        <w:t>public hearing</w:t>
      </w:r>
      <w:r w:rsidR="003D717E" w:rsidRPr="00A50E4D">
        <w:rPr>
          <w:szCs w:val="20"/>
          <w:lang w:val="en-US" w:eastAsia="es-ES"/>
        </w:rPr>
        <w:t xml:space="preserve"> </w:t>
      </w:r>
      <w:r w:rsidR="00410BBD" w:rsidRPr="00A50E4D">
        <w:rPr>
          <w:szCs w:val="20"/>
          <w:lang w:val="en-US" w:eastAsia="es-ES"/>
        </w:rPr>
        <w:t xml:space="preserve">of the case without offering an explanation about their time-barred submission. The Court recalls that, pursuant to </w:t>
      </w:r>
      <w:r w:rsidR="00410BBD" w:rsidRPr="00A50E4D">
        <w:rPr>
          <w:szCs w:val="20"/>
          <w:lang w:val="en-US"/>
        </w:rPr>
        <w:t>Article 57(2) of the Rules of Procedure,</w:t>
      </w:r>
      <w:r w:rsidR="00410BBD" w:rsidRPr="00A50E4D">
        <w:rPr>
          <w:szCs w:val="20"/>
          <w:lang w:val="en-US" w:eastAsia="es-ES"/>
        </w:rPr>
        <w:t xml:space="preserve"> the appropriate procedural moment for the presentation of documentary evidence is with the briefs submitting the case, with pleadings and motions, or answering the submission of the case, as applicable. </w:t>
      </w:r>
      <w:r w:rsidR="00410BBD" w:rsidRPr="00A50E4D">
        <w:rPr>
          <w:lang w:val="en-US"/>
        </w:rPr>
        <w:t xml:space="preserve">Evidence forwarded outside the appropriate procedural moments is not admissible, except in the cases established in the above-mentioned Article 57(2) of the Rules of Procedure; namely, </w:t>
      </w:r>
      <w:r w:rsidR="00410BBD" w:rsidRPr="00A50E4D">
        <w:rPr>
          <w:i/>
          <w:lang w:val="en-US"/>
        </w:rPr>
        <w:t>force majeure</w:t>
      </w:r>
      <w:r w:rsidR="00410BBD" w:rsidRPr="00A50E4D">
        <w:rPr>
          <w:lang w:val="en-US"/>
        </w:rPr>
        <w:t xml:space="preserve">, serious impediment or if it relates to a fact that took place </w:t>
      </w:r>
      <w:r w:rsidRPr="00A50E4D">
        <w:rPr>
          <w:lang w:val="en-US"/>
        </w:rPr>
        <w:t>after</w:t>
      </w:r>
      <w:r w:rsidR="00410BBD" w:rsidRPr="00A50E4D">
        <w:rPr>
          <w:lang w:val="en-US"/>
        </w:rPr>
        <w:t xml:space="preserve"> the said procedural moments. </w:t>
      </w:r>
      <w:r w:rsidRPr="00A50E4D">
        <w:rPr>
          <w:lang w:val="en-US"/>
        </w:rPr>
        <w:t>It was not demonstrated that any of the</w:t>
      </w:r>
      <w:r w:rsidR="00410BBD" w:rsidRPr="00A50E4D">
        <w:rPr>
          <w:lang w:val="en-US"/>
        </w:rPr>
        <w:t xml:space="preserve"> foregoing exceptions </w:t>
      </w:r>
      <w:r w:rsidRPr="00A50E4D">
        <w:rPr>
          <w:lang w:val="en-US"/>
        </w:rPr>
        <w:t>applied</w:t>
      </w:r>
      <w:r w:rsidR="00410BBD" w:rsidRPr="00A50E4D">
        <w:rPr>
          <w:lang w:val="en-US"/>
        </w:rPr>
        <w:t xml:space="preserve"> in this case; therefore the Court considers inadmissible the documentation relating to the applications for </w:t>
      </w:r>
      <w:r w:rsidR="00B11ACA" w:rsidRPr="00A50E4D">
        <w:rPr>
          <w:i/>
          <w:lang w:val="en-US"/>
        </w:rPr>
        <w:t>amparo</w:t>
      </w:r>
      <w:r w:rsidR="00410BBD" w:rsidRPr="00A50E4D">
        <w:rPr>
          <w:lang w:val="en-US"/>
        </w:rPr>
        <w:t xml:space="preserve"> that the State submitted during the </w:t>
      </w:r>
      <w:r w:rsidR="00CD2874" w:rsidRPr="00A50E4D">
        <w:rPr>
          <w:szCs w:val="20"/>
          <w:lang w:val="en-US"/>
        </w:rPr>
        <w:t>public hearing</w:t>
      </w:r>
      <w:r w:rsidR="00417563" w:rsidRPr="00A50E4D">
        <w:rPr>
          <w:szCs w:val="20"/>
          <w:lang w:val="en-US"/>
        </w:rPr>
        <w:t>.</w:t>
      </w:r>
      <w:r w:rsidR="003D717E" w:rsidRPr="00A50E4D">
        <w:rPr>
          <w:szCs w:val="20"/>
          <w:lang w:val="en-US"/>
        </w:rPr>
        <w:t xml:space="preserve"> </w:t>
      </w:r>
    </w:p>
    <w:p w14:paraId="444FFC0B" w14:textId="77777777" w:rsidR="003D717E" w:rsidRPr="00A50E4D" w:rsidRDefault="003D717E" w:rsidP="003D717E">
      <w:pPr>
        <w:pStyle w:val="NoSpacing"/>
        <w:tabs>
          <w:tab w:val="left" w:pos="567"/>
        </w:tabs>
        <w:rPr>
          <w:spacing w:val="-4"/>
          <w:szCs w:val="20"/>
          <w:lang w:val="en-US"/>
        </w:rPr>
      </w:pPr>
    </w:p>
    <w:p w14:paraId="4B850338" w14:textId="67A85137" w:rsidR="003D717E" w:rsidRPr="00A50E4D" w:rsidRDefault="00320A7D" w:rsidP="003D717E">
      <w:pPr>
        <w:pStyle w:val="PrrafodeSentencia"/>
        <w:rPr>
          <w:i/>
          <w:iCs/>
          <w:lang w:val="en-US"/>
        </w:rPr>
      </w:pPr>
      <w:bookmarkStart w:id="87" w:name="_Ref434599321"/>
      <w:bookmarkStart w:id="88" w:name="_Ref374884821"/>
      <w:r w:rsidRPr="00A50E4D">
        <w:rPr>
          <w:lang w:val="en-US"/>
        </w:rPr>
        <w:t xml:space="preserve">Similarly, both </w:t>
      </w:r>
      <w:r w:rsidR="009808C5" w:rsidRPr="00A50E4D">
        <w:rPr>
          <w:lang w:val="en-US"/>
        </w:rPr>
        <w:t>the State</w:t>
      </w:r>
      <w:r w:rsidR="003D717E" w:rsidRPr="00A50E4D">
        <w:rPr>
          <w:lang w:val="en-US"/>
        </w:rPr>
        <w:t xml:space="preserve"> </w:t>
      </w:r>
      <w:r w:rsidRPr="00A50E4D">
        <w:rPr>
          <w:lang w:val="en-US"/>
        </w:rPr>
        <w:t>and</w:t>
      </w:r>
      <w:r w:rsidR="003D717E" w:rsidRPr="00A50E4D">
        <w:rPr>
          <w:lang w:val="en-US"/>
        </w:rPr>
        <w:t xml:space="preserve"> </w:t>
      </w:r>
      <w:r w:rsidR="00AD5EE7" w:rsidRPr="00A50E4D">
        <w:rPr>
          <w:lang w:val="en-US"/>
        </w:rPr>
        <w:t>the representatives</w:t>
      </w:r>
      <w:r w:rsidR="003D717E" w:rsidRPr="00A50E4D">
        <w:rPr>
          <w:lang w:val="en-US"/>
        </w:rPr>
        <w:t xml:space="preserve"> present</w:t>
      </w:r>
      <w:r w:rsidRPr="00A50E4D">
        <w:rPr>
          <w:lang w:val="en-US"/>
        </w:rPr>
        <w:t xml:space="preserve">ed documentation with their </w:t>
      </w:r>
      <w:r w:rsidR="004626E5" w:rsidRPr="00A50E4D">
        <w:rPr>
          <w:lang w:val="en-US"/>
        </w:rPr>
        <w:t>final written arguments</w:t>
      </w:r>
      <w:r w:rsidRPr="00A50E4D">
        <w:rPr>
          <w:lang w:val="en-US"/>
        </w:rPr>
        <w:t>.</w:t>
      </w:r>
      <w:r w:rsidR="003D717E" w:rsidRPr="00A50E4D">
        <w:rPr>
          <w:vertAlign w:val="superscript"/>
          <w:lang w:val="en-US"/>
        </w:rPr>
        <w:footnoteReference w:id="37"/>
      </w:r>
      <w:r w:rsidRPr="00A50E4D">
        <w:rPr>
          <w:lang w:val="en-US"/>
        </w:rPr>
        <w:t xml:space="preserve"> For the reasons given above, pursuant to A</w:t>
      </w:r>
      <w:r w:rsidR="00F02FB7" w:rsidRPr="00A50E4D">
        <w:rPr>
          <w:lang w:val="en-US"/>
        </w:rPr>
        <w:t>rticle</w:t>
      </w:r>
      <w:r w:rsidR="003D717E" w:rsidRPr="00A50E4D">
        <w:rPr>
          <w:lang w:val="en-US"/>
        </w:rPr>
        <w:t xml:space="preserve"> </w:t>
      </w:r>
      <w:r w:rsidR="000F731B" w:rsidRPr="00A50E4D">
        <w:rPr>
          <w:lang w:val="en-US"/>
        </w:rPr>
        <w:t>57(2)</w:t>
      </w:r>
      <w:r w:rsidR="009808C5" w:rsidRPr="00A50E4D">
        <w:rPr>
          <w:lang w:val="en-US"/>
        </w:rPr>
        <w:t xml:space="preserve"> of the Rules of Procedure</w:t>
      </w:r>
      <w:r w:rsidR="003D717E" w:rsidRPr="00A50E4D">
        <w:rPr>
          <w:lang w:val="en-US"/>
        </w:rPr>
        <w:t xml:space="preserve">, </w:t>
      </w:r>
      <w:r w:rsidR="009808C5" w:rsidRPr="00A50E4D">
        <w:rPr>
          <w:lang w:val="en-US"/>
        </w:rPr>
        <w:t>the Court</w:t>
      </w:r>
      <w:r w:rsidR="003D717E" w:rsidRPr="00A50E4D">
        <w:rPr>
          <w:lang w:val="en-US"/>
        </w:rPr>
        <w:t xml:space="preserve"> admit</w:t>
      </w:r>
      <w:r w:rsidRPr="00A50E4D">
        <w:rPr>
          <w:lang w:val="en-US"/>
        </w:rPr>
        <w:t xml:space="preserve">s the documents issued following the said procedural moments. Specifically, it admits the note </w:t>
      </w:r>
      <w:r w:rsidR="004626E5" w:rsidRPr="00A50E4D">
        <w:rPr>
          <w:lang w:val="en-US"/>
        </w:rPr>
        <w:t>of March 3,</w:t>
      </w:r>
      <w:r w:rsidR="00417563" w:rsidRPr="00A50E4D">
        <w:rPr>
          <w:lang w:val="en-US"/>
        </w:rPr>
        <w:t xml:space="preserve"> 2015</w:t>
      </w:r>
      <w:r w:rsidRPr="00A50E4D">
        <w:rPr>
          <w:lang w:val="en-US"/>
        </w:rPr>
        <w:t xml:space="preserve">, of the </w:t>
      </w:r>
      <w:r w:rsidR="00D563D1" w:rsidRPr="00A50E4D">
        <w:rPr>
          <w:lang w:val="en-US"/>
        </w:rPr>
        <w:t>Personnel Management Directorate</w:t>
      </w:r>
      <w:r w:rsidRPr="00A50E4D">
        <w:rPr>
          <w:lang w:val="en-US"/>
        </w:rPr>
        <w:t xml:space="preserve"> provided by the State, as well as the documentation provided by </w:t>
      </w:r>
      <w:r w:rsidR="00AD5EE7" w:rsidRPr="00A50E4D">
        <w:rPr>
          <w:lang w:val="en-US"/>
        </w:rPr>
        <w:t>the representatives</w:t>
      </w:r>
      <w:r w:rsidR="00417563" w:rsidRPr="00A50E4D">
        <w:rPr>
          <w:lang w:val="en-US"/>
        </w:rPr>
        <w:t xml:space="preserve"> </w:t>
      </w:r>
      <w:r w:rsidRPr="00A50E4D">
        <w:rPr>
          <w:lang w:val="en-US"/>
        </w:rPr>
        <w:t xml:space="preserve">concerning expenses incurred </w:t>
      </w:r>
      <w:r w:rsidR="00790A6B" w:rsidRPr="00A50E4D">
        <w:rPr>
          <w:lang w:val="en-US"/>
        </w:rPr>
        <w:t>after</w:t>
      </w:r>
      <w:r w:rsidRPr="00A50E4D">
        <w:rPr>
          <w:lang w:val="en-US"/>
        </w:rPr>
        <w:t xml:space="preserve"> the submission of the </w:t>
      </w:r>
      <w:r w:rsidR="00D77F26" w:rsidRPr="00A50E4D">
        <w:rPr>
          <w:lang w:val="en-US"/>
        </w:rPr>
        <w:t>pleadings and motions</w:t>
      </w:r>
      <w:r w:rsidR="00CD2874" w:rsidRPr="00A50E4D">
        <w:rPr>
          <w:lang w:val="en-US"/>
        </w:rPr>
        <w:t xml:space="preserve"> brief</w:t>
      </w:r>
      <w:r w:rsidR="00790A6B" w:rsidRPr="00A50E4D">
        <w:rPr>
          <w:lang w:val="en-US"/>
        </w:rPr>
        <w:t>,</w:t>
      </w:r>
      <w:r w:rsidR="009808C5" w:rsidRPr="00A50E4D">
        <w:rPr>
          <w:lang w:val="en-US"/>
        </w:rPr>
        <w:t xml:space="preserve"> and </w:t>
      </w:r>
      <w:r w:rsidRPr="00A50E4D">
        <w:rPr>
          <w:lang w:val="en-US"/>
        </w:rPr>
        <w:t>the circular of the Council of the Judiciary and the Judicial Service of</w:t>
      </w:r>
      <w:r w:rsidR="00417563" w:rsidRPr="00A50E4D">
        <w:rPr>
          <w:lang w:val="en-US"/>
        </w:rPr>
        <w:t xml:space="preserve"> </w:t>
      </w:r>
      <w:r w:rsidRPr="00A50E4D">
        <w:rPr>
          <w:lang w:val="en-US"/>
        </w:rPr>
        <w:t>February 11,</w:t>
      </w:r>
      <w:r w:rsidR="00417563" w:rsidRPr="00A50E4D">
        <w:rPr>
          <w:lang w:val="en-US"/>
        </w:rPr>
        <w:t xml:space="preserve"> 2015. </w:t>
      </w:r>
      <w:r w:rsidRPr="00A50E4D">
        <w:rPr>
          <w:lang w:val="en-US"/>
        </w:rPr>
        <w:t>However, the State failed to justify the late submission of the document entitled “Procedure to impose sanctions on judicial officials and employees,” and did not explain its origin or nature; therefore, the Court does not find it admissible.</w:t>
      </w:r>
      <w:bookmarkEnd w:id="87"/>
      <w:bookmarkEnd w:id="88"/>
    </w:p>
    <w:p w14:paraId="48D95149" w14:textId="77777777" w:rsidR="003D717E" w:rsidRPr="00A50E4D" w:rsidRDefault="003D717E" w:rsidP="003D717E">
      <w:pPr>
        <w:pStyle w:val="NoSpacing"/>
        <w:rPr>
          <w:iCs/>
          <w:spacing w:val="-4"/>
          <w:lang w:val="en-US"/>
        </w:rPr>
      </w:pPr>
    </w:p>
    <w:p w14:paraId="54104478" w14:textId="5D3FF26F" w:rsidR="003D717E" w:rsidRPr="00A50E4D" w:rsidRDefault="003D717E" w:rsidP="003D717E">
      <w:pPr>
        <w:pStyle w:val="Heading3"/>
        <w:rPr>
          <w:spacing w:val="-4"/>
          <w:lang w:val="en-US"/>
        </w:rPr>
      </w:pPr>
      <w:bookmarkStart w:id="89" w:name="_Toc424834693"/>
      <w:bookmarkStart w:id="90" w:name="_Toc431584616"/>
      <w:bookmarkStart w:id="91" w:name="_Toc471717249"/>
      <w:r w:rsidRPr="00A50E4D">
        <w:rPr>
          <w:spacing w:val="-4"/>
          <w:lang w:val="en-US"/>
        </w:rPr>
        <w:t xml:space="preserve">B.2) </w:t>
      </w:r>
      <w:r w:rsidR="00A3368B" w:rsidRPr="00A50E4D">
        <w:rPr>
          <w:spacing w:val="-4"/>
          <w:lang w:val="en-US"/>
        </w:rPr>
        <w:t>Admission of the testimonial and expert evidence</w:t>
      </w:r>
      <w:bookmarkEnd w:id="89"/>
      <w:bookmarkEnd w:id="90"/>
      <w:bookmarkEnd w:id="91"/>
    </w:p>
    <w:p w14:paraId="4D5034E8" w14:textId="77777777" w:rsidR="00790A6B" w:rsidRPr="00A50E4D" w:rsidRDefault="00790A6B" w:rsidP="00790A6B">
      <w:pPr>
        <w:rPr>
          <w:lang w:val="en-US"/>
        </w:rPr>
      </w:pPr>
    </w:p>
    <w:p w14:paraId="4B3552F9" w14:textId="4965075D" w:rsidR="003D717E" w:rsidRPr="00A50E4D" w:rsidRDefault="00790A6B" w:rsidP="003D717E">
      <w:pPr>
        <w:pStyle w:val="PrrafodeSentencia"/>
        <w:rPr>
          <w:lang w:val="en-US"/>
        </w:rPr>
      </w:pPr>
      <w:r w:rsidRPr="00A50E4D">
        <w:rPr>
          <w:lang w:val="en-US"/>
        </w:rPr>
        <w:t>The</w:t>
      </w:r>
      <w:r w:rsidR="00160ADB" w:rsidRPr="00A50E4D">
        <w:rPr>
          <w:lang w:val="en-US"/>
        </w:rPr>
        <w:t xml:space="preserve"> Court</w:t>
      </w:r>
      <w:r w:rsidRPr="00A50E4D">
        <w:rPr>
          <w:lang w:val="en-US"/>
        </w:rPr>
        <w:t xml:space="preserve"> also </w:t>
      </w:r>
      <w:r w:rsidR="00160ADB" w:rsidRPr="00A50E4D">
        <w:rPr>
          <w:lang w:val="en-US"/>
        </w:rPr>
        <w:t xml:space="preserve">finds it pertinent to admit the statements </w:t>
      </w:r>
      <w:r w:rsidR="00371BB7" w:rsidRPr="00A50E4D">
        <w:rPr>
          <w:lang w:val="en-US"/>
        </w:rPr>
        <w:t>of the presumed victims</w:t>
      </w:r>
      <w:r w:rsidR="00160ADB" w:rsidRPr="00A50E4D">
        <w:rPr>
          <w:lang w:val="en-US"/>
        </w:rPr>
        <w:t xml:space="preserve"> and witnesses and the expert opinions provided during the public hearing and by affidavit, insofar as they are in keeping with the purpose defined by the President in the order requiring them and the purpose of this case.</w:t>
      </w:r>
    </w:p>
    <w:p w14:paraId="57BD03E1" w14:textId="77777777" w:rsidR="003D717E" w:rsidRPr="00A50E4D" w:rsidRDefault="003D717E" w:rsidP="003D717E">
      <w:pPr>
        <w:pStyle w:val="NoSpacing"/>
        <w:tabs>
          <w:tab w:val="left" w:pos="567"/>
        </w:tabs>
        <w:rPr>
          <w:spacing w:val="-4"/>
          <w:lang w:val="en-US"/>
        </w:rPr>
      </w:pPr>
    </w:p>
    <w:p w14:paraId="094ABE63" w14:textId="473B48BD" w:rsidR="003D717E" w:rsidRPr="00A50E4D" w:rsidRDefault="003D717E" w:rsidP="003D717E">
      <w:pPr>
        <w:pStyle w:val="Heading2"/>
        <w:rPr>
          <w:spacing w:val="-4"/>
          <w:lang w:val="en-US"/>
        </w:rPr>
      </w:pPr>
      <w:bookmarkStart w:id="92" w:name="_Toc424834694"/>
      <w:bookmarkStart w:id="93" w:name="_Toc427932798"/>
      <w:bookmarkStart w:id="94" w:name="_Toc431584617"/>
      <w:bookmarkStart w:id="95" w:name="_Toc471717250"/>
      <w:r w:rsidRPr="00A50E4D">
        <w:rPr>
          <w:spacing w:val="-4"/>
          <w:lang w:val="en-US"/>
        </w:rPr>
        <w:t xml:space="preserve">C. </w:t>
      </w:r>
      <w:r w:rsidR="00A3368B" w:rsidRPr="00A50E4D">
        <w:rPr>
          <w:spacing w:val="-4"/>
          <w:lang w:val="en-US"/>
        </w:rPr>
        <w:t>Assessment of the evidence</w:t>
      </w:r>
      <w:bookmarkEnd w:id="92"/>
      <w:bookmarkEnd w:id="93"/>
      <w:bookmarkEnd w:id="94"/>
      <w:bookmarkEnd w:id="95"/>
    </w:p>
    <w:p w14:paraId="137681CF" w14:textId="77777777" w:rsidR="003D717E" w:rsidRPr="00A50E4D" w:rsidRDefault="003D717E" w:rsidP="003D717E">
      <w:pPr>
        <w:rPr>
          <w:spacing w:val="-4"/>
          <w:lang w:val="en-US"/>
        </w:rPr>
      </w:pPr>
    </w:p>
    <w:p w14:paraId="445E8B43" w14:textId="5D83CC2D" w:rsidR="003D717E" w:rsidRPr="00A50E4D" w:rsidRDefault="00160ADB" w:rsidP="003D717E">
      <w:pPr>
        <w:pStyle w:val="PrrafodeSentencia"/>
        <w:rPr>
          <w:szCs w:val="20"/>
          <w:lang w:val="en-US"/>
        </w:rPr>
      </w:pPr>
      <w:r w:rsidRPr="00A50E4D">
        <w:rPr>
          <w:lang w:val="en-US"/>
        </w:rPr>
        <w:t xml:space="preserve">Based on the provisions of </w:t>
      </w:r>
      <w:r w:rsidR="009808C5" w:rsidRPr="00A50E4D">
        <w:rPr>
          <w:szCs w:val="20"/>
          <w:lang w:val="en-US"/>
        </w:rPr>
        <w:t>Articles</w:t>
      </w:r>
      <w:r w:rsidR="003D717E" w:rsidRPr="00A50E4D">
        <w:rPr>
          <w:szCs w:val="20"/>
          <w:lang w:val="en-US"/>
        </w:rPr>
        <w:t xml:space="preserve"> 46, 47, 48, 50, 51, 57</w:t>
      </w:r>
      <w:r w:rsidR="009808C5" w:rsidRPr="00A50E4D">
        <w:rPr>
          <w:szCs w:val="20"/>
          <w:lang w:val="en-US"/>
        </w:rPr>
        <w:t xml:space="preserve"> and </w:t>
      </w:r>
      <w:r w:rsidR="003D717E" w:rsidRPr="00A50E4D">
        <w:rPr>
          <w:szCs w:val="20"/>
          <w:lang w:val="en-US"/>
        </w:rPr>
        <w:t>58</w:t>
      </w:r>
      <w:r w:rsidR="009808C5" w:rsidRPr="00A50E4D">
        <w:rPr>
          <w:szCs w:val="20"/>
          <w:lang w:val="en-US"/>
        </w:rPr>
        <w:t xml:space="preserve"> of the Rules of Procedure</w:t>
      </w:r>
      <w:r w:rsidR="003D717E" w:rsidRPr="00A50E4D">
        <w:rPr>
          <w:szCs w:val="20"/>
          <w:lang w:val="en-US"/>
        </w:rPr>
        <w:t xml:space="preserve">, </w:t>
      </w:r>
      <w:r w:rsidRPr="00A50E4D">
        <w:rPr>
          <w:szCs w:val="20"/>
          <w:lang w:val="en-US"/>
        </w:rPr>
        <w:t>and on its consistent case law concerning evidence and its assessment,</w:t>
      </w:r>
      <w:r w:rsidR="003D717E" w:rsidRPr="00A50E4D">
        <w:rPr>
          <w:rStyle w:val="FootnoteReference"/>
          <w:sz w:val="20"/>
          <w:szCs w:val="20"/>
          <w:lang w:val="en-US"/>
        </w:rPr>
        <w:footnoteReference w:id="38"/>
      </w:r>
      <w:r w:rsidR="003D717E" w:rsidRPr="00A50E4D">
        <w:rPr>
          <w:szCs w:val="20"/>
          <w:lang w:val="en-US"/>
        </w:rPr>
        <w:t xml:space="preserve"> </w:t>
      </w:r>
      <w:r w:rsidR="009808C5" w:rsidRPr="00A50E4D">
        <w:rPr>
          <w:szCs w:val="20"/>
          <w:lang w:val="en-US"/>
        </w:rPr>
        <w:t>the Court</w:t>
      </w:r>
      <w:r w:rsidR="003D717E" w:rsidRPr="00A50E4D">
        <w:rPr>
          <w:szCs w:val="20"/>
          <w:lang w:val="en-US"/>
        </w:rPr>
        <w:t xml:space="preserve"> </w:t>
      </w:r>
      <w:r w:rsidRPr="00A50E4D">
        <w:rPr>
          <w:szCs w:val="20"/>
          <w:lang w:val="en-US"/>
        </w:rPr>
        <w:t xml:space="preserve">will examine and assess the documentary and probative elements forwarded by the parties </w:t>
      </w:r>
      <w:r w:rsidR="009808C5" w:rsidRPr="00A50E4D">
        <w:rPr>
          <w:szCs w:val="20"/>
          <w:lang w:val="en-US"/>
        </w:rPr>
        <w:t>and the Commission</w:t>
      </w:r>
      <w:r w:rsidR="003D717E" w:rsidRPr="00A50E4D">
        <w:rPr>
          <w:szCs w:val="20"/>
          <w:lang w:val="en-US"/>
        </w:rPr>
        <w:t xml:space="preserve">, </w:t>
      </w:r>
      <w:r w:rsidRPr="00A50E4D">
        <w:rPr>
          <w:szCs w:val="20"/>
          <w:lang w:val="en-US"/>
        </w:rPr>
        <w:t>the statements, testimony</w:t>
      </w:r>
      <w:r w:rsidR="00790A6B" w:rsidRPr="00A50E4D">
        <w:rPr>
          <w:szCs w:val="20"/>
          <w:lang w:val="en-US"/>
        </w:rPr>
        <w:t>,</w:t>
      </w:r>
      <w:r w:rsidRPr="00A50E4D">
        <w:rPr>
          <w:szCs w:val="20"/>
          <w:lang w:val="en-US"/>
        </w:rPr>
        <w:t xml:space="preserve"> and expert opinions, and also the helpful evidence that was requested and that the Court has incorporated into the case file in order to establish the facts of the case and to rule on the merits. To this end, it will abide by the principles of sound judicial discretion, within the corresponding legal framework, taking into account all the evidence and arguments that have been presented.</w:t>
      </w:r>
      <w:r w:rsidR="003D717E" w:rsidRPr="00A50E4D">
        <w:rPr>
          <w:rStyle w:val="FootnoteReference"/>
          <w:sz w:val="20"/>
          <w:szCs w:val="20"/>
          <w:lang w:val="en-US"/>
        </w:rPr>
        <w:footnoteReference w:id="39"/>
      </w:r>
    </w:p>
    <w:p w14:paraId="7A11517E" w14:textId="77777777" w:rsidR="003D717E" w:rsidRPr="00A50E4D" w:rsidRDefault="003D717E" w:rsidP="003D717E">
      <w:pPr>
        <w:pStyle w:val="NoSpacing"/>
        <w:tabs>
          <w:tab w:val="left" w:pos="567"/>
        </w:tabs>
        <w:rPr>
          <w:spacing w:val="-4"/>
          <w:szCs w:val="20"/>
          <w:lang w:val="en-US"/>
        </w:rPr>
      </w:pPr>
    </w:p>
    <w:p w14:paraId="05704BE8" w14:textId="3B15C11E" w:rsidR="003D717E" w:rsidRPr="00A50E4D" w:rsidRDefault="00160ADB" w:rsidP="003D717E">
      <w:pPr>
        <w:pStyle w:val="PrrafodeSentencia"/>
        <w:rPr>
          <w:lang w:val="en-US"/>
        </w:rPr>
      </w:pPr>
      <w:r w:rsidRPr="00A50E4D">
        <w:rPr>
          <w:szCs w:val="20"/>
          <w:lang w:val="en-US"/>
        </w:rPr>
        <w:t xml:space="preserve">In addition, in accordance with </w:t>
      </w:r>
      <w:r w:rsidR="009808C5" w:rsidRPr="00A50E4D">
        <w:rPr>
          <w:szCs w:val="20"/>
          <w:lang w:val="en-US"/>
        </w:rPr>
        <w:t>the Inter-American Court</w:t>
      </w:r>
      <w:r w:rsidR="00790A6B" w:rsidRPr="00A50E4D">
        <w:rPr>
          <w:szCs w:val="20"/>
          <w:lang w:val="en-US"/>
        </w:rPr>
        <w:t>’s case law</w:t>
      </w:r>
      <w:r w:rsidRPr="00A50E4D">
        <w:rPr>
          <w:szCs w:val="20"/>
          <w:lang w:val="en-US"/>
        </w:rPr>
        <w:t xml:space="preserve">, the </w:t>
      </w:r>
      <w:r w:rsidR="000A786A" w:rsidRPr="00A50E4D">
        <w:rPr>
          <w:szCs w:val="20"/>
          <w:lang w:val="en-US"/>
        </w:rPr>
        <w:t>statements</w:t>
      </w:r>
      <w:r w:rsidRPr="00A50E4D">
        <w:rPr>
          <w:szCs w:val="20"/>
          <w:lang w:val="en-US"/>
        </w:rPr>
        <w:t xml:space="preserve"> made by </w:t>
      </w:r>
      <w:r w:rsidR="00371BB7" w:rsidRPr="00A50E4D">
        <w:rPr>
          <w:szCs w:val="20"/>
          <w:lang w:val="en-US"/>
        </w:rPr>
        <w:t>the presumed victims</w:t>
      </w:r>
      <w:r w:rsidR="003D717E" w:rsidRPr="00A50E4D">
        <w:rPr>
          <w:szCs w:val="20"/>
          <w:lang w:val="en-US"/>
        </w:rPr>
        <w:t xml:space="preserve"> </w:t>
      </w:r>
      <w:r w:rsidRPr="00A50E4D">
        <w:rPr>
          <w:szCs w:val="20"/>
          <w:lang w:val="en-US"/>
        </w:rPr>
        <w:t>cannot be assessed in isolation, but rather</w:t>
      </w:r>
      <w:r w:rsidR="00790A6B" w:rsidRPr="00A50E4D">
        <w:rPr>
          <w:szCs w:val="20"/>
          <w:lang w:val="en-US"/>
        </w:rPr>
        <w:t xml:space="preserve"> must be placed</w:t>
      </w:r>
      <w:r w:rsidRPr="00A50E4D">
        <w:rPr>
          <w:szCs w:val="20"/>
          <w:lang w:val="en-US"/>
        </w:rPr>
        <w:t xml:space="preserve"> in the context of all the evidence in the proceedings, insofar </w:t>
      </w:r>
      <w:r w:rsidR="00790A6B" w:rsidRPr="00A50E4D">
        <w:rPr>
          <w:szCs w:val="20"/>
          <w:lang w:val="en-US"/>
        </w:rPr>
        <w:t>as they can</w:t>
      </w:r>
      <w:r w:rsidRPr="00A50E4D">
        <w:rPr>
          <w:szCs w:val="20"/>
          <w:lang w:val="en-US"/>
        </w:rPr>
        <w:t xml:space="preserve"> provide further information on the presumed violations and the consequences.</w:t>
      </w:r>
      <w:r w:rsidR="003D717E" w:rsidRPr="00A50E4D">
        <w:rPr>
          <w:rStyle w:val="FootnoteReference"/>
          <w:sz w:val="20"/>
          <w:szCs w:val="20"/>
          <w:lang w:val="en-US"/>
        </w:rPr>
        <w:footnoteReference w:id="40"/>
      </w:r>
    </w:p>
    <w:p w14:paraId="401CC3F2" w14:textId="77777777" w:rsidR="004E0F59" w:rsidRPr="00A50E4D" w:rsidRDefault="004E0F59" w:rsidP="004E0F59">
      <w:pPr>
        <w:pStyle w:val="PrrafodeSentencia"/>
        <w:numPr>
          <w:ilvl w:val="0"/>
          <w:numId w:val="0"/>
        </w:numPr>
        <w:rPr>
          <w:lang w:val="en-US"/>
        </w:rPr>
      </w:pPr>
    </w:p>
    <w:p w14:paraId="2A95EB64" w14:textId="77777777" w:rsidR="004E0F59" w:rsidRPr="00A50E4D" w:rsidRDefault="004E0F59" w:rsidP="004E0F59">
      <w:pPr>
        <w:pStyle w:val="Heading1"/>
        <w:rPr>
          <w:spacing w:val="-4"/>
          <w:lang w:val="en-US"/>
        </w:rPr>
      </w:pPr>
      <w:bookmarkStart w:id="96" w:name="_Toc424834695"/>
      <w:bookmarkStart w:id="97" w:name="_Toc427932799"/>
      <w:bookmarkStart w:id="98" w:name="_Toc431584618"/>
      <w:bookmarkStart w:id="99" w:name="_Toc471717251"/>
      <w:r w:rsidRPr="00A50E4D">
        <w:rPr>
          <w:spacing w:val="-4"/>
          <w:lang w:val="en-US"/>
        </w:rPr>
        <w:t>VI</w:t>
      </w:r>
      <w:bookmarkEnd w:id="96"/>
      <w:bookmarkEnd w:id="97"/>
      <w:bookmarkEnd w:id="98"/>
      <w:bookmarkEnd w:id="99"/>
    </w:p>
    <w:p w14:paraId="547411F3" w14:textId="737CB6BF" w:rsidR="004E0F59" w:rsidRPr="00A50E4D" w:rsidRDefault="00700DEC" w:rsidP="004E0F59">
      <w:pPr>
        <w:pStyle w:val="Heading1"/>
        <w:rPr>
          <w:spacing w:val="-4"/>
          <w:lang w:val="en-US"/>
        </w:rPr>
      </w:pPr>
      <w:bookmarkStart w:id="100" w:name="_Toc471717252"/>
      <w:r w:rsidRPr="00A50E4D">
        <w:rPr>
          <w:spacing w:val="-4"/>
          <w:lang w:val="en-US"/>
        </w:rPr>
        <w:t>PROVEN FACTS</w:t>
      </w:r>
      <w:bookmarkEnd w:id="100"/>
    </w:p>
    <w:p w14:paraId="03E18115" w14:textId="77777777" w:rsidR="005634EA" w:rsidRPr="00A50E4D" w:rsidRDefault="005634EA" w:rsidP="005634EA">
      <w:pPr>
        <w:rPr>
          <w:spacing w:val="-4"/>
          <w:lang w:val="en-US" w:eastAsia="es-CR"/>
        </w:rPr>
      </w:pPr>
    </w:p>
    <w:p w14:paraId="7D21A205" w14:textId="7D31697D" w:rsidR="005634EA" w:rsidRPr="00A50E4D" w:rsidRDefault="002171C7" w:rsidP="005634EA">
      <w:pPr>
        <w:pStyle w:val="PrrafodeSentencia"/>
        <w:rPr>
          <w:szCs w:val="20"/>
          <w:lang w:val="en-US"/>
        </w:rPr>
      </w:pPr>
      <w:r w:rsidRPr="00A50E4D">
        <w:rPr>
          <w:lang w:val="en-US"/>
        </w:rPr>
        <w:t>The case refers to the disciplinary proceedings instituted against</w:t>
      </w:r>
      <w:r w:rsidR="00790A6B" w:rsidRPr="00A50E4D">
        <w:rPr>
          <w:lang w:val="en-US"/>
        </w:rPr>
        <w:t xml:space="preserve"> the</w:t>
      </w:r>
      <w:r w:rsidRPr="00A50E4D">
        <w:rPr>
          <w:lang w:val="en-US"/>
        </w:rPr>
        <w:t xml:space="preserve"> four presumed victims, three judges and one </w:t>
      </w:r>
      <w:r w:rsidR="00277E12" w:rsidRPr="00A50E4D">
        <w:rPr>
          <w:lang w:val="en-US"/>
        </w:rPr>
        <w:t>justice</w:t>
      </w:r>
      <w:r w:rsidRPr="00A50E4D">
        <w:rPr>
          <w:lang w:val="en-US"/>
        </w:rPr>
        <w:t xml:space="preserve">, as a result of which they were </w:t>
      </w:r>
      <w:r w:rsidR="00790A6B" w:rsidRPr="00A50E4D">
        <w:rPr>
          <w:lang w:val="en-US"/>
        </w:rPr>
        <w:t>dismissed</w:t>
      </w:r>
      <w:r w:rsidRPr="00A50E4D">
        <w:rPr>
          <w:lang w:val="en-US"/>
        </w:rPr>
        <w:t>,</w:t>
      </w:r>
      <w:r w:rsidR="00790A6B" w:rsidRPr="00A50E4D">
        <w:rPr>
          <w:lang w:val="en-US"/>
        </w:rPr>
        <w:t xml:space="preserve"> and</w:t>
      </w:r>
      <w:r w:rsidRPr="00A50E4D">
        <w:rPr>
          <w:lang w:val="en-US"/>
        </w:rPr>
        <w:t xml:space="preserve"> three of them were ultimately </w:t>
      </w:r>
      <w:r w:rsidR="00790A6B" w:rsidRPr="00A50E4D">
        <w:rPr>
          <w:lang w:val="en-US"/>
        </w:rPr>
        <w:t>excluded</w:t>
      </w:r>
      <w:r w:rsidRPr="00A50E4D">
        <w:rPr>
          <w:lang w:val="en-US"/>
        </w:rPr>
        <w:t xml:space="preserve"> from the </w:t>
      </w:r>
      <w:r w:rsidR="00700DEC" w:rsidRPr="00A50E4D">
        <w:rPr>
          <w:lang w:val="en-US"/>
        </w:rPr>
        <w:t>Judiciary</w:t>
      </w:r>
      <w:r w:rsidR="005634EA" w:rsidRPr="00A50E4D">
        <w:rPr>
          <w:lang w:val="en-US"/>
        </w:rPr>
        <w:t xml:space="preserve">. </w:t>
      </w:r>
      <w:r w:rsidRPr="00A50E4D">
        <w:rPr>
          <w:szCs w:val="20"/>
          <w:lang w:val="en-US"/>
        </w:rPr>
        <w:t>These even</w:t>
      </w:r>
      <w:r w:rsidR="00790A6B" w:rsidRPr="00A50E4D">
        <w:rPr>
          <w:szCs w:val="20"/>
          <w:lang w:val="en-US"/>
        </w:rPr>
        <w:t xml:space="preserve">ts occurred in the context of an acute </w:t>
      </w:r>
      <w:r w:rsidRPr="00A50E4D">
        <w:rPr>
          <w:szCs w:val="20"/>
          <w:lang w:val="en-US"/>
        </w:rPr>
        <w:t>democra</w:t>
      </w:r>
      <w:r w:rsidR="00541863" w:rsidRPr="00A50E4D">
        <w:rPr>
          <w:szCs w:val="20"/>
          <w:lang w:val="en-US"/>
        </w:rPr>
        <w:t>t</w:t>
      </w:r>
      <w:r w:rsidR="005634EA" w:rsidRPr="00A50E4D">
        <w:rPr>
          <w:szCs w:val="20"/>
          <w:lang w:val="en-US"/>
        </w:rPr>
        <w:t>ic</w:t>
      </w:r>
      <w:r w:rsidR="00541863" w:rsidRPr="00A50E4D">
        <w:rPr>
          <w:szCs w:val="20"/>
          <w:lang w:val="en-US"/>
        </w:rPr>
        <w:t xml:space="preserve"> crisis, classified as a </w:t>
      </w:r>
      <w:r w:rsidR="00B11ACA" w:rsidRPr="00A50E4D">
        <w:rPr>
          <w:i/>
          <w:szCs w:val="20"/>
          <w:lang w:val="en-US"/>
        </w:rPr>
        <w:t>coup d’état</w:t>
      </w:r>
      <w:r w:rsidR="00700DEC" w:rsidRPr="00A50E4D">
        <w:rPr>
          <w:szCs w:val="20"/>
          <w:lang w:val="en-US"/>
        </w:rPr>
        <w:t xml:space="preserve"> by</w:t>
      </w:r>
      <w:r w:rsidR="005634EA" w:rsidRPr="00A50E4D">
        <w:rPr>
          <w:szCs w:val="20"/>
          <w:lang w:val="en-US"/>
        </w:rPr>
        <w:t xml:space="preserve"> </w:t>
      </w:r>
      <w:r w:rsidR="00700DEC" w:rsidRPr="00A50E4D">
        <w:rPr>
          <w:szCs w:val="20"/>
          <w:lang w:val="en-US"/>
        </w:rPr>
        <w:t>the General Assembly</w:t>
      </w:r>
      <w:r w:rsidR="009808C5" w:rsidRPr="00A50E4D">
        <w:rPr>
          <w:szCs w:val="20"/>
          <w:lang w:val="en-US"/>
        </w:rPr>
        <w:t xml:space="preserve"> and </w:t>
      </w:r>
      <w:r w:rsidR="00700DEC" w:rsidRPr="00A50E4D">
        <w:rPr>
          <w:szCs w:val="20"/>
          <w:lang w:val="en-US"/>
        </w:rPr>
        <w:t>the Permanent Council of the Organization of American States</w:t>
      </w:r>
      <w:r w:rsidR="005634EA" w:rsidRPr="00A50E4D">
        <w:rPr>
          <w:szCs w:val="20"/>
          <w:lang w:val="en-US"/>
        </w:rPr>
        <w:t xml:space="preserve"> (</w:t>
      </w:r>
      <w:r w:rsidR="009808C5" w:rsidRPr="00A50E4D">
        <w:rPr>
          <w:szCs w:val="20"/>
          <w:lang w:val="en-US"/>
        </w:rPr>
        <w:t>hereinafter</w:t>
      </w:r>
      <w:r w:rsidR="005634EA" w:rsidRPr="00A50E4D">
        <w:rPr>
          <w:szCs w:val="20"/>
          <w:lang w:val="en-US"/>
        </w:rPr>
        <w:t xml:space="preserve"> “</w:t>
      </w:r>
      <w:r w:rsidR="00700DEC" w:rsidRPr="00A50E4D">
        <w:rPr>
          <w:szCs w:val="20"/>
          <w:lang w:val="en-US"/>
        </w:rPr>
        <w:t>OAS</w:t>
      </w:r>
      <w:r w:rsidR="005634EA" w:rsidRPr="00A50E4D">
        <w:rPr>
          <w:szCs w:val="20"/>
          <w:lang w:val="en-US"/>
        </w:rPr>
        <w:t>”)</w:t>
      </w:r>
      <w:r w:rsidR="009808C5" w:rsidRPr="00A50E4D">
        <w:rPr>
          <w:szCs w:val="20"/>
          <w:lang w:val="en-US"/>
        </w:rPr>
        <w:t xml:space="preserve"> and </w:t>
      </w:r>
      <w:r w:rsidR="000A786A" w:rsidRPr="00A50E4D">
        <w:rPr>
          <w:szCs w:val="20"/>
          <w:lang w:val="en-US"/>
        </w:rPr>
        <w:t xml:space="preserve">by </w:t>
      </w:r>
      <w:r w:rsidR="00700DEC" w:rsidRPr="00A50E4D">
        <w:rPr>
          <w:szCs w:val="20"/>
          <w:lang w:val="en-US"/>
        </w:rPr>
        <w:t>the General Assembly</w:t>
      </w:r>
      <w:r w:rsidR="005634EA" w:rsidRPr="00A50E4D">
        <w:rPr>
          <w:szCs w:val="20"/>
          <w:lang w:val="en-US"/>
        </w:rPr>
        <w:t xml:space="preserve"> </w:t>
      </w:r>
      <w:r w:rsidR="00700DEC" w:rsidRPr="00A50E4D">
        <w:rPr>
          <w:szCs w:val="20"/>
          <w:lang w:val="en-US"/>
        </w:rPr>
        <w:t>of the United Nations</w:t>
      </w:r>
      <w:r w:rsidR="00FA182C" w:rsidRPr="00A50E4D">
        <w:rPr>
          <w:szCs w:val="20"/>
          <w:lang w:val="en-US"/>
        </w:rPr>
        <w:t xml:space="preserve"> (</w:t>
      </w:r>
      <w:r w:rsidR="009808C5" w:rsidRPr="00A50E4D">
        <w:rPr>
          <w:szCs w:val="20"/>
          <w:lang w:val="en-US"/>
        </w:rPr>
        <w:t>hereinafter</w:t>
      </w:r>
      <w:r w:rsidR="00FA182C" w:rsidRPr="00A50E4D">
        <w:rPr>
          <w:szCs w:val="20"/>
          <w:lang w:val="en-US"/>
        </w:rPr>
        <w:t xml:space="preserve"> “</w:t>
      </w:r>
      <w:r w:rsidR="008F0ED6" w:rsidRPr="00A50E4D">
        <w:rPr>
          <w:szCs w:val="20"/>
          <w:lang w:val="en-US"/>
        </w:rPr>
        <w:t>United Nations</w:t>
      </w:r>
      <w:r w:rsidR="00FA182C" w:rsidRPr="00A50E4D">
        <w:rPr>
          <w:szCs w:val="20"/>
          <w:lang w:val="en-US"/>
        </w:rPr>
        <w:t>”)</w:t>
      </w:r>
      <w:r w:rsidR="005634EA" w:rsidRPr="00A50E4D">
        <w:rPr>
          <w:szCs w:val="20"/>
          <w:lang w:val="en-US"/>
        </w:rPr>
        <w:t xml:space="preserve"> (</w:t>
      </w:r>
      <w:r w:rsidR="005634EA" w:rsidRPr="00A50E4D">
        <w:rPr>
          <w:i/>
          <w:szCs w:val="20"/>
          <w:lang w:val="en-US"/>
        </w:rPr>
        <w:t xml:space="preserve">infra </w:t>
      </w:r>
      <w:r w:rsidR="00AD5EE7" w:rsidRPr="00A50E4D">
        <w:rPr>
          <w:szCs w:val="20"/>
          <w:lang w:val="en-US"/>
        </w:rPr>
        <w:t>para.</w:t>
      </w:r>
      <w:r w:rsidR="005634EA" w:rsidRPr="00A50E4D">
        <w:rPr>
          <w:szCs w:val="20"/>
          <w:lang w:val="en-US"/>
        </w:rPr>
        <w:t xml:space="preserve"> </w:t>
      </w:r>
      <w:r w:rsidR="005634EA" w:rsidRPr="00914F55">
        <w:rPr>
          <w:lang w:val="en-US"/>
        </w:rPr>
        <w:fldChar w:fldCharType="begin"/>
      </w:r>
      <w:r w:rsidR="005634EA" w:rsidRPr="00A50E4D">
        <w:rPr>
          <w:lang w:val="en-US"/>
        </w:rPr>
        <w:instrText xml:space="preserve"> REF _Ref427310347 \r \h  \* MERGEFORMAT </w:instrText>
      </w:r>
      <w:r w:rsidR="005634EA" w:rsidRPr="00914F55">
        <w:rPr>
          <w:lang w:val="en-US"/>
        </w:rPr>
      </w:r>
      <w:r w:rsidR="005634EA" w:rsidRPr="00914F55">
        <w:rPr>
          <w:lang w:val="en-US"/>
        </w:rPr>
        <w:fldChar w:fldCharType="separate"/>
      </w:r>
      <w:r w:rsidR="00547588" w:rsidRPr="00547588">
        <w:rPr>
          <w:szCs w:val="20"/>
          <w:lang w:val="en-US"/>
        </w:rPr>
        <w:t>52</w:t>
      </w:r>
      <w:r w:rsidR="005634EA" w:rsidRPr="00914F55">
        <w:rPr>
          <w:lang w:val="en-US"/>
        </w:rPr>
        <w:fldChar w:fldCharType="end"/>
      </w:r>
      <w:r w:rsidR="005634EA" w:rsidRPr="00A50E4D">
        <w:rPr>
          <w:szCs w:val="20"/>
          <w:lang w:val="en-US"/>
        </w:rPr>
        <w:t>)</w:t>
      </w:r>
      <w:r w:rsidR="00541863" w:rsidRPr="00A50E4D">
        <w:rPr>
          <w:szCs w:val="20"/>
          <w:lang w:val="en-US"/>
        </w:rPr>
        <w:t>,</w:t>
      </w:r>
      <w:r w:rsidR="009808C5" w:rsidRPr="00A50E4D">
        <w:rPr>
          <w:szCs w:val="20"/>
          <w:lang w:val="en-US"/>
        </w:rPr>
        <w:t xml:space="preserve"> and</w:t>
      </w:r>
      <w:r w:rsidR="00541863" w:rsidRPr="00A50E4D">
        <w:rPr>
          <w:szCs w:val="20"/>
          <w:lang w:val="en-US"/>
        </w:rPr>
        <w:t xml:space="preserve"> as a constitutional succession by </w:t>
      </w:r>
      <w:r w:rsidR="009808C5" w:rsidRPr="00A50E4D">
        <w:rPr>
          <w:szCs w:val="20"/>
          <w:lang w:val="en-US"/>
        </w:rPr>
        <w:t xml:space="preserve">the </w:t>
      </w:r>
      <w:r w:rsidR="00371BB7" w:rsidRPr="00A50E4D">
        <w:rPr>
          <w:szCs w:val="20"/>
          <w:lang w:val="en-US"/>
        </w:rPr>
        <w:t>Supreme Court of Justice</w:t>
      </w:r>
      <w:r w:rsidR="005634EA" w:rsidRPr="00A50E4D">
        <w:rPr>
          <w:szCs w:val="20"/>
          <w:lang w:val="en-US"/>
        </w:rPr>
        <w:t xml:space="preserve"> </w:t>
      </w:r>
      <w:r w:rsidR="00700DEC" w:rsidRPr="00A50E4D">
        <w:rPr>
          <w:szCs w:val="20"/>
          <w:lang w:val="en-US"/>
        </w:rPr>
        <w:t>of Honduras</w:t>
      </w:r>
      <w:r w:rsidR="00BE1230" w:rsidRPr="00A50E4D">
        <w:rPr>
          <w:szCs w:val="20"/>
          <w:lang w:val="en-US"/>
        </w:rPr>
        <w:t xml:space="preserve"> (</w:t>
      </w:r>
      <w:r w:rsidR="009808C5" w:rsidRPr="00A50E4D">
        <w:rPr>
          <w:szCs w:val="20"/>
          <w:lang w:val="en-US"/>
        </w:rPr>
        <w:t>hereinafter</w:t>
      </w:r>
      <w:r w:rsidR="00BE1230" w:rsidRPr="00A50E4D">
        <w:rPr>
          <w:szCs w:val="20"/>
          <w:lang w:val="en-US"/>
        </w:rPr>
        <w:t xml:space="preserve"> “</w:t>
      </w:r>
      <w:r w:rsidR="009808C5" w:rsidRPr="00A50E4D">
        <w:rPr>
          <w:szCs w:val="20"/>
          <w:lang w:val="en-US"/>
        </w:rPr>
        <w:t xml:space="preserve">the </w:t>
      </w:r>
      <w:r w:rsidR="00700DEC" w:rsidRPr="00A50E4D">
        <w:rPr>
          <w:szCs w:val="20"/>
          <w:lang w:val="en-US"/>
        </w:rPr>
        <w:t>Supreme Court</w:t>
      </w:r>
      <w:r w:rsidR="00BE1230" w:rsidRPr="00A50E4D">
        <w:rPr>
          <w:szCs w:val="20"/>
          <w:lang w:val="en-US"/>
        </w:rPr>
        <w:t>”)</w:t>
      </w:r>
      <w:r w:rsidR="005634EA" w:rsidRPr="00A50E4D">
        <w:rPr>
          <w:szCs w:val="20"/>
          <w:lang w:val="en-US"/>
        </w:rPr>
        <w:t xml:space="preserve"> (</w:t>
      </w:r>
      <w:r w:rsidR="005634EA" w:rsidRPr="00A50E4D">
        <w:rPr>
          <w:i/>
          <w:szCs w:val="20"/>
          <w:lang w:val="en-US"/>
        </w:rPr>
        <w:t xml:space="preserve">infra </w:t>
      </w:r>
      <w:r w:rsidR="00AD5EE7" w:rsidRPr="00A50E4D">
        <w:rPr>
          <w:szCs w:val="20"/>
          <w:lang w:val="en-US"/>
        </w:rPr>
        <w:t>para.</w:t>
      </w:r>
      <w:r w:rsidR="005634EA" w:rsidRPr="00A50E4D">
        <w:rPr>
          <w:szCs w:val="20"/>
          <w:lang w:val="en-US"/>
        </w:rPr>
        <w:t xml:space="preserve"> </w:t>
      </w:r>
      <w:r w:rsidR="005634EA" w:rsidRPr="00914F55">
        <w:rPr>
          <w:szCs w:val="20"/>
          <w:lang w:val="en-US"/>
        </w:rPr>
        <w:fldChar w:fldCharType="begin"/>
      </w:r>
      <w:r w:rsidR="005634EA" w:rsidRPr="00A50E4D">
        <w:rPr>
          <w:szCs w:val="20"/>
          <w:lang w:val="en-US"/>
        </w:rPr>
        <w:instrText xml:space="preserve"> REF _Ref427314091 \r \h  \* MERGEFORMAT </w:instrText>
      </w:r>
      <w:r w:rsidR="005634EA" w:rsidRPr="00914F55">
        <w:rPr>
          <w:szCs w:val="20"/>
          <w:lang w:val="en-US"/>
        </w:rPr>
      </w:r>
      <w:r w:rsidR="005634EA" w:rsidRPr="00914F55">
        <w:rPr>
          <w:szCs w:val="20"/>
          <w:lang w:val="en-US"/>
        </w:rPr>
        <w:fldChar w:fldCharType="separate"/>
      </w:r>
      <w:r w:rsidR="00547588">
        <w:rPr>
          <w:szCs w:val="20"/>
          <w:lang w:val="en-US"/>
        </w:rPr>
        <w:t>63</w:t>
      </w:r>
      <w:r w:rsidR="005634EA" w:rsidRPr="00914F55">
        <w:rPr>
          <w:szCs w:val="20"/>
          <w:lang w:val="en-US"/>
        </w:rPr>
        <w:fldChar w:fldCharType="end"/>
      </w:r>
      <w:r w:rsidR="005634EA" w:rsidRPr="00A50E4D">
        <w:rPr>
          <w:szCs w:val="20"/>
          <w:lang w:val="en-US"/>
        </w:rPr>
        <w:t xml:space="preserve">). </w:t>
      </w:r>
      <w:r w:rsidR="00541863" w:rsidRPr="00A50E4D">
        <w:rPr>
          <w:szCs w:val="20"/>
          <w:lang w:val="en-US"/>
        </w:rPr>
        <w:t xml:space="preserve">Consequently, </w:t>
      </w:r>
      <w:r w:rsidR="009808C5" w:rsidRPr="00A50E4D">
        <w:rPr>
          <w:szCs w:val="20"/>
          <w:lang w:val="en-US"/>
        </w:rPr>
        <w:t>the Court</w:t>
      </w:r>
      <w:r w:rsidR="005634EA" w:rsidRPr="00A50E4D">
        <w:rPr>
          <w:szCs w:val="20"/>
          <w:lang w:val="en-US"/>
        </w:rPr>
        <w:t xml:space="preserve"> </w:t>
      </w:r>
      <w:r w:rsidR="00541863" w:rsidRPr="00A50E4D">
        <w:rPr>
          <w:szCs w:val="20"/>
          <w:lang w:val="en-US"/>
        </w:rPr>
        <w:t xml:space="preserve">will </w:t>
      </w:r>
      <w:r w:rsidR="008F0ED6" w:rsidRPr="00A50E4D">
        <w:rPr>
          <w:szCs w:val="20"/>
          <w:lang w:val="en-US"/>
        </w:rPr>
        <w:t>set out</w:t>
      </w:r>
      <w:r w:rsidR="00541863" w:rsidRPr="00A50E4D">
        <w:rPr>
          <w:szCs w:val="20"/>
          <w:lang w:val="en-US"/>
        </w:rPr>
        <w:t xml:space="preserve">: (A) the facts relating to the context in which the </w:t>
      </w:r>
      <w:r w:rsidR="008F0ED6" w:rsidRPr="00A50E4D">
        <w:rPr>
          <w:szCs w:val="20"/>
          <w:lang w:val="en-US"/>
        </w:rPr>
        <w:t>events</w:t>
      </w:r>
      <w:r w:rsidR="00541863" w:rsidRPr="00A50E4D">
        <w:rPr>
          <w:szCs w:val="20"/>
          <w:lang w:val="en-US"/>
        </w:rPr>
        <w:t xml:space="preserve"> of this case occurred; (B) the normative framework under which the disciplinary proceedings against </w:t>
      </w:r>
      <w:r w:rsidR="00371BB7" w:rsidRPr="00A50E4D">
        <w:rPr>
          <w:szCs w:val="20"/>
          <w:lang w:val="en-US"/>
        </w:rPr>
        <w:t>the presumed victims</w:t>
      </w:r>
      <w:r w:rsidR="00541863" w:rsidRPr="00A50E4D">
        <w:rPr>
          <w:szCs w:val="20"/>
          <w:lang w:val="en-US"/>
        </w:rPr>
        <w:t xml:space="preserve"> were held,</w:t>
      </w:r>
      <w:r w:rsidR="009808C5" w:rsidRPr="00A50E4D">
        <w:rPr>
          <w:szCs w:val="20"/>
          <w:lang w:val="en-US"/>
        </w:rPr>
        <w:t xml:space="preserve"> and </w:t>
      </w:r>
      <w:r w:rsidR="00541863" w:rsidRPr="00A50E4D">
        <w:rPr>
          <w:szCs w:val="20"/>
          <w:lang w:val="en-US"/>
        </w:rPr>
        <w:t xml:space="preserve">(C) the facts relating to the disciplinary proceedings against </w:t>
      </w:r>
      <w:r w:rsidR="00371BB7" w:rsidRPr="00A50E4D">
        <w:rPr>
          <w:szCs w:val="20"/>
          <w:lang w:val="en-US"/>
        </w:rPr>
        <w:t>the presumed victims</w:t>
      </w:r>
      <w:r w:rsidR="005634EA" w:rsidRPr="00A50E4D">
        <w:rPr>
          <w:szCs w:val="20"/>
          <w:lang w:val="en-US"/>
        </w:rPr>
        <w:t>.</w:t>
      </w:r>
    </w:p>
    <w:p w14:paraId="0E519E25" w14:textId="77777777" w:rsidR="005634EA" w:rsidRPr="00A50E4D" w:rsidRDefault="005634EA" w:rsidP="005634EA">
      <w:pPr>
        <w:rPr>
          <w:spacing w:val="-4"/>
          <w:szCs w:val="20"/>
          <w:lang w:val="en-US" w:eastAsia="es-MX"/>
        </w:rPr>
      </w:pPr>
    </w:p>
    <w:p w14:paraId="6C2C9C86" w14:textId="0C88D29F" w:rsidR="005634EA" w:rsidRPr="00A50E4D" w:rsidRDefault="005634EA" w:rsidP="005634EA">
      <w:pPr>
        <w:pStyle w:val="Heading2"/>
        <w:rPr>
          <w:spacing w:val="-4"/>
          <w:szCs w:val="20"/>
          <w:lang w:val="en-US"/>
        </w:rPr>
      </w:pPr>
      <w:bookmarkStart w:id="101" w:name="_Toc424834697"/>
      <w:bookmarkStart w:id="102" w:name="_Toc427932801"/>
      <w:bookmarkStart w:id="103" w:name="_Toc471717253"/>
      <w:bookmarkStart w:id="104" w:name="_Toc431584620"/>
      <w:r w:rsidRPr="00A50E4D">
        <w:rPr>
          <w:spacing w:val="-4"/>
          <w:szCs w:val="20"/>
          <w:lang w:val="en-US"/>
        </w:rPr>
        <w:t xml:space="preserve">A. </w:t>
      </w:r>
      <w:r w:rsidR="00700DEC" w:rsidRPr="00A50E4D">
        <w:rPr>
          <w:spacing w:val="-4"/>
          <w:szCs w:val="20"/>
          <w:lang w:val="en-US"/>
        </w:rPr>
        <w:t>Context</w:t>
      </w:r>
      <w:bookmarkEnd w:id="101"/>
      <w:bookmarkEnd w:id="102"/>
      <w:bookmarkEnd w:id="103"/>
      <w:r w:rsidRPr="00A50E4D">
        <w:rPr>
          <w:spacing w:val="-4"/>
          <w:szCs w:val="20"/>
          <w:u w:val="single"/>
          <w:lang w:val="en-US"/>
        </w:rPr>
        <w:t xml:space="preserve"> </w:t>
      </w:r>
      <w:bookmarkEnd w:id="104"/>
    </w:p>
    <w:p w14:paraId="067DAB88" w14:textId="77777777" w:rsidR="005634EA" w:rsidRPr="00A50E4D" w:rsidRDefault="005634EA" w:rsidP="005634EA">
      <w:pPr>
        <w:rPr>
          <w:lang w:val="en-US" w:eastAsia="es-MX"/>
        </w:rPr>
      </w:pPr>
    </w:p>
    <w:p w14:paraId="1E2A34C9" w14:textId="576EA8B4" w:rsidR="005634EA" w:rsidRPr="00A50E4D" w:rsidRDefault="00CE60E9" w:rsidP="00CE60E9">
      <w:pPr>
        <w:pStyle w:val="PrrafodeSentencia"/>
        <w:rPr>
          <w:szCs w:val="20"/>
          <w:lang w:val="en-US"/>
        </w:rPr>
      </w:pPr>
      <w:r w:rsidRPr="00A50E4D">
        <w:rPr>
          <w:szCs w:val="20"/>
          <w:lang w:val="en-US"/>
        </w:rPr>
        <w:t>In the exercise of its contentious jurisdiction, the Court has examined di</w:t>
      </w:r>
      <w:r w:rsidR="0036513A" w:rsidRPr="00A50E4D">
        <w:rPr>
          <w:szCs w:val="20"/>
          <w:lang w:val="en-US"/>
        </w:rPr>
        <w:t>verse</w:t>
      </w:r>
      <w:r w:rsidRPr="00A50E4D">
        <w:rPr>
          <w:szCs w:val="20"/>
          <w:lang w:val="en-US"/>
        </w:rPr>
        <w:t xml:space="preserve"> historical, social and political contexts that </w:t>
      </w:r>
      <w:r w:rsidR="0036513A" w:rsidRPr="00A50E4D">
        <w:rPr>
          <w:szCs w:val="20"/>
          <w:lang w:val="en-US"/>
        </w:rPr>
        <w:t xml:space="preserve">have </w:t>
      </w:r>
      <w:r w:rsidRPr="00A50E4D">
        <w:rPr>
          <w:szCs w:val="20"/>
          <w:lang w:val="en-US"/>
        </w:rPr>
        <w:t xml:space="preserve">allowed it to situate the facts </w:t>
      </w:r>
      <w:r w:rsidR="000A786A" w:rsidRPr="00A50E4D">
        <w:rPr>
          <w:szCs w:val="20"/>
          <w:lang w:val="en-US"/>
        </w:rPr>
        <w:t>alleged</w:t>
      </w:r>
      <w:r w:rsidRPr="00A50E4D">
        <w:rPr>
          <w:szCs w:val="20"/>
          <w:lang w:val="en-US"/>
        </w:rPr>
        <w:t xml:space="preserve"> to have violated the American Convention within the framework of the specific circumstances in which they occurred. In some cases, the context makes it possible to characterize the facts as part of a systematic pattern of human rights violations,</w:t>
      </w:r>
      <w:r w:rsidR="005634EA" w:rsidRPr="00A50E4D">
        <w:rPr>
          <w:vertAlign w:val="superscript"/>
          <w:lang w:val="en-US"/>
        </w:rPr>
        <w:footnoteReference w:id="41"/>
      </w:r>
      <w:r w:rsidRPr="00A50E4D">
        <w:rPr>
          <w:szCs w:val="20"/>
          <w:lang w:val="en-US"/>
        </w:rPr>
        <w:t xml:space="preserve"> as a practice applied and tolerated by </w:t>
      </w:r>
      <w:r w:rsidR="009808C5" w:rsidRPr="00A50E4D">
        <w:rPr>
          <w:rFonts w:eastAsia="Calibri"/>
          <w:szCs w:val="20"/>
          <w:lang w:val="en-US"/>
        </w:rPr>
        <w:t>the State</w:t>
      </w:r>
      <w:r w:rsidRPr="00A50E4D">
        <w:rPr>
          <w:rFonts w:eastAsia="Calibri"/>
          <w:szCs w:val="20"/>
          <w:lang w:val="en-US"/>
        </w:rPr>
        <w:t>,</w:t>
      </w:r>
      <w:r w:rsidR="005634EA" w:rsidRPr="00A50E4D">
        <w:rPr>
          <w:rFonts w:eastAsia="Calibri"/>
          <w:vertAlign w:val="superscript"/>
          <w:lang w:val="en-US"/>
        </w:rPr>
        <w:footnoteReference w:id="42"/>
      </w:r>
      <w:r w:rsidR="005634EA" w:rsidRPr="00A50E4D">
        <w:rPr>
          <w:rFonts w:eastAsia="Calibri"/>
          <w:szCs w:val="20"/>
          <w:lang w:val="en-US"/>
        </w:rPr>
        <w:t xml:space="preserve"> o</w:t>
      </w:r>
      <w:r w:rsidRPr="00A50E4D">
        <w:rPr>
          <w:rFonts w:eastAsia="Calibri"/>
          <w:szCs w:val="20"/>
          <w:lang w:val="en-US"/>
        </w:rPr>
        <w:t>r as part of massive and systematic or generalized attacks</w:t>
      </w:r>
      <w:r w:rsidR="0036513A" w:rsidRPr="00A50E4D">
        <w:rPr>
          <w:rFonts w:eastAsia="Calibri"/>
          <w:szCs w:val="20"/>
          <w:lang w:val="en-US"/>
        </w:rPr>
        <w:t xml:space="preserve"> on one</w:t>
      </w:r>
      <w:r w:rsidRPr="00A50E4D">
        <w:rPr>
          <w:rFonts w:eastAsia="Calibri"/>
          <w:szCs w:val="20"/>
          <w:lang w:val="en-US"/>
        </w:rPr>
        <w:t xml:space="preserve"> sector of the population.</w:t>
      </w:r>
      <w:r w:rsidR="005634EA" w:rsidRPr="00A50E4D">
        <w:rPr>
          <w:vertAlign w:val="superscript"/>
          <w:lang w:val="en-US"/>
        </w:rPr>
        <w:footnoteReference w:id="43"/>
      </w:r>
      <w:r w:rsidR="0036513A" w:rsidRPr="00A50E4D">
        <w:rPr>
          <w:rFonts w:eastAsia="Calibri"/>
          <w:szCs w:val="20"/>
          <w:lang w:val="en-US"/>
        </w:rPr>
        <w:t xml:space="preserve"> The Court</w:t>
      </w:r>
      <w:r w:rsidRPr="00A50E4D">
        <w:rPr>
          <w:rFonts w:eastAsia="Calibri"/>
          <w:szCs w:val="20"/>
          <w:lang w:val="en-US"/>
        </w:rPr>
        <w:t xml:space="preserve"> has </w:t>
      </w:r>
      <w:r w:rsidR="0036513A" w:rsidRPr="00A50E4D">
        <w:rPr>
          <w:rFonts w:eastAsia="Calibri"/>
          <w:szCs w:val="20"/>
          <w:lang w:val="en-US"/>
        </w:rPr>
        <w:t xml:space="preserve">also </w:t>
      </w:r>
      <w:r w:rsidRPr="00A50E4D">
        <w:rPr>
          <w:rFonts w:eastAsia="Calibri"/>
          <w:szCs w:val="20"/>
          <w:lang w:val="en-US"/>
        </w:rPr>
        <w:t xml:space="preserve">taken the context into account to </w:t>
      </w:r>
      <w:r w:rsidR="0036513A" w:rsidRPr="00A50E4D">
        <w:rPr>
          <w:rFonts w:eastAsia="Calibri"/>
          <w:szCs w:val="20"/>
          <w:lang w:val="en-US"/>
        </w:rPr>
        <w:t>establish</w:t>
      </w:r>
      <w:r w:rsidRPr="00A50E4D">
        <w:rPr>
          <w:rFonts w:eastAsia="Calibri"/>
          <w:szCs w:val="20"/>
          <w:lang w:val="en-US"/>
        </w:rPr>
        <w:t xml:space="preserve"> the international responsibility of the State,</w:t>
      </w:r>
      <w:r w:rsidR="005634EA" w:rsidRPr="00A50E4D">
        <w:rPr>
          <w:vertAlign w:val="superscript"/>
          <w:lang w:val="en-US"/>
        </w:rPr>
        <w:footnoteReference w:id="44"/>
      </w:r>
      <w:r w:rsidR="0036513A" w:rsidRPr="00A50E4D">
        <w:rPr>
          <w:szCs w:val="20"/>
          <w:lang w:val="en-US"/>
        </w:rPr>
        <w:t xml:space="preserve"> to</w:t>
      </w:r>
      <w:r w:rsidRPr="00A50E4D">
        <w:rPr>
          <w:szCs w:val="20"/>
          <w:lang w:val="en-US"/>
        </w:rPr>
        <w:t xml:space="preserve"> understand and a</w:t>
      </w:r>
      <w:r w:rsidR="0036513A" w:rsidRPr="00A50E4D">
        <w:rPr>
          <w:szCs w:val="20"/>
          <w:lang w:val="en-US"/>
        </w:rPr>
        <w:t>ssess</w:t>
      </w:r>
      <w:r w:rsidR="00A3368B" w:rsidRPr="00A50E4D">
        <w:rPr>
          <w:szCs w:val="20"/>
          <w:lang w:val="en-US"/>
        </w:rPr>
        <w:t xml:space="preserve"> the evidence</w:t>
      </w:r>
      <w:r w:rsidRPr="00A50E4D">
        <w:rPr>
          <w:szCs w:val="20"/>
          <w:lang w:val="en-US"/>
        </w:rPr>
        <w:t>,</w:t>
      </w:r>
      <w:r w:rsidR="005634EA" w:rsidRPr="00A50E4D">
        <w:rPr>
          <w:vertAlign w:val="superscript"/>
          <w:lang w:val="en-US"/>
        </w:rPr>
        <w:footnoteReference w:id="45"/>
      </w:r>
      <w:r w:rsidR="0036513A" w:rsidRPr="00A50E4D">
        <w:rPr>
          <w:rFonts w:cs="Calibri"/>
          <w:bCs/>
          <w:szCs w:val="20"/>
          <w:lang w:val="en-US"/>
        </w:rPr>
        <w:t xml:space="preserve"> to evaluate the</w:t>
      </w:r>
      <w:r w:rsidRPr="00A50E4D">
        <w:rPr>
          <w:rFonts w:cs="Calibri"/>
          <w:bCs/>
          <w:szCs w:val="20"/>
          <w:lang w:val="en-US"/>
        </w:rPr>
        <w:t xml:space="preserve"> </w:t>
      </w:r>
      <w:r w:rsidR="0036513A" w:rsidRPr="00A50E4D">
        <w:rPr>
          <w:rFonts w:cs="Calibri"/>
          <w:bCs/>
          <w:szCs w:val="20"/>
          <w:lang w:val="en-US"/>
        </w:rPr>
        <w:t>relevance</w:t>
      </w:r>
      <w:r w:rsidRPr="00A50E4D">
        <w:rPr>
          <w:rFonts w:cs="Calibri"/>
          <w:bCs/>
          <w:szCs w:val="20"/>
          <w:lang w:val="en-US"/>
        </w:rPr>
        <w:t xml:space="preserve"> of certain measures of reparation, and</w:t>
      </w:r>
      <w:r w:rsidR="0036513A" w:rsidRPr="00A50E4D">
        <w:rPr>
          <w:rFonts w:cs="Calibri"/>
          <w:bCs/>
          <w:szCs w:val="20"/>
          <w:lang w:val="en-US"/>
        </w:rPr>
        <w:t xml:space="preserve"> to determine</w:t>
      </w:r>
      <w:r w:rsidRPr="00A50E4D">
        <w:rPr>
          <w:rFonts w:cs="Calibri"/>
          <w:bCs/>
          <w:szCs w:val="20"/>
          <w:lang w:val="en-US"/>
        </w:rPr>
        <w:t xml:space="preserve"> the </w:t>
      </w:r>
      <w:r w:rsidR="0036513A" w:rsidRPr="00A50E4D">
        <w:rPr>
          <w:rFonts w:cs="Calibri"/>
          <w:bCs/>
          <w:szCs w:val="20"/>
          <w:lang w:val="en-US"/>
        </w:rPr>
        <w:t>standards established</w:t>
      </w:r>
      <w:r w:rsidRPr="00A50E4D">
        <w:rPr>
          <w:rFonts w:cs="Calibri"/>
          <w:bCs/>
          <w:szCs w:val="20"/>
          <w:lang w:val="en-US"/>
        </w:rPr>
        <w:t xml:space="preserve"> </w:t>
      </w:r>
      <w:r w:rsidR="0036513A" w:rsidRPr="00A50E4D">
        <w:rPr>
          <w:rFonts w:cs="Calibri"/>
          <w:bCs/>
          <w:szCs w:val="20"/>
          <w:lang w:val="en-US"/>
        </w:rPr>
        <w:t>with regard to</w:t>
      </w:r>
      <w:r w:rsidRPr="00A50E4D">
        <w:rPr>
          <w:rFonts w:cs="Calibri"/>
          <w:bCs/>
          <w:szCs w:val="20"/>
          <w:lang w:val="en-US"/>
        </w:rPr>
        <w:t xml:space="preserve"> the obligation to investigate such cases.</w:t>
      </w:r>
      <w:r w:rsidR="005634EA" w:rsidRPr="00A50E4D">
        <w:rPr>
          <w:rFonts w:eastAsia="Calibri"/>
          <w:vertAlign w:val="superscript"/>
          <w:lang w:val="en-US"/>
        </w:rPr>
        <w:footnoteReference w:id="46"/>
      </w:r>
      <w:r w:rsidRPr="00A50E4D">
        <w:rPr>
          <w:rFonts w:eastAsia="Calibri"/>
          <w:szCs w:val="20"/>
          <w:lang w:val="en-US"/>
        </w:rPr>
        <w:t xml:space="preserve"> </w:t>
      </w:r>
      <w:r w:rsidR="0036513A" w:rsidRPr="00A50E4D">
        <w:rPr>
          <w:rFonts w:eastAsia="Calibri"/>
          <w:szCs w:val="20"/>
          <w:lang w:val="en-US"/>
        </w:rPr>
        <w:t>Accordingly</w:t>
      </w:r>
      <w:r w:rsidRPr="00A50E4D">
        <w:rPr>
          <w:rFonts w:eastAsia="Calibri"/>
          <w:szCs w:val="20"/>
          <w:lang w:val="en-US"/>
        </w:rPr>
        <w:t>, since it is relevant to understand</w:t>
      </w:r>
      <w:r w:rsidR="0036513A" w:rsidRPr="00A50E4D">
        <w:rPr>
          <w:rFonts w:eastAsia="Calibri"/>
          <w:szCs w:val="20"/>
          <w:lang w:val="en-US"/>
        </w:rPr>
        <w:t>ing</w:t>
      </w:r>
      <w:r w:rsidRPr="00A50E4D">
        <w:rPr>
          <w:rFonts w:eastAsia="Calibri"/>
          <w:szCs w:val="20"/>
          <w:lang w:val="en-US"/>
        </w:rPr>
        <w:t xml:space="preserve"> the facts and the alleged violations of </w:t>
      </w:r>
      <w:r w:rsidR="009808C5" w:rsidRPr="00A50E4D">
        <w:rPr>
          <w:szCs w:val="20"/>
          <w:lang w:val="en-US"/>
        </w:rPr>
        <w:t>the Convention</w:t>
      </w:r>
      <w:r w:rsidR="005634EA" w:rsidRPr="00A50E4D">
        <w:rPr>
          <w:szCs w:val="20"/>
          <w:lang w:val="en-US"/>
        </w:rPr>
        <w:t xml:space="preserve"> </w:t>
      </w:r>
      <w:r w:rsidRPr="00A50E4D">
        <w:rPr>
          <w:szCs w:val="20"/>
          <w:lang w:val="en-US"/>
        </w:rPr>
        <w:t xml:space="preserve">in this case, the Court will now </w:t>
      </w:r>
      <w:r w:rsidR="0036513A" w:rsidRPr="00A50E4D">
        <w:rPr>
          <w:szCs w:val="20"/>
          <w:lang w:val="en-US"/>
        </w:rPr>
        <w:t>present</w:t>
      </w:r>
      <w:r w:rsidRPr="00A50E4D">
        <w:rPr>
          <w:szCs w:val="20"/>
          <w:lang w:val="en-US"/>
        </w:rPr>
        <w:t xml:space="preserve"> the facts relating to: (</w:t>
      </w:r>
      <w:r w:rsidR="005634EA" w:rsidRPr="00A50E4D">
        <w:rPr>
          <w:szCs w:val="20"/>
          <w:lang w:val="en-US"/>
        </w:rPr>
        <w:t xml:space="preserve">1) </w:t>
      </w:r>
      <w:r w:rsidR="00371BB7" w:rsidRPr="00A50E4D">
        <w:rPr>
          <w:szCs w:val="20"/>
          <w:lang w:val="en-US"/>
        </w:rPr>
        <w:t xml:space="preserve">the </w:t>
      </w:r>
      <w:r w:rsidR="00B11ACA" w:rsidRPr="00A50E4D">
        <w:rPr>
          <w:i/>
          <w:szCs w:val="20"/>
          <w:lang w:val="en-US"/>
        </w:rPr>
        <w:t>coup d’état</w:t>
      </w:r>
      <w:r w:rsidR="005634EA" w:rsidRPr="00A50E4D">
        <w:rPr>
          <w:szCs w:val="20"/>
          <w:lang w:val="en-US"/>
        </w:rPr>
        <w:t xml:space="preserve"> </w:t>
      </w:r>
      <w:r w:rsidR="00700DEC" w:rsidRPr="00A50E4D">
        <w:rPr>
          <w:szCs w:val="20"/>
          <w:lang w:val="en-US"/>
        </w:rPr>
        <w:t xml:space="preserve">in </w:t>
      </w:r>
      <w:r w:rsidR="00700DEC" w:rsidRPr="00A50E4D">
        <w:rPr>
          <w:szCs w:val="20"/>
          <w:lang w:val="en-US"/>
        </w:rPr>
        <w:lastRenderedPageBreak/>
        <w:t>Honduras</w:t>
      </w:r>
      <w:r w:rsidR="005634EA" w:rsidRPr="00A50E4D">
        <w:rPr>
          <w:szCs w:val="20"/>
          <w:lang w:val="en-US"/>
        </w:rPr>
        <w:t xml:space="preserve">; </w:t>
      </w:r>
      <w:r w:rsidRPr="00A50E4D">
        <w:rPr>
          <w:szCs w:val="20"/>
          <w:lang w:val="en-US"/>
        </w:rPr>
        <w:t>(</w:t>
      </w:r>
      <w:r w:rsidR="005634EA" w:rsidRPr="00A50E4D">
        <w:rPr>
          <w:szCs w:val="20"/>
          <w:lang w:val="en-US"/>
        </w:rPr>
        <w:t xml:space="preserve">2) </w:t>
      </w:r>
      <w:r w:rsidRPr="00A50E4D">
        <w:rPr>
          <w:szCs w:val="20"/>
          <w:lang w:val="en-US"/>
        </w:rPr>
        <w:t xml:space="preserve">the international reaction to </w:t>
      </w:r>
      <w:r w:rsidR="00371BB7" w:rsidRPr="00A50E4D">
        <w:rPr>
          <w:szCs w:val="20"/>
          <w:lang w:val="en-US"/>
        </w:rPr>
        <w:t xml:space="preserve">the </w:t>
      </w:r>
      <w:r w:rsidR="00B11ACA" w:rsidRPr="00A50E4D">
        <w:rPr>
          <w:i/>
          <w:szCs w:val="20"/>
          <w:lang w:val="en-US"/>
        </w:rPr>
        <w:t>coup d’état</w:t>
      </w:r>
      <w:r w:rsidR="009808C5" w:rsidRPr="00A50E4D">
        <w:rPr>
          <w:szCs w:val="20"/>
          <w:lang w:val="en-US"/>
        </w:rPr>
        <w:t xml:space="preserve"> </w:t>
      </w:r>
      <w:r w:rsidR="002876E8" w:rsidRPr="00A50E4D">
        <w:rPr>
          <w:szCs w:val="20"/>
          <w:lang w:val="en-US"/>
        </w:rPr>
        <w:t>and the actions taken by the OAS</w:t>
      </w:r>
      <w:r w:rsidR="005634EA" w:rsidRPr="00A50E4D">
        <w:rPr>
          <w:szCs w:val="20"/>
          <w:lang w:val="en-US"/>
        </w:rPr>
        <w:t xml:space="preserve">; </w:t>
      </w:r>
      <w:r w:rsidRPr="00A50E4D">
        <w:rPr>
          <w:szCs w:val="20"/>
          <w:lang w:val="en-US"/>
        </w:rPr>
        <w:t>(</w:t>
      </w:r>
      <w:r w:rsidR="005634EA" w:rsidRPr="00A50E4D">
        <w:rPr>
          <w:szCs w:val="20"/>
          <w:lang w:val="en-US"/>
        </w:rPr>
        <w:t xml:space="preserve">3) </w:t>
      </w:r>
      <w:r w:rsidRPr="00A50E4D">
        <w:rPr>
          <w:szCs w:val="20"/>
          <w:lang w:val="en-US"/>
        </w:rPr>
        <w:t>the position</w:t>
      </w:r>
      <w:r w:rsidR="009808C5" w:rsidRPr="00A50E4D">
        <w:rPr>
          <w:szCs w:val="20"/>
          <w:lang w:val="en-US"/>
        </w:rPr>
        <w:t xml:space="preserve"> of the </w:t>
      </w:r>
      <w:r w:rsidR="00371BB7" w:rsidRPr="00A50E4D">
        <w:rPr>
          <w:szCs w:val="20"/>
          <w:lang w:val="en-US"/>
        </w:rPr>
        <w:t>Supreme Court of Justice</w:t>
      </w:r>
      <w:r w:rsidR="005634EA" w:rsidRPr="00A50E4D">
        <w:rPr>
          <w:szCs w:val="20"/>
          <w:lang w:val="en-US"/>
        </w:rPr>
        <w:t>,</w:t>
      </w:r>
      <w:r w:rsidR="009808C5" w:rsidRPr="00A50E4D">
        <w:rPr>
          <w:szCs w:val="20"/>
          <w:lang w:val="en-US"/>
        </w:rPr>
        <w:t xml:space="preserve"> and </w:t>
      </w:r>
      <w:r w:rsidRPr="00A50E4D">
        <w:rPr>
          <w:szCs w:val="20"/>
          <w:lang w:val="en-US"/>
        </w:rPr>
        <w:t>(</w:t>
      </w:r>
      <w:r w:rsidR="005634EA" w:rsidRPr="00A50E4D">
        <w:rPr>
          <w:szCs w:val="20"/>
          <w:lang w:val="en-US"/>
        </w:rPr>
        <w:t xml:space="preserve">4) </w:t>
      </w:r>
      <w:r w:rsidR="0048601C" w:rsidRPr="00A50E4D">
        <w:rPr>
          <w:szCs w:val="20"/>
          <w:lang w:val="en-US"/>
        </w:rPr>
        <w:t>the Association of Judges</w:t>
      </w:r>
      <w:r w:rsidR="00371BB7" w:rsidRPr="00A50E4D">
        <w:rPr>
          <w:szCs w:val="20"/>
          <w:lang w:val="en-US"/>
        </w:rPr>
        <w:t xml:space="preserve"> for Democracy</w:t>
      </w:r>
      <w:r w:rsidR="005634EA" w:rsidRPr="00A50E4D">
        <w:rPr>
          <w:szCs w:val="20"/>
          <w:lang w:val="en-US"/>
        </w:rPr>
        <w:t>.</w:t>
      </w:r>
    </w:p>
    <w:p w14:paraId="5437B538" w14:textId="77777777" w:rsidR="00192A85" w:rsidRPr="00A50E4D" w:rsidRDefault="00192A85" w:rsidP="00192A85">
      <w:pPr>
        <w:rPr>
          <w:lang w:val="en-US"/>
        </w:rPr>
      </w:pPr>
    </w:p>
    <w:p w14:paraId="78301A01" w14:textId="23B8A47D" w:rsidR="00930C85" w:rsidRPr="00A50E4D" w:rsidRDefault="00930C85" w:rsidP="00930C85">
      <w:pPr>
        <w:pStyle w:val="Heading3"/>
        <w:rPr>
          <w:spacing w:val="-4"/>
          <w:szCs w:val="20"/>
          <w:lang w:val="en-US"/>
        </w:rPr>
      </w:pPr>
      <w:bookmarkStart w:id="105" w:name="_Toc424834698"/>
      <w:bookmarkStart w:id="106" w:name="_Toc431584621"/>
      <w:bookmarkStart w:id="107" w:name="_Toc471717254"/>
      <w:r w:rsidRPr="00A50E4D">
        <w:rPr>
          <w:spacing w:val="-4"/>
          <w:szCs w:val="20"/>
          <w:lang w:val="en-US"/>
        </w:rPr>
        <w:t xml:space="preserve">A.1) </w:t>
      </w:r>
      <w:r w:rsidR="00371BB7" w:rsidRPr="00A50E4D">
        <w:rPr>
          <w:spacing w:val="-4"/>
          <w:szCs w:val="20"/>
          <w:lang w:val="en-US"/>
        </w:rPr>
        <w:t xml:space="preserve">The </w:t>
      </w:r>
      <w:r w:rsidR="00B11ACA" w:rsidRPr="00A50E4D">
        <w:rPr>
          <w:i/>
          <w:spacing w:val="-4"/>
          <w:szCs w:val="20"/>
          <w:lang w:val="en-US"/>
        </w:rPr>
        <w:t>coup d’état</w:t>
      </w:r>
      <w:r w:rsidRPr="00A50E4D">
        <w:rPr>
          <w:spacing w:val="-4"/>
          <w:szCs w:val="20"/>
          <w:lang w:val="en-US"/>
        </w:rPr>
        <w:t xml:space="preserve"> </w:t>
      </w:r>
      <w:r w:rsidR="00700DEC" w:rsidRPr="00A50E4D">
        <w:rPr>
          <w:spacing w:val="-4"/>
          <w:szCs w:val="20"/>
          <w:lang w:val="en-US"/>
        </w:rPr>
        <w:t>in Honduras</w:t>
      </w:r>
      <w:bookmarkEnd w:id="105"/>
      <w:bookmarkEnd w:id="106"/>
      <w:bookmarkEnd w:id="107"/>
    </w:p>
    <w:p w14:paraId="68629172" w14:textId="77777777" w:rsidR="00930C85" w:rsidRPr="00A50E4D" w:rsidRDefault="00930C85" w:rsidP="00930C85">
      <w:pPr>
        <w:pStyle w:val="NoSpacing"/>
        <w:tabs>
          <w:tab w:val="left" w:pos="567"/>
        </w:tabs>
        <w:ind w:firstLine="720"/>
        <w:rPr>
          <w:b/>
          <w:spacing w:val="-4"/>
          <w:szCs w:val="20"/>
          <w:lang w:val="en-US"/>
        </w:rPr>
      </w:pPr>
    </w:p>
    <w:p w14:paraId="2872B0A3" w14:textId="6F9D644A" w:rsidR="00930C85" w:rsidRPr="00A50E4D" w:rsidRDefault="00700DEC" w:rsidP="00CE60E9">
      <w:pPr>
        <w:pStyle w:val="PrrafodeSentencia"/>
        <w:rPr>
          <w:lang w:val="en-US"/>
        </w:rPr>
      </w:pPr>
      <w:bookmarkStart w:id="108" w:name="_Ref431396989"/>
      <w:bookmarkStart w:id="109" w:name="_Ref418004810"/>
      <w:r w:rsidRPr="00A50E4D">
        <w:rPr>
          <w:szCs w:val="20"/>
          <w:lang w:val="en-US"/>
        </w:rPr>
        <w:t>On March 23,</w:t>
      </w:r>
      <w:r w:rsidR="00930C85" w:rsidRPr="00A50E4D">
        <w:rPr>
          <w:szCs w:val="20"/>
          <w:lang w:val="en-US"/>
        </w:rPr>
        <w:t xml:space="preserve"> 2009</w:t>
      </w:r>
      <w:r w:rsidRPr="00A50E4D">
        <w:rPr>
          <w:szCs w:val="20"/>
          <w:lang w:val="en-US"/>
        </w:rPr>
        <w:t>,</w:t>
      </w:r>
      <w:r w:rsidR="00930C85" w:rsidRPr="00A50E4D">
        <w:rPr>
          <w:szCs w:val="20"/>
          <w:lang w:val="en-US"/>
        </w:rPr>
        <w:t xml:space="preserve"> </w:t>
      </w:r>
      <w:r w:rsidR="00CD2874" w:rsidRPr="00A50E4D">
        <w:rPr>
          <w:szCs w:val="20"/>
          <w:lang w:val="en-US"/>
        </w:rPr>
        <w:t>the President</w:t>
      </w:r>
      <w:r w:rsidR="00930C85" w:rsidRPr="00A50E4D">
        <w:rPr>
          <w:szCs w:val="20"/>
          <w:lang w:val="en-US"/>
        </w:rPr>
        <w:t xml:space="preserve"> </w:t>
      </w:r>
      <w:r w:rsidRPr="00A50E4D">
        <w:rPr>
          <w:szCs w:val="20"/>
          <w:lang w:val="en-US"/>
        </w:rPr>
        <w:t>of Honduras</w:t>
      </w:r>
      <w:r w:rsidR="00930C85" w:rsidRPr="00A50E4D">
        <w:rPr>
          <w:szCs w:val="20"/>
          <w:lang w:val="en-US"/>
        </w:rPr>
        <w:t>, José Manuel Zelaya Rosales (</w:t>
      </w:r>
      <w:r w:rsidR="009808C5" w:rsidRPr="00A50E4D">
        <w:rPr>
          <w:szCs w:val="20"/>
          <w:lang w:val="en-US"/>
        </w:rPr>
        <w:t>hereinafter</w:t>
      </w:r>
      <w:r w:rsidR="00930C85" w:rsidRPr="00A50E4D">
        <w:rPr>
          <w:szCs w:val="20"/>
          <w:lang w:val="en-US"/>
        </w:rPr>
        <w:t xml:space="preserve"> </w:t>
      </w:r>
      <w:r w:rsidR="00930C85" w:rsidRPr="00A50E4D">
        <w:rPr>
          <w:lang w:val="en-US"/>
        </w:rPr>
        <w:t>“</w:t>
      </w:r>
      <w:r w:rsidR="00CD2874" w:rsidRPr="00A50E4D">
        <w:rPr>
          <w:lang w:val="en-US"/>
        </w:rPr>
        <w:t>President</w:t>
      </w:r>
      <w:r w:rsidR="00930C85" w:rsidRPr="00A50E4D">
        <w:rPr>
          <w:szCs w:val="20"/>
          <w:lang w:val="en-US"/>
        </w:rPr>
        <w:t xml:space="preserve"> Zelaya” o</w:t>
      </w:r>
      <w:r w:rsidRPr="00A50E4D">
        <w:rPr>
          <w:szCs w:val="20"/>
          <w:lang w:val="en-US"/>
        </w:rPr>
        <w:t>r</w:t>
      </w:r>
      <w:r w:rsidR="00930C85" w:rsidRPr="00A50E4D">
        <w:rPr>
          <w:szCs w:val="20"/>
          <w:lang w:val="en-US"/>
        </w:rPr>
        <w:t xml:space="preserve"> “</w:t>
      </w:r>
      <w:r w:rsidRPr="00A50E4D">
        <w:rPr>
          <w:szCs w:val="20"/>
          <w:lang w:val="en-US"/>
        </w:rPr>
        <w:t>former President</w:t>
      </w:r>
      <w:r w:rsidR="00930C85" w:rsidRPr="00A50E4D">
        <w:rPr>
          <w:szCs w:val="20"/>
          <w:lang w:val="en-US"/>
        </w:rPr>
        <w:t xml:space="preserve"> Zelaya”), </w:t>
      </w:r>
      <w:r w:rsidR="00CE60E9" w:rsidRPr="00A50E4D">
        <w:rPr>
          <w:lang w:val="en-US"/>
        </w:rPr>
        <w:t>approved</w:t>
      </w:r>
      <w:r w:rsidR="00930C85" w:rsidRPr="00A50E4D">
        <w:rPr>
          <w:lang w:val="en-US"/>
        </w:rPr>
        <w:t xml:space="preserve"> </w:t>
      </w:r>
      <w:r w:rsidRPr="00A50E4D">
        <w:rPr>
          <w:lang w:val="en-US"/>
        </w:rPr>
        <w:t>Executive Decree</w:t>
      </w:r>
      <w:r w:rsidR="00420CCE" w:rsidRPr="00A50E4D">
        <w:rPr>
          <w:lang w:val="en-US"/>
        </w:rPr>
        <w:t xml:space="preserve"> </w:t>
      </w:r>
      <w:r w:rsidR="00930C85" w:rsidRPr="00A50E4D">
        <w:rPr>
          <w:lang w:val="en-US"/>
        </w:rPr>
        <w:t xml:space="preserve">PCM-05-2009, </w:t>
      </w:r>
      <w:r w:rsidR="00CE60E9" w:rsidRPr="00A50E4D">
        <w:rPr>
          <w:lang w:val="en-US"/>
        </w:rPr>
        <w:t xml:space="preserve">in which he called for a </w:t>
      </w:r>
      <w:r w:rsidR="00F61ED5" w:rsidRPr="00A50E4D">
        <w:rPr>
          <w:lang w:val="en-US"/>
        </w:rPr>
        <w:t>popular consultation</w:t>
      </w:r>
      <w:r w:rsidR="00CE60E9" w:rsidRPr="00A50E4D">
        <w:rPr>
          <w:lang w:val="en-US"/>
        </w:rPr>
        <w:t xml:space="preserve"> to be held by </w:t>
      </w:r>
      <w:r w:rsidR="00C150F2" w:rsidRPr="00A50E4D">
        <w:rPr>
          <w:szCs w:val="20"/>
          <w:lang w:val="en-US"/>
        </w:rPr>
        <w:t>June</w:t>
      </w:r>
      <w:r w:rsidR="00D03F60" w:rsidRPr="00A50E4D">
        <w:rPr>
          <w:szCs w:val="20"/>
          <w:lang w:val="en-US"/>
        </w:rPr>
        <w:t xml:space="preserve"> 28</w:t>
      </w:r>
      <w:r w:rsidR="00930C85" w:rsidRPr="00A50E4D">
        <w:rPr>
          <w:szCs w:val="20"/>
          <w:lang w:val="en-US"/>
        </w:rPr>
        <w:t xml:space="preserve"> </w:t>
      </w:r>
      <w:r w:rsidR="00CE60E9" w:rsidRPr="00A50E4D">
        <w:rPr>
          <w:szCs w:val="20"/>
          <w:lang w:val="en-US"/>
        </w:rPr>
        <w:t>of that year at the latest</w:t>
      </w:r>
      <w:r w:rsidR="00930C85" w:rsidRPr="00A50E4D">
        <w:rPr>
          <w:szCs w:val="20"/>
          <w:lang w:val="en-US"/>
        </w:rPr>
        <w:t xml:space="preserve">. </w:t>
      </w:r>
      <w:r w:rsidR="00CE60E9" w:rsidRPr="00A50E4D">
        <w:rPr>
          <w:szCs w:val="20"/>
          <w:lang w:val="en-US"/>
        </w:rPr>
        <w:t>The following question would be posed in this consultation</w:t>
      </w:r>
      <w:r w:rsidR="00930C85" w:rsidRPr="00A50E4D">
        <w:rPr>
          <w:szCs w:val="20"/>
          <w:lang w:val="en-US"/>
        </w:rPr>
        <w:t>:</w:t>
      </w:r>
      <w:r w:rsidR="00930C85" w:rsidRPr="00A50E4D">
        <w:rPr>
          <w:rStyle w:val="apple-converted-space"/>
          <w:rFonts w:cs="Arial"/>
          <w:color w:val="000000"/>
          <w:szCs w:val="20"/>
          <w:shd w:val="clear" w:color="auto" w:fill="FFFFFF"/>
          <w:lang w:val="en-US"/>
        </w:rPr>
        <w:t> “</w:t>
      </w:r>
      <w:r w:rsidR="00CE60E9" w:rsidRPr="00A50E4D">
        <w:rPr>
          <w:rStyle w:val="apple-style-span"/>
          <w:rFonts w:cs="Arial"/>
          <w:bCs/>
          <w:color w:val="000000"/>
          <w:szCs w:val="20"/>
          <w:shd w:val="clear" w:color="auto" w:fill="FFFFFF"/>
          <w:lang w:val="en-US"/>
        </w:rPr>
        <w:t xml:space="preserve">Do you agree that, during the elections [presidential, legislative and municipal] </w:t>
      </w:r>
      <w:r w:rsidRPr="00A50E4D">
        <w:rPr>
          <w:rStyle w:val="apple-style-span"/>
          <w:rFonts w:cs="Arial"/>
          <w:bCs/>
          <w:color w:val="000000"/>
          <w:szCs w:val="20"/>
          <w:shd w:val="clear" w:color="auto" w:fill="FFFFFF"/>
          <w:lang w:val="en-US"/>
        </w:rPr>
        <w:t>of November</w:t>
      </w:r>
      <w:r w:rsidR="00930C85" w:rsidRPr="00A50E4D">
        <w:rPr>
          <w:rStyle w:val="apple-style-span"/>
          <w:rFonts w:cs="Arial"/>
          <w:bCs/>
          <w:color w:val="000000"/>
          <w:szCs w:val="20"/>
          <w:shd w:val="clear" w:color="auto" w:fill="FFFFFF"/>
          <w:lang w:val="en-US"/>
        </w:rPr>
        <w:t xml:space="preserve"> 2009, </w:t>
      </w:r>
      <w:r w:rsidR="00CE60E9" w:rsidRPr="00A50E4D">
        <w:rPr>
          <w:rStyle w:val="apple-style-span"/>
          <w:rFonts w:cs="Arial"/>
          <w:bCs/>
          <w:color w:val="000000"/>
          <w:szCs w:val="20"/>
          <w:shd w:val="clear" w:color="auto" w:fill="FFFFFF"/>
          <w:lang w:val="en-US"/>
        </w:rPr>
        <w:t xml:space="preserve">a fourth ballot box should be set up to decide on </w:t>
      </w:r>
      <w:r w:rsidR="00F61ED5" w:rsidRPr="00A50E4D">
        <w:rPr>
          <w:rStyle w:val="apple-style-span"/>
          <w:rFonts w:cs="Arial"/>
          <w:bCs/>
          <w:color w:val="000000"/>
          <w:szCs w:val="20"/>
          <w:shd w:val="clear" w:color="auto" w:fill="FFFFFF"/>
          <w:lang w:val="en-US"/>
        </w:rPr>
        <w:t>the advisability of convening a N</w:t>
      </w:r>
      <w:r w:rsidR="00CE60E9" w:rsidRPr="00A50E4D">
        <w:rPr>
          <w:rStyle w:val="apple-style-span"/>
          <w:rFonts w:cs="Arial"/>
          <w:bCs/>
          <w:color w:val="000000"/>
          <w:szCs w:val="20"/>
          <w:shd w:val="clear" w:color="auto" w:fill="FFFFFF"/>
          <w:lang w:val="en-US"/>
        </w:rPr>
        <w:t xml:space="preserve">ational </w:t>
      </w:r>
      <w:r w:rsidR="00F61ED5" w:rsidRPr="00A50E4D">
        <w:rPr>
          <w:rStyle w:val="apple-style-span"/>
          <w:rFonts w:cs="Arial"/>
          <w:bCs/>
          <w:color w:val="000000"/>
          <w:szCs w:val="20"/>
          <w:shd w:val="clear" w:color="auto" w:fill="FFFFFF"/>
          <w:lang w:val="en-US"/>
        </w:rPr>
        <w:t>Constituent A</w:t>
      </w:r>
      <w:r w:rsidR="00CE60E9" w:rsidRPr="00A50E4D">
        <w:rPr>
          <w:rStyle w:val="apple-style-span"/>
          <w:rFonts w:cs="Arial"/>
          <w:bCs/>
          <w:color w:val="000000"/>
          <w:szCs w:val="20"/>
          <w:shd w:val="clear" w:color="auto" w:fill="FFFFFF"/>
          <w:lang w:val="en-US"/>
        </w:rPr>
        <w:t xml:space="preserve">ssembly to </w:t>
      </w:r>
      <w:r w:rsidR="00F61ED5" w:rsidRPr="00A50E4D">
        <w:rPr>
          <w:rStyle w:val="apple-style-span"/>
          <w:rFonts w:cs="Arial"/>
          <w:bCs/>
          <w:color w:val="000000"/>
          <w:szCs w:val="20"/>
          <w:shd w:val="clear" w:color="auto" w:fill="FFFFFF"/>
          <w:lang w:val="en-US"/>
        </w:rPr>
        <w:t>amend the</w:t>
      </w:r>
      <w:r w:rsidR="00CE60E9" w:rsidRPr="00A50E4D">
        <w:rPr>
          <w:rStyle w:val="apple-style-span"/>
          <w:rFonts w:cs="Arial"/>
          <w:bCs/>
          <w:color w:val="000000"/>
          <w:szCs w:val="20"/>
          <w:shd w:val="clear" w:color="auto" w:fill="FFFFFF"/>
          <w:lang w:val="en-US"/>
        </w:rPr>
        <w:t xml:space="preserve"> Constitution</w:t>
      </w:r>
      <w:r w:rsidR="00930C85" w:rsidRPr="00A50E4D">
        <w:rPr>
          <w:rStyle w:val="apple-style-span"/>
          <w:rFonts w:cs="Arial"/>
          <w:bCs/>
          <w:color w:val="000000"/>
          <w:szCs w:val="20"/>
          <w:shd w:val="clear" w:color="auto" w:fill="FFFFFF"/>
          <w:lang w:val="en-US"/>
        </w:rPr>
        <w:t>?”</w:t>
      </w:r>
      <w:r w:rsidR="00930C85" w:rsidRPr="00A50E4D">
        <w:rPr>
          <w:rStyle w:val="FootnoteReference"/>
          <w:sz w:val="20"/>
          <w:szCs w:val="20"/>
          <w:lang w:val="en-US"/>
        </w:rPr>
        <w:footnoteReference w:id="47"/>
      </w:r>
      <w:r w:rsidR="00CE60E9" w:rsidRPr="00A50E4D">
        <w:rPr>
          <w:szCs w:val="20"/>
          <w:lang w:val="en-US"/>
        </w:rPr>
        <w:t xml:space="preserve"> This decree was approved despite the lack of consensus among the political parties as regards the conditions and mechanism</w:t>
      </w:r>
      <w:r w:rsidR="0036513A" w:rsidRPr="00A50E4D">
        <w:rPr>
          <w:szCs w:val="20"/>
          <w:lang w:val="en-US"/>
        </w:rPr>
        <w:t>s for amending the Constitution</w:t>
      </w:r>
      <w:r w:rsidR="00CE60E9" w:rsidRPr="00A50E4D">
        <w:rPr>
          <w:szCs w:val="20"/>
          <w:lang w:val="en-US"/>
        </w:rPr>
        <w:t xml:space="preserve"> because</w:t>
      </w:r>
      <w:r w:rsidR="0036513A" w:rsidRPr="00A50E4D">
        <w:rPr>
          <w:szCs w:val="20"/>
          <w:lang w:val="en-US"/>
        </w:rPr>
        <w:t>,</w:t>
      </w:r>
      <w:r w:rsidR="00CE60E9" w:rsidRPr="00A50E4D">
        <w:rPr>
          <w:szCs w:val="20"/>
          <w:lang w:val="en-US"/>
        </w:rPr>
        <w:t xml:space="preserve"> although the initial reaction to the proposed constituent assembly had been favorable, some parties considered that it should be convened after the elections and not by means of a fourth ballot box.</w:t>
      </w:r>
      <w:r w:rsidR="00CE60E9" w:rsidRPr="00A50E4D">
        <w:rPr>
          <w:rStyle w:val="FootnoteReference"/>
          <w:sz w:val="20"/>
          <w:szCs w:val="20"/>
          <w:lang w:val="en-US"/>
        </w:rPr>
        <w:footnoteReference w:id="48"/>
      </w:r>
      <w:r w:rsidR="00CE60E9" w:rsidRPr="00A50E4D">
        <w:rPr>
          <w:szCs w:val="20"/>
          <w:lang w:val="en-US"/>
        </w:rPr>
        <w:t xml:space="preserve"> In fact, the opposition perceived the issue of the decree proposing the fourth ballot box as “a way of maintaining [President] Zelaya in power, not necessarily by means of re-election (even though [President] Zelaya had stated publicly that re-election would be one of the issues on the agenda of the national constituent assembly), but rather through convening an early constituent assembly that would possibly shorten the following presidential term and facilitate, if not the re-election of [President] Zelaya, at least the continuation in power of the liberals.</w:t>
      </w:r>
      <w:bookmarkEnd w:id="108"/>
      <w:r w:rsidR="00930C85" w:rsidRPr="00A50E4D">
        <w:rPr>
          <w:szCs w:val="20"/>
          <w:lang w:val="en-US"/>
        </w:rPr>
        <w:t>”</w:t>
      </w:r>
      <w:r w:rsidR="00930C85" w:rsidRPr="00A50E4D">
        <w:rPr>
          <w:rStyle w:val="FootnoteReference"/>
          <w:sz w:val="20"/>
          <w:szCs w:val="20"/>
          <w:lang w:val="en-US"/>
        </w:rPr>
        <w:footnoteReference w:id="49"/>
      </w:r>
      <w:r w:rsidR="00930C85" w:rsidRPr="00A50E4D">
        <w:rPr>
          <w:szCs w:val="20"/>
          <w:lang w:val="en-US"/>
        </w:rPr>
        <w:t xml:space="preserve"> </w:t>
      </w:r>
      <w:r w:rsidR="00CE60E9" w:rsidRPr="00A50E4D">
        <w:rPr>
          <w:szCs w:val="20"/>
          <w:lang w:val="en-US"/>
        </w:rPr>
        <w:t>T</w:t>
      </w:r>
      <w:r w:rsidRPr="00A50E4D">
        <w:rPr>
          <w:szCs w:val="20"/>
          <w:lang w:val="en-US"/>
        </w:rPr>
        <w:t>he</w:t>
      </w:r>
      <w:r w:rsidR="00CE60E9" w:rsidRPr="00A50E4D">
        <w:rPr>
          <w:szCs w:val="20"/>
          <w:lang w:val="en-US"/>
        </w:rPr>
        <w:t xml:space="preserve"> T</w:t>
      </w:r>
      <w:r w:rsidRPr="00A50E4D">
        <w:rPr>
          <w:szCs w:val="20"/>
          <w:lang w:val="en-US"/>
        </w:rPr>
        <w:t>ruth and Reconciliation Commission</w:t>
      </w:r>
      <w:r w:rsidR="00CE60E9" w:rsidRPr="00A50E4D">
        <w:rPr>
          <w:szCs w:val="20"/>
          <w:lang w:val="en-US"/>
        </w:rPr>
        <w:t xml:space="preserve"> considered that this consultation was illegitimate</w:t>
      </w:r>
      <w:r w:rsidR="00930C85" w:rsidRPr="00A50E4D">
        <w:rPr>
          <w:szCs w:val="20"/>
          <w:lang w:val="en-US"/>
        </w:rPr>
        <w:t xml:space="preserve"> (</w:t>
      </w:r>
      <w:r w:rsidR="00930C85" w:rsidRPr="00A50E4D">
        <w:rPr>
          <w:i/>
          <w:szCs w:val="20"/>
          <w:lang w:val="en-US"/>
        </w:rPr>
        <w:t>infra</w:t>
      </w:r>
      <w:r w:rsidR="00930C85" w:rsidRPr="00A50E4D">
        <w:rPr>
          <w:szCs w:val="20"/>
          <w:lang w:val="en-US"/>
        </w:rPr>
        <w:t xml:space="preserve"> </w:t>
      </w:r>
      <w:r w:rsidR="00AD5EE7" w:rsidRPr="00A50E4D">
        <w:rPr>
          <w:szCs w:val="20"/>
          <w:lang w:val="en-US"/>
        </w:rPr>
        <w:t>para.</w:t>
      </w:r>
      <w:r w:rsidR="00930C85" w:rsidRPr="00A50E4D">
        <w:rPr>
          <w:szCs w:val="20"/>
          <w:lang w:val="en-US"/>
        </w:rPr>
        <w:t xml:space="preserve"> </w:t>
      </w:r>
      <w:r w:rsidR="00930C85" w:rsidRPr="00914F55">
        <w:rPr>
          <w:szCs w:val="20"/>
          <w:lang w:val="en-US"/>
        </w:rPr>
        <w:fldChar w:fldCharType="begin"/>
      </w:r>
      <w:r w:rsidR="00930C85" w:rsidRPr="00A50E4D">
        <w:rPr>
          <w:szCs w:val="20"/>
          <w:lang w:val="en-US"/>
        </w:rPr>
        <w:instrText xml:space="preserve"> REF _Ref431395154 \r \h </w:instrText>
      </w:r>
      <w:r w:rsidR="00EA20A5" w:rsidRPr="00A50E4D">
        <w:rPr>
          <w:szCs w:val="20"/>
          <w:lang w:val="en-US"/>
        </w:rPr>
        <w:instrText xml:space="preserve"> \* MERGEFORMAT </w:instrText>
      </w:r>
      <w:r w:rsidR="00930C85" w:rsidRPr="00914F55">
        <w:rPr>
          <w:szCs w:val="20"/>
          <w:lang w:val="en-US"/>
        </w:rPr>
      </w:r>
      <w:r w:rsidR="00930C85" w:rsidRPr="00914F55">
        <w:rPr>
          <w:szCs w:val="20"/>
          <w:lang w:val="en-US"/>
        </w:rPr>
        <w:fldChar w:fldCharType="separate"/>
      </w:r>
      <w:r w:rsidR="00547588">
        <w:rPr>
          <w:szCs w:val="20"/>
          <w:lang w:val="en-US"/>
        </w:rPr>
        <w:t>57</w:t>
      </w:r>
      <w:r w:rsidR="00930C85" w:rsidRPr="00914F55">
        <w:rPr>
          <w:szCs w:val="20"/>
          <w:lang w:val="en-US"/>
        </w:rPr>
        <w:fldChar w:fldCharType="end"/>
      </w:r>
      <w:r w:rsidR="00930C85" w:rsidRPr="00A50E4D">
        <w:rPr>
          <w:szCs w:val="20"/>
          <w:lang w:val="en-US"/>
        </w:rPr>
        <w:t xml:space="preserve">), </w:t>
      </w:r>
      <w:r w:rsidR="00CE60E9" w:rsidRPr="00A50E4D">
        <w:rPr>
          <w:szCs w:val="20"/>
          <w:lang w:val="en-US"/>
        </w:rPr>
        <w:t xml:space="preserve">because </w:t>
      </w:r>
      <w:r w:rsidR="00314E4B" w:rsidRPr="00A50E4D">
        <w:rPr>
          <w:szCs w:val="20"/>
          <w:lang w:val="en-US"/>
        </w:rPr>
        <w:t xml:space="preserve">the </w:t>
      </w:r>
      <w:r w:rsidRPr="00A50E4D">
        <w:rPr>
          <w:szCs w:val="20"/>
          <w:lang w:val="en-US"/>
        </w:rPr>
        <w:t>Honduran Constitution</w:t>
      </w:r>
      <w:r w:rsidR="00930C85" w:rsidRPr="00A50E4D">
        <w:rPr>
          <w:szCs w:val="20"/>
          <w:lang w:val="en-US"/>
        </w:rPr>
        <w:t xml:space="preserve"> </w:t>
      </w:r>
      <w:r w:rsidR="00CE60E9" w:rsidRPr="00A50E4D">
        <w:rPr>
          <w:szCs w:val="20"/>
          <w:lang w:val="en-US"/>
        </w:rPr>
        <w:t xml:space="preserve">only admitted “partial amendments” and included “a system of </w:t>
      </w:r>
      <w:r w:rsidR="00F61ED5" w:rsidRPr="00A50E4D">
        <w:rPr>
          <w:szCs w:val="20"/>
          <w:lang w:val="en-US"/>
        </w:rPr>
        <w:t>‘immutable rules’ that could not be altered by [the said partial amendments].</w:t>
      </w:r>
      <w:r w:rsidR="00930C85" w:rsidRPr="00A50E4D">
        <w:rPr>
          <w:szCs w:val="20"/>
          <w:lang w:val="en-US"/>
        </w:rPr>
        <w:t>”</w:t>
      </w:r>
      <w:r w:rsidR="00930C85" w:rsidRPr="00A50E4D">
        <w:rPr>
          <w:rStyle w:val="FootnoteReference"/>
          <w:sz w:val="20"/>
          <w:szCs w:val="20"/>
          <w:lang w:val="en-US"/>
        </w:rPr>
        <w:footnoteReference w:id="50"/>
      </w:r>
      <w:r w:rsidR="00F61ED5" w:rsidRPr="00A50E4D">
        <w:rPr>
          <w:szCs w:val="20"/>
          <w:lang w:val="en-US"/>
        </w:rPr>
        <w:t xml:space="preserve"> Thus, article </w:t>
      </w:r>
      <w:r w:rsidR="00930C85" w:rsidRPr="00A50E4D">
        <w:rPr>
          <w:szCs w:val="20"/>
          <w:lang w:val="en-US"/>
        </w:rPr>
        <w:t xml:space="preserve">374 </w:t>
      </w:r>
      <w:r w:rsidR="00314E4B" w:rsidRPr="00A50E4D">
        <w:rPr>
          <w:szCs w:val="20"/>
          <w:lang w:val="en-US"/>
        </w:rPr>
        <w:t xml:space="preserve">of the </w:t>
      </w:r>
      <w:r w:rsidR="00F61ED5" w:rsidRPr="00A50E4D">
        <w:rPr>
          <w:szCs w:val="20"/>
          <w:lang w:val="en-US"/>
        </w:rPr>
        <w:t xml:space="preserve">Honduran </w:t>
      </w:r>
      <w:r w:rsidR="00314E4B" w:rsidRPr="00A50E4D">
        <w:rPr>
          <w:szCs w:val="20"/>
          <w:lang w:val="en-US"/>
        </w:rPr>
        <w:t>Constitution</w:t>
      </w:r>
      <w:r w:rsidR="00F61ED5" w:rsidRPr="00A50E4D">
        <w:rPr>
          <w:szCs w:val="20"/>
          <w:lang w:val="en-US"/>
        </w:rPr>
        <w:t xml:space="preserve"> established the prohibition to </w:t>
      </w:r>
      <w:r w:rsidR="0036513A" w:rsidRPr="00A50E4D">
        <w:rPr>
          <w:szCs w:val="20"/>
          <w:lang w:val="en-US"/>
        </w:rPr>
        <w:t>amend</w:t>
      </w:r>
      <w:r w:rsidR="00F61ED5" w:rsidRPr="00A50E4D">
        <w:rPr>
          <w:szCs w:val="20"/>
          <w:lang w:val="en-US"/>
        </w:rPr>
        <w:t xml:space="preserve"> the constitutional article relating to the presidential term and the </w:t>
      </w:r>
      <w:r w:rsidR="0036513A" w:rsidRPr="00A50E4D">
        <w:rPr>
          <w:szCs w:val="20"/>
          <w:lang w:val="en-US"/>
        </w:rPr>
        <w:t xml:space="preserve">one </w:t>
      </w:r>
      <w:r w:rsidR="00F61ED5" w:rsidRPr="00A50E4D">
        <w:rPr>
          <w:szCs w:val="20"/>
          <w:lang w:val="en-US"/>
        </w:rPr>
        <w:t>c</w:t>
      </w:r>
      <w:r w:rsidR="0036513A" w:rsidRPr="00A50E4D">
        <w:rPr>
          <w:szCs w:val="20"/>
          <w:lang w:val="en-US"/>
        </w:rPr>
        <w:t>ontaining</w:t>
      </w:r>
      <w:r w:rsidR="00F61ED5" w:rsidRPr="00A50E4D">
        <w:rPr>
          <w:szCs w:val="20"/>
          <w:lang w:val="en-US"/>
        </w:rPr>
        <w:t xml:space="preserve"> the prohibition </w:t>
      </w:r>
      <w:r w:rsidR="0036513A" w:rsidRPr="00A50E4D">
        <w:rPr>
          <w:szCs w:val="20"/>
          <w:lang w:val="en-US"/>
        </w:rPr>
        <w:t>to re-elect</w:t>
      </w:r>
      <w:r w:rsidR="00930C85" w:rsidRPr="00A50E4D">
        <w:rPr>
          <w:szCs w:val="20"/>
          <w:lang w:val="en-US"/>
        </w:rPr>
        <w:t xml:space="preserve"> </w:t>
      </w:r>
      <w:r w:rsidR="004626E5" w:rsidRPr="00A50E4D">
        <w:rPr>
          <w:szCs w:val="20"/>
          <w:lang w:val="en-US"/>
        </w:rPr>
        <w:t xml:space="preserve">the </w:t>
      </w:r>
      <w:r w:rsidR="00CD2874" w:rsidRPr="00A50E4D">
        <w:rPr>
          <w:szCs w:val="20"/>
          <w:lang w:val="en-US"/>
        </w:rPr>
        <w:t>President</w:t>
      </w:r>
      <w:r w:rsidR="00930C85" w:rsidRPr="00A50E4D">
        <w:rPr>
          <w:szCs w:val="20"/>
          <w:lang w:val="en-US"/>
        </w:rPr>
        <w:t xml:space="preserve"> </w:t>
      </w:r>
      <w:r w:rsidRPr="00A50E4D">
        <w:rPr>
          <w:szCs w:val="20"/>
          <w:lang w:val="en-US"/>
        </w:rPr>
        <w:t>of the Republic.</w:t>
      </w:r>
      <w:r w:rsidR="00930C85" w:rsidRPr="00A50E4D">
        <w:rPr>
          <w:rStyle w:val="FootnoteReference"/>
          <w:sz w:val="20"/>
          <w:szCs w:val="20"/>
          <w:lang w:val="en-US"/>
        </w:rPr>
        <w:footnoteReference w:id="51"/>
      </w:r>
      <w:r w:rsidR="00930C85" w:rsidRPr="00A50E4D">
        <w:rPr>
          <w:szCs w:val="20"/>
          <w:lang w:val="en-US"/>
        </w:rPr>
        <w:t xml:space="preserve"> </w:t>
      </w:r>
    </w:p>
    <w:p w14:paraId="52EF181C" w14:textId="77777777" w:rsidR="00930C85" w:rsidRPr="00A50E4D" w:rsidRDefault="00930C85" w:rsidP="00930C85">
      <w:pPr>
        <w:rPr>
          <w:szCs w:val="20"/>
          <w:lang w:val="en-US" w:eastAsia="es-MX"/>
        </w:rPr>
      </w:pPr>
    </w:p>
    <w:p w14:paraId="397CBB2C" w14:textId="57502B0A" w:rsidR="00930C85" w:rsidRPr="00A50E4D" w:rsidRDefault="00CA7E67" w:rsidP="00930C85">
      <w:pPr>
        <w:pStyle w:val="PrrafodeSentencia"/>
        <w:rPr>
          <w:szCs w:val="20"/>
          <w:lang w:val="en-US"/>
        </w:rPr>
      </w:pPr>
      <w:bookmarkStart w:id="110" w:name="_Ref433022287"/>
      <w:r w:rsidRPr="00A50E4D">
        <w:rPr>
          <w:szCs w:val="20"/>
          <w:lang w:val="en-US"/>
        </w:rPr>
        <w:t>The Prosecutor General</w:t>
      </w:r>
      <w:r w:rsidR="00930C85" w:rsidRPr="00A50E4D">
        <w:rPr>
          <w:szCs w:val="20"/>
          <w:lang w:val="en-US"/>
        </w:rPr>
        <w:t xml:space="preserve"> </w:t>
      </w:r>
      <w:r w:rsidR="00F61ED5" w:rsidRPr="00A50E4D">
        <w:rPr>
          <w:szCs w:val="20"/>
          <w:lang w:val="en-US"/>
        </w:rPr>
        <w:t>requested that the consultation be suspended arguing that it would be unconstitutional.</w:t>
      </w:r>
      <w:r w:rsidR="00930C85" w:rsidRPr="00A50E4D">
        <w:rPr>
          <w:rStyle w:val="FootnoteReference"/>
          <w:sz w:val="20"/>
          <w:szCs w:val="20"/>
          <w:lang w:val="en-US"/>
        </w:rPr>
        <w:footnoteReference w:id="52"/>
      </w:r>
      <w:r w:rsidR="00930C85" w:rsidRPr="00A50E4D">
        <w:rPr>
          <w:szCs w:val="20"/>
          <w:lang w:val="en-US"/>
        </w:rPr>
        <w:t xml:space="preserve"> </w:t>
      </w:r>
      <w:r w:rsidR="00D03F60" w:rsidRPr="00A50E4D">
        <w:rPr>
          <w:szCs w:val="20"/>
          <w:lang w:val="en-US"/>
        </w:rPr>
        <w:t>On May 26,</w:t>
      </w:r>
      <w:r w:rsidR="00930C85" w:rsidRPr="00A50E4D">
        <w:rPr>
          <w:szCs w:val="20"/>
          <w:lang w:val="en-US"/>
        </w:rPr>
        <w:t xml:space="preserve"> 2009, “</w:t>
      </w:r>
      <w:r w:rsidR="00F61ED5" w:rsidRPr="00A50E4D">
        <w:rPr>
          <w:szCs w:val="20"/>
          <w:lang w:val="en-US"/>
        </w:rPr>
        <w:t xml:space="preserve">in the face of the imminent [decision] against the referendum procedure,” </w:t>
      </w:r>
      <w:r w:rsidR="00CD2874" w:rsidRPr="00A50E4D">
        <w:rPr>
          <w:szCs w:val="20"/>
          <w:lang w:val="en-US"/>
        </w:rPr>
        <w:t>President</w:t>
      </w:r>
      <w:r w:rsidR="00F61ED5" w:rsidRPr="00A50E4D">
        <w:rPr>
          <w:szCs w:val="20"/>
          <w:lang w:val="en-US"/>
        </w:rPr>
        <w:t xml:space="preserve"> Zelaya</w:t>
      </w:r>
      <w:r w:rsidR="00930C85" w:rsidRPr="00A50E4D">
        <w:rPr>
          <w:szCs w:val="20"/>
          <w:lang w:val="en-US"/>
        </w:rPr>
        <w:t xml:space="preserve"> ap</w:t>
      </w:r>
      <w:r w:rsidR="00F61ED5" w:rsidRPr="00A50E4D">
        <w:rPr>
          <w:szCs w:val="20"/>
          <w:lang w:val="en-US"/>
        </w:rPr>
        <w:t xml:space="preserve">proved Executive Decrees </w:t>
      </w:r>
      <w:r w:rsidR="00930C85" w:rsidRPr="00A50E4D">
        <w:rPr>
          <w:szCs w:val="20"/>
          <w:lang w:val="en-US"/>
        </w:rPr>
        <w:t>PCM-19-2009</w:t>
      </w:r>
      <w:r w:rsidR="009808C5" w:rsidRPr="00A50E4D">
        <w:rPr>
          <w:szCs w:val="20"/>
          <w:lang w:val="en-US"/>
        </w:rPr>
        <w:t xml:space="preserve"> and </w:t>
      </w:r>
      <w:r w:rsidR="00F61ED5" w:rsidRPr="00A50E4D">
        <w:rPr>
          <w:szCs w:val="20"/>
          <w:lang w:val="en-US"/>
        </w:rPr>
        <w:t xml:space="preserve">PCM-20-2009 annulling </w:t>
      </w:r>
      <w:r w:rsidR="00700DEC" w:rsidRPr="00A50E4D">
        <w:rPr>
          <w:szCs w:val="20"/>
          <w:lang w:val="en-US"/>
        </w:rPr>
        <w:t>Executive Decree</w:t>
      </w:r>
      <w:r w:rsidR="00930C85" w:rsidRPr="00A50E4D">
        <w:rPr>
          <w:szCs w:val="20"/>
          <w:lang w:val="en-US"/>
        </w:rPr>
        <w:t xml:space="preserve"> PCM-05-2009</w:t>
      </w:r>
      <w:r w:rsidR="009808C5" w:rsidRPr="00A50E4D">
        <w:rPr>
          <w:szCs w:val="20"/>
          <w:lang w:val="en-US"/>
        </w:rPr>
        <w:t xml:space="preserve"> and</w:t>
      </w:r>
      <w:r w:rsidR="00F61ED5" w:rsidRPr="00A50E4D">
        <w:rPr>
          <w:szCs w:val="20"/>
          <w:lang w:val="en-US"/>
        </w:rPr>
        <w:t xml:space="preserve"> ordering that a national opinion poll be held </w:t>
      </w:r>
      <w:r w:rsidR="00D03F60" w:rsidRPr="00A50E4D">
        <w:rPr>
          <w:szCs w:val="20"/>
          <w:lang w:val="en-US"/>
        </w:rPr>
        <w:t xml:space="preserve">on </w:t>
      </w:r>
      <w:r w:rsidR="00C150F2" w:rsidRPr="00A50E4D">
        <w:rPr>
          <w:szCs w:val="20"/>
          <w:lang w:val="en-US"/>
        </w:rPr>
        <w:t>June</w:t>
      </w:r>
      <w:r w:rsidR="00D03F60" w:rsidRPr="00A50E4D">
        <w:rPr>
          <w:szCs w:val="20"/>
          <w:lang w:val="en-US"/>
        </w:rPr>
        <w:t xml:space="preserve"> 28</w:t>
      </w:r>
      <w:r w:rsidR="00F61ED5" w:rsidRPr="00A50E4D">
        <w:rPr>
          <w:szCs w:val="20"/>
          <w:lang w:val="en-US"/>
        </w:rPr>
        <w:t>,</w:t>
      </w:r>
      <w:r w:rsidR="00930C85" w:rsidRPr="00A50E4D">
        <w:rPr>
          <w:szCs w:val="20"/>
          <w:lang w:val="en-US"/>
        </w:rPr>
        <w:t xml:space="preserve"> 2009, </w:t>
      </w:r>
      <w:r w:rsidR="00F61ED5" w:rsidRPr="00A50E4D">
        <w:rPr>
          <w:szCs w:val="20"/>
          <w:lang w:val="en-US"/>
        </w:rPr>
        <w:t xml:space="preserve">to ask a question similar to the one it had been proposed to ask by means of a </w:t>
      </w:r>
      <w:r w:rsidR="0036513A" w:rsidRPr="00A50E4D">
        <w:rPr>
          <w:szCs w:val="20"/>
          <w:lang w:val="en-US"/>
        </w:rPr>
        <w:t>popular consultation</w:t>
      </w:r>
      <w:r w:rsidR="00F61ED5" w:rsidRPr="00A50E4D">
        <w:rPr>
          <w:szCs w:val="20"/>
          <w:lang w:val="en-US"/>
        </w:rPr>
        <w:t xml:space="preserve"> </w:t>
      </w:r>
      <w:r w:rsidR="00930C85" w:rsidRPr="00A50E4D">
        <w:rPr>
          <w:szCs w:val="20"/>
          <w:lang w:val="en-US"/>
        </w:rPr>
        <w:t>(</w:t>
      </w:r>
      <w:r w:rsidR="00930C85" w:rsidRPr="00A50E4D">
        <w:rPr>
          <w:i/>
          <w:szCs w:val="20"/>
          <w:lang w:val="en-US"/>
        </w:rPr>
        <w:t>supra</w:t>
      </w:r>
      <w:r w:rsidR="00930C85" w:rsidRPr="00A50E4D">
        <w:rPr>
          <w:szCs w:val="20"/>
          <w:lang w:val="en-US"/>
        </w:rPr>
        <w:t xml:space="preserve"> </w:t>
      </w:r>
      <w:r w:rsidR="00AD5EE7" w:rsidRPr="00A50E4D">
        <w:rPr>
          <w:szCs w:val="20"/>
          <w:lang w:val="en-US"/>
        </w:rPr>
        <w:t>para.</w:t>
      </w:r>
      <w:r w:rsidR="00930C85" w:rsidRPr="00A50E4D">
        <w:rPr>
          <w:szCs w:val="20"/>
          <w:lang w:val="en-US"/>
        </w:rPr>
        <w:t xml:space="preserve"> </w:t>
      </w:r>
      <w:r w:rsidR="00930C85" w:rsidRPr="00914F55">
        <w:rPr>
          <w:szCs w:val="20"/>
          <w:lang w:val="en-US"/>
        </w:rPr>
        <w:fldChar w:fldCharType="begin"/>
      </w:r>
      <w:r w:rsidR="00930C85" w:rsidRPr="00A50E4D">
        <w:rPr>
          <w:szCs w:val="20"/>
          <w:lang w:val="en-US"/>
        </w:rPr>
        <w:instrText xml:space="preserve"> REF _Ref431396989 \r \h  \* MERGEFORMAT </w:instrText>
      </w:r>
      <w:r w:rsidR="00930C85" w:rsidRPr="00914F55">
        <w:rPr>
          <w:szCs w:val="20"/>
          <w:lang w:val="en-US"/>
        </w:rPr>
      </w:r>
      <w:r w:rsidR="00930C85" w:rsidRPr="00914F55">
        <w:rPr>
          <w:szCs w:val="20"/>
          <w:lang w:val="en-US"/>
        </w:rPr>
        <w:fldChar w:fldCharType="separate"/>
      </w:r>
      <w:r w:rsidR="00547588">
        <w:rPr>
          <w:szCs w:val="20"/>
          <w:lang w:val="en-US"/>
        </w:rPr>
        <w:t>44</w:t>
      </w:r>
      <w:r w:rsidR="00930C85" w:rsidRPr="00914F55">
        <w:rPr>
          <w:szCs w:val="20"/>
          <w:lang w:val="en-US"/>
        </w:rPr>
        <w:fldChar w:fldCharType="end"/>
      </w:r>
      <w:r w:rsidR="00930C85" w:rsidRPr="00A50E4D">
        <w:rPr>
          <w:szCs w:val="20"/>
          <w:lang w:val="en-US"/>
        </w:rPr>
        <w:t>)</w:t>
      </w:r>
      <w:r w:rsidR="00F61ED5" w:rsidRPr="00A50E4D">
        <w:rPr>
          <w:szCs w:val="20"/>
          <w:lang w:val="en-US"/>
        </w:rPr>
        <w:t>.</w:t>
      </w:r>
      <w:r w:rsidR="00930C85" w:rsidRPr="00A50E4D">
        <w:rPr>
          <w:rStyle w:val="FootnoteReference"/>
          <w:sz w:val="20"/>
          <w:szCs w:val="20"/>
          <w:lang w:val="en-US"/>
        </w:rPr>
        <w:footnoteReference w:id="53"/>
      </w:r>
      <w:r w:rsidR="0054124E" w:rsidRPr="00A50E4D">
        <w:rPr>
          <w:szCs w:val="20"/>
          <w:lang w:val="en-US"/>
        </w:rPr>
        <w:t xml:space="preserve"> </w:t>
      </w:r>
      <w:r w:rsidR="00930C85" w:rsidRPr="00A50E4D">
        <w:rPr>
          <w:szCs w:val="20"/>
          <w:lang w:val="en-US"/>
        </w:rPr>
        <w:t xml:space="preserve"> </w:t>
      </w:r>
      <w:r w:rsidR="0054124E" w:rsidRPr="00A50E4D">
        <w:rPr>
          <w:szCs w:val="20"/>
          <w:lang w:val="en-US"/>
        </w:rPr>
        <w:t>On May 27,</w:t>
      </w:r>
      <w:r w:rsidR="00930C85" w:rsidRPr="00A50E4D">
        <w:rPr>
          <w:szCs w:val="20"/>
          <w:lang w:val="en-US"/>
        </w:rPr>
        <w:t xml:space="preserve"> </w:t>
      </w:r>
      <w:r w:rsidR="0054124E" w:rsidRPr="00A50E4D">
        <w:rPr>
          <w:szCs w:val="20"/>
          <w:lang w:val="en-US"/>
        </w:rPr>
        <w:t>the Contentious Administrative Court</w:t>
      </w:r>
      <w:r w:rsidR="00930C85" w:rsidRPr="00A50E4D">
        <w:rPr>
          <w:szCs w:val="20"/>
          <w:lang w:val="en-US"/>
        </w:rPr>
        <w:t xml:space="preserve"> orde</w:t>
      </w:r>
      <w:r w:rsidR="0054124E" w:rsidRPr="00A50E4D">
        <w:rPr>
          <w:szCs w:val="20"/>
          <w:lang w:val="en-US"/>
        </w:rPr>
        <w:t xml:space="preserve">red the </w:t>
      </w:r>
      <w:r w:rsidR="000A786A" w:rsidRPr="00A50E4D">
        <w:rPr>
          <w:szCs w:val="20"/>
          <w:lang w:val="en-US"/>
        </w:rPr>
        <w:t>suspension</w:t>
      </w:r>
      <w:r w:rsidR="0054124E" w:rsidRPr="00A50E4D">
        <w:rPr>
          <w:szCs w:val="20"/>
          <w:lang w:val="en-US"/>
        </w:rPr>
        <w:t xml:space="preserve"> of the popular consultation and, on May 29, decided that the decision</w:t>
      </w:r>
      <w:r w:rsidR="00930C85" w:rsidRPr="00A50E4D">
        <w:rPr>
          <w:szCs w:val="20"/>
          <w:lang w:val="en-US"/>
        </w:rPr>
        <w:t xml:space="preserve"> </w:t>
      </w:r>
      <w:r w:rsidR="0054124E" w:rsidRPr="00A50E4D">
        <w:rPr>
          <w:szCs w:val="20"/>
          <w:lang w:val="en-US"/>
        </w:rPr>
        <w:t>of May 27 included “any other general or specific administrative act that might have been issued or would be issued and that would have the same result as the administrative act that had been suspended.</w:t>
      </w:r>
      <w:r w:rsidR="00930C85" w:rsidRPr="00A50E4D">
        <w:rPr>
          <w:szCs w:val="20"/>
          <w:lang w:val="en-US"/>
        </w:rPr>
        <w:t>”</w:t>
      </w:r>
      <w:r w:rsidR="00930C85" w:rsidRPr="00A50E4D">
        <w:rPr>
          <w:rStyle w:val="FootnoteReference"/>
          <w:rFonts w:cs="Arial"/>
          <w:sz w:val="20"/>
          <w:szCs w:val="20"/>
          <w:lang w:val="en-US"/>
        </w:rPr>
        <w:footnoteReference w:id="54"/>
      </w:r>
      <w:bookmarkEnd w:id="110"/>
      <w:r w:rsidR="00930C85" w:rsidRPr="00A50E4D">
        <w:rPr>
          <w:szCs w:val="20"/>
          <w:lang w:val="en-US"/>
        </w:rPr>
        <w:t xml:space="preserve"> </w:t>
      </w:r>
    </w:p>
    <w:p w14:paraId="01254807" w14:textId="77777777" w:rsidR="00930C85" w:rsidRPr="00A50E4D" w:rsidRDefault="00930C85" w:rsidP="00930C85">
      <w:pPr>
        <w:rPr>
          <w:lang w:val="en-US" w:eastAsia="es-MX"/>
        </w:rPr>
      </w:pPr>
    </w:p>
    <w:p w14:paraId="0E48DB22" w14:textId="1B079B28" w:rsidR="00930C85" w:rsidRPr="00A50E4D" w:rsidRDefault="00D03F60" w:rsidP="00930C85">
      <w:pPr>
        <w:pStyle w:val="PrrafodeSentencia"/>
        <w:rPr>
          <w:lang w:val="en-US"/>
        </w:rPr>
      </w:pPr>
      <w:r w:rsidRPr="00A50E4D">
        <w:rPr>
          <w:szCs w:val="20"/>
          <w:lang w:val="en-US"/>
        </w:rPr>
        <w:t xml:space="preserve">On </w:t>
      </w:r>
      <w:r w:rsidR="00C150F2" w:rsidRPr="00A50E4D">
        <w:rPr>
          <w:szCs w:val="20"/>
          <w:lang w:val="en-US"/>
        </w:rPr>
        <w:t>June</w:t>
      </w:r>
      <w:r w:rsidRPr="00A50E4D">
        <w:rPr>
          <w:szCs w:val="20"/>
          <w:lang w:val="en-US"/>
        </w:rPr>
        <w:t xml:space="preserve"> 24,</w:t>
      </w:r>
      <w:r w:rsidR="00930C85" w:rsidRPr="00A50E4D">
        <w:rPr>
          <w:szCs w:val="20"/>
          <w:lang w:val="en-US"/>
        </w:rPr>
        <w:t xml:space="preserve"> 2009</w:t>
      </w:r>
      <w:r w:rsidRPr="00A50E4D">
        <w:rPr>
          <w:szCs w:val="20"/>
          <w:lang w:val="en-US"/>
        </w:rPr>
        <w:t>,</w:t>
      </w:r>
      <w:r w:rsidR="00930C85" w:rsidRPr="00A50E4D">
        <w:rPr>
          <w:szCs w:val="20"/>
          <w:lang w:val="en-US"/>
        </w:rPr>
        <w:t xml:space="preserve"> </w:t>
      </w:r>
      <w:r w:rsidRPr="00A50E4D">
        <w:rPr>
          <w:szCs w:val="20"/>
          <w:lang w:val="en-US"/>
        </w:rPr>
        <w:t>the National Congress</w:t>
      </w:r>
      <w:r w:rsidR="00930C85" w:rsidRPr="00A50E4D">
        <w:rPr>
          <w:lang w:val="en-US"/>
        </w:rPr>
        <w:t xml:space="preserve"> </w:t>
      </w:r>
      <w:r w:rsidR="0054124E" w:rsidRPr="00A50E4D">
        <w:rPr>
          <w:lang w:val="en-US"/>
        </w:rPr>
        <w:t>passed the</w:t>
      </w:r>
      <w:r w:rsidR="00930C85" w:rsidRPr="00A50E4D">
        <w:rPr>
          <w:lang w:val="en-US"/>
        </w:rPr>
        <w:t xml:space="preserve"> “</w:t>
      </w:r>
      <w:r w:rsidR="0054124E" w:rsidRPr="00A50E4D">
        <w:rPr>
          <w:lang w:val="en-US"/>
        </w:rPr>
        <w:t>Special Law regulating Referendums and Plebiscites,” which prohibited the use of either mechanism 180 days either before or after general elections.</w:t>
      </w:r>
      <w:r w:rsidR="00930C85" w:rsidRPr="00A50E4D">
        <w:rPr>
          <w:rStyle w:val="FootnoteReference"/>
          <w:rFonts w:cs="Arial"/>
          <w:sz w:val="20"/>
          <w:szCs w:val="20"/>
          <w:lang w:val="en-US"/>
        </w:rPr>
        <w:footnoteReference w:id="55"/>
      </w:r>
      <w:bookmarkEnd w:id="109"/>
      <w:r w:rsidR="00930C85" w:rsidRPr="00A50E4D">
        <w:rPr>
          <w:lang w:val="en-US"/>
        </w:rPr>
        <w:t xml:space="preserve"> </w:t>
      </w:r>
    </w:p>
    <w:p w14:paraId="1C0B6FBC" w14:textId="77777777" w:rsidR="00930C85" w:rsidRPr="00A50E4D" w:rsidRDefault="00930C85" w:rsidP="00930C85">
      <w:pPr>
        <w:pStyle w:val="NoSpacing"/>
        <w:tabs>
          <w:tab w:val="left" w:pos="567"/>
        </w:tabs>
        <w:rPr>
          <w:spacing w:val="-4"/>
          <w:szCs w:val="20"/>
          <w:lang w:val="en-US"/>
        </w:rPr>
      </w:pPr>
    </w:p>
    <w:p w14:paraId="7DCA501B" w14:textId="140FCD66" w:rsidR="00930C85" w:rsidRPr="00A50E4D" w:rsidRDefault="00CD2874" w:rsidP="00930C85">
      <w:pPr>
        <w:pStyle w:val="PrrafodeSentencia"/>
        <w:rPr>
          <w:lang w:val="en-US"/>
        </w:rPr>
      </w:pPr>
      <w:r w:rsidRPr="00A50E4D">
        <w:rPr>
          <w:lang w:val="en-US"/>
        </w:rPr>
        <w:t>President</w:t>
      </w:r>
      <w:r w:rsidR="00930C85" w:rsidRPr="00A50E4D">
        <w:rPr>
          <w:lang w:val="en-US"/>
        </w:rPr>
        <w:t xml:space="preserve"> Zelaya decid</w:t>
      </w:r>
      <w:r w:rsidR="0054124E" w:rsidRPr="00A50E4D">
        <w:rPr>
          <w:lang w:val="en-US"/>
        </w:rPr>
        <w:t xml:space="preserve">ed to press for the consultation and ordered the Head of the Joint Chiefs of Staff to safeguard the ballot boxes that would be used for this. The Head of the Joint Chiefs of Staff refused to obey this order and, </w:t>
      </w:r>
      <w:r w:rsidR="00D03F60" w:rsidRPr="00A50E4D">
        <w:rPr>
          <w:lang w:val="en-US"/>
        </w:rPr>
        <w:t xml:space="preserve">on </w:t>
      </w:r>
      <w:r w:rsidR="00C150F2" w:rsidRPr="00A50E4D">
        <w:rPr>
          <w:lang w:val="en-US"/>
        </w:rPr>
        <w:t>June</w:t>
      </w:r>
      <w:r w:rsidR="00D03F60" w:rsidRPr="00A50E4D">
        <w:rPr>
          <w:lang w:val="en-US"/>
        </w:rPr>
        <w:t xml:space="preserve"> 24</w:t>
      </w:r>
      <w:r w:rsidR="0054124E" w:rsidRPr="00A50E4D">
        <w:rPr>
          <w:lang w:val="en-US"/>
        </w:rPr>
        <w:t>,</w:t>
      </w:r>
      <w:r w:rsidR="00930C85" w:rsidRPr="00A50E4D">
        <w:rPr>
          <w:lang w:val="en-US"/>
        </w:rPr>
        <w:t xml:space="preserve"> </w:t>
      </w:r>
      <w:r w:rsidR="0054124E" w:rsidRPr="00A50E4D">
        <w:rPr>
          <w:lang w:val="en-US"/>
        </w:rPr>
        <w:t>President Zelaya</w:t>
      </w:r>
      <w:r w:rsidR="00930C85" w:rsidRPr="00A50E4D">
        <w:rPr>
          <w:lang w:val="en-US"/>
        </w:rPr>
        <w:t xml:space="preserve"> orde</w:t>
      </w:r>
      <w:r w:rsidR="0054124E" w:rsidRPr="00A50E4D">
        <w:rPr>
          <w:lang w:val="en-US"/>
        </w:rPr>
        <w:t>red that he be relieved of his command.</w:t>
      </w:r>
      <w:r w:rsidR="00930C85" w:rsidRPr="00A50E4D">
        <w:rPr>
          <w:rStyle w:val="FootnoteReference"/>
          <w:rFonts w:cs="Arial"/>
          <w:sz w:val="20"/>
          <w:szCs w:val="20"/>
          <w:lang w:val="en-US"/>
        </w:rPr>
        <w:footnoteReference w:id="56"/>
      </w:r>
      <w:r w:rsidR="0054124E" w:rsidRPr="00A50E4D">
        <w:rPr>
          <w:lang w:val="en-US"/>
        </w:rPr>
        <w:t xml:space="preserve"> However,</w:t>
      </w:r>
      <w:r w:rsidR="00930C85" w:rsidRPr="00A50E4D">
        <w:rPr>
          <w:lang w:val="en-US"/>
        </w:rPr>
        <w:t xml:space="preserve"> </w:t>
      </w:r>
      <w:r w:rsidR="009808C5" w:rsidRPr="00A50E4D">
        <w:rPr>
          <w:lang w:val="en-US"/>
        </w:rPr>
        <w:t xml:space="preserve">the </w:t>
      </w:r>
      <w:r w:rsidR="00371BB7" w:rsidRPr="00A50E4D">
        <w:rPr>
          <w:lang w:val="en-US"/>
        </w:rPr>
        <w:t>Supreme Court of Justice</w:t>
      </w:r>
      <w:r w:rsidR="0054124E" w:rsidRPr="00A50E4D">
        <w:rPr>
          <w:lang w:val="en-US"/>
        </w:rPr>
        <w:t xml:space="preserve"> annulled his removal</w:t>
      </w:r>
      <w:r w:rsidR="00930C85" w:rsidRPr="00A50E4D">
        <w:rPr>
          <w:lang w:val="en-US"/>
        </w:rPr>
        <w:t>. A</w:t>
      </w:r>
      <w:r w:rsidR="0054124E" w:rsidRPr="00A50E4D">
        <w:rPr>
          <w:lang w:val="en-US"/>
        </w:rPr>
        <w:t>lso</w:t>
      </w:r>
      <w:r w:rsidR="00930C85" w:rsidRPr="00A50E4D">
        <w:rPr>
          <w:lang w:val="en-US"/>
        </w:rPr>
        <w:t xml:space="preserve">, </w:t>
      </w:r>
      <w:r w:rsidR="00D03F60" w:rsidRPr="00A50E4D">
        <w:rPr>
          <w:lang w:val="en-US"/>
        </w:rPr>
        <w:t xml:space="preserve">on </w:t>
      </w:r>
      <w:r w:rsidR="00C150F2" w:rsidRPr="00A50E4D">
        <w:rPr>
          <w:lang w:val="en-US"/>
        </w:rPr>
        <w:t>June</w:t>
      </w:r>
      <w:r w:rsidR="00D03F60" w:rsidRPr="00A50E4D">
        <w:rPr>
          <w:lang w:val="en-US"/>
        </w:rPr>
        <w:t xml:space="preserve"> 24</w:t>
      </w:r>
      <w:r w:rsidR="0054124E" w:rsidRPr="00A50E4D">
        <w:rPr>
          <w:lang w:val="en-US"/>
        </w:rPr>
        <w:t>,</w:t>
      </w:r>
      <w:r w:rsidR="00930C85" w:rsidRPr="00A50E4D">
        <w:rPr>
          <w:lang w:val="en-US"/>
        </w:rPr>
        <w:t xml:space="preserve"> </w:t>
      </w:r>
      <w:r w:rsidRPr="00A50E4D">
        <w:rPr>
          <w:lang w:val="en-US"/>
        </w:rPr>
        <w:t>the President</w:t>
      </w:r>
      <w:r w:rsidR="00930C85" w:rsidRPr="00A50E4D">
        <w:rPr>
          <w:lang w:val="en-US"/>
        </w:rPr>
        <w:t xml:space="preserve"> </w:t>
      </w:r>
      <w:r w:rsidR="0054124E" w:rsidRPr="00A50E4D">
        <w:rPr>
          <w:lang w:val="en-US"/>
        </w:rPr>
        <w:t xml:space="preserve">accepted the resignation of </w:t>
      </w:r>
      <w:r w:rsidR="00D03F60" w:rsidRPr="00A50E4D">
        <w:rPr>
          <w:lang w:val="en-US"/>
        </w:rPr>
        <w:t>the Minister of Defense</w:t>
      </w:r>
      <w:r w:rsidR="0054124E" w:rsidRPr="00A50E4D">
        <w:rPr>
          <w:lang w:val="en-US"/>
        </w:rPr>
        <w:t>.</w:t>
      </w:r>
      <w:r w:rsidR="00930C85" w:rsidRPr="00A50E4D">
        <w:rPr>
          <w:rStyle w:val="FootnoteReference"/>
          <w:rFonts w:cs="Arial"/>
          <w:sz w:val="20"/>
          <w:szCs w:val="20"/>
          <w:lang w:val="en-US"/>
        </w:rPr>
        <w:footnoteReference w:id="57"/>
      </w:r>
      <w:r w:rsidR="00930C85" w:rsidRPr="00A50E4D">
        <w:rPr>
          <w:lang w:val="en-US"/>
        </w:rPr>
        <w:t xml:space="preserve"> </w:t>
      </w:r>
    </w:p>
    <w:p w14:paraId="557004F8" w14:textId="77777777" w:rsidR="00930C85" w:rsidRPr="00A50E4D" w:rsidRDefault="00930C85" w:rsidP="00930C85">
      <w:pPr>
        <w:pStyle w:val="NoSpacing"/>
        <w:tabs>
          <w:tab w:val="left" w:pos="567"/>
        </w:tabs>
        <w:rPr>
          <w:spacing w:val="-4"/>
          <w:szCs w:val="20"/>
          <w:lang w:val="en-US"/>
        </w:rPr>
      </w:pPr>
    </w:p>
    <w:p w14:paraId="457B8891" w14:textId="041D61F3" w:rsidR="00930C85" w:rsidRPr="00A50E4D" w:rsidRDefault="00D03F60" w:rsidP="00930C85">
      <w:pPr>
        <w:pStyle w:val="PrrafodeSentencia"/>
        <w:rPr>
          <w:lang w:val="en-US"/>
        </w:rPr>
      </w:pPr>
      <w:r w:rsidRPr="00A50E4D">
        <w:rPr>
          <w:lang w:val="en-US"/>
        </w:rPr>
        <w:t xml:space="preserve">On </w:t>
      </w:r>
      <w:r w:rsidR="00C150F2" w:rsidRPr="00A50E4D">
        <w:rPr>
          <w:lang w:val="en-US"/>
        </w:rPr>
        <w:t>June</w:t>
      </w:r>
      <w:r w:rsidRPr="00A50E4D">
        <w:rPr>
          <w:lang w:val="en-US"/>
        </w:rPr>
        <w:t xml:space="preserve"> 25,</w:t>
      </w:r>
      <w:r w:rsidR="00930C85" w:rsidRPr="00A50E4D">
        <w:rPr>
          <w:lang w:val="en-US"/>
        </w:rPr>
        <w:t xml:space="preserve"> 2009</w:t>
      </w:r>
      <w:r w:rsidRPr="00A50E4D">
        <w:rPr>
          <w:lang w:val="en-US"/>
        </w:rPr>
        <w:t>,</w:t>
      </w:r>
      <w:r w:rsidR="00930C85" w:rsidRPr="00A50E4D">
        <w:rPr>
          <w:lang w:val="en-US"/>
        </w:rPr>
        <w:t xml:space="preserve"> </w:t>
      </w:r>
      <w:r w:rsidRPr="00A50E4D">
        <w:rPr>
          <w:lang w:val="en-US"/>
        </w:rPr>
        <w:t>the Supreme Electoral Tribunal</w:t>
      </w:r>
      <w:r w:rsidR="00930C85" w:rsidRPr="00A50E4D">
        <w:rPr>
          <w:lang w:val="en-US"/>
        </w:rPr>
        <w:t xml:space="preserve"> dec</w:t>
      </w:r>
      <w:r w:rsidR="0054124E" w:rsidRPr="00A50E4D">
        <w:rPr>
          <w:lang w:val="en-US"/>
        </w:rPr>
        <w:t xml:space="preserve">lared the national opinion poll </w:t>
      </w:r>
      <w:r w:rsidR="000A786A" w:rsidRPr="00A50E4D">
        <w:rPr>
          <w:lang w:val="en-US"/>
        </w:rPr>
        <w:t>illegal</w:t>
      </w:r>
      <w:r w:rsidR="0054124E" w:rsidRPr="00A50E4D">
        <w:rPr>
          <w:lang w:val="en-US"/>
        </w:rPr>
        <w:t xml:space="preserve"> and proceeded to confiscate the materials for the survey and place them </w:t>
      </w:r>
      <w:r w:rsidR="0036513A" w:rsidRPr="00A50E4D">
        <w:rPr>
          <w:lang w:val="en-US"/>
        </w:rPr>
        <w:t>on the premises</w:t>
      </w:r>
      <w:r w:rsidR="0054124E" w:rsidRPr="00A50E4D">
        <w:rPr>
          <w:lang w:val="en-US"/>
        </w:rPr>
        <w:t xml:space="preserve"> of the Honduran Air Force. However, </w:t>
      </w:r>
      <w:r w:rsidR="00CD2874" w:rsidRPr="00A50E4D">
        <w:rPr>
          <w:lang w:val="en-US"/>
        </w:rPr>
        <w:t>the President</w:t>
      </w:r>
      <w:r w:rsidR="00930C85" w:rsidRPr="00A50E4D">
        <w:rPr>
          <w:lang w:val="en-US"/>
        </w:rPr>
        <w:t>, ac</w:t>
      </w:r>
      <w:r w:rsidR="0054124E" w:rsidRPr="00A50E4D">
        <w:rPr>
          <w:lang w:val="en-US"/>
        </w:rPr>
        <w:t>companied by his followers, retrieved the confiscated material and ordered the National Police to safeguard it.</w:t>
      </w:r>
      <w:r w:rsidR="00930C85" w:rsidRPr="00A50E4D">
        <w:rPr>
          <w:rStyle w:val="FootnoteReference"/>
          <w:sz w:val="20"/>
          <w:szCs w:val="20"/>
          <w:lang w:val="en-US"/>
        </w:rPr>
        <w:footnoteReference w:id="58"/>
      </w:r>
      <w:r w:rsidR="00930C85" w:rsidRPr="00A50E4D">
        <w:rPr>
          <w:lang w:val="en-US"/>
        </w:rPr>
        <w:t xml:space="preserve"> </w:t>
      </w:r>
      <w:r w:rsidRPr="00A50E4D">
        <w:rPr>
          <w:lang w:val="en-US"/>
        </w:rPr>
        <w:t xml:space="preserve">On </w:t>
      </w:r>
      <w:r w:rsidR="00C150F2" w:rsidRPr="00A50E4D">
        <w:rPr>
          <w:lang w:val="en-US"/>
        </w:rPr>
        <w:t>June</w:t>
      </w:r>
      <w:r w:rsidRPr="00A50E4D">
        <w:rPr>
          <w:lang w:val="en-US"/>
        </w:rPr>
        <w:t xml:space="preserve"> 26</w:t>
      </w:r>
      <w:r w:rsidR="0054124E" w:rsidRPr="00A50E4D">
        <w:rPr>
          <w:lang w:val="en-US"/>
        </w:rPr>
        <w:t>,</w:t>
      </w:r>
      <w:r w:rsidR="00930C85" w:rsidRPr="00A50E4D">
        <w:rPr>
          <w:lang w:val="en-US"/>
        </w:rPr>
        <w:t xml:space="preserve"> </w:t>
      </w:r>
      <w:r w:rsidR="0054124E" w:rsidRPr="00A50E4D">
        <w:rPr>
          <w:lang w:val="en-US"/>
        </w:rPr>
        <w:t>the Contentious Administrative Court</w:t>
      </w:r>
      <w:r w:rsidR="00930C85" w:rsidRPr="00A50E4D">
        <w:rPr>
          <w:lang w:val="en-US"/>
        </w:rPr>
        <w:t xml:space="preserve"> </w:t>
      </w:r>
      <w:r w:rsidR="0054124E" w:rsidRPr="00A50E4D">
        <w:rPr>
          <w:lang w:val="en-US"/>
        </w:rPr>
        <w:t xml:space="preserve">also ordered that the material be confiscated because the said opinion poll would be in violation of its </w:t>
      </w:r>
      <w:r w:rsidR="000A786A" w:rsidRPr="00A50E4D">
        <w:rPr>
          <w:lang w:val="en-US"/>
        </w:rPr>
        <w:t>decision</w:t>
      </w:r>
      <w:r w:rsidR="0054124E" w:rsidRPr="00A50E4D">
        <w:rPr>
          <w:lang w:val="en-US"/>
        </w:rPr>
        <w:t xml:space="preserve"> of May 29 </w:t>
      </w:r>
      <w:r w:rsidR="00930C85" w:rsidRPr="00A50E4D">
        <w:rPr>
          <w:lang w:val="en-US"/>
        </w:rPr>
        <w:t>(</w:t>
      </w:r>
      <w:r w:rsidR="00930C85" w:rsidRPr="00A50E4D">
        <w:rPr>
          <w:i/>
          <w:lang w:val="en-US"/>
        </w:rPr>
        <w:t xml:space="preserve">supra </w:t>
      </w:r>
      <w:r w:rsidR="00AD5EE7" w:rsidRPr="00A50E4D">
        <w:rPr>
          <w:lang w:val="en-US"/>
        </w:rPr>
        <w:t>para.</w:t>
      </w:r>
      <w:r w:rsidR="00930C85" w:rsidRPr="00A50E4D">
        <w:rPr>
          <w:lang w:val="en-US"/>
        </w:rPr>
        <w:t xml:space="preserve"> </w:t>
      </w:r>
      <w:r w:rsidR="00930C85" w:rsidRPr="00914F55">
        <w:rPr>
          <w:lang w:val="en-US"/>
        </w:rPr>
        <w:fldChar w:fldCharType="begin"/>
      </w:r>
      <w:r w:rsidR="00930C85" w:rsidRPr="00A50E4D">
        <w:rPr>
          <w:lang w:val="en-US"/>
        </w:rPr>
        <w:instrText xml:space="preserve"> REF _Ref433022287 \r \h </w:instrText>
      </w:r>
      <w:r w:rsidR="00EA20A5" w:rsidRPr="00A50E4D">
        <w:rPr>
          <w:lang w:val="en-US"/>
        </w:rPr>
        <w:instrText xml:space="preserve"> \* MERGEFORMAT </w:instrText>
      </w:r>
      <w:r w:rsidR="00930C85" w:rsidRPr="00914F55">
        <w:rPr>
          <w:lang w:val="en-US"/>
        </w:rPr>
      </w:r>
      <w:r w:rsidR="00930C85" w:rsidRPr="00914F55">
        <w:rPr>
          <w:lang w:val="en-US"/>
        </w:rPr>
        <w:fldChar w:fldCharType="separate"/>
      </w:r>
      <w:r w:rsidR="00547588">
        <w:rPr>
          <w:lang w:val="en-US"/>
        </w:rPr>
        <w:t>45</w:t>
      </w:r>
      <w:r w:rsidR="00930C85" w:rsidRPr="00914F55">
        <w:rPr>
          <w:lang w:val="en-US"/>
        </w:rPr>
        <w:fldChar w:fldCharType="end"/>
      </w:r>
      <w:r w:rsidR="00930C85" w:rsidRPr="00A50E4D">
        <w:rPr>
          <w:lang w:val="en-US"/>
        </w:rPr>
        <w:t>)</w:t>
      </w:r>
      <w:r w:rsidR="0054124E" w:rsidRPr="00A50E4D">
        <w:rPr>
          <w:lang w:val="en-US"/>
        </w:rPr>
        <w:t>.</w:t>
      </w:r>
      <w:r w:rsidR="00930C85" w:rsidRPr="00A50E4D">
        <w:rPr>
          <w:rStyle w:val="FootnoteReference"/>
          <w:sz w:val="20"/>
          <w:szCs w:val="20"/>
          <w:lang w:val="en-US"/>
        </w:rPr>
        <w:footnoteReference w:id="59"/>
      </w:r>
    </w:p>
    <w:p w14:paraId="2F3300C9" w14:textId="77777777" w:rsidR="00930C85" w:rsidRPr="00A50E4D" w:rsidRDefault="00930C85" w:rsidP="00930C85">
      <w:pPr>
        <w:pStyle w:val="ListParagraph"/>
        <w:numPr>
          <w:ilvl w:val="0"/>
          <w:numId w:val="0"/>
        </w:numPr>
        <w:rPr>
          <w:spacing w:val="-4"/>
          <w:lang w:val="en-US"/>
        </w:rPr>
      </w:pPr>
    </w:p>
    <w:p w14:paraId="52B1FE41" w14:textId="4B8031DE" w:rsidR="00930C85" w:rsidRPr="00A50E4D" w:rsidRDefault="00D03F60" w:rsidP="00930C85">
      <w:pPr>
        <w:pStyle w:val="PrrafodeSentencia"/>
        <w:rPr>
          <w:lang w:val="en-US"/>
        </w:rPr>
      </w:pPr>
      <w:bookmarkStart w:id="111" w:name="_Ref427311379"/>
      <w:r w:rsidRPr="00A50E4D">
        <w:rPr>
          <w:lang w:val="en-US"/>
        </w:rPr>
        <w:lastRenderedPageBreak/>
        <w:t xml:space="preserve">On </w:t>
      </w:r>
      <w:r w:rsidR="00C150F2" w:rsidRPr="00A50E4D">
        <w:rPr>
          <w:lang w:val="en-US"/>
        </w:rPr>
        <w:t>June</w:t>
      </w:r>
      <w:r w:rsidRPr="00A50E4D">
        <w:rPr>
          <w:lang w:val="en-US"/>
        </w:rPr>
        <w:t xml:space="preserve"> 28</w:t>
      </w:r>
      <w:r w:rsidR="00930C85" w:rsidRPr="00A50E4D">
        <w:rPr>
          <w:lang w:val="en-US"/>
        </w:rPr>
        <w:t>, a</w:t>
      </w:r>
      <w:r w:rsidRPr="00A50E4D">
        <w:rPr>
          <w:lang w:val="en-US"/>
        </w:rPr>
        <w:t>t approximately 5 a.m., “members of the Army […]</w:t>
      </w:r>
      <w:r w:rsidR="0036513A" w:rsidRPr="00A50E4D">
        <w:rPr>
          <w:lang w:val="en-US"/>
        </w:rPr>
        <w:t>,</w:t>
      </w:r>
      <w:r w:rsidRPr="00A50E4D">
        <w:rPr>
          <w:lang w:val="en-US"/>
        </w:rPr>
        <w:t xml:space="preserve"> acting on the instructions of the Head of the Joint Chiefs of Staff</w:t>
      </w:r>
      <w:r w:rsidR="00930C85" w:rsidRPr="00A50E4D">
        <w:rPr>
          <w:lang w:val="en-US"/>
        </w:rPr>
        <w:t xml:space="preserve"> </w:t>
      </w:r>
      <w:r w:rsidR="009808C5" w:rsidRPr="00A50E4D">
        <w:rPr>
          <w:lang w:val="en-US"/>
        </w:rPr>
        <w:t xml:space="preserve">and </w:t>
      </w:r>
      <w:r w:rsidRPr="00A50E4D">
        <w:rPr>
          <w:lang w:val="en-US"/>
        </w:rPr>
        <w:t xml:space="preserve">of the then Vice Minister of Defense, </w:t>
      </w:r>
      <w:r w:rsidR="0054124E" w:rsidRPr="00A50E4D">
        <w:rPr>
          <w:lang w:val="en-US"/>
        </w:rPr>
        <w:t>entered the presidential residence and took the President into custody.</w:t>
      </w:r>
      <w:r w:rsidR="00930C85" w:rsidRPr="00A50E4D">
        <w:rPr>
          <w:lang w:val="en-US"/>
        </w:rPr>
        <w:t>”</w:t>
      </w:r>
      <w:r w:rsidR="00930C85" w:rsidRPr="00A50E4D">
        <w:rPr>
          <w:rStyle w:val="FootnoteReference"/>
          <w:sz w:val="20"/>
          <w:szCs w:val="20"/>
          <w:lang w:val="en-US"/>
        </w:rPr>
        <w:footnoteReference w:id="60"/>
      </w:r>
      <w:r w:rsidR="00930C85" w:rsidRPr="00A50E4D">
        <w:rPr>
          <w:lang w:val="en-US"/>
        </w:rPr>
        <w:t xml:space="preserve"> </w:t>
      </w:r>
      <w:r w:rsidR="00CA7E67" w:rsidRPr="00A50E4D">
        <w:rPr>
          <w:lang w:val="en-US"/>
        </w:rPr>
        <w:t>The same day</w:t>
      </w:r>
      <w:r w:rsidR="00930C85" w:rsidRPr="00A50E4D">
        <w:rPr>
          <w:lang w:val="en-US"/>
        </w:rPr>
        <w:t xml:space="preserve">, </w:t>
      </w:r>
      <w:r w:rsidR="00CD2874" w:rsidRPr="00A50E4D">
        <w:rPr>
          <w:lang w:val="en-US"/>
        </w:rPr>
        <w:t>President</w:t>
      </w:r>
      <w:r w:rsidR="00930C85" w:rsidRPr="00A50E4D">
        <w:rPr>
          <w:lang w:val="en-US"/>
        </w:rPr>
        <w:t xml:space="preserve"> Zelaya </w:t>
      </w:r>
      <w:r w:rsidR="00CA7E67" w:rsidRPr="00A50E4D">
        <w:rPr>
          <w:lang w:val="en-US"/>
        </w:rPr>
        <w:t xml:space="preserve">was taken to an </w:t>
      </w:r>
      <w:r w:rsidR="000A786A" w:rsidRPr="00A50E4D">
        <w:rPr>
          <w:lang w:val="en-US"/>
        </w:rPr>
        <w:t>air force</w:t>
      </w:r>
      <w:r w:rsidR="00CA7E67" w:rsidRPr="00A50E4D">
        <w:rPr>
          <w:lang w:val="en-US"/>
        </w:rPr>
        <w:t xml:space="preserve"> base and </w:t>
      </w:r>
      <w:r w:rsidR="0054124E" w:rsidRPr="00A50E4D">
        <w:rPr>
          <w:lang w:val="en-US"/>
        </w:rPr>
        <w:t>flown to Costa Rica aboard</w:t>
      </w:r>
      <w:r w:rsidR="00CA7E67" w:rsidRPr="00A50E4D">
        <w:rPr>
          <w:lang w:val="en-US"/>
        </w:rPr>
        <w:t xml:space="preserve"> a military aircraft.</w:t>
      </w:r>
      <w:r w:rsidR="00930C85" w:rsidRPr="00A50E4D">
        <w:rPr>
          <w:rStyle w:val="FootnoteReference"/>
          <w:rFonts w:cs="Arial"/>
          <w:sz w:val="20"/>
          <w:szCs w:val="20"/>
          <w:lang w:val="en-US"/>
        </w:rPr>
        <w:footnoteReference w:id="61"/>
      </w:r>
      <w:r w:rsidR="00930C85" w:rsidRPr="00A50E4D">
        <w:rPr>
          <w:lang w:val="en-US"/>
        </w:rPr>
        <w:t xml:space="preserve"> </w:t>
      </w:r>
      <w:r w:rsidR="0054124E" w:rsidRPr="00A50E4D">
        <w:rPr>
          <w:lang w:val="en-US"/>
        </w:rPr>
        <w:t xml:space="preserve">Subsequently, it </w:t>
      </w:r>
      <w:r w:rsidR="009C3860" w:rsidRPr="00A50E4D">
        <w:rPr>
          <w:lang w:val="en-US"/>
        </w:rPr>
        <w:t>was reported</w:t>
      </w:r>
      <w:r w:rsidR="0054124E" w:rsidRPr="00A50E4D">
        <w:rPr>
          <w:lang w:val="en-US"/>
        </w:rPr>
        <w:t xml:space="preserve"> that the Prosecutor General had requested the Supreme Court of Justice to arrest him and that court had appointed a </w:t>
      </w:r>
      <w:r w:rsidR="009C3860" w:rsidRPr="00A50E4D">
        <w:rPr>
          <w:lang w:val="en-US"/>
        </w:rPr>
        <w:t>justice</w:t>
      </w:r>
      <w:r w:rsidR="0054124E" w:rsidRPr="00A50E4D">
        <w:rPr>
          <w:lang w:val="en-US"/>
        </w:rPr>
        <w:t xml:space="preserve"> as an ordinary judge to pro</w:t>
      </w:r>
      <w:r w:rsidR="009C3860" w:rsidRPr="00A50E4D">
        <w:rPr>
          <w:lang w:val="en-US"/>
        </w:rPr>
        <w:t>secute</w:t>
      </w:r>
      <w:r w:rsidR="0054124E" w:rsidRPr="00A50E4D">
        <w:rPr>
          <w:lang w:val="en-US"/>
        </w:rPr>
        <w:t xml:space="preserve"> the case.</w:t>
      </w:r>
      <w:r w:rsidR="00930C85" w:rsidRPr="00A50E4D">
        <w:rPr>
          <w:rStyle w:val="FootnoteReference"/>
          <w:sz w:val="20"/>
          <w:szCs w:val="20"/>
          <w:lang w:val="en-US"/>
        </w:rPr>
        <w:footnoteReference w:id="62"/>
      </w:r>
      <w:bookmarkEnd w:id="111"/>
    </w:p>
    <w:p w14:paraId="1173D849" w14:textId="77777777" w:rsidR="00930C85" w:rsidRPr="00A50E4D" w:rsidRDefault="00930C85" w:rsidP="00930C85">
      <w:pPr>
        <w:pStyle w:val="ListParagraph"/>
        <w:numPr>
          <w:ilvl w:val="0"/>
          <w:numId w:val="0"/>
        </w:numPr>
        <w:rPr>
          <w:spacing w:val="-4"/>
          <w:lang w:val="en-US"/>
        </w:rPr>
      </w:pPr>
    </w:p>
    <w:p w14:paraId="243D25BD" w14:textId="432E1123" w:rsidR="00930C85" w:rsidRPr="00A50E4D" w:rsidRDefault="009D3D92" w:rsidP="00930C85">
      <w:pPr>
        <w:pStyle w:val="PrrafodeSentencia"/>
        <w:rPr>
          <w:szCs w:val="20"/>
          <w:lang w:val="en-US"/>
        </w:rPr>
      </w:pPr>
      <w:r w:rsidRPr="00A50E4D">
        <w:rPr>
          <w:szCs w:val="20"/>
          <w:lang w:val="en-US"/>
        </w:rPr>
        <w:t xml:space="preserve">The same </w:t>
      </w:r>
      <w:r w:rsidR="00C150F2" w:rsidRPr="00A50E4D">
        <w:rPr>
          <w:szCs w:val="20"/>
          <w:lang w:val="en-US"/>
        </w:rPr>
        <w:t>June</w:t>
      </w:r>
      <w:r w:rsidRPr="00A50E4D">
        <w:rPr>
          <w:szCs w:val="20"/>
          <w:lang w:val="en-US"/>
        </w:rPr>
        <w:t xml:space="preserve"> 28, </w:t>
      </w:r>
      <w:r w:rsidR="00D03F60" w:rsidRPr="00A50E4D">
        <w:rPr>
          <w:szCs w:val="20"/>
          <w:lang w:val="en-US"/>
        </w:rPr>
        <w:t>the National Congress</w:t>
      </w:r>
      <w:r w:rsidRPr="00A50E4D">
        <w:rPr>
          <w:szCs w:val="20"/>
          <w:lang w:val="en-US"/>
        </w:rPr>
        <w:t xml:space="preserve"> met and read a “supposed letter of resignation [from </w:t>
      </w:r>
      <w:r w:rsidR="00CD2874" w:rsidRPr="00A50E4D">
        <w:rPr>
          <w:szCs w:val="20"/>
          <w:lang w:val="en-US"/>
        </w:rPr>
        <w:t>President</w:t>
      </w:r>
      <w:r w:rsidR="00930C85" w:rsidRPr="00A50E4D">
        <w:rPr>
          <w:szCs w:val="20"/>
          <w:lang w:val="en-US"/>
        </w:rPr>
        <w:t>] Zelaya</w:t>
      </w:r>
      <w:r w:rsidRPr="00A50E4D">
        <w:rPr>
          <w:szCs w:val="20"/>
          <w:lang w:val="en-US"/>
        </w:rPr>
        <w:t>.</w:t>
      </w:r>
      <w:r w:rsidR="00930C85" w:rsidRPr="00A50E4D">
        <w:rPr>
          <w:szCs w:val="20"/>
          <w:lang w:val="en-US"/>
        </w:rPr>
        <w:t>”</w:t>
      </w:r>
      <w:r w:rsidR="00930C85" w:rsidRPr="00A50E4D">
        <w:rPr>
          <w:rStyle w:val="FootnoteReference"/>
          <w:sz w:val="20"/>
          <w:szCs w:val="20"/>
          <w:lang w:val="en-US"/>
        </w:rPr>
        <w:footnoteReference w:id="63"/>
      </w:r>
      <w:r w:rsidR="00930C85" w:rsidRPr="00A50E4D">
        <w:rPr>
          <w:szCs w:val="20"/>
          <w:lang w:val="en-US"/>
        </w:rPr>
        <w:t xml:space="preserve"> Subs</w:t>
      </w:r>
      <w:r w:rsidRPr="00A50E4D">
        <w:rPr>
          <w:szCs w:val="20"/>
          <w:lang w:val="en-US"/>
        </w:rPr>
        <w:t>equently, by</w:t>
      </w:r>
      <w:r w:rsidR="00930C85" w:rsidRPr="00A50E4D">
        <w:rPr>
          <w:szCs w:val="20"/>
          <w:lang w:val="en-US"/>
        </w:rPr>
        <w:t xml:space="preserve"> </w:t>
      </w:r>
      <w:r w:rsidR="00CA7E67" w:rsidRPr="00A50E4D">
        <w:rPr>
          <w:szCs w:val="20"/>
          <w:lang w:val="en-US"/>
        </w:rPr>
        <w:t>Legislative Decree</w:t>
      </w:r>
      <w:r w:rsidR="00930C85" w:rsidRPr="00A50E4D">
        <w:rPr>
          <w:szCs w:val="20"/>
          <w:lang w:val="en-US"/>
        </w:rPr>
        <w:t xml:space="preserve"> 141-09,</w:t>
      </w:r>
      <w:r w:rsidRPr="00A50E4D">
        <w:rPr>
          <w:szCs w:val="20"/>
          <w:lang w:val="en-US"/>
        </w:rPr>
        <w:t xml:space="preserve"> it ordered:</w:t>
      </w:r>
      <w:r w:rsidR="00930C85" w:rsidRPr="00A50E4D">
        <w:rPr>
          <w:szCs w:val="20"/>
          <w:lang w:val="en-US"/>
        </w:rPr>
        <w:t xml:space="preserve"> </w:t>
      </w:r>
      <w:r w:rsidRPr="00A50E4D">
        <w:rPr>
          <w:rFonts w:cs="Calibri"/>
          <w:szCs w:val="20"/>
          <w:lang w:val="en-US"/>
        </w:rPr>
        <w:t>“[t]he constitutional appointment of the [then</w:t>
      </w:r>
      <w:r w:rsidR="00930C85" w:rsidRPr="00A50E4D">
        <w:rPr>
          <w:rFonts w:cs="Calibri"/>
          <w:szCs w:val="20"/>
          <w:lang w:val="en-US"/>
        </w:rPr>
        <w:t xml:space="preserve"> </w:t>
      </w:r>
      <w:r w:rsidR="009808C5" w:rsidRPr="00A50E4D">
        <w:rPr>
          <w:rFonts w:cs="Calibri"/>
          <w:szCs w:val="20"/>
          <w:lang w:val="en-US"/>
        </w:rPr>
        <w:t>President</w:t>
      </w:r>
      <w:r w:rsidR="00930C85" w:rsidRPr="00A50E4D">
        <w:rPr>
          <w:rFonts w:cs="Calibri"/>
          <w:szCs w:val="20"/>
          <w:lang w:val="en-US"/>
        </w:rPr>
        <w:t xml:space="preserve"> </w:t>
      </w:r>
      <w:r w:rsidRPr="00A50E4D">
        <w:rPr>
          <w:rFonts w:cs="Calibri"/>
          <w:szCs w:val="20"/>
          <w:lang w:val="en-US"/>
        </w:rPr>
        <w:t>of Congress</w:t>
      </w:r>
      <w:r w:rsidR="00930C85" w:rsidRPr="00A50E4D">
        <w:rPr>
          <w:rFonts w:cs="Calibri"/>
          <w:szCs w:val="20"/>
          <w:lang w:val="en-US"/>
        </w:rPr>
        <w:t xml:space="preserve">] Roberto Micheletti Bain […] </w:t>
      </w:r>
      <w:r w:rsidRPr="00A50E4D">
        <w:rPr>
          <w:rFonts w:cs="Calibri"/>
          <w:szCs w:val="20"/>
          <w:lang w:val="en-US"/>
        </w:rPr>
        <w:t>to the office of Constitutional</w:t>
      </w:r>
      <w:r w:rsidR="00930C85" w:rsidRPr="00A50E4D">
        <w:rPr>
          <w:rFonts w:cs="Calibri"/>
          <w:szCs w:val="20"/>
          <w:lang w:val="en-US"/>
        </w:rPr>
        <w:t xml:space="preserve"> </w:t>
      </w:r>
      <w:r w:rsidR="009808C5" w:rsidRPr="00A50E4D">
        <w:rPr>
          <w:rFonts w:cs="Calibri"/>
          <w:szCs w:val="20"/>
          <w:lang w:val="en-US"/>
        </w:rPr>
        <w:t>President</w:t>
      </w:r>
      <w:r w:rsidR="00930C85" w:rsidRPr="00A50E4D">
        <w:rPr>
          <w:rFonts w:cs="Calibri"/>
          <w:szCs w:val="20"/>
          <w:lang w:val="en-US"/>
        </w:rPr>
        <w:t xml:space="preserve"> </w:t>
      </w:r>
      <w:r w:rsidR="00700DEC" w:rsidRPr="00A50E4D">
        <w:rPr>
          <w:rFonts w:cs="Calibri"/>
          <w:szCs w:val="20"/>
          <w:lang w:val="en-US"/>
        </w:rPr>
        <w:t>of the Republic</w:t>
      </w:r>
      <w:r w:rsidR="00930C85" w:rsidRPr="00A50E4D">
        <w:rPr>
          <w:rFonts w:cs="Calibri"/>
          <w:szCs w:val="20"/>
          <w:lang w:val="en-US"/>
        </w:rPr>
        <w:t xml:space="preserve"> </w:t>
      </w:r>
      <w:r w:rsidRPr="00A50E4D">
        <w:rPr>
          <w:rFonts w:cs="Calibri"/>
          <w:szCs w:val="20"/>
          <w:lang w:val="en-US"/>
        </w:rPr>
        <w:t>for the remainder of the current presidential term.</w:t>
      </w:r>
      <w:r w:rsidR="00930C85" w:rsidRPr="00A50E4D">
        <w:rPr>
          <w:rFonts w:cs="Calibri"/>
          <w:szCs w:val="20"/>
          <w:lang w:val="en-US"/>
        </w:rPr>
        <w:t>”</w:t>
      </w:r>
      <w:r w:rsidR="00930C85" w:rsidRPr="00A50E4D">
        <w:rPr>
          <w:rStyle w:val="FootnoteReference"/>
          <w:rFonts w:cs="Arial"/>
          <w:sz w:val="20"/>
          <w:szCs w:val="20"/>
          <w:lang w:val="en-US"/>
        </w:rPr>
        <w:footnoteReference w:id="64"/>
      </w:r>
      <w:r w:rsidRPr="00A50E4D">
        <w:rPr>
          <w:szCs w:val="20"/>
          <w:lang w:val="en-US"/>
        </w:rPr>
        <w:t>After taking office, Mr. Micheletti declared a state of emergency and imposed curfews.</w:t>
      </w:r>
      <w:r w:rsidR="00930C85" w:rsidRPr="00A50E4D">
        <w:rPr>
          <w:rStyle w:val="FootnoteReference"/>
          <w:rFonts w:cs="Arial"/>
          <w:sz w:val="20"/>
          <w:szCs w:val="20"/>
          <w:lang w:val="en-US"/>
        </w:rPr>
        <w:footnoteReference w:id="65"/>
      </w:r>
      <w:r w:rsidR="00930C85" w:rsidRPr="00A50E4D">
        <w:rPr>
          <w:szCs w:val="20"/>
          <w:lang w:val="en-US"/>
        </w:rPr>
        <w:t xml:space="preserve"> </w:t>
      </w:r>
    </w:p>
    <w:p w14:paraId="58DD867F" w14:textId="77777777" w:rsidR="00930C85" w:rsidRPr="00A50E4D" w:rsidRDefault="00930C85" w:rsidP="00930C85">
      <w:pPr>
        <w:pStyle w:val="ListParagraph"/>
        <w:numPr>
          <w:ilvl w:val="0"/>
          <w:numId w:val="0"/>
        </w:numPr>
        <w:rPr>
          <w:spacing w:val="-4"/>
          <w:lang w:val="en-US"/>
        </w:rPr>
      </w:pPr>
    </w:p>
    <w:p w14:paraId="457D90E0" w14:textId="1EFE9FEA" w:rsidR="00930C85" w:rsidRPr="00A50E4D" w:rsidRDefault="009D3D92" w:rsidP="009D3D92">
      <w:pPr>
        <w:pStyle w:val="PrrafodeSentencia"/>
        <w:rPr>
          <w:szCs w:val="20"/>
          <w:lang w:val="en-US"/>
        </w:rPr>
      </w:pPr>
      <w:bookmarkStart w:id="112" w:name="_Ref431474704"/>
      <w:r w:rsidRPr="00A50E4D">
        <w:rPr>
          <w:lang w:val="en-US"/>
        </w:rPr>
        <w:t xml:space="preserve">During the following days, numerous public </w:t>
      </w:r>
      <w:r w:rsidR="0036513A" w:rsidRPr="00A50E4D">
        <w:rPr>
          <w:lang w:val="en-US"/>
        </w:rPr>
        <w:t>protests</w:t>
      </w:r>
      <w:r w:rsidRPr="00A50E4D">
        <w:rPr>
          <w:lang w:val="en-US"/>
        </w:rPr>
        <w:t xml:space="preserve"> were held </w:t>
      </w:r>
      <w:r w:rsidR="0036513A" w:rsidRPr="00A50E4D">
        <w:rPr>
          <w:lang w:val="en-US"/>
        </w:rPr>
        <w:t>and</w:t>
      </w:r>
      <w:r w:rsidRPr="00A50E4D">
        <w:rPr>
          <w:lang w:val="en-US"/>
        </w:rPr>
        <w:t xml:space="preserve"> were “violently suppressed.</w:t>
      </w:r>
      <w:r w:rsidR="00930C85" w:rsidRPr="00A50E4D">
        <w:rPr>
          <w:lang w:val="en-US"/>
        </w:rPr>
        <w:t>”</w:t>
      </w:r>
      <w:r w:rsidR="00930C85" w:rsidRPr="00A50E4D">
        <w:rPr>
          <w:rStyle w:val="FootnoteReference"/>
          <w:rFonts w:cs="Arial"/>
          <w:sz w:val="20"/>
          <w:szCs w:val="20"/>
          <w:lang w:val="en-US"/>
        </w:rPr>
        <w:footnoteReference w:id="66"/>
      </w:r>
      <w:r w:rsidRPr="00A50E4D">
        <w:rPr>
          <w:lang w:val="en-US"/>
        </w:rPr>
        <w:t xml:space="preserve"> In addition, “thousands of people [were detained], including children, mainly during protests against the </w:t>
      </w:r>
      <w:r w:rsidRPr="00A50E4D">
        <w:rPr>
          <w:i/>
          <w:lang w:val="en-US"/>
        </w:rPr>
        <w:t>coup</w:t>
      </w:r>
      <w:r w:rsidRPr="00A50E4D">
        <w:rPr>
          <w:lang w:val="en-US"/>
        </w:rPr>
        <w:t>.</w:t>
      </w:r>
      <w:r w:rsidR="00930C85" w:rsidRPr="00A50E4D">
        <w:rPr>
          <w:lang w:val="en-US"/>
        </w:rPr>
        <w:t>”</w:t>
      </w:r>
      <w:r w:rsidR="00930C85" w:rsidRPr="00A50E4D">
        <w:rPr>
          <w:rStyle w:val="FootnoteReference"/>
          <w:rFonts w:cs="Arial"/>
          <w:sz w:val="20"/>
          <w:szCs w:val="20"/>
          <w:lang w:val="en-US"/>
        </w:rPr>
        <w:footnoteReference w:id="67"/>
      </w:r>
      <w:r w:rsidR="00930C85" w:rsidRPr="00A50E4D">
        <w:rPr>
          <w:rFonts w:cs="Arial"/>
          <w:szCs w:val="20"/>
          <w:lang w:val="en-US"/>
        </w:rPr>
        <w:t xml:space="preserve"> </w:t>
      </w:r>
      <w:r w:rsidR="009808C5" w:rsidRPr="00A50E4D">
        <w:rPr>
          <w:rFonts w:cs="Arial"/>
          <w:szCs w:val="20"/>
          <w:lang w:val="en-US"/>
        </w:rPr>
        <w:t>The Inter-American Commission</w:t>
      </w:r>
      <w:r w:rsidR="00930C85" w:rsidRPr="00A50E4D">
        <w:rPr>
          <w:rFonts w:cs="Arial"/>
          <w:szCs w:val="20"/>
          <w:lang w:val="en-US"/>
        </w:rPr>
        <w:t xml:space="preserve"> </w:t>
      </w:r>
      <w:r w:rsidRPr="00A50E4D">
        <w:rPr>
          <w:rFonts w:cs="Arial"/>
          <w:szCs w:val="20"/>
          <w:lang w:val="en-US"/>
        </w:rPr>
        <w:t xml:space="preserve">indicated in its report that, during its visit to Honduras, it was able to confirm that political authorities, community leaders and public officials who voiced opposition to the </w:t>
      </w:r>
      <w:r w:rsidR="00B11ACA" w:rsidRPr="00A50E4D">
        <w:rPr>
          <w:rFonts w:cs="Arial"/>
          <w:i/>
          <w:szCs w:val="20"/>
          <w:lang w:val="en-US"/>
        </w:rPr>
        <w:t>coup d’état</w:t>
      </w:r>
      <w:r w:rsidRPr="00A50E4D">
        <w:rPr>
          <w:rFonts w:cs="Arial"/>
          <w:szCs w:val="20"/>
          <w:lang w:val="en-US"/>
        </w:rPr>
        <w:t xml:space="preserve"> experienced situations that endangered their lives and personal integrity, as did membe</w:t>
      </w:r>
      <w:r w:rsidR="000A786A" w:rsidRPr="00A50E4D">
        <w:rPr>
          <w:rFonts w:cs="Arial"/>
          <w:szCs w:val="20"/>
          <w:lang w:val="en-US"/>
        </w:rPr>
        <w:t>rs of the family of President Zela</w:t>
      </w:r>
      <w:r w:rsidRPr="00A50E4D">
        <w:rPr>
          <w:rFonts w:cs="Arial"/>
          <w:szCs w:val="20"/>
          <w:lang w:val="en-US"/>
        </w:rPr>
        <w:t>ya. They were threatened, pursued, beaten, harassed and/or investigated by the courts.</w:t>
      </w:r>
      <w:r w:rsidR="00930C85" w:rsidRPr="00A50E4D">
        <w:rPr>
          <w:rFonts w:eastAsiaTheme="minorHAnsi"/>
          <w:szCs w:val="20"/>
          <w:lang w:val="en-US"/>
        </w:rPr>
        <w:t>”</w:t>
      </w:r>
      <w:r w:rsidR="00930C85" w:rsidRPr="00A50E4D">
        <w:rPr>
          <w:rStyle w:val="FootnoteReference"/>
          <w:rFonts w:cs="Arial"/>
          <w:sz w:val="20"/>
          <w:szCs w:val="20"/>
          <w:lang w:val="en-US"/>
        </w:rPr>
        <w:footnoteReference w:id="68"/>
      </w:r>
      <w:bookmarkEnd w:id="112"/>
      <w:r w:rsidR="00930C85" w:rsidRPr="00A50E4D">
        <w:rPr>
          <w:szCs w:val="20"/>
          <w:lang w:val="en-US"/>
        </w:rPr>
        <w:t xml:space="preserve"> </w:t>
      </w:r>
    </w:p>
    <w:p w14:paraId="7D2BB9F0" w14:textId="77777777" w:rsidR="00930C85" w:rsidRPr="00A50E4D" w:rsidRDefault="00930C85" w:rsidP="00930C85">
      <w:pPr>
        <w:rPr>
          <w:lang w:val="en-US" w:eastAsia="es-MX"/>
        </w:rPr>
      </w:pPr>
    </w:p>
    <w:p w14:paraId="118920DB" w14:textId="2E29C20F" w:rsidR="00930C85" w:rsidRPr="00A50E4D" w:rsidRDefault="00930C85" w:rsidP="00930C85">
      <w:pPr>
        <w:pStyle w:val="Heading3"/>
        <w:rPr>
          <w:lang w:val="en-US" w:eastAsia="es-MX"/>
        </w:rPr>
      </w:pPr>
      <w:bookmarkStart w:id="113" w:name="_Toc431584622"/>
      <w:bookmarkStart w:id="114" w:name="_Toc471717255"/>
      <w:r w:rsidRPr="00A50E4D">
        <w:rPr>
          <w:lang w:val="en-US"/>
        </w:rPr>
        <w:t xml:space="preserve">A.2) </w:t>
      </w:r>
      <w:r w:rsidR="00004E43" w:rsidRPr="00A50E4D">
        <w:rPr>
          <w:lang w:val="en-US"/>
        </w:rPr>
        <w:t xml:space="preserve">The international reaction to the </w:t>
      </w:r>
      <w:r w:rsidR="00B11ACA" w:rsidRPr="00A50E4D">
        <w:rPr>
          <w:i/>
          <w:lang w:val="en-US"/>
        </w:rPr>
        <w:t>coup d’état</w:t>
      </w:r>
      <w:r w:rsidR="00004E43" w:rsidRPr="00A50E4D">
        <w:rPr>
          <w:lang w:val="en-US"/>
        </w:rPr>
        <w:t xml:space="preserve"> </w:t>
      </w:r>
      <w:r w:rsidR="002876E8" w:rsidRPr="00A50E4D">
        <w:rPr>
          <w:lang w:val="en-US"/>
        </w:rPr>
        <w:t>and the actions taken by the OAS</w:t>
      </w:r>
      <w:bookmarkEnd w:id="113"/>
      <w:bookmarkEnd w:id="114"/>
    </w:p>
    <w:p w14:paraId="54BE1DFD" w14:textId="77777777" w:rsidR="00930C85" w:rsidRPr="00A50E4D" w:rsidRDefault="00930C85" w:rsidP="00930C85">
      <w:pPr>
        <w:pStyle w:val="NoSpacing"/>
        <w:tabs>
          <w:tab w:val="left" w:pos="3901"/>
        </w:tabs>
        <w:rPr>
          <w:spacing w:val="-4"/>
          <w:szCs w:val="20"/>
          <w:lang w:val="en-US"/>
        </w:rPr>
      </w:pPr>
      <w:r w:rsidRPr="00A50E4D">
        <w:rPr>
          <w:spacing w:val="-4"/>
          <w:szCs w:val="20"/>
          <w:lang w:val="en-US"/>
        </w:rPr>
        <w:lastRenderedPageBreak/>
        <w:tab/>
      </w:r>
    </w:p>
    <w:p w14:paraId="1C91681A" w14:textId="2E54ECD8" w:rsidR="00930C85" w:rsidRPr="00A50E4D" w:rsidRDefault="00CA7E67" w:rsidP="00930C85">
      <w:pPr>
        <w:pStyle w:val="PrrafodeSentencia"/>
        <w:rPr>
          <w:szCs w:val="20"/>
          <w:lang w:val="en-US"/>
        </w:rPr>
      </w:pPr>
      <w:bookmarkStart w:id="115" w:name="_Ref427310347"/>
      <w:r w:rsidRPr="00A50E4D">
        <w:rPr>
          <w:lang w:val="en-US"/>
        </w:rPr>
        <w:t xml:space="preserve">Several international organizations, including </w:t>
      </w:r>
      <w:r w:rsidR="00700DEC" w:rsidRPr="00A50E4D">
        <w:rPr>
          <w:lang w:val="en-US"/>
        </w:rPr>
        <w:t xml:space="preserve">the </w:t>
      </w:r>
      <w:r w:rsidRPr="00A50E4D">
        <w:rPr>
          <w:lang w:val="en-US"/>
        </w:rPr>
        <w:t xml:space="preserve">OAS </w:t>
      </w:r>
      <w:r w:rsidR="00700DEC" w:rsidRPr="00A50E4D">
        <w:rPr>
          <w:lang w:val="en-US"/>
        </w:rPr>
        <w:t>General Assembly</w:t>
      </w:r>
      <w:r w:rsidR="009808C5" w:rsidRPr="00A50E4D">
        <w:rPr>
          <w:lang w:val="en-US"/>
        </w:rPr>
        <w:t xml:space="preserve"> and </w:t>
      </w:r>
      <w:r w:rsidR="00700DEC" w:rsidRPr="00A50E4D">
        <w:rPr>
          <w:lang w:val="en-US"/>
        </w:rPr>
        <w:t>Permanent Council</w:t>
      </w:r>
      <w:r w:rsidR="00930C85" w:rsidRPr="00A50E4D">
        <w:rPr>
          <w:lang w:val="en-US"/>
        </w:rPr>
        <w:t xml:space="preserve"> </w:t>
      </w:r>
      <w:r w:rsidR="009808C5" w:rsidRPr="00A50E4D">
        <w:rPr>
          <w:szCs w:val="20"/>
          <w:lang w:val="en-US"/>
        </w:rPr>
        <w:t xml:space="preserve">and </w:t>
      </w:r>
      <w:r w:rsidR="00700DEC" w:rsidRPr="00A50E4D">
        <w:rPr>
          <w:szCs w:val="20"/>
          <w:lang w:val="en-US"/>
        </w:rPr>
        <w:t xml:space="preserve">the </w:t>
      </w:r>
      <w:r w:rsidRPr="00A50E4D">
        <w:rPr>
          <w:szCs w:val="20"/>
          <w:lang w:val="en-US"/>
        </w:rPr>
        <w:t xml:space="preserve">UN </w:t>
      </w:r>
      <w:r w:rsidR="00700DEC" w:rsidRPr="00A50E4D">
        <w:rPr>
          <w:szCs w:val="20"/>
          <w:lang w:val="en-US"/>
        </w:rPr>
        <w:t>General Assembly</w:t>
      </w:r>
      <w:r w:rsidRPr="00A50E4D">
        <w:rPr>
          <w:szCs w:val="20"/>
          <w:lang w:val="en-US"/>
        </w:rPr>
        <w:t xml:space="preserve"> condemned what happened and classified to it as a </w:t>
      </w:r>
      <w:r w:rsidR="00B11ACA" w:rsidRPr="00A50E4D">
        <w:rPr>
          <w:i/>
          <w:szCs w:val="20"/>
          <w:lang w:val="en-US"/>
        </w:rPr>
        <w:t>coup d’état</w:t>
      </w:r>
      <w:r w:rsidRPr="00A50E4D">
        <w:rPr>
          <w:szCs w:val="20"/>
          <w:lang w:val="en-US"/>
        </w:rPr>
        <w:t>.</w:t>
      </w:r>
      <w:r w:rsidR="00930C85" w:rsidRPr="00A50E4D">
        <w:rPr>
          <w:rStyle w:val="FootnoteReference"/>
          <w:sz w:val="20"/>
          <w:szCs w:val="20"/>
          <w:lang w:val="en-US"/>
        </w:rPr>
        <w:footnoteReference w:id="69"/>
      </w:r>
      <w:r w:rsidR="00930C85" w:rsidRPr="00A50E4D">
        <w:rPr>
          <w:szCs w:val="20"/>
          <w:lang w:val="en-US"/>
        </w:rPr>
        <w:t xml:space="preserve"> </w:t>
      </w:r>
    </w:p>
    <w:p w14:paraId="11536439" w14:textId="77777777" w:rsidR="00930C85" w:rsidRPr="00A50E4D" w:rsidRDefault="00930C85" w:rsidP="00930C85">
      <w:pPr>
        <w:rPr>
          <w:szCs w:val="20"/>
          <w:lang w:val="en-US" w:eastAsia="es-MX"/>
        </w:rPr>
      </w:pPr>
    </w:p>
    <w:p w14:paraId="473889B7" w14:textId="5A2D7F39" w:rsidR="00930C85" w:rsidRPr="00A50E4D" w:rsidRDefault="009D3D92" w:rsidP="00D268E8">
      <w:pPr>
        <w:pStyle w:val="PrrafodeSentencia"/>
        <w:rPr>
          <w:szCs w:val="20"/>
          <w:lang w:val="en-US"/>
        </w:rPr>
      </w:pPr>
      <w:r w:rsidRPr="00A50E4D">
        <w:rPr>
          <w:szCs w:val="20"/>
          <w:lang w:val="en-US"/>
        </w:rPr>
        <w:t>In the case of the</w:t>
      </w:r>
      <w:r w:rsidR="00930C85" w:rsidRPr="00A50E4D">
        <w:rPr>
          <w:szCs w:val="20"/>
          <w:lang w:val="en-US"/>
        </w:rPr>
        <w:t xml:space="preserve"> </w:t>
      </w:r>
      <w:r w:rsidR="00700DEC" w:rsidRPr="00A50E4D">
        <w:rPr>
          <w:szCs w:val="20"/>
          <w:lang w:val="en-US"/>
        </w:rPr>
        <w:t>OAS</w:t>
      </w:r>
      <w:r w:rsidR="00930C85" w:rsidRPr="00A50E4D">
        <w:rPr>
          <w:szCs w:val="20"/>
          <w:lang w:val="en-US"/>
        </w:rPr>
        <w:t xml:space="preserve">, </w:t>
      </w:r>
      <w:r w:rsidR="00D03F60" w:rsidRPr="00A50E4D">
        <w:rPr>
          <w:szCs w:val="20"/>
          <w:lang w:val="en-US"/>
        </w:rPr>
        <w:t xml:space="preserve">on </w:t>
      </w:r>
      <w:r w:rsidR="00C150F2" w:rsidRPr="00A50E4D">
        <w:rPr>
          <w:szCs w:val="20"/>
          <w:lang w:val="en-US"/>
        </w:rPr>
        <w:t>June</w:t>
      </w:r>
      <w:r w:rsidR="00D03F60" w:rsidRPr="00A50E4D">
        <w:rPr>
          <w:szCs w:val="20"/>
          <w:lang w:val="en-US"/>
        </w:rPr>
        <w:t xml:space="preserve"> 25,</w:t>
      </w:r>
      <w:r w:rsidR="00930C85" w:rsidRPr="00A50E4D">
        <w:rPr>
          <w:szCs w:val="20"/>
          <w:lang w:val="en-US"/>
        </w:rPr>
        <w:t xml:space="preserve"> 2009</w:t>
      </w:r>
      <w:r w:rsidRPr="00A50E4D">
        <w:rPr>
          <w:szCs w:val="20"/>
          <w:lang w:val="en-US"/>
        </w:rPr>
        <w:t xml:space="preserve">, the Government </w:t>
      </w:r>
      <w:r w:rsidR="00700DEC" w:rsidRPr="00A50E4D">
        <w:rPr>
          <w:szCs w:val="20"/>
          <w:lang w:val="en-US"/>
        </w:rPr>
        <w:t>of Honduras</w:t>
      </w:r>
      <w:r w:rsidR="00930C85" w:rsidRPr="00A50E4D">
        <w:rPr>
          <w:szCs w:val="20"/>
          <w:lang w:val="en-US"/>
        </w:rPr>
        <w:t xml:space="preserve">, </w:t>
      </w:r>
      <w:r w:rsidRPr="00A50E4D">
        <w:rPr>
          <w:szCs w:val="20"/>
          <w:lang w:val="en-US"/>
        </w:rPr>
        <w:t xml:space="preserve">through its representative to the </w:t>
      </w:r>
      <w:r w:rsidRPr="00A50E4D">
        <w:rPr>
          <w:szCs w:val="20"/>
          <w:lang w:val="en-US"/>
        </w:rPr>
        <w:tab/>
        <w:t xml:space="preserve">OAS, requested that </w:t>
      </w:r>
      <w:r w:rsidR="00700DEC" w:rsidRPr="00A50E4D">
        <w:rPr>
          <w:szCs w:val="20"/>
          <w:lang w:val="en-US"/>
        </w:rPr>
        <w:t>the Permanent Council</w:t>
      </w:r>
      <w:r w:rsidR="00930C85" w:rsidRPr="00A50E4D">
        <w:rPr>
          <w:szCs w:val="20"/>
          <w:lang w:val="en-US"/>
        </w:rPr>
        <w:t xml:space="preserve"> </w:t>
      </w:r>
      <w:r w:rsidRPr="00A50E4D">
        <w:rPr>
          <w:szCs w:val="20"/>
          <w:lang w:val="en-US"/>
        </w:rPr>
        <w:t>be convened urgently to examine “the risk to</w:t>
      </w:r>
      <w:r w:rsidR="00D268E8" w:rsidRPr="00A50E4D">
        <w:rPr>
          <w:szCs w:val="20"/>
          <w:lang w:val="en-US"/>
        </w:rPr>
        <w:t xml:space="preserve"> the democratic institutional p</w:t>
      </w:r>
      <w:r w:rsidRPr="00A50E4D">
        <w:rPr>
          <w:szCs w:val="20"/>
          <w:lang w:val="en-US"/>
        </w:rPr>
        <w:t xml:space="preserve">olitical process and/or the legitimate exercise of power in </w:t>
      </w:r>
      <w:r w:rsidR="00A3368B" w:rsidRPr="00A50E4D">
        <w:rPr>
          <w:szCs w:val="20"/>
          <w:lang w:val="en-US"/>
        </w:rPr>
        <w:t>the Republic of</w:t>
      </w:r>
      <w:r w:rsidR="00930C85" w:rsidRPr="00A50E4D">
        <w:rPr>
          <w:szCs w:val="20"/>
          <w:lang w:val="en-US"/>
        </w:rPr>
        <w:t xml:space="preserve"> Honduras</w:t>
      </w:r>
      <w:r w:rsidRPr="00A50E4D">
        <w:rPr>
          <w:szCs w:val="20"/>
          <w:lang w:val="en-US"/>
        </w:rPr>
        <w:t>.</w:t>
      </w:r>
      <w:r w:rsidR="00930C85" w:rsidRPr="00A50E4D">
        <w:rPr>
          <w:szCs w:val="20"/>
          <w:lang w:val="en-US"/>
        </w:rPr>
        <w:t>”</w:t>
      </w:r>
      <w:r w:rsidR="00930C85" w:rsidRPr="00A50E4D">
        <w:rPr>
          <w:rStyle w:val="FootnoteReference"/>
          <w:sz w:val="20"/>
          <w:szCs w:val="20"/>
          <w:lang w:val="en-US"/>
        </w:rPr>
        <w:footnoteReference w:id="70"/>
      </w:r>
      <w:r w:rsidR="00930C85" w:rsidRPr="00A50E4D">
        <w:rPr>
          <w:szCs w:val="20"/>
          <w:lang w:val="en-US"/>
        </w:rPr>
        <w:t xml:space="preserve"> </w:t>
      </w:r>
      <w:r w:rsidR="00D03F60" w:rsidRPr="00A50E4D">
        <w:rPr>
          <w:szCs w:val="20"/>
          <w:lang w:val="en-US"/>
        </w:rPr>
        <w:t xml:space="preserve">On </w:t>
      </w:r>
      <w:r w:rsidR="00C150F2" w:rsidRPr="00A50E4D">
        <w:rPr>
          <w:szCs w:val="20"/>
          <w:lang w:val="en-US"/>
        </w:rPr>
        <w:t>June</w:t>
      </w:r>
      <w:r w:rsidR="00D03F60" w:rsidRPr="00A50E4D">
        <w:rPr>
          <w:szCs w:val="20"/>
          <w:lang w:val="en-US"/>
        </w:rPr>
        <w:t xml:space="preserve"> 26</w:t>
      </w:r>
      <w:r w:rsidRPr="00A50E4D">
        <w:rPr>
          <w:szCs w:val="20"/>
          <w:lang w:val="en-US"/>
        </w:rPr>
        <w:t>,</w:t>
      </w:r>
      <w:r w:rsidR="00930C85" w:rsidRPr="00A50E4D">
        <w:rPr>
          <w:szCs w:val="20"/>
          <w:lang w:val="en-US"/>
        </w:rPr>
        <w:t xml:space="preserve"> </w:t>
      </w:r>
      <w:r w:rsidR="00700DEC" w:rsidRPr="00A50E4D">
        <w:rPr>
          <w:szCs w:val="20"/>
          <w:lang w:val="en-US"/>
        </w:rPr>
        <w:t>the Permanent Council</w:t>
      </w:r>
      <w:r w:rsidR="00930C85" w:rsidRPr="00A50E4D">
        <w:rPr>
          <w:szCs w:val="20"/>
          <w:lang w:val="en-US"/>
        </w:rPr>
        <w:t xml:space="preserve"> </w:t>
      </w:r>
      <w:r w:rsidRPr="00A50E4D">
        <w:rPr>
          <w:szCs w:val="20"/>
          <w:lang w:val="en-US"/>
        </w:rPr>
        <w:t xml:space="preserve">issued a resolution </w:t>
      </w:r>
      <w:r w:rsidR="00D268E8" w:rsidRPr="00A50E4D">
        <w:rPr>
          <w:szCs w:val="20"/>
          <w:lang w:val="en-US"/>
        </w:rPr>
        <w:t>in support of democracy and the rule of law in Honduras and resolved to call on “all the political and social actors involved to ensure that their actions respect the rule of law, in order to avoid a disruption of the constitutional order</w:t>
      </w:r>
      <w:r w:rsidR="00930C85" w:rsidRPr="00A50E4D">
        <w:rPr>
          <w:szCs w:val="20"/>
          <w:lang w:val="en-US"/>
        </w:rPr>
        <w:t>”</w:t>
      </w:r>
      <w:r w:rsidR="00D268E8" w:rsidRPr="00A50E4D">
        <w:rPr>
          <w:szCs w:val="20"/>
          <w:lang w:val="en-US"/>
        </w:rPr>
        <w:t xml:space="preserve">; and to </w:t>
      </w:r>
      <w:r w:rsidR="00930C85" w:rsidRPr="00A50E4D">
        <w:rPr>
          <w:szCs w:val="20"/>
          <w:lang w:val="en-US"/>
        </w:rPr>
        <w:t xml:space="preserve"> </w:t>
      </w:r>
      <w:r w:rsidR="00D268E8" w:rsidRPr="00A50E4D">
        <w:rPr>
          <w:szCs w:val="20"/>
          <w:lang w:val="en-US"/>
        </w:rPr>
        <w:t>“</w:t>
      </w:r>
      <w:r w:rsidR="00930C85" w:rsidRPr="00A50E4D">
        <w:rPr>
          <w:szCs w:val="20"/>
          <w:lang w:val="en-US"/>
        </w:rPr>
        <w:t>instru</w:t>
      </w:r>
      <w:r w:rsidR="00D268E8" w:rsidRPr="00A50E4D">
        <w:rPr>
          <w:szCs w:val="20"/>
          <w:lang w:val="en-US"/>
        </w:rPr>
        <w:t>ct the</w:t>
      </w:r>
      <w:r w:rsidR="00930C85" w:rsidRPr="00A50E4D">
        <w:rPr>
          <w:szCs w:val="20"/>
          <w:lang w:val="en-US"/>
        </w:rPr>
        <w:t xml:space="preserve"> </w:t>
      </w:r>
      <w:r w:rsidR="009808C5" w:rsidRPr="00A50E4D">
        <w:rPr>
          <w:szCs w:val="20"/>
          <w:lang w:val="en-US"/>
        </w:rPr>
        <w:t>Secretary</w:t>
      </w:r>
      <w:r w:rsidR="00930C85" w:rsidRPr="00A50E4D">
        <w:rPr>
          <w:szCs w:val="20"/>
          <w:lang w:val="en-US"/>
        </w:rPr>
        <w:t xml:space="preserve"> General </w:t>
      </w:r>
      <w:r w:rsidR="00D268E8" w:rsidRPr="00A50E4D">
        <w:rPr>
          <w:szCs w:val="20"/>
          <w:lang w:val="en-US"/>
        </w:rPr>
        <w:t xml:space="preserve">to establish a Special Commission to visit Honduras as a matter of urgency, </w:t>
      </w:r>
      <w:r w:rsidR="00D268E8" w:rsidRPr="00A50E4D">
        <w:rPr>
          <w:rFonts w:cs="Arial"/>
          <w:szCs w:val="20"/>
          <w:lang w:val="en-US"/>
        </w:rPr>
        <w:t>with a view to analyzing the facts and contributing to broad national dialogue aimed at finding democratic solutions to the current situation, and to report back to the Permanent Council.</w:t>
      </w:r>
      <w:r w:rsidR="00930C85" w:rsidRPr="00A50E4D">
        <w:rPr>
          <w:szCs w:val="20"/>
          <w:lang w:val="en-US"/>
        </w:rPr>
        <w:t>”</w:t>
      </w:r>
      <w:r w:rsidR="00930C85" w:rsidRPr="00A50E4D">
        <w:rPr>
          <w:rStyle w:val="FootnoteReference"/>
          <w:sz w:val="20"/>
          <w:szCs w:val="20"/>
          <w:lang w:val="en-US"/>
        </w:rPr>
        <w:footnoteReference w:id="71"/>
      </w:r>
    </w:p>
    <w:p w14:paraId="5F08155C" w14:textId="77777777" w:rsidR="00930C85" w:rsidRPr="00A50E4D" w:rsidRDefault="00930C85" w:rsidP="00930C85">
      <w:pPr>
        <w:rPr>
          <w:szCs w:val="20"/>
          <w:lang w:val="en-US" w:eastAsia="es-MX"/>
        </w:rPr>
      </w:pPr>
    </w:p>
    <w:p w14:paraId="54284921" w14:textId="1F9E862A" w:rsidR="00930C85" w:rsidRPr="00A50E4D" w:rsidRDefault="00D03F60" w:rsidP="00D268E8">
      <w:pPr>
        <w:pStyle w:val="PrrafodeSentencia"/>
        <w:rPr>
          <w:rFonts w:cs="Arial"/>
          <w:szCs w:val="20"/>
          <w:lang w:val="en-US"/>
        </w:rPr>
      </w:pPr>
      <w:r w:rsidRPr="00A50E4D">
        <w:rPr>
          <w:szCs w:val="20"/>
          <w:lang w:val="en-US"/>
        </w:rPr>
        <w:t xml:space="preserve">On </w:t>
      </w:r>
      <w:r w:rsidR="00C150F2" w:rsidRPr="00A50E4D">
        <w:rPr>
          <w:szCs w:val="20"/>
          <w:lang w:val="en-US"/>
        </w:rPr>
        <w:t>June</w:t>
      </w:r>
      <w:r w:rsidRPr="00A50E4D">
        <w:rPr>
          <w:szCs w:val="20"/>
          <w:lang w:val="en-US"/>
        </w:rPr>
        <w:t xml:space="preserve"> 28</w:t>
      </w:r>
      <w:r w:rsidR="00D268E8" w:rsidRPr="00A50E4D">
        <w:rPr>
          <w:rFonts w:cs="Arial"/>
          <w:szCs w:val="20"/>
          <w:lang w:val="en-US"/>
        </w:rPr>
        <w:t>,</w:t>
      </w:r>
      <w:r w:rsidR="00930C85" w:rsidRPr="00A50E4D">
        <w:rPr>
          <w:rFonts w:cs="Arial"/>
          <w:szCs w:val="20"/>
          <w:lang w:val="en-US"/>
        </w:rPr>
        <w:t xml:space="preserve"> 2009</w:t>
      </w:r>
      <w:r w:rsidR="00D268E8" w:rsidRPr="00A50E4D">
        <w:rPr>
          <w:rFonts w:cs="Arial"/>
          <w:szCs w:val="20"/>
          <w:lang w:val="en-US"/>
        </w:rPr>
        <w:t>,</w:t>
      </w:r>
      <w:r w:rsidR="00930C85" w:rsidRPr="00A50E4D">
        <w:rPr>
          <w:rFonts w:cs="Arial"/>
          <w:szCs w:val="20"/>
          <w:lang w:val="en-US"/>
        </w:rPr>
        <w:t xml:space="preserve"> </w:t>
      </w:r>
      <w:r w:rsidR="00700DEC" w:rsidRPr="00A50E4D">
        <w:rPr>
          <w:rFonts w:cs="Arial"/>
          <w:szCs w:val="20"/>
          <w:lang w:val="en-US"/>
        </w:rPr>
        <w:t>the Permanent Council</w:t>
      </w:r>
      <w:r w:rsidR="00930C85" w:rsidRPr="00A50E4D">
        <w:rPr>
          <w:rFonts w:cs="Arial"/>
          <w:szCs w:val="20"/>
          <w:lang w:val="en-US"/>
        </w:rPr>
        <w:t xml:space="preserve"> </w:t>
      </w:r>
      <w:r w:rsidR="00D268E8" w:rsidRPr="00A50E4D">
        <w:rPr>
          <w:rFonts w:cs="Arial"/>
          <w:szCs w:val="20"/>
          <w:lang w:val="en-US"/>
        </w:rPr>
        <w:t xml:space="preserve">held a special meeting in which it resolved: “[t]o condemn vehemently the </w:t>
      </w:r>
      <w:r w:rsidR="00B11ACA" w:rsidRPr="00A50E4D">
        <w:rPr>
          <w:rFonts w:cs="Arial"/>
          <w:i/>
          <w:szCs w:val="20"/>
          <w:lang w:val="en-US"/>
        </w:rPr>
        <w:t>coup d’état</w:t>
      </w:r>
      <w:r w:rsidR="00D268E8" w:rsidRPr="00A50E4D">
        <w:rPr>
          <w:rFonts w:cs="Arial"/>
          <w:szCs w:val="20"/>
          <w:lang w:val="en-US"/>
        </w:rPr>
        <w:t xml:space="preserve"> staged this morning against the constitutionally-established Government of Honduras, and the arbitrary detention and expulsion from the country of the constitutional president José Manuel Zelaya Rosales, which has produced an unconstitutional alteration of the democratic order</w:t>
      </w:r>
      <w:r w:rsidR="000E2CD5" w:rsidRPr="00A50E4D">
        <w:rPr>
          <w:rFonts w:cs="Arial"/>
          <w:szCs w:val="20"/>
          <w:lang w:val="en-US"/>
        </w:rPr>
        <w:t>,”</w:t>
      </w:r>
      <w:r w:rsidR="00930C85" w:rsidRPr="00A50E4D">
        <w:rPr>
          <w:rFonts w:cs="Arial"/>
          <w:szCs w:val="20"/>
          <w:lang w:val="en-US"/>
        </w:rPr>
        <w:t xml:space="preserve"> </w:t>
      </w:r>
      <w:r w:rsidR="00D268E8" w:rsidRPr="00A50E4D">
        <w:rPr>
          <w:rFonts w:cs="Arial"/>
          <w:szCs w:val="20"/>
          <w:lang w:val="en-US"/>
        </w:rPr>
        <w:t>demanded the immediate return of the President, and declared that no government arising from this unconstitutional interruption would be recognized.</w:t>
      </w:r>
      <w:r w:rsidR="00930C85" w:rsidRPr="00A50E4D">
        <w:rPr>
          <w:rFonts w:cs="Arial"/>
          <w:szCs w:val="20"/>
          <w:vertAlign w:val="superscript"/>
          <w:lang w:val="en-US"/>
        </w:rPr>
        <w:footnoteReference w:id="72"/>
      </w:r>
    </w:p>
    <w:p w14:paraId="288A679B" w14:textId="77777777" w:rsidR="00930C85" w:rsidRPr="00A50E4D" w:rsidRDefault="00930C85" w:rsidP="00930C85">
      <w:pPr>
        <w:rPr>
          <w:szCs w:val="20"/>
          <w:lang w:val="en-US" w:eastAsia="es-MX"/>
        </w:rPr>
      </w:pPr>
    </w:p>
    <w:p w14:paraId="60B57F5F" w14:textId="1D52E9FE" w:rsidR="00930C85" w:rsidRPr="00A50E4D" w:rsidRDefault="00D268E8" w:rsidP="00E7138A">
      <w:pPr>
        <w:pStyle w:val="PrrafodeSentencia"/>
        <w:rPr>
          <w:szCs w:val="20"/>
          <w:lang w:val="en-US"/>
        </w:rPr>
      </w:pPr>
      <w:r w:rsidRPr="00A50E4D">
        <w:rPr>
          <w:rFonts w:cs="Arial"/>
          <w:szCs w:val="20"/>
          <w:lang w:val="en-US"/>
        </w:rPr>
        <w:t xml:space="preserve">On July 1, </w:t>
      </w:r>
      <w:r w:rsidR="00930C85" w:rsidRPr="00A50E4D">
        <w:rPr>
          <w:rFonts w:cs="Arial"/>
          <w:szCs w:val="20"/>
          <w:lang w:val="en-US"/>
        </w:rPr>
        <w:t>2009</w:t>
      </w:r>
      <w:r w:rsidRPr="00A50E4D">
        <w:rPr>
          <w:rFonts w:cs="Arial"/>
          <w:szCs w:val="20"/>
          <w:lang w:val="en-US"/>
        </w:rPr>
        <w:t>,</w:t>
      </w:r>
      <w:r w:rsidR="00930C85" w:rsidRPr="00A50E4D">
        <w:rPr>
          <w:rFonts w:cs="Arial"/>
          <w:szCs w:val="20"/>
          <w:lang w:val="en-US"/>
        </w:rPr>
        <w:t xml:space="preserve"> </w:t>
      </w:r>
      <w:r w:rsidR="00700DEC" w:rsidRPr="00A50E4D">
        <w:rPr>
          <w:rFonts w:cs="Arial"/>
          <w:szCs w:val="20"/>
          <w:lang w:val="en-US"/>
        </w:rPr>
        <w:t xml:space="preserve">the </w:t>
      </w:r>
      <w:r w:rsidRPr="00A50E4D">
        <w:rPr>
          <w:rFonts w:cs="Arial"/>
          <w:szCs w:val="20"/>
          <w:lang w:val="en-US"/>
        </w:rPr>
        <w:t xml:space="preserve">OAS </w:t>
      </w:r>
      <w:r w:rsidR="00700DEC" w:rsidRPr="00A50E4D">
        <w:rPr>
          <w:rFonts w:cs="Arial"/>
          <w:szCs w:val="20"/>
          <w:lang w:val="en-US"/>
        </w:rPr>
        <w:t>General Assembly</w:t>
      </w:r>
      <w:r w:rsidRPr="00A50E4D">
        <w:rPr>
          <w:rFonts w:cs="Arial"/>
          <w:szCs w:val="20"/>
          <w:lang w:val="en-US"/>
        </w:rPr>
        <w:t xml:space="preserve"> issued a resolution that also </w:t>
      </w:r>
      <w:r w:rsidR="000E2CD5" w:rsidRPr="00A50E4D">
        <w:rPr>
          <w:rFonts w:cs="Arial"/>
          <w:szCs w:val="20"/>
          <w:lang w:val="en-US"/>
        </w:rPr>
        <w:t>strongly</w:t>
      </w:r>
      <w:r w:rsidRPr="00A50E4D">
        <w:rPr>
          <w:rFonts w:cs="Arial"/>
          <w:szCs w:val="20"/>
          <w:lang w:val="en-US"/>
        </w:rPr>
        <w:t xml:space="preserve"> condemned </w:t>
      </w:r>
      <w:r w:rsidR="00371BB7" w:rsidRPr="00A50E4D">
        <w:rPr>
          <w:rFonts w:cs="Arial"/>
          <w:szCs w:val="20"/>
          <w:lang w:val="en-US"/>
        </w:rPr>
        <w:t xml:space="preserve">the </w:t>
      </w:r>
      <w:r w:rsidR="00B11ACA" w:rsidRPr="00A50E4D">
        <w:rPr>
          <w:rFonts w:cs="Arial"/>
          <w:i/>
          <w:szCs w:val="20"/>
          <w:lang w:val="en-US"/>
        </w:rPr>
        <w:t>coup d’état</w:t>
      </w:r>
      <w:r w:rsidR="00930C85" w:rsidRPr="00A50E4D">
        <w:rPr>
          <w:rFonts w:cs="Arial"/>
          <w:szCs w:val="20"/>
          <w:lang w:val="en-US"/>
        </w:rPr>
        <w:t>, instru</w:t>
      </w:r>
      <w:r w:rsidRPr="00A50E4D">
        <w:rPr>
          <w:rFonts w:cs="Arial"/>
          <w:szCs w:val="20"/>
          <w:lang w:val="en-US"/>
        </w:rPr>
        <w:t xml:space="preserve">cting the OAS </w:t>
      </w:r>
      <w:r w:rsidR="009808C5" w:rsidRPr="00A50E4D">
        <w:rPr>
          <w:rFonts w:cs="Arial"/>
          <w:szCs w:val="20"/>
          <w:lang w:val="en-US"/>
        </w:rPr>
        <w:t>Secretary</w:t>
      </w:r>
      <w:r w:rsidRPr="00A50E4D">
        <w:rPr>
          <w:rFonts w:cs="Arial"/>
          <w:szCs w:val="20"/>
          <w:lang w:val="en-US"/>
        </w:rPr>
        <w:t xml:space="preserve"> General</w:t>
      </w:r>
      <w:r w:rsidR="00930C85" w:rsidRPr="00A50E4D">
        <w:rPr>
          <w:rFonts w:cs="Arial"/>
          <w:szCs w:val="20"/>
          <w:lang w:val="en-US"/>
        </w:rPr>
        <w:t xml:space="preserve"> </w:t>
      </w:r>
      <w:r w:rsidR="00E7138A" w:rsidRPr="00A50E4D">
        <w:rPr>
          <w:szCs w:val="20"/>
          <w:lang w:val="en-US"/>
        </w:rPr>
        <w:t>“to undertake, […], diplomatic initiatives aimed at restoring democracy and the rule of law,” and warning that “[s]hould these prove unsuccessful within 72 hours, the Special General Assembly shall forthwith invoke Article 21 of the Inter-American Democratic Charter to suspend Honduras’ membership</w:t>
      </w:r>
      <w:r w:rsidR="00E7138A" w:rsidRPr="00A50E4D">
        <w:rPr>
          <w:rFonts w:cs="Arial"/>
          <w:szCs w:val="20"/>
          <w:lang w:val="en-US"/>
        </w:rPr>
        <w:t>.</w:t>
      </w:r>
      <w:r w:rsidR="00930C85" w:rsidRPr="00A50E4D">
        <w:rPr>
          <w:rFonts w:cs="Arial"/>
          <w:szCs w:val="20"/>
          <w:lang w:val="en-US"/>
        </w:rPr>
        <w:t>”</w:t>
      </w:r>
      <w:r w:rsidR="00930C85" w:rsidRPr="00A50E4D">
        <w:rPr>
          <w:rStyle w:val="FootnoteReference"/>
          <w:lang w:val="en-US"/>
        </w:rPr>
        <w:t xml:space="preserve"> </w:t>
      </w:r>
      <w:r w:rsidR="00930C85" w:rsidRPr="00A50E4D">
        <w:rPr>
          <w:rStyle w:val="FootnoteReference"/>
          <w:sz w:val="20"/>
          <w:szCs w:val="20"/>
          <w:lang w:val="en-US"/>
        </w:rPr>
        <w:footnoteReference w:id="73"/>
      </w:r>
    </w:p>
    <w:p w14:paraId="2DE44617" w14:textId="77777777" w:rsidR="00930C85" w:rsidRPr="00A50E4D" w:rsidRDefault="00930C85" w:rsidP="00930C85">
      <w:pPr>
        <w:rPr>
          <w:lang w:val="en-US" w:eastAsia="es-MX"/>
        </w:rPr>
      </w:pPr>
    </w:p>
    <w:p w14:paraId="2961AD62" w14:textId="6A94F74C" w:rsidR="00930C85" w:rsidRPr="00A50E4D" w:rsidRDefault="00E7138A" w:rsidP="00930C85">
      <w:pPr>
        <w:pStyle w:val="PrrafodeSentencia"/>
        <w:rPr>
          <w:lang w:val="en-US"/>
        </w:rPr>
      </w:pPr>
      <w:bookmarkStart w:id="116" w:name="_Ref431477812"/>
      <w:r w:rsidRPr="00A50E4D">
        <w:rPr>
          <w:rFonts w:cs="Arial"/>
          <w:szCs w:val="20"/>
          <w:lang w:val="en-US"/>
        </w:rPr>
        <w:t xml:space="preserve">In view of the fact that the diplomatic initiatives undertaken by the OAS </w:t>
      </w:r>
      <w:r w:rsidR="009808C5" w:rsidRPr="00A50E4D">
        <w:rPr>
          <w:rFonts w:cs="Arial"/>
          <w:szCs w:val="20"/>
          <w:lang w:val="en-US"/>
        </w:rPr>
        <w:t>Secretary</w:t>
      </w:r>
      <w:r w:rsidRPr="00A50E4D">
        <w:rPr>
          <w:rFonts w:cs="Arial"/>
          <w:szCs w:val="20"/>
          <w:lang w:val="en-US"/>
        </w:rPr>
        <w:t xml:space="preserve"> General were unable to achieve the reinstatement </w:t>
      </w:r>
      <w:r w:rsidR="004626E5" w:rsidRPr="00A50E4D">
        <w:rPr>
          <w:rFonts w:cs="Arial"/>
          <w:szCs w:val="20"/>
          <w:lang w:val="en-US"/>
        </w:rPr>
        <w:t xml:space="preserve">of </w:t>
      </w:r>
      <w:r w:rsidR="0054124E" w:rsidRPr="00A50E4D">
        <w:rPr>
          <w:rFonts w:cs="Arial"/>
          <w:szCs w:val="20"/>
          <w:lang w:val="en-US"/>
        </w:rPr>
        <w:t>President Zelaya</w:t>
      </w:r>
      <w:r w:rsidR="00930C85" w:rsidRPr="00A50E4D">
        <w:rPr>
          <w:rFonts w:cs="Arial"/>
          <w:szCs w:val="20"/>
          <w:lang w:val="en-US"/>
        </w:rPr>
        <w:t>,</w:t>
      </w:r>
      <w:r w:rsidR="000E2CD5" w:rsidRPr="00A50E4D">
        <w:rPr>
          <w:rFonts w:cs="Arial"/>
          <w:szCs w:val="20"/>
          <w:lang w:val="en-US"/>
        </w:rPr>
        <w:t xml:space="preserve"> on July 4, </w:t>
      </w:r>
      <w:r w:rsidR="000E2CD5" w:rsidRPr="00A50E4D">
        <w:rPr>
          <w:lang w:val="en-US"/>
        </w:rPr>
        <w:t>2009,</w:t>
      </w:r>
      <w:r w:rsidR="00930C85" w:rsidRPr="00A50E4D">
        <w:rPr>
          <w:rFonts w:cs="Arial"/>
          <w:szCs w:val="20"/>
          <w:lang w:val="en-US"/>
        </w:rPr>
        <w:t xml:space="preserve"> </w:t>
      </w:r>
      <w:r w:rsidRPr="00A50E4D">
        <w:rPr>
          <w:rFonts w:cs="Arial"/>
          <w:szCs w:val="20"/>
          <w:lang w:val="en-US"/>
        </w:rPr>
        <w:t>implementing a</w:t>
      </w:r>
      <w:r w:rsidR="0048601C" w:rsidRPr="00A50E4D">
        <w:rPr>
          <w:rFonts w:cs="Arial"/>
          <w:szCs w:val="20"/>
          <w:lang w:val="en-US"/>
        </w:rPr>
        <w:t>rticle</w:t>
      </w:r>
      <w:r w:rsidR="00930C85" w:rsidRPr="00A50E4D">
        <w:rPr>
          <w:rFonts w:cs="Arial"/>
          <w:szCs w:val="20"/>
          <w:lang w:val="en-US"/>
        </w:rPr>
        <w:t xml:space="preserve"> </w:t>
      </w:r>
      <w:r w:rsidR="00930C85" w:rsidRPr="00A50E4D">
        <w:rPr>
          <w:rFonts w:cs="Arial"/>
          <w:szCs w:val="20"/>
          <w:lang w:val="en-US"/>
        </w:rPr>
        <w:lastRenderedPageBreak/>
        <w:t xml:space="preserve">21 </w:t>
      </w:r>
      <w:r w:rsidRPr="00A50E4D">
        <w:rPr>
          <w:rFonts w:cs="Arial"/>
          <w:szCs w:val="20"/>
          <w:lang w:val="en-US"/>
        </w:rPr>
        <w:t>of the</w:t>
      </w:r>
      <w:r w:rsidR="00930C85" w:rsidRPr="00A50E4D">
        <w:rPr>
          <w:rFonts w:cs="Arial"/>
          <w:szCs w:val="20"/>
          <w:lang w:val="en-US"/>
        </w:rPr>
        <w:t xml:space="preserve"> </w:t>
      </w:r>
      <w:r w:rsidRPr="00A50E4D">
        <w:rPr>
          <w:rFonts w:cs="Arial"/>
          <w:szCs w:val="20"/>
          <w:lang w:val="en-US"/>
        </w:rPr>
        <w:t xml:space="preserve">Inter-American Democratic Charter for the first time, and pursuant to </w:t>
      </w:r>
      <w:r w:rsidR="00F02FB7" w:rsidRPr="00A50E4D">
        <w:rPr>
          <w:rFonts w:cs="Arial"/>
          <w:szCs w:val="20"/>
          <w:lang w:val="en-US"/>
        </w:rPr>
        <w:t>article</w:t>
      </w:r>
      <w:r w:rsidR="00930C85" w:rsidRPr="00A50E4D">
        <w:rPr>
          <w:rFonts w:cs="Arial"/>
          <w:szCs w:val="20"/>
          <w:lang w:val="en-US"/>
        </w:rPr>
        <w:t xml:space="preserve"> 9 </w:t>
      </w:r>
      <w:r w:rsidRPr="00A50E4D">
        <w:rPr>
          <w:rFonts w:cs="Arial"/>
          <w:szCs w:val="20"/>
          <w:lang w:val="en-US"/>
        </w:rPr>
        <w:t>of the</w:t>
      </w:r>
      <w:r w:rsidR="00930C85" w:rsidRPr="00A50E4D">
        <w:rPr>
          <w:rFonts w:cs="Arial"/>
          <w:szCs w:val="20"/>
          <w:lang w:val="en-US"/>
        </w:rPr>
        <w:t xml:space="preserve"> </w:t>
      </w:r>
      <w:r w:rsidR="00700DEC" w:rsidRPr="00A50E4D">
        <w:rPr>
          <w:rFonts w:cs="Arial"/>
          <w:szCs w:val="20"/>
          <w:lang w:val="en-US"/>
        </w:rPr>
        <w:t>OAS</w:t>
      </w:r>
      <w:r w:rsidRPr="00A50E4D">
        <w:rPr>
          <w:rFonts w:cs="Arial"/>
          <w:szCs w:val="20"/>
          <w:lang w:val="en-US"/>
        </w:rPr>
        <w:t xml:space="preserve"> Charter,</w:t>
      </w:r>
      <w:r w:rsidR="00930C85" w:rsidRPr="00A50E4D">
        <w:rPr>
          <w:rStyle w:val="FootnoteReference"/>
          <w:sz w:val="20"/>
          <w:szCs w:val="20"/>
          <w:lang w:val="en-US"/>
        </w:rPr>
        <w:footnoteReference w:id="74"/>
      </w:r>
      <w:r w:rsidR="00930C85" w:rsidRPr="00A50E4D">
        <w:rPr>
          <w:lang w:val="en-US"/>
        </w:rPr>
        <w:t xml:space="preserve"> </w:t>
      </w:r>
      <w:r w:rsidR="00700DEC" w:rsidRPr="00A50E4D">
        <w:rPr>
          <w:rFonts w:cs="Arial"/>
          <w:szCs w:val="20"/>
          <w:lang w:val="en-US"/>
        </w:rPr>
        <w:t xml:space="preserve">the </w:t>
      </w:r>
      <w:r w:rsidRPr="00A50E4D">
        <w:rPr>
          <w:rFonts w:cs="Arial"/>
          <w:szCs w:val="20"/>
          <w:lang w:val="en-US"/>
        </w:rPr>
        <w:t xml:space="preserve">OAS </w:t>
      </w:r>
      <w:r w:rsidR="00700DEC" w:rsidRPr="00A50E4D">
        <w:rPr>
          <w:rFonts w:cs="Arial"/>
          <w:szCs w:val="20"/>
          <w:lang w:val="en-US"/>
        </w:rPr>
        <w:t>General Assembly</w:t>
      </w:r>
      <w:r w:rsidR="00930C85" w:rsidRPr="00A50E4D">
        <w:rPr>
          <w:rFonts w:cs="Arial"/>
          <w:szCs w:val="20"/>
          <w:lang w:val="en-US"/>
        </w:rPr>
        <w:t xml:space="preserve"> </w:t>
      </w:r>
      <w:r w:rsidRPr="00A50E4D">
        <w:rPr>
          <w:rFonts w:cs="Arial"/>
          <w:szCs w:val="20"/>
          <w:lang w:val="en-US"/>
        </w:rPr>
        <w:t>decided</w:t>
      </w:r>
      <w:r w:rsidR="00930C85" w:rsidRPr="00A50E4D">
        <w:rPr>
          <w:rFonts w:cs="Arial"/>
          <w:szCs w:val="20"/>
          <w:lang w:val="en-US"/>
        </w:rPr>
        <w:t xml:space="preserve"> </w:t>
      </w:r>
      <w:r w:rsidRPr="00A50E4D">
        <w:rPr>
          <w:lang w:val="en-US"/>
        </w:rPr>
        <w:t>“[t</w:t>
      </w:r>
      <w:r w:rsidR="00930C85" w:rsidRPr="00A50E4D">
        <w:rPr>
          <w:lang w:val="en-US"/>
        </w:rPr>
        <w:t>]</w:t>
      </w:r>
      <w:r w:rsidRPr="00A50E4D">
        <w:rPr>
          <w:lang w:val="en-US"/>
        </w:rPr>
        <w:t>o suspend</w:t>
      </w:r>
      <w:r w:rsidR="00CD2874" w:rsidRPr="00A50E4D">
        <w:rPr>
          <w:lang w:val="en-US"/>
        </w:rPr>
        <w:t xml:space="preserve"> the </w:t>
      </w:r>
      <w:r w:rsidR="00502F06" w:rsidRPr="00A50E4D">
        <w:rPr>
          <w:lang w:val="en-US"/>
        </w:rPr>
        <w:t xml:space="preserve">Honduran </w:t>
      </w:r>
      <w:r w:rsidR="00CD2874" w:rsidRPr="00A50E4D">
        <w:rPr>
          <w:lang w:val="en-US"/>
        </w:rPr>
        <w:t>State</w:t>
      </w:r>
      <w:r w:rsidR="00930C85" w:rsidRPr="00A50E4D">
        <w:rPr>
          <w:lang w:val="en-US"/>
        </w:rPr>
        <w:t xml:space="preserve"> </w:t>
      </w:r>
      <w:r w:rsidRPr="00A50E4D">
        <w:rPr>
          <w:lang w:val="en-US"/>
        </w:rPr>
        <w:t>from the exercise of its</w:t>
      </w:r>
      <w:r w:rsidR="00465324" w:rsidRPr="00A50E4D">
        <w:rPr>
          <w:lang w:val="en-US"/>
        </w:rPr>
        <w:t xml:space="preserve"> r</w:t>
      </w:r>
      <w:r w:rsidRPr="00A50E4D">
        <w:rPr>
          <w:lang w:val="en-US"/>
        </w:rPr>
        <w:t xml:space="preserve">ight to participate in </w:t>
      </w:r>
      <w:r w:rsidR="00700DEC" w:rsidRPr="00A50E4D">
        <w:rPr>
          <w:lang w:val="en-US"/>
        </w:rPr>
        <w:t>the Organization of American States</w:t>
      </w:r>
      <w:r w:rsidRPr="00A50E4D">
        <w:rPr>
          <w:lang w:val="en-US"/>
        </w:rPr>
        <w:t>.</w:t>
      </w:r>
      <w:r w:rsidR="00930C85" w:rsidRPr="00A50E4D">
        <w:rPr>
          <w:lang w:val="en-US"/>
        </w:rPr>
        <w:t>”</w:t>
      </w:r>
      <w:r w:rsidR="00930C85" w:rsidRPr="00A50E4D">
        <w:rPr>
          <w:rFonts w:cs="Arial"/>
          <w:bCs/>
          <w:vertAlign w:val="superscript"/>
          <w:lang w:val="en-US"/>
        </w:rPr>
        <w:footnoteReference w:id="75"/>
      </w:r>
      <w:bookmarkEnd w:id="115"/>
      <w:bookmarkEnd w:id="116"/>
    </w:p>
    <w:p w14:paraId="234557F4" w14:textId="77777777" w:rsidR="00930C85" w:rsidRPr="00A50E4D" w:rsidRDefault="00930C85" w:rsidP="00930C85">
      <w:pPr>
        <w:rPr>
          <w:spacing w:val="-4"/>
          <w:lang w:val="en-US" w:eastAsia="es-MX"/>
        </w:rPr>
      </w:pPr>
    </w:p>
    <w:p w14:paraId="364BECD4" w14:textId="02F20CCF" w:rsidR="00930C85" w:rsidRPr="00A50E4D" w:rsidRDefault="00C150F2" w:rsidP="00AB3645">
      <w:pPr>
        <w:pStyle w:val="PrrafodeSentencia"/>
        <w:rPr>
          <w:szCs w:val="20"/>
          <w:lang w:val="en-US"/>
        </w:rPr>
      </w:pPr>
      <w:bookmarkStart w:id="117" w:name="_Ref431395154"/>
      <w:r w:rsidRPr="00A50E4D">
        <w:rPr>
          <w:szCs w:val="20"/>
          <w:lang w:val="en-US"/>
        </w:rPr>
        <w:t>Following several negotiation</w:t>
      </w:r>
      <w:r w:rsidR="000E2CD5" w:rsidRPr="00A50E4D">
        <w:rPr>
          <w:szCs w:val="20"/>
          <w:lang w:val="en-US"/>
        </w:rPr>
        <w:t xml:space="preserve"> initiatives</w:t>
      </w:r>
      <w:r w:rsidRPr="00A50E4D">
        <w:rPr>
          <w:szCs w:val="20"/>
          <w:lang w:val="en-US"/>
        </w:rPr>
        <w:t xml:space="preserve"> </w:t>
      </w:r>
      <w:r w:rsidR="000E2CD5" w:rsidRPr="00A50E4D">
        <w:rPr>
          <w:szCs w:val="20"/>
          <w:lang w:val="en-US"/>
        </w:rPr>
        <w:t>undertaken</w:t>
      </w:r>
      <w:r w:rsidRPr="00A50E4D">
        <w:rPr>
          <w:szCs w:val="20"/>
          <w:lang w:val="en-US"/>
        </w:rPr>
        <w:t xml:space="preserve"> by the OAS Secretary General</w:t>
      </w:r>
      <w:r w:rsidR="009808C5" w:rsidRPr="00A50E4D">
        <w:rPr>
          <w:szCs w:val="20"/>
          <w:lang w:val="en-US"/>
        </w:rPr>
        <w:t xml:space="preserve"> and </w:t>
      </w:r>
      <w:r w:rsidRPr="00A50E4D">
        <w:rPr>
          <w:szCs w:val="20"/>
          <w:lang w:val="en-US"/>
        </w:rPr>
        <w:t xml:space="preserve">later by </w:t>
      </w:r>
      <w:r w:rsidR="00700DEC" w:rsidRPr="00A50E4D">
        <w:rPr>
          <w:szCs w:val="20"/>
          <w:lang w:val="en-US"/>
        </w:rPr>
        <w:t xml:space="preserve">former </w:t>
      </w:r>
      <w:r w:rsidRPr="00A50E4D">
        <w:rPr>
          <w:szCs w:val="20"/>
          <w:lang w:val="en-US"/>
        </w:rPr>
        <w:t xml:space="preserve">Costa Rican </w:t>
      </w:r>
      <w:r w:rsidR="00700DEC" w:rsidRPr="00A50E4D">
        <w:rPr>
          <w:szCs w:val="20"/>
          <w:lang w:val="en-US"/>
        </w:rPr>
        <w:t>President</w:t>
      </w:r>
      <w:r w:rsidR="000E2CD5" w:rsidRPr="00A50E4D">
        <w:rPr>
          <w:szCs w:val="20"/>
          <w:lang w:val="en-US"/>
        </w:rPr>
        <w:t>, O</w:t>
      </w:r>
      <w:r w:rsidR="00930C85" w:rsidRPr="00A50E4D">
        <w:rPr>
          <w:szCs w:val="20"/>
          <w:lang w:val="en-US"/>
        </w:rPr>
        <w:t xml:space="preserve">scar Arias, </w:t>
      </w:r>
      <w:r w:rsidRPr="00A50E4D">
        <w:rPr>
          <w:szCs w:val="20"/>
          <w:lang w:val="en-US"/>
        </w:rPr>
        <w:t>an agreement known as the Guaymuras Dialogue, Tegucigalpa/San José A</w:t>
      </w:r>
      <w:r w:rsidR="00502F06" w:rsidRPr="00A50E4D">
        <w:rPr>
          <w:szCs w:val="20"/>
          <w:lang w:val="en-US"/>
        </w:rPr>
        <w:t>ccord</w:t>
      </w:r>
      <w:r w:rsidRPr="00A50E4D">
        <w:rPr>
          <w:szCs w:val="20"/>
          <w:lang w:val="en-US"/>
        </w:rPr>
        <w:t xml:space="preserve"> was signed</w:t>
      </w:r>
      <w:r w:rsidR="000E2CD5" w:rsidRPr="00A50E4D">
        <w:rPr>
          <w:szCs w:val="20"/>
          <w:lang w:val="en-US"/>
        </w:rPr>
        <w:t xml:space="preserve"> on October 30, 2009,</w:t>
      </w:r>
      <w:r w:rsidRPr="00A50E4D">
        <w:rPr>
          <w:szCs w:val="20"/>
          <w:lang w:val="en-US"/>
        </w:rPr>
        <w:t xml:space="preserve"> in order to achieve national reconciliation.</w:t>
      </w:r>
      <w:r w:rsidR="00930C85" w:rsidRPr="00A50E4D">
        <w:rPr>
          <w:rStyle w:val="FootnoteReference"/>
          <w:sz w:val="20"/>
          <w:szCs w:val="20"/>
          <w:lang w:val="en-US"/>
        </w:rPr>
        <w:footnoteReference w:id="76"/>
      </w:r>
      <w:r w:rsidRPr="00A50E4D">
        <w:rPr>
          <w:szCs w:val="20"/>
          <w:lang w:val="en-US"/>
        </w:rPr>
        <w:t xml:space="preserve"> The agreements reached included the creation of a Truth and Reconciliation Commission, which was established by executive decree on April 13, 2010. The purpose of the Commission was “to clarify the events that took place in Honduras before and after </w:t>
      </w:r>
      <w:r w:rsidRPr="00A50E4D">
        <w:rPr>
          <w:lang w:val="en-US"/>
        </w:rPr>
        <w:t xml:space="preserve">June 28, 2009, in order to identify the actions that led to the crisis and to provide the people of Honduras with </w:t>
      </w:r>
      <w:r w:rsidR="000E2CD5" w:rsidRPr="00A50E4D">
        <w:rPr>
          <w:lang w:val="en-US"/>
        </w:rPr>
        <w:t>essential information</w:t>
      </w:r>
      <w:r w:rsidRPr="00A50E4D">
        <w:rPr>
          <w:lang w:val="en-US"/>
        </w:rPr>
        <w:t xml:space="preserve"> to avoid a repetition of such events in the future.” It was empowered to make constructive recommendations to strengthen the institutional framework and democratic development of Honduras</w:t>
      </w:r>
      <w:r w:rsidR="00AB3645" w:rsidRPr="00A50E4D">
        <w:rPr>
          <w:lang w:val="en-US"/>
        </w:rPr>
        <w:t xml:space="preserve"> and</w:t>
      </w:r>
      <w:r w:rsidRPr="00A50E4D">
        <w:rPr>
          <w:lang w:val="en-US"/>
        </w:rPr>
        <w:t xml:space="preserve"> the defens</w:t>
      </w:r>
      <w:r w:rsidR="00AB3645" w:rsidRPr="00A50E4D">
        <w:rPr>
          <w:lang w:val="en-US"/>
        </w:rPr>
        <w:t>e and guarantee of human rights, as well as to recommend an</w:t>
      </w:r>
      <w:r w:rsidR="000E2CD5" w:rsidRPr="00A50E4D">
        <w:rPr>
          <w:lang w:val="en-US"/>
        </w:rPr>
        <w:t>d propose ways of monitoring</w:t>
      </w:r>
      <w:r w:rsidR="00AB3645" w:rsidRPr="00A50E4D">
        <w:rPr>
          <w:lang w:val="en-US"/>
        </w:rPr>
        <w:t xml:space="preserve"> </w:t>
      </w:r>
      <w:r w:rsidR="000E2CD5" w:rsidRPr="00A50E4D">
        <w:rPr>
          <w:lang w:val="en-US"/>
        </w:rPr>
        <w:t>aspects</w:t>
      </w:r>
      <w:r w:rsidR="00AB3645" w:rsidRPr="00A50E4D">
        <w:rPr>
          <w:lang w:val="en-US"/>
        </w:rPr>
        <w:t xml:space="preserve"> that promote</w:t>
      </w:r>
      <w:r w:rsidR="000E2CD5" w:rsidRPr="00A50E4D">
        <w:rPr>
          <w:lang w:val="en-US"/>
        </w:rPr>
        <w:t>d</w:t>
      </w:r>
      <w:r w:rsidR="00AB3645" w:rsidRPr="00A50E4D">
        <w:rPr>
          <w:lang w:val="en-US"/>
        </w:rPr>
        <w:t xml:space="preserve"> and encourage</w:t>
      </w:r>
      <w:r w:rsidR="000E2CD5" w:rsidRPr="00A50E4D">
        <w:rPr>
          <w:lang w:val="en-US"/>
        </w:rPr>
        <w:t>d</w:t>
      </w:r>
      <w:r w:rsidR="00AB3645" w:rsidRPr="00A50E4D">
        <w:rPr>
          <w:lang w:val="en-US"/>
        </w:rPr>
        <w:t xml:space="preserve"> reconciliat</w:t>
      </w:r>
      <w:r w:rsidR="000E2CD5" w:rsidRPr="00A50E4D">
        <w:rPr>
          <w:lang w:val="en-US"/>
        </w:rPr>
        <w:t>ion among the Honduran people</w:t>
      </w:r>
      <w:r w:rsidR="00AB3645" w:rsidRPr="00A50E4D">
        <w:rPr>
          <w:lang w:val="en-US"/>
        </w:rPr>
        <w:t>.</w:t>
      </w:r>
      <w:r w:rsidR="00AB3645" w:rsidRPr="00A50E4D">
        <w:rPr>
          <w:szCs w:val="20"/>
          <w:lang w:val="en-US"/>
        </w:rPr>
        <w:t xml:space="preserve"> </w:t>
      </w:r>
      <w:r w:rsidR="00D03F60" w:rsidRPr="00A50E4D">
        <w:rPr>
          <w:lang w:val="en-US"/>
        </w:rPr>
        <w:t>The Truth and Reconciliation Commission</w:t>
      </w:r>
      <w:r w:rsidR="00AB3645" w:rsidRPr="00A50E4D">
        <w:rPr>
          <w:lang w:val="en-US"/>
        </w:rPr>
        <w:t xml:space="preserve"> functioned for one year (starting on May 4, </w:t>
      </w:r>
      <w:r w:rsidR="00930C85" w:rsidRPr="00A50E4D">
        <w:rPr>
          <w:lang w:val="en-US"/>
        </w:rPr>
        <w:t>2010)</w:t>
      </w:r>
      <w:r w:rsidR="00AB3645" w:rsidRPr="00A50E4D">
        <w:rPr>
          <w:lang w:val="en-US"/>
        </w:rPr>
        <w:t>,</w:t>
      </w:r>
      <w:r w:rsidR="009808C5" w:rsidRPr="00A50E4D">
        <w:rPr>
          <w:lang w:val="en-US"/>
        </w:rPr>
        <w:t xml:space="preserve"> and </w:t>
      </w:r>
      <w:r w:rsidR="00AB3645" w:rsidRPr="00A50E4D">
        <w:rPr>
          <w:lang w:val="en-US"/>
        </w:rPr>
        <w:t>presented its report to the</w:t>
      </w:r>
      <w:r w:rsidR="000E2CD5" w:rsidRPr="00A50E4D">
        <w:rPr>
          <w:lang w:val="en-US"/>
        </w:rPr>
        <w:t xml:space="preserve"> people of Honduras</w:t>
      </w:r>
      <w:r w:rsidR="00AB3645" w:rsidRPr="00A50E4D">
        <w:rPr>
          <w:lang w:val="en-US"/>
        </w:rPr>
        <w:t xml:space="preserve"> and to </w:t>
      </w:r>
      <w:r w:rsidR="00AD5EE7" w:rsidRPr="00A50E4D">
        <w:rPr>
          <w:lang w:val="en-US"/>
        </w:rPr>
        <w:t>the representatives</w:t>
      </w:r>
      <w:r w:rsidR="00930C85" w:rsidRPr="00A50E4D">
        <w:rPr>
          <w:lang w:val="en-US"/>
        </w:rPr>
        <w:t xml:space="preserve"> </w:t>
      </w:r>
      <w:r w:rsidR="00AB3645" w:rsidRPr="00A50E4D">
        <w:rPr>
          <w:lang w:val="en-US"/>
        </w:rPr>
        <w:t xml:space="preserve">of the three branches of State on Thursday, July 7, </w:t>
      </w:r>
      <w:r w:rsidR="00D03F60" w:rsidRPr="00A50E4D">
        <w:rPr>
          <w:szCs w:val="20"/>
          <w:lang w:val="en-US"/>
        </w:rPr>
        <w:t>2011</w:t>
      </w:r>
      <w:r w:rsidR="00AB3645" w:rsidRPr="00A50E4D">
        <w:rPr>
          <w:szCs w:val="20"/>
          <w:lang w:val="en-US"/>
        </w:rPr>
        <w:t>.</w:t>
      </w:r>
      <w:r w:rsidR="00930C85" w:rsidRPr="00A50E4D">
        <w:rPr>
          <w:rStyle w:val="FootnoteReference"/>
          <w:sz w:val="20"/>
          <w:szCs w:val="20"/>
          <w:lang w:val="en-US"/>
        </w:rPr>
        <w:footnoteReference w:id="77"/>
      </w:r>
      <w:bookmarkEnd w:id="117"/>
      <w:r w:rsidR="00930C85" w:rsidRPr="00A50E4D">
        <w:rPr>
          <w:szCs w:val="20"/>
          <w:lang w:val="en-US"/>
        </w:rPr>
        <w:t xml:space="preserve"> </w:t>
      </w:r>
      <w:r w:rsidR="00AB3645" w:rsidRPr="00A50E4D">
        <w:rPr>
          <w:szCs w:val="20"/>
          <w:lang w:val="en-US"/>
        </w:rPr>
        <w:t xml:space="preserve">  </w:t>
      </w:r>
    </w:p>
    <w:p w14:paraId="19C95BE8" w14:textId="77777777" w:rsidR="00930C85" w:rsidRPr="00A50E4D" w:rsidRDefault="00930C85" w:rsidP="00930C85">
      <w:pPr>
        <w:rPr>
          <w:lang w:val="en-US" w:eastAsia="es-MX"/>
        </w:rPr>
      </w:pPr>
    </w:p>
    <w:p w14:paraId="5CD7936B" w14:textId="29E125AE" w:rsidR="00930C85" w:rsidRPr="00A50E4D" w:rsidRDefault="000E2CD5" w:rsidP="00AB3645">
      <w:pPr>
        <w:pStyle w:val="PrrafodeSentencia"/>
        <w:rPr>
          <w:szCs w:val="20"/>
          <w:lang w:val="en-US"/>
        </w:rPr>
      </w:pPr>
      <w:r w:rsidRPr="00A50E4D">
        <w:rPr>
          <w:szCs w:val="20"/>
          <w:lang w:val="en-US"/>
        </w:rPr>
        <w:t>In addition</w:t>
      </w:r>
      <w:r w:rsidR="00AB3645" w:rsidRPr="00A50E4D">
        <w:rPr>
          <w:szCs w:val="20"/>
          <w:lang w:val="en-US"/>
        </w:rPr>
        <w:t xml:space="preserve">, under the said </w:t>
      </w:r>
      <w:r w:rsidR="00930C85" w:rsidRPr="00A50E4D">
        <w:rPr>
          <w:rFonts w:eastAsiaTheme="minorHAnsi" w:cs="AGaramondPro-Regular"/>
          <w:szCs w:val="20"/>
          <w:lang w:val="en-US"/>
        </w:rPr>
        <w:t xml:space="preserve">Tegucigalpa/San José </w:t>
      </w:r>
      <w:r w:rsidR="00AB3645" w:rsidRPr="00A50E4D">
        <w:rPr>
          <w:rFonts w:eastAsiaTheme="minorHAnsi" w:cs="AGaramondPro-Regular"/>
          <w:szCs w:val="20"/>
          <w:lang w:val="en-US"/>
        </w:rPr>
        <w:t>A</w:t>
      </w:r>
      <w:r w:rsidR="00502F06" w:rsidRPr="00A50E4D">
        <w:rPr>
          <w:rFonts w:eastAsiaTheme="minorHAnsi" w:cs="AGaramondPro-Regular"/>
          <w:szCs w:val="20"/>
          <w:lang w:val="en-US"/>
        </w:rPr>
        <w:t>ccord</w:t>
      </w:r>
      <w:r w:rsidR="00AB3645" w:rsidRPr="00A50E4D">
        <w:rPr>
          <w:rFonts w:eastAsiaTheme="minorHAnsi" w:cs="AGaramondPro-Regular"/>
          <w:szCs w:val="20"/>
          <w:lang w:val="en-US"/>
        </w:rPr>
        <w:t xml:space="preserve"> it was agreed to establish a government of </w:t>
      </w:r>
      <w:r w:rsidR="00502F06" w:rsidRPr="00A50E4D">
        <w:rPr>
          <w:rFonts w:eastAsiaTheme="minorHAnsi" w:cs="AGaramondPro-Regular"/>
          <w:szCs w:val="20"/>
          <w:lang w:val="en-US"/>
        </w:rPr>
        <w:t xml:space="preserve">national unity and </w:t>
      </w:r>
      <w:r w:rsidR="00AB3645" w:rsidRPr="00A50E4D">
        <w:rPr>
          <w:rFonts w:eastAsiaTheme="minorHAnsi" w:cs="AGaramondPro-Regular"/>
          <w:szCs w:val="20"/>
          <w:lang w:val="en-US"/>
        </w:rPr>
        <w:t xml:space="preserve">reconciliation, to </w:t>
      </w:r>
      <w:r w:rsidR="00502F06" w:rsidRPr="00A50E4D">
        <w:rPr>
          <w:rFonts w:eastAsiaTheme="minorHAnsi" w:cs="AGaramondPro-Regular"/>
          <w:szCs w:val="20"/>
          <w:lang w:val="en-US"/>
        </w:rPr>
        <w:t xml:space="preserve">forego </w:t>
      </w:r>
      <w:r w:rsidR="00AB3645" w:rsidRPr="00A50E4D">
        <w:rPr>
          <w:rFonts w:eastAsiaTheme="minorHAnsi" w:cs="AGaramondPro-Regular"/>
          <w:szCs w:val="20"/>
          <w:lang w:val="en-US"/>
        </w:rPr>
        <w:t xml:space="preserve">the </w:t>
      </w:r>
      <w:r w:rsidR="00502F06" w:rsidRPr="00A50E4D">
        <w:rPr>
          <w:rFonts w:eastAsiaTheme="minorHAnsi" w:cs="AGaramondPro-Regular"/>
          <w:szCs w:val="20"/>
          <w:lang w:val="en-US"/>
        </w:rPr>
        <w:t>convocation of a</w:t>
      </w:r>
      <w:r w:rsidR="00AB3645" w:rsidRPr="00A50E4D">
        <w:rPr>
          <w:rFonts w:eastAsiaTheme="minorHAnsi" w:cs="AGaramondPro-Regular"/>
          <w:szCs w:val="20"/>
          <w:lang w:val="en-US"/>
        </w:rPr>
        <w:t xml:space="preserve"> constituent </w:t>
      </w:r>
      <w:r w:rsidR="00502F06" w:rsidRPr="00A50E4D">
        <w:rPr>
          <w:rFonts w:eastAsiaTheme="minorHAnsi" w:cs="AGaramondPro-Regular"/>
          <w:szCs w:val="20"/>
          <w:lang w:val="en-US"/>
        </w:rPr>
        <w:t>assembly or a reform of</w:t>
      </w:r>
      <w:r w:rsidR="00AB3645" w:rsidRPr="00A50E4D">
        <w:rPr>
          <w:rFonts w:eastAsiaTheme="minorHAnsi" w:cs="AGaramondPro-Regular"/>
          <w:szCs w:val="20"/>
          <w:lang w:val="en-US"/>
        </w:rPr>
        <w:t xml:space="preserve"> the Constitution, to normalize relations between Honduras and the international community, and to </w:t>
      </w:r>
      <w:r w:rsidR="00502F06" w:rsidRPr="00A50E4D">
        <w:rPr>
          <w:rFonts w:eastAsiaTheme="minorHAnsi" w:cs="AGaramondPro-Regular"/>
          <w:szCs w:val="20"/>
          <w:lang w:val="en-US"/>
        </w:rPr>
        <w:t>create</w:t>
      </w:r>
      <w:r w:rsidR="00AB3645" w:rsidRPr="00A50E4D">
        <w:rPr>
          <w:rFonts w:eastAsiaTheme="minorHAnsi" w:cs="AGaramondPro-Regular"/>
          <w:szCs w:val="20"/>
          <w:lang w:val="en-US"/>
        </w:rPr>
        <w:t xml:space="preserve"> a commission to verify the commitments made in the agreement, coordinated by the OAS and composed of two Hondurans and two international members. In addition, it was agreed that the National Congress would decide on the reinstatement of the ousted President and support was indicated for the presidential elections.</w:t>
      </w:r>
      <w:r w:rsidR="00930C85" w:rsidRPr="00A50E4D">
        <w:rPr>
          <w:szCs w:val="20"/>
          <w:vertAlign w:val="superscript"/>
          <w:lang w:val="en-US"/>
        </w:rPr>
        <w:footnoteReference w:id="78"/>
      </w:r>
      <w:r w:rsidR="00930C85" w:rsidRPr="00A50E4D">
        <w:rPr>
          <w:szCs w:val="20"/>
          <w:lang w:val="en-US"/>
        </w:rPr>
        <w:t xml:space="preserve"> </w:t>
      </w:r>
      <w:r w:rsidR="00AB3645" w:rsidRPr="00A50E4D">
        <w:rPr>
          <w:szCs w:val="20"/>
          <w:lang w:val="en-US"/>
        </w:rPr>
        <w:t xml:space="preserve">On November 3, 2009, Mr. </w:t>
      </w:r>
      <w:r w:rsidR="00930C85" w:rsidRPr="00A50E4D">
        <w:rPr>
          <w:szCs w:val="20"/>
          <w:lang w:val="en-US"/>
        </w:rPr>
        <w:t xml:space="preserve">Micheletti </w:t>
      </w:r>
      <w:r w:rsidR="00502F06" w:rsidRPr="00A50E4D">
        <w:rPr>
          <w:szCs w:val="20"/>
          <w:lang w:val="en-US"/>
        </w:rPr>
        <w:t>attempted</w:t>
      </w:r>
      <w:r w:rsidR="00AB3645" w:rsidRPr="00A50E4D">
        <w:rPr>
          <w:szCs w:val="20"/>
          <w:lang w:val="en-US"/>
        </w:rPr>
        <w:t xml:space="preserve"> to form a cabinet unilaterally, contrary to the </w:t>
      </w:r>
      <w:r w:rsidR="00502F06" w:rsidRPr="00A50E4D">
        <w:rPr>
          <w:szCs w:val="20"/>
          <w:lang w:val="en-US"/>
        </w:rPr>
        <w:t>Accord</w:t>
      </w:r>
      <w:r w:rsidR="00AB3645" w:rsidRPr="00A50E4D">
        <w:rPr>
          <w:szCs w:val="20"/>
          <w:lang w:val="en-US"/>
        </w:rPr>
        <w:t xml:space="preserve">. </w:t>
      </w:r>
      <w:r w:rsidR="00502F06" w:rsidRPr="00A50E4D">
        <w:rPr>
          <w:szCs w:val="20"/>
          <w:lang w:val="en-US"/>
        </w:rPr>
        <w:t>In response</w:t>
      </w:r>
      <w:r w:rsidR="00930C85" w:rsidRPr="00A50E4D">
        <w:rPr>
          <w:szCs w:val="20"/>
          <w:lang w:val="en-US"/>
        </w:rPr>
        <w:t>, “</w:t>
      </w:r>
      <w:r w:rsidR="0054124E" w:rsidRPr="00A50E4D">
        <w:rPr>
          <w:szCs w:val="20"/>
          <w:lang w:val="en-US"/>
        </w:rPr>
        <w:t xml:space="preserve">President </w:t>
      </w:r>
      <w:r w:rsidR="0054124E" w:rsidRPr="00A50E4D">
        <w:rPr>
          <w:szCs w:val="20"/>
          <w:lang w:val="en-US"/>
        </w:rPr>
        <w:lastRenderedPageBreak/>
        <w:t>Zelaya</w:t>
      </w:r>
      <w:r w:rsidR="00AB3645" w:rsidRPr="00A50E4D">
        <w:rPr>
          <w:szCs w:val="20"/>
          <w:lang w:val="en-US"/>
        </w:rPr>
        <w:t xml:space="preserve"> </w:t>
      </w:r>
      <w:r w:rsidR="00502F06" w:rsidRPr="00A50E4D">
        <w:rPr>
          <w:szCs w:val="20"/>
          <w:lang w:val="en-US"/>
        </w:rPr>
        <w:t>announced</w:t>
      </w:r>
      <w:r w:rsidR="00AB3645" w:rsidRPr="00A50E4D">
        <w:rPr>
          <w:szCs w:val="20"/>
          <w:lang w:val="en-US"/>
        </w:rPr>
        <w:t xml:space="preserve"> that the violation of the A</w:t>
      </w:r>
      <w:r w:rsidR="00502F06" w:rsidRPr="00A50E4D">
        <w:rPr>
          <w:szCs w:val="20"/>
          <w:lang w:val="en-US"/>
        </w:rPr>
        <w:t>ccord by Mr. Micheletti had rendered it invalid</w:t>
      </w:r>
      <w:r w:rsidR="00AB3645" w:rsidRPr="00A50E4D">
        <w:rPr>
          <w:szCs w:val="20"/>
          <w:lang w:val="en-US"/>
        </w:rPr>
        <w:t>.</w:t>
      </w:r>
      <w:r w:rsidR="00930C85" w:rsidRPr="00A50E4D">
        <w:rPr>
          <w:szCs w:val="20"/>
          <w:lang w:val="en-US"/>
        </w:rPr>
        <w:t>”</w:t>
      </w:r>
      <w:r w:rsidR="00930C85" w:rsidRPr="00A50E4D">
        <w:rPr>
          <w:rStyle w:val="FootnoteReference"/>
          <w:sz w:val="20"/>
          <w:szCs w:val="20"/>
          <w:lang w:val="en-US"/>
        </w:rPr>
        <w:footnoteReference w:id="79"/>
      </w:r>
      <w:r w:rsidR="00930C85" w:rsidRPr="00A50E4D">
        <w:rPr>
          <w:szCs w:val="20"/>
          <w:lang w:val="en-US"/>
        </w:rPr>
        <w:t xml:space="preserve"> </w:t>
      </w:r>
      <w:r w:rsidR="00AB3645" w:rsidRPr="00A50E4D">
        <w:rPr>
          <w:szCs w:val="20"/>
          <w:lang w:val="en-US"/>
        </w:rPr>
        <w:t xml:space="preserve">On November 10, </w:t>
      </w:r>
      <w:r w:rsidR="00930C85" w:rsidRPr="00A50E4D">
        <w:rPr>
          <w:szCs w:val="20"/>
          <w:lang w:val="en-US"/>
        </w:rPr>
        <w:t xml:space="preserve">2009, </w:t>
      </w:r>
      <w:r w:rsidR="00700DEC" w:rsidRPr="00A50E4D">
        <w:rPr>
          <w:szCs w:val="20"/>
          <w:lang w:val="en-US"/>
        </w:rPr>
        <w:t xml:space="preserve">the </w:t>
      </w:r>
      <w:r w:rsidR="00AB3645" w:rsidRPr="00A50E4D">
        <w:rPr>
          <w:szCs w:val="20"/>
          <w:lang w:val="en-US"/>
        </w:rPr>
        <w:t xml:space="preserve">OAS </w:t>
      </w:r>
      <w:r w:rsidR="00700DEC" w:rsidRPr="00A50E4D">
        <w:rPr>
          <w:szCs w:val="20"/>
          <w:lang w:val="en-US"/>
        </w:rPr>
        <w:t>Permanent Council</w:t>
      </w:r>
      <w:r w:rsidR="00502F06" w:rsidRPr="00A50E4D">
        <w:rPr>
          <w:szCs w:val="20"/>
          <w:lang w:val="en-US"/>
        </w:rPr>
        <w:t xml:space="preserve"> held</w:t>
      </w:r>
      <w:r w:rsidR="00AB3645" w:rsidRPr="00A50E4D">
        <w:rPr>
          <w:szCs w:val="20"/>
          <w:lang w:val="en-US"/>
        </w:rPr>
        <w:t xml:space="preserve"> a special meeting at which the </w:t>
      </w:r>
      <w:r w:rsidR="009808C5" w:rsidRPr="00A50E4D">
        <w:rPr>
          <w:szCs w:val="20"/>
          <w:lang w:val="en-US"/>
        </w:rPr>
        <w:t>Secretary</w:t>
      </w:r>
      <w:r w:rsidR="00930C85" w:rsidRPr="00A50E4D">
        <w:rPr>
          <w:szCs w:val="20"/>
          <w:lang w:val="en-US"/>
        </w:rPr>
        <w:t xml:space="preserve"> General </w:t>
      </w:r>
      <w:r w:rsidR="00AB3645" w:rsidRPr="00A50E4D">
        <w:rPr>
          <w:szCs w:val="20"/>
          <w:lang w:val="en-US"/>
        </w:rPr>
        <w:t>reporte</w:t>
      </w:r>
      <w:r w:rsidR="00502F06" w:rsidRPr="00A50E4D">
        <w:rPr>
          <w:szCs w:val="20"/>
          <w:lang w:val="en-US"/>
        </w:rPr>
        <w:t>d on</w:t>
      </w:r>
      <w:r w:rsidR="00AB3645" w:rsidRPr="00A50E4D">
        <w:rPr>
          <w:szCs w:val="20"/>
          <w:lang w:val="en-US"/>
        </w:rPr>
        <w:t xml:space="preserve"> the government </w:t>
      </w:r>
      <w:r w:rsidR="00AB3645" w:rsidRPr="00A50E4D">
        <w:rPr>
          <w:i/>
          <w:szCs w:val="20"/>
          <w:lang w:val="en-US"/>
        </w:rPr>
        <w:t>de facto</w:t>
      </w:r>
      <w:r w:rsidRPr="00A50E4D">
        <w:rPr>
          <w:szCs w:val="20"/>
          <w:lang w:val="en-US"/>
        </w:rPr>
        <w:t xml:space="preserve">’s non-compliance </w:t>
      </w:r>
      <w:r w:rsidR="00AB3645" w:rsidRPr="00A50E4D">
        <w:rPr>
          <w:szCs w:val="20"/>
          <w:lang w:val="en-US"/>
        </w:rPr>
        <w:t xml:space="preserve">with the </w:t>
      </w:r>
      <w:r w:rsidR="00930C85" w:rsidRPr="00A50E4D">
        <w:rPr>
          <w:szCs w:val="20"/>
          <w:lang w:val="en-US"/>
        </w:rPr>
        <w:t>Tegucigalpa</w:t>
      </w:r>
      <w:r w:rsidR="00930C85" w:rsidRPr="00A50E4D">
        <w:rPr>
          <w:rFonts w:cs="Cambria Math"/>
          <w:szCs w:val="20"/>
          <w:lang w:val="en-US"/>
        </w:rPr>
        <w:t>/</w:t>
      </w:r>
      <w:r w:rsidR="00930C85" w:rsidRPr="00A50E4D">
        <w:rPr>
          <w:szCs w:val="20"/>
          <w:lang w:val="en-US"/>
        </w:rPr>
        <w:t>San José</w:t>
      </w:r>
      <w:r w:rsidR="00AB3645" w:rsidRPr="00A50E4D">
        <w:rPr>
          <w:szCs w:val="20"/>
          <w:lang w:val="en-US"/>
        </w:rPr>
        <w:t xml:space="preserve"> Agreement</w:t>
      </w:r>
      <w:r w:rsidR="00930C85" w:rsidRPr="00A50E4D">
        <w:rPr>
          <w:szCs w:val="20"/>
          <w:lang w:val="en-US"/>
        </w:rPr>
        <w:t xml:space="preserve">. </w:t>
      </w:r>
      <w:r w:rsidR="00AB3645" w:rsidRPr="00A50E4D">
        <w:rPr>
          <w:szCs w:val="20"/>
          <w:lang w:val="en-US"/>
        </w:rPr>
        <w:t xml:space="preserve">In these circumstances, most of the delegations present reiterated that the reinstatement </w:t>
      </w:r>
      <w:r w:rsidR="004626E5" w:rsidRPr="00A50E4D">
        <w:rPr>
          <w:szCs w:val="20"/>
          <w:lang w:val="en-US"/>
        </w:rPr>
        <w:t xml:space="preserve">of </w:t>
      </w:r>
      <w:r w:rsidR="0054124E" w:rsidRPr="00A50E4D">
        <w:rPr>
          <w:szCs w:val="20"/>
          <w:lang w:val="en-US"/>
        </w:rPr>
        <w:t>President Zelaya</w:t>
      </w:r>
      <w:r w:rsidR="00930C85" w:rsidRPr="00A50E4D">
        <w:rPr>
          <w:szCs w:val="20"/>
          <w:lang w:val="en-US"/>
        </w:rPr>
        <w:t xml:space="preserve"> </w:t>
      </w:r>
      <w:r w:rsidR="00AB3645" w:rsidRPr="00A50E4D">
        <w:rPr>
          <w:szCs w:val="20"/>
          <w:lang w:val="en-US"/>
        </w:rPr>
        <w:t>was a necessary condition for the recognition of the elections to be held on November 29.</w:t>
      </w:r>
      <w:r w:rsidR="00930C85" w:rsidRPr="00A50E4D">
        <w:rPr>
          <w:rStyle w:val="FootnoteReference"/>
          <w:sz w:val="20"/>
          <w:szCs w:val="20"/>
          <w:lang w:val="en-US"/>
        </w:rPr>
        <w:footnoteReference w:id="80"/>
      </w:r>
      <w:r w:rsidR="00AB3645" w:rsidRPr="00A50E4D">
        <w:rPr>
          <w:szCs w:val="20"/>
          <w:lang w:val="en-US"/>
        </w:rPr>
        <w:t xml:space="preserve"> Finally, on November 29, </w:t>
      </w:r>
      <w:r w:rsidR="00930C85" w:rsidRPr="00A50E4D">
        <w:rPr>
          <w:szCs w:val="20"/>
          <w:lang w:val="en-US"/>
        </w:rPr>
        <w:t>2009</w:t>
      </w:r>
      <w:r w:rsidR="00AB3645" w:rsidRPr="00A50E4D">
        <w:rPr>
          <w:szCs w:val="20"/>
          <w:lang w:val="en-US"/>
        </w:rPr>
        <w:t>, elections were held</w:t>
      </w:r>
      <w:r w:rsidR="00930C85" w:rsidRPr="00A50E4D">
        <w:rPr>
          <w:szCs w:val="20"/>
          <w:lang w:val="en-US"/>
        </w:rPr>
        <w:t xml:space="preserve"> </w:t>
      </w:r>
      <w:r w:rsidR="00AB3645" w:rsidRPr="00A50E4D">
        <w:rPr>
          <w:szCs w:val="20"/>
          <w:lang w:val="en-US"/>
        </w:rPr>
        <w:t xml:space="preserve">in Honduras in which </w:t>
      </w:r>
      <w:r w:rsidR="00930C85" w:rsidRPr="00A50E4D">
        <w:rPr>
          <w:szCs w:val="20"/>
          <w:lang w:val="en-US"/>
        </w:rPr>
        <w:t>Porfirio Lobo</w:t>
      </w:r>
      <w:r w:rsidR="00AB3645" w:rsidRPr="00A50E4D">
        <w:rPr>
          <w:szCs w:val="20"/>
          <w:lang w:val="en-US"/>
        </w:rPr>
        <w:t xml:space="preserve"> was elected </w:t>
      </w:r>
      <w:r w:rsidRPr="00A50E4D">
        <w:rPr>
          <w:szCs w:val="20"/>
          <w:lang w:val="en-US"/>
        </w:rPr>
        <w:t xml:space="preserve">president </w:t>
      </w:r>
      <w:r w:rsidR="00AB3645" w:rsidRPr="00A50E4D">
        <w:rPr>
          <w:szCs w:val="20"/>
          <w:lang w:val="en-US"/>
        </w:rPr>
        <w:t xml:space="preserve">and he </w:t>
      </w:r>
      <w:r w:rsidR="0098652F" w:rsidRPr="00A50E4D">
        <w:rPr>
          <w:szCs w:val="20"/>
          <w:lang w:val="en-US"/>
        </w:rPr>
        <w:t>assumed</w:t>
      </w:r>
      <w:r w:rsidR="00AB3645" w:rsidRPr="00A50E4D">
        <w:rPr>
          <w:szCs w:val="20"/>
          <w:lang w:val="en-US"/>
        </w:rPr>
        <w:t xml:space="preserve"> office on January 27,</w:t>
      </w:r>
      <w:r w:rsidR="00930C85" w:rsidRPr="00A50E4D">
        <w:rPr>
          <w:szCs w:val="20"/>
          <w:lang w:val="en-US"/>
        </w:rPr>
        <w:t xml:space="preserve"> 2010</w:t>
      </w:r>
      <w:r w:rsidR="00AB3645" w:rsidRPr="00A50E4D">
        <w:rPr>
          <w:szCs w:val="20"/>
          <w:lang w:val="en-US"/>
        </w:rPr>
        <w:t>.</w:t>
      </w:r>
      <w:r w:rsidR="00930C85" w:rsidRPr="00A50E4D">
        <w:rPr>
          <w:szCs w:val="20"/>
          <w:vertAlign w:val="superscript"/>
          <w:lang w:val="en-US"/>
        </w:rPr>
        <w:footnoteReference w:id="81"/>
      </w:r>
    </w:p>
    <w:p w14:paraId="553F5C4B" w14:textId="77777777" w:rsidR="00930C85" w:rsidRPr="00A50E4D" w:rsidRDefault="00930C85" w:rsidP="00930C85">
      <w:pPr>
        <w:pStyle w:val="PrrafodeSentencia"/>
        <w:numPr>
          <w:ilvl w:val="0"/>
          <w:numId w:val="0"/>
        </w:numPr>
        <w:rPr>
          <w:szCs w:val="20"/>
          <w:lang w:val="en-US"/>
        </w:rPr>
      </w:pPr>
    </w:p>
    <w:p w14:paraId="7AC47CB7" w14:textId="727E0127" w:rsidR="00930C85" w:rsidRPr="00A50E4D" w:rsidRDefault="0072698A" w:rsidP="00930C85">
      <w:pPr>
        <w:pStyle w:val="PrrafodeSentencia"/>
        <w:rPr>
          <w:szCs w:val="20"/>
          <w:lang w:val="en-US"/>
        </w:rPr>
      </w:pPr>
      <w:bookmarkStart w:id="118" w:name="_Ref431477824"/>
      <w:r w:rsidRPr="00A50E4D">
        <w:rPr>
          <w:szCs w:val="20"/>
          <w:lang w:val="en-US"/>
        </w:rPr>
        <w:t>On May 22,</w:t>
      </w:r>
      <w:r w:rsidR="00930C85" w:rsidRPr="00A50E4D">
        <w:rPr>
          <w:szCs w:val="20"/>
          <w:lang w:val="en-US"/>
        </w:rPr>
        <w:t xml:space="preserve"> 2011, </w:t>
      </w:r>
      <w:r w:rsidR="00502F06" w:rsidRPr="00A50E4D">
        <w:rPr>
          <w:szCs w:val="20"/>
          <w:lang w:val="en-US"/>
        </w:rPr>
        <w:t xml:space="preserve">mediated by the </w:t>
      </w:r>
      <w:r w:rsidR="009808C5" w:rsidRPr="00A50E4D">
        <w:rPr>
          <w:szCs w:val="20"/>
          <w:lang w:val="en-US"/>
        </w:rPr>
        <w:t>President</w:t>
      </w:r>
      <w:r w:rsidR="00502F06" w:rsidRPr="00A50E4D">
        <w:rPr>
          <w:szCs w:val="20"/>
          <w:lang w:val="en-US"/>
        </w:rPr>
        <w:t>s of</w:t>
      </w:r>
      <w:r w:rsidR="00930C85" w:rsidRPr="00A50E4D">
        <w:rPr>
          <w:szCs w:val="20"/>
          <w:lang w:val="en-US"/>
        </w:rPr>
        <w:t xml:space="preserve"> Colombia</w:t>
      </w:r>
      <w:r w:rsidR="009808C5" w:rsidRPr="00A50E4D">
        <w:rPr>
          <w:szCs w:val="20"/>
          <w:lang w:val="en-US"/>
        </w:rPr>
        <w:t xml:space="preserve"> and </w:t>
      </w:r>
      <w:r w:rsidR="00930C85" w:rsidRPr="00A50E4D">
        <w:rPr>
          <w:szCs w:val="20"/>
          <w:lang w:val="en-US"/>
        </w:rPr>
        <w:t xml:space="preserve">Venezuela, </w:t>
      </w:r>
      <w:r w:rsidR="00700DEC" w:rsidRPr="00A50E4D">
        <w:rPr>
          <w:szCs w:val="20"/>
          <w:lang w:val="en-US"/>
        </w:rPr>
        <w:t>former President</w:t>
      </w:r>
      <w:r w:rsidR="00930C85" w:rsidRPr="00A50E4D">
        <w:rPr>
          <w:szCs w:val="20"/>
          <w:lang w:val="en-US"/>
        </w:rPr>
        <w:t xml:space="preserve"> Zelaya</w:t>
      </w:r>
      <w:r w:rsidR="009808C5" w:rsidRPr="00A50E4D">
        <w:rPr>
          <w:szCs w:val="20"/>
          <w:lang w:val="en-US"/>
        </w:rPr>
        <w:t xml:space="preserve"> and </w:t>
      </w:r>
      <w:r w:rsidR="00502F06" w:rsidRPr="00A50E4D">
        <w:rPr>
          <w:szCs w:val="20"/>
          <w:lang w:val="en-US"/>
        </w:rPr>
        <w:t>then</w:t>
      </w:r>
      <w:r w:rsidR="00D6773C" w:rsidRPr="00A50E4D">
        <w:rPr>
          <w:szCs w:val="20"/>
          <w:lang w:val="en-US"/>
        </w:rPr>
        <w:t xml:space="preserve"> </w:t>
      </w:r>
      <w:r w:rsidR="009808C5" w:rsidRPr="00A50E4D">
        <w:rPr>
          <w:szCs w:val="20"/>
          <w:lang w:val="en-US"/>
        </w:rPr>
        <w:t>President</w:t>
      </w:r>
      <w:r w:rsidR="00D6773C" w:rsidRPr="00A50E4D">
        <w:rPr>
          <w:szCs w:val="20"/>
          <w:lang w:val="en-US"/>
        </w:rPr>
        <w:t xml:space="preserve"> </w:t>
      </w:r>
      <w:r w:rsidR="00930C85" w:rsidRPr="00A50E4D">
        <w:rPr>
          <w:szCs w:val="20"/>
          <w:lang w:val="en-US"/>
        </w:rPr>
        <w:t>Porfirio Lobo</w:t>
      </w:r>
      <w:r w:rsidR="00502F06" w:rsidRPr="00A50E4D">
        <w:rPr>
          <w:szCs w:val="20"/>
          <w:lang w:val="en-US"/>
        </w:rPr>
        <w:t xml:space="preserve"> signed the </w:t>
      </w:r>
      <w:r w:rsidR="00930C85" w:rsidRPr="00A50E4D">
        <w:rPr>
          <w:szCs w:val="20"/>
          <w:lang w:val="en-US"/>
        </w:rPr>
        <w:t>“</w:t>
      </w:r>
      <w:r w:rsidR="00502F06" w:rsidRPr="00A50E4D">
        <w:rPr>
          <w:szCs w:val="20"/>
          <w:lang w:val="en-US"/>
        </w:rPr>
        <w:t xml:space="preserve">Agreement </w:t>
      </w:r>
      <w:r w:rsidR="00B2594D" w:rsidRPr="00A50E4D">
        <w:rPr>
          <w:szCs w:val="20"/>
          <w:lang w:val="en-US"/>
        </w:rPr>
        <w:t>for</w:t>
      </w:r>
      <w:r w:rsidR="00502F06" w:rsidRPr="00A50E4D">
        <w:rPr>
          <w:szCs w:val="20"/>
          <w:lang w:val="en-US"/>
        </w:rPr>
        <w:t xml:space="preserve"> National Reconciliation and Consolidation of the Democratic System in the </w:t>
      </w:r>
      <w:r w:rsidR="00A3368B" w:rsidRPr="00A50E4D">
        <w:rPr>
          <w:szCs w:val="20"/>
          <w:lang w:val="en-US"/>
        </w:rPr>
        <w:t>Republic of</w:t>
      </w:r>
      <w:r w:rsidR="00930C85" w:rsidRPr="00A50E4D">
        <w:rPr>
          <w:szCs w:val="20"/>
          <w:lang w:val="en-US"/>
        </w:rPr>
        <w:t xml:space="preserve"> Honduras</w:t>
      </w:r>
      <w:r w:rsidR="00502F06" w:rsidRPr="00A50E4D">
        <w:rPr>
          <w:szCs w:val="20"/>
          <w:lang w:val="en-US"/>
        </w:rPr>
        <w:t>,</w:t>
      </w:r>
      <w:r w:rsidR="00930C85" w:rsidRPr="00A50E4D">
        <w:rPr>
          <w:szCs w:val="20"/>
          <w:lang w:val="en-US"/>
        </w:rPr>
        <w:t xml:space="preserve">” </w:t>
      </w:r>
      <w:r w:rsidR="00502F06" w:rsidRPr="00A50E4D">
        <w:rPr>
          <w:szCs w:val="20"/>
          <w:lang w:val="en-US"/>
        </w:rPr>
        <w:t xml:space="preserve">which contained a series of measures to ensure the safety of </w:t>
      </w:r>
      <w:r w:rsidR="00700DEC" w:rsidRPr="00A50E4D">
        <w:rPr>
          <w:szCs w:val="20"/>
          <w:lang w:val="en-US"/>
        </w:rPr>
        <w:t>former President</w:t>
      </w:r>
      <w:r w:rsidR="00930C85" w:rsidRPr="00A50E4D">
        <w:rPr>
          <w:szCs w:val="20"/>
          <w:lang w:val="en-US"/>
        </w:rPr>
        <w:t xml:space="preserve"> Zelaya</w:t>
      </w:r>
      <w:r w:rsidR="009808C5" w:rsidRPr="00A50E4D">
        <w:rPr>
          <w:szCs w:val="20"/>
          <w:lang w:val="en-US"/>
        </w:rPr>
        <w:t xml:space="preserve"> and </w:t>
      </w:r>
      <w:r w:rsidR="00502F06" w:rsidRPr="00A50E4D">
        <w:rPr>
          <w:szCs w:val="20"/>
          <w:lang w:val="en-US"/>
        </w:rPr>
        <w:t xml:space="preserve">members of his government, as well as “to ensure that all the actions and decision of the Government of Honduras were in strict compliance with the </w:t>
      </w:r>
      <w:r w:rsidR="00314E4B" w:rsidRPr="00A50E4D">
        <w:rPr>
          <w:szCs w:val="20"/>
          <w:lang w:val="en-US"/>
        </w:rPr>
        <w:t>Constitution</w:t>
      </w:r>
      <w:r w:rsidR="009808C5" w:rsidRPr="00A50E4D">
        <w:rPr>
          <w:szCs w:val="20"/>
          <w:lang w:val="en-US"/>
        </w:rPr>
        <w:t xml:space="preserve"> and </w:t>
      </w:r>
      <w:r w:rsidR="00502F06" w:rsidRPr="00A50E4D">
        <w:rPr>
          <w:szCs w:val="20"/>
          <w:lang w:val="en-US"/>
        </w:rPr>
        <w:t>the law.</w:t>
      </w:r>
      <w:r w:rsidR="00930C85" w:rsidRPr="00A50E4D">
        <w:rPr>
          <w:szCs w:val="20"/>
          <w:lang w:val="en-US"/>
        </w:rPr>
        <w:t>”</w:t>
      </w:r>
      <w:r w:rsidR="00930C85" w:rsidRPr="00A50E4D">
        <w:rPr>
          <w:rStyle w:val="FootnoteReference"/>
          <w:rFonts w:cs="Arial"/>
          <w:sz w:val="20"/>
          <w:szCs w:val="20"/>
          <w:lang w:val="en-US"/>
        </w:rPr>
        <w:footnoteReference w:id="82"/>
      </w:r>
      <w:r w:rsidR="00930C85" w:rsidRPr="00A50E4D">
        <w:rPr>
          <w:szCs w:val="20"/>
          <w:lang w:val="en-US"/>
        </w:rPr>
        <w:t xml:space="preserve"> </w:t>
      </w:r>
    </w:p>
    <w:p w14:paraId="5EF15FA8" w14:textId="77777777" w:rsidR="00930C85" w:rsidRPr="00A50E4D" w:rsidRDefault="00930C85" w:rsidP="00930C85">
      <w:pPr>
        <w:rPr>
          <w:lang w:val="en-US" w:eastAsia="es-MX"/>
        </w:rPr>
      </w:pPr>
    </w:p>
    <w:p w14:paraId="6CEF8E83" w14:textId="4972DC60" w:rsidR="00930C85" w:rsidRPr="00A50E4D" w:rsidRDefault="0072698A" w:rsidP="00930C85">
      <w:pPr>
        <w:pStyle w:val="PrrafodeSentencia"/>
        <w:rPr>
          <w:szCs w:val="20"/>
          <w:lang w:val="en-US"/>
        </w:rPr>
      </w:pPr>
      <w:bookmarkStart w:id="119" w:name="_Ref308473699"/>
      <w:r w:rsidRPr="00A50E4D">
        <w:rPr>
          <w:szCs w:val="20"/>
          <w:lang w:val="en-US"/>
        </w:rPr>
        <w:t xml:space="preserve">On </w:t>
      </w:r>
      <w:r w:rsidR="00C150F2" w:rsidRPr="00A50E4D">
        <w:rPr>
          <w:szCs w:val="20"/>
          <w:lang w:val="en-US"/>
        </w:rPr>
        <w:t>June</w:t>
      </w:r>
      <w:r w:rsidRPr="00A50E4D">
        <w:rPr>
          <w:szCs w:val="20"/>
          <w:lang w:val="en-US"/>
        </w:rPr>
        <w:t xml:space="preserve"> 1,</w:t>
      </w:r>
      <w:r w:rsidR="00930C85" w:rsidRPr="00A50E4D">
        <w:rPr>
          <w:rStyle w:val="s3"/>
          <w:color w:val="000000"/>
          <w:szCs w:val="20"/>
          <w:lang w:val="en-US"/>
        </w:rPr>
        <w:t xml:space="preserve"> 2011</w:t>
      </w:r>
      <w:r w:rsidRPr="00A50E4D">
        <w:rPr>
          <w:rStyle w:val="s3"/>
          <w:color w:val="000000"/>
          <w:szCs w:val="20"/>
          <w:lang w:val="en-US"/>
        </w:rPr>
        <w:t>,</w:t>
      </w:r>
      <w:r w:rsidR="00930C85" w:rsidRPr="00A50E4D">
        <w:rPr>
          <w:rStyle w:val="s3"/>
          <w:color w:val="000000"/>
          <w:szCs w:val="20"/>
          <w:lang w:val="en-US"/>
        </w:rPr>
        <w:t xml:space="preserve"> </w:t>
      </w:r>
      <w:r w:rsidRPr="00A50E4D">
        <w:rPr>
          <w:rStyle w:val="s3"/>
          <w:color w:val="000000"/>
          <w:szCs w:val="20"/>
          <w:lang w:val="en-US"/>
        </w:rPr>
        <w:t>the OAS General Assembly</w:t>
      </w:r>
      <w:r w:rsidR="00930C85" w:rsidRPr="00A50E4D">
        <w:rPr>
          <w:rStyle w:val="s3"/>
          <w:color w:val="000000"/>
          <w:szCs w:val="20"/>
          <w:lang w:val="en-US"/>
        </w:rPr>
        <w:t xml:space="preserve"> </w:t>
      </w:r>
      <w:r w:rsidR="00B2594D" w:rsidRPr="00A50E4D">
        <w:rPr>
          <w:rStyle w:val="s3"/>
          <w:color w:val="000000"/>
          <w:szCs w:val="20"/>
          <w:lang w:val="en-US"/>
        </w:rPr>
        <w:t>accepted</w:t>
      </w:r>
      <w:r w:rsidRPr="00A50E4D">
        <w:rPr>
          <w:rStyle w:val="s3"/>
          <w:color w:val="000000"/>
          <w:szCs w:val="20"/>
          <w:lang w:val="en-US"/>
        </w:rPr>
        <w:t xml:space="preserve"> th</w:t>
      </w:r>
      <w:r w:rsidR="00B2594D" w:rsidRPr="00A50E4D">
        <w:rPr>
          <w:rStyle w:val="s3"/>
          <w:color w:val="000000"/>
          <w:szCs w:val="20"/>
          <w:lang w:val="en-US"/>
        </w:rPr>
        <w:t xml:space="preserve">is agreement and resolved </w:t>
      </w:r>
      <w:r w:rsidR="0098652F" w:rsidRPr="00A50E4D">
        <w:rPr>
          <w:rStyle w:val="s3"/>
          <w:color w:val="000000"/>
          <w:szCs w:val="20"/>
          <w:lang w:val="en-US"/>
        </w:rPr>
        <w:t>“</w:t>
      </w:r>
      <w:r w:rsidR="00B2594D" w:rsidRPr="00A50E4D">
        <w:rPr>
          <w:rStyle w:val="s3"/>
          <w:color w:val="000000"/>
          <w:szCs w:val="20"/>
          <w:lang w:val="en-US"/>
        </w:rPr>
        <w:t>to lift the suspension</w:t>
      </w:r>
      <w:r w:rsidRPr="00A50E4D">
        <w:rPr>
          <w:rStyle w:val="s3"/>
          <w:color w:val="000000"/>
          <w:szCs w:val="20"/>
          <w:lang w:val="en-US"/>
        </w:rPr>
        <w:t>, with immediate effect, of the</w:t>
      </w:r>
      <w:r w:rsidR="00B2594D" w:rsidRPr="00A50E4D">
        <w:rPr>
          <w:rStyle w:val="s3"/>
          <w:color w:val="000000"/>
          <w:szCs w:val="20"/>
          <w:lang w:val="en-US"/>
        </w:rPr>
        <w:t xml:space="preserve"> right of the </w:t>
      </w:r>
      <w:r w:rsidRPr="00A50E4D">
        <w:rPr>
          <w:szCs w:val="20"/>
          <w:lang w:val="en-US"/>
        </w:rPr>
        <w:t>State of Honduras</w:t>
      </w:r>
      <w:r w:rsidRPr="00A50E4D">
        <w:rPr>
          <w:rStyle w:val="s3"/>
          <w:color w:val="000000"/>
          <w:szCs w:val="20"/>
          <w:lang w:val="en-US"/>
        </w:rPr>
        <w:t xml:space="preserve"> to participate </w:t>
      </w:r>
      <w:r w:rsidRPr="00A50E4D">
        <w:rPr>
          <w:szCs w:val="20"/>
          <w:lang w:val="en-US"/>
        </w:rPr>
        <w:t>in the</w:t>
      </w:r>
      <w:r w:rsidR="00930C85" w:rsidRPr="00A50E4D">
        <w:rPr>
          <w:szCs w:val="20"/>
          <w:lang w:val="en-US"/>
        </w:rPr>
        <w:t xml:space="preserve"> </w:t>
      </w:r>
      <w:r w:rsidR="00700DEC" w:rsidRPr="00A50E4D">
        <w:rPr>
          <w:szCs w:val="20"/>
          <w:lang w:val="en-US"/>
        </w:rPr>
        <w:t>OAS</w:t>
      </w:r>
      <w:r w:rsidRPr="00A50E4D">
        <w:rPr>
          <w:szCs w:val="20"/>
          <w:lang w:val="en-US"/>
        </w:rPr>
        <w:t>.</w:t>
      </w:r>
      <w:r w:rsidR="0098652F" w:rsidRPr="00A50E4D">
        <w:rPr>
          <w:szCs w:val="20"/>
          <w:lang w:val="en-US"/>
        </w:rPr>
        <w:t>”</w:t>
      </w:r>
      <w:r w:rsidR="00930C85" w:rsidRPr="00A50E4D">
        <w:rPr>
          <w:rStyle w:val="FootnoteReference"/>
          <w:rFonts w:cs="Arial"/>
          <w:sz w:val="20"/>
          <w:szCs w:val="20"/>
          <w:lang w:val="en-US"/>
        </w:rPr>
        <w:footnoteReference w:id="83"/>
      </w:r>
      <w:bookmarkEnd w:id="118"/>
      <w:bookmarkEnd w:id="119"/>
    </w:p>
    <w:p w14:paraId="3D3B39AA" w14:textId="77777777" w:rsidR="00930C85" w:rsidRPr="00A50E4D" w:rsidRDefault="00930C85" w:rsidP="00930C85">
      <w:pPr>
        <w:pStyle w:val="NoSpacing"/>
        <w:tabs>
          <w:tab w:val="left" w:pos="567"/>
        </w:tabs>
        <w:rPr>
          <w:spacing w:val="-4"/>
          <w:szCs w:val="20"/>
          <w:lang w:val="en-US"/>
        </w:rPr>
      </w:pPr>
    </w:p>
    <w:p w14:paraId="24201530" w14:textId="3589793A" w:rsidR="00930C85" w:rsidRPr="00A50E4D" w:rsidRDefault="00930C85" w:rsidP="00930C85">
      <w:pPr>
        <w:pStyle w:val="Heading3"/>
        <w:rPr>
          <w:spacing w:val="-4"/>
          <w:lang w:val="en-US"/>
        </w:rPr>
      </w:pPr>
      <w:bookmarkStart w:id="120" w:name="_Toc431584623"/>
      <w:bookmarkStart w:id="121" w:name="_Toc471717256"/>
      <w:bookmarkStart w:id="122" w:name="_Toc424834699"/>
      <w:r w:rsidRPr="00A50E4D">
        <w:rPr>
          <w:spacing w:val="-4"/>
          <w:lang w:val="en-US"/>
        </w:rPr>
        <w:t xml:space="preserve">A.3) </w:t>
      </w:r>
      <w:r w:rsidR="0072698A" w:rsidRPr="00A50E4D">
        <w:rPr>
          <w:spacing w:val="-4"/>
          <w:lang w:val="en-US"/>
        </w:rPr>
        <w:t>The position</w:t>
      </w:r>
      <w:r w:rsidR="009808C5" w:rsidRPr="00A50E4D">
        <w:rPr>
          <w:spacing w:val="-4"/>
          <w:lang w:val="en-US"/>
        </w:rPr>
        <w:t xml:space="preserve"> of the </w:t>
      </w:r>
      <w:r w:rsidR="00371BB7" w:rsidRPr="00A50E4D">
        <w:rPr>
          <w:spacing w:val="-4"/>
          <w:lang w:val="en-US"/>
        </w:rPr>
        <w:t>Supreme Court of Justice</w:t>
      </w:r>
      <w:bookmarkEnd w:id="120"/>
      <w:bookmarkEnd w:id="121"/>
      <w:r w:rsidRPr="00A50E4D">
        <w:rPr>
          <w:spacing w:val="-4"/>
          <w:lang w:val="en-US"/>
        </w:rPr>
        <w:t xml:space="preserve"> </w:t>
      </w:r>
      <w:bookmarkEnd w:id="122"/>
    </w:p>
    <w:p w14:paraId="7DD99186" w14:textId="77777777" w:rsidR="00930C85" w:rsidRPr="00A50E4D" w:rsidRDefault="00930C85" w:rsidP="00930C85">
      <w:pPr>
        <w:rPr>
          <w:spacing w:val="-4"/>
          <w:lang w:val="en-US"/>
        </w:rPr>
      </w:pPr>
    </w:p>
    <w:p w14:paraId="1EB0BFA3" w14:textId="408ACE86" w:rsidR="00930C85" w:rsidRPr="00A50E4D" w:rsidRDefault="009808C5" w:rsidP="00930C85">
      <w:pPr>
        <w:pStyle w:val="PrrafodeSentencia"/>
        <w:rPr>
          <w:lang w:val="en-US"/>
        </w:rPr>
      </w:pPr>
      <w:bookmarkStart w:id="123" w:name="_Ref427311353"/>
      <w:r w:rsidRPr="00A50E4D">
        <w:rPr>
          <w:lang w:val="en-US"/>
        </w:rPr>
        <w:t xml:space="preserve">The </w:t>
      </w:r>
      <w:r w:rsidR="00371BB7" w:rsidRPr="00A50E4D">
        <w:rPr>
          <w:lang w:val="en-US"/>
        </w:rPr>
        <w:t>Supreme Court of Justice</w:t>
      </w:r>
      <w:r w:rsidR="00B2594D" w:rsidRPr="00A50E4D">
        <w:rPr>
          <w:lang w:val="en-US"/>
        </w:rPr>
        <w:t xml:space="preserve"> adopted a position </w:t>
      </w:r>
      <w:r w:rsidR="0098652F" w:rsidRPr="00A50E4D">
        <w:rPr>
          <w:lang w:val="en-US"/>
        </w:rPr>
        <w:t xml:space="preserve">on the facts relating to the </w:t>
      </w:r>
      <w:r w:rsidR="0098652F" w:rsidRPr="00A50E4D">
        <w:rPr>
          <w:i/>
          <w:lang w:val="en-US"/>
        </w:rPr>
        <w:t>coup d’état</w:t>
      </w:r>
      <w:r w:rsidR="0098652F" w:rsidRPr="00A50E4D">
        <w:rPr>
          <w:lang w:val="en-US"/>
        </w:rPr>
        <w:t xml:space="preserve"> </w:t>
      </w:r>
      <w:r w:rsidR="00B2594D" w:rsidRPr="00A50E4D">
        <w:rPr>
          <w:lang w:val="en-US"/>
        </w:rPr>
        <w:t>that was in marked contrast to the conclusions reached by the OAS</w:t>
      </w:r>
      <w:r w:rsidR="00930C85" w:rsidRPr="00A50E4D">
        <w:rPr>
          <w:lang w:val="en-US"/>
        </w:rPr>
        <w:t xml:space="preserve">. </w:t>
      </w:r>
      <w:r w:rsidR="00D03F60" w:rsidRPr="00A50E4D">
        <w:rPr>
          <w:lang w:val="en-US"/>
        </w:rPr>
        <w:t xml:space="preserve">On </w:t>
      </w:r>
      <w:r w:rsidR="00C150F2" w:rsidRPr="00A50E4D">
        <w:rPr>
          <w:lang w:val="en-US"/>
        </w:rPr>
        <w:t>June 28, 2009</w:t>
      </w:r>
      <w:r w:rsidR="00930C85" w:rsidRPr="00A50E4D">
        <w:rPr>
          <w:lang w:val="en-US"/>
        </w:rPr>
        <w:t xml:space="preserve">, </w:t>
      </w:r>
      <w:r w:rsidR="00B2594D" w:rsidRPr="00A50E4D">
        <w:rPr>
          <w:lang w:val="en-US"/>
        </w:rPr>
        <w:t>when</w:t>
      </w:r>
      <w:r w:rsidR="00930C85" w:rsidRPr="00A50E4D">
        <w:rPr>
          <w:lang w:val="en-US"/>
        </w:rPr>
        <w:t xml:space="preserve"> </w:t>
      </w:r>
      <w:r w:rsidR="0054124E" w:rsidRPr="00A50E4D">
        <w:rPr>
          <w:lang w:val="en-US"/>
        </w:rPr>
        <w:t>President Zelaya</w:t>
      </w:r>
      <w:r w:rsidR="00930C85" w:rsidRPr="00A50E4D">
        <w:rPr>
          <w:lang w:val="en-US"/>
        </w:rPr>
        <w:t xml:space="preserve"> </w:t>
      </w:r>
      <w:r w:rsidR="00B2594D" w:rsidRPr="00A50E4D">
        <w:rPr>
          <w:lang w:val="en-US"/>
        </w:rPr>
        <w:t xml:space="preserve">was arrested </w:t>
      </w:r>
      <w:r w:rsidR="00930C85" w:rsidRPr="00A50E4D">
        <w:rPr>
          <w:lang w:val="en-US"/>
        </w:rPr>
        <w:t>(</w:t>
      </w:r>
      <w:r w:rsidR="00930C85" w:rsidRPr="00A50E4D">
        <w:rPr>
          <w:i/>
          <w:lang w:val="en-US"/>
        </w:rPr>
        <w:t>supra</w:t>
      </w:r>
      <w:r w:rsidR="00930C85" w:rsidRPr="00A50E4D">
        <w:rPr>
          <w:lang w:val="en-US"/>
        </w:rPr>
        <w:t xml:space="preserve"> </w:t>
      </w:r>
      <w:r w:rsidR="00AD5EE7" w:rsidRPr="00A50E4D">
        <w:rPr>
          <w:lang w:val="en-US"/>
        </w:rPr>
        <w:t>para.</w:t>
      </w:r>
      <w:r w:rsidR="00930C85" w:rsidRPr="00A50E4D">
        <w:rPr>
          <w:lang w:val="en-US"/>
        </w:rPr>
        <w:t xml:space="preserve"> </w:t>
      </w:r>
      <w:r w:rsidR="00930C85" w:rsidRPr="00914F55">
        <w:rPr>
          <w:lang w:val="en-US"/>
        </w:rPr>
        <w:fldChar w:fldCharType="begin"/>
      </w:r>
      <w:r w:rsidR="00930C85" w:rsidRPr="00A50E4D">
        <w:rPr>
          <w:lang w:val="en-US"/>
        </w:rPr>
        <w:instrText xml:space="preserve"> REF _Ref427311379 \r \h  \* MERGEFORMAT </w:instrText>
      </w:r>
      <w:r w:rsidR="00930C85" w:rsidRPr="00914F55">
        <w:rPr>
          <w:lang w:val="en-US"/>
        </w:rPr>
      </w:r>
      <w:r w:rsidR="00930C85" w:rsidRPr="00914F55">
        <w:rPr>
          <w:lang w:val="en-US"/>
        </w:rPr>
        <w:fldChar w:fldCharType="separate"/>
      </w:r>
      <w:r w:rsidR="00547588">
        <w:rPr>
          <w:lang w:val="en-US"/>
        </w:rPr>
        <w:t>49</w:t>
      </w:r>
      <w:r w:rsidR="00930C85" w:rsidRPr="00914F55">
        <w:rPr>
          <w:lang w:val="en-US"/>
        </w:rPr>
        <w:fldChar w:fldCharType="end"/>
      </w:r>
      <w:r w:rsidR="00930C85" w:rsidRPr="00A50E4D">
        <w:rPr>
          <w:lang w:val="en-US"/>
        </w:rPr>
        <w:t xml:space="preserve">), </w:t>
      </w:r>
      <w:r w:rsidRPr="00A50E4D">
        <w:rPr>
          <w:lang w:val="en-US"/>
        </w:rPr>
        <w:t xml:space="preserve">the </w:t>
      </w:r>
      <w:r w:rsidR="00371BB7" w:rsidRPr="00A50E4D">
        <w:rPr>
          <w:lang w:val="en-US"/>
        </w:rPr>
        <w:t>Supreme Court of Justice</w:t>
      </w:r>
      <w:r w:rsidR="00930C85" w:rsidRPr="00A50E4D">
        <w:rPr>
          <w:lang w:val="en-US"/>
        </w:rPr>
        <w:t xml:space="preserve"> </w:t>
      </w:r>
      <w:r w:rsidR="00B2594D" w:rsidRPr="00A50E4D">
        <w:rPr>
          <w:lang w:val="en-US"/>
        </w:rPr>
        <w:t>issued a press communiqué in which it stated that:</w:t>
      </w:r>
      <w:bookmarkEnd w:id="123"/>
    </w:p>
    <w:p w14:paraId="7DB490BA" w14:textId="77777777" w:rsidR="00930C85" w:rsidRPr="00A50E4D" w:rsidRDefault="00930C85" w:rsidP="00930C85">
      <w:pPr>
        <w:pStyle w:val="NoSpacing"/>
        <w:tabs>
          <w:tab w:val="left" w:pos="567"/>
        </w:tabs>
        <w:rPr>
          <w:spacing w:val="-4"/>
          <w:szCs w:val="20"/>
          <w:lang w:val="en-US"/>
        </w:rPr>
      </w:pPr>
    </w:p>
    <w:p w14:paraId="13211879" w14:textId="6FC35CFC" w:rsidR="00930C85" w:rsidRPr="00A50E4D" w:rsidRDefault="00B2594D" w:rsidP="00930C85">
      <w:pPr>
        <w:pStyle w:val="NoSpacing"/>
        <w:tabs>
          <w:tab w:val="left" w:pos="567"/>
        </w:tabs>
        <w:ind w:left="567" w:right="571"/>
        <w:rPr>
          <w:spacing w:val="-4"/>
          <w:sz w:val="18"/>
          <w:szCs w:val="18"/>
          <w:lang w:val="en-US"/>
        </w:rPr>
      </w:pPr>
      <w:r w:rsidRPr="00A50E4D">
        <w:rPr>
          <w:spacing w:val="-4"/>
          <w:sz w:val="18"/>
          <w:szCs w:val="18"/>
          <w:lang w:val="en-US"/>
        </w:rPr>
        <w:t xml:space="preserve">The Armed Forces, as defenders </w:t>
      </w:r>
      <w:r w:rsidR="00314E4B" w:rsidRPr="00A50E4D">
        <w:rPr>
          <w:spacing w:val="-4"/>
          <w:sz w:val="18"/>
          <w:szCs w:val="18"/>
          <w:lang w:val="en-US"/>
        </w:rPr>
        <w:t>of the Constitution</w:t>
      </w:r>
      <w:r w:rsidR="00930C85" w:rsidRPr="00A50E4D">
        <w:rPr>
          <w:spacing w:val="-4"/>
          <w:sz w:val="18"/>
          <w:szCs w:val="18"/>
          <w:lang w:val="en-US"/>
        </w:rPr>
        <w:t>, ha</w:t>
      </w:r>
      <w:r w:rsidRPr="00A50E4D">
        <w:rPr>
          <w:spacing w:val="-4"/>
          <w:sz w:val="18"/>
          <w:szCs w:val="18"/>
          <w:lang w:val="en-US"/>
        </w:rPr>
        <w:t xml:space="preserve">ve acted in defense of the rule of law, obliging those who have acted and spoken publicly against the provisions of the Constitution to comply with the law. </w:t>
      </w:r>
      <w:r w:rsidR="00930C85" w:rsidRPr="00A50E4D">
        <w:rPr>
          <w:spacing w:val="-4"/>
          <w:sz w:val="18"/>
          <w:szCs w:val="18"/>
          <w:lang w:val="en-US"/>
        </w:rPr>
        <w:t xml:space="preserve"> </w:t>
      </w:r>
    </w:p>
    <w:p w14:paraId="77B498D2" w14:textId="77777777" w:rsidR="00930C85" w:rsidRPr="00A50E4D" w:rsidRDefault="00930C85" w:rsidP="00930C85">
      <w:pPr>
        <w:pStyle w:val="NoSpacing"/>
        <w:tabs>
          <w:tab w:val="left" w:pos="567"/>
        </w:tabs>
        <w:ind w:left="567" w:right="571"/>
        <w:rPr>
          <w:spacing w:val="-4"/>
          <w:sz w:val="18"/>
          <w:szCs w:val="18"/>
          <w:lang w:val="en-US"/>
        </w:rPr>
      </w:pPr>
    </w:p>
    <w:p w14:paraId="66579956" w14:textId="05F4453A" w:rsidR="00930C85" w:rsidRPr="00A50E4D" w:rsidRDefault="00B2594D" w:rsidP="00B2594D">
      <w:pPr>
        <w:pStyle w:val="NoSpacing"/>
        <w:tabs>
          <w:tab w:val="left" w:pos="567"/>
        </w:tabs>
        <w:ind w:left="567" w:right="571"/>
        <w:rPr>
          <w:spacing w:val="-4"/>
          <w:sz w:val="18"/>
          <w:szCs w:val="18"/>
          <w:lang w:val="en-US"/>
        </w:rPr>
      </w:pPr>
      <w:r w:rsidRPr="00A50E4D">
        <w:rPr>
          <w:spacing w:val="-4"/>
          <w:sz w:val="18"/>
          <w:szCs w:val="18"/>
          <w:lang w:val="en-US"/>
        </w:rPr>
        <w:t>The Ju</w:t>
      </w:r>
      <w:r w:rsidR="0098652F" w:rsidRPr="00A50E4D">
        <w:rPr>
          <w:spacing w:val="-4"/>
          <w:sz w:val="18"/>
          <w:szCs w:val="18"/>
          <w:lang w:val="en-US"/>
        </w:rPr>
        <w:t>diciary places on record that since</w:t>
      </w:r>
      <w:r w:rsidRPr="00A50E4D">
        <w:rPr>
          <w:spacing w:val="-4"/>
          <w:sz w:val="18"/>
          <w:szCs w:val="18"/>
          <w:lang w:val="en-US"/>
        </w:rPr>
        <w:t xml:space="preserve"> </w:t>
      </w:r>
      <w:r w:rsidR="0098652F" w:rsidRPr="00A50E4D">
        <w:rPr>
          <w:spacing w:val="-4"/>
          <w:sz w:val="18"/>
          <w:szCs w:val="18"/>
          <w:lang w:val="en-US"/>
        </w:rPr>
        <w:t>the actions taken today are</w:t>
      </w:r>
      <w:r w:rsidRPr="00A50E4D">
        <w:rPr>
          <w:spacing w:val="-4"/>
          <w:sz w:val="18"/>
          <w:szCs w:val="18"/>
          <w:lang w:val="en-US"/>
        </w:rPr>
        <w:t xml:space="preserve"> based on a court order issued by a competent judge, </w:t>
      </w:r>
      <w:r w:rsidR="0098652F" w:rsidRPr="00A50E4D">
        <w:rPr>
          <w:spacing w:val="-4"/>
          <w:sz w:val="18"/>
          <w:szCs w:val="18"/>
          <w:lang w:val="en-US"/>
        </w:rPr>
        <w:t>they are executed</w:t>
      </w:r>
      <w:r w:rsidRPr="00A50E4D">
        <w:rPr>
          <w:spacing w:val="-4"/>
          <w:sz w:val="18"/>
          <w:szCs w:val="18"/>
          <w:lang w:val="en-US"/>
        </w:rPr>
        <w:t xml:space="preserve"> within the </w:t>
      </w:r>
      <w:r w:rsidR="0098652F" w:rsidRPr="00A50E4D">
        <w:rPr>
          <w:spacing w:val="-4"/>
          <w:sz w:val="18"/>
          <w:szCs w:val="18"/>
          <w:lang w:val="en-US"/>
        </w:rPr>
        <w:t>framework</w:t>
      </w:r>
      <w:r w:rsidRPr="00A50E4D">
        <w:rPr>
          <w:spacing w:val="-4"/>
          <w:sz w:val="18"/>
          <w:szCs w:val="18"/>
          <w:lang w:val="en-US"/>
        </w:rPr>
        <w:t xml:space="preserve"> of legal </w:t>
      </w:r>
      <w:r w:rsidR="000A786A" w:rsidRPr="00A50E4D">
        <w:rPr>
          <w:spacing w:val="-4"/>
          <w:sz w:val="18"/>
          <w:szCs w:val="18"/>
          <w:lang w:val="en-US"/>
        </w:rPr>
        <w:t>precepts</w:t>
      </w:r>
      <w:r w:rsidR="0098652F" w:rsidRPr="00A50E4D">
        <w:rPr>
          <w:spacing w:val="-4"/>
          <w:sz w:val="18"/>
          <w:szCs w:val="18"/>
          <w:lang w:val="en-US"/>
        </w:rPr>
        <w:t>,</w:t>
      </w:r>
      <w:r w:rsidRPr="00A50E4D">
        <w:rPr>
          <w:spacing w:val="-4"/>
          <w:sz w:val="18"/>
          <w:szCs w:val="18"/>
          <w:lang w:val="en-US"/>
        </w:rPr>
        <w:t xml:space="preserve"> and </w:t>
      </w:r>
      <w:r w:rsidR="0098652F" w:rsidRPr="00A50E4D">
        <w:rPr>
          <w:spacing w:val="-4"/>
          <w:sz w:val="18"/>
          <w:szCs w:val="18"/>
          <w:lang w:val="en-US"/>
        </w:rPr>
        <w:t xml:space="preserve">these actions must </w:t>
      </w:r>
      <w:r w:rsidRPr="00A50E4D">
        <w:rPr>
          <w:spacing w:val="-4"/>
          <w:sz w:val="18"/>
          <w:szCs w:val="18"/>
          <w:lang w:val="en-US"/>
        </w:rPr>
        <w:t xml:space="preserve">be taken against anyone who </w:t>
      </w:r>
      <w:r w:rsidR="0098652F" w:rsidRPr="00A50E4D">
        <w:rPr>
          <w:spacing w:val="-4"/>
          <w:sz w:val="18"/>
          <w:szCs w:val="18"/>
          <w:lang w:val="en-US"/>
        </w:rPr>
        <w:t>unlawfully</w:t>
      </w:r>
      <w:r w:rsidRPr="00A50E4D">
        <w:rPr>
          <w:spacing w:val="-4"/>
          <w:sz w:val="18"/>
          <w:szCs w:val="18"/>
          <w:lang w:val="en-US"/>
        </w:rPr>
        <w:t xml:space="preserve"> opposes </w:t>
      </w:r>
      <w:r w:rsidR="0098652F" w:rsidRPr="00A50E4D">
        <w:rPr>
          <w:spacing w:val="-4"/>
          <w:sz w:val="18"/>
          <w:szCs w:val="18"/>
          <w:lang w:val="en-US"/>
        </w:rPr>
        <w:t xml:space="preserve">the return of </w:t>
      </w:r>
      <w:r w:rsidRPr="00A50E4D">
        <w:rPr>
          <w:spacing w:val="-4"/>
          <w:sz w:val="18"/>
          <w:szCs w:val="18"/>
          <w:lang w:val="en-US"/>
        </w:rPr>
        <w:t>the State of Honduras to the rule of law.</w:t>
      </w:r>
      <w:r w:rsidR="00930C85" w:rsidRPr="00A50E4D">
        <w:rPr>
          <w:rStyle w:val="FootnoteReference"/>
          <w:rFonts w:cs="Arial"/>
          <w:spacing w:val="-4"/>
          <w:sz w:val="18"/>
          <w:szCs w:val="18"/>
          <w:lang w:val="en-US"/>
        </w:rPr>
        <w:footnoteReference w:id="84"/>
      </w:r>
    </w:p>
    <w:p w14:paraId="49A26B8E" w14:textId="77777777" w:rsidR="00930C85" w:rsidRPr="00A50E4D" w:rsidRDefault="00930C85" w:rsidP="00930C85">
      <w:pPr>
        <w:pStyle w:val="NoSpacing"/>
        <w:tabs>
          <w:tab w:val="left" w:pos="567"/>
        </w:tabs>
        <w:rPr>
          <w:spacing w:val="-4"/>
          <w:szCs w:val="20"/>
          <w:lang w:val="en-US"/>
        </w:rPr>
      </w:pPr>
    </w:p>
    <w:p w14:paraId="77051554" w14:textId="42CFB23E" w:rsidR="00930C85" w:rsidRPr="00A50E4D" w:rsidRDefault="00B2594D" w:rsidP="00930C85">
      <w:pPr>
        <w:pStyle w:val="PrrafodeSentencia"/>
        <w:rPr>
          <w:lang w:val="en-US"/>
        </w:rPr>
      </w:pPr>
      <w:bookmarkStart w:id="124" w:name="_Ref427311388"/>
      <w:r w:rsidRPr="00A50E4D">
        <w:rPr>
          <w:lang w:val="en-US"/>
        </w:rPr>
        <w:t>On June 30, it issued another communiqué in which in indicated that, on that day, it had suspended the “confidentiality”</w:t>
      </w:r>
      <w:r w:rsidR="005D1D86" w:rsidRPr="00A50E4D">
        <w:rPr>
          <w:lang w:val="en-US"/>
        </w:rPr>
        <w:t xml:space="preserve"> of</w:t>
      </w:r>
      <w:r w:rsidRPr="00A50E4D">
        <w:rPr>
          <w:lang w:val="en-US"/>
        </w:rPr>
        <w:t xml:space="preserve">: </w:t>
      </w:r>
      <w:bookmarkEnd w:id="124"/>
    </w:p>
    <w:p w14:paraId="19102331" w14:textId="77777777" w:rsidR="00930C85" w:rsidRPr="00A50E4D" w:rsidRDefault="00930C85" w:rsidP="00930C85">
      <w:pPr>
        <w:pStyle w:val="NoSpacing"/>
        <w:tabs>
          <w:tab w:val="left" w:pos="567"/>
        </w:tabs>
        <w:rPr>
          <w:spacing w:val="-4"/>
          <w:szCs w:val="20"/>
          <w:lang w:val="en-US"/>
        </w:rPr>
      </w:pPr>
    </w:p>
    <w:p w14:paraId="1B22C307" w14:textId="2D21895F" w:rsidR="00930C85" w:rsidRPr="00A50E4D" w:rsidRDefault="00930C85" w:rsidP="005D1D86">
      <w:pPr>
        <w:pStyle w:val="NoSpacing"/>
        <w:tabs>
          <w:tab w:val="left" w:pos="567"/>
        </w:tabs>
        <w:ind w:left="567" w:right="571"/>
        <w:rPr>
          <w:spacing w:val="-4"/>
          <w:sz w:val="18"/>
          <w:szCs w:val="18"/>
          <w:lang w:val="en-US"/>
        </w:rPr>
      </w:pPr>
      <w:r w:rsidRPr="00A50E4D">
        <w:rPr>
          <w:spacing w:val="-4"/>
          <w:sz w:val="18"/>
          <w:szCs w:val="18"/>
          <w:lang w:val="en-US"/>
        </w:rPr>
        <w:t>[</w:t>
      </w:r>
      <w:r w:rsidR="005D1D86" w:rsidRPr="00A50E4D">
        <w:rPr>
          <w:spacing w:val="-4"/>
          <w:sz w:val="18"/>
          <w:szCs w:val="18"/>
          <w:lang w:val="en-US"/>
        </w:rPr>
        <w:t xml:space="preserve">C]harges, dated </w:t>
      </w:r>
      <w:r w:rsidR="00C150F2" w:rsidRPr="00A50E4D">
        <w:rPr>
          <w:spacing w:val="-4"/>
          <w:sz w:val="18"/>
          <w:szCs w:val="18"/>
          <w:lang w:val="en-US"/>
        </w:rPr>
        <w:t>June</w:t>
      </w:r>
      <w:r w:rsidR="00410BBD" w:rsidRPr="00A50E4D">
        <w:rPr>
          <w:spacing w:val="-4"/>
          <w:sz w:val="18"/>
          <w:szCs w:val="18"/>
          <w:lang w:val="en-US"/>
        </w:rPr>
        <w:t xml:space="preserve"> 25,</w:t>
      </w:r>
      <w:r w:rsidRPr="00A50E4D">
        <w:rPr>
          <w:spacing w:val="-4"/>
          <w:sz w:val="18"/>
          <w:szCs w:val="18"/>
          <w:lang w:val="en-US"/>
        </w:rPr>
        <w:t xml:space="preserve"> 2009, </w:t>
      </w:r>
      <w:r w:rsidR="005D1D86" w:rsidRPr="00A50E4D">
        <w:rPr>
          <w:spacing w:val="-4"/>
          <w:sz w:val="18"/>
          <w:szCs w:val="18"/>
          <w:lang w:val="en-US"/>
        </w:rPr>
        <w:t xml:space="preserve">filed by the Public Prosecution Service against José Manuel Zelaya Rosales, accusing him of offenses relating to the [form of government, treason, abuse of </w:t>
      </w:r>
      <w:r w:rsidR="005D1D86" w:rsidRPr="00A50E4D">
        <w:rPr>
          <w:spacing w:val="-4"/>
          <w:sz w:val="18"/>
          <w:szCs w:val="18"/>
          <w:lang w:val="en-US"/>
        </w:rPr>
        <w:lastRenderedPageBreak/>
        <w:t xml:space="preserve">authority and usurpation of functions] against the [Public Administration </w:t>
      </w:r>
      <w:r w:rsidR="009808C5" w:rsidRPr="00A50E4D">
        <w:rPr>
          <w:spacing w:val="-4"/>
          <w:sz w:val="18"/>
          <w:szCs w:val="18"/>
          <w:lang w:val="en-US"/>
        </w:rPr>
        <w:t xml:space="preserve">and the </w:t>
      </w:r>
      <w:r w:rsidR="0048601C" w:rsidRPr="00A50E4D">
        <w:rPr>
          <w:spacing w:val="-4"/>
          <w:sz w:val="18"/>
          <w:szCs w:val="18"/>
          <w:lang w:val="en-US"/>
        </w:rPr>
        <w:t>State of Honduras</w:t>
      </w:r>
      <w:r w:rsidRPr="00A50E4D">
        <w:rPr>
          <w:spacing w:val="-4"/>
          <w:sz w:val="18"/>
          <w:szCs w:val="18"/>
          <w:lang w:val="en-US"/>
        </w:rPr>
        <w:t>]</w:t>
      </w:r>
      <w:r w:rsidR="005D1D86" w:rsidRPr="00A50E4D">
        <w:rPr>
          <w:spacing w:val="-4"/>
          <w:sz w:val="18"/>
          <w:szCs w:val="18"/>
          <w:lang w:val="en-US"/>
        </w:rPr>
        <w:t>.</w:t>
      </w:r>
      <w:r w:rsidRPr="00A50E4D">
        <w:rPr>
          <w:rStyle w:val="FootnoteReference"/>
          <w:rFonts w:cs="Arial"/>
          <w:spacing w:val="-4"/>
          <w:sz w:val="18"/>
          <w:szCs w:val="18"/>
          <w:lang w:val="en-US"/>
        </w:rPr>
        <w:footnoteReference w:id="85"/>
      </w:r>
    </w:p>
    <w:p w14:paraId="1FA0AE2D" w14:textId="77777777" w:rsidR="00930C85" w:rsidRPr="00A50E4D" w:rsidRDefault="00930C85" w:rsidP="00930C85">
      <w:pPr>
        <w:pStyle w:val="NoSpacing"/>
        <w:tabs>
          <w:tab w:val="left" w:pos="567"/>
        </w:tabs>
        <w:rPr>
          <w:spacing w:val="-4"/>
          <w:szCs w:val="20"/>
          <w:lang w:val="en-US"/>
        </w:rPr>
      </w:pPr>
    </w:p>
    <w:p w14:paraId="7246A486" w14:textId="14F98742" w:rsidR="00930C85" w:rsidRPr="00A50E4D" w:rsidRDefault="005D1D86" w:rsidP="00930C85">
      <w:pPr>
        <w:pStyle w:val="PrrafodeSentencia"/>
        <w:rPr>
          <w:lang w:val="en-US"/>
        </w:rPr>
      </w:pPr>
      <w:bookmarkStart w:id="125" w:name="_Ref427314091"/>
      <w:r w:rsidRPr="00A50E4D">
        <w:rPr>
          <w:lang w:val="en-US"/>
        </w:rPr>
        <w:t>On July 20,</w:t>
      </w:r>
      <w:r w:rsidR="00930C85" w:rsidRPr="00A50E4D">
        <w:rPr>
          <w:lang w:val="en-US"/>
        </w:rPr>
        <w:t xml:space="preserve"> 2009</w:t>
      </w:r>
      <w:r w:rsidRPr="00A50E4D">
        <w:rPr>
          <w:lang w:val="en-US"/>
        </w:rPr>
        <w:t xml:space="preserve">, it issued a third communiqué in which it also indicated that “its actions had been taken and will continue to be taken within the </w:t>
      </w:r>
      <w:r w:rsidR="000A786A" w:rsidRPr="00A50E4D">
        <w:rPr>
          <w:lang w:val="en-US"/>
        </w:rPr>
        <w:t>framework of</w:t>
      </w:r>
      <w:r w:rsidR="00314E4B" w:rsidRPr="00A50E4D">
        <w:rPr>
          <w:lang w:val="en-US"/>
        </w:rPr>
        <w:t xml:space="preserve"> the Constitution</w:t>
      </w:r>
      <w:r w:rsidR="009808C5" w:rsidRPr="00A50E4D">
        <w:rPr>
          <w:lang w:val="en-US"/>
        </w:rPr>
        <w:t xml:space="preserve"> and </w:t>
      </w:r>
      <w:r w:rsidRPr="00A50E4D">
        <w:rPr>
          <w:lang w:val="en-US"/>
        </w:rPr>
        <w:t>the law.</w:t>
      </w:r>
      <w:r w:rsidR="00930C85" w:rsidRPr="00A50E4D">
        <w:rPr>
          <w:lang w:val="en-US"/>
        </w:rPr>
        <w:t>”</w:t>
      </w:r>
      <w:r w:rsidR="00930C85" w:rsidRPr="00A50E4D">
        <w:rPr>
          <w:rStyle w:val="FootnoteReference"/>
          <w:rFonts w:cs="Arial"/>
          <w:sz w:val="20"/>
          <w:szCs w:val="20"/>
          <w:lang w:val="en-US"/>
        </w:rPr>
        <w:footnoteReference w:id="86"/>
      </w:r>
      <w:r w:rsidR="00930C85" w:rsidRPr="00A50E4D">
        <w:rPr>
          <w:lang w:val="en-US"/>
        </w:rPr>
        <w:t xml:space="preserve"> </w:t>
      </w:r>
      <w:r w:rsidR="00B2594D" w:rsidRPr="00A50E4D">
        <w:rPr>
          <w:lang w:val="en-US"/>
        </w:rPr>
        <w:t>On July 31,</w:t>
      </w:r>
      <w:r w:rsidR="009808C5" w:rsidRPr="00A50E4D">
        <w:rPr>
          <w:lang w:val="en-US"/>
        </w:rPr>
        <w:t xml:space="preserve"> and </w:t>
      </w:r>
      <w:r w:rsidRPr="00A50E4D">
        <w:rPr>
          <w:lang w:val="en-US"/>
        </w:rPr>
        <w:t xml:space="preserve">August </w:t>
      </w:r>
      <w:r w:rsidR="00930C85" w:rsidRPr="00A50E4D">
        <w:rPr>
          <w:lang w:val="en-US"/>
        </w:rPr>
        <w:t xml:space="preserve">21 </w:t>
      </w:r>
      <w:r w:rsidRPr="00A50E4D">
        <w:rPr>
          <w:lang w:val="en-US"/>
        </w:rPr>
        <w:t>that year, it issued two more press communiqués ratifying the preceding information.</w:t>
      </w:r>
      <w:r w:rsidR="00930C85" w:rsidRPr="00A50E4D">
        <w:rPr>
          <w:rStyle w:val="FootnoteReference"/>
          <w:rFonts w:cs="Arial"/>
          <w:sz w:val="20"/>
          <w:szCs w:val="20"/>
          <w:lang w:val="en-US"/>
        </w:rPr>
        <w:footnoteReference w:id="87"/>
      </w:r>
      <w:r w:rsidRPr="00A50E4D">
        <w:rPr>
          <w:lang w:val="en-US"/>
        </w:rPr>
        <w:t xml:space="preserve"> In the second of these communiqués, it defined what had happened as a “constitutional succession.</w:t>
      </w:r>
      <w:r w:rsidR="00930C85" w:rsidRPr="00A50E4D">
        <w:rPr>
          <w:lang w:val="en-US"/>
        </w:rPr>
        <w:t>”</w:t>
      </w:r>
      <w:r w:rsidR="00930C85" w:rsidRPr="00A50E4D">
        <w:rPr>
          <w:rStyle w:val="FootnoteReference"/>
          <w:rFonts w:cs="Arial"/>
          <w:sz w:val="20"/>
          <w:szCs w:val="20"/>
          <w:lang w:val="en-US"/>
        </w:rPr>
        <w:footnoteReference w:id="88"/>
      </w:r>
      <w:bookmarkEnd w:id="125"/>
    </w:p>
    <w:p w14:paraId="1B22A104" w14:textId="77777777" w:rsidR="00930C85" w:rsidRPr="00A50E4D" w:rsidRDefault="00930C85" w:rsidP="00930C85">
      <w:pPr>
        <w:pStyle w:val="NoSpacing"/>
        <w:tabs>
          <w:tab w:val="left" w:pos="567"/>
        </w:tabs>
        <w:rPr>
          <w:spacing w:val="-4"/>
          <w:szCs w:val="20"/>
          <w:lang w:val="en-US"/>
        </w:rPr>
      </w:pPr>
    </w:p>
    <w:p w14:paraId="1A87E581" w14:textId="778B8D71" w:rsidR="00930C85" w:rsidRPr="00A50E4D" w:rsidRDefault="00930C85" w:rsidP="00930C85">
      <w:pPr>
        <w:pStyle w:val="PrrafodeSentencia"/>
        <w:rPr>
          <w:lang w:val="en-US"/>
        </w:rPr>
      </w:pPr>
      <w:r w:rsidRPr="00A50E4D">
        <w:rPr>
          <w:lang w:val="en-US"/>
        </w:rPr>
        <w:t>N</w:t>
      </w:r>
      <w:r w:rsidR="005D1D86" w:rsidRPr="00A50E4D">
        <w:rPr>
          <w:lang w:val="en-US"/>
        </w:rPr>
        <w:t xml:space="preserve">one of these press communiqués mentioned the forcible transfer </w:t>
      </w:r>
      <w:r w:rsidR="004626E5" w:rsidRPr="00A50E4D">
        <w:rPr>
          <w:lang w:val="en-US"/>
        </w:rPr>
        <w:t xml:space="preserve">of </w:t>
      </w:r>
      <w:r w:rsidR="0054124E" w:rsidRPr="00A50E4D">
        <w:rPr>
          <w:lang w:val="en-US"/>
        </w:rPr>
        <w:t>President Zelaya</w:t>
      </w:r>
      <w:r w:rsidR="005D1D86" w:rsidRPr="00A50E4D">
        <w:rPr>
          <w:lang w:val="en-US"/>
        </w:rPr>
        <w:t xml:space="preserve"> out of the country. According to different newspaper articles, </w:t>
      </w:r>
      <w:r w:rsidRPr="00A50E4D">
        <w:rPr>
          <w:lang w:val="en-US"/>
        </w:rPr>
        <w:t xml:space="preserve">Roberto Micheletti </w:t>
      </w:r>
      <w:r w:rsidR="005D1D86" w:rsidRPr="00A50E4D">
        <w:rPr>
          <w:lang w:val="en-US"/>
        </w:rPr>
        <w:t xml:space="preserve">had met with the full </w:t>
      </w:r>
      <w:r w:rsidR="00700DEC" w:rsidRPr="00A50E4D">
        <w:rPr>
          <w:lang w:val="en-US"/>
        </w:rPr>
        <w:t>Supreme Court</w:t>
      </w:r>
      <w:r w:rsidR="005D1D86" w:rsidRPr="00A50E4D">
        <w:rPr>
          <w:lang w:val="en-US"/>
        </w:rPr>
        <w:t xml:space="preserve"> during this time.</w:t>
      </w:r>
      <w:r w:rsidRPr="00A50E4D">
        <w:rPr>
          <w:rStyle w:val="FootnoteReference"/>
          <w:sz w:val="20"/>
          <w:szCs w:val="20"/>
          <w:lang w:val="en-US"/>
        </w:rPr>
        <w:footnoteReference w:id="89"/>
      </w:r>
    </w:p>
    <w:p w14:paraId="6A7C518A" w14:textId="77777777" w:rsidR="00930C85" w:rsidRPr="00A50E4D" w:rsidRDefault="00930C85" w:rsidP="00930C85">
      <w:pPr>
        <w:pStyle w:val="ListParagraph"/>
        <w:numPr>
          <w:ilvl w:val="0"/>
          <w:numId w:val="0"/>
        </w:numPr>
        <w:rPr>
          <w:spacing w:val="-4"/>
          <w:lang w:val="en-US"/>
        </w:rPr>
      </w:pPr>
    </w:p>
    <w:p w14:paraId="3E510681" w14:textId="6FD0477F" w:rsidR="00930C85" w:rsidRPr="00A50E4D" w:rsidRDefault="005D1D86" w:rsidP="00A92F1B">
      <w:pPr>
        <w:pStyle w:val="PrrafodeSentencia"/>
        <w:rPr>
          <w:lang w:val="en-US"/>
        </w:rPr>
      </w:pPr>
      <w:bookmarkStart w:id="126" w:name="_Ref427311356"/>
      <w:r w:rsidRPr="00A50E4D">
        <w:rPr>
          <w:lang w:val="en-US"/>
        </w:rPr>
        <w:t>Regarding all these actions by</w:t>
      </w:r>
      <w:r w:rsidR="009808C5" w:rsidRPr="00A50E4D">
        <w:rPr>
          <w:lang w:val="en-US"/>
        </w:rPr>
        <w:t xml:space="preserve"> the </w:t>
      </w:r>
      <w:r w:rsidR="00700DEC" w:rsidRPr="00A50E4D">
        <w:rPr>
          <w:lang w:val="en-US"/>
        </w:rPr>
        <w:t>Supreme Court</w:t>
      </w:r>
      <w:r w:rsidR="00930C85" w:rsidRPr="00A50E4D">
        <w:rPr>
          <w:lang w:val="en-US"/>
        </w:rPr>
        <w:t xml:space="preserve">, </w:t>
      </w:r>
      <w:r w:rsidR="00700DEC" w:rsidRPr="00A50E4D">
        <w:rPr>
          <w:lang w:val="en-US"/>
        </w:rPr>
        <w:t>the</w:t>
      </w:r>
      <w:r w:rsidRPr="00A50E4D">
        <w:rPr>
          <w:lang w:val="en-US"/>
        </w:rPr>
        <w:t xml:space="preserve"> </w:t>
      </w:r>
      <w:r w:rsidR="00700DEC" w:rsidRPr="00A50E4D">
        <w:rPr>
          <w:lang w:val="en-US"/>
        </w:rPr>
        <w:t>Truth and Reconciliation Commission</w:t>
      </w:r>
      <w:r w:rsidRPr="00A50E4D">
        <w:rPr>
          <w:lang w:val="en-US"/>
        </w:rPr>
        <w:t xml:space="preserve"> concluded that</w:t>
      </w:r>
      <w:r w:rsidR="00930C85" w:rsidRPr="00A50E4D">
        <w:rPr>
          <w:lang w:val="en-US"/>
        </w:rPr>
        <w:t xml:space="preserve"> </w:t>
      </w:r>
      <w:r w:rsidR="009808C5" w:rsidRPr="00A50E4D">
        <w:rPr>
          <w:lang w:val="en-US"/>
        </w:rPr>
        <w:t xml:space="preserve">the </w:t>
      </w:r>
      <w:r w:rsidR="00700DEC" w:rsidRPr="00A50E4D">
        <w:rPr>
          <w:lang w:val="en-US"/>
        </w:rPr>
        <w:t>Supreme Court</w:t>
      </w:r>
      <w:r w:rsidR="00930C85" w:rsidRPr="00A50E4D">
        <w:rPr>
          <w:lang w:val="en-US"/>
        </w:rPr>
        <w:t xml:space="preserve"> “</w:t>
      </w:r>
      <w:r w:rsidRPr="00A50E4D">
        <w:rPr>
          <w:lang w:val="en-US"/>
        </w:rPr>
        <w:t>was unable to transcend the crisis, abandoned its role of arbitrator, and became a protagonist in the process of removing José Manuel Zelaya from the office of constitutional President of the Republic.”</w:t>
      </w:r>
      <w:r w:rsidRPr="00A50E4D">
        <w:rPr>
          <w:rStyle w:val="FootnoteReference"/>
          <w:rFonts w:cs="Arial"/>
          <w:bCs/>
          <w:sz w:val="20"/>
          <w:szCs w:val="20"/>
          <w:lang w:val="en-US"/>
        </w:rPr>
        <w:footnoteReference w:id="90"/>
      </w:r>
      <w:r w:rsidRPr="00A50E4D">
        <w:rPr>
          <w:lang w:val="en-US"/>
        </w:rPr>
        <w:t xml:space="preserve"> Similarly, the United Nations Special Rapporteur on the independence of judges and lawyers, Leandro Despouy, stated that “the Supreme Court</w:t>
      </w:r>
      <w:r w:rsidR="00A92F1B" w:rsidRPr="00A50E4D">
        <w:rPr>
          <w:lang w:val="en-US"/>
        </w:rPr>
        <w:t xml:space="preserve"> had participated in the dissolution of the constitutional order by deviating from the rules of independence and impartiality by which it should be characterized.</w:t>
      </w:r>
      <w:r w:rsidR="00930C85" w:rsidRPr="00A50E4D">
        <w:rPr>
          <w:lang w:val="en-US"/>
        </w:rPr>
        <w:t>”</w:t>
      </w:r>
      <w:r w:rsidR="00930C85" w:rsidRPr="00A50E4D">
        <w:rPr>
          <w:rStyle w:val="FootnoteReference"/>
          <w:sz w:val="20"/>
          <w:szCs w:val="20"/>
          <w:lang w:val="en-US"/>
        </w:rPr>
        <w:footnoteReference w:id="91"/>
      </w:r>
      <w:r w:rsidR="00A92F1B" w:rsidRPr="00A50E4D">
        <w:rPr>
          <w:lang w:val="en-US"/>
        </w:rPr>
        <w:t xml:space="preserve"> Also, the United Nations High Commissioner for Human Rights stated that these actions by </w:t>
      </w:r>
      <w:r w:rsidR="009808C5" w:rsidRPr="00A50E4D">
        <w:rPr>
          <w:lang w:val="en-US"/>
        </w:rPr>
        <w:t xml:space="preserve">the </w:t>
      </w:r>
      <w:r w:rsidR="00700DEC" w:rsidRPr="00A50E4D">
        <w:rPr>
          <w:lang w:val="en-US"/>
        </w:rPr>
        <w:t>Supreme Court</w:t>
      </w:r>
      <w:r w:rsidR="00930C85" w:rsidRPr="00A50E4D">
        <w:rPr>
          <w:lang w:val="en-US"/>
        </w:rPr>
        <w:t xml:space="preserve"> “</w:t>
      </w:r>
      <w:r w:rsidR="00A92F1B" w:rsidRPr="00A50E4D">
        <w:rPr>
          <w:lang w:val="en-US"/>
        </w:rPr>
        <w:t>cast d</w:t>
      </w:r>
      <w:r w:rsidR="00BA3E5E" w:rsidRPr="00A50E4D">
        <w:rPr>
          <w:lang w:val="en-US"/>
        </w:rPr>
        <w:t>oubt</w:t>
      </w:r>
      <w:r w:rsidR="00A92F1B" w:rsidRPr="00A50E4D">
        <w:rPr>
          <w:lang w:val="en-US"/>
        </w:rPr>
        <w:t xml:space="preserve"> on its impartiality and</w:t>
      </w:r>
      <w:r w:rsidR="00BA3E5E" w:rsidRPr="00A50E4D">
        <w:rPr>
          <w:lang w:val="en-US"/>
        </w:rPr>
        <w:t xml:space="preserve"> </w:t>
      </w:r>
      <w:r w:rsidR="00A92F1B" w:rsidRPr="00A50E4D">
        <w:rPr>
          <w:lang w:val="en-US"/>
        </w:rPr>
        <w:t>commitment to the rule of law.</w:t>
      </w:r>
      <w:r w:rsidR="00930C85" w:rsidRPr="00A50E4D">
        <w:rPr>
          <w:lang w:val="en-US"/>
        </w:rPr>
        <w:t>”</w:t>
      </w:r>
      <w:r w:rsidR="00930C85" w:rsidRPr="00A50E4D">
        <w:rPr>
          <w:rStyle w:val="FootnoteReference"/>
          <w:rFonts w:cs="Arial"/>
          <w:sz w:val="20"/>
          <w:szCs w:val="20"/>
          <w:lang w:val="en-US"/>
        </w:rPr>
        <w:footnoteReference w:id="92"/>
      </w:r>
      <w:bookmarkEnd w:id="126"/>
    </w:p>
    <w:p w14:paraId="457367DE" w14:textId="77777777" w:rsidR="00930C85" w:rsidRPr="00A50E4D" w:rsidRDefault="00930C85" w:rsidP="00930C85">
      <w:pPr>
        <w:pStyle w:val="ListParagraph"/>
        <w:numPr>
          <w:ilvl w:val="0"/>
          <w:numId w:val="0"/>
        </w:numPr>
        <w:rPr>
          <w:spacing w:val="-4"/>
          <w:lang w:val="en-US"/>
        </w:rPr>
      </w:pPr>
    </w:p>
    <w:p w14:paraId="776483CA" w14:textId="4746EB7B" w:rsidR="00930C85" w:rsidRPr="00A50E4D" w:rsidRDefault="00BA3E5E" w:rsidP="00BA3E5E">
      <w:pPr>
        <w:pStyle w:val="PrrafodeSentencia"/>
        <w:rPr>
          <w:lang w:val="en-US"/>
        </w:rPr>
      </w:pPr>
      <w:r w:rsidRPr="00A50E4D">
        <w:rPr>
          <w:lang w:val="en-US"/>
        </w:rPr>
        <w:t xml:space="preserve">With regard to other judicial authorities, </w:t>
      </w:r>
      <w:r w:rsidR="00700DEC" w:rsidRPr="00A50E4D">
        <w:rPr>
          <w:lang w:val="en-US"/>
        </w:rPr>
        <w:t>the</w:t>
      </w:r>
      <w:r w:rsidRPr="00A50E4D">
        <w:rPr>
          <w:lang w:val="en-US"/>
        </w:rPr>
        <w:t xml:space="preserve"> </w:t>
      </w:r>
      <w:r w:rsidR="00700DEC" w:rsidRPr="00A50E4D">
        <w:rPr>
          <w:lang w:val="en-US"/>
        </w:rPr>
        <w:t>Truth and Reconciliation Commission</w:t>
      </w:r>
      <w:r w:rsidR="00930C85" w:rsidRPr="00A50E4D">
        <w:rPr>
          <w:lang w:val="en-US"/>
        </w:rPr>
        <w:t xml:space="preserve"> </w:t>
      </w:r>
      <w:r w:rsidRPr="00A50E4D">
        <w:rPr>
          <w:lang w:val="en-US"/>
        </w:rPr>
        <w:t xml:space="preserve">asserted that, in the case of the “prosecutor general […] a similar situation occurs to that of the Supreme Court of Justice, because he was involved from the start of the 2009 institutional crisis and acted in a way that favored the government </w:t>
      </w:r>
      <w:r w:rsidR="00930C85" w:rsidRPr="00A50E4D">
        <w:rPr>
          <w:i/>
          <w:lang w:val="en-US"/>
        </w:rPr>
        <w:t>de facto</w:t>
      </w:r>
      <w:r w:rsidRPr="00A50E4D">
        <w:rPr>
          <w:lang w:val="en-US"/>
        </w:rPr>
        <w:t xml:space="preserve">.” In this regard, it stated that </w:t>
      </w:r>
      <w:r w:rsidR="00930C85" w:rsidRPr="00A50E4D">
        <w:rPr>
          <w:lang w:val="en-US"/>
        </w:rPr>
        <w:t>“</w:t>
      </w:r>
      <w:r w:rsidR="00CA7E67" w:rsidRPr="00A50E4D">
        <w:rPr>
          <w:lang w:val="en-US"/>
        </w:rPr>
        <w:t>the Prosecutor General</w:t>
      </w:r>
      <w:r w:rsidR="009808C5" w:rsidRPr="00A50E4D">
        <w:rPr>
          <w:lang w:val="en-US"/>
        </w:rPr>
        <w:t xml:space="preserve"> and </w:t>
      </w:r>
      <w:r w:rsidRPr="00A50E4D">
        <w:rPr>
          <w:lang w:val="en-US"/>
        </w:rPr>
        <w:t xml:space="preserve">the Special Prosecutor for the Defense </w:t>
      </w:r>
      <w:r w:rsidR="00314E4B" w:rsidRPr="00A50E4D">
        <w:rPr>
          <w:lang w:val="en-US"/>
        </w:rPr>
        <w:t>of the Constitution</w:t>
      </w:r>
      <w:r w:rsidR="00930C85" w:rsidRPr="00A50E4D">
        <w:rPr>
          <w:lang w:val="en-US"/>
        </w:rPr>
        <w:t xml:space="preserve"> </w:t>
      </w:r>
      <w:r w:rsidRPr="00A50E4D">
        <w:rPr>
          <w:lang w:val="en-US"/>
        </w:rPr>
        <w:t>abstaine</w:t>
      </w:r>
      <w:r w:rsidR="000A786A" w:rsidRPr="00A50E4D">
        <w:rPr>
          <w:lang w:val="en-US"/>
        </w:rPr>
        <w:t xml:space="preserve">d from </w:t>
      </w:r>
      <w:r w:rsidR="0098652F" w:rsidRPr="00A50E4D">
        <w:rPr>
          <w:lang w:val="en-US"/>
        </w:rPr>
        <w:t>contesting</w:t>
      </w:r>
      <w:r w:rsidR="000A786A" w:rsidRPr="00A50E4D">
        <w:rPr>
          <w:lang w:val="en-US"/>
        </w:rPr>
        <w:t xml:space="preserve"> the </w:t>
      </w:r>
      <w:r w:rsidR="000A786A" w:rsidRPr="00A50E4D">
        <w:rPr>
          <w:lang w:val="en-US"/>
        </w:rPr>
        <w:lastRenderedPageBreak/>
        <w:t>decrees</w:t>
      </w:r>
      <w:r w:rsidRPr="00A50E4D">
        <w:rPr>
          <w:lang w:val="en-US"/>
        </w:rPr>
        <w:t xml:space="preserve"> that restricted rights.</w:t>
      </w:r>
      <w:r w:rsidR="00930C85" w:rsidRPr="00A50E4D">
        <w:rPr>
          <w:lang w:val="en-US"/>
        </w:rPr>
        <w:t>”</w:t>
      </w:r>
      <w:r w:rsidR="00930C85" w:rsidRPr="00A50E4D">
        <w:rPr>
          <w:rStyle w:val="FootnoteReference"/>
          <w:rFonts w:cs="Arial"/>
          <w:sz w:val="20"/>
          <w:szCs w:val="20"/>
          <w:lang w:val="en-US"/>
        </w:rPr>
        <w:footnoteReference w:id="93"/>
      </w:r>
      <w:r w:rsidR="00930C85" w:rsidRPr="00A50E4D">
        <w:rPr>
          <w:lang w:val="en-US"/>
        </w:rPr>
        <w:t xml:space="preserve"> </w:t>
      </w:r>
      <w:r w:rsidRPr="00A50E4D">
        <w:rPr>
          <w:lang w:val="en-US"/>
        </w:rPr>
        <w:t>Likewise, the Ombudsman supported the Supreme Court’s thesis and refused to investigate the allegations brough</w:t>
      </w:r>
      <w:r w:rsidR="0098652F" w:rsidRPr="00A50E4D">
        <w:rPr>
          <w:lang w:val="en-US"/>
        </w:rPr>
        <w:t xml:space="preserve">t before </w:t>
      </w:r>
      <w:r w:rsidRPr="00A50E4D">
        <w:rPr>
          <w:lang w:val="en-US"/>
        </w:rPr>
        <w:t>his office.</w:t>
      </w:r>
      <w:r w:rsidR="00930C85" w:rsidRPr="00A50E4D">
        <w:rPr>
          <w:rStyle w:val="FootnoteReference"/>
          <w:rFonts w:cs="Arial"/>
          <w:sz w:val="19"/>
          <w:szCs w:val="20"/>
          <w:lang w:val="en-US"/>
        </w:rPr>
        <w:footnoteReference w:id="94"/>
      </w:r>
    </w:p>
    <w:p w14:paraId="6620DBE9" w14:textId="77777777" w:rsidR="00930C85" w:rsidRPr="00A50E4D" w:rsidRDefault="00930C85" w:rsidP="00930C85">
      <w:pPr>
        <w:rPr>
          <w:spacing w:val="-4"/>
          <w:szCs w:val="20"/>
          <w:lang w:val="en-US"/>
        </w:rPr>
      </w:pPr>
    </w:p>
    <w:p w14:paraId="15A1597B" w14:textId="4862B811" w:rsidR="00930C85" w:rsidRPr="00A50E4D" w:rsidRDefault="00BA3E5E" w:rsidP="00930C85">
      <w:pPr>
        <w:pStyle w:val="PrrafodeSentencia"/>
        <w:rPr>
          <w:lang w:val="en-US"/>
        </w:rPr>
      </w:pPr>
      <w:r w:rsidRPr="00A50E4D">
        <w:rPr>
          <w:lang w:val="en-US"/>
        </w:rPr>
        <w:t xml:space="preserve">In addition, the case file shows that, by means of an internal circular, the Judiciary’s Head of Personnel, “on instructions from his superior, […] invited the Judiciary’s officials and employees to take part in the “March for Peace </w:t>
      </w:r>
      <w:r w:rsidR="00700DEC" w:rsidRPr="00A50E4D">
        <w:rPr>
          <w:lang w:val="en-US"/>
        </w:rPr>
        <w:t>in Honduras</w:t>
      </w:r>
      <w:r w:rsidRPr="00A50E4D">
        <w:rPr>
          <w:lang w:val="en-US"/>
        </w:rPr>
        <w:t>” to</w:t>
      </w:r>
      <w:r w:rsidR="00930C85" w:rsidRPr="00A50E4D">
        <w:rPr>
          <w:lang w:val="en-US"/>
        </w:rPr>
        <w:t xml:space="preserve"> </w:t>
      </w:r>
      <w:r w:rsidRPr="00A50E4D">
        <w:rPr>
          <w:lang w:val="en-US"/>
        </w:rPr>
        <w:t xml:space="preserve">be held on </w:t>
      </w:r>
      <w:r w:rsidR="00C150F2" w:rsidRPr="00A50E4D">
        <w:rPr>
          <w:lang w:val="en-US"/>
        </w:rPr>
        <w:t>June</w:t>
      </w:r>
      <w:r w:rsidR="009D6A26" w:rsidRPr="00A50E4D">
        <w:rPr>
          <w:lang w:val="en-US"/>
        </w:rPr>
        <w:t xml:space="preserve"> 30,</w:t>
      </w:r>
      <w:r w:rsidRPr="00A50E4D">
        <w:rPr>
          <w:lang w:val="en-US"/>
        </w:rPr>
        <w:t xml:space="preserve"> 2009, in support of the new government.</w:t>
      </w:r>
      <w:r w:rsidR="00930C85" w:rsidRPr="00A50E4D">
        <w:rPr>
          <w:rStyle w:val="FootnoteReference"/>
          <w:rFonts w:cs="Arial"/>
          <w:sz w:val="20"/>
          <w:szCs w:val="20"/>
          <w:lang w:val="en-US"/>
        </w:rPr>
        <w:footnoteReference w:id="95"/>
      </w:r>
    </w:p>
    <w:p w14:paraId="69F2835F" w14:textId="77777777" w:rsidR="00930C85" w:rsidRPr="00A50E4D" w:rsidRDefault="00930C85" w:rsidP="00930C85">
      <w:pPr>
        <w:pStyle w:val="NoSpacing"/>
        <w:tabs>
          <w:tab w:val="left" w:pos="567"/>
        </w:tabs>
        <w:rPr>
          <w:spacing w:val="-4"/>
          <w:szCs w:val="20"/>
          <w:lang w:val="en-US"/>
        </w:rPr>
      </w:pPr>
    </w:p>
    <w:p w14:paraId="17A6BC7D" w14:textId="231B9FD8" w:rsidR="00930C85" w:rsidRPr="00A50E4D" w:rsidRDefault="00930C85" w:rsidP="00930C85">
      <w:pPr>
        <w:pStyle w:val="Heading3"/>
        <w:rPr>
          <w:spacing w:val="-4"/>
          <w:szCs w:val="20"/>
          <w:lang w:val="en-US"/>
        </w:rPr>
      </w:pPr>
      <w:bookmarkStart w:id="127" w:name="_Toc424834700"/>
      <w:bookmarkStart w:id="128" w:name="_Toc431584624"/>
      <w:bookmarkStart w:id="129" w:name="_Toc471717257"/>
      <w:r w:rsidRPr="00A50E4D">
        <w:rPr>
          <w:spacing w:val="-4"/>
          <w:szCs w:val="20"/>
          <w:lang w:val="en-US"/>
        </w:rPr>
        <w:t xml:space="preserve">A.4) </w:t>
      </w:r>
      <w:r w:rsidR="0048601C" w:rsidRPr="00A50E4D">
        <w:rPr>
          <w:spacing w:val="-4"/>
          <w:szCs w:val="20"/>
          <w:lang w:val="en-US"/>
        </w:rPr>
        <w:t>The Association of Judges</w:t>
      </w:r>
      <w:r w:rsidR="00371BB7" w:rsidRPr="00A50E4D">
        <w:rPr>
          <w:spacing w:val="-4"/>
          <w:szCs w:val="20"/>
          <w:lang w:val="en-US"/>
        </w:rPr>
        <w:t xml:space="preserve"> for Democracy</w:t>
      </w:r>
      <w:bookmarkEnd w:id="127"/>
      <w:bookmarkEnd w:id="128"/>
      <w:r w:rsidR="005443F4" w:rsidRPr="00A50E4D">
        <w:rPr>
          <w:spacing w:val="-4"/>
          <w:szCs w:val="20"/>
          <w:lang w:val="en-US"/>
        </w:rPr>
        <w:t xml:space="preserve"> (AJD)</w:t>
      </w:r>
      <w:bookmarkEnd w:id="129"/>
    </w:p>
    <w:p w14:paraId="7299CD3E" w14:textId="77777777" w:rsidR="00930C85" w:rsidRPr="00A50E4D" w:rsidRDefault="00930C85" w:rsidP="00930C85">
      <w:pPr>
        <w:rPr>
          <w:spacing w:val="-4"/>
          <w:szCs w:val="20"/>
          <w:lang w:val="en-US"/>
        </w:rPr>
      </w:pPr>
    </w:p>
    <w:p w14:paraId="1163A874" w14:textId="000F319A" w:rsidR="00930C85" w:rsidRPr="00A50E4D" w:rsidRDefault="005443F4" w:rsidP="00930C85">
      <w:pPr>
        <w:pStyle w:val="PrrafodeSentencia"/>
        <w:rPr>
          <w:lang w:val="en-US"/>
        </w:rPr>
      </w:pPr>
      <w:bookmarkStart w:id="130" w:name="_Ref431585994"/>
      <w:r w:rsidRPr="00A50E4D">
        <w:rPr>
          <w:lang w:val="en-US"/>
        </w:rPr>
        <w:t>All</w:t>
      </w:r>
      <w:r w:rsidR="00930C85" w:rsidRPr="00A50E4D">
        <w:rPr>
          <w:lang w:val="en-US"/>
        </w:rPr>
        <w:t xml:space="preserve"> </w:t>
      </w:r>
      <w:r w:rsidR="00371BB7" w:rsidRPr="00A50E4D">
        <w:rPr>
          <w:lang w:val="en-US"/>
        </w:rPr>
        <w:t>the presumed victims</w:t>
      </w:r>
      <w:r w:rsidR="00930C85" w:rsidRPr="00A50E4D">
        <w:rPr>
          <w:lang w:val="en-US"/>
        </w:rPr>
        <w:t xml:space="preserve"> </w:t>
      </w:r>
      <w:r w:rsidRPr="00A50E4D">
        <w:rPr>
          <w:lang w:val="en-US"/>
        </w:rPr>
        <w:t xml:space="preserve">in this case were members of the </w:t>
      </w:r>
      <w:r w:rsidR="00930C85" w:rsidRPr="00A50E4D">
        <w:rPr>
          <w:lang w:val="en-US"/>
        </w:rPr>
        <w:t xml:space="preserve">AJD. </w:t>
      </w:r>
      <w:r w:rsidRPr="00A50E4D">
        <w:rPr>
          <w:lang w:val="en-US"/>
        </w:rPr>
        <w:t xml:space="preserve">The association was founded on August 12, </w:t>
      </w:r>
      <w:r w:rsidR="00930C85" w:rsidRPr="00A50E4D">
        <w:rPr>
          <w:lang w:val="en-US"/>
        </w:rPr>
        <w:t>2006</w:t>
      </w:r>
      <w:r w:rsidRPr="00A50E4D">
        <w:rPr>
          <w:lang w:val="en-US"/>
        </w:rPr>
        <w:t>.</w:t>
      </w:r>
      <w:r w:rsidR="00930C85" w:rsidRPr="00A50E4D">
        <w:rPr>
          <w:rStyle w:val="FootnoteReference"/>
          <w:rFonts w:cs="Arial"/>
          <w:sz w:val="20"/>
          <w:szCs w:val="20"/>
          <w:lang w:val="en-US"/>
        </w:rPr>
        <w:footnoteReference w:id="96"/>
      </w:r>
      <w:r w:rsidRPr="00A50E4D">
        <w:rPr>
          <w:lang w:val="en-US"/>
        </w:rPr>
        <w:t xml:space="preserve"> According to its statutes, its basic purpose is “the defense, promotion and strengthening of the rule of law, s</w:t>
      </w:r>
      <w:r w:rsidR="00136120" w:rsidRPr="00A50E4D">
        <w:rPr>
          <w:lang w:val="en-US"/>
        </w:rPr>
        <w:t>pecifically the area of justice,</w:t>
      </w:r>
      <w:r w:rsidRPr="00A50E4D">
        <w:rPr>
          <w:lang w:val="en-US"/>
        </w:rPr>
        <w:t xml:space="preserve"> as well as</w:t>
      </w:r>
      <w:r w:rsidR="00136120" w:rsidRPr="00A50E4D">
        <w:rPr>
          <w:lang w:val="en-US"/>
        </w:rPr>
        <w:t xml:space="preserve"> respect for, and the independence of, </w:t>
      </w:r>
      <w:r w:rsidRPr="00A50E4D">
        <w:rPr>
          <w:lang w:val="en-US"/>
        </w:rPr>
        <w:t>the Honduran judiciary.”</w:t>
      </w:r>
      <w:r w:rsidR="00930C85" w:rsidRPr="00A50E4D">
        <w:rPr>
          <w:lang w:val="en-US"/>
        </w:rPr>
        <w:t xml:space="preserve"> </w:t>
      </w:r>
      <w:r w:rsidRPr="00A50E4D">
        <w:rPr>
          <w:lang w:val="en-US"/>
        </w:rPr>
        <w:t xml:space="preserve">Only judges and justices who are in active </w:t>
      </w:r>
      <w:r w:rsidR="000A786A" w:rsidRPr="00A50E4D">
        <w:rPr>
          <w:lang w:val="en-US"/>
        </w:rPr>
        <w:t>service</w:t>
      </w:r>
      <w:r w:rsidRPr="00A50E4D">
        <w:rPr>
          <w:lang w:val="en-US"/>
        </w:rPr>
        <w:t xml:space="preserve"> can be members of the association.</w:t>
      </w:r>
      <w:r w:rsidR="00930C85" w:rsidRPr="00A50E4D">
        <w:rPr>
          <w:rStyle w:val="FootnoteReference"/>
          <w:rFonts w:cs="Arial"/>
          <w:sz w:val="20"/>
          <w:szCs w:val="20"/>
          <w:lang w:val="en-US"/>
        </w:rPr>
        <w:footnoteReference w:id="97"/>
      </w:r>
      <w:bookmarkEnd w:id="130"/>
    </w:p>
    <w:p w14:paraId="37423764" w14:textId="77777777" w:rsidR="00930C85" w:rsidRPr="00A50E4D" w:rsidRDefault="00930C85" w:rsidP="00930C85">
      <w:pPr>
        <w:pStyle w:val="NoSpacing"/>
        <w:tabs>
          <w:tab w:val="left" w:pos="567"/>
        </w:tabs>
        <w:rPr>
          <w:spacing w:val="-4"/>
          <w:szCs w:val="20"/>
          <w:lang w:val="en-US"/>
        </w:rPr>
      </w:pPr>
    </w:p>
    <w:p w14:paraId="0253DB96" w14:textId="35D8BC73" w:rsidR="00930C85" w:rsidRPr="00A50E4D" w:rsidRDefault="005443F4" w:rsidP="00463B47">
      <w:pPr>
        <w:pStyle w:val="PrrafodeSentencia"/>
        <w:rPr>
          <w:lang w:val="en-US"/>
        </w:rPr>
      </w:pPr>
      <w:bookmarkStart w:id="131" w:name="_Ref431473536"/>
      <w:r w:rsidRPr="00A50E4D">
        <w:rPr>
          <w:lang w:val="en-US"/>
        </w:rPr>
        <w:t xml:space="preserve">In response to the events of June 2009, the AJD issued a communiqué on </w:t>
      </w:r>
      <w:r w:rsidR="000F731B" w:rsidRPr="00A50E4D">
        <w:rPr>
          <w:lang w:val="en-US"/>
        </w:rPr>
        <w:t>July 28,</w:t>
      </w:r>
      <w:r w:rsidR="00930C85" w:rsidRPr="00A50E4D">
        <w:rPr>
          <w:lang w:val="en-US"/>
        </w:rPr>
        <w:t xml:space="preserve"> 2009</w:t>
      </w:r>
      <w:r w:rsidR="00136120" w:rsidRPr="00A50E4D">
        <w:rPr>
          <w:lang w:val="en-US"/>
        </w:rPr>
        <w:t>, indic</w:t>
      </w:r>
      <w:r w:rsidRPr="00A50E4D">
        <w:rPr>
          <w:lang w:val="en-US"/>
        </w:rPr>
        <w:t xml:space="preserve">ating its “profound concern [for] the situation of illegality </w:t>
      </w:r>
      <w:r w:rsidR="00136120" w:rsidRPr="00A50E4D">
        <w:rPr>
          <w:lang w:val="en-US"/>
        </w:rPr>
        <w:t>and the</w:t>
      </w:r>
      <w:r w:rsidR="00463B47" w:rsidRPr="00A50E4D">
        <w:rPr>
          <w:lang w:val="en-US"/>
        </w:rPr>
        <w:t xml:space="preserve"> </w:t>
      </w:r>
      <w:r w:rsidR="00136120" w:rsidRPr="00A50E4D">
        <w:rPr>
          <w:lang w:val="en-US"/>
        </w:rPr>
        <w:t>collapse</w:t>
      </w:r>
      <w:r w:rsidR="00463B47" w:rsidRPr="00A50E4D">
        <w:rPr>
          <w:lang w:val="en-US"/>
        </w:rPr>
        <w:t xml:space="preserve"> of all the institutions.” It also </w:t>
      </w:r>
      <w:r w:rsidR="00136120" w:rsidRPr="00A50E4D">
        <w:rPr>
          <w:lang w:val="en-US"/>
        </w:rPr>
        <w:t>asserted</w:t>
      </w:r>
      <w:r w:rsidR="00463B47" w:rsidRPr="00A50E4D">
        <w:rPr>
          <w:lang w:val="en-US"/>
        </w:rPr>
        <w:t xml:space="preserve"> that it “hope[d] that the Judiciary and, in particular, the Supreme Court of Justice, w[ould] fulfill the</w:t>
      </w:r>
      <w:r w:rsidR="00136120" w:rsidRPr="00A50E4D">
        <w:rPr>
          <w:lang w:val="en-US"/>
        </w:rPr>
        <w:t>ir</w:t>
      </w:r>
      <w:r w:rsidR="00463B47" w:rsidRPr="00A50E4D">
        <w:rPr>
          <w:lang w:val="en-US"/>
        </w:rPr>
        <w:t xml:space="preserve"> role of guaranteeing fundamental rights and placi</w:t>
      </w:r>
      <w:r w:rsidR="00136120" w:rsidRPr="00A50E4D">
        <w:rPr>
          <w:lang w:val="en-US"/>
        </w:rPr>
        <w:t>ng a limit on other s</w:t>
      </w:r>
      <w:r w:rsidR="00463B47" w:rsidRPr="00A50E4D">
        <w:rPr>
          <w:lang w:val="en-US"/>
        </w:rPr>
        <w:t>tate</w:t>
      </w:r>
      <w:r w:rsidR="00136120" w:rsidRPr="00A50E4D">
        <w:rPr>
          <w:lang w:val="en-US"/>
        </w:rPr>
        <w:t xml:space="preserve"> authorities</w:t>
      </w:r>
      <w:r w:rsidR="00463B47" w:rsidRPr="00A50E4D">
        <w:rPr>
          <w:lang w:val="en-US"/>
        </w:rPr>
        <w:t>, exercising a jurisdictional role that, together with other actors, permits the return of the constitutional order.</w:t>
      </w:r>
      <w:r w:rsidR="00930C85" w:rsidRPr="00A50E4D">
        <w:rPr>
          <w:lang w:val="en-US"/>
        </w:rPr>
        <w:t>”</w:t>
      </w:r>
      <w:r w:rsidR="00930C85" w:rsidRPr="00A50E4D">
        <w:rPr>
          <w:rStyle w:val="FootnoteReference"/>
          <w:rFonts w:cs="Arial"/>
          <w:sz w:val="20"/>
          <w:szCs w:val="20"/>
          <w:lang w:val="en-US"/>
        </w:rPr>
        <w:footnoteReference w:id="98"/>
      </w:r>
      <w:r w:rsidR="00930C85" w:rsidRPr="00A50E4D">
        <w:rPr>
          <w:lang w:val="en-US"/>
        </w:rPr>
        <w:t xml:space="preserve"> </w:t>
      </w:r>
      <w:r w:rsidR="00463B47" w:rsidRPr="00A50E4D">
        <w:rPr>
          <w:lang w:val="en-US"/>
        </w:rPr>
        <w:t xml:space="preserve">In subsequent communications, it condemned “the unlawful detention and mistreatment suffered” by </w:t>
      </w:r>
      <w:r w:rsidR="00930C85" w:rsidRPr="00A50E4D">
        <w:rPr>
          <w:lang w:val="en-US"/>
        </w:rPr>
        <w:t xml:space="preserve">Luis Alonso </w:t>
      </w:r>
      <w:r w:rsidR="009A7056" w:rsidRPr="00A50E4D">
        <w:rPr>
          <w:lang w:val="en-US"/>
        </w:rPr>
        <w:t>Chévez de la Rocha</w:t>
      </w:r>
      <w:r w:rsidR="00463B47" w:rsidRPr="00A50E4D">
        <w:rPr>
          <w:lang w:val="en-US"/>
        </w:rPr>
        <w:t>,</w:t>
      </w:r>
      <w:r w:rsidR="00930C85" w:rsidRPr="00A50E4D">
        <w:rPr>
          <w:rStyle w:val="FootnoteReference"/>
          <w:rFonts w:cs="Arial"/>
          <w:sz w:val="20"/>
          <w:szCs w:val="20"/>
          <w:lang w:val="en-US"/>
        </w:rPr>
        <w:footnoteReference w:id="99"/>
      </w:r>
      <w:r w:rsidR="00463B47" w:rsidRPr="00A50E4D">
        <w:rPr>
          <w:lang w:val="en-US"/>
        </w:rPr>
        <w:t xml:space="preserve"> presumed victim in this case, as well as the disciplinary proceedings against </w:t>
      </w:r>
      <w:r w:rsidR="00371BB7" w:rsidRPr="00A50E4D">
        <w:rPr>
          <w:lang w:val="en-US"/>
        </w:rPr>
        <w:t>the presumed victims</w:t>
      </w:r>
      <w:r w:rsidR="009808C5" w:rsidRPr="00A50E4D">
        <w:rPr>
          <w:lang w:val="en-US"/>
        </w:rPr>
        <w:t xml:space="preserve"> </w:t>
      </w:r>
      <w:r w:rsidR="00463B47" w:rsidRPr="00A50E4D">
        <w:rPr>
          <w:lang w:val="en-US"/>
        </w:rPr>
        <w:t xml:space="preserve">and other judicial officials </w:t>
      </w:r>
      <w:r w:rsidR="00930C85" w:rsidRPr="00A50E4D">
        <w:rPr>
          <w:lang w:val="en-US"/>
        </w:rPr>
        <w:t>(</w:t>
      </w:r>
      <w:r w:rsidR="00930C85" w:rsidRPr="00A50E4D">
        <w:rPr>
          <w:i/>
          <w:lang w:val="en-US"/>
        </w:rPr>
        <w:t xml:space="preserve">infra </w:t>
      </w:r>
      <w:r w:rsidR="00AD5EE7" w:rsidRPr="00A50E4D">
        <w:rPr>
          <w:lang w:val="en-US"/>
        </w:rPr>
        <w:t>paras.</w:t>
      </w:r>
      <w:r w:rsidR="00930C85" w:rsidRPr="00A50E4D">
        <w:rPr>
          <w:lang w:val="en-US"/>
        </w:rPr>
        <w:t xml:space="preserve"> </w:t>
      </w:r>
      <w:r w:rsidR="00930C85" w:rsidRPr="00914F55">
        <w:rPr>
          <w:lang w:val="en-US"/>
        </w:rPr>
        <w:fldChar w:fldCharType="begin"/>
      </w:r>
      <w:r w:rsidR="00930C85" w:rsidRPr="00A50E4D">
        <w:rPr>
          <w:lang w:val="en-US"/>
        </w:rPr>
        <w:instrText xml:space="preserve"> REF _Ref425954384 \r \h  \* MERGEFORMAT </w:instrText>
      </w:r>
      <w:r w:rsidR="00930C85" w:rsidRPr="00914F55">
        <w:rPr>
          <w:lang w:val="en-US"/>
        </w:rPr>
      </w:r>
      <w:r w:rsidR="00930C85" w:rsidRPr="00914F55">
        <w:rPr>
          <w:lang w:val="en-US"/>
        </w:rPr>
        <w:fldChar w:fldCharType="separate"/>
      </w:r>
      <w:r w:rsidR="00547588">
        <w:rPr>
          <w:lang w:val="en-US"/>
        </w:rPr>
        <w:t>86</w:t>
      </w:r>
      <w:r w:rsidR="00930C85" w:rsidRPr="00914F55">
        <w:rPr>
          <w:lang w:val="en-US"/>
        </w:rPr>
        <w:fldChar w:fldCharType="end"/>
      </w:r>
      <w:r w:rsidR="00463B47" w:rsidRPr="00A50E4D">
        <w:rPr>
          <w:lang w:val="en-US"/>
        </w:rPr>
        <w:t xml:space="preserve"> to</w:t>
      </w:r>
      <w:r w:rsidR="00930C85" w:rsidRPr="00A50E4D">
        <w:rPr>
          <w:lang w:val="en-US"/>
        </w:rPr>
        <w:t xml:space="preserve"> </w:t>
      </w:r>
      <w:r w:rsidR="00930C85" w:rsidRPr="00914F55">
        <w:rPr>
          <w:lang w:val="en-US"/>
        </w:rPr>
        <w:fldChar w:fldCharType="begin"/>
      </w:r>
      <w:r w:rsidR="00930C85" w:rsidRPr="00A50E4D">
        <w:rPr>
          <w:lang w:val="en-US"/>
        </w:rPr>
        <w:instrText xml:space="preserve"> REF _Ref431400542 \r \h  \* MERGEFORMAT </w:instrText>
      </w:r>
      <w:r w:rsidR="00930C85" w:rsidRPr="00914F55">
        <w:rPr>
          <w:lang w:val="en-US"/>
        </w:rPr>
      </w:r>
      <w:r w:rsidR="00930C85" w:rsidRPr="00914F55">
        <w:rPr>
          <w:lang w:val="en-US"/>
        </w:rPr>
        <w:fldChar w:fldCharType="separate"/>
      </w:r>
      <w:r w:rsidR="00547588">
        <w:rPr>
          <w:lang w:val="en-US"/>
        </w:rPr>
        <w:t>147</w:t>
      </w:r>
      <w:r w:rsidR="00930C85" w:rsidRPr="00914F55">
        <w:rPr>
          <w:lang w:val="en-US"/>
        </w:rPr>
        <w:fldChar w:fldCharType="end"/>
      </w:r>
      <w:r w:rsidR="00930C85" w:rsidRPr="00A50E4D">
        <w:rPr>
          <w:lang w:val="en-US"/>
        </w:rPr>
        <w:t>)</w:t>
      </w:r>
      <w:r w:rsidR="00463B47" w:rsidRPr="00A50E4D">
        <w:rPr>
          <w:lang w:val="en-US"/>
        </w:rPr>
        <w:t>.</w:t>
      </w:r>
      <w:r w:rsidR="00930C85" w:rsidRPr="00A50E4D">
        <w:rPr>
          <w:rStyle w:val="FootnoteReference"/>
          <w:rFonts w:cs="Arial"/>
          <w:sz w:val="20"/>
          <w:szCs w:val="20"/>
          <w:lang w:val="en-US"/>
        </w:rPr>
        <w:footnoteReference w:id="100"/>
      </w:r>
      <w:bookmarkEnd w:id="131"/>
    </w:p>
    <w:p w14:paraId="661BBE51" w14:textId="77777777" w:rsidR="00930C85" w:rsidRPr="00A50E4D" w:rsidRDefault="00930C85" w:rsidP="00930C85">
      <w:pPr>
        <w:pStyle w:val="NoSpacing"/>
        <w:tabs>
          <w:tab w:val="left" w:pos="567"/>
        </w:tabs>
        <w:rPr>
          <w:b/>
          <w:color w:val="00B050"/>
          <w:spacing w:val="-4"/>
          <w:szCs w:val="20"/>
          <w:lang w:val="en-US"/>
        </w:rPr>
      </w:pPr>
    </w:p>
    <w:p w14:paraId="51610570" w14:textId="45D78844" w:rsidR="00930C85" w:rsidRPr="00A50E4D" w:rsidRDefault="00930C85" w:rsidP="00930C85">
      <w:pPr>
        <w:pStyle w:val="Heading2"/>
        <w:rPr>
          <w:lang w:val="en-US"/>
        </w:rPr>
      </w:pPr>
      <w:bookmarkStart w:id="132" w:name="_Toc424834701"/>
      <w:bookmarkStart w:id="133" w:name="_Toc431584625"/>
      <w:bookmarkStart w:id="134" w:name="_Toc471717258"/>
      <w:r w:rsidRPr="00A50E4D">
        <w:rPr>
          <w:rStyle w:val="Heading2Char"/>
          <w:b/>
          <w:i/>
          <w:lang w:val="en-US"/>
        </w:rPr>
        <w:t>B)</w:t>
      </w:r>
      <w:r w:rsidRPr="00A50E4D">
        <w:rPr>
          <w:lang w:val="en-US"/>
        </w:rPr>
        <w:t xml:space="preserve"> </w:t>
      </w:r>
      <w:r w:rsidR="00463B47" w:rsidRPr="00A50E4D">
        <w:rPr>
          <w:lang w:val="en-US"/>
        </w:rPr>
        <w:t>Legal framework</w:t>
      </w:r>
      <w:bookmarkEnd w:id="132"/>
      <w:bookmarkEnd w:id="133"/>
      <w:bookmarkEnd w:id="134"/>
    </w:p>
    <w:p w14:paraId="121A8CA1" w14:textId="77777777" w:rsidR="00930C85" w:rsidRPr="00A50E4D" w:rsidRDefault="00930C85" w:rsidP="00930C85">
      <w:pPr>
        <w:rPr>
          <w:spacing w:val="-4"/>
          <w:szCs w:val="20"/>
          <w:lang w:val="en-US"/>
        </w:rPr>
      </w:pPr>
    </w:p>
    <w:p w14:paraId="1F91C865" w14:textId="6C43E40C" w:rsidR="00930C85" w:rsidRPr="00A50E4D" w:rsidRDefault="00277E12" w:rsidP="00930C85">
      <w:pPr>
        <w:pStyle w:val="PrrafodeSentencia"/>
        <w:rPr>
          <w:lang w:val="en-US"/>
        </w:rPr>
      </w:pPr>
      <w:bookmarkStart w:id="135" w:name="_Ref424808616"/>
      <w:r w:rsidRPr="00A50E4D">
        <w:rPr>
          <w:lang w:val="en-US"/>
        </w:rPr>
        <w:t xml:space="preserve">This section describes the </w:t>
      </w:r>
      <w:r w:rsidR="00136120" w:rsidRPr="00A50E4D">
        <w:rPr>
          <w:lang w:val="en-US"/>
        </w:rPr>
        <w:t>laws and regulations</w:t>
      </w:r>
      <w:r w:rsidRPr="00A50E4D">
        <w:rPr>
          <w:lang w:val="en-US"/>
        </w:rPr>
        <w:t xml:space="preserve"> used by the State authorities and organs that intervened in the disciplinary proceedings against </w:t>
      </w:r>
      <w:r w:rsidR="00136120" w:rsidRPr="00A50E4D">
        <w:rPr>
          <w:lang w:val="en-US"/>
        </w:rPr>
        <w:t>the presumed victims that</w:t>
      </w:r>
      <w:r w:rsidRPr="00A50E4D">
        <w:rPr>
          <w:lang w:val="en-US"/>
        </w:rPr>
        <w:t xml:space="preserve"> are relevant for analyzing the international responsibility </w:t>
      </w:r>
      <w:r w:rsidR="009808C5" w:rsidRPr="00A50E4D">
        <w:rPr>
          <w:lang w:val="en-US"/>
        </w:rPr>
        <w:t>of the State</w:t>
      </w:r>
      <w:r w:rsidR="00930C85" w:rsidRPr="00A50E4D">
        <w:rPr>
          <w:lang w:val="en-US"/>
        </w:rPr>
        <w:t xml:space="preserve"> </w:t>
      </w:r>
      <w:r w:rsidRPr="00A50E4D">
        <w:rPr>
          <w:lang w:val="en-US"/>
        </w:rPr>
        <w:t>in this case</w:t>
      </w:r>
      <w:r w:rsidR="00930C85" w:rsidRPr="00A50E4D">
        <w:rPr>
          <w:lang w:val="en-US"/>
        </w:rPr>
        <w:t xml:space="preserve">. </w:t>
      </w:r>
      <w:r w:rsidRPr="00A50E4D">
        <w:rPr>
          <w:lang w:val="en-US"/>
        </w:rPr>
        <w:t xml:space="preserve">In this regard, at the time of the </w:t>
      </w:r>
      <w:r w:rsidRPr="00A50E4D">
        <w:rPr>
          <w:lang w:val="en-US"/>
        </w:rPr>
        <w:lastRenderedPageBreak/>
        <w:t xml:space="preserve">events, the 1982 Constitution </w:t>
      </w:r>
      <w:r w:rsidR="00700DEC" w:rsidRPr="00A50E4D">
        <w:rPr>
          <w:lang w:val="en-US"/>
        </w:rPr>
        <w:t>of the Republic</w:t>
      </w:r>
      <w:r w:rsidR="00930C85" w:rsidRPr="00A50E4D">
        <w:rPr>
          <w:lang w:val="en-US"/>
        </w:rPr>
        <w:t xml:space="preserve"> Honduras </w:t>
      </w:r>
      <w:r w:rsidR="00136120" w:rsidRPr="00A50E4D">
        <w:rPr>
          <w:lang w:val="en-US"/>
        </w:rPr>
        <w:t>a</w:t>
      </w:r>
      <w:r w:rsidR="004008AE" w:rsidRPr="00A50E4D">
        <w:rPr>
          <w:lang w:val="en-US"/>
        </w:rPr>
        <w:t>s amended up until</w:t>
      </w:r>
      <w:r w:rsidR="00D03F60" w:rsidRPr="00A50E4D">
        <w:rPr>
          <w:lang w:val="en-US"/>
        </w:rPr>
        <w:t xml:space="preserve"> January 20,</w:t>
      </w:r>
      <w:r w:rsidR="00930C85" w:rsidRPr="00A50E4D">
        <w:rPr>
          <w:lang w:val="en-US"/>
        </w:rPr>
        <w:t xml:space="preserve"> 2006 (</w:t>
      </w:r>
      <w:r w:rsidR="009808C5" w:rsidRPr="00A50E4D">
        <w:rPr>
          <w:lang w:val="en-US"/>
        </w:rPr>
        <w:t>hereinafter</w:t>
      </w:r>
      <w:r w:rsidR="00930C85" w:rsidRPr="00A50E4D">
        <w:rPr>
          <w:lang w:val="en-US"/>
        </w:rPr>
        <w:t xml:space="preserve"> “</w:t>
      </w:r>
      <w:r w:rsidR="00314E4B" w:rsidRPr="00A50E4D">
        <w:rPr>
          <w:lang w:val="en-US"/>
        </w:rPr>
        <w:t>the Constitution</w:t>
      </w:r>
      <w:r w:rsidR="00930C85" w:rsidRPr="00A50E4D">
        <w:rPr>
          <w:lang w:val="en-US"/>
        </w:rPr>
        <w:t>”)</w:t>
      </w:r>
      <w:r w:rsidRPr="00A50E4D">
        <w:rPr>
          <w:lang w:val="en-US"/>
        </w:rPr>
        <w:t>, was in force</w:t>
      </w:r>
      <w:r w:rsidR="00930C85" w:rsidRPr="00A50E4D">
        <w:rPr>
          <w:lang w:val="en-US"/>
        </w:rPr>
        <w:t>.</w:t>
      </w:r>
      <w:r w:rsidRPr="00A50E4D">
        <w:rPr>
          <w:lang w:val="en-US"/>
        </w:rPr>
        <w:t xml:space="preserve"> This Constitution established the creation of a</w:t>
      </w:r>
      <w:r w:rsidR="004008AE" w:rsidRPr="00A50E4D">
        <w:rPr>
          <w:lang w:val="en-US"/>
        </w:rPr>
        <w:t xml:space="preserve"> Council of the</w:t>
      </w:r>
      <w:r w:rsidRPr="00A50E4D">
        <w:rPr>
          <w:lang w:val="en-US"/>
        </w:rPr>
        <w:t xml:space="preserve"> Judiciary </w:t>
      </w:r>
      <w:r w:rsidR="009808C5" w:rsidRPr="00A50E4D">
        <w:rPr>
          <w:lang w:val="en-US"/>
        </w:rPr>
        <w:t>and</w:t>
      </w:r>
      <w:r w:rsidRPr="00A50E4D">
        <w:rPr>
          <w:lang w:val="en-US"/>
        </w:rPr>
        <w:t xml:space="preserve"> the enactment of a law to regulate its organization, scope and faculties.</w:t>
      </w:r>
      <w:r w:rsidR="00930C85" w:rsidRPr="00A50E4D">
        <w:rPr>
          <w:rStyle w:val="FootnoteReference"/>
          <w:rFonts w:cs="Arial"/>
          <w:sz w:val="20"/>
          <w:szCs w:val="20"/>
          <w:lang w:val="en-US"/>
        </w:rPr>
        <w:footnoteReference w:id="101"/>
      </w:r>
      <w:r w:rsidRPr="00A50E4D">
        <w:rPr>
          <w:lang w:val="en-US"/>
        </w:rPr>
        <w:t xml:space="preserve"> However, at the time of the events</w:t>
      </w:r>
      <w:r w:rsidR="004008AE" w:rsidRPr="00A50E4D">
        <w:rPr>
          <w:lang w:val="en-US"/>
        </w:rPr>
        <w:t>, that law had not been enacted;</w:t>
      </w:r>
      <w:r w:rsidRPr="00A50E4D">
        <w:rPr>
          <w:lang w:val="en-US"/>
        </w:rPr>
        <w:t xml:space="preserve"> </w:t>
      </w:r>
      <w:r w:rsidR="004008AE" w:rsidRPr="00A50E4D">
        <w:rPr>
          <w:lang w:val="en-US"/>
        </w:rPr>
        <w:t xml:space="preserve">thus </w:t>
      </w:r>
      <w:r w:rsidRPr="00A50E4D">
        <w:rPr>
          <w:lang w:val="en-US"/>
        </w:rPr>
        <w:t>the 1980 Judicial Service Act</w:t>
      </w:r>
      <w:r w:rsidR="00930C85" w:rsidRPr="00A50E4D">
        <w:rPr>
          <w:lang w:val="en-US"/>
        </w:rPr>
        <w:t xml:space="preserve"> </w:t>
      </w:r>
      <w:r w:rsidRPr="00A50E4D">
        <w:rPr>
          <w:lang w:val="en-US"/>
        </w:rPr>
        <w:t>and its 1987 Regulations were applicable.</w:t>
      </w:r>
      <w:r w:rsidR="00930C85" w:rsidRPr="00A50E4D">
        <w:rPr>
          <w:rStyle w:val="FootnoteReference"/>
          <w:sz w:val="20"/>
          <w:szCs w:val="20"/>
          <w:lang w:val="en-US"/>
        </w:rPr>
        <w:footnoteReference w:id="102"/>
      </w:r>
      <w:r w:rsidRPr="00A50E4D">
        <w:rPr>
          <w:lang w:val="en-US"/>
        </w:rPr>
        <w:t xml:space="preserve"> In addition, according to information provided by the parties, the following were also applicable: the 1906 </w:t>
      </w:r>
      <w:r w:rsidR="000F4023" w:rsidRPr="00A50E4D">
        <w:rPr>
          <w:lang w:val="en-US"/>
        </w:rPr>
        <w:t>Law on the Organization and Faculties of the Courts</w:t>
      </w:r>
      <w:r w:rsidR="00136120" w:rsidRPr="00A50E4D">
        <w:rPr>
          <w:lang w:val="en-US"/>
        </w:rPr>
        <w:t xml:space="preserve"> (as amended</w:t>
      </w:r>
      <w:r w:rsidRPr="00A50E4D">
        <w:rPr>
          <w:lang w:val="en-US"/>
        </w:rPr>
        <w:t xml:space="preserve"> </w:t>
      </w:r>
      <w:r w:rsidR="00136120" w:rsidRPr="00A50E4D">
        <w:rPr>
          <w:lang w:val="en-US"/>
        </w:rPr>
        <w:t xml:space="preserve">up until </w:t>
      </w:r>
      <w:r w:rsidR="00930C85" w:rsidRPr="00A50E4D">
        <w:rPr>
          <w:lang w:val="en-US"/>
        </w:rPr>
        <w:t xml:space="preserve">1988), </w:t>
      </w:r>
      <w:r w:rsidR="006A756C" w:rsidRPr="00A50E4D">
        <w:rPr>
          <w:lang w:val="en-US"/>
        </w:rPr>
        <w:t>the</w:t>
      </w:r>
      <w:r w:rsidRPr="00A50E4D">
        <w:rPr>
          <w:lang w:val="en-US"/>
        </w:rPr>
        <w:t xml:space="preserve"> 1988</w:t>
      </w:r>
      <w:r w:rsidR="006A756C" w:rsidRPr="00A50E4D">
        <w:rPr>
          <w:lang w:val="en-US"/>
        </w:rPr>
        <w:t xml:space="preserve"> </w:t>
      </w:r>
      <w:r w:rsidR="000E6A0D" w:rsidRPr="00A50E4D">
        <w:rPr>
          <w:lang w:val="en-US"/>
        </w:rPr>
        <w:t>rules of procedure</w:t>
      </w:r>
      <w:r w:rsidR="00EB6155" w:rsidRPr="00A50E4D">
        <w:rPr>
          <w:lang w:val="en-US"/>
        </w:rPr>
        <w:t xml:space="preserve"> of the Judicial Service </w:t>
      </w:r>
      <w:r w:rsidR="000A786A" w:rsidRPr="00A50E4D">
        <w:rPr>
          <w:lang w:val="en-US"/>
        </w:rPr>
        <w:t>Council,</w:t>
      </w:r>
      <w:r w:rsidR="00930C85" w:rsidRPr="00A50E4D">
        <w:rPr>
          <w:lang w:val="en-US"/>
        </w:rPr>
        <w:t xml:space="preserve"> </w:t>
      </w:r>
      <w:r w:rsidR="009808C5" w:rsidRPr="00A50E4D">
        <w:rPr>
          <w:lang w:val="en-US"/>
        </w:rPr>
        <w:t xml:space="preserve">and the </w:t>
      </w:r>
      <w:r w:rsidRPr="00A50E4D">
        <w:rPr>
          <w:lang w:val="en-US"/>
        </w:rPr>
        <w:t xml:space="preserve">1995 </w:t>
      </w:r>
      <w:r w:rsidR="004008AE" w:rsidRPr="00A50E4D">
        <w:rPr>
          <w:lang w:val="en-US"/>
        </w:rPr>
        <w:t>r</w:t>
      </w:r>
      <w:r w:rsidR="000F4023" w:rsidRPr="00A50E4D">
        <w:rPr>
          <w:lang w:val="en-US"/>
        </w:rPr>
        <w:t>ules of procedure</w:t>
      </w:r>
      <w:r w:rsidR="0047350B" w:rsidRPr="00A50E4D">
        <w:rPr>
          <w:lang w:val="en-US"/>
        </w:rPr>
        <w:t xml:space="preserve"> of the General</w:t>
      </w:r>
      <w:r w:rsidRPr="00A50E4D">
        <w:rPr>
          <w:lang w:val="en-US"/>
        </w:rPr>
        <w:t xml:space="preserve"> Inspectorate of Courts.</w:t>
      </w:r>
      <w:r w:rsidR="00930C85" w:rsidRPr="00A50E4D">
        <w:rPr>
          <w:rStyle w:val="FootnoteReference"/>
          <w:sz w:val="20"/>
          <w:szCs w:val="20"/>
          <w:lang w:val="en-US"/>
        </w:rPr>
        <w:footnoteReference w:id="103"/>
      </w:r>
      <w:bookmarkEnd w:id="135"/>
      <w:r w:rsidR="00930C85" w:rsidRPr="00A50E4D">
        <w:rPr>
          <w:lang w:val="en-US"/>
        </w:rPr>
        <w:t xml:space="preserve"> </w:t>
      </w:r>
    </w:p>
    <w:p w14:paraId="36C17E3E" w14:textId="77777777" w:rsidR="00930C85" w:rsidRPr="00A50E4D" w:rsidRDefault="00930C85" w:rsidP="00930C85">
      <w:pPr>
        <w:pStyle w:val="NoSpacing"/>
        <w:tabs>
          <w:tab w:val="left" w:pos="567"/>
        </w:tabs>
        <w:rPr>
          <w:spacing w:val="-4"/>
          <w:szCs w:val="20"/>
          <w:lang w:val="en-US"/>
        </w:rPr>
      </w:pPr>
    </w:p>
    <w:p w14:paraId="3814E92A" w14:textId="020B1DF7" w:rsidR="00930C85" w:rsidRPr="00A50E4D" w:rsidRDefault="00277E12" w:rsidP="00930C85">
      <w:pPr>
        <w:pStyle w:val="PrrafodeSentencia"/>
        <w:rPr>
          <w:lang w:val="en-US"/>
        </w:rPr>
      </w:pPr>
      <w:r w:rsidRPr="00A50E4D">
        <w:rPr>
          <w:lang w:val="en-US"/>
        </w:rPr>
        <w:t>In addition to these norms, the authorities who decided the disciplinary proceedings against</w:t>
      </w:r>
      <w:r w:rsidR="00930C85" w:rsidRPr="00A50E4D">
        <w:rPr>
          <w:lang w:val="en-US"/>
        </w:rPr>
        <w:t xml:space="preserve"> </w:t>
      </w:r>
      <w:r w:rsidR="00371BB7" w:rsidRPr="00A50E4D">
        <w:rPr>
          <w:lang w:val="en-US"/>
        </w:rPr>
        <w:t>the presumed victims</w:t>
      </w:r>
      <w:r w:rsidR="00930C85" w:rsidRPr="00A50E4D">
        <w:rPr>
          <w:lang w:val="en-US"/>
        </w:rPr>
        <w:t xml:space="preserve"> </w:t>
      </w:r>
      <w:r w:rsidRPr="00A50E4D">
        <w:rPr>
          <w:lang w:val="en-US"/>
        </w:rPr>
        <w:t>applied the Code of Ethics for Judicial Officials and Employees,</w:t>
      </w:r>
      <w:r w:rsidR="00930C85" w:rsidRPr="00A50E4D">
        <w:rPr>
          <w:rStyle w:val="FootnoteReference"/>
          <w:rFonts w:cs="Arial"/>
          <w:sz w:val="20"/>
          <w:szCs w:val="20"/>
          <w:lang w:val="en-US"/>
        </w:rPr>
        <w:footnoteReference w:id="104"/>
      </w:r>
      <w:r w:rsidRPr="00A50E4D">
        <w:rPr>
          <w:lang w:val="en-US"/>
        </w:rPr>
        <w:t xml:space="preserve"> the Ibero-American Model Code of Judicial Ethics,</w:t>
      </w:r>
      <w:r w:rsidR="00930C85" w:rsidRPr="00A50E4D">
        <w:rPr>
          <w:rStyle w:val="FootnoteReference"/>
          <w:rFonts w:cs="Arial"/>
          <w:sz w:val="20"/>
          <w:szCs w:val="20"/>
          <w:lang w:val="en-US"/>
        </w:rPr>
        <w:footnoteReference w:id="105"/>
      </w:r>
      <w:r w:rsidR="009808C5" w:rsidRPr="00A50E4D">
        <w:rPr>
          <w:lang w:val="en-US"/>
        </w:rPr>
        <w:t xml:space="preserve"> and </w:t>
      </w:r>
      <w:r w:rsidRPr="00A50E4D">
        <w:rPr>
          <w:lang w:val="en-US"/>
        </w:rPr>
        <w:t xml:space="preserve">the Statute of the Ibero-American </w:t>
      </w:r>
      <w:r w:rsidR="009808C5" w:rsidRPr="00A50E4D">
        <w:rPr>
          <w:lang w:val="en-US"/>
        </w:rPr>
        <w:t>Judge</w:t>
      </w:r>
      <w:r w:rsidRPr="00A50E4D">
        <w:rPr>
          <w:lang w:val="en-US"/>
        </w:rPr>
        <w:t>.</w:t>
      </w:r>
      <w:r w:rsidR="00930C85" w:rsidRPr="00A50E4D">
        <w:rPr>
          <w:rStyle w:val="FootnoteReference"/>
          <w:rFonts w:cs="Arial"/>
          <w:sz w:val="20"/>
          <w:szCs w:val="20"/>
          <w:lang w:val="en-US"/>
        </w:rPr>
        <w:footnoteReference w:id="106"/>
      </w:r>
      <w:r w:rsidR="00930C85" w:rsidRPr="00A50E4D">
        <w:rPr>
          <w:lang w:val="en-US"/>
        </w:rPr>
        <w:t xml:space="preserve"> </w:t>
      </w:r>
    </w:p>
    <w:p w14:paraId="1541C587" w14:textId="77777777" w:rsidR="00930C85" w:rsidRPr="00A50E4D" w:rsidRDefault="00930C85" w:rsidP="00930C85">
      <w:pPr>
        <w:rPr>
          <w:spacing w:val="-4"/>
          <w:lang w:val="en-US"/>
        </w:rPr>
      </w:pPr>
    </w:p>
    <w:p w14:paraId="17439AA5" w14:textId="33959D28" w:rsidR="00930C85" w:rsidRPr="00A50E4D" w:rsidRDefault="00930C85" w:rsidP="00930C85">
      <w:pPr>
        <w:pStyle w:val="Heading3"/>
        <w:rPr>
          <w:lang w:val="en-US"/>
        </w:rPr>
      </w:pPr>
      <w:bookmarkStart w:id="136" w:name="_Toc431584626"/>
      <w:bookmarkStart w:id="137" w:name="_Toc471717259"/>
      <w:r w:rsidRPr="00A50E4D">
        <w:rPr>
          <w:lang w:val="en-US"/>
        </w:rPr>
        <w:t xml:space="preserve">B.1) </w:t>
      </w:r>
      <w:r w:rsidR="00B906E2" w:rsidRPr="00A50E4D">
        <w:rPr>
          <w:lang w:val="en-US"/>
        </w:rPr>
        <w:t xml:space="preserve">Rights and </w:t>
      </w:r>
      <w:r w:rsidR="000F4023" w:rsidRPr="00A50E4D">
        <w:rPr>
          <w:lang w:val="en-US"/>
        </w:rPr>
        <w:t>duties</w:t>
      </w:r>
      <w:r w:rsidR="00B906E2" w:rsidRPr="00A50E4D">
        <w:rPr>
          <w:lang w:val="en-US"/>
        </w:rPr>
        <w:t xml:space="preserve"> of judges and </w:t>
      </w:r>
      <w:r w:rsidR="002876E8" w:rsidRPr="00A50E4D">
        <w:rPr>
          <w:lang w:val="en-US"/>
        </w:rPr>
        <w:t>incompatibilities with the office</w:t>
      </w:r>
      <w:bookmarkEnd w:id="136"/>
      <w:bookmarkEnd w:id="137"/>
    </w:p>
    <w:p w14:paraId="1790742D" w14:textId="77777777" w:rsidR="00930C85" w:rsidRPr="00A50E4D" w:rsidRDefault="00930C85" w:rsidP="00930C85">
      <w:pPr>
        <w:rPr>
          <w:spacing w:val="-4"/>
          <w:lang w:val="en-US"/>
        </w:rPr>
      </w:pPr>
    </w:p>
    <w:p w14:paraId="1BC599B9" w14:textId="712750CB" w:rsidR="00930C85" w:rsidRPr="00A50E4D" w:rsidRDefault="00314E4B" w:rsidP="00930C85">
      <w:pPr>
        <w:pStyle w:val="PrrafodeSentencia"/>
        <w:rPr>
          <w:lang w:val="en-US"/>
        </w:rPr>
      </w:pPr>
      <w:r w:rsidRPr="00A50E4D">
        <w:rPr>
          <w:lang w:val="en-US"/>
        </w:rPr>
        <w:t>The Constitution</w:t>
      </w:r>
      <w:r w:rsidR="00930C85" w:rsidRPr="00A50E4D">
        <w:rPr>
          <w:lang w:val="en-US"/>
        </w:rPr>
        <w:t xml:space="preserve"> </w:t>
      </w:r>
      <w:r w:rsidR="00277E12" w:rsidRPr="00A50E4D">
        <w:rPr>
          <w:lang w:val="en-US"/>
        </w:rPr>
        <w:t>establishes that</w:t>
      </w:r>
      <w:r w:rsidR="00930C85" w:rsidRPr="00A50E4D">
        <w:rPr>
          <w:lang w:val="en-US"/>
        </w:rPr>
        <w:t>:</w:t>
      </w:r>
    </w:p>
    <w:p w14:paraId="06A70A9A" w14:textId="77777777" w:rsidR="00930C85" w:rsidRPr="00A50E4D" w:rsidRDefault="00930C85" w:rsidP="00930C85">
      <w:pPr>
        <w:pStyle w:val="NoSpacing"/>
        <w:tabs>
          <w:tab w:val="left" w:pos="567"/>
          <w:tab w:val="left" w:pos="8789"/>
        </w:tabs>
        <w:ind w:left="567" w:right="544"/>
        <w:rPr>
          <w:spacing w:val="-4"/>
          <w:sz w:val="16"/>
          <w:szCs w:val="16"/>
          <w:lang w:val="en-US"/>
        </w:rPr>
      </w:pPr>
    </w:p>
    <w:p w14:paraId="514E78DB" w14:textId="1B14712E" w:rsidR="00930C85" w:rsidRPr="00A50E4D" w:rsidRDefault="00F02FB7" w:rsidP="00277E12">
      <w:pPr>
        <w:pStyle w:val="NoSpacing"/>
        <w:tabs>
          <w:tab w:val="left" w:pos="567"/>
          <w:tab w:val="left" w:pos="8789"/>
        </w:tabs>
        <w:ind w:left="567" w:right="544"/>
        <w:rPr>
          <w:spacing w:val="-4"/>
          <w:sz w:val="18"/>
          <w:szCs w:val="18"/>
          <w:lang w:val="en-US"/>
        </w:rPr>
      </w:pPr>
      <w:r w:rsidRPr="00A50E4D">
        <w:rPr>
          <w:spacing w:val="-4"/>
          <w:sz w:val="18"/>
          <w:szCs w:val="18"/>
          <w:lang w:val="en-US"/>
        </w:rPr>
        <w:t>Article</w:t>
      </w:r>
      <w:r w:rsidR="00930C85" w:rsidRPr="00A50E4D">
        <w:rPr>
          <w:spacing w:val="-4"/>
          <w:sz w:val="18"/>
          <w:szCs w:val="18"/>
          <w:lang w:val="en-US"/>
        </w:rPr>
        <w:t xml:space="preserve"> 319.</w:t>
      </w:r>
      <w:r w:rsidR="00930C85" w:rsidRPr="00A50E4D">
        <w:rPr>
          <w:b/>
          <w:spacing w:val="-4"/>
          <w:sz w:val="18"/>
          <w:szCs w:val="18"/>
          <w:lang w:val="en-US"/>
        </w:rPr>
        <w:t xml:space="preserve"> </w:t>
      </w:r>
      <w:r w:rsidR="009808C5" w:rsidRPr="00A50E4D">
        <w:rPr>
          <w:spacing w:val="-4"/>
          <w:sz w:val="18"/>
          <w:szCs w:val="18"/>
          <w:lang w:val="en-US"/>
        </w:rPr>
        <w:t xml:space="preserve">Judges and </w:t>
      </w:r>
      <w:r w:rsidR="004C6D9D" w:rsidRPr="00A50E4D">
        <w:rPr>
          <w:spacing w:val="-4"/>
          <w:sz w:val="18"/>
          <w:szCs w:val="18"/>
          <w:lang w:val="en-US"/>
        </w:rPr>
        <w:t>justices</w:t>
      </w:r>
      <w:r w:rsidR="00930C85" w:rsidRPr="00A50E4D">
        <w:rPr>
          <w:spacing w:val="-4"/>
          <w:sz w:val="18"/>
          <w:szCs w:val="18"/>
          <w:lang w:val="en-US"/>
        </w:rPr>
        <w:t xml:space="preserve"> </w:t>
      </w:r>
      <w:r w:rsidR="00277E12" w:rsidRPr="00A50E4D">
        <w:rPr>
          <w:spacing w:val="-4"/>
          <w:sz w:val="18"/>
          <w:szCs w:val="18"/>
          <w:lang w:val="en-US"/>
        </w:rPr>
        <w:t>provide their services to the Judiciary, on an exclusive basis. Consequently, they may not exercise the legal profession independently, or provide advice or legal assistance to anyone. This prohibition does not include the performance of teaching or diplomatic functions (</w:t>
      </w:r>
      <w:r w:rsidR="00277E12" w:rsidRPr="00A50E4D">
        <w:rPr>
          <w:i/>
          <w:spacing w:val="-4"/>
          <w:sz w:val="18"/>
          <w:szCs w:val="18"/>
          <w:lang w:val="en-US"/>
        </w:rPr>
        <w:t>ad hoc</w:t>
      </w:r>
      <w:r w:rsidR="00277E12" w:rsidRPr="00A50E4D">
        <w:rPr>
          <w:spacing w:val="-4"/>
          <w:sz w:val="18"/>
          <w:szCs w:val="18"/>
          <w:lang w:val="en-US"/>
        </w:rPr>
        <w:t>). Judicial officials and auxiliary personnel from the jurisdictional and administrative areas</w:t>
      </w:r>
      <w:r w:rsidR="004008AE" w:rsidRPr="00A50E4D">
        <w:rPr>
          <w:spacing w:val="-4"/>
          <w:sz w:val="18"/>
          <w:szCs w:val="18"/>
          <w:lang w:val="en-US"/>
        </w:rPr>
        <w:t xml:space="preserve"> of the Judiciary</w:t>
      </w:r>
      <w:r w:rsidR="00277E12" w:rsidRPr="00A50E4D">
        <w:rPr>
          <w:spacing w:val="-4"/>
          <w:sz w:val="18"/>
          <w:szCs w:val="18"/>
          <w:lang w:val="en-US"/>
        </w:rPr>
        <w:t>, may not take part, for any reason, in activities of a partisan nature of any type, except to cast their personal vote. They may not form labor unions or go on strike.</w:t>
      </w:r>
      <w:r w:rsidR="00930C85" w:rsidRPr="00A50E4D">
        <w:rPr>
          <w:rStyle w:val="FootnoteReference"/>
          <w:rFonts w:cs="Arial"/>
          <w:spacing w:val="-4"/>
          <w:sz w:val="18"/>
          <w:szCs w:val="18"/>
          <w:lang w:val="en-US"/>
        </w:rPr>
        <w:footnoteReference w:id="107"/>
      </w:r>
      <w:r w:rsidR="00930C85" w:rsidRPr="00A50E4D">
        <w:rPr>
          <w:b/>
          <w:spacing w:val="-4"/>
          <w:sz w:val="18"/>
          <w:szCs w:val="18"/>
          <w:lang w:val="en-US"/>
        </w:rPr>
        <w:tab/>
      </w:r>
    </w:p>
    <w:p w14:paraId="4A7F4B44" w14:textId="77777777" w:rsidR="00930C85" w:rsidRPr="00A50E4D" w:rsidRDefault="00930C85" w:rsidP="00930C85">
      <w:pPr>
        <w:pStyle w:val="NoSpacing"/>
        <w:tabs>
          <w:tab w:val="left" w:pos="567"/>
        </w:tabs>
        <w:rPr>
          <w:b/>
          <w:spacing w:val="-4"/>
          <w:szCs w:val="20"/>
          <w:lang w:val="en-US"/>
        </w:rPr>
      </w:pPr>
    </w:p>
    <w:p w14:paraId="10774427" w14:textId="6E0C2CD5" w:rsidR="00930C85" w:rsidRPr="00A50E4D" w:rsidRDefault="00277E12" w:rsidP="00930C85">
      <w:pPr>
        <w:pStyle w:val="PrrafodeSentencia"/>
        <w:rPr>
          <w:lang w:val="en-US"/>
        </w:rPr>
      </w:pPr>
      <w:r w:rsidRPr="00A50E4D">
        <w:rPr>
          <w:lang w:val="en-US"/>
        </w:rPr>
        <w:t>The Judicial Service Act</w:t>
      </w:r>
      <w:r w:rsidR="00930C85" w:rsidRPr="00A50E4D">
        <w:rPr>
          <w:lang w:val="en-US"/>
        </w:rPr>
        <w:t xml:space="preserve"> </w:t>
      </w:r>
      <w:r w:rsidRPr="00A50E4D">
        <w:rPr>
          <w:lang w:val="en-US"/>
        </w:rPr>
        <w:t>stipulates that</w:t>
      </w:r>
      <w:r w:rsidR="00930C85" w:rsidRPr="00A50E4D">
        <w:rPr>
          <w:lang w:val="en-US"/>
        </w:rPr>
        <w:t>:</w:t>
      </w:r>
    </w:p>
    <w:p w14:paraId="4A7E347B" w14:textId="77777777" w:rsidR="00930C85" w:rsidRPr="00A50E4D" w:rsidRDefault="00930C85" w:rsidP="00930C85">
      <w:pPr>
        <w:pStyle w:val="NoSpacing"/>
        <w:tabs>
          <w:tab w:val="left" w:pos="567"/>
        </w:tabs>
        <w:rPr>
          <w:spacing w:val="-4"/>
          <w:szCs w:val="20"/>
          <w:lang w:val="en-US"/>
        </w:rPr>
      </w:pPr>
    </w:p>
    <w:p w14:paraId="67F8FA07" w14:textId="77777777" w:rsidR="00DE474C" w:rsidRPr="00A50E4D" w:rsidRDefault="00F02FB7" w:rsidP="00DE474C">
      <w:pPr>
        <w:pStyle w:val="NoSpacing"/>
        <w:tabs>
          <w:tab w:val="left" w:pos="567"/>
        </w:tabs>
        <w:ind w:left="567" w:right="571"/>
        <w:rPr>
          <w:spacing w:val="-4"/>
          <w:sz w:val="18"/>
          <w:szCs w:val="18"/>
          <w:lang w:val="en-US"/>
        </w:rPr>
      </w:pPr>
      <w:r w:rsidRPr="00A50E4D">
        <w:rPr>
          <w:spacing w:val="-4"/>
          <w:sz w:val="18"/>
          <w:szCs w:val="18"/>
          <w:lang w:val="en-US"/>
        </w:rPr>
        <w:t>Article</w:t>
      </w:r>
      <w:r w:rsidR="00930C85" w:rsidRPr="00A50E4D">
        <w:rPr>
          <w:spacing w:val="-4"/>
          <w:sz w:val="18"/>
          <w:szCs w:val="18"/>
          <w:lang w:val="en-US"/>
        </w:rPr>
        <w:t xml:space="preserve"> 44: </w:t>
      </w:r>
      <w:r w:rsidR="00277E12" w:rsidRPr="00A50E4D">
        <w:rPr>
          <w:spacing w:val="-4"/>
          <w:sz w:val="18"/>
          <w:szCs w:val="18"/>
          <w:lang w:val="en-US"/>
        </w:rPr>
        <w:t xml:space="preserve">Judicial officials and employees must, at all times and in all places, </w:t>
      </w:r>
      <w:r w:rsidR="00B906E2" w:rsidRPr="00A50E4D">
        <w:rPr>
          <w:spacing w:val="-4"/>
          <w:sz w:val="18"/>
          <w:szCs w:val="18"/>
          <w:lang w:val="en-US"/>
        </w:rPr>
        <w:t>observe irreproachable public and private conduct.</w:t>
      </w:r>
    </w:p>
    <w:p w14:paraId="0E10B4B8" w14:textId="236D2E23" w:rsidR="00930C85" w:rsidRPr="00A50E4D" w:rsidRDefault="00DE474C" w:rsidP="00DE474C">
      <w:pPr>
        <w:pStyle w:val="NoSpacing"/>
        <w:tabs>
          <w:tab w:val="left" w:pos="567"/>
        </w:tabs>
        <w:ind w:right="571"/>
        <w:rPr>
          <w:spacing w:val="-4"/>
          <w:sz w:val="18"/>
          <w:szCs w:val="18"/>
          <w:lang w:val="en-US"/>
        </w:rPr>
      </w:pPr>
      <w:r w:rsidRPr="00A50E4D">
        <w:rPr>
          <w:spacing w:val="-4"/>
          <w:sz w:val="18"/>
          <w:szCs w:val="18"/>
          <w:lang w:val="en-US"/>
        </w:rPr>
        <w:tab/>
      </w:r>
      <w:r w:rsidR="00930C85" w:rsidRPr="00A50E4D">
        <w:rPr>
          <w:spacing w:val="-4"/>
          <w:sz w:val="18"/>
          <w:szCs w:val="18"/>
          <w:lang w:val="en-US"/>
        </w:rPr>
        <w:t>[…]</w:t>
      </w:r>
    </w:p>
    <w:p w14:paraId="31F1B39D" w14:textId="77777777" w:rsidR="00930C85" w:rsidRPr="00A50E4D" w:rsidRDefault="00930C85" w:rsidP="00930C85">
      <w:pPr>
        <w:pStyle w:val="NoSpacing"/>
        <w:tabs>
          <w:tab w:val="left" w:pos="567"/>
        </w:tabs>
        <w:ind w:left="567" w:right="571"/>
        <w:rPr>
          <w:spacing w:val="-4"/>
          <w:sz w:val="18"/>
          <w:szCs w:val="18"/>
          <w:lang w:val="en-US"/>
        </w:rPr>
      </w:pPr>
    </w:p>
    <w:p w14:paraId="20844D6D" w14:textId="57CDEF2C" w:rsidR="00930C85" w:rsidRPr="00A50E4D" w:rsidRDefault="00F02FB7" w:rsidP="00930C85">
      <w:pPr>
        <w:pStyle w:val="NoSpacing"/>
        <w:tabs>
          <w:tab w:val="left" w:pos="567"/>
        </w:tabs>
        <w:ind w:left="567" w:right="571"/>
        <w:rPr>
          <w:spacing w:val="-4"/>
          <w:sz w:val="18"/>
          <w:szCs w:val="18"/>
          <w:lang w:val="en-US"/>
        </w:rPr>
      </w:pPr>
      <w:r w:rsidRPr="00A50E4D">
        <w:rPr>
          <w:spacing w:val="-4"/>
          <w:sz w:val="18"/>
          <w:szCs w:val="18"/>
          <w:lang w:val="en-US"/>
        </w:rPr>
        <w:t>Article</w:t>
      </w:r>
      <w:r w:rsidR="00930C85" w:rsidRPr="00A50E4D">
        <w:rPr>
          <w:spacing w:val="-4"/>
          <w:sz w:val="18"/>
          <w:szCs w:val="18"/>
          <w:lang w:val="en-US"/>
        </w:rPr>
        <w:t xml:space="preserve"> 49: </w:t>
      </w:r>
      <w:r w:rsidR="00B906E2" w:rsidRPr="00A50E4D">
        <w:rPr>
          <w:spacing w:val="-4"/>
          <w:sz w:val="18"/>
          <w:szCs w:val="18"/>
          <w:lang w:val="en-US"/>
        </w:rPr>
        <w:t>Judicial officials may not be active members of political parties or intervene in debates of an electoral nature, except for exercising their right to vote.</w:t>
      </w:r>
    </w:p>
    <w:p w14:paraId="0E9B1BB4" w14:textId="77777777" w:rsidR="00930C85" w:rsidRPr="00A50E4D" w:rsidRDefault="00930C85" w:rsidP="00930C85">
      <w:pPr>
        <w:pStyle w:val="NoSpacing"/>
        <w:tabs>
          <w:tab w:val="left" w:pos="567"/>
        </w:tabs>
        <w:ind w:left="567" w:right="571"/>
        <w:rPr>
          <w:spacing w:val="-4"/>
          <w:sz w:val="18"/>
          <w:szCs w:val="18"/>
          <w:lang w:val="en-US"/>
        </w:rPr>
      </w:pPr>
    </w:p>
    <w:p w14:paraId="3E161238" w14:textId="673DF4FB" w:rsidR="009C0006" w:rsidRPr="00A50E4D" w:rsidRDefault="00F02FB7" w:rsidP="00930C85">
      <w:pPr>
        <w:pStyle w:val="NoSpacing"/>
        <w:tabs>
          <w:tab w:val="left" w:pos="567"/>
        </w:tabs>
        <w:ind w:left="567" w:right="571"/>
        <w:rPr>
          <w:spacing w:val="-4"/>
          <w:sz w:val="18"/>
          <w:szCs w:val="18"/>
          <w:lang w:val="en-US"/>
        </w:rPr>
      </w:pPr>
      <w:r w:rsidRPr="00A50E4D">
        <w:rPr>
          <w:spacing w:val="-4"/>
          <w:sz w:val="18"/>
          <w:szCs w:val="18"/>
          <w:lang w:val="en-US"/>
        </w:rPr>
        <w:t>Article</w:t>
      </w:r>
      <w:r w:rsidR="00930C85" w:rsidRPr="00A50E4D">
        <w:rPr>
          <w:spacing w:val="-4"/>
          <w:sz w:val="18"/>
          <w:szCs w:val="18"/>
          <w:lang w:val="en-US"/>
        </w:rPr>
        <w:t xml:space="preserve"> 50: </w:t>
      </w:r>
      <w:r w:rsidR="009C0006" w:rsidRPr="00A50E4D">
        <w:rPr>
          <w:spacing w:val="-4"/>
          <w:sz w:val="18"/>
          <w:szCs w:val="18"/>
          <w:lang w:val="en-US"/>
        </w:rPr>
        <w:t>Positions in the Judiciary and in the Public Prosecution Service cannot be accumulated and are incompatible with the performance of any other remunerated function, with the professional management of the affairs of another person, wi</w:t>
      </w:r>
      <w:r w:rsidR="00DE474C" w:rsidRPr="00A50E4D">
        <w:rPr>
          <w:spacing w:val="-4"/>
          <w:sz w:val="18"/>
          <w:szCs w:val="18"/>
          <w:lang w:val="en-US"/>
        </w:rPr>
        <w:t>th elected and political office</w:t>
      </w:r>
      <w:r w:rsidR="009C0006" w:rsidRPr="00A50E4D">
        <w:rPr>
          <w:spacing w:val="-4"/>
          <w:sz w:val="18"/>
          <w:szCs w:val="18"/>
          <w:lang w:val="en-US"/>
        </w:rPr>
        <w:t>, with engaging in business,</w:t>
      </w:r>
      <w:r w:rsidR="00CA2EB9" w:rsidRPr="00A50E4D">
        <w:rPr>
          <w:spacing w:val="-4"/>
          <w:sz w:val="18"/>
          <w:szCs w:val="18"/>
          <w:lang w:val="en-US"/>
        </w:rPr>
        <w:t xml:space="preserve"> with the office of Minister of any religion, with active malice except in the military criminal jurisdiction, with any participation in the exercise of the law or notary services, with the functions of data curator and justice auxiliary, and with the management and auditing of commercial companies. The prohibition to litigate and to exercise the functions of an auxiliary extends to those who are on leave. </w:t>
      </w:r>
      <w:r w:rsidR="002A33A0" w:rsidRPr="00A50E4D">
        <w:rPr>
          <w:spacing w:val="-4"/>
          <w:sz w:val="18"/>
          <w:szCs w:val="18"/>
          <w:lang w:val="en-US"/>
        </w:rPr>
        <w:t>Substitute</w:t>
      </w:r>
      <w:r w:rsidR="00CA2EB9" w:rsidRPr="00A50E4D">
        <w:rPr>
          <w:spacing w:val="-4"/>
          <w:sz w:val="18"/>
          <w:szCs w:val="18"/>
          <w:lang w:val="en-US"/>
        </w:rPr>
        <w:t xml:space="preserve"> judges and representatives of the Public Prosecution Service,</w:t>
      </w:r>
      <w:r w:rsidR="00EC2A56" w:rsidRPr="00A50E4D">
        <w:rPr>
          <w:spacing w:val="-4"/>
          <w:sz w:val="18"/>
          <w:szCs w:val="18"/>
          <w:lang w:val="en-US"/>
        </w:rPr>
        <w:t xml:space="preserve"> and</w:t>
      </w:r>
      <w:r w:rsidR="00CA2EB9" w:rsidRPr="00A50E4D">
        <w:rPr>
          <w:spacing w:val="-4"/>
          <w:sz w:val="18"/>
          <w:szCs w:val="18"/>
          <w:lang w:val="en-US"/>
        </w:rPr>
        <w:t xml:space="preserve"> teaching posts of up to ten hours a week at the most are exempt from this provision, provided they do not affect the normal rhythm of work.</w:t>
      </w:r>
    </w:p>
    <w:p w14:paraId="7B4FAB65" w14:textId="77777777" w:rsidR="00930C85" w:rsidRPr="00A50E4D" w:rsidRDefault="00930C85" w:rsidP="00CA2EB9">
      <w:pPr>
        <w:pStyle w:val="NoSpacing"/>
        <w:tabs>
          <w:tab w:val="left" w:pos="567"/>
        </w:tabs>
        <w:ind w:right="571"/>
        <w:rPr>
          <w:spacing w:val="-4"/>
          <w:sz w:val="18"/>
          <w:szCs w:val="18"/>
          <w:lang w:val="en-US"/>
        </w:rPr>
      </w:pPr>
    </w:p>
    <w:p w14:paraId="3A6F4365" w14:textId="5C1F4BAE" w:rsidR="00930C85" w:rsidRPr="00A50E4D" w:rsidRDefault="00F02FB7" w:rsidP="00930C85">
      <w:pPr>
        <w:pStyle w:val="NoSpacing"/>
        <w:tabs>
          <w:tab w:val="left" w:pos="567"/>
        </w:tabs>
        <w:ind w:left="567" w:right="571"/>
        <w:rPr>
          <w:spacing w:val="-4"/>
          <w:sz w:val="18"/>
          <w:szCs w:val="18"/>
          <w:lang w:val="en-US"/>
        </w:rPr>
      </w:pPr>
      <w:r w:rsidRPr="00A50E4D">
        <w:rPr>
          <w:spacing w:val="-4"/>
          <w:sz w:val="18"/>
          <w:szCs w:val="18"/>
          <w:lang w:val="en-US"/>
        </w:rPr>
        <w:t>Article</w:t>
      </w:r>
      <w:r w:rsidR="00930C85" w:rsidRPr="00A50E4D">
        <w:rPr>
          <w:spacing w:val="-4"/>
          <w:sz w:val="18"/>
          <w:szCs w:val="18"/>
          <w:lang w:val="en-US"/>
        </w:rPr>
        <w:t xml:space="preserve"> 51: </w:t>
      </w:r>
      <w:r w:rsidR="00CA2EB9" w:rsidRPr="00A50E4D">
        <w:rPr>
          <w:spacing w:val="-4"/>
          <w:sz w:val="18"/>
          <w:szCs w:val="18"/>
          <w:lang w:val="en-US"/>
        </w:rPr>
        <w:t xml:space="preserve">Judicial officers shall enjoy the right of tenure when they enter the judicial service in the appropriate manner and may only be removed when they give cause for dismissal under this law and its regulations. </w:t>
      </w:r>
    </w:p>
    <w:p w14:paraId="59793D5A" w14:textId="77777777" w:rsidR="00930C85" w:rsidRPr="00A50E4D" w:rsidRDefault="00930C85" w:rsidP="00930C85">
      <w:pPr>
        <w:pStyle w:val="NoSpacing"/>
        <w:tabs>
          <w:tab w:val="left" w:pos="567"/>
        </w:tabs>
        <w:ind w:left="567" w:right="571"/>
        <w:rPr>
          <w:spacing w:val="-4"/>
          <w:sz w:val="18"/>
          <w:szCs w:val="18"/>
          <w:lang w:val="en-US"/>
        </w:rPr>
      </w:pPr>
    </w:p>
    <w:p w14:paraId="1B33805C" w14:textId="37ED84B4" w:rsidR="00930C85" w:rsidRPr="00A50E4D" w:rsidRDefault="00F02FB7" w:rsidP="00930C85">
      <w:pPr>
        <w:ind w:left="567" w:right="544"/>
        <w:rPr>
          <w:spacing w:val="-4"/>
          <w:sz w:val="18"/>
          <w:szCs w:val="18"/>
          <w:lang w:val="en-US"/>
        </w:rPr>
      </w:pPr>
      <w:r w:rsidRPr="00A50E4D">
        <w:rPr>
          <w:spacing w:val="-4"/>
          <w:sz w:val="18"/>
          <w:szCs w:val="18"/>
          <w:lang w:val="en-US"/>
        </w:rPr>
        <w:t>Article</w:t>
      </w:r>
      <w:r w:rsidR="00930C85" w:rsidRPr="00A50E4D">
        <w:rPr>
          <w:spacing w:val="-4"/>
          <w:sz w:val="18"/>
          <w:szCs w:val="18"/>
          <w:lang w:val="en-US"/>
        </w:rPr>
        <w:t xml:space="preserve"> 53: </w:t>
      </w:r>
      <w:r w:rsidR="00CA2EB9" w:rsidRPr="00A50E4D">
        <w:rPr>
          <w:spacing w:val="-4"/>
          <w:sz w:val="18"/>
          <w:szCs w:val="18"/>
          <w:lang w:val="en-US"/>
        </w:rPr>
        <w:t>Acts</w:t>
      </w:r>
      <w:r w:rsidR="00EC2A56" w:rsidRPr="00A50E4D">
        <w:rPr>
          <w:spacing w:val="-4"/>
          <w:sz w:val="18"/>
          <w:szCs w:val="18"/>
          <w:lang w:val="en-US"/>
        </w:rPr>
        <w:t xml:space="preserve"> by</w:t>
      </w:r>
      <w:r w:rsidR="00CA2EB9" w:rsidRPr="00A50E4D">
        <w:rPr>
          <w:spacing w:val="-4"/>
          <w:sz w:val="18"/>
          <w:szCs w:val="18"/>
          <w:lang w:val="en-US"/>
        </w:rPr>
        <w:t xml:space="preserve"> officials and employees, </w:t>
      </w:r>
      <w:r w:rsidR="00EC2A56" w:rsidRPr="00A50E4D">
        <w:rPr>
          <w:spacing w:val="-4"/>
          <w:sz w:val="18"/>
          <w:szCs w:val="18"/>
          <w:lang w:val="en-US"/>
        </w:rPr>
        <w:t xml:space="preserve">such as the following, </w:t>
      </w:r>
      <w:r w:rsidR="00CA2EB9" w:rsidRPr="00A50E4D">
        <w:rPr>
          <w:spacing w:val="-4"/>
          <w:sz w:val="18"/>
          <w:szCs w:val="18"/>
          <w:lang w:val="en-US"/>
        </w:rPr>
        <w:t xml:space="preserve">are considered to </w:t>
      </w:r>
      <w:r w:rsidR="006A228E" w:rsidRPr="00A50E4D">
        <w:rPr>
          <w:spacing w:val="-4"/>
          <w:sz w:val="18"/>
          <w:szCs w:val="18"/>
          <w:lang w:val="en-US"/>
        </w:rPr>
        <w:t>be inimical to</w:t>
      </w:r>
      <w:r w:rsidR="00CA2EB9" w:rsidRPr="00A50E4D">
        <w:rPr>
          <w:spacing w:val="-4"/>
          <w:sz w:val="18"/>
          <w:szCs w:val="18"/>
          <w:lang w:val="en-US"/>
        </w:rPr>
        <w:t xml:space="preserve"> the dignity of the administration of justice</w:t>
      </w:r>
      <w:r w:rsidR="00930C85" w:rsidRPr="00A50E4D">
        <w:rPr>
          <w:spacing w:val="-4"/>
          <w:sz w:val="18"/>
          <w:szCs w:val="18"/>
          <w:lang w:val="en-US"/>
        </w:rPr>
        <w:t xml:space="preserve">: </w:t>
      </w:r>
    </w:p>
    <w:p w14:paraId="21D01B05" w14:textId="77777777" w:rsidR="00930C85" w:rsidRPr="00A50E4D" w:rsidRDefault="00930C85" w:rsidP="00930C85">
      <w:pPr>
        <w:ind w:left="567" w:right="544"/>
        <w:rPr>
          <w:spacing w:val="-4"/>
          <w:sz w:val="18"/>
          <w:szCs w:val="18"/>
          <w:lang w:val="en-US"/>
        </w:rPr>
      </w:pPr>
      <w:r w:rsidRPr="00A50E4D">
        <w:rPr>
          <w:spacing w:val="-4"/>
          <w:sz w:val="18"/>
          <w:szCs w:val="18"/>
          <w:lang w:val="en-US"/>
        </w:rPr>
        <w:t>[…]</w:t>
      </w:r>
    </w:p>
    <w:p w14:paraId="47A9613D" w14:textId="2E08D10C" w:rsidR="00930C85" w:rsidRPr="00A50E4D" w:rsidRDefault="00930C85" w:rsidP="00930C85">
      <w:pPr>
        <w:ind w:left="567" w:right="544"/>
        <w:rPr>
          <w:spacing w:val="-4"/>
          <w:sz w:val="18"/>
          <w:szCs w:val="18"/>
          <w:lang w:val="en-US"/>
        </w:rPr>
      </w:pPr>
      <w:r w:rsidRPr="00A50E4D">
        <w:rPr>
          <w:spacing w:val="-4"/>
          <w:sz w:val="18"/>
          <w:szCs w:val="18"/>
          <w:lang w:val="en-US"/>
        </w:rPr>
        <w:t xml:space="preserve">b) </w:t>
      </w:r>
      <w:r w:rsidR="00CA2EB9" w:rsidRPr="00A50E4D">
        <w:rPr>
          <w:spacing w:val="-4"/>
          <w:sz w:val="18"/>
          <w:szCs w:val="18"/>
          <w:lang w:val="en-US"/>
        </w:rPr>
        <w:t xml:space="preserve">Harmful or slanderous statements against the institutions or </w:t>
      </w:r>
      <w:r w:rsidR="00EC2A56" w:rsidRPr="00A50E4D">
        <w:rPr>
          <w:spacing w:val="-4"/>
          <w:sz w:val="18"/>
          <w:szCs w:val="18"/>
          <w:lang w:val="en-US"/>
        </w:rPr>
        <w:t xml:space="preserve">against </w:t>
      </w:r>
      <w:r w:rsidR="00CA2EB9" w:rsidRPr="00A50E4D">
        <w:rPr>
          <w:spacing w:val="-4"/>
          <w:sz w:val="18"/>
          <w:szCs w:val="18"/>
          <w:lang w:val="en-US"/>
        </w:rPr>
        <w:t xml:space="preserve">any other employee or public </w:t>
      </w:r>
      <w:r w:rsidR="000A786A" w:rsidRPr="00A50E4D">
        <w:rPr>
          <w:spacing w:val="-4"/>
          <w:sz w:val="18"/>
          <w:szCs w:val="18"/>
          <w:lang w:val="en-US"/>
        </w:rPr>
        <w:t>official</w:t>
      </w:r>
      <w:r w:rsidR="00CA2EB9" w:rsidRPr="00A50E4D">
        <w:rPr>
          <w:spacing w:val="-4"/>
          <w:sz w:val="18"/>
          <w:szCs w:val="18"/>
          <w:lang w:val="en-US"/>
        </w:rPr>
        <w:t xml:space="preserve">; </w:t>
      </w:r>
    </w:p>
    <w:p w14:paraId="48043382" w14:textId="55FAAAA9" w:rsidR="00930C85" w:rsidRPr="00A50E4D" w:rsidRDefault="00930C85" w:rsidP="00930C85">
      <w:pPr>
        <w:ind w:left="567" w:right="544"/>
        <w:rPr>
          <w:spacing w:val="-4"/>
          <w:sz w:val="18"/>
          <w:szCs w:val="18"/>
          <w:lang w:val="en-US"/>
        </w:rPr>
      </w:pPr>
      <w:r w:rsidRPr="00A50E4D">
        <w:rPr>
          <w:spacing w:val="-4"/>
          <w:sz w:val="18"/>
          <w:szCs w:val="18"/>
          <w:lang w:val="en-US"/>
        </w:rPr>
        <w:t>[…]</w:t>
      </w:r>
    </w:p>
    <w:p w14:paraId="6438CD9A" w14:textId="507CE0C0" w:rsidR="00930C85" w:rsidRPr="00A50E4D" w:rsidRDefault="00930C85" w:rsidP="00930C85">
      <w:pPr>
        <w:ind w:left="567" w:right="544"/>
        <w:rPr>
          <w:spacing w:val="-4"/>
          <w:sz w:val="18"/>
          <w:szCs w:val="18"/>
          <w:lang w:val="en-US"/>
        </w:rPr>
      </w:pPr>
      <w:r w:rsidRPr="00A50E4D">
        <w:rPr>
          <w:spacing w:val="-4"/>
          <w:sz w:val="18"/>
          <w:szCs w:val="18"/>
          <w:lang w:val="en-US"/>
        </w:rPr>
        <w:t xml:space="preserve">f) </w:t>
      </w:r>
      <w:r w:rsidR="00CA2EB9" w:rsidRPr="00A50E4D">
        <w:rPr>
          <w:spacing w:val="-4"/>
          <w:sz w:val="18"/>
          <w:szCs w:val="18"/>
          <w:lang w:val="en-US"/>
        </w:rPr>
        <w:t xml:space="preserve">Requesting or encouraging publicity of any type for their own person or actions, without prejudice to the right to </w:t>
      </w:r>
      <w:r w:rsidR="000A786A" w:rsidRPr="00A50E4D">
        <w:rPr>
          <w:spacing w:val="-4"/>
          <w:sz w:val="18"/>
          <w:szCs w:val="18"/>
          <w:lang w:val="en-US"/>
        </w:rPr>
        <w:t>rectify</w:t>
      </w:r>
      <w:r w:rsidR="00CA2EB9" w:rsidRPr="00A50E4D">
        <w:rPr>
          <w:spacing w:val="-4"/>
          <w:sz w:val="18"/>
          <w:szCs w:val="18"/>
          <w:lang w:val="en-US"/>
        </w:rPr>
        <w:t xml:space="preserve"> information or comments.</w:t>
      </w:r>
    </w:p>
    <w:p w14:paraId="723482CE" w14:textId="6F68CD4E" w:rsidR="00930C85" w:rsidRPr="00A50E4D" w:rsidRDefault="00930C85" w:rsidP="00930C85">
      <w:pPr>
        <w:ind w:left="567" w:right="544"/>
        <w:rPr>
          <w:b/>
          <w:spacing w:val="-4"/>
          <w:sz w:val="18"/>
          <w:szCs w:val="18"/>
          <w:lang w:val="en-US"/>
        </w:rPr>
      </w:pPr>
      <w:r w:rsidRPr="00A50E4D">
        <w:rPr>
          <w:spacing w:val="-4"/>
          <w:sz w:val="18"/>
          <w:szCs w:val="18"/>
          <w:lang w:val="en-US"/>
        </w:rPr>
        <w:t>g) E</w:t>
      </w:r>
      <w:r w:rsidR="00CA2EB9" w:rsidRPr="00A50E4D">
        <w:rPr>
          <w:spacing w:val="-4"/>
          <w:sz w:val="18"/>
          <w:szCs w:val="18"/>
          <w:lang w:val="en-US"/>
        </w:rPr>
        <w:t xml:space="preserve">xercising, directly or indirectly, activities incompatible with the decorum </w:t>
      </w:r>
      <w:r w:rsidR="006A228E" w:rsidRPr="00A50E4D">
        <w:rPr>
          <w:spacing w:val="-4"/>
          <w:sz w:val="18"/>
          <w:szCs w:val="18"/>
          <w:lang w:val="en-US"/>
        </w:rPr>
        <w:t>of the function and that are inimical to</w:t>
      </w:r>
      <w:r w:rsidR="00CA2EB9" w:rsidRPr="00A50E4D">
        <w:rPr>
          <w:spacing w:val="-4"/>
          <w:sz w:val="18"/>
          <w:szCs w:val="18"/>
          <w:lang w:val="en-US"/>
        </w:rPr>
        <w:t xml:space="preserve"> its dignity in any way.</w:t>
      </w:r>
    </w:p>
    <w:p w14:paraId="638B0E52" w14:textId="77777777" w:rsidR="00930C85" w:rsidRPr="00A50E4D" w:rsidRDefault="00930C85" w:rsidP="00930C85">
      <w:pPr>
        <w:ind w:left="567" w:right="544"/>
        <w:rPr>
          <w:b/>
          <w:spacing w:val="-4"/>
          <w:sz w:val="18"/>
          <w:szCs w:val="18"/>
          <w:lang w:val="en-US"/>
        </w:rPr>
      </w:pPr>
    </w:p>
    <w:p w14:paraId="68B158CC" w14:textId="00BDD9B1" w:rsidR="00930C85" w:rsidRPr="00A50E4D" w:rsidRDefault="00F02FB7" w:rsidP="00930C85">
      <w:pPr>
        <w:ind w:left="567" w:right="544"/>
        <w:rPr>
          <w:spacing w:val="-4"/>
          <w:sz w:val="18"/>
          <w:szCs w:val="18"/>
          <w:lang w:val="en-US"/>
        </w:rPr>
      </w:pPr>
      <w:r w:rsidRPr="00A50E4D">
        <w:rPr>
          <w:spacing w:val="-4"/>
          <w:sz w:val="18"/>
          <w:szCs w:val="18"/>
          <w:lang w:val="en-US"/>
        </w:rPr>
        <w:t>Article</w:t>
      </w:r>
      <w:r w:rsidR="00930C85" w:rsidRPr="00A50E4D">
        <w:rPr>
          <w:spacing w:val="-4"/>
          <w:sz w:val="18"/>
          <w:szCs w:val="18"/>
          <w:lang w:val="en-US"/>
        </w:rPr>
        <w:t xml:space="preserve"> 54:</w:t>
      </w:r>
      <w:r w:rsidR="00397B49" w:rsidRPr="00A50E4D">
        <w:rPr>
          <w:spacing w:val="-4"/>
          <w:sz w:val="18"/>
          <w:szCs w:val="18"/>
          <w:lang w:val="en-US"/>
        </w:rPr>
        <w:t xml:space="preserve"> The following acts are contrary to the eff</w:t>
      </w:r>
      <w:r w:rsidR="004C6D9D" w:rsidRPr="00A50E4D">
        <w:rPr>
          <w:spacing w:val="-4"/>
          <w:sz w:val="18"/>
          <w:szCs w:val="18"/>
          <w:lang w:val="en-US"/>
        </w:rPr>
        <w:t>ectiveness</w:t>
      </w:r>
      <w:r w:rsidR="00397B49" w:rsidRPr="00A50E4D">
        <w:rPr>
          <w:spacing w:val="-4"/>
          <w:sz w:val="18"/>
          <w:szCs w:val="18"/>
          <w:lang w:val="en-US"/>
        </w:rPr>
        <w:t xml:space="preserve"> of the administration of justice:</w:t>
      </w:r>
    </w:p>
    <w:p w14:paraId="76A8715C" w14:textId="77777777" w:rsidR="00930C85" w:rsidRPr="00A50E4D" w:rsidRDefault="00930C85" w:rsidP="00930C85">
      <w:pPr>
        <w:ind w:left="567" w:right="544"/>
        <w:rPr>
          <w:spacing w:val="-4"/>
          <w:sz w:val="18"/>
          <w:szCs w:val="18"/>
          <w:lang w:val="en-US"/>
        </w:rPr>
      </w:pPr>
      <w:r w:rsidRPr="00A50E4D">
        <w:rPr>
          <w:spacing w:val="-4"/>
          <w:sz w:val="18"/>
          <w:szCs w:val="18"/>
          <w:lang w:val="en-US"/>
        </w:rPr>
        <w:t>[…]</w:t>
      </w:r>
    </w:p>
    <w:p w14:paraId="3BA27F5C" w14:textId="2C57685A" w:rsidR="0000461F" w:rsidRPr="00A50E4D" w:rsidRDefault="0000461F" w:rsidP="0000461F">
      <w:pPr>
        <w:ind w:left="567" w:right="544"/>
        <w:rPr>
          <w:spacing w:val="-4"/>
          <w:sz w:val="18"/>
          <w:szCs w:val="18"/>
          <w:lang w:val="en-US"/>
        </w:rPr>
      </w:pPr>
      <w:r w:rsidRPr="00A50E4D">
        <w:rPr>
          <w:spacing w:val="-4"/>
          <w:sz w:val="18"/>
          <w:szCs w:val="18"/>
          <w:lang w:val="en-US"/>
        </w:rPr>
        <w:t xml:space="preserve">c) </w:t>
      </w:r>
      <w:r w:rsidR="00397B49" w:rsidRPr="00A50E4D">
        <w:rPr>
          <w:spacing w:val="-4"/>
          <w:sz w:val="18"/>
          <w:szCs w:val="18"/>
          <w:lang w:val="en-US"/>
        </w:rPr>
        <w:t>Fail</w:t>
      </w:r>
      <w:r w:rsidR="00EC2A56" w:rsidRPr="00A50E4D">
        <w:rPr>
          <w:spacing w:val="-4"/>
          <w:sz w:val="18"/>
          <w:szCs w:val="18"/>
          <w:lang w:val="en-US"/>
        </w:rPr>
        <w:t>ure</w:t>
      </w:r>
      <w:r w:rsidR="00397B49" w:rsidRPr="00A50E4D">
        <w:rPr>
          <w:spacing w:val="-4"/>
          <w:sz w:val="18"/>
          <w:szCs w:val="18"/>
          <w:lang w:val="en-US"/>
        </w:rPr>
        <w:t>, without justification, to</w:t>
      </w:r>
      <w:r w:rsidR="00EC2A56" w:rsidRPr="00A50E4D">
        <w:rPr>
          <w:spacing w:val="-4"/>
          <w:sz w:val="18"/>
          <w:szCs w:val="18"/>
          <w:lang w:val="en-US"/>
        </w:rPr>
        <w:t xml:space="preserve"> </w:t>
      </w:r>
      <w:r w:rsidR="00397B49" w:rsidRPr="00A50E4D">
        <w:rPr>
          <w:spacing w:val="-4"/>
          <w:sz w:val="18"/>
          <w:szCs w:val="18"/>
          <w:lang w:val="en-US"/>
        </w:rPr>
        <w:t>be present</w:t>
      </w:r>
      <w:r w:rsidR="00EC2A56" w:rsidRPr="00A50E4D">
        <w:rPr>
          <w:spacing w:val="-4"/>
          <w:sz w:val="18"/>
          <w:szCs w:val="18"/>
          <w:lang w:val="en-US"/>
        </w:rPr>
        <w:t xml:space="preserve"> in</w:t>
      </w:r>
      <w:r w:rsidR="00397B49" w:rsidRPr="00A50E4D">
        <w:rPr>
          <w:spacing w:val="-4"/>
          <w:sz w:val="18"/>
          <w:szCs w:val="18"/>
          <w:lang w:val="en-US"/>
        </w:rPr>
        <w:t xml:space="preserve"> the respective </w:t>
      </w:r>
      <w:r w:rsidR="00EC2A56" w:rsidRPr="00A50E4D">
        <w:rPr>
          <w:spacing w:val="-4"/>
          <w:sz w:val="18"/>
          <w:szCs w:val="18"/>
          <w:lang w:val="en-US"/>
        </w:rPr>
        <w:t>place of work, closing this</w:t>
      </w:r>
      <w:r w:rsidR="00397B49" w:rsidRPr="00A50E4D">
        <w:rPr>
          <w:spacing w:val="-4"/>
          <w:sz w:val="18"/>
          <w:szCs w:val="18"/>
          <w:lang w:val="en-US"/>
        </w:rPr>
        <w:t xml:space="preserve"> without any legal reason</w:t>
      </w:r>
      <w:r w:rsidR="00EC2A56" w:rsidRPr="00A50E4D">
        <w:rPr>
          <w:spacing w:val="-4"/>
          <w:sz w:val="18"/>
          <w:szCs w:val="18"/>
          <w:lang w:val="en-US"/>
        </w:rPr>
        <w:t>,</w:t>
      </w:r>
      <w:r w:rsidR="00397B49" w:rsidRPr="00A50E4D">
        <w:rPr>
          <w:spacing w:val="-4"/>
          <w:sz w:val="18"/>
          <w:szCs w:val="18"/>
          <w:lang w:val="en-US"/>
        </w:rPr>
        <w:t xml:space="preserve"> or unduly limit</w:t>
      </w:r>
      <w:r w:rsidR="00EC2A56" w:rsidRPr="00A50E4D">
        <w:rPr>
          <w:spacing w:val="-4"/>
          <w:sz w:val="18"/>
          <w:szCs w:val="18"/>
          <w:lang w:val="en-US"/>
        </w:rPr>
        <w:t>ing</w:t>
      </w:r>
      <w:r w:rsidR="00397B49" w:rsidRPr="00A50E4D">
        <w:rPr>
          <w:spacing w:val="-4"/>
          <w:sz w:val="18"/>
          <w:szCs w:val="18"/>
          <w:lang w:val="en-US"/>
        </w:rPr>
        <w:t xml:space="preserve"> working hours or the hours for attending the public</w:t>
      </w:r>
      <w:r w:rsidRPr="00A50E4D">
        <w:rPr>
          <w:spacing w:val="-4"/>
          <w:sz w:val="18"/>
          <w:szCs w:val="18"/>
          <w:lang w:val="en-US"/>
        </w:rPr>
        <w:t xml:space="preserve">. </w:t>
      </w:r>
    </w:p>
    <w:p w14:paraId="1CD2DE5A" w14:textId="2AE172D3" w:rsidR="0000461F" w:rsidRPr="00A50E4D" w:rsidRDefault="0000461F" w:rsidP="0000461F">
      <w:pPr>
        <w:ind w:left="567" w:right="544"/>
        <w:rPr>
          <w:spacing w:val="-4"/>
          <w:sz w:val="18"/>
          <w:szCs w:val="18"/>
          <w:lang w:val="en-US"/>
        </w:rPr>
      </w:pPr>
      <w:r w:rsidRPr="00A50E4D">
        <w:rPr>
          <w:spacing w:val="-4"/>
          <w:sz w:val="18"/>
          <w:szCs w:val="18"/>
          <w:lang w:val="en-US"/>
        </w:rPr>
        <w:t>[…]</w:t>
      </w:r>
    </w:p>
    <w:p w14:paraId="4934FB83" w14:textId="5670EC3F" w:rsidR="00930C85" w:rsidRPr="00A50E4D" w:rsidRDefault="00930C85" w:rsidP="00930C85">
      <w:pPr>
        <w:ind w:left="567" w:right="544"/>
        <w:rPr>
          <w:spacing w:val="-4"/>
          <w:sz w:val="18"/>
          <w:szCs w:val="18"/>
          <w:lang w:val="en-US"/>
        </w:rPr>
      </w:pPr>
      <w:r w:rsidRPr="00A50E4D">
        <w:rPr>
          <w:spacing w:val="-4"/>
          <w:sz w:val="18"/>
          <w:szCs w:val="18"/>
          <w:lang w:val="en-US"/>
        </w:rPr>
        <w:t xml:space="preserve">j) </w:t>
      </w:r>
      <w:r w:rsidR="00EC2A56" w:rsidRPr="00A50E4D">
        <w:rPr>
          <w:spacing w:val="-4"/>
          <w:sz w:val="18"/>
          <w:szCs w:val="18"/>
          <w:lang w:val="en-US"/>
        </w:rPr>
        <w:t>Promotion</w:t>
      </w:r>
      <w:r w:rsidR="00397B49" w:rsidRPr="00A50E4D">
        <w:rPr>
          <w:spacing w:val="-4"/>
          <w:sz w:val="18"/>
          <w:szCs w:val="18"/>
          <w:lang w:val="en-US"/>
        </w:rPr>
        <w:t>, sponsor</w:t>
      </w:r>
      <w:r w:rsidR="00EC2A56" w:rsidRPr="00A50E4D">
        <w:rPr>
          <w:spacing w:val="-4"/>
          <w:sz w:val="18"/>
          <w:szCs w:val="18"/>
          <w:lang w:val="en-US"/>
        </w:rPr>
        <w:t>ship or organization of</w:t>
      </w:r>
      <w:r w:rsidR="00397B49" w:rsidRPr="00A50E4D">
        <w:rPr>
          <w:spacing w:val="-4"/>
          <w:sz w:val="18"/>
          <w:szCs w:val="18"/>
          <w:lang w:val="en-US"/>
        </w:rPr>
        <w:t xml:space="preserve"> strikes; shutdown, total or partial suspension of activities, reduction of</w:t>
      </w:r>
      <w:r w:rsidR="00EC2A56" w:rsidRPr="00A50E4D">
        <w:rPr>
          <w:spacing w:val="-4"/>
          <w:sz w:val="18"/>
          <w:szCs w:val="18"/>
          <w:lang w:val="en-US"/>
        </w:rPr>
        <w:t xml:space="preserve"> the rhythm of work; participating in such acts or tolerating</w:t>
      </w:r>
      <w:r w:rsidR="00397B49" w:rsidRPr="00A50E4D">
        <w:rPr>
          <w:spacing w:val="-4"/>
          <w:sz w:val="18"/>
          <w:szCs w:val="18"/>
          <w:lang w:val="en-US"/>
        </w:rPr>
        <w:t xml:space="preserve"> them.</w:t>
      </w:r>
    </w:p>
    <w:p w14:paraId="10A1AE07" w14:textId="77777777" w:rsidR="00930C85" w:rsidRPr="00A50E4D" w:rsidRDefault="00930C85" w:rsidP="00930C85">
      <w:pPr>
        <w:ind w:left="567" w:right="544"/>
        <w:rPr>
          <w:spacing w:val="-4"/>
          <w:sz w:val="18"/>
          <w:szCs w:val="18"/>
          <w:lang w:val="en-US"/>
        </w:rPr>
      </w:pPr>
      <w:r w:rsidRPr="00A50E4D">
        <w:rPr>
          <w:spacing w:val="-4"/>
          <w:sz w:val="18"/>
          <w:szCs w:val="18"/>
          <w:lang w:val="en-US"/>
        </w:rPr>
        <w:t>[…]</w:t>
      </w:r>
    </w:p>
    <w:p w14:paraId="366BE440" w14:textId="77777777" w:rsidR="00397B49" w:rsidRPr="00A50E4D" w:rsidRDefault="00397B49" w:rsidP="00930C85">
      <w:pPr>
        <w:ind w:left="567" w:right="544"/>
        <w:rPr>
          <w:spacing w:val="-4"/>
          <w:sz w:val="18"/>
          <w:szCs w:val="18"/>
          <w:lang w:val="en-US"/>
        </w:rPr>
      </w:pPr>
    </w:p>
    <w:p w14:paraId="259E096D" w14:textId="79FD3BC8" w:rsidR="00930C85" w:rsidRPr="00A50E4D" w:rsidRDefault="00F02FB7" w:rsidP="00397B49">
      <w:pPr>
        <w:ind w:left="567" w:right="544"/>
        <w:rPr>
          <w:spacing w:val="-4"/>
          <w:sz w:val="18"/>
          <w:szCs w:val="18"/>
          <w:lang w:val="en-US"/>
        </w:rPr>
      </w:pPr>
      <w:r w:rsidRPr="00A50E4D">
        <w:rPr>
          <w:spacing w:val="-4"/>
          <w:sz w:val="18"/>
          <w:szCs w:val="18"/>
          <w:lang w:val="en-US"/>
        </w:rPr>
        <w:lastRenderedPageBreak/>
        <w:t>Article</w:t>
      </w:r>
      <w:r w:rsidR="00397B49" w:rsidRPr="00A50E4D">
        <w:rPr>
          <w:spacing w:val="-4"/>
          <w:sz w:val="18"/>
          <w:szCs w:val="18"/>
          <w:lang w:val="en-US"/>
        </w:rPr>
        <w:t xml:space="preserve"> 55: I</w:t>
      </w:r>
      <w:r w:rsidR="00930C85" w:rsidRPr="00A50E4D">
        <w:rPr>
          <w:spacing w:val="-4"/>
          <w:sz w:val="18"/>
          <w:szCs w:val="18"/>
          <w:lang w:val="en-US"/>
        </w:rPr>
        <w:t xml:space="preserve">n general, </w:t>
      </w:r>
      <w:r w:rsidR="00397B49" w:rsidRPr="00A50E4D">
        <w:rPr>
          <w:spacing w:val="-4"/>
          <w:sz w:val="18"/>
          <w:szCs w:val="18"/>
          <w:lang w:val="en-US"/>
        </w:rPr>
        <w:t>failure to comply with the obli</w:t>
      </w:r>
      <w:r w:rsidR="00EC2A56" w:rsidRPr="00A50E4D">
        <w:rPr>
          <w:spacing w:val="-4"/>
          <w:sz w:val="18"/>
          <w:szCs w:val="18"/>
          <w:lang w:val="en-US"/>
        </w:rPr>
        <w:t xml:space="preserve">gations of their functions, </w:t>
      </w:r>
      <w:r w:rsidR="00397B49" w:rsidRPr="00A50E4D">
        <w:rPr>
          <w:spacing w:val="-4"/>
          <w:sz w:val="18"/>
          <w:szCs w:val="18"/>
          <w:lang w:val="en-US"/>
        </w:rPr>
        <w:t xml:space="preserve">violation of the </w:t>
      </w:r>
      <w:r w:rsidR="004C6D9D" w:rsidRPr="00A50E4D">
        <w:rPr>
          <w:spacing w:val="-4"/>
          <w:sz w:val="18"/>
          <w:szCs w:val="18"/>
          <w:lang w:val="en-US"/>
        </w:rPr>
        <w:t>rules</w:t>
      </w:r>
      <w:r w:rsidR="00397B49" w:rsidRPr="00A50E4D">
        <w:rPr>
          <w:spacing w:val="-4"/>
          <w:sz w:val="18"/>
          <w:szCs w:val="18"/>
          <w:lang w:val="en-US"/>
        </w:rPr>
        <w:t xml:space="preserve"> on incompati</w:t>
      </w:r>
      <w:r w:rsidR="00EC2A56" w:rsidRPr="00A50E4D">
        <w:rPr>
          <w:spacing w:val="-4"/>
          <w:sz w:val="18"/>
          <w:szCs w:val="18"/>
          <w:lang w:val="en-US"/>
        </w:rPr>
        <w:t>bilities to exercising such functions</w:t>
      </w:r>
      <w:r w:rsidR="00397B49" w:rsidRPr="00A50E4D">
        <w:rPr>
          <w:spacing w:val="-4"/>
          <w:sz w:val="18"/>
          <w:szCs w:val="18"/>
          <w:lang w:val="en-US"/>
        </w:rPr>
        <w:t>, or exercising the</w:t>
      </w:r>
      <w:r w:rsidR="00EC2A56" w:rsidRPr="00A50E4D">
        <w:rPr>
          <w:spacing w:val="-4"/>
          <w:sz w:val="18"/>
          <w:szCs w:val="18"/>
          <w:lang w:val="en-US"/>
        </w:rPr>
        <w:t>ir</w:t>
      </w:r>
      <w:r w:rsidR="00397B49" w:rsidRPr="00A50E4D">
        <w:rPr>
          <w:spacing w:val="-4"/>
          <w:sz w:val="18"/>
          <w:szCs w:val="18"/>
          <w:lang w:val="en-US"/>
        </w:rPr>
        <w:t xml:space="preserve"> functions despite being aware of legal impediments prohibit</w:t>
      </w:r>
      <w:r w:rsidR="00EC2A56" w:rsidRPr="00A50E4D">
        <w:rPr>
          <w:spacing w:val="-4"/>
          <w:sz w:val="18"/>
          <w:szCs w:val="18"/>
          <w:lang w:val="en-US"/>
        </w:rPr>
        <w:t>ing</w:t>
      </w:r>
      <w:r w:rsidR="00397B49" w:rsidRPr="00A50E4D">
        <w:rPr>
          <w:spacing w:val="-4"/>
          <w:sz w:val="18"/>
          <w:szCs w:val="18"/>
          <w:lang w:val="en-US"/>
        </w:rPr>
        <w:t xml:space="preserve"> this are considered wrong</w:t>
      </w:r>
      <w:r w:rsidR="000A786A" w:rsidRPr="00A50E4D">
        <w:rPr>
          <w:spacing w:val="-4"/>
          <w:sz w:val="18"/>
          <w:szCs w:val="18"/>
          <w:lang w:val="en-US"/>
        </w:rPr>
        <w:t>d</w:t>
      </w:r>
      <w:r w:rsidR="00397B49" w:rsidRPr="00A50E4D">
        <w:rPr>
          <w:spacing w:val="-4"/>
          <w:sz w:val="18"/>
          <w:szCs w:val="18"/>
          <w:lang w:val="en-US"/>
        </w:rPr>
        <w:t>oing by judicial officials and employees.</w:t>
      </w:r>
      <w:r w:rsidR="00930C85" w:rsidRPr="00A50E4D">
        <w:rPr>
          <w:rStyle w:val="FootnoteReference"/>
          <w:rFonts w:cs="Arial"/>
          <w:spacing w:val="-4"/>
          <w:sz w:val="18"/>
          <w:szCs w:val="18"/>
          <w:lang w:val="en-US"/>
        </w:rPr>
        <w:footnoteReference w:id="108"/>
      </w:r>
      <w:r w:rsidR="00930C85" w:rsidRPr="00A50E4D">
        <w:rPr>
          <w:spacing w:val="-4"/>
          <w:sz w:val="18"/>
          <w:szCs w:val="18"/>
          <w:lang w:val="en-US"/>
        </w:rPr>
        <w:t xml:space="preserve"> </w:t>
      </w:r>
    </w:p>
    <w:p w14:paraId="3ADC6DFE" w14:textId="77777777" w:rsidR="00930C85" w:rsidRPr="00A50E4D" w:rsidRDefault="00930C85" w:rsidP="00930C85">
      <w:pPr>
        <w:pStyle w:val="NoSpacing"/>
        <w:tabs>
          <w:tab w:val="left" w:pos="567"/>
        </w:tabs>
        <w:ind w:left="567" w:right="571"/>
        <w:rPr>
          <w:spacing w:val="-4"/>
          <w:szCs w:val="20"/>
          <w:lang w:val="en-US"/>
        </w:rPr>
      </w:pPr>
    </w:p>
    <w:p w14:paraId="3574897B" w14:textId="7A3D1E46" w:rsidR="00930C85" w:rsidRPr="00A50E4D" w:rsidRDefault="00397B49" w:rsidP="00930C85">
      <w:pPr>
        <w:pStyle w:val="PrrafodeSentencia"/>
        <w:rPr>
          <w:lang w:val="en-US"/>
        </w:rPr>
      </w:pPr>
      <w:bookmarkStart w:id="138" w:name="_Ref427340540"/>
      <w:r w:rsidRPr="00A50E4D">
        <w:rPr>
          <w:lang w:val="en-US"/>
        </w:rPr>
        <w:t>The</w:t>
      </w:r>
      <w:r w:rsidR="00930C85" w:rsidRPr="00A50E4D">
        <w:rPr>
          <w:lang w:val="en-US"/>
        </w:rPr>
        <w:t xml:space="preserve"> </w:t>
      </w:r>
      <w:r w:rsidR="00277E12" w:rsidRPr="00A50E4D">
        <w:rPr>
          <w:lang w:val="en-US"/>
        </w:rPr>
        <w:t>Judicial Service Act</w:t>
      </w:r>
      <w:r w:rsidR="00930C85" w:rsidRPr="00A50E4D">
        <w:rPr>
          <w:lang w:val="en-US"/>
        </w:rPr>
        <w:t xml:space="preserve"> </w:t>
      </w:r>
      <w:r w:rsidRPr="00A50E4D">
        <w:rPr>
          <w:lang w:val="en-US"/>
        </w:rPr>
        <w:t>did not establish the</w:t>
      </w:r>
      <w:r w:rsidR="004C6D9D" w:rsidRPr="00A50E4D">
        <w:rPr>
          <w:lang w:val="en-US"/>
        </w:rPr>
        <w:t xml:space="preserve"> specific</w:t>
      </w:r>
      <w:r w:rsidRPr="00A50E4D">
        <w:rPr>
          <w:lang w:val="en-US"/>
        </w:rPr>
        <w:t xml:space="preserve"> sanctions corresponding to each of</w:t>
      </w:r>
      <w:r w:rsidR="004C6D9D" w:rsidRPr="00A50E4D">
        <w:rPr>
          <w:lang w:val="en-US"/>
        </w:rPr>
        <w:t xml:space="preserve"> these offenses. Both the act and its r</w:t>
      </w:r>
      <w:r w:rsidRPr="00A50E4D">
        <w:rPr>
          <w:lang w:val="en-US"/>
        </w:rPr>
        <w:t xml:space="preserve">egulations established, among other possible sanctions: a fine, suspension from functions, dismissal or, if no other sanction was applicable, a reprimand. The foregoing would be applied “in keeping with the </w:t>
      </w:r>
      <w:r w:rsidR="004C6D9D" w:rsidRPr="00A50E4D">
        <w:rPr>
          <w:lang w:val="en-US"/>
        </w:rPr>
        <w:t>severity</w:t>
      </w:r>
      <w:r w:rsidRPr="00A50E4D">
        <w:rPr>
          <w:lang w:val="en-US"/>
        </w:rPr>
        <w:t xml:space="preserve"> of the offense, the background information, and the exp</w:t>
      </w:r>
      <w:r w:rsidR="004C6D9D" w:rsidRPr="00A50E4D">
        <w:rPr>
          <w:lang w:val="en-US"/>
        </w:rPr>
        <w:t>licit</w:t>
      </w:r>
      <w:r w:rsidRPr="00A50E4D">
        <w:rPr>
          <w:lang w:val="en-US"/>
        </w:rPr>
        <w:t xml:space="preserve"> provisions of [the Act] and the [Regulations]</w:t>
      </w:r>
      <w:r w:rsidRPr="00A50E4D">
        <w:rPr>
          <w:rFonts w:cs="Arial"/>
          <w:lang w:val="en-US"/>
        </w:rPr>
        <w:t>.</w:t>
      </w:r>
      <w:r w:rsidR="00930C85" w:rsidRPr="00A50E4D">
        <w:rPr>
          <w:lang w:val="en-US"/>
        </w:rPr>
        <w:t>”</w:t>
      </w:r>
      <w:r w:rsidR="00930C85" w:rsidRPr="00A50E4D">
        <w:rPr>
          <w:rFonts w:eastAsiaTheme="minorHAnsi" w:cs="Arial"/>
          <w:vertAlign w:val="superscript"/>
          <w:lang w:val="en-US" w:eastAsia="en-US"/>
        </w:rPr>
        <w:footnoteReference w:id="109"/>
      </w:r>
      <w:r w:rsidRPr="00A50E4D">
        <w:rPr>
          <w:lang w:val="en-US"/>
        </w:rPr>
        <w:t xml:space="preserve"> Regarding the latte</w:t>
      </w:r>
      <w:r w:rsidR="004C6D9D" w:rsidRPr="00A50E4D">
        <w:rPr>
          <w:lang w:val="en-US"/>
        </w:rPr>
        <w:t xml:space="preserve">r, the Act established that </w:t>
      </w:r>
      <w:r w:rsidR="000A786A" w:rsidRPr="00A50E4D">
        <w:rPr>
          <w:lang w:val="en-US"/>
        </w:rPr>
        <w:t>suspension</w:t>
      </w:r>
      <w:r w:rsidRPr="00A50E4D">
        <w:rPr>
          <w:lang w:val="en-US"/>
        </w:rPr>
        <w:t xml:space="preserve"> from functions for up to three months “c[ould] be </w:t>
      </w:r>
      <w:r w:rsidR="000B62CF" w:rsidRPr="00A50E4D">
        <w:rPr>
          <w:lang w:val="en-US"/>
        </w:rPr>
        <w:t>imposed for</w:t>
      </w:r>
      <w:r w:rsidRPr="00A50E4D">
        <w:rPr>
          <w:lang w:val="en-US"/>
        </w:rPr>
        <w:t xml:space="preserve"> serious offenses or repetition of minor ones,” accompanied by possible “exclusio</w:t>
      </w:r>
      <w:r w:rsidR="00930C85" w:rsidRPr="00A50E4D">
        <w:rPr>
          <w:lang w:val="en-US"/>
        </w:rPr>
        <w:t>n</w:t>
      </w:r>
      <w:r w:rsidRPr="00A50E4D">
        <w:rPr>
          <w:lang w:val="en-US"/>
        </w:rPr>
        <w:t xml:space="preserve"> from the judicial service the first time and, necessarily, such exclusion if the offense is repeated.</w:t>
      </w:r>
      <w:r w:rsidR="00930C85" w:rsidRPr="00A50E4D">
        <w:rPr>
          <w:lang w:val="en-US"/>
        </w:rPr>
        <w:t>”</w:t>
      </w:r>
      <w:r w:rsidR="00930C85" w:rsidRPr="00A50E4D">
        <w:rPr>
          <w:rFonts w:eastAsiaTheme="minorHAnsi" w:cs="Arial"/>
          <w:vertAlign w:val="superscript"/>
          <w:lang w:val="en-US" w:eastAsia="en-US"/>
        </w:rPr>
        <w:footnoteReference w:id="110"/>
      </w:r>
      <w:r w:rsidRPr="00A50E4D">
        <w:rPr>
          <w:lang w:val="en-US"/>
        </w:rPr>
        <w:t xml:space="preserve"> In addition, the Act and its Regulations established as causes for dismissal</w:t>
      </w:r>
      <w:r w:rsidR="00930C85" w:rsidRPr="00A50E4D">
        <w:rPr>
          <w:lang w:val="en-US"/>
        </w:rPr>
        <w:t>:</w:t>
      </w:r>
      <w:bookmarkEnd w:id="138"/>
    </w:p>
    <w:p w14:paraId="52CB1637" w14:textId="77777777" w:rsidR="00930C85" w:rsidRPr="00A50E4D" w:rsidRDefault="00930C85" w:rsidP="00930C85">
      <w:pPr>
        <w:pStyle w:val="PrrafodeSentencia"/>
        <w:numPr>
          <w:ilvl w:val="0"/>
          <w:numId w:val="0"/>
        </w:numPr>
        <w:rPr>
          <w:lang w:val="en-US"/>
        </w:rPr>
      </w:pPr>
    </w:p>
    <w:p w14:paraId="54201059" w14:textId="4D019593" w:rsidR="00930C85" w:rsidRPr="00A50E4D" w:rsidRDefault="00930C85" w:rsidP="00397B49">
      <w:pPr>
        <w:ind w:left="567" w:right="674"/>
        <w:rPr>
          <w:spacing w:val="-4"/>
          <w:sz w:val="18"/>
          <w:szCs w:val="18"/>
          <w:lang w:val="en-US"/>
        </w:rPr>
      </w:pPr>
      <w:r w:rsidRPr="00A50E4D">
        <w:rPr>
          <w:rFonts w:eastAsia="Batang" w:cs="Times New Roman"/>
          <w:spacing w:val="-4"/>
          <w:sz w:val="18"/>
          <w:szCs w:val="18"/>
          <w:lang w:val="en-US" w:eastAsia="es-MX"/>
        </w:rPr>
        <w:t>a)</w:t>
      </w:r>
      <w:r w:rsidR="00397B49" w:rsidRPr="00A50E4D">
        <w:rPr>
          <w:spacing w:val="-4"/>
          <w:sz w:val="18"/>
          <w:szCs w:val="18"/>
          <w:lang w:val="en-US"/>
        </w:rPr>
        <w:t xml:space="preserve"> Non-compliance or serious or repeated violation of some of the </w:t>
      </w:r>
      <w:r w:rsidR="000F4023" w:rsidRPr="00A50E4D">
        <w:rPr>
          <w:spacing w:val="-4"/>
          <w:sz w:val="18"/>
          <w:szCs w:val="18"/>
          <w:lang w:val="en-US"/>
        </w:rPr>
        <w:t>duties</w:t>
      </w:r>
      <w:r w:rsidR="00397B49" w:rsidRPr="00A50E4D">
        <w:rPr>
          <w:spacing w:val="-4"/>
          <w:sz w:val="18"/>
          <w:szCs w:val="18"/>
          <w:lang w:val="en-US"/>
        </w:rPr>
        <w:t xml:space="preserve">, incompatibilities and conducts established in the chapters [on </w:t>
      </w:r>
      <w:r w:rsidR="000F4023" w:rsidRPr="00A50E4D">
        <w:rPr>
          <w:spacing w:val="-4"/>
          <w:sz w:val="18"/>
          <w:szCs w:val="18"/>
          <w:lang w:val="en-US"/>
        </w:rPr>
        <w:t>duties</w:t>
      </w:r>
      <w:r w:rsidR="00397B49" w:rsidRPr="00A50E4D">
        <w:rPr>
          <w:spacing w:val="-4"/>
          <w:sz w:val="18"/>
          <w:szCs w:val="18"/>
          <w:lang w:val="en-US"/>
        </w:rPr>
        <w:t xml:space="preserve">, incompatibilities and rights, </w:t>
      </w:r>
      <w:r w:rsidR="004C6D9D" w:rsidRPr="00A50E4D">
        <w:rPr>
          <w:spacing w:val="-4"/>
          <w:sz w:val="18"/>
          <w:szCs w:val="18"/>
          <w:lang w:val="en-US"/>
        </w:rPr>
        <w:t>a</w:t>
      </w:r>
      <w:r w:rsidR="0048601C" w:rsidRPr="00A50E4D">
        <w:rPr>
          <w:spacing w:val="-4"/>
          <w:sz w:val="18"/>
          <w:szCs w:val="18"/>
          <w:lang w:val="en-US"/>
        </w:rPr>
        <w:t>rticle</w:t>
      </w:r>
      <w:r w:rsidR="004C6D9D" w:rsidRPr="00A50E4D">
        <w:rPr>
          <w:spacing w:val="-4"/>
          <w:sz w:val="18"/>
          <w:szCs w:val="18"/>
          <w:lang w:val="en-US"/>
        </w:rPr>
        <w:t>s</w:t>
      </w:r>
      <w:r w:rsidR="00397B49" w:rsidRPr="00A50E4D">
        <w:rPr>
          <w:spacing w:val="-4"/>
          <w:sz w:val="18"/>
          <w:szCs w:val="18"/>
          <w:lang w:val="en-US"/>
        </w:rPr>
        <w:t xml:space="preserve"> 44 to</w:t>
      </w:r>
      <w:r w:rsidRPr="00A50E4D">
        <w:rPr>
          <w:spacing w:val="-4"/>
          <w:sz w:val="18"/>
          <w:szCs w:val="18"/>
          <w:lang w:val="en-US"/>
        </w:rPr>
        <w:t xml:space="preserve"> 52]</w:t>
      </w:r>
      <w:r w:rsidR="009808C5" w:rsidRPr="00A50E4D">
        <w:rPr>
          <w:spacing w:val="-4"/>
          <w:sz w:val="18"/>
          <w:szCs w:val="18"/>
          <w:lang w:val="en-US"/>
        </w:rPr>
        <w:t xml:space="preserve"> and </w:t>
      </w:r>
      <w:r w:rsidRPr="00A50E4D">
        <w:rPr>
          <w:spacing w:val="-4"/>
          <w:sz w:val="18"/>
          <w:szCs w:val="18"/>
          <w:lang w:val="en-US"/>
        </w:rPr>
        <w:t>[</w:t>
      </w:r>
      <w:r w:rsidR="00397B49" w:rsidRPr="00A50E4D">
        <w:rPr>
          <w:spacing w:val="-4"/>
          <w:sz w:val="18"/>
          <w:szCs w:val="18"/>
          <w:lang w:val="en-US"/>
        </w:rPr>
        <w:t xml:space="preserve">the articles relating to the disciplinary regime, </w:t>
      </w:r>
      <w:r w:rsidR="004C6D9D" w:rsidRPr="00A50E4D">
        <w:rPr>
          <w:spacing w:val="-4"/>
          <w:sz w:val="18"/>
          <w:szCs w:val="18"/>
          <w:lang w:val="en-US"/>
        </w:rPr>
        <w:t>a</w:t>
      </w:r>
      <w:r w:rsidR="0048601C" w:rsidRPr="00A50E4D">
        <w:rPr>
          <w:spacing w:val="-4"/>
          <w:sz w:val="18"/>
          <w:szCs w:val="18"/>
          <w:lang w:val="en-US"/>
        </w:rPr>
        <w:t>rticle</w:t>
      </w:r>
      <w:r w:rsidR="004C6D9D" w:rsidRPr="00A50E4D">
        <w:rPr>
          <w:spacing w:val="-4"/>
          <w:sz w:val="18"/>
          <w:szCs w:val="18"/>
          <w:lang w:val="en-US"/>
        </w:rPr>
        <w:t>s</w:t>
      </w:r>
      <w:r w:rsidR="00397B49" w:rsidRPr="00A50E4D">
        <w:rPr>
          <w:spacing w:val="-4"/>
          <w:sz w:val="18"/>
          <w:szCs w:val="18"/>
          <w:lang w:val="en-US"/>
        </w:rPr>
        <w:t xml:space="preserve"> 53 to</w:t>
      </w:r>
      <w:r w:rsidRPr="00A50E4D">
        <w:rPr>
          <w:spacing w:val="-4"/>
          <w:sz w:val="18"/>
          <w:szCs w:val="18"/>
          <w:lang w:val="en-US"/>
        </w:rPr>
        <w:t xml:space="preserve"> 55] </w:t>
      </w:r>
      <w:r w:rsidR="00397B49" w:rsidRPr="00A50E4D">
        <w:rPr>
          <w:spacing w:val="-4"/>
          <w:sz w:val="18"/>
          <w:szCs w:val="18"/>
          <w:lang w:val="en-US"/>
        </w:rPr>
        <w:t xml:space="preserve">of the Act; </w:t>
      </w:r>
    </w:p>
    <w:p w14:paraId="6D201466" w14:textId="77777777" w:rsidR="00930C85" w:rsidRPr="00A50E4D" w:rsidRDefault="00930C85" w:rsidP="00930C85">
      <w:pPr>
        <w:ind w:left="567" w:right="674"/>
        <w:rPr>
          <w:spacing w:val="-4"/>
          <w:sz w:val="18"/>
          <w:szCs w:val="18"/>
          <w:lang w:val="en-US"/>
        </w:rPr>
      </w:pPr>
      <w:r w:rsidRPr="00A50E4D">
        <w:rPr>
          <w:spacing w:val="-4"/>
          <w:sz w:val="18"/>
          <w:szCs w:val="18"/>
          <w:lang w:val="en-US"/>
        </w:rPr>
        <w:t>[…]</w:t>
      </w:r>
    </w:p>
    <w:p w14:paraId="7C61C9B7" w14:textId="111BAD32" w:rsidR="00397B49" w:rsidRPr="00A50E4D" w:rsidRDefault="00930C85" w:rsidP="00930C85">
      <w:pPr>
        <w:ind w:left="567" w:right="674"/>
        <w:rPr>
          <w:spacing w:val="-4"/>
          <w:sz w:val="18"/>
          <w:szCs w:val="18"/>
          <w:lang w:val="en-US"/>
        </w:rPr>
      </w:pPr>
      <w:r w:rsidRPr="00A50E4D">
        <w:rPr>
          <w:spacing w:val="-4"/>
          <w:sz w:val="18"/>
          <w:szCs w:val="18"/>
          <w:lang w:val="en-US"/>
        </w:rPr>
        <w:t xml:space="preserve">d) </w:t>
      </w:r>
      <w:r w:rsidR="00397B49" w:rsidRPr="00A50E4D">
        <w:rPr>
          <w:spacing w:val="-4"/>
          <w:sz w:val="18"/>
          <w:szCs w:val="18"/>
          <w:lang w:val="en-US"/>
        </w:rPr>
        <w:t xml:space="preserve">Failing to </w:t>
      </w:r>
      <w:r w:rsidR="004C6D9D" w:rsidRPr="00A50E4D">
        <w:rPr>
          <w:spacing w:val="-4"/>
          <w:sz w:val="18"/>
          <w:szCs w:val="18"/>
          <w:lang w:val="en-US"/>
        </w:rPr>
        <w:t>attend</w:t>
      </w:r>
      <w:r w:rsidR="00397B49" w:rsidRPr="00A50E4D">
        <w:rPr>
          <w:spacing w:val="-4"/>
          <w:sz w:val="18"/>
          <w:szCs w:val="18"/>
          <w:lang w:val="en-US"/>
        </w:rPr>
        <w:t xml:space="preserve"> work without permission and without ju</w:t>
      </w:r>
      <w:r w:rsidR="004C6D9D" w:rsidRPr="00A50E4D">
        <w:rPr>
          <w:spacing w:val="-4"/>
          <w:sz w:val="18"/>
          <w:szCs w:val="18"/>
          <w:lang w:val="en-US"/>
        </w:rPr>
        <w:t>stification for two complete,</w:t>
      </w:r>
      <w:r w:rsidR="00397B49" w:rsidRPr="00A50E4D">
        <w:rPr>
          <w:spacing w:val="-4"/>
          <w:sz w:val="18"/>
          <w:szCs w:val="18"/>
          <w:lang w:val="en-US"/>
        </w:rPr>
        <w:t xml:space="preserve"> consecutive working days, or for three working days in a month; closing the office without legal </w:t>
      </w:r>
      <w:r w:rsidR="004C6D9D" w:rsidRPr="00A50E4D">
        <w:rPr>
          <w:spacing w:val="-4"/>
          <w:sz w:val="18"/>
          <w:szCs w:val="18"/>
          <w:lang w:val="en-US"/>
        </w:rPr>
        <w:t>grounds</w:t>
      </w:r>
      <w:r w:rsidR="00397B49" w:rsidRPr="00A50E4D">
        <w:rPr>
          <w:spacing w:val="-4"/>
          <w:sz w:val="18"/>
          <w:szCs w:val="18"/>
          <w:lang w:val="en-US"/>
        </w:rPr>
        <w:t>, or unduly limiting the working hours or the hours for attending the public. Absences on incomplete days may be added up to complete the preceding time frames;</w:t>
      </w:r>
      <w:r w:rsidR="004C6D9D" w:rsidRPr="00A50E4D">
        <w:rPr>
          <w:spacing w:val="-4"/>
          <w:sz w:val="18"/>
          <w:szCs w:val="18"/>
          <w:lang w:val="en-US"/>
        </w:rPr>
        <w:t xml:space="preserve"> </w:t>
      </w:r>
    </w:p>
    <w:p w14:paraId="6F2CD9E6" w14:textId="63714EDE" w:rsidR="00930C85" w:rsidRPr="00A50E4D" w:rsidRDefault="00930C85" w:rsidP="00397B49">
      <w:pPr>
        <w:ind w:right="674" w:firstLine="567"/>
        <w:rPr>
          <w:spacing w:val="-4"/>
          <w:sz w:val="18"/>
          <w:szCs w:val="18"/>
          <w:lang w:val="en-US"/>
        </w:rPr>
      </w:pPr>
      <w:r w:rsidRPr="00A50E4D">
        <w:rPr>
          <w:rFonts w:eastAsiaTheme="minorHAnsi"/>
          <w:spacing w:val="-4"/>
          <w:sz w:val="18"/>
          <w:szCs w:val="18"/>
          <w:lang w:val="en-US"/>
        </w:rPr>
        <w:t xml:space="preserve">e) </w:t>
      </w:r>
      <w:r w:rsidRPr="00A50E4D">
        <w:rPr>
          <w:spacing w:val="-4"/>
          <w:sz w:val="18"/>
          <w:szCs w:val="18"/>
          <w:lang w:val="en-US"/>
        </w:rPr>
        <w:t>Re</w:t>
      </w:r>
      <w:r w:rsidR="00397B49" w:rsidRPr="00A50E4D">
        <w:rPr>
          <w:spacing w:val="-4"/>
          <w:sz w:val="18"/>
          <w:szCs w:val="18"/>
          <w:lang w:val="en-US"/>
        </w:rPr>
        <w:t xml:space="preserve">petition of a serious offense </w:t>
      </w:r>
      <w:r w:rsidRPr="00A50E4D">
        <w:rPr>
          <w:spacing w:val="-4"/>
          <w:sz w:val="18"/>
          <w:szCs w:val="18"/>
          <w:lang w:val="en-US"/>
        </w:rPr>
        <w:t>[…]</w:t>
      </w:r>
      <w:r w:rsidR="00397B49" w:rsidRPr="00A50E4D">
        <w:rPr>
          <w:spacing w:val="-4"/>
          <w:sz w:val="18"/>
          <w:szCs w:val="18"/>
          <w:lang w:val="en-US"/>
        </w:rPr>
        <w:t>.</w:t>
      </w:r>
      <w:r w:rsidR="009A7ED8" w:rsidRPr="00A50E4D">
        <w:rPr>
          <w:rFonts w:eastAsiaTheme="minorHAnsi"/>
          <w:spacing w:val="-4"/>
          <w:sz w:val="18"/>
          <w:szCs w:val="18"/>
          <w:vertAlign w:val="superscript"/>
          <w:lang w:val="en-US"/>
        </w:rPr>
        <w:footnoteReference w:id="111"/>
      </w:r>
    </w:p>
    <w:p w14:paraId="26B03336" w14:textId="77777777" w:rsidR="00930C85" w:rsidRPr="00A50E4D" w:rsidRDefault="00930C85" w:rsidP="00930C85">
      <w:pPr>
        <w:rPr>
          <w:spacing w:val="-4"/>
          <w:lang w:val="en-US"/>
        </w:rPr>
      </w:pPr>
    </w:p>
    <w:p w14:paraId="50A96353" w14:textId="6A650A9B" w:rsidR="00930C85" w:rsidRPr="00A50E4D" w:rsidRDefault="00930C85" w:rsidP="00930C85">
      <w:pPr>
        <w:pStyle w:val="PrrafodeSentencia"/>
        <w:rPr>
          <w:lang w:val="en-US"/>
        </w:rPr>
      </w:pPr>
      <w:bookmarkStart w:id="139" w:name="_Ref427855676"/>
      <w:r w:rsidRPr="00A50E4D">
        <w:rPr>
          <w:lang w:val="en-US"/>
        </w:rPr>
        <w:t>N</w:t>
      </w:r>
      <w:r w:rsidR="00D10092" w:rsidRPr="00A50E4D">
        <w:rPr>
          <w:lang w:val="en-US"/>
        </w:rPr>
        <w:t>evertheless, the Act did not define what constituted serious offenses.</w:t>
      </w:r>
      <w:r w:rsidRPr="00A50E4D">
        <w:rPr>
          <w:rStyle w:val="FootnoteReference"/>
          <w:rFonts w:cs="Arial"/>
          <w:sz w:val="20"/>
          <w:szCs w:val="20"/>
          <w:lang w:val="en-US"/>
        </w:rPr>
        <w:footnoteReference w:id="112"/>
      </w:r>
      <w:r w:rsidRPr="00A50E4D">
        <w:rPr>
          <w:lang w:val="en-US"/>
        </w:rPr>
        <w:t xml:space="preserve"> </w:t>
      </w:r>
      <w:r w:rsidR="00D10092" w:rsidRPr="00A50E4D">
        <w:rPr>
          <w:lang w:val="en-US"/>
        </w:rPr>
        <w:t>The definition was made in the Regulations,</w:t>
      </w:r>
      <w:r w:rsidRPr="00A50E4D">
        <w:rPr>
          <w:rStyle w:val="FootnoteReference"/>
          <w:rFonts w:cs="Arial"/>
          <w:sz w:val="20"/>
          <w:szCs w:val="20"/>
          <w:lang w:val="en-US"/>
        </w:rPr>
        <w:footnoteReference w:id="113"/>
      </w:r>
      <w:r w:rsidR="00D10092" w:rsidRPr="00A50E4D">
        <w:rPr>
          <w:lang w:val="en-US"/>
        </w:rPr>
        <w:t xml:space="preserve"> according to which those conducts contrary to the effectiveness of the administration of justice constitute</w:t>
      </w:r>
      <w:r w:rsidR="004C6D9D" w:rsidRPr="00A50E4D">
        <w:rPr>
          <w:lang w:val="en-US"/>
        </w:rPr>
        <w:t>d</w:t>
      </w:r>
      <w:r w:rsidR="00D10092" w:rsidRPr="00A50E4D">
        <w:rPr>
          <w:lang w:val="en-US"/>
        </w:rPr>
        <w:t xml:space="preserve"> serious offenses,</w:t>
      </w:r>
      <w:r w:rsidRPr="00A50E4D">
        <w:rPr>
          <w:rStyle w:val="FootnoteReference"/>
          <w:rFonts w:cs="Arial"/>
          <w:sz w:val="20"/>
          <w:szCs w:val="20"/>
          <w:lang w:val="en-US"/>
        </w:rPr>
        <w:footnoteReference w:id="114"/>
      </w:r>
      <w:r w:rsidR="009808C5" w:rsidRPr="00A50E4D">
        <w:rPr>
          <w:lang w:val="en-US"/>
        </w:rPr>
        <w:t xml:space="preserve"> </w:t>
      </w:r>
      <w:r w:rsidR="004C6D9D" w:rsidRPr="00A50E4D">
        <w:rPr>
          <w:lang w:val="en-US"/>
        </w:rPr>
        <w:t>as well as</w:t>
      </w:r>
      <w:r w:rsidR="00D10092" w:rsidRPr="00A50E4D">
        <w:rPr>
          <w:lang w:val="en-US"/>
        </w:rPr>
        <w:t xml:space="preserve"> the repetition of acts that </w:t>
      </w:r>
      <w:r w:rsidR="004C6D9D" w:rsidRPr="00A50E4D">
        <w:rPr>
          <w:lang w:val="en-US"/>
        </w:rPr>
        <w:t>we</w:t>
      </w:r>
      <w:r w:rsidR="006A228E" w:rsidRPr="00A50E4D">
        <w:rPr>
          <w:lang w:val="en-US"/>
        </w:rPr>
        <w:t>re inimical to</w:t>
      </w:r>
      <w:r w:rsidR="00D10092" w:rsidRPr="00A50E4D">
        <w:rPr>
          <w:lang w:val="en-US"/>
        </w:rPr>
        <w:t xml:space="preserve"> the dignity of the administration of justice.</w:t>
      </w:r>
      <w:r w:rsidRPr="00A50E4D">
        <w:rPr>
          <w:rFonts w:eastAsiaTheme="minorHAnsi"/>
          <w:vertAlign w:val="superscript"/>
          <w:lang w:val="en-US" w:eastAsia="en-US"/>
        </w:rPr>
        <w:footnoteReference w:id="115"/>
      </w:r>
      <w:bookmarkEnd w:id="139"/>
    </w:p>
    <w:p w14:paraId="0D5456A6" w14:textId="77777777" w:rsidR="00930C85" w:rsidRPr="00A50E4D" w:rsidRDefault="00930C85" w:rsidP="00930C85">
      <w:pPr>
        <w:pStyle w:val="NoSpacing"/>
        <w:tabs>
          <w:tab w:val="left" w:pos="567"/>
        </w:tabs>
        <w:rPr>
          <w:spacing w:val="-4"/>
          <w:szCs w:val="20"/>
          <w:lang w:val="en-US"/>
        </w:rPr>
      </w:pPr>
    </w:p>
    <w:p w14:paraId="778CDC91" w14:textId="24798136" w:rsidR="00930C85" w:rsidRPr="00A50E4D" w:rsidRDefault="00D10092" w:rsidP="00930C85">
      <w:pPr>
        <w:pStyle w:val="PrrafodeSentencia"/>
        <w:rPr>
          <w:lang w:val="en-US"/>
        </w:rPr>
      </w:pPr>
      <w:r w:rsidRPr="00A50E4D">
        <w:rPr>
          <w:lang w:val="en-US"/>
        </w:rPr>
        <w:t xml:space="preserve">In addition, the </w:t>
      </w:r>
      <w:r w:rsidR="000F4023" w:rsidRPr="00A50E4D">
        <w:rPr>
          <w:lang w:val="en-US"/>
        </w:rPr>
        <w:t>Law on the Organization and Faculties of the Courts</w:t>
      </w:r>
      <w:r w:rsidR="00930C85" w:rsidRPr="00A50E4D">
        <w:rPr>
          <w:lang w:val="en-US"/>
        </w:rPr>
        <w:t xml:space="preserve"> </w:t>
      </w:r>
      <w:r w:rsidRPr="00A50E4D">
        <w:rPr>
          <w:lang w:val="en-US"/>
        </w:rPr>
        <w:t>indicates that</w:t>
      </w:r>
      <w:r w:rsidR="00930C85" w:rsidRPr="00A50E4D">
        <w:rPr>
          <w:lang w:val="en-US"/>
        </w:rPr>
        <w:t>:</w:t>
      </w:r>
    </w:p>
    <w:p w14:paraId="71F6A4B4" w14:textId="77777777" w:rsidR="00930C85" w:rsidRPr="00A50E4D" w:rsidRDefault="00930C85" w:rsidP="00930C85">
      <w:pPr>
        <w:pStyle w:val="NoSpacing"/>
        <w:tabs>
          <w:tab w:val="left" w:pos="567"/>
        </w:tabs>
        <w:rPr>
          <w:spacing w:val="-4"/>
          <w:szCs w:val="20"/>
          <w:lang w:val="en-US"/>
        </w:rPr>
      </w:pPr>
      <w:r w:rsidRPr="00A50E4D">
        <w:rPr>
          <w:spacing w:val="-4"/>
          <w:szCs w:val="20"/>
          <w:lang w:val="en-US"/>
        </w:rPr>
        <w:tab/>
      </w:r>
    </w:p>
    <w:p w14:paraId="529C7185" w14:textId="6FC63BF7" w:rsidR="00930C85" w:rsidRPr="00A50E4D" w:rsidRDefault="00F02FB7" w:rsidP="00D10092">
      <w:pPr>
        <w:pStyle w:val="NoSpacing"/>
        <w:tabs>
          <w:tab w:val="left" w:pos="567"/>
        </w:tabs>
        <w:ind w:left="567" w:right="571"/>
        <w:rPr>
          <w:spacing w:val="-4"/>
          <w:sz w:val="18"/>
          <w:szCs w:val="18"/>
          <w:lang w:val="en-US"/>
        </w:rPr>
      </w:pPr>
      <w:r w:rsidRPr="00A50E4D">
        <w:rPr>
          <w:spacing w:val="-4"/>
          <w:sz w:val="18"/>
          <w:szCs w:val="18"/>
          <w:lang w:val="en-US"/>
        </w:rPr>
        <w:t>Article</w:t>
      </w:r>
      <w:r w:rsidR="00930C85" w:rsidRPr="00A50E4D">
        <w:rPr>
          <w:spacing w:val="-4"/>
          <w:sz w:val="18"/>
          <w:szCs w:val="18"/>
          <w:lang w:val="en-US"/>
        </w:rPr>
        <w:t xml:space="preserve"> 3. </w:t>
      </w:r>
      <w:r w:rsidR="00D10092" w:rsidRPr="00A50E4D">
        <w:rPr>
          <w:spacing w:val="-4"/>
          <w:sz w:val="18"/>
          <w:szCs w:val="18"/>
          <w:lang w:val="en-US"/>
        </w:rPr>
        <w:t xml:space="preserve">Judicial authorities are prohibited from: 1. Intervening in the </w:t>
      </w:r>
      <w:r w:rsidR="004C6D9D" w:rsidRPr="00A50E4D">
        <w:rPr>
          <w:spacing w:val="-4"/>
          <w:sz w:val="18"/>
          <w:szCs w:val="18"/>
          <w:lang w:val="en-US"/>
        </w:rPr>
        <w:t>areas of responsibility</w:t>
      </w:r>
      <w:r w:rsidR="00D10092" w:rsidRPr="00A50E4D">
        <w:rPr>
          <w:spacing w:val="-4"/>
          <w:sz w:val="18"/>
          <w:szCs w:val="18"/>
          <w:lang w:val="en-US"/>
        </w:rPr>
        <w:t xml:space="preserve"> of other authorities and </w:t>
      </w:r>
      <w:r w:rsidR="000A786A" w:rsidRPr="00A50E4D">
        <w:rPr>
          <w:spacing w:val="-4"/>
          <w:sz w:val="18"/>
          <w:szCs w:val="18"/>
          <w:lang w:val="en-US"/>
        </w:rPr>
        <w:t>exercising</w:t>
      </w:r>
      <w:r w:rsidR="00D10092" w:rsidRPr="00A50E4D">
        <w:rPr>
          <w:spacing w:val="-4"/>
          <w:sz w:val="18"/>
          <w:szCs w:val="18"/>
          <w:lang w:val="en-US"/>
        </w:rPr>
        <w:t xml:space="preserve"> </w:t>
      </w:r>
      <w:r w:rsidR="004C6D9D" w:rsidRPr="00A50E4D">
        <w:rPr>
          <w:spacing w:val="-4"/>
          <w:sz w:val="18"/>
          <w:szCs w:val="18"/>
          <w:lang w:val="en-US"/>
        </w:rPr>
        <w:t>responsibilities</w:t>
      </w:r>
      <w:r w:rsidR="00D10092" w:rsidRPr="00A50E4D">
        <w:rPr>
          <w:spacing w:val="-4"/>
          <w:sz w:val="18"/>
          <w:szCs w:val="18"/>
          <w:lang w:val="en-US"/>
        </w:rPr>
        <w:t xml:space="preserve"> other than those established by law. 2. Applying </w:t>
      </w:r>
      <w:r w:rsidR="00D10092" w:rsidRPr="00A50E4D">
        <w:rPr>
          <w:spacing w:val="-4"/>
          <w:sz w:val="18"/>
          <w:szCs w:val="18"/>
          <w:lang w:val="en-US"/>
        </w:rPr>
        <w:lastRenderedPageBreak/>
        <w:t xml:space="preserve">laws, decrees or government decisions contrary to the Constitution. 3. Applying decrees, </w:t>
      </w:r>
      <w:r w:rsidR="000A786A" w:rsidRPr="00A50E4D">
        <w:rPr>
          <w:spacing w:val="-4"/>
          <w:sz w:val="18"/>
          <w:szCs w:val="18"/>
          <w:lang w:val="en-US"/>
        </w:rPr>
        <w:t>regulations</w:t>
      </w:r>
      <w:r w:rsidR="00D10092" w:rsidRPr="00A50E4D">
        <w:rPr>
          <w:spacing w:val="-4"/>
          <w:sz w:val="18"/>
          <w:szCs w:val="18"/>
          <w:lang w:val="en-US"/>
        </w:rPr>
        <w:t>, decisions or other provisions contrary to the law. 4. Addressi</w:t>
      </w:r>
      <w:r w:rsidR="004C6D9D" w:rsidRPr="00A50E4D">
        <w:rPr>
          <w:spacing w:val="-4"/>
          <w:sz w:val="18"/>
          <w:szCs w:val="18"/>
          <w:lang w:val="en-US"/>
        </w:rPr>
        <w:t>ng congratulations or criticism</w:t>
      </w:r>
      <w:r w:rsidR="00D10092" w:rsidRPr="00A50E4D">
        <w:rPr>
          <w:spacing w:val="-4"/>
          <w:sz w:val="18"/>
          <w:szCs w:val="18"/>
          <w:lang w:val="en-US"/>
        </w:rPr>
        <w:t xml:space="preserve"> to the Executive, public officials or official institutions based on their actions. 5. Participating in</w:t>
      </w:r>
      <w:r w:rsidR="004C6D9D" w:rsidRPr="00A50E4D">
        <w:rPr>
          <w:spacing w:val="-4"/>
          <w:sz w:val="18"/>
          <w:szCs w:val="18"/>
          <w:lang w:val="en-US"/>
        </w:rPr>
        <w:t xml:space="preserve"> elections in the territory where</w:t>
      </w:r>
      <w:r w:rsidR="00D10092" w:rsidRPr="00A50E4D">
        <w:rPr>
          <w:spacing w:val="-4"/>
          <w:sz w:val="18"/>
          <w:szCs w:val="18"/>
          <w:lang w:val="en-US"/>
        </w:rPr>
        <w:t xml:space="preserve"> they exercise their functions to a greater extent than merely casting their vote. 6. Intervening in meetings, demonstrations or other acts of a political nature, even though every other citizen is allowed to do so.</w:t>
      </w:r>
    </w:p>
    <w:p w14:paraId="56BBE3C4" w14:textId="77777777" w:rsidR="00930C85" w:rsidRPr="00A50E4D" w:rsidRDefault="00930C85" w:rsidP="00930C85">
      <w:pPr>
        <w:pStyle w:val="NoSpacing"/>
        <w:tabs>
          <w:tab w:val="left" w:pos="567"/>
        </w:tabs>
        <w:ind w:left="567" w:right="571"/>
        <w:rPr>
          <w:spacing w:val="-4"/>
          <w:sz w:val="18"/>
          <w:szCs w:val="18"/>
          <w:lang w:val="en-US"/>
        </w:rPr>
      </w:pPr>
      <w:r w:rsidRPr="00A50E4D">
        <w:rPr>
          <w:spacing w:val="-4"/>
          <w:sz w:val="18"/>
          <w:szCs w:val="18"/>
          <w:lang w:val="en-US"/>
        </w:rPr>
        <w:t>[…]</w:t>
      </w:r>
    </w:p>
    <w:p w14:paraId="011DB7FD" w14:textId="77777777" w:rsidR="00930C85" w:rsidRPr="00A50E4D" w:rsidRDefault="00930C85" w:rsidP="00930C85">
      <w:pPr>
        <w:pStyle w:val="NoSpacing"/>
        <w:tabs>
          <w:tab w:val="left" w:pos="567"/>
        </w:tabs>
        <w:ind w:left="567" w:right="571"/>
        <w:rPr>
          <w:spacing w:val="-4"/>
          <w:sz w:val="18"/>
          <w:szCs w:val="18"/>
          <w:lang w:val="en-US"/>
        </w:rPr>
      </w:pPr>
    </w:p>
    <w:p w14:paraId="5978BCEC" w14:textId="55FA62A4" w:rsidR="00930C85" w:rsidRPr="00A50E4D" w:rsidRDefault="00F02FB7" w:rsidP="00D10092">
      <w:pPr>
        <w:pStyle w:val="NoSpacing"/>
        <w:tabs>
          <w:tab w:val="left" w:pos="567"/>
        </w:tabs>
        <w:ind w:left="567" w:right="571"/>
        <w:rPr>
          <w:spacing w:val="-4"/>
          <w:sz w:val="18"/>
          <w:szCs w:val="18"/>
          <w:lang w:val="en-US"/>
        </w:rPr>
      </w:pPr>
      <w:r w:rsidRPr="00A50E4D">
        <w:rPr>
          <w:spacing w:val="-4"/>
          <w:sz w:val="18"/>
          <w:szCs w:val="18"/>
          <w:lang w:val="en-US"/>
        </w:rPr>
        <w:t>Article</w:t>
      </w:r>
      <w:r w:rsidR="00930C85" w:rsidRPr="00A50E4D">
        <w:rPr>
          <w:spacing w:val="-4"/>
          <w:sz w:val="18"/>
          <w:szCs w:val="18"/>
          <w:lang w:val="en-US"/>
        </w:rPr>
        <w:t xml:space="preserve"> 108. </w:t>
      </w:r>
      <w:r w:rsidR="00D10092" w:rsidRPr="00A50E4D">
        <w:rPr>
          <w:spacing w:val="-4"/>
          <w:sz w:val="18"/>
          <w:szCs w:val="18"/>
          <w:lang w:val="en-US"/>
        </w:rPr>
        <w:t xml:space="preserve">All </w:t>
      </w:r>
      <w:r w:rsidR="004C6D9D" w:rsidRPr="00A50E4D">
        <w:rPr>
          <w:spacing w:val="-4"/>
          <w:sz w:val="18"/>
          <w:szCs w:val="18"/>
          <w:lang w:val="en-US"/>
        </w:rPr>
        <w:t xml:space="preserve">judges and justices </w:t>
      </w:r>
      <w:r w:rsidR="00D10092" w:rsidRPr="00A50E4D">
        <w:rPr>
          <w:spacing w:val="-4"/>
          <w:sz w:val="18"/>
          <w:szCs w:val="18"/>
          <w:lang w:val="en-US"/>
        </w:rPr>
        <w:t>are pro</w:t>
      </w:r>
      <w:r w:rsidR="004C6D9D" w:rsidRPr="00A50E4D">
        <w:rPr>
          <w:spacing w:val="-4"/>
          <w:sz w:val="18"/>
          <w:szCs w:val="18"/>
          <w:lang w:val="en-US"/>
        </w:rPr>
        <w:t>hibited from exercising the law</w:t>
      </w:r>
      <w:r w:rsidR="00D10092" w:rsidRPr="00A50E4D">
        <w:rPr>
          <w:spacing w:val="-4"/>
          <w:sz w:val="18"/>
          <w:szCs w:val="18"/>
          <w:lang w:val="en-US"/>
        </w:rPr>
        <w:t xml:space="preserve"> and prosecution activities in any court or tribunal, and may only defend personal cases, or those involving their spouse, </w:t>
      </w:r>
      <w:r w:rsidR="00080E86" w:rsidRPr="00A50E4D">
        <w:rPr>
          <w:spacing w:val="-4"/>
          <w:sz w:val="18"/>
          <w:szCs w:val="18"/>
          <w:lang w:val="en-US"/>
        </w:rPr>
        <w:t xml:space="preserve">wards, </w:t>
      </w:r>
      <w:r w:rsidR="00D10092" w:rsidRPr="00A50E4D">
        <w:rPr>
          <w:spacing w:val="-4"/>
          <w:sz w:val="18"/>
          <w:szCs w:val="18"/>
          <w:lang w:val="en-US"/>
        </w:rPr>
        <w:t xml:space="preserve">and relatives up to the </w:t>
      </w:r>
      <w:r w:rsidR="00D10092" w:rsidRPr="00A50E4D">
        <w:rPr>
          <w:bCs/>
          <w:sz w:val="18"/>
          <w:szCs w:val="18"/>
          <w:lang w:val="en-US"/>
        </w:rPr>
        <w:t xml:space="preserve">fourth </w:t>
      </w:r>
      <w:r w:rsidR="004C6D9D" w:rsidRPr="00A50E4D">
        <w:rPr>
          <w:bCs/>
          <w:sz w:val="18"/>
          <w:szCs w:val="18"/>
          <w:lang w:val="en-US"/>
        </w:rPr>
        <w:t xml:space="preserve">degree of consanguinity and </w:t>
      </w:r>
      <w:r w:rsidR="00D10092" w:rsidRPr="00A50E4D">
        <w:rPr>
          <w:bCs/>
          <w:sz w:val="18"/>
          <w:szCs w:val="18"/>
          <w:lang w:val="en-US"/>
        </w:rPr>
        <w:t>second degree of affin</w:t>
      </w:r>
      <w:r w:rsidR="00D10092" w:rsidRPr="00A50E4D">
        <w:rPr>
          <w:sz w:val="18"/>
          <w:szCs w:val="18"/>
          <w:lang w:val="en-US"/>
        </w:rPr>
        <w:t xml:space="preserve">ity. The prohibition contained in the preceding paragraph does not include </w:t>
      </w:r>
      <w:r w:rsidR="002A33A0" w:rsidRPr="00A50E4D">
        <w:rPr>
          <w:sz w:val="18"/>
          <w:szCs w:val="18"/>
          <w:lang w:val="en-US"/>
        </w:rPr>
        <w:t>substitute</w:t>
      </w:r>
      <w:r w:rsidR="00D10092" w:rsidRPr="00A50E4D">
        <w:rPr>
          <w:sz w:val="18"/>
          <w:szCs w:val="18"/>
          <w:lang w:val="en-US"/>
        </w:rPr>
        <w:t xml:space="preserve"> judges and justices, or justices of the peace.</w:t>
      </w:r>
      <w:r w:rsidR="00930C85" w:rsidRPr="00A50E4D">
        <w:rPr>
          <w:rStyle w:val="FootnoteReference"/>
          <w:rFonts w:cs="Arial"/>
          <w:spacing w:val="-4"/>
          <w:sz w:val="18"/>
          <w:szCs w:val="18"/>
          <w:lang w:val="en-US"/>
        </w:rPr>
        <w:footnoteReference w:id="116"/>
      </w:r>
    </w:p>
    <w:p w14:paraId="31BDABC3" w14:textId="77777777" w:rsidR="00A34945" w:rsidRPr="00A50E4D" w:rsidRDefault="00A34945" w:rsidP="00FA28C4">
      <w:pPr>
        <w:pStyle w:val="NoSpacing"/>
        <w:tabs>
          <w:tab w:val="left" w:pos="567"/>
        </w:tabs>
        <w:ind w:left="567" w:right="571"/>
        <w:rPr>
          <w:spacing w:val="-4"/>
          <w:sz w:val="18"/>
          <w:szCs w:val="18"/>
          <w:lang w:val="en-US"/>
        </w:rPr>
      </w:pPr>
    </w:p>
    <w:p w14:paraId="07F484ED" w14:textId="6BDEDB6A" w:rsidR="00930C85" w:rsidRPr="00A50E4D" w:rsidRDefault="00930C85" w:rsidP="00930C85">
      <w:pPr>
        <w:pStyle w:val="Heading3"/>
        <w:rPr>
          <w:lang w:val="en-US"/>
        </w:rPr>
      </w:pPr>
      <w:bookmarkStart w:id="140" w:name="_Toc431584627"/>
      <w:bookmarkStart w:id="141" w:name="_Toc471717260"/>
      <w:r w:rsidRPr="00A50E4D">
        <w:rPr>
          <w:lang w:val="en-US"/>
        </w:rPr>
        <w:t xml:space="preserve">B.2) </w:t>
      </w:r>
      <w:bookmarkEnd w:id="140"/>
      <w:r w:rsidR="00D10092" w:rsidRPr="00A50E4D">
        <w:rPr>
          <w:lang w:val="en-US"/>
        </w:rPr>
        <w:t>Competent organs and disciplinary proceedings against judges in Honduras</w:t>
      </w:r>
      <w:bookmarkEnd w:id="141"/>
    </w:p>
    <w:p w14:paraId="4A9C2DBF" w14:textId="77777777" w:rsidR="00930C85" w:rsidRPr="00A50E4D" w:rsidRDefault="00930C85" w:rsidP="00930C85">
      <w:pPr>
        <w:pStyle w:val="NoSpacing"/>
        <w:tabs>
          <w:tab w:val="left" w:pos="567"/>
        </w:tabs>
        <w:rPr>
          <w:spacing w:val="-4"/>
          <w:szCs w:val="20"/>
          <w:lang w:val="en-US"/>
        </w:rPr>
      </w:pPr>
    </w:p>
    <w:p w14:paraId="6493D452" w14:textId="66FF21EA" w:rsidR="00930C85" w:rsidRPr="00A50E4D" w:rsidRDefault="00D10092" w:rsidP="004D0F32">
      <w:pPr>
        <w:pStyle w:val="PrrafodeSentencia"/>
        <w:rPr>
          <w:lang w:val="en-US"/>
        </w:rPr>
      </w:pPr>
      <w:bookmarkStart w:id="142" w:name="_Ref424566725"/>
      <w:r w:rsidRPr="00A50E4D">
        <w:rPr>
          <w:lang w:val="en-US"/>
        </w:rPr>
        <w:t>Article 313 of t</w:t>
      </w:r>
      <w:r w:rsidR="00314E4B" w:rsidRPr="00A50E4D">
        <w:rPr>
          <w:lang w:val="en-US"/>
        </w:rPr>
        <w:t>he Constitution</w:t>
      </w:r>
      <w:r w:rsidR="00930C85" w:rsidRPr="00A50E4D">
        <w:rPr>
          <w:lang w:val="en-US"/>
        </w:rPr>
        <w:t xml:space="preserve"> establ</w:t>
      </w:r>
      <w:r w:rsidRPr="00A50E4D">
        <w:rPr>
          <w:lang w:val="en-US"/>
        </w:rPr>
        <w:t xml:space="preserve">ished that </w:t>
      </w:r>
      <w:r w:rsidR="009808C5" w:rsidRPr="00A50E4D">
        <w:rPr>
          <w:lang w:val="en-US"/>
        </w:rPr>
        <w:t xml:space="preserve">the </w:t>
      </w:r>
      <w:r w:rsidR="00700DEC" w:rsidRPr="00A50E4D">
        <w:rPr>
          <w:lang w:val="en-US"/>
        </w:rPr>
        <w:t>Supreme Court</w:t>
      </w:r>
      <w:r w:rsidR="00930C85" w:rsidRPr="00A50E4D">
        <w:rPr>
          <w:lang w:val="en-US"/>
        </w:rPr>
        <w:t xml:space="preserve"> </w:t>
      </w:r>
      <w:r w:rsidRPr="00A50E4D">
        <w:rPr>
          <w:lang w:val="en-US"/>
        </w:rPr>
        <w:t xml:space="preserve">was competent “[t]o appoint and to remove </w:t>
      </w:r>
      <w:r w:rsidR="009927AA" w:rsidRPr="00A50E4D">
        <w:rPr>
          <w:lang w:val="en-US"/>
        </w:rPr>
        <w:t xml:space="preserve">justices and judges, </w:t>
      </w:r>
      <w:r w:rsidR="002A33A0" w:rsidRPr="00A50E4D">
        <w:rPr>
          <w:lang w:val="en-US"/>
        </w:rPr>
        <w:t>at the</w:t>
      </w:r>
      <w:r w:rsidR="009927AA" w:rsidRPr="00A50E4D">
        <w:rPr>
          <w:lang w:val="en-US"/>
        </w:rPr>
        <w:t xml:space="preserve"> proposal</w:t>
      </w:r>
      <w:r w:rsidR="00930C85" w:rsidRPr="00A50E4D">
        <w:rPr>
          <w:lang w:val="en-US"/>
        </w:rPr>
        <w:t xml:space="preserve"> </w:t>
      </w:r>
      <w:r w:rsidR="002A33A0" w:rsidRPr="00A50E4D">
        <w:rPr>
          <w:lang w:val="en-US"/>
        </w:rPr>
        <w:t>of</w:t>
      </w:r>
      <w:r w:rsidRPr="00A50E4D">
        <w:rPr>
          <w:lang w:val="en-US"/>
        </w:rPr>
        <w:t xml:space="preserve"> the Judicial Service Council.</w:t>
      </w:r>
      <w:r w:rsidR="00930C85" w:rsidRPr="00A50E4D">
        <w:rPr>
          <w:lang w:val="en-US"/>
        </w:rPr>
        <w:t>”</w:t>
      </w:r>
      <w:r w:rsidR="00930C85" w:rsidRPr="00A50E4D">
        <w:rPr>
          <w:rStyle w:val="FootnoteReference"/>
          <w:rFonts w:cs="Arial"/>
          <w:sz w:val="20"/>
          <w:szCs w:val="20"/>
          <w:lang w:val="en-US"/>
        </w:rPr>
        <w:footnoteReference w:id="117"/>
      </w:r>
      <w:r w:rsidRPr="00A50E4D">
        <w:rPr>
          <w:lang w:val="en-US"/>
        </w:rPr>
        <w:t xml:space="preserve"> Likewise, the </w:t>
      </w:r>
      <w:r w:rsidR="000F4023" w:rsidRPr="00A50E4D">
        <w:rPr>
          <w:lang w:val="en-US"/>
        </w:rPr>
        <w:t>Law on the Organization and Faculties of the Courts</w:t>
      </w:r>
      <w:r w:rsidR="00930C85" w:rsidRPr="00A50E4D">
        <w:rPr>
          <w:lang w:val="en-US"/>
        </w:rPr>
        <w:t xml:space="preserve"> establ</w:t>
      </w:r>
      <w:r w:rsidRPr="00A50E4D">
        <w:rPr>
          <w:lang w:val="en-US"/>
        </w:rPr>
        <w:t xml:space="preserve">ishes that </w:t>
      </w:r>
      <w:r w:rsidR="009808C5" w:rsidRPr="00A50E4D">
        <w:rPr>
          <w:lang w:val="en-US"/>
        </w:rPr>
        <w:t xml:space="preserve">the </w:t>
      </w:r>
      <w:r w:rsidR="00700DEC" w:rsidRPr="00A50E4D">
        <w:rPr>
          <w:lang w:val="en-US"/>
        </w:rPr>
        <w:t>Supreme Court</w:t>
      </w:r>
      <w:r w:rsidR="00930C85" w:rsidRPr="00A50E4D">
        <w:rPr>
          <w:lang w:val="en-US"/>
        </w:rPr>
        <w:t xml:space="preserve"> </w:t>
      </w:r>
      <w:r w:rsidRPr="00A50E4D">
        <w:rPr>
          <w:lang w:val="en-US"/>
        </w:rPr>
        <w:t xml:space="preserve">has the authority “[t]o suspend, for disciplinary reasons, and to remove officials that it has appointed based on misconduct or serious offenses in the exercise of their functions, by summary information and </w:t>
      </w:r>
      <w:r w:rsidR="004D0F32" w:rsidRPr="00A50E4D">
        <w:rPr>
          <w:lang w:val="en-US"/>
        </w:rPr>
        <w:t xml:space="preserve">a </w:t>
      </w:r>
      <w:r w:rsidRPr="00A50E4D">
        <w:rPr>
          <w:lang w:val="en-US"/>
        </w:rPr>
        <w:t xml:space="preserve">hearing </w:t>
      </w:r>
      <w:r w:rsidR="004D0F32" w:rsidRPr="00A50E4D">
        <w:rPr>
          <w:lang w:val="en-US"/>
        </w:rPr>
        <w:t>for the official who it is proposed to suspend or dismiss.</w:t>
      </w:r>
      <w:r w:rsidR="00930C85" w:rsidRPr="00A50E4D">
        <w:rPr>
          <w:lang w:val="en-US"/>
        </w:rPr>
        <w:t>”</w:t>
      </w:r>
      <w:r w:rsidR="00930C85" w:rsidRPr="00A50E4D">
        <w:rPr>
          <w:rStyle w:val="FootnoteReference"/>
          <w:rFonts w:cs="Arial"/>
          <w:sz w:val="20"/>
          <w:szCs w:val="20"/>
          <w:lang w:val="en-US"/>
        </w:rPr>
        <w:footnoteReference w:id="118"/>
      </w:r>
      <w:bookmarkEnd w:id="142"/>
    </w:p>
    <w:p w14:paraId="16454920" w14:textId="77777777" w:rsidR="00930C85" w:rsidRPr="00A50E4D" w:rsidRDefault="00930C85" w:rsidP="00930C85">
      <w:pPr>
        <w:pStyle w:val="NoSpacing"/>
        <w:tabs>
          <w:tab w:val="left" w:pos="567"/>
        </w:tabs>
        <w:rPr>
          <w:spacing w:val="-4"/>
          <w:szCs w:val="20"/>
          <w:lang w:val="en-US"/>
        </w:rPr>
      </w:pPr>
      <w:r w:rsidRPr="00A50E4D">
        <w:rPr>
          <w:spacing w:val="-4"/>
          <w:szCs w:val="20"/>
          <w:lang w:val="en-US"/>
        </w:rPr>
        <w:t xml:space="preserve">  </w:t>
      </w:r>
    </w:p>
    <w:p w14:paraId="7B130359" w14:textId="5711EA19" w:rsidR="00930C85" w:rsidRPr="00A50E4D" w:rsidRDefault="004D0F32" w:rsidP="00930C85">
      <w:pPr>
        <w:pStyle w:val="PrrafodeSentencia"/>
        <w:rPr>
          <w:lang w:val="en-US"/>
        </w:rPr>
      </w:pPr>
      <w:r w:rsidRPr="00A50E4D">
        <w:rPr>
          <w:lang w:val="en-US"/>
        </w:rPr>
        <w:t xml:space="preserve">Meanwhile, according to </w:t>
      </w:r>
      <w:r w:rsidR="00F02FB7" w:rsidRPr="00A50E4D">
        <w:rPr>
          <w:lang w:val="en-US"/>
        </w:rPr>
        <w:t>article</w:t>
      </w:r>
      <w:r w:rsidR="00930C85" w:rsidRPr="00A50E4D">
        <w:rPr>
          <w:lang w:val="en-US"/>
        </w:rPr>
        <w:t xml:space="preserve"> 6 </w:t>
      </w:r>
      <w:r w:rsidRPr="00A50E4D">
        <w:rPr>
          <w:lang w:val="en-US"/>
        </w:rPr>
        <w:t>of the Judicial</w:t>
      </w:r>
      <w:r w:rsidR="00277E12" w:rsidRPr="00A50E4D">
        <w:rPr>
          <w:lang w:val="en-US"/>
        </w:rPr>
        <w:t xml:space="preserve"> Service Act</w:t>
      </w:r>
      <w:r w:rsidR="00930C85" w:rsidRPr="00A50E4D">
        <w:rPr>
          <w:lang w:val="en-US"/>
        </w:rPr>
        <w:t xml:space="preserve">, </w:t>
      </w:r>
      <w:r w:rsidR="00277E12" w:rsidRPr="00A50E4D">
        <w:rPr>
          <w:lang w:val="en-US"/>
        </w:rPr>
        <w:t>the disciplinary proceedings</w:t>
      </w:r>
      <w:r w:rsidR="00930C85" w:rsidRPr="00A50E4D">
        <w:rPr>
          <w:lang w:val="en-US"/>
        </w:rPr>
        <w:t xml:space="preserve"> </w:t>
      </w:r>
      <w:r w:rsidRPr="00A50E4D">
        <w:rPr>
          <w:lang w:val="en-US"/>
        </w:rPr>
        <w:t>were administered by three bodies:</w:t>
      </w:r>
      <w:r w:rsidR="00930C85" w:rsidRPr="00A50E4D">
        <w:rPr>
          <w:lang w:val="en-US"/>
        </w:rPr>
        <w:t xml:space="preserve"> </w:t>
      </w:r>
      <w:r w:rsidR="006A756C" w:rsidRPr="00A50E4D">
        <w:rPr>
          <w:lang w:val="en-US"/>
        </w:rPr>
        <w:t>the Judicial Service Council</w:t>
      </w:r>
      <w:r w:rsidR="00930C85" w:rsidRPr="00A50E4D">
        <w:rPr>
          <w:lang w:val="en-US"/>
        </w:rPr>
        <w:t xml:space="preserve">, </w:t>
      </w:r>
      <w:r w:rsidRPr="00A50E4D">
        <w:rPr>
          <w:lang w:val="en-US"/>
        </w:rPr>
        <w:t xml:space="preserve">the </w:t>
      </w:r>
      <w:r w:rsidR="00D563D1" w:rsidRPr="00A50E4D">
        <w:rPr>
          <w:lang w:val="en-US"/>
        </w:rPr>
        <w:t>Personnel Management Directorate</w:t>
      </w:r>
      <w:r w:rsidR="009808C5" w:rsidRPr="00A50E4D">
        <w:rPr>
          <w:lang w:val="en-US"/>
        </w:rPr>
        <w:t xml:space="preserve"> and the </w:t>
      </w:r>
      <w:r w:rsidRPr="00A50E4D">
        <w:rPr>
          <w:lang w:val="en-US"/>
        </w:rPr>
        <w:t>Personnel Selection Committee.</w:t>
      </w:r>
      <w:r w:rsidR="00930C85" w:rsidRPr="00A50E4D">
        <w:rPr>
          <w:rStyle w:val="FootnoteReference"/>
          <w:rFonts w:cs="Arial"/>
          <w:sz w:val="20"/>
          <w:szCs w:val="20"/>
          <w:lang w:val="en-US"/>
        </w:rPr>
        <w:footnoteReference w:id="119"/>
      </w:r>
      <w:r w:rsidRPr="00A50E4D">
        <w:rPr>
          <w:lang w:val="en-US"/>
        </w:rPr>
        <w:t xml:space="preserve"> T</w:t>
      </w:r>
      <w:r w:rsidR="009808C5" w:rsidRPr="00A50E4D">
        <w:rPr>
          <w:lang w:val="en-US"/>
        </w:rPr>
        <w:t xml:space="preserve">he </w:t>
      </w:r>
      <w:r w:rsidR="00371BB7" w:rsidRPr="00A50E4D">
        <w:rPr>
          <w:lang w:val="en-US"/>
        </w:rPr>
        <w:t>Supreme Court of Justice</w:t>
      </w:r>
      <w:r w:rsidR="00930C85" w:rsidRPr="00A50E4D">
        <w:rPr>
          <w:lang w:val="en-US"/>
        </w:rPr>
        <w:t xml:space="preserve">, </w:t>
      </w:r>
      <w:r w:rsidR="006A756C" w:rsidRPr="00A50E4D">
        <w:rPr>
          <w:lang w:val="en-US"/>
        </w:rPr>
        <w:t>the Judicial Service Council</w:t>
      </w:r>
      <w:r w:rsidR="00930C85" w:rsidRPr="00A50E4D">
        <w:rPr>
          <w:lang w:val="en-US"/>
        </w:rPr>
        <w:t xml:space="preserve">, </w:t>
      </w:r>
      <w:r w:rsidRPr="00A50E4D">
        <w:rPr>
          <w:lang w:val="en-US"/>
        </w:rPr>
        <w:t xml:space="preserve">the </w:t>
      </w:r>
      <w:r w:rsidR="00D563D1" w:rsidRPr="00A50E4D">
        <w:rPr>
          <w:lang w:val="en-US"/>
        </w:rPr>
        <w:t>Personnel Management Directorate</w:t>
      </w:r>
      <w:r w:rsidR="009808C5" w:rsidRPr="00A50E4D">
        <w:rPr>
          <w:lang w:val="en-US"/>
        </w:rPr>
        <w:t xml:space="preserve"> and</w:t>
      </w:r>
      <w:r w:rsidRPr="00A50E4D">
        <w:rPr>
          <w:lang w:val="en-US"/>
        </w:rPr>
        <w:t xml:space="preserve">, during the initial stage, the </w:t>
      </w:r>
      <w:r w:rsidR="00277E12" w:rsidRPr="00A50E4D">
        <w:rPr>
          <w:lang w:val="en-US"/>
        </w:rPr>
        <w:t>General Inspectorate of Courts</w:t>
      </w:r>
      <w:r w:rsidRPr="00A50E4D">
        <w:rPr>
          <w:lang w:val="en-US"/>
        </w:rPr>
        <w:t>, took part in the proceedings against the presumed victims</w:t>
      </w:r>
      <w:r w:rsidR="00930C85" w:rsidRPr="00A50E4D">
        <w:rPr>
          <w:lang w:val="en-US"/>
        </w:rPr>
        <w:t xml:space="preserve">. </w:t>
      </w:r>
    </w:p>
    <w:p w14:paraId="23746C6A" w14:textId="77777777" w:rsidR="00930C85" w:rsidRPr="00A50E4D" w:rsidRDefault="00930C85" w:rsidP="00930C85">
      <w:pPr>
        <w:pStyle w:val="ListParagraph"/>
        <w:numPr>
          <w:ilvl w:val="0"/>
          <w:numId w:val="0"/>
        </w:numPr>
        <w:rPr>
          <w:spacing w:val="-4"/>
          <w:lang w:val="en-US"/>
        </w:rPr>
      </w:pPr>
    </w:p>
    <w:p w14:paraId="446FD462" w14:textId="3E1BEA48" w:rsidR="00930C85" w:rsidRPr="00A50E4D" w:rsidRDefault="006A756C" w:rsidP="004D0F32">
      <w:pPr>
        <w:pStyle w:val="PrrafodeSentencia"/>
        <w:rPr>
          <w:lang w:val="en-US"/>
        </w:rPr>
      </w:pPr>
      <w:bookmarkStart w:id="143" w:name="_Ref427310976"/>
      <w:r w:rsidRPr="00A50E4D">
        <w:rPr>
          <w:lang w:val="en-US"/>
        </w:rPr>
        <w:t>The Judicial Service Council</w:t>
      </w:r>
      <w:r w:rsidR="00FA28C4" w:rsidRPr="00A50E4D">
        <w:rPr>
          <w:lang w:val="en-US"/>
        </w:rPr>
        <w:t xml:space="preserve"> depend</w:t>
      </w:r>
      <w:r w:rsidR="004D0F32" w:rsidRPr="00A50E4D">
        <w:rPr>
          <w:lang w:val="en-US"/>
        </w:rPr>
        <w:t xml:space="preserve">ed on </w:t>
      </w:r>
      <w:r w:rsidR="009808C5" w:rsidRPr="00A50E4D">
        <w:rPr>
          <w:lang w:val="en-US"/>
        </w:rPr>
        <w:t xml:space="preserve">the </w:t>
      </w:r>
      <w:r w:rsidR="00371BB7" w:rsidRPr="00A50E4D">
        <w:rPr>
          <w:lang w:val="en-US"/>
        </w:rPr>
        <w:t>Supreme Court of Justice</w:t>
      </w:r>
      <w:r w:rsidR="009808C5" w:rsidRPr="00A50E4D">
        <w:rPr>
          <w:lang w:val="en-US"/>
        </w:rPr>
        <w:t xml:space="preserve"> and </w:t>
      </w:r>
      <w:r w:rsidR="004D0F32" w:rsidRPr="00A50E4D">
        <w:rPr>
          <w:lang w:val="en-US"/>
        </w:rPr>
        <w:t xml:space="preserve">was its auxiliary “as regards the </w:t>
      </w:r>
      <w:r w:rsidR="002763C0" w:rsidRPr="00A50E4D">
        <w:rPr>
          <w:lang w:val="en-US"/>
        </w:rPr>
        <w:t xml:space="preserve">Personnel </w:t>
      </w:r>
      <w:r w:rsidR="000B62CF" w:rsidRPr="00A50E4D">
        <w:rPr>
          <w:lang w:val="en-US"/>
        </w:rPr>
        <w:t>Management</w:t>
      </w:r>
      <w:r w:rsidR="004D0F32" w:rsidRPr="00A50E4D">
        <w:rPr>
          <w:lang w:val="en-US"/>
        </w:rPr>
        <w:t xml:space="preserve"> policy. It is composed of five members designated by the Supreme Court of Justice, two of whom are justices of that court.</w:t>
      </w:r>
      <w:r w:rsidR="00930C85" w:rsidRPr="00A50E4D">
        <w:rPr>
          <w:rStyle w:val="FootnoteReference"/>
          <w:rFonts w:cs="Arial"/>
          <w:sz w:val="20"/>
          <w:szCs w:val="20"/>
          <w:lang w:val="en-US"/>
        </w:rPr>
        <w:footnoteReference w:id="120"/>
      </w:r>
      <w:r w:rsidR="004D0F32" w:rsidRPr="00A50E4D">
        <w:rPr>
          <w:lang w:val="en-US"/>
        </w:rPr>
        <w:t xml:space="preserve"> The Council’s functions include hearing and deciding “[t]he problems, conflicts and claims filed with regard to </w:t>
      </w:r>
      <w:r w:rsidR="002763C0" w:rsidRPr="00A50E4D">
        <w:rPr>
          <w:lang w:val="en-US"/>
        </w:rPr>
        <w:t xml:space="preserve">Personnel </w:t>
      </w:r>
      <w:r w:rsidR="000B62CF" w:rsidRPr="00A50E4D">
        <w:rPr>
          <w:lang w:val="en-US"/>
        </w:rPr>
        <w:t>Management</w:t>
      </w:r>
      <w:r w:rsidR="004D0F32" w:rsidRPr="00A50E4D">
        <w:rPr>
          <w:lang w:val="en-US"/>
        </w:rPr>
        <w:t xml:space="preserve"> and those that arise between management and personnel as a result of the </w:t>
      </w:r>
      <w:r w:rsidR="004D0F32" w:rsidRPr="00A50E4D">
        <w:rPr>
          <w:lang w:val="en-US"/>
        </w:rPr>
        <w:lastRenderedPageBreak/>
        <w:t>application of [the</w:t>
      </w:r>
      <w:r w:rsidR="00930C85" w:rsidRPr="00A50E4D">
        <w:rPr>
          <w:lang w:val="en-US"/>
        </w:rPr>
        <w:t xml:space="preserve"> </w:t>
      </w:r>
      <w:r w:rsidR="00277E12" w:rsidRPr="00A50E4D">
        <w:rPr>
          <w:lang w:val="en-US"/>
        </w:rPr>
        <w:t>Judicial Service Act</w:t>
      </w:r>
      <w:r w:rsidR="00930C85" w:rsidRPr="00A50E4D">
        <w:rPr>
          <w:lang w:val="en-US"/>
        </w:rPr>
        <w:t>],</w:t>
      </w:r>
      <w:r w:rsidR="009808C5" w:rsidRPr="00A50E4D">
        <w:rPr>
          <w:lang w:val="en-US"/>
        </w:rPr>
        <w:t xml:space="preserve"> and </w:t>
      </w:r>
      <w:r w:rsidR="004D0F32" w:rsidRPr="00A50E4D">
        <w:rPr>
          <w:lang w:val="en-US"/>
        </w:rPr>
        <w:t xml:space="preserve">of the admissible appeals filed against the decisions of the </w:t>
      </w:r>
      <w:r w:rsidR="00D563D1" w:rsidRPr="00A50E4D">
        <w:rPr>
          <w:lang w:val="en-US"/>
        </w:rPr>
        <w:t>Personnel Management Directorate</w:t>
      </w:r>
      <w:r w:rsidR="004D0F32" w:rsidRPr="00A50E4D">
        <w:rPr>
          <w:lang w:val="en-US"/>
        </w:rPr>
        <w:t>.</w:t>
      </w:r>
      <w:r w:rsidR="00930C85" w:rsidRPr="00A50E4D">
        <w:rPr>
          <w:lang w:val="en-US"/>
        </w:rPr>
        <w:t>”</w:t>
      </w:r>
      <w:r w:rsidR="00930C85" w:rsidRPr="00A50E4D">
        <w:rPr>
          <w:rStyle w:val="FootnoteReference"/>
          <w:rFonts w:cs="Arial"/>
          <w:sz w:val="20"/>
          <w:szCs w:val="20"/>
          <w:lang w:val="en-US"/>
        </w:rPr>
        <w:footnoteReference w:id="121"/>
      </w:r>
      <w:bookmarkEnd w:id="143"/>
    </w:p>
    <w:p w14:paraId="11337E15" w14:textId="77777777" w:rsidR="00930C85" w:rsidRPr="00A50E4D" w:rsidRDefault="00930C85" w:rsidP="00930C85">
      <w:pPr>
        <w:pStyle w:val="NoSpacing"/>
        <w:tabs>
          <w:tab w:val="left" w:pos="567"/>
        </w:tabs>
        <w:rPr>
          <w:spacing w:val="-4"/>
          <w:szCs w:val="20"/>
          <w:lang w:val="en-US"/>
        </w:rPr>
      </w:pPr>
    </w:p>
    <w:p w14:paraId="7F78B43B" w14:textId="7ECF6239" w:rsidR="00930C85" w:rsidRPr="00A50E4D" w:rsidRDefault="004D0F32" w:rsidP="00930C85">
      <w:pPr>
        <w:pStyle w:val="PrrafodeSentencia"/>
        <w:rPr>
          <w:lang w:val="en-US"/>
        </w:rPr>
      </w:pPr>
      <w:r w:rsidRPr="00A50E4D">
        <w:rPr>
          <w:lang w:val="en-US"/>
        </w:rPr>
        <w:t xml:space="preserve">In addition, the </w:t>
      </w:r>
      <w:r w:rsidR="00D563D1" w:rsidRPr="00A50E4D">
        <w:rPr>
          <w:lang w:val="en-US"/>
        </w:rPr>
        <w:t>Personnel Management Directorate</w:t>
      </w:r>
      <w:r w:rsidRPr="00A50E4D">
        <w:rPr>
          <w:lang w:val="en-US"/>
        </w:rPr>
        <w:t xml:space="preserve"> is</w:t>
      </w:r>
      <w:r w:rsidR="00930C85" w:rsidRPr="00A50E4D">
        <w:rPr>
          <w:lang w:val="en-US"/>
        </w:rPr>
        <w:t xml:space="preserve"> “</w:t>
      </w:r>
      <w:r w:rsidRPr="00A50E4D">
        <w:rPr>
          <w:lang w:val="en-US"/>
        </w:rPr>
        <w:t>the executive body responsible for applying</w:t>
      </w:r>
      <w:r w:rsidR="00930C85" w:rsidRPr="00A50E4D">
        <w:rPr>
          <w:lang w:val="en-US"/>
        </w:rPr>
        <w:t xml:space="preserve"> [</w:t>
      </w:r>
      <w:r w:rsidRPr="00A50E4D">
        <w:rPr>
          <w:lang w:val="en-US"/>
        </w:rPr>
        <w:t>the Judicial</w:t>
      </w:r>
      <w:r w:rsidR="00277E12" w:rsidRPr="00A50E4D">
        <w:rPr>
          <w:lang w:val="en-US"/>
        </w:rPr>
        <w:t xml:space="preserve"> Service Act</w:t>
      </w:r>
      <w:r w:rsidRPr="00A50E4D">
        <w:rPr>
          <w:lang w:val="en-US"/>
        </w:rPr>
        <w:t>]” The Head</w:t>
      </w:r>
      <w:r w:rsidR="009927AA" w:rsidRPr="00A50E4D">
        <w:rPr>
          <w:lang w:val="en-US"/>
        </w:rPr>
        <w:t xml:space="preserve"> of the D</w:t>
      </w:r>
      <w:r w:rsidRPr="00A50E4D">
        <w:rPr>
          <w:lang w:val="en-US"/>
        </w:rPr>
        <w:t xml:space="preserve">irectorate is appointed by </w:t>
      </w:r>
      <w:r w:rsidR="009808C5" w:rsidRPr="00A50E4D">
        <w:rPr>
          <w:lang w:val="en-US"/>
        </w:rPr>
        <w:t xml:space="preserve">the </w:t>
      </w:r>
      <w:r w:rsidR="00371BB7" w:rsidRPr="00A50E4D">
        <w:rPr>
          <w:lang w:val="en-US"/>
        </w:rPr>
        <w:t>Supreme Court of Justice</w:t>
      </w:r>
      <w:r w:rsidRPr="00A50E4D">
        <w:rPr>
          <w:lang w:val="en-US"/>
        </w:rPr>
        <w:t>.</w:t>
      </w:r>
      <w:r w:rsidR="00930C85" w:rsidRPr="00A50E4D">
        <w:rPr>
          <w:rStyle w:val="FootnoteReference"/>
          <w:rFonts w:cs="Arial"/>
          <w:sz w:val="20"/>
          <w:szCs w:val="20"/>
          <w:lang w:val="en-US"/>
        </w:rPr>
        <w:footnoteReference w:id="122"/>
      </w:r>
    </w:p>
    <w:p w14:paraId="54A73C02" w14:textId="77777777" w:rsidR="00930C85" w:rsidRPr="00A50E4D" w:rsidRDefault="00930C85" w:rsidP="00930C85">
      <w:pPr>
        <w:pStyle w:val="ListParagraph"/>
        <w:numPr>
          <w:ilvl w:val="0"/>
          <w:numId w:val="0"/>
        </w:numPr>
        <w:rPr>
          <w:spacing w:val="-4"/>
          <w:lang w:val="en-US"/>
        </w:rPr>
      </w:pPr>
    </w:p>
    <w:p w14:paraId="2EB60D3E" w14:textId="1683B679" w:rsidR="00930C85" w:rsidRPr="00A50E4D" w:rsidRDefault="009927AA" w:rsidP="00930C85">
      <w:pPr>
        <w:pStyle w:val="PrrafodeSentencia"/>
        <w:rPr>
          <w:lang w:val="en-US"/>
        </w:rPr>
      </w:pPr>
      <w:r w:rsidRPr="00A50E4D">
        <w:rPr>
          <w:lang w:val="en-US"/>
        </w:rPr>
        <w:t xml:space="preserve">Lastly, the Supreme Court carries out judicial oversight through the </w:t>
      </w:r>
      <w:r w:rsidR="00277E12" w:rsidRPr="00A50E4D">
        <w:rPr>
          <w:lang w:val="en-US"/>
        </w:rPr>
        <w:t>General Inspectorate of Courts</w:t>
      </w:r>
      <w:r w:rsidR="00930C85" w:rsidRPr="00A50E4D">
        <w:rPr>
          <w:lang w:val="en-US"/>
        </w:rPr>
        <w:t>,</w:t>
      </w:r>
      <w:r w:rsidRPr="00A50E4D">
        <w:rPr>
          <w:lang w:val="en-US"/>
        </w:rPr>
        <w:t xml:space="preserve"> which is</w:t>
      </w:r>
      <w:r w:rsidR="00930C85" w:rsidRPr="00A50E4D">
        <w:rPr>
          <w:lang w:val="en-US"/>
        </w:rPr>
        <w:t xml:space="preserve"> regula</w:t>
      </w:r>
      <w:r w:rsidRPr="00A50E4D">
        <w:rPr>
          <w:lang w:val="en-US"/>
        </w:rPr>
        <w:t xml:space="preserve">ted by the </w:t>
      </w:r>
      <w:r w:rsidR="000F4023" w:rsidRPr="00A50E4D">
        <w:rPr>
          <w:lang w:val="en-US"/>
        </w:rPr>
        <w:t>rules of procedure</w:t>
      </w:r>
      <w:r w:rsidRPr="00A50E4D">
        <w:rPr>
          <w:lang w:val="en-US"/>
        </w:rPr>
        <w:t xml:space="preserve"> of the </w:t>
      </w:r>
      <w:r w:rsidR="00277E12" w:rsidRPr="00A50E4D">
        <w:rPr>
          <w:lang w:val="en-US"/>
        </w:rPr>
        <w:t>General Inspectorate of Courts</w:t>
      </w:r>
      <w:r w:rsidRPr="00A50E4D">
        <w:rPr>
          <w:lang w:val="en-US"/>
        </w:rPr>
        <w:t>.</w:t>
      </w:r>
      <w:r w:rsidR="00930C85" w:rsidRPr="00A50E4D">
        <w:rPr>
          <w:rStyle w:val="FootnoteReference"/>
          <w:sz w:val="20"/>
          <w:szCs w:val="20"/>
          <w:lang w:val="en-US"/>
        </w:rPr>
        <w:footnoteReference w:id="123"/>
      </w:r>
      <w:r w:rsidR="00930C85" w:rsidRPr="00A50E4D">
        <w:rPr>
          <w:lang w:val="en-US"/>
        </w:rPr>
        <w:t xml:space="preserve"> </w:t>
      </w:r>
      <w:r w:rsidRPr="00A50E4D">
        <w:rPr>
          <w:lang w:val="en-US"/>
        </w:rPr>
        <w:t>The</w:t>
      </w:r>
      <w:r w:rsidR="00930C85" w:rsidRPr="00A50E4D">
        <w:rPr>
          <w:lang w:val="en-US"/>
        </w:rPr>
        <w:t xml:space="preserve"> Inspector General, </w:t>
      </w:r>
      <w:r w:rsidRPr="00A50E4D">
        <w:rPr>
          <w:lang w:val="en-US"/>
        </w:rPr>
        <w:t>responsible for the</w:t>
      </w:r>
      <w:r w:rsidR="00930C85" w:rsidRPr="00A50E4D">
        <w:rPr>
          <w:lang w:val="en-US"/>
        </w:rPr>
        <w:t xml:space="preserve"> </w:t>
      </w:r>
      <w:r w:rsidR="00277E12" w:rsidRPr="00A50E4D">
        <w:rPr>
          <w:lang w:val="en-US"/>
        </w:rPr>
        <w:t>General Inspectorate of Courts</w:t>
      </w:r>
      <w:r w:rsidR="00930C85" w:rsidRPr="00A50E4D">
        <w:rPr>
          <w:lang w:val="en-US"/>
        </w:rPr>
        <w:t>,</w:t>
      </w:r>
      <w:r w:rsidR="009808C5" w:rsidRPr="00A50E4D">
        <w:rPr>
          <w:lang w:val="en-US"/>
        </w:rPr>
        <w:t xml:space="preserve"> and </w:t>
      </w:r>
      <w:r w:rsidRPr="00A50E4D">
        <w:rPr>
          <w:lang w:val="en-US"/>
        </w:rPr>
        <w:t xml:space="preserve">the other inspectors are appointed by </w:t>
      </w:r>
      <w:r w:rsidR="009808C5" w:rsidRPr="00A50E4D">
        <w:rPr>
          <w:lang w:val="en-US"/>
        </w:rPr>
        <w:t xml:space="preserve">the </w:t>
      </w:r>
      <w:r w:rsidR="00371BB7" w:rsidRPr="00A50E4D">
        <w:rPr>
          <w:lang w:val="en-US"/>
        </w:rPr>
        <w:t>Supreme Court of Justice</w:t>
      </w:r>
      <w:r w:rsidR="00930C85" w:rsidRPr="00A50E4D">
        <w:rPr>
          <w:lang w:val="en-US"/>
        </w:rPr>
        <w:t xml:space="preserve"> “</w:t>
      </w:r>
      <w:r w:rsidRPr="00A50E4D">
        <w:rPr>
          <w:lang w:val="en-US"/>
        </w:rPr>
        <w:t>after they have passed a public competition.</w:t>
      </w:r>
      <w:r w:rsidR="00930C85" w:rsidRPr="00A50E4D">
        <w:rPr>
          <w:lang w:val="en-US"/>
        </w:rPr>
        <w:t>”</w:t>
      </w:r>
      <w:r w:rsidR="00930C85" w:rsidRPr="00A50E4D">
        <w:rPr>
          <w:rStyle w:val="FootnoteReference"/>
          <w:rFonts w:cs="Arial"/>
          <w:sz w:val="20"/>
          <w:szCs w:val="20"/>
          <w:lang w:val="en-US"/>
        </w:rPr>
        <w:footnoteReference w:id="124"/>
      </w:r>
    </w:p>
    <w:p w14:paraId="1926C84F" w14:textId="77777777" w:rsidR="00930C85" w:rsidRPr="00A50E4D" w:rsidRDefault="00930C85" w:rsidP="00930C85">
      <w:pPr>
        <w:rPr>
          <w:spacing w:val="-4"/>
          <w:lang w:val="en-US"/>
        </w:rPr>
      </w:pPr>
    </w:p>
    <w:p w14:paraId="7FDF4ECB" w14:textId="3C345656" w:rsidR="00930C85" w:rsidRPr="00A50E4D" w:rsidRDefault="00930C85" w:rsidP="00930C85">
      <w:pPr>
        <w:pStyle w:val="Heading3"/>
        <w:rPr>
          <w:lang w:val="en-US"/>
        </w:rPr>
      </w:pPr>
      <w:bookmarkStart w:id="144" w:name="_Toc431584628"/>
      <w:bookmarkStart w:id="145" w:name="_Toc471717261"/>
      <w:r w:rsidRPr="00A50E4D">
        <w:rPr>
          <w:lang w:val="en-US"/>
        </w:rPr>
        <w:t xml:space="preserve">B.3) </w:t>
      </w:r>
      <w:r w:rsidR="00457FEC" w:rsidRPr="00A50E4D">
        <w:rPr>
          <w:lang w:val="en-US"/>
        </w:rPr>
        <w:t>The proceeding</w:t>
      </w:r>
      <w:r w:rsidR="009927AA" w:rsidRPr="00A50E4D">
        <w:rPr>
          <w:lang w:val="en-US"/>
        </w:rPr>
        <w:t xml:space="preserve"> for removing judges</w:t>
      </w:r>
      <w:r w:rsidRPr="00A50E4D">
        <w:rPr>
          <w:lang w:val="en-US"/>
        </w:rPr>
        <w:t xml:space="preserve"> </w:t>
      </w:r>
      <w:r w:rsidR="00700DEC" w:rsidRPr="00A50E4D">
        <w:rPr>
          <w:lang w:val="en-US"/>
        </w:rPr>
        <w:t>in Honduras</w:t>
      </w:r>
      <w:bookmarkStart w:id="146" w:name="_Ref424570283"/>
      <w:bookmarkEnd w:id="144"/>
      <w:bookmarkEnd w:id="145"/>
    </w:p>
    <w:p w14:paraId="34DEC89E" w14:textId="77777777" w:rsidR="00930C85" w:rsidRPr="00A50E4D" w:rsidRDefault="00930C85" w:rsidP="00930C85">
      <w:pPr>
        <w:rPr>
          <w:spacing w:val="-4"/>
          <w:lang w:val="en-US"/>
        </w:rPr>
      </w:pPr>
    </w:p>
    <w:p w14:paraId="61C32D70" w14:textId="7E20B237" w:rsidR="00930C85" w:rsidRPr="00A50E4D" w:rsidRDefault="004D0F32" w:rsidP="00171F4E">
      <w:pPr>
        <w:pStyle w:val="PrrafodeSentencia"/>
        <w:rPr>
          <w:lang w:val="en-US"/>
        </w:rPr>
      </w:pPr>
      <w:bookmarkStart w:id="147" w:name="_Ref433883931"/>
      <w:r w:rsidRPr="00A50E4D">
        <w:rPr>
          <w:lang w:val="en-US"/>
        </w:rPr>
        <w:t>The Judicial</w:t>
      </w:r>
      <w:r w:rsidR="00277E12" w:rsidRPr="00A50E4D">
        <w:rPr>
          <w:lang w:val="en-US"/>
        </w:rPr>
        <w:t xml:space="preserve"> Service Act</w:t>
      </w:r>
      <w:r w:rsidR="00930C85" w:rsidRPr="00A50E4D">
        <w:rPr>
          <w:lang w:val="en-US"/>
        </w:rPr>
        <w:t xml:space="preserve"> establ</w:t>
      </w:r>
      <w:r w:rsidR="00457FEC" w:rsidRPr="00A50E4D">
        <w:rPr>
          <w:lang w:val="en-US"/>
        </w:rPr>
        <w:t xml:space="preserve">ishes that: </w:t>
      </w:r>
      <w:r w:rsidR="00FA5B9B" w:rsidRPr="00A50E4D">
        <w:rPr>
          <w:lang w:val="en-US"/>
        </w:rPr>
        <w:t>“[t</w:t>
      </w:r>
      <w:r w:rsidR="00930C85" w:rsidRPr="00A50E4D">
        <w:rPr>
          <w:lang w:val="en-US"/>
        </w:rPr>
        <w:t>]</w:t>
      </w:r>
      <w:r w:rsidR="00FA5B9B" w:rsidRPr="00A50E4D">
        <w:rPr>
          <w:lang w:val="en-US"/>
        </w:rPr>
        <w:t xml:space="preserve">he sanction of dismissal may only be applied by means of summary information and a hearing of the person concerned, </w:t>
      </w:r>
      <w:r w:rsidR="00E678F7" w:rsidRPr="00A50E4D">
        <w:rPr>
          <w:lang w:val="en-US"/>
        </w:rPr>
        <w:t>carrying out</w:t>
      </w:r>
      <w:r w:rsidR="00FA5B9B" w:rsidRPr="00A50E4D">
        <w:rPr>
          <w:lang w:val="en-US"/>
        </w:rPr>
        <w:t xml:space="preserve"> the pertinent investigations and </w:t>
      </w:r>
      <w:r w:rsidR="00171F4E" w:rsidRPr="00A50E4D">
        <w:rPr>
          <w:lang w:val="en-US"/>
        </w:rPr>
        <w:t>obtaining the necessary evidence.</w:t>
      </w:r>
      <w:r w:rsidR="00E678F7" w:rsidRPr="00A50E4D">
        <w:rPr>
          <w:lang w:val="en-US"/>
        </w:rPr>
        <w:t xml:space="preserve"> The dismissal is final when any</w:t>
      </w:r>
      <w:r w:rsidR="00171F4E" w:rsidRPr="00A50E4D">
        <w:rPr>
          <w:lang w:val="en-US"/>
        </w:rPr>
        <w:t xml:space="preserve"> appeals filed by the </w:t>
      </w:r>
      <w:r w:rsidR="0047350B" w:rsidRPr="00A50E4D">
        <w:rPr>
          <w:lang w:val="en-US"/>
        </w:rPr>
        <w:t>defendant</w:t>
      </w:r>
      <w:r w:rsidR="00171F4E" w:rsidRPr="00A50E4D">
        <w:rPr>
          <w:lang w:val="en-US"/>
        </w:rPr>
        <w:t xml:space="preserve"> have been exhausted and decided.”</w:t>
      </w:r>
      <w:r w:rsidR="00171F4E" w:rsidRPr="00A50E4D">
        <w:rPr>
          <w:rStyle w:val="FootnoteReference"/>
          <w:rFonts w:cs="Arial"/>
          <w:sz w:val="20"/>
          <w:szCs w:val="20"/>
          <w:lang w:val="en-US"/>
        </w:rPr>
        <w:footnoteReference w:id="125"/>
      </w:r>
      <w:r w:rsidR="00171F4E" w:rsidRPr="00A50E4D">
        <w:rPr>
          <w:lang w:val="en-US"/>
        </w:rPr>
        <w:t xml:space="preserve"> According to the </w:t>
      </w:r>
      <w:r w:rsidR="00CB63E6" w:rsidRPr="00A50E4D">
        <w:rPr>
          <w:lang w:val="en-US"/>
        </w:rPr>
        <w:t>Regulations governing the Judicial Service</w:t>
      </w:r>
      <w:r w:rsidR="00277E12" w:rsidRPr="00A50E4D">
        <w:rPr>
          <w:lang w:val="en-US"/>
        </w:rPr>
        <w:t xml:space="preserve"> Act</w:t>
      </w:r>
      <w:r w:rsidR="00930C85" w:rsidRPr="00A50E4D">
        <w:rPr>
          <w:lang w:val="en-US"/>
        </w:rPr>
        <w:t xml:space="preserve"> </w:t>
      </w:r>
      <w:r w:rsidR="00E678F7" w:rsidRPr="00A50E4D">
        <w:rPr>
          <w:lang w:val="en-US"/>
        </w:rPr>
        <w:t>the initial decision corresponded</w:t>
      </w:r>
      <w:r w:rsidR="00171F4E" w:rsidRPr="00A50E4D">
        <w:rPr>
          <w:lang w:val="en-US"/>
        </w:rPr>
        <w:t xml:space="preserve"> to </w:t>
      </w:r>
      <w:r w:rsidRPr="00A50E4D">
        <w:rPr>
          <w:lang w:val="en-US"/>
        </w:rPr>
        <w:t xml:space="preserve">the </w:t>
      </w:r>
      <w:r w:rsidR="00D563D1" w:rsidRPr="00A50E4D">
        <w:rPr>
          <w:lang w:val="en-US"/>
        </w:rPr>
        <w:t>Personnel Management Directorate</w:t>
      </w:r>
      <w:r w:rsidR="00171F4E" w:rsidRPr="00A50E4D">
        <w:rPr>
          <w:lang w:val="en-US"/>
        </w:rPr>
        <w:t>.</w:t>
      </w:r>
      <w:r w:rsidR="00930C85" w:rsidRPr="00A50E4D">
        <w:rPr>
          <w:rStyle w:val="FootnoteReference"/>
          <w:rFonts w:cs="Arial"/>
          <w:sz w:val="20"/>
          <w:szCs w:val="20"/>
          <w:lang w:val="en-US"/>
        </w:rPr>
        <w:footnoteReference w:id="126"/>
      </w:r>
      <w:r w:rsidR="00171F4E" w:rsidRPr="00A50E4D">
        <w:rPr>
          <w:lang w:val="en-US"/>
        </w:rPr>
        <w:t xml:space="preserve"> However, according to the Constitution in force and the </w:t>
      </w:r>
      <w:r w:rsidR="000F4023" w:rsidRPr="00A50E4D">
        <w:rPr>
          <w:lang w:val="en-US"/>
        </w:rPr>
        <w:t>Law on the Organization and Faculties of the Courts</w:t>
      </w:r>
      <w:r w:rsidR="00930C85" w:rsidRPr="00A50E4D">
        <w:rPr>
          <w:lang w:val="en-US"/>
        </w:rPr>
        <w:t xml:space="preserve">, </w:t>
      </w:r>
      <w:r w:rsidR="00E678F7" w:rsidRPr="00A50E4D">
        <w:rPr>
          <w:lang w:val="en-US"/>
        </w:rPr>
        <w:t>this provision</w:t>
      </w:r>
      <w:r w:rsidR="00171F4E" w:rsidRPr="00A50E4D">
        <w:rPr>
          <w:lang w:val="en-US"/>
        </w:rPr>
        <w:t xml:space="preserve"> was not applied because it corresponded to </w:t>
      </w:r>
      <w:r w:rsidR="009808C5" w:rsidRPr="00A50E4D">
        <w:rPr>
          <w:lang w:val="en-US"/>
        </w:rPr>
        <w:t xml:space="preserve">the </w:t>
      </w:r>
      <w:r w:rsidR="00700DEC" w:rsidRPr="00A50E4D">
        <w:rPr>
          <w:lang w:val="en-US"/>
        </w:rPr>
        <w:t>Supreme Court</w:t>
      </w:r>
      <w:r w:rsidR="00930C85" w:rsidRPr="00A50E4D">
        <w:rPr>
          <w:lang w:val="en-US"/>
        </w:rPr>
        <w:t xml:space="preserve"> </w:t>
      </w:r>
      <w:r w:rsidR="000A786A" w:rsidRPr="00A50E4D">
        <w:rPr>
          <w:lang w:val="en-US"/>
        </w:rPr>
        <w:t>to</w:t>
      </w:r>
      <w:r w:rsidR="00171F4E" w:rsidRPr="00A50E4D">
        <w:rPr>
          <w:lang w:val="en-US"/>
        </w:rPr>
        <w:t xml:space="preserve"> remove </w:t>
      </w:r>
      <w:r w:rsidR="009808C5" w:rsidRPr="00A50E4D">
        <w:rPr>
          <w:lang w:val="en-US"/>
        </w:rPr>
        <w:t>judges</w:t>
      </w:r>
      <w:r w:rsidR="00930C85" w:rsidRPr="00A50E4D">
        <w:rPr>
          <w:lang w:val="en-US"/>
        </w:rPr>
        <w:t xml:space="preserve"> o</w:t>
      </w:r>
      <w:r w:rsidR="00171F4E" w:rsidRPr="00A50E4D">
        <w:rPr>
          <w:lang w:val="en-US"/>
        </w:rPr>
        <w:t>r</w:t>
      </w:r>
      <w:r w:rsidR="00930C85" w:rsidRPr="00A50E4D">
        <w:rPr>
          <w:lang w:val="en-US"/>
        </w:rPr>
        <w:t xml:space="preserve"> </w:t>
      </w:r>
      <w:r w:rsidR="00277E12" w:rsidRPr="00A50E4D">
        <w:rPr>
          <w:lang w:val="en-US"/>
        </w:rPr>
        <w:t>justices</w:t>
      </w:r>
      <w:r w:rsidR="00930C85" w:rsidRPr="00A50E4D">
        <w:rPr>
          <w:lang w:val="en-US"/>
        </w:rPr>
        <w:t xml:space="preserve">, </w:t>
      </w:r>
      <w:r w:rsidR="00E678F7" w:rsidRPr="00A50E4D">
        <w:rPr>
          <w:lang w:val="en-US"/>
        </w:rPr>
        <w:t>at the proposal of</w:t>
      </w:r>
      <w:r w:rsidR="006A756C" w:rsidRPr="00A50E4D">
        <w:rPr>
          <w:lang w:val="en-US"/>
        </w:rPr>
        <w:t xml:space="preserve"> the Judicial Service Council</w:t>
      </w:r>
      <w:r w:rsidR="00930C85" w:rsidRPr="00A50E4D">
        <w:rPr>
          <w:lang w:val="en-US"/>
        </w:rPr>
        <w:t xml:space="preserve"> (</w:t>
      </w:r>
      <w:r w:rsidR="00930C85" w:rsidRPr="00A50E4D">
        <w:rPr>
          <w:i/>
          <w:lang w:val="en-US"/>
        </w:rPr>
        <w:t xml:space="preserve">supra </w:t>
      </w:r>
      <w:r w:rsidR="00AD5EE7" w:rsidRPr="00A50E4D">
        <w:rPr>
          <w:lang w:val="en-US"/>
        </w:rPr>
        <w:t>para.</w:t>
      </w:r>
      <w:r w:rsidR="00930C85" w:rsidRPr="00A50E4D">
        <w:rPr>
          <w:lang w:val="en-US"/>
        </w:rPr>
        <w:t xml:space="preserve"> </w:t>
      </w:r>
      <w:r w:rsidR="00930C85" w:rsidRPr="00914F55">
        <w:rPr>
          <w:lang w:val="en-US"/>
        </w:rPr>
        <w:fldChar w:fldCharType="begin"/>
      </w:r>
      <w:r w:rsidR="00930C85" w:rsidRPr="00A50E4D">
        <w:rPr>
          <w:lang w:val="en-US"/>
        </w:rPr>
        <w:instrText xml:space="preserve"> REF _Ref424566725 \r \h  \* MERGEFORMAT </w:instrText>
      </w:r>
      <w:r w:rsidR="00930C85" w:rsidRPr="00914F55">
        <w:rPr>
          <w:lang w:val="en-US"/>
        </w:rPr>
      </w:r>
      <w:r w:rsidR="00930C85" w:rsidRPr="00914F55">
        <w:rPr>
          <w:lang w:val="en-US"/>
        </w:rPr>
        <w:fldChar w:fldCharType="separate"/>
      </w:r>
      <w:r w:rsidR="00547588">
        <w:rPr>
          <w:lang w:val="en-US"/>
        </w:rPr>
        <w:t>77</w:t>
      </w:r>
      <w:r w:rsidR="00930C85" w:rsidRPr="00914F55">
        <w:rPr>
          <w:lang w:val="en-US"/>
        </w:rPr>
        <w:fldChar w:fldCharType="end"/>
      </w:r>
      <w:r w:rsidR="00930C85" w:rsidRPr="00A50E4D">
        <w:rPr>
          <w:lang w:val="en-US"/>
        </w:rPr>
        <w:t xml:space="preserve">). </w:t>
      </w:r>
      <w:r w:rsidR="00171F4E" w:rsidRPr="00A50E4D">
        <w:rPr>
          <w:lang w:val="en-US"/>
        </w:rPr>
        <w:t xml:space="preserve">It is on record that, in the case </w:t>
      </w:r>
      <w:r w:rsidR="00371BB7" w:rsidRPr="00A50E4D">
        <w:rPr>
          <w:lang w:val="en-US"/>
        </w:rPr>
        <w:t>of the presumed victims</w:t>
      </w:r>
      <w:r w:rsidR="00171F4E" w:rsidRPr="00A50E4D">
        <w:rPr>
          <w:lang w:val="en-US"/>
        </w:rPr>
        <w:t>, it was</w:t>
      </w:r>
      <w:r w:rsidR="00930C85" w:rsidRPr="00A50E4D">
        <w:rPr>
          <w:lang w:val="en-US"/>
        </w:rPr>
        <w:t xml:space="preserve"> </w:t>
      </w:r>
      <w:r w:rsidR="009808C5" w:rsidRPr="00A50E4D">
        <w:rPr>
          <w:lang w:val="en-US"/>
        </w:rPr>
        <w:t xml:space="preserve">the </w:t>
      </w:r>
      <w:r w:rsidR="00371BB7" w:rsidRPr="00A50E4D">
        <w:rPr>
          <w:lang w:val="en-US"/>
        </w:rPr>
        <w:t>Supreme Court of Justice</w:t>
      </w:r>
      <w:r w:rsidR="00930C85" w:rsidRPr="00A50E4D">
        <w:rPr>
          <w:lang w:val="en-US"/>
        </w:rPr>
        <w:t xml:space="preserve"> </w:t>
      </w:r>
      <w:r w:rsidR="00171F4E" w:rsidRPr="00A50E4D">
        <w:rPr>
          <w:lang w:val="en-US"/>
        </w:rPr>
        <w:t>that removed the</w:t>
      </w:r>
      <w:r w:rsidR="00930C85" w:rsidRPr="00A50E4D">
        <w:rPr>
          <w:lang w:val="en-US"/>
        </w:rPr>
        <w:t xml:space="preserve"> </w:t>
      </w:r>
      <w:r w:rsidR="009808C5" w:rsidRPr="00A50E4D">
        <w:rPr>
          <w:lang w:val="en-US"/>
        </w:rPr>
        <w:t xml:space="preserve">judges and </w:t>
      </w:r>
      <w:r w:rsidR="00171F4E" w:rsidRPr="00A50E4D">
        <w:rPr>
          <w:lang w:val="en-US"/>
        </w:rPr>
        <w:t>justice</w:t>
      </w:r>
      <w:r w:rsidR="00930C85" w:rsidRPr="00A50E4D">
        <w:rPr>
          <w:lang w:val="en-US"/>
        </w:rPr>
        <w:t xml:space="preserve">, </w:t>
      </w:r>
      <w:r w:rsidR="00E678F7" w:rsidRPr="00A50E4D">
        <w:rPr>
          <w:lang w:val="en-US"/>
        </w:rPr>
        <w:t>at the proposal of</w:t>
      </w:r>
      <w:r w:rsidR="00930C85" w:rsidRPr="00A50E4D">
        <w:rPr>
          <w:lang w:val="en-US"/>
        </w:rPr>
        <w:t xml:space="preserve"> </w:t>
      </w:r>
      <w:r w:rsidRPr="00A50E4D">
        <w:rPr>
          <w:lang w:val="en-US"/>
        </w:rPr>
        <w:t xml:space="preserve">the </w:t>
      </w:r>
      <w:r w:rsidR="00D563D1" w:rsidRPr="00A50E4D">
        <w:rPr>
          <w:lang w:val="en-US"/>
        </w:rPr>
        <w:t>Personnel Management Directorate</w:t>
      </w:r>
      <w:r w:rsidR="00171F4E" w:rsidRPr="00A50E4D">
        <w:rPr>
          <w:lang w:val="en-US"/>
        </w:rPr>
        <w:t>.</w:t>
      </w:r>
      <w:r w:rsidR="00930C85" w:rsidRPr="00A50E4D">
        <w:rPr>
          <w:rStyle w:val="FootnoteReference"/>
          <w:sz w:val="20"/>
          <w:szCs w:val="20"/>
          <w:lang w:val="en-US"/>
        </w:rPr>
        <w:footnoteReference w:id="127"/>
      </w:r>
      <w:r w:rsidR="00171F4E" w:rsidRPr="00A50E4D">
        <w:rPr>
          <w:lang w:val="en-US"/>
        </w:rPr>
        <w:t xml:space="preserve"> This was not contemplated in either </w:t>
      </w:r>
      <w:r w:rsidR="00314E4B" w:rsidRPr="00A50E4D">
        <w:rPr>
          <w:lang w:val="en-US"/>
        </w:rPr>
        <w:t>the Constitution</w:t>
      </w:r>
      <w:r w:rsidR="00930C85" w:rsidRPr="00A50E4D">
        <w:rPr>
          <w:lang w:val="en-US"/>
        </w:rPr>
        <w:t xml:space="preserve"> </w:t>
      </w:r>
      <w:r w:rsidR="00171F4E" w:rsidRPr="00A50E4D">
        <w:rPr>
          <w:lang w:val="en-US"/>
        </w:rPr>
        <w:t>or</w:t>
      </w:r>
      <w:r w:rsidR="00930C85" w:rsidRPr="00A50E4D">
        <w:rPr>
          <w:lang w:val="en-US"/>
        </w:rPr>
        <w:t xml:space="preserve"> </w:t>
      </w:r>
      <w:r w:rsidRPr="00A50E4D">
        <w:rPr>
          <w:lang w:val="en-US"/>
        </w:rPr>
        <w:t>the Judicial</w:t>
      </w:r>
      <w:r w:rsidR="00277E12" w:rsidRPr="00A50E4D">
        <w:rPr>
          <w:lang w:val="en-US"/>
        </w:rPr>
        <w:t xml:space="preserve"> Service Act</w:t>
      </w:r>
      <w:r w:rsidR="00930C85" w:rsidRPr="00A50E4D">
        <w:rPr>
          <w:lang w:val="en-US"/>
        </w:rPr>
        <w:t xml:space="preserve"> o</w:t>
      </w:r>
      <w:r w:rsidR="00171F4E" w:rsidRPr="00A50E4D">
        <w:rPr>
          <w:lang w:val="en-US"/>
        </w:rPr>
        <w:t>r its Re</w:t>
      </w:r>
      <w:r w:rsidR="00E678F7" w:rsidRPr="00A50E4D">
        <w:rPr>
          <w:lang w:val="en-US"/>
        </w:rPr>
        <w:t xml:space="preserve">gulations; rather it </w:t>
      </w:r>
      <w:r w:rsidR="00E678F7" w:rsidRPr="00A50E4D">
        <w:rPr>
          <w:lang w:val="en-US"/>
        </w:rPr>
        <w:lastRenderedPageBreak/>
        <w:t>reflected</w:t>
      </w:r>
      <w:r w:rsidR="00171F4E" w:rsidRPr="00A50E4D">
        <w:rPr>
          <w:lang w:val="en-US"/>
        </w:rPr>
        <w:t xml:space="preserve"> the way in which the State applied the </w:t>
      </w:r>
      <w:r w:rsidR="00E678F7" w:rsidRPr="00A50E4D">
        <w:rPr>
          <w:lang w:val="en-US"/>
        </w:rPr>
        <w:t xml:space="preserve">relevant </w:t>
      </w:r>
      <w:r w:rsidR="00171F4E" w:rsidRPr="00A50E4D">
        <w:rPr>
          <w:lang w:val="en-US"/>
        </w:rPr>
        <w:t>procedural norms</w:t>
      </w:r>
      <w:r w:rsidR="00E678F7" w:rsidRPr="00A50E4D">
        <w:rPr>
          <w:lang w:val="en-US"/>
        </w:rPr>
        <w:t xml:space="preserve"> </w:t>
      </w:r>
      <w:r w:rsidR="00171F4E" w:rsidRPr="00A50E4D">
        <w:rPr>
          <w:lang w:val="en-US"/>
        </w:rPr>
        <w:t xml:space="preserve">in force at the time of the facts </w:t>
      </w:r>
      <w:r w:rsidR="00930C85" w:rsidRPr="00A50E4D">
        <w:rPr>
          <w:lang w:val="en-US"/>
        </w:rPr>
        <w:t>(</w:t>
      </w:r>
      <w:r w:rsidRPr="00A50E4D">
        <w:rPr>
          <w:lang w:val="en-US"/>
        </w:rPr>
        <w:t>the Judicial</w:t>
      </w:r>
      <w:r w:rsidR="00277E12" w:rsidRPr="00A50E4D">
        <w:rPr>
          <w:lang w:val="en-US"/>
        </w:rPr>
        <w:t xml:space="preserve"> Service Act</w:t>
      </w:r>
      <w:r w:rsidR="009808C5" w:rsidRPr="00A50E4D">
        <w:rPr>
          <w:lang w:val="en-US"/>
        </w:rPr>
        <w:t xml:space="preserve"> and </w:t>
      </w:r>
      <w:r w:rsidR="00171F4E" w:rsidRPr="00A50E4D">
        <w:rPr>
          <w:lang w:val="en-US"/>
        </w:rPr>
        <w:t>its Regulations</w:t>
      </w:r>
      <w:r w:rsidR="00930C85" w:rsidRPr="00A50E4D">
        <w:rPr>
          <w:lang w:val="en-US"/>
        </w:rPr>
        <w:t xml:space="preserve">, </w:t>
      </w:r>
      <w:r w:rsidR="00930C85" w:rsidRPr="00A50E4D">
        <w:rPr>
          <w:i/>
          <w:lang w:val="en-US"/>
        </w:rPr>
        <w:t xml:space="preserve">supra </w:t>
      </w:r>
      <w:r w:rsidR="00AD5EE7" w:rsidRPr="00A50E4D">
        <w:rPr>
          <w:lang w:val="en-US"/>
        </w:rPr>
        <w:t>para.</w:t>
      </w:r>
      <w:r w:rsidR="00930C85" w:rsidRPr="00A50E4D">
        <w:rPr>
          <w:lang w:val="en-US"/>
        </w:rPr>
        <w:t xml:space="preserve"> </w:t>
      </w:r>
      <w:r w:rsidR="00930C85" w:rsidRPr="00914F55">
        <w:rPr>
          <w:lang w:val="en-US"/>
        </w:rPr>
        <w:fldChar w:fldCharType="begin"/>
      </w:r>
      <w:r w:rsidR="00930C85" w:rsidRPr="00A50E4D">
        <w:rPr>
          <w:lang w:val="en-US"/>
        </w:rPr>
        <w:instrText xml:space="preserve"> REF _Ref424808616 \r \h  \* MERGEFORMAT </w:instrText>
      </w:r>
      <w:r w:rsidR="00930C85" w:rsidRPr="00914F55">
        <w:rPr>
          <w:lang w:val="en-US"/>
        </w:rPr>
      </w:r>
      <w:r w:rsidR="00930C85" w:rsidRPr="00914F55">
        <w:rPr>
          <w:lang w:val="en-US"/>
        </w:rPr>
        <w:fldChar w:fldCharType="separate"/>
      </w:r>
      <w:r w:rsidR="00547588">
        <w:rPr>
          <w:lang w:val="en-US"/>
        </w:rPr>
        <w:t>70</w:t>
      </w:r>
      <w:r w:rsidR="00930C85" w:rsidRPr="00914F55">
        <w:rPr>
          <w:lang w:val="en-US"/>
        </w:rPr>
        <w:fldChar w:fldCharType="end"/>
      </w:r>
      <w:r w:rsidR="00930C85" w:rsidRPr="00A50E4D">
        <w:rPr>
          <w:lang w:val="en-US"/>
        </w:rPr>
        <w:t>)</w:t>
      </w:r>
      <w:r w:rsidR="00E678F7" w:rsidRPr="00A50E4D">
        <w:rPr>
          <w:lang w:val="en-US"/>
        </w:rPr>
        <w:t xml:space="preserve">, together with constitutional </w:t>
      </w:r>
      <w:r w:rsidR="00171F4E" w:rsidRPr="00A50E4D">
        <w:rPr>
          <w:lang w:val="en-US"/>
        </w:rPr>
        <w:t>provisions</w:t>
      </w:r>
      <w:bookmarkEnd w:id="146"/>
      <w:bookmarkEnd w:id="147"/>
      <w:r w:rsidR="00E678F7" w:rsidRPr="00A50E4D">
        <w:rPr>
          <w:lang w:val="en-US"/>
        </w:rPr>
        <w:t>, to the disciplinary proceedings of the presumed victims</w:t>
      </w:r>
    </w:p>
    <w:p w14:paraId="17B30BF0" w14:textId="77777777" w:rsidR="00930C85" w:rsidRPr="00A50E4D" w:rsidRDefault="00930C85" w:rsidP="00930C85">
      <w:pPr>
        <w:pStyle w:val="NoSpacing"/>
        <w:tabs>
          <w:tab w:val="left" w:pos="567"/>
        </w:tabs>
        <w:rPr>
          <w:b/>
          <w:spacing w:val="-4"/>
          <w:szCs w:val="20"/>
          <w:lang w:val="en-US"/>
        </w:rPr>
      </w:pPr>
    </w:p>
    <w:p w14:paraId="4ADDBF64" w14:textId="533AA054" w:rsidR="00930C85" w:rsidRPr="00A50E4D" w:rsidRDefault="00E678F7" w:rsidP="0047350B">
      <w:pPr>
        <w:pStyle w:val="PrrafodeSentencia"/>
        <w:rPr>
          <w:u w:val="single"/>
          <w:lang w:val="en-US"/>
        </w:rPr>
      </w:pPr>
      <w:r w:rsidRPr="00A50E4D">
        <w:rPr>
          <w:lang w:val="en-US"/>
        </w:rPr>
        <w:t>However</w:t>
      </w:r>
      <w:r w:rsidR="0047350B" w:rsidRPr="00A50E4D">
        <w:rPr>
          <w:lang w:val="en-US"/>
        </w:rPr>
        <w:t xml:space="preserve">, according to </w:t>
      </w:r>
      <w:r w:rsidR="009808C5" w:rsidRPr="00A50E4D">
        <w:rPr>
          <w:lang w:val="en-US"/>
        </w:rPr>
        <w:t xml:space="preserve">the </w:t>
      </w:r>
      <w:r w:rsidR="0047350B" w:rsidRPr="00A50E4D">
        <w:rPr>
          <w:lang w:val="en-US"/>
        </w:rPr>
        <w:t>rules of procedure of the General</w:t>
      </w:r>
      <w:r w:rsidR="00277E12" w:rsidRPr="00A50E4D">
        <w:rPr>
          <w:lang w:val="en-US"/>
        </w:rPr>
        <w:t xml:space="preserve"> Inspectorate of Courts</w:t>
      </w:r>
      <w:r w:rsidR="00EC1DE2" w:rsidRPr="00A50E4D">
        <w:rPr>
          <w:lang w:val="en-US"/>
        </w:rPr>
        <w:t>,</w:t>
      </w:r>
      <w:r w:rsidR="0047350B" w:rsidRPr="00A50E4D">
        <w:rPr>
          <w:lang w:val="en-US"/>
        </w:rPr>
        <w:t xml:space="preserve"> and</w:t>
      </w:r>
      <w:r w:rsidR="00EC1DE2" w:rsidRPr="00A50E4D">
        <w:rPr>
          <w:lang w:val="en-US"/>
        </w:rPr>
        <w:t xml:space="preserve"> </w:t>
      </w:r>
      <w:r w:rsidR="004D0F32" w:rsidRPr="00A50E4D">
        <w:rPr>
          <w:lang w:val="en-US"/>
        </w:rPr>
        <w:t>the Judicial</w:t>
      </w:r>
      <w:r w:rsidR="00277E12" w:rsidRPr="00A50E4D">
        <w:rPr>
          <w:lang w:val="en-US"/>
        </w:rPr>
        <w:t xml:space="preserve"> Service Act</w:t>
      </w:r>
      <w:r w:rsidR="009808C5" w:rsidRPr="00A50E4D">
        <w:rPr>
          <w:lang w:val="en-US"/>
        </w:rPr>
        <w:t xml:space="preserve"> and </w:t>
      </w:r>
      <w:r w:rsidR="00171F4E" w:rsidRPr="00A50E4D">
        <w:rPr>
          <w:lang w:val="en-US"/>
        </w:rPr>
        <w:t>its Regulations</w:t>
      </w:r>
      <w:r w:rsidR="00EC1DE2" w:rsidRPr="00A50E4D">
        <w:rPr>
          <w:lang w:val="en-US"/>
        </w:rPr>
        <w:t>,</w:t>
      </w:r>
      <w:r w:rsidR="00930C85" w:rsidRPr="00A50E4D">
        <w:rPr>
          <w:lang w:val="en-US"/>
        </w:rPr>
        <w:t xml:space="preserve"> </w:t>
      </w:r>
      <w:r w:rsidR="0047350B" w:rsidRPr="00A50E4D">
        <w:rPr>
          <w:lang w:val="en-US"/>
        </w:rPr>
        <w:t>disciplinary proceedings were initiated by an investigation carried out by the General</w:t>
      </w:r>
      <w:r w:rsidR="00277E12" w:rsidRPr="00A50E4D">
        <w:rPr>
          <w:lang w:val="en-US"/>
        </w:rPr>
        <w:t xml:space="preserve"> Inspectorate of Courts</w:t>
      </w:r>
      <w:r w:rsidR="00930C85" w:rsidRPr="00A50E4D">
        <w:rPr>
          <w:lang w:val="en-US"/>
        </w:rPr>
        <w:t>,</w:t>
      </w:r>
      <w:r w:rsidR="0047350B" w:rsidRPr="00A50E4D">
        <w:rPr>
          <w:lang w:val="en-US"/>
        </w:rPr>
        <w:t xml:space="preserve"> </w:t>
      </w:r>
      <w:r w:rsidR="0047350B" w:rsidRPr="00A50E4D">
        <w:rPr>
          <w:i/>
          <w:lang w:val="en-US"/>
        </w:rPr>
        <w:t>ex officio</w:t>
      </w:r>
      <w:r w:rsidR="0047350B" w:rsidRPr="00A50E4D">
        <w:rPr>
          <w:lang w:val="en-US"/>
        </w:rPr>
        <w:t xml:space="preserve"> or following a complaint by </w:t>
      </w:r>
      <w:r w:rsidRPr="00A50E4D">
        <w:rPr>
          <w:lang w:val="en-US"/>
        </w:rPr>
        <w:t>someone</w:t>
      </w:r>
      <w:r w:rsidR="0047350B" w:rsidRPr="00A50E4D">
        <w:rPr>
          <w:lang w:val="en-US"/>
        </w:rPr>
        <w:t>, to be c</w:t>
      </w:r>
      <w:r w:rsidRPr="00A50E4D">
        <w:rPr>
          <w:lang w:val="en-US"/>
        </w:rPr>
        <w:t xml:space="preserve">ompleted </w:t>
      </w:r>
      <w:r w:rsidR="0047350B" w:rsidRPr="00A50E4D">
        <w:rPr>
          <w:lang w:val="en-US"/>
        </w:rPr>
        <w:t xml:space="preserve">within 30 days at the most, after which the file had to be forwarded to the Judicial Service Directorate </w:t>
      </w:r>
      <w:r w:rsidR="009808C5" w:rsidRPr="00A50E4D">
        <w:rPr>
          <w:lang w:val="en-US"/>
        </w:rPr>
        <w:t xml:space="preserve">and </w:t>
      </w:r>
      <w:r w:rsidR="0047350B" w:rsidRPr="00A50E4D">
        <w:rPr>
          <w:lang w:val="en-US"/>
        </w:rPr>
        <w:t>to</w:t>
      </w:r>
      <w:r w:rsidR="00930C85" w:rsidRPr="00A50E4D">
        <w:rPr>
          <w:lang w:val="en-US"/>
        </w:rPr>
        <w:t xml:space="preserve"> </w:t>
      </w:r>
      <w:r w:rsidR="009808C5" w:rsidRPr="00A50E4D">
        <w:rPr>
          <w:lang w:val="en-US"/>
        </w:rPr>
        <w:t xml:space="preserve">the </w:t>
      </w:r>
      <w:r w:rsidR="00700DEC" w:rsidRPr="00A50E4D">
        <w:rPr>
          <w:lang w:val="en-US"/>
        </w:rPr>
        <w:t>Supreme Court</w:t>
      </w:r>
      <w:r w:rsidR="0047350B" w:rsidRPr="00A50E4D">
        <w:rPr>
          <w:lang w:val="en-US"/>
        </w:rPr>
        <w:t>.</w:t>
      </w:r>
      <w:r w:rsidR="00930C85" w:rsidRPr="00A50E4D">
        <w:rPr>
          <w:rStyle w:val="FootnoteReference"/>
          <w:sz w:val="20"/>
          <w:szCs w:val="20"/>
          <w:lang w:val="en-US"/>
        </w:rPr>
        <w:footnoteReference w:id="128"/>
      </w:r>
      <w:r w:rsidR="0047350B" w:rsidRPr="00A50E4D">
        <w:rPr>
          <w:lang w:val="en-US"/>
        </w:rPr>
        <w:t xml:space="preserve"> Once the investigation had been completed, </w:t>
      </w:r>
      <w:r w:rsidR="004D0F32" w:rsidRPr="00A50E4D">
        <w:rPr>
          <w:lang w:val="en-US"/>
        </w:rPr>
        <w:t xml:space="preserve">the </w:t>
      </w:r>
      <w:r w:rsidR="00D563D1" w:rsidRPr="00A50E4D">
        <w:rPr>
          <w:lang w:val="en-US"/>
        </w:rPr>
        <w:t>Personnel Management Directorate</w:t>
      </w:r>
      <w:r w:rsidR="00930C85" w:rsidRPr="00A50E4D">
        <w:rPr>
          <w:lang w:val="en-US"/>
        </w:rPr>
        <w:t xml:space="preserve"> </w:t>
      </w:r>
      <w:r w:rsidR="0047350B" w:rsidRPr="00A50E4D">
        <w:rPr>
          <w:lang w:val="en-US"/>
        </w:rPr>
        <w:t>had to summon the judicial employee, having decided the charges that would be brought, so that the employee could appear before the Directorate and have the opportunity to provide and request evidence. After the evidence had been obtained, “the Directorate, or the Head of the unit hearing the case” would report on the results in the respective record, following which the</w:t>
      </w:r>
      <w:r w:rsidR="00930C85" w:rsidRPr="00A50E4D">
        <w:rPr>
          <w:lang w:val="en-US"/>
        </w:rPr>
        <w:t xml:space="preserve"> “</w:t>
      </w:r>
      <w:r w:rsidR="00D563D1" w:rsidRPr="00A50E4D">
        <w:rPr>
          <w:lang w:val="en-US"/>
        </w:rPr>
        <w:t>Personnel Management Directorate</w:t>
      </w:r>
      <w:r w:rsidR="0047350B" w:rsidRPr="00A50E4D">
        <w:rPr>
          <w:lang w:val="en-US"/>
        </w:rPr>
        <w:t xml:space="preserve"> will take the final decision on whether or not to ratify the disciplinary sanction announced to the employee, notifying the decision to the person concerned in writing.</w:t>
      </w:r>
      <w:r w:rsidR="00930C85" w:rsidRPr="00A50E4D">
        <w:rPr>
          <w:lang w:val="en-US"/>
        </w:rPr>
        <w:t>”</w:t>
      </w:r>
      <w:r w:rsidR="00930C85" w:rsidRPr="00A50E4D">
        <w:rPr>
          <w:rStyle w:val="FootnoteReference"/>
          <w:rFonts w:cs="Arial"/>
          <w:sz w:val="20"/>
          <w:szCs w:val="20"/>
          <w:lang w:val="en-US"/>
        </w:rPr>
        <w:footnoteReference w:id="129"/>
      </w:r>
      <w:r w:rsidR="0047350B" w:rsidRPr="00A50E4D">
        <w:rPr>
          <w:lang w:val="en-US"/>
        </w:rPr>
        <w:t xml:space="preserve"> However, this latter part was not applied because the </w:t>
      </w:r>
      <w:r w:rsidR="000A786A" w:rsidRPr="00A50E4D">
        <w:rPr>
          <w:lang w:val="en-US"/>
        </w:rPr>
        <w:t>decision</w:t>
      </w:r>
      <w:r w:rsidR="0047350B" w:rsidRPr="00A50E4D">
        <w:rPr>
          <w:lang w:val="en-US"/>
        </w:rPr>
        <w:t xml:space="preserve"> corresponded to </w:t>
      </w:r>
      <w:r w:rsidR="009808C5" w:rsidRPr="00A50E4D">
        <w:rPr>
          <w:lang w:val="en-US"/>
        </w:rPr>
        <w:t xml:space="preserve">the </w:t>
      </w:r>
      <w:r w:rsidR="00371BB7" w:rsidRPr="00A50E4D">
        <w:rPr>
          <w:lang w:val="en-US"/>
        </w:rPr>
        <w:t>Supreme Court of Justice</w:t>
      </w:r>
      <w:r w:rsidR="00930C85" w:rsidRPr="00A50E4D">
        <w:rPr>
          <w:lang w:val="en-US"/>
        </w:rPr>
        <w:t xml:space="preserve"> (</w:t>
      </w:r>
      <w:r w:rsidR="00930C85" w:rsidRPr="00A50E4D">
        <w:rPr>
          <w:i/>
          <w:lang w:val="en-US"/>
        </w:rPr>
        <w:t xml:space="preserve">supra </w:t>
      </w:r>
      <w:r w:rsidR="00AD5EE7" w:rsidRPr="00A50E4D">
        <w:rPr>
          <w:lang w:val="en-US"/>
        </w:rPr>
        <w:t>para.</w:t>
      </w:r>
      <w:r w:rsidR="00930C85" w:rsidRPr="00A50E4D">
        <w:rPr>
          <w:lang w:val="en-US"/>
        </w:rPr>
        <w:t xml:space="preserve"> </w:t>
      </w:r>
      <w:r w:rsidR="00930C85" w:rsidRPr="00914F55">
        <w:rPr>
          <w:lang w:val="en-US"/>
        </w:rPr>
        <w:fldChar w:fldCharType="begin"/>
      </w:r>
      <w:r w:rsidR="00930C85" w:rsidRPr="00A50E4D">
        <w:rPr>
          <w:lang w:val="en-US"/>
        </w:rPr>
        <w:instrText xml:space="preserve"> REF _Ref424566725 \r \h  \* MERGEFORMAT </w:instrText>
      </w:r>
      <w:r w:rsidR="00930C85" w:rsidRPr="00914F55">
        <w:rPr>
          <w:lang w:val="en-US"/>
        </w:rPr>
      </w:r>
      <w:r w:rsidR="00930C85" w:rsidRPr="00914F55">
        <w:rPr>
          <w:lang w:val="en-US"/>
        </w:rPr>
        <w:fldChar w:fldCharType="separate"/>
      </w:r>
      <w:r w:rsidR="00547588">
        <w:rPr>
          <w:lang w:val="en-US"/>
        </w:rPr>
        <w:t>77</w:t>
      </w:r>
      <w:r w:rsidR="00930C85" w:rsidRPr="00914F55">
        <w:rPr>
          <w:lang w:val="en-US"/>
        </w:rPr>
        <w:fldChar w:fldCharType="end"/>
      </w:r>
      <w:r w:rsidR="00930C85" w:rsidRPr="00A50E4D">
        <w:rPr>
          <w:lang w:val="en-US"/>
        </w:rPr>
        <w:t>).</w:t>
      </w:r>
    </w:p>
    <w:p w14:paraId="38044AED" w14:textId="77777777" w:rsidR="00930C85" w:rsidRPr="00A50E4D" w:rsidRDefault="00930C85" w:rsidP="00930C85">
      <w:pPr>
        <w:pStyle w:val="NoSpacing"/>
        <w:tabs>
          <w:tab w:val="left" w:pos="567"/>
        </w:tabs>
        <w:rPr>
          <w:spacing w:val="-4"/>
          <w:szCs w:val="20"/>
          <w:lang w:val="en-US"/>
        </w:rPr>
      </w:pPr>
      <w:r w:rsidRPr="00A50E4D">
        <w:rPr>
          <w:spacing w:val="-4"/>
          <w:szCs w:val="20"/>
          <w:lang w:val="en-US"/>
        </w:rPr>
        <w:t xml:space="preserve"> </w:t>
      </w:r>
    </w:p>
    <w:p w14:paraId="17BB39A5" w14:textId="23386B97" w:rsidR="00930C85" w:rsidRPr="00A50E4D" w:rsidRDefault="0047350B" w:rsidP="00FF35A9">
      <w:pPr>
        <w:pStyle w:val="PrrafodeSentencia"/>
        <w:rPr>
          <w:lang w:val="en-US"/>
        </w:rPr>
      </w:pPr>
      <w:bookmarkStart w:id="148" w:name="_Ref427310979"/>
      <w:r w:rsidRPr="00A50E4D">
        <w:rPr>
          <w:lang w:val="en-US"/>
        </w:rPr>
        <w:t xml:space="preserve">Subsequently, according to </w:t>
      </w:r>
      <w:r w:rsidR="004D0F32" w:rsidRPr="00A50E4D">
        <w:rPr>
          <w:lang w:val="en-US"/>
        </w:rPr>
        <w:t>the Judicial</w:t>
      </w:r>
      <w:r w:rsidR="00277E12" w:rsidRPr="00A50E4D">
        <w:rPr>
          <w:lang w:val="en-US"/>
        </w:rPr>
        <w:t xml:space="preserve"> Service Act</w:t>
      </w:r>
      <w:r w:rsidR="009808C5" w:rsidRPr="00A50E4D">
        <w:rPr>
          <w:lang w:val="en-US"/>
        </w:rPr>
        <w:t xml:space="preserve"> and </w:t>
      </w:r>
      <w:r w:rsidR="00171F4E" w:rsidRPr="00A50E4D">
        <w:rPr>
          <w:lang w:val="en-US"/>
        </w:rPr>
        <w:t>its Regulations</w:t>
      </w:r>
      <w:r w:rsidR="00930C85" w:rsidRPr="00A50E4D">
        <w:rPr>
          <w:lang w:val="en-US"/>
        </w:rPr>
        <w:t>,</w:t>
      </w:r>
      <w:r w:rsidRPr="00A50E4D">
        <w:rPr>
          <w:lang w:val="en-US"/>
        </w:rPr>
        <w:t xml:space="preserve"> “[t</w:t>
      </w:r>
      <w:r w:rsidR="00930C85" w:rsidRPr="00A50E4D">
        <w:rPr>
          <w:lang w:val="en-US"/>
        </w:rPr>
        <w:t>]</w:t>
      </w:r>
      <w:r w:rsidRPr="00A50E4D">
        <w:rPr>
          <w:lang w:val="en-US"/>
        </w:rPr>
        <w:t>he judicial officer affected by a disciplinary measure or by dismissal</w:t>
      </w:r>
      <w:r w:rsidR="00FF35A9" w:rsidRPr="00A50E4D">
        <w:rPr>
          <w:lang w:val="en-US"/>
        </w:rPr>
        <w:t xml:space="preserve"> may, within ten days at the most from the date of notificat</w:t>
      </w:r>
      <w:r w:rsidR="00E678F7" w:rsidRPr="00A50E4D">
        <w:rPr>
          <w:lang w:val="en-US"/>
        </w:rPr>
        <w:t>ion of the disciplinary measure</w:t>
      </w:r>
      <w:r w:rsidR="00FF35A9" w:rsidRPr="00A50E4D">
        <w:rPr>
          <w:lang w:val="en-US"/>
        </w:rPr>
        <w:t xml:space="preserve"> or the dismissal, contest the measure before </w:t>
      </w:r>
      <w:r w:rsidR="006A756C" w:rsidRPr="00A50E4D">
        <w:rPr>
          <w:lang w:val="en-US"/>
        </w:rPr>
        <w:t>the Judicial Service Council</w:t>
      </w:r>
      <w:r w:rsidR="00FF35A9" w:rsidRPr="00A50E4D">
        <w:rPr>
          <w:lang w:val="en-US"/>
        </w:rPr>
        <w:t>.</w:t>
      </w:r>
      <w:r w:rsidR="00930C85" w:rsidRPr="00A50E4D">
        <w:rPr>
          <w:lang w:val="en-US"/>
        </w:rPr>
        <w:t>”</w:t>
      </w:r>
      <w:r w:rsidR="00930C85" w:rsidRPr="00A50E4D">
        <w:rPr>
          <w:rStyle w:val="FootnoteReference"/>
          <w:rFonts w:cs="Arial"/>
          <w:sz w:val="20"/>
          <w:szCs w:val="20"/>
          <w:lang w:val="en-US"/>
        </w:rPr>
        <w:footnoteReference w:id="130"/>
      </w:r>
      <w:r w:rsidR="00930C85" w:rsidRPr="00A50E4D">
        <w:rPr>
          <w:lang w:val="en-US"/>
        </w:rPr>
        <w:t xml:space="preserve"> </w:t>
      </w:r>
      <w:r w:rsidR="00FF35A9" w:rsidRPr="00A50E4D">
        <w:rPr>
          <w:lang w:val="en-US"/>
        </w:rPr>
        <w:t>The Council had to convene a hearing “so that the appellant and the Directorate could appear and present evidence, to be presented within fifteen of the date on which it was offered. Once the evidence had been presented, the Council would deliver its decision within the</w:t>
      </w:r>
      <w:r w:rsidR="00E678F7" w:rsidRPr="00A50E4D">
        <w:rPr>
          <w:lang w:val="en-US"/>
        </w:rPr>
        <w:t xml:space="preserve"> following</w:t>
      </w:r>
      <w:r w:rsidR="00FF35A9" w:rsidRPr="00A50E4D">
        <w:rPr>
          <w:lang w:val="en-US"/>
        </w:rPr>
        <w:t xml:space="preserve"> five working days.</w:t>
      </w:r>
      <w:r w:rsidR="00930C85" w:rsidRPr="00A50E4D">
        <w:rPr>
          <w:lang w:val="en-US"/>
        </w:rPr>
        <w:t>”</w:t>
      </w:r>
      <w:r w:rsidR="00930C85" w:rsidRPr="00A50E4D">
        <w:rPr>
          <w:rStyle w:val="FootnoteReference"/>
          <w:rFonts w:cs="Arial"/>
          <w:sz w:val="20"/>
          <w:szCs w:val="20"/>
          <w:lang w:val="en-US"/>
        </w:rPr>
        <w:footnoteReference w:id="131"/>
      </w:r>
      <w:bookmarkEnd w:id="148"/>
      <w:r w:rsidR="00930C85" w:rsidRPr="00A50E4D">
        <w:rPr>
          <w:lang w:val="en-US"/>
        </w:rPr>
        <w:t xml:space="preserve"> </w:t>
      </w:r>
    </w:p>
    <w:p w14:paraId="049F36BA" w14:textId="77777777" w:rsidR="00930C85" w:rsidRPr="00A50E4D" w:rsidRDefault="00930C85" w:rsidP="00930C85">
      <w:pPr>
        <w:pStyle w:val="ListParagraph"/>
        <w:numPr>
          <w:ilvl w:val="0"/>
          <w:numId w:val="0"/>
        </w:numPr>
        <w:rPr>
          <w:spacing w:val="-4"/>
          <w:lang w:val="en-US"/>
        </w:rPr>
      </w:pPr>
    </w:p>
    <w:p w14:paraId="6B03317E" w14:textId="492CE63B" w:rsidR="00930C85" w:rsidRPr="00A50E4D" w:rsidRDefault="000A786A" w:rsidP="00FF35A9">
      <w:pPr>
        <w:pStyle w:val="PrrafodeSentencia"/>
        <w:rPr>
          <w:strike/>
          <w:szCs w:val="20"/>
          <w:lang w:val="en-US"/>
        </w:rPr>
      </w:pPr>
      <w:bookmarkStart w:id="149" w:name="_Ref431409318"/>
      <w:r w:rsidRPr="00A50E4D">
        <w:rPr>
          <w:lang w:val="en-US"/>
        </w:rPr>
        <w:t>Additionally</w:t>
      </w:r>
      <w:r w:rsidR="00930C85" w:rsidRPr="00A50E4D">
        <w:rPr>
          <w:lang w:val="en-US"/>
        </w:rPr>
        <w:t xml:space="preserve">, </w:t>
      </w:r>
      <w:r w:rsidR="00FF35A9" w:rsidRPr="00A50E4D">
        <w:rPr>
          <w:lang w:val="en-US"/>
        </w:rPr>
        <w:t>a</w:t>
      </w:r>
      <w:r w:rsidR="009808C5" w:rsidRPr="00A50E4D">
        <w:rPr>
          <w:lang w:val="en-US"/>
        </w:rPr>
        <w:t>rticle</w:t>
      </w:r>
      <w:r w:rsidR="00930C85" w:rsidRPr="00A50E4D">
        <w:rPr>
          <w:lang w:val="en-US"/>
        </w:rPr>
        <w:t xml:space="preserve"> 68 </w:t>
      </w:r>
      <w:r w:rsidR="004D0F32" w:rsidRPr="00A50E4D">
        <w:rPr>
          <w:lang w:val="en-US"/>
        </w:rPr>
        <w:t>of the Judicial</w:t>
      </w:r>
      <w:r w:rsidR="00277E12" w:rsidRPr="00A50E4D">
        <w:rPr>
          <w:lang w:val="en-US"/>
        </w:rPr>
        <w:t xml:space="preserve"> Service Act</w:t>
      </w:r>
      <w:r w:rsidR="00E678F7" w:rsidRPr="00A50E4D">
        <w:rPr>
          <w:lang w:val="en-US"/>
        </w:rPr>
        <w:t xml:space="preserve"> established</w:t>
      </w:r>
      <w:r w:rsidR="00FF35A9" w:rsidRPr="00A50E4D">
        <w:rPr>
          <w:lang w:val="en-US"/>
        </w:rPr>
        <w:t xml:space="preserve"> that “[t</w:t>
      </w:r>
      <w:r w:rsidR="00930C85" w:rsidRPr="00A50E4D">
        <w:rPr>
          <w:lang w:val="en-US"/>
        </w:rPr>
        <w:t>]</w:t>
      </w:r>
      <w:r w:rsidR="00FF35A9" w:rsidRPr="00A50E4D">
        <w:rPr>
          <w:lang w:val="en-US"/>
        </w:rPr>
        <w:t>he decisions of the Judicial Service Council</w:t>
      </w:r>
      <w:r w:rsidR="00930C85" w:rsidRPr="00A50E4D">
        <w:rPr>
          <w:lang w:val="en-US"/>
        </w:rPr>
        <w:t xml:space="preserve"> </w:t>
      </w:r>
      <w:r w:rsidR="00FF35A9" w:rsidRPr="00A50E4D">
        <w:rPr>
          <w:lang w:val="en-US"/>
        </w:rPr>
        <w:t>resulting from a claim agai</w:t>
      </w:r>
      <w:r w:rsidR="00E678F7" w:rsidRPr="00A50E4D">
        <w:rPr>
          <w:lang w:val="en-US"/>
        </w:rPr>
        <w:t xml:space="preserve">nst dismissal may consist in </w:t>
      </w:r>
      <w:r w:rsidR="00FF35A9" w:rsidRPr="00A50E4D">
        <w:rPr>
          <w:lang w:val="en-US"/>
        </w:rPr>
        <w:t>con</w:t>
      </w:r>
      <w:r w:rsidR="00E678F7" w:rsidRPr="00A50E4D">
        <w:rPr>
          <w:lang w:val="en-US"/>
        </w:rPr>
        <w:t>firmation of the dismissal or</w:t>
      </w:r>
      <w:r w:rsidR="00FF35A9" w:rsidRPr="00A50E4D">
        <w:rPr>
          <w:lang w:val="en-US"/>
        </w:rPr>
        <w:t xml:space="preserve"> reinstatement of the judicial </w:t>
      </w:r>
      <w:r w:rsidRPr="00A50E4D">
        <w:rPr>
          <w:lang w:val="en-US"/>
        </w:rPr>
        <w:t>official</w:t>
      </w:r>
      <w:r w:rsidR="00FF35A9" w:rsidRPr="00A50E4D">
        <w:rPr>
          <w:lang w:val="en-US"/>
        </w:rPr>
        <w:t xml:space="preserve"> or employee concerned, either to the same post or to another of the same category, with the right to receive the salary accrued </w:t>
      </w:r>
      <w:r w:rsidR="00E678F7" w:rsidRPr="00A50E4D">
        <w:rPr>
          <w:lang w:val="en-US"/>
        </w:rPr>
        <w:t>since his</w:t>
      </w:r>
      <w:r w:rsidR="00FF35A9" w:rsidRPr="00A50E4D">
        <w:rPr>
          <w:lang w:val="en-US"/>
        </w:rPr>
        <w:t xml:space="preserve"> removal from the post.” Meanwhile, article 69 stipulates that “[t]he judicial officer who has been removed from his post without a justified cause, shall have the right to be reinstate</w:t>
      </w:r>
      <w:r w:rsidR="00E678F7" w:rsidRPr="00A50E4D">
        <w:rPr>
          <w:lang w:val="en-US"/>
        </w:rPr>
        <w:t>d</w:t>
      </w:r>
      <w:r w:rsidR="00FF35A9" w:rsidRPr="00A50E4D">
        <w:rPr>
          <w:lang w:val="en-US"/>
        </w:rPr>
        <w:t xml:space="preserve"> in his post, as provided for in the preceding article, or to receive compensation equivalent to a month of salary for each year of service up to a maximum of six years, when his reinstatement is not possible or desirable, pursuant to the ruling </w:t>
      </w:r>
      <w:r w:rsidR="006A756C" w:rsidRPr="00A50E4D">
        <w:rPr>
          <w:lang w:val="en-US"/>
        </w:rPr>
        <w:t>of the Judicial Service Council</w:t>
      </w:r>
      <w:r w:rsidR="00FF35A9" w:rsidRPr="00A50E4D">
        <w:rPr>
          <w:lang w:val="en-US"/>
        </w:rPr>
        <w:t>.</w:t>
      </w:r>
      <w:r w:rsidR="00930C85" w:rsidRPr="00A50E4D">
        <w:rPr>
          <w:lang w:val="en-US"/>
        </w:rPr>
        <w:t>”</w:t>
      </w:r>
      <w:r w:rsidR="00930C85" w:rsidRPr="00A50E4D">
        <w:rPr>
          <w:rStyle w:val="FootnoteReference"/>
          <w:rFonts w:cs="Arial"/>
          <w:sz w:val="20"/>
          <w:szCs w:val="20"/>
          <w:lang w:val="en-US"/>
        </w:rPr>
        <w:footnoteReference w:id="132"/>
      </w:r>
      <w:r w:rsidR="00FF35A9" w:rsidRPr="00A50E4D">
        <w:rPr>
          <w:lang w:val="en-US"/>
        </w:rPr>
        <w:t xml:space="preserve"> Lastly, a</w:t>
      </w:r>
      <w:r w:rsidR="009808C5" w:rsidRPr="00A50E4D">
        <w:rPr>
          <w:lang w:val="en-US"/>
        </w:rPr>
        <w:t>rticle</w:t>
      </w:r>
      <w:r w:rsidR="00930C85" w:rsidRPr="00A50E4D">
        <w:rPr>
          <w:lang w:val="en-US"/>
        </w:rPr>
        <w:t xml:space="preserve"> 31</w:t>
      </w:r>
      <w:r w:rsidR="009808C5" w:rsidRPr="00A50E4D">
        <w:rPr>
          <w:lang w:val="en-US"/>
        </w:rPr>
        <w:t xml:space="preserve"> of </w:t>
      </w:r>
      <w:r w:rsidR="006A756C" w:rsidRPr="00A50E4D">
        <w:rPr>
          <w:lang w:val="en-US"/>
        </w:rPr>
        <w:t xml:space="preserve">the </w:t>
      </w:r>
      <w:r w:rsidR="000E6A0D" w:rsidRPr="00A50E4D">
        <w:rPr>
          <w:lang w:val="en-US"/>
        </w:rPr>
        <w:t>rules of procedure</w:t>
      </w:r>
      <w:r w:rsidR="00EB6155" w:rsidRPr="00A50E4D">
        <w:rPr>
          <w:lang w:val="en-US"/>
        </w:rPr>
        <w:t xml:space="preserve"> o</w:t>
      </w:r>
      <w:r w:rsidR="00E678F7" w:rsidRPr="00A50E4D">
        <w:rPr>
          <w:lang w:val="en-US"/>
        </w:rPr>
        <w:t xml:space="preserve">f the Judicial Service Council </w:t>
      </w:r>
      <w:r w:rsidR="00930C85" w:rsidRPr="00A50E4D">
        <w:rPr>
          <w:lang w:val="en-US"/>
        </w:rPr>
        <w:t>establ</w:t>
      </w:r>
      <w:r w:rsidR="00FF35A9" w:rsidRPr="00A50E4D">
        <w:rPr>
          <w:lang w:val="en-US"/>
        </w:rPr>
        <w:t>ish that: “no ordinary or special appeal is allowed against</w:t>
      </w:r>
      <w:r w:rsidR="00E678F7" w:rsidRPr="00A50E4D">
        <w:rPr>
          <w:lang w:val="en-US"/>
        </w:rPr>
        <w:t xml:space="preserve"> the</w:t>
      </w:r>
      <w:r w:rsidR="00FF35A9" w:rsidRPr="00A50E4D">
        <w:rPr>
          <w:lang w:val="en-US"/>
        </w:rPr>
        <w:t xml:space="preserve"> final decisions issued by the Council</w:t>
      </w:r>
      <w:r w:rsidR="00930C85" w:rsidRPr="00A50E4D">
        <w:rPr>
          <w:szCs w:val="20"/>
          <w:lang w:val="en-US"/>
        </w:rPr>
        <w:t>”</w:t>
      </w:r>
      <w:r w:rsidR="00930C85" w:rsidRPr="00A50E4D">
        <w:rPr>
          <w:rFonts w:cs="Arial"/>
          <w:szCs w:val="20"/>
          <w:lang w:val="en-US"/>
        </w:rPr>
        <w:t xml:space="preserve"> (</w:t>
      </w:r>
      <w:r w:rsidR="00930C85" w:rsidRPr="00A50E4D">
        <w:rPr>
          <w:rFonts w:cs="Arial"/>
          <w:i/>
          <w:szCs w:val="20"/>
          <w:lang w:val="en-US"/>
        </w:rPr>
        <w:t>supra</w:t>
      </w:r>
      <w:r w:rsidR="00930C85" w:rsidRPr="00A50E4D">
        <w:rPr>
          <w:rFonts w:cs="Arial"/>
          <w:szCs w:val="20"/>
          <w:lang w:val="en-US"/>
        </w:rPr>
        <w:t xml:space="preserve"> </w:t>
      </w:r>
      <w:r w:rsidR="00AD5EE7" w:rsidRPr="00A50E4D">
        <w:rPr>
          <w:rFonts w:cs="Arial"/>
          <w:szCs w:val="20"/>
          <w:lang w:val="en-US"/>
        </w:rPr>
        <w:t>para.</w:t>
      </w:r>
      <w:r w:rsidR="00930C85" w:rsidRPr="00A50E4D">
        <w:rPr>
          <w:rFonts w:cs="Arial"/>
          <w:szCs w:val="20"/>
          <w:lang w:val="en-US"/>
        </w:rPr>
        <w:t xml:space="preserve"> </w:t>
      </w:r>
      <w:r w:rsidR="00930C85" w:rsidRPr="00914F55">
        <w:rPr>
          <w:rFonts w:cs="Arial"/>
          <w:szCs w:val="20"/>
          <w:lang w:val="en-US"/>
        </w:rPr>
        <w:fldChar w:fldCharType="begin"/>
      </w:r>
      <w:r w:rsidR="00930C85" w:rsidRPr="00A50E4D">
        <w:rPr>
          <w:rFonts w:cs="Arial"/>
          <w:szCs w:val="20"/>
          <w:lang w:val="en-US"/>
        </w:rPr>
        <w:instrText xml:space="preserve"> REF _Ref431408772 \r \h  \* MERGEFORMAT </w:instrText>
      </w:r>
      <w:r w:rsidR="00930C85" w:rsidRPr="00914F55">
        <w:rPr>
          <w:rFonts w:cs="Arial"/>
          <w:szCs w:val="20"/>
          <w:lang w:val="en-US"/>
        </w:rPr>
      </w:r>
      <w:r w:rsidR="00930C85" w:rsidRPr="00914F55">
        <w:rPr>
          <w:rFonts w:cs="Arial"/>
          <w:szCs w:val="20"/>
          <w:lang w:val="en-US"/>
        </w:rPr>
        <w:fldChar w:fldCharType="separate"/>
      </w:r>
      <w:r w:rsidR="00547588">
        <w:rPr>
          <w:rFonts w:cs="Arial"/>
          <w:szCs w:val="20"/>
          <w:lang w:val="en-US"/>
        </w:rPr>
        <w:t>26</w:t>
      </w:r>
      <w:r w:rsidR="00930C85" w:rsidRPr="00914F55">
        <w:rPr>
          <w:rFonts w:cs="Arial"/>
          <w:szCs w:val="20"/>
          <w:lang w:val="en-US"/>
        </w:rPr>
        <w:fldChar w:fldCharType="end"/>
      </w:r>
      <w:r w:rsidR="00930C85" w:rsidRPr="00A50E4D">
        <w:rPr>
          <w:rFonts w:cs="Arial"/>
          <w:szCs w:val="20"/>
          <w:lang w:val="en-US"/>
        </w:rPr>
        <w:t>)</w:t>
      </w:r>
      <w:r w:rsidR="00930C85" w:rsidRPr="00A50E4D">
        <w:rPr>
          <w:szCs w:val="20"/>
          <w:lang w:val="en-US"/>
        </w:rPr>
        <w:t>.</w:t>
      </w:r>
      <w:bookmarkEnd w:id="149"/>
    </w:p>
    <w:p w14:paraId="748EAA41" w14:textId="77777777" w:rsidR="00930C85" w:rsidRPr="00A50E4D" w:rsidRDefault="00930C85" w:rsidP="00930C85">
      <w:pPr>
        <w:pStyle w:val="NoSpacing"/>
        <w:tabs>
          <w:tab w:val="left" w:pos="567"/>
        </w:tabs>
        <w:rPr>
          <w:spacing w:val="-4"/>
          <w:szCs w:val="20"/>
          <w:lang w:val="en-US"/>
        </w:rPr>
      </w:pPr>
    </w:p>
    <w:p w14:paraId="202666A4" w14:textId="131A86C7" w:rsidR="00930C85" w:rsidRPr="00A50E4D" w:rsidRDefault="00930C85" w:rsidP="00930C85">
      <w:pPr>
        <w:pStyle w:val="Heading2"/>
        <w:rPr>
          <w:spacing w:val="-4"/>
          <w:lang w:val="en-US"/>
        </w:rPr>
      </w:pPr>
      <w:r w:rsidRPr="00A50E4D">
        <w:rPr>
          <w:spacing w:val="-4"/>
          <w:lang w:val="en-US"/>
        </w:rPr>
        <w:tab/>
      </w:r>
      <w:bookmarkStart w:id="150" w:name="_Toc424834702"/>
      <w:bookmarkStart w:id="151" w:name="_Toc427932802"/>
      <w:bookmarkStart w:id="152" w:name="_Toc431584629"/>
      <w:bookmarkStart w:id="153" w:name="_Toc471717262"/>
      <w:r w:rsidRPr="00A50E4D">
        <w:rPr>
          <w:spacing w:val="-4"/>
          <w:lang w:val="en-US"/>
        </w:rPr>
        <w:t xml:space="preserve">C. </w:t>
      </w:r>
      <w:r w:rsidR="00FF35A9" w:rsidRPr="00A50E4D">
        <w:rPr>
          <w:spacing w:val="-4"/>
          <w:lang w:val="en-US"/>
        </w:rPr>
        <w:t>The disciplinary proceedings against</w:t>
      </w:r>
      <w:r w:rsidRPr="00A50E4D">
        <w:rPr>
          <w:spacing w:val="-4"/>
          <w:lang w:val="en-US"/>
        </w:rPr>
        <w:t xml:space="preserve"> </w:t>
      </w:r>
      <w:r w:rsidR="00371BB7" w:rsidRPr="00A50E4D">
        <w:rPr>
          <w:spacing w:val="-4"/>
          <w:lang w:val="en-US"/>
        </w:rPr>
        <w:t>the presumed victims</w:t>
      </w:r>
      <w:bookmarkEnd w:id="150"/>
      <w:bookmarkEnd w:id="151"/>
      <w:bookmarkEnd w:id="152"/>
      <w:bookmarkEnd w:id="153"/>
    </w:p>
    <w:p w14:paraId="7C3C721F" w14:textId="77777777" w:rsidR="00930C85" w:rsidRPr="00A50E4D" w:rsidRDefault="00930C85" w:rsidP="00930C85">
      <w:pPr>
        <w:pStyle w:val="NoSpacing"/>
        <w:tabs>
          <w:tab w:val="left" w:pos="567"/>
        </w:tabs>
        <w:rPr>
          <w:spacing w:val="-4"/>
          <w:szCs w:val="20"/>
          <w:lang w:val="en-US"/>
        </w:rPr>
      </w:pPr>
    </w:p>
    <w:p w14:paraId="35F31995" w14:textId="77777777" w:rsidR="00930C85" w:rsidRPr="00A50E4D" w:rsidRDefault="00930C85" w:rsidP="00930C85">
      <w:pPr>
        <w:pStyle w:val="Heading3"/>
        <w:rPr>
          <w:spacing w:val="-4"/>
          <w:lang w:val="en-US"/>
        </w:rPr>
      </w:pPr>
      <w:bookmarkStart w:id="154" w:name="_Toc424834703"/>
      <w:bookmarkStart w:id="155" w:name="_Toc431584630"/>
      <w:bookmarkStart w:id="156" w:name="_Toc471717263"/>
      <w:r w:rsidRPr="00A50E4D">
        <w:rPr>
          <w:spacing w:val="-4"/>
          <w:lang w:val="en-US"/>
        </w:rPr>
        <w:t>C.1) Adán Guillermo López Lone</w:t>
      </w:r>
      <w:bookmarkEnd w:id="154"/>
      <w:bookmarkEnd w:id="155"/>
      <w:bookmarkEnd w:id="156"/>
    </w:p>
    <w:p w14:paraId="4A292898" w14:textId="77777777" w:rsidR="00930C85" w:rsidRPr="00A50E4D" w:rsidRDefault="00930C85" w:rsidP="00930C85">
      <w:pPr>
        <w:pStyle w:val="PrrafodeSentencia"/>
        <w:numPr>
          <w:ilvl w:val="0"/>
          <w:numId w:val="0"/>
        </w:numPr>
        <w:rPr>
          <w:lang w:val="en-US"/>
        </w:rPr>
      </w:pPr>
    </w:p>
    <w:p w14:paraId="2807234A" w14:textId="193BC39B" w:rsidR="00930C85" w:rsidRPr="00A50E4D" w:rsidRDefault="00930C85" w:rsidP="00930C85">
      <w:pPr>
        <w:pStyle w:val="PrrafodeSentencia"/>
        <w:rPr>
          <w:lang w:val="en-US"/>
        </w:rPr>
      </w:pPr>
      <w:bookmarkStart w:id="157" w:name="_Ref425954384"/>
      <w:r w:rsidRPr="00A50E4D">
        <w:rPr>
          <w:lang w:val="en-US"/>
        </w:rPr>
        <w:lastRenderedPageBreak/>
        <w:t xml:space="preserve">Adán Guillermo López Lone </w:t>
      </w:r>
      <w:r w:rsidR="00FF35A9" w:rsidRPr="00A50E4D">
        <w:rPr>
          <w:lang w:val="en-US"/>
        </w:rPr>
        <w:t xml:space="preserve">was born on November 9, </w:t>
      </w:r>
      <w:r w:rsidRPr="00A50E4D">
        <w:rPr>
          <w:lang w:val="en-US"/>
        </w:rPr>
        <w:t>1957</w:t>
      </w:r>
      <w:r w:rsidR="00FF35A9" w:rsidRPr="00A50E4D">
        <w:rPr>
          <w:lang w:val="en-US"/>
        </w:rPr>
        <w:t>,</w:t>
      </w:r>
      <w:r w:rsidRPr="00A50E4D">
        <w:rPr>
          <w:rStyle w:val="FootnoteReference"/>
          <w:rFonts w:cs="Arial"/>
          <w:sz w:val="20"/>
          <w:szCs w:val="20"/>
          <w:lang w:val="en-US"/>
        </w:rPr>
        <w:footnoteReference w:id="133"/>
      </w:r>
      <w:r w:rsidR="009808C5" w:rsidRPr="00A50E4D">
        <w:rPr>
          <w:lang w:val="en-US"/>
        </w:rPr>
        <w:t xml:space="preserve"> and</w:t>
      </w:r>
      <w:r w:rsidR="00FF35A9" w:rsidRPr="00A50E4D">
        <w:rPr>
          <w:lang w:val="en-US"/>
        </w:rPr>
        <w:t xml:space="preserve"> is married to </w:t>
      </w:r>
      <w:r w:rsidR="008217D7" w:rsidRPr="00A50E4D">
        <w:rPr>
          <w:lang w:val="en-US"/>
        </w:rPr>
        <w:t>Tirza del Carmen</w:t>
      </w:r>
      <w:r w:rsidRPr="00A50E4D">
        <w:rPr>
          <w:lang w:val="en-US"/>
        </w:rPr>
        <w:t xml:space="preserve"> Flores Lanza, </w:t>
      </w:r>
      <w:r w:rsidR="00FF35A9" w:rsidRPr="00A50E4D">
        <w:rPr>
          <w:lang w:val="en-US"/>
        </w:rPr>
        <w:t>another</w:t>
      </w:r>
      <w:r w:rsidR="00371BB7" w:rsidRPr="00A50E4D">
        <w:rPr>
          <w:lang w:val="en-US"/>
        </w:rPr>
        <w:t xml:space="preserve"> of the presumed victims</w:t>
      </w:r>
      <w:r w:rsidRPr="00A50E4D">
        <w:rPr>
          <w:lang w:val="en-US"/>
        </w:rPr>
        <w:t xml:space="preserve"> </w:t>
      </w:r>
      <w:r w:rsidR="00FF35A9" w:rsidRPr="00A50E4D">
        <w:rPr>
          <w:lang w:val="en-US"/>
        </w:rPr>
        <w:t>in this case</w:t>
      </w:r>
      <w:r w:rsidRPr="00A50E4D">
        <w:rPr>
          <w:lang w:val="en-US"/>
        </w:rPr>
        <w:t xml:space="preserve"> (</w:t>
      </w:r>
      <w:r w:rsidRPr="00A50E4D">
        <w:rPr>
          <w:i/>
          <w:lang w:val="en-US"/>
        </w:rPr>
        <w:t xml:space="preserve">infra </w:t>
      </w:r>
      <w:r w:rsidR="00AD5EE7" w:rsidRPr="00A50E4D">
        <w:rPr>
          <w:lang w:val="en-US"/>
        </w:rPr>
        <w:t>para.</w:t>
      </w:r>
      <w:r w:rsidRPr="00A50E4D">
        <w:rPr>
          <w:lang w:val="en-US"/>
        </w:rPr>
        <w:t xml:space="preserve"> </w:t>
      </w:r>
      <w:r w:rsidRPr="00914F55">
        <w:rPr>
          <w:lang w:val="en-US"/>
        </w:rPr>
        <w:fldChar w:fldCharType="begin"/>
      </w:r>
      <w:r w:rsidRPr="00A50E4D">
        <w:rPr>
          <w:lang w:val="en-US"/>
        </w:rPr>
        <w:instrText xml:space="preserve"> REF _Ref424570469 \r \h  \* MERGEFORMAT </w:instrText>
      </w:r>
      <w:r w:rsidRPr="00914F55">
        <w:rPr>
          <w:lang w:val="en-US"/>
        </w:rPr>
      </w:r>
      <w:r w:rsidRPr="00914F55">
        <w:rPr>
          <w:lang w:val="en-US"/>
        </w:rPr>
        <w:fldChar w:fldCharType="separate"/>
      </w:r>
      <w:r w:rsidR="00547588">
        <w:rPr>
          <w:lang w:val="en-US"/>
        </w:rPr>
        <w:t>105</w:t>
      </w:r>
      <w:r w:rsidRPr="00914F55">
        <w:rPr>
          <w:lang w:val="en-US"/>
        </w:rPr>
        <w:fldChar w:fldCharType="end"/>
      </w:r>
      <w:r w:rsidRPr="00A50E4D">
        <w:rPr>
          <w:lang w:val="en-US"/>
        </w:rPr>
        <w:t>)</w:t>
      </w:r>
      <w:r w:rsidR="00FF35A9" w:rsidRPr="00A50E4D">
        <w:rPr>
          <w:lang w:val="en-US"/>
        </w:rPr>
        <w:t>.</w:t>
      </w:r>
      <w:r w:rsidRPr="00A50E4D">
        <w:rPr>
          <w:rStyle w:val="FootnoteReference"/>
          <w:rFonts w:cs="Arial"/>
          <w:sz w:val="20"/>
          <w:szCs w:val="20"/>
          <w:lang w:val="en-US"/>
        </w:rPr>
        <w:footnoteReference w:id="134"/>
      </w:r>
      <w:r w:rsidRPr="00A50E4D">
        <w:rPr>
          <w:lang w:val="en-US"/>
        </w:rPr>
        <w:t xml:space="preserve"> </w:t>
      </w:r>
      <w:r w:rsidR="00FF35A9" w:rsidRPr="00A50E4D">
        <w:rPr>
          <w:lang w:val="en-US"/>
        </w:rPr>
        <w:t>From February 20,</w:t>
      </w:r>
      <w:r w:rsidRPr="00A50E4D">
        <w:rPr>
          <w:lang w:val="en-US"/>
        </w:rPr>
        <w:t xml:space="preserve"> 2002</w:t>
      </w:r>
      <w:r w:rsidR="00FF35A9" w:rsidRPr="00A50E4D">
        <w:rPr>
          <w:lang w:val="en-US"/>
        </w:rPr>
        <w:t xml:space="preserve">, until </w:t>
      </w:r>
      <w:r w:rsidR="00C150F2" w:rsidRPr="00A50E4D">
        <w:rPr>
          <w:lang w:val="en-US"/>
        </w:rPr>
        <w:t>June</w:t>
      </w:r>
      <w:r w:rsidR="009D6A26" w:rsidRPr="00A50E4D">
        <w:rPr>
          <w:lang w:val="en-US"/>
        </w:rPr>
        <w:t xml:space="preserve"> 30,</w:t>
      </w:r>
      <w:r w:rsidRPr="00A50E4D">
        <w:rPr>
          <w:lang w:val="en-US"/>
        </w:rPr>
        <w:t xml:space="preserve"> 2010</w:t>
      </w:r>
      <w:r w:rsidR="00FF35A9" w:rsidRPr="00A50E4D">
        <w:rPr>
          <w:lang w:val="en-US"/>
        </w:rPr>
        <w:t>, he was a Sentencing Judge</w:t>
      </w:r>
      <w:r w:rsidRPr="00A50E4D">
        <w:rPr>
          <w:lang w:val="en-US"/>
        </w:rPr>
        <w:t xml:space="preserve"> </w:t>
      </w:r>
      <w:r w:rsidR="00FF35A9" w:rsidRPr="00A50E4D">
        <w:rPr>
          <w:lang w:val="en-US"/>
        </w:rPr>
        <w:t xml:space="preserve">of the </w:t>
      </w:r>
      <w:r w:rsidRPr="00A50E4D">
        <w:rPr>
          <w:lang w:val="en-US"/>
        </w:rPr>
        <w:t>San Pedro Sula</w:t>
      </w:r>
      <w:r w:rsidR="002763C0" w:rsidRPr="00A50E4D">
        <w:rPr>
          <w:lang w:val="en-US"/>
        </w:rPr>
        <w:t xml:space="preserve"> Sentencing Court</w:t>
      </w:r>
      <w:r w:rsidR="00FF35A9" w:rsidRPr="00A50E4D">
        <w:rPr>
          <w:lang w:val="en-US"/>
        </w:rPr>
        <w:t>.</w:t>
      </w:r>
      <w:r w:rsidRPr="00A50E4D">
        <w:rPr>
          <w:rStyle w:val="FootnoteReference"/>
          <w:rFonts w:cs="Arial"/>
          <w:sz w:val="20"/>
          <w:szCs w:val="20"/>
          <w:lang w:val="en-US"/>
        </w:rPr>
        <w:footnoteReference w:id="135"/>
      </w:r>
      <w:r w:rsidR="00E678F7" w:rsidRPr="00A50E4D">
        <w:rPr>
          <w:lang w:val="en-US"/>
        </w:rPr>
        <w:t xml:space="preserve"> He was</w:t>
      </w:r>
      <w:r w:rsidR="00FF35A9" w:rsidRPr="00A50E4D">
        <w:rPr>
          <w:lang w:val="en-US"/>
        </w:rPr>
        <w:t xml:space="preserve"> a founding member of the AJD and, at the time of the facts, he was president of that organization.</w:t>
      </w:r>
      <w:r w:rsidRPr="00A50E4D">
        <w:rPr>
          <w:rStyle w:val="FootnoteReference"/>
          <w:rFonts w:cs="Arial"/>
          <w:sz w:val="20"/>
          <w:szCs w:val="20"/>
          <w:lang w:val="en-US"/>
        </w:rPr>
        <w:footnoteReference w:id="136"/>
      </w:r>
      <w:bookmarkEnd w:id="157"/>
    </w:p>
    <w:p w14:paraId="34E1A015" w14:textId="77777777" w:rsidR="00930C85" w:rsidRPr="00A50E4D" w:rsidRDefault="00930C85" w:rsidP="00930C85">
      <w:pPr>
        <w:pStyle w:val="NoSpacing"/>
        <w:tabs>
          <w:tab w:val="left" w:pos="567"/>
        </w:tabs>
        <w:rPr>
          <w:spacing w:val="-4"/>
          <w:szCs w:val="20"/>
          <w:lang w:val="en-US"/>
        </w:rPr>
      </w:pPr>
    </w:p>
    <w:p w14:paraId="4EC70312" w14:textId="0B908805" w:rsidR="00930C85" w:rsidRPr="00A50E4D" w:rsidRDefault="00FF35A9" w:rsidP="00930C85">
      <w:pPr>
        <w:pStyle w:val="PrrafodeSentencia"/>
        <w:rPr>
          <w:lang w:val="en-US"/>
        </w:rPr>
      </w:pPr>
      <w:bookmarkStart w:id="158" w:name="_Ref424631914"/>
      <w:r w:rsidRPr="00A50E4D">
        <w:rPr>
          <w:lang w:val="en-US"/>
        </w:rPr>
        <w:t>On Sunday,</w:t>
      </w:r>
      <w:r w:rsidR="00930C85" w:rsidRPr="00A50E4D">
        <w:rPr>
          <w:lang w:val="en-US"/>
        </w:rPr>
        <w:t xml:space="preserve"> </w:t>
      </w:r>
      <w:r w:rsidRPr="00A50E4D">
        <w:rPr>
          <w:lang w:val="en-US"/>
        </w:rPr>
        <w:t>July 5,</w:t>
      </w:r>
      <w:r w:rsidR="00930C85" w:rsidRPr="00A50E4D">
        <w:rPr>
          <w:lang w:val="en-US"/>
        </w:rPr>
        <w:t xml:space="preserve"> 2009</w:t>
      </w:r>
      <w:r w:rsidRPr="00A50E4D">
        <w:rPr>
          <w:lang w:val="en-US"/>
        </w:rPr>
        <w:t>, Mr. López</w:t>
      </w:r>
      <w:r w:rsidR="00930C85" w:rsidRPr="00A50E4D">
        <w:rPr>
          <w:lang w:val="en-US"/>
        </w:rPr>
        <w:t xml:space="preserve"> Lone </w:t>
      </w:r>
      <w:r w:rsidR="00E678F7" w:rsidRPr="00A50E4D">
        <w:rPr>
          <w:lang w:val="en-US"/>
        </w:rPr>
        <w:t>took part</w:t>
      </w:r>
      <w:r w:rsidRPr="00A50E4D">
        <w:rPr>
          <w:lang w:val="en-US"/>
        </w:rPr>
        <w:t xml:space="preserve"> </w:t>
      </w:r>
      <w:r w:rsidR="00E678F7" w:rsidRPr="00A50E4D">
        <w:rPr>
          <w:lang w:val="en-US"/>
        </w:rPr>
        <w:t>in a demonstration near Toncontin</w:t>
      </w:r>
      <w:r w:rsidRPr="00A50E4D">
        <w:rPr>
          <w:lang w:val="en-US"/>
        </w:rPr>
        <w:t xml:space="preserve"> </w:t>
      </w:r>
      <w:r w:rsidR="000A786A" w:rsidRPr="00A50E4D">
        <w:rPr>
          <w:lang w:val="en-US"/>
        </w:rPr>
        <w:t>Airport</w:t>
      </w:r>
      <w:r w:rsidRPr="00A50E4D">
        <w:rPr>
          <w:lang w:val="en-US"/>
        </w:rPr>
        <w:t xml:space="preserve"> awaiting the return </w:t>
      </w:r>
      <w:r w:rsidR="004626E5" w:rsidRPr="00A50E4D">
        <w:rPr>
          <w:lang w:val="en-US"/>
        </w:rPr>
        <w:t xml:space="preserve">of </w:t>
      </w:r>
      <w:r w:rsidR="0054124E" w:rsidRPr="00A50E4D">
        <w:rPr>
          <w:lang w:val="en-US"/>
        </w:rPr>
        <w:t>President Zelaya</w:t>
      </w:r>
      <w:r w:rsidRPr="00A50E4D">
        <w:rPr>
          <w:lang w:val="en-US"/>
        </w:rPr>
        <w:t>.</w:t>
      </w:r>
      <w:r w:rsidR="00930C85" w:rsidRPr="00A50E4D">
        <w:rPr>
          <w:rStyle w:val="FootnoteReference"/>
          <w:rFonts w:cs="Arial"/>
          <w:sz w:val="20"/>
          <w:szCs w:val="20"/>
          <w:lang w:val="en-US"/>
        </w:rPr>
        <w:footnoteReference w:id="137"/>
      </w:r>
      <w:r w:rsidR="00930C85" w:rsidRPr="00A50E4D">
        <w:rPr>
          <w:lang w:val="en-US"/>
        </w:rPr>
        <w:t xml:space="preserve"> </w:t>
      </w:r>
      <w:r w:rsidRPr="00A50E4D">
        <w:rPr>
          <w:lang w:val="en-US"/>
        </w:rPr>
        <w:t>The demonstration was repelled with teargas and shots, which resulted in a</w:t>
      </w:r>
      <w:r w:rsidR="000F4023" w:rsidRPr="00A50E4D">
        <w:rPr>
          <w:lang w:val="en-US"/>
        </w:rPr>
        <w:t xml:space="preserve"> </w:t>
      </w:r>
      <w:r w:rsidR="000A786A" w:rsidRPr="00A50E4D">
        <w:rPr>
          <w:lang w:val="en-US"/>
        </w:rPr>
        <w:t>human</w:t>
      </w:r>
      <w:r w:rsidRPr="00A50E4D">
        <w:rPr>
          <w:lang w:val="en-US"/>
        </w:rPr>
        <w:t xml:space="preserve"> stampede</w:t>
      </w:r>
      <w:r w:rsidR="00930C85" w:rsidRPr="00A50E4D">
        <w:rPr>
          <w:rStyle w:val="FootnoteReference"/>
          <w:rFonts w:cs="Arial"/>
          <w:sz w:val="20"/>
          <w:szCs w:val="20"/>
          <w:lang w:val="en-US"/>
        </w:rPr>
        <w:footnoteReference w:id="138"/>
      </w:r>
      <w:r w:rsidR="00930C85" w:rsidRPr="00A50E4D">
        <w:rPr>
          <w:lang w:val="en-US"/>
        </w:rPr>
        <w:t xml:space="preserve"> </w:t>
      </w:r>
      <w:r w:rsidRPr="00A50E4D">
        <w:rPr>
          <w:lang w:val="en-US"/>
        </w:rPr>
        <w:t>during which Mr. López</w:t>
      </w:r>
      <w:r w:rsidR="00930C85" w:rsidRPr="00A50E4D">
        <w:rPr>
          <w:lang w:val="en-US"/>
        </w:rPr>
        <w:t xml:space="preserve"> Lone</w:t>
      </w:r>
      <w:r w:rsidRPr="00A50E4D">
        <w:rPr>
          <w:lang w:val="en-US"/>
        </w:rPr>
        <w:t>’s left leg was broken.</w:t>
      </w:r>
      <w:r w:rsidR="00930C85" w:rsidRPr="00A50E4D">
        <w:rPr>
          <w:rStyle w:val="FootnoteReference"/>
          <w:rFonts w:cs="Arial"/>
          <w:sz w:val="20"/>
          <w:szCs w:val="20"/>
          <w:lang w:val="en-US"/>
        </w:rPr>
        <w:footnoteReference w:id="139"/>
      </w:r>
      <w:r w:rsidRPr="00A50E4D">
        <w:rPr>
          <w:lang w:val="en-US"/>
        </w:rPr>
        <w:t xml:space="preserve"> In the form to claim medical expenses from his health insurance</w:t>
      </w:r>
      <w:r w:rsidR="00E678F7" w:rsidRPr="00A50E4D">
        <w:rPr>
          <w:lang w:val="en-US"/>
        </w:rPr>
        <w:t xml:space="preserve"> company</w:t>
      </w:r>
      <w:r w:rsidRPr="00A50E4D">
        <w:rPr>
          <w:lang w:val="en-US"/>
        </w:rPr>
        <w:t>, Mr. López</w:t>
      </w:r>
      <w:r w:rsidR="00930C85" w:rsidRPr="00A50E4D">
        <w:rPr>
          <w:lang w:val="en-US"/>
        </w:rPr>
        <w:t xml:space="preserve"> Lone </w:t>
      </w:r>
      <w:r w:rsidRPr="00A50E4D">
        <w:rPr>
          <w:lang w:val="en-US"/>
        </w:rPr>
        <w:t>indicated that “while walking, [he] fel</w:t>
      </w:r>
      <w:r w:rsidR="000F4023" w:rsidRPr="00A50E4D">
        <w:rPr>
          <w:lang w:val="en-US"/>
        </w:rPr>
        <w:t>l, hit [his] knee and could walk no</w:t>
      </w:r>
      <w:r w:rsidRPr="00A50E4D">
        <w:rPr>
          <w:lang w:val="en-US"/>
        </w:rPr>
        <w:t xml:space="preserve"> further.</w:t>
      </w:r>
      <w:r w:rsidR="00930C85" w:rsidRPr="00A50E4D">
        <w:rPr>
          <w:lang w:val="en-US"/>
        </w:rPr>
        <w:t>”</w:t>
      </w:r>
      <w:r w:rsidR="00930C85" w:rsidRPr="00A50E4D">
        <w:rPr>
          <w:rStyle w:val="FootnoteReference"/>
          <w:rFonts w:cs="Arial"/>
          <w:sz w:val="20"/>
          <w:szCs w:val="20"/>
          <w:lang w:val="en-US"/>
        </w:rPr>
        <w:footnoteReference w:id="140"/>
      </w:r>
      <w:r w:rsidR="00930C85" w:rsidRPr="00A50E4D">
        <w:rPr>
          <w:lang w:val="en-US"/>
        </w:rPr>
        <w:t xml:space="preserve"> </w:t>
      </w:r>
      <w:r w:rsidRPr="00A50E4D">
        <w:rPr>
          <w:lang w:val="en-US"/>
        </w:rPr>
        <w:t>Mr. López</w:t>
      </w:r>
      <w:r w:rsidR="00930C85" w:rsidRPr="00A50E4D">
        <w:rPr>
          <w:lang w:val="en-US"/>
        </w:rPr>
        <w:t xml:space="preserve"> Lone</w:t>
      </w:r>
      <w:r w:rsidRPr="00A50E4D">
        <w:rPr>
          <w:lang w:val="en-US"/>
        </w:rPr>
        <w:t>’s presence at the demonstration and the injury he suffered were reported in the newspapers.</w:t>
      </w:r>
      <w:r w:rsidR="00930C85" w:rsidRPr="00A50E4D">
        <w:rPr>
          <w:rStyle w:val="FootnoteReference"/>
          <w:rFonts w:cs="Arial"/>
          <w:sz w:val="20"/>
          <w:szCs w:val="20"/>
          <w:lang w:val="en-US"/>
        </w:rPr>
        <w:footnoteReference w:id="141"/>
      </w:r>
      <w:bookmarkStart w:id="159" w:name="_Ref424563259"/>
      <w:bookmarkEnd w:id="158"/>
    </w:p>
    <w:p w14:paraId="43CDA148" w14:textId="77777777" w:rsidR="00930C85" w:rsidRPr="00A50E4D" w:rsidRDefault="00930C85" w:rsidP="00930C85">
      <w:pPr>
        <w:pStyle w:val="ListParagraph"/>
        <w:numPr>
          <w:ilvl w:val="0"/>
          <w:numId w:val="0"/>
        </w:numPr>
        <w:rPr>
          <w:spacing w:val="-4"/>
          <w:lang w:val="en-US"/>
        </w:rPr>
      </w:pPr>
    </w:p>
    <w:p w14:paraId="42B11588" w14:textId="3BE4CFA8" w:rsidR="00930C85" w:rsidRPr="00A50E4D" w:rsidRDefault="0048601C" w:rsidP="00930C85">
      <w:pPr>
        <w:pStyle w:val="PrrafodeSentencia"/>
        <w:rPr>
          <w:szCs w:val="20"/>
          <w:lang w:val="en-US"/>
        </w:rPr>
      </w:pPr>
      <w:r w:rsidRPr="00A50E4D">
        <w:rPr>
          <w:lang w:val="en-US"/>
        </w:rPr>
        <w:t>On July 6,</w:t>
      </w:r>
      <w:r w:rsidR="00930C85" w:rsidRPr="00A50E4D">
        <w:rPr>
          <w:lang w:val="en-US"/>
        </w:rPr>
        <w:t xml:space="preserve"> 2009</w:t>
      </w:r>
      <w:r w:rsidR="00FF35A9" w:rsidRPr="00A50E4D">
        <w:rPr>
          <w:lang w:val="en-US"/>
        </w:rPr>
        <w:t>,</w:t>
      </w:r>
      <w:r w:rsidR="00930C85" w:rsidRPr="00A50E4D">
        <w:rPr>
          <w:lang w:val="en-US"/>
        </w:rPr>
        <w:t xml:space="preserve"> </w:t>
      </w:r>
      <w:r w:rsidR="00FF35A9" w:rsidRPr="00A50E4D">
        <w:rPr>
          <w:lang w:val="en-US"/>
        </w:rPr>
        <w:t xml:space="preserve">based on an article in the </w:t>
      </w:r>
      <w:r w:rsidR="00FF35A9" w:rsidRPr="00A50E4D">
        <w:rPr>
          <w:i/>
          <w:lang w:val="en-US"/>
        </w:rPr>
        <w:t>El Tiempo</w:t>
      </w:r>
      <w:r w:rsidR="00FF35A9" w:rsidRPr="00A50E4D">
        <w:rPr>
          <w:lang w:val="en-US"/>
        </w:rPr>
        <w:t xml:space="preserve"> newspaper that referred to Mr. López</w:t>
      </w:r>
      <w:r w:rsidR="00930C85" w:rsidRPr="00A50E4D">
        <w:rPr>
          <w:lang w:val="en-US"/>
        </w:rPr>
        <w:t xml:space="preserve"> Lone</w:t>
      </w:r>
      <w:r w:rsidR="00FF35A9" w:rsidRPr="00A50E4D">
        <w:rPr>
          <w:lang w:val="en-US"/>
        </w:rPr>
        <w:t>’s accident during the demonstration</w:t>
      </w:r>
      <w:r w:rsidR="00930C85" w:rsidRPr="00A50E4D">
        <w:rPr>
          <w:lang w:val="en-US"/>
        </w:rPr>
        <w:t xml:space="preserve"> (</w:t>
      </w:r>
      <w:r w:rsidR="00930C85" w:rsidRPr="00A50E4D">
        <w:rPr>
          <w:i/>
          <w:lang w:val="en-US"/>
        </w:rPr>
        <w:t xml:space="preserve">supra </w:t>
      </w:r>
      <w:r w:rsidR="00AD5EE7" w:rsidRPr="00A50E4D">
        <w:rPr>
          <w:lang w:val="en-US"/>
        </w:rPr>
        <w:t>para.</w:t>
      </w:r>
      <w:r w:rsidR="00930C85" w:rsidRPr="00A50E4D">
        <w:rPr>
          <w:szCs w:val="20"/>
          <w:lang w:val="en-US"/>
        </w:rPr>
        <w:t xml:space="preserve"> </w:t>
      </w:r>
      <w:r w:rsidR="00930C85" w:rsidRPr="00914F55">
        <w:rPr>
          <w:szCs w:val="20"/>
          <w:lang w:val="en-US"/>
        </w:rPr>
        <w:fldChar w:fldCharType="begin"/>
      </w:r>
      <w:r w:rsidR="00930C85" w:rsidRPr="00A50E4D">
        <w:rPr>
          <w:szCs w:val="20"/>
          <w:lang w:val="en-US"/>
        </w:rPr>
        <w:instrText xml:space="preserve"> REF _Ref424631914 \r \h  \* MERGEFORMAT </w:instrText>
      </w:r>
      <w:r w:rsidR="00930C85" w:rsidRPr="00914F55">
        <w:rPr>
          <w:szCs w:val="20"/>
          <w:lang w:val="en-US"/>
        </w:rPr>
      </w:r>
      <w:r w:rsidR="00930C85" w:rsidRPr="00914F55">
        <w:rPr>
          <w:szCs w:val="20"/>
          <w:lang w:val="en-US"/>
        </w:rPr>
        <w:fldChar w:fldCharType="separate"/>
      </w:r>
      <w:r w:rsidR="00547588">
        <w:rPr>
          <w:szCs w:val="20"/>
          <w:lang w:val="en-US"/>
        </w:rPr>
        <w:t>87</w:t>
      </w:r>
      <w:r w:rsidR="00930C85" w:rsidRPr="00914F55">
        <w:rPr>
          <w:szCs w:val="20"/>
          <w:lang w:val="en-US"/>
        </w:rPr>
        <w:fldChar w:fldCharType="end"/>
      </w:r>
      <w:r w:rsidR="00930C85" w:rsidRPr="00A50E4D">
        <w:rPr>
          <w:szCs w:val="20"/>
          <w:lang w:val="en-US"/>
        </w:rPr>
        <w:t xml:space="preserve">), </w:t>
      </w:r>
      <w:r w:rsidR="002763C0" w:rsidRPr="00A50E4D">
        <w:rPr>
          <w:lang w:val="en-US"/>
        </w:rPr>
        <w:t xml:space="preserve">the Inspector of Courts and Tribunals for the Northwestern Region </w:t>
      </w:r>
      <w:r w:rsidR="00FF35A9" w:rsidRPr="00A50E4D">
        <w:rPr>
          <w:szCs w:val="20"/>
          <w:lang w:val="en-US"/>
        </w:rPr>
        <w:t xml:space="preserve">asked the </w:t>
      </w:r>
      <w:r w:rsidR="0009368F" w:rsidRPr="00A50E4D">
        <w:rPr>
          <w:szCs w:val="20"/>
          <w:lang w:val="en-US"/>
        </w:rPr>
        <w:t>Head of Personnel for the Northwestern R</w:t>
      </w:r>
      <w:r w:rsidR="00FF35A9" w:rsidRPr="00A50E4D">
        <w:rPr>
          <w:szCs w:val="20"/>
          <w:lang w:val="en-US"/>
        </w:rPr>
        <w:t>egion for information “in order to know whether there was any record of disability leave.</w:t>
      </w:r>
      <w:r w:rsidR="00930C85" w:rsidRPr="00A50E4D">
        <w:rPr>
          <w:szCs w:val="20"/>
          <w:lang w:val="en-US"/>
        </w:rPr>
        <w:t>”</w:t>
      </w:r>
      <w:r w:rsidR="00930C85" w:rsidRPr="00A50E4D">
        <w:rPr>
          <w:rStyle w:val="FootnoteReference"/>
          <w:sz w:val="20"/>
          <w:szCs w:val="20"/>
          <w:lang w:val="en-US"/>
        </w:rPr>
        <w:footnoteReference w:id="142"/>
      </w:r>
    </w:p>
    <w:p w14:paraId="1E93DC19" w14:textId="77777777" w:rsidR="00930C85" w:rsidRPr="00A50E4D" w:rsidRDefault="00930C85" w:rsidP="00930C85">
      <w:pPr>
        <w:pStyle w:val="ListParagraph"/>
        <w:numPr>
          <w:ilvl w:val="0"/>
          <w:numId w:val="0"/>
        </w:numPr>
        <w:rPr>
          <w:rFonts w:cs="Times New Roman"/>
          <w:spacing w:val="-4"/>
          <w:lang w:val="en-US"/>
        </w:rPr>
      </w:pPr>
    </w:p>
    <w:p w14:paraId="296F6ED2" w14:textId="7432B3A0" w:rsidR="00930C85" w:rsidRPr="00A50E4D" w:rsidRDefault="00FF35A9" w:rsidP="00FF35A9">
      <w:pPr>
        <w:pStyle w:val="PrrafodeSentencia"/>
        <w:rPr>
          <w:szCs w:val="20"/>
          <w:lang w:val="en-US"/>
        </w:rPr>
      </w:pPr>
      <w:r w:rsidRPr="00A50E4D">
        <w:rPr>
          <w:szCs w:val="20"/>
          <w:lang w:val="en-US"/>
        </w:rPr>
        <w:t xml:space="preserve">Then, on July 22 that year, the Secretary of State for National Defense filed a complaint before </w:t>
      </w:r>
      <w:r w:rsidR="009808C5" w:rsidRPr="00A50E4D">
        <w:rPr>
          <w:szCs w:val="20"/>
          <w:lang w:val="en-US"/>
        </w:rPr>
        <w:t xml:space="preserve">the </w:t>
      </w:r>
      <w:r w:rsidR="00371BB7" w:rsidRPr="00A50E4D">
        <w:rPr>
          <w:szCs w:val="20"/>
          <w:lang w:val="en-US"/>
        </w:rPr>
        <w:t>Supreme Court of Justice</w:t>
      </w:r>
      <w:r w:rsidR="00930C85" w:rsidRPr="00A50E4D">
        <w:rPr>
          <w:szCs w:val="20"/>
          <w:lang w:val="en-US"/>
        </w:rPr>
        <w:t xml:space="preserve"> </w:t>
      </w:r>
      <w:r w:rsidRPr="00A50E4D">
        <w:rPr>
          <w:szCs w:val="20"/>
          <w:lang w:val="en-US"/>
        </w:rPr>
        <w:t>against Mr. López</w:t>
      </w:r>
      <w:r w:rsidR="00930C85" w:rsidRPr="00A50E4D">
        <w:rPr>
          <w:szCs w:val="20"/>
          <w:lang w:val="en-US"/>
        </w:rPr>
        <w:t xml:space="preserve"> Lone </w:t>
      </w:r>
      <w:r w:rsidRPr="00A50E4D">
        <w:rPr>
          <w:szCs w:val="20"/>
          <w:lang w:val="en-US"/>
        </w:rPr>
        <w:t>for “demonstrating in favor of a citizen who was supposedly responsible for the most contemptib</w:t>
      </w:r>
      <w:r w:rsidR="002763C0" w:rsidRPr="00A50E4D">
        <w:rPr>
          <w:szCs w:val="20"/>
          <w:lang w:val="en-US"/>
        </w:rPr>
        <w:t>le offenses against our country</w:t>
      </w:r>
      <w:r w:rsidRPr="00A50E4D">
        <w:rPr>
          <w:szCs w:val="20"/>
          <w:lang w:val="en-US"/>
        </w:rPr>
        <w:t>”</w:t>
      </w:r>
      <w:r w:rsidR="002763C0" w:rsidRPr="00A50E4D">
        <w:rPr>
          <w:szCs w:val="20"/>
          <w:lang w:val="en-US"/>
        </w:rPr>
        <w:t>;</w:t>
      </w:r>
      <w:r w:rsidRPr="00A50E4D">
        <w:rPr>
          <w:szCs w:val="20"/>
          <w:lang w:val="en-US"/>
        </w:rPr>
        <w:t xml:space="preserve"> </w:t>
      </w:r>
      <w:r w:rsidR="002763C0" w:rsidRPr="00A50E4D">
        <w:rPr>
          <w:szCs w:val="20"/>
          <w:lang w:val="en-US"/>
        </w:rPr>
        <w:t xml:space="preserve">affirming that this </w:t>
      </w:r>
      <w:r w:rsidRPr="00A50E4D">
        <w:rPr>
          <w:szCs w:val="20"/>
          <w:lang w:val="en-US"/>
        </w:rPr>
        <w:t>would be co</w:t>
      </w:r>
      <w:r w:rsidR="002763C0" w:rsidRPr="00A50E4D">
        <w:rPr>
          <w:szCs w:val="20"/>
          <w:lang w:val="en-US"/>
        </w:rPr>
        <w:t>ntrary</w:t>
      </w:r>
      <w:r w:rsidRPr="00A50E4D">
        <w:rPr>
          <w:szCs w:val="20"/>
          <w:lang w:val="en-US"/>
        </w:rPr>
        <w:t xml:space="preserve"> to “the </w:t>
      </w:r>
      <w:r w:rsidR="002763C0" w:rsidRPr="00A50E4D">
        <w:rPr>
          <w:szCs w:val="20"/>
          <w:lang w:val="en-US"/>
        </w:rPr>
        <w:t xml:space="preserve">judicial </w:t>
      </w:r>
      <w:r w:rsidRPr="00A50E4D">
        <w:rPr>
          <w:szCs w:val="20"/>
          <w:lang w:val="en-US"/>
        </w:rPr>
        <w:t>principles of independence, impartiality and loyalty</w:t>
      </w:r>
      <w:r w:rsidR="002763C0" w:rsidRPr="00A50E4D">
        <w:rPr>
          <w:szCs w:val="20"/>
          <w:lang w:val="en-US"/>
        </w:rPr>
        <w:t>.” He therefore</w:t>
      </w:r>
      <w:r w:rsidRPr="00A50E4D">
        <w:rPr>
          <w:szCs w:val="20"/>
          <w:lang w:val="en-US"/>
        </w:rPr>
        <w:t xml:space="preserve"> asked “that the respective investigations be opened and the corresponding measures taken.</w:t>
      </w:r>
      <w:r w:rsidR="00930C85" w:rsidRPr="00A50E4D">
        <w:rPr>
          <w:szCs w:val="20"/>
          <w:lang w:val="en-US"/>
        </w:rPr>
        <w:t>”</w:t>
      </w:r>
      <w:r w:rsidR="00930C85" w:rsidRPr="00A50E4D">
        <w:rPr>
          <w:rStyle w:val="FootnoteReference"/>
          <w:rFonts w:cs="Arial"/>
          <w:sz w:val="20"/>
          <w:szCs w:val="20"/>
          <w:lang w:val="en-US"/>
        </w:rPr>
        <w:footnoteReference w:id="143"/>
      </w:r>
      <w:r w:rsidRPr="00A50E4D">
        <w:rPr>
          <w:szCs w:val="20"/>
          <w:lang w:val="en-US"/>
        </w:rPr>
        <w:t xml:space="preserve"> The</w:t>
      </w:r>
      <w:r w:rsidR="00930C85" w:rsidRPr="00A50E4D">
        <w:rPr>
          <w:szCs w:val="20"/>
          <w:lang w:val="en-US"/>
        </w:rPr>
        <w:t xml:space="preserve"> </w:t>
      </w:r>
      <w:r w:rsidRPr="00A50E4D">
        <w:rPr>
          <w:szCs w:val="20"/>
          <w:lang w:val="en-US"/>
        </w:rPr>
        <w:t>Inspectorate General of Courts and Tribunals</w:t>
      </w:r>
      <w:r w:rsidR="00930C85" w:rsidRPr="00A50E4D">
        <w:rPr>
          <w:szCs w:val="20"/>
          <w:lang w:val="en-US"/>
        </w:rPr>
        <w:t xml:space="preserve"> </w:t>
      </w:r>
      <w:r w:rsidRPr="00A50E4D">
        <w:rPr>
          <w:szCs w:val="20"/>
          <w:lang w:val="en-US"/>
        </w:rPr>
        <w:t xml:space="preserve">carried out an investigation and </w:t>
      </w:r>
      <w:r w:rsidRPr="00A50E4D">
        <w:rPr>
          <w:szCs w:val="20"/>
          <w:lang w:val="en-US"/>
        </w:rPr>
        <w:lastRenderedPageBreak/>
        <w:t xml:space="preserve">concluded, in a report sent to </w:t>
      </w:r>
      <w:r w:rsidR="009808C5" w:rsidRPr="00A50E4D">
        <w:rPr>
          <w:szCs w:val="20"/>
          <w:lang w:val="en-US"/>
        </w:rPr>
        <w:t xml:space="preserve">the </w:t>
      </w:r>
      <w:r w:rsidR="00371BB7" w:rsidRPr="00A50E4D">
        <w:rPr>
          <w:szCs w:val="20"/>
          <w:lang w:val="en-US"/>
        </w:rPr>
        <w:t>Supreme Court of Justice</w:t>
      </w:r>
      <w:r w:rsidR="00930C85" w:rsidRPr="00A50E4D">
        <w:rPr>
          <w:szCs w:val="20"/>
          <w:lang w:val="en-US"/>
        </w:rPr>
        <w:t xml:space="preserve"> </w:t>
      </w:r>
      <w:r w:rsidRPr="00A50E4D">
        <w:rPr>
          <w:szCs w:val="20"/>
          <w:lang w:val="en-US"/>
        </w:rPr>
        <w:t xml:space="preserve">with a copy to the </w:t>
      </w:r>
      <w:r w:rsidR="00D563D1" w:rsidRPr="00A50E4D">
        <w:rPr>
          <w:szCs w:val="20"/>
          <w:lang w:val="en-US"/>
        </w:rPr>
        <w:t>Personnel Management Directorate</w:t>
      </w:r>
      <w:r w:rsidRPr="00A50E4D">
        <w:rPr>
          <w:szCs w:val="20"/>
          <w:lang w:val="en-US"/>
        </w:rPr>
        <w:t>, that</w:t>
      </w:r>
      <w:r w:rsidR="00930C85" w:rsidRPr="00A50E4D">
        <w:rPr>
          <w:szCs w:val="20"/>
          <w:lang w:val="en-US"/>
        </w:rPr>
        <w:t>:</w:t>
      </w:r>
      <w:bookmarkEnd w:id="159"/>
      <w:r w:rsidR="00930C85" w:rsidRPr="00A50E4D">
        <w:rPr>
          <w:szCs w:val="20"/>
          <w:lang w:val="en-US"/>
        </w:rPr>
        <w:t xml:space="preserve"> </w:t>
      </w:r>
    </w:p>
    <w:p w14:paraId="32FB298F" w14:textId="77777777" w:rsidR="00930C85" w:rsidRPr="00A50E4D" w:rsidRDefault="00930C85" w:rsidP="00930C85">
      <w:pPr>
        <w:rPr>
          <w:spacing w:val="-4"/>
          <w:szCs w:val="20"/>
          <w:lang w:val="en-US"/>
        </w:rPr>
      </w:pPr>
    </w:p>
    <w:p w14:paraId="6876206C" w14:textId="7F40CACB" w:rsidR="00930C85" w:rsidRPr="00A50E4D" w:rsidRDefault="00FF35A9" w:rsidP="00FF35A9">
      <w:pPr>
        <w:autoSpaceDE w:val="0"/>
        <w:autoSpaceDN w:val="0"/>
        <w:adjustRightInd w:val="0"/>
        <w:ind w:left="567" w:right="571"/>
        <w:rPr>
          <w:rFonts w:cs="Arial"/>
          <w:spacing w:val="-4"/>
          <w:sz w:val="18"/>
          <w:szCs w:val="18"/>
          <w:lang w:val="en-US"/>
        </w:rPr>
      </w:pPr>
      <w:r w:rsidRPr="00A50E4D">
        <w:rPr>
          <w:rFonts w:cs="Arial"/>
          <w:spacing w:val="-4"/>
          <w:sz w:val="18"/>
          <w:szCs w:val="18"/>
          <w:lang w:val="en-US"/>
        </w:rPr>
        <w:t xml:space="preserve">The presence and participation of </w:t>
      </w:r>
      <w:r w:rsidR="009808C5" w:rsidRPr="00A50E4D">
        <w:rPr>
          <w:rFonts w:cs="Arial"/>
          <w:spacing w:val="-4"/>
          <w:sz w:val="18"/>
          <w:szCs w:val="18"/>
          <w:lang w:val="en-US"/>
        </w:rPr>
        <w:t>Judge</w:t>
      </w:r>
      <w:r w:rsidR="002763C0" w:rsidRPr="00A50E4D">
        <w:rPr>
          <w:rFonts w:cs="Arial"/>
          <w:spacing w:val="-4"/>
          <w:sz w:val="18"/>
          <w:szCs w:val="18"/>
          <w:lang w:val="en-US"/>
        </w:rPr>
        <w:t xml:space="preserve"> ADAN GUILLERMO LOPEZ LONE</w:t>
      </w:r>
      <w:r w:rsidR="00930C85" w:rsidRPr="00A50E4D">
        <w:rPr>
          <w:rFonts w:cs="Arial"/>
          <w:spacing w:val="-4"/>
          <w:sz w:val="18"/>
          <w:szCs w:val="18"/>
          <w:lang w:val="en-US"/>
        </w:rPr>
        <w:t xml:space="preserve"> </w:t>
      </w:r>
      <w:r w:rsidR="002763C0" w:rsidRPr="00A50E4D">
        <w:rPr>
          <w:rFonts w:cs="Arial"/>
          <w:spacing w:val="-4"/>
          <w:sz w:val="18"/>
          <w:szCs w:val="18"/>
          <w:lang w:val="en-US"/>
        </w:rPr>
        <w:t xml:space="preserve">of the </w:t>
      </w:r>
      <w:r w:rsidR="00930C85" w:rsidRPr="00A50E4D">
        <w:rPr>
          <w:rFonts w:cs="Arial"/>
          <w:spacing w:val="-4"/>
          <w:sz w:val="18"/>
          <w:szCs w:val="18"/>
          <w:lang w:val="en-US"/>
        </w:rPr>
        <w:t xml:space="preserve">San Pedro Sula </w:t>
      </w:r>
      <w:r w:rsidR="002763C0" w:rsidRPr="00A50E4D">
        <w:rPr>
          <w:rFonts w:cs="Arial"/>
          <w:spacing w:val="-4"/>
          <w:sz w:val="18"/>
          <w:szCs w:val="18"/>
          <w:lang w:val="en-US"/>
        </w:rPr>
        <w:t xml:space="preserve">Sentencing Court </w:t>
      </w:r>
      <w:r w:rsidRPr="00A50E4D">
        <w:rPr>
          <w:rFonts w:cs="Arial"/>
          <w:spacing w:val="-4"/>
          <w:sz w:val="18"/>
          <w:szCs w:val="18"/>
          <w:lang w:val="en-US"/>
        </w:rPr>
        <w:t xml:space="preserve">in those disturbances </w:t>
      </w:r>
      <w:r w:rsidR="002763C0" w:rsidRPr="00A50E4D">
        <w:rPr>
          <w:rFonts w:cs="Arial"/>
          <w:spacing w:val="-4"/>
          <w:sz w:val="18"/>
          <w:szCs w:val="18"/>
          <w:lang w:val="en-US"/>
        </w:rPr>
        <w:t>involved</w:t>
      </w:r>
      <w:r w:rsidRPr="00A50E4D">
        <w:rPr>
          <w:rFonts w:cs="Arial"/>
          <w:spacing w:val="-4"/>
          <w:sz w:val="18"/>
          <w:szCs w:val="18"/>
          <w:lang w:val="en-US"/>
        </w:rPr>
        <w:t xml:space="preserve"> conduct that was not in keeping wit</w:t>
      </w:r>
      <w:r w:rsidR="002763C0" w:rsidRPr="00A50E4D">
        <w:rPr>
          <w:rFonts w:cs="Arial"/>
          <w:spacing w:val="-4"/>
          <w:sz w:val="18"/>
          <w:szCs w:val="18"/>
          <w:lang w:val="en-US"/>
        </w:rPr>
        <w:t>h the ethical principles and</w:t>
      </w:r>
      <w:r w:rsidRPr="00A50E4D">
        <w:rPr>
          <w:rFonts w:cs="Arial"/>
          <w:spacing w:val="-4"/>
          <w:sz w:val="18"/>
          <w:szCs w:val="18"/>
          <w:lang w:val="en-US"/>
        </w:rPr>
        <w:t xml:space="preserve"> legal provisions that regulate the actions of judicial officials and employees</w:t>
      </w:r>
      <w:r w:rsidR="002763C0" w:rsidRPr="00A50E4D">
        <w:rPr>
          <w:rFonts w:cs="Arial"/>
          <w:spacing w:val="-4"/>
          <w:sz w:val="18"/>
          <w:szCs w:val="18"/>
          <w:lang w:val="en-US"/>
        </w:rPr>
        <w:t xml:space="preserve">. Consequently, </w:t>
      </w:r>
      <w:r w:rsidRPr="00A50E4D">
        <w:rPr>
          <w:rFonts w:cs="Arial"/>
          <w:spacing w:val="-4"/>
          <w:sz w:val="18"/>
          <w:szCs w:val="18"/>
          <w:lang w:val="en-US"/>
        </w:rPr>
        <w:t xml:space="preserve">he </w:t>
      </w:r>
      <w:r w:rsidR="002763C0" w:rsidRPr="00A50E4D">
        <w:rPr>
          <w:rFonts w:cs="Arial"/>
          <w:spacing w:val="-4"/>
          <w:sz w:val="18"/>
          <w:szCs w:val="18"/>
          <w:lang w:val="en-US"/>
        </w:rPr>
        <w:t>has incurred</w:t>
      </w:r>
      <w:r w:rsidRPr="00A50E4D">
        <w:rPr>
          <w:rFonts w:cs="Arial"/>
          <w:spacing w:val="-4"/>
          <w:sz w:val="18"/>
          <w:szCs w:val="18"/>
          <w:lang w:val="en-US"/>
        </w:rPr>
        <w:t xml:space="preserve"> administrative responsibility for </w:t>
      </w:r>
      <w:r w:rsidR="002763C0" w:rsidRPr="00A50E4D">
        <w:rPr>
          <w:rFonts w:cs="Arial"/>
          <w:spacing w:val="-4"/>
          <w:sz w:val="18"/>
          <w:szCs w:val="18"/>
          <w:lang w:val="en-US"/>
        </w:rPr>
        <w:t>committing act</w:t>
      </w:r>
      <w:r w:rsidRPr="00A50E4D">
        <w:rPr>
          <w:rFonts w:cs="Arial"/>
          <w:spacing w:val="-4"/>
          <w:sz w:val="18"/>
          <w:szCs w:val="18"/>
          <w:lang w:val="en-US"/>
        </w:rPr>
        <w:t xml:space="preserve">s that </w:t>
      </w:r>
      <w:r w:rsidR="006A228E" w:rsidRPr="00A50E4D">
        <w:rPr>
          <w:rFonts w:cs="Arial"/>
          <w:spacing w:val="-4"/>
          <w:sz w:val="18"/>
          <w:szCs w:val="18"/>
          <w:lang w:val="en-US"/>
        </w:rPr>
        <w:t>are inimical to</w:t>
      </w:r>
      <w:r w:rsidRPr="00A50E4D">
        <w:rPr>
          <w:rFonts w:cs="Arial"/>
          <w:spacing w:val="-4"/>
          <w:sz w:val="18"/>
          <w:szCs w:val="18"/>
          <w:lang w:val="en-US"/>
        </w:rPr>
        <w:t xml:space="preserve"> the dignity and decorum of his functions, as well as judicial misconduct vis-à-vis the population.</w:t>
      </w:r>
      <w:r w:rsidR="00930C85" w:rsidRPr="00A50E4D">
        <w:rPr>
          <w:rStyle w:val="FootnoteReference"/>
          <w:rFonts w:cs="Arial"/>
          <w:spacing w:val="-4"/>
          <w:sz w:val="18"/>
          <w:szCs w:val="18"/>
          <w:lang w:val="en-US"/>
        </w:rPr>
        <w:footnoteReference w:id="144"/>
      </w:r>
    </w:p>
    <w:p w14:paraId="16C6C865" w14:textId="77777777" w:rsidR="00930C85" w:rsidRPr="00A50E4D" w:rsidRDefault="00930C85" w:rsidP="00930C85">
      <w:pPr>
        <w:rPr>
          <w:spacing w:val="-4"/>
          <w:szCs w:val="20"/>
          <w:lang w:val="en-US"/>
        </w:rPr>
      </w:pPr>
    </w:p>
    <w:p w14:paraId="63029984" w14:textId="112BB867" w:rsidR="00930C85" w:rsidRPr="00A50E4D" w:rsidRDefault="002763C0" w:rsidP="00930C85">
      <w:pPr>
        <w:pStyle w:val="PrrafodeSentencia"/>
        <w:rPr>
          <w:szCs w:val="20"/>
          <w:lang w:val="en-US"/>
        </w:rPr>
      </w:pPr>
      <w:r w:rsidRPr="00A50E4D">
        <w:rPr>
          <w:szCs w:val="20"/>
          <w:lang w:val="en-US"/>
        </w:rPr>
        <w:t>It therefore</w:t>
      </w:r>
      <w:r w:rsidR="00FF35A9" w:rsidRPr="00A50E4D">
        <w:rPr>
          <w:szCs w:val="20"/>
          <w:lang w:val="en-US"/>
        </w:rPr>
        <w:t xml:space="preserve"> </w:t>
      </w:r>
      <w:r w:rsidRPr="00A50E4D">
        <w:rPr>
          <w:szCs w:val="20"/>
          <w:lang w:val="en-US"/>
        </w:rPr>
        <w:t>recommended that</w:t>
      </w:r>
      <w:r w:rsidR="00930C85" w:rsidRPr="00A50E4D">
        <w:rPr>
          <w:szCs w:val="20"/>
          <w:lang w:val="en-US"/>
        </w:rPr>
        <w:t xml:space="preserve"> </w:t>
      </w:r>
      <w:r w:rsidR="009808C5" w:rsidRPr="00A50E4D">
        <w:rPr>
          <w:szCs w:val="20"/>
          <w:lang w:val="en-US"/>
        </w:rPr>
        <w:t xml:space="preserve">the </w:t>
      </w:r>
      <w:r w:rsidR="00371BB7" w:rsidRPr="00A50E4D">
        <w:rPr>
          <w:szCs w:val="20"/>
          <w:lang w:val="en-US"/>
        </w:rPr>
        <w:t>Supreme Court of Justice</w:t>
      </w:r>
      <w:r w:rsidR="00930C85" w:rsidRPr="00A50E4D">
        <w:rPr>
          <w:szCs w:val="20"/>
          <w:lang w:val="en-US"/>
        </w:rPr>
        <w:t xml:space="preserve"> “</w:t>
      </w:r>
      <w:r w:rsidR="00FF35A9" w:rsidRPr="00A50E4D">
        <w:rPr>
          <w:szCs w:val="20"/>
          <w:lang w:val="en-US"/>
        </w:rPr>
        <w:t xml:space="preserve">pursue any appropriate </w:t>
      </w:r>
      <w:r w:rsidR="000A786A" w:rsidRPr="00A50E4D">
        <w:rPr>
          <w:szCs w:val="20"/>
          <w:lang w:val="en-US"/>
        </w:rPr>
        <w:t>disciplinary</w:t>
      </w:r>
      <w:r w:rsidR="00FF35A9" w:rsidRPr="00A50E4D">
        <w:rPr>
          <w:szCs w:val="20"/>
          <w:lang w:val="en-US"/>
        </w:rPr>
        <w:t xml:space="preserve"> measures.</w:t>
      </w:r>
      <w:r w:rsidR="00930C85" w:rsidRPr="00A50E4D">
        <w:rPr>
          <w:szCs w:val="20"/>
          <w:lang w:val="en-US"/>
        </w:rPr>
        <w:t>”</w:t>
      </w:r>
      <w:r w:rsidR="00930C85" w:rsidRPr="00A50E4D">
        <w:rPr>
          <w:rStyle w:val="FootnoteReference"/>
          <w:rFonts w:cs="Arial"/>
          <w:sz w:val="20"/>
          <w:szCs w:val="20"/>
          <w:lang w:val="en-US"/>
        </w:rPr>
        <w:footnoteReference w:id="145"/>
      </w:r>
      <w:r w:rsidR="00930C85" w:rsidRPr="00A50E4D">
        <w:rPr>
          <w:szCs w:val="20"/>
          <w:lang w:val="en-US"/>
        </w:rPr>
        <w:t xml:space="preserve"> </w:t>
      </w:r>
      <w:r w:rsidR="009808C5" w:rsidRPr="00A50E4D">
        <w:rPr>
          <w:szCs w:val="20"/>
          <w:lang w:val="en-US"/>
        </w:rPr>
        <w:t xml:space="preserve">The </w:t>
      </w:r>
      <w:r w:rsidR="00700DEC" w:rsidRPr="00A50E4D">
        <w:rPr>
          <w:szCs w:val="20"/>
          <w:lang w:val="en-US"/>
        </w:rPr>
        <w:t>Supreme Court</w:t>
      </w:r>
      <w:r w:rsidR="00930C85" w:rsidRPr="00A50E4D">
        <w:rPr>
          <w:szCs w:val="20"/>
          <w:lang w:val="en-US"/>
        </w:rPr>
        <w:t xml:space="preserve"> </w:t>
      </w:r>
      <w:r w:rsidR="00FF35A9" w:rsidRPr="00A50E4D">
        <w:rPr>
          <w:szCs w:val="20"/>
          <w:lang w:val="en-US"/>
        </w:rPr>
        <w:t xml:space="preserve">forwarded the file to </w:t>
      </w:r>
      <w:r w:rsidR="004D0F32" w:rsidRPr="00A50E4D">
        <w:rPr>
          <w:szCs w:val="20"/>
          <w:lang w:val="en-US"/>
        </w:rPr>
        <w:t xml:space="preserve">the </w:t>
      </w:r>
      <w:r w:rsidR="00D563D1" w:rsidRPr="00A50E4D">
        <w:rPr>
          <w:szCs w:val="20"/>
          <w:lang w:val="en-US"/>
        </w:rPr>
        <w:t>Personnel Management Directorate</w:t>
      </w:r>
      <w:r w:rsidR="00930C85" w:rsidRPr="00A50E4D">
        <w:rPr>
          <w:szCs w:val="20"/>
          <w:lang w:val="en-US"/>
        </w:rPr>
        <w:t xml:space="preserve"> “</w:t>
      </w:r>
      <w:r w:rsidR="00FF35A9" w:rsidRPr="00A50E4D">
        <w:rPr>
          <w:szCs w:val="20"/>
          <w:lang w:val="en-US"/>
        </w:rPr>
        <w:t>so that it could follow the procedure indicated in</w:t>
      </w:r>
      <w:r w:rsidR="00930C85" w:rsidRPr="00A50E4D">
        <w:rPr>
          <w:szCs w:val="20"/>
          <w:lang w:val="en-US"/>
        </w:rPr>
        <w:t xml:space="preserve"> </w:t>
      </w:r>
      <w:r w:rsidR="009808C5" w:rsidRPr="00A50E4D">
        <w:rPr>
          <w:szCs w:val="20"/>
          <w:lang w:val="en-US"/>
        </w:rPr>
        <w:t xml:space="preserve">the </w:t>
      </w:r>
      <w:r w:rsidR="00CB63E6" w:rsidRPr="00A50E4D">
        <w:rPr>
          <w:szCs w:val="20"/>
          <w:lang w:val="en-US"/>
        </w:rPr>
        <w:t>Regulations governing the Judicial Service</w:t>
      </w:r>
      <w:r w:rsidR="00277E12" w:rsidRPr="00A50E4D">
        <w:rPr>
          <w:szCs w:val="20"/>
          <w:lang w:val="en-US"/>
        </w:rPr>
        <w:t xml:space="preserve"> Act</w:t>
      </w:r>
      <w:r w:rsidR="00FF35A9" w:rsidRPr="00A50E4D">
        <w:rPr>
          <w:szCs w:val="20"/>
          <w:lang w:val="en-US"/>
        </w:rPr>
        <w:t>.</w:t>
      </w:r>
      <w:r w:rsidR="00930C85" w:rsidRPr="00A50E4D">
        <w:rPr>
          <w:szCs w:val="20"/>
          <w:lang w:val="en-US"/>
        </w:rPr>
        <w:t>”</w:t>
      </w:r>
      <w:r w:rsidR="00930C85" w:rsidRPr="00A50E4D">
        <w:rPr>
          <w:rStyle w:val="FootnoteReference"/>
          <w:rFonts w:cs="Arial"/>
          <w:sz w:val="20"/>
          <w:szCs w:val="20"/>
          <w:lang w:val="en-US"/>
        </w:rPr>
        <w:footnoteReference w:id="146"/>
      </w:r>
    </w:p>
    <w:p w14:paraId="75C83A16" w14:textId="77777777" w:rsidR="00930C85" w:rsidRPr="00A50E4D" w:rsidRDefault="00930C85" w:rsidP="00930C85">
      <w:pPr>
        <w:pStyle w:val="NoSpacing"/>
        <w:tabs>
          <w:tab w:val="left" w:pos="567"/>
        </w:tabs>
        <w:rPr>
          <w:spacing w:val="-4"/>
          <w:szCs w:val="20"/>
          <w:lang w:val="en-US"/>
        </w:rPr>
      </w:pPr>
    </w:p>
    <w:p w14:paraId="1D6955BB" w14:textId="68EA6D5A" w:rsidR="00930C85" w:rsidRPr="00A50E4D" w:rsidRDefault="0029085B" w:rsidP="00930C85">
      <w:pPr>
        <w:pStyle w:val="PrrafodeSentencia"/>
        <w:rPr>
          <w:szCs w:val="20"/>
          <w:lang w:val="en-US"/>
        </w:rPr>
      </w:pPr>
      <w:bookmarkStart w:id="160" w:name="_Ref426359193"/>
      <w:r w:rsidRPr="00A50E4D">
        <w:rPr>
          <w:szCs w:val="20"/>
          <w:lang w:val="en-US"/>
        </w:rPr>
        <w:t>On</w:t>
      </w:r>
      <w:r w:rsidR="00930C85" w:rsidRPr="00A50E4D">
        <w:rPr>
          <w:szCs w:val="20"/>
          <w:lang w:val="en-US"/>
        </w:rPr>
        <w:t xml:space="preserve"> </w:t>
      </w:r>
      <w:r w:rsidR="00C150F2" w:rsidRPr="00A50E4D">
        <w:rPr>
          <w:szCs w:val="20"/>
          <w:lang w:val="en-US"/>
        </w:rPr>
        <w:t>October 30,</w:t>
      </w:r>
      <w:r w:rsidR="00930C85" w:rsidRPr="00A50E4D">
        <w:rPr>
          <w:szCs w:val="20"/>
          <w:lang w:val="en-US"/>
        </w:rPr>
        <w:t xml:space="preserve"> 2009</w:t>
      </w:r>
      <w:r w:rsidRPr="00A50E4D">
        <w:rPr>
          <w:szCs w:val="20"/>
          <w:lang w:val="en-US"/>
        </w:rPr>
        <w:t xml:space="preserve">, the Deputy Director of </w:t>
      </w:r>
      <w:r w:rsidR="002763C0" w:rsidRPr="00A50E4D">
        <w:rPr>
          <w:szCs w:val="20"/>
          <w:lang w:val="en-US"/>
        </w:rPr>
        <w:t xml:space="preserve">Personnel </w:t>
      </w:r>
      <w:r w:rsidR="000B62CF" w:rsidRPr="00A50E4D">
        <w:rPr>
          <w:szCs w:val="20"/>
          <w:lang w:val="en-US"/>
        </w:rPr>
        <w:t>Management</w:t>
      </w:r>
      <w:r w:rsidRPr="00A50E4D">
        <w:rPr>
          <w:szCs w:val="20"/>
          <w:lang w:val="en-US"/>
        </w:rPr>
        <w:t xml:space="preserve"> summoned Mr. </w:t>
      </w:r>
      <w:r w:rsidR="00930C85" w:rsidRPr="00A50E4D">
        <w:rPr>
          <w:szCs w:val="20"/>
          <w:lang w:val="en-US"/>
        </w:rPr>
        <w:t xml:space="preserve">López Lone </w:t>
      </w:r>
      <w:r w:rsidRPr="00A50E4D">
        <w:rPr>
          <w:szCs w:val="20"/>
          <w:lang w:val="en-US"/>
        </w:rPr>
        <w:t xml:space="preserve">to appear before the </w:t>
      </w:r>
      <w:r w:rsidR="00D563D1" w:rsidRPr="00A50E4D">
        <w:rPr>
          <w:szCs w:val="20"/>
          <w:lang w:val="en-US"/>
        </w:rPr>
        <w:t>Personnel Management Directorate</w:t>
      </w:r>
      <w:r w:rsidRPr="00A50E4D">
        <w:rPr>
          <w:szCs w:val="20"/>
          <w:lang w:val="en-US"/>
        </w:rPr>
        <w:t xml:space="preserve"> on </w:t>
      </w:r>
      <w:r w:rsidR="0048601C" w:rsidRPr="00A50E4D">
        <w:rPr>
          <w:szCs w:val="20"/>
          <w:lang w:val="en-US"/>
        </w:rPr>
        <w:t>November 5</w:t>
      </w:r>
      <w:r w:rsidRPr="00A50E4D">
        <w:rPr>
          <w:szCs w:val="20"/>
          <w:lang w:val="en-US"/>
        </w:rPr>
        <w:t xml:space="preserve"> that year to be heard in the complaint proceeding against him.</w:t>
      </w:r>
      <w:r w:rsidR="00930C85" w:rsidRPr="00A50E4D">
        <w:rPr>
          <w:rStyle w:val="FootnoteReference"/>
          <w:rFonts w:cs="Arial"/>
          <w:sz w:val="20"/>
          <w:szCs w:val="20"/>
          <w:lang w:val="en-US"/>
        </w:rPr>
        <w:footnoteReference w:id="147"/>
      </w:r>
      <w:r w:rsidR="00930C85" w:rsidRPr="00A50E4D">
        <w:rPr>
          <w:szCs w:val="20"/>
          <w:lang w:val="en-US"/>
        </w:rPr>
        <w:t xml:space="preserve"> </w:t>
      </w:r>
      <w:r w:rsidR="00FF35A9" w:rsidRPr="00A50E4D">
        <w:rPr>
          <w:szCs w:val="20"/>
          <w:lang w:val="en-US"/>
        </w:rPr>
        <w:t>Mr. López</w:t>
      </w:r>
      <w:r w:rsidR="00930C85" w:rsidRPr="00A50E4D">
        <w:rPr>
          <w:szCs w:val="20"/>
          <w:lang w:val="en-US"/>
        </w:rPr>
        <w:t xml:space="preserve"> Lone </w:t>
      </w:r>
      <w:r w:rsidRPr="00A50E4D">
        <w:rPr>
          <w:szCs w:val="20"/>
          <w:lang w:val="en-US"/>
        </w:rPr>
        <w:t>did not attend this summons, alleging that he was “not [being] given either the time or the means required to defend [himself].</w:t>
      </w:r>
      <w:r w:rsidR="00930C85" w:rsidRPr="00A50E4D">
        <w:rPr>
          <w:szCs w:val="20"/>
          <w:lang w:val="en-US"/>
        </w:rPr>
        <w:t>”</w:t>
      </w:r>
      <w:r w:rsidR="00930C85" w:rsidRPr="00A50E4D">
        <w:rPr>
          <w:rStyle w:val="FootnoteReference"/>
          <w:rFonts w:cs="Arial"/>
          <w:sz w:val="20"/>
          <w:szCs w:val="20"/>
          <w:lang w:val="en-US"/>
        </w:rPr>
        <w:footnoteReference w:id="148"/>
      </w:r>
      <w:r w:rsidRPr="00A50E4D">
        <w:rPr>
          <w:szCs w:val="20"/>
          <w:lang w:val="en-US"/>
        </w:rPr>
        <w:t xml:space="preserve"> Following several requests for an extension, the </w:t>
      </w:r>
      <w:r w:rsidR="000F4023" w:rsidRPr="00A50E4D">
        <w:rPr>
          <w:szCs w:val="20"/>
          <w:lang w:val="en-US"/>
        </w:rPr>
        <w:t xml:space="preserve">rebuttal </w:t>
      </w:r>
      <w:r w:rsidRPr="00A50E4D">
        <w:rPr>
          <w:szCs w:val="20"/>
          <w:lang w:val="en-US"/>
        </w:rPr>
        <w:t>hearing was held on December 3,</w:t>
      </w:r>
      <w:r w:rsidR="00930C85" w:rsidRPr="00A50E4D">
        <w:rPr>
          <w:rStyle w:val="FootnoteReference"/>
          <w:rFonts w:cs="Arial"/>
          <w:sz w:val="20"/>
          <w:szCs w:val="20"/>
          <w:lang w:val="en-US"/>
        </w:rPr>
        <w:footnoteReference w:id="149"/>
      </w:r>
      <w:r w:rsidR="00930C85" w:rsidRPr="00A50E4D">
        <w:rPr>
          <w:szCs w:val="20"/>
          <w:lang w:val="en-US"/>
        </w:rPr>
        <w:t xml:space="preserve"> </w:t>
      </w:r>
      <w:r w:rsidRPr="00A50E4D">
        <w:rPr>
          <w:szCs w:val="20"/>
          <w:lang w:val="en-US"/>
        </w:rPr>
        <w:t xml:space="preserve">during which </w:t>
      </w:r>
      <w:r w:rsidR="00FF35A9" w:rsidRPr="00A50E4D">
        <w:rPr>
          <w:szCs w:val="20"/>
          <w:lang w:val="en-US"/>
        </w:rPr>
        <w:t>Mr. López</w:t>
      </w:r>
      <w:r w:rsidR="00930C85" w:rsidRPr="00A50E4D">
        <w:rPr>
          <w:szCs w:val="20"/>
          <w:lang w:val="en-US"/>
        </w:rPr>
        <w:t xml:space="preserve"> Lone </w:t>
      </w:r>
      <w:r w:rsidRPr="00A50E4D">
        <w:rPr>
          <w:szCs w:val="20"/>
          <w:lang w:val="en-US"/>
        </w:rPr>
        <w:t>answered the charges and proposed evidence that was later admitted.</w:t>
      </w:r>
      <w:r w:rsidR="00930C85" w:rsidRPr="00A50E4D">
        <w:rPr>
          <w:rStyle w:val="FootnoteReference"/>
          <w:sz w:val="20"/>
          <w:szCs w:val="20"/>
          <w:lang w:val="en-US"/>
        </w:rPr>
        <w:footnoteReference w:id="150"/>
      </w:r>
      <w:bookmarkEnd w:id="160"/>
    </w:p>
    <w:p w14:paraId="6D0AA499" w14:textId="77777777" w:rsidR="00930C85" w:rsidRPr="00A50E4D" w:rsidRDefault="00930C85" w:rsidP="00930C85">
      <w:pPr>
        <w:pStyle w:val="NoSpacing"/>
        <w:tabs>
          <w:tab w:val="left" w:pos="567"/>
        </w:tabs>
        <w:rPr>
          <w:spacing w:val="-4"/>
          <w:szCs w:val="20"/>
          <w:lang w:val="en-US"/>
        </w:rPr>
      </w:pPr>
    </w:p>
    <w:p w14:paraId="4C596E3A" w14:textId="62D7183E" w:rsidR="00930C85" w:rsidRPr="00A50E4D" w:rsidRDefault="0029085B" w:rsidP="00930C85">
      <w:pPr>
        <w:pStyle w:val="PrrafodeSentencia"/>
        <w:rPr>
          <w:szCs w:val="20"/>
          <w:lang w:val="en-US"/>
        </w:rPr>
      </w:pPr>
      <w:r w:rsidRPr="00A50E4D">
        <w:rPr>
          <w:szCs w:val="20"/>
          <w:lang w:val="en-US"/>
        </w:rPr>
        <w:t>In parallel, on December 9,</w:t>
      </w:r>
      <w:r w:rsidR="00930C85" w:rsidRPr="00A50E4D">
        <w:rPr>
          <w:szCs w:val="20"/>
          <w:lang w:val="en-US"/>
        </w:rPr>
        <w:t xml:space="preserve"> 2009</w:t>
      </w:r>
      <w:r w:rsidRPr="00A50E4D">
        <w:rPr>
          <w:szCs w:val="20"/>
          <w:lang w:val="en-US"/>
        </w:rPr>
        <w:t>,</w:t>
      </w:r>
      <w:r w:rsidR="00930C85" w:rsidRPr="00A50E4D">
        <w:rPr>
          <w:szCs w:val="20"/>
          <w:lang w:val="en-US"/>
        </w:rPr>
        <w:t xml:space="preserve"> </w:t>
      </w:r>
      <w:r w:rsidR="00FF35A9" w:rsidRPr="00A50E4D">
        <w:rPr>
          <w:szCs w:val="20"/>
          <w:lang w:val="en-US"/>
        </w:rPr>
        <w:t>Mr. López</w:t>
      </w:r>
      <w:r w:rsidR="00930C85" w:rsidRPr="00A50E4D">
        <w:rPr>
          <w:szCs w:val="20"/>
          <w:lang w:val="en-US"/>
        </w:rPr>
        <w:t xml:space="preserve"> Lone </w:t>
      </w:r>
      <w:r w:rsidRPr="00A50E4D">
        <w:rPr>
          <w:szCs w:val="20"/>
          <w:lang w:val="en-US"/>
        </w:rPr>
        <w:t xml:space="preserve">filed an action of unconstitutionality before </w:t>
      </w:r>
      <w:r w:rsidR="004D0F32" w:rsidRPr="00A50E4D">
        <w:rPr>
          <w:szCs w:val="20"/>
          <w:lang w:val="en-US"/>
        </w:rPr>
        <w:t xml:space="preserve">the </w:t>
      </w:r>
      <w:r w:rsidR="00D563D1" w:rsidRPr="00A50E4D">
        <w:rPr>
          <w:szCs w:val="20"/>
          <w:lang w:val="en-US"/>
        </w:rPr>
        <w:t>Personnel Management Directorate</w:t>
      </w:r>
      <w:r w:rsidR="00930C85" w:rsidRPr="00A50E4D">
        <w:rPr>
          <w:szCs w:val="20"/>
          <w:lang w:val="en-US"/>
        </w:rPr>
        <w:t xml:space="preserve"> </w:t>
      </w:r>
      <w:r w:rsidRPr="00A50E4D">
        <w:rPr>
          <w:szCs w:val="20"/>
          <w:lang w:val="en-US"/>
        </w:rPr>
        <w:t xml:space="preserve">against the prohibition for judicial authorities “to intervene in meetings, demonstrations or other acts of a political nature,” established in </w:t>
      </w:r>
      <w:r w:rsidR="00F02FB7" w:rsidRPr="00A50E4D">
        <w:rPr>
          <w:szCs w:val="20"/>
          <w:lang w:val="en-US"/>
        </w:rPr>
        <w:t>article</w:t>
      </w:r>
      <w:r w:rsidR="00930C85" w:rsidRPr="00A50E4D">
        <w:rPr>
          <w:szCs w:val="20"/>
          <w:lang w:val="en-US"/>
        </w:rPr>
        <w:t xml:space="preserve"> 3</w:t>
      </w:r>
      <w:r w:rsidR="00FF35A9" w:rsidRPr="00A50E4D">
        <w:rPr>
          <w:szCs w:val="20"/>
          <w:lang w:val="en-US"/>
        </w:rPr>
        <w:t xml:space="preserve"> of the </w:t>
      </w:r>
      <w:r w:rsidR="000F4023" w:rsidRPr="00A50E4D">
        <w:rPr>
          <w:szCs w:val="20"/>
          <w:lang w:val="en-US"/>
        </w:rPr>
        <w:t>Law on the Organization and Faculties of the Courts</w:t>
      </w:r>
      <w:r w:rsidRPr="00A50E4D">
        <w:rPr>
          <w:szCs w:val="20"/>
          <w:lang w:val="en-US"/>
        </w:rPr>
        <w:t>.</w:t>
      </w:r>
      <w:r w:rsidR="00930C85" w:rsidRPr="00A50E4D">
        <w:rPr>
          <w:rStyle w:val="FootnoteReference"/>
          <w:rFonts w:cs="Arial"/>
          <w:sz w:val="20"/>
          <w:szCs w:val="20"/>
          <w:lang w:val="en-US"/>
        </w:rPr>
        <w:footnoteReference w:id="151"/>
      </w:r>
      <w:r w:rsidR="00930C85" w:rsidRPr="00A50E4D">
        <w:rPr>
          <w:szCs w:val="20"/>
          <w:lang w:val="en-US"/>
        </w:rPr>
        <w:t xml:space="preserve"> </w:t>
      </w:r>
      <w:r w:rsidRPr="00A50E4D">
        <w:rPr>
          <w:szCs w:val="20"/>
          <w:lang w:val="en-US"/>
        </w:rPr>
        <w:t>On</w:t>
      </w:r>
      <w:r w:rsidR="00930C85" w:rsidRPr="00A50E4D">
        <w:rPr>
          <w:szCs w:val="20"/>
          <w:lang w:val="en-US"/>
        </w:rPr>
        <w:t xml:space="preserve"> </w:t>
      </w:r>
      <w:r w:rsidRPr="00A50E4D">
        <w:rPr>
          <w:szCs w:val="20"/>
          <w:lang w:val="en-US"/>
        </w:rPr>
        <w:t>December 10,</w:t>
      </w:r>
      <w:r w:rsidR="00930C85" w:rsidRPr="00A50E4D">
        <w:rPr>
          <w:szCs w:val="20"/>
          <w:lang w:val="en-US"/>
        </w:rPr>
        <w:t xml:space="preserve"> </w:t>
      </w:r>
      <w:r w:rsidRPr="00A50E4D">
        <w:rPr>
          <w:szCs w:val="20"/>
          <w:lang w:val="en-US"/>
        </w:rPr>
        <w:t>the Directorate declared itself incompetent to hear the appeal, because it rela</w:t>
      </w:r>
      <w:r w:rsidR="002763C0" w:rsidRPr="00A50E4D">
        <w:rPr>
          <w:szCs w:val="20"/>
          <w:lang w:val="en-US"/>
        </w:rPr>
        <w:t>ted to an administrative procedure</w:t>
      </w:r>
      <w:r w:rsidRPr="00A50E4D">
        <w:rPr>
          <w:szCs w:val="20"/>
          <w:lang w:val="en-US"/>
        </w:rPr>
        <w:t xml:space="preserve"> and not to a judicial proceeding.</w:t>
      </w:r>
      <w:r w:rsidR="00930C85" w:rsidRPr="00A50E4D">
        <w:rPr>
          <w:rStyle w:val="FootnoteReference"/>
          <w:rFonts w:cs="Arial"/>
          <w:sz w:val="20"/>
          <w:szCs w:val="20"/>
          <w:lang w:val="en-US"/>
        </w:rPr>
        <w:footnoteReference w:id="152"/>
      </w:r>
      <w:r w:rsidR="00930C85" w:rsidRPr="00A50E4D">
        <w:rPr>
          <w:szCs w:val="20"/>
          <w:lang w:val="en-US"/>
        </w:rPr>
        <w:t xml:space="preserve"> </w:t>
      </w:r>
      <w:r w:rsidRPr="00A50E4D">
        <w:rPr>
          <w:szCs w:val="20"/>
          <w:lang w:val="en-US"/>
        </w:rPr>
        <w:t>On April 6,</w:t>
      </w:r>
      <w:r w:rsidR="00930C85" w:rsidRPr="00A50E4D">
        <w:rPr>
          <w:szCs w:val="20"/>
          <w:lang w:val="en-US"/>
        </w:rPr>
        <w:t xml:space="preserve"> 2010</w:t>
      </w:r>
      <w:r w:rsidRPr="00A50E4D">
        <w:rPr>
          <w:szCs w:val="20"/>
          <w:lang w:val="en-US"/>
        </w:rPr>
        <w:t>,</w:t>
      </w:r>
      <w:r w:rsidR="00930C85" w:rsidRPr="00A50E4D">
        <w:rPr>
          <w:szCs w:val="20"/>
          <w:lang w:val="en-US"/>
        </w:rPr>
        <w:t xml:space="preserve"> </w:t>
      </w:r>
      <w:r w:rsidR="00FF35A9" w:rsidRPr="00A50E4D">
        <w:rPr>
          <w:szCs w:val="20"/>
          <w:lang w:val="en-US"/>
        </w:rPr>
        <w:t>Mr. López</w:t>
      </w:r>
      <w:r w:rsidR="00930C85" w:rsidRPr="00A50E4D">
        <w:rPr>
          <w:szCs w:val="20"/>
          <w:lang w:val="en-US"/>
        </w:rPr>
        <w:t xml:space="preserve"> Lone</w:t>
      </w:r>
      <w:r w:rsidRPr="00A50E4D">
        <w:rPr>
          <w:szCs w:val="20"/>
          <w:lang w:val="en-US"/>
        </w:rPr>
        <w:t xml:space="preserve"> filed a remedy of appeal </w:t>
      </w:r>
      <w:r w:rsidR="000A786A" w:rsidRPr="00A50E4D">
        <w:rPr>
          <w:szCs w:val="20"/>
          <w:lang w:val="en-US"/>
        </w:rPr>
        <w:t>against</w:t>
      </w:r>
      <w:r w:rsidRPr="00A50E4D">
        <w:rPr>
          <w:szCs w:val="20"/>
          <w:lang w:val="en-US"/>
        </w:rPr>
        <w:t xml:space="preserve"> this </w:t>
      </w:r>
      <w:r w:rsidR="000A786A" w:rsidRPr="00A50E4D">
        <w:rPr>
          <w:szCs w:val="20"/>
          <w:lang w:val="en-US"/>
        </w:rPr>
        <w:lastRenderedPageBreak/>
        <w:t>decision</w:t>
      </w:r>
      <w:r w:rsidRPr="00A50E4D">
        <w:rPr>
          <w:szCs w:val="20"/>
          <w:lang w:val="en-US"/>
        </w:rPr>
        <w:t>,</w:t>
      </w:r>
      <w:r w:rsidR="00930C85" w:rsidRPr="00A50E4D">
        <w:rPr>
          <w:rStyle w:val="FootnoteReference"/>
          <w:rFonts w:cs="Arial"/>
          <w:sz w:val="20"/>
          <w:szCs w:val="20"/>
          <w:lang w:val="en-US"/>
        </w:rPr>
        <w:footnoteReference w:id="153"/>
      </w:r>
      <w:r w:rsidRPr="00A50E4D">
        <w:rPr>
          <w:szCs w:val="20"/>
          <w:lang w:val="en-US"/>
        </w:rPr>
        <w:t xml:space="preserve"> which was rejected by </w:t>
      </w:r>
      <w:r w:rsidR="004D0F32" w:rsidRPr="00A50E4D">
        <w:rPr>
          <w:szCs w:val="20"/>
          <w:lang w:val="en-US"/>
        </w:rPr>
        <w:t xml:space="preserve">the </w:t>
      </w:r>
      <w:r w:rsidR="00D563D1" w:rsidRPr="00A50E4D">
        <w:rPr>
          <w:szCs w:val="20"/>
          <w:lang w:val="en-US"/>
        </w:rPr>
        <w:t>Personnel Management Directorate</w:t>
      </w:r>
      <w:r w:rsidR="00930C85" w:rsidRPr="00A50E4D">
        <w:rPr>
          <w:szCs w:val="20"/>
          <w:lang w:val="en-US"/>
        </w:rPr>
        <w:t xml:space="preserve"> </w:t>
      </w:r>
      <w:r w:rsidRPr="00A50E4D">
        <w:rPr>
          <w:szCs w:val="20"/>
          <w:lang w:val="en-US"/>
        </w:rPr>
        <w:t>on April 9</w:t>
      </w:r>
      <w:r w:rsidR="00930C85" w:rsidRPr="00A50E4D">
        <w:rPr>
          <w:szCs w:val="20"/>
          <w:lang w:val="en-US"/>
        </w:rPr>
        <w:t xml:space="preserve"> </w:t>
      </w:r>
      <w:r w:rsidRPr="00A50E4D">
        <w:rPr>
          <w:szCs w:val="20"/>
          <w:lang w:val="en-US"/>
        </w:rPr>
        <w:t>based on its absolute lack of competence to “intervene, at any stage of the processing of an action of unconstitutionality.</w:t>
      </w:r>
      <w:r w:rsidR="00930C85" w:rsidRPr="00A50E4D">
        <w:rPr>
          <w:szCs w:val="20"/>
          <w:lang w:val="en-US"/>
        </w:rPr>
        <w:t>”</w:t>
      </w:r>
      <w:r w:rsidR="00930C85" w:rsidRPr="00A50E4D">
        <w:rPr>
          <w:rStyle w:val="FootnoteReference"/>
          <w:rFonts w:cs="Arial"/>
          <w:sz w:val="20"/>
          <w:szCs w:val="20"/>
          <w:lang w:val="en-US"/>
        </w:rPr>
        <w:footnoteReference w:id="154"/>
      </w:r>
    </w:p>
    <w:p w14:paraId="1DE68F99" w14:textId="77777777" w:rsidR="00930C85" w:rsidRPr="00A50E4D" w:rsidRDefault="00930C85" w:rsidP="00930C85">
      <w:pPr>
        <w:pStyle w:val="PrrafodeSentencia"/>
        <w:numPr>
          <w:ilvl w:val="0"/>
          <w:numId w:val="0"/>
        </w:numPr>
        <w:rPr>
          <w:szCs w:val="20"/>
          <w:lang w:val="en-US"/>
        </w:rPr>
      </w:pPr>
    </w:p>
    <w:p w14:paraId="311FA2F8" w14:textId="03F5CFF8" w:rsidR="00930C85" w:rsidRPr="00A50E4D" w:rsidRDefault="0029085B" w:rsidP="00930C85">
      <w:pPr>
        <w:pStyle w:val="PrrafodeSentencia"/>
        <w:rPr>
          <w:szCs w:val="20"/>
          <w:lang w:val="en-US"/>
        </w:rPr>
      </w:pPr>
      <w:bookmarkStart w:id="161" w:name="_Ref427323115"/>
      <w:r w:rsidRPr="00A50E4D">
        <w:rPr>
          <w:szCs w:val="20"/>
          <w:lang w:val="en-US"/>
        </w:rPr>
        <w:t>On April 20,</w:t>
      </w:r>
      <w:r w:rsidR="00930C85" w:rsidRPr="00A50E4D">
        <w:rPr>
          <w:szCs w:val="20"/>
          <w:lang w:val="en-US"/>
        </w:rPr>
        <w:t xml:space="preserve"> 2010</w:t>
      </w:r>
      <w:r w:rsidRPr="00A50E4D">
        <w:rPr>
          <w:szCs w:val="20"/>
          <w:lang w:val="en-US"/>
        </w:rPr>
        <w:t>,</w:t>
      </w:r>
      <w:r w:rsidR="00930C85" w:rsidRPr="00A50E4D">
        <w:rPr>
          <w:szCs w:val="20"/>
          <w:lang w:val="en-US"/>
        </w:rPr>
        <w:t xml:space="preserve"> </w:t>
      </w:r>
      <w:r w:rsidR="004D0F32" w:rsidRPr="00A50E4D">
        <w:rPr>
          <w:szCs w:val="20"/>
          <w:lang w:val="en-US"/>
        </w:rPr>
        <w:t xml:space="preserve">the </w:t>
      </w:r>
      <w:r w:rsidR="00D563D1" w:rsidRPr="00A50E4D">
        <w:rPr>
          <w:szCs w:val="20"/>
          <w:lang w:val="en-US"/>
        </w:rPr>
        <w:t>Personnel Management Directorate</w:t>
      </w:r>
      <w:r w:rsidR="00930C85" w:rsidRPr="00A50E4D">
        <w:rPr>
          <w:szCs w:val="20"/>
          <w:lang w:val="en-US"/>
        </w:rPr>
        <w:t xml:space="preserve"> </w:t>
      </w:r>
      <w:r w:rsidRPr="00A50E4D">
        <w:rPr>
          <w:szCs w:val="20"/>
          <w:lang w:val="en-US"/>
        </w:rPr>
        <w:t>recommended to</w:t>
      </w:r>
      <w:r w:rsidR="00930C85" w:rsidRPr="00A50E4D">
        <w:rPr>
          <w:szCs w:val="20"/>
          <w:lang w:val="en-US"/>
        </w:rPr>
        <w:t xml:space="preserve"> </w:t>
      </w:r>
      <w:r w:rsidR="009808C5" w:rsidRPr="00A50E4D">
        <w:rPr>
          <w:szCs w:val="20"/>
          <w:lang w:val="en-US"/>
        </w:rPr>
        <w:t xml:space="preserve">the </w:t>
      </w:r>
      <w:r w:rsidR="00700DEC" w:rsidRPr="00A50E4D">
        <w:rPr>
          <w:szCs w:val="20"/>
          <w:lang w:val="en-US"/>
        </w:rPr>
        <w:t>Supreme Court</w:t>
      </w:r>
      <w:r w:rsidRPr="00A50E4D">
        <w:rPr>
          <w:szCs w:val="20"/>
          <w:lang w:val="en-US"/>
        </w:rPr>
        <w:t xml:space="preserve"> that it should</w:t>
      </w:r>
      <w:r w:rsidR="00930C85" w:rsidRPr="00A50E4D">
        <w:rPr>
          <w:szCs w:val="20"/>
          <w:lang w:val="en-US"/>
        </w:rPr>
        <w:t>:</w:t>
      </w:r>
      <w:bookmarkEnd w:id="161"/>
    </w:p>
    <w:p w14:paraId="25BBDB63" w14:textId="77777777" w:rsidR="00930C85" w:rsidRPr="00A50E4D" w:rsidRDefault="00930C85" w:rsidP="00930C85">
      <w:pPr>
        <w:pStyle w:val="ListParagraph"/>
        <w:numPr>
          <w:ilvl w:val="0"/>
          <w:numId w:val="0"/>
        </w:numPr>
        <w:rPr>
          <w:spacing w:val="-4"/>
          <w:lang w:val="en-US"/>
        </w:rPr>
      </w:pPr>
    </w:p>
    <w:p w14:paraId="32DC2FE5" w14:textId="6E595D03" w:rsidR="00930C85" w:rsidRPr="00A50E4D" w:rsidRDefault="000F4023" w:rsidP="00930C85">
      <w:pPr>
        <w:pStyle w:val="NoSpacing"/>
        <w:tabs>
          <w:tab w:val="left" w:pos="567"/>
        </w:tabs>
        <w:ind w:left="567" w:right="571"/>
        <w:rPr>
          <w:spacing w:val="-4"/>
          <w:sz w:val="18"/>
          <w:szCs w:val="18"/>
          <w:lang w:val="en-US"/>
        </w:rPr>
      </w:pPr>
      <w:r w:rsidRPr="00A50E4D">
        <w:rPr>
          <w:spacing w:val="-4"/>
          <w:sz w:val="18"/>
          <w:szCs w:val="18"/>
          <w:lang w:val="en-US"/>
        </w:rPr>
        <w:t>Dismiss, with no</w:t>
      </w:r>
      <w:r w:rsidR="0029085B" w:rsidRPr="00A50E4D">
        <w:rPr>
          <w:spacing w:val="-4"/>
          <w:sz w:val="18"/>
          <w:szCs w:val="18"/>
          <w:lang w:val="en-US"/>
        </w:rPr>
        <w:t xml:space="preserve"> </w:t>
      </w:r>
      <w:r w:rsidRPr="00A50E4D">
        <w:rPr>
          <w:spacing w:val="-4"/>
          <w:sz w:val="18"/>
          <w:szCs w:val="18"/>
          <w:lang w:val="en-US"/>
        </w:rPr>
        <w:t xml:space="preserve">liability </w:t>
      </w:r>
      <w:r w:rsidR="0029085B" w:rsidRPr="00A50E4D">
        <w:rPr>
          <w:spacing w:val="-4"/>
          <w:sz w:val="18"/>
          <w:szCs w:val="18"/>
          <w:lang w:val="en-US"/>
        </w:rPr>
        <w:t>for the institution,</w:t>
      </w:r>
      <w:r w:rsidRPr="00A50E4D">
        <w:rPr>
          <w:spacing w:val="-4"/>
          <w:sz w:val="18"/>
          <w:szCs w:val="18"/>
          <w:lang w:val="en-US"/>
        </w:rPr>
        <w:t xml:space="preserve"> </w:t>
      </w:r>
      <w:r w:rsidR="000A786A" w:rsidRPr="00A50E4D">
        <w:rPr>
          <w:spacing w:val="-4"/>
          <w:sz w:val="18"/>
          <w:szCs w:val="18"/>
          <w:lang w:val="en-US"/>
        </w:rPr>
        <w:t>attorney</w:t>
      </w:r>
      <w:r w:rsidR="0029085B" w:rsidRPr="00A50E4D">
        <w:rPr>
          <w:spacing w:val="-4"/>
          <w:sz w:val="18"/>
          <w:szCs w:val="18"/>
          <w:lang w:val="en-US"/>
        </w:rPr>
        <w:t xml:space="preserve"> </w:t>
      </w:r>
      <w:r w:rsidR="00930C85" w:rsidRPr="00A50E4D">
        <w:rPr>
          <w:spacing w:val="-4"/>
          <w:sz w:val="18"/>
          <w:szCs w:val="18"/>
          <w:lang w:val="en-US"/>
        </w:rPr>
        <w:t xml:space="preserve">ADAN GUILLERMO LOPEZ LONE, […] </w:t>
      </w:r>
      <w:r w:rsidR="0029085B" w:rsidRPr="00A50E4D">
        <w:rPr>
          <w:spacing w:val="-4"/>
          <w:sz w:val="18"/>
          <w:szCs w:val="18"/>
          <w:lang w:val="en-US"/>
        </w:rPr>
        <w:t>owing to</w:t>
      </w:r>
      <w:r w:rsidRPr="00A50E4D">
        <w:rPr>
          <w:spacing w:val="-4"/>
          <w:sz w:val="18"/>
          <w:szCs w:val="18"/>
          <w:lang w:val="en-US"/>
        </w:rPr>
        <w:t xml:space="preserve"> </w:t>
      </w:r>
      <w:r w:rsidR="00CA5D96" w:rsidRPr="00A50E4D">
        <w:rPr>
          <w:spacing w:val="-4"/>
          <w:sz w:val="18"/>
          <w:szCs w:val="18"/>
          <w:lang w:val="en-US"/>
        </w:rPr>
        <w:t>non-compliance</w:t>
      </w:r>
      <w:r w:rsidR="0029085B" w:rsidRPr="00A50E4D">
        <w:rPr>
          <w:spacing w:val="-4"/>
          <w:sz w:val="18"/>
          <w:szCs w:val="18"/>
          <w:lang w:val="en-US"/>
        </w:rPr>
        <w:t xml:space="preserve"> with or serious or re</w:t>
      </w:r>
      <w:r w:rsidRPr="00A50E4D">
        <w:rPr>
          <w:spacing w:val="-4"/>
          <w:sz w:val="18"/>
          <w:szCs w:val="18"/>
          <w:lang w:val="en-US"/>
        </w:rPr>
        <w:t>pea</w:t>
      </w:r>
      <w:r w:rsidR="0029085B" w:rsidRPr="00A50E4D">
        <w:rPr>
          <w:spacing w:val="-4"/>
          <w:sz w:val="18"/>
          <w:szCs w:val="18"/>
          <w:lang w:val="en-US"/>
        </w:rPr>
        <w:t xml:space="preserve">ted violation of some of the </w:t>
      </w:r>
      <w:r w:rsidRPr="00A50E4D">
        <w:rPr>
          <w:spacing w:val="-4"/>
          <w:sz w:val="18"/>
          <w:szCs w:val="18"/>
          <w:lang w:val="en-US"/>
        </w:rPr>
        <w:t>duties</w:t>
      </w:r>
      <w:r w:rsidR="0029085B" w:rsidRPr="00A50E4D">
        <w:rPr>
          <w:spacing w:val="-4"/>
          <w:sz w:val="18"/>
          <w:szCs w:val="18"/>
          <w:lang w:val="en-US"/>
        </w:rPr>
        <w:t xml:space="preserve">, incompatibilities and conducts established in Chapters </w:t>
      </w:r>
      <w:r w:rsidR="00930C85" w:rsidRPr="00A50E4D">
        <w:rPr>
          <w:spacing w:val="-4"/>
          <w:sz w:val="18"/>
          <w:szCs w:val="18"/>
          <w:lang w:val="en-US"/>
        </w:rPr>
        <w:t>X</w:t>
      </w:r>
      <w:r w:rsidR="009808C5" w:rsidRPr="00A50E4D">
        <w:rPr>
          <w:spacing w:val="-4"/>
          <w:sz w:val="18"/>
          <w:szCs w:val="18"/>
          <w:lang w:val="en-US"/>
        </w:rPr>
        <w:t xml:space="preserve"> and </w:t>
      </w:r>
      <w:r w:rsidR="00930C85" w:rsidRPr="00A50E4D">
        <w:rPr>
          <w:spacing w:val="-4"/>
          <w:sz w:val="18"/>
          <w:szCs w:val="18"/>
          <w:lang w:val="en-US"/>
        </w:rPr>
        <w:t xml:space="preserve">XI </w:t>
      </w:r>
      <w:r w:rsidR="004D0F32" w:rsidRPr="00A50E4D">
        <w:rPr>
          <w:spacing w:val="-4"/>
          <w:sz w:val="18"/>
          <w:szCs w:val="18"/>
          <w:lang w:val="en-US"/>
        </w:rPr>
        <w:t>of the Judicial</w:t>
      </w:r>
      <w:r w:rsidR="00277E12" w:rsidRPr="00A50E4D">
        <w:rPr>
          <w:spacing w:val="-4"/>
          <w:sz w:val="18"/>
          <w:szCs w:val="18"/>
          <w:lang w:val="en-US"/>
        </w:rPr>
        <w:t xml:space="preserve"> Service Act</w:t>
      </w:r>
      <w:r w:rsidR="00930C85" w:rsidRPr="00A50E4D">
        <w:rPr>
          <w:spacing w:val="-4"/>
          <w:sz w:val="18"/>
          <w:szCs w:val="18"/>
          <w:lang w:val="en-US"/>
        </w:rPr>
        <w:t xml:space="preserve">, </w:t>
      </w:r>
      <w:r w:rsidR="0029085B" w:rsidRPr="00A50E4D">
        <w:rPr>
          <w:spacing w:val="-4"/>
          <w:sz w:val="18"/>
          <w:szCs w:val="18"/>
          <w:lang w:val="en-US"/>
        </w:rPr>
        <w:t xml:space="preserve">because he had </w:t>
      </w:r>
      <w:r w:rsidR="002763C0" w:rsidRPr="00A50E4D">
        <w:rPr>
          <w:spacing w:val="-4"/>
          <w:sz w:val="18"/>
          <w:szCs w:val="18"/>
          <w:lang w:val="en-US"/>
        </w:rPr>
        <w:t>played an active</w:t>
      </w:r>
      <w:r w:rsidR="0029085B" w:rsidRPr="00A50E4D">
        <w:rPr>
          <w:spacing w:val="-4"/>
          <w:sz w:val="18"/>
          <w:szCs w:val="18"/>
          <w:lang w:val="en-US"/>
        </w:rPr>
        <w:t xml:space="preserve"> </w:t>
      </w:r>
      <w:r w:rsidR="002763C0" w:rsidRPr="00A50E4D">
        <w:rPr>
          <w:spacing w:val="-4"/>
          <w:sz w:val="18"/>
          <w:szCs w:val="18"/>
          <w:lang w:val="en-US"/>
        </w:rPr>
        <w:t>part</w:t>
      </w:r>
      <w:r w:rsidR="0029085B" w:rsidRPr="00A50E4D">
        <w:rPr>
          <w:spacing w:val="-4"/>
          <w:sz w:val="18"/>
          <w:szCs w:val="18"/>
          <w:lang w:val="en-US"/>
        </w:rPr>
        <w:t xml:space="preserve"> in the violent demonstration held near the </w:t>
      </w:r>
      <w:r w:rsidR="00930C85" w:rsidRPr="00A50E4D">
        <w:rPr>
          <w:spacing w:val="-4"/>
          <w:sz w:val="18"/>
          <w:szCs w:val="18"/>
          <w:lang w:val="en-US"/>
        </w:rPr>
        <w:t xml:space="preserve">“TONCONTIN” </w:t>
      </w:r>
      <w:r w:rsidR="0029085B" w:rsidRPr="00A50E4D">
        <w:rPr>
          <w:spacing w:val="-4"/>
          <w:sz w:val="18"/>
          <w:szCs w:val="18"/>
          <w:lang w:val="en-US"/>
        </w:rPr>
        <w:t>Airport on July 5, 2009, […] a conduct that was incompatible with the ethical principles and the legal norms that govern the actions of public officials.</w:t>
      </w:r>
      <w:r w:rsidR="00930C85" w:rsidRPr="00A50E4D">
        <w:rPr>
          <w:rStyle w:val="FootnoteReference"/>
          <w:rFonts w:cs="Arial"/>
          <w:spacing w:val="-4"/>
          <w:sz w:val="18"/>
          <w:szCs w:val="18"/>
          <w:lang w:val="en-US"/>
        </w:rPr>
        <w:footnoteReference w:id="155"/>
      </w:r>
    </w:p>
    <w:p w14:paraId="4426303E" w14:textId="77777777" w:rsidR="00930C85" w:rsidRPr="00A50E4D" w:rsidRDefault="00930C85" w:rsidP="00930C85">
      <w:pPr>
        <w:pStyle w:val="NoSpacing"/>
        <w:tabs>
          <w:tab w:val="left" w:pos="567"/>
        </w:tabs>
        <w:ind w:left="567" w:right="571"/>
        <w:rPr>
          <w:spacing w:val="-4"/>
          <w:szCs w:val="20"/>
          <w:lang w:val="en-US"/>
        </w:rPr>
      </w:pPr>
    </w:p>
    <w:p w14:paraId="0815A261" w14:textId="7FEF6394" w:rsidR="00930C85" w:rsidRPr="00A50E4D" w:rsidRDefault="0029085B" w:rsidP="00930C85">
      <w:pPr>
        <w:pStyle w:val="PrrafodeSentencia"/>
        <w:rPr>
          <w:szCs w:val="20"/>
          <w:lang w:val="en-US"/>
        </w:rPr>
      </w:pPr>
      <w:bookmarkStart w:id="162" w:name="_Ref427311540"/>
      <w:r w:rsidRPr="00A50E4D">
        <w:rPr>
          <w:lang w:val="en-US"/>
        </w:rPr>
        <w:t>On May</w:t>
      </w:r>
      <w:r w:rsidRPr="00A50E4D">
        <w:rPr>
          <w:szCs w:val="20"/>
          <w:lang w:val="en-US"/>
        </w:rPr>
        <w:t xml:space="preserve"> 5,</w:t>
      </w:r>
      <w:r w:rsidR="00930C85" w:rsidRPr="00A50E4D">
        <w:rPr>
          <w:szCs w:val="20"/>
          <w:lang w:val="en-US"/>
        </w:rPr>
        <w:t xml:space="preserve"> 2010</w:t>
      </w:r>
      <w:r w:rsidRPr="00A50E4D">
        <w:rPr>
          <w:szCs w:val="20"/>
          <w:lang w:val="en-US"/>
        </w:rPr>
        <w:t xml:space="preserve">, the plenum </w:t>
      </w:r>
      <w:r w:rsidR="009808C5" w:rsidRPr="00A50E4D">
        <w:rPr>
          <w:szCs w:val="20"/>
          <w:lang w:val="en-US"/>
        </w:rPr>
        <w:t xml:space="preserve">of the </w:t>
      </w:r>
      <w:r w:rsidR="00700DEC" w:rsidRPr="00A50E4D">
        <w:rPr>
          <w:szCs w:val="20"/>
          <w:lang w:val="en-US"/>
        </w:rPr>
        <w:t>Supreme Court</w:t>
      </w:r>
      <w:r w:rsidR="00930C85" w:rsidRPr="00A50E4D">
        <w:rPr>
          <w:szCs w:val="20"/>
          <w:lang w:val="en-US"/>
        </w:rPr>
        <w:t xml:space="preserve"> </w:t>
      </w:r>
      <w:r w:rsidRPr="00A50E4D">
        <w:rPr>
          <w:szCs w:val="20"/>
          <w:lang w:val="en-US"/>
        </w:rPr>
        <w:t xml:space="preserve">of Justice approved </w:t>
      </w:r>
      <w:r w:rsidR="00FF35A9" w:rsidRPr="00A50E4D">
        <w:rPr>
          <w:szCs w:val="20"/>
          <w:lang w:val="en-US"/>
        </w:rPr>
        <w:t xml:space="preserve">the </w:t>
      </w:r>
      <w:r w:rsidR="00D563D1" w:rsidRPr="00A50E4D">
        <w:rPr>
          <w:szCs w:val="20"/>
          <w:lang w:val="en-US"/>
        </w:rPr>
        <w:t>Personnel Management Directorate</w:t>
      </w:r>
      <w:r w:rsidR="002763C0" w:rsidRPr="00A50E4D">
        <w:rPr>
          <w:szCs w:val="20"/>
          <w:lang w:val="en-US"/>
        </w:rPr>
        <w:t>’s recommendation</w:t>
      </w:r>
      <w:r w:rsidR="00930C85" w:rsidRPr="00A50E4D">
        <w:rPr>
          <w:szCs w:val="20"/>
          <w:lang w:val="en-US"/>
        </w:rPr>
        <w:t xml:space="preserve"> </w:t>
      </w:r>
      <w:r w:rsidRPr="00A50E4D">
        <w:rPr>
          <w:szCs w:val="20"/>
          <w:lang w:val="en-US"/>
        </w:rPr>
        <w:t xml:space="preserve">concerning the removal of </w:t>
      </w:r>
      <w:r w:rsidR="00FF35A9" w:rsidRPr="00A50E4D">
        <w:rPr>
          <w:szCs w:val="20"/>
          <w:lang w:val="en-US"/>
        </w:rPr>
        <w:t>Mr. López</w:t>
      </w:r>
      <w:r w:rsidR="00930C85" w:rsidRPr="00A50E4D">
        <w:rPr>
          <w:szCs w:val="20"/>
          <w:lang w:val="en-US"/>
        </w:rPr>
        <w:t xml:space="preserve"> Lone</w:t>
      </w:r>
      <w:r w:rsidR="009808C5" w:rsidRPr="00A50E4D">
        <w:rPr>
          <w:szCs w:val="20"/>
          <w:lang w:val="en-US"/>
        </w:rPr>
        <w:t xml:space="preserve"> and </w:t>
      </w:r>
      <w:r w:rsidRPr="00A50E4D">
        <w:rPr>
          <w:szCs w:val="20"/>
          <w:lang w:val="en-US"/>
        </w:rPr>
        <w:t>appointed a committee of three justice</w:t>
      </w:r>
      <w:r w:rsidR="002763C0" w:rsidRPr="00A50E4D">
        <w:rPr>
          <w:szCs w:val="20"/>
          <w:lang w:val="en-US"/>
        </w:rPr>
        <w:t xml:space="preserve">s “to draw up the corresponding </w:t>
      </w:r>
      <w:r w:rsidR="009545AB" w:rsidRPr="00A50E4D">
        <w:rPr>
          <w:szCs w:val="20"/>
          <w:lang w:val="en-US"/>
        </w:rPr>
        <w:t>resolution</w:t>
      </w:r>
      <w:r w:rsidRPr="00A50E4D">
        <w:rPr>
          <w:szCs w:val="20"/>
          <w:lang w:val="en-US"/>
        </w:rPr>
        <w:t xml:space="preserve"> and</w:t>
      </w:r>
      <w:r w:rsidR="00E67F26" w:rsidRPr="00A50E4D">
        <w:rPr>
          <w:szCs w:val="20"/>
          <w:lang w:val="en-US"/>
        </w:rPr>
        <w:t xml:space="preserve"> then</w:t>
      </w:r>
      <w:r w:rsidRPr="00A50E4D">
        <w:rPr>
          <w:szCs w:val="20"/>
          <w:lang w:val="en-US"/>
        </w:rPr>
        <w:t xml:space="preserve"> to issue the corresponding decision on his removal.</w:t>
      </w:r>
      <w:r w:rsidR="00930C85" w:rsidRPr="00A50E4D">
        <w:rPr>
          <w:szCs w:val="20"/>
          <w:lang w:val="en-US"/>
        </w:rPr>
        <w:t>”</w:t>
      </w:r>
      <w:r w:rsidR="00930C85" w:rsidRPr="00A50E4D">
        <w:rPr>
          <w:rStyle w:val="FootnoteReference"/>
          <w:sz w:val="20"/>
          <w:szCs w:val="20"/>
          <w:lang w:val="en-US"/>
        </w:rPr>
        <w:footnoteReference w:id="156"/>
      </w:r>
      <w:r w:rsidRPr="00A50E4D">
        <w:rPr>
          <w:szCs w:val="20"/>
          <w:lang w:val="en-US"/>
        </w:rPr>
        <w:t xml:space="preserve"> The case file contain</w:t>
      </w:r>
      <w:r w:rsidR="00DA1DCB" w:rsidRPr="00A50E4D">
        <w:rPr>
          <w:szCs w:val="20"/>
          <w:lang w:val="en-US"/>
        </w:rPr>
        <w:t xml:space="preserve">s a </w:t>
      </w:r>
      <w:r w:rsidR="009545AB" w:rsidRPr="00A50E4D">
        <w:rPr>
          <w:szCs w:val="20"/>
          <w:lang w:val="en-US"/>
        </w:rPr>
        <w:t>resolution</w:t>
      </w:r>
      <w:r w:rsidR="00DA1DCB" w:rsidRPr="00A50E4D">
        <w:rPr>
          <w:szCs w:val="20"/>
          <w:lang w:val="en-US"/>
        </w:rPr>
        <w:t xml:space="preserve"> </w:t>
      </w:r>
      <w:r w:rsidR="009545AB" w:rsidRPr="00A50E4D">
        <w:rPr>
          <w:szCs w:val="20"/>
          <w:lang w:val="en-US"/>
        </w:rPr>
        <w:t>of</w:t>
      </w:r>
      <w:r w:rsidR="00DA1DCB" w:rsidRPr="00A50E4D">
        <w:rPr>
          <w:szCs w:val="20"/>
          <w:lang w:val="en-US"/>
        </w:rPr>
        <w:t xml:space="preserve"> the same date</w:t>
      </w:r>
      <w:r w:rsidRPr="00A50E4D">
        <w:rPr>
          <w:szCs w:val="20"/>
          <w:lang w:val="en-US"/>
        </w:rPr>
        <w:t>, signed by</w:t>
      </w:r>
      <w:r w:rsidR="00930C85" w:rsidRPr="00A50E4D">
        <w:rPr>
          <w:szCs w:val="20"/>
          <w:lang w:val="en-US"/>
        </w:rPr>
        <w:t xml:space="preserve"> </w:t>
      </w:r>
      <w:r w:rsidR="00CD2874" w:rsidRPr="00A50E4D">
        <w:rPr>
          <w:szCs w:val="20"/>
          <w:lang w:val="en-US"/>
        </w:rPr>
        <w:t>the President</w:t>
      </w:r>
      <w:r w:rsidR="009808C5" w:rsidRPr="00A50E4D">
        <w:rPr>
          <w:szCs w:val="20"/>
          <w:lang w:val="en-US"/>
        </w:rPr>
        <w:t xml:space="preserve"> and </w:t>
      </w:r>
      <w:r w:rsidRPr="00A50E4D">
        <w:rPr>
          <w:szCs w:val="20"/>
          <w:lang w:val="en-US"/>
        </w:rPr>
        <w:t xml:space="preserve">the Secretary </w:t>
      </w:r>
      <w:r w:rsidR="009808C5" w:rsidRPr="00A50E4D">
        <w:rPr>
          <w:szCs w:val="20"/>
          <w:lang w:val="en-US"/>
        </w:rPr>
        <w:t xml:space="preserve">of the </w:t>
      </w:r>
      <w:r w:rsidR="00700DEC" w:rsidRPr="00A50E4D">
        <w:rPr>
          <w:szCs w:val="20"/>
          <w:lang w:val="en-US"/>
        </w:rPr>
        <w:t>Supreme Court</w:t>
      </w:r>
      <w:r w:rsidRPr="00A50E4D">
        <w:rPr>
          <w:szCs w:val="20"/>
          <w:lang w:val="en-US"/>
        </w:rPr>
        <w:t xml:space="preserve"> that, appar</w:t>
      </w:r>
      <w:r w:rsidR="00DA1DCB" w:rsidRPr="00A50E4D">
        <w:rPr>
          <w:szCs w:val="20"/>
          <w:lang w:val="en-US"/>
        </w:rPr>
        <w:t>ently following up on the orders</w:t>
      </w:r>
      <w:r w:rsidRPr="00A50E4D">
        <w:rPr>
          <w:szCs w:val="20"/>
          <w:lang w:val="en-US"/>
        </w:rPr>
        <w:t xml:space="preserve"> of the plenum of the Court, sets out “the corresponding </w:t>
      </w:r>
      <w:r w:rsidR="002763C0" w:rsidRPr="00A50E4D">
        <w:rPr>
          <w:szCs w:val="20"/>
          <w:lang w:val="en-US"/>
        </w:rPr>
        <w:t>grounds, which have</w:t>
      </w:r>
      <w:r w:rsidRPr="00A50E4D">
        <w:rPr>
          <w:szCs w:val="20"/>
          <w:lang w:val="en-US"/>
        </w:rPr>
        <w:t xml:space="preserve"> been approved, adding the date of the plenary meeting.</w:t>
      </w:r>
      <w:r w:rsidR="00930C85" w:rsidRPr="00A50E4D">
        <w:rPr>
          <w:szCs w:val="20"/>
          <w:lang w:val="en-US"/>
        </w:rPr>
        <w:t>”</w:t>
      </w:r>
      <w:r w:rsidR="00930C85" w:rsidRPr="00A50E4D">
        <w:rPr>
          <w:rStyle w:val="FootnoteReference"/>
          <w:rFonts w:cs="Arial"/>
          <w:sz w:val="20"/>
          <w:szCs w:val="20"/>
          <w:lang w:val="en-US"/>
        </w:rPr>
        <w:footnoteReference w:id="157"/>
      </w:r>
      <w:r w:rsidR="002763C0" w:rsidRPr="00A50E4D">
        <w:rPr>
          <w:szCs w:val="20"/>
          <w:lang w:val="en-US"/>
        </w:rPr>
        <w:t xml:space="preserve"> Nevertheless, the</w:t>
      </w:r>
      <w:r w:rsidRPr="00A50E4D">
        <w:rPr>
          <w:szCs w:val="20"/>
          <w:lang w:val="en-US"/>
        </w:rPr>
        <w:t xml:space="preserve"> </w:t>
      </w:r>
      <w:r w:rsidR="00444661" w:rsidRPr="00A50E4D">
        <w:rPr>
          <w:szCs w:val="20"/>
          <w:lang w:val="en-US"/>
        </w:rPr>
        <w:t>decision</w:t>
      </w:r>
      <w:r w:rsidRPr="00A50E4D">
        <w:rPr>
          <w:szCs w:val="20"/>
          <w:lang w:val="en-US"/>
        </w:rPr>
        <w:t xml:space="preserve"> was not notified to Mr. </w:t>
      </w:r>
      <w:r w:rsidR="00930C85" w:rsidRPr="00A50E4D">
        <w:rPr>
          <w:szCs w:val="20"/>
          <w:lang w:val="en-US"/>
        </w:rPr>
        <w:t>López Lone</w:t>
      </w:r>
      <w:r w:rsidRPr="00A50E4D">
        <w:rPr>
          <w:szCs w:val="20"/>
          <w:lang w:val="en-US"/>
        </w:rPr>
        <w:t>.</w:t>
      </w:r>
      <w:r w:rsidR="00930C85" w:rsidRPr="00A50E4D">
        <w:rPr>
          <w:rStyle w:val="FootnoteReference"/>
          <w:sz w:val="20"/>
          <w:szCs w:val="20"/>
          <w:lang w:val="en-US"/>
        </w:rPr>
        <w:footnoteReference w:id="158"/>
      </w:r>
      <w:r w:rsidR="00930C85" w:rsidRPr="00A50E4D">
        <w:rPr>
          <w:szCs w:val="20"/>
          <w:lang w:val="en-US"/>
        </w:rPr>
        <w:t xml:space="preserve"> </w:t>
      </w:r>
      <w:r w:rsidRPr="00A50E4D">
        <w:rPr>
          <w:szCs w:val="20"/>
          <w:lang w:val="en-US"/>
        </w:rPr>
        <w:t xml:space="preserve">On May 21, </w:t>
      </w:r>
      <w:r w:rsidR="00930C85" w:rsidRPr="00A50E4D">
        <w:rPr>
          <w:szCs w:val="20"/>
          <w:lang w:val="en-US"/>
        </w:rPr>
        <w:t>2010</w:t>
      </w:r>
      <w:r w:rsidRPr="00A50E4D">
        <w:rPr>
          <w:szCs w:val="20"/>
          <w:lang w:val="en-US"/>
        </w:rPr>
        <w:t>,</w:t>
      </w:r>
      <w:r w:rsidR="00930C85" w:rsidRPr="00A50E4D">
        <w:rPr>
          <w:szCs w:val="20"/>
          <w:lang w:val="en-US"/>
        </w:rPr>
        <w:t xml:space="preserve"> </w:t>
      </w:r>
      <w:r w:rsidR="00371BB7" w:rsidRPr="00A50E4D">
        <w:rPr>
          <w:szCs w:val="20"/>
          <w:lang w:val="en-US"/>
        </w:rPr>
        <w:t>the presumed victims</w:t>
      </w:r>
      <w:r w:rsidR="00930C85" w:rsidRPr="00A50E4D">
        <w:rPr>
          <w:szCs w:val="20"/>
          <w:lang w:val="en-US"/>
        </w:rPr>
        <w:t xml:space="preserve"> present</w:t>
      </w:r>
      <w:r w:rsidRPr="00A50E4D">
        <w:rPr>
          <w:szCs w:val="20"/>
          <w:lang w:val="en-US"/>
        </w:rPr>
        <w:t>ed a joint request for reconsideration of their sanctions of dismissal before</w:t>
      </w:r>
      <w:r w:rsidR="00930C85" w:rsidRPr="00A50E4D">
        <w:rPr>
          <w:szCs w:val="20"/>
          <w:lang w:val="en-US"/>
        </w:rPr>
        <w:t xml:space="preserve"> </w:t>
      </w:r>
      <w:r w:rsidR="009808C5" w:rsidRPr="00A50E4D">
        <w:rPr>
          <w:szCs w:val="20"/>
          <w:lang w:val="en-US"/>
        </w:rPr>
        <w:t xml:space="preserve">the </w:t>
      </w:r>
      <w:r w:rsidR="00700DEC" w:rsidRPr="00A50E4D">
        <w:rPr>
          <w:szCs w:val="20"/>
          <w:lang w:val="en-US"/>
        </w:rPr>
        <w:t>Supreme Court</w:t>
      </w:r>
      <w:r w:rsidR="00930C85" w:rsidRPr="00A50E4D">
        <w:rPr>
          <w:szCs w:val="20"/>
          <w:lang w:val="en-US"/>
        </w:rPr>
        <w:t>,</w:t>
      </w:r>
      <w:r w:rsidRPr="00A50E4D">
        <w:rPr>
          <w:szCs w:val="20"/>
          <w:lang w:val="en-US"/>
        </w:rPr>
        <w:t xml:space="preserve"> indicating that they had become aware of the May 5</w:t>
      </w:r>
      <w:r w:rsidR="00930C85" w:rsidRPr="00A50E4D">
        <w:rPr>
          <w:szCs w:val="20"/>
          <w:lang w:val="en-US"/>
        </w:rPr>
        <w:t xml:space="preserve"> </w:t>
      </w:r>
      <w:r w:rsidR="007D50DD" w:rsidRPr="00A50E4D">
        <w:rPr>
          <w:szCs w:val="20"/>
          <w:lang w:val="en-US"/>
        </w:rPr>
        <w:t xml:space="preserve">decisions </w:t>
      </w:r>
      <w:r w:rsidRPr="00A50E4D">
        <w:rPr>
          <w:szCs w:val="20"/>
          <w:lang w:val="en-US"/>
        </w:rPr>
        <w:t xml:space="preserve">through the media, but had not received the corresponding </w:t>
      </w:r>
      <w:r w:rsidR="000B62CF" w:rsidRPr="00A50E4D">
        <w:rPr>
          <w:szCs w:val="20"/>
          <w:lang w:val="en-US"/>
        </w:rPr>
        <w:t>resolutions</w:t>
      </w:r>
      <w:r w:rsidRPr="00A50E4D">
        <w:rPr>
          <w:szCs w:val="20"/>
          <w:lang w:val="en-US"/>
        </w:rPr>
        <w:t>.</w:t>
      </w:r>
      <w:r w:rsidR="00930C85" w:rsidRPr="00A50E4D">
        <w:rPr>
          <w:rStyle w:val="FootnoteReference"/>
          <w:rFonts w:cs="Arial"/>
          <w:sz w:val="20"/>
          <w:szCs w:val="20"/>
          <w:lang w:val="en-US"/>
        </w:rPr>
        <w:footnoteReference w:id="159"/>
      </w:r>
      <w:bookmarkEnd w:id="162"/>
    </w:p>
    <w:p w14:paraId="41030D46" w14:textId="77777777" w:rsidR="00930C85" w:rsidRPr="00A50E4D" w:rsidRDefault="00930C85" w:rsidP="00930C85">
      <w:pPr>
        <w:pStyle w:val="NoSpacing"/>
        <w:tabs>
          <w:tab w:val="left" w:pos="3495"/>
        </w:tabs>
        <w:rPr>
          <w:spacing w:val="-4"/>
          <w:szCs w:val="20"/>
          <w:lang w:val="en-US"/>
        </w:rPr>
      </w:pPr>
      <w:r w:rsidRPr="00A50E4D">
        <w:rPr>
          <w:spacing w:val="-4"/>
          <w:szCs w:val="20"/>
          <w:lang w:val="en-US"/>
        </w:rPr>
        <w:tab/>
      </w:r>
    </w:p>
    <w:p w14:paraId="67E75F55" w14:textId="56423910" w:rsidR="00930C85" w:rsidRPr="00A50E4D" w:rsidRDefault="0029085B" w:rsidP="002E4296">
      <w:pPr>
        <w:pStyle w:val="PrrafodeSentencia"/>
        <w:rPr>
          <w:lang w:val="en-US"/>
        </w:rPr>
      </w:pPr>
      <w:bookmarkStart w:id="163" w:name="_Ref427311472"/>
      <w:r w:rsidRPr="00A50E4D">
        <w:rPr>
          <w:lang w:val="en-US"/>
        </w:rPr>
        <w:t>On June 16,</w:t>
      </w:r>
      <w:r w:rsidR="00930C85" w:rsidRPr="00A50E4D">
        <w:rPr>
          <w:lang w:val="en-US"/>
        </w:rPr>
        <w:t xml:space="preserve"> 2010</w:t>
      </w:r>
      <w:r w:rsidRPr="00A50E4D">
        <w:rPr>
          <w:lang w:val="en-US"/>
        </w:rPr>
        <w:t>,</w:t>
      </w:r>
      <w:r w:rsidR="00930C85" w:rsidRPr="00A50E4D">
        <w:rPr>
          <w:lang w:val="en-US"/>
        </w:rPr>
        <w:t xml:space="preserve"> </w:t>
      </w:r>
      <w:r w:rsidR="009808C5" w:rsidRPr="00A50E4D">
        <w:rPr>
          <w:lang w:val="en-US"/>
        </w:rPr>
        <w:t xml:space="preserve">the </w:t>
      </w:r>
      <w:r w:rsidR="00700DEC" w:rsidRPr="00A50E4D">
        <w:rPr>
          <w:lang w:val="en-US"/>
        </w:rPr>
        <w:t>Supreme Court</w:t>
      </w:r>
      <w:r w:rsidR="00930C85" w:rsidRPr="00A50E4D">
        <w:rPr>
          <w:lang w:val="en-US"/>
        </w:rPr>
        <w:t xml:space="preserve"> </w:t>
      </w:r>
      <w:r w:rsidRPr="00A50E4D">
        <w:rPr>
          <w:lang w:val="en-US"/>
        </w:rPr>
        <w:t xml:space="preserve">issued </w:t>
      </w:r>
      <w:r w:rsidR="002E4296" w:rsidRPr="00A50E4D">
        <w:rPr>
          <w:lang w:val="en-US"/>
        </w:rPr>
        <w:t>a</w:t>
      </w:r>
      <w:r w:rsidR="002E4296" w:rsidRPr="00A50E4D">
        <w:rPr>
          <w:szCs w:val="20"/>
          <w:lang w:val="en-US"/>
        </w:rPr>
        <w:t xml:space="preserve"> ruling on the dismissal</w:t>
      </w:r>
      <w:r w:rsidRPr="00A50E4D">
        <w:rPr>
          <w:lang w:val="en-US"/>
        </w:rPr>
        <w:t xml:space="preserve">, </w:t>
      </w:r>
      <w:r w:rsidR="002763C0" w:rsidRPr="00A50E4D">
        <w:rPr>
          <w:lang w:val="en-US"/>
        </w:rPr>
        <w:t>citing</w:t>
      </w:r>
      <w:r w:rsidR="0028647D" w:rsidRPr="00A50E4D">
        <w:rPr>
          <w:lang w:val="en-US"/>
        </w:rPr>
        <w:t xml:space="preserve"> the following grounds:</w:t>
      </w:r>
      <w:bookmarkEnd w:id="163"/>
    </w:p>
    <w:p w14:paraId="73124D42" w14:textId="77777777" w:rsidR="0029085B" w:rsidRPr="00A50E4D" w:rsidRDefault="0029085B" w:rsidP="0029085B">
      <w:pPr>
        <w:rPr>
          <w:lang w:val="en-US" w:eastAsia="es-MX"/>
        </w:rPr>
      </w:pPr>
    </w:p>
    <w:p w14:paraId="32412BA0" w14:textId="56C0092E" w:rsidR="00930C85" w:rsidRPr="00A50E4D" w:rsidRDefault="000F4023" w:rsidP="000F4023">
      <w:pPr>
        <w:autoSpaceDE w:val="0"/>
        <w:autoSpaceDN w:val="0"/>
        <w:adjustRightInd w:val="0"/>
        <w:ind w:left="567" w:right="686"/>
        <w:rPr>
          <w:rFonts w:cs="Helvetica"/>
          <w:sz w:val="18"/>
          <w:szCs w:val="18"/>
          <w:lang w:val="en-US"/>
        </w:rPr>
      </w:pPr>
      <w:r w:rsidRPr="00A50E4D">
        <w:rPr>
          <w:rFonts w:cs="Arial"/>
          <w:spacing w:val="-4"/>
          <w:sz w:val="18"/>
          <w:szCs w:val="18"/>
          <w:lang w:val="en-US"/>
        </w:rPr>
        <w:t>THE SUPREME COURT OF JUSTICE</w:t>
      </w:r>
      <w:r w:rsidR="002763C0" w:rsidRPr="00A50E4D">
        <w:rPr>
          <w:rFonts w:cs="Helvetica"/>
          <w:sz w:val="18"/>
          <w:szCs w:val="18"/>
          <w:lang w:val="en-US"/>
        </w:rPr>
        <w:t xml:space="preserve"> HEREBY DECIDES: 1.</w:t>
      </w:r>
      <w:r w:rsidRPr="00A50E4D">
        <w:rPr>
          <w:rFonts w:cs="Helvetica"/>
          <w:sz w:val="18"/>
          <w:szCs w:val="18"/>
          <w:lang w:val="en-US"/>
        </w:rPr>
        <w:t xml:space="preserve"> To dismiss, without any liability to the institution, attorney ADAN GUILLERMO LOPEZ LONE from the post of Judge of the Sentencing Court of the San Pedro Sula Judicial District, Department of Cortés, for serious or repeated </w:t>
      </w:r>
      <w:r w:rsidR="00CA5D96" w:rsidRPr="00A50E4D">
        <w:rPr>
          <w:rFonts w:cs="Helvetica"/>
          <w:sz w:val="18"/>
          <w:szCs w:val="18"/>
          <w:lang w:val="en-US"/>
        </w:rPr>
        <w:t>non-compliance</w:t>
      </w:r>
      <w:r w:rsidRPr="00A50E4D">
        <w:rPr>
          <w:rFonts w:cs="Helvetica"/>
          <w:sz w:val="18"/>
          <w:szCs w:val="18"/>
          <w:lang w:val="en-US"/>
        </w:rPr>
        <w:t xml:space="preserve"> with or violation of some of the duties, incompatibilities and conduct established in Chapters X and XI of the Judicial Service Act, by virtue of his having </w:t>
      </w:r>
      <w:r w:rsidR="002763C0" w:rsidRPr="00A50E4D">
        <w:rPr>
          <w:rFonts w:cs="Helvetica"/>
          <w:sz w:val="18"/>
          <w:szCs w:val="18"/>
          <w:lang w:val="en-US"/>
        </w:rPr>
        <w:t xml:space="preserve">played an active part </w:t>
      </w:r>
      <w:r w:rsidRPr="00A50E4D">
        <w:rPr>
          <w:rFonts w:cs="Helvetica"/>
          <w:sz w:val="18"/>
          <w:szCs w:val="18"/>
          <w:lang w:val="en-US"/>
        </w:rPr>
        <w:t xml:space="preserve">in the political demonstration staged near “TONCONTIN” Airport on July </w:t>
      </w:r>
      <w:r w:rsidRPr="00A50E4D">
        <w:rPr>
          <w:rFonts w:cs="Helvetica"/>
          <w:sz w:val="18"/>
          <w:szCs w:val="18"/>
          <w:lang w:val="en-US"/>
        </w:rPr>
        <w:lastRenderedPageBreak/>
        <w:t>5, 2009.  As he himself testified at the rebuttal hearing, when military forces guarding the air strip opened fire with their regulation weapons, a human stampede was set off; in the effort to save himself, he sustained a</w:t>
      </w:r>
      <w:r w:rsidR="00444661" w:rsidRPr="00A50E4D">
        <w:rPr>
          <w:rFonts w:cs="Helvetica"/>
          <w:sz w:val="18"/>
          <w:szCs w:val="18"/>
          <w:lang w:val="en-US"/>
        </w:rPr>
        <w:t xml:space="preserve"> tibial plateau</w:t>
      </w:r>
      <w:r w:rsidRPr="00A50E4D">
        <w:rPr>
          <w:rFonts w:cs="Helvetica"/>
          <w:sz w:val="18"/>
          <w:szCs w:val="18"/>
          <w:lang w:val="en-US"/>
        </w:rPr>
        <w:t xml:space="preserve"> fracture to his left leg, a fact that is inconsistent with</w:t>
      </w:r>
      <w:r w:rsidR="00444661" w:rsidRPr="00A50E4D">
        <w:rPr>
          <w:rFonts w:cs="Helvetica"/>
          <w:sz w:val="18"/>
          <w:szCs w:val="18"/>
          <w:lang w:val="en-US"/>
        </w:rPr>
        <w:t xml:space="preserve"> the statement made by attorney LOPEZ LONE </w:t>
      </w:r>
      <w:r w:rsidRPr="00A50E4D">
        <w:rPr>
          <w:rFonts w:cs="Helvetica"/>
          <w:sz w:val="18"/>
          <w:szCs w:val="18"/>
          <w:lang w:val="en-US"/>
        </w:rPr>
        <w:t xml:space="preserve">on the Atlántida Insurance medical expense claim form, where he </w:t>
      </w:r>
      <w:r w:rsidR="00444661" w:rsidRPr="00A50E4D">
        <w:rPr>
          <w:rFonts w:cs="Helvetica"/>
          <w:sz w:val="18"/>
          <w:szCs w:val="18"/>
          <w:lang w:val="en-US"/>
        </w:rPr>
        <w:t>indicated</w:t>
      </w:r>
      <w:r w:rsidRPr="00A50E4D">
        <w:rPr>
          <w:rFonts w:cs="Helvetica"/>
          <w:sz w:val="18"/>
          <w:szCs w:val="18"/>
          <w:lang w:val="en-US"/>
        </w:rPr>
        <w:t xml:space="preserve"> that the accident happened when he tripped as he was walking and hit his knee, l</w:t>
      </w:r>
      <w:r w:rsidR="00444661" w:rsidRPr="00A50E4D">
        <w:rPr>
          <w:rFonts w:cs="Helvetica"/>
          <w:sz w:val="18"/>
          <w:szCs w:val="18"/>
          <w:lang w:val="en-US"/>
        </w:rPr>
        <w:t>eaving him unable to walk.</w:t>
      </w:r>
      <w:r w:rsidRPr="00A50E4D">
        <w:rPr>
          <w:rFonts w:cs="Helvetica"/>
          <w:sz w:val="18"/>
          <w:szCs w:val="18"/>
          <w:lang w:val="en-US"/>
        </w:rPr>
        <w:t xml:space="preserve"> He thus violated the Code of Ethics for Judicial Employees and Officials, article 2 of which provides that a justice or judge must act with honesty, independence, impartiality and equanimity. Therefore his conduct is unbecoming</w:t>
      </w:r>
      <w:r w:rsidR="006A228E" w:rsidRPr="00A50E4D">
        <w:rPr>
          <w:rFonts w:cs="Helvetica"/>
          <w:sz w:val="18"/>
          <w:szCs w:val="18"/>
          <w:lang w:val="en-US"/>
        </w:rPr>
        <w:t xml:space="preserve"> to</w:t>
      </w:r>
      <w:r w:rsidRPr="00A50E4D">
        <w:rPr>
          <w:rFonts w:cs="Helvetica"/>
          <w:sz w:val="18"/>
          <w:szCs w:val="18"/>
          <w:lang w:val="en-US"/>
        </w:rPr>
        <w:t xml:space="preserve"> the dignity of his </w:t>
      </w:r>
      <w:r w:rsidR="00444661" w:rsidRPr="00A50E4D">
        <w:rPr>
          <w:rFonts w:cs="Helvetica"/>
          <w:sz w:val="18"/>
          <w:szCs w:val="18"/>
          <w:lang w:val="en-US"/>
        </w:rPr>
        <w:t>office and incompatible with ethical principles and</w:t>
      </w:r>
      <w:r w:rsidRPr="00A50E4D">
        <w:rPr>
          <w:rFonts w:cs="Helvetica"/>
          <w:sz w:val="18"/>
          <w:szCs w:val="18"/>
          <w:lang w:val="en-US"/>
        </w:rPr>
        <w:t xml:space="preserve"> the laws governing the conduct of judicial officials. </w:t>
      </w:r>
      <w:r w:rsidR="00444661" w:rsidRPr="00A50E4D">
        <w:rPr>
          <w:sz w:val="18"/>
          <w:szCs w:val="18"/>
          <w:lang w:val="en-US"/>
        </w:rPr>
        <w:t>Articles 80, 82, 90(1), 303, 313(1</w:t>
      </w:r>
      <w:r w:rsidRPr="00A50E4D">
        <w:rPr>
          <w:sz w:val="18"/>
          <w:szCs w:val="18"/>
          <w:lang w:val="en-US"/>
        </w:rPr>
        <w:t xml:space="preserve">) and (8), 318, </w:t>
      </w:r>
      <w:r w:rsidR="00C7629D" w:rsidRPr="00A50E4D">
        <w:rPr>
          <w:sz w:val="18"/>
          <w:szCs w:val="18"/>
          <w:lang w:val="en-US"/>
        </w:rPr>
        <w:t xml:space="preserve">319, </w:t>
      </w:r>
      <w:r w:rsidRPr="00A50E4D">
        <w:rPr>
          <w:sz w:val="18"/>
          <w:szCs w:val="18"/>
          <w:lang w:val="en-US"/>
        </w:rPr>
        <w:t xml:space="preserve">322 and 323 of the Constitution of the Republic; XXXIII of the Universal Declaration of the Rights and Duties of </w:t>
      </w:r>
      <w:r w:rsidR="00444661" w:rsidRPr="00A50E4D">
        <w:rPr>
          <w:sz w:val="18"/>
          <w:szCs w:val="18"/>
          <w:lang w:val="en-US"/>
        </w:rPr>
        <w:t>Man; 1, 3, 4(2), 44, 45, 51, 53(g), 55, 56(3), 60, 64</w:t>
      </w:r>
      <w:r w:rsidRPr="00A50E4D">
        <w:rPr>
          <w:sz w:val="18"/>
          <w:szCs w:val="18"/>
          <w:lang w:val="en-US"/>
        </w:rPr>
        <w:t>(a), 65, 66, 73, 74, 83 and 84 of the Judicial Service Act; 1, 3, 4, 7, 9(4), 149, 160, 161, 171, 172(f), 174, 180(3), 184, 186, 187(a), 188, 189, 190, 206 and 214 of the Regulations governing the Judicial Service Act; Article 3(6) of the Law on the Organization and Faculties of the Courts; 43, 44, 53 and 55 of the Ibero-American Model Code of Judicial Ethics; 10 and 20 of the Statute of the Ibero-American Judge; 1(1)(f), 8(a) and 9 of the Code of Ethics for Judicial Officials and Employees.</w:t>
      </w:r>
      <w:r w:rsidR="00930C85" w:rsidRPr="00A50E4D">
        <w:rPr>
          <w:rStyle w:val="FootnoteReference"/>
          <w:rFonts w:cs="Arial"/>
          <w:spacing w:val="-4"/>
          <w:sz w:val="18"/>
          <w:szCs w:val="18"/>
          <w:lang w:val="en-US"/>
        </w:rPr>
        <w:footnoteReference w:id="160"/>
      </w:r>
    </w:p>
    <w:p w14:paraId="09337A9C" w14:textId="77777777" w:rsidR="00930C85" w:rsidRPr="00A50E4D" w:rsidRDefault="00930C85" w:rsidP="00930C85">
      <w:pPr>
        <w:autoSpaceDE w:val="0"/>
        <w:autoSpaceDN w:val="0"/>
        <w:adjustRightInd w:val="0"/>
        <w:ind w:left="567" w:right="686"/>
        <w:rPr>
          <w:rFonts w:cs="Arial"/>
          <w:spacing w:val="-4"/>
          <w:sz w:val="16"/>
          <w:szCs w:val="16"/>
          <w:lang w:val="en-US"/>
        </w:rPr>
      </w:pPr>
    </w:p>
    <w:p w14:paraId="16F37237" w14:textId="5037E537" w:rsidR="00930C85" w:rsidRPr="00A50E4D" w:rsidRDefault="0028647D" w:rsidP="0028647D">
      <w:pPr>
        <w:pStyle w:val="PrrafodeSentencia"/>
        <w:rPr>
          <w:lang w:val="en-US"/>
        </w:rPr>
      </w:pPr>
      <w:bookmarkStart w:id="164" w:name="_Ref427311017"/>
      <w:r w:rsidRPr="00A50E4D">
        <w:rPr>
          <w:lang w:val="en-US"/>
        </w:rPr>
        <w:t xml:space="preserve">Following this </w:t>
      </w:r>
      <w:r w:rsidR="000A786A" w:rsidRPr="00A50E4D">
        <w:rPr>
          <w:lang w:val="en-US"/>
        </w:rPr>
        <w:t>decision</w:t>
      </w:r>
      <w:r w:rsidRPr="00A50E4D">
        <w:rPr>
          <w:lang w:val="en-US"/>
        </w:rPr>
        <w:t xml:space="preserve">, on </w:t>
      </w:r>
      <w:r w:rsidR="00C150F2" w:rsidRPr="00A50E4D">
        <w:rPr>
          <w:lang w:val="en-US"/>
        </w:rPr>
        <w:t>June</w:t>
      </w:r>
      <w:r w:rsidR="009D6A26" w:rsidRPr="00A50E4D">
        <w:rPr>
          <w:lang w:val="en-US"/>
        </w:rPr>
        <w:t xml:space="preserve"> 30,</w:t>
      </w:r>
      <w:r w:rsidR="00930C85" w:rsidRPr="00A50E4D">
        <w:rPr>
          <w:lang w:val="en-US"/>
        </w:rPr>
        <w:t xml:space="preserve"> 2010</w:t>
      </w:r>
      <w:r w:rsidR="005A14FB" w:rsidRPr="00A50E4D">
        <w:rPr>
          <w:lang w:val="en-US"/>
        </w:rPr>
        <w:t>,</w:t>
      </w:r>
      <w:r w:rsidR="00930C85" w:rsidRPr="00A50E4D">
        <w:rPr>
          <w:lang w:val="en-US"/>
        </w:rPr>
        <w:t xml:space="preserve"> </w:t>
      </w:r>
      <w:r w:rsidR="00FF35A9" w:rsidRPr="00A50E4D">
        <w:rPr>
          <w:lang w:val="en-US"/>
        </w:rPr>
        <w:t>Mr. López</w:t>
      </w:r>
      <w:r w:rsidR="00930C85" w:rsidRPr="00A50E4D">
        <w:rPr>
          <w:lang w:val="en-US"/>
        </w:rPr>
        <w:t xml:space="preserve"> Lone </w:t>
      </w:r>
      <w:r w:rsidRPr="00A50E4D">
        <w:rPr>
          <w:lang w:val="en-US"/>
        </w:rPr>
        <w:t xml:space="preserve">filed an appeal before </w:t>
      </w:r>
      <w:r w:rsidR="006A756C" w:rsidRPr="00A50E4D">
        <w:rPr>
          <w:lang w:val="en-US"/>
        </w:rPr>
        <w:t>the Judicial Service Council</w:t>
      </w:r>
      <w:r w:rsidR="00930C85" w:rsidRPr="00A50E4D">
        <w:rPr>
          <w:lang w:val="en-US"/>
        </w:rPr>
        <w:t xml:space="preserve"> </w:t>
      </w:r>
      <w:r w:rsidRPr="00A50E4D">
        <w:rPr>
          <w:lang w:val="en-US"/>
        </w:rPr>
        <w:t>requiring his reinstatement as a judge.</w:t>
      </w:r>
      <w:r w:rsidR="00930C85" w:rsidRPr="00A50E4D">
        <w:rPr>
          <w:rStyle w:val="FootnoteReference"/>
          <w:rFonts w:cs="Arial"/>
          <w:sz w:val="20"/>
          <w:szCs w:val="20"/>
          <w:lang w:val="en-US"/>
        </w:rPr>
        <w:footnoteReference w:id="161"/>
      </w:r>
      <w:r w:rsidRPr="00A50E4D">
        <w:rPr>
          <w:lang w:val="en-US"/>
        </w:rPr>
        <w:t xml:space="preserve"> During this proceeding, five </w:t>
      </w:r>
      <w:r w:rsidR="005A14FB" w:rsidRPr="00A50E4D">
        <w:rPr>
          <w:lang w:val="en-US"/>
        </w:rPr>
        <w:t xml:space="preserve">permanent or </w:t>
      </w:r>
      <w:r w:rsidR="00DC3FD7" w:rsidRPr="00A50E4D">
        <w:rPr>
          <w:lang w:val="en-US"/>
        </w:rPr>
        <w:t>substitute member</w:t>
      </w:r>
      <w:r w:rsidR="005A14FB" w:rsidRPr="00A50E4D">
        <w:rPr>
          <w:lang w:val="en-US"/>
        </w:rPr>
        <w:t xml:space="preserve">s </w:t>
      </w:r>
      <w:r w:rsidRPr="00A50E4D">
        <w:rPr>
          <w:lang w:val="en-US"/>
        </w:rPr>
        <w:t>of the Council</w:t>
      </w:r>
      <w:r w:rsidR="005A14FB" w:rsidRPr="00A50E4D">
        <w:rPr>
          <w:lang w:val="en-US"/>
        </w:rPr>
        <w:t xml:space="preserve"> disqualified</w:t>
      </w:r>
      <w:r w:rsidRPr="00A50E4D">
        <w:rPr>
          <w:lang w:val="en-US"/>
        </w:rPr>
        <w:t xml:space="preserve"> themselves because, as members of the Supreme Court of Justice they had heard the case for the dismissal of Mr. López Lone, or due to a family relationship or friendship</w:t>
      </w:r>
      <w:r w:rsidRPr="00A50E4D">
        <w:rPr>
          <w:rStyle w:val="FootnoteReference"/>
          <w:rFonts w:cs="Arial"/>
          <w:sz w:val="20"/>
          <w:szCs w:val="20"/>
          <w:lang w:val="en-US"/>
        </w:rPr>
        <w:t xml:space="preserve"> </w:t>
      </w:r>
      <w:r w:rsidRPr="00A50E4D">
        <w:rPr>
          <w:rStyle w:val="FootnoteReference"/>
          <w:rFonts w:cs="Arial"/>
          <w:sz w:val="20"/>
          <w:szCs w:val="20"/>
          <w:lang w:val="en-US"/>
        </w:rPr>
        <w:footnoteReference w:id="162"/>
      </w:r>
      <w:r w:rsidRPr="00A50E4D">
        <w:rPr>
          <w:lang w:val="en-US"/>
        </w:rPr>
        <w:t xml:space="preserve"> On February 28, 2011, the Judicial Service Council held a hearing at which Mr. López Lone indicated that he was unaware </w:t>
      </w:r>
      <w:r w:rsidR="005A14FB" w:rsidRPr="00A50E4D">
        <w:rPr>
          <w:lang w:val="en-US"/>
        </w:rPr>
        <w:t xml:space="preserve">of </w:t>
      </w:r>
      <w:r w:rsidRPr="00A50E4D">
        <w:rPr>
          <w:lang w:val="en-US"/>
        </w:rPr>
        <w:t>the probable composition of the Judicial Service Council who would examine his appeal and the evidence.</w:t>
      </w:r>
      <w:r w:rsidR="00930C85" w:rsidRPr="00A50E4D">
        <w:rPr>
          <w:rStyle w:val="FootnoteReference"/>
          <w:sz w:val="20"/>
          <w:szCs w:val="20"/>
          <w:lang w:val="en-US"/>
        </w:rPr>
        <w:footnoteReference w:id="163"/>
      </w:r>
      <w:r w:rsidRPr="00A50E4D">
        <w:rPr>
          <w:lang w:val="en-US"/>
        </w:rPr>
        <w:t xml:space="preserve"> In addition, he referred, </w:t>
      </w:r>
      <w:r w:rsidR="00930C85" w:rsidRPr="00A50E4D">
        <w:rPr>
          <w:i/>
          <w:lang w:val="en-US"/>
        </w:rPr>
        <w:t>inter alia</w:t>
      </w:r>
      <w:r w:rsidRPr="00A50E4D">
        <w:rPr>
          <w:lang w:val="en-US"/>
        </w:rPr>
        <w:t>, to the presumed violations of due pro</w:t>
      </w:r>
      <w:r w:rsidR="005A14FB" w:rsidRPr="00A50E4D">
        <w:rPr>
          <w:lang w:val="en-US"/>
        </w:rPr>
        <w:t xml:space="preserve">cess </w:t>
      </w:r>
      <w:r w:rsidRPr="00A50E4D">
        <w:rPr>
          <w:lang w:val="en-US"/>
        </w:rPr>
        <w:t xml:space="preserve">in the processing </w:t>
      </w:r>
      <w:r w:rsidR="00FF35A9" w:rsidRPr="00A50E4D">
        <w:rPr>
          <w:lang w:val="en-US"/>
        </w:rPr>
        <w:t>of the disciplinary proceeding</w:t>
      </w:r>
      <w:r w:rsidR="005A14FB" w:rsidRPr="00A50E4D">
        <w:rPr>
          <w:lang w:val="en-US"/>
        </w:rPr>
        <w:t>s</w:t>
      </w:r>
      <w:r w:rsidR="009808C5" w:rsidRPr="00A50E4D">
        <w:rPr>
          <w:lang w:val="en-US"/>
        </w:rPr>
        <w:t xml:space="preserve"> and </w:t>
      </w:r>
      <w:r w:rsidRPr="00A50E4D">
        <w:rPr>
          <w:lang w:val="en-US"/>
        </w:rPr>
        <w:t>offered evidence to substantiate this.</w:t>
      </w:r>
      <w:r w:rsidR="00930C85" w:rsidRPr="00A50E4D">
        <w:rPr>
          <w:rStyle w:val="FootnoteReference"/>
          <w:sz w:val="20"/>
          <w:szCs w:val="20"/>
          <w:lang w:val="en-US"/>
        </w:rPr>
        <w:footnoteReference w:id="164"/>
      </w:r>
      <w:bookmarkEnd w:id="164"/>
    </w:p>
    <w:p w14:paraId="14715CA8" w14:textId="77777777" w:rsidR="00930C85" w:rsidRPr="00A50E4D" w:rsidRDefault="00930C85" w:rsidP="00930C85">
      <w:pPr>
        <w:pStyle w:val="NoSpacing"/>
        <w:tabs>
          <w:tab w:val="left" w:pos="567"/>
        </w:tabs>
        <w:rPr>
          <w:spacing w:val="-4"/>
          <w:szCs w:val="20"/>
          <w:lang w:val="en-US"/>
        </w:rPr>
      </w:pPr>
    </w:p>
    <w:p w14:paraId="5BFC671B" w14:textId="31528E02" w:rsidR="00930C85" w:rsidRPr="00A50E4D" w:rsidRDefault="005A14FB" w:rsidP="005A14FB">
      <w:pPr>
        <w:pStyle w:val="PrrafodeSentencia"/>
        <w:rPr>
          <w:lang w:val="en-US"/>
        </w:rPr>
      </w:pPr>
      <w:bookmarkStart w:id="165" w:name="_Ref424649134"/>
      <w:r w:rsidRPr="00A50E4D">
        <w:rPr>
          <w:lang w:val="en-US"/>
        </w:rPr>
        <w:t>In view of the</w:t>
      </w:r>
      <w:r w:rsidR="003927B0" w:rsidRPr="00A50E4D">
        <w:rPr>
          <w:lang w:val="en-US"/>
        </w:rPr>
        <w:t xml:space="preserve"> fact that several of its members had disqualified themselves</w:t>
      </w:r>
      <w:r w:rsidRPr="00A50E4D">
        <w:rPr>
          <w:lang w:val="en-US"/>
        </w:rPr>
        <w:t xml:space="preserve">, on March 22, </w:t>
      </w:r>
      <w:r w:rsidR="00930C85" w:rsidRPr="00A50E4D">
        <w:rPr>
          <w:lang w:val="en-US"/>
        </w:rPr>
        <w:t>2011</w:t>
      </w:r>
      <w:r w:rsidRPr="00A50E4D">
        <w:rPr>
          <w:lang w:val="en-US"/>
        </w:rPr>
        <w:t>,</w:t>
      </w:r>
      <w:r w:rsidR="00930C85" w:rsidRPr="00A50E4D">
        <w:rPr>
          <w:lang w:val="en-US"/>
        </w:rPr>
        <w:t xml:space="preserve"> </w:t>
      </w:r>
      <w:r w:rsidRPr="00A50E4D">
        <w:rPr>
          <w:lang w:val="en-US"/>
        </w:rPr>
        <w:t>it was considered that “</w:t>
      </w:r>
      <w:r w:rsidR="006A756C" w:rsidRPr="00A50E4D">
        <w:rPr>
          <w:lang w:val="en-US"/>
        </w:rPr>
        <w:t>the Judicial Service Council</w:t>
      </w:r>
      <w:r w:rsidRPr="00A50E4D">
        <w:rPr>
          <w:lang w:val="en-US"/>
        </w:rPr>
        <w:t xml:space="preserve"> had been disbanded” and a note was sent to the </w:t>
      </w:r>
      <w:r w:rsidR="009808C5" w:rsidRPr="00A50E4D">
        <w:rPr>
          <w:lang w:val="en-US"/>
        </w:rPr>
        <w:t xml:space="preserve">President of the </w:t>
      </w:r>
      <w:r w:rsidR="00700DEC" w:rsidRPr="00A50E4D">
        <w:rPr>
          <w:lang w:val="en-US"/>
        </w:rPr>
        <w:t>Supreme Court</w:t>
      </w:r>
      <w:r w:rsidR="00930C85" w:rsidRPr="00A50E4D">
        <w:rPr>
          <w:lang w:val="en-US"/>
        </w:rPr>
        <w:t xml:space="preserve"> </w:t>
      </w:r>
      <w:r w:rsidRPr="00A50E4D">
        <w:rPr>
          <w:lang w:val="en-US"/>
        </w:rPr>
        <w:t xml:space="preserve">of Justice asking him “to appoint, or to provide guidance on the method to follow in order to </w:t>
      </w:r>
      <w:r w:rsidR="008A1B59" w:rsidRPr="00A50E4D">
        <w:rPr>
          <w:lang w:val="en-US"/>
        </w:rPr>
        <w:t xml:space="preserve">incorporate </w:t>
      </w:r>
      <w:r w:rsidRPr="00A50E4D">
        <w:rPr>
          <w:lang w:val="en-US"/>
        </w:rPr>
        <w:t xml:space="preserve">the permanent and </w:t>
      </w:r>
      <w:r w:rsidR="00DC3FD7" w:rsidRPr="00A50E4D">
        <w:rPr>
          <w:lang w:val="en-US"/>
        </w:rPr>
        <w:t>substitute member</w:t>
      </w:r>
      <w:r w:rsidRPr="00A50E4D">
        <w:rPr>
          <w:lang w:val="en-US"/>
        </w:rPr>
        <w:t>s who w[ould] constitute the Judicial Service Council.”</w:t>
      </w:r>
      <w:r w:rsidRPr="00A50E4D">
        <w:rPr>
          <w:rStyle w:val="FootnoteReference"/>
          <w:rFonts w:cs="Arial"/>
          <w:sz w:val="20"/>
          <w:szCs w:val="20"/>
          <w:lang w:val="en-US"/>
        </w:rPr>
        <w:footnoteReference w:id="165"/>
      </w:r>
      <w:r w:rsidRPr="00A50E4D">
        <w:rPr>
          <w:lang w:val="en-US"/>
        </w:rPr>
        <w:t xml:space="preserve"> In this regard, </w:t>
      </w:r>
      <w:r w:rsidR="00CD2874" w:rsidRPr="00A50E4D">
        <w:rPr>
          <w:lang w:val="en-US"/>
        </w:rPr>
        <w:t>the President</w:t>
      </w:r>
      <w:r w:rsidR="009808C5" w:rsidRPr="00A50E4D">
        <w:rPr>
          <w:lang w:val="en-US"/>
        </w:rPr>
        <w:t xml:space="preserve"> of the </w:t>
      </w:r>
      <w:r w:rsidR="00700DEC" w:rsidRPr="00A50E4D">
        <w:rPr>
          <w:lang w:val="en-US"/>
        </w:rPr>
        <w:t>Supreme Court</w:t>
      </w:r>
      <w:r w:rsidR="00930C85" w:rsidRPr="00A50E4D">
        <w:rPr>
          <w:lang w:val="en-US"/>
        </w:rPr>
        <w:t xml:space="preserve"> </w:t>
      </w:r>
      <w:r w:rsidRPr="00A50E4D">
        <w:rPr>
          <w:lang w:val="en-US"/>
        </w:rPr>
        <w:t>decided that</w:t>
      </w:r>
      <w:r w:rsidR="00930C85" w:rsidRPr="00A50E4D">
        <w:rPr>
          <w:lang w:val="en-US"/>
        </w:rPr>
        <w:t>:</w:t>
      </w:r>
      <w:bookmarkEnd w:id="165"/>
    </w:p>
    <w:p w14:paraId="7D0C5AFC" w14:textId="77777777" w:rsidR="00930C85" w:rsidRPr="00A50E4D" w:rsidRDefault="00930C85" w:rsidP="00930C85">
      <w:pPr>
        <w:pStyle w:val="NoSpacing"/>
        <w:tabs>
          <w:tab w:val="left" w:pos="567"/>
        </w:tabs>
        <w:rPr>
          <w:spacing w:val="-4"/>
          <w:sz w:val="16"/>
          <w:szCs w:val="16"/>
          <w:lang w:val="en-US"/>
        </w:rPr>
      </w:pPr>
    </w:p>
    <w:p w14:paraId="5E0B7021" w14:textId="4ADF845F" w:rsidR="00930C85" w:rsidRPr="00A50E4D" w:rsidRDefault="003927B0" w:rsidP="008A1B59">
      <w:pPr>
        <w:pStyle w:val="NoSpacing"/>
        <w:tabs>
          <w:tab w:val="left" w:pos="567"/>
        </w:tabs>
        <w:ind w:left="567" w:right="544"/>
        <w:rPr>
          <w:spacing w:val="-4"/>
          <w:sz w:val="16"/>
          <w:szCs w:val="16"/>
          <w:lang w:val="en-US"/>
        </w:rPr>
      </w:pPr>
      <w:r w:rsidRPr="00A50E4D">
        <w:rPr>
          <w:spacing w:val="-4"/>
          <w:sz w:val="16"/>
          <w:szCs w:val="16"/>
          <w:lang w:val="en-US"/>
        </w:rPr>
        <w:t>I</w:t>
      </w:r>
      <w:r w:rsidR="000A786A" w:rsidRPr="00A50E4D">
        <w:rPr>
          <w:spacing w:val="-4"/>
          <w:sz w:val="16"/>
          <w:szCs w:val="16"/>
          <w:lang w:val="en-US"/>
        </w:rPr>
        <w:t>nas</w:t>
      </w:r>
      <w:r w:rsidR="008A1B59" w:rsidRPr="00A50E4D">
        <w:rPr>
          <w:spacing w:val="-4"/>
          <w:sz w:val="16"/>
          <w:szCs w:val="16"/>
          <w:lang w:val="en-US"/>
        </w:rPr>
        <w:t>much as [he him</w:t>
      </w:r>
      <w:r w:rsidR="00CA5D96" w:rsidRPr="00A50E4D">
        <w:rPr>
          <w:spacing w:val="-4"/>
          <w:sz w:val="16"/>
          <w:szCs w:val="16"/>
          <w:lang w:val="en-US"/>
        </w:rPr>
        <w:t>self] had been a member of the p</w:t>
      </w:r>
      <w:r w:rsidR="008A1B59" w:rsidRPr="00A50E4D">
        <w:rPr>
          <w:spacing w:val="-4"/>
          <w:sz w:val="16"/>
          <w:szCs w:val="16"/>
          <w:lang w:val="en-US"/>
        </w:rPr>
        <w:t>lenum of the [Supreme Court] that had ruled on the dismissal that was being contested, it would not be legal or prudent</w:t>
      </w:r>
      <w:r w:rsidRPr="00A50E4D">
        <w:rPr>
          <w:spacing w:val="-4"/>
          <w:sz w:val="16"/>
          <w:szCs w:val="16"/>
          <w:lang w:val="en-US"/>
        </w:rPr>
        <w:t xml:space="preserve"> [for him]</w:t>
      </w:r>
      <w:r w:rsidR="008A1B59" w:rsidRPr="00A50E4D">
        <w:rPr>
          <w:spacing w:val="-4"/>
          <w:sz w:val="16"/>
          <w:szCs w:val="16"/>
          <w:lang w:val="en-US"/>
        </w:rPr>
        <w:t xml:space="preserve"> to appoint the new members of the Judicial Service Council. Consequently, the method to be followed</w:t>
      </w:r>
      <w:r w:rsidRPr="00A50E4D">
        <w:rPr>
          <w:spacing w:val="-4"/>
          <w:sz w:val="16"/>
          <w:szCs w:val="16"/>
          <w:lang w:val="en-US"/>
        </w:rPr>
        <w:t xml:space="preserve"> in order</w:t>
      </w:r>
      <w:r w:rsidR="008A1B59" w:rsidRPr="00A50E4D">
        <w:rPr>
          <w:spacing w:val="-4"/>
          <w:sz w:val="16"/>
          <w:szCs w:val="16"/>
          <w:lang w:val="en-US"/>
        </w:rPr>
        <w:t xml:space="preserve"> to incorporat</w:t>
      </w:r>
      <w:r w:rsidRPr="00A50E4D">
        <w:rPr>
          <w:spacing w:val="-4"/>
          <w:sz w:val="16"/>
          <w:szCs w:val="16"/>
          <w:lang w:val="en-US"/>
        </w:rPr>
        <w:t xml:space="preserve">e the permanent members who w[ould] </w:t>
      </w:r>
      <w:r w:rsidR="008A1B59" w:rsidRPr="00A50E4D">
        <w:rPr>
          <w:spacing w:val="-4"/>
          <w:sz w:val="16"/>
          <w:szCs w:val="16"/>
          <w:lang w:val="en-US"/>
        </w:rPr>
        <w:t xml:space="preserve"> substitute the member</w:t>
      </w:r>
      <w:r w:rsidRPr="00A50E4D">
        <w:rPr>
          <w:spacing w:val="-4"/>
          <w:sz w:val="16"/>
          <w:szCs w:val="16"/>
          <w:lang w:val="en-US"/>
        </w:rPr>
        <w:t>s</w:t>
      </w:r>
      <w:r w:rsidR="008A1B59" w:rsidRPr="00A50E4D">
        <w:rPr>
          <w:spacing w:val="-4"/>
          <w:sz w:val="16"/>
          <w:szCs w:val="16"/>
          <w:lang w:val="en-US"/>
        </w:rPr>
        <w:t xml:space="preserve"> whose </w:t>
      </w:r>
      <w:r w:rsidRPr="00A50E4D">
        <w:rPr>
          <w:spacing w:val="-4"/>
          <w:sz w:val="16"/>
          <w:szCs w:val="16"/>
          <w:lang w:val="en-US"/>
        </w:rPr>
        <w:t>disqualification had been accepted</w:t>
      </w:r>
      <w:r w:rsidR="008A1B59" w:rsidRPr="00A50E4D">
        <w:rPr>
          <w:spacing w:val="-4"/>
          <w:sz w:val="16"/>
          <w:szCs w:val="16"/>
          <w:lang w:val="en-US"/>
        </w:rPr>
        <w:t xml:space="preserve"> could be the one prescribed in article 16 </w:t>
      </w:r>
      <w:r w:rsidR="009808C5" w:rsidRPr="00A50E4D">
        <w:rPr>
          <w:spacing w:val="-4"/>
          <w:sz w:val="16"/>
          <w:szCs w:val="16"/>
          <w:lang w:val="en-US"/>
        </w:rPr>
        <w:t xml:space="preserve">of </w:t>
      </w:r>
      <w:r w:rsidR="006A756C" w:rsidRPr="00A50E4D">
        <w:rPr>
          <w:spacing w:val="-4"/>
          <w:sz w:val="16"/>
          <w:szCs w:val="16"/>
          <w:lang w:val="en-US"/>
        </w:rPr>
        <w:t xml:space="preserve">the internal </w:t>
      </w:r>
      <w:r w:rsidRPr="00A50E4D">
        <w:rPr>
          <w:spacing w:val="-4"/>
          <w:sz w:val="16"/>
          <w:szCs w:val="16"/>
          <w:lang w:val="en-US"/>
        </w:rPr>
        <w:t>rules of procedure of</w:t>
      </w:r>
      <w:r w:rsidR="00EB6155" w:rsidRPr="00A50E4D">
        <w:rPr>
          <w:spacing w:val="-4"/>
          <w:sz w:val="16"/>
          <w:szCs w:val="16"/>
          <w:lang w:val="en-US"/>
        </w:rPr>
        <w:t xml:space="preserve"> the Judicial Service</w:t>
      </w:r>
      <w:r w:rsidR="008A1B59" w:rsidRPr="00A50E4D">
        <w:rPr>
          <w:spacing w:val="-4"/>
          <w:sz w:val="16"/>
          <w:szCs w:val="16"/>
          <w:lang w:val="en-US"/>
        </w:rPr>
        <w:t xml:space="preserve"> and, by analogy, a</w:t>
      </w:r>
      <w:r w:rsidR="009808C5" w:rsidRPr="00A50E4D">
        <w:rPr>
          <w:spacing w:val="-4"/>
          <w:sz w:val="16"/>
          <w:szCs w:val="16"/>
          <w:lang w:val="en-US"/>
        </w:rPr>
        <w:t>rticle</w:t>
      </w:r>
      <w:r w:rsidRPr="00A50E4D">
        <w:rPr>
          <w:spacing w:val="-4"/>
          <w:sz w:val="16"/>
          <w:szCs w:val="16"/>
          <w:lang w:val="en-US"/>
        </w:rPr>
        <w:t xml:space="preserve"> 72</w:t>
      </w:r>
      <w:r w:rsidR="008A1B59" w:rsidRPr="00A50E4D">
        <w:rPr>
          <w:spacing w:val="-4"/>
          <w:sz w:val="16"/>
          <w:szCs w:val="16"/>
          <w:lang w:val="en-US"/>
        </w:rPr>
        <w:t xml:space="preserve">(3) </w:t>
      </w:r>
      <w:r w:rsidR="00FF35A9" w:rsidRPr="00A50E4D">
        <w:rPr>
          <w:spacing w:val="-4"/>
          <w:sz w:val="16"/>
          <w:szCs w:val="16"/>
          <w:lang w:val="en-US"/>
        </w:rPr>
        <w:t xml:space="preserve">of </w:t>
      </w:r>
      <w:r w:rsidR="00FF35A9" w:rsidRPr="00A50E4D">
        <w:rPr>
          <w:spacing w:val="-4"/>
          <w:sz w:val="16"/>
          <w:szCs w:val="16"/>
          <w:lang w:val="en-US"/>
        </w:rPr>
        <w:lastRenderedPageBreak/>
        <w:t xml:space="preserve">the </w:t>
      </w:r>
      <w:r w:rsidR="000F4023" w:rsidRPr="00A50E4D">
        <w:rPr>
          <w:spacing w:val="-4"/>
          <w:sz w:val="16"/>
          <w:szCs w:val="16"/>
          <w:lang w:val="en-US"/>
        </w:rPr>
        <w:t>Law on the Organization and Faculties of the Courts</w:t>
      </w:r>
      <w:r w:rsidR="008A1B59" w:rsidRPr="00A50E4D">
        <w:rPr>
          <w:spacing w:val="-4"/>
          <w:sz w:val="16"/>
          <w:szCs w:val="16"/>
          <w:lang w:val="en-US"/>
        </w:rPr>
        <w:t xml:space="preserve"> and a</w:t>
      </w:r>
      <w:r w:rsidR="009808C5" w:rsidRPr="00A50E4D">
        <w:rPr>
          <w:spacing w:val="-4"/>
          <w:sz w:val="16"/>
          <w:szCs w:val="16"/>
          <w:lang w:val="en-US"/>
        </w:rPr>
        <w:t>rticle</w:t>
      </w:r>
      <w:r w:rsidRPr="00A50E4D">
        <w:rPr>
          <w:spacing w:val="-4"/>
          <w:sz w:val="16"/>
          <w:szCs w:val="16"/>
          <w:lang w:val="en-US"/>
        </w:rPr>
        <w:t xml:space="preserve"> 15</w:t>
      </w:r>
      <w:r w:rsidR="008A1B59" w:rsidRPr="00A50E4D">
        <w:rPr>
          <w:spacing w:val="-4"/>
          <w:sz w:val="16"/>
          <w:szCs w:val="16"/>
          <w:lang w:val="en-US"/>
        </w:rPr>
        <w:t>(</w:t>
      </w:r>
      <w:r w:rsidR="00930C85" w:rsidRPr="00A50E4D">
        <w:rPr>
          <w:spacing w:val="-4"/>
          <w:sz w:val="16"/>
          <w:szCs w:val="16"/>
          <w:lang w:val="en-US"/>
        </w:rPr>
        <w:t>d)</w:t>
      </w:r>
      <w:r w:rsidR="009808C5" w:rsidRPr="00A50E4D">
        <w:rPr>
          <w:spacing w:val="-4"/>
          <w:sz w:val="16"/>
          <w:szCs w:val="16"/>
          <w:lang w:val="en-US"/>
        </w:rPr>
        <w:t xml:space="preserve"> of </w:t>
      </w:r>
      <w:r w:rsidR="006A756C" w:rsidRPr="00A50E4D">
        <w:rPr>
          <w:spacing w:val="-4"/>
          <w:sz w:val="16"/>
          <w:szCs w:val="16"/>
          <w:lang w:val="en-US"/>
        </w:rPr>
        <w:t xml:space="preserve">the </w:t>
      </w:r>
      <w:r w:rsidR="000E6A0D" w:rsidRPr="00A50E4D">
        <w:rPr>
          <w:spacing w:val="-4"/>
          <w:sz w:val="16"/>
          <w:szCs w:val="16"/>
          <w:lang w:val="en-US"/>
        </w:rPr>
        <w:t>rules of procedure</w:t>
      </w:r>
      <w:r w:rsidR="009808C5" w:rsidRPr="00A50E4D">
        <w:rPr>
          <w:spacing w:val="-4"/>
          <w:sz w:val="16"/>
          <w:szCs w:val="16"/>
          <w:lang w:val="en-US"/>
        </w:rPr>
        <w:t xml:space="preserve"> of the </w:t>
      </w:r>
      <w:r w:rsidR="00371BB7" w:rsidRPr="00A50E4D">
        <w:rPr>
          <w:spacing w:val="-4"/>
          <w:sz w:val="16"/>
          <w:szCs w:val="16"/>
          <w:lang w:val="en-US"/>
        </w:rPr>
        <w:t>Supreme Court of Justice</w:t>
      </w:r>
      <w:r w:rsidR="00930C85" w:rsidRPr="00A50E4D">
        <w:rPr>
          <w:spacing w:val="-4"/>
          <w:sz w:val="16"/>
          <w:szCs w:val="16"/>
          <w:lang w:val="en-US"/>
        </w:rPr>
        <w:t xml:space="preserve">; </w:t>
      </w:r>
      <w:r w:rsidR="008A1B59" w:rsidRPr="00A50E4D">
        <w:rPr>
          <w:spacing w:val="-4"/>
          <w:sz w:val="16"/>
          <w:szCs w:val="16"/>
          <w:lang w:val="en-US"/>
        </w:rPr>
        <w:t>without prejudice to any other method that the President or all the remaining members of the Council may determine</w:t>
      </w:r>
      <w:r w:rsidR="00930C85" w:rsidRPr="00A50E4D">
        <w:rPr>
          <w:spacing w:val="-4"/>
          <w:sz w:val="16"/>
          <w:szCs w:val="16"/>
          <w:lang w:val="en-US"/>
        </w:rPr>
        <w:t>.</w:t>
      </w:r>
      <w:r w:rsidR="00930C85" w:rsidRPr="00A50E4D">
        <w:rPr>
          <w:rStyle w:val="FootnoteReference"/>
          <w:rFonts w:cs="Arial"/>
          <w:spacing w:val="-4"/>
          <w:lang w:val="en-US"/>
        </w:rPr>
        <w:footnoteReference w:id="166"/>
      </w:r>
      <w:r w:rsidR="00930C85" w:rsidRPr="00A50E4D">
        <w:rPr>
          <w:spacing w:val="-4"/>
          <w:sz w:val="16"/>
          <w:szCs w:val="16"/>
          <w:lang w:val="en-US"/>
        </w:rPr>
        <w:t xml:space="preserve"> </w:t>
      </w:r>
    </w:p>
    <w:p w14:paraId="77D9821E" w14:textId="77777777" w:rsidR="00930C85" w:rsidRPr="00A50E4D" w:rsidRDefault="00930C85" w:rsidP="00930C85">
      <w:pPr>
        <w:pStyle w:val="NoSpacing"/>
        <w:tabs>
          <w:tab w:val="left" w:pos="567"/>
        </w:tabs>
        <w:rPr>
          <w:spacing w:val="-4"/>
          <w:szCs w:val="20"/>
          <w:lang w:val="en-US"/>
        </w:rPr>
      </w:pPr>
    </w:p>
    <w:p w14:paraId="6E61BAD2" w14:textId="5D05008D" w:rsidR="00930C85" w:rsidRPr="00A50E4D" w:rsidRDefault="008A1B59" w:rsidP="00930C85">
      <w:pPr>
        <w:pStyle w:val="PrrafodeSentencia"/>
        <w:rPr>
          <w:lang w:val="en-US"/>
        </w:rPr>
      </w:pPr>
      <w:bookmarkStart w:id="166" w:name="_Ref427311023"/>
      <w:r w:rsidRPr="00A50E4D">
        <w:rPr>
          <w:lang w:val="en-US"/>
        </w:rPr>
        <w:t xml:space="preserve">Following the preceding </w:t>
      </w:r>
      <w:r w:rsidR="000A786A" w:rsidRPr="00A50E4D">
        <w:rPr>
          <w:lang w:val="en-US"/>
        </w:rPr>
        <w:t>decision</w:t>
      </w:r>
      <w:r w:rsidRPr="00A50E4D">
        <w:rPr>
          <w:lang w:val="en-US"/>
        </w:rPr>
        <w:t>, the President of the Council appointed a lawyer to incorporate the Council and enable the process to proceed.</w:t>
      </w:r>
      <w:r w:rsidR="00930C85" w:rsidRPr="00A50E4D">
        <w:rPr>
          <w:rStyle w:val="FootnoteReference"/>
          <w:rFonts w:cs="Arial"/>
          <w:sz w:val="20"/>
          <w:szCs w:val="20"/>
          <w:lang w:val="en-US"/>
        </w:rPr>
        <w:footnoteReference w:id="167"/>
      </w:r>
      <w:r w:rsidRPr="00A50E4D">
        <w:rPr>
          <w:lang w:val="en-US"/>
        </w:rPr>
        <w:t xml:space="preserve"> Subsequently, another two members disqualified </w:t>
      </w:r>
      <w:r w:rsidR="000A786A" w:rsidRPr="00A50E4D">
        <w:rPr>
          <w:lang w:val="en-US"/>
        </w:rPr>
        <w:t>themselves</w:t>
      </w:r>
      <w:r w:rsidRPr="00A50E4D">
        <w:rPr>
          <w:lang w:val="en-US"/>
        </w:rPr>
        <w:t xml:space="preserve">, and two new </w:t>
      </w:r>
      <w:r w:rsidR="003927B0" w:rsidRPr="00A50E4D">
        <w:rPr>
          <w:lang w:val="en-US"/>
        </w:rPr>
        <w:t>substitute</w:t>
      </w:r>
      <w:r w:rsidRPr="00A50E4D">
        <w:rPr>
          <w:lang w:val="en-US"/>
        </w:rPr>
        <w:t xml:space="preserve"> members were appointed.</w:t>
      </w:r>
      <w:r w:rsidR="00930C85" w:rsidRPr="00A50E4D">
        <w:rPr>
          <w:rStyle w:val="FootnoteReference"/>
          <w:rFonts w:cs="Arial"/>
          <w:sz w:val="20"/>
          <w:szCs w:val="20"/>
          <w:lang w:val="en-US"/>
        </w:rPr>
        <w:footnoteReference w:id="168"/>
      </w:r>
      <w:bookmarkEnd w:id="166"/>
    </w:p>
    <w:p w14:paraId="3649094B" w14:textId="77777777" w:rsidR="00930C85" w:rsidRPr="00A50E4D" w:rsidRDefault="00930C85" w:rsidP="00930C85">
      <w:pPr>
        <w:pStyle w:val="NoSpacing"/>
        <w:tabs>
          <w:tab w:val="left" w:pos="567"/>
        </w:tabs>
        <w:rPr>
          <w:spacing w:val="-4"/>
          <w:szCs w:val="20"/>
          <w:lang w:val="en-US"/>
        </w:rPr>
      </w:pPr>
    </w:p>
    <w:p w14:paraId="2AF65797" w14:textId="76434C84" w:rsidR="00930C85" w:rsidRPr="00A50E4D" w:rsidRDefault="008A1B59" w:rsidP="00930C85">
      <w:pPr>
        <w:pStyle w:val="PrrafodeSentencia"/>
        <w:rPr>
          <w:lang w:val="en-US"/>
        </w:rPr>
      </w:pPr>
      <w:bookmarkStart w:id="167" w:name="_Ref424649494"/>
      <w:r w:rsidRPr="00A50E4D">
        <w:rPr>
          <w:lang w:val="en-US"/>
        </w:rPr>
        <w:t xml:space="preserve">On </w:t>
      </w:r>
      <w:r w:rsidR="000F731B" w:rsidRPr="00A50E4D">
        <w:rPr>
          <w:lang w:val="en-US"/>
        </w:rPr>
        <w:t xml:space="preserve">August </w:t>
      </w:r>
      <w:r w:rsidRPr="00A50E4D">
        <w:rPr>
          <w:lang w:val="en-US"/>
        </w:rPr>
        <w:t>2</w:t>
      </w:r>
      <w:r w:rsidR="000F731B" w:rsidRPr="00A50E4D">
        <w:rPr>
          <w:lang w:val="en-US"/>
        </w:rPr>
        <w:t>4,</w:t>
      </w:r>
      <w:r w:rsidR="00930C85" w:rsidRPr="00A50E4D">
        <w:rPr>
          <w:lang w:val="en-US"/>
        </w:rPr>
        <w:t xml:space="preserve"> 2011</w:t>
      </w:r>
      <w:r w:rsidRPr="00A50E4D">
        <w:rPr>
          <w:lang w:val="en-US"/>
        </w:rPr>
        <w:t xml:space="preserve">, the Council declared that the appeal filed by </w:t>
      </w:r>
      <w:r w:rsidR="00FF35A9" w:rsidRPr="00A50E4D">
        <w:rPr>
          <w:lang w:val="en-US"/>
        </w:rPr>
        <w:t>Mr. López</w:t>
      </w:r>
      <w:r w:rsidR="00930C85" w:rsidRPr="00A50E4D">
        <w:rPr>
          <w:lang w:val="en-US"/>
        </w:rPr>
        <w:t xml:space="preserve"> Lone</w:t>
      </w:r>
      <w:r w:rsidRPr="00A50E4D">
        <w:rPr>
          <w:lang w:val="en-US"/>
        </w:rPr>
        <w:t xml:space="preserve"> was inadmissible</w:t>
      </w:r>
      <w:r w:rsidR="00930C85" w:rsidRPr="00A50E4D">
        <w:rPr>
          <w:lang w:val="en-US"/>
        </w:rPr>
        <w:t xml:space="preserve"> (</w:t>
      </w:r>
      <w:r w:rsidR="00930C85" w:rsidRPr="00A50E4D">
        <w:rPr>
          <w:i/>
          <w:lang w:val="en-US"/>
        </w:rPr>
        <w:t xml:space="preserve">supra </w:t>
      </w:r>
      <w:r w:rsidR="00AD5EE7" w:rsidRPr="00A50E4D">
        <w:rPr>
          <w:lang w:val="en-US"/>
        </w:rPr>
        <w:t>para.</w:t>
      </w:r>
      <w:r w:rsidR="000E1811" w:rsidRPr="00A50E4D">
        <w:rPr>
          <w:lang w:val="en-US"/>
        </w:rPr>
        <w:t xml:space="preserve"> </w:t>
      </w:r>
      <w:r w:rsidR="004D7137" w:rsidRPr="00914F55">
        <w:rPr>
          <w:lang w:val="en-US"/>
        </w:rPr>
        <w:fldChar w:fldCharType="begin"/>
      </w:r>
      <w:r w:rsidR="004D7137" w:rsidRPr="00A50E4D">
        <w:rPr>
          <w:lang w:val="en-US"/>
        </w:rPr>
        <w:instrText xml:space="preserve"> REF _Ref427311017 \r \h </w:instrText>
      </w:r>
      <w:r w:rsidR="00EA20A5" w:rsidRPr="00A50E4D">
        <w:rPr>
          <w:lang w:val="en-US"/>
        </w:rPr>
        <w:instrText xml:space="preserve"> \* MERGEFORMAT </w:instrText>
      </w:r>
      <w:r w:rsidR="004D7137" w:rsidRPr="00914F55">
        <w:rPr>
          <w:lang w:val="en-US"/>
        </w:rPr>
      </w:r>
      <w:r w:rsidR="004D7137" w:rsidRPr="00914F55">
        <w:rPr>
          <w:lang w:val="en-US"/>
        </w:rPr>
        <w:fldChar w:fldCharType="separate"/>
      </w:r>
      <w:r w:rsidR="00547588">
        <w:rPr>
          <w:lang w:val="en-US"/>
        </w:rPr>
        <w:t>96</w:t>
      </w:r>
      <w:r w:rsidR="004D7137" w:rsidRPr="00914F55">
        <w:rPr>
          <w:lang w:val="en-US"/>
        </w:rPr>
        <w:fldChar w:fldCharType="end"/>
      </w:r>
      <w:r w:rsidR="00930C85" w:rsidRPr="00A50E4D">
        <w:rPr>
          <w:lang w:val="en-US"/>
        </w:rPr>
        <w:t>)</w:t>
      </w:r>
      <w:r w:rsidRPr="00A50E4D">
        <w:rPr>
          <w:lang w:val="en-US"/>
        </w:rPr>
        <w:t>.</w:t>
      </w:r>
      <w:r w:rsidR="00930C85" w:rsidRPr="00A50E4D">
        <w:rPr>
          <w:rStyle w:val="FootnoteReference"/>
          <w:rFonts w:cs="Arial"/>
          <w:sz w:val="20"/>
          <w:szCs w:val="20"/>
          <w:lang w:val="en-US"/>
        </w:rPr>
        <w:footnoteReference w:id="169"/>
      </w:r>
      <w:r w:rsidRPr="00A50E4D">
        <w:rPr>
          <w:lang w:val="en-US"/>
        </w:rPr>
        <w:t xml:space="preserve"> Regarding the alleged lack of competence, independence and impartiality </w:t>
      </w:r>
      <w:r w:rsidR="006A756C" w:rsidRPr="00A50E4D">
        <w:rPr>
          <w:lang w:val="en-US"/>
        </w:rPr>
        <w:t>of the Judicial Service Council</w:t>
      </w:r>
      <w:r w:rsidR="00930C85" w:rsidRPr="00A50E4D">
        <w:rPr>
          <w:lang w:val="en-US"/>
        </w:rPr>
        <w:t xml:space="preserve"> </w:t>
      </w:r>
      <w:r w:rsidRPr="00A50E4D">
        <w:rPr>
          <w:lang w:val="en-US"/>
        </w:rPr>
        <w:t xml:space="preserve">to decide appeals </w:t>
      </w:r>
      <w:r w:rsidR="00FF35A9" w:rsidRPr="00A50E4D">
        <w:rPr>
          <w:lang w:val="en-US"/>
        </w:rPr>
        <w:t>against</w:t>
      </w:r>
      <w:r w:rsidR="00930C85" w:rsidRPr="00A50E4D">
        <w:rPr>
          <w:lang w:val="en-US"/>
        </w:rPr>
        <w:t xml:space="preserve"> </w:t>
      </w:r>
      <w:r w:rsidR="00665BDA" w:rsidRPr="00A50E4D">
        <w:rPr>
          <w:lang w:val="en-US"/>
        </w:rPr>
        <w:t>decisions</w:t>
      </w:r>
      <w:r w:rsidR="009808C5" w:rsidRPr="00A50E4D">
        <w:rPr>
          <w:lang w:val="en-US"/>
        </w:rPr>
        <w:t xml:space="preserve"> of the </w:t>
      </w:r>
      <w:r w:rsidR="00371BB7" w:rsidRPr="00A50E4D">
        <w:rPr>
          <w:lang w:val="en-US"/>
        </w:rPr>
        <w:t>Supreme Court of Justice</w:t>
      </w:r>
      <w:r w:rsidR="00930C85" w:rsidRPr="00A50E4D">
        <w:rPr>
          <w:lang w:val="en-US"/>
        </w:rPr>
        <w:t>,</w:t>
      </w:r>
      <w:r w:rsidRPr="00A50E4D">
        <w:rPr>
          <w:lang w:val="en-US"/>
        </w:rPr>
        <w:t xml:space="preserve"> the Council indicated that it was “an independent organ when issuing its decisions.” In addition, it emphasized the fact that permanent and </w:t>
      </w:r>
      <w:r w:rsidR="003927B0" w:rsidRPr="00A50E4D">
        <w:rPr>
          <w:lang w:val="en-US"/>
        </w:rPr>
        <w:t>substitute</w:t>
      </w:r>
      <w:r w:rsidRPr="00A50E4D">
        <w:rPr>
          <w:lang w:val="en-US"/>
        </w:rPr>
        <w:t xml:space="preserve"> members had “disqualified themselves from hearing these proceedings,” thus guaranteeing impartiality. With regard to the members who had been appointed by the President, the Council indicated that “they were officials who had entered the Judiciary and been appointed to their functio</w:t>
      </w:r>
      <w:r w:rsidR="003927B0" w:rsidRPr="00A50E4D">
        <w:rPr>
          <w:lang w:val="en-US"/>
        </w:rPr>
        <w:t>ns through a competitive procedure</w:t>
      </w:r>
      <w:r w:rsidRPr="00A50E4D">
        <w:rPr>
          <w:lang w:val="en-US"/>
        </w:rPr>
        <w:t xml:space="preserve"> and who had </w:t>
      </w:r>
      <w:r w:rsidR="00F41EA1" w:rsidRPr="00A50E4D">
        <w:rPr>
          <w:lang w:val="en-US"/>
        </w:rPr>
        <w:t>enjoyed</w:t>
      </w:r>
      <w:r w:rsidR="003927B0" w:rsidRPr="00A50E4D">
        <w:rPr>
          <w:lang w:val="en-US"/>
        </w:rPr>
        <w:t xml:space="preserve"> </w:t>
      </w:r>
      <w:r w:rsidRPr="00A50E4D">
        <w:rPr>
          <w:lang w:val="en-US"/>
        </w:rPr>
        <w:t>a long and unblemished career within the Judiciary”; consequently, its independence could not be called into question</w:t>
      </w:r>
      <w:r w:rsidR="00DC3FD7" w:rsidRPr="00A50E4D">
        <w:rPr>
          <w:lang w:val="en-US"/>
        </w:rPr>
        <w:t>.</w:t>
      </w:r>
      <w:r w:rsidR="00930C85" w:rsidRPr="00A50E4D">
        <w:rPr>
          <w:rStyle w:val="FootnoteReference"/>
          <w:rFonts w:cs="Arial"/>
          <w:sz w:val="20"/>
          <w:szCs w:val="20"/>
          <w:lang w:val="en-US"/>
        </w:rPr>
        <w:footnoteReference w:id="170"/>
      </w:r>
      <w:bookmarkEnd w:id="167"/>
    </w:p>
    <w:p w14:paraId="478B116C" w14:textId="77777777" w:rsidR="00930C85" w:rsidRPr="00A50E4D" w:rsidRDefault="00930C85" w:rsidP="00930C85">
      <w:pPr>
        <w:pStyle w:val="ListParagraph"/>
        <w:numPr>
          <w:ilvl w:val="0"/>
          <w:numId w:val="0"/>
        </w:numPr>
        <w:ind w:left="1440"/>
        <w:rPr>
          <w:spacing w:val="-4"/>
          <w:lang w:val="en-US"/>
        </w:rPr>
      </w:pPr>
    </w:p>
    <w:p w14:paraId="3D2846B5" w14:textId="3011DF47" w:rsidR="00930C85" w:rsidRPr="00A50E4D" w:rsidRDefault="008A1B59" w:rsidP="00930C85">
      <w:pPr>
        <w:pStyle w:val="PrrafodeSentencia"/>
        <w:rPr>
          <w:lang w:val="en-US"/>
        </w:rPr>
      </w:pPr>
      <w:bookmarkStart w:id="168" w:name="_Ref427318783"/>
      <w:r w:rsidRPr="00A50E4D">
        <w:rPr>
          <w:lang w:val="en-US"/>
        </w:rPr>
        <w:t>The Council conside</w:t>
      </w:r>
      <w:r w:rsidR="00DC3FD7" w:rsidRPr="00A50E4D">
        <w:rPr>
          <w:lang w:val="en-US"/>
        </w:rPr>
        <w:t>red that it had been duly proved</w:t>
      </w:r>
      <w:r w:rsidRPr="00A50E4D">
        <w:rPr>
          <w:lang w:val="en-US"/>
        </w:rPr>
        <w:t xml:space="preserve"> that </w:t>
      </w:r>
      <w:r w:rsidR="00FF35A9" w:rsidRPr="00A50E4D">
        <w:rPr>
          <w:lang w:val="en-US"/>
        </w:rPr>
        <w:t>Mr. López</w:t>
      </w:r>
      <w:r w:rsidR="00930C85" w:rsidRPr="00A50E4D">
        <w:rPr>
          <w:lang w:val="en-US"/>
        </w:rPr>
        <w:t xml:space="preserve"> Lone:</w:t>
      </w:r>
      <w:bookmarkEnd w:id="168"/>
      <w:r w:rsidR="00930C85" w:rsidRPr="00A50E4D">
        <w:rPr>
          <w:lang w:val="en-US"/>
        </w:rPr>
        <w:t xml:space="preserve"> </w:t>
      </w:r>
    </w:p>
    <w:p w14:paraId="4D2D6BDD" w14:textId="77777777" w:rsidR="00930C85" w:rsidRPr="00A50E4D" w:rsidRDefault="00930C85" w:rsidP="00930C85">
      <w:pPr>
        <w:pStyle w:val="ListParagraph"/>
        <w:numPr>
          <w:ilvl w:val="0"/>
          <w:numId w:val="0"/>
        </w:numPr>
        <w:rPr>
          <w:spacing w:val="-4"/>
          <w:lang w:val="en-US"/>
        </w:rPr>
      </w:pPr>
    </w:p>
    <w:p w14:paraId="628FDC84" w14:textId="24B1DCFD" w:rsidR="00930C85" w:rsidRPr="00A50E4D" w:rsidRDefault="00DC3FD7" w:rsidP="00BD29B4">
      <w:pPr>
        <w:pStyle w:val="NoSpacing"/>
        <w:tabs>
          <w:tab w:val="left" w:pos="567"/>
        </w:tabs>
        <w:ind w:left="567" w:right="544"/>
        <w:rPr>
          <w:spacing w:val="-4"/>
          <w:sz w:val="18"/>
          <w:szCs w:val="18"/>
          <w:lang w:val="en-US"/>
        </w:rPr>
      </w:pPr>
      <w:r w:rsidRPr="00A50E4D">
        <w:rPr>
          <w:spacing w:val="-4"/>
          <w:sz w:val="18"/>
          <w:szCs w:val="18"/>
          <w:lang w:val="en-US"/>
        </w:rPr>
        <w:t>H</w:t>
      </w:r>
      <w:r w:rsidR="008A1B59" w:rsidRPr="00A50E4D">
        <w:rPr>
          <w:spacing w:val="-4"/>
          <w:sz w:val="18"/>
          <w:szCs w:val="18"/>
          <w:lang w:val="en-US"/>
        </w:rPr>
        <w:t xml:space="preserve">ad played an active </w:t>
      </w:r>
      <w:r w:rsidRPr="00A50E4D">
        <w:rPr>
          <w:spacing w:val="-4"/>
          <w:sz w:val="18"/>
          <w:szCs w:val="18"/>
          <w:lang w:val="en-US"/>
        </w:rPr>
        <w:t>role</w:t>
      </w:r>
      <w:r w:rsidR="008A1B59" w:rsidRPr="00A50E4D">
        <w:rPr>
          <w:spacing w:val="-4"/>
          <w:sz w:val="18"/>
          <w:szCs w:val="18"/>
          <w:lang w:val="en-US"/>
        </w:rPr>
        <w:t xml:space="preserve"> in the </w:t>
      </w:r>
      <w:r w:rsidR="00BD29B4" w:rsidRPr="00A50E4D">
        <w:rPr>
          <w:spacing w:val="-4"/>
          <w:sz w:val="18"/>
          <w:szCs w:val="18"/>
          <w:lang w:val="en-US"/>
        </w:rPr>
        <w:t xml:space="preserve">partisan </w:t>
      </w:r>
      <w:r w:rsidR="008A1B59" w:rsidRPr="00A50E4D">
        <w:rPr>
          <w:spacing w:val="-4"/>
          <w:sz w:val="18"/>
          <w:szCs w:val="18"/>
          <w:lang w:val="en-US"/>
        </w:rPr>
        <w:t xml:space="preserve">political protest carried out near </w:t>
      </w:r>
      <w:r w:rsidR="000A786A" w:rsidRPr="00A50E4D">
        <w:rPr>
          <w:spacing w:val="-4"/>
          <w:sz w:val="18"/>
          <w:szCs w:val="18"/>
          <w:lang w:val="en-US"/>
        </w:rPr>
        <w:t xml:space="preserve">the </w:t>
      </w:r>
      <w:r w:rsidR="00E678F7" w:rsidRPr="00A50E4D">
        <w:rPr>
          <w:spacing w:val="-4"/>
          <w:sz w:val="18"/>
          <w:szCs w:val="18"/>
          <w:lang w:val="en-US"/>
        </w:rPr>
        <w:t>Toncontin</w:t>
      </w:r>
      <w:r w:rsidR="000A786A" w:rsidRPr="00A50E4D">
        <w:rPr>
          <w:spacing w:val="-4"/>
          <w:sz w:val="18"/>
          <w:szCs w:val="18"/>
          <w:lang w:val="en-US"/>
        </w:rPr>
        <w:t xml:space="preserve"> Airport with flags</w:t>
      </w:r>
      <w:r w:rsidR="008A1B59" w:rsidRPr="00A50E4D">
        <w:rPr>
          <w:spacing w:val="-4"/>
          <w:sz w:val="18"/>
          <w:szCs w:val="18"/>
          <w:lang w:val="en-US"/>
        </w:rPr>
        <w:t xml:space="preserve"> representing </w:t>
      </w:r>
      <w:r w:rsidRPr="00A50E4D">
        <w:rPr>
          <w:spacing w:val="-4"/>
          <w:sz w:val="18"/>
          <w:szCs w:val="18"/>
          <w:lang w:val="en-US"/>
        </w:rPr>
        <w:t>the different political parties;</w:t>
      </w:r>
      <w:r w:rsidR="008A1B59" w:rsidRPr="00A50E4D">
        <w:rPr>
          <w:spacing w:val="-4"/>
          <w:sz w:val="18"/>
          <w:szCs w:val="18"/>
          <w:lang w:val="en-US"/>
        </w:rPr>
        <w:t xml:space="preserve"> […] added to this, the country’s main newspape</w:t>
      </w:r>
      <w:r w:rsidR="00BD29B4" w:rsidRPr="00A50E4D">
        <w:rPr>
          <w:spacing w:val="-4"/>
          <w:sz w:val="18"/>
          <w:szCs w:val="18"/>
          <w:lang w:val="en-US"/>
        </w:rPr>
        <w:t>rs had mentioned that [his] par</w:t>
      </w:r>
      <w:r w:rsidR="008A1B59" w:rsidRPr="00A50E4D">
        <w:rPr>
          <w:spacing w:val="-4"/>
          <w:sz w:val="18"/>
          <w:szCs w:val="18"/>
          <w:lang w:val="en-US"/>
        </w:rPr>
        <w:t>tic</w:t>
      </w:r>
      <w:r w:rsidR="00BD29B4" w:rsidRPr="00A50E4D">
        <w:rPr>
          <w:spacing w:val="-4"/>
          <w:sz w:val="18"/>
          <w:szCs w:val="18"/>
          <w:lang w:val="en-US"/>
        </w:rPr>
        <w:t>i</w:t>
      </w:r>
      <w:r w:rsidR="008A1B59" w:rsidRPr="00A50E4D">
        <w:rPr>
          <w:spacing w:val="-4"/>
          <w:sz w:val="18"/>
          <w:szCs w:val="18"/>
          <w:lang w:val="en-US"/>
        </w:rPr>
        <w:t xml:space="preserve">pation […] was considered to </w:t>
      </w:r>
      <w:r w:rsidR="00BD29B4" w:rsidRPr="00A50E4D">
        <w:rPr>
          <w:spacing w:val="-4"/>
          <w:sz w:val="18"/>
          <w:szCs w:val="18"/>
          <w:lang w:val="en-US"/>
        </w:rPr>
        <w:t xml:space="preserve">be of a partisan political nature owing to his status as a judge, thus </w:t>
      </w:r>
      <w:r w:rsidRPr="00A50E4D">
        <w:rPr>
          <w:spacing w:val="-4"/>
          <w:sz w:val="18"/>
          <w:szCs w:val="18"/>
          <w:lang w:val="en-US"/>
        </w:rPr>
        <w:t>violating Article 319</w:t>
      </w:r>
      <w:r w:rsidR="00BD29B4" w:rsidRPr="00A50E4D">
        <w:rPr>
          <w:spacing w:val="-4"/>
          <w:sz w:val="18"/>
          <w:szCs w:val="18"/>
          <w:lang w:val="en-US"/>
        </w:rPr>
        <w:t>(2) of the</w:t>
      </w:r>
      <w:r w:rsidRPr="00A50E4D">
        <w:rPr>
          <w:spacing w:val="-4"/>
          <w:sz w:val="18"/>
          <w:szCs w:val="18"/>
          <w:lang w:val="en-US"/>
        </w:rPr>
        <w:t xml:space="preserve"> Constitution […] and article 3</w:t>
      </w:r>
      <w:r w:rsidR="00BD29B4" w:rsidRPr="00A50E4D">
        <w:rPr>
          <w:spacing w:val="-4"/>
          <w:sz w:val="18"/>
          <w:szCs w:val="18"/>
          <w:lang w:val="en-US"/>
        </w:rPr>
        <w:t>(6) of the Law on the Organization and Faculties of the Courts, because this action was incompatible with the exercise of the post of judge, pursuant to the provisions of a</w:t>
      </w:r>
      <w:r w:rsidR="009808C5" w:rsidRPr="00A50E4D">
        <w:rPr>
          <w:spacing w:val="-4"/>
          <w:sz w:val="18"/>
          <w:szCs w:val="18"/>
          <w:lang w:val="en-US"/>
        </w:rPr>
        <w:t>rticle</w:t>
      </w:r>
      <w:r w:rsidR="00930C85" w:rsidRPr="00A50E4D">
        <w:rPr>
          <w:spacing w:val="-4"/>
          <w:sz w:val="18"/>
          <w:szCs w:val="18"/>
          <w:lang w:val="en-US"/>
        </w:rPr>
        <w:t xml:space="preserve"> 49 </w:t>
      </w:r>
      <w:r w:rsidR="004D0F32" w:rsidRPr="00A50E4D">
        <w:rPr>
          <w:spacing w:val="-4"/>
          <w:sz w:val="18"/>
          <w:szCs w:val="18"/>
          <w:lang w:val="en-US"/>
        </w:rPr>
        <w:t>of the Judicial</w:t>
      </w:r>
      <w:r w:rsidR="00277E12" w:rsidRPr="00A50E4D">
        <w:rPr>
          <w:spacing w:val="-4"/>
          <w:sz w:val="18"/>
          <w:szCs w:val="18"/>
          <w:lang w:val="en-US"/>
        </w:rPr>
        <w:t xml:space="preserve"> Service Act</w:t>
      </w:r>
      <w:r w:rsidR="009808C5" w:rsidRPr="00A50E4D">
        <w:rPr>
          <w:spacing w:val="-4"/>
          <w:sz w:val="18"/>
          <w:szCs w:val="18"/>
          <w:lang w:val="en-US"/>
        </w:rPr>
        <w:t xml:space="preserve"> and </w:t>
      </w:r>
      <w:r w:rsidR="00BD29B4" w:rsidRPr="00A50E4D">
        <w:rPr>
          <w:spacing w:val="-4"/>
          <w:sz w:val="18"/>
          <w:szCs w:val="18"/>
          <w:lang w:val="en-US"/>
        </w:rPr>
        <w:t>article 156 of</w:t>
      </w:r>
      <w:r w:rsidR="00930C85" w:rsidRPr="00A50E4D">
        <w:rPr>
          <w:spacing w:val="-4"/>
          <w:sz w:val="18"/>
          <w:szCs w:val="18"/>
          <w:lang w:val="en-US"/>
        </w:rPr>
        <w:t xml:space="preserve"> </w:t>
      </w:r>
      <w:r w:rsidR="00171F4E" w:rsidRPr="00A50E4D">
        <w:rPr>
          <w:spacing w:val="-4"/>
          <w:sz w:val="18"/>
          <w:szCs w:val="18"/>
          <w:lang w:val="en-US"/>
        </w:rPr>
        <w:t>its Regulations</w:t>
      </w:r>
      <w:r w:rsidR="00BD29B4" w:rsidRPr="00A50E4D">
        <w:rPr>
          <w:spacing w:val="-4"/>
          <w:sz w:val="18"/>
          <w:szCs w:val="18"/>
          <w:lang w:val="en-US"/>
        </w:rPr>
        <w:t>.</w:t>
      </w:r>
      <w:r w:rsidR="00930C85" w:rsidRPr="00A50E4D">
        <w:rPr>
          <w:rStyle w:val="FootnoteReference"/>
          <w:rFonts w:cs="Arial"/>
          <w:spacing w:val="-4"/>
          <w:sz w:val="18"/>
          <w:szCs w:val="18"/>
          <w:lang w:val="en-US"/>
        </w:rPr>
        <w:footnoteReference w:id="171"/>
      </w:r>
    </w:p>
    <w:p w14:paraId="440BAEFC" w14:textId="77777777" w:rsidR="00930C85" w:rsidRPr="00A50E4D" w:rsidRDefault="00930C85" w:rsidP="00930C85">
      <w:pPr>
        <w:pStyle w:val="ListParagraph"/>
        <w:numPr>
          <w:ilvl w:val="0"/>
          <w:numId w:val="0"/>
        </w:numPr>
        <w:rPr>
          <w:spacing w:val="-4"/>
          <w:lang w:val="en-US"/>
        </w:rPr>
      </w:pPr>
    </w:p>
    <w:p w14:paraId="0F44DD21" w14:textId="008456AC" w:rsidR="00930C85" w:rsidRPr="00A50E4D" w:rsidRDefault="00BD29B4" w:rsidP="00BD29B4">
      <w:pPr>
        <w:pStyle w:val="PrrafodeSentencia"/>
        <w:rPr>
          <w:lang w:val="en-US"/>
        </w:rPr>
      </w:pPr>
      <w:r w:rsidRPr="00A50E4D">
        <w:rPr>
          <w:lang w:val="en-US"/>
        </w:rPr>
        <w:t>The Council als</w:t>
      </w:r>
      <w:r w:rsidR="00DC3FD7" w:rsidRPr="00A50E4D">
        <w:rPr>
          <w:lang w:val="en-US"/>
        </w:rPr>
        <w:t>o pointed out that, owing to his</w:t>
      </w:r>
      <w:r w:rsidRPr="00A50E4D">
        <w:rPr>
          <w:lang w:val="en-US"/>
        </w:rPr>
        <w:t xml:space="preserve"> participation in the </w:t>
      </w:r>
      <w:r w:rsidR="00DC3FD7" w:rsidRPr="00A50E4D">
        <w:rPr>
          <w:lang w:val="en-US"/>
        </w:rPr>
        <w:t>protest</w:t>
      </w:r>
      <w:r w:rsidRPr="00A50E4D">
        <w:rPr>
          <w:lang w:val="en-US"/>
        </w:rPr>
        <w:t xml:space="preserve"> and the r</w:t>
      </w:r>
      <w:r w:rsidR="00DC3FD7" w:rsidRPr="00A50E4D">
        <w:rPr>
          <w:lang w:val="en-US"/>
        </w:rPr>
        <w:t>eports of this in the press, Mr. López Lone’s “impartiality and i</w:t>
      </w:r>
      <w:r w:rsidRPr="00A50E4D">
        <w:rPr>
          <w:lang w:val="en-US"/>
        </w:rPr>
        <w:t>ndependence would be compromised when he was called upon to hear c</w:t>
      </w:r>
      <w:r w:rsidR="00DC3FD7" w:rsidRPr="00A50E4D">
        <w:rPr>
          <w:lang w:val="en-US"/>
        </w:rPr>
        <w:t>omplaints</w:t>
      </w:r>
      <w:r w:rsidRPr="00A50E4D">
        <w:rPr>
          <w:lang w:val="en-US"/>
        </w:rPr>
        <w:t xml:space="preserve"> filed by citizens with whom he had established a mutual interest in the political process in which they were partners in a common struggle.</w:t>
      </w:r>
      <w:r w:rsidR="00930C85" w:rsidRPr="00A50E4D">
        <w:rPr>
          <w:lang w:val="en-US"/>
        </w:rPr>
        <w:t>”</w:t>
      </w:r>
      <w:r w:rsidR="00930C85" w:rsidRPr="00A50E4D">
        <w:rPr>
          <w:rStyle w:val="FootnoteReference"/>
          <w:rFonts w:cs="Arial"/>
          <w:sz w:val="20"/>
          <w:szCs w:val="20"/>
          <w:lang w:val="en-US"/>
        </w:rPr>
        <w:footnoteReference w:id="172"/>
      </w:r>
    </w:p>
    <w:p w14:paraId="5FE3FDD3" w14:textId="77777777" w:rsidR="00930C85" w:rsidRPr="00A50E4D" w:rsidRDefault="00930C85" w:rsidP="00930C85">
      <w:pPr>
        <w:pStyle w:val="NoSpacing"/>
        <w:tabs>
          <w:tab w:val="left" w:pos="567"/>
        </w:tabs>
        <w:rPr>
          <w:spacing w:val="-4"/>
          <w:szCs w:val="20"/>
          <w:lang w:val="en-US"/>
        </w:rPr>
      </w:pPr>
    </w:p>
    <w:p w14:paraId="488D6264" w14:textId="0107625D" w:rsidR="00930C85" w:rsidRPr="00A50E4D" w:rsidRDefault="00BD29B4" w:rsidP="00930C85">
      <w:pPr>
        <w:pStyle w:val="PrrafodeSentencia"/>
        <w:rPr>
          <w:lang w:val="en-US"/>
        </w:rPr>
      </w:pPr>
      <w:r w:rsidRPr="00A50E4D">
        <w:rPr>
          <w:lang w:val="en-US"/>
        </w:rPr>
        <w:t>Lastly</w:t>
      </w:r>
      <w:r w:rsidR="00DC3FD7" w:rsidRPr="00A50E4D">
        <w:rPr>
          <w:lang w:val="en-US"/>
        </w:rPr>
        <w:t>, the Council underlined that</w:t>
      </w:r>
      <w:r w:rsidRPr="00A50E4D">
        <w:rPr>
          <w:lang w:val="en-US"/>
        </w:rPr>
        <w:t xml:space="preserve"> Mr. López Lone</w:t>
      </w:r>
      <w:r w:rsidR="00DC3FD7" w:rsidRPr="00A50E4D">
        <w:rPr>
          <w:lang w:val="en-US"/>
        </w:rPr>
        <w:t>’s statement at</w:t>
      </w:r>
      <w:r w:rsidRPr="00A50E4D">
        <w:rPr>
          <w:lang w:val="en-US"/>
        </w:rPr>
        <w:t xml:space="preserve"> the hearing</w:t>
      </w:r>
      <w:r w:rsidR="00DC3FD7" w:rsidRPr="00A50E4D">
        <w:rPr>
          <w:lang w:val="en-US"/>
        </w:rPr>
        <w:t>,</w:t>
      </w:r>
      <w:r w:rsidRPr="00A50E4D">
        <w:rPr>
          <w:lang w:val="en-US"/>
        </w:rPr>
        <w:t xml:space="preserve"> </w:t>
      </w:r>
      <w:r w:rsidR="00DC3FD7" w:rsidRPr="00A50E4D">
        <w:rPr>
          <w:lang w:val="en-US"/>
        </w:rPr>
        <w:t>that he had</w:t>
      </w:r>
      <w:r w:rsidRPr="00A50E4D">
        <w:rPr>
          <w:lang w:val="en-US"/>
        </w:rPr>
        <w:t xml:space="preserve"> broken hi</w:t>
      </w:r>
      <w:r w:rsidR="00DC3FD7" w:rsidRPr="00A50E4D">
        <w:rPr>
          <w:lang w:val="en-US"/>
        </w:rPr>
        <w:t xml:space="preserve">s leg during a “human stampede” that occurred at </w:t>
      </w:r>
      <w:r w:rsidRPr="00A50E4D">
        <w:rPr>
          <w:lang w:val="en-US"/>
        </w:rPr>
        <w:t>the demonstration in which he took part</w:t>
      </w:r>
      <w:r w:rsidR="00DC3FD7" w:rsidRPr="00A50E4D">
        <w:rPr>
          <w:lang w:val="en-US"/>
        </w:rPr>
        <w:t>,</w:t>
      </w:r>
      <w:r w:rsidRPr="00A50E4D">
        <w:rPr>
          <w:lang w:val="en-US"/>
        </w:rPr>
        <w:t xml:space="preserve"> “conflicted with </w:t>
      </w:r>
      <w:r w:rsidR="00DC3FD7" w:rsidRPr="00A50E4D">
        <w:rPr>
          <w:lang w:val="en-US"/>
        </w:rPr>
        <w:t xml:space="preserve">the information </w:t>
      </w:r>
      <w:r w:rsidRPr="00A50E4D">
        <w:rPr>
          <w:lang w:val="en-US"/>
        </w:rPr>
        <w:t>he […] had entered on the form to claim medica</w:t>
      </w:r>
      <w:r w:rsidR="00DC3FD7" w:rsidRPr="00A50E4D">
        <w:rPr>
          <w:lang w:val="en-US"/>
        </w:rPr>
        <w:t>l expenses [from the insurance c</w:t>
      </w:r>
      <w:r w:rsidRPr="00A50E4D">
        <w:rPr>
          <w:lang w:val="en-US"/>
        </w:rPr>
        <w:t>ompany].</w:t>
      </w:r>
      <w:r w:rsidR="00930C85" w:rsidRPr="00A50E4D">
        <w:rPr>
          <w:lang w:val="en-US"/>
        </w:rPr>
        <w:t>”</w:t>
      </w:r>
      <w:r w:rsidR="00930C85" w:rsidRPr="00A50E4D">
        <w:rPr>
          <w:rStyle w:val="FootnoteReference"/>
          <w:rFonts w:cs="Arial"/>
          <w:sz w:val="20"/>
          <w:szCs w:val="20"/>
          <w:lang w:val="en-US"/>
        </w:rPr>
        <w:footnoteReference w:id="173"/>
      </w:r>
      <w:r w:rsidRPr="00A50E4D">
        <w:rPr>
          <w:lang w:val="en-US"/>
        </w:rPr>
        <w:t xml:space="preserve"> However, it considered that “this circumstance does not warrant a sanction under </w:t>
      </w:r>
      <w:r w:rsidR="004D0F32" w:rsidRPr="00A50E4D">
        <w:rPr>
          <w:lang w:val="en-US"/>
        </w:rPr>
        <w:t>the Judicial</w:t>
      </w:r>
      <w:r w:rsidR="00277E12" w:rsidRPr="00A50E4D">
        <w:rPr>
          <w:lang w:val="en-US"/>
        </w:rPr>
        <w:t xml:space="preserve"> Service Act</w:t>
      </w:r>
      <w:r w:rsidR="009808C5" w:rsidRPr="00A50E4D">
        <w:rPr>
          <w:lang w:val="en-US"/>
        </w:rPr>
        <w:t xml:space="preserve"> and </w:t>
      </w:r>
      <w:r w:rsidR="00171F4E" w:rsidRPr="00A50E4D">
        <w:rPr>
          <w:lang w:val="en-US"/>
        </w:rPr>
        <w:t>its Regulations</w:t>
      </w:r>
      <w:r w:rsidRPr="00A50E4D">
        <w:rPr>
          <w:lang w:val="en-US"/>
        </w:rPr>
        <w:t xml:space="preserve">, but it should be noted that it ratifies the fact that </w:t>
      </w:r>
      <w:r w:rsidR="00930C85" w:rsidRPr="00A50E4D">
        <w:rPr>
          <w:lang w:val="en-US"/>
        </w:rPr>
        <w:t>[</w:t>
      </w:r>
      <w:r w:rsidR="00FF35A9" w:rsidRPr="00A50E4D">
        <w:rPr>
          <w:lang w:val="en-US"/>
        </w:rPr>
        <w:t>Mr. López</w:t>
      </w:r>
      <w:r w:rsidRPr="00A50E4D">
        <w:rPr>
          <w:lang w:val="en-US"/>
        </w:rPr>
        <w:t xml:space="preserve"> Lone] was not at home, but rather in a partisan political meeting.</w:t>
      </w:r>
      <w:r w:rsidR="00930C85" w:rsidRPr="00A50E4D">
        <w:rPr>
          <w:lang w:val="en-US"/>
        </w:rPr>
        <w:t>”</w:t>
      </w:r>
      <w:r w:rsidR="00930C85" w:rsidRPr="00A50E4D">
        <w:rPr>
          <w:rStyle w:val="FootnoteReference"/>
          <w:rFonts w:cs="Arial"/>
          <w:sz w:val="20"/>
          <w:szCs w:val="20"/>
          <w:lang w:val="en-US"/>
        </w:rPr>
        <w:footnoteReference w:id="174"/>
      </w:r>
    </w:p>
    <w:p w14:paraId="73046EE4" w14:textId="77777777" w:rsidR="00930C85" w:rsidRPr="00A50E4D" w:rsidRDefault="00930C85" w:rsidP="00930C85">
      <w:pPr>
        <w:pStyle w:val="ListParagraph"/>
        <w:numPr>
          <w:ilvl w:val="0"/>
          <w:numId w:val="0"/>
        </w:numPr>
        <w:rPr>
          <w:spacing w:val="-4"/>
          <w:lang w:val="en-US"/>
        </w:rPr>
      </w:pPr>
    </w:p>
    <w:p w14:paraId="0C1F157F" w14:textId="2F1B480F" w:rsidR="00930C85" w:rsidRPr="00A50E4D" w:rsidRDefault="00BD29B4" w:rsidP="00930C85">
      <w:pPr>
        <w:pStyle w:val="PrrafodeSentencia"/>
        <w:rPr>
          <w:lang w:val="en-US"/>
        </w:rPr>
      </w:pPr>
      <w:bookmarkStart w:id="169" w:name="_Ref427318786"/>
      <w:r w:rsidRPr="00A50E4D">
        <w:rPr>
          <w:lang w:val="en-US"/>
        </w:rPr>
        <w:t xml:space="preserve">The Council determined that </w:t>
      </w:r>
      <w:r w:rsidR="0029085B" w:rsidRPr="00A50E4D">
        <w:rPr>
          <w:lang w:val="en-US"/>
        </w:rPr>
        <w:t xml:space="preserve">Mr. </w:t>
      </w:r>
      <w:r w:rsidR="00FF35A9" w:rsidRPr="00A50E4D">
        <w:rPr>
          <w:lang w:val="en-US"/>
        </w:rPr>
        <w:t>López</w:t>
      </w:r>
      <w:r w:rsidR="00930C85" w:rsidRPr="00A50E4D">
        <w:rPr>
          <w:lang w:val="en-US"/>
        </w:rPr>
        <w:t xml:space="preserve"> Lone</w:t>
      </w:r>
      <w:r w:rsidRPr="00A50E4D">
        <w:rPr>
          <w:lang w:val="en-US"/>
        </w:rPr>
        <w:t>’s conduct was</w:t>
      </w:r>
      <w:r w:rsidR="00930C85" w:rsidRPr="00A50E4D">
        <w:rPr>
          <w:lang w:val="en-US"/>
        </w:rPr>
        <w:t>:</w:t>
      </w:r>
      <w:bookmarkEnd w:id="169"/>
      <w:r w:rsidR="00930C85" w:rsidRPr="00A50E4D">
        <w:rPr>
          <w:lang w:val="en-US"/>
        </w:rPr>
        <w:t xml:space="preserve"> </w:t>
      </w:r>
    </w:p>
    <w:p w14:paraId="1F885592" w14:textId="77777777" w:rsidR="00930C85" w:rsidRPr="00A50E4D" w:rsidRDefault="00930C85" w:rsidP="00930C85">
      <w:pPr>
        <w:pStyle w:val="NoSpacing"/>
        <w:tabs>
          <w:tab w:val="left" w:pos="567"/>
        </w:tabs>
        <w:rPr>
          <w:spacing w:val="-4"/>
          <w:sz w:val="16"/>
          <w:szCs w:val="16"/>
          <w:lang w:val="en-US"/>
        </w:rPr>
      </w:pPr>
    </w:p>
    <w:p w14:paraId="4C4790DD" w14:textId="057A7DCC" w:rsidR="00930C85" w:rsidRPr="00A50E4D" w:rsidRDefault="00DC3FD7" w:rsidP="008217D7">
      <w:pPr>
        <w:autoSpaceDE w:val="0"/>
        <w:autoSpaceDN w:val="0"/>
        <w:adjustRightInd w:val="0"/>
        <w:ind w:left="567" w:right="544"/>
        <w:rPr>
          <w:rFonts w:cs="Times New Roman"/>
          <w:spacing w:val="-4"/>
          <w:sz w:val="18"/>
          <w:szCs w:val="18"/>
          <w:lang w:val="en-US"/>
        </w:rPr>
      </w:pPr>
      <w:r w:rsidRPr="00A50E4D">
        <w:rPr>
          <w:rFonts w:cs="Times New Roman"/>
          <w:spacing w:val="-4"/>
          <w:sz w:val="18"/>
          <w:szCs w:val="18"/>
          <w:lang w:val="en-US"/>
        </w:rPr>
        <w:t>C</w:t>
      </w:r>
      <w:r w:rsidR="00930C85" w:rsidRPr="00A50E4D">
        <w:rPr>
          <w:rFonts w:cs="Times New Roman"/>
          <w:spacing w:val="-4"/>
          <w:sz w:val="18"/>
          <w:szCs w:val="18"/>
          <w:lang w:val="en-US"/>
        </w:rPr>
        <w:t>ontr</w:t>
      </w:r>
      <w:r w:rsidR="00BD29B4" w:rsidRPr="00A50E4D">
        <w:rPr>
          <w:rFonts w:cs="Times New Roman"/>
          <w:spacing w:val="-4"/>
          <w:sz w:val="18"/>
          <w:szCs w:val="18"/>
          <w:lang w:val="en-US"/>
        </w:rPr>
        <w:t xml:space="preserve">ary to the provisions of </w:t>
      </w:r>
      <w:r w:rsidR="00314E4B" w:rsidRPr="00A50E4D">
        <w:rPr>
          <w:rFonts w:cs="Times New Roman"/>
          <w:spacing w:val="-4"/>
          <w:sz w:val="18"/>
          <w:szCs w:val="18"/>
          <w:lang w:val="en-US"/>
        </w:rPr>
        <w:t>the Constitution</w:t>
      </w:r>
      <w:r w:rsidR="00930C85" w:rsidRPr="00A50E4D">
        <w:rPr>
          <w:rFonts w:cs="Times New Roman"/>
          <w:spacing w:val="-4"/>
          <w:sz w:val="18"/>
          <w:szCs w:val="18"/>
          <w:lang w:val="en-US"/>
        </w:rPr>
        <w:t xml:space="preserve"> </w:t>
      </w:r>
      <w:r w:rsidR="00700DEC" w:rsidRPr="00A50E4D">
        <w:rPr>
          <w:rFonts w:cs="Times New Roman"/>
          <w:spacing w:val="-4"/>
          <w:sz w:val="18"/>
          <w:szCs w:val="18"/>
          <w:lang w:val="en-US"/>
        </w:rPr>
        <w:t>of the Republic</w:t>
      </w:r>
      <w:r w:rsidR="00BD29B4" w:rsidRPr="00A50E4D">
        <w:rPr>
          <w:rFonts w:cs="Times New Roman"/>
          <w:spacing w:val="-4"/>
          <w:sz w:val="18"/>
          <w:szCs w:val="18"/>
          <w:lang w:val="en-US"/>
        </w:rPr>
        <w:t>,</w:t>
      </w:r>
      <w:r w:rsidR="00930C85" w:rsidRPr="00A50E4D">
        <w:rPr>
          <w:rFonts w:cs="Times New Roman"/>
          <w:spacing w:val="-4"/>
          <w:sz w:val="18"/>
          <w:szCs w:val="18"/>
          <w:lang w:val="en-US"/>
        </w:rPr>
        <w:t xml:space="preserve"> </w:t>
      </w:r>
      <w:r w:rsidR="008217D7" w:rsidRPr="00A50E4D">
        <w:rPr>
          <w:rFonts w:cs="Times New Roman"/>
          <w:spacing w:val="-4"/>
          <w:sz w:val="18"/>
          <w:szCs w:val="18"/>
          <w:lang w:val="en-US"/>
        </w:rPr>
        <w:t xml:space="preserve">in </w:t>
      </w:r>
      <w:r w:rsidR="00930C85" w:rsidRPr="00A50E4D">
        <w:rPr>
          <w:rFonts w:cs="Times New Roman"/>
          <w:spacing w:val="-4"/>
          <w:sz w:val="18"/>
          <w:szCs w:val="18"/>
          <w:lang w:val="en-US"/>
        </w:rPr>
        <w:t>viol</w:t>
      </w:r>
      <w:r w:rsidR="008217D7" w:rsidRPr="00A50E4D">
        <w:rPr>
          <w:rFonts w:cs="Times New Roman"/>
          <w:spacing w:val="-4"/>
          <w:sz w:val="18"/>
          <w:szCs w:val="18"/>
          <w:lang w:val="en-US"/>
        </w:rPr>
        <w:t>ation of its</w:t>
      </w:r>
      <w:r w:rsidR="00BD29B4" w:rsidRPr="00A50E4D">
        <w:rPr>
          <w:rFonts w:cs="Times New Roman"/>
          <w:spacing w:val="-4"/>
          <w:sz w:val="18"/>
          <w:szCs w:val="18"/>
          <w:lang w:val="en-US"/>
        </w:rPr>
        <w:t xml:space="preserve"> a</w:t>
      </w:r>
      <w:r w:rsidR="00F02FB7" w:rsidRPr="00A50E4D">
        <w:rPr>
          <w:rFonts w:cs="Times New Roman"/>
          <w:spacing w:val="-4"/>
          <w:sz w:val="18"/>
          <w:szCs w:val="18"/>
          <w:lang w:val="en-US"/>
        </w:rPr>
        <w:t>rticle</w:t>
      </w:r>
      <w:r w:rsidR="00930C85" w:rsidRPr="00A50E4D">
        <w:rPr>
          <w:rFonts w:cs="Times New Roman"/>
          <w:spacing w:val="-4"/>
          <w:sz w:val="18"/>
          <w:szCs w:val="18"/>
          <w:lang w:val="en-US"/>
        </w:rPr>
        <w:t xml:space="preserve"> 303</w:t>
      </w:r>
      <w:r w:rsidR="00BD29B4" w:rsidRPr="00A50E4D">
        <w:rPr>
          <w:rFonts w:cs="Times New Roman"/>
          <w:spacing w:val="-4"/>
          <w:sz w:val="18"/>
          <w:szCs w:val="18"/>
          <w:lang w:val="en-US"/>
        </w:rPr>
        <w:t xml:space="preserve">, as well as </w:t>
      </w:r>
      <w:r w:rsidR="008217D7" w:rsidRPr="00A50E4D">
        <w:rPr>
          <w:rFonts w:cs="Times New Roman"/>
          <w:spacing w:val="-4"/>
          <w:sz w:val="18"/>
          <w:szCs w:val="18"/>
          <w:lang w:val="en-US"/>
        </w:rPr>
        <w:t xml:space="preserve">of </w:t>
      </w:r>
      <w:r w:rsidR="00BD29B4" w:rsidRPr="00A50E4D">
        <w:rPr>
          <w:rFonts w:cs="Times New Roman"/>
          <w:spacing w:val="-4"/>
          <w:sz w:val="18"/>
          <w:szCs w:val="18"/>
          <w:lang w:val="en-US"/>
        </w:rPr>
        <w:t>articles</w:t>
      </w:r>
      <w:r w:rsidR="00930C85" w:rsidRPr="00A50E4D">
        <w:rPr>
          <w:rFonts w:cs="Times New Roman"/>
          <w:spacing w:val="-4"/>
          <w:sz w:val="18"/>
          <w:szCs w:val="18"/>
          <w:lang w:val="en-US"/>
        </w:rPr>
        <w:t xml:space="preserve"> 55</w:t>
      </w:r>
      <w:r w:rsidR="009808C5" w:rsidRPr="00A50E4D">
        <w:rPr>
          <w:rFonts w:cs="Times New Roman"/>
          <w:spacing w:val="-4"/>
          <w:sz w:val="18"/>
          <w:szCs w:val="18"/>
          <w:lang w:val="en-US"/>
        </w:rPr>
        <w:t xml:space="preserve"> and </w:t>
      </w:r>
      <w:r w:rsidR="00930C85" w:rsidRPr="00A50E4D">
        <w:rPr>
          <w:rFonts w:cs="Times New Roman"/>
          <w:spacing w:val="-4"/>
          <w:sz w:val="18"/>
          <w:szCs w:val="18"/>
          <w:lang w:val="en-US"/>
        </w:rPr>
        <w:t xml:space="preserve">64 </w:t>
      </w:r>
      <w:r w:rsidR="004D0F32" w:rsidRPr="00A50E4D">
        <w:rPr>
          <w:rFonts w:cs="Times New Roman"/>
          <w:spacing w:val="-4"/>
          <w:sz w:val="18"/>
          <w:szCs w:val="18"/>
          <w:lang w:val="en-US"/>
        </w:rPr>
        <w:t>of the Judicial</w:t>
      </w:r>
      <w:r w:rsidR="00277E12" w:rsidRPr="00A50E4D">
        <w:rPr>
          <w:rFonts w:cs="Times New Roman"/>
          <w:spacing w:val="-4"/>
          <w:sz w:val="18"/>
          <w:szCs w:val="18"/>
          <w:lang w:val="en-US"/>
        </w:rPr>
        <w:t xml:space="preserve"> Service Act</w:t>
      </w:r>
      <w:r w:rsidR="00930C85" w:rsidRPr="00A50E4D">
        <w:rPr>
          <w:rFonts w:cs="Times New Roman"/>
          <w:spacing w:val="-4"/>
          <w:sz w:val="18"/>
          <w:szCs w:val="18"/>
          <w:lang w:val="en-US"/>
        </w:rPr>
        <w:t>; 161, 174</w:t>
      </w:r>
      <w:r w:rsidR="009808C5" w:rsidRPr="00A50E4D">
        <w:rPr>
          <w:rFonts w:cs="Times New Roman"/>
          <w:spacing w:val="-4"/>
          <w:sz w:val="18"/>
          <w:szCs w:val="18"/>
          <w:lang w:val="en-US"/>
        </w:rPr>
        <w:t xml:space="preserve"> and </w:t>
      </w:r>
      <w:r w:rsidRPr="00A50E4D">
        <w:rPr>
          <w:rFonts w:cs="Times New Roman"/>
          <w:spacing w:val="-4"/>
          <w:sz w:val="18"/>
          <w:szCs w:val="18"/>
          <w:lang w:val="en-US"/>
        </w:rPr>
        <w:t>187</w:t>
      </w:r>
      <w:r w:rsidR="00BD29B4" w:rsidRPr="00A50E4D">
        <w:rPr>
          <w:rFonts w:cs="Times New Roman"/>
          <w:spacing w:val="-4"/>
          <w:sz w:val="18"/>
          <w:szCs w:val="18"/>
          <w:lang w:val="en-US"/>
        </w:rPr>
        <w:t>(</w:t>
      </w:r>
      <w:r w:rsidR="00930C85" w:rsidRPr="00A50E4D">
        <w:rPr>
          <w:rFonts w:cs="Times New Roman"/>
          <w:spacing w:val="-4"/>
          <w:sz w:val="18"/>
          <w:szCs w:val="18"/>
          <w:lang w:val="en-US"/>
        </w:rPr>
        <w:t>a)</w:t>
      </w:r>
      <w:r w:rsidR="00BD29B4" w:rsidRPr="00A50E4D">
        <w:rPr>
          <w:rFonts w:cs="Times New Roman"/>
          <w:spacing w:val="-4"/>
          <w:sz w:val="18"/>
          <w:szCs w:val="18"/>
          <w:lang w:val="en-US"/>
        </w:rPr>
        <w:t xml:space="preserve"> of the</w:t>
      </w:r>
      <w:r w:rsidR="009808C5" w:rsidRPr="00A50E4D">
        <w:rPr>
          <w:rFonts w:cs="Times New Roman"/>
          <w:spacing w:val="-4"/>
          <w:sz w:val="18"/>
          <w:szCs w:val="18"/>
          <w:lang w:val="en-US"/>
        </w:rPr>
        <w:t xml:space="preserve"> </w:t>
      </w:r>
      <w:r w:rsidR="00BD29B4" w:rsidRPr="00A50E4D">
        <w:rPr>
          <w:rFonts w:cs="Times New Roman"/>
          <w:spacing w:val="-4"/>
          <w:sz w:val="18"/>
          <w:szCs w:val="18"/>
          <w:lang w:val="en-US"/>
        </w:rPr>
        <w:t>Regulations governing</w:t>
      </w:r>
      <w:r w:rsidR="004D0F32" w:rsidRPr="00A50E4D">
        <w:rPr>
          <w:rFonts w:cs="Times New Roman"/>
          <w:spacing w:val="-4"/>
          <w:sz w:val="18"/>
          <w:szCs w:val="18"/>
          <w:lang w:val="en-US"/>
        </w:rPr>
        <w:t xml:space="preserve"> the Judicial</w:t>
      </w:r>
      <w:r w:rsidR="00277E12" w:rsidRPr="00A50E4D">
        <w:rPr>
          <w:rFonts w:cs="Times New Roman"/>
          <w:spacing w:val="-4"/>
          <w:sz w:val="18"/>
          <w:szCs w:val="18"/>
          <w:lang w:val="en-US"/>
        </w:rPr>
        <w:t xml:space="preserve"> Service Act</w:t>
      </w:r>
      <w:r w:rsidR="00BD29B4" w:rsidRPr="00A50E4D">
        <w:rPr>
          <w:rFonts w:cs="Times New Roman"/>
          <w:spacing w:val="-4"/>
          <w:sz w:val="18"/>
          <w:szCs w:val="18"/>
          <w:lang w:val="en-US"/>
        </w:rPr>
        <w:t>, and a</w:t>
      </w:r>
      <w:r w:rsidR="009808C5" w:rsidRPr="00A50E4D">
        <w:rPr>
          <w:rFonts w:cs="Times New Roman"/>
          <w:spacing w:val="-4"/>
          <w:sz w:val="18"/>
          <w:szCs w:val="18"/>
          <w:lang w:val="en-US"/>
        </w:rPr>
        <w:t>rticle</w:t>
      </w:r>
      <w:r w:rsidR="00930C85" w:rsidRPr="00A50E4D">
        <w:rPr>
          <w:rFonts w:cs="Times New Roman"/>
          <w:spacing w:val="-4"/>
          <w:sz w:val="18"/>
          <w:szCs w:val="18"/>
          <w:lang w:val="en-US"/>
        </w:rPr>
        <w:t xml:space="preserve"> 8</w:t>
      </w:r>
      <w:r w:rsidR="00FF35A9" w:rsidRPr="00A50E4D">
        <w:rPr>
          <w:rFonts w:cs="Times New Roman"/>
          <w:spacing w:val="-4"/>
          <w:sz w:val="18"/>
          <w:szCs w:val="18"/>
          <w:lang w:val="en-US"/>
        </w:rPr>
        <w:t xml:space="preserve"> of the </w:t>
      </w:r>
      <w:r w:rsidR="00BD29B4" w:rsidRPr="00A50E4D">
        <w:rPr>
          <w:rFonts w:cs="Times New Roman"/>
          <w:spacing w:val="-4"/>
          <w:sz w:val="18"/>
          <w:szCs w:val="18"/>
          <w:lang w:val="en-US"/>
        </w:rPr>
        <w:t>Code of Ethics for Judicial Officials and Employees</w:t>
      </w:r>
      <w:r w:rsidR="00930C85" w:rsidRPr="00A50E4D">
        <w:rPr>
          <w:rFonts w:cs="Times New Roman"/>
          <w:spacing w:val="-4"/>
          <w:sz w:val="18"/>
          <w:szCs w:val="18"/>
          <w:lang w:val="en-US"/>
        </w:rPr>
        <w:t xml:space="preserve">, </w:t>
      </w:r>
      <w:r w:rsidR="00BD29B4" w:rsidRPr="00A50E4D">
        <w:rPr>
          <w:rFonts w:cs="Times New Roman"/>
          <w:spacing w:val="-4"/>
          <w:sz w:val="18"/>
          <w:szCs w:val="18"/>
          <w:lang w:val="en-US"/>
        </w:rPr>
        <w:t>and conclude</w:t>
      </w:r>
      <w:r w:rsidRPr="00A50E4D">
        <w:rPr>
          <w:rFonts w:cs="Times New Roman"/>
          <w:spacing w:val="-4"/>
          <w:sz w:val="18"/>
          <w:szCs w:val="18"/>
          <w:lang w:val="en-US"/>
        </w:rPr>
        <w:t>[</w:t>
      </w:r>
      <w:r w:rsidR="00BD29B4" w:rsidRPr="00A50E4D">
        <w:rPr>
          <w:rFonts w:cs="Times New Roman"/>
          <w:spacing w:val="-4"/>
          <w:sz w:val="18"/>
          <w:szCs w:val="18"/>
          <w:lang w:val="en-US"/>
        </w:rPr>
        <w:t>d</w:t>
      </w:r>
      <w:r w:rsidRPr="00A50E4D">
        <w:rPr>
          <w:rFonts w:cs="Times New Roman"/>
          <w:spacing w:val="-4"/>
          <w:sz w:val="18"/>
          <w:szCs w:val="18"/>
          <w:lang w:val="en-US"/>
        </w:rPr>
        <w:t>]</w:t>
      </w:r>
      <w:r w:rsidR="00BD29B4" w:rsidRPr="00A50E4D">
        <w:rPr>
          <w:rFonts w:cs="Times New Roman"/>
          <w:spacing w:val="-4"/>
          <w:sz w:val="18"/>
          <w:szCs w:val="18"/>
          <w:lang w:val="en-US"/>
        </w:rPr>
        <w:t xml:space="preserve"> that, on July 5, 2009, the appell</w:t>
      </w:r>
      <w:r w:rsidR="008217D7" w:rsidRPr="00A50E4D">
        <w:rPr>
          <w:rFonts w:cs="Times New Roman"/>
          <w:spacing w:val="-4"/>
          <w:sz w:val="18"/>
          <w:szCs w:val="18"/>
          <w:lang w:val="en-US"/>
        </w:rPr>
        <w:t>ant took part</w:t>
      </w:r>
      <w:r w:rsidR="00BD29B4" w:rsidRPr="00A50E4D">
        <w:rPr>
          <w:rFonts w:cs="Times New Roman"/>
          <w:spacing w:val="-4"/>
          <w:sz w:val="18"/>
          <w:szCs w:val="18"/>
          <w:lang w:val="en-US"/>
        </w:rPr>
        <w:t xml:space="preserve"> in the p</w:t>
      </w:r>
      <w:r w:rsidR="008217D7" w:rsidRPr="00A50E4D">
        <w:rPr>
          <w:rFonts w:cs="Times New Roman"/>
          <w:spacing w:val="-4"/>
          <w:sz w:val="18"/>
          <w:szCs w:val="18"/>
          <w:lang w:val="en-US"/>
        </w:rPr>
        <w:t xml:space="preserve">artisan political demonstration organized near the </w:t>
      </w:r>
      <w:r w:rsidR="00E678F7" w:rsidRPr="00A50E4D">
        <w:rPr>
          <w:rFonts w:cs="Times New Roman"/>
          <w:spacing w:val="-4"/>
          <w:sz w:val="18"/>
          <w:szCs w:val="18"/>
          <w:lang w:val="en-US"/>
        </w:rPr>
        <w:t>Toncontin</w:t>
      </w:r>
      <w:r w:rsidR="008217D7" w:rsidRPr="00A50E4D">
        <w:rPr>
          <w:rFonts w:cs="Times New Roman"/>
          <w:spacing w:val="-4"/>
          <w:sz w:val="18"/>
          <w:szCs w:val="18"/>
          <w:lang w:val="en-US"/>
        </w:rPr>
        <w:t xml:space="preserve"> Airport with flags of the different political parties of diverse ideologies represented there, which resulted in his dismissal pursuant to Decision No</w:t>
      </w:r>
      <w:r w:rsidR="00930C85" w:rsidRPr="00A50E4D">
        <w:rPr>
          <w:rFonts w:cs="Times New Roman"/>
          <w:spacing w:val="-4"/>
          <w:sz w:val="18"/>
          <w:szCs w:val="18"/>
          <w:lang w:val="en-US"/>
        </w:rPr>
        <w:t xml:space="preserve">. 371 </w:t>
      </w:r>
      <w:r w:rsidR="008217D7" w:rsidRPr="00A50E4D">
        <w:rPr>
          <w:rFonts w:cs="Times New Roman"/>
          <w:spacing w:val="-4"/>
          <w:sz w:val="18"/>
          <w:szCs w:val="18"/>
          <w:lang w:val="en-US"/>
        </w:rPr>
        <w:t>of June 16,</w:t>
      </w:r>
      <w:r w:rsidR="00FF35A9" w:rsidRPr="00A50E4D">
        <w:rPr>
          <w:rFonts w:cs="Times New Roman"/>
          <w:spacing w:val="-4"/>
          <w:sz w:val="18"/>
          <w:szCs w:val="18"/>
          <w:lang w:val="en-US"/>
        </w:rPr>
        <w:t xml:space="preserve"> </w:t>
      </w:r>
      <w:r w:rsidR="00930C85" w:rsidRPr="00A50E4D">
        <w:rPr>
          <w:rFonts w:cs="Times New Roman"/>
          <w:spacing w:val="-4"/>
          <w:sz w:val="18"/>
          <w:szCs w:val="18"/>
          <w:lang w:val="en-US"/>
        </w:rPr>
        <w:t>2009</w:t>
      </w:r>
      <w:r w:rsidR="008217D7" w:rsidRPr="00A50E4D">
        <w:rPr>
          <w:rFonts w:cs="Times New Roman"/>
          <w:spacing w:val="-4"/>
          <w:sz w:val="18"/>
          <w:szCs w:val="18"/>
          <w:lang w:val="en-US"/>
        </w:rPr>
        <w:t>,</w:t>
      </w:r>
      <w:r w:rsidR="00930C85" w:rsidRPr="00A50E4D">
        <w:rPr>
          <w:rFonts w:cs="Times New Roman"/>
          <w:spacing w:val="-4"/>
          <w:sz w:val="18"/>
          <w:szCs w:val="18"/>
          <w:lang w:val="en-US"/>
        </w:rPr>
        <w:t xml:space="preserve"> </w:t>
      </w:r>
      <w:r w:rsidR="008217D7" w:rsidRPr="00A50E4D">
        <w:rPr>
          <w:rFonts w:cs="Times New Roman"/>
          <w:spacing w:val="-4"/>
          <w:sz w:val="18"/>
          <w:szCs w:val="18"/>
          <w:lang w:val="en-US"/>
        </w:rPr>
        <w:t>issued by</w:t>
      </w:r>
      <w:r w:rsidR="00930C85" w:rsidRPr="00A50E4D">
        <w:rPr>
          <w:rFonts w:cs="Times New Roman"/>
          <w:spacing w:val="-4"/>
          <w:sz w:val="18"/>
          <w:szCs w:val="18"/>
          <w:lang w:val="en-US"/>
        </w:rPr>
        <w:t xml:space="preserve"> </w:t>
      </w:r>
      <w:r w:rsidR="009808C5" w:rsidRPr="00A50E4D">
        <w:rPr>
          <w:rFonts w:cs="Times New Roman"/>
          <w:spacing w:val="-4"/>
          <w:sz w:val="18"/>
          <w:szCs w:val="18"/>
          <w:lang w:val="en-US"/>
        </w:rPr>
        <w:t xml:space="preserve">the </w:t>
      </w:r>
      <w:r w:rsidR="00371BB7" w:rsidRPr="00A50E4D">
        <w:rPr>
          <w:rFonts w:cs="Times New Roman"/>
          <w:spacing w:val="-4"/>
          <w:sz w:val="18"/>
          <w:szCs w:val="18"/>
          <w:lang w:val="en-US"/>
        </w:rPr>
        <w:t>Supreme Court of Justice</w:t>
      </w:r>
      <w:r w:rsidR="008217D7" w:rsidRPr="00A50E4D">
        <w:rPr>
          <w:rFonts w:cs="Times New Roman"/>
          <w:spacing w:val="-4"/>
          <w:sz w:val="18"/>
          <w:szCs w:val="18"/>
          <w:lang w:val="en-US"/>
        </w:rPr>
        <w:t>.</w:t>
      </w:r>
      <w:r w:rsidR="00930C85" w:rsidRPr="00A50E4D">
        <w:rPr>
          <w:rStyle w:val="FootnoteReference"/>
          <w:rFonts w:cs="Arial"/>
          <w:spacing w:val="-4"/>
          <w:sz w:val="18"/>
          <w:szCs w:val="18"/>
          <w:lang w:val="en-US"/>
        </w:rPr>
        <w:footnoteReference w:id="175"/>
      </w:r>
    </w:p>
    <w:p w14:paraId="708D4B6B" w14:textId="77777777" w:rsidR="00930C85" w:rsidRPr="00A50E4D" w:rsidRDefault="00930C85" w:rsidP="00930C85">
      <w:pPr>
        <w:autoSpaceDE w:val="0"/>
        <w:autoSpaceDN w:val="0"/>
        <w:adjustRightInd w:val="0"/>
        <w:ind w:left="567" w:right="544"/>
        <w:rPr>
          <w:rFonts w:cs="Times New Roman"/>
          <w:spacing w:val="-4"/>
          <w:sz w:val="16"/>
          <w:szCs w:val="16"/>
          <w:lang w:val="en-US"/>
        </w:rPr>
      </w:pPr>
    </w:p>
    <w:p w14:paraId="77933F9A" w14:textId="494C9A6A" w:rsidR="00930C85" w:rsidRPr="00A50E4D" w:rsidRDefault="009808C5" w:rsidP="00930C85">
      <w:pPr>
        <w:pStyle w:val="PrrafodeSentencia"/>
        <w:rPr>
          <w:lang w:val="en-US"/>
        </w:rPr>
      </w:pPr>
      <w:bookmarkStart w:id="170" w:name="_Ref424563263"/>
      <w:r w:rsidRPr="00A50E4D">
        <w:rPr>
          <w:lang w:val="en-US"/>
        </w:rPr>
        <w:t>Article</w:t>
      </w:r>
      <w:r w:rsidR="00930C85" w:rsidRPr="00A50E4D">
        <w:rPr>
          <w:lang w:val="en-US"/>
        </w:rPr>
        <w:t xml:space="preserve"> 31</w:t>
      </w:r>
      <w:r w:rsidRPr="00A50E4D">
        <w:rPr>
          <w:lang w:val="en-US"/>
        </w:rPr>
        <w:t xml:space="preserve"> of </w:t>
      </w:r>
      <w:r w:rsidR="006A756C" w:rsidRPr="00A50E4D">
        <w:rPr>
          <w:lang w:val="en-US"/>
        </w:rPr>
        <w:t xml:space="preserve">the </w:t>
      </w:r>
      <w:r w:rsidR="000E6A0D" w:rsidRPr="00A50E4D">
        <w:rPr>
          <w:lang w:val="en-US"/>
        </w:rPr>
        <w:t>rules of procedure</w:t>
      </w:r>
      <w:r w:rsidR="00EB6155" w:rsidRPr="00A50E4D">
        <w:rPr>
          <w:lang w:val="en-US"/>
        </w:rPr>
        <w:t xml:space="preserve"> o</w:t>
      </w:r>
      <w:r w:rsidR="00DC3FD7" w:rsidRPr="00A50E4D">
        <w:rPr>
          <w:lang w:val="en-US"/>
        </w:rPr>
        <w:t xml:space="preserve">f the Judicial Service Council </w:t>
      </w:r>
      <w:r w:rsidR="00930C85" w:rsidRPr="00A50E4D">
        <w:rPr>
          <w:lang w:val="en-US"/>
        </w:rPr>
        <w:t>establ</w:t>
      </w:r>
      <w:r w:rsidR="008217D7" w:rsidRPr="00A50E4D">
        <w:rPr>
          <w:lang w:val="en-US"/>
        </w:rPr>
        <w:t xml:space="preserve">ished that there could be no appeal against this decision </w:t>
      </w:r>
      <w:r w:rsidR="00930C85" w:rsidRPr="00A50E4D">
        <w:rPr>
          <w:lang w:val="en-US"/>
        </w:rPr>
        <w:t>(</w:t>
      </w:r>
      <w:r w:rsidR="00930C85" w:rsidRPr="00A50E4D">
        <w:rPr>
          <w:i/>
          <w:lang w:val="en-US"/>
        </w:rPr>
        <w:t xml:space="preserve">supra </w:t>
      </w:r>
      <w:r w:rsidR="00AD5EE7" w:rsidRPr="00A50E4D">
        <w:rPr>
          <w:lang w:val="en-US"/>
        </w:rPr>
        <w:t>paras.</w:t>
      </w:r>
      <w:r w:rsidR="00930C85" w:rsidRPr="00A50E4D">
        <w:rPr>
          <w:lang w:val="en-US"/>
        </w:rPr>
        <w:t xml:space="preserve"> </w:t>
      </w:r>
      <w:r w:rsidR="00930C85" w:rsidRPr="00914F55">
        <w:rPr>
          <w:rFonts w:cs="Arial"/>
          <w:szCs w:val="20"/>
          <w:lang w:val="en-US"/>
        </w:rPr>
        <w:fldChar w:fldCharType="begin"/>
      </w:r>
      <w:r w:rsidR="00930C85" w:rsidRPr="00A50E4D">
        <w:rPr>
          <w:rFonts w:cs="Arial"/>
          <w:szCs w:val="20"/>
          <w:lang w:val="en-US"/>
        </w:rPr>
        <w:instrText xml:space="preserve"> REF _Ref431408772 \r \h  \* MERGEFORMAT </w:instrText>
      </w:r>
      <w:r w:rsidR="00930C85" w:rsidRPr="00914F55">
        <w:rPr>
          <w:rFonts w:cs="Arial"/>
          <w:szCs w:val="20"/>
          <w:lang w:val="en-US"/>
        </w:rPr>
      </w:r>
      <w:r w:rsidR="00930C85" w:rsidRPr="00914F55">
        <w:rPr>
          <w:rFonts w:cs="Arial"/>
          <w:szCs w:val="20"/>
          <w:lang w:val="en-US"/>
        </w:rPr>
        <w:fldChar w:fldCharType="separate"/>
      </w:r>
      <w:r w:rsidR="00547588">
        <w:rPr>
          <w:rFonts w:cs="Arial"/>
          <w:szCs w:val="20"/>
          <w:lang w:val="en-US"/>
        </w:rPr>
        <w:t>26</w:t>
      </w:r>
      <w:r w:rsidR="00930C85" w:rsidRPr="00914F55">
        <w:rPr>
          <w:rFonts w:cs="Arial"/>
          <w:szCs w:val="20"/>
          <w:lang w:val="en-US"/>
        </w:rPr>
        <w:fldChar w:fldCharType="end"/>
      </w:r>
      <w:r w:rsidRPr="00A50E4D">
        <w:rPr>
          <w:rFonts w:cs="Arial"/>
          <w:szCs w:val="20"/>
          <w:lang w:val="en-US"/>
        </w:rPr>
        <w:t xml:space="preserve"> and </w:t>
      </w:r>
      <w:r w:rsidR="00930C85" w:rsidRPr="00914F55">
        <w:rPr>
          <w:rFonts w:cs="Arial"/>
          <w:szCs w:val="20"/>
          <w:lang w:val="en-US"/>
        </w:rPr>
        <w:fldChar w:fldCharType="begin"/>
      </w:r>
      <w:r w:rsidR="00930C85" w:rsidRPr="00A50E4D">
        <w:rPr>
          <w:rFonts w:cs="Arial"/>
          <w:szCs w:val="20"/>
          <w:lang w:val="en-US"/>
        </w:rPr>
        <w:instrText xml:space="preserve"> REF _Ref431409318 \r \h  \* MERGEFORMAT </w:instrText>
      </w:r>
      <w:r w:rsidR="00930C85" w:rsidRPr="00914F55">
        <w:rPr>
          <w:rFonts w:cs="Arial"/>
          <w:szCs w:val="20"/>
          <w:lang w:val="en-US"/>
        </w:rPr>
      </w:r>
      <w:r w:rsidR="00930C85" w:rsidRPr="00914F55">
        <w:rPr>
          <w:rFonts w:cs="Arial"/>
          <w:szCs w:val="20"/>
          <w:lang w:val="en-US"/>
        </w:rPr>
        <w:fldChar w:fldCharType="separate"/>
      </w:r>
      <w:r w:rsidR="00547588">
        <w:rPr>
          <w:rFonts w:cs="Arial"/>
          <w:szCs w:val="20"/>
          <w:lang w:val="en-US"/>
        </w:rPr>
        <w:t>85</w:t>
      </w:r>
      <w:r w:rsidR="00930C85" w:rsidRPr="00914F55">
        <w:rPr>
          <w:rFonts w:cs="Arial"/>
          <w:szCs w:val="20"/>
          <w:lang w:val="en-US"/>
        </w:rPr>
        <w:fldChar w:fldCharType="end"/>
      </w:r>
      <w:r w:rsidR="00930C85" w:rsidRPr="00A50E4D">
        <w:rPr>
          <w:rFonts w:cs="Arial"/>
          <w:szCs w:val="20"/>
          <w:lang w:val="en-US"/>
        </w:rPr>
        <w:t>)</w:t>
      </w:r>
      <w:r w:rsidR="00930C85" w:rsidRPr="00A50E4D">
        <w:rPr>
          <w:lang w:val="en-US"/>
        </w:rPr>
        <w:t xml:space="preserve">. </w:t>
      </w:r>
      <w:r w:rsidR="008217D7" w:rsidRPr="00A50E4D">
        <w:rPr>
          <w:lang w:val="en-US"/>
        </w:rPr>
        <w:t>On December 12,</w:t>
      </w:r>
      <w:r w:rsidR="00930C85" w:rsidRPr="00A50E4D">
        <w:rPr>
          <w:lang w:val="en-US"/>
        </w:rPr>
        <w:t xml:space="preserve"> 2011</w:t>
      </w:r>
      <w:r w:rsidR="008217D7" w:rsidRPr="00A50E4D">
        <w:rPr>
          <w:lang w:val="en-US"/>
        </w:rPr>
        <w:t>,</w:t>
      </w:r>
      <w:r w:rsidR="00930C85" w:rsidRPr="00A50E4D">
        <w:rPr>
          <w:lang w:val="en-US"/>
        </w:rPr>
        <w:t xml:space="preserve"> </w:t>
      </w:r>
      <w:r w:rsidR="006A756C" w:rsidRPr="00A50E4D">
        <w:rPr>
          <w:lang w:val="en-US"/>
        </w:rPr>
        <w:t>the Judicial Service Council</w:t>
      </w:r>
      <w:r w:rsidR="00930C85" w:rsidRPr="00A50E4D">
        <w:rPr>
          <w:lang w:val="en-US"/>
        </w:rPr>
        <w:t xml:space="preserve"> </w:t>
      </w:r>
      <w:r w:rsidR="008217D7" w:rsidRPr="00A50E4D">
        <w:rPr>
          <w:lang w:val="en-US"/>
        </w:rPr>
        <w:t>placed on record that the sixty days granted to the parties by the Constitutional Justice Act had elapsed and no appea</w:t>
      </w:r>
      <w:r w:rsidR="00DC3FD7" w:rsidRPr="00A50E4D">
        <w:rPr>
          <w:lang w:val="en-US"/>
        </w:rPr>
        <w:t>l had been filed</w:t>
      </w:r>
      <w:r w:rsidR="008217D7" w:rsidRPr="00A50E4D">
        <w:rPr>
          <w:lang w:val="en-US"/>
        </w:rPr>
        <w:t xml:space="preserve"> and</w:t>
      </w:r>
      <w:r w:rsidR="00DC3FD7" w:rsidRPr="00A50E4D">
        <w:rPr>
          <w:lang w:val="en-US"/>
        </w:rPr>
        <w:t xml:space="preserve"> that,</w:t>
      </w:r>
      <w:r w:rsidR="008217D7" w:rsidRPr="00A50E4D">
        <w:rPr>
          <w:lang w:val="en-US"/>
        </w:rPr>
        <w:t xml:space="preserve"> therefore</w:t>
      </w:r>
      <w:r w:rsidR="00DC3FD7" w:rsidRPr="00A50E4D">
        <w:rPr>
          <w:lang w:val="en-US"/>
        </w:rPr>
        <w:t>, it</w:t>
      </w:r>
      <w:r w:rsidR="008217D7" w:rsidRPr="00A50E4D">
        <w:rPr>
          <w:lang w:val="en-US"/>
        </w:rPr>
        <w:t xml:space="preserve"> proceeded to archive the proceedings.</w:t>
      </w:r>
      <w:r w:rsidR="00930C85" w:rsidRPr="00A50E4D">
        <w:rPr>
          <w:rStyle w:val="FootnoteReference"/>
          <w:rFonts w:cs="Arial"/>
          <w:sz w:val="20"/>
          <w:szCs w:val="20"/>
          <w:lang w:val="en-US"/>
        </w:rPr>
        <w:footnoteReference w:id="176"/>
      </w:r>
      <w:bookmarkEnd w:id="170"/>
    </w:p>
    <w:p w14:paraId="66FC0156" w14:textId="77777777" w:rsidR="00930C85" w:rsidRPr="00A50E4D" w:rsidRDefault="00930C85" w:rsidP="00930C85">
      <w:pPr>
        <w:pStyle w:val="NoSpacing"/>
        <w:tabs>
          <w:tab w:val="left" w:pos="567"/>
        </w:tabs>
        <w:rPr>
          <w:spacing w:val="-4"/>
          <w:szCs w:val="20"/>
          <w:lang w:val="en-US"/>
        </w:rPr>
      </w:pPr>
    </w:p>
    <w:p w14:paraId="6CCC2CF6" w14:textId="62BEDCC9" w:rsidR="00930C85" w:rsidRPr="00914F55" w:rsidRDefault="00930C85" w:rsidP="00930C85">
      <w:pPr>
        <w:pStyle w:val="Heading3"/>
        <w:rPr>
          <w:spacing w:val="-4"/>
          <w:szCs w:val="20"/>
        </w:rPr>
      </w:pPr>
      <w:bookmarkStart w:id="171" w:name="_Toc424834704"/>
      <w:bookmarkStart w:id="172" w:name="_Toc431584631"/>
      <w:bookmarkStart w:id="173" w:name="_Toc471717264"/>
      <w:r w:rsidRPr="00914F55">
        <w:rPr>
          <w:spacing w:val="-4"/>
          <w:szCs w:val="20"/>
        </w:rPr>
        <w:t xml:space="preserve">C.2) </w:t>
      </w:r>
      <w:r w:rsidR="008217D7" w:rsidRPr="00914F55">
        <w:rPr>
          <w:spacing w:val="-4"/>
          <w:szCs w:val="20"/>
        </w:rPr>
        <w:t>Tirza del Carmen</w:t>
      </w:r>
      <w:r w:rsidRPr="00914F55">
        <w:rPr>
          <w:spacing w:val="-4"/>
          <w:szCs w:val="20"/>
        </w:rPr>
        <w:t xml:space="preserve"> Flores Lanza</w:t>
      </w:r>
      <w:bookmarkEnd w:id="171"/>
      <w:bookmarkEnd w:id="172"/>
      <w:bookmarkEnd w:id="173"/>
    </w:p>
    <w:p w14:paraId="6FE5C8B5" w14:textId="77777777" w:rsidR="00930C85" w:rsidRPr="00914F55" w:rsidRDefault="00930C85" w:rsidP="00930C85">
      <w:pPr>
        <w:pStyle w:val="NoSpacing"/>
        <w:tabs>
          <w:tab w:val="left" w:pos="567"/>
        </w:tabs>
        <w:rPr>
          <w:spacing w:val="-4"/>
          <w:szCs w:val="20"/>
        </w:rPr>
      </w:pPr>
    </w:p>
    <w:p w14:paraId="5D51C4F5" w14:textId="0EDB485C" w:rsidR="00930C85" w:rsidRPr="00A50E4D" w:rsidRDefault="008217D7" w:rsidP="00930C85">
      <w:pPr>
        <w:pStyle w:val="PrrafodeSentencia"/>
        <w:rPr>
          <w:lang w:val="en-US"/>
        </w:rPr>
      </w:pPr>
      <w:bookmarkStart w:id="174" w:name="_Ref424570469"/>
      <w:r w:rsidRPr="00A50E4D">
        <w:rPr>
          <w:lang w:val="en-US"/>
        </w:rPr>
        <w:t>Tirza del Carmen</w:t>
      </w:r>
      <w:r w:rsidR="00930C85" w:rsidRPr="00A50E4D">
        <w:rPr>
          <w:lang w:val="en-US"/>
        </w:rPr>
        <w:t xml:space="preserve"> Flores Lanza </w:t>
      </w:r>
      <w:r w:rsidRPr="00A50E4D">
        <w:rPr>
          <w:lang w:val="en-US"/>
        </w:rPr>
        <w:t xml:space="preserve">was born on August 5, </w:t>
      </w:r>
      <w:r w:rsidR="00930C85" w:rsidRPr="00A50E4D">
        <w:rPr>
          <w:lang w:val="en-US"/>
        </w:rPr>
        <w:t>1964</w:t>
      </w:r>
      <w:r w:rsidRPr="00A50E4D">
        <w:rPr>
          <w:lang w:val="en-US"/>
        </w:rPr>
        <w:t>,</w:t>
      </w:r>
      <w:r w:rsidR="00930C85" w:rsidRPr="00A50E4D">
        <w:rPr>
          <w:rStyle w:val="FootnoteReference"/>
          <w:rFonts w:cs="Arial"/>
          <w:sz w:val="20"/>
          <w:szCs w:val="20"/>
          <w:lang w:val="en-US"/>
        </w:rPr>
        <w:footnoteReference w:id="177"/>
      </w:r>
      <w:r w:rsidR="009808C5" w:rsidRPr="00A50E4D">
        <w:rPr>
          <w:lang w:val="en-US"/>
        </w:rPr>
        <w:t xml:space="preserve"> and </w:t>
      </w:r>
      <w:r w:rsidRPr="00A50E4D">
        <w:rPr>
          <w:lang w:val="en-US"/>
        </w:rPr>
        <w:t>is married to</w:t>
      </w:r>
      <w:r w:rsidR="00930C85" w:rsidRPr="00A50E4D">
        <w:rPr>
          <w:lang w:val="en-US"/>
        </w:rPr>
        <w:t xml:space="preserve"> </w:t>
      </w:r>
      <w:r w:rsidR="00FF35A9" w:rsidRPr="00A50E4D">
        <w:rPr>
          <w:lang w:val="en-US"/>
        </w:rPr>
        <w:t>Mr. López</w:t>
      </w:r>
      <w:r w:rsidR="00930C85" w:rsidRPr="00A50E4D">
        <w:rPr>
          <w:lang w:val="en-US"/>
        </w:rPr>
        <w:t xml:space="preserve"> Lone</w:t>
      </w:r>
      <w:r w:rsidR="004D7137" w:rsidRPr="00A50E4D">
        <w:rPr>
          <w:lang w:val="en-US"/>
        </w:rPr>
        <w:t xml:space="preserve"> (</w:t>
      </w:r>
      <w:r w:rsidR="004D7137" w:rsidRPr="00A50E4D">
        <w:rPr>
          <w:i/>
          <w:lang w:val="en-US"/>
        </w:rPr>
        <w:t xml:space="preserve">supra </w:t>
      </w:r>
      <w:r w:rsidR="00AD5EE7" w:rsidRPr="00A50E4D">
        <w:rPr>
          <w:lang w:val="en-US"/>
        </w:rPr>
        <w:t>para.</w:t>
      </w:r>
      <w:r w:rsidR="004D7137" w:rsidRPr="00A50E4D">
        <w:rPr>
          <w:lang w:val="en-US"/>
        </w:rPr>
        <w:t xml:space="preserve"> </w:t>
      </w:r>
      <w:r w:rsidR="004D7137" w:rsidRPr="00914F55">
        <w:rPr>
          <w:lang w:val="en-US"/>
        </w:rPr>
        <w:fldChar w:fldCharType="begin"/>
      </w:r>
      <w:r w:rsidR="004D7137" w:rsidRPr="00A50E4D">
        <w:rPr>
          <w:lang w:val="en-US"/>
        </w:rPr>
        <w:instrText xml:space="preserve"> REF _Ref425954384 \r \h </w:instrText>
      </w:r>
      <w:r w:rsidR="00EA20A5" w:rsidRPr="00A50E4D">
        <w:rPr>
          <w:lang w:val="en-US"/>
        </w:rPr>
        <w:instrText xml:space="preserve"> \* MERGEFORMAT </w:instrText>
      </w:r>
      <w:r w:rsidR="004D7137" w:rsidRPr="00914F55">
        <w:rPr>
          <w:lang w:val="en-US"/>
        </w:rPr>
      </w:r>
      <w:r w:rsidR="004D7137" w:rsidRPr="00914F55">
        <w:rPr>
          <w:lang w:val="en-US"/>
        </w:rPr>
        <w:fldChar w:fldCharType="separate"/>
      </w:r>
      <w:r w:rsidR="00547588">
        <w:rPr>
          <w:lang w:val="en-US"/>
        </w:rPr>
        <w:t>86</w:t>
      </w:r>
      <w:r w:rsidR="004D7137" w:rsidRPr="00914F55">
        <w:rPr>
          <w:lang w:val="en-US"/>
        </w:rPr>
        <w:fldChar w:fldCharType="end"/>
      </w:r>
      <w:r w:rsidR="004D7137" w:rsidRPr="00A50E4D">
        <w:rPr>
          <w:lang w:val="en-US"/>
        </w:rPr>
        <w:t>)</w:t>
      </w:r>
      <w:r w:rsidRPr="00A50E4D">
        <w:rPr>
          <w:lang w:val="en-US"/>
        </w:rPr>
        <w:t>.</w:t>
      </w:r>
      <w:r w:rsidR="00930C85" w:rsidRPr="00A50E4D">
        <w:rPr>
          <w:rStyle w:val="FootnoteReference"/>
          <w:rFonts w:cs="Arial"/>
          <w:sz w:val="20"/>
          <w:szCs w:val="20"/>
          <w:lang w:val="en-US"/>
        </w:rPr>
        <w:footnoteReference w:id="178"/>
      </w:r>
      <w:r w:rsidRPr="00A50E4D">
        <w:rPr>
          <w:lang w:val="en-US"/>
        </w:rPr>
        <w:t xml:space="preserve"> From June 11, 2002, until July 1, 2010, she was a justice of the District </w:t>
      </w:r>
      <w:r w:rsidR="000A786A" w:rsidRPr="00A50E4D">
        <w:rPr>
          <w:lang w:val="en-US"/>
        </w:rPr>
        <w:t>Appellate</w:t>
      </w:r>
      <w:r w:rsidRPr="00A50E4D">
        <w:rPr>
          <w:lang w:val="en-US"/>
        </w:rPr>
        <w:t xml:space="preserve"> Court of </w:t>
      </w:r>
      <w:r w:rsidR="00930C85" w:rsidRPr="00A50E4D">
        <w:rPr>
          <w:lang w:val="en-US"/>
        </w:rPr>
        <w:t>San Pedro Sula</w:t>
      </w:r>
      <w:r w:rsidRPr="00A50E4D">
        <w:rPr>
          <w:lang w:val="en-US"/>
        </w:rPr>
        <w:t>.</w:t>
      </w:r>
      <w:r w:rsidR="00930C85" w:rsidRPr="00A50E4D">
        <w:rPr>
          <w:rStyle w:val="FootnoteReference"/>
          <w:rFonts w:cs="Arial"/>
          <w:sz w:val="20"/>
          <w:szCs w:val="20"/>
          <w:lang w:val="en-US"/>
        </w:rPr>
        <w:footnoteReference w:id="179"/>
      </w:r>
      <w:r w:rsidR="00930C85" w:rsidRPr="00A50E4D">
        <w:rPr>
          <w:lang w:val="en-US"/>
        </w:rPr>
        <w:t xml:space="preserve"> </w:t>
      </w:r>
      <w:r w:rsidR="00F82AC3" w:rsidRPr="00A50E4D">
        <w:rPr>
          <w:lang w:val="en-US"/>
        </w:rPr>
        <w:t>She was</w:t>
      </w:r>
      <w:r w:rsidRPr="00A50E4D">
        <w:rPr>
          <w:lang w:val="en-US"/>
        </w:rPr>
        <w:t xml:space="preserve"> a founding member </w:t>
      </w:r>
      <w:r w:rsidR="00FF35A9" w:rsidRPr="00A50E4D">
        <w:rPr>
          <w:lang w:val="en-US"/>
        </w:rPr>
        <w:t xml:space="preserve">of the </w:t>
      </w:r>
      <w:r w:rsidR="00930C85" w:rsidRPr="00A50E4D">
        <w:rPr>
          <w:lang w:val="en-US"/>
        </w:rPr>
        <w:t>AJD</w:t>
      </w:r>
      <w:r w:rsidR="009808C5" w:rsidRPr="00A50E4D">
        <w:rPr>
          <w:lang w:val="en-US"/>
        </w:rPr>
        <w:t xml:space="preserve"> and</w:t>
      </w:r>
      <w:r w:rsidRPr="00A50E4D">
        <w:rPr>
          <w:lang w:val="en-US"/>
        </w:rPr>
        <w:t>, at the time of the events, she was a member of the</w:t>
      </w:r>
      <w:r w:rsidR="00A23598" w:rsidRPr="00A50E4D">
        <w:rPr>
          <w:lang w:val="en-US"/>
        </w:rPr>
        <w:t xml:space="preserve"> association’s Honor Tribunal.</w:t>
      </w:r>
      <w:r w:rsidR="00930C85" w:rsidRPr="00A50E4D">
        <w:rPr>
          <w:rStyle w:val="FootnoteReference"/>
          <w:rFonts w:cs="Arial"/>
          <w:sz w:val="20"/>
          <w:szCs w:val="20"/>
          <w:lang w:val="en-US"/>
        </w:rPr>
        <w:footnoteReference w:id="180"/>
      </w:r>
      <w:bookmarkEnd w:id="174"/>
    </w:p>
    <w:p w14:paraId="24FDD8ED" w14:textId="77777777" w:rsidR="00930C85" w:rsidRPr="00A50E4D" w:rsidRDefault="00930C85" w:rsidP="00930C85">
      <w:pPr>
        <w:pStyle w:val="NoSpacing"/>
        <w:tabs>
          <w:tab w:val="left" w:pos="567"/>
        </w:tabs>
        <w:rPr>
          <w:spacing w:val="-4"/>
          <w:szCs w:val="20"/>
          <w:lang w:val="en-US"/>
        </w:rPr>
      </w:pPr>
    </w:p>
    <w:p w14:paraId="3977C17B" w14:textId="4F49B67A" w:rsidR="00930C85" w:rsidRPr="00A50E4D" w:rsidRDefault="00A23598" w:rsidP="00930C85">
      <w:pPr>
        <w:pStyle w:val="PrrafodeSentencia"/>
        <w:rPr>
          <w:lang w:val="en-US"/>
        </w:rPr>
      </w:pPr>
      <w:bookmarkStart w:id="175" w:name="_Ref424563288"/>
      <w:r w:rsidRPr="00A50E4D">
        <w:rPr>
          <w:lang w:val="en-US"/>
        </w:rPr>
        <w:t>On June</w:t>
      </w:r>
      <w:r w:rsidR="009D6A26" w:rsidRPr="00A50E4D">
        <w:rPr>
          <w:lang w:val="en-US"/>
        </w:rPr>
        <w:t xml:space="preserve"> 30,</w:t>
      </w:r>
      <w:r w:rsidR="00930C85" w:rsidRPr="00A50E4D">
        <w:rPr>
          <w:lang w:val="en-US"/>
        </w:rPr>
        <w:t xml:space="preserve"> 2009</w:t>
      </w:r>
      <w:r w:rsidRPr="00A50E4D">
        <w:rPr>
          <w:lang w:val="en-US"/>
        </w:rPr>
        <w:t>,</w:t>
      </w:r>
      <w:r w:rsidR="00930C85" w:rsidRPr="00A50E4D">
        <w:rPr>
          <w:lang w:val="en-US"/>
        </w:rPr>
        <w:t xml:space="preserve"> </w:t>
      </w:r>
      <w:r w:rsidRPr="00A50E4D">
        <w:rPr>
          <w:lang w:val="en-US"/>
        </w:rPr>
        <w:t>Ms. Flores</w:t>
      </w:r>
      <w:r w:rsidR="00930C85" w:rsidRPr="00A50E4D">
        <w:rPr>
          <w:lang w:val="en-US"/>
        </w:rPr>
        <w:t xml:space="preserve"> Lanza </w:t>
      </w:r>
      <w:r w:rsidRPr="00A50E4D">
        <w:rPr>
          <w:lang w:val="en-US"/>
        </w:rPr>
        <w:t xml:space="preserve">filed an application for </w:t>
      </w:r>
      <w:r w:rsidR="00B11ACA" w:rsidRPr="00A50E4D">
        <w:rPr>
          <w:i/>
          <w:lang w:val="en-US"/>
        </w:rPr>
        <w:t>amparo</w:t>
      </w:r>
      <w:r w:rsidRPr="00A50E4D">
        <w:rPr>
          <w:lang w:val="en-US"/>
        </w:rPr>
        <w:t xml:space="preserve"> in</w:t>
      </w:r>
      <w:r w:rsidR="00930C85" w:rsidRPr="00A50E4D">
        <w:rPr>
          <w:lang w:val="en-US"/>
        </w:rPr>
        <w:t xml:space="preserve"> favor</w:t>
      </w:r>
      <w:r w:rsidR="004626E5" w:rsidRPr="00A50E4D">
        <w:rPr>
          <w:lang w:val="en-US"/>
        </w:rPr>
        <w:t xml:space="preserve"> of </w:t>
      </w:r>
      <w:r w:rsidR="0054124E" w:rsidRPr="00A50E4D">
        <w:rPr>
          <w:lang w:val="en-US"/>
        </w:rPr>
        <w:t>President Zelaya</w:t>
      </w:r>
      <w:r w:rsidR="009808C5" w:rsidRPr="00A50E4D">
        <w:rPr>
          <w:lang w:val="en-US"/>
        </w:rPr>
        <w:t xml:space="preserve"> and </w:t>
      </w:r>
      <w:r w:rsidR="00FF35A9" w:rsidRPr="00A50E4D">
        <w:rPr>
          <w:lang w:val="en-US"/>
        </w:rPr>
        <w:t>against</w:t>
      </w:r>
      <w:r w:rsidRPr="00A50E4D">
        <w:rPr>
          <w:lang w:val="en-US"/>
        </w:rPr>
        <w:t xml:space="preserve"> the Chairman of the Joint Chiefs of Staff of the Armed Forces for presumably having violated </w:t>
      </w:r>
      <w:r w:rsidR="00930C85" w:rsidRPr="00A50E4D">
        <w:rPr>
          <w:lang w:val="en-US"/>
        </w:rPr>
        <w:t>“</w:t>
      </w:r>
      <w:r w:rsidRPr="00A50E4D">
        <w:rPr>
          <w:lang w:val="en-US"/>
        </w:rPr>
        <w:t>a</w:t>
      </w:r>
      <w:r w:rsidR="009808C5" w:rsidRPr="00A50E4D">
        <w:rPr>
          <w:lang w:val="en-US"/>
        </w:rPr>
        <w:t>rticles</w:t>
      </w:r>
      <w:r w:rsidR="00930C85" w:rsidRPr="00A50E4D">
        <w:rPr>
          <w:lang w:val="en-US"/>
        </w:rPr>
        <w:t xml:space="preserve"> 69, 81, 84, 99</w:t>
      </w:r>
      <w:r w:rsidR="009808C5" w:rsidRPr="00A50E4D">
        <w:rPr>
          <w:lang w:val="en-US"/>
        </w:rPr>
        <w:t xml:space="preserve"> and </w:t>
      </w:r>
      <w:r w:rsidR="00930C85" w:rsidRPr="00A50E4D">
        <w:rPr>
          <w:lang w:val="en-US"/>
        </w:rPr>
        <w:t xml:space="preserve">102 </w:t>
      </w:r>
      <w:r w:rsidR="00314E4B" w:rsidRPr="00A50E4D">
        <w:rPr>
          <w:lang w:val="en-US"/>
        </w:rPr>
        <w:t>of the Constitution</w:t>
      </w:r>
      <w:r w:rsidRPr="00A50E4D">
        <w:rPr>
          <w:lang w:val="en-US"/>
        </w:rPr>
        <w:t xml:space="preserve"> and a</w:t>
      </w:r>
      <w:r w:rsidR="009808C5" w:rsidRPr="00A50E4D">
        <w:rPr>
          <w:lang w:val="en-US"/>
        </w:rPr>
        <w:t>rticles</w:t>
      </w:r>
      <w:r w:rsidRPr="00A50E4D">
        <w:rPr>
          <w:lang w:val="en-US"/>
        </w:rPr>
        <w:t xml:space="preserve"> 7(</w:t>
      </w:r>
      <w:r w:rsidR="00930C85" w:rsidRPr="00A50E4D">
        <w:rPr>
          <w:lang w:val="en-US"/>
        </w:rPr>
        <w:t>1</w:t>
      </w:r>
      <w:r w:rsidRPr="00A50E4D">
        <w:rPr>
          <w:lang w:val="en-US"/>
        </w:rPr>
        <w:t>)</w:t>
      </w:r>
      <w:r w:rsidR="009808C5" w:rsidRPr="00A50E4D">
        <w:rPr>
          <w:lang w:val="en-US"/>
        </w:rPr>
        <w:t xml:space="preserve"> and </w:t>
      </w:r>
      <w:r w:rsidRPr="00A50E4D">
        <w:rPr>
          <w:lang w:val="en-US"/>
        </w:rPr>
        <w:t>(</w:t>
      </w:r>
      <w:r w:rsidR="00930C85" w:rsidRPr="00A50E4D">
        <w:rPr>
          <w:lang w:val="en-US"/>
        </w:rPr>
        <w:t>2</w:t>
      </w:r>
      <w:r w:rsidRPr="00A50E4D">
        <w:rPr>
          <w:lang w:val="en-US"/>
        </w:rPr>
        <w:t>), 11(</w:t>
      </w:r>
      <w:r w:rsidR="00F82AC3" w:rsidRPr="00A50E4D">
        <w:rPr>
          <w:lang w:val="en-US"/>
        </w:rPr>
        <w:t>2</w:t>
      </w:r>
      <w:r w:rsidRPr="00A50E4D">
        <w:rPr>
          <w:lang w:val="en-US"/>
        </w:rPr>
        <w:t>)</w:t>
      </w:r>
      <w:r w:rsidR="009808C5" w:rsidRPr="00A50E4D">
        <w:rPr>
          <w:lang w:val="en-US"/>
        </w:rPr>
        <w:t xml:space="preserve"> and </w:t>
      </w:r>
      <w:r w:rsidRPr="00A50E4D">
        <w:rPr>
          <w:lang w:val="en-US"/>
        </w:rPr>
        <w:t>22(5)</w:t>
      </w:r>
      <w:r w:rsidR="009808C5" w:rsidRPr="00A50E4D">
        <w:rPr>
          <w:lang w:val="en-US"/>
        </w:rPr>
        <w:t xml:space="preserve"> of the American Convention</w:t>
      </w:r>
      <w:r w:rsidRPr="00A50E4D">
        <w:rPr>
          <w:lang w:val="en-US"/>
        </w:rPr>
        <w:t>.” She requested</w:t>
      </w:r>
      <w:r w:rsidR="00F82AC3" w:rsidRPr="00A50E4D">
        <w:rPr>
          <w:lang w:val="en-US"/>
        </w:rPr>
        <w:t>,</w:t>
      </w:r>
      <w:r w:rsidRPr="00A50E4D">
        <w:rPr>
          <w:lang w:val="en-US"/>
        </w:rPr>
        <w:t xml:space="preserve"> “as an urgent precautionary measure, the immediate repatriation”</w:t>
      </w:r>
      <w:r w:rsidR="004626E5" w:rsidRPr="00A50E4D">
        <w:rPr>
          <w:lang w:val="en-US"/>
        </w:rPr>
        <w:t xml:space="preserve"> of </w:t>
      </w:r>
      <w:r w:rsidR="0054124E" w:rsidRPr="00A50E4D">
        <w:rPr>
          <w:lang w:val="en-US"/>
        </w:rPr>
        <w:t>President Zelaya</w:t>
      </w:r>
      <w:r w:rsidRPr="00A50E4D">
        <w:rPr>
          <w:lang w:val="en-US"/>
        </w:rPr>
        <w:t>.</w:t>
      </w:r>
      <w:r w:rsidR="00930C85" w:rsidRPr="00A50E4D">
        <w:rPr>
          <w:rStyle w:val="FootnoteReference"/>
          <w:rFonts w:cs="Arial"/>
          <w:sz w:val="20"/>
          <w:szCs w:val="20"/>
          <w:lang w:val="en-US"/>
        </w:rPr>
        <w:footnoteReference w:id="181"/>
      </w:r>
      <w:r w:rsidRPr="00A50E4D">
        <w:rPr>
          <w:lang w:val="en-US"/>
        </w:rPr>
        <w:t xml:space="preserve"> The same day,</w:t>
      </w:r>
      <w:r w:rsidR="00930C85" w:rsidRPr="00A50E4D">
        <w:rPr>
          <w:lang w:val="en-US"/>
        </w:rPr>
        <w:t xml:space="preserve"> </w:t>
      </w:r>
      <w:r w:rsidR="00F61ED5" w:rsidRPr="00A50E4D">
        <w:rPr>
          <w:lang w:val="en-US"/>
        </w:rPr>
        <w:t>the Constitutional Chamber</w:t>
      </w:r>
      <w:r w:rsidR="00930C85" w:rsidRPr="00A50E4D">
        <w:rPr>
          <w:lang w:val="en-US"/>
        </w:rPr>
        <w:t xml:space="preserve"> </w:t>
      </w:r>
      <w:r w:rsidR="000A786A" w:rsidRPr="00A50E4D">
        <w:rPr>
          <w:lang w:val="en-US"/>
        </w:rPr>
        <w:t>admitted</w:t>
      </w:r>
      <w:r w:rsidRPr="00A50E4D">
        <w:rPr>
          <w:lang w:val="en-US"/>
        </w:rPr>
        <w:t xml:space="preserve"> the application and joindered it to similar actions filed by other individuals. It then asked the </w:t>
      </w:r>
      <w:r w:rsidRPr="00A50E4D">
        <w:rPr>
          <w:lang w:val="en-US"/>
        </w:rPr>
        <w:lastRenderedPageBreak/>
        <w:t xml:space="preserve">Chairman of the Joint Chiefs of Staff to provide a detailed report on the events that had been </w:t>
      </w:r>
      <w:r w:rsidR="00F82AC3" w:rsidRPr="00A50E4D">
        <w:rPr>
          <w:lang w:val="en-US"/>
        </w:rPr>
        <w:t>denounc</w:t>
      </w:r>
      <w:r w:rsidRPr="00A50E4D">
        <w:rPr>
          <w:lang w:val="en-US"/>
        </w:rPr>
        <w:t>ed.</w:t>
      </w:r>
      <w:r w:rsidR="00930C85" w:rsidRPr="00A50E4D">
        <w:rPr>
          <w:rStyle w:val="FootnoteReference"/>
          <w:rFonts w:cs="Arial"/>
          <w:sz w:val="20"/>
          <w:szCs w:val="20"/>
          <w:lang w:val="en-US"/>
        </w:rPr>
        <w:footnoteReference w:id="182"/>
      </w:r>
      <w:bookmarkEnd w:id="175"/>
    </w:p>
    <w:p w14:paraId="42466D2A" w14:textId="77777777" w:rsidR="00930C85" w:rsidRPr="00A50E4D" w:rsidRDefault="00930C85" w:rsidP="00930C85">
      <w:pPr>
        <w:pStyle w:val="ListParagraph"/>
        <w:numPr>
          <w:ilvl w:val="0"/>
          <w:numId w:val="0"/>
        </w:numPr>
        <w:rPr>
          <w:spacing w:val="-4"/>
          <w:lang w:val="en-US"/>
        </w:rPr>
      </w:pPr>
    </w:p>
    <w:p w14:paraId="35D5D3BA" w14:textId="052B2AF3" w:rsidR="00A23598" w:rsidRPr="00A50E4D" w:rsidRDefault="00A23598" w:rsidP="00930C85">
      <w:pPr>
        <w:pStyle w:val="PrrafodeSentencia"/>
        <w:rPr>
          <w:lang w:val="en-US"/>
        </w:rPr>
      </w:pPr>
      <w:r w:rsidRPr="00A50E4D">
        <w:rPr>
          <w:lang w:val="en-US"/>
        </w:rPr>
        <w:t>On the same date, Ms. Flores</w:t>
      </w:r>
      <w:r w:rsidR="00930C85" w:rsidRPr="00A50E4D">
        <w:rPr>
          <w:lang w:val="en-US"/>
        </w:rPr>
        <w:t xml:space="preserve"> Lanza</w:t>
      </w:r>
      <w:r w:rsidR="009808C5" w:rsidRPr="00A50E4D">
        <w:rPr>
          <w:lang w:val="en-US"/>
        </w:rPr>
        <w:t xml:space="preserve"> and </w:t>
      </w:r>
      <w:r w:rsidRPr="00A50E4D">
        <w:rPr>
          <w:lang w:val="en-US"/>
        </w:rPr>
        <w:t xml:space="preserve">a group of persons filed a criminal complaint before the Prosecutor General accusing members of the Joint Chiefs of </w:t>
      </w:r>
      <w:r w:rsidR="00D620FD" w:rsidRPr="00A50E4D">
        <w:rPr>
          <w:lang w:val="en-US"/>
        </w:rPr>
        <w:t>Staff</w:t>
      </w:r>
      <w:r w:rsidRPr="00A50E4D">
        <w:rPr>
          <w:lang w:val="en-US"/>
        </w:rPr>
        <w:t xml:space="preserve"> of the Armed Forces of Honduras and other persons who “took part in and approved the decision or decree ousting  José Manuel Zelaya Rosales]” of “falsification of public documents, abuse of authority, home invasion, terrorism, rebellion, treason, and crimes </w:t>
      </w:r>
      <w:r w:rsidR="000A786A" w:rsidRPr="00A50E4D">
        <w:rPr>
          <w:lang w:val="en-US"/>
        </w:rPr>
        <w:t>against</w:t>
      </w:r>
      <w:r w:rsidRPr="00A50E4D">
        <w:rPr>
          <w:lang w:val="en-US"/>
        </w:rPr>
        <w:t xml:space="preserve"> the form of government and </w:t>
      </w:r>
      <w:r w:rsidR="000A786A" w:rsidRPr="00A50E4D">
        <w:rPr>
          <w:lang w:val="en-US"/>
        </w:rPr>
        <w:t>against</w:t>
      </w:r>
      <w:r w:rsidRPr="00A50E4D">
        <w:rPr>
          <w:lang w:val="en-US"/>
        </w:rPr>
        <w:t xml:space="preserve"> senior officials of the Honduran State.”</w:t>
      </w:r>
      <w:r w:rsidRPr="00A50E4D">
        <w:rPr>
          <w:rStyle w:val="FootnoteReference"/>
          <w:rFonts w:cs="Arial"/>
          <w:sz w:val="20"/>
          <w:szCs w:val="20"/>
          <w:lang w:val="en-US"/>
        </w:rPr>
        <w:footnoteReference w:id="183"/>
      </w:r>
    </w:p>
    <w:p w14:paraId="251661EF" w14:textId="77777777" w:rsidR="00930C85" w:rsidRPr="00A50E4D" w:rsidRDefault="00930C85" w:rsidP="00930C85">
      <w:pPr>
        <w:pStyle w:val="ListParagraph"/>
        <w:numPr>
          <w:ilvl w:val="0"/>
          <w:numId w:val="0"/>
        </w:numPr>
        <w:rPr>
          <w:spacing w:val="-4"/>
          <w:lang w:val="en-US"/>
        </w:rPr>
      </w:pPr>
    </w:p>
    <w:p w14:paraId="66B7DBE6" w14:textId="21E6EC62" w:rsidR="00930C85" w:rsidRPr="00A50E4D" w:rsidRDefault="00A23598" w:rsidP="00930C85">
      <w:pPr>
        <w:pStyle w:val="PrrafodeSentencia"/>
        <w:rPr>
          <w:lang w:val="en-US"/>
        </w:rPr>
      </w:pPr>
      <w:r w:rsidRPr="00A50E4D">
        <w:rPr>
          <w:lang w:val="en-US"/>
        </w:rPr>
        <w:t xml:space="preserve">On July 1, </w:t>
      </w:r>
      <w:r w:rsidR="00930C85" w:rsidRPr="00A50E4D">
        <w:rPr>
          <w:lang w:val="en-US"/>
        </w:rPr>
        <w:t>2009</w:t>
      </w:r>
      <w:r w:rsidRPr="00A50E4D">
        <w:rPr>
          <w:lang w:val="en-US"/>
        </w:rPr>
        <w:t>,</w:t>
      </w:r>
      <w:r w:rsidR="00930C85" w:rsidRPr="00A50E4D">
        <w:rPr>
          <w:lang w:val="en-US"/>
        </w:rPr>
        <w:t xml:space="preserve"> </w:t>
      </w:r>
      <w:r w:rsidRPr="00A50E4D">
        <w:rPr>
          <w:lang w:val="en-US"/>
        </w:rPr>
        <w:t xml:space="preserve">the Inspector </w:t>
      </w:r>
      <w:r w:rsidR="00930C85" w:rsidRPr="00A50E4D">
        <w:rPr>
          <w:lang w:val="en-US"/>
        </w:rPr>
        <w:t xml:space="preserve">General </w:t>
      </w:r>
      <w:r w:rsidR="000F4023" w:rsidRPr="00A50E4D">
        <w:rPr>
          <w:lang w:val="en-US"/>
        </w:rPr>
        <w:t>of Courts and Tribunals</w:t>
      </w:r>
      <w:r w:rsidRPr="00A50E4D">
        <w:rPr>
          <w:lang w:val="en-US"/>
        </w:rPr>
        <w:t xml:space="preserve"> opened an </w:t>
      </w:r>
      <w:r w:rsidR="000A786A" w:rsidRPr="00A50E4D">
        <w:rPr>
          <w:lang w:val="en-US"/>
        </w:rPr>
        <w:t>investigation</w:t>
      </w:r>
      <w:r w:rsidRPr="00A50E4D">
        <w:rPr>
          <w:lang w:val="en-US"/>
        </w:rPr>
        <w:t xml:space="preserve">, </w:t>
      </w:r>
      <w:r w:rsidRPr="00A50E4D">
        <w:rPr>
          <w:i/>
          <w:lang w:val="en-US"/>
        </w:rPr>
        <w:t>ex officio</w:t>
      </w:r>
      <w:r w:rsidRPr="00A50E4D">
        <w:rPr>
          <w:lang w:val="en-US"/>
        </w:rPr>
        <w:t>, against Ms. Flores</w:t>
      </w:r>
      <w:r w:rsidR="00930C85" w:rsidRPr="00A50E4D">
        <w:rPr>
          <w:lang w:val="en-US"/>
        </w:rPr>
        <w:t xml:space="preserve"> Lanza, </w:t>
      </w:r>
      <w:r w:rsidRPr="00A50E4D">
        <w:rPr>
          <w:lang w:val="en-US"/>
        </w:rPr>
        <w:t xml:space="preserve">based on the applications for </w:t>
      </w:r>
      <w:r w:rsidR="00B11ACA" w:rsidRPr="00A50E4D">
        <w:rPr>
          <w:i/>
          <w:lang w:val="en-US"/>
        </w:rPr>
        <w:t>amparo</w:t>
      </w:r>
      <w:r w:rsidR="00930C85" w:rsidRPr="00A50E4D">
        <w:rPr>
          <w:lang w:val="en-US"/>
        </w:rPr>
        <w:t xml:space="preserve"> </w:t>
      </w:r>
      <w:r w:rsidRPr="00A50E4D">
        <w:rPr>
          <w:lang w:val="en-US"/>
        </w:rPr>
        <w:t xml:space="preserve">filed in </w:t>
      </w:r>
      <w:r w:rsidR="00930C85" w:rsidRPr="00A50E4D">
        <w:rPr>
          <w:lang w:val="en-US"/>
        </w:rPr>
        <w:t>favor</w:t>
      </w:r>
      <w:r w:rsidR="004626E5" w:rsidRPr="00A50E4D">
        <w:rPr>
          <w:lang w:val="en-US"/>
        </w:rPr>
        <w:t xml:space="preserve"> of </w:t>
      </w:r>
      <w:r w:rsidR="0054124E" w:rsidRPr="00A50E4D">
        <w:rPr>
          <w:lang w:val="en-US"/>
        </w:rPr>
        <w:t>President Zelaya</w:t>
      </w:r>
      <w:r w:rsidR="00930C85" w:rsidRPr="00A50E4D">
        <w:rPr>
          <w:lang w:val="en-US"/>
        </w:rPr>
        <w:t xml:space="preserve">, </w:t>
      </w:r>
      <w:r w:rsidRPr="00A50E4D">
        <w:rPr>
          <w:lang w:val="en-US"/>
        </w:rPr>
        <w:t>indicating that she had learned of these</w:t>
      </w:r>
      <w:r w:rsidR="00D620FD" w:rsidRPr="00A50E4D">
        <w:rPr>
          <w:lang w:val="en-US"/>
        </w:rPr>
        <w:t xml:space="preserve"> applications</w:t>
      </w:r>
      <w:r w:rsidRPr="00A50E4D">
        <w:rPr>
          <w:lang w:val="en-US"/>
        </w:rPr>
        <w:t xml:space="preserve"> “on the evening television news.</w:t>
      </w:r>
      <w:r w:rsidR="00930C85" w:rsidRPr="00A50E4D">
        <w:rPr>
          <w:rFonts w:cs="Arial"/>
          <w:lang w:val="en-US"/>
        </w:rPr>
        <w:t>”</w:t>
      </w:r>
      <w:r w:rsidR="00930C85" w:rsidRPr="00A50E4D">
        <w:rPr>
          <w:rStyle w:val="FootnoteReference"/>
          <w:sz w:val="20"/>
          <w:szCs w:val="20"/>
          <w:lang w:val="en-US"/>
        </w:rPr>
        <w:footnoteReference w:id="184"/>
      </w:r>
      <w:r w:rsidRPr="00A50E4D">
        <w:rPr>
          <w:lang w:val="en-US"/>
        </w:rPr>
        <w:t xml:space="preserve"> On July 30, that year, the Inspector </w:t>
      </w:r>
      <w:r w:rsidR="00930C85" w:rsidRPr="00A50E4D">
        <w:rPr>
          <w:lang w:val="en-US"/>
        </w:rPr>
        <w:t>General conclu</w:t>
      </w:r>
      <w:r w:rsidRPr="00A50E4D">
        <w:rPr>
          <w:lang w:val="en-US"/>
        </w:rPr>
        <w:t>ded, in a report forwarded to</w:t>
      </w:r>
      <w:r w:rsidR="00930C85" w:rsidRPr="00A50E4D">
        <w:rPr>
          <w:lang w:val="en-US"/>
        </w:rPr>
        <w:t xml:space="preserve"> </w:t>
      </w:r>
      <w:r w:rsidR="009808C5" w:rsidRPr="00A50E4D">
        <w:rPr>
          <w:lang w:val="en-US"/>
        </w:rPr>
        <w:t xml:space="preserve">the </w:t>
      </w:r>
      <w:r w:rsidR="00371BB7" w:rsidRPr="00A50E4D">
        <w:rPr>
          <w:lang w:val="en-US"/>
        </w:rPr>
        <w:t>Supreme Court of Justice</w:t>
      </w:r>
      <w:r w:rsidRPr="00A50E4D">
        <w:rPr>
          <w:lang w:val="en-US"/>
        </w:rPr>
        <w:t xml:space="preserve">, with a copy to the </w:t>
      </w:r>
      <w:r w:rsidR="00D563D1" w:rsidRPr="00A50E4D">
        <w:rPr>
          <w:lang w:val="en-US"/>
        </w:rPr>
        <w:t>Personnel Management Directorate</w:t>
      </w:r>
      <w:r w:rsidRPr="00A50E4D">
        <w:rPr>
          <w:lang w:val="en-US"/>
        </w:rPr>
        <w:t>, that, on June 30,</w:t>
      </w:r>
      <w:r w:rsidR="00930C85" w:rsidRPr="00A50E4D">
        <w:rPr>
          <w:lang w:val="en-US"/>
        </w:rPr>
        <w:t xml:space="preserve"> </w:t>
      </w:r>
      <w:r w:rsidRPr="00A50E4D">
        <w:rPr>
          <w:lang w:val="en-US"/>
        </w:rPr>
        <w:t>Ms. Flores</w:t>
      </w:r>
      <w:r w:rsidR="00930C85" w:rsidRPr="00A50E4D">
        <w:rPr>
          <w:lang w:val="en-US"/>
        </w:rPr>
        <w:t xml:space="preserve"> Lanza </w:t>
      </w:r>
      <w:r w:rsidRPr="00A50E4D">
        <w:rPr>
          <w:lang w:val="en-US"/>
        </w:rPr>
        <w:t xml:space="preserve">was in </w:t>
      </w:r>
      <w:r w:rsidR="00D620FD" w:rsidRPr="00A50E4D">
        <w:rPr>
          <w:lang w:val="en-US"/>
        </w:rPr>
        <w:t>the capital, Tegucigalpa,</w:t>
      </w:r>
      <w:r w:rsidRPr="00A50E4D">
        <w:rPr>
          <w:lang w:val="en-US"/>
        </w:rPr>
        <w:t xml:space="preserve"> and “written proof existed that she had not requested</w:t>
      </w:r>
      <w:r w:rsidR="00D620FD" w:rsidRPr="00A50E4D">
        <w:rPr>
          <w:lang w:val="en-US"/>
        </w:rPr>
        <w:t xml:space="preserve"> the respective permission.” The Inspector General stated that “[t]he e</w:t>
      </w:r>
      <w:r w:rsidRPr="00A50E4D">
        <w:rPr>
          <w:lang w:val="en-US"/>
        </w:rPr>
        <w:t>xercise of the functions of justice or judge […] i</w:t>
      </w:r>
      <w:r w:rsidR="00930C85" w:rsidRPr="00A50E4D">
        <w:rPr>
          <w:lang w:val="en-US"/>
        </w:rPr>
        <w:t xml:space="preserve">s incompatible </w:t>
      </w:r>
      <w:r w:rsidRPr="00A50E4D">
        <w:rPr>
          <w:lang w:val="en-US"/>
        </w:rPr>
        <w:t xml:space="preserve">with the actions and conducts that have been described; unless such actions </w:t>
      </w:r>
      <w:r w:rsidR="00D620FD" w:rsidRPr="00A50E4D">
        <w:rPr>
          <w:lang w:val="en-US"/>
        </w:rPr>
        <w:t>had been</w:t>
      </w:r>
      <w:r w:rsidRPr="00A50E4D">
        <w:rPr>
          <w:lang w:val="en-US"/>
        </w:rPr>
        <w:t xml:space="preserve"> taken on her own </w:t>
      </w:r>
      <w:r w:rsidR="000A786A" w:rsidRPr="00A50E4D">
        <w:rPr>
          <w:lang w:val="en-US"/>
        </w:rPr>
        <w:t>behalf</w:t>
      </w:r>
      <w:r w:rsidRPr="00A50E4D">
        <w:rPr>
          <w:lang w:val="en-US"/>
        </w:rPr>
        <w:t xml:space="preserve">, or </w:t>
      </w:r>
      <w:r w:rsidR="00D620FD" w:rsidRPr="00A50E4D">
        <w:rPr>
          <w:lang w:val="en-US"/>
        </w:rPr>
        <w:t>on behalf</w:t>
      </w:r>
      <w:r w:rsidRPr="00A50E4D">
        <w:rPr>
          <w:lang w:val="en-US"/>
        </w:rPr>
        <w:t xml:space="preserve"> of her spouse or immediate family members.” The Inspector </w:t>
      </w:r>
      <w:r w:rsidR="00D620FD" w:rsidRPr="00A50E4D">
        <w:rPr>
          <w:lang w:val="en-US"/>
        </w:rPr>
        <w:t xml:space="preserve">General </w:t>
      </w:r>
      <w:r w:rsidRPr="00A50E4D">
        <w:rPr>
          <w:lang w:val="en-US"/>
        </w:rPr>
        <w:t xml:space="preserve">also </w:t>
      </w:r>
      <w:r w:rsidR="008142CE" w:rsidRPr="00A50E4D">
        <w:rPr>
          <w:lang w:val="en-US"/>
        </w:rPr>
        <w:t>indic</w:t>
      </w:r>
      <w:r w:rsidRPr="00A50E4D">
        <w:rPr>
          <w:lang w:val="en-US"/>
        </w:rPr>
        <w:t>ated that:</w:t>
      </w:r>
    </w:p>
    <w:p w14:paraId="367BEABC" w14:textId="77777777" w:rsidR="00930C85" w:rsidRPr="00A50E4D" w:rsidRDefault="00930C85" w:rsidP="00930C85">
      <w:pPr>
        <w:pStyle w:val="ListParagraph"/>
        <w:numPr>
          <w:ilvl w:val="0"/>
          <w:numId w:val="0"/>
        </w:numPr>
        <w:rPr>
          <w:spacing w:val="-4"/>
          <w:lang w:val="en-US"/>
        </w:rPr>
      </w:pPr>
    </w:p>
    <w:p w14:paraId="4AE90284" w14:textId="4147CA01" w:rsidR="00930C85" w:rsidRPr="00A50E4D" w:rsidRDefault="00D620FD" w:rsidP="008142CE">
      <w:pPr>
        <w:pStyle w:val="NoSpacing"/>
        <w:tabs>
          <w:tab w:val="left" w:pos="567"/>
        </w:tabs>
        <w:ind w:left="567" w:right="544"/>
        <w:rPr>
          <w:spacing w:val="-4"/>
          <w:sz w:val="18"/>
          <w:szCs w:val="18"/>
          <w:lang w:val="en-US"/>
        </w:rPr>
      </w:pPr>
      <w:r w:rsidRPr="00A50E4D">
        <w:rPr>
          <w:spacing w:val="-4"/>
          <w:sz w:val="18"/>
          <w:szCs w:val="18"/>
          <w:lang w:val="en-US"/>
        </w:rPr>
        <w:t>The fact that</w:t>
      </w:r>
      <w:r w:rsidR="008142CE" w:rsidRPr="00A50E4D">
        <w:rPr>
          <w:spacing w:val="-4"/>
          <w:sz w:val="18"/>
          <w:szCs w:val="18"/>
          <w:lang w:val="en-US"/>
        </w:rPr>
        <w:t xml:space="preserve"> the </w:t>
      </w:r>
      <w:r w:rsidR="00CA5D96" w:rsidRPr="00A50E4D">
        <w:rPr>
          <w:spacing w:val="-4"/>
          <w:sz w:val="18"/>
          <w:szCs w:val="18"/>
          <w:lang w:val="en-US"/>
        </w:rPr>
        <w:t xml:space="preserve">officials under investigation established </w:t>
      </w:r>
      <w:r w:rsidRPr="00A50E4D">
        <w:rPr>
          <w:spacing w:val="-4"/>
          <w:sz w:val="18"/>
          <w:szCs w:val="18"/>
          <w:lang w:val="en-US"/>
        </w:rPr>
        <w:t xml:space="preserve">the District Appellate Court of San Pedro Sula and the Sentencing Court of the same Judicial District as the </w:t>
      </w:r>
      <w:r w:rsidR="008142CE" w:rsidRPr="00A50E4D">
        <w:rPr>
          <w:spacing w:val="-4"/>
          <w:sz w:val="18"/>
          <w:szCs w:val="18"/>
          <w:lang w:val="en-US"/>
        </w:rPr>
        <w:t>place to re</w:t>
      </w:r>
      <w:r w:rsidR="00CA5D96" w:rsidRPr="00A50E4D">
        <w:rPr>
          <w:spacing w:val="-4"/>
          <w:sz w:val="18"/>
          <w:szCs w:val="18"/>
          <w:lang w:val="en-US"/>
        </w:rPr>
        <w:t xml:space="preserve">ceive notifications, </w:t>
      </w:r>
      <w:r w:rsidR="008142CE" w:rsidRPr="00A50E4D">
        <w:rPr>
          <w:spacing w:val="-4"/>
          <w:sz w:val="18"/>
          <w:szCs w:val="18"/>
          <w:lang w:val="en-US"/>
        </w:rPr>
        <w:t xml:space="preserve">[…] in addition to </w:t>
      </w:r>
      <w:r w:rsidR="000A786A" w:rsidRPr="00A50E4D">
        <w:rPr>
          <w:spacing w:val="-4"/>
          <w:sz w:val="18"/>
          <w:szCs w:val="18"/>
          <w:lang w:val="en-US"/>
        </w:rPr>
        <w:t>demonstrating</w:t>
      </w:r>
      <w:r w:rsidR="008142CE" w:rsidRPr="00A50E4D">
        <w:rPr>
          <w:spacing w:val="-4"/>
          <w:sz w:val="18"/>
          <w:szCs w:val="18"/>
          <w:lang w:val="en-US"/>
        </w:rPr>
        <w:t xml:space="preserve"> lack of re</w:t>
      </w:r>
      <w:r w:rsidRPr="00A50E4D">
        <w:rPr>
          <w:spacing w:val="-4"/>
          <w:sz w:val="18"/>
          <w:szCs w:val="18"/>
          <w:lang w:val="en-US"/>
        </w:rPr>
        <w:t>spect towards their office,</w:t>
      </w:r>
      <w:r w:rsidR="008142CE" w:rsidRPr="00A50E4D">
        <w:rPr>
          <w:spacing w:val="-4"/>
          <w:sz w:val="18"/>
          <w:szCs w:val="18"/>
          <w:lang w:val="en-US"/>
        </w:rPr>
        <w:t xml:space="preserve"> is aggravated by the fact that the acts </w:t>
      </w:r>
      <w:r w:rsidRPr="00A50E4D">
        <w:rPr>
          <w:spacing w:val="-4"/>
          <w:sz w:val="18"/>
          <w:szCs w:val="18"/>
          <w:lang w:val="en-US"/>
        </w:rPr>
        <w:t>took place before</w:t>
      </w:r>
      <w:r w:rsidR="008142CE" w:rsidRPr="00A50E4D">
        <w:rPr>
          <w:spacing w:val="-4"/>
          <w:sz w:val="18"/>
          <w:szCs w:val="18"/>
          <w:lang w:val="en-US"/>
        </w:rPr>
        <w:t xml:space="preserve"> the highest court of justice</w:t>
      </w:r>
      <w:r w:rsidRPr="00A50E4D">
        <w:rPr>
          <w:spacing w:val="-4"/>
          <w:sz w:val="18"/>
          <w:szCs w:val="18"/>
          <w:lang w:val="en-US"/>
        </w:rPr>
        <w:t xml:space="preserve"> and had public repercussions</w:t>
      </w:r>
      <w:r w:rsidR="008142CE" w:rsidRPr="00A50E4D">
        <w:rPr>
          <w:spacing w:val="-4"/>
          <w:sz w:val="18"/>
          <w:szCs w:val="18"/>
          <w:lang w:val="en-US"/>
        </w:rPr>
        <w:t>, apart from the fact that the said courts have the exclusive and specific purpose of imparting and administering justice, to the exclusion of any other activity.</w:t>
      </w:r>
      <w:r w:rsidR="00930C85" w:rsidRPr="00A50E4D">
        <w:rPr>
          <w:spacing w:val="-4"/>
          <w:sz w:val="18"/>
          <w:szCs w:val="18"/>
          <w:vertAlign w:val="superscript"/>
          <w:lang w:val="en-US"/>
        </w:rPr>
        <w:footnoteReference w:id="185"/>
      </w:r>
      <w:r w:rsidR="00930C85" w:rsidRPr="00A50E4D">
        <w:rPr>
          <w:spacing w:val="-4"/>
          <w:sz w:val="18"/>
          <w:szCs w:val="18"/>
          <w:lang w:val="en-US"/>
        </w:rPr>
        <w:t xml:space="preserve"> </w:t>
      </w:r>
    </w:p>
    <w:p w14:paraId="68126216" w14:textId="77777777" w:rsidR="00930C85" w:rsidRPr="00A50E4D" w:rsidRDefault="00930C85" w:rsidP="00930C85">
      <w:pPr>
        <w:pStyle w:val="NoSpacing"/>
        <w:tabs>
          <w:tab w:val="left" w:pos="567"/>
        </w:tabs>
        <w:rPr>
          <w:spacing w:val="-4"/>
          <w:szCs w:val="20"/>
          <w:lang w:val="en-US"/>
        </w:rPr>
      </w:pPr>
    </w:p>
    <w:p w14:paraId="2449C18E" w14:textId="566C7E1E" w:rsidR="00930C85" w:rsidRPr="00A50E4D" w:rsidRDefault="008142CE" w:rsidP="00930C85">
      <w:pPr>
        <w:pStyle w:val="PrrafodeSentencia"/>
        <w:rPr>
          <w:lang w:val="en-US"/>
        </w:rPr>
      </w:pPr>
      <w:r w:rsidRPr="00A50E4D">
        <w:rPr>
          <w:lang w:val="en-US"/>
        </w:rPr>
        <w:t>In this regard, she indicated that the conduct “fell within the provisions of a</w:t>
      </w:r>
      <w:r w:rsidR="009808C5" w:rsidRPr="00A50E4D">
        <w:rPr>
          <w:lang w:val="en-US"/>
        </w:rPr>
        <w:t>rticle</w:t>
      </w:r>
      <w:r w:rsidR="00CA5D96" w:rsidRPr="00A50E4D">
        <w:rPr>
          <w:lang w:val="en-US"/>
        </w:rPr>
        <w:t xml:space="preserve"> 53</w:t>
      </w:r>
      <w:r w:rsidRPr="00A50E4D">
        <w:rPr>
          <w:lang w:val="en-US"/>
        </w:rPr>
        <w:t>(</w:t>
      </w:r>
      <w:r w:rsidR="00930C85" w:rsidRPr="00A50E4D">
        <w:rPr>
          <w:lang w:val="en-US"/>
        </w:rPr>
        <w:t xml:space="preserve">g) </w:t>
      </w:r>
      <w:r w:rsidR="004D0F32" w:rsidRPr="00A50E4D">
        <w:rPr>
          <w:lang w:val="en-US"/>
        </w:rPr>
        <w:t>of the Judicial</w:t>
      </w:r>
      <w:r w:rsidR="00277E12" w:rsidRPr="00A50E4D">
        <w:rPr>
          <w:lang w:val="en-US"/>
        </w:rPr>
        <w:t xml:space="preserve"> Service Act</w:t>
      </w:r>
      <w:r w:rsidRPr="00A50E4D">
        <w:rPr>
          <w:lang w:val="en-US"/>
        </w:rPr>
        <w:t xml:space="preserve">.” Therefore, she </w:t>
      </w:r>
      <w:r w:rsidR="000A786A" w:rsidRPr="00A50E4D">
        <w:rPr>
          <w:lang w:val="en-US"/>
        </w:rPr>
        <w:t>recommended</w:t>
      </w:r>
      <w:r w:rsidRPr="00A50E4D">
        <w:rPr>
          <w:lang w:val="en-US"/>
        </w:rPr>
        <w:t xml:space="preserve"> to </w:t>
      </w:r>
      <w:r w:rsidR="009808C5" w:rsidRPr="00A50E4D">
        <w:rPr>
          <w:lang w:val="en-US"/>
        </w:rPr>
        <w:t xml:space="preserve">the </w:t>
      </w:r>
      <w:r w:rsidR="00700DEC" w:rsidRPr="00A50E4D">
        <w:rPr>
          <w:lang w:val="en-US"/>
        </w:rPr>
        <w:t>Supreme Court</w:t>
      </w:r>
      <w:r w:rsidRPr="00A50E4D">
        <w:rPr>
          <w:lang w:val="en-US"/>
        </w:rPr>
        <w:t xml:space="preserve"> that it</w:t>
      </w:r>
      <w:r w:rsidR="00930C85" w:rsidRPr="00A50E4D">
        <w:rPr>
          <w:lang w:val="en-US"/>
        </w:rPr>
        <w:t xml:space="preserve"> “</w:t>
      </w:r>
      <w:r w:rsidRPr="00A50E4D">
        <w:rPr>
          <w:lang w:val="en-US"/>
        </w:rPr>
        <w:t>follow through with any appropriate disciplinary measures.</w:t>
      </w:r>
      <w:r w:rsidR="00930C85" w:rsidRPr="00A50E4D">
        <w:rPr>
          <w:lang w:val="en-US"/>
        </w:rPr>
        <w:t>”</w:t>
      </w:r>
      <w:r w:rsidR="00930C85" w:rsidRPr="00A50E4D">
        <w:rPr>
          <w:rStyle w:val="FootnoteReference"/>
          <w:sz w:val="20"/>
          <w:szCs w:val="20"/>
          <w:lang w:val="en-US"/>
        </w:rPr>
        <w:footnoteReference w:id="186"/>
      </w:r>
    </w:p>
    <w:p w14:paraId="3C933D14" w14:textId="77777777" w:rsidR="00930C85" w:rsidRPr="00A50E4D" w:rsidRDefault="00930C85" w:rsidP="00930C85">
      <w:pPr>
        <w:pStyle w:val="NoSpacing"/>
        <w:tabs>
          <w:tab w:val="left" w:pos="567"/>
        </w:tabs>
        <w:rPr>
          <w:spacing w:val="-4"/>
          <w:szCs w:val="20"/>
          <w:lang w:val="en-US"/>
        </w:rPr>
      </w:pPr>
    </w:p>
    <w:p w14:paraId="779AEF98" w14:textId="3107C2C8" w:rsidR="00930C85" w:rsidRPr="00A50E4D" w:rsidRDefault="008142CE" w:rsidP="00930C85">
      <w:pPr>
        <w:pStyle w:val="PrrafodeSentencia"/>
        <w:rPr>
          <w:lang w:val="en-US"/>
        </w:rPr>
      </w:pPr>
      <w:r w:rsidRPr="00A50E4D">
        <w:rPr>
          <w:lang w:val="en-US"/>
        </w:rPr>
        <w:t>On August 12,</w:t>
      </w:r>
      <w:r w:rsidR="00930C85" w:rsidRPr="00A50E4D">
        <w:rPr>
          <w:lang w:val="en-US"/>
        </w:rPr>
        <w:t xml:space="preserve"> 2009</w:t>
      </w:r>
      <w:r w:rsidRPr="00A50E4D">
        <w:rPr>
          <w:lang w:val="en-US"/>
        </w:rPr>
        <w:t>,</w:t>
      </w:r>
      <w:r w:rsidR="00930C85" w:rsidRPr="00A50E4D">
        <w:rPr>
          <w:lang w:val="en-US"/>
        </w:rPr>
        <w:t xml:space="preserve"> </w:t>
      </w:r>
      <w:r w:rsidR="00A23598" w:rsidRPr="00A50E4D">
        <w:rPr>
          <w:lang w:val="en-US"/>
        </w:rPr>
        <w:t>Ms. Flores</w:t>
      </w:r>
      <w:r w:rsidR="00930C85" w:rsidRPr="00A50E4D">
        <w:rPr>
          <w:lang w:val="en-US"/>
        </w:rPr>
        <w:t xml:space="preserve"> Lanza </w:t>
      </w:r>
      <w:r w:rsidRPr="00A50E4D">
        <w:rPr>
          <w:lang w:val="en-US"/>
        </w:rPr>
        <w:t>submitted a request for a declaration of nullity in the proceedings concerning the application for</w:t>
      </w:r>
      <w:r w:rsidR="00930C85" w:rsidRPr="00A50E4D">
        <w:rPr>
          <w:lang w:val="en-US"/>
        </w:rPr>
        <w:t xml:space="preserve"> </w:t>
      </w:r>
      <w:r w:rsidR="00B11ACA" w:rsidRPr="00A50E4D">
        <w:rPr>
          <w:i/>
          <w:lang w:val="en-US"/>
        </w:rPr>
        <w:t>amparo</w:t>
      </w:r>
      <w:r w:rsidRPr="00A50E4D">
        <w:rPr>
          <w:lang w:val="en-US"/>
        </w:rPr>
        <w:t>.</w:t>
      </w:r>
      <w:r w:rsidR="00930C85" w:rsidRPr="00A50E4D">
        <w:rPr>
          <w:rStyle w:val="FootnoteReference"/>
          <w:sz w:val="20"/>
          <w:szCs w:val="20"/>
          <w:lang w:val="en-US"/>
        </w:rPr>
        <w:footnoteReference w:id="187"/>
      </w:r>
      <w:r w:rsidR="00930C85" w:rsidRPr="00A50E4D">
        <w:rPr>
          <w:lang w:val="en-US"/>
        </w:rPr>
        <w:t xml:space="preserve"> </w:t>
      </w:r>
      <w:r w:rsidRPr="00A50E4D">
        <w:rPr>
          <w:lang w:val="en-US"/>
        </w:rPr>
        <w:t>On September 9,</w:t>
      </w:r>
      <w:r w:rsidR="00930C85" w:rsidRPr="00A50E4D">
        <w:rPr>
          <w:lang w:val="en-US"/>
        </w:rPr>
        <w:t xml:space="preserve"> 2009</w:t>
      </w:r>
      <w:r w:rsidRPr="00A50E4D">
        <w:rPr>
          <w:lang w:val="en-US"/>
        </w:rPr>
        <w:t>,</w:t>
      </w:r>
      <w:r w:rsidR="00930C85" w:rsidRPr="00A50E4D">
        <w:rPr>
          <w:lang w:val="en-US"/>
        </w:rPr>
        <w:t xml:space="preserve"> </w:t>
      </w:r>
      <w:r w:rsidR="00F61ED5" w:rsidRPr="00A50E4D">
        <w:rPr>
          <w:lang w:val="en-US"/>
        </w:rPr>
        <w:t>the Constitutional Chamber</w:t>
      </w:r>
      <w:r w:rsidR="00930C85" w:rsidRPr="00A50E4D">
        <w:rPr>
          <w:lang w:val="en-US"/>
        </w:rPr>
        <w:t xml:space="preserve"> declar</w:t>
      </w:r>
      <w:r w:rsidRPr="00A50E4D">
        <w:rPr>
          <w:lang w:val="en-US"/>
        </w:rPr>
        <w:t xml:space="preserve">ed the nullity requested, </w:t>
      </w:r>
      <w:r w:rsidRPr="00A50E4D">
        <w:rPr>
          <w:i/>
          <w:lang w:val="en-US"/>
        </w:rPr>
        <w:t>ex officio</w:t>
      </w:r>
      <w:r w:rsidRPr="00A50E4D">
        <w:rPr>
          <w:lang w:val="en-US"/>
        </w:rPr>
        <w:t>, but also declared that the request for a declaration of nullity submitted by</w:t>
      </w:r>
      <w:r w:rsidR="00930C85" w:rsidRPr="00A50E4D">
        <w:rPr>
          <w:lang w:val="en-US"/>
        </w:rPr>
        <w:t xml:space="preserve"> </w:t>
      </w:r>
      <w:r w:rsidR="00A23598" w:rsidRPr="00A50E4D">
        <w:rPr>
          <w:lang w:val="en-US"/>
        </w:rPr>
        <w:t>Ms. Flores</w:t>
      </w:r>
      <w:r w:rsidR="00930C85" w:rsidRPr="00A50E4D">
        <w:rPr>
          <w:lang w:val="en-US"/>
        </w:rPr>
        <w:t xml:space="preserve"> Lanza </w:t>
      </w:r>
      <w:r w:rsidRPr="00A50E4D">
        <w:rPr>
          <w:lang w:val="en-US"/>
        </w:rPr>
        <w:t xml:space="preserve">was </w:t>
      </w:r>
      <w:r w:rsidR="000A786A" w:rsidRPr="00A50E4D">
        <w:rPr>
          <w:lang w:val="en-US"/>
        </w:rPr>
        <w:t>inadmissible</w:t>
      </w:r>
      <w:r w:rsidRPr="00A50E4D">
        <w:rPr>
          <w:lang w:val="en-US"/>
        </w:rPr>
        <w:t>, because she was not authorized to submit this. In this regard, it indicated that:</w:t>
      </w:r>
    </w:p>
    <w:p w14:paraId="0DE6976D" w14:textId="77777777" w:rsidR="00930C85" w:rsidRPr="00A50E4D" w:rsidRDefault="00930C85" w:rsidP="00930C85">
      <w:pPr>
        <w:pStyle w:val="NoSpacing"/>
        <w:tabs>
          <w:tab w:val="left" w:pos="567"/>
        </w:tabs>
        <w:rPr>
          <w:spacing w:val="-4"/>
          <w:szCs w:val="20"/>
          <w:lang w:val="en-US"/>
        </w:rPr>
      </w:pPr>
    </w:p>
    <w:p w14:paraId="677C355B" w14:textId="68D1C4BD" w:rsidR="008142CE" w:rsidRPr="00A50E4D" w:rsidRDefault="008142CE" w:rsidP="00930C85">
      <w:pPr>
        <w:pStyle w:val="NoSpacing"/>
        <w:tabs>
          <w:tab w:val="left" w:pos="567"/>
        </w:tabs>
        <w:ind w:left="720" w:right="544"/>
        <w:rPr>
          <w:spacing w:val="-4"/>
          <w:sz w:val="18"/>
          <w:szCs w:val="18"/>
          <w:lang w:val="en-US"/>
        </w:rPr>
      </w:pPr>
      <w:r w:rsidRPr="00A50E4D">
        <w:rPr>
          <w:spacing w:val="-4"/>
          <w:sz w:val="18"/>
          <w:szCs w:val="18"/>
          <w:lang w:val="en-US"/>
        </w:rPr>
        <w:t xml:space="preserve">Pursuant to the law, the act of filing an application for </w:t>
      </w:r>
      <w:r w:rsidR="00B11ACA" w:rsidRPr="00A50E4D">
        <w:rPr>
          <w:i/>
          <w:spacing w:val="-4"/>
          <w:sz w:val="18"/>
          <w:szCs w:val="18"/>
          <w:lang w:val="en-US"/>
        </w:rPr>
        <w:t>amparo</w:t>
      </w:r>
      <w:r w:rsidRPr="00A50E4D">
        <w:rPr>
          <w:spacing w:val="-4"/>
          <w:sz w:val="18"/>
          <w:szCs w:val="18"/>
          <w:lang w:val="en-US"/>
        </w:rPr>
        <w:t xml:space="preserve"> does not, in itself, constitute </w:t>
      </w:r>
      <w:r w:rsidR="00366BB3" w:rsidRPr="00A50E4D">
        <w:rPr>
          <w:spacing w:val="-4"/>
          <w:sz w:val="18"/>
          <w:szCs w:val="18"/>
          <w:lang w:val="en-US"/>
        </w:rPr>
        <w:t xml:space="preserve">the practice of law; </w:t>
      </w:r>
      <w:r w:rsidRPr="00A50E4D">
        <w:rPr>
          <w:spacing w:val="-4"/>
          <w:sz w:val="18"/>
          <w:szCs w:val="18"/>
          <w:lang w:val="en-US"/>
        </w:rPr>
        <w:t>however, the act of requesting a declaration of the nullity of the proceedings, as the appellant, attorney [Flores Lanza], requests at th</w:t>
      </w:r>
      <w:r w:rsidR="00366BB3" w:rsidRPr="00A50E4D">
        <w:rPr>
          <w:spacing w:val="-4"/>
          <w:sz w:val="18"/>
          <w:szCs w:val="18"/>
          <w:lang w:val="en-US"/>
        </w:rPr>
        <w:t>is stage of the proceedings, is practicing law</w:t>
      </w:r>
      <w:r w:rsidRPr="00A50E4D">
        <w:rPr>
          <w:spacing w:val="-4"/>
          <w:sz w:val="18"/>
          <w:szCs w:val="18"/>
          <w:lang w:val="en-US"/>
        </w:rPr>
        <w:t xml:space="preserve"> and, in the opinion of this chamber, this is a violation of article 108 of the </w:t>
      </w:r>
      <w:r w:rsidR="00CA5D96" w:rsidRPr="00A50E4D">
        <w:rPr>
          <w:spacing w:val="-4"/>
          <w:sz w:val="18"/>
          <w:szCs w:val="18"/>
          <w:lang w:val="en-US"/>
        </w:rPr>
        <w:t>afore</w:t>
      </w:r>
      <w:r w:rsidRPr="00A50E4D">
        <w:rPr>
          <w:spacing w:val="-4"/>
          <w:sz w:val="18"/>
          <w:szCs w:val="18"/>
          <w:lang w:val="en-US"/>
        </w:rPr>
        <w:t>mentioned Law on the Organization and Faculties of the Courts owing to the position held by the said appellant as a tenured justice of the San Pedro Sula District Appellate Court.</w:t>
      </w:r>
      <w:r w:rsidRPr="00A50E4D">
        <w:rPr>
          <w:rStyle w:val="FootnoteReference"/>
          <w:rFonts w:cs="Arial"/>
          <w:spacing w:val="-4"/>
          <w:sz w:val="18"/>
          <w:szCs w:val="18"/>
          <w:lang w:val="en-US"/>
        </w:rPr>
        <w:footnoteReference w:id="188"/>
      </w:r>
    </w:p>
    <w:p w14:paraId="177BDBEB" w14:textId="77777777" w:rsidR="00930C85" w:rsidRPr="00A50E4D" w:rsidRDefault="00930C85" w:rsidP="00930C85">
      <w:pPr>
        <w:pStyle w:val="ListParagraph"/>
        <w:numPr>
          <w:ilvl w:val="0"/>
          <w:numId w:val="0"/>
        </w:numPr>
        <w:rPr>
          <w:spacing w:val="-4"/>
          <w:lang w:val="en-US"/>
        </w:rPr>
      </w:pPr>
    </w:p>
    <w:p w14:paraId="05B0817E" w14:textId="5A2EDCE0" w:rsidR="00930C85" w:rsidRPr="00A50E4D" w:rsidRDefault="008142CE" w:rsidP="00930C85">
      <w:pPr>
        <w:pStyle w:val="PrrafodeSentencia"/>
        <w:rPr>
          <w:lang w:val="en-US"/>
        </w:rPr>
      </w:pPr>
      <w:r w:rsidRPr="00A50E4D">
        <w:rPr>
          <w:lang w:val="en-US"/>
        </w:rPr>
        <w:t>On September 16,</w:t>
      </w:r>
      <w:r w:rsidR="00930C85" w:rsidRPr="00A50E4D">
        <w:rPr>
          <w:lang w:val="en-US"/>
        </w:rPr>
        <w:t xml:space="preserve"> </w:t>
      </w:r>
      <w:r w:rsidR="00A23598" w:rsidRPr="00A50E4D">
        <w:rPr>
          <w:lang w:val="en-US"/>
        </w:rPr>
        <w:t>Ms. Flores</w:t>
      </w:r>
      <w:r w:rsidR="00930C85" w:rsidRPr="00A50E4D">
        <w:rPr>
          <w:lang w:val="en-US"/>
        </w:rPr>
        <w:t xml:space="preserve"> Lanza </w:t>
      </w:r>
      <w:r w:rsidRPr="00A50E4D">
        <w:rPr>
          <w:lang w:val="en-US"/>
        </w:rPr>
        <w:t>requested photocopies of the file of the investigation against her.</w:t>
      </w:r>
      <w:r w:rsidR="00930C85" w:rsidRPr="00A50E4D">
        <w:rPr>
          <w:rStyle w:val="FootnoteReference"/>
          <w:sz w:val="20"/>
          <w:szCs w:val="20"/>
          <w:lang w:val="en-US"/>
        </w:rPr>
        <w:footnoteReference w:id="189"/>
      </w:r>
      <w:r w:rsidRPr="00A50E4D">
        <w:rPr>
          <w:lang w:val="en-US"/>
        </w:rPr>
        <w:t xml:space="preserve"> However, this was refused by the Regional Inspectorate </w:t>
      </w:r>
      <w:r w:rsidR="000F4023" w:rsidRPr="00A50E4D">
        <w:rPr>
          <w:lang w:val="en-US"/>
        </w:rPr>
        <w:t>of Courts and Tribunals</w:t>
      </w:r>
      <w:r w:rsidR="00930C85" w:rsidRPr="00A50E4D">
        <w:rPr>
          <w:lang w:val="en-US"/>
        </w:rPr>
        <w:t>, “</w:t>
      </w:r>
      <w:r w:rsidR="00CA5D96" w:rsidRPr="00A50E4D">
        <w:rPr>
          <w:lang w:val="en-US"/>
        </w:rPr>
        <w:t>because it was not part […] of</w:t>
      </w:r>
      <w:r w:rsidRPr="00A50E4D">
        <w:rPr>
          <w:lang w:val="en-US"/>
        </w:rPr>
        <w:t xml:space="preserve"> the procedure established by</w:t>
      </w:r>
      <w:r w:rsidR="00930C85" w:rsidRPr="00A50E4D">
        <w:rPr>
          <w:lang w:val="en-US"/>
        </w:rPr>
        <w:t xml:space="preserve"> </w:t>
      </w:r>
      <w:r w:rsidR="004D0F32" w:rsidRPr="00A50E4D">
        <w:rPr>
          <w:lang w:val="en-US"/>
        </w:rPr>
        <w:t>the Judicial</w:t>
      </w:r>
      <w:r w:rsidR="00277E12" w:rsidRPr="00A50E4D">
        <w:rPr>
          <w:lang w:val="en-US"/>
        </w:rPr>
        <w:t xml:space="preserve"> Service Act</w:t>
      </w:r>
      <w:r w:rsidR="009808C5" w:rsidRPr="00A50E4D">
        <w:rPr>
          <w:lang w:val="en-US"/>
        </w:rPr>
        <w:t xml:space="preserve"> and </w:t>
      </w:r>
      <w:r w:rsidR="00CA5D96" w:rsidRPr="00A50E4D">
        <w:rPr>
          <w:lang w:val="en-US"/>
        </w:rPr>
        <w:t>its respective R</w:t>
      </w:r>
      <w:r w:rsidRPr="00A50E4D">
        <w:rPr>
          <w:lang w:val="en-US"/>
        </w:rPr>
        <w:t xml:space="preserve">egulations, or in the </w:t>
      </w:r>
      <w:r w:rsidR="00530463" w:rsidRPr="00A50E4D">
        <w:rPr>
          <w:lang w:val="en-US"/>
        </w:rPr>
        <w:t>rules of procedure</w:t>
      </w:r>
      <w:r w:rsidRPr="00A50E4D">
        <w:rPr>
          <w:lang w:val="en-US"/>
        </w:rPr>
        <w:t xml:space="preserve"> of the Inspectorate </w:t>
      </w:r>
      <w:r w:rsidR="000F4023" w:rsidRPr="00A50E4D">
        <w:rPr>
          <w:lang w:val="en-US"/>
        </w:rPr>
        <w:t>of Courts and Tribunals</w:t>
      </w:r>
      <w:r w:rsidRPr="00A50E4D">
        <w:rPr>
          <w:lang w:val="en-US"/>
        </w:rPr>
        <w:t>.</w:t>
      </w:r>
      <w:r w:rsidR="00930C85" w:rsidRPr="00A50E4D">
        <w:rPr>
          <w:lang w:val="en-US"/>
        </w:rPr>
        <w:t>”</w:t>
      </w:r>
      <w:r w:rsidR="00930C85" w:rsidRPr="00A50E4D">
        <w:rPr>
          <w:rStyle w:val="FootnoteReference"/>
          <w:sz w:val="20"/>
          <w:szCs w:val="20"/>
          <w:lang w:val="en-US"/>
        </w:rPr>
        <w:footnoteReference w:id="190"/>
      </w:r>
      <w:r w:rsidR="00930C85" w:rsidRPr="00A50E4D">
        <w:rPr>
          <w:lang w:val="en-US"/>
        </w:rPr>
        <w:t xml:space="preserve"> </w:t>
      </w:r>
      <w:r w:rsidR="003957D8" w:rsidRPr="00A50E4D">
        <w:rPr>
          <w:lang w:val="en-US"/>
        </w:rPr>
        <w:t xml:space="preserve">Moreover, the Inspectorate “clarified that [its] investigation was not final; it was subject to review by the immediate superiors and was part of a procedure established by the </w:t>
      </w:r>
      <w:r w:rsidR="00CA5D96" w:rsidRPr="00A50E4D">
        <w:rPr>
          <w:lang w:val="en-US"/>
        </w:rPr>
        <w:t>Judicial Service Act and Regulations</w:t>
      </w:r>
      <w:r w:rsidR="003957D8" w:rsidRPr="00A50E4D">
        <w:rPr>
          <w:lang w:val="en-US"/>
        </w:rPr>
        <w:t>.</w:t>
      </w:r>
      <w:r w:rsidR="00930C85" w:rsidRPr="00A50E4D">
        <w:rPr>
          <w:lang w:val="en-US"/>
        </w:rPr>
        <w:t>”</w:t>
      </w:r>
      <w:r w:rsidR="00930C85" w:rsidRPr="00A50E4D">
        <w:rPr>
          <w:rStyle w:val="FootnoteReference"/>
          <w:rFonts w:cs="Arial"/>
          <w:sz w:val="20"/>
          <w:szCs w:val="20"/>
          <w:lang w:val="en-US"/>
        </w:rPr>
        <w:footnoteReference w:id="191"/>
      </w:r>
    </w:p>
    <w:p w14:paraId="5F647E50" w14:textId="77777777" w:rsidR="00930C85" w:rsidRPr="00A50E4D" w:rsidRDefault="00930C85" w:rsidP="00930C85">
      <w:pPr>
        <w:pStyle w:val="NoSpacing"/>
        <w:tabs>
          <w:tab w:val="left" w:pos="567"/>
        </w:tabs>
        <w:rPr>
          <w:spacing w:val="-4"/>
          <w:szCs w:val="20"/>
          <w:lang w:val="en-US"/>
        </w:rPr>
      </w:pPr>
    </w:p>
    <w:p w14:paraId="2D4E9E1A" w14:textId="6DD038A8" w:rsidR="00930C85" w:rsidRPr="00A50E4D" w:rsidRDefault="003957D8" w:rsidP="00930C85">
      <w:pPr>
        <w:pStyle w:val="PrrafodeSentencia"/>
        <w:rPr>
          <w:lang w:val="en-US"/>
        </w:rPr>
      </w:pPr>
      <w:r w:rsidRPr="00A50E4D">
        <w:rPr>
          <w:lang w:val="en-US"/>
        </w:rPr>
        <w:t>On October 20</w:t>
      </w:r>
      <w:r w:rsidR="00CA5D96" w:rsidRPr="00A50E4D">
        <w:rPr>
          <w:lang w:val="en-US"/>
        </w:rPr>
        <w:t>,</w:t>
      </w:r>
      <w:r w:rsidR="00930C85" w:rsidRPr="00A50E4D">
        <w:rPr>
          <w:lang w:val="en-US"/>
        </w:rPr>
        <w:t xml:space="preserve"> 2009</w:t>
      </w:r>
      <w:r w:rsidR="00080E86" w:rsidRPr="00A50E4D">
        <w:rPr>
          <w:lang w:val="en-US"/>
        </w:rPr>
        <w:t>,</w:t>
      </w:r>
      <w:r w:rsidR="00930C85" w:rsidRPr="00A50E4D">
        <w:rPr>
          <w:lang w:val="en-US"/>
        </w:rPr>
        <w:t xml:space="preserve"> </w:t>
      </w:r>
      <w:r w:rsidR="004D0F32" w:rsidRPr="00A50E4D">
        <w:rPr>
          <w:lang w:val="en-US"/>
        </w:rPr>
        <w:t xml:space="preserve">the </w:t>
      </w:r>
      <w:r w:rsidR="00D563D1" w:rsidRPr="00A50E4D">
        <w:rPr>
          <w:lang w:val="en-US"/>
        </w:rPr>
        <w:t>Personnel Management Directorate</w:t>
      </w:r>
      <w:r w:rsidR="00930C85" w:rsidRPr="00A50E4D">
        <w:rPr>
          <w:lang w:val="en-US"/>
        </w:rPr>
        <w:t xml:space="preserve"> </w:t>
      </w:r>
      <w:r w:rsidR="00080E86" w:rsidRPr="00A50E4D">
        <w:rPr>
          <w:lang w:val="en-US"/>
        </w:rPr>
        <w:t>o</w:t>
      </w:r>
      <w:r w:rsidR="00CA5D96" w:rsidRPr="00A50E4D">
        <w:rPr>
          <w:lang w:val="en-US"/>
        </w:rPr>
        <w:t>pened a disciplinary proceeding</w:t>
      </w:r>
      <w:r w:rsidR="00080E86" w:rsidRPr="00A50E4D">
        <w:rPr>
          <w:lang w:val="en-US"/>
        </w:rPr>
        <w:t xml:space="preserve"> against </w:t>
      </w:r>
      <w:r w:rsidR="00A23598" w:rsidRPr="00A50E4D">
        <w:rPr>
          <w:lang w:val="en-US"/>
        </w:rPr>
        <w:t>Ms. Flores</w:t>
      </w:r>
      <w:r w:rsidR="00930C85" w:rsidRPr="00A50E4D">
        <w:rPr>
          <w:lang w:val="en-US"/>
        </w:rPr>
        <w:t xml:space="preserve"> Lanza</w:t>
      </w:r>
      <w:r w:rsidR="009808C5" w:rsidRPr="00A50E4D">
        <w:rPr>
          <w:lang w:val="en-US"/>
        </w:rPr>
        <w:t xml:space="preserve"> and </w:t>
      </w:r>
      <w:r w:rsidR="00080E86" w:rsidRPr="00A50E4D">
        <w:rPr>
          <w:lang w:val="en-US"/>
        </w:rPr>
        <w:t xml:space="preserve">summoned her to appear in order to </w:t>
      </w:r>
      <w:r w:rsidR="00CA5D96" w:rsidRPr="00A50E4D">
        <w:rPr>
          <w:lang w:val="en-US"/>
        </w:rPr>
        <w:t>answer</w:t>
      </w:r>
      <w:r w:rsidR="00080E86" w:rsidRPr="00A50E4D">
        <w:rPr>
          <w:lang w:val="en-US"/>
        </w:rPr>
        <w:t xml:space="preserve"> the charges brought against her.</w:t>
      </w:r>
      <w:r w:rsidR="00930C85" w:rsidRPr="00A50E4D">
        <w:rPr>
          <w:rStyle w:val="FootnoteReference"/>
          <w:rFonts w:cs="Arial"/>
          <w:sz w:val="20"/>
          <w:szCs w:val="20"/>
          <w:lang w:val="en-US"/>
        </w:rPr>
        <w:footnoteReference w:id="192"/>
      </w:r>
      <w:r w:rsidR="00080E86" w:rsidRPr="00A50E4D">
        <w:rPr>
          <w:lang w:val="en-US"/>
        </w:rPr>
        <w:t xml:space="preserve"> After being rescheduled several times, the</w:t>
      </w:r>
      <w:r w:rsidR="00930C85" w:rsidRPr="00A50E4D">
        <w:rPr>
          <w:lang w:val="en-US"/>
        </w:rPr>
        <w:t xml:space="preserve"> </w:t>
      </w:r>
      <w:r w:rsidR="000F4023" w:rsidRPr="00A50E4D">
        <w:rPr>
          <w:lang w:val="en-US"/>
        </w:rPr>
        <w:t>rebuttal hearing</w:t>
      </w:r>
      <w:r w:rsidR="00080E86" w:rsidRPr="00A50E4D">
        <w:rPr>
          <w:lang w:val="en-US"/>
        </w:rPr>
        <w:t xml:space="preserve"> was held on January 7, 2010.</w:t>
      </w:r>
      <w:r w:rsidR="00930C85" w:rsidRPr="00A50E4D">
        <w:rPr>
          <w:rStyle w:val="FootnoteReference"/>
          <w:rFonts w:cs="Arial"/>
          <w:sz w:val="20"/>
          <w:szCs w:val="20"/>
          <w:lang w:val="en-US"/>
        </w:rPr>
        <w:footnoteReference w:id="193"/>
      </w:r>
      <w:r w:rsidR="00930C85" w:rsidRPr="00A50E4D">
        <w:rPr>
          <w:lang w:val="en-US"/>
        </w:rPr>
        <w:t xml:space="preserve"> </w:t>
      </w:r>
      <w:r w:rsidR="00A23598" w:rsidRPr="00A50E4D">
        <w:rPr>
          <w:lang w:val="en-US"/>
        </w:rPr>
        <w:t>Ms. Flores</w:t>
      </w:r>
      <w:r w:rsidR="00930C85" w:rsidRPr="00A50E4D">
        <w:rPr>
          <w:lang w:val="en-US"/>
        </w:rPr>
        <w:t xml:space="preserve"> Lanza </w:t>
      </w:r>
      <w:r w:rsidR="00080E86" w:rsidRPr="00A50E4D">
        <w:rPr>
          <w:lang w:val="en-US"/>
        </w:rPr>
        <w:t xml:space="preserve">presented the corresponding </w:t>
      </w:r>
      <w:r w:rsidR="000A786A" w:rsidRPr="00A50E4D">
        <w:rPr>
          <w:lang w:val="en-US"/>
        </w:rPr>
        <w:t>defense</w:t>
      </w:r>
      <w:r w:rsidR="00080E86" w:rsidRPr="00A50E4D">
        <w:rPr>
          <w:lang w:val="en-US"/>
        </w:rPr>
        <w:t xml:space="preserve"> and</w:t>
      </w:r>
      <w:r w:rsidR="00930C85" w:rsidRPr="00A50E4D">
        <w:rPr>
          <w:lang w:val="en-US"/>
        </w:rPr>
        <w:t xml:space="preserve">, </w:t>
      </w:r>
      <w:r w:rsidR="00930C85" w:rsidRPr="00A50E4D">
        <w:rPr>
          <w:i/>
          <w:lang w:val="en-US"/>
        </w:rPr>
        <w:t>inter alia</w:t>
      </w:r>
      <w:r w:rsidR="00930C85" w:rsidRPr="00A50E4D">
        <w:rPr>
          <w:lang w:val="en-US"/>
        </w:rPr>
        <w:t>, prop</w:t>
      </w:r>
      <w:r w:rsidR="00080E86" w:rsidRPr="00A50E4D">
        <w:rPr>
          <w:lang w:val="en-US"/>
        </w:rPr>
        <w:t>osed evidence that was subsequently admitted.</w:t>
      </w:r>
      <w:r w:rsidR="00930C85" w:rsidRPr="00A50E4D">
        <w:rPr>
          <w:rStyle w:val="FootnoteReference"/>
          <w:rFonts w:cs="Arial"/>
          <w:sz w:val="20"/>
          <w:szCs w:val="20"/>
          <w:lang w:val="en-US"/>
        </w:rPr>
        <w:footnoteReference w:id="194"/>
      </w:r>
    </w:p>
    <w:p w14:paraId="3C141985" w14:textId="77777777" w:rsidR="00930C85" w:rsidRPr="00A50E4D" w:rsidRDefault="00930C85" w:rsidP="00930C85">
      <w:pPr>
        <w:pStyle w:val="NoSpacing"/>
        <w:tabs>
          <w:tab w:val="left" w:pos="567"/>
        </w:tabs>
        <w:rPr>
          <w:spacing w:val="-4"/>
          <w:szCs w:val="20"/>
          <w:lang w:val="en-US"/>
        </w:rPr>
      </w:pPr>
    </w:p>
    <w:p w14:paraId="6A23E77E" w14:textId="3C5D1C60" w:rsidR="00930C85" w:rsidRPr="00A50E4D" w:rsidRDefault="0029085B" w:rsidP="00930C85">
      <w:pPr>
        <w:pStyle w:val="PrrafodeSentencia"/>
        <w:rPr>
          <w:lang w:val="en-US"/>
        </w:rPr>
      </w:pPr>
      <w:r w:rsidRPr="00A50E4D">
        <w:rPr>
          <w:lang w:val="en-US"/>
        </w:rPr>
        <w:t>On April 20,</w:t>
      </w:r>
      <w:r w:rsidR="00930C85" w:rsidRPr="00A50E4D">
        <w:rPr>
          <w:lang w:val="en-US"/>
        </w:rPr>
        <w:t xml:space="preserve"> 2010</w:t>
      </w:r>
      <w:r w:rsidR="00080E86" w:rsidRPr="00A50E4D">
        <w:rPr>
          <w:lang w:val="en-US"/>
        </w:rPr>
        <w:t>,</w:t>
      </w:r>
      <w:r w:rsidR="00930C85" w:rsidRPr="00A50E4D">
        <w:rPr>
          <w:lang w:val="en-US"/>
        </w:rPr>
        <w:t xml:space="preserve"> </w:t>
      </w:r>
      <w:r w:rsidR="004D0F32" w:rsidRPr="00A50E4D">
        <w:rPr>
          <w:lang w:val="en-US"/>
        </w:rPr>
        <w:t xml:space="preserve">the </w:t>
      </w:r>
      <w:r w:rsidR="00D563D1" w:rsidRPr="00A50E4D">
        <w:rPr>
          <w:lang w:val="en-US"/>
        </w:rPr>
        <w:t>Personnel Management Directorate</w:t>
      </w:r>
      <w:r w:rsidR="00930C85" w:rsidRPr="00A50E4D">
        <w:rPr>
          <w:lang w:val="en-US"/>
        </w:rPr>
        <w:t xml:space="preserve"> recom</w:t>
      </w:r>
      <w:r w:rsidR="00080E86" w:rsidRPr="00A50E4D">
        <w:rPr>
          <w:lang w:val="en-US"/>
        </w:rPr>
        <w:t>mended to</w:t>
      </w:r>
      <w:r w:rsidR="00930C85" w:rsidRPr="00A50E4D">
        <w:rPr>
          <w:lang w:val="en-US"/>
        </w:rPr>
        <w:t xml:space="preserve"> </w:t>
      </w:r>
      <w:r w:rsidR="009808C5" w:rsidRPr="00A50E4D">
        <w:rPr>
          <w:lang w:val="en-US"/>
        </w:rPr>
        <w:t xml:space="preserve">the </w:t>
      </w:r>
      <w:r w:rsidR="00700DEC" w:rsidRPr="00A50E4D">
        <w:rPr>
          <w:lang w:val="en-US"/>
        </w:rPr>
        <w:t>Supreme Court</w:t>
      </w:r>
      <w:r w:rsidR="00080E86" w:rsidRPr="00A50E4D">
        <w:rPr>
          <w:lang w:val="en-US"/>
        </w:rPr>
        <w:t xml:space="preserve"> that it</w:t>
      </w:r>
      <w:r w:rsidR="00930C85" w:rsidRPr="00A50E4D">
        <w:rPr>
          <w:lang w:val="en-US"/>
        </w:rPr>
        <w:t>:</w:t>
      </w:r>
    </w:p>
    <w:p w14:paraId="7E74C75A" w14:textId="77777777" w:rsidR="00930C85" w:rsidRPr="00A50E4D" w:rsidRDefault="00930C85" w:rsidP="00930C85">
      <w:pPr>
        <w:pStyle w:val="ListParagraph"/>
        <w:numPr>
          <w:ilvl w:val="0"/>
          <w:numId w:val="0"/>
        </w:numPr>
        <w:rPr>
          <w:spacing w:val="-4"/>
          <w:lang w:val="en-US"/>
        </w:rPr>
      </w:pPr>
    </w:p>
    <w:p w14:paraId="6110CE31" w14:textId="5A96A719" w:rsidR="00930C85" w:rsidRPr="00A50E4D" w:rsidRDefault="00930C85" w:rsidP="00930C85">
      <w:pPr>
        <w:autoSpaceDE w:val="0"/>
        <w:autoSpaceDN w:val="0"/>
        <w:adjustRightInd w:val="0"/>
        <w:ind w:left="567" w:right="544"/>
        <w:rPr>
          <w:rFonts w:cs="Arial"/>
          <w:spacing w:val="-4"/>
          <w:sz w:val="18"/>
          <w:szCs w:val="18"/>
          <w:lang w:val="en-US"/>
        </w:rPr>
      </w:pPr>
      <w:r w:rsidRPr="00A50E4D">
        <w:rPr>
          <w:rFonts w:cs="Arial"/>
          <w:spacing w:val="-4"/>
          <w:sz w:val="18"/>
          <w:szCs w:val="18"/>
          <w:lang w:val="en-US"/>
        </w:rPr>
        <w:t>D</w:t>
      </w:r>
      <w:r w:rsidR="00080E86" w:rsidRPr="00A50E4D">
        <w:rPr>
          <w:rFonts w:cs="Arial"/>
          <w:spacing w:val="-4"/>
          <w:sz w:val="18"/>
          <w:szCs w:val="18"/>
          <w:lang w:val="en-US"/>
        </w:rPr>
        <w:t>ismiss, without any liability for the institution</w:t>
      </w:r>
      <w:r w:rsidR="00313343" w:rsidRPr="00A50E4D">
        <w:rPr>
          <w:rFonts w:cs="Arial"/>
          <w:spacing w:val="-4"/>
          <w:sz w:val="18"/>
          <w:szCs w:val="18"/>
          <w:lang w:val="en-US"/>
        </w:rPr>
        <w:t xml:space="preserve">, attorney </w:t>
      </w:r>
      <w:r w:rsidR="008217D7" w:rsidRPr="00A50E4D">
        <w:rPr>
          <w:rFonts w:cs="Arial"/>
          <w:spacing w:val="-4"/>
          <w:sz w:val="18"/>
          <w:szCs w:val="18"/>
          <w:lang w:val="en-US"/>
        </w:rPr>
        <w:t>Tirza del Carmen</w:t>
      </w:r>
      <w:r w:rsidRPr="00A50E4D">
        <w:rPr>
          <w:rFonts w:cs="Arial"/>
          <w:spacing w:val="-4"/>
          <w:sz w:val="18"/>
          <w:szCs w:val="18"/>
          <w:lang w:val="en-US"/>
        </w:rPr>
        <w:t xml:space="preserve"> FLORES LANZA, […] </w:t>
      </w:r>
      <w:r w:rsidR="00CA5D96" w:rsidRPr="00A50E4D">
        <w:rPr>
          <w:rFonts w:cs="Arial"/>
          <w:spacing w:val="-4"/>
          <w:sz w:val="18"/>
          <w:szCs w:val="18"/>
          <w:lang w:val="en-US"/>
        </w:rPr>
        <w:t>for non-</w:t>
      </w:r>
      <w:r w:rsidR="00313343" w:rsidRPr="00A50E4D">
        <w:rPr>
          <w:rFonts w:cs="Arial"/>
          <w:spacing w:val="-4"/>
          <w:sz w:val="18"/>
          <w:szCs w:val="18"/>
          <w:lang w:val="en-US"/>
        </w:rPr>
        <w:t>compliance or serious or repeated violation of some of the duties, incompatibilities and conduct</w:t>
      </w:r>
      <w:r w:rsidR="00CA5D96" w:rsidRPr="00A50E4D">
        <w:rPr>
          <w:rFonts w:cs="Arial"/>
          <w:spacing w:val="-4"/>
          <w:sz w:val="18"/>
          <w:szCs w:val="18"/>
          <w:lang w:val="en-US"/>
        </w:rPr>
        <w:t>s</w:t>
      </w:r>
      <w:r w:rsidR="00313343" w:rsidRPr="00A50E4D">
        <w:rPr>
          <w:rFonts w:cs="Arial"/>
          <w:spacing w:val="-4"/>
          <w:sz w:val="18"/>
          <w:szCs w:val="18"/>
          <w:lang w:val="en-US"/>
        </w:rPr>
        <w:t xml:space="preserve"> established in Chapters </w:t>
      </w:r>
      <w:r w:rsidRPr="00A50E4D">
        <w:rPr>
          <w:rFonts w:cs="Arial"/>
          <w:spacing w:val="-4"/>
          <w:sz w:val="18"/>
          <w:szCs w:val="18"/>
          <w:lang w:val="en-US"/>
        </w:rPr>
        <w:t>X</w:t>
      </w:r>
      <w:r w:rsidR="009808C5" w:rsidRPr="00A50E4D">
        <w:rPr>
          <w:rFonts w:cs="Arial"/>
          <w:spacing w:val="-4"/>
          <w:sz w:val="18"/>
          <w:szCs w:val="18"/>
          <w:lang w:val="en-US"/>
        </w:rPr>
        <w:t xml:space="preserve"> and </w:t>
      </w:r>
      <w:r w:rsidRPr="00A50E4D">
        <w:rPr>
          <w:rFonts w:cs="Arial"/>
          <w:spacing w:val="-4"/>
          <w:sz w:val="18"/>
          <w:szCs w:val="18"/>
          <w:lang w:val="en-US"/>
        </w:rPr>
        <w:t xml:space="preserve">XI </w:t>
      </w:r>
      <w:r w:rsidR="004D0F32" w:rsidRPr="00A50E4D">
        <w:rPr>
          <w:rFonts w:cs="Arial"/>
          <w:spacing w:val="-4"/>
          <w:sz w:val="18"/>
          <w:szCs w:val="18"/>
          <w:lang w:val="en-US"/>
        </w:rPr>
        <w:t>of the Judicial</w:t>
      </w:r>
      <w:r w:rsidR="00277E12" w:rsidRPr="00A50E4D">
        <w:rPr>
          <w:rFonts w:cs="Arial"/>
          <w:spacing w:val="-4"/>
          <w:sz w:val="18"/>
          <w:szCs w:val="18"/>
          <w:lang w:val="en-US"/>
        </w:rPr>
        <w:t xml:space="preserve"> Service Act</w:t>
      </w:r>
      <w:r w:rsidR="00313343" w:rsidRPr="00A50E4D">
        <w:rPr>
          <w:rFonts w:cs="Arial"/>
          <w:spacing w:val="-4"/>
          <w:sz w:val="18"/>
          <w:szCs w:val="18"/>
          <w:lang w:val="en-US"/>
        </w:rPr>
        <w:t>, by virtue of the following</w:t>
      </w:r>
      <w:r w:rsidRPr="00A50E4D">
        <w:rPr>
          <w:rFonts w:cs="Arial"/>
          <w:spacing w:val="-4"/>
          <w:sz w:val="18"/>
          <w:szCs w:val="18"/>
          <w:lang w:val="en-US"/>
        </w:rPr>
        <w:t xml:space="preserve">: </w:t>
      </w:r>
      <w:r w:rsidR="00313343" w:rsidRPr="00A50E4D">
        <w:rPr>
          <w:rFonts w:cs="Arial"/>
          <w:spacing w:val="-4"/>
          <w:sz w:val="18"/>
          <w:szCs w:val="18"/>
          <w:lang w:val="en-US"/>
        </w:rPr>
        <w:t>(</w:t>
      </w:r>
      <w:r w:rsidR="00313343" w:rsidRPr="00A50E4D">
        <w:rPr>
          <w:rFonts w:cs="Times New Roman"/>
          <w:spacing w:val="-4"/>
          <w:sz w:val="18"/>
          <w:szCs w:val="18"/>
          <w:lang w:val="en-US"/>
        </w:rPr>
        <w:t>1)</w:t>
      </w:r>
      <w:r w:rsidRPr="00A50E4D">
        <w:rPr>
          <w:rFonts w:cs="Times New Roman"/>
          <w:spacing w:val="-4"/>
          <w:sz w:val="18"/>
          <w:szCs w:val="18"/>
          <w:lang w:val="en-US"/>
        </w:rPr>
        <w:t xml:space="preserve"> </w:t>
      </w:r>
      <w:r w:rsidRPr="00A50E4D">
        <w:rPr>
          <w:rFonts w:cs="Arial"/>
          <w:spacing w:val="-4"/>
          <w:sz w:val="18"/>
          <w:szCs w:val="18"/>
          <w:lang w:val="en-US"/>
        </w:rPr>
        <w:t>Ha</w:t>
      </w:r>
      <w:r w:rsidR="00313343" w:rsidRPr="00A50E4D">
        <w:rPr>
          <w:rFonts w:cs="Arial"/>
          <w:spacing w:val="-4"/>
          <w:sz w:val="18"/>
          <w:szCs w:val="18"/>
          <w:lang w:val="en-US"/>
        </w:rPr>
        <w:t>ving been absent from her court office on June 30,</w:t>
      </w:r>
      <w:r w:rsidRPr="00A50E4D">
        <w:rPr>
          <w:rFonts w:cs="Arial"/>
          <w:spacing w:val="-4"/>
          <w:sz w:val="18"/>
          <w:szCs w:val="18"/>
          <w:lang w:val="en-US"/>
        </w:rPr>
        <w:t xml:space="preserve"> 2009, […] </w:t>
      </w:r>
      <w:r w:rsidR="00313343" w:rsidRPr="00A50E4D">
        <w:rPr>
          <w:rFonts w:cs="Arial"/>
          <w:spacing w:val="-4"/>
          <w:sz w:val="18"/>
          <w:szCs w:val="18"/>
          <w:lang w:val="en-US"/>
        </w:rPr>
        <w:t xml:space="preserve">on which date she was in the capital </w:t>
      </w:r>
      <w:r w:rsidR="00700DEC" w:rsidRPr="00A50E4D">
        <w:rPr>
          <w:rFonts w:cs="Arial"/>
          <w:spacing w:val="-4"/>
          <w:sz w:val="18"/>
          <w:szCs w:val="18"/>
          <w:lang w:val="en-US"/>
        </w:rPr>
        <w:t>of the Republic</w:t>
      </w:r>
      <w:r w:rsidRPr="00A50E4D">
        <w:rPr>
          <w:rFonts w:cs="Arial"/>
          <w:spacing w:val="-4"/>
          <w:sz w:val="18"/>
          <w:szCs w:val="18"/>
          <w:lang w:val="en-US"/>
        </w:rPr>
        <w:t xml:space="preserve">, </w:t>
      </w:r>
      <w:r w:rsidR="00313343" w:rsidRPr="00A50E4D">
        <w:rPr>
          <w:rFonts w:cs="Arial"/>
          <w:spacing w:val="-4"/>
          <w:sz w:val="18"/>
          <w:szCs w:val="18"/>
          <w:lang w:val="en-US"/>
        </w:rPr>
        <w:t xml:space="preserve">engaging in matters that are not inherent in the functions of her post, without any record of the respective permission; (2) Engaging in activities incompatible with the performance of her </w:t>
      </w:r>
      <w:r w:rsidR="00CA5D96" w:rsidRPr="00A50E4D">
        <w:rPr>
          <w:rFonts w:cs="Arial"/>
          <w:spacing w:val="-4"/>
          <w:sz w:val="18"/>
          <w:szCs w:val="18"/>
          <w:lang w:val="en-US"/>
        </w:rPr>
        <w:t>functions</w:t>
      </w:r>
      <w:r w:rsidR="00313343" w:rsidRPr="00A50E4D">
        <w:rPr>
          <w:rFonts w:cs="Arial"/>
          <w:spacing w:val="-4"/>
          <w:sz w:val="18"/>
          <w:szCs w:val="18"/>
          <w:lang w:val="en-US"/>
        </w:rPr>
        <w:t>, by engaging in</w:t>
      </w:r>
      <w:r w:rsidR="00366BB3" w:rsidRPr="00A50E4D">
        <w:rPr>
          <w:rFonts w:cs="Arial"/>
          <w:spacing w:val="-4"/>
          <w:sz w:val="18"/>
          <w:szCs w:val="18"/>
          <w:lang w:val="en-US"/>
        </w:rPr>
        <w:t xml:space="preserve"> the practice of law</w:t>
      </w:r>
      <w:r w:rsidR="00CA5D96" w:rsidRPr="00A50E4D">
        <w:rPr>
          <w:rFonts w:cs="Arial"/>
          <w:spacing w:val="-4"/>
          <w:sz w:val="18"/>
          <w:szCs w:val="18"/>
          <w:lang w:val="en-US"/>
        </w:rPr>
        <w:t xml:space="preserve"> in processing a</w:t>
      </w:r>
      <w:r w:rsidR="00313343" w:rsidRPr="00A50E4D">
        <w:rPr>
          <w:rFonts w:cs="Arial"/>
          <w:spacing w:val="-4"/>
          <w:sz w:val="18"/>
          <w:szCs w:val="18"/>
          <w:lang w:val="en-US"/>
        </w:rPr>
        <w:t xml:space="preserve"> request for a declaration of nullity filed in the [proceeding on the application for </w:t>
      </w:r>
      <w:r w:rsidR="00B11ACA" w:rsidRPr="00A50E4D">
        <w:rPr>
          <w:rFonts w:cs="Arial"/>
          <w:i/>
          <w:spacing w:val="-4"/>
          <w:sz w:val="18"/>
          <w:szCs w:val="18"/>
          <w:lang w:val="en-US"/>
        </w:rPr>
        <w:t>amparo</w:t>
      </w:r>
      <w:r w:rsidRPr="00A50E4D">
        <w:rPr>
          <w:rFonts w:cs="Arial"/>
          <w:spacing w:val="-4"/>
          <w:sz w:val="18"/>
          <w:szCs w:val="18"/>
          <w:lang w:val="en-US"/>
        </w:rPr>
        <w:t xml:space="preserve">]; </w:t>
      </w:r>
      <w:r w:rsidR="00313343" w:rsidRPr="00A50E4D">
        <w:rPr>
          <w:rFonts w:cs="Arial"/>
          <w:spacing w:val="-4"/>
          <w:sz w:val="18"/>
          <w:szCs w:val="18"/>
          <w:lang w:val="en-US"/>
        </w:rPr>
        <w:t xml:space="preserve">(3) Indicating the offices of the </w:t>
      </w:r>
      <w:r w:rsidRPr="00A50E4D">
        <w:rPr>
          <w:rFonts w:cs="Arial"/>
          <w:spacing w:val="-4"/>
          <w:sz w:val="18"/>
          <w:szCs w:val="18"/>
          <w:lang w:val="en-US"/>
        </w:rPr>
        <w:t>San Pedro Sula</w:t>
      </w:r>
      <w:r w:rsidR="00313343" w:rsidRPr="00A50E4D">
        <w:rPr>
          <w:rFonts w:cs="Arial"/>
          <w:spacing w:val="-4"/>
          <w:sz w:val="18"/>
          <w:szCs w:val="18"/>
          <w:lang w:val="en-US"/>
        </w:rPr>
        <w:t xml:space="preserve"> Appellate Court as the address for receiving notifications pertaining to actions that are entirely unrelated to her sole function, which is to impart and to administer justice impartially; (4) Involving herself in activities that, as a justice, are not permitted, by appearing </w:t>
      </w:r>
      <w:r w:rsidR="00313343" w:rsidRPr="00A50E4D">
        <w:rPr>
          <w:rFonts w:cs="Arial"/>
          <w:spacing w:val="-4"/>
          <w:sz w:val="18"/>
          <w:szCs w:val="18"/>
          <w:lang w:val="en-US"/>
        </w:rPr>
        <w:lastRenderedPageBreak/>
        <w:t xml:space="preserve">before the Prosecutor General and filing a </w:t>
      </w:r>
      <w:r w:rsidR="000A786A" w:rsidRPr="00A50E4D">
        <w:rPr>
          <w:rFonts w:cs="Arial"/>
          <w:spacing w:val="-4"/>
          <w:sz w:val="18"/>
          <w:szCs w:val="18"/>
          <w:lang w:val="en-US"/>
        </w:rPr>
        <w:t>complaint</w:t>
      </w:r>
      <w:r w:rsidR="00313343" w:rsidRPr="00A50E4D">
        <w:rPr>
          <w:rFonts w:cs="Arial"/>
          <w:spacing w:val="-4"/>
          <w:sz w:val="18"/>
          <w:szCs w:val="18"/>
          <w:lang w:val="en-US"/>
        </w:rPr>
        <w:t xml:space="preserve"> against agents of the State based on the supposed perpetration of offenses, and (5) Making comments on judicial actions of other jurisdictional organs and the Supreme Court itself; all these conducts </w:t>
      </w:r>
      <w:r w:rsidR="00CA5D96" w:rsidRPr="00A50E4D">
        <w:rPr>
          <w:rFonts w:cs="Arial"/>
          <w:spacing w:val="-4"/>
          <w:sz w:val="18"/>
          <w:szCs w:val="18"/>
          <w:lang w:val="en-US"/>
        </w:rPr>
        <w:t xml:space="preserve">are </w:t>
      </w:r>
      <w:r w:rsidR="00313343" w:rsidRPr="00A50E4D">
        <w:rPr>
          <w:rFonts w:cs="Arial"/>
          <w:spacing w:val="-4"/>
          <w:sz w:val="18"/>
          <w:szCs w:val="18"/>
          <w:lang w:val="en-US"/>
        </w:rPr>
        <w:t>incompatible wit</w:t>
      </w:r>
      <w:r w:rsidR="00CA5D96" w:rsidRPr="00A50E4D">
        <w:rPr>
          <w:rFonts w:cs="Arial"/>
          <w:spacing w:val="-4"/>
          <w:sz w:val="18"/>
          <w:szCs w:val="18"/>
          <w:lang w:val="en-US"/>
        </w:rPr>
        <w:t>h the ethical principles and</w:t>
      </w:r>
      <w:r w:rsidR="00313343" w:rsidRPr="00A50E4D">
        <w:rPr>
          <w:rFonts w:cs="Arial"/>
          <w:spacing w:val="-4"/>
          <w:sz w:val="18"/>
          <w:szCs w:val="18"/>
          <w:lang w:val="en-US"/>
        </w:rPr>
        <w:t xml:space="preserve"> legal norms that regulate the actions of judicial officials and employees.</w:t>
      </w:r>
      <w:r w:rsidRPr="00A50E4D">
        <w:rPr>
          <w:rStyle w:val="FootnoteReference"/>
          <w:rFonts w:cs="Arial"/>
          <w:spacing w:val="-4"/>
          <w:sz w:val="18"/>
          <w:szCs w:val="18"/>
          <w:lang w:val="en-US"/>
        </w:rPr>
        <w:footnoteReference w:id="195"/>
      </w:r>
    </w:p>
    <w:p w14:paraId="5CC30970" w14:textId="77777777" w:rsidR="00930C85" w:rsidRPr="00A50E4D" w:rsidRDefault="00930C85" w:rsidP="00995853">
      <w:pPr>
        <w:autoSpaceDE w:val="0"/>
        <w:autoSpaceDN w:val="0"/>
        <w:adjustRightInd w:val="0"/>
        <w:ind w:right="544"/>
        <w:rPr>
          <w:rFonts w:cs="Arial"/>
          <w:spacing w:val="-4"/>
          <w:sz w:val="16"/>
          <w:szCs w:val="16"/>
          <w:lang w:val="en-US"/>
        </w:rPr>
      </w:pPr>
    </w:p>
    <w:p w14:paraId="414DED25" w14:textId="3A7F0E2D" w:rsidR="00930C85" w:rsidRPr="00A50E4D" w:rsidRDefault="0029085B" w:rsidP="00930C85">
      <w:pPr>
        <w:pStyle w:val="PrrafodeSentencia"/>
        <w:rPr>
          <w:lang w:val="en-US"/>
        </w:rPr>
      </w:pPr>
      <w:bookmarkStart w:id="176" w:name="_Ref427311551"/>
      <w:r w:rsidRPr="00A50E4D">
        <w:rPr>
          <w:lang w:val="en-US"/>
        </w:rPr>
        <w:t>On May 5,</w:t>
      </w:r>
      <w:r w:rsidR="00930C85" w:rsidRPr="00A50E4D">
        <w:rPr>
          <w:lang w:val="en-US"/>
        </w:rPr>
        <w:t xml:space="preserve"> 2010</w:t>
      </w:r>
      <w:r w:rsidR="00CA5D96" w:rsidRPr="00A50E4D">
        <w:rPr>
          <w:lang w:val="en-US"/>
        </w:rPr>
        <w:t>, the p</w:t>
      </w:r>
      <w:r w:rsidR="00313343" w:rsidRPr="00A50E4D">
        <w:rPr>
          <w:lang w:val="en-US"/>
        </w:rPr>
        <w:t>lenum</w:t>
      </w:r>
      <w:r w:rsidR="00930C85" w:rsidRPr="00A50E4D">
        <w:rPr>
          <w:lang w:val="en-US"/>
        </w:rPr>
        <w:t xml:space="preserve"> </w:t>
      </w:r>
      <w:r w:rsidR="009808C5" w:rsidRPr="00A50E4D">
        <w:rPr>
          <w:lang w:val="en-US"/>
        </w:rPr>
        <w:t xml:space="preserve">of the </w:t>
      </w:r>
      <w:r w:rsidR="00371BB7" w:rsidRPr="00A50E4D">
        <w:rPr>
          <w:lang w:val="en-US"/>
        </w:rPr>
        <w:t>Supreme Court of Justice</w:t>
      </w:r>
      <w:r w:rsidR="00930C85" w:rsidRPr="00A50E4D">
        <w:rPr>
          <w:lang w:val="en-US"/>
        </w:rPr>
        <w:t xml:space="preserve"> ap</w:t>
      </w:r>
      <w:r w:rsidR="00313343" w:rsidRPr="00A50E4D">
        <w:rPr>
          <w:lang w:val="en-US"/>
        </w:rPr>
        <w:t xml:space="preserve">proved the recommendation </w:t>
      </w:r>
      <w:r w:rsidR="00FF35A9" w:rsidRPr="00A50E4D">
        <w:rPr>
          <w:lang w:val="en-US"/>
        </w:rPr>
        <w:t xml:space="preserve">of the </w:t>
      </w:r>
      <w:r w:rsidR="00D563D1" w:rsidRPr="00A50E4D">
        <w:rPr>
          <w:lang w:val="en-US"/>
        </w:rPr>
        <w:t>Personnel Management Directorate</w:t>
      </w:r>
      <w:r w:rsidR="00930C85" w:rsidRPr="00A50E4D">
        <w:rPr>
          <w:lang w:val="en-US"/>
        </w:rPr>
        <w:t xml:space="preserve"> </w:t>
      </w:r>
      <w:r w:rsidR="00CA5D96" w:rsidRPr="00A50E4D">
        <w:rPr>
          <w:lang w:val="en-US"/>
        </w:rPr>
        <w:t>to dismiss</w:t>
      </w:r>
      <w:r w:rsidR="00313343" w:rsidRPr="00A50E4D">
        <w:rPr>
          <w:lang w:val="en-US"/>
        </w:rPr>
        <w:t xml:space="preserve"> Ms. </w:t>
      </w:r>
      <w:r w:rsidR="00930C85" w:rsidRPr="00A50E4D">
        <w:rPr>
          <w:lang w:val="en-US"/>
        </w:rPr>
        <w:t>Flores Lanza</w:t>
      </w:r>
      <w:r w:rsidR="009808C5" w:rsidRPr="00A50E4D">
        <w:rPr>
          <w:lang w:val="en-US"/>
        </w:rPr>
        <w:t xml:space="preserve"> and </w:t>
      </w:r>
      <w:r w:rsidR="000A786A" w:rsidRPr="00A50E4D">
        <w:rPr>
          <w:lang w:val="en-US"/>
        </w:rPr>
        <w:t>appointed</w:t>
      </w:r>
      <w:r w:rsidR="00313343" w:rsidRPr="00A50E4D">
        <w:rPr>
          <w:lang w:val="en-US"/>
        </w:rPr>
        <w:t xml:space="preserve"> a committee of three justices “to draw up the corresponding resolution and then to issue the respective dismissal decision.</w:t>
      </w:r>
      <w:r w:rsidR="00930C85" w:rsidRPr="00A50E4D">
        <w:rPr>
          <w:lang w:val="en-US"/>
        </w:rPr>
        <w:t>”</w:t>
      </w:r>
      <w:r w:rsidR="00930C85" w:rsidRPr="00A50E4D">
        <w:rPr>
          <w:rStyle w:val="FootnoteReference"/>
          <w:sz w:val="20"/>
          <w:szCs w:val="20"/>
          <w:lang w:val="en-US"/>
        </w:rPr>
        <w:footnoteReference w:id="196"/>
      </w:r>
      <w:r w:rsidR="00930C85" w:rsidRPr="00A50E4D">
        <w:rPr>
          <w:lang w:val="en-US"/>
        </w:rPr>
        <w:t xml:space="preserve"> </w:t>
      </w:r>
      <w:r w:rsidR="00DA1DCB" w:rsidRPr="00A50E4D">
        <w:rPr>
          <w:lang w:val="en-US"/>
        </w:rPr>
        <w:t>The case file contains a resolut</w:t>
      </w:r>
      <w:r w:rsidR="00313343" w:rsidRPr="00A50E4D">
        <w:rPr>
          <w:lang w:val="en-US"/>
        </w:rPr>
        <w:t xml:space="preserve">ion of the same date signed by </w:t>
      </w:r>
      <w:r w:rsidR="00CD2874" w:rsidRPr="00A50E4D">
        <w:rPr>
          <w:lang w:val="en-US"/>
        </w:rPr>
        <w:t>the President</w:t>
      </w:r>
      <w:r w:rsidR="009808C5" w:rsidRPr="00A50E4D">
        <w:rPr>
          <w:lang w:val="en-US"/>
        </w:rPr>
        <w:t xml:space="preserve"> and </w:t>
      </w:r>
      <w:r w:rsidR="00313343" w:rsidRPr="00A50E4D">
        <w:rPr>
          <w:lang w:val="en-US"/>
        </w:rPr>
        <w:t xml:space="preserve">the Secretary </w:t>
      </w:r>
      <w:r w:rsidR="009808C5" w:rsidRPr="00A50E4D">
        <w:rPr>
          <w:lang w:val="en-US"/>
        </w:rPr>
        <w:t xml:space="preserve">of the </w:t>
      </w:r>
      <w:r w:rsidR="00700DEC" w:rsidRPr="00A50E4D">
        <w:rPr>
          <w:lang w:val="en-US"/>
        </w:rPr>
        <w:t>Supreme Court</w:t>
      </w:r>
      <w:r w:rsidR="00930C85" w:rsidRPr="00A50E4D">
        <w:rPr>
          <w:lang w:val="en-US"/>
        </w:rPr>
        <w:t>,</w:t>
      </w:r>
      <w:r w:rsidR="00313343" w:rsidRPr="00A50E4D">
        <w:rPr>
          <w:lang w:val="en-US"/>
        </w:rPr>
        <w:t xml:space="preserve"> in which, apparently following up on the </w:t>
      </w:r>
      <w:r w:rsidR="00DA1DCB" w:rsidRPr="00A50E4D">
        <w:rPr>
          <w:lang w:val="en-US"/>
        </w:rPr>
        <w:t>orders</w:t>
      </w:r>
      <w:r w:rsidR="00313343" w:rsidRPr="00A50E4D">
        <w:rPr>
          <w:lang w:val="en-US"/>
        </w:rPr>
        <w:t xml:space="preserve"> of </w:t>
      </w:r>
      <w:r w:rsidR="00CA5D96" w:rsidRPr="00A50E4D">
        <w:rPr>
          <w:lang w:val="en-US"/>
        </w:rPr>
        <w:t>the plenum</w:t>
      </w:r>
      <w:r w:rsidR="00313343" w:rsidRPr="00A50E4D">
        <w:rPr>
          <w:lang w:val="en-US"/>
        </w:rPr>
        <w:t xml:space="preserve">, it set out “the corresponding </w:t>
      </w:r>
      <w:r w:rsidR="009545AB" w:rsidRPr="00A50E4D">
        <w:rPr>
          <w:lang w:val="en-US"/>
        </w:rPr>
        <w:t>grounds, which have</w:t>
      </w:r>
      <w:r w:rsidR="00313343" w:rsidRPr="00A50E4D">
        <w:rPr>
          <w:lang w:val="en-US"/>
        </w:rPr>
        <w:t xml:space="preserve"> been approved, adding the date </w:t>
      </w:r>
      <w:r w:rsidR="00930C85" w:rsidRPr="00A50E4D">
        <w:rPr>
          <w:lang w:val="en-US"/>
        </w:rPr>
        <w:t xml:space="preserve"> </w:t>
      </w:r>
      <w:r w:rsidR="00313343" w:rsidRPr="00A50E4D">
        <w:rPr>
          <w:lang w:val="en-US"/>
        </w:rPr>
        <w:t>on which the plenary meeting had been held.</w:t>
      </w:r>
      <w:r w:rsidR="00930C85" w:rsidRPr="00A50E4D">
        <w:rPr>
          <w:lang w:val="en-US"/>
        </w:rPr>
        <w:t>”</w:t>
      </w:r>
      <w:r w:rsidR="00930C85" w:rsidRPr="00A50E4D">
        <w:rPr>
          <w:rStyle w:val="FootnoteReference"/>
          <w:rFonts w:cs="Arial"/>
          <w:sz w:val="20"/>
          <w:szCs w:val="20"/>
          <w:lang w:val="en-US"/>
        </w:rPr>
        <w:footnoteReference w:id="197"/>
      </w:r>
      <w:r w:rsidR="00313343" w:rsidRPr="00A50E4D">
        <w:rPr>
          <w:lang w:val="en-US"/>
        </w:rPr>
        <w:t xml:space="preserve"> However, this resolution was not notified to </w:t>
      </w:r>
      <w:r w:rsidR="00A23598" w:rsidRPr="00A50E4D">
        <w:rPr>
          <w:lang w:val="en-US"/>
        </w:rPr>
        <w:t>Ms. Flores</w:t>
      </w:r>
      <w:r w:rsidR="00930C85" w:rsidRPr="00A50E4D">
        <w:rPr>
          <w:lang w:val="en-US"/>
        </w:rPr>
        <w:t xml:space="preserve"> Lanza</w:t>
      </w:r>
      <w:r w:rsidR="00313343" w:rsidRPr="00A50E4D">
        <w:rPr>
          <w:lang w:val="en-US"/>
        </w:rPr>
        <w:t>.</w:t>
      </w:r>
      <w:r w:rsidR="00930C85" w:rsidRPr="00A50E4D">
        <w:rPr>
          <w:rStyle w:val="FootnoteReference"/>
          <w:sz w:val="20"/>
          <w:szCs w:val="20"/>
          <w:lang w:val="en-US"/>
        </w:rPr>
        <w:footnoteReference w:id="198"/>
      </w:r>
      <w:r w:rsidR="00930C85" w:rsidRPr="00A50E4D">
        <w:rPr>
          <w:szCs w:val="20"/>
          <w:lang w:val="en-US"/>
        </w:rPr>
        <w:t xml:space="preserve"> </w:t>
      </w:r>
      <w:r w:rsidR="00313343" w:rsidRPr="00A50E4D">
        <w:rPr>
          <w:szCs w:val="20"/>
          <w:lang w:val="en-US"/>
        </w:rPr>
        <w:t>On May 21,</w:t>
      </w:r>
      <w:r w:rsidR="00930C85" w:rsidRPr="00A50E4D">
        <w:rPr>
          <w:lang w:val="en-US"/>
        </w:rPr>
        <w:t xml:space="preserve"> 2010</w:t>
      </w:r>
      <w:r w:rsidR="00313343" w:rsidRPr="00A50E4D">
        <w:rPr>
          <w:lang w:val="en-US"/>
        </w:rPr>
        <w:t xml:space="preserve">, </w:t>
      </w:r>
      <w:r w:rsidR="00371BB7" w:rsidRPr="00A50E4D">
        <w:rPr>
          <w:lang w:val="en-US"/>
        </w:rPr>
        <w:t>the presumed victims</w:t>
      </w:r>
      <w:r w:rsidR="00930C85" w:rsidRPr="00A50E4D">
        <w:rPr>
          <w:lang w:val="en-US"/>
        </w:rPr>
        <w:t xml:space="preserve"> </w:t>
      </w:r>
      <w:r w:rsidR="00313343" w:rsidRPr="00A50E4D">
        <w:rPr>
          <w:lang w:val="en-US"/>
        </w:rPr>
        <w:t>filed a joint request before the Supreme Court for reconsideration of the sanctions of dismissal of those concerned</w:t>
      </w:r>
      <w:r w:rsidR="00930C85" w:rsidRPr="00A50E4D">
        <w:rPr>
          <w:lang w:val="en-US"/>
        </w:rPr>
        <w:t xml:space="preserve">, </w:t>
      </w:r>
      <w:r w:rsidR="00313343" w:rsidRPr="00A50E4D">
        <w:rPr>
          <w:lang w:val="en-US"/>
        </w:rPr>
        <w:t xml:space="preserve">pointing out that they had learned of the decisions on May 5, through the media, but had not received the corresponding </w:t>
      </w:r>
      <w:r w:rsidR="009545AB" w:rsidRPr="00A50E4D">
        <w:rPr>
          <w:lang w:val="en-US"/>
        </w:rPr>
        <w:t>resolutions</w:t>
      </w:r>
      <w:r w:rsidR="00313343" w:rsidRPr="00A50E4D">
        <w:rPr>
          <w:lang w:val="en-US"/>
        </w:rPr>
        <w:t>.</w:t>
      </w:r>
      <w:r w:rsidR="00930C85" w:rsidRPr="00A50E4D">
        <w:rPr>
          <w:rStyle w:val="FootnoteReference"/>
          <w:rFonts w:cs="Arial"/>
          <w:sz w:val="20"/>
          <w:szCs w:val="20"/>
          <w:lang w:val="en-US"/>
        </w:rPr>
        <w:footnoteReference w:id="199"/>
      </w:r>
      <w:bookmarkEnd w:id="176"/>
    </w:p>
    <w:p w14:paraId="658F8E03" w14:textId="77777777" w:rsidR="00930C85" w:rsidRPr="00A50E4D" w:rsidRDefault="00930C85" w:rsidP="00930C85">
      <w:pPr>
        <w:pStyle w:val="NoSpacing"/>
        <w:tabs>
          <w:tab w:val="left" w:pos="567"/>
        </w:tabs>
        <w:rPr>
          <w:spacing w:val="-4"/>
          <w:szCs w:val="20"/>
          <w:lang w:val="en-US"/>
        </w:rPr>
      </w:pPr>
    </w:p>
    <w:p w14:paraId="4F4806AB" w14:textId="164F784C" w:rsidR="00930C85" w:rsidRPr="00A50E4D" w:rsidRDefault="00313343" w:rsidP="002E4296">
      <w:pPr>
        <w:pStyle w:val="PrrafodeSentencia"/>
        <w:rPr>
          <w:lang w:val="en-US"/>
        </w:rPr>
      </w:pPr>
      <w:bookmarkStart w:id="177" w:name="_Ref427311483"/>
      <w:r w:rsidRPr="00A50E4D">
        <w:rPr>
          <w:lang w:val="en-US"/>
        </w:rPr>
        <w:t xml:space="preserve">On June 4, </w:t>
      </w:r>
      <w:r w:rsidR="009808C5" w:rsidRPr="00A50E4D">
        <w:rPr>
          <w:lang w:val="en-US"/>
        </w:rPr>
        <w:t xml:space="preserve">the </w:t>
      </w:r>
      <w:r w:rsidR="00700DEC" w:rsidRPr="00A50E4D">
        <w:rPr>
          <w:lang w:val="en-US"/>
        </w:rPr>
        <w:t>Supreme Court</w:t>
      </w:r>
      <w:r w:rsidR="00930C85" w:rsidRPr="00A50E4D">
        <w:rPr>
          <w:lang w:val="en-US"/>
        </w:rPr>
        <w:t xml:space="preserve"> </w:t>
      </w:r>
      <w:r w:rsidR="002E4296" w:rsidRPr="00A50E4D">
        <w:rPr>
          <w:lang w:val="en-US"/>
        </w:rPr>
        <w:t>issued</w:t>
      </w:r>
      <w:r w:rsidRPr="00A50E4D">
        <w:rPr>
          <w:lang w:val="en-US"/>
        </w:rPr>
        <w:t xml:space="preserve"> </w:t>
      </w:r>
      <w:r w:rsidR="002E4296" w:rsidRPr="00A50E4D">
        <w:rPr>
          <w:lang w:val="en-US"/>
        </w:rPr>
        <w:t>a ruling on the dismissal</w:t>
      </w:r>
      <w:r w:rsidRPr="00A50E4D">
        <w:rPr>
          <w:lang w:val="en-US"/>
        </w:rPr>
        <w:t xml:space="preserve">; the only justification included was the following: </w:t>
      </w:r>
      <w:bookmarkEnd w:id="177"/>
    </w:p>
    <w:p w14:paraId="1934B872" w14:textId="77777777" w:rsidR="00930C85" w:rsidRPr="00A50E4D" w:rsidRDefault="00930C85" w:rsidP="00930C85">
      <w:pPr>
        <w:pStyle w:val="NoSpacing"/>
        <w:tabs>
          <w:tab w:val="left" w:pos="567"/>
        </w:tabs>
        <w:rPr>
          <w:spacing w:val="-4"/>
          <w:szCs w:val="20"/>
          <w:lang w:val="en-US"/>
        </w:rPr>
      </w:pPr>
    </w:p>
    <w:p w14:paraId="1694BD97" w14:textId="2C844A3D" w:rsidR="00930C85" w:rsidRPr="00A50E4D" w:rsidRDefault="009808C5" w:rsidP="00995853">
      <w:pPr>
        <w:autoSpaceDE w:val="0"/>
        <w:autoSpaceDN w:val="0"/>
        <w:adjustRightInd w:val="0"/>
        <w:ind w:left="567" w:right="544"/>
        <w:rPr>
          <w:spacing w:val="-4"/>
          <w:sz w:val="18"/>
          <w:szCs w:val="18"/>
          <w:lang w:val="en-US"/>
        </w:rPr>
      </w:pPr>
      <w:r w:rsidRPr="00A50E4D">
        <w:rPr>
          <w:spacing w:val="-4"/>
          <w:sz w:val="18"/>
          <w:szCs w:val="18"/>
          <w:lang w:val="en-US"/>
        </w:rPr>
        <w:t xml:space="preserve">THE </w:t>
      </w:r>
      <w:r w:rsidR="00371BB7" w:rsidRPr="00A50E4D">
        <w:rPr>
          <w:spacing w:val="-4"/>
          <w:sz w:val="18"/>
          <w:szCs w:val="18"/>
          <w:lang w:val="en-US"/>
        </w:rPr>
        <w:t>SUPREME COURT OF JUSTICE</w:t>
      </w:r>
      <w:r w:rsidR="00313343" w:rsidRPr="00A50E4D">
        <w:rPr>
          <w:spacing w:val="-4"/>
          <w:sz w:val="18"/>
          <w:szCs w:val="18"/>
          <w:lang w:val="en-US"/>
        </w:rPr>
        <w:t xml:space="preserve"> </w:t>
      </w:r>
      <w:r w:rsidR="00313343" w:rsidRPr="00A50E4D">
        <w:rPr>
          <w:rFonts w:cs="Helvetica"/>
          <w:sz w:val="18"/>
          <w:szCs w:val="18"/>
          <w:lang w:val="en-US"/>
        </w:rPr>
        <w:t>HEREBY DECIDES: (1) To dismiss, without any liability to the institution, attorney TIRZA DEL CARMEN FLORES LANZA from the post of justice on the San Pedro Sula Appellate Court, department of Cortés, for non-compliance with, or serious or repeated violation of, some of the duties, incompatibilities and conduct</w:t>
      </w:r>
      <w:r w:rsidR="009545AB" w:rsidRPr="00A50E4D">
        <w:rPr>
          <w:rFonts w:cs="Helvetica"/>
          <w:sz w:val="18"/>
          <w:szCs w:val="18"/>
          <w:lang w:val="en-US"/>
        </w:rPr>
        <w:t>s set forth in C</w:t>
      </w:r>
      <w:r w:rsidR="00313343" w:rsidRPr="00A50E4D">
        <w:rPr>
          <w:rFonts w:cs="Helvetica"/>
          <w:sz w:val="18"/>
          <w:szCs w:val="18"/>
          <w:lang w:val="en-US"/>
        </w:rPr>
        <w:t xml:space="preserve">hapters X and XI of the Judicial Service Act, by virtue of the following: </w:t>
      </w:r>
      <w:r w:rsidR="00995853" w:rsidRPr="00A50E4D">
        <w:rPr>
          <w:rFonts w:cs="Helvetica"/>
          <w:sz w:val="18"/>
          <w:szCs w:val="18"/>
          <w:lang w:val="en-US"/>
        </w:rPr>
        <w:t xml:space="preserve">(a) having been absent from her court office on June 30, 2009, on which date she was in the capital of the Republic engaging in matters that are not inherent functions of her post, without obtaining the necessary leave; </w:t>
      </w:r>
      <w:r w:rsidR="009545AB" w:rsidRPr="00A50E4D">
        <w:rPr>
          <w:rFonts w:cs="Helvetica"/>
          <w:sz w:val="18"/>
          <w:szCs w:val="18"/>
          <w:lang w:val="en-US"/>
        </w:rPr>
        <w:t>(</w:t>
      </w:r>
      <w:r w:rsidR="00995853" w:rsidRPr="00A50E4D">
        <w:rPr>
          <w:rFonts w:cs="Helvetica"/>
          <w:sz w:val="18"/>
          <w:szCs w:val="18"/>
          <w:lang w:val="en-US"/>
        </w:rPr>
        <w:t xml:space="preserve">b) </w:t>
      </w:r>
      <w:r w:rsidR="009545AB" w:rsidRPr="00A50E4D">
        <w:rPr>
          <w:rFonts w:cs="Helvetica"/>
          <w:sz w:val="18"/>
          <w:szCs w:val="18"/>
          <w:lang w:val="en-US"/>
        </w:rPr>
        <w:t>carrying out</w:t>
      </w:r>
      <w:r w:rsidR="00995853" w:rsidRPr="00A50E4D">
        <w:rPr>
          <w:rFonts w:cs="Helvetica"/>
          <w:sz w:val="18"/>
          <w:szCs w:val="18"/>
          <w:lang w:val="en-US"/>
        </w:rPr>
        <w:t xml:space="preserve"> activities incompatible with the performance of her office, by engaging in </w:t>
      </w:r>
      <w:r w:rsidR="00366BB3" w:rsidRPr="00A50E4D">
        <w:rPr>
          <w:rFonts w:cs="Helvetica"/>
          <w:sz w:val="18"/>
          <w:szCs w:val="18"/>
          <w:lang w:val="en-US"/>
        </w:rPr>
        <w:t>the practice of law</w:t>
      </w:r>
      <w:r w:rsidR="009545AB" w:rsidRPr="00A50E4D">
        <w:rPr>
          <w:rFonts w:cs="Helvetica"/>
          <w:sz w:val="18"/>
          <w:szCs w:val="18"/>
          <w:lang w:val="en-US"/>
        </w:rPr>
        <w:t xml:space="preserve"> in processing </w:t>
      </w:r>
      <w:r w:rsidR="00995853" w:rsidRPr="00A50E4D">
        <w:rPr>
          <w:rFonts w:cs="Helvetica"/>
          <w:sz w:val="18"/>
          <w:szCs w:val="18"/>
          <w:lang w:val="en-US"/>
        </w:rPr>
        <w:t xml:space="preserve">the request for a declaration of nullity filed in the proceeding on the application for </w:t>
      </w:r>
      <w:r w:rsidR="00B11ACA" w:rsidRPr="00A50E4D">
        <w:rPr>
          <w:rFonts w:cs="Helvetica"/>
          <w:i/>
          <w:sz w:val="18"/>
          <w:szCs w:val="18"/>
          <w:lang w:val="en-US"/>
        </w:rPr>
        <w:t>amparo</w:t>
      </w:r>
      <w:r w:rsidR="009545AB" w:rsidRPr="00A50E4D">
        <w:rPr>
          <w:rFonts w:cs="Helvetica"/>
          <w:sz w:val="18"/>
          <w:szCs w:val="18"/>
          <w:lang w:val="en-US"/>
        </w:rPr>
        <w:t>; (c)</w:t>
      </w:r>
      <w:r w:rsidR="00995853" w:rsidRPr="00A50E4D">
        <w:rPr>
          <w:rFonts w:cs="Helvetica"/>
          <w:sz w:val="18"/>
          <w:szCs w:val="18"/>
          <w:lang w:val="en-US"/>
        </w:rPr>
        <w:t xml:space="preserve"> indicating the offices of the San Pedro Sula Appellate Court, which is the exclusive and legal domicile of the Judiciary, as the address for receiving notifications pertaining to actions entirely unrelated to her sole function, which is to impart and administer justice impartially; (d) </w:t>
      </w:r>
      <w:r w:rsidR="009545AB" w:rsidRPr="00A50E4D">
        <w:rPr>
          <w:rFonts w:cs="Helvetica"/>
          <w:sz w:val="18"/>
          <w:szCs w:val="18"/>
          <w:lang w:val="en-US"/>
        </w:rPr>
        <w:t>becoming involved</w:t>
      </w:r>
      <w:r w:rsidR="00995853" w:rsidRPr="00A50E4D">
        <w:rPr>
          <w:rFonts w:cs="Helvetica"/>
          <w:sz w:val="18"/>
          <w:szCs w:val="18"/>
          <w:lang w:val="en-US"/>
        </w:rPr>
        <w:t xml:space="preserve"> in activities that, as a justice, are not permitted, by appearing before </w:t>
      </w:r>
      <w:r w:rsidR="009545AB" w:rsidRPr="00A50E4D">
        <w:rPr>
          <w:rFonts w:cs="Helvetica"/>
          <w:sz w:val="18"/>
          <w:szCs w:val="18"/>
          <w:lang w:val="en-US"/>
        </w:rPr>
        <w:t xml:space="preserve">the </w:t>
      </w:r>
      <w:r w:rsidR="00995853" w:rsidRPr="00A50E4D">
        <w:rPr>
          <w:rFonts w:cs="Helvetica"/>
          <w:sz w:val="18"/>
          <w:szCs w:val="18"/>
          <w:lang w:val="en-US"/>
        </w:rPr>
        <w:t>Prosecutor General to file a complaint against agents of the State for the supposed perpetration of offenses; (e) making commen</w:t>
      </w:r>
      <w:r w:rsidR="009A7056" w:rsidRPr="00A50E4D">
        <w:rPr>
          <w:rFonts w:cs="Helvetica"/>
          <w:sz w:val="18"/>
          <w:szCs w:val="18"/>
          <w:lang w:val="en-US"/>
        </w:rPr>
        <w:t>ts on</w:t>
      </w:r>
      <w:r w:rsidR="00995853" w:rsidRPr="00A50E4D">
        <w:rPr>
          <w:rFonts w:cs="Helvetica"/>
          <w:sz w:val="18"/>
          <w:szCs w:val="18"/>
          <w:lang w:val="en-US"/>
        </w:rPr>
        <w:t xml:space="preserve"> judicial acts of other jurisdictional bodies, including the [S</w:t>
      </w:r>
      <w:r w:rsidR="009545AB" w:rsidRPr="00A50E4D">
        <w:rPr>
          <w:rFonts w:cs="Helvetica"/>
          <w:sz w:val="18"/>
          <w:szCs w:val="18"/>
          <w:lang w:val="en-US"/>
        </w:rPr>
        <w:t>upreme Court of Justice</w:t>
      </w:r>
      <w:r w:rsidR="00995853" w:rsidRPr="00A50E4D">
        <w:rPr>
          <w:rFonts w:cs="Helvetica"/>
          <w:sz w:val="18"/>
          <w:szCs w:val="18"/>
          <w:lang w:val="en-US"/>
        </w:rPr>
        <w:t>] itself</w:t>
      </w:r>
      <w:r w:rsidR="00313343" w:rsidRPr="00A50E4D">
        <w:rPr>
          <w:rFonts w:cs="Helvetica"/>
          <w:sz w:val="18"/>
          <w:szCs w:val="18"/>
          <w:lang w:val="en-US"/>
        </w:rPr>
        <w:t xml:space="preserve">; all these </w:t>
      </w:r>
      <w:r w:rsidR="009545AB" w:rsidRPr="00A50E4D">
        <w:rPr>
          <w:rFonts w:cs="Helvetica"/>
          <w:sz w:val="18"/>
          <w:szCs w:val="18"/>
          <w:lang w:val="en-US"/>
        </w:rPr>
        <w:t>conduct</w:t>
      </w:r>
      <w:r w:rsidR="00313343" w:rsidRPr="00A50E4D">
        <w:rPr>
          <w:rFonts w:cs="Helvetica"/>
          <w:sz w:val="18"/>
          <w:szCs w:val="18"/>
          <w:lang w:val="en-US"/>
        </w:rPr>
        <w:t xml:space="preserve">s are incompatible with the ethical principles and legal norms governing the conduct of judicial officials and employees. Articles 80, 82, 90(1), 303, </w:t>
      </w:r>
      <w:r w:rsidR="009545AB" w:rsidRPr="00A50E4D">
        <w:rPr>
          <w:rFonts w:cs="Helvetica"/>
          <w:sz w:val="18"/>
          <w:szCs w:val="18"/>
          <w:lang w:val="en-US"/>
        </w:rPr>
        <w:t>313(1)</w:t>
      </w:r>
      <w:r w:rsidR="00313343" w:rsidRPr="00A50E4D">
        <w:rPr>
          <w:rFonts w:cs="Helvetica"/>
          <w:sz w:val="18"/>
          <w:szCs w:val="18"/>
          <w:lang w:val="en-US"/>
        </w:rPr>
        <w:t xml:space="preserve"> and (8), 318, </w:t>
      </w:r>
      <w:r w:rsidR="00313343" w:rsidRPr="00A50E4D">
        <w:rPr>
          <w:rFonts w:cs="Helvetica"/>
          <w:sz w:val="18"/>
          <w:szCs w:val="18"/>
          <w:lang w:val="en-US"/>
        </w:rPr>
        <w:lastRenderedPageBreak/>
        <w:t>319, 322 and 323 of the Constitution of the Republic; XXXIII of the Universal Declaration of the Ri</w:t>
      </w:r>
      <w:r w:rsidR="009545AB" w:rsidRPr="00A50E4D">
        <w:rPr>
          <w:rFonts w:cs="Helvetica"/>
          <w:sz w:val="18"/>
          <w:szCs w:val="18"/>
          <w:lang w:val="en-US"/>
        </w:rPr>
        <w:t>ghts and Duties of Man; 1, 3, 4(i), 44, 45, 51, 53(g), 54(c), 55, 56(3), 60, 64</w:t>
      </w:r>
      <w:r w:rsidR="00C7629D" w:rsidRPr="00A50E4D">
        <w:rPr>
          <w:rFonts w:cs="Helvetica"/>
          <w:sz w:val="18"/>
          <w:szCs w:val="18"/>
          <w:lang w:val="en-US"/>
        </w:rPr>
        <w:t>(a), 65, 66, 73, 74, 83 and 84</w:t>
      </w:r>
      <w:r w:rsidR="00313343" w:rsidRPr="00A50E4D">
        <w:rPr>
          <w:rFonts w:cs="Helvetica"/>
          <w:sz w:val="18"/>
          <w:szCs w:val="18"/>
          <w:lang w:val="en-US"/>
        </w:rPr>
        <w:t xml:space="preserve"> of the Judi</w:t>
      </w:r>
      <w:r w:rsidR="009545AB" w:rsidRPr="00A50E4D">
        <w:rPr>
          <w:rFonts w:cs="Helvetica"/>
          <w:sz w:val="18"/>
          <w:szCs w:val="18"/>
          <w:lang w:val="en-US"/>
        </w:rPr>
        <w:t>cial Service Act; 1, 3, 4, 7, 9</w:t>
      </w:r>
      <w:r w:rsidR="00313343" w:rsidRPr="00A50E4D">
        <w:rPr>
          <w:rFonts w:cs="Helvetica"/>
          <w:sz w:val="18"/>
          <w:szCs w:val="18"/>
          <w:lang w:val="en-US"/>
        </w:rPr>
        <w:t>(1</w:t>
      </w:r>
      <w:r w:rsidR="009545AB" w:rsidRPr="00A50E4D">
        <w:rPr>
          <w:rFonts w:cs="Helvetica"/>
          <w:sz w:val="18"/>
          <w:szCs w:val="18"/>
          <w:lang w:val="en-US"/>
        </w:rPr>
        <w:t>), 149, 157, 160, 161, 171, 172(f), 173(c), 174, 180(3), 184, 186, 187</w:t>
      </w:r>
      <w:r w:rsidR="00313343" w:rsidRPr="00A50E4D">
        <w:rPr>
          <w:rFonts w:cs="Helvetica"/>
          <w:sz w:val="18"/>
          <w:szCs w:val="18"/>
          <w:lang w:val="en-US"/>
        </w:rPr>
        <w:t>(a), 188, 189, 190, 206, and 214 of the Regulations govern</w:t>
      </w:r>
      <w:r w:rsidR="009545AB" w:rsidRPr="00A50E4D">
        <w:rPr>
          <w:rFonts w:cs="Helvetica"/>
          <w:sz w:val="18"/>
          <w:szCs w:val="18"/>
          <w:lang w:val="en-US"/>
        </w:rPr>
        <w:t>ing the Judicial Service Act; 3</w:t>
      </w:r>
      <w:r w:rsidR="00313343" w:rsidRPr="00A50E4D">
        <w:rPr>
          <w:rFonts w:cs="Helvetica"/>
          <w:sz w:val="18"/>
          <w:szCs w:val="18"/>
          <w:lang w:val="en-US"/>
        </w:rPr>
        <w:t>(6) and 108 of the Law on the Organization, Functions and Authorities of the Courts; 53 of the Ibero-American Model Code of Judicial Ethics; 10 and 20 of the Statute of the Ibero-American Judge; and 1(1), 2(d), 8(a) and 9 of the Code of Ethics for Judicial Officials and Employees.</w:t>
      </w:r>
      <w:r w:rsidR="00930C85" w:rsidRPr="00A50E4D">
        <w:rPr>
          <w:rStyle w:val="FootnoteReference"/>
          <w:rFonts w:cs="Arial"/>
          <w:spacing w:val="-4"/>
          <w:sz w:val="18"/>
          <w:szCs w:val="18"/>
          <w:lang w:val="en-US"/>
        </w:rPr>
        <w:footnoteReference w:id="200"/>
      </w:r>
    </w:p>
    <w:p w14:paraId="633A0AF7" w14:textId="77777777" w:rsidR="00930C85" w:rsidRPr="00A50E4D" w:rsidRDefault="00930C85" w:rsidP="00930C85">
      <w:pPr>
        <w:pStyle w:val="NoSpacing"/>
        <w:tabs>
          <w:tab w:val="left" w:pos="567"/>
        </w:tabs>
        <w:rPr>
          <w:spacing w:val="-4"/>
          <w:szCs w:val="20"/>
          <w:lang w:val="en-US"/>
        </w:rPr>
      </w:pPr>
    </w:p>
    <w:p w14:paraId="44C3A003" w14:textId="4EEB8C1B" w:rsidR="00930C85" w:rsidRPr="00A50E4D" w:rsidRDefault="00930C85" w:rsidP="008D65AB">
      <w:pPr>
        <w:pStyle w:val="PrrafodeSentencia"/>
        <w:rPr>
          <w:lang w:val="en-US"/>
        </w:rPr>
      </w:pPr>
      <w:bookmarkStart w:id="178" w:name="_Ref427311035"/>
      <w:r w:rsidRPr="00A50E4D">
        <w:rPr>
          <w:lang w:val="en-US"/>
        </w:rPr>
        <w:t>A</w:t>
      </w:r>
      <w:r w:rsidR="008D65AB" w:rsidRPr="00A50E4D">
        <w:rPr>
          <w:lang w:val="en-US"/>
        </w:rPr>
        <w:t xml:space="preserve">s a result of this </w:t>
      </w:r>
      <w:r w:rsidR="000A786A" w:rsidRPr="00A50E4D">
        <w:rPr>
          <w:lang w:val="en-US"/>
        </w:rPr>
        <w:t>decision</w:t>
      </w:r>
      <w:r w:rsidR="008D65AB" w:rsidRPr="00A50E4D">
        <w:rPr>
          <w:lang w:val="en-US"/>
        </w:rPr>
        <w:t xml:space="preserve">, </w:t>
      </w:r>
      <w:r w:rsidR="00A23598" w:rsidRPr="00A50E4D">
        <w:rPr>
          <w:lang w:val="en-US"/>
        </w:rPr>
        <w:t>on June</w:t>
      </w:r>
      <w:r w:rsidR="009D6A26" w:rsidRPr="00A50E4D">
        <w:rPr>
          <w:lang w:val="en-US"/>
        </w:rPr>
        <w:t xml:space="preserve"> 30,</w:t>
      </w:r>
      <w:r w:rsidRPr="00A50E4D">
        <w:rPr>
          <w:lang w:val="en-US"/>
        </w:rPr>
        <w:t xml:space="preserve"> 2010</w:t>
      </w:r>
      <w:r w:rsidR="008D65AB" w:rsidRPr="00A50E4D">
        <w:rPr>
          <w:lang w:val="en-US"/>
        </w:rPr>
        <w:t>,</w:t>
      </w:r>
      <w:r w:rsidRPr="00A50E4D">
        <w:rPr>
          <w:lang w:val="en-US"/>
        </w:rPr>
        <w:t xml:space="preserve"> </w:t>
      </w:r>
      <w:r w:rsidR="00A23598" w:rsidRPr="00A50E4D">
        <w:rPr>
          <w:lang w:val="en-US"/>
        </w:rPr>
        <w:t>Ms. Flores</w:t>
      </w:r>
      <w:r w:rsidRPr="00A50E4D">
        <w:rPr>
          <w:lang w:val="en-US"/>
        </w:rPr>
        <w:t xml:space="preserve"> Lanza </w:t>
      </w:r>
      <w:r w:rsidR="008D65AB" w:rsidRPr="00A50E4D">
        <w:rPr>
          <w:lang w:val="en-US"/>
        </w:rPr>
        <w:t xml:space="preserve">filed an appeal before </w:t>
      </w:r>
      <w:r w:rsidR="006A756C" w:rsidRPr="00A50E4D">
        <w:rPr>
          <w:lang w:val="en-US"/>
        </w:rPr>
        <w:t>the Judicial Service Council</w:t>
      </w:r>
      <w:r w:rsidRPr="00A50E4D">
        <w:rPr>
          <w:lang w:val="en-US"/>
        </w:rPr>
        <w:t xml:space="preserve"> </w:t>
      </w:r>
      <w:r w:rsidR="008D65AB" w:rsidRPr="00A50E4D">
        <w:rPr>
          <w:lang w:val="en-US"/>
        </w:rPr>
        <w:t>re</w:t>
      </w:r>
      <w:r w:rsidR="000D7790" w:rsidRPr="00A50E4D">
        <w:rPr>
          <w:lang w:val="en-US"/>
        </w:rPr>
        <w:t xml:space="preserve">questing </w:t>
      </w:r>
      <w:r w:rsidR="008D65AB" w:rsidRPr="00A50E4D">
        <w:rPr>
          <w:lang w:val="en-US"/>
        </w:rPr>
        <w:t>reinstatement in her post as a justice.</w:t>
      </w:r>
      <w:r w:rsidRPr="00A50E4D">
        <w:rPr>
          <w:rStyle w:val="FootnoteReference"/>
          <w:rFonts w:cs="Arial"/>
          <w:sz w:val="20"/>
          <w:szCs w:val="20"/>
          <w:lang w:val="en-US"/>
        </w:rPr>
        <w:footnoteReference w:id="201"/>
      </w:r>
      <w:r w:rsidR="008D65AB" w:rsidRPr="00A50E4D">
        <w:rPr>
          <w:lang w:val="en-US"/>
        </w:rPr>
        <w:t xml:space="preserve"> Five permanent or </w:t>
      </w:r>
      <w:r w:rsidR="00DC3FD7" w:rsidRPr="00A50E4D">
        <w:rPr>
          <w:lang w:val="en-US"/>
        </w:rPr>
        <w:t>substitute member</w:t>
      </w:r>
      <w:r w:rsidR="008D65AB" w:rsidRPr="00A50E4D">
        <w:rPr>
          <w:lang w:val="en-US"/>
        </w:rPr>
        <w:t>s of the Council</w:t>
      </w:r>
      <w:r w:rsidRPr="00A50E4D">
        <w:rPr>
          <w:lang w:val="en-US"/>
        </w:rPr>
        <w:t xml:space="preserve"> </w:t>
      </w:r>
      <w:r w:rsidR="008D65AB" w:rsidRPr="00A50E4D">
        <w:rPr>
          <w:lang w:val="en-US"/>
        </w:rPr>
        <w:t>disqualified themselves from this proceeding, as they had heard the proceedings on the dismissal of Ms. Flores</w:t>
      </w:r>
      <w:r w:rsidRPr="00A50E4D">
        <w:rPr>
          <w:lang w:val="en-US"/>
        </w:rPr>
        <w:t xml:space="preserve"> Lanza </w:t>
      </w:r>
      <w:r w:rsidR="008D65AB" w:rsidRPr="00A50E4D">
        <w:rPr>
          <w:lang w:val="en-US"/>
        </w:rPr>
        <w:t xml:space="preserve">as members </w:t>
      </w:r>
      <w:r w:rsidR="009808C5" w:rsidRPr="00A50E4D">
        <w:rPr>
          <w:lang w:val="en-US"/>
        </w:rPr>
        <w:t xml:space="preserve">of the </w:t>
      </w:r>
      <w:r w:rsidR="00371BB7" w:rsidRPr="00A50E4D">
        <w:rPr>
          <w:lang w:val="en-US"/>
        </w:rPr>
        <w:t>Supreme Court of Justice</w:t>
      </w:r>
      <w:r w:rsidRPr="00A50E4D">
        <w:rPr>
          <w:lang w:val="en-US"/>
        </w:rPr>
        <w:t xml:space="preserve"> o</w:t>
      </w:r>
      <w:r w:rsidR="008D65AB" w:rsidRPr="00A50E4D">
        <w:rPr>
          <w:lang w:val="en-US"/>
        </w:rPr>
        <w:t>r based on relationship or friendship.</w:t>
      </w:r>
      <w:r w:rsidRPr="00A50E4D">
        <w:rPr>
          <w:rStyle w:val="FootnoteReference"/>
          <w:rFonts w:cs="Arial"/>
          <w:sz w:val="20"/>
          <w:szCs w:val="20"/>
          <w:lang w:val="en-US"/>
        </w:rPr>
        <w:footnoteReference w:id="202"/>
      </w:r>
      <w:r w:rsidRPr="00A50E4D">
        <w:rPr>
          <w:lang w:val="en-US"/>
        </w:rPr>
        <w:t xml:space="preserve"> </w:t>
      </w:r>
      <w:r w:rsidR="008D65AB" w:rsidRPr="00A50E4D">
        <w:rPr>
          <w:lang w:val="en-US"/>
        </w:rPr>
        <w:t xml:space="preserve">On February 17, </w:t>
      </w:r>
      <w:r w:rsidRPr="00A50E4D">
        <w:rPr>
          <w:lang w:val="en-US"/>
        </w:rPr>
        <w:t>2011</w:t>
      </w:r>
      <w:r w:rsidR="008D65AB" w:rsidRPr="00A50E4D">
        <w:rPr>
          <w:lang w:val="en-US"/>
        </w:rPr>
        <w:t xml:space="preserve">, a hearing was held before the </w:t>
      </w:r>
      <w:r w:rsidR="006A756C" w:rsidRPr="00A50E4D">
        <w:rPr>
          <w:lang w:val="en-US"/>
        </w:rPr>
        <w:t>Judicial Service Council</w:t>
      </w:r>
      <w:r w:rsidRPr="00A50E4D">
        <w:rPr>
          <w:lang w:val="en-US"/>
        </w:rPr>
        <w:t xml:space="preserve">, </w:t>
      </w:r>
      <w:r w:rsidR="008D65AB" w:rsidRPr="00A50E4D">
        <w:rPr>
          <w:lang w:val="en-US"/>
        </w:rPr>
        <w:t xml:space="preserve">during which </w:t>
      </w:r>
      <w:r w:rsidR="00A23598" w:rsidRPr="00A50E4D">
        <w:rPr>
          <w:lang w:val="en-US"/>
        </w:rPr>
        <w:t>Ms. Flores</w:t>
      </w:r>
      <w:r w:rsidRPr="00A50E4D">
        <w:rPr>
          <w:lang w:val="en-US"/>
        </w:rPr>
        <w:t xml:space="preserve"> Lanza </w:t>
      </w:r>
      <w:r w:rsidR="008D65AB" w:rsidRPr="00A50E4D">
        <w:rPr>
          <w:lang w:val="en-US"/>
        </w:rPr>
        <w:t xml:space="preserve">indicated that she was unaware of the composition of the Judicial Service Council and the identity of the members who would examine her appeal. In addition, she referred, </w:t>
      </w:r>
      <w:r w:rsidR="008D65AB" w:rsidRPr="00A50E4D">
        <w:rPr>
          <w:i/>
          <w:lang w:val="en-US"/>
        </w:rPr>
        <w:t>inter alia</w:t>
      </w:r>
      <w:r w:rsidR="008D65AB" w:rsidRPr="00A50E4D">
        <w:rPr>
          <w:lang w:val="en-US"/>
        </w:rPr>
        <w:t>, to the presumed violations of due process in the processing of the disciplinary proceedings and offered evidence to substantiate this.</w:t>
      </w:r>
      <w:r w:rsidRPr="00A50E4D">
        <w:rPr>
          <w:rStyle w:val="FootnoteReference"/>
          <w:rFonts w:cs="Arial"/>
          <w:sz w:val="20"/>
          <w:szCs w:val="20"/>
          <w:lang w:val="en-US"/>
        </w:rPr>
        <w:footnoteReference w:id="203"/>
      </w:r>
      <w:bookmarkEnd w:id="178"/>
    </w:p>
    <w:p w14:paraId="1FDE7DB7" w14:textId="77777777" w:rsidR="00930C85" w:rsidRPr="00A50E4D" w:rsidRDefault="00930C85" w:rsidP="00930C85">
      <w:pPr>
        <w:pStyle w:val="NoSpacing"/>
        <w:tabs>
          <w:tab w:val="left" w:pos="567"/>
        </w:tabs>
        <w:rPr>
          <w:spacing w:val="-4"/>
          <w:szCs w:val="20"/>
          <w:lang w:val="en-US"/>
        </w:rPr>
      </w:pPr>
    </w:p>
    <w:p w14:paraId="35899B2A" w14:textId="2D01321E" w:rsidR="00930C85" w:rsidRPr="00A50E4D" w:rsidRDefault="008D65AB" w:rsidP="008D65AB">
      <w:pPr>
        <w:pStyle w:val="PrrafodeSentencia"/>
        <w:rPr>
          <w:lang w:val="en-US"/>
        </w:rPr>
      </w:pPr>
      <w:bookmarkStart w:id="179" w:name="_Ref424654736"/>
      <w:r w:rsidRPr="00A50E4D">
        <w:rPr>
          <w:lang w:val="en-US"/>
        </w:rPr>
        <w:t xml:space="preserve">In view of the </w:t>
      </w:r>
      <w:r w:rsidR="00BA795B" w:rsidRPr="00A50E4D">
        <w:rPr>
          <w:lang w:val="en-US"/>
        </w:rPr>
        <w:t>fact that several of</w:t>
      </w:r>
      <w:r w:rsidRPr="00A50E4D">
        <w:rPr>
          <w:lang w:val="en-US"/>
        </w:rPr>
        <w:t xml:space="preserve"> its members</w:t>
      </w:r>
      <w:r w:rsidR="00BA795B" w:rsidRPr="00A50E4D">
        <w:rPr>
          <w:lang w:val="en-US"/>
        </w:rPr>
        <w:t xml:space="preserve"> had disqualified themselves</w:t>
      </w:r>
      <w:r w:rsidRPr="00A50E4D">
        <w:rPr>
          <w:lang w:val="en-US"/>
        </w:rPr>
        <w:t xml:space="preserve">, and the </w:t>
      </w:r>
      <w:r w:rsidR="000A786A" w:rsidRPr="00A50E4D">
        <w:rPr>
          <w:lang w:val="en-US"/>
        </w:rPr>
        <w:t>similarity</w:t>
      </w:r>
      <w:r w:rsidRPr="00A50E4D">
        <w:rPr>
          <w:lang w:val="en-US"/>
        </w:rPr>
        <w:t xml:space="preserve"> with what </w:t>
      </w:r>
      <w:r w:rsidR="00BA795B" w:rsidRPr="00A50E4D">
        <w:rPr>
          <w:lang w:val="en-US"/>
        </w:rPr>
        <w:t xml:space="preserve">had </w:t>
      </w:r>
      <w:r w:rsidRPr="00A50E4D">
        <w:rPr>
          <w:lang w:val="en-US"/>
        </w:rPr>
        <w:t>occurred in the proceedings concerning Mr. López Lone (</w:t>
      </w:r>
      <w:r w:rsidRPr="00A50E4D">
        <w:rPr>
          <w:i/>
          <w:lang w:val="en-US"/>
        </w:rPr>
        <w:t xml:space="preserve">supra </w:t>
      </w:r>
      <w:r w:rsidRPr="00A50E4D">
        <w:rPr>
          <w:lang w:val="en-US"/>
        </w:rPr>
        <w:t xml:space="preserve">para. </w:t>
      </w:r>
      <w:r w:rsidRPr="00914F55">
        <w:rPr>
          <w:lang w:val="en-US"/>
        </w:rPr>
        <w:fldChar w:fldCharType="begin"/>
      </w:r>
      <w:r w:rsidRPr="00A50E4D">
        <w:rPr>
          <w:lang w:val="en-US"/>
        </w:rPr>
        <w:instrText xml:space="preserve"> REF _Ref424649134 \r \h  \* MERGEFORMAT </w:instrText>
      </w:r>
      <w:r w:rsidRPr="00914F55">
        <w:rPr>
          <w:lang w:val="en-US"/>
        </w:rPr>
      </w:r>
      <w:r w:rsidRPr="00914F55">
        <w:rPr>
          <w:lang w:val="en-US"/>
        </w:rPr>
        <w:fldChar w:fldCharType="separate"/>
      </w:r>
      <w:r w:rsidR="00547588">
        <w:rPr>
          <w:lang w:val="en-US"/>
        </w:rPr>
        <w:t>97</w:t>
      </w:r>
      <w:r w:rsidRPr="00914F55">
        <w:rPr>
          <w:lang w:val="en-US"/>
        </w:rPr>
        <w:fldChar w:fldCharType="end"/>
      </w:r>
      <w:r w:rsidRPr="00A50E4D">
        <w:rPr>
          <w:lang w:val="en-US"/>
        </w:rPr>
        <w:t xml:space="preserve">), on March 22, 2011, it was considered that “the Judicial Service Council had been disbanded” and </w:t>
      </w:r>
      <w:r w:rsidR="00BA795B" w:rsidRPr="00A50E4D">
        <w:rPr>
          <w:lang w:val="en-US"/>
        </w:rPr>
        <w:t xml:space="preserve">the </w:t>
      </w:r>
      <w:r w:rsidRPr="00A50E4D">
        <w:rPr>
          <w:lang w:val="en-US"/>
        </w:rPr>
        <w:t>President of the Supreme Court of Justice was asked to provide guidance. Following the latter’s indications, the President of the Council appointed a lawyer to incorporate the Council so that the proceedings could continue.</w:t>
      </w:r>
      <w:r w:rsidR="00930C85" w:rsidRPr="00A50E4D">
        <w:rPr>
          <w:rStyle w:val="FootnoteReference"/>
          <w:rFonts w:cs="Arial"/>
          <w:sz w:val="20"/>
          <w:szCs w:val="20"/>
          <w:lang w:val="en-US"/>
        </w:rPr>
        <w:footnoteReference w:id="204"/>
      </w:r>
      <w:r w:rsidRPr="00A50E4D">
        <w:rPr>
          <w:lang w:val="en-US"/>
        </w:rPr>
        <w:t xml:space="preserve"> Subsequently, another four members of the Council disqualified themselves and </w:t>
      </w:r>
      <w:r w:rsidR="00BA795B" w:rsidRPr="00A50E4D">
        <w:rPr>
          <w:lang w:val="en-US"/>
        </w:rPr>
        <w:t>substitute</w:t>
      </w:r>
      <w:r w:rsidRPr="00A50E4D">
        <w:rPr>
          <w:lang w:val="en-US"/>
        </w:rPr>
        <w:t>s were appointed.</w:t>
      </w:r>
      <w:r w:rsidR="00930C85" w:rsidRPr="00A50E4D">
        <w:rPr>
          <w:rStyle w:val="FootnoteReference"/>
          <w:rFonts w:cs="Arial"/>
          <w:sz w:val="20"/>
          <w:szCs w:val="20"/>
          <w:lang w:val="en-US"/>
        </w:rPr>
        <w:footnoteReference w:id="205"/>
      </w:r>
      <w:bookmarkEnd w:id="179"/>
    </w:p>
    <w:p w14:paraId="7B12713F" w14:textId="77777777" w:rsidR="00930C85" w:rsidRPr="00A50E4D" w:rsidRDefault="00930C85" w:rsidP="00930C85">
      <w:pPr>
        <w:pStyle w:val="NoSpacing"/>
        <w:tabs>
          <w:tab w:val="left" w:pos="567"/>
        </w:tabs>
        <w:rPr>
          <w:spacing w:val="-4"/>
          <w:szCs w:val="20"/>
          <w:lang w:val="en-US"/>
        </w:rPr>
      </w:pPr>
    </w:p>
    <w:p w14:paraId="0D8F79AC" w14:textId="15149EF2" w:rsidR="00930C85" w:rsidRPr="00A50E4D" w:rsidRDefault="008D65AB" w:rsidP="00930C85">
      <w:pPr>
        <w:pStyle w:val="PrrafodeSentencia"/>
        <w:rPr>
          <w:lang w:val="en-US"/>
        </w:rPr>
      </w:pPr>
      <w:bookmarkStart w:id="180" w:name="_Ref424653459"/>
      <w:r w:rsidRPr="00A50E4D">
        <w:rPr>
          <w:lang w:val="en-US"/>
        </w:rPr>
        <w:t>On</w:t>
      </w:r>
      <w:r w:rsidR="00930C85" w:rsidRPr="00A50E4D">
        <w:rPr>
          <w:lang w:val="en-US"/>
        </w:rPr>
        <w:t xml:space="preserve"> </w:t>
      </w:r>
      <w:r w:rsidRPr="00A50E4D">
        <w:rPr>
          <w:lang w:val="en-US"/>
        </w:rPr>
        <w:t>August 24</w:t>
      </w:r>
      <w:r w:rsidR="000F731B" w:rsidRPr="00A50E4D">
        <w:rPr>
          <w:lang w:val="en-US"/>
        </w:rPr>
        <w:t>,</w:t>
      </w:r>
      <w:r w:rsidR="00930C85" w:rsidRPr="00A50E4D">
        <w:rPr>
          <w:lang w:val="en-US"/>
        </w:rPr>
        <w:t xml:space="preserve"> 2011</w:t>
      </w:r>
      <w:r w:rsidR="00A33F66" w:rsidRPr="00A50E4D">
        <w:rPr>
          <w:lang w:val="en-US"/>
        </w:rPr>
        <w:t>, the Council declared that</w:t>
      </w:r>
      <w:r w:rsidRPr="00A50E4D">
        <w:rPr>
          <w:lang w:val="en-US"/>
        </w:rPr>
        <w:t xml:space="preserve"> the </w:t>
      </w:r>
      <w:r w:rsidR="00A038A3" w:rsidRPr="00A50E4D">
        <w:rPr>
          <w:lang w:val="en-US"/>
        </w:rPr>
        <w:t>claim</w:t>
      </w:r>
      <w:r w:rsidRPr="00A50E4D">
        <w:rPr>
          <w:lang w:val="en-US"/>
        </w:rPr>
        <w:t xml:space="preserve"> filed by</w:t>
      </w:r>
      <w:r w:rsidR="00930C85" w:rsidRPr="00A50E4D">
        <w:rPr>
          <w:lang w:val="en-US"/>
        </w:rPr>
        <w:t xml:space="preserve"> </w:t>
      </w:r>
      <w:r w:rsidR="00A23598" w:rsidRPr="00A50E4D">
        <w:rPr>
          <w:lang w:val="en-US"/>
        </w:rPr>
        <w:t>Ms. Flores</w:t>
      </w:r>
      <w:r w:rsidR="00930C85" w:rsidRPr="00A50E4D">
        <w:rPr>
          <w:lang w:val="en-US"/>
        </w:rPr>
        <w:t xml:space="preserve"> Lanza</w:t>
      </w:r>
      <w:r w:rsidRPr="00A50E4D">
        <w:rPr>
          <w:lang w:val="en-US"/>
        </w:rPr>
        <w:t xml:space="preserve"> was inadmissible.</w:t>
      </w:r>
      <w:r w:rsidR="00930C85" w:rsidRPr="00A50E4D">
        <w:rPr>
          <w:rStyle w:val="FootnoteReference"/>
          <w:sz w:val="20"/>
          <w:szCs w:val="20"/>
          <w:lang w:val="en-US"/>
        </w:rPr>
        <w:footnoteReference w:id="206"/>
      </w:r>
      <w:r w:rsidRPr="00A50E4D">
        <w:rPr>
          <w:lang w:val="en-US"/>
        </w:rPr>
        <w:t xml:space="preserve"> Regarding t</w:t>
      </w:r>
      <w:r w:rsidR="009A7056" w:rsidRPr="00A50E4D">
        <w:rPr>
          <w:lang w:val="en-US"/>
        </w:rPr>
        <w:t>he alleged lack of competence, i</w:t>
      </w:r>
      <w:r w:rsidRPr="00A50E4D">
        <w:rPr>
          <w:lang w:val="en-US"/>
        </w:rPr>
        <w:t xml:space="preserve">ndependence and impartiality </w:t>
      </w:r>
      <w:r w:rsidR="006A756C" w:rsidRPr="00A50E4D">
        <w:rPr>
          <w:lang w:val="en-US"/>
        </w:rPr>
        <w:t xml:space="preserve">of the </w:t>
      </w:r>
      <w:r w:rsidR="006A756C" w:rsidRPr="00A50E4D">
        <w:rPr>
          <w:lang w:val="en-US"/>
        </w:rPr>
        <w:lastRenderedPageBreak/>
        <w:t>Judicial Service Council</w:t>
      </w:r>
      <w:r w:rsidR="00930C85" w:rsidRPr="00A50E4D">
        <w:rPr>
          <w:lang w:val="en-US"/>
        </w:rPr>
        <w:t xml:space="preserve">, </w:t>
      </w:r>
      <w:r w:rsidR="00A038A3" w:rsidRPr="00A50E4D">
        <w:rPr>
          <w:lang w:val="en-US"/>
        </w:rPr>
        <w:t>the Council</w:t>
      </w:r>
      <w:r w:rsidRPr="00A50E4D">
        <w:rPr>
          <w:lang w:val="en-US"/>
        </w:rPr>
        <w:t xml:space="preserve"> responded with the same considerations that were described in relation to the proceedings against </w:t>
      </w:r>
      <w:r w:rsidR="0029085B" w:rsidRPr="00A50E4D">
        <w:rPr>
          <w:lang w:val="en-US"/>
        </w:rPr>
        <w:t xml:space="preserve">Mr. </w:t>
      </w:r>
      <w:r w:rsidR="00FF35A9" w:rsidRPr="00A50E4D">
        <w:rPr>
          <w:lang w:val="en-US"/>
        </w:rPr>
        <w:t>López</w:t>
      </w:r>
      <w:r w:rsidR="00930C85" w:rsidRPr="00A50E4D">
        <w:rPr>
          <w:lang w:val="en-US"/>
        </w:rPr>
        <w:t xml:space="preserve"> Lone (</w:t>
      </w:r>
      <w:r w:rsidR="00930C85" w:rsidRPr="00A50E4D">
        <w:rPr>
          <w:i/>
          <w:lang w:val="en-US"/>
        </w:rPr>
        <w:t xml:space="preserve">supra </w:t>
      </w:r>
      <w:r w:rsidR="00AD5EE7" w:rsidRPr="00A50E4D">
        <w:rPr>
          <w:lang w:val="en-US"/>
        </w:rPr>
        <w:t>para.</w:t>
      </w:r>
      <w:r w:rsidR="00930C85" w:rsidRPr="00A50E4D">
        <w:rPr>
          <w:lang w:val="en-US"/>
        </w:rPr>
        <w:t xml:space="preserve"> </w:t>
      </w:r>
      <w:r w:rsidR="00930C85" w:rsidRPr="00914F55">
        <w:rPr>
          <w:lang w:val="en-US"/>
        </w:rPr>
        <w:fldChar w:fldCharType="begin"/>
      </w:r>
      <w:r w:rsidR="00930C85" w:rsidRPr="00A50E4D">
        <w:rPr>
          <w:lang w:val="en-US"/>
        </w:rPr>
        <w:instrText xml:space="preserve"> REF _Ref424649494 \r \h  \* MERGEFORMAT </w:instrText>
      </w:r>
      <w:r w:rsidR="00930C85" w:rsidRPr="00914F55">
        <w:rPr>
          <w:lang w:val="en-US"/>
        </w:rPr>
      </w:r>
      <w:r w:rsidR="00930C85" w:rsidRPr="00914F55">
        <w:rPr>
          <w:lang w:val="en-US"/>
        </w:rPr>
        <w:fldChar w:fldCharType="separate"/>
      </w:r>
      <w:r w:rsidR="00547588">
        <w:rPr>
          <w:lang w:val="en-US"/>
        </w:rPr>
        <w:t>99</w:t>
      </w:r>
      <w:r w:rsidR="00930C85" w:rsidRPr="00914F55">
        <w:rPr>
          <w:lang w:val="en-US"/>
        </w:rPr>
        <w:fldChar w:fldCharType="end"/>
      </w:r>
      <w:r w:rsidR="00930C85" w:rsidRPr="00A50E4D">
        <w:rPr>
          <w:lang w:val="en-US"/>
        </w:rPr>
        <w:t>)</w:t>
      </w:r>
      <w:r w:rsidRPr="00A50E4D">
        <w:rPr>
          <w:lang w:val="en-US"/>
        </w:rPr>
        <w:t>.</w:t>
      </w:r>
      <w:r w:rsidR="00930C85" w:rsidRPr="00A50E4D">
        <w:rPr>
          <w:rStyle w:val="FootnoteReference"/>
          <w:rFonts w:cs="Arial"/>
          <w:sz w:val="20"/>
          <w:szCs w:val="20"/>
          <w:lang w:val="en-US"/>
        </w:rPr>
        <w:footnoteReference w:id="207"/>
      </w:r>
      <w:bookmarkEnd w:id="180"/>
    </w:p>
    <w:p w14:paraId="543B71A8" w14:textId="77777777" w:rsidR="00930C85" w:rsidRPr="00A50E4D" w:rsidRDefault="00930C85" w:rsidP="00930C85">
      <w:pPr>
        <w:pStyle w:val="PrrafodeSentencia"/>
        <w:numPr>
          <w:ilvl w:val="0"/>
          <w:numId w:val="0"/>
        </w:numPr>
        <w:rPr>
          <w:lang w:val="en-US"/>
        </w:rPr>
      </w:pPr>
    </w:p>
    <w:p w14:paraId="07842063" w14:textId="694A2420" w:rsidR="00930C85" w:rsidRPr="00A50E4D" w:rsidRDefault="00930C85" w:rsidP="00930C85">
      <w:pPr>
        <w:pStyle w:val="PrrafodeSentencia"/>
        <w:rPr>
          <w:lang w:val="en-US"/>
        </w:rPr>
      </w:pPr>
      <w:r w:rsidRPr="00A50E4D">
        <w:rPr>
          <w:lang w:val="en-US"/>
        </w:rPr>
        <w:t>Re</w:t>
      </w:r>
      <w:r w:rsidR="008D65AB" w:rsidRPr="00A50E4D">
        <w:rPr>
          <w:lang w:val="en-US"/>
        </w:rPr>
        <w:t>garding the merits of the matter, the Council considered that it had been proved that,</w:t>
      </w:r>
      <w:r w:rsidRPr="00A50E4D">
        <w:rPr>
          <w:lang w:val="en-US"/>
        </w:rPr>
        <w:t xml:space="preserve"> </w:t>
      </w:r>
      <w:r w:rsidR="00A23598" w:rsidRPr="00A50E4D">
        <w:rPr>
          <w:lang w:val="en-US"/>
        </w:rPr>
        <w:t>on June</w:t>
      </w:r>
      <w:r w:rsidR="009D6A26" w:rsidRPr="00A50E4D">
        <w:rPr>
          <w:lang w:val="en-US"/>
        </w:rPr>
        <w:t xml:space="preserve"> 30,</w:t>
      </w:r>
      <w:r w:rsidRPr="00A50E4D">
        <w:rPr>
          <w:lang w:val="en-US"/>
        </w:rPr>
        <w:t xml:space="preserve"> 2009</w:t>
      </w:r>
      <w:r w:rsidR="008D65AB" w:rsidRPr="00A50E4D">
        <w:rPr>
          <w:lang w:val="en-US"/>
        </w:rPr>
        <w:t>,</w:t>
      </w:r>
      <w:r w:rsidRPr="00A50E4D">
        <w:rPr>
          <w:lang w:val="en-US"/>
        </w:rPr>
        <w:t xml:space="preserve"> </w:t>
      </w:r>
      <w:r w:rsidR="00A23598" w:rsidRPr="00A50E4D">
        <w:rPr>
          <w:lang w:val="en-US"/>
        </w:rPr>
        <w:t>Ms. Flores</w:t>
      </w:r>
      <w:r w:rsidRPr="00A50E4D">
        <w:rPr>
          <w:lang w:val="en-US"/>
        </w:rPr>
        <w:t xml:space="preserve"> Lanza</w:t>
      </w:r>
      <w:r w:rsidR="008D65AB" w:rsidRPr="00A50E4D">
        <w:rPr>
          <w:lang w:val="en-US"/>
        </w:rPr>
        <w:t xml:space="preserve"> has</w:t>
      </w:r>
      <w:r w:rsidRPr="00A50E4D">
        <w:rPr>
          <w:lang w:val="en-US"/>
        </w:rPr>
        <w:t xml:space="preserve"> “</w:t>
      </w:r>
      <w:r w:rsidR="008D65AB" w:rsidRPr="00A50E4D">
        <w:rPr>
          <w:lang w:val="en-US"/>
        </w:rPr>
        <w:t xml:space="preserve">been absent from her work without </w:t>
      </w:r>
      <w:r w:rsidR="006B2F75" w:rsidRPr="00A50E4D">
        <w:rPr>
          <w:lang w:val="en-US"/>
        </w:rPr>
        <w:t>proving</w:t>
      </w:r>
      <w:r w:rsidR="008D65AB" w:rsidRPr="00A50E4D">
        <w:rPr>
          <w:lang w:val="en-US"/>
        </w:rPr>
        <w:t xml:space="preserve"> that she had the </w:t>
      </w:r>
      <w:r w:rsidR="006B2F75" w:rsidRPr="00A50E4D">
        <w:rPr>
          <w:lang w:val="en-US"/>
        </w:rPr>
        <w:t>corresponding</w:t>
      </w:r>
      <w:r w:rsidR="008D65AB" w:rsidRPr="00A50E4D">
        <w:rPr>
          <w:lang w:val="en-US"/>
        </w:rPr>
        <w:t xml:space="preserve"> permission from her superior</w:t>
      </w:r>
      <w:r w:rsidRPr="00A50E4D">
        <w:rPr>
          <w:lang w:val="en-US"/>
        </w:rPr>
        <w:t xml:space="preserve"> […]</w:t>
      </w:r>
      <w:r w:rsidR="009808C5" w:rsidRPr="00A50E4D">
        <w:rPr>
          <w:lang w:val="en-US"/>
        </w:rPr>
        <w:t xml:space="preserve"> and </w:t>
      </w:r>
      <w:r w:rsidR="008D65AB" w:rsidRPr="00A50E4D">
        <w:rPr>
          <w:lang w:val="en-US"/>
        </w:rPr>
        <w:t xml:space="preserve">that, on another occasion, </w:t>
      </w:r>
      <w:r w:rsidRPr="00A50E4D">
        <w:rPr>
          <w:lang w:val="en-US"/>
        </w:rPr>
        <w:t xml:space="preserve">[…] </w:t>
      </w:r>
      <w:r w:rsidR="008D65AB" w:rsidRPr="00A50E4D">
        <w:rPr>
          <w:lang w:val="en-US"/>
        </w:rPr>
        <w:t xml:space="preserve">she only stated that she had a permission granted by the President of the Criminal Chamber </w:t>
      </w:r>
      <w:r w:rsidR="009808C5" w:rsidRPr="00A50E4D">
        <w:rPr>
          <w:lang w:val="en-US"/>
        </w:rPr>
        <w:t xml:space="preserve">of the </w:t>
      </w:r>
      <w:r w:rsidR="00371BB7" w:rsidRPr="00A50E4D">
        <w:rPr>
          <w:lang w:val="en-US"/>
        </w:rPr>
        <w:t>Supreme Court of Justice</w:t>
      </w:r>
      <w:r w:rsidRPr="00A50E4D">
        <w:rPr>
          <w:lang w:val="en-US"/>
        </w:rPr>
        <w:t>, [</w:t>
      </w:r>
      <w:r w:rsidR="008D65AB" w:rsidRPr="00A50E4D">
        <w:rPr>
          <w:lang w:val="en-US"/>
        </w:rPr>
        <w:t>without providing</w:t>
      </w:r>
      <w:r w:rsidRPr="00A50E4D">
        <w:rPr>
          <w:lang w:val="en-US"/>
        </w:rPr>
        <w:t xml:space="preserve">] </w:t>
      </w:r>
      <w:r w:rsidR="008D65AB" w:rsidRPr="00A50E4D">
        <w:rPr>
          <w:lang w:val="en-US"/>
        </w:rPr>
        <w:t>the name o</w:t>
      </w:r>
      <w:r w:rsidR="006B2F75" w:rsidRPr="00A50E4D">
        <w:rPr>
          <w:lang w:val="en-US"/>
        </w:rPr>
        <w:t>f this officer or producing the</w:t>
      </w:r>
      <w:r w:rsidR="008D65AB" w:rsidRPr="00A50E4D">
        <w:rPr>
          <w:lang w:val="en-US"/>
        </w:rPr>
        <w:t xml:space="preserve"> permission.</w:t>
      </w:r>
      <w:r w:rsidRPr="00A50E4D">
        <w:rPr>
          <w:lang w:val="en-US"/>
        </w:rPr>
        <w:t>”</w:t>
      </w:r>
      <w:r w:rsidRPr="00A50E4D">
        <w:rPr>
          <w:rStyle w:val="FootnoteReference"/>
          <w:rFonts w:cs="Arial"/>
          <w:sz w:val="20"/>
          <w:szCs w:val="20"/>
          <w:lang w:val="en-US"/>
        </w:rPr>
        <w:footnoteReference w:id="208"/>
      </w:r>
      <w:r w:rsidR="008D65AB" w:rsidRPr="00A50E4D">
        <w:rPr>
          <w:lang w:val="en-US"/>
        </w:rPr>
        <w:t xml:space="preserve"> It emphasized that this conduct was contrary to her obligation not “to absent herself from her office during working days and hours, without permission,</w:t>
      </w:r>
      <w:r w:rsidR="004C6D9D" w:rsidRPr="00A50E4D">
        <w:rPr>
          <w:lang w:val="en-US"/>
        </w:rPr>
        <w:t>” which is “contrary to the effectiveness</w:t>
      </w:r>
      <w:r w:rsidR="008D65AB" w:rsidRPr="00A50E4D">
        <w:rPr>
          <w:lang w:val="en-US"/>
        </w:rPr>
        <w:t xml:space="preserve"> of the administration of justice” and, according to</w:t>
      </w:r>
      <w:r w:rsidRPr="00A50E4D">
        <w:rPr>
          <w:lang w:val="en-US"/>
        </w:rPr>
        <w:t xml:space="preserve"> </w:t>
      </w:r>
      <w:r w:rsidR="00F02FB7" w:rsidRPr="00A50E4D">
        <w:rPr>
          <w:lang w:val="en-US"/>
        </w:rPr>
        <w:t>article</w:t>
      </w:r>
      <w:r w:rsidRPr="00A50E4D">
        <w:rPr>
          <w:lang w:val="en-US"/>
        </w:rPr>
        <w:t xml:space="preserve"> 179</w:t>
      </w:r>
      <w:r w:rsidR="009808C5" w:rsidRPr="00A50E4D">
        <w:rPr>
          <w:lang w:val="en-US"/>
        </w:rPr>
        <w:t xml:space="preserve"> of the </w:t>
      </w:r>
      <w:r w:rsidR="008D65AB" w:rsidRPr="00A50E4D">
        <w:rPr>
          <w:lang w:val="en-US"/>
        </w:rPr>
        <w:t>regulations governing</w:t>
      </w:r>
      <w:r w:rsidR="004D0F32" w:rsidRPr="00A50E4D">
        <w:rPr>
          <w:lang w:val="en-US"/>
        </w:rPr>
        <w:t xml:space="preserve"> the Judicial</w:t>
      </w:r>
      <w:r w:rsidR="00277E12" w:rsidRPr="00A50E4D">
        <w:rPr>
          <w:lang w:val="en-US"/>
        </w:rPr>
        <w:t xml:space="preserve"> Service Act</w:t>
      </w:r>
      <w:r w:rsidR="006B2F75" w:rsidRPr="00A50E4D">
        <w:rPr>
          <w:lang w:val="en-US"/>
        </w:rPr>
        <w:t>,</w:t>
      </w:r>
      <w:r w:rsidRPr="00A50E4D">
        <w:rPr>
          <w:lang w:val="en-US"/>
        </w:rPr>
        <w:t xml:space="preserve"> constitu</w:t>
      </w:r>
      <w:r w:rsidR="008D65AB" w:rsidRPr="00A50E4D">
        <w:rPr>
          <w:lang w:val="en-US"/>
        </w:rPr>
        <w:t>tes a serious offense.</w:t>
      </w:r>
      <w:r w:rsidRPr="00A50E4D">
        <w:rPr>
          <w:rStyle w:val="FootnoteReference"/>
          <w:rFonts w:cs="Arial"/>
          <w:sz w:val="20"/>
          <w:szCs w:val="20"/>
          <w:lang w:val="en-US"/>
        </w:rPr>
        <w:footnoteReference w:id="209"/>
      </w:r>
    </w:p>
    <w:p w14:paraId="72DB2E15" w14:textId="77777777" w:rsidR="00930C85" w:rsidRPr="00A50E4D" w:rsidRDefault="00930C85" w:rsidP="00930C85">
      <w:pPr>
        <w:pStyle w:val="ListParagraph"/>
        <w:numPr>
          <w:ilvl w:val="0"/>
          <w:numId w:val="0"/>
        </w:numPr>
        <w:rPr>
          <w:spacing w:val="-4"/>
          <w:lang w:val="en-US"/>
        </w:rPr>
      </w:pPr>
    </w:p>
    <w:p w14:paraId="5D83DDB4" w14:textId="5730E977" w:rsidR="00930C85" w:rsidRPr="00A50E4D" w:rsidRDefault="006B2F75" w:rsidP="00930C85">
      <w:pPr>
        <w:pStyle w:val="PrrafodeSentencia"/>
        <w:rPr>
          <w:lang w:val="en-US"/>
        </w:rPr>
      </w:pPr>
      <w:bookmarkStart w:id="181" w:name="_Ref427864152"/>
      <w:r w:rsidRPr="00A50E4D">
        <w:rPr>
          <w:lang w:val="en-US"/>
        </w:rPr>
        <w:t>The Council</w:t>
      </w:r>
      <w:r w:rsidR="008D65AB" w:rsidRPr="00A50E4D">
        <w:rPr>
          <w:lang w:val="en-US"/>
        </w:rPr>
        <w:t xml:space="preserve"> also indicated that it had been proved that </w:t>
      </w:r>
      <w:r w:rsidR="00A23598" w:rsidRPr="00A50E4D">
        <w:rPr>
          <w:lang w:val="en-US"/>
        </w:rPr>
        <w:t>Ms. Flores</w:t>
      </w:r>
      <w:r w:rsidR="00930C85" w:rsidRPr="00A50E4D">
        <w:rPr>
          <w:lang w:val="en-US"/>
        </w:rPr>
        <w:t xml:space="preserve"> Lanza </w:t>
      </w:r>
      <w:r w:rsidR="008D65AB" w:rsidRPr="00A50E4D">
        <w:rPr>
          <w:lang w:val="en-US"/>
        </w:rPr>
        <w:t xml:space="preserve">had violated her obligation not to exercise </w:t>
      </w:r>
      <w:r w:rsidR="00366BB3" w:rsidRPr="00A50E4D">
        <w:rPr>
          <w:lang w:val="en-US"/>
        </w:rPr>
        <w:t>the practice of law</w:t>
      </w:r>
      <w:r w:rsidR="008D65AB" w:rsidRPr="00A50E4D">
        <w:rPr>
          <w:lang w:val="en-US"/>
        </w:rPr>
        <w:t>.</w:t>
      </w:r>
      <w:r w:rsidR="00930C85" w:rsidRPr="00A50E4D">
        <w:rPr>
          <w:rStyle w:val="FootnoteReference"/>
          <w:rFonts w:cs="Arial"/>
          <w:sz w:val="20"/>
          <w:szCs w:val="20"/>
          <w:lang w:val="en-US"/>
        </w:rPr>
        <w:footnoteReference w:id="210"/>
      </w:r>
      <w:r w:rsidR="008D65AB" w:rsidRPr="00A50E4D">
        <w:rPr>
          <w:lang w:val="en-US"/>
        </w:rPr>
        <w:t xml:space="preserve"> It pointed out that the argument that </w:t>
      </w:r>
      <w:r w:rsidR="00A23598" w:rsidRPr="00A50E4D">
        <w:rPr>
          <w:lang w:val="en-US"/>
        </w:rPr>
        <w:t>Ms. Flores</w:t>
      </w:r>
      <w:r w:rsidR="00930C85" w:rsidRPr="00A50E4D">
        <w:rPr>
          <w:lang w:val="en-US"/>
        </w:rPr>
        <w:t xml:space="preserve"> Lanza “</w:t>
      </w:r>
      <w:r w:rsidR="008D65AB" w:rsidRPr="00A50E4D">
        <w:rPr>
          <w:lang w:val="en-US"/>
        </w:rPr>
        <w:t xml:space="preserve">was not exercising acts of </w:t>
      </w:r>
      <w:r w:rsidR="00366BB3" w:rsidRPr="00A50E4D">
        <w:rPr>
          <w:lang w:val="en-US"/>
        </w:rPr>
        <w:t>the practice of law</w:t>
      </w:r>
      <w:r w:rsidR="008D65AB" w:rsidRPr="00A50E4D">
        <w:rPr>
          <w:lang w:val="en-US"/>
        </w:rPr>
        <w:t xml:space="preserve">, evaporates because it had been proved that, subsequently, […] she filed a request for a declaration of nullity […] before the Constitutional Chamber </w:t>
      </w:r>
      <w:r w:rsidR="009808C5" w:rsidRPr="00A50E4D">
        <w:rPr>
          <w:lang w:val="en-US"/>
        </w:rPr>
        <w:t xml:space="preserve">of the </w:t>
      </w:r>
      <w:r w:rsidR="00371BB7" w:rsidRPr="00A50E4D">
        <w:rPr>
          <w:lang w:val="en-US"/>
        </w:rPr>
        <w:t>Supreme Court of Justice</w:t>
      </w:r>
      <w:r w:rsidR="008D65AB" w:rsidRPr="00A50E4D">
        <w:rPr>
          <w:lang w:val="en-US"/>
        </w:rPr>
        <w:t xml:space="preserve"> […] and it has also been proved that she came forward to file a co</w:t>
      </w:r>
      <w:r w:rsidR="00417D6F" w:rsidRPr="00A50E4D">
        <w:rPr>
          <w:lang w:val="en-US"/>
        </w:rPr>
        <w:t>mplaint against two Branches of</w:t>
      </w:r>
      <w:r w:rsidR="009808C5" w:rsidRPr="00A50E4D">
        <w:rPr>
          <w:lang w:val="en-US"/>
        </w:rPr>
        <w:t xml:space="preserve"> the State</w:t>
      </w:r>
      <w:r w:rsidR="00417D6F" w:rsidRPr="00A50E4D">
        <w:rPr>
          <w:lang w:val="en-US"/>
        </w:rPr>
        <w:t xml:space="preserve"> (Ex</w:t>
      </w:r>
      <w:r w:rsidR="008D65AB" w:rsidRPr="00A50E4D">
        <w:rPr>
          <w:lang w:val="en-US"/>
        </w:rPr>
        <w:t>ecutive and Legislative) and aga</w:t>
      </w:r>
      <w:r w:rsidR="000A786A" w:rsidRPr="00A50E4D">
        <w:rPr>
          <w:lang w:val="en-US"/>
        </w:rPr>
        <w:t>inst the Honduran Armed Forces.</w:t>
      </w:r>
      <w:r w:rsidR="00930C85" w:rsidRPr="00A50E4D">
        <w:rPr>
          <w:lang w:val="en-US"/>
        </w:rPr>
        <w:t>”</w:t>
      </w:r>
      <w:r w:rsidR="00930C85" w:rsidRPr="00A50E4D">
        <w:rPr>
          <w:rStyle w:val="FootnoteReference"/>
          <w:rFonts w:cs="Arial"/>
          <w:sz w:val="20"/>
          <w:szCs w:val="20"/>
          <w:lang w:val="en-US"/>
        </w:rPr>
        <w:footnoteReference w:id="211"/>
      </w:r>
      <w:bookmarkEnd w:id="181"/>
    </w:p>
    <w:p w14:paraId="26DD28D2" w14:textId="77777777" w:rsidR="00930C85" w:rsidRPr="00A50E4D" w:rsidRDefault="00930C85" w:rsidP="00930C85">
      <w:pPr>
        <w:pStyle w:val="NoSpacing"/>
        <w:tabs>
          <w:tab w:val="left" w:pos="567"/>
        </w:tabs>
        <w:rPr>
          <w:spacing w:val="-4"/>
          <w:szCs w:val="20"/>
          <w:lang w:val="en-US"/>
        </w:rPr>
      </w:pPr>
    </w:p>
    <w:p w14:paraId="0D73BF62" w14:textId="711F179E" w:rsidR="00930C85" w:rsidRPr="00A50E4D" w:rsidRDefault="009A7056" w:rsidP="00930C85">
      <w:pPr>
        <w:pStyle w:val="PrrafodeSentencia"/>
        <w:rPr>
          <w:lang w:val="en-US"/>
        </w:rPr>
      </w:pPr>
      <w:bookmarkStart w:id="182" w:name="_Ref431585794"/>
      <w:r w:rsidRPr="00A50E4D">
        <w:rPr>
          <w:lang w:val="en-US"/>
        </w:rPr>
        <w:t xml:space="preserve">In </w:t>
      </w:r>
      <w:r w:rsidRPr="00A50E4D">
        <w:rPr>
          <w:szCs w:val="20"/>
          <w:lang w:val="en-US"/>
        </w:rPr>
        <w:t xml:space="preserve">addition, “as regards </w:t>
      </w:r>
      <w:r w:rsidR="006B2F75" w:rsidRPr="00A50E4D">
        <w:rPr>
          <w:rFonts w:cs="Helvetica"/>
          <w:szCs w:val="20"/>
          <w:lang w:val="en-US"/>
        </w:rPr>
        <w:t>commenting</w:t>
      </w:r>
      <w:r w:rsidRPr="00A50E4D">
        <w:rPr>
          <w:rFonts w:cs="Helvetica"/>
          <w:szCs w:val="20"/>
          <w:lang w:val="en-US"/>
        </w:rPr>
        <w:t xml:space="preserve"> on judicial acts of other jurisdictional bodies,” the Council indicated that “the precise nature of these comments that </w:t>
      </w:r>
      <w:r w:rsidRPr="00A50E4D">
        <w:rPr>
          <w:lang w:val="en-US"/>
        </w:rPr>
        <w:t xml:space="preserve">[Ms. Flores Lanza was alleged to have made] </w:t>
      </w:r>
      <w:r w:rsidRPr="00A50E4D">
        <w:rPr>
          <w:rFonts w:cs="Helvetica"/>
          <w:szCs w:val="20"/>
          <w:lang w:val="en-US"/>
        </w:rPr>
        <w:t>had not been established, [so that] these grounds had not been proved sufficiently to justify her dismissal.</w:t>
      </w:r>
      <w:r w:rsidR="00930C85" w:rsidRPr="00A50E4D">
        <w:rPr>
          <w:lang w:val="en-US"/>
        </w:rPr>
        <w:t>”</w:t>
      </w:r>
      <w:r w:rsidR="00930C85" w:rsidRPr="00A50E4D">
        <w:rPr>
          <w:rStyle w:val="FootnoteReference"/>
          <w:rFonts w:cs="Arial"/>
          <w:sz w:val="20"/>
          <w:szCs w:val="20"/>
          <w:lang w:val="en-US"/>
        </w:rPr>
        <w:footnoteReference w:id="212"/>
      </w:r>
      <w:bookmarkEnd w:id="182"/>
    </w:p>
    <w:p w14:paraId="2C81C3D5" w14:textId="77777777" w:rsidR="00930C85" w:rsidRPr="00A50E4D" w:rsidRDefault="00930C85" w:rsidP="00930C85">
      <w:pPr>
        <w:pStyle w:val="PrrafodeSentencia"/>
        <w:numPr>
          <w:ilvl w:val="0"/>
          <w:numId w:val="0"/>
        </w:numPr>
        <w:rPr>
          <w:lang w:val="en-US"/>
        </w:rPr>
      </w:pPr>
    </w:p>
    <w:p w14:paraId="094282D2" w14:textId="10EDCF61" w:rsidR="00930C85" w:rsidRPr="00A50E4D" w:rsidRDefault="009808C5" w:rsidP="00930C85">
      <w:pPr>
        <w:pStyle w:val="PrrafodeSentencia"/>
        <w:rPr>
          <w:lang w:val="en-US"/>
        </w:rPr>
      </w:pPr>
      <w:bookmarkStart w:id="183" w:name="_Ref424563306"/>
      <w:r w:rsidRPr="00A50E4D">
        <w:rPr>
          <w:lang w:val="en-US"/>
        </w:rPr>
        <w:t>Article</w:t>
      </w:r>
      <w:r w:rsidR="00930C85" w:rsidRPr="00A50E4D">
        <w:rPr>
          <w:lang w:val="en-US"/>
        </w:rPr>
        <w:t xml:space="preserve"> 31</w:t>
      </w:r>
      <w:r w:rsidRPr="00A50E4D">
        <w:rPr>
          <w:lang w:val="en-US"/>
        </w:rPr>
        <w:t xml:space="preserve"> of </w:t>
      </w:r>
      <w:r w:rsidR="006A756C" w:rsidRPr="00A50E4D">
        <w:rPr>
          <w:lang w:val="en-US"/>
        </w:rPr>
        <w:t xml:space="preserve">the </w:t>
      </w:r>
      <w:r w:rsidR="000E6A0D" w:rsidRPr="00A50E4D">
        <w:rPr>
          <w:lang w:val="en-US"/>
        </w:rPr>
        <w:t>rules of procedure</w:t>
      </w:r>
      <w:r w:rsidR="00EB6155" w:rsidRPr="00A50E4D">
        <w:rPr>
          <w:lang w:val="en-US"/>
        </w:rPr>
        <w:t xml:space="preserve"> o</w:t>
      </w:r>
      <w:r w:rsidR="006B2F75" w:rsidRPr="00A50E4D">
        <w:rPr>
          <w:lang w:val="en-US"/>
        </w:rPr>
        <w:t xml:space="preserve">f the Judicial Service Council </w:t>
      </w:r>
      <w:r w:rsidR="00930C85" w:rsidRPr="00A50E4D">
        <w:rPr>
          <w:lang w:val="en-US"/>
        </w:rPr>
        <w:t>establ</w:t>
      </w:r>
      <w:r w:rsidR="009A7056" w:rsidRPr="00A50E4D">
        <w:rPr>
          <w:lang w:val="en-US"/>
        </w:rPr>
        <w:t xml:space="preserve">ished that this decision was not subject to appeal </w:t>
      </w:r>
      <w:r w:rsidR="00930C85" w:rsidRPr="00A50E4D">
        <w:rPr>
          <w:lang w:val="en-US"/>
        </w:rPr>
        <w:t>(</w:t>
      </w:r>
      <w:r w:rsidR="00930C85" w:rsidRPr="00A50E4D">
        <w:rPr>
          <w:i/>
          <w:lang w:val="en-US"/>
        </w:rPr>
        <w:t xml:space="preserve">supra </w:t>
      </w:r>
      <w:r w:rsidR="00AD5EE7" w:rsidRPr="00A50E4D">
        <w:rPr>
          <w:lang w:val="en-US"/>
        </w:rPr>
        <w:t>paras.</w:t>
      </w:r>
      <w:r w:rsidR="00930C85" w:rsidRPr="00A50E4D">
        <w:rPr>
          <w:lang w:val="en-US"/>
        </w:rPr>
        <w:t xml:space="preserve"> </w:t>
      </w:r>
      <w:r w:rsidR="00930C85" w:rsidRPr="00914F55">
        <w:rPr>
          <w:rFonts w:cs="Arial"/>
          <w:szCs w:val="20"/>
          <w:lang w:val="en-US"/>
        </w:rPr>
        <w:fldChar w:fldCharType="begin"/>
      </w:r>
      <w:r w:rsidR="00930C85" w:rsidRPr="00A50E4D">
        <w:rPr>
          <w:rFonts w:cs="Arial"/>
          <w:szCs w:val="20"/>
          <w:lang w:val="en-US"/>
        </w:rPr>
        <w:instrText xml:space="preserve"> REF _Ref431408772 \r \h  \* MERGEFORMAT </w:instrText>
      </w:r>
      <w:r w:rsidR="00930C85" w:rsidRPr="00914F55">
        <w:rPr>
          <w:rFonts w:cs="Arial"/>
          <w:szCs w:val="20"/>
          <w:lang w:val="en-US"/>
        </w:rPr>
      </w:r>
      <w:r w:rsidR="00930C85" w:rsidRPr="00914F55">
        <w:rPr>
          <w:rFonts w:cs="Arial"/>
          <w:szCs w:val="20"/>
          <w:lang w:val="en-US"/>
        </w:rPr>
        <w:fldChar w:fldCharType="separate"/>
      </w:r>
      <w:r w:rsidR="00547588">
        <w:rPr>
          <w:rFonts w:cs="Arial"/>
          <w:szCs w:val="20"/>
          <w:lang w:val="en-US"/>
        </w:rPr>
        <w:t>26</w:t>
      </w:r>
      <w:r w:rsidR="00930C85" w:rsidRPr="00914F55">
        <w:rPr>
          <w:rFonts w:cs="Arial"/>
          <w:szCs w:val="20"/>
          <w:lang w:val="en-US"/>
        </w:rPr>
        <w:fldChar w:fldCharType="end"/>
      </w:r>
      <w:r w:rsidRPr="00A50E4D">
        <w:rPr>
          <w:rFonts w:cs="Arial"/>
          <w:szCs w:val="20"/>
          <w:lang w:val="en-US"/>
        </w:rPr>
        <w:t xml:space="preserve"> and </w:t>
      </w:r>
      <w:r w:rsidR="00930C85" w:rsidRPr="00914F55">
        <w:rPr>
          <w:rFonts w:cs="Arial"/>
          <w:szCs w:val="20"/>
          <w:lang w:val="en-US"/>
        </w:rPr>
        <w:fldChar w:fldCharType="begin"/>
      </w:r>
      <w:r w:rsidR="00930C85" w:rsidRPr="00A50E4D">
        <w:rPr>
          <w:rFonts w:cs="Arial"/>
          <w:szCs w:val="20"/>
          <w:lang w:val="en-US"/>
        </w:rPr>
        <w:instrText xml:space="preserve"> REF _Ref431409318 \r \h  \* MERGEFORMAT </w:instrText>
      </w:r>
      <w:r w:rsidR="00930C85" w:rsidRPr="00914F55">
        <w:rPr>
          <w:rFonts w:cs="Arial"/>
          <w:szCs w:val="20"/>
          <w:lang w:val="en-US"/>
        </w:rPr>
      </w:r>
      <w:r w:rsidR="00930C85" w:rsidRPr="00914F55">
        <w:rPr>
          <w:rFonts w:cs="Arial"/>
          <w:szCs w:val="20"/>
          <w:lang w:val="en-US"/>
        </w:rPr>
        <w:fldChar w:fldCharType="separate"/>
      </w:r>
      <w:r w:rsidR="00547588">
        <w:rPr>
          <w:rFonts w:cs="Arial"/>
          <w:szCs w:val="20"/>
          <w:lang w:val="en-US"/>
        </w:rPr>
        <w:t>85</w:t>
      </w:r>
      <w:r w:rsidR="00930C85" w:rsidRPr="00914F55">
        <w:rPr>
          <w:rFonts w:cs="Arial"/>
          <w:szCs w:val="20"/>
          <w:lang w:val="en-US"/>
        </w:rPr>
        <w:fldChar w:fldCharType="end"/>
      </w:r>
      <w:r w:rsidR="00930C85" w:rsidRPr="00A50E4D">
        <w:rPr>
          <w:rFonts w:cs="Arial"/>
          <w:szCs w:val="20"/>
          <w:lang w:val="en-US"/>
        </w:rPr>
        <w:t>)</w:t>
      </w:r>
      <w:r w:rsidR="00930C85" w:rsidRPr="00A50E4D">
        <w:rPr>
          <w:lang w:val="en-US"/>
        </w:rPr>
        <w:t xml:space="preserve">. </w:t>
      </w:r>
      <w:r w:rsidR="008217D7" w:rsidRPr="00A50E4D">
        <w:rPr>
          <w:lang w:val="en-US"/>
        </w:rPr>
        <w:t>On December 12,</w:t>
      </w:r>
      <w:r w:rsidR="00930C85" w:rsidRPr="00A50E4D">
        <w:rPr>
          <w:lang w:val="en-US"/>
        </w:rPr>
        <w:t xml:space="preserve"> 2011</w:t>
      </w:r>
      <w:r w:rsidR="009A7056" w:rsidRPr="00A50E4D">
        <w:rPr>
          <w:lang w:val="en-US"/>
        </w:rPr>
        <w:t>,</w:t>
      </w:r>
      <w:r w:rsidR="00930C85" w:rsidRPr="00A50E4D">
        <w:rPr>
          <w:lang w:val="en-US"/>
        </w:rPr>
        <w:t xml:space="preserve"> </w:t>
      </w:r>
      <w:r w:rsidR="006A756C" w:rsidRPr="00A50E4D">
        <w:rPr>
          <w:lang w:val="en-US"/>
        </w:rPr>
        <w:t>the Judicial Service Council</w:t>
      </w:r>
      <w:r w:rsidR="00930C85" w:rsidRPr="00A50E4D">
        <w:rPr>
          <w:lang w:val="en-US"/>
        </w:rPr>
        <w:t xml:space="preserve"> </w:t>
      </w:r>
      <w:r w:rsidR="009A7056" w:rsidRPr="00A50E4D">
        <w:rPr>
          <w:lang w:val="en-US"/>
        </w:rPr>
        <w:t xml:space="preserve">placed on record that the sixty days that </w:t>
      </w:r>
      <w:r w:rsidR="008217D7" w:rsidRPr="00A50E4D">
        <w:rPr>
          <w:lang w:val="en-US"/>
        </w:rPr>
        <w:t>the Constitutional Justice Act</w:t>
      </w:r>
      <w:r w:rsidR="00930C85" w:rsidRPr="00A50E4D">
        <w:rPr>
          <w:lang w:val="en-US"/>
        </w:rPr>
        <w:t xml:space="preserve"> </w:t>
      </w:r>
      <w:r w:rsidR="009A7056" w:rsidRPr="00A50E4D">
        <w:rPr>
          <w:lang w:val="en-US"/>
        </w:rPr>
        <w:t>granted the parties had elapsed, and no appeal had been filed; it therefore proceeded to archive the proceedings.</w:t>
      </w:r>
      <w:r w:rsidR="00930C85" w:rsidRPr="00A50E4D">
        <w:rPr>
          <w:rStyle w:val="FootnoteReference"/>
          <w:rFonts w:cs="Arial"/>
          <w:sz w:val="20"/>
          <w:szCs w:val="20"/>
          <w:lang w:val="en-US"/>
        </w:rPr>
        <w:footnoteReference w:id="213"/>
      </w:r>
      <w:bookmarkEnd w:id="183"/>
      <w:r w:rsidR="00930C85" w:rsidRPr="00A50E4D">
        <w:rPr>
          <w:lang w:val="en-US"/>
        </w:rPr>
        <w:t xml:space="preserve"> </w:t>
      </w:r>
    </w:p>
    <w:p w14:paraId="57A16DDB" w14:textId="77777777" w:rsidR="00930C85" w:rsidRPr="00A50E4D" w:rsidRDefault="00930C85" w:rsidP="00930C85">
      <w:pPr>
        <w:rPr>
          <w:lang w:val="en-US" w:eastAsia="es-MX"/>
        </w:rPr>
      </w:pPr>
    </w:p>
    <w:p w14:paraId="670053E8" w14:textId="757E4CD6" w:rsidR="00930C85" w:rsidRPr="00914F55" w:rsidRDefault="00930C85" w:rsidP="00930C85">
      <w:pPr>
        <w:pStyle w:val="Heading3"/>
        <w:rPr>
          <w:spacing w:val="-4"/>
          <w:szCs w:val="20"/>
          <w:lang w:val="fr-FR"/>
        </w:rPr>
      </w:pPr>
      <w:bookmarkStart w:id="184" w:name="_Toc424834705"/>
      <w:bookmarkStart w:id="185" w:name="_Toc431584632"/>
      <w:bookmarkStart w:id="186" w:name="_Toc471717265"/>
      <w:r w:rsidRPr="00914F55">
        <w:rPr>
          <w:spacing w:val="-4"/>
          <w:szCs w:val="20"/>
          <w:lang w:val="fr-FR"/>
        </w:rPr>
        <w:t xml:space="preserve">C.3) Luis Alonso </w:t>
      </w:r>
      <w:r w:rsidR="009A7056" w:rsidRPr="00914F55">
        <w:rPr>
          <w:spacing w:val="-4"/>
          <w:szCs w:val="20"/>
          <w:lang w:val="fr-FR"/>
        </w:rPr>
        <w:t>Chévez de la Rocha</w:t>
      </w:r>
      <w:bookmarkEnd w:id="184"/>
      <w:bookmarkEnd w:id="185"/>
      <w:bookmarkEnd w:id="186"/>
    </w:p>
    <w:p w14:paraId="129FD3F6" w14:textId="77777777" w:rsidR="00930C85" w:rsidRPr="00914F55" w:rsidRDefault="00930C85" w:rsidP="00930C85">
      <w:pPr>
        <w:rPr>
          <w:spacing w:val="-4"/>
          <w:szCs w:val="20"/>
          <w:lang w:val="fr-FR"/>
        </w:rPr>
      </w:pPr>
    </w:p>
    <w:p w14:paraId="18932E54" w14:textId="16D41A8A" w:rsidR="00930C85" w:rsidRPr="00A50E4D" w:rsidRDefault="00930C85" w:rsidP="00930C85">
      <w:pPr>
        <w:pStyle w:val="PrrafodeSentencia"/>
        <w:rPr>
          <w:lang w:val="en-US"/>
        </w:rPr>
      </w:pPr>
      <w:bookmarkStart w:id="187" w:name="_Ref426373721"/>
      <w:r w:rsidRPr="00A50E4D">
        <w:rPr>
          <w:lang w:val="en-US"/>
        </w:rPr>
        <w:lastRenderedPageBreak/>
        <w:t xml:space="preserve">Luis Alonso </w:t>
      </w:r>
      <w:r w:rsidR="009A7056" w:rsidRPr="00A50E4D">
        <w:rPr>
          <w:lang w:val="en-US"/>
        </w:rPr>
        <w:t>Chévez de la Rocha</w:t>
      </w:r>
      <w:r w:rsidRPr="00A50E4D">
        <w:rPr>
          <w:lang w:val="en-US"/>
        </w:rPr>
        <w:t xml:space="preserve"> </w:t>
      </w:r>
      <w:r w:rsidR="009A7056" w:rsidRPr="00A50E4D">
        <w:rPr>
          <w:lang w:val="en-US"/>
        </w:rPr>
        <w:t xml:space="preserve">was born on December 23, </w:t>
      </w:r>
      <w:r w:rsidRPr="00A50E4D">
        <w:rPr>
          <w:lang w:val="en-US"/>
        </w:rPr>
        <w:t>1957</w:t>
      </w:r>
      <w:r w:rsidR="009A7056" w:rsidRPr="00A50E4D">
        <w:rPr>
          <w:lang w:val="en-US"/>
        </w:rPr>
        <w:t>.</w:t>
      </w:r>
      <w:r w:rsidRPr="00A50E4D">
        <w:rPr>
          <w:rStyle w:val="FootnoteReference"/>
          <w:rFonts w:cs="Arial"/>
          <w:sz w:val="20"/>
          <w:szCs w:val="20"/>
          <w:lang w:val="en-US"/>
        </w:rPr>
        <w:footnoteReference w:id="214"/>
      </w:r>
      <w:r w:rsidR="009A7056" w:rsidRPr="00A50E4D">
        <w:rPr>
          <w:lang w:val="en-US"/>
        </w:rPr>
        <w:t xml:space="preserve"> From March 27, 2008, to September 23, 2010, he was a Special Judge </w:t>
      </w:r>
      <w:r w:rsidR="006B2F75" w:rsidRPr="00A50E4D">
        <w:rPr>
          <w:lang w:val="en-US"/>
        </w:rPr>
        <w:t>of cases involving domestic v</w:t>
      </w:r>
      <w:r w:rsidR="009A7056" w:rsidRPr="00A50E4D">
        <w:rPr>
          <w:lang w:val="en-US"/>
        </w:rPr>
        <w:t xml:space="preserve">iolence in </w:t>
      </w:r>
      <w:r w:rsidRPr="00A50E4D">
        <w:rPr>
          <w:lang w:val="en-US"/>
        </w:rPr>
        <w:t>San Pedro Sula</w:t>
      </w:r>
      <w:r w:rsidR="009A7056" w:rsidRPr="00A50E4D">
        <w:rPr>
          <w:lang w:val="en-US"/>
        </w:rPr>
        <w:t>.</w:t>
      </w:r>
      <w:r w:rsidRPr="00A50E4D">
        <w:rPr>
          <w:rStyle w:val="FootnoteReference"/>
          <w:rFonts w:cs="Arial"/>
          <w:sz w:val="20"/>
          <w:szCs w:val="20"/>
          <w:lang w:val="en-US"/>
        </w:rPr>
        <w:footnoteReference w:id="215"/>
      </w:r>
      <w:r w:rsidR="009A7056" w:rsidRPr="00A50E4D">
        <w:rPr>
          <w:lang w:val="en-US"/>
        </w:rPr>
        <w:t xml:space="preserve"> At the time of the facts he was a member </w:t>
      </w:r>
      <w:r w:rsidR="00FF35A9" w:rsidRPr="00A50E4D">
        <w:rPr>
          <w:lang w:val="en-US"/>
        </w:rPr>
        <w:t xml:space="preserve">of the </w:t>
      </w:r>
      <w:r w:rsidRPr="00A50E4D">
        <w:rPr>
          <w:lang w:val="en-US"/>
        </w:rPr>
        <w:t>AJD</w:t>
      </w:r>
      <w:r w:rsidR="009A7056" w:rsidRPr="00A50E4D">
        <w:rPr>
          <w:lang w:val="en-US"/>
        </w:rPr>
        <w:t>.</w:t>
      </w:r>
      <w:r w:rsidRPr="00A50E4D">
        <w:rPr>
          <w:rStyle w:val="FootnoteReference"/>
          <w:rFonts w:cs="Arial"/>
          <w:sz w:val="20"/>
          <w:szCs w:val="20"/>
          <w:lang w:val="en-US"/>
        </w:rPr>
        <w:footnoteReference w:id="216"/>
      </w:r>
      <w:bookmarkEnd w:id="187"/>
    </w:p>
    <w:p w14:paraId="61651B90" w14:textId="77777777" w:rsidR="00930C85" w:rsidRPr="00A50E4D" w:rsidRDefault="00930C85" w:rsidP="00930C85">
      <w:pPr>
        <w:pStyle w:val="NoSpacing"/>
        <w:tabs>
          <w:tab w:val="left" w:pos="567"/>
        </w:tabs>
        <w:rPr>
          <w:spacing w:val="-4"/>
          <w:szCs w:val="20"/>
          <w:lang w:val="en-US"/>
        </w:rPr>
      </w:pPr>
    </w:p>
    <w:p w14:paraId="7EDF555A" w14:textId="04717954" w:rsidR="00930C85" w:rsidRPr="00A50E4D" w:rsidRDefault="009A7056" w:rsidP="00930C85">
      <w:pPr>
        <w:pStyle w:val="PrrafodeSentencia"/>
        <w:rPr>
          <w:lang w:val="en-US"/>
        </w:rPr>
      </w:pPr>
      <w:bookmarkStart w:id="188" w:name="_Ref424563315"/>
      <w:r w:rsidRPr="00A50E4D">
        <w:rPr>
          <w:lang w:val="en-US"/>
        </w:rPr>
        <w:t>In the afternoon of August 12,</w:t>
      </w:r>
      <w:r w:rsidR="00930C85" w:rsidRPr="00A50E4D">
        <w:rPr>
          <w:lang w:val="en-US"/>
        </w:rPr>
        <w:t xml:space="preserve"> 2009</w:t>
      </w:r>
      <w:r w:rsidRPr="00A50E4D">
        <w:rPr>
          <w:lang w:val="en-US"/>
        </w:rPr>
        <w:t>, he was near the Multiplaza Mall located in the</w:t>
      </w:r>
      <w:r w:rsidR="00930C85" w:rsidRPr="00A50E4D">
        <w:rPr>
          <w:lang w:val="en-US"/>
        </w:rPr>
        <w:t xml:space="preserve"> Circunvalación</w:t>
      </w:r>
      <w:r w:rsidRPr="00A50E4D">
        <w:rPr>
          <w:lang w:val="en-US"/>
        </w:rPr>
        <w:t xml:space="preserve"> Avenue</w:t>
      </w:r>
      <w:r w:rsidR="00FF35A9" w:rsidRPr="00A50E4D">
        <w:rPr>
          <w:lang w:val="en-US"/>
        </w:rPr>
        <w:t xml:space="preserve"> of </w:t>
      </w:r>
      <w:r w:rsidR="00930C85" w:rsidRPr="00A50E4D">
        <w:rPr>
          <w:lang w:val="en-US"/>
        </w:rPr>
        <w:t xml:space="preserve">San Pedro Sula. </w:t>
      </w:r>
      <w:r w:rsidRPr="00A50E4D">
        <w:rPr>
          <w:lang w:val="en-US"/>
        </w:rPr>
        <w:t xml:space="preserve">That day, a march against the </w:t>
      </w:r>
      <w:r w:rsidR="00B11ACA" w:rsidRPr="00A50E4D">
        <w:rPr>
          <w:i/>
          <w:lang w:val="en-US"/>
        </w:rPr>
        <w:t>coup d’état</w:t>
      </w:r>
      <w:r w:rsidRPr="00A50E4D">
        <w:rPr>
          <w:lang w:val="en-US"/>
        </w:rPr>
        <w:t xml:space="preserve"> was being held in this avenue</w:t>
      </w:r>
      <w:r w:rsidR="00930C85" w:rsidRPr="00A50E4D">
        <w:rPr>
          <w:lang w:val="en-US"/>
        </w:rPr>
        <w:t xml:space="preserve">. </w:t>
      </w:r>
      <w:r w:rsidRPr="00A50E4D">
        <w:rPr>
          <w:lang w:val="en-US"/>
        </w:rPr>
        <w:t>Mr. Chévez</w:t>
      </w:r>
      <w:r w:rsidR="00930C85" w:rsidRPr="00A50E4D">
        <w:rPr>
          <w:lang w:val="en-US"/>
        </w:rPr>
        <w:t xml:space="preserve"> </w:t>
      </w:r>
      <w:r w:rsidRPr="00A50E4D">
        <w:rPr>
          <w:lang w:val="en-US"/>
        </w:rPr>
        <w:t>went to observe the march and noted that “they were throwing tear gas bombs.” Upon questioning the actions taken by the police, he was made to get into a patrol car</w:t>
      </w:r>
      <w:r w:rsidR="00930C85" w:rsidRPr="00A50E4D">
        <w:rPr>
          <w:rStyle w:val="FootnoteReference"/>
          <w:rFonts w:cs="Arial"/>
          <w:sz w:val="20"/>
          <w:szCs w:val="20"/>
          <w:lang w:val="en-US"/>
        </w:rPr>
        <w:footnoteReference w:id="217"/>
      </w:r>
      <w:r w:rsidR="009808C5" w:rsidRPr="00A50E4D">
        <w:rPr>
          <w:lang w:val="en-US"/>
        </w:rPr>
        <w:t xml:space="preserve"> and </w:t>
      </w:r>
      <w:r w:rsidR="00930C85" w:rsidRPr="00A50E4D">
        <w:rPr>
          <w:lang w:val="en-US"/>
        </w:rPr>
        <w:t>t</w:t>
      </w:r>
      <w:r w:rsidRPr="00A50E4D">
        <w:rPr>
          <w:lang w:val="en-US"/>
        </w:rPr>
        <w:t>aken to the First Police Station of</w:t>
      </w:r>
      <w:r w:rsidR="00930C85" w:rsidRPr="00A50E4D">
        <w:rPr>
          <w:lang w:val="en-US"/>
        </w:rPr>
        <w:t xml:space="preserve"> San Pedro Sula</w:t>
      </w:r>
      <w:r w:rsidRPr="00A50E4D">
        <w:rPr>
          <w:lang w:val="en-US"/>
        </w:rPr>
        <w:t>.</w:t>
      </w:r>
      <w:r w:rsidR="00930C85" w:rsidRPr="00A50E4D">
        <w:rPr>
          <w:rStyle w:val="FootnoteReference"/>
          <w:rFonts w:cs="Arial"/>
          <w:sz w:val="20"/>
          <w:szCs w:val="20"/>
          <w:lang w:val="en-US"/>
        </w:rPr>
        <w:footnoteReference w:id="218"/>
      </w:r>
      <w:r w:rsidRPr="00A50E4D">
        <w:rPr>
          <w:lang w:val="en-US"/>
        </w:rPr>
        <w:t xml:space="preserve"> According to Mr. Chévez</w:t>
      </w:r>
      <w:r w:rsidR="00930C85" w:rsidRPr="00A50E4D">
        <w:rPr>
          <w:lang w:val="en-US"/>
        </w:rPr>
        <w:t xml:space="preserve">, </w:t>
      </w:r>
      <w:r w:rsidRPr="00A50E4D">
        <w:rPr>
          <w:lang w:val="en-US"/>
        </w:rPr>
        <w:t xml:space="preserve">he </w:t>
      </w:r>
      <w:r w:rsidR="00930C85" w:rsidRPr="00A50E4D">
        <w:rPr>
          <w:lang w:val="en-US"/>
        </w:rPr>
        <w:t>“</w:t>
      </w:r>
      <w:r w:rsidRPr="00A50E4D">
        <w:rPr>
          <w:lang w:val="en-US"/>
        </w:rPr>
        <w:t>was physically and verbally attacked by the station’s police agents,” who also failed to inform him of his rights.</w:t>
      </w:r>
      <w:r w:rsidR="00930C85" w:rsidRPr="00A50E4D">
        <w:rPr>
          <w:rStyle w:val="FootnoteReference"/>
          <w:rFonts w:cs="Arial"/>
          <w:sz w:val="20"/>
          <w:szCs w:val="20"/>
          <w:lang w:val="en-US"/>
        </w:rPr>
        <w:footnoteReference w:id="219"/>
      </w:r>
      <w:bookmarkEnd w:id="188"/>
    </w:p>
    <w:p w14:paraId="58DA4911" w14:textId="77777777" w:rsidR="00930C85" w:rsidRPr="00A50E4D" w:rsidRDefault="00930C85" w:rsidP="00930C85">
      <w:pPr>
        <w:pStyle w:val="NoSpacing"/>
        <w:tabs>
          <w:tab w:val="left" w:pos="567"/>
        </w:tabs>
        <w:rPr>
          <w:b/>
          <w:spacing w:val="-4"/>
          <w:szCs w:val="20"/>
          <w:lang w:val="en-US"/>
        </w:rPr>
      </w:pPr>
    </w:p>
    <w:p w14:paraId="4931F641" w14:textId="5A2CA89A" w:rsidR="00930C85" w:rsidRPr="00A50E4D" w:rsidRDefault="00DA4F82" w:rsidP="002E6AB5">
      <w:pPr>
        <w:pStyle w:val="PrrafodeSentencia"/>
        <w:tabs>
          <w:tab w:val="left" w:pos="2340"/>
        </w:tabs>
        <w:rPr>
          <w:lang w:val="en-US"/>
        </w:rPr>
      </w:pPr>
      <w:r w:rsidRPr="00A50E4D">
        <w:rPr>
          <w:lang w:val="en-US"/>
        </w:rPr>
        <w:t xml:space="preserve">The same day, an application for </w:t>
      </w:r>
      <w:r w:rsidR="007D50DD" w:rsidRPr="00A50E4D">
        <w:rPr>
          <w:i/>
          <w:lang w:val="en-US"/>
        </w:rPr>
        <w:t>habeas corpus</w:t>
      </w:r>
      <w:r w:rsidRPr="00A50E4D">
        <w:rPr>
          <w:lang w:val="en-US"/>
        </w:rPr>
        <w:t xml:space="preserve"> was filed in favor of Mr.</w:t>
      </w:r>
      <w:r w:rsidR="00930C85" w:rsidRPr="00A50E4D">
        <w:rPr>
          <w:lang w:val="en-US"/>
        </w:rPr>
        <w:t xml:space="preserve"> Chévez</w:t>
      </w:r>
      <w:r w:rsidR="009808C5" w:rsidRPr="00A50E4D">
        <w:rPr>
          <w:lang w:val="en-US"/>
        </w:rPr>
        <w:t xml:space="preserve"> and </w:t>
      </w:r>
      <w:r w:rsidRPr="00A50E4D">
        <w:rPr>
          <w:lang w:val="en-US"/>
        </w:rPr>
        <w:t>the other persons arrested with him.</w:t>
      </w:r>
      <w:r w:rsidR="00930C85" w:rsidRPr="00A50E4D">
        <w:rPr>
          <w:rStyle w:val="FootnoteReference"/>
          <w:rFonts w:cs="Arial"/>
          <w:sz w:val="20"/>
          <w:szCs w:val="20"/>
          <w:lang w:val="en-US"/>
        </w:rPr>
        <w:footnoteReference w:id="220"/>
      </w:r>
      <w:r w:rsidRPr="00A50E4D">
        <w:rPr>
          <w:lang w:val="en-US"/>
        </w:rPr>
        <w:t xml:space="preserve"> As a result, the places where they were detain</w:t>
      </w:r>
      <w:r w:rsidR="007D50DD" w:rsidRPr="00A50E4D">
        <w:rPr>
          <w:lang w:val="en-US"/>
        </w:rPr>
        <w:t>ed</w:t>
      </w:r>
      <w:r w:rsidRPr="00A50E4D">
        <w:rPr>
          <w:lang w:val="en-US"/>
        </w:rPr>
        <w:t xml:space="preserve"> in San Pedro Sula were ordered to “immediately bring [all those arrested that day], before the corresponding Executing Magistrate,” and </w:t>
      </w:r>
      <w:r w:rsidR="002E6AB5" w:rsidRPr="00A50E4D">
        <w:rPr>
          <w:lang w:val="en-US"/>
        </w:rPr>
        <w:t xml:space="preserve">that those </w:t>
      </w:r>
      <w:r w:rsidR="000A786A" w:rsidRPr="00A50E4D">
        <w:rPr>
          <w:lang w:val="en-US"/>
        </w:rPr>
        <w:t>who had</w:t>
      </w:r>
      <w:r w:rsidR="002E6AB5" w:rsidRPr="00A50E4D">
        <w:rPr>
          <w:lang w:val="en-US"/>
        </w:rPr>
        <w:t xml:space="preserve"> </w:t>
      </w:r>
      <w:r w:rsidR="000A786A" w:rsidRPr="00A50E4D">
        <w:rPr>
          <w:lang w:val="en-US"/>
        </w:rPr>
        <w:t>arrested</w:t>
      </w:r>
      <w:r w:rsidR="002E6AB5" w:rsidRPr="00A50E4D">
        <w:rPr>
          <w:lang w:val="en-US"/>
        </w:rPr>
        <w:t xml:space="preserve"> them should present “the arrest warrant and [provide] a detailed report of the events that led to the arrest.</w:t>
      </w:r>
      <w:r w:rsidR="00930C85" w:rsidRPr="00A50E4D">
        <w:rPr>
          <w:lang w:val="en-US"/>
        </w:rPr>
        <w:t>”</w:t>
      </w:r>
      <w:r w:rsidR="00930C85" w:rsidRPr="00A50E4D">
        <w:rPr>
          <w:rStyle w:val="FootnoteReference"/>
          <w:rFonts w:cs="Arial"/>
          <w:sz w:val="20"/>
          <w:szCs w:val="20"/>
          <w:lang w:val="en-US"/>
        </w:rPr>
        <w:footnoteReference w:id="221"/>
      </w:r>
      <w:r w:rsidR="00930C85" w:rsidRPr="00A50E4D">
        <w:rPr>
          <w:lang w:val="en-US"/>
        </w:rPr>
        <w:t xml:space="preserve"> </w:t>
      </w:r>
      <w:r w:rsidRPr="00A50E4D">
        <w:rPr>
          <w:lang w:val="en-US"/>
        </w:rPr>
        <w:t>The Executing Magistrate</w:t>
      </w:r>
      <w:r w:rsidR="00930C85" w:rsidRPr="00A50E4D">
        <w:rPr>
          <w:lang w:val="en-US"/>
        </w:rPr>
        <w:t xml:space="preserve"> </w:t>
      </w:r>
      <w:r w:rsidR="002E6AB5" w:rsidRPr="00A50E4D">
        <w:rPr>
          <w:lang w:val="en-US"/>
        </w:rPr>
        <w:t xml:space="preserve">observed that, in the logbook of the station where he was detained “there was no record of why he had been detained, or indeed a report of the detention of </w:t>
      </w:r>
      <w:r w:rsidR="007D50DD" w:rsidRPr="00A50E4D">
        <w:rPr>
          <w:lang w:val="en-US"/>
        </w:rPr>
        <w:t>anyone by that police station</w:t>
      </w:r>
      <w:r w:rsidR="002E6AB5" w:rsidRPr="00A50E4D">
        <w:rPr>
          <w:lang w:val="en-US"/>
        </w:rPr>
        <w:t xml:space="preserve"> that day.</w:t>
      </w:r>
      <w:r w:rsidR="00930C85" w:rsidRPr="00A50E4D">
        <w:rPr>
          <w:lang w:val="en-US"/>
        </w:rPr>
        <w:t>”</w:t>
      </w:r>
      <w:r w:rsidR="00930C85" w:rsidRPr="00A50E4D">
        <w:rPr>
          <w:rStyle w:val="FootnoteReference"/>
          <w:rFonts w:cs="Arial"/>
          <w:sz w:val="20"/>
          <w:szCs w:val="20"/>
          <w:lang w:val="en-US"/>
        </w:rPr>
        <w:footnoteReference w:id="222"/>
      </w:r>
      <w:r w:rsidR="002E6AB5" w:rsidRPr="00A50E4D">
        <w:rPr>
          <w:lang w:val="en-US"/>
        </w:rPr>
        <w:t xml:space="preserve"> In addition, the offic</w:t>
      </w:r>
      <w:r w:rsidR="007D50DD" w:rsidRPr="00A50E4D">
        <w:rPr>
          <w:lang w:val="en-US"/>
        </w:rPr>
        <w:t>er in charge told her that the said</w:t>
      </w:r>
      <w:r w:rsidR="002E6AB5" w:rsidRPr="00A50E4D">
        <w:rPr>
          <w:lang w:val="en-US"/>
        </w:rPr>
        <w:t xml:space="preserve"> persons </w:t>
      </w:r>
      <w:r w:rsidR="007D50DD" w:rsidRPr="00A50E4D">
        <w:rPr>
          <w:lang w:val="en-US"/>
        </w:rPr>
        <w:t xml:space="preserve">were not detained; </w:t>
      </w:r>
      <w:r w:rsidR="002E6AB5" w:rsidRPr="00A50E4D">
        <w:rPr>
          <w:lang w:val="en-US"/>
        </w:rPr>
        <w:t>rather, they were at the police station “because of the investigation and to be checked by a forensic physician.</w:t>
      </w:r>
      <w:r w:rsidR="00930C85" w:rsidRPr="00A50E4D">
        <w:rPr>
          <w:lang w:val="en-US"/>
        </w:rPr>
        <w:t>”</w:t>
      </w:r>
      <w:r w:rsidR="00930C85" w:rsidRPr="00A50E4D">
        <w:rPr>
          <w:rStyle w:val="FootnoteReference"/>
          <w:rFonts w:cs="Arial"/>
          <w:sz w:val="20"/>
          <w:szCs w:val="20"/>
          <w:lang w:val="en-US"/>
        </w:rPr>
        <w:footnoteReference w:id="223"/>
      </w:r>
      <w:r w:rsidR="00930C85" w:rsidRPr="00A50E4D">
        <w:rPr>
          <w:lang w:val="en-US"/>
        </w:rPr>
        <w:t xml:space="preserve"> </w:t>
      </w:r>
      <w:r w:rsidRPr="00A50E4D">
        <w:rPr>
          <w:lang w:val="en-US"/>
        </w:rPr>
        <w:t>The Executing Magistrate</w:t>
      </w:r>
      <w:r w:rsidR="00930C85" w:rsidRPr="00A50E4D">
        <w:rPr>
          <w:lang w:val="en-US"/>
        </w:rPr>
        <w:t xml:space="preserve"> orde</w:t>
      </w:r>
      <w:r w:rsidR="002E6AB5" w:rsidRPr="00A50E4D">
        <w:rPr>
          <w:lang w:val="en-US"/>
        </w:rPr>
        <w:t xml:space="preserve">red their immediate </w:t>
      </w:r>
      <w:r w:rsidR="000A786A" w:rsidRPr="00A50E4D">
        <w:rPr>
          <w:lang w:val="en-US"/>
        </w:rPr>
        <w:t>release</w:t>
      </w:r>
      <w:r w:rsidR="002E6AB5" w:rsidRPr="00A50E4D">
        <w:rPr>
          <w:lang w:val="en-US"/>
        </w:rPr>
        <w:t xml:space="preserve"> at 8.20 p.m. considering that “no warrant existed for their arrest” and</w:t>
      </w:r>
      <w:r w:rsidR="007D50DD" w:rsidRPr="00A50E4D">
        <w:rPr>
          <w:lang w:val="en-US"/>
        </w:rPr>
        <w:t xml:space="preserve"> there was</w:t>
      </w:r>
      <w:r w:rsidR="002E6AB5" w:rsidRPr="00A50E4D">
        <w:rPr>
          <w:lang w:val="en-US"/>
        </w:rPr>
        <w:t xml:space="preserve"> not even “circumstantial evidence against them.</w:t>
      </w:r>
      <w:r w:rsidR="00930C85" w:rsidRPr="00A50E4D">
        <w:rPr>
          <w:lang w:val="en-US"/>
        </w:rPr>
        <w:t>”</w:t>
      </w:r>
      <w:r w:rsidR="00930C85" w:rsidRPr="00A50E4D">
        <w:rPr>
          <w:rStyle w:val="FootnoteReference"/>
          <w:rFonts w:cs="Arial"/>
          <w:sz w:val="20"/>
          <w:szCs w:val="20"/>
          <w:lang w:val="en-US"/>
        </w:rPr>
        <w:footnoteReference w:id="224"/>
      </w:r>
      <w:r w:rsidR="00930C85" w:rsidRPr="00A50E4D">
        <w:rPr>
          <w:lang w:val="en-US"/>
        </w:rPr>
        <w:t xml:space="preserve"> </w:t>
      </w:r>
    </w:p>
    <w:p w14:paraId="1CC0F6BB" w14:textId="77777777" w:rsidR="00930C85" w:rsidRPr="00A50E4D" w:rsidRDefault="00930C85" w:rsidP="00930C85">
      <w:pPr>
        <w:pStyle w:val="ListParagraph"/>
        <w:numPr>
          <w:ilvl w:val="0"/>
          <w:numId w:val="0"/>
        </w:numPr>
        <w:rPr>
          <w:spacing w:val="-4"/>
          <w:lang w:val="en-US"/>
        </w:rPr>
      </w:pPr>
    </w:p>
    <w:p w14:paraId="31C6129D" w14:textId="4776F44E" w:rsidR="00930C85" w:rsidRPr="00A50E4D" w:rsidRDefault="002E6AB5" w:rsidP="002E6AB5">
      <w:pPr>
        <w:pStyle w:val="PrrafodeSentencia"/>
        <w:rPr>
          <w:u w:val="single"/>
          <w:lang w:val="en-US"/>
        </w:rPr>
      </w:pPr>
      <w:r w:rsidRPr="00A50E4D">
        <w:rPr>
          <w:lang w:val="en-US"/>
        </w:rPr>
        <w:lastRenderedPageBreak/>
        <w:t xml:space="preserve">On September 10, the </w:t>
      </w:r>
      <w:r w:rsidR="008142CE" w:rsidRPr="00A50E4D">
        <w:rPr>
          <w:lang w:val="en-US"/>
        </w:rPr>
        <w:t>District Appellate Court</w:t>
      </w:r>
      <w:r w:rsidR="007D50DD" w:rsidRPr="00A50E4D">
        <w:rPr>
          <w:lang w:val="en-US"/>
        </w:rPr>
        <w:t xml:space="preserve"> of</w:t>
      </w:r>
      <w:r w:rsidR="00930C85" w:rsidRPr="00A50E4D">
        <w:rPr>
          <w:lang w:val="en-US"/>
        </w:rPr>
        <w:t xml:space="preserve"> San Pedro Sula declar</w:t>
      </w:r>
      <w:r w:rsidRPr="00A50E4D">
        <w:rPr>
          <w:lang w:val="en-US"/>
        </w:rPr>
        <w:t xml:space="preserve">ed the application for </w:t>
      </w:r>
      <w:r w:rsidR="007D50DD" w:rsidRPr="00A50E4D">
        <w:rPr>
          <w:i/>
          <w:lang w:val="en-US"/>
        </w:rPr>
        <w:t>habeas corpus</w:t>
      </w:r>
      <w:r w:rsidRPr="00A50E4D">
        <w:rPr>
          <w:lang w:val="en-US"/>
        </w:rPr>
        <w:t xml:space="preserve"> admissible, considering that Mr. Chévez de la Rocha and the other persons who had been arrested had not been advised “of the reasons for their arre</w:t>
      </w:r>
      <w:r w:rsidR="007D50DD" w:rsidRPr="00A50E4D">
        <w:rPr>
          <w:lang w:val="en-US"/>
        </w:rPr>
        <w:t xml:space="preserve">st [and </w:t>
      </w:r>
      <w:r w:rsidRPr="00A50E4D">
        <w:rPr>
          <w:lang w:val="en-US"/>
        </w:rPr>
        <w:t>nor was] their right to advise that they had been arrested respected.” In addition, it took into account that, “</w:t>
      </w:r>
      <w:r w:rsidR="007D50DD" w:rsidRPr="00A50E4D">
        <w:rPr>
          <w:lang w:val="en-US"/>
        </w:rPr>
        <w:t>according to his</w:t>
      </w:r>
      <w:r w:rsidRPr="00A50E4D">
        <w:rPr>
          <w:lang w:val="en-US"/>
        </w:rPr>
        <w:t xml:space="preserve"> testimony, Luis Alonso Chévez de la Rocha […] had been subjected to verbal abuse by t</w:t>
      </w:r>
      <w:r w:rsidR="007D50DD" w:rsidRPr="00A50E4D">
        <w:rPr>
          <w:lang w:val="en-US"/>
        </w:rPr>
        <w:t xml:space="preserve">he police authorities, and that </w:t>
      </w:r>
      <w:r w:rsidRPr="00A50E4D">
        <w:rPr>
          <w:lang w:val="en-US"/>
        </w:rPr>
        <w:t>the detention […] had not been recorded in the police station logbook.</w:t>
      </w:r>
      <w:r w:rsidR="00930C85" w:rsidRPr="00A50E4D">
        <w:rPr>
          <w:lang w:val="en-US"/>
        </w:rPr>
        <w:t>”</w:t>
      </w:r>
      <w:r w:rsidR="00930C85" w:rsidRPr="00A50E4D">
        <w:rPr>
          <w:rStyle w:val="FootnoteReference"/>
          <w:rFonts w:cs="Arial"/>
          <w:sz w:val="20"/>
          <w:szCs w:val="20"/>
          <w:lang w:val="en-US"/>
        </w:rPr>
        <w:footnoteReference w:id="225"/>
      </w:r>
      <w:r w:rsidR="00930C85" w:rsidRPr="00A50E4D">
        <w:rPr>
          <w:lang w:val="en-US"/>
        </w:rPr>
        <w:t xml:space="preserve"> </w:t>
      </w:r>
      <w:r w:rsidRPr="00A50E4D">
        <w:rPr>
          <w:lang w:val="en-US"/>
        </w:rPr>
        <w:t>In addition, the decision ordered that a copy of the document be sent “to the city’s Ombudsman so that he could file the corresponding criminal actions” and that “when the […] ruling had been notified, the corresponding proceedings should be forwarded to</w:t>
      </w:r>
      <w:r w:rsidR="00930C85" w:rsidRPr="00A50E4D">
        <w:rPr>
          <w:lang w:val="en-US"/>
        </w:rPr>
        <w:t xml:space="preserve"> </w:t>
      </w:r>
      <w:r w:rsidR="00F61ED5" w:rsidRPr="00A50E4D">
        <w:rPr>
          <w:lang w:val="en-US"/>
        </w:rPr>
        <w:t>the Constitutional Chamber</w:t>
      </w:r>
      <w:r w:rsidRPr="00A50E4D">
        <w:rPr>
          <w:lang w:val="en-US"/>
        </w:rPr>
        <w:t>.</w:t>
      </w:r>
      <w:r w:rsidR="00930C85" w:rsidRPr="00A50E4D">
        <w:rPr>
          <w:lang w:val="en-US"/>
        </w:rPr>
        <w:t>”</w:t>
      </w:r>
      <w:r w:rsidR="00930C85" w:rsidRPr="00A50E4D">
        <w:rPr>
          <w:rStyle w:val="FootnoteReference"/>
          <w:rFonts w:cs="Arial"/>
          <w:sz w:val="20"/>
          <w:szCs w:val="20"/>
          <w:lang w:val="en-US"/>
        </w:rPr>
        <w:footnoteReference w:id="226"/>
      </w:r>
    </w:p>
    <w:p w14:paraId="16C4F119" w14:textId="77777777" w:rsidR="00930C85" w:rsidRPr="00A50E4D" w:rsidRDefault="00930C85" w:rsidP="00930C85">
      <w:pPr>
        <w:rPr>
          <w:b/>
          <w:color w:val="00B050"/>
          <w:spacing w:val="-4"/>
          <w:sz w:val="16"/>
          <w:szCs w:val="16"/>
          <w:lang w:val="en-US"/>
        </w:rPr>
      </w:pPr>
    </w:p>
    <w:p w14:paraId="1C61FA51" w14:textId="0D73B430" w:rsidR="00930C85" w:rsidRPr="00A50E4D" w:rsidRDefault="002E6AB5" w:rsidP="00930C85">
      <w:pPr>
        <w:pStyle w:val="PrrafodeSentencia"/>
        <w:rPr>
          <w:lang w:val="en-US"/>
        </w:rPr>
      </w:pPr>
      <w:r w:rsidRPr="00A50E4D">
        <w:rPr>
          <w:lang w:val="en-US"/>
        </w:rPr>
        <w:t xml:space="preserve">In parallel, on August 13, </w:t>
      </w:r>
      <w:r w:rsidR="00930C85" w:rsidRPr="00A50E4D">
        <w:rPr>
          <w:lang w:val="en-US"/>
        </w:rPr>
        <w:t>2009</w:t>
      </w:r>
      <w:r w:rsidRPr="00A50E4D">
        <w:rPr>
          <w:lang w:val="en-US"/>
        </w:rPr>
        <w:t>,</w:t>
      </w:r>
      <w:r w:rsidR="00930C85" w:rsidRPr="00A50E4D">
        <w:rPr>
          <w:lang w:val="en-US"/>
        </w:rPr>
        <w:t xml:space="preserve"> </w:t>
      </w:r>
      <w:r w:rsidRPr="00A50E4D">
        <w:rPr>
          <w:lang w:val="en-US"/>
        </w:rPr>
        <w:t xml:space="preserve">the Inspectorate </w:t>
      </w:r>
      <w:r w:rsidR="00FF35A9" w:rsidRPr="00A50E4D">
        <w:rPr>
          <w:lang w:val="en-US"/>
        </w:rPr>
        <w:t>General of Courts and Tribunals</w:t>
      </w:r>
      <w:r w:rsidR="00930C85" w:rsidRPr="00A50E4D">
        <w:rPr>
          <w:lang w:val="en-US"/>
        </w:rPr>
        <w:t xml:space="preserve"> orde</w:t>
      </w:r>
      <w:r w:rsidRPr="00A50E4D">
        <w:rPr>
          <w:lang w:val="en-US"/>
        </w:rPr>
        <w:t xml:space="preserve">red that an investigation be opened, </w:t>
      </w:r>
      <w:r w:rsidRPr="00A50E4D">
        <w:rPr>
          <w:i/>
          <w:lang w:val="en-US"/>
        </w:rPr>
        <w:t>ex officio,</w:t>
      </w:r>
      <w:r w:rsidRPr="00A50E4D">
        <w:rPr>
          <w:lang w:val="en-US"/>
        </w:rPr>
        <w:t xml:space="preserve"> against </w:t>
      </w:r>
      <w:r w:rsidR="009A7056" w:rsidRPr="00A50E4D">
        <w:rPr>
          <w:lang w:val="en-US"/>
        </w:rPr>
        <w:t>Mr. Chévez</w:t>
      </w:r>
      <w:r w:rsidR="00930C85" w:rsidRPr="00A50E4D">
        <w:rPr>
          <w:lang w:val="en-US"/>
        </w:rPr>
        <w:t xml:space="preserve"> </w:t>
      </w:r>
      <w:r w:rsidRPr="00A50E4D">
        <w:rPr>
          <w:lang w:val="en-US"/>
        </w:rPr>
        <w:t>b</w:t>
      </w:r>
      <w:r w:rsidR="007D50DD" w:rsidRPr="00A50E4D">
        <w:rPr>
          <w:lang w:val="en-US"/>
        </w:rPr>
        <w:t xml:space="preserve">ecause </w:t>
      </w:r>
      <w:r w:rsidRPr="00A50E4D">
        <w:rPr>
          <w:lang w:val="en-US"/>
        </w:rPr>
        <w:t>a newspaper article had reported</w:t>
      </w:r>
      <w:r w:rsidR="007D50DD" w:rsidRPr="00A50E4D">
        <w:rPr>
          <w:lang w:val="en-US"/>
        </w:rPr>
        <w:t xml:space="preserve"> on</w:t>
      </w:r>
      <w:r w:rsidRPr="00A50E4D">
        <w:rPr>
          <w:lang w:val="en-US"/>
        </w:rPr>
        <w:t xml:space="preserve"> his arrest during a demonstration.</w:t>
      </w:r>
      <w:r w:rsidR="00930C85" w:rsidRPr="00A50E4D">
        <w:rPr>
          <w:rStyle w:val="FootnoteReference"/>
          <w:rFonts w:cs="Arial"/>
          <w:sz w:val="20"/>
          <w:szCs w:val="20"/>
          <w:lang w:val="en-US"/>
        </w:rPr>
        <w:footnoteReference w:id="227"/>
      </w:r>
      <w:r w:rsidR="00930C85" w:rsidRPr="00A50E4D">
        <w:rPr>
          <w:lang w:val="en-US"/>
        </w:rPr>
        <w:t xml:space="preserve"> </w:t>
      </w:r>
      <w:r w:rsidRPr="00A50E4D">
        <w:rPr>
          <w:lang w:val="en-US"/>
        </w:rPr>
        <w:t>On August 19, this investigation was joindered to the investigation against Mr. Barrios an</w:t>
      </w:r>
      <w:r w:rsidR="000B5D1E" w:rsidRPr="00A50E4D">
        <w:rPr>
          <w:lang w:val="en-US"/>
        </w:rPr>
        <w:t>d other judicial offi</w:t>
      </w:r>
      <w:r w:rsidR="007D50DD" w:rsidRPr="00A50E4D">
        <w:rPr>
          <w:lang w:val="en-US"/>
        </w:rPr>
        <w:t>cials</w:t>
      </w:r>
      <w:r w:rsidR="00930C85" w:rsidRPr="00A50E4D">
        <w:rPr>
          <w:lang w:val="en-US"/>
        </w:rPr>
        <w:t xml:space="preserve"> (</w:t>
      </w:r>
      <w:r w:rsidR="00930C85" w:rsidRPr="00A50E4D">
        <w:rPr>
          <w:i/>
          <w:lang w:val="en-US"/>
        </w:rPr>
        <w:t xml:space="preserve">infra </w:t>
      </w:r>
      <w:r w:rsidR="00AD5EE7" w:rsidRPr="00A50E4D">
        <w:rPr>
          <w:lang w:val="en-US"/>
        </w:rPr>
        <w:t>paras.</w:t>
      </w:r>
      <w:r w:rsidR="00930C85" w:rsidRPr="00A50E4D">
        <w:rPr>
          <w:lang w:val="en-US"/>
        </w:rPr>
        <w:t xml:space="preserve"> </w:t>
      </w:r>
      <w:r w:rsidR="00930C85" w:rsidRPr="00914F55">
        <w:rPr>
          <w:lang w:val="en-US"/>
        </w:rPr>
        <w:fldChar w:fldCharType="begin"/>
      </w:r>
      <w:r w:rsidR="00930C85" w:rsidRPr="00A50E4D">
        <w:rPr>
          <w:lang w:val="en-US"/>
        </w:rPr>
        <w:instrText xml:space="preserve"> REF _Ref426552120 \r \h </w:instrText>
      </w:r>
      <w:r w:rsidR="00EA20A5" w:rsidRPr="00A50E4D">
        <w:rPr>
          <w:lang w:val="en-US"/>
        </w:rPr>
        <w:instrText xml:space="preserve"> \* MERGEFORMAT </w:instrText>
      </w:r>
      <w:r w:rsidR="00930C85" w:rsidRPr="00914F55">
        <w:rPr>
          <w:lang w:val="en-US"/>
        </w:rPr>
      </w:r>
      <w:r w:rsidR="00930C85" w:rsidRPr="00914F55">
        <w:rPr>
          <w:lang w:val="en-US"/>
        </w:rPr>
        <w:fldChar w:fldCharType="separate"/>
      </w:r>
      <w:r w:rsidR="00547588">
        <w:rPr>
          <w:lang w:val="en-US"/>
        </w:rPr>
        <w:t>141</w:t>
      </w:r>
      <w:r w:rsidR="00930C85" w:rsidRPr="00914F55">
        <w:rPr>
          <w:lang w:val="en-US"/>
        </w:rPr>
        <w:fldChar w:fldCharType="end"/>
      </w:r>
      <w:r w:rsidR="00930C85" w:rsidRPr="00A50E4D">
        <w:rPr>
          <w:lang w:val="en-US"/>
        </w:rPr>
        <w:t xml:space="preserve"> </w:t>
      </w:r>
      <w:r w:rsidR="000B5D1E" w:rsidRPr="00A50E4D">
        <w:rPr>
          <w:lang w:val="en-US"/>
        </w:rPr>
        <w:t>to</w:t>
      </w:r>
      <w:r w:rsidR="00930C85" w:rsidRPr="00A50E4D">
        <w:rPr>
          <w:lang w:val="en-US"/>
        </w:rPr>
        <w:t xml:space="preserve"> </w:t>
      </w:r>
      <w:r w:rsidR="00930C85" w:rsidRPr="00914F55">
        <w:rPr>
          <w:lang w:val="en-US"/>
        </w:rPr>
        <w:fldChar w:fldCharType="begin"/>
      </w:r>
      <w:r w:rsidR="00930C85" w:rsidRPr="00A50E4D">
        <w:rPr>
          <w:lang w:val="en-US"/>
        </w:rPr>
        <w:instrText xml:space="preserve"> REF _Ref424563360 \r \h  \* MERGEFORMAT </w:instrText>
      </w:r>
      <w:r w:rsidR="00930C85" w:rsidRPr="00914F55">
        <w:rPr>
          <w:lang w:val="en-US"/>
        </w:rPr>
      </w:r>
      <w:r w:rsidR="00930C85" w:rsidRPr="00914F55">
        <w:rPr>
          <w:lang w:val="en-US"/>
        </w:rPr>
        <w:fldChar w:fldCharType="separate"/>
      </w:r>
      <w:r w:rsidR="00547588">
        <w:rPr>
          <w:lang w:val="en-US"/>
        </w:rPr>
        <w:t>147</w:t>
      </w:r>
      <w:r w:rsidR="00930C85" w:rsidRPr="00914F55">
        <w:rPr>
          <w:lang w:val="en-US"/>
        </w:rPr>
        <w:fldChar w:fldCharType="end"/>
      </w:r>
      <w:r w:rsidR="00930C85" w:rsidRPr="00A50E4D">
        <w:rPr>
          <w:lang w:val="en-US"/>
        </w:rPr>
        <w:t>)</w:t>
      </w:r>
      <w:r w:rsidR="000B5D1E" w:rsidRPr="00A50E4D">
        <w:rPr>
          <w:lang w:val="en-US"/>
        </w:rPr>
        <w:t>.</w:t>
      </w:r>
      <w:r w:rsidR="00930C85" w:rsidRPr="00A50E4D">
        <w:rPr>
          <w:rStyle w:val="FootnoteReference"/>
          <w:rFonts w:cs="Arial"/>
          <w:sz w:val="20"/>
          <w:szCs w:val="20"/>
          <w:lang w:val="en-US"/>
        </w:rPr>
        <w:footnoteReference w:id="228"/>
      </w:r>
    </w:p>
    <w:p w14:paraId="75CCABAC" w14:textId="77777777" w:rsidR="00930C85" w:rsidRPr="00A50E4D" w:rsidRDefault="00930C85" w:rsidP="00930C85">
      <w:pPr>
        <w:pStyle w:val="NoSpacing"/>
        <w:tabs>
          <w:tab w:val="left" w:pos="567"/>
        </w:tabs>
        <w:rPr>
          <w:spacing w:val="-4"/>
          <w:szCs w:val="20"/>
          <w:lang w:val="en-US"/>
        </w:rPr>
      </w:pPr>
    </w:p>
    <w:p w14:paraId="47E2D2CE" w14:textId="07CBB0F0" w:rsidR="00930C85" w:rsidRPr="00A50E4D" w:rsidRDefault="000B5D1E" w:rsidP="007D50DD">
      <w:pPr>
        <w:pStyle w:val="PrrafodeSentencia"/>
        <w:rPr>
          <w:lang w:val="en-US"/>
        </w:rPr>
      </w:pPr>
      <w:r w:rsidRPr="00A50E4D">
        <w:rPr>
          <w:lang w:val="en-US"/>
        </w:rPr>
        <w:t>On</w:t>
      </w:r>
      <w:r w:rsidR="00930C85" w:rsidRPr="00A50E4D">
        <w:rPr>
          <w:lang w:val="en-US"/>
        </w:rPr>
        <w:t xml:space="preserve"> </w:t>
      </w:r>
      <w:r w:rsidRPr="00A50E4D">
        <w:rPr>
          <w:lang w:val="en-US"/>
        </w:rPr>
        <w:t>September 11, Mr. Chévez de la Rocha</w:t>
      </w:r>
      <w:r w:rsidR="00930C85" w:rsidRPr="00A50E4D">
        <w:rPr>
          <w:lang w:val="en-US"/>
        </w:rPr>
        <w:t xml:space="preserve"> </w:t>
      </w:r>
      <w:r w:rsidRPr="00A50E4D">
        <w:rPr>
          <w:lang w:val="en-US"/>
        </w:rPr>
        <w:t>“was informed of the contents of the complaint” and his statement was postponed to give him time to prepare it.</w:t>
      </w:r>
      <w:r w:rsidR="00930C85" w:rsidRPr="00A50E4D">
        <w:rPr>
          <w:rStyle w:val="FootnoteReference"/>
          <w:sz w:val="20"/>
          <w:szCs w:val="20"/>
          <w:lang w:val="en-US"/>
        </w:rPr>
        <w:footnoteReference w:id="229"/>
      </w:r>
      <w:r w:rsidR="00930C85" w:rsidRPr="00A50E4D">
        <w:rPr>
          <w:lang w:val="en-US"/>
        </w:rPr>
        <w:t xml:space="preserve"> </w:t>
      </w:r>
      <w:r w:rsidRPr="00A50E4D">
        <w:rPr>
          <w:lang w:val="en-US"/>
        </w:rPr>
        <w:t>On September 12,</w:t>
      </w:r>
      <w:r w:rsidR="00930C85" w:rsidRPr="00A50E4D">
        <w:rPr>
          <w:lang w:val="en-US"/>
        </w:rPr>
        <w:t xml:space="preserve"> 2009</w:t>
      </w:r>
      <w:r w:rsidRPr="00A50E4D">
        <w:rPr>
          <w:lang w:val="en-US"/>
        </w:rPr>
        <w:t>,</w:t>
      </w:r>
      <w:r w:rsidR="00930C85" w:rsidRPr="00A50E4D">
        <w:rPr>
          <w:lang w:val="en-US"/>
        </w:rPr>
        <w:t xml:space="preserve"> </w:t>
      </w:r>
      <w:r w:rsidR="009A7056" w:rsidRPr="00A50E4D">
        <w:rPr>
          <w:lang w:val="en-US"/>
        </w:rPr>
        <w:t>Mr. Chévez de la Rocha</w:t>
      </w:r>
      <w:r w:rsidR="006E1430" w:rsidRPr="00A50E4D">
        <w:rPr>
          <w:lang w:val="en-US"/>
        </w:rPr>
        <w:t xml:space="preserve"> </w:t>
      </w:r>
      <w:r w:rsidRPr="00A50E4D">
        <w:rPr>
          <w:lang w:val="en-US"/>
        </w:rPr>
        <w:t>asked</w:t>
      </w:r>
      <w:r w:rsidR="00930C85" w:rsidRPr="00A50E4D">
        <w:rPr>
          <w:lang w:val="en-US"/>
        </w:rPr>
        <w:t xml:space="preserve"> </w:t>
      </w:r>
      <w:r w:rsidR="00DA4F82" w:rsidRPr="00A50E4D">
        <w:rPr>
          <w:lang w:val="en-US"/>
        </w:rPr>
        <w:t>the Inspectorate</w:t>
      </w:r>
      <w:r w:rsidRPr="00A50E4D">
        <w:rPr>
          <w:lang w:val="en-US"/>
        </w:rPr>
        <w:t xml:space="preserve"> to provide him with a photocopy of the file, </w:t>
      </w:r>
      <w:r w:rsidR="00930C85" w:rsidRPr="00A50E4D">
        <w:rPr>
          <w:lang w:val="en-US"/>
        </w:rPr>
        <w:t>“</w:t>
      </w:r>
      <w:r w:rsidRPr="00A50E4D">
        <w:rPr>
          <w:lang w:val="en-US"/>
        </w:rPr>
        <w:t>in order discover</w:t>
      </w:r>
      <w:r w:rsidR="00D563D1" w:rsidRPr="00A50E4D">
        <w:rPr>
          <w:lang w:val="en-US"/>
        </w:rPr>
        <w:t xml:space="preserve"> </w:t>
      </w:r>
      <w:r w:rsidRPr="00A50E4D">
        <w:rPr>
          <w:lang w:val="en-US"/>
        </w:rPr>
        <w:t xml:space="preserve">what [he] </w:t>
      </w:r>
      <w:r w:rsidR="007D50DD" w:rsidRPr="00A50E4D">
        <w:rPr>
          <w:lang w:val="en-US"/>
        </w:rPr>
        <w:t>was</w:t>
      </w:r>
      <w:r w:rsidRPr="00A50E4D">
        <w:rPr>
          <w:lang w:val="en-US"/>
        </w:rPr>
        <w:t xml:space="preserve"> accused</w:t>
      </w:r>
      <w:r w:rsidR="00D563D1" w:rsidRPr="00A50E4D">
        <w:rPr>
          <w:lang w:val="en-US"/>
        </w:rPr>
        <w:t xml:space="preserve"> of</w:t>
      </w:r>
      <w:r w:rsidRPr="00A50E4D">
        <w:rPr>
          <w:lang w:val="en-US"/>
        </w:rPr>
        <w:t>.</w:t>
      </w:r>
      <w:r w:rsidR="00930C85" w:rsidRPr="00A50E4D">
        <w:rPr>
          <w:lang w:val="en-US"/>
        </w:rPr>
        <w:t>”</w:t>
      </w:r>
      <w:r w:rsidR="00930C85" w:rsidRPr="00A50E4D">
        <w:rPr>
          <w:rStyle w:val="FootnoteReference"/>
          <w:sz w:val="20"/>
          <w:szCs w:val="20"/>
          <w:lang w:val="en-US"/>
        </w:rPr>
        <w:footnoteReference w:id="230"/>
      </w:r>
      <w:r w:rsidRPr="00A50E4D">
        <w:rPr>
          <w:lang w:val="en-US"/>
        </w:rPr>
        <w:t xml:space="preserve"> His request was refused, because Mr. Chévez had “been given verbal information on the </w:t>
      </w:r>
      <w:r w:rsidR="007D50DD" w:rsidRPr="00A50E4D">
        <w:rPr>
          <w:lang w:val="en-US"/>
        </w:rPr>
        <w:t>matters</w:t>
      </w:r>
      <w:r w:rsidRPr="00A50E4D">
        <w:rPr>
          <w:lang w:val="en-US"/>
        </w:rPr>
        <w:t xml:space="preserve"> to be investigated.”</w:t>
      </w:r>
      <w:r w:rsidR="00930C85" w:rsidRPr="00A50E4D">
        <w:rPr>
          <w:lang w:val="en-US"/>
        </w:rPr>
        <w:t xml:space="preserve"> </w:t>
      </w:r>
      <w:r w:rsidRPr="00A50E4D">
        <w:rPr>
          <w:lang w:val="en-US"/>
        </w:rPr>
        <w:t>In addition, t</w:t>
      </w:r>
      <w:r w:rsidR="00DA4F82" w:rsidRPr="00A50E4D">
        <w:rPr>
          <w:lang w:val="en-US"/>
        </w:rPr>
        <w:t>he Inspectorate</w:t>
      </w:r>
      <w:r w:rsidRPr="00A50E4D">
        <w:rPr>
          <w:lang w:val="en-US"/>
        </w:rPr>
        <w:t xml:space="preserve"> emphasized that the inspectors had to “</w:t>
      </w:r>
      <w:r w:rsidRPr="00A50E4D">
        <w:rPr>
          <w:bCs/>
          <w:lang w:val="en-US"/>
        </w:rPr>
        <w:t>observe strict confidentiality in the performance of their duties.</w:t>
      </w:r>
      <w:r w:rsidR="00930C85" w:rsidRPr="00A50E4D">
        <w:rPr>
          <w:lang w:val="en-US"/>
        </w:rPr>
        <w:t>”</w:t>
      </w:r>
      <w:r w:rsidR="00930C85" w:rsidRPr="00A50E4D">
        <w:rPr>
          <w:rStyle w:val="FootnoteReference"/>
          <w:sz w:val="20"/>
          <w:szCs w:val="20"/>
          <w:lang w:val="en-US"/>
        </w:rPr>
        <w:footnoteReference w:id="231"/>
      </w:r>
      <w:r w:rsidRPr="00A50E4D">
        <w:rPr>
          <w:lang w:val="en-US"/>
        </w:rPr>
        <w:t xml:space="preserve"> On September 14, </w:t>
      </w:r>
      <w:r w:rsidR="009A7056" w:rsidRPr="00A50E4D">
        <w:rPr>
          <w:lang w:val="en-US"/>
        </w:rPr>
        <w:t>Mr. Chévez</w:t>
      </w:r>
      <w:r w:rsidR="00930C85" w:rsidRPr="00A50E4D">
        <w:rPr>
          <w:lang w:val="en-US"/>
        </w:rPr>
        <w:t xml:space="preserve"> </w:t>
      </w:r>
      <w:r w:rsidRPr="00A50E4D">
        <w:rPr>
          <w:lang w:val="en-US"/>
        </w:rPr>
        <w:t xml:space="preserve">gave a statement before </w:t>
      </w:r>
      <w:r w:rsidR="00DA4F82" w:rsidRPr="00A50E4D">
        <w:rPr>
          <w:lang w:val="en-US"/>
        </w:rPr>
        <w:t>the Inspectorate</w:t>
      </w:r>
      <w:r w:rsidR="007D50DD" w:rsidRPr="00A50E4D">
        <w:rPr>
          <w:lang w:val="en-US"/>
        </w:rPr>
        <w:t>. At that time</w:t>
      </w:r>
      <w:r w:rsidRPr="00A50E4D">
        <w:rPr>
          <w:lang w:val="en-US"/>
        </w:rPr>
        <w:t xml:space="preserve"> he was q</w:t>
      </w:r>
      <w:r w:rsidR="007D50DD" w:rsidRPr="00A50E4D">
        <w:rPr>
          <w:lang w:val="en-US"/>
        </w:rPr>
        <w:t xml:space="preserve">uestioned about his arrest, </w:t>
      </w:r>
      <w:r w:rsidRPr="00A50E4D">
        <w:rPr>
          <w:lang w:val="en-US"/>
        </w:rPr>
        <w:t xml:space="preserve">whether he had encouraged court </w:t>
      </w:r>
      <w:r w:rsidR="00D563D1" w:rsidRPr="00A50E4D">
        <w:rPr>
          <w:lang w:val="en-US"/>
        </w:rPr>
        <w:t xml:space="preserve">employees </w:t>
      </w:r>
      <w:r w:rsidRPr="00A50E4D">
        <w:rPr>
          <w:lang w:val="en-US"/>
        </w:rPr>
        <w:t>to strike, and whether he had insulted other administrative employees.</w:t>
      </w:r>
      <w:r w:rsidR="00930C85" w:rsidRPr="00A50E4D">
        <w:rPr>
          <w:rStyle w:val="FootnoteReference"/>
          <w:rFonts w:cs="Arial"/>
          <w:sz w:val="20"/>
          <w:szCs w:val="20"/>
          <w:lang w:val="en-US"/>
        </w:rPr>
        <w:footnoteReference w:id="232"/>
      </w:r>
    </w:p>
    <w:p w14:paraId="63BE0346" w14:textId="77777777" w:rsidR="00930C85" w:rsidRPr="00A50E4D" w:rsidRDefault="00930C85" w:rsidP="00930C85">
      <w:pPr>
        <w:pStyle w:val="ListParagraph"/>
        <w:numPr>
          <w:ilvl w:val="0"/>
          <w:numId w:val="0"/>
        </w:numPr>
        <w:rPr>
          <w:spacing w:val="-4"/>
          <w:lang w:val="en-US"/>
        </w:rPr>
      </w:pPr>
    </w:p>
    <w:p w14:paraId="0B90777D" w14:textId="6AA86A1E" w:rsidR="00930C85" w:rsidRPr="00A50E4D" w:rsidRDefault="008142CE" w:rsidP="00DA1DCB">
      <w:pPr>
        <w:pStyle w:val="PrrafodeSentencia"/>
        <w:rPr>
          <w:lang w:val="en-US"/>
        </w:rPr>
      </w:pPr>
      <w:r w:rsidRPr="00A50E4D">
        <w:rPr>
          <w:lang w:val="en-US"/>
        </w:rPr>
        <w:t>On September 16,</w:t>
      </w:r>
      <w:r w:rsidR="00930C85" w:rsidRPr="00A50E4D">
        <w:rPr>
          <w:lang w:val="en-US"/>
        </w:rPr>
        <w:t xml:space="preserve"> 2009</w:t>
      </w:r>
      <w:r w:rsidR="000B5D1E" w:rsidRPr="00A50E4D">
        <w:rPr>
          <w:lang w:val="en-US"/>
        </w:rPr>
        <w:t>,</w:t>
      </w:r>
      <w:r w:rsidR="000A786A" w:rsidRPr="00A50E4D">
        <w:rPr>
          <w:lang w:val="en-US"/>
        </w:rPr>
        <w:t xml:space="preserve"> the</w:t>
      </w:r>
      <w:r w:rsidR="00930C85" w:rsidRPr="00A50E4D">
        <w:rPr>
          <w:lang w:val="en-US"/>
        </w:rPr>
        <w:t xml:space="preserve"> </w:t>
      </w:r>
      <w:r w:rsidR="00D563D1" w:rsidRPr="00A50E4D">
        <w:rPr>
          <w:lang w:val="en-US"/>
        </w:rPr>
        <w:t xml:space="preserve">Regional </w:t>
      </w:r>
      <w:r w:rsidR="00930C85" w:rsidRPr="00A50E4D">
        <w:rPr>
          <w:lang w:val="en-US"/>
        </w:rPr>
        <w:t>I</w:t>
      </w:r>
      <w:r w:rsidR="00D563D1" w:rsidRPr="00A50E4D">
        <w:rPr>
          <w:lang w:val="en-US"/>
        </w:rPr>
        <w:t xml:space="preserve">nspectors </w:t>
      </w:r>
      <w:r w:rsidR="000F4023" w:rsidRPr="00A50E4D">
        <w:rPr>
          <w:lang w:val="en-US"/>
        </w:rPr>
        <w:t>of Courts and Tribunals</w:t>
      </w:r>
      <w:r w:rsidR="00930C85" w:rsidRPr="00A50E4D">
        <w:rPr>
          <w:lang w:val="en-US"/>
        </w:rPr>
        <w:t xml:space="preserve"> </w:t>
      </w:r>
      <w:r w:rsidR="00D563D1" w:rsidRPr="00A50E4D">
        <w:rPr>
          <w:lang w:val="en-US"/>
        </w:rPr>
        <w:t xml:space="preserve">gave their report to the </w:t>
      </w:r>
      <w:r w:rsidR="00DA4F82" w:rsidRPr="00A50E4D">
        <w:rPr>
          <w:lang w:val="en-US"/>
        </w:rPr>
        <w:t>Inspectorate</w:t>
      </w:r>
      <w:r w:rsidR="00930C85" w:rsidRPr="00A50E4D">
        <w:rPr>
          <w:lang w:val="en-US"/>
        </w:rPr>
        <w:t xml:space="preserve"> General</w:t>
      </w:r>
      <w:r w:rsidR="009808C5" w:rsidRPr="00A50E4D">
        <w:rPr>
          <w:lang w:val="en-US"/>
        </w:rPr>
        <w:t xml:space="preserve"> and </w:t>
      </w:r>
      <w:r w:rsidR="00D563D1" w:rsidRPr="00A50E4D">
        <w:rPr>
          <w:lang w:val="en-US"/>
        </w:rPr>
        <w:t xml:space="preserve">indicated that, “from the statements obtained, it is concluded that acts were committed that </w:t>
      </w:r>
      <w:r w:rsidR="006A228E" w:rsidRPr="00A50E4D">
        <w:rPr>
          <w:lang w:val="en-US"/>
        </w:rPr>
        <w:t>were inimical to</w:t>
      </w:r>
      <w:r w:rsidR="00D563D1" w:rsidRPr="00A50E4D">
        <w:rPr>
          <w:lang w:val="en-US"/>
        </w:rPr>
        <w:t xml:space="preserve"> the dignity of the administration of justice</w:t>
      </w:r>
      <w:r w:rsidR="00DA1DCB" w:rsidRPr="00A50E4D">
        <w:rPr>
          <w:lang w:val="en-US"/>
        </w:rPr>
        <w:t>,</w:t>
      </w:r>
      <w:r w:rsidR="00D563D1" w:rsidRPr="00A50E4D">
        <w:rPr>
          <w:lang w:val="en-US"/>
        </w:rPr>
        <w:t xml:space="preserve"> pursuant to the provisions of a</w:t>
      </w:r>
      <w:r w:rsidR="009808C5" w:rsidRPr="00A50E4D">
        <w:rPr>
          <w:lang w:val="en-US"/>
        </w:rPr>
        <w:t>rticle</w:t>
      </w:r>
      <w:r w:rsidR="007D50DD" w:rsidRPr="00A50E4D">
        <w:rPr>
          <w:lang w:val="en-US"/>
        </w:rPr>
        <w:t xml:space="preserve"> 53</w:t>
      </w:r>
      <w:r w:rsidR="00D563D1" w:rsidRPr="00A50E4D">
        <w:rPr>
          <w:lang w:val="en-US"/>
        </w:rPr>
        <w:t>(b)</w:t>
      </w:r>
      <w:r w:rsidR="009808C5" w:rsidRPr="00A50E4D">
        <w:rPr>
          <w:lang w:val="en-US"/>
        </w:rPr>
        <w:t xml:space="preserve"> and </w:t>
      </w:r>
      <w:r w:rsidR="00930C85" w:rsidRPr="00A50E4D">
        <w:rPr>
          <w:lang w:val="en-US"/>
        </w:rPr>
        <w:t>44</w:t>
      </w:r>
      <w:r w:rsidR="00FF35A9" w:rsidRPr="00A50E4D">
        <w:rPr>
          <w:lang w:val="en-US"/>
        </w:rPr>
        <w:t xml:space="preserve"> of the</w:t>
      </w:r>
      <w:r w:rsidR="00D563D1" w:rsidRPr="00A50E4D">
        <w:rPr>
          <w:lang w:val="en-US"/>
        </w:rPr>
        <w:t xml:space="preserve"> Judicial </w:t>
      </w:r>
      <w:r w:rsidR="000A786A" w:rsidRPr="00A50E4D">
        <w:rPr>
          <w:lang w:val="en-US"/>
        </w:rPr>
        <w:t>Service</w:t>
      </w:r>
      <w:r w:rsidR="00D563D1" w:rsidRPr="00A50E4D">
        <w:rPr>
          <w:lang w:val="en-US"/>
        </w:rPr>
        <w:t xml:space="preserve"> Act</w:t>
      </w:r>
      <w:r w:rsidR="00DA1DCB" w:rsidRPr="00A50E4D">
        <w:rPr>
          <w:lang w:val="en-US"/>
        </w:rPr>
        <w:t>,</w:t>
      </w:r>
      <w:r w:rsidR="00D563D1" w:rsidRPr="00A50E4D">
        <w:rPr>
          <w:lang w:val="en-US"/>
        </w:rPr>
        <w:t xml:space="preserve"> </w:t>
      </w:r>
      <w:r w:rsidR="007D50DD" w:rsidRPr="00A50E4D">
        <w:rPr>
          <w:lang w:val="en-US"/>
        </w:rPr>
        <w:t>because</w:t>
      </w:r>
      <w:r w:rsidR="00D563D1" w:rsidRPr="00A50E4D">
        <w:rPr>
          <w:lang w:val="en-US"/>
        </w:rPr>
        <w:t xml:space="preserve"> [three] employees</w:t>
      </w:r>
      <w:r w:rsidR="007D50DD" w:rsidRPr="00A50E4D">
        <w:rPr>
          <w:lang w:val="en-US"/>
        </w:rPr>
        <w:t xml:space="preserve"> were slighted</w:t>
      </w:r>
      <w:r w:rsidR="00D563D1" w:rsidRPr="00A50E4D">
        <w:rPr>
          <w:lang w:val="en-US"/>
        </w:rPr>
        <w:t xml:space="preserve"> […] and</w:t>
      </w:r>
      <w:r w:rsidR="007D50DD" w:rsidRPr="00A50E4D">
        <w:rPr>
          <w:lang w:val="en-US"/>
        </w:rPr>
        <w:t xml:space="preserve"> they were encouraged </w:t>
      </w:r>
      <w:r w:rsidR="00D563D1" w:rsidRPr="00A50E4D">
        <w:rPr>
          <w:lang w:val="en-US"/>
        </w:rPr>
        <w:t xml:space="preserve">to protest against what he considered a </w:t>
      </w:r>
      <w:r w:rsidR="00DA1DCB" w:rsidRPr="00A50E4D">
        <w:rPr>
          <w:lang w:val="en-US"/>
        </w:rPr>
        <w:t xml:space="preserve">government </w:t>
      </w:r>
      <w:r w:rsidR="00930C85" w:rsidRPr="00A50E4D">
        <w:rPr>
          <w:i/>
          <w:lang w:val="en-US"/>
        </w:rPr>
        <w:t>de facto</w:t>
      </w:r>
      <w:r w:rsidR="00DA1DCB" w:rsidRPr="00A50E4D">
        <w:rPr>
          <w:lang w:val="en-US"/>
        </w:rPr>
        <w:t>.</w:t>
      </w:r>
      <w:r w:rsidR="00930C85" w:rsidRPr="00A50E4D">
        <w:rPr>
          <w:lang w:val="en-US"/>
        </w:rPr>
        <w:t>”</w:t>
      </w:r>
      <w:r w:rsidR="00930C85" w:rsidRPr="00A50E4D">
        <w:rPr>
          <w:rStyle w:val="FootnoteReference"/>
          <w:rFonts w:cs="Arial"/>
          <w:sz w:val="20"/>
          <w:szCs w:val="20"/>
          <w:lang w:val="en-US"/>
        </w:rPr>
        <w:footnoteReference w:id="233"/>
      </w:r>
      <w:r w:rsidR="00930C85" w:rsidRPr="00A50E4D">
        <w:rPr>
          <w:lang w:val="en-US"/>
        </w:rPr>
        <w:t xml:space="preserve"> </w:t>
      </w:r>
      <w:r w:rsidR="00DA1DCB" w:rsidRPr="00A50E4D">
        <w:rPr>
          <w:lang w:val="en-US"/>
        </w:rPr>
        <w:t>The report contained no conclusion</w:t>
      </w:r>
      <w:r w:rsidR="007D50DD" w:rsidRPr="00A50E4D">
        <w:rPr>
          <w:lang w:val="en-US"/>
        </w:rPr>
        <w:t>s</w:t>
      </w:r>
      <w:r w:rsidR="00DA1DCB" w:rsidRPr="00A50E4D">
        <w:rPr>
          <w:lang w:val="en-US"/>
        </w:rPr>
        <w:t xml:space="preserve"> with regard to </w:t>
      </w:r>
      <w:r w:rsidR="00DA4F82" w:rsidRPr="00A50E4D">
        <w:rPr>
          <w:lang w:val="en-US"/>
        </w:rPr>
        <w:t>Mr.</w:t>
      </w:r>
      <w:r w:rsidR="00930C85" w:rsidRPr="00A50E4D">
        <w:rPr>
          <w:lang w:val="en-US"/>
        </w:rPr>
        <w:t xml:space="preserve"> </w:t>
      </w:r>
      <w:r w:rsidR="009A7056" w:rsidRPr="00A50E4D">
        <w:rPr>
          <w:lang w:val="en-US"/>
        </w:rPr>
        <w:t>Chévez de la Rocha</w:t>
      </w:r>
      <w:r w:rsidR="00DA1DCB" w:rsidRPr="00A50E4D">
        <w:rPr>
          <w:lang w:val="en-US"/>
        </w:rPr>
        <w:t>’s arrest</w:t>
      </w:r>
      <w:r w:rsidR="00930C85" w:rsidRPr="00A50E4D">
        <w:rPr>
          <w:lang w:val="en-US"/>
        </w:rPr>
        <w:t xml:space="preserve">. </w:t>
      </w:r>
      <w:r w:rsidR="00DA1DCB" w:rsidRPr="00A50E4D">
        <w:rPr>
          <w:lang w:val="en-US"/>
        </w:rPr>
        <w:t>On September 17</w:t>
      </w:r>
      <w:r w:rsidR="00930C85" w:rsidRPr="00A50E4D">
        <w:rPr>
          <w:lang w:val="en-US"/>
        </w:rPr>
        <w:t xml:space="preserve">, </w:t>
      </w:r>
      <w:r w:rsidR="00A23598" w:rsidRPr="00A50E4D">
        <w:rPr>
          <w:lang w:val="en-US"/>
        </w:rPr>
        <w:t xml:space="preserve">the Inspector </w:t>
      </w:r>
      <w:r w:rsidR="00930C85" w:rsidRPr="00A50E4D">
        <w:rPr>
          <w:lang w:val="en-US"/>
        </w:rPr>
        <w:t>General ratifi</w:t>
      </w:r>
      <w:r w:rsidR="00DA1DCB" w:rsidRPr="00A50E4D">
        <w:rPr>
          <w:lang w:val="en-US"/>
        </w:rPr>
        <w:t xml:space="preserve">ed this report and added that the fact that “he had been arrested by the National Police, owing to his presence in acts that disrupted public order,” was </w:t>
      </w:r>
      <w:r w:rsidR="006A228E" w:rsidRPr="00A50E4D">
        <w:rPr>
          <w:lang w:val="en-US"/>
        </w:rPr>
        <w:t>inimical to</w:t>
      </w:r>
      <w:r w:rsidR="00DA1DCB" w:rsidRPr="00A50E4D">
        <w:rPr>
          <w:lang w:val="en-US"/>
        </w:rPr>
        <w:t xml:space="preserve"> “the dign</w:t>
      </w:r>
      <w:r w:rsidR="007D50DD" w:rsidRPr="00A50E4D">
        <w:rPr>
          <w:lang w:val="en-US"/>
        </w:rPr>
        <w:t>ity and decorum of his function</w:t>
      </w:r>
      <w:r w:rsidR="00DA1DCB" w:rsidRPr="00A50E4D">
        <w:rPr>
          <w:lang w:val="en-US"/>
        </w:rPr>
        <w:t>”</w:t>
      </w:r>
      <w:r w:rsidR="007D50DD" w:rsidRPr="00A50E4D">
        <w:rPr>
          <w:lang w:val="en-US"/>
        </w:rPr>
        <w:t>; she</w:t>
      </w:r>
      <w:r w:rsidR="00DA1DCB" w:rsidRPr="00A50E4D">
        <w:rPr>
          <w:lang w:val="en-US"/>
        </w:rPr>
        <w:t xml:space="preserve"> therefore decided to forward the file to </w:t>
      </w:r>
      <w:r w:rsidR="004D0F32" w:rsidRPr="00A50E4D">
        <w:rPr>
          <w:lang w:val="en-US"/>
        </w:rPr>
        <w:t xml:space="preserve">the </w:t>
      </w:r>
      <w:r w:rsidR="00D563D1" w:rsidRPr="00A50E4D">
        <w:rPr>
          <w:lang w:val="en-US"/>
        </w:rPr>
        <w:t>Personnel Management Directorate</w:t>
      </w:r>
      <w:r w:rsidR="00930C85" w:rsidRPr="00A50E4D">
        <w:rPr>
          <w:lang w:val="en-US"/>
        </w:rPr>
        <w:t xml:space="preserve">, </w:t>
      </w:r>
      <w:r w:rsidR="00DA1DCB" w:rsidRPr="00A50E4D">
        <w:rPr>
          <w:lang w:val="en-US"/>
        </w:rPr>
        <w:t>with a copy to</w:t>
      </w:r>
      <w:r w:rsidR="00930C85" w:rsidRPr="00A50E4D">
        <w:rPr>
          <w:lang w:val="en-US"/>
        </w:rPr>
        <w:t xml:space="preserve"> </w:t>
      </w:r>
      <w:r w:rsidR="009808C5" w:rsidRPr="00A50E4D">
        <w:rPr>
          <w:lang w:val="en-US"/>
        </w:rPr>
        <w:t xml:space="preserve">the </w:t>
      </w:r>
      <w:r w:rsidR="00371BB7" w:rsidRPr="00A50E4D">
        <w:rPr>
          <w:lang w:val="en-US"/>
        </w:rPr>
        <w:t>Supreme Court of Justice</w:t>
      </w:r>
      <w:r w:rsidR="00DA1DCB" w:rsidRPr="00A50E4D">
        <w:rPr>
          <w:lang w:val="en-US"/>
        </w:rPr>
        <w:t>.</w:t>
      </w:r>
      <w:r w:rsidR="00930C85" w:rsidRPr="00A50E4D">
        <w:rPr>
          <w:rStyle w:val="FootnoteReference"/>
          <w:rFonts w:cs="Arial"/>
          <w:sz w:val="20"/>
          <w:szCs w:val="20"/>
          <w:lang w:val="en-US"/>
        </w:rPr>
        <w:footnoteReference w:id="234"/>
      </w:r>
      <w:r w:rsidR="00930C85" w:rsidRPr="00A50E4D">
        <w:rPr>
          <w:lang w:val="en-US"/>
        </w:rPr>
        <w:t xml:space="preserve"> </w:t>
      </w:r>
    </w:p>
    <w:p w14:paraId="4044AED5" w14:textId="77777777" w:rsidR="00930C85" w:rsidRPr="00A50E4D" w:rsidRDefault="00930C85" w:rsidP="00930C85">
      <w:pPr>
        <w:pStyle w:val="ListParagraph"/>
        <w:numPr>
          <w:ilvl w:val="0"/>
          <w:numId w:val="0"/>
        </w:numPr>
        <w:rPr>
          <w:spacing w:val="-4"/>
          <w:lang w:val="en-US"/>
        </w:rPr>
      </w:pPr>
    </w:p>
    <w:p w14:paraId="25F3F29A" w14:textId="77DA1E55" w:rsidR="00930C85" w:rsidRPr="00A50E4D" w:rsidRDefault="00DA1DCB" w:rsidP="00930C85">
      <w:pPr>
        <w:pStyle w:val="PrrafodeSentencia"/>
        <w:rPr>
          <w:lang w:val="en-US"/>
        </w:rPr>
      </w:pPr>
      <w:r w:rsidRPr="00A50E4D">
        <w:rPr>
          <w:lang w:val="en-US"/>
        </w:rPr>
        <w:t>On October 9,</w:t>
      </w:r>
      <w:r w:rsidR="00930C85" w:rsidRPr="00A50E4D">
        <w:rPr>
          <w:lang w:val="en-US"/>
        </w:rPr>
        <w:t xml:space="preserve"> 2009</w:t>
      </w:r>
      <w:r w:rsidRPr="00A50E4D">
        <w:rPr>
          <w:lang w:val="en-US"/>
        </w:rPr>
        <w:t>,</w:t>
      </w:r>
      <w:r w:rsidR="00930C85" w:rsidRPr="00A50E4D">
        <w:rPr>
          <w:lang w:val="en-US"/>
        </w:rPr>
        <w:t xml:space="preserve"> </w:t>
      </w:r>
      <w:r w:rsidR="004D0F32" w:rsidRPr="00A50E4D">
        <w:rPr>
          <w:lang w:val="en-US"/>
        </w:rPr>
        <w:t xml:space="preserve">the </w:t>
      </w:r>
      <w:r w:rsidR="00D563D1" w:rsidRPr="00A50E4D">
        <w:rPr>
          <w:lang w:val="en-US"/>
        </w:rPr>
        <w:t>Personnel Management Directorate</w:t>
      </w:r>
      <w:r w:rsidR="00930C85" w:rsidRPr="00A50E4D">
        <w:rPr>
          <w:lang w:val="en-US"/>
        </w:rPr>
        <w:t xml:space="preserve"> </w:t>
      </w:r>
      <w:r w:rsidRPr="00A50E4D">
        <w:rPr>
          <w:lang w:val="en-US"/>
        </w:rPr>
        <w:t xml:space="preserve">opened a disciplinary proceeding against </w:t>
      </w:r>
      <w:r w:rsidR="009A7056" w:rsidRPr="00A50E4D">
        <w:rPr>
          <w:lang w:val="en-US"/>
        </w:rPr>
        <w:t>Mr. Chévez</w:t>
      </w:r>
      <w:r w:rsidR="009808C5" w:rsidRPr="00A50E4D">
        <w:rPr>
          <w:lang w:val="en-US"/>
        </w:rPr>
        <w:t xml:space="preserve"> and</w:t>
      </w:r>
      <w:r w:rsidRPr="00A50E4D">
        <w:rPr>
          <w:lang w:val="en-US"/>
        </w:rPr>
        <w:t xml:space="preserve"> summoned him to </w:t>
      </w:r>
      <w:r w:rsidR="007D50DD" w:rsidRPr="00A50E4D">
        <w:rPr>
          <w:lang w:val="en-US"/>
        </w:rPr>
        <w:t>answer</w:t>
      </w:r>
      <w:r w:rsidRPr="00A50E4D">
        <w:rPr>
          <w:lang w:val="en-US"/>
        </w:rPr>
        <w:t xml:space="preserve"> the charges.</w:t>
      </w:r>
      <w:r w:rsidR="00930C85" w:rsidRPr="00A50E4D">
        <w:rPr>
          <w:rStyle w:val="FootnoteReference"/>
          <w:rFonts w:cs="Arial"/>
          <w:sz w:val="20"/>
          <w:szCs w:val="20"/>
          <w:lang w:val="en-US"/>
        </w:rPr>
        <w:footnoteReference w:id="235"/>
      </w:r>
      <w:r w:rsidR="00930C85" w:rsidRPr="00A50E4D">
        <w:rPr>
          <w:lang w:val="en-US"/>
        </w:rPr>
        <w:t xml:space="preserve"> </w:t>
      </w:r>
      <w:r w:rsidRPr="00A50E4D">
        <w:rPr>
          <w:lang w:val="en-US"/>
        </w:rPr>
        <w:t xml:space="preserve">On December 3, </w:t>
      </w:r>
      <w:r w:rsidR="00930C85" w:rsidRPr="00A50E4D">
        <w:rPr>
          <w:lang w:val="en-US"/>
        </w:rPr>
        <w:t>2009</w:t>
      </w:r>
      <w:r w:rsidRPr="00A50E4D">
        <w:rPr>
          <w:lang w:val="en-US"/>
        </w:rPr>
        <w:t xml:space="preserve">, a hearing was held where </w:t>
      </w:r>
      <w:r w:rsidR="009A7056" w:rsidRPr="00A50E4D">
        <w:rPr>
          <w:lang w:val="en-US"/>
        </w:rPr>
        <w:t>Mr. Chévez</w:t>
      </w:r>
      <w:r w:rsidR="00930C85" w:rsidRPr="00A50E4D">
        <w:rPr>
          <w:lang w:val="en-US"/>
        </w:rPr>
        <w:t xml:space="preserve"> </w:t>
      </w:r>
      <w:r w:rsidRPr="00A50E4D">
        <w:rPr>
          <w:lang w:val="en-US"/>
        </w:rPr>
        <w:t>presented the corresponding rebuttal and</w:t>
      </w:r>
      <w:r w:rsidR="00930C85" w:rsidRPr="00A50E4D">
        <w:rPr>
          <w:lang w:val="en-US"/>
        </w:rPr>
        <w:t xml:space="preserve">, </w:t>
      </w:r>
      <w:r w:rsidR="00930C85" w:rsidRPr="00A50E4D">
        <w:rPr>
          <w:i/>
          <w:lang w:val="en-US"/>
        </w:rPr>
        <w:t>inter alia</w:t>
      </w:r>
      <w:r w:rsidR="00930C85" w:rsidRPr="00A50E4D">
        <w:rPr>
          <w:lang w:val="en-US"/>
        </w:rPr>
        <w:t xml:space="preserve">, </w:t>
      </w:r>
      <w:r w:rsidR="000A786A" w:rsidRPr="00A50E4D">
        <w:rPr>
          <w:lang w:val="en-US"/>
        </w:rPr>
        <w:t>proposed</w:t>
      </w:r>
      <w:r w:rsidRPr="00A50E4D">
        <w:rPr>
          <w:lang w:val="en-US"/>
        </w:rPr>
        <w:t xml:space="preserve"> evidence that was admitted subsequently.</w:t>
      </w:r>
      <w:r w:rsidR="00930C85" w:rsidRPr="00A50E4D">
        <w:rPr>
          <w:rStyle w:val="FootnoteReference"/>
          <w:sz w:val="20"/>
          <w:szCs w:val="20"/>
          <w:lang w:val="en-US"/>
        </w:rPr>
        <w:footnoteReference w:id="236"/>
      </w:r>
      <w:r w:rsidR="00930C85" w:rsidRPr="00A50E4D">
        <w:rPr>
          <w:lang w:val="en-US"/>
        </w:rPr>
        <w:t xml:space="preserve"> </w:t>
      </w:r>
      <w:r w:rsidR="0029085B" w:rsidRPr="00A50E4D">
        <w:rPr>
          <w:lang w:val="en-US"/>
        </w:rPr>
        <w:t>On April 20,</w:t>
      </w:r>
      <w:r w:rsidR="00930C85" w:rsidRPr="00A50E4D">
        <w:rPr>
          <w:lang w:val="en-US"/>
        </w:rPr>
        <w:t xml:space="preserve"> 2010</w:t>
      </w:r>
      <w:r w:rsidRPr="00A50E4D">
        <w:rPr>
          <w:lang w:val="en-US"/>
        </w:rPr>
        <w:t>,</w:t>
      </w:r>
      <w:r w:rsidR="00930C85" w:rsidRPr="00A50E4D">
        <w:rPr>
          <w:lang w:val="en-US"/>
        </w:rPr>
        <w:t xml:space="preserve"> </w:t>
      </w:r>
      <w:r w:rsidR="004D0F32" w:rsidRPr="00A50E4D">
        <w:rPr>
          <w:lang w:val="en-US"/>
        </w:rPr>
        <w:t xml:space="preserve">the </w:t>
      </w:r>
      <w:r w:rsidR="00D563D1" w:rsidRPr="00A50E4D">
        <w:rPr>
          <w:lang w:val="en-US"/>
        </w:rPr>
        <w:t>Personnel Management Directorate</w:t>
      </w:r>
      <w:r w:rsidR="00930C85" w:rsidRPr="00A50E4D">
        <w:rPr>
          <w:lang w:val="en-US"/>
        </w:rPr>
        <w:t xml:space="preserve"> </w:t>
      </w:r>
      <w:r w:rsidRPr="00A50E4D">
        <w:rPr>
          <w:lang w:val="en-US"/>
        </w:rPr>
        <w:t xml:space="preserve">issued its final report and recommended that Mr. </w:t>
      </w:r>
      <w:r w:rsidR="00930C85" w:rsidRPr="00A50E4D">
        <w:rPr>
          <w:lang w:val="en-US"/>
        </w:rPr>
        <w:t xml:space="preserve">Chévez </w:t>
      </w:r>
      <w:r w:rsidRPr="00A50E4D">
        <w:rPr>
          <w:lang w:val="en-US"/>
        </w:rPr>
        <w:t>be removed</w:t>
      </w:r>
      <w:r w:rsidR="00930C85" w:rsidRPr="00A50E4D">
        <w:rPr>
          <w:lang w:val="en-US"/>
        </w:rPr>
        <w:t>:</w:t>
      </w:r>
    </w:p>
    <w:p w14:paraId="1AAED3E4" w14:textId="77777777" w:rsidR="00930C85" w:rsidRPr="00A50E4D" w:rsidRDefault="00930C85" w:rsidP="00930C85">
      <w:pPr>
        <w:pStyle w:val="ListParagraph"/>
        <w:numPr>
          <w:ilvl w:val="0"/>
          <w:numId w:val="0"/>
        </w:numPr>
        <w:rPr>
          <w:spacing w:val="-4"/>
          <w:lang w:val="en-US"/>
        </w:rPr>
      </w:pPr>
    </w:p>
    <w:p w14:paraId="4003926B" w14:textId="35EADE36" w:rsidR="00930C85" w:rsidRPr="00A50E4D" w:rsidRDefault="00DA1DCB" w:rsidP="00DA1DCB">
      <w:pPr>
        <w:pStyle w:val="NoSpacing"/>
        <w:tabs>
          <w:tab w:val="left" w:pos="567"/>
        </w:tabs>
        <w:ind w:left="567" w:right="544"/>
        <w:rPr>
          <w:lang w:val="en-US"/>
        </w:rPr>
      </w:pPr>
      <w:r w:rsidRPr="00A50E4D">
        <w:rPr>
          <w:spacing w:val="-4"/>
          <w:sz w:val="18"/>
          <w:szCs w:val="18"/>
          <w:lang w:val="en-US"/>
        </w:rPr>
        <w:t xml:space="preserve">Based on non-compliance with or serious violation of one of his duties and committing acts that </w:t>
      </w:r>
      <w:r w:rsidR="007D50DD" w:rsidRPr="00A50E4D">
        <w:rPr>
          <w:spacing w:val="-4"/>
          <w:sz w:val="18"/>
          <w:szCs w:val="18"/>
          <w:lang w:val="en-US"/>
        </w:rPr>
        <w:t>were</w:t>
      </w:r>
      <w:r w:rsidR="006A228E" w:rsidRPr="00A50E4D">
        <w:rPr>
          <w:spacing w:val="-4"/>
          <w:sz w:val="18"/>
          <w:szCs w:val="18"/>
          <w:lang w:val="en-US"/>
        </w:rPr>
        <w:t xml:space="preserve"> inimical to</w:t>
      </w:r>
      <w:r w:rsidRPr="00A50E4D">
        <w:rPr>
          <w:spacing w:val="-4"/>
          <w:sz w:val="18"/>
          <w:szCs w:val="18"/>
          <w:lang w:val="en-US"/>
        </w:rPr>
        <w:t xml:space="preserve"> the dignity of th</w:t>
      </w:r>
      <w:r w:rsidR="007D50DD" w:rsidRPr="00A50E4D">
        <w:rPr>
          <w:spacing w:val="-4"/>
          <w:sz w:val="18"/>
          <w:szCs w:val="18"/>
          <w:lang w:val="en-US"/>
        </w:rPr>
        <w:t>e administration of justice, by</w:t>
      </w:r>
      <w:r w:rsidRPr="00A50E4D">
        <w:rPr>
          <w:spacing w:val="-4"/>
          <w:sz w:val="18"/>
          <w:szCs w:val="18"/>
          <w:lang w:val="en-US"/>
        </w:rPr>
        <w:t xml:space="preserve"> having taken part in a demonstration, being arrested for […] </w:t>
      </w:r>
      <w:r w:rsidR="007D50DD" w:rsidRPr="00A50E4D">
        <w:rPr>
          <w:spacing w:val="-4"/>
          <w:sz w:val="18"/>
          <w:szCs w:val="18"/>
          <w:lang w:val="en-US"/>
        </w:rPr>
        <w:t>executing</w:t>
      </w:r>
      <w:r w:rsidRPr="00A50E4D">
        <w:rPr>
          <w:spacing w:val="-4"/>
          <w:sz w:val="18"/>
          <w:szCs w:val="18"/>
          <w:lang w:val="en-US"/>
        </w:rPr>
        <w:t xml:space="preserve"> acts that disrupted </w:t>
      </w:r>
      <w:r w:rsidR="007D50DD" w:rsidRPr="00A50E4D">
        <w:rPr>
          <w:spacing w:val="-4"/>
          <w:sz w:val="18"/>
          <w:szCs w:val="18"/>
          <w:lang w:val="en-US"/>
        </w:rPr>
        <w:t>public order, […] and having clashed</w:t>
      </w:r>
      <w:r w:rsidRPr="00A50E4D">
        <w:rPr>
          <w:spacing w:val="-4"/>
          <w:sz w:val="18"/>
          <w:szCs w:val="18"/>
          <w:lang w:val="en-US"/>
        </w:rPr>
        <w:t xml:space="preserve"> with other judicial employees on the premises of the Judiciary owing to his political position in relation to the events that had occurred in the country.</w:t>
      </w:r>
      <w:r w:rsidR="00930C85" w:rsidRPr="00A50E4D">
        <w:rPr>
          <w:rStyle w:val="FootnoteReference"/>
          <w:rFonts w:cs="Arial"/>
          <w:spacing w:val="-4"/>
          <w:sz w:val="18"/>
          <w:szCs w:val="18"/>
          <w:lang w:val="en-US"/>
        </w:rPr>
        <w:footnoteReference w:id="237"/>
      </w:r>
    </w:p>
    <w:p w14:paraId="6414DC60" w14:textId="77777777" w:rsidR="00930C85" w:rsidRPr="00A50E4D" w:rsidRDefault="00930C85" w:rsidP="00930C85">
      <w:pPr>
        <w:pStyle w:val="ListParagraph"/>
        <w:numPr>
          <w:ilvl w:val="0"/>
          <w:numId w:val="0"/>
        </w:numPr>
        <w:rPr>
          <w:spacing w:val="-4"/>
          <w:lang w:val="en-US"/>
        </w:rPr>
      </w:pPr>
    </w:p>
    <w:p w14:paraId="0F572FFC" w14:textId="51F203D2" w:rsidR="00930C85" w:rsidRPr="00A50E4D" w:rsidRDefault="0029085B" w:rsidP="00DA1DCB">
      <w:pPr>
        <w:pStyle w:val="PrrafodeSentencia"/>
        <w:rPr>
          <w:lang w:val="en-US"/>
        </w:rPr>
      </w:pPr>
      <w:bookmarkStart w:id="189" w:name="_Ref427311566"/>
      <w:r w:rsidRPr="00A50E4D">
        <w:rPr>
          <w:lang w:val="en-US"/>
        </w:rPr>
        <w:t>On May 5,</w:t>
      </w:r>
      <w:r w:rsidR="00930C85" w:rsidRPr="00A50E4D">
        <w:rPr>
          <w:lang w:val="en-US"/>
        </w:rPr>
        <w:t xml:space="preserve"> 2010</w:t>
      </w:r>
      <w:r w:rsidR="00DA1DCB" w:rsidRPr="00A50E4D">
        <w:rPr>
          <w:lang w:val="en-US"/>
        </w:rPr>
        <w:t>,</w:t>
      </w:r>
      <w:r w:rsidR="00930C85" w:rsidRPr="00A50E4D">
        <w:rPr>
          <w:lang w:val="en-US"/>
        </w:rPr>
        <w:t xml:space="preserve"> </w:t>
      </w:r>
      <w:r w:rsidR="00CA5D96" w:rsidRPr="00A50E4D">
        <w:rPr>
          <w:lang w:val="en-US"/>
        </w:rPr>
        <w:t>the plenum</w:t>
      </w:r>
      <w:r w:rsidR="009808C5" w:rsidRPr="00A50E4D">
        <w:rPr>
          <w:lang w:val="en-US"/>
        </w:rPr>
        <w:t xml:space="preserve"> of the </w:t>
      </w:r>
      <w:r w:rsidR="00700DEC" w:rsidRPr="00A50E4D">
        <w:rPr>
          <w:lang w:val="en-US"/>
        </w:rPr>
        <w:t>Supreme Court</w:t>
      </w:r>
      <w:r w:rsidR="000A786A" w:rsidRPr="00A50E4D">
        <w:rPr>
          <w:lang w:val="en-US"/>
        </w:rPr>
        <w:t xml:space="preserve"> of Justice</w:t>
      </w:r>
      <w:r w:rsidR="00930C85" w:rsidRPr="00A50E4D">
        <w:rPr>
          <w:lang w:val="en-US"/>
        </w:rPr>
        <w:t xml:space="preserve"> ap</w:t>
      </w:r>
      <w:r w:rsidR="00DA1DCB" w:rsidRPr="00A50E4D">
        <w:rPr>
          <w:lang w:val="en-US"/>
        </w:rPr>
        <w:t xml:space="preserve">proved </w:t>
      </w:r>
      <w:r w:rsidR="00FF35A9" w:rsidRPr="00A50E4D">
        <w:rPr>
          <w:lang w:val="en-US"/>
        </w:rPr>
        <w:t xml:space="preserve">the </w:t>
      </w:r>
      <w:r w:rsidR="00D563D1" w:rsidRPr="00A50E4D">
        <w:rPr>
          <w:lang w:val="en-US"/>
        </w:rPr>
        <w:t>Personnel Management Directorate</w:t>
      </w:r>
      <w:r w:rsidR="007D50DD" w:rsidRPr="00A50E4D">
        <w:rPr>
          <w:lang w:val="en-US"/>
        </w:rPr>
        <w:t>’s recommendation</w:t>
      </w:r>
      <w:r w:rsidR="00930C85" w:rsidRPr="00A50E4D">
        <w:rPr>
          <w:lang w:val="en-US"/>
        </w:rPr>
        <w:t xml:space="preserve"> </w:t>
      </w:r>
      <w:r w:rsidR="00DA1DCB" w:rsidRPr="00A50E4D">
        <w:rPr>
          <w:lang w:val="en-US"/>
        </w:rPr>
        <w:t xml:space="preserve">to </w:t>
      </w:r>
      <w:r w:rsidR="007D50DD" w:rsidRPr="00A50E4D">
        <w:rPr>
          <w:lang w:val="en-US"/>
        </w:rPr>
        <w:t>dismiss</w:t>
      </w:r>
      <w:r w:rsidR="00DA1DCB" w:rsidRPr="00A50E4D">
        <w:rPr>
          <w:lang w:val="en-US"/>
        </w:rPr>
        <w:t xml:space="preserve"> </w:t>
      </w:r>
      <w:r w:rsidR="00DA4F82" w:rsidRPr="00A50E4D">
        <w:rPr>
          <w:lang w:val="en-US"/>
        </w:rPr>
        <w:t>Mr.</w:t>
      </w:r>
      <w:r w:rsidR="00930C85" w:rsidRPr="00A50E4D">
        <w:rPr>
          <w:lang w:val="en-US"/>
        </w:rPr>
        <w:t xml:space="preserve"> </w:t>
      </w:r>
      <w:r w:rsidR="009A7056" w:rsidRPr="00A50E4D">
        <w:rPr>
          <w:lang w:val="en-US"/>
        </w:rPr>
        <w:t>Chévez de la Rocha</w:t>
      </w:r>
      <w:r w:rsidR="009808C5" w:rsidRPr="00A50E4D">
        <w:rPr>
          <w:lang w:val="en-US"/>
        </w:rPr>
        <w:t xml:space="preserve"> and </w:t>
      </w:r>
      <w:r w:rsidR="00DA1DCB" w:rsidRPr="00A50E4D">
        <w:rPr>
          <w:lang w:val="en-US"/>
        </w:rPr>
        <w:t xml:space="preserve">appointed a committee of three justices </w:t>
      </w:r>
      <w:r w:rsidR="00DA1DCB" w:rsidRPr="00A50E4D">
        <w:rPr>
          <w:szCs w:val="20"/>
          <w:lang w:val="en-US"/>
        </w:rPr>
        <w:t xml:space="preserve">“to draw up the </w:t>
      </w:r>
      <w:r w:rsidR="007D50DD" w:rsidRPr="00A50E4D">
        <w:rPr>
          <w:szCs w:val="20"/>
          <w:lang w:val="en-US"/>
        </w:rPr>
        <w:t>respective</w:t>
      </w:r>
      <w:r w:rsidR="00DA1DCB" w:rsidRPr="00A50E4D">
        <w:rPr>
          <w:szCs w:val="20"/>
          <w:lang w:val="en-US"/>
        </w:rPr>
        <w:t xml:space="preserve"> resolution and</w:t>
      </w:r>
      <w:r w:rsidR="00E67F26" w:rsidRPr="00A50E4D">
        <w:rPr>
          <w:szCs w:val="20"/>
          <w:lang w:val="en-US"/>
        </w:rPr>
        <w:t xml:space="preserve"> then</w:t>
      </w:r>
      <w:r w:rsidR="00DA1DCB" w:rsidRPr="00A50E4D">
        <w:rPr>
          <w:szCs w:val="20"/>
          <w:lang w:val="en-US"/>
        </w:rPr>
        <w:t xml:space="preserve"> to issue the corresponding decision on his removal.</w:t>
      </w:r>
      <w:r w:rsidR="00930C85" w:rsidRPr="00A50E4D">
        <w:rPr>
          <w:lang w:val="en-US"/>
        </w:rPr>
        <w:t>”</w:t>
      </w:r>
      <w:r w:rsidR="00930C85" w:rsidRPr="00A50E4D">
        <w:rPr>
          <w:rStyle w:val="FootnoteReference"/>
          <w:sz w:val="20"/>
          <w:szCs w:val="20"/>
          <w:lang w:val="en-US"/>
        </w:rPr>
        <w:footnoteReference w:id="238"/>
      </w:r>
      <w:r w:rsidR="00930C85" w:rsidRPr="00A50E4D">
        <w:rPr>
          <w:lang w:val="en-US"/>
        </w:rPr>
        <w:t xml:space="preserve"> </w:t>
      </w:r>
      <w:r w:rsidR="00DA1DCB" w:rsidRPr="00A50E4D">
        <w:rPr>
          <w:szCs w:val="20"/>
          <w:lang w:val="en-US"/>
        </w:rPr>
        <w:t xml:space="preserve">The case file contains a resolution with the same date, signed by the President and the Secretary of the Supreme Court that, apparently following up on the order of </w:t>
      </w:r>
      <w:r w:rsidR="00CA5D96" w:rsidRPr="00A50E4D">
        <w:rPr>
          <w:szCs w:val="20"/>
          <w:lang w:val="en-US"/>
        </w:rPr>
        <w:t>the plenum</w:t>
      </w:r>
      <w:r w:rsidR="00DA1DCB" w:rsidRPr="00A50E4D">
        <w:rPr>
          <w:szCs w:val="20"/>
          <w:lang w:val="en-US"/>
        </w:rPr>
        <w:t xml:space="preserve"> of the Court, sets out “the corresponding grounds, which have been approved, adding the date of the plenary meeting</w:t>
      </w:r>
      <w:r w:rsidR="00DA1DCB" w:rsidRPr="00A50E4D">
        <w:rPr>
          <w:lang w:val="en-US"/>
        </w:rPr>
        <w:t>.</w:t>
      </w:r>
      <w:r w:rsidR="00930C85" w:rsidRPr="00A50E4D">
        <w:rPr>
          <w:lang w:val="en-US"/>
        </w:rPr>
        <w:t>”</w:t>
      </w:r>
      <w:r w:rsidR="00930C85" w:rsidRPr="00A50E4D">
        <w:rPr>
          <w:rStyle w:val="FootnoteReference"/>
          <w:rFonts w:cs="Arial"/>
          <w:sz w:val="20"/>
          <w:szCs w:val="20"/>
          <w:lang w:val="en-US"/>
        </w:rPr>
        <w:footnoteReference w:id="239"/>
      </w:r>
      <w:r w:rsidR="00930C85" w:rsidRPr="00A50E4D">
        <w:rPr>
          <w:lang w:val="en-US"/>
        </w:rPr>
        <w:t xml:space="preserve"> </w:t>
      </w:r>
      <w:r w:rsidR="00860FD1" w:rsidRPr="00A50E4D">
        <w:rPr>
          <w:szCs w:val="20"/>
          <w:lang w:val="en-US"/>
        </w:rPr>
        <w:t xml:space="preserve">Nevertheless, this resolution was not notified to Mr. </w:t>
      </w:r>
      <w:r w:rsidR="009A7056" w:rsidRPr="00A50E4D">
        <w:rPr>
          <w:lang w:val="en-US"/>
        </w:rPr>
        <w:t>Chévez de la Rocha</w:t>
      </w:r>
      <w:r w:rsidR="00860FD1" w:rsidRPr="00A50E4D">
        <w:rPr>
          <w:lang w:val="en-US"/>
        </w:rPr>
        <w:t>.</w:t>
      </w:r>
      <w:r w:rsidR="00930C85" w:rsidRPr="00A50E4D">
        <w:rPr>
          <w:rStyle w:val="FootnoteReference"/>
          <w:sz w:val="20"/>
          <w:szCs w:val="20"/>
          <w:lang w:val="en-US"/>
        </w:rPr>
        <w:footnoteReference w:id="240"/>
      </w:r>
      <w:r w:rsidR="00930C85" w:rsidRPr="00A50E4D">
        <w:rPr>
          <w:lang w:val="en-US"/>
        </w:rPr>
        <w:t xml:space="preserve"> </w:t>
      </w:r>
      <w:r w:rsidR="00AB4C33" w:rsidRPr="00A50E4D">
        <w:rPr>
          <w:lang w:val="en-US"/>
        </w:rPr>
        <w:t>On</w:t>
      </w:r>
      <w:r w:rsidR="00930C85" w:rsidRPr="00A50E4D">
        <w:rPr>
          <w:lang w:val="en-US"/>
        </w:rPr>
        <w:t xml:space="preserve"> </w:t>
      </w:r>
      <w:r w:rsidR="008D65AB" w:rsidRPr="00A50E4D">
        <w:rPr>
          <w:lang w:val="en-US"/>
        </w:rPr>
        <w:t>May 21,</w:t>
      </w:r>
      <w:r w:rsidR="00930C85" w:rsidRPr="00A50E4D">
        <w:rPr>
          <w:lang w:val="en-US"/>
        </w:rPr>
        <w:t xml:space="preserve"> 2010</w:t>
      </w:r>
      <w:r w:rsidR="00AB4C33" w:rsidRPr="00A50E4D">
        <w:rPr>
          <w:lang w:val="en-US"/>
        </w:rPr>
        <w:t>,</w:t>
      </w:r>
      <w:r w:rsidR="00930C85" w:rsidRPr="00A50E4D">
        <w:rPr>
          <w:lang w:val="en-US"/>
        </w:rPr>
        <w:t xml:space="preserve"> </w:t>
      </w:r>
      <w:r w:rsidR="00371BB7" w:rsidRPr="00A50E4D">
        <w:rPr>
          <w:lang w:val="en-US"/>
        </w:rPr>
        <w:t>the presumed victims</w:t>
      </w:r>
      <w:r w:rsidR="00930C85" w:rsidRPr="00A50E4D">
        <w:rPr>
          <w:lang w:val="en-US"/>
        </w:rPr>
        <w:t xml:space="preserve"> </w:t>
      </w:r>
      <w:r w:rsidR="00AB4C33" w:rsidRPr="00A50E4D">
        <w:rPr>
          <w:lang w:val="en-US"/>
        </w:rPr>
        <w:t xml:space="preserve">filed a joint request for reconsideration of their sanctions of dismissal before </w:t>
      </w:r>
      <w:r w:rsidR="009808C5" w:rsidRPr="00A50E4D">
        <w:rPr>
          <w:lang w:val="en-US"/>
        </w:rPr>
        <w:t xml:space="preserve">the </w:t>
      </w:r>
      <w:r w:rsidR="00700DEC" w:rsidRPr="00A50E4D">
        <w:rPr>
          <w:lang w:val="en-US"/>
        </w:rPr>
        <w:t>Supreme Court</w:t>
      </w:r>
      <w:r w:rsidR="00930C85" w:rsidRPr="00A50E4D">
        <w:rPr>
          <w:lang w:val="en-US"/>
        </w:rPr>
        <w:t xml:space="preserve">, </w:t>
      </w:r>
      <w:r w:rsidR="00AB4C33" w:rsidRPr="00A50E4D">
        <w:rPr>
          <w:lang w:val="en-US"/>
        </w:rPr>
        <w:t>pointing out that they had become aware of the May 5</w:t>
      </w:r>
      <w:r w:rsidR="007D50DD" w:rsidRPr="00A50E4D">
        <w:rPr>
          <w:lang w:val="en-US"/>
        </w:rPr>
        <w:t xml:space="preserve"> decisions</w:t>
      </w:r>
      <w:r w:rsidR="00AB4C33" w:rsidRPr="00A50E4D">
        <w:rPr>
          <w:lang w:val="en-US"/>
        </w:rPr>
        <w:t xml:space="preserve"> through the media, but they had not received the corresponding </w:t>
      </w:r>
      <w:r w:rsidR="007D50DD" w:rsidRPr="00A50E4D">
        <w:rPr>
          <w:lang w:val="en-US"/>
        </w:rPr>
        <w:t>resolutions</w:t>
      </w:r>
      <w:r w:rsidR="00AB4C33" w:rsidRPr="00A50E4D">
        <w:rPr>
          <w:lang w:val="en-US"/>
        </w:rPr>
        <w:t>.</w:t>
      </w:r>
      <w:r w:rsidR="00930C85" w:rsidRPr="00A50E4D">
        <w:rPr>
          <w:rStyle w:val="FootnoteReference"/>
          <w:rFonts w:cs="Arial"/>
          <w:sz w:val="20"/>
          <w:szCs w:val="20"/>
          <w:lang w:val="en-US"/>
        </w:rPr>
        <w:footnoteReference w:id="241"/>
      </w:r>
      <w:bookmarkEnd w:id="189"/>
    </w:p>
    <w:p w14:paraId="1ED8999C" w14:textId="77777777" w:rsidR="00930C85" w:rsidRPr="00A50E4D" w:rsidRDefault="00930C85" w:rsidP="00930C85">
      <w:pPr>
        <w:pStyle w:val="NoSpacing"/>
        <w:tabs>
          <w:tab w:val="left" w:pos="567"/>
        </w:tabs>
        <w:rPr>
          <w:spacing w:val="-4"/>
          <w:szCs w:val="20"/>
          <w:lang w:val="en-US"/>
        </w:rPr>
      </w:pPr>
    </w:p>
    <w:p w14:paraId="7689BEF3" w14:textId="06EC38A1" w:rsidR="00930C85" w:rsidRPr="00A50E4D" w:rsidRDefault="00AB4C33" w:rsidP="002E4296">
      <w:pPr>
        <w:pStyle w:val="PrrafodeSentencia"/>
        <w:rPr>
          <w:lang w:val="en-US"/>
        </w:rPr>
      </w:pPr>
      <w:bookmarkStart w:id="190" w:name="_Ref426373726"/>
      <w:r w:rsidRPr="00A50E4D">
        <w:rPr>
          <w:lang w:val="en-US"/>
        </w:rPr>
        <w:t>On June 4,</w:t>
      </w:r>
      <w:r w:rsidR="00930C85" w:rsidRPr="00A50E4D">
        <w:rPr>
          <w:lang w:val="en-US"/>
        </w:rPr>
        <w:t xml:space="preserve"> 2010</w:t>
      </w:r>
      <w:r w:rsidRPr="00A50E4D">
        <w:rPr>
          <w:lang w:val="en-US"/>
        </w:rPr>
        <w:t>,</w:t>
      </w:r>
      <w:r w:rsidR="00930C85" w:rsidRPr="00A50E4D">
        <w:rPr>
          <w:lang w:val="en-US"/>
        </w:rPr>
        <w:t xml:space="preserve"> </w:t>
      </w:r>
      <w:r w:rsidR="009808C5" w:rsidRPr="00A50E4D">
        <w:rPr>
          <w:lang w:val="en-US"/>
        </w:rPr>
        <w:t xml:space="preserve">the </w:t>
      </w:r>
      <w:r w:rsidR="00700DEC" w:rsidRPr="00A50E4D">
        <w:rPr>
          <w:lang w:val="en-US"/>
        </w:rPr>
        <w:t>Supreme Court</w:t>
      </w:r>
      <w:r w:rsidR="00930C85" w:rsidRPr="00A50E4D">
        <w:rPr>
          <w:lang w:val="en-US"/>
        </w:rPr>
        <w:t xml:space="preserve"> </w:t>
      </w:r>
      <w:bookmarkEnd w:id="190"/>
      <w:r w:rsidR="00E67F26" w:rsidRPr="00A50E4D">
        <w:rPr>
          <w:lang w:val="en-US"/>
        </w:rPr>
        <w:t>issued a</w:t>
      </w:r>
      <w:r w:rsidR="002E4296" w:rsidRPr="00A50E4D">
        <w:rPr>
          <w:lang w:val="en-US"/>
        </w:rPr>
        <w:t xml:space="preserve"> ruling on the dismissal</w:t>
      </w:r>
      <w:r w:rsidR="00E67F26" w:rsidRPr="00A50E4D">
        <w:rPr>
          <w:lang w:val="en-US"/>
        </w:rPr>
        <w:t>; the only justification included was the following</w:t>
      </w:r>
      <w:r w:rsidR="00930C85" w:rsidRPr="00A50E4D">
        <w:rPr>
          <w:lang w:val="en-US"/>
        </w:rPr>
        <w:t>:</w:t>
      </w:r>
    </w:p>
    <w:p w14:paraId="1D6F62D8" w14:textId="77777777" w:rsidR="00930C85" w:rsidRPr="00A50E4D" w:rsidRDefault="00930C85" w:rsidP="00930C85">
      <w:pPr>
        <w:pStyle w:val="NoSpacing"/>
        <w:tabs>
          <w:tab w:val="left" w:pos="567"/>
        </w:tabs>
        <w:rPr>
          <w:spacing w:val="-4"/>
          <w:szCs w:val="20"/>
          <w:lang w:val="en-US"/>
        </w:rPr>
      </w:pPr>
    </w:p>
    <w:p w14:paraId="552FC7F7" w14:textId="6A20E3BE" w:rsidR="00930C85" w:rsidRPr="00A50E4D" w:rsidRDefault="009808C5" w:rsidP="00C7629D">
      <w:pPr>
        <w:pStyle w:val="NoSpacing"/>
        <w:tabs>
          <w:tab w:val="left" w:pos="567"/>
        </w:tabs>
        <w:ind w:left="567" w:right="544"/>
        <w:rPr>
          <w:sz w:val="18"/>
          <w:szCs w:val="18"/>
          <w:lang w:val="en-US"/>
        </w:rPr>
      </w:pPr>
      <w:r w:rsidRPr="00A50E4D">
        <w:rPr>
          <w:spacing w:val="-4"/>
          <w:sz w:val="18"/>
          <w:szCs w:val="18"/>
          <w:lang w:val="en-US"/>
        </w:rPr>
        <w:t xml:space="preserve">THE </w:t>
      </w:r>
      <w:r w:rsidR="00371BB7" w:rsidRPr="00A50E4D">
        <w:rPr>
          <w:spacing w:val="-4"/>
          <w:sz w:val="18"/>
          <w:szCs w:val="18"/>
          <w:lang w:val="en-US"/>
        </w:rPr>
        <w:t>SUPREME COURT OF JUSTICE</w:t>
      </w:r>
      <w:r w:rsidR="00AB4C33" w:rsidRPr="00A50E4D">
        <w:rPr>
          <w:spacing w:val="-4"/>
          <w:sz w:val="18"/>
          <w:szCs w:val="18"/>
          <w:lang w:val="en-US"/>
        </w:rPr>
        <w:t xml:space="preserve"> </w:t>
      </w:r>
      <w:r w:rsidR="00AB4C33" w:rsidRPr="00A50E4D">
        <w:rPr>
          <w:rFonts w:cs="Helvetica"/>
          <w:sz w:val="18"/>
          <w:szCs w:val="18"/>
          <w:lang w:val="en-US"/>
        </w:rPr>
        <w:t>HEREBY DECIDES: (1) To dismiss attorney LUIS ALONSO CHÉVEZ DE LA ROCHA from the position of</w:t>
      </w:r>
      <w:r w:rsidR="006B2F75" w:rsidRPr="00A50E4D">
        <w:rPr>
          <w:rFonts w:cs="Helvetica"/>
          <w:sz w:val="18"/>
          <w:szCs w:val="18"/>
          <w:lang w:val="en-US"/>
        </w:rPr>
        <w:t xml:space="preserve"> </w:t>
      </w:r>
      <w:r w:rsidR="00AB4C33" w:rsidRPr="00A50E4D">
        <w:rPr>
          <w:rFonts w:cs="Helvetica"/>
          <w:sz w:val="18"/>
          <w:szCs w:val="18"/>
          <w:lang w:val="en-US"/>
        </w:rPr>
        <w:t>judge of</w:t>
      </w:r>
      <w:r w:rsidR="006B2F75" w:rsidRPr="00A50E4D">
        <w:rPr>
          <w:rFonts w:cs="Helvetica"/>
          <w:sz w:val="18"/>
          <w:szCs w:val="18"/>
          <w:lang w:val="en-US"/>
        </w:rPr>
        <w:t xml:space="preserve"> the </w:t>
      </w:r>
      <w:r w:rsidR="007D50DD" w:rsidRPr="00A50E4D">
        <w:rPr>
          <w:rFonts w:cs="Helvetica"/>
          <w:sz w:val="18"/>
          <w:szCs w:val="18"/>
          <w:lang w:val="en-US"/>
        </w:rPr>
        <w:t>S</w:t>
      </w:r>
      <w:r w:rsidR="006B2F75" w:rsidRPr="00A50E4D">
        <w:rPr>
          <w:rFonts w:cs="Helvetica"/>
          <w:sz w:val="18"/>
          <w:szCs w:val="18"/>
          <w:lang w:val="en-US"/>
        </w:rPr>
        <w:t xml:space="preserve">pecial </w:t>
      </w:r>
      <w:r w:rsidR="00E5486B" w:rsidRPr="00A50E4D">
        <w:rPr>
          <w:rFonts w:cs="Helvetica"/>
          <w:sz w:val="18"/>
          <w:szCs w:val="18"/>
          <w:lang w:val="en-US"/>
        </w:rPr>
        <w:t>Court for cases involving Domestic Violence</w:t>
      </w:r>
      <w:r w:rsidR="006B2F75" w:rsidRPr="00A50E4D">
        <w:rPr>
          <w:rFonts w:cs="Helvetica"/>
          <w:sz w:val="18"/>
          <w:szCs w:val="18"/>
          <w:lang w:val="en-US"/>
        </w:rPr>
        <w:t xml:space="preserve"> </w:t>
      </w:r>
      <w:r w:rsidR="00AB4C33" w:rsidRPr="00A50E4D">
        <w:rPr>
          <w:rFonts w:cs="Helvetica"/>
          <w:sz w:val="18"/>
          <w:szCs w:val="18"/>
          <w:lang w:val="en-US"/>
        </w:rPr>
        <w:t xml:space="preserve">of the department of Cortés, for </w:t>
      </w:r>
      <w:r w:rsidR="00CA5D96" w:rsidRPr="00A50E4D">
        <w:rPr>
          <w:rFonts w:cs="Helvetica"/>
          <w:sz w:val="18"/>
          <w:szCs w:val="18"/>
          <w:lang w:val="en-US"/>
        </w:rPr>
        <w:t>non-compliance</w:t>
      </w:r>
      <w:r w:rsidR="00AB4C33" w:rsidRPr="00A50E4D">
        <w:rPr>
          <w:rFonts w:cs="Helvetica"/>
          <w:sz w:val="18"/>
          <w:szCs w:val="18"/>
          <w:lang w:val="en-US"/>
        </w:rPr>
        <w:t xml:space="preserve"> with or serious violation of some of his duties and engaging in conduct inimical to the dignity of the administration of justice, by having participated in a </w:t>
      </w:r>
      <w:r w:rsidR="007D50DD" w:rsidRPr="00A50E4D">
        <w:rPr>
          <w:rFonts w:cs="Helvetica"/>
          <w:sz w:val="18"/>
          <w:szCs w:val="18"/>
          <w:lang w:val="en-US"/>
        </w:rPr>
        <w:t>demonstration</w:t>
      </w:r>
      <w:r w:rsidR="00AB4C33" w:rsidRPr="00A50E4D">
        <w:rPr>
          <w:rFonts w:cs="Helvetica"/>
          <w:sz w:val="18"/>
          <w:szCs w:val="18"/>
          <w:lang w:val="en-US"/>
        </w:rPr>
        <w:t xml:space="preserve"> in San Pedro Sula, Cortés</w:t>
      </w:r>
      <w:r w:rsidR="00C7629D" w:rsidRPr="00A50E4D">
        <w:rPr>
          <w:rFonts w:cs="Helvetica"/>
          <w:sz w:val="18"/>
          <w:szCs w:val="18"/>
          <w:lang w:val="en-US"/>
        </w:rPr>
        <w:t>, on August 12, 2009, near the M</w:t>
      </w:r>
      <w:r w:rsidR="00AB4C33" w:rsidRPr="00A50E4D">
        <w:rPr>
          <w:rFonts w:cs="Helvetica"/>
          <w:sz w:val="18"/>
          <w:szCs w:val="18"/>
          <w:lang w:val="en-US"/>
        </w:rPr>
        <w:t xml:space="preserve">onument to </w:t>
      </w:r>
      <w:r w:rsidR="007D50DD" w:rsidRPr="00A50E4D">
        <w:rPr>
          <w:rFonts w:cs="Helvetica"/>
          <w:sz w:val="18"/>
          <w:szCs w:val="18"/>
          <w:lang w:val="en-US"/>
        </w:rPr>
        <w:t xml:space="preserve">the </w:t>
      </w:r>
      <w:r w:rsidR="00C7629D" w:rsidRPr="00A50E4D">
        <w:rPr>
          <w:rFonts w:cs="Helvetica"/>
          <w:sz w:val="18"/>
          <w:szCs w:val="18"/>
          <w:lang w:val="en-US"/>
        </w:rPr>
        <w:t>M</w:t>
      </w:r>
      <w:r w:rsidR="007D50DD" w:rsidRPr="00A50E4D">
        <w:rPr>
          <w:rFonts w:cs="Helvetica"/>
          <w:sz w:val="18"/>
          <w:szCs w:val="18"/>
          <w:lang w:val="en-US"/>
        </w:rPr>
        <w:t>other</w:t>
      </w:r>
      <w:r w:rsidR="00C7629D" w:rsidRPr="00A50E4D">
        <w:rPr>
          <w:rFonts w:cs="Helvetica"/>
          <w:sz w:val="18"/>
          <w:szCs w:val="18"/>
          <w:lang w:val="en-US"/>
        </w:rPr>
        <w:t xml:space="preserve"> and the downtown area.</w:t>
      </w:r>
      <w:r w:rsidR="00AB4C33" w:rsidRPr="00A50E4D">
        <w:rPr>
          <w:rFonts w:cs="Helvetica"/>
          <w:sz w:val="18"/>
          <w:szCs w:val="18"/>
          <w:lang w:val="en-US"/>
        </w:rPr>
        <w:t xml:space="preserve"> He was arrested by the National Preventive Police Force for breaching public order, and released when </w:t>
      </w:r>
      <w:r w:rsidR="000A786A" w:rsidRPr="00A50E4D">
        <w:rPr>
          <w:rFonts w:cs="Helvetica"/>
          <w:sz w:val="18"/>
          <w:szCs w:val="18"/>
          <w:lang w:val="en-US"/>
        </w:rPr>
        <w:t>an</w:t>
      </w:r>
      <w:r w:rsidR="00AB4C33" w:rsidRPr="00A50E4D">
        <w:rPr>
          <w:rFonts w:cs="Helvetica"/>
          <w:sz w:val="18"/>
          <w:szCs w:val="18"/>
          <w:lang w:val="en-US"/>
        </w:rPr>
        <w:t xml:space="preserve"> application for </w:t>
      </w:r>
      <w:r w:rsidR="007D50DD" w:rsidRPr="00A50E4D">
        <w:rPr>
          <w:rFonts w:cs="Helvetica"/>
          <w:i/>
          <w:sz w:val="18"/>
          <w:szCs w:val="18"/>
          <w:lang w:val="en-US"/>
        </w:rPr>
        <w:t>habeas corpus</w:t>
      </w:r>
      <w:r w:rsidR="00AB4C33" w:rsidRPr="00A50E4D">
        <w:rPr>
          <w:rFonts w:cs="Helvetica"/>
          <w:i/>
          <w:sz w:val="18"/>
          <w:szCs w:val="18"/>
          <w:lang w:val="en-US"/>
        </w:rPr>
        <w:t xml:space="preserve"> </w:t>
      </w:r>
      <w:r w:rsidR="00AB4C33" w:rsidRPr="00A50E4D">
        <w:rPr>
          <w:rFonts w:cs="Helvetica"/>
          <w:sz w:val="18"/>
          <w:szCs w:val="18"/>
          <w:lang w:val="en-US"/>
        </w:rPr>
        <w:t xml:space="preserve">was granted. He also clashed with other judicial officers on the premises of the Judiciary owing to his political position in relation to the events that occurred in the country. </w:t>
      </w:r>
      <w:r w:rsidR="00AB4C33" w:rsidRPr="00A50E4D">
        <w:rPr>
          <w:sz w:val="18"/>
          <w:szCs w:val="18"/>
          <w:lang w:val="en-US"/>
        </w:rPr>
        <w:t>A</w:t>
      </w:r>
      <w:r w:rsidR="00C7629D" w:rsidRPr="00A50E4D">
        <w:rPr>
          <w:sz w:val="18"/>
          <w:szCs w:val="18"/>
          <w:lang w:val="en-US"/>
        </w:rPr>
        <w:t>rticles 80, 82, 90(1), 303, 313</w:t>
      </w:r>
      <w:r w:rsidR="00AB4C33" w:rsidRPr="00A50E4D">
        <w:rPr>
          <w:sz w:val="18"/>
          <w:szCs w:val="18"/>
          <w:lang w:val="en-US"/>
        </w:rPr>
        <w:t>(i)(</w:t>
      </w:r>
      <w:r w:rsidR="00C7629D" w:rsidRPr="00A50E4D">
        <w:rPr>
          <w:sz w:val="18"/>
          <w:szCs w:val="18"/>
          <w:lang w:val="en-US"/>
        </w:rPr>
        <w:t>8), 318, 319, 322</w:t>
      </w:r>
      <w:r w:rsidR="00AB4C33" w:rsidRPr="00A50E4D">
        <w:rPr>
          <w:sz w:val="18"/>
          <w:szCs w:val="18"/>
          <w:lang w:val="en-US"/>
        </w:rPr>
        <w:t xml:space="preserve"> and 323 of the Constitution of the Republic; XXXIII of the Universal Declaration of the Rights and Duties </w:t>
      </w:r>
      <w:r w:rsidR="00C7629D" w:rsidRPr="00A50E4D">
        <w:rPr>
          <w:sz w:val="18"/>
          <w:szCs w:val="18"/>
          <w:lang w:val="en-US"/>
        </w:rPr>
        <w:t xml:space="preserve">of Man; 1, 3, 4(2), </w:t>
      </w:r>
      <w:r w:rsidR="00C7629D" w:rsidRPr="00A50E4D">
        <w:rPr>
          <w:sz w:val="18"/>
          <w:szCs w:val="18"/>
          <w:lang w:val="en-US"/>
        </w:rPr>
        <w:lastRenderedPageBreak/>
        <w:t>44, 51, 53(g), 55, 56(3</w:t>
      </w:r>
      <w:r w:rsidR="00AB4C33" w:rsidRPr="00A50E4D">
        <w:rPr>
          <w:sz w:val="18"/>
          <w:szCs w:val="18"/>
          <w:lang w:val="en-US"/>
        </w:rPr>
        <w:t>), 60, 64(a), 65, 66, 73, 74, 83 and 84 of the Judici</w:t>
      </w:r>
      <w:r w:rsidR="00C7629D" w:rsidRPr="00A50E4D">
        <w:rPr>
          <w:sz w:val="18"/>
          <w:szCs w:val="18"/>
          <w:lang w:val="en-US"/>
        </w:rPr>
        <w:t>al Service Act; 1, 7, 9(4)</w:t>
      </w:r>
      <w:r w:rsidR="00AB4C33" w:rsidRPr="00A50E4D">
        <w:rPr>
          <w:sz w:val="18"/>
          <w:szCs w:val="18"/>
          <w:lang w:val="en-US"/>
        </w:rPr>
        <w:t>, 149, 160, 161, 171, 172(b)</w:t>
      </w:r>
      <w:r w:rsidR="00C7629D" w:rsidRPr="00A50E4D">
        <w:rPr>
          <w:sz w:val="18"/>
          <w:szCs w:val="18"/>
          <w:lang w:val="en-US"/>
        </w:rPr>
        <w:t xml:space="preserve"> and (f), 174, 180(3), 184, 186, 187(a), 188, 189, 190, 206 and</w:t>
      </w:r>
      <w:r w:rsidR="00AB4C33" w:rsidRPr="00A50E4D">
        <w:rPr>
          <w:sz w:val="18"/>
          <w:szCs w:val="18"/>
          <w:lang w:val="en-US"/>
        </w:rPr>
        <w:t xml:space="preserve"> 214 of the Regulations govern</w:t>
      </w:r>
      <w:r w:rsidR="00C7629D" w:rsidRPr="00A50E4D">
        <w:rPr>
          <w:sz w:val="18"/>
          <w:szCs w:val="18"/>
          <w:lang w:val="en-US"/>
        </w:rPr>
        <w:t>ing the Judicial Service Act; 3</w:t>
      </w:r>
      <w:r w:rsidR="00AB4C33" w:rsidRPr="00A50E4D">
        <w:rPr>
          <w:sz w:val="18"/>
          <w:szCs w:val="18"/>
          <w:lang w:val="en-US"/>
        </w:rPr>
        <w:t>(1), (4) and (6) of the Law on the Organizati</w:t>
      </w:r>
      <w:r w:rsidR="00C7629D" w:rsidRPr="00A50E4D">
        <w:rPr>
          <w:sz w:val="18"/>
          <w:szCs w:val="18"/>
          <w:lang w:val="en-US"/>
        </w:rPr>
        <w:t>on and Faculties of the Courts;</w:t>
      </w:r>
      <w:r w:rsidR="00AB4C33" w:rsidRPr="00A50E4D">
        <w:rPr>
          <w:sz w:val="18"/>
          <w:szCs w:val="18"/>
          <w:lang w:val="en-US"/>
        </w:rPr>
        <w:t xml:space="preserve"> 43, 44, 53, 55 of the Ibero-American Model Code of Judicial Ethics; 10 and 20 of the Statute of the Ibero-American J</w:t>
      </w:r>
      <w:r w:rsidR="00C7629D" w:rsidRPr="00A50E4D">
        <w:rPr>
          <w:sz w:val="18"/>
          <w:szCs w:val="18"/>
          <w:lang w:val="en-US"/>
        </w:rPr>
        <w:t>udge, and 1(d), 2(d) and (f), 8</w:t>
      </w:r>
      <w:r w:rsidR="00AB4C33" w:rsidRPr="00A50E4D">
        <w:rPr>
          <w:sz w:val="18"/>
          <w:szCs w:val="18"/>
          <w:lang w:val="en-US"/>
        </w:rPr>
        <w:t>(a), and 9 of the Code of Ethics for Judicial Officials and Employees.</w:t>
      </w:r>
      <w:r w:rsidR="00930C85" w:rsidRPr="00A50E4D">
        <w:rPr>
          <w:rStyle w:val="FootnoteReference"/>
          <w:rFonts w:cs="Arial"/>
          <w:spacing w:val="-4"/>
          <w:sz w:val="18"/>
          <w:szCs w:val="18"/>
          <w:lang w:val="en-US"/>
        </w:rPr>
        <w:footnoteReference w:id="242"/>
      </w:r>
    </w:p>
    <w:p w14:paraId="25174438" w14:textId="77777777" w:rsidR="00930C85" w:rsidRPr="00A50E4D" w:rsidRDefault="00930C85" w:rsidP="00930C85">
      <w:pPr>
        <w:pStyle w:val="NoSpacing"/>
        <w:tabs>
          <w:tab w:val="left" w:pos="567"/>
        </w:tabs>
        <w:ind w:left="567" w:right="544"/>
        <w:rPr>
          <w:spacing w:val="-4"/>
          <w:sz w:val="16"/>
          <w:szCs w:val="16"/>
          <w:lang w:val="en-US"/>
        </w:rPr>
      </w:pPr>
    </w:p>
    <w:p w14:paraId="08A0EAFE" w14:textId="72CA6002" w:rsidR="00930C85" w:rsidRPr="00A50E4D" w:rsidRDefault="00AB4C33" w:rsidP="00F069FC">
      <w:pPr>
        <w:pStyle w:val="PrrafodeSentencia"/>
        <w:rPr>
          <w:lang w:val="en-US"/>
        </w:rPr>
      </w:pPr>
      <w:bookmarkStart w:id="191" w:name="_Ref424654739"/>
      <w:r w:rsidRPr="00A50E4D">
        <w:rPr>
          <w:lang w:val="en-US"/>
        </w:rPr>
        <w:t xml:space="preserve">As a result of this decision, </w:t>
      </w:r>
      <w:r w:rsidR="00A23598" w:rsidRPr="00A50E4D">
        <w:rPr>
          <w:lang w:val="en-US"/>
        </w:rPr>
        <w:t>on June</w:t>
      </w:r>
      <w:r w:rsidR="009D6A26" w:rsidRPr="00A50E4D">
        <w:rPr>
          <w:lang w:val="en-US"/>
        </w:rPr>
        <w:t xml:space="preserve"> 30,</w:t>
      </w:r>
      <w:r w:rsidR="00930C85" w:rsidRPr="00A50E4D">
        <w:rPr>
          <w:lang w:val="en-US"/>
        </w:rPr>
        <w:t xml:space="preserve"> 2010</w:t>
      </w:r>
      <w:r w:rsidRPr="00A50E4D">
        <w:rPr>
          <w:lang w:val="en-US"/>
        </w:rPr>
        <w:t>,</w:t>
      </w:r>
      <w:r w:rsidR="00930C85" w:rsidRPr="00A50E4D">
        <w:rPr>
          <w:lang w:val="en-US"/>
        </w:rPr>
        <w:t xml:space="preserve"> </w:t>
      </w:r>
      <w:r w:rsidR="009A7056" w:rsidRPr="00A50E4D">
        <w:rPr>
          <w:lang w:val="en-US"/>
        </w:rPr>
        <w:t>Mr. Chévez de la Rocha</w:t>
      </w:r>
      <w:r w:rsidR="006E1430" w:rsidRPr="00A50E4D">
        <w:rPr>
          <w:lang w:val="en-US"/>
        </w:rPr>
        <w:t xml:space="preserve"> </w:t>
      </w:r>
      <w:r w:rsidRPr="00A50E4D">
        <w:rPr>
          <w:lang w:val="en-US"/>
        </w:rPr>
        <w:t xml:space="preserve">filed a complaint before </w:t>
      </w:r>
      <w:r w:rsidR="006A756C" w:rsidRPr="00A50E4D">
        <w:rPr>
          <w:lang w:val="en-US"/>
        </w:rPr>
        <w:t>the Judicial Service Council</w:t>
      </w:r>
      <w:r w:rsidR="00930C85" w:rsidRPr="00A50E4D">
        <w:rPr>
          <w:lang w:val="en-US"/>
        </w:rPr>
        <w:t xml:space="preserve"> </w:t>
      </w:r>
      <w:r w:rsidR="000A786A" w:rsidRPr="00A50E4D">
        <w:rPr>
          <w:lang w:val="en-US"/>
        </w:rPr>
        <w:t>seeking reinstatement in his po</w:t>
      </w:r>
      <w:r w:rsidRPr="00A50E4D">
        <w:rPr>
          <w:lang w:val="en-US"/>
        </w:rPr>
        <w:t>st as judge.</w:t>
      </w:r>
      <w:r w:rsidR="00930C85" w:rsidRPr="00A50E4D">
        <w:rPr>
          <w:rStyle w:val="FootnoteReference"/>
          <w:rFonts w:cs="Arial"/>
          <w:sz w:val="20"/>
          <w:szCs w:val="20"/>
          <w:lang w:val="en-US"/>
        </w:rPr>
        <w:footnoteReference w:id="243"/>
      </w:r>
      <w:r w:rsidRPr="00A50E4D">
        <w:rPr>
          <w:lang w:val="en-US"/>
        </w:rPr>
        <w:t xml:space="preserve"> Five permanent or </w:t>
      </w:r>
      <w:r w:rsidR="00DC3FD7" w:rsidRPr="00A50E4D">
        <w:rPr>
          <w:lang w:val="en-US"/>
        </w:rPr>
        <w:t>substitute member</w:t>
      </w:r>
      <w:r w:rsidRPr="00A50E4D">
        <w:rPr>
          <w:lang w:val="en-US"/>
        </w:rPr>
        <w:t xml:space="preserve">s of the Council disqualified themselves from taking part in this proceeding, because they had heard the case involving the dismissal </w:t>
      </w:r>
      <w:r w:rsidR="00DA4F82" w:rsidRPr="00A50E4D">
        <w:rPr>
          <w:lang w:val="en-US"/>
        </w:rPr>
        <w:t>of Mr.</w:t>
      </w:r>
      <w:r w:rsidR="00930C85" w:rsidRPr="00A50E4D">
        <w:rPr>
          <w:lang w:val="en-US"/>
        </w:rPr>
        <w:t xml:space="preserve"> </w:t>
      </w:r>
      <w:r w:rsidR="009A7056" w:rsidRPr="00A50E4D">
        <w:rPr>
          <w:lang w:val="en-US"/>
        </w:rPr>
        <w:t>Chévez de la Rocha</w:t>
      </w:r>
      <w:r w:rsidR="00930C85" w:rsidRPr="00A50E4D">
        <w:rPr>
          <w:lang w:val="en-US"/>
        </w:rPr>
        <w:t xml:space="preserve"> </w:t>
      </w:r>
      <w:r w:rsidRPr="00A50E4D">
        <w:rPr>
          <w:lang w:val="en-US"/>
        </w:rPr>
        <w:t>as members</w:t>
      </w:r>
      <w:r w:rsidR="009808C5" w:rsidRPr="00A50E4D">
        <w:rPr>
          <w:lang w:val="en-US"/>
        </w:rPr>
        <w:t xml:space="preserve"> of the </w:t>
      </w:r>
      <w:r w:rsidR="00371BB7" w:rsidRPr="00A50E4D">
        <w:rPr>
          <w:lang w:val="en-US"/>
        </w:rPr>
        <w:t>Supreme Court of Justice</w:t>
      </w:r>
      <w:r w:rsidR="00930C85" w:rsidRPr="00A50E4D">
        <w:rPr>
          <w:lang w:val="en-US"/>
        </w:rPr>
        <w:t>, o</w:t>
      </w:r>
      <w:r w:rsidRPr="00A50E4D">
        <w:rPr>
          <w:lang w:val="en-US"/>
        </w:rPr>
        <w:t>r due to relationship or friendship.</w:t>
      </w:r>
      <w:r w:rsidR="00930C85" w:rsidRPr="00A50E4D">
        <w:rPr>
          <w:rStyle w:val="FootnoteReference"/>
          <w:rFonts w:cs="Arial"/>
          <w:sz w:val="20"/>
          <w:szCs w:val="20"/>
          <w:lang w:val="en-US"/>
        </w:rPr>
        <w:footnoteReference w:id="244"/>
      </w:r>
      <w:r w:rsidR="00930C85" w:rsidRPr="00A50E4D">
        <w:rPr>
          <w:lang w:val="en-US"/>
        </w:rPr>
        <w:t xml:space="preserve"> </w:t>
      </w:r>
      <w:r w:rsidRPr="00A50E4D">
        <w:rPr>
          <w:lang w:val="en-US"/>
        </w:rPr>
        <w:t xml:space="preserve">As in the proceedings against </w:t>
      </w:r>
      <w:r w:rsidR="00FF35A9" w:rsidRPr="00A50E4D">
        <w:rPr>
          <w:lang w:val="en-US"/>
        </w:rPr>
        <w:t>Mr. López</w:t>
      </w:r>
      <w:r w:rsidR="00930C85" w:rsidRPr="00A50E4D">
        <w:rPr>
          <w:lang w:val="en-US"/>
        </w:rPr>
        <w:t xml:space="preserve"> Lone</w:t>
      </w:r>
      <w:r w:rsidR="009808C5" w:rsidRPr="00A50E4D">
        <w:rPr>
          <w:lang w:val="en-US"/>
        </w:rPr>
        <w:t xml:space="preserve"> and </w:t>
      </w:r>
      <w:r w:rsidR="00A23598" w:rsidRPr="00A50E4D">
        <w:rPr>
          <w:lang w:val="en-US"/>
        </w:rPr>
        <w:t>Ms. Flores</w:t>
      </w:r>
      <w:r w:rsidR="00930C85" w:rsidRPr="00A50E4D">
        <w:rPr>
          <w:lang w:val="en-US"/>
        </w:rPr>
        <w:t xml:space="preserve"> Lanza (</w:t>
      </w:r>
      <w:r w:rsidR="00930C85" w:rsidRPr="00A50E4D">
        <w:rPr>
          <w:i/>
          <w:lang w:val="en-US"/>
        </w:rPr>
        <w:t xml:space="preserve">supra </w:t>
      </w:r>
      <w:r w:rsidR="00AD5EE7" w:rsidRPr="00A50E4D">
        <w:rPr>
          <w:lang w:val="en-US"/>
        </w:rPr>
        <w:t>para.</w:t>
      </w:r>
      <w:r w:rsidR="00930C85" w:rsidRPr="00A50E4D">
        <w:rPr>
          <w:lang w:val="en-US"/>
        </w:rPr>
        <w:t xml:space="preserve"> </w:t>
      </w:r>
      <w:r w:rsidR="00930C85" w:rsidRPr="00914F55">
        <w:rPr>
          <w:lang w:val="en-US"/>
        </w:rPr>
        <w:fldChar w:fldCharType="begin"/>
      </w:r>
      <w:r w:rsidR="00930C85" w:rsidRPr="00A50E4D">
        <w:rPr>
          <w:lang w:val="en-US"/>
        </w:rPr>
        <w:instrText xml:space="preserve"> REF _Ref424649134 \r \h  \* MERGEFORMAT </w:instrText>
      </w:r>
      <w:r w:rsidR="00930C85" w:rsidRPr="00914F55">
        <w:rPr>
          <w:lang w:val="en-US"/>
        </w:rPr>
      </w:r>
      <w:r w:rsidR="00930C85" w:rsidRPr="00914F55">
        <w:rPr>
          <w:lang w:val="en-US"/>
        </w:rPr>
        <w:fldChar w:fldCharType="separate"/>
      </w:r>
      <w:r w:rsidR="00547588">
        <w:rPr>
          <w:lang w:val="en-US"/>
        </w:rPr>
        <w:t>97</w:t>
      </w:r>
      <w:r w:rsidR="00930C85" w:rsidRPr="00914F55">
        <w:rPr>
          <w:lang w:val="en-US"/>
        </w:rPr>
        <w:fldChar w:fldCharType="end"/>
      </w:r>
      <w:r w:rsidR="009808C5" w:rsidRPr="00A50E4D">
        <w:rPr>
          <w:lang w:val="en-US"/>
        </w:rPr>
        <w:t xml:space="preserve"> and </w:t>
      </w:r>
      <w:r w:rsidR="00930C85" w:rsidRPr="00914F55">
        <w:rPr>
          <w:lang w:val="en-US"/>
        </w:rPr>
        <w:fldChar w:fldCharType="begin"/>
      </w:r>
      <w:r w:rsidR="00930C85" w:rsidRPr="00A50E4D">
        <w:rPr>
          <w:lang w:val="en-US"/>
        </w:rPr>
        <w:instrText xml:space="preserve"> REF _Ref424654736 \r \h  \* MERGEFORMAT </w:instrText>
      </w:r>
      <w:r w:rsidR="00930C85" w:rsidRPr="00914F55">
        <w:rPr>
          <w:lang w:val="en-US"/>
        </w:rPr>
      </w:r>
      <w:r w:rsidR="00930C85" w:rsidRPr="00914F55">
        <w:rPr>
          <w:lang w:val="en-US"/>
        </w:rPr>
        <w:fldChar w:fldCharType="separate"/>
      </w:r>
      <w:r w:rsidR="00547588">
        <w:rPr>
          <w:lang w:val="en-US"/>
        </w:rPr>
        <w:t>117</w:t>
      </w:r>
      <w:r w:rsidR="00930C85" w:rsidRPr="00914F55">
        <w:rPr>
          <w:lang w:val="en-US"/>
        </w:rPr>
        <w:fldChar w:fldCharType="end"/>
      </w:r>
      <w:r w:rsidR="00930C85" w:rsidRPr="00A50E4D">
        <w:rPr>
          <w:lang w:val="en-US"/>
        </w:rPr>
        <w:t xml:space="preserve">), </w:t>
      </w:r>
      <w:r w:rsidRPr="00A50E4D">
        <w:rPr>
          <w:lang w:val="en-US"/>
        </w:rPr>
        <w:t>on March 22,</w:t>
      </w:r>
      <w:r w:rsidR="00930C85" w:rsidRPr="00A50E4D">
        <w:rPr>
          <w:lang w:val="en-US"/>
        </w:rPr>
        <w:t xml:space="preserve"> 2011</w:t>
      </w:r>
      <w:r w:rsidRPr="00A50E4D">
        <w:rPr>
          <w:lang w:val="en-US"/>
        </w:rPr>
        <w:t>,</w:t>
      </w:r>
      <w:r w:rsidR="00930C85" w:rsidRPr="00A50E4D">
        <w:rPr>
          <w:lang w:val="en-US"/>
        </w:rPr>
        <w:t xml:space="preserve"> </w:t>
      </w:r>
      <w:r w:rsidRPr="00A50E4D">
        <w:rPr>
          <w:lang w:val="en-US"/>
        </w:rPr>
        <w:t xml:space="preserve">it was considered that “the Judicial Service Council had been disbanded” and a note was sent to the President of the Supreme Court of Justice asking him </w:t>
      </w:r>
      <w:r w:rsidR="00F069FC" w:rsidRPr="00A50E4D">
        <w:rPr>
          <w:lang w:val="en-US"/>
        </w:rPr>
        <w:t xml:space="preserve">to provide guidance. </w:t>
      </w:r>
      <w:r w:rsidR="00C7629D" w:rsidRPr="00A50E4D">
        <w:rPr>
          <w:lang w:val="en-US"/>
        </w:rPr>
        <w:t>As a result of the latter’s indications</w:t>
      </w:r>
      <w:r w:rsidR="00F069FC" w:rsidRPr="00A50E4D">
        <w:rPr>
          <w:lang w:val="en-US"/>
        </w:rPr>
        <w:t>, the President of the Council appointed a lawyer to incorporate the Council thus enabling the proceedings to continue.</w:t>
      </w:r>
      <w:r w:rsidR="00930C85" w:rsidRPr="00A50E4D">
        <w:rPr>
          <w:rStyle w:val="FootnoteReference"/>
          <w:rFonts w:cs="Arial"/>
          <w:sz w:val="20"/>
          <w:szCs w:val="20"/>
          <w:lang w:val="en-US"/>
        </w:rPr>
        <w:footnoteReference w:id="245"/>
      </w:r>
      <w:r w:rsidR="00F069FC" w:rsidRPr="00A50E4D">
        <w:rPr>
          <w:lang w:val="en-US"/>
        </w:rPr>
        <w:t xml:space="preserve"> </w:t>
      </w:r>
      <w:r w:rsidR="000A786A" w:rsidRPr="00A50E4D">
        <w:rPr>
          <w:lang w:val="en-US"/>
        </w:rPr>
        <w:t>Subsequently</w:t>
      </w:r>
      <w:r w:rsidR="00F069FC" w:rsidRPr="00A50E4D">
        <w:rPr>
          <w:lang w:val="en-US"/>
        </w:rPr>
        <w:t xml:space="preserve">, </w:t>
      </w:r>
      <w:r w:rsidR="00C7629D" w:rsidRPr="00A50E4D">
        <w:rPr>
          <w:lang w:val="en-US"/>
        </w:rPr>
        <w:t xml:space="preserve">one more </w:t>
      </w:r>
      <w:r w:rsidR="00F069FC" w:rsidRPr="00A50E4D">
        <w:rPr>
          <w:lang w:val="en-US"/>
        </w:rPr>
        <w:t xml:space="preserve">person disqualified themselves from </w:t>
      </w:r>
      <w:r w:rsidR="000A786A" w:rsidRPr="00A50E4D">
        <w:rPr>
          <w:lang w:val="en-US"/>
        </w:rPr>
        <w:t>the</w:t>
      </w:r>
      <w:r w:rsidR="00F069FC" w:rsidRPr="00A50E4D">
        <w:rPr>
          <w:lang w:val="en-US"/>
        </w:rPr>
        <w:t xml:space="preserve"> case and another substitute was appointed.</w:t>
      </w:r>
      <w:r w:rsidR="00930C85" w:rsidRPr="00A50E4D">
        <w:rPr>
          <w:rStyle w:val="FootnoteReference"/>
          <w:rFonts w:cs="Arial"/>
          <w:sz w:val="20"/>
          <w:szCs w:val="20"/>
          <w:lang w:val="en-US"/>
        </w:rPr>
        <w:footnoteReference w:id="246"/>
      </w:r>
      <w:bookmarkEnd w:id="191"/>
    </w:p>
    <w:p w14:paraId="2063D32A" w14:textId="77777777" w:rsidR="00930C85" w:rsidRPr="00A50E4D" w:rsidRDefault="00930C85" w:rsidP="00930C85">
      <w:pPr>
        <w:pStyle w:val="NoSpacing"/>
        <w:tabs>
          <w:tab w:val="left" w:pos="567"/>
        </w:tabs>
        <w:rPr>
          <w:spacing w:val="-4"/>
          <w:szCs w:val="20"/>
          <w:lang w:val="en-US"/>
        </w:rPr>
      </w:pPr>
    </w:p>
    <w:p w14:paraId="30A8B146" w14:textId="1997BED4" w:rsidR="00930C85" w:rsidRPr="00A50E4D" w:rsidRDefault="00F069FC" w:rsidP="00930C85">
      <w:pPr>
        <w:pStyle w:val="PrrafodeSentencia"/>
        <w:rPr>
          <w:lang w:val="en-US"/>
        </w:rPr>
      </w:pPr>
      <w:bookmarkStart w:id="192" w:name="_Ref424654878"/>
      <w:r w:rsidRPr="00A50E4D">
        <w:rPr>
          <w:lang w:val="en-US"/>
        </w:rPr>
        <w:t>On</w:t>
      </w:r>
      <w:r w:rsidR="00930C85" w:rsidRPr="00A50E4D">
        <w:rPr>
          <w:lang w:val="en-US"/>
        </w:rPr>
        <w:t xml:space="preserve"> </w:t>
      </w:r>
      <w:r w:rsidR="008D65AB" w:rsidRPr="00A50E4D">
        <w:rPr>
          <w:lang w:val="en-US"/>
        </w:rPr>
        <w:t>August 24</w:t>
      </w:r>
      <w:r w:rsidR="000F731B" w:rsidRPr="00A50E4D">
        <w:rPr>
          <w:lang w:val="en-US"/>
        </w:rPr>
        <w:t>,</w:t>
      </w:r>
      <w:r w:rsidR="00930C85" w:rsidRPr="00A50E4D">
        <w:rPr>
          <w:lang w:val="en-US"/>
        </w:rPr>
        <w:t xml:space="preserve"> 2011</w:t>
      </w:r>
      <w:r w:rsidRPr="00A50E4D">
        <w:rPr>
          <w:lang w:val="en-US"/>
        </w:rPr>
        <w:t>,</w:t>
      </w:r>
      <w:r w:rsidR="00930C85" w:rsidRPr="00A50E4D">
        <w:rPr>
          <w:lang w:val="en-US"/>
        </w:rPr>
        <w:t xml:space="preserve"> </w:t>
      </w:r>
      <w:r w:rsidR="006A756C" w:rsidRPr="00A50E4D">
        <w:rPr>
          <w:lang w:val="en-US"/>
        </w:rPr>
        <w:t>the Judicial Service Council</w:t>
      </w:r>
      <w:r w:rsidR="00930C85" w:rsidRPr="00A50E4D">
        <w:rPr>
          <w:lang w:val="en-US"/>
        </w:rPr>
        <w:t xml:space="preserve"> declar</w:t>
      </w:r>
      <w:r w:rsidRPr="00A50E4D">
        <w:rPr>
          <w:lang w:val="en-US"/>
        </w:rPr>
        <w:t xml:space="preserve">ed the </w:t>
      </w:r>
      <w:r w:rsidR="000A786A" w:rsidRPr="00A50E4D">
        <w:rPr>
          <w:lang w:val="en-US"/>
        </w:rPr>
        <w:t>c</w:t>
      </w:r>
      <w:r w:rsidR="00E5486B" w:rsidRPr="00A50E4D">
        <w:rPr>
          <w:lang w:val="en-US"/>
        </w:rPr>
        <w:t>laim</w:t>
      </w:r>
      <w:r w:rsidR="00930C85" w:rsidRPr="00A50E4D">
        <w:rPr>
          <w:lang w:val="en-US"/>
        </w:rPr>
        <w:t xml:space="preserve"> </w:t>
      </w:r>
      <w:r w:rsidRPr="00A50E4D">
        <w:rPr>
          <w:lang w:val="en-US"/>
        </w:rPr>
        <w:t xml:space="preserve">filed by </w:t>
      </w:r>
      <w:r w:rsidR="009A7056" w:rsidRPr="00A50E4D">
        <w:rPr>
          <w:lang w:val="en-US"/>
        </w:rPr>
        <w:t>Mr. Chévez de la Rocha</w:t>
      </w:r>
      <w:r w:rsidR="00E5486B" w:rsidRPr="00A50E4D">
        <w:rPr>
          <w:lang w:val="en-US"/>
        </w:rPr>
        <w:t xml:space="preserve"> admissible</w:t>
      </w:r>
      <w:r w:rsidR="00930C85" w:rsidRPr="00A50E4D">
        <w:rPr>
          <w:lang w:val="en-US"/>
        </w:rPr>
        <w:t xml:space="preserve">, </w:t>
      </w:r>
      <w:r w:rsidRPr="00A50E4D">
        <w:rPr>
          <w:lang w:val="en-US"/>
        </w:rPr>
        <w:t xml:space="preserve">but rejected his request to be </w:t>
      </w:r>
      <w:r w:rsidR="00E5486B" w:rsidRPr="00A50E4D">
        <w:rPr>
          <w:lang w:val="en-US"/>
        </w:rPr>
        <w:t>re</w:t>
      </w:r>
      <w:r w:rsidRPr="00A50E4D">
        <w:rPr>
          <w:lang w:val="en-US"/>
        </w:rPr>
        <w:t xml:space="preserve">instated in his post. In its decision, vis-a-vis the arguments of the appellant, the Council reiterated the arguments on independence and impartiality that it had presented in other proceedings </w:t>
      </w:r>
      <w:r w:rsidR="00930C85" w:rsidRPr="00A50E4D">
        <w:rPr>
          <w:lang w:val="en-US"/>
        </w:rPr>
        <w:t>(</w:t>
      </w:r>
      <w:r w:rsidR="00930C85" w:rsidRPr="00A50E4D">
        <w:rPr>
          <w:i/>
          <w:lang w:val="en-US"/>
        </w:rPr>
        <w:t xml:space="preserve">supra </w:t>
      </w:r>
      <w:r w:rsidR="00AD5EE7" w:rsidRPr="00A50E4D">
        <w:rPr>
          <w:lang w:val="en-US"/>
        </w:rPr>
        <w:t>para.</w:t>
      </w:r>
      <w:r w:rsidR="00930C85" w:rsidRPr="00A50E4D">
        <w:rPr>
          <w:lang w:val="en-US"/>
        </w:rPr>
        <w:t xml:space="preserve"> </w:t>
      </w:r>
      <w:r w:rsidR="00930C85" w:rsidRPr="00914F55">
        <w:rPr>
          <w:lang w:val="en-US"/>
        </w:rPr>
        <w:fldChar w:fldCharType="begin"/>
      </w:r>
      <w:r w:rsidR="00930C85" w:rsidRPr="00A50E4D">
        <w:rPr>
          <w:lang w:val="en-US"/>
        </w:rPr>
        <w:instrText xml:space="preserve"> REF _Ref424649494 \r \h  \* MERGEFORMAT </w:instrText>
      </w:r>
      <w:r w:rsidR="00930C85" w:rsidRPr="00914F55">
        <w:rPr>
          <w:lang w:val="en-US"/>
        </w:rPr>
      </w:r>
      <w:r w:rsidR="00930C85" w:rsidRPr="00914F55">
        <w:rPr>
          <w:lang w:val="en-US"/>
        </w:rPr>
        <w:fldChar w:fldCharType="separate"/>
      </w:r>
      <w:r w:rsidR="00547588">
        <w:rPr>
          <w:lang w:val="en-US"/>
        </w:rPr>
        <w:t>99</w:t>
      </w:r>
      <w:r w:rsidR="00930C85" w:rsidRPr="00914F55">
        <w:rPr>
          <w:lang w:val="en-US"/>
        </w:rPr>
        <w:fldChar w:fldCharType="end"/>
      </w:r>
      <w:r w:rsidR="00930C85" w:rsidRPr="00A50E4D">
        <w:rPr>
          <w:lang w:val="en-US"/>
        </w:rPr>
        <w:t>)</w:t>
      </w:r>
      <w:r w:rsidRPr="00A50E4D">
        <w:rPr>
          <w:lang w:val="en-US"/>
        </w:rPr>
        <w:t>.</w:t>
      </w:r>
      <w:r w:rsidR="00930C85" w:rsidRPr="00A50E4D">
        <w:rPr>
          <w:rStyle w:val="FootnoteReference"/>
          <w:rFonts w:cs="Arial"/>
          <w:sz w:val="20"/>
          <w:szCs w:val="20"/>
          <w:lang w:val="en-US"/>
        </w:rPr>
        <w:footnoteReference w:id="247"/>
      </w:r>
      <w:r w:rsidRPr="00A50E4D">
        <w:rPr>
          <w:lang w:val="en-US"/>
        </w:rPr>
        <w:t xml:space="preserve"> Furthermore, it considered that it had been duly proved that, on August 12, 2009, </w:t>
      </w:r>
      <w:r w:rsidR="009A7056" w:rsidRPr="00A50E4D">
        <w:rPr>
          <w:lang w:val="en-US"/>
        </w:rPr>
        <w:t>Mr. Chévez de la Rocha</w:t>
      </w:r>
      <w:r w:rsidR="00930C85" w:rsidRPr="00A50E4D">
        <w:rPr>
          <w:lang w:val="en-US"/>
        </w:rPr>
        <w:t xml:space="preserve"> ha</w:t>
      </w:r>
      <w:r w:rsidRPr="00A50E4D">
        <w:rPr>
          <w:lang w:val="en-US"/>
        </w:rPr>
        <w:t>d been arrested for “public scandal” and that three court employees ha</w:t>
      </w:r>
      <w:r w:rsidR="00E5486B" w:rsidRPr="00A50E4D">
        <w:rPr>
          <w:lang w:val="en-US"/>
        </w:rPr>
        <w:t>d filed a complaint before the c</w:t>
      </w:r>
      <w:r w:rsidRPr="00A50E4D">
        <w:rPr>
          <w:lang w:val="en-US"/>
        </w:rPr>
        <w:t>oordinator of the</w:t>
      </w:r>
      <w:r w:rsidR="006B2F75" w:rsidRPr="00A50E4D">
        <w:rPr>
          <w:lang w:val="en-US"/>
        </w:rPr>
        <w:t xml:space="preserve"> </w:t>
      </w:r>
      <w:r w:rsidR="00E5486B" w:rsidRPr="00A50E4D">
        <w:rPr>
          <w:lang w:val="en-US"/>
        </w:rPr>
        <w:t>Court for cases involving Domestic Violence</w:t>
      </w:r>
      <w:r w:rsidRPr="00A50E4D">
        <w:rPr>
          <w:lang w:val="en-US"/>
        </w:rPr>
        <w:t xml:space="preserve"> “based on the attitude and </w:t>
      </w:r>
      <w:r w:rsidR="00E5486B" w:rsidRPr="00A50E4D">
        <w:rPr>
          <w:lang w:val="en-US"/>
        </w:rPr>
        <w:t>conduct</w:t>
      </w:r>
      <w:r w:rsidRPr="00A50E4D">
        <w:rPr>
          <w:lang w:val="en-US"/>
        </w:rPr>
        <w:t xml:space="preserve"> of </w:t>
      </w:r>
      <w:r w:rsidR="009808C5" w:rsidRPr="00A50E4D">
        <w:rPr>
          <w:lang w:val="en-US"/>
        </w:rPr>
        <w:t>Judge</w:t>
      </w:r>
      <w:r w:rsidR="00930C85" w:rsidRPr="00A50E4D">
        <w:rPr>
          <w:lang w:val="en-US"/>
        </w:rPr>
        <w:t xml:space="preserve"> </w:t>
      </w:r>
      <w:r w:rsidR="009A7056" w:rsidRPr="00A50E4D">
        <w:rPr>
          <w:lang w:val="en-US"/>
        </w:rPr>
        <w:t>Chévez de la Rocha</w:t>
      </w:r>
      <w:r w:rsidR="00930C85" w:rsidRPr="00A50E4D">
        <w:rPr>
          <w:lang w:val="en-US"/>
        </w:rPr>
        <w:t xml:space="preserve">” </w:t>
      </w:r>
      <w:r w:rsidRPr="00A50E4D">
        <w:rPr>
          <w:lang w:val="en-US"/>
        </w:rPr>
        <w:t xml:space="preserve">because he had </w:t>
      </w:r>
      <w:r w:rsidR="00E5486B" w:rsidRPr="00A50E4D">
        <w:rPr>
          <w:lang w:val="en-US"/>
        </w:rPr>
        <w:t>encouraged</w:t>
      </w:r>
      <w:r w:rsidRPr="00A50E4D">
        <w:rPr>
          <w:lang w:val="en-US"/>
        </w:rPr>
        <w:t xml:space="preserve"> a protest against the government </w:t>
      </w:r>
      <w:r w:rsidR="00930C85" w:rsidRPr="00A50E4D">
        <w:rPr>
          <w:i/>
          <w:lang w:val="en-US"/>
        </w:rPr>
        <w:t>de facto</w:t>
      </w:r>
      <w:r w:rsidR="009808C5" w:rsidRPr="00A50E4D">
        <w:rPr>
          <w:i/>
          <w:lang w:val="en-US"/>
        </w:rPr>
        <w:t xml:space="preserve"> </w:t>
      </w:r>
      <w:r w:rsidR="009808C5" w:rsidRPr="00A50E4D">
        <w:rPr>
          <w:lang w:val="en-US"/>
        </w:rPr>
        <w:t xml:space="preserve">and </w:t>
      </w:r>
      <w:r w:rsidRPr="00A50E4D">
        <w:rPr>
          <w:lang w:val="en-US"/>
        </w:rPr>
        <w:t xml:space="preserve">expressed his </w:t>
      </w:r>
      <w:r w:rsidR="00E5486B" w:rsidRPr="00A50E4D">
        <w:rPr>
          <w:lang w:val="en-US"/>
        </w:rPr>
        <w:t>feelings of shame with regard to</w:t>
      </w:r>
      <w:r w:rsidRPr="00A50E4D">
        <w:rPr>
          <w:lang w:val="en-US"/>
        </w:rPr>
        <w:t xml:space="preserve"> the role </w:t>
      </w:r>
      <w:r w:rsidR="00E5486B" w:rsidRPr="00A50E4D">
        <w:rPr>
          <w:lang w:val="en-US"/>
        </w:rPr>
        <w:t>played by</w:t>
      </w:r>
      <w:r w:rsidR="00700DEC" w:rsidRPr="00A50E4D">
        <w:rPr>
          <w:lang w:val="en-US"/>
        </w:rPr>
        <w:t xml:space="preserve"> the Judiciary</w:t>
      </w:r>
      <w:r w:rsidRPr="00A50E4D">
        <w:rPr>
          <w:lang w:val="en-US"/>
        </w:rPr>
        <w:t>.</w:t>
      </w:r>
      <w:r w:rsidR="00930C85" w:rsidRPr="00A50E4D">
        <w:rPr>
          <w:rStyle w:val="FootnoteReference"/>
          <w:rFonts w:cs="Arial"/>
          <w:sz w:val="20"/>
          <w:szCs w:val="20"/>
          <w:lang w:val="en-US"/>
        </w:rPr>
        <w:footnoteReference w:id="248"/>
      </w:r>
      <w:bookmarkEnd w:id="192"/>
    </w:p>
    <w:p w14:paraId="52A59B0D" w14:textId="77777777" w:rsidR="00930C85" w:rsidRPr="00A50E4D" w:rsidRDefault="00930C85" w:rsidP="00930C85">
      <w:pPr>
        <w:pStyle w:val="ListParagraph"/>
        <w:numPr>
          <w:ilvl w:val="0"/>
          <w:numId w:val="0"/>
        </w:numPr>
        <w:rPr>
          <w:spacing w:val="-4"/>
          <w:lang w:val="en-US"/>
        </w:rPr>
      </w:pPr>
    </w:p>
    <w:p w14:paraId="363A2CA5" w14:textId="7835CD9A" w:rsidR="00930C85" w:rsidRPr="00A50E4D" w:rsidRDefault="00F069FC" w:rsidP="00930C85">
      <w:pPr>
        <w:pStyle w:val="PrrafodeSentencia"/>
        <w:rPr>
          <w:lang w:val="en-US"/>
        </w:rPr>
      </w:pPr>
      <w:r w:rsidRPr="00A50E4D">
        <w:rPr>
          <w:lang w:val="en-US"/>
        </w:rPr>
        <w:t xml:space="preserve">However, </w:t>
      </w:r>
      <w:r w:rsidR="00E5486B" w:rsidRPr="00A50E4D">
        <w:rPr>
          <w:lang w:val="en-US"/>
        </w:rPr>
        <w:t>in relation to</w:t>
      </w:r>
      <w:r w:rsidRPr="00A50E4D">
        <w:rPr>
          <w:lang w:val="en-US"/>
        </w:rPr>
        <w:t xml:space="preserve"> </w:t>
      </w:r>
      <w:r w:rsidR="00E5486B" w:rsidRPr="00A50E4D">
        <w:rPr>
          <w:lang w:val="en-US"/>
        </w:rPr>
        <w:t>the events of</w:t>
      </w:r>
      <w:r w:rsidRPr="00A50E4D">
        <w:rPr>
          <w:lang w:val="en-US"/>
        </w:rPr>
        <w:t xml:space="preserve"> August 12, the Council considered that, “although it is true that [Mr. Chévez] was arrested; it is also true that this situation would not be</w:t>
      </w:r>
      <w:r w:rsidR="00B310E0" w:rsidRPr="00A50E4D">
        <w:rPr>
          <w:lang w:val="en-US"/>
        </w:rPr>
        <w:t xml:space="preserve"> held against him</w:t>
      </w:r>
      <w:r w:rsidRPr="00A50E4D">
        <w:rPr>
          <w:lang w:val="en-US"/>
        </w:rPr>
        <w:t xml:space="preserve">, because the </w:t>
      </w:r>
      <w:r w:rsidR="000A786A" w:rsidRPr="00A50E4D">
        <w:rPr>
          <w:lang w:val="en-US"/>
        </w:rPr>
        <w:t>competent</w:t>
      </w:r>
      <w:r w:rsidRPr="00A50E4D">
        <w:rPr>
          <w:lang w:val="en-US"/>
        </w:rPr>
        <w:t xml:space="preserve"> authority had already ruled that no warrant had been issued for his arrest.</w:t>
      </w:r>
      <w:r w:rsidR="00930C85" w:rsidRPr="00A50E4D">
        <w:rPr>
          <w:lang w:val="en-US"/>
        </w:rPr>
        <w:t>”</w:t>
      </w:r>
      <w:r w:rsidR="00930C85" w:rsidRPr="00A50E4D">
        <w:rPr>
          <w:rStyle w:val="FootnoteReference"/>
          <w:rFonts w:cs="Arial"/>
          <w:sz w:val="20"/>
          <w:szCs w:val="20"/>
          <w:lang w:val="en-US"/>
        </w:rPr>
        <w:footnoteReference w:id="249"/>
      </w:r>
    </w:p>
    <w:p w14:paraId="70CF977F" w14:textId="77777777" w:rsidR="00930C85" w:rsidRPr="00A50E4D" w:rsidRDefault="00930C85" w:rsidP="00930C85">
      <w:pPr>
        <w:pStyle w:val="ListParagraph"/>
        <w:numPr>
          <w:ilvl w:val="0"/>
          <w:numId w:val="0"/>
        </w:numPr>
        <w:rPr>
          <w:spacing w:val="-4"/>
          <w:lang w:val="en-US"/>
        </w:rPr>
      </w:pPr>
    </w:p>
    <w:p w14:paraId="66F3D001" w14:textId="413FEAAC" w:rsidR="00930C85" w:rsidRPr="00A50E4D" w:rsidRDefault="00F069FC" w:rsidP="00930C85">
      <w:pPr>
        <w:pStyle w:val="PrrafodeSentencia"/>
        <w:rPr>
          <w:lang w:val="en-US"/>
        </w:rPr>
      </w:pPr>
      <w:r w:rsidRPr="00A50E4D">
        <w:rPr>
          <w:lang w:val="en-US"/>
        </w:rPr>
        <w:lastRenderedPageBreak/>
        <w:t>Regarding the comments made to other court employees</w:t>
      </w:r>
      <w:r w:rsidR="006A228E" w:rsidRPr="00A50E4D">
        <w:rPr>
          <w:lang w:val="en-US"/>
        </w:rPr>
        <w:t>, it indicated with regard to</w:t>
      </w:r>
      <w:r w:rsidRPr="00A50E4D">
        <w:rPr>
          <w:lang w:val="en-US"/>
        </w:rPr>
        <w:t xml:space="preserve"> </w:t>
      </w:r>
      <w:r w:rsidR="009A7056" w:rsidRPr="00A50E4D">
        <w:rPr>
          <w:lang w:val="en-US"/>
        </w:rPr>
        <w:t>Mr. Chévez de la Rocha</w:t>
      </w:r>
      <w:r w:rsidR="006A228E" w:rsidRPr="00A50E4D">
        <w:rPr>
          <w:lang w:val="en-US"/>
        </w:rPr>
        <w:t>, that</w:t>
      </w:r>
      <w:r w:rsidR="00930C85" w:rsidRPr="00A50E4D">
        <w:rPr>
          <w:lang w:val="en-US"/>
        </w:rPr>
        <w:t>:</w:t>
      </w:r>
    </w:p>
    <w:p w14:paraId="327FB3B8" w14:textId="77777777" w:rsidR="00930C85" w:rsidRPr="00A50E4D" w:rsidRDefault="00930C85" w:rsidP="00930C85">
      <w:pPr>
        <w:pStyle w:val="ListParagraph"/>
        <w:numPr>
          <w:ilvl w:val="0"/>
          <w:numId w:val="0"/>
        </w:numPr>
        <w:rPr>
          <w:spacing w:val="-4"/>
          <w:lang w:val="en-US"/>
        </w:rPr>
      </w:pPr>
    </w:p>
    <w:p w14:paraId="681E6F43" w14:textId="21A4D8A8" w:rsidR="00930C85" w:rsidRPr="00A50E4D" w:rsidRDefault="006A228E" w:rsidP="006A228E">
      <w:pPr>
        <w:autoSpaceDE w:val="0"/>
        <w:autoSpaceDN w:val="0"/>
        <w:adjustRightInd w:val="0"/>
        <w:ind w:left="567" w:right="544"/>
        <w:rPr>
          <w:rFonts w:cs="Times New Roman"/>
          <w:spacing w:val="-4"/>
          <w:sz w:val="18"/>
          <w:szCs w:val="18"/>
          <w:lang w:val="en-US"/>
        </w:rPr>
      </w:pPr>
      <w:r w:rsidRPr="00A50E4D">
        <w:rPr>
          <w:spacing w:val="-4"/>
          <w:sz w:val="18"/>
          <w:szCs w:val="18"/>
          <w:lang w:val="en-US"/>
        </w:rPr>
        <w:t xml:space="preserve">His behavior </w:t>
      </w:r>
      <w:r w:rsidR="00B310E0" w:rsidRPr="00A50E4D">
        <w:rPr>
          <w:spacing w:val="-4"/>
          <w:sz w:val="18"/>
          <w:szCs w:val="18"/>
          <w:lang w:val="en-US"/>
        </w:rPr>
        <w:t>in front of</w:t>
      </w:r>
      <w:r w:rsidRPr="00A50E4D">
        <w:rPr>
          <w:spacing w:val="-4"/>
          <w:sz w:val="18"/>
          <w:szCs w:val="18"/>
          <w:lang w:val="en-US"/>
        </w:rPr>
        <w:t xml:space="preserve"> his colleagues was not </w:t>
      </w:r>
      <w:r w:rsidR="00B310E0" w:rsidRPr="00A50E4D">
        <w:rPr>
          <w:spacing w:val="-4"/>
          <w:sz w:val="18"/>
          <w:szCs w:val="18"/>
          <w:lang w:val="en-US"/>
        </w:rPr>
        <w:t xml:space="preserve">in accordance with his </w:t>
      </w:r>
      <w:r w:rsidRPr="00A50E4D">
        <w:rPr>
          <w:spacing w:val="-4"/>
          <w:sz w:val="18"/>
          <w:szCs w:val="18"/>
          <w:lang w:val="en-US"/>
        </w:rPr>
        <w:t>office as</w:t>
      </w:r>
      <w:r w:rsidR="00B310E0" w:rsidRPr="00A50E4D">
        <w:rPr>
          <w:spacing w:val="-4"/>
          <w:sz w:val="18"/>
          <w:szCs w:val="18"/>
          <w:lang w:val="en-US"/>
        </w:rPr>
        <w:t xml:space="preserve"> a judge, when executing act</w:t>
      </w:r>
      <w:r w:rsidRPr="00A50E4D">
        <w:rPr>
          <w:spacing w:val="-4"/>
          <w:sz w:val="18"/>
          <w:szCs w:val="18"/>
          <w:lang w:val="en-US"/>
        </w:rPr>
        <w:t xml:space="preserve">s that were inimical to the dignity </w:t>
      </w:r>
      <w:r w:rsidR="00FF35A9" w:rsidRPr="00A50E4D">
        <w:rPr>
          <w:rFonts w:cs="Times New Roman"/>
          <w:spacing w:val="-4"/>
          <w:sz w:val="18"/>
          <w:szCs w:val="18"/>
          <w:lang w:val="en-US"/>
        </w:rPr>
        <w:t xml:space="preserve">of the </w:t>
      </w:r>
      <w:r w:rsidRPr="00A50E4D">
        <w:rPr>
          <w:rFonts w:cs="Times New Roman"/>
          <w:spacing w:val="-4"/>
          <w:sz w:val="18"/>
          <w:szCs w:val="18"/>
          <w:lang w:val="en-US"/>
        </w:rPr>
        <w:t>administration of justice</w:t>
      </w:r>
      <w:r w:rsidR="00930C85" w:rsidRPr="00A50E4D">
        <w:rPr>
          <w:rFonts w:cs="Times New Roman"/>
          <w:spacing w:val="-4"/>
          <w:sz w:val="18"/>
          <w:szCs w:val="18"/>
          <w:lang w:val="en-US"/>
        </w:rPr>
        <w:t xml:space="preserve">, </w:t>
      </w:r>
      <w:r w:rsidRPr="00A50E4D">
        <w:rPr>
          <w:rFonts w:cs="Times New Roman"/>
          <w:spacing w:val="-4"/>
          <w:sz w:val="18"/>
          <w:szCs w:val="18"/>
          <w:lang w:val="en-US"/>
        </w:rPr>
        <w:t>established in a</w:t>
      </w:r>
      <w:r w:rsidR="009808C5" w:rsidRPr="00A50E4D">
        <w:rPr>
          <w:rFonts w:cs="Times New Roman"/>
          <w:spacing w:val="-4"/>
          <w:sz w:val="18"/>
          <w:szCs w:val="18"/>
          <w:lang w:val="en-US"/>
        </w:rPr>
        <w:t>rticle</w:t>
      </w:r>
      <w:r w:rsidR="00B310E0" w:rsidRPr="00A50E4D">
        <w:rPr>
          <w:rFonts w:cs="Times New Roman"/>
          <w:spacing w:val="-4"/>
          <w:sz w:val="18"/>
          <w:szCs w:val="18"/>
          <w:lang w:val="en-US"/>
        </w:rPr>
        <w:t>s</w:t>
      </w:r>
      <w:r w:rsidR="00B310E0" w:rsidRPr="00A50E4D">
        <w:rPr>
          <w:rFonts w:eastAsia="HiddenHorzOCR" w:cs="HiddenHorzOCR"/>
          <w:spacing w:val="-4"/>
          <w:sz w:val="18"/>
          <w:szCs w:val="18"/>
          <w:lang w:val="en-US"/>
        </w:rPr>
        <w:t xml:space="preserve"> 53</w:t>
      </w:r>
      <w:r w:rsidRPr="00A50E4D">
        <w:rPr>
          <w:rFonts w:eastAsia="HiddenHorzOCR" w:cs="HiddenHorzOCR"/>
          <w:spacing w:val="-4"/>
          <w:sz w:val="18"/>
          <w:szCs w:val="18"/>
          <w:lang w:val="en-US"/>
        </w:rPr>
        <w:t>(</w:t>
      </w:r>
      <w:r w:rsidR="00930C85" w:rsidRPr="00A50E4D">
        <w:rPr>
          <w:rFonts w:eastAsia="HiddenHorzOCR" w:cs="HiddenHorzOCR"/>
          <w:spacing w:val="-4"/>
          <w:sz w:val="18"/>
          <w:szCs w:val="18"/>
          <w:lang w:val="en-US"/>
        </w:rPr>
        <w:t xml:space="preserve">b) </w:t>
      </w:r>
      <w:r w:rsidR="004D0F32" w:rsidRPr="00A50E4D">
        <w:rPr>
          <w:rFonts w:cs="Times New Roman"/>
          <w:spacing w:val="-4"/>
          <w:sz w:val="18"/>
          <w:szCs w:val="18"/>
          <w:lang w:val="en-US"/>
        </w:rPr>
        <w:t>of the Judicial</w:t>
      </w:r>
      <w:r w:rsidR="00277E12" w:rsidRPr="00A50E4D">
        <w:rPr>
          <w:rFonts w:cs="Times New Roman"/>
          <w:spacing w:val="-4"/>
          <w:sz w:val="18"/>
          <w:szCs w:val="18"/>
          <w:lang w:val="en-US"/>
        </w:rPr>
        <w:t xml:space="preserve"> Service Act</w:t>
      </w:r>
      <w:r w:rsidR="009808C5" w:rsidRPr="00A50E4D">
        <w:rPr>
          <w:rFonts w:cs="Times New Roman"/>
          <w:spacing w:val="-4"/>
          <w:sz w:val="18"/>
          <w:szCs w:val="18"/>
          <w:lang w:val="en-US"/>
        </w:rPr>
        <w:t xml:space="preserve"> and </w:t>
      </w:r>
      <w:r w:rsidR="00B310E0" w:rsidRPr="00A50E4D">
        <w:rPr>
          <w:rFonts w:cs="Times New Roman"/>
          <w:spacing w:val="-4"/>
          <w:sz w:val="18"/>
          <w:szCs w:val="18"/>
          <w:lang w:val="en-US"/>
        </w:rPr>
        <w:t>172</w:t>
      </w:r>
      <w:r w:rsidRPr="00A50E4D">
        <w:rPr>
          <w:rFonts w:cs="Times New Roman"/>
          <w:spacing w:val="-4"/>
          <w:sz w:val="18"/>
          <w:szCs w:val="18"/>
          <w:lang w:val="en-US"/>
        </w:rPr>
        <w:t>(</w:t>
      </w:r>
      <w:r w:rsidR="00930C85" w:rsidRPr="00A50E4D">
        <w:rPr>
          <w:rFonts w:cs="Times New Roman"/>
          <w:spacing w:val="-4"/>
          <w:sz w:val="18"/>
          <w:szCs w:val="18"/>
          <w:lang w:val="en-US"/>
        </w:rPr>
        <w:t>b)</w:t>
      </w:r>
      <w:r w:rsidR="009808C5" w:rsidRPr="00A50E4D">
        <w:rPr>
          <w:rFonts w:cs="Times New Roman"/>
          <w:spacing w:val="-4"/>
          <w:sz w:val="18"/>
          <w:szCs w:val="18"/>
          <w:lang w:val="en-US"/>
        </w:rPr>
        <w:t xml:space="preserve"> of the </w:t>
      </w:r>
      <w:r w:rsidRPr="00A50E4D">
        <w:rPr>
          <w:rFonts w:cs="Times New Roman"/>
          <w:spacing w:val="-4"/>
          <w:sz w:val="18"/>
          <w:szCs w:val="18"/>
          <w:lang w:val="en-US"/>
        </w:rPr>
        <w:t>Regulations governing</w:t>
      </w:r>
      <w:r w:rsidR="004D0F32" w:rsidRPr="00A50E4D">
        <w:rPr>
          <w:rFonts w:eastAsia="HiddenHorzOCR" w:cs="HiddenHorzOCR"/>
          <w:spacing w:val="-4"/>
          <w:sz w:val="18"/>
          <w:szCs w:val="18"/>
          <w:lang w:val="en-US"/>
        </w:rPr>
        <w:t xml:space="preserve"> the Judicial</w:t>
      </w:r>
      <w:r w:rsidR="00277E12" w:rsidRPr="00A50E4D">
        <w:rPr>
          <w:rFonts w:eastAsia="HiddenHorzOCR" w:cs="HiddenHorzOCR"/>
          <w:spacing w:val="-4"/>
          <w:sz w:val="18"/>
          <w:szCs w:val="18"/>
          <w:lang w:val="en-US"/>
        </w:rPr>
        <w:t xml:space="preserve"> Service Act</w:t>
      </w:r>
      <w:r w:rsidR="00930C85" w:rsidRPr="00A50E4D">
        <w:rPr>
          <w:rFonts w:cs="Times New Roman"/>
          <w:spacing w:val="-4"/>
          <w:sz w:val="18"/>
          <w:szCs w:val="18"/>
          <w:lang w:val="en-US"/>
        </w:rPr>
        <w:t xml:space="preserve">, </w:t>
      </w:r>
      <w:r w:rsidR="00B310E0" w:rsidRPr="00A50E4D">
        <w:rPr>
          <w:rFonts w:cs="Times New Roman"/>
          <w:spacing w:val="-4"/>
          <w:sz w:val="18"/>
          <w:szCs w:val="18"/>
          <w:lang w:val="en-US"/>
        </w:rPr>
        <w:t xml:space="preserve">by </w:t>
      </w:r>
      <w:r w:rsidRPr="00A50E4D">
        <w:rPr>
          <w:rFonts w:cs="Times New Roman"/>
          <w:spacing w:val="-4"/>
          <w:sz w:val="18"/>
          <w:szCs w:val="18"/>
          <w:lang w:val="en-US"/>
        </w:rPr>
        <w:t xml:space="preserve">uttering offensive or slanderous opinions against the institutions or against any public official or employee. However, </w:t>
      </w:r>
      <w:r w:rsidR="00B310E0" w:rsidRPr="00A50E4D">
        <w:rPr>
          <w:rFonts w:cs="Times New Roman"/>
          <w:spacing w:val="-4"/>
          <w:sz w:val="18"/>
          <w:szCs w:val="18"/>
          <w:lang w:val="en-US"/>
        </w:rPr>
        <w:t>no evidence has been provided</w:t>
      </w:r>
      <w:r w:rsidR="000A786A" w:rsidRPr="00A50E4D">
        <w:rPr>
          <w:rFonts w:cs="Times New Roman"/>
          <w:spacing w:val="-4"/>
          <w:sz w:val="18"/>
          <w:szCs w:val="18"/>
          <w:lang w:val="en-US"/>
        </w:rPr>
        <w:t xml:space="preserve"> that the </w:t>
      </w:r>
      <w:r w:rsidR="00B310E0" w:rsidRPr="00A50E4D">
        <w:rPr>
          <w:rFonts w:cs="Times New Roman"/>
          <w:spacing w:val="-4"/>
          <w:sz w:val="18"/>
          <w:szCs w:val="18"/>
          <w:lang w:val="en-US"/>
        </w:rPr>
        <w:t>conduct</w:t>
      </w:r>
      <w:r w:rsidRPr="00A50E4D">
        <w:rPr>
          <w:rFonts w:cs="Times New Roman"/>
          <w:spacing w:val="-4"/>
          <w:sz w:val="18"/>
          <w:szCs w:val="18"/>
          <w:lang w:val="en-US"/>
        </w:rPr>
        <w:t xml:space="preserve"> of [Mr. Chévez) occurred as a result of his </w:t>
      </w:r>
      <w:r w:rsidR="00B310E0" w:rsidRPr="00A50E4D">
        <w:rPr>
          <w:rFonts w:cs="Times New Roman"/>
          <w:spacing w:val="-4"/>
          <w:sz w:val="18"/>
          <w:szCs w:val="18"/>
          <w:lang w:val="en-US"/>
        </w:rPr>
        <w:t>judicial tasks</w:t>
      </w:r>
      <w:r w:rsidRPr="00A50E4D">
        <w:rPr>
          <w:rFonts w:cs="Times New Roman"/>
          <w:spacing w:val="-4"/>
          <w:sz w:val="18"/>
          <w:szCs w:val="18"/>
          <w:lang w:val="en-US"/>
        </w:rPr>
        <w:t xml:space="preserve">, or </w:t>
      </w:r>
      <w:r w:rsidR="00B310E0" w:rsidRPr="00A50E4D">
        <w:rPr>
          <w:rFonts w:cs="Times New Roman"/>
          <w:spacing w:val="-4"/>
          <w:sz w:val="18"/>
          <w:szCs w:val="18"/>
          <w:lang w:val="en-US"/>
        </w:rPr>
        <w:t xml:space="preserve">with regard to </w:t>
      </w:r>
      <w:r w:rsidRPr="00A50E4D">
        <w:rPr>
          <w:rFonts w:cs="Times New Roman"/>
          <w:spacing w:val="-4"/>
          <w:sz w:val="18"/>
          <w:szCs w:val="18"/>
          <w:lang w:val="en-US"/>
        </w:rPr>
        <w:t>the content of the deleterious or coarse language that offended his colleagues. Also, based on t</w:t>
      </w:r>
      <w:r w:rsidR="00B310E0" w:rsidRPr="00A50E4D">
        <w:rPr>
          <w:rFonts w:cs="Times New Roman"/>
          <w:spacing w:val="-4"/>
          <w:sz w:val="18"/>
          <w:szCs w:val="18"/>
          <w:lang w:val="en-US"/>
        </w:rPr>
        <w:t>he principle of proportionality</w:t>
      </w:r>
      <w:r w:rsidRPr="00A50E4D">
        <w:rPr>
          <w:rFonts w:cs="Times New Roman"/>
          <w:spacing w:val="-4"/>
          <w:sz w:val="18"/>
          <w:szCs w:val="18"/>
          <w:lang w:val="en-US"/>
        </w:rPr>
        <w:t xml:space="preserve"> that inspires all labor laws, there </w:t>
      </w:r>
      <w:r w:rsidR="00B310E0" w:rsidRPr="00A50E4D">
        <w:rPr>
          <w:rFonts w:cs="Times New Roman"/>
          <w:spacing w:val="-4"/>
          <w:sz w:val="18"/>
          <w:szCs w:val="18"/>
          <w:lang w:val="en-US"/>
        </w:rPr>
        <w:t>must</w:t>
      </w:r>
      <w:r w:rsidRPr="00A50E4D">
        <w:rPr>
          <w:rFonts w:cs="Times New Roman"/>
          <w:spacing w:val="-4"/>
          <w:sz w:val="18"/>
          <w:szCs w:val="18"/>
          <w:lang w:val="en-US"/>
        </w:rPr>
        <w:t xml:space="preserve"> be a correlation between the offense com</w:t>
      </w:r>
      <w:r w:rsidR="00B310E0" w:rsidRPr="00A50E4D">
        <w:rPr>
          <w:rFonts w:cs="Times New Roman"/>
          <w:spacing w:val="-4"/>
          <w:sz w:val="18"/>
          <w:szCs w:val="18"/>
          <w:lang w:val="en-US"/>
        </w:rPr>
        <w:t xml:space="preserve">mitted and the sanction imposed. Thus, </w:t>
      </w:r>
      <w:r w:rsidRPr="00A50E4D">
        <w:rPr>
          <w:rFonts w:cs="Times New Roman"/>
          <w:spacing w:val="-4"/>
          <w:sz w:val="18"/>
          <w:szCs w:val="18"/>
          <w:lang w:val="en-US"/>
        </w:rPr>
        <w:t xml:space="preserve">the institution must prove that the judicial officer has committed an offense </w:t>
      </w:r>
      <w:r w:rsidR="00B310E0" w:rsidRPr="00A50E4D">
        <w:rPr>
          <w:rFonts w:cs="Times New Roman"/>
          <w:spacing w:val="-4"/>
          <w:sz w:val="18"/>
          <w:szCs w:val="18"/>
          <w:lang w:val="en-US"/>
        </w:rPr>
        <w:t>so serious in nature that</w:t>
      </w:r>
      <w:r w:rsidRPr="00A50E4D">
        <w:rPr>
          <w:rFonts w:cs="Times New Roman"/>
          <w:spacing w:val="-4"/>
          <w:sz w:val="18"/>
          <w:szCs w:val="18"/>
          <w:lang w:val="en-US"/>
        </w:rPr>
        <w:t xml:space="preserve"> it is impossible to continue the relationship </w:t>
      </w:r>
      <w:r w:rsidR="00B310E0" w:rsidRPr="00A50E4D">
        <w:rPr>
          <w:rFonts w:cs="Times New Roman"/>
          <w:spacing w:val="-4"/>
          <w:sz w:val="18"/>
          <w:szCs w:val="18"/>
          <w:lang w:val="en-US"/>
        </w:rPr>
        <w:t xml:space="preserve">due </w:t>
      </w:r>
      <w:r w:rsidRPr="00A50E4D">
        <w:rPr>
          <w:rFonts w:cs="Times New Roman"/>
          <w:spacing w:val="-4"/>
          <w:sz w:val="18"/>
          <w:szCs w:val="18"/>
          <w:lang w:val="en-US"/>
        </w:rPr>
        <w:t xml:space="preserve">to the harm that </w:t>
      </w:r>
      <w:r w:rsidR="00B310E0" w:rsidRPr="00A50E4D">
        <w:rPr>
          <w:rFonts w:cs="Times New Roman"/>
          <w:spacing w:val="-4"/>
          <w:sz w:val="18"/>
          <w:szCs w:val="18"/>
          <w:lang w:val="en-US"/>
        </w:rPr>
        <w:t>his</w:t>
      </w:r>
      <w:r w:rsidRPr="00A50E4D">
        <w:rPr>
          <w:rFonts w:cs="Times New Roman"/>
          <w:spacing w:val="-4"/>
          <w:sz w:val="18"/>
          <w:szCs w:val="18"/>
          <w:lang w:val="en-US"/>
        </w:rPr>
        <w:t xml:space="preserve"> irregular action </w:t>
      </w:r>
      <w:r w:rsidR="00B310E0" w:rsidRPr="00A50E4D">
        <w:rPr>
          <w:rFonts w:cs="Times New Roman"/>
          <w:spacing w:val="-4"/>
          <w:sz w:val="18"/>
          <w:szCs w:val="18"/>
          <w:lang w:val="en-US"/>
        </w:rPr>
        <w:t>would cause</w:t>
      </w:r>
      <w:r w:rsidRPr="00A50E4D">
        <w:rPr>
          <w:rFonts w:cs="Times New Roman"/>
          <w:spacing w:val="-4"/>
          <w:sz w:val="18"/>
          <w:szCs w:val="18"/>
          <w:lang w:val="en-US"/>
        </w:rPr>
        <w:t xml:space="preserve"> to the population</w:t>
      </w:r>
      <w:r w:rsidR="00B310E0" w:rsidRPr="00A50E4D">
        <w:rPr>
          <w:rFonts w:cs="Times New Roman"/>
          <w:spacing w:val="-4"/>
          <w:sz w:val="18"/>
          <w:szCs w:val="18"/>
          <w:lang w:val="en-US"/>
        </w:rPr>
        <w:t>,</w:t>
      </w:r>
      <w:r w:rsidRPr="00A50E4D">
        <w:rPr>
          <w:rFonts w:cs="Times New Roman"/>
          <w:spacing w:val="-4"/>
          <w:sz w:val="18"/>
          <w:szCs w:val="18"/>
          <w:lang w:val="en-US"/>
        </w:rPr>
        <w:t xml:space="preserve"> and that</w:t>
      </w:r>
      <w:r w:rsidR="00B310E0" w:rsidRPr="00A50E4D">
        <w:rPr>
          <w:rFonts w:cs="Times New Roman"/>
          <w:spacing w:val="-4"/>
          <w:sz w:val="18"/>
          <w:szCs w:val="18"/>
          <w:lang w:val="en-US"/>
        </w:rPr>
        <w:t xml:space="preserve"> the offense</w:t>
      </w:r>
      <w:r w:rsidRPr="00A50E4D">
        <w:rPr>
          <w:rFonts w:cs="Times New Roman"/>
          <w:spacing w:val="-4"/>
          <w:sz w:val="18"/>
          <w:szCs w:val="18"/>
          <w:lang w:val="en-US"/>
        </w:rPr>
        <w:t xml:space="preserve"> is expressly cited in the </w:t>
      </w:r>
      <w:r w:rsidR="00530463" w:rsidRPr="00A50E4D">
        <w:rPr>
          <w:rFonts w:cs="Times New Roman"/>
          <w:spacing w:val="-4"/>
          <w:sz w:val="18"/>
          <w:szCs w:val="18"/>
          <w:lang w:val="en-US"/>
        </w:rPr>
        <w:t>rules of procedure</w:t>
      </w:r>
      <w:r w:rsidR="00FF35A9" w:rsidRPr="00A50E4D">
        <w:rPr>
          <w:rFonts w:cs="Times New Roman"/>
          <w:spacing w:val="-4"/>
          <w:sz w:val="18"/>
          <w:szCs w:val="18"/>
          <w:lang w:val="en-US"/>
        </w:rPr>
        <w:t xml:space="preserve"> of</w:t>
      </w:r>
      <w:r w:rsidR="00B310E0" w:rsidRPr="00A50E4D">
        <w:rPr>
          <w:rFonts w:cs="Times New Roman"/>
          <w:spacing w:val="-4"/>
          <w:sz w:val="18"/>
          <w:szCs w:val="18"/>
          <w:lang w:val="en-US"/>
        </w:rPr>
        <w:t xml:space="preserve"> the Judicial Service as warranting dismissal. Accordingly,</w:t>
      </w:r>
      <w:r w:rsidRPr="00A50E4D">
        <w:rPr>
          <w:rFonts w:cs="Times New Roman"/>
          <w:spacing w:val="-4"/>
          <w:sz w:val="18"/>
          <w:szCs w:val="18"/>
          <w:lang w:val="en-US"/>
        </w:rPr>
        <w:t xml:space="preserve"> what should </w:t>
      </w:r>
      <w:r w:rsidR="00B310E0" w:rsidRPr="00A50E4D">
        <w:rPr>
          <w:rFonts w:cs="Times New Roman"/>
          <w:spacing w:val="-4"/>
          <w:sz w:val="18"/>
          <w:szCs w:val="18"/>
          <w:lang w:val="en-US"/>
        </w:rPr>
        <w:t xml:space="preserve">have </w:t>
      </w:r>
      <w:r w:rsidRPr="00A50E4D">
        <w:rPr>
          <w:rFonts w:cs="Times New Roman"/>
          <w:spacing w:val="-4"/>
          <w:sz w:val="18"/>
          <w:szCs w:val="18"/>
          <w:lang w:val="en-US"/>
        </w:rPr>
        <w:t>be</w:t>
      </w:r>
      <w:r w:rsidR="00B310E0" w:rsidRPr="00A50E4D">
        <w:rPr>
          <w:rFonts w:cs="Times New Roman"/>
          <w:spacing w:val="-4"/>
          <w:sz w:val="18"/>
          <w:szCs w:val="18"/>
          <w:lang w:val="en-US"/>
        </w:rPr>
        <w:t>en</w:t>
      </w:r>
      <w:r w:rsidRPr="00A50E4D">
        <w:rPr>
          <w:rFonts w:cs="Times New Roman"/>
          <w:spacing w:val="-4"/>
          <w:sz w:val="18"/>
          <w:szCs w:val="18"/>
          <w:lang w:val="en-US"/>
        </w:rPr>
        <w:t xml:space="preserve"> done was to impose on the appellant </w:t>
      </w:r>
      <w:r w:rsidR="00B310E0" w:rsidRPr="00A50E4D">
        <w:rPr>
          <w:rFonts w:cs="Times New Roman"/>
          <w:spacing w:val="-4"/>
          <w:sz w:val="18"/>
          <w:szCs w:val="18"/>
          <w:lang w:val="en-US"/>
        </w:rPr>
        <w:t>one</w:t>
      </w:r>
      <w:r w:rsidRPr="00A50E4D">
        <w:rPr>
          <w:rFonts w:cs="Times New Roman"/>
          <w:spacing w:val="-4"/>
          <w:sz w:val="18"/>
          <w:szCs w:val="18"/>
          <w:lang w:val="en-US"/>
        </w:rPr>
        <w:t xml:space="preserve"> of the disciplinary sanctions established in</w:t>
      </w:r>
      <w:r w:rsidR="00930C85" w:rsidRPr="00A50E4D">
        <w:rPr>
          <w:rFonts w:cs="Times New Roman"/>
          <w:spacing w:val="-4"/>
          <w:sz w:val="18"/>
          <w:szCs w:val="18"/>
          <w:lang w:val="en-US"/>
        </w:rPr>
        <w:t xml:space="preserve"> </w:t>
      </w:r>
      <w:r w:rsidRPr="00A50E4D">
        <w:rPr>
          <w:rFonts w:cs="Times New Roman"/>
          <w:spacing w:val="-4"/>
          <w:sz w:val="18"/>
          <w:szCs w:val="18"/>
          <w:lang w:val="en-US"/>
        </w:rPr>
        <w:t>a</w:t>
      </w:r>
      <w:r w:rsidR="009808C5" w:rsidRPr="00A50E4D">
        <w:rPr>
          <w:rFonts w:cs="Times New Roman"/>
          <w:spacing w:val="-4"/>
          <w:sz w:val="18"/>
          <w:szCs w:val="18"/>
          <w:lang w:val="en-US"/>
        </w:rPr>
        <w:t>rticle</w:t>
      </w:r>
      <w:r w:rsidR="00930C85" w:rsidRPr="00A50E4D">
        <w:rPr>
          <w:rFonts w:cs="Times New Roman"/>
          <w:spacing w:val="-4"/>
          <w:sz w:val="18"/>
          <w:szCs w:val="18"/>
          <w:lang w:val="en-US"/>
        </w:rPr>
        <w:t xml:space="preserve"> 56 </w:t>
      </w:r>
      <w:r w:rsidR="004D0F32" w:rsidRPr="00A50E4D">
        <w:rPr>
          <w:rFonts w:cs="Times New Roman"/>
          <w:spacing w:val="-4"/>
          <w:sz w:val="18"/>
          <w:szCs w:val="18"/>
          <w:lang w:val="en-US"/>
        </w:rPr>
        <w:t>of the Judicial</w:t>
      </w:r>
      <w:r w:rsidR="00277E12" w:rsidRPr="00A50E4D">
        <w:rPr>
          <w:rFonts w:cs="Times New Roman"/>
          <w:spacing w:val="-4"/>
          <w:sz w:val="18"/>
          <w:szCs w:val="18"/>
          <w:lang w:val="en-US"/>
        </w:rPr>
        <w:t xml:space="preserve"> Service Act</w:t>
      </w:r>
      <w:r w:rsidRPr="00A50E4D">
        <w:rPr>
          <w:rFonts w:cs="Times New Roman"/>
          <w:spacing w:val="-4"/>
          <w:sz w:val="18"/>
          <w:szCs w:val="18"/>
          <w:lang w:val="en-US"/>
        </w:rPr>
        <w:t>, such as</w:t>
      </w:r>
      <w:r w:rsidR="00930C85" w:rsidRPr="00A50E4D">
        <w:rPr>
          <w:rFonts w:cs="Times New Roman"/>
          <w:spacing w:val="-4"/>
          <w:sz w:val="18"/>
          <w:szCs w:val="18"/>
          <w:lang w:val="en-US"/>
        </w:rPr>
        <w:t xml:space="preserve"> […] </w:t>
      </w:r>
      <w:r w:rsidRPr="00A50E4D">
        <w:rPr>
          <w:rFonts w:cs="Times New Roman"/>
          <w:spacing w:val="-4"/>
          <w:sz w:val="18"/>
          <w:szCs w:val="18"/>
          <w:lang w:val="en-US"/>
        </w:rPr>
        <w:t>a fine or suspension, but not dismissal</w:t>
      </w:r>
      <w:r w:rsidR="00B310E0" w:rsidRPr="00A50E4D">
        <w:rPr>
          <w:rFonts w:cs="Times New Roman"/>
          <w:spacing w:val="-4"/>
          <w:sz w:val="18"/>
          <w:szCs w:val="18"/>
          <w:lang w:val="en-US"/>
        </w:rPr>
        <w:t>, which is the maximum sanction;</w:t>
      </w:r>
      <w:r w:rsidRPr="00A50E4D">
        <w:rPr>
          <w:rFonts w:cs="Times New Roman"/>
          <w:spacing w:val="-4"/>
          <w:sz w:val="18"/>
          <w:szCs w:val="18"/>
          <w:lang w:val="en-US"/>
        </w:rPr>
        <w:t xml:space="preserve"> especially if it is considered that this measure entails</w:t>
      </w:r>
      <w:r w:rsidR="00B310E0" w:rsidRPr="00A50E4D">
        <w:rPr>
          <w:rFonts w:cs="Times New Roman"/>
          <w:spacing w:val="-4"/>
          <w:sz w:val="18"/>
          <w:szCs w:val="18"/>
          <w:lang w:val="en-US"/>
        </w:rPr>
        <w:t xml:space="preserve"> grave prejudice</w:t>
      </w:r>
      <w:r w:rsidRPr="00A50E4D">
        <w:rPr>
          <w:rFonts w:cs="Times New Roman"/>
          <w:spacing w:val="-4"/>
          <w:sz w:val="18"/>
          <w:szCs w:val="18"/>
          <w:lang w:val="en-US"/>
        </w:rPr>
        <w:t xml:space="preserve"> for a judicial officer, by depriving him of his only means of subsistence. In addition, it is necessary to take into account the nature of the offense, the functions performed by the </w:t>
      </w:r>
      <w:r w:rsidR="000A786A" w:rsidRPr="00A50E4D">
        <w:rPr>
          <w:rFonts w:cs="Times New Roman"/>
          <w:spacing w:val="-4"/>
          <w:sz w:val="18"/>
          <w:szCs w:val="18"/>
          <w:lang w:val="en-US"/>
        </w:rPr>
        <w:t>offender</w:t>
      </w:r>
      <w:r w:rsidRPr="00A50E4D">
        <w:rPr>
          <w:rFonts w:cs="Times New Roman"/>
          <w:spacing w:val="-4"/>
          <w:sz w:val="18"/>
          <w:szCs w:val="18"/>
          <w:lang w:val="en-US"/>
        </w:rPr>
        <w:t xml:space="preserve">, his degree of participation in the offense, and his </w:t>
      </w:r>
      <w:r w:rsidR="00B310E0" w:rsidRPr="00A50E4D">
        <w:rPr>
          <w:rFonts w:cs="Times New Roman"/>
          <w:spacing w:val="-4"/>
          <w:sz w:val="18"/>
          <w:szCs w:val="18"/>
          <w:lang w:val="en-US"/>
        </w:rPr>
        <w:t>appraisal</w:t>
      </w:r>
      <w:r w:rsidRPr="00A50E4D">
        <w:rPr>
          <w:rFonts w:cs="Times New Roman"/>
          <w:spacing w:val="-4"/>
          <w:sz w:val="18"/>
          <w:szCs w:val="18"/>
          <w:lang w:val="en-US"/>
        </w:rPr>
        <w:t xml:space="preserve"> </w:t>
      </w:r>
      <w:r w:rsidR="009808C5" w:rsidRPr="00A50E4D">
        <w:rPr>
          <w:rFonts w:cs="Times New Roman"/>
          <w:spacing w:val="-4"/>
          <w:sz w:val="18"/>
          <w:szCs w:val="18"/>
          <w:lang w:val="en-US"/>
        </w:rPr>
        <w:t xml:space="preserve">and </w:t>
      </w:r>
      <w:r w:rsidR="00930C85" w:rsidRPr="00A50E4D">
        <w:rPr>
          <w:rFonts w:cs="Times New Roman"/>
          <w:spacing w:val="-4"/>
          <w:sz w:val="18"/>
          <w:szCs w:val="18"/>
          <w:lang w:val="en-US"/>
        </w:rPr>
        <w:t>sanc</w:t>
      </w:r>
      <w:r w:rsidRPr="00A50E4D">
        <w:rPr>
          <w:rFonts w:cs="Times New Roman"/>
          <w:spacing w:val="-4"/>
          <w:sz w:val="18"/>
          <w:szCs w:val="18"/>
          <w:lang w:val="en-US"/>
        </w:rPr>
        <w:t>tions</w:t>
      </w:r>
      <w:r w:rsidR="00B310E0" w:rsidRPr="00A50E4D">
        <w:rPr>
          <w:rFonts w:cs="Times New Roman"/>
          <w:spacing w:val="-4"/>
          <w:sz w:val="18"/>
          <w:szCs w:val="18"/>
          <w:lang w:val="en-US"/>
        </w:rPr>
        <w:t xml:space="preserve"> record,</w:t>
      </w:r>
      <w:r w:rsidR="009808C5" w:rsidRPr="00A50E4D">
        <w:rPr>
          <w:rFonts w:cs="Times New Roman"/>
          <w:spacing w:val="-4"/>
          <w:sz w:val="18"/>
          <w:szCs w:val="18"/>
          <w:lang w:val="en-US"/>
        </w:rPr>
        <w:t xml:space="preserve"> and </w:t>
      </w:r>
      <w:r w:rsidRPr="00A50E4D">
        <w:rPr>
          <w:rFonts w:cs="Times New Roman"/>
          <w:spacing w:val="-4"/>
          <w:sz w:val="18"/>
          <w:szCs w:val="18"/>
          <w:lang w:val="en-US"/>
        </w:rPr>
        <w:t xml:space="preserve">the respondent did not provide any evidence concerning the conduct of the official in the course of his jurisdictional </w:t>
      </w:r>
      <w:r w:rsidR="000A786A" w:rsidRPr="00A50E4D">
        <w:rPr>
          <w:rFonts w:cs="Times New Roman"/>
          <w:spacing w:val="-4"/>
          <w:sz w:val="18"/>
          <w:szCs w:val="18"/>
          <w:lang w:val="en-US"/>
        </w:rPr>
        <w:t>activities</w:t>
      </w:r>
      <w:r w:rsidRPr="00A50E4D">
        <w:rPr>
          <w:rFonts w:cs="Times New Roman"/>
          <w:spacing w:val="-4"/>
          <w:sz w:val="18"/>
          <w:szCs w:val="18"/>
          <w:lang w:val="en-US"/>
        </w:rPr>
        <w:t>.</w:t>
      </w:r>
      <w:r w:rsidR="00930C85" w:rsidRPr="00A50E4D">
        <w:rPr>
          <w:rStyle w:val="FootnoteReference"/>
          <w:rFonts w:cs="Arial"/>
          <w:spacing w:val="-4"/>
          <w:sz w:val="18"/>
          <w:szCs w:val="18"/>
          <w:lang w:val="en-US"/>
        </w:rPr>
        <w:footnoteReference w:id="250"/>
      </w:r>
    </w:p>
    <w:p w14:paraId="729F39E0" w14:textId="77777777" w:rsidR="00930C85" w:rsidRPr="00A50E4D" w:rsidRDefault="00930C85" w:rsidP="00930C85">
      <w:pPr>
        <w:autoSpaceDE w:val="0"/>
        <w:autoSpaceDN w:val="0"/>
        <w:adjustRightInd w:val="0"/>
        <w:ind w:left="567" w:right="544"/>
        <w:rPr>
          <w:rFonts w:cs="Times New Roman"/>
          <w:spacing w:val="-4"/>
          <w:sz w:val="16"/>
          <w:szCs w:val="16"/>
          <w:lang w:val="en-US"/>
        </w:rPr>
      </w:pPr>
    </w:p>
    <w:p w14:paraId="617C2CBA" w14:textId="30E39DBF" w:rsidR="00930C85" w:rsidRPr="00A50E4D" w:rsidRDefault="00930C85" w:rsidP="00930C85">
      <w:pPr>
        <w:pStyle w:val="PrrafodeSentencia"/>
        <w:rPr>
          <w:lang w:val="en-US"/>
        </w:rPr>
      </w:pPr>
      <w:r w:rsidRPr="00A50E4D">
        <w:rPr>
          <w:lang w:val="en-US"/>
        </w:rPr>
        <w:t xml:space="preserve"> </w:t>
      </w:r>
      <w:bookmarkStart w:id="193" w:name="_Ref426373810"/>
      <w:r w:rsidRPr="00A50E4D">
        <w:rPr>
          <w:lang w:val="en-US"/>
        </w:rPr>
        <w:t>N</w:t>
      </w:r>
      <w:r w:rsidR="006A228E" w:rsidRPr="00A50E4D">
        <w:rPr>
          <w:lang w:val="en-US"/>
        </w:rPr>
        <w:t xml:space="preserve">evertheless, the Council refused to reinstate </w:t>
      </w:r>
      <w:r w:rsidR="00DA4F82" w:rsidRPr="00A50E4D">
        <w:rPr>
          <w:lang w:val="en-US"/>
        </w:rPr>
        <w:t>Mr.</w:t>
      </w:r>
      <w:r w:rsidRPr="00A50E4D">
        <w:rPr>
          <w:lang w:val="en-US"/>
        </w:rPr>
        <w:t xml:space="preserve"> </w:t>
      </w:r>
      <w:r w:rsidR="009A7056" w:rsidRPr="00A50E4D">
        <w:rPr>
          <w:lang w:val="en-US"/>
        </w:rPr>
        <w:t>Chévez de la Rocha</w:t>
      </w:r>
      <w:r w:rsidR="006E1430" w:rsidRPr="00A50E4D">
        <w:rPr>
          <w:lang w:val="en-US"/>
        </w:rPr>
        <w:t xml:space="preserve"> </w:t>
      </w:r>
      <w:r w:rsidR="006A228E" w:rsidRPr="00A50E4D">
        <w:rPr>
          <w:lang w:val="en-US"/>
        </w:rPr>
        <w:t>because</w:t>
      </w:r>
      <w:r w:rsidRPr="00A50E4D">
        <w:rPr>
          <w:lang w:val="en-US"/>
        </w:rPr>
        <w:t xml:space="preserve">: </w:t>
      </w:r>
      <w:r w:rsidR="006A228E" w:rsidRPr="00A50E4D">
        <w:rPr>
          <w:lang w:val="en-US"/>
        </w:rPr>
        <w:t>(</w:t>
      </w:r>
      <w:r w:rsidRPr="00A50E4D">
        <w:rPr>
          <w:lang w:val="en-US"/>
        </w:rPr>
        <w:t xml:space="preserve">i) </w:t>
      </w:r>
      <w:r w:rsidR="006A228E" w:rsidRPr="00A50E4D">
        <w:rPr>
          <w:lang w:val="en-US"/>
        </w:rPr>
        <w:t xml:space="preserve">it considered proved that Mr. </w:t>
      </w:r>
      <w:r w:rsidRPr="00A50E4D">
        <w:rPr>
          <w:lang w:val="en-US"/>
        </w:rPr>
        <w:t>Chévez “</w:t>
      </w:r>
      <w:r w:rsidR="00B310E0" w:rsidRPr="00A50E4D">
        <w:rPr>
          <w:lang w:val="en-US"/>
        </w:rPr>
        <w:t>felt</w:t>
      </w:r>
      <w:r w:rsidR="006A228E" w:rsidRPr="00A50E4D">
        <w:rPr>
          <w:lang w:val="en-US"/>
        </w:rPr>
        <w:t xml:space="preserve"> ashamed of </w:t>
      </w:r>
      <w:r w:rsidR="000A786A" w:rsidRPr="00A50E4D">
        <w:rPr>
          <w:lang w:val="en-US"/>
        </w:rPr>
        <w:t>belonging</w:t>
      </w:r>
      <w:r w:rsidR="006A228E" w:rsidRPr="00A50E4D">
        <w:rPr>
          <w:lang w:val="en-US"/>
        </w:rPr>
        <w:t xml:space="preserve"> to the Judiciary and</w:t>
      </w:r>
      <w:r w:rsidR="00B310E0" w:rsidRPr="00A50E4D">
        <w:rPr>
          <w:lang w:val="en-US"/>
        </w:rPr>
        <w:t>,</w:t>
      </w:r>
      <w:r w:rsidR="006A228E" w:rsidRPr="00A50E4D">
        <w:rPr>
          <w:lang w:val="en-US"/>
        </w:rPr>
        <w:t xml:space="preserve"> if he is employed in the Judiciary</w:t>
      </w:r>
      <w:r w:rsidR="00B310E0" w:rsidRPr="00A50E4D">
        <w:rPr>
          <w:lang w:val="en-US"/>
        </w:rPr>
        <w:t>,</w:t>
      </w:r>
      <w:r w:rsidR="006A228E" w:rsidRPr="00A50E4D">
        <w:rPr>
          <w:lang w:val="en-US"/>
        </w:rPr>
        <w:t xml:space="preserve"> this is by necessity and, in view of such opinions of inconformity, it is not desirable for </w:t>
      </w:r>
      <w:r w:rsidR="002E7066" w:rsidRPr="00A50E4D">
        <w:rPr>
          <w:lang w:val="en-US"/>
        </w:rPr>
        <w:t>either</w:t>
      </w:r>
      <w:r w:rsidR="006A228E" w:rsidRPr="00A50E4D">
        <w:rPr>
          <w:lang w:val="en-US"/>
        </w:rPr>
        <w:t xml:space="preserve"> of the parties to continue the employment relationship,” and (2) it considered that “there was no possibility of reinstating him, because his substitute had been appointed on September 13,</w:t>
      </w:r>
      <w:r w:rsidRPr="00A50E4D">
        <w:rPr>
          <w:lang w:val="en-US"/>
        </w:rPr>
        <w:t xml:space="preserve"> 2010</w:t>
      </w:r>
      <w:r w:rsidR="006A228E" w:rsidRPr="00A50E4D">
        <w:rPr>
          <w:lang w:val="en-US"/>
        </w:rPr>
        <w:t>.</w:t>
      </w:r>
      <w:r w:rsidRPr="00A50E4D">
        <w:rPr>
          <w:rStyle w:val="FootnoteReference"/>
          <w:rFonts w:cs="Arial"/>
          <w:sz w:val="20"/>
          <w:szCs w:val="20"/>
          <w:lang w:val="en-US"/>
        </w:rPr>
        <w:footnoteReference w:id="251"/>
      </w:r>
      <w:r w:rsidRPr="00A50E4D">
        <w:rPr>
          <w:lang w:val="en-US"/>
        </w:rPr>
        <w:t xml:space="preserve"> </w:t>
      </w:r>
      <w:r w:rsidR="006A228E" w:rsidRPr="00A50E4D">
        <w:rPr>
          <w:lang w:val="en-US"/>
        </w:rPr>
        <w:t xml:space="preserve">Consequently, the Council decided to compensate Mr. </w:t>
      </w:r>
      <w:r w:rsidRPr="00A50E4D">
        <w:rPr>
          <w:lang w:val="en-US"/>
        </w:rPr>
        <w:t>Chévez</w:t>
      </w:r>
      <w:r w:rsidR="006A228E" w:rsidRPr="00A50E4D">
        <w:rPr>
          <w:lang w:val="en-US"/>
        </w:rPr>
        <w:t>.</w:t>
      </w:r>
      <w:r w:rsidRPr="00A50E4D">
        <w:rPr>
          <w:rStyle w:val="FootnoteReference"/>
          <w:rFonts w:cs="Arial"/>
          <w:sz w:val="20"/>
          <w:szCs w:val="20"/>
          <w:lang w:val="en-US"/>
        </w:rPr>
        <w:footnoteReference w:id="252"/>
      </w:r>
      <w:bookmarkEnd w:id="193"/>
      <w:r w:rsidRPr="00A50E4D">
        <w:rPr>
          <w:lang w:val="en-US"/>
        </w:rPr>
        <w:t xml:space="preserve"> </w:t>
      </w:r>
    </w:p>
    <w:p w14:paraId="73CCBA34" w14:textId="77777777" w:rsidR="00930C85" w:rsidRPr="00A50E4D" w:rsidRDefault="00930C85" w:rsidP="00930C85">
      <w:pPr>
        <w:pStyle w:val="NoSpacing"/>
        <w:tabs>
          <w:tab w:val="left" w:pos="567"/>
        </w:tabs>
        <w:rPr>
          <w:spacing w:val="-4"/>
          <w:szCs w:val="20"/>
          <w:lang w:val="en-US"/>
        </w:rPr>
      </w:pPr>
    </w:p>
    <w:p w14:paraId="1010468B" w14:textId="2BAE1B87" w:rsidR="00930C85" w:rsidRPr="00A50E4D" w:rsidRDefault="006A228E" w:rsidP="00930C85">
      <w:pPr>
        <w:pStyle w:val="PrrafodeSentencia"/>
        <w:rPr>
          <w:lang w:val="en-US"/>
        </w:rPr>
      </w:pPr>
      <w:bookmarkStart w:id="194" w:name="_Ref424563335"/>
      <w:r w:rsidRPr="00A50E4D">
        <w:rPr>
          <w:lang w:val="en-US"/>
        </w:rPr>
        <w:t>The sum determined by the Council was given to Mr.</w:t>
      </w:r>
      <w:r w:rsidR="00930C85" w:rsidRPr="00A50E4D">
        <w:rPr>
          <w:lang w:val="en-US"/>
        </w:rPr>
        <w:t xml:space="preserve"> Chévez </w:t>
      </w:r>
      <w:r w:rsidRPr="00A50E4D">
        <w:rPr>
          <w:lang w:val="en-US"/>
        </w:rPr>
        <w:t>on</w:t>
      </w:r>
      <w:r w:rsidR="00930C85" w:rsidRPr="00A50E4D">
        <w:rPr>
          <w:lang w:val="en-US"/>
        </w:rPr>
        <w:t xml:space="preserve"> </w:t>
      </w:r>
      <w:r w:rsidR="00502F06" w:rsidRPr="00A50E4D">
        <w:rPr>
          <w:lang w:val="en-US"/>
        </w:rPr>
        <w:t>November 23,</w:t>
      </w:r>
      <w:r w:rsidR="00930C85" w:rsidRPr="00A50E4D">
        <w:rPr>
          <w:lang w:val="en-US"/>
        </w:rPr>
        <w:t xml:space="preserve"> 2011</w:t>
      </w:r>
      <w:r w:rsidRPr="00A50E4D">
        <w:rPr>
          <w:lang w:val="en-US"/>
        </w:rPr>
        <w:t>.</w:t>
      </w:r>
      <w:r w:rsidR="00930C85" w:rsidRPr="00A50E4D">
        <w:rPr>
          <w:rStyle w:val="FootnoteReference"/>
          <w:rFonts w:cs="Arial"/>
          <w:sz w:val="20"/>
          <w:szCs w:val="20"/>
          <w:lang w:val="en-US"/>
        </w:rPr>
        <w:footnoteReference w:id="253"/>
      </w:r>
      <w:bookmarkEnd w:id="194"/>
    </w:p>
    <w:p w14:paraId="5B6EFA77" w14:textId="77777777" w:rsidR="00930C85" w:rsidRPr="00A50E4D" w:rsidRDefault="00930C85" w:rsidP="00930C85">
      <w:pPr>
        <w:pStyle w:val="NoSpacing"/>
        <w:tabs>
          <w:tab w:val="left" w:pos="567"/>
        </w:tabs>
        <w:rPr>
          <w:spacing w:val="-4"/>
          <w:szCs w:val="20"/>
          <w:lang w:val="en-US"/>
        </w:rPr>
      </w:pPr>
    </w:p>
    <w:p w14:paraId="4B8B9B5E" w14:textId="77777777" w:rsidR="00930C85" w:rsidRPr="00A50E4D" w:rsidRDefault="00930C85" w:rsidP="00930C85">
      <w:pPr>
        <w:pStyle w:val="Heading3"/>
        <w:rPr>
          <w:spacing w:val="-4"/>
          <w:szCs w:val="20"/>
          <w:lang w:val="en-US"/>
        </w:rPr>
      </w:pPr>
      <w:bookmarkStart w:id="195" w:name="_Toc424834706"/>
      <w:bookmarkStart w:id="196" w:name="_Toc431584633"/>
      <w:bookmarkStart w:id="197" w:name="_Toc471717266"/>
      <w:r w:rsidRPr="00A50E4D">
        <w:rPr>
          <w:spacing w:val="-4"/>
          <w:szCs w:val="20"/>
          <w:lang w:val="en-US"/>
        </w:rPr>
        <w:t>C.4) Ramón Enrique Barrios Maldonado</w:t>
      </w:r>
      <w:bookmarkEnd w:id="195"/>
      <w:bookmarkEnd w:id="196"/>
      <w:bookmarkEnd w:id="197"/>
    </w:p>
    <w:p w14:paraId="45D453D1" w14:textId="77777777" w:rsidR="00930C85" w:rsidRPr="00A50E4D" w:rsidRDefault="00930C85" w:rsidP="00930C85">
      <w:pPr>
        <w:pStyle w:val="NoSpacing"/>
        <w:tabs>
          <w:tab w:val="left" w:pos="567"/>
        </w:tabs>
        <w:rPr>
          <w:spacing w:val="-4"/>
          <w:szCs w:val="20"/>
          <w:lang w:val="en-US"/>
        </w:rPr>
      </w:pPr>
    </w:p>
    <w:p w14:paraId="7DA05DA0" w14:textId="291AD975" w:rsidR="00930C85" w:rsidRPr="00A50E4D" w:rsidRDefault="00930C85" w:rsidP="00930C85">
      <w:pPr>
        <w:pStyle w:val="PrrafodeSentencia"/>
        <w:rPr>
          <w:lang w:val="en-US"/>
        </w:rPr>
      </w:pPr>
      <w:bookmarkStart w:id="198" w:name="_Ref431585960"/>
      <w:r w:rsidRPr="00A50E4D">
        <w:rPr>
          <w:lang w:val="en-US"/>
        </w:rPr>
        <w:t xml:space="preserve">Ramón Enrique Barrios Maldonado </w:t>
      </w:r>
      <w:r w:rsidR="00A45777" w:rsidRPr="00A50E4D">
        <w:rPr>
          <w:lang w:val="en-US"/>
        </w:rPr>
        <w:t>was born on</w:t>
      </w:r>
      <w:r w:rsidR="0029085B" w:rsidRPr="00A50E4D">
        <w:rPr>
          <w:lang w:val="en-US"/>
        </w:rPr>
        <w:t xml:space="preserve"> May 5,</w:t>
      </w:r>
      <w:r w:rsidRPr="00A50E4D">
        <w:rPr>
          <w:lang w:val="en-US"/>
        </w:rPr>
        <w:t xml:space="preserve"> 1968</w:t>
      </w:r>
      <w:r w:rsidR="00A45777" w:rsidRPr="00A50E4D">
        <w:rPr>
          <w:lang w:val="en-US"/>
        </w:rPr>
        <w:t>.</w:t>
      </w:r>
      <w:r w:rsidRPr="00A50E4D">
        <w:rPr>
          <w:rStyle w:val="FootnoteReference"/>
          <w:rFonts w:cs="Arial"/>
          <w:sz w:val="20"/>
          <w:szCs w:val="20"/>
          <w:lang w:val="en-US"/>
        </w:rPr>
        <w:footnoteReference w:id="254"/>
      </w:r>
      <w:r w:rsidR="00A45777" w:rsidRPr="00A50E4D">
        <w:rPr>
          <w:lang w:val="en-US"/>
        </w:rPr>
        <w:t xml:space="preserve"> As of June 2, 2003, he </w:t>
      </w:r>
      <w:r w:rsidR="00B310E0" w:rsidRPr="00A50E4D">
        <w:rPr>
          <w:lang w:val="en-US"/>
        </w:rPr>
        <w:t>was</w:t>
      </w:r>
      <w:r w:rsidR="00A45777" w:rsidRPr="00A50E4D">
        <w:rPr>
          <w:lang w:val="en-US"/>
        </w:rPr>
        <w:t xml:space="preserve"> a judge of the First Chamber of the Sentencing Court </w:t>
      </w:r>
      <w:r w:rsidR="009808C5" w:rsidRPr="00A50E4D">
        <w:rPr>
          <w:lang w:val="en-US"/>
        </w:rPr>
        <w:t>of</w:t>
      </w:r>
      <w:r w:rsidRPr="00A50E4D">
        <w:rPr>
          <w:lang w:val="en-US"/>
        </w:rPr>
        <w:t xml:space="preserve"> </w:t>
      </w:r>
      <w:r w:rsidR="00A45777" w:rsidRPr="00A50E4D">
        <w:rPr>
          <w:lang w:val="en-US"/>
        </w:rPr>
        <w:t>the</w:t>
      </w:r>
      <w:r w:rsidRPr="00A50E4D">
        <w:rPr>
          <w:lang w:val="en-US"/>
        </w:rPr>
        <w:t xml:space="preserve"> San Pedro Sula</w:t>
      </w:r>
      <w:r w:rsidR="00A45777" w:rsidRPr="00A50E4D">
        <w:rPr>
          <w:lang w:val="en-US"/>
        </w:rPr>
        <w:t xml:space="preserve"> Judicial District.</w:t>
      </w:r>
      <w:r w:rsidRPr="00A50E4D">
        <w:rPr>
          <w:rStyle w:val="FootnoteReference"/>
          <w:rFonts w:cs="Arial"/>
          <w:sz w:val="20"/>
          <w:szCs w:val="20"/>
          <w:lang w:val="en-US"/>
        </w:rPr>
        <w:footnoteReference w:id="255"/>
      </w:r>
      <w:r w:rsidRPr="00A50E4D">
        <w:rPr>
          <w:lang w:val="en-US"/>
        </w:rPr>
        <w:t xml:space="preserve"> </w:t>
      </w:r>
      <w:r w:rsidR="00B310E0" w:rsidRPr="00A50E4D">
        <w:rPr>
          <w:lang w:val="en-US"/>
        </w:rPr>
        <w:t>H</w:t>
      </w:r>
      <w:r w:rsidR="00A45777" w:rsidRPr="00A50E4D">
        <w:rPr>
          <w:lang w:val="en-US"/>
        </w:rPr>
        <w:t xml:space="preserve">e </w:t>
      </w:r>
      <w:r w:rsidR="00A45777" w:rsidRPr="00A50E4D">
        <w:rPr>
          <w:lang w:val="en-US"/>
        </w:rPr>
        <w:lastRenderedPageBreak/>
        <w:t xml:space="preserve">was </w:t>
      </w:r>
      <w:r w:rsidR="00B310E0" w:rsidRPr="00A50E4D">
        <w:rPr>
          <w:lang w:val="en-US"/>
        </w:rPr>
        <w:t xml:space="preserve">also </w:t>
      </w:r>
      <w:r w:rsidR="00A45777" w:rsidRPr="00A50E4D">
        <w:rPr>
          <w:lang w:val="en-US"/>
        </w:rPr>
        <w:t>a professor of constitutional law at the</w:t>
      </w:r>
      <w:r w:rsidRPr="00A50E4D">
        <w:rPr>
          <w:lang w:val="en-US"/>
        </w:rPr>
        <w:t xml:space="preserve"> </w:t>
      </w:r>
      <w:r w:rsidRPr="00A50E4D">
        <w:rPr>
          <w:i/>
          <w:lang w:val="en-US"/>
        </w:rPr>
        <w:t xml:space="preserve">Universidad Autónoma </w:t>
      </w:r>
      <w:r w:rsidR="00B310E0" w:rsidRPr="00A50E4D">
        <w:rPr>
          <w:i/>
          <w:lang w:val="en-US"/>
        </w:rPr>
        <w:t>de</w:t>
      </w:r>
      <w:r w:rsidR="00700DEC" w:rsidRPr="00A50E4D">
        <w:rPr>
          <w:i/>
          <w:lang w:val="en-US"/>
        </w:rPr>
        <w:t xml:space="preserve"> Honduras</w:t>
      </w:r>
      <w:r w:rsidR="00A45777" w:rsidRPr="00A50E4D">
        <w:rPr>
          <w:lang w:val="en-US"/>
        </w:rPr>
        <w:t>.</w:t>
      </w:r>
      <w:r w:rsidRPr="00A50E4D">
        <w:rPr>
          <w:rStyle w:val="FootnoteReference"/>
          <w:rFonts w:cs="Arial"/>
          <w:sz w:val="20"/>
          <w:szCs w:val="20"/>
          <w:lang w:val="en-US"/>
        </w:rPr>
        <w:footnoteReference w:id="256"/>
      </w:r>
      <w:r w:rsidR="00A45777" w:rsidRPr="00A50E4D">
        <w:rPr>
          <w:lang w:val="en-US"/>
        </w:rPr>
        <w:t xml:space="preserve"> He was a founding member </w:t>
      </w:r>
      <w:r w:rsidR="00FF35A9" w:rsidRPr="00A50E4D">
        <w:rPr>
          <w:lang w:val="en-US"/>
        </w:rPr>
        <w:t xml:space="preserve">of the </w:t>
      </w:r>
      <w:r w:rsidRPr="00A50E4D">
        <w:rPr>
          <w:lang w:val="en-US"/>
        </w:rPr>
        <w:t>AJD</w:t>
      </w:r>
      <w:r w:rsidR="009808C5" w:rsidRPr="00A50E4D">
        <w:rPr>
          <w:lang w:val="en-US"/>
        </w:rPr>
        <w:t xml:space="preserve"> and </w:t>
      </w:r>
      <w:r w:rsidR="00A45777" w:rsidRPr="00A50E4D">
        <w:rPr>
          <w:lang w:val="en-US"/>
        </w:rPr>
        <w:t>continued to be a member at the time of the events.</w:t>
      </w:r>
      <w:r w:rsidRPr="00A50E4D">
        <w:rPr>
          <w:rStyle w:val="FootnoteReference"/>
          <w:rFonts w:cs="Arial"/>
          <w:sz w:val="20"/>
          <w:szCs w:val="20"/>
          <w:lang w:val="en-US"/>
        </w:rPr>
        <w:footnoteReference w:id="257"/>
      </w:r>
      <w:bookmarkEnd w:id="198"/>
    </w:p>
    <w:p w14:paraId="0C34C820" w14:textId="77777777" w:rsidR="00930C85" w:rsidRPr="00A50E4D" w:rsidRDefault="00930C85" w:rsidP="00930C85">
      <w:pPr>
        <w:pStyle w:val="NoSpacing"/>
        <w:tabs>
          <w:tab w:val="left" w:pos="567"/>
        </w:tabs>
        <w:rPr>
          <w:spacing w:val="-4"/>
          <w:szCs w:val="20"/>
          <w:lang w:val="en-US"/>
        </w:rPr>
      </w:pPr>
    </w:p>
    <w:p w14:paraId="5FEE36FC" w14:textId="390DAD93" w:rsidR="00930C85" w:rsidRPr="00A50E4D" w:rsidRDefault="00A45777" w:rsidP="00A45777">
      <w:pPr>
        <w:pStyle w:val="PrrafodeSentencia"/>
        <w:rPr>
          <w:lang w:val="en-US"/>
        </w:rPr>
      </w:pPr>
      <w:bookmarkStart w:id="199" w:name="_Ref424563349"/>
      <w:r w:rsidRPr="00A50E4D">
        <w:rPr>
          <w:lang w:val="en-US"/>
        </w:rPr>
        <w:t>On August 28,</w:t>
      </w:r>
      <w:r w:rsidR="00930C85" w:rsidRPr="00A50E4D">
        <w:rPr>
          <w:lang w:val="en-US"/>
        </w:rPr>
        <w:t xml:space="preserve"> 2009</w:t>
      </w:r>
      <w:r w:rsidRPr="00A50E4D">
        <w:rPr>
          <w:lang w:val="en-US"/>
        </w:rPr>
        <w:t>, the</w:t>
      </w:r>
      <w:r w:rsidR="00930C85" w:rsidRPr="00A50E4D">
        <w:rPr>
          <w:lang w:val="en-US"/>
        </w:rPr>
        <w:t xml:space="preserve"> </w:t>
      </w:r>
      <w:r w:rsidRPr="00A50E4D">
        <w:rPr>
          <w:lang w:val="en-US"/>
        </w:rPr>
        <w:t xml:space="preserve">newspaper, </w:t>
      </w:r>
      <w:r w:rsidR="00B310E0" w:rsidRPr="00A50E4D">
        <w:rPr>
          <w:i/>
          <w:lang w:val="en-US"/>
        </w:rPr>
        <w:t xml:space="preserve">El </w:t>
      </w:r>
      <w:r w:rsidR="00930C85" w:rsidRPr="00A50E4D">
        <w:rPr>
          <w:i/>
          <w:lang w:val="en-US"/>
        </w:rPr>
        <w:t>Tiempo</w:t>
      </w:r>
      <w:r w:rsidRPr="00A50E4D">
        <w:rPr>
          <w:lang w:val="en-US"/>
        </w:rPr>
        <w:t xml:space="preserve">, published an article entitled </w:t>
      </w:r>
      <w:r w:rsidR="00930C85" w:rsidRPr="00A50E4D">
        <w:rPr>
          <w:lang w:val="en-US"/>
        </w:rPr>
        <w:t>“</w:t>
      </w:r>
      <w:r w:rsidR="00930C85" w:rsidRPr="00A50E4D">
        <w:rPr>
          <w:i/>
          <w:lang w:val="en-US"/>
        </w:rPr>
        <w:t>No hubo sucesión constitucional</w:t>
      </w:r>
      <w:r w:rsidR="00930C85" w:rsidRPr="00A50E4D">
        <w:rPr>
          <w:lang w:val="en-US"/>
        </w:rPr>
        <w:t xml:space="preserve">” </w:t>
      </w:r>
      <w:r w:rsidRPr="00A50E4D">
        <w:rPr>
          <w:lang w:val="en-US"/>
        </w:rPr>
        <w:t xml:space="preserve">[This was not </w:t>
      </w:r>
      <w:r w:rsidR="00B310E0" w:rsidRPr="00A50E4D">
        <w:rPr>
          <w:lang w:val="en-US"/>
        </w:rPr>
        <w:t xml:space="preserve">a </w:t>
      </w:r>
      <w:r w:rsidRPr="00A50E4D">
        <w:rPr>
          <w:lang w:val="en-US"/>
        </w:rPr>
        <w:t xml:space="preserve">constitutional succession] citing Mr. Barrios as the author. The article asserted that what </w:t>
      </w:r>
      <w:r w:rsidR="00B310E0" w:rsidRPr="00A50E4D">
        <w:rPr>
          <w:lang w:val="en-US"/>
        </w:rPr>
        <w:t xml:space="preserve">had </w:t>
      </w:r>
      <w:r w:rsidRPr="00A50E4D">
        <w:rPr>
          <w:lang w:val="en-US"/>
        </w:rPr>
        <w:t xml:space="preserve">happened was a </w:t>
      </w:r>
      <w:r w:rsidR="00B11ACA" w:rsidRPr="00A50E4D">
        <w:rPr>
          <w:i/>
          <w:lang w:val="en-US"/>
        </w:rPr>
        <w:t>coup d’état</w:t>
      </w:r>
      <w:r w:rsidRPr="00A50E4D">
        <w:rPr>
          <w:lang w:val="en-US"/>
        </w:rPr>
        <w:t xml:space="preserve">. At the end of the article Mr. </w:t>
      </w:r>
      <w:r w:rsidR="00E67F26" w:rsidRPr="00A50E4D">
        <w:rPr>
          <w:lang w:val="en-US"/>
        </w:rPr>
        <w:t>Barrios Maldonado wa</w:t>
      </w:r>
      <w:r w:rsidRPr="00A50E4D">
        <w:rPr>
          <w:lang w:val="en-US"/>
        </w:rPr>
        <w:t xml:space="preserve">s identified as a “sentencing judge and </w:t>
      </w:r>
      <w:r w:rsidR="004378CE" w:rsidRPr="00A50E4D">
        <w:rPr>
          <w:lang w:val="en-US"/>
        </w:rPr>
        <w:t xml:space="preserve">chair </w:t>
      </w:r>
      <w:r w:rsidRPr="00A50E4D">
        <w:rPr>
          <w:lang w:val="en-US"/>
        </w:rPr>
        <w:t>of constitutio</w:t>
      </w:r>
      <w:r w:rsidR="00E67F26" w:rsidRPr="00A50E4D">
        <w:rPr>
          <w:lang w:val="en-US"/>
        </w:rPr>
        <w:t>nal law.” In addition, it was</w:t>
      </w:r>
      <w:r w:rsidR="004378CE" w:rsidRPr="00A50E4D">
        <w:rPr>
          <w:lang w:val="en-US"/>
        </w:rPr>
        <w:t xml:space="preserve"> in</w:t>
      </w:r>
      <w:r w:rsidRPr="00A50E4D">
        <w:rPr>
          <w:lang w:val="en-US"/>
        </w:rPr>
        <w:t>d</w:t>
      </w:r>
      <w:r w:rsidR="004378CE" w:rsidRPr="00A50E4D">
        <w:rPr>
          <w:lang w:val="en-US"/>
        </w:rPr>
        <w:t>i</w:t>
      </w:r>
      <w:r w:rsidRPr="00A50E4D">
        <w:rPr>
          <w:lang w:val="en-US"/>
        </w:rPr>
        <w:t xml:space="preserve">cated that “the article is a summary of a talk </w:t>
      </w:r>
      <w:r w:rsidR="00B310E0" w:rsidRPr="00A50E4D">
        <w:rPr>
          <w:lang w:val="en-US"/>
        </w:rPr>
        <w:t>given by [Mr. Barrios Maldonado]</w:t>
      </w:r>
      <w:r w:rsidRPr="00A50E4D">
        <w:rPr>
          <w:lang w:val="en-US"/>
        </w:rPr>
        <w:t xml:space="preserve"> to a group of [university] colleagues and employees.</w:t>
      </w:r>
      <w:r w:rsidR="00930C85" w:rsidRPr="00A50E4D">
        <w:rPr>
          <w:lang w:val="en-US"/>
        </w:rPr>
        <w:t>”</w:t>
      </w:r>
      <w:r w:rsidR="00930C85" w:rsidRPr="00A50E4D">
        <w:rPr>
          <w:rStyle w:val="FootnoteReference"/>
          <w:rFonts w:cs="Arial"/>
          <w:sz w:val="20"/>
          <w:szCs w:val="20"/>
          <w:lang w:val="en-US"/>
        </w:rPr>
        <w:footnoteReference w:id="258"/>
      </w:r>
      <w:r w:rsidRPr="00A50E4D">
        <w:rPr>
          <w:lang w:val="en-US"/>
        </w:rPr>
        <w:t xml:space="preserve"> According to the testimony of Mr. Barrios, the article was written by the Dean of the School of Journalism.</w:t>
      </w:r>
      <w:r w:rsidR="00930C85" w:rsidRPr="00A50E4D">
        <w:rPr>
          <w:rStyle w:val="FootnoteReference"/>
          <w:rFonts w:cs="Arial"/>
          <w:sz w:val="20"/>
          <w:szCs w:val="20"/>
          <w:lang w:val="en-US"/>
        </w:rPr>
        <w:footnoteReference w:id="259"/>
      </w:r>
      <w:bookmarkEnd w:id="199"/>
    </w:p>
    <w:p w14:paraId="50C046B3" w14:textId="77777777" w:rsidR="00930C85" w:rsidRPr="00A50E4D" w:rsidRDefault="00930C85" w:rsidP="00930C85">
      <w:pPr>
        <w:pStyle w:val="NoSpacing"/>
        <w:tabs>
          <w:tab w:val="left" w:pos="567"/>
        </w:tabs>
        <w:rPr>
          <w:spacing w:val="-4"/>
          <w:szCs w:val="20"/>
          <w:lang w:val="en-US"/>
        </w:rPr>
      </w:pPr>
    </w:p>
    <w:p w14:paraId="7B65231B" w14:textId="378E8662" w:rsidR="00930C85" w:rsidRPr="00A50E4D" w:rsidRDefault="004378CE" w:rsidP="00930C85">
      <w:pPr>
        <w:pStyle w:val="PrrafodeSentencia"/>
        <w:rPr>
          <w:lang w:val="en-US"/>
        </w:rPr>
      </w:pPr>
      <w:bookmarkStart w:id="200" w:name="_Ref426552120"/>
      <w:r w:rsidRPr="00A50E4D">
        <w:rPr>
          <w:lang w:val="en-US"/>
        </w:rPr>
        <w:t xml:space="preserve">The day </w:t>
      </w:r>
      <w:r w:rsidR="00E67F26" w:rsidRPr="00A50E4D">
        <w:rPr>
          <w:lang w:val="en-US"/>
        </w:rPr>
        <w:t>the article was publi</w:t>
      </w:r>
      <w:r w:rsidRPr="00A50E4D">
        <w:rPr>
          <w:lang w:val="en-US"/>
        </w:rPr>
        <w:t xml:space="preserve">shed, the </w:t>
      </w:r>
      <w:r w:rsidR="00930C85" w:rsidRPr="00A50E4D">
        <w:rPr>
          <w:lang w:val="en-US"/>
        </w:rPr>
        <w:t xml:space="preserve">Inspector </w:t>
      </w:r>
      <w:r w:rsidRPr="00A50E4D">
        <w:rPr>
          <w:lang w:val="en-US"/>
        </w:rPr>
        <w:t xml:space="preserve">of Courts received a “telephone call from </w:t>
      </w:r>
      <w:r w:rsidR="00FF35A9" w:rsidRPr="00A50E4D">
        <w:rPr>
          <w:lang w:val="en-US"/>
        </w:rPr>
        <w:t xml:space="preserve">the </w:t>
      </w:r>
      <w:r w:rsidRPr="00A50E4D">
        <w:rPr>
          <w:lang w:val="en-US"/>
        </w:rPr>
        <w:t>Deputy Inspector</w:t>
      </w:r>
      <w:r w:rsidR="00930C85" w:rsidRPr="00A50E4D">
        <w:rPr>
          <w:lang w:val="en-US"/>
        </w:rPr>
        <w:t xml:space="preserve"> </w:t>
      </w:r>
      <w:r w:rsidR="000F4023" w:rsidRPr="00A50E4D">
        <w:rPr>
          <w:lang w:val="en-US"/>
        </w:rPr>
        <w:t>of Courts and Tribunals</w:t>
      </w:r>
      <w:r w:rsidR="00930C85" w:rsidRPr="00A50E4D">
        <w:rPr>
          <w:lang w:val="en-US"/>
        </w:rPr>
        <w:t xml:space="preserve"> […] </w:t>
      </w:r>
      <w:r w:rsidRPr="00A50E4D">
        <w:rPr>
          <w:lang w:val="en-US"/>
        </w:rPr>
        <w:t xml:space="preserve">informing him” </w:t>
      </w:r>
      <w:r w:rsidR="00E67F26" w:rsidRPr="00A50E4D">
        <w:rPr>
          <w:lang w:val="en-US"/>
        </w:rPr>
        <w:t>of</w:t>
      </w:r>
      <w:r w:rsidRPr="00A50E4D">
        <w:rPr>
          <w:lang w:val="en-US"/>
        </w:rPr>
        <w:t xml:space="preserve"> the publication, and the </w:t>
      </w:r>
      <w:r w:rsidR="00B310E0" w:rsidRPr="00A50E4D">
        <w:rPr>
          <w:lang w:val="en-US"/>
        </w:rPr>
        <w:t xml:space="preserve">Inspector </w:t>
      </w:r>
      <w:r w:rsidR="00E67F26" w:rsidRPr="00A50E4D">
        <w:rPr>
          <w:lang w:val="en-US"/>
        </w:rPr>
        <w:t xml:space="preserve">incorporated </w:t>
      </w:r>
      <w:r w:rsidRPr="00A50E4D">
        <w:rPr>
          <w:lang w:val="en-US"/>
        </w:rPr>
        <w:t xml:space="preserve">the article </w:t>
      </w:r>
      <w:r w:rsidR="00E67F26" w:rsidRPr="00A50E4D">
        <w:rPr>
          <w:lang w:val="en-US"/>
        </w:rPr>
        <w:t>in</w:t>
      </w:r>
      <w:r w:rsidRPr="00A50E4D">
        <w:rPr>
          <w:lang w:val="en-US"/>
        </w:rPr>
        <w:t>to an investigation that had been opened against several judicial officials.</w:t>
      </w:r>
      <w:r w:rsidR="00930C85" w:rsidRPr="00A50E4D">
        <w:rPr>
          <w:rStyle w:val="FootnoteReference"/>
          <w:sz w:val="20"/>
          <w:szCs w:val="20"/>
          <w:lang w:val="en-US"/>
        </w:rPr>
        <w:footnoteReference w:id="260"/>
      </w:r>
      <w:bookmarkEnd w:id="200"/>
      <w:r w:rsidR="00930C85" w:rsidRPr="00A50E4D">
        <w:rPr>
          <w:lang w:val="en-US"/>
        </w:rPr>
        <w:t xml:space="preserve"> </w:t>
      </w:r>
    </w:p>
    <w:p w14:paraId="7200BA17" w14:textId="77777777" w:rsidR="00930C85" w:rsidRPr="00A50E4D" w:rsidRDefault="00930C85" w:rsidP="00930C85">
      <w:pPr>
        <w:pStyle w:val="ListParagraph"/>
        <w:numPr>
          <w:ilvl w:val="0"/>
          <w:numId w:val="0"/>
        </w:numPr>
        <w:rPr>
          <w:spacing w:val="-4"/>
          <w:lang w:val="en-US"/>
        </w:rPr>
      </w:pPr>
    </w:p>
    <w:p w14:paraId="20F00B27" w14:textId="36970ADD" w:rsidR="00930C85" w:rsidRPr="00A50E4D" w:rsidRDefault="008142CE" w:rsidP="004378CE">
      <w:pPr>
        <w:pStyle w:val="PrrafodeSentencia"/>
        <w:rPr>
          <w:lang w:val="en-US"/>
        </w:rPr>
      </w:pPr>
      <w:bookmarkStart w:id="201" w:name="_Ref424650957"/>
      <w:r w:rsidRPr="00A50E4D">
        <w:rPr>
          <w:lang w:val="en-US"/>
        </w:rPr>
        <w:t>On September 16,</w:t>
      </w:r>
      <w:r w:rsidR="00930C85" w:rsidRPr="00A50E4D">
        <w:rPr>
          <w:lang w:val="en-US"/>
        </w:rPr>
        <w:t xml:space="preserve"> 2009</w:t>
      </w:r>
      <w:r w:rsidR="004378CE" w:rsidRPr="00A50E4D">
        <w:rPr>
          <w:lang w:val="en-US"/>
        </w:rPr>
        <w:t>, three Regional Inspectors</w:t>
      </w:r>
      <w:r w:rsidR="00930C85" w:rsidRPr="00A50E4D">
        <w:rPr>
          <w:lang w:val="en-US"/>
        </w:rPr>
        <w:t xml:space="preserve"> </w:t>
      </w:r>
      <w:r w:rsidR="000F4023" w:rsidRPr="00A50E4D">
        <w:rPr>
          <w:lang w:val="en-US"/>
        </w:rPr>
        <w:t>of Courts and Tribunals</w:t>
      </w:r>
      <w:r w:rsidR="00930C85" w:rsidRPr="00A50E4D">
        <w:rPr>
          <w:lang w:val="en-US"/>
        </w:rPr>
        <w:t xml:space="preserve"> </w:t>
      </w:r>
      <w:r w:rsidR="004378CE" w:rsidRPr="00A50E4D">
        <w:rPr>
          <w:lang w:val="en-US"/>
        </w:rPr>
        <w:t xml:space="preserve">gave a report to </w:t>
      </w:r>
      <w:r w:rsidR="00DA4F82" w:rsidRPr="00A50E4D">
        <w:rPr>
          <w:lang w:val="en-US"/>
        </w:rPr>
        <w:t>the Inspectorate</w:t>
      </w:r>
      <w:r w:rsidR="00930C85" w:rsidRPr="00A50E4D">
        <w:rPr>
          <w:lang w:val="en-US"/>
        </w:rPr>
        <w:t xml:space="preserve"> General</w:t>
      </w:r>
      <w:r w:rsidR="009808C5" w:rsidRPr="00A50E4D">
        <w:rPr>
          <w:lang w:val="en-US"/>
        </w:rPr>
        <w:t xml:space="preserve"> and </w:t>
      </w:r>
      <w:r w:rsidR="000A786A" w:rsidRPr="00A50E4D">
        <w:rPr>
          <w:lang w:val="en-US"/>
        </w:rPr>
        <w:t>indicated</w:t>
      </w:r>
      <w:r w:rsidR="004378CE" w:rsidRPr="00A50E4D">
        <w:rPr>
          <w:lang w:val="en-US"/>
        </w:rPr>
        <w:t xml:space="preserve"> that, according to Mr. </w:t>
      </w:r>
      <w:r w:rsidR="00930C85" w:rsidRPr="00A50E4D">
        <w:rPr>
          <w:lang w:val="en-US"/>
        </w:rPr>
        <w:t xml:space="preserve">Barrios, </w:t>
      </w:r>
      <w:r w:rsidR="004378CE" w:rsidRPr="00A50E4D">
        <w:rPr>
          <w:lang w:val="en-US"/>
        </w:rPr>
        <w:t xml:space="preserve">the article published in the newspaper “reflected a personal opinion of a legal nature given in </w:t>
      </w:r>
      <w:r w:rsidR="00E67F26" w:rsidRPr="00A50E4D">
        <w:rPr>
          <w:lang w:val="en-US"/>
        </w:rPr>
        <w:t>his capacity as</w:t>
      </w:r>
      <w:r w:rsidR="004378CE" w:rsidRPr="00A50E4D">
        <w:rPr>
          <w:lang w:val="en-US"/>
        </w:rPr>
        <w:t xml:space="preserve"> chair of constitutional law.</w:t>
      </w:r>
      <w:r w:rsidR="00930C85" w:rsidRPr="00A50E4D">
        <w:rPr>
          <w:lang w:val="en-US"/>
        </w:rPr>
        <w:t>”</w:t>
      </w:r>
      <w:r w:rsidR="00930C85" w:rsidRPr="00A50E4D">
        <w:rPr>
          <w:rStyle w:val="FootnoteReference"/>
          <w:rFonts w:cs="Arial"/>
          <w:sz w:val="20"/>
          <w:szCs w:val="20"/>
          <w:lang w:val="en-US"/>
        </w:rPr>
        <w:footnoteReference w:id="261"/>
      </w:r>
      <w:r w:rsidR="004378CE" w:rsidRPr="00A50E4D">
        <w:rPr>
          <w:lang w:val="en-US"/>
        </w:rPr>
        <w:t xml:space="preserve"> The report did not reach any </w:t>
      </w:r>
      <w:r w:rsidR="003C43D3" w:rsidRPr="00A50E4D">
        <w:rPr>
          <w:lang w:val="en-US"/>
        </w:rPr>
        <w:t>conclusion</w:t>
      </w:r>
      <w:r w:rsidR="004378CE" w:rsidRPr="00A50E4D">
        <w:rPr>
          <w:lang w:val="en-US"/>
        </w:rPr>
        <w:t>s with regard to Mr. Barrios.</w:t>
      </w:r>
      <w:r w:rsidR="004378CE" w:rsidRPr="00A50E4D">
        <w:rPr>
          <w:rStyle w:val="FootnoteReference"/>
          <w:rFonts w:cs="Arial"/>
          <w:sz w:val="20"/>
          <w:szCs w:val="20"/>
          <w:lang w:val="en-US"/>
        </w:rPr>
        <w:footnoteReference w:id="262"/>
      </w:r>
      <w:r w:rsidR="004378CE" w:rsidRPr="00A50E4D">
        <w:rPr>
          <w:lang w:val="en-US"/>
        </w:rPr>
        <w:t xml:space="preserve"> On September 17, the Inspector General ratified this report and decided to forward the file to the Personnel Management Directorate adding that the publication</w:t>
      </w:r>
      <w:r w:rsidR="00E67F26" w:rsidRPr="00A50E4D">
        <w:rPr>
          <w:lang w:val="en-US"/>
        </w:rPr>
        <w:t xml:space="preserve"> i</w:t>
      </w:r>
      <w:r w:rsidR="004378CE" w:rsidRPr="00A50E4D">
        <w:rPr>
          <w:lang w:val="en-US"/>
        </w:rPr>
        <w:t xml:space="preserve">n which, in addition to identifying Mr. Barrios Maldonado as a professor, he was </w:t>
      </w:r>
      <w:r w:rsidR="00E67F26" w:rsidRPr="00A50E4D">
        <w:rPr>
          <w:lang w:val="en-US"/>
        </w:rPr>
        <w:t>id</w:t>
      </w:r>
      <w:r w:rsidR="004378CE" w:rsidRPr="00A50E4D">
        <w:rPr>
          <w:lang w:val="en-US"/>
        </w:rPr>
        <w:t>entified as a sentencing judge, violated the prohibition “[t]o become involve</w:t>
      </w:r>
      <w:r w:rsidR="00E67F26" w:rsidRPr="00A50E4D">
        <w:rPr>
          <w:lang w:val="en-US"/>
        </w:rPr>
        <w:t>d in</w:t>
      </w:r>
      <w:r w:rsidR="004378CE" w:rsidRPr="00A50E4D">
        <w:rPr>
          <w:lang w:val="en-US"/>
        </w:rPr>
        <w:t xml:space="preserve"> other activities and to exercise </w:t>
      </w:r>
      <w:r w:rsidR="00E67F26" w:rsidRPr="00A50E4D">
        <w:rPr>
          <w:lang w:val="en-US"/>
        </w:rPr>
        <w:t>powers</w:t>
      </w:r>
      <w:r w:rsidR="004378CE" w:rsidRPr="00A50E4D">
        <w:rPr>
          <w:lang w:val="en-US"/>
        </w:rPr>
        <w:t xml:space="preserve"> other than those established by law, [and also to a]ddress congratulations or criticism to the Executive, public </w:t>
      </w:r>
      <w:r w:rsidR="004378CE" w:rsidRPr="00A50E4D">
        <w:rPr>
          <w:lang w:val="en-US"/>
        </w:rPr>
        <w:lastRenderedPageBreak/>
        <w:t>officials or official bodies</w:t>
      </w:r>
      <w:r w:rsidR="00E67F26" w:rsidRPr="00A50E4D">
        <w:rPr>
          <w:lang w:val="en-US"/>
        </w:rPr>
        <w:t xml:space="preserve"> with regard to their actions</w:t>
      </w:r>
      <w:r w:rsidR="004378CE" w:rsidRPr="00A50E4D">
        <w:rPr>
          <w:lang w:val="en-US"/>
        </w:rPr>
        <w:t>.</w:t>
      </w:r>
      <w:r w:rsidR="00930C85" w:rsidRPr="00A50E4D">
        <w:rPr>
          <w:lang w:val="en-US"/>
        </w:rPr>
        <w:t>”</w:t>
      </w:r>
      <w:r w:rsidR="00930C85" w:rsidRPr="00A50E4D">
        <w:rPr>
          <w:rStyle w:val="FootnoteReference"/>
          <w:rFonts w:cs="Arial"/>
          <w:sz w:val="20"/>
          <w:szCs w:val="20"/>
          <w:lang w:val="en-US"/>
        </w:rPr>
        <w:footnoteReference w:id="263"/>
      </w:r>
      <w:r w:rsidR="004378CE" w:rsidRPr="00A50E4D">
        <w:rPr>
          <w:lang w:val="en-US"/>
        </w:rPr>
        <w:t xml:space="preserve"> The</w:t>
      </w:r>
      <w:r w:rsidR="00A23598" w:rsidRPr="00A50E4D">
        <w:rPr>
          <w:lang w:val="en-US"/>
        </w:rPr>
        <w:t xml:space="preserve"> Inspector </w:t>
      </w:r>
      <w:r w:rsidR="00930C85" w:rsidRPr="00A50E4D">
        <w:rPr>
          <w:lang w:val="en-US"/>
        </w:rPr>
        <w:t xml:space="preserve">General </w:t>
      </w:r>
      <w:r w:rsidR="004378CE" w:rsidRPr="00A50E4D">
        <w:rPr>
          <w:lang w:val="en-US"/>
        </w:rPr>
        <w:t xml:space="preserve">also found that Mr. Barrios had committed “acts </w:t>
      </w:r>
      <w:r w:rsidR="00E67F26" w:rsidRPr="00A50E4D">
        <w:rPr>
          <w:lang w:val="en-US"/>
        </w:rPr>
        <w:t xml:space="preserve">that were </w:t>
      </w:r>
      <w:r w:rsidR="004378CE" w:rsidRPr="00A50E4D">
        <w:rPr>
          <w:lang w:val="en-US"/>
        </w:rPr>
        <w:t xml:space="preserve">inimical to the dignity of the administration of </w:t>
      </w:r>
      <w:r w:rsidR="006A228E" w:rsidRPr="00A50E4D">
        <w:rPr>
          <w:lang w:val="en-US"/>
        </w:rPr>
        <w:t>justice</w:t>
      </w:r>
      <w:r w:rsidR="009808C5" w:rsidRPr="00A50E4D">
        <w:rPr>
          <w:lang w:val="en-US"/>
        </w:rPr>
        <w:t xml:space="preserve"> and </w:t>
      </w:r>
      <w:r w:rsidR="004378CE" w:rsidRPr="00A50E4D">
        <w:rPr>
          <w:lang w:val="en-US"/>
        </w:rPr>
        <w:t>incompatible with the exercise of his function</w:t>
      </w:r>
      <w:r w:rsidR="00B310E0" w:rsidRPr="00A50E4D">
        <w:rPr>
          <w:lang w:val="en-US"/>
        </w:rPr>
        <w:t>s</w:t>
      </w:r>
      <w:r w:rsidR="004378CE" w:rsidRPr="00A50E4D">
        <w:rPr>
          <w:lang w:val="en-US"/>
        </w:rPr>
        <w:t>.</w:t>
      </w:r>
      <w:r w:rsidR="00930C85" w:rsidRPr="00A50E4D">
        <w:rPr>
          <w:lang w:val="en-US"/>
        </w:rPr>
        <w:t>”</w:t>
      </w:r>
      <w:r w:rsidR="00930C85" w:rsidRPr="00A50E4D">
        <w:rPr>
          <w:rStyle w:val="FootnoteReference"/>
          <w:rFonts w:cs="Arial"/>
          <w:sz w:val="20"/>
          <w:szCs w:val="20"/>
          <w:lang w:val="en-US"/>
        </w:rPr>
        <w:footnoteReference w:id="264"/>
      </w:r>
      <w:bookmarkEnd w:id="201"/>
    </w:p>
    <w:p w14:paraId="33E8A851" w14:textId="77777777" w:rsidR="00930C85" w:rsidRPr="00A50E4D" w:rsidRDefault="00930C85" w:rsidP="00930C85">
      <w:pPr>
        <w:pStyle w:val="NoSpacing"/>
        <w:tabs>
          <w:tab w:val="left" w:pos="567"/>
        </w:tabs>
        <w:rPr>
          <w:spacing w:val="-4"/>
          <w:szCs w:val="20"/>
          <w:lang w:val="en-US"/>
        </w:rPr>
      </w:pPr>
    </w:p>
    <w:p w14:paraId="7F8DFA66" w14:textId="5F6AD07C" w:rsidR="00930C85" w:rsidRPr="00A50E4D" w:rsidRDefault="004378CE" w:rsidP="00930C85">
      <w:pPr>
        <w:pStyle w:val="PrrafodeSentencia"/>
        <w:rPr>
          <w:lang w:val="en-US"/>
        </w:rPr>
      </w:pPr>
      <w:bookmarkStart w:id="202" w:name="_Ref426552212"/>
      <w:r w:rsidRPr="00A50E4D">
        <w:rPr>
          <w:lang w:val="en-US"/>
        </w:rPr>
        <w:t>On October 9,</w:t>
      </w:r>
      <w:r w:rsidR="00930C85" w:rsidRPr="00A50E4D">
        <w:rPr>
          <w:lang w:val="en-US"/>
        </w:rPr>
        <w:t xml:space="preserve"> 2009</w:t>
      </w:r>
      <w:r w:rsidRPr="00A50E4D">
        <w:rPr>
          <w:lang w:val="en-US"/>
        </w:rPr>
        <w:t>,</w:t>
      </w:r>
      <w:r w:rsidR="00930C85" w:rsidRPr="00A50E4D">
        <w:rPr>
          <w:lang w:val="en-US"/>
        </w:rPr>
        <w:t xml:space="preserve"> </w:t>
      </w:r>
      <w:r w:rsidR="004D0F32" w:rsidRPr="00A50E4D">
        <w:rPr>
          <w:lang w:val="en-US"/>
        </w:rPr>
        <w:t xml:space="preserve">the </w:t>
      </w:r>
      <w:r w:rsidR="00D563D1" w:rsidRPr="00A50E4D">
        <w:rPr>
          <w:lang w:val="en-US"/>
        </w:rPr>
        <w:t>Personnel Management Directorate</w:t>
      </w:r>
      <w:r w:rsidR="00930C85" w:rsidRPr="00A50E4D">
        <w:rPr>
          <w:lang w:val="en-US"/>
        </w:rPr>
        <w:t xml:space="preserve"> </w:t>
      </w:r>
      <w:r w:rsidRPr="00A50E4D">
        <w:rPr>
          <w:lang w:val="en-US"/>
        </w:rPr>
        <w:t xml:space="preserve">opened a disciplinary proceeding against Mr. </w:t>
      </w:r>
      <w:r w:rsidR="00930C85" w:rsidRPr="00A50E4D">
        <w:rPr>
          <w:lang w:val="en-US"/>
        </w:rPr>
        <w:t>Barrios</w:t>
      </w:r>
      <w:r w:rsidR="009808C5" w:rsidRPr="00A50E4D">
        <w:rPr>
          <w:lang w:val="en-US"/>
        </w:rPr>
        <w:t xml:space="preserve"> and </w:t>
      </w:r>
      <w:r w:rsidRPr="00A50E4D">
        <w:rPr>
          <w:lang w:val="en-US"/>
        </w:rPr>
        <w:t xml:space="preserve">summoned him to </w:t>
      </w:r>
      <w:r w:rsidR="00B310E0" w:rsidRPr="00A50E4D">
        <w:rPr>
          <w:lang w:val="en-US"/>
        </w:rPr>
        <w:t>answer</w:t>
      </w:r>
      <w:r w:rsidRPr="00A50E4D">
        <w:rPr>
          <w:lang w:val="en-US"/>
        </w:rPr>
        <w:t xml:space="preserve"> the charges.</w:t>
      </w:r>
      <w:r w:rsidR="00930C85" w:rsidRPr="00A50E4D">
        <w:rPr>
          <w:rStyle w:val="FootnoteReference"/>
          <w:rFonts w:cs="Arial"/>
          <w:sz w:val="20"/>
          <w:szCs w:val="20"/>
          <w:lang w:val="en-US"/>
        </w:rPr>
        <w:footnoteReference w:id="265"/>
      </w:r>
      <w:r w:rsidRPr="00A50E4D">
        <w:rPr>
          <w:lang w:val="en-US"/>
        </w:rPr>
        <w:t xml:space="preserve"> On December 7,</w:t>
      </w:r>
      <w:r w:rsidR="00930C85" w:rsidRPr="00A50E4D">
        <w:rPr>
          <w:lang w:val="en-US"/>
        </w:rPr>
        <w:t xml:space="preserve"> 2009</w:t>
      </w:r>
      <w:r w:rsidRPr="00A50E4D">
        <w:rPr>
          <w:lang w:val="en-US"/>
        </w:rPr>
        <w:t xml:space="preserve">, a hearing was held during which Mr. </w:t>
      </w:r>
      <w:r w:rsidR="00930C85" w:rsidRPr="00A50E4D">
        <w:rPr>
          <w:lang w:val="en-US"/>
        </w:rPr>
        <w:t xml:space="preserve">Barrios </w:t>
      </w:r>
      <w:r w:rsidR="006E1430" w:rsidRPr="00A50E4D">
        <w:rPr>
          <w:lang w:val="en-US"/>
        </w:rPr>
        <w:t xml:space="preserve">Maldonado </w:t>
      </w:r>
      <w:r w:rsidRPr="00A50E4D">
        <w:rPr>
          <w:lang w:val="en-US"/>
        </w:rPr>
        <w:t>rebut</w:t>
      </w:r>
      <w:r w:rsidR="00E67F26" w:rsidRPr="00A50E4D">
        <w:rPr>
          <w:lang w:val="en-US"/>
        </w:rPr>
        <w:t>ted</w:t>
      </w:r>
      <w:r w:rsidRPr="00A50E4D">
        <w:rPr>
          <w:lang w:val="en-US"/>
        </w:rPr>
        <w:t xml:space="preserve"> the charges and, </w:t>
      </w:r>
      <w:r w:rsidR="00930C85" w:rsidRPr="00A50E4D">
        <w:rPr>
          <w:i/>
          <w:lang w:val="en-US"/>
        </w:rPr>
        <w:t>inter alia</w:t>
      </w:r>
      <w:r w:rsidR="00930C85" w:rsidRPr="00A50E4D">
        <w:rPr>
          <w:lang w:val="en-US"/>
        </w:rPr>
        <w:t>, prop</w:t>
      </w:r>
      <w:r w:rsidRPr="00A50E4D">
        <w:rPr>
          <w:lang w:val="en-US"/>
        </w:rPr>
        <w:t>osed evidence that was subsequently admitted.</w:t>
      </w:r>
      <w:r w:rsidR="00930C85" w:rsidRPr="00A50E4D">
        <w:rPr>
          <w:rStyle w:val="FootnoteReference"/>
          <w:sz w:val="20"/>
          <w:szCs w:val="20"/>
          <w:lang w:val="en-US"/>
        </w:rPr>
        <w:footnoteReference w:id="266"/>
      </w:r>
      <w:r w:rsidR="00930C85" w:rsidRPr="00A50E4D">
        <w:rPr>
          <w:lang w:val="en-US"/>
        </w:rPr>
        <w:t xml:space="preserve"> </w:t>
      </w:r>
      <w:r w:rsidR="0029085B" w:rsidRPr="00A50E4D">
        <w:rPr>
          <w:lang w:val="en-US"/>
        </w:rPr>
        <w:t>On April 20,</w:t>
      </w:r>
      <w:r w:rsidR="00930C85" w:rsidRPr="00A50E4D">
        <w:rPr>
          <w:lang w:val="en-US"/>
        </w:rPr>
        <w:t xml:space="preserve"> 2010</w:t>
      </w:r>
      <w:r w:rsidRPr="00A50E4D">
        <w:rPr>
          <w:lang w:val="en-US"/>
        </w:rPr>
        <w:t>,</w:t>
      </w:r>
      <w:r w:rsidR="00930C85" w:rsidRPr="00A50E4D">
        <w:rPr>
          <w:lang w:val="en-US"/>
        </w:rPr>
        <w:t xml:space="preserve"> </w:t>
      </w:r>
      <w:r w:rsidR="004D0F32" w:rsidRPr="00A50E4D">
        <w:rPr>
          <w:lang w:val="en-US"/>
        </w:rPr>
        <w:t xml:space="preserve">the </w:t>
      </w:r>
      <w:r w:rsidR="00D563D1" w:rsidRPr="00A50E4D">
        <w:rPr>
          <w:lang w:val="en-US"/>
        </w:rPr>
        <w:t>Personnel Management Directorate</w:t>
      </w:r>
      <w:r w:rsidR="00930C85" w:rsidRPr="00A50E4D">
        <w:rPr>
          <w:lang w:val="en-US"/>
        </w:rPr>
        <w:t xml:space="preserve"> </w:t>
      </w:r>
      <w:r w:rsidRPr="00A50E4D">
        <w:rPr>
          <w:lang w:val="en-US"/>
        </w:rPr>
        <w:t xml:space="preserve">issued its final </w:t>
      </w:r>
      <w:r w:rsidR="000A786A" w:rsidRPr="00A50E4D">
        <w:rPr>
          <w:lang w:val="en-US"/>
        </w:rPr>
        <w:t>decision</w:t>
      </w:r>
      <w:r w:rsidRPr="00A50E4D">
        <w:rPr>
          <w:lang w:val="en-US"/>
        </w:rPr>
        <w:t xml:space="preserve"> and recommended that Mr.</w:t>
      </w:r>
      <w:r w:rsidR="00930C85" w:rsidRPr="00A50E4D">
        <w:rPr>
          <w:lang w:val="en-US"/>
        </w:rPr>
        <w:t xml:space="preserve"> Barrios </w:t>
      </w:r>
      <w:r w:rsidR="006E1430" w:rsidRPr="00A50E4D">
        <w:rPr>
          <w:lang w:val="en-US"/>
        </w:rPr>
        <w:t xml:space="preserve">Maldonado </w:t>
      </w:r>
      <w:bookmarkEnd w:id="202"/>
      <w:r w:rsidR="00B310E0" w:rsidRPr="00A50E4D">
        <w:rPr>
          <w:lang w:val="en-US"/>
        </w:rPr>
        <w:t>be dismissed</w:t>
      </w:r>
      <w:r w:rsidRPr="00A50E4D">
        <w:rPr>
          <w:lang w:val="en-US"/>
        </w:rPr>
        <w:t xml:space="preserve"> from his post:</w:t>
      </w:r>
    </w:p>
    <w:p w14:paraId="04CC0622" w14:textId="77777777" w:rsidR="00930C85" w:rsidRPr="00A50E4D" w:rsidRDefault="00930C85" w:rsidP="00930C85">
      <w:pPr>
        <w:pStyle w:val="PrrafodeSentencia"/>
        <w:numPr>
          <w:ilvl w:val="0"/>
          <w:numId w:val="0"/>
        </w:numPr>
        <w:rPr>
          <w:lang w:val="en-US"/>
        </w:rPr>
      </w:pPr>
    </w:p>
    <w:p w14:paraId="2213E932" w14:textId="4203DE25" w:rsidR="00930C85" w:rsidRPr="00A50E4D" w:rsidRDefault="00930C85" w:rsidP="00E67F26">
      <w:pPr>
        <w:autoSpaceDE w:val="0"/>
        <w:autoSpaceDN w:val="0"/>
        <w:adjustRightInd w:val="0"/>
        <w:ind w:left="567" w:right="544"/>
        <w:rPr>
          <w:rFonts w:cs="Arial"/>
          <w:spacing w:val="-4"/>
          <w:sz w:val="18"/>
          <w:szCs w:val="18"/>
          <w:lang w:val="en-US"/>
        </w:rPr>
      </w:pPr>
      <w:r w:rsidRPr="00A50E4D">
        <w:rPr>
          <w:rFonts w:cs="Arial"/>
          <w:spacing w:val="-4"/>
          <w:sz w:val="18"/>
          <w:szCs w:val="18"/>
          <w:lang w:val="en-US"/>
        </w:rPr>
        <w:t>[</w:t>
      </w:r>
      <w:r w:rsidR="00E67F26" w:rsidRPr="00A50E4D">
        <w:rPr>
          <w:rFonts w:cs="Arial"/>
          <w:spacing w:val="-4"/>
          <w:sz w:val="18"/>
          <w:szCs w:val="18"/>
          <w:lang w:val="en-US"/>
        </w:rPr>
        <w:t>F</w:t>
      </w:r>
      <w:r w:rsidRPr="00A50E4D">
        <w:rPr>
          <w:rFonts w:cs="Arial"/>
          <w:spacing w:val="-4"/>
          <w:sz w:val="18"/>
          <w:szCs w:val="18"/>
          <w:lang w:val="en-US"/>
        </w:rPr>
        <w:t xml:space="preserve">]or </w:t>
      </w:r>
      <w:r w:rsidR="00E67F26" w:rsidRPr="00A50E4D">
        <w:rPr>
          <w:rFonts w:cs="Arial"/>
          <w:spacing w:val="-4"/>
          <w:sz w:val="18"/>
          <w:szCs w:val="18"/>
          <w:lang w:val="en-US"/>
        </w:rPr>
        <w:t xml:space="preserve">non-compliance with or serious violation of his duties and committing acts that are inimical to the dignity of the administration of justice, having taken part, at the invitation of the University Professors Association and the Labor Union </w:t>
      </w:r>
      <w:r w:rsidR="00FF35A9" w:rsidRPr="00A50E4D">
        <w:rPr>
          <w:rFonts w:cs="Arial"/>
          <w:spacing w:val="-4"/>
          <w:sz w:val="18"/>
          <w:szCs w:val="18"/>
          <w:lang w:val="en-US"/>
        </w:rPr>
        <w:t xml:space="preserve">of the </w:t>
      </w:r>
      <w:r w:rsidRPr="00A50E4D">
        <w:rPr>
          <w:rFonts w:eastAsia="HiddenHorzOCR" w:cs="HiddenHorzOCR"/>
          <w:i/>
          <w:spacing w:val="-4"/>
          <w:sz w:val="18"/>
          <w:szCs w:val="18"/>
          <w:lang w:val="en-US"/>
        </w:rPr>
        <w:t xml:space="preserve">Universidad Nacional Autónoma </w:t>
      </w:r>
      <w:r w:rsidR="00B310E0" w:rsidRPr="00A50E4D">
        <w:rPr>
          <w:rFonts w:eastAsia="HiddenHorzOCR" w:cs="HiddenHorzOCR"/>
          <w:i/>
          <w:spacing w:val="-4"/>
          <w:sz w:val="18"/>
          <w:szCs w:val="18"/>
          <w:lang w:val="en-US"/>
        </w:rPr>
        <w:t>de</w:t>
      </w:r>
      <w:r w:rsidR="00700DEC" w:rsidRPr="00A50E4D">
        <w:rPr>
          <w:rFonts w:eastAsia="HiddenHorzOCR" w:cs="HiddenHorzOCR"/>
          <w:i/>
          <w:spacing w:val="-4"/>
          <w:sz w:val="18"/>
          <w:szCs w:val="18"/>
          <w:lang w:val="en-US"/>
        </w:rPr>
        <w:t xml:space="preserve"> Honduras</w:t>
      </w:r>
      <w:r w:rsidRPr="00A50E4D">
        <w:rPr>
          <w:rFonts w:eastAsia="HiddenHorzOCR" w:cs="HiddenHorzOCR"/>
          <w:spacing w:val="-4"/>
          <w:sz w:val="18"/>
          <w:szCs w:val="18"/>
          <w:lang w:val="en-US"/>
        </w:rPr>
        <w:t xml:space="preserve">, </w:t>
      </w:r>
      <w:r w:rsidR="00E67F26" w:rsidRPr="00A50E4D">
        <w:rPr>
          <w:rFonts w:eastAsia="HiddenHorzOCR" w:cs="HiddenHorzOCR"/>
          <w:spacing w:val="-4"/>
          <w:sz w:val="18"/>
          <w:szCs w:val="18"/>
          <w:lang w:val="en-US"/>
        </w:rPr>
        <w:t>as a speaker</w:t>
      </w:r>
      <w:r w:rsidR="00B310E0" w:rsidRPr="00A50E4D">
        <w:rPr>
          <w:rFonts w:eastAsia="HiddenHorzOCR" w:cs="HiddenHorzOCR"/>
          <w:spacing w:val="-4"/>
          <w:sz w:val="18"/>
          <w:szCs w:val="18"/>
          <w:lang w:val="en-US"/>
        </w:rPr>
        <w:t>,</w:t>
      </w:r>
      <w:r w:rsidR="00E67F26" w:rsidRPr="00A50E4D">
        <w:rPr>
          <w:rFonts w:eastAsia="HiddenHorzOCR" w:cs="HiddenHorzOCR"/>
          <w:spacing w:val="-4"/>
          <w:sz w:val="18"/>
          <w:szCs w:val="18"/>
          <w:lang w:val="en-US"/>
        </w:rPr>
        <w:t xml:space="preserve"> in a meeting held at </w:t>
      </w:r>
      <w:r w:rsidRPr="00A50E4D">
        <w:rPr>
          <w:rFonts w:cs="Times New Roman"/>
          <w:spacing w:val="-4"/>
          <w:sz w:val="18"/>
          <w:szCs w:val="18"/>
          <w:lang w:val="en-US"/>
        </w:rPr>
        <w:t xml:space="preserve">[…] </w:t>
      </w:r>
      <w:r w:rsidR="00E67F26" w:rsidRPr="00A50E4D">
        <w:rPr>
          <w:rFonts w:cs="Times New Roman"/>
          <w:spacing w:val="-4"/>
          <w:sz w:val="18"/>
          <w:szCs w:val="18"/>
          <w:lang w:val="en-US"/>
        </w:rPr>
        <w:t xml:space="preserve">that university, during which those present criticized the actions of the Supreme Court of Justice and other national authorities in relation to the events that took place before and after </w:t>
      </w:r>
      <w:r w:rsidR="00C150F2" w:rsidRPr="00A50E4D">
        <w:rPr>
          <w:rFonts w:cs="Arial"/>
          <w:spacing w:val="-4"/>
          <w:sz w:val="18"/>
          <w:szCs w:val="18"/>
          <w:lang w:val="en-US"/>
        </w:rPr>
        <w:t>June 28, 2009</w:t>
      </w:r>
      <w:r w:rsidR="00E67F26" w:rsidRPr="00A50E4D">
        <w:rPr>
          <w:rFonts w:cs="Arial"/>
          <w:spacing w:val="-4"/>
          <w:sz w:val="18"/>
          <w:szCs w:val="18"/>
          <w:lang w:val="en-US"/>
        </w:rPr>
        <w:t>, and</w:t>
      </w:r>
      <w:r w:rsidR="00B310E0" w:rsidRPr="00A50E4D">
        <w:rPr>
          <w:rFonts w:cs="Arial"/>
          <w:spacing w:val="-4"/>
          <w:sz w:val="18"/>
          <w:szCs w:val="18"/>
          <w:lang w:val="en-US"/>
        </w:rPr>
        <w:t xml:space="preserve"> because</w:t>
      </w:r>
      <w:r w:rsidR="00E67F26" w:rsidRPr="00A50E4D">
        <w:rPr>
          <w:rFonts w:cs="Arial"/>
          <w:spacing w:val="-4"/>
          <w:sz w:val="18"/>
          <w:szCs w:val="18"/>
          <w:lang w:val="en-US"/>
        </w:rPr>
        <w:t>, subsequently, with his knowledge and authorization, his opinions were published</w:t>
      </w:r>
      <w:r w:rsidR="00B310E0" w:rsidRPr="00A50E4D">
        <w:rPr>
          <w:rFonts w:cs="Arial"/>
          <w:spacing w:val="-4"/>
          <w:sz w:val="18"/>
          <w:szCs w:val="18"/>
          <w:lang w:val="en-US"/>
        </w:rPr>
        <w:t xml:space="preserve"> in the op-ed section of the </w:t>
      </w:r>
      <w:r w:rsidR="00B310E0" w:rsidRPr="00A50E4D">
        <w:rPr>
          <w:rFonts w:cs="Arial"/>
          <w:i/>
          <w:spacing w:val="-4"/>
          <w:sz w:val="18"/>
          <w:szCs w:val="18"/>
          <w:lang w:val="en-US"/>
        </w:rPr>
        <w:t>El Tiempo</w:t>
      </w:r>
      <w:r w:rsidR="00B310E0" w:rsidRPr="00A50E4D">
        <w:rPr>
          <w:rFonts w:cs="Arial"/>
          <w:spacing w:val="-4"/>
          <w:sz w:val="18"/>
          <w:szCs w:val="18"/>
          <w:lang w:val="en-US"/>
        </w:rPr>
        <w:t xml:space="preserve"> newspaper of San Pedro on August 28, 2009,</w:t>
      </w:r>
      <w:r w:rsidR="00E67F26" w:rsidRPr="00A50E4D">
        <w:rPr>
          <w:rFonts w:cs="Arial"/>
          <w:spacing w:val="-4"/>
          <w:sz w:val="18"/>
          <w:szCs w:val="18"/>
          <w:lang w:val="en-US"/>
        </w:rPr>
        <w:t xml:space="preserve"> in an article</w:t>
      </w:r>
      <w:r w:rsidR="00B310E0" w:rsidRPr="00A50E4D">
        <w:rPr>
          <w:rFonts w:cs="Arial"/>
          <w:spacing w:val="-4"/>
          <w:sz w:val="18"/>
          <w:szCs w:val="18"/>
          <w:lang w:val="en-US"/>
        </w:rPr>
        <w:t xml:space="preserve"> entitled</w:t>
      </w:r>
      <w:r w:rsidR="00E67F26" w:rsidRPr="00A50E4D">
        <w:rPr>
          <w:rFonts w:cs="Arial"/>
          <w:spacing w:val="-4"/>
          <w:sz w:val="18"/>
          <w:szCs w:val="18"/>
          <w:lang w:val="en-US"/>
        </w:rPr>
        <w:t xml:space="preserve"> “</w:t>
      </w:r>
      <w:r w:rsidR="00B310E0" w:rsidRPr="00A50E4D">
        <w:rPr>
          <w:rFonts w:cs="Arial"/>
          <w:spacing w:val="-4"/>
          <w:sz w:val="18"/>
          <w:szCs w:val="18"/>
          <w:lang w:val="en-US"/>
        </w:rPr>
        <w:t>This Was Not A Constitutional Succession</w:t>
      </w:r>
      <w:r w:rsidR="00E67F26" w:rsidRPr="00A50E4D">
        <w:rPr>
          <w:rFonts w:cs="Arial"/>
          <w:spacing w:val="-4"/>
          <w:sz w:val="18"/>
          <w:szCs w:val="18"/>
          <w:lang w:val="en-US"/>
        </w:rPr>
        <w:t>,”</w:t>
      </w:r>
      <w:r w:rsidR="00B310E0" w:rsidRPr="00A50E4D">
        <w:rPr>
          <w:rFonts w:cs="Arial"/>
          <w:spacing w:val="-4"/>
          <w:sz w:val="18"/>
          <w:szCs w:val="18"/>
          <w:lang w:val="en-US"/>
        </w:rPr>
        <w:t xml:space="preserve"> in which he was</w:t>
      </w:r>
      <w:r w:rsidR="00E67F26" w:rsidRPr="00A50E4D">
        <w:rPr>
          <w:rFonts w:cs="Arial"/>
          <w:spacing w:val="-4"/>
          <w:sz w:val="18"/>
          <w:szCs w:val="18"/>
          <w:lang w:val="en-US"/>
        </w:rPr>
        <w:t xml:space="preserve"> identified as a sentencing judge.</w:t>
      </w:r>
      <w:r w:rsidRPr="00A50E4D">
        <w:rPr>
          <w:rStyle w:val="FootnoteReference"/>
          <w:rFonts w:cs="Arial"/>
          <w:spacing w:val="-4"/>
          <w:sz w:val="18"/>
          <w:szCs w:val="18"/>
          <w:lang w:val="en-US"/>
        </w:rPr>
        <w:footnoteReference w:id="267"/>
      </w:r>
    </w:p>
    <w:p w14:paraId="70E5E865" w14:textId="77777777" w:rsidR="00930C85" w:rsidRPr="00A50E4D" w:rsidRDefault="00930C85" w:rsidP="00930C85">
      <w:pPr>
        <w:autoSpaceDE w:val="0"/>
        <w:autoSpaceDN w:val="0"/>
        <w:adjustRightInd w:val="0"/>
        <w:ind w:left="567" w:right="544"/>
        <w:rPr>
          <w:rFonts w:cs="Arial"/>
          <w:spacing w:val="-4"/>
          <w:sz w:val="16"/>
          <w:szCs w:val="16"/>
          <w:lang w:val="en-US"/>
        </w:rPr>
      </w:pPr>
      <w:bookmarkStart w:id="203" w:name="_Ref427311573"/>
    </w:p>
    <w:p w14:paraId="3F11649A" w14:textId="12ACFFE5" w:rsidR="00930C85" w:rsidRPr="00A50E4D" w:rsidRDefault="0029085B" w:rsidP="00E67F26">
      <w:pPr>
        <w:pStyle w:val="PrrafodeSentencia"/>
        <w:rPr>
          <w:lang w:val="en-US"/>
        </w:rPr>
      </w:pPr>
      <w:bookmarkStart w:id="204" w:name="_Ref427339122"/>
      <w:r w:rsidRPr="00A50E4D">
        <w:rPr>
          <w:lang w:val="en-US"/>
        </w:rPr>
        <w:t>On May 5,</w:t>
      </w:r>
      <w:r w:rsidR="00930C85" w:rsidRPr="00A50E4D">
        <w:rPr>
          <w:lang w:val="en-US"/>
        </w:rPr>
        <w:t xml:space="preserve"> 2010</w:t>
      </w:r>
      <w:r w:rsidR="00E67F26" w:rsidRPr="00A50E4D">
        <w:rPr>
          <w:lang w:val="en-US"/>
        </w:rPr>
        <w:t xml:space="preserve">, </w:t>
      </w:r>
      <w:r w:rsidR="00CA5D96" w:rsidRPr="00A50E4D">
        <w:rPr>
          <w:lang w:val="en-US"/>
        </w:rPr>
        <w:t>the plenum</w:t>
      </w:r>
      <w:r w:rsidR="00930C85" w:rsidRPr="00A50E4D">
        <w:rPr>
          <w:lang w:val="en-US"/>
        </w:rPr>
        <w:t xml:space="preserve"> </w:t>
      </w:r>
      <w:r w:rsidR="009808C5" w:rsidRPr="00A50E4D">
        <w:rPr>
          <w:lang w:val="en-US"/>
        </w:rPr>
        <w:t xml:space="preserve">of the </w:t>
      </w:r>
      <w:r w:rsidR="00371BB7" w:rsidRPr="00A50E4D">
        <w:rPr>
          <w:lang w:val="en-US"/>
        </w:rPr>
        <w:t>Supreme Court of Justice</w:t>
      </w:r>
      <w:r w:rsidR="00930C85" w:rsidRPr="00A50E4D">
        <w:rPr>
          <w:lang w:val="en-US"/>
        </w:rPr>
        <w:t xml:space="preserve"> ap</w:t>
      </w:r>
      <w:r w:rsidR="00E67F26" w:rsidRPr="00A50E4D">
        <w:rPr>
          <w:lang w:val="en-US"/>
        </w:rPr>
        <w:t xml:space="preserve">proved </w:t>
      </w:r>
      <w:r w:rsidR="00FF35A9" w:rsidRPr="00A50E4D">
        <w:rPr>
          <w:lang w:val="en-US"/>
        </w:rPr>
        <w:t xml:space="preserve">the </w:t>
      </w:r>
      <w:r w:rsidR="00D563D1" w:rsidRPr="00A50E4D">
        <w:rPr>
          <w:lang w:val="en-US"/>
        </w:rPr>
        <w:t>Personnel Management Directorate</w:t>
      </w:r>
      <w:r w:rsidR="00B310E0" w:rsidRPr="00A50E4D">
        <w:rPr>
          <w:lang w:val="en-US"/>
        </w:rPr>
        <w:t>’s recommendation</w:t>
      </w:r>
      <w:r w:rsidR="00930C85" w:rsidRPr="00A50E4D">
        <w:rPr>
          <w:lang w:val="en-US"/>
        </w:rPr>
        <w:t xml:space="preserve"> </w:t>
      </w:r>
      <w:r w:rsidR="00E67F26" w:rsidRPr="00A50E4D">
        <w:rPr>
          <w:lang w:val="en-US"/>
        </w:rPr>
        <w:t xml:space="preserve">that </w:t>
      </w:r>
      <w:r w:rsidR="00DA4F82" w:rsidRPr="00A50E4D">
        <w:rPr>
          <w:lang w:val="en-US"/>
        </w:rPr>
        <w:t>Mr.</w:t>
      </w:r>
      <w:r w:rsidR="00930C85" w:rsidRPr="00A50E4D">
        <w:rPr>
          <w:lang w:val="en-US"/>
        </w:rPr>
        <w:t xml:space="preserve"> Barrios Maldonado</w:t>
      </w:r>
      <w:r w:rsidR="009808C5" w:rsidRPr="00A50E4D">
        <w:rPr>
          <w:lang w:val="en-US"/>
        </w:rPr>
        <w:t xml:space="preserve"> </w:t>
      </w:r>
      <w:r w:rsidR="00E67F26" w:rsidRPr="00A50E4D">
        <w:rPr>
          <w:lang w:val="en-US"/>
        </w:rPr>
        <w:t>be dismissed and appointed a committee of three justices “</w:t>
      </w:r>
      <w:r w:rsidR="00E67F26" w:rsidRPr="00A50E4D">
        <w:rPr>
          <w:szCs w:val="20"/>
          <w:lang w:val="en-US"/>
        </w:rPr>
        <w:t xml:space="preserve">to draw up the </w:t>
      </w:r>
      <w:r w:rsidR="00B310E0" w:rsidRPr="00A50E4D">
        <w:rPr>
          <w:szCs w:val="20"/>
          <w:lang w:val="en-US"/>
        </w:rPr>
        <w:t>respective</w:t>
      </w:r>
      <w:r w:rsidR="00E67F26" w:rsidRPr="00A50E4D">
        <w:rPr>
          <w:szCs w:val="20"/>
          <w:lang w:val="en-US"/>
        </w:rPr>
        <w:t xml:space="preserve"> resolution and then to issue [the corresponding decision on his removal</w:t>
      </w:r>
      <w:r w:rsidR="00E67F26" w:rsidRPr="00A50E4D">
        <w:rPr>
          <w:lang w:val="en-US"/>
        </w:rPr>
        <w:t>].</w:t>
      </w:r>
      <w:r w:rsidR="00930C85" w:rsidRPr="00A50E4D">
        <w:rPr>
          <w:lang w:val="en-US"/>
        </w:rPr>
        <w:t>”</w:t>
      </w:r>
      <w:r w:rsidR="00930C85" w:rsidRPr="00A50E4D">
        <w:rPr>
          <w:rStyle w:val="FootnoteReference"/>
          <w:sz w:val="20"/>
          <w:szCs w:val="20"/>
          <w:lang w:val="en-US"/>
        </w:rPr>
        <w:footnoteReference w:id="268"/>
      </w:r>
      <w:r w:rsidR="00930C85" w:rsidRPr="00A50E4D">
        <w:rPr>
          <w:lang w:val="en-US"/>
        </w:rPr>
        <w:t xml:space="preserve"> </w:t>
      </w:r>
      <w:r w:rsidR="00E67F26" w:rsidRPr="00A50E4D">
        <w:rPr>
          <w:lang w:val="en-US"/>
        </w:rPr>
        <w:t xml:space="preserve">The case file contains a resolution of the same date signed by the President and the Secretary of the Supreme Court, in which, apparently following up on the orders of </w:t>
      </w:r>
      <w:r w:rsidR="00CA5D96" w:rsidRPr="00A50E4D">
        <w:rPr>
          <w:lang w:val="en-US"/>
        </w:rPr>
        <w:t>the plenum</w:t>
      </w:r>
      <w:r w:rsidR="00E67F26" w:rsidRPr="00A50E4D">
        <w:rPr>
          <w:lang w:val="en-US"/>
        </w:rPr>
        <w:t xml:space="preserve"> of the Court, it set out “the corresponding </w:t>
      </w:r>
      <w:r w:rsidR="009545AB" w:rsidRPr="00A50E4D">
        <w:rPr>
          <w:lang w:val="en-US"/>
        </w:rPr>
        <w:t>grounds</w:t>
      </w:r>
      <w:r w:rsidR="00E67F26" w:rsidRPr="00A50E4D">
        <w:rPr>
          <w:lang w:val="en-US"/>
        </w:rPr>
        <w:t>, which ha</w:t>
      </w:r>
      <w:r w:rsidR="009545AB" w:rsidRPr="00A50E4D">
        <w:rPr>
          <w:lang w:val="en-US"/>
        </w:rPr>
        <w:t>ve</w:t>
      </w:r>
      <w:r w:rsidR="00E67F26" w:rsidRPr="00A50E4D">
        <w:rPr>
          <w:lang w:val="en-US"/>
        </w:rPr>
        <w:t xml:space="preserve"> been approved, adding the date on which the plenary meeting had been held.</w:t>
      </w:r>
      <w:r w:rsidR="00930C85" w:rsidRPr="00A50E4D">
        <w:rPr>
          <w:lang w:val="en-US"/>
        </w:rPr>
        <w:t>”</w:t>
      </w:r>
      <w:r w:rsidR="00930C85" w:rsidRPr="00A50E4D">
        <w:rPr>
          <w:rStyle w:val="FootnoteReference"/>
          <w:rFonts w:cs="Arial"/>
          <w:sz w:val="20"/>
          <w:szCs w:val="20"/>
          <w:lang w:val="en-US"/>
        </w:rPr>
        <w:footnoteReference w:id="269"/>
      </w:r>
      <w:r w:rsidR="00E67F26" w:rsidRPr="00A50E4D">
        <w:rPr>
          <w:lang w:val="en-US"/>
        </w:rPr>
        <w:t xml:space="preserve"> However, this resolution was not notified to Mr. </w:t>
      </w:r>
      <w:r w:rsidR="00930C85" w:rsidRPr="00A50E4D">
        <w:rPr>
          <w:lang w:val="en-US"/>
        </w:rPr>
        <w:t>Barrios Maldonado</w:t>
      </w:r>
      <w:r w:rsidR="00E67F26" w:rsidRPr="00A50E4D">
        <w:rPr>
          <w:lang w:val="en-US"/>
        </w:rPr>
        <w:t>.</w:t>
      </w:r>
      <w:r w:rsidR="00930C85" w:rsidRPr="00A50E4D">
        <w:rPr>
          <w:rStyle w:val="FootnoteReference"/>
          <w:lang w:val="en-US"/>
        </w:rPr>
        <w:footnoteReference w:id="270"/>
      </w:r>
      <w:r w:rsidR="00930C85" w:rsidRPr="00A50E4D">
        <w:rPr>
          <w:lang w:val="en-US"/>
        </w:rPr>
        <w:t xml:space="preserve"> </w:t>
      </w:r>
      <w:r w:rsidR="00E67F26" w:rsidRPr="00A50E4D">
        <w:rPr>
          <w:lang w:val="en-US"/>
        </w:rPr>
        <w:t>On</w:t>
      </w:r>
      <w:r w:rsidR="00930C85" w:rsidRPr="00A50E4D">
        <w:rPr>
          <w:lang w:val="en-US"/>
        </w:rPr>
        <w:t xml:space="preserve"> </w:t>
      </w:r>
      <w:r w:rsidR="008D65AB" w:rsidRPr="00A50E4D">
        <w:rPr>
          <w:lang w:val="en-US"/>
        </w:rPr>
        <w:t>May 21,</w:t>
      </w:r>
      <w:r w:rsidR="00930C85" w:rsidRPr="00A50E4D">
        <w:rPr>
          <w:lang w:val="en-US"/>
        </w:rPr>
        <w:t xml:space="preserve"> 2010</w:t>
      </w:r>
      <w:r w:rsidR="00E67F26" w:rsidRPr="00A50E4D">
        <w:rPr>
          <w:lang w:val="en-US"/>
        </w:rPr>
        <w:t>,</w:t>
      </w:r>
      <w:r w:rsidR="00930C85" w:rsidRPr="00A50E4D">
        <w:rPr>
          <w:lang w:val="en-US"/>
        </w:rPr>
        <w:t xml:space="preserve"> </w:t>
      </w:r>
      <w:r w:rsidR="00371BB7" w:rsidRPr="00A50E4D">
        <w:rPr>
          <w:lang w:val="en-US"/>
        </w:rPr>
        <w:t>the presumed victims</w:t>
      </w:r>
      <w:r w:rsidR="00930C85" w:rsidRPr="00A50E4D">
        <w:rPr>
          <w:lang w:val="en-US"/>
        </w:rPr>
        <w:t xml:space="preserve"> </w:t>
      </w:r>
      <w:r w:rsidR="00E67F26" w:rsidRPr="00A50E4D">
        <w:rPr>
          <w:lang w:val="en-US"/>
        </w:rPr>
        <w:t xml:space="preserve">filed a joint request before the Supreme Court for reconsideration of their sanctions of dismissal, </w:t>
      </w:r>
      <w:r w:rsidR="00E67F26" w:rsidRPr="00A50E4D">
        <w:rPr>
          <w:lang w:val="en-US"/>
        </w:rPr>
        <w:lastRenderedPageBreak/>
        <w:t>pointing out that they had become aware of the May 5</w:t>
      </w:r>
      <w:r w:rsidR="007D50DD" w:rsidRPr="00A50E4D">
        <w:rPr>
          <w:lang w:val="en-US"/>
        </w:rPr>
        <w:t xml:space="preserve"> decisions</w:t>
      </w:r>
      <w:r w:rsidR="00E67F26" w:rsidRPr="00A50E4D">
        <w:rPr>
          <w:lang w:val="en-US"/>
        </w:rPr>
        <w:t xml:space="preserve"> through the media, but they had not received the corresponding </w:t>
      </w:r>
      <w:r w:rsidR="007D50DD" w:rsidRPr="00A50E4D">
        <w:rPr>
          <w:lang w:val="en-US"/>
        </w:rPr>
        <w:t>resolution</w:t>
      </w:r>
      <w:r w:rsidR="00E67F26" w:rsidRPr="00A50E4D">
        <w:rPr>
          <w:lang w:val="en-US"/>
        </w:rPr>
        <w:t>s.</w:t>
      </w:r>
      <w:r w:rsidR="00930C85" w:rsidRPr="00A50E4D">
        <w:rPr>
          <w:rStyle w:val="FootnoteReference"/>
          <w:rFonts w:cs="Arial"/>
          <w:sz w:val="20"/>
          <w:szCs w:val="20"/>
          <w:lang w:val="en-US"/>
        </w:rPr>
        <w:footnoteReference w:id="271"/>
      </w:r>
      <w:bookmarkEnd w:id="203"/>
      <w:bookmarkEnd w:id="204"/>
    </w:p>
    <w:p w14:paraId="194D2FCE" w14:textId="77777777" w:rsidR="00930C85" w:rsidRPr="00A50E4D" w:rsidRDefault="00930C85" w:rsidP="00930C85">
      <w:pPr>
        <w:pStyle w:val="NoSpacing"/>
        <w:tabs>
          <w:tab w:val="left" w:pos="567"/>
        </w:tabs>
        <w:rPr>
          <w:spacing w:val="-4"/>
          <w:szCs w:val="20"/>
          <w:lang w:val="en-US"/>
        </w:rPr>
      </w:pPr>
    </w:p>
    <w:p w14:paraId="412FACBB" w14:textId="6CEE3965" w:rsidR="00930C85" w:rsidRPr="00A50E4D" w:rsidRDefault="00E67F26" w:rsidP="00930C85">
      <w:pPr>
        <w:pStyle w:val="PrrafodeSentencia"/>
        <w:rPr>
          <w:lang w:val="en-US"/>
        </w:rPr>
      </w:pPr>
      <w:bookmarkStart w:id="205" w:name="_Ref426552215"/>
      <w:r w:rsidRPr="00A50E4D">
        <w:rPr>
          <w:lang w:val="en-US"/>
        </w:rPr>
        <w:t>On June 16,</w:t>
      </w:r>
      <w:r w:rsidR="00930C85" w:rsidRPr="00A50E4D">
        <w:rPr>
          <w:lang w:val="en-US"/>
        </w:rPr>
        <w:t xml:space="preserve"> 2010</w:t>
      </w:r>
      <w:r w:rsidRPr="00A50E4D">
        <w:rPr>
          <w:lang w:val="en-US"/>
        </w:rPr>
        <w:t>,</w:t>
      </w:r>
      <w:r w:rsidR="00930C85" w:rsidRPr="00A50E4D">
        <w:rPr>
          <w:lang w:val="en-US"/>
        </w:rPr>
        <w:t xml:space="preserve"> </w:t>
      </w:r>
      <w:r w:rsidR="009808C5" w:rsidRPr="00A50E4D">
        <w:rPr>
          <w:lang w:val="en-US"/>
        </w:rPr>
        <w:t xml:space="preserve">the </w:t>
      </w:r>
      <w:r w:rsidR="00700DEC" w:rsidRPr="00A50E4D">
        <w:rPr>
          <w:lang w:val="en-US"/>
        </w:rPr>
        <w:t>Suprem</w:t>
      </w:r>
      <w:r w:rsidR="002E4296" w:rsidRPr="00A50E4D">
        <w:rPr>
          <w:lang w:val="en-US"/>
        </w:rPr>
        <w:t>e Court issued a ruling on the dismissal</w:t>
      </w:r>
      <w:r w:rsidRPr="00A50E4D">
        <w:rPr>
          <w:lang w:val="en-US"/>
        </w:rPr>
        <w:t>; the only justification included was the following:</w:t>
      </w:r>
      <w:bookmarkEnd w:id="205"/>
    </w:p>
    <w:p w14:paraId="5D0252EE" w14:textId="77777777" w:rsidR="00930C85" w:rsidRPr="00A50E4D" w:rsidRDefault="00930C85" w:rsidP="00930C85">
      <w:pPr>
        <w:pStyle w:val="NoSpacing"/>
        <w:tabs>
          <w:tab w:val="left" w:pos="567"/>
        </w:tabs>
        <w:rPr>
          <w:spacing w:val="-4"/>
          <w:szCs w:val="20"/>
          <w:lang w:val="en-US"/>
        </w:rPr>
      </w:pPr>
    </w:p>
    <w:p w14:paraId="3D345BDD" w14:textId="129C9905" w:rsidR="00930C85" w:rsidRPr="00A50E4D" w:rsidRDefault="009808C5" w:rsidP="002E4296">
      <w:pPr>
        <w:pStyle w:val="NoSpacing"/>
        <w:tabs>
          <w:tab w:val="left" w:pos="567"/>
        </w:tabs>
        <w:ind w:left="567" w:right="544"/>
        <w:rPr>
          <w:spacing w:val="-4"/>
          <w:sz w:val="18"/>
          <w:szCs w:val="18"/>
          <w:lang w:val="en-US"/>
        </w:rPr>
      </w:pPr>
      <w:r w:rsidRPr="00A50E4D">
        <w:rPr>
          <w:spacing w:val="-4"/>
          <w:sz w:val="18"/>
          <w:szCs w:val="18"/>
          <w:lang w:val="en-US"/>
        </w:rPr>
        <w:t xml:space="preserve">THE </w:t>
      </w:r>
      <w:r w:rsidR="00371BB7" w:rsidRPr="00A50E4D">
        <w:rPr>
          <w:spacing w:val="-4"/>
          <w:sz w:val="18"/>
          <w:szCs w:val="18"/>
          <w:lang w:val="en-US"/>
        </w:rPr>
        <w:t>SUPREME COURT OF JUSTICE</w:t>
      </w:r>
      <w:r w:rsidR="00B310E0" w:rsidRPr="00A50E4D">
        <w:rPr>
          <w:spacing w:val="-4"/>
          <w:sz w:val="18"/>
          <w:szCs w:val="18"/>
          <w:lang w:val="en-US"/>
        </w:rPr>
        <w:t xml:space="preserve"> HEREBY DECIDE</w:t>
      </w:r>
      <w:r w:rsidR="002E4296" w:rsidRPr="00A50E4D">
        <w:rPr>
          <w:spacing w:val="-4"/>
          <w:sz w:val="18"/>
          <w:szCs w:val="18"/>
          <w:lang w:val="en-US"/>
        </w:rPr>
        <w:t>S</w:t>
      </w:r>
      <w:r w:rsidR="00930C85" w:rsidRPr="00A50E4D">
        <w:rPr>
          <w:spacing w:val="-4"/>
          <w:sz w:val="18"/>
          <w:szCs w:val="18"/>
          <w:lang w:val="en-US"/>
        </w:rPr>
        <w:t xml:space="preserve">: </w:t>
      </w:r>
      <w:r w:rsidR="002E4296" w:rsidRPr="00A50E4D">
        <w:rPr>
          <w:spacing w:val="-4"/>
          <w:sz w:val="18"/>
          <w:szCs w:val="18"/>
          <w:lang w:val="en-US"/>
        </w:rPr>
        <w:t>(</w:t>
      </w:r>
      <w:r w:rsidR="002E4296" w:rsidRPr="00A50E4D">
        <w:rPr>
          <w:rFonts w:cs="Helvetica"/>
          <w:sz w:val="18"/>
          <w:szCs w:val="18"/>
          <w:lang w:val="en-US"/>
        </w:rPr>
        <w:t xml:space="preserve">1) To dismiss attorney RAMON ENRIQUE BARRIOS from the post of judge on the District Sentencing Court of San Pedro Sula, department of Cortés, for </w:t>
      </w:r>
      <w:r w:rsidR="00CA5D96" w:rsidRPr="00A50E4D">
        <w:rPr>
          <w:rFonts w:cs="Helvetica"/>
          <w:sz w:val="18"/>
          <w:szCs w:val="18"/>
          <w:lang w:val="en-US"/>
        </w:rPr>
        <w:t>non-compliance</w:t>
      </w:r>
      <w:r w:rsidR="002E4296" w:rsidRPr="00A50E4D">
        <w:rPr>
          <w:rFonts w:cs="Helvetica"/>
          <w:sz w:val="18"/>
          <w:szCs w:val="18"/>
          <w:lang w:val="en-US"/>
        </w:rPr>
        <w:t xml:space="preserve"> with or serious violation of his duties and for engaging in acts inimical to </w:t>
      </w:r>
      <w:r w:rsidR="00B310E0" w:rsidRPr="00A50E4D">
        <w:rPr>
          <w:rFonts w:cs="Helvetica"/>
          <w:sz w:val="18"/>
          <w:szCs w:val="18"/>
          <w:lang w:val="en-US"/>
        </w:rPr>
        <w:t>the dignity of</w:t>
      </w:r>
      <w:r w:rsidR="002E4296" w:rsidRPr="00A50E4D">
        <w:rPr>
          <w:rFonts w:cs="Helvetica"/>
          <w:sz w:val="18"/>
          <w:szCs w:val="18"/>
          <w:lang w:val="en-US"/>
        </w:rPr>
        <w:t xml:space="preserve"> the administratio</w:t>
      </w:r>
      <w:r w:rsidR="00B310E0" w:rsidRPr="00A50E4D">
        <w:rPr>
          <w:rFonts w:cs="Helvetica"/>
          <w:sz w:val="18"/>
          <w:szCs w:val="18"/>
          <w:lang w:val="en-US"/>
        </w:rPr>
        <w:t>n of justice, by accepting</w:t>
      </w:r>
      <w:r w:rsidR="002E4296" w:rsidRPr="00A50E4D">
        <w:rPr>
          <w:rFonts w:cs="Helvetica"/>
          <w:sz w:val="18"/>
          <w:szCs w:val="18"/>
          <w:lang w:val="en-US"/>
        </w:rPr>
        <w:t xml:space="preserve"> an</w:t>
      </w:r>
      <w:r w:rsidR="00B310E0" w:rsidRPr="00A50E4D">
        <w:rPr>
          <w:rFonts w:cs="Helvetica"/>
          <w:sz w:val="18"/>
          <w:szCs w:val="18"/>
          <w:lang w:val="en-US"/>
        </w:rPr>
        <w:t xml:space="preserve"> invitation to give a lecture at</w:t>
      </w:r>
      <w:r w:rsidR="002E4296" w:rsidRPr="00A50E4D">
        <w:rPr>
          <w:rFonts w:cs="Helvetica"/>
          <w:sz w:val="18"/>
          <w:szCs w:val="18"/>
          <w:lang w:val="en-US"/>
        </w:rPr>
        <w:t xml:space="preserve"> […] the </w:t>
      </w:r>
      <w:r w:rsidR="002E4296" w:rsidRPr="00A50E4D">
        <w:rPr>
          <w:rFonts w:cs="Helvetica"/>
          <w:i/>
          <w:sz w:val="18"/>
          <w:szCs w:val="18"/>
          <w:lang w:val="en-US"/>
        </w:rPr>
        <w:t xml:space="preserve">Universidad Nacional Autónoma de Honduras, </w:t>
      </w:r>
      <w:r w:rsidR="002E4296" w:rsidRPr="00A50E4D">
        <w:rPr>
          <w:rFonts w:cs="Helvetica"/>
          <w:sz w:val="18"/>
          <w:szCs w:val="18"/>
          <w:lang w:val="en-US"/>
        </w:rPr>
        <w:t xml:space="preserve">Valle de Sula, for professors, employees and the general public. The lecture </w:t>
      </w:r>
      <w:r w:rsidR="00B310E0" w:rsidRPr="00A50E4D">
        <w:rPr>
          <w:rFonts w:cs="Helvetica"/>
          <w:sz w:val="18"/>
          <w:szCs w:val="18"/>
          <w:lang w:val="en-US"/>
        </w:rPr>
        <w:t>related to</w:t>
      </w:r>
      <w:r w:rsidR="002E4296" w:rsidRPr="00A50E4D">
        <w:rPr>
          <w:rFonts w:cs="Helvetica"/>
          <w:sz w:val="18"/>
          <w:szCs w:val="18"/>
          <w:lang w:val="en-US"/>
        </w:rPr>
        <w:t xml:space="preserve"> the events of June 28, 2009, and, since this activity overstepped his teaching functions and he emitted value judgments, it became political. Moreover, under the </w:t>
      </w:r>
      <w:r w:rsidR="002E4296" w:rsidRPr="00A50E4D">
        <w:rPr>
          <w:spacing w:val="-4"/>
          <w:sz w:val="18"/>
          <w:szCs w:val="18"/>
          <w:lang w:val="en-US"/>
        </w:rPr>
        <w:t>Constitution of the Republ</w:t>
      </w:r>
      <w:r w:rsidR="00B310E0" w:rsidRPr="00A50E4D">
        <w:rPr>
          <w:spacing w:val="-4"/>
          <w:sz w:val="18"/>
          <w:szCs w:val="18"/>
          <w:lang w:val="en-US"/>
        </w:rPr>
        <w:t>ic, the Judicial Service Act, the</w:t>
      </w:r>
      <w:r w:rsidR="002E4296" w:rsidRPr="00A50E4D">
        <w:rPr>
          <w:spacing w:val="-4"/>
          <w:sz w:val="18"/>
          <w:szCs w:val="18"/>
          <w:lang w:val="en-US"/>
        </w:rPr>
        <w:t xml:space="preserve"> Law on the Organization and Faculties</w:t>
      </w:r>
      <w:r w:rsidR="00B310E0" w:rsidRPr="00A50E4D">
        <w:rPr>
          <w:spacing w:val="-4"/>
          <w:sz w:val="18"/>
          <w:szCs w:val="18"/>
          <w:lang w:val="en-US"/>
        </w:rPr>
        <w:t xml:space="preserve"> of the Courts and the</w:t>
      </w:r>
      <w:r w:rsidR="002E4296" w:rsidRPr="00A50E4D">
        <w:rPr>
          <w:spacing w:val="-4"/>
          <w:sz w:val="18"/>
          <w:szCs w:val="18"/>
          <w:lang w:val="en-US"/>
        </w:rPr>
        <w:t xml:space="preserve"> Code of Ethics for Judicial Officials and Employees </w:t>
      </w:r>
      <w:r w:rsidR="002E4296" w:rsidRPr="00A50E4D">
        <w:rPr>
          <w:rFonts w:cs="Helvetica"/>
          <w:sz w:val="18"/>
          <w:szCs w:val="18"/>
          <w:lang w:val="en-US"/>
        </w:rPr>
        <w:t>judicial officials are prohibited from engaging in such activities and must refrain from participating in political events or expressing political views, either in private or in public, even though other citizens are permitted to do so. Academic freedom allows a university professor, who is also a judge, to discuss and analyze current national events with his students from an eminently legal standpoint; however this freedom does not extend to any other talk or lecture for an audience other than duly enrolled students</w:t>
      </w:r>
      <w:r w:rsidR="00B310E0" w:rsidRPr="00A50E4D">
        <w:rPr>
          <w:rFonts w:cs="Helvetica"/>
          <w:sz w:val="18"/>
          <w:szCs w:val="18"/>
          <w:lang w:val="en-US"/>
        </w:rPr>
        <w:t>,</w:t>
      </w:r>
      <w:r w:rsidR="002E4296" w:rsidRPr="00A50E4D">
        <w:rPr>
          <w:rFonts w:cs="Helvetica"/>
          <w:sz w:val="18"/>
          <w:szCs w:val="18"/>
          <w:lang w:val="en-US"/>
        </w:rPr>
        <w:t xml:space="preserve"> precisely because he is restricted by his status as a judge and, as such, must refrain from airing political views. </w:t>
      </w:r>
      <w:r w:rsidR="002E4296" w:rsidRPr="00A50E4D">
        <w:rPr>
          <w:spacing w:val="-4"/>
          <w:sz w:val="18"/>
          <w:szCs w:val="18"/>
          <w:lang w:val="en-US"/>
        </w:rPr>
        <w:t xml:space="preserve">This action is incompatible with the decorum required by his office, because he did not seek to avoid participating in events that could lead to the disruption of public order. </w:t>
      </w:r>
      <w:r w:rsidR="002E4296" w:rsidRPr="00A50E4D">
        <w:rPr>
          <w:rFonts w:cs="Helvetica"/>
          <w:sz w:val="18"/>
          <w:szCs w:val="18"/>
          <w:lang w:val="en-US"/>
        </w:rPr>
        <w:t>Furthermore, subsequent to the lecture and with his knowledge and authorization, on Friday, August 28, 2009, his views were published in an article that appeared in the “</w:t>
      </w:r>
      <w:r w:rsidR="00B310E0" w:rsidRPr="00A50E4D">
        <w:rPr>
          <w:rFonts w:cs="Helvetica"/>
          <w:sz w:val="18"/>
          <w:szCs w:val="18"/>
          <w:lang w:val="en-US"/>
        </w:rPr>
        <w:t>op-ed</w:t>
      </w:r>
      <w:r w:rsidR="002E4296" w:rsidRPr="00A50E4D">
        <w:rPr>
          <w:rFonts w:cs="Helvetica"/>
          <w:sz w:val="18"/>
          <w:szCs w:val="18"/>
          <w:lang w:val="en-US"/>
        </w:rPr>
        <w:t xml:space="preserve">” section of the newspaper </w:t>
      </w:r>
      <w:r w:rsidR="00B310E0" w:rsidRPr="00A50E4D">
        <w:rPr>
          <w:rFonts w:cs="Helvetica"/>
          <w:i/>
          <w:sz w:val="18"/>
          <w:szCs w:val="18"/>
          <w:lang w:val="en-US"/>
        </w:rPr>
        <w:t>El T</w:t>
      </w:r>
      <w:r w:rsidR="002E4296" w:rsidRPr="00A50E4D">
        <w:rPr>
          <w:rFonts w:cs="Helvetica"/>
          <w:i/>
          <w:sz w:val="18"/>
          <w:szCs w:val="18"/>
          <w:lang w:val="en-US"/>
        </w:rPr>
        <w:t xml:space="preserve">iempo </w:t>
      </w:r>
      <w:r w:rsidR="002E4296" w:rsidRPr="00A50E4D">
        <w:rPr>
          <w:rFonts w:cs="Helvetica"/>
          <w:sz w:val="18"/>
          <w:szCs w:val="18"/>
          <w:lang w:val="en-US"/>
        </w:rPr>
        <w:t>which circulates in San Pedro Sula, where he is identified as a sentencing judge.</w:t>
      </w:r>
      <w:r w:rsidR="002E4296" w:rsidRPr="00A50E4D">
        <w:rPr>
          <w:spacing w:val="-4"/>
          <w:sz w:val="18"/>
          <w:szCs w:val="18"/>
          <w:lang w:val="en-US"/>
        </w:rPr>
        <w:t xml:space="preserve"> […] </w:t>
      </w:r>
      <w:r w:rsidR="002E4296" w:rsidRPr="00A50E4D">
        <w:rPr>
          <w:rFonts w:cs="Helvetica"/>
          <w:sz w:val="18"/>
          <w:szCs w:val="18"/>
          <w:lang w:val="en-US"/>
        </w:rPr>
        <w:t xml:space="preserve">Articles 80, 82, 83 and 84 of the Judicial Service Act; 1, 3, 4, 7, 9(1), 149, 157, 160, </w:t>
      </w:r>
      <w:r w:rsidR="00B310E0" w:rsidRPr="00A50E4D">
        <w:rPr>
          <w:rFonts w:cs="Helvetica"/>
          <w:sz w:val="18"/>
          <w:szCs w:val="18"/>
          <w:lang w:val="en-US"/>
        </w:rPr>
        <w:t>161, 171, 172(f), 173(c), 174, 180(3), 184, 186, 187</w:t>
      </w:r>
      <w:r w:rsidR="002E4296" w:rsidRPr="00A50E4D">
        <w:rPr>
          <w:rFonts w:cs="Helvetica"/>
          <w:sz w:val="18"/>
          <w:szCs w:val="18"/>
          <w:lang w:val="en-US"/>
        </w:rPr>
        <w:t>(a), 188, 189, 190, 206 and 214 of the Regulations govern</w:t>
      </w:r>
      <w:r w:rsidR="00B310E0" w:rsidRPr="00A50E4D">
        <w:rPr>
          <w:rFonts w:cs="Helvetica"/>
          <w:sz w:val="18"/>
          <w:szCs w:val="18"/>
          <w:lang w:val="en-US"/>
        </w:rPr>
        <w:t>ing the Judicial Service Act; 3</w:t>
      </w:r>
      <w:r w:rsidR="002E4296" w:rsidRPr="00A50E4D">
        <w:rPr>
          <w:rFonts w:cs="Helvetica"/>
          <w:sz w:val="18"/>
          <w:szCs w:val="18"/>
          <w:lang w:val="en-US"/>
        </w:rPr>
        <w:t>(6) and 108 of the Law on the Organization and Faculties of the Courts; 53 of the Model Ibero-American Code of Judicial Ethics; 10 and 20 of the Statute of the Ibero-American Judge; and 1(1), 2(d), 8(a) and 9 of the Code of Ethics for Judicial Officials and Employees</w:t>
      </w:r>
      <w:r w:rsidR="002E4296" w:rsidRPr="00A50E4D">
        <w:rPr>
          <w:b/>
          <w:spacing w:val="-4"/>
          <w:sz w:val="18"/>
          <w:szCs w:val="18"/>
          <w:lang w:val="en-US"/>
        </w:rPr>
        <w:t>.</w:t>
      </w:r>
      <w:r w:rsidR="00930C85" w:rsidRPr="00A50E4D">
        <w:rPr>
          <w:rStyle w:val="FootnoteReference"/>
          <w:rFonts w:cs="Arial"/>
          <w:spacing w:val="-4"/>
          <w:sz w:val="18"/>
          <w:szCs w:val="18"/>
          <w:lang w:val="en-US"/>
        </w:rPr>
        <w:footnoteReference w:id="272"/>
      </w:r>
    </w:p>
    <w:p w14:paraId="1CB4FA3D" w14:textId="77777777" w:rsidR="00930C85" w:rsidRPr="00A50E4D" w:rsidRDefault="00930C85" w:rsidP="00930C85">
      <w:pPr>
        <w:pStyle w:val="ListParagraph"/>
        <w:numPr>
          <w:ilvl w:val="0"/>
          <w:numId w:val="0"/>
        </w:numPr>
        <w:rPr>
          <w:spacing w:val="-4"/>
          <w:lang w:val="en-US"/>
        </w:rPr>
      </w:pPr>
    </w:p>
    <w:p w14:paraId="65F0BE8A" w14:textId="66DC77E9" w:rsidR="00930C85" w:rsidRPr="00A50E4D" w:rsidRDefault="002E4296" w:rsidP="00F51DEA">
      <w:pPr>
        <w:pStyle w:val="PrrafodeSentencia"/>
        <w:rPr>
          <w:lang w:val="en-US"/>
        </w:rPr>
      </w:pPr>
      <w:bookmarkStart w:id="206" w:name="_Ref427311068"/>
      <w:r w:rsidRPr="00A50E4D">
        <w:rPr>
          <w:lang w:val="en-US"/>
        </w:rPr>
        <w:t xml:space="preserve">The ruling indicated that “it shall </w:t>
      </w:r>
      <w:r w:rsidR="00B310E0" w:rsidRPr="00A50E4D">
        <w:rPr>
          <w:lang w:val="en-US"/>
        </w:rPr>
        <w:t>come into effect</w:t>
      </w:r>
      <w:r w:rsidRPr="00A50E4D">
        <w:rPr>
          <w:lang w:val="en-US"/>
        </w:rPr>
        <w:t xml:space="preserve"> on the date of the entry into functions of the substitute.</w:t>
      </w:r>
      <w:r w:rsidR="00930C85" w:rsidRPr="00A50E4D">
        <w:rPr>
          <w:lang w:val="en-US"/>
        </w:rPr>
        <w:t>”</w:t>
      </w:r>
      <w:r w:rsidR="00930C85" w:rsidRPr="00A50E4D">
        <w:rPr>
          <w:vertAlign w:val="superscript"/>
          <w:lang w:val="en-US"/>
        </w:rPr>
        <w:footnoteReference w:id="273"/>
      </w:r>
      <w:r w:rsidRPr="00A50E4D">
        <w:rPr>
          <w:lang w:val="en-US"/>
        </w:rPr>
        <w:t xml:space="preserve"> On this basis, </w:t>
      </w:r>
      <w:r w:rsidR="00A23598" w:rsidRPr="00A50E4D">
        <w:rPr>
          <w:lang w:val="en-US"/>
        </w:rPr>
        <w:t>on June</w:t>
      </w:r>
      <w:r w:rsidR="009D6A26" w:rsidRPr="00A50E4D">
        <w:rPr>
          <w:lang w:val="en-US"/>
        </w:rPr>
        <w:t xml:space="preserve"> 30,</w:t>
      </w:r>
      <w:r w:rsidR="00930C85" w:rsidRPr="00A50E4D">
        <w:rPr>
          <w:lang w:val="en-US"/>
        </w:rPr>
        <w:t xml:space="preserve"> 2010</w:t>
      </w:r>
      <w:r w:rsidRPr="00A50E4D">
        <w:rPr>
          <w:lang w:val="en-US"/>
        </w:rPr>
        <w:t>,</w:t>
      </w:r>
      <w:r w:rsidR="00930C85" w:rsidRPr="00A50E4D">
        <w:rPr>
          <w:lang w:val="en-US"/>
        </w:rPr>
        <w:t xml:space="preserve"> </w:t>
      </w:r>
      <w:r w:rsidRPr="00A50E4D">
        <w:rPr>
          <w:lang w:val="en-US"/>
        </w:rPr>
        <w:t xml:space="preserve">Mr. Barrios </w:t>
      </w:r>
      <w:r w:rsidR="00B310E0" w:rsidRPr="00A50E4D">
        <w:rPr>
          <w:lang w:val="en-US"/>
        </w:rPr>
        <w:t>filed</w:t>
      </w:r>
      <w:r w:rsidRPr="00A50E4D">
        <w:rPr>
          <w:lang w:val="en-US"/>
        </w:rPr>
        <w:t xml:space="preserve"> a complaint before</w:t>
      </w:r>
      <w:r w:rsidR="00930C85" w:rsidRPr="00A50E4D">
        <w:rPr>
          <w:lang w:val="en-US"/>
        </w:rPr>
        <w:t xml:space="preserve"> </w:t>
      </w:r>
      <w:r w:rsidR="006A756C" w:rsidRPr="00A50E4D">
        <w:rPr>
          <w:lang w:val="en-US"/>
        </w:rPr>
        <w:t>the Judicial Service Council</w:t>
      </w:r>
      <w:r w:rsidR="00930C85" w:rsidRPr="00A50E4D">
        <w:rPr>
          <w:lang w:val="en-US"/>
        </w:rPr>
        <w:t xml:space="preserve"> </w:t>
      </w:r>
      <w:r w:rsidRPr="00A50E4D">
        <w:rPr>
          <w:lang w:val="en-US"/>
        </w:rPr>
        <w:t>requiring reinstatement in his post as judge.</w:t>
      </w:r>
      <w:r w:rsidR="00930C85" w:rsidRPr="00A50E4D">
        <w:rPr>
          <w:rStyle w:val="FootnoteReference"/>
          <w:rFonts w:cs="Arial"/>
          <w:sz w:val="20"/>
          <w:szCs w:val="20"/>
          <w:lang w:val="en-US"/>
        </w:rPr>
        <w:footnoteReference w:id="274"/>
      </w:r>
      <w:r w:rsidRPr="00A50E4D">
        <w:rPr>
          <w:szCs w:val="20"/>
          <w:lang w:val="en-US"/>
        </w:rPr>
        <w:t xml:space="preserve"> Five permanent or </w:t>
      </w:r>
      <w:r w:rsidR="00DC3FD7" w:rsidRPr="00A50E4D">
        <w:rPr>
          <w:szCs w:val="20"/>
          <w:lang w:val="en-US"/>
        </w:rPr>
        <w:t>substitute member</w:t>
      </w:r>
      <w:r w:rsidRPr="00A50E4D">
        <w:rPr>
          <w:szCs w:val="20"/>
          <w:lang w:val="en-US"/>
        </w:rPr>
        <w:t xml:space="preserve">s of the Council disqualified themselves from the proceeding, </w:t>
      </w:r>
      <w:r w:rsidR="00B310E0" w:rsidRPr="00A50E4D">
        <w:rPr>
          <w:lang w:val="en-US"/>
        </w:rPr>
        <w:t>because</w:t>
      </w:r>
      <w:r w:rsidRPr="00A50E4D">
        <w:rPr>
          <w:lang w:val="en-US"/>
        </w:rPr>
        <w:t xml:space="preserve"> they had heard the proceedings on the dismissal of Mr. Barrios as members of the Supreme Court of Justice or based on relationship or friendship</w:t>
      </w:r>
      <w:r w:rsidR="00930C85" w:rsidRPr="00A50E4D">
        <w:rPr>
          <w:rStyle w:val="FootnoteReference"/>
          <w:rFonts w:cs="Arial"/>
          <w:sz w:val="20"/>
          <w:szCs w:val="20"/>
          <w:lang w:val="en-US"/>
        </w:rPr>
        <w:footnoteReference w:id="275"/>
      </w:r>
      <w:r w:rsidR="00FF35A9" w:rsidRPr="00A50E4D">
        <w:rPr>
          <w:lang w:val="en-US"/>
        </w:rPr>
        <w:t xml:space="preserve"> </w:t>
      </w:r>
      <w:r w:rsidRPr="00A50E4D">
        <w:rPr>
          <w:lang w:val="en-US"/>
        </w:rPr>
        <w:t xml:space="preserve">as in the preceding cases </w:t>
      </w:r>
      <w:r w:rsidR="00930C85" w:rsidRPr="00A50E4D">
        <w:rPr>
          <w:lang w:val="en-US"/>
        </w:rPr>
        <w:t>(</w:t>
      </w:r>
      <w:r w:rsidR="00930C85" w:rsidRPr="00A50E4D">
        <w:rPr>
          <w:i/>
          <w:lang w:val="en-US"/>
        </w:rPr>
        <w:t xml:space="preserve">supra </w:t>
      </w:r>
      <w:r w:rsidR="00AD5EE7" w:rsidRPr="00A50E4D">
        <w:rPr>
          <w:lang w:val="en-US"/>
        </w:rPr>
        <w:t>para.</w:t>
      </w:r>
      <w:r w:rsidR="00930C85" w:rsidRPr="00A50E4D">
        <w:rPr>
          <w:lang w:val="en-US"/>
        </w:rPr>
        <w:t xml:space="preserve"> </w:t>
      </w:r>
      <w:r w:rsidR="00930C85" w:rsidRPr="00914F55">
        <w:rPr>
          <w:lang w:val="en-US"/>
        </w:rPr>
        <w:fldChar w:fldCharType="begin"/>
      </w:r>
      <w:r w:rsidR="00930C85" w:rsidRPr="00A50E4D">
        <w:rPr>
          <w:lang w:val="en-US"/>
        </w:rPr>
        <w:instrText xml:space="preserve"> REF _Ref424649134 \r \h  \* MERGEFORMAT </w:instrText>
      </w:r>
      <w:r w:rsidR="00930C85" w:rsidRPr="00914F55">
        <w:rPr>
          <w:lang w:val="en-US"/>
        </w:rPr>
      </w:r>
      <w:r w:rsidR="00930C85" w:rsidRPr="00914F55">
        <w:rPr>
          <w:lang w:val="en-US"/>
        </w:rPr>
        <w:fldChar w:fldCharType="separate"/>
      </w:r>
      <w:r w:rsidR="00547588">
        <w:rPr>
          <w:lang w:val="en-US"/>
        </w:rPr>
        <w:t>97</w:t>
      </w:r>
      <w:r w:rsidR="00930C85" w:rsidRPr="00914F55">
        <w:rPr>
          <w:lang w:val="en-US"/>
        </w:rPr>
        <w:fldChar w:fldCharType="end"/>
      </w:r>
      <w:r w:rsidR="00930C85" w:rsidRPr="00A50E4D">
        <w:rPr>
          <w:lang w:val="en-US"/>
        </w:rPr>
        <w:t xml:space="preserve">, </w:t>
      </w:r>
      <w:r w:rsidR="00930C85" w:rsidRPr="00914F55">
        <w:rPr>
          <w:lang w:val="en-US"/>
        </w:rPr>
        <w:fldChar w:fldCharType="begin"/>
      </w:r>
      <w:r w:rsidR="00930C85" w:rsidRPr="00A50E4D">
        <w:rPr>
          <w:lang w:val="en-US"/>
        </w:rPr>
        <w:instrText xml:space="preserve"> REF _Ref424654736 \r \h  \* MERGEFORMAT </w:instrText>
      </w:r>
      <w:r w:rsidR="00930C85" w:rsidRPr="00914F55">
        <w:rPr>
          <w:lang w:val="en-US"/>
        </w:rPr>
      </w:r>
      <w:r w:rsidR="00930C85" w:rsidRPr="00914F55">
        <w:rPr>
          <w:lang w:val="en-US"/>
        </w:rPr>
        <w:fldChar w:fldCharType="separate"/>
      </w:r>
      <w:r w:rsidR="00547588">
        <w:rPr>
          <w:lang w:val="en-US"/>
        </w:rPr>
        <w:t>117</w:t>
      </w:r>
      <w:r w:rsidR="00930C85" w:rsidRPr="00914F55">
        <w:rPr>
          <w:lang w:val="en-US"/>
        </w:rPr>
        <w:fldChar w:fldCharType="end"/>
      </w:r>
      <w:r w:rsidR="009808C5" w:rsidRPr="00A50E4D">
        <w:rPr>
          <w:lang w:val="en-US"/>
        </w:rPr>
        <w:t xml:space="preserve"> and </w:t>
      </w:r>
      <w:r w:rsidR="00930C85" w:rsidRPr="00914F55">
        <w:rPr>
          <w:lang w:val="en-US"/>
        </w:rPr>
        <w:fldChar w:fldCharType="begin"/>
      </w:r>
      <w:r w:rsidR="00930C85" w:rsidRPr="00A50E4D">
        <w:rPr>
          <w:lang w:val="en-US"/>
        </w:rPr>
        <w:instrText xml:space="preserve"> REF _Ref424654739 \r \h  \* MERGEFORMAT </w:instrText>
      </w:r>
      <w:r w:rsidR="00930C85" w:rsidRPr="00914F55">
        <w:rPr>
          <w:lang w:val="en-US"/>
        </w:rPr>
      </w:r>
      <w:r w:rsidR="00930C85" w:rsidRPr="00914F55">
        <w:rPr>
          <w:lang w:val="en-US"/>
        </w:rPr>
        <w:fldChar w:fldCharType="separate"/>
      </w:r>
      <w:r w:rsidR="00547588">
        <w:rPr>
          <w:lang w:val="en-US"/>
        </w:rPr>
        <w:t>133</w:t>
      </w:r>
      <w:r w:rsidR="00930C85" w:rsidRPr="00914F55">
        <w:rPr>
          <w:lang w:val="en-US"/>
        </w:rPr>
        <w:fldChar w:fldCharType="end"/>
      </w:r>
      <w:r w:rsidRPr="00A50E4D">
        <w:rPr>
          <w:lang w:val="en-US"/>
        </w:rPr>
        <w:t xml:space="preserve">). On March </w:t>
      </w:r>
      <w:r w:rsidRPr="00A50E4D">
        <w:rPr>
          <w:lang w:val="en-US"/>
        </w:rPr>
        <w:lastRenderedPageBreak/>
        <w:t xml:space="preserve">22, 2011, it was considered that </w:t>
      </w:r>
      <w:r w:rsidR="00F51DEA" w:rsidRPr="00A50E4D">
        <w:rPr>
          <w:lang w:val="en-US"/>
        </w:rPr>
        <w:t>“the Judicial Service Council had been disbanded” and</w:t>
      </w:r>
      <w:r w:rsidR="00B310E0" w:rsidRPr="00A50E4D">
        <w:rPr>
          <w:lang w:val="en-US"/>
        </w:rPr>
        <w:t xml:space="preserve"> the</w:t>
      </w:r>
      <w:r w:rsidR="00F51DEA" w:rsidRPr="00A50E4D">
        <w:rPr>
          <w:lang w:val="en-US"/>
        </w:rPr>
        <w:t xml:space="preserve"> President of the Supreme Court of Justice was asked to provide guidance. Following the latter’s indications, the President of the Council appointed a lawyer to incorporate the</w:t>
      </w:r>
      <w:r w:rsidR="00B310E0" w:rsidRPr="00A50E4D">
        <w:rPr>
          <w:lang w:val="en-US"/>
        </w:rPr>
        <w:t xml:space="preserve"> Council so that the proceeding</w:t>
      </w:r>
      <w:r w:rsidR="00F51DEA" w:rsidRPr="00A50E4D">
        <w:rPr>
          <w:lang w:val="en-US"/>
        </w:rPr>
        <w:t xml:space="preserve"> could continue.</w:t>
      </w:r>
      <w:r w:rsidR="00930C85" w:rsidRPr="00A50E4D">
        <w:rPr>
          <w:rStyle w:val="FootnoteReference"/>
          <w:rFonts w:cs="Arial"/>
          <w:sz w:val="20"/>
          <w:szCs w:val="20"/>
          <w:lang w:val="en-US"/>
        </w:rPr>
        <w:footnoteReference w:id="276"/>
      </w:r>
      <w:r w:rsidR="00930C85" w:rsidRPr="00A50E4D">
        <w:rPr>
          <w:lang w:val="en-US"/>
        </w:rPr>
        <w:t xml:space="preserve"> </w:t>
      </w:r>
      <w:r w:rsidR="00F51DEA" w:rsidRPr="00A50E4D">
        <w:rPr>
          <w:lang w:val="en-US"/>
        </w:rPr>
        <w:t xml:space="preserve">Subsequently, </w:t>
      </w:r>
      <w:r w:rsidR="000A786A" w:rsidRPr="00A50E4D">
        <w:rPr>
          <w:lang w:val="en-US"/>
        </w:rPr>
        <w:t>another person disqualified him</w:t>
      </w:r>
      <w:r w:rsidR="00F51DEA" w:rsidRPr="00A50E4D">
        <w:rPr>
          <w:lang w:val="en-US"/>
        </w:rPr>
        <w:t>self from the case and a substitute was appointed.</w:t>
      </w:r>
      <w:r w:rsidR="00930C85" w:rsidRPr="00A50E4D">
        <w:rPr>
          <w:rStyle w:val="FootnoteReference"/>
          <w:rFonts w:cs="Arial"/>
          <w:sz w:val="20"/>
          <w:szCs w:val="20"/>
          <w:lang w:val="en-US"/>
        </w:rPr>
        <w:footnoteReference w:id="277"/>
      </w:r>
      <w:bookmarkEnd w:id="206"/>
    </w:p>
    <w:p w14:paraId="5FCA9FCE" w14:textId="77777777" w:rsidR="00930C85" w:rsidRPr="00A50E4D" w:rsidRDefault="00930C85" w:rsidP="00930C85">
      <w:pPr>
        <w:pStyle w:val="NoSpacing"/>
        <w:tabs>
          <w:tab w:val="left" w:pos="567"/>
        </w:tabs>
        <w:rPr>
          <w:spacing w:val="-4"/>
          <w:szCs w:val="20"/>
          <w:lang w:val="en-US"/>
        </w:rPr>
      </w:pPr>
    </w:p>
    <w:p w14:paraId="7B617C59" w14:textId="3B32219B" w:rsidR="00930C85" w:rsidRPr="00A50E4D" w:rsidRDefault="00F51DEA" w:rsidP="00930C85">
      <w:pPr>
        <w:pStyle w:val="PrrafodeSentencia"/>
        <w:rPr>
          <w:lang w:val="en-US"/>
        </w:rPr>
      </w:pPr>
      <w:bookmarkStart w:id="207" w:name="_Ref424563360"/>
      <w:bookmarkStart w:id="208" w:name="_Ref431400542"/>
      <w:r w:rsidRPr="00A50E4D">
        <w:rPr>
          <w:lang w:val="en-US"/>
        </w:rPr>
        <w:t>On</w:t>
      </w:r>
      <w:r w:rsidR="00930C85" w:rsidRPr="00A50E4D">
        <w:rPr>
          <w:lang w:val="en-US"/>
        </w:rPr>
        <w:t xml:space="preserve"> </w:t>
      </w:r>
      <w:r w:rsidR="008D65AB" w:rsidRPr="00A50E4D">
        <w:rPr>
          <w:lang w:val="en-US"/>
        </w:rPr>
        <w:t>August 24</w:t>
      </w:r>
      <w:r w:rsidR="000F731B" w:rsidRPr="00A50E4D">
        <w:rPr>
          <w:lang w:val="en-US"/>
        </w:rPr>
        <w:t>,</w:t>
      </w:r>
      <w:r w:rsidR="00930C85" w:rsidRPr="00A50E4D">
        <w:rPr>
          <w:lang w:val="en-US"/>
        </w:rPr>
        <w:t xml:space="preserve"> 2011</w:t>
      </w:r>
      <w:r w:rsidRPr="00A50E4D">
        <w:rPr>
          <w:lang w:val="en-US"/>
        </w:rPr>
        <w:t xml:space="preserve">, the Council decided to annul the dismissal </w:t>
      </w:r>
      <w:r w:rsidR="00DA4F82" w:rsidRPr="00A50E4D">
        <w:rPr>
          <w:lang w:val="en-US"/>
        </w:rPr>
        <w:t>of Mr.</w:t>
      </w:r>
      <w:r w:rsidR="00930C85" w:rsidRPr="00A50E4D">
        <w:rPr>
          <w:lang w:val="en-US"/>
        </w:rPr>
        <w:t xml:space="preserve"> Barrios </w:t>
      </w:r>
      <w:r w:rsidRPr="00A50E4D">
        <w:rPr>
          <w:lang w:val="en-US"/>
        </w:rPr>
        <w:t xml:space="preserve">decided by </w:t>
      </w:r>
      <w:r w:rsidR="009808C5" w:rsidRPr="00A50E4D">
        <w:rPr>
          <w:lang w:val="en-US"/>
        </w:rPr>
        <w:t xml:space="preserve">the </w:t>
      </w:r>
      <w:r w:rsidR="00371BB7" w:rsidRPr="00A50E4D">
        <w:rPr>
          <w:lang w:val="en-US"/>
        </w:rPr>
        <w:t>Supreme Court of Justice</w:t>
      </w:r>
      <w:r w:rsidR="00930C85" w:rsidRPr="00A50E4D">
        <w:rPr>
          <w:lang w:val="en-US"/>
        </w:rPr>
        <w:t xml:space="preserve"> </w:t>
      </w:r>
      <w:r w:rsidRPr="00A50E4D">
        <w:rPr>
          <w:lang w:val="en-US"/>
        </w:rPr>
        <w:t xml:space="preserve">on June 16, </w:t>
      </w:r>
      <w:r w:rsidR="00930C85" w:rsidRPr="00A50E4D">
        <w:rPr>
          <w:lang w:val="en-US"/>
        </w:rPr>
        <w:t>2010</w:t>
      </w:r>
      <w:r w:rsidRPr="00A50E4D">
        <w:rPr>
          <w:lang w:val="en-US"/>
        </w:rPr>
        <w:t>, and to keep him in the post of sentencing judge.</w:t>
      </w:r>
      <w:r w:rsidR="00930C85" w:rsidRPr="00A50E4D">
        <w:rPr>
          <w:rStyle w:val="FootnoteReference"/>
          <w:rFonts w:cs="Arial"/>
          <w:sz w:val="20"/>
          <w:szCs w:val="20"/>
          <w:lang w:val="en-US"/>
        </w:rPr>
        <w:footnoteReference w:id="278"/>
      </w:r>
      <w:r w:rsidR="00930C85" w:rsidRPr="00A50E4D">
        <w:rPr>
          <w:lang w:val="en-US"/>
        </w:rPr>
        <w:t xml:space="preserve"> </w:t>
      </w:r>
      <w:r w:rsidR="00B310E0" w:rsidRPr="00A50E4D">
        <w:rPr>
          <w:lang w:val="en-US"/>
        </w:rPr>
        <w:t xml:space="preserve">In its decision, the Council, in response to </w:t>
      </w:r>
      <w:r w:rsidRPr="00A50E4D">
        <w:rPr>
          <w:lang w:val="en-US"/>
        </w:rPr>
        <w:t xml:space="preserve">the arguments of the appellant, reiterated the arguments on independence and impartiality that it had already presented in other proceedings </w:t>
      </w:r>
      <w:r w:rsidR="00930C85" w:rsidRPr="00A50E4D">
        <w:rPr>
          <w:lang w:val="en-US"/>
        </w:rPr>
        <w:t>(</w:t>
      </w:r>
      <w:r w:rsidR="00930C85" w:rsidRPr="00A50E4D">
        <w:rPr>
          <w:i/>
          <w:lang w:val="en-US"/>
        </w:rPr>
        <w:t xml:space="preserve">supra </w:t>
      </w:r>
      <w:r w:rsidR="00AD5EE7" w:rsidRPr="00A50E4D">
        <w:rPr>
          <w:lang w:val="en-US"/>
        </w:rPr>
        <w:t>paras.</w:t>
      </w:r>
      <w:r w:rsidR="00930C85" w:rsidRPr="00A50E4D">
        <w:rPr>
          <w:lang w:val="en-US"/>
        </w:rPr>
        <w:t xml:space="preserve"> </w:t>
      </w:r>
      <w:r w:rsidR="00930C85" w:rsidRPr="00914F55">
        <w:rPr>
          <w:lang w:val="en-US"/>
        </w:rPr>
        <w:fldChar w:fldCharType="begin"/>
      </w:r>
      <w:r w:rsidR="00930C85" w:rsidRPr="00A50E4D">
        <w:rPr>
          <w:lang w:val="en-US"/>
        </w:rPr>
        <w:instrText xml:space="preserve"> REF _Ref424649494 \r \h  \* MERGEFORMAT </w:instrText>
      </w:r>
      <w:r w:rsidR="00930C85" w:rsidRPr="00914F55">
        <w:rPr>
          <w:lang w:val="en-US"/>
        </w:rPr>
      </w:r>
      <w:r w:rsidR="00930C85" w:rsidRPr="00914F55">
        <w:rPr>
          <w:lang w:val="en-US"/>
        </w:rPr>
        <w:fldChar w:fldCharType="separate"/>
      </w:r>
      <w:r w:rsidR="00547588">
        <w:rPr>
          <w:lang w:val="en-US"/>
        </w:rPr>
        <w:t>99</w:t>
      </w:r>
      <w:r w:rsidR="00930C85" w:rsidRPr="00914F55">
        <w:rPr>
          <w:lang w:val="en-US"/>
        </w:rPr>
        <w:fldChar w:fldCharType="end"/>
      </w:r>
      <w:r w:rsidR="00930C85" w:rsidRPr="00A50E4D">
        <w:rPr>
          <w:lang w:val="en-US"/>
        </w:rPr>
        <w:t xml:space="preserve">, </w:t>
      </w:r>
      <w:r w:rsidR="00930C85" w:rsidRPr="00914F55">
        <w:rPr>
          <w:lang w:val="en-US"/>
        </w:rPr>
        <w:fldChar w:fldCharType="begin"/>
      </w:r>
      <w:r w:rsidR="00930C85" w:rsidRPr="00A50E4D">
        <w:rPr>
          <w:lang w:val="en-US"/>
        </w:rPr>
        <w:instrText xml:space="preserve"> REF _Ref424653459 \r \h  \* MERGEFORMAT </w:instrText>
      </w:r>
      <w:r w:rsidR="00930C85" w:rsidRPr="00914F55">
        <w:rPr>
          <w:lang w:val="en-US"/>
        </w:rPr>
      </w:r>
      <w:r w:rsidR="00930C85" w:rsidRPr="00914F55">
        <w:rPr>
          <w:lang w:val="en-US"/>
        </w:rPr>
        <w:fldChar w:fldCharType="separate"/>
      </w:r>
      <w:r w:rsidR="00547588">
        <w:rPr>
          <w:lang w:val="en-US"/>
        </w:rPr>
        <w:t>118</w:t>
      </w:r>
      <w:r w:rsidR="00930C85" w:rsidRPr="00914F55">
        <w:rPr>
          <w:lang w:val="en-US"/>
        </w:rPr>
        <w:fldChar w:fldCharType="end"/>
      </w:r>
      <w:r w:rsidR="009808C5" w:rsidRPr="00A50E4D">
        <w:rPr>
          <w:lang w:val="en-US"/>
        </w:rPr>
        <w:t xml:space="preserve"> and </w:t>
      </w:r>
      <w:r w:rsidR="00930C85" w:rsidRPr="00914F55">
        <w:rPr>
          <w:lang w:val="en-US"/>
        </w:rPr>
        <w:fldChar w:fldCharType="begin"/>
      </w:r>
      <w:r w:rsidR="00930C85" w:rsidRPr="00A50E4D">
        <w:rPr>
          <w:lang w:val="en-US"/>
        </w:rPr>
        <w:instrText xml:space="preserve"> REF _Ref424654878 \r \h  \* MERGEFORMAT </w:instrText>
      </w:r>
      <w:r w:rsidR="00930C85" w:rsidRPr="00914F55">
        <w:rPr>
          <w:lang w:val="en-US"/>
        </w:rPr>
      </w:r>
      <w:r w:rsidR="00930C85" w:rsidRPr="00914F55">
        <w:rPr>
          <w:lang w:val="en-US"/>
        </w:rPr>
        <w:fldChar w:fldCharType="separate"/>
      </w:r>
      <w:r w:rsidR="00547588">
        <w:rPr>
          <w:lang w:val="en-US"/>
        </w:rPr>
        <w:t>134</w:t>
      </w:r>
      <w:r w:rsidR="00930C85" w:rsidRPr="00914F55">
        <w:rPr>
          <w:lang w:val="en-US"/>
        </w:rPr>
        <w:fldChar w:fldCharType="end"/>
      </w:r>
      <w:r w:rsidR="00930C85" w:rsidRPr="00A50E4D">
        <w:rPr>
          <w:lang w:val="en-US"/>
        </w:rPr>
        <w:t>)</w:t>
      </w:r>
      <w:r w:rsidRPr="00A50E4D">
        <w:rPr>
          <w:lang w:val="en-US"/>
        </w:rPr>
        <w:t>.</w:t>
      </w:r>
      <w:r w:rsidR="00930C85" w:rsidRPr="00A50E4D">
        <w:rPr>
          <w:rStyle w:val="FootnoteReference"/>
          <w:rFonts w:cs="Arial"/>
          <w:sz w:val="20"/>
          <w:szCs w:val="20"/>
          <w:lang w:val="en-US"/>
        </w:rPr>
        <w:footnoteReference w:id="279"/>
      </w:r>
      <w:r w:rsidRPr="00A50E4D">
        <w:rPr>
          <w:lang w:val="en-US"/>
        </w:rPr>
        <w:t xml:space="preserve"> However, it </w:t>
      </w:r>
      <w:r w:rsidR="00B310E0" w:rsidRPr="00A50E4D">
        <w:rPr>
          <w:lang w:val="en-US"/>
        </w:rPr>
        <w:t xml:space="preserve">indicated that it had been </w:t>
      </w:r>
      <w:r w:rsidRPr="00A50E4D">
        <w:rPr>
          <w:lang w:val="en-US"/>
        </w:rPr>
        <w:t xml:space="preserve">proved that </w:t>
      </w:r>
      <w:r w:rsidR="002E4296" w:rsidRPr="00A50E4D">
        <w:rPr>
          <w:lang w:val="en-US"/>
        </w:rPr>
        <w:t>Mr. Barrios</w:t>
      </w:r>
      <w:r w:rsidRPr="00A50E4D">
        <w:rPr>
          <w:lang w:val="en-US"/>
        </w:rPr>
        <w:t xml:space="preserve"> had not written the newspaper article.</w:t>
      </w:r>
      <w:r w:rsidR="00930C85" w:rsidRPr="00A50E4D">
        <w:rPr>
          <w:rStyle w:val="FootnoteReference"/>
          <w:rFonts w:cs="Arial"/>
          <w:sz w:val="20"/>
          <w:szCs w:val="20"/>
          <w:lang w:val="en-US"/>
        </w:rPr>
        <w:footnoteReference w:id="280"/>
      </w:r>
      <w:r w:rsidR="00930C85" w:rsidRPr="00A50E4D">
        <w:rPr>
          <w:lang w:val="en-US"/>
        </w:rPr>
        <w:t xml:space="preserve"> </w:t>
      </w:r>
      <w:r w:rsidRPr="00A50E4D">
        <w:rPr>
          <w:lang w:val="en-US"/>
        </w:rPr>
        <w:t xml:space="preserve">Also, taking into account the right to </w:t>
      </w:r>
      <w:r w:rsidR="00371BB7" w:rsidRPr="00A50E4D">
        <w:rPr>
          <w:lang w:val="en-US"/>
        </w:rPr>
        <w:t>freedom of expression</w:t>
      </w:r>
      <w:r w:rsidR="00930C85" w:rsidRPr="00A50E4D">
        <w:rPr>
          <w:lang w:val="en-US"/>
        </w:rPr>
        <w:t xml:space="preserve">, </w:t>
      </w:r>
      <w:r w:rsidRPr="00A50E4D">
        <w:rPr>
          <w:lang w:val="en-US"/>
        </w:rPr>
        <w:t>the Council considered that “the investigation carried out by</w:t>
      </w:r>
      <w:r w:rsidR="00930C85" w:rsidRPr="00A50E4D">
        <w:rPr>
          <w:lang w:val="en-US"/>
        </w:rPr>
        <w:t xml:space="preserve"> </w:t>
      </w:r>
      <w:r w:rsidR="00DA4F82" w:rsidRPr="00A50E4D">
        <w:rPr>
          <w:lang w:val="en-US"/>
        </w:rPr>
        <w:t>the Inspectorate</w:t>
      </w:r>
      <w:r w:rsidR="00930C85" w:rsidRPr="00A50E4D">
        <w:rPr>
          <w:lang w:val="en-US"/>
        </w:rPr>
        <w:t xml:space="preserve"> </w:t>
      </w:r>
      <w:r w:rsidR="000F4023" w:rsidRPr="00A50E4D">
        <w:rPr>
          <w:lang w:val="en-US"/>
        </w:rPr>
        <w:t>of Courts and Tribunals</w:t>
      </w:r>
      <w:r w:rsidRPr="00A50E4D">
        <w:rPr>
          <w:lang w:val="en-US"/>
        </w:rPr>
        <w:t xml:space="preserve"> […]</w:t>
      </w:r>
      <w:r w:rsidR="00930C85" w:rsidRPr="00A50E4D">
        <w:rPr>
          <w:lang w:val="en-US"/>
        </w:rPr>
        <w:t xml:space="preserve"> </w:t>
      </w:r>
      <w:r w:rsidRPr="00A50E4D">
        <w:rPr>
          <w:lang w:val="en-US"/>
        </w:rPr>
        <w:t xml:space="preserve">was insufficient to substantiate the </w:t>
      </w:r>
      <w:r w:rsidR="00B310E0" w:rsidRPr="00A50E4D">
        <w:rPr>
          <w:lang w:val="en-US"/>
        </w:rPr>
        <w:t>grounds for</w:t>
      </w:r>
      <w:r w:rsidRPr="00A50E4D">
        <w:rPr>
          <w:lang w:val="en-US"/>
        </w:rPr>
        <w:t xml:space="preserve"> dismissal beyond a reasonable doubt with other types of evidence.</w:t>
      </w:r>
      <w:r w:rsidR="00930C85" w:rsidRPr="00A50E4D">
        <w:rPr>
          <w:lang w:val="en-US"/>
        </w:rPr>
        <w:t>”</w:t>
      </w:r>
      <w:r w:rsidR="00930C85" w:rsidRPr="00A50E4D">
        <w:rPr>
          <w:rStyle w:val="FootnoteReference"/>
          <w:rFonts w:cs="Arial"/>
          <w:sz w:val="20"/>
          <w:szCs w:val="20"/>
          <w:lang w:val="en-US"/>
        </w:rPr>
        <w:footnoteReference w:id="281"/>
      </w:r>
      <w:r w:rsidRPr="00A50E4D">
        <w:rPr>
          <w:lang w:val="en-US"/>
        </w:rPr>
        <w:t xml:space="preserve"> In addition, the Council decided to declare inadmissible the claim for reinstatement in office and reimbursement of salaries that had not been perceived, because </w:t>
      </w:r>
      <w:r w:rsidR="002E4296" w:rsidRPr="00A50E4D">
        <w:rPr>
          <w:lang w:val="en-US"/>
        </w:rPr>
        <w:t>Mr. Barrios</w:t>
      </w:r>
      <w:r w:rsidR="00B310E0" w:rsidRPr="00A50E4D">
        <w:rPr>
          <w:lang w:val="en-US"/>
        </w:rPr>
        <w:t xml:space="preserve"> was working at the date the</w:t>
      </w:r>
      <w:r w:rsidRPr="00A50E4D">
        <w:rPr>
          <w:lang w:val="en-US"/>
        </w:rPr>
        <w:t xml:space="preserve"> decision was issued,</w:t>
      </w:r>
      <w:bookmarkStart w:id="209" w:name="_Ref431893029"/>
      <w:r w:rsidR="00930C85" w:rsidRPr="00A50E4D">
        <w:rPr>
          <w:rStyle w:val="FootnoteReference"/>
          <w:rFonts w:cs="Arial"/>
          <w:sz w:val="20"/>
          <w:szCs w:val="20"/>
          <w:lang w:val="en-US"/>
        </w:rPr>
        <w:footnoteReference w:id="282"/>
      </w:r>
      <w:bookmarkEnd w:id="207"/>
      <w:bookmarkEnd w:id="208"/>
      <w:bookmarkEnd w:id="209"/>
      <w:r w:rsidRPr="00A50E4D">
        <w:rPr>
          <w:lang w:val="en-US"/>
        </w:rPr>
        <w:t xml:space="preserve"> as his dismissal had not taken effect </w:t>
      </w:r>
      <w:r w:rsidR="00E634F9" w:rsidRPr="00A50E4D">
        <w:rPr>
          <w:lang w:val="en-US"/>
        </w:rPr>
        <w:t>(</w:t>
      </w:r>
      <w:r w:rsidR="00E634F9" w:rsidRPr="00A50E4D">
        <w:rPr>
          <w:i/>
          <w:lang w:val="en-US"/>
        </w:rPr>
        <w:t xml:space="preserve">supra </w:t>
      </w:r>
      <w:r w:rsidR="00AD5EE7" w:rsidRPr="00A50E4D">
        <w:rPr>
          <w:lang w:val="en-US"/>
        </w:rPr>
        <w:t>para.</w:t>
      </w:r>
      <w:r w:rsidR="00E634F9" w:rsidRPr="00A50E4D">
        <w:rPr>
          <w:lang w:val="en-US"/>
        </w:rPr>
        <w:t xml:space="preserve"> </w:t>
      </w:r>
      <w:r w:rsidR="00E634F9" w:rsidRPr="00914F55">
        <w:rPr>
          <w:lang w:val="en-US"/>
        </w:rPr>
        <w:fldChar w:fldCharType="begin"/>
      </w:r>
      <w:r w:rsidR="00E634F9" w:rsidRPr="00A50E4D">
        <w:rPr>
          <w:lang w:val="en-US"/>
        </w:rPr>
        <w:instrText xml:space="preserve"> REF _Ref427311068 \r \h </w:instrText>
      </w:r>
      <w:r w:rsidR="009E1C09" w:rsidRPr="00A50E4D">
        <w:rPr>
          <w:lang w:val="en-US"/>
        </w:rPr>
        <w:instrText xml:space="preserve"> \* MERGEFORMAT </w:instrText>
      </w:r>
      <w:r w:rsidR="00E634F9" w:rsidRPr="00914F55">
        <w:rPr>
          <w:lang w:val="en-US"/>
        </w:rPr>
      </w:r>
      <w:r w:rsidR="00E634F9" w:rsidRPr="00914F55">
        <w:rPr>
          <w:lang w:val="en-US"/>
        </w:rPr>
        <w:fldChar w:fldCharType="separate"/>
      </w:r>
      <w:r w:rsidR="00547588">
        <w:rPr>
          <w:lang w:val="en-US"/>
        </w:rPr>
        <w:t>146</w:t>
      </w:r>
      <w:r w:rsidR="00E634F9" w:rsidRPr="00914F55">
        <w:rPr>
          <w:lang w:val="en-US"/>
        </w:rPr>
        <w:fldChar w:fldCharType="end"/>
      </w:r>
      <w:r w:rsidR="00E634F9" w:rsidRPr="00A50E4D">
        <w:rPr>
          <w:lang w:val="en-US"/>
        </w:rPr>
        <w:t>).</w:t>
      </w:r>
    </w:p>
    <w:p w14:paraId="65EC4C5B" w14:textId="77777777" w:rsidR="00437AC6" w:rsidRPr="00A50E4D" w:rsidRDefault="00437AC6" w:rsidP="00437AC6">
      <w:pPr>
        <w:rPr>
          <w:lang w:val="en-US" w:eastAsia="es-MX"/>
        </w:rPr>
      </w:pPr>
    </w:p>
    <w:p w14:paraId="353A19CC" w14:textId="77777777" w:rsidR="006A2674" w:rsidRPr="00A50E4D" w:rsidRDefault="00437AC6" w:rsidP="006A2674">
      <w:pPr>
        <w:pStyle w:val="Heading1"/>
        <w:rPr>
          <w:lang w:val="en-US"/>
        </w:rPr>
      </w:pPr>
      <w:bookmarkStart w:id="210" w:name="_Toc424834707"/>
      <w:bookmarkStart w:id="211" w:name="_Toc427932803"/>
      <w:bookmarkStart w:id="212" w:name="_Toc431584634"/>
      <w:bookmarkStart w:id="213" w:name="_Toc471717267"/>
      <w:r w:rsidRPr="00A50E4D">
        <w:rPr>
          <w:lang w:val="en-US"/>
        </w:rPr>
        <w:t>VII</w:t>
      </w:r>
      <w:bookmarkEnd w:id="210"/>
      <w:bookmarkEnd w:id="211"/>
      <w:bookmarkEnd w:id="212"/>
      <w:bookmarkEnd w:id="213"/>
    </w:p>
    <w:p w14:paraId="10FC7FAE" w14:textId="15E54AD3" w:rsidR="00437AC6" w:rsidRPr="00A50E4D" w:rsidRDefault="009E1C09" w:rsidP="006A2674">
      <w:pPr>
        <w:pStyle w:val="Heading1"/>
        <w:rPr>
          <w:lang w:val="en-US"/>
        </w:rPr>
      </w:pPr>
      <w:bookmarkStart w:id="214" w:name="_Toc471717268"/>
      <w:r w:rsidRPr="00A50E4D">
        <w:rPr>
          <w:lang w:val="en-US"/>
        </w:rPr>
        <w:t>MERITS</w:t>
      </w:r>
      <w:bookmarkEnd w:id="214"/>
    </w:p>
    <w:p w14:paraId="41BADE26" w14:textId="77777777" w:rsidR="00064646" w:rsidRPr="00A50E4D" w:rsidRDefault="00064646" w:rsidP="00437AC6">
      <w:pPr>
        <w:rPr>
          <w:lang w:val="en-US" w:eastAsia="es-CR"/>
        </w:rPr>
      </w:pPr>
    </w:p>
    <w:p w14:paraId="583B6A36" w14:textId="333273A3" w:rsidR="00C679DB" w:rsidRPr="00A50E4D" w:rsidRDefault="0009368F" w:rsidP="00C679DB">
      <w:pPr>
        <w:pStyle w:val="PrrafodeSentencia"/>
        <w:rPr>
          <w:szCs w:val="20"/>
          <w:lang w:val="en-US"/>
        </w:rPr>
      </w:pPr>
      <w:bookmarkStart w:id="215" w:name="_Ref431586078"/>
      <w:r w:rsidRPr="00A50E4D">
        <w:rPr>
          <w:szCs w:val="20"/>
          <w:lang w:val="en-US"/>
        </w:rPr>
        <w:t xml:space="preserve">Taking into considering the </w:t>
      </w:r>
      <w:r w:rsidR="00700DEC" w:rsidRPr="00A50E4D">
        <w:rPr>
          <w:szCs w:val="20"/>
          <w:lang w:val="en-US"/>
        </w:rPr>
        <w:t>context</w:t>
      </w:r>
      <w:r w:rsidR="00FF35A9" w:rsidRPr="00A50E4D">
        <w:rPr>
          <w:szCs w:val="20"/>
          <w:lang w:val="en-US"/>
        </w:rPr>
        <w:t xml:space="preserve"> of </w:t>
      </w:r>
      <w:r w:rsidRPr="00A50E4D">
        <w:rPr>
          <w:szCs w:val="20"/>
          <w:lang w:val="en-US"/>
        </w:rPr>
        <w:t>this case</w:t>
      </w:r>
      <w:r w:rsidR="00C679DB" w:rsidRPr="00A50E4D">
        <w:rPr>
          <w:szCs w:val="20"/>
          <w:lang w:val="en-US"/>
        </w:rPr>
        <w:t xml:space="preserve"> </w:t>
      </w:r>
      <w:r w:rsidR="00C679DB" w:rsidRPr="00A50E4D">
        <w:rPr>
          <w:lang w:val="en-US"/>
        </w:rPr>
        <w:t>(</w:t>
      </w:r>
      <w:r w:rsidR="00C679DB" w:rsidRPr="00A50E4D">
        <w:rPr>
          <w:i/>
          <w:lang w:val="en-US"/>
        </w:rPr>
        <w:t>supra</w:t>
      </w:r>
      <w:r w:rsidR="00C679DB" w:rsidRPr="00A50E4D">
        <w:rPr>
          <w:lang w:val="en-US"/>
        </w:rPr>
        <w:t xml:space="preserve"> </w:t>
      </w:r>
      <w:r w:rsidR="00AD5EE7" w:rsidRPr="00A50E4D">
        <w:rPr>
          <w:lang w:val="en-US"/>
        </w:rPr>
        <w:t>paras.</w:t>
      </w:r>
      <w:r w:rsidR="00C679DB" w:rsidRPr="00A50E4D">
        <w:rPr>
          <w:lang w:val="en-US"/>
        </w:rPr>
        <w:t xml:space="preserve"> </w:t>
      </w:r>
      <w:r w:rsidR="00C679DB" w:rsidRPr="00914F55">
        <w:rPr>
          <w:szCs w:val="20"/>
          <w:lang w:val="en-US"/>
        </w:rPr>
        <w:fldChar w:fldCharType="begin"/>
      </w:r>
      <w:r w:rsidR="00C679DB" w:rsidRPr="00A50E4D">
        <w:rPr>
          <w:szCs w:val="20"/>
          <w:lang w:val="en-US"/>
        </w:rPr>
        <w:instrText xml:space="preserve"> REF _Ref431396989 \r \h  \* MERGEFORMAT </w:instrText>
      </w:r>
      <w:r w:rsidR="00C679DB" w:rsidRPr="00914F55">
        <w:rPr>
          <w:szCs w:val="20"/>
          <w:lang w:val="en-US"/>
        </w:rPr>
      </w:r>
      <w:r w:rsidR="00C679DB" w:rsidRPr="00914F55">
        <w:rPr>
          <w:szCs w:val="20"/>
          <w:lang w:val="en-US"/>
        </w:rPr>
        <w:fldChar w:fldCharType="separate"/>
      </w:r>
      <w:r w:rsidR="00547588">
        <w:rPr>
          <w:szCs w:val="20"/>
          <w:lang w:val="en-US"/>
        </w:rPr>
        <w:t>44</w:t>
      </w:r>
      <w:r w:rsidR="00C679DB" w:rsidRPr="00914F55">
        <w:rPr>
          <w:szCs w:val="20"/>
          <w:lang w:val="en-US"/>
        </w:rPr>
        <w:fldChar w:fldCharType="end"/>
      </w:r>
      <w:r w:rsidRPr="00A50E4D">
        <w:rPr>
          <w:szCs w:val="20"/>
          <w:lang w:val="en-US"/>
        </w:rPr>
        <w:t xml:space="preserve"> to</w:t>
      </w:r>
      <w:r w:rsidR="00C679DB" w:rsidRPr="00A50E4D">
        <w:rPr>
          <w:szCs w:val="20"/>
          <w:lang w:val="en-US"/>
        </w:rPr>
        <w:t xml:space="preserve"> </w:t>
      </w:r>
      <w:r w:rsidR="00C679DB" w:rsidRPr="00914F55">
        <w:rPr>
          <w:szCs w:val="20"/>
          <w:lang w:val="en-US"/>
        </w:rPr>
        <w:fldChar w:fldCharType="begin"/>
      </w:r>
      <w:r w:rsidR="00C679DB" w:rsidRPr="00A50E4D">
        <w:rPr>
          <w:szCs w:val="20"/>
          <w:lang w:val="en-US"/>
        </w:rPr>
        <w:instrText xml:space="preserve"> REF _Ref431473536 \r \h  \* MERGEFORMAT </w:instrText>
      </w:r>
      <w:r w:rsidR="00C679DB" w:rsidRPr="00914F55">
        <w:rPr>
          <w:szCs w:val="20"/>
          <w:lang w:val="en-US"/>
        </w:rPr>
      </w:r>
      <w:r w:rsidR="00C679DB" w:rsidRPr="00914F55">
        <w:rPr>
          <w:szCs w:val="20"/>
          <w:lang w:val="en-US"/>
        </w:rPr>
        <w:fldChar w:fldCharType="separate"/>
      </w:r>
      <w:r w:rsidR="00547588">
        <w:rPr>
          <w:szCs w:val="20"/>
          <w:lang w:val="en-US"/>
        </w:rPr>
        <w:t>69</w:t>
      </w:r>
      <w:r w:rsidR="00C679DB" w:rsidRPr="00914F55">
        <w:rPr>
          <w:szCs w:val="20"/>
          <w:lang w:val="en-US"/>
        </w:rPr>
        <w:fldChar w:fldCharType="end"/>
      </w:r>
      <w:r w:rsidR="00C679DB" w:rsidRPr="00A50E4D">
        <w:rPr>
          <w:szCs w:val="20"/>
          <w:lang w:val="en-US"/>
        </w:rPr>
        <w:t>)</w:t>
      </w:r>
      <w:r w:rsidR="009808C5" w:rsidRPr="00A50E4D">
        <w:rPr>
          <w:szCs w:val="20"/>
          <w:lang w:val="en-US"/>
        </w:rPr>
        <w:t xml:space="preserve"> and </w:t>
      </w:r>
      <w:r w:rsidRPr="00A50E4D">
        <w:rPr>
          <w:szCs w:val="20"/>
          <w:lang w:val="en-US"/>
        </w:rPr>
        <w:t xml:space="preserve">the facts that it has considered proved, the Court finds that </w:t>
      </w:r>
      <w:r w:rsidR="00FF35A9" w:rsidRPr="00A50E4D">
        <w:rPr>
          <w:szCs w:val="20"/>
          <w:lang w:val="en-US"/>
        </w:rPr>
        <w:t>the disciplinary proceedings against</w:t>
      </w:r>
      <w:r w:rsidR="00C679DB" w:rsidRPr="00A50E4D">
        <w:rPr>
          <w:szCs w:val="20"/>
          <w:lang w:val="en-US"/>
        </w:rPr>
        <w:t xml:space="preserve"> </w:t>
      </w:r>
      <w:r w:rsidR="00371BB7" w:rsidRPr="00A50E4D">
        <w:rPr>
          <w:szCs w:val="20"/>
          <w:lang w:val="en-US"/>
        </w:rPr>
        <w:t>the presumed victims</w:t>
      </w:r>
      <w:r w:rsidR="00C679DB" w:rsidRPr="00A50E4D">
        <w:rPr>
          <w:szCs w:val="20"/>
          <w:lang w:val="en-US"/>
        </w:rPr>
        <w:t xml:space="preserve"> </w:t>
      </w:r>
      <w:r w:rsidRPr="00A50E4D">
        <w:rPr>
          <w:szCs w:val="20"/>
          <w:lang w:val="en-US"/>
        </w:rPr>
        <w:t xml:space="preserve">were instituted based on their actions in defense of democracy. These actions corresponded not only to the </w:t>
      </w:r>
      <w:r w:rsidR="00D31673" w:rsidRPr="00A50E4D">
        <w:rPr>
          <w:szCs w:val="20"/>
          <w:lang w:val="en-US"/>
        </w:rPr>
        <w:t>exercise of a right, but also to</w:t>
      </w:r>
      <w:r w:rsidRPr="00A50E4D">
        <w:rPr>
          <w:szCs w:val="20"/>
          <w:lang w:val="en-US"/>
        </w:rPr>
        <w:t xml:space="preserve"> compliance with the obligation to defend democracy, based on the provisions of </w:t>
      </w:r>
      <w:r w:rsidR="009808C5" w:rsidRPr="00A50E4D">
        <w:rPr>
          <w:szCs w:val="20"/>
          <w:lang w:val="en-US"/>
        </w:rPr>
        <w:t>the American Convention</w:t>
      </w:r>
      <w:r w:rsidR="00C171A4" w:rsidRPr="00A50E4D">
        <w:rPr>
          <w:szCs w:val="20"/>
          <w:lang w:val="en-US"/>
        </w:rPr>
        <w:t>,</w:t>
      </w:r>
      <w:r w:rsidR="009808C5" w:rsidRPr="00A50E4D">
        <w:rPr>
          <w:szCs w:val="20"/>
          <w:lang w:val="en-US"/>
        </w:rPr>
        <w:t xml:space="preserve"> and </w:t>
      </w:r>
      <w:r w:rsidRPr="00A50E4D">
        <w:rPr>
          <w:szCs w:val="20"/>
          <w:lang w:val="en-US"/>
        </w:rPr>
        <w:t xml:space="preserve">on the obligation under international law that </w:t>
      </w:r>
      <w:r w:rsidR="009808C5" w:rsidRPr="00A50E4D">
        <w:rPr>
          <w:szCs w:val="20"/>
          <w:lang w:val="en-US"/>
        </w:rPr>
        <w:t xml:space="preserve">the </w:t>
      </w:r>
      <w:r w:rsidR="0048601C" w:rsidRPr="00A50E4D">
        <w:rPr>
          <w:szCs w:val="20"/>
          <w:lang w:val="en-US"/>
        </w:rPr>
        <w:t>State of Honduras</w:t>
      </w:r>
      <w:r w:rsidR="00C679DB" w:rsidRPr="00A50E4D">
        <w:rPr>
          <w:szCs w:val="20"/>
          <w:lang w:val="en-US"/>
        </w:rPr>
        <w:t xml:space="preserve"> a</w:t>
      </w:r>
      <w:r w:rsidRPr="00A50E4D">
        <w:rPr>
          <w:szCs w:val="20"/>
          <w:lang w:val="en-US"/>
        </w:rPr>
        <w:t>cquired by becoming a party to</w:t>
      </w:r>
      <w:r w:rsidR="009808C5" w:rsidRPr="00A50E4D">
        <w:rPr>
          <w:szCs w:val="20"/>
          <w:lang w:val="en-US"/>
        </w:rPr>
        <w:t xml:space="preserve"> the American Convention</w:t>
      </w:r>
      <w:r w:rsidR="00C679DB" w:rsidRPr="00A50E4D">
        <w:rPr>
          <w:szCs w:val="20"/>
          <w:lang w:val="en-US"/>
        </w:rPr>
        <w:t xml:space="preserve"> </w:t>
      </w:r>
      <w:r w:rsidR="00C171A4" w:rsidRPr="00A50E4D">
        <w:rPr>
          <w:szCs w:val="20"/>
          <w:lang w:val="en-US"/>
        </w:rPr>
        <w:t xml:space="preserve">and </w:t>
      </w:r>
      <w:r w:rsidRPr="00A50E4D">
        <w:rPr>
          <w:szCs w:val="20"/>
          <w:lang w:val="en-US"/>
        </w:rPr>
        <w:t xml:space="preserve">which </w:t>
      </w:r>
      <w:r w:rsidR="00C171A4" w:rsidRPr="00A50E4D">
        <w:rPr>
          <w:szCs w:val="20"/>
          <w:lang w:val="en-US"/>
        </w:rPr>
        <w:t xml:space="preserve">is </w:t>
      </w:r>
      <w:r w:rsidRPr="00A50E4D">
        <w:rPr>
          <w:szCs w:val="20"/>
          <w:lang w:val="en-US"/>
        </w:rPr>
        <w:t xml:space="preserve">stipulated in instruments such as the </w:t>
      </w:r>
      <w:r w:rsidR="00E7138A" w:rsidRPr="00A50E4D">
        <w:rPr>
          <w:szCs w:val="20"/>
          <w:lang w:val="en-US"/>
        </w:rPr>
        <w:t>Inter-American Democratic Charter</w:t>
      </w:r>
      <w:r w:rsidR="00C679DB" w:rsidRPr="00A50E4D">
        <w:rPr>
          <w:szCs w:val="20"/>
          <w:lang w:val="en-US"/>
        </w:rPr>
        <w:t xml:space="preserve">. </w:t>
      </w:r>
      <w:r w:rsidRPr="00A50E4D">
        <w:rPr>
          <w:szCs w:val="20"/>
          <w:lang w:val="en-US"/>
        </w:rPr>
        <w:t xml:space="preserve">The </w:t>
      </w:r>
      <w:r w:rsidR="00D31673" w:rsidRPr="00A50E4D">
        <w:rPr>
          <w:szCs w:val="20"/>
          <w:lang w:val="en-US"/>
        </w:rPr>
        <w:t>grounds to substantiate</w:t>
      </w:r>
      <w:r w:rsidRPr="00A50E4D">
        <w:rPr>
          <w:szCs w:val="20"/>
          <w:lang w:val="en-US"/>
        </w:rPr>
        <w:t xml:space="preserve"> this assertion are set out below.</w:t>
      </w:r>
      <w:bookmarkEnd w:id="215"/>
    </w:p>
    <w:p w14:paraId="7A668117" w14:textId="77777777" w:rsidR="00C679DB" w:rsidRPr="00A50E4D" w:rsidRDefault="00C679DB" w:rsidP="00C679DB">
      <w:pPr>
        <w:rPr>
          <w:szCs w:val="20"/>
          <w:lang w:val="en-US" w:eastAsia="es-MX"/>
        </w:rPr>
      </w:pPr>
    </w:p>
    <w:p w14:paraId="497349A3" w14:textId="1B5AB46E" w:rsidR="00C679DB" w:rsidRPr="00A50E4D" w:rsidRDefault="0009368F" w:rsidP="00C679DB">
      <w:pPr>
        <w:pStyle w:val="PrrafodeSentencia"/>
        <w:rPr>
          <w:szCs w:val="20"/>
          <w:lang w:val="en-US"/>
        </w:rPr>
      </w:pPr>
      <w:r w:rsidRPr="00A50E4D">
        <w:rPr>
          <w:szCs w:val="20"/>
          <w:lang w:val="en-US"/>
        </w:rPr>
        <w:t>As a starting point, it is worth emphasizing that representative democrac</w:t>
      </w:r>
      <w:r w:rsidR="00C171A4" w:rsidRPr="00A50E4D">
        <w:rPr>
          <w:szCs w:val="20"/>
          <w:lang w:val="en-US"/>
        </w:rPr>
        <w:t xml:space="preserve">y is one of the pillars of the </w:t>
      </w:r>
      <w:r w:rsidRPr="00A50E4D">
        <w:rPr>
          <w:szCs w:val="20"/>
          <w:lang w:val="en-US"/>
        </w:rPr>
        <w:t xml:space="preserve">system </w:t>
      </w:r>
      <w:r w:rsidR="00C171A4" w:rsidRPr="00A50E4D">
        <w:rPr>
          <w:szCs w:val="20"/>
          <w:lang w:val="en-US"/>
        </w:rPr>
        <w:t>that</w:t>
      </w:r>
      <w:r w:rsidRPr="00A50E4D">
        <w:rPr>
          <w:szCs w:val="20"/>
          <w:lang w:val="en-US"/>
        </w:rPr>
        <w:t xml:space="preserve"> the Convention forms part</w:t>
      </w:r>
      <w:r w:rsidR="00C171A4" w:rsidRPr="00A50E4D">
        <w:rPr>
          <w:szCs w:val="20"/>
          <w:lang w:val="en-US"/>
        </w:rPr>
        <w:t xml:space="preserve"> of</w:t>
      </w:r>
      <w:r w:rsidRPr="00A50E4D">
        <w:rPr>
          <w:szCs w:val="20"/>
          <w:lang w:val="en-US"/>
        </w:rPr>
        <w:t xml:space="preserve">, and </w:t>
      </w:r>
      <w:r w:rsidR="00C171A4" w:rsidRPr="00A50E4D">
        <w:rPr>
          <w:szCs w:val="20"/>
          <w:lang w:val="en-US"/>
        </w:rPr>
        <w:t>constitutes</w:t>
      </w:r>
      <w:r w:rsidRPr="00A50E4D">
        <w:rPr>
          <w:szCs w:val="20"/>
          <w:lang w:val="en-US"/>
        </w:rPr>
        <w:t xml:space="preserve"> a principle reaffirmed by the States of the Americas in the OAS Charter, a basic instrument of the inter-American system.</w:t>
      </w:r>
      <w:r w:rsidR="00C679DB" w:rsidRPr="00A50E4D">
        <w:rPr>
          <w:rStyle w:val="FootnoteReference"/>
          <w:sz w:val="20"/>
          <w:szCs w:val="20"/>
          <w:lang w:val="en-US"/>
        </w:rPr>
        <w:footnoteReference w:id="283"/>
      </w:r>
      <w:r w:rsidRPr="00A50E4D">
        <w:rPr>
          <w:szCs w:val="20"/>
          <w:lang w:val="en-US"/>
        </w:rPr>
        <w:t xml:space="preserve"> Thus, the OAS Charter, a constituent treaty </w:t>
      </w:r>
      <w:r w:rsidR="00FF35A9" w:rsidRPr="00A50E4D">
        <w:rPr>
          <w:szCs w:val="20"/>
          <w:lang w:val="en-US"/>
        </w:rPr>
        <w:t xml:space="preserve">of the </w:t>
      </w:r>
      <w:r w:rsidR="000A786A" w:rsidRPr="00A50E4D">
        <w:rPr>
          <w:szCs w:val="20"/>
          <w:lang w:val="en-US"/>
        </w:rPr>
        <w:t>organization</w:t>
      </w:r>
      <w:r w:rsidR="00FF35A9" w:rsidRPr="00A50E4D">
        <w:rPr>
          <w:szCs w:val="20"/>
          <w:lang w:val="en-US"/>
        </w:rPr>
        <w:t xml:space="preserve"> </w:t>
      </w:r>
      <w:r w:rsidR="00C171A4" w:rsidRPr="00A50E4D">
        <w:rPr>
          <w:szCs w:val="20"/>
          <w:lang w:val="en-US"/>
        </w:rPr>
        <w:t>to which</w:t>
      </w:r>
      <w:r w:rsidR="00C679DB" w:rsidRPr="00A50E4D">
        <w:rPr>
          <w:szCs w:val="20"/>
          <w:lang w:val="en-US"/>
        </w:rPr>
        <w:t xml:space="preserve"> Honduras </w:t>
      </w:r>
      <w:r w:rsidRPr="00A50E4D">
        <w:rPr>
          <w:szCs w:val="20"/>
          <w:lang w:val="en-US"/>
        </w:rPr>
        <w:t>has been a</w:t>
      </w:r>
      <w:r w:rsidR="00C171A4" w:rsidRPr="00A50E4D">
        <w:rPr>
          <w:szCs w:val="20"/>
          <w:lang w:val="en-US"/>
        </w:rPr>
        <w:t xml:space="preserve"> party </w:t>
      </w:r>
      <w:r w:rsidRPr="00A50E4D">
        <w:rPr>
          <w:szCs w:val="20"/>
          <w:lang w:val="en-US"/>
        </w:rPr>
        <w:lastRenderedPageBreak/>
        <w:t xml:space="preserve">since February 7, </w:t>
      </w:r>
      <w:r w:rsidR="00C679DB" w:rsidRPr="00A50E4D">
        <w:rPr>
          <w:szCs w:val="20"/>
          <w:lang w:val="en-US"/>
        </w:rPr>
        <w:t>1950, establ</w:t>
      </w:r>
      <w:r w:rsidRPr="00A50E4D">
        <w:rPr>
          <w:szCs w:val="20"/>
          <w:lang w:val="en-US"/>
        </w:rPr>
        <w:t>ishes as one of its essential purposes, “</w:t>
      </w:r>
      <w:r w:rsidR="00B530D3" w:rsidRPr="00A50E4D">
        <w:rPr>
          <w:szCs w:val="20"/>
          <w:lang w:val="en-US"/>
        </w:rPr>
        <w:t>[t]</w:t>
      </w:r>
      <w:r w:rsidR="00B530D3" w:rsidRPr="00A50E4D">
        <w:rPr>
          <w:lang w:val="en-US"/>
        </w:rPr>
        <w:t>o promote and consolidate representative democracy, with due respect for the principle of non</w:t>
      </w:r>
      <w:r w:rsidR="00C171A4" w:rsidRPr="00A50E4D">
        <w:rPr>
          <w:lang w:val="en-US"/>
        </w:rPr>
        <w:t>-</w:t>
      </w:r>
      <w:r w:rsidR="00B530D3" w:rsidRPr="00A50E4D">
        <w:rPr>
          <w:lang w:val="en-US"/>
        </w:rPr>
        <w:t>intervention</w:t>
      </w:r>
      <w:r w:rsidR="00B530D3" w:rsidRPr="00A50E4D">
        <w:rPr>
          <w:szCs w:val="20"/>
          <w:lang w:val="en-US"/>
        </w:rPr>
        <w:t>.</w:t>
      </w:r>
      <w:r w:rsidR="00C679DB" w:rsidRPr="00A50E4D">
        <w:rPr>
          <w:szCs w:val="20"/>
          <w:lang w:val="en-US"/>
        </w:rPr>
        <w:t>”</w:t>
      </w:r>
      <w:r w:rsidR="00C679DB" w:rsidRPr="00A50E4D">
        <w:rPr>
          <w:rStyle w:val="FootnoteReference"/>
          <w:sz w:val="20"/>
          <w:szCs w:val="20"/>
          <w:lang w:val="en-US"/>
        </w:rPr>
        <w:footnoteReference w:id="284"/>
      </w:r>
    </w:p>
    <w:p w14:paraId="66DCDCD6" w14:textId="77777777" w:rsidR="00C679DB" w:rsidRPr="00A50E4D" w:rsidRDefault="00C679DB" w:rsidP="00C679DB">
      <w:pPr>
        <w:pStyle w:val="PrrafodeSentencia"/>
        <w:numPr>
          <w:ilvl w:val="0"/>
          <w:numId w:val="0"/>
        </w:numPr>
        <w:rPr>
          <w:szCs w:val="20"/>
          <w:lang w:val="en-US"/>
        </w:rPr>
      </w:pPr>
    </w:p>
    <w:p w14:paraId="4210E9CA" w14:textId="0E4D030A" w:rsidR="00C679DB" w:rsidRPr="00A50E4D" w:rsidRDefault="00B530D3" w:rsidP="00C679DB">
      <w:pPr>
        <w:pStyle w:val="PrrafodeSentencia"/>
        <w:rPr>
          <w:szCs w:val="20"/>
          <w:lang w:val="en-US"/>
        </w:rPr>
      </w:pPr>
      <w:r w:rsidRPr="00A50E4D">
        <w:rPr>
          <w:szCs w:val="20"/>
          <w:lang w:val="en-US"/>
        </w:rPr>
        <w:t xml:space="preserve">Under the inter-American system, the </w:t>
      </w:r>
      <w:r w:rsidR="000A786A" w:rsidRPr="00A50E4D">
        <w:rPr>
          <w:szCs w:val="20"/>
          <w:lang w:val="en-US"/>
        </w:rPr>
        <w:t>relationship</w:t>
      </w:r>
      <w:r w:rsidR="00C171A4" w:rsidRPr="00A50E4D">
        <w:rPr>
          <w:szCs w:val="20"/>
          <w:lang w:val="en-US"/>
        </w:rPr>
        <w:t xml:space="preserve"> between human rights</w:t>
      </w:r>
      <w:r w:rsidRPr="00A50E4D">
        <w:rPr>
          <w:szCs w:val="20"/>
          <w:lang w:val="en-US"/>
        </w:rPr>
        <w:t xml:space="preserve"> </w:t>
      </w:r>
      <w:r w:rsidR="00C171A4" w:rsidRPr="00A50E4D">
        <w:rPr>
          <w:szCs w:val="20"/>
          <w:lang w:val="en-US"/>
        </w:rPr>
        <w:t xml:space="preserve">and </w:t>
      </w:r>
      <w:r w:rsidR="000A786A" w:rsidRPr="00A50E4D">
        <w:rPr>
          <w:szCs w:val="20"/>
          <w:lang w:val="en-US"/>
        </w:rPr>
        <w:t>representative</w:t>
      </w:r>
      <w:r w:rsidRPr="00A50E4D">
        <w:rPr>
          <w:szCs w:val="20"/>
          <w:lang w:val="en-US"/>
        </w:rPr>
        <w:t xml:space="preserve"> democracy and </w:t>
      </w:r>
      <w:r w:rsidR="00371BB7" w:rsidRPr="00A50E4D">
        <w:rPr>
          <w:szCs w:val="20"/>
          <w:lang w:val="en-US"/>
        </w:rPr>
        <w:t>political rights</w:t>
      </w:r>
      <w:r w:rsidRPr="00A50E4D">
        <w:rPr>
          <w:szCs w:val="20"/>
          <w:lang w:val="en-US"/>
        </w:rPr>
        <w:t>, i</w:t>
      </w:r>
      <w:r w:rsidR="00C679DB" w:rsidRPr="00A50E4D">
        <w:rPr>
          <w:szCs w:val="20"/>
          <w:lang w:val="en-US"/>
        </w:rPr>
        <w:t xml:space="preserve">n particular, </w:t>
      </w:r>
      <w:r w:rsidRPr="00A50E4D">
        <w:rPr>
          <w:szCs w:val="20"/>
          <w:lang w:val="en-US"/>
        </w:rPr>
        <w:t>was established in the</w:t>
      </w:r>
      <w:r w:rsidR="00C679DB" w:rsidRPr="00A50E4D">
        <w:rPr>
          <w:szCs w:val="20"/>
          <w:lang w:val="en-US"/>
        </w:rPr>
        <w:t xml:space="preserve"> </w:t>
      </w:r>
      <w:r w:rsidR="00E7138A" w:rsidRPr="00A50E4D">
        <w:rPr>
          <w:szCs w:val="20"/>
          <w:lang w:val="en-US"/>
        </w:rPr>
        <w:t>Inter-American Democratic Charter</w:t>
      </w:r>
      <w:r w:rsidR="00C679DB" w:rsidRPr="00A50E4D">
        <w:rPr>
          <w:szCs w:val="20"/>
          <w:lang w:val="en-US"/>
        </w:rPr>
        <w:t>, a</w:t>
      </w:r>
      <w:r w:rsidR="00C171A4" w:rsidRPr="00A50E4D">
        <w:rPr>
          <w:szCs w:val="20"/>
          <w:lang w:val="en-US"/>
        </w:rPr>
        <w:t>dopted at</w:t>
      </w:r>
      <w:r w:rsidRPr="00A50E4D">
        <w:rPr>
          <w:szCs w:val="20"/>
          <w:lang w:val="en-US"/>
        </w:rPr>
        <w:t xml:space="preserve"> the first plenary meeting </w:t>
      </w:r>
      <w:r w:rsidR="00C171A4" w:rsidRPr="00A50E4D">
        <w:rPr>
          <w:szCs w:val="20"/>
          <w:lang w:val="en-US"/>
        </w:rPr>
        <w:t xml:space="preserve">held </w:t>
      </w:r>
      <w:r w:rsidRPr="00A50E4D">
        <w:rPr>
          <w:szCs w:val="20"/>
          <w:lang w:val="en-US"/>
        </w:rPr>
        <w:t xml:space="preserve">on </w:t>
      </w:r>
      <w:r w:rsidR="000B5D1E" w:rsidRPr="00A50E4D">
        <w:rPr>
          <w:szCs w:val="20"/>
          <w:lang w:val="en-US"/>
        </w:rPr>
        <w:t>September 11,</w:t>
      </w:r>
      <w:r w:rsidR="00C679DB" w:rsidRPr="00A50E4D">
        <w:rPr>
          <w:szCs w:val="20"/>
          <w:lang w:val="en-US"/>
        </w:rPr>
        <w:t xml:space="preserve"> 2001, </w:t>
      </w:r>
      <w:r w:rsidR="00C171A4" w:rsidRPr="00A50E4D">
        <w:rPr>
          <w:szCs w:val="20"/>
          <w:lang w:val="en-US"/>
        </w:rPr>
        <w:t>of</w:t>
      </w:r>
      <w:r w:rsidRPr="00A50E4D">
        <w:rPr>
          <w:szCs w:val="20"/>
          <w:lang w:val="en-US"/>
        </w:rPr>
        <w:t xml:space="preserve"> the twenty-eighth special </w:t>
      </w:r>
      <w:r w:rsidR="00D0656A" w:rsidRPr="00A50E4D">
        <w:rPr>
          <w:szCs w:val="20"/>
          <w:lang w:val="en-US"/>
        </w:rPr>
        <w:t>session</w:t>
      </w:r>
      <w:r w:rsidRPr="00A50E4D">
        <w:rPr>
          <w:szCs w:val="20"/>
          <w:lang w:val="en-US"/>
        </w:rPr>
        <w:t xml:space="preserve"> </w:t>
      </w:r>
      <w:r w:rsidR="00700DEC" w:rsidRPr="00A50E4D">
        <w:rPr>
          <w:szCs w:val="20"/>
          <w:lang w:val="en-US"/>
        </w:rPr>
        <w:t xml:space="preserve">of </w:t>
      </w:r>
      <w:r w:rsidR="0072698A" w:rsidRPr="00A50E4D">
        <w:rPr>
          <w:szCs w:val="20"/>
          <w:lang w:val="en-US"/>
        </w:rPr>
        <w:t>the OAS General Assembly</w:t>
      </w:r>
      <w:r w:rsidRPr="00A50E4D">
        <w:rPr>
          <w:szCs w:val="20"/>
          <w:lang w:val="en-US"/>
        </w:rPr>
        <w:t>.</w:t>
      </w:r>
      <w:r w:rsidR="00C679DB" w:rsidRPr="00A50E4D">
        <w:rPr>
          <w:rStyle w:val="FootnoteReference"/>
          <w:sz w:val="20"/>
          <w:szCs w:val="20"/>
          <w:lang w:val="en-US"/>
        </w:rPr>
        <w:footnoteReference w:id="285"/>
      </w:r>
      <w:r w:rsidRPr="00A50E4D">
        <w:rPr>
          <w:szCs w:val="20"/>
          <w:lang w:val="en-US"/>
        </w:rPr>
        <w:t xml:space="preserve"> Articles 1, 2 and 3 of this instrument indicate that</w:t>
      </w:r>
      <w:r w:rsidR="00C679DB" w:rsidRPr="00A50E4D">
        <w:rPr>
          <w:szCs w:val="20"/>
          <w:lang w:val="en-US"/>
        </w:rPr>
        <w:t xml:space="preserve">: </w:t>
      </w:r>
    </w:p>
    <w:p w14:paraId="1DE5C161" w14:textId="77777777" w:rsidR="00C679DB" w:rsidRPr="00A50E4D" w:rsidRDefault="00C679DB" w:rsidP="00C679DB">
      <w:pPr>
        <w:rPr>
          <w:lang w:val="en-US" w:eastAsia="es-MX"/>
        </w:rPr>
      </w:pPr>
    </w:p>
    <w:p w14:paraId="1238554C" w14:textId="5743C4B9" w:rsidR="00C679DB" w:rsidRPr="00A50E4D" w:rsidRDefault="00F02FB7" w:rsidP="00C679DB">
      <w:pPr>
        <w:pStyle w:val="NormalWeb"/>
        <w:shd w:val="clear" w:color="auto" w:fill="FFFFFF"/>
        <w:spacing w:before="0" w:beforeAutospacing="0" w:after="0" w:afterAutospacing="0"/>
        <w:ind w:left="567" w:right="674"/>
        <w:jc w:val="both"/>
        <w:rPr>
          <w:color w:val="000000"/>
          <w:sz w:val="18"/>
          <w:szCs w:val="18"/>
        </w:rPr>
      </w:pPr>
      <w:r w:rsidRPr="00A50E4D">
        <w:rPr>
          <w:rFonts w:ascii="Verdana" w:hAnsi="Verdana"/>
          <w:color w:val="000000"/>
          <w:sz w:val="18"/>
          <w:szCs w:val="18"/>
        </w:rPr>
        <w:t>Article</w:t>
      </w:r>
      <w:r w:rsidR="00C679DB" w:rsidRPr="00A50E4D">
        <w:rPr>
          <w:rFonts w:ascii="Verdana" w:hAnsi="Verdana"/>
          <w:color w:val="000000"/>
          <w:sz w:val="18"/>
          <w:szCs w:val="18"/>
        </w:rPr>
        <w:t xml:space="preserve"> 1</w:t>
      </w:r>
    </w:p>
    <w:p w14:paraId="6480157C" w14:textId="0505895B" w:rsidR="00B530D3" w:rsidRPr="00A50E4D" w:rsidRDefault="00B530D3" w:rsidP="00B530D3">
      <w:pPr>
        <w:pStyle w:val="NormalWeb"/>
        <w:widowControl w:val="0"/>
        <w:spacing w:before="0" w:beforeAutospacing="0" w:after="0" w:afterAutospacing="0"/>
        <w:ind w:left="540" w:right="656"/>
        <w:jc w:val="both"/>
        <w:rPr>
          <w:rFonts w:ascii="Verdana" w:hAnsi="Verdana"/>
          <w:sz w:val="18"/>
          <w:szCs w:val="18"/>
        </w:rPr>
      </w:pPr>
      <w:r w:rsidRPr="00A50E4D">
        <w:rPr>
          <w:rFonts w:ascii="Verdana" w:hAnsi="Verdana"/>
          <w:sz w:val="18"/>
          <w:szCs w:val="18"/>
        </w:rPr>
        <w:t>The peoples of the Americas have a right to democracy and their governments have an obligation to promote and defend it. Democracy is essential for the social, political, and economic development of the peoples of the Americas.</w:t>
      </w:r>
    </w:p>
    <w:p w14:paraId="4073243A" w14:textId="77777777" w:rsidR="00B530D3" w:rsidRPr="00A50E4D" w:rsidRDefault="00B530D3" w:rsidP="00B530D3">
      <w:pPr>
        <w:pStyle w:val="NormalWeb"/>
        <w:widowControl w:val="0"/>
        <w:spacing w:before="0" w:beforeAutospacing="0" w:after="0" w:afterAutospacing="0"/>
        <w:ind w:left="540" w:right="656"/>
        <w:jc w:val="both"/>
        <w:rPr>
          <w:rFonts w:ascii="Verdana" w:hAnsi="Verdana"/>
          <w:sz w:val="18"/>
          <w:szCs w:val="18"/>
        </w:rPr>
      </w:pPr>
    </w:p>
    <w:p w14:paraId="20C516A2" w14:textId="77777777" w:rsidR="00B530D3" w:rsidRPr="00A50E4D" w:rsidRDefault="00B530D3" w:rsidP="00B530D3">
      <w:pPr>
        <w:pStyle w:val="NormalWeb"/>
        <w:widowControl w:val="0"/>
        <w:spacing w:before="0" w:beforeAutospacing="0" w:after="0" w:afterAutospacing="0"/>
        <w:ind w:left="540" w:right="656"/>
        <w:jc w:val="both"/>
        <w:rPr>
          <w:rFonts w:ascii="Verdana" w:hAnsi="Verdana"/>
          <w:sz w:val="18"/>
          <w:szCs w:val="18"/>
        </w:rPr>
      </w:pPr>
      <w:r w:rsidRPr="00A50E4D">
        <w:rPr>
          <w:rFonts w:ascii="Verdana" w:hAnsi="Verdana"/>
          <w:sz w:val="18"/>
          <w:szCs w:val="18"/>
        </w:rPr>
        <w:t>Article 2</w:t>
      </w:r>
    </w:p>
    <w:p w14:paraId="4401FD7F" w14:textId="77777777" w:rsidR="00B530D3" w:rsidRPr="00A50E4D" w:rsidRDefault="00B530D3" w:rsidP="00B530D3">
      <w:pPr>
        <w:pStyle w:val="NormalWeb"/>
        <w:widowControl w:val="0"/>
        <w:spacing w:before="0" w:beforeAutospacing="0" w:after="0" w:afterAutospacing="0"/>
        <w:ind w:left="540" w:right="656"/>
        <w:jc w:val="both"/>
        <w:rPr>
          <w:rFonts w:ascii="Verdana" w:hAnsi="Verdana"/>
          <w:sz w:val="18"/>
          <w:szCs w:val="18"/>
        </w:rPr>
      </w:pPr>
      <w:r w:rsidRPr="00A50E4D">
        <w:rPr>
          <w:rFonts w:ascii="Verdana" w:hAnsi="Verdana"/>
          <w:sz w:val="18"/>
          <w:szCs w:val="18"/>
        </w:rPr>
        <w:t>The effective exercise of representative democracy is the basis for the rule of law and of the constitutional regimes of the member states of the Organization of American States. Representative democracy is strengthened and deepened by permanent, ethical, and responsible participation of the citizenry within a legal framework conforming to the respective constitutional order.</w:t>
      </w:r>
    </w:p>
    <w:p w14:paraId="1C419971" w14:textId="77777777" w:rsidR="00B530D3" w:rsidRPr="00A50E4D" w:rsidRDefault="00B530D3" w:rsidP="00B530D3">
      <w:pPr>
        <w:pStyle w:val="NormalWeb"/>
        <w:widowControl w:val="0"/>
        <w:spacing w:before="0" w:beforeAutospacing="0" w:after="0" w:afterAutospacing="0"/>
        <w:ind w:left="540" w:right="656"/>
        <w:jc w:val="both"/>
        <w:rPr>
          <w:rFonts w:ascii="Verdana" w:hAnsi="Verdana"/>
          <w:sz w:val="18"/>
          <w:szCs w:val="18"/>
        </w:rPr>
      </w:pPr>
    </w:p>
    <w:p w14:paraId="1B66D744" w14:textId="77777777" w:rsidR="00B530D3" w:rsidRPr="00A50E4D" w:rsidRDefault="00B530D3" w:rsidP="00B530D3">
      <w:pPr>
        <w:pStyle w:val="NormalWeb"/>
        <w:widowControl w:val="0"/>
        <w:spacing w:before="0" w:beforeAutospacing="0" w:after="0" w:afterAutospacing="0"/>
        <w:ind w:left="540" w:right="656"/>
        <w:jc w:val="both"/>
        <w:rPr>
          <w:rFonts w:ascii="Verdana" w:hAnsi="Verdana"/>
          <w:sz w:val="18"/>
          <w:szCs w:val="18"/>
        </w:rPr>
      </w:pPr>
      <w:r w:rsidRPr="00A50E4D">
        <w:rPr>
          <w:rFonts w:ascii="Verdana" w:hAnsi="Verdana"/>
          <w:sz w:val="18"/>
          <w:szCs w:val="18"/>
        </w:rPr>
        <w:t>Article 3</w:t>
      </w:r>
    </w:p>
    <w:p w14:paraId="535D1548" w14:textId="77777777" w:rsidR="00B530D3" w:rsidRPr="00A50E4D" w:rsidRDefault="00B530D3" w:rsidP="00B530D3">
      <w:pPr>
        <w:pStyle w:val="NormalWeb"/>
        <w:widowControl w:val="0"/>
        <w:spacing w:before="0" w:beforeAutospacing="0" w:after="0" w:afterAutospacing="0"/>
        <w:ind w:left="540" w:right="656"/>
        <w:jc w:val="both"/>
        <w:rPr>
          <w:rFonts w:ascii="Verdana" w:hAnsi="Verdana"/>
          <w:sz w:val="18"/>
          <w:szCs w:val="18"/>
        </w:rPr>
      </w:pPr>
      <w:r w:rsidRPr="00A50E4D">
        <w:rPr>
          <w:rFonts w:ascii="Verdana" w:hAnsi="Verdana"/>
          <w:sz w:val="18"/>
          <w:szCs w:val="18"/>
        </w:rPr>
        <w:t xml:space="preserve">Essential elements of representative democracy include, </w:t>
      </w:r>
      <w:r w:rsidRPr="00A50E4D">
        <w:rPr>
          <w:rFonts w:ascii="Verdana" w:hAnsi="Verdana"/>
          <w:i/>
          <w:iCs/>
          <w:sz w:val="18"/>
          <w:szCs w:val="18"/>
        </w:rPr>
        <w:t>inter alia</w:t>
      </w:r>
      <w:r w:rsidRPr="00A50E4D">
        <w:rPr>
          <w:rFonts w:ascii="Verdana" w:hAnsi="Verdana"/>
          <w:sz w:val="18"/>
          <w:szCs w:val="18"/>
        </w:rPr>
        <w:t>, respect for human rights and fundamental freedoms, access to and the exercise of power in accordance with the rule of law, the holding of periodic, free, and fair elections based on secret balloting and universal suffrage as an expression of the sovereignty of the people, the pluralistic system of political parties and organizations, and the separation of powers and independence of the branches of government.</w:t>
      </w:r>
    </w:p>
    <w:p w14:paraId="2B63A272" w14:textId="77777777" w:rsidR="00C679DB" w:rsidRPr="00A50E4D" w:rsidRDefault="00C679DB" w:rsidP="00C679DB">
      <w:pPr>
        <w:rPr>
          <w:lang w:val="en-US" w:eastAsia="es-MX"/>
        </w:rPr>
      </w:pPr>
    </w:p>
    <w:p w14:paraId="285BAAFC" w14:textId="2AD442D8" w:rsidR="00C679DB" w:rsidRPr="00A50E4D" w:rsidRDefault="00B530D3" w:rsidP="00AB5969">
      <w:pPr>
        <w:pStyle w:val="PrrafodeSentencia"/>
        <w:rPr>
          <w:szCs w:val="20"/>
          <w:lang w:val="en-US"/>
        </w:rPr>
      </w:pPr>
      <w:bookmarkStart w:id="216" w:name="_Ref431478335"/>
      <w:r w:rsidRPr="00A50E4D">
        <w:rPr>
          <w:szCs w:val="20"/>
          <w:lang w:val="en-US"/>
        </w:rPr>
        <w:t>Thus the</w:t>
      </w:r>
      <w:r w:rsidR="00EC1DE2" w:rsidRPr="00A50E4D">
        <w:rPr>
          <w:szCs w:val="20"/>
          <w:lang w:val="en-US"/>
        </w:rPr>
        <w:t xml:space="preserve"> </w:t>
      </w:r>
      <w:r w:rsidR="00E7138A" w:rsidRPr="00A50E4D">
        <w:rPr>
          <w:szCs w:val="20"/>
          <w:lang w:val="en-US"/>
        </w:rPr>
        <w:t>Inter-American Democratic Charter</w:t>
      </w:r>
      <w:r w:rsidR="00EC1DE2" w:rsidRPr="00A50E4D">
        <w:rPr>
          <w:szCs w:val="20"/>
          <w:lang w:val="en-US"/>
        </w:rPr>
        <w:t xml:space="preserve"> </w:t>
      </w:r>
      <w:r w:rsidRPr="00A50E4D">
        <w:rPr>
          <w:szCs w:val="20"/>
          <w:lang w:val="en-US"/>
        </w:rPr>
        <w:t>refers to the peoples’ right to democracy, and</w:t>
      </w:r>
      <w:r w:rsidR="00C171A4" w:rsidRPr="00A50E4D">
        <w:rPr>
          <w:szCs w:val="20"/>
          <w:lang w:val="en-US"/>
        </w:rPr>
        <w:t xml:space="preserve"> also stresses the importance, u</w:t>
      </w:r>
      <w:r w:rsidRPr="00A50E4D">
        <w:rPr>
          <w:szCs w:val="20"/>
          <w:lang w:val="en-US"/>
        </w:rPr>
        <w:t>nder representative democracy, of the permanent participation of the citizenry within the framework of the legal an</w:t>
      </w:r>
      <w:r w:rsidR="00C171A4" w:rsidRPr="00A50E4D">
        <w:rPr>
          <w:szCs w:val="20"/>
          <w:lang w:val="en-US"/>
        </w:rPr>
        <w:t>d constitutional order in force. F</w:t>
      </w:r>
      <w:r w:rsidRPr="00A50E4D">
        <w:rPr>
          <w:szCs w:val="20"/>
          <w:lang w:val="en-US"/>
        </w:rPr>
        <w:t>urthermore, it indicates that one of the constituent elements of representative dem</w:t>
      </w:r>
      <w:r w:rsidR="00C171A4" w:rsidRPr="00A50E4D">
        <w:rPr>
          <w:szCs w:val="20"/>
          <w:lang w:val="en-US"/>
        </w:rPr>
        <w:t xml:space="preserve">ocracy is “the access to and the </w:t>
      </w:r>
      <w:r w:rsidRPr="00A50E4D">
        <w:rPr>
          <w:szCs w:val="20"/>
          <w:lang w:val="en-US"/>
        </w:rPr>
        <w:t>exercise of power in accordance with the rule of law.</w:t>
      </w:r>
      <w:r w:rsidR="00C171A4" w:rsidRPr="00A50E4D">
        <w:rPr>
          <w:szCs w:val="20"/>
          <w:lang w:val="en-US"/>
        </w:rPr>
        <w:t>”</w:t>
      </w:r>
      <w:r w:rsidRPr="00A50E4D">
        <w:rPr>
          <w:szCs w:val="20"/>
          <w:lang w:val="en-US"/>
        </w:rPr>
        <w:t xml:space="preserve"> The Court underlines that the facts of this case occurred in the context of a grave democratic crisis and the </w:t>
      </w:r>
      <w:r w:rsidR="00AB4594" w:rsidRPr="00A50E4D">
        <w:rPr>
          <w:szCs w:val="20"/>
          <w:lang w:val="en-US"/>
        </w:rPr>
        <w:t>breakdown</w:t>
      </w:r>
      <w:r w:rsidRPr="00A50E4D">
        <w:rPr>
          <w:szCs w:val="20"/>
          <w:lang w:val="en-US"/>
        </w:rPr>
        <w:t xml:space="preserve"> of the rule of law, as a result of which the OAS General Assembly was “convened urgently by </w:t>
      </w:r>
      <w:r w:rsidR="00700DEC" w:rsidRPr="00A50E4D">
        <w:rPr>
          <w:szCs w:val="20"/>
          <w:lang w:val="en-US"/>
        </w:rPr>
        <w:t>the Permanent Council</w:t>
      </w:r>
      <w:r w:rsidR="0066078E" w:rsidRPr="00A50E4D">
        <w:rPr>
          <w:szCs w:val="20"/>
          <w:lang w:val="en-US"/>
        </w:rPr>
        <w:t xml:space="preserve"> in accordance with </w:t>
      </w:r>
      <w:r w:rsidR="009808C5" w:rsidRPr="00A50E4D">
        <w:rPr>
          <w:szCs w:val="20"/>
          <w:lang w:val="en-US"/>
        </w:rPr>
        <w:t>Article</w:t>
      </w:r>
      <w:r w:rsidR="00C679DB" w:rsidRPr="00A50E4D">
        <w:rPr>
          <w:szCs w:val="20"/>
          <w:lang w:val="en-US"/>
        </w:rPr>
        <w:t xml:space="preserve"> 20</w:t>
      </w:r>
      <w:r w:rsidR="00FF35A9" w:rsidRPr="00A50E4D">
        <w:rPr>
          <w:szCs w:val="20"/>
          <w:lang w:val="en-US"/>
        </w:rPr>
        <w:t xml:space="preserve"> of the </w:t>
      </w:r>
      <w:r w:rsidR="00E7138A" w:rsidRPr="00A50E4D">
        <w:rPr>
          <w:szCs w:val="20"/>
          <w:lang w:val="en-US"/>
        </w:rPr>
        <w:t>Inter-American Democratic Charter</w:t>
      </w:r>
      <w:r w:rsidRPr="00A50E4D">
        <w:rPr>
          <w:szCs w:val="20"/>
          <w:lang w:val="en-US"/>
        </w:rPr>
        <w:t>.</w:t>
      </w:r>
      <w:r w:rsidR="00775E59" w:rsidRPr="00A50E4D">
        <w:rPr>
          <w:szCs w:val="20"/>
          <w:lang w:val="en-US"/>
        </w:rPr>
        <w:t>”</w:t>
      </w:r>
      <w:r w:rsidR="00C679DB" w:rsidRPr="00A50E4D">
        <w:rPr>
          <w:rStyle w:val="FootnoteReference"/>
          <w:sz w:val="20"/>
          <w:szCs w:val="20"/>
          <w:lang w:val="en-US"/>
        </w:rPr>
        <w:footnoteReference w:id="286"/>
      </w:r>
      <w:r w:rsidRPr="00A50E4D">
        <w:rPr>
          <w:szCs w:val="20"/>
          <w:lang w:val="en-US"/>
        </w:rPr>
        <w:t xml:space="preserve"> On that occasion, </w:t>
      </w:r>
      <w:r w:rsidR="0072698A" w:rsidRPr="00A50E4D">
        <w:rPr>
          <w:szCs w:val="20"/>
          <w:lang w:val="en-US"/>
        </w:rPr>
        <w:t>the OAS General Assembly</w:t>
      </w:r>
      <w:r w:rsidR="00C679DB" w:rsidRPr="00A50E4D">
        <w:rPr>
          <w:szCs w:val="20"/>
          <w:lang w:val="en-US"/>
        </w:rPr>
        <w:t xml:space="preserve">, </w:t>
      </w:r>
      <w:r w:rsidRPr="00A50E4D">
        <w:rPr>
          <w:szCs w:val="20"/>
          <w:lang w:val="en-US"/>
        </w:rPr>
        <w:t xml:space="preserve">in exercise of its competence, expressly </w:t>
      </w:r>
      <w:r w:rsidR="00AB5969" w:rsidRPr="00A50E4D">
        <w:rPr>
          <w:szCs w:val="20"/>
          <w:lang w:val="en-US"/>
        </w:rPr>
        <w:t>declare</w:t>
      </w:r>
      <w:r w:rsidRPr="00A50E4D">
        <w:rPr>
          <w:szCs w:val="20"/>
          <w:lang w:val="en-US"/>
        </w:rPr>
        <w:t>d that</w:t>
      </w:r>
      <w:r w:rsidR="00C679DB" w:rsidRPr="00A50E4D">
        <w:rPr>
          <w:szCs w:val="20"/>
          <w:lang w:val="en-US"/>
        </w:rPr>
        <w:t xml:space="preserve"> “</w:t>
      </w:r>
      <w:r w:rsidR="00AB5969" w:rsidRPr="00A50E4D">
        <w:rPr>
          <w:szCs w:val="20"/>
          <w:lang w:val="en-US"/>
        </w:rPr>
        <w:t xml:space="preserve">no government arising </w:t>
      </w:r>
      <w:r w:rsidR="00AB5969" w:rsidRPr="00A50E4D">
        <w:rPr>
          <w:szCs w:val="20"/>
          <w:lang w:val="en-US"/>
        </w:rPr>
        <w:lastRenderedPageBreak/>
        <w:t>from this unconstitutional interruption will be recognized.</w:t>
      </w:r>
      <w:r w:rsidR="00C679DB" w:rsidRPr="00A50E4D">
        <w:rPr>
          <w:szCs w:val="20"/>
          <w:lang w:val="en-US"/>
        </w:rPr>
        <w:t>”</w:t>
      </w:r>
      <w:r w:rsidR="00C679DB" w:rsidRPr="00A50E4D">
        <w:rPr>
          <w:szCs w:val="20"/>
          <w:vertAlign w:val="superscript"/>
          <w:lang w:val="en-US"/>
        </w:rPr>
        <w:footnoteReference w:id="287"/>
      </w:r>
      <w:r w:rsidR="00AB5969" w:rsidRPr="00A50E4D">
        <w:rPr>
          <w:szCs w:val="20"/>
          <w:lang w:val="en-US"/>
        </w:rPr>
        <w:t xml:space="preserve"> Subsequently, for the first time since the adoption of the </w:t>
      </w:r>
      <w:r w:rsidR="00C171A4" w:rsidRPr="00A50E4D">
        <w:rPr>
          <w:szCs w:val="20"/>
          <w:lang w:val="en-US"/>
        </w:rPr>
        <w:t xml:space="preserve">Inter-American Democratic </w:t>
      </w:r>
      <w:r w:rsidR="00AB5969" w:rsidRPr="00A50E4D">
        <w:rPr>
          <w:szCs w:val="20"/>
          <w:lang w:val="en-US"/>
        </w:rPr>
        <w:t>Charter</w:t>
      </w:r>
      <w:r w:rsidR="00C679DB" w:rsidRPr="00A50E4D">
        <w:rPr>
          <w:szCs w:val="20"/>
          <w:lang w:val="en-US"/>
        </w:rPr>
        <w:t xml:space="preserve">, </w:t>
      </w:r>
      <w:r w:rsidR="0072698A" w:rsidRPr="00A50E4D">
        <w:rPr>
          <w:szCs w:val="20"/>
          <w:lang w:val="en-US"/>
        </w:rPr>
        <w:t>the OAS General Assembly</w:t>
      </w:r>
      <w:r w:rsidR="00C679DB" w:rsidRPr="00A50E4D">
        <w:rPr>
          <w:szCs w:val="20"/>
          <w:lang w:val="en-US"/>
        </w:rPr>
        <w:t xml:space="preserve">, </w:t>
      </w:r>
      <w:r w:rsidR="00AB5969" w:rsidRPr="00A50E4D">
        <w:rPr>
          <w:szCs w:val="20"/>
          <w:lang w:val="en-US"/>
        </w:rPr>
        <w:t xml:space="preserve">pursuant to </w:t>
      </w:r>
      <w:r w:rsidR="009808C5" w:rsidRPr="00A50E4D">
        <w:rPr>
          <w:szCs w:val="20"/>
          <w:lang w:val="en-US"/>
        </w:rPr>
        <w:t>Article</w:t>
      </w:r>
      <w:r w:rsidR="00C679DB" w:rsidRPr="00A50E4D">
        <w:rPr>
          <w:szCs w:val="20"/>
          <w:lang w:val="en-US"/>
        </w:rPr>
        <w:t xml:space="preserve"> 21</w:t>
      </w:r>
      <w:r w:rsidR="00C171A4" w:rsidRPr="00A50E4D">
        <w:rPr>
          <w:szCs w:val="20"/>
          <w:lang w:val="en-US"/>
        </w:rPr>
        <w:t xml:space="preserve"> of this instrument, </w:t>
      </w:r>
      <w:r w:rsidR="00C679DB" w:rsidRPr="00A50E4D">
        <w:rPr>
          <w:szCs w:val="20"/>
          <w:lang w:val="en-US"/>
        </w:rPr>
        <w:t>decid</w:t>
      </w:r>
      <w:r w:rsidR="00AB5969" w:rsidRPr="00A50E4D">
        <w:rPr>
          <w:szCs w:val="20"/>
          <w:lang w:val="en-US"/>
        </w:rPr>
        <w:t>ed to suspend</w:t>
      </w:r>
      <w:r w:rsidR="00C679DB" w:rsidRPr="00A50E4D">
        <w:rPr>
          <w:szCs w:val="20"/>
          <w:lang w:val="en-US"/>
        </w:rPr>
        <w:t xml:space="preserve"> Honduras</w:t>
      </w:r>
      <w:r w:rsidR="00AB5969" w:rsidRPr="00A50E4D">
        <w:rPr>
          <w:szCs w:val="20"/>
          <w:lang w:val="en-US"/>
        </w:rPr>
        <w:t xml:space="preserve"> from the exercise of its right to participate in the OAS </w:t>
      </w:r>
      <w:r w:rsidR="00C171A4" w:rsidRPr="00A50E4D">
        <w:rPr>
          <w:szCs w:val="20"/>
          <w:lang w:val="en-US"/>
        </w:rPr>
        <w:t xml:space="preserve">as of </w:t>
      </w:r>
      <w:r w:rsidR="00AB5969" w:rsidRPr="00A50E4D">
        <w:rPr>
          <w:szCs w:val="20"/>
          <w:lang w:val="en-US"/>
        </w:rPr>
        <w:t xml:space="preserve"> July 4, </w:t>
      </w:r>
      <w:r w:rsidR="00C679DB" w:rsidRPr="00A50E4D">
        <w:rPr>
          <w:szCs w:val="20"/>
          <w:lang w:val="en-US"/>
        </w:rPr>
        <w:t>2009</w:t>
      </w:r>
      <w:r w:rsidR="00AB5969" w:rsidRPr="00A50E4D">
        <w:rPr>
          <w:szCs w:val="20"/>
          <w:lang w:val="en-US"/>
        </w:rPr>
        <w:t>,</w:t>
      </w:r>
      <w:r w:rsidR="00C171A4" w:rsidRPr="00A50E4D">
        <w:rPr>
          <w:szCs w:val="20"/>
          <w:lang w:val="en-US"/>
        </w:rPr>
        <w:t xml:space="preserve"> and this suspension continued until</w:t>
      </w:r>
      <w:r w:rsidR="00AB5969" w:rsidRPr="00A50E4D">
        <w:rPr>
          <w:szCs w:val="20"/>
          <w:lang w:val="en-US"/>
        </w:rPr>
        <w:t xml:space="preserve"> June 1, </w:t>
      </w:r>
      <w:r w:rsidR="00C679DB" w:rsidRPr="00A50E4D">
        <w:rPr>
          <w:szCs w:val="20"/>
          <w:lang w:val="en-US"/>
        </w:rPr>
        <w:t>2011 (</w:t>
      </w:r>
      <w:r w:rsidR="00C679DB" w:rsidRPr="00A50E4D">
        <w:rPr>
          <w:i/>
          <w:szCs w:val="20"/>
          <w:lang w:val="en-US"/>
        </w:rPr>
        <w:t>supra</w:t>
      </w:r>
      <w:r w:rsidR="00C679DB" w:rsidRPr="00A50E4D">
        <w:rPr>
          <w:szCs w:val="20"/>
          <w:lang w:val="en-US"/>
        </w:rPr>
        <w:t xml:space="preserve"> </w:t>
      </w:r>
      <w:r w:rsidR="00AD5EE7" w:rsidRPr="00A50E4D">
        <w:rPr>
          <w:szCs w:val="20"/>
          <w:lang w:val="en-US"/>
        </w:rPr>
        <w:t>paras.</w:t>
      </w:r>
      <w:r w:rsidR="00C679DB" w:rsidRPr="00A50E4D">
        <w:rPr>
          <w:szCs w:val="20"/>
          <w:lang w:val="en-US"/>
        </w:rPr>
        <w:t xml:space="preserve"> </w:t>
      </w:r>
      <w:r w:rsidR="00C679DB" w:rsidRPr="00914F55">
        <w:rPr>
          <w:szCs w:val="20"/>
          <w:lang w:val="en-US"/>
        </w:rPr>
        <w:fldChar w:fldCharType="begin"/>
      </w:r>
      <w:r w:rsidR="00C679DB" w:rsidRPr="00A50E4D">
        <w:rPr>
          <w:szCs w:val="20"/>
          <w:lang w:val="en-US"/>
        </w:rPr>
        <w:instrText xml:space="preserve"> REF _Ref431477812 \r \h  \* MERGEFORMAT </w:instrText>
      </w:r>
      <w:r w:rsidR="00C679DB" w:rsidRPr="00914F55">
        <w:rPr>
          <w:szCs w:val="20"/>
          <w:lang w:val="en-US"/>
        </w:rPr>
      </w:r>
      <w:r w:rsidR="00C679DB" w:rsidRPr="00914F55">
        <w:rPr>
          <w:szCs w:val="20"/>
          <w:lang w:val="en-US"/>
        </w:rPr>
        <w:fldChar w:fldCharType="separate"/>
      </w:r>
      <w:r w:rsidR="00547588">
        <w:rPr>
          <w:szCs w:val="20"/>
          <w:lang w:val="en-US"/>
        </w:rPr>
        <w:t>56</w:t>
      </w:r>
      <w:r w:rsidR="00C679DB" w:rsidRPr="00914F55">
        <w:rPr>
          <w:szCs w:val="20"/>
          <w:lang w:val="en-US"/>
        </w:rPr>
        <w:fldChar w:fldCharType="end"/>
      </w:r>
      <w:r w:rsidR="00AB5969" w:rsidRPr="00A50E4D">
        <w:rPr>
          <w:szCs w:val="20"/>
          <w:lang w:val="en-US"/>
        </w:rPr>
        <w:t xml:space="preserve"> to</w:t>
      </w:r>
      <w:r w:rsidR="00C679DB" w:rsidRPr="00A50E4D">
        <w:rPr>
          <w:szCs w:val="20"/>
          <w:lang w:val="en-US"/>
        </w:rPr>
        <w:t xml:space="preserve"> </w:t>
      </w:r>
      <w:r w:rsidR="00C679DB" w:rsidRPr="00914F55">
        <w:rPr>
          <w:szCs w:val="20"/>
          <w:lang w:val="en-US"/>
        </w:rPr>
        <w:fldChar w:fldCharType="begin"/>
      </w:r>
      <w:r w:rsidR="00C679DB" w:rsidRPr="00A50E4D">
        <w:rPr>
          <w:szCs w:val="20"/>
          <w:lang w:val="en-US"/>
        </w:rPr>
        <w:instrText xml:space="preserve"> REF _Ref308473699 \r \h </w:instrText>
      </w:r>
      <w:r w:rsidR="00EA20A5" w:rsidRPr="00A50E4D">
        <w:rPr>
          <w:szCs w:val="20"/>
          <w:lang w:val="en-US"/>
        </w:rPr>
        <w:instrText xml:space="preserve"> \* MERGEFORMAT </w:instrText>
      </w:r>
      <w:r w:rsidR="00C679DB" w:rsidRPr="00914F55">
        <w:rPr>
          <w:szCs w:val="20"/>
          <w:lang w:val="en-US"/>
        </w:rPr>
      </w:r>
      <w:r w:rsidR="00C679DB" w:rsidRPr="00914F55">
        <w:rPr>
          <w:szCs w:val="20"/>
          <w:lang w:val="en-US"/>
        </w:rPr>
        <w:fldChar w:fldCharType="separate"/>
      </w:r>
      <w:r w:rsidR="00547588">
        <w:rPr>
          <w:szCs w:val="20"/>
          <w:lang w:val="en-US"/>
        </w:rPr>
        <w:t>60</w:t>
      </w:r>
      <w:r w:rsidR="00C679DB" w:rsidRPr="00914F55">
        <w:rPr>
          <w:szCs w:val="20"/>
          <w:lang w:val="en-US"/>
        </w:rPr>
        <w:fldChar w:fldCharType="end"/>
      </w:r>
      <w:r w:rsidR="00775E59" w:rsidRPr="00A50E4D">
        <w:rPr>
          <w:szCs w:val="20"/>
          <w:lang w:val="en-US"/>
        </w:rPr>
        <w:t>).</w:t>
      </w:r>
      <w:r w:rsidR="00C679DB" w:rsidRPr="00A50E4D">
        <w:rPr>
          <w:szCs w:val="20"/>
          <w:lang w:val="en-US"/>
        </w:rPr>
        <w:t xml:space="preserve"> </w:t>
      </w:r>
      <w:r w:rsidR="00AB5969" w:rsidRPr="00A50E4D">
        <w:rPr>
          <w:szCs w:val="20"/>
          <w:lang w:val="en-US"/>
        </w:rPr>
        <w:t xml:space="preserve">When suspending </w:t>
      </w:r>
      <w:r w:rsidR="00C679DB" w:rsidRPr="00A50E4D">
        <w:rPr>
          <w:szCs w:val="20"/>
          <w:lang w:val="en-US"/>
        </w:rPr>
        <w:t xml:space="preserve">Honduras, </w:t>
      </w:r>
      <w:r w:rsidR="00700DEC" w:rsidRPr="00A50E4D">
        <w:rPr>
          <w:szCs w:val="20"/>
          <w:lang w:val="en-US"/>
        </w:rPr>
        <w:t>the General Assembly</w:t>
      </w:r>
      <w:r w:rsidR="00C679DB" w:rsidRPr="00A50E4D">
        <w:rPr>
          <w:szCs w:val="20"/>
          <w:lang w:val="en-US"/>
        </w:rPr>
        <w:t xml:space="preserve"> resolv</w:t>
      </w:r>
      <w:r w:rsidR="00AB5969" w:rsidRPr="00A50E4D">
        <w:rPr>
          <w:szCs w:val="20"/>
          <w:lang w:val="en-US"/>
        </w:rPr>
        <w:t>ed</w:t>
      </w:r>
      <w:r w:rsidR="00C679DB" w:rsidRPr="00A50E4D">
        <w:rPr>
          <w:szCs w:val="20"/>
          <w:lang w:val="en-US"/>
        </w:rPr>
        <w:t>:</w:t>
      </w:r>
      <w:bookmarkEnd w:id="216"/>
    </w:p>
    <w:p w14:paraId="5FBB4888" w14:textId="77777777" w:rsidR="00C679DB" w:rsidRPr="00A50E4D" w:rsidRDefault="00C679DB" w:rsidP="00C679DB">
      <w:pPr>
        <w:rPr>
          <w:lang w:val="en-US" w:eastAsia="es-MX"/>
        </w:rPr>
      </w:pPr>
    </w:p>
    <w:p w14:paraId="6BF54EFB" w14:textId="5308AE04" w:rsidR="00AB5969" w:rsidRPr="00A50E4D" w:rsidRDefault="00C679DB" w:rsidP="00AB5969">
      <w:pPr>
        <w:tabs>
          <w:tab w:val="left" w:pos="990"/>
        </w:tabs>
        <w:ind w:left="540" w:right="656"/>
        <w:rPr>
          <w:rFonts w:eastAsia="Times New Roman" w:cs="Arial"/>
          <w:sz w:val="18"/>
          <w:szCs w:val="18"/>
          <w:lang w:val="en-US"/>
        </w:rPr>
      </w:pPr>
      <w:r w:rsidRPr="00A50E4D">
        <w:rPr>
          <w:sz w:val="18"/>
          <w:szCs w:val="18"/>
          <w:lang w:val="en-US"/>
        </w:rPr>
        <w:t xml:space="preserve">1. </w:t>
      </w:r>
      <w:r w:rsidR="00AB5969" w:rsidRPr="00A50E4D">
        <w:rPr>
          <w:sz w:val="18"/>
          <w:szCs w:val="18"/>
          <w:lang w:val="en-US"/>
        </w:rPr>
        <w:tab/>
      </w:r>
      <w:r w:rsidR="00AB5969" w:rsidRPr="00A50E4D">
        <w:rPr>
          <w:rFonts w:eastAsia="Times New Roman" w:cs="Arial"/>
          <w:sz w:val="18"/>
          <w:szCs w:val="18"/>
          <w:lang w:val="en-US"/>
        </w:rPr>
        <w:t>To suspend the Honduran state from the exercise of its right to participate in the Organization of American States, in accordance with Article 21 of the Inter-American Democratic Charter.</w:t>
      </w:r>
      <w:r w:rsidR="0066078E" w:rsidRPr="00A50E4D">
        <w:rPr>
          <w:rFonts w:eastAsia="Times New Roman" w:cs="Arial"/>
          <w:sz w:val="18"/>
          <w:szCs w:val="18"/>
          <w:lang w:val="en-US"/>
        </w:rPr>
        <w:t xml:space="preserve"> </w:t>
      </w:r>
      <w:r w:rsidR="00AB5969" w:rsidRPr="00A50E4D">
        <w:rPr>
          <w:rFonts w:eastAsia="Times New Roman" w:cs="Arial"/>
          <w:sz w:val="18"/>
          <w:szCs w:val="18"/>
          <w:lang w:val="en-US"/>
        </w:rPr>
        <w:t>The suspension shall take effect immediately.</w:t>
      </w:r>
    </w:p>
    <w:p w14:paraId="5FECC001" w14:textId="77777777" w:rsidR="00AB5969" w:rsidRPr="00A50E4D" w:rsidRDefault="00AB5969" w:rsidP="00AB5969">
      <w:pPr>
        <w:tabs>
          <w:tab w:val="left" w:pos="990"/>
        </w:tabs>
        <w:ind w:left="540" w:right="656"/>
        <w:rPr>
          <w:rFonts w:eastAsia="Times New Roman" w:cs="Arial"/>
          <w:sz w:val="18"/>
          <w:szCs w:val="18"/>
          <w:lang w:val="en-US"/>
        </w:rPr>
      </w:pPr>
    </w:p>
    <w:p w14:paraId="6C08E2B0" w14:textId="68748B55" w:rsidR="00C679DB" w:rsidRPr="00A50E4D" w:rsidRDefault="00AB5969" w:rsidP="00AB5969">
      <w:pPr>
        <w:tabs>
          <w:tab w:val="left" w:pos="990"/>
        </w:tabs>
        <w:ind w:left="540" w:right="656"/>
        <w:rPr>
          <w:rFonts w:eastAsia="Times New Roman" w:cs="Arial"/>
          <w:sz w:val="18"/>
          <w:szCs w:val="18"/>
          <w:lang w:val="en-US"/>
        </w:rPr>
      </w:pPr>
      <w:r w:rsidRPr="00A50E4D">
        <w:rPr>
          <w:rFonts w:eastAsia="Times New Roman" w:cs="Arial"/>
          <w:sz w:val="18"/>
          <w:szCs w:val="18"/>
          <w:lang w:val="en-US"/>
        </w:rPr>
        <w:t>2.</w:t>
      </w:r>
      <w:r w:rsidRPr="00A50E4D">
        <w:rPr>
          <w:rFonts w:eastAsia="Times New Roman" w:cs="Arial"/>
          <w:sz w:val="18"/>
          <w:szCs w:val="18"/>
          <w:lang w:val="en-US"/>
        </w:rPr>
        <w:tab/>
        <w:t xml:space="preserve">To reaffirm that the Republic of Honduras must continue to fulfill its obligations as a member of the Organization, in particular </w:t>
      </w:r>
      <w:r w:rsidR="000A786A" w:rsidRPr="00A50E4D">
        <w:rPr>
          <w:rFonts w:eastAsia="Times New Roman" w:cs="Arial"/>
          <w:sz w:val="18"/>
          <w:szCs w:val="18"/>
          <w:lang w:val="en-US"/>
        </w:rPr>
        <w:t>with regard</w:t>
      </w:r>
      <w:r w:rsidRPr="00A50E4D">
        <w:rPr>
          <w:rFonts w:eastAsia="Times New Roman" w:cs="Arial"/>
          <w:sz w:val="18"/>
          <w:szCs w:val="18"/>
          <w:lang w:val="en-US"/>
        </w:rPr>
        <w:t xml:space="preserve"> to human rights; and to urge the Inter-American Commission on Human Rights to continue to take all necessary measures to protect and defend human rights and fundamental freedoms in Honduras.</w:t>
      </w:r>
      <w:r w:rsidR="00C679DB" w:rsidRPr="00A50E4D">
        <w:rPr>
          <w:rStyle w:val="FootnoteReference"/>
          <w:sz w:val="18"/>
          <w:szCs w:val="18"/>
          <w:lang w:val="en-US"/>
        </w:rPr>
        <w:footnoteReference w:id="288"/>
      </w:r>
      <w:r w:rsidR="00C679DB" w:rsidRPr="00A50E4D">
        <w:rPr>
          <w:sz w:val="18"/>
          <w:szCs w:val="18"/>
          <w:lang w:val="en-US"/>
        </w:rPr>
        <w:t xml:space="preserve"> </w:t>
      </w:r>
    </w:p>
    <w:p w14:paraId="2BED6BFB" w14:textId="77777777" w:rsidR="00C679DB" w:rsidRPr="00A50E4D" w:rsidRDefault="00C679DB" w:rsidP="00C679DB">
      <w:pPr>
        <w:rPr>
          <w:lang w:val="en-US" w:eastAsia="es-MX"/>
        </w:rPr>
      </w:pPr>
    </w:p>
    <w:p w14:paraId="4E544158" w14:textId="10BB8B87" w:rsidR="00C679DB" w:rsidRPr="00A50E4D" w:rsidRDefault="009808C5" w:rsidP="00C679DB">
      <w:pPr>
        <w:pStyle w:val="PrrafodeSentencia"/>
        <w:rPr>
          <w:lang w:val="en-US"/>
        </w:rPr>
      </w:pPr>
      <w:bookmarkStart w:id="217" w:name="_Ref431553596"/>
      <w:r w:rsidRPr="00A50E4D">
        <w:rPr>
          <w:szCs w:val="20"/>
          <w:lang w:val="en-US"/>
        </w:rPr>
        <w:t>The Court</w:t>
      </w:r>
      <w:r w:rsidR="00C679DB" w:rsidRPr="00A50E4D">
        <w:rPr>
          <w:szCs w:val="20"/>
          <w:lang w:val="en-US"/>
        </w:rPr>
        <w:t xml:space="preserve"> </w:t>
      </w:r>
      <w:r w:rsidR="00AB5969" w:rsidRPr="00A50E4D">
        <w:rPr>
          <w:szCs w:val="20"/>
          <w:lang w:val="en-US"/>
        </w:rPr>
        <w:t xml:space="preserve">notes that, under international law, the events that occurred in </w:t>
      </w:r>
      <w:r w:rsidR="00700DEC" w:rsidRPr="00A50E4D">
        <w:rPr>
          <w:szCs w:val="20"/>
          <w:lang w:val="en-US"/>
        </w:rPr>
        <w:t>Honduras</w:t>
      </w:r>
      <w:r w:rsidR="00C679DB" w:rsidRPr="00A50E4D">
        <w:rPr>
          <w:szCs w:val="20"/>
          <w:lang w:val="en-US"/>
        </w:rPr>
        <w:t xml:space="preserve"> </w:t>
      </w:r>
      <w:r w:rsidR="00AB5969" w:rsidRPr="00A50E4D">
        <w:rPr>
          <w:szCs w:val="20"/>
          <w:lang w:val="en-US"/>
        </w:rPr>
        <w:t xml:space="preserve">starting on </w:t>
      </w:r>
      <w:r w:rsidR="00C150F2" w:rsidRPr="00A50E4D">
        <w:rPr>
          <w:szCs w:val="20"/>
          <w:lang w:val="en-US"/>
        </w:rPr>
        <w:t>June 28, 2009</w:t>
      </w:r>
      <w:r w:rsidR="00C171A4" w:rsidRPr="00A50E4D">
        <w:rPr>
          <w:szCs w:val="20"/>
          <w:lang w:val="en-US"/>
        </w:rPr>
        <w:t>,</w:t>
      </w:r>
      <w:r w:rsidR="00C679DB" w:rsidRPr="00A50E4D">
        <w:rPr>
          <w:szCs w:val="20"/>
          <w:lang w:val="en-US"/>
        </w:rPr>
        <w:t xml:space="preserve"> constitu</w:t>
      </w:r>
      <w:r w:rsidR="00AB5969" w:rsidRPr="00A50E4D">
        <w:rPr>
          <w:szCs w:val="20"/>
          <w:lang w:val="en-US"/>
        </w:rPr>
        <w:t xml:space="preserve">ted an internationally wrongful act. </w:t>
      </w:r>
      <w:r w:rsidR="00C679DB" w:rsidRPr="00A50E4D">
        <w:rPr>
          <w:lang w:val="en-US"/>
        </w:rPr>
        <w:t>Dur</w:t>
      </w:r>
      <w:r w:rsidR="00AB5969" w:rsidRPr="00A50E4D">
        <w:rPr>
          <w:lang w:val="en-US"/>
        </w:rPr>
        <w:t>ing this situation of</w:t>
      </w:r>
      <w:r w:rsidR="00C171A4" w:rsidRPr="00A50E4D">
        <w:rPr>
          <w:lang w:val="en-US"/>
        </w:rPr>
        <w:t xml:space="preserve"> the</w:t>
      </w:r>
      <w:r w:rsidR="00AB5969" w:rsidRPr="00A50E4D">
        <w:rPr>
          <w:lang w:val="en-US"/>
        </w:rPr>
        <w:t xml:space="preserve"> international illegi</w:t>
      </w:r>
      <w:r w:rsidR="000A786A" w:rsidRPr="00A50E4D">
        <w:rPr>
          <w:lang w:val="en-US"/>
        </w:rPr>
        <w:t>ti</w:t>
      </w:r>
      <w:r w:rsidR="00AB5969" w:rsidRPr="00A50E4D">
        <w:rPr>
          <w:lang w:val="en-US"/>
        </w:rPr>
        <w:t xml:space="preserve">macy of the government </w:t>
      </w:r>
      <w:r w:rsidR="00C679DB" w:rsidRPr="00A50E4D">
        <w:rPr>
          <w:i/>
          <w:lang w:val="en-US"/>
        </w:rPr>
        <w:t>de facto</w:t>
      </w:r>
      <w:r w:rsidR="00AB5969" w:rsidRPr="00A50E4D">
        <w:rPr>
          <w:lang w:val="en-US"/>
        </w:rPr>
        <w:t xml:space="preserve">, disciplinary proceedings were instituted against </w:t>
      </w:r>
      <w:r w:rsidR="00371BB7" w:rsidRPr="00A50E4D">
        <w:rPr>
          <w:lang w:val="en-US"/>
        </w:rPr>
        <w:t>the presumed victims</w:t>
      </w:r>
      <w:r w:rsidR="00AB5969" w:rsidRPr="00A50E4D">
        <w:rPr>
          <w:lang w:val="en-US"/>
        </w:rPr>
        <w:t xml:space="preserve"> for conduct</w:t>
      </w:r>
      <w:r w:rsidR="00C171A4" w:rsidRPr="00A50E4D">
        <w:rPr>
          <w:lang w:val="en-US"/>
        </w:rPr>
        <w:t>s</w:t>
      </w:r>
      <w:r w:rsidR="00AB5969" w:rsidRPr="00A50E4D">
        <w:rPr>
          <w:lang w:val="en-US"/>
        </w:rPr>
        <w:t xml:space="preserve"> that, basically, constituted actions against </w:t>
      </w:r>
      <w:r w:rsidR="004626E5" w:rsidRPr="00A50E4D">
        <w:rPr>
          <w:lang w:val="en-US"/>
        </w:rPr>
        <w:t xml:space="preserve">the </w:t>
      </w:r>
      <w:r w:rsidR="00B11ACA" w:rsidRPr="00A50E4D">
        <w:rPr>
          <w:i/>
          <w:lang w:val="en-US"/>
        </w:rPr>
        <w:t>coup d’état</w:t>
      </w:r>
      <w:r w:rsidRPr="00A50E4D">
        <w:rPr>
          <w:lang w:val="en-US"/>
        </w:rPr>
        <w:t xml:space="preserve"> and </w:t>
      </w:r>
      <w:r w:rsidR="00AB5969" w:rsidRPr="00A50E4D">
        <w:rPr>
          <w:lang w:val="en-US"/>
        </w:rPr>
        <w:t xml:space="preserve">in </w:t>
      </w:r>
      <w:r w:rsidR="00C679DB" w:rsidRPr="00A50E4D">
        <w:rPr>
          <w:lang w:val="en-US"/>
        </w:rPr>
        <w:t>favor</w:t>
      </w:r>
      <w:r w:rsidRPr="00A50E4D">
        <w:rPr>
          <w:lang w:val="en-US"/>
        </w:rPr>
        <w:t xml:space="preserve"> of the</w:t>
      </w:r>
      <w:r w:rsidR="00AB5969" w:rsidRPr="00A50E4D">
        <w:rPr>
          <w:lang w:val="en-US"/>
        </w:rPr>
        <w:t xml:space="preserve"> rule of law and democracy. In other words, for conducts established in the</w:t>
      </w:r>
      <w:r w:rsidR="006A3B18" w:rsidRPr="00A50E4D">
        <w:rPr>
          <w:lang w:val="en-US"/>
        </w:rPr>
        <w:t xml:space="preserve"> </w:t>
      </w:r>
      <w:r w:rsidR="00E7138A" w:rsidRPr="00A50E4D">
        <w:rPr>
          <w:lang w:val="en-US"/>
        </w:rPr>
        <w:t>Inter-American Democratic Charter</w:t>
      </w:r>
      <w:r w:rsidR="00C171A4" w:rsidRPr="00A50E4D">
        <w:rPr>
          <w:lang w:val="en-US"/>
        </w:rPr>
        <w:t>,</w:t>
      </w:r>
      <w:r w:rsidR="006A3B18" w:rsidRPr="00A50E4D">
        <w:rPr>
          <w:lang w:val="en-US"/>
        </w:rPr>
        <w:t xml:space="preserve"> </w:t>
      </w:r>
      <w:r w:rsidR="00AB5969" w:rsidRPr="00A50E4D">
        <w:rPr>
          <w:lang w:val="en-US"/>
        </w:rPr>
        <w:t xml:space="preserve">insofar as they constituted the exercise of the participation of </w:t>
      </w:r>
      <w:r w:rsidR="00C171A4" w:rsidRPr="00A50E4D">
        <w:rPr>
          <w:lang w:val="en-US"/>
        </w:rPr>
        <w:t>the citizenry</w:t>
      </w:r>
      <w:r w:rsidR="00AB5969" w:rsidRPr="00A50E4D">
        <w:rPr>
          <w:lang w:val="en-US"/>
        </w:rPr>
        <w:t xml:space="preserve"> to defend the constituent elements of representative democracy. In this regard, the Court observes that</w:t>
      </w:r>
      <w:r w:rsidR="00C171A4" w:rsidRPr="00A50E4D">
        <w:rPr>
          <w:lang w:val="en-US"/>
        </w:rPr>
        <w:t>,</w:t>
      </w:r>
      <w:r w:rsidR="00C171A4" w:rsidRPr="00A50E4D">
        <w:rPr>
          <w:szCs w:val="20"/>
          <w:lang w:val="en-US"/>
        </w:rPr>
        <w:t xml:space="preserve"> following its visit to Honduras in August 2009, </w:t>
      </w:r>
      <w:r w:rsidRPr="00A50E4D">
        <w:rPr>
          <w:szCs w:val="20"/>
          <w:lang w:val="en-US"/>
        </w:rPr>
        <w:t>the Inter-American Commission</w:t>
      </w:r>
      <w:r w:rsidR="00C679DB" w:rsidRPr="00A50E4D">
        <w:rPr>
          <w:szCs w:val="20"/>
          <w:lang w:val="en-US"/>
        </w:rPr>
        <w:t xml:space="preserve"> </w:t>
      </w:r>
      <w:r w:rsidR="00C171A4" w:rsidRPr="00A50E4D">
        <w:rPr>
          <w:szCs w:val="20"/>
          <w:lang w:val="en-US"/>
        </w:rPr>
        <w:t>noted</w:t>
      </w:r>
      <w:r w:rsidR="00AB5969" w:rsidRPr="00A50E4D">
        <w:rPr>
          <w:szCs w:val="20"/>
          <w:lang w:val="en-US"/>
        </w:rPr>
        <w:t xml:space="preserve"> that </w:t>
      </w:r>
      <w:r w:rsidR="00C679DB" w:rsidRPr="00A50E4D">
        <w:rPr>
          <w:rFonts w:cs="Arial"/>
          <w:szCs w:val="20"/>
          <w:lang w:val="en-US"/>
        </w:rPr>
        <w:t>“</w:t>
      </w:r>
      <w:r w:rsidR="0066078E" w:rsidRPr="00A50E4D">
        <w:rPr>
          <w:rFonts w:cs="Arial"/>
          <w:szCs w:val="20"/>
          <w:lang w:val="en-US"/>
        </w:rPr>
        <w:t xml:space="preserve">political authorities, community leaders and public officials who voiced opposition to the </w:t>
      </w:r>
      <w:r w:rsidR="00B11ACA" w:rsidRPr="00A50E4D">
        <w:rPr>
          <w:rFonts w:eastAsiaTheme="minorHAnsi"/>
          <w:i/>
          <w:szCs w:val="20"/>
          <w:lang w:val="en-US"/>
        </w:rPr>
        <w:t>coup d’état</w:t>
      </w:r>
      <w:r w:rsidR="0066078E" w:rsidRPr="00A50E4D">
        <w:rPr>
          <w:rFonts w:eastAsiaTheme="minorHAnsi"/>
          <w:szCs w:val="20"/>
          <w:lang w:val="en-US"/>
        </w:rPr>
        <w:t xml:space="preserve"> experienced situations that endangered their lives and personal integrity, as did members of the family </w:t>
      </w:r>
      <w:r w:rsidR="004626E5" w:rsidRPr="00A50E4D">
        <w:rPr>
          <w:rFonts w:eastAsiaTheme="minorHAnsi"/>
          <w:szCs w:val="20"/>
          <w:lang w:val="en-US"/>
        </w:rPr>
        <w:t xml:space="preserve">of </w:t>
      </w:r>
      <w:r w:rsidR="0054124E" w:rsidRPr="00A50E4D">
        <w:rPr>
          <w:rFonts w:eastAsiaTheme="minorHAnsi"/>
          <w:szCs w:val="20"/>
          <w:lang w:val="en-US"/>
        </w:rPr>
        <w:t>President Zelaya</w:t>
      </w:r>
      <w:r w:rsidR="0066078E" w:rsidRPr="00A50E4D">
        <w:rPr>
          <w:rFonts w:eastAsiaTheme="minorHAnsi"/>
          <w:szCs w:val="20"/>
          <w:lang w:val="en-US"/>
        </w:rPr>
        <w:t xml:space="preserve">. They were threatened, pursued, beaten, harassed and/or investigated by the courts” </w:t>
      </w:r>
      <w:r w:rsidR="00C679DB" w:rsidRPr="00A50E4D">
        <w:rPr>
          <w:rFonts w:cs="Arial"/>
          <w:szCs w:val="20"/>
          <w:lang w:val="en-US"/>
        </w:rPr>
        <w:t>(</w:t>
      </w:r>
      <w:r w:rsidR="00C679DB" w:rsidRPr="00A50E4D">
        <w:rPr>
          <w:rFonts w:cs="Arial"/>
          <w:i/>
          <w:szCs w:val="20"/>
          <w:lang w:val="en-US"/>
        </w:rPr>
        <w:t>supra</w:t>
      </w:r>
      <w:r w:rsidR="00C679DB" w:rsidRPr="00A50E4D">
        <w:rPr>
          <w:rFonts w:cs="Arial"/>
          <w:szCs w:val="20"/>
          <w:lang w:val="en-US"/>
        </w:rPr>
        <w:t xml:space="preserve"> </w:t>
      </w:r>
      <w:r w:rsidR="00AD5EE7" w:rsidRPr="00A50E4D">
        <w:rPr>
          <w:rFonts w:cs="Arial"/>
          <w:szCs w:val="20"/>
          <w:lang w:val="en-US"/>
        </w:rPr>
        <w:t>para.</w:t>
      </w:r>
      <w:r w:rsidR="00C679DB" w:rsidRPr="00A50E4D">
        <w:rPr>
          <w:rFonts w:cs="Arial"/>
          <w:szCs w:val="20"/>
          <w:lang w:val="en-US"/>
        </w:rPr>
        <w:t xml:space="preserve"> </w:t>
      </w:r>
      <w:r w:rsidR="00C679DB" w:rsidRPr="00914F55">
        <w:rPr>
          <w:rFonts w:cs="Arial"/>
          <w:szCs w:val="20"/>
          <w:lang w:val="en-US"/>
        </w:rPr>
        <w:fldChar w:fldCharType="begin"/>
      </w:r>
      <w:r w:rsidR="00C679DB" w:rsidRPr="00A50E4D">
        <w:rPr>
          <w:rFonts w:cs="Arial"/>
          <w:szCs w:val="20"/>
          <w:lang w:val="en-US"/>
        </w:rPr>
        <w:instrText xml:space="preserve"> REF _Ref431474704 \r \h  \* MERGEFORMAT </w:instrText>
      </w:r>
      <w:r w:rsidR="00C679DB" w:rsidRPr="00914F55">
        <w:rPr>
          <w:rFonts w:cs="Arial"/>
          <w:szCs w:val="20"/>
          <w:lang w:val="en-US"/>
        </w:rPr>
      </w:r>
      <w:r w:rsidR="00C679DB" w:rsidRPr="00914F55">
        <w:rPr>
          <w:rFonts w:cs="Arial"/>
          <w:szCs w:val="20"/>
          <w:lang w:val="en-US"/>
        </w:rPr>
        <w:fldChar w:fldCharType="separate"/>
      </w:r>
      <w:r w:rsidR="00547588">
        <w:rPr>
          <w:rFonts w:cs="Arial"/>
          <w:szCs w:val="20"/>
          <w:lang w:val="en-US"/>
        </w:rPr>
        <w:t>51</w:t>
      </w:r>
      <w:r w:rsidR="00C679DB" w:rsidRPr="00914F55">
        <w:rPr>
          <w:rFonts w:cs="Arial"/>
          <w:szCs w:val="20"/>
          <w:lang w:val="en-US"/>
        </w:rPr>
        <w:fldChar w:fldCharType="end"/>
      </w:r>
      <w:r w:rsidR="00C679DB" w:rsidRPr="00A50E4D">
        <w:rPr>
          <w:rFonts w:cs="Arial"/>
          <w:szCs w:val="20"/>
          <w:lang w:val="en-US"/>
        </w:rPr>
        <w:t>)</w:t>
      </w:r>
      <w:r w:rsidR="00C679DB" w:rsidRPr="00A50E4D">
        <w:rPr>
          <w:szCs w:val="20"/>
          <w:lang w:val="en-US"/>
        </w:rPr>
        <w:t xml:space="preserve">. </w:t>
      </w:r>
      <w:r w:rsidR="0066078E" w:rsidRPr="00A50E4D">
        <w:rPr>
          <w:szCs w:val="20"/>
          <w:lang w:val="en-US"/>
        </w:rPr>
        <w:t xml:space="preserve">Likewise, the </w:t>
      </w:r>
      <w:r w:rsidR="00A92F1B" w:rsidRPr="00A50E4D">
        <w:rPr>
          <w:lang w:val="en-US"/>
        </w:rPr>
        <w:t>United Nations High Commissioner for Human Rights</w:t>
      </w:r>
      <w:r w:rsidR="00C679DB" w:rsidRPr="00A50E4D">
        <w:rPr>
          <w:lang w:val="en-US"/>
        </w:rPr>
        <w:t xml:space="preserve"> </w:t>
      </w:r>
      <w:r w:rsidR="0066078E" w:rsidRPr="00A50E4D">
        <w:rPr>
          <w:lang w:val="en-US"/>
        </w:rPr>
        <w:t xml:space="preserve">indicated that, following </w:t>
      </w:r>
      <w:r w:rsidR="00371BB7" w:rsidRPr="00A50E4D">
        <w:rPr>
          <w:lang w:val="en-US"/>
        </w:rPr>
        <w:t xml:space="preserve">the </w:t>
      </w:r>
      <w:r w:rsidR="00B11ACA" w:rsidRPr="00A50E4D">
        <w:rPr>
          <w:i/>
          <w:lang w:val="en-US"/>
        </w:rPr>
        <w:t>coup d’état</w:t>
      </w:r>
      <w:r w:rsidR="00C679DB" w:rsidRPr="00A50E4D">
        <w:rPr>
          <w:lang w:val="en-US"/>
        </w:rPr>
        <w:t>:</w:t>
      </w:r>
      <w:bookmarkEnd w:id="217"/>
    </w:p>
    <w:p w14:paraId="115B998C" w14:textId="77777777" w:rsidR="00C679DB" w:rsidRPr="00A50E4D" w:rsidRDefault="00C679DB" w:rsidP="00C679DB">
      <w:pPr>
        <w:rPr>
          <w:lang w:val="en-US" w:eastAsia="es-MX"/>
        </w:rPr>
      </w:pPr>
    </w:p>
    <w:p w14:paraId="021E5BC4" w14:textId="255D4B42" w:rsidR="00C679DB" w:rsidRPr="00A50E4D" w:rsidRDefault="0066078E" w:rsidP="00C679DB">
      <w:pPr>
        <w:ind w:left="567" w:right="674"/>
        <w:rPr>
          <w:spacing w:val="-4"/>
          <w:sz w:val="18"/>
          <w:szCs w:val="18"/>
          <w:lang w:val="en-US"/>
        </w:rPr>
      </w:pPr>
      <w:r w:rsidRPr="00A50E4D">
        <w:rPr>
          <w:spacing w:val="-4"/>
          <w:sz w:val="18"/>
          <w:szCs w:val="18"/>
          <w:lang w:val="en-US"/>
        </w:rPr>
        <w:t xml:space="preserve">The Attorney General’s Office, the judges </w:t>
      </w:r>
      <w:r w:rsidR="009808C5" w:rsidRPr="00A50E4D">
        <w:rPr>
          <w:spacing w:val="-4"/>
          <w:sz w:val="18"/>
          <w:szCs w:val="18"/>
          <w:lang w:val="en-US"/>
        </w:rPr>
        <w:t xml:space="preserve">and the </w:t>
      </w:r>
      <w:r w:rsidR="00371BB7" w:rsidRPr="00A50E4D">
        <w:rPr>
          <w:spacing w:val="-4"/>
          <w:sz w:val="18"/>
          <w:szCs w:val="18"/>
          <w:lang w:val="en-US"/>
        </w:rPr>
        <w:t>Supreme Court of Justice</w:t>
      </w:r>
      <w:r w:rsidRPr="00A50E4D">
        <w:rPr>
          <w:spacing w:val="-4"/>
          <w:sz w:val="18"/>
          <w:szCs w:val="18"/>
          <w:lang w:val="en-US"/>
        </w:rPr>
        <w:t xml:space="preserve"> have, i</w:t>
      </w:r>
      <w:r w:rsidR="00C679DB" w:rsidRPr="00A50E4D">
        <w:rPr>
          <w:spacing w:val="-4"/>
          <w:sz w:val="18"/>
          <w:szCs w:val="18"/>
          <w:lang w:val="en-US"/>
        </w:rPr>
        <w:t xml:space="preserve">n general, </w:t>
      </w:r>
      <w:r w:rsidRPr="00A50E4D">
        <w:rPr>
          <w:spacing w:val="-4"/>
          <w:sz w:val="18"/>
          <w:szCs w:val="18"/>
          <w:lang w:val="en-US"/>
        </w:rPr>
        <w:t xml:space="preserve">supported the </w:t>
      </w:r>
      <w:r w:rsidR="00C679DB" w:rsidRPr="00A50E4D">
        <w:rPr>
          <w:i/>
          <w:iCs/>
          <w:spacing w:val="-4"/>
          <w:sz w:val="18"/>
          <w:szCs w:val="18"/>
          <w:lang w:val="en-US"/>
        </w:rPr>
        <w:t xml:space="preserve">de facto </w:t>
      </w:r>
      <w:r w:rsidRPr="00A50E4D">
        <w:rPr>
          <w:spacing w:val="-4"/>
          <w:sz w:val="18"/>
          <w:szCs w:val="18"/>
          <w:lang w:val="en-US"/>
        </w:rPr>
        <w:t>authorities by defending restrictive measures at the expenses of protection of human rights and respect for the rule of law.</w:t>
      </w:r>
      <w:r w:rsidR="00C679DB" w:rsidRPr="00A50E4D">
        <w:rPr>
          <w:rStyle w:val="FootnoteReference"/>
          <w:spacing w:val="-4"/>
          <w:sz w:val="18"/>
          <w:szCs w:val="18"/>
          <w:lang w:val="en-US"/>
        </w:rPr>
        <w:footnoteReference w:id="289"/>
      </w:r>
    </w:p>
    <w:p w14:paraId="61B321C1" w14:textId="77777777" w:rsidR="00C679DB" w:rsidRPr="00A50E4D" w:rsidRDefault="00C679DB" w:rsidP="00C679DB">
      <w:pPr>
        <w:rPr>
          <w:lang w:val="en-US" w:eastAsia="es-MX"/>
        </w:rPr>
      </w:pPr>
    </w:p>
    <w:p w14:paraId="3022C1C2" w14:textId="1BB7FC2F" w:rsidR="00C679DB" w:rsidRPr="00A50E4D" w:rsidRDefault="0066078E" w:rsidP="00C06982">
      <w:pPr>
        <w:pStyle w:val="PrrafodeSentencia"/>
        <w:rPr>
          <w:szCs w:val="20"/>
          <w:lang w:val="en-US"/>
        </w:rPr>
      </w:pPr>
      <w:r w:rsidRPr="00A50E4D">
        <w:rPr>
          <w:szCs w:val="20"/>
          <w:lang w:val="en-US"/>
        </w:rPr>
        <w:t xml:space="preserve">In this case, the four presumed victims, three judges and a justice </w:t>
      </w:r>
      <w:r w:rsidR="00700DEC" w:rsidRPr="00A50E4D">
        <w:rPr>
          <w:szCs w:val="20"/>
          <w:lang w:val="en-US"/>
        </w:rPr>
        <w:t xml:space="preserve">of the </w:t>
      </w:r>
      <w:r w:rsidR="00A3368B" w:rsidRPr="00A50E4D">
        <w:rPr>
          <w:szCs w:val="20"/>
          <w:lang w:val="en-US"/>
        </w:rPr>
        <w:t>Republic of</w:t>
      </w:r>
      <w:r w:rsidR="00C679DB" w:rsidRPr="00A50E4D">
        <w:rPr>
          <w:szCs w:val="20"/>
          <w:lang w:val="en-US"/>
        </w:rPr>
        <w:t xml:space="preserve"> Honduras, </w:t>
      </w:r>
      <w:r w:rsidRPr="00A50E4D">
        <w:rPr>
          <w:szCs w:val="20"/>
          <w:lang w:val="en-US"/>
        </w:rPr>
        <w:t xml:space="preserve">protested against </w:t>
      </w:r>
      <w:r w:rsidR="004626E5" w:rsidRPr="00A50E4D">
        <w:rPr>
          <w:szCs w:val="20"/>
          <w:lang w:val="en-US"/>
        </w:rPr>
        <w:t xml:space="preserve">the </w:t>
      </w:r>
      <w:r w:rsidR="00B11ACA" w:rsidRPr="00A50E4D">
        <w:rPr>
          <w:i/>
          <w:szCs w:val="20"/>
          <w:lang w:val="en-US"/>
        </w:rPr>
        <w:t>coup d’état</w:t>
      </w:r>
      <w:r w:rsidR="009808C5" w:rsidRPr="00A50E4D">
        <w:rPr>
          <w:szCs w:val="20"/>
          <w:lang w:val="en-US"/>
        </w:rPr>
        <w:t xml:space="preserve"> and </w:t>
      </w:r>
      <w:r w:rsidRPr="00A50E4D">
        <w:rPr>
          <w:szCs w:val="20"/>
          <w:lang w:val="en-US"/>
        </w:rPr>
        <w:t>in</w:t>
      </w:r>
      <w:r w:rsidR="00C679DB" w:rsidRPr="00A50E4D">
        <w:rPr>
          <w:szCs w:val="20"/>
          <w:lang w:val="en-US"/>
        </w:rPr>
        <w:t xml:space="preserve"> favor</w:t>
      </w:r>
      <w:r w:rsidR="00FF35A9" w:rsidRPr="00A50E4D">
        <w:rPr>
          <w:szCs w:val="20"/>
          <w:lang w:val="en-US"/>
        </w:rPr>
        <w:t xml:space="preserve"> of the </w:t>
      </w:r>
      <w:r w:rsidR="00C679DB" w:rsidRPr="00A50E4D">
        <w:rPr>
          <w:szCs w:val="20"/>
          <w:lang w:val="en-US"/>
        </w:rPr>
        <w:t>re</w:t>
      </w:r>
      <w:r w:rsidRPr="00A50E4D">
        <w:rPr>
          <w:szCs w:val="20"/>
          <w:lang w:val="en-US"/>
        </w:rPr>
        <w:t xml:space="preserve">-establishment of democracy and the rule of law, by taking part in a </w:t>
      </w:r>
      <w:r w:rsidR="00C171A4" w:rsidRPr="00A50E4D">
        <w:rPr>
          <w:szCs w:val="20"/>
          <w:lang w:val="en-US"/>
        </w:rPr>
        <w:t>protest</w:t>
      </w:r>
      <w:r w:rsidRPr="00A50E4D">
        <w:rPr>
          <w:szCs w:val="20"/>
          <w:lang w:val="en-US"/>
        </w:rPr>
        <w:t xml:space="preserve">, by filing judicial complaints or actions, by an opinion emitted in the context of a university lecture, or in conversations with colleagues. Furthermore, </w:t>
      </w:r>
      <w:r w:rsidR="00C171A4" w:rsidRPr="00A50E4D">
        <w:rPr>
          <w:szCs w:val="20"/>
          <w:lang w:val="en-US"/>
        </w:rPr>
        <w:t>they</w:t>
      </w:r>
      <w:r w:rsidRPr="00A50E4D">
        <w:rPr>
          <w:szCs w:val="20"/>
          <w:lang w:val="en-US"/>
        </w:rPr>
        <w:t xml:space="preserve"> expressed their opinions </w:t>
      </w:r>
      <w:r w:rsidR="00C171A4" w:rsidRPr="00A50E4D">
        <w:rPr>
          <w:szCs w:val="20"/>
          <w:lang w:val="en-US"/>
        </w:rPr>
        <w:t>through</w:t>
      </w:r>
      <w:r w:rsidRPr="00A50E4D">
        <w:rPr>
          <w:szCs w:val="20"/>
          <w:lang w:val="en-US"/>
        </w:rPr>
        <w:t xml:space="preserve"> the AJD, of which they were all members, because this organization issued communiqués calling for the need to re-establish the rule of law</w:t>
      </w:r>
      <w:r w:rsidR="00C679DB" w:rsidRPr="00A50E4D">
        <w:rPr>
          <w:szCs w:val="20"/>
          <w:lang w:val="en-US"/>
        </w:rPr>
        <w:t xml:space="preserve"> (</w:t>
      </w:r>
      <w:r w:rsidR="00C679DB" w:rsidRPr="00A50E4D">
        <w:rPr>
          <w:i/>
          <w:szCs w:val="20"/>
          <w:lang w:val="en-US"/>
        </w:rPr>
        <w:t>supra</w:t>
      </w:r>
      <w:r w:rsidR="00C679DB" w:rsidRPr="00A50E4D">
        <w:rPr>
          <w:szCs w:val="20"/>
          <w:lang w:val="en-US"/>
        </w:rPr>
        <w:t xml:space="preserve"> </w:t>
      </w:r>
      <w:r w:rsidR="00AD5EE7" w:rsidRPr="00A50E4D">
        <w:rPr>
          <w:szCs w:val="20"/>
          <w:lang w:val="en-US"/>
        </w:rPr>
        <w:t>para.</w:t>
      </w:r>
      <w:r w:rsidR="00C679DB" w:rsidRPr="00A50E4D">
        <w:rPr>
          <w:szCs w:val="20"/>
          <w:lang w:val="en-US"/>
        </w:rPr>
        <w:t xml:space="preserve"> </w:t>
      </w:r>
      <w:r w:rsidR="00C679DB" w:rsidRPr="00914F55">
        <w:rPr>
          <w:szCs w:val="20"/>
          <w:lang w:val="en-US"/>
        </w:rPr>
        <w:fldChar w:fldCharType="begin"/>
      </w:r>
      <w:r w:rsidR="00C679DB" w:rsidRPr="00A50E4D">
        <w:rPr>
          <w:szCs w:val="20"/>
          <w:lang w:val="en-US"/>
        </w:rPr>
        <w:instrText xml:space="preserve"> REF _Ref431473536 \r \h  \* MERGEFORMAT </w:instrText>
      </w:r>
      <w:r w:rsidR="00C679DB" w:rsidRPr="00914F55">
        <w:rPr>
          <w:szCs w:val="20"/>
          <w:lang w:val="en-US"/>
        </w:rPr>
      </w:r>
      <w:r w:rsidR="00C679DB" w:rsidRPr="00914F55">
        <w:rPr>
          <w:szCs w:val="20"/>
          <w:lang w:val="en-US"/>
        </w:rPr>
        <w:fldChar w:fldCharType="separate"/>
      </w:r>
      <w:r w:rsidR="00547588">
        <w:rPr>
          <w:szCs w:val="20"/>
          <w:lang w:val="en-US"/>
        </w:rPr>
        <w:t>69</w:t>
      </w:r>
      <w:r w:rsidR="00C679DB" w:rsidRPr="00914F55">
        <w:rPr>
          <w:szCs w:val="20"/>
          <w:lang w:val="en-US"/>
        </w:rPr>
        <w:fldChar w:fldCharType="end"/>
      </w:r>
      <w:r w:rsidR="00C679DB" w:rsidRPr="00A50E4D">
        <w:rPr>
          <w:szCs w:val="20"/>
          <w:lang w:val="en-US"/>
        </w:rPr>
        <w:t xml:space="preserve">). </w:t>
      </w:r>
      <w:r w:rsidRPr="00A50E4D">
        <w:rPr>
          <w:szCs w:val="20"/>
          <w:lang w:val="en-US"/>
        </w:rPr>
        <w:t xml:space="preserve">Accordingly, under international law and the decisions of the OAS organs with jurisdiction in this matter, the actions </w:t>
      </w:r>
      <w:r w:rsidR="00371BB7" w:rsidRPr="00A50E4D">
        <w:rPr>
          <w:szCs w:val="20"/>
          <w:lang w:val="en-US"/>
        </w:rPr>
        <w:t>of the presumed victims</w:t>
      </w:r>
      <w:r w:rsidR="00C679DB" w:rsidRPr="00A50E4D">
        <w:rPr>
          <w:szCs w:val="20"/>
          <w:lang w:val="en-US"/>
        </w:rPr>
        <w:t xml:space="preserve"> </w:t>
      </w:r>
      <w:r w:rsidRPr="00A50E4D">
        <w:rPr>
          <w:szCs w:val="20"/>
          <w:lang w:val="en-US"/>
        </w:rPr>
        <w:t>enjoyed international legitimacy, contr</w:t>
      </w:r>
      <w:r w:rsidR="000A786A" w:rsidRPr="00A50E4D">
        <w:rPr>
          <w:szCs w:val="20"/>
          <w:lang w:val="en-US"/>
        </w:rPr>
        <w:t>ar</w:t>
      </w:r>
      <w:r w:rsidRPr="00A50E4D">
        <w:rPr>
          <w:szCs w:val="20"/>
          <w:lang w:val="en-US"/>
        </w:rPr>
        <w:t xml:space="preserve">y to those undertaken by the authorities of the government </w:t>
      </w:r>
      <w:r w:rsidR="00C679DB" w:rsidRPr="00A50E4D">
        <w:rPr>
          <w:i/>
          <w:szCs w:val="20"/>
          <w:lang w:val="en-US"/>
        </w:rPr>
        <w:t>de facto</w:t>
      </w:r>
      <w:r w:rsidR="00C679DB" w:rsidRPr="00A50E4D">
        <w:rPr>
          <w:szCs w:val="20"/>
          <w:lang w:val="en-US"/>
        </w:rPr>
        <w:t xml:space="preserve">. </w:t>
      </w:r>
      <w:r w:rsidR="000A786A" w:rsidRPr="00A50E4D">
        <w:rPr>
          <w:szCs w:val="20"/>
          <w:lang w:val="en-US"/>
        </w:rPr>
        <w:t>Consequently</w:t>
      </w:r>
      <w:r w:rsidRPr="00A50E4D">
        <w:rPr>
          <w:szCs w:val="20"/>
          <w:lang w:val="en-US"/>
        </w:rPr>
        <w:t xml:space="preserve">, this Court understands that the actions taken by </w:t>
      </w:r>
      <w:r w:rsidR="00371BB7" w:rsidRPr="00A50E4D">
        <w:rPr>
          <w:szCs w:val="20"/>
          <w:lang w:val="en-US"/>
        </w:rPr>
        <w:t>the presumed victims</w:t>
      </w:r>
      <w:r w:rsidR="00C679DB" w:rsidRPr="00A50E4D">
        <w:rPr>
          <w:szCs w:val="20"/>
          <w:lang w:val="en-US"/>
        </w:rPr>
        <w:t xml:space="preserve"> </w:t>
      </w:r>
      <w:r w:rsidRPr="00A50E4D">
        <w:rPr>
          <w:szCs w:val="20"/>
          <w:lang w:val="en-US"/>
        </w:rPr>
        <w:t>during this</w:t>
      </w:r>
      <w:r w:rsidR="00C679DB" w:rsidRPr="00A50E4D">
        <w:rPr>
          <w:szCs w:val="20"/>
          <w:lang w:val="en-US"/>
        </w:rPr>
        <w:t xml:space="preserve"> “</w:t>
      </w:r>
      <w:r w:rsidRPr="00A50E4D">
        <w:rPr>
          <w:szCs w:val="20"/>
          <w:lang w:val="en-US"/>
        </w:rPr>
        <w:t xml:space="preserve">unconstitutional </w:t>
      </w:r>
      <w:r w:rsidR="00C171A4" w:rsidRPr="00A50E4D">
        <w:rPr>
          <w:szCs w:val="20"/>
          <w:lang w:val="en-US"/>
        </w:rPr>
        <w:t>interruption</w:t>
      </w:r>
      <w:r w:rsidR="00C679DB" w:rsidRPr="00A50E4D">
        <w:rPr>
          <w:szCs w:val="20"/>
          <w:lang w:val="en-US"/>
        </w:rPr>
        <w:t>” constitu</w:t>
      </w:r>
      <w:r w:rsidRPr="00A50E4D">
        <w:rPr>
          <w:szCs w:val="20"/>
          <w:lang w:val="en-US"/>
        </w:rPr>
        <w:t>ted no</w:t>
      </w:r>
      <w:r w:rsidR="00C171A4" w:rsidRPr="00A50E4D">
        <w:rPr>
          <w:szCs w:val="20"/>
          <w:lang w:val="en-US"/>
        </w:rPr>
        <w:t>t</w:t>
      </w:r>
      <w:r w:rsidRPr="00A50E4D">
        <w:rPr>
          <w:szCs w:val="20"/>
          <w:lang w:val="en-US"/>
        </w:rPr>
        <w:t xml:space="preserve"> only a right but rather form part of the </w:t>
      </w:r>
      <w:r w:rsidR="00C06982" w:rsidRPr="00A50E4D">
        <w:rPr>
          <w:szCs w:val="20"/>
          <w:lang w:val="en-US"/>
        </w:rPr>
        <w:t>obligation to defend democracy,</w:t>
      </w:r>
      <w:r w:rsidR="00C06982" w:rsidRPr="00A50E4D">
        <w:rPr>
          <w:rStyle w:val="FootnoteReference"/>
          <w:sz w:val="20"/>
          <w:szCs w:val="20"/>
          <w:lang w:val="en-US"/>
        </w:rPr>
        <w:footnoteReference w:id="290"/>
      </w:r>
      <w:r w:rsidR="00C06982" w:rsidRPr="00A50E4D">
        <w:rPr>
          <w:szCs w:val="20"/>
          <w:lang w:val="en-US"/>
        </w:rPr>
        <w:t xml:space="preserve"> </w:t>
      </w:r>
      <w:r w:rsidRPr="00A50E4D">
        <w:rPr>
          <w:szCs w:val="20"/>
          <w:lang w:val="en-US"/>
        </w:rPr>
        <w:t xml:space="preserve">based on </w:t>
      </w:r>
      <w:r w:rsidRPr="00A50E4D">
        <w:rPr>
          <w:szCs w:val="20"/>
          <w:lang w:val="en-US"/>
        </w:rPr>
        <w:lastRenderedPageBreak/>
        <w:t xml:space="preserve">the provisions of </w:t>
      </w:r>
      <w:r w:rsidR="009808C5" w:rsidRPr="00A50E4D">
        <w:rPr>
          <w:szCs w:val="20"/>
          <w:lang w:val="en-US"/>
        </w:rPr>
        <w:t>the American Convention</w:t>
      </w:r>
      <w:r w:rsidR="00C679DB" w:rsidRPr="00A50E4D">
        <w:rPr>
          <w:rStyle w:val="FootnoteReference"/>
          <w:sz w:val="20"/>
          <w:szCs w:val="20"/>
          <w:lang w:val="en-US"/>
        </w:rPr>
        <w:footnoteReference w:id="291"/>
      </w:r>
      <w:r w:rsidR="009808C5" w:rsidRPr="00A50E4D">
        <w:rPr>
          <w:szCs w:val="20"/>
          <w:lang w:val="en-US"/>
        </w:rPr>
        <w:t xml:space="preserve"> and </w:t>
      </w:r>
      <w:r w:rsidRPr="00A50E4D">
        <w:rPr>
          <w:szCs w:val="20"/>
          <w:lang w:val="en-US"/>
        </w:rPr>
        <w:t xml:space="preserve">the international legal obligations that </w:t>
      </w:r>
      <w:r w:rsidR="009808C5" w:rsidRPr="00A50E4D">
        <w:rPr>
          <w:szCs w:val="20"/>
          <w:lang w:val="en-US"/>
        </w:rPr>
        <w:t xml:space="preserve">the </w:t>
      </w:r>
      <w:r w:rsidR="0048601C" w:rsidRPr="00A50E4D">
        <w:rPr>
          <w:szCs w:val="20"/>
          <w:lang w:val="en-US"/>
        </w:rPr>
        <w:t>State of Honduras</w:t>
      </w:r>
      <w:r w:rsidR="00C679DB" w:rsidRPr="00A50E4D">
        <w:rPr>
          <w:szCs w:val="20"/>
          <w:lang w:val="en-US"/>
        </w:rPr>
        <w:t xml:space="preserve"> a</w:t>
      </w:r>
      <w:r w:rsidRPr="00A50E4D">
        <w:rPr>
          <w:szCs w:val="20"/>
          <w:lang w:val="en-US"/>
        </w:rPr>
        <w:t>ssumed when it became a part to tha</w:t>
      </w:r>
      <w:r w:rsidR="00C171A4" w:rsidRPr="00A50E4D">
        <w:rPr>
          <w:szCs w:val="20"/>
          <w:lang w:val="en-US"/>
        </w:rPr>
        <w:t>t treaty and to the OAS Charter;</w:t>
      </w:r>
      <w:r w:rsidRPr="00A50E4D">
        <w:rPr>
          <w:szCs w:val="20"/>
          <w:lang w:val="en-US"/>
        </w:rPr>
        <w:t xml:space="preserve"> obligations expressly stated in instruments such as the </w:t>
      </w:r>
      <w:r w:rsidR="00E7138A" w:rsidRPr="00A50E4D">
        <w:rPr>
          <w:szCs w:val="20"/>
          <w:lang w:val="en-US"/>
        </w:rPr>
        <w:t>Inter-American Democratic Charter</w:t>
      </w:r>
      <w:r w:rsidR="00C679DB" w:rsidRPr="00A50E4D">
        <w:rPr>
          <w:szCs w:val="20"/>
          <w:lang w:val="en-US"/>
        </w:rPr>
        <w:t xml:space="preserve">. </w:t>
      </w:r>
    </w:p>
    <w:p w14:paraId="406FF563" w14:textId="77777777" w:rsidR="00C679DB" w:rsidRPr="00A50E4D" w:rsidRDefault="00C679DB" w:rsidP="00C679DB">
      <w:pPr>
        <w:rPr>
          <w:lang w:val="en-US" w:eastAsia="es-MX"/>
        </w:rPr>
      </w:pPr>
    </w:p>
    <w:p w14:paraId="22259C80" w14:textId="7B5D89B2" w:rsidR="00C679DB" w:rsidRPr="00A50E4D" w:rsidRDefault="0066078E" w:rsidP="00C679DB">
      <w:pPr>
        <w:pStyle w:val="PrrafodeSentencia"/>
        <w:rPr>
          <w:szCs w:val="20"/>
          <w:lang w:val="en-US"/>
        </w:rPr>
      </w:pPr>
      <w:r w:rsidRPr="00A50E4D">
        <w:rPr>
          <w:szCs w:val="20"/>
          <w:lang w:val="en-US"/>
        </w:rPr>
        <w:t>Thus, the said</w:t>
      </w:r>
      <w:r w:rsidR="00B530D3" w:rsidRPr="00A50E4D">
        <w:rPr>
          <w:szCs w:val="20"/>
          <w:lang w:val="en-US"/>
        </w:rPr>
        <w:t xml:space="preserve"> instrument establishes that:</w:t>
      </w:r>
    </w:p>
    <w:p w14:paraId="17F1A38F" w14:textId="77777777" w:rsidR="00C679DB" w:rsidRPr="00A50E4D" w:rsidRDefault="00C679DB" w:rsidP="00C679DB">
      <w:pPr>
        <w:pStyle w:val="PrrafodeSentencia"/>
        <w:numPr>
          <w:ilvl w:val="0"/>
          <w:numId w:val="0"/>
        </w:numPr>
        <w:rPr>
          <w:sz w:val="18"/>
          <w:szCs w:val="18"/>
          <w:lang w:val="en-US"/>
        </w:rPr>
      </w:pPr>
    </w:p>
    <w:p w14:paraId="2C1C5C3F" w14:textId="73A66B49" w:rsidR="00C679DB" w:rsidRPr="00A50E4D" w:rsidRDefault="00F02FB7" w:rsidP="00B530D3">
      <w:pPr>
        <w:pStyle w:val="NormalWeb"/>
        <w:shd w:val="clear" w:color="auto" w:fill="FFFFFF"/>
        <w:spacing w:before="0" w:beforeAutospacing="0" w:after="0" w:afterAutospacing="0"/>
        <w:ind w:left="567" w:right="674"/>
        <w:jc w:val="both"/>
        <w:rPr>
          <w:sz w:val="18"/>
          <w:szCs w:val="18"/>
        </w:rPr>
      </w:pPr>
      <w:r w:rsidRPr="00A50E4D">
        <w:rPr>
          <w:rFonts w:ascii="Verdana" w:hAnsi="Verdana"/>
          <w:sz w:val="18"/>
          <w:szCs w:val="18"/>
        </w:rPr>
        <w:t>Article</w:t>
      </w:r>
      <w:r w:rsidR="00C679DB" w:rsidRPr="00A50E4D">
        <w:rPr>
          <w:rFonts w:ascii="Verdana" w:hAnsi="Verdana"/>
          <w:sz w:val="18"/>
          <w:szCs w:val="18"/>
        </w:rPr>
        <w:t xml:space="preserve"> 6</w:t>
      </w:r>
    </w:p>
    <w:p w14:paraId="66ED84A2" w14:textId="77777777" w:rsidR="00B530D3" w:rsidRPr="00A50E4D" w:rsidRDefault="00B530D3" w:rsidP="00B530D3">
      <w:pPr>
        <w:pStyle w:val="NormalWeb"/>
        <w:widowControl w:val="0"/>
        <w:spacing w:before="0" w:beforeAutospacing="0" w:after="0" w:afterAutospacing="0"/>
        <w:ind w:left="567" w:right="674"/>
        <w:jc w:val="both"/>
        <w:rPr>
          <w:rFonts w:ascii="Verdana" w:hAnsi="Verdana"/>
          <w:sz w:val="18"/>
          <w:szCs w:val="18"/>
        </w:rPr>
      </w:pPr>
      <w:r w:rsidRPr="00A50E4D">
        <w:rPr>
          <w:rFonts w:ascii="Verdana" w:hAnsi="Verdana"/>
          <w:sz w:val="18"/>
          <w:szCs w:val="18"/>
        </w:rPr>
        <w:t>It is the right and responsibility of all citizens to participate in decisions relating to their own development. This is also a necessary condition for the full and effective exercise of democracy. Promoting and fostering diverse forms of participation strengthens democracy.</w:t>
      </w:r>
    </w:p>
    <w:p w14:paraId="153C12AA" w14:textId="77777777" w:rsidR="00B530D3" w:rsidRPr="00A50E4D" w:rsidRDefault="00B530D3" w:rsidP="00B530D3">
      <w:pPr>
        <w:pStyle w:val="NormalWeb"/>
        <w:widowControl w:val="0"/>
        <w:spacing w:before="0" w:beforeAutospacing="0" w:after="0" w:afterAutospacing="0"/>
        <w:ind w:left="567" w:right="674"/>
        <w:jc w:val="both"/>
        <w:rPr>
          <w:rFonts w:ascii="Verdana" w:hAnsi="Verdana"/>
          <w:sz w:val="18"/>
          <w:szCs w:val="18"/>
        </w:rPr>
      </w:pPr>
    </w:p>
    <w:p w14:paraId="5EC92AC8" w14:textId="77777777" w:rsidR="00B530D3" w:rsidRPr="00A50E4D" w:rsidRDefault="00B530D3" w:rsidP="00B530D3">
      <w:pPr>
        <w:pStyle w:val="NormalWeb"/>
        <w:widowControl w:val="0"/>
        <w:spacing w:before="0" w:beforeAutospacing="0" w:after="0" w:afterAutospacing="0"/>
        <w:ind w:left="567" w:right="674"/>
        <w:jc w:val="both"/>
        <w:rPr>
          <w:rFonts w:ascii="Verdana" w:hAnsi="Verdana"/>
          <w:sz w:val="18"/>
          <w:szCs w:val="18"/>
        </w:rPr>
      </w:pPr>
      <w:r w:rsidRPr="00A50E4D">
        <w:rPr>
          <w:rFonts w:ascii="Verdana" w:hAnsi="Verdana"/>
          <w:sz w:val="18"/>
          <w:szCs w:val="18"/>
        </w:rPr>
        <w:t>Article 7</w:t>
      </w:r>
    </w:p>
    <w:p w14:paraId="667B2CC5" w14:textId="77777777" w:rsidR="00B530D3" w:rsidRPr="00A50E4D" w:rsidRDefault="00B530D3" w:rsidP="00B530D3">
      <w:pPr>
        <w:pStyle w:val="NormalWeb"/>
        <w:widowControl w:val="0"/>
        <w:spacing w:before="0" w:beforeAutospacing="0" w:after="0" w:afterAutospacing="0"/>
        <w:ind w:left="567" w:right="674"/>
        <w:jc w:val="both"/>
        <w:rPr>
          <w:rFonts w:ascii="Verdana" w:hAnsi="Verdana"/>
          <w:sz w:val="18"/>
          <w:szCs w:val="18"/>
        </w:rPr>
      </w:pPr>
      <w:r w:rsidRPr="00A50E4D">
        <w:rPr>
          <w:rFonts w:ascii="Verdana" w:hAnsi="Verdana"/>
          <w:sz w:val="18"/>
          <w:szCs w:val="18"/>
        </w:rPr>
        <w:t>Democracy is indispensable for the effective exercise of fundamental freedoms and human rights in their universality, indivisibility and interdependence, embodied in the respective constitutions of states and in inter-American and international human rights instruments.</w:t>
      </w:r>
    </w:p>
    <w:p w14:paraId="3CA4C8FE" w14:textId="77777777" w:rsidR="00B530D3" w:rsidRPr="00A50E4D" w:rsidRDefault="00B530D3" w:rsidP="00B530D3">
      <w:pPr>
        <w:pStyle w:val="NormalWeb"/>
        <w:widowControl w:val="0"/>
        <w:spacing w:before="0" w:beforeAutospacing="0" w:after="0" w:afterAutospacing="0"/>
        <w:ind w:left="567" w:right="674"/>
        <w:jc w:val="both"/>
        <w:rPr>
          <w:rFonts w:ascii="Verdana" w:hAnsi="Verdana"/>
          <w:sz w:val="18"/>
          <w:szCs w:val="18"/>
        </w:rPr>
      </w:pPr>
    </w:p>
    <w:p w14:paraId="1E7173E9" w14:textId="77777777" w:rsidR="00B530D3" w:rsidRPr="00A50E4D" w:rsidRDefault="00B530D3" w:rsidP="00B530D3">
      <w:pPr>
        <w:pStyle w:val="NormalWeb"/>
        <w:widowControl w:val="0"/>
        <w:spacing w:before="0" w:beforeAutospacing="0" w:after="0" w:afterAutospacing="0"/>
        <w:ind w:left="567" w:right="674"/>
        <w:jc w:val="both"/>
        <w:rPr>
          <w:rFonts w:ascii="Verdana" w:hAnsi="Verdana"/>
          <w:sz w:val="18"/>
          <w:szCs w:val="18"/>
        </w:rPr>
      </w:pPr>
      <w:r w:rsidRPr="00A50E4D">
        <w:rPr>
          <w:rFonts w:ascii="Verdana" w:hAnsi="Verdana"/>
          <w:sz w:val="18"/>
          <w:szCs w:val="18"/>
        </w:rPr>
        <w:t>Article 8</w:t>
      </w:r>
    </w:p>
    <w:p w14:paraId="30EE6D23" w14:textId="77777777" w:rsidR="00B530D3" w:rsidRPr="00A50E4D" w:rsidRDefault="00B530D3" w:rsidP="00B530D3">
      <w:pPr>
        <w:pStyle w:val="NormalWeb"/>
        <w:widowControl w:val="0"/>
        <w:spacing w:before="0" w:beforeAutospacing="0" w:after="0" w:afterAutospacing="0"/>
        <w:ind w:left="567" w:right="674"/>
        <w:jc w:val="both"/>
        <w:rPr>
          <w:rFonts w:ascii="Verdana" w:hAnsi="Verdana"/>
          <w:sz w:val="18"/>
          <w:szCs w:val="18"/>
        </w:rPr>
      </w:pPr>
      <w:r w:rsidRPr="00A50E4D">
        <w:rPr>
          <w:rFonts w:ascii="Verdana" w:hAnsi="Verdana"/>
          <w:sz w:val="18"/>
          <w:szCs w:val="18"/>
        </w:rPr>
        <w:t xml:space="preserve">Any person or group of persons who consider that their human rights have been violated may present claims or petitions to the inter-American system for the promotion and protection of human rights in accordance with its established procedures. </w:t>
      </w:r>
    </w:p>
    <w:p w14:paraId="612B91B6" w14:textId="77777777" w:rsidR="00B530D3" w:rsidRPr="00A50E4D" w:rsidRDefault="00B530D3" w:rsidP="00B530D3">
      <w:pPr>
        <w:pStyle w:val="NormalWeb"/>
        <w:widowControl w:val="0"/>
        <w:spacing w:before="0" w:beforeAutospacing="0" w:after="0" w:afterAutospacing="0"/>
        <w:ind w:left="567" w:right="674"/>
        <w:jc w:val="both"/>
        <w:rPr>
          <w:rFonts w:ascii="Verdana" w:hAnsi="Verdana"/>
          <w:sz w:val="18"/>
          <w:szCs w:val="18"/>
        </w:rPr>
      </w:pPr>
    </w:p>
    <w:p w14:paraId="570BB8AC" w14:textId="4519EF58" w:rsidR="00C679DB" w:rsidRPr="00A50E4D" w:rsidRDefault="00B530D3" w:rsidP="00B530D3">
      <w:pPr>
        <w:pStyle w:val="NormalWeb"/>
        <w:widowControl w:val="0"/>
        <w:spacing w:before="0" w:beforeAutospacing="0" w:after="0" w:afterAutospacing="0"/>
        <w:ind w:left="567" w:right="674"/>
        <w:jc w:val="both"/>
        <w:rPr>
          <w:rFonts w:ascii="Verdana" w:hAnsi="Verdana"/>
          <w:sz w:val="18"/>
          <w:szCs w:val="18"/>
        </w:rPr>
      </w:pPr>
      <w:r w:rsidRPr="00A50E4D">
        <w:rPr>
          <w:rFonts w:ascii="Verdana" w:hAnsi="Verdana"/>
          <w:sz w:val="18"/>
          <w:szCs w:val="18"/>
        </w:rPr>
        <w:t>Member states reaffirm their intention to strengthen the inter-American system for the protection of human rights for the consolidation of democracy in the Hemisphere</w:t>
      </w:r>
      <w:r w:rsidR="0066078E" w:rsidRPr="00A50E4D">
        <w:rPr>
          <w:rFonts w:ascii="Verdana" w:hAnsi="Verdana"/>
          <w:sz w:val="18"/>
          <w:szCs w:val="18"/>
        </w:rPr>
        <w:t>.</w:t>
      </w:r>
    </w:p>
    <w:p w14:paraId="1FAD5AA2" w14:textId="77777777" w:rsidR="00C679DB" w:rsidRPr="00A50E4D" w:rsidRDefault="00C679DB" w:rsidP="00C679DB">
      <w:pPr>
        <w:rPr>
          <w:lang w:val="en-US" w:eastAsia="es-MX"/>
        </w:rPr>
      </w:pPr>
    </w:p>
    <w:p w14:paraId="627BF511" w14:textId="7C524C6B" w:rsidR="00BC1A50" w:rsidRPr="00A50E4D" w:rsidRDefault="009808C5" w:rsidP="00C679DB">
      <w:pPr>
        <w:pStyle w:val="PrrafodeSentencia"/>
        <w:rPr>
          <w:szCs w:val="20"/>
          <w:lang w:val="en-US"/>
        </w:rPr>
      </w:pPr>
      <w:bookmarkStart w:id="218" w:name="_Ref308455751"/>
      <w:r w:rsidRPr="00A50E4D">
        <w:rPr>
          <w:szCs w:val="20"/>
          <w:lang w:val="en-US"/>
        </w:rPr>
        <w:t>The Court</w:t>
      </w:r>
      <w:r w:rsidR="00C679DB" w:rsidRPr="00A50E4D">
        <w:rPr>
          <w:szCs w:val="20"/>
          <w:lang w:val="en-US"/>
        </w:rPr>
        <w:t xml:space="preserve"> </w:t>
      </w:r>
      <w:r w:rsidR="0066078E" w:rsidRPr="00A50E4D">
        <w:rPr>
          <w:szCs w:val="20"/>
          <w:lang w:val="en-US"/>
        </w:rPr>
        <w:t>notes that, given this context, the fact</w:t>
      </w:r>
      <w:r w:rsidR="00C171A4" w:rsidRPr="00A50E4D">
        <w:rPr>
          <w:szCs w:val="20"/>
          <w:lang w:val="en-US"/>
        </w:rPr>
        <w:t>s</w:t>
      </w:r>
      <w:r w:rsidR="0066078E" w:rsidRPr="00A50E4D">
        <w:rPr>
          <w:szCs w:val="20"/>
          <w:lang w:val="en-US"/>
        </w:rPr>
        <w:t xml:space="preserve"> of this case evidently infringed a series of rights </w:t>
      </w:r>
      <w:r w:rsidR="00371BB7" w:rsidRPr="00A50E4D">
        <w:rPr>
          <w:szCs w:val="20"/>
          <w:lang w:val="en-US"/>
        </w:rPr>
        <w:t>of the presumed victims</w:t>
      </w:r>
      <w:r w:rsidR="00C679DB" w:rsidRPr="00A50E4D">
        <w:rPr>
          <w:szCs w:val="20"/>
          <w:lang w:val="en-US"/>
        </w:rPr>
        <w:t xml:space="preserve">. </w:t>
      </w:r>
      <w:r w:rsidR="0066078E" w:rsidRPr="00A50E4D">
        <w:rPr>
          <w:szCs w:val="20"/>
          <w:lang w:val="en-US"/>
        </w:rPr>
        <w:t xml:space="preserve">In the following chapters, the Court will examine the specific violations suffered by </w:t>
      </w:r>
      <w:r w:rsidR="00371BB7" w:rsidRPr="00A50E4D">
        <w:rPr>
          <w:szCs w:val="20"/>
          <w:lang w:val="en-US"/>
        </w:rPr>
        <w:t>the presumed victims</w:t>
      </w:r>
      <w:r w:rsidR="00C679DB" w:rsidRPr="00A50E4D">
        <w:rPr>
          <w:szCs w:val="20"/>
          <w:lang w:val="en-US"/>
        </w:rPr>
        <w:t>,</w:t>
      </w:r>
      <w:r w:rsidR="0066078E" w:rsidRPr="00A50E4D">
        <w:rPr>
          <w:szCs w:val="20"/>
          <w:lang w:val="en-US"/>
        </w:rPr>
        <w:t xml:space="preserve"> owing to the institution of </w:t>
      </w:r>
      <w:r w:rsidR="00277E12" w:rsidRPr="00A50E4D">
        <w:rPr>
          <w:szCs w:val="20"/>
          <w:lang w:val="en-US"/>
        </w:rPr>
        <w:t>disciplinary proceedings</w:t>
      </w:r>
      <w:r w:rsidR="00C679DB" w:rsidRPr="00A50E4D">
        <w:rPr>
          <w:szCs w:val="20"/>
          <w:lang w:val="en-US"/>
        </w:rPr>
        <w:t xml:space="preserve"> </w:t>
      </w:r>
      <w:r w:rsidR="0066078E" w:rsidRPr="00A50E4D">
        <w:rPr>
          <w:szCs w:val="20"/>
          <w:lang w:val="en-US"/>
        </w:rPr>
        <w:t>against them for their actions in defense of democracy and the rule of law.</w:t>
      </w:r>
      <w:bookmarkEnd w:id="218"/>
    </w:p>
    <w:p w14:paraId="7C4AB1A8" w14:textId="77777777" w:rsidR="00C171A4" w:rsidRPr="00A50E4D" w:rsidRDefault="00C171A4" w:rsidP="00C171A4">
      <w:pPr>
        <w:rPr>
          <w:lang w:val="en-US" w:eastAsia="es-MX"/>
        </w:rPr>
      </w:pPr>
    </w:p>
    <w:p w14:paraId="588E85EC" w14:textId="77777777" w:rsidR="00C171A4" w:rsidRPr="00A50E4D" w:rsidRDefault="00C171A4" w:rsidP="00C171A4">
      <w:pPr>
        <w:rPr>
          <w:lang w:val="en-US" w:eastAsia="es-MX"/>
        </w:rPr>
      </w:pPr>
    </w:p>
    <w:p w14:paraId="6EB48D5E" w14:textId="77777777" w:rsidR="00C171A4" w:rsidRPr="00A50E4D" w:rsidRDefault="00C171A4" w:rsidP="00C171A4">
      <w:pPr>
        <w:rPr>
          <w:lang w:val="en-US" w:eastAsia="es-MX"/>
        </w:rPr>
      </w:pPr>
    </w:p>
    <w:p w14:paraId="4875836A" w14:textId="77777777" w:rsidR="00510DF3" w:rsidRPr="00A50E4D" w:rsidRDefault="00510DF3" w:rsidP="0021747B">
      <w:pPr>
        <w:autoSpaceDE w:val="0"/>
        <w:autoSpaceDN w:val="0"/>
        <w:adjustRightInd w:val="0"/>
        <w:ind w:right="532"/>
        <w:rPr>
          <w:rFonts w:eastAsiaTheme="minorHAnsi" w:cs="Arial"/>
          <w:sz w:val="16"/>
          <w:szCs w:val="16"/>
          <w:lang w:val="en-US"/>
        </w:rPr>
      </w:pPr>
    </w:p>
    <w:p w14:paraId="5F3F451C" w14:textId="77777777" w:rsidR="003B54A6" w:rsidRPr="00A50E4D" w:rsidRDefault="003B54A6" w:rsidP="00F52058">
      <w:pPr>
        <w:pStyle w:val="Heading1"/>
        <w:rPr>
          <w:lang w:val="en-US"/>
        </w:rPr>
      </w:pPr>
      <w:bookmarkStart w:id="219" w:name="_Toc471717269"/>
      <w:r w:rsidRPr="00A50E4D">
        <w:rPr>
          <w:lang w:val="en-US"/>
        </w:rPr>
        <w:t>VI</w:t>
      </w:r>
      <w:r w:rsidR="00B37BBB" w:rsidRPr="00A50E4D">
        <w:rPr>
          <w:lang w:val="en-US"/>
        </w:rPr>
        <w:t>I-</w:t>
      </w:r>
      <w:r w:rsidR="004857A4" w:rsidRPr="00A50E4D">
        <w:rPr>
          <w:lang w:val="en-US"/>
        </w:rPr>
        <w:t>1</w:t>
      </w:r>
      <w:bookmarkEnd w:id="219"/>
    </w:p>
    <w:p w14:paraId="194B2794" w14:textId="1ABECBF3" w:rsidR="003B54A6" w:rsidRPr="00A50E4D" w:rsidRDefault="00371BB7" w:rsidP="003B54A6">
      <w:pPr>
        <w:pStyle w:val="Heading1"/>
        <w:rPr>
          <w:spacing w:val="-4"/>
          <w:lang w:val="en-US"/>
        </w:rPr>
      </w:pPr>
      <w:bookmarkStart w:id="220" w:name="_Toc431584636"/>
      <w:bookmarkStart w:id="221" w:name="_Toc431585058"/>
      <w:bookmarkStart w:id="222" w:name="_Toc431646575"/>
      <w:bookmarkStart w:id="223" w:name="_Toc431834654"/>
      <w:bookmarkStart w:id="224" w:name="_Toc308537959"/>
      <w:bookmarkStart w:id="225" w:name="_Toc308538179"/>
      <w:bookmarkStart w:id="226" w:name="_Toc434849946"/>
      <w:bookmarkStart w:id="227" w:name="_Toc434850425"/>
      <w:bookmarkStart w:id="228" w:name="_Toc471717270"/>
      <w:r w:rsidRPr="00A50E4D">
        <w:rPr>
          <w:spacing w:val="-4"/>
          <w:lang w:val="en-US"/>
        </w:rPr>
        <w:t>POLITICAL RIGHTS</w:t>
      </w:r>
      <w:r w:rsidR="003B54A6" w:rsidRPr="00A50E4D">
        <w:rPr>
          <w:spacing w:val="-4"/>
          <w:lang w:val="en-US"/>
        </w:rPr>
        <w:t xml:space="preserve">, </w:t>
      </w:r>
      <w:r w:rsidRPr="00A50E4D">
        <w:rPr>
          <w:spacing w:val="-4"/>
          <w:lang w:val="en-US"/>
        </w:rPr>
        <w:t>FREEDOM OF EXPRESSION</w:t>
      </w:r>
      <w:r w:rsidR="003B54A6" w:rsidRPr="00A50E4D">
        <w:rPr>
          <w:spacing w:val="-4"/>
          <w:lang w:val="en-US"/>
        </w:rPr>
        <w:t xml:space="preserve">, </w:t>
      </w:r>
      <w:r w:rsidRPr="00A50E4D">
        <w:rPr>
          <w:spacing w:val="-4"/>
          <w:lang w:val="en-US"/>
        </w:rPr>
        <w:t>THE RIGHT OF ASSEMBLY</w:t>
      </w:r>
      <w:r w:rsidR="00CB554B" w:rsidRPr="00A50E4D">
        <w:rPr>
          <w:spacing w:val="-4"/>
          <w:lang w:val="en-US"/>
        </w:rPr>
        <w:t xml:space="preserve"> AND</w:t>
      </w:r>
      <w:r w:rsidR="009808C5" w:rsidRPr="00A50E4D">
        <w:rPr>
          <w:spacing w:val="-4"/>
          <w:lang w:val="en-US"/>
        </w:rPr>
        <w:t xml:space="preserve"> </w:t>
      </w:r>
      <w:r w:rsidRPr="00A50E4D">
        <w:rPr>
          <w:spacing w:val="-4"/>
          <w:lang w:val="en-US"/>
        </w:rPr>
        <w:t>FREEDOM OF ASSOCIATION</w:t>
      </w:r>
      <w:r w:rsidR="003B54A6" w:rsidRPr="00A50E4D">
        <w:rPr>
          <w:spacing w:val="-4"/>
          <w:lang w:val="en-US"/>
        </w:rPr>
        <w:t xml:space="preserve">, </w:t>
      </w:r>
      <w:r w:rsidR="00004E43" w:rsidRPr="00A50E4D">
        <w:rPr>
          <w:spacing w:val="-4"/>
          <w:lang w:val="en-US"/>
        </w:rPr>
        <w:t>IN RELATION TO THE OBLIGATION TO RESPECT AND ENSURE RIGHTS AND THE OBLIGATION TO ADOPT DOMESTIC LEGAL PROVISIONS</w:t>
      </w:r>
      <w:bookmarkEnd w:id="220"/>
      <w:bookmarkEnd w:id="221"/>
      <w:bookmarkEnd w:id="222"/>
      <w:bookmarkEnd w:id="223"/>
      <w:bookmarkEnd w:id="224"/>
      <w:bookmarkEnd w:id="225"/>
      <w:bookmarkEnd w:id="226"/>
      <w:bookmarkEnd w:id="227"/>
      <w:bookmarkEnd w:id="228"/>
    </w:p>
    <w:p w14:paraId="733A1B86" w14:textId="77777777" w:rsidR="004B053B" w:rsidRPr="00A50E4D" w:rsidRDefault="004B053B" w:rsidP="004B053B">
      <w:pPr>
        <w:tabs>
          <w:tab w:val="left" w:pos="0"/>
          <w:tab w:val="left" w:pos="142"/>
          <w:tab w:val="left" w:pos="567"/>
        </w:tabs>
        <w:rPr>
          <w:rFonts w:eastAsiaTheme="minorEastAsia" w:cs="Tahoma"/>
          <w:spacing w:val="-4"/>
          <w:szCs w:val="20"/>
          <w:lang w:val="en-US" w:eastAsia="es-PE"/>
        </w:rPr>
      </w:pPr>
    </w:p>
    <w:p w14:paraId="173EDDD1" w14:textId="42EB35EA" w:rsidR="004B053B" w:rsidRPr="00A50E4D" w:rsidRDefault="004B053B" w:rsidP="004B053B">
      <w:pPr>
        <w:pStyle w:val="PrrafodeSentencia"/>
        <w:rPr>
          <w:lang w:val="en-US"/>
        </w:rPr>
      </w:pPr>
      <w:r w:rsidRPr="00A50E4D">
        <w:rPr>
          <w:lang w:val="en-US"/>
        </w:rPr>
        <w:t>T</w:t>
      </w:r>
      <w:r w:rsidR="002A0C68" w:rsidRPr="00A50E4D">
        <w:rPr>
          <w:lang w:val="en-US"/>
        </w:rPr>
        <w:t xml:space="preserve">aking into account the </w:t>
      </w:r>
      <w:r w:rsidR="00E84FC7" w:rsidRPr="00A50E4D">
        <w:rPr>
          <w:lang w:val="en-US"/>
        </w:rPr>
        <w:t>arguments</w:t>
      </w:r>
      <w:r w:rsidRPr="00A50E4D">
        <w:rPr>
          <w:lang w:val="en-US"/>
        </w:rPr>
        <w:t xml:space="preserve"> </w:t>
      </w:r>
      <w:r w:rsidR="002A0C68" w:rsidRPr="00A50E4D">
        <w:rPr>
          <w:lang w:val="en-US"/>
        </w:rPr>
        <w:t>of the parties</w:t>
      </w:r>
      <w:r w:rsidR="009808C5" w:rsidRPr="00A50E4D">
        <w:rPr>
          <w:szCs w:val="20"/>
          <w:lang w:val="en-US"/>
        </w:rPr>
        <w:t xml:space="preserve"> and the Commission</w:t>
      </w:r>
      <w:r w:rsidRPr="00A50E4D">
        <w:rPr>
          <w:szCs w:val="20"/>
          <w:lang w:val="en-US"/>
        </w:rPr>
        <w:t xml:space="preserve">, </w:t>
      </w:r>
      <w:r w:rsidR="002A0C68" w:rsidRPr="00A50E4D">
        <w:rPr>
          <w:szCs w:val="20"/>
          <w:lang w:val="en-US"/>
        </w:rPr>
        <w:t xml:space="preserve">in this chapter the Court will analyze, together, the alleged violations of </w:t>
      </w:r>
      <w:r w:rsidR="00371BB7" w:rsidRPr="00A50E4D">
        <w:rPr>
          <w:szCs w:val="20"/>
          <w:lang w:val="en-US"/>
        </w:rPr>
        <w:t>political rights</w:t>
      </w:r>
      <w:r w:rsidR="002A0C68" w:rsidRPr="00A50E4D">
        <w:rPr>
          <w:szCs w:val="20"/>
          <w:lang w:val="en-US"/>
        </w:rPr>
        <w:t>,</w:t>
      </w:r>
      <w:r w:rsidR="000E1506" w:rsidRPr="00A50E4D">
        <w:rPr>
          <w:rStyle w:val="FootnoteReference"/>
          <w:sz w:val="20"/>
          <w:szCs w:val="20"/>
          <w:lang w:val="en-US"/>
        </w:rPr>
        <w:footnoteReference w:id="292"/>
      </w:r>
      <w:r w:rsidR="002A0C68" w:rsidRPr="00A50E4D">
        <w:rPr>
          <w:szCs w:val="20"/>
          <w:lang w:val="en-US"/>
        </w:rPr>
        <w:t xml:space="preserve"> the right to</w:t>
      </w:r>
      <w:r w:rsidRPr="00A50E4D">
        <w:rPr>
          <w:szCs w:val="20"/>
          <w:lang w:val="en-US"/>
        </w:rPr>
        <w:t xml:space="preserve"> </w:t>
      </w:r>
      <w:r w:rsidR="00371BB7" w:rsidRPr="00A50E4D">
        <w:rPr>
          <w:szCs w:val="20"/>
          <w:lang w:val="en-US"/>
        </w:rPr>
        <w:t xml:space="preserve">freedom of </w:t>
      </w:r>
      <w:r w:rsidR="00371BB7" w:rsidRPr="00A50E4D">
        <w:rPr>
          <w:szCs w:val="20"/>
          <w:lang w:val="en-US"/>
        </w:rPr>
        <w:lastRenderedPageBreak/>
        <w:t>expression</w:t>
      </w:r>
      <w:r w:rsidR="002A0C68" w:rsidRPr="00A50E4D">
        <w:rPr>
          <w:szCs w:val="20"/>
          <w:lang w:val="en-US"/>
        </w:rPr>
        <w:t>,</w:t>
      </w:r>
      <w:r w:rsidR="000E1506" w:rsidRPr="00A50E4D">
        <w:rPr>
          <w:rStyle w:val="FootnoteReference"/>
          <w:sz w:val="20"/>
          <w:szCs w:val="20"/>
          <w:lang w:val="en-US"/>
        </w:rPr>
        <w:footnoteReference w:id="293"/>
      </w:r>
      <w:r w:rsidR="009808C5" w:rsidRPr="00A50E4D">
        <w:rPr>
          <w:szCs w:val="20"/>
          <w:lang w:val="en-US"/>
        </w:rPr>
        <w:t xml:space="preserve"> and </w:t>
      </w:r>
      <w:r w:rsidR="00371BB7" w:rsidRPr="00A50E4D">
        <w:rPr>
          <w:szCs w:val="20"/>
          <w:lang w:val="en-US"/>
        </w:rPr>
        <w:t>the right of assembly</w:t>
      </w:r>
      <w:r w:rsidR="002A0C68" w:rsidRPr="00A50E4D">
        <w:rPr>
          <w:szCs w:val="20"/>
          <w:lang w:val="en-US"/>
        </w:rPr>
        <w:t>;</w:t>
      </w:r>
      <w:r w:rsidR="000E1506" w:rsidRPr="00A50E4D">
        <w:rPr>
          <w:rStyle w:val="FootnoteReference"/>
          <w:sz w:val="20"/>
          <w:szCs w:val="20"/>
          <w:lang w:val="en-US"/>
        </w:rPr>
        <w:footnoteReference w:id="294"/>
      </w:r>
      <w:r w:rsidR="002A0C68" w:rsidRPr="00A50E4D">
        <w:rPr>
          <w:szCs w:val="20"/>
          <w:lang w:val="en-US"/>
        </w:rPr>
        <w:t xml:space="preserve"> it will </w:t>
      </w:r>
      <w:r w:rsidR="00E24EE4" w:rsidRPr="00A50E4D">
        <w:rPr>
          <w:szCs w:val="20"/>
          <w:lang w:val="en-US"/>
        </w:rPr>
        <w:t xml:space="preserve">then </w:t>
      </w:r>
      <w:r w:rsidR="002A0C68" w:rsidRPr="00A50E4D">
        <w:rPr>
          <w:szCs w:val="20"/>
          <w:lang w:val="en-US"/>
        </w:rPr>
        <w:t xml:space="preserve">examine the alleged violation of the right to </w:t>
      </w:r>
      <w:r w:rsidR="00371BB7" w:rsidRPr="00A50E4D">
        <w:rPr>
          <w:szCs w:val="20"/>
          <w:lang w:val="en-US"/>
        </w:rPr>
        <w:t>freedom of association</w:t>
      </w:r>
      <w:r w:rsidR="00A54865" w:rsidRPr="00A50E4D">
        <w:rPr>
          <w:rStyle w:val="FootnoteReference"/>
          <w:sz w:val="20"/>
          <w:szCs w:val="20"/>
          <w:lang w:val="en-US"/>
        </w:rPr>
        <w:footnoteReference w:id="295"/>
      </w:r>
      <w:r w:rsidR="009808C5" w:rsidRPr="00A50E4D">
        <w:rPr>
          <w:szCs w:val="20"/>
          <w:lang w:val="en-US"/>
        </w:rPr>
        <w:t xml:space="preserve"> and </w:t>
      </w:r>
      <w:r w:rsidR="002A0C68" w:rsidRPr="00A50E4D">
        <w:rPr>
          <w:szCs w:val="20"/>
          <w:lang w:val="en-US"/>
        </w:rPr>
        <w:t>the alleged</w:t>
      </w:r>
      <w:r w:rsidR="00004E43" w:rsidRPr="00A50E4D">
        <w:rPr>
          <w:szCs w:val="20"/>
          <w:lang w:val="en-US"/>
        </w:rPr>
        <w:t xml:space="preserve"> indirect violation of</w:t>
      </w:r>
      <w:r w:rsidR="00A125A8" w:rsidRPr="00A50E4D">
        <w:rPr>
          <w:szCs w:val="20"/>
          <w:lang w:val="en-US"/>
        </w:rPr>
        <w:t xml:space="preserve"> </w:t>
      </w:r>
      <w:r w:rsidR="00371BB7" w:rsidRPr="00A50E4D">
        <w:rPr>
          <w:szCs w:val="20"/>
          <w:lang w:val="en-US"/>
        </w:rPr>
        <w:t>freedom of expression</w:t>
      </w:r>
      <w:r w:rsidR="00A125A8" w:rsidRPr="00A50E4D">
        <w:rPr>
          <w:szCs w:val="20"/>
          <w:lang w:val="en-US"/>
        </w:rPr>
        <w:t>.</w:t>
      </w:r>
    </w:p>
    <w:p w14:paraId="61D05166" w14:textId="77777777" w:rsidR="004B053B" w:rsidRPr="00A50E4D" w:rsidRDefault="004B053B" w:rsidP="004B053B">
      <w:pPr>
        <w:pStyle w:val="PrrafodeSentencia"/>
        <w:numPr>
          <w:ilvl w:val="0"/>
          <w:numId w:val="0"/>
        </w:numPr>
        <w:rPr>
          <w:lang w:val="en-US"/>
        </w:rPr>
      </w:pPr>
    </w:p>
    <w:p w14:paraId="0FCF91EC" w14:textId="142B6B74" w:rsidR="004B053B" w:rsidRPr="00A50E4D" w:rsidRDefault="004B053B" w:rsidP="004B053B">
      <w:pPr>
        <w:pStyle w:val="Heading2"/>
        <w:rPr>
          <w:spacing w:val="-4"/>
          <w:lang w:val="en-US"/>
        </w:rPr>
      </w:pPr>
      <w:bookmarkStart w:id="229" w:name="_Toc427932816"/>
      <w:bookmarkStart w:id="230" w:name="_Toc427943773"/>
      <w:bookmarkStart w:id="231" w:name="_Toc431584637"/>
      <w:bookmarkStart w:id="232" w:name="_Toc471717271"/>
      <w:r w:rsidRPr="00A50E4D">
        <w:rPr>
          <w:spacing w:val="-4"/>
          <w:lang w:val="en-US"/>
        </w:rPr>
        <w:t xml:space="preserve">A. </w:t>
      </w:r>
      <w:r w:rsidR="00E84FC7" w:rsidRPr="00A50E4D">
        <w:rPr>
          <w:spacing w:val="-4"/>
          <w:lang w:val="en-US"/>
        </w:rPr>
        <w:t>Arguments</w:t>
      </w:r>
      <w:r w:rsidR="009808C5" w:rsidRPr="00A50E4D">
        <w:rPr>
          <w:spacing w:val="-4"/>
          <w:lang w:val="en-US"/>
        </w:rPr>
        <w:t xml:space="preserve"> of the Commission</w:t>
      </w:r>
      <w:bookmarkEnd w:id="229"/>
      <w:bookmarkEnd w:id="230"/>
      <w:bookmarkEnd w:id="231"/>
      <w:r w:rsidR="009808C5" w:rsidRPr="00A50E4D">
        <w:rPr>
          <w:spacing w:val="-4"/>
          <w:lang w:val="en-US"/>
        </w:rPr>
        <w:t xml:space="preserve"> </w:t>
      </w:r>
      <w:r w:rsidR="008D65AB" w:rsidRPr="00A50E4D">
        <w:rPr>
          <w:spacing w:val="-4"/>
          <w:lang w:val="en-US"/>
        </w:rPr>
        <w:t>and of the parties</w:t>
      </w:r>
      <w:bookmarkEnd w:id="232"/>
    </w:p>
    <w:p w14:paraId="291DB260" w14:textId="77777777" w:rsidR="004B053B" w:rsidRPr="00A50E4D" w:rsidRDefault="004B053B" w:rsidP="004B053B">
      <w:pPr>
        <w:pStyle w:val="PrrafodeSentencia"/>
        <w:numPr>
          <w:ilvl w:val="0"/>
          <w:numId w:val="0"/>
        </w:numPr>
        <w:rPr>
          <w:lang w:val="en-US"/>
        </w:rPr>
      </w:pPr>
    </w:p>
    <w:p w14:paraId="7350C3B8" w14:textId="17993293" w:rsidR="004B053B" w:rsidRPr="00A50E4D" w:rsidRDefault="00CD2874" w:rsidP="00AF1ADB">
      <w:pPr>
        <w:pStyle w:val="PrrafodeSentencia"/>
        <w:rPr>
          <w:lang w:val="en-US"/>
        </w:rPr>
      </w:pPr>
      <w:r w:rsidRPr="00A50E4D">
        <w:rPr>
          <w:lang w:val="en-US"/>
        </w:rPr>
        <w:t>The Commission</w:t>
      </w:r>
      <w:r w:rsidR="004B053B" w:rsidRPr="00A50E4D">
        <w:rPr>
          <w:b/>
          <w:i/>
          <w:lang w:val="en-US"/>
        </w:rPr>
        <w:t xml:space="preserve"> </w:t>
      </w:r>
      <w:r w:rsidR="00AF1ADB" w:rsidRPr="00A50E4D">
        <w:rPr>
          <w:lang w:val="en-US"/>
        </w:rPr>
        <w:t xml:space="preserve">pointed out that </w:t>
      </w:r>
      <w:r w:rsidR="00371BB7" w:rsidRPr="00A50E4D">
        <w:rPr>
          <w:lang w:val="en-US"/>
        </w:rPr>
        <w:t>the presumed victims</w:t>
      </w:r>
      <w:r w:rsidR="00AF1ADB" w:rsidRPr="00A50E4D">
        <w:rPr>
          <w:lang w:val="en-US"/>
        </w:rPr>
        <w:t xml:space="preserve"> were </w:t>
      </w:r>
      <w:r w:rsidR="000A786A" w:rsidRPr="00A50E4D">
        <w:rPr>
          <w:lang w:val="en-US"/>
        </w:rPr>
        <w:t>subject</w:t>
      </w:r>
      <w:r w:rsidR="00AF1ADB" w:rsidRPr="00A50E4D">
        <w:rPr>
          <w:lang w:val="en-US"/>
        </w:rPr>
        <w:t xml:space="preserve"> to disciplinary administrative proceedings because they revealed their opposition to the </w:t>
      </w:r>
      <w:r w:rsidR="00B11ACA" w:rsidRPr="00A50E4D">
        <w:rPr>
          <w:i/>
          <w:lang w:val="en-US"/>
        </w:rPr>
        <w:t>coup d’état</w:t>
      </w:r>
      <w:r w:rsidR="004B053B" w:rsidRPr="00A50E4D">
        <w:rPr>
          <w:lang w:val="en-US"/>
        </w:rPr>
        <w:t xml:space="preserve">. </w:t>
      </w:r>
      <w:r w:rsidR="00AF1ADB" w:rsidRPr="00A50E4D">
        <w:rPr>
          <w:lang w:val="en-US"/>
        </w:rPr>
        <w:t xml:space="preserve">In this regard, it indicated that </w:t>
      </w:r>
      <w:r w:rsidR="00AF1ADB" w:rsidRPr="00A50E4D">
        <w:rPr>
          <w:szCs w:val="20"/>
          <w:lang w:val="en-US"/>
        </w:rPr>
        <w:t>“ownership of the right to freedom of expression cannot be confined to a specific profession or group of persons, or to the realm of freedom of the press,” and that judges, as public o</w:t>
      </w:r>
      <w:r w:rsidR="00553CB3" w:rsidRPr="00A50E4D">
        <w:rPr>
          <w:szCs w:val="20"/>
          <w:lang w:val="en-US"/>
        </w:rPr>
        <w:t>fficials, also enjoy this right</w:t>
      </w:r>
      <w:r w:rsidR="00AF1ADB" w:rsidRPr="00A50E4D">
        <w:rPr>
          <w:szCs w:val="20"/>
          <w:lang w:val="en-US"/>
        </w:rPr>
        <w:t xml:space="preserve">. However, “the exercise of [their] </w:t>
      </w:r>
      <w:r w:rsidR="00AF1ADB" w:rsidRPr="00A50E4D">
        <w:rPr>
          <w:lang w:val="en-US"/>
        </w:rPr>
        <w:t xml:space="preserve">freedom of expression […] has specific connotations and distinctive characteristics.” In this regard, it asserted that judicial officials “have a special duty to maintain discretion and exercise prudence […] to safeguard the principles of independence and impartiality.” It also emphasized that the exercise of freedom of expression “has become the main means by which illegal or abusive acts […] of state authorities are exposed,” and that, in </w:t>
      </w:r>
      <w:r w:rsidR="000A786A" w:rsidRPr="00A50E4D">
        <w:rPr>
          <w:lang w:val="en-US"/>
        </w:rPr>
        <w:t>conditions</w:t>
      </w:r>
      <w:r w:rsidR="00AF1ADB" w:rsidRPr="00A50E4D">
        <w:rPr>
          <w:lang w:val="en-US"/>
        </w:rPr>
        <w:t xml:space="preserve"> characterized by an institutional and </w:t>
      </w:r>
      <w:r w:rsidR="000A786A" w:rsidRPr="00A50E4D">
        <w:rPr>
          <w:lang w:val="en-US"/>
        </w:rPr>
        <w:t>democratic</w:t>
      </w:r>
      <w:r w:rsidR="00AF1ADB" w:rsidRPr="00A50E4D">
        <w:rPr>
          <w:lang w:val="en-US"/>
        </w:rPr>
        <w:t xml:space="preserve"> crisis, “social protest […] can become the only available tool for effective and inclusive citizen participation.” In this </w:t>
      </w:r>
      <w:r w:rsidR="00553CB3" w:rsidRPr="00A50E4D">
        <w:rPr>
          <w:lang w:val="en-US"/>
        </w:rPr>
        <w:t xml:space="preserve">regard, it underscored that </w:t>
      </w:r>
      <w:r w:rsidR="00AF1ADB" w:rsidRPr="00A50E4D">
        <w:rPr>
          <w:lang w:val="en-US"/>
        </w:rPr>
        <w:t xml:space="preserve">opinions </w:t>
      </w:r>
      <w:r w:rsidR="00553CB3" w:rsidRPr="00A50E4D">
        <w:rPr>
          <w:lang w:val="en-US"/>
        </w:rPr>
        <w:t>relating to</w:t>
      </w:r>
      <w:r w:rsidR="00AF1ADB" w:rsidRPr="00A50E4D">
        <w:rPr>
          <w:lang w:val="en-US"/>
        </w:rPr>
        <w:t xml:space="preserve"> a </w:t>
      </w:r>
      <w:r w:rsidR="00B11ACA" w:rsidRPr="00A50E4D">
        <w:rPr>
          <w:i/>
          <w:lang w:val="en-US"/>
        </w:rPr>
        <w:t>coup d’état</w:t>
      </w:r>
      <w:r w:rsidR="00AF1ADB" w:rsidRPr="00A50E4D">
        <w:rPr>
          <w:lang w:val="en-US"/>
        </w:rPr>
        <w:t xml:space="preserve"> are of great public interest and have the highest level of protection under the American Convention. From this perspective, it stated that the “legitimate protection of the principles of judicial independence and impartiality cannot be premised on the notion that a judge must remain silent on public issues; [r]ather any restrictions must strike a proper balance between the right of judges to express their opinions and their duty to exercise the discretion and prudence necessary to protect the independence and autonomy of their office.” The Commission also considered that “the legal framework of disciplinary proceedings in Honduras was </w:t>
      </w:r>
      <w:r w:rsidR="000A786A" w:rsidRPr="00A50E4D">
        <w:rPr>
          <w:lang w:val="en-US"/>
        </w:rPr>
        <w:t>characterized</w:t>
      </w:r>
      <w:r w:rsidR="00AF1ADB" w:rsidRPr="00A50E4D">
        <w:rPr>
          <w:lang w:val="en-US"/>
        </w:rPr>
        <w:t xml:space="preserve"> by its breadth and ambiguity […] and it was difficult to determine, with the certainty that strict legality demands, what </w:t>
      </w:r>
      <w:r w:rsidR="00553CB3" w:rsidRPr="00A50E4D">
        <w:rPr>
          <w:lang w:val="en-US"/>
        </w:rPr>
        <w:t xml:space="preserve">type of </w:t>
      </w:r>
      <w:r w:rsidR="00AF1ADB" w:rsidRPr="00A50E4D">
        <w:rPr>
          <w:lang w:val="en-US"/>
        </w:rPr>
        <w:t xml:space="preserve">conduct was prohibited in relation to the right to </w:t>
      </w:r>
      <w:r w:rsidR="00371BB7" w:rsidRPr="00A50E4D">
        <w:rPr>
          <w:lang w:val="en-US"/>
        </w:rPr>
        <w:t>freedom of expression</w:t>
      </w:r>
      <w:r w:rsidR="009808C5" w:rsidRPr="00A50E4D">
        <w:rPr>
          <w:lang w:val="en-US"/>
        </w:rPr>
        <w:t xml:space="preserve"> and </w:t>
      </w:r>
      <w:r w:rsidR="004B053B" w:rsidRPr="00A50E4D">
        <w:rPr>
          <w:lang w:val="en-US"/>
        </w:rPr>
        <w:t>participa</w:t>
      </w:r>
      <w:r w:rsidR="00AF1ADB" w:rsidRPr="00A50E4D">
        <w:rPr>
          <w:lang w:val="en-US"/>
        </w:rPr>
        <w:t>tion of judges.”</w:t>
      </w:r>
    </w:p>
    <w:p w14:paraId="7C71688B" w14:textId="77777777" w:rsidR="004B053B" w:rsidRPr="00A50E4D" w:rsidRDefault="004B053B" w:rsidP="004B053B">
      <w:pPr>
        <w:pStyle w:val="PrrafodeSentencia"/>
        <w:numPr>
          <w:ilvl w:val="0"/>
          <w:numId w:val="0"/>
        </w:numPr>
        <w:rPr>
          <w:lang w:val="en-US"/>
        </w:rPr>
      </w:pPr>
    </w:p>
    <w:p w14:paraId="25C4A2B2" w14:textId="2C153528" w:rsidR="004B053B" w:rsidRPr="00A50E4D" w:rsidRDefault="00AD5EE7" w:rsidP="00D0656A">
      <w:pPr>
        <w:pStyle w:val="PrrafodeSentencia"/>
        <w:rPr>
          <w:lang w:val="en-US"/>
        </w:rPr>
      </w:pPr>
      <w:r w:rsidRPr="00A50E4D">
        <w:rPr>
          <w:lang w:val="en-US"/>
        </w:rPr>
        <w:t>The representatives</w:t>
      </w:r>
      <w:r w:rsidR="004B053B" w:rsidRPr="00A50E4D">
        <w:rPr>
          <w:b/>
          <w:i/>
          <w:lang w:val="en-US"/>
        </w:rPr>
        <w:t xml:space="preserve"> </w:t>
      </w:r>
      <w:r w:rsidR="00AF1ADB" w:rsidRPr="00A50E4D">
        <w:rPr>
          <w:lang w:val="en-US"/>
        </w:rPr>
        <w:t xml:space="preserve">argued that the fact that </w:t>
      </w:r>
      <w:r w:rsidR="00371BB7" w:rsidRPr="00A50E4D">
        <w:rPr>
          <w:lang w:val="en-US"/>
        </w:rPr>
        <w:t>the presumed victims</w:t>
      </w:r>
      <w:r w:rsidR="004B053B" w:rsidRPr="00A50E4D">
        <w:rPr>
          <w:lang w:val="en-US"/>
        </w:rPr>
        <w:t xml:space="preserve"> </w:t>
      </w:r>
      <w:r w:rsidR="00FF35A9" w:rsidRPr="00A50E4D">
        <w:rPr>
          <w:lang w:val="en-US"/>
        </w:rPr>
        <w:t>in this case</w:t>
      </w:r>
      <w:r w:rsidR="00AF1ADB" w:rsidRPr="00A50E4D">
        <w:rPr>
          <w:lang w:val="en-US"/>
        </w:rPr>
        <w:t xml:space="preserve"> were judges</w:t>
      </w:r>
      <w:r w:rsidR="004B053B" w:rsidRPr="00A50E4D">
        <w:rPr>
          <w:lang w:val="en-US"/>
        </w:rPr>
        <w:t xml:space="preserve"> “</w:t>
      </w:r>
      <w:r w:rsidR="00AF1ADB" w:rsidRPr="00A50E4D">
        <w:rPr>
          <w:lang w:val="en-US"/>
        </w:rPr>
        <w:t xml:space="preserve">did not in any way deprive them of their rights to </w:t>
      </w:r>
      <w:r w:rsidR="00371BB7" w:rsidRPr="00A50E4D">
        <w:rPr>
          <w:lang w:val="en-US"/>
        </w:rPr>
        <w:t>freedom of expression</w:t>
      </w:r>
      <w:r w:rsidR="009808C5" w:rsidRPr="00A50E4D">
        <w:rPr>
          <w:lang w:val="en-US"/>
        </w:rPr>
        <w:t xml:space="preserve"> and </w:t>
      </w:r>
      <w:r w:rsidR="00AF1ADB" w:rsidRPr="00A50E4D">
        <w:rPr>
          <w:lang w:val="en-US"/>
        </w:rPr>
        <w:t xml:space="preserve">assembly” and the exercise of such rights could only have been restricted in order to uphold the dignity, impartiality and independence that should characterize the exercise of their functions. They also indicated that, “no right inherent to the judicial function were harmed in any of the cases in which the victims exercised those rights.” In addition, they stressed that, in their capacity as public officials, “they had a special duty of loyalty to the democratically elected government that was </w:t>
      </w:r>
      <w:r w:rsidR="000A786A" w:rsidRPr="00A50E4D">
        <w:rPr>
          <w:lang w:val="en-US"/>
        </w:rPr>
        <w:t>deposed</w:t>
      </w:r>
      <w:r w:rsidR="00AF1ADB" w:rsidRPr="00A50E4D">
        <w:rPr>
          <w:lang w:val="en-US"/>
        </w:rPr>
        <w:t xml:space="preserve"> by means of </w:t>
      </w:r>
      <w:r w:rsidR="00371BB7" w:rsidRPr="00A50E4D">
        <w:rPr>
          <w:lang w:val="en-US"/>
        </w:rPr>
        <w:t xml:space="preserve">the </w:t>
      </w:r>
      <w:r w:rsidR="00B11ACA" w:rsidRPr="00A50E4D">
        <w:rPr>
          <w:i/>
          <w:lang w:val="en-US"/>
        </w:rPr>
        <w:t>coup d’état</w:t>
      </w:r>
      <w:r w:rsidR="00AF1ADB" w:rsidRPr="00A50E4D">
        <w:rPr>
          <w:lang w:val="en-US"/>
        </w:rPr>
        <w:t xml:space="preserve">.” </w:t>
      </w:r>
      <w:r w:rsidR="000A786A" w:rsidRPr="00A50E4D">
        <w:rPr>
          <w:lang w:val="en-US"/>
        </w:rPr>
        <w:t>Furthermore</w:t>
      </w:r>
      <w:r w:rsidR="00AF1ADB" w:rsidRPr="00A50E4D">
        <w:rPr>
          <w:lang w:val="en-US"/>
        </w:rPr>
        <w:t>, they underlined that, when emitting their opinion</w:t>
      </w:r>
      <w:r w:rsidR="004B053B" w:rsidRPr="00A50E4D">
        <w:rPr>
          <w:lang w:val="en-US"/>
        </w:rPr>
        <w:t xml:space="preserve">, </w:t>
      </w:r>
      <w:r w:rsidR="00371BB7" w:rsidRPr="00A50E4D">
        <w:rPr>
          <w:lang w:val="en-US"/>
        </w:rPr>
        <w:t>the presumed victims</w:t>
      </w:r>
      <w:r w:rsidR="004B053B" w:rsidRPr="00A50E4D">
        <w:rPr>
          <w:lang w:val="en-US"/>
        </w:rPr>
        <w:t xml:space="preserve"> “</w:t>
      </w:r>
      <w:r w:rsidR="00AF1ADB" w:rsidRPr="00A50E4D">
        <w:rPr>
          <w:lang w:val="en-US"/>
        </w:rPr>
        <w:t>merely […] defended the country’s democratic institutional framework,” and they did this in their capacity as citizens and human rights defenders. The representatives affirmed that the dismissals constituted interference in the exercise of</w:t>
      </w:r>
      <w:r w:rsidR="00FF35A9" w:rsidRPr="00A50E4D">
        <w:rPr>
          <w:lang w:val="en-US"/>
        </w:rPr>
        <w:t xml:space="preserve"> </w:t>
      </w:r>
      <w:r w:rsidR="00371BB7" w:rsidRPr="00A50E4D">
        <w:rPr>
          <w:lang w:val="en-US"/>
        </w:rPr>
        <w:t>freedom of expression</w:t>
      </w:r>
      <w:r w:rsidR="009808C5" w:rsidRPr="00A50E4D">
        <w:rPr>
          <w:lang w:val="en-US"/>
        </w:rPr>
        <w:t xml:space="preserve"> and</w:t>
      </w:r>
      <w:r w:rsidR="00AF1ADB" w:rsidRPr="00A50E4D">
        <w:rPr>
          <w:lang w:val="en-US"/>
        </w:rPr>
        <w:t xml:space="preserve">, in the case of </w:t>
      </w:r>
      <w:r w:rsidR="004B053B" w:rsidRPr="00A50E4D">
        <w:rPr>
          <w:lang w:val="en-US"/>
        </w:rPr>
        <w:t>Guillerm</w:t>
      </w:r>
      <w:r w:rsidR="0047098B" w:rsidRPr="00A50E4D">
        <w:rPr>
          <w:lang w:val="en-US"/>
        </w:rPr>
        <w:t xml:space="preserve">o López Lone, </w:t>
      </w:r>
      <w:r w:rsidR="00AF1ADB" w:rsidRPr="00A50E4D">
        <w:rPr>
          <w:lang w:val="en-US"/>
        </w:rPr>
        <w:t xml:space="preserve">also of the right </w:t>
      </w:r>
      <w:r w:rsidR="00CB360D" w:rsidRPr="00A50E4D">
        <w:rPr>
          <w:lang w:val="en-US"/>
        </w:rPr>
        <w:t xml:space="preserve">to freedom </w:t>
      </w:r>
      <w:r w:rsidR="00AF1ADB" w:rsidRPr="00A50E4D">
        <w:rPr>
          <w:lang w:val="en-US"/>
        </w:rPr>
        <w:t xml:space="preserve">of assembly. </w:t>
      </w:r>
      <w:r w:rsidR="00D0656A" w:rsidRPr="00A50E4D">
        <w:rPr>
          <w:lang w:val="en-US"/>
        </w:rPr>
        <w:t>They also argued that “the norms applied in order to dismiss the victims [could] not be considered laws in the formal sense, because they were not legal norms</w:t>
      </w:r>
      <w:r w:rsidR="00553CB3" w:rsidRPr="00A50E4D">
        <w:rPr>
          <w:lang w:val="en-US"/>
        </w:rPr>
        <w:t xml:space="preserve"> adopted by a legislative organ</w:t>
      </w:r>
      <w:r w:rsidR="00D0656A" w:rsidRPr="00A50E4D">
        <w:rPr>
          <w:lang w:val="en-US"/>
        </w:rPr>
        <w:t xml:space="preserve"> and promulgated by the Executive Branch, </w:t>
      </w:r>
      <w:r w:rsidR="00553CB3" w:rsidRPr="00A50E4D">
        <w:rPr>
          <w:lang w:val="en-US"/>
        </w:rPr>
        <w:t>pursuant to</w:t>
      </w:r>
      <w:r w:rsidR="00D0656A" w:rsidRPr="00A50E4D">
        <w:rPr>
          <w:lang w:val="en-US"/>
        </w:rPr>
        <w:t xml:space="preserve"> the procedure required by the domestic law of each State.” In this regard, they explained that “some of the norms that established the </w:t>
      </w:r>
      <w:r w:rsidR="000A786A" w:rsidRPr="00A50E4D">
        <w:rPr>
          <w:lang w:val="en-US"/>
        </w:rPr>
        <w:t>punishable</w:t>
      </w:r>
      <w:r w:rsidR="00D0656A" w:rsidRPr="00A50E4D">
        <w:rPr>
          <w:lang w:val="en-US"/>
        </w:rPr>
        <w:t xml:space="preserve"> conducts and their sanctions </w:t>
      </w:r>
      <w:r w:rsidR="00D0656A" w:rsidRPr="00A50E4D">
        <w:rPr>
          <w:lang w:val="en-US"/>
        </w:rPr>
        <w:lastRenderedPageBreak/>
        <w:t>were contained in regulations or norms of a lower rank that did not possess these characteristics.” They stated that the purpose of the institution of disciplinary proceedings and the subsequent dismissal</w:t>
      </w:r>
      <w:r w:rsidR="00553CB3" w:rsidRPr="00A50E4D">
        <w:rPr>
          <w:lang w:val="en-US"/>
        </w:rPr>
        <w:t>s</w:t>
      </w:r>
      <w:r w:rsidR="00D0656A" w:rsidRPr="00A50E4D">
        <w:rPr>
          <w:lang w:val="en-US"/>
        </w:rPr>
        <w:t xml:space="preserve"> was “to sanction the [presumed] victims for expressing an opinion contrary to the </w:t>
      </w:r>
      <w:r w:rsidR="00B11ACA" w:rsidRPr="00A50E4D">
        <w:rPr>
          <w:i/>
          <w:lang w:val="en-US"/>
        </w:rPr>
        <w:t>coup d’état</w:t>
      </w:r>
      <w:r w:rsidR="00D0656A" w:rsidRPr="00A50E4D">
        <w:rPr>
          <w:lang w:val="en-US"/>
        </w:rPr>
        <w:t xml:space="preserve"> […] and thus create an inhibiting effect on the</w:t>
      </w:r>
      <w:r w:rsidR="00553CB3" w:rsidRPr="00A50E4D">
        <w:rPr>
          <w:lang w:val="en-US"/>
        </w:rPr>
        <w:t xml:space="preserve"> other members of the Judiciary</w:t>
      </w:r>
      <w:r w:rsidR="00D0656A" w:rsidRPr="00A50E4D">
        <w:rPr>
          <w:lang w:val="en-US"/>
        </w:rPr>
        <w:t xml:space="preserve">” in order to prevent any further questioning of the role that the Supreme Court played in this context and, “thus, harming judicial independence.” Regarding the situation of Justice Flores, they argued that “the filing of complaints can be considered a form of exercising </w:t>
      </w:r>
      <w:r w:rsidR="00371BB7" w:rsidRPr="00A50E4D">
        <w:rPr>
          <w:lang w:val="en-US"/>
        </w:rPr>
        <w:t>freedom of expression</w:t>
      </w:r>
      <w:r w:rsidR="004B053B" w:rsidRPr="00A50E4D">
        <w:rPr>
          <w:lang w:val="en-US"/>
        </w:rPr>
        <w:t xml:space="preserve">, </w:t>
      </w:r>
      <w:r w:rsidR="00DC2A22" w:rsidRPr="00A50E4D">
        <w:rPr>
          <w:lang w:val="en-US"/>
        </w:rPr>
        <w:t>[</w:t>
      </w:r>
      <w:r w:rsidR="00D0656A" w:rsidRPr="00A50E4D">
        <w:rPr>
          <w:lang w:val="en-US"/>
        </w:rPr>
        <w:t>so that</w:t>
      </w:r>
      <w:r w:rsidR="00DC2A22" w:rsidRPr="00A50E4D">
        <w:rPr>
          <w:lang w:val="en-US"/>
        </w:rPr>
        <w:t xml:space="preserve">] </w:t>
      </w:r>
      <w:r w:rsidR="00D0656A" w:rsidRPr="00A50E4D">
        <w:rPr>
          <w:lang w:val="en-US"/>
        </w:rPr>
        <w:t xml:space="preserve">the dismissal of the justice […] constituted an inference with that right.” Lastly, </w:t>
      </w:r>
      <w:r w:rsidRPr="00A50E4D">
        <w:rPr>
          <w:lang w:val="en-US"/>
        </w:rPr>
        <w:t>the representatives</w:t>
      </w:r>
      <w:r w:rsidR="004B053B" w:rsidRPr="00A50E4D">
        <w:rPr>
          <w:lang w:val="en-US"/>
        </w:rPr>
        <w:t xml:space="preserve"> a</w:t>
      </w:r>
      <w:r w:rsidR="00D0656A" w:rsidRPr="00A50E4D">
        <w:rPr>
          <w:lang w:val="en-US"/>
        </w:rPr>
        <w:t xml:space="preserve">rgued the violation </w:t>
      </w:r>
      <w:r w:rsidR="0048601C" w:rsidRPr="00A50E4D">
        <w:rPr>
          <w:lang w:val="en-US"/>
        </w:rPr>
        <w:t>of Article</w:t>
      </w:r>
      <w:r w:rsidR="004B053B" w:rsidRPr="00A50E4D">
        <w:rPr>
          <w:lang w:val="en-US"/>
        </w:rPr>
        <w:t xml:space="preserve"> </w:t>
      </w:r>
      <w:r w:rsidR="00CD2874" w:rsidRPr="00A50E4D">
        <w:rPr>
          <w:lang w:val="en-US"/>
        </w:rPr>
        <w:t>23(1)(a)</w:t>
      </w:r>
      <w:r w:rsidR="00D0656A" w:rsidRPr="00A50E4D">
        <w:rPr>
          <w:lang w:val="en-US"/>
        </w:rPr>
        <w:t xml:space="preserve"> as part of the presumed right to defend human rights </w:t>
      </w:r>
      <w:r w:rsidR="004B053B" w:rsidRPr="00A50E4D">
        <w:rPr>
          <w:lang w:val="en-US"/>
        </w:rPr>
        <w:t>(</w:t>
      </w:r>
      <w:r w:rsidR="004B053B" w:rsidRPr="00A50E4D">
        <w:rPr>
          <w:i/>
          <w:lang w:val="en-US"/>
        </w:rPr>
        <w:t xml:space="preserve">infra </w:t>
      </w:r>
      <w:r w:rsidRPr="00A50E4D">
        <w:rPr>
          <w:lang w:val="en-US"/>
        </w:rPr>
        <w:t>para.</w:t>
      </w:r>
      <w:r w:rsidR="004B053B" w:rsidRPr="00A50E4D">
        <w:rPr>
          <w:lang w:val="en-US"/>
        </w:rPr>
        <w:t xml:space="preserve"> </w:t>
      </w:r>
      <w:r w:rsidR="000A3933" w:rsidRPr="00914F55">
        <w:rPr>
          <w:lang w:val="en-US"/>
        </w:rPr>
        <w:fldChar w:fldCharType="begin"/>
      </w:r>
      <w:r w:rsidR="000A3933" w:rsidRPr="00A50E4D">
        <w:rPr>
          <w:lang w:val="en-US"/>
        </w:rPr>
        <w:instrText xml:space="preserve"> REF _Ref431215084 \r \h </w:instrText>
      </w:r>
      <w:r w:rsidR="00EA20A5" w:rsidRPr="00A50E4D">
        <w:rPr>
          <w:lang w:val="en-US"/>
        </w:rPr>
        <w:instrText xml:space="preserve"> \* MERGEFORMAT </w:instrText>
      </w:r>
      <w:r w:rsidR="000A3933" w:rsidRPr="00914F55">
        <w:rPr>
          <w:lang w:val="en-US"/>
        </w:rPr>
      </w:r>
      <w:r w:rsidR="000A3933" w:rsidRPr="00914F55">
        <w:rPr>
          <w:lang w:val="en-US"/>
        </w:rPr>
        <w:fldChar w:fldCharType="separate"/>
      </w:r>
      <w:r w:rsidR="00547588">
        <w:rPr>
          <w:lang w:val="en-US"/>
        </w:rPr>
        <w:t>284</w:t>
      </w:r>
      <w:r w:rsidR="000A3933" w:rsidRPr="00914F55">
        <w:rPr>
          <w:lang w:val="en-US"/>
        </w:rPr>
        <w:fldChar w:fldCharType="end"/>
      </w:r>
      <w:r w:rsidR="004B053B" w:rsidRPr="00A50E4D">
        <w:rPr>
          <w:lang w:val="en-US"/>
        </w:rPr>
        <w:t>).</w:t>
      </w:r>
    </w:p>
    <w:p w14:paraId="03A2466F" w14:textId="77777777" w:rsidR="004B053B" w:rsidRPr="00A50E4D" w:rsidRDefault="004B053B" w:rsidP="004B053B">
      <w:pPr>
        <w:pStyle w:val="PrrafodeSentencia"/>
        <w:numPr>
          <w:ilvl w:val="0"/>
          <w:numId w:val="0"/>
        </w:numPr>
        <w:rPr>
          <w:lang w:val="en-US"/>
        </w:rPr>
      </w:pPr>
    </w:p>
    <w:p w14:paraId="0374B38B" w14:textId="029DE60A" w:rsidR="004B053B" w:rsidRPr="00A50E4D" w:rsidRDefault="009808C5" w:rsidP="00D0656A">
      <w:pPr>
        <w:pStyle w:val="PrrafodeSentencia"/>
        <w:rPr>
          <w:lang w:val="en-US"/>
        </w:rPr>
      </w:pPr>
      <w:r w:rsidRPr="00A50E4D">
        <w:rPr>
          <w:lang w:val="en-US"/>
        </w:rPr>
        <w:t>The State</w:t>
      </w:r>
      <w:r w:rsidR="004B053B" w:rsidRPr="00A50E4D">
        <w:rPr>
          <w:b/>
          <w:i/>
          <w:lang w:val="en-US"/>
        </w:rPr>
        <w:t xml:space="preserve"> </w:t>
      </w:r>
      <w:r w:rsidR="004B053B" w:rsidRPr="00A50E4D">
        <w:rPr>
          <w:lang w:val="en-US"/>
        </w:rPr>
        <w:t>a</w:t>
      </w:r>
      <w:r w:rsidR="00D0656A" w:rsidRPr="00A50E4D">
        <w:rPr>
          <w:lang w:val="en-US"/>
        </w:rPr>
        <w:t xml:space="preserve">rgued that “no actions have </w:t>
      </w:r>
      <w:r w:rsidR="000A786A" w:rsidRPr="00A50E4D">
        <w:rPr>
          <w:lang w:val="en-US"/>
        </w:rPr>
        <w:t>been taken</w:t>
      </w:r>
      <w:r w:rsidR="00D0656A" w:rsidRPr="00A50E4D">
        <w:rPr>
          <w:lang w:val="en-US"/>
        </w:rPr>
        <w:t xml:space="preserve"> to restrict freedom of thought and expression, [because] both the Judicial Service Council and the actual […]</w:t>
      </w:r>
      <w:r w:rsidR="00553CB3" w:rsidRPr="00A50E4D">
        <w:rPr>
          <w:lang w:val="en-US"/>
        </w:rPr>
        <w:t xml:space="preserve"> Council of the Judiciary and the</w:t>
      </w:r>
      <w:r w:rsidR="00D0656A" w:rsidRPr="00A50E4D">
        <w:rPr>
          <w:lang w:val="en-US"/>
        </w:rPr>
        <w:t xml:space="preserve"> Judicial Service have upheld all the judicial guarantees of the petitioners, giving them the opportunity to defend themselves in the different instances to prove that they had not incurred administrative </w:t>
      </w:r>
      <w:r w:rsidR="00553CB3" w:rsidRPr="00A50E4D">
        <w:rPr>
          <w:lang w:val="en-US"/>
        </w:rPr>
        <w:t>responsibility</w:t>
      </w:r>
      <w:r w:rsidR="00D0656A" w:rsidRPr="00A50E4D">
        <w:rPr>
          <w:lang w:val="en-US"/>
        </w:rPr>
        <w:t xml:space="preserve">.” It indicated that “there are limitations to the exercise of any right, and although it is argued that external influences should be avoided in jurisdictional decision, this </w:t>
      </w:r>
      <w:r w:rsidR="00553CB3" w:rsidRPr="00A50E4D">
        <w:rPr>
          <w:lang w:val="en-US"/>
        </w:rPr>
        <w:t>means</w:t>
      </w:r>
      <w:r w:rsidR="00D0656A" w:rsidRPr="00A50E4D">
        <w:rPr>
          <w:lang w:val="en-US"/>
        </w:rPr>
        <w:t xml:space="preserve"> that the organs that </w:t>
      </w:r>
      <w:r w:rsidR="000A786A" w:rsidRPr="00A50E4D">
        <w:rPr>
          <w:lang w:val="en-US"/>
        </w:rPr>
        <w:t>impart</w:t>
      </w:r>
      <w:r w:rsidR="00D0656A" w:rsidRPr="00A50E4D">
        <w:rPr>
          <w:lang w:val="en-US"/>
        </w:rPr>
        <w:t xml:space="preserve"> justice must function correctly; that, </w:t>
      </w:r>
      <w:r w:rsidR="00553CB3" w:rsidRPr="00A50E4D">
        <w:rPr>
          <w:lang w:val="en-US"/>
        </w:rPr>
        <w:t>in accordance with</w:t>
      </w:r>
      <w:r w:rsidR="00D0656A" w:rsidRPr="00A50E4D">
        <w:rPr>
          <w:lang w:val="en-US"/>
        </w:rPr>
        <w:t xml:space="preserve"> the norms in force, judicial officials should not </w:t>
      </w:r>
      <w:r w:rsidR="00553CB3" w:rsidRPr="00A50E4D">
        <w:rPr>
          <w:lang w:val="en-US"/>
        </w:rPr>
        <w:t>perform</w:t>
      </w:r>
      <w:r w:rsidR="00D0656A" w:rsidRPr="00A50E4D">
        <w:rPr>
          <w:lang w:val="en-US"/>
        </w:rPr>
        <w:t xml:space="preserve"> any act that compromises the necessary impartiality in the exercise of their functions.” It also stressed that</w:t>
      </w:r>
      <w:r w:rsidR="004B053B" w:rsidRPr="00A50E4D">
        <w:rPr>
          <w:lang w:val="en-US"/>
        </w:rPr>
        <w:t xml:space="preserve"> “</w:t>
      </w:r>
      <w:r w:rsidRPr="00A50E4D">
        <w:rPr>
          <w:lang w:val="en-US"/>
        </w:rPr>
        <w:t xml:space="preserve">the </w:t>
      </w:r>
      <w:r w:rsidR="00371BB7" w:rsidRPr="00A50E4D">
        <w:rPr>
          <w:lang w:val="en-US"/>
        </w:rPr>
        <w:t>Supreme Court of Justice</w:t>
      </w:r>
      <w:r w:rsidR="004B053B" w:rsidRPr="00A50E4D">
        <w:rPr>
          <w:lang w:val="en-US"/>
        </w:rPr>
        <w:t xml:space="preserve"> </w:t>
      </w:r>
      <w:r w:rsidR="00D0656A" w:rsidRPr="00A50E4D">
        <w:rPr>
          <w:lang w:val="en-US"/>
        </w:rPr>
        <w:t>did not carry out any dismissal for pol</w:t>
      </w:r>
      <w:r w:rsidR="00553CB3" w:rsidRPr="00A50E4D">
        <w:rPr>
          <w:lang w:val="en-US"/>
        </w:rPr>
        <w:t>itical reasons,” but rather the dismissals were the</w:t>
      </w:r>
      <w:r w:rsidR="00D0656A" w:rsidRPr="00A50E4D">
        <w:rPr>
          <w:lang w:val="en-US"/>
        </w:rPr>
        <w:t xml:space="preserve"> result of wrongful acts. Lastly, it pointed out that </w:t>
      </w:r>
      <w:r w:rsidR="002E4296" w:rsidRPr="00A50E4D">
        <w:rPr>
          <w:lang w:val="en-US"/>
        </w:rPr>
        <w:t>Mr. Barrios</w:t>
      </w:r>
      <w:r w:rsidR="004B053B" w:rsidRPr="00A50E4D">
        <w:rPr>
          <w:lang w:val="en-US"/>
        </w:rPr>
        <w:t xml:space="preserve"> </w:t>
      </w:r>
      <w:r w:rsidR="00D0656A" w:rsidRPr="00A50E4D">
        <w:rPr>
          <w:lang w:val="en-US"/>
        </w:rPr>
        <w:t xml:space="preserve">continued in his functions earning a salary as a judge, during the proceedings in which it was decided that </w:t>
      </w:r>
      <w:r w:rsidR="002E6AB5" w:rsidRPr="00A50E4D">
        <w:rPr>
          <w:lang w:val="en-US"/>
        </w:rPr>
        <w:t xml:space="preserve">the Inspectorate </w:t>
      </w:r>
      <w:r w:rsidR="00FF35A9" w:rsidRPr="00A50E4D">
        <w:rPr>
          <w:lang w:val="en-US"/>
        </w:rPr>
        <w:t>General of Courts and Tribunals</w:t>
      </w:r>
      <w:r w:rsidR="004B053B" w:rsidRPr="00A50E4D">
        <w:rPr>
          <w:lang w:val="en-US"/>
        </w:rPr>
        <w:t xml:space="preserve"> </w:t>
      </w:r>
      <w:r w:rsidR="00D0656A" w:rsidRPr="00A50E4D">
        <w:rPr>
          <w:lang w:val="en-US"/>
        </w:rPr>
        <w:t xml:space="preserve">had not </w:t>
      </w:r>
      <w:r w:rsidR="00553CB3" w:rsidRPr="00A50E4D">
        <w:rPr>
          <w:lang w:val="en-US"/>
        </w:rPr>
        <w:t>substantiated</w:t>
      </w:r>
      <w:r w:rsidR="00D0656A" w:rsidRPr="00A50E4D">
        <w:rPr>
          <w:lang w:val="en-US"/>
        </w:rPr>
        <w:t xml:space="preserve"> the</w:t>
      </w:r>
      <w:r w:rsidR="00553CB3" w:rsidRPr="00A50E4D">
        <w:rPr>
          <w:lang w:val="en-US"/>
        </w:rPr>
        <w:t xml:space="preserve"> grounds</w:t>
      </w:r>
      <w:r w:rsidR="00D0656A" w:rsidRPr="00A50E4D">
        <w:rPr>
          <w:lang w:val="en-US"/>
        </w:rPr>
        <w:t xml:space="preserve"> for his dismissal beyond any reasonable doubt.</w:t>
      </w:r>
    </w:p>
    <w:p w14:paraId="2F189D36" w14:textId="77777777" w:rsidR="004B053B" w:rsidRPr="00A50E4D" w:rsidRDefault="004B053B" w:rsidP="004B053B">
      <w:pPr>
        <w:rPr>
          <w:spacing w:val="-4"/>
          <w:lang w:val="en-US"/>
        </w:rPr>
      </w:pPr>
    </w:p>
    <w:p w14:paraId="5E53DF8E" w14:textId="065B1C54" w:rsidR="004B053B" w:rsidRPr="00A50E4D" w:rsidRDefault="004B053B" w:rsidP="004B053B">
      <w:pPr>
        <w:pStyle w:val="Heading2"/>
        <w:rPr>
          <w:spacing w:val="-4"/>
          <w:lang w:val="en-US"/>
        </w:rPr>
      </w:pPr>
      <w:bookmarkStart w:id="233" w:name="_Toc427932817"/>
      <w:bookmarkStart w:id="234" w:name="_Toc427943774"/>
      <w:bookmarkStart w:id="235" w:name="_Toc431584638"/>
      <w:bookmarkStart w:id="236" w:name="_Toc471717272"/>
      <w:r w:rsidRPr="00A50E4D">
        <w:rPr>
          <w:spacing w:val="-4"/>
          <w:lang w:val="en-US"/>
        </w:rPr>
        <w:t xml:space="preserve">B. </w:t>
      </w:r>
      <w:r w:rsidR="001D6DF6" w:rsidRPr="00A50E4D">
        <w:rPr>
          <w:spacing w:val="-4"/>
          <w:lang w:val="en-US"/>
        </w:rPr>
        <w:t>Considerations</w:t>
      </w:r>
      <w:r w:rsidR="009808C5" w:rsidRPr="00A50E4D">
        <w:rPr>
          <w:spacing w:val="-4"/>
          <w:lang w:val="en-US"/>
        </w:rPr>
        <w:t xml:space="preserve"> of the Court</w:t>
      </w:r>
      <w:bookmarkEnd w:id="233"/>
      <w:bookmarkEnd w:id="234"/>
      <w:bookmarkEnd w:id="235"/>
      <w:bookmarkEnd w:id="236"/>
    </w:p>
    <w:p w14:paraId="52B43A9A" w14:textId="77777777" w:rsidR="004B053B" w:rsidRPr="00A50E4D" w:rsidRDefault="004B053B" w:rsidP="004B053B">
      <w:pPr>
        <w:pStyle w:val="ListParagraph"/>
        <w:numPr>
          <w:ilvl w:val="0"/>
          <w:numId w:val="0"/>
        </w:numPr>
        <w:rPr>
          <w:spacing w:val="-4"/>
          <w:lang w:val="en-US"/>
        </w:rPr>
      </w:pPr>
    </w:p>
    <w:p w14:paraId="673914FD" w14:textId="6128D8B7" w:rsidR="004B053B" w:rsidRPr="00A50E4D" w:rsidRDefault="009808C5" w:rsidP="005B64C5">
      <w:pPr>
        <w:pStyle w:val="PrrafodeSentencia"/>
        <w:rPr>
          <w:szCs w:val="20"/>
          <w:lang w:val="en-US"/>
        </w:rPr>
      </w:pPr>
      <w:bookmarkStart w:id="237" w:name="_Ref431642538"/>
      <w:r w:rsidRPr="00A50E4D">
        <w:rPr>
          <w:szCs w:val="20"/>
          <w:lang w:val="en-US"/>
        </w:rPr>
        <w:t>The Court</w:t>
      </w:r>
      <w:r w:rsidR="004B053B" w:rsidRPr="00A50E4D">
        <w:rPr>
          <w:szCs w:val="20"/>
          <w:lang w:val="en-US"/>
        </w:rPr>
        <w:t xml:space="preserve"> ha</w:t>
      </w:r>
      <w:r w:rsidR="007E6842" w:rsidRPr="00A50E4D">
        <w:rPr>
          <w:szCs w:val="20"/>
          <w:lang w:val="en-US"/>
        </w:rPr>
        <w:t xml:space="preserve">s recognized the relationship that exists between </w:t>
      </w:r>
      <w:r w:rsidR="00371BB7" w:rsidRPr="00A50E4D">
        <w:rPr>
          <w:szCs w:val="20"/>
          <w:lang w:val="en-US"/>
        </w:rPr>
        <w:t>political rights</w:t>
      </w:r>
      <w:r w:rsidR="007E6842" w:rsidRPr="00A50E4D">
        <w:rPr>
          <w:szCs w:val="20"/>
          <w:lang w:val="en-US"/>
        </w:rPr>
        <w:t xml:space="preserve">, </w:t>
      </w:r>
      <w:r w:rsidR="00371BB7" w:rsidRPr="00A50E4D">
        <w:rPr>
          <w:szCs w:val="20"/>
          <w:lang w:val="en-US"/>
        </w:rPr>
        <w:t>freedom of expression</w:t>
      </w:r>
      <w:r w:rsidR="004B053B" w:rsidRPr="00A50E4D">
        <w:rPr>
          <w:szCs w:val="20"/>
          <w:lang w:val="en-US"/>
        </w:rPr>
        <w:t xml:space="preserve">, </w:t>
      </w:r>
      <w:r w:rsidR="00371BB7" w:rsidRPr="00A50E4D">
        <w:rPr>
          <w:szCs w:val="20"/>
          <w:lang w:val="en-US"/>
        </w:rPr>
        <w:t>the right of assembly</w:t>
      </w:r>
      <w:r w:rsidR="007E6842" w:rsidRPr="00A50E4D">
        <w:rPr>
          <w:szCs w:val="20"/>
          <w:lang w:val="en-US"/>
        </w:rPr>
        <w:t xml:space="preserve"> and</w:t>
      </w:r>
      <w:r w:rsidR="004B053B" w:rsidRPr="00A50E4D">
        <w:rPr>
          <w:szCs w:val="20"/>
          <w:lang w:val="en-US"/>
        </w:rPr>
        <w:t xml:space="preserve"> </w:t>
      </w:r>
      <w:r w:rsidR="00371BB7" w:rsidRPr="00A50E4D">
        <w:rPr>
          <w:szCs w:val="20"/>
          <w:lang w:val="en-US"/>
        </w:rPr>
        <w:t>freedom of association</w:t>
      </w:r>
      <w:r w:rsidR="004B053B" w:rsidRPr="00A50E4D">
        <w:rPr>
          <w:szCs w:val="20"/>
          <w:lang w:val="en-US"/>
        </w:rPr>
        <w:t>,</w:t>
      </w:r>
      <w:r w:rsidRPr="00A50E4D">
        <w:rPr>
          <w:szCs w:val="20"/>
          <w:lang w:val="en-US"/>
        </w:rPr>
        <w:t xml:space="preserve"> and </w:t>
      </w:r>
      <w:r w:rsidR="007E6842" w:rsidRPr="00A50E4D">
        <w:rPr>
          <w:szCs w:val="20"/>
          <w:lang w:val="en-US"/>
        </w:rPr>
        <w:t>that these rights, taken as a whole, make the democratic process possible.</w:t>
      </w:r>
      <w:r w:rsidR="004B053B" w:rsidRPr="00A50E4D">
        <w:rPr>
          <w:rStyle w:val="FootnoteReference"/>
          <w:sz w:val="20"/>
          <w:szCs w:val="20"/>
          <w:lang w:val="en-US"/>
        </w:rPr>
        <w:footnoteReference w:id="296"/>
      </w:r>
      <w:r w:rsidR="004B053B" w:rsidRPr="00A50E4D">
        <w:rPr>
          <w:szCs w:val="20"/>
          <w:lang w:val="en-US"/>
        </w:rPr>
        <w:t xml:space="preserve"> </w:t>
      </w:r>
      <w:r w:rsidR="007E6842" w:rsidRPr="00A50E4D">
        <w:rPr>
          <w:szCs w:val="20"/>
          <w:lang w:val="en-US"/>
        </w:rPr>
        <w:t>In situations where</w:t>
      </w:r>
      <w:r w:rsidR="00CB360D" w:rsidRPr="00A50E4D">
        <w:rPr>
          <w:szCs w:val="20"/>
          <w:lang w:val="en-US"/>
        </w:rPr>
        <w:t xml:space="preserve"> there is a breakdown of institutional order</w:t>
      </w:r>
      <w:r w:rsidR="007E6842" w:rsidRPr="00A50E4D">
        <w:rPr>
          <w:szCs w:val="20"/>
          <w:lang w:val="en-US"/>
        </w:rPr>
        <w:t xml:space="preserve"> following a </w:t>
      </w:r>
      <w:r w:rsidR="00B11ACA" w:rsidRPr="00A50E4D">
        <w:rPr>
          <w:i/>
          <w:szCs w:val="20"/>
          <w:lang w:val="en-US"/>
        </w:rPr>
        <w:t>coup d’état</w:t>
      </w:r>
      <w:r w:rsidR="005B64C5" w:rsidRPr="00A50E4D">
        <w:rPr>
          <w:szCs w:val="20"/>
          <w:lang w:val="en-US"/>
        </w:rPr>
        <w:t xml:space="preserve">, </w:t>
      </w:r>
      <w:r w:rsidR="007E6842" w:rsidRPr="00A50E4D">
        <w:rPr>
          <w:szCs w:val="20"/>
          <w:lang w:val="en-US"/>
        </w:rPr>
        <w:t>the relationship between these rights is even clearer, especially when they are all exercised at the same time in ord</w:t>
      </w:r>
      <w:r w:rsidR="00553CB3" w:rsidRPr="00A50E4D">
        <w:rPr>
          <w:szCs w:val="20"/>
          <w:lang w:val="en-US"/>
        </w:rPr>
        <w:t>er to protest against actions by</w:t>
      </w:r>
      <w:r w:rsidR="007E6842" w:rsidRPr="00A50E4D">
        <w:rPr>
          <w:szCs w:val="20"/>
          <w:lang w:val="en-US"/>
        </w:rPr>
        <w:t xml:space="preserve"> the public authorities that are contrary to the constitutional order, and to reclaim the return to democracy. Protests and related opinions in favor of democracy should be ensured the highest protection and, depending on the circumstances, may be related to all or some of the said rights.</w:t>
      </w:r>
      <w:bookmarkEnd w:id="237"/>
    </w:p>
    <w:p w14:paraId="43D0E9F6" w14:textId="77777777" w:rsidR="00121B54" w:rsidRPr="00A50E4D" w:rsidRDefault="00121B54" w:rsidP="004B053B">
      <w:pPr>
        <w:rPr>
          <w:szCs w:val="20"/>
          <w:lang w:val="en-US" w:eastAsia="es-MX"/>
        </w:rPr>
      </w:pPr>
    </w:p>
    <w:p w14:paraId="4626EBE9" w14:textId="0DB349ED" w:rsidR="004B053B" w:rsidRPr="00A50E4D" w:rsidRDefault="009808C5" w:rsidP="00121B54">
      <w:pPr>
        <w:pStyle w:val="PrrafodeSentencia"/>
        <w:rPr>
          <w:szCs w:val="20"/>
          <w:lang w:val="en-US"/>
        </w:rPr>
      </w:pPr>
      <w:r w:rsidRPr="00A50E4D">
        <w:rPr>
          <w:szCs w:val="20"/>
          <w:lang w:val="en-US"/>
        </w:rPr>
        <w:t>Article</w:t>
      </w:r>
      <w:r w:rsidR="004B053B" w:rsidRPr="00A50E4D">
        <w:rPr>
          <w:szCs w:val="20"/>
          <w:lang w:val="en-US"/>
        </w:rPr>
        <w:t xml:space="preserve"> 23</w:t>
      </w:r>
      <w:r w:rsidRPr="00A50E4D">
        <w:rPr>
          <w:szCs w:val="20"/>
          <w:lang w:val="en-US"/>
        </w:rPr>
        <w:t xml:space="preserve"> of the Convention</w:t>
      </w:r>
      <w:r w:rsidR="004B053B" w:rsidRPr="00A50E4D">
        <w:rPr>
          <w:szCs w:val="20"/>
          <w:lang w:val="en-US"/>
        </w:rPr>
        <w:t xml:space="preserve">, </w:t>
      </w:r>
      <w:r w:rsidR="00121B54" w:rsidRPr="00A50E4D">
        <w:rPr>
          <w:szCs w:val="20"/>
          <w:lang w:val="en-US"/>
        </w:rPr>
        <w:t>with regard to</w:t>
      </w:r>
      <w:r w:rsidR="004B053B" w:rsidRPr="00A50E4D">
        <w:rPr>
          <w:szCs w:val="20"/>
          <w:lang w:val="en-US"/>
        </w:rPr>
        <w:t xml:space="preserve"> </w:t>
      </w:r>
      <w:r w:rsidR="00371BB7" w:rsidRPr="00A50E4D">
        <w:rPr>
          <w:szCs w:val="20"/>
          <w:lang w:val="en-US"/>
        </w:rPr>
        <w:t>political rights</w:t>
      </w:r>
      <w:r w:rsidR="004B053B" w:rsidRPr="00A50E4D">
        <w:rPr>
          <w:szCs w:val="20"/>
          <w:lang w:val="en-US"/>
        </w:rPr>
        <w:t>, reco</w:t>
      </w:r>
      <w:r w:rsidR="00121B54" w:rsidRPr="00A50E4D">
        <w:rPr>
          <w:szCs w:val="20"/>
          <w:lang w:val="en-US"/>
        </w:rPr>
        <w:t xml:space="preserve">gnizes </w:t>
      </w:r>
      <w:r w:rsidR="00553CB3" w:rsidRPr="00A50E4D">
        <w:rPr>
          <w:szCs w:val="20"/>
          <w:lang w:val="en-US"/>
        </w:rPr>
        <w:t xml:space="preserve">rights </w:t>
      </w:r>
      <w:r w:rsidR="00121B54" w:rsidRPr="00A50E4D">
        <w:rPr>
          <w:szCs w:val="20"/>
          <w:lang w:val="en-US"/>
        </w:rPr>
        <w:t xml:space="preserve">of </w:t>
      </w:r>
      <w:r w:rsidR="000A786A" w:rsidRPr="00A50E4D">
        <w:rPr>
          <w:szCs w:val="20"/>
          <w:lang w:val="en-US"/>
        </w:rPr>
        <w:t>the citizen</w:t>
      </w:r>
      <w:r w:rsidR="00121B54" w:rsidRPr="00A50E4D">
        <w:rPr>
          <w:szCs w:val="20"/>
          <w:lang w:val="en-US"/>
        </w:rPr>
        <w:t xml:space="preserve"> that are exercised by each particular individual. Paragraph 1 of this article recognizes that every citizen has the right: (a) </w:t>
      </w:r>
      <w:r w:rsidR="00121B54" w:rsidRPr="00A50E4D">
        <w:rPr>
          <w:lang w:val="en-US"/>
        </w:rPr>
        <w:t>to take part in the conduct of public affairs, directly or through freely chosen representatives; (b) to vote and to be elected in genuine periodic elections, which shall be by universal and equal suffrage and by secret ballot that guarantees the free expression of the will of the voters; and (c) to have access, under general conditions of equality, to the public service of his country.</w:t>
      </w:r>
      <w:r w:rsidR="004B053B" w:rsidRPr="00A50E4D">
        <w:rPr>
          <w:rStyle w:val="FootnoteReference"/>
          <w:sz w:val="20"/>
          <w:szCs w:val="20"/>
          <w:lang w:val="en-US"/>
        </w:rPr>
        <w:footnoteReference w:id="297"/>
      </w:r>
      <w:r w:rsidR="006A3B18" w:rsidRPr="00A50E4D">
        <w:rPr>
          <w:szCs w:val="20"/>
          <w:lang w:val="en-US"/>
        </w:rPr>
        <w:t xml:space="preserve"> </w:t>
      </w:r>
    </w:p>
    <w:p w14:paraId="2F378C26" w14:textId="77777777" w:rsidR="001006A8" w:rsidRPr="00A50E4D" w:rsidRDefault="001006A8" w:rsidP="001006A8">
      <w:pPr>
        <w:rPr>
          <w:lang w:val="en-US" w:eastAsia="es-MX"/>
        </w:rPr>
      </w:pPr>
    </w:p>
    <w:p w14:paraId="5E351638" w14:textId="6221692A" w:rsidR="004B053B" w:rsidRPr="00A50E4D" w:rsidRDefault="00121B54" w:rsidP="004B053B">
      <w:pPr>
        <w:pStyle w:val="PrrafodeSentencia"/>
        <w:rPr>
          <w:szCs w:val="20"/>
          <w:lang w:val="en-US"/>
        </w:rPr>
      </w:pPr>
      <w:r w:rsidRPr="00A50E4D">
        <w:rPr>
          <w:szCs w:val="20"/>
          <w:lang w:val="en-US"/>
        </w:rPr>
        <w:t xml:space="preserve">The effective exercise of </w:t>
      </w:r>
      <w:r w:rsidR="00371BB7" w:rsidRPr="00A50E4D">
        <w:rPr>
          <w:szCs w:val="20"/>
          <w:lang w:val="en-US"/>
        </w:rPr>
        <w:t>political rights</w:t>
      </w:r>
      <w:r w:rsidR="004B053B" w:rsidRPr="00A50E4D">
        <w:rPr>
          <w:szCs w:val="20"/>
          <w:lang w:val="en-US"/>
        </w:rPr>
        <w:t xml:space="preserve"> constitu</w:t>
      </w:r>
      <w:r w:rsidRPr="00A50E4D">
        <w:rPr>
          <w:szCs w:val="20"/>
          <w:lang w:val="en-US"/>
        </w:rPr>
        <w:t xml:space="preserve">tes an end in itself and, also, an essential means that democratic societies have to ensure the other human rights established in </w:t>
      </w:r>
      <w:r w:rsidR="009808C5" w:rsidRPr="00A50E4D">
        <w:rPr>
          <w:szCs w:val="20"/>
          <w:lang w:val="en-US"/>
        </w:rPr>
        <w:t>the Convention</w:t>
      </w:r>
      <w:r w:rsidRPr="00A50E4D">
        <w:rPr>
          <w:szCs w:val="20"/>
          <w:lang w:val="en-US"/>
        </w:rPr>
        <w:t>.</w:t>
      </w:r>
      <w:r w:rsidR="004B053B" w:rsidRPr="00A50E4D">
        <w:rPr>
          <w:rStyle w:val="FootnoteReference"/>
          <w:sz w:val="20"/>
          <w:szCs w:val="20"/>
          <w:lang w:val="en-US"/>
        </w:rPr>
        <w:footnoteReference w:id="298"/>
      </w:r>
      <w:r w:rsidR="0008527E" w:rsidRPr="00A50E4D">
        <w:rPr>
          <w:szCs w:val="20"/>
          <w:lang w:val="en-US"/>
        </w:rPr>
        <w:t xml:space="preserve"> </w:t>
      </w:r>
      <w:r w:rsidRPr="00A50E4D">
        <w:rPr>
          <w:szCs w:val="20"/>
          <w:lang w:val="en-US"/>
        </w:rPr>
        <w:t xml:space="preserve">Moreover, according its </w:t>
      </w:r>
      <w:r w:rsidR="009808C5" w:rsidRPr="00A50E4D">
        <w:rPr>
          <w:szCs w:val="20"/>
          <w:lang w:val="en-US"/>
        </w:rPr>
        <w:t>Article</w:t>
      </w:r>
      <w:r w:rsidR="004B053B" w:rsidRPr="00A50E4D">
        <w:rPr>
          <w:szCs w:val="20"/>
          <w:lang w:val="en-US"/>
        </w:rPr>
        <w:t xml:space="preserve"> 23</w:t>
      </w:r>
      <w:r w:rsidRPr="00A50E4D">
        <w:rPr>
          <w:szCs w:val="20"/>
          <w:lang w:val="en-US"/>
        </w:rPr>
        <w:t xml:space="preserve">, the holders of these rights – in other words, the </w:t>
      </w:r>
      <w:r w:rsidRPr="00A50E4D">
        <w:rPr>
          <w:szCs w:val="20"/>
          <w:lang w:val="en-US"/>
        </w:rPr>
        <w:lastRenderedPageBreak/>
        <w:t>citizens – should enjoy not only rights, but also “opportunities.” The latter term entails the obligation to ensure, by taking positive measures, that anyone who is the formal holder of political rights has the real possibility of exercising them.</w:t>
      </w:r>
      <w:r w:rsidR="004B053B" w:rsidRPr="00A50E4D">
        <w:rPr>
          <w:rStyle w:val="FootnoteReference"/>
          <w:sz w:val="20"/>
          <w:szCs w:val="20"/>
          <w:lang w:val="en-US"/>
        </w:rPr>
        <w:footnoteReference w:id="299"/>
      </w:r>
      <w:r w:rsidR="004B053B" w:rsidRPr="00A50E4D">
        <w:rPr>
          <w:szCs w:val="20"/>
          <w:lang w:val="en-US"/>
        </w:rPr>
        <w:t xml:space="preserve"> </w:t>
      </w:r>
      <w:r w:rsidRPr="00A50E4D">
        <w:rPr>
          <w:szCs w:val="20"/>
          <w:lang w:val="en-US"/>
        </w:rPr>
        <w:t>P</w:t>
      </w:r>
      <w:r w:rsidR="00371BB7" w:rsidRPr="00A50E4D">
        <w:rPr>
          <w:szCs w:val="20"/>
          <w:lang w:val="en-US"/>
        </w:rPr>
        <w:t>olitical rights</w:t>
      </w:r>
      <w:r w:rsidR="009808C5" w:rsidRPr="00A50E4D">
        <w:rPr>
          <w:szCs w:val="20"/>
          <w:lang w:val="en-US"/>
        </w:rPr>
        <w:t xml:space="preserve"> and </w:t>
      </w:r>
      <w:r w:rsidRPr="00A50E4D">
        <w:rPr>
          <w:szCs w:val="20"/>
          <w:lang w:val="en-US"/>
        </w:rPr>
        <w:t>their exercise promote the strengthening of democracy and political pluralism.</w:t>
      </w:r>
      <w:r w:rsidR="004B053B" w:rsidRPr="00A50E4D">
        <w:rPr>
          <w:rStyle w:val="FootnoteReference"/>
          <w:sz w:val="20"/>
          <w:szCs w:val="20"/>
          <w:lang w:val="en-US"/>
        </w:rPr>
        <w:footnoteReference w:id="300"/>
      </w:r>
    </w:p>
    <w:p w14:paraId="35A2549C" w14:textId="77777777" w:rsidR="004B053B" w:rsidRPr="00A50E4D" w:rsidRDefault="004B053B" w:rsidP="004B053B">
      <w:pPr>
        <w:rPr>
          <w:szCs w:val="20"/>
          <w:lang w:val="en-US" w:eastAsia="es-MX"/>
        </w:rPr>
      </w:pPr>
    </w:p>
    <w:p w14:paraId="4A8D3DEF" w14:textId="4A27C2B5" w:rsidR="00CB360D" w:rsidRPr="00A50E4D" w:rsidRDefault="00121B54" w:rsidP="00CB360D">
      <w:pPr>
        <w:pStyle w:val="PrrafodeSentencia"/>
        <w:rPr>
          <w:szCs w:val="20"/>
          <w:lang w:val="en-US"/>
        </w:rPr>
      </w:pPr>
      <w:r w:rsidRPr="00A50E4D">
        <w:rPr>
          <w:szCs w:val="20"/>
          <w:lang w:val="en-US"/>
        </w:rPr>
        <w:t xml:space="preserve">Consequently, the State must facilitate the </w:t>
      </w:r>
      <w:r w:rsidR="00273BFD" w:rsidRPr="00A50E4D">
        <w:rPr>
          <w:szCs w:val="20"/>
          <w:lang w:val="en-US"/>
        </w:rPr>
        <w:t>ways and means</w:t>
      </w:r>
      <w:r w:rsidRPr="00A50E4D">
        <w:rPr>
          <w:szCs w:val="20"/>
          <w:lang w:val="en-US"/>
        </w:rPr>
        <w:t xml:space="preserve"> to ensure that these political rights can be exercised effectively, respecting the principles of equality and non-discrimination.</w:t>
      </w:r>
      <w:r w:rsidR="004B053B" w:rsidRPr="00A50E4D">
        <w:rPr>
          <w:rStyle w:val="FootnoteReference"/>
          <w:sz w:val="20"/>
          <w:szCs w:val="20"/>
          <w:lang w:val="en-US"/>
        </w:rPr>
        <w:footnoteReference w:id="301"/>
      </w:r>
      <w:r w:rsidRPr="00A50E4D">
        <w:rPr>
          <w:szCs w:val="20"/>
          <w:lang w:val="en-US"/>
        </w:rPr>
        <w:t xml:space="preserve"> Political participation may include diverse and </w:t>
      </w:r>
      <w:r w:rsidR="000A786A" w:rsidRPr="00A50E4D">
        <w:rPr>
          <w:szCs w:val="20"/>
          <w:lang w:val="en-US"/>
        </w:rPr>
        <w:t>wide-ranging</w:t>
      </w:r>
      <w:r w:rsidRPr="00A50E4D">
        <w:rPr>
          <w:szCs w:val="20"/>
          <w:lang w:val="en-US"/>
        </w:rPr>
        <w:t xml:space="preserve"> activities that </w:t>
      </w:r>
      <w:r w:rsidR="00273BFD" w:rsidRPr="00A50E4D">
        <w:rPr>
          <w:szCs w:val="20"/>
          <w:lang w:val="en-US"/>
        </w:rPr>
        <w:t>the population carries</w:t>
      </w:r>
      <w:r w:rsidRPr="00A50E4D">
        <w:rPr>
          <w:szCs w:val="20"/>
          <w:lang w:val="en-US"/>
        </w:rPr>
        <w:t xml:space="preserve"> out indivi</w:t>
      </w:r>
      <w:r w:rsidR="00273BFD" w:rsidRPr="00A50E4D">
        <w:rPr>
          <w:szCs w:val="20"/>
          <w:lang w:val="en-US"/>
        </w:rPr>
        <w:t>dually or on an organized basis</w:t>
      </w:r>
      <w:r w:rsidRPr="00A50E4D">
        <w:rPr>
          <w:szCs w:val="20"/>
          <w:lang w:val="en-US"/>
        </w:rPr>
        <w:t xml:space="preserve"> in order to intervene in the </w:t>
      </w:r>
      <w:r w:rsidR="00273BFD" w:rsidRPr="00A50E4D">
        <w:rPr>
          <w:szCs w:val="20"/>
          <w:lang w:val="en-US"/>
        </w:rPr>
        <w:t>appointment</w:t>
      </w:r>
      <w:r w:rsidRPr="00A50E4D">
        <w:rPr>
          <w:szCs w:val="20"/>
          <w:lang w:val="en-US"/>
        </w:rPr>
        <w:t xml:space="preserve"> of those </w:t>
      </w:r>
      <w:r w:rsidR="000A786A" w:rsidRPr="00A50E4D">
        <w:rPr>
          <w:szCs w:val="20"/>
          <w:lang w:val="en-US"/>
        </w:rPr>
        <w:t>who will</w:t>
      </w:r>
      <w:r w:rsidRPr="00A50E4D">
        <w:rPr>
          <w:szCs w:val="20"/>
          <w:lang w:val="en-US"/>
        </w:rPr>
        <w:t xml:space="preserve"> govern a State or who will be in charge of managing public affairs, as well as to </w:t>
      </w:r>
      <w:r w:rsidR="00273BFD" w:rsidRPr="00A50E4D">
        <w:rPr>
          <w:szCs w:val="20"/>
          <w:lang w:val="en-US"/>
        </w:rPr>
        <w:t>influence</w:t>
      </w:r>
      <w:r w:rsidRPr="00A50E4D">
        <w:rPr>
          <w:szCs w:val="20"/>
          <w:lang w:val="en-US"/>
        </w:rPr>
        <w:t xml:space="preserve"> th</w:t>
      </w:r>
      <w:r w:rsidR="000A786A" w:rsidRPr="00A50E4D">
        <w:rPr>
          <w:szCs w:val="20"/>
          <w:lang w:val="en-US"/>
        </w:rPr>
        <w:t>e development of State policie</w:t>
      </w:r>
      <w:r w:rsidRPr="00A50E4D">
        <w:rPr>
          <w:szCs w:val="20"/>
          <w:lang w:val="en-US"/>
        </w:rPr>
        <w:t>s through direct participation mechanisms</w:t>
      </w:r>
      <w:r w:rsidR="004B053B" w:rsidRPr="00A50E4D">
        <w:rPr>
          <w:rStyle w:val="FootnoteReference"/>
          <w:sz w:val="20"/>
          <w:szCs w:val="20"/>
          <w:lang w:val="en-US"/>
        </w:rPr>
        <w:footnoteReference w:id="302"/>
      </w:r>
      <w:r w:rsidR="004B053B" w:rsidRPr="00A50E4D">
        <w:rPr>
          <w:szCs w:val="20"/>
          <w:lang w:val="en-US"/>
        </w:rPr>
        <w:t xml:space="preserve"> o</w:t>
      </w:r>
      <w:r w:rsidRPr="00A50E4D">
        <w:rPr>
          <w:szCs w:val="20"/>
          <w:lang w:val="en-US"/>
        </w:rPr>
        <w:t>r</w:t>
      </w:r>
      <w:r w:rsidR="0008527E" w:rsidRPr="00A50E4D">
        <w:rPr>
          <w:szCs w:val="20"/>
          <w:lang w:val="en-US"/>
        </w:rPr>
        <w:t>,</w:t>
      </w:r>
      <w:r w:rsidRPr="00A50E4D">
        <w:rPr>
          <w:szCs w:val="20"/>
          <w:lang w:val="en-US"/>
        </w:rPr>
        <w:t xml:space="preserve"> i</w:t>
      </w:r>
      <w:r w:rsidR="004B053B" w:rsidRPr="00A50E4D">
        <w:rPr>
          <w:szCs w:val="20"/>
          <w:lang w:val="en-US"/>
        </w:rPr>
        <w:t>n general</w:t>
      </w:r>
      <w:r w:rsidR="0008527E" w:rsidRPr="00A50E4D">
        <w:rPr>
          <w:szCs w:val="20"/>
          <w:lang w:val="en-US"/>
        </w:rPr>
        <w:t>,</w:t>
      </w:r>
      <w:r w:rsidR="004B053B" w:rsidRPr="00A50E4D">
        <w:rPr>
          <w:szCs w:val="20"/>
          <w:lang w:val="en-US"/>
        </w:rPr>
        <w:t xml:space="preserve"> </w:t>
      </w:r>
      <w:r w:rsidRPr="00A50E4D">
        <w:rPr>
          <w:szCs w:val="20"/>
          <w:lang w:val="en-US"/>
        </w:rPr>
        <w:t xml:space="preserve">to intervene in matters of public interest, such as the defense of </w:t>
      </w:r>
      <w:r w:rsidR="00CB360D" w:rsidRPr="00A50E4D">
        <w:rPr>
          <w:szCs w:val="20"/>
          <w:lang w:val="en-US"/>
        </w:rPr>
        <w:t>democracy.</w:t>
      </w:r>
    </w:p>
    <w:p w14:paraId="650DCE49" w14:textId="77777777" w:rsidR="00CB360D" w:rsidRPr="00A50E4D" w:rsidRDefault="00CB360D" w:rsidP="00CB360D">
      <w:pPr>
        <w:rPr>
          <w:lang w:val="en-US" w:eastAsia="es-MX"/>
        </w:rPr>
      </w:pPr>
    </w:p>
    <w:p w14:paraId="758E024F" w14:textId="3E73E174" w:rsidR="00121B54" w:rsidRPr="00A50E4D" w:rsidRDefault="00121B54" w:rsidP="00CB360D">
      <w:pPr>
        <w:pStyle w:val="PrrafodeSentencia"/>
        <w:rPr>
          <w:szCs w:val="20"/>
          <w:lang w:val="en-US"/>
        </w:rPr>
      </w:pPr>
      <w:r w:rsidRPr="00A50E4D">
        <w:rPr>
          <w:szCs w:val="20"/>
          <w:lang w:val="en-US"/>
        </w:rPr>
        <w:t xml:space="preserve">From this perspective, the right to defend democracy referred to in the preceding section of this judgment constitutes a specific manifestation of </w:t>
      </w:r>
      <w:r w:rsidR="000A786A" w:rsidRPr="00A50E4D">
        <w:rPr>
          <w:szCs w:val="20"/>
          <w:lang w:val="en-US"/>
        </w:rPr>
        <w:t>the</w:t>
      </w:r>
      <w:r w:rsidRPr="00A50E4D">
        <w:rPr>
          <w:szCs w:val="20"/>
          <w:lang w:val="en-US"/>
        </w:rPr>
        <w:t xml:space="preserve"> right to take part in public affairs and also includes, at the same time, the exercise of other rights such as </w:t>
      </w:r>
      <w:r w:rsidR="00371BB7" w:rsidRPr="00A50E4D">
        <w:rPr>
          <w:szCs w:val="20"/>
          <w:lang w:val="en-US"/>
        </w:rPr>
        <w:t>freedom of expression</w:t>
      </w:r>
      <w:r w:rsidR="009808C5" w:rsidRPr="00A50E4D">
        <w:rPr>
          <w:szCs w:val="20"/>
          <w:lang w:val="en-US"/>
        </w:rPr>
        <w:t xml:space="preserve"> and </w:t>
      </w:r>
      <w:r w:rsidRPr="00A50E4D">
        <w:rPr>
          <w:szCs w:val="20"/>
          <w:lang w:val="en-US"/>
        </w:rPr>
        <w:t>the right of assembly, as will be explained below.</w:t>
      </w:r>
    </w:p>
    <w:p w14:paraId="46544FD5" w14:textId="77777777" w:rsidR="00121B54" w:rsidRPr="00A50E4D" w:rsidRDefault="00121B54" w:rsidP="00121B54">
      <w:pPr>
        <w:rPr>
          <w:lang w:val="en-US" w:eastAsia="es-MX"/>
        </w:rPr>
      </w:pPr>
    </w:p>
    <w:p w14:paraId="31F123C2" w14:textId="251E07CE" w:rsidR="004B053B" w:rsidRPr="00A50E4D" w:rsidRDefault="00121B54" w:rsidP="002D60EA">
      <w:pPr>
        <w:pStyle w:val="PrrafodeSentencia"/>
        <w:rPr>
          <w:szCs w:val="20"/>
          <w:lang w:val="en-US"/>
        </w:rPr>
      </w:pPr>
      <w:r w:rsidRPr="00A50E4D">
        <w:rPr>
          <w:szCs w:val="20"/>
          <w:lang w:val="en-US"/>
        </w:rPr>
        <w:t>F</w:t>
      </w:r>
      <w:r w:rsidR="00371BB7" w:rsidRPr="00A50E4D">
        <w:rPr>
          <w:szCs w:val="20"/>
          <w:lang w:val="en-US"/>
        </w:rPr>
        <w:t>reedom of expression</w:t>
      </w:r>
      <w:r w:rsidR="004B053B" w:rsidRPr="00A50E4D">
        <w:rPr>
          <w:szCs w:val="20"/>
          <w:lang w:val="en-US"/>
        </w:rPr>
        <w:t>, particular</w:t>
      </w:r>
      <w:r w:rsidRPr="00A50E4D">
        <w:rPr>
          <w:szCs w:val="20"/>
          <w:lang w:val="en-US"/>
        </w:rPr>
        <w:t>ly in</w:t>
      </w:r>
      <w:r w:rsidR="004B053B" w:rsidRPr="00A50E4D">
        <w:rPr>
          <w:szCs w:val="20"/>
          <w:lang w:val="en-US"/>
        </w:rPr>
        <w:t xml:space="preserve"> </w:t>
      </w:r>
      <w:r w:rsidRPr="00A50E4D">
        <w:rPr>
          <w:szCs w:val="20"/>
          <w:lang w:val="en-US"/>
        </w:rPr>
        <w:t>matters of public interest</w:t>
      </w:r>
      <w:r w:rsidR="004B053B" w:rsidRPr="00A50E4D">
        <w:rPr>
          <w:szCs w:val="20"/>
          <w:lang w:val="en-US"/>
        </w:rPr>
        <w:t>, “</w:t>
      </w:r>
      <w:r w:rsidRPr="00A50E4D">
        <w:rPr>
          <w:szCs w:val="20"/>
          <w:lang w:val="en-US"/>
        </w:rPr>
        <w:t>is a cornerstone of the very existence of a democratic society.</w:t>
      </w:r>
      <w:r w:rsidR="004B053B" w:rsidRPr="00A50E4D">
        <w:rPr>
          <w:szCs w:val="20"/>
          <w:lang w:val="en-US"/>
        </w:rPr>
        <w:t>”</w:t>
      </w:r>
      <w:r w:rsidR="004B053B" w:rsidRPr="00A50E4D">
        <w:rPr>
          <w:rStyle w:val="FootnoteReference"/>
          <w:sz w:val="20"/>
          <w:szCs w:val="20"/>
          <w:lang w:val="en-US"/>
        </w:rPr>
        <w:footnoteReference w:id="303"/>
      </w:r>
      <w:r w:rsidRPr="00A50E4D">
        <w:rPr>
          <w:szCs w:val="20"/>
          <w:lang w:val="en-US"/>
        </w:rPr>
        <w:t xml:space="preserve"> Without an effective guarantee</w:t>
      </w:r>
      <w:r w:rsidR="004B053B" w:rsidRPr="00A50E4D">
        <w:rPr>
          <w:szCs w:val="20"/>
          <w:lang w:val="en-US"/>
        </w:rPr>
        <w:t xml:space="preserve"> </w:t>
      </w:r>
      <w:r w:rsidRPr="00A50E4D">
        <w:rPr>
          <w:szCs w:val="20"/>
          <w:lang w:val="en-US"/>
        </w:rPr>
        <w:t>of</w:t>
      </w:r>
      <w:r w:rsidR="00FF35A9" w:rsidRPr="00A50E4D">
        <w:rPr>
          <w:szCs w:val="20"/>
          <w:lang w:val="en-US"/>
        </w:rPr>
        <w:t xml:space="preserve"> </w:t>
      </w:r>
      <w:r w:rsidR="00371BB7" w:rsidRPr="00A50E4D">
        <w:rPr>
          <w:szCs w:val="20"/>
          <w:lang w:val="en-US"/>
        </w:rPr>
        <w:t>freedom of expression</w:t>
      </w:r>
      <w:r w:rsidRPr="00A50E4D">
        <w:rPr>
          <w:szCs w:val="20"/>
          <w:lang w:val="en-US"/>
        </w:rPr>
        <w:t xml:space="preserve"> the democratic systems is weakened and </w:t>
      </w:r>
      <w:r w:rsidR="002D60EA" w:rsidRPr="00A50E4D">
        <w:rPr>
          <w:szCs w:val="20"/>
          <w:lang w:val="en-US"/>
        </w:rPr>
        <w:t xml:space="preserve">there is a breakdown of </w:t>
      </w:r>
      <w:r w:rsidRPr="00A50E4D">
        <w:rPr>
          <w:szCs w:val="20"/>
          <w:lang w:val="en-US"/>
        </w:rPr>
        <w:t>pluralism and tolerance</w:t>
      </w:r>
      <w:r w:rsidR="002D60EA" w:rsidRPr="00A50E4D">
        <w:rPr>
          <w:szCs w:val="20"/>
          <w:lang w:val="en-US"/>
        </w:rPr>
        <w:t>; the mechanisms o</w:t>
      </w:r>
      <w:r w:rsidR="00273BFD" w:rsidRPr="00A50E4D">
        <w:rPr>
          <w:szCs w:val="20"/>
          <w:lang w:val="en-US"/>
        </w:rPr>
        <w:t>f control and complaint that</w:t>
      </w:r>
      <w:r w:rsidR="002D60EA" w:rsidRPr="00A50E4D">
        <w:rPr>
          <w:szCs w:val="20"/>
          <w:lang w:val="en-US"/>
        </w:rPr>
        <w:t xml:space="preserve"> citizens have may become inoperable and, indeed, a fertile ground is created for authoritarian systems to take root.</w:t>
      </w:r>
      <w:r w:rsidR="004B053B" w:rsidRPr="00A50E4D">
        <w:rPr>
          <w:rStyle w:val="FootnoteReference"/>
          <w:rFonts w:eastAsia="Calibri"/>
          <w:sz w:val="20"/>
          <w:szCs w:val="20"/>
          <w:lang w:val="en-US"/>
        </w:rPr>
        <w:footnoteReference w:id="304"/>
      </w:r>
      <w:r w:rsidR="002D60EA" w:rsidRPr="00A50E4D">
        <w:rPr>
          <w:szCs w:val="20"/>
          <w:lang w:val="en-US"/>
        </w:rPr>
        <w:t xml:space="preserve"> Freedom of expression must be guaranteed not only as regards the dissemination of information and ideas that are received favorably or considered inoffensive or indifferent, but also those that the State </w:t>
      </w:r>
      <w:r w:rsidR="004B053B" w:rsidRPr="00A50E4D">
        <w:rPr>
          <w:szCs w:val="20"/>
          <w:lang w:val="en-US"/>
        </w:rPr>
        <w:t>o</w:t>
      </w:r>
      <w:r w:rsidR="002D60EA" w:rsidRPr="00A50E4D">
        <w:rPr>
          <w:szCs w:val="20"/>
          <w:lang w:val="en-US"/>
        </w:rPr>
        <w:t>r any sector of the population</w:t>
      </w:r>
      <w:r w:rsidR="00273BFD" w:rsidRPr="00A50E4D">
        <w:rPr>
          <w:szCs w:val="20"/>
          <w:lang w:val="en-US"/>
        </w:rPr>
        <w:t xml:space="preserve"> consider objectionable</w:t>
      </w:r>
      <w:r w:rsidR="002D60EA" w:rsidRPr="00A50E4D">
        <w:rPr>
          <w:szCs w:val="20"/>
          <w:lang w:val="en-US"/>
        </w:rPr>
        <w:t>.</w:t>
      </w:r>
      <w:r w:rsidR="004B053B" w:rsidRPr="00A50E4D">
        <w:rPr>
          <w:rStyle w:val="FootnoteReference"/>
          <w:sz w:val="20"/>
          <w:szCs w:val="20"/>
          <w:lang w:val="en-US"/>
        </w:rPr>
        <w:footnoteReference w:id="305"/>
      </w:r>
      <w:r w:rsidR="004B053B" w:rsidRPr="00A50E4D">
        <w:rPr>
          <w:szCs w:val="20"/>
          <w:lang w:val="en-US"/>
        </w:rPr>
        <w:t xml:space="preserve"> </w:t>
      </w:r>
      <w:r w:rsidR="009808C5" w:rsidRPr="00A50E4D">
        <w:rPr>
          <w:szCs w:val="20"/>
          <w:lang w:val="en-US"/>
        </w:rPr>
        <w:t>Articles</w:t>
      </w:r>
      <w:r w:rsidR="004B053B" w:rsidRPr="00A50E4D">
        <w:rPr>
          <w:szCs w:val="20"/>
          <w:lang w:val="en-US"/>
        </w:rPr>
        <w:t xml:space="preserve"> 3</w:t>
      </w:r>
      <w:r w:rsidR="009808C5" w:rsidRPr="00A50E4D">
        <w:rPr>
          <w:szCs w:val="20"/>
          <w:lang w:val="en-US"/>
        </w:rPr>
        <w:t xml:space="preserve"> and </w:t>
      </w:r>
      <w:r w:rsidR="004B053B" w:rsidRPr="00A50E4D">
        <w:rPr>
          <w:szCs w:val="20"/>
          <w:lang w:val="en-US"/>
        </w:rPr>
        <w:t>4</w:t>
      </w:r>
      <w:r w:rsidR="00FF35A9" w:rsidRPr="00A50E4D">
        <w:rPr>
          <w:szCs w:val="20"/>
          <w:lang w:val="en-US"/>
        </w:rPr>
        <w:t xml:space="preserve"> of the </w:t>
      </w:r>
      <w:r w:rsidR="00E7138A" w:rsidRPr="00A50E4D">
        <w:rPr>
          <w:szCs w:val="20"/>
          <w:lang w:val="en-US"/>
        </w:rPr>
        <w:t>Inter-American Democratic Charter</w:t>
      </w:r>
      <w:r w:rsidR="004B053B" w:rsidRPr="00A50E4D">
        <w:rPr>
          <w:szCs w:val="20"/>
          <w:lang w:val="en-US"/>
        </w:rPr>
        <w:t xml:space="preserve"> </w:t>
      </w:r>
      <w:r w:rsidR="002D60EA" w:rsidRPr="00A50E4D">
        <w:rPr>
          <w:szCs w:val="20"/>
          <w:lang w:val="en-US"/>
        </w:rPr>
        <w:t xml:space="preserve">also stress the importance of </w:t>
      </w:r>
      <w:r w:rsidR="00371BB7" w:rsidRPr="00A50E4D">
        <w:rPr>
          <w:szCs w:val="20"/>
          <w:lang w:val="en-US"/>
        </w:rPr>
        <w:t>freedom of expression</w:t>
      </w:r>
      <w:r w:rsidR="004B053B" w:rsidRPr="00A50E4D">
        <w:rPr>
          <w:szCs w:val="20"/>
          <w:lang w:val="en-US"/>
        </w:rPr>
        <w:t xml:space="preserve"> </w:t>
      </w:r>
      <w:r w:rsidR="002D60EA" w:rsidRPr="00A50E4D">
        <w:rPr>
          <w:szCs w:val="20"/>
          <w:lang w:val="en-US"/>
        </w:rPr>
        <w:t xml:space="preserve">in a democratic society, when establishing that: “[e]ssential elements of representative democracy include, </w:t>
      </w:r>
      <w:r w:rsidR="002D60EA" w:rsidRPr="00A50E4D">
        <w:rPr>
          <w:i/>
          <w:iCs/>
          <w:szCs w:val="20"/>
          <w:lang w:val="en-US"/>
        </w:rPr>
        <w:t>inter alia</w:t>
      </w:r>
      <w:r w:rsidR="002D60EA" w:rsidRPr="00A50E4D">
        <w:rPr>
          <w:szCs w:val="20"/>
          <w:lang w:val="en-US"/>
        </w:rPr>
        <w:t>, respect for human rights and fundamental freedoms” and “[t]ransparency in government activities, probity, responsible public administration on the part of governments, respect for social rights, and freedom of expression and of the press are essential components of the exercise of democracy.”</w:t>
      </w:r>
    </w:p>
    <w:p w14:paraId="0AF59EF9" w14:textId="77777777" w:rsidR="004B053B" w:rsidRPr="00A50E4D" w:rsidRDefault="004B053B" w:rsidP="004B053B">
      <w:pPr>
        <w:rPr>
          <w:szCs w:val="20"/>
          <w:lang w:val="en-US" w:eastAsia="es-MX"/>
        </w:rPr>
      </w:pPr>
    </w:p>
    <w:p w14:paraId="0BE0739A" w14:textId="14AD6798" w:rsidR="004B053B" w:rsidRPr="00A50E4D" w:rsidRDefault="00BC4BE7" w:rsidP="0071780A">
      <w:pPr>
        <w:pStyle w:val="PrrafodeSentencia"/>
        <w:rPr>
          <w:szCs w:val="20"/>
          <w:lang w:val="en-US"/>
        </w:rPr>
      </w:pPr>
      <w:r w:rsidRPr="00A50E4D">
        <w:rPr>
          <w:szCs w:val="20"/>
          <w:lang w:val="en-US"/>
        </w:rPr>
        <w:t xml:space="preserve">The </w:t>
      </w:r>
      <w:r w:rsidR="00273BFD" w:rsidRPr="00A50E4D">
        <w:rPr>
          <w:szCs w:val="20"/>
          <w:lang w:val="en-US"/>
        </w:rPr>
        <w:t xml:space="preserve">Court’s </w:t>
      </w:r>
      <w:r w:rsidRPr="00A50E4D">
        <w:rPr>
          <w:szCs w:val="20"/>
          <w:lang w:val="en-US"/>
        </w:rPr>
        <w:t xml:space="preserve">case law has provided </w:t>
      </w:r>
      <w:r w:rsidR="00273BFD" w:rsidRPr="00A50E4D">
        <w:rPr>
          <w:szCs w:val="20"/>
          <w:lang w:val="en-US"/>
        </w:rPr>
        <w:t>extensive</w:t>
      </w:r>
      <w:r w:rsidRPr="00A50E4D">
        <w:rPr>
          <w:szCs w:val="20"/>
          <w:lang w:val="en-US"/>
        </w:rPr>
        <w:t xml:space="preserve"> </w:t>
      </w:r>
      <w:r w:rsidR="000A786A" w:rsidRPr="00A50E4D">
        <w:rPr>
          <w:szCs w:val="20"/>
          <w:lang w:val="en-US"/>
        </w:rPr>
        <w:t>content to</w:t>
      </w:r>
      <w:r w:rsidRPr="00A50E4D">
        <w:rPr>
          <w:szCs w:val="20"/>
          <w:lang w:val="en-US"/>
        </w:rPr>
        <w:t xml:space="preserve"> the right to freedom of thought and expression established in </w:t>
      </w:r>
      <w:r w:rsidR="009808C5" w:rsidRPr="00A50E4D">
        <w:rPr>
          <w:szCs w:val="20"/>
          <w:lang w:val="en-US"/>
        </w:rPr>
        <w:t>Article</w:t>
      </w:r>
      <w:r w:rsidR="004B053B" w:rsidRPr="00A50E4D">
        <w:rPr>
          <w:szCs w:val="20"/>
          <w:lang w:val="en-US"/>
        </w:rPr>
        <w:t xml:space="preserve"> 13</w:t>
      </w:r>
      <w:r w:rsidR="009808C5" w:rsidRPr="00A50E4D">
        <w:rPr>
          <w:szCs w:val="20"/>
          <w:lang w:val="en-US"/>
        </w:rPr>
        <w:t xml:space="preserve"> of the Convention</w:t>
      </w:r>
      <w:r w:rsidR="004B053B" w:rsidRPr="00A50E4D">
        <w:rPr>
          <w:szCs w:val="20"/>
          <w:lang w:val="en-US"/>
        </w:rPr>
        <w:t xml:space="preserve">. </w:t>
      </w:r>
      <w:r w:rsidR="009808C5" w:rsidRPr="00A50E4D">
        <w:rPr>
          <w:szCs w:val="20"/>
          <w:lang w:val="en-US"/>
        </w:rPr>
        <w:t>The Court</w:t>
      </w:r>
      <w:r w:rsidR="004B053B" w:rsidRPr="00A50E4D">
        <w:rPr>
          <w:szCs w:val="20"/>
          <w:lang w:val="en-US"/>
        </w:rPr>
        <w:t xml:space="preserve"> ha</w:t>
      </w:r>
      <w:r w:rsidRPr="00A50E4D">
        <w:rPr>
          <w:szCs w:val="20"/>
          <w:lang w:val="en-US"/>
        </w:rPr>
        <w:t xml:space="preserve">s indicated that this norm protects the right to seek, receive and impart ideas and information of all kinds, as well as to know </w:t>
      </w:r>
      <w:r w:rsidRPr="00A50E4D">
        <w:rPr>
          <w:szCs w:val="20"/>
          <w:lang w:val="en-US"/>
        </w:rPr>
        <w:lastRenderedPageBreak/>
        <w:t>and receive information and ideas disseminated by others.</w:t>
      </w:r>
      <w:r w:rsidR="004B053B" w:rsidRPr="00A50E4D">
        <w:rPr>
          <w:rStyle w:val="FootnoteReference"/>
          <w:sz w:val="20"/>
          <w:szCs w:val="20"/>
          <w:lang w:val="en-US"/>
        </w:rPr>
        <w:footnoteReference w:id="306"/>
      </w:r>
      <w:r w:rsidRPr="00A50E4D">
        <w:rPr>
          <w:szCs w:val="20"/>
          <w:lang w:val="en-US"/>
        </w:rPr>
        <w:t xml:space="preserve"> In addition, it has indicated that </w:t>
      </w:r>
      <w:r w:rsidR="00371BB7" w:rsidRPr="00A50E4D">
        <w:rPr>
          <w:szCs w:val="20"/>
          <w:lang w:val="en-US"/>
        </w:rPr>
        <w:t>freedom of expression</w:t>
      </w:r>
      <w:r w:rsidR="004B053B" w:rsidRPr="00A50E4D">
        <w:rPr>
          <w:szCs w:val="20"/>
          <w:lang w:val="en-US"/>
        </w:rPr>
        <w:t xml:space="preserve"> </w:t>
      </w:r>
      <w:r w:rsidRPr="00A50E4D">
        <w:rPr>
          <w:szCs w:val="20"/>
          <w:lang w:val="en-US"/>
        </w:rPr>
        <w:t xml:space="preserve">has </w:t>
      </w:r>
      <w:r w:rsidR="00273BFD" w:rsidRPr="00A50E4D">
        <w:rPr>
          <w:szCs w:val="20"/>
          <w:lang w:val="en-US"/>
        </w:rPr>
        <w:t xml:space="preserve">both </w:t>
      </w:r>
      <w:r w:rsidRPr="00A50E4D">
        <w:rPr>
          <w:szCs w:val="20"/>
          <w:lang w:val="en-US"/>
        </w:rPr>
        <w:t xml:space="preserve">an individual </w:t>
      </w:r>
      <w:r w:rsidR="000A786A" w:rsidRPr="00A50E4D">
        <w:rPr>
          <w:szCs w:val="20"/>
          <w:lang w:val="en-US"/>
        </w:rPr>
        <w:t>dimension</w:t>
      </w:r>
      <w:r w:rsidRPr="00A50E4D">
        <w:rPr>
          <w:szCs w:val="20"/>
          <w:lang w:val="en-US"/>
        </w:rPr>
        <w:t xml:space="preserve"> and a social </w:t>
      </w:r>
      <w:r w:rsidR="000A786A" w:rsidRPr="00A50E4D">
        <w:rPr>
          <w:szCs w:val="20"/>
          <w:lang w:val="en-US"/>
        </w:rPr>
        <w:t>dimension</w:t>
      </w:r>
      <w:r w:rsidRPr="00A50E4D">
        <w:rPr>
          <w:szCs w:val="20"/>
          <w:lang w:val="en-US"/>
        </w:rPr>
        <w:t xml:space="preserve"> and</w:t>
      </w:r>
      <w:r w:rsidR="00273BFD" w:rsidRPr="00A50E4D">
        <w:rPr>
          <w:szCs w:val="20"/>
          <w:lang w:val="en-US"/>
        </w:rPr>
        <w:t>,</w:t>
      </w:r>
      <w:r w:rsidRPr="00A50E4D">
        <w:rPr>
          <w:szCs w:val="20"/>
          <w:lang w:val="en-US"/>
        </w:rPr>
        <w:t xml:space="preserve"> </w:t>
      </w:r>
      <w:r w:rsidR="00273BFD" w:rsidRPr="00A50E4D">
        <w:rPr>
          <w:szCs w:val="20"/>
          <w:lang w:val="en-US"/>
        </w:rPr>
        <w:t>thus, has</w:t>
      </w:r>
      <w:r w:rsidRPr="00A50E4D">
        <w:rPr>
          <w:szCs w:val="20"/>
          <w:lang w:val="en-US"/>
        </w:rPr>
        <w:t xml:space="preserve"> concluded that a series of rights are protected under this article.</w:t>
      </w:r>
      <w:r w:rsidR="004B053B" w:rsidRPr="00A50E4D">
        <w:rPr>
          <w:rStyle w:val="FootnoteReference"/>
          <w:sz w:val="20"/>
          <w:szCs w:val="20"/>
          <w:lang w:val="en-US"/>
        </w:rPr>
        <w:footnoteReference w:id="307"/>
      </w:r>
      <w:r w:rsidRPr="00A50E4D">
        <w:rPr>
          <w:szCs w:val="20"/>
          <w:lang w:val="en-US"/>
        </w:rPr>
        <w:t xml:space="preserve"> The Court has stated that both dimensions are equally important and must be fully guarantees simultaneously in order to provide full effect to the right to </w:t>
      </w:r>
      <w:r w:rsidR="00371BB7" w:rsidRPr="00A50E4D">
        <w:rPr>
          <w:szCs w:val="20"/>
          <w:lang w:val="en-US"/>
        </w:rPr>
        <w:t>freedom of expression</w:t>
      </w:r>
      <w:r w:rsidR="004B053B" w:rsidRPr="00A50E4D">
        <w:rPr>
          <w:szCs w:val="20"/>
          <w:lang w:val="en-US"/>
        </w:rPr>
        <w:t xml:space="preserve"> </w:t>
      </w:r>
      <w:r w:rsidRPr="00A50E4D">
        <w:rPr>
          <w:szCs w:val="20"/>
          <w:lang w:val="en-US"/>
        </w:rPr>
        <w:t xml:space="preserve">in the terms </w:t>
      </w:r>
      <w:r w:rsidR="00273BFD" w:rsidRPr="00A50E4D">
        <w:rPr>
          <w:szCs w:val="20"/>
          <w:lang w:val="en-US"/>
        </w:rPr>
        <w:t>of</w:t>
      </w:r>
      <w:r w:rsidR="004B053B" w:rsidRPr="00A50E4D">
        <w:rPr>
          <w:szCs w:val="20"/>
          <w:lang w:val="en-US"/>
        </w:rPr>
        <w:t xml:space="preserve"> </w:t>
      </w:r>
      <w:r w:rsidR="009808C5" w:rsidRPr="00A50E4D">
        <w:rPr>
          <w:szCs w:val="20"/>
          <w:lang w:val="en-US"/>
        </w:rPr>
        <w:t>Article</w:t>
      </w:r>
      <w:r w:rsidR="004B053B" w:rsidRPr="00A50E4D">
        <w:rPr>
          <w:szCs w:val="20"/>
          <w:lang w:val="en-US"/>
        </w:rPr>
        <w:t xml:space="preserve"> 13</w:t>
      </w:r>
      <w:r w:rsidR="009808C5" w:rsidRPr="00A50E4D">
        <w:rPr>
          <w:szCs w:val="20"/>
          <w:lang w:val="en-US"/>
        </w:rPr>
        <w:t xml:space="preserve"> of the Convention</w:t>
      </w:r>
      <w:r w:rsidRPr="00A50E4D">
        <w:rPr>
          <w:szCs w:val="20"/>
          <w:lang w:val="en-US"/>
        </w:rPr>
        <w:t>.</w:t>
      </w:r>
      <w:r w:rsidR="004B053B" w:rsidRPr="00A50E4D">
        <w:rPr>
          <w:rStyle w:val="FootnoteReference"/>
          <w:sz w:val="20"/>
          <w:szCs w:val="20"/>
          <w:lang w:val="en-US"/>
        </w:rPr>
        <w:footnoteReference w:id="308"/>
      </w:r>
      <w:r w:rsidRPr="00A50E4D">
        <w:rPr>
          <w:szCs w:val="20"/>
          <w:lang w:val="en-US"/>
        </w:rPr>
        <w:t xml:space="preserve"> For ordinary citizens, knowing other opinions or the information that others possess is as important as the right to impart their own opinions and information.</w:t>
      </w:r>
      <w:r w:rsidR="004B053B" w:rsidRPr="00A50E4D">
        <w:rPr>
          <w:rStyle w:val="FootnoteReference"/>
          <w:sz w:val="20"/>
          <w:szCs w:val="20"/>
          <w:lang w:val="en-US"/>
        </w:rPr>
        <w:footnoteReference w:id="309"/>
      </w:r>
      <w:r w:rsidRPr="00A50E4D">
        <w:rPr>
          <w:rFonts w:eastAsia="Calibri"/>
          <w:szCs w:val="20"/>
          <w:lang w:val="en-US"/>
        </w:rPr>
        <w:t xml:space="preserve"> Consequently, in light of both dimensions, </w:t>
      </w:r>
      <w:r w:rsidR="00371BB7" w:rsidRPr="00A50E4D">
        <w:rPr>
          <w:rFonts w:eastAsia="Calibri"/>
          <w:szCs w:val="20"/>
          <w:lang w:val="en-US"/>
        </w:rPr>
        <w:t>freedom of expression</w:t>
      </w:r>
      <w:r w:rsidR="004B053B" w:rsidRPr="00A50E4D">
        <w:rPr>
          <w:rFonts w:eastAsia="Calibri"/>
          <w:szCs w:val="20"/>
          <w:lang w:val="en-US"/>
        </w:rPr>
        <w:t xml:space="preserve"> requi</w:t>
      </w:r>
      <w:r w:rsidRPr="00A50E4D">
        <w:rPr>
          <w:rFonts w:eastAsia="Calibri"/>
          <w:szCs w:val="20"/>
          <w:lang w:val="en-US"/>
        </w:rPr>
        <w:t xml:space="preserve">res that no one be arbitrarily </w:t>
      </w:r>
      <w:r w:rsidR="00273BFD" w:rsidRPr="00A50E4D">
        <w:rPr>
          <w:rFonts w:eastAsia="Calibri"/>
          <w:szCs w:val="20"/>
          <w:lang w:val="en-US"/>
        </w:rPr>
        <w:t>impaired</w:t>
      </w:r>
      <w:r w:rsidRPr="00A50E4D">
        <w:rPr>
          <w:rFonts w:eastAsia="Calibri"/>
          <w:szCs w:val="20"/>
          <w:lang w:val="en-US"/>
        </w:rPr>
        <w:t xml:space="preserve"> or prevented from imparting his own thoughts and, thus, repres</w:t>
      </w:r>
      <w:r w:rsidR="00273BFD" w:rsidRPr="00A50E4D">
        <w:rPr>
          <w:rFonts w:eastAsia="Calibri"/>
          <w:szCs w:val="20"/>
          <w:lang w:val="en-US"/>
        </w:rPr>
        <w:t>ents a right of each individual,</w:t>
      </w:r>
      <w:r w:rsidRPr="00A50E4D">
        <w:rPr>
          <w:rFonts w:eastAsia="Calibri"/>
          <w:szCs w:val="20"/>
          <w:lang w:val="en-US"/>
        </w:rPr>
        <w:t xml:space="preserve"> but also signifies a collective right to receive any information and to know </w:t>
      </w:r>
      <w:r w:rsidR="0071780A" w:rsidRPr="00A50E4D">
        <w:rPr>
          <w:rFonts w:eastAsia="Calibri"/>
          <w:szCs w:val="20"/>
          <w:lang w:val="en-US"/>
        </w:rPr>
        <w:t>the thoughts expressed by others.</w:t>
      </w:r>
      <w:r w:rsidR="004B053B" w:rsidRPr="00A50E4D">
        <w:rPr>
          <w:rStyle w:val="FootnoteReference"/>
          <w:rFonts w:eastAsia="Calibri"/>
          <w:sz w:val="20"/>
          <w:szCs w:val="20"/>
          <w:lang w:val="en-US"/>
        </w:rPr>
        <w:footnoteReference w:id="310"/>
      </w:r>
    </w:p>
    <w:p w14:paraId="3CBF96D0" w14:textId="77777777" w:rsidR="004B053B" w:rsidRPr="00A50E4D" w:rsidRDefault="004B053B" w:rsidP="004B053B">
      <w:pPr>
        <w:pStyle w:val="PrrafodeSentencia"/>
        <w:numPr>
          <w:ilvl w:val="0"/>
          <w:numId w:val="0"/>
        </w:numPr>
        <w:rPr>
          <w:szCs w:val="20"/>
          <w:lang w:val="en-US"/>
        </w:rPr>
      </w:pPr>
    </w:p>
    <w:p w14:paraId="1D09886D" w14:textId="6AF4E661" w:rsidR="004B053B" w:rsidRPr="00A50E4D" w:rsidRDefault="0071780A" w:rsidP="004B053B">
      <w:pPr>
        <w:pStyle w:val="PrrafodeSentencia"/>
        <w:rPr>
          <w:szCs w:val="20"/>
          <w:lang w:val="en-US"/>
        </w:rPr>
      </w:pPr>
      <w:r w:rsidRPr="00A50E4D">
        <w:rPr>
          <w:szCs w:val="20"/>
          <w:lang w:val="en-US"/>
        </w:rPr>
        <w:t>Similarly</w:t>
      </w:r>
      <w:r w:rsidR="004B053B" w:rsidRPr="00A50E4D">
        <w:rPr>
          <w:szCs w:val="20"/>
          <w:lang w:val="en-US"/>
        </w:rPr>
        <w:t xml:space="preserve">, </w:t>
      </w:r>
      <w:r w:rsidR="009808C5" w:rsidRPr="00A50E4D">
        <w:rPr>
          <w:szCs w:val="20"/>
          <w:lang w:val="en-US"/>
        </w:rPr>
        <w:t>Article</w:t>
      </w:r>
      <w:r w:rsidR="004B053B" w:rsidRPr="00A50E4D">
        <w:rPr>
          <w:szCs w:val="20"/>
          <w:lang w:val="en-US"/>
        </w:rPr>
        <w:t xml:space="preserve"> 15</w:t>
      </w:r>
      <w:r w:rsidR="009808C5" w:rsidRPr="00A50E4D">
        <w:rPr>
          <w:szCs w:val="20"/>
          <w:lang w:val="en-US"/>
        </w:rPr>
        <w:t xml:space="preserve"> of the American Convention</w:t>
      </w:r>
      <w:r w:rsidRPr="00A50E4D">
        <w:rPr>
          <w:szCs w:val="20"/>
          <w:lang w:val="en-US"/>
        </w:rPr>
        <w:t xml:space="preserve"> recognizes “[t]h</w:t>
      </w:r>
      <w:r w:rsidRPr="00A50E4D">
        <w:rPr>
          <w:spacing w:val="-3"/>
          <w:szCs w:val="20"/>
          <w:lang w:val="en-US"/>
        </w:rPr>
        <w:t>e right of peaceful assembly, without arms.</w:t>
      </w:r>
      <w:r w:rsidRPr="00A50E4D">
        <w:rPr>
          <w:szCs w:val="20"/>
          <w:lang w:val="en-US"/>
        </w:rPr>
        <w:t>” This right includes private meetings and also meetings in public places, whether they are static or involve movement.</w:t>
      </w:r>
      <w:r w:rsidR="004B053B" w:rsidRPr="00A50E4D">
        <w:rPr>
          <w:rStyle w:val="FootnoteReference"/>
          <w:rFonts w:cs="Arial"/>
          <w:color w:val="000000" w:themeColor="text1"/>
          <w:sz w:val="20"/>
          <w:szCs w:val="20"/>
          <w:lang w:val="en-US"/>
        </w:rPr>
        <w:footnoteReference w:id="311"/>
      </w:r>
      <w:r w:rsidR="004B053B" w:rsidRPr="00A50E4D">
        <w:rPr>
          <w:szCs w:val="20"/>
          <w:lang w:val="en-US"/>
        </w:rPr>
        <w:t xml:space="preserve"> </w:t>
      </w:r>
      <w:r w:rsidR="00BC4BE7" w:rsidRPr="00A50E4D">
        <w:rPr>
          <w:szCs w:val="20"/>
          <w:lang w:val="en-US"/>
        </w:rPr>
        <w:t xml:space="preserve">The ability to protest publicly and peacefully is one of the most </w:t>
      </w:r>
      <w:r w:rsidR="000A786A" w:rsidRPr="00A50E4D">
        <w:rPr>
          <w:szCs w:val="20"/>
          <w:lang w:val="en-US"/>
        </w:rPr>
        <w:t>accessible</w:t>
      </w:r>
      <w:r w:rsidR="00BC4BE7" w:rsidRPr="00A50E4D">
        <w:rPr>
          <w:szCs w:val="20"/>
          <w:lang w:val="en-US"/>
        </w:rPr>
        <w:t xml:space="preserve"> ways to exercise the right to </w:t>
      </w:r>
      <w:r w:rsidR="00371BB7" w:rsidRPr="00A50E4D">
        <w:rPr>
          <w:szCs w:val="20"/>
          <w:lang w:val="en-US"/>
        </w:rPr>
        <w:t>freedom of expression</w:t>
      </w:r>
      <w:r w:rsidR="004B053B" w:rsidRPr="00A50E4D">
        <w:rPr>
          <w:szCs w:val="20"/>
          <w:lang w:val="en-US"/>
        </w:rPr>
        <w:t xml:space="preserve">, </w:t>
      </w:r>
      <w:r w:rsidR="00BC4BE7" w:rsidRPr="00A50E4D">
        <w:rPr>
          <w:szCs w:val="20"/>
          <w:lang w:val="en-US"/>
        </w:rPr>
        <w:t>and can contribute to the protection of other rights.</w:t>
      </w:r>
      <w:r w:rsidR="004B053B" w:rsidRPr="00A50E4D">
        <w:rPr>
          <w:rStyle w:val="FootnoteReference"/>
          <w:rFonts w:cs="Arial"/>
          <w:color w:val="000000" w:themeColor="text1"/>
          <w:sz w:val="20"/>
          <w:szCs w:val="20"/>
          <w:lang w:val="en-US"/>
        </w:rPr>
        <w:footnoteReference w:id="312"/>
      </w:r>
      <w:r w:rsidR="004B053B" w:rsidRPr="00A50E4D">
        <w:rPr>
          <w:szCs w:val="20"/>
          <w:lang w:val="en-US"/>
        </w:rPr>
        <w:t xml:space="preserve"> </w:t>
      </w:r>
      <w:r w:rsidRPr="00A50E4D">
        <w:rPr>
          <w:szCs w:val="20"/>
          <w:lang w:val="en-US"/>
        </w:rPr>
        <w:t xml:space="preserve">Therefore, </w:t>
      </w:r>
      <w:r w:rsidR="00371BB7" w:rsidRPr="00A50E4D">
        <w:rPr>
          <w:szCs w:val="20"/>
          <w:lang w:val="en-US"/>
        </w:rPr>
        <w:t>the right of assembly</w:t>
      </w:r>
      <w:r w:rsidR="004B053B" w:rsidRPr="00A50E4D">
        <w:rPr>
          <w:szCs w:val="20"/>
          <w:lang w:val="en-US"/>
        </w:rPr>
        <w:t xml:space="preserve"> </w:t>
      </w:r>
      <w:r w:rsidRPr="00A50E4D">
        <w:rPr>
          <w:szCs w:val="20"/>
          <w:lang w:val="en-US"/>
        </w:rPr>
        <w:t>is a basic right in a democratic society and should not be interpreted restrictively.</w:t>
      </w:r>
      <w:r w:rsidR="004B053B" w:rsidRPr="00A50E4D">
        <w:rPr>
          <w:rStyle w:val="FootnoteReference"/>
          <w:rFonts w:cs="Arial"/>
          <w:color w:val="000000" w:themeColor="text1"/>
          <w:sz w:val="20"/>
          <w:szCs w:val="20"/>
          <w:lang w:val="en-US"/>
        </w:rPr>
        <w:footnoteReference w:id="313"/>
      </w:r>
      <w:r w:rsidRPr="00A50E4D">
        <w:rPr>
          <w:szCs w:val="20"/>
          <w:lang w:val="en-US"/>
        </w:rPr>
        <w:t xml:space="preserve"> In this regard, the European Court of Human Rights</w:t>
      </w:r>
      <w:r w:rsidR="004B053B" w:rsidRPr="00A50E4D">
        <w:rPr>
          <w:szCs w:val="20"/>
          <w:lang w:val="en-US"/>
        </w:rPr>
        <w:t xml:space="preserve"> </w:t>
      </w:r>
      <w:r w:rsidR="00651494" w:rsidRPr="00A50E4D">
        <w:rPr>
          <w:szCs w:val="20"/>
          <w:lang w:val="en-US"/>
        </w:rPr>
        <w:t>(</w:t>
      </w:r>
      <w:r w:rsidR="009808C5" w:rsidRPr="00A50E4D">
        <w:rPr>
          <w:szCs w:val="20"/>
          <w:lang w:val="en-US"/>
        </w:rPr>
        <w:t>hereinafter</w:t>
      </w:r>
      <w:r w:rsidRPr="00A50E4D">
        <w:rPr>
          <w:szCs w:val="20"/>
          <w:lang w:val="en-US"/>
        </w:rPr>
        <w:t xml:space="preserve"> </w:t>
      </w:r>
      <w:r w:rsidR="00651494" w:rsidRPr="00A50E4D">
        <w:rPr>
          <w:szCs w:val="20"/>
          <w:lang w:val="en-US"/>
        </w:rPr>
        <w:t>“</w:t>
      </w:r>
      <w:r w:rsidRPr="00A50E4D">
        <w:rPr>
          <w:szCs w:val="20"/>
          <w:lang w:val="en-US"/>
        </w:rPr>
        <w:t>the European Court</w:t>
      </w:r>
      <w:r w:rsidR="00651494" w:rsidRPr="00A50E4D">
        <w:rPr>
          <w:szCs w:val="20"/>
          <w:lang w:val="en-US"/>
        </w:rPr>
        <w:t>”)</w:t>
      </w:r>
      <w:r w:rsidR="004B053B" w:rsidRPr="00A50E4D">
        <w:rPr>
          <w:szCs w:val="20"/>
          <w:lang w:val="en-US"/>
        </w:rPr>
        <w:t xml:space="preserve"> ha</w:t>
      </w:r>
      <w:r w:rsidRPr="00A50E4D">
        <w:rPr>
          <w:szCs w:val="20"/>
          <w:lang w:val="en-US"/>
        </w:rPr>
        <w:t xml:space="preserve">s indicated that </w:t>
      </w:r>
      <w:r w:rsidR="00371BB7" w:rsidRPr="00A50E4D">
        <w:rPr>
          <w:szCs w:val="20"/>
          <w:lang w:val="en-US"/>
        </w:rPr>
        <w:t>the right of assembly</w:t>
      </w:r>
      <w:r w:rsidRPr="00A50E4D">
        <w:rPr>
          <w:szCs w:val="20"/>
          <w:lang w:val="en-US"/>
        </w:rPr>
        <w:t xml:space="preserve"> is of such importance that a person cannot be penalized, even by a minor disciplinary penalty, for participating</w:t>
      </w:r>
      <w:r w:rsidR="00273BFD" w:rsidRPr="00A50E4D">
        <w:rPr>
          <w:szCs w:val="20"/>
          <w:lang w:val="en-US"/>
        </w:rPr>
        <w:t xml:space="preserve"> in</w:t>
      </w:r>
      <w:r w:rsidRPr="00A50E4D">
        <w:rPr>
          <w:szCs w:val="20"/>
          <w:lang w:val="en-US"/>
        </w:rPr>
        <w:t xml:space="preserve"> “a demonstration that has not been prohibited, […] so long as the person concerned does not himself commit any reprehensible act on such occasion.”</w:t>
      </w:r>
      <w:r w:rsidR="004B053B" w:rsidRPr="00A50E4D">
        <w:rPr>
          <w:rStyle w:val="FootnoteReference"/>
          <w:rFonts w:cs="Arial"/>
          <w:color w:val="000000" w:themeColor="text1"/>
          <w:sz w:val="20"/>
          <w:szCs w:val="20"/>
          <w:lang w:val="en-US"/>
        </w:rPr>
        <w:footnoteReference w:id="314"/>
      </w:r>
    </w:p>
    <w:p w14:paraId="11C36F6E" w14:textId="77777777" w:rsidR="004B053B" w:rsidRPr="00A50E4D" w:rsidRDefault="004B053B" w:rsidP="004B053B">
      <w:pPr>
        <w:rPr>
          <w:szCs w:val="20"/>
          <w:lang w:val="en-US" w:eastAsia="es-MX"/>
        </w:rPr>
      </w:pPr>
    </w:p>
    <w:p w14:paraId="11967A6C" w14:textId="0ECAA4E4" w:rsidR="004B053B" w:rsidRPr="00A50E4D" w:rsidRDefault="004B053B" w:rsidP="005F6F35">
      <w:pPr>
        <w:pStyle w:val="PrrafodeSentencia"/>
        <w:rPr>
          <w:szCs w:val="20"/>
          <w:lang w:val="en-US"/>
        </w:rPr>
      </w:pPr>
      <w:bookmarkStart w:id="238" w:name="_Ref431585550"/>
      <w:r w:rsidRPr="00A50E4D">
        <w:rPr>
          <w:szCs w:val="20"/>
          <w:lang w:val="en-US"/>
        </w:rPr>
        <w:t>N</w:t>
      </w:r>
      <w:r w:rsidR="0071780A" w:rsidRPr="00A50E4D">
        <w:rPr>
          <w:szCs w:val="20"/>
          <w:lang w:val="en-US"/>
        </w:rPr>
        <w:t xml:space="preserve">evertheless, according to the Convention itself, the right to participate in government, </w:t>
      </w:r>
      <w:r w:rsidR="00371BB7" w:rsidRPr="00A50E4D">
        <w:rPr>
          <w:szCs w:val="20"/>
          <w:lang w:val="en-US"/>
        </w:rPr>
        <w:t>freedom of expression</w:t>
      </w:r>
      <w:r w:rsidR="009808C5" w:rsidRPr="00A50E4D">
        <w:rPr>
          <w:szCs w:val="20"/>
          <w:lang w:val="en-US"/>
        </w:rPr>
        <w:t xml:space="preserve"> and </w:t>
      </w:r>
      <w:r w:rsidR="00371BB7" w:rsidRPr="00A50E4D">
        <w:rPr>
          <w:szCs w:val="20"/>
          <w:lang w:val="en-US"/>
        </w:rPr>
        <w:t>the right of assembly</w:t>
      </w:r>
      <w:r w:rsidRPr="00A50E4D">
        <w:rPr>
          <w:szCs w:val="20"/>
          <w:lang w:val="en-US"/>
        </w:rPr>
        <w:t xml:space="preserve"> </w:t>
      </w:r>
      <w:r w:rsidR="0071780A" w:rsidRPr="00A50E4D">
        <w:rPr>
          <w:szCs w:val="20"/>
          <w:lang w:val="en-US"/>
        </w:rPr>
        <w:t xml:space="preserve">are not absolute rights and may be subject to restrictions. This Court has </w:t>
      </w:r>
      <w:r w:rsidR="000A786A" w:rsidRPr="00A50E4D">
        <w:rPr>
          <w:szCs w:val="20"/>
          <w:lang w:val="en-US"/>
        </w:rPr>
        <w:t>established</w:t>
      </w:r>
      <w:r w:rsidR="0071780A" w:rsidRPr="00A50E4D">
        <w:rPr>
          <w:szCs w:val="20"/>
          <w:lang w:val="en-US"/>
        </w:rPr>
        <w:t xml:space="preserve"> in its case law that a right may be restricted provided that the interference is not abusive or arbitrary. Therefore, it must be established by law, pursue a </w:t>
      </w:r>
      <w:r w:rsidR="0071780A" w:rsidRPr="00A50E4D">
        <w:rPr>
          <w:szCs w:val="20"/>
          <w:lang w:val="en-US"/>
        </w:rPr>
        <w:lastRenderedPageBreak/>
        <w:t>legitimate purpose, and comply with the requirements of suitability, necessity and proportionality.</w:t>
      </w:r>
      <w:bookmarkEnd w:id="238"/>
      <w:r w:rsidR="005F6F35" w:rsidRPr="00A50E4D">
        <w:rPr>
          <w:rStyle w:val="FootnoteReference"/>
          <w:sz w:val="20"/>
          <w:szCs w:val="20"/>
          <w:lang w:val="en-US"/>
        </w:rPr>
        <w:footnoteReference w:id="315"/>
      </w:r>
    </w:p>
    <w:p w14:paraId="54E34232" w14:textId="77777777" w:rsidR="004B053B" w:rsidRPr="00A50E4D" w:rsidRDefault="004B053B" w:rsidP="004B053B">
      <w:pPr>
        <w:pStyle w:val="PrrafodeSentencia"/>
        <w:numPr>
          <w:ilvl w:val="0"/>
          <w:numId w:val="0"/>
        </w:numPr>
        <w:rPr>
          <w:szCs w:val="20"/>
          <w:lang w:val="en-US"/>
        </w:rPr>
      </w:pPr>
    </w:p>
    <w:p w14:paraId="53D22B5B" w14:textId="4E2CDB51" w:rsidR="00010A16" w:rsidRPr="00A50E4D" w:rsidRDefault="00273BFD" w:rsidP="00CB360D">
      <w:pPr>
        <w:pStyle w:val="PrrafodeSentencia"/>
        <w:rPr>
          <w:szCs w:val="20"/>
          <w:lang w:val="en-US"/>
        </w:rPr>
      </w:pPr>
      <w:r w:rsidRPr="00A50E4D">
        <w:rPr>
          <w:szCs w:val="20"/>
          <w:lang w:val="en-US"/>
        </w:rPr>
        <w:t>Previously the Court has never</w:t>
      </w:r>
      <w:r w:rsidR="00CB360D" w:rsidRPr="00A50E4D">
        <w:rPr>
          <w:szCs w:val="20"/>
          <w:lang w:val="en-US"/>
        </w:rPr>
        <w:t xml:space="preserve"> ruled on the right to take part in government, the </w:t>
      </w:r>
      <w:r w:rsidR="00371BB7" w:rsidRPr="00A50E4D">
        <w:rPr>
          <w:szCs w:val="20"/>
          <w:lang w:val="en-US"/>
        </w:rPr>
        <w:t>freedom of expression</w:t>
      </w:r>
      <w:r w:rsidR="00CB360D" w:rsidRPr="00A50E4D">
        <w:rPr>
          <w:szCs w:val="20"/>
          <w:lang w:val="en-US"/>
        </w:rPr>
        <w:t xml:space="preserve"> and the</w:t>
      </w:r>
      <w:r w:rsidR="00371BB7" w:rsidRPr="00A50E4D">
        <w:rPr>
          <w:szCs w:val="20"/>
          <w:lang w:val="en-US"/>
        </w:rPr>
        <w:t xml:space="preserve"> right of assembly</w:t>
      </w:r>
      <w:r w:rsidR="004B053B" w:rsidRPr="00A50E4D">
        <w:rPr>
          <w:szCs w:val="20"/>
          <w:lang w:val="en-US"/>
        </w:rPr>
        <w:t xml:space="preserve"> </w:t>
      </w:r>
      <w:r w:rsidR="00CB360D" w:rsidRPr="00A50E4D">
        <w:rPr>
          <w:szCs w:val="20"/>
          <w:lang w:val="en-US"/>
        </w:rPr>
        <w:t xml:space="preserve">of individuals who exercise judicial functions, as in this case. In this regard, it is important to underline that </w:t>
      </w:r>
      <w:r w:rsidR="009808C5" w:rsidRPr="00A50E4D">
        <w:rPr>
          <w:szCs w:val="20"/>
          <w:lang w:val="en-US"/>
        </w:rPr>
        <w:t>the American Convention</w:t>
      </w:r>
      <w:r w:rsidR="004B053B" w:rsidRPr="00A50E4D">
        <w:rPr>
          <w:rFonts w:eastAsia="Times New Roman"/>
          <w:szCs w:val="20"/>
          <w:lang w:val="en-US"/>
        </w:rPr>
        <w:t xml:space="preserve"> g</w:t>
      </w:r>
      <w:r w:rsidR="00CB360D" w:rsidRPr="00A50E4D">
        <w:rPr>
          <w:rFonts w:eastAsia="Times New Roman"/>
          <w:szCs w:val="20"/>
          <w:lang w:val="en-US"/>
        </w:rPr>
        <w:t>uarantees these rights to everyone, irrespective of any other consideration, so that the Convention cannot be considered or restricted for a specific profession or group of persons.</w:t>
      </w:r>
      <w:r w:rsidR="004B053B" w:rsidRPr="00A50E4D">
        <w:rPr>
          <w:rStyle w:val="FootnoteReference"/>
          <w:sz w:val="20"/>
          <w:szCs w:val="20"/>
          <w:lang w:val="en-US"/>
        </w:rPr>
        <w:footnoteReference w:id="316"/>
      </w:r>
      <w:r w:rsidR="004B053B" w:rsidRPr="00A50E4D">
        <w:rPr>
          <w:b/>
          <w:szCs w:val="20"/>
          <w:lang w:val="en-US"/>
        </w:rPr>
        <w:t xml:space="preserve"> </w:t>
      </w:r>
      <w:r w:rsidR="00CB360D" w:rsidRPr="00A50E4D">
        <w:rPr>
          <w:szCs w:val="20"/>
          <w:lang w:val="en-US"/>
        </w:rPr>
        <w:t>However, as indicated above, these</w:t>
      </w:r>
      <w:r w:rsidRPr="00A50E4D">
        <w:rPr>
          <w:szCs w:val="20"/>
          <w:lang w:val="en-US"/>
        </w:rPr>
        <w:t xml:space="preserve"> rights are not absolute, thus </w:t>
      </w:r>
      <w:r w:rsidR="00CB360D" w:rsidRPr="00A50E4D">
        <w:rPr>
          <w:szCs w:val="20"/>
          <w:lang w:val="en-US"/>
        </w:rPr>
        <w:t>they may be subject to restrictions that are compatible with</w:t>
      </w:r>
      <w:r w:rsidR="004B053B" w:rsidRPr="00A50E4D">
        <w:rPr>
          <w:szCs w:val="20"/>
          <w:lang w:val="en-US"/>
        </w:rPr>
        <w:t xml:space="preserve"> </w:t>
      </w:r>
      <w:r w:rsidR="009808C5" w:rsidRPr="00A50E4D">
        <w:rPr>
          <w:szCs w:val="20"/>
          <w:lang w:val="en-US"/>
        </w:rPr>
        <w:t>the Convention</w:t>
      </w:r>
      <w:r w:rsidR="004B053B" w:rsidRPr="00A50E4D">
        <w:rPr>
          <w:szCs w:val="20"/>
          <w:lang w:val="en-US"/>
        </w:rPr>
        <w:t xml:space="preserve"> (</w:t>
      </w:r>
      <w:r w:rsidR="004B053B" w:rsidRPr="00A50E4D">
        <w:rPr>
          <w:i/>
          <w:szCs w:val="20"/>
          <w:lang w:val="en-US"/>
        </w:rPr>
        <w:t xml:space="preserve">supra </w:t>
      </w:r>
      <w:r w:rsidR="00AD5EE7" w:rsidRPr="00A50E4D">
        <w:rPr>
          <w:szCs w:val="20"/>
          <w:lang w:val="en-US"/>
        </w:rPr>
        <w:t>para.</w:t>
      </w:r>
      <w:r w:rsidR="004B053B" w:rsidRPr="00A50E4D">
        <w:rPr>
          <w:szCs w:val="20"/>
          <w:lang w:val="en-US"/>
        </w:rPr>
        <w:t xml:space="preserve"> </w:t>
      </w:r>
      <w:r w:rsidR="000A3933" w:rsidRPr="00914F55">
        <w:rPr>
          <w:szCs w:val="20"/>
          <w:lang w:val="en-US"/>
        </w:rPr>
        <w:fldChar w:fldCharType="begin"/>
      </w:r>
      <w:r w:rsidR="000A3933" w:rsidRPr="00A50E4D">
        <w:rPr>
          <w:szCs w:val="20"/>
          <w:lang w:val="en-US"/>
        </w:rPr>
        <w:instrText xml:space="preserve"> REF _Ref431585550 \r \h </w:instrText>
      </w:r>
      <w:r w:rsidR="003C6A5C" w:rsidRPr="00A50E4D">
        <w:rPr>
          <w:szCs w:val="20"/>
          <w:lang w:val="en-US"/>
        </w:rPr>
        <w:instrText xml:space="preserve"> \* MERGEFORMAT </w:instrText>
      </w:r>
      <w:r w:rsidR="000A3933" w:rsidRPr="00914F55">
        <w:rPr>
          <w:szCs w:val="20"/>
          <w:lang w:val="en-US"/>
        </w:rPr>
      </w:r>
      <w:r w:rsidR="000A3933" w:rsidRPr="00914F55">
        <w:rPr>
          <w:szCs w:val="20"/>
          <w:lang w:val="en-US"/>
        </w:rPr>
        <w:fldChar w:fldCharType="separate"/>
      </w:r>
      <w:r w:rsidR="00547588">
        <w:rPr>
          <w:szCs w:val="20"/>
          <w:lang w:val="en-US"/>
        </w:rPr>
        <w:t>168</w:t>
      </w:r>
      <w:r w:rsidR="000A3933" w:rsidRPr="00914F55">
        <w:rPr>
          <w:szCs w:val="20"/>
          <w:lang w:val="en-US"/>
        </w:rPr>
        <w:fldChar w:fldCharType="end"/>
      </w:r>
      <w:r w:rsidR="004B053B" w:rsidRPr="00A50E4D">
        <w:rPr>
          <w:szCs w:val="20"/>
          <w:lang w:val="en-US"/>
        </w:rPr>
        <w:t xml:space="preserve">). </w:t>
      </w:r>
      <w:r w:rsidR="00CB360D" w:rsidRPr="00A50E4D">
        <w:rPr>
          <w:szCs w:val="20"/>
          <w:lang w:val="en-US"/>
        </w:rPr>
        <w:t xml:space="preserve">Owing to their functions in the </w:t>
      </w:r>
      <w:r w:rsidR="006A228E" w:rsidRPr="00A50E4D">
        <w:rPr>
          <w:szCs w:val="20"/>
          <w:lang w:val="en-US"/>
        </w:rPr>
        <w:t>administration of justice</w:t>
      </w:r>
      <w:r w:rsidR="004B053B" w:rsidRPr="00A50E4D">
        <w:rPr>
          <w:szCs w:val="20"/>
          <w:lang w:val="en-US"/>
        </w:rPr>
        <w:t xml:space="preserve">, </w:t>
      </w:r>
      <w:r w:rsidR="00CB360D" w:rsidRPr="00A50E4D">
        <w:rPr>
          <w:szCs w:val="20"/>
          <w:lang w:val="en-US"/>
        </w:rPr>
        <w:t>under normal conditions of the rule of law, judges may be subject to different restrictions, and in different ways, that would not affect other individuals, including other public officials</w:t>
      </w:r>
      <w:r w:rsidR="00010A16" w:rsidRPr="00A50E4D">
        <w:rPr>
          <w:szCs w:val="20"/>
          <w:lang w:val="en-US"/>
        </w:rPr>
        <w:t>.</w:t>
      </w:r>
    </w:p>
    <w:p w14:paraId="287E0A24" w14:textId="77777777" w:rsidR="00010A16" w:rsidRPr="00A50E4D" w:rsidRDefault="00010A16" w:rsidP="00010A16">
      <w:pPr>
        <w:rPr>
          <w:lang w:val="en-US" w:eastAsia="es-MX"/>
        </w:rPr>
      </w:pPr>
    </w:p>
    <w:p w14:paraId="4B75D7A7" w14:textId="0F37E081" w:rsidR="004B053B" w:rsidRPr="00A50E4D" w:rsidRDefault="00CB360D" w:rsidP="00CB360D">
      <w:pPr>
        <w:pStyle w:val="PrrafodeSentencia"/>
        <w:rPr>
          <w:szCs w:val="20"/>
          <w:lang w:val="en-US"/>
        </w:rPr>
      </w:pPr>
      <w:r w:rsidRPr="00A50E4D">
        <w:rPr>
          <w:rFonts w:cs="Tahoma"/>
          <w:szCs w:val="20"/>
          <w:lang w:val="en-US"/>
        </w:rPr>
        <w:t>The United Nations Basic Principles on the Independence of the Judiciary</w:t>
      </w:r>
      <w:r w:rsidR="004B053B" w:rsidRPr="00A50E4D">
        <w:rPr>
          <w:rFonts w:cs="Tahoma"/>
          <w:szCs w:val="20"/>
          <w:lang w:val="en-US"/>
        </w:rPr>
        <w:t xml:space="preserve"> </w:t>
      </w:r>
      <w:r w:rsidR="00775E59" w:rsidRPr="00A50E4D">
        <w:rPr>
          <w:szCs w:val="20"/>
          <w:lang w:val="en-US"/>
        </w:rPr>
        <w:t>(</w:t>
      </w:r>
      <w:r w:rsidR="009808C5" w:rsidRPr="00A50E4D">
        <w:rPr>
          <w:szCs w:val="20"/>
          <w:lang w:val="en-US"/>
        </w:rPr>
        <w:t>hereinafter</w:t>
      </w:r>
      <w:r w:rsidR="00775E59" w:rsidRPr="00A50E4D">
        <w:rPr>
          <w:szCs w:val="20"/>
          <w:lang w:val="en-US"/>
        </w:rPr>
        <w:t xml:space="preserve"> “</w:t>
      </w:r>
      <w:r w:rsidRPr="00A50E4D">
        <w:rPr>
          <w:szCs w:val="20"/>
          <w:lang w:val="en-US"/>
        </w:rPr>
        <w:t>the United Nations Basic Principles</w:t>
      </w:r>
      <w:r w:rsidR="00775E59" w:rsidRPr="00A50E4D">
        <w:rPr>
          <w:szCs w:val="20"/>
          <w:lang w:val="en-US"/>
        </w:rPr>
        <w:t xml:space="preserve">”) </w:t>
      </w:r>
      <w:r w:rsidRPr="00A50E4D">
        <w:rPr>
          <w:rFonts w:cs="Tahoma"/>
          <w:szCs w:val="20"/>
          <w:lang w:val="en-US"/>
        </w:rPr>
        <w:t>recognize that</w:t>
      </w:r>
      <w:r w:rsidR="004B053B" w:rsidRPr="00A50E4D">
        <w:rPr>
          <w:rFonts w:cs="Tahoma"/>
          <w:b/>
          <w:szCs w:val="20"/>
          <w:lang w:val="en-US"/>
        </w:rPr>
        <w:t xml:space="preserve"> </w:t>
      </w:r>
      <w:r w:rsidR="004B053B" w:rsidRPr="00A50E4D">
        <w:rPr>
          <w:rFonts w:cs="Tahoma"/>
          <w:szCs w:val="20"/>
          <w:lang w:val="en-US"/>
        </w:rPr>
        <w:t>“</w:t>
      </w:r>
      <w:r w:rsidRPr="00A50E4D">
        <w:rPr>
          <w:lang w:val="en-US"/>
        </w:rPr>
        <w:t xml:space="preserve">members of the judiciary are like other citizens entitled to freedom of expression, belief, association and assembly; provided, however, that in exercising </w:t>
      </w:r>
      <w:r w:rsidRPr="00A50E4D">
        <w:rPr>
          <w:szCs w:val="20"/>
          <w:lang w:val="en-US"/>
        </w:rPr>
        <w:t>such rights, judges shall always conduct themselves in such a manner as to preserve the dignity of their office and the impartiality and independence of the judiciary.</w:t>
      </w:r>
      <w:r w:rsidR="004B053B" w:rsidRPr="00A50E4D">
        <w:rPr>
          <w:szCs w:val="20"/>
          <w:lang w:val="en-US"/>
        </w:rPr>
        <w:t>”</w:t>
      </w:r>
      <w:r w:rsidR="004B053B" w:rsidRPr="00A50E4D">
        <w:rPr>
          <w:rStyle w:val="FootnoteReference"/>
          <w:color w:val="000000"/>
          <w:sz w:val="20"/>
          <w:szCs w:val="20"/>
          <w:lang w:val="en-US"/>
        </w:rPr>
        <w:footnoteReference w:id="317"/>
      </w:r>
      <w:r w:rsidR="004B053B" w:rsidRPr="00A50E4D">
        <w:rPr>
          <w:szCs w:val="20"/>
          <w:lang w:val="en-US"/>
        </w:rPr>
        <w:t xml:space="preserve"> </w:t>
      </w:r>
      <w:r w:rsidRPr="00A50E4D">
        <w:rPr>
          <w:szCs w:val="20"/>
          <w:lang w:val="en-US"/>
        </w:rPr>
        <w:t>In addition, the Bangalore Principle</w:t>
      </w:r>
      <w:r w:rsidR="004B053B" w:rsidRPr="00A50E4D">
        <w:rPr>
          <w:szCs w:val="20"/>
          <w:lang w:val="en-US"/>
        </w:rPr>
        <w:t xml:space="preserve">s </w:t>
      </w:r>
      <w:r w:rsidR="00273BFD" w:rsidRPr="00A50E4D">
        <w:rPr>
          <w:szCs w:val="20"/>
          <w:lang w:val="en-US"/>
        </w:rPr>
        <w:t>of Judicial Conduct establish</w:t>
      </w:r>
      <w:r w:rsidRPr="00A50E4D">
        <w:rPr>
          <w:szCs w:val="20"/>
          <w:lang w:val="en-US"/>
        </w:rPr>
        <w:t xml:space="preserve"> that: “</w:t>
      </w:r>
      <w:r w:rsidRPr="00A50E4D">
        <w:rPr>
          <w:rFonts w:eastAsia="Times New Roman"/>
          <w:szCs w:val="20"/>
          <w:lang w:val="en-US"/>
        </w:rPr>
        <w:t>[a] judge, like any other citizen, is entitled to freedom of expression, belief, association and assembly, but in exercising such rights, a judge shall always conduct himself or herself in such a manner as to preserve the dignity of the judicial office and the impartiality and independence of the judiciary.</w:t>
      </w:r>
      <w:r w:rsidR="004B053B" w:rsidRPr="00A50E4D">
        <w:rPr>
          <w:szCs w:val="20"/>
          <w:lang w:val="en-US"/>
        </w:rPr>
        <w:t>”</w:t>
      </w:r>
      <w:r w:rsidR="004B053B" w:rsidRPr="00A50E4D">
        <w:rPr>
          <w:rStyle w:val="FootnoteReference"/>
          <w:color w:val="000000"/>
          <w:sz w:val="20"/>
          <w:szCs w:val="20"/>
          <w:lang w:val="en-US"/>
        </w:rPr>
        <w:footnoteReference w:id="318"/>
      </w:r>
      <w:r w:rsidR="004B053B" w:rsidRPr="00A50E4D">
        <w:rPr>
          <w:szCs w:val="20"/>
          <w:lang w:val="en-US"/>
        </w:rPr>
        <w:t xml:space="preserve"> </w:t>
      </w:r>
      <w:r w:rsidRPr="00A50E4D">
        <w:rPr>
          <w:szCs w:val="20"/>
          <w:lang w:val="en-US"/>
        </w:rPr>
        <w:t xml:space="preserve">Similarly, </w:t>
      </w:r>
      <w:r w:rsidR="0071780A" w:rsidRPr="00A50E4D">
        <w:rPr>
          <w:szCs w:val="20"/>
          <w:lang w:val="en-US"/>
        </w:rPr>
        <w:t>the European Court</w:t>
      </w:r>
      <w:r w:rsidR="00D10FAC" w:rsidRPr="00A50E4D">
        <w:rPr>
          <w:szCs w:val="20"/>
          <w:lang w:val="en-US"/>
        </w:rPr>
        <w:t xml:space="preserve"> </w:t>
      </w:r>
      <w:r w:rsidR="004B053B" w:rsidRPr="00A50E4D">
        <w:rPr>
          <w:szCs w:val="20"/>
          <w:lang w:val="en-US"/>
        </w:rPr>
        <w:t>ha</w:t>
      </w:r>
      <w:r w:rsidRPr="00A50E4D">
        <w:rPr>
          <w:szCs w:val="20"/>
          <w:lang w:val="en-US"/>
        </w:rPr>
        <w:t xml:space="preserve">s indicated that certain restrictions to </w:t>
      </w:r>
      <w:r w:rsidR="00371BB7" w:rsidRPr="00A50E4D">
        <w:rPr>
          <w:szCs w:val="20"/>
          <w:lang w:val="en-US"/>
        </w:rPr>
        <w:t>freedom of expression</w:t>
      </w:r>
      <w:r w:rsidR="004B053B" w:rsidRPr="00A50E4D">
        <w:rPr>
          <w:szCs w:val="20"/>
          <w:lang w:val="en-US"/>
        </w:rPr>
        <w:t xml:space="preserve"> </w:t>
      </w:r>
      <w:r w:rsidRPr="00A50E4D">
        <w:rPr>
          <w:szCs w:val="20"/>
          <w:lang w:val="en-US"/>
        </w:rPr>
        <w:t xml:space="preserve">of judges are necessary </w:t>
      </w:r>
      <w:r w:rsidR="003D1D31" w:rsidRPr="00A50E4D">
        <w:rPr>
          <w:szCs w:val="20"/>
          <w:lang w:val="en-US"/>
        </w:rPr>
        <w:t>“</w:t>
      </w:r>
      <w:r w:rsidRPr="00A50E4D">
        <w:rPr>
          <w:szCs w:val="20"/>
          <w:lang w:val="en-US"/>
        </w:rPr>
        <w:t xml:space="preserve">in all cases where the authority and impartiality of the Judiciary </w:t>
      </w:r>
      <w:r w:rsidR="003D1D31" w:rsidRPr="00A50E4D">
        <w:rPr>
          <w:szCs w:val="20"/>
          <w:lang w:val="en-US"/>
        </w:rPr>
        <w:t>are likely to be called into question</w:t>
      </w:r>
      <w:r w:rsidRPr="00A50E4D">
        <w:rPr>
          <w:szCs w:val="20"/>
          <w:lang w:val="en-US"/>
        </w:rPr>
        <w:t>.</w:t>
      </w:r>
      <w:r w:rsidR="003D1D31" w:rsidRPr="00A50E4D">
        <w:rPr>
          <w:szCs w:val="20"/>
          <w:lang w:val="en-US"/>
        </w:rPr>
        <w:t>”</w:t>
      </w:r>
      <w:r w:rsidR="004B053B" w:rsidRPr="00A50E4D">
        <w:rPr>
          <w:rStyle w:val="FootnoteReference"/>
          <w:color w:val="000000"/>
          <w:sz w:val="20"/>
          <w:szCs w:val="20"/>
          <w:lang w:val="en-US"/>
        </w:rPr>
        <w:footnoteReference w:id="319"/>
      </w:r>
    </w:p>
    <w:p w14:paraId="02DEFFB5" w14:textId="77777777" w:rsidR="004B053B" w:rsidRPr="00A50E4D" w:rsidRDefault="004B053B" w:rsidP="004B053B">
      <w:pPr>
        <w:rPr>
          <w:szCs w:val="20"/>
          <w:lang w:val="en-US" w:eastAsia="es-MX"/>
        </w:rPr>
      </w:pPr>
    </w:p>
    <w:p w14:paraId="0657D89B" w14:textId="1BE131A3" w:rsidR="00010A16" w:rsidRPr="00A50E4D" w:rsidRDefault="003D1D31" w:rsidP="00010A16">
      <w:pPr>
        <w:pStyle w:val="PrrafodeSentencia"/>
        <w:rPr>
          <w:szCs w:val="20"/>
          <w:lang w:val="en-US"/>
        </w:rPr>
      </w:pPr>
      <w:r w:rsidRPr="00A50E4D">
        <w:rPr>
          <w:szCs w:val="20"/>
          <w:lang w:val="en-US"/>
        </w:rPr>
        <w:t xml:space="preserve">The general purpose of guaranteeing independence and impartiality is, in principle, a legitimate reason for restricting certain rights of judges. </w:t>
      </w:r>
      <w:r w:rsidR="009808C5" w:rsidRPr="00A50E4D">
        <w:rPr>
          <w:szCs w:val="20"/>
          <w:lang w:val="en-US"/>
        </w:rPr>
        <w:t>Article</w:t>
      </w:r>
      <w:r w:rsidR="004B053B" w:rsidRPr="00A50E4D">
        <w:rPr>
          <w:szCs w:val="20"/>
          <w:lang w:val="en-US"/>
        </w:rPr>
        <w:t xml:space="preserve"> 8</w:t>
      </w:r>
      <w:r w:rsidRPr="00A50E4D">
        <w:rPr>
          <w:szCs w:val="20"/>
          <w:lang w:val="en-US"/>
        </w:rPr>
        <w:t>(1)</w:t>
      </w:r>
      <w:r w:rsidR="009808C5" w:rsidRPr="00A50E4D">
        <w:rPr>
          <w:szCs w:val="20"/>
          <w:lang w:val="en-US"/>
        </w:rPr>
        <w:t xml:space="preserve"> of the American Convention</w:t>
      </w:r>
      <w:r w:rsidRPr="00A50E4D">
        <w:rPr>
          <w:szCs w:val="20"/>
          <w:lang w:val="en-US"/>
        </w:rPr>
        <w:t xml:space="preserve"> establishes that “</w:t>
      </w:r>
      <w:r w:rsidRPr="00A50E4D">
        <w:rPr>
          <w:spacing w:val="-3"/>
          <w:szCs w:val="20"/>
          <w:lang w:val="en-US"/>
        </w:rPr>
        <w:t>[e]very person has the right to a hearing, with due guarantees and within a reasonable time, by a competent, independent, and impartial tribunal.</w:t>
      </w:r>
      <w:r w:rsidRPr="00A50E4D">
        <w:rPr>
          <w:szCs w:val="20"/>
          <w:lang w:val="en-US"/>
        </w:rPr>
        <w:t xml:space="preserve">” Thus, </w:t>
      </w:r>
      <w:r w:rsidR="009808C5" w:rsidRPr="00A50E4D">
        <w:rPr>
          <w:szCs w:val="20"/>
          <w:lang w:val="en-US"/>
        </w:rPr>
        <w:t>the State</w:t>
      </w:r>
      <w:r w:rsidR="004B053B" w:rsidRPr="00A50E4D">
        <w:rPr>
          <w:szCs w:val="20"/>
          <w:lang w:val="en-US"/>
        </w:rPr>
        <w:t xml:space="preserve"> </w:t>
      </w:r>
      <w:r w:rsidRPr="00A50E4D">
        <w:rPr>
          <w:szCs w:val="20"/>
          <w:lang w:val="en-US"/>
        </w:rPr>
        <w:t xml:space="preserve">is obliged to ensure that its judges and courts comply with these precepts. Therefore, the </w:t>
      </w:r>
      <w:r w:rsidR="000A786A" w:rsidRPr="00A50E4D">
        <w:rPr>
          <w:szCs w:val="20"/>
          <w:lang w:val="en-US"/>
        </w:rPr>
        <w:t>restriction</w:t>
      </w:r>
      <w:r w:rsidRPr="00A50E4D">
        <w:rPr>
          <w:szCs w:val="20"/>
          <w:lang w:val="en-US"/>
        </w:rPr>
        <w:t xml:space="preserve"> of certain conduct by judges in order to protect independence and impartiality in the imparting of justice is in keeping with the American Convention</w:t>
      </w:r>
      <w:r w:rsidR="004B053B" w:rsidRPr="00A50E4D">
        <w:rPr>
          <w:szCs w:val="20"/>
          <w:lang w:val="en-US"/>
        </w:rPr>
        <w:t xml:space="preserve">, </w:t>
      </w:r>
      <w:r w:rsidRPr="00A50E4D">
        <w:rPr>
          <w:szCs w:val="20"/>
          <w:lang w:val="en-US"/>
        </w:rPr>
        <w:t>as a “right or freedom of others.”</w:t>
      </w:r>
    </w:p>
    <w:p w14:paraId="1783D9F6" w14:textId="77777777" w:rsidR="00010A16" w:rsidRPr="00A50E4D" w:rsidRDefault="00010A16" w:rsidP="00010A16">
      <w:pPr>
        <w:rPr>
          <w:lang w:val="en-US" w:eastAsia="es-MX"/>
        </w:rPr>
      </w:pPr>
    </w:p>
    <w:p w14:paraId="35DD5780" w14:textId="5D2ECDAE" w:rsidR="004B053B" w:rsidRPr="00A50E4D" w:rsidRDefault="00010A16" w:rsidP="004B053B">
      <w:pPr>
        <w:pStyle w:val="PrrafodeSentencia"/>
        <w:rPr>
          <w:rFonts w:cs="Tahoma"/>
          <w:b/>
          <w:strike/>
          <w:szCs w:val="20"/>
          <w:lang w:val="en-US"/>
        </w:rPr>
      </w:pPr>
      <w:r w:rsidRPr="00A50E4D">
        <w:rPr>
          <w:rFonts w:cs="Tahoma"/>
          <w:szCs w:val="20"/>
          <w:lang w:val="en-US"/>
        </w:rPr>
        <w:lastRenderedPageBreak/>
        <w:t>In this regard, a regional consensus exists concerning the need to restrict the participation of judge</w:t>
      </w:r>
      <w:r w:rsidR="000A786A" w:rsidRPr="00A50E4D">
        <w:rPr>
          <w:rFonts w:cs="Tahoma"/>
          <w:szCs w:val="20"/>
          <w:lang w:val="en-US"/>
        </w:rPr>
        <w:t>s in party political activities;</w:t>
      </w:r>
      <w:r w:rsidR="004B053B" w:rsidRPr="00A50E4D">
        <w:rPr>
          <w:rStyle w:val="FootnoteReference"/>
          <w:color w:val="000000"/>
          <w:sz w:val="20"/>
          <w:szCs w:val="20"/>
          <w:lang w:val="en-US"/>
        </w:rPr>
        <w:footnoteReference w:id="320"/>
      </w:r>
      <w:r w:rsidR="00273BFD" w:rsidRPr="00A50E4D">
        <w:rPr>
          <w:rFonts w:cs="Tahoma"/>
          <w:szCs w:val="20"/>
          <w:lang w:val="en-US"/>
        </w:rPr>
        <w:t xml:space="preserve"> </w:t>
      </w:r>
      <w:r w:rsidR="000A786A" w:rsidRPr="00A50E4D">
        <w:rPr>
          <w:szCs w:val="20"/>
          <w:lang w:val="en-US"/>
        </w:rPr>
        <w:t xml:space="preserve">however, in some States </w:t>
      </w:r>
      <w:r w:rsidRPr="00A50E4D">
        <w:rPr>
          <w:szCs w:val="20"/>
          <w:lang w:val="en-US"/>
        </w:rPr>
        <w:t>any type of participation in politics is prohibited</w:t>
      </w:r>
      <w:r w:rsidR="000A786A" w:rsidRPr="00A50E4D">
        <w:rPr>
          <w:szCs w:val="20"/>
          <w:lang w:val="en-US"/>
        </w:rPr>
        <w:t xml:space="preserve"> with the exception of</w:t>
      </w:r>
      <w:r w:rsidRPr="00A50E4D">
        <w:rPr>
          <w:szCs w:val="20"/>
          <w:lang w:val="en-US"/>
        </w:rPr>
        <w:t xml:space="preserve"> voting in the elections.</w:t>
      </w:r>
      <w:r w:rsidR="004B053B" w:rsidRPr="00A50E4D">
        <w:rPr>
          <w:rStyle w:val="FootnoteReference"/>
          <w:bCs/>
          <w:sz w:val="20"/>
          <w:szCs w:val="20"/>
          <w:lang w:val="en-US"/>
        </w:rPr>
        <w:footnoteReference w:id="321"/>
      </w:r>
      <w:r w:rsidRPr="00A50E4D">
        <w:rPr>
          <w:szCs w:val="20"/>
          <w:lang w:val="en-US"/>
        </w:rPr>
        <w:t xml:space="preserve"> </w:t>
      </w:r>
      <w:r w:rsidR="00273BFD" w:rsidRPr="00A50E4D">
        <w:rPr>
          <w:szCs w:val="20"/>
          <w:lang w:val="en-US"/>
        </w:rPr>
        <w:t>Nevertheless</w:t>
      </w:r>
      <w:r w:rsidRPr="00A50E4D">
        <w:rPr>
          <w:szCs w:val="20"/>
          <w:lang w:val="en-US"/>
        </w:rPr>
        <w:t>, the power of the State to r</w:t>
      </w:r>
      <w:r w:rsidR="00622CE4" w:rsidRPr="00A50E4D">
        <w:rPr>
          <w:szCs w:val="20"/>
          <w:lang w:val="en-US"/>
        </w:rPr>
        <w:t>e</w:t>
      </w:r>
      <w:r w:rsidRPr="00A50E4D">
        <w:rPr>
          <w:szCs w:val="20"/>
          <w:lang w:val="en-US"/>
        </w:rPr>
        <w:t>gulate or restrict these rights is not discretionary and any limitation of the rights recognized in the Convention must be interpreted restrictively.</w:t>
      </w:r>
      <w:r w:rsidR="004B053B" w:rsidRPr="00A50E4D">
        <w:rPr>
          <w:rStyle w:val="FootnoteReference"/>
          <w:sz w:val="20"/>
          <w:szCs w:val="20"/>
          <w:lang w:val="en-US"/>
        </w:rPr>
        <w:footnoteReference w:id="322"/>
      </w:r>
      <w:r w:rsidRPr="00A50E4D">
        <w:rPr>
          <w:szCs w:val="20"/>
          <w:lang w:val="en-US"/>
        </w:rPr>
        <w:t xml:space="preserve"> The </w:t>
      </w:r>
      <w:r w:rsidR="00273BFD" w:rsidRPr="00A50E4D">
        <w:rPr>
          <w:szCs w:val="20"/>
          <w:lang w:val="en-US"/>
        </w:rPr>
        <w:t>prohibition</w:t>
      </w:r>
      <w:r w:rsidRPr="00A50E4D">
        <w:rPr>
          <w:szCs w:val="20"/>
          <w:lang w:val="en-US"/>
        </w:rPr>
        <w:t xml:space="preserve"> of judges from participating </w:t>
      </w:r>
      <w:r w:rsidR="00273BFD" w:rsidRPr="00A50E4D">
        <w:rPr>
          <w:szCs w:val="20"/>
          <w:lang w:val="en-US"/>
        </w:rPr>
        <w:t xml:space="preserve">in </w:t>
      </w:r>
      <w:r w:rsidRPr="00A50E4D">
        <w:rPr>
          <w:szCs w:val="20"/>
          <w:lang w:val="en-US"/>
        </w:rPr>
        <w:t>activities of a party nature should not be interpreted broadly, in a way that prevents judges from taking part in any discussion of a political nature.</w:t>
      </w:r>
      <w:r w:rsidR="004B053B" w:rsidRPr="00A50E4D">
        <w:rPr>
          <w:rStyle w:val="FootnoteReference"/>
          <w:sz w:val="20"/>
          <w:szCs w:val="20"/>
          <w:lang w:val="en-US"/>
        </w:rPr>
        <w:footnoteReference w:id="323"/>
      </w:r>
    </w:p>
    <w:p w14:paraId="077286CC" w14:textId="77777777" w:rsidR="004B053B" w:rsidRPr="00A50E4D" w:rsidRDefault="004B053B" w:rsidP="004B053B">
      <w:pPr>
        <w:rPr>
          <w:szCs w:val="20"/>
          <w:lang w:val="en-US" w:eastAsia="es-MX"/>
        </w:rPr>
      </w:pPr>
    </w:p>
    <w:p w14:paraId="4FA9E38D" w14:textId="0D43437C" w:rsidR="004B053B" w:rsidRPr="00A50E4D" w:rsidRDefault="004B053B" w:rsidP="004B053B">
      <w:pPr>
        <w:pStyle w:val="PrrafodeSentencia"/>
        <w:rPr>
          <w:rFonts w:cs="Tahoma"/>
          <w:b/>
          <w:strike/>
          <w:szCs w:val="20"/>
          <w:lang w:val="en-US"/>
        </w:rPr>
      </w:pPr>
      <w:r w:rsidRPr="00A50E4D">
        <w:rPr>
          <w:szCs w:val="20"/>
          <w:lang w:val="en-US"/>
        </w:rPr>
        <w:t xml:space="preserve"> </w:t>
      </w:r>
      <w:r w:rsidR="00622CE4" w:rsidRPr="00A50E4D">
        <w:rPr>
          <w:szCs w:val="20"/>
          <w:lang w:val="en-US"/>
        </w:rPr>
        <w:t xml:space="preserve">Thus, there may be situation in which a judge, as a citizen who is a member of society, considers that he or she has a moral </w:t>
      </w:r>
      <w:r w:rsidR="00941C44" w:rsidRPr="00A50E4D">
        <w:rPr>
          <w:szCs w:val="20"/>
          <w:lang w:val="en-US"/>
        </w:rPr>
        <w:t>duty</w:t>
      </w:r>
      <w:r w:rsidR="00622CE4" w:rsidRPr="00A50E4D">
        <w:rPr>
          <w:szCs w:val="20"/>
          <w:lang w:val="en-US"/>
        </w:rPr>
        <w:t xml:space="preserve"> to speak out.</w:t>
      </w:r>
      <w:r w:rsidRPr="00A50E4D">
        <w:rPr>
          <w:rStyle w:val="FootnoteReference"/>
          <w:sz w:val="20"/>
          <w:szCs w:val="20"/>
          <w:lang w:val="en-US"/>
        </w:rPr>
        <w:footnoteReference w:id="324"/>
      </w:r>
      <w:r w:rsidRPr="00A50E4D">
        <w:rPr>
          <w:szCs w:val="20"/>
          <w:lang w:val="en-US"/>
        </w:rPr>
        <w:t xml:space="preserve"> </w:t>
      </w:r>
      <w:r w:rsidR="00622CE4" w:rsidRPr="00A50E4D">
        <w:rPr>
          <w:szCs w:val="20"/>
          <w:lang w:val="en-US"/>
        </w:rPr>
        <w:t>In this regard, expert witness</w:t>
      </w:r>
      <w:r w:rsidRPr="00A50E4D">
        <w:rPr>
          <w:szCs w:val="20"/>
          <w:lang w:val="en-US"/>
        </w:rPr>
        <w:t xml:space="preserve"> Leandro Despouy </w:t>
      </w:r>
      <w:r w:rsidR="00622CE4" w:rsidRPr="00A50E4D">
        <w:rPr>
          <w:szCs w:val="20"/>
          <w:lang w:val="en-US"/>
        </w:rPr>
        <w:t>pointed out that it may constitute an obligation for judges to speak out “in a context in which democracy is being impaired, because they are the public officials – specifically the judicial agents – who are the guardians of the basic rights, in the face of abuses of power by other public officials or other power groups.</w:t>
      </w:r>
      <w:r w:rsidRPr="00A50E4D">
        <w:rPr>
          <w:rFonts w:eastAsiaTheme="minorHAnsi" w:cs="Arial"/>
          <w:szCs w:val="20"/>
          <w:lang w:val="en-US"/>
        </w:rPr>
        <w:t>”</w:t>
      </w:r>
      <w:r w:rsidRPr="00A50E4D">
        <w:rPr>
          <w:rStyle w:val="FootnoteReference"/>
          <w:rFonts w:eastAsiaTheme="minorHAnsi" w:cs="Arial"/>
          <w:sz w:val="20"/>
          <w:szCs w:val="20"/>
          <w:lang w:val="en-US" w:eastAsia="en-US"/>
        </w:rPr>
        <w:footnoteReference w:id="325"/>
      </w:r>
      <w:r w:rsidRPr="00A50E4D">
        <w:rPr>
          <w:iCs/>
          <w:szCs w:val="20"/>
          <w:lang w:val="en-US"/>
        </w:rPr>
        <w:t xml:space="preserve"> </w:t>
      </w:r>
      <w:r w:rsidR="00622CE4" w:rsidRPr="00A50E4D">
        <w:rPr>
          <w:iCs/>
          <w:szCs w:val="20"/>
          <w:lang w:val="en-US"/>
        </w:rPr>
        <w:t>Furthermore</w:t>
      </w:r>
      <w:r w:rsidRPr="00A50E4D">
        <w:rPr>
          <w:iCs/>
          <w:szCs w:val="20"/>
          <w:lang w:val="en-US"/>
        </w:rPr>
        <w:t xml:space="preserve">, </w:t>
      </w:r>
      <w:r w:rsidR="00622CE4" w:rsidRPr="00A50E4D">
        <w:rPr>
          <w:iCs/>
          <w:szCs w:val="20"/>
          <w:lang w:val="en-US"/>
        </w:rPr>
        <w:t>expert witness</w:t>
      </w:r>
      <w:r w:rsidRPr="00A50E4D">
        <w:rPr>
          <w:iCs/>
          <w:szCs w:val="20"/>
          <w:lang w:val="en-US"/>
        </w:rPr>
        <w:t xml:space="preserve"> Martin Federico Bö</w:t>
      </w:r>
      <w:r w:rsidR="00395A01" w:rsidRPr="00A50E4D">
        <w:rPr>
          <w:iCs/>
          <w:szCs w:val="20"/>
          <w:lang w:val="en-US"/>
        </w:rPr>
        <w:t xml:space="preserve">hmer </w:t>
      </w:r>
      <w:r w:rsidR="00622CE4" w:rsidRPr="00A50E4D">
        <w:rPr>
          <w:iCs/>
          <w:szCs w:val="20"/>
          <w:lang w:val="en-US"/>
        </w:rPr>
        <w:t xml:space="preserve">asserted that, during a </w:t>
      </w:r>
      <w:r w:rsidR="00B11ACA" w:rsidRPr="00A50E4D">
        <w:rPr>
          <w:i/>
          <w:iCs/>
          <w:szCs w:val="20"/>
          <w:lang w:val="en-US"/>
        </w:rPr>
        <w:t>coup d’état</w:t>
      </w:r>
      <w:r w:rsidR="00622CE4" w:rsidRPr="00A50E4D">
        <w:rPr>
          <w:iCs/>
          <w:szCs w:val="20"/>
          <w:lang w:val="en-US"/>
        </w:rPr>
        <w:t>,</w:t>
      </w:r>
      <w:r w:rsidRPr="00A50E4D">
        <w:rPr>
          <w:iCs/>
          <w:szCs w:val="20"/>
          <w:lang w:val="en-US"/>
        </w:rPr>
        <w:t xml:space="preserve"> </w:t>
      </w:r>
      <w:r w:rsidR="009808C5" w:rsidRPr="00A50E4D">
        <w:rPr>
          <w:iCs/>
          <w:szCs w:val="20"/>
          <w:lang w:val="en-US"/>
        </w:rPr>
        <w:t>judges</w:t>
      </w:r>
      <w:r w:rsidRPr="00A50E4D">
        <w:rPr>
          <w:iCs/>
          <w:szCs w:val="20"/>
          <w:lang w:val="en-US"/>
        </w:rPr>
        <w:t xml:space="preserve"> “</w:t>
      </w:r>
      <w:r w:rsidR="00622CE4" w:rsidRPr="00A50E4D">
        <w:rPr>
          <w:iCs/>
          <w:szCs w:val="20"/>
          <w:lang w:val="en-US"/>
        </w:rPr>
        <w:t xml:space="preserve">are obliged to support and ensure that </w:t>
      </w:r>
      <w:r w:rsidR="00622CE4" w:rsidRPr="00A50E4D">
        <w:rPr>
          <w:rFonts w:eastAsiaTheme="minorHAnsi" w:cs="Arial"/>
          <w:szCs w:val="20"/>
          <w:lang w:val="en-US"/>
        </w:rPr>
        <w:t xml:space="preserve">the population knows that they support the constitutional system.” He also emphasized that “[i]f one can call any </w:t>
      </w:r>
      <w:r w:rsidR="005835B6" w:rsidRPr="00A50E4D">
        <w:rPr>
          <w:rFonts w:eastAsiaTheme="minorHAnsi" w:cs="Arial"/>
          <w:szCs w:val="20"/>
          <w:lang w:val="en-US"/>
        </w:rPr>
        <w:t>opi</w:t>
      </w:r>
      <w:r w:rsidR="00273BFD" w:rsidRPr="00A50E4D">
        <w:rPr>
          <w:rFonts w:eastAsiaTheme="minorHAnsi" w:cs="Arial"/>
          <w:szCs w:val="20"/>
          <w:lang w:val="en-US"/>
        </w:rPr>
        <w:t>nion non-partisan, it is the opinion</w:t>
      </w:r>
      <w:r w:rsidR="00622CE4" w:rsidRPr="00A50E4D">
        <w:rPr>
          <w:rFonts w:eastAsiaTheme="minorHAnsi" w:cs="Arial"/>
          <w:szCs w:val="20"/>
          <w:lang w:val="en-US"/>
        </w:rPr>
        <w:t xml:space="preserve"> emitted by </w:t>
      </w:r>
      <w:r w:rsidR="00273BFD" w:rsidRPr="00A50E4D">
        <w:rPr>
          <w:rFonts w:eastAsiaTheme="minorHAnsi" w:cs="Arial"/>
          <w:szCs w:val="20"/>
          <w:lang w:val="en-US"/>
        </w:rPr>
        <w:t xml:space="preserve">the </w:t>
      </w:r>
      <w:r w:rsidR="00622CE4" w:rsidRPr="00A50E4D">
        <w:rPr>
          <w:rFonts w:eastAsiaTheme="minorHAnsi" w:cs="Arial"/>
          <w:szCs w:val="20"/>
          <w:lang w:val="en-US"/>
        </w:rPr>
        <w:t xml:space="preserve">citizens of a constitutional democracy when they strongly </w:t>
      </w:r>
      <w:r w:rsidR="00622CE4" w:rsidRPr="00A50E4D">
        <w:rPr>
          <w:rFonts w:eastAsiaTheme="minorHAnsi" w:cs="Arial"/>
          <w:szCs w:val="20"/>
          <w:lang w:val="en-US"/>
        </w:rPr>
        <w:lastRenderedPageBreak/>
        <w:t>assert their loyalty to this.</w:t>
      </w:r>
      <w:r w:rsidRPr="00A50E4D">
        <w:rPr>
          <w:rFonts w:eastAsiaTheme="minorHAnsi" w:cs="Arial"/>
          <w:szCs w:val="20"/>
          <w:lang w:val="en-US"/>
        </w:rPr>
        <w:t>”</w:t>
      </w:r>
      <w:r w:rsidRPr="00A50E4D">
        <w:rPr>
          <w:szCs w:val="20"/>
          <w:vertAlign w:val="superscript"/>
          <w:lang w:val="en-US"/>
        </w:rPr>
        <w:footnoteReference w:id="326"/>
      </w:r>
      <w:r w:rsidR="00622CE4" w:rsidRPr="00A50E4D">
        <w:rPr>
          <w:rFonts w:eastAsiaTheme="minorHAnsi" w:cs="Arial"/>
          <w:szCs w:val="20"/>
          <w:lang w:val="en-US"/>
        </w:rPr>
        <w:t xml:space="preserve"> Similarly, expert witness</w:t>
      </w:r>
      <w:r w:rsidRPr="00A50E4D">
        <w:rPr>
          <w:rFonts w:eastAsiaTheme="minorHAnsi" w:cs="Arial"/>
          <w:szCs w:val="20"/>
          <w:lang w:val="en-US"/>
        </w:rPr>
        <w:t xml:space="preserve"> Perfecto Andrés Ibáñez </w:t>
      </w:r>
      <w:r w:rsidR="00622CE4" w:rsidRPr="00A50E4D">
        <w:rPr>
          <w:rFonts w:eastAsiaTheme="minorHAnsi" w:cs="Arial"/>
          <w:szCs w:val="20"/>
          <w:lang w:val="en-US"/>
        </w:rPr>
        <w:t>indicated that, even for judg</w:t>
      </w:r>
      <w:r w:rsidR="005835B6" w:rsidRPr="00A50E4D">
        <w:rPr>
          <w:rFonts w:eastAsiaTheme="minorHAnsi" w:cs="Arial"/>
          <w:szCs w:val="20"/>
          <w:lang w:val="en-US"/>
        </w:rPr>
        <w:t>e</w:t>
      </w:r>
      <w:r w:rsidR="00622CE4" w:rsidRPr="00A50E4D">
        <w:rPr>
          <w:rFonts w:eastAsiaTheme="minorHAnsi" w:cs="Arial"/>
          <w:szCs w:val="20"/>
          <w:lang w:val="en-US"/>
        </w:rPr>
        <w:t xml:space="preserve">s, “it is </w:t>
      </w:r>
      <w:r w:rsidR="005835B6" w:rsidRPr="00A50E4D">
        <w:rPr>
          <w:rFonts w:eastAsiaTheme="minorHAnsi" w:cs="Arial"/>
          <w:szCs w:val="20"/>
          <w:lang w:val="en-US"/>
        </w:rPr>
        <w:t xml:space="preserve">a </w:t>
      </w:r>
      <w:r w:rsidR="00622CE4" w:rsidRPr="00A50E4D">
        <w:rPr>
          <w:rFonts w:eastAsiaTheme="minorHAnsi" w:cs="Arial"/>
          <w:szCs w:val="20"/>
          <w:lang w:val="en-US"/>
        </w:rPr>
        <w:t>legal obligation, a civic duty, to oppose [</w:t>
      </w:r>
      <w:r w:rsidR="00622CE4" w:rsidRPr="00A50E4D">
        <w:rPr>
          <w:rFonts w:eastAsiaTheme="minorHAnsi" w:cs="Arial"/>
          <w:i/>
          <w:szCs w:val="20"/>
          <w:lang w:val="en-US"/>
        </w:rPr>
        <w:t>coups d’état</w:t>
      </w:r>
      <w:r w:rsidR="00622CE4" w:rsidRPr="00A50E4D">
        <w:rPr>
          <w:rFonts w:eastAsiaTheme="minorHAnsi" w:cs="Arial"/>
          <w:szCs w:val="20"/>
          <w:lang w:val="en-US"/>
        </w:rPr>
        <w:t>].</w:t>
      </w:r>
      <w:r w:rsidRPr="00A50E4D">
        <w:rPr>
          <w:szCs w:val="20"/>
          <w:lang w:val="en-US"/>
        </w:rPr>
        <w:t>”</w:t>
      </w:r>
      <w:r w:rsidRPr="00A50E4D">
        <w:rPr>
          <w:rStyle w:val="FootnoteReference"/>
          <w:rFonts w:eastAsiaTheme="minorHAnsi" w:cs="Arial"/>
          <w:sz w:val="20"/>
          <w:szCs w:val="20"/>
          <w:lang w:val="en-US" w:eastAsia="en-US"/>
        </w:rPr>
        <w:footnoteReference w:id="327"/>
      </w:r>
    </w:p>
    <w:p w14:paraId="438B6ED7" w14:textId="77777777" w:rsidR="004B053B" w:rsidRPr="00A50E4D" w:rsidRDefault="004B053B" w:rsidP="004B053B">
      <w:pPr>
        <w:pStyle w:val="PrrafodeSentencia"/>
        <w:numPr>
          <w:ilvl w:val="0"/>
          <w:numId w:val="0"/>
        </w:numPr>
        <w:rPr>
          <w:szCs w:val="20"/>
          <w:lang w:val="en-US"/>
        </w:rPr>
      </w:pPr>
    </w:p>
    <w:p w14:paraId="5728070B" w14:textId="5AB8DD9A" w:rsidR="005F6F35" w:rsidRPr="00A50E4D" w:rsidRDefault="005835B6" w:rsidP="005835B6">
      <w:pPr>
        <w:pStyle w:val="PrrafodeSentencia"/>
        <w:rPr>
          <w:color w:val="000000"/>
          <w:szCs w:val="20"/>
          <w:lang w:val="en-US"/>
        </w:rPr>
      </w:pPr>
      <w:r w:rsidRPr="00A50E4D">
        <w:rPr>
          <w:color w:val="000000"/>
          <w:szCs w:val="20"/>
          <w:lang w:val="en-US"/>
        </w:rPr>
        <w:t>It can therefore be concluded that, at times of grave democratic crises, as in this case, the norm</w:t>
      </w:r>
      <w:r w:rsidR="00273BFD" w:rsidRPr="00A50E4D">
        <w:rPr>
          <w:color w:val="000000"/>
          <w:szCs w:val="20"/>
          <w:lang w:val="en-US"/>
        </w:rPr>
        <w:t>s that ordinarily restrict the</w:t>
      </w:r>
      <w:r w:rsidRPr="00A50E4D">
        <w:rPr>
          <w:color w:val="000000"/>
          <w:szCs w:val="20"/>
          <w:lang w:val="en-US"/>
        </w:rPr>
        <w:t xml:space="preserve"> right</w:t>
      </w:r>
      <w:r w:rsidR="00273BFD" w:rsidRPr="00A50E4D">
        <w:rPr>
          <w:color w:val="000000"/>
          <w:szCs w:val="20"/>
          <w:lang w:val="en-US"/>
        </w:rPr>
        <w:t xml:space="preserve"> of judges</w:t>
      </w:r>
      <w:r w:rsidRPr="00A50E4D">
        <w:rPr>
          <w:color w:val="000000"/>
          <w:szCs w:val="20"/>
          <w:lang w:val="en-US"/>
        </w:rPr>
        <w:t xml:space="preserve"> to participate in </w:t>
      </w:r>
      <w:r w:rsidR="000A786A" w:rsidRPr="00A50E4D">
        <w:rPr>
          <w:color w:val="000000"/>
          <w:szCs w:val="20"/>
          <w:lang w:val="en-US"/>
        </w:rPr>
        <w:t>politics</w:t>
      </w:r>
      <w:r w:rsidRPr="00A50E4D">
        <w:rPr>
          <w:color w:val="000000"/>
          <w:szCs w:val="20"/>
          <w:lang w:val="en-US"/>
        </w:rPr>
        <w:t xml:space="preserve"> are not applicable to the</w:t>
      </w:r>
      <w:r w:rsidR="00273BFD" w:rsidRPr="00A50E4D">
        <w:rPr>
          <w:color w:val="000000"/>
          <w:szCs w:val="20"/>
          <w:lang w:val="en-US"/>
        </w:rPr>
        <w:t>ir</w:t>
      </w:r>
      <w:r w:rsidRPr="00A50E4D">
        <w:rPr>
          <w:color w:val="000000"/>
          <w:szCs w:val="20"/>
          <w:lang w:val="en-US"/>
        </w:rPr>
        <w:t xml:space="preserve"> actions in defense </w:t>
      </w:r>
      <w:r w:rsidR="000A786A" w:rsidRPr="00A50E4D">
        <w:rPr>
          <w:color w:val="000000"/>
          <w:szCs w:val="20"/>
          <w:lang w:val="en-US"/>
        </w:rPr>
        <w:t>of</w:t>
      </w:r>
      <w:r w:rsidRPr="00A50E4D">
        <w:rPr>
          <w:color w:val="000000"/>
          <w:szCs w:val="20"/>
          <w:lang w:val="en-US"/>
        </w:rPr>
        <w:t xml:space="preserve"> the democratic order. Thus, it would be contrary to</w:t>
      </w:r>
      <w:r w:rsidR="00273BFD" w:rsidRPr="00A50E4D">
        <w:rPr>
          <w:color w:val="000000"/>
          <w:szCs w:val="20"/>
          <w:lang w:val="en-US"/>
        </w:rPr>
        <w:t xml:space="preserve"> the</w:t>
      </w:r>
      <w:r w:rsidRPr="00A50E4D">
        <w:rPr>
          <w:color w:val="000000"/>
          <w:szCs w:val="20"/>
          <w:lang w:val="en-US"/>
        </w:rPr>
        <w:t xml:space="preserve"> independence inherent in the</w:t>
      </w:r>
      <w:r w:rsidR="00273BFD" w:rsidRPr="00A50E4D">
        <w:rPr>
          <w:color w:val="000000"/>
          <w:szCs w:val="20"/>
          <w:lang w:val="en-US"/>
        </w:rPr>
        <w:t xml:space="preserve"> branches of S</w:t>
      </w:r>
      <w:r w:rsidRPr="00A50E4D">
        <w:rPr>
          <w:color w:val="000000"/>
          <w:szCs w:val="20"/>
          <w:lang w:val="en-US"/>
        </w:rPr>
        <w:t xml:space="preserve">tate, as well as the international obligations of the State derived from its membership of the OAS, that judges could not speak out against a </w:t>
      </w:r>
      <w:r w:rsidR="00B11ACA" w:rsidRPr="00A50E4D">
        <w:rPr>
          <w:rFonts w:cs="Tahoma"/>
          <w:i/>
          <w:szCs w:val="20"/>
          <w:lang w:val="en-US"/>
        </w:rPr>
        <w:t>coup d’état</w:t>
      </w:r>
      <w:r w:rsidRPr="00A50E4D">
        <w:rPr>
          <w:rFonts w:cs="Tahoma"/>
          <w:szCs w:val="20"/>
          <w:lang w:val="en-US"/>
        </w:rPr>
        <w:t xml:space="preserve">. Consequently, in view of the particular circumstances of this case, the conducts </w:t>
      </w:r>
      <w:r w:rsidRPr="00A50E4D">
        <w:rPr>
          <w:color w:val="000000"/>
          <w:szCs w:val="20"/>
          <w:lang w:val="en-US"/>
        </w:rPr>
        <w:t>of the presumed victims on the basis of which disciplinary proceedings were instituted against them cannot be considered c</w:t>
      </w:r>
      <w:r w:rsidR="00273BFD" w:rsidRPr="00A50E4D">
        <w:rPr>
          <w:color w:val="000000"/>
          <w:szCs w:val="20"/>
          <w:lang w:val="en-US"/>
        </w:rPr>
        <w:t>ontrary to their obligations as</w:t>
      </w:r>
      <w:r w:rsidRPr="00A50E4D">
        <w:rPr>
          <w:color w:val="000000"/>
          <w:szCs w:val="20"/>
          <w:lang w:val="en-US"/>
        </w:rPr>
        <w:t xml:space="preserve"> judges and, thus, violations of the disciplinary regime that was applicable to them under ordinary circumstances. To the contrary, such conducts should be understood as a legitimate exercise o</w:t>
      </w:r>
      <w:r w:rsidR="00BB0971" w:rsidRPr="00A50E4D">
        <w:rPr>
          <w:color w:val="000000"/>
          <w:szCs w:val="20"/>
          <w:lang w:val="en-US"/>
        </w:rPr>
        <w:t>f their rights</w:t>
      </w:r>
      <w:r w:rsidRPr="00A50E4D">
        <w:rPr>
          <w:color w:val="000000"/>
          <w:szCs w:val="20"/>
          <w:lang w:val="en-US"/>
        </w:rPr>
        <w:t xml:space="preserve"> as citizens to take part in politics, to </w:t>
      </w:r>
      <w:r w:rsidR="00371BB7" w:rsidRPr="00A50E4D">
        <w:rPr>
          <w:color w:val="000000"/>
          <w:szCs w:val="20"/>
          <w:lang w:val="en-US"/>
        </w:rPr>
        <w:t>freedom of expression</w:t>
      </w:r>
      <w:r w:rsidRPr="00A50E4D">
        <w:rPr>
          <w:color w:val="000000"/>
          <w:szCs w:val="20"/>
          <w:lang w:val="en-US"/>
        </w:rPr>
        <w:t>,</w:t>
      </w:r>
      <w:r w:rsidR="00F7175B" w:rsidRPr="00A50E4D">
        <w:rPr>
          <w:color w:val="000000"/>
          <w:szCs w:val="20"/>
          <w:lang w:val="en-US"/>
        </w:rPr>
        <w:t xml:space="preserve"> </w:t>
      </w:r>
      <w:r w:rsidRPr="00A50E4D">
        <w:rPr>
          <w:color w:val="000000"/>
          <w:szCs w:val="20"/>
          <w:lang w:val="en-US"/>
        </w:rPr>
        <w:t xml:space="preserve">to </w:t>
      </w:r>
      <w:r w:rsidR="00371BB7" w:rsidRPr="00A50E4D">
        <w:rPr>
          <w:color w:val="000000"/>
          <w:szCs w:val="20"/>
          <w:lang w:val="en-US"/>
        </w:rPr>
        <w:t>the right of assembly</w:t>
      </w:r>
      <w:r w:rsidR="009808C5" w:rsidRPr="00A50E4D">
        <w:rPr>
          <w:color w:val="000000"/>
          <w:szCs w:val="20"/>
          <w:lang w:val="en-US"/>
        </w:rPr>
        <w:t xml:space="preserve"> and </w:t>
      </w:r>
      <w:r w:rsidRPr="00A50E4D">
        <w:rPr>
          <w:color w:val="000000"/>
          <w:szCs w:val="20"/>
          <w:lang w:val="en-US"/>
        </w:rPr>
        <w:t xml:space="preserve">to protest, as applicable to the specific action taken by each </w:t>
      </w:r>
      <w:r w:rsidR="00BB0971" w:rsidRPr="00A50E4D">
        <w:rPr>
          <w:color w:val="000000"/>
          <w:szCs w:val="20"/>
          <w:lang w:val="en-US"/>
        </w:rPr>
        <w:t xml:space="preserve">of these </w:t>
      </w:r>
      <w:r w:rsidRPr="00A50E4D">
        <w:rPr>
          <w:color w:val="000000"/>
          <w:szCs w:val="20"/>
          <w:lang w:val="en-US"/>
        </w:rPr>
        <w:t>presumed victims.</w:t>
      </w:r>
    </w:p>
    <w:p w14:paraId="35A32224" w14:textId="77777777" w:rsidR="004B053B" w:rsidRPr="00A50E4D" w:rsidRDefault="004B053B" w:rsidP="004B053B">
      <w:pPr>
        <w:rPr>
          <w:lang w:val="en-US" w:eastAsia="es-MX"/>
        </w:rPr>
      </w:pPr>
    </w:p>
    <w:p w14:paraId="4E617D31" w14:textId="66CB6225" w:rsidR="004B053B" w:rsidRPr="00A50E4D" w:rsidRDefault="00F4065A" w:rsidP="004B053B">
      <w:pPr>
        <w:pStyle w:val="PrrafodeSentencia"/>
        <w:rPr>
          <w:color w:val="000000"/>
          <w:szCs w:val="20"/>
          <w:lang w:val="en-US"/>
        </w:rPr>
      </w:pPr>
      <w:r w:rsidRPr="00A50E4D">
        <w:rPr>
          <w:color w:val="000000"/>
          <w:szCs w:val="20"/>
          <w:lang w:val="en-US"/>
        </w:rPr>
        <w:t xml:space="preserve">On this point, the Honduran Constitution </w:t>
      </w:r>
      <w:r w:rsidR="00BB0971" w:rsidRPr="00A50E4D">
        <w:rPr>
          <w:color w:val="000000"/>
          <w:szCs w:val="20"/>
          <w:lang w:val="en-US"/>
        </w:rPr>
        <w:t>stipulates</w:t>
      </w:r>
      <w:r w:rsidRPr="00A50E4D">
        <w:rPr>
          <w:color w:val="000000"/>
          <w:szCs w:val="20"/>
          <w:lang w:val="en-US"/>
        </w:rPr>
        <w:t xml:space="preserve"> that:</w:t>
      </w:r>
    </w:p>
    <w:p w14:paraId="0D0CB0E6" w14:textId="77777777" w:rsidR="004B053B" w:rsidRPr="00A50E4D" w:rsidRDefault="004B053B" w:rsidP="004B053B">
      <w:pPr>
        <w:rPr>
          <w:color w:val="1F497D"/>
          <w:lang w:val="en-US"/>
        </w:rPr>
      </w:pPr>
    </w:p>
    <w:p w14:paraId="51823942" w14:textId="2A12C4A9" w:rsidR="00F4065A" w:rsidRPr="00A50E4D" w:rsidRDefault="00F02FB7" w:rsidP="004B053B">
      <w:pPr>
        <w:autoSpaceDE w:val="0"/>
        <w:autoSpaceDN w:val="0"/>
        <w:ind w:left="567" w:right="532"/>
        <w:rPr>
          <w:sz w:val="16"/>
          <w:szCs w:val="16"/>
          <w:lang w:val="en-US"/>
        </w:rPr>
      </w:pPr>
      <w:r w:rsidRPr="00A50E4D">
        <w:rPr>
          <w:bCs/>
          <w:sz w:val="16"/>
          <w:szCs w:val="16"/>
          <w:lang w:val="en-US"/>
        </w:rPr>
        <w:t>Article</w:t>
      </w:r>
      <w:r w:rsidR="004B053B" w:rsidRPr="00A50E4D">
        <w:rPr>
          <w:bCs/>
          <w:sz w:val="16"/>
          <w:szCs w:val="16"/>
          <w:lang w:val="en-US"/>
        </w:rPr>
        <w:t xml:space="preserve"> 3.</w:t>
      </w:r>
      <w:r w:rsidR="004B053B" w:rsidRPr="00A50E4D">
        <w:rPr>
          <w:b/>
          <w:bCs/>
          <w:sz w:val="16"/>
          <w:szCs w:val="16"/>
          <w:lang w:val="en-US"/>
        </w:rPr>
        <w:t xml:space="preserve"> </w:t>
      </w:r>
      <w:r w:rsidR="004B053B" w:rsidRPr="00A50E4D">
        <w:rPr>
          <w:sz w:val="16"/>
          <w:szCs w:val="16"/>
          <w:lang w:val="en-US"/>
        </w:rPr>
        <w:t>N</w:t>
      </w:r>
      <w:r w:rsidR="00F4065A" w:rsidRPr="00A50E4D">
        <w:rPr>
          <w:sz w:val="16"/>
          <w:szCs w:val="16"/>
          <w:lang w:val="en-US"/>
        </w:rPr>
        <w:t>o one owes obedience to a government that has usurped power or to those who assume public functions or employments by force of arms or using m</w:t>
      </w:r>
      <w:r w:rsidR="00BB0971" w:rsidRPr="00A50E4D">
        <w:rPr>
          <w:sz w:val="16"/>
          <w:szCs w:val="16"/>
          <w:lang w:val="en-US"/>
        </w:rPr>
        <w:t>eans or procedures that violate</w:t>
      </w:r>
      <w:r w:rsidR="00F4065A" w:rsidRPr="00A50E4D">
        <w:rPr>
          <w:sz w:val="16"/>
          <w:szCs w:val="16"/>
          <w:lang w:val="en-US"/>
        </w:rPr>
        <w:t xml:space="preserve"> or disregard the provisions of this Constitution and the law. Acts carried out by such authorities are null. The population has the right to resort to insurrection in defense of the constitutional order.</w:t>
      </w:r>
    </w:p>
    <w:p w14:paraId="66F1E52A" w14:textId="77777777" w:rsidR="004B053B" w:rsidRPr="00A50E4D" w:rsidRDefault="004B053B" w:rsidP="004B053B">
      <w:pPr>
        <w:autoSpaceDE w:val="0"/>
        <w:autoSpaceDN w:val="0"/>
        <w:ind w:left="567" w:right="532"/>
        <w:rPr>
          <w:sz w:val="16"/>
          <w:szCs w:val="16"/>
          <w:lang w:val="en-US"/>
        </w:rPr>
      </w:pPr>
    </w:p>
    <w:p w14:paraId="68F16D06" w14:textId="77777777" w:rsidR="004B053B" w:rsidRPr="00A50E4D" w:rsidRDefault="004B053B" w:rsidP="004B053B">
      <w:pPr>
        <w:autoSpaceDE w:val="0"/>
        <w:autoSpaceDN w:val="0"/>
        <w:ind w:left="567" w:right="532"/>
        <w:rPr>
          <w:sz w:val="16"/>
          <w:szCs w:val="16"/>
          <w:lang w:val="en-US"/>
        </w:rPr>
      </w:pPr>
      <w:r w:rsidRPr="00A50E4D">
        <w:rPr>
          <w:sz w:val="16"/>
          <w:szCs w:val="16"/>
          <w:lang w:val="en-US"/>
        </w:rPr>
        <w:t xml:space="preserve">[…] </w:t>
      </w:r>
    </w:p>
    <w:p w14:paraId="10F0672F" w14:textId="77777777" w:rsidR="004B053B" w:rsidRPr="00A50E4D" w:rsidRDefault="004B053B" w:rsidP="004B053B">
      <w:pPr>
        <w:autoSpaceDE w:val="0"/>
        <w:autoSpaceDN w:val="0"/>
        <w:ind w:left="567" w:right="532"/>
        <w:rPr>
          <w:sz w:val="16"/>
          <w:szCs w:val="16"/>
          <w:lang w:val="en-US"/>
        </w:rPr>
      </w:pPr>
    </w:p>
    <w:p w14:paraId="07E806C4" w14:textId="1A2136B9" w:rsidR="00F4065A" w:rsidRPr="00A50E4D" w:rsidRDefault="00F02FB7" w:rsidP="00F4065A">
      <w:pPr>
        <w:autoSpaceDE w:val="0"/>
        <w:autoSpaceDN w:val="0"/>
        <w:ind w:left="567" w:right="532"/>
        <w:rPr>
          <w:sz w:val="16"/>
          <w:szCs w:val="16"/>
          <w:lang w:val="en-US"/>
        </w:rPr>
      </w:pPr>
      <w:r w:rsidRPr="00A50E4D">
        <w:rPr>
          <w:bCs/>
          <w:sz w:val="16"/>
          <w:szCs w:val="16"/>
          <w:lang w:val="en-US"/>
        </w:rPr>
        <w:t>Article</w:t>
      </w:r>
      <w:r w:rsidR="004B053B" w:rsidRPr="00A50E4D">
        <w:rPr>
          <w:bCs/>
          <w:sz w:val="16"/>
          <w:szCs w:val="16"/>
          <w:lang w:val="en-US"/>
        </w:rPr>
        <w:t xml:space="preserve"> 375.</w:t>
      </w:r>
      <w:r w:rsidR="004B053B" w:rsidRPr="00A50E4D">
        <w:rPr>
          <w:b/>
          <w:bCs/>
          <w:sz w:val="16"/>
          <w:szCs w:val="16"/>
          <w:lang w:val="en-US"/>
        </w:rPr>
        <w:t xml:space="preserve"> </w:t>
      </w:r>
      <w:r w:rsidR="00F4065A" w:rsidRPr="00A50E4D">
        <w:rPr>
          <w:sz w:val="16"/>
          <w:szCs w:val="16"/>
          <w:lang w:val="en-US"/>
        </w:rPr>
        <w:t>This Constitution does not cease to apply or require compliance based on the use of force or if it were suppos</w:t>
      </w:r>
      <w:r w:rsidR="00BB0971" w:rsidRPr="00A50E4D">
        <w:rPr>
          <w:sz w:val="16"/>
          <w:szCs w:val="16"/>
          <w:lang w:val="en-US"/>
        </w:rPr>
        <w:t>edly derogated or amended by a</w:t>
      </w:r>
      <w:r w:rsidR="00F4065A" w:rsidRPr="00A50E4D">
        <w:rPr>
          <w:sz w:val="16"/>
          <w:szCs w:val="16"/>
          <w:lang w:val="en-US"/>
        </w:rPr>
        <w:t xml:space="preserve"> means or procedure other than the one provided for herein. In such cases, any citizen, whether or not he holds a position of authorit</w:t>
      </w:r>
      <w:r w:rsidR="00BB0971" w:rsidRPr="00A50E4D">
        <w:rPr>
          <w:sz w:val="16"/>
          <w:szCs w:val="16"/>
          <w:lang w:val="en-US"/>
        </w:rPr>
        <w:t>y, has the duty to collaborate</w:t>
      </w:r>
      <w:r w:rsidR="00F4065A" w:rsidRPr="00A50E4D">
        <w:rPr>
          <w:sz w:val="16"/>
          <w:szCs w:val="16"/>
          <w:lang w:val="en-US"/>
        </w:rPr>
        <w:t xml:space="preserve"> in maintaining or re-establishing its application.</w:t>
      </w:r>
    </w:p>
    <w:p w14:paraId="01FA5024" w14:textId="77777777" w:rsidR="004B053B" w:rsidRPr="00A50E4D" w:rsidRDefault="004B053B" w:rsidP="004B053B">
      <w:pPr>
        <w:rPr>
          <w:lang w:val="en-US" w:eastAsia="es-MX"/>
        </w:rPr>
      </w:pPr>
    </w:p>
    <w:p w14:paraId="7AE1172B" w14:textId="43D1BE3E" w:rsidR="004B053B" w:rsidRPr="00A50E4D" w:rsidRDefault="00BB0971" w:rsidP="004B053B">
      <w:pPr>
        <w:pStyle w:val="PrrafodeSentencia"/>
        <w:rPr>
          <w:color w:val="000000"/>
          <w:szCs w:val="20"/>
          <w:lang w:val="en-US"/>
        </w:rPr>
      </w:pPr>
      <w:bookmarkStart w:id="239" w:name="_Ref308330397"/>
      <w:r w:rsidRPr="00A50E4D">
        <w:rPr>
          <w:spacing w:val="-2"/>
          <w:szCs w:val="20"/>
          <w:lang w:val="en-US"/>
        </w:rPr>
        <w:t>Additionally</w:t>
      </w:r>
      <w:r w:rsidR="00F4065A" w:rsidRPr="00A50E4D">
        <w:rPr>
          <w:spacing w:val="-2"/>
          <w:szCs w:val="20"/>
          <w:lang w:val="en-US"/>
        </w:rPr>
        <w:t xml:space="preserve">, this Court has indicated that criminal proceedings may have “an intimidating or inhibiting effect on the exercise of </w:t>
      </w:r>
      <w:r w:rsidR="00371BB7" w:rsidRPr="00A50E4D">
        <w:rPr>
          <w:szCs w:val="20"/>
          <w:lang w:val="en-US"/>
        </w:rPr>
        <w:t>freedom of expression</w:t>
      </w:r>
      <w:r w:rsidR="00F4065A" w:rsidRPr="00A50E4D">
        <w:rPr>
          <w:szCs w:val="20"/>
          <w:lang w:val="en-US"/>
        </w:rPr>
        <w:t>, contrary to the state obligation to ensure the free and full exercise of this right in a democratic society.</w:t>
      </w:r>
      <w:r w:rsidR="004B053B" w:rsidRPr="00A50E4D">
        <w:rPr>
          <w:szCs w:val="20"/>
          <w:lang w:val="en-US"/>
        </w:rPr>
        <w:t>”</w:t>
      </w:r>
      <w:r w:rsidR="004B053B" w:rsidRPr="00A50E4D">
        <w:rPr>
          <w:rStyle w:val="FootnoteReference"/>
          <w:sz w:val="20"/>
          <w:szCs w:val="20"/>
          <w:lang w:val="en-US"/>
        </w:rPr>
        <w:footnoteReference w:id="328"/>
      </w:r>
      <w:r w:rsidR="00F4065A" w:rsidRPr="00A50E4D">
        <w:rPr>
          <w:szCs w:val="20"/>
          <w:lang w:val="en-US"/>
        </w:rPr>
        <w:t xml:space="preserve"> The application of this consideration depends on the specific facts of each case.</w:t>
      </w:r>
      <w:r w:rsidR="004B053B" w:rsidRPr="00A50E4D">
        <w:rPr>
          <w:rStyle w:val="FootnoteReference"/>
          <w:sz w:val="20"/>
          <w:szCs w:val="20"/>
          <w:lang w:val="en-US"/>
        </w:rPr>
        <w:footnoteReference w:id="329"/>
      </w:r>
      <w:r w:rsidR="00F4065A" w:rsidRPr="00A50E4D">
        <w:rPr>
          <w:szCs w:val="20"/>
          <w:lang w:val="en-US"/>
        </w:rPr>
        <w:t xml:space="preserve"> In the instant case, even though criminal proceedings are not involved, the Court considers that the mere fact of</w:t>
      </w:r>
      <w:r w:rsidRPr="00A50E4D">
        <w:rPr>
          <w:szCs w:val="20"/>
          <w:lang w:val="en-US"/>
        </w:rPr>
        <w:t xml:space="preserve"> instituting</w:t>
      </w:r>
      <w:r w:rsidR="00F4065A" w:rsidRPr="00A50E4D">
        <w:rPr>
          <w:szCs w:val="20"/>
          <w:lang w:val="en-US"/>
        </w:rPr>
        <w:t xml:space="preserve"> disciplinary proceedings against the judges and the justice based on their actions</w:t>
      </w:r>
      <w:r w:rsidRPr="00A50E4D">
        <w:rPr>
          <w:szCs w:val="20"/>
          <w:lang w:val="en-US"/>
        </w:rPr>
        <w:t xml:space="preserve"> against</w:t>
      </w:r>
      <w:r w:rsidR="00F4065A" w:rsidRPr="00A50E4D">
        <w:rPr>
          <w:szCs w:val="20"/>
          <w:lang w:val="en-US"/>
        </w:rPr>
        <w:t xml:space="preserve"> </w:t>
      </w:r>
      <w:r w:rsidR="004626E5" w:rsidRPr="00A50E4D">
        <w:rPr>
          <w:szCs w:val="20"/>
          <w:lang w:val="en-US"/>
        </w:rPr>
        <w:t xml:space="preserve">the </w:t>
      </w:r>
      <w:r w:rsidR="00B11ACA" w:rsidRPr="00A50E4D">
        <w:rPr>
          <w:i/>
          <w:szCs w:val="20"/>
          <w:lang w:val="en-US"/>
        </w:rPr>
        <w:t>coup d’état</w:t>
      </w:r>
      <w:r w:rsidR="009808C5" w:rsidRPr="00A50E4D">
        <w:rPr>
          <w:szCs w:val="20"/>
          <w:lang w:val="en-US"/>
        </w:rPr>
        <w:t xml:space="preserve"> and </w:t>
      </w:r>
      <w:r w:rsidR="00F4065A" w:rsidRPr="00A50E4D">
        <w:rPr>
          <w:szCs w:val="20"/>
          <w:lang w:val="en-US"/>
        </w:rPr>
        <w:t>in</w:t>
      </w:r>
      <w:r w:rsidR="004B053B" w:rsidRPr="00A50E4D">
        <w:rPr>
          <w:szCs w:val="20"/>
          <w:lang w:val="en-US"/>
        </w:rPr>
        <w:t xml:space="preserve"> favor</w:t>
      </w:r>
      <w:r w:rsidR="009808C5" w:rsidRPr="00A50E4D">
        <w:rPr>
          <w:szCs w:val="20"/>
          <w:lang w:val="en-US"/>
        </w:rPr>
        <w:t xml:space="preserve"> of the</w:t>
      </w:r>
      <w:r w:rsidR="00F4065A" w:rsidRPr="00A50E4D">
        <w:rPr>
          <w:szCs w:val="20"/>
          <w:lang w:val="en-US"/>
        </w:rPr>
        <w:t xml:space="preserve"> rule of law could have</w:t>
      </w:r>
      <w:r w:rsidRPr="00A50E4D">
        <w:rPr>
          <w:szCs w:val="20"/>
          <w:lang w:val="en-US"/>
        </w:rPr>
        <w:t xml:space="preserve"> had this</w:t>
      </w:r>
      <w:r w:rsidR="00F4065A" w:rsidRPr="00A50E4D">
        <w:rPr>
          <w:szCs w:val="20"/>
          <w:lang w:val="en-US"/>
        </w:rPr>
        <w:t xml:space="preserve"> intimidating effect and, therefore, constitute</w:t>
      </w:r>
      <w:r w:rsidRPr="00A50E4D">
        <w:rPr>
          <w:szCs w:val="20"/>
          <w:lang w:val="en-US"/>
        </w:rPr>
        <w:t>d</w:t>
      </w:r>
      <w:r w:rsidR="00F4065A" w:rsidRPr="00A50E4D">
        <w:rPr>
          <w:szCs w:val="20"/>
          <w:lang w:val="en-US"/>
        </w:rPr>
        <w:t xml:space="preserve"> an undue restriction of their rights.</w:t>
      </w:r>
      <w:bookmarkEnd w:id="239"/>
    </w:p>
    <w:p w14:paraId="2842BF44" w14:textId="77777777" w:rsidR="004B053B" w:rsidRPr="00A50E4D" w:rsidRDefault="004B053B" w:rsidP="004B053B">
      <w:pPr>
        <w:rPr>
          <w:szCs w:val="20"/>
          <w:lang w:val="en-US" w:eastAsia="es-MX"/>
        </w:rPr>
      </w:pPr>
    </w:p>
    <w:p w14:paraId="23B05AD0" w14:textId="353547E8" w:rsidR="004B053B" w:rsidRPr="00A50E4D" w:rsidRDefault="000A786A" w:rsidP="004B053B">
      <w:pPr>
        <w:pStyle w:val="PrrafodeSentencia"/>
        <w:rPr>
          <w:color w:val="000000"/>
          <w:szCs w:val="20"/>
          <w:lang w:val="en-US"/>
        </w:rPr>
      </w:pPr>
      <w:bookmarkStart w:id="240" w:name="_Ref431642482"/>
      <w:r w:rsidRPr="00A50E4D">
        <w:rPr>
          <w:color w:val="000000"/>
          <w:szCs w:val="20"/>
          <w:lang w:val="en-US"/>
        </w:rPr>
        <w:t>Based on</w:t>
      </w:r>
      <w:r w:rsidR="00F4065A" w:rsidRPr="00A50E4D">
        <w:rPr>
          <w:color w:val="000000"/>
          <w:szCs w:val="20"/>
          <w:lang w:val="en-US"/>
        </w:rPr>
        <w:t xml:space="preserve"> the above, the Court will now examine the events that occurred with regard to each </w:t>
      </w:r>
      <w:r w:rsidR="00371BB7" w:rsidRPr="00A50E4D">
        <w:rPr>
          <w:color w:val="000000"/>
          <w:szCs w:val="20"/>
          <w:lang w:val="en-US"/>
        </w:rPr>
        <w:t>of the presumed victims</w:t>
      </w:r>
      <w:r w:rsidR="004B053B" w:rsidRPr="00A50E4D">
        <w:rPr>
          <w:color w:val="000000"/>
          <w:szCs w:val="20"/>
          <w:lang w:val="en-US"/>
        </w:rPr>
        <w:t xml:space="preserve"> </w:t>
      </w:r>
      <w:r w:rsidR="00F4065A" w:rsidRPr="00A50E4D">
        <w:rPr>
          <w:color w:val="000000"/>
          <w:szCs w:val="20"/>
          <w:lang w:val="en-US"/>
        </w:rPr>
        <w:t xml:space="preserve">in order to determine whether the said restriction affected their rights to take part in politics, </w:t>
      </w:r>
      <w:r w:rsidR="00F4065A" w:rsidRPr="00A50E4D">
        <w:rPr>
          <w:szCs w:val="20"/>
          <w:lang w:val="en-US"/>
        </w:rPr>
        <w:t>to</w:t>
      </w:r>
      <w:r w:rsidR="004B053B" w:rsidRPr="00A50E4D">
        <w:rPr>
          <w:szCs w:val="20"/>
          <w:lang w:val="en-US"/>
        </w:rPr>
        <w:t xml:space="preserve"> </w:t>
      </w:r>
      <w:r w:rsidR="00371BB7" w:rsidRPr="00A50E4D">
        <w:rPr>
          <w:szCs w:val="20"/>
          <w:lang w:val="en-US"/>
        </w:rPr>
        <w:t>freedom of expression</w:t>
      </w:r>
      <w:r w:rsidR="004B053B" w:rsidRPr="00A50E4D">
        <w:rPr>
          <w:szCs w:val="20"/>
          <w:lang w:val="en-US"/>
        </w:rPr>
        <w:t xml:space="preserve"> </w:t>
      </w:r>
      <w:r w:rsidR="00F4065A" w:rsidRPr="00A50E4D">
        <w:rPr>
          <w:szCs w:val="20"/>
          <w:lang w:val="en-US"/>
        </w:rPr>
        <w:t>and/or to</w:t>
      </w:r>
      <w:r w:rsidR="004B053B" w:rsidRPr="00A50E4D">
        <w:rPr>
          <w:szCs w:val="20"/>
          <w:lang w:val="en-US"/>
        </w:rPr>
        <w:t xml:space="preserve"> </w:t>
      </w:r>
      <w:r w:rsidR="00371BB7" w:rsidRPr="00A50E4D">
        <w:rPr>
          <w:szCs w:val="20"/>
          <w:lang w:val="en-US"/>
        </w:rPr>
        <w:t>the right of assembly</w:t>
      </w:r>
      <w:r w:rsidR="004B053B" w:rsidRPr="00A50E4D">
        <w:rPr>
          <w:szCs w:val="20"/>
          <w:lang w:val="en-US"/>
        </w:rPr>
        <w:t>.</w:t>
      </w:r>
      <w:r w:rsidR="004B053B" w:rsidRPr="00A50E4D">
        <w:rPr>
          <w:color w:val="000000"/>
          <w:szCs w:val="20"/>
          <w:lang w:val="en-US"/>
        </w:rPr>
        <w:t xml:space="preserve"> </w:t>
      </w:r>
      <w:r w:rsidR="00F4065A" w:rsidRPr="00A50E4D">
        <w:rPr>
          <w:color w:val="000000"/>
          <w:szCs w:val="20"/>
          <w:lang w:val="en-US"/>
        </w:rPr>
        <w:t>Subsequently, it will analyze jointly the alleged violation of freedom of association in relation to all the</w:t>
      </w:r>
      <w:r w:rsidR="00371BB7" w:rsidRPr="00A50E4D">
        <w:rPr>
          <w:color w:val="000000"/>
          <w:szCs w:val="20"/>
          <w:lang w:val="en-US"/>
        </w:rPr>
        <w:t xml:space="preserve"> presumed victims</w:t>
      </w:r>
      <w:r w:rsidR="004B053B" w:rsidRPr="00A50E4D">
        <w:rPr>
          <w:color w:val="000000"/>
          <w:szCs w:val="20"/>
          <w:lang w:val="en-US"/>
        </w:rPr>
        <w:t>.</w:t>
      </w:r>
      <w:bookmarkEnd w:id="240"/>
    </w:p>
    <w:p w14:paraId="607C1F32" w14:textId="77777777" w:rsidR="00BB0971" w:rsidRPr="00A50E4D" w:rsidRDefault="00BB0971" w:rsidP="00BB0971">
      <w:pPr>
        <w:rPr>
          <w:lang w:val="en-US" w:eastAsia="es-MX"/>
        </w:rPr>
      </w:pPr>
    </w:p>
    <w:p w14:paraId="3F989F80" w14:textId="77777777" w:rsidR="004B053B" w:rsidRPr="00A50E4D" w:rsidRDefault="004B053B" w:rsidP="004B053B">
      <w:pPr>
        <w:pStyle w:val="PrrafodeSentencia"/>
        <w:numPr>
          <w:ilvl w:val="0"/>
          <w:numId w:val="0"/>
        </w:numPr>
        <w:rPr>
          <w:lang w:val="en-US"/>
        </w:rPr>
      </w:pPr>
    </w:p>
    <w:p w14:paraId="5D2BC558" w14:textId="77777777" w:rsidR="004B053B" w:rsidRPr="00A50E4D" w:rsidRDefault="004B053B" w:rsidP="004B053B">
      <w:pPr>
        <w:pStyle w:val="Heading3"/>
        <w:rPr>
          <w:spacing w:val="-4"/>
          <w:lang w:val="en-US"/>
        </w:rPr>
      </w:pPr>
      <w:bookmarkStart w:id="241" w:name="_Toc427943775"/>
      <w:bookmarkStart w:id="242" w:name="_Toc431584639"/>
      <w:bookmarkStart w:id="243" w:name="_Toc471717273"/>
      <w:r w:rsidRPr="00A50E4D">
        <w:rPr>
          <w:spacing w:val="-4"/>
          <w:lang w:val="en-US"/>
        </w:rPr>
        <w:t>B.1) Adán Guillermo López Lone</w:t>
      </w:r>
      <w:bookmarkEnd w:id="241"/>
      <w:bookmarkEnd w:id="242"/>
      <w:bookmarkEnd w:id="243"/>
    </w:p>
    <w:p w14:paraId="733EA49F" w14:textId="77777777" w:rsidR="004B053B" w:rsidRPr="00A50E4D" w:rsidRDefault="004B053B" w:rsidP="004B053B">
      <w:pPr>
        <w:pStyle w:val="ListParagraph"/>
        <w:numPr>
          <w:ilvl w:val="0"/>
          <w:numId w:val="0"/>
        </w:numPr>
        <w:rPr>
          <w:rFonts w:cs="Tahoma"/>
          <w:b/>
          <w:strike/>
          <w:spacing w:val="-4"/>
          <w:lang w:val="en-US"/>
        </w:rPr>
      </w:pPr>
    </w:p>
    <w:p w14:paraId="453E57EE" w14:textId="5B1A98B1" w:rsidR="004B053B" w:rsidRPr="00A50E4D" w:rsidRDefault="00687A44" w:rsidP="004B053B">
      <w:pPr>
        <w:pStyle w:val="PrrafodeSentencia"/>
        <w:rPr>
          <w:lang w:val="en-US"/>
        </w:rPr>
      </w:pPr>
      <w:bookmarkStart w:id="244" w:name="_Ref431642489"/>
      <w:bookmarkStart w:id="245" w:name="_Ref431214597"/>
      <w:r w:rsidRPr="00A50E4D">
        <w:rPr>
          <w:lang w:val="en-US"/>
        </w:rPr>
        <w:t>The proceeding instituted against Mr. López Lone and his subsequent dismissal</w:t>
      </w:r>
      <w:r w:rsidR="004B053B" w:rsidRPr="00A50E4D">
        <w:rPr>
          <w:lang w:val="en-US"/>
        </w:rPr>
        <w:t xml:space="preserve"> </w:t>
      </w:r>
      <w:r w:rsidR="002E7066" w:rsidRPr="00A50E4D">
        <w:rPr>
          <w:lang w:val="en-US"/>
        </w:rPr>
        <w:t>resulted from</w:t>
      </w:r>
      <w:r w:rsidRPr="00A50E4D">
        <w:rPr>
          <w:lang w:val="en-US"/>
        </w:rPr>
        <w:t xml:space="preserve"> his participation in the </w:t>
      </w:r>
      <w:r w:rsidR="002E7066" w:rsidRPr="00A50E4D">
        <w:rPr>
          <w:lang w:val="en-US"/>
        </w:rPr>
        <w:t>demonstration</w:t>
      </w:r>
      <w:r w:rsidRPr="00A50E4D">
        <w:rPr>
          <w:lang w:val="en-US"/>
        </w:rPr>
        <w:t xml:space="preserve"> held near </w:t>
      </w:r>
      <w:r w:rsidR="00E678F7" w:rsidRPr="00A50E4D">
        <w:rPr>
          <w:lang w:val="en-US"/>
        </w:rPr>
        <w:t>Toncontin</w:t>
      </w:r>
      <w:r w:rsidRPr="00A50E4D">
        <w:rPr>
          <w:lang w:val="en-US"/>
        </w:rPr>
        <w:t xml:space="preserve"> Airport while awaiting the return </w:t>
      </w:r>
      <w:r w:rsidR="004626E5" w:rsidRPr="00A50E4D">
        <w:rPr>
          <w:lang w:val="en-US"/>
        </w:rPr>
        <w:t xml:space="preserve">of </w:t>
      </w:r>
      <w:r w:rsidR="0054124E" w:rsidRPr="00A50E4D">
        <w:rPr>
          <w:lang w:val="en-US"/>
        </w:rPr>
        <w:t>President Zelaya</w:t>
      </w:r>
      <w:r w:rsidR="004B053B" w:rsidRPr="00A50E4D">
        <w:rPr>
          <w:lang w:val="en-US"/>
        </w:rPr>
        <w:t xml:space="preserve">, </w:t>
      </w:r>
      <w:r w:rsidRPr="00A50E4D">
        <w:rPr>
          <w:lang w:val="en-US"/>
        </w:rPr>
        <w:t xml:space="preserve">several days after </w:t>
      </w:r>
      <w:r w:rsidR="004626E5" w:rsidRPr="00A50E4D">
        <w:rPr>
          <w:lang w:val="en-US"/>
        </w:rPr>
        <w:t xml:space="preserve">the </w:t>
      </w:r>
      <w:r w:rsidR="00B11ACA" w:rsidRPr="00A50E4D">
        <w:rPr>
          <w:i/>
          <w:lang w:val="en-US"/>
        </w:rPr>
        <w:t>coup d’état</w:t>
      </w:r>
      <w:r w:rsidR="004B053B" w:rsidRPr="00A50E4D">
        <w:rPr>
          <w:rFonts w:cs="Arial"/>
          <w:szCs w:val="20"/>
          <w:lang w:val="en-US"/>
        </w:rPr>
        <w:t xml:space="preserve"> (</w:t>
      </w:r>
      <w:r w:rsidR="004B053B" w:rsidRPr="00A50E4D">
        <w:rPr>
          <w:rFonts w:cs="Arial"/>
          <w:i/>
          <w:szCs w:val="20"/>
          <w:lang w:val="en-US"/>
        </w:rPr>
        <w:t xml:space="preserve">supra </w:t>
      </w:r>
      <w:r w:rsidR="00AD5EE7" w:rsidRPr="00A50E4D">
        <w:rPr>
          <w:rFonts w:cs="Arial"/>
          <w:szCs w:val="20"/>
          <w:lang w:val="en-US"/>
        </w:rPr>
        <w:t>paras.</w:t>
      </w:r>
      <w:r w:rsidR="004B053B" w:rsidRPr="00A50E4D">
        <w:rPr>
          <w:rFonts w:cs="Arial"/>
          <w:szCs w:val="20"/>
          <w:lang w:val="en-US"/>
        </w:rPr>
        <w:t xml:space="preserve"> </w:t>
      </w:r>
      <w:r w:rsidR="000A3933" w:rsidRPr="00914F55">
        <w:rPr>
          <w:rFonts w:cs="Arial"/>
          <w:szCs w:val="20"/>
          <w:lang w:val="en-US"/>
        </w:rPr>
        <w:fldChar w:fldCharType="begin"/>
      </w:r>
      <w:r w:rsidR="000A3933" w:rsidRPr="00A50E4D">
        <w:rPr>
          <w:rFonts w:cs="Arial"/>
          <w:szCs w:val="20"/>
          <w:lang w:val="en-US"/>
        </w:rPr>
        <w:instrText xml:space="preserve"> REF _Ref424631914 \r \h </w:instrText>
      </w:r>
      <w:r w:rsidR="003C6A5C" w:rsidRPr="00A50E4D">
        <w:rPr>
          <w:rFonts w:cs="Arial"/>
          <w:szCs w:val="20"/>
          <w:lang w:val="en-US"/>
        </w:rPr>
        <w:instrText xml:space="preserve"> \* MERGEFORMAT </w:instrText>
      </w:r>
      <w:r w:rsidR="000A3933" w:rsidRPr="00914F55">
        <w:rPr>
          <w:rFonts w:cs="Arial"/>
          <w:szCs w:val="20"/>
          <w:lang w:val="en-US"/>
        </w:rPr>
      </w:r>
      <w:r w:rsidR="000A3933" w:rsidRPr="00914F55">
        <w:rPr>
          <w:rFonts w:cs="Arial"/>
          <w:szCs w:val="20"/>
          <w:lang w:val="en-US"/>
        </w:rPr>
        <w:fldChar w:fldCharType="separate"/>
      </w:r>
      <w:r w:rsidR="00547588">
        <w:rPr>
          <w:rFonts w:cs="Arial"/>
          <w:szCs w:val="20"/>
          <w:lang w:val="en-US"/>
        </w:rPr>
        <w:t>87</w:t>
      </w:r>
      <w:r w:rsidR="000A3933" w:rsidRPr="00914F55">
        <w:rPr>
          <w:rFonts w:cs="Arial"/>
          <w:szCs w:val="20"/>
          <w:lang w:val="en-US"/>
        </w:rPr>
        <w:fldChar w:fldCharType="end"/>
      </w:r>
      <w:r w:rsidR="000A3933" w:rsidRPr="00A50E4D">
        <w:rPr>
          <w:rFonts w:cs="Arial"/>
          <w:szCs w:val="20"/>
          <w:lang w:val="en-US"/>
        </w:rPr>
        <w:t xml:space="preserve"> </w:t>
      </w:r>
      <w:r w:rsidRPr="00A50E4D">
        <w:rPr>
          <w:rFonts w:cs="Arial"/>
          <w:szCs w:val="20"/>
          <w:lang w:val="en-US"/>
        </w:rPr>
        <w:t>to</w:t>
      </w:r>
      <w:r w:rsidR="004B053B" w:rsidRPr="00A50E4D">
        <w:rPr>
          <w:rFonts w:cs="Arial"/>
          <w:szCs w:val="20"/>
          <w:lang w:val="en-US"/>
        </w:rPr>
        <w:t xml:space="preserve"> </w:t>
      </w:r>
      <w:r w:rsidR="00C36863" w:rsidRPr="00914F55">
        <w:rPr>
          <w:rFonts w:cs="Arial"/>
          <w:szCs w:val="20"/>
          <w:lang w:val="en-US"/>
        </w:rPr>
        <w:fldChar w:fldCharType="begin"/>
      </w:r>
      <w:r w:rsidR="00C36863" w:rsidRPr="00A50E4D">
        <w:rPr>
          <w:rFonts w:cs="Arial"/>
          <w:szCs w:val="20"/>
          <w:lang w:val="en-US"/>
        </w:rPr>
        <w:instrText xml:space="preserve"> REF _Ref427318786 \r \h </w:instrText>
      </w:r>
      <w:r w:rsidR="003C6A5C" w:rsidRPr="00A50E4D">
        <w:rPr>
          <w:rFonts w:cs="Arial"/>
          <w:szCs w:val="20"/>
          <w:lang w:val="en-US"/>
        </w:rPr>
        <w:instrText xml:space="preserve"> \* MERGEFORMAT </w:instrText>
      </w:r>
      <w:r w:rsidR="00C36863" w:rsidRPr="00914F55">
        <w:rPr>
          <w:rFonts w:cs="Arial"/>
          <w:szCs w:val="20"/>
          <w:lang w:val="en-US"/>
        </w:rPr>
      </w:r>
      <w:r w:rsidR="00C36863" w:rsidRPr="00914F55">
        <w:rPr>
          <w:rFonts w:cs="Arial"/>
          <w:szCs w:val="20"/>
          <w:lang w:val="en-US"/>
        </w:rPr>
        <w:fldChar w:fldCharType="separate"/>
      </w:r>
      <w:r w:rsidR="00547588">
        <w:rPr>
          <w:rFonts w:cs="Arial"/>
          <w:szCs w:val="20"/>
          <w:lang w:val="en-US"/>
        </w:rPr>
        <w:t>103</w:t>
      </w:r>
      <w:r w:rsidR="00C36863" w:rsidRPr="00914F55">
        <w:rPr>
          <w:rFonts w:cs="Arial"/>
          <w:szCs w:val="20"/>
          <w:lang w:val="en-US"/>
        </w:rPr>
        <w:fldChar w:fldCharType="end"/>
      </w:r>
      <w:r w:rsidR="004B053B" w:rsidRPr="00A50E4D">
        <w:rPr>
          <w:rFonts w:cs="Arial"/>
          <w:szCs w:val="20"/>
          <w:lang w:val="en-US"/>
        </w:rPr>
        <w:t>)</w:t>
      </w:r>
      <w:r w:rsidR="004B053B" w:rsidRPr="00A50E4D">
        <w:rPr>
          <w:szCs w:val="20"/>
          <w:lang w:val="en-US"/>
        </w:rPr>
        <w:t>.</w:t>
      </w:r>
      <w:r w:rsidR="004B053B" w:rsidRPr="00A50E4D">
        <w:rPr>
          <w:lang w:val="en-US"/>
        </w:rPr>
        <w:t xml:space="preserve"> </w:t>
      </w:r>
      <w:r w:rsidRPr="00A50E4D">
        <w:rPr>
          <w:lang w:val="en-US"/>
        </w:rPr>
        <w:t>His participation const</w:t>
      </w:r>
      <w:r w:rsidR="002E7066" w:rsidRPr="00A50E4D">
        <w:rPr>
          <w:lang w:val="en-US"/>
        </w:rPr>
        <w:t>ituted an exercise of his rights</w:t>
      </w:r>
      <w:r w:rsidRPr="00A50E4D">
        <w:rPr>
          <w:lang w:val="en-US"/>
        </w:rPr>
        <w:t xml:space="preserve"> to participate in politics, to</w:t>
      </w:r>
      <w:r w:rsidR="004B053B" w:rsidRPr="00A50E4D">
        <w:rPr>
          <w:lang w:val="en-US"/>
        </w:rPr>
        <w:t xml:space="preserve"> </w:t>
      </w:r>
      <w:r w:rsidR="00371BB7" w:rsidRPr="00A50E4D">
        <w:rPr>
          <w:lang w:val="en-US"/>
        </w:rPr>
        <w:t>freedom of expression</w:t>
      </w:r>
      <w:r w:rsidR="002E7066" w:rsidRPr="00A50E4D">
        <w:rPr>
          <w:lang w:val="en-US"/>
        </w:rPr>
        <w:t xml:space="preserve"> and</w:t>
      </w:r>
      <w:r w:rsidR="004B053B" w:rsidRPr="00A50E4D">
        <w:rPr>
          <w:lang w:val="en-US"/>
        </w:rPr>
        <w:t xml:space="preserve"> </w:t>
      </w:r>
      <w:r w:rsidR="002E7066" w:rsidRPr="00A50E4D">
        <w:rPr>
          <w:lang w:val="en-US"/>
        </w:rPr>
        <w:t xml:space="preserve">to </w:t>
      </w:r>
      <w:r w:rsidR="00371BB7" w:rsidRPr="00A50E4D">
        <w:rPr>
          <w:lang w:val="en-US"/>
        </w:rPr>
        <w:t>the right of assembly</w:t>
      </w:r>
      <w:r w:rsidR="004B053B" w:rsidRPr="00A50E4D">
        <w:rPr>
          <w:lang w:val="en-US"/>
        </w:rPr>
        <w:t xml:space="preserve">. </w:t>
      </w:r>
      <w:r w:rsidRPr="00A50E4D">
        <w:rPr>
          <w:lang w:val="en-US"/>
        </w:rPr>
        <w:t>Even though some individ</w:t>
      </w:r>
      <w:r w:rsidR="002E7066" w:rsidRPr="00A50E4D">
        <w:rPr>
          <w:lang w:val="en-US"/>
        </w:rPr>
        <w:t>uals in the demonstration carried</w:t>
      </w:r>
      <w:r w:rsidRPr="00A50E4D">
        <w:rPr>
          <w:lang w:val="en-US"/>
        </w:rPr>
        <w:t xml:space="preserve"> flags of political parties, the Cou</w:t>
      </w:r>
      <w:r w:rsidR="002E7066" w:rsidRPr="00A50E4D">
        <w:rPr>
          <w:lang w:val="en-US"/>
        </w:rPr>
        <w:t>rt finds that the relevant fact</w:t>
      </w:r>
      <w:r w:rsidRPr="00A50E4D">
        <w:rPr>
          <w:lang w:val="en-US"/>
        </w:rPr>
        <w:t xml:space="preserve"> is that </w:t>
      </w:r>
      <w:r w:rsidR="002E7066" w:rsidRPr="00A50E4D">
        <w:rPr>
          <w:lang w:val="en-US"/>
        </w:rPr>
        <w:t>it</w:t>
      </w:r>
      <w:r w:rsidRPr="00A50E4D">
        <w:rPr>
          <w:lang w:val="en-US"/>
        </w:rPr>
        <w:t xml:space="preserve"> was a protest and a demonstration in</w:t>
      </w:r>
      <w:r w:rsidR="004B053B" w:rsidRPr="00A50E4D">
        <w:rPr>
          <w:lang w:val="en-US"/>
        </w:rPr>
        <w:t xml:space="preserve"> favor</w:t>
      </w:r>
      <w:r w:rsidR="00FF35A9" w:rsidRPr="00A50E4D">
        <w:rPr>
          <w:lang w:val="en-US"/>
        </w:rPr>
        <w:t xml:space="preserve"> of the </w:t>
      </w:r>
      <w:r w:rsidRPr="00A50E4D">
        <w:rPr>
          <w:lang w:val="en-US"/>
        </w:rPr>
        <w:t xml:space="preserve">return to </w:t>
      </w:r>
      <w:r w:rsidR="002E7066" w:rsidRPr="00A50E4D">
        <w:rPr>
          <w:lang w:val="en-US"/>
        </w:rPr>
        <w:t xml:space="preserve">the </w:t>
      </w:r>
      <w:r w:rsidRPr="00A50E4D">
        <w:rPr>
          <w:lang w:val="en-US"/>
        </w:rPr>
        <w:t xml:space="preserve">democratic </w:t>
      </w:r>
      <w:r w:rsidR="004B053B" w:rsidRPr="00A50E4D">
        <w:rPr>
          <w:lang w:val="en-US"/>
        </w:rPr>
        <w:t>institu</w:t>
      </w:r>
      <w:r w:rsidR="002E7066" w:rsidRPr="00A50E4D">
        <w:rPr>
          <w:lang w:val="en-US"/>
        </w:rPr>
        <w:t>tional structure</w:t>
      </w:r>
      <w:r w:rsidRPr="00A50E4D">
        <w:rPr>
          <w:lang w:val="en-US"/>
        </w:rPr>
        <w:t xml:space="preserve"> represented by the return </w:t>
      </w:r>
      <w:r w:rsidR="004626E5" w:rsidRPr="00A50E4D">
        <w:rPr>
          <w:lang w:val="en-US"/>
        </w:rPr>
        <w:t xml:space="preserve">of </w:t>
      </w:r>
      <w:r w:rsidR="0054124E" w:rsidRPr="00A50E4D">
        <w:rPr>
          <w:lang w:val="en-US"/>
        </w:rPr>
        <w:t>President Zelaya</w:t>
      </w:r>
      <w:r w:rsidR="004B053B" w:rsidRPr="00A50E4D">
        <w:rPr>
          <w:lang w:val="en-US"/>
        </w:rPr>
        <w:t xml:space="preserve">, </w:t>
      </w:r>
      <w:r w:rsidRPr="00A50E4D">
        <w:rPr>
          <w:lang w:val="en-US"/>
        </w:rPr>
        <w:t xml:space="preserve">unlawfully </w:t>
      </w:r>
      <w:r w:rsidR="004B053B" w:rsidRPr="00A50E4D">
        <w:rPr>
          <w:lang w:val="en-US"/>
        </w:rPr>
        <w:t>dep</w:t>
      </w:r>
      <w:r w:rsidRPr="00A50E4D">
        <w:rPr>
          <w:lang w:val="en-US"/>
        </w:rPr>
        <w:t xml:space="preserve">osed from the presidency according to international law. Therefore, this Court concludes that the disciplinary proceeding against </w:t>
      </w:r>
      <w:r w:rsidR="0029085B" w:rsidRPr="00A50E4D">
        <w:rPr>
          <w:lang w:val="en-US"/>
        </w:rPr>
        <w:t xml:space="preserve">Mr. </w:t>
      </w:r>
      <w:r w:rsidR="00FF35A9" w:rsidRPr="00A50E4D">
        <w:rPr>
          <w:lang w:val="en-US"/>
        </w:rPr>
        <w:t>López</w:t>
      </w:r>
      <w:r w:rsidR="004B053B" w:rsidRPr="00A50E4D">
        <w:rPr>
          <w:lang w:val="en-US"/>
        </w:rPr>
        <w:t xml:space="preserve"> Lone</w:t>
      </w:r>
      <w:r w:rsidR="009808C5" w:rsidRPr="00A50E4D">
        <w:rPr>
          <w:lang w:val="en-US"/>
        </w:rPr>
        <w:t xml:space="preserve"> and </w:t>
      </w:r>
      <w:r w:rsidRPr="00A50E4D">
        <w:rPr>
          <w:lang w:val="en-US"/>
        </w:rPr>
        <w:t>his subsequent dismissal constituted a violation of</w:t>
      </w:r>
      <w:r w:rsidR="004B053B" w:rsidRPr="00A50E4D">
        <w:rPr>
          <w:lang w:val="en-US"/>
        </w:rPr>
        <w:t xml:space="preserve"> </w:t>
      </w:r>
      <w:r w:rsidR="009808C5" w:rsidRPr="00A50E4D">
        <w:rPr>
          <w:lang w:val="en-US"/>
        </w:rPr>
        <w:t>Articles</w:t>
      </w:r>
      <w:r w:rsidR="004B053B" w:rsidRPr="00A50E4D">
        <w:rPr>
          <w:lang w:val="en-US"/>
        </w:rPr>
        <w:t xml:space="preserve"> </w:t>
      </w:r>
      <w:r w:rsidR="00CD2874" w:rsidRPr="00A50E4D">
        <w:rPr>
          <w:lang w:val="en-US"/>
        </w:rPr>
        <w:t>13(1)</w:t>
      </w:r>
      <w:r w:rsidR="004B053B" w:rsidRPr="00A50E4D">
        <w:rPr>
          <w:lang w:val="en-US"/>
        </w:rPr>
        <w:t>, 15</w:t>
      </w:r>
      <w:r w:rsidR="009808C5" w:rsidRPr="00A50E4D">
        <w:rPr>
          <w:lang w:val="en-US"/>
        </w:rPr>
        <w:t xml:space="preserve"> and </w:t>
      </w:r>
      <w:r w:rsidR="004B053B" w:rsidRPr="00A50E4D">
        <w:rPr>
          <w:lang w:val="en-US"/>
        </w:rPr>
        <w:t>23</w:t>
      </w:r>
      <w:r w:rsidR="009808C5" w:rsidRPr="00A50E4D">
        <w:rPr>
          <w:lang w:val="en-US"/>
        </w:rPr>
        <w:t xml:space="preserve"> of the Convention</w:t>
      </w:r>
      <w:r w:rsidR="00D75F95" w:rsidRPr="00A50E4D">
        <w:rPr>
          <w:lang w:val="en-US"/>
        </w:rPr>
        <w:t>,</w:t>
      </w:r>
      <w:r w:rsidR="004B053B" w:rsidRPr="00A50E4D">
        <w:rPr>
          <w:lang w:val="en-US"/>
        </w:rPr>
        <w:t xml:space="preserve"> </w:t>
      </w:r>
      <w:r w:rsidR="0048601C" w:rsidRPr="00A50E4D">
        <w:rPr>
          <w:lang w:val="en-US"/>
        </w:rPr>
        <w:t>in relation to Article 1(1)</w:t>
      </w:r>
      <w:r w:rsidR="00FF35A9" w:rsidRPr="00A50E4D">
        <w:rPr>
          <w:lang w:val="en-US"/>
        </w:rPr>
        <w:t xml:space="preserve"> of </w:t>
      </w:r>
      <w:r w:rsidRPr="00A50E4D">
        <w:rPr>
          <w:lang w:val="en-US"/>
        </w:rPr>
        <w:t>this instrument, to his detriment.</w:t>
      </w:r>
      <w:bookmarkEnd w:id="244"/>
      <w:r w:rsidR="004B053B" w:rsidRPr="00A50E4D">
        <w:rPr>
          <w:lang w:val="en-US"/>
        </w:rPr>
        <w:t xml:space="preserve"> </w:t>
      </w:r>
    </w:p>
    <w:bookmarkEnd w:id="245"/>
    <w:p w14:paraId="03C01C28" w14:textId="77777777" w:rsidR="004B053B" w:rsidRPr="00A50E4D" w:rsidRDefault="004B053B" w:rsidP="004B053B">
      <w:pPr>
        <w:pStyle w:val="ListParagraph"/>
        <w:numPr>
          <w:ilvl w:val="0"/>
          <w:numId w:val="0"/>
        </w:numPr>
        <w:rPr>
          <w:b/>
          <w:strike/>
          <w:spacing w:val="-4"/>
          <w:lang w:val="en-US"/>
        </w:rPr>
      </w:pPr>
    </w:p>
    <w:p w14:paraId="7C04E413" w14:textId="4AA1739B" w:rsidR="004B053B" w:rsidRPr="00914F55" w:rsidRDefault="004B053B" w:rsidP="004B053B">
      <w:pPr>
        <w:pStyle w:val="Heading3"/>
        <w:rPr>
          <w:i/>
          <w:spacing w:val="-4"/>
          <w:lang w:val="fr-FR"/>
        </w:rPr>
      </w:pPr>
      <w:bookmarkStart w:id="246" w:name="_Toc427943778"/>
      <w:bookmarkStart w:id="247" w:name="_Toc431584640"/>
      <w:bookmarkStart w:id="248" w:name="_Toc471717274"/>
      <w:r w:rsidRPr="00914F55">
        <w:rPr>
          <w:spacing w:val="-4"/>
          <w:lang w:val="fr-FR"/>
        </w:rPr>
        <w:t xml:space="preserve">B.2) Luis Alonso </w:t>
      </w:r>
      <w:r w:rsidR="009A7056" w:rsidRPr="00914F55">
        <w:rPr>
          <w:spacing w:val="-4"/>
          <w:lang w:val="fr-FR"/>
        </w:rPr>
        <w:t>Chévez de la Rocha</w:t>
      </w:r>
      <w:bookmarkEnd w:id="246"/>
      <w:bookmarkEnd w:id="247"/>
      <w:bookmarkEnd w:id="248"/>
    </w:p>
    <w:p w14:paraId="62AE99EC" w14:textId="77777777" w:rsidR="004B053B" w:rsidRPr="00914F55" w:rsidRDefault="004B053B" w:rsidP="004B053B">
      <w:pPr>
        <w:rPr>
          <w:spacing w:val="-4"/>
          <w:lang w:val="fr-FR"/>
        </w:rPr>
      </w:pPr>
    </w:p>
    <w:p w14:paraId="5F53D7A9" w14:textId="3FAD574C" w:rsidR="004B053B" w:rsidRPr="00A50E4D" w:rsidRDefault="00687A44" w:rsidP="00687A44">
      <w:pPr>
        <w:pStyle w:val="PrrafodeSentencia"/>
        <w:rPr>
          <w:rFonts w:cs="Tahoma"/>
          <w:lang w:val="en-US"/>
        </w:rPr>
      </w:pPr>
      <w:bookmarkStart w:id="249" w:name="_Ref431214715"/>
      <w:r w:rsidRPr="00A50E4D">
        <w:rPr>
          <w:lang w:val="en-US"/>
        </w:rPr>
        <w:t>The proceeding instituted against Mr. Chévez</w:t>
      </w:r>
      <w:r w:rsidR="009A7056" w:rsidRPr="00A50E4D">
        <w:rPr>
          <w:lang w:val="en-US"/>
        </w:rPr>
        <w:t xml:space="preserve"> de la Rocha</w:t>
      </w:r>
      <w:r w:rsidR="004B053B" w:rsidRPr="00A50E4D">
        <w:rPr>
          <w:lang w:val="en-US"/>
        </w:rPr>
        <w:t xml:space="preserve"> </w:t>
      </w:r>
      <w:r w:rsidRPr="00A50E4D">
        <w:rPr>
          <w:lang w:val="en-US"/>
        </w:rPr>
        <w:t xml:space="preserve">was based on his presumed participation in a protest against the </w:t>
      </w:r>
      <w:r w:rsidR="00B11ACA" w:rsidRPr="00A50E4D">
        <w:rPr>
          <w:i/>
          <w:lang w:val="en-US"/>
        </w:rPr>
        <w:t>coup d’état</w:t>
      </w:r>
      <w:r w:rsidRPr="00A50E4D">
        <w:rPr>
          <w:lang w:val="en-US"/>
        </w:rPr>
        <w:t xml:space="preserve"> and his resulting arrest</w:t>
      </w:r>
      <w:r w:rsidR="00460951" w:rsidRPr="00A50E4D">
        <w:rPr>
          <w:lang w:val="en-US"/>
        </w:rPr>
        <w:t xml:space="preserve">. </w:t>
      </w:r>
      <w:r w:rsidRPr="00A50E4D">
        <w:rPr>
          <w:lang w:val="en-US"/>
        </w:rPr>
        <w:t>Subsequently, comments made by</w:t>
      </w:r>
      <w:r w:rsidR="004B053B" w:rsidRPr="00A50E4D">
        <w:rPr>
          <w:lang w:val="en-US"/>
        </w:rPr>
        <w:t xml:space="preserve"> </w:t>
      </w:r>
      <w:r w:rsidR="009A7056" w:rsidRPr="00A50E4D">
        <w:rPr>
          <w:lang w:val="en-US"/>
        </w:rPr>
        <w:t>Mr. Chévez de la Rocha</w:t>
      </w:r>
      <w:r w:rsidR="00460951" w:rsidRPr="00A50E4D">
        <w:rPr>
          <w:lang w:val="en-US"/>
        </w:rPr>
        <w:t xml:space="preserve"> </w:t>
      </w:r>
      <w:r w:rsidRPr="00A50E4D">
        <w:rPr>
          <w:lang w:val="en-US"/>
        </w:rPr>
        <w:t xml:space="preserve">to his judicial colleagues concerning the actions </w:t>
      </w:r>
      <w:r w:rsidR="00700DEC" w:rsidRPr="00A50E4D">
        <w:rPr>
          <w:lang w:val="en-US"/>
        </w:rPr>
        <w:t>of the Judiciary</w:t>
      </w:r>
      <w:r w:rsidR="004B053B" w:rsidRPr="00A50E4D">
        <w:rPr>
          <w:lang w:val="en-US"/>
        </w:rPr>
        <w:t xml:space="preserve"> </w:t>
      </w:r>
      <w:r w:rsidRPr="00A50E4D">
        <w:rPr>
          <w:lang w:val="en-US"/>
        </w:rPr>
        <w:t>vis-à-vis</w:t>
      </w:r>
      <w:r w:rsidR="004B053B" w:rsidRPr="00A50E4D">
        <w:rPr>
          <w:lang w:val="en-US"/>
        </w:rPr>
        <w:t xml:space="preserve"> </w:t>
      </w:r>
      <w:r w:rsidR="00371BB7" w:rsidRPr="00A50E4D">
        <w:rPr>
          <w:lang w:val="en-US"/>
        </w:rPr>
        <w:t xml:space="preserve">the </w:t>
      </w:r>
      <w:r w:rsidR="00B11ACA" w:rsidRPr="00A50E4D">
        <w:rPr>
          <w:i/>
          <w:lang w:val="en-US"/>
        </w:rPr>
        <w:t>coup d’état</w:t>
      </w:r>
      <w:r w:rsidRPr="00A50E4D">
        <w:rPr>
          <w:lang w:val="en-US"/>
        </w:rPr>
        <w:t xml:space="preserve"> were included in the proceeding</w:t>
      </w:r>
      <w:r w:rsidR="004B053B" w:rsidRPr="00A50E4D">
        <w:rPr>
          <w:lang w:val="en-US"/>
        </w:rPr>
        <w:t xml:space="preserve"> </w:t>
      </w:r>
      <w:r w:rsidR="004B053B" w:rsidRPr="00A50E4D">
        <w:rPr>
          <w:rFonts w:cs="Arial"/>
          <w:szCs w:val="20"/>
          <w:lang w:val="en-US"/>
        </w:rPr>
        <w:t>(</w:t>
      </w:r>
      <w:r w:rsidR="004B053B" w:rsidRPr="00A50E4D">
        <w:rPr>
          <w:rFonts w:cs="Arial"/>
          <w:i/>
          <w:szCs w:val="20"/>
          <w:lang w:val="en-US"/>
        </w:rPr>
        <w:t xml:space="preserve">supra </w:t>
      </w:r>
      <w:r w:rsidR="00AD5EE7" w:rsidRPr="00A50E4D">
        <w:rPr>
          <w:rFonts w:cs="Arial"/>
          <w:szCs w:val="20"/>
          <w:lang w:val="en-US"/>
        </w:rPr>
        <w:t>paras.</w:t>
      </w:r>
      <w:r w:rsidR="00C36863" w:rsidRPr="00A50E4D">
        <w:rPr>
          <w:rFonts w:cs="Arial"/>
          <w:szCs w:val="20"/>
          <w:lang w:val="en-US"/>
        </w:rPr>
        <w:t xml:space="preserve"> </w:t>
      </w:r>
      <w:r w:rsidR="00C36863" w:rsidRPr="00914F55">
        <w:rPr>
          <w:rFonts w:cs="Arial"/>
          <w:szCs w:val="20"/>
          <w:lang w:val="en-US"/>
        </w:rPr>
        <w:fldChar w:fldCharType="begin"/>
      </w:r>
      <w:r w:rsidR="00C36863" w:rsidRPr="00A50E4D">
        <w:rPr>
          <w:rFonts w:cs="Arial"/>
          <w:szCs w:val="20"/>
          <w:lang w:val="en-US"/>
        </w:rPr>
        <w:instrText xml:space="preserve"> REF _Ref424563315 \r \h </w:instrText>
      </w:r>
      <w:r w:rsidR="003C6A5C" w:rsidRPr="00A50E4D">
        <w:rPr>
          <w:rFonts w:cs="Arial"/>
          <w:szCs w:val="20"/>
          <w:lang w:val="en-US"/>
        </w:rPr>
        <w:instrText xml:space="preserve"> \* MERGEFORMAT </w:instrText>
      </w:r>
      <w:r w:rsidR="00C36863" w:rsidRPr="00914F55">
        <w:rPr>
          <w:rFonts w:cs="Arial"/>
          <w:szCs w:val="20"/>
          <w:lang w:val="en-US"/>
        </w:rPr>
      </w:r>
      <w:r w:rsidR="00C36863" w:rsidRPr="00914F55">
        <w:rPr>
          <w:rFonts w:cs="Arial"/>
          <w:szCs w:val="20"/>
          <w:lang w:val="en-US"/>
        </w:rPr>
        <w:fldChar w:fldCharType="separate"/>
      </w:r>
      <w:r w:rsidR="00547588">
        <w:rPr>
          <w:rFonts w:cs="Arial"/>
          <w:szCs w:val="20"/>
          <w:lang w:val="en-US"/>
        </w:rPr>
        <w:t>124</w:t>
      </w:r>
      <w:r w:rsidR="00C36863" w:rsidRPr="00914F55">
        <w:rPr>
          <w:rFonts w:cs="Arial"/>
          <w:szCs w:val="20"/>
          <w:lang w:val="en-US"/>
        </w:rPr>
        <w:fldChar w:fldCharType="end"/>
      </w:r>
      <w:r w:rsidR="00C36863" w:rsidRPr="00A50E4D">
        <w:rPr>
          <w:rFonts w:cs="Arial"/>
          <w:szCs w:val="20"/>
          <w:lang w:val="en-US"/>
        </w:rPr>
        <w:t xml:space="preserve"> </w:t>
      </w:r>
      <w:r w:rsidRPr="00A50E4D">
        <w:rPr>
          <w:rFonts w:cs="Arial"/>
          <w:szCs w:val="20"/>
          <w:lang w:val="en-US"/>
        </w:rPr>
        <w:t>to</w:t>
      </w:r>
      <w:r w:rsidR="004B053B" w:rsidRPr="00A50E4D">
        <w:rPr>
          <w:rFonts w:cs="Arial"/>
          <w:szCs w:val="20"/>
          <w:lang w:val="en-US"/>
        </w:rPr>
        <w:t xml:space="preserve"> 134)</w:t>
      </w:r>
      <w:r w:rsidR="004B053B" w:rsidRPr="00A50E4D">
        <w:rPr>
          <w:lang w:val="en-US"/>
        </w:rPr>
        <w:t xml:space="preserve">. </w:t>
      </w:r>
      <w:r w:rsidR="009808C5" w:rsidRPr="00A50E4D">
        <w:rPr>
          <w:lang w:val="en-US"/>
        </w:rPr>
        <w:t xml:space="preserve">The </w:t>
      </w:r>
      <w:r w:rsidR="00371BB7" w:rsidRPr="00A50E4D">
        <w:rPr>
          <w:lang w:val="en-US"/>
        </w:rPr>
        <w:t>Supreme Court of Justice</w:t>
      </w:r>
      <w:r w:rsidR="004B053B" w:rsidRPr="00A50E4D">
        <w:rPr>
          <w:lang w:val="en-US"/>
        </w:rPr>
        <w:t xml:space="preserve"> </w:t>
      </w:r>
      <w:r w:rsidRPr="00A50E4D">
        <w:rPr>
          <w:lang w:val="en-US"/>
        </w:rPr>
        <w:t xml:space="preserve">ruled to dismiss </w:t>
      </w:r>
      <w:r w:rsidR="009808C5" w:rsidRPr="00A50E4D">
        <w:rPr>
          <w:lang w:val="en-US"/>
        </w:rPr>
        <w:t>Judge</w:t>
      </w:r>
      <w:r w:rsidR="004B053B" w:rsidRPr="00A50E4D">
        <w:rPr>
          <w:lang w:val="en-US"/>
        </w:rPr>
        <w:t xml:space="preserve"> Chévez </w:t>
      </w:r>
      <w:r w:rsidRPr="00A50E4D">
        <w:rPr>
          <w:lang w:val="en-US"/>
        </w:rPr>
        <w:t>on June 4,</w:t>
      </w:r>
      <w:r w:rsidR="004B053B" w:rsidRPr="00A50E4D">
        <w:rPr>
          <w:lang w:val="en-US"/>
        </w:rPr>
        <w:t xml:space="preserve"> 2010, </w:t>
      </w:r>
      <w:r w:rsidRPr="00A50E4D">
        <w:rPr>
          <w:lang w:val="en-US"/>
        </w:rPr>
        <w:t xml:space="preserve">and he was removed from office on September 23, </w:t>
      </w:r>
      <w:r w:rsidR="004B053B" w:rsidRPr="00A50E4D">
        <w:rPr>
          <w:lang w:val="en-US"/>
        </w:rPr>
        <w:t>2010 (</w:t>
      </w:r>
      <w:r w:rsidR="004B053B" w:rsidRPr="00A50E4D">
        <w:rPr>
          <w:i/>
          <w:lang w:val="en-US"/>
        </w:rPr>
        <w:t>supra</w:t>
      </w:r>
      <w:r w:rsidR="004B053B" w:rsidRPr="00A50E4D">
        <w:rPr>
          <w:lang w:val="en-US"/>
        </w:rPr>
        <w:t xml:space="preserve"> </w:t>
      </w:r>
      <w:r w:rsidR="00AD5EE7" w:rsidRPr="00A50E4D">
        <w:rPr>
          <w:lang w:val="en-US"/>
        </w:rPr>
        <w:t>paras.</w:t>
      </w:r>
      <w:r w:rsidR="004B053B" w:rsidRPr="00A50E4D">
        <w:rPr>
          <w:lang w:val="en-US"/>
        </w:rPr>
        <w:t xml:space="preserve"> </w:t>
      </w:r>
      <w:r w:rsidR="004B053B" w:rsidRPr="00914F55">
        <w:rPr>
          <w:lang w:val="en-US"/>
        </w:rPr>
        <w:fldChar w:fldCharType="begin"/>
      </w:r>
      <w:r w:rsidR="004B053B" w:rsidRPr="00A50E4D">
        <w:rPr>
          <w:lang w:val="en-US"/>
        </w:rPr>
        <w:instrText xml:space="preserve"> REF _Ref426373721 \r \h  \* MERGEFORMAT </w:instrText>
      </w:r>
      <w:r w:rsidR="004B053B" w:rsidRPr="00914F55">
        <w:rPr>
          <w:lang w:val="en-US"/>
        </w:rPr>
      </w:r>
      <w:r w:rsidR="004B053B" w:rsidRPr="00914F55">
        <w:rPr>
          <w:lang w:val="en-US"/>
        </w:rPr>
        <w:fldChar w:fldCharType="separate"/>
      </w:r>
      <w:r w:rsidR="00547588">
        <w:rPr>
          <w:lang w:val="en-US"/>
        </w:rPr>
        <w:t>123</w:t>
      </w:r>
      <w:r w:rsidR="004B053B" w:rsidRPr="00914F55">
        <w:rPr>
          <w:lang w:val="en-US"/>
        </w:rPr>
        <w:fldChar w:fldCharType="end"/>
      </w:r>
      <w:r w:rsidR="009808C5" w:rsidRPr="00A50E4D">
        <w:rPr>
          <w:lang w:val="en-US"/>
        </w:rPr>
        <w:t xml:space="preserve"> and </w:t>
      </w:r>
      <w:r w:rsidR="004B053B" w:rsidRPr="00914F55">
        <w:rPr>
          <w:lang w:val="en-US"/>
        </w:rPr>
        <w:fldChar w:fldCharType="begin"/>
      </w:r>
      <w:r w:rsidR="004B053B" w:rsidRPr="00A50E4D">
        <w:rPr>
          <w:lang w:val="en-US"/>
        </w:rPr>
        <w:instrText xml:space="preserve"> REF _Ref426373726 \r \h  \* MERGEFORMAT </w:instrText>
      </w:r>
      <w:r w:rsidR="004B053B" w:rsidRPr="00914F55">
        <w:rPr>
          <w:lang w:val="en-US"/>
        </w:rPr>
      </w:r>
      <w:r w:rsidR="004B053B" w:rsidRPr="00914F55">
        <w:rPr>
          <w:lang w:val="en-US"/>
        </w:rPr>
        <w:fldChar w:fldCharType="separate"/>
      </w:r>
      <w:r w:rsidR="00547588">
        <w:rPr>
          <w:lang w:val="en-US"/>
        </w:rPr>
        <w:t>132</w:t>
      </w:r>
      <w:r w:rsidR="004B053B" w:rsidRPr="00914F55">
        <w:rPr>
          <w:lang w:val="en-US"/>
        </w:rPr>
        <w:fldChar w:fldCharType="end"/>
      </w:r>
      <w:r w:rsidRPr="00A50E4D">
        <w:rPr>
          <w:lang w:val="en-US"/>
        </w:rPr>
        <w:t xml:space="preserve">). After the Supreme Court’s </w:t>
      </w:r>
      <w:r w:rsidR="000A786A" w:rsidRPr="00A50E4D">
        <w:rPr>
          <w:lang w:val="en-US"/>
        </w:rPr>
        <w:t>decision</w:t>
      </w:r>
      <w:r w:rsidRPr="00A50E4D">
        <w:rPr>
          <w:lang w:val="en-US"/>
        </w:rPr>
        <w:t xml:space="preserve"> had been contested, </w:t>
      </w:r>
      <w:r w:rsidR="006A756C" w:rsidRPr="00A50E4D">
        <w:rPr>
          <w:lang w:val="en-US"/>
        </w:rPr>
        <w:t>the Judicial Service Council</w:t>
      </w:r>
      <w:r w:rsidR="004B053B" w:rsidRPr="00A50E4D">
        <w:rPr>
          <w:lang w:val="en-US"/>
        </w:rPr>
        <w:t xml:space="preserve"> </w:t>
      </w:r>
      <w:r w:rsidRPr="00A50E4D">
        <w:rPr>
          <w:lang w:val="en-US"/>
        </w:rPr>
        <w:t xml:space="preserve">considered that the appeal filed against this decision was admissible </w:t>
      </w:r>
      <w:r w:rsidR="004B053B" w:rsidRPr="00A50E4D">
        <w:rPr>
          <w:lang w:val="en-US"/>
        </w:rPr>
        <w:t>(</w:t>
      </w:r>
      <w:r w:rsidR="004B053B" w:rsidRPr="00A50E4D">
        <w:rPr>
          <w:i/>
          <w:lang w:val="en-US"/>
        </w:rPr>
        <w:t xml:space="preserve">supra </w:t>
      </w:r>
      <w:r w:rsidR="00AD5EE7" w:rsidRPr="00A50E4D">
        <w:rPr>
          <w:lang w:val="en-US"/>
        </w:rPr>
        <w:t>para.</w:t>
      </w:r>
      <w:r w:rsidR="004B053B" w:rsidRPr="00A50E4D">
        <w:rPr>
          <w:lang w:val="en-US"/>
        </w:rPr>
        <w:t xml:space="preserve"> </w:t>
      </w:r>
      <w:r w:rsidR="004B053B" w:rsidRPr="00914F55">
        <w:rPr>
          <w:lang w:val="en-US"/>
        </w:rPr>
        <w:fldChar w:fldCharType="begin"/>
      </w:r>
      <w:r w:rsidR="004B053B" w:rsidRPr="00A50E4D">
        <w:rPr>
          <w:lang w:val="en-US"/>
        </w:rPr>
        <w:instrText xml:space="preserve"> REF _Ref424654878 \r \h  \* MERGEFORMAT </w:instrText>
      </w:r>
      <w:r w:rsidR="004B053B" w:rsidRPr="00914F55">
        <w:rPr>
          <w:lang w:val="en-US"/>
        </w:rPr>
      </w:r>
      <w:r w:rsidR="004B053B" w:rsidRPr="00914F55">
        <w:rPr>
          <w:lang w:val="en-US"/>
        </w:rPr>
        <w:fldChar w:fldCharType="separate"/>
      </w:r>
      <w:r w:rsidR="00547588">
        <w:rPr>
          <w:lang w:val="en-US"/>
        </w:rPr>
        <w:t>134</w:t>
      </w:r>
      <w:r w:rsidR="004B053B" w:rsidRPr="00914F55">
        <w:rPr>
          <w:lang w:val="en-US"/>
        </w:rPr>
        <w:fldChar w:fldCharType="end"/>
      </w:r>
      <w:r w:rsidR="004B053B" w:rsidRPr="00A50E4D">
        <w:rPr>
          <w:lang w:val="en-US"/>
        </w:rPr>
        <w:t>). N</w:t>
      </w:r>
      <w:r w:rsidRPr="00A50E4D">
        <w:rPr>
          <w:lang w:val="en-US"/>
        </w:rPr>
        <w:t xml:space="preserve">evertheless, </w:t>
      </w:r>
      <w:r w:rsidR="006A756C" w:rsidRPr="00A50E4D">
        <w:rPr>
          <w:lang w:val="en-US"/>
        </w:rPr>
        <w:t>the Judicial Service Council</w:t>
      </w:r>
      <w:r w:rsidR="004B053B" w:rsidRPr="00A50E4D">
        <w:rPr>
          <w:lang w:val="en-US"/>
        </w:rPr>
        <w:t xml:space="preserve"> re</w:t>
      </w:r>
      <w:r w:rsidRPr="00A50E4D">
        <w:rPr>
          <w:lang w:val="en-US"/>
        </w:rPr>
        <w:t xml:space="preserve">jected the request to reinstate him in his post, because: </w:t>
      </w:r>
      <w:r w:rsidR="00AD3ADE" w:rsidRPr="00A50E4D">
        <w:rPr>
          <w:lang w:val="en-US"/>
        </w:rPr>
        <w:t>(</w:t>
      </w:r>
      <w:r w:rsidR="004B053B" w:rsidRPr="00A50E4D">
        <w:rPr>
          <w:lang w:val="en-US"/>
        </w:rPr>
        <w:t xml:space="preserve">i) </w:t>
      </w:r>
      <w:r w:rsidRPr="00A50E4D">
        <w:rPr>
          <w:lang w:val="en-US"/>
        </w:rPr>
        <w:t>it was considered proved that Mr. Chévez</w:t>
      </w:r>
      <w:r w:rsidR="004B053B" w:rsidRPr="00A50E4D">
        <w:rPr>
          <w:lang w:val="en-US"/>
        </w:rPr>
        <w:t xml:space="preserve"> </w:t>
      </w:r>
      <w:r w:rsidRPr="00A50E4D">
        <w:rPr>
          <w:lang w:val="en-US"/>
        </w:rPr>
        <w:t xml:space="preserve">was </w:t>
      </w:r>
      <w:r w:rsidR="004B053B" w:rsidRPr="00A50E4D">
        <w:rPr>
          <w:lang w:val="en-US"/>
        </w:rPr>
        <w:t>“</w:t>
      </w:r>
      <w:r w:rsidRPr="00A50E4D">
        <w:rPr>
          <w:lang w:val="en-US"/>
        </w:rPr>
        <w:t xml:space="preserve">ashamed of </w:t>
      </w:r>
      <w:r w:rsidR="002E7066" w:rsidRPr="00A50E4D">
        <w:rPr>
          <w:lang w:val="en-US"/>
        </w:rPr>
        <w:t>belonging to</w:t>
      </w:r>
      <w:r w:rsidRPr="00A50E4D">
        <w:rPr>
          <w:lang w:val="en-US"/>
        </w:rPr>
        <w:t xml:space="preserve"> the Judiciary and</w:t>
      </w:r>
      <w:r w:rsidR="002E7066" w:rsidRPr="00A50E4D">
        <w:rPr>
          <w:lang w:val="en-US"/>
        </w:rPr>
        <w:t>,</w:t>
      </w:r>
      <w:r w:rsidRPr="00A50E4D">
        <w:rPr>
          <w:lang w:val="en-US"/>
        </w:rPr>
        <w:t xml:space="preserve"> if he </w:t>
      </w:r>
      <w:r w:rsidR="002E7066" w:rsidRPr="00A50E4D">
        <w:rPr>
          <w:lang w:val="en-US"/>
        </w:rPr>
        <w:t>[was] employ[ed] in the Judiciary, this</w:t>
      </w:r>
      <w:r w:rsidRPr="00A50E4D">
        <w:rPr>
          <w:lang w:val="en-US"/>
        </w:rPr>
        <w:t xml:space="preserve"> [was</w:t>
      </w:r>
      <w:r w:rsidR="002E7066" w:rsidRPr="00A50E4D">
        <w:rPr>
          <w:lang w:val="en-US"/>
        </w:rPr>
        <w:t>] by necessity and, in view of such opinions of inconformity</w:t>
      </w:r>
      <w:r w:rsidRPr="00A50E4D">
        <w:rPr>
          <w:lang w:val="en-US"/>
        </w:rPr>
        <w:t xml:space="preserve">, it [was] not desirable for either of the parties to </w:t>
      </w:r>
      <w:r w:rsidR="002E7066" w:rsidRPr="00A50E4D">
        <w:rPr>
          <w:lang w:val="en-US"/>
        </w:rPr>
        <w:t xml:space="preserve">continue </w:t>
      </w:r>
      <w:r w:rsidRPr="00A50E4D">
        <w:rPr>
          <w:lang w:val="en-US"/>
        </w:rPr>
        <w:t xml:space="preserve">the employment relationship,” and (ii) it was considered that his reinstatement was impossible because </w:t>
      </w:r>
      <w:r w:rsidR="002E7066" w:rsidRPr="00A50E4D">
        <w:rPr>
          <w:lang w:val="en-US"/>
        </w:rPr>
        <w:t xml:space="preserve">someone </w:t>
      </w:r>
      <w:r w:rsidRPr="00A50E4D">
        <w:rPr>
          <w:lang w:val="en-US"/>
        </w:rPr>
        <w:t>had been appointed to substitute him on September 13, 2010. Consequently, the Council decided to compensate</w:t>
      </w:r>
      <w:r w:rsidRPr="00A50E4D">
        <w:rPr>
          <w:i/>
          <w:color w:val="7030A0"/>
          <w:lang w:val="en-US"/>
        </w:rPr>
        <w:t xml:space="preserve"> </w:t>
      </w:r>
      <w:r w:rsidRPr="00A50E4D">
        <w:rPr>
          <w:lang w:val="en-US"/>
        </w:rPr>
        <w:t>Mr. Chévez</w:t>
      </w:r>
      <w:r w:rsidR="004B053B" w:rsidRPr="00A50E4D">
        <w:rPr>
          <w:lang w:val="en-US"/>
        </w:rPr>
        <w:t xml:space="preserve"> </w:t>
      </w:r>
      <w:r w:rsidR="00C36863" w:rsidRPr="00A50E4D">
        <w:rPr>
          <w:lang w:val="en-US"/>
        </w:rPr>
        <w:t>(</w:t>
      </w:r>
      <w:r w:rsidR="00C36863" w:rsidRPr="00A50E4D">
        <w:rPr>
          <w:i/>
          <w:lang w:val="en-US"/>
        </w:rPr>
        <w:t xml:space="preserve">supra </w:t>
      </w:r>
      <w:r w:rsidR="00AD5EE7" w:rsidRPr="00A50E4D">
        <w:rPr>
          <w:lang w:val="en-US"/>
        </w:rPr>
        <w:t>para.</w:t>
      </w:r>
      <w:r w:rsidR="00C36863" w:rsidRPr="00A50E4D">
        <w:rPr>
          <w:lang w:val="en-US"/>
        </w:rPr>
        <w:t xml:space="preserve"> </w:t>
      </w:r>
      <w:r w:rsidR="00C36863" w:rsidRPr="00914F55">
        <w:rPr>
          <w:lang w:val="en-US"/>
        </w:rPr>
        <w:fldChar w:fldCharType="begin"/>
      </w:r>
      <w:r w:rsidR="00C36863" w:rsidRPr="00A50E4D">
        <w:rPr>
          <w:lang w:val="en-US"/>
        </w:rPr>
        <w:instrText xml:space="preserve"> REF _Ref426373810 \r \h  \* MERGEFORMAT </w:instrText>
      </w:r>
      <w:r w:rsidR="00C36863" w:rsidRPr="00914F55">
        <w:rPr>
          <w:lang w:val="en-US"/>
        </w:rPr>
      </w:r>
      <w:r w:rsidR="00C36863" w:rsidRPr="00914F55">
        <w:rPr>
          <w:lang w:val="en-US"/>
        </w:rPr>
        <w:fldChar w:fldCharType="separate"/>
      </w:r>
      <w:r w:rsidR="00547588">
        <w:rPr>
          <w:lang w:val="en-US"/>
        </w:rPr>
        <w:t>137</w:t>
      </w:r>
      <w:r w:rsidR="00C36863" w:rsidRPr="00914F55">
        <w:rPr>
          <w:lang w:val="en-US"/>
        </w:rPr>
        <w:fldChar w:fldCharType="end"/>
      </w:r>
      <w:r w:rsidR="00C36863" w:rsidRPr="00A50E4D">
        <w:rPr>
          <w:lang w:val="en-US"/>
        </w:rPr>
        <w:t>)</w:t>
      </w:r>
      <w:r w:rsidR="004B053B" w:rsidRPr="00A50E4D">
        <w:rPr>
          <w:rFonts w:cs="Tahoma"/>
          <w:lang w:val="en-US"/>
        </w:rPr>
        <w:t>.</w:t>
      </w:r>
      <w:bookmarkEnd w:id="249"/>
    </w:p>
    <w:p w14:paraId="2E8561EF" w14:textId="77777777" w:rsidR="004B053B" w:rsidRPr="00A50E4D" w:rsidRDefault="004B053B" w:rsidP="004B053B">
      <w:pPr>
        <w:pStyle w:val="PrrafodeSentencia"/>
        <w:numPr>
          <w:ilvl w:val="0"/>
          <w:numId w:val="0"/>
        </w:numPr>
        <w:rPr>
          <w:lang w:val="en-US"/>
        </w:rPr>
      </w:pPr>
    </w:p>
    <w:p w14:paraId="26026C74" w14:textId="32C615B6" w:rsidR="00A34945" w:rsidRPr="00A50E4D" w:rsidRDefault="009808C5" w:rsidP="00687A44">
      <w:pPr>
        <w:pStyle w:val="PrrafodeSentencia"/>
        <w:rPr>
          <w:rFonts w:cs="Tahoma"/>
          <w:i/>
          <w:color w:val="7030A0"/>
          <w:lang w:val="en-US"/>
        </w:rPr>
      </w:pPr>
      <w:bookmarkStart w:id="250" w:name="_Ref431642859"/>
      <w:r w:rsidRPr="00A50E4D">
        <w:rPr>
          <w:lang w:val="en-US"/>
        </w:rPr>
        <w:t>The Court</w:t>
      </w:r>
      <w:r w:rsidR="004B053B" w:rsidRPr="00A50E4D">
        <w:rPr>
          <w:lang w:val="en-US"/>
        </w:rPr>
        <w:t xml:space="preserve"> </w:t>
      </w:r>
      <w:r w:rsidR="00687A44" w:rsidRPr="00A50E4D">
        <w:rPr>
          <w:lang w:val="en-US"/>
        </w:rPr>
        <w:t xml:space="preserve">notes that the alleged </w:t>
      </w:r>
      <w:r w:rsidR="000A786A" w:rsidRPr="00A50E4D">
        <w:rPr>
          <w:lang w:val="en-US"/>
        </w:rPr>
        <w:t>participation</w:t>
      </w:r>
      <w:r w:rsidR="00687A44" w:rsidRPr="00A50E4D">
        <w:rPr>
          <w:lang w:val="en-US"/>
        </w:rPr>
        <w:t xml:space="preserve"> </w:t>
      </w:r>
      <w:r w:rsidR="00DA4F82" w:rsidRPr="00A50E4D">
        <w:rPr>
          <w:lang w:val="en-US"/>
        </w:rPr>
        <w:t>of Mr.</w:t>
      </w:r>
      <w:r w:rsidR="004B053B" w:rsidRPr="00A50E4D">
        <w:rPr>
          <w:lang w:val="en-US"/>
        </w:rPr>
        <w:t xml:space="preserve"> </w:t>
      </w:r>
      <w:r w:rsidR="009A7056" w:rsidRPr="00A50E4D">
        <w:rPr>
          <w:lang w:val="en-US"/>
        </w:rPr>
        <w:t>Chévez de la Rocha</w:t>
      </w:r>
      <w:r w:rsidR="004B053B" w:rsidRPr="00A50E4D">
        <w:rPr>
          <w:lang w:val="en-US"/>
        </w:rPr>
        <w:t xml:space="preserve"> </w:t>
      </w:r>
      <w:r w:rsidR="00687A44" w:rsidRPr="00A50E4D">
        <w:rPr>
          <w:lang w:val="en-US"/>
        </w:rPr>
        <w:t>in a protest against</w:t>
      </w:r>
      <w:r w:rsidR="004626E5" w:rsidRPr="00A50E4D">
        <w:rPr>
          <w:lang w:val="en-US"/>
        </w:rPr>
        <w:t xml:space="preserve"> the </w:t>
      </w:r>
      <w:r w:rsidR="00B11ACA" w:rsidRPr="00A50E4D">
        <w:rPr>
          <w:i/>
          <w:lang w:val="en-US"/>
        </w:rPr>
        <w:t>coup d’état</w:t>
      </w:r>
      <w:r w:rsidRPr="00A50E4D">
        <w:rPr>
          <w:lang w:val="en-US"/>
        </w:rPr>
        <w:t xml:space="preserve"> and </w:t>
      </w:r>
      <w:r w:rsidR="00687A44" w:rsidRPr="00A50E4D">
        <w:rPr>
          <w:lang w:val="en-US"/>
        </w:rPr>
        <w:t xml:space="preserve">the comments that he made against the actions of the Judiciary vis-à-vis the </w:t>
      </w:r>
      <w:r w:rsidR="00B11ACA" w:rsidRPr="00A50E4D">
        <w:rPr>
          <w:i/>
          <w:lang w:val="en-US"/>
        </w:rPr>
        <w:t>coup d’état</w:t>
      </w:r>
      <w:r w:rsidR="004B053B" w:rsidRPr="00A50E4D">
        <w:rPr>
          <w:lang w:val="en-US"/>
        </w:rPr>
        <w:t>, constitu</w:t>
      </w:r>
      <w:r w:rsidR="00687A44" w:rsidRPr="00A50E4D">
        <w:rPr>
          <w:lang w:val="en-US"/>
        </w:rPr>
        <w:t>te</w:t>
      </w:r>
      <w:r w:rsidR="002E7066" w:rsidRPr="00A50E4D">
        <w:rPr>
          <w:lang w:val="en-US"/>
        </w:rPr>
        <w:t>d</w:t>
      </w:r>
      <w:r w:rsidR="00687A44" w:rsidRPr="00A50E4D">
        <w:rPr>
          <w:lang w:val="en-US"/>
        </w:rPr>
        <w:t xml:space="preserve"> the exercise of his right to participate in politics, to</w:t>
      </w:r>
      <w:r w:rsidR="004B053B" w:rsidRPr="00A50E4D">
        <w:rPr>
          <w:lang w:val="en-US"/>
        </w:rPr>
        <w:t xml:space="preserve"> </w:t>
      </w:r>
      <w:r w:rsidR="00371BB7" w:rsidRPr="00A50E4D">
        <w:rPr>
          <w:lang w:val="en-US"/>
        </w:rPr>
        <w:t>freedom of expression</w:t>
      </w:r>
      <w:r w:rsidRPr="00A50E4D">
        <w:rPr>
          <w:lang w:val="en-US"/>
        </w:rPr>
        <w:t xml:space="preserve"> and </w:t>
      </w:r>
      <w:r w:rsidR="00687A44" w:rsidRPr="00A50E4D">
        <w:rPr>
          <w:lang w:val="en-US"/>
        </w:rPr>
        <w:t>to</w:t>
      </w:r>
      <w:r w:rsidR="004B053B" w:rsidRPr="00A50E4D">
        <w:rPr>
          <w:lang w:val="en-US"/>
        </w:rPr>
        <w:t xml:space="preserve"> </w:t>
      </w:r>
      <w:r w:rsidR="00371BB7" w:rsidRPr="00A50E4D">
        <w:rPr>
          <w:lang w:val="en-US"/>
        </w:rPr>
        <w:t>the right of assembly</w:t>
      </w:r>
      <w:r w:rsidR="004B053B" w:rsidRPr="00A50E4D">
        <w:rPr>
          <w:lang w:val="en-US"/>
        </w:rPr>
        <w:t xml:space="preserve">. </w:t>
      </w:r>
      <w:r w:rsidR="002E7066" w:rsidRPr="00A50E4D">
        <w:rPr>
          <w:lang w:val="en-US"/>
        </w:rPr>
        <w:t>Therefore, the</w:t>
      </w:r>
      <w:r w:rsidR="00687A44" w:rsidRPr="00A50E4D">
        <w:rPr>
          <w:lang w:val="en-US"/>
        </w:rPr>
        <w:t xml:space="preserve"> Court concludes that the disciplinary proceeding </w:t>
      </w:r>
      <w:r w:rsidR="00FF35A9" w:rsidRPr="00A50E4D">
        <w:rPr>
          <w:lang w:val="en-US"/>
        </w:rPr>
        <w:t>against</w:t>
      </w:r>
      <w:r w:rsidR="00AD3ADE" w:rsidRPr="00A50E4D">
        <w:rPr>
          <w:lang w:val="en-US"/>
        </w:rPr>
        <w:t xml:space="preserve"> </w:t>
      </w:r>
      <w:r w:rsidR="00687A44" w:rsidRPr="00A50E4D">
        <w:rPr>
          <w:lang w:val="en-US"/>
        </w:rPr>
        <w:t>Mr. Chévez</w:t>
      </w:r>
      <w:r w:rsidR="009A7056" w:rsidRPr="00A50E4D">
        <w:rPr>
          <w:lang w:val="en-US"/>
        </w:rPr>
        <w:t xml:space="preserve"> de la Rocha</w:t>
      </w:r>
      <w:r w:rsidR="004B053B" w:rsidRPr="00A50E4D">
        <w:rPr>
          <w:lang w:val="en-US"/>
        </w:rPr>
        <w:t>, as</w:t>
      </w:r>
      <w:r w:rsidR="00687A44" w:rsidRPr="00A50E4D">
        <w:rPr>
          <w:lang w:val="en-US"/>
        </w:rPr>
        <w:t xml:space="preserve"> well as</w:t>
      </w:r>
      <w:r w:rsidR="002E7066" w:rsidRPr="00A50E4D">
        <w:rPr>
          <w:lang w:val="en-US"/>
        </w:rPr>
        <w:t xml:space="preserve"> the refusal to reinstate him in</w:t>
      </w:r>
      <w:r w:rsidR="00687A44" w:rsidRPr="00A50E4D">
        <w:rPr>
          <w:lang w:val="en-US"/>
        </w:rPr>
        <w:t xml:space="preserve"> his post of judge, constituted</w:t>
      </w:r>
      <w:r w:rsidR="004B053B" w:rsidRPr="00A50E4D">
        <w:rPr>
          <w:lang w:val="en-US"/>
        </w:rPr>
        <w:t xml:space="preserve"> </w:t>
      </w:r>
      <w:r w:rsidR="00687A44" w:rsidRPr="00A50E4D">
        <w:rPr>
          <w:lang w:val="en-US"/>
        </w:rPr>
        <w:t>a violation of</w:t>
      </w:r>
      <w:r w:rsidR="004B053B" w:rsidRPr="00A50E4D">
        <w:rPr>
          <w:lang w:val="en-US"/>
        </w:rPr>
        <w:t xml:space="preserve"> </w:t>
      </w:r>
      <w:r w:rsidRPr="00A50E4D">
        <w:rPr>
          <w:lang w:val="en-US"/>
        </w:rPr>
        <w:t>Articles</w:t>
      </w:r>
      <w:r w:rsidR="004B053B" w:rsidRPr="00A50E4D">
        <w:rPr>
          <w:lang w:val="en-US"/>
        </w:rPr>
        <w:t xml:space="preserve"> </w:t>
      </w:r>
      <w:r w:rsidR="00CD2874" w:rsidRPr="00A50E4D">
        <w:rPr>
          <w:lang w:val="en-US"/>
        </w:rPr>
        <w:t>13(1)</w:t>
      </w:r>
      <w:r w:rsidR="004B053B" w:rsidRPr="00A50E4D">
        <w:rPr>
          <w:lang w:val="en-US"/>
        </w:rPr>
        <w:t>, 15</w:t>
      </w:r>
      <w:r w:rsidRPr="00A50E4D">
        <w:rPr>
          <w:lang w:val="en-US"/>
        </w:rPr>
        <w:t xml:space="preserve"> and </w:t>
      </w:r>
      <w:r w:rsidR="004B053B" w:rsidRPr="00A50E4D">
        <w:rPr>
          <w:lang w:val="en-US"/>
        </w:rPr>
        <w:t>23</w:t>
      </w:r>
      <w:r w:rsidRPr="00A50E4D">
        <w:rPr>
          <w:lang w:val="en-US"/>
        </w:rPr>
        <w:t xml:space="preserve"> of the Convention</w:t>
      </w:r>
      <w:r w:rsidR="00AD3ADE" w:rsidRPr="00A50E4D">
        <w:rPr>
          <w:lang w:val="en-US"/>
        </w:rPr>
        <w:t>,</w:t>
      </w:r>
      <w:r w:rsidR="004B053B" w:rsidRPr="00A50E4D">
        <w:rPr>
          <w:lang w:val="en-US"/>
        </w:rPr>
        <w:t xml:space="preserve"> </w:t>
      </w:r>
      <w:r w:rsidR="0048601C" w:rsidRPr="00A50E4D">
        <w:rPr>
          <w:lang w:val="en-US"/>
        </w:rPr>
        <w:t>in relation to Article 1(1)</w:t>
      </w:r>
      <w:r w:rsidR="00FF35A9" w:rsidRPr="00A50E4D">
        <w:rPr>
          <w:lang w:val="en-US"/>
        </w:rPr>
        <w:t xml:space="preserve"> </w:t>
      </w:r>
      <w:r w:rsidR="00687A44" w:rsidRPr="00A50E4D">
        <w:rPr>
          <w:lang w:val="en-US"/>
        </w:rPr>
        <w:t>of this instrument, to his detriment</w:t>
      </w:r>
      <w:r w:rsidR="004B053B" w:rsidRPr="00A50E4D">
        <w:rPr>
          <w:lang w:val="en-US"/>
        </w:rPr>
        <w:t>.</w:t>
      </w:r>
      <w:bookmarkEnd w:id="250"/>
    </w:p>
    <w:p w14:paraId="46076D44" w14:textId="77777777" w:rsidR="00A34945" w:rsidRPr="00A50E4D" w:rsidRDefault="00A34945" w:rsidP="004B053B">
      <w:pPr>
        <w:pStyle w:val="ListParagraph"/>
        <w:numPr>
          <w:ilvl w:val="0"/>
          <w:numId w:val="0"/>
        </w:numPr>
        <w:rPr>
          <w:rFonts w:cs="Tahoma"/>
          <w:b/>
          <w:strike/>
          <w:spacing w:val="-4"/>
          <w:lang w:val="en-US"/>
        </w:rPr>
      </w:pPr>
    </w:p>
    <w:p w14:paraId="23E9FA53" w14:textId="3B2E1753" w:rsidR="004B053B" w:rsidRPr="00914F55" w:rsidRDefault="004B053B" w:rsidP="004B053B">
      <w:pPr>
        <w:pStyle w:val="Heading3"/>
        <w:rPr>
          <w:rStyle w:val="Heading3Char"/>
          <w:b/>
          <w:spacing w:val="-4"/>
        </w:rPr>
      </w:pPr>
      <w:bookmarkStart w:id="251" w:name="_Toc427943781"/>
      <w:bookmarkStart w:id="252" w:name="_Toc431584641"/>
      <w:bookmarkStart w:id="253" w:name="_Toc471717275"/>
      <w:r w:rsidRPr="00914F55">
        <w:rPr>
          <w:spacing w:val="-4"/>
        </w:rPr>
        <w:t xml:space="preserve">B.3) </w:t>
      </w:r>
      <w:r w:rsidR="008217D7" w:rsidRPr="00914F55">
        <w:rPr>
          <w:rStyle w:val="Heading3Char"/>
          <w:b/>
          <w:spacing w:val="-4"/>
        </w:rPr>
        <w:t>Tirza del Carmen</w:t>
      </w:r>
      <w:r w:rsidRPr="00914F55">
        <w:rPr>
          <w:rStyle w:val="Heading3Char"/>
          <w:b/>
          <w:spacing w:val="-4"/>
        </w:rPr>
        <w:t xml:space="preserve"> Flores Lanza</w:t>
      </w:r>
      <w:bookmarkEnd w:id="251"/>
      <w:bookmarkEnd w:id="252"/>
      <w:bookmarkEnd w:id="253"/>
    </w:p>
    <w:p w14:paraId="6234FB3F" w14:textId="77777777" w:rsidR="004B053B" w:rsidRPr="00914F55" w:rsidRDefault="004B053B" w:rsidP="004B053B">
      <w:pPr>
        <w:pStyle w:val="PrrafodeSentencia"/>
        <w:numPr>
          <w:ilvl w:val="0"/>
          <w:numId w:val="0"/>
        </w:numPr>
      </w:pPr>
    </w:p>
    <w:p w14:paraId="25978976" w14:textId="22AAED05" w:rsidR="004B053B" w:rsidRPr="00A50E4D" w:rsidRDefault="00687A44" w:rsidP="004B053B">
      <w:pPr>
        <w:pStyle w:val="PrrafodeSentencia"/>
        <w:rPr>
          <w:b/>
          <w:lang w:val="en-US"/>
        </w:rPr>
      </w:pPr>
      <w:bookmarkStart w:id="254" w:name="_Ref431643058"/>
      <w:r w:rsidRPr="00A50E4D">
        <w:rPr>
          <w:lang w:val="en-US"/>
        </w:rPr>
        <w:t xml:space="preserve">The proceeding instituted against </w:t>
      </w:r>
      <w:r w:rsidR="00A23598" w:rsidRPr="00A50E4D">
        <w:rPr>
          <w:lang w:val="en-US"/>
        </w:rPr>
        <w:t>Ms. Flores</w:t>
      </w:r>
      <w:r w:rsidRPr="00A50E4D">
        <w:rPr>
          <w:lang w:val="en-US"/>
        </w:rPr>
        <w:t xml:space="preserve"> Lanza was based on the filing of an application for </w:t>
      </w:r>
      <w:r w:rsidR="00B11ACA" w:rsidRPr="00A50E4D">
        <w:rPr>
          <w:i/>
          <w:lang w:val="en-US"/>
        </w:rPr>
        <w:t>amparo</w:t>
      </w:r>
      <w:r w:rsidRPr="00A50E4D">
        <w:rPr>
          <w:lang w:val="en-US"/>
        </w:rPr>
        <w:t xml:space="preserve"> in</w:t>
      </w:r>
      <w:r w:rsidR="000B4956" w:rsidRPr="00A50E4D">
        <w:rPr>
          <w:lang w:val="en-US"/>
        </w:rPr>
        <w:t xml:space="preserve"> favor</w:t>
      </w:r>
      <w:r w:rsidR="004626E5" w:rsidRPr="00A50E4D">
        <w:rPr>
          <w:lang w:val="en-US"/>
        </w:rPr>
        <w:t xml:space="preserve"> of </w:t>
      </w:r>
      <w:r w:rsidR="0054124E" w:rsidRPr="00A50E4D">
        <w:rPr>
          <w:lang w:val="en-US"/>
        </w:rPr>
        <w:t>President Zelaya</w:t>
      </w:r>
      <w:r w:rsidR="002E7066" w:rsidRPr="00A50E4D">
        <w:rPr>
          <w:lang w:val="en-US"/>
        </w:rPr>
        <w:t>, as well as</w:t>
      </w:r>
      <w:r w:rsidRPr="00A50E4D">
        <w:rPr>
          <w:lang w:val="en-US"/>
        </w:rPr>
        <w:t xml:space="preserve"> the filing of a criminal complaint before the Prosecutor General, and comments on the actions of other ju</w:t>
      </w:r>
      <w:r w:rsidR="002E7066" w:rsidRPr="00A50E4D">
        <w:rPr>
          <w:lang w:val="en-US"/>
        </w:rPr>
        <w:t>dicial</w:t>
      </w:r>
      <w:r w:rsidRPr="00A50E4D">
        <w:rPr>
          <w:lang w:val="en-US"/>
        </w:rPr>
        <w:t xml:space="preserve"> organs, including </w:t>
      </w:r>
      <w:r w:rsidR="009808C5" w:rsidRPr="00A50E4D">
        <w:rPr>
          <w:lang w:val="en-US"/>
        </w:rPr>
        <w:t xml:space="preserve">the </w:t>
      </w:r>
      <w:r w:rsidR="00371BB7" w:rsidRPr="00A50E4D">
        <w:rPr>
          <w:lang w:val="en-US"/>
        </w:rPr>
        <w:t>Supreme Court of Justice</w:t>
      </w:r>
      <w:r w:rsidR="004B053B" w:rsidRPr="00A50E4D">
        <w:rPr>
          <w:lang w:val="en-US"/>
        </w:rPr>
        <w:t xml:space="preserve"> (</w:t>
      </w:r>
      <w:r w:rsidR="004B053B" w:rsidRPr="00A50E4D">
        <w:rPr>
          <w:i/>
          <w:lang w:val="en-US"/>
        </w:rPr>
        <w:t xml:space="preserve">supra </w:t>
      </w:r>
      <w:r w:rsidR="00AD5EE7" w:rsidRPr="00A50E4D">
        <w:rPr>
          <w:lang w:val="en-US"/>
        </w:rPr>
        <w:t>paras.</w:t>
      </w:r>
      <w:r w:rsidR="004B053B" w:rsidRPr="00A50E4D">
        <w:rPr>
          <w:lang w:val="en-US"/>
        </w:rPr>
        <w:t xml:space="preserve"> </w:t>
      </w:r>
      <w:r w:rsidR="005E054D" w:rsidRPr="00914F55">
        <w:rPr>
          <w:lang w:val="en-US"/>
        </w:rPr>
        <w:fldChar w:fldCharType="begin"/>
      </w:r>
      <w:r w:rsidR="005E054D" w:rsidRPr="00A50E4D">
        <w:rPr>
          <w:lang w:val="en-US"/>
        </w:rPr>
        <w:instrText xml:space="preserve"> REF _Ref424563288 \r \h </w:instrText>
      </w:r>
      <w:r w:rsidR="003C6A5C" w:rsidRPr="00A50E4D">
        <w:rPr>
          <w:lang w:val="en-US"/>
        </w:rPr>
        <w:instrText xml:space="preserve"> \* MERGEFORMAT </w:instrText>
      </w:r>
      <w:r w:rsidR="005E054D" w:rsidRPr="00914F55">
        <w:rPr>
          <w:lang w:val="en-US"/>
        </w:rPr>
      </w:r>
      <w:r w:rsidR="005E054D" w:rsidRPr="00914F55">
        <w:rPr>
          <w:lang w:val="en-US"/>
        </w:rPr>
        <w:fldChar w:fldCharType="separate"/>
      </w:r>
      <w:r w:rsidR="00547588">
        <w:rPr>
          <w:lang w:val="en-US"/>
        </w:rPr>
        <w:t>106</w:t>
      </w:r>
      <w:r w:rsidR="005E054D" w:rsidRPr="00914F55">
        <w:rPr>
          <w:lang w:val="en-US"/>
        </w:rPr>
        <w:fldChar w:fldCharType="end"/>
      </w:r>
      <w:r w:rsidR="005E054D" w:rsidRPr="00A50E4D">
        <w:rPr>
          <w:lang w:val="en-US"/>
        </w:rPr>
        <w:t xml:space="preserve"> </w:t>
      </w:r>
      <w:r w:rsidRPr="00A50E4D">
        <w:rPr>
          <w:lang w:val="en-US"/>
        </w:rPr>
        <w:t>to</w:t>
      </w:r>
      <w:r w:rsidR="004B053B" w:rsidRPr="00A50E4D">
        <w:rPr>
          <w:lang w:val="en-US"/>
        </w:rPr>
        <w:t xml:space="preserve"> </w:t>
      </w:r>
      <w:r w:rsidR="005E054D" w:rsidRPr="00914F55">
        <w:rPr>
          <w:lang w:val="en-US"/>
        </w:rPr>
        <w:fldChar w:fldCharType="begin"/>
      </w:r>
      <w:r w:rsidR="005E054D" w:rsidRPr="00A50E4D">
        <w:rPr>
          <w:lang w:val="en-US"/>
        </w:rPr>
        <w:instrText xml:space="preserve"> REF _Ref431585794 \r \h </w:instrText>
      </w:r>
      <w:r w:rsidR="003C6A5C" w:rsidRPr="00A50E4D">
        <w:rPr>
          <w:lang w:val="en-US"/>
        </w:rPr>
        <w:instrText xml:space="preserve"> \* MERGEFORMAT </w:instrText>
      </w:r>
      <w:r w:rsidR="005E054D" w:rsidRPr="00914F55">
        <w:rPr>
          <w:lang w:val="en-US"/>
        </w:rPr>
      </w:r>
      <w:r w:rsidR="005E054D" w:rsidRPr="00914F55">
        <w:rPr>
          <w:lang w:val="en-US"/>
        </w:rPr>
        <w:fldChar w:fldCharType="separate"/>
      </w:r>
      <w:r w:rsidR="00547588">
        <w:rPr>
          <w:lang w:val="en-US"/>
        </w:rPr>
        <w:t>121</w:t>
      </w:r>
      <w:r w:rsidR="005E054D" w:rsidRPr="00914F55">
        <w:rPr>
          <w:lang w:val="en-US"/>
        </w:rPr>
        <w:fldChar w:fldCharType="end"/>
      </w:r>
      <w:r w:rsidR="004B053B" w:rsidRPr="00A50E4D">
        <w:rPr>
          <w:szCs w:val="20"/>
          <w:lang w:val="en-US"/>
        </w:rPr>
        <w:t xml:space="preserve">). </w:t>
      </w:r>
      <w:r w:rsidRPr="00A50E4D">
        <w:rPr>
          <w:szCs w:val="20"/>
          <w:lang w:val="en-US"/>
        </w:rPr>
        <w:t xml:space="preserve">In this regard, the Court considers that, </w:t>
      </w:r>
      <w:r w:rsidR="002E7066" w:rsidRPr="00A50E4D">
        <w:rPr>
          <w:szCs w:val="20"/>
          <w:lang w:val="en-US"/>
        </w:rPr>
        <w:t>in</w:t>
      </w:r>
      <w:r w:rsidRPr="00A50E4D">
        <w:rPr>
          <w:szCs w:val="20"/>
          <w:lang w:val="en-US"/>
        </w:rPr>
        <w:t xml:space="preserve"> specific circumstances, the filing of judicial remedies may be considered an exercise of the right to </w:t>
      </w:r>
      <w:r w:rsidR="00371BB7" w:rsidRPr="00A50E4D">
        <w:rPr>
          <w:szCs w:val="20"/>
          <w:lang w:val="en-US"/>
        </w:rPr>
        <w:t>freedom of expression</w:t>
      </w:r>
      <w:r w:rsidRPr="00A50E4D">
        <w:rPr>
          <w:szCs w:val="20"/>
          <w:lang w:val="en-US"/>
        </w:rPr>
        <w:t>.</w:t>
      </w:r>
      <w:r w:rsidR="004B053B" w:rsidRPr="00A50E4D">
        <w:rPr>
          <w:rStyle w:val="FootnoteReference"/>
          <w:sz w:val="20"/>
          <w:szCs w:val="20"/>
          <w:lang w:val="en-US"/>
        </w:rPr>
        <w:footnoteReference w:id="330"/>
      </w:r>
      <w:r w:rsidRPr="00A50E4D">
        <w:rPr>
          <w:szCs w:val="20"/>
          <w:lang w:val="en-US"/>
        </w:rPr>
        <w:t xml:space="preserve"> Indeed, judicial remedies and criminal complaints may be an appropriate mechanism to disseminate ideas or thoughts, for example, in the context of a </w:t>
      </w:r>
      <w:r w:rsidR="00B11ACA" w:rsidRPr="00A50E4D">
        <w:rPr>
          <w:i/>
          <w:szCs w:val="20"/>
          <w:lang w:val="en-US"/>
        </w:rPr>
        <w:t>coup d’état</w:t>
      </w:r>
      <w:r w:rsidR="004B053B" w:rsidRPr="00A50E4D">
        <w:rPr>
          <w:szCs w:val="20"/>
          <w:lang w:val="en-US"/>
        </w:rPr>
        <w:t xml:space="preserve">, </w:t>
      </w:r>
      <w:r w:rsidRPr="00A50E4D">
        <w:rPr>
          <w:szCs w:val="20"/>
          <w:lang w:val="en-US"/>
        </w:rPr>
        <w:t xml:space="preserve">because </w:t>
      </w:r>
      <w:r w:rsidR="002E7066" w:rsidRPr="00A50E4D">
        <w:rPr>
          <w:szCs w:val="20"/>
          <w:lang w:val="en-US"/>
        </w:rPr>
        <w:t>it</w:t>
      </w:r>
      <w:r w:rsidRPr="00A50E4D">
        <w:rPr>
          <w:szCs w:val="20"/>
          <w:lang w:val="en-US"/>
        </w:rPr>
        <w:t xml:space="preserve"> reveals positions </w:t>
      </w:r>
      <w:r w:rsidR="002E7066" w:rsidRPr="00A50E4D">
        <w:rPr>
          <w:szCs w:val="20"/>
          <w:lang w:val="en-US"/>
        </w:rPr>
        <w:t>taken to protect</w:t>
      </w:r>
      <w:r w:rsidRPr="00A50E4D">
        <w:rPr>
          <w:szCs w:val="20"/>
          <w:lang w:val="en-US"/>
        </w:rPr>
        <w:t xml:space="preserve"> the rule of law or constitutional rights, matters of evident public relevance. Although, under normal conditions, certain restrictions to the exercise of </w:t>
      </w:r>
      <w:r w:rsidR="00366BB3" w:rsidRPr="00A50E4D">
        <w:rPr>
          <w:szCs w:val="20"/>
          <w:lang w:val="en-US"/>
        </w:rPr>
        <w:t xml:space="preserve">the practice of </w:t>
      </w:r>
      <w:r w:rsidR="00366BB3" w:rsidRPr="00A50E4D">
        <w:rPr>
          <w:szCs w:val="20"/>
          <w:lang w:val="en-US"/>
        </w:rPr>
        <w:lastRenderedPageBreak/>
        <w:t>law</w:t>
      </w:r>
      <w:r w:rsidRPr="00A50E4D">
        <w:rPr>
          <w:szCs w:val="20"/>
          <w:lang w:val="en-US"/>
        </w:rPr>
        <w:t xml:space="preserve"> could be reasonable</w:t>
      </w:r>
      <w:r w:rsidR="002E7066" w:rsidRPr="00A50E4D">
        <w:rPr>
          <w:szCs w:val="20"/>
          <w:lang w:val="en-US"/>
        </w:rPr>
        <w:t xml:space="preserve"> in order</w:t>
      </w:r>
      <w:r w:rsidRPr="00A50E4D">
        <w:rPr>
          <w:szCs w:val="20"/>
          <w:lang w:val="en-US"/>
        </w:rPr>
        <w:t xml:space="preserve"> to </w:t>
      </w:r>
      <w:r w:rsidR="002E7066" w:rsidRPr="00A50E4D">
        <w:rPr>
          <w:szCs w:val="20"/>
          <w:lang w:val="en-US"/>
        </w:rPr>
        <w:t>ensure</w:t>
      </w:r>
      <w:r w:rsidRPr="00A50E4D">
        <w:rPr>
          <w:szCs w:val="20"/>
          <w:lang w:val="en-US"/>
        </w:rPr>
        <w:t xml:space="preserve"> the independence and impartiality of</w:t>
      </w:r>
      <w:r w:rsidR="004B053B" w:rsidRPr="00A50E4D">
        <w:rPr>
          <w:szCs w:val="20"/>
          <w:lang w:val="en-US"/>
        </w:rPr>
        <w:t xml:space="preserve"> </w:t>
      </w:r>
      <w:r w:rsidR="009808C5" w:rsidRPr="00A50E4D">
        <w:rPr>
          <w:szCs w:val="20"/>
          <w:lang w:val="en-US"/>
        </w:rPr>
        <w:t>judges</w:t>
      </w:r>
      <w:r w:rsidRPr="00A50E4D">
        <w:rPr>
          <w:szCs w:val="20"/>
          <w:lang w:val="en-US"/>
        </w:rPr>
        <w:t>,</w:t>
      </w:r>
      <w:r w:rsidR="004B053B" w:rsidRPr="00A50E4D">
        <w:rPr>
          <w:vertAlign w:val="superscript"/>
          <w:lang w:val="en-US"/>
        </w:rPr>
        <w:footnoteReference w:id="331"/>
      </w:r>
      <w:r w:rsidRPr="00A50E4D">
        <w:rPr>
          <w:lang w:val="en-US"/>
        </w:rPr>
        <w:t xml:space="preserve"> in the actual circumstances of this case, a restriction of this type should not have been applied, because the defense of democracy and the rule of law correspond to the legitimate exercise of a citizen’s political rights</w:t>
      </w:r>
      <w:r w:rsidR="004B053B" w:rsidRPr="00A50E4D">
        <w:rPr>
          <w:lang w:val="en-US"/>
        </w:rPr>
        <w:t>.</w:t>
      </w:r>
      <w:bookmarkEnd w:id="254"/>
      <w:r w:rsidR="004B053B" w:rsidRPr="00A50E4D">
        <w:rPr>
          <w:lang w:val="en-US"/>
        </w:rPr>
        <w:t xml:space="preserve"> </w:t>
      </w:r>
    </w:p>
    <w:p w14:paraId="41814B15" w14:textId="77777777" w:rsidR="004B053B" w:rsidRPr="00A50E4D" w:rsidRDefault="004B053B" w:rsidP="004B053B">
      <w:pPr>
        <w:rPr>
          <w:lang w:val="en-US" w:eastAsia="es-MX"/>
        </w:rPr>
      </w:pPr>
    </w:p>
    <w:p w14:paraId="25F79C5A" w14:textId="70A1BBD6" w:rsidR="00A34945" w:rsidRPr="00A50E4D" w:rsidRDefault="00687A44" w:rsidP="00687A44">
      <w:pPr>
        <w:pStyle w:val="PrrafodeSentencia"/>
        <w:rPr>
          <w:b/>
          <w:color w:val="00B050"/>
          <w:sz w:val="18"/>
          <w:szCs w:val="18"/>
          <w:lang w:val="en-US"/>
        </w:rPr>
      </w:pPr>
      <w:bookmarkStart w:id="255" w:name="_Ref431643069"/>
      <w:r w:rsidRPr="00A50E4D">
        <w:rPr>
          <w:lang w:val="en-US"/>
        </w:rPr>
        <w:t xml:space="preserve">By filing the application for </w:t>
      </w:r>
      <w:r w:rsidR="00B11ACA" w:rsidRPr="00A50E4D">
        <w:rPr>
          <w:i/>
          <w:lang w:val="en-US"/>
        </w:rPr>
        <w:t>amparo</w:t>
      </w:r>
      <w:r w:rsidRPr="00A50E4D">
        <w:rPr>
          <w:lang w:val="en-US"/>
        </w:rPr>
        <w:t xml:space="preserve"> and the criminal complaint, Ms. Flores Lanza revealed her inconformity with what </w:t>
      </w:r>
      <w:r w:rsidR="002E7066" w:rsidRPr="00A50E4D">
        <w:rPr>
          <w:lang w:val="en-US"/>
        </w:rPr>
        <w:t xml:space="preserve">had </w:t>
      </w:r>
      <w:r w:rsidRPr="00A50E4D">
        <w:rPr>
          <w:lang w:val="en-US"/>
        </w:rPr>
        <w:t xml:space="preserve">happened and sought to obtain </w:t>
      </w:r>
      <w:r w:rsidR="00371BB7" w:rsidRPr="00A50E4D">
        <w:rPr>
          <w:lang w:val="en-US"/>
        </w:rPr>
        <w:t>judicial protection</w:t>
      </w:r>
      <w:r w:rsidR="000B4956" w:rsidRPr="00A50E4D">
        <w:rPr>
          <w:lang w:val="en-US"/>
        </w:rPr>
        <w:t xml:space="preserve"> </w:t>
      </w:r>
      <w:r w:rsidRPr="00A50E4D">
        <w:rPr>
          <w:lang w:val="en-US"/>
        </w:rPr>
        <w:t xml:space="preserve">for </w:t>
      </w:r>
      <w:r w:rsidR="0054124E" w:rsidRPr="00A50E4D">
        <w:rPr>
          <w:lang w:val="en-US"/>
        </w:rPr>
        <w:t>President Zelaya</w:t>
      </w:r>
      <w:r w:rsidR="002E7066" w:rsidRPr="00A50E4D">
        <w:rPr>
          <w:lang w:val="en-US"/>
        </w:rPr>
        <w:t>’s rights</w:t>
      </w:r>
      <w:r w:rsidR="004B053B" w:rsidRPr="00A50E4D">
        <w:rPr>
          <w:lang w:val="en-US"/>
        </w:rPr>
        <w:t xml:space="preserve">. </w:t>
      </w:r>
      <w:r w:rsidRPr="00A50E4D">
        <w:rPr>
          <w:lang w:val="en-US"/>
        </w:rPr>
        <w:t xml:space="preserve">Accordingly, the Court finds that these actions, as well as the comments made by </w:t>
      </w:r>
      <w:r w:rsidR="00A23598" w:rsidRPr="00A50E4D">
        <w:rPr>
          <w:lang w:val="en-US"/>
        </w:rPr>
        <w:t>Ms. Flores</w:t>
      </w:r>
      <w:r w:rsidR="004B053B" w:rsidRPr="00A50E4D">
        <w:rPr>
          <w:lang w:val="en-US"/>
        </w:rPr>
        <w:t xml:space="preserve"> Lanza, constitu</w:t>
      </w:r>
      <w:r w:rsidRPr="00A50E4D">
        <w:rPr>
          <w:lang w:val="en-US"/>
        </w:rPr>
        <w:t xml:space="preserve">ted an exercise of her right to </w:t>
      </w:r>
      <w:r w:rsidR="00371BB7" w:rsidRPr="00A50E4D">
        <w:rPr>
          <w:lang w:val="en-US"/>
        </w:rPr>
        <w:t>freedom of expression</w:t>
      </w:r>
      <w:r w:rsidR="009808C5" w:rsidRPr="00A50E4D">
        <w:rPr>
          <w:lang w:val="en-US"/>
        </w:rPr>
        <w:t xml:space="preserve"> and </w:t>
      </w:r>
      <w:r w:rsidRPr="00A50E4D">
        <w:rPr>
          <w:lang w:val="en-US"/>
        </w:rPr>
        <w:t xml:space="preserve">to participate in politics. </w:t>
      </w:r>
      <w:r w:rsidR="004B053B" w:rsidRPr="00A50E4D">
        <w:rPr>
          <w:lang w:val="en-US"/>
        </w:rPr>
        <w:t xml:space="preserve"> </w:t>
      </w:r>
      <w:r w:rsidRPr="00A50E4D">
        <w:rPr>
          <w:lang w:val="en-US"/>
        </w:rPr>
        <w:t>Consequently, the Court concludes that the disciplinary proceeding</w:t>
      </w:r>
      <w:r w:rsidR="0014478A" w:rsidRPr="00A50E4D">
        <w:rPr>
          <w:lang w:val="en-US"/>
        </w:rPr>
        <w:t xml:space="preserve"> </w:t>
      </w:r>
      <w:r w:rsidR="00FF35A9" w:rsidRPr="00A50E4D">
        <w:rPr>
          <w:lang w:val="en-US"/>
        </w:rPr>
        <w:t>against</w:t>
      </w:r>
      <w:r w:rsidR="0014478A" w:rsidRPr="00A50E4D">
        <w:rPr>
          <w:lang w:val="en-US"/>
        </w:rPr>
        <w:t xml:space="preserve"> </w:t>
      </w:r>
      <w:r w:rsidR="00A23598" w:rsidRPr="00A50E4D">
        <w:rPr>
          <w:lang w:val="en-US"/>
        </w:rPr>
        <w:t>Ms. Flores</w:t>
      </w:r>
      <w:r w:rsidR="0014478A" w:rsidRPr="00A50E4D">
        <w:rPr>
          <w:lang w:val="en-US"/>
        </w:rPr>
        <w:t xml:space="preserve"> Lanza</w:t>
      </w:r>
      <w:r w:rsidR="004B053B" w:rsidRPr="00A50E4D">
        <w:rPr>
          <w:lang w:val="en-US"/>
        </w:rPr>
        <w:t>, a</w:t>
      </w:r>
      <w:r w:rsidRPr="00A50E4D">
        <w:rPr>
          <w:lang w:val="en-US"/>
        </w:rPr>
        <w:t>nd her subsequent dismissal constituted a violation of</w:t>
      </w:r>
      <w:r w:rsidR="004B053B" w:rsidRPr="00A50E4D">
        <w:rPr>
          <w:lang w:val="en-US"/>
        </w:rPr>
        <w:t xml:space="preserve"> </w:t>
      </w:r>
      <w:r w:rsidR="009808C5" w:rsidRPr="00A50E4D">
        <w:rPr>
          <w:lang w:val="en-US"/>
        </w:rPr>
        <w:t>Articles</w:t>
      </w:r>
      <w:r w:rsidR="004B053B" w:rsidRPr="00A50E4D">
        <w:rPr>
          <w:lang w:val="en-US"/>
        </w:rPr>
        <w:t xml:space="preserve"> </w:t>
      </w:r>
      <w:r w:rsidR="00CD2874" w:rsidRPr="00A50E4D">
        <w:rPr>
          <w:lang w:val="en-US"/>
        </w:rPr>
        <w:t>13(1)</w:t>
      </w:r>
      <w:r w:rsidR="009808C5" w:rsidRPr="00A50E4D">
        <w:rPr>
          <w:lang w:val="en-US"/>
        </w:rPr>
        <w:t xml:space="preserve"> and </w:t>
      </w:r>
      <w:r w:rsidR="004B053B" w:rsidRPr="00A50E4D">
        <w:rPr>
          <w:lang w:val="en-US"/>
        </w:rPr>
        <w:t>23</w:t>
      </w:r>
      <w:r w:rsidR="009808C5" w:rsidRPr="00A50E4D">
        <w:rPr>
          <w:lang w:val="en-US"/>
        </w:rPr>
        <w:t xml:space="preserve"> of the Convention</w:t>
      </w:r>
      <w:r w:rsidR="0014478A" w:rsidRPr="00A50E4D">
        <w:rPr>
          <w:lang w:val="en-US"/>
        </w:rPr>
        <w:t>,</w:t>
      </w:r>
      <w:r w:rsidR="004B053B" w:rsidRPr="00A50E4D">
        <w:rPr>
          <w:lang w:val="en-US"/>
        </w:rPr>
        <w:t xml:space="preserve"> </w:t>
      </w:r>
      <w:r w:rsidR="0048601C" w:rsidRPr="00A50E4D">
        <w:rPr>
          <w:lang w:val="en-US"/>
        </w:rPr>
        <w:t>in relation to Article 1(1)</w:t>
      </w:r>
      <w:r w:rsidR="00FF35A9" w:rsidRPr="00A50E4D">
        <w:rPr>
          <w:lang w:val="en-US"/>
        </w:rPr>
        <w:t xml:space="preserve"> </w:t>
      </w:r>
      <w:r w:rsidRPr="00A50E4D">
        <w:rPr>
          <w:lang w:val="en-US"/>
        </w:rPr>
        <w:t>of this instrument, to her detriment</w:t>
      </w:r>
      <w:r w:rsidR="004B053B" w:rsidRPr="00A50E4D">
        <w:rPr>
          <w:lang w:val="en-US"/>
        </w:rPr>
        <w:t>.</w:t>
      </w:r>
      <w:bookmarkEnd w:id="255"/>
    </w:p>
    <w:p w14:paraId="2735E996" w14:textId="77777777" w:rsidR="00A34945" w:rsidRPr="00A50E4D" w:rsidRDefault="00A34945" w:rsidP="004B053B">
      <w:pPr>
        <w:pStyle w:val="ListParagraph"/>
        <w:numPr>
          <w:ilvl w:val="0"/>
          <w:numId w:val="0"/>
        </w:numPr>
        <w:rPr>
          <w:rFonts w:cs="Tahoma"/>
          <w:b/>
          <w:strike/>
          <w:spacing w:val="-4"/>
          <w:lang w:val="en-US"/>
        </w:rPr>
      </w:pPr>
    </w:p>
    <w:p w14:paraId="3729310A" w14:textId="77777777" w:rsidR="004B053B" w:rsidRPr="00A50E4D" w:rsidRDefault="004B053B" w:rsidP="004B053B">
      <w:pPr>
        <w:pStyle w:val="Heading3"/>
        <w:rPr>
          <w:bCs/>
          <w:i/>
          <w:spacing w:val="-4"/>
          <w:lang w:val="en-US"/>
        </w:rPr>
      </w:pPr>
      <w:bookmarkStart w:id="256" w:name="_Toc427943783"/>
      <w:bookmarkStart w:id="257" w:name="_Toc431584642"/>
      <w:bookmarkStart w:id="258" w:name="_Toc471717276"/>
      <w:r w:rsidRPr="00A50E4D">
        <w:rPr>
          <w:spacing w:val="-4"/>
          <w:lang w:val="en-US"/>
        </w:rPr>
        <w:t>B.4) Ramón Enrique Barrios Maldonado</w:t>
      </w:r>
      <w:bookmarkEnd w:id="256"/>
      <w:bookmarkEnd w:id="257"/>
      <w:bookmarkEnd w:id="258"/>
    </w:p>
    <w:p w14:paraId="424B208D" w14:textId="77777777" w:rsidR="004B053B" w:rsidRPr="00A50E4D" w:rsidRDefault="004B053B" w:rsidP="004B053B">
      <w:pPr>
        <w:rPr>
          <w:spacing w:val="-4"/>
          <w:szCs w:val="20"/>
          <w:lang w:val="en-US"/>
        </w:rPr>
      </w:pPr>
    </w:p>
    <w:p w14:paraId="572CABD8" w14:textId="1A0D891F" w:rsidR="004B053B" w:rsidRPr="00A50E4D" w:rsidRDefault="002E4296" w:rsidP="004B053B">
      <w:pPr>
        <w:pStyle w:val="PrrafodeSentencia"/>
        <w:rPr>
          <w:lang w:val="en-US"/>
        </w:rPr>
      </w:pPr>
      <w:bookmarkStart w:id="259" w:name="_Ref431214820"/>
      <w:bookmarkStart w:id="260" w:name="_Ref431643134"/>
      <w:r w:rsidRPr="00A50E4D">
        <w:rPr>
          <w:lang w:val="en-US"/>
        </w:rPr>
        <w:t>Mr. Barrios</w:t>
      </w:r>
      <w:r w:rsidR="004B053B" w:rsidRPr="00A50E4D">
        <w:rPr>
          <w:lang w:val="en-US"/>
        </w:rPr>
        <w:t xml:space="preserve"> </w:t>
      </w:r>
      <w:r w:rsidR="00687A44" w:rsidRPr="00A50E4D">
        <w:rPr>
          <w:lang w:val="en-US"/>
        </w:rPr>
        <w:t xml:space="preserve">was subjected to a disciplinary proceeding on the basis of a newspaper article that outlined the opinion on </w:t>
      </w:r>
      <w:r w:rsidR="00371BB7" w:rsidRPr="00A50E4D">
        <w:rPr>
          <w:lang w:val="en-US"/>
        </w:rPr>
        <w:t xml:space="preserve">the </w:t>
      </w:r>
      <w:r w:rsidR="00B11ACA" w:rsidRPr="00A50E4D">
        <w:rPr>
          <w:i/>
          <w:lang w:val="en-US"/>
        </w:rPr>
        <w:t>coup d’état</w:t>
      </w:r>
      <w:r w:rsidR="00687A44" w:rsidRPr="00A50E4D">
        <w:rPr>
          <w:lang w:val="en-US"/>
        </w:rPr>
        <w:t xml:space="preserve"> that he had given during a university lecture </w:t>
      </w:r>
      <w:r w:rsidR="004B053B" w:rsidRPr="00A50E4D">
        <w:rPr>
          <w:lang w:val="en-US"/>
        </w:rPr>
        <w:t>(</w:t>
      </w:r>
      <w:r w:rsidR="004B053B" w:rsidRPr="00A50E4D">
        <w:rPr>
          <w:i/>
          <w:lang w:val="en-US"/>
        </w:rPr>
        <w:t xml:space="preserve">supra </w:t>
      </w:r>
      <w:r w:rsidR="00AD5EE7" w:rsidRPr="00A50E4D">
        <w:rPr>
          <w:lang w:val="en-US"/>
        </w:rPr>
        <w:t>paras.</w:t>
      </w:r>
      <w:r w:rsidR="004B053B" w:rsidRPr="00A50E4D">
        <w:rPr>
          <w:szCs w:val="20"/>
          <w:lang w:val="en-US"/>
        </w:rPr>
        <w:t xml:space="preserve"> </w:t>
      </w:r>
      <w:r w:rsidR="004B053B" w:rsidRPr="00914F55">
        <w:rPr>
          <w:szCs w:val="20"/>
          <w:lang w:val="en-US"/>
        </w:rPr>
        <w:fldChar w:fldCharType="begin"/>
      </w:r>
      <w:r w:rsidR="004B053B" w:rsidRPr="00A50E4D">
        <w:rPr>
          <w:szCs w:val="20"/>
          <w:lang w:val="en-US"/>
        </w:rPr>
        <w:instrText xml:space="preserve"> REF _Ref424563349 \r \h  \* MERGEFORMAT </w:instrText>
      </w:r>
      <w:r w:rsidR="004B053B" w:rsidRPr="00914F55">
        <w:rPr>
          <w:szCs w:val="20"/>
          <w:lang w:val="en-US"/>
        </w:rPr>
      </w:r>
      <w:r w:rsidR="004B053B" w:rsidRPr="00914F55">
        <w:rPr>
          <w:szCs w:val="20"/>
          <w:lang w:val="en-US"/>
        </w:rPr>
        <w:fldChar w:fldCharType="separate"/>
      </w:r>
      <w:r w:rsidR="00547588">
        <w:rPr>
          <w:szCs w:val="20"/>
          <w:lang w:val="en-US"/>
        </w:rPr>
        <w:t>140</w:t>
      </w:r>
      <w:r w:rsidR="004B053B" w:rsidRPr="00914F55">
        <w:rPr>
          <w:szCs w:val="20"/>
          <w:lang w:val="en-US"/>
        </w:rPr>
        <w:fldChar w:fldCharType="end"/>
      </w:r>
      <w:r w:rsidR="009808C5" w:rsidRPr="00A50E4D">
        <w:rPr>
          <w:szCs w:val="20"/>
          <w:lang w:val="en-US"/>
        </w:rPr>
        <w:t xml:space="preserve"> and </w:t>
      </w:r>
      <w:r w:rsidR="004B053B" w:rsidRPr="00914F55">
        <w:rPr>
          <w:szCs w:val="20"/>
          <w:lang w:val="en-US"/>
        </w:rPr>
        <w:fldChar w:fldCharType="begin"/>
      </w:r>
      <w:r w:rsidR="004B053B" w:rsidRPr="00A50E4D">
        <w:rPr>
          <w:szCs w:val="20"/>
          <w:lang w:val="en-US"/>
        </w:rPr>
        <w:instrText xml:space="preserve"> REF _Ref426552120 \r \h  \* MERGEFORMAT </w:instrText>
      </w:r>
      <w:r w:rsidR="004B053B" w:rsidRPr="00914F55">
        <w:rPr>
          <w:szCs w:val="20"/>
          <w:lang w:val="en-US"/>
        </w:rPr>
      </w:r>
      <w:r w:rsidR="004B053B" w:rsidRPr="00914F55">
        <w:rPr>
          <w:szCs w:val="20"/>
          <w:lang w:val="en-US"/>
        </w:rPr>
        <w:fldChar w:fldCharType="separate"/>
      </w:r>
      <w:r w:rsidR="00547588">
        <w:rPr>
          <w:szCs w:val="20"/>
          <w:lang w:val="en-US"/>
        </w:rPr>
        <w:t>141</w:t>
      </w:r>
      <w:r w:rsidR="004B053B" w:rsidRPr="00914F55">
        <w:rPr>
          <w:szCs w:val="20"/>
          <w:lang w:val="en-US"/>
        </w:rPr>
        <w:fldChar w:fldCharType="end"/>
      </w:r>
      <w:r w:rsidR="004B053B" w:rsidRPr="00A50E4D">
        <w:rPr>
          <w:szCs w:val="20"/>
          <w:lang w:val="en-US"/>
        </w:rPr>
        <w:t xml:space="preserve">). </w:t>
      </w:r>
      <w:r w:rsidR="009808C5" w:rsidRPr="00A50E4D">
        <w:rPr>
          <w:szCs w:val="20"/>
          <w:lang w:val="en-US"/>
        </w:rPr>
        <w:t xml:space="preserve">The </w:t>
      </w:r>
      <w:r w:rsidR="00371BB7" w:rsidRPr="00A50E4D">
        <w:rPr>
          <w:szCs w:val="20"/>
          <w:lang w:val="en-US"/>
        </w:rPr>
        <w:t>Supreme Court of Justice</w:t>
      </w:r>
      <w:r w:rsidR="00687A44" w:rsidRPr="00A50E4D">
        <w:rPr>
          <w:szCs w:val="20"/>
          <w:lang w:val="en-US"/>
        </w:rPr>
        <w:t xml:space="preserve"> ordered his dismissal </w:t>
      </w:r>
      <w:r w:rsidR="004B053B" w:rsidRPr="00A50E4D">
        <w:rPr>
          <w:szCs w:val="20"/>
          <w:lang w:val="en-US"/>
        </w:rPr>
        <w:t>(</w:t>
      </w:r>
      <w:r w:rsidR="004B053B" w:rsidRPr="00A50E4D">
        <w:rPr>
          <w:i/>
          <w:szCs w:val="20"/>
          <w:lang w:val="en-US"/>
        </w:rPr>
        <w:t xml:space="preserve">supra </w:t>
      </w:r>
      <w:r w:rsidR="00AD5EE7" w:rsidRPr="00A50E4D">
        <w:rPr>
          <w:szCs w:val="20"/>
          <w:lang w:val="en-US"/>
        </w:rPr>
        <w:t>paras.</w:t>
      </w:r>
      <w:r w:rsidR="004B053B" w:rsidRPr="00A50E4D">
        <w:rPr>
          <w:szCs w:val="20"/>
          <w:lang w:val="en-US"/>
        </w:rPr>
        <w:t xml:space="preserve"> </w:t>
      </w:r>
      <w:r w:rsidR="004B053B" w:rsidRPr="00914F55">
        <w:rPr>
          <w:szCs w:val="20"/>
          <w:lang w:val="en-US"/>
        </w:rPr>
        <w:fldChar w:fldCharType="begin"/>
      </w:r>
      <w:r w:rsidR="004B053B" w:rsidRPr="00A50E4D">
        <w:rPr>
          <w:szCs w:val="20"/>
          <w:lang w:val="en-US"/>
        </w:rPr>
        <w:instrText xml:space="preserve"> REF _Ref426552212 \r \h  \* MERGEFORMAT </w:instrText>
      </w:r>
      <w:r w:rsidR="004B053B" w:rsidRPr="00914F55">
        <w:rPr>
          <w:szCs w:val="20"/>
          <w:lang w:val="en-US"/>
        </w:rPr>
      </w:r>
      <w:r w:rsidR="004B053B" w:rsidRPr="00914F55">
        <w:rPr>
          <w:szCs w:val="20"/>
          <w:lang w:val="en-US"/>
        </w:rPr>
        <w:fldChar w:fldCharType="separate"/>
      </w:r>
      <w:r w:rsidR="00547588">
        <w:rPr>
          <w:szCs w:val="20"/>
          <w:lang w:val="en-US"/>
        </w:rPr>
        <w:t>143</w:t>
      </w:r>
      <w:r w:rsidR="004B053B" w:rsidRPr="00914F55">
        <w:rPr>
          <w:szCs w:val="20"/>
          <w:lang w:val="en-US"/>
        </w:rPr>
        <w:fldChar w:fldCharType="end"/>
      </w:r>
      <w:r w:rsidR="00687A44" w:rsidRPr="00A50E4D">
        <w:rPr>
          <w:szCs w:val="20"/>
          <w:lang w:val="en-US"/>
        </w:rPr>
        <w:t xml:space="preserve"> to</w:t>
      </w:r>
      <w:r w:rsidR="004B053B" w:rsidRPr="00A50E4D">
        <w:rPr>
          <w:szCs w:val="20"/>
          <w:lang w:val="en-US"/>
        </w:rPr>
        <w:t xml:space="preserve"> </w:t>
      </w:r>
      <w:r w:rsidR="004B053B" w:rsidRPr="00914F55">
        <w:rPr>
          <w:szCs w:val="20"/>
          <w:lang w:val="en-US"/>
        </w:rPr>
        <w:fldChar w:fldCharType="begin"/>
      </w:r>
      <w:r w:rsidR="004B053B" w:rsidRPr="00A50E4D">
        <w:rPr>
          <w:szCs w:val="20"/>
          <w:lang w:val="en-US"/>
        </w:rPr>
        <w:instrText xml:space="preserve"> REF _Ref426552215 \r \h  \* MERGEFORMAT </w:instrText>
      </w:r>
      <w:r w:rsidR="004B053B" w:rsidRPr="00914F55">
        <w:rPr>
          <w:szCs w:val="20"/>
          <w:lang w:val="en-US"/>
        </w:rPr>
      </w:r>
      <w:r w:rsidR="004B053B" w:rsidRPr="00914F55">
        <w:rPr>
          <w:szCs w:val="20"/>
          <w:lang w:val="en-US"/>
        </w:rPr>
        <w:fldChar w:fldCharType="separate"/>
      </w:r>
      <w:r w:rsidR="00547588">
        <w:rPr>
          <w:szCs w:val="20"/>
          <w:lang w:val="en-US"/>
        </w:rPr>
        <w:t>145</w:t>
      </w:r>
      <w:r w:rsidR="004B053B" w:rsidRPr="00914F55">
        <w:rPr>
          <w:szCs w:val="20"/>
          <w:lang w:val="en-US"/>
        </w:rPr>
        <w:fldChar w:fldCharType="end"/>
      </w:r>
      <w:r w:rsidR="004B053B" w:rsidRPr="00A50E4D">
        <w:rPr>
          <w:szCs w:val="20"/>
          <w:lang w:val="en-US"/>
        </w:rPr>
        <w:t xml:space="preserve">), </w:t>
      </w:r>
      <w:r w:rsidR="000A786A" w:rsidRPr="00A50E4D">
        <w:rPr>
          <w:szCs w:val="20"/>
          <w:lang w:val="en-US"/>
        </w:rPr>
        <w:t>indicating</w:t>
      </w:r>
      <w:r w:rsidR="00687A44" w:rsidRPr="00A50E4D">
        <w:rPr>
          <w:szCs w:val="20"/>
          <w:lang w:val="en-US"/>
        </w:rPr>
        <w:t xml:space="preserve"> that the dismissal would be “effective on the date that the substitute took office.</w:t>
      </w:r>
      <w:r w:rsidR="004B053B" w:rsidRPr="00A50E4D">
        <w:rPr>
          <w:szCs w:val="20"/>
          <w:lang w:val="en-US"/>
        </w:rPr>
        <w:t>”</w:t>
      </w:r>
      <w:r w:rsidR="004B053B" w:rsidRPr="00A50E4D">
        <w:rPr>
          <w:szCs w:val="20"/>
          <w:vertAlign w:val="superscript"/>
          <w:lang w:val="en-US"/>
        </w:rPr>
        <w:footnoteReference w:id="332"/>
      </w:r>
      <w:r w:rsidR="00687A44" w:rsidRPr="00A50E4D">
        <w:rPr>
          <w:szCs w:val="20"/>
          <w:lang w:val="en-US"/>
        </w:rPr>
        <w:t xml:space="preserve"> </w:t>
      </w:r>
      <w:r w:rsidR="002E7066" w:rsidRPr="00A50E4D">
        <w:rPr>
          <w:szCs w:val="20"/>
          <w:lang w:val="en-US"/>
        </w:rPr>
        <w:t>Nevertheless</w:t>
      </w:r>
      <w:r w:rsidR="00687A44" w:rsidRPr="00A50E4D">
        <w:rPr>
          <w:szCs w:val="20"/>
          <w:lang w:val="en-US"/>
        </w:rPr>
        <w:t>, this order was not executed. Subsequently,</w:t>
      </w:r>
      <w:r w:rsidR="004B053B" w:rsidRPr="00A50E4D">
        <w:rPr>
          <w:szCs w:val="20"/>
          <w:lang w:val="en-US"/>
        </w:rPr>
        <w:t xml:space="preserve"> </w:t>
      </w:r>
      <w:r w:rsidR="006A756C" w:rsidRPr="00A50E4D">
        <w:rPr>
          <w:szCs w:val="20"/>
          <w:lang w:val="en-US"/>
        </w:rPr>
        <w:t>the Judicial Service Council</w:t>
      </w:r>
      <w:r w:rsidR="004B053B" w:rsidRPr="00A50E4D">
        <w:rPr>
          <w:szCs w:val="20"/>
          <w:lang w:val="en-US"/>
        </w:rPr>
        <w:t>, t</w:t>
      </w:r>
      <w:r w:rsidR="00687A44" w:rsidRPr="00A50E4D">
        <w:rPr>
          <w:szCs w:val="20"/>
          <w:lang w:val="en-US"/>
        </w:rPr>
        <w:t xml:space="preserve">aking into account the right to </w:t>
      </w:r>
      <w:r w:rsidR="00371BB7" w:rsidRPr="00A50E4D">
        <w:rPr>
          <w:szCs w:val="20"/>
          <w:lang w:val="en-US"/>
        </w:rPr>
        <w:t>freedom of expression</w:t>
      </w:r>
      <w:r w:rsidR="00687A44" w:rsidRPr="00A50E4D">
        <w:rPr>
          <w:szCs w:val="20"/>
          <w:lang w:val="en-US"/>
        </w:rPr>
        <w:t xml:space="preserve">, considered that “the investigation carried out by </w:t>
      </w:r>
      <w:r w:rsidR="00DA4F82" w:rsidRPr="00A50E4D">
        <w:rPr>
          <w:szCs w:val="20"/>
          <w:lang w:val="en-US"/>
        </w:rPr>
        <w:t>the Inspectorate</w:t>
      </w:r>
      <w:r w:rsidR="004B053B" w:rsidRPr="00A50E4D">
        <w:rPr>
          <w:szCs w:val="20"/>
          <w:lang w:val="en-US"/>
        </w:rPr>
        <w:t xml:space="preserve"> </w:t>
      </w:r>
      <w:r w:rsidR="000F4023" w:rsidRPr="00A50E4D">
        <w:rPr>
          <w:szCs w:val="20"/>
          <w:lang w:val="en-US"/>
        </w:rPr>
        <w:t>of Courts and Tribunals</w:t>
      </w:r>
      <w:r w:rsidR="00687A44" w:rsidRPr="00A50E4D">
        <w:rPr>
          <w:szCs w:val="20"/>
          <w:lang w:val="en-US"/>
        </w:rPr>
        <w:t xml:space="preserve"> […] was insufficient to prove</w:t>
      </w:r>
      <w:r w:rsidR="002E7066" w:rsidRPr="00A50E4D">
        <w:rPr>
          <w:szCs w:val="20"/>
          <w:lang w:val="en-US"/>
        </w:rPr>
        <w:t xml:space="preserve"> the grounds for his dismissal </w:t>
      </w:r>
      <w:r w:rsidR="00687A44" w:rsidRPr="00A50E4D">
        <w:rPr>
          <w:szCs w:val="20"/>
          <w:lang w:val="en-US"/>
        </w:rPr>
        <w:t>beyond a reasonable doubt with other evidence.</w:t>
      </w:r>
      <w:r w:rsidR="004B053B" w:rsidRPr="00A50E4D">
        <w:rPr>
          <w:szCs w:val="20"/>
          <w:lang w:val="en-US"/>
        </w:rPr>
        <w:t>”</w:t>
      </w:r>
      <w:r w:rsidR="004B053B" w:rsidRPr="00A50E4D">
        <w:rPr>
          <w:rStyle w:val="FootnoteReference"/>
          <w:rFonts w:cs="Arial"/>
          <w:sz w:val="20"/>
          <w:szCs w:val="20"/>
          <w:lang w:val="en-US"/>
        </w:rPr>
        <w:footnoteReference w:id="333"/>
      </w:r>
      <w:bookmarkEnd w:id="259"/>
      <w:r w:rsidR="00687A44" w:rsidRPr="00A50E4D">
        <w:rPr>
          <w:szCs w:val="20"/>
          <w:lang w:val="en-US"/>
        </w:rPr>
        <w:t xml:space="preserve"> As explained above, the mere existence of a disciplinary proceeding against Mr.</w:t>
      </w:r>
      <w:r w:rsidR="004B053B" w:rsidRPr="00A50E4D">
        <w:rPr>
          <w:szCs w:val="20"/>
          <w:lang w:val="en-US"/>
        </w:rPr>
        <w:t xml:space="preserve"> Barrios Maldonado </w:t>
      </w:r>
      <w:r w:rsidR="00687A44" w:rsidRPr="00A50E4D">
        <w:rPr>
          <w:szCs w:val="20"/>
          <w:lang w:val="en-US"/>
        </w:rPr>
        <w:t xml:space="preserve">based on his statements against </w:t>
      </w:r>
      <w:r w:rsidR="004626E5" w:rsidRPr="00A50E4D">
        <w:rPr>
          <w:szCs w:val="20"/>
          <w:lang w:val="en-US"/>
        </w:rPr>
        <w:t xml:space="preserve">the </w:t>
      </w:r>
      <w:r w:rsidR="00B11ACA" w:rsidRPr="00A50E4D">
        <w:rPr>
          <w:i/>
          <w:szCs w:val="20"/>
          <w:lang w:val="en-US"/>
        </w:rPr>
        <w:t>coup d’état</w:t>
      </w:r>
      <w:r w:rsidR="004B053B" w:rsidRPr="00A50E4D">
        <w:rPr>
          <w:szCs w:val="20"/>
          <w:lang w:val="en-US"/>
        </w:rPr>
        <w:t>, constitu</w:t>
      </w:r>
      <w:r w:rsidR="00687A44" w:rsidRPr="00A50E4D">
        <w:rPr>
          <w:szCs w:val="20"/>
          <w:lang w:val="en-US"/>
        </w:rPr>
        <w:t xml:space="preserve">ted a violation of his rights to participate in politics and to </w:t>
      </w:r>
      <w:r w:rsidR="00371BB7" w:rsidRPr="00A50E4D">
        <w:rPr>
          <w:szCs w:val="20"/>
          <w:lang w:val="en-US"/>
        </w:rPr>
        <w:t>freedom of expression</w:t>
      </w:r>
      <w:r w:rsidR="004B053B" w:rsidRPr="00A50E4D">
        <w:rPr>
          <w:szCs w:val="20"/>
          <w:lang w:val="en-US"/>
        </w:rPr>
        <w:t xml:space="preserve"> (</w:t>
      </w:r>
      <w:r w:rsidR="004B053B" w:rsidRPr="00A50E4D">
        <w:rPr>
          <w:i/>
          <w:szCs w:val="20"/>
          <w:lang w:val="en-US"/>
        </w:rPr>
        <w:t xml:space="preserve">supra </w:t>
      </w:r>
      <w:r w:rsidR="00AD5EE7" w:rsidRPr="00A50E4D">
        <w:rPr>
          <w:szCs w:val="20"/>
          <w:lang w:val="en-US"/>
        </w:rPr>
        <w:t>para.</w:t>
      </w:r>
      <w:r w:rsidR="00444168" w:rsidRPr="00A50E4D">
        <w:rPr>
          <w:szCs w:val="20"/>
          <w:lang w:val="en-US"/>
        </w:rPr>
        <w:t xml:space="preserve"> </w:t>
      </w:r>
      <w:r w:rsidR="00444168" w:rsidRPr="00914F55">
        <w:rPr>
          <w:szCs w:val="20"/>
          <w:lang w:val="en-US"/>
        </w:rPr>
        <w:fldChar w:fldCharType="begin"/>
      </w:r>
      <w:r w:rsidR="00444168" w:rsidRPr="00A50E4D">
        <w:rPr>
          <w:szCs w:val="20"/>
          <w:lang w:val="en-US"/>
        </w:rPr>
        <w:instrText xml:space="preserve"> REF _Ref308330397 \r \h </w:instrText>
      </w:r>
      <w:r w:rsidR="007B6946" w:rsidRPr="00A50E4D">
        <w:rPr>
          <w:szCs w:val="20"/>
          <w:lang w:val="en-US"/>
        </w:rPr>
        <w:instrText xml:space="preserve"> \* MERGEFORMAT </w:instrText>
      </w:r>
      <w:r w:rsidR="00444168" w:rsidRPr="00914F55">
        <w:rPr>
          <w:szCs w:val="20"/>
          <w:lang w:val="en-US"/>
        </w:rPr>
      </w:r>
      <w:r w:rsidR="00444168" w:rsidRPr="00914F55">
        <w:rPr>
          <w:szCs w:val="20"/>
          <w:lang w:val="en-US"/>
        </w:rPr>
        <w:fldChar w:fldCharType="separate"/>
      </w:r>
      <w:r w:rsidR="00547588">
        <w:rPr>
          <w:szCs w:val="20"/>
          <w:lang w:val="en-US"/>
        </w:rPr>
        <w:t>176</w:t>
      </w:r>
      <w:r w:rsidR="00444168" w:rsidRPr="00914F55">
        <w:rPr>
          <w:szCs w:val="20"/>
          <w:lang w:val="en-US"/>
        </w:rPr>
        <w:fldChar w:fldCharType="end"/>
      </w:r>
      <w:r w:rsidR="004B053B" w:rsidRPr="00A50E4D">
        <w:rPr>
          <w:szCs w:val="20"/>
          <w:lang w:val="en-US"/>
        </w:rPr>
        <w:t xml:space="preserve">). </w:t>
      </w:r>
      <w:r w:rsidR="00687A44" w:rsidRPr="00A50E4D">
        <w:rPr>
          <w:szCs w:val="20"/>
          <w:lang w:val="en-US"/>
        </w:rPr>
        <w:t>Therefore,</w:t>
      </w:r>
      <w:r w:rsidR="004B053B" w:rsidRPr="00A50E4D">
        <w:rPr>
          <w:szCs w:val="20"/>
          <w:lang w:val="en-US"/>
        </w:rPr>
        <w:t xml:space="preserve"> </w:t>
      </w:r>
      <w:r w:rsidR="009808C5" w:rsidRPr="00A50E4D">
        <w:rPr>
          <w:szCs w:val="20"/>
          <w:lang w:val="en-US"/>
        </w:rPr>
        <w:t>the Court</w:t>
      </w:r>
      <w:r w:rsidR="004B053B" w:rsidRPr="00A50E4D">
        <w:rPr>
          <w:szCs w:val="20"/>
          <w:lang w:val="en-US"/>
        </w:rPr>
        <w:t xml:space="preserve"> conclu</w:t>
      </w:r>
      <w:r w:rsidR="00687A44" w:rsidRPr="00A50E4D">
        <w:rPr>
          <w:szCs w:val="20"/>
          <w:lang w:val="en-US"/>
        </w:rPr>
        <w:t xml:space="preserve">des that the institution of </w:t>
      </w:r>
      <w:r w:rsidR="00FF35A9" w:rsidRPr="00A50E4D">
        <w:rPr>
          <w:szCs w:val="20"/>
          <w:lang w:val="en-US"/>
        </w:rPr>
        <w:t>the disciplinary proceeding</w:t>
      </w:r>
      <w:r w:rsidR="004B053B" w:rsidRPr="00A50E4D">
        <w:rPr>
          <w:szCs w:val="20"/>
          <w:lang w:val="en-US"/>
        </w:rPr>
        <w:t xml:space="preserve"> </w:t>
      </w:r>
      <w:r w:rsidR="00687A44" w:rsidRPr="00A50E4D">
        <w:rPr>
          <w:szCs w:val="20"/>
          <w:lang w:val="en-US"/>
        </w:rPr>
        <w:t>against him constituted a violation of</w:t>
      </w:r>
      <w:r w:rsidR="00444168" w:rsidRPr="00A50E4D">
        <w:rPr>
          <w:szCs w:val="20"/>
          <w:lang w:val="en-US"/>
        </w:rPr>
        <w:t xml:space="preserve"> </w:t>
      </w:r>
      <w:r w:rsidR="009808C5" w:rsidRPr="00A50E4D">
        <w:rPr>
          <w:szCs w:val="20"/>
          <w:lang w:val="en-US"/>
        </w:rPr>
        <w:t>Articles</w:t>
      </w:r>
      <w:r w:rsidR="00444168" w:rsidRPr="00A50E4D">
        <w:rPr>
          <w:szCs w:val="20"/>
          <w:lang w:val="en-US"/>
        </w:rPr>
        <w:t xml:space="preserve"> </w:t>
      </w:r>
      <w:r w:rsidR="00CD2874" w:rsidRPr="00A50E4D">
        <w:rPr>
          <w:szCs w:val="20"/>
          <w:lang w:val="en-US"/>
        </w:rPr>
        <w:t>13(1)</w:t>
      </w:r>
      <w:r w:rsidR="009808C5" w:rsidRPr="00A50E4D">
        <w:rPr>
          <w:szCs w:val="20"/>
          <w:lang w:val="en-US"/>
        </w:rPr>
        <w:t xml:space="preserve"> and </w:t>
      </w:r>
      <w:r w:rsidR="00444168" w:rsidRPr="00A50E4D">
        <w:rPr>
          <w:szCs w:val="20"/>
          <w:lang w:val="en-US"/>
        </w:rPr>
        <w:t>23</w:t>
      </w:r>
      <w:r w:rsidR="009808C5" w:rsidRPr="00A50E4D">
        <w:rPr>
          <w:szCs w:val="20"/>
          <w:lang w:val="en-US"/>
        </w:rPr>
        <w:t xml:space="preserve"> of the Convention</w:t>
      </w:r>
      <w:r w:rsidR="00444168" w:rsidRPr="00A50E4D">
        <w:rPr>
          <w:szCs w:val="20"/>
          <w:lang w:val="en-US"/>
        </w:rPr>
        <w:t xml:space="preserve">, </w:t>
      </w:r>
      <w:r w:rsidR="0048601C" w:rsidRPr="00A50E4D">
        <w:rPr>
          <w:szCs w:val="20"/>
          <w:lang w:val="en-US"/>
        </w:rPr>
        <w:t>in relation to Article 1(1)</w:t>
      </w:r>
      <w:r w:rsidR="00FF35A9" w:rsidRPr="00A50E4D">
        <w:rPr>
          <w:szCs w:val="20"/>
          <w:lang w:val="en-US"/>
        </w:rPr>
        <w:t xml:space="preserve"> </w:t>
      </w:r>
      <w:r w:rsidR="00687A44" w:rsidRPr="00A50E4D">
        <w:rPr>
          <w:szCs w:val="20"/>
          <w:lang w:val="en-US"/>
        </w:rPr>
        <w:t>of this instrument, to his detriment</w:t>
      </w:r>
      <w:r w:rsidR="004B053B" w:rsidRPr="00A50E4D">
        <w:rPr>
          <w:szCs w:val="20"/>
          <w:lang w:val="en-US"/>
        </w:rPr>
        <w:t>.</w:t>
      </w:r>
      <w:bookmarkEnd w:id="260"/>
    </w:p>
    <w:p w14:paraId="67C96983" w14:textId="77777777" w:rsidR="004B053B" w:rsidRPr="00A50E4D" w:rsidRDefault="004B053B" w:rsidP="004B053B">
      <w:pPr>
        <w:rPr>
          <w:spacing w:val="-4"/>
          <w:lang w:val="en-US" w:eastAsia="es-MX"/>
        </w:rPr>
      </w:pPr>
    </w:p>
    <w:p w14:paraId="34E1C3F2" w14:textId="37759F45" w:rsidR="004B053B" w:rsidRPr="00A50E4D" w:rsidRDefault="00371BB7" w:rsidP="004B053B">
      <w:pPr>
        <w:pStyle w:val="Heading2"/>
        <w:numPr>
          <w:ilvl w:val="0"/>
          <w:numId w:val="11"/>
        </w:numPr>
        <w:rPr>
          <w:spacing w:val="-4"/>
          <w:szCs w:val="20"/>
          <w:lang w:val="en-US"/>
        </w:rPr>
      </w:pPr>
      <w:bookmarkStart w:id="261" w:name="_Toc471717277"/>
      <w:bookmarkStart w:id="262" w:name="_Toc427932818"/>
      <w:bookmarkStart w:id="263" w:name="_Toc427943785"/>
      <w:bookmarkStart w:id="264" w:name="_Toc431584643"/>
      <w:r w:rsidRPr="00A50E4D">
        <w:rPr>
          <w:spacing w:val="-4"/>
          <w:szCs w:val="20"/>
          <w:lang w:val="en-US"/>
        </w:rPr>
        <w:t>Freedom of association</w:t>
      </w:r>
      <w:r w:rsidR="009808C5" w:rsidRPr="00A50E4D">
        <w:rPr>
          <w:spacing w:val="-4"/>
          <w:szCs w:val="20"/>
          <w:lang w:val="en-US"/>
        </w:rPr>
        <w:t xml:space="preserve"> and </w:t>
      </w:r>
      <w:r w:rsidR="00004E43" w:rsidRPr="00A50E4D">
        <w:rPr>
          <w:spacing w:val="-4"/>
          <w:szCs w:val="20"/>
          <w:lang w:val="en-US"/>
        </w:rPr>
        <w:t>alleged indirect violation of</w:t>
      </w:r>
      <w:r w:rsidR="004B053B" w:rsidRPr="00A50E4D">
        <w:rPr>
          <w:spacing w:val="-4"/>
          <w:szCs w:val="20"/>
          <w:lang w:val="en-US"/>
        </w:rPr>
        <w:t xml:space="preserve"> </w:t>
      </w:r>
      <w:r w:rsidRPr="00A50E4D">
        <w:rPr>
          <w:spacing w:val="-4"/>
          <w:szCs w:val="20"/>
          <w:lang w:val="en-US"/>
        </w:rPr>
        <w:t>freedom of expression</w:t>
      </w:r>
      <w:bookmarkEnd w:id="261"/>
      <w:r w:rsidR="004B053B" w:rsidRPr="00A50E4D">
        <w:rPr>
          <w:spacing w:val="-4"/>
          <w:szCs w:val="20"/>
          <w:lang w:val="en-US"/>
        </w:rPr>
        <w:t xml:space="preserve"> </w:t>
      </w:r>
      <w:bookmarkEnd w:id="262"/>
      <w:bookmarkEnd w:id="263"/>
      <w:bookmarkEnd w:id="264"/>
    </w:p>
    <w:p w14:paraId="5426F055" w14:textId="77777777" w:rsidR="004B053B" w:rsidRPr="00A50E4D" w:rsidRDefault="004B053B" w:rsidP="004B053B">
      <w:pPr>
        <w:pStyle w:val="PrrafodeSentencia"/>
        <w:numPr>
          <w:ilvl w:val="0"/>
          <w:numId w:val="0"/>
        </w:numPr>
        <w:rPr>
          <w:szCs w:val="20"/>
          <w:lang w:val="en-US"/>
        </w:rPr>
      </w:pPr>
    </w:p>
    <w:p w14:paraId="74DEC96A" w14:textId="7A78641C" w:rsidR="004B053B" w:rsidRPr="00A50E4D" w:rsidRDefault="008110C1" w:rsidP="008110C1">
      <w:pPr>
        <w:pStyle w:val="PrrafodeSentencia"/>
        <w:rPr>
          <w:szCs w:val="20"/>
          <w:lang w:val="en-US"/>
        </w:rPr>
      </w:pPr>
      <w:bookmarkStart w:id="265" w:name="_Ref431214926"/>
      <w:r w:rsidRPr="00A50E4D">
        <w:rPr>
          <w:szCs w:val="20"/>
          <w:lang w:val="en-US"/>
        </w:rPr>
        <w:t>In addition to the violations examined in the preceding section, t</w:t>
      </w:r>
      <w:r w:rsidR="00CD2874" w:rsidRPr="00A50E4D">
        <w:rPr>
          <w:szCs w:val="20"/>
          <w:lang w:val="en-US"/>
        </w:rPr>
        <w:t>he Commission</w:t>
      </w:r>
      <w:r w:rsidR="009808C5" w:rsidRPr="00A50E4D">
        <w:rPr>
          <w:szCs w:val="20"/>
          <w:lang w:val="en-US"/>
        </w:rPr>
        <w:t xml:space="preserve"> and </w:t>
      </w:r>
      <w:r w:rsidR="00AD5EE7" w:rsidRPr="00A50E4D">
        <w:rPr>
          <w:szCs w:val="20"/>
          <w:lang w:val="en-US"/>
        </w:rPr>
        <w:t>the representatives</w:t>
      </w:r>
      <w:r w:rsidRPr="00A50E4D">
        <w:rPr>
          <w:szCs w:val="20"/>
          <w:lang w:val="en-US"/>
        </w:rPr>
        <w:t xml:space="preserve"> alleged that the disciplinary proceedings to which the presumed victims were subjected constitu</w:t>
      </w:r>
      <w:r w:rsidR="002E7066" w:rsidRPr="00A50E4D">
        <w:rPr>
          <w:szCs w:val="20"/>
          <w:lang w:val="en-US"/>
        </w:rPr>
        <w:t>ted indirect methods or means of</w:t>
      </w:r>
      <w:r w:rsidRPr="00A50E4D">
        <w:rPr>
          <w:szCs w:val="20"/>
          <w:lang w:val="en-US"/>
        </w:rPr>
        <w:t xml:space="preserve"> limit</w:t>
      </w:r>
      <w:r w:rsidR="002E7066" w:rsidRPr="00A50E4D">
        <w:rPr>
          <w:szCs w:val="20"/>
          <w:lang w:val="en-US"/>
        </w:rPr>
        <w:t>ing</w:t>
      </w:r>
      <w:r w:rsidRPr="00A50E4D">
        <w:rPr>
          <w:szCs w:val="20"/>
          <w:lang w:val="en-US"/>
        </w:rPr>
        <w:t xml:space="preserve"> their </w:t>
      </w:r>
      <w:r w:rsidR="00371BB7" w:rsidRPr="00A50E4D">
        <w:rPr>
          <w:szCs w:val="20"/>
          <w:lang w:val="en-US"/>
        </w:rPr>
        <w:t>freedom of expression</w:t>
      </w:r>
      <w:r w:rsidR="004B053B" w:rsidRPr="00A50E4D">
        <w:rPr>
          <w:szCs w:val="20"/>
          <w:lang w:val="en-US"/>
        </w:rPr>
        <w:t>.</w:t>
      </w:r>
      <w:r w:rsidR="004B053B" w:rsidRPr="00A50E4D">
        <w:rPr>
          <w:b/>
          <w:szCs w:val="20"/>
          <w:lang w:val="en-US"/>
        </w:rPr>
        <w:t xml:space="preserve"> </w:t>
      </w:r>
      <w:r w:rsidRPr="00A50E4D">
        <w:rPr>
          <w:szCs w:val="20"/>
          <w:lang w:val="en-US"/>
        </w:rPr>
        <w:t>In this regard,</w:t>
      </w:r>
      <w:r w:rsidR="004B053B" w:rsidRPr="00A50E4D">
        <w:rPr>
          <w:szCs w:val="20"/>
          <w:lang w:val="en-US"/>
        </w:rPr>
        <w:t xml:space="preserve"> </w:t>
      </w:r>
      <w:r w:rsidR="009808C5" w:rsidRPr="00A50E4D">
        <w:rPr>
          <w:szCs w:val="20"/>
          <w:lang w:val="en-US"/>
        </w:rPr>
        <w:t>the Court</w:t>
      </w:r>
      <w:r w:rsidR="004B053B" w:rsidRPr="00A50E4D">
        <w:rPr>
          <w:szCs w:val="20"/>
          <w:lang w:val="en-US"/>
        </w:rPr>
        <w:t xml:space="preserve"> </w:t>
      </w:r>
      <w:r w:rsidRPr="00A50E4D">
        <w:rPr>
          <w:szCs w:val="20"/>
          <w:lang w:val="en-US"/>
        </w:rPr>
        <w:t>notes that, in the preceding section, it examined the possible violation of the presumed victims’</w:t>
      </w:r>
      <w:r w:rsidR="00FF35A9" w:rsidRPr="00A50E4D">
        <w:rPr>
          <w:szCs w:val="20"/>
          <w:lang w:val="en-US"/>
        </w:rPr>
        <w:t xml:space="preserve"> </w:t>
      </w:r>
      <w:r w:rsidR="00371BB7" w:rsidRPr="00A50E4D">
        <w:rPr>
          <w:szCs w:val="20"/>
          <w:lang w:val="en-US"/>
        </w:rPr>
        <w:t xml:space="preserve">freedom of expression </w:t>
      </w:r>
      <w:r w:rsidRPr="00A50E4D">
        <w:rPr>
          <w:szCs w:val="20"/>
          <w:lang w:val="en-US"/>
        </w:rPr>
        <w:t xml:space="preserve">as a result </w:t>
      </w:r>
      <w:r w:rsidR="00FF35A9" w:rsidRPr="00A50E4D">
        <w:rPr>
          <w:szCs w:val="20"/>
          <w:lang w:val="en-US"/>
        </w:rPr>
        <w:t xml:space="preserve">of the </w:t>
      </w:r>
      <w:r w:rsidR="00277E12" w:rsidRPr="00A50E4D">
        <w:rPr>
          <w:szCs w:val="20"/>
          <w:lang w:val="en-US"/>
        </w:rPr>
        <w:t>disciplinary proceedings</w:t>
      </w:r>
      <w:r w:rsidR="004B053B" w:rsidRPr="00A50E4D">
        <w:rPr>
          <w:szCs w:val="20"/>
          <w:lang w:val="en-US"/>
        </w:rPr>
        <w:t xml:space="preserve"> </w:t>
      </w:r>
      <w:r w:rsidR="002E7066" w:rsidRPr="00A50E4D">
        <w:rPr>
          <w:szCs w:val="20"/>
          <w:lang w:val="en-US"/>
        </w:rPr>
        <w:t xml:space="preserve">used to restrict that right, </w:t>
      </w:r>
      <w:r w:rsidRPr="00A50E4D">
        <w:rPr>
          <w:szCs w:val="20"/>
          <w:lang w:val="en-US"/>
        </w:rPr>
        <w:t xml:space="preserve">under </w:t>
      </w:r>
      <w:r w:rsidR="009808C5" w:rsidRPr="00A50E4D">
        <w:rPr>
          <w:szCs w:val="20"/>
          <w:lang w:val="en-US"/>
        </w:rPr>
        <w:t>Article</w:t>
      </w:r>
      <w:r w:rsidR="004B053B" w:rsidRPr="00A50E4D">
        <w:rPr>
          <w:szCs w:val="20"/>
          <w:lang w:val="en-US"/>
        </w:rPr>
        <w:t xml:space="preserve"> </w:t>
      </w:r>
      <w:r w:rsidR="00CD2874" w:rsidRPr="00A50E4D">
        <w:rPr>
          <w:szCs w:val="20"/>
          <w:lang w:val="en-US"/>
        </w:rPr>
        <w:t>13(1)</w:t>
      </w:r>
      <w:r w:rsidR="009808C5" w:rsidRPr="00A50E4D">
        <w:rPr>
          <w:szCs w:val="20"/>
          <w:lang w:val="en-US"/>
        </w:rPr>
        <w:t xml:space="preserve"> of the Convention</w:t>
      </w:r>
      <w:r w:rsidR="004B053B" w:rsidRPr="00A50E4D">
        <w:rPr>
          <w:szCs w:val="20"/>
          <w:lang w:val="en-US"/>
        </w:rPr>
        <w:t xml:space="preserve">. </w:t>
      </w:r>
      <w:r w:rsidRPr="00A50E4D">
        <w:rPr>
          <w:szCs w:val="20"/>
          <w:lang w:val="en-US"/>
        </w:rPr>
        <w:t>In the instant case, t</w:t>
      </w:r>
      <w:r w:rsidR="009808C5" w:rsidRPr="00A50E4D">
        <w:rPr>
          <w:szCs w:val="20"/>
          <w:lang w:val="en-US"/>
        </w:rPr>
        <w:t>he Court</w:t>
      </w:r>
      <w:r w:rsidR="004B053B" w:rsidRPr="00A50E4D">
        <w:rPr>
          <w:szCs w:val="20"/>
          <w:lang w:val="en-US"/>
        </w:rPr>
        <w:t xml:space="preserve"> </w:t>
      </w:r>
      <w:r w:rsidRPr="00A50E4D">
        <w:rPr>
          <w:szCs w:val="20"/>
          <w:lang w:val="en-US"/>
        </w:rPr>
        <w:t xml:space="preserve">does not consider that a situation of indirect restrictions to </w:t>
      </w:r>
      <w:r w:rsidR="00371BB7" w:rsidRPr="00A50E4D">
        <w:rPr>
          <w:szCs w:val="20"/>
          <w:lang w:val="en-US"/>
        </w:rPr>
        <w:t>freedom of expression</w:t>
      </w:r>
      <w:r w:rsidRPr="00A50E4D">
        <w:rPr>
          <w:szCs w:val="20"/>
          <w:lang w:val="en-US"/>
        </w:rPr>
        <w:t xml:space="preserve"> exists. The arguments </w:t>
      </w:r>
      <w:r w:rsidR="009808C5" w:rsidRPr="00A50E4D">
        <w:rPr>
          <w:szCs w:val="20"/>
          <w:lang w:val="en-US"/>
        </w:rPr>
        <w:t xml:space="preserve">of the Commission and </w:t>
      </w:r>
      <w:r w:rsidR="00AD5EE7" w:rsidRPr="00A50E4D">
        <w:rPr>
          <w:szCs w:val="20"/>
          <w:lang w:val="en-US"/>
        </w:rPr>
        <w:t>the representatives</w:t>
      </w:r>
      <w:r w:rsidR="004B053B" w:rsidRPr="00A50E4D">
        <w:rPr>
          <w:szCs w:val="20"/>
          <w:lang w:val="en-US"/>
        </w:rPr>
        <w:t xml:space="preserve"> </w:t>
      </w:r>
      <w:r w:rsidRPr="00A50E4D">
        <w:rPr>
          <w:szCs w:val="20"/>
          <w:lang w:val="en-US"/>
        </w:rPr>
        <w:t xml:space="preserve">are substantially the same as those analyzed under </w:t>
      </w:r>
      <w:r w:rsidR="009808C5" w:rsidRPr="00A50E4D">
        <w:rPr>
          <w:szCs w:val="20"/>
          <w:lang w:val="en-US"/>
        </w:rPr>
        <w:t>Article</w:t>
      </w:r>
      <w:r w:rsidR="004B053B" w:rsidRPr="00A50E4D">
        <w:rPr>
          <w:szCs w:val="20"/>
          <w:lang w:val="en-US"/>
        </w:rPr>
        <w:t xml:space="preserve"> </w:t>
      </w:r>
      <w:r w:rsidR="00CD2874" w:rsidRPr="00A50E4D">
        <w:rPr>
          <w:szCs w:val="20"/>
          <w:lang w:val="en-US"/>
        </w:rPr>
        <w:t>13(1)</w:t>
      </w:r>
      <w:r w:rsidR="009808C5" w:rsidRPr="00A50E4D">
        <w:rPr>
          <w:szCs w:val="20"/>
          <w:lang w:val="en-US"/>
        </w:rPr>
        <w:t xml:space="preserve"> of the Convention</w:t>
      </w:r>
      <w:r w:rsidR="004B053B" w:rsidRPr="00A50E4D">
        <w:rPr>
          <w:szCs w:val="20"/>
          <w:lang w:val="en-US"/>
        </w:rPr>
        <w:t>.</w:t>
      </w:r>
      <w:r w:rsidRPr="00A50E4D">
        <w:rPr>
          <w:szCs w:val="20"/>
          <w:lang w:val="en-US"/>
        </w:rPr>
        <w:t xml:space="preserve"> Therefore this Court does not find it appropriate to rule on the alleged violation </w:t>
      </w:r>
      <w:r w:rsidR="0048601C" w:rsidRPr="00A50E4D">
        <w:rPr>
          <w:szCs w:val="20"/>
          <w:lang w:val="en-US"/>
        </w:rPr>
        <w:t>of Article</w:t>
      </w:r>
      <w:r w:rsidRPr="00A50E4D">
        <w:rPr>
          <w:szCs w:val="20"/>
          <w:lang w:val="en-US"/>
        </w:rPr>
        <w:t xml:space="preserve"> 13(</w:t>
      </w:r>
      <w:r w:rsidR="00505627" w:rsidRPr="00A50E4D">
        <w:rPr>
          <w:szCs w:val="20"/>
          <w:lang w:val="en-US"/>
        </w:rPr>
        <w:t>3</w:t>
      </w:r>
      <w:r w:rsidRPr="00A50E4D">
        <w:rPr>
          <w:szCs w:val="20"/>
          <w:lang w:val="en-US"/>
        </w:rPr>
        <w:t>)</w:t>
      </w:r>
      <w:r w:rsidR="009808C5" w:rsidRPr="00A50E4D">
        <w:rPr>
          <w:szCs w:val="20"/>
          <w:lang w:val="en-US"/>
        </w:rPr>
        <w:t xml:space="preserve"> of the Convention</w:t>
      </w:r>
      <w:r w:rsidR="00505627" w:rsidRPr="00A50E4D">
        <w:rPr>
          <w:szCs w:val="20"/>
          <w:lang w:val="en-US"/>
        </w:rPr>
        <w:t xml:space="preserve">, </w:t>
      </w:r>
      <w:r w:rsidRPr="00A50E4D">
        <w:rPr>
          <w:szCs w:val="20"/>
          <w:lang w:val="en-US"/>
        </w:rPr>
        <w:t>based on facts that have already been analyzed</w:t>
      </w:r>
      <w:r w:rsidR="004B053B" w:rsidRPr="00A50E4D">
        <w:rPr>
          <w:szCs w:val="20"/>
          <w:lang w:val="en-US"/>
        </w:rPr>
        <w:t>.</w:t>
      </w:r>
      <w:bookmarkStart w:id="266" w:name="_Ref431214932"/>
      <w:bookmarkEnd w:id="265"/>
    </w:p>
    <w:p w14:paraId="21E1CDDD" w14:textId="77777777" w:rsidR="004B053B" w:rsidRPr="00A50E4D" w:rsidRDefault="004B053B" w:rsidP="004B053B">
      <w:pPr>
        <w:rPr>
          <w:lang w:val="en-US" w:eastAsia="es-MX"/>
        </w:rPr>
      </w:pPr>
    </w:p>
    <w:p w14:paraId="6EA34F8E" w14:textId="237F80EF" w:rsidR="004B053B" w:rsidRPr="00A50E4D" w:rsidRDefault="008110C1" w:rsidP="004B053B">
      <w:pPr>
        <w:pStyle w:val="PrrafodeSentencia"/>
        <w:rPr>
          <w:rFonts w:eastAsia="Times New Roman"/>
          <w:color w:val="000000"/>
          <w:szCs w:val="20"/>
          <w:lang w:val="en-US"/>
        </w:rPr>
      </w:pPr>
      <w:r w:rsidRPr="00A50E4D">
        <w:rPr>
          <w:rFonts w:cs="Tahoma"/>
          <w:szCs w:val="20"/>
          <w:lang w:val="en-US"/>
        </w:rPr>
        <w:t>The</w:t>
      </w:r>
      <w:r w:rsidR="009808C5" w:rsidRPr="00A50E4D">
        <w:rPr>
          <w:rFonts w:cs="Tahoma"/>
          <w:szCs w:val="20"/>
          <w:lang w:val="en-US"/>
        </w:rPr>
        <w:t xml:space="preserve"> Commission</w:t>
      </w:r>
      <w:r w:rsidRPr="00A50E4D">
        <w:rPr>
          <w:rFonts w:cs="Tahoma"/>
          <w:szCs w:val="20"/>
          <w:lang w:val="en-US"/>
        </w:rPr>
        <w:t xml:space="preserve"> </w:t>
      </w:r>
      <w:r w:rsidR="009808C5" w:rsidRPr="00A50E4D">
        <w:rPr>
          <w:rFonts w:cs="Tahoma"/>
          <w:szCs w:val="20"/>
          <w:lang w:val="en-US"/>
        </w:rPr>
        <w:t xml:space="preserve">and </w:t>
      </w:r>
      <w:r w:rsidR="00AD5EE7" w:rsidRPr="00A50E4D">
        <w:rPr>
          <w:szCs w:val="20"/>
          <w:lang w:val="en-US"/>
        </w:rPr>
        <w:t>the representatives</w:t>
      </w:r>
      <w:r w:rsidR="004B053B" w:rsidRPr="00A50E4D">
        <w:rPr>
          <w:b/>
          <w:i/>
          <w:szCs w:val="20"/>
          <w:lang w:val="en-US"/>
        </w:rPr>
        <w:t xml:space="preserve"> </w:t>
      </w:r>
      <w:r w:rsidRPr="00A50E4D">
        <w:rPr>
          <w:bCs/>
          <w:szCs w:val="20"/>
          <w:lang w:val="en-US"/>
        </w:rPr>
        <w:t>also asserted that</w:t>
      </w:r>
      <w:r w:rsidR="004B053B" w:rsidRPr="00A50E4D">
        <w:rPr>
          <w:bCs/>
          <w:szCs w:val="20"/>
          <w:lang w:val="en-US"/>
        </w:rPr>
        <w:t xml:space="preserve"> </w:t>
      </w:r>
      <w:r w:rsidR="00277E12" w:rsidRPr="00A50E4D">
        <w:rPr>
          <w:bCs/>
          <w:szCs w:val="20"/>
          <w:lang w:val="en-US"/>
        </w:rPr>
        <w:t>the disciplinary proceedings</w:t>
      </w:r>
      <w:r w:rsidR="009808C5" w:rsidRPr="00A50E4D">
        <w:rPr>
          <w:bCs/>
          <w:szCs w:val="20"/>
          <w:lang w:val="en-US"/>
        </w:rPr>
        <w:t xml:space="preserve"> and </w:t>
      </w:r>
      <w:r w:rsidRPr="00A50E4D">
        <w:rPr>
          <w:bCs/>
          <w:szCs w:val="20"/>
          <w:lang w:val="en-US"/>
        </w:rPr>
        <w:t xml:space="preserve">the consequent </w:t>
      </w:r>
      <w:r w:rsidR="002E7066" w:rsidRPr="00A50E4D">
        <w:rPr>
          <w:bCs/>
          <w:szCs w:val="20"/>
          <w:lang w:val="en-US"/>
        </w:rPr>
        <w:t>dismissal</w:t>
      </w:r>
      <w:r w:rsidRPr="00A50E4D">
        <w:rPr>
          <w:bCs/>
          <w:szCs w:val="20"/>
          <w:lang w:val="en-US"/>
        </w:rPr>
        <w:t xml:space="preserve"> </w:t>
      </w:r>
      <w:r w:rsidR="00371BB7" w:rsidRPr="00A50E4D">
        <w:rPr>
          <w:bCs/>
          <w:szCs w:val="20"/>
          <w:lang w:val="en-US"/>
        </w:rPr>
        <w:t>of the presumed victims</w:t>
      </w:r>
      <w:r w:rsidR="004B053B" w:rsidRPr="00A50E4D">
        <w:rPr>
          <w:bCs/>
          <w:szCs w:val="20"/>
          <w:lang w:val="en-US"/>
        </w:rPr>
        <w:t xml:space="preserve"> </w:t>
      </w:r>
      <w:r w:rsidRPr="00A50E4D">
        <w:rPr>
          <w:bCs/>
          <w:szCs w:val="20"/>
          <w:lang w:val="en-US"/>
        </w:rPr>
        <w:t>from</w:t>
      </w:r>
      <w:r w:rsidR="00700DEC" w:rsidRPr="00A50E4D">
        <w:rPr>
          <w:bCs/>
          <w:szCs w:val="20"/>
          <w:lang w:val="en-US"/>
        </w:rPr>
        <w:t xml:space="preserve"> the Judiciary</w:t>
      </w:r>
      <w:r w:rsidR="004B053B" w:rsidRPr="00A50E4D">
        <w:rPr>
          <w:bCs/>
          <w:szCs w:val="20"/>
          <w:lang w:val="en-US"/>
        </w:rPr>
        <w:t xml:space="preserve"> </w:t>
      </w:r>
      <w:r w:rsidRPr="00A50E4D">
        <w:rPr>
          <w:bCs/>
          <w:szCs w:val="20"/>
          <w:lang w:val="en-US"/>
        </w:rPr>
        <w:t>prevented them from continuing to be members of the AJD, and thus their</w:t>
      </w:r>
      <w:r w:rsidR="004B053B" w:rsidRPr="00A50E4D">
        <w:rPr>
          <w:bCs/>
          <w:szCs w:val="20"/>
          <w:lang w:val="en-US"/>
        </w:rPr>
        <w:t xml:space="preserve"> </w:t>
      </w:r>
      <w:r w:rsidR="00371BB7" w:rsidRPr="00A50E4D">
        <w:rPr>
          <w:bCs/>
          <w:szCs w:val="20"/>
          <w:lang w:val="en-US"/>
        </w:rPr>
        <w:t>freedom of association</w:t>
      </w:r>
      <w:r w:rsidRPr="00A50E4D">
        <w:rPr>
          <w:bCs/>
          <w:szCs w:val="20"/>
          <w:lang w:val="en-US"/>
        </w:rPr>
        <w:t xml:space="preserve"> was violated</w:t>
      </w:r>
      <w:r w:rsidR="00485198" w:rsidRPr="00A50E4D">
        <w:rPr>
          <w:bCs/>
          <w:szCs w:val="20"/>
          <w:lang w:val="en-US"/>
        </w:rPr>
        <w:t>.</w:t>
      </w:r>
      <w:r w:rsidR="004B053B" w:rsidRPr="00A50E4D">
        <w:rPr>
          <w:b/>
          <w:bCs/>
          <w:szCs w:val="20"/>
          <w:lang w:val="en-US"/>
        </w:rPr>
        <w:t xml:space="preserve"> </w:t>
      </w:r>
      <w:r w:rsidR="009808C5" w:rsidRPr="00A50E4D">
        <w:rPr>
          <w:bCs/>
          <w:szCs w:val="20"/>
          <w:lang w:val="en-US"/>
        </w:rPr>
        <w:t>The Court</w:t>
      </w:r>
      <w:r w:rsidR="004B053B" w:rsidRPr="00A50E4D">
        <w:rPr>
          <w:color w:val="000000"/>
          <w:szCs w:val="20"/>
          <w:lang w:val="en-US"/>
        </w:rPr>
        <w:t xml:space="preserve"> ha</w:t>
      </w:r>
      <w:r w:rsidRPr="00A50E4D">
        <w:rPr>
          <w:color w:val="000000"/>
          <w:szCs w:val="20"/>
          <w:lang w:val="en-US"/>
        </w:rPr>
        <w:t xml:space="preserve">s indicated that </w:t>
      </w:r>
      <w:r w:rsidR="009808C5" w:rsidRPr="00A50E4D">
        <w:rPr>
          <w:rFonts w:eastAsia="Times New Roman"/>
          <w:color w:val="000000"/>
          <w:szCs w:val="20"/>
          <w:lang w:val="en-US"/>
        </w:rPr>
        <w:t>Article</w:t>
      </w:r>
      <w:r w:rsidR="004B053B" w:rsidRPr="00A50E4D">
        <w:rPr>
          <w:rFonts w:eastAsia="Times New Roman"/>
          <w:color w:val="000000"/>
          <w:szCs w:val="20"/>
          <w:lang w:val="en-US"/>
        </w:rPr>
        <w:t xml:space="preserve"> </w:t>
      </w:r>
      <w:r w:rsidR="00CD2874" w:rsidRPr="00A50E4D">
        <w:rPr>
          <w:rFonts w:eastAsia="Times New Roman"/>
          <w:color w:val="000000"/>
          <w:szCs w:val="20"/>
          <w:lang w:val="en-US"/>
        </w:rPr>
        <w:t>16(1)</w:t>
      </w:r>
      <w:r w:rsidR="009808C5" w:rsidRPr="00A50E4D">
        <w:rPr>
          <w:rFonts w:eastAsia="Times New Roman"/>
          <w:color w:val="000000"/>
          <w:szCs w:val="20"/>
          <w:lang w:val="en-US"/>
        </w:rPr>
        <w:t xml:space="preserve"> of the American Convention</w:t>
      </w:r>
      <w:r w:rsidR="004B053B" w:rsidRPr="00A50E4D">
        <w:rPr>
          <w:rFonts w:eastAsia="Times New Roman"/>
          <w:color w:val="000000"/>
          <w:szCs w:val="20"/>
          <w:lang w:val="en-US"/>
        </w:rPr>
        <w:t xml:space="preserve"> </w:t>
      </w:r>
      <w:r w:rsidR="000A786A" w:rsidRPr="00A50E4D">
        <w:rPr>
          <w:rFonts w:eastAsia="Times New Roman"/>
          <w:color w:val="000000"/>
          <w:szCs w:val="20"/>
          <w:lang w:val="en-US"/>
        </w:rPr>
        <w:t>establishes</w:t>
      </w:r>
      <w:r w:rsidRPr="00A50E4D">
        <w:rPr>
          <w:rFonts w:eastAsia="Times New Roman"/>
          <w:color w:val="000000"/>
          <w:szCs w:val="20"/>
          <w:lang w:val="en-US"/>
        </w:rPr>
        <w:t xml:space="preserve"> that those who are subject to the jurisdiction of the States Parties have the right and the freedom to associate freely with other persons, without the intervention of the public authorities limiting or obstructing the exercise of this right. In other words, this is the right to associate in order to achieve a legitimate </w:t>
      </w:r>
      <w:r w:rsidR="00C707A3" w:rsidRPr="00A50E4D">
        <w:rPr>
          <w:rFonts w:eastAsia="Times New Roman"/>
          <w:color w:val="000000"/>
          <w:szCs w:val="20"/>
          <w:lang w:val="en-US"/>
        </w:rPr>
        <w:t xml:space="preserve">common </w:t>
      </w:r>
      <w:r w:rsidRPr="00A50E4D">
        <w:rPr>
          <w:rFonts w:eastAsia="Times New Roman"/>
          <w:color w:val="000000"/>
          <w:szCs w:val="20"/>
          <w:lang w:val="en-US"/>
        </w:rPr>
        <w:t>objective, without pressure or interference that could alter or denature this objective.</w:t>
      </w:r>
      <w:r w:rsidR="004B053B" w:rsidRPr="00A50E4D">
        <w:rPr>
          <w:rStyle w:val="FootnoteReference"/>
          <w:color w:val="000000"/>
          <w:sz w:val="20"/>
          <w:szCs w:val="20"/>
          <w:lang w:val="en-US"/>
        </w:rPr>
        <w:footnoteReference w:id="334"/>
      </w:r>
      <w:r w:rsidR="003A11D9" w:rsidRPr="00A50E4D">
        <w:rPr>
          <w:rFonts w:eastAsia="Times New Roman"/>
          <w:color w:val="000000"/>
          <w:szCs w:val="20"/>
          <w:lang w:val="en-US"/>
        </w:rPr>
        <w:t xml:space="preserve"> In the same way that freedom of association has these negative obligations, </w:t>
      </w:r>
      <w:r w:rsidR="009808C5" w:rsidRPr="00A50E4D">
        <w:rPr>
          <w:rFonts w:eastAsia="Times New Roman"/>
          <w:color w:val="000000"/>
          <w:szCs w:val="20"/>
          <w:lang w:val="en-US"/>
        </w:rPr>
        <w:t>the Inter-American Court</w:t>
      </w:r>
      <w:r w:rsidR="004B053B" w:rsidRPr="00A50E4D">
        <w:rPr>
          <w:rFonts w:eastAsia="Times New Roman"/>
          <w:color w:val="000000"/>
          <w:szCs w:val="20"/>
          <w:lang w:val="en-US"/>
        </w:rPr>
        <w:t xml:space="preserve"> ha</w:t>
      </w:r>
      <w:r w:rsidR="003A11D9" w:rsidRPr="00A50E4D">
        <w:rPr>
          <w:rFonts w:eastAsia="Times New Roman"/>
          <w:color w:val="000000"/>
          <w:szCs w:val="20"/>
          <w:lang w:val="en-US"/>
        </w:rPr>
        <w:t>s</w:t>
      </w:r>
      <w:r w:rsidR="004B053B" w:rsidRPr="00A50E4D">
        <w:rPr>
          <w:rFonts w:eastAsia="Times New Roman"/>
          <w:color w:val="000000"/>
          <w:szCs w:val="20"/>
          <w:lang w:val="en-US"/>
        </w:rPr>
        <w:t xml:space="preserve"> observ</w:t>
      </w:r>
      <w:r w:rsidR="003A11D9" w:rsidRPr="00A50E4D">
        <w:rPr>
          <w:rFonts w:eastAsia="Times New Roman"/>
          <w:color w:val="000000"/>
          <w:szCs w:val="20"/>
          <w:lang w:val="en-US"/>
        </w:rPr>
        <w:t>ed that it also gives rise to positive obligations to prevent any attacks on it, to protect those who exercise it, and to investigate any violations thereof.</w:t>
      </w:r>
      <w:r w:rsidR="004B053B" w:rsidRPr="00A50E4D">
        <w:rPr>
          <w:rStyle w:val="FootnoteReference"/>
          <w:color w:val="000000"/>
          <w:sz w:val="20"/>
          <w:szCs w:val="20"/>
          <w:lang w:val="en-US"/>
        </w:rPr>
        <w:footnoteReference w:id="335"/>
      </w:r>
    </w:p>
    <w:p w14:paraId="0A2FE43D" w14:textId="77777777" w:rsidR="004B053B" w:rsidRPr="00A50E4D" w:rsidRDefault="004B053B" w:rsidP="004B053B">
      <w:pPr>
        <w:pStyle w:val="PrrafodeSentencia"/>
        <w:numPr>
          <w:ilvl w:val="0"/>
          <w:numId w:val="0"/>
        </w:numPr>
        <w:rPr>
          <w:szCs w:val="20"/>
          <w:lang w:val="en-US"/>
        </w:rPr>
      </w:pPr>
    </w:p>
    <w:p w14:paraId="6A53B021" w14:textId="42D01EC4" w:rsidR="00DE3B48" w:rsidRPr="00A50E4D" w:rsidRDefault="00513059" w:rsidP="003B54A6">
      <w:pPr>
        <w:pStyle w:val="PrrafodeSentencia"/>
        <w:rPr>
          <w:szCs w:val="20"/>
          <w:lang w:val="en-US"/>
        </w:rPr>
      </w:pPr>
      <w:bookmarkStart w:id="267" w:name="_Ref431643622"/>
      <w:r w:rsidRPr="00A50E4D">
        <w:rPr>
          <w:szCs w:val="20"/>
          <w:lang w:val="en-US"/>
        </w:rPr>
        <w:t>At the time</w:t>
      </w:r>
      <w:r w:rsidR="004626E5" w:rsidRPr="00A50E4D">
        <w:rPr>
          <w:szCs w:val="20"/>
          <w:lang w:val="en-US"/>
        </w:rPr>
        <w:t xml:space="preserve"> of the </w:t>
      </w:r>
      <w:r w:rsidR="00B11ACA" w:rsidRPr="00A50E4D">
        <w:rPr>
          <w:i/>
          <w:szCs w:val="20"/>
          <w:lang w:val="en-US"/>
        </w:rPr>
        <w:t>coup d’état</w:t>
      </w:r>
      <w:r w:rsidR="004B053B" w:rsidRPr="00A50E4D">
        <w:rPr>
          <w:szCs w:val="20"/>
          <w:lang w:val="en-US"/>
        </w:rPr>
        <w:t xml:space="preserve">, </w:t>
      </w:r>
      <w:r w:rsidRPr="00A50E4D">
        <w:rPr>
          <w:szCs w:val="20"/>
          <w:lang w:val="en-US"/>
        </w:rPr>
        <w:t>the four presumed victims w</w:t>
      </w:r>
      <w:r w:rsidR="008B6483" w:rsidRPr="00A50E4D">
        <w:rPr>
          <w:szCs w:val="20"/>
          <w:lang w:val="en-US"/>
        </w:rPr>
        <w:t>ere members of the AJD; moreover,</w:t>
      </w:r>
      <w:r w:rsidRPr="00A50E4D">
        <w:rPr>
          <w:szCs w:val="20"/>
          <w:lang w:val="en-US"/>
        </w:rPr>
        <w:t xml:space="preserve"> three of them were founding members or held directorial positions within the Association </w:t>
      </w:r>
      <w:r w:rsidR="004B053B" w:rsidRPr="00A50E4D">
        <w:rPr>
          <w:szCs w:val="20"/>
          <w:lang w:val="en-US"/>
        </w:rPr>
        <w:t>(</w:t>
      </w:r>
      <w:r w:rsidR="004B053B" w:rsidRPr="00A50E4D">
        <w:rPr>
          <w:i/>
          <w:szCs w:val="20"/>
          <w:lang w:val="en-US"/>
        </w:rPr>
        <w:t xml:space="preserve">supra </w:t>
      </w:r>
      <w:r w:rsidR="00AD5EE7" w:rsidRPr="00A50E4D">
        <w:rPr>
          <w:szCs w:val="20"/>
          <w:lang w:val="en-US"/>
        </w:rPr>
        <w:t>paras.</w:t>
      </w:r>
      <w:r w:rsidR="004B053B" w:rsidRPr="00A50E4D">
        <w:rPr>
          <w:szCs w:val="20"/>
          <w:lang w:val="en-US"/>
        </w:rPr>
        <w:t xml:space="preserve"> </w:t>
      </w:r>
      <w:r w:rsidR="005E054D" w:rsidRPr="00914F55">
        <w:rPr>
          <w:szCs w:val="20"/>
          <w:lang w:val="en-US"/>
        </w:rPr>
        <w:fldChar w:fldCharType="begin"/>
      </w:r>
      <w:r w:rsidR="005E054D" w:rsidRPr="00A50E4D">
        <w:rPr>
          <w:szCs w:val="20"/>
          <w:lang w:val="en-US"/>
        </w:rPr>
        <w:instrText xml:space="preserve"> REF _Ref431585994 \r \h </w:instrText>
      </w:r>
      <w:r w:rsidR="003C6A5C" w:rsidRPr="00A50E4D">
        <w:rPr>
          <w:szCs w:val="20"/>
          <w:lang w:val="en-US"/>
        </w:rPr>
        <w:instrText xml:space="preserve"> \* MERGEFORMAT </w:instrText>
      </w:r>
      <w:r w:rsidR="005E054D" w:rsidRPr="00914F55">
        <w:rPr>
          <w:szCs w:val="20"/>
          <w:lang w:val="en-US"/>
        </w:rPr>
      </w:r>
      <w:r w:rsidR="005E054D" w:rsidRPr="00914F55">
        <w:rPr>
          <w:szCs w:val="20"/>
          <w:lang w:val="en-US"/>
        </w:rPr>
        <w:fldChar w:fldCharType="separate"/>
      </w:r>
      <w:r w:rsidR="00547588">
        <w:rPr>
          <w:szCs w:val="20"/>
          <w:lang w:val="en-US"/>
        </w:rPr>
        <w:t>68</w:t>
      </w:r>
      <w:r w:rsidR="005E054D" w:rsidRPr="00914F55">
        <w:rPr>
          <w:szCs w:val="20"/>
          <w:lang w:val="en-US"/>
        </w:rPr>
        <w:fldChar w:fldCharType="end"/>
      </w:r>
      <w:r w:rsidR="005E054D" w:rsidRPr="00A50E4D">
        <w:rPr>
          <w:szCs w:val="20"/>
          <w:lang w:val="en-US"/>
        </w:rPr>
        <w:t xml:space="preserve">, </w:t>
      </w:r>
      <w:r w:rsidR="005E054D" w:rsidRPr="00914F55">
        <w:rPr>
          <w:szCs w:val="20"/>
          <w:lang w:val="en-US"/>
        </w:rPr>
        <w:fldChar w:fldCharType="begin"/>
      </w:r>
      <w:r w:rsidR="005E054D" w:rsidRPr="00A50E4D">
        <w:rPr>
          <w:szCs w:val="20"/>
          <w:lang w:val="en-US"/>
        </w:rPr>
        <w:instrText xml:space="preserve"> REF _Ref425954384 \r \h </w:instrText>
      </w:r>
      <w:r w:rsidR="003C6A5C" w:rsidRPr="00A50E4D">
        <w:rPr>
          <w:szCs w:val="20"/>
          <w:lang w:val="en-US"/>
        </w:rPr>
        <w:instrText xml:space="preserve"> \* MERGEFORMAT </w:instrText>
      </w:r>
      <w:r w:rsidR="005E054D" w:rsidRPr="00914F55">
        <w:rPr>
          <w:szCs w:val="20"/>
          <w:lang w:val="en-US"/>
        </w:rPr>
      </w:r>
      <w:r w:rsidR="005E054D" w:rsidRPr="00914F55">
        <w:rPr>
          <w:szCs w:val="20"/>
          <w:lang w:val="en-US"/>
        </w:rPr>
        <w:fldChar w:fldCharType="separate"/>
      </w:r>
      <w:r w:rsidR="00547588">
        <w:rPr>
          <w:szCs w:val="20"/>
          <w:lang w:val="en-US"/>
        </w:rPr>
        <w:t>86</w:t>
      </w:r>
      <w:r w:rsidR="005E054D" w:rsidRPr="00914F55">
        <w:rPr>
          <w:szCs w:val="20"/>
          <w:lang w:val="en-US"/>
        </w:rPr>
        <w:fldChar w:fldCharType="end"/>
      </w:r>
      <w:r w:rsidR="004B053B" w:rsidRPr="00A50E4D">
        <w:rPr>
          <w:szCs w:val="20"/>
          <w:lang w:val="en-US"/>
        </w:rPr>
        <w:t xml:space="preserve">, </w:t>
      </w:r>
      <w:r w:rsidR="005E054D" w:rsidRPr="00914F55">
        <w:rPr>
          <w:szCs w:val="20"/>
          <w:lang w:val="en-US"/>
        </w:rPr>
        <w:fldChar w:fldCharType="begin"/>
      </w:r>
      <w:r w:rsidR="005E054D" w:rsidRPr="00A50E4D">
        <w:rPr>
          <w:szCs w:val="20"/>
          <w:lang w:val="en-US"/>
        </w:rPr>
        <w:instrText xml:space="preserve"> REF _Ref424570469 \r \h </w:instrText>
      </w:r>
      <w:r w:rsidR="003C6A5C" w:rsidRPr="00A50E4D">
        <w:rPr>
          <w:szCs w:val="20"/>
          <w:lang w:val="en-US"/>
        </w:rPr>
        <w:instrText xml:space="preserve"> \* MERGEFORMAT </w:instrText>
      </w:r>
      <w:r w:rsidR="005E054D" w:rsidRPr="00914F55">
        <w:rPr>
          <w:szCs w:val="20"/>
          <w:lang w:val="en-US"/>
        </w:rPr>
      </w:r>
      <w:r w:rsidR="005E054D" w:rsidRPr="00914F55">
        <w:rPr>
          <w:szCs w:val="20"/>
          <w:lang w:val="en-US"/>
        </w:rPr>
        <w:fldChar w:fldCharType="separate"/>
      </w:r>
      <w:r w:rsidR="00547588">
        <w:rPr>
          <w:szCs w:val="20"/>
          <w:lang w:val="en-US"/>
        </w:rPr>
        <w:t>105</w:t>
      </w:r>
      <w:r w:rsidR="005E054D" w:rsidRPr="00914F55">
        <w:rPr>
          <w:szCs w:val="20"/>
          <w:lang w:val="en-US"/>
        </w:rPr>
        <w:fldChar w:fldCharType="end"/>
      </w:r>
      <w:r w:rsidR="004B053B" w:rsidRPr="00A50E4D">
        <w:rPr>
          <w:szCs w:val="20"/>
          <w:lang w:val="en-US"/>
        </w:rPr>
        <w:t xml:space="preserve">, </w:t>
      </w:r>
      <w:r w:rsidR="005E054D" w:rsidRPr="00914F55">
        <w:rPr>
          <w:szCs w:val="20"/>
          <w:lang w:val="en-US"/>
        </w:rPr>
        <w:fldChar w:fldCharType="begin"/>
      </w:r>
      <w:r w:rsidR="005E054D" w:rsidRPr="00A50E4D">
        <w:rPr>
          <w:szCs w:val="20"/>
          <w:lang w:val="en-US"/>
        </w:rPr>
        <w:instrText xml:space="preserve"> REF _Ref426373721 \r \h </w:instrText>
      </w:r>
      <w:r w:rsidR="003C6A5C" w:rsidRPr="00A50E4D">
        <w:rPr>
          <w:szCs w:val="20"/>
          <w:lang w:val="en-US"/>
        </w:rPr>
        <w:instrText xml:space="preserve"> \* MERGEFORMAT </w:instrText>
      </w:r>
      <w:r w:rsidR="005E054D" w:rsidRPr="00914F55">
        <w:rPr>
          <w:szCs w:val="20"/>
          <w:lang w:val="en-US"/>
        </w:rPr>
      </w:r>
      <w:r w:rsidR="005E054D" w:rsidRPr="00914F55">
        <w:rPr>
          <w:szCs w:val="20"/>
          <w:lang w:val="en-US"/>
        </w:rPr>
        <w:fldChar w:fldCharType="separate"/>
      </w:r>
      <w:r w:rsidR="00547588">
        <w:rPr>
          <w:szCs w:val="20"/>
          <w:lang w:val="en-US"/>
        </w:rPr>
        <w:t>123</w:t>
      </w:r>
      <w:r w:rsidR="005E054D" w:rsidRPr="00914F55">
        <w:rPr>
          <w:szCs w:val="20"/>
          <w:lang w:val="en-US"/>
        </w:rPr>
        <w:fldChar w:fldCharType="end"/>
      </w:r>
      <w:r w:rsidR="009808C5" w:rsidRPr="00A50E4D">
        <w:rPr>
          <w:szCs w:val="20"/>
          <w:lang w:val="en-US"/>
        </w:rPr>
        <w:t xml:space="preserve"> and </w:t>
      </w:r>
      <w:r w:rsidR="005E054D" w:rsidRPr="00914F55">
        <w:rPr>
          <w:szCs w:val="20"/>
          <w:lang w:val="en-US"/>
        </w:rPr>
        <w:fldChar w:fldCharType="begin"/>
      </w:r>
      <w:r w:rsidR="005E054D" w:rsidRPr="00A50E4D">
        <w:rPr>
          <w:szCs w:val="20"/>
          <w:lang w:val="en-US"/>
        </w:rPr>
        <w:instrText xml:space="preserve"> REF _Ref431585960 \r \h </w:instrText>
      </w:r>
      <w:r w:rsidR="003C6A5C" w:rsidRPr="00A50E4D">
        <w:rPr>
          <w:szCs w:val="20"/>
          <w:lang w:val="en-US"/>
        </w:rPr>
        <w:instrText xml:space="preserve"> \* MERGEFORMAT </w:instrText>
      </w:r>
      <w:r w:rsidR="005E054D" w:rsidRPr="00914F55">
        <w:rPr>
          <w:szCs w:val="20"/>
          <w:lang w:val="en-US"/>
        </w:rPr>
      </w:r>
      <w:r w:rsidR="005E054D" w:rsidRPr="00914F55">
        <w:rPr>
          <w:szCs w:val="20"/>
          <w:lang w:val="en-US"/>
        </w:rPr>
        <w:fldChar w:fldCharType="separate"/>
      </w:r>
      <w:r w:rsidR="00547588">
        <w:rPr>
          <w:szCs w:val="20"/>
          <w:lang w:val="en-US"/>
        </w:rPr>
        <w:t>139</w:t>
      </w:r>
      <w:r w:rsidR="005E054D" w:rsidRPr="00914F55">
        <w:rPr>
          <w:szCs w:val="20"/>
          <w:lang w:val="en-US"/>
        </w:rPr>
        <w:fldChar w:fldCharType="end"/>
      </w:r>
      <w:r w:rsidR="004B053B" w:rsidRPr="00A50E4D">
        <w:rPr>
          <w:szCs w:val="20"/>
          <w:lang w:val="en-US"/>
        </w:rPr>
        <w:t xml:space="preserve">). </w:t>
      </w:r>
      <w:r w:rsidR="009808C5" w:rsidRPr="00A50E4D">
        <w:rPr>
          <w:szCs w:val="20"/>
          <w:lang w:val="en-US"/>
        </w:rPr>
        <w:t>The Court</w:t>
      </w:r>
      <w:r w:rsidR="004B053B" w:rsidRPr="00A50E4D">
        <w:rPr>
          <w:szCs w:val="20"/>
          <w:lang w:val="en-US"/>
        </w:rPr>
        <w:t xml:space="preserve"> </w:t>
      </w:r>
      <w:r w:rsidRPr="00A50E4D">
        <w:rPr>
          <w:szCs w:val="20"/>
          <w:lang w:val="en-US"/>
        </w:rPr>
        <w:t xml:space="preserve">has verified that the AJD issued a press communiqué in which it </w:t>
      </w:r>
      <w:r w:rsidR="00C707A3" w:rsidRPr="00A50E4D">
        <w:rPr>
          <w:szCs w:val="20"/>
          <w:lang w:val="en-US"/>
        </w:rPr>
        <w:t xml:space="preserve">clearly indicated </w:t>
      </w:r>
      <w:r w:rsidRPr="00A50E4D">
        <w:rPr>
          <w:szCs w:val="20"/>
          <w:lang w:val="en-US"/>
        </w:rPr>
        <w:t xml:space="preserve">the position of the Association and its members against </w:t>
      </w:r>
      <w:r w:rsidR="004626E5" w:rsidRPr="00A50E4D">
        <w:rPr>
          <w:szCs w:val="20"/>
          <w:lang w:val="en-US"/>
        </w:rPr>
        <w:t xml:space="preserve">the </w:t>
      </w:r>
      <w:r w:rsidR="00B11ACA" w:rsidRPr="00A50E4D">
        <w:rPr>
          <w:i/>
          <w:szCs w:val="20"/>
          <w:lang w:val="en-US"/>
        </w:rPr>
        <w:t>coup d’état</w:t>
      </w:r>
      <w:r w:rsidR="004B053B" w:rsidRPr="00A50E4D">
        <w:rPr>
          <w:szCs w:val="20"/>
          <w:lang w:val="en-US"/>
        </w:rPr>
        <w:t xml:space="preserve"> (</w:t>
      </w:r>
      <w:r w:rsidR="004B053B" w:rsidRPr="00A50E4D">
        <w:rPr>
          <w:i/>
          <w:szCs w:val="20"/>
          <w:lang w:val="en-US"/>
        </w:rPr>
        <w:t xml:space="preserve">supra </w:t>
      </w:r>
      <w:r w:rsidR="00AD5EE7" w:rsidRPr="00A50E4D">
        <w:rPr>
          <w:szCs w:val="20"/>
          <w:lang w:val="en-US"/>
        </w:rPr>
        <w:t>para.</w:t>
      </w:r>
      <w:r w:rsidR="004B053B" w:rsidRPr="00A50E4D">
        <w:rPr>
          <w:szCs w:val="20"/>
          <w:lang w:val="en-US"/>
        </w:rPr>
        <w:t xml:space="preserve"> </w:t>
      </w:r>
      <w:r w:rsidR="005E054D" w:rsidRPr="00914F55">
        <w:rPr>
          <w:szCs w:val="20"/>
          <w:lang w:val="en-US"/>
        </w:rPr>
        <w:fldChar w:fldCharType="begin"/>
      </w:r>
      <w:r w:rsidR="005E054D" w:rsidRPr="00A50E4D">
        <w:rPr>
          <w:szCs w:val="20"/>
          <w:lang w:val="en-US"/>
        </w:rPr>
        <w:instrText xml:space="preserve"> REF _Ref431473536 \r \h </w:instrText>
      </w:r>
      <w:r w:rsidR="003C6A5C" w:rsidRPr="00A50E4D">
        <w:rPr>
          <w:szCs w:val="20"/>
          <w:lang w:val="en-US"/>
        </w:rPr>
        <w:instrText xml:space="preserve"> \* MERGEFORMAT </w:instrText>
      </w:r>
      <w:r w:rsidR="005E054D" w:rsidRPr="00914F55">
        <w:rPr>
          <w:szCs w:val="20"/>
          <w:lang w:val="en-US"/>
        </w:rPr>
      </w:r>
      <w:r w:rsidR="005E054D" w:rsidRPr="00914F55">
        <w:rPr>
          <w:szCs w:val="20"/>
          <w:lang w:val="en-US"/>
        </w:rPr>
        <w:fldChar w:fldCharType="separate"/>
      </w:r>
      <w:r w:rsidR="00547588">
        <w:rPr>
          <w:szCs w:val="20"/>
          <w:lang w:val="en-US"/>
        </w:rPr>
        <w:t>69</w:t>
      </w:r>
      <w:r w:rsidR="005E054D" w:rsidRPr="00914F55">
        <w:rPr>
          <w:szCs w:val="20"/>
          <w:lang w:val="en-US"/>
        </w:rPr>
        <w:fldChar w:fldCharType="end"/>
      </w:r>
      <w:r w:rsidRPr="00A50E4D">
        <w:rPr>
          <w:szCs w:val="20"/>
          <w:lang w:val="en-US"/>
        </w:rPr>
        <w:t xml:space="preserve">). According to its statutes, only judges and justices </w:t>
      </w:r>
      <w:r w:rsidR="008B6483" w:rsidRPr="00A50E4D">
        <w:rPr>
          <w:szCs w:val="20"/>
          <w:lang w:val="en-US"/>
        </w:rPr>
        <w:t xml:space="preserve">on active duty </w:t>
      </w:r>
      <w:r w:rsidRPr="00A50E4D">
        <w:rPr>
          <w:szCs w:val="20"/>
          <w:lang w:val="en-US"/>
        </w:rPr>
        <w:t>can be members of the Association.</w:t>
      </w:r>
      <w:r w:rsidR="004B053B" w:rsidRPr="00A50E4D">
        <w:rPr>
          <w:rStyle w:val="FootnoteReference"/>
          <w:rFonts w:cs="Arial"/>
          <w:sz w:val="20"/>
          <w:szCs w:val="20"/>
          <w:lang w:val="en-US"/>
        </w:rPr>
        <w:footnoteReference w:id="336"/>
      </w:r>
      <w:r w:rsidR="008B6483" w:rsidRPr="00A50E4D">
        <w:rPr>
          <w:szCs w:val="20"/>
          <w:lang w:val="en-US"/>
        </w:rPr>
        <w:t xml:space="preserve"> The dismissal </w:t>
      </w:r>
      <w:r w:rsidR="0029085B" w:rsidRPr="00A50E4D">
        <w:rPr>
          <w:szCs w:val="20"/>
          <w:lang w:val="en-US"/>
        </w:rPr>
        <w:t xml:space="preserve">of Mr. </w:t>
      </w:r>
      <w:r w:rsidR="00FF35A9" w:rsidRPr="00A50E4D">
        <w:rPr>
          <w:szCs w:val="20"/>
          <w:lang w:val="en-US"/>
        </w:rPr>
        <w:t>López</w:t>
      </w:r>
      <w:r w:rsidR="004B053B" w:rsidRPr="00A50E4D">
        <w:rPr>
          <w:szCs w:val="20"/>
          <w:lang w:val="en-US"/>
        </w:rPr>
        <w:t xml:space="preserve"> Lone,</w:t>
      </w:r>
      <w:r w:rsidR="00FF35A9" w:rsidRPr="00A50E4D">
        <w:rPr>
          <w:szCs w:val="20"/>
          <w:lang w:val="en-US"/>
        </w:rPr>
        <w:t xml:space="preserve"> </w:t>
      </w:r>
      <w:r w:rsidR="00DA4F82" w:rsidRPr="00A50E4D">
        <w:rPr>
          <w:szCs w:val="20"/>
          <w:lang w:val="en-US"/>
        </w:rPr>
        <w:t>Mr.</w:t>
      </w:r>
      <w:r w:rsidR="004B053B" w:rsidRPr="00A50E4D">
        <w:rPr>
          <w:szCs w:val="20"/>
          <w:lang w:val="en-US"/>
        </w:rPr>
        <w:t xml:space="preserve"> </w:t>
      </w:r>
      <w:r w:rsidR="009A7056" w:rsidRPr="00A50E4D">
        <w:rPr>
          <w:szCs w:val="20"/>
          <w:lang w:val="en-US"/>
        </w:rPr>
        <w:t>Chévez de la Rocha</w:t>
      </w:r>
      <w:r w:rsidR="009808C5" w:rsidRPr="00A50E4D">
        <w:rPr>
          <w:szCs w:val="20"/>
          <w:lang w:val="en-US"/>
        </w:rPr>
        <w:t xml:space="preserve"> and</w:t>
      </w:r>
      <w:r w:rsidR="00FF35A9" w:rsidRPr="00A50E4D">
        <w:rPr>
          <w:szCs w:val="20"/>
          <w:lang w:val="en-US"/>
        </w:rPr>
        <w:t xml:space="preserve"> </w:t>
      </w:r>
      <w:r w:rsidR="008D65AB" w:rsidRPr="00A50E4D">
        <w:rPr>
          <w:szCs w:val="20"/>
          <w:lang w:val="en-US"/>
        </w:rPr>
        <w:t>Ms. Flores</w:t>
      </w:r>
      <w:r w:rsidR="004B053B" w:rsidRPr="00A50E4D">
        <w:rPr>
          <w:szCs w:val="20"/>
          <w:lang w:val="en-US"/>
        </w:rPr>
        <w:t xml:space="preserve"> Lanza af</w:t>
      </w:r>
      <w:r w:rsidR="008B6483" w:rsidRPr="00A50E4D">
        <w:rPr>
          <w:szCs w:val="20"/>
          <w:lang w:val="en-US"/>
        </w:rPr>
        <w:t xml:space="preserve">fected their possibility of belonging to the AJD and, therefore, also constituted an undue restriction of the right to </w:t>
      </w:r>
      <w:r w:rsidR="00371BB7" w:rsidRPr="00A50E4D">
        <w:rPr>
          <w:szCs w:val="20"/>
          <w:lang w:val="en-US"/>
        </w:rPr>
        <w:t>freedom of association</w:t>
      </w:r>
      <w:r w:rsidR="004B053B" w:rsidRPr="00A50E4D">
        <w:rPr>
          <w:szCs w:val="20"/>
          <w:lang w:val="en-US"/>
        </w:rPr>
        <w:t xml:space="preserve">. </w:t>
      </w:r>
      <w:r w:rsidR="008B6483" w:rsidRPr="00A50E4D">
        <w:rPr>
          <w:szCs w:val="20"/>
          <w:lang w:val="en-US"/>
        </w:rPr>
        <w:t>Consequently</w:t>
      </w:r>
      <w:r w:rsidR="004B053B" w:rsidRPr="00A50E4D">
        <w:rPr>
          <w:szCs w:val="20"/>
          <w:lang w:val="en-US"/>
        </w:rPr>
        <w:t xml:space="preserve">, </w:t>
      </w:r>
      <w:r w:rsidR="009808C5" w:rsidRPr="00A50E4D">
        <w:rPr>
          <w:szCs w:val="20"/>
          <w:lang w:val="en-US"/>
        </w:rPr>
        <w:t>the Court</w:t>
      </w:r>
      <w:r w:rsidR="008B6483" w:rsidRPr="00A50E4D">
        <w:rPr>
          <w:szCs w:val="20"/>
          <w:lang w:val="en-US"/>
        </w:rPr>
        <w:t xml:space="preserve"> concludes that </w:t>
      </w:r>
      <w:r w:rsidR="009808C5" w:rsidRPr="00A50E4D">
        <w:rPr>
          <w:szCs w:val="20"/>
          <w:lang w:val="en-US"/>
        </w:rPr>
        <w:t>the State</w:t>
      </w:r>
      <w:r w:rsidR="008B6483" w:rsidRPr="00A50E4D">
        <w:rPr>
          <w:szCs w:val="20"/>
          <w:lang w:val="en-US"/>
        </w:rPr>
        <w:t xml:space="preserve"> violated</w:t>
      </w:r>
      <w:r w:rsidR="004B053B" w:rsidRPr="00A50E4D">
        <w:rPr>
          <w:szCs w:val="20"/>
          <w:lang w:val="en-US"/>
        </w:rPr>
        <w:t xml:space="preserve"> </w:t>
      </w:r>
      <w:r w:rsidR="009808C5" w:rsidRPr="00A50E4D">
        <w:rPr>
          <w:szCs w:val="20"/>
          <w:lang w:val="en-US"/>
        </w:rPr>
        <w:t>Article</w:t>
      </w:r>
      <w:r w:rsidR="004B053B" w:rsidRPr="00A50E4D">
        <w:rPr>
          <w:szCs w:val="20"/>
          <w:lang w:val="en-US"/>
        </w:rPr>
        <w:t xml:space="preserve"> 16</w:t>
      </w:r>
      <w:r w:rsidR="009808C5" w:rsidRPr="00A50E4D">
        <w:rPr>
          <w:szCs w:val="20"/>
          <w:lang w:val="en-US"/>
        </w:rPr>
        <w:t xml:space="preserve"> of the Convention</w:t>
      </w:r>
      <w:r w:rsidR="004B053B" w:rsidRPr="00A50E4D">
        <w:rPr>
          <w:szCs w:val="20"/>
          <w:lang w:val="en-US"/>
        </w:rPr>
        <w:t xml:space="preserve">, </w:t>
      </w:r>
      <w:r w:rsidR="0048601C" w:rsidRPr="00A50E4D">
        <w:rPr>
          <w:szCs w:val="20"/>
          <w:lang w:val="en-US"/>
        </w:rPr>
        <w:t>in relation to Article 1(1)</w:t>
      </w:r>
      <w:r w:rsidR="00FF35A9" w:rsidRPr="00A50E4D">
        <w:rPr>
          <w:szCs w:val="20"/>
          <w:lang w:val="en-US"/>
        </w:rPr>
        <w:t xml:space="preserve"> of </w:t>
      </w:r>
      <w:r w:rsidR="008B6483" w:rsidRPr="00A50E4D">
        <w:rPr>
          <w:szCs w:val="20"/>
          <w:lang w:val="en-US"/>
        </w:rPr>
        <w:t xml:space="preserve">this instrument, to the detriment of </w:t>
      </w:r>
      <w:r w:rsidR="0029085B" w:rsidRPr="00A50E4D">
        <w:rPr>
          <w:szCs w:val="20"/>
          <w:lang w:val="en-US"/>
        </w:rPr>
        <w:t xml:space="preserve">Mr. </w:t>
      </w:r>
      <w:r w:rsidR="00FF35A9" w:rsidRPr="00A50E4D">
        <w:rPr>
          <w:szCs w:val="20"/>
          <w:lang w:val="en-US"/>
        </w:rPr>
        <w:t>López</w:t>
      </w:r>
      <w:r w:rsidR="004B053B" w:rsidRPr="00A50E4D">
        <w:rPr>
          <w:szCs w:val="20"/>
          <w:lang w:val="en-US"/>
        </w:rPr>
        <w:t xml:space="preserve"> Lone,</w:t>
      </w:r>
      <w:r w:rsidR="00FF35A9" w:rsidRPr="00A50E4D">
        <w:rPr>
          <w:szCs w:val="20"/>
          <w:lang w:val="en-US"/>
        </w:rPr>
        <w:t xml:space="preserve"> </w:t>
      </w:r>
      <w:r w:rsidR="00DA4F82" w:rsidRPr="00A50E4D">
        <w:rPr>
          <w:szCs w:val="20"/>
          <w:lang w:val="en-US"/>
        </w:rPr>
        <w:t>Mr.</w:t>
      </w:r>
      <w:r w:rsidR="004B053B" w:rsidRPr="00A50E4D">
        <w:rPr>
          <w:szCs w:val="20"/>
          <w:lang w:val="en-US"/>
        </w:rPr>
        <w:t xml:space="preserve"> </w:t>
      </w:r>
      <w:r w:rsidR="009A7056" w:rsidRPr="00A50E4D">
        <w:rPr>
          <w:szCs w:val="20"/>
          <w:lang w:val="en-US"/>
        </w:rPr>
        <w:t>Chévez de la Rocha</w:t>
      </w:r>
      <w:r w:rsidR="009808C5" w:rsidRPr="00A50E4D">
        <w:rPr>
          <w:szCs w:val="20"/>
          <w:lang w:val="en-US"/>
        </w:rPr>
        <w:t xml:space="preserve"> and</w:t>
      </w:r>
      <w:r w:rsidR="008D65AB" w:rsidRPr="00A50E4D">
        <w:rPr>
          <w:szCs w:val="20"/>
          <w:lang w:val="en-US"/>
        </w:rPr>
        <w:t xml:space="preserve"> Ms. Flores</w:t>
      </w:r>
      <w:r w:rsidR="004B053B" w:rsidRPr="00A50E4D">
        <w:rPr>
          <w:szCs w:val="20"/>
          <w:lang w:val="en-US"/>
        </w:rPr>
        <w:t xml:space="preserve"> Lanza. </w:t>
      </w:r>
      <w:r w:rsidR="008B6483" w:rsidRPr="00A50E4D">
        <w:rPr>
          <w:szCs w:val="20"/>
          <w:lang w:val="en-US"/>
        </w:rPr>
        <w:t xml:space="preserve">In the case </w:t>
      </w:r>
      <w:r w:rsidR="00DA4F82" w:rsidRPr="00A50E4D">
        <w:rPr>
          <w:szCs w:val="20"/>
          <w:lang w:val="en-US"/>
        </w:rPr>
        <w:t>of Mr.</w:t>
      </w:r>
      <w:r w:rsidR="004B053B" w:rsidRPr="00A50E4D">
        <w:rPr>
          <w:szCs w:val="20"/>
          <w:lang w:val="en-US"/>
        </w:rPr>
        <w:t xml:space="preserve"> Barrios Maldonado, </w:t>
      </w:r>
      <w:r w:rsidR="009808C5" w:rsidRPr="00A50E4D">
        <w:rPr>
          <w:szCs w:val="20"/>
          <w:lang w:val="en-US"/>
        </w:rPr>
        <w:t>the Court</w:t>
      </w:r>
      <w:r w:rsidR="004B053B" w:rsidRPr="00A50E4D">
        <w:rPr>
          <w:szCs w:val="20"/>
          <w:lang w:val="en-US"/>
        </w:rPr>
        <w:t xml:space="preserve"> consider</w:t>
      </w:r>
      <w:r w:rsidR="008B6483" w:rsidRPr="00A50E4D">
        <w:rPr>
          <w:szCs w:val="20"/>
          <w:lang w:val="en-US"/>
        </w:rPr>
        <w:t>s that, since his dismissal was not put into effect, his</w:t>
      </w:r>
      <w:r w:rsidR="0005525F" w:rsidRPr="00A50E4D">
        <w:rPr>
          <w:szCs w:val="20"/>
          <w:lang w:val="en-US"/>
        </w:rPr>
        <w:t xml:space="preserve"> </w:t>
      </w:r>
      <w:r w:rsidR="00371BB7" w:rsidRPr="00A50E4D">
        <w:rPr>
          <w:szCs w:val="20"/>
          <w:lang w:val="en-US"/>
        </w:rPr>
        <w:t>freedom of association</w:t>
      </w:r>
      <w:r w:rsidR="008B6483" w:rsidRPr="00A50E4D">
        <w:rPr>
          <w:szCs w:val="20"/>
          <w:lang w:val="en-US"/>
        </w:rPr>
        <w:t xml:space="preserve"> was not restricted.</w:t>
      </w:r>
      <w:r w:rsidR="00E8729E" w:rsidRPr="00A50E4D">
        <w:rPr>
          <w:rStyle w:val="FootnoteReference"/>
          <w:sz w:val="20"/>
          <w:szCs w:val="20"/>
          <w:lang w:val="en-US"/>
        </w:rPr>
        <w:footnoteReference w:id="337"/>
      </w:r>
      <w:bookmarkEnd w:id="267"/>
      <w:r w:rsidR="004B053B" w:rsidRPr="00A50E4D">
        <w:rPr>
          <w:szCs w:val="20"/>
          <w:lang w:val="en-US"/>
        </w:rPr>
        <w:t xml:space="preserve"> </w:t>
      </w:r>
      <w:bookmarkEnd w:id="266"/>
    </w:p>
    <w:p w14:paraId="5845EA87" w14:textId="77777777" w:rsidR="00313267" w:rsidRPr="00A50E4D" w:rsidRDefault="00313267" w:rsidP="0094257E">
      <w:pPr>
        <w:pStyle w:val="Heading1"/>
        <w:jc w:val="both"/>
        <w:rPr>
          <w:lang w:val="en-US"/>
        </w:rPr>
      </w:pPr>
    </w:p>
    <w:p w14:paraId="45390F02" w14:textId="77777777" w:rsidR="00C707A3" w:rsidRPr="00A50E4D" w:rsidRDefault="00C707A3" w:rsidP="00C707A3">
      <w:pPr>
        <w:rPr>
          <w:lang w:val="en-US" w:eastAsia="es-CR"/>
        </w:rPr>
      </w:pPr>
    </w:p>
    <w:p w14:paraId="2D5B784C" w14:textId="77777777" w:rsidR="00581B9D" w:rsidRPr="00A50E4D" w:rsidRDefault="005C2C05" w:rsidP="00DB3A3D">
      <w:pPr>
        <w:pStyle w:val="Heading1"/>
        <w:rPr>
          <w:lang w:val="en-US"/>
        </w:rPr>
      </w:pPr>
      <w:bookmarkStart w:id="268" w:name="_Toc471717278"/>
      <w:r w:rsidRPr="00A50E4D">
        <w:rPr>
          <w:lang w:val="en-US"/>
        </w:rPr>
        <w:lastRenderedPageBreak/>
        <w:t>VII-</w:t>
      </w:r>
      <w:r w:rsidR="00FC38CE" w:rsidRPr="00A50E4D">
        <w:rPr>
          <w:lang w:val="en-US"/>
        </w:rPr>
        <w:t>2</w:t>
      </w:r>
      <w:bookmarkEnd w:id="268"/>
    </w:p>
    <w:p w14:paraId="2922B9F4" w14:textId="5D1EC445" w:rsidR="003D717E" w:rsidRPr="00A50E4D" w:rsidRDefault="00371BB7" w:rsidP="003D717E">
      <w:pPr>
        <w:pStyle w:val="Heading1"/>
        <w:rPr>
          <w:spacing w:val="-4"/>
          <w:lang w:val="en-US"/>
        </w:rPr>
      </w:pPr>
      <w:bookmarkStart w:id="269" w:name="_Toc424834024"/>
      <w:bookmarkStart w:id="270" w:name="_Toc424834708"/>
      <w:bookmarkStart w:id="271" w:name="_Toc424834765"/>
      <w:bookmarkStart w:id="272" w:name="_Toc427234553"/>
      <w:bookmarkStart w:id="273" w:name="_Toc427342842"/>
      <w:bookmarkStart w:id="274" w:name="_Toc427663828"/>
      <w:bookmarkStart w:id="275" w:name="_Toc427932804"/>
      <w:bookmarkStart w:id="276" w:name="_Toc427943580"/>
      <w:bookmarkStart w:id="277" w:name="_Toc427943754"/>
      <w:bookmarkStart w:id="278" w:name="_Toc431584645"/>
      <w:bookmarkStart w:id="279" w:name="_Toc431585067"/>
      <w:bookmarkStart w:id="280" w:name="_Toc431646584"/>
      <w:bookmarkStart w:id="281" w:name="_Toc431834663"/>
      <w:bookmarkStart w:id="282" w:name="_Toc308538188"/>
      <w:bookmarkStart w:id="283" w:name="_Toc434850434"/>
      <w:bookmarkStart w:id="284" w:name="_Toc471717279"/>
      <w:r w:rsidRPr="00A50E4D">
        <w:rPr>
          <w:spacing w:val="-4"/>
          <w:lang w:val="en-US"/>
        </w:rPr>
        <w:t>JUDICIAL GUARANTEES</w:t>
      </w:r>
      <w:r w:rsidR="003D717E" w:rsidRPr="00A50E4D">
        <w:rPr>
          <w:spacing w:val="-4"/>
          <w:lang w:val="en-US"/>
        </w:rPr>
        <w:t xml:space="preserve">, </w:t>
      </w:r>
      <w:r w:rsidRPr="00A50E4D">
        <w:rPr>
          <w:spacing w:val="-4"/>
          <w:lang w:val="en-US"/>
        </w:rPr>
        <w:t>JUDICIAL PROTECTION</w:t>
      </w:r>
      <w:r w:rsidR="009808C5" w:rsidRPr="00A50E4D">
        <w:rPr>
          <w:spacing w:val="-4"/>
          <w:lang w:val="en-US"/>
        </w:rPr>
        <w:t xml:space="preserve"> </w:t>
      </w:r>
      <w:r w:rsidR="00EA5E90" w:rsidRPr="00A50E4D">
        <w:rPr>
          <w:spacing w:val="-4"/>
          <w:lang w:val="en-US"/>
        </w:rPr>
        <w:t>AND</w:t>
      </w:r>
      <w:r w:rsidR="009808C5" w:rsidRPr="00A50E4D">
        <w:rPr>
          <w:spacing w:val="-4"/>
          <w:lang w:val="en-US"/>
        </w:rPr>
        <w:t xml:space="preserve"> </w:t>
      </w:r>
      <w:r w:rsidRPr="00A50E4D">
        <w:rPr>
          <w:spacing w:val="-4"/>
          <w:lang w:val="en-US"/>
        </w:rPr>
        <w:t>POLITICAL RIGHTS</w:t>
      </w:r>
      <w:bookmarkEnd w:id="269"/>
      <w:bookmarkEnd w:id="270"/>
      <w:bookmarkEnd w:id="271"/>
      <w:bookmarkEnd w:id="272"/>
      <w:r w:rsidR="003D717E" w:rsidRPr="00A50E4D">
        <w:rPr>
          <w:spacing w:val="-4"/>
          <w:lang w:val="en-US"/>
        </w:rPr>
        <w:t xml:space="preserve">, </w:t>
      </w:r>
      <w:r w:rsidR="00004E43" w:rsidRPr="00A50E4D">
        <w:rPr>
          <w:spacing w:val="-4"/>
          <w:lang w:val="en-US"/>
        </w:rPr>
        <w:t>IN RELATION TO THE OBLIGATION TO RESPECT AND ENSURE RIGHTS AND THE OBLIGATION TO ADOPT DOMESTIC LEGAL PROVISIONS</w:t>
      </w:r>
      <w:bookmarkEnd w:id="273"/>
      <w:bookmarkEnd w:id="274"/>
      <w:bookmarkEnd w:id="275"/>
      <w:bookmarkEnd w:id="276"/>
      <w:bookmarkEnd w:id="277"/>
      <w:bookmarkEnd w:id="278"/>
      <w:bookmarkEnd w:id="279"/>
      <w:bookmarkEnd w:id="280"/>
      <w:bookmarkEnd w:id="281"/>
      <w:bookmarkEnd w:id="282"/>
      <w:bookmarkEnd w:id="283"/>
      <w:bookmarkEnd w:id="284"/>
    </w:p>
    <w:p w14:paraId="3CE4DBF5" w14:textId="77777777" w:rsidR="00303EC8" w:rsidRPr="00A50E4D" w:rsidRDefault="00303EC8" w:rsidP="00303EC8">
      <w:pPr>
        <w:rPr>
          <w:lang w:val="en-US"/>
        </w:rPr>
      </w:pPr>
    </w:p>
    <w:p w14:paraId="70D8DDC6" w14:textId="19311549" w:rsidR="005472DB" w:rsidRPr="00A50E4D" w:rsidRDefault="00CD2874" w:rsidP="005472DB">
      <w:pPr>
        <w:pStyle w:val="PrrafodeSentencia"/>
        <w:rPr>
          <w:szCs w:val="20"/>
          <w:lang w:val="en-US"/>
        </w:rPr>
      </w:pPr>
      <w:r w:rsidRPr="00A50E4D">
        <w:rPr>
          <w:szCs w:val="20"/>
          <w:lang w:val="en-US"/>
        </w:rPr>
        <w:t>The Commission</w:t>
      </w:r>
      <w:r w:rsidR="009808C5" w:rsidRPr="00A50E4D">
        <w:rPr>
          <w:szCs w:val="20"/>
          <w:lang w:val="en-US"/>
        </w:rPr>
        <w:t xml:space="preserve"> and </w:t>
      </w:r>
      <w:r w:rsidR="00AD5EE7" w:rsidRPr="00A50E4D">
        <w:rPr>
          <w:szCs w:val="20"/>
          <w:lang w:val="en-US"/>
        </w:rPr>
        <w:t>the representatives</w:t>
      </w:r>
      <w:r w:rsidR="005472DB" w:rsidRPr="00A50E4D">
        <w:rPr>
          <w:szCs w:val="20"/>
          <w:lang w:val="en-US"/>
        </w:rPr>
        <w:t xml:space="preserve"> </w:t>
      </w:r>
      <w:r w:rsidR="00EA5E90" w:rsidRPr="00A50E4D">
        <w:rPr>
          <w:szCs w:val="20"/>
          <w:lang w:val="en-US"/>
        </w:rPr>
        <w:t>alleged a series of violations of</w:t>
      </w:r>
      <w:r w:rsidR="002C08D7" w:rsidRPr="00A50E4D">
        <w:rPr>
          <w:szCs w:val="20"/>
          <w:lang w:val="en-US"/>
        </w:rPr>
        <w:t xml:space="preserve"> the</w:t>
      </w:r>
      <w:r w:rsidR="00EA5E90" w:rsidRPr="00A50E4D">
        <w:rPr>
          <w:szCs w:val="20"/>
          <w:lang w:val="en-US"/>
        </w:rPr>
        <w:t xml:space="preserve"> </w:t>
      </w:r>
      <w:r w:rsidR="00371BB7" w:rsidRPr="00A50E4D">
        <w:rPr>
          <w:szCs w:val="20"/>
          <w:lang w:val="en-US"/>
        </w:rPr>
        <w:t>judicial guarantees</w:t>
      </w:r>
      <w:r w:rsidR="005472DB" w:rsidRPr="00A50E4D">
        <w:rPr>
          <w:szCs w:val="20"/>
          <w:lang w:val="en-US"/>
        </w:rPr>
        <w:t xml:space="preserve"> (</w:t>
      </w:r>
      <w:r w:rsidR="00EA5E90" w:rsidRPr="00A50E4D">
        <w:rPr>
          <w:szCs w:val="20"/>
          <w:lang w:val="en-US"/>
        </w:rPr>
        <w:t>A</w:t>
      </w:r>
      <w:r w:rsidR="00F02FB7" w:rsidRPr="00A50E4D">
        <w:rPr>
          <w:szCs w:val="20"/>
          <w:lang w:val="en-US"/>
        </w:rPr>
        <w:t>rticle</w:t>
      </w:r>
      <w:r w:rsidR="005472DB" w:rsidRPr="00A50E4D">
        <w:rPr>
          <w:szCs w:val="20"/>
          <w:lang w:val="en-US"/>
        </w:rPr>
        <w:t xml:space="preserve"> 8</w:t>
      </w:r>
      <w:r w:rsidR="009808C5" w:rsidRPr="00A50E4D">
        <w:rPr>
          <w:szCs w:val="20"/>
          <w:lang w:val="en-US"/>
        </w:rPr>
        <w:t xml:space="preserve"> of the Convention</w:t>
      </w:r>
      <w:r w:rsidR="005472DB" w:rsidRPr="00A50E4D">
        <w:rPr>
          <w:szCs w:val="20"/>
          <w:lang w:val="en-US"/>
        </w:rPr>
        <w:t>)</w:t>
      </w:r>
      <w:r w:rsidR="00EA5E90" w:rsidRPr="00A50E4D">
        <w:rPr>
          <w:szCs w:val="20"/>
          <w:lang w:val="en-US"/>
        </w:rPr>
        <w:t>,</w:t>
      </w:r>
      <w:r w:rsidR="005472DB" w:rsidRPr="00A50E4D">
        <w:rPr>
          <w:rStyle w:val="FootnoteReference"/>
          <w:sz w:val="20"/>
          <w:szCs w:val="20"/>
          <w:lang w:val="en-US"/>
        </w:rPr>
        <w:footnoteReference w:id="338"/>
      </w:r>
      <w:r w:rsidR="00EA5E90" w:rsidRPr="00A50E4D">
        <w:rPr>
          <w:szCs w:val="20"/>
          <w:lang w:val="en-US"/>
        </w:rPr>
        <w:t xml:space="preserve"> the right to j</w:t>
      </w:r>
      <w:r w:rsidR="004D0F32" w:rsidRPr="00A50E4D">
        <w:rPr>
          <w:szCs w:val="20"/>
          <w:lang w:val="en-US"/>
        </w:rPr>
        <w:t>udicial</w:t>
      </w:r>
      <w:r w:rsidR="00371BB7" w:rsidRPr="00A50E4D">
        <w:rPr>
          <w:szCs w:val="20"/>
          <w:lang w:val="en-US"/>
        </w:rPr>
        <w:t xml:space="preserve"> protection</w:t>
      </w:r>
      <w:r w:rsidR="005472DB" w:rsidRPr="00A50E4D">
        <w:rPr>
          <w:szCs w:val="20"/>
          <w:lang w:val="en-US"/>
        </w:rPr>
        <w:t xml:space="preserve"> (</w:t>
      </w:r>
      <w:r w:rsidR="00EA5E90" w:rsidRPr="00A50E4D">
        <w:rPr>
          <w:szCs w:val="20"/>
          <w:lang w:val="en-US"/>
        </w:rPr>
        <w:t>A</w:t>
      </w:r>
      <w:r w:rsidR="00F02FB7" w:rsidRPr="00A50E4D">
        <w:rPr>
          <w:szCs w:val="20"/>
          <w:lang w:val="en-US"/>
        </w:rPr>
        <w:t>rticle</w:t>
      </w:r>
      <w:r w:rsidR="005472DB" w:rsidRPr="00A50E4D">
        <w:rPr>
          <w:szCs w:val="20"/>
          <w:lang w:val="en-US"/>
        </w:rPr>
        <w:t xml:space="preserve"> 25</w:t>
      </w:r>
      <w:r w:rsidR="009808C5" w:rsidRPr="00A50E4D">
        <w:rPr>
          <w:szCs w:val="20"/>
          <w:lang w:val="en-US"/>
        </w:rPr>
        <w:t xml:space="preserve"> of the Convention</w:t>
      </w:r>
      <w:r w:rsidR="005472DB" w:rsidRPr="00A50E4D">
        <w:rPr>
          <w:szCs w:val="20"/>
          <w:lang w:val="en-US"/>
        </w:rPr>
        <w:t>)</w:t>
      </w:r>
      <w:r w:rsidR="00EA5E90" w:rsidRPr="00A50E4D">
        <w:rPr>
          <w:szCs w:val="20"/>
          <w:lang w:val="en-US"/>
        </w:rPr>
        <w:t>,</w:t>
      </w:r>
      <w:r w:rsidR="005472DB" w:rsidRPr="00A50E4D">
        <w:rPr>
          <w:rStyle w:val="FootnoteReference"/>
          <w:rFonts w:cs="Times"/>
          <w:sz w:val="20"/>
          <w:szCs w:val="20"/>
          <w:lang w:val="en-US"/>
        </w:rPr>
        <w:footnoteReference w:id="339"/>
      </w:r>
      <w:r w:rsidR="009808C5" w:rsidRPr="00A50E4D">
        <w:rPr>
          <w:szCs w:val="20"/>
          <w:lang w:val="en-US"/>
        </w:rPr>
        <w:t xml:space="preserve"> and </w:t>
      </w:r>
      <w:r w:rsidR="002C08D7" w:rsidRPr="00A50E4D">
        <w:rPr>
          <w:szCs w:val="20"/>
          <w:lang w:val="en-US"/>
        </w:rPr>
        <w:t xml:space="preserve">the </w:t>
      </w:r>
      <w:r w:rsidR="00371BB7" w:rsidRPr="00A50E4D">
        <w:rPr>
          <w:szCs w:val="20"/>
          <w:lang w:val="en-US"/>
        </w:rPr>
        <w:t>political rights</w:t>
      </w:r>
      <w:r w:rsidR="005472DB" w:rsidRPr="00A50E4D">
        <w:rPr>
          <w:szCs w:val="20"/>
          <w:lang w:val="en-US"/>
        </w:rPr>
        <w:t xml:space="preserve"> (</w:t>
      </w:r>
      <w:r w:rsidR="00EA5E90" w:rsidRPr="00A50E4D">
        <w:rPr>
          <w:szCs w:val="20"/>
          <w:lang w:val="en-US"/>
        </w:rPr>
        <w:t>A</w:t>
      </w:r>
      <w:r w:rsidR="00F02FB7" w:rsidRPr="00A50E4D">
        <w:rPr>
          <w:szCs w:val="20"/>
          <w:lang w:val="en-US"/>
        </w:rPr>
        <w:t>rticle</w:t>
      </w:r>
      <w:r w:rsidR="005472DB" w:rsidRPr="00A50E4D">
        <w:rPr>
          <w:szCs w:val="20"/>
          <w:lang w:val="en-US"/>
        </w:rPr>
        <w:t xml:space="preserve"> 23</w:t>
      </w:r>
      <w:r w:rsidR="009808C5" w:rsidRPr="00A50E4D">
        <w:rPr>
          <w:szCs w:val="20"/>
          <w:lang w:val="en-US"/>
        </w:rPr>
        <w:t xml:space="preserve"> of the Convention</w:t>
      </w:r>
      <w:r w:rsidR="005472DB" w:rsidRPr="00A50E4D">
        <w:rPr>
          <w:szCs w:val="20"/>
          <w:lang w:val="en-US"/>
        </w:rPr>
        <w:t>)</w:t>
      </w:r>
      <w:r w:rsidR="005472DB" w:rsidRPr="00A50E4D">
        <w:rPr>
          <w:rStyle w:val="FootnoteReference"/>
          <w:sz w:val="20"/>
          <w:szCs w:val="20"/>
          <w:lang w:val="en-US"/>
        </w:rPr>
        <w:footnoteReference w:id="340"/>
      </w:r>
      <w:r w:rsidR="00371BB7" w:rsidRPr="00A50E4D">
        <w:rPr>
          <w:szCs w:val="20"/>
          <w:lang w:val="en-US"/>
        </w:rPr>
        <w:t xml:space="preserve"> of the presumed victims</w:t>
      </w:r>
      <w:r w:rsidR="005472DB" w:rsidRPr="00A50E4D">
        <w:rPr>
          <w:szCs w:val="20"/>
          <w:lang w:val="en-US"/>
        </w:rPr>
        <w:t xml:space="preserve">, </w:t>
      </w:r>
      <w:r w:rsidR="00EA5E90" w:rsidRPr="00A50E4D">
        <w:rPr>
          <w:szCs w:val="20"/>
          <w:lang w:val="en-US"/>
        </w:rPr>
        <w:t xml:space="preserve">in the context </w:t>
      </w:r>
      <w:r w:rsidR="00FF35A9" w:rsidRPr="00A50E4D">
        <w:rPr>
          <w:szCs w:val="20"/>
          <w:lang w:val="en-US"/>
        </w:rPr>
        <w:t xml:space="preserve">of the </w:t>
      </w:r>
      <w:r w:rsidR="00277E12" w:rsidRPr="00A50E4D">
        <w:rPr>
          <w:szCs w:val="20"/>
          <w:lang w:val="en-US"/>
        </w:rPr>
        <w:t>disciplinary proceedings</w:t>
      </w:r>
      <w:r w:rsidR="005472DB" w:rsidRPr="00A50E4D">
        <w:rPr>
          <w:szCs w:val="20"/>
          <w:lang w:val="en-US"/>
        </w:rPr>
        <w:t xml:space="preserve"> </w:t>
      </w:r>
      <w:r w:rsidR="00EA5E90" w:rsidRPr="00A50E4D">
        <w:rPr>
          <w:szCs w:val="20"/>
          <w:lang w:val="en-US"/>
        </w:rPr>
        <w:t>to which they were subjected</w:t>
      </w:r>
      <w:r w:rsidR="005472DB" w:rsidRPr="00A50E4D">
        <w:rPr>
          <w:szCs w:val="20"/>
          <w:lang w:val="en-US"/>
        </w:rPr>
        <w:t xml:space="preserve">.  </w:t>
      </w:r>
    </w:p>
    <w:p w14:paraId="4AC0F56E" w14:textId="77777777" w:rsidR="005472DB" w:rsidRPr="00A50E4D" w:rsidRDefault="005472DB" w:rsidP="005472DB">
      <w:pPr>
        <w:rPr>
          <w:spacing w:val="-4"/>
          <w:szCs w:val="20"/>
          <w:lang w:val="en-US"/>
        </w:rPr>
      </w:pPr>
    </w:p>
    <w:p w14:paraId="67946A94" w14:textId="244AC032" w:rsidR="005472DB" w:rsidRPr="00A50E4D" w:rsidRDefault="002C08D7" w:rsidP="005472DB">
      <w:pPr>
        <w:pStyle w:val="PrrafodeSentencia"/>
        <w:rPr>
          <w:szCs w:val="20"/>
          <w:lang w:val="en-US"/>
        </w:rPr>
      </w:pPr>
      <w:r w:rsidRPr="00A50E4D">
        <w:rPr>
          <w:szCs w:val="20"/>
          <w:lang w:val="en-US"/>
        </w:rPr>
        <w:t xml:space="preserve">Notwithstanding </w:t>
      </w:r>
      <w:r w:rsidR="00C4689E" w:rsidRPr="00A50E4D">
        <w:rPr>
          <w:szCs w:val="20"/>
          <w:lang w:val="en-US"/>
        </w:rPr>
        <w:t xml:space="preserve">the Court’s findings in relation to the violations of the </w:t>
      </w:r>
      <w:r w:rsidR="00371BB7" w:rsidRPr="00A50E4D">
        <w:rPr>
          <w:szCs w:val="20"/>
          <w:lang w:val="en-US"/>
        </w:rPr>
        <w:t>political rights</w:t>
      </w:r>
      <w:r w:rsidR="00C4689E" w:rsidRPr="00A50E4D">
        <w:rPr>
          <w:szCs w:val="20"/>
          <w:lang w:val="en-US"/>
        </w:rPr>
        <w:t xml:space="preserve">, </w:t>
      </w:r>
      <w:r w:rsidR="00371BB7" w:rsidRPr="00A50E4D">
        <w:rPr>
          <w:szCs w:val="20"/>
          <w:lang w:val="en-US"/>
        </w:rPr>
        <w:t>freedom of expression</w:t>
      </w:r>
      <w:r w:rsidR="00C4689E" w:rsidRPr="00A50E4D">
        <w:rPr>
          <w:szCs w:val="20"/>
          <w:lang w:val="en-US"/>
        </w:rPr>
        <w:t>,</w:t>
      </w:r>
      <w:r w:rsidR="00371BB7" w:rsidRPr="00A50E4D">
        <w:rPr>
          <w:szCs w:val="20"/>
          <w:lang w:val="en-US"/>
        </w:rPr>
        <w:t xml:space="preserve"> right of assembly</w:t>
      </w:r>
      <w:r w:rsidR="00C4689E" w:rsidRPr="00A50E4D">
        <w:rPr>
          <w:szCs w:val="20"/>
          <w:lang w:val="en-US"/>
        </w:rPr>
        <w:t xml:space="preserve"> and</w:t>
      </w:r>
      <w:r w:rsidR="005472DB" w:rsidRPr="00A50E4D">
        <w:rPr>
          <w:szCs w:val="20"/>
          <w:lang w:val="en-US"/>
        </w:rPr>
        <w:t xml:space="preserve"> </w:t>
      </w:r>
      <w:r w:rsidR="00371BB7" w:rsidRPr="00A50E4D">
        <w:rPr>
          <w:szCs w:val="20"/>
          <w:lang w:val="en-US"/>
        </w:rPr>
        <w:t>freedom of association of the presumed victims</w:t>
      </w:r>
      <w:r w:rsidR="005472DB" w:rsidRPr="00A50E4D">
        <w:rPr>
          <w:szCs w:val="20"/>
          <w:lang w:val="en-US"/>
        </w:rPr>
        <w:t xml:space="preserve"> </w:t>
      </w:r>
      <w:r w:rsidR="00C4689E" w:rsidRPr="00A50E4D">
        <w:rPr>
          <w:szCs w:val="20"/>
          <w:lang w:val="en-US"/>
        </w:rPr>
        <w:t xml:space="preserve">analyzed in Chapter </w:t>
      </w:r>
      <w:r w:rsidR="005472DB" w:rsidRPr="00A50E4D">
        <w:rPr>
          <w:szCs w:val="20"/>
          <w:lang w:val="en-US"/>
        </w:rPr>
        <w:t xml:space="preserve">VII-1 </w:t>
      </w:r>
      <w:r w:rsidR="005472DB" w:rsidRPr="00A50E4D">
        <w:rPr>
          <w:i/>
          <w:szCs w:val="20"/>
          <w:lang w:val="en-US"/>
        </w:rPr>
        <w:t>supra</w:t>
      </w:r>
      <w:r w:rsidR="005472DB" w:rsidRPr="00A50E4D">
        <w:rPr>
          <w:szCs w:val="20"/>
          <w:lang w:val="en-US"/>
        </w:rPr>
        <w:t xml:space="preserve">, </w:t>
      </w:r>
      <w:r w:rsidR="00C4689E" w:rsidRPr="00A50E4D">
        <w:rPr>
          <w:szCs w:val="20"/>
          <w:lang w:val="en-US"/>
        </w:rPr>
        <w:t>in this Chapter the Court will determine whether, in the context of the</w:t>
      </w:r>
      <w:r w:rsidRPr="00A50E4D">
        <w:rPr>
          <w:szCs w:val="20"/>
          <w:lang w:val="en-US"/>
        </w:rPr>
        <w:t xml:space="preserve"> said disciplinary proceedings, there were violations of</w:t>
      </w:r>
      <w:r w:rsidR="00C4689E" w:rsidRPr="00A50E4D">
        <w:rPr>
          <w:szCs w:val="20"/>
          <w:lang w:val="en-US"/>
        </w:rPr>
        <w:t xml:space="preserve"> the</w:t>
      </w:r>
      <w:r w:rsidRPr="00A50E4D">
        <w:rPr>
          <w:szCs w:val="20"/>
          <w:lang w:val="en-US"/>
        </w:rPr>
        <w:t xml:space="preserve"> presumed victims’</w:t>
      </w:r>
      <w:r w:rsidR="00C4689E" w:rsidRPr="00A50E4D">
        <w:rPr>
          <w:szCs w:val="20"/>
          <w:lang w:val="en-US"/>
        </w:rPr>
        <w:t xml:space="preserve"> guarantees of due process and</w:t>
      </w:r>
      <w:r w:rsidRPr="00A50E4D">
        <w:rPr>
          <w:szCs w:val="20"/>
          <w:lang w:val="en-US"/>
        </w:rPr>
        <w:t xml:space="preserve"> right to</w:t>
      </w:r>
      <w:r w:rsidR="00C4689E" w:rsidRPr="00A50E4D">
        <w:rPr>
          <w:szCs w:val="20"/>
          <w:lang w:val="en-US"/>
        </w:rPr>
        <w:t xml:space="preserve"> judicial protection, established in </w:t>
      </w:r>
      <w:r w:rsidR="009808C5" w:rsidRPr="00A50E4D">
        <w:rPr>
          <w:szCs w:val="20"/>
          <w:lang w:val="en-US"/>
        </w:rPr>
        <w:t>Articles</w:t>
      </w:r>
      <w:r w:rsidR="005472DB" w:rsidRPr="00A50E4D">
        <w:rPr>
          <w:szCs w:val="20"/>
          <w:lang w:val="en-US"/>
        </w:rPr>
        <w:t xml:space="preserve"> </w:t>
      </w:r>
      <w:r w:rsidR="00EA5E90" w:rsidRPr="00A50E4D">
        <w:rPr>
          <w:szCs w:val="20"/>
          <w:lang w:val="en-US"/>
        </w:rPr>
        <w:t>8(1)</w:t>
      </w:r>
      <w:r w:rsidR="009808C5" w:rsidRPr="00A50E4D">
        <w:rPr>
          <w:szCs w:val="20"/>
          <w:lang w:val="en-US"/>
        </w:rPr>
        <w:t xml:space="preserve"> and </w:t>
      </w:r>
      <w:r w:rsidR="005472DB" w:rsidRPr="00A50E4D">
        <w:rPr>
          <w:szCs w:val="20"/>
          <w:lang w:val="en-US"/>
        </w:rPr>
        <w:t>25</w:t>
      </w:r>
      <w:r w:rsidR="009808C5" w:rsidRPr="00A50E4D">
        <w:rPr>
          <w:szCs w:val="20"/>
          <w:lang w:val="en-US"/>
        </w:rPr>
        <w:t xml:space="preserve"> of the Convention</w:t>
      </w:r>
      <w:r w:rsidR="005472DB" w:rsidRPr="00A50E4D">
        <w:rPr>
          <w:szCs w:val="20"/>
          <w:lang w:val="en-US"/>
        </w:rPr>
        <w:t>, as</w:t>
      </w:r>
      <w:r w:rsidR="00C4689E" w:rsidRPr="00A50E4D">
        <w:rPr>
          <w:szCs w:val="20"/>
          <w:lang w:val="en-US"/>
        </w:rPr>
        <w:t xml:space="preserve"> well as the</w:t>
      </w:r>
      <w:r w:rsidRPr="00A50E4D">
        <w:rPr>
          <w:szCs w:val="20"/>
          <w:lang w:val="en-US"/>
        </w:rPr>
        <w:t>ir</w:t>
      </w:r>
      <w:r w:rsidR="00C4689E" w:rsidRPr="00A50E4D">
        <w:rPr>
          <w:szCs w:val="20"/>
          <w:lang w:val="en-US"/>
        </w:rPr>
        <w:t xml:space="preserve"> right to have access, under general conditions of equality, to public service</w:t>
      </w:r>
      <w:r w:rsidR="005472DB" w:rsidRPr="00A50E4D">
        <w:rPr>
          <w:szCs w:val="20"/>
          <w:lang w:val="en-US"/>
        </w:rPr>
        <w:t xml:space="preserve">, </w:t>
      </w:r>
      <w:r w:rsidR="00C4689E" w:rsidRPr="00A50E4D">
        <w:rPr>
          <w:szCs w:val="20"/>
          <w:lang w:val="en-US"/>
        </w:rPr>
        <w:t>recognized in</w:t>
      </w:r>
      <w:r w:rsidR="005472DB" w:rsidRPr="00A50E4D">
        <w:rPr>
          <w:szCs w:val="20"/>
          <w:lang w:val="en-US"/>
        </w:rPr>
        <w:t xml:space="preserve"> </w:t>
      </w:r>
      <w:r w:rsidR="009808C5" w:rsidRPr="00A50E4D">
        <w:rPr>
          <w:szCs w:val="20"/>
          <w:lang w:val="en-US"/>
        </w:rPr>
        <w:t>Article</w:t>
      </w:r>
      <w:r w:rsidR="005472DB" w:rsidRPr="00A50E4D">
        <w:rPr>
          <w:szCs w:val="20"/>
          <w:lang w:val="en-US"/>
        </w:rPr>
        <w:t xml:space="preserve"> </w:t>
      </w:r>
      <w:r w:rsidR="00EA5E90" w:rsidRPr="00A50E4D">
        <w:rPr>
          <w:szCs w:val="20"/>
          <w:lang w:val="en-US"/>
        </w:rPr>
        <w:t>23(1)(c)</w:t>
      </w:r>
      <w:r w:rsidR="009808C5" w:rsidRPr="00A50E4D">
        <w:rPr>
          <w:szCs w:val="20"/>
          <w:lang w:val="en-US"/>
        </w:rPr>
        <w:t xml:space="preserve"> of the American Convention</w:t>
      </w:r>
      <w:r w:rsidR="005472DB" w:rsidRPr="00A50E4D">
        <w:rPr>
          <w:szCs w:val="20"/>
          <w:lang w:val="en-US"/>
        </w:rPr>
        <w:t>.</w:t>
      </w:r>
    </w:p>
    <w:p w14:paraId="43C9A601" w14:textId="77777777" w:rsidR="005472DB" w:rsidRPr="00A50E4D" w:rsidRDefault="005472DB" w:rsidP="005472DB">
      <w:pPr>
        <w:rPr>
          <w:spacing w:val="-4"/>
          <w:szCs w:val="20"/>
          <w:lang w:val="en-US" w:eastAsia="es-MX"/>
        </w:rPr>
      </w:pPr>
    </w:p>
    <w:p w14:paraId="29F23FF8" w14:textId="216AA243" w:rsidR="005472DB" w:rsidRPr="00A50E4D" w:rsidRDefault="00C4689E" w:rsidP="005472DB">
      <w:pPr>
        <w:pStyle w:val="PrrafodeSentencia"/>
        <w:rPr>
          <w:lang w:val="en-US"/>
        </w:rPr>
      </w:pPr>
      <w:r w:rsidRPr="00A50E4D">
        <w:rPr>
          <w:szCs w:val="20"/>
          <w:lang w:val="en-US"/>
        </w:rPr>
        <w:t xml:space="preserve">Based on the arguments presented by the parties </w:t>
      </w:r>
      <w:r w:rsidR="009808C5" w:rsidRPr="00A50E4D">
        <w:rPr>
          <w:szCs w:val="20"/>
          <w:lang w:val="en-US"/>
        </w:rPr>
        <w:t>and the Commission</w:t>
      </w:r>
      <w:r w:rsidR="005472DB" w:rsidRPr="00A50E4D">
        <w:rPr>
          <w:szCs w:val="20"/>
          <w:lang w:val="en-US"/>
        </w:rPr>
        <w:t xml:space="preserve">, </w:t>
      </w:r>
      <w:r w:rsidR="009808C5" w:rsidRPr="00A50E4D">
        <w:rPr>
          <w:szCs w:val="20"/>
          <w:lang w:val="en-US"/>
        </w:rPr>
        <w:t>the Court</w:t>
      </w:r>
      <w:r w:rsidR="005472DB" w:rsidRPr="00A50E4D">
        <w:rPr>
          <w:szCs w:val="20"/>
          <w:lang w:val="en-US"/>
        </w:rPr>
        <w:t xml:space="preserve"> </w:t>
      </w:r>
      <w:r w:rsidRPr="00A50E4D">
        <w:rPr>
          <w:szCs w:val="20"/>
          <w:lang w:val="en-US"/>
        </w:rPr>
        <w:t xml:space="preserve">will first make some </w:t>
      </w:r>
      <w:r w:rsidR="005472DB" w:rsidRPr="00A50E4D">
        <w:rPr>
          <w:szCs w:val="20"/>
          <w:lang w:val="en-US"/>
        </w:rPr>
        <w:t xml:space="preserve">(A) </w:t>
      </w:r>
      <w:r w:rsidRPr="00A50E4D">
        <w:rPr>
          <w:szCs w:val="20"/>
          <w:lang w:val="en-US"/>
        </w:rPr>
        <w:t xml:space="preserve">general </w:t>
      </w:r>
      <w:r w:rsidR="001D6DF6" w:rsidRPr="00A50E4D">
        <w:rPr>
          <w:szCs w:val="20"/>
          <w:lang w:val="en-US"/>
        </w:rPr>
        <w:t>considerations</w:t>
      </w:r>
      <w:r w:rsidR="005472DB" w:rsidRPr="00A50E4D">
        <w:rPr>
          <w:szCs w:val="20"/>
          <w:lang w:val="en-US"/>
        </w:rPr>
        <w:t xml:space="preserve"> </w:t>
      </w:r>
      <w:r w:rsidRPr="00A50E4D">
        <w:rPr>
          <w:szCs w:val="20"/>
          <w:lang w:val="en-US"/>
        </w:rPr>
        <w:t xml:space="preserve">on the guarantees of due process </w:t>
      </w:r>
      <w:r w:rsidR="009808C5" w:rsidRPr="00A50E4D">
        <w:rPr>
          <w:lang w:val="en-US"/>
        </w:rPr>
        <w:t xml:space="preserve">and </w:t>
      </w:r>
      <w:r w:rsidR="00371BB7" w:rsidRPr="00A50E4D">
        <w:rPr>
          <w:lang w:val="en-US"/>
        </w:rPr>
        <w:t>judicial protection</w:t>
      </w:r>
      <w:r w:rsidR="005472DB" w:rsidRPr="00A50E4D">
        <w:rPr>
          <w:lang w:val="en-US"/>
        </w:rPr>
        <w:t xml:space="preserve"> </w:t>
      </w:r>
      <w:r w:rsidRPr="00A50E4D">
        <w:rPr>
          <w:lang w:val="en-US"/>
        </w:rPr>
        <w:t>in the context of disciplinary proceedings</w:t>
      </w:r>
      <w:r w:rsidR="005472DB" w:rsidRPr="00A50E4D">
        <w:rPr>
          <w:lang w:val="en-US"/>
        </w:rPr>
        <w:t xml:space="preserve"> </w:t>
      </w:r>
      <w:r w:rsidRPr="00A50E4D">
        <w:rPr>
          <w:lang w:val="en-US"/>
        </w:rPr>
        <w:t>against</w:t>
      </w:r>
      <w:r w:rsidR="005472DB" w:rsidRPr="00A50E4D">
        <w:rPr>
          <w:lang w:val="en-US"/>
        </w:rPr>
        <w:t xml:space="preserve"> </w:t>
      </w:r>
      <w:r w:rsidR="009808C5" w:rsidRPr="00A50E4D">
        <w:rPr>
          <w:lang w:val="en-US"/>
        </w:rPr>
        <w:t>judges</w:t>
      </w:r>
      <w:r w:rsidR="002C08D7" w:rsidRPr="00A50E4D">
        <w:rPr>
          <w:lang w:val="en-US"/>
        </w:rPr>
        <w:t>; it</w:t>
      </w:r>
      <w:r w:rsidRPr="00A50E4D">
        <w:rPr>
          <w:lang w:val="en-US"/>
        </w:rPr>
        <w:t xml:space="preserve"> will then analyze, specifically, </w:t>
      </w:r>
      <w:r w:rsidR="005472DB" w:rsidRPr="00A50E4D">
        <w:rPr>
          <w:lang w:val="en-US"/>
        </w:rPr>
        <w:t>(B)</w:t>
      </w:r>
      <w:r w:rsidRPr="00A50E4D">
        <w:rPr>
          <w:lang w:val="en-US"/>
        </w:rPr>
        <w:t xml:space="preserve"> the guarantees of competence, independence and impartiality of the disciplinary authorities, and </w:t>
      </w:r>
      <w:r w:rsidR="005472DB" w:rsidRPr="00A50E4D">
        <w:rPr>
          <w:lang w:val="en-US"/>
        </w:rPr>
        <w:t xml:space="preserve">(C) </w:t>
      </w:r>
      <w:r w:rsidRPr="00A50E4D">
        <w:rPr>
          <w:lang w:val="en-US"/>
        </w:rPr>
        <w:t>the right to tenure, under general conditions of equality, in order to establish its (D) conclusio</w:t>
      </w:r>
      <w:r w:rsidR="005472DB" w:rsidRPr="00A50E4D">
        <w:rPr>
          <w:lang w:val="en-US"/>
        </w:rPr>
        <w:t>n</w:t>
      </w:r>
      <w:r w:rsidR="002C08D7" w:rsidRPr="00A50E4D">
        <w:rPr>
          <w:lang w:val="en-US"/>
        </w:rPr>
        <w:t>s</w:t>
      </w:r>
      <w:r w:rsidR="005472DB" w:rsidRPr="00A50E4D">
        <w:rPr>
          <w:lang w:val="en-US"/>
        </w:rPr>
        <w:t xml:space="preserve"> </w:t>
      </w:r>
      <w:r w:rsidRPr="00A50E4D">
        <w:rPr>
          <w:lang w:val="en-US"/>
        </w:rPr>
        <w:t>with regard to the guarantees of due process</w:t>
      </w:r>
      <w:r w:rsidR="009808C5" w:rsidRPr="00A50E4D">
        <w:rPr>
          <w:lang w:val="en-US"/>
        </w:rPr>
        <w:t xml:space="preserve"> and </w:t>
      </w:r>
      <w:r w:rsidRPr="00A50E4D">
        <w:rPr>
          <w:lang w:val="en-US"/>
        </w:rPr>
        <w:t>the</w:t>
      </w:r>
      <w:r w:rsidR="005472DB" w:rsidRPr="00A50E4D">
        <w:rPr>
          <w:lang w:val="en-US"/>
        </w:rPr>
        <w:t xml:space="preserve"> </w:t>
      </w:r>
      <w:r w:rsidR="00371BB7" w:rsidRPr="00A50E4D">
        <w:rPr>
          <w:lang w:val="en-US"/>
        </w:rPr>
        <w:t>political rights of the presumed victims</w:t>
      </w:r>
      <w:r w:rsidR="005472DB" w:rsidRPr="00A50E4D">
        <w:rPr>
          <w:lang w:val="en-US"/>
        </w:rPr>
        <w:t xml:space="preserve">. </w:t>
      </w:r>
      <w:r w:rsidRPr="00A50E4D">
        <w:rPr>
          <w:lang w:val="en-US"/>
        </w:rPr>
        <w:t xml:space="preserve">The Court will then include some pertinent considerations on </w:t>
      </w:r>
      <w:r w:rsidR="005472DB" w:rsidRPr="00A50E4D">
        <w:rPr>
          <w:lang w:val="en-US"/>
        </w:rPr>
        <w:t>(E</w:t>
      </w:r>
      <w:r w:rsidRPr="00A50E4D">
        <w:rPr>
          <w:lang w:val="en-US"/>
        </w:rPr>
        <w:t xml:space="preserve">) the other violations that have been alleged concerning due process in </w:t>
      </w:r>
      <w:r w:rsidR="00687A44" w:rsidRPr="00A50E4D">
        <w:rPr>
          <w:lang w:val="en-US"/>
        </w:rPr>
        <w:t>the disciplinary proceedings</w:t>
      </w:r>
      <w:r w:rsidR="005472DB" w:rsidRPr="00A50E4D">
        <w:rPr>
          <w:lang w:val="en-US"/>
        </w:rPr>
        <w:t xml:space="preserve"> </w:t>
      </w:r>
      <w:r w:rsidRPr="00A50E4D">
        <w:rPr>
          <w:lang w:val="en-US"/>
        </w:rPr>
        <w:t>instituted against</w:t>
      </w:r>
      <w:r w:rsidR="005472DB" w:rsidRPr="00A50E4D">
        <w:rPr>
          <w:lang w:val="en-US"/>
        </w:rPr>
        <w:t xml:space="preserve"> </w:t>
      </w:r>
      <w:r w:rsidR="00371BB7" w:rsidRPr="00A50E4D">
        <w:rPr>
          <w:lang w:val="en-US"/>
        </w:rPr>
        <w:t>the presumed victims</w:t>
      </w:r>
      <w:r w:rsidR="005472DB" w:rsidRPr="00A50E4D">
        <w:rPr>
          <w:lang w:val="en-US"/>
        </w:rPr>
        <w:t>,</w:t>
      </w:r>
      <w:r w:rsidR="009808C5" w:rsidRPr="00A50E4D">
        <w:rPr>
          <w:lang w:val="en-US"/>
        </w:rPr>
        <w:t xml:space="preserve"> and </w:t>
      </w:r>
      <w:r w:rsidR="005472DB" w:rsidRPr="00A50E4D">
        <w:rPr>
          <w:lang w:val="en-US"/>
        </w:rPr>
        <w:t xml:space="preserve">(F) </w:t>
      </w:r>
      <w:r w:rsidRPr="00A50E4D">
        <w:rPr>
          <w:lang w:val="en-US"/>
        </w:rPr>
        <w:t>the right to j</w:t>
      </w:r>
      <w:r w:rsidR="004D0F32" w:rsidRPr="00A50E4D">
        <w:rPr>
          <w:lang w:val="en-US"/>
        </w:rPr>
        <w:t>udicial</w:t>
      </w:r>
      <w:r w:rsidR="00371BB7" w:rsidRPr="00A50E4D">
        <w:rPr>
          <w:lang w:val="en-US"/>
        </w:rPr>
        <w:t xml:space="preserve"> protection</w:t>
      </w:r>
      <w:r w:rsidR="005472DB" w:rsidRPr="00A50E4D">
        <w:rPr>
          <w:lang w:val="en-US"/>
        </w:rPr>
        <w:t xml:space="preserve">. </w:t>
      </w:r>
    </w:p>
    <w:p w14:paraId="4D8CCB22" w14:textId="77777777" w:rsidR="005472DB" w:rsidRPr="00A50E4D" w:rsidRDefault="005472DB" w:rsidP="005472DB">
      <w:pPr>
        <w:pStyle w:val="PrrafodeSentencia"/>
        <w:numPr>
          <w:ilvl w:val="0"/>
          <w:numId w:val="0"/>
        </w:numPr>
        <w:rPr>
          <w:lang w:val="en-US"/>
        </w:rPr>
      </w:pPr>
    </w:p>
    <w:p w14:paraId="2D59C07A" w14:textId="258D4FEB" w:rsidR="005472DB" w:rsidRPr="00A50E4D" w:rsidRDefault="00884A7E" w:rsidP="005472DB">
      <w:pPr>
        <w:pStyle w:val="Heading2"/>
        <w:numPr>
          <w:ilvl w:val="0"/>
          <w:numId w:val="8"/>
        </w:numPr>
        <w:tabs>
          <w:tab w:val="clear" w:pos="993"/>
        </w:tabs>
        <w:rPr>
          <w:spacing w:val="-4"/>
          <w:lang w:val="en-US"/>
        </w:rPr>
      </w:pPr>
      <w:bookmarkStart w:id="285" w:name="_Toc427932805"/>
      <w:bookmarkStart w:id="286" w:name="_Toc431584646"/>
      <w:bookmarkStart w:id="287" w:name="_Toc471717280"/>
      <w:r w:rsidRPr="00A50E4D">
        <w:rPr>
          <w:spacing w:val="-4"/>
          <w:lang w:val="en-US"/>
        </w:rPr>
        <w:t>General considerations</w:t>
      </w:r>
      <w:r w:rsidR="009808C5" w:rsidRPr="00A50E4D">
        <w:rPr>
          <w:spacing w:val="-4"/>
          <w:lang w:val="en-US"/>
        </w:rPr>
        <w:t xml:space="preserve"> of the Court</w:t>
      </w:r>
      <w:r w:rsidR="005472DB" w:rsidRPr="00A50E4D">
        <w:rPr>
          <w:spacing w:val="-4"/>
          <w:lang w:val="en-US"/>
        </w:rPr>
        <w:t xml:space="preserve"> </w:t>
      </w:r>
      <w:r w:rsidRPr="00A50E4D">
        <w:rPr>
          <w:spacing w:val="-4"/>
          <w:lang w:val="en-US"/>
        </w:rPr>
        <w:t>on the guarantees of due process</w:t>
      </w:r>
      <w:r w:rsidR="009808C5" w:rsidRPr="00A50E4D">
        <w:rPr>
          <w:spacing w:val="-4"/>
          <w:lang w:val="en-US"/>
        </w:rPr>
        <w:t xml:space="preserve"> and </w:t>
      </w:r>
      <w:r w:rsidR="00371BB7" w:rsidRPr="00A50E4D">
        <w:rPr>
          <w:spacing w:val="-4"/>
          <w:lang w:val="en-US"/>
        </w:rPr>
        <w:t>judicial protection</w:t>
      </w:r>
      <w:r w:rsidR="005472DB" w:rsidRPr="00A50E4D">
        <w:rPr>
          <w:spacing w:val="-4"/>
          <w:lang w:val="en-US"/>
        </w:rPr>
        <w:t xml:space="preserve"> </w:t>
      </w:r>
      <w:r w:rsidRPr="00A50E4D">
        <w:rPr>
          <w:spacing w:val="-4"/>
          <w:lang w:val="en-US"/>
        </w:rPr>
        <w:t>in the context of disciplinary proceedings against judges</w:t>
      </w:r>
      <w:bookmarkEnd w:id="285"/>
      <w:bookmarkEnd w:id="286"/>
      <w:bookmarkEnd w:id="287"/>
    </w:p>
    <w:p w14:paraId="6739DC17" w14:textId="77777777" w:rsidR="005472DB" w:rsidRPr="00A50E4D" w:rsidRDefault="005472DB" w:rsidP="005472DB">
      <w:pPr>
        <w:rPr>
          <w:lang w:val="en-US" w:eastAsia="es-MX"/>
        </w:rPr>
      </w:pPr>
    </w:p>
    <w:p w14:paraId="31BD3B0B" w14:textId="44BFF0EA" w:rsidR="005472DB" w:rsidRPr="00A50E4D" w:rsidRDefault="00884A7E" w:rsidP="005472DB">
      <w:pPr>
        <w:pStyle w:val="PrrafodeSentencia"/>
        <w:rPr>
          <w:szCs w:val="20"/>
          <w:lang w:val="en-US"/>
        </w:rPr>
      </w:pPr>
      <w:r w:rsidRPr="00A50E4D">
        <w:rPr>
          <w:szCs w:val="20"/>
          <w:lang w:val="en-US"/>
        </w:rPr>
        <w:t xml:space="preserve">The Court’s case law has indicated that the scope of </w:t>
      </w:r>
      <w:r w:rsidR="00371BB7" w:rsidRPr="00A50E4D">
        <w:rPr>
          <w:szCs w:val="20"/>
          <w:lang w:val="en-US"/>
        </w:rPr>
        <w:t>judicial guarantees</w:t>
      </w:r>
      <w:r w:rsidR="009808C5" w:rsidRPr="00A50E4D">
        <w:rPr>
          <w:szCs w:val="20"/>
          <w:lang w:val="en-US"/>
        </w:rPr>
        <w:t xml:space="preserve"> and </w:t>
      </w:r>
      <w:r w:rsidRPr="00A50E4D">
        <w:rPr>
          <w:szCs w:val="20"/>
          <w:lang w:val="en-US"/>
        </w:rPr>
        <w:t>effective j</w:t>
      </w:r>
      <w:r w:rsidR="004D0F32" w:rsidRPr="00A50E4D">
        <w:rPr>
          <w:szCs w:val="20"/>
          <w:lang w:val="en-US"/>
        </w:rPr>
        <w:t>udicial</w:t>
      </w:r>
      <w:r w:rsidR="00371BB7" w:rsidRPr="00A50E4D">
        <w:rPr>
          <w:szCs w:val="20"/>
          <w:lang w:val="en-US"/>
        </w:rPr>
        <w:t xml:space="preserve"> protection</w:t>
      </w:r>
      <w:r w:rsidR="005472DB" w:rsidRPr="00A50E4D">
        <w:rPr>
          <w:szCs w:val="20"/>
          <w:lang w:val="en-US"/>
        </w:rPr>
        <w:t xml:space="preserve"> </w:t>
      </w:r>
      <w:r w:rsidRPr="00A50E4D">
        <w:rPr>
          <w:szCs w:val="20"/>
          <w:lang w:val="en-US"/>
        </w:rPr>
        <w:t xml:space="preserve">for judges must be analyzed in relation to the standards for judicial independence. In the case of </w:t>
      </w:r>
      <w:bookmarkStart w:id="288" w:name="_Ref230072788"/>
      <w:r w:rsidRPr="00A50E4D">
        <w:rPr>
          <w:rFonts w:cs="Tahoma"/>
          <w:i/>
          <w:szCs w:val="20"/>
          <w:lang w:val="en-US"/>
        </w:rPr>
        <w:t>Reverón Trujillo v</w:t>
      </w:r>
      <w:r w:rsidR="005472DB" w:rsidRPr="00A50E4D">
        <w:rPr>
          <w:rFonts w:cs="Tahoma"/>
          <w:i/>
          <w:szCs w:val="20"/>
          <w:lang w:val="en-US"/>
        </w:rPr>
        <w:t>. Venezuela</w:t>
      </w:r>
      <w:r w:rsidR="005472DB" w:rsidRPr="00A50E4D">
        <w:rPr>
          <w:rFonts w:cs="Tahoma"/>
          <w:szCs w:val="20"/>
          <w:lang w:val="en-US"/>
        </w:rPr>
        <w:t>,</w:t>
      </w:r>
      <w:r w:rsidR="005472DB" w:rsidRPr="00A50E4D">
        <w:rPr>
          <w:rFonts w:cs="Tahoma"/>
          <w:i/>
          <w:szCs w:val="20"/>
          <w:lang w:val="en-US"/>
        </w:rPr>
        <w:t xml:space="preserve"> </w:t>
      </w:r>
      <w:r w:rsidR="009808C5" w:rsidRPr="00A50E4D">
        <w:rPr>
          <w:rFonts w:cs="Tahoma"/>
          <w:szCs w:val="20"/>
          <w:lang w:val="en-US"/>
        </w:rPr>
        <w:t>the Court</w:t>
      </w:r>
      <w:r w:rsidR="005472DB" w:rsidRPr="00A50E4D">
        <w:rPr>
          <w:rFonts w:cs="Tahoma"/>
          <w:szCs w:val="20"/>
          <w:lang w:val="en-US"/>
        </w:rPr>
        <w:t xml:space="preserve"> </w:t>
      </w:r>
      <w:r w:rsidRPr="00A50E4D">
        <w:rPr>
          <w:rFonts w:cs="Tahoma"/>
          <w:szCs w:val="20"/>
          <w:lang w:val="en-US"/>
        </w:rPr>
        <w:t xml:space="preserve">specified that judges, contrary to other public officials, have specific guarantees owing to the necessary </w:t>
      </w:r>
      <w:r w:rsidR="000A786A" w:rsidRPr="00A50E4D">
        <w:rPr>
          <w:rFonts w:cs="Tahoma"/>
          <w:szCs w:val="20"/>
          <w:lang w:val="en-US"/>
        </w:rPr>
        <w:t>independence</w:t>
      </w:r>
      <w:r w:rsidRPr="00A50E4D">
        <w:rPr>
          <w:rFonts w:cs="Tahoma"/>
          <w:szCs w:val="20"/>
          <w:lang w:val="en-US"/>
        </w:rPr>
        <w:t xml:space="preserve"> of the Judiciary, which the Court has understood to be “essential for the exercise of </w:t>
      </w:r>
      <w:r w:rsidR="005472DB" w:rsidRPr="00A50E4D">
        <w:rPr>
          <w:rFonts w:cs="Tahoma"/>
          <w:szCs w:val="20"/>
          <w:lang w:val="en-US"/>
        </w:rPr>
        <w:t>judicial</w:t>
      </w:r>
      <w:r w:rsidRPr="00A50E4D">
        <w:rPr>
          <w:rFonts w:cs="Tahoma"/>
          <w:szCs w:val="20"/>
          <w:lang w:val="en-US"/>
        </w:rPr>
        <w:t xml:space="preserve"> functions.</w:t>
      </w:r>
      <w:r w:rsidR="005472DB" w:rsidRPr="00A50E4D">
        <w:rPr>
          <w:rFonts w:cs="Tahoma"/>
          <w:szCs w:val="20"/>
          <w:lang w:val="en-US"/>
        </w:rPr>
        <w:t>”</w:t>
      </w:r>
      <w:bookmarkStart w:id="289" w:name="_Ref232915988"/>
      <w:r w:rsidR="005472DB" w:rsidRPr="00A50E4D">
        <w:rPr>
          <w:rStyle w:val="FootnoteReference"/>
          <w:rFonts w:cs="Tahoma"/>
          <w:sz w:val="20"/>
          <w:szCs w:val="20"/>
          <w:lang w:val="en-US"/>
        </w:rPr>
        <w:footnoteReference w:id="341"/>
      </w:r>
      <w:bookmarkEnd w:id="288"/>
      <w:bookmarkEnd w:id="289"/>
    </w:p>
    <w:p w14:paraId="438EE2EC" w14:textId="77777777" w:rsidR="005472DB" w:rsidRPr="00A50E4D" w:rsidRDefault="005472DB" w:rsidP="005472DB">
      <w:pPr>
        <w:rPr>
          <w:lang w:val="en-US" w:eastAsia="es-MX"/>
        </w:rPr>
      </w:pPr>
    </w:p>
    <w:p w14:paraId="5BA44DFA" w14:textId="524ED10E" w:rsidR="005472DB" w:rsidRPr="00A50E4D" w:rsidRDefault="00B94C31" w:rsidP="005472DB">
      <w:pPr>
        <w:pStyle w:val="PrrafodeSentencia"/>
        <w:rPr>
          <w:szCs w:val="20"/>
          <w:lang w:val="en-US"/>
        </w:rPr>
      </w:pPr>
      <w:r w:rsidRPr="00A50E4D">
        <w:rPr>
          <w:szCs w:val="20"/>
          <w:lang w:val="en-US"/>
        </w:rPr>
        <w:lastRenderedPageBreak/>
        <w:t xml:space="preserve">According to this Court’s case law, the following </w:t>
      </w:r>
      <w:r w:rsidR="002C08D7" w:rsidRPr="00A50E4D">
        <w:rPr>
          <w:szCs w:val="20"/>
          <w:lang w:val="en-US"/>
        </w:rPr>
        <w:t>assurances</w:t>
      </w:r>
      <w:r w:rsidRPr="00A50E4D">
        <w:rPr>
          <w:szCs w:val="20"/>
          <w:lang w:val="en-US"/>
        </w:rPr>
        <w:t xml:space="preserve"> arise from judicial independence</w:t>
      </w:r>
      <w:r w:rsidR="005472DB" w:rsidRPr="00A50E4D">
        <w:rPr>
          <w:szCs w:val="20"/>
          <w:lang w:val="en-US"/>
        </w:rPr>
        <w:t xml:space="preserve">: </w:t>
      </w:r>
      <w:bookmarkStart w:id="290" w:name="_Ref232917427"/>
      <w:r w:rsidR="00CB360D" w:rsidRPr="00A50E4D">
        <w:rPr>
          <w:szCs w:val="20"/>
          <w:lang w:val="en-US"/>
        </w:rPr>
        <w:t xml:space="preserve">an </w:t>
      </w:r>
      <w:r w:rsidR="000A786A" w:rsidRPr="00A50E4D">
        <w:rPr>
          <w:szCs w:val="20"/>
          <w:lang w:val="en-US"/>
        </w:rPr>
        <w:t>appropriate</w:t>
      </w:r>
      <w:r w:rsidR="00CB360D" w:rsidRPr="00A50E4D">
        <w:rPr>
          <w:szCs w:val="20"/>
          <w:lang w:val="en-US"/>
        </w:rPr>
        <w:t xml:space="preserve"> selection process,</w:t>
      </w:r>
      <w:r w:rsidR="005472DB" w:rsidRPr="00A50E4D">
        <w:rPr>
          <w:rStyle w:val="FootnoteReference"/>
          <w:sz w:val="20"/>
          <w:szCs w:val="20"/>
          <w:lang w:val="en-US"/>
        </w:rPr>
        <w:footnoteReference w:id="342"/>
      </w:r>
      <w:bookmarkEnd w:id="290"/>
      <w:r w:rsidR="005472DB" w:rsidRPr="00A50E4D">
        <w:rPr>
          <w:szCs w:val="20"/>
          <w:lang w:val="en-US"/>
        </w:rPr>
        <w:t xml:space="preserve"> </w:t>
      </w:r>
      <w:r w:rsidR="00CB360D" w:rsidRPr="00A50E4D">
        <w:rPr>
          <w:szCs w:val="20"/>
          <w:lang w:val="en-US"/>
        </w:rPr>
        <w:t>guaranteed tenure</w:t>
      </w:r>
      <w:r w:rsidR="005472DB" w:rsidRPr="00A50E4D">
        <w:rPr>
          <w:rStyle w:val="FootnoteReference"/>
          <w:sz w:val="20"/>
          <w:szCs w:val="20"/>
          <w:lang w:val="en-US"/>
        </w:rPr>
        <w:footnoteReference w:id="343"/>
      </w:r>
      <w:r w:rsidR="009808C5" w:rsidRPr="00A50E4D">
        <w:rPr>
          <w:szCs w:val="20"/>
          <w:lang w:val="en-US"/>
        </w:rPr>
        <w:t xml:space="preserve"> and </w:t>
      </w:r>
      <w:r w:rsidRPr="00A50E4D">
        <w:rPr>
          <w:szCs w:val="20"/>
          <w:lang w:val="en-US"/>
        </w:rPr>
        <w:t>the</w:t>
      </w:r>
      <w:r w:rsidR="00CB360D" w:rsidRPr="00A50E4D">
        <w:rPr>
          <w:szCs w:val="20"/>
          <w:lang w:val="en-US"/>
        </w:rPr>
        <w:t xml:space="preserve"> guarantee against external pressures.</w:t>
      </w:r>
      <w:r w:rsidR="005472DB" w:rsidRPr="00A50E4D">
        <w:rPr>
          <w:rStyle w:val="FootnoteReference"/>
          <w:sz w:val="20"/>
          <w:szCs w:val="20"/>
          <w:lang w:val="en-US"/>
        </w:rPr>
        <w:footnoteReference w:id="344"/>
      </w:r>
      <w:r w:rsidR="005472DB" w:rsidRPr="00A50E4D">
        <w:rPr>
          <w:szCs w:val="20"/>
          <w:lang w:val="en-US"/>
        </w:rPr>
        <w:t xml:space="preserve"> </w:t>
      </w:r>
    </w:p>
    <w:p w14:paraId="49504C48" w14:textId="77777777" w:rsidR="005472DB" w:rsidRPr="00A50E4D" w:rsidRDefault="005472DB" w:rsidP="005472DB">
      <w:pPr>
        <w:rPr>
          <w:lang w:val="en-US" w:eastAsia="es-MX"/>
        </w:rPr>
      </w:pPr>
    </w:p>
    <w:p w14:paraId="5AB4B09F" w14:textId="2BF41D7E" w:rsidR="00884A7E" w:rsidRPr="00A50E4D" w:rsidRDefault="00884A7E" w:rsidP="00884A7E">
      <w:pPr>
        <w:pStyle w:val="PrrafodeSentencia"/>
        <w:rPr>
          <w:szCs w:val="20"/>
          <w:lang w:val="en-US"/>
        </w:rPr>
      </w:pPr>
      <w:bookmarkStart w:id="291" w:name="_Ref427930801"/>
      <w:r w:rsidRPr="00A50E4D">
        <w:rPr>
          <w:szCs w:val="20"/>
          <w:lang w:val="en-US"/>
        </w:rPr>
        <w:t xml:space="preserve">Bearing in mind the foregoing, the Court has established that: </w:t>
      </w:r>
      <w:r w:rsidR="00B94C31" w:rsidRPr="00A50E4D">
        <w:rPr>
          <w:szCs w:val="20"/>
          <w:lang w:val="en-US"/>
        </w:rPr>
        <w:t>(</w:t>
      </w:r>
      <w:r w:rsidR="005472DB" w:rsidRPr="00A50E4D">
        <w:rPr>
          <w:szCs w:val="20"/>
          <w:lang w:val="en-US"/>
        </w:rPr>
        <w:t xml:space="preserve">i) </w:t>
      </w:r>
      <w:r w:rsidRPr="00A50E4D">
        <w:rPr>
          <w:szCs w:val="20"/>
          <w:lang w:val="en-US"/>
        </w:rPr>
        <w:t>respect for</w:t>
      </w:r>
      <w:r w:rsidR="005472DB" w:rsidRPr="00A50E4D">
        <w:rPr>
          <w:szCs w:val="20"/>
          <w:lang w:val="en-US"/>
        </w:rPr>
        <w:t xml:space="preserve"> </w:t>
      </w:r>
      <w:r w:rsidR="00371BB7" w:rsidRPr="00A50E4D">
        <w:rPr>
          <w:szCs w:val="20"/>
          <w:lang w:val="en-US"/>
        </w:rPr>
        <w:t>judicial guarantees</w:t>
      </w:r>
      <w:r w:rsidR="005472DB" w:rsidRPr="00A50E4D">
        <w:rPr>
          <w:szCs w:val="20"/>
          <w:lang w:val="en-US"/>
        </w:rPr>
        <w:t xml:space="preserve"> </w:t>
      </w:r>
      <w:r w:rsidRPr="00A50E4D">
        <w:rPr>
          <w:szCs w:val="20"/>
          <w:lang w:val="en-US"/>
        </w:rPr>
        <w:t xml:space="preserve">entails respecting judicial independence; </w:t>
      </w:r>
      <w:r w:rsidR="00B94C31" w:rsidRPr="00A50E4D">
        <w:rPr>
          <w:szCs w:val="20"/>
          <w:lang w:val="en-US"/>
        </w:rPr>
        <w:t>(</w:t>
      </w:r>
      <w:r w:rsidRPr="00A50E4D">
        <w:rPr>
          <w:szCs w:val="20"/>
          <w:lang w:val="en-US"/>
        </w:rPr>
        <w:t xml:space="preserve">ii) the </w:t>
      </w:r>
      <w:r w:rsidR="002C08D7" w:rsidRPr="00A50E4D">
        <w:rPr>
          <w:szCs w:val="20"/>
          <w:lang w:val="en-US"/>
        </w:rPr>
        <w:t>scope</w:t>
      </w:r>
      <w:r w:rsidRPr="00A50E4D">
        <w:rPr>
          <w:szCs w:val="20"/>
          <w:lang w:val="en-US"/>
        </w:rPr>
        <w:t xml:space="preserve"> of</w:t>
      </w:r>
      <w:r w:rsidR="00FF35A9" w:rsidRPr="00A50E4D">
        <w:rPr>
          <w:szCs w:val="20"/>
          <w:lang w:val="en-US"/>
        </w:rPr>
        <w:t xml:space="preserve"> </w:t>
      </w:r>
      <w:r w:rsidRPr="00A50E4D">
        <w:rPr>
          <w:szCs w:val="20"/>
          <w:lang w:val="en-US"/>
        </w:rPr>
        <w:t>judicial independence</w:t>
      </w:r>
      <w:r w:rsidR="005472DB" w:rsidRPr="00A50E4D">
        <w:rPr>
          <w:szCs w:val="20"/>
          <w:lang w:val="en-US"/>
        </w:rPr>
        <w:t xml:space="preserve"> </w:t>
      </w:r>
      <w:r w:rsidRPr="00A50E4D">
        <w:rPr>
          <w:szCs w:val="20"/>
          <w:lang w:val="en-US"/>
        </w:rPr>
        <w:t>result</w:t>
      </w:r>
      <w:r w:rsidR="002C08D7" w:rsidRPr="00A50E4D">
        <w:rPr>
          <w:szCs w:val="20"/>
          <w:lang w:val="en-US"/>
        </w:rPr>
        <w:t>s</w:t>
      </w:r>
      <w:r w:rsidRPr="00A50E4D">
        <w:rPr>
          <w:szCs w:val="20"/>
          <w:lang w:val="en-US"/>
        </w:rPr>
        <w:t xml:space="preserve"> in the subjective right of judges to be dismissed exclusively for the </w:t>
      </w:r>
      <w:r w:rsidR="002C08D7" w:rsidRPr="00A50E4D">
        <w:rPr>
          <w:szCs w:val="20"/>
          <w:lang w:val="en-US"/>
        </w:rPr>
        <w:t xml:space="preserve">reasons permitted, either by </w:t>
      </w:r>
      <w:r w:rsidRPr="00A50E4D">
        <w:rPr>
          <w:szCs w:val="20"/>
          <w:lang w:val="en-US"/>
        </w:rPr>
        <w:t>a proceeding that complies with judicial guarantees or because their mandate ha</w:t>
      </w:r>
      <w:r w:rsidR="002C08D7" w:rsidRPr="00A50E4D">
        <w:rPr>
          <w:szCs w:val="20"/>
          <w:lang w:val="en-US"/>
        </w:rPr>
        <w:t>s terminated, and (iii) when a judge’s</w:t>
      </w:r>
      <w:r w:rsidRPr="00A50E4D">
        <w:rPr>
          <w:szCs w:val="20"/>
          <w:lang w:val="en-US"/>
        </w:rPr>
        <w:t xml:space="preserve"> tenure is arbitrarily impaired, the right to judicial independence recognized in Article 8(1) of the American Convention is violated, as is the right of access</w:t>
      </w:r>
      <w:r w:rsidRPr="00A50E4D">
        <w:rPr>
          <w:snapToGrid w:val="0"/>
          <w:spacing w:val="-3"/>
          <w:szCs w:val="20"/>
          <w:lang w:val="en-US"/>
        </w:rPr>
        <w:t xml:space="preserve"> to public service</w:t>
      </w:r>
      <w:r w:rsidR="002C08D7" w:rsidRPr="00A50E4D">
        <w:rPr>
          <w:snapToGrid w:val="0"/>
          <w:spacing w:val="-3"/>
          <w:szCs w:val="20"/>
          <w:lang w:val="en-US"/>
        </w:rPr>
        <w:t xml:space="preserve"> </w:t>
      </w:r>
      <w:r w:rsidR="002C08D7" w:rsidRPr="00A50E4D">
        <w:rPr>
          <w:szCs w:val="20"/>
          <w:lang w:val="en-US"/>
        </w:rPr>
        <w:t>and tenure</w:t>
      </w:r>
      <w:r w:rsidRPr="00A50E4D">
        <w:rPr>
          <w:snapToGrid w:val="0"/>
          <w:spacing w:val="-3"/>
          <w:szCs w:val="20"/>
          <w:lang w:val="en-US"/>
        </w:rPr>
        <w:t>, under general conditions of equality,</w:t>
      </w:r>
      <w:r w:rsidRPr="00A50E4D">
        <w:rPr>
          <w:szCs w:val="20"/>
          <w:lang w:val="en-US"/>
        </w:rPr>
        <w:t xml:space="preserve"> established in Article 23(1)(c) of the American Convention.</w:t>
      </w:r>
      <w:r w:rsidRPr="00A50E4D">
        <w:rPr>
          <w:szCs w:val="20"/>
          <w:vertAlign w:val="superscript"/>
          <w:lang w:val="en-US"/>
        </w:rPr>
        <w:footnoteReference w:id="345"/>
      </w:r>
    </w:p>
    <w:bookmarkEnd w:id="291"/>
    <w:p w14:paraId="01F7A1BE" w14:textId="77777777" w:rsidR="005472DB" w:rsidRPr="00A50E4D" w:rsidRDefault="005472DB" w:rsidP="005472DB">
      <w:pPr>
        <w:rPr>
          <w:lang w:val="en-US" w:eastAsia="es-MX"/>
        </w:rPr>
      </w:pPr>
    </w:p>
    <w:p w14:paraId="1404AB00" w14:textId="61202C9D" w:rsidR="005472DB" w:rsidRPr="00A50E4D" w:rsidRDefault="00B94C31" w:rsidP="005472DB">
      <w:pPr>
        <w:pStyle w:val="PrrafodeSentencia"/>
        <w:rPr>
          <w:szCs w:val="20"/>
          <w:lang w:val="en-US"/>
        </w:rPr>
      </w:pPr>
      <w:r w:rsidRPr="00A50E4D">
        <w:rPr>
          <w:szCs w:val="20"/>
          <w:lang w:val="en-US"/>
        </w:rPr>
        <w:t>In the cases</w:t>
      </w:r>
      <w:r w:rsidR="009808C5" w:rsidRPr="00A50E4D">
        <w:rPr>
          <w:szCs w:val="20"/>
          <w:lang w:val="en-US"/>
        </w:rPr>
        <w:t xml:space="preserve"> of </w:t>
      </w:r>
      <w:r w:rsidR="00884A7E" w:rsidRPr="00A50E4D">
        <w:rPr>
          <w:szCs w:val="20"/>
          <w:lang w:val="en-US"/>
        </w:rPr>
        <w:t>t</w:t>
      </w:r>
      <w:r w:rsidR="009808C5" w:rsidRPr="00A50E4D">
        <w:rPr>
          <w:szCs w:val="20"/>
          <w:lang w:val="en-US"/>
        </w:rPr>
        <w:t xml:space="preserve">he </w:t>
      </w:r>
      <w:r w:rsidR="00371BB7" w:rsidRPr="00A50E4D">
        <w:rPr>
          <w:rStyle w:val="Strong"/>
          <w:b w:val="0"/>
          <w:i/>
          <w:color w:val="000000"/>
          <w:szCs w:val="20"/>
          <w:shd w:val="clear" w:color="auto" w:fill="FFFFFF"/>
          <w:lang w:val="en-US"/>
        </w:rPr>
        <w:t>Supreme Court of Justice</w:t>
      </w:r>
      <w:r w:rsidR="005472DB" w:rsidRPr="00A50E4D">
        <w:rPr>
          <w:rStyle w:val="Strong"/>
          <w:b w:val="0"/>
          <w:i/>
          <w:color w:val="000000"/>
          <w:szCs w:val="20"/>
          <w:shd w:val="clear" w:color="auto" w:fill="FFFFFF"/>
          <w:lang w:val="en-US"/>
        </w:rPr>
        <w:t xml:space="preserve"> (Quintana Coello</w:t>
      </w:r>
      <w:r w:rsidR="009808C5" w:rsidRPr="00A50E4D">
        <w:rPr>
          <w:rStyle w:val="Strong"/>
          <w:b w:val="0"/>
          <w:i/>
          <w:color w:val="000000"/>
          <w:szCs w:val="20"/>
          <w:shd w:val="clear" w:color="auto" w:fill="FFFFFF"/>
          <w:lang w:val="en-US"/>
        </w:rPr>
        <w:t xml:space="preserve"> et al.</w:t>
      </w:r>
      <w:r w:rsidR="005472DB" w:rsidRPr="00A50E4D">
        <w:rPr>
          <w:rStyle w:val="Strong"/>
          <w:b w:val="0"/>
          <w:i/>
          <w:color w:val="000000"/>
          <w:szCs w:val="20"/>
          <w:shd w:val="clear" w:color="auto" w:fill="FFFFFF"/>
          <w:lang w:val="en-US"/>
        </w:rPr>
        <w:t>)</w:t>
      </w:r>
      <w:r w:rsidR="009808C5" w:rsidRPr="00A50E4D">
        <w:rPr>
          <w:rStyle w:val="Strong"/>
          <w:b w:val="0"/>
          <w:color w:val="000000"/>
          <w:szCs w:val="20"/>
          <w:shd w:val="clear" w:color="auto" w:fill="FFFFFF"/>
          <w:lang w:val="en-US"/>
        </w:rPr>
        <w:t xml:space="preserve"> and</w:t>
      </w:r>
      <w:r w:rsidR="00FF35A9" w:rsidRPr="00A50E4D">
        <w:rPr>
          <w:rStyle w:val="Strong"/>
          <w:b w:val="0"/>
          <w:color w:val="000000"/>
          <w:szCs w:val="20"/>
          <w:shd w:val="clear" w:color="auto" w:fill="FFFFFF"/>
          <w:lang w:val="en-US"/>
        </w:rPr>
        <w:t xml:space="preserve"> the </w:t>
      </w:r>
      <w:r w:rsidRPr="00A50E4D">
        <w:rPr>
          <w:rStyle w:val="Strong"/>
          <w:b w:val="0"/>
          <w:i/>
          <w:color w:val="000000"/>
          <w:szCs w:val="20"/>
          <w:shd w:val="clear" w:color="auto" w:fill="FFFFFF"/>
          <w:lang w:val="en-US"/>
        </w:rPr>
        <w:t>Constituti</w:t>
      </w:r>
      <w:r w:rsidR="005472DB" w:rsidRPr="00A50E4D">
        <w:rPr>
          <w:rStyle w:val="Strong"/>
          <w:b w:val="0"/>
          <w:i/>
          <w:color w:val="000000"/>
          <w:szCs w:val="20"/>
          <w:shd w:val="clear" w:color="auto" w:fill="FFFFFF"/>
          <w:lang w:val="en-US"/>
        </w:rPr>
        <w:t>onal</w:t>
      </w:r>
      <w:r w:rsidRPr="00A50E4D">
        <w:rPr>
          <w:rStyle w:val="Strong"/>
          <w:b w:val="0"/>
          <w:i/>
          <w:color w:val="000000"/>
          <w:szCs w:val="20"/>
          <w:shd w:val="clear" w:color="auto" w:fill="FFFFFF"/>
          <w:lang w:val="en-US"/>
        </w:rPr>
        <w:t xml:space="preserve"> Tribunal</w:t>
      </w:r>
      <w:r w:rsidR="005472DB" w:rsidRPr="00A50E4D">
        <w:rPr>
          <w:rStyle w:val="Strong"/>
          <w:b w:val="0"/>
          <w:i/>
          <w:color w:val="000000"/>
          <w:szCs w:val="20"/>
          <w:shd w:val="clear" w:color="auto" w:fill="FFFFFF"/>
          <w:lang w:val="en-US"/>
        </w:rPr>
        <w:t xml:space="preserve"> (Camba Campos</w:t>
      </w:r>
      <w:r w:rsidR="009808C5" w:rsidRPr="00A50E4D">
        <w:rPr>
          <w:rStyle w:val="Strong"/>
          <w:b w:val="0"/>
          <w:i/>
          <w:color w:val="000000"/>
          <w:szCs w:val="20"/>
          <w:shd w:val="clear" w:color="auto" w:fill="FFFFFF"/>
          <w:lang w:val="en-US"/>
        </w:rPr>
        <w:t xml:space="preserve"> et al.</w:t>
      </w:r>
      <w:r w:rsidR="005472DB" w:rsidRPr="00A50E4D">
        <w:rPr>
          <w:rStyle w:val="Strong"/>
          <w:b w:val="0"/>
          <w:i/>
          <w:color w:val="000000"/>
          <w:szCs w:val="20"/>
          <w:shd w:val="clear" w:color="auto" w:fill="FFFFFF"/>
          <w:lang w:val="en-US"/>
        </w:rPr>
        <w:t>)</w:t>
      </w:r>
      <w:r w:rsidR="005472DB" w:rsidRPr="00A50E4D">
        <w:rPr>
          <w:rStyle w:val="Strong"/>
          <w:b w:val="0"/>
          <w:color w:val="000000"/>
          <w:szCs w:val="20"/>
          <w:shd w:val="clear" w:color="auto" w:fill="FFFFFF"/>
          <w:lang w:val="en-US"/>
        </w:rPr>
        <w:t xml:space="preserve">, </w:t>
      </w:r>
      <w:r w:rsidRPr="00A50E4D">
        <w:rPr>
          <w:rStyle w:val="Strong"/>
          <w:b w:val="0"/>
          <w:color w:val="000000"/>
          <w:szCs w:val="20"/>
          <w:shd w:val="clear" w:color="auto" w:fill="FFFFFF"/>
          <w:lang w:val="en-US"/>
        </w:rPr>
        <w:t>both against</w:t>
      </w:r>
      <w:r w:rsidR="005472DB" w:rsidRPr="00A50E4D">
        <w:rPr>
          <w:rStyle w:val="Strong"/>
          <w:b w:val="0"/>
          <w:color w:val="000000"/>
          <w:szCs w:val="20"/>
          <w:shd w:val="clear" w:color="auto" w:fill="FFFFFF"/>
          <w:lang w:val="en-US"/>
        </w:rPr>
        <w:t xml:space="preserve"> Ecuador, </w:t>
      </w:r>
      <w:r w:rsidR="00884A7E" w:rsidRPr="00A50E4D">
        <w:rPr>
          <w:rStyle w:val="Strong"/>
          <w:b w:val="0"/>
          <w:color w:val="000000"/>
          <w:szCs w:val="20"/>
          <w:shd w:val="clear" w:color="auto" w:fill="FFFFFF"/>
          <w:lang w:val="en-US"/>
        </w:rPr>
        <w:t>this Court clarified that</w:t>
      </w:r>
      <w:r w:rsidR="005472DB" w:rsidRPr="00A50E4D">
        <w:rPr>
          <w:szCs w:val="20"/>
          <w:lang w:val="en-US"/>
        </w:rPr>
        <w:t xml:space="preserve"> </w:t>
      </w:r>
      <w:r w:rsidR="00884A7E" w:rsidRPr="00A50E4D">
        <w:rPr>
          <w:szCs w:val="20"/>
          <w:lang w:val="en-US"/>
        </w:rPr>
        <w:t>judicial independence</w:t>
      </w:r>
      <w:r w:rsidR="005472DB" w:rsidRPr="00A50E4D">
        <w:rPr>
          <w:szCs w:val="20"/>
          <w:lang w:val="en-US"/>
        </w:rPr>
        <w:t xml:space="preserve"> </w:t>
      </w:r>
      <w:r w:rsidR="00884A7E" w:rsidRPr="00A50E4D">
        <w:rPr>
          <w:szCs w:val="20"/>
          <w:lang w:val="en-US"/>
        </w:rPr>
        <w:t xml:space="preserve">should not only be analyzed in relation to the </w:t>
      </w:r>
      <w:r w:rsidR="00E013B4" w:rsidRPr="00A50E4D">
        <w:rPr>
          <w:szCs w:val="20"/>
          <w:lang w:val="en-US"/>
        </w:rPr>
        <w:t>defendant</w:t>
      </w:r>
      <w:r w:rsidR="00884A7E" w:rsidRPr="00A50E4D">
        <w:rPr>
          <w:szCs w:val="20"/>
          <w:lang w:val="en-US"/>
        </w:rPr>
        <w:t xml:space="preserve">, </w:t>
      </w:r>
      <w:r w:rsidR="00E013B4" w:rsidRPr="00A50E4D">
        <w:rPr>
          <w:szCs w:val="20"/>
          <w:lang w:val="en-US"/>
        </w:rPr>
        <w:t>because</w:t>
      </w:r>
      <w:r w:rsidR="00884A7E" w:rsidRPr="00A50E4D">
        <w:rPr>
          <w:szCs w:val="20"/>
          <w:lang w:val="en-US"/>
        </w:rPr>
        <w:t xml:space="preserve"> the judge </w:t>
      </w:r>
      <w:r w:rsidR="00E013B4" w:rsidRPr="00A50E4D">
        <w:rPr>
          <w:szCs w:val="20"/>
          <w:lang w:val="en-US"/>
        </w:rPr>
        <w:t xml:space="preserve">also </w:t>
      </w:r>
      <w:r w:rsidR="00884A7E" w:rsidRPr="00A50E4D">
        <w:rPr>
          <w:szCs w:val="20"/>
          <w:lang w:val="en-US"/>
        </w:rPr>
        <w:t>should have a series of guarantees to ensure judicial independence</w:t>
      </w:r>
      <w:r w:rsidR="005472DB" w:rsidRPr="00A50E4D">
        <w:rPr>
          <w:szCs w:val="20"/>
          <w:lang w:val="en-US"/>
        </w:rPr>
        <w:t xml:space="preserve">. </w:t>
      </w:r>
      <w:r w:rsidR="00E013B4" w:rsidRPr="00A50E4D">
        <w:rPr>
          <w:szCs w:val="20"/>
          <w:lang w:val="en-US"/>
        </w:rPr>
        <w:t>I</w:t>
      </w:r>
      <w:r w:rsidR="00884A7E" w:rsidRPr="00A50E4D">
        <w:rPr>
          <w:szCs w:val="20"/>
          <w:lang w:val="en-US"/>
        </w:rPr>
        <w:t xml:space="preserve">n those </w:t>
      </w:r>
      <w:r w:rsidR="00E013B4" w:rsidRPr="00A50E4D">
        <w:rPr>
          <w:szCs w:val="20"/>
          <w:lang w:val="en-US"/>
        </w:rPr>
        <w:t>cases</w:t>
      </w:r>
      <w:r w:rsidR="00884A7E" w:rsidRPr="00A50E4D">
        <w:rPr>
          <w:szCs w:val="20"/>
          <w:lang w:val="en-US"/>
        </w:rPr>
        <w:t>, the Court asserted that the violation of the guarantee of judicial independence</w:t>
      </w:r>
      <w:r w:rsidR="005472DB" w:rsidRPr="00A50E4D">
        <w:rPr>
          <w:szCs w:val="20"/>
          <w:lang w:val="en-US"/>
        </w:rPr>
        <w:t xml:space="preserve">, </w:t>
      </w:r>
      <w:r w:rsidR="00884A7E" w:rsidRPr="00A50E4D">
        <w:rPr>
          <w:szCs w:val="20"/>
          <w:lang w:val="en-US"/>
        </w:rPr>
        <w:t>as regards a judge’s tenure, should be analyzed in light</w:t>
      </w:r>
      <w:r w:rsidR="00E013B4" w:rsidRPr="00A50E4D">
        <w:rPr>
          <w:szCs w:val="20"/>
          <w:lang w:val="en-US"/>
        </w:rPr>
        <w:t xml:space="preserve"> of the treaty-based rights of</w:t>
      </w:r>
      <w:r w:rsidR="00884A7E" w:rsidRPr="00A50E4D">
        <w:rPr>
          <w:szCs w:val="20"/>
          <w:lang w:val="en-US"/>
        </w:rPr>
        <w:t xml:space="preserve"> judge</w:t>
      </w:r>
      <w:r w:rsidR="00E013B4" w:rsidRPr="00A50E4D">
        <w:rPr>
          <w:szCs w:val="20"/>
          <w:lang w:val="en-US"/>
        </w:rPr>
        <w:t>s</w:t>
      </w:r>
      <w:r w:rsidR="00884A7E" w:rsidRPr="00A50E4D">
        <w:rPr>
          <w:szCs w:val="20"/>
          <w:lang w:val="en-US"/>
        </w:rPr>
        <w:t xml:space="preserve"> when </w:t>
      </w:r>
      <w:r w:rsidR="00E013B4" w:rsidRPr="00A50E4D">
        <w:rPr>
          <w:szCs w:val="20"/>
          <w:lang w:val="en-US"/>
        </w:rPr>
        <w:t>they have</w:t>
      </w:r>
      <w:r w:rsidR="00884A7E" w:rsidRPr="00A50E4D">
        <w:rPr>
          <w:szCs w:val="20"/>
          <w:lang w:val="en-US"/>
        </w:rPr>
        <w:t xml:space="preserve"> been affected by a state decision that arbitrarily interferes with the length of </w:t>
      </w:r>
      <w:r w:rsidR="00E013B4" w:rsidRPr="00A50E4D">
        <w:rPr>
          <w:szCs w:val="20"/>
          <w:lang w:val="en-US"/>
        </w:rPr>
        <w:t>their</w:t>
      </w:r>
      <w:r w:rsidR="00884A7E" w:rsidRPr="00A50E4D">
        <w:rPr>
          <w:szCs w:val="20"/>
          <w:lang w:val="en-US"/>
        </w:rPr>
        <w:t xml:space="preserve"> mandate. Thus, the institutional guarantee of</w:t>
      </w:r>
      <w:r w:rsidR="00FF35A9" w:rsidRPr="00A50E4D">
        <w:rPr>
          <w:szCs w:val="20"/>
          <w:lang w:val="en-US"/>
        </w:rPr>
        <w:t xml:space="preserve"> </w:t>
      </w:r>
      <w:r w:rsidR="00884A7E" w:rsidRPr="00A50E4D">
        <w:rPr>
          <w:szCs w:val="20"/>
          <w:lang w:val="en-US"/>
        </w:rPr>
        <w:t>judicial independence</w:t>
      </w:r>
      <w:r w:rsidR="005472DB" w:rsidRPr="00A50E4D">
        <w:rPr>
          <w:szCs w:val="20"/>
          <w:lang w:val="en-US"/>
        </w:rPr>
        <w:t xml:space="preserve"> </w:t>
      </w:r>
      <w:r w:rsidR="00884A7E" w:rsidRPr="00A50E4D">
        <w:rPr>
          <w:szCs w:val="20"/>
          <w:lang w:val="en-US"/>
        </w:rPr>
        <w:t>is directly related to the right of the judge to remain in office as a result of the guarantee of tenure.</w:t>
      </w:r>
      <w:r w:rsidR="005472DB" w:rsidRPr="00A50E4D">
        <w:rPr>
          <w:rStyle w:val="FootnoteReference"/>
          <w:sz w:val="20"/>
          <w:szCs w:val="20"/>
          <w:lang w:val="en-US"/>
        </w:rPr>
        <w:footnoteReference w:id="346"/>
      </w:r>
    </w:p>
    <w:p w14:paraId="1220E297" w14:textId="77777777" w:rsidR="005472DB" w:rsidRPr="00A50E4D" w:rsidRDefault="005472DB" w:rsidP="005472DB">
      <w:pPr>
        <w:pStyle w:val="PrrafodeSentencia"/>
        <w:numPr>
          <w:ilvl w:val="0"/>
          <w:numId w:val="0"/>
        </w:numPr>
        <w:rPr>
          <w:szCs w:val="20"/>
          <w:lang w:val="en-US"/>
        </w:rPr>
      </w:pPr>
      <w:bookmarkStart w:id="292" w:name="_Ref234819179"/>
    </w:p>
    <w:p w14:paraId="12A17F31" w14:textId="1FDEE4FA" w:rsidR="005472DB" w:rsidRPr="00A50E4D" w:rsidRDefault="009808C5" w:rsidP="00884A7E">
      <w:pPr>
        <w:pStyle w:val="PrrafodeSentencia"/>
        <w:rPr>
          <w:szCs w:val="20"/>
          <w:lang w:val="en-US"/>
        </w:rPr>
      </w:pPr>
      <w:r w:rsidRPr="00A50E4D">
        <w:rPr>
          <w:lang w:val="en-US"/>
        </w:rPr>
        <w:t>The Court</w:t>
      </w:r>
      <w:r w:rsidR="005472DB" w:rsidRPr="00A50E4D">
        <w:rPr>
          <w:lang w:val="en-US"/>
        </w:rPr>
        <w:t xml:space="preserve"> ha</w:t>
      </w:r>
      <w:r w:rsidR="00884A7E" w:rsidRPr="00A50E4D">
        <w:rPr>
          <w:lang w:val="en-US"/>
        </w:rPr>
        <w:t xml:space="preserve">s pointed out that the State must guarantee the autonomous </w:t>
      </w:r>
      <w:r w:rsidR="000A786A" w:rsidRPr="00A50E4D">
        <w:rPr>
          <w:lang w:val="en-US"/>
        </w:rPr>
        <w:t>exercise of</w:t>
      </w:r>
      <w:r w:rsidR="00884A7E" w:rsidRPr="00A50E4D">
        <w:rPr>
          <w:lang w:val="en-US"/>
        </w:rPr>
        <w:t xml:space="preserve"> the judicial function as regards both its institutional aspect, that is, in relation to the Judiciary as a system, and also </w:t>
      </w:r>
      <w:r w:rsidR="00E013B4" w:rsidRPr="00A50E4D">
        <w:rPr>
          <w:lang w:val="en-US"/>
        </w:rPr>
        <w:t>as regards</w:t>
      </w:r>
      <w:r w:rsidR="00884A7E" w:rsidRPr="00A50E4D">
        <w:rPr>
          <w:lang w:val="en-US"/>
        </w:rPr>
        <w:t xml:space="preserve"> i</w:t>
      </w:r>
      <w:r w:rsidR="00E013B4" w:rsidRPr="00A50E4D">
        <w:rPr>
          <w:lang w:val="en-US"/>
        </w:rPr>
        <w:t>t</w:t>
      </w:r>
      <w:r w:rsidR="00884A7E" w:rsidRPr="00A50E4D">
        <w:rPr>
          <w:lang w:val="en-US"/>
        </w:rPr>
        <w:t xml:space="preserve">s individual aspect, that is, in relation to the person of the specific judge. The Court finds it pertinent to clarify that the institutional dimension is related to aspects that are essential for the rule of law, such as the principle of the separation of powers, and the important role played by the judicial function in a democracy. Consequently, this institutional dimension goes beyond the office of the judge and has a collective impact on society as a whole. Furthermore, there is a direct relationship between the institutional dimension of </w:t>
      </w:r>
      <w:r w:rsidR="00884A7E" w:rsidRPr="00A50E4D">
        <w:rPr>
          <w:szCs w:val="20"/>
          <w:lang w:val="en-US"/>
        </w:rPr>
        <w:t>judicial independence</w:t>
      </w:r>
      <w:r w:rsidRPr="00A50E4D">
        <w:rPr>
          <w:szCs w:val="20"/>
          <w:lang w:val="en-US"/>
        </w:rPr>
        <w:t xml:space="preserve"> and </w:t>
      </w:r>
      <w:r w:rsidR="00884A7E" w:rsidRPr="00A50E4D">
        <w:rPr>
          <w:szCs w:val="20"/>
          <w:lang w:val="en-US"/>
        </w:rPr>
        <w:t>the right of judges to accede to and remain in their posts under general conditions of equality, as an expression of their guarantee of tenure.</w:t>
      </w:r>
      <w:r w:rsidR="005472DB" w:rsidRPr="00A50E4D">
        <w:rPr>
          <w:rStyle w:val="FootnoteReference"/>
          <w:sz w:val="20"/>
          <w:szCs w:val="20"/>
          <w:lang w:val="en-US"/>
        </w:rPr>
        <w:footnoteReference w:id="347"/>
      </w:r>
    </w:p>
    <w:p w14:paraId="58994774" w14:textId="77777777" w:rsidR="005472DB" w:rsidRPr="00A50E4D" w:rsidRDefault="005472DB" w:rsidP="005472DB">
      <w:pPr>
        <w:tabs>
          <w:tab w:val="left" w:pos="0"/>
          <w:tab w:val="left" w:pos="567"/>
        </w:tabs>
        <w:rPr>
          <w:spacing w:val="-4"/>
          <w:szCs w:val="20"/>
          <w:lang w:val="en-US"/>
        </w:rPr>
      </w:pPr>
    </w:p>
    <w:p w14:paraId="0B570004" w14:textId="756A1235" w:rsidR="005472DB" w:rsidRPr="00A50E4D" w:rsidRDefault="00884A7E" w:rsidP="005472DB">
      <w:pPr>
        <w:pStyle w:val="PrrafodeSentencia"/>
        <w:rPr>
          <w:szCs w:val="20"/>
          <w:lang w:val="en-US"/>
        </w:rPr>
      </w:pPr>
      <w:r w:rsidRPr="00A50E4D">
        <w:rPr>
          <w:szCs w:val="20"/>
          <w:lang w:val="en-US"/>
        </w:rPr>
        <w:lastRenderedPageBreak/>
        <w:t xml:space="preserve">The guarantee </w:t>
      </w:r>
      <w:r w:rsidR="00017B6F" w:rsidRPr="00A50E4D">
        <w:rPr>
          <w:szCs w:val="20"/>
          <w:lang w:val="en-US"/>
        </w:rPr>
        <w:t>of</w:t>
      </w:r>
      <w:r w:rsidRPr="00A50E4D">
        <w:rPr>
          <w:szCs w:val="20"/>
          <w:lang w:val="en-US"/>
        </w:rPr>
        <w:t xml:space="preserve"> an appropriate selection process, </w:t>
      </w:r>
      <w:r w:rsidR="00017B6F" w:rsidRPr="00A50E4D">
        <w:rPr>
          <w:szCs w:val="20"/>
          <w:lang w:val="en-US"/>
        </w:rPr>
        <w:t xml:space="preserve">of </w:t>
      </w:r>
      <w:r w:rsidRPr="00A50E4D">
        <w:rPr>
          <w:szCs w:val="20"/>
          <w:lang w:val="en-US"/>
        </w:rPr>
        <w:t>tenure, and against external pressures, all derived from judicial independence</w:t>
      </w:r>
      <w:r w:rsidR="005472DB" w:rsidRPr="00A50E4D">
        <w:rPr>
          <w:szCs w:val="20"/>
          <w:lang w:val="en-US"/>
        </w:rPr>
        <w:t xml:space="preserve">, </w:t>
      </w:r>
      <w:r w:rsidRPr="00A50E4D">
        <w:rPr>
          <w:szCs w:val="20"/>
          <w:lang w:val="en-US"/>
        </w:rPr>
        <w:t xml:space="preserve">have also been affirmed by </w:t>
      </w:r>
      <w:r w:rsidR="0071780A" w:rsidRPr="00A50E4D">
        <w:rPr>
          <w:szCs w:val="20"/>
          <w:lang w:val="en-US"/>
        </w:rPr>
        <w:t>the European Court</w:t>
      </w:r>
      <w:r w:rsidR="005472DB" w:rsidRPr="00A50E4D">
        <w:rPr>
          <w:szCs w:val="20"/>
          <w:lang w:val="en-US"/>
        </w:rPr>
        <w:t xml:space="preserve"> </w:t>
      </w:r>
      <w:r w:rsidR="00B94C31" w:rsidRPr="00A50E4D">
        <w:rPr>
          <w:szCs w:val="20"/>
          <w:lang w:val="en-US"/>
        </w:rPr>
        <w:t>of Human Rights</w:t>
      </w:r>
      <w:r w:rsidR="005472DB" w:rsidRPr="00A50E4D">
        <w:rPr>
          <w:szCs w:val="20"/>
          <w:lang w:val="en-US"/>
        </w:rPr>
        <w:t xml:space="preserve">, </w:t>
      </w:r>
      <w:r w:rsidRPr="00A50E4D">
        <w:rPr>
          <w:szCs w:val="20"/>
          <w:lang w:val="en-US"/>
        </w:rPr>
        <w:t xml:space="preserve">and are established in </w:t>
      </w:r>
      <w:r w:rsidR="00CB360D" w:rsidRPr="00A50E4D">
        <w:rPr>
          <w:szCs w:val="20"/>
          <w:lang w:val="en-US"/>
        </w:rPr>
        <w:t>the United Nations Basic Principles</w:t>
      </w:r>
      <w:r w:rsidRPr="00A50E4D">
        <w:rPr>
          <w:szCs w:val="20"/>
          <w:lang w:val="en-US"/>
        </w:rPr>
        <w:t>.</w:t>
      </w:r>
      <w:r w:rsidR="005472DB" w:rsidRPr="00A50E4D">
        <w:rPr>
          <w:rStyle w:val="FootnoteReference"/>
          <w:sz w:val="20"/>
          <w:szCs w:val="20"/>
          <w:lang w:val="en-US"/>
        </w:rPr>
        <w:footnoteReference w:id="348"/>
      </w:r>
      <w:r w:rsidR="005472DB" w:rsidRPr="00A50E4D">
        <w:rPr>
          <w:szCs w:val="20"/>
          <w:lang w:val="en-US"/>
        </w:rPr>
        <w:t xml:space="preserve">  </w:t>
      </w:r>
    </w:p>
    <w:p w14:paraId="23A848E3" w14:textId="77777777" w:rsidR="005472DB" w:rsidRPr="00A50E4D" w:rsidRDefault="005472DB" w:rsidP="005472DB">
      <w:pPr>
        <w:tabs>
          <w:tab w:val="left" w:pos="0"/>
          <w:tab w:val="left" w:pos="567"/>
        </w:tabs>
        <w:rPr>
          <w:spacing w:val="-4"/>
          <w:szCs w:val="20"/>
          <w:lang w:val="en-US"/>
        </w:rPr>
      </w:pPr>
    </w:p>
    <w:p w14:paraId="0A00DF1F" w14:textId="06C3CC44" w:rsidR="005472DB" w:rsidRPr="00A50E4D" w:rsidRDefault="000C6A77" w:rsidP="000C6A77">
      <w:pPr>
        <w:pStyle w:val="PrrafodeSentencia"/>
        <w:rPr>
          <w:szCs w:val="20"/>
          <w:lang w:val="en-US"/>
        </w:rPr>
      </w:pPr>
      <w:bookmarkStart w:id="293" w:name="_Ref427855519"/>
      <w:r w:rsidRPr="00A50E4D">
        <w:rPr>
          <w:szCs w:val="20"/>
          <w:lang w:val="en-US"/>
        </w:rPr>
        <w:t xml:space="preserve">Among the relevant features of tenure, </w:t>
      </w:r>
      <w:r w:rsidR="00B94C31" w:rsidRPr="00A50E4D">
        <w:rPr>
          <w:szCs w:val="20"/>
          <w:lang w:val="en-US"/>
        </w:rPr>
        <w:t>the United Nations Basic Principles</w:t>
      </w:r>
      <w:r w:rsidR="00CB360D" w:rsidRPr="00A50E4D">
        <w:rPr>
          <w:szCs w:val="20"/>
          <w:lang w:val="en-US"/>
        </w:rPr>
        <w:t xml:space="preserve"> </w:t>
      </w:r>
      <w:r w:rsidR="00EA5E90" w:rsidRPr="00A50E4D">
        <w:rPr>
          <w:szCs w:val="20"/>
          <w:lang w:val="en-US"/>
        </w:rPr>
        <w:t>establish</w:t>
      </w:r>
      <w:r w:rsidRPr="00A50E4D">
        <w:rPr>
          <w:szCs w:val="20"/>
          <w:lang w:val="en-US"/>
        </w:rPr>
        <w:t xml:space="preserve"> that</w:t>
      </w:r>
      <w:r w:rsidR="00CB360D" w:rsidRPr="00A50E4D">
        <w:rPr>
          <w:szCs w:val="20"/>
          <w:lang w:val="en-US"/>
        </w:rPr>
        <w:t xml:space="preserve"> “[t]</w:t>
      </w:r>
      <w:r w:rsidR="00CB360D" w:rsidRPr="00A50E4D">
        <w:rPr>
          <w:lang w:val="en-US"/>
        </w:rPr>
        <w:t>he term of office of judges, their independence, security, adequate remuneration, conditions of service, pensions and the age of retirement shall be adequately secured by law,</w:t>
      </w:r>
      <w:r w:rsidR="005472DB" w:rsidRPr="00A50E4D">
        <w:rPr>
          <w:szCs w:val="20"/>
          <w:lang w:val="en-US"/>
        </w:rPr>
        <w:t>”</w:t>
      </w:r>
      <w:r w:rsidR="005472DB" w:rsidRPr="00A50E4D">
        <w:rPr>
          <w:rStyle w:val="FootnoteReference"/>
          <w:sz w:val="20"/>
          <w:szCs w:val="20"/>
          <w:lang w:val="en-US"/>
        </w:rPr>
        <w:footnoteReference w:id="349"/>
      </w:r>
      <w:r w:rsidRPr="00A50E4D">
        <w:rPr>
          <w:szCs w:val="20"/>
          <w:lang w:val="en-US"/>
        </w:rPr>
        <w:t xml:space="preserve"> and also that</w:t>
      </w:r>
      <w:r w:rsidR="005472DB" w:rsidRPr="00A50E4D">
        <w:rPr>
          <w:szCs w:val="20"/>
          <w:lang w:val="en-US"/>
        </w:rPr>
        <w:t xml:space="preserve"> “</w:t>
      </w:r>
      <w:r w:rsidR="00CB360D" w:rsidRPr="00A50E4D">
        <w:rPr>
          <w:szCs w:val="20"/>
          <w:lang w:val="en-US"/>
        </w:rPr>
        <w:t>[j</w:t>
      </w:r>
      <w:r w:rsidR="005472DB" w:rsidRPr="00A50E4D">
        <w:rPr>
          <w:szCs w:val="20"/>
          <w:lang w:val="en-US"/>
        </w:rPr>
        <w:t>]</w:t>
      </w:r>
      <w:r w:rsidR="00CB360D" w:rsidRPr="00A50E4D">
        <w:rPr>
          <w:lang w:val="en-US"/>
        </w:rPr>
        <w:t>udges, whether appointed or elected, shall have guaranteed tenure until a mandatory retirement age or the expiry of their term of office, where such exists.</w:t>
      </w:r>
      <w:r w:rsidR="005472DB" w:rsidRPr="00A50E4D">
        <w:rPr>
          <w:szCs w:val="20"/>
          <w:lang w:val="en-US"/>
        </w:rPr>
        <w:t>”</w:t>
      </w:r>
      <w:r w:rsidR="005472DB" w:rsidRPr="00A50E4D">
        <w:rPr>
          <w:rStyle w:val="FootnoteReference"/>
          <w:sz w:val="20"/>
          <w:szCs w:val="20"/>
          <w:lang w:val="en-US" w:eastAsia="es-CL"/>
        </w:rPr>
        <w:footnoteReference w:id="350"/>
      </w:r>
      <w:bookmarkEnd w:id="292"/>
      <w:r w:rsidR="005472DB" w:rsidRPr="00A50E4D">
        <w:rPr>
          <w:szCs w:val="20"/>
          <w:lang w:val="en-US"/>
        </w:rPr>
        <w:t xml:space="preserve"> </w:t>
      </w:r>
      <w:r w:rsidRPr="00A50E4D">
        <w:rPr>
          <w:szCs w:val="20"/>
          <w:lang w:val="en-US"/>
        </w:rPr>
        <w:t>In addition,</w:t>
      </w:r>
      <w:r w:rsidR="005472DB" w:rsidRPr="00A50E4D">
        <w:rPr>
          <w:rStyle w:val="FootnoteReference"/>
          <w:sz w:val="20"/>
          <w:szCs w:val="20"/>
          <w:lang w:val="en-US" w:eastAsia="ko-KR"/>
        </w:rPr>
        <w:t xml:space="preserve"> </w:t>
      </w:r>
      <w:r w:rsidR="00B94C31" w:rsidRPr="00A50E4D">
        <w:rPr>
          <w:rFonts w:cs="Arial"/>
          <w:szCs w:val="20"/>
          <w:lang w:val="en-US" w:eastAsia="ko-KR"/>
        </w:rPr>
        <w:t>the Human Rights Committee</w:t>
      </w:r>
      <w:r w:rsidR="00FF35A9" w:rsidRPr="00A50E4D">
        <w:rPr>
          <w:rFonts w:cs="Arial"/>
          <w:szCs w:val="20"/>
          <w:lang w:val="en-US" w:eastAsia="ko-KR"/>
        </w:rPr>
        <w:t xml:space="preserve"> of the </w:t>
      </w:r>
      <w:r w:rsidR="000A786A" w:rsidRPr="00A50E4D">
        <w:rPr>
          <w:rFonts w:cs="Arial"/>
          <w:szCs w:val="20"/>
          <w:lang w:val="en-US" w:eastAsia="ko-KR"/>
        </w:rPr>
        <w:t>International Covenant on</w:t>
      </w:r>
      <w:r w:rsidR="00B94C31" w:rsidRPr="00A50E4D">
        <w:rPr>
          <w:rFonts w:cs="Arial"/>
          <w:szCs w:val="20"/>
          <w:lang w:val="en-US" w:eastAsia="ko-KR"/>
        </w:rPr>
        <w:t xml:space="preserve"> Civil and Political Rights</w:t>
      </w:r>
      <w:r w:rsidR="005472DB" w:rsidRPr="00A50E4D">
        <w:rPr>
          <w:rFonts w:cs="Arial"/>
          <w:szCs w:val="20"/>
          <w:lang w:val="en-US" w:eastAsia="ko-KR"/>
        </w:rPr>
        <w:t xml:space="preserve"> </w:t>
      </w:r>
      <w:r w:rsidR="00036EC7" w:rsidRPr="00A50E4D">
        <w:rPr>
          <w:rFonts w:cs="Arial"/>
          <w:szCs w:val="20"/>
          <w:lang w:val="en-US" w:eastAsia="ko-KR"/>
        </w:rPr>
        <w:t>(</w:t>
      </w:r>
      <w:r w:rsidR="009808C5" w:rsidRPr="00A50E4D">
        <w:rPr>
          <w:rFonts w:cs="Arial"/>
          <w:szCs w:val="20"/>
          <w:lang w:val="en-US" w:eastAsia="ko-KR"/>
        </w:rPr>
        <w:t>hereinafter</w:t>
      </w:r>
      <w:r w:rsidR="00036EC7" w:rsidRPr="00A50E4D">
        <w:rPr>
          <w:rFonts w:cs="Arial"/>
          <w:szCs w:val="20"/>
          <w:lang w:val="en-US" w:eastAsia="ko-KR"/>
        </w:rPr>
        <w:t xml:space="preserve"> “</w:t>
      </w:r>
      <w:r w:rsidR="00B94C31" w:rsidRPr="00A50E4D">
        <w:rPr>
          <w:rFonts w:cs="Arial"/>
          <w:szCs w:val="20"/>
          <w:lang w:val="en-US" w:eastAsia="ko-KR"/>
        </w:rPr>
        <w:t>the Human Rights Committee</w:t>
      </w:r>
      <w:r w:rsidR="00036EC7" w:rsidRPr="00A50E4D">
        <w:rPr>
          <w:rFonts w:cs="Arial"/>
          <w:szCs w:val="20"/>
          <w:lang w:val="en-US" w:eastAsia="ko-KR"/>
        </w:rPr>
        <w:t xml:space="preserve">”) </w:t>
      </w:r>
      <w:r w:rsidR="005472DB" w:rsidRPr="00A50E4D">
        <w:rPr>
          <w:rFonts w:cs="Arial"/>
          <w:szCs w:val="20"/>
          <w:lang w:val="en-US" w:eastAsia="ko-KR"/>
        </w:rPr>
        <w:t>ha</w:t>
      </w:r>
      <w:r w:rsidRPr="00A50E4D">
        <w:rPr>
          <w:rFonts w:cs="Arial"/>
          <w:szCs w:val="20"/>
          <w:lang w:val="en-US" w:eastAsia="ko-KR"/>
        </w:rPr>
        <w:t xml:space="preserve">s indicated that “[j]udges may be dismissed </w:t>
      </w:r>
      <w:r w:rsidRPr="00A50E4D">
        <w:rPr>
          <w:lang w:val="en-US"/>
        </w:rPr>
        <w:t>only on serious grounds of misconduct or incompetence, in accordance with fair procedures ensuring objectivity and impartiality set out in the constitution or the law.”</w:t>
      </w:r>
      <w:bookmarkStart w:id="294" w:name="_Ref231264915"/>
      <w:r w:rsidR="005472DB" w:rsidRPr="00A50E4D">
        <w:rPr>
          <w:rStyle w:val="FootnoteReference"/>
          <w:sz w:val="20"/>
          <w:szCs w:val="20"/>
          <w:lang w:val="en-US" w:eastAsia="ko-KR"/>
        </w:rPr>
        <w:footnoteReference w:id="351"/>
      </w:r>
      <w:bookmarkEnd w:id="294"/>
      <w:r w:rsidRPr="00A50E4D">
        <w:rPr>
          <w:rFonts w:cs="Arial"/>
          <w:szCs w:val="20"/>
          <w:lang w:val="en-US" w:eastAsia="ko-KR"/>
        </w:rPr>
        <w:t xml:space="preserve"> This Court has adhered to these Principles and has affirmed that the authority responsible for the proce</w:t>
      </w:r>
      <w:r w:rsidR="00017B6F" w:rsidRPr="00A50E4D">
        <w:rPr>
          <w:rFonts w:cs="Arial"/>
          <w:szCs w:val="20"/>
          <w:lang w:val="en-US" w:eastAsia="ko-KR"/>
        </w:rPr>
        <w:t>dure</w:t>
      </w:r>
      <w:r w:rsidRPr="00A50E4D">
        <w:rPr>
          <w:rFonts w:cs="Arial"/>
          <w:szCs w:val="20"/>
          <w:lang w:val="en-US" w:eastAsia="ko-KR"/>
        </w:rPr>
        <w:t xml:space="preserve"> to dismiss a judge must conduct itself with independence and impartiality in the </w:t>
      </w:r>
      <w:r w:rsidRPr="00A50E4D">
        <w:rPr>
          <w:szCs w:val="20"/>
          <w:lang w:val="en-US"/>
        </w:rPr>
        <w:t>procedure established for this purpose, and permit the exercise of the right of defense.</w:t>
      </w:r>
      <w:r w:rsidR="005472DB" w:rsidRPr="00A50E4D">
        <w:rPr>
          <w:rStyle w:val="FootnoteReference"/>
          <w:sz w:val="20"/>
          <w:szCs w:val="20"/>
          <w:lang w:val="en-US"/>
        </w:rPr>
        <w:footnoteReference w:id="352"/>
      </w:r>
      <w:r w:rsidRPr="00A50E4D">
        <w:rPr>
          <w:szCs w:val="20"/>
          <w:lang w:val="en-US"/>
        </w:rPr>
        <w:t xml:space="preserve"> This is because the free rem</w:t>
      </w:r>
      <w:r w:rsidR="00017B6F" w:rsidRPr="00A50E4D">
        <w:rPr>
          <w:szCs w:val="20"/>
          <w:lang w:val="en-US"/>
        </w:rPr>
        <w:t>oval of judges gives rise to</w:t>
      </w:r>
      <w:r w:rsidRPr="00A50E4D">
        <w:rPr>
          <w:szCs w:val="20"/>
          <w:lang w:val="en-US"/>
        </w:rPr>
        <w:t xml:space="preserve"> objective concern</w:t>
      </w:r>
      <w:r w:rsidR="00017B6F" w:rsidRPr="00A50E4D">
        <w:rPr>
          <w:szCs w:val="20"/>
          <w:lang w:val="en-US"/>
        </w:rPr>
        <w:t>s</w:t>
      </w:r>
      <w:r w:rsidRPr="00A50E4D">
        <w:rPr>
          <w:szCs w:val="20"/>
          <w:lang w:val="en-US"/>
        </w:rPr>
        <w:t xml:space="preserve"> about the </w:t>
      </w:r>
      <w:r w:rsidR="00017B6F" w:rsidRPr="00A50E4D">
        <w:rPr>
          <w:szCs w:val="20"/>
          <w:lang w:val="en-US"/>
        </w:rPr>
        <w:t>real</w:t>
      </w:r>
      <w:r w:rsidRPr="00A50E4D">
        <w:rPr>
          <w:szCs w:val="20"/>
          <w:lang w:val="en-US"/>
        </w:rPr>
        <w:t xml:space="preserve"> possibility of judges deciding specific </w:t>
      </w:r>
      <w:r w:rsidR="000A786A" w:rsidRPr="00A50E4D">
        <w:rPr>
          <w:szCs w:val="20"/>
          <w:lang w:val="en-US"/>
        </w:rPr>
        <w:t>disputes</w:t>
      </w:r>
      <w:r w:rsidRPr="00A50E4D">
        <w:rPr>
          <w:szCs w:val="20"/>
          <w:lang w:val="en-US"/>
        </w:rPr>
        <w:t xml:space="preserve"> without fear of reprisals.</w:t>
      </w:r>
      <w:r w:rsidR="005472DB" w:rsidRPr="00A50E4D">
        <w:rPr>
          <w:rStyle w:val="FootnoteReference"/>
          <w:sz w:val="20"/>
          <w:szCs w:val="20"/>
          <w:lang w:val="en-US"/>
        </w:rPr>
        <w:footnoteReference w:id="353"/>
      </w:r>
      <w:bookmarkStart w:id="295" w:name="_Toc292499777"/>
      <w:bookmarkStart w:id="296" w:name="_Toc292547225"/>
      <w:bookmarkStart w:id="297" w:name="_Toc292650530"/>
      <w:bookmarkStart w:id="298" w:name="_Toc292651629"/>
      <w:bookmarkEnd w:id="293"/>
    </w:p>
    <w:p w14:paraId="5E7C53A5" w14:textId="77777777" w:rsidR="005472DB" w:rsidRPr="00A50E4D" w:rsidRDefault="005472DB" w:rsidP="005472DB">
      <w:pPr>
        <w:tabs>
          <w:tab w:val="left" w:pos="0"/>
          <w:tab w:val="left" w:pos="567"/>
        </w:tabs>
        <w:rPr>
          <w:spacing w:val="-4"/>
          <w:szCs w:val="20"/>
          <w:lang w:val="en-US"/>
        </w:rPr>
      </w:pPr>
    </w:p>
    <w:p w14:paraId="62A1C14C" w14:textId="0886ACFE" w:rsidR="005472DB" w:rsidRPr="00A50E4D" w:rsidRDefault="005472DB" w:rsidP="00CB360D">
      <w:pPr>
        <w:pStyle w:val="PrrafodeSentencia"/>
        <w:rPr>
          <w:szCs w:val="20"/>
          <w:lang w:val="en-US"/>
        </w:rPr>
      </w:pPr>
      <w:bookmarkStart w:id="299" w:name="_Ref427855526"/>
      <w:r w:rsidRPr="00A50E4D">
        <w:rPr>
          <w:szCs w:val="20"/>
          <w:lang w:val="en-US"/>
        </w:rPr>
        <w:t>Re</w:t>
      </w:r>
      <w:r w:rsidR="00B94C31" w:rsidRPr="00A50E4D">
        <w:rPr>
          <w:szCs w:val="20"/>
          <w:lang w:val="en-US"/>
        </w:rPr>
        <w:t>garding the guarantee against external pressures</w:t>
      </w:r>
      <w:r w:rsidRPr="00A50E4D">
        <w:rPr>
          <w:szCs w:val="20"/>
          <w:lang w:val="en-US"/>
        </w:rPr>
        <w:t xml:space="preserve">, </w:t>
      </w:r>
      <w:bookmarkEnd w:id="295"/>
      <w:bookmarkEnd w:id="296"/>
      <w:bookmarkEnd w:id="297"/>
      <w:bookmarkEnd w:id="298"/>
      <w:r w:rsidR="00CB360D" w:rsidRPr="00A50E4D">
        <w:rPr>
          <w:szCs w:val="20"/>
          <w:lang w:val="en-US"/>
        </w:rPr>
        <w:t>the United Nations Basic Principles</w:t>
      </w:r>
      <w:r w:rsidRPr="00A50E4D">
        <w:rPr>
          <w:szCs w:val="20"/>
          <w:lang w:val="en-US"/>
        </w:rPr>
        <w:t xml:space="preserve"> </w:t>
      </w:r>
      <w:r w:rsidR="00B94C31" w:rsidRPr="00A50E4D">
        <w:rPr>
          <w:szCs w:val="20"/>
          <w:lang w:val="en-US"/>
        </w:rPr>
        <w:t>provides that:</w:t>
      </w:r>
      <w:r w:rsidRPr="00A50E4D">
        <w:rPr>
          <w:szCs w:val="20"/>
          <w:lang w:val="en-US"/>
        </w:rPr>
        <w:t xml:space="preserve"> </w:t>
      </w:r>
      <w:r w:rsidR="00B94C31" w:rsidRPr="00A50E4D">
        <w:rPr>
          <w:szCs w:val="20"/>
          <w:lang w:val="en-US"/>
        </w:rPr>
        <w:t>“</w:t>
      </w:r>
      <w:r w:rsidR="00CB360D" w:rsidRPr="00A50E4D">
        <w:rPr>
          <w:lang w:val="en-US"/>
        </w:rPr>
        <w:t>[t]he Judiciary shall decide matters before them impartially, on the basis of facts and in accordance with the law, without any restrictions, improper influences, inducements, pressures, threats or interferences, direct or indirect, from any quarter or for any reason.</w:t>
      </w:r>
      <w:r w:rsidRPr="00A50E4D">
        <w:rPr>
          <w:szCs w:val="20"/>
          <w:lang w:val="en-US"/>
        </w:rPr>
        <w:t>”</w:t>
      </w:r>
      <w:r w:rsidRPr="00A50E4D">
        <w:rPr>
          <w:rStyle w:val="FootnoteReference"/>
          <w:sz w:val="20"/>
          <w:szCs w:val="20"/>
          <w:lang w:val="en-US"/>
        </w:rPr>
        <w:footnoteReference w:id="354"/>
      </w:r>
      <w:r w:rsidRPr="00A50E4D">
        <w:rPr>
          <w:szCs w:val="20"/>
          <w:lang w:val="en-US"/>
        </w:rPr>
        <w:t xml:space="preserve"> </w:t>
      </w:r>
      <w:r w:rsidR="00B94C31" w:rsidRPr="00A50E4D">
        <w:rPr>
          <w:szCs w:val="20"/>
          <w:lang w:val="en-US"/>
        </w:rPr>
        <w:t xml:space="preserve">In addition, the </w:t>
      </w:r>
      <w:r w:rsidR="00CB360D" w:rsidRPr="00A50E4D">
        <w:rPr>
          <w:szCs w:val="20"/>
          <w:lang w:val="en-US"/>
        </w:rPr>
        <w:t xml:space="preserve">Principles </w:t>
      </w:r>
      <w:r w:rsidR="00EA5E90" w:rsidRPr="00A50E4D">
        <w:rPr>
          <w:szCs w:val="20"/>
          <w:lang w:val="en-US"/>
        </w:rPr>
        <w:t>establish</w:t>
      </w:r>
      <w:r w:rsidR="00B94C31" w:rsidRPr="00A50E4D">
        <w:rPr>
          <w:szCs w:val="20"/>
          <w:lang w:val="en-US"/>
        </w:rPr>
        <w:t xml:space="preserve"> that: </w:t>
      </w:r>
      <w:r w:rsidR="00CB360D" w:rsidRPr="00A50E4D">
        <w:rPr>
          <w:szCs w:val="20"/>
          <w:lang w:val="en-US"/>
        </w:rPr>
        <w:t>“[t]</w:t>
      </w:r>
      <w:r w:rsidR="00CB360D" w:rsidRPr="00A50E4D">
        <w:rPr>
          <w:lang w:val="en-US"/>
        </w:rPr>
        <w:t>here shall not be any inappropriate or unwarranted interference with the judicial process.</w:t>
      </w:r>
      <w:r w:rsidRPr="00A50E4D">
        <w:rPr>
          <w:szCs w:val="20"/>
          <w:lang w:val="en-US"/>
        </w:rPr>
        <w:t>”</w:t>
      </w:r>
      <w:r w:rsidRPr="00A50E4D">
        <w:rPr>
          <w:rStyle w:val="FootnoteReference"/>
          <w:sz w:val="20"/>
          <w:szCs w:val="20"/>
          <w:lang w:val="en-US"/>
        </w:rPr>
        <w:footnoteReference w:id="355"/>
      </w:r>
      <w:bookmarkEnd w:id="299"/>
      <w:r w:rsidRPr="00A50E4D">
        <w:rPr>
          <w:szCs w:val="20"/>
          <w:lang w:val="en-US"/>
        </w:rPr>
        <w:t xml:space="preserve"> </w:t>
      </w:r>
      <w:bookmarkStart w:id="300" w:name="_Ref230079243"/>
    </w:p>
    <w:bookmarkEnd w:id="300"/>
    <w:p w14:paraId="72817113" w14:textId="77777777" w:rsidR="005472DB" w:rsidRPr="00A50E4D" w:rsidRDefault="005472DB" w:rsidP="005472DB">
      <w:pPr>
        <w:tabs>
          <w:tab w:val="left" w:pos="0"/>
          <w:tab w:val="left" w:pos="567"/>
        </w:tabs>
        <w:rPr>
          <w:rFonts w:cs="Arial"/>
          <w:bCs/>
          <w:iCs/>
          <w:spacing w:val="-4"/>
          <w:szCs w:val="20"/>
          <w:lang w:val="en-US"/>
        </w:rPr>
      </w:pPr>
    </w:p>
    <w:p w14:paraId="6ADBD864" w14:textId="36713133" w:rsidR="005472DB" w:rsidRPr="00A50E4D" w:rsidRDefault="00B94C31" w:rsidP="005472DB">
      <w:pPr>
        <w:pStyle w:val="PrrafodeSentencia"/>
        <w:rPr>
          <w:szCs w:val="20"/>
          <w:lang w:val="en-US"/>
        </w:rPr>
      </w:pPr>
      <w:bookmarkStart w:id="301" w:name="_Ref427855558"/>
      <w:r w:rsidRPr="00A50E4D">
        <w:rPr>
          <w:szCs w:val="20"/>
          <w:lang w:val="en-US"/>
        </w:rPr>
        <w:t>One of the essential compon</w:t>
      </w:r>
      <w:r w:rsidR="00017B6F" w:rsidRPr="00A50E4D">
        <w:rPr>
          <w:szCs w:val="20"/>
          <w:lang w:val="en-US"/>
        </w:rPr>
        <w:t>ents of the guarantee of tenure for</w:t>
      </w:r>
      <w:r w:rsidRPr="00A50E4D">
        <w:rPr>
          <w:szCs w:val="20"/>
          <w:lang w:val="en-US"/>
        </w:rPr>
        <w:t xml:space="preserve"> judges is that they may only be dismissed for conducts that are clearly </w:t>
      </w:r>
      <w:r w:rsidR="009202FA" w:rsidRPr="00A50E4D">
        <w:rPr>
          <w:szCs w:val="20"/>
          <w:lang w:val="en-US"/>
        </w:rPr>
        <w:t>inexcusable</w:t>
      </w:r>
      <w:r w:rsidRPr="00A50E4D">
        <w:rPr>
          <w:szCs w:val="20"/>
          <w:lang w:val="en-US"/>
        </w:rPr>
        <w:t>. In its</w:t>
      </w:r>
      <w:r w:rsidR="005472DB" w:rsidRPr="00A50E4D">
        <w:rPr>
          <w:szCs w:val="20"/>
          <w:lang w:val="en-US"/>
        </w:rPr>
        <w:t xml:space="preserve"> General </w:t>
      </w:r>
      <w:r w:rsidRPr="00A50E4D">
        <w:rPr>
          <w:szCs w:val="20"/>
          <w:lang w:val="en-US"/>
        </w:rPr>
        <w:t xml:space="preserve">Comment </w:t>
      </w:r>
      <w:r w:rsidR="005472DB" w:rsidRPr="00A50E4D">
        <w:rPr>
          <w:szCs w:val="20"/>
          <w:lang w:val="en-US"/>
        </w:rPr>
        <w:t xml:space="preserve">No. 32, </w:t>
      </w:r>
      <w:r w:rsidRPr="00A50E4D">
        <w:rPr>
          <w:szCs w:val="20"/>
          <w:lang w:val="en-US"/>
        </w:rPr>
        <w:t>the Human Rights Committee</w:t>
      </w:r>
      <w:r w:rsidR="005472DB" w:rsidRPr="00A50E4D">
        <w:rPr>
          <w:szCs w:val="20"/>
          <w:lang w:val="en-US"/>
        </w:rPr>
        <w:t xml:space="preserve"> establ</w:t>
      </w:r>
      <w:r w:rsidRPr="00A50E4D">
        <w:rPr>
          <w:szCs w:val="20"/>
          <w:lang w:val="en-US"/>
        </w:rPr>
        <w:t xml:space="preserve">ished that </w:t>
      </w:r>
      <w:r w:rsidR="000C6A77" w:rsidRPr="00A50E4D">
        <w:rPr>
          <w:szCs w:val="20"/>
          <w:lang w:val="en-US"/>
        </w:rPr>
        <w:t>“</w:t>
      </w:r>
      <w:r w:rsidRPr="00A50E4D">
        <w:rPr>
          <w:szCs w:val="20"/>
          <w:lang w:val="en-US"/>
        </w:rPr>
        <w:t xml:space="preserve">judges </w:t>
      </w:r>
      <w:r w:rsidR="000C6A77" w:rsidRPr="00A50E4D">
        <w:rPr>
          <w:rFonts w:cs="Arial"/>
          <w:szCs w:val="20"/>
          <w:lang w:val="en-US" w:eastAsia="ko-KR"/>
        </w:rPr>
        <w:t xml:space="preserve">may be dismissed </w:t>
      </w:r>
      <w:r w:rsidR="000C6A77" w:rsidRPr="00A50E4D">
        <w:rPr>
          <w:lang w:val="en-US"/>
        </w:rPr>
        <w:t>only on serious grounds of misconduct or incompetence.</w:t>
      </w:r>
      <w:r w:rsidR="005472DB" w:rsidRPr="00A50E4D">
        <w:rPr>
          <w:rStyle w:val="FootnoteReference"/>
          <w:sz w:val="20"/>
          <w:szCs w:val="20"/>
          <w:lang w:val="en-US"/>
        </w:rPr>
        <w:footnoteReference w:id="356"/>
      </w:r>
      <w:r w:rsidR="005472DB" w:rsidRPr="00A50E4D">
        <w:rPr>
          <w:szCs w:val="20"/>
          <w:lang w:val="en-US"/>
        </w:rPr>
        <w:t xml:space="preserve"> </w:t>
      </w:r>
      <w:r w:rsidRPr="00A50E4D">
        <w:rPr>
          <w:szCs w:val="20"/>
          <w:lang w:val="en-US"/>
        </w:rPr>
        <w:t xml:space="preserve">Furthermore, the Basic Principles stipulate the following with regard to </w:t>
      </w:r>
      <w:r w:rsidR="009202FA" w:rsidRPr="00A50E4D">
        <w:rPr>
          <w:szCs w:val="20"/>
          <w:lang w:val="en-US"/>
        </w:rPr>
        <w:t>discipline</w:t>
      </w:r>
      <w:r w:rsidRPr="00A50E4D">
        <w:rPr>
          <w:szCs w:val="20"/>
          <w:lang w:val="en-US"/>
        </w:rPr>
        <w:t>, suspension and removal</w:t>
      </w:r>
      <w:r w:rsidR="005472DB" w:rsidRPr="00A50E4D">
        <w:rPr>
          <w:szCs w:val="20"/>
          <w:lang w:val="en-US"/>
        </w:rPr>
        <w:t>:</w:t>
      </w:r>
      <w:bookmarkEnd w:id="301"/>
    </w:p>
    <w:p w14:paraId="0F096326" w14:textId="77777777" w:rsidR="005472DB" w:rsidRPr="00A50E4D" w:rsidRDefault="005472DB" w:rsidP="00CB360D">
      <w:pPr>
        <w:widowControl w:val="0"/>
        <w:tabs>
          <w:tab w:val="num" w:pos="0"/>
        </w:tabs>
        <w:autoSpaceDE w:val="0"/>
        <w:autoSpaceDN w:val="0"/>
        <w:adjustRightInd w:val="0"/>
        <w:rPr>
          <w:rFonts w:cs="Arial"/>
          <w:bCs/>
          <w:iCs/>
          <w:spacing w:val="-4"/>
          <w:lang w:val="en-US"/>
        </w:rPr>
      </w:pPr>
    </w:p>
    <w:p w14:paraId="1C1F6D11" w14:textId="2156343A" w:rsidR="00CB360D" w:rsidRPr="00A50E4D" w:rsidRDefault="00CB360D" w:rsidP="00CB360D">
      <w:pPr>
        <w:pStyle w:val="NormalWeb"/>
        <w:spacing w:before="0" w:beforeAutospacing="0" w:after="0" w:afterAutospacing="0"/>
        <w:ind w:left="720" w:right="746"/>
        <w:jc w:val="both"/>
        <w:rPr>
          <w:rFonts w:ascii="Verdana" w:hAnsi="Verdana"/>
          <w:sz w:val="16"/>
          <w:szCs w:val="16"/>
        </w:rPr>
      </w:pPr>
      <w:r w:rsidRPr="00A50E4D">
        <w:rPr>
          <w:rFonts w:ascii="Verdana" w:hAnsi="Verdana"/>
          <w:sz w:val="16"/>
          <w:szCs w:val="16"/>
        </w:rPr>
        <w:t xml:space="preserve">17. A charge or complaint made against a judge in his/her judicial and professional capacity shall be processed expeditiously and fairly under an appropriate procedure. The judge shall have the right to a fair hearing. The examination of the matter at its initial stage shall be kept confidential, unless otherwise requested by the judge. </w:t>
      </w:r>
    </w:p>
    <w:p w14:paraId="031E524A" w14:textId="77777777" w:rsidR="00CB360D" w:rsidRPr="00A50E4D" w:rsidRDefault="00CB360D" w:rsidP="00CB360D">
      <w:pPr>
        <w:pStyle w:val="NormalWeb"/>
        <w:spacing w:before="0" w:beforeAutospacing="0" w:after="0" w:afterAutospacing="0"/>
        <w:ind w:left="720" w:right="746"/>
        <w:jc w:val="both"/>
        <w:rPr>
          <w:rFonts w:ascii="Verdana" w:hAnsi="Verdana"/>
          <w:sz w:val="16"/>
          <w:szCs w:val="16"/>
        </w:rPr>
      </w:pPr>
    </w:p>
    <w:p w14:paraId="7CA7D593" w14:textId="77777777" w:rsidR="00CB360D" w:rsidRPr="00A50E4D" w:rsidRDefault="00CB360D" w:rsidP="00CB360D">
      <w:pPr>
        <w:pStyle w:val="NormalWeb"/>
        <w:spacing w:before="0" w:beforeAutospacing="0" w:after="0" w:afterAutospacing="0"/>
        <w:ind w:left="720" w:right="746"/>
        <w:jc w:val="both"/>
        <w:rPr>
          <w:rFonts w:ascii="Verdana" w:hAnsi="Verdana"/>
          <w:sz w:val="16"/>
          <w:szCs w:val="16"/>
        </w:rPr>
      </w:pPr>
      <w:r w:rsidRPr="00A50E4D">
        <w:rPr>
          <w:rFonts w:ascii="Verdana" w:hAnsi="Verdana"/>
          <w:sz w:val="16"/>
          <w:szCs w:val="16"/>
        </w:rPr>
        <w:t xml:space="preserve">18. Judges shall be subject to suspension or removal only for reasons of incapacity or behaviour that renders them unfit to discharge their duties. </w:t>
      </w:r>
    </w:p>
    <w:p w14:paraId="3D47A3B8" w14:textId="77777777" w:rsidR="00CB360D" w:rsidRPr="00A50E4D" w:rsidRDefault="00CB360D" w:rsidP="00CB360D">
      <w:pPr>
        <w:pStyle w:val="NormalWeb"/>
        <w:spacing w:before="0" w:beforeAutospacing="0" w:after="0" w:afterAutospacing="0"/>
        <w:ind w:left="720" w:right="746"/>
        <w:jc w:val="both"/>
        <w:rPr>
          <w:rFonts w:ascii="Verdana" w:hAnsi="Verdana"/>
          <w:sz w:val="16"/>
          <w:szCs w:val="16"/>
        </w:rPr>
      </w:pPr>
    </w:p>
    <w:p w14:paraId="3DA1BFC4" w14:textId="094B8B51" w:rsidR="005472DB" w:rsidRPr="00A50E4D" w:rsidRDefault="00CB360D" w:rsidP="00CB360D">
      <w:pPr>
        <w:pStyle w:val="NormalWeb"/>
        <w:spacing w:before="0" w:beforeAutospacing="0" w:after="0" w:afterAutospacing="0"/>
        <w:ind w:left="720" w:right="746"/>
        <w:jc w:val="both"/>
        <w:rPr>
          <w:rFonts w:ascii="Verdana" w:hAnsi="Verdana"/>
          <w:sz w:val="16"/>
          <w:szCs w:val="16"/>
        </w:rPr>
      </w:pPr>
      <w:r w:rsidRPr="00A50E4D">
        <w:rPr>
          <w:rFonts w:ascii="Verdana" w:hAnsi="Verdana"/>
          <w:sz w:val="16"/>
          <w:szCs w:val="16"/>
        </w:rPr>
        <w:t>19. All disciplinary, suspension or removal proceedings shall be determined in accordance with established standards of judicial conduct.</w:t>
      </w:r>
      <w:r w:rsidR="005472DB" w:rsidRPr="00A50E4D">
        <w:rPr>
          <w:rStyle w:val="FootnoteReference"/>
          <w:rFonts w:cs="Arial"/>
          <w:bCs/>
          <w:iCs/>
          <w:spacing w:val="-4"/>
        </w:rPr>
        <w:footnoteReference w:id="357"/>
      </w:r>
    </w:p>
    <w:p w14:paraId="0146A902" w14:textId="77777777" w:rsidR="005472DB" w:rsidRPr="00A50E4D" w:rsidRDefault="005472DB" w:rsidP="005472DB">
      <w:pPr>
        <w:widowControl w:val="0"/>
        <w:autoSpaceDE w:val="0"/>
        <w:autoSpaceDN w:val="0"/>
        <w:adjustRightInd w:val="0"/>
        <w:rPr>
          <w:spacing w:val="-4"/>
          <w:lang w:val="en-US"/>
        </w:rPr>
      </w:pPr>
    </w:p>
    <w:p w14:paraId="0ECE6D4C" w14:textId="2438C085" w:rsidR="005472DB" w:rsidRPr="00A50E4D" w:rsidRDefault="005472DB" w:rsidP="005472DB">
      <w:pPr>
        <w:pStyle w:val="PrrafodeSentencia"/>
        <w:rPr>
          <w:szCs w:val="20"/>
          <w:lang w:val="en-US"/>
        </w:rPr>
      </w:pPr>
      <w:bookmarkStart w:id="302" w:name="_Ref431543954"/>
      <w:bookmarkStart w:id="303" w:name="_Ref427855587"/>
      <w:r w:rsidRPr="00A50E4D">
        <w:rPr>
          <w:lang w:val="en-US"/>
        </w:rPr>
        <w:t>O</w:t>
      </w:r>
      <w:r w:rsidR="00F55E70" w:rsidRPr="00A50E4D">
        <w:rPr>
          <w:lang w:val="en-US"/>
        </w:rPr>
        <w:t xml:space="preserve">ther standards differentiate between the applicable sanctions. Tenure </w:t>
      </w:r>
      <w:r w:rsidR="00017B6F" w:rsidRPr="00A50E4D">
        <w:rPr>
          <w:lang w:val="en-US"/>
        </w:rPr>
        <w:t>implies</w:t>
      </w:r>
      <w:r w:rsidR="00F55E70" w:rsidRPr="00A50E4D">
        <w:rPr>
          <w:lang w:val="en-US"/>
        </w:rPr>
        <w:t xml:space="preserve"> that dismissal is due to </w:t>
      </w:r>
      <w:r w:rsidR="00017B6F" w:rsidRPr="00A50E4D">
        <w:rPr>
          <w:lang w:val="en-US"/>
        </w:rPr>
        <w:t>fairly</w:t>
      </w:r>
      <w:r w:rsidR="00F55E70" w:rsidRPr="00A50E4D">
        <w:rPr>
          <w:lang w:val="en-US"/>
        </w:rPr>
        <w:t xml:space="preserve"> serious conducts, while the other sanctions may be used in the case of negligence or inc</w:t>
      </w:r>
      <w:r w:rsidR="00017B6F" w:rsidRPr="00A50E4D">
        <w:rPr>
          <w:lang w:val="en-US"/>
        </w:rPr>
        <w:t>apacity</w:t>
      </w:r>
      <w:r w:rsidR="00F55E70" w:rsidRPr="00A50E4D">
        <w:rPr>
          <w:lang w:val="en-US"/>
        </w:rPr>
        <w:t>.</w:t>
      </w:r>
      <w:r w:rsidRPr="00A50E4D">
        <w:rPr>
          <w:rStyle w:val="FootnoteReference"/>
          <w:rFonts w:cs="Arial"/>
          <w:iCs/>
          <w:sz w:val="20"/>
          <w:szCs w:val="20"/>
          <w:lang w:val="en-US"/>
        </w:rPr>
        <w:footnoteReference w:id="358"/>
      </w:r>
      <w:bookmarkEnd w:id="302"/>
      <w:bookmarkEnd w:id="303"/>
    </w:p>
    <w:p w14:paraId="2043BF99" w14:textId="77777777" w:rsidR="005472DB" w:rsidRPr="00A50E4D" w:rsidRDefault="005472DB" w:rsidP="005472DB">
      <w:pPr>
        <w:rPr>
          <w:spacing w:val="-4"/>
          <w:szCs w:val="20"/>
          <w:lang w:val="en-US" w:eastAsia="es-MX"/>
        </w:rPr>
      </w:pPr>
    </w:p>
    <w:p w14:paraId="7A6AE316" w14:textId="657F4BCD" w:rsidR="00B94C31" w:rsidRPr="00A50E4D" w:rsidRDefault="00F55E70" w:rsidP="00B94C31">
      <w:pPr>
        <w:pStyle w:val="PrrafodeSentencia"/>
        <w:rPr>
          <w:szCs w:val="20"/>
          <w:lang w:val="en-US"/>
        </w:rPr>
      </w:pPr>
      <w:r w:rsidRPr="00A50E4D">
        <w:rPr>
          <w:szCs w:val="20"/>
          <w:lang w:val="en-US"/>
        </w:rPr>
        <w:t xml:space="preserve">Taking the above considerations into account, this Court </w:t>
      </w:r>
      <w:r w:rsidR="00EA5E90" w:rsidRPr="00A50E4D">
        <w:rPr>
          <w:szCs w:val="20"/>
          <w:lang w:val="en-US"/>
        </w:rPr>
        <w:t>establishes that</w:t>
      </w:r>
      <w:r w:rsidR="005472DB" w:rsidRPr="00A50E4D">
        <w:rPr>
          <w:szCs w:val="20"/>
          <w:lang w:val="en-US"/>
        </w:rPr>
        <w:t xml:space="preserve"> </w:t>
      </w:r>
      <w:r w:rsidRPr="00A50E4D">
        <w:rPr>
          <w:szCs w:val="20"/>
          <w:lang w:val="en-US"/>
        </w:rPr>
        <w:t xml:space="preserve">the guarantee of tenure for judges means that: </w:t>
      </w:r>
      <w:r w:rsidR="005472DB" w:rsidRPr="00A50E4D">
        <w:rPr>
          <w:szCs w:val="20"/>
          <w:lang w:val="en-US"/>
        </w:rPr>
        <w:t xml:space="preserve">(i) </w:t>
      </w:r>
      <w:r w:rsidRPr="00A50E4D">
        <w:rPr>
          <w:szCs w:val="20"/>
          <w:lang w:val="en-US"/>
        </w:rPr>
        <w:t xml:space="preserve">their </w:t>
      </w:r>
      <w:r w:rsidR="00984788" w:rsidRPr="00A50E4D">
        <w:rPr>
          <w:szCs w:val="20"/>
          <w:lang w:val="en-US"/>
        </w:rPr>
        <w:t xml:space="preserve">removal </w:t>
      </w:r>
      <w:r w:rsidRPr="00A50E4D">
        <w:rPr>
          <w:szCs w:val="20"/>
          <w:lang w:val="en-US"/>
        </w:rPr>
        <w:t>must be exclusively the result of the permitted reasons, either by means of a proce</w:t>
      </w:r>
      <w:r w:rsidR="00017B6F" w:rsidRPr="00A50E4D">
        <w:rPr>
          <w:szCs w:val="20"/>
          <w:lang w:val="en-US"/>
        </w:rPr>
        <w:t>dure that respects</w:t>
      </w:r>
      <w:r w:rsidRPr="00A50E4D">
        <w:rPr>
          <w:szCs w:val="20"/>
          <w:lang w:val="en-US"/>
        </w:rPr>
        <w:t xml:space="preserve"> </w:t>
      </w:r>
      <w:r w:rsidR="00371BB7" w:rsidRPr="00A50E4D">
        <w:rPr>
          <w:szCs w:val="20"/>
          <w:lang w:val="en-US"/>
        </w:rPr>
        <w:t>judicial guarantees</w:t>
      </w:r>
      <w:r w:rsidR="005472DB" w:rsidRPr="00A50E4D">
        <w:rPr>
          <w:szCs w:val="20"/>
          <w:lang w:val="en-US"/>
        </w:rPr>
        <w:t xml:space="preserve"> o</w:t>
      </w:r>
      <w:r w:rsidRPr="00A50E4D">
        <w:rPr>
          <w:szCs w:val="20"/>
          <w:lang w:val="en-US"/>
        </w:rPr>
        <w:t>r because their mandate has ended; (ii)</w:t>
      </w:r>
      <w:r w:rsidR="005472DB" w:rsidRPr="00A50E4D">
        <w:rPr>
          <w:lang w:val="en-US"/>
        </w:rPr>
        <w:t xml:space="preserve"> </w:t>
      </w:r>
      <w:r w:rsidR="009808C5" w:rsidRPr="00A50E4D">
        <w:rPr>
          <w:lang w:val="en-US"/>
        </w:rPr>
        <w:t xml:space="preserve">judges </w:t>
      </w:r>
      <w:r w:rsidRPr="00A50E4D">
        <w:rPr>
          <w:lang w:val="en-US"/>
        </w:rPr>
        <w:t>may only be dismissed owing to serious disciplinary offenses or incompetence;</w:t>
      </w:r>
      <w:r w:rsidR="005472DB" w:rsidRPr="00A50E4D">
        <w:rPr>
          <w:szCs w:val="20"/>
          <w:lang w:val="en-US"/>
        </w:rPr>
        <w:t xml:space="preserve"> (iii) </w:t>
      </w:r>
      <w:r w:rsidRPr="00A50E4D">
        <w:rPr>
          <w:szCs w:val="20"/>
          <w:lang w:val="en-US"/>
        </w:rPr>
        <w:t>any disciplinary proce</w:t>
      </w:r>
      <w:r w:rsidR="00017B6F" w:rsidRPr="00A50E4D">
        <w:rPr>
          <w:szCs w:val="20"/>
          <w:lang w:val="en-US"/>
        </w:rPr>
        <w:t>dure</w:t>
      </w:r>
      <w:r w:rsidRPr="00A50E4D">
        <w:rPr>
          <w:szCs w:val="20"/>
          <w:lang w:val="en-US"/>
        </w:rPr>
        <w:t xml:space="preserve"> against a judge must be decided in accordance with the established norms for judicial conduct in fair proceedings that ensure objectivity and impartiality pursuant to </w:t>
      </w:r>
      <w:r w:rsidR="00314E4B" w:rsidRPr="00A50E4D">
        <w:rPr>
          <w:rFonts w:cs="Arial"/>
          <w:szCs w:val="20"/>
          <w:lang w:val="en-US" w:eastAsia="ko-KR"/>
        </w:rPr>
        <w:t>the Constitution</w:t>
      </w:r>
      <w:r w:rsidR="005472DB" w:rsidRPr="00A50E4D">
        <w:rPr>
          <w:rFonts w:cs="Arial"/>
          <w:szCs w:val="20"/>
          <w:lang w:val="en-US" w:eastAsia="ko-KR"/>
        </w:rPr>
        <w:t xml:space="preserve"> </w:t>
      </w:r>
      <w:r w:rsidRPr="00A50E4D">
        <w:rPr>
          <w:rFonts w:cs="Arial"/>
          <w:szCs w:val="20"/>
          <w:lang w:val="en-US" w:eastAsia="ko-KR"/>
        </w:rPr>
        <w:t>or the law</w:t>
      </w:r>
      <w:r w:rsidR="005472DB" w:rsidRPr="00A50E4D">
        <w:rPr>
          <w:szCs w:val="20"/>
          <w:lang w:val="en-US"/>
        </w:rPr>
        <w:t xml:space="preserve"> (</w:t>
      </w:r>
      <w:r w:rsidR="005472DB" w:rsidRPr="00A50E4D">
        <w:rPr>
          <w:i/>
          <w:szCs w:val="20"/>
          <w:lang w:val="en-US"/>
        </w:rPr>
        <w:t>supra</w:t>
      </w:r>
      <w:r w:rsidR="005472DB" w:rsidRPr="00A50E4D">
        <w:rPr>
          <w:szCs w:val="20"/>
          <w:lang w:val="en-US"/>
        </w:rPr>
        <w:t xml:space="preserve"> </w:t>
      </w:r>
      <w:r w:rsidR="00AD5EE7" w:rsidRPr="00A50E4D">
        <w:rPr>
          <w:szCs w:val="20"/>
          <w:lang w:val="en-US"/>
        </w:rPr>
        <w:t>paras.</w:t>
      </w:r>
      <w:r w:rsidR="005472DB" w:rsidRPr="00A50E4D">
        <w:rPr>
          <w:szCs w:val="20"/>
          <w:lang w:val="en-US"/>
        </w:rPr>
        <w:t xml:space="preserve"> </w:t>
      </w:r>
      <w:r w:rsidR="005472DB" w:rsidRPr="00914F55">
        <w:rPr>
          <w:szCs w:val="20"/>
          <w:lang w:val="en-US"/>
        </w:rPr>
        <w:fldChar w:fldCharType="begin"/>
      </w:r>
      <w:r w:rsidR="005472DB" w:rsidRPr="00A50E4D">
        <w:rPr>
          <w:szCs w:val="20"/>
          <w:lang w:val="en-US"/>
        </w:rPr>
        <w:instrText xml:space="preserve"> REF _Ref427855519 \r \h  \* MERGEFORMAT </w:instrText>
      </w:r>
      <w:r w:rsidR="005472DB" w:rsidRPr="00914F55">
        <w:rPr>
          <w:szCs w:val="20"/>
          <w:lang w:val="en-US"/>
        </w:rPr>
      </w:r>
      <w:r w:rsidR="005472DB" w:rsidRPr="00914F55">
        <w:rPr>
          <w:szCs w:val="20"/>
          <w:lang w:val="en-US"/>
        </w:rPr>
        <w:fldChar w:fldCharType="separate"/>
      </w:r>
      <w:r w:rsidR="00547588">
        <w:rPr>
          <w:szCs w:val="20"/>
          <w:lang w:val="en-US"/>
        </w:rPr>
        <w:t>196</w:t>
      </w:r>
      <w:r w:rsidR="005472DB" w:rsidRPr="00914F55">
        <w:rPr>
          <w:szCs w:val="20"/>
          <w:lang w:val="en-US"/>
        </w:rPr>
        <w:fldChar w:fldCharType="end"/>
      </w:r>
      <w:r w:rsidR="005472DB" w:rsidRPr="00A50E4D">
        <w:rPr>
          <w:szCs w:val="20"/>
          <w:lang w:val="en-US"/>
        </w:rPr>
        <w:t xml:space="preserve">, </w:t>
      </w:r>
      <w:r w:rsidR="005472DB" w:rsidRPr="00914F55">
        <w:rPr>
          <w:szCs w:val="20"/>
          <w:lang w:val="en-US"/>
        </w:rPr>
        <w:fldChar w:fldCharType="begin"/>
      </w:r>
      <w:r w:rsidR="005472DB" w:rsidRPr="00A50E4D">
        <w:rPr>
          <w:szCs w:val="20"/>
          <w:lang w:val="en-US"/>
        </w:rPr>
        <w:instrText xml:space="preserve"> REF _Ref427855558 \r \h  \* MERGEFORMAT </w:instrText>
      </w:r>
      <w:r w:rsidR="005472DB" w:rsidRPr="00914F55">
        <w:rPr>
          <w:szCs w:val="20"/>
          <w:lang w:val="en-US"/>
        </w:rPr>
      </w:r>
      <w:r w:rsidR="005472DB" w:rsidRPr="00914F55">
        <w:rPr>
          <w:szCs w:val="20"/>
          <w:lang w:val="en-US"/>
        </w:rPr>
        <w:fldChar w:fldCharType="separate"/>
      </w:r>
      <w:r w:rsidR="00547588">
        <w:rPr>
          <w:szCs w:val="20"/>
          <w:lang w:val="en-US"/>
        </w:rPr>
        <w:t>198</w:t>
      </w:r>
      <w:r w:rsidR="005472DB" w:rsidRPr="00914F55">
        <w:rPr>
          <w:szCs w:val="20"/>
          <w:lang w:val="en-US"/>
        </w:rPr>
        <w:fldChar w:fldCharType="end"/>
      </w:r>
      <w:r w:rsidR="009808C5" w:rsidRPr="00A50E4D">
        <w:rPr>
          <w:szCs w:val="20"/>
          <w:lang w:val="en-US"/>
        </w:rPr>
        <w:t xml:space="preserve"> and </w:t>
      </w:r>
      <w:r w:rsidR="005472DB" w:rsidRPr="00914F55">
        <w:rPr>
          <w:szCs w:val="20"/>
          <w:lang w:val="en-US"/>
        </w:rPr>
        <w:fldChar w:fldCharType="begin"/>
      </w:r>
      <w:r w:rsidR="005472DB" w:rsidRPr="00A50E4D">
        <w:rPr>
          <w:szCs w:val="20"/>
          <w:lang w:val="en-US"/>
        </w:rPr>
        <w:instrText xml:space="preserve"> REF _Ref431543954 \r \h  \* MERGEFORMAT </w:instrText>
      </w:r>
      <w:r w:rsidR="005472DB" w:rsidRPr="00914F55">
        <w:rPr>
          <w:szCs w:val="20"/>
          <w:lang w:val="en-US"/>
        </w:rPr>
      </w:r>
      <w:r w:rsidR="005472DB" w:rsidRPr="00914F55">
        <w:rPr>
          <w:szCs w:val="20"/>
          <w:lang w:val="en-US"/>
        </w:rPr>
        <w:fldChar w:fldCharType="separate"/>
      </w:r>
      <w:r w:rsidR="00547588">
        <w:rPr>
          <w:szCs w:val="20"/>
          <w:lang w:val="en-US"/>
        </w:rPr>
        <w:t>199</w:t>
      </w:r>
      <w:r w:rsidR="005472DB" w:rsidRPr="00914F55">
        <w:rPr>
          <w:szCs w:val="20"/>
          <w:lang w:val="en-US"/>
        </w:rPr>
        <w:fldChar w:fldCharType="end"/>
      </w:r>
      <w:r w:rsidR="005472DB" w:rsidRPr="00A50E4D">
        <w:rPr>
          <w:szCs w:val="20"/>
          <w:lang w:val="en-US"/>
        </w:rPr>
        <w:t>)</w:t>
      </w:r>
      <w:r w:rsidR="00B94C31" w:rsidRPr="00A50E4D">
        <w:rPr>
          <w:szCs w:val="20"/>
          <w:lang w:val="en-US"/>
        </w:rPr>
        <w:t>.</w:t>
      </w:r>
    </w:p>
    <w:p w14:paraId="2286AF9D" w14:textId="77777777" w:rsidR="00B94C31" w:rsidRPr="00A50E4D" w:rsidRDefault="00B94C31" w:rsidP="00B94C31">
      <w:pPr>
        <w:rPr>
          <w:lang w:val="en-US" w:eastAsia="es-MX"/>
        </w:rPr>
      </w:pPr>
    </w:p>
    <w:p w14:paraId="4D20342E" w14:textId="03B9222D" w:rsidR="005472DB" w:rsidRPr="00A50E4D" w:rsidRDefault="00F55E70" w:rsidP="00B94C31">
      <w:pPr>
        <w:pStyle w:val="PrrafodeSentencia"/>
        <w:rPr>
          <w:szCs w:val="20"/>
          <w:lang w:val="en-US"/>
        </w:rPr>
      </w:pPr>
      <w:r w:rsidRPr="00A50E4D">
        <w:rPr>
          <w:szCs w:val="20"/>
          <w:lang w:val="en-US"/>
        </w:rPr>
        <w:t>Furthermore</w:t>
      </w:r>
      <w:r w:rsidR="005472DB" w:rsidRPr="00A50E4D">
        <w:rPr>
          <w:szCs w:val="20"/>
          <w:lang w:val="en-US"/>
        </w:rPr>
        <w:t xml:space="preserve">, </w:t>
      </w:r>
      <w:r w:rsidR="009808C5" w:rsidRPr="00A50E4D">
        <w:rPr>
          <w:szCs w:val="20"/>
          <w:lang w:val="en-US"/>
        </w:rPr>
        <w:t>the Court</w:t>
      </w:r>
      <w:r w:rsidR="005472DB" w:rsidRPr="00A50E4D">
        <w:rPr>
          <w:szCs w:val="20"/>
          <w:lang w:val="en-US"/>
        </w:rPr>
        <w:t xml:space="preserve"> </w:t>
      </w:r>
      <w:r w:rsidR="00B94C31" w:rsidRPr="00A50E4D">
        <w:rPr>
          <w:szCs w:val="20"/>
          <w:lang w:val="en-US"/>
        </w:rPr>
        <w:t>underscores that</w:t>
      </w:r>
      <w:r w:rsidR="005472DB" w:rsidRPr="00A50E4D">
        <w:rPr>
          <w:szCs w:val="20"/>
          <w:lang w:val="en-US"/>
        </w:rPr>
        <w:t xml:space="preserve"> </w:t>
      </w:r>
      <w:r w:rsidR="009808C5" w:rsidRPr="00A50E4D">
        <w:rPr>
          <w:szCs w:val="20"/>
          <w:lang w:val="en-US"/>
        </w:rPr>
        <w:t>Article</w:t>
      </w:r>
      <w:r w:rsidR="005472DB" w:rsidRPr="00A50E4D">
        <w:rPr>
          <w:szCs w:val="20"/>
          <w:lang w:val="en-US"/>
        </w:rPr>
        <w:t xml:space="preserve"> 3</w:t>
      </w:r>
      <w:r w:rsidR="00FF35A9" w:rsidRPr="00A50E4D">
        <w:rPr>
          <w:szCs w:val="20"/>
          <w:lang w:val="en-US"/>
        </w:rPr>
        <w:t xml:space="preserve"> of the </w:t>
      </w:r>
      <w:r w:rsidR="00E7138A" w:rsidRPr="00A50E4D">
        <w:rPr>
          <w:szCs w:val="20"/>
          <w:lang w:val="en-US"/>
        </w:rPr>
        <w:t>Inter-American Democratic Charter</w:t>
      </w:r>
      <w:r w:rsidR="005472DB" w:rsidRPr="00A50E4D">
        <w:rPr>
          <w:szCs w:val="20"/>
          <w:lang w:val="en-US"/>
        </w:rPr>
        <w:t xml:space="preserve"> </w:t>
      </w:r>
      <w:r w:rsidR="00B94C31" w:rsidRPr="00A50E4D">
        <w:rPr>
          <w:szCs w:val="20"/>
          <w:lang w:val="en-US"/>
        </w:rPr>
        <w:t>establishes that “[e</w:t>
      </w:r>
      <w:r w:rsidR="005472DB" w:rsidRPr="00A50E4D">
        <w:rPr>
          <w:szCs w:val="20"/>
          <w:lang w:val="en-US"/>
        </w:rPr>
        <w:t>]</w:t>
      </w:r>
      <w:r w:rsidR="00B94C31" w:rsidRPr="00A50E4D">
        <w:rPr>
          <w:szCs w:val="20"/>
          <w:lang w:val="en-US"/>
        </w:rPr>
        <w:t xml:space="preserve">ssential elements of representative democracy include, </w:t>
      </w:r>
      <w:r w:rsidR="00B94C31" w:rsidRPr="00A50E4D">
        <w:rPr>
          <w:i/>
          <w:iCs/>
          <w:szCs w:val="20"/>
          <w:lang w:val="en-US"/>
        </w:rPr>
        <w:t>inter alia</w:t>
      </w:r>
      <w:r w:rsidR="00B94C31" w:rsidRPr="00A50E4D">
        <w:rPr>
          <w:szCs w:val="20"/>
          <w:lang w:val="en-US"/>
        </w:rPr>
        <w:t>, respect for human rights and fundamental freedoms, access to and the exercise of power in accordance with the rule of law; […] and the separation of powers and independence of the branches of government.</w:t>
      </w:r>
      <w:r w:rsidR="005472DB" w:rsidRPr="00A50E4D">
        <w:rPr>
          <w:szCs w:val="20"/>
          <w:lang w:val="en-US"/>
        </w:rPr>
        <w:t>”</w:t>
      </w:r>
      <w:r w:rsidR="005472DB" w:rsidRPr="00A50E4D">
        <w:rPr>
          <w:rStyle w:val="FootnoteReference"/>
          <w:sz w:val="20"/>
          <w:szCs w:val="20"/>
          <w:lang w:val="en-US"/>
        </w:rPr>
        <w:footnoteReference w:id="359"/>
      </w:r>
      <w:r w:rsidR="005472DB" w:rsidRPr="00A50E4D">
        <w:rPr>
          <w:szCs w:val="20"/>
          <w:lang w:val="en-US"/>
        </w:rPr>
        <w:t xml:space="preserve"> </w:t>
      </w:r>
      <w:r w:rsidRPr="00A50E4D">
        <w:rPr>
          <w:szCs w:val="20"/>
          <w:lang w:val="en-US"/>
        </w:rPr>
        <w:t xml:space="preserve">The arbitrary dismissal of judges, especially </w:t>
      </w:r>
      <w:r w:rsidR="000A786A" w:rsidRPr="00A50E4D">
        <w:rPr>
          <w:szCs w:val="20"/>
          <w:lang w:val="en-US"/>
        </w:rPr>
        <w:t>professional</w:t>
      </w:r>
      <w:r w:rsidRPr="00A50E4D">
        <w:rPr>
          <w:szCs w:val="20"/>
          <w:lang w:val="en-US"/>
        </w:rPr>
        <w:t xml:space="preserve"> judges</w:t>
      </w:r>
      <w:r w:rsidR="004C572C" w:rsidRPr="00A50E4D">
        <w:rPr>
          <w:szCs w:val="20"/>
          <w:lang w:val="en-US"/>
        </w:rPr>
        <w:t>,</w:t>
      </w:r>
      <w:r w:rsidRPr="00A50E4D">
        <w:rPr>
          <w:szCs w:val="20"/>
          <w:lang w:val="en-US"/>
        </w:rPr>
        <w:t xml:space="preserve"> in the absence</w:t>
      </w:r>
      <w:r w:rsidR="004C572C" w:rsidRPr="00A50E4D">
        <w:rPr>
          <w:szCs w:val="20"/>
          <w:lang w:val="en-US"/>
        </w:rPr>
        <w:t xml:space="preserve"> of prior disciplinary offenses,</w:t>
      </w:r>
      <w:r w:rsidRPr="00A50E4D">
        <w:rPr>
          <w:szCs w:val="20"/>
          <w:lang w:val="en-US"/>
        </w:rPr>
        <w:t xml:space="preserve"> based on their actions against </w:t>
      </w:r>
      <w:r w:rsidR="004626E5" w:rsidRPr="00A50E4D">
        <w:rPr>
          <w:szCs w:val="20"/>
          <w:lang w:val="en-US"/>
        </w:rPr>
        <w:t xml:space="preserve">the </w:t>
      </w:r>
      <w:r w:rsidR="00B11ACA" w:rsidRPr="00A50E4D">
        <w:rPr>
          <w:i/>
          <w:szCs w:val="20"/>
          <w:lang w:val="en-US"/>
        </w:rPr>
        <w:t>coup d’état</w:t>
      </w:r>
      <w:r w:rsidR="009808C5" w:rsidRPr="00A50E4D">
        <w:rPr>
          <w:szCs w:val="20"/>
          <w:lang w:val="en-US"/>
        </w:rPr>
        <w:t xml:space="preserve"> and </w:t>
      </w:r>
      <w:r w:rsidRPr="00A50E4D">
        <w:rPr>
          <w:szCs w:val="20"/>
          <w:lang w:val="en-US"/>
        </w:rPr>
        <w:t xml:space="preserve">the actions of </w:t>
      </w:r>
      <w:r w:rsidR="009808C5" w:rsidRPr="00A50E4D">
        <w:rPr>
          <w:szCs w:val="20"/>
          <w:lang w:val="en-US"/>
        </w:rPr>
        <w:t xml:space="preserve">the </w:t>
      </w:r>
      <w:r w:rsidR="00700DEC" w:rsidRPr="00A50E4D">
        <w:rPr>
          <w:szCs w:val="20"/>
          <w:lang w:val="en-US"/>
        </w:rPr>
        <w:t>Supreme Court</w:t>
      </w:r>
      <w:r w:rsidRPr="00A50E4D">
        <w:rPr>
          <w:szCs w:val="20"/>
          <w:lang w:val="en-US"/>
        </w:rPr>
        <w:t xml:space="preserve"> in that rega</w:t>
      </w:r>
      <w:r w:rsidR="004C572C" w:rsidRPr="00A50E4D">
        <w:rPr>
          <w:szCs w:val="20"/>
          <w:lang w:val="en-US"/>
        </w:rPr>
        <w:t>rd, as in this case, constitute</w:t>
      </w:r>
      <w:r w:rsidRPr="00A50E4D">
        <w:rPr>
          <w:szCs w:val="20"/>
          <w:lang w:val="en-US"/>
        </w:rPr>
        <w:t xml:space="preserve"> an attack on </w:t>
      </w:r>
      <w:r w:rsidR="00884A7E" w:rsidRPr="00A50E4D">
        <w:rPr>
          <w:szCs w:val="20"/>
          <w:lang w:val="en-US"/>
        </w:rPr>
        <w:t>judicial independence</w:t>
      </w:r>
      <w:r w:rsidR="009808C5" w:rsidRPr="00A50E4D">
        <w:rPr>
          <w:szCs w:val="20"/>
          <w:lang w:val="en-US"/>
        </w:rPr>
        <w:t xml:space="preserve"> and </w:t>
      </w:r>
      <w:r w:rsidR="004C572C" w:rsidRPr="00A50E4D">
        <w:rPr>
          <w:szCs w:val="20"/>
          <w:lang w:val="en-US"/>
        </w:rPr>
        <w:t>harm the democratic order. The</w:t>
      </w:r>
      <w:r w:rsidRPr="00A50E4D">
        <w:rPr>
          <w:szCs w:val="20"/>
          <w:lang w:val="en-US"/>
        </w:rPr>
        <w:t xml:space="preserve"> Court stresses that </w:t>
      </w:r>
      <w:r w:rsidR="00884A7E" w:rsidRPr="00A50E4D">
        <w:rPr>
          <w:szCs w:val="20"/>
          <w:lang w:val="en-US"/>
        </w:rPr>
        <w:t>judicial independence</w:t>
      </w:r>
      <w:r w:rsidR="005472DB" w:rsidRPr="00A50E4D">
        <w:rPr>
          <w:szCs w:val="20"/>
          <w:lang w:val="en-US"/>
        </w:rPr>
        <w:t xml:space="preserve">, </w:t>
      </w:r>
      <w:r w:rsidR="004C572C" w:rsidRPr="00A50E4D">
        <w:rPr>
          <w:szCs w:val="20"/>
          <w:lang w:val="en-US"/>
        </w:rPr>
        <w:t>includi</w:t>
      </w:r>
      <w:r w:rsidRPr="00A50E4D">
        <w:rPr>
          <w:szCs w:val="20"/>
          <w:lang w:val="en-US"/>
        </w:rPr>
        <w:t>n</w:t>
      </w:r>
      <w:r w:rsidR="004C572C" w:rsidRPr="00A50E4D">
        <w:rPr>
          <w:szCs w:val="20"/>
          <w:lang w:val="en-US"/>
        </w:rPr>
        <w:t>g</w:t>
      </w:r>
      <w:r w:rsidRPr="00A50E4D">
        <w:rPr>
          <w:szCs w:val="20"/>
          <w:lang w:val="en-US"/>
        </w:rPr>
        <w:t xml:space="preserve"> with</w:t>
      </w:r>
      <w:r w:rsidR="004C572C" w:rsidRPr="00A50E4D">
        <w:rPr>
          <w:szCs w:val="20"/>
          <w:lang w:val="en-US"/>
        </w:rPr>
        <w:t>in</w:t>
      </w:r>
      <w:r w:rsidRPr="00A50E4D">
        <w:rPr>
          <w:szCs w:val="20"/>
          <w:lang w:val="en-US"/>
        </w:rPr>
        <w:t xml:space="preserve"> </w:t>
      </w:r>
      <w:r w:rsidR="00700DEC" w:rsidRPr="00A50E4D">
        <w:rPr>
          <w:szCs w:val="20"/>
          <w:lang w:val="en-US"/>
        </w:rPr>
        <w:t>the Judiciary</w:t>
      </w:r>
      <w:r w:rsidR="005472DB" w:rsidRPr="00A50E4D">
        <w:rPr>
          <w:szCs w:val="20"/>
          <w:lang w:val="en-US"/>
        </w:rPr>
        <w:t xml:space="preserve">, </w:t>
      </w:r>
      <w:r w:rsidRPr="00A50E4D">
        <w:rPr>
          <w:szCs w:val="20"/>
          <w:lang w:val="en-US"/>
        </w:rPr>
        <w:t>is closely related not only to the consolidation of the democratic system, but also seeks to preserve the human rights and freedoms of every citizen.</w:t>
      </w:r>
    </w:p>
    <w:p w14:paraId="677EB73A" w14:textId="77777777" w:rsidR="005472DB" w:rsidRPr="00A50E4D" w:rsidRDefault="005472DB" w:rsidP="005472DB">
      <w:pPr>
        <w:pStyle w:val="PrrafodeSentencia"/>
        <w:numPr>
          <w:ilvl w:val="0"/>
          <w:numId w:val="0"/>
        </w:numPr>
        <w:rPr>
          <w:szCs w:val="20"/>
          <w:lang w:val="en-US"/>
        </w:rPr>
      </w:pPr>
    </w:p>
    <w:p w14:paraId="03482934" w14:textId="073ECA65" w:rsidR="005472DB" w:rsidRPr="00A50E4D" w:rsidRDefault="00F55E70" w:rsidP="005472DB">
      <w:pPr>
        <w:pStyle w:val="PrrafodeSentencia"/>
        <w:rPr>
          <w:b/>
          <w:i/>
          <w:szCs w:val="20"/>
          <w:lang w:val="en-US"/>
        </w:rPr>
      </w:pPr>
      <w:r w:rsidRPr="00A50E4D">
        <w:rPr>
          <w:szCs w:val="20"/>
          <w:lang w:val="en-US"/>
        </w:rPr>
        <w:lastRenderedPageBreak/>
        <w:t xml:space="preserve">Without prejudice to the findings in Chapter </w:t>
      </w:r>
      <w:r w:rsidR="005472DB" w:rsidRPr="00A50E4D">
        <w:rPr>
          <w:szCs w:val="20"/>
          <w:lang w:val="en-US"/>
        </w:rPr>
        <w:t xml:space="preserve">VII-1 </w:t>
      </w:r>
      <w:r w:rsidR="005472DB" w:rsidRPr="00A50E4D">
        <w:rPr>
          <w:i/>
          <w:szCs w:val="20"/>
          <w:lang w:val="en-US"/>
        </w:rPr>
        <w:t>supra</w:t>
      </w:r>
      <w:r w:rsidR="005472DB" w:rsidRPr="00A50E4D">
        <w:rPr>
          <w:szCs w:val="20"/>
          <w:lang w:val="en-US"/>
        </w:rPr>
        <w:t xml:space="preserve">, </w:t>
      </w:r>
      <w:r w:rsidRPr="00A50E4D">
        <w:rPr>
          <w:szCs w:val="20"/>
          <w:lang w:val="en-US"/>
        </w:rPr>
        <w:t xml:space="preserve">a series of irregularities existed in </w:t>
      </w:r>
      <w:r w:rsidR="00687A44" w:rsidRPr="00A50E4D">
        <w:rPr>
          <w:szCs w:val="20"/>
          <w:lang w:val="en-US"/>
        </w:rPr>
        <w:t>the disciplinary proceedings</w:t>
      </w:r>
      <w:r w:rsidR="005472DB" w:rsidRPr="00A50E4D">
        <w:rPr>
          <w:szCs w:val="20"/>
          <w:lang w:val="en-US"/>
        </w:rPr>
        <w:t xml:space="preserve"> </w:t>
      </w:r>
      <w:r w:rsidRPr="00A50E4D">
        <w:rPr>
          <w:szCs w:val="20"/>
          <w:lang w:val="en-US"/>
        </w:rPr>
        <w:t>against</w:t>
      </w:r>
      <w:r w:rsidR="005472DB" w:rsidRPr="00A50E4D">
        <w:rPr>
          <w:szCs w:val="20"/>
          <w:lang w:val="en-US"/>
        </w:rPr>
        <w:t xml:space="preserve"> </w:t>
      </w:r>
      <w:r w:rsidR="00371BB7" w:rsidRPr="00A50E4D">
        <w:rPr>
          <w:szCs w:val="20"/>
          <w:lang w:val="en-US"/>
        </w:rPr>
        <w:t>the presumed victims</w:t>
      </w:r>
      <w:r w:rsidR="005472DB" w:rsidRPr="00A50E4D">
        <w:rPr>
          <w:szCs w:val="20"/>
          <w:lang w:val="en-US"/>
        </w:rPr>
        <w:t xml:space="preserve"> </w:t>
      </w:r>
      <w:r w:rsidRPr="00A50E4D">
        <w:rPr>
          <w:szCs w:val="20"/>
          <w:lang w:val="en-US"/>
        </w:rPr>
        <w:t>that the Court will now examine</w:t>
      </w:r>
      <w:r w:rsidR="005472DB" w:rsidRPr="00A50E4D">
        <w:rPr>
          <w:szCs w:val="20"/>
          <w:lang w:val="en-US"/>
        </w:rPr>
        <w:t xml:space="preserve">. </w:t>
      </w:r>
    </w:p>
    <w:p w14:paraId="02617068" w14:textId="77777777" w:rsidR="005472DB" w:rsidRPr="00A50E4D" w:rsidRDefault="005472DB" w:rsidP="005472DB">
      <w:pPr>
        <w:rPr>
          <w:spacing w:val="-4"/>
          <w:szCs w:val="20"/>
          <w:lang w:val="en-US"/>
        </w:rPr>
      </w:pPr>
    </w:p>
    <w:p w14:paraId="6F220851" w14:textId="6082DE2F" w:rsidR="005472DB" w:rsidRPr="00A50E4D" w:rsidRDefault="002876E8" w:rsidP="005472DB">
      <w:pPr>
        <w:pStyle w:val="Heading2"/>
        <w:numPr>
          <w:ilvl w:val="0"/>
          <w:numId w:val="8"/>
        </w:numPr>
        <w:tabs>
          <w:tab w:val="clear" w:pos="993"/>
        </w:tabs>
        <w:rPr>
          <w:spacing w:val="-4"/>
          <w:szCs w:val="20"/>
          <w:lang w:val="en-US"/>
        </w:rPr>
      </w:pPr>
      <w:bookmarkStart w:id="304" w:name="_Toc471717281"/>
      <w:r w:rsidRPr="00A50E4D">
        <w:rPr>
          <w:spacing w:val="-4"/>
          <w:szCs w:val="20"/>
          <w:lang w:val="en-US"/>
        </w:rPr>
        <w:t>Guarantees of the competence, independence and impartiality of the disciplinary authorities in cases involving judges</w:t>
      </w:r>
      <w:bookmarkEnd w:id="304"/>
    </w:p>
    <w:p w14:paraId="07A607A8" w14:textId="77777777" w:rsidR="005472DB" w:rsidRPr="00A50E4D" w:rsidRDefault="005472DB" w:rsidP="005472DB">
      <w:pPr>
        <w:rPr>
          <w:spacing w:val="-4"/>
          <w:szCs w:val="20"/>
          <w:lang w:val="en-US"/>
        </w:rPr>
      </w:pPr>
    </w:p>
    <w:p w14:paraId="07806A29" w14:textId="5AA3AB0B" w:rsidR="005472DB" w:rsidRPr="00A50E4D" w:rsidRDefault="005472DB" w:rsidP="005472DB">
      <w:pPr>
        <w:pStyle w:val="Heading3"/>
        <w:rPr>
          <w:spacing w:val="-4"/>
          <w:szCs w:val="20"/>
          <w:lang w:val="en-US"/>
        </w:rPr>
      </w:pPr>
      <w:bookmarkStart w:id="305" w:name="_Toc424834709"/>
      <w:bookmarkStart w:id="306" w:name="_Toc403671457"/>
      <w:bookmarkStart w:id="307" w:name="_Toc431584648"/>
      <w:bookmarkStart w:id="308" w:name="_Toc471717282"/>
      <w:r w:rsidRPr="00A50E4D">
        <w:rPr>
          <w:spacing w:val="-4"/>
          <w:szCs w:val="20"/>
          <w:lang w:val="en-US"/>
        </w:rPr>
        <w:t xml:space="preserve">B.1) </w:t>
      </w:r>
      <w:r w:rsidR="00E84FC7" w:rsidRPr="00A50E4D">
        <w:rPr>
          <w:spacing w:val="-4"/>
          <w:szCs w:val="20"/>
          <w:lang w:val="en-US"/>
        </w:rPr>
        <w:t>Arguments</w:t>
      </w:r>
      <w:r w:rsidR="009808C5" w:rsidRPr="00A50E4D">
        <w:rPr>
          <w:spacing w:val="-4"/>
          <w:szCs w:val="20"/>
          <w:lang w:val="en-US"/>
        </w:rPr>
        <w:t xml:space="preserve"> of the Commission </w:t>
      </w:r>
      <w:r w:rsidR="008D65AB" w:rsidRPr="00A50E4D">
        <w:rPr>
          <w:spacing w:val="-4"/>
          <w:szCs w:val="20"/>
          <w:lang w:val="en-US"/>
        </w:rPr>
        <w:t>and of the parties</w:t>
      </w:r>
      <w:bookmarkEnd w:id="305"/>
      <w:bookmarkEnd w:id="306"/>
      <w:bookmarkEnd w:id="307"/>
      <w:bookmarkEnd w:id="308"/>
    </w:p>
    <w:p w14:paraId="64756E39" w14:textId="77777777" w:rsidR="005472DB" w:rsidRPr="00A50E4D" w:rsidRDefault="005472DB" w:rsidP="005472DB">
      <w:pPr>
        <w:pStyle w:val="PrrafodeSentencia"/>
        <w:numPr>
          <w:ilvl w:val="0"/>
          <w:numId w:val="0"/>
        </w:numPr>
        <w:rPr>
          <w:szCs w:val="20"/>
          <w:lang w:val="en-US"/>
        </w:rPr>
      </w:pPr>
    </w:p>
    <w:p w14:paraId="08127DEA" w14:textId="097AC759" w:rsidR="005472DB" w:rsidRPr="00A50E4D" w:rsidRDefault="00CD2874" w:rsidP="00984788">
      <w:pPr>
        <w:pStyle w:val="PrrafodeSentencia"/>
        <w:rPr>
          <w:lang w:val="en-US"/>
        </w:rPr>
      </w:pPr>
      <w:r w:rsidRPr="00A50E4D">
        <w:rPr>
          <w:bCs/>
          <w:iCs/>
          <w:szCs w:val="20"/>
          <w:lang w:val="en-US"/>
        </w:rPr>
        <w:t>The Commission</w:t>
      </w:r>
      <w:r w:rsidR="005472DB" w:rsidRPr="00A50E4D">
        <w:rPr>
          <w:b/>
          <w:bCs/>
          <w:iCs/>
          <w:szCs w:val="20"/>
          <w:lang w:val="en-US"/>
        </w:rPr>
        <w:t xml:space="preserve"> </w:t>
      </w:r>
      <w:r w:rsidR="00984788" w:rsidRPr="00A50E4D">
        <w:rPr>
          <w:szCs w:val="20"/>
          <w:lang w:val="en-US"/>
        </w:rPr>
        <w:t>concluded that</w:t>
      </w:r>
      <w:r w:rsidR="005472DB" w:rsidRPr="00A50E4D">
        <w:rPr>
          <w:szCs w:val="20"/>
          <w:lang w:val="en-US"/>
        </w:rPr>
        <w:t xml:space="preserve"> </w:t>
      </w:r>
      <w:r w:rsidR="009808C5" w:rsidRPr="00A50E4D">
        <w:rPr>
          <w:szCs w:val="20"/>
          <w:lang w:val="en-US"/>
        </w:rPr>
        <w:t>the State</w:t>
      </w:r>
      <w:r w:rsidR="00984788" w:rsidRPr="00A50E4D">
        <w:rPr>
          <w:szCs w:val="20"/>
          <w:lang w:val="en-US"/>
        </w:rPr>
        <w:t xml:space="preserve"> had</w:t>
      </w:r>
      <w:r w:rsidR="005472DB" w:rsidRPr="00A50E4D">
        <w:rPr>
          <w:szCs w:val="20"/>
          <w:lang w:val="en-US"/>
        </w:rPr>
        <w:t xml:space="preserve"> “</w:t>
      </w:r>
      <w:r w:rsidR="000A786A" w:rsidRPr="00A50E4D">
        <w:rPr>
          <w:szCs w:val="20"/>
          <w:lang w:val="en-US"/>
        </w:rPr>
        <w:t>violated</w:t>
      </w:r>
      <w:r w:rsidR="00984788" w:rsidRPr="00A50E4D">
        <w:rPr>
          <w:szCs w:val="20"/>
          <w:lang w:val="en-US"/>
        </w:rPr>
        <w:t xml:space="preserve"> the right to a hearing by a competent, independent and impartial authority</w:t>
      </w:r>
      <w:r w:rsidR="005472DB" w:rsidRPr="00A50E4D">
        <w:rPr>
          <w:szCs w:val="20"/>
          <w:lang w:val="en-US"/>
        </w:rPr>
        <w:t xml:space="preserve"> </w:t>
      </w:r>
      <w:r w:rsidR="00884A7E" w:rsidRPr="00A50E4D">
        <w:rPr>
          <w:szCs w:val="20"/>
          <w:lang w:val="en-US"/>
        </w:rPr>
        <w:t>established in</w:t>
      </w:r>
      <w:r w:rsidR="005472DB" w:rsidRPr="00A50E4D">
        <w:rPr>
          <w:szCs w:val="20"/>
          <w:lang w:val="en-US"/>
        </w:rPr>
        <w:t xml:space="preserve"> </w:t>
      </w:r>
      <w:r w:rsidR="009808C5" w:rsidRPr="00A50E4D">
        <w:rPr>
          <w:szCs w:val="20"/>
          <w:lang w:val="en-US"/>
        </w:rPr>
        <w:t>Article</w:t>
      </w:r>
      <w:r w:rsidR="005472DB" w:rsidRPr="00A50E4D">
        <w:rPr>
          <w:szCs w:val="20"/>
          <w:lang w:val="en-US"/>
        </w:rPr>
        <w:t xml:space="preserve"> </w:t>
      </w:r>
      <w:r w:rsidR="00EA5E90" w:rsidRPr="00A50E4D">
        <w:rPr>
          <w:szCs w:val="20"/>
          <w:lang w:val="en-US"/>
        </w:rPr>
        <w:t>8(1)</w:t>
      </w:r>
      <w:r w:rsidR="009808C5" w:rsidRPr="00A50E4D">
        <w:rPr>
          <w:szCs w:val="20"/>
          <w:lang w:val="en-US"/>
        </w:rPr>
        <w:t xml:space="preserve"> of the American Convention</w:t>
      </w:r>
      <w:r w:rsidR="005472DB" w:rsidRPr="00A50E4D">
        <w:rPr>
          <w:szCs w:val="20"/>
          <w:lang w:val="en-US"/>
        </w:rPr>
        <w:t xml:space="preserve"> </w:t>
      </w:r>
      <w:r w:rsidR="00984788" w:rsidRPr="00A50E4D">
        <w:rPr>
          <w:szCs w:val="20"/>
          <w:lang w:val="en-US"/>
        </w:rPr>
        <w:t xml:space="preserve">in relation to the obligations established in </w:t>
      </w:r>
      <w:r w:rsidR="0048601C" w:rsidRPr="00A50E4D">
        <w:rPr>
          <w:szCs w:val="20"/>
          <w:lang w:val="en-US"/>
        </w:rPr>
        <w:t>Article 1(1)</w:t>
      </w:r>
      <w:r w:rsidR="005472DB" w:rsidRPr="00A50E4D">
        <w:rPr>
          <w:szCs w:val="20"/>
          <w:lang w:val="en-US"/>
        </w:rPr>
        <w:t xml:space="preserve"> </w:t>
      </w:r>
      <w:r w:rsidR="0048601C" w:rsidRPr="00A50E4D">
        <w:rPr>
          <w:szCs w:val="20"/>
          <w:lang w:val="en-US"/>
        </w:rPr>
        <w:t>of this instrument</w:t>
      </w:r>
      <w:r w:rsidR="005472DB" w:rsidRPr="00A50E4D">
        <w:rPr>
          <w:szCs w:val="20"/>
          <w:lang w:val="en-US"/>
        </w:rPr>
        <w:t>,</w:t>
      </w:r>
      <w:r w:rsidR="00984788" w:rsidRPr="00A50E4D">
        <w:rPr>
          <w:szCs w:val="20"/>
          <w:lang w:val="en-US"/>
        </w:rPr>
        <w:t xml:space="preserve"> to the detriment of </w:t>
      </w:r>
      <w:r w:rsidR="005472DB" w:rsidRPr="00A50E4D">
        <w:rPr>
          <w:szCs w:val="20"/>
          <w:lang w:val="en-US"/>
        </w:rPr>
        <w:t xml:space="preserve">Guillermo López Lone, Ramón Barrios [Maldonado], Luis Alonso </w:t>
      </w:r>
      <w:r w:rsidR="009A7056" w:rsidRPr="00A50E4D">
        <w:rPr>
          <w:szCs w:val="20"/>
          <w:lang w:val="en-US"/>
        </w:rPr>
        <w:t>Chévez de la Rocha</w:t>
      </w:r>
      <w:r w:rsidR="009808C5" w:rsidRPr="00A50E4D">
        <w:rPr>
          <w:szCs w:val="20"/>
          <w:lang w:val="en-US"/>
        </w:rPr>
        <w:t xml:space="preserve"> and </w:t>
      </w:r>
      <w:r w:rsidR="005472DB" w:rsidRPr="00A50E4D">
        <w:rPr>
          <w:szCs w:val="20"/>
          <w:lang w:val="en-US"/>
        </w:rPr>
        <w:t>Tirza Flores Lanza</w:t>
      </w:r>
      <w:r w:rsidR="00984788" w:rsidRPr="00A50E4D">
        <w:rPr>
          <w:szCs w:val="20"/>
          <w:lang w:val="en-US"/>
        </w:rPr>
        <w:t>.”</w:t>
      </w:r>
      <w:r w:rsidR="005472DB" w:rsidRPr="00A50E4D">
        <w:rPr>
          <w:szCs w:val="20"/>
          <w:lang w:val="en-US"/>
        </w:rPr>
        <w:t xml:space="preserve"> Re</w:t>
      </w:r>
      <w:r w:rsidR="00984788" w:rsidRPr="00A50E4D">
        <w:rPr>
          <w:szCs w:val="20"/>
          <w:lang w:val="en-US"/>
        </w:rPr>
        <w:t xml:space="preserve">garding the competence of the disciplinary authorities, it pointed out that the action of the Judicial Service Council as an appeal court was “contrary to the provisions of article 313 of the Constitution, according to which, first, the Judicial Service Council should </w:t>
      </w:r>
      <w:r w:rsidR="004C572C" w:rsidRPr="00A50E4D">
        <w:rPr>
          <w:szCs w:val="20"/>
          <w:lang w:val="en-US"/>
        </w:rPr>
        <w:t>recommend</w:t>
      </w:r>
      <w:r w:rsidR="00984788" w:rsidRPr="00A50E4D">
        <w:rPr>
          <w:szCs w:val="20"/>
          <w:lang w:val="en-US"/>
        </w:rPr>
        <w:t xml:space="preserve"> the dismissal to the Supreme Court of Justice and, then, </w:t>
      </w:r>
      <w:r w:rsidR="004C572C" w:rsidRPr="00A50E4D">
        <w:rPr>
          <w:szCs w:val="20"/>
          <w:lang w:val="en-US"/>
        </w:rPr>
        <w:t>it is the Supreme Court</w:t>
      </w:r>
      <w:r w:rsidR="00984788" w:rsidRPr="00A50E4D">
        <w:rPr>
          <w:szCs w:val="20"/>
          <w:lang w:val="en-US"/>
        </w:rPr>
        <w:t xml:space="preserve"> </w:t>
      </w:r>
      <w:r w:rsidR="004C572C" w:rsidRPr="00A50E4D">
        <w:rPr>
          <w:szCs w:val="20"/>
          <w:lang w:val="en-US"/>
        </w:rPr>
        <w:t xml:space="preserve">that </w:t>
      </w:r>
      <w:r w:rsidR="00984788" w:rsidRPr="00A50E4D">
        <w:rPr>
          <w:szCs w:val="20"/>
          <w:lang w:val="en-US"/>
        </w:rPr>
        <w:t>takes the respective decision.” Regardi</w:t>
      </w:r>
      <w:r w:rsidR="004C572C" w:rsidRPr="00A50E4D">
        <w:rPr>
          <w:szCs w:val="20"/>
          <w:lang w:val="en-US"/>
        </w:rPr>
        <w:t>ng the principle of judicial i</w:t>
      </w:r>
      <w:r w:rsidR="00984788" w:rsidRPr="00A50E4D">
        <w:rPr>
          <w:szCs w:val="20"/>
          <w:lang w:val="en-US"/>
        </w:rPr>
        <w:t>ndependence, the Commission indicated that “the action of the Judicial Service Council was incompatible with the guarantee of independen</w:t>
      </w:r>
      <w:r w:rsidR="00D31673" w:rsidRPr="00A50E4D">
        <w:rPr>
          <w:szCs w:val="20"/>
          <w:lang w:val="en-US"/>
        </w:rPr>
        <w:t>ce.” It also noted that, after</w:t>
      </w:r>
      <w:r w:rsidR="00984788" w:rsidRPr="00A50E4D">
        <w:rPr>
          <w:szCs w:val="20"/>
          <w:lang w:val="en-US"/>
        </w:rPr>
        <w:t xml:space="preserve"> the Council’s members</w:t>
      </w:r>
      <w:r w:rsidR="00D31673" w:rsidRPr="00A50E4D">
        <w:rPr>
          <w:szCs w:val="20"/>
          <w:lang w:val="en-US"/>
        </w:rPr>
        <w:t xml:space="preserve"> had disqualified themselves</w:t>
      </w:r>
      <w:r w:rsidR="00984788" w:rsidRPr="00A50E4D">
        <w:rPr>
          <w:szCs w:val="20"/>
          <w:lang w:val="en-US"/>
        </w:rPr>
        <w:t xml:space="preserve">, “neither the case file nor the applicable norms </w:t>
      </w:r>
      <w:r w:rsidR="004C572C" w:rsidRPr="00A50E4D">
        <w:rPr>
          <w:szCs w:val="20"/>
          <w:lang w:val="en-US"/>
        </w:rPr>
        <w:t xml:space="preserve">clarify </w:t>
      </w:r>
      <w:r w:rsidR="00984788" w:rsidRPr="00A50E4D">
        <w:rPr>
          <w:szCs w:val="20"/>
          <w:lang w:val="en-US"/>
        </w:rPr>
        <w:t>the criteria used by the President of the Council to select and appoint the members</w:t>
      </w:r>
      <w:r w:rsidR="004C572C" w:rsidRPr="00A50E4D">
        <w:rPr>
          <w:szCs w:val="20"/>
          <w:lang w:val="en-US"/>
        </w:rPr>
        <w:t xml:space="preserve"> of the Council</w:t>
      </w:r>
      <w:r w:rsidR="00984788" w:rsidRPr="00A50E4D">
        <w:rPr>
          <w:szCs w:val="20"/>
          <w:lang w:val="en-US"/>
        </w:rPr>
        <w:t xml:space="preserve"> for the</w:t>
      </w:r>
      <w:r w:rsidR="004C572C" w:rsidRPr="00A50E4D">
        <w:rPr>
          <w:szCs w:val="20"/>
          <w:lang w:val="en-US"/>
        </w:rPr>
        <w:t xml:space="preserve"> specific case and whether the criteria</w:t>
      </w:r>
      <w:r w:rsidR="00984788" w:rsidRPr="00A50E4D">
        <w:rPr>
          <w:szCs w:val="20"/>
          <w:lang w:val="en-US"/>
        </w:rPr>
        <w:t xml:space="preserve"> were </w:t>
      </w:r>
      <w:r w:rsidR="004C572C" w:rsidRPr="00A50E4D">
        <w:rPr>
          <w:szCs w:val="20"/>
          <w:lang w:val="en-US"/>
        </w:rPr>
        <w:t xml:space="preserve">made </w:t>
      </w:r>
      <w:r w:rsidR="00984788" w:rsidRPr="00A50E4D">
        <w:rPr>
          <w:szCs w:val="20"/>
          <w:lang w:val="en-US"/>
        </w:rPr>
        <w:t xml:space="preserve">public.” The Commission also considered that it had insufficient evidence to rule on the alleged lack of independence </w:t>
      </w:r>
      <w:r w:rsidR="00984788" w:rsidRPr="00A50E4D">
        <w:rPr>
          <w:lang w:val="en-US"/>
        </w:rPr>
        <w:t xml:space="preserve">of the Supreme Court. With regard to impartiality, it argued that the Supreme Court “did not meet the objective elements of impartiality to hear the presumed victims […], given that </w:t>
      </w:r>
      <w:r w:rsidR="004C572C" w:rsidRPr="00A50E4D">
        <w:rPr>
          <w:lang w:val="en-US"/>
        </w:rPr>
        <w:t>their</w:t>
      </w:r>
      <w:r w:rsidR="00984788" w:rsidRPr="00A50E4D">
        <w:rPr>
          <w:lang w:val="en-US"/>
        </w:rPr>
        <w:t xml:space="preserve"> interests were evidently contrary to those of the Court” as regards the </w:t>
      </w:r>
      <w:r w:rsidR="00B11ACA" w:rsidRPr="00A50E4D">
        <w:rPr>
          <w:i/>
          <w:lang w:val="en-US"/>
        </w:rPr>
        <w:t>coup d’état</w:t>
      </w:r>
      <w:r w:rsidR="00984788" w:rsidRPr="00A50E4D">
        <w:rPr>
          <w:lang w:val="en-US"/>
        </w:rPr>
        <w:t xml:space="preserve">; added to the fact that “the presumed victims were unable to challenge the </w:t>
      </w:r>
      <w:r w:rsidR="004C572C" w:rsidRPr="00A50E4D">
        <w:rPr>
          <w:lang w:val="en-US"/>
        </w:rPr>
        <w:t xml:space="preserve">lack of impartiality </w:t>
      </w:r>
      <w:r w:rsidR="00984788" w:rsidRPr="00A50E4D">
        <w:rPr>
          <w:lang w:val="en-US"/>
        </w:rPr>
        <w:t>of the members of the [Supreme Court of Justice].” In addition, it indicated that “the Supreme Court is the judicial organ that makes a final ruling on appeals contesting the decisio</w:t>
      </w:r>
      <w:r w:rsidR="0047110C" w:rsidRPr="00A50E4D">
        <w:rPr>
          <w:lang w:val="en-US"/>
        </w:rPr>
        <w:t>n</w:t>
      </w:r>
      <w:r w:rsidR="004C572C" w:rsidRPr="00A50E4D">
        <w:rPr>
          <w:lang w:val="en-US"/>
        </w:rPr>
        <w:t>s taken by judges, [but</w:t>
      </w:r>
      <w:r w:rsidR="00984788" w:rsidRPr="00A50E4D">
        <w:rPr>
          <w:lang w:val="en-US"/>
        </w:rPr>
        <w:t xml:space="preserve"> also,] it has the disciplinary authority to sanction judges of lower courts.” The Commission added that “[t]his lack of impartiality also permeated all the authorities who ruled on the responsibility of the [</w:t>
      </w:r>
      <w:r w:rsidR="000A786A" w:rsidRPr="00A50E4D">
        <w:rPr>
          <w:lang w:val="en-US"/>
        </w:rPr>
        <w:t>presumed</w:t>
      </w:r>
      <w:r w:rsidR="00984788" w:rsidRPr="00A50E4D">
        <w:rPr>
          <w:lang w:val="en-US"/>
        </w:rPr>
        <w:t>] victims, in view of the</w:t>
      </w:r>
      <w:r w:rsidR="004C572C" w:rsidRPr="00A50E4D">
        <w:rPr>
          <w:lang w:val="en-US"/>
        </w:rPr>
        <w:t>ir</w:t>
      </w:r>
      <w:r w:rsidR="00984788" w:rsidRPr="00A50E4D">
        <w:rPr>
          <w:lang w:val="en-US"/>
        </w:rPr>
        <w:t xml:space="preserve"> relations</w:t>
      </w:r>
      <w:r w:rsidR="004C572C" w:rsidRPr="00A50E4D">
        <w:rPr>
          <w:lang w:val="en-US"/>
        </w:rPr>
        <w:t xml:space="preserve">hip of dependence vis-à-vis </w:t>
      </w:r>
      <w:r w:rsidR="009808C5" w:rsidRPr="00A50E4D">
        <w:rPr>
          <w:lang w:val="en-US"/>
        </w:rPr>
        <w:t xml:space="preserve">the </w:t>
      </w:r>
      <w:r w:rsidR="00700DEC" w:rsidRPr="00A50E4D">
        <w:rPr>
          <w:lang w:val="en-US"/>
        </w:rPr>
        <w:t>Supreme Court</w:t>
      </w:r>
      <w:r w:rsidR="00984788" w:rsidRPr="00A50E4D">
        <w:rPr>
          <w:lang w:val="en-US"/>
        </w:rPr>
        <w:t>.</w:t>
      </w:r>
      <w:r w:rsidR="005472DB" w:rsidRPr="00A50E4D">
        <w:rPr>
          <w:lang w:val="en-US"/>
        </w:rPr>
        <w:t>”</w:t>
      </w:r>
    </w:p>
    <w:p w14:paraId="4875417D" w14:textId="77777777" w:rsidR="005472DB" w:rsidRPr="00A50E4D" w:rsidRDefault="005472DB" w:rsidP="005472DB">
      <w:pPr>
        <w:rPr>
          <w:lang w:val="en-US" w:eastAsia="es-MX"/>
        </w:rPr>
      </w:pPr>
    </w:p>
    <w:p w14:paraId="555E3D30" w14:textId="3387884A" w:rsidR="005472DB" w:rsidRPr="00A50E4D" w:rsidRDefault="00AD5EE7" w:rsidP="00984788">
      <w:pPr>
        <w:pStyle w:val="PrrafodeSentencia"/>
        <w:rPr>
          <w:b/>
          <w:bCs/>
          <w:iCs/>
          <w:lang w:val="en-US"/>
        </w:rPr>
      </w:pPr>
      <w:r w:rsidRPr="00A50E4D">
        <w:rPr>
          <w:bCs/>
          <w:iCs/>
          <w:lang w:val="en-US"/>
        </w:rPr>
        <w:t>The representatives</w:t>
      </w:r>
      <w:r w:rsidR="005472DB" w:rsidRPr="00A50E4D">
        <w:rPr>
          <w:b/>
          <w:bCs/>
          <w:i/>
          <w:iCs/>
          <w:lang w:val="en-US"/>
        </w:rPr>
        <w:t xml:space="preserve"> </w:t>
      </w:r>
      <w:r w:rsidR="005472DB" w:rsidRPr="00A50E4D">
        <w:rPr>
          <w:lang w:val="en-US"/>
        </w:rPr>
        <w:t>a</w:t>
      </w:r>
      <w:r w:rsidR="00984788" w:rsidRPr="00A50E4D">
        <w:rPr>
          <w:lang w:val="en-US"/>
        </w:rPr>
        <w:t xml:space="preserve">rgued that </w:t>
      </w:r>
      <w:r w:rsidR="004C572C" w:rsidRPr="00A50E4D">
        <w:rPr>
          <w:lang w:val="en-US"/>
        </w:rPr>
        <w:t>“</w:t>
      </w:r>
      <w:r w:rsidR="00984788" w:rsidRPr="00A50E4D">
        <w:rPr>
          <w:lang w:val="en-US"/>
        </w:rPr>
        <w:t xml:space="preserve">the disciplinary authorities who decided the dismissal of the [presumed] </w:t>
      </w:r>
      <w:r w:rsidR="000A786A" w:rsidRPr="00A50E4D">
        <w:rPr>
          <w:lang w:val="en-US"/>
        </w:rPr>
        <w:t>victims</w:t>
      </w:r>
      <w:r w:rsidR="00984788" w:rsidRPr="00A50E4D">
        <w:rPr>
          <w:lang w:val="en-US"/>
        </w:rPr>
        <w:t xml:space="preserve"> did not meet the requirements of competence, independence and impartiality.” They underlined that there are three disciplinary regimes in Honduras: a constitutional regime, a legal regime and “a third regime [applied to </w:t>
      </w:r>
      <w:r w:rsidR="00984788" w:rsidRPr="00A50E4D">
        <w:rPr>
          <w:bCs/>
          <w:iCs/>
          <w:lang w:val="en-US"/>
        </w:rPr>
        <w:t xml:space="preserve">the presumed victims] that was not established in either the Constitution or by law.” They asserted that, owing to these normative contradictions, the presumed victims were in a situation of “absolute legal uncertainty,” which restricted their right of defense, “because they </w:t>
      </w:r>
      <w:r w:rsidR="004C572C" w:rsidRPr="00A50E4D">
        <w:rPr>
          <w:bCs/>
          <w:iCs/>
          <w:lang w:val="en-US"/>
        </w:rPr>
        <w:t>could not</w:t>
      </w:r>
      <w:r w:rsidR="00984788" w:rsidRPr="00A50E4D">
        <w:rPr>
          <w:bCs/>
          <w:iCs/>
          <w:lang w:val="en-US"/>
        </w:rPr>
        <w:t xml:space="preserve"> be certain about which organ would hear their proceedings.” In this regard, they argued that “the authority that finally decided their dismissal – namely, </w:t>
      </w:r>
      <w:r w:rsidR="00CA5D96" w:rsidRPr="00A50E4D">
        <w:rPr>
          <w:bCs/>
          <w:iCs/>
          <w:lang w:val="en-US"/>
        </w:rPr>
        <w:t>the plenum</w:t>
      </w:r>
      <w:r w:rsidR="00984788" w:rsidRPr="00A50E4D">
        <w:rPr>
          <w:bCs/>
          <w:iCs/>
          <w:lang w:val="en-US"/>
        </w:rPr>
        <w:t xml:space="preserve"> of the [Supreme Court of Justice], was not the authority that obtained and assessed the evidence presented during the proceedings, and </w:t>
      </w:r>
      <w:r w:rsidR="004C572C" w:rsidRPr="00A50E4D">
        <w:rPr>
          <w:bCs/>
          <w:iCs/>
          <w:lang w:val="en-US"/>
        </w:rPr>
        <w:t>failed to</w:t>
      </w:r>
      <w:r w:rsidR="00984788" w:rsidRPr="00A50E4D">
        <w:rPr>
          <w:bCs/>
          <w:iCs/>
          <w:lang w:val="en-US"/>
        </w:rPr>
        <w:t xml:space="preserve"> give a hearing to the persons who were subject to the disciplinary proceedings”; and  even though the</w:t>
      </w:r>
      <w:r w:rsidR="004C572C" w:rsidRPr="00A50E4D">
        <w:rPr>
          <w:bCs/>
          <w:iCs/>
          <w:lang w:val="en-US"/>
        </w:rPr>
        <w:t xml:space="preserve"> latter</w:t>
      </w:r>
      <w:r w:rsidR="00984788" w:rsidRPr="00A50E4D">
        <w:rPr>
          <w:bCs/>
          <w:iCs/>
          <w:lang w:val="en-US"/>
        </w:rPr>
        <w:t xml:space="preserve"> had alleged violations of due process in the</w:t>
      </w:r>
      <w:r w:rsidR="004C572C" w:rsidRPr="00A50E4D">
        <w:rPr>
          <w:bCs/>
          <w:iCs/>
          <w:lang w:val="en-US"/>
        </w:rPr>
        <w:t>ir</w:t>
      </w:r>
      <w:r w:rsidR="00984788" w:rsidRPr="00A50E4D">
        <w:rPr>
          <w:bCs/>
          <w:iCs/>
          <w:lang w:val="en-US"/>
        </w:rPr>
        <w:t xml:space="preserve"> appeal</w:t>
      </w:r>
      <w:r w:rsidR="004C572C" w:rsidRPr="00A50E4D">
        <w:rPr>
          <w:bCs/>
          <w:iCs/>
          <w:lang w:val="en-US"/>
        </w:rPr>
        <w:t>s</w:t>
      </w:r>
      <w:r w:rsidR="00984788" w:rsidRPr="00A50E4D">
        <w:rPr>
          <w:bCs/>
          <w:iCs/>
          <w:lang w:val="en-US"/>
        </w:rPr>
        <w:t>, “the</w:t>
      </w:r>
      <w:r w:rsidR="005472DB" w:rsidRPr="00A50E4D">
        <w:rPr>
          <w:bCs/>
          <w:iCs/>
          <w:lang w:val="en-US"/>
        </w:rPr>
        <w:t xml:space="preserve"> [</w:t>
      </w:r>
      <w:r w:rsidR="006A756C" w:rsidRPr="00A50E4D">
        <w:rPr>
          <w:bCs/>
          <w:iCs/>
          <w:lang w:val="en-US"/>
        </w:rPr>
        <w:t>Judicial Service Council</w:t>
      </w:r>
      <w:r w:rsidR="005472DB" w:rsidRPr="00A50E4D">
        <w:rPr>
          <w:bCs/>
          <w:iCs/>
          <w:lang w:val="en-US"/>
        </w:rPr>
        <w:t>] declar</w:t>
      </w:r>
      <w:r w:rsidR="00984788" w:rsidRPr="00A50E4D">
        <w:rPr>
          <w:bCs/>
          <w:iCs/>
          <w:lang w:val="en-US"/>
        </w:rPr>
        <w:t>ed all the appeals inadmissible without ruling on the</w:t>
      </w:r>
      <w:r w:rsidR="004C572C" w:rsidRPr="00A50E4D">
        <w:rPr>
          <w:bCs/>
          <w:iCs/>
          <w:lang w:val="en-US"/>
        </w:rPr>
        <w:t>ir merits.</w:t>
      </w:r>
      <w:r w:rsidR="00984788" w:rsidRPr="00A50E4D">
        <w:rPr>
          <w:bCs/>
          <w:iCs/>
          <w:lang w:val="en-US"/>
        </w:rPr>
        <w:t>”</w:t>
      </w:r>
      <w:r w:rsidR="005472DB" w:rsidRPr="00A50E4D">
        <w:rPr>
          <w:bCs/>
          <w:iCs/>
          <w:lang w:val="en-US"/>
        </w:rPr>
        <w:t xml:space="preserve"> </w:t>
      </w:r>
      <w:bookmarkStart w:id="309" w:name="_Ref427314699"/>
    </w:p>
    <w:p w14:paraId="1B5E400B" w14:textId="77777777" w:rsidR="005472DB" w:rsidRPr="00A50E4D" w:rsidRDefault="005472DB" w:rsidP="005472DB">
      <w:pPr>
        <w:rPr>
          <w:lang w:val="en-US" w:eastAsia="es-MX"/>
        </w:rPr>
      </w:pPr>
    </w:p>
    <w:p w14:paraId="09CBA52A" w14:textId="25C76824" w:rsidR="005472DB" w:rsidRPr="00A50E4D" w:rsidRDefault="00984788" w:rsidP="00C06982">
      <w:pPr>
        <w:pStyle w:val="PrrafodeSentencia"/>
        <w:rPr>
          <w:b/>
          <w:lang w:val="en-US"/>
        </w:rPr>
      </w:pPr>
      <w:r w:rsidRPr="00A50E4D">
        <w:rPr>
          <w:lang w:val="en-US"/>
        </w:rPr>
        <w:t xml:space="preserve">The </w:t>
      </w:r>
      <w:r w:rsidR="00AD5EE7" w:rsidRPr="00A50E4D">
        <w:rPr>
          <w:lang w:val="en-US"/>
        </w:rPr>
        <w:t>representatives</w:t>
      </w:r>
      <w:r w:rsidR="005472DB" w:rsidRPr="00A50E4D">
        <w:rPr>
          <w:lang w:val="en-US"/>
        </w:rPr>
        <w:t xml:space="preserve"> </w:t>
      </w:r>
      <w:r w:rsidR="004C572C" w:rsidRPr="00A50E4D">
        <w:rPr>
          <w:lang w:val="en-US"/>
        </w:rPr>
        <w:t xml:space="preserve">also </w:t>
      </w:r>
      <w:r w:rsidRPr="00A50E4D">
        <w:rPr>
          <w:lang w:val="en-US"/>
        </w:rPr>
        <w:t xml:space="preserve">asserted that the </w:t>
      </w:r>
      <w:r w:rsidR="000A786A" w:rsidRPr="00A50E4D">
        <w:rPr>
          <w:lang w:val="en-US"/>
        </w:rPr>
        <w:t>concentration</w:t>
      </w:r>
      <w:r w:rsidRPr="00A50E4D">
        <w:rPr>
          <w:lang w:val="en-US"/>
        </w:rPr>
        <w:t xml:space="preserve"> of judicial and administrative powers in </w:t>
      </w:r>
      <w:r w:rsidR="009808C5" w:rsidRPr="00A50E4D">
        <w:rPr>
          <w:lang w:val="en-US"/>
        </w:rPr>
        <w:t xml:space="preserve">the </w:t>
      </w:r>
      <w:r w:rsidR="00371BB7" w:rsidRPr="00A50E4D">
        <w:rPr>
          <w:lang w:val="en-US"/>
        </w:rPr>
        <w:t>Supreme Court of Justice</w:t>
      </w:r>
      <w:r w:rsidR="005472DB" w:rsidRPr="00A50E4D">
        <w:rPr>
          <w:lang w:val="en-US"/>
        </w:rPr>
        <w:t xml:space="preserve"> ha</w:t>
      </w:r>
      <w:r w:rsidRPr="00A50E4D">
        <w:rPr>
          <w:lang w:val="en-US"/>
        </w:rPr>
        <w:t xml:space="preserve">d impaired </w:t>
      </w:r>
      <w:r w:rsidR="00884A7E" w:rsidRPr="00A50E4D">
        <w:rPr>
          <w:lang w:val="en-US"/>
        </w:rPr>
        <w:t>judicial independence</w:t>
      </w:r>
      <w:r w:rsidR="005472DB" w:rsidRPr="00A50E4D">
        <w:rPr>
          <w:lang w:val="en-US"/>
        </w:rPr>
        <w:t xml:space="preserve">. </w:t>
      </w:r>
      <w:r w:rsidR="004C572C" w:rsidRPr="00A50E4D">
        <w:rPr>
          <w:lang w:val="en-US"/>
        </w:rPr>
        <w:t>Furthermore, they</w:t>
      </w:r>
      <w:r w:rsidRPr="00A50E4D">
        <w:rPr>
          <w:lang w:val="en-US"/>
        </w:rPr>
        <w:t xml:space="preserve"> indicated that the Judicial Service Council could not be considered independent for three reasons: </w:t>
      </w:r>
      <w:r w:rsidR="005472DB" w:rsidRPr="00A50E4D">
        <w:rPr>
          <w:lang w:val="en-US"/>
        </w:rPr>
        <w:t xml:space="preserve">(1) </w:t>
      </w:r>
      <w:r w:rsidRPr="00A50E4D">
        <w:rPr>
          <w:lang w:val="en-US"/>
        </w:rPr>
        <w:t xml:space="preserve">the irregularities and </w:t>
      </w:r>
      <w:r w:rsidR="004C572C" w:rsidRPr="00A50E4D">
        <w:rPr>
          <w:lang w:val="en-US"/>
        </w:rPr>
        <w:t>defects</w:t>
      </w:r>
      <w:r w:rsidRPr="00A50E4D">
        <w:rPr>
          <w:lang w:val="en-US"/>
        </w:rPr>
        <w:t xml:space="preserve"> in the process of appointing council members; </w:t>
      </w:r>
      <w:r w:rsidR="005472DB" w:rsidRPr="00A50E4D">
        <w:rPr>
          <w:lang w:val="en-US"/>
        </w:rPr>
        <w:t xml:space="preserve">(2) </w:t>
      </w:r>
      <w:r w:rsidRPr="00A50E4D">
        <w:rPr>
          <w:lang w:val="en-US"/>
        </w:rPr>
        <w:t xml:space="preserve">that there was no legal provision </w:t>
      </w:r>
      <w:r w:rsidR="000A786A" w:rsidRPr="00A50E4D">
        <w:rPr>
          <w:lang w:val="en-US"/>
        </w:rPr>
        <w:t>concerning</w:t>
      </w:r>
      <w:r w:rsidRPr="00A50E4D">
        <w:rPr>
          <w:lang w:val="en-US"/>
        </w:rPr>
        <w:t xml:space="preserve"> the appointment of </w:t>
      </w:r>
      <w:r w:rsidR="00DC3FD7" w:rsidRPr="00A50E4D">
        <w:rPr>
          <w:lang w:val="en-US"/>
        </w:rPr>
        <w:t>substitute member</w:t>
      </w:r>
      <w:r w:rsidRPr="00A50E4D">
        <w:rPr>
          <w:lang w:val="en-US"/>
        </w:rPr>
        <w:t>s, and “there is no information on the criteria and procedure used by the President of the Council to appoint substitute</w:t>
      </w:r>
      <w:r w:rsidR="00DC3FD7" w:rsidRPr="00A50E4D">
        <w:rPr>
          <w:lang w:val="en-US"/>
        </w:rPr>
        <w:t xml:space="preserve"> member</w:t>
      </w:r>
      <w:r w:rsidRPr="00A50E4D">
        <w:rPr>
          <w:lang w:val="en-US"/>
        </w:rPr>
        <w:t xml:space="preserve">s to </w:t>
      </w:r>
      <w:r w:rsidRPr="00A50E4D">
        <w:rPr>
          <w:lang w:val="en-US"/>
        </w:rPr>
        <w:lastRenderedPageBreak/>
        <w:t xml:space="preserve">incorporate the Council when hearing the appeals filed,” </w:t>
      </w:r>
      <w:r w:rsidR="009808C5" w:rsidRPr="00A50E4D">
        <w:rPr>
          <w:lang w:val="en-US"/>
        </w:rPr>
        <w:t xml:space="preserve">and </w:t>
      </w:r>
      <w:r w:rsidR="005472DB" w:rsidRPr="00A50E4D">
        <w:rPr>
          <w:lang w:val="en-US"/>
        </w:rPr>
        <w:t>(3) “</w:t>
      </w:r>
      <w:r w:rsidRPr="00A50E4D">
        <w:rPr>
          <w:lang w:val="en-US"/>
        </w:rPr>
        <w:t xml:space="preserve">the fact that it acted as </w:t>
      </w:r>
      <w:r w:rsidR="004C054B" w:rsidRPr="00A50E4D">
        <w:rPr>
          <w:lang w:val="en-US"/>
        </w:rPr>
        <w:t>a</w:t>
      </w:r>
      <w:r w:rsidRPr="00A50E4D">
        <w:rPr>
          <w:lang w:val="en-US"/>
        </w:rPr>
        <w:t xml:space="preserve"> review</w:t>
      </w:r>
      <w:r w:rsidR="004C054B" w:rsidRPr="00A50E4D">
        <w:rPr>
          <w:lang w:val="en-US"/>
        </w:rPr>
        <w:t>ing body of</w:t>
      </w:r>
      <w:r w:rsidRPr="00A50E4D">
        <w:rPr>
          <w:lang w:val="en-US"/>
        </w:rPr>
        <w:t xml:space="preserve"> […] its </w:t>
      </w:r>
      <w:r w:rsidR="004B0477" w:rsidRPr="00A50E4D">
        <w:rPr>
          <w:lang w:val="en-US"/>
        </w:rPr>
        <w:t>superior</w:t>
      </w:r>
      <w:r w:rsidR="004C054B" w:rsidRPr="00A50E4D">
        <w:rPr>
          <w:lang w:val="en-US"/>
        </w:rPr>
        <w:t xml:space="preserve"> in hierarchy</w:t>
      </w:r>
      <w:r w:rsidR="004B0477" w:rsidRPr="00A50E4D">
        <w:rPr>
          <w:lang w:val="en-US"/>
        </w:rPr>
        <w:t>.” As regards impartiality, they underscored</w:t>
      </w:r>
      <w:r w:rsidR="004C572C" w:rsidRPr="00A50E4D">
        <w:rPr>
          <w:lang w:val="en-US"/>
        </w:rPr>
        <w:t xml:space="preserve"> </w:t>
      </w:r>
      <w:r w:rsidR="004B0477" w:rsidRPr="00A50E4D">
        <w:rPr>
          <w:lang w:val="en-US"/>
        </w:rPr>
        <w:t xml:space="preserve">that, in general, </w:t>
      </w:r>
      <w:r w:rsidR="009808C5" w:rsidRPr="00A50E4D">
        <w:rPr>
          <w:lang w:val="en-US"/>
        </w:rPr>
        <w:t xml:space="preserve">the </w:t>
      </w:r>
      <w:r w:rsidR="00371BB7" w:rsidRPr="00A50E4D">
        <w:rPr>
          <w:lang w:val="en-US"/>
        </w:rPr>
        <w:t>Supreme Court of Justice</w:t>
      </w:r>
      <w:r w:rsidR="005472DB" w:rsidRPr="00A50E4D">
        <w:rPr>
          <w:lang w:val="en-US"/>
        </w:rPr>
        <w:t xml:space="preserve"> </w:t>
      </w:r>
      <w:r w:rsidR="004C054B" w:rsidRPr="00A50E4D">
        <w:rPr>
          <w:lang w:val="en-US"/>
        </w:rPr>
        <w:t xml:space="preserve">had </w:t>
      </w:r>
      <w:r w:rsidR="004B0477" w:rsidRPr="00A50E4D">
        <w:rPr>
          <w:lang w:val="en-US"/>
        </w:rPr>
        <w:t>defended the l</w:t>
      </w:r>
      <w:r w:rsidR="004C054B" w:rsidRPr="00A50E4D">
        <w:rPr>
          <w:lang w:val="en-US"/>
        </w:rPr>
        <w:t>awfulness</w:t>
      </w:r>
      <w:r w:rsidR="004B0477" w:rsidRPr="00A50E4D">
        <w:rPr>
          <w:lang w:val="en-US"/>
        </w:rPr>
        <w:t xml:space="preserve"> of the actions that led to the overthrow of the President at the time, so that “it was unthinkable that the said Court and its dependent organs could act</w:t>
      </w:r>
      <w:r w:rsidR="00C06982" w:rsidRPr="00A50E4D">
        <w:rPr>
          <w:lang w:val="en-US"/>
        </w:rPr>
        <w:t xml:space="preserve"> impartially in the </w:t>
      </w:r>
      <w:r w:rsidR="000A786A" w:rsidRPr="00A50E4D">
        <w:rPr>
          <w:lang w:val="en-US"/>
        </w:rPr>
        <w:t>disciplinary</w:t>
      </w:r>
      <w:r w:rsidR="00C06982" w:rsidRPr="00A50E4D">
        <w:rPr>
          <w:lang w:val="en-US"/>
        </w:rPr>
        <w:t xml:space="preserve"> proceedings of the [presumed] victims.”</w:t>
      </w:r>
      <w:r w:rsidR="00C06982" w:rsidRPr="00A50E4D">
        <w:rPr>
          <w:rStyle w:val="FootnoteReference"/>
          <w:sz w:val="20"/>
          <w:szCs w:val="20"/>
          <w:lang w:val="en-US"/>
        </w:rPr>
        <w:footnoteReference w:id="360"/>
      </w:r>
      <w:r w:rsidR="00C06982" w:rsidRPr="00A50E4D">
        <w:rPr>
          <w:szCs w:val="20"/>
          <w:lang w:val="en-US"/>
        </w:rPr>
        <w:t xml:space="preserve"> </w:t>
      </w:r>
      <w:r w:rsidR="00C06982" w:rsidRPr="00A50E4D">
        <w:rPr>
          <w:lang w:val="en-US"/>
        </w:rPr>
        <w:t>They added that the notes relating to the</w:t>
      </w:r>
      <w:r w:rsidR="004C054B" w:rsidRPr="00A50E4D">
        <w:rPr>
          <w:lang w:val="en-US"/>
        </w:rPr>
        <w:t xml:space="preserve"> transfer of the charges </w:t>
      </w:r>
      <w:r w:rsidR="005472DB" w:rsidRPr="00A50E4D">
        <w:rPr>
          <w:lang w:val="en-US"/>
        </w:rPr>
        <w:t>“</w:t>
      </w:r>
      <w:r w:rsidR="004B0477" w:rsidRPr="00A50E4D">
        <w:rPr>
          <w:lang w:val="en-US"/>
        </w:rPr>
        <w:t>asserted – before the corresponding proceedings had been held – that, during the investigations […</w:t>
      </w:r>
      <w:r w:rsidR="004C054B" w:rsidRPr="00A50E4D">
        <w:rPr>
          <w:lang w:val="en-US"/>
        </w:rPr>
        <w:t>, the presumed victims</w:t>
      </w:r>
      <w:r w:rsidR="004B0477" w:rsidRPr="00A50E4D">
        <w:rPr>
          <w:lang w:val="en-US"/>
        </w:rPr>
        <w:t>]</w:t>
      </w:r>
      <w:r w:rsidR="004C054B" w:rsidRPr="00A50E4D">
        <w:rPr>
          <w:lang w:val="en-US"/>
        </w:rPr>
        <w:t xml:space="preserve"> </w:t>
      </w:r>
      <w:r w:rsidR="004B0477" w:rsidRPr="00A50E4D">
        <w:rPr>
          <w:lang w:val="en-US"/>
        </w:rPr>
        <w:t>h</w:t>
      </w:r>
      <w:r w:rsidR="004C054B" w:rsidRPr="00A50E4D">
        <w:rPr>
          <w:lang w:val="en-US"/>
        </w:rPr>
        <w:t>ad been found responsible.” They indicated</w:t>
      </w:r>
      <w:r w:rsidR="004B0477" w:rsidRPr="00A50E4D">
        <w:rPr>
          <w:lang w:val="en-US"/>
        </w:rPr>
        <w:t xml:space="preserve"> that, “of the 81 applications for </w:t>
      </w:r>
      <w:r w:rsidR="00B11ACA" w:rsidRPr="00A50E4D">
        <w:rPr>
          <w:i/>
          <w:lang w:val="en-US"/>
        </w:rPr>
        <w:t>amparo</w:t>
      </w:r>
      <w:r w:rsidR="004B0477" w:rsidRPr="00A50E4D">
        <w:rPr>
          <w:lang w:val="en-US"/>
        </w:rPr>
        <w:t xml:space="preserve"> filed during the </w:t>
      </w:r>
      <w:r w:rsidR="00B11ACA" w:rsidRPr="00A50E4D">
        <w:rPr>
          <w:i/>
          <w:lang w:val="en-US"/>
        </w:rPr>
        <w:t>coup d’état</w:t>
      </w:r>
      <w:r w:rsidR="004B0477" w:rsidRPr="00A50E4D">
        <w:rPr>
          <w:lang w:val="en-US"/>
        </w:rPr>
        <w:t xml:space="preserve">, the Supreme Court decided two very rapidly, and these two related to the reinstatement of the head of the Armed Forces; </w:t>
      </w:r>
      <w:r w:rsidR="000A786A" w:rsidRPr="00A50E4D">
        <w:rPr>
          <w:lang w:val="en-US"/>
        </w:rPr>
        <w:t>meanwhile</w:t>
      </w:r>
      <w:r w:rsidR="004B0477" w:rsidRPr="00A50E4D">
        <w:rPr>
          <w:lang w:val="en-US"/>
        </w:rPr>
        <w:t>, the 79 appeals filed in relatio</w:t>
      </w:r>
      <w:r w:rsidR="004C054B" w:rsidRPr="00A50E4D">
        <w:rPr>
          <w:lang w:val="en-US"/>
        </w:rPr>
        <w:t>n to arbitrary detentions and a</w:t>
      </w:r>
      <w:r w:rsidR="004B0477" w:rsidRPr="00A50E4D">
        <w:rPr>
          <w:lang w:val="en-US"/>
        </w:rPr>
        <w:t xml:space="preserve"> series of</w:t>
      </w:r>
      <w:r w:rsidR="004C054B" w:rsidRPr="00A50E4D">
        <w:rPr>
          <w:lang w:val="en-US"/>
        </w:rPr>
        <w:t xml:space="preserve"> other</w:t>
      </w:r>
      <w:r w:rsidR="004B0477" w:rsidRPr="00A50E4D">
        <w:rPr>
          <w:lang w:val="en-US"/>
        </w:rPr>
        <w:t xml:space="preserve"> </w:t>
      </w:r>
      <w:r w:rsidR="004C054B" w:rsidRPr="00A50E4D">
        <w:rPr>
          <w:lang w:val="en-US"/>
        </w:rPr>
        <w:t>abuses</w:t>
      </w:r>
      <w:r w:rsidR="004B0477" w:rsidRPr="00A50E4D">
        <w:rPr>
          <w:lang w:val="en-US"/>
        </w:rPr>
        <w:t xml:space="preserve"> were not decided.”</w:t>
      </w:r>
      <w:r w:rsidR="005472DB" w:rsidRPr="00A50E4D">
        <w:rPr>
          <w:lang w:val="en-US"/>
        </w:rPr>
        <w:t xml:space="preserve"> </w:t>
      </w:r>
      <w:bookmarkEnd w:id="309"/>
    </w:p>
    <w:p w14:paraId="648BF474" w14:textId="77777777" w:rsidR="005472DB" w:rsidRPr="00A50E4D" w:rsidRDefault="005472DB" w:rsidP="005472DB">
      <w:pPr>
        <w:pStyle w:val="PrrafodeSentencia"/>
        <w:numPr>
          <w:ilvl w:val="0"/>
          <w:numId w:val="0"/>
        </w:numPr>
        <w:rPr>
          <w:lang w:val="en-US"/>
        </w:rPr>
      </w:pPr>
    </w:p>
    <w:p w14:paraId="37403A30" w14:textId="00C5D47D" w:rsidR="00F41EA1" w:rsidRPr="00A50E4D" w:rsidRDefault="009808C5" w:rsidP="00F41EA1">
      <w:pPr>
        <w:pStyle w:val="PrrafodeSentencia"/>
        <w:rPr>
          <w:lang w:val="en-US"/>
        </w:rPr>
      </w:pPr>
      <w:r w:rsidRPr="00A50E4D">
        <w:rPr>
          <w:lang w:val="en-US"/>
        </w:rPr>
        <w:t>The State</w:t>
      </w:r>
      <w:r w:rsidR="005472DB" w:rsidRPr="00A50E4D">
        <w:rPr>
          <w:lang w:val="en-US"/>
        </w:rPr>
        <w:t xml:space="preserve"> </w:t>
      </w:r>
      <w:r w:rsidR="004B0477" w:rsidRPr="00A50E4D">
        <w:rPr>
          <w:lang w:val="en-US"/>
        </w:rPr>
        <w:t xml:space="preserve">affirmed that the Constitution attributed to </w:t>
      </w:r>
      <w:r w:rsidRPr="00A50E4D">
        <w:rPr>
          <w:lang w:val="en-US"/>
        </w:rPr>
        <w:t xml:space="preserve">the </w:t>
      </w:r>
      <w:r w:rsidR="00371BB7" w:rsidRPr="00A50E4D">
        <w:rPr>
          <w:lang w:val="en-US"/>
        </w:rPr>
        <w:t>Supreme Court of Justice</w:t>
      </w:r>
      <w:r w:rsidR="005472DB" w:rsidRPr="00A50E4D">
        <w:rPr>
          <w:lang w:val="en-US"/>
        </w:rPr>
        <w:t xml:space="preserve"> </w:t>
      </w:r>
      <w:r w:rsidR="004B0477" w:rsidRPr="00A50E4D">
        <w:rPr>
          <w:lang w:val="en-US"/>
        </w:rPr>
        <w:t xml:space="preserve">the authority to </w:t>
      </w:r>
      <w:r w:rsidR="00694F2D" w:rsidRPr="00A50E4D">
        <w:rPr>
          <w:lang w:val="en-US"/>
        </w:rPr>
        <w:t xml:space="preserve">organize and </w:t>
      </w:r>
      <w:r w:rsidR="004B0477" w:rsidRPr="00A50E4D">
        <w:rPr>
          <w:lang w:val="en-US"/>
        </w:rPr>
        <w:t xml:space="preserve">direct the Judiciary, to appoint and to remove judges, </w:t>
      </w:r>
      <w:r w:rsidR="004C054B" w:rsidRPr="00A50E4D">
        <w:rPr>
          <w:lang w:val="en-US"/>
        </w:rPr>
        <w:t>and also</w:t>
      </w:r>
      <w:r w:rsidR="004B0477" w:rsidRPr="00A50E4D">
        <w:rPr>
          <w:lang w:val="en-US"/>
        </w:rPr>
        <w:t xml:space="preserve"> justices of the appellate courts, </w:t>
      </w:r>
      <w:r w:rsidR="004C054B" w:rsidRPr="00A50E4D">
        <w:rPr>
          <w:lang w:val="en-US"/>
        </w:rPr>
        <w:t>upon the</w:t>
      </w:r>
      <w:r w:rsidR="00171F4E" w:rsidRPr="00A50E4D">
        <w:rPr>
          <w:lang w:val="en-US"/>
        </w:rPr>
        <w:t xml:space="preserve"> </w:t>
      </w:r>
      <w:r w:rsidR="004C054B" w:rsidRPr="00A50E4D">
        <w:rPr>
          <w:lang w:val="en-US"/>
        </w:rPr>
        <w:t>recommendation of</w:t>
      </w:r>
      <w:r w:rsidR="006A756C" w:rsidRPr="00A50E4D">
        <w:rPr>
          <w:lang w:val="en-US"/>
        </w:rPr>
        <w:t xml:space="preserve"> the Judicial Service Council</w:t>
      </w:r>
      <w:r w:rsidR="005472DB" w:rsidRPr="00A50E4D">
        <w:rPr>
          <w:lang w:val="en-US"/>
        </w:rPr>
        <w:t xml:space="preserve">. </w:t>
      </w:r>
      <w:r w:rsidR="004B0477" w:rsidRPr="00A50E4D">
        <w:rPr>
          <w:lang w:val="en-US"/>
        </w:rPr>
        <w:t>It underlined that, following a ruling of</w:t>
      </w:r>
      <w:r w:rsidR="005472DB" w:rsidRPr="00A50E4D">
        <w:rPr>
          <w:lang w:val="en-US"/>
        </w:rPr>
        <w:t xml:space="preserve"> </w:t>
      </w:r>
      <w:r w:rsidRPr="00A50E4D">
        <w:rPr>
          <w:lang w:val="en-US"/>
        </w:rPr>
        <w:t xml:space="preserve">the </w:t>
      </w:r>
      <w:r w:rsidR="00700DEC" w:rsidRPr="00A50E4D">
        <w:rPr>
          <w:lang w:val="en-US"/>
        </w:rPr>
        <w:t>Supreme Court</w:t>
      </w:r>
      <w:r w:rsidR="005472DB" w:rsidRPr="00A50E4D">
        <w:rPr>
          <w:lang w:val="en-US"/>
        </w:rPr>
        <w:t>, “</w:t>
      </w:r>
      <w:r w:rsidR="004B0477" w:rsidRPr="00A50E4D">
        <w:rPr>
          <w:lang w:val="en-US"/>
        </w:rPr>
        <w:t xml:space="preserve">all judicial officials and employees go before </w:t>
      </w:r>
      <w:r w:rsidR="006A756C" w:rsidRPr="00A50E4D">
        <w:rPr>
          <w:lang w:val="en-US"/>
        </w:rPr>
        <w:t>the Judicial Service Council</w:t>
      </w:r>
      <w:r w:rsidR="005472DB" w:rsidRPr="00A50E4D">
        <w:rPr>
          <w:lang w:val="en-US"/>
        </w:rPr>
        <w:t xml:space="preserve"> </w:t>
      </w:r>
      <w:r w:rsidR="004B0477" w:rsidRPr="00A50E4D">
        <w:rPr>
          <w:lang w:val="en-US"/>
        </w:rPr>
        <w:t>to file their appeals,” and this is what</w:t>
      </w:r>
      <w:r w:rsidR="005472DB" w:rsidRPr="00A50E4D">
        <w:rPr>
          <w:lang w:val="en-US"/>
        </w:rPr>
        <w:t xml:space="preserve"> </w:t>
      </w:r>
      <w:r w:rsidR="00371BB7" w:rsidRPr="00A50E4D">
        <w:rPr>
          <w:lang w:val="en-US"/>
        </w:rPr>
        <w:t>the presumed victims</w:t>
      </w:r>
      <w:r w:rsidR="004B0477" w:rsidRPr="00A50E4D">
        <w:rPr>
          <w:lang w:val="en-US"/>
        </w:rPr>
        <w:t xml:space="preserve"> did</w:t>
      </w:r>
      <w:r w:rsidR="005472DB" w:rsidRPr="00A50E4D">
        <w:rPr>
          <w:lang w:val="en-US"/>
        </w:rPr>
        <w:t xml:space="preserve"> </w:t>
      </w:r>
      <w:r w:rsidR="00277E12" w:rsidRPr="00A50E4D">
        <w:rPr>
          <w:lang w:val="en-US"/>
        </w:rPr>
        <w:t>in this case</w:t>
      </w:r>
      <w:r w:rsidR="005472DB" w:rsidRPr="00A50E4D">
        <w:rPr>
          <w:lang w:val="en-US"/>
        </w:rPr>
        <w:t xml:space="preserve">. </w:t>
      </w:r>
      <w:r w:rsidR="004B0477" w:rsidRPr="00A50E4D">
        <w:rPr>
          <w:lang w:val="en-US"/>
        </w:rPr>
        <w:t>It also indicated that, in the administrative proce</w:t>
      </w:r>
      <w:r w:rsidR="004C054B" w:rsidRPr="00A50E4D">
        <w:rPr>
          <w:lang w:val="en-US"/>
        </w:rPr>
        <w:t>dures</w:t>
      </w:r>
      <w:r w:rsidR="004B0477" w:rsidRPr="00A50E4D">
        <w:rPr>
          <w:lang w:val="en-US"/>
        </w:rPr>
        <w:t xml:space="preserve"> held by </w:t>
      </w:r>
      <w:r w:rsidR="006A756C" w:rsidRPr="00A50E4D">
        <w:rPr>
          <w:lang w:val="en-US"/>
        </w:rPr>
        <w:t>the Judicial Service Council</w:t>
      </w:r>
      <w:r w:rsidR="005472DB" w:rsidRPr="00A50E4D">
        <w:rPr>
          <w:lang w:val="en-US"/>
        </w:rPr>
        <w:t xml:space="preserve">, </w:t>
      </w:r>
      <w:r w:rsidR="004B0477" w:rsidRPr="00A50E4D">
        <w:rPr>
          <w:lang w:val="en-US"/>
        </w:rPr>
        <w:t>none of the justices intervened who had heard the dismissal</w:t>
      </w:r>
      <w:r w:rsidR="004C054B" w:rsidRPr="00A50E4D">
        <w:rPr>
          <w:lang w:val="en-US"/>
        </w:rPr>
        <w:t xml:space="preserve"> proceedings</w:t>
      </w:r>
      <w:r w:rsidR="004B0477" w:rsidRPr="00A50E4D">
        <w:rPr>
          <w:lang w:val="en-US"/>
        </w:rPr>
        <w:t xml:space="preserve">, and the Council </w:t>
      </w:r>
      <w:r w:rsidR="005472DB" w:rsidRPr="00A50E4D">
        <w:rPr>
          <w:lang w:val="en-US"/>
        </w:rPr>
        <w:t>“</w:t>
      </w:r>
      <w:r w:rsidR="004B0477" w:rsidRPr="00A50E4D">
        <w:rPr>
          <w:lang w:val="en-US"/>
        </w:rPr>
        <w:t xml:space="preserve">was composed of outstanding </w:t>
      </w:r>
      <w:r w:rsidR="000A786A" w:rsidRPr="00A50E4D">
        <w:rPr>
          <w:lang w:val="en-US"/>
        </w:rPr>
        <w:t>officials</w:t>
      </w:r>
      <w:r w:rsidR="004B0477" w:rsidRPr="00A50E4D">
        <w:rPr>
          <w:lang w:val="en-US"/>
        </w:rPr>
        <w:t xml:space="preserve"> who had entered the Judiciary b</w:t>
      </w:r>
      <w:r w:rsidR="00F41EA1" w:rsidRPr="00A50E4D">
        <w:rPr>
          <w:lang w:val="en-US"/>
        </w:rPr>
        <w:t>y means of a competitive procedure</w:t>
      </w:r>
      <w:r w:rsidR="004B0477" w:rsidRPr="00A50E4D">
        <w:rPr>
          <w:lang w:val="en-US"/>
        </w:rPr>
        <w:t xml:space="preserve"> and who had </w:t>
      </w:r>
      <w:r w:rsidR="004C054B" w:rsidRPr="00A50E4D">
        <w:rPr>
          <w:lang w:val="en-US"/>
        </w:rPr>
        <w:t>enjoyed</w:t>
      </w:r>
      <w:r w:rsidR="004B0477" w:rsidRPr="00A50E4D">
        <w:rPr>
          <w:lang w:val="en-US"/>
        </w:rPr>
        <w:t xml:space="preserve"> a long and unblemished professional career, in order to ensure the principles of impartiality and objectivity.”</w:t>
      </w:r>
    </w:p>
    <w:p w14:paraId="7BC8EE62" w14:textId="77777777" w:rsidR="00B101DF" w:rsidRPr="00A50E4D" w:rsidRDefault="00B101DF" w:rsidP="00B101DF">
      <w:pPr>
        <w:rPr>
          <w:lang w:val="en-US"/>
        </w:rPr>
      </w:pPr>
    </w:p>
    <w:p w14:paraId="57EF870C" w14:textId="203513FE" w:rsidR="005472DB" w:rsidRPr="00A50E4D" w:rsidRDefault="005472DB" w:rsidP="005472DB">
      <w:pPr>
        <w:pStyle w:val="Heading3"/>
        <w:rPr>
          <w:spacing w:val="-4"/>
          <w:lang w:val="en-US"/>
        </w:rPr>
      </w:pPr>
      <w:bookmarkStart w:id="310" w:name="_Toc431584649"/>
      <w:bookmarkStart w:id="311" w:name="_Toc471717283"/>
      <w:r w:rsidRPr="00A50E4D">
        <w:rPr>
          <w:spacing w:val="-4"/>
          <w:lang w:val="en-US"/>
        </w:rPr>
        <w:t xml:space="preserve">B.2) </w:t>
      </w:r>
      <w:r w:rsidR="001D6DF6" w:rsidRPr="00A50E4D">
        <w:rPr>
          <w:spacing w:val="-4"/>
          <w:lang w:val="en-US"/>
        </w:rPr>
        <w:t>Considerations</w:t>
      </w:r>
      <w:r w:rsidR="009808C5" w:rsidRPr="00A50E4D">
        <w:rPr>
          <w:spacing w:val="-4"/>
          <w:lang w:val="en-US"/>
        </w:rPr>
        <w:t xml:space="preserve"> of the Court</w:t>
      </w:r>
      <w:bookmarkEnd w:id="310"/>
      <w:bookmarkEnd w:id="311"/>
    </w:p>
    <w:p w14:paraId="1B1CAB6E" w14:textId="77777777" w:rsidR="005472DB" w:rsidRPr="00A50E4D" w:rsidRDefault="005472DB" w:rsidP="005472DB">
      <w:pPr>
        <w:rPr>
          <w:spacing w:val="-4"/>
          <w:lang w:val="en-US" w:eastAsia="es-MX"/>
        </w:rPr>
      </w:pPr>
    </w:p>
    <w:p w14:paraId="35E96D29" w14:textId="47361BBA" w:rsidR="005472DB" w:rsidRPr="00A50E4D" w:rsidRDefault="009C392D" w:rsidP="005472DB">
      <w:pPr>
        <w:pStyle w:val="PrrafodeSentencia"/>
        <w:rPr>
          <w:szCs w:val="20"/>
          <w:lang w:val="en-US"/>
        </w:rPr>
      </w:pPr>
      <w:bookmarkStart w:id="312" w:name="_Ref431213752"/>
      <w:bookmarkStart w:id="313" w:name="_Ref433289375"/>
      <w:r w:rsidRPr="00A50E4D">
        <w:rPr>
          <w:lang w:val="en-US"/>
        </w:rPr>
        <w:t xml:space="preserve">This Court has indicated that the guarantees contemplated in </w:t>
      </w:r>
      <w:r w:rsidR="009808C5" w:rsidRPr="00A50E4D">
        <w:rPr>
          <w:color w:val="000000"/>
          <w:lang w:val="en-US"/>
        </w:rPr>
        <w:t>Article</w:t>
      </w:r>
      <w:r w:rsidR="005472DB" w:rsidRPr="00A50E4D">
        <w:rPr>
          <w:color w:val="000000"/>
          <w:lang w:val="en-US"/>
        </w:rPr>
        <w:t xml:space="preserve"> </w:t>
      </w:r>
      <w:r w:rsidR="00EA5E90" w:rsidRPr="00A50E4D">
        <w:rPr>
          <w:color w:val="000000"/>
          <w:lang w:val="en-US"/>
        </w:rPr>
        <w:t>8(1)</w:t>
      </w:r>
      <w:r w:rsidR="009808C5" w:rsidRPr="00A50E4D">
        <w:rPr>
          <w:color w:val="000000"/>
          <w:lang w:val="en-US"/>
        </w:rPr>
        <w:t xml:space="preserve"> of the Convention</w:t>
      </w:r>
      <w:r w:rsidR="005472DB" w:rsidRPr="00A50E4D">
        <w:rPr>
          <w:color w:val="000000"/>
          <w:lang w:val="en-US"/>
        </w:rPr>
        <w:t xml:space="preserve"> </w:t>
      </w:r>
      <w:r w:rsidRPr="00A50E4D">
        <w:rPr>
          <w:color w:val="000000"/>
          <w:lang w:val="en-US"/>
        </w:rPr>
        <w:t>are also applicable in the event that a non-judicial authority adopts decisions that affect the determination of the rights of the individual,</w:t>
      </w:r>
      <w:r w:rsidR="005472DB" w:rsidRPr="00A50E4D">
        <w:rPr>
          <w:vertAlign w:val="superscript"/>
          <w:lang w:val="en-US"/>
        </w:rPr>
        <w:footnoteReference w:id="361"/>
      </w:r>
      <w:r w:rsidR="00694F2D" w:rsidRPr="00A50E4D">
        <w:rPr>
          <w:lang w:val="en-US"/>
        </w:rPr>
        <w:t xml:space="preserve"> although such an authority</w:t>
      </w:r>
      <w:r w:rsidRPr="00A50E4D">
        <w:rPr>
          <w:lang w:val="en-US"/>
        </w:rPr>
        <w:t xml:space="preserve"> </w:t>
      </w:r>
      <w:r w:rsidR="00CB63E6" w:rsidRPr="00A50E4D">
        <w:rPr>
          <w:lang w:val="en-US"/>
        </w:rPr>
        <w:t xml:space="preserve">cannot be required to comply with </w:t>
      </w:r>
      <w:r w:rsidRPr="00A50E4D">
        <w:rPr>
          <w:lang w:val="en-US"/>
        </w:rPr>
        <w:t xml:space="preserve">the guarantees inherent in a judicial organ, it must still </w:t>
      </w:r>
      <w:r w:rsidR="00CB63E6" w:rsidRPr="00A50E4D">
        <w:rPr>
          <w:lang w:val="en-US"/>
        </w:rPr>
        <w:t>provide</w:t>
      </w:r>
      <w:r w:rsidRPr="00A50E4D">
        <w:rPr>
          <w:lang w:val="en-US"/>
        </w:rPr>
        <w:t xml:space="preserve"> those aimed at ensuring that </w:t>
      </w:r>
      <w:r w:rsidR="00CB63E6" w:rsidRPr="00A50E4D">
        <w:rPr>
          <w:lang w:val="en-US"/>
        </w:rPr>
        <w:t>its</w:t>
      </w:r>
      <w:r w:rsidRPr="00A50E4D">
        <w:rPr>
          <w:lang w:val="en-US"/>
        </w:rPr>
        <w:t xml:space="preserve"> decision</w:t>
      </w:r>
      <w:r w:rsidR="00694F2D" w:rsidRPr="00A50E4D">
        <w:rPr>
          <w:lang w:val="en-US"/>
        </w:rPr>
        <w:t>s are</w:t>
      </w:r>
      <w:r w:rsidRPr="00A50E4D">
        <w:rPr>
          <w:lang w:val="en-US"/>
        </w:rPr>
        <w:t xml:space="preserve"> not arbitrary.</w:t>
      </w:r>
      <w:r w:rsidR="005472DB" w:rsidRPr="00A50E4D">
        <w:rPr>
          <w:vertAlign w:val="superscript"/>
          <w:lang w:val="en-US"/>
        </w:rPr>
        <w:footnoteReference w:id="362"/>
      </w:r>
      <w:r w:rsidR="005472DB" w:rsidRPr="00A50E4D">
        <w:rPr>
          <w:color w:val="000000"/>
          <w:lang w:val="en-US"/>
        </w:rPr>
        <w:t xml:space="preserve"> </w:t>
      </w:r>
      <w:r w:rsidR="009808C5" w:rsidRPr="00A50E4D">
        <w:rPr>
          <w:lang w:val="en-US"/>
        </w:rPr>
        <w:t>The Court</w:t>
      </w:r>
      <w:r w:rsidR="005472DB" w:rsidRPr="00A50E4D">
        <w:rPr>
          <w:lang w:val="en-US"/>
        </w:rPr>
        <w:t xml:space="preserve"> consider</w:t>
      </w:r>
      <w:r w:rsidR="00CB63E6" w:rsidRPr="00A50E4D">
        <w:rPr>
          <w:lang w:val="en-US"/>
        </w:rPr>
        <w:t>s that the organs for the</w:t>
      </w:r>
      <w:r w:rsidRPr="00A50E4D">
        <w:rPr>
          <w:lang w:val="en-US"/>
        </w:rPr>
        <w:t xml:space="preserve"> administration and regulation of the judicial service that intervened in </w:t>
      </w:r>
      <w:r w:rsidR="00687A44" w:rsidRPr="00A50E4D">
        <w:rPr>
          <w:lang w:val="en-US"/>
        </w:rPr>
        <w:t>the disciplinary proceedings</w:t>
      </w:r>
      <w:r w:rsidR="00371BB7" w:rsidRPr="00A50E4D">
        <w:rPr>
          <w:lang w:val="en-US"/>
        </w:rPr>
        <w:t xml:space="preserve"> of the presumed victims</w:t>
      </w:r>
      <w:r w:rsidR="005472DB" w:rsidRPr="00A50E4D">
        <w:rPr>
          <w:lang w:val="en-US"/>
        </w:rPr>
        <w:t xml:space="preserve"> </w:t>
      </w:r>
      <w:r w:rsidRPr="00A50E4D">
        <w:rPr>
          <w:lang w:val="en-US"/>
        </w:rPr>
        <w:t>should have</w:t>
      </w:r>
      <w:r w:rsidR="00CB63E6" w:rsidRPr="00A50E4D">
        <w:rPr>
          <w:lang w:val="en-US"/>
        </w:rPr>
        <w:t xml:space="preserve"> adopted</w:t>
      </w:r>
      <w:r w:rsidRPr="00A50E4D">
        <w:rPr>
          <w:lang w:val="en-US"/>
        </w:rPr>
        <w:t xml:space="preserve"> </w:t>
      </w:r>
      <w:r w:rsidR="00694F2D" w:rsidRPr="00A50E4D">
        <w:rPr>
          <w:lang w:val="en-US"/>
        </w:rPr>
        <w:t>their</w:t>
      </w:r>
      <w:r w:rsidR="00CB63E6" w:rsidRPr="00A50E4D">
        <w:rPr>
          <w:lang w:val="en-US"/>
        </w:rPr>
        <w:t xml:space="preserve"> decisions fully respecting </w:t>
      </w:r>
      <w:r w:rsidR="00884A7E" w:rsidRPr="00A50E4D">
        <w:rPr>
          <w:lang w:val="en-US"/>
        </w:rPr>
        <w:t>the guarantees of due process</w:t>
      </w:r>
      <w:r w:rsidR="005472DB" w:rsidRPr="00A50E4D">
        <w:rPr>
          <w:lang w:val="en-US"/>
        </w:rPr>
        <w:t xml:space="preserve"> establ</w:t>
      </w:r>
      <w:r w:rsidRPr="00A50E4D">
        <w:rPr>
          <w:lang w:val="en-US"/>
        </w:rPr>
        <w:t>ished in</w:t>
      </w:r>
      <w:r w:rsidR="005472DB" w:rsidRPr="00A50E4D">
        <w:rPr>
          <w:lang w:val="en-US"/>
        </w:rPr>
        <w:t xml:space="preserve"> </w:t>
      </w:r>
      <w:r w:rsidR="009808C5" w:rsidRPr="00A50E4D">
        <w:rPr>
          <w:lang w:val="en-US"/>
        </w:rPr>
        <w:t>Article</w:t>
      </w:r>
      <w:r w:rsidR="005472DB" w:rsidRPr="00A50E4D">
        <w:rPr>
          <w:lang w:val="en-US"/>
        </w:rPr>
        <w:t xml:space="preserve"> </w:t>
      </w:r>
      <w:r w:rsidR="00EA5E90" w:rsidRPr="00A50E4D">
        <w:rPr>
          <w:lang w:val="en-US"/>
        </w:rPr>
        <w:t>8(1)</w:t>
      </w:r>
      <w:r w:rsidR="009808C5" w:rsidRPr="00A50E4D">
        <w:rPr>
          <w:lang w:val="en-US"/>
        </w:rPr>
        <w:t xml:space="preserve"> of the American Convention</w:t>
      </w:r>
      <w:r w:rsidR="005472DB" w:rsidRPr="00A50E4D">
        <w:rPr>
          <w:lang w:val="en-US"/>
        </w:rPr>
        <w:t>.</w:t>
      </w:r>
      <w:r w:rsidRPr="00A50E4D">
        <w:rPr>
          <w:lang w:val="en-US"/>
        </w:rPr>
        <w:t xml:space="preserve"> The Court will now examine the different violations of due process alleged by </w:t>
      </w:r>
      <w:r w:rsidR="00371BB7" w:rsidRPr="00A50E4D">
        <w:rPr>
          <w:szCs w:val="20"/>
          <w:lang w:val="en-US"/>
        </w:rPr>
        <w:t>the presumed victims</w:t>
      </w:r>
      <w:r w:rsidR="005472DB" w:rsidRPr="00A50E4D">
        <w:rPr>
          <w:szCs w:val="20"/>
          <w:lang w:val="en-US"/>
        </w:rPr>
        <w:t xml:space="preserve">, </w:t>
      </w:r>
      <w:r w:rsidR="00694F2D" w:rsidRPr="00A50E4D">
        <w:rPr>
          <w:szCs w:val="20"/>
          <w:lang w:val="en-US"/>
        </w:rPr>
        <w:t xml:space="preserve">bearing in mind </w:t>
      </w:r>
      <w:r w:rsidRPr="00A50E4D">
        <w:rPr>
          <w:szCs w:val="20"/>
          <w:lang w:val="en-US"/>
        </w:rPr>
        <w:t>these consider</w:t>
      </w:r>
      <w:r w:rsidR="00CB63E6" w:rsidRPr="00A50E4D">
        <w:rPr>
          <w:szCs w:val="20"/>
          <w:lang w:val="en-US"/>
        </w:rPr>
        <w:t>a</w:t>
      </w:r>
      <w:r w:rsidRPr="00A50E4D">
        <w:rPr>
          <w:szCs w:val="20"/>
          <w:lang w:val="en-US"/>
        </w:rPr>
        <w:t xml:space="preserve">tions, as well as its conclusions in Chapter </w:t>
      </w:r>
      <w:bookmarkEnd w:id="312"/>
      <w:r w:rsidR="005472DB" w:rsidRPr="00A50E4D">
        <w:rPr>
          <w:szCs w:val="20"/>
          <w:lang w:val="en-US"/>
        </w:rPr>
        <w:t xml:space="preserve">VII-1 </w:t>
      </w:r>
      <w:bookmarkEnd w:id="313"/>
      <w:r w:rsidRPr="00A50E4D">
        <w:rPr>
          <w:szCs w:val="20"/>
          <w:lang w:val="en-US"/>
        </w:rPr>
        <w:t>of this judgment.</w:t>
      </w:r>
      <w:r w:rsidR="005472DB" w:rsidRPr="00A50E4D">
        <w:rPr>
          <w:szCs w:val="20"/>
          <w:lang w:val="en-US"/>
        </w:rPr>
        <w:t xml:space="preserve">  </w:t>
      </w:r>
    </w:p>
    <w:p w14:paraId="570D7B56" w14:textId="77777777" w:rsidR="005472DB" w:rsidRPr="00A50E4D" w:rsidRDefault="005472DB" w:rsidP="005472DB">
      <w:pPr>
        <w:pStyle w:val="PrrafodeSentencia"/>
        <w:numPr>
          <w:ilvl w:val="0"/>
          <w:numId w:val="0"/>
        </w:numPr>
        <w:rPr>
          <w:szCs w:val="20"/>
          <w:lang w:val="en-US"/>
        </w:rPr>
      </w:pPr>
    </w:p>
    <w:p w14:paraId="3B4169FC" w14:textId="44A50D75" w:rsidR="005472DB" w:rsidRPr="00A50E4D" w:rsidRDefault="00CB63E6" w:rsidP="005472DB">
      <w:pPr>
        <w:pStyle w:val="PrrafodeSentencia"/>
        <w:rPr>
          <w:szCs w:val="20"/>
          <w:lang w:val="en-US"/>
        </w:rPr>
      </w:pPr>
      <w:bookmarkStart w:id="314" w:name="_Ref427186510"/>
      <w:r w:rsidRPr="00A50E4D">
        <w:rPr>
          <w:szCs w:val="20"/>
          <w:lang w:val="en-US"/>
        </w:rPr>
        <w:t xml:space="preserve">In this case, the four presumed victims were subjected to </w:t>
      </w:r>
      <w:r w:rsidR="00C4689E" w:rsidRPr="00A50E4D">
        <w:rPr>
          <w:szCs w:val="20"/>
          <w:lang w:val="en-US"/>
        </w:rPr>
        <w:t>disciplinary proceedings</w:t>
      </w:r>
      <w:r w:rsidRPr="00A50E4D">
        <w:rPr>
          <w:szCs w:val="20"/>
          <w:lang w:val="en-US"/>
        </w:rPr>
        <w:t xml:space="preserve"> under a procedure </w:t>
      </w:r>
      <w:r w:rsidR="000A786A" w:rsidRPr="00A50E4D">
        <w:rPr>
          <w:szCs w:val="20"/>
          <w:lang w:val="en-US"/>
        </w:rPr>
        <w:t>that</w:t>
      </w:r>
      <w:r w:rsidRPr="00A50E4D">
        <w:rPr>
          <w:szCs w:val="20"/>
          <w:lang w:val="en-US"/>
        </w:rPr>
        <w:t xml:space="preserve"> was not established by law. </w:t>
      </w:r>
      <w:r w:rsidR="00694F2D" w:rsidRPr="00A50E4D">
        <w:rPr>
          <w:szCs w:val="20"/>
          <w:lang w:val="en-US"/>
        </w:rPr>
        <w:t xml:space="preserve">In point of fact, </w:t>
      </w:r>
      <w:r w:rsidRPr="00A50E4D">
        <w:rPr>
          <w:szCs w:val="20"/>
          <w:lang w:val="en-US"/>
        </w:rPr>
        <w:t xml:space="preserve">Honduran law provided for two procedures: </w:t>
      </w:r>
      <w:r w:rsidR="005472DB" w:rsidRPr="00A50E4D">
        <w:rPr>
          <w:szCs w:val="20"/>
          <w:lang w:val="en-US"/>
        </w:rPr>
        <w:t xml:space="preserve">(1) </w:t>
      </w:r>
      <w:r w:rsidRPr="00A50E4D">
        <w:rPr>
          <w:szCs w:val="20"/>
          <w:lang w:val="en-US"/>
        </w:rPr>
        <w:t xml:space="preserve">the one established by </w:t>
      </w:r>
      <w:r w:rsidR="00314E4B" w:rsidRPr="00A50E4D">
        <w:rPr>
          <w:szCs w:val="20"/>
          <w:lang w:val="en-US"/>
        </w:rPr>
        <w:t>the Constitution</w:t>
      </w:r>
      <w:r w:rsidR="005472DB" w:rsidRPr="00A50E4D">
        <w:rPr>
          <w:szCs w:val="20"/>
          <w:lang w:val="en-US"/>
        </w:rPr>
        <w:t xml:space="preserve">, </w:t>
      </w:r>
      <w:r w:rsidRPr="00A50E4D">
        <w:rPr>
          <w:szCs w:val="20"/>
          <w:lang w:val="en-US"/>
        </w:rPr>
        <w:t xml:space="preserve">according to which </w:t>
      </w:r>
      <w:r w:rsidR="009808C5" w:rsidRPr="00A50E4D">
        <w:rPr>
          <w:szCs w:val="20"/>
          <w:lang w:val="en-US"/>
        </w:rPr>
        <w:t xml:space="preserve">the </w:t>
      </w:r>
      <w:r w:rsidR="00700DEC" w:rsidRPr="00A50E4D">
        <w:rPr>
          <w:szCs w:val="20"/>
          <w:lang w:val="en-US"/>
        </w:rPr>
        <w:t>Supreme Court</w:t>
      </w:r>
      <w:r w:rsidR="005472DB" w:rsidRPr="00A50E4D">
        <w:rPr>
          <w:szCs w:val="20"/>
          <w:lang w:val="en-US"/>
        </w:rPr>
        <w:t xml:space="preserve"> </w:t>
      </w:r>
      <w:r w:rsidRPr="00A50E4D">
        <w:rPr>
          <w:szCs w:val="20"/>
          <w:lang w:val="en-US"/>
        </w:rPr>
        <w:t>appoint</w:t>
      </w:r>
      <w:r w:rsidR="00694F2D" w:rsidRPr="00A50E4D">
        <w:rPr>
          <w:szCs w:val="20"/>
          <w:lang w:val="en-US"/>
        </w:rPr>
        <w:t>ed</w:t>
      </w:r>
      <w:r w:rsidRPr="00A50E4D">
        <w:rPr>
          <w:szCs w:val="20"/>
          <w:lang w:val="en-US"/>
        </w:rPr>
        <w:t xml:space="preserve"> and removed judges </w:t>
      </w:r>
      <w:r w:rsidR="00171F4E" w:rsidRPr="00A50E4D">
        <w:rPr>
          <w:szCs w:val="20"/>
          <w:lang w:val="en-US"/>
        </w:rPr>
        <w:t>following a</w:t>
      </w:r>
      <w:r w:rsidRPr="00A50E4D">
        <w:rPr>
          <w:szCs w:val="20"/>
          <w:lang w:val="en-US"/>
        </w:rPr>
        <w:t xml:space="preserve"> recommendation </w:t>
      </w:r>
      <w:r w:rsidR="00171F4E" w:rsidRPr="00A50E4D">
        <w:rPr>
          <w:szCs w:val="20"/>
          <w:lang w:val="en-US"/>
        </w:rPr>
        <w:t>by</w:t>
      </w:r>
      <w:r w:rsidR="006A756C" w:rsidRPr="00A50E4D">
        <w:rPr>
          <w:szCs w:val="20"/>
          <w:lang w:val="en-US"/>
        </w:rPr>
        <w:t xml:space="preserve"> the Judicial Service Council</w:t>
      </w:r>
      <w:r w:rsidRPr="00A50E4D">
        <w:rPr>
          <w:szCs w:val="20"/>
          <w:lang w:val="en-US"/>
        </w:rPr>
        <w:t>,</w:t>
      </w:r>
      <w:r w:rsidR="005472DB" w:rsidRPr="00A50E4D">
        <w:rPr>
          <w:rStyle w:val="FootnoteReference"/>
          <w:sz w:val="20"/>
          <w:szCs w:val="20"/>
          <w:lang w:val="en-US"/>
        </w:rPr>
        <w:footnoteReference w:id="363"/>
      </w:r>
      <w:r w:rsidR="009808C5" w:rsidRPr="00A50E4D">
        <w:rPr>
          <w:szCs w:val="20"/>
          <w:lang w:val="en-US"/>
        </w:rPr>
        <w:t xml:space="preserve"> and </w:t>
      </w:r>
      <w:r w:rsidR="005472DB" w:rsidRPr="00A50E4D">
        <w:rPr>
          <w:szCs w:val="20"/>
          <w:lang w:val="en-US"/>
        </w:rPr>
        <w:t xml:space="preserve">(2) </w:t>
      </w:r>
      <w:r w:rsidRPr="00A50E4D">
        <w:rPr>
          <w:szCs w:val="20"/>
          <w:lang w:val="en-US"/>
        </w:rPr>
        <w:t>the one</w:t>
      </w:r>
      <w:r w:rsidR="005472DB" w:rsidRPr="00A50E4D">
        <w:rPr>
          <w:szCs w:val="20"/>
          <w:lang w:val="en-US"/>
        </w:rPr>
        <w:t xml:space="preserve"> </w:t>
      </w:r>
      <w:r w:rsidR="00884A7E" w:rsidRPr="00A50E4D">
        <w:rPr>
          <w:szCs w:val="20"/>
          <w:lang w:val="en-US"/>
        </w:rPr>
        <w:t>established in</w:t>
      </w:r>
      <w:r w:rsidR="005472DB" w:rsidRPr="00A50E4D">
        <w:rPr>
          <w:szCs w:val="20"/>
          <w:lang w:val="en-US"/>
        </w:rPr>
        <w:t xml:space="preserve"> </w:t>
      </w:r>
      <w:r w:rsidR="004D0F32" w:rsidRPr="00A50E4D">
        <w:rPr>
          <w:szCs w:val="20"/>
          <w:lang w:val="en-US"/>
        </w:rPr>
        <w:t>the Judicial</w:t>
      </w:r>
      <w:r w:rsidR="00277E12" w:rsidRPr="00A50E4D">
        <w:rPr>
          <w:szCs w:val="20"/>
          <w:lang w:val="en-US"/>
        </w:rPr>
        <w:t xml:space="preserve"> Service Act</w:t>
      </w:r>
      <w:r w:rsidR="009808C5" w:rsidRPr="00A50E4D">
        <w:rPr>
          <w:szCs w:val="20"/>
          <w:lang w:val="en-US"/>
        </w:rPr>
        <w:t xml:space="preserve"> and </w:t>
      </w:r>
      <w:r w:rsidR="00171F4E" w:rsidRPr="00A50E4D">
        <w:rPr>
          <w:szCs w:val="20"/>
          <w:lang w:val="en-US"/>
        </w:rPr>
        <w:t>its Regulations</w:t>
      </w:r>
      <w:r w:rsidR="005472DB" w:rsidRPr="00A50E4D">
        <w:rPr>
          <w:szCs w:val="20"/>
          <w:lang w:val="en-US"/>
        </w:rPr>
        <w:t xml:space="preserve">, </w:t>
      </w:r>
      <w:r w:rsidRPr="00A50E4D">
        <w:rPr>
          <w:szCs w:val="20"/>
          <w:lang w:val="en-US"/>
        </w:rPr>
        <w:t xml:space="preserve">according to which </w:t>
      </w:r>
      <w:r w:rsidR="004D0F32" w:rsidRPr="00A50E4D">
        <w:rPr>
          <w:szCs w:val="20"/>
          <w:lang w:val="en-US"/>
        </w:rPr>
        <w:t xml:space="preserve">the </w:t>
      </w:r>
      <w:r w:rsidR="00D563D1" w:rsidRPr="00A50E4D">
        <w:rPr>
          <w:szCs w:val="20"/>
          <w:lang w:val="en-US"/>
        </w:rPr>
        <w:t>Personnel Management Directorate</w:t>
      </w:r>
      <w:r w:rsidR="005472DB" w:rsidRPr="00A50E4D">
        <w:rPr>
          <w:szCs w:val="20"/>
          <w:lang w:val="en-US"/>
        </w:rPr>
        <w:t xml:space="preserve"> </w:t>
      </w:r>
      <w:r w:rsidRPr="00A50E4D">
        <w:rPr>
          <w:szCs w:val="20"/>
          <w:lang w:val="en-US"/>
        </w:rPr>
        <w:t xml:space="preserve">took the initial decision, or the decision of first instance, on the </w:t>
      </w:r>
      <w:r w:rsidRPr="00A50E4D">
        <w:rPr>
          <w:szCs w:val="20"/>
          <w:lang w:val="en-US"/>
        </w:rPr>
        <w:lastRenderedPageBreak/>
        <w:t xml:space="preserve">removal of a judge or justice, and this could then be appealed before </w:t>
      </w:r>
      <w:r w:rsidR="006A756C" w:rsidRPr="00A50E4D">
        <w:rPr>
          <w:szCs w:val="20"/>
          <w:lang w:val="en-US"/>
        </w:rPr>
        <w:t>the Judicial Service Council</w:t>
      </w:r>
      <w:r w:rsidR="005472DB" w:rsidRPr="00A50E4D">
        <w:rPr>
          <w:rStyle w:val="FootnoteReference"/>
          <w:sz w:val="20"/>
          <w:szCs w:val="20"/>
          <w:lang w:val="en-US"/>
        </w:rPr>
        <w:footnoteReference w:id="364"/>
      </w:r>
      <w:r w:rsidR="005472DB" w:rsidRPr="00A50E4D">
        <w:rPr>
          <w:szCs w:val="20"/>
          <w:lang w:val="en-US"/>
        </w:rPr>
        <w:t xml:space="preserve"> (</w:t>
      </w:r>
      <w:r w:rsidR="005472DB" w:rsidRPr="00A50E4D">
        <w:rPr>
          <w:i/>
          <w:szCs w:val="20"/>
          <w:lang w:val="en-US"/>
        </w:rPr>
        <w:t>supra</w:t>
      </w:r>
      <w:r w:rsidR="005472DB" w:rsidRPr="00A50E4D">
        <w:rPr>
          <w:szCs w:val="20"/>
          <w:lang w:val="en-US"/>
        </w:rPr>
        <w:t xml:space="preserve"> </w:t>
      </w:r>
      <w:r w:rsidR="00AD5EE7" w:rsidRPr="00A50E4D">
        <w:rPr>
          <w:szCs w:val="20"/>
          <w:lang w:val="en-US"/>
        </w:rPr>
        <w:t>para.</w:t>
      </w:r>
      <w:r w:rsidR="005472DB" w:rsidRPr="00A50E4D">
        <w:rPr>
          <w:szCs w:val="20"/>
          <w:lang w:val="en-US"/>
        </w:rPr>
        <w:t xml:space="preserve"> </w:t>
      </w:r>
      <w:r w:rsidR="005472DB" w:rsidRPr="00914F55">
        <w:rPr>
          <w:szCs w:val="20"/>
          <w:lang w:val="en-US"/>
        </w:rPr>
        <w:fldChar w:fldCharType="begin"/>
      </w:r>
      <w:r w:rsidR="005472DB" w:rsidRPr="00A50E4D">
        <w:rPr>
          <w:szCs w:val="20"/>
          <w:lang w:val="en-US"/>
        </w:rPr>
        <w:instrText xml:space="preserve"> REF _Ref433883931 \r \h </w:instrText>
      </w:r>
      <w:r w:rsidR="00EA20A5" w:rsidRPr="00A50E4D">
        <w:rPr>
          <w:szCs w:val="20"/>
          <w:lang w:val="en-US"/>
        </w:rPr>
        <w:instrText xml:space="preserve"> \* MERGEFORMAT </w:instrText>
      </w:r>
      <w:r w:rsidR="005472DB" w:rsidRPr="00914F55">
        <w:rPr>
          <w:szCs w:val="20"/>
          <w:lang w:val="en-US"/>
        </w:rPr>
      </w:r>
      <w:r w:rsidR="005472DB" w:rsidRPr="00914F55">
        <w:rPr>
          <w:szCs w:val="20"/>
          <w:lang w:val="en-US"/>
        </w:rPr>
        <w:fldChar w:fldCharType="separate"/>
      </w:r>
      <w:r w:rsidR="00547588">
        <w:rPr>
          <w:szCs w:val="20"/>
          <w:lang w:val="en-US"/>
        </w:rPr>
        <w:t>82</w:t>
      </w:r>
      <w:r w:rsidR="005472DB" w:rsidRPr="00914F55">
        <w:rPr>
          <w:szCs w:val="20"/>
          <w:lang w:val="en-US"/>
        </w:rPr>
        <w:fldChar w:fldCharType="end"/>
      </w:r>
      <w:r w:rsidRPr="00A50E4D">
        <w:rPr>
          <w:szCs w:val="20"/>
          <w:lang w:val="en-US"/>
        </w:rPr>
        <w:t xml:space="preserve">). However, these legally established procedures were not applied to </w:t>
      </w:r>
      <w:r w:rsidR="00371BB7" w:rsidRPr="00A50E4D">
        <w:rPr>
          <w:szCs w:val="20"/>
          <w:lang w:val="en-US"/>
        </w:rPr>
        <w:t>the presumed victims</w:t>
      </w:r>
      <w:r w:rsidR="005472DB" w:rsidRPr="00A50E4D">
        <w:rPr>
          <w:szCs w:val="20"/>
          <w:lang w:val="en-US"/>
        </w:rPr>
        <w:t xml:space="preserve"> </w:t>
      </w:r>
      <w:r w:rsidR="00FF35A9" w:rsidRPr="00A50E4D">
        <w:rPr>
          <w:szCs w:val="20"/>
          <w:lang w:val="en-US"/>
        </w:rPr>
        <w:t>in this case</w:t>
      </w:r>
      <w:r w:rsidRPr="00A50E4D">
        <w:rPr>
          <w:szCs w:val="20"/>
          <w:lang w:val="en-US"/>
        </w:rPr>
        <w:t xml:space="preserve">, but rather a hybrid or combination of </w:t>
      </w:r>
      <w:r w:rsidR="00C06982" w:rsidRPr="00A50E4D">
        <w:rPr>
          <w:szCs w:val="20"/>
          <w:lang w:val="en-US"/>
        </w:rPr>
        <w:t>the two</w:t>
      </w:r>
      <w:r w:rsidRPr="00A50E4D">
        <w:rPr>
          <w:szCs w:val="20"/>
          <w:lang w:val="en-US"/>
        </w:rPr>
        <w:t>.</w:t>
      </w:r>
      <w:r w:rsidR="005472DB" w:rsidRPr="00A50E4D">
        <w:rPr>
          <w:rStyle w:val="FootnoteReference"/>
          <w:sz w:val="20"/>
          <w:szCs w:val="20"/>
          <w:lang w:val="en-US"/>
        </w:rPr>
        <w:footnoteReference w:id="365"/>
      </w:r>
      <w:r w:rsidRPr="00A50E4D">
        <w:rPr>
          <w:szCs w:val="20"/>
          <w:lang w:val="en-US"/>
        </w:rPr>
        <w:t xml:space="preserve"> Thus, in the case</w:t>
      </w:r>
      <w:r w:rsidR="00371BB7" w:rsidRPr="00A50E4D">
        <w:rPr>
          <w:szCs w:val="20"/>
          <w:lang w:val="en-US"/>
        </w:rPr>
        <w:t xml:space="preserve"> of the presumed victims</w:t>
      </w:r>
      <w:r w:rsidR="005472DB" w:rsidRPr="00A50E4D">
        <w:rPr>
          <w:szCs w:val="20"/>
          <w:lang w:val="en-US"/>
        </w:rPr>
        <w:t xml:space="preserve">, </w:t>
      </w:r>
      <w:r w:rsidRPr="00A50E4D">
        <w:rPr>
          <w:szCs w:val="20"/>
          <w:lang w:val="en-US"/>
        </w:rPr>
        <w:t xml:space="preserve">although it was </w:t>
      </w:r>
      <w:r w:rsidR="009808C5" w:rsidRPr="00A50E4D">
        <w:rPr>
          <w:szCs w:val="20"/>
          <w:lang w:val="en-US"/>
        </w:rPr>
        <w:t xml:space="preserve">the </w:t>
      </w:r>
      <w:r w:rsidR="00700DEC" w:rsidRPr="00A50E4D">
        <w:rPr>
          <w:szCs w:val="20"/>
          <w:lang w:val="en-US"/>
        </w:rPr>
        <w:t>Supreme Court</w:t>
      </w:r>
      <w:r w:rsidR="005472DB" w:rsidRPr="00A50E4D">
        <w:rPr>
          <w:szCs w:val="20"/>
          <w:lang w:val="en-US"/>
        </w:rPr>
        <w:t xml:space="preserve"> </w:t>
      </w:r>
      <w:r w:rsidRPr="00A50E4D">
        <w:rPr>
          <w:szCs w:val="20"/>
          <w:lang w:val="en-US"/>
        </w:rPr>
        <w:t xml:space="preserve">that decided on their </w:t>
      </w:r>
      <w:r w:rsidR="00694F2D" w:rsidRPr="00A50E4D">
        <w:rPr>
          <w:szCs w:val="20"/>
          <w:lang w:val="en-US"/>
        </w:rPr>
        <w:t>dismissal</w:t>
      </w:r>
      <w:r w:rsidRPr="00A50E4D">
        <w:rPr>
          <w:szCs w:val="20"/>
          <w:lang w:val="en-US"/>
        </w:rPr>
        <w:t xml:space="preserve"> in first instance, as established in </w:t>
      </w:r>
      <w:r w:rsidR="00314E4B" w:rsidRPr="00A50E4D">
        <w:rPr>
          <w:szCs w:val="20"/>
          <w:lang w:val="en-US"/>
        </w:rPr>
        <w:t>the Constitution</w:t>
      </w:r>
      <w:r w:rsidR="005472DB" w:rsidRPr="00A50E4D">
        <w:rPr>
          <w:szCs w:val="20"/>
          <w:lang w:val="en-US"/>
        </w:rPr>
        <w:t xml:space="preserve">, </w:t>
      </w:r>
      <w:r w:rsidRPr="00A50E4D">
        <w:rPr>
          <w:szCs w:val="20"/>
          <w:lang w:val="en-US"/>
        </w:rPr>
        <w:t xml:space="preserve">it did so </w:t>
      </w:r>
      <w:r w:rsidR="00171F4E" w:rsidRPr="00A50E4D">
        <w:rPr>
          <w:szCs w:val="20"/>
          <w:lang w:val="en-US"/>
        </w:rPr>
        <w:t xml:space="preserve">following a </w:t>
      </w:r>
      <w:r w:rsidRPr="00A50E4D">
        <w:rPr>
          <w:szCs w:val="20"/>
          <w:lang w:val="en-US"/>
        </w:rPr>
        <w:t>recommendation</w:t>
      </w:r>
      <w:r w:rsidR="00171F4E" w:rsidRPr="00A50E4D">
        <w:rPr>
          <w:szCs w:val="20"/>
          <w:lang w:val="en-US"/>
        </w:rPr>
        <w:t xml:space="preserve"> by</w:t>
      </w:r>
      <w:r w:rsidR="005472DB" w:rsidRPr="00A50E4D">
        <w:rPr>
          <w:szCs w:val="20"/>
          <w:lang w:val="en-US"/>
        </w:rPr>
        <w:t xml:space="preserve"> </w:t>
      </w:r>
      <w:r w:rsidR="004D0F32" w:rsidRPr="00A50E4D">
        <w:rPr>
          <w:szCs w:val="20"/>
          <w:lang w:val="en-US"/>
        </w:rPr>
        <w:t xml:space="preserve">the </w:t>
      </w:r>
      <w:r w:rsidR="00D563D1" w:rsidRPr="00A50E4D">
        <w:rPr>
          <w:szCs w:val="20"/>
          <w:lang w:val="en-US"/>
        </w:rPr>
        <w:t>Personnel Management Directorate</w:t>
      </w:r>
      <w:r w:rsidR="005472DB" w:rsidRPr="00A50E4D">
        <w:rPr>
          <w:szCs w:val="20"/>
          <w:lang w:val="en-US"/>
        </w:rPr>
        <w:t xml:space="preserve">, </w:t>
      </w:r>
      <w:r w:rsidRPr="00A50E4D">
        <w:rPr>
          <w:szCs w:val="20"/>
          <w:lang w:val="en-US"/>
        </w:rPr>
        <w:t xml:space="preserve">while </w:t>
      </w:r>
      <w:r w:rsidR="006A756C" w:rsidRPr="00A50E4D">
        <w:rPr>
          <w:szCs w:val="20"/>
          <w:lang w:val="en-US"/>
        </w:rPr>
        <w:t>the Judicial Service Council</w:t>
      </w:r>
      <w:r w:rsidR="005472DB" w:rsidRPr="00A50E4D">
        <w:rPr>
          <w:szCs w:val="20"/>
          <w:lang w:val="en-US"/>
        </w:rPr>
        <w:t xml:space="preserve">, </w:t>
      </w:r>
      <w:r w:rsidRPr="00A50E4D">
        <w:rPr>
          <w:szCs w:val="20"/>
          <w:lang w:val="en-US"/>
        </w:rPr>
        <w:t xml:space="preserve">which should act as an advisory organ to </w:t>
      </w:r>
      <w:r w:rsidR="009808C5" w:rsidRPr="00A50E4D">
        <w:rPr>
          <w:szCs w:val="20"/>
          <w:lang w:val="en-US"/>
        </w:rPr>
        <w:t xml:space="preserve">the </w:t>
      </w:r>
      <w:r w:rsidR="00700DEC" w:rsidRPr="00A50E4D">
        <w:rPr>
          <w:szCs w:val="20"/>
          <w:lang w:val="en-US"/>
        </w:rPr>
        <w:t>Supreme Court</w:t>
      </w:r>
      <w:r w:rsidR="005472DB" w:rsidRPr="00A50E4D">
        <w:rPr>
          <w:szCs w:val="20"/>
          <w:lang w:val="en-US"/>
        </w:rPr>
        <w:t xml:space="preserve"> </w:t>
      </w:r>
      <w:r w:rsidRPr="00A50E4D">
        <w:rPr>
          <w:szCs w:val="20"/>
          <w:lang w:val="en-US"/>
        </w:rPr>
        <w:t xml:space="preserve">in these decision pursuant to the provisions of </w:t>
      </w:r>
      <w:r w:rsidR="00314E4B" w:rsidRPr="00A50E4D">
        <w:rPr>
          <w:szCs w:val="20"/>
          <w:lang w:val="en-US"/>
        </w:rPr>
        <w:t>the Constitution</w:t>
      </w:r>
      <w:r w:rsidR="005472DB" w:rsidRPr="00A50E4D">
        <w:rPr>
          <w:szCs w:val="20"/>
          <w:lang w:val="en-US"/>
        </w:rPr>
        <w:t>, act</w:t>
      </w:r>
      <w:r w:rsidR="00694F2D" w:rsidRPr="00A50E4D">
        <w:rPr>
          <w:szCs w:val="20"/>
          <w:lang w:val="en-US"/>
        </w:rPr>
        <w:t>ed as an appellate or second instance body</w:t>
      </w:r>
      <w:r w:rsidRPr="00A50E4D">
        <w:rPr>
          <w:szCs w:val="20"/>
          <w:lang w:val="en-US"/>
        </w:rPr>
        <w:t xml:space="preserve">. In addition, in the appeals </w:t>
      </w:r>
      <w:r w:rsidR="000A786A" w:rsidRPr="00A50E4D">
        <w:rPr>
          <w:szCs w:val="20"/>
          <w:lang w:val="en-US"/>
        </w:rPr>
        <w:t>against</w:t>
      </w:r>
      <w:r w:rsidRPr="00A50E4D">
        <w:rPr>
          <w:szCs w:val="20"/>
          <w:lang w:val="en-US"/>
        </w:rPr>
        <w:t xml:space="preserve"> the dismissals </w:t>
      </w:r>
      <w:r w:rsidR="00AE5A4B" w:rsidRPr="00A50E4D">
        <w:rPr>
          <w:szCs w:val="20"/>
          <w:lang w:val="en-US"/>
        </w:rPr>
        <w:t xml:space="preserve">filed </w:t>
      </w:r>
      <w:r w:rsidRPr="00A50E4D">
        <w:rPr>
          <w:szCs w:val="20"/>
          <w:lang w:val="en-US"/>
        </w:rPr>
        <w:t xml:space="preserve">before </w:t>
      </w:r>
      <w:r w:rsidR="006A756C" w:rsidRPr="00A50E4D">
        <w:rPr>
          <w:szCs w:val="20"/>
          <w:lang w:val="en-US"/>
        </w:rPr>
        <w:t>the Judicial Service Council</w:t>
      </w:r>
      <w:r w:rsidR="00AE5A4B" w:rsidRPr="00A50E4D">
        <w:rPr>
          <w:szCs w:val="20"/>
          <w:lang w:val="en-US"/>
        </w:rPr>
        <w:t xml:space="preserve">, </w:t>
      </w:r>
      <w:r w:rsidR="004D0F32" w:rsidRPr="00A50E4D">
        <w:rPr>
          <w:szCs w:val="20"/>
          <w:lang w:val="en-US"/>
        </w:rPr>
        <w:t xml:space="preserve">the </w:t>
      </w:r>
      <w:r w:rsidR="00D563D1" w:rsidRPr="00A50E4D">
        <w:rPr>
          <w:szCs w:val="20"/>
          <w:lang w:val="en-US"/>
        </w:rPr>
        <w:t>Personnel Management Directorate</w:t>
      </w:r>
      <w:r w:rsidR="005472DB" w:rsidRPr="00A50E4D">
        <w:rPr>
          <w:szCs w:val="20"/>
          <w:lang w:val="en-US"/>
        </w:rPr>
        <w:t xml:space="preserve">, </w:t>
      </w:r>
      <w:r w:rsidR="00AE5A4B" w:rsidRPr="00A50E4D">
        <w:rPr>
          <w:szCs w:val="20"/>
          <w:lang w:val="en-US"/>
        </w:rPr>
        <w:t xml:space="preserve">which had “recommended” the respective dismissals, acted as “respondent party,” rather than </w:t>
      </w:r>
      <w:r w:rsidR="009808C5" w:rsidRPr="00A50E4D">
        <w:rPr>
          <w:szCs w:val="20"/>
          <w:lang w:val="en-US"/>
        </w:rPr>
        <w:t xml:space="preserve">the </w:t>
      </w:r>
      <w:r w:rsidR="00700DEC" w:rsidRPr="00A50E4D">
        <w:rPr>
          <w:szCs w:val="20"/>
          <w:lang w:val="en-US"/>
        </w:rPr>
        <w:t>Supreme Court</w:t>
      </w:r>
      <w:r w:rsidR="005472DB" w:rsidRPr="00A50E4D">
        <w:rPr>
          <w:szCs w:val="20"/>
          <w:lang w:val="en-US"/>
        </w:rPr>
        <w:t xml:space="preserve"> </w:t>
      </w:r>
      <w:r w:rsidR="00AE5A4B" w:rsidRPr="00A50E4D">
        <w:rPr>
          <w:szCs w:val="20"/>
          <w:lang w:val="en-US"/>
        </w:rPr>
        <w:t xml:space="preserve">which had decided </w:t>
      </w:r>
      <w:r w:rsidR="00694F2D" w:rsidRPr="00A50E4D">
        <w:rPr>
          <w:szCs w:val="20"/>
          <w:lang w:val="en-US"/>
        </w:rPr>
        <w:t>on the dismissals, even though the appeal was against</w:t>
      </w:r>
      <w:r w:rsidR="00AE5A4B" w:rsidRPr="00A50E4D">
        <w:rPr>
          <w:szCs w:val="20"/>
          <w:lang w:val="en-US"/>
        </w:rPr>
        <w:t xml:space="preserve"> the dismissal, and not</w:t>
      </w:r>
      <w:r w:rsidR="00694F2D" w:rsidRPr="00A50E4D">
        <w:rPr>
          <w:szCs w:val="20"/>
          <w:lang w:val="en-US"/>
        </w:rPr>
        <w:t xml:space="preserve"> against</w:t>
      </w:r>
      <w:r w:rsidR="00AE5A4B" w:rsidRPr="00A50E4D">
        <w:rPr>
          <w:szCs w:val="20"/>
          <w:lang w:val="en-US"/>
        </w:rPr>
        <w:t xml:space="preserve"> the recommendation made by </w:t>
      </w:r>
      <w:r w:rsidR="004D0F32" w:rsidRPr="00A50E4D">
        <w:rPr>
          <w:szCs w:val="20"/>
          <w:lang w:val="en-US"/>
        </w:rPr>
        <w:t xml:space="preserve">the </w:t>
      </w:r>
      <w:r w:rsidR="00D563D1" w:rsidRPr="00A50E4D">
        <w:rPr>
          <w:szCs w:val="20"/>
          <w:lang w:val="en-US"/>
        </w:rPr>
        <w:t>Personnel Management Directorate</w:t>
      </w:r>
      <w:r w:rsidR="00AE5A4B" w:rsidRPr="00A50E4D">
        <w:rPr>
          <w:szCs w:val="20"/>
          <w:lang w:val="en-US"/>
        </w:rPr>
        <w:t>.</w:t>
      </w:r>
      <w:r w:rsidR="005472DB" w:rsidRPr="00A50E4D">
        <w:rPr>
          <w:rStyle w:val="FootnoteReference"/>
          <w:sz w:val="20"/>
          <w:szCs w:val="20"/>
          <w:lang w:val="en-US"/>
        </w:rPr>
        <w:footnoteReference w:id="366"/>
      </w:r>
      <w:bookmarkEnd w:id="314"/>
      <w:r w:rsidR="005472DB" w:rsidRPr="00A50E4D">
        <w:rPr>
          <w:szCs w:val="20"/>
          <w:lang w:val="en-US"/>
        </w:rPr>
        <w:t xml:space="preserve">  </w:t>
      </w:r>
    </w:p>
    <w:p w14:paraId="578BB6EC" w14:textId="77777777" w:rsidR="005472DB" w:rsidRPr="00A50E4D" w:rsidRDefault="005472DB" w:rsidP="005472DB">
      <w:pPr>
        <w:pStyle w:val="PrrafodeSentencia"/>
        <w:numPr>
          <w:ilvl w:val="0"/>
          <w:numId w:val="0"/>
        </w:numPr>
        <w:rPr>
          <w:szCs w:val="20"/>
          <w:lang w:val="en-US"/>
        </w:rPr>
      </w:pPr>
    </w:p>
    <w:p w14:paraId="63714D27" w14:textId="513651E2" w:rsidR="00AE5A4B" w:rsidRPr="00A50E4D" w:rsidRDefault="00AE5A4B" w:rsidP="005472DB">
      <w:pPr>
        <w:pStyle w:val="PrrafodeSentencia"/>
        <w:rPr>
          <w:szCs w:val="20"/>
          <w:lang w:val="en-US"/>
        </w:rPr>
      </w:pPr>
      <w:bookmarkStart w:id="315" w:name="_Ref427186513"/>
      <w:r w:rsidRPr="00A50E4D">
        <w:rPr>
          <w:szCs w:val="20"/>
          <w:lang w:val="en-US"/>
        </w:rPr>
        <w:t>According to information provided by the State itself, the proce</w:t>
      </w:r>
      <w:r w:rsidR="00694F2D" w:rsidRPr="00A50E4D">
        <w:rPr>
          <w:szCs w:val="20"/>
          <w:lang w:val="en-US"/>
        </w:rPr>
        <w:t>dure</w:t>
      </w:r>
      <w:r w:rsidR="005472DB" w:rsidRPr="00A50E4D">
        <w:rPr>
          <w:szCs w:val="20"/>
          <w:lang w:val="en-US"/>
        </w:rPr>
        <w:t xml:space="preserve"> </w:t>
      </w:r>
      <w:r w:rsidR="00884A7E" w:rsidRPr="00A50E4D">
        <w:rPr>
          <w:szCs w:val="20"/>
          <w:lang w:val="en-US"/>
        </w:rPr>
        <w:t>established in</w:t>
      </w:r>
      <w:r w:rsidR="005472DB" w:rsidRPr="00A50E4D">
        <w:rPr>
          <w:szCs w:val="20"/>
          <w:lang w:val="en-US"/>
        </w:rPr>
        <w:t xml:space="preserve"> </w:t>
      </w:r>
      <w:r w:rsidR="004D0F32" w:rsidRPr="00A50E4D">
        <w:rPr>
          <w:szCs w:val="20"/>
          <w:lang w:val="en-US"/>
        </w:rPr>
        <w:t>the Judicial</w:t>
      </w:r>
      <w:r w:rsidR="00277E12" w:rsidRPr="00A50E4D">
        <w:rPr>
          <w:szCs w:val="20"/>
          <w:lang w:val="en-US"/>
        </w:rPr>
        <w:t xml:space="preserve"> Service Act</w:t>
      </w:r>
      <w:r w:rsidR="009808C5" w:rsidRPr="00A50E4D">
        <w:rPr>
          <w:szCs w:val="20"/>
          <w:lang w:val="en-US"/>
        </w:rPr>
        <w:t xml:space="preserve"> and </w:t>
      </w:r>
      <w:r w:rsidRPr="00A50E4D">
        <w:rPr>
          <w:szCs w:val="20"/>
          <w:lang w:val="en-US"/>
        </w:rPr>
        <w:t>its Regulations was applicable to the presumed victims</w:t>
      </w:r>
      <w:r w:rsidR="005472DB" w:rsidRPr="00A50E4D">
        <w:rPr>
          <w:szCs w:val="20"/>
          <w:lang w:val="en-US"/>
        </w:rPr>
        <w:t xml:space="preserve">. </w:t>
      </w:r>
      <w:r w:rsidRPr="00A50E4D">
        <w:rPr>
          <w:szCs w:val="20"/>
          <w:lang w:val="en-US"/>
        </w:rPr>
        <w:t xml:space="preserve">Nevertheless, this had to be reconciled with the exclusive competence granted to the Supreme Court by </w:t>
      </w:r>
      <w:r w:rsidR="00314E4B" w:rsidRPr="00A50E4D">
        <w:rPr>
          <w:szCs w:val="20"/>
          <w:lang w:val="en-US"/>
        </w:rPr>
        <w:t>the Constitution</w:t>
      </w:r>
      <w:r w:rsidR="005472DB" w:rsidRPr="00A50E4D">
        <w:rPr>
          <w:szCs w:val="20"/>
          <w:lang w:val="en-US"/>
        </w:rPr>
        <w:t xml:space="preserve"> </w:t>
      </w:r>
      <w:r w:rsidRPr="00A50E4D">
        <w:rPr>
          <w:szCs w:val="20"/>
          <w:lang w:val="en-US"/>
        </w:rPr>
        <w:t xml:space="preserve">to remove judges or </w:t>
      </w:r>
      <w:r w:rsidR="00277E12" w:rsidRPr="00A50E4D">
        <w:rPr>
          <w:szCs w:val="20"/>
          <w:lang w:val="en-US"/>
        </w:rPr>
        <w:t>justices</w:t>
      </w:r>
      <w:r w:rsidR="005472DB" w:rsidRPr="00A50E4D">
        <w:rPr>
          <w:szCs w:val="20"/>
          <w:lang w:val="en-US"/>
        </w:rPr>
        <w:t xml:space="preserve">. </w:t>
      </w:r>
      <w:r w:rsidR="009808C5" w:rsidRPr="00A50E4D">
        <w:rPr>
          <w:szCs w:val="20"/>
          <w:lang w:val="en-US"/>
        </w:rPr>
        <w:t>The Court</w:t>
      </w:r>
      <w:r w:rsidR="005472DB" w:rsidRPr="00A50E4D">
        <w:rPr>
          <w:szCs w:val="20"/>
          <w:lang w:val="en-US"/>
        </w:rPr>
        <w:t xml:space="preserve"> </w:t>
      </w:r>
      <w:r w:rsidRPr="00A50E4D">
        <w:rPr>
          <w:szCs w:val="20"/>
          <w:lang w:val="en-US"/>
        </w:rPr>
        <w:t>understand</w:t>
      </w:r>
      <w:r w:rsidR="00694F2D" w:rsidRPr="00A50E4D">
        <w:rPr>
          <w:szCs w:val="20"/>
          <w:lang w:val="en-US"/>
        </w:rPr>
        <w:t>s</w:t>
      </w:r>
      <w:r w:rsidRPr="00A50E4D">
        <w:rPr>
          <w:szCs w:val="20"/>
          <w:lang w:val="en-US"/>
        </w:rPr>
        <w:t xml:space="preserve"> that it is not contrary to</w:t>
      </w:r>
      <w:r w:rsidR="005472DB" w:rsidRPr="00A50E4D">
        <w:rPr>
          <w:szCs w:val="20"/>
          <w:lang w:val="en-US"/>
        </w:rPr>
        <w:t xml:space="preserve"> </w:t>
      </w:r>
      <w:r w:rsidR="009808C5" w:rsidRPr="00A50E4D">
        <w:rPr>
          <w:szCs w:val="20"/>
          <w:lang w:val="en-US"/>
        </w:rPr>
        <w:t xml:space="preserve">the Convention and </w:t>
      </w:r>
      <w:r w:rsidRPr="00A50E4D">
        <w:rPr>
          <w:szCs w:val="20"/>
          <w:lang w:val="en-US"/>
        </w:rPr>
        <w:t xml:space="preserve">is </w:t>
      </w:r>
      <w:r w:rsidR="00694F2D" w:rsidRPr="00A50E4D">
        <w:rPr>
          <w:szCs w:val="20"/>
          <w:lang w:val="en-US"/>
        </w:rPr>
        <w:t xml:space="preserve">a </w:t>
      </w:r>
      <w:r w:rsidRPr="00A50E4D">
        <w:rPr>
          <w:szCs w:val="20"/>
          <w:lang w:val="en-US"/>
        </w:rPr>
        <w:t xml:space="preserve">common practice of the States Parties to the inter-American human rights system that, when analyzing a complete legal system, certain procedural norms are tacitly derogated by a subsequent norm or, as in this case, even a higher ranking norm, as the Honduran Constitution was. However, when harmonizing its laws, the State should ensure respect for the applicable guarantees and the legal certainty of </w:t>
      </w:r>
      <w:r w:rsidR="00694F2D" w:rsidRPr="00A50E4D">
        <w:rPr>
          <w:szCs w:val="20"/>
          <w:lang w:val="en-US"/>
        </w:rPr>
        <w:t>defendants</w:t>
      </w:r>
      <w:r w:rsidRPr="00A50E4D">
        <w:rPr>
          <w:szCs w:val="20"/>
          <w:lang w:val="en-US"/>
        </w:rPr>
        <w:t>.</w:t>
      </w:r>
    </w:p>
    <w:bookmarkEnd w:id="315"/>
    <w:p w14:paraId="4FDAFA55" w14:textId="77777777" w:rsidR="005472DB" w:rsidRPr="00A50E4D" w:rsidRDefault="005472DB" w:rsidP="005472DB">
      <w:pPr>
        <w:pStyle w:val="PrrafodeSentencia"/>
        <w:numPr>
          <w:ilvl w:val="0"/>
          <w:numId w:val="0"/>
        </w:numPr>
        <w:rPr>
          <w:szCs w:val="20"/>
          <w:lang w:val="en-US"/>
        </w:rPr>
      </w:pPr>
    </w:p>
    <w:p w14:paraId="1EC27083" w14:textId="4E6E05C7" w:rsidR="005472DB" w:rsidRPr="00A50E4D" w:rsidRDefault="00C06982" w:rsidP="005472DB">
      <w:pPr>
        <w:pStyle w:val="PrrafodeSentencia"/>
        <w:rPr>
          <w:szCs w:val="20"/>
          <w:lang w:val="en-US"/>
        </w:rPr>
      </w:pPr>
      <w:r w:rsidRPr="00A50E4D">
        <w:rPr>
          <w:szCs w:val="20"/>
          <w:lang w:val="en-US"/>
        </w:rPr>
        <w:t xml:space="preserve">Based on the above </w:t>
      </w:r>
      <w:r w:rsidR="005472DB" w:rsidRPr="00A50E4D">
        <w:rPr>
          <w:szCs w:val="20"/>
          <w:lang w:val="en-US"/>
        </w:rPr>
        <w:t>(</w:t>
      </w:r>
      <w:r w:rsidR="005472DB" w:rsidRPr="00A50E4D">
        <w:rPr>
          <w:i/>
          <w:szCs w:val="20"/>
          <w:lang w:val="en-US"/>
        </w:rPr>
        <w:t>supra</w:t>
      </w:r>
      <w:r w:rsidR="005472DB" w:rsidRPr="00A50E4D">
        <w:rPr>
          <w:szCs w:val="20"/>
          <w:lang w:val="en-US"/>
        </w:rPr>
        <w:t xml:space="preserve"> </w:t>
      </w:r>
      <w:r w:rsidR="00AD5EE7" w:rsidRPr="00A50E4D">
        <w:rPr>
          <w:szCs w:val="20"/>
          <w:lang w:val="en-US"/>
        </w:rPr>
        <w:t>para.</w:t>
      </w:r>
      <w:r w:rsidR="005472DB" w:rsidRPr="00A50E4D">
        <w:rPr>
          <w:szCs w:val="20"/>
          <w:lang w:val="en-US"/>
        </w:rPr>
        <w:t xml:space="preserve"> </w:t>
      </w:r>
      <w:r w:rsidR="005472DB" w:rsidRPr="00914F55">
        <w:rPr>
          <w:lang w:val="en-US"/>
        </w:rPr>
        <w:fldChar w:fldCharType="begin"/>
      </w:r>
      <w:r w:rsidR="005472DB" w:rsidRPr="00A50E4D">
        <w:rPr>
          <w:lang w:val="en-US"/>
        </w:rPr>
        <w:instrText xml:space="preserve"> REF _Ref427186510 \r \h  \* MERGEFORMAT </w:instrText>
      </w:r>
      <w:r w:rsidR="005472DB" w:rsidRPr="00914F55">
        <w:rPr>
          <w:lang w:val="en-US"/>
        </w:rPr>
      </w:r>
      <w:r w:rsidR="005472DB" w:rsidRPr="00914F55">
        <w:rPr>
          <w:lang w:val="en-US"/>
        </w:rPr>
        <w:fldChar w:fldCharType="separate"/>
      </w:r>
      <w:r w:rsidR="00547588" w:rsidRPr="00547588">
        <w:rPr>
          <w:szCs w:val="20"/>
          <w:lang w:val="en-US"/>
        </w:rPr>
        <w:t>208</w:t>
      </w:r>
      <w:r w:rsidR="005472DB" w:rsidRPr="00914F55">
        <w:rPr>
          <w:lang w:val="en-US"/>
        </w:rPr>
        <w:fldChar w:fldCharType="end"/>
      </w:r>
      <w:r w:rsidR="005472DB" w:rsidRPr="00A50E4D">
        <w:rPr>
          <w:szCs w:val="20"/>
          <w:lang w:val="en-US"/>
        </w:rPr>
        <w:t xml:space="preserve">), </w:t>
      </w:r>
      <w:r w:rsidR="009808C5" w:rsidRPr="00A50E4D">
        <w:rPr>
          <w:szCs w:val="20"/>
          <w:lang w:val="en-US"/>
        </w:rPr>
        <w:t>the Court</w:t>
      </w:r>
      <w:r w:rsidR="005472DB" w:rsidRPr="00A50E4D">
        <w:rPr>
          <w:szCs w:val="20"/>
          <w:lang w:val="en-US"/>
        </w:rPr>
        <w:t xml:space="preserve"> </w:t>
      </w:r>
      <w:r w:rsidRPr="00A50E4D">
        <w:rPr>
          <w:szCs w:val="20"/>
          <w:lang w:val="en-US"/>
        </w:rPr>
        <w:t xml:space="preserve">notes that, in this case, there was a total lack of clarity </w:t>
      </w:r>
      <w:r w:rsidR="008C1757" w:rsidRPr="00A50E4D">
        <w:rPr>
          <w:szCs w:val="20"/>
          <w:lang w:val="en-US"/>
        </w:rPr>
        <w:t>as regards the applicable procedure</w:t>
      </w:r>
      <w:r w:rsidRPr="00A50E4D">
        <w:rPr>
          <w:szCs w:val="20"/>
          <w:lang w:val="en-US"/>
        </w:rPr>
        <w:t xml:space="preserve"> and the authorities that should hold the disciplinary proceedings against </w:t>
      </w:r>
      <w:r w:rsidR="00371BB7" w:rsidRPr="00A50E4D">
        <w:rPr>
          <w:szCs w:val="20"/>
          <w:lang w:val="en-US"/>
        </w:rPr>
        <w:t>the presumed victims</w:t>
      </w:r>
      <w:r w:rsidR="005472DB" w:rsidRPr="00A50E4D">
        <w:rPr>
          <w:szCs w:val="20"/>
          <w:lang w:val="en-US"/>
        </w:rPr>
        <w:t xml:space="preserve">. </w:t>
      </w:r>
      <w:r w:rsidRPr="00A50E4D">
        <w:rPr>
          <w:szCs w:val="20"/>
          <w:lang w:val="en-US"/>
        </w:rPr>
        <w:t>In addition, the Court underscores that the judges and the justice, presumed</w:t>
      </w:r>
      <w:r w:rsidR="005472DB" w:rsidRPr="00A50E4D">
        <w:rPr>
          <w:szCs w:val="20"/>
          <w:lang w:val="en-US"/>
        </w:rPr>
        <w:t xml:space="preserve"> </w:t>
      </w:r>
      <w:r w:rsidR="004B0477" w:rsidRPr="00A50E4D">
        <w:rPr>
          <w:szCs w:val="20"/>
          <w:lang w:val="en-US"/>
        </w:rPr>
        <w:t>victims</w:t>
      </w:r>
      <w:r w:rsidR="005472DB" w:rsidRPr="00A50E4D">
        <w:rPr>
          <w:szCs w:val="20"/>
          <w:lang w:val="en-US"/>
        </w:rPr>
        <w:t xml:space="preserve"> </w:t>
      </w:r>
      <w:r w:rsidR="00FF35A9" w:rsidRPr="00A50E4D">
        <w:rPr>
          <w:szCs w:val="20"/>
          <w:lang w:val="en-US"/>
        </w:rPr>
        <w:t>in this case</w:t>
      </w:r>
      <w:r w:rsidR="005472DB" w:rsidRPr="00A50E4D">
        <w:rPr>
          <w:szCs w:val="20"/>
          <w:lang w:val="en-US"/>
        </w:rPr>
        <w:t xml:space="preserve">, </w:t>
      </w:r>
      <w:r w:rsidRPr="00A50E4D">
        <w:rPr>
          <w:szCs w:val="20"/>
          <w:lang w:val="en-US"/>
        </w:rPr>
        <w:t xml:space="preserve">alleged before this Court and before the domestic proceedings that there was a lack of certainty as regards the applicable procedure and the </w:t>
      </w:r>
      <w:r w:rsidR="00697107" w:rsidRPr="00A50E4D">
        <w:rPr>
          <w:szCs w:val="20"/>
          <w:lang w:val="en-US"/>
        </w:rPr>
        <w:t>body</w:t>
      </w:r>
      <w:r w:rsidRPr="00A50E4D">
        <w:rPr>
          <w:szCs w:val="20"/>
          <w:lang w:val="en-US"/>
        </w:rPr>
        <w:t xml:space="preserve"> that should process and decide their </w:t>
      </w:r>
      <w:r w:rsidR="00C4689E" w:rsidRPr="00A50E4D">
        <w:rPr>
          <w:szCs w:val="20"/>
          <w:lang w:val="en-US"/>
        </w:rPr>
        <w:t>disciplinary proceedings</w:t>
      </w:r>
      <w:r w:rsidRPr="00A50E4D">
        <w:rPr>
          <w:szCs w:val="20"/>
          <w:lang w:val="en-US"/>
        </w:rPr>
        <w:t>.</w:t>
      </w:r>
      <w:r w:rsidR="005472DB" w:rsidRPr="00A50E4D">
        <w:rPr>
          <w:rStyle w:val="FootnoteReference"/>
          <w:sz w:val="20"/>
          <w:szCs w:val="20"/>
          <w:lang w:val="en-US"/>
        </w:rPr>
        <w:footnoteReference w:id="367"/>
      </w:r>
      <w:r w:rsidR="005472DB" w:rsidRPr="00A50E4D">
        <w:rPr>
          <w:szCs w:val="20"/>
          <w:lang w:val="en-US"/>
        </w:rPr>
        <w:t xml:space="preserve"> </w:t>
      </w:r>
    </w:p>
    <w:p w14:paraId="24631F11" w14:textId="77777777" w:rsidR="005472DB" w:rsidRPr="00A50E4D" w:rsidRDefault="005472DB" w:rsidP="005472DB">
      <w:pPr>
        <w:rPr>
          <w:spacing w:val="-4"/>
          <w:szCs w:val="20"/>
          <w:lang w:val="en-US"/>
        </w:rPr>
      </w:pPr>
    </w:p>
    <w:p w14:paraId="09ABA1FA" w14:textId="442DDFE9" w:rsidR="005472DB" w:rsidRPr="00A50E4D" w:rsidRDefault="005472DB" w:rsidP="005472DB">
      <w:pPr>
        <w:pStyle w:val="PrrafodeSentencia"/>
        <w:rPr>
          <w:szCs w:val="20"/>
          <w:lang w:val="en-US"/>
        </w:rPr>
      </w:pPr>
      <w:r w:rsidRPr="00A50E4D">
        <w:rPr>
          <w:szCs w:val="20"/>
          <w:lang w:val="en-US"/>
        </w:rPr>
        <w:t>A</w:t>
      </w:r>
      <w:r w:rsidR="00D67E02" w:rsidRPr="00A50E4D">
        <w:rPr>
          <w:szCs w:val="20"/>
          <w:lang w:val="en-US"/>
        </w:rPr>
        <w:t xml:space="preserve">t the domestic level, during the rebuttal hearings before the Personnel Management Directorate, </w:t>
      </w:r>
      <w:r w:rsidR="00371BB7" w:rsidRPr="00A50E4D">
        <w:rPr>
          <w:szCs w:val="20"/>
          <w:lang w:val="en-US"/>
        </w:rPr>
        <w:t>the presumed victims</w:t>
      </w:r>
      <w:r w:rsidRPr="00A50E4D">
        <w:rPr>
          <w:szCs w:val="20"/>
          <w:lang w:val="en-US"/>
        </w:rPr>
        <w:t xml:space="preserve"> indica</w:t>
      </w:r>
      <w:r w:rsidR="00D67E02" w:rsidRPr="00A50E4D">
        <w:rPr>
          <w:szCs w:val="20"/>
          <w:lang w:val="en-US"/>
        </w:rPr>
        <w:t xml:space="preserve">ted that “[t]here is an absolute lack of precision as to who is the ordinary judge in </w:t>
      </w:r>
      <w:r w:rsidR="00277E12" w:rsidRPr="00A50E4D">
        <w:rPr>
          <w:szCs w:val="20"/>
          <w:lang w:val="en-US"/>
        </w:rPr>
        <w:t>the disciplinary proceedings against</w:t>
      </w:r>
      <w:r w:rsidRPr="00A50E4D">
        <w:rPr>
          <w:szCs w:val="20"/>
          <w:lang w:val="en-US"/>
        </w:rPr>
        <w:t xml:space="preserve"> </w:t>
      </w:r>
      <w:r w:rsidR="00D67E02" w:rsidRPr="00A50E4D">
        <w:rPr>
          <w:szCs w:val="20"/>
          <w:lang w:val="en-US"/>
        </w:rPr>
        <w:t>judicial officials and employees.</w:t>
      </w:r>
      <w:r w:rsidRPr="00A50E4D">
        <w:rPr>
          <w:szCs w:val="20"/>
          <w:lang w:val="en-US"/>
        </w:rPr>
        <w:t>”</w:t>
      </w:r>
      <w:r w:rsidRPr="00A50E4D">
        <w:rPr>
          <w:rStyle w:val="FootnoteReference"/>
          <w:sz w:val="20"/>
          <w:szCs w:val="20"/>
          <w:lang w:val="en-US"/>
        </w:rPr>
        <w:footnoteReference w:id="368"/>
      </w:r>
      <w:r w:rsidRPr="00A50E4D">
        <w:rPr>
          <w:szCs w:val="20"/>
          <w:lang w:val="en-US"/>
        </w:rPr>
        <w:t xml:space="preserve"> </w:t>
      </w:r>
      <w:r w:rsidR="00697107" w:rsidRPr="00A50E4D">
        <w:rPr>
          <w:szCs w:val="20"/>
          <w:lang w:val="en-US"/>
        </w:rPr>
        <w:t>Furthermore</w:t>
      </w:r>
      <w:r w:rsidR="00D67E02" w:rsidRPr="00A50E4D">
        <w:rPr>
          <w:szCs w:val="20"/>
          <w:lang w:val="en-US"/>
        </w:rPr>
        <w:t xml:space="preserve">, in the hearings on the appeal filed before </w:t>
      </w:r>
      <w:r w:rsidR="006A756C" w:rsidRPr="00A50E4D">
        <w:rPr>
          <w:szCs w:val="20"/>
          <w:lang w:val="en-US"/>
        </w:rPr>
        <w:t>the Judicial Service Council</w:t>
      </w:r>
      <w:r w:rsidRPr="00A50E4D">
        <w:rPr>
          <w:szCs w:val="20"/>
          <w:lang w:val="en-US"/>
        </w:rPr>
        <w:t xml:space="preserve">, </w:t>
      </w:r>
      <w:r w:rsidR="00D67E02" w:rsidRPr="00A50E4D">
        <w:rPr>
          <w:szCs w:val="20"/>
          <w:lang w:val="en-US"/>
        </w:rPr>
        <w:t>they pointed out that “[t</w:t>
      </w:r>
      <w:r w:rsidRPr="00A50E4D">
        <w:rPr>
          <w:szCs w:val="20"/>
          <w:lang w:val="en-US"/>
        </w:rPr>
        <w:t>]</w:t>
      </w:r>
      <w:r w:rsidR="00D67E02" w:rsidRPr="00A50E4D">
        <w:rPr>
          <w:szCs w:val="20"/>
          <w:lang w:val="en-US"/>
        </w:rPr>
        <w:t xml:space="preserve">he Council does not </w:t>
      </w:r>
      <w:r w:rsidR="000A786A" w:rsidRPr="00A50E4D">
        <w:rPr>
          <w:szCs w:val="20"/>
          <w:lang w:val="en-US"/>
        </w:rPr>
        <w:t>have</w:t>
      </w:r>
      <w:r w:rsidR="00D67E02" w:rsidRPr="00A50E4D">
        <w:rPr>
          <w:szCs w:val="20"/>
          <w:lang w:val="en-US"/>
        </w:rPr>
        <w:t xml:space="preserve"> powers to hear appeals against the rulings </w:t>
      </w:r>
      <w:r w:rsidR="009808C5" w:rsidRPr="00A50E4D">
        <w:rPr>
          <w:szCs w:val="20"/>
          <w:lang w:val="en-US"/>
        </w:rPr>
        <w:t xml:space="preserve">of the </w:t>
      </w:r>
      <w:r w:rsidR="00371BB7" w:rsidRPr="00A50E4D">
        <w:rPr>
          <w:szCs w:val="20"/>
          <w:lang w:val="en-US"/>
        </w:rPr>
        <w:t>Supreme Court of Justice</w:t>
      </w:r>
      <w:r w:rsidRPr="00A50E4D">
        <w:rPr>
          <w:szCs w:val="20"/>
          <w:lang w:val="en-US"/>
        </w:rPr>
        <w:t xml:space="preserve">, </w:t>
      </w:r>
      <w:r w:rsidR="00D67E02" w:rsidRPr="00A50E4D">
        <w:rPr>
          <w:szCs w:val="20"/>
          <w:lang w:val="en-US"/>
        </w:rPr>
        <w:t xml:space="preserve">because the law only grants them powers to hear appeals </w:t>
      </w:r>
      <w:r w:rsidR="000A786A" w:rsidRPr="00A50E4D">
        <w:rPr>
          <w:szCs w:val="20"/>
          <w:lang w:val="en-US"/>
        </w:rPr>
        <w:t>against</w:t>
      </w:r>
      <w:r w:rsidR="00D67E02" w:rsidRPr="00A50E4D">
        <w:rPr>
          <w:szCs w:val="20"/>
          <w:lang w:val="en-US"/>
        </w:rPr>
        <w:t xml:space="preserve"> the decisions of the Personnel Directorate [and t]he proce</w:t>
      </w:r>
      <w:r w:rsidR="00697107" w:rsidRPr="00A50E4D">
        <w:rPr>
          <w:szCs w:val="20"/>
          <w:lang w:val="en-US"/>
        </w:rPr>
        <w:t>dure</w:t>
      </w:r>
      <w:r w:rsidR="00D67E02" w:rsidRPr="00A50E4D">
        <w:rPr>
          <w:szCs w:val="20"/>
          <w:lang w:val="en-US"/>
        </w:rPr>
        <w:t xml:space="preserve"> that concluded with the dismissals was </w:t>
      </w:r>
      <w:r w:rsidR="000A786A" w:rsidRPr="00A50E4D">
        <w:rPr>
          <w:szCs w:val="20"/>
          <w:lang w:val="en-US"/>
        </w:rPr>
        <w:t>illegitimate</w:t>
      </w:r>
      <w:r w:rsidR="00D67E02" w:rsidRPr="00A50E4D">
        <w:rPr>
          <w:szCs w:val="20"/>
          <w:lang w:val="en-US"/>
        </w:rPr>
        <w:t xml:space="preserve"> and contrary to the law.</w:t>
      </w:r>
      <w:r w:rsidRPr="00A50E4D">
        <w:rPr>
          <w:szCs w:val="20"/>
          <w:lang w:val="en-US"/>
        </w:rPr>
        <w:t>”</w:t>
      </w:r>
      <w:r w:rsidRPr="00A50E4D">
        <w:rPr>
          <w:rStyle w:val="FootnoteReference"/>
          <w:sz w:val="20"/>
          <w:szCs w:val="20"/>
          <w:lang w:val="en-US"/>
        </w:rPr>
        <w:footnoteReference w:id="369"/>
      </w:r>
      <w:r w:rsidR="00D67E02" w:rsidRPr="00A50E4D">
        <w:rPr>
          <w:szCs w:val="20"/>
          <w:lang w:val="en-US"/>
        </w:rPr>
        <w:t xml:space="preserve">  </w:t>
      </w:r>
    </w:p>
    <w:p w14:paraId="18719C49" w14:textId="77777777" w:rsidR="005472DB" w:rsidRPr="00A50E4D" w:rsidRDefault="005472DB" w:rsidP="005472DB">
      <w:pPr>
        <w:rPr>
          <w:spacing w:val="-4"/>
          <w:szCs w:val="20"/>
          <w:lang w:val="en-US" w:eastAsia="es-MX"/>
        </w:rPr>
      </w:pPr>
    </w:p>
    <w:p w14:paraId="5985534A" w14:textId="5BE1E210" w:rsidR="005472DB" w:rsidRPr="00A50E4D" w:rsidRDefault="00697107" w:rsidP="005472DB">
      <w:pPr>
        <w:pStyle w:val="PrrafodeSentencia"/>
        <w:rPr>
          <w:sz w:val="16"/>
          <w:szCs w:val="16"/>
          <w:lang w:val="en-US"/>
        </w:rPr>
      </w:pPr>
      <w:r w:rsidRPr="00A50E4D">
        <w:rPr>
          <w:szCs w:val="20"/>
          <w:lang w:val="en-US"/>
        </w:rPr>
        <w:t>Nevertheless</w:t>
      </w:r>
      <w:r w:rsidR="00D67E02" w:rsidRPr="00A50E4D">
        <w:rPr>
          <w:szCs w:val="20"/>
          <w:lang w:val="en-US"/>
        </w:rPr>
        <w:t xml:space="preserve">, the </w:t>
      </w:r>
      <w:r w:rsidRPr="00A50E4D">
        <w:rPr>
          <w:szCs w:val="20"/>
          <w:lang w:val="en-US"/>
        </w:rPr>
        <w:t>bodies that</w:t>
      </w:r>
      <w:r w:rsidR="00D67E02" w:rsidRPr="00A50E4D">
        <w:rPr>
          <w:szCs w:val="20"/>
          <w:lang w:val="en-US"/>
        </w:rPr>
        <w:t xml:space="preserve"> intervened in</w:t>
      </w:r>
      <w:r w:rsidRPr="00A50E4D">
        <w:rPr>
          <w:szCs w:val="20"/>
          <w:lang w:val="en-US"/>
        </w:rPr>
        <w:t xml:space="preserve"> the disciplinary proceedings against</w:t>
      </w:r>
      <w:r w:rsidR="00D67E02" w:rsidRPr="00A50E4D">
        <w:rPr>
          <w:szCs w:val="20"/>
          <w:lang w:val="en-US"/>
        </w:rPr>
        <w:t xml:space="preserve"> the presumed victims did not </w:t>
      </w:r>
      <w:r w:rsidR="000A786A" w:rsidRPr="00A50E4D">
        <w:rPr>
          <w:szCs w:val="20"/>
          <w:lang w:val="en-US"/>
        </w:rPr>
        <w:t>respond</w:t>
      </w:r>
      <w:r w:rsidR="00D67E02" w:rsidRPr="00A50E4D">
        <w:rPr>
          <w:szCs w:val="20"/>
          <w:lang w:val="en-US"/>
        </w:rPr>
        <w:t xml:space="preserve"> to these arguments duly and sufficiently </w:t>
      </w:r>
      <w:r w:rsidR="005472DB" w:rsidRPr="00A50E4D">
        <w:rPr>
          <w:szCs w:val="20"/>
          <w:lang w:val="en-US"/>
        </w:rPr>
        <w:t>(</w:t>
      </w:r>
      <w:r w:rsidRPr="00A50E4D">
        <w:rPr>
          <w:szCs w:val="20"/>
          <w:lang w:val="en-US"/>
        </w:rPr>
        <w:t>notwithstanding</w:t>
      </w:r>
      <w:r w:rsidR="00D67E02" w:rsidRPr="00A50E4D">
        <w:rPr>
          <w:szCs w:val="20"/>
          <w:lang w:val="en-US"/>
        </w:rPr>
        <w:t xml:space="preserve"> the response </w:t>
      </w:r>
      <w:r w:rsidR="006A756C" w:rsidRPr="00A50E4D">
        <w:rPr>
          <w:szCs w:val="20"/>
          <w:lang w:val="en-US"/>
        </w:rPr>
        <w:t>of the Judicial Service Council</w:t>
      </w:r>
      <w:r w:rsidR="005472DB" w:rsidRPr="00A50E4D">
        <w:rPr>
          <w:szCs w:val="20"/>
          <w:lang w:val="en-US"/>
        </w:rPr>
        <w:t xml:space="preserve"> </w:t>
      </w:r>
      <w:r w:rsidR="00D67E02" w:rsidRPr="00A50E4D">
        <w:rPr>
          <w:szCs w:val="20"/>
          <w:lang w:val="en-US"/>
        </w:rPr>
        <w:t xml:space="preserve">with regard to its competence to decide appeals against rulings </w:t>
      </w:r>
      <w:r w:rsidR="009808C5" w:rsidRPr="00A50E4D">
        <w:rPr>
          <w:szCs w:val="20"/>
          <w:lang w:val="en-US"/>
        </w:rPr>
        <w:t xml:space="preserve">of the </w:t>
      </w:r>
      <w:r w:rsidR="00700DEC" w:rsidRPr="00A50E4D">
        <w:rPr>
          <w:szCs w:val="20"/>
          <w:lang w:val="en-US"/>
        </w:rPr>
        <w:t>Supreme Court</w:t>
      </w:r>
      <w:r w:rsidR="005472DB" w:rsidRPr="00A50E4D">
        <w:rPr>
          <w:szCs w:val="20"/>
          <w:lang w:val="en-US"/>
        </w:rPr>
        <w:t xml:space="preserve"> </w:t>
      </w:r>
      <w:r w:rsidR="00D67E02" w:rsidRPr="00A50E4D">
        <w:rPr>
          <w:szCs w:val="20"/>
          <w:lang w:val="en-US"/>
        </w:rPr>
        <w:t xml:space="preserve">which will be examined below, </w:t>
      </w:r>
      <w:r w:rsidR="00AD5EE7" w:rsidRPr="00A50E4D">
        <w:rPr>
          <w:szCs w:val="20"/>
          <w:lang w:val="en-US"/>
        </w:rPr>
        <w:t>para.</w:t>
      </w:r>
      <w:r w:rsidR="005472DB" w:rsidRPr="00A50E4D">
        <w:rPr>
          <w:szCs w:val="20"/>
          <w:lang w:val="en-US"/>
        </w:rPr>
        <w:t xml:space="preserve"> </w:t>
      </w:r>
      <w:r w:rsidR="005472DB" w:rsidRPr="00914F55">
        <w:rPr>
          <w:lang w:val="en-US"/>
        </w:rPr>
        <w:fldChar w:fldCharType="begin"/>
      </w:r>
      <w:r w:rsidR="005472DB" w:rsidRPr="00A50E4D">
        <w:rPr>
          <w:lang w:val="en-US"/>
        </w:rPr>
        <w:instrText xml:space="preserve"> REF _Ref427852519 \r \h  \* MERGEFORMAT </w:instrText>
      </w:r>
      <w:r w:rsidR="005472DB" w:rsidRPr="00914F55">
        <w:rPr>
          <w:lang w:val="en-US"/>
        </w:rPr>
      </w:r>
      <w:r w:rsidR="005472DB" w:rsidRPr="00914F55">
        <w:rPr>
          <w:lang w:val="en-US"/>
        </w:rPr>
        <w:fldChar w:fldCharType="separate"/>
      </w:r>
      <w:r w:rsidR="00547588" w:rsidRPr="00547588">
        <w:rPr>
          <w:szCs w:val="20"/>
          <w:lang w:val="en-US"/>
        </w:rPr>
        <w:t>220</w:t>
      </w:r>
      <w:r w:rsidR="005472DB" w:rsidRPr="00914F55">
        <w:rPr>
          <w:lang w:val="en-US"/>
        </w:rPr>
        <w:fldChar w:fldCharType="end"/>
      </w:r>
      <w:r w:rsidR="005472DB" w:rsidRPr="00A50E4D">
        <w:rPr>
          <w:szCs w:val="20"/>
          <w:lang w:val="en-US"/>
        </w:rPr>
        <w:t xml:space="preserve">). </w:t>
      </w:r>
      <w:r w:rsidR="00D67E02" w:rsidRPr="00A50E4D">
        <w:rPr>
          <w:szCs w:val="20"/>
          <w:lang w:val="en-US"/>
        </w:rPr>
        <w:t xml:space="preserve">Even though it could be understood that, based on the principle of </w:t>
      </w:r>
      <w:r w:rsidRPr="00A50E4D">
        <w:rPr>
          <w:szCs w:val="20"/>
          <w:lang w:val="en-US"/>
        </w:rPr>
        <w:t xml:space="preserve">the primacy of the Constitution, </w:t>
      </w:r>
      <w:r w:rsidR="00D67E02" w:rsidRPr="00A50E4D">
        <w:rPr>
          <w:szCs w:val="20"/>
          <w:lang w:val="en-US"/>
        </w:rPr>
        <w:t>the procedures established in th</w:t>
      </w:r>
      <w:r w:rsidRPr="00A50E4D">
        <w:rPr>
          <w:szCs w:val="20"/>
          <w:lang w:val="en-US"/>
        </w:rPr>
        <w:t xml:space="preserve">at instrument </w:t>
      </w:r>
      <w:r w:rsidR="00D67E02" w:rsidRPr="00A50E4D">
        <w:rPr>
          <w:szCs w:val="20"/>
          <w:lang w:val="en-US"/>
        </w:rPr>
        <w:t xml:space="preserve">should have been applied, as verified previously, </w:t>
      </w:r>
      <w:r w:rsidRPr="00A50E4D">
        <w:rPr>
          <w:szCs w:val="20"/>
          <w:lang w:val="en-US"/>
        </w:rPr>
        <w:t>such procedures</w:t>
      </w:r>
      <w:r w:rsidR="00D67E02" w:rsidRPr="00A50E4D">
        <w:rPr>
          <w:szCs w:val="20"/>
          <w:lang w:val="en-US"/>
        </w:rPr>
        <w:t xml:space="preserve"> were not followed </w:t>
      </w:r>
      <w:r w:rsidR="005472DB" w:rsidRPr="00A50E4D">
        <w:rPr>
          <w:szCs w:val="20"/>
          <w:lang w:val="en-US"/>
        </w:rPr>
        <w:t>(</w:t>
      </w:r>
      <w:r w:rsidR="005472DB" w:rsidRPr="00A50E4D">
        <w:rPr>
          <w:i/>
          <w:szCs w:val="20"/>
          <w:lang w:val="en-US"/>
        </w:rPr>
        <w:t>supra</w:t>
      </w:r>
      <w:r w:rsidR="005472DB" w:rsidRPr="00A50E4D">
        <w:rPr>
          <w:szCs w:val="20"/>
          <w:lang w:val="en-US"/>
        </w:rPr>
        <w:t xml:space="preserve"> </w:t>
      </w:r>
      <w:r w:rsidR="00AD5EE7" w:rsidRPr="00A50E4D">
        <w:rPr>
          <w:szCs w:val="20"/>
          <w:lang w:val="en-US"/>
        </w:rPr>
        <w:t>paras.</w:t>
      </w:r>
      <w:r w:rsidR="005472DB" w:rsidRPr="00A50E4D">
        <w:rPr>
          <w:szCs w:val="20"/>
          <w:lang w:val="en-US"/>
        </w:rPr>
        <w:t xml:space="preserve"> </w:t>
      </w:r>
      <w:r w:rsidR="005472DB" w:rsidRPr="00914F55">
        <w:rPr>
          <w:lang w:val="en-US"/>
        </w:rPr>
        <w:fldChar w:fldCharType="begin"/>
      </w:r>
      <w:r w:rsidR="005472DB" w:rsidRPr="00A50E4D">
        <w:rPr>
          <w:lang w:val="en-US"/>
        </w:rPr>
        <w:instrText xml:space="preserve"> REF _Ref427186510 \r \h  \* MERGEFORMAT </w:instrText>
      </w:r>
      <w:r w:rsidR="005472DB" w:rsidRPr="00914F55">
        <w:rPr>
          <w:lang w:val="en-US"/>
        </w:rPr>
      </w:r>
      <w:r w:rsidR="005472DB" w:rsidRPr="00914F55">
        <w:rPr>
          <w:lang w:val="en-US"/>
        </w:rPr>
        <w:fldChar w:fldCharType="separate"/>
      </w:r>
      <w:r w:rsidR="00547588" w:rsidRPr="00547588">
        <w:rPr>
          <w:szCs w:val="20"/>
          <w:lang w:val="en-US"/>
        </w:rPr>
        <w:t>208</w:t>
      </w:r>
      <w:r w:rsidR="005472DB" w:rsidRPr="00914F55">
        <w:rPr>
          <w:lang w:val="en-US"/>
        </w:rPr>
        <w:fldChar w:fldCharType="end"/>
      </w:r>
      <w:r w:rsidR="009808C5" w:rsidRPr="00A50E4D">
        <w:rPr>
          <w:szCs w:val="20"/>
          <w:lang w:val="en-US"/>
        </w:rPr>
        <w:t xml:space="preserve"> and </w:t>
      </w:r>
      <w:r w:rsidR="005472DB" w:rsidRPr="00914F55">
        <w:rPr>
          <w:lang w:val="en-US"/>
        </w:rPr>
        <w:fldChar w:fldCharType="begin"/>
      </w:r>
      <w:r w:rsidR="005472DB" w:rsidRPr="00A50E4D">
        <w:rPr>
          <w:lang w:val="en-US"/>
        </w:rPr>
        <w:instrText xml:space="preserve"> REF _Ref427186513 \r \h  \* MERGEFORMAT </w:instrText>
      </w:r>
      <w:r w:rsidR="005472DB" w:rsidRPr="00914F55">
        <w:rPr>
          <w:lang w:val="en-US"/>
        </w:rPr>
      </w:r>
      <w:r w:rsidR="005472DB" w:rsidRPr="00914F55">
        <w:rPr>
          <w:lang w:val="en-US"/>
        </w:rPr>
        <w:fldChar w:fldCharType="separate"/>
      </w:r>
      <w:r w:rsidR="00547588" w:rsidRPr="00547588">
        <w:rPr>
          <w:szCs w:val="20"/>
          <w:lang w:val="en-US"/>
        </w:rPr>
        <w:t>209</w:t>
      </w:r>
      <w:r w:rsidR="005472DB" w:rsidRPr="00914F55">
        <w:rPr>
          <w:lang w:val="en-US"/>
        </w:rPr>
        <w:fldChar w:fldCharType="end"/>
      </w:r>
      <w:r w:rsidR="005472DB" w:rsidRPr="00A50E4D">
        <w:rPr>
          <w:szCs w:val="20"/>
          <w:lang w:val="en-US"/>
        </w:rPr>
        <w:t xml:space="preserve">). </w:t>
      </w:r>
      <w:r w:rsidR="00D67E02" w:rsidRPr="00A50E4D">
        <w:rPr>
          <w:szCs w:val="20"/>
          <w:lang w:val="en-US"/>
        </w:rPr>
        <w:t xml:space="preserve">Indeed, the procedure applied was the result of a practice that was not reflected in either a law or a judicial </w:t>
      </w:r>
      <w:r w:rsidR="000A786A" w:rsidRPr="00A50E4D">
        <w:rPr>
          <w:szCs w:val="20"/>
          <w:lang w:val="en-US"/>
        </w:rPr>
        <w:t>decision</w:t>
      </w:r>
      <w:r w:rsidR="00D67E02" w:rsidRPr="00A50E4D">
        <w:rPr>
          <w:szCs w:val="20"/>
          <w:lang w:val="en-US"/>
        </w:rPr>
        <w:t xml:space="preserve"> or in any other document, law or norm of a public of general nature that would </w:t>
      </w:r>
      <w:r w:rsidRPr="00A50E4D">
        <w:rPr>
          <w:szCs w:val="20"/>
          <w:lang w:val="en-US"/>
        </w:rPr>
        <w:t xml:space="preserve">have </w:t>
      </w:r>
      <w:r w:rsidR="00D67E02" w:rsidRPr="00A50E4D">
        <w:rPr>
          <w:szCs w:val="20"/>
          <w:lang w:val="en-US"/>
        </w:rPr>
        <w:t>guarantee</w:t>
      </w:r>
      <w:r w:rsidRPr="00A50E4D">
        <w:rPr>
          <w:szCs w:val="20"/>
          <w:lang w:val="en-US"/>
        </w:rPr>
        <w:t>d</w:t>
      </w:r>
      <w:r w:rsidR="00D67E02" w:rsidRPr="00A50E4D">
        <w:rPr>
          <w:szCs w:val="20"/>
          <w:lang w:val="en-US"/>
        </w:rPr>
        <w:t xml:space="preserve"> the requirements of due process to </w:t>
      </w:r>
      <w:r w:rsidR="00371BB7" w:rsidRPr="00A50E4D">
        <w:rPr>
          <w:szCs w:val="20"/>
          <w:lang w:val="en-US"/>
        </w:rPr>
        <w:t>the presumed victims</w:t>
      </w:r>
      <w:r w:rsidR="005472DB" w:rsidRPr="00A50E4D">
        <w:rPr>
          <w:szCs w:val="20"/>
          <w:lang w:val="en-US"/>
        </w:rPr>
        <w:t xml:space="preserve"> </w:t>
      </w:r>
      <w:r w:rsidR="00D67E02" w:rsidRPr="00A50E4D">
        <w:rPr>
          <w:szCs w:val="20"/>
          <w:lang w:val="en-US"/>
        </w:rPr>
        <w:t xml:space="preserve">in the determination of disciplinary sanctions against them. </w:t>
      </w:r>
    </w:p>
    <w:p w14:paraId="6AD9359E" w14:textId="77777777" w:rsidR="005472DB" w:rsidRPr="00A50E4D" w:rsidRDefault="005472DB" w:rsidP="005472DB">
      <w:pPr>
        <w:rPr>
          <w:spacing w:val="-4"/>
          <w:lang w:val="en-US" w:eastAsia="es-MX"/>
        </w:rPr>
      </w:pPr>
    </w:p>
    <w:p w14:paraId="29EAD248" w14:textId="6D72A85D" w:rsidR="005472DB" w:rsidRPr="00A50E4D" w:rsidRDefault="00D67E02" w:rsidP="00D67E02">
      <w:pPr>
        <w:pStyle w:val="PrrafodeSentencia"/>
        <w:rPr>
          <w:szCs w:val="20"/>
          <w:lang w:val="en-US"/>
        </w:rPr>
      </w:pPr>
      <w:bookmarkStart w:id="316" w:name="_Ref308535770"/>
      <w:r w:rsidRPr="00A50E4D">
        <w:rPr>
          <w:lang w:val="en-US"/>
        </w:rPr>
        <w:t>Furthermore</w:t>
      </w:r>
      <w:r w:rsidR="005472DB" w:rsidRPr="00A50E4D">
        <w:rPr>
          <w:lang w:val="en-US"/>
        </w:rPr>
        <w:t xml:space="preserve">, </w:t>
      </w:r>
      <w:r w:rsidR="009808C5" w:rsidRPr="00A50E4D">
        <w:rPr>
          <w:szCs w:val="20"/>
          <w:lang w:val="en-US"/>
        </w:rPr>
        <w:t>Article</w:t>
      </w:r>
      <w:r w:rsidR="005472DB" w:rsidRPr="00A50E4D">
        <w:rPr>
          <w:szCs w:val="20"/>
          <w:lang w:val="en-US"/>
        </w:rPr>
        <w:t xml:space="preserve"> 2</w:t>
      </w:r>
      <w:r w:rsidR="009808C5" w:rsidRPr="00A50E4D">
        <w:rPr>
          <w:szCs w:val="20"/>
          <w:lang w:val="en-US"/>
        </w:rPr>
        <w:t xml:space="preserve"> of the Convention</w:t>
      </w:r>
      <w:r w:rsidR="00697107" w:rsidRPr="00A50E4D">
        <w:rPr>
          <w:szCs w:val="20"/>
          <w:lang w:val="en-US"/>
        </w:rPr>
        <w:t xml:space="preserve"> obliges</w:t>
      </w:r>
      <w:r w:rsidRPr="00A50E4D">
        <w:rPr>
          <w:szCs w:val="20"/>
          <w:lang w:val="en-US"/>
        </w:rPr>
        <w:t xml:space="preserve"> States Parties to adopt, </w:t>
      </w:r>
      <w:r w:rsidRPr="00A50E4D">
        <w:rPr>
          <w:lang w:val="en-US"/>
        </w:rPr>
        <w:t>in accordance with their constitutional proc</w:t>
      </w:r>
      <w:r w:rsidR="00697107" w:rsidRPr="00A50E4D">
        <w:rPr>
          <w:lang w:val="en-US"/>
        </w:rPr>
        <w:t>esses and the provisions of the</w:t>
      </w:r>
      <w:r w:rsidRPr="00A50E4D">
        <w:rPr>
          <w:lang w:val="en-US"/>
        </w:rPr>
        <w:t xml:space="preserve"> Convention, such legislative or other measures as may be necessary to give effect to those rights or freedoms protected by the Convention</w:t>
      </w:r>
      <w:r w:rsidRPr="00A50E4D">
        <w:rPr>
          <w:szCs w:val="20"/>
          <w:lang w:val="en-US"/>
        </w:rPr>
        <w:t>.</w:t>
      </w:r>
      <w:r w:rsidR="005472DB" w:rsidRPr="00A50E4D">
        <w:rPr>
          <w:szCs w:val="20"/>
          <w:vertAlign w:val="superscript"/>
          <w:lang w:val="en-US"/>
        </w:rPr>
        <w:footnoteReference w:id="370"/>
      </w:r>
      <w:r w:rsidRPr="00A50E4D">
        <w:rPr>
          <w:szCs w:val="20"/>
          <w:lang w:val="en-US"/>
        </w:rPr>
        <w:t xml:space="preserve"> This obligation entails the adoption of two types of measures. On the one hand, the elimination of norms and practices of any nature that entail a violation of the guarantees established in the Convention,</w:t>
      </w:r>
      <w:r w:rsidR="005472DB" w:rsidRPr="00A50E4D">
        <w:rPr>
          <w:rStyle w:val="FootnoteReference"/>
          <w:sz w:val="20"/>
          <w:szCs w:val="20"/>
          <w:lang w:val="en-US"/>
        </w:rPr>
        <w:footnoteReference w:id="371"/>
      </w:r>
      <w:r w:rsidR="005472DB" w:rsidRPr="00A50E4D">
        <w:rPr>
          <w:szCs w:val="20"/>
          <w:lang w:val="en-US"/>
        </w:rPr>
        <w:t xml:space="preserve"> </w:t>
      </w:r>
      <w:r w:rsidRPr="00A50E4D">
        <w:rPr>
          <w:szCs w:val="20"/>
          <w:lang w:val="en-US"/>
        </w:rPr>
        <w:t xml:space="preserve">either because they ignore those rights and freedoms or they </w:t>
      </w:r>
      <w:r w:rsidR="00697107" w:rsidRPr="00A50E4D">
        <w:rPr>
          <w:szCs w:val="20"/>
          <w:lang w:val="en-US"/>
        </w:rPr>
        <w:lastRenderedPageBreak/>
        <w:t>impede</w:t>
      </w:r>
      <w:r w:rsidRPr="00A50E4D">
        <w:rPr>
          <w:szCs w:val="20"/>
          <w:lang w:val="en-US"/>
        </w:rPr>
        <w:t xml:space="preserve"> their exercise.</w:t>
      </w:r>
      <w:r w:rsidR="005472DB" w:rsidRPr="00A50E4D">
        <w:rPr>
          <w:rStyle w:val="FootnoteReference"/>
          <w:sz w:val="20"/>
          <w:szCs w:val="20"/>
          <w:lang w:val="en-US"/>
        </w:rPr>
        <w:footnoteReference w:id="372"/>
      </w:r>
      <w:r w:rsidRPr="00A50E4D">
        <w:rPr>
          <w:szCs w:val="20"/>
          <w:lang w:val="en-US"/>
        </w:rPr>
        <w:t xml:space="preserve"> On the other hand, the enactment of laws and the implementation of practices leading to the effective observance of such guarantees.</w:t>
      </w:r>
      <w:r w:rsidR="005472DB" w:rsidRPr="00A50E4D">
        <w:rPr>
          <w:rStyle w:val="FootnoteReference"/>
          <w:sz w:val="20"/>
          <w:szCs w:val="20"/>
          <w:lang w:val="en-US"/>
        </w:rPr>
        <w:footnoteReference w:id="373"/>
      </w:r>
      <w:bookmarkEnd w:id="316"/>
      <w:r w:rsidR="005472DB" w:rsidRPr="00A50E4D">
        <w:rPr>
          <w:szCs w:val="20"/>
          <w:lang w:val="en-US"/>
        </w:rPr>
        <w:t xml:space="preserve"> </w:t>
      </w:r>
    </w:p>
    <w:p w14:paraId="3091CC94" w14:textId="77777777" w:rsidR="005472DB" w:rsidRPr="00A50E4D" w:rsidRDefault="005472DB" w:rsidP="005472DB">
      <w:pPr>
        <w:pStyle w:val="PrrafodeSentencia"/>
        <w:numPr>
          <w:ilvl w:val="0"/>
          <w:numId w:val="0"/>
        </w:numPr>
        <w:rPr>
          <w:szCs w:val="20"/>
          <w:lang w:val="en-US"/>
        </w:rPr>
      </w:pPr>
    </w:p>
    <w:p w14:paraId="64621AFC" w14:textId="12CB5BAD" w:rsidR="005472DB" w:rsidRPr="00A50E4D" w:rsidRDefault="00EB6155" w:rsidP="005472DB">
      <w:pPr>
        <w:pStyle w:val="PrrafodeSentencia"/>
        <w:rPr>
          <w:szCs w:val="20"/>
          <w:lang w:val="en-US"/>
        </w:rPr>
      </w:pPr>
      <w:r w:rsidRPr="00A50E4D">
        <w:rPr>
          <w:szCs w:val="20"/>
          <w:lang w:val="en-US"/>
        </w:rPr>
        <w:t xml:space="preserve">As this Court has indicated on other occasions, the provisions of domestic law that are adopted for such purposes must be effective </w:t>
      </w:r>
      <w:r w:rsidR="005472DB" w:rsidRPr="00A50E4D">
        <w:rPr>
          <w:szCs w:val="20"/>
          <w:lang w:val="en-US"/>
        </w:rPr>
        <w:t>(</w:t>
      </w:r>
      <w:r w:rsidRPr="00A50E4D">
        <w:rPr>
          <w:szCs w:val="20"/>
          <w:lang w:val="en-US"/>
        </w:rPr>
        <w:t>p</w:t>
      </w:r>
      <w:r w:rsidR="00CB360D" w:rsidRPr="00A50E4D">
        <w:rPr>
          <w:szCs w:val="20"/>
          <w:lang w:val="en-US"/>
        </w:rPr>
        <w:t>rinciple</w:t>
      </w:r>
      <w:r w:rsidR="00FF35A9" w:rsidRPr="00A50E4D">
        <w:rPr>
          <w:szCs w:val="20"/>
          <w:lang w:val="en-US"/>
        </w:rPr>
        <w:t xml:space="preserve"> of the</w:t>
      </w:r>
      <w:r w:rsidRPr="00A50E4D">
        <w:rPr>
          <w:szCs w:val="20"/>
          <w:lang w:val="en-US"/>
        </w:rPr>
        <w:t xml:space="preserve"> practical effects or</w:t>
      </w:r>
      <w:r w:rsidR="00FF35A9" w:rsidRPr="00A50E4D">
        <w:rPr>
          <w:szCs w:val="20"/>
          <w:lang w:val="en-US"/>
        </w:rPr>
        <w:t xml:space="preserve"> </w:t>
      </w:r>
      <w:r w:rsidR="005472DB" w:rsidRPr="00A50E4D">
        <w:rPr>
          <w:i/>
          <w:szCs w:val="20"/>
          <w:lang w:val="en-US"/>
        </w:rPr>
        <w:t>effet utile</w:t>
      </w:r>
      <w:r w:rsidR="005472DB" w:rsidRPr="00A50E4D">
        <w:rPr>
          <w:szCs w:val="20"/>
          <w:lang w:val="en-US"/>
        </w:rPr>
        <w:t xml:space="preserve">), </w:t>
      </w:r>
      <w:r w:rsidRPr="00A50E4D">
        <w:rPr>
          <w:szCs w:val="20"/>
          <w:lang w:val="en-US"/>
        </w:rPr>
        <w:t xml:space="preserve">which means that the State is obliged to adopt and </w:t>
      </w:r>
      <w:r w:rsidR="00697107" w:rsidRPr="00A50E4D">
        <w:rPr>
          <w:szCs w:val="20"/>
          <w:lang w:val="en-US"/>
        </w:rPr>
        <w:t>incorporate</w:t>
      </w:r>
      <w:r w:rsidRPr="00A50E4D">
        <w:rPr>
          <w:szCs w:val="20"/>
          <w:lang w:val="en-US"/>
        </w:rPr>
        <w:t xml:space="preserve"> in</w:t>
      </w:r>
      <w:r w:rsidR="00697107" w:rsidRPr="00A50E4D">
        <w:rPr>
          <w:szCs w:val="20"/>
          <w:lang w:val="en-US"/>
        </w:rPr>
        <w:t>to</w:t>
      </w:r>
      <w:r w:rsidRPr="00A50E4D">
        <w:rPr>
          <w:szCs w:val="20"/>
          <w:lang w:val="en-US"/>
        </w:rPr>
        <w:t xml:space="preserve"> its domestic law all necessary </w:t>
      </w:r>
      <w:r w:rsidR="000A786A" w:rsidRPr="00A50E4D">
        <w:rPr>
          <w:szCs w:val="20"/>
          <w:lang w:val="en-US"/>
        </w:rPr>
        <w:t>measures</w:t>
      </w:r>
      <w:r w:rsidRPr="00A50E4D">
        <w:rPr>
          <w:szCs w:val="20"/>
          <w:lang w:val="en-US"/>
        </w:rPr>
        <w:t xml:space="preserve"> to ensure that the provisions of the Convention are truly implemented and complied with.</w:t>
      </w:r>
      <w:r w:rsidR="005472DB" w:rsidRPr="00A50E4D">
        <w:rPr>
          <w:rStyle w:val="FootnoteReference"/>
          <w:sz w:val="20"/>
          <w:szCs w:val="20"/>
          <w:lang w:val="en-US"/>
        </w:rPr>
        <w:footnoteReference w:id="374"/>
      </w:r>
    </w:p>
    <w:p w14:paraId="22B231DB" w14:textId="77777777" w:rsidR="005472DB" w:rsidRPr="00A50E4D" w:rsidRDefault="005472DB" w:rsidP="005472DB">
      <w:pPr>
        <w:rPr>
          <w:spacing w:val="-4"/>
          <w:szCs w:val="20"/>
          <w:lang w:val="en-US" w:eastAsia="es-MX"/>
        </w:rPr>
      </w:pPr>
    </w:p>
    <w:p w14:paraId="292F5F26" w14:textId="19EE3005" w:rsidR="005472DB" w:rsidRPr="00A50E4D" w:rsidRDefault="00EB6155" w:rsidP="005472DB">
      <w:pPr>
        <w:pStyle w:val="PrrafodeSentencia"/>
        <w:rPr>
          <w:szCs w:val="20"/>
          <w:lang w:val="en-US"/>
        </w:rPr>
      </w:pPr>
      <w:bookmarkStart w:id="317" w:name="_Ref433289379"/>
      <w:r w:rsidRPr="00A50E4D">
        <w:rPr>
          <w:szCs w:val="20"/>
          <w:lang w:val="en-US"/>
        </w:rPr>
        <w:t xml:space="preserve">The State’s failure to harmonize its domestic law resulted in a situation of uncertainty as to the procedure to be followed and the competent </w:t>
      </w:r>
      <w:r w:rsidR="00697107" w:rsidRPr="00A50E4D">
        <w:rPr>
          <w:szCs w:val="20"/>
          <w:lang w:val="en-US"/>
        </w:rPr>
        <w:t>bodies</w:t>
      </w:r>
      <w:r w:rsidRPr="00A50E4D">
        <w:rPr>
          <w:szCs w:val="20"/>
          <w:lang w:val="en-US"/>
        </w:rPr>
        <w:t xml:space="preserve"> to decide </w:t>
      </w:r>
      <w:r w:rsidR="00277E12" w:rsidRPr="00A50E4D">
        <w:rPr>
          <w:szCs w:val="20"/>
          <w:lang w:val="en-US"/>
        </w:rPr>
        <w:t>the disciplinary proceedings</w:t>
      </w:r>
      <w:r w:rsidR="005472DB" w:rsidRPr="00A50E4D">
        <w:rPr>
          <w:szCs w:val="20"/>
          <w:lang w:val="en-US"/>
        </w:rPr>
        <w:t xml:space="preserve"> </w:t>
      </w:r>
      <w:r w:rsidRPr="00A50E4D">
        <w:rPr>
          <w:szCs w:val="20"/>
          <w:lang w:val="en-US"/>
        </w:rPr>
        <w:t>against</w:t>
      </w:r>
      <w:r w:rsidR="005472DB" w:rsidRPr="00A50E4D">
        <w:rPr>
          <w:szCs w:val="20"/>
          <w:lang w:val="en-US"/>
        </w:rPr>
        <w:t xml:space="preserve"> </w:t>
      </w:r>
      <w:r w:rsidR="00371BB7" w:rsidRPr="00A50E4D">
        <w:rPr>
          <w:szCs w:val="20"/>
          <w:lang w:val="en-US"/>
        </w:rPr>
        <w:t>the presumed victims</w:t>
      </w:r>
      <w:r w:rsidR="005472DB" w:rsidRPr="00A50E4D">
        <w:rPr>
          <w:szCs w:val="20"/>
          <w:lang w:val="en-US"/>
        </w:rPr>
        <w:t xml:space="preserve">. </w:t>
      </w:r>
      <w:r w:rsidRPr="00A50E4D">
        <w:rPr>
          <w:szCs w:val="20"/>
          <w:lang w:val="en-US"/>
        </w:rPr>
        <w:t xml:space="preserve">In addition, the consequent application to </w:t>
      </w:r>
      <w:r w:rsidR="00371BB7" w:rsidRPr="00A50E4D">
        <w:rPr>
          <w:szCs w:val="20"/>
          <w:lang w:val="en-US"/>
        </w:rPr>
        <w:t>the presumed victims</w:t>
      </w:r>
      <w:r w:rsidR="005472DB" w:rsidRPr="00A50E4D">
        <w:rPr>
          <w:szCs w:val="20"/>
          <w:lang w:val="en-US"/>
        </w:rPr>
        <w:t xml:space="preserve"> </w:t>
      </w:r>
      <w:r w:rsidRPr="00A50E4D">
        <w:rPr>
          <w:szCs w:val="20"/>
          <w:lang w:val="en-US"/>
        </w:rPr>
        <w:t>of a procedure that was not established by law, but rather was the result of a combination of the procedures established by law, due in part to this leg</w:t>
      </w:r>
      <w:r w:rsidR="00697107" w:rsidRPr="00A50E4D">
        <w:rPr>
          <w:szCs w:val="20"/>
          <w:lang w:val="en-US"/>
        </w:rPr>
        <w:t>islative omission, infringed</w:t>
      </w:r>
      <w:r w:rsidRPr="00A50E4D">
        <w:rPr>
          <w:szCs w:val="20"/>
          <w:lang w:val="en-US"/>
        </w:rPr>
        <w:t xml:space="preserve"> legal certainty and the rights </w:t>
      </w:r>
      <w:r w:rsidR="00371BB7" w:rsidRPr="00A50E4D">
        <w:rPr>
          <w:szCs w:val="20"/>
          <w:lang w:val="en-US"/>
        </w:rPr>
        <w:t>of the presumed victims</w:t>
      </w:r>
      <w:r w:rsidR="005472DB" w:rsidRPr="00A50E4D">
        <w:rPr>
          <w:szCs w:val="20"/>
          <w:lang w:val="en-US"/>
        </w:rPr>
        <w:t xml:space="preserve"> </w:t>
      </w:r>
      <w:r w:rsidRPr="00A50E4D">
        <w:rPr>
          <w:szCs w:val="20"/>
          <w:lang w:val="en-US"/>
        </w:rPr>
        <w:t xml:space="preserve">when disciplinary sanctions against them were decided. Based on the foregoing considerations, and bearing mind the findings in Chapter </w:t>
      </w:r>
      <w:r w:rsidR="005472DB" w:rsidRPr="00A50E4D">
        <w:rPr>
          <w:lang w:val="en-US"/>
        </w:rPr>
        <w:t xml:space="preserve">VII-1 </w:t>
      </w:r>
      <w:r w:rsidR="005472DB" w:rsidRPr="00A50E4D">
        <w:rPr>
          <w:i/>
          <w:lang w:val="en-US"/>
        </w:rPr>
        <w:t>supra</w:t>
      </w:r>
      <w:r w:rsidR="005472DB" w:rsidRPr="00A50E4D">
        <w:rPr>
          <w:szCs w:val="20"/>
          <w:lang w:val="en-US"/>
        </w:rPr>
        <w:t xml:space="preserve">, </w:t>
      </w:r>
      <w:r w:rsidR="009808C5" w:rsidRPr="00A50E4D">
        <w:rPr>
          <w:szCs w:val="20"/>
          <w:lang w:val="en-US"/>
        </w:rPr>
        <w:t>the Court</w:t>
      </w:r>
      <w:r w:rsidR="005472DB" w:rsidRPr="00A50E4D">
        <w:rPr>
          <w:szCs w:val="20"/>
          <w:lang w:val="en-US"/>
        </w:rPr>
        <w:t xml:space="preserve"> conclu</w:t>
      </w:r>
      <w:r w:rsidRPr="00A50E4D">
        <w:rPr>
          <w:szCs w:val="20"/>
          <w:lang w:val="en-US"/>
        </w:rPr>
        <w:t xml:space="preserve">des that subjecting the four presumed victims to disciplinary proceedings and organs that were not established by law constituted a violation </w:t>
      </w:r>
      <w:r w:rsidR="0048601C" w:rsidRPr="00A50E4D">
        <w:rPr>
          <w:szCs w:val="20"/>
          <w:lang w:val="en-US"/>
        </w:rPr>
        <w:t>of Article</w:t>
      </w:r>
      <w:r w:rsidR="005472DB" w:rsidRPr="00A50E4D">
        <w:rPr>
          <w:szCs w:val="20"/>
          <w:lang w:val="en-US"/>
        </w:rPr>
        <w:t xml:space="preserve"> </w:t>
      </w:r>
      <w:r w:rsidR="00EA5E90" w:rsidRPr="00A50E4D">
        <w:rPr>
          <w:szCs w:val="20"/>
          <w:lang w:val="en-US"/>
        </w:rPr>
        <w:t>8(1)</w:t>
      </w:r>
      <w:r w:rsidR="009808C5" w:rsidRPr="00A50E4D">
        <w:rPr>
          <w:szCs w:val="20"/>
          <w:lang w:val="en-US"/>
        </w:rPr>
        <w:t xml:space="preserve"> of the Convention</w:t>
      </w:r>
      <w:r w:rsidR="005472DB" w:rsidRPr="00A50E4D">
        <w:rPr>
          <w:szCs w:val="20"/>
          <w:lang w:val="en-US"/>
        </w:rPr>
        <w:t xml:space="preserve">, </w:t>
      </w:r>
      <w:r w:rsidR="0048601C" w:rsidRPr="00A50E4D">
        <w:rPr>
          <w:szCs w:val="20"/>
          <w:lang w:val="en-US"/>
        </w:rPr>
        <w:t>in relation to Articles 1(1)</w:t>
      </w:r>
      <w:r w:rsidR="009808C5" w:rsidRPr="00A50E4D">
        <w:rPr>
          <w:szCs w:val="20"/>
          <w:lang w:val="en-US"/>
        </w:rPr>
        <w:t xml:space="preserve"> and </w:t>
      </w:r>
      <w:r w:rsidR="005472DB" w:rsidRPr="00A50E4D">
        <w:rPr>
          <w:szCs w:val="20"/>
          <w:lang w:val="en-US"/>
        </w:rPr>
        <w:t>2</w:t>
      </w:r>
      <w:r w:rsidR="009808C5" w:rsidRPr="00A50E4D">
        <w:rPr>
          <w:szCs w:val="20"/>
          <w:lang w:val="en-US"/>
        </w:rPr>
        <w:t xml:space="preserve"> of the Convention</w:t>
      </w:r>
      <w:r w:rsidR="005472DB" w:rsidRPr="00A50E4D">
        <w:rPr>
          <w:szCs w:val="20"/>
          <w:lang w:val="en-US"/>
        </w:rPr>
        <w:t xml:space="preserve">, </w:t>
      </w:r>
      <w:r w:rsidRPr="00A50E4D">
        <w:rPr>
          <w:szCs w:val="20"/>
          <w:lang w:val="en-US"/>
        </w:rPr>
        <w:t>to the detriment of</w:t>
      </w:r>
      <w:r w:rsidR="005472DB" w:rsidRPr="00A50E4D">
        <w:rPr>
          <w:szCs w:val="20"/>
          <w:lang w:val="en-US"/>
        </w:rPr>
        <w:t xml:space="preserve"> Adán Guillermo López Lone, </w:t>
      </w:r>
      <w:r w:rsidR="008217D7" w:rsidRPr="00A50E4D">
        <w:rPr>
          <w:szCs w:val="20"/>
          <w:lang w:val="en-US"/>
        </w:rPr>
        <w:t>Tirza del Carmen</w:t>
      </w:r>
      <w:r w:rsidR="005472DB" w:rsidRPr="00A50E4D">
        <w:rPr>
          <w:szCs w:val="20"/>
          <w:lang w:val="en-US"/>
        </w:rPr>
        <w:t xml:space="preserve"> Flores Lanza, Luis Alonso </w:t>
      </w:r>
      <w:r w:rsidR="009A7056" w:rsidRPr="00A50E4D">
        <w:rPr>
          <w:szCs w:val="20"/>
          <w:lang w:val="en-US"/>
        </w:rPr>
        <w:t>Chévez de la Rocha</w:t>
      </w:r>
      <w:r w:rsidR="009808C5" w:rsidRPr="00A50E4D">
        <w:rPr>
          <w:szCs w:val="20"/>
          <w:lang w:val="en-US"/>
        </w:rPr>
        <w:t xml:space="preserve"> and </w:t>
      </w:r>
      <w:r w:rsidR="005472DB" w:rsidRPr="00A50E4D">
        <w:rPr>
          <w:szCs w:val="20"/>
          <w:lang w:val="en-US"/>
        </w:rPr>
        <w:t>Ramón Enrique Barrios Maldonado.</w:t>
      </w:r>
      <w:bookmarkEnd w:id="317"/>
      <w:r w:rsidR="005472DB" w:rsidRPr="00A50E4D">
        <w:rPr>
          <w:szCs w:val="20"/>
          <w:lang w:val="en-US"/>
        </w:rPr>
        <w:t xml:space="preserve"> </w:t>
      </w:r>
    </w:p>
    <w:p w14:paraId="1961FE50" w14:textId="77777777" w:rsidR="005472DB" w:rsidRPr="00A50E4D" w:rsidRDefault="005472DB" w:rsidP="005472DB">
      <w:pPr>
        <w:rPr>
          <w:color w:val="00B050"/>
          <w:spacing w:val="-4"/>
          <w:sz w:val="18"/>
          <w:szCs w:val="18"/>
          <w:lang w:val="en-US" w:eastAsia="es-MX"/>
        </w:rPr>
      </w:pPr>
    </w:p>
    <w:p w14:paraId="5F65FDCE" w14:textId="32B17F4B" w:rsidR="005472DB" w:rsidRPr="00A50E4D" w:rsidRDefault="00EB6155" w:rsidP="005472DB">
      <w:pPr>
        <w:pStyle w:val="PrrafodeSentencia"/>
        <w:rPr>
          <w:lang w:val="en-US"/>
        </w:rPr>
      </w:pPr>
      <w:r w:rsidRPr="00A50E4D">
        <w:rPr>
          <w:lang w:val="en-US"/>
        </w:rPr>
        <w:t>Notwithstanding this general violation as regards</w:t>
      </w:r>
      <w:r w:rsidR="00FF35A9" w:rsidRPr="00A50E4D">
        <w:rPr>
          <w:lang w:val="en-US"/>
        </w:rPr>
        <w:t xml:space="preserve"> the </w:t>
      </w:r>
      <w:r w:rsidR="00277E12" w:rsidRPr="00A50E4D">
        <w:rPr>
          <w:lang w:val="en-US"/>
        </w:rPr>
        <w:t>disciplinary proceedings</w:t>
      </w:r>
      <w:r w:rsidR="005472DB" w:rsidRPr="00A50E4D">
        <w:rPr>
          <w:lang w:val="en-US"/>
        </w:rPr>
        <w:t xml:space="preserve"> </w:t>
      </w:r>
      <w:r w:rsidRPr="00A50E4D">
        <w:rPr>
          <w:lang w:val="en-US"/>
        </w:rPr>
        <w:t xml:space="preserve">to which </w:t>
      </w:r>
      <w:r w:rsidR="00371BB7" w:rsidRPr="00A50E4D">
        <w:rPr>
          <w:lang w:val="en-US"/>
        </w:rPr>
        <w:t>the presumed victims</w:t>
      </w:r>
      <w:r w:rsidRPr="00A50E4D">
        <w:rPr>
          <w:lang w:val="en-US"/>
        </w:rPr>
        <w:t xml:space="preserve"> were subjected, owing to the circumstances </w:t>
      </w:r>
      <w:r w:rsidR="00FF35A9" w:rsidRPr="00A50E4D">
        <w:rPr>
          <w:lang w:val="en-US"/>
        </w:rPr>
        <w:t xml:space="preserve">of </w:t>
      </w:r>
      <w:r w:rsidR="0009368F" w:rsidRPr="00A50E4D">
        <w:rPr>
          <w:lang w:val="en-US"/>
        </w:rPr>
        <w:t>this case</w:t>
      </w:r>
      <w:r w:rsidRPr="00A50E4D">
        <w:rPr>
          <w:lang w:val="en-US"/>
        </w:rPr>
        <w:t>,</w:t>
      </w:r>
      <w:r w:rsidR="005472DB" w:rsidRPr="00A50E4D">
        <w:rPr>
          <w:lang w:val="en-US"/>
        </w:rPr>
        <w:t xml:space="preserve"> </w:t>
      </w:r>
      <w:r w:rsidR="009808C5" w:rsidRPr="00A50E4D">
        <w:rPr>
          <w:lang w:val="en-US"/>
        </w:rPr>
        <w:t>the Court</w:t>
      </w:r>
      <w:r w:rsidR="005472DB" w:rsidRPr="00A50E4D">
        <w:rPr>
          <w:lang w:val="en-US"/>
        </w:rPr>
        <w:t xml:space="preserve"> </w:t>
      </w:r>
      <w:r w:rsidRPr="00A50E4D">
        <w:rPr>
          <w:lang w:val="en-US"/>
        </w:rPr>
        <w:t>finds it necessary to analyze other aspects</w:t>
      </w:r>
      <w:r w:rsidR="00FF35A9" w:rsidRPr="00A50E4D">
        <w:rPr>
          <w:lang w:val="en-US"/>
        </w:rPr>
        <w:t xml:space="preserve"> of the </w:t>
      </w:r>
      <w:r w:rsidR="000A786A" w:rsidRPr="00A50E4D">
        <w:rPr>
          <w:lang w:val="en-US"/>
        </w:rPr>
        <w:t>violation</w:t>
      </w:r>
      <w:r w:rsidR="005472DB" w:rsidRPr="00A50E4D">
        <w:rPr>
          <w:lang w:val="en-US"/>
        </w:rPr>
        <w:t xml:space="preserve"> </w:t>
      </w:r>
      <w:r w:rsidR="0048601C" w:rsidRPr="00A50E4D">
        <w:rPr>
          <w:lang w:val="en-US"/>
        </w:rPr>
        <w:t>of Article</w:t>
      </w:r>
      <w:r w:rsidR="005472DB" w:rsidRPr="00A50E4D">
        <w:rPr>
          <w:lang w:val="en-US"/>
        </w:rPr>
        <w:t xml:space="preserve"> </w:t>
      </w:r>
      <w:r w:rsidR="00EA5E90" w:rsidRPr="00A50E4D">
        <w:rPr>
          <w:lang w:val="en-US"/>
        </w:rPr>
        <w:t>8(1)</w:t>
      </w:r>
      <w:r w:rsidR="009808C5" w:rsidRPr="00A50E4D">
        <w:rPr>
          <w:lang w:val="en-US"/>
        </w:rPr>
        <w:t xml:space="preserve"> of the Convention</w:t>
      </w:r>
      <w:r w:rsidR="005472DB" w:rsidRPr="00A50E4D">
        <w:rPr>
          <w:lang w:val="en-US"/>
        </w:rPr>
        <w:t>, particular</w:t>
      </w:r>
      <w:r w:rsidRPr="00A50E4D">
        <w:rPr>
          <w:lang w:val="en-US"/>
        </w:rPr>
        <w:t>ly</w:t>
      </w:r>
      <w:r w:rsidR="005472DB" w:rsidRPr="00A50E4D">
        <w:rPr>
          <w:lang w:val="en-US"/>
        </w:rPr>
        <w:t xml:space="preserve"> (i) </w:t>
      </w:r>
      <w:r w:rsidRPr="00A50E4D">
        <w:rPr>
          <w:lang w:val="en-US"/>
        </w:rPr>
        <w:t xml:space="preserve">the lack of competence and independence </w:t>
      </w:r>
      <w:r w:rsidR="006A756C" w:rsidRPr="00A50E4D">
        <w:rPr>
          <w:lang w:val="en-US"/>
        </w:rPr>
        <w:t>of the Judicial Service Council</w:t>
      </w:r>
      <w:r w:rsidR="005472DB" w:rsidRPr="00A50E4D">
        <w:rPr>
          <w:lang w:val="en-US"/>
        </w:rPr>
        <w:t xml:space="preserve"> </w:t>
      </w:r>
      <w:r w:rsidRPr="00A50E4D">
        <w:rPr>
          <w:lang w:val="en-US"/>
        </w:rPr>
        <w:t xml:space="preserve">to decide the appeals against the rulings </w:t>
      </w:r>
      <w:r w:rsidR="009808C5" w:rsidRPr="00A50E4D">
        <w:rPr>
          <w:lang w:val="en-US"/>
        </w:rPr>
        <w:t xml:space="preserve">of the </w:t>
      </w:r>
      <w:r w:rsidR="00700DEC" w:rsidRPr="00A50E4D">
        <w:rPr>
          <w:lang w:val="en-US"/>
        </w:rPr>
        <w:t>Supreme Court</w:t>
      </w:r>
      <w:r w:rsidRPr="00A50E4D">
        <w:rPr>
          <w:lang w:val="en-US"/>
        </w:rPr>
        <w:t>;</w:t>
      </w:r>
      <w:r w:rsidR="005472DB" w:rsidRPr="00A50E4D">
        <w:rPr>
          <w:lang w:val="en-US"/>
        </w:rPr>
        <w:t xml:space="preserve"> (ii) </w:t>
      </w:r>
      <w:r w:rsidRPr="00A50E4D">
        <w:rPr>
          <w:lang w:val="en-US"/>
        </w:rPr>
        <w:t xml:space="preserve">the lack of impartiality </w:t>
      </w:r>
      <w:r w:rsidR="006A756C" w:rsidRPr="00A50E4D">
        <w:rPr>
          <w:lang w:val="en-US"/>
        </w:rPr>
        <w:t>of the Judicial Service Council</w:t>
      </w:r>
      <w:r w:rsidR="005472DB" w:rsidRPr="00A50E4D">
        <w:rPr>
          <w:lang w:val="en-US"/>
        </w:rPr>
        <w:t>,</w:t>
      </w:r>
      <w:r w:rsidR="009808C5" w:rsidRPr="00A50E4D">
        <w:rPr>
          <w:lang w:val="en-US"/>
        </w:rPr>
        <w:t xml:space="preserve"> and </w:t>
      </w:r>
      <w:r w:rsidR="005472DB" w:rsidRPr="00A50E4D">
        <w:rPr>
          <w:lang w:val="en-US"/>
        </w:rPr>
        <w:t xml:space="preserve">(iii) </w:t>
      </w:r>
      <w:r w:rsidRPr="00A50E4D">
        <w:rPr>
          <w:lang w:val="en-US"/>
        </w:rPr>
        <w:t xml:space="preserve">the </w:t>
      </w:r>
      <w:r w:rsidR="00697107" w:rsidRPr="00A50E4D">
        <w:rPr>
          <w:lang w:val="en-US"/>
        </w:rPr>
        <w:t>lack of impartiality</w:t>
      </w:r>
      <w:r w:rsidR="002876E8" w:rsidRPr="00A50E4D">
        <w:rPr>
          <w:lang w:val="en-US"/>
        </w:rPr>
        <w:t xml:space="preserve"> of the Supreme Court of Justice</w:t>
      </w:r>
      <w:r w:rsidRPr="00A50E4D">
        <w:rPr>
          <w:lang w:val="en-US"/>
        </w:rPr>
        <w:t>.</w:t>
      </w:r>
    </w:p>
    <w:p w14:paraId="66C6B142" w14:textId="77777777" w:rsidR="005472DB" w:rsidRPr="00A50E4D" w:rsidRDefault="005472DB" w:rsidP="005472DB">
      <w:pPr>
        <w:autoSpaceDE w:val="0"/>
        <w:autoSpaceDN w:val="0"/>
        <w:adjustRightInd w:val="0"/>
        <w:rPr>
          <w:rFonts w:ascii="Arial" w:hAnsi="Arial" w:cs="Arial"/>
          <w:spacing w:val="-4"/>
          <w:sz w:val="23"/>
          <w:szCs w:val="23"/>
          <w:lang w:val="en-US"/>
        </w:rPr>
      </w:pPr>
    </w:p>
    <w:p w14:paraId="6F8B209E" w14:textId="19FAD017" w:rsidR="005472DB" w:rsidRPr="00A50E4D" w:rsidRDefault="005472DB" w:rsidP="005472DB">
      <w:pPr>
        <w:pStyle w:val="Heading4"/>
        <w:rPr>
          <w:spacing w:val="-4"/>
          <w:lang w:val="en-US"/>
        </w:rPr>
      </w:pPr>
      <w:bookmarkStart w:id="318" w:name="_Toc431584650"/>
      <w:bookmarkStart w:id="319" w:name="_Toc471717284"/>
      <w:r w:rsidRPr="00A50E4D">
        <w:rPr>
          <w:spacing w:val="-4"/>
          <w:lang w:val="en-US"/>
        </w:rPr>
        <w:t xml:space="preserve">B.2.a) </w:t>
      </w:r>
      <w:r w:rsidR="00EB6155" w:rsidRPr="00A50E4D">
        <w:rPr>
          <w:spacing w:val="-4"/>
          <w:lang w:val="en-US"/>
        </w:rPr>
        <w:t>Lack of competence and independence</w:t>
      </w:r>
      <w:r w:rsidR="006A756C" w:rsidRPr="00A50E4D">
        <w:rPr>
          <w:spacing w:val="-4"/>
          <w:lang w:val="en-US"/>
        </w:rPr>
        <w:t xml:space="preserve"> of the Judicial Service Council</w:t>
      </w:r>
      <w:bookmarkEnd w:id="318"/>
      <w:bookmarkEnd w:id="319"/>
    </w:p>
    <w:p w14:paraId="476F3FF7" w14:textId="77777777" w:rsidR="005472DB" w:rsidRPr="00A50E4D" w:rsidRDefault="005472DB" w:rsidP="005472DB">
      <w:pPr>
        <w:pStyle w:val="PrrafodeSentencia"/>
        <w:numPr>
          <w:ilvl w:val="0"/>
          <w:numId w:val="0"/>
        </w:numPr>
        <w:rPr>
          <w:lang w:val="en-US"/>
        </w:rPr>
      </w:pPr>
    </w:p>
    <w:p w14:paraId="11F5B63C" w14:textId="0A1AB292" w:rsidR="005472DB" w:rsidRPr="00A50E4D" w:rsidRDefault="006A756C" w:rsidP="005472DB">
      <w:pPr>
        <w:pStyle w:val="PrrafodeSentencia"/>
        <w:rPr>
          <w:szCs w:val="20"/>
          <w:lang w:val="en-US"/>
        </w:rPr>
      </w:pPr>
      <w:r w:rsidRPr="00A50E4D">
        <w:rPr>
          <w:szCs w:val="20"/>
          <w:lang w:val="en-US"/>
        </w:rPr>
        <w:t>The Judicial Service Council</w:t>
      </w:r>
      <w:r w:rsidR="005472DB" w:rsidRPr="00A50E4D">
        <w:rPr>
          <w:szCs w:val="20"/>
          <w:lang w:val="en-US"/>
        </w:rPr>
        <w:t xml:space="preserve">, </w:t>
      </w:r>
      <w:r w:rsidR="00EB6155" w:rsidRPr="00A50E4D">
        <w:rPr>
          <w:szCs w:val="20"/>
          <w:lang w:val="en-US"/>
        </w:rPr>
        <w:t xml:space="preserve">the entity that </w:t>
      </w:r>
      <w:r w:rsidR="00697107" w:rsidRPr="00A50E4D">
        <w:rPr>
          <w:szCs w:val="20"/>
          <w:lang w:val="en-US"/>
        </w:rPr>
        <w:t>reviewed</w:t>
      </w:r>
      <w:r w:rsidR="00EB6155" w:rsidRPr="00A50E4D">
        <w:rPr>
          <w:szCs w:val="20"/>
          <w:lang w:val="en-US"/>
        </w:rPr>
        <w:t xml:space="preserve"> the dismissal decisions issued by </w:t>
      </w:r>
      <w:r w:rsidR="009808C5" w:rsidRPr="00A50E4D">
        <w:rPr>
          <w:szCs w:val="20"/>
          <w:lang w:val="en-US"/>
        </w:rPr>
        <w:t xml:space="preserve">the </w:t>
      </w:r>
      <w:r w:rsidR="00700DEC" w:rsidRPr="00A50E4D">
        <w:rPr>
          <w:szCs w:val="20"/>
          <w:lang w:val="en-US"/>
        </w:rPr>
        <w:t>Supreme Court</w:t>
      </w:r>
      <w:r w:rsidR="005472DB" w:rsidRPr="00A50E4D">
        <w:rPr>
          <w:szCs w:val="20"/>
          <w:lang w:val="en-US"/>
        </w:rPr>
        <w:t xml:space="preserve">, </w:t>
      </w:r>
      <w:r w:rsidR="00EB6155" w:rsidRPr="00A50E4D">
        <w:rPr>
          <w:szCs w:val="20"/>
          <w:lang w:val="en-US"/>
        </w:rPr>
        <w:t xml:space="preserve">lacked due independence to act as an organ of review or appeal </w:t>
      </w:r>
      <w:r w:rsidR="00697107" w:rsidRPr="00A50E4D">
        <w:rPr>
          <w:szCs w:val="20"/>
          <w:lang w:val="en-US"/>
        </w:rPr>
        <w:t>with regard to</w:t>
      </w:r>
      <w:r w:rsidR="009808C5" w:rsidRPr="00A50E4D">
        <w:rPr>
          <w:szCs w:val="20"/>
          <w:lang w:val="en-US"/>
        </w:rPr>
        <w:t xml:space="preserve"> the </w:t>
      </w:r>
      <w:r w:rsidR="00700DEC" w:rsidRPr="00A50E4D">
        <w:rPr>
          <w:szCs w:val="20"/>
          <w:lang w:val="en-US"/>
        </w:rPr>
        <w:t>Supreme Court</w:t>
      </w:r>
      <w:r w:rsidR="005472DB" w:rsidRPr="00A50E4D">
        <w:rPr>
          <w:szCs w:val="20"/>
          <w:lang w:val="en-US"/>
        </w:rPr>
        <w:t xml:space="preserve">, </w:t>
      </w:r>
      <w:r w:rsidR="00EB6155" w:rsidRPr="00A50E4D">
        <w:rPr>
          <w:szCs w:val="20"/>
          <w:lang w:val="en-US"/>
        </w:rPr>
        <w:t xml:space="preserve">because it was an auxiliary </w:t>
      </w:r>
      <w:r w:rsidR="00697107" w:rsidRPr="00A50E4D">
        <w:rPr>
          <w:szCs w:val="20"/>
          <w:lang w:val="en-US"/>
        </w:rPr>
        <w:t>body</w:t>
      </w:r>
      <w:r w:rsidR="00EB6155" w:rsidRPr="00A50E4D">
        <w:rPr>
          <w:szCs w:val="20"/>
          <w:lang w:val="en-US"/>
        </w:rPr>
        <w:t xml:space="preserve"> </w:t>
      </w:r>
      <w:r w:rsidR="009808C5" w:rsidRPr="00A50E4D">
        <w:rPr>
          <w:szCs w:val="20"/>
          <w:lang w:val="en-US"/>
        </w:rPr>
        <w:t xml:space="preserve">of the </w:t>
      </w:r>
      <w:r w:rsidR="00700DEC" w:rsidRPr="00A50E4D">
        <w:rPr>
          <w:szCs w:val="20"/>
          <w:lang w:val="en-US"/>
        </w:rPr>
        <w:t>Supreme Court</w:t>
      </w:r>
      <w:r w:rsidR="009808C5" w:rsidRPr="00A50E4D">
        <w:rPr>
          <w:szCs w:val="20"/>
          <w:lang w:val="en-US"/>
        </w:rPr>
        <w:t xml:space="preserve"> and </w:t>
      </w:r>
      <w:r w:rsidR="005472DB" w:rsidRPr="00A50E4D">
        <w:rPr>
          <w:szCs w:val="20"/>
          <w:lang w:val="en-US"/>
        </w:rPr>
        <w:t>depend</w:t>
      </w:r>
      <w:r w:rsidR="00EB6155" w:rsidRPr="00A50E4D">
        <w:rPr>
          <w:szCs w:val="20"/>
          <w:lang w:val="en-US"/>
        </w:rPr>
        <w:t xml:space="preserve">ed on it. According to </w:t>
      </w:r>
      <w:r w:rsidR="004D0F32" w:rsidRPr="00A50E4D">
        <w:rPr>
          <w:szCs w:val="20"/>
          <w:lang w:val="en-US"/>
        </w:rPr>
        <w:t>the Judicial</w:t>
      </w:r>
      <w:r w:rsidR="00277E12" w:rsidRPr="00A50E4D">
        <w:rPr>
          <w:szCs w:val="20"/>
          <w:lang w:val="en-US"/>
        </w:rPr>
        <w:t xml:space="preserve"> Service Act</w:t>
      </w:r>
      <w:r w:rsidR="005472DB" w:rsidRPr="00A50E4D">
        <w:rPr>
          <w:szCs w:val="20"/>
          <w:lang w:val="en-US"/>
        </w:rPr>
        <w:t xml:space="preserve">, </w:t>
      </w:r>
      <w:r w:rsidR="00171F4E" w:rsidRPr="00A50E4D">
        <w:rPr>
          <w:szCs w:val="20"/>
          <w:lang w:val="en-US"/>
        </w:rPr>
        <w:t>its Regulations</w:t>
      </w:r>
      <w:r w:rsidR="00EB6155" w:rsidRPr="00A50E4D">
        <w:rPr>
          <w:szCs w:val="20"/>
          <w:lang w:val="en-US"/>
        </w:rPr>
        <w:t>,</w:t>
      </w:r>
      <w:r w:rsidR="009808C5" w:rsidRPr="00A50E4D">
        <w:rPr>
          <w:szCs w:val="20"/>
          <w:lang w:val="en-US"/>
        </w:rPr>
        <w:t xml:space="preserve"> and </w:t>
      </w:r>
      <w:r w:rsidRPr="00A50E4D">
        <w:rPr>
          <w:szCs w:val="20"/>
          <w:lang w:val="en-US"/>
        </w:rPr>
        <w:t xml:space="preserve">the </w:t>
      </w:r>
      <w:r w:rsidR="000E6A0D" w:rsidRPr="00A50E4D">
        <w:rPr>
          <w:szCs w:val="20"/>
          <w:lang w:val="en-US"/>
        </w:rPr>
        <w:t>rules of procedure</w:t>
      </w:r>
      <w:r w:rsidR="00EB6155" w:rsidRPr="00A50E4D">
        <w:rPr>
          <w:szCs w:val="20"/>
          <w:lang w:val="en-US"/>
        </w:rPr>
        <w:t xml:space="preserve"> of the Judicial Service Council</w:t>
      </w:r>
      <w:r w:rsidR="005472DB" w:rsidRPr="00A50E4D">
        <w:rPr>
          <w:szCs w:val="20"/>
          <w:lang w:val="en-US"/>
        </w:rPr>
        <w:t xml:space="preserve">, </w:t>
      </w:r>
      <w:r w:rsidR="00EB6155" w:rsidRPr="00A50E4D">
        <w:rPr>
          <w:szCs w:val="20"/>
          <w:lang w:val="en-US"/>
        </w:rPr>
        <w:t xml:space="preserve">the </w:t>
      </w:r>
      <w:r w:rsidR="000A786A" w:rsidRPr="00A50E4D">
        <w:rPr>
          <w:szCs w:val="20"/>
          <w:lang w:val="en-US"/>
        </w:rPr>
        <w:t>latter</w:t>
      </w:r>
      <w:r w:rsidR="00EB6155" w:rsidRPr="00A50E4D">
        <w:rPr>
          <w:szCs w:val="20"/>
          <w:lang w:val="en-US"/>
        </w:rPr>
        <w:t xml:space="preserve"> “depend[ed] on </w:t>
      </w:r>
      <w:r w:rsidR="009808C5" w:rsidRPr="00A50E4D">
        <w:rPr>
          <w:szCs w:val="20"/>
          <w:lang w:val="en-US"/>
        </w:rPr>
        <w:t xml:space="preserve">the </w:t>
      </w:r>
      <w:r w:rsidR="00371BB7" w:rsidRPr="00A50E4D">
        <w:rPr>
          <w:szCs w:val="20"/>
          <w:lang w:val="en-US"/>
        </w:rPr>
        <w:t>Supreme Court of Justice</w:t>
      </w:r>
      <w:r w:rsidR="005472DB" w:rsidRPr="00A50E4D">
        <w:rPr>
          <w:szCs w:val="20"/>
          <w:lang w:val="en-US"/>
        </w:rPr>
        <w:t>”</w:t>
      </w:r>
      <w:r w:rsidR="009808C5" w:rsidRPr="00A50E4D">
        <w:rPr>
          <w:szCs w:val="20"/>
          <w:lang w:val="en-US"/>
        </w:rPr>
        <w:t xml:space="preserve"> and </w:t>
      </w:r>
      <w:r w:rsidR="00EB6155" w:rsidRPr="00A50E4D">
        <w:rPr>
          <w:szCs w:val="20"/>
          <w:lang w:val="en-US"/>
        </w:rPr>
        <w:t>its</w:t>
      </w:r>
      <w:r w:rsidR="005472DB" w:rsidRPr="00A50E4D">
        <w:rPr>
          <w:szCs w:val="20"/>
          <w:lang w:val="en-US"/>
        </w:rPr>
        <w:t xml:space="preserve"> “</w:t>
      </w:r>
      <w:r w:rsidR="00EB6155" w:rsidRPr="00A50E4D">
        <w:rPr>
          <w:szCs w:val="20"/>
          <w:lang w:val="en-US"/>
        </w:rPr>
        <w:t>essential function […] shall be to assist</w:t>
      </w:r>
      <w:r w:rsidR="005472DB" w:rsidRPr="00A50E4D">
        <w:rPr>
          <w:szCs w:val="20"/>
          <w:lang w:val="en-US"/>
        </w:rPr>
        <w:t xml:space="preserve"> </w:t>
      </w:r>
      <w:r w:rsidR="009808C5" w:rsidRPr="00A50E4D">
        <w:rPr>
          <w:szCs w:val="20"/>
          <w:lang w:val="en-US"/>
        </w:rPr>
        <w:t xml:space="preserve">the </w:t>
      </w:r>
      <w:r w:rsidR="00371BB7" w:rsidRPr="00A50E4D">
        <w:rPr>
          <w:szCs w:val="20"/>
          <w:lang w:val="en-US"/>
        </w:rPr>
        <w:t>Supreme Court of Justice</w:t>
      </w:r>
      <w:r w:rsidR="00EB6155" w:rsidRPr="00A50E4D">
        <w:rPr>
          <w:szCs w:val="20"/>
          <w:lang w:val="en-US"/>
        </w:rPr>
        <w:t xml:space="preserve"> as reg</w:t>
      </w:r>
      <w:r w:rsidR="00697107" w:rsidRPr="00A50E4D">
        <w:rPr>
          <w:szCs w:val="20"/>
          <w:lang w:val="en-US"/>
        </w:rPr>
        <w:t>ards personnel management policy</w:t>
      </w:r>
      <w:r w:rsidR="00EB6155" w:rsidRPr="00A50E4D">
        <w:rPr>
          <w:szCs w:val="20"/>
          <w:lang w:val="en-US"/>
        </w:rPr>
        <w:t>, and to decide, in its respective instance, any conflicts that occur as a result of the application of this law and its regulations.</w:t>
      </w:r>
      <w:r w:rsidR="005472DB" w:rsidRPr="00A50E4D">
        <w:rPr>
          <w:szCs w:val="20"/>
          <w:lang w:val="en-US"/>
        </w:rPr>
        <w:t>”</w:t>
      </w:r>
      <w:bookmarkStart w:id="320" w:name="_Ref308520393"/>
      <w:r w:rsidR="005472DB" w:rsidRPr="00A50E4D">
        <w:rPr>
          <w:rStyle w:val="FootnoteReference"/>
          <w:sz w:val="20"/>
          <w:szCs w:val="20"/>
          <w:lang w:val="en-US"/>
        </w:rPr>
        <w:footnoteReference w:id="375"/>
      </w:r>
      <w:bookmarkEnd w:id="320"/>
      <w:r w:rsidR="005472DB" w:rsidRPr="00A50E4D">
        <w:rPr>
          <w:szCs w:val="20"/>
          <w:lang w:val="en-US"/>
        </w:rPr>
        <w:t xml:space="preserve"> </w:t>
      </w:r>
    </w:p>
    <w:p w14:paraId="1A5CC48F" w14:textId="77777777" w:rsidR="005472DB" w:rsidRPr="00A50E4D" w:rsidRDefault="005472DB" w:rsidP="005472DB">
      <w:pPr>
        <w:rPr>
          <w:spacing w:val="-4"/>
          <w:szCs w:val="20"/>
          <w:lang w:val="en-US" w:eastAsia="es-MX"/>
        </w:rPr>
      </w:pPr>
    </w:p>
    <w:p w14:paraId="73ED7498" w14:textId="472C31F8" w:rsidR="005472DB" w:rsidRPr="00A50E4D" w:rsidRDefault="00457AC2" w:rsidP="004049CA">
      <w:pPr>
        <w:pStyle w:val="PrrafodeSentencia"/>
        <w:rPr>
          <w:szCs w:val="20"/>
          <w:lang w:val="en-US"/>
        </w:rPr>
      </w:pPr>
      <w:bookmarkStart w:id="321" w:name="_Ref427197056"/>
      <w:r w:rsidRPr="00A50E4D">
        <w:rPr>
          <w:szCs w:val="20"/>
          <w:lang w:val="en-US"/>
        </w:rPr>
        <w:t>The i</w:t>
      </w:r>
      <w:r w:rsidR="004049CA" w:rsidRPr="00A50E4D">
        <w:rPr>
          <w:szCs w:val="20"/>
          <w:lang w:val="en-US"/>
        </w:rPr>
        <w:t>ndepend</w:t>
      </w:r>
      <w:r w:rsidR="000A786A" w:rsidRPr="00A50E4D">
        <w:rPr>
          <w:szCs w:val="20"/>
          <w:lang w:val="en-US"/>
        </w:rPr>
        <w:t>ence of judges must be guaranteed</w:t>
      </w:r>
      <w:r w:rsidR="00697107" w:rsidRPr="00A50E4D">
        <w:rPr>
          <w:szCs w:val="20"/>
          <w:lang w:val="en-US"/>
        </w:rPr>
        <w:t>,</w:t>
      </w:r>
      <w:r w:rsidR="004049CA" w:rsidRPr="00A50E4D">
        <w:rPr>
          <w:szCs w:val="20"/>
          <w:lang w:val="en-US"/>
        </w:rPr>
        <w:t xml:space="preserve"> </w:t>
      </w:r>
      <w:r w:rsidR="00697107" w:rsidRPr="00A50E4D">
        <w:rPr>
          <w:szCs w:val="20"/>
          <w:lang w:val="en-US"/>
        </w:rPr>
        <w:t xml:space="preserve">including </w:t>
      </w:r>
      <w:r w:rsidR="004049CA" w:rsidRPr="00A50E4D">
        <w:rPr>
          <w:szCs w:val="20"/>
          <w:lang w:val="en-US"/>
        </w:rPr>
        <w:t xml:space="preserve">within the </w:t>
      </w:r>
      <w:r w:rsidR="00697107" w:rsidRPr="00A50E4D">
        <w:rPr>
          <w:szCs w:val="20"/>
          <w:lang w:val="en-US"/>
        </w:rPr>
        <w:t>Judiciary</w:t>
      </w:r>
      <w:r w:rsidR="004049CA" w:rsidRPr="00A50E4D">
        <w:rPr>
          <w:szCs w:val="20"/>
          <w:lang w:val="en-US"/>
        </w:rPr>
        <w:t xml:space="preserve">. This autonomous exercise must be guaranteed by the State as regards both its institutional aspect – that is, in relation to the Judiciary as a system – and also in connection with its individual aspect – that is, in relation to the person of each specific judge. The </w:t>
      </w:r>
      <w:r w:rsidR="00697107" w:rsidRPr="00A50E4D">
        <w:rPr>
          <w:szCs w:val="20"/>
          <w:lang w:val="en-US"/>
        </w:rPr>
        <w:t>purpose</w:t>
      </w:r>
      <w:r w:rsidR="004049CA" w:rsidRPr="00A50E4D">
        <w:rPr>
          <w:szCs w:val="20"/>
          <w:lang w:val="en-US"/>
        </w:rPr>
        <w:t xml:space="preserve"> of the protection is to avoid the judicial system in general, and its members in particular, being subjected to possible undue restrictions in the exercise of their function by </w:t>
      </w:r>
      <w:r w:rsidR="00697107" w:rsidRPr="00A50E4D">
        <w:rPr>
          <w:szCs w:val="20"/>
          <w:lang w:val="en-US"/>
        </w:rPr>
        <w:t>bodies</w:t>
      </w:r>
      <w:r w:rsidR="004049CA" w:rsidRPr="00A50E4D">
        <w:rPr>
          <w:szCs w:val="20"/>
          <w:lang w:val="en-US"/>
        </w:rPr>
        <w:t xml:space="preserve"> outside the Judiciary or even by those justices who exercise functions of review or appeal.</w:t>
      </w:r>
      <w:r w:rsidR="005472DB" w:rsidRPr="00A50E4D">
        <w:rPr>
          <w:rStyle w:val="FootnoteReference"/>
          <w:sz w:val="20"/>
          <w:szCs w:val="20"/>
          <w:lang w:val="en-US"/>
        </w:rPr>
        <w:footnoteReference w:id="376"/>
      </w:r>
      <w:bookmarkEnd w:id="321"/>
      <w:r w:rsidR="004049CA" w:rsidRPr="00A50E4D">
        <w:rPr>
          <w:szCs w:val="20"/>
          <w:lang w:val="en-US"/>
        </w:rPr>
        <w:t xml:space="preserve"> </w:t>
      </w:r>
      <w:r w:rsidR="00697107" w:rsidRPr="00A50E4D">
        <w:rPr>
          <w:szCs w:val="20"/>
          <w:lang w:val="en-US"/>
        </w:rPr>
        <w:t xml:space="preserve">Defendants </w:t>
      </w:r>
      <w:r w:rsidR="004049CA" w:rsidRPr="00A50E4D">
        <w:rPr>
          <w:szCs w:val="20"/>
          <w:lang w:val="en-US"/>
        </w:rPr>
        <w:t xml:space="preserve">have the right, derived from </w:t>
      </w:r>
      <w:r w:rsidR="009808C5" w:rsidRPr="00A50E4D">
        <w:rPr>
          <w:szCs w:val="20"/>
          <w:lang w:val="en-US"/>
        </w:rPr>
        <w:t>the American Convention</w:t>
      </w:r>
      <w:r w:rsidR="00697107" w:rsidRPr="00A50E4D">
        <w:rPr>
          <w:szCs w:val="20"/>
          <w:lang w:val="en-US"/>
        </w:rPr>
        <w:t>,</w:t>
      </w:r>
      <w:r w:rsidR="004049CA" w:rsidRPr="00A50E4D">
        <w:rPr>
          <w:szCs w:val="20"/>
          <w:lang w:val="en-US"/>
        </w:rPr>
        <w:t xml:space="preserve"> to the judges who decide their disputes being and appearing to be independent.</w:t>
      </w:r>
      <w:r w:rsidR="005472DB" w:rsidRPr="00A50E4D">
        <w:rPr>
          <w:rStyle w:val="FootnoteReference"/>
          <w:sz w:val="20"/>
          <w:szCs w:val="20"/>
          <w:lang w:val="en-US"/>
        </w:rPr>
        <w:footnoteReference w:id="377"/>
      </w:r>
    </w:p>
    <w:p w14:paraId="779ED278" w14:textId="77777777" w:rsidR="005472DB" w:rsidRPr="00A50E4D" w:rsidRDefault="005472DB" w:rsidP="005472DB">
      <w:pPr>
        <w:pStyle w:val="PrrafodeSentencia"/>
        <w:numPr>
          <w:ilvl w:val="0"/>
          <w:numId w:val="0"/>
        </w:numPr>
        <w:rPr>
          <w:szCs w:val="20"/>
          <w:lang w:val="en-US"/>
        </w:rPr>
      </w:pPr>
    </w:p>
    <w:p w14:paraId="22FD2B20" w14:textId="6CAEE09E" w:rsidR="005472DB" w:rsidRPr="00A50E4D" w:rsidRDefault="00622CE4" w:rsidP="004049CA">
      <w:pPr>
        <w:pStyle w:val="PrrafodeSentencia"/>
        <w:rPr>
          <w:szCs w:val="20"/>
          <w:lang w:val="en-US"/>
        </w:rPr>
      </w:pPr>
      <w:r w:rsidRPr="00A50E4D">
        <w:rPr>
          <w:szCs w:val="20"/>
          <w:lang w:val="en-US"/>
        </w:rPr>
        <w:t>Expert witness</w:t>
      </w:r>
      <w:r w:rsidR="005472DB" w:rsidRPr="00A50E4D">
        <w:rPr>
          <w:szCs w:val="20"/>
          <w:lang w:val="en-US"/>
        </w:rPr>
        <w:t xml:space="preserve"> Perfe</w:t>
      </w:r>
      <w:r w:rsidR="004049CA" w:rsidRPr="00A50E4D">
        <w:rPr>
          <w:lang w:val="en-US"/>
        </w:rPr>
        <w:t xml:space="preserve">cto Andrés Ibáñez </w:t>
      </w:r>
      <w:r w:rsidR="00280AA5" w:rsidRPr="00A50E4D">
        <w:rPr>
          <w:lang w:val="en-US"/>
        </w:rPr>
        <w:t>asserted</w:t>
      </w:r>
      <w:r w:rsidR="004049CA" w:rsidRPr="00A50E4D">
        <w:rPr>
          <w:lang w:val="en-US"/>
        </w:rPr>
        <w:t xml:space="preserve"> that the</w:t>
      </w:r>
      <w:r w:rsidR="005472DB" w:rsidRPr="00A50E4D">
        <w:rPr>
          <w:lang w:val="en-US"/>
        </w:rPr>
        <w:t xml:space="preserve"> “</w:t>
      </w:r>
      <w:r w:rsidR="004049CA" w:rsidRPr="00A50E4D">
        <w:rPr>
          <w:lang w:val="en-US"/>
        </w:rPr>
        <w:t xml:space="preserve">independence [of the judicial authorities from those who exercise disciplinary control] is essential </w:t>
      </w:r>
      <w:r w:rsidR="00280AA5" w:rsidRPr="00A50E4D">
        <w:rPr>
          <w:lang w:val="en-US"/>
        </w:rPr>
        <w:t>because</w:t>
      </w:r>
      <w:r w:rsidR="004049CA" w:rsidRPr="00A50E4D">
        <w:rPr>
          <w:lang w:val="en-US"/>
        </w:rPr>
        <w:t xml:space="preserve"> </w:t>
      </w:r>
      <w:r w:rsidR="00280AA5" w:rsidRPr="00A50E4D">
        <w:rPr>
          <w:lang w:val="en-US"/>
        </w:rPr>
        <w:t xml:space="preserve">decisions are at stake </w:t>
      </w:r>
      <w:r w:rsidR="004049CA" w:rsidRPr="00A50E4D">
        <w:rPr>
          <w:lang w:val="en-US"/>
        </w:rPr>
        <w:t>that will affect the independence of the courts.” According to this expert, those responsible for disciplinary control must be “</w:t>
      </w:r>
      <w:r w:rsidR="00280AA5" w:rsidRPr="00A50E4D">
        <w:rPr>
          <w:lang w:val="en-US"/>
        </w:rPr>
        <w:t>given</w:t>
      </w:r>
      <w:r w:rsidR="004049CA" w:rsidRPr="00A50E4D">
        <w:rPr>
          <w:lang w:val="en-US"/>
        </w:rPr>
        <w:t xml:space="preserve"> a</w:t>
      </w:r>
      <w:r w:rsidR="00280AA5" w:rsidRPr="00A50E4D">
        <w:rPr>
          <w:lang w:val="en-US"/>
        </w:rPr>
        <w:t xml:space="preserve"> special</w:t>
      </w:r>
      <w:r w:rsidR="004049CA" w:rsidRPr="00A50E4D">
        <w:rPr>
          <w:lang w:val="en-US"/>
        </w:rPr>
        <w:t xml:space="preserve"> status […] in which there is no r</w:t>
      </w:r>
      <w:r w:rsidR="00280AA5" w:rsidRPr="00A50E4D">
        <w:rPr>
          <w:lang w:val="en-US"/>
        </w:rPr>
        <w:t xml:space="preserve">oom for political interference </w:t>
      </w:r>
      <w:r w:rsidR="004049CA" w:rsidRPr="00A50E4D">
        <w:rPr>
          <w:lang w:val="en-US"/>
        </w:rPr>
        <w:t>or, evidently, for</w:t>
      </w:r>
      <w:r w:rsidR="00280AA5" w:rsidRPr="00A50E4D">
        <w:rPr>
          <w:lang w:val="en-US"/>
        </w:rPr>
        <w:t xml:space="preserve"> hierarchical</w:t>
      </w:r>
      <w:r w:rsidR="004049CA" w:rsidRPr="00A50E4D">
        <w:rPr>
          <w:lang w:val="en-US"/>
        </w:rPr>
        <w:t xml:space="preserve"> </w:t>
      </w:r>
      <w:r w:rsidR="00280AA5" w:rsidRPr="00A50E4D">
        <w:rPr>
          <w:lang w:val="en-US"/>
        </w:rPr>
        <w:t>interference</w:t>
      </w:r>
      <w:r w:rsidR="004049CA" w:rsidRPr="00A50E4D">
        <w:rPr>
          <w:lang w:val="en-US"/>
        </w:rPr>
        <w:t xml:space="preserve">, and that </w:t>
      </w:r>
      <w:r w:rsidR="00280AA5" w:rsidRPr="00A50E4D">
        <w:rPr>
          <w:lang w:val="en-US"/>
        </w:rPr>
        <w:t>permits</w:t>
      </w:r>
      <w:r w:rsidR="004049CA" w:rsidRPr="00A50E4D">
        <w:rPr>
          <w:lang w:val="en-US"/>
        </w:rPr>
        <w:t xml:space="preserve"> </w:t>
      </w:r>
      <w:r w:rsidR="00280AA5" w:rsidRPr="00A50E4D">
        <w:rPr>
          <w:lang w:val="en-US"/>
        </w:rPr>
        <w:t xml:space="preserve">[them] </w:t>
      </w:r>
      <w:r w:rsidR="004049CA" w:rsidRPr="00A50E4D">
        <w:rPr>
          <w:lang w:val="en-US"/>
        </w:rPr>
        <w:t xml:space="preserve">to </w:t>
      </w:r>
      <w:r w:rsidR="00280AA5" w:rsidRPr="00A50E4D">
        <w:rPr>
          <w:lang w:val="en-US"/>
        </w:rPr>
        <w:t>function</w:t>
      </w:r>
      <w:r w:rsidR="004049CA" w:rsidRPr="00A50E4D">
        <w:rPr>
          <w:lang w:val="en-US"/>
        </w:rPr>
        <w:t xml:space="preserve"> with a system of guarantees that </w:t>
      </w:r>
      <w:r w:rsidR="00280AA5" w:rsidRPr="00A50E4D">
        <w:rPr>
          <w:lang w:val="en-US"/>
        </w:rPr>
        <w:t>allow them to operate independently and with what, ultimately, will be</w:t>
      </w:r>
      <w:r w:rsidR="004049CA" w:rsidRPr="00A50E4D">
        <w:rPr>
          <w:lang w:val="en-US"/>
        </w:rPr>
        <w:t xml:space="preserve"> </w:t>
      </w:r>
      <w:r w:rsidR="00280AA5" w:rsidRPr="00A50E4D">
        <w:rPr>
          <w:szCs w:val="20"/>
          <w:lang w:val="en-US"/>
        </w:rPr>
        <w:t>judicial i</w:t>
      </w:r>
      <w:r w:rsidR="004049CA" w:rsidRPr="00A50E4D">
        <w:rPr>
          <w:szCs w:val="20"/>
          <w:lang w:val="en-US"/>
        </w:rPr>
        <w:t>ndependence</w:t>
      </w:r>
      <w:r w:rsidR="00280AA5" w:rsidRPr="00A50E4D">
        <w:rPr>
          <w:szCs w:val="20"/>
          <w:lang w:val="en-US"/>
        </w:rPr>
        <w:t>,</w:t>
      </w:r>
      <w:r w:rsidR="004049CA" w:rsidRPr="00A50E4D">
        <w:rPr>
          <w:szCs w:val="20"/>
          <w:lang w:val="en-US"/>
        </w:rPr>
        <w:t xml:space="preserve"> which </w:t>
      </w:r>
      <w:r w:rsidR="000A786A" w:rsidRPr="00A50E4D">
        <w:rPr>
          <w:szCs w:val="20"/>
          <w:lang w:val="en-US"/>
        </w:rPr>
        <w:t>is</w:t>
      </w:r>
      <w:r w:rsidR="004049CA" w:rsidRPr="00A50E4D">
        <w:rPr>
          <w:szCs w:val="20"/>
          <w:lang w:val="en-US"/>
        </w:rPr>
        <w:t xml:space="preserve"> what is </w:t>
      </w:r>
      <w:r w:rsidR="00280AA5" w:rsidRPr="00A50E4D">
        <w:rPr>
          <w:szCs w:val="20"/>
          <w:lang w:val="en-US"/>
        </w:rPr>
        <w:t>at stake</w:t>
      </w:r>
      <w:r w:rsidR="004049CA" w:rsidRPr="00A50E4D">
        <w:rPr>
          <w:szCs w:val="20"/>
          <w:lang w:val="en-US"/>
        </w:rPr>
        <w:t xml:space="preserve"> in a disciplinary case.</w:t>
      </w:r>
      <w:r w:rsidR="005472DB" w:rsidRPr="00A50E4D">
        <w:rPr>
          <w:szCs w:val="20"/>
          <w:lang w:val="en-US"/>
        </w:rPr>
        <w:t>”</w:t>
      </w:r>
      <w:r w:rsidR="005472DB" w:rsidRPr="00A50E4D">
        <w:rPr>
          <w:rStyle w:val="FootnoteReference"/>
          <w:sz w:val="20"/>
          <w:szCs w:val="20"/>
          <w:lang w:val="en-US"/>
        </w:rPr>
        <w:footnoteReference w:id="378"/>
      </w:r>
      <w:r w:rsidR="004049CA" w:rsidRPr="00A50E4D">
        <w:rPr>
          <w:szCs w:val="20"/>
          <w:lang w:val="en-US"/>
        </w:rPr>
        <w:t xml:space="preserve"> When examining the disciplinary regime applied to </w:t>
      </w:r>
      <w:r w:rsidR="00371BB7" w:rsidRPr="00A50E4D">
        <w:rPr>
          <w:szCs w:val="20"/>
          <w:lang w:val="en-US"/>
        </w:rPr>
        <w:t>the presumed victims</w:t>
      </w:r>
      <w:r w:rsidR="005472DB" w:rsidRPr="00A50E4D">
        <w:rPr>
          <w:szCs w:val="20"/>
          <w:lang w:val="en-US"/>
        </w:rPr>
        <w:t xml:space="preserve">, </w:t>
      </w:r>
      <w:r w:rsidR="004049CA" w:rsidRPr="00A50E4D">
        <w:rPr>
          <w:szCs w:val="20"/>
          <w:lang w:val="en-US"/>
        </w:rPr>
        <w:t>the expert indicat</w:t>
      </w:r>
      <w:r w:rsidR="00280AA5" w:rsidRPr="00A50E4D">
        <w:rPr>
          <w:szCs w:val="20"/>
          <w:lang w:val="en-US"/>
        </w:rPr>
        <w:t>ed that there was no “internal i</w:t>
      </w:r>
      <w:r w:rsidR="004049CA" w:rsidRPr="00A50E4D">
        <w:rPr>
          <w:szCs w:val="20"/>
          <w:lang w:val="en-US"/>
        </w:rPr>
        <w:t>ndependence, because the [Supreme] Court was the</w:t>
      </w:r>
      <w:r w:rsidR="001370C8" w:rsidRPr="00A50E4D">
        <w:rPr>
          <w:szCs w:val="20"/>
          <w:lang w:val="en-US"/>
        </w:rPr>
        <w:t xml:space="preserve"> organ with</w:t>
      </w:r>
      <w:r w:rsidR="00280AA5" w:rsidRPr="00A50E4D">
        <w:rPr>
          <w:szCs w:val="20"/>
          <w:lang w:val="en-US"/>
        </w:rPr>
        <w:t xml:space="preserve"> higher administrative rank</w:t>
      </w:r>
      <w:r w:rsidR="004049CA" w:rsidRPr="00A50E4D">
        <w:rPr>
          <w:szCs w:val="20"/>
          <w:lang w:val="en-US"/>
        </w:rPr>
        <w:t xml:space="preserve"> than all the other judges and courts, </w:t>
      </w:r>
      <w:r w:rsidR="001370C8" w:rsidRPr="00A50E4D">
        <w:rPr>
          <w:szCs w:val="20"/>
          <w:lang w:val="en-US"/>
        </w:rPr>
        <w:t>given</w:t>
      </w:r>
      <w:r w:rsidR="00280AA5" w:rsidRPr="00A50E4D">
        <w:rPr>
          <w:szCs w:val="20"/>
          <w:lang w:val="en-US"/>
        </w:rPr>
        <w:t xml:space="preserve"> that </w:t>
      </w:r>
      <w:r w:rsidR="001370C8" w:rsidRPr="00A50E4D">
        <w:rPr>
          <w:szCs w:val="20"/>
          <w:lang w:val="en-US"/>
        </w:rPr>
        <w:t>the said court dealt with both</w:t>
      </w:r>
      <w:r w:rsidR="004049CA" w:rsidRPr="00A50E4D">
        <w:rPr>
          <w:szCs w:val="20"/>
          <w:lang w:val="en-US"/>
        </w:rPr>
        <w:t xml:space="preserve"> ju</w:t>
      </w:r>
      <w:r w:rsidR="00280AA5" w:rsidRPr="00A50E4D">
        <w:rPr>
          <w:szCs w:val="20"/>
          <w:lang w:val="en-US"/>
        </w:rPr>
        <w:t>dicial</w:t>
      </w:r>
      <w:r w:rsidR="004049CA" w:rsidRPr="00A50E4D">
        <w:rPr>
          <w:szCs w:val="20"/>
          <w:lang w:val="en-US"/>
        </w:rPr>
        <w:t xml:space="preserve"> </w:t>
      </w:r>
      <w:r w:rsidR="001370C8" w:rsidRPr="00A50E4D">
        <w:rPr>
          <w:szCs w:val="20"/>
          <w:lang w:val="en-US"/>
        </w:rPr>
        <w:t>and</w:t>
      </w:r>
      <w:r w:rsidR="00280AA5" w:rsidRPr="00A50E4D">
        <w:rPr>
          <w:szCs w:val="20"/>
          <w:lang w:val="en-US"/>
        </w:rPr>
        <w:t xml:space="preserve"> regulatory</w:t>
      </w:r>
      <w:r w:rsidR="004049CA" w:rsidRPr="00A50E4D">
        <w:rPr>
          <w:szCs w:val="20"/>
          <w:lang w:val="en-US"/>
        </w:rPr>
        <w:t xml:space="preserve"> </w:t>
      </w:r>
      <w:r w:rsidR="001370C8" w:rsidRPr="00A50E4D">
        <w:rPr>
          <w:szCs w:val="20"/>
          <w:lang w:val="en-US"/>
        </w:rPr>
        <w:t>matters</w:t>
      </w:r>
      <w:r w:rsidR="004049CA" w:rsidRPr="00A50E4D">
        <w:rPr>
          <w:szCs w:val="20"/>
          <w:lang w:val="en-US"/>
        </w:rPr>
        <w:t>.</w:t>
      </w:r>
      <w:r w:rsidR="005472DB" w:rsidRPr="00A50E4D">
        <w:rPr>
          <w:szCs w:val="20"/>
          <w:lang w:val="en-US"/>
        </w:rPr>
        <w:t>”</w:t>
      </w:r>
      <w:r w:rsidR="005472DB" w:rsidRPr="00A50E4D">
        <w:rPr>
          <w:rStyle w:val="FootnoteReference"/>
          <w:sz w:val="20"/>
          <w:szCs w:val="20"/>
          <w:lang w:val="en-US"/>
        </w:rPr>
        <w:footnoteReference w:id="379"/>
      </w:r>
      <w:r w:rsidR="005472DB" w:rsidRPr="00A50E4D">
        <w:rPr>
          <w:szCs w:val="20"/>
          <w:lang w:val="en-US"/>
        </w:rPr>
        <w:t xml:space="preserve"> </w:t>
      </w:r>
      <w:r w:rsidR="004049CA" w:rsidRPr="00A50E4D">
        <w:rPr>
          <w:szCs w:val="20"/>
          <w:lang w:val="en-US"/>
        </w:rPr>
        <w:t>This</w:t>
      </w:r>
      <w:r w:rsidR="009808C5" w:rsidRPr="00A50E4D">
        <w:rPr>
          <w:szCs w:val="20"/>
          <w:lang w:val="en-US"/>
        </w:rPr>
        <w:t xml:space="preserve"> Court</w:t>
      </w:r>
      <w:r w:rsidR="005472DB" w:rsidRPr="00A50E4D">
        <w:rPr>
          <w:szCs w:val="20"/>
          <w:lang w:val="en-US"/>
        </w:rPr>
        <w:t xml:space="preserve"> </w:t>
      </w:r>
      <w:r w:rsidR="004049CA" w:rsidRPr="00A50E4D">
        <w:rPr>
          <w:szCs w:val="20"/>
          <w:lang w:val="en-US"/>
        </w:rPr>
        <w:t xml:space="preserve">finds that the hierarchical relationship and the functional dependence </w:t>
      </w:r>
      <w:r w:rsidR="006A756C" w:rsidRPr="00A50E4D">
        <w:rPr>
          <w:szCs w:val="20"/>
          <w:lang w:val="en-US"/>
        </w:rPr>
        <w:t>of the Judicial Service Council</w:t>
      </w:r>
      <w:r w:rsidR="004049CA" w:rsidRPr="00A50E4D">
        <w:rPr>
          <w:szCs w:val="20"/>
          <w:lang w:val="en-US"/>
        </w:rPr>
        <w:t xml:space="preserve"> on</w:t>
      </w:r>
      <w:r w:rsidR="005472DB" w:rsidRPr="00A50E4D">
        <w:rPr>
          <w:szCs w:val="20"/>
          <w:lang w:val="en-US"/>
        </w:rPr>
        <w:t xml:space="preserve"> </w:t>
      </w:r>
      <w:r w:rsidR="009808C5" w:rsidRPr="00A50E4D">
        <w:rPr>
          <w:szCs w:val="20"/>
          <w:lang w:val="en-US"/>
        </w:rPr>
        <w:t xml:space="preserve">the </w:t>
      </w:r>
      <w:r w:rsidR="00700DEC" w:rsidRPr="00A50E4D">
        <w:rPr>
          <w:szCs w:val="20"/>
          <w:lang w:val="en-US"/>
        </w:rPr>
        <w:t>Supreme Court</w:t>
      </w:r>
      <w:r w:rsidR="005472DB" w:rsidRPr="00A50E4D">
        <w:rPr>
          <w:szCs w:val="20"/>
          <w:lang w:val="en-US"/>
        </w:rPr>
        <w:t xml:space="preserve"> (</w:t>
      </w:r>
      <w:r w:rsidR="005472DB" w:rsidRPr="00A50E4D">
        <w:rPr>
          <w:i/>
          <w:szCs w:val="20"/>
          <w:lang w:val="en-US"/>
        </w:rPr>
        <w:t>supra</w:t>
      </w:r>
      <w:r w:rsidR="005472DB" w:rsidRPr="00A50E4D">
        <w:rPr>
          <w:szCs w:val="20"/>
          <w:lang w:val="en-US"/>
        </w:rPr>
        <w:t xml:space="preserve"> </w:t>
      </w:r>
      <w:r w:rsidR="00AD5EE7" w:rsidRPr="00A50E4D">
        <w:rPr>
          <w:szCs w:val="20"/>
          <w:lang w:val="en-US"/>
        </w:rPr>
        <w:t>para.</w:t>
      </w:r>
      <w:r w:rsidR="005472DB" w:rsidRPr="00A50E4D">
        <w:rPr>
          <w:szCs w:val="20"/>
          <w:lang w:val="en-US"/>
        </w:rPr>
        <w:t xml:space="preserve"> </w:t>
      </w:r>
      <w:r w:rsidR="005472DB" w:rsidRPr="00914F55">
        <w:rPr>
          <w:szCs w:val="20"/>
          <w:lang w:val="en-US"/>
        </w:rPr>
        <w:fldChar w:fldCharType="begin"/>
      </w:r>
      <w:r w:rsidR="005472DB" w:rsidRPr="00A50E4D">
        <w:rPr>
          <w:szCs w:val="20"/>
          <w:lang w:val="en-US"/>
        </w:rPr>
        <w:instrText xml:space="preserve"> REF _Ref427310976 \r \h  \* MERGEFORMAT </w:instrText>
      </w:r>
      <w:r w:rsidR="005472DB" w:rsidRPr="00914F55">
        <w:rPr>
          <w:szCs w:val="20"/>
          <w:lang w:val="en-US"/>
        </w:rPr>
      </w:r>
      <w:r w:rsidR="005472DB" w:rsidRPr="00914F55">
        <w:rPr>
          <w:szCs w:val="20"/>
          <w:lang w:val="en-US"/>
        </w:rPr>
        <w:fldChar w:fldCharType="separate"/>
      </w:r>
      <w:r w:rsidR="00547588">
        <w:rPr>
          <w:szCs w:val="20"/>
          <w:lang w:val="en-US"/>
        </w:rPr>
        <w:t>79</w:t>
      </w:r>
      <w:r w:rsidR="005472DB" w:rsidRPr="00914F55">
        <w:rPr>
          <w:szCs w:val="20"/>
          <w:lang w:val="en-US"/>
        </w:rPr>
        <w:fldChar w:fldCharType="end"/>
      </w:r>
      <w:r w:rsidR="004049CA" w:rsidRPr="00A50E4D">
        <w:rPr>
          <w:szCs w:val="20"/>
          <w:lang w:val="en-US"/>
        </w:rPr>
        <w:t>),</w:t>
      </w:r>
      <w:r w:rsidR="004049CA" w:rsidRPr="00A50E4D">
        <w:rPr>
          <w:rStyle w:val="FootnoteReference"/>
          <w:sz w:val="20"/>
          <w:szCs w:val="20"/>
          <w:lang w:val="en-US"/>
        </w:rPr>
        <w:footnoteReference w:id="380"/>
      </w:r>
      <w:r w:rsidR="004049CA" w:rsidRPr="00A50E4D">
        <w:rPr>
          <w:szCs w:val="20"/>
          <w:lang w:val="en-US"/>
        </w:rPr>
        <w:t xml:space="preserve"> whose decisions </w:t>
      </w:r>
      <w:r w:rsidR="001370C8" w:rsidRPr="00A50E4D">
        <w:rPr>
          <w:szCs w:val="20"/>
          <w:lang w:val="en-US"/>
        </w:rPr>
        <w:t>it was reviewing, affected its i</w:t>
      </w:r>
      <w:r w:rsidR="004049CA" w:rsidRPr="00A50E4D">
        <w:rPr>
          <w:szCs w:val="20"/>
          <w:lang w:val="en-US"/>
        </w:rPr>
        <w:t xml:space="preserve">ndependence when deciding the appeals filed by </w:t>
      </w:r>
      <w:r w:rsidR="00371BB7" w:rsidRPr="00A50E4D">
        <w:rPr>
          <w:szCs w:val="20"/>
          <w:lang w:val="en-US"/>
        </w:rPr>
        <w:t>the presumed victims</w:t>
      </w:r>
      <w:r w:rsidR="005472DB" w:rsidRPr="00A50E4D">
        <w:rPr>
          <w:szCs w:val="20"/>
          <w:lang w:val="en-US"/>
        </w:rPr>
        <w:t xml:space="preserve">. </w:t>
      </w:r>
    </w:p>
    <w:p w14:paraId="656C22E5" w14:textId="77777777" w:rsidR="005472DB" w:rsidRPr="00A50E4D" w:rsidRDefault="005472DB" w:rsidP="005472DB">
      <w:pPr>
        <w:tabs>
          <w:tab w:val="left" w:pos="7803"/>
        </w:tabs>
        <w:rPr>
          <w:spacing w:val="-4"/>
          <w:szCs w:val="20"/>
          <w:lang w:val="en-US"/>
        </w:rPr>
      </w:pPr>
      <w:r w:rsidRPr="00A50E4D">
        <w:rPr>
          <w:spacing w:val="-4"/>
          <w:szCs w:val="20"/>
          <w:lang w:val="en-US"/>
        </w:rPr>
        <w:tab/>
      </w:r>
    </w:p>
    <w:p w14:paraId="008394D8" w14:textId="7F1CC4ED" w:rsidR="005472DB" w:rsidRPr="00A50E4D" w:rsidRDefault="004049CA" w:rsidP="005472DB">
      <w:pPr>
        <w:pStyle w:val="PrrafodeSentencia"/>
        <w:rPr>
          <w:lang w:val="en-US"/>
        </w:rPr>
      </w:pPr>
      <w:bookmarkStart w:id="322" w:name="_Ref427852519"/>
      <w:r w:rsidRPr="00A50E4D">
        <w:rPr>
          <w:szCs w:val="20"/>
          <w:lang w:val="en-US"/>
        </w:rPr>
        <w:t>Furthermore, according to the domestic norms,</w:t>
      </w:r>
      <w:r w:rsidR="005472DB" w:rsidRPr="00A50E4D">
        <w:rPr>
          <w:szCs w:val="20"/>
          <w:lang w:val="en-US"/>
        </w:rPr>
        <w:t xml:space="preserve"> </w:t>
      </w:r>
      <w:r w:rsidR="006A756C" w:rsidRPr="00A50E4D">
        <w:rPr>
          <w:szCs w:val="20"/>
          <w:lang w:val="en-US"/>
        </w:rPr>
        <w:t>the Judicial Service Council</w:t>
      </w:r>
      <w:r w:rsidR="005472DB" w:rsidRPr="00A50E4D">
        <w:rPr>
          <w:szCs w:val="20"/>
          <w:lang w:val="en-US"/>
        </w:rPr>
        <w:t xml:space="preserve"> </w:t>
      </w:r>
      <w:r w:rsidRPr="00A50E4D">
        <w:rPr>
          <w:szCs w:val="20"/>
          <w:lang w:val="en-US"/>
        </w:rPr>
        <w:t xml:space="preserve">was </w:t>
      </w:r>
      <w:r w:rsidR="001370C8" w:rsidRPr="00A50E4D">
        <w:rPr>
          <w:szCs w:val="20"/>
          <w:lang w:val="en-US"/>
        </w:rPr>
        <w:t>competent to hear and decide</w:t>
      </w:r>
      <w:r w:rsidRPr="00A50E4D">
        <w:rPr>
          <w:szCs w:val="20"/>
          <w:lang w:val="en-US"/>
        </w:rPr>
        <w:t xml:space="preserve"> appeals filed against the decisions </w:t>
      </w:r>
      <w:r w:rsidR="00FF35A9" w:rsidRPr="00A50E4D">
        <w:rPr>
          <w:szCs w:val="20"/>
          <w:lang w:val="en-US"/>
        </w:rPr>
        <w:t xml:space="preserve">of the </w:t>
      </w:r>
      <w:r w:rsidR="00D563D1" w:rsidRPr="00A50E4D">
        <w:rPr>
          <w:szCs w:val="20"/>
          <w:lang w:val="en-US"/>
        </w:rPr>
        <w:t>Personnel Management Directorate</w:t>
      </w:r>
      <w:r w:rsidR="005472DB" w:rsidRPr="00A50E4D">
        <w:rPr>
          <w:rStyle w:val="FootnoteReference"/>
          <w:sz w:val="20"/>
          <w:szCs w:val="20"/>
          <w:lang w:val="en-US"/>
        </w:rPr>
        <w:footnoteReference w:id="381"/>
      </w:r>
      <w:r w:rsidR="005472DB" w:rsidRPr="00A50E4D">
        <w:rPr>
          <w:szCs w:val="20"/>
          <w:lang w:val="en-US"/>
        </w:rPr>
        <w:t xml:space="preserve"> </w:t>
      </w:r>
      <w:r w:rsidR="005472DB" w:rsidRPr="00A50E4D">
        <w:rPr>
          <w:szCs w:val="20"/>
          <w:lang w:val="en-US"/>
        </w:rPr>
        <w:lastRenderedPageBreak/>
        <w:t>(</w:t>
      </w:r>
      <w:r w:rsidR="005472DB" w:rsidRPr="00A50E4D">
        <w:rPr>
          <w:i/>
          <w:szCs w:val="20"/>
          <w:lang w:val="en-US"/>
        </w:rPr>
        <w:t>supra</w:t>
      </w:r>
      <w:r w:rsidR="005472DB" w:rsidRPr="00A50E4D">
        <w:rPr>
          <w:szCs w:val="20"/>
          <w:lang w:val="en-US"/>
        </w:rPr>
        <w:t xml:space="preserve"> </w:t>
      </w:r>
      <w:r w:rsidR="00AD5EE7" w:rsidRPr="00A50E4D">
        <w:rPr>
          <w:szCs w:val="20"/>
          <w:lang w:val="en-US"/>
        </w:rPr>
        <w:t>paras.</w:t>
      </w:r>
      <w:r w:rsidR="005472DB" w:rsidRPr="00A50E4D">
        <w:rPr>
          <w:szCs w:val="20"/>
          <w:lang w:val="en-US"/>
        </w:rPr>
        <w:t xml:space="preserve"> </w:t>
      </w:r>
      <w:r w:rsidR="005472DB" w:rsidRPr="00914F55">
        <w:rPr>
          <w:lang w:val="en-US"/>
        </w:rPr>
        <w:fldChar w:fldCharType="begin"/>
      </w:r>
      <w:r w:rsidR="005472DB" w:rsidRPr="00A50E4D">
        <w:rPr>
          <w:lang w:val="en-US"/>
        </w:rPr>
        <w:instrText xml:space="preserve"> REF _Ref427310976 \r \h  \* MERGEFORMAT </w:instrText>
      </w:r>
      <w:r w:rsidR="005472DB" w:rsidRPr="00914F55">
        <w:rPr>
          <w:lang w:val="en-US"/>
        </w:rPr>
      </w:r>
      <w:r w:rsidR="005472DB" w:rsidRPr="00914F55">
        <w:rPr>
          <w:lang w:val="en-US"/>
        </w:rPr>
        <w:fldChar w:fldCharType="separate"/>
      </w:r>
      <w:r w:rsidR="00547588" w:rsidRPr="00547588">
        <w:rPr>
          <w:szCs w:val="20"/>
          <w:lang w:val="en-US"/>
        </w:rPr>
        <w:t>79</w:t>
      </w:r>
      <w:r w:rsidR="005472DB" w:rsidRPr="00914F55">
        <w:rPr>
          <w:lang w:val="en-US"/>
        </w:rPr>
        <w:fldChar w:fldCharType="end"/>
      </w:r>
      <w:r w:rsidR="009808C5" w:rsidRPr="00A50E4D">
        <w:rPr>
          <w:b/>
          <w:szCs w:val="20"/>
          <w:lang w:val="en-US"/>
        </w:rPr>
        <w:t xml:space="preserve"> </w:t>
      </w:r>
      <w:r w:rsidR="009808C5" w:rsidRPr="00A50E4D">
        <w:rPr>
          <w:szCs w:val="20"/>
          <w:lang w:val="en-US"/>
        </w:rPr>
        <w:t>and</w:t>
      </w:r>
      <w:r w:rsidR="009808C5" w:rsidRPr="00A50E4D">
        <w:rPr>
          <w:b/>
          <w:szCs w:val="20"/>
          <w:lang w:val="en-US"/>
        </w:rPr>
        <w:t xml:space="preserve"> </w:t>
      </w:r>
      <w:r w:rsidR="005472DB" w:rsidRPr="00914F55">
        <w:rPr>
          <w:lang w:val="en-US"/>
        </w:rPr>
        <w:fldChar w:fldCharType="begin"/>
      </w:r>
      <w:r w:rsidR="005472DB" w:rsidRPr="00A50E4D">
        <w:rPr>
          <w:lang w:val="en-US"/>
        </w:rPr>
        <w:instrText xml:space="preserve"> REF _Ref427310979 \r \h  \* MERGEFORMAT </w:instrText>
      </w:r>
      <w:r w:rsidR="005472DB" w:rsidRPr="00914F55">
        <w:rPr>
          <w:lang w:val="en-US"/>
        </w:rPr>
      </w:r>
      <w:r w:rsidR="005472DB" w:rsidRPr="00914F55">
        <w:rPr>
          <w:lang w:val="en-US"/>
        </w:rPr>
        <w:fldChar w:fldCharType="separate"/>
      </w:r>
      <w:r w:rsidR="00547588" w:rsidRPr="00547588">
        <w:rPr>
          <w:szCs w:val="20"/>
          <w:lang w:val="en-US"/>
        </w:rPr>
        <w:t>84</w:t>
      </w:r>
      <w:r w:rsidR="005472DB" w:rsidRPr="00914F55">
        <w:rPr>
          <w:lang w:val="en-US"/>
        </w:rPr>
        <w:fldChar w:fldCharType="end"/>
      </w:r>
      <w:r w:rsidR="005472DB" w:rsidRPr="00A50E4D">
        <w:rPr>
          <w:szCs w:val="20"/>
          <w:lang w:val="en-US"/>
        </w:rPr>
        <w:t xml:space="preserve">), </w:t>
      </w:r>
      <w:r w:rsidRPr="00A50E4D">
        <w:rPr>
          <w:szCs w:val="20"/>
          <w:lang w:val="en-US"/>
        </w:rPr>
        <w:t>but had not been accor</w:t>
      </w:r>
      <w:r w:rsidR="001370C8" w:rsidRPr="00A50E4D">
        <w:rPr>
          <w:szCs w:val="20"/>
          <w:lang w:val="en-US"/>
        </w:rPr>
        <w:t>ded the competence to decide</w:t>
      </w:r>
      <w:r w:rsidRPr="00A50E4D">
        <w:rPr>
          <w:szCs w:val="20"/>
          <w:lang w:val="en-US"/>
        </w:rPr>
        <w:t xml:space="preserve"> appeals filed against rulings or decisions </w:t>
      </w:r>
      <w:r w:rsidR="009808C5" w:rsidRPr="00A50E4D">
        <w:rPr>
          <w:szCs w:val="20"/>
          <w:lang w:val="en-US"/>
        </w:rPr>
        <w:t xml:space="preserve">of the </w:t>
      </w:r>
      <w:r w:rsidR="00371BB7" w:rsidRPr="00A50E4D">
        <w:rPr>
          <w:szCs w:val="20"/>
          <w:lang w:val="en-US"/>
        </w:rPr>
        <w:t>Supreme Court of Justice</w:t>
      </w:r>
      <w:r w:rsidR="005472DB" w:rsidRPr="00A50E4D">
        <w:rPr>
          <w:szCs w:val="20"/>
          <w:lang w:val="en-US"/>
        </w:rPr>
        <w:t xml:space="preserve">, </w:t>
      </w:r>
      <w:r w:rsidRPr="00A50E4D">
        <w:rPr>
          <w:szCs w:val="20"/>
          <w:lang w:val="en-US"/>
        </w:rPr>
        <w:t xml:space="preserve">the country’s highest judicial organ, on which it depended and of which it was an auxiliary entity, as mentioned above. In response to the respective </w:t>
      </w:r>
      <w:r w:rsidR="00E84FC7" w:rsidRPr="00A50E4D">
        <w:rPr>
          <w:szCs w:val="20"/>
          <w:lang w:val="en-US"/>
        </w:rPr>
        <w:t>arguments</w:t>
      </w:r>
      <w:r w:rsidR="00371BB7" w:rsidRPr="00A50E4D">
        <w:rPr>
          <w:szCs w:val="20"/>
          <w:lang w:val="en-US"/>
        </w:rPr>
        <w:t xml:space="preserve"> of the presumed victims</w:t>
      </w:r>
      <w:r w:rsidR="005472DB" w:rsidRPr="00A50E4D">
        <w:rPr>
          <w:szCs w:val="20"/>
          <w:lang w:val="en-US"/>
        </w:rPr>
        <w:t xml:space="preserve"> </w:t>
      </w:r>
      <w:r w:rsidRPr="00A50E4D">
        <w:rPr>
          <w:szCs w:val="20"/>
          <w:lang w:val="en-US"/>
        </w:rPr>
        <w:t>during the domestic proceedings</w:t>
      </w:r>
      <w:r w:rsidR="005472DB" w:rsidRPr="00A50E4D">
        <w:rPr>
          <w:szCs w:val="20"/>
          <w:lang w:val="en-US"/>
        </w:rPr>
        <w:t xml:space="preserve">, </w:t>
      </w:r>
      <w:r w:rsidR="006A756C" w:rsidRPr="00A50E4D">
        <w:rPr>
          <w:szCs w:val="20"/>
          <w:lang w:val="en-US"/>
        </w:rPr>
        <w:t>the Judicial Service Council</w:t>
      </w:r>
      <w:r w:rsidR="005472DB" w:rsidRPr="00A50E4D">
        <w:rPr>
          <w:szCs w:val="20"/>
          <w:lang w:val="en-US"/>
        </w:rPr>
        <w:t xml:space="preserve"> </w:t>
      </w:r>
      <w:bookmarkEnd w:id="322"/>
      <w:r w:rsidRPr="00A50E4D">
        <w:rPr>
          <w:szCs w:val="20"/>
          <w:lang w:val="en-US"/>
        </w:rPr>
        <w:t>affirmed that:</w:t>
      </w:r>
    </w:p>
    <w:p w14:paraId="52F1DA4A" w14:textId="77777777" w:rsidR="005472DB" w:rsidRPr="00A50E4D" w:rsidRDefault="005472DB" w:rsidP="005472DB">
      <w:pPr>
        <w:pStyle w:val="PrrafodeSentencia"/>
        <w:numPr>
          <w:ilvl w:val="0"/>
          <w:numId w:val="0"/>
        </w:numPr>
        <w:rPr>
          <w:lang w:val="en-US"/>
        </w:rPr>
      </w:pPr>
      <w:r w:rsidRPr="00A50E4D">
        <w:rPr>
          <w:lang w:val="en-US"/>
        </w:rPr>
        <w:t xml:space="preserve"> </w:t>
      </w:r>
    </w:p>
    <w:p w14:paraId="23502F17" w14:textId="25AB2227" w:rsidR="005472DB" w:rsidRPr="00A50E4D" w:rsidRDefault="00973B54" w:rsidP="001C591D">
      <w:pPr>
        <w:ind w:left="567" w:right="571"/>
        <w:rPr>
          <w:spacing w:val="-4"/>
          <w:sz w:val="18"/>
          <w:szCs w:val="18"/>
          <w:lang w:val="en-US" w:eastAsia="es-MX"/>
        </w:rPr>
      </w:pPr>
      <w:r w:rsidRPr="00A50E4D">
        <w:rPr>
          <w:spacing w:val="-4"/>
          <w:sz w:val="18"/>
          <w:szCs w:val="18"/>
          <w:lang w:val="en-US" w:eastAsia="es-MX"/>
        </w:rPr>
        <w:t>Although it is true that, in the provisions [of a legal and regulatory nature of the Judicial Service] it is established that the admissible remedies under the Judicial Service Act and its Regulations filed against the decisions of the Personnel Management Directorate [would be decided by the Judicial Service Council];</w:t>
      </w:r>
      <w:r w:rsidR="001C591D" w:rsidRPr="00A50E4D">
        <w:rPr>
          <w:spacing w:val="-4"/>
          <w:sz w:val="18"/>
          <w:szCs w:val="18"/>
          <w:lang w:val="en-US" w:eastAsia="es-MX"/>
        </w:rPr>
        <w:t xml:space="preserve"> it is also true that there is a norm of constitutional rank, specifically </w:t>
      </w:r>
      <w:r w:rsidR="002E406E" w:rsidRPr="00A50E4D">
        <w:rPr>
          <w:spacing w:val="-4"/>
          <w:sz w:val="18"/>
          <w:szCs w:val="18"/>
          <w:lang w:val="en-US" w:eastAsia="es-MX"/>
        </w:rPr>
        <w:t>article 313 of the Constitution</w:t>
      </w:r>
      <w:r w:rsidR="001C591D" w:rsidRPr="00A50E4D">
        <w:rPr>
          <w:spacing w:val="-4"/>
          <w:sz w:val="18"/>
          <w:szCs w:val="18"/>
          <w:lang w:val="en-US" w:eastAsia="es-MX"/>
        </w:rPr>
        <w:t xml:space="preserve"> which establishes that, among the powers granted to the Supreme Court of Justice, is that of organizing and directing the Judiciary, appointing and removing justice and judges on the</w:t>
      </w:r>
      <w:r w:rsidR="00171F4E" w:rsidRPr="00A50E4D">
        <w:rPr>
          <w:spacing w:val="-4"/>
          <w:sz w:val="18"/>
          <w:szCs w:val="18"/>
          <w:lang w:val="en-US" w:eastAsia="es-MX"/>
        </w:rPr>
        <w:t xml:space="preserve"> </w:t>
      </w:r>
      <w:r w:rsidR="001C591D" w:rsidRPr="00A50E4D">
        <w:rPr>
          <w:spacing w:val="-4"/>
          <w:sz w:val="18"/>
          <w:szCs w:val="18"/>
          <w:lang w:val="en-US" w:eastAsia="es-MX"/>
        </w:rPr>
        <w:t>recommendation of</w:t>
      </w:r>
      <w:r w:rsidR="006A756C" w:rsidRPr="00A50E4D">
        <w:rPr>
          <w:spacing w:val="-4"/>
          <w:sz w:val="18"/>
          <w:szCs w:val="18"/>
          <w:lang w:val="en-US" w:eastAsia="es-MX"/>
        </w:rPr>
        <w:t xml:space="preserve"> the Judicial Service Council</w:t>
      </w:r>
      <w:r w:rsidR="001C591D" w:rsidRPr="00A50E4D">
        <w:rPr>
          <w:spacing w:val="-4"/>
          <w:sz w:val="18"/>
          <w:szCs w:val="18"/>
          <w:lang w:val="en-US" w:eastAsia="es-MX"/>
        </w:rPr>
        <w:t xml:space="preserve"> […];</w:t>
      </w:r>
      <w:r w:rsidR="00880BDE" w:rsidRPr="00A50E4D">
        <w:rPr>
          <w:spacing w:val="-4"/>
          <w:sz w:val="18"/>
          <w:szCs w:val="18"/>
          <w:lang w:val="en-US" w:eastAsia="es-MX"/>
        </w:rPr>
        <w:t xml:space="preserve"> </w:t>
      </w:r>
      <w:r w:rsidR="00FF35A9" w:rsidRPr="00A50E4D">
        <w:rPr>
          <w:spacing w:val="-4"/>
          <w:sz w:val="18"/>
          <w:szCs w:val="18"/>
          <w:lang w:val="en-US" w:eastAsia="es-MX"/>
        </w:rPr>
        <w:t xml:space="preserve">the </w:t>
      </w:r>
      <w:r w:rsidR="000F4023" w:rsidRPr="00A50E4D">
        <w:rPr>
          <w:spacing w:val="-4"/>
          <w:sz w:val="18"/>
          <w:szCs w:val="18"/>
          <w:lang w:val="en-US" w:eastAsia="es-MX"/>
        </w:rPr>
        <w:t xml:space="preserve">Director of </w:t>
      </w:r>
      <w:r w:rsidR="002763C0" w:rsidRPr="00A50E4D">
        <w:rPr>
          <w:spacing w:val="-4"/>
          <w:sz w:val="18"/>
          <w:szCs w:val="18"/>
          <w:lang w:val="en-US" w:eastAsia="es-MX"/>
        </w:rPr>
        <w:t xml:space="preserve">Personnel </w:t>
      </w:r>
      <w:r w:rsidR="000B62CF" w:rsidRPr="00A50E4D">
        <w:rPr>
          <w:spacing w:val="-4"/>
          <w:sz w:val="18"/>
          <w:szCs w:val="18"/>
          <w:lang w:val="en-US" w:eastAsia="es-MX"/>
        </w:rPr>
        <w:t>Management</w:t>
      </w:r>
      <w:r w:rsidR="005472DB" w:rsidRPr="00A50E4D">
        <w:rPr>
          <w:spacing w:val="-4"/>
          <w:sz w:val="18"/>
          <w:szCs w:val="18"/>
          <w:lang w:val="en-US" w:eastAsia="es-MX"/>
        </w:rPr>
        <w:t xml:space="preserve"> </w:t>
      </w:r>
      <w:r w:rsidR="001C591D" w:rsidRPr="00A50E4D">
        <w:rPr>
          <w:spacing w:val="-4"/>
          <w:sz w:val="18"/>
          <w:szCs w:val="18"/>
          <w:lang w:val="en-US" w:eastAsia="es-MX"/>
        </w:rPr>
        <w:t xml:space="preserve">is not empowered to </w:t>
      </w:r>
      <w:r w:rsidR="005472DB" w:rsidRPr="00A50E4D">
        <w:rPr>
          <w:spacing w:val="-4"/>
          <w:sz w:val="18"/>
          <w:szCs w:val="18"/>
          <w:lang w:val="en-US" w:eastAsia="es-MX"/>
        </w:rPr>
        <w:t>ap</w:t>
      </w:r>
      <w:r w:rsidR="001C591D" w:rsidRPr="00A50E4D">
        <w:rPr>
          <w:spacing w:val="-4"/>
          <w:sz w:val="18"/>
          <w:szCs w:val="18"/>
          <w:lang w:val="en-US" w:eastAsia="es-MX"/>
        </w:rPr>
        <w:t xml:space="preserve">ply sanctions, fines, </w:t>
      </w:r>
      <w:r w:rsidR="002E406E" w:rsidRPr="00A50E4D">
        <w:rPr>
          <w:spacing w:val="-4"/>
          <w:sz w:val="18"/>
          <w:szCs w:val="18"/>
          <w:lang w:val="en-US" w:eastAsia="es-MX"/>
        </w:rPr>
        <w:t>dismissals or suspensions to</w:t>
      </w:r>
      <w:r w:rsidR="001C591D" w:rsidRPr="00A50E4D">
        <w:rPr>
          <w:spacing w:val="-4"/>
          <w:sz w:val="18"/>
          <w:szCs w:val="18"/>
          <w:lang w:val="en-US" w:eastAsia="es-MX"/>
        </w:rPr>
        <w:t xml:space="preserve"> judicial officials; consequently </w:t>
      </w:r>
      <w:r w:rsidR="004D0F32" w:rsidRPr="00A50E4D">
        <w:rPr>
          <w:spacing w:val="-4"/>
          <w:sz w:val="18"/>
          <w:szCs w:val="18"/>
          <w:lang w:val="en-US" w:eastAsia="es-MX"/>
        </w:rPr>
        <w:t xml:space="preserve">the </w:t>
      </w:r>
      <w:r w:rsidR="00D563D1" w:rsidRPr="00A50E4D">
        <w:rPr>
          <w:spacing w:val="-4"/>
          <w:sz w:val="18"/>
          <w:szCs w:val="18"/>
          <w:lang w:val="en-US" w:eastAsia="es-MX"/>
        </w:rPr>
        <w:t>Personnel Management Directorate</w:t>
      </w:r>
      <w:r w:rsidR="005472DB" w:rsidRPr="00A50E4D">
        <w:rPr>
          <w:spacing w:val="-4"/>
          <w:sz w:val="18"/>
          <w:szCs w:val="18"/>
          <w:lang w:val="en-US" w:eastAsia="es-MX"/>
        </w:rPr>
        <w:t xml:space="preserve"> </w:t>
      </w:r>
      <w:r w:rsidR="001C591D" w:rsidRPr="00A50E4D">
        <w:rPr>
          <w:spacing w:val="-4"/>
          <w:sz w:val="18"/>
          <w:szCs w:val="18"/>
          <w:lang w:val="en-US" w:eastAsia="es-MX"/>
        </w:rPr>
        <w:t>does not have the authority to iss</w:t>
      </w:r>
      <w:r w:rsidR="002E406E" w:rsidRPr="00A50E4D">
        <w:rPr>
          <w:spacing w:val="-4"/>
          <w:sz w:val="18"/>
          <w:szCs w:val="18"/>
          <w:lang w:val="en-US" w:eastAsia="es-MX"/>
        </w:rPr>
        <w:t>ue decisions on appointments</w:t>
      </w:r>
      <w:r w:rsidR="001C591D" w:rsidRPr="00A50E4D">
        <w:rPr>
          <w:spacing w:val="-4"/>
          <w:sz w:val="18"/>
          <w:szCs w:val="18"/>
          <w:lang w:val="en-US" w:eastAsia="es-MX"/>
        </w:rPr>
        <w:t xml:space="preserve"> and</w:t>
      </w:r>
      <w:r w:rsidR="002E406E" w:rsidRPr="00A50E4D">
        <w:rPr>
          <w:spacing w:val="-4"/>
          <w:sz w:val="18"/>
          <w:szCs w:val="18"/>
          <w:lang w:val="en-US" w:eastAsia="es-MX"/>
        </w:rPr>
        <w:t>,</w:t>
      </w:r>
      <w:r w:rsidR="001C591D" w:rsidRPr="00A50E4D">
        <w:rPr>
          <w:spacing w:val="-4"/>
          <w:sz w:val="18"/>
          <w:szCs w:val="18"/>
          <w:lang w:val="en-US" w:eastAsia="es-MX"/>
        </w:rPr>
        <w:t xml:space="preserve"> </w:t>
      </w:r>
      <w:r w:rsidR="002E406E" w:rsidRPr="00A50E4D">
        <w:rPr>
          <w:spacing w:val="-4"/>
          <w:sz w:val="18"/>
          <w:szCs w:val="18"/>
          <w:lang w:val="en-US" w:eastAsia="es-MX"/>
        </w:rPr>
        <w:t>in particular,</w:t>
      </w:r>
      <w:r w:rsidR="001C591D" w:rsidRPr="00A50E4D">
        <w:rPr>
          <w:spacing w:val="-4"/>
          <w:sz w:val="18"/>
          <w:szCs w:val="18"/>
          <w:lang w:val="en-US" w:eastAsia="es-MX"/>
        </w:rPr>
        <w:t xml:space="preserve"> on dismissals, because if the decisions were issued by the </w:t>
      </w:r>
      <w:r w:rsidR="00D563D1" w:rsidRPr="00A50E4D">
        <w:rPr>
          <w:spacing w:val="-4"/>
          <w:sz w:val="18"/>
          <w:szCs w:val="18"/>
          <w:lang w:val="en-US" w:eastAsia="es-MX"/>
        </w:rPr>
        <w:t>Personnel Management Directorate</w:t>
      </w:r>
      <w:r w:rsidR="00FF35A9" w:rsidRPr="00A50E4D">
        <w:rPr>
          <w:spacing w:val="-4"/>
          <w:sz w:val="18"/>
          <w:szCs w:val="18"/>
          <w:lang w:val="en-US" w:eastAsia="es-MX"/>
        </w:rPr>
        <w:t xml:space="preserve"> of the </w:t>
      </w:r>
      <w:r w:rsidR="001C591D" w:rsidRPr="00A50E4D">
        <w:rPr>
          <w:spacing w:val="-4"/>
          <w:sz w:val="18"/>
          <w:szCs w:val="18"/>
          <w:lang w:val="en-US" w:eastAsia="es-MX"/>
        </w:rPr>
        <w:t>Judicial Service, it would become both judge and p</w:t>
      </w:r>
      <w:r w:rsidR="002E406E" w:rsidRPr="00A50E4D">
        <w:rPr>
          <w:spacing w:val="-4"/>
          <w:sz w:val="18"/>
          <w:szCs w:val="18"/>
          <w:lang w:val="en-US" w:eastAsia="es-MX"/>
        </w:rPr>
        <w:t>arty. Consequently, under the Constitution, this action</w:t>
      </w:r>
      <w:r w:rsidR="001C591D" w:rsidRPr="00A50E4D">
        <w:rPr>
          <w:spacing w:val="-4"/>
          <w:sz w:val="18"/>
          <w:szCs w:val="18"/>
          <w:lang w:val="en-US" w:eastAsia="es-MX"/>
        </w:rPr>
        <w:t xml:space="preserve"> corresponds to the </w:t>
      </w:r>
      <w:r w:rsidR="00371BB7" w:rsidRPr="00A50E4D">
        <w:rPr>
          <w:spacing w:val="-4"/>
          <w:sz w:val="18"/>
          <w:szCs w:val="18"/>
          <w:lang w:val="en-US" w:eastAsia="es-MX"/>
        </w:rPr>
        <w:t>Supreme Court of Justice</w:t>
      </w:r>
      <w:r w:rsidR="002E406E" w:rsidRPr="00A50E4D">
        <w:rPr>
          <w:spacing w:val="-4"/>
          <w:sz w:val="18"/>
          <w:szCs w:val="18"/>
          <w:lang w:val="en-US" w:eastAsia="es-MX"/>
        </w:rPr>
        <w:t xml:space="preserve"> alone</w:t>
      </w:r>
      <w:r w:rsidR="001C591D" w:rsidRPr="00A50E4D">
        <w:rPr>
          <w:spacing w:val="-4"/>
          <w:sz w:val="18"/>
          <w:szCs w:val="18"/>
          <w:lang w:val="en-US" w:eastAsia="es-MX"/>
        </w:rPr>
        <w:t xml:space="preserve"> and</w:t>
      </w:r>
      <w:r w:rsidR="002E406E" w:rsidRPr="00A50E4D">
        <w:rPr>
          <w:spacing w:val="-4"/>
          <w:sz w:val="18"/>
          <w:szCs w:val="18"/>
          <w:lang w:val="en-US" w:eastAsia="es-MX"/>
        </w:rPr>
        <w:t>,</w:t>
      </w:r>
      <w:r w:rsidR="001C591D" w:rsidRPr="00A50E4D">
        <w:rPr>
          <w:spacing w:val="-4"/>
          <w:sz w:val="18"/>
          <w:szCs w:val="18"/>
          <w:lang w:val="en-US" w:eastAsia="es-MX"/>
        </w:rPr>
        <w:t xml:space="preserve"> </w:t>
      </w:r>
      <w:r w:rsidR="002E406E" w:rsidRPr="00A50E4D">
        <w:rPr>
          <w:spacing w:val="-4"/>
          <w:sz w:val="18"/>
          <w:szCs w:val="18"/>
          <w:lang w:val="en-US" w:eastAsia="es-MX"/>
        </w:rPr>
        <w:t>therefore, when</w:t>
      </w:r>
      <w:r w:rsidR="001C591D" w:rsidRPr="00A50E4D">
        <w:rPr>
          <w:spacing w:val="-4"/>
          <w:sz w:val="18"/>
          <w:szCs w:val="18"/>
          <w:lang w:val="en-US" w:eastAsia="es-MX"/>
        </w:rPr>
        <w:t xml:space="preserve"> they </w:t>
      </w:r>
      <w:r w:rsidR="002E406E" w:rsidRPr="00A50E4D">
        <w:rPr>
          <w:spacing w:val="-4"/>
          <w:sz w:val="18"/>
          <w:szCs w:val="18"/>
          <w:lang w:val="en-US" w:eastAsia="es-MX"/>
        </w:rPr>
        <w:t>are the subject of a decision by</w:t>
      </w:r>
      <w:r w:rsidR="001C591D" w:rsidRPr="00A50E4D">
        <w:rPr>
          <w:spacing w:val="-4"/>
          <w:sz w:val="18"/>
          <w:szCs w:val="18"/>
          <w:lang w:val="en-US" w:eastAsia="es-MX"/>
        </w:rPr>
        <w:t xml:space="preserve"> this branch of the State, </w:t>
      </w:r>
      <w:r w:rsidR="000A786A" w:rsidRPr="00A50E4D">
        <w:rPr>
          <w:spacing w:val="-4"/>
          <w:sz w:val="18"/>
          <w:szCs w:val="18"/>
          <w:lang w:val="en-US" w:eastAsia="es-MX"/>
        </w:rPr>
        <w:t>officials</w:t>
      </w:r>
      <w:r w:rsidR="002E406E" w:rsidRPr="00A50E4D">
        <w:rPr>
          <w:spacing w:val="-4"/>
          <w:sz w:val="18"/>
          <w:szCs w:val="18"/>
          <w:lang w:val="en-US" w:eastAsia="es-MX"/>
        </w:rPr>
        <w:t xml:space="preserve"> or employees who consider</w:t>
      </w:r>
      <w:r w:rsidR="001C591D" w:rsidRPr="00A50E4D">
        <w:rPr>
          <w:spacing w:val="-4"/>
          <w:sz w:val="18"/>
          <w:szCs w:val="18"/>
          <w:lang w:val="en-US" w:eastAsia="es-MX"/>
        </w:rPr>
        <w:t xml:space="preserve"> themselves affected </w:t>
      </w:r>
      <w:r w:rsidR="002E406E" w:rsidRPr="00A50E4D">
        <w:rPr>
          <w:spacing w:val="-4"/>
          <w:sz w:val="18"/>
          <w:szCs w:val="18"/>
          <w:lang w:val="en-US" w:eastAsia="es-MX"/>
        </w:rPr>
        <w:t>have recourse</w:t>
      </w:r>
      <w:r w:rsidR="001C591D" w:rsidRPr="00A50E4D">
        <w:rPr>
          <w:spacing w:val="-4"/>
          <w:sz w:val="18"/>
          <w:szCs w:val="18"/>
          <w:lang w:val="en-US" w:eastAsia="es-MX"/>
        </w:rPr>
        <w:t xml:space="preserve"> to </w:t>
      </w:r>
      <w:r w:rsidR="006A756C" w:rsidRPr="00A50E4D">
        <w:rPr>
          <w:spacing w:val="-4"/>
          <w:sz w:val="18"/>
          <w:szCs w:val="18"/>
          <w:lang w:val="en-US" w:eastAsia="es-MX"/>
        </w:rPr>
        <w:t>the Judicial Service Council</w:t>
      </w:r>
      <w:r w:rsidR="005472DB" w:rsidRPr="00A50E4D">
        <w:rPr>
          <w:spacing w:val="-4"/>
          <w:sz w:val="18"/>
          <w:szCs w:val="18"/>
          <w:lang w:val="en-US" w:eastAsia="es-MX"/>
        </w:rPr>
        <w:t xml:space="preserve"> </w:t>
      </w:r>
      <w:r w:rsidR="001C591D" w:rsidRPr="00A50E4D">
        <w:rPr>
          <w:spacing w:val="-4"/>
          <w:sz w:val="18"/>
          <w:szCs w:val="18"/>
          <w:lang w:val="en-US" w:eastAsia="es-MX"/>
        </w:rPr>
        <w:t>to file their appeals.</w:t>
      </w:r>
      <w:r w:rsidR="005472DB" w:rsidRPr="00A50E4D">
        <w:rPr>
          <w:rStyle w:val="FootnoteReference"/>
          <w:spacing w:val="-4"/>
          <w:sz w:val="18"/>
          <w:szCs w:val="18"/>
          <w:lang w:val="en-US" w:eastAsia="es-MX"/>
        </w:rPr>
        <w:footnoteReference w:id="382"/>
      </w:r>
    </w:p>
    <w:p w14:paraId="562B3B01" w14:textId="77777777" w:rsidR="005472DB" w:rsidRPr="00A50E4D" w:rsidRDefault="005472DB" w:rsidP="005472DB">
      <w:pPr>
        <w:ind w:left="567" w:right="571"/>
        <w:rPr>
          <w:spacing w:val="-4"/>
          <w:szCs w:val="20"/>
          <w:lang w:val="en-US" w:eastAsia="es-MX"/>
        </w:rPr>
      </w:pPr>
    </w:p>
    <w:p w14:paraId="5383714D" w14:textId="697BBCC1" w:rsidR="005472DB" w:rsidRPr="00A50E4D" w:rsidRDefault="00CC78C7" w:rsidP="005472DB">
      <w:pPr>
        <w:pStyle w:val="PrrafodeSentencia"/>
        <w:rPr>
          <w:lang w:val="en-US"/>
        </w:rPr>
      </w:pPr>
      <w:bookmarkStart w:id="323" w:name="_Ref427223748"/>
      <w:r w:rsidRPr="00A50E4D">
        <w:rPr>
          <w:lang w:val="en-US"/>
        </w:rPr>
        <w:t>Notwithstanding these considerations, and bearing in mind the findings in Chapter</w:t>
      </w:r>
      <w:r w:rsidR="005472DB" w:rsidRPr="00A50E4D">
        <w:rPr>
          <w:lang w:val="en-US"/>
        </w:rPr>
        <w:t xml:space="preserve"> VII-1 </w:t>
      </w:r>
      <w:r w:rsidR="005472DB" w:rsidRPr="00A50E4D">
        <w:rPr>
          <w:i/>
          <w:lang w:val="en-US"/>
        </w:rPr>
        <w:t>supra,</w:t>
      </w:r>
      <w:r w:rsidR="005472DB" w:rsidRPr="00A50E4D">
        <w:rPr>
          <w:lang w:val="en-US"/>
        </w:rPr>
        <w:t xml:space="preserve"> </w:t>
      </w:r>
      <w:r w:rsidR="009808C5" w:rsidRPr="00A50E4D">
        <w:rPr>
          <w:lang w:val="en-US"/>
        </w:rPr>
        <w:t>the Court</w:t>
      </w:r>
      <w:r w:rsidR="005472DB" w:rsidRPr="00A50E4D">
        <w:rPr>
          <w:lang w:val="en-US"/>
        </w:rPr>
        <w:t xml:space="preserve"> </w:t>
      </w:r>
      <w:r w:rsidR="002E406E" w:rsidRPr="00A50E4D">
        <w:rPr>
          <w:lang w:val="en-US"/>
        </w:rPr>
        <w:t>concludes</w:t>
      </w:r>
      <w:r w:rsidRPr="00A50E4D">
        <w:rPr>
          <w:lang w:val="en-US"/>
        </w:rPr>
        <w:t xml:space="preserve"> that</w:t>
      </w:r>
      <w:r w:rsidR="005472DB" w:rsidRPr="00A50E4D">
        <w:rPr>
          <w:lang w:val="en-US"/>
        </w:rPr>
        <w:t xml:space="preserve"> </w:t>
      </w:r>
      <w:r w:rsidR="006A756C" w:rsidRPr="00A50E4D">
        <w:rPr>
          <w:lang w:val="en-US"/>
        </w:rPr>
        <w:t>the Judicial Service Council</w:t>
      </w:r>
      <w:r w:rsidR="005472DB" w:rsidRPr="00A50E4D">
        <w:rPr>
          <w:lang w:val="en-US"/>
        </w:rPr>
        <w:t xml:space="preserve"> </w:t>
      </w:r>
      <w:r w:rsidRPr="00A50E4D">
        <w:rPr>
          <w:lang w:val="en-US"/>
        </w:rPr>
        <w:t xml:space="preserve">lacked the competence, established by law, to decide appeals </w:t>
      </w:r>
      <w:r w:rsidR="00FF35A9" w:rsidRPr="00A50E4D">
        <w:rPr>
          <w:lang w:val="en-US"/>
        </w:rPr>
        <w:t>against</w:t>
      </w:r>
      <w:r w:rsidR="005472DB" w:rsidRPr="00A50E4D">
        <w:rPr>
          <w:lang w:val="en-US"/>
        </w:rPr>
        <w:t xml:space="preserve"> </w:t>
      </w:r>
      <w:r w:rsidR="00665BDA" w:rsidRPr="00A50E4D">
        <w:rPr>
          <w:lang w:val="en-US"/>
        </w:rPr>
        <w:t>decisions</w:t>
      </w:r>
      <w:r w:rsidR="009808C5" w:rsidRPr="00A50E4D">
        <w:rPr>
          <w:lang w:val="en-US"/>
        </w:rPr>
        <w:t xml:space="preserve"> of the </w:t>
      </w:r>
      <w:r w:rsidR="00371BB7" w:rsidRPr="00A50E4D">
        <w:rPr>
          <w:lang w:val="en-US"/>
        </w:rPr>
        <w:t>Supreme Court of Justice</w:t>
      </w:r>
      <w:r w:rsidR="005472DB" w:rsidRPr="00A50E4D">
        <w:rPr>
          <w:lang w:val="en-US"/>
        </w:rPr>
        <w:t xml:space="preserve">. </w:t>
      </w:r>
      <w:r w:rsidRPr="00A50E4D">
        <w:rPr>
          <w:lang w:val="en-US"/>
        </w:rPr>
        <w:t>Moreover, owing to its nature as a dependent and auxiliary organ</w:t>
      </w:r>
      <w:r w:rsidR="009808C5" w:rsidRPr="00A50E4D">
        <w:rPr>
          <w:lang w:val="en-US"/>
        </w:rPr>
        <w:t xml:space="preserve"> of the </w:t>
      </w:r>
      <w:r w:rsidR="00700DEC" w:rsidRPr="00A50E4D">
        <w:rPr>
          <w:lang w:val="en-US"/>
        </w:rPr>
        <w:t>Supreme Court</w:t>
      </w:r>
      <w:r w:rsidR="005472DB" w:rsidRPr="00A50E4D">
        <w:rPr>
          <w:lang w:val="en-US"/>
        </w:rPr>
        <w:t xml:space="preserve">, </w:t>
      </w:r>
      <w:r w:rsidRPr="00A50E4D">
        <w:rPr>
          <w:lang w:val="en-US"/>
        </w:rPr>
        <w:t xml:space="preserve">it was not an autonomous and independent entity. </w:t>
      </w:r>
      <w:bookmarkEnd w:id="323"/>
    </w:p>
    <w:p w14:paraId="749E6BF0" w14:textId="77777777" w:rsidR="005472DB" w:rsidRPr="00A50E4D" w:rsidRDefault="005472DB" w:rsidP="005472DB">
      <w:pPr>
        <w:rPr>
          <w:spacing w:val="-4"/>
          <w:lang w:val="en-US" w:eastAsia="es-MX"/>
        </w:rPr>
      </w:pPr>
    </w:p>
    <w:p w14:paraId="7C9FD5A3" w14:textId="5E34CD23" w:rsidR="005472DB" w:rsidRPr="00A50E4D" w:rsidRDefault="005472DB" w:rsidP="005472DB">
      <w:pPr>
        <w:pStyle w:val="Heading4"/>
        <w:rPr>
          <w:spacing w:val="-4"/>
          <w:lang w:val="en-US"/>
        </w:rPr>
      </w:pPr>
      <w:bookmarkStart w:id="324" w:name="_Toc431584651"/>
      <w:bookmarkStart w:id="325" w:name="_Toc471717285"/>
      <w:r w:rsidRPr="00A50E4D">
        <w:rPr>
          <w:spacing w:val="-4"/>
          <w:lang w:val="en-US"/>
        </w:rPr>
        <w:t xml:space="preserve">B.2.b) </w:t>
      </w:r>
      <w:r w:rsidR="00CC78C7" w:rsidRPr="00A50E4D">
        <w:rPr>
          <w:spacing w:val="-4"/>
          <w:lang w:val="en-US"/>
        </w:rPr>
        <w:t>Lack of impartiality</w:t>
      </w:r>
      <w:r w:rsidR="006A756C" w:rsidRPr="00A50E4D">
        <w:rPr>
          <w:spacing w:val="-4"/>
          <w:lang w:val="en-US"/>
        </w:rPr>
        <w:t xml:space="preserve"> of the Judicial Service Council</w:t>
      </w:r>
      <w:bookmarkEnd w:id="324"/>
      <w:bookmarkEnd w:id="325"/>
    </w:p>
    <w:p w14:paraId="1AD3CD5F" w14:textId="77777777" w:rsidR="005472DB" w:rsidRPr="00A50E4D" w:rsidRDefault="005472DB" w:rsidP="005472DB">
      <w:pPr>
        <w:pStyle w:val="PrrafodeSentencia"/>
        <w:numPr>
          <w:ilvl w:val="0"/>
          <w:numId w:val="0"/>
        </w:numPr>
        <w:rPr>
          <w:lang w:val="en-US"/>
        </w:rPr>
      </w:pPr>
    </w:p>
    <w:p w14:paraId="4F76E454" w14:textId="234F5BF5" w:rsidR="0098377D" w:rsidRPr="00A50E4D" w:rsidRDefault="009808C5" w:rsidP="005472DB">
      <w:pPr>
        <w:pStyle w:val="PrrafodeSentencia"/>
        <w:rPr>
          <w:szCs w:val="20"/>
          <w:lang w:val="en-US"/>
        </w:rPr>
      </w:pPr>
      <w:r w:rsidRPr="00A50E4D">
        <w:rPr>
          <w:lang w:val="en-US"/>
        </w:rPr>
        <w:t>The Court</w:t>
      </w:r>
      <w:r w:rsidR="005472DB" w:rsidRPr="00A50E4D">
        <w:rPr>
          <w:lang w:val="en-US"/>
        </w:rPr>
        <w:t xml:space="preserve"> t</w:t>
      </w:r>
      <w:r w:rsidR="00CC78C7" w:rsidRPr="00A50E4D">
        <w:rPr>
          <w:lang w:val="en-US"/>
        </w:rPr>
        <w:t xml:space="preserve">akes note that </w:t>
      </w:r>
      <w:r w:rsidR="00371BB7" w:rsidRPr="00A50E4D">
        <w:rPr>
          <w:lang w:val="en-US"/>
        </w:rPr>
        <w:t>the presumed victims</w:t>
      </w:r>
      <w:r w:rsidR="00CC78C7" w:rsidRPr="00A50E4D">
        <w:rPr>
          <w:szCs w:val="20"/>
          <w:lang w:val="en-US"/>
        </w:rPr>
        <w:t xml:space="preserve"> have indicated that they were unaware of the composition </w:t>
      </w:r>
      <w:r w:rsidR="006A756C" w:rsidRPr="00A50E4D">
        <w:rPr>
          <w:szCs w:val="20"/>
          <w:lang w:val="en-US"/>
        </w:rPr>
        <w:t>of the Judicial Service Council</w:t>
      </w:r>
      <w:r w:rsidR="005472DB" w:rsidRPr="00A50E4D">
        <w:rPr>
          <w:szCs w:val="20"/>
          <w:lang w:val="en-US"/>
        </w:rPr>
        <w:t xml:space="preserve"> </w:t>
      </w:r>
      <w:r w:rsidR="00CC78C7" w:rsidRPr="00A50E4D">
        <w:rPr>
          <w:szCs w:val="20"/>
          <w:lang w:val="en-US"/>
        </w:rPr>
        <w:t xml:space="preserve">that decided their appeals against the dismissal rulings </w:t>
      </w:r>
      <w:r w:rsidRPr="00A50E4D">
        <w:rPr>
          <w:szCs w:val="20"/>
          <w:lang w:val="en-US"/>
        </w:rPr>
        <w:t xml:space="preserve">of the </w:t>
      </w:r>
      <w:r w:rsidR="00700DEC" w:rsidRPr="00A50E4D">
        <w:rPr>
          <w:szCs w:val="20"/>
          <w:lang w:val="en-US"/>
        </w:rPr>
        <w:t>Supreme Court</w:t>
      </w:r>
      <w:r w:rsidR="005472DB" w:rsidRPr="00A50E4D">
        <w:rPr>
          <w:szCs w:val="20"/>
          <w:lang w:val="en-US"/>
        </w:rPr>
        <w:t xml:space="preserve">, </w:t>
      </w:r>
      <w:r w:rsidR="00CC78C7" w:rsidRPr="00A50E4D">
        <w:rPr>
          <w:szCs w:val="20"/>
          <w:lang w:val="en-US"/>
        </w:rPr>
        <w:t xml:space="preserve">until they received notification of the respective decisions. In this regard, </w:t>
      </w:r>
      <w:r w:rsidR="00FF35A9" w:rsidRPr="00A50E4D">
        <w:rPr>
          <w:szCs w:val="20"/>
          <w:lang w:val="en-US"/>
        </w:rPr>
        <w:t>Mr. López</w:t>
      </w:r>
      <w:r w:rsidR="00CC78C7" w:rsidRPr="00A50E4D">
        <w:rPr>
          <w:szCs w:val="20"/>
          <w:lang w:val="en-US"/>
        </w:rPr>
        <w:t xml:space="preserve"> Lone indicated</w:t>
      </w:r>
      <w:r w:rsidR="005472DB" w:rsidRPr="00A50E4D">
        <w:rPr>
          <w:szCs w:val="20"/>
          <w:lang w:val="en-US"/>
        </w:rPr>
        <w:t>: “</w:t>
      </w:r>
      <w:r w:rsidR="00CC78C7" w:rsidRPr="00A50E4D">
        <w:rPr>
          <w:szCs w:val="20"/>
          <w:lang w:val="en-US"/>
        </w:rPr>
        <w:t xml:space="preserve">the day I appeared [before </w:t>
      </w:r>
      <w:r w:rsidR="006A756C" w:rsidRPr="00A50E4D">
        <w:rPr>
          <w:szCs w:val="20"/>
          <w:lang w:val="en-US"/>
        </w:rPr>
        <w:t>the Judicial Service Council</w:t>
      </w:r>
      <w:r w:rsidR="005472DB" w:rsidRPr="00A50E4D">
        <w:rPr>
          <w:szCs w:val="20"/>
          <w:lang w:val="en-US"/>
        </w:rPr>
        <w:t xml:space="preserve">] </w:t>
      </w:r>
      <w:r w:rsidR="00CC78C7" w:rsidRPr="00A50E4D">
        <w:rPr>
          <w:szCs w:val="20"/>
          <w:lang w:val="en-US"/>
        </w:rPr>
        <w:t>there were only two members of the Council, the President and the Secretary, and I did not know, either that day or afterwards, who were the other members of the Council</w:t>
      </w:r>
      <w:r w:rsidR="005472DB" w:rsidRPr="00A50E4D">
        <w:rPr>
          <w:szCs w:val="20"/>
          <w:lang w:val="en-US"/>
        </w:rPr>
        <w:t xml:space="preserve">. </w:t>
      </w:r>
      <w:r w:rsidR="00CC78C7" w:rsidRPr="00A50E4D">
        <w:rPr>
          <w:szCs w:val="20"/>
          <w:lang w:val="en-US"/>
        </w:rPr>
        <w:t xml:space="preserve">I only found out when the </w:t>
      </w:r>
      <w:r w:rsidR="000A786A" w:rsidRPr="00A50E4D">
        <w:rPr>
          <w:szCs w:val="20"/>
          <w:lang w:val="en-US"/>
        </w:rPr>
        <w:t>decision</w:t>
      </w:r>
      <w:r w:rsidR="00CC78C7" w:rsidRPr="00A50E4D">
        <w:rPr>
          <w:szCs w:val="20"/>
          <w:lang w:val="en-US"/>
        </w:rPr>
        <w:t xml:space="preserve"> was issued declaring that the appeal I had filed was inadmissible.</w:t>
      </w:r>
      <w:r w:rsidR="005472DB" w:rsidRPr="00A50E4D">
        <w:rPr>
          <w:szCs w:val="20"/>
          <w:lang w:val="en-US"/>
        </w:rPr>
        <w:t>”</w:t>
      </w:r>
      <w:r w:rsidR="005472DB" w:rsidRPr="00A50E4D">
        <w:rPr>
          <w:rStyle w:val="FootnoteReference"/>
          <w:sz w:val="20"/>
          <w:szCs w:val="20"/>
          <w:lang w:val="en-US"/>
        </w:rPr>
        <w:footnoteReference w:id="383"/>
      </w:r>
      <w:r w:rsidR="00CC78C7" w:rsidRPr="00A50E4D">
        <w:rPr>
          <w:szCs w:val="20"/>
          <w:lang w:val="en-US"/>
        </w:rPr>
        <w:t xml:space="preserve"> In addition, </w:t>
      </w:r>
      <w:r w:rsidR="009A7056" w:rsidRPr="00A50E4D">
        <w:rPr>
          <w:szCs w:val="20"/>
          <w:lang w:val="en-US"/>
        </w:rPr>
        <w:t>Mr. Chévez de la Rocha</w:t>
      </w:r>
      <w:r w:rsidR="005472DB" w:rsidRPr="00A50E4D">
        <w:rPr>
          <w:szCs w:val="20"/>
          <w:lang w:val="en-US"/>
        </w:rPr>
        <w:t xml:space="preserve"> </w:t>
      </w:r>
      <w:r w:rsidR="00CC78C7" w:rsidRPr="00A50E4D">
        <w:rPr>
          <w:szCs w:val="20"/>
          <w:lang w:val="en-US"/>
        </w:rPr>
        <w:t>asserted that they “did not know who the members of that Council were, or the way in which they had been appointed. [They] supposed that this was done by the Supreme Court itself with people in whom it had complete confidence, which revealed even more [their] defenselessness.”</w:t>
      </w:r>
      <w:r w:rsidR="005472DB" w:rsidRPr="00A50E4D">
        <w:rPr>
          <w:rStyle w:val="FootnoteReference"/>
          <w:sz w:val="20"/>
          <w:szCs w:val="20"/>
          <w:lang w:val="en-US"/>
        </w:rPr>
        <w:footnoteReference w:id="384"/>
      </w:r>
      <w:r w:rsidR="005472DB" w:rsidRPr="00A50E4D">
        <w:rPr>
          <w:szCs w:val="20"/>
          <w:lang w:val="en-US"/>
        </w:rPr>
        <w:t xml:space="preserve"> </w:t>
      </w:r>
      <w:r w:rsidR="00CC78C7" w:rsidRPr="00A50E4D">
        <w:rPr>
          <w:szCs w:val="20"/>
          <w:lang w:val="en-US"/>
        </w:rPr>
        <w:t>Meanwhile,</w:t>
      </w:r>
      <w:r w:rsidR="005472DB" w:rsidRPr="00A50E4D">
        <w:rPr>
          <w:szCs w:val="20"/>
          <w:lang w:val="en-US"/>
        </w:rPr>
        <w:t xml:space="preserve"> </w:t>
      </w:r>
      <w:r w:rsidR="00A23598" w:rsidRPr="00A50E4D">
        <w:rPr>
          <w:szCs w:val="20"/>
          <w:lang w:val="en-US"/>
        </w:rPr>
        <w:t>Ms. Flores</w:t>
      </w:r>
      <w:r w:rsidR="005472DB" w:rsidRPr="00A50E4D">
        <w:rPr>
          <w:szCs w:val="20"/>
          <w:lang w:val="en-US"/>
        </w:rPr>
        <w:t xml:space="preserve"> Lanza </w:t>
      </w:r>
      <w:r w:rsidR="00CC78C7" w:rsidRPr="00A50E4D">
        <w:rPr>
          <w:szCs w:val="20"/>
          <w:lang w:val="en-US"/>
        </w:rPr>
        <w:t>stated that</w:t>
      </w:r>
      <w:r w:rsidR="0098377D" w:rsidRPr="00A50E4D">
        <w:rPr>
          <w:szCs w:val="20"/>
          <w:lang w:val="en-US"/>
        </w:rPr>
        <w:t>:</w:t>
      </w:r>
      <w:r w:rsidR="005472DB" w:rsidRPr="00A50E4D">
        <w:rPr>
          <w:szCs w:val="20"/>
          <w:lang w:val="en-US"/>
        </w:rPr>
        <w:t xml:space="preserve"> </w:t>
      </w:r>
    </w:p>
    <w:p w14:paraId="026B544D" w14:textId="77777777" w:rsidR="0098377D" w:rsidRPr="00A50E4D" w:rsidRDefault="0098377D" w:rsidP="0098377D">
      <w:pPr>
        <w:rPr>
          <w:lang w:val="en-US"/>
        </w:rPr>
      </w:pPr>
    </w:p>
    <w:p w14:paraId="4A7A726E" w14:textId="4A333B91" w:rsidR="005472DB" w:rsidRPr="00A50E4D" w:rsidRDefault="00CC78C7" w:rsidP="00CC78C7">
      <w:pPr>
        <w:pStyle w:val="PrrafodeSentencia"/>
        <w:numPr>
          <w:ilvl w:val="0"/>
          <w:numId w:val="0"/>
        </w:numPr>
        <w:tabs>
          <w:tab w:val="left" w:pos="630"/>
        </w:tabs>
        <w:ind w:left="630" w:right="566"/>
        <w:rPr>
          <w:rFonts w:cs="Arial"/>
          <w:sz w:val="18"/>
          <w:szCs w:val="18"/>
          <w:lang w:val="en-US"/>
        </w:rPr>
      </w:pPr>
      <w:r w:rsidRPr="00A50E4D">
        <w:rPr>
          <w:rFonts w:cs="Arial"/>
          <w:sz w:val="18"/>
          <w:szCs w:val="18"/>
          <w:lang w:val="en-US"/>
        </w:rPr>
        <w:t xml:space="preserve">[T]he Council was left headless; in other words, without anyone who could legally preside it; then, without anyone being aware how, or on the basis on which law, a justice of the Appellate Court </w:t>
      </w:r>
      <w:r w:rsidR="002E406E" w:rsidRPr="00A50E4D">
        <w:rPr>
          <w:rFonts w:cs="Arial"/>
          <w:sz w:val="18"/>
          <w:szCs w:val="18"/>
          <w:lang w:val="en-US"/>
        </w:rPr>
        <w:t>presided it and she</w:t>
      </w:r>
      <w:r w:rsidRPr="00A50E4D">
        <w:rPr>
          <w:rFonts w:cs="Arial"/>
          <w:sz w:val="18"/>
          <w:szCs w:val="18"/>
          <w:lang w:val="en-US"/>
        </w:rPr>
        <w:t xml:space="preserve"> called on different judges to incorporate the Council, some of whom also disqualified </w:t>
      </w:r>
      <w:r w:rsidR="000A786A" w:rsidRPr="00A50E4D">
        <w:rPr>
          <w:rFonts w:cs="Arial"/>
          <w:sz w:val="18"/>
          <w:szCs w:val="18"/>
          <w:lang w:val="en-US"/>
        </w:rPr>
        <w:t>themselves</w:t>
      </w:r>
      <w:r w:rsidRPr="00A50E4D">
        <w:rPr>
          <w:rFonts w:cs="Arial"/>
          <w:sz w:val="18"/>
          <w:szCs w:val="18"/>
          <w:lang w:val="en-US"/>
        </w:rPr>
        <w:t xml:space="preserve"> from incorporating it. Ultimately, a Judicial Service Council was </w:t>
      </w:r>
      <w:r w:rsidR="000A786A" w:rsidRPr="00A50E4D">
        <w:rPr>
          <w:rFonts w:cs="Arial"/>
          <w:sz w:val="18"/>
          <w:szCs w:val="18"/>
          <w:lang w:val="en-US"/>
        </w:rPr>
        <w:lastRenderedPageBreak/>
        <w:t>formed</w:t>
      </w:r>
      <w:r w:rsidRPr="00A50E4D">
        <w:rPr>
          <w:rFonts w:cs="Arial"/>
          <w:sz w:val="18"/>
          <w:szCs w:val="18"/>
          <w:lang w:val="en-US"/>
        </w:rPr>
        <w:t xml:space="preserve"> without any legal basis that, in [her] opinion, was totally spurious and without any legitimacy, and this was the organ that took the final decision on the appeal filed.</w:t>
      </w:r>
      <w:r w:rsidR="005472DB" w:rsidRPr="00A50E4D">
        <w:rPr>
          <w:rStyle w:val="FootnoteReference"/>
          <w:rFonts w:cs="Arial"/>
          <w:sz w:val="18"/>
          <w:szCs w:val="18"/>
          <w:lang w:val="en-US"/>
        </w:rPr>
        <w:footnoteReference w:id="385"/>
      </w:r>
    </w:p>
    <w:p w14:paraId="5684B349" w14:textId="77777777" w:rsidR="005472DB" w:rsidRPr="00A50E4D" w:rsidRDefault="005472DB" w:rsidP="005472DB">
      <w:pPr>
        <w:rPr>
          <w:spacing w:val="-4"/>
          <w:szCs w:val="20"/>
          <w:lang w:val="en-US" w:eastAsia="es-MX"/>
        </w:rPr>
      </w:pPr>
    </w:p>
    <w:p w14:paraId="079F3650" w14:textId="3507CAC4" w:rsidR="00A11DF4" w:rsidRPr="00A50E4D" w:rsidRDefault="00A11DF4" w:rsidP="00A11DF4">
      <w:pPr>
        <w:pStyle w:val="PrrafodeSentencia"/>
        <w:rPr>
          <w:szCs w:val="20"/>
          <w:lang w:val="en-US"/>
        </w:rPr>
      </w:pPr>
      <w:r w:rsidRPr="00A50E4D">
        <w:rPr>
          <w:szCs w:val="20"/>
          <w:lang w:val="en-US"/>
        </w:rPr>
        <w:t xml:space="preserve">Owing to the way that the </w:t>
      </w:r>
      <w:r w:rsidR="006A756C" w:rsidRPr="00A50E4D">
        <w:rPr>
          <w:szCs w:val="20"/>
          <w:lang w:val="en-US"/>
        </w:rPr>
        <w:t>Judicial Service Council</w:t>
      </w:r>
      <w:r w:rsidRPr="00A50E4D">
        <w:rPr>
          <w:szCs w:val="20"/>
          <w:lang w:val="en-US"/>
        </w:rPr>
        <w:t xml:space="preserve"> was composed</w:t>
      </w:r>
      <w:r w:rsidR="005472DB" w:rsidRPr="00A50E4D">
        <w:rPr>
          <w:rStyle w:val="FootnoteReference"/>
          <w:sz w:val="20"/>
          <w:szCs w:val="20"/>
          <w:lang w:val="en-US"/>
        </w:rPr>
        <w:footnoteReference w:id="386"/>
      </w:r>
      <w:r w:rsidR="009808C5" w:rsidRPr="00A50E4D">
        <w:rPr>
          <w:szCs w:val="20"/>
          <w:lang w:val="en-US"/>
        </w:rPr>
        <w:t xml:space="preserve"> and </w:t>
      </w:r>
      <w:r w:rsidR="00687A44" w:rsidRPr="00A50E4D">
        <w:rPr>
          <w:szCs w:val="20"/>
          <w:lang w:val="en-US"/>
        </w:rPr>
        <w:t>the</w:t>
      </w:r>
      <w:r w:rsidR="002E406E" w:rsidRPr="00A50E4D">
        <w:rPr>
          <w:szCs w:val="20"/>
          <w:lang w:val="en-US"/>
        </w:rPr>
        <w:t xml:space="preserve"> way the</w:t>
      </w:r>
      <w:r w:rsidR="00687A44" w:rsidRPr="00A50E4D">
        <w:rPr>
          <w:szCs w:val="20"/>
          <w:lang w:val="en-US"/>
        </w:rPr>
        <w:t xml:space="preserve"> disciplinary proceeding</w:t>
      </w:r>
      <w:r w:rsidRPr="00A50E4D">
        <w:rPr>
          <w:szCs w:val="20"/>
          <w:lang w:val="en-US"/>
        </w:rPr>
        <w:t xml:space="preserve">s to decide the appeals filed by all </w:t>
      </w:r>
      <w:r w:rsidR="00371BB7" w:rsidRPr="00A50E4D">
        <w:rPr>
          <w:szCs w:val="20"/>
          <w:lang w:val="en-US"/>
        </w:rPr>
        <w:t>the presumed victims</w:t>
      </w:r>
      <w:r w:rsidR="005472DB" w:rsidRPr="00A50E4D">
        <w:rPr>
          <w:szCs w:val="20"/>
          <w:lang w:val="en-US"/>
        </w:rPr>
        <w:t xml:space="preserve"> </w:t>
      </w:r>
      <w:r w:rsidRPr="00A50E4D">
        <w:rPr>
          <w:szCs w:val="20"/>
          <w:lang w:val="en-US"/>
        </w:rPr>
        <w:t xml:space="preserve">were </w:t>
      </w:r>
      <w:r w:rsidR="000A786A" w:rsidRPr="00A50E4D">
        <w:rPr>
          <w:szCs w:val="20"/>
          <w:lang w:val="en-US"/>
        </w:rPr>
        <w:t>held</w:t>
      </w:r>
      <w:r w:rsidRPr="00A50E4D">
        <w:rPr>
          <w:szCs w:val="20"/>
          <w:lang w:val="en-US"/>
        </w:rPr>
        <w:t>, an</w:t>
      </w:r>
      <w:r w:rsidR="005472DB" w:rsidRPr="00A50E4D">
        <w:rPr>
          <w:szCs w:val="20"/>
          <w:lang w:val="en-US"/>
        </w:rPr>
        <w:t xml:space="preserve"> </w:t>
      </w:r>
      <w:r w:rsidRPr="00A50E4D">
        <w:rPr>
          <w:i/>
          <w:szCs w:val="20"/>
          <w:lang w:val="en-US"/>
        </w:rPr>
        <w:t>ad hoc</w:t>
      </w:r>
      <w:r w:rsidRPr="00A50E4D">
        <w:rPr>
          <w:szCs w:val="20"/>
          <w:lang w:val="en-US"/>
        </w:rPr>
        <w:t xml:space="preserve"> </w:t>
      </w:r>
      <w:r w:rsidR="006A756C" w:rsidRPr="00A50E4D">
        <w:rPr>
          <w:szCs w:val="20"/>
          <w:lang w:val="en-US"/>
        </w:rPr>
        <w:t>Judicial Service Council</w:t>
      </w:r>
      <w:r w:rsidRPr="00A50E4D">
        <w:rPr>
          <w:szCs w:val="20"/>
          <w:lang w:val="en-US"/>
        </w:rPr>
        <w:t xml:space="preserve"> had to be set up, without </w:t>
      </w:r>
      <w:r w:rsidR="002E406E" w:rsidRPr="00A50E4D">
        <w:rPr>
          <w:szCs w:val="20"/>
          <w:lang w:val="en-US"/>
        </w:rPr>
        <w:t xml:space="preserve">the </w:t>
      </w:r>
      <w:r w:rsidR="00277E12" w:rsidRPr="00A50E4D">
        <w:rPr>
          <w:szCs w:val="20"/>
          <w:lang w:val="en-US"/>
        </w:rPr>
        <w:t>justices</w:t>
      </w:r>
      <w:r w:rsidR="009808C5" w:rsidRPr="00A50E4D">
        <w:rPr>
          <w:szCs w:val="20"/>
          <w:lang w:val="en-US"/>
        </w:rPr>
        <w:t xml:space="preserve"> of the </w:t>
      </w:r>
      <w:r w:rsidR="00700DEC" w:rsidRPr="00A50E4D">
        <w:rPr>
          <w:szCs w:val="20"/>
          <w:lang w:val="en-US"/>
        </w:rPr>
        <w:t>Supreme Court</w:t>
      </w:r>
      <w:r w:rsidR="005472DB" w:rsidRPr="00A50E4D">
        <w:rPr>
          <w:szCs w:val="20"/>
          <w:lang w:val="en-US"/>
        </w:rPr>
        <w:t xml:space="preserve"> </w:t>
      </w:r>
      <w:r w:rsidRPr="00A50E4D">
        <w:rPr>
          <w:szCs w:val="20"/>
          <w:lang w:val="en-US"/>
        </w:rPr>
        <w:t xml:space="preserve">who had taken part in the dismissal rulings </w:t>
      </w:r>
      <w:r w:rsidR="005472DB" w:rsidRPr="00A50E4D">
        <w:rPr>
          <w:szCs w:val="20"/>
          <w:lang w:val="en-US"/>
        </w:rPr>
        <w:t>(</w:t>
      </w:r>
      <w:r w:rsidR="005472DB" w:rsidRPr="00A50E4D">
        <w:rPr>
          <w:i/>
          <w:szCs w:val="20"/>
          <w:lang w:val="en-US"/>
        </w:rPr>
        <w:t xml:space="preserve">supra </w:t>
      </w:r>
      <w:r w:rsidR="00AD5EE7" w:rsidRPr="00A50E4D">
        <w:rPr>
          <w:szCs w:val="20"/>
          <w:lang w:val="en-US"/>
        </w:rPr>
        <w:t>paras.</w:t>
      </w:r>
      <w:r w:rsidR="005472DB" w:rsidRPr="00A50E4D">
        <w:rPr>
          <w:szCs w:val="20"/>
          <w:lang w:val="en-US"/>
        </w:rPr>
        <w:t xml:space="preserve"> </w:t>
      </w:r>
      <w:r w:rsidR="005472DB" w:rsidRPr="00914F55">
        <w:rPr>
          <w:lang w:val="en-US"/>
        </w:rPr>
        <w:fldChar w:fldCharType="begin"/>
      </w:r>
      <w:r w:rsidR="005472DB" w:rsidRPr="00A50E4D">
        <w:rPr>
          <w:lang w:val="en-US"/>
        </w:rPr>
        <w:instrText xml:space="preserve"> REF _Ref427310976 \r \h  \* MERGEFORMAT </w:instrText>
      </w:r>
      <w:r w:rsidR="005472DB" w:rsidRPr="00914F55">
        <w:rPr>
          <w:lang w:val="en-US"/>
        </w:rPr>
      </w:r>
      <w:r w:rsidR="005472DB" w:rsidRPr="00914F55">
        <w:rPr>
          <w:lang w:val="en-US"/>
        </w:rPr>
        <w:fldChar w:fldCharType="separate"/>
      </w:r>
      <w:r w:rsidR="00547588" w:rsidRPr="00547588">
        <w:rPr>
          <w:szCs w:val="20"/>
          <w:lang w:val="en-US"/>
        </w:rPr>
        <w:t>79</w:t>
      </w:r>
      <w:r w:rsidR="005472DB" w:rsidRPr="00914F55">
        <w:rPr>
          <w:lang w:val="en-US"/>
        </w:rPr>
        <w:fldChar w:fldCharType="end"/>
      </w:r>
      <w:r w:rsidR="005472DB" w:rsidRPr="00A50E4D">
        <w:rPr>
          <w:szCs w:val="20"/>
          <w:lang w:val="en-US"/>
        </w:rPr>
        <w:t xml:space="preserve">, </w:t>
      </w:r>
      <w:r w:rsidR="005472DB" w:rsidRPr="00914F55">
        <w:rPr>
          <w:lang w:val="en-US"/>
        </w:rPr>
        <w:fldChar w:fldCharType="begin"/>
      </w:r>
      <w:r w:rsidR="005472DB" w:rsidRPr="00A50E4D">
        <w:rPr>
          <w:lang w:val="en-US"/>
        </w:rPr>
        <w:instrText xml:space="preserve"> REF _Ref427311017 \r \h  \* MERGEFORMAT </w:instrText>
      </w:r>
      <w:r w:rsidR="005472DB" w:rsidRPr="00914F55">
        <w:rPr>
          <w:lang w:val="en-US"/>
        </w:rPr>
      </w:r>
      <w:r w:rsidR="005472DB" w:rsidRPr="00914F55">
        <w:rPr>
          <w:lang w:val="en-US"/>
        </w:rPr>
        <w:fldChar w:fldCharType="separate"/>
      </w:r>
      <w:r w:rsidR="00547588" w:rsidRPr="00547588">
        <w:rPr>
          <w:szCs w:val="20"/>
          <w:lang w:val="en-US"/>
        </w:rPr>
        <w:t>96</w:t>
      </w:r>
      <w:r w:rsidR="005472DB" w:rsidRPr="00914F55">
        <w:rPr>
          <w:lang w:val="en-US"/>
        </w:rPr>
        <w:fldChar w:fldCharType="end"/>
      </w:r>
      <w:r w:rsidR="004C79D9" w:rsidRPr="00A50E4D">
        <w:rPr>
          <w:szCs w:val="20"/>
          <w:lang w:val="en-US"/>
        </w:rPr>
        <w:t xml:space="preserve"> to</w:t>
      </w:r>
      <w:r w:rsidR="005472DB" w:rsidRPr="00A50E4D">
        <w:rPr>
          <w:szCs w:val="20"/>
          <w:lang w:val="en-US"/>
        </w:rPr>
        <w:t xml:space="preserve"> </w:t>
      </w:r>
      <w:r w:rsidR="005472DB" w:rsidRPr="00914F55">
        <w:rPr>
          <w:lang w:val="en-US"/>
        </w:rPr>
        <w:fldChar w:fldCharType="begin"/>
      </w:r>
      <w:r w:rsidR="005472DB" w:rsidRPr="00A50E4D">
        <w:rPr>
          <w:lang w:val="en-US"/>
        </w:rPr>
        <w:instrText xml:space="preserve"> REF _Ref427311023 \r \h  \* MERGEFORMAT </w:instrText>
      </w:r>
      <w:r w:rsidR="005472DB" w:rsidRPr="00914F55">
        <w:rPr>
          <w:lang w:val="en-US"/>
        </w:rPr>
      </w:r>
      <w:r w:rsidR="005472DB" w:rsidRPr="00914F55">
        <w:rPr>
          <w:lang w:val="en-US"/>
        </w:rPr>
        <w:fldChar w:fldCharType="separate"/>
      </w:r>
      <w:r w:rsidR="00547588" w:rsidRPr="00547588">
        <w:rPr>
          <w:szCs w:val="20"/>
          <w:lang w:val="en-US"/>
        </w:rPr>
        <w:t>98</w:t>
      </w:r>
      <w:r w:rsidR="005472DB" w:rsidRPr="00914F55">
        <w:rPr>
          <w:lang w:val="en-US"/>
        </w:rPr>
        <w:fldChar w:fldCharType="end"/>
      </w:r>
      <w:r w:rsidR="005472DB" w:rsidRPr="00A50E4D">
        <w:rPr>
          <w:szCs w:val="20"/>
          <w:lang w:val="en-US"/>
        </w:rPr>
        <w:t xml:space="preserve">, </w:t>
      </w:r>
      <w:r w:rsidR="005472DB" w:rsidRPr="00914F55">
        <w:rPr>
          <w:lang w:val="en-US"/>
        </w:rPr>
        <w:fldChar w:fldCharType="begin"/>
      </w:r>
      <w:r w:rsidR="005472DB" w:rsidRPr="00A50E4D">
        <w:rPr>
          <w:lang w:val="en-US"/>
        </w:rPr>
        <w:instrText xml:space="preserve"> REF _Ref427311035 \r \h  \* MERGEFORMAT </w:instrText>
      </w:r>
      <w:r w:rsidR="005472DB" w:rsidRPr="00914F55">
        <w:rPr>
          <w:lang w:val="en-US"/>
        </w:rPr>
      </w:r>
      <w:r w:rsidR="005472DB" w:rsidRPr="00914F55">
        <w:rPr>
          <w:lang w:val="en-US"/>
        </w:rPr>
        <w:fldChar w:fldCharType="separate"/>
      </w:r>
      <w:r w:rsidR="00547588" w:rsidRPr="00547588">
        <w:rPr>
          <w:szCs w:val="20"/>
          <w:lang w:val="en-US"/>
        </w:rPr>
        <w:t>116</w:t>
      </w:r>
      <w:r w:rsidR="005472DB" w:rsidRPr="00914F55">
        <w:rPr>
          <w:lang w:val="en-US"/>
        </w:rPr>
        <w:fldChar w:fldCharType="end"/>
      </w:r>
      <w:r w:rsidR="004C79D9" w:rsidRPr="00A50E4D">
        <w:rPr>
          <w:szCs w:val="20"/>
          <w:lang w:val="en-US"/>
        </w:rPr>
        <w:t xml:space="preserve"> to</w:t>
      </w:r>
      <w:r w:rsidR="005472DB" w:rsidRPr="00A50E4D">
        <w:rPr>
          <w:szCs w:val="20"/>
          <w:lang w:val="en-US"/>
        </w:rPr>
        <w:t xml:space="preserve"> </w:t>
      </w:r>
      <w:r w:rsidR="005472DB" w:rsidRPr="00914F55">
        <w:rPr>
          <w:lang w:val="en-US"/>
        </w:rPr>
        <w:fldChar w:fldCharType="begin"/>
      </w:r>
      <w:r w:rsidR="005472DB" w:rsidRPr="00A50E4D">
        <w:rPr>
          <w:lang w:val="en-US"/>
        </w:rPr>
        <w:instrText xml:space="preserve"> REF _Ref424654736 \r \h  \* MERGEFORMAT </w:instrText>
      </w:r>
      <w:r w:rsidR="005472DB" w:rsidRPr="00914F55">
        <w:rPr>
          <w:lang w:val="en-US"/>
        </w:rPr>
      </w:r>
      <w:r w:rsidR="005472DB" w:rsidRPr="00914F55">
        <w:rPr>
          <w:lang w:val="en-US"/>
        </w:rPr>
        <w:fldChar w:fldCharType="separate"/>
      </w:r>
      <w:r w:rsidR="00547588" w:rsidRPr="00547588">
        <w:rPr>
          <w:szCs w:val="20"/>
          <w:lang w:val="en-US"/>
        </w:rPr>
        <w:t>117</w:t>
      </w:r>
      <w:r w:rsidR="005472DB" w:rsidRPr="00914F55">
        <w:rPr>
          <w:lang w:val="en-US"/>
        </w:rPr>
        <w:fldChar w:fldCharType="end"/>
      </w:r>
      <w:r w:rsidR="005472DB" w:rsidRPr="00A50E4D">
        <w:rPr>
          <w:szCs w:val="20"/>
          <w:lang w:val="en-US"/>
        </w:rPr>
        <w:t xml:space="preserve">, </w:t>
      </w:r>
      <w:r w:rsidR="005472DB" w:rsidRPr="00914F55">
        <w:rPr>
          <w:lang w:val="en-US"/>
        </w:rPr>
        <w:fldChar w:fldCharType="begin"/>
      </w:r>
      <w:r w:rsidR="005472DB" w:rsidRPr="00A50E4D">
        <w:rPr>
          <w:lang w:val="en-US"/>
        </w:rPr>
        <w:instrText xml:space="preserve"> REF _Ref424654739 \r \h  \* MERGEFORMAT </w:instrText>
      </w:r>
      <w:r w:rsidR="005472DB" w:rsidRPr="00914F55">
        <w:rPr>
          <w:lang w:val="en-US"/>
        </w:rPr>
      </w:r>
      <w:r w:rsidR="005472DB" w:rsidRPr="00914F55">
        <w:rPr>
          <w:lang w:val="en-US"/>
        </w:rPr>
        <w:fldChar w:fldCharType="separate"/>
      </w:r>
      <w:r w:rsidR="00547588" w:rsidRPr="00547588">
        <w:rPr>
          <w:szCs w:val="20"/>
          <w:lang w:val="en-US"/>
        </w:rPr>
        <w:t>133</w:t>
      </w:r>
      <w:r w:rsidR="005472DB" w:rsidRPr="00914F55">
        <w:rPr>
          <w:lang w:val="en-US"/>
        </w:rPr>
        <w:fldChar w:fldCharType="end"/>
      </w:r>
      <w:r w:rsidR="009808C5" w:rsidRPr="00A50E4D">
        <w:rPr>
          <w:b/>
          <w:szCs w:val="20"/>
          <w:lang w:val="en-US"/>
        </w:rPr>
        <w:t xml:space="preserve"> </w:t>
      </w:r>
      <w:r w:rsidR="009808C5" w:rsidRPr="00A50E4D">
        <w:rPr>
          <w:szCs w:val="20"/>
          <w:lang w:val="en-US"/>
        </w:rPr>
        <w:t xml:space="preserve">and </w:t>
      </w:r>
      <w:r w:rsidR="005472DB" w:rsidRPr="00914F55">
        <w:rPr>
          <w:lang w:val="en-US"/>
        </w:rPr>
        <w:fldChar w:fldCharType="begin"/>
      </w:r>
      <w:r w:rsidR="005472DB" w:rsidRPr="00A50E4D">
        <w:rPr>
          <w:lang w:val="en-US"/>
        </w:rPr>
        <w:instrText xml:space="preserve"> REF _Ref427311068 \r \h  \* MERGEFORMAT </w:instrText>
      </w:r>
      <w:r w:rsidR="005472DB" w:rsidRPr="00914F55">
        <w:rPr>
          <w:lang w:val="en-US"/>
        </w:rPr>
      </w:r>
      <w:r w:rsidR="005472DB" w:rsidRPr="00914F55">
        <w:rPr>
          <w:lang w:val="en-US"/>
        </w:rPr>
        <w:fldChar w:fldCharType="separate"/>
      </w:r>
      <w:r w:rsidR="00547588" w:rsidRPr="00547588">
        <w:rPr>
          <w:szCs w:val="20"/>
          <w:lang w:val="en-US"/>
        </w:rPr>
        <w:t>146</w:t>
      </w:r>
      <w:r w:rsidR="005472DB" w:rsidRPr="00914F55">
        <w:rPr>
          <w:lang w:val="en-US"/>
        </w:rPr>
        <w:fldChar w:fldCharType="end"/>
      </w:r>
      <w:r w:rsidR="005472DB" w:rsidRPr="00A50E4D">
        <w:rPr>
          <w:szCs w:val="20"/>
          <w:lang w:val="en-US"/>
        </w:rPr>
        <w:t xml:space="preserve">). </w:t>
      </w:r>
      <w:r w:rsidRPr="00A50E4D">
        <w:rPr>
          <w:szCs w:val="20"/>
          <w:lang w:val="en-US"/>
        </w:rPr>
        <w:t>However, it is unclear what norms or procedures were followed by the Presid</w:t>
      </w:r>
      <w:r w:rsidR="002E406E" w:rsidRPr="00A50E4D">
        <w:rPr>
          <w:szCs w:val="20"/>
          <w:lang w:val="en-US"/>
        </w:rPr>
        <w:t xml:space="preserve">ent of the Council to </w:t>
      </w:r>
      <w:r w:rsidRPr="00A50E4D">
        <w:rPr>
          <w:szCs w:val="20"/>
          <w:lang w:val="en-US"/>
        </w:rPr>
        <w:t>incorporate this organ, after most of its members had disqualified themselves.</w:t>
      </w:r>
      <w:r w:rsidR="002E406E" w:rsidRPr="00A50E4D">
        <w:rPr>
          <w:szCs w:val="20"/>
          <w:lang w:val="en-US"/>
        </w:rPr>
        <w:t xml:space="preserve"> The disciplinary files contain </w:t>
      </w:r>
      <w:r w:rsidRPr="00A50E4D">
        <w:rPr>
          <w:szCs w:val="20"/>
          <w:lang w:val="en-US"/>
        </w:rPr>
        <w:t xml:space="preserve">the </w:t>
      </w:r>
      <w:r w:rsidR="00D31673" w:rsidRPr="00A50E4D">
        <w:rPr>
          <w:szCs w:val="20"/>
          <w:lang w:val="en-US"/>
        </w:rPr>
        <w:t>disqualification</w:t>
      </w:r>
      <w:r w:rsidRPr="00A50E4D">
        <w:rPr>
          <w:szCs w:val="20"/>
          <w:lang w:val="en-US"/>
        </w:rPr>
        <w:t>s and</w:t>
      </w:r>
      <w:r w:rsidR="002E406E" w:rsidRPr="00A50E4D">
        <w:rPr>
          <w:szCs w:val="20"/>
          <w:lang w:val="en-US"/>
        </w:rPr>
        <w:t xml:space="preserve"> also</w:t>
      </w:r>
      <w:r w:rsidRPr="00A50E4D">
        <w:rPr>
          <w:szCs w:val="20"/>
          <w:lang w:val="en-US"/>
        </w:rPr>
        <w:t xml:space="preserve"> the appointments of the new members of the Judicial Service Council. These appointments were apparently notified to the presumed victims by means of</w:t>
      </w:r>
      <w:r w:rsidR="005472DB" w:rsidRPr="00A50E4D">
        <w:rPr>
          <w:szCs w:val="20"/>
          <w:lang w:val="en-US"/>
        </w:rPr>
        <w:t xml:space="preserve"> “</w:t>
      </w:r>
      <w:r w:rsidR="0011240C" w:rsidRPr="00A50E4D">
        <w:rPr>
          <w:szCs w:val="20"/>
          <w:lang w:val="en-US"/>
        </w:rPr>
        <w:t>notice boards” [</w:t>
      </w:r>
      <w:r w:rsidR="005472DB" w:rsidRPr="00A50E4D">
        <w:rPr>
          <w:i/>
          <w:szCs w:val="20"/>
          <w:lang w:val="en-US"/>
        </w:rPr>
        <w:t>tablas de aviso</w:t>
      </w:r>
      <w:r w:rsidR="0011240C" w:rsidRPr="00A50E4D">
        <w:rPr>
          <w:szCs w:val="20"/>
          <w:lang w:val="en-US"/>
        </w:rPr>
        <w:t>]</w:t>
      </w:r>
      <w:r w:rsidRPr="00A50E4D">
        <w:rPr>
          <w:szCs w:val="20"/>
          <w:lang w:val="en-US"/>
        </w:rPr>
        <w:t>.</w:t>
      </w:r>
      <w:r w:rsidR="005472DB" w:rsidRPr="00A50E4D">
        <w:rPr>
          <w:rStyle w:val="FootnoteReference"/>
          <w:sz w:val="20"/>
          <w:szCs w:val="20"/>
          <w:lang w:val="en-US"/>
        </w:rPr>
        <w:footnoteReference w:id="387"/>
      </w:r>
      <w:r w:rsidRPr="00A50E4D">
        <w:rPr>
          <w:szCs w:val="20"/>
          <w:lang w:val="en-US"/>
        </w:rPr>
        <w:t xml:space="preserve"> According to the decisions </w:t>
      </w:r>
      <w:r w:rsidR="006A756C" w:rsidRPr="00A50E4D">
        <w:rPr>
          <w:szCs w:val="20"/>
          <w:lang w:val="en-US"/>
        </w:rPr>
        <w:t>of the Judicial Service Council</w:t>
      </w:r>
      <w:r w:rsidR="005472DB" w:rsidRPr="00A50E4D">
        <w:rPr>
          <w:szCs w:val="20"/>
          <w:lang w:val="en-US"/>
        </w:rPr>
        <w:t xml:space="preserve">, </w:t>
      </w:r>
      <w:r w:rsidR="002E406E" w:rsidRPr="00A50E4D">
        <w:rPr>
          <w:szCs w:val="20"/>
          <w:lang w:val="en-US"/>
        </w:rPr>
        <w:t>the</w:t>
      </w:r>
      <w:r w:rsidRPr="00A50E4D">
        <w:rPr>
          <w:szCs w:val="20"/>
          <w:lang w:val="en-US"/>
        </w:rPr>
        <w:t xml:space="preserve"> acts appointing new members of the Council were considered to be merely procedural </w:t>
      </w:r>
      <w:r w:rsidR="002E406E" w:rsidRPr="00A50E4D">
        <w:rPr>
          <w:szCs w:val="20"/>
          <w:lang w:val="en-US"/>
        </w:rPr>
        <w:t xml:space="preserve">in </w:t>
      </w:r>
      <w:r w:rsidRPr="00A50E4D">
        <w:rPr>
          <w:szCs w:val="20"/>
          <w:lang w:val="en-US"/>
        </w:rPr>
        <w:t xml:space="preserve">nature, so that they could be </w:t>
      </w:r>
      <w:r w:rsidR="000A786A" w:rsidRPr="00A50E4D">
        <w:rPr>
          <w:szCs w:val="20"/>
          <w:lang w:val="en-US"/>
        </w:rPr>
        <w:t>notified</w:t>
      </w:r>
      <w:r w:rsidRPr="00A50E4D">
        <w:rPr>
          <w:szCs w:val="20"/>
          <w:lang w:val="en-US"/>
        </w:rPr>
        <w:t xml:space="preserve"> by this </w:t>
      </w:r>
      <w:r w:rsidR="0011240C" w:rsidRPr="00A50E4D">
        <w:rPr>
          <w:szCs w:val="20"/>
          <w:lang w:val="en-US"/>
        </w:rPr>
        <w:t>“notice board” mechanism</w:t>
      </w:r>
      <w:r w:rsidRPr="00A50E4D">
        <w:rPr>
          <w:szCs w:val="20"/>
          <w:lang w:val="en-US"/>
        </w:rPr>
        <w:t>.</w:t>
      </w:r>
      <w:r w:rsidR="005472DB" w:rsidRPr="00A50E4D">
        <w:rPr>
          <w:rStyle w:val="FootnoteReference"/>
          <w:sz w:val="20"/>
          <w:szCs w:val="20"/>
          <w:lang w:val="en-US"/>
        </w:rPr>
        <w:footnoteReference w:id="388"/>
      </w:r>
      <w:r w:rsidR="005472DB" w:rsidRPr="00A50E4D">
        <w:rPr>
          <w:szCs w:val="20"/>
          <w:lang w:val="en-US"/>
        </w:rPr>
        <w:t xml:space="preserve"> </w:t>
      </w:r>
      <w:r w:rsidR="009808C5" w:rsidRPr="00A50E4D">
        <w:rPr>
          <w:szCs w:val="20"/>
          <w:lang w:val="en-US"/>
        </w:rPr>
        <w:t>The Court</w:t>
      </w:r>
      <w:r w:rsidRPr="00A50E4D">
        <w:rPr>
          <w:szCs w:val="20"/>
          <w:lang w:val="en-US"/>
        </w:rPr>
        <w:t xml:space="preserve"> </w:t>
      </w:r>
      <w:r w:rsidR="002E406E" w:rsidRPr="00A50E4D">
        <w:rPr>
          <w:szCs w:val="20"/>
          <w:lang w:val="en-US"/>
        </w:rPr>
        <w:t>observes that, regardless of the</w:t>
      </w:r>
      <w:r w:rsidRPr="00A50E4D">
        <w:rPr>
          <w:szCs w:val="20"/>
          <w:lang w:val="en-US"/>
        </w:rPr>
        <w:t xml:space="preserve"> nature of these appointments </w:t>
      </w:r>
      <w:r w:rsidR="002E406E" w:rsidRPr="00A50E4D">
        <w:rPr>
          <w:szCs w:val="20"/>
          <w:lang w:val="en-US"/>
        </w:rPr>
        <w:t>as merely procedural, the norms and</w:t>
      </w:r>
      <w:r w:rsidRPr="00A50E4D">
        <w:rPr>
          <w:szCs w:val="20"/>
          <w:lang w:val="en-US"/>
        </w:rPr>
        <w:t xml:space="preserve"> selection procedure </w:t>
      </w:r>
      <w:r w:rsidR="002E406E" w:rsidRPr="00A50E4D">
        <w:rPr>
          <w:szCs w:val="20"/>
          <w:lang w:val="en-US"/>
        </w:rPr>
        <w:t xml:space="preserve">used, </w:t>
      </w:r>
      <w:r w:rsidRPr="00A50E4D">
        <w:rPr>
          <w:szCs w:val="20"/>
          <w:lang w:val="en-US"/>
        </w:rPr>
        <w:t>and</w:t>
      </w:r>
      <w:r w:rsidR="002E406E" w:rsidRPr="00A50E4D">
        <w:rPr>
          <w:szCs w:val="20"/>
          <w:lang w:val="en-US"/>
        </w:rPr>
        <w:t xml:space="preserve"> the</w:t>
      </w:r>
      <w:r w:rsidRPr="00A50E4D">
        <w:rPr>
          <w:szCs w:val="20"/>
          <w:lang w:val="en-US"/>
        </w:rPr>
        <w:t xml:space="preserve"> final composition of the Judicial Service Council are unclea</w:t>
      </w:r>
      <w:r w:rsidR="002E406E" w:rsidRPr="00A50E4D">
        <w:rPr>
          <w:szCs w:val="20"/>
          <w:lang w:val="en-US"/>
        </w:rPr>
        <w:t>r from t</w:t>
      </w:r>
      <w:r w:rsidR="008B170A" w:rsidRPr="00A50E4D">
        <w:rPr>
          <w:szCs w:val="20"/>
          <w:lang w:val="en-US"/>
        </w:rPr>
        <w:t>he files. The records on</w:t>
      </w:r>
      <w:r w:rsidRPr="00A50E4D">
        <w:rPr>
          <w:szCs w:val="20"/>
          <w:lang w:val="en-US"/>
        </w:rPr>
        <w:t xml:space="preserve"> the appointment of those who finally incorporated the Council do not reveal the position or office of these persons in the Judiciary or the Public Prosecution Service, if applicable, or the criteria or procedures that the lawful President of the Council used to select them. This situation prevented the presumed victims from being able to assess their suitability and competence, and to determine if there were grounds for recusal, in order to be able to exercise their right of defense.</w:t>
      </w:r>
    </w:p>
    <w:p w14:paraId="70AD6A16" w14:textId="77777777" w:rsidR="005472DB" w:rsidRPr="00A50E4D" w:rsidRDefault="005472DB" w:rsidP="005472DB">
      <w:pPr>
        <w:rPr>
          <w:spacing w:val="-4"/>
          <w:szCs w:val="20"/>
          <w:lang w:val="en-US"/>
        </w:rPr>
      </w:pPr>
    </w:p>
    <w:p w14:paraId="47CBD0BE" w14:textId="71DDAC70" w:rsidR="005472DB" w:rsidRPr="00A50E4D" w:rsidRDefault="00A11DF4" w:rsidP="00A11DF4">
      <w:pPr>
        <w:pStyle w:val="PrrafodeSentencia"/>
        <w:rPr>
          <w:szCs w:val="20"/>
          <w:lang w:val="en-US"/>
        </w:rPr>
      </w:pPr>
      <w:r w:rsidRPr="00A50E4D">
        <w:rPr>
          <w:szCs w:val="20"/>
          <w:lang w:val="en-US"/>
        </w:rPr>
        <w:t xml:space="preserve">In this regard, it should be pointed out that the mechanism of recusal has a dual purpose: on the one hand it acts as a guarantee for the parties to the proceedings and, on the other hand, it seeks to grant credibility to the functions of the jurisdiction. Indeed, recusal gives the </w:t>
      </w:r>
      <w:r w:rsidR="000A786A" w:rsidRPr="00A50E4D">
        <w:rPr>
          <w:szCs w:val="20"/>
          <w:lang w:val="en-US"/>
        </w:rPr>
        <w:t>parties</w:t>
      </w:r>
      <w:r w:rsidRPr="00A50E4D">
        <w:rPr>
          <w:szCs w:val="20"/>
          <w:lang w:val="en-US"/>
        </w:rPr>
        <w:t xml:space="preserve"> the right to call for the separation of a judge when, above and beyond the personal conduct of the judge questioned, demonstrable fac</w:t>
      </w:r>
      <w:r w:rsidR="008B170A" w:rsidRPr="00A50E4D">
        <w:rPr>
          <w:szCs w:val="20"/>
          <w:lang w:val="en-US"/>
        </w:rPr>
        <w:t>ts or convincing evidence exist</w:t>
      </w:r>
      <w:r w:rsidRPr="00A50E4D">
        <w:rPr>
          <w:szCs w:val="20"/>
          <w:lang w:val="en-US"/>
        </w:rPr>
        <w:t xml:space="preserve"> that give rise to well-founded fears or legitimate suspicion</w:t>
      </w:r>
      <w:r w:rsidR="008B170A" w:rsidRPr="00A50E4D">
        <w:rPr>
          <w:szCs w:val="20"/>
          <w:lang w:val="en-US"/>
        </w:rPr>
        <w:t>s</w:t>
      </w:r>
      <w:r w:rsidRPr="00A50E4D">
        <w:rPr>
          <w:szCs w:val="20"/>
          <w:lang w:val="en-US"/>
        </w:rPr>
        <w:t xml:space="preserve"> of his </w:t>
      </w:r>
      <w:r w:rsidR="008B170A" w:rsidRPr="00A50E4D">
        <w:rPr>
          <w:szCs w:val="20"/>
          <w:lang w:val="en-US"/>
        </w:rPr>
        <w:t>lack of impartiality,</w:t>
      </w:r>
      <w:r w:rsidRPr="00A50E4D">
        <w:rPr>
          <w:szCs w:val="20"/>
          <w:lang w:val="en-US"/>
        </w:rPr>
        <w:t xml:space="preserve"> thus leading to his decision being seen as motivated by reasons above and beyond the law and that, consequently, the funct</w:t>
      </w:r>
      <w:r w:rsidR="008B170A" w:rsidRPr="00A50E4D">
        <w:rPr>
          <w:szCs w:val="20"/>
          <w:lang w:val="en-US"/>
        </w:rPr>
        <w:t xml:space="preserve">ioning of the </w:t>
      </w:r>
      <w:r w:rsidR="008B170A" w:rsidRPr="00A50E4D">
        <w:rPr>
          <w:szCs w:val="20"/>
          <w:lang w:val="en-US"/>
        </w:rPr>
        <w:lastRenderedPageBreak/>
        <w:t>judicial system is</w:t>
      </w:r>
      <w:r w:rsidRPr="00A50E4D">
        <w:rPr>
          <w:szCs w:val="20"/>
          <w:lang w:val="en-US"/>
        </w:rPr>
        <w:t xml:space="preserve"> </w:t>
      </w:r>
      <w:r w:rsidR="008B170A" w:rsidRPr="00A50E4D">
        <w:rPr>
          <w:szCs w:val="20"/>
          <w:lang w:val="en-US"/>
        </w:rPr>
        <w:t>perverted</w:t>
      </w:r>
      <w:r w:rsidRPr="00A50E4D">
        <w:rPr>
          <w:szCs w:val="20"/>
          <w:lang w:val="en-US"/>
        </w:rPr>
        <w:t xml:space="preserve">. Recusal should not necessarily </w:t>
      </w:r>
      <w:r w:rsidR="008B170A" w:rsidRPr="00A50E4D">
        <w:rPr>
          <w:szCs w:val="20"/>
          <w:lang w:val="en-US"/>
        </w:rPr>
        <w:t>be seen as a judgment on</w:t>
      </w:r>
      <w:r w:rsidRPr="00A50E4D">
        <w:rPr>
          <w:szCs w:val="20"/>
          <w:lang w:val="en-US"/>
        </w:rPr>
        <w:t xml:space="preserve"> the moral rectitude of the official recused, bu</w:t>
      </w:r>
      <w:r w:rsidR="008B170A" w:rsidRPr="00A50E4D">
        <w:rPr>
          <w:szCs w:val="20"/>
          <w:lang w:val="en-US"/>
        </w:rPr>
        <w:t>t rather as a tool that inspires</w:t>
      </w:r>
      <w:r w:rsidRPr="00A50E4D">
        <w:rPr>
          <w:szCs w:val="20"/>
          <w:lang w:val="en-US"/>
        </w:rPr>
        <w:t xml:space="preserve"> confidence in those who </w:t>
      </w:r>
      <w:r w:rsidR="008B170A" w:rsidRPr="00A50E4D">
        <w:rPr>
          <w:szCs w:val="20"/>
          <w:lang w:val="en-US"/>
        </w:rPr>
        <w:t>have recourse</w:t>
      </w:r>
      <w:r w:rsidRPr="00A50E4D">
        <w:rPr>
          <w:szCs w:val="20"/>
          <w:lang w:val="en-US"/>
        </w:rPr>
        <w:t xml:space="preserve"> to the State requiring the intervention of organs that must be</w:t>
      </w:r>
      <w:r w:rsidR="008B170A" w:rsidRPr="00A50E4D">
        <w:rPr>
          <w:szCs w:val="20"/>
          <w:lang w:val="en-US"/>
        </w:rPr>
        <w:t>,</w:t>
      </w:r>
      <w:r w:rsidRPr="00A50E4D">
        <w:rPr>
          <w:szCs w:val="20"/>
          <w:lang w:val="en-US"/>
        </w:rPr>
        <w:t xml:space="preserve"> and seem to be</w:t>
      </w:r>
      <w:r w:rsidR="008B170A" w:rsidRPr="00A50E4D">
        <w:rPr>
          <w:szCs w:val="20"/>
          <w:lang w:val="en-US"/>
        </w:rPr>
        <w:t>,</w:t>
      </w:r>
      <w:r w:rsidRPr="00A50E4D">
        <w:rPr>
          <w:szCs w:val="20"/>
          <w:lang w:val="en-US"/>
        </w:rPr>
        <w:t xml:space="preserve"> impartial.</w:t>
      </w:r>
      <w:r w:rsidR="005472DB" w:rsidRPr="00A50E4D">
        <w:rPr>
          <w:rStyle w:val="FootnoteReference"/>
          <w:sz w:val="20"/>
          <w:szCs w:val="20"/>
          <w:lang w:val="en-US"/>
        </w:rPr>
        <w:footnoteReference w:id="389"/>
      </w:r>
    </w:p>
    <w:p w14:paraId="7113E183" w14:textId="77777777" w:rsidR="005472DB" w:rsidRPr="00A50E4D" w:rsidRDefault="005472DB" w:rsidP="005472DB">
      <w:pPr>
        <w:pStyle w:val="PrrafodeSentencia"/>
        <w:numPr>
          <w:ilvl w:val="0"/>
          <w:numId w:val="0"/>
        </w:numPr>
        <w:tabs>
          <w:tab w:val="clear" w:pos="567"/>
          <w:tab w:val="left" w:pos="2149"/>
        </w:tabs>
        <w:rPr>
          <w:szCs w:val="20"/>
          <w:lang w:val="en-US"/>
        </w:rPr>
      </w:pPr>
      <w:r w:rsidRPr="00A50E4D">
        <w:rPr>
          <w:szCs w:val="20"/>
          <w:lang w:val="en-US"/>
        </w:rPr>
        <w:tab/>
      </w:r>
    </w:p>
    <w:p w14:paraId="22BF4C49" w14:textId="17217FCC" w:rsidR="005472DB" w:rsidRPr="00A50E4D" w:rsidRDefault="0011240C" w:rsidP="005472DB">
      <w:pPr>
        <w:pStyle w:val="PrrafodeSentencia"/>
        <w:rPr>
          <w:szCs w:val="20"/>
          <w:lang w:val="en-US"/>
        </w:rPr>
      </w:pPr>
      <w:r w:rsidRPr="00A50E4D">
        <w:rPr>
          <w:szCs w:val="20"/>
          <w:lang w:val="en-US"/>
        </w:rPr>
        <w:t xml:space="preserve">Thus, recusal is a procedural instrument designed to protect the right to be tried by an impartial organ and </w:t>
      </w:r>
      <w:r w:rsidR="008B170A" w:rsidRPr="00A50E4D">
        <w:rPr>
          <w:szCs w:val="20"/>
          <w:lang w:val="en-US"/>
        </w:rPr>
        <w:t>does not constitute or define</w:t>
      </w:r>
      <w:r w:rsidRPr="00A50E4D">
        <w:rPr>
          <w:szCs w:val="20"/>
          <w:lang w:val="en-US"/>
        </w:rPr>
        <w:t xml:space="preserve"> that right. In other words, a judge who cannot be recused is not necessarily </w:t>
      </w:r>
      <w:r w:rsidR="008B170A" w:rsidRPr="00A50E4D">
        <w:rPr>
          <w:szCs w:val="20"/>
          <w:lang w:val="en-US"/>
        </w:rPr>
        <w:t>biased – or will act in a</w:t>
      </w:r>
      <w:r w:rsidRPr="00A50E4D">
        <w:rPr>
          <w:szCs w:val="20"/>
          <w:lang w:val="en-US"/>
        </w:rPr>
        <w:t xml:space="preserve"> </w:t>
      </w:r>
      <w:r w:rsidR="008B170A" w:rsidRPr="00A50E4D">
        <w:rPr>
          <w:szCs w:val="20"/>
          <w:lang w:val="en-US"/>
        </w:rPr>
        <w:t>biased manner</w:t>
      </w:r>
      <w:r w:rsidRPr="00A50E4D">
        <w:rPr>
          <w:szCs w:val="20"/>
          <w:lang w:val="en-US"/>
        </w:rPr>
        <w:t>; in the same way that a judge who can be recused is not necessarily impartial – or will act</w:t>
      </w:r>
      <w:r w:rsidR="008B170A" w:rsidRPr="00A50E4D">
        <w:rPr>
          <w:szCs w:val="20"/>
          <w:lang w:val="en-US"/>
        </w:rPr>
        <w:t xml:space="preserve"> in an impartial manner</w:t>
      </w:r>
      <w:r w:rsidRPr="00A50E4D">
        <w:rPr>
          <w:szCs w:val="20"/>
          <w:lang w:val="en-US"/>
        </w:rPr>
        <w:t>.</w:t>
      </w:r>
      <w:r w:rsidR="005472DB" w:rsidRPr="00A50E4D">
        <w:rPr>
          <w:rStyle w:val="FootnoteReference"/>
          <w:sz w:val="20"/>
          <w:szCs w:val="20"/>
          <w:lang w:val="en-US"/>
        </w:rPr>
        <w:footnoteReference w:id="390"/>
      </w:r>
    </w:p>
    <w:p w14:paraId="1FDE635D" w14:textId="77777777" w:rsidR="005472DB" w:rsidRPr="00A50E4D" w:rsidRDefault="005472DB" w:rsidP="005472DB">
      <w:pPr>
        <w:pStyle w:val="PrrafodeSentencia"/>
        <w:numPr>
          <w:ilvl w:val="0"/>
          <w:numId w:val="0"/>
        </w:numPr>
        <w:rPr>
          <w:szCs w:val="20"/>
          <w:lang w:val="en-US"/>
        </w:rPr>
      </w:pPr>
    </w:p>
    <w:p w14:paraId="2DE18B12" w14:textId="46CDF6F5" w:rsidR="0011240C" w:rsidRPr="00A50E4D" w:rsidRDefault="0011240C" w:rsidP="005472DB">
      <w:pPr>
        <w:pStyle w:val="PrrafodeSentencia"/>
        <w:rPr>
          <w:szCs w:val="20"/>
          <w:lang w:val="en-US"/>
        </w:rPr>
      </w:pPr>
      <w:r w:rsidRPr="00A50E4D">
        <w:rPr>
          <w:szCs w:val="20"/>
          <w:lang w:val="en-US"/>
        </w:rPr>
        <w:t xml:space="preserve">In this case, the State has argued that impartiality was ensured in </w:t>
      </w:r>
      <w:r w:rsidR="00277E12" w:rsidRPr="00A50E4D">
        <w:rPr>
          <w:szCs w:val="20"/>
          <w:lang w:val="en-US"/>
        </w:rPr>
        <w:t>the disciplinary proceedings</w:t>
      </w:r>
      <w:r w:rsidR="005472DB" w:rsidRPr="00A50E4D">
        <w:rPr>
          <w:szCs w:val="20"/>
          <w:lang w:val="en-US"/>
        </w:rPr>
        <w:t xml:space="preserve">, </w:t>
      </w:r>
      <w:r w:rsidRPr="00A50E4D">
        <w:rPr>
          <w:szCs w:val="20"/>
          <w:lang w:val="en-US"/>
        </w:rPr>
        <w:t xml:space="preserve">because those permanent or </w:t>
      </w:r>
      <w:r w:rsidR="00DC3FD7" w:rsidRPr="00A50E4D">
        <w:rPr>
          <w:szCs w:val="20"/>
          <w:lang w:val="en-US"/>
        </w:rPr>
        <w:t>substitute member</w:t>
      </w:r>
      <w:r w:rsidRPr="00A50E4D">
        <w:rPr>
          <w:szCs w:val="20"/>
          <w:lang w:val="en-US"/>
        </w:rPr>
        <w:t xml:space="preserve">s of the Council who could have </w:t>
      </w:r>
      <w:r w:rsidR="00F41EA1" w:rsidRPr="00A50E4D">
        <w:rPr>
          <w:szCs w:val="20"/>
          <w:lang w:val="en-US"/>
        </w:rPr>
        <w:t>jeopardized</w:t>
      </w:r>
      <w:r w:rsidRPr="00A50E4D">
        <w:rPr>
          <w:szCs w:val="20"/>
          <w:lang w:val="en-US"/>
        </w:rPr>
        <w:t xml:space="preserve"> this impartiality </w:t>
      </w:r>
      <w:r w:rsidR="000A786A" w:rsidRPr="00A50E4D">
        <w:rPr>
          <w:szCs w:val="20"/>
          <w:lang w:val="en-US"/>
        </w:rPr>
        <w:t>disqualified</w:t>
      </w:r>
      <w:r w:rsidRPr="00A50E4D">
        <w:rPr>
          <w:szCs w:val="20"/>
          <w:lang w:val="en-US"/>
        </w:rPr>
        <w:t xml:space="preserve"> themselves, and </w:t>
      </w:r>
      <w:r w:rsidR="00DC3FD7" w:rsidRPr="00A50E4D">
        <w:rPr>
          <w:szCs w:val="20"/>
          <w:lang w:val="en-US"/>
        </w:rPr>
        <w:t>substitute member</w:t>
      </w:r>
      <w:r w:rsidRPr="00A50E4D">
        <w:rPr>
          <w:szCs w:val="20"/>
          <w:lang w:val="en-US"/>
        </w:rPr>
        <w:t>s were appointed to replace them (</w:t>
      </w:r>
      <w:r w:rsidRPr="00A50E4D">
        <w:rPr>
          <w:i/>
          <w:szCs w:val="20"/>
          <w:lang w:val="en-US"/>
        </w:rPr>
        <w:t>supra</w:t>
      </w:r>
      <w:r w:rsidRPr="00A50E4D">
        <w:rPr>
          <w:szCs w:val="20"/>
          <w:lang w:val="en-US"/>
        </w:rPr>
        <w:t xml:space="preserve"> para. </w:t>
      </w:r>
      <w:r w:rsidRPr="00914F55">
        <w:rPr>
          <w:lang w:val="en-US"/>
        </w:rPr>
        <w:fldChar w:fldCharType="begin"/>
      </w:r>
      <w:r w:rsidRPr="00A50E4D">
        <w:rPr>
          <w:lang w:val="en-US"/>
        </w:rPr>
        <w:instrText xml:space="preserve"> REF _Ref424649494 \r \h  \* MERGEFORMAT </w:instrText>
      </w:r>
      <w:r w:rsidRPr="00914F55">
        <w:rPr>
          <w:lang w:val="en-US"/>
        </w:rPr>
      </w:r>
      <w:r w:rsidRPr="00914F55">
        <w:rPr>
          <w:lang w:val="en-US"/>
        </w:rPr>
        <w:fldChar w:fldCharType="separate"/>
      </w:r>
      <w:r w:rsidR="00547588" w:rsidRPr="00547588">
        <w:rPr>
          <w:szCs w:val="20"/>
          <w:lang w:val="en-US"/>
        </w:rPr>
        <w:t>99</w:t>
      </w:r>
      <w:r w:rsidRPr="00914F55">
        <w:rPr>
          <w:lang w:val="en-US"/>
        </w:rPr>
        <w:fldChar w:fldCharType="end"/>
      </w:r>
      <w:r w:rsidRPr="00A50E4D">
        <w:rPr>
          <w:szCs w:val="20"/>
          <w:lang w:val="en-US"/>
        </w:rPr>
        <w:t>). Nevertheless, the Court considers that, e</w:t>
      </w:r>
      <w:r w:rsidR="00F41EA1" w:rsidRPr="00A50E4D">
        <w:rPr>
          <w:szCs w:val="20"/>
          <w:lang w:val="en-US"/>
        </w:rPr>
        <w:t>ven when domestic law allows thi</w:t>
      </w:r>
      <w:r w:rsidRPr="00A50E4D">
        <w:rPr>
          <w:szCs w:val="20"/>
          <w:lang w:val="en-US"/>
        </w:rPr>
        <w:t xml:space="preserve">s, </w:t>
      </w:r>
      <w:r w:rsidR="00F41EA1" w:rsidRPr="00A50E4D">
        <w:rPr>
          <w:szCs w:val="20"/>
          <w:lang w:val="en-US"/>
        </w:rPr>
        <w:t xml:space="preserve">such </w:t>
      </w:r>
      <w:r w:rsidRPr="00A50E4D">
        <w:rPr>
          <w:szCs w:val="20"/>
          <w:lang w:val="en-US"/>
        </w:rPr>
        <w:t>disqualification</w:t>
      </w:r>
      <w:r w:rsidR="00F41EA1" w:rsidRPr="00A50E4D">
        <w:rPr>
          <w:szCs w:val="20"/>
          <w:lang w:val="en-US"/>
        </w:rPr>
        <w:t>s are</w:t>
      </w:r>
      <w:r w:rsidRPr="00A50E4D">
        <w:rPr>
          <w:szCs w:val="20"/>
          <w:lang w:val="en-US"/>
        </w:rPr>
        <w:t xml:space="preserve"> not sufficient to ensure the impartiality of the prosecuting </w:t>
      </w:r>
      <w:r w:rsidR="00F41EA1" w:rsidRPr="00A50E4D">
        <w:rPr>
          <w:szCs w:val="20"/>
          <w:lang w:val="en-US"/>
        </w:rPr>
        <w:t>body</w:t>
      </w:r>
      <w:r w:rsidRPr="00A50E4D">
        <w:rPr>
          <w:szCs w:val="20"/>
          <w:lang w:val="en-US"/>
        </w:rPr>
        <w:t xml:space="preserve">, because it is necessary to prove that the </w:t>
      </w:r>
      <w:r w:rsidR="00F41EA1" w:rsidRPr="00A50E4D">
        <w:rPr>
          <w:szCs w:val="20"/>
          <w:lang w:val="en-US"/>
        </w:rPr>
        <w:t>defendant</w:t>
      </w:r>
      <w:r w:rsidRPr="00A50E4D">
        <w:rPr>
          <w:szCs w:val="20"/>
          <w:lang w:val="en-US"/>
        </w:rPr>
        <w:t xml:space="preserve"> is able to question the s</w:t>
      </w:r>
      <w:r w:rsidR="00F41EA1" w:rsidRPr="00A50E4D">
        <w:rPr>
          <w:szCs w:val="20"/>
          <w:lang w:val="en-US"/>
        </w:rPr>
        <w:t>uitability and competence of a</w:t>
      </w:r>
      <w:r w:rsidRPr="00A50E4D">
        <w:rPr>
          <w:szCs w:val="20"/>
          <w:lang w:val="en-US"/>
        </w:rPr>
        <w:t xml:space="preserve"> judge who</w:t>
      </w:r>
      <w:r w:rsidR="00F41EA1" w:rsidRPr="00A50E4D">
        <w:rPr>
          <w:szCs w:val="20"/>
          <w:lang w:val="en-US"/>
        </w:rPr>
        <w:t>,</w:t>
      </w:r>
      <w:r w:rsidRPr="00A50E4D">
        <w:rPr>
          <w:szCs w:val="20"/>
          <w:lang w:val="en-US"/>
        </w:rPr>
        <w:t xml:space="preserve"> although he should have disqualified himself, did not do so. </w:t>
      </w:r>
    </w:p>
    <w:p w14:paraId="7CA84B7A" w14:textId="77777777" w:rsidR="005472DB" w:rsidRPr="00A50E4D" w:rsidRDefault="005472DB" w:rsidP="005472DB">
      <w:pPr>
        <w:pStyle w:val="PrrafodeSentencia"/>
        <w:numPr>
          <w:ilvl w:val="0"/>
          <w:numId w:val="0"/>
        </w:numPr>
        <w:rPr>
          <w:szCs w:val="20"/>
          <w:lang w:val="en-US"/>
        </w:rPr>
      </w:pPr>
    </w:p>
    <w:p w14:paraId="5F649349" w14:textId="00E31851" w:rsidR="005472DB" w:rsidRPr="00A50E4D" w:rsidRDefault="0011240C" w:rsidP="0011240C">
      <w:pPr>
        <w:pStyle w:val="PrrafodeSentencia"/>
        <w:rPr>
          <w:i/>
          <w:iCs/>
          <w:szCs w:val="20"/>
          <w:lang w:val="en-US"/>
        </w:rPr>
      </w:pPr>
      <w:r w:rsidRPr="00A50E4D">
        <w:rPr>
          <w:szCs w:val="20"/>
          <w:lang w:val="en-US"/>
        </w:rPr>
        <w:t xml:space="preserve">In its </w:t>
      </w:r>
      <w:r w:rsidR="000A786A" w:rsidRPr="00A50E4D">
        <w:rPr>
          <w:szCs w:val="20"/>
          <w:lang w:val="en-US"/>
        </w:rPr>
        <w:t>decision</w:t>
      </w:r>
      <w:r w:rsidRPr="00A50E4D">
        <w:rPr>
          <w:szCs w:val="20"/>
          <w:lang w:val="en-US"/>
        </w:rPr>
        <w:t>, t</w:t>
      </w:r>
      <w:r w:rsidR="006A756C" w:rsidRPr="00A50E4D">
        <w:rPr>
          <w:szCs w:val="20"/>
          <w:lang w:val="en-US"/>
        </w:rPr>
        <w:t>he Judicial Service Council</w:t>
      </w:r>
      <w:r w:rsidR="005472DB" w:rsidRPr="00A50E4D">
        <w:rPr>
          <w:szCs w:val="20"/>
          <w:lang w:val="en-US"/>
        </w:rPr>
        <w:t xml:space="preserve"> </w:t>
      </w:r>
      <w:r w:rsidRPr="00A50E4D">
        <w:rPr>
          <w:szCs w:val="20"/>
          <w:lang w:val="en-US"/>
        </w:rPr>
        <w:t xml:space="preserve">indicated that the substitute members of the Council appointed by its President were “officials who had not intervened in any of the decisions issued by the Supreme Court of Justice in its rulings against the </w:t>
      </w:r>
      <w:r w:rsidR="00F41EA1" w:rsidRPr="00A50E4D">
        <w:rPr>
          <w:szCs w:val="20"/>
          <w:lang w:val="en-US"/>
        </w:rPr>
        <w:t>appellants</w:t>
      </w:r>
      <w:r w:rsidRPr="00A50E4D">
        <w:rPr>
          <w:szCs w:val="20"/>
          <w:lang w:val="en-US"/>
        </w:rPr>
        <w:t xml:space="preserve">, in order to ensure […] impartiality and objectivity in the case submitted to its consideration.” It also asserted that they were “officials who </w:t>
      </w:r>
      <w:r w:rsidR="00F41EA1" w:rsidRPr="00A50E4D">
        <w:rPr>
          <w:szCs w:val="20"/>
          <w:lang w:val="en-US"/>
        </w:rPr>
        <w:t>had entered</w:t>
      </w:r>
      <w:r w:rsidRPr="00A50E4D">
        <w:rPr>
          <w:szCs w:val="20"/>
          <w:lang w:val="en-US"/>
        </w:rPr>
        <w:t xml:space="preserve"> the Judiciary and </w:t>
      </w:r>
      <w:r w:rsidR="00F41EA1" w:rsidRPr="00A50E4D">
        <w:rPr>
          <w:szCs w:val="20"/>
          <w:lang w:val="en-US"/>
        </w:rPr>
        <w:t>been appointed to their functions</w:t>
      </w:r>
      <w:r w:rsidRPr="00A50E4D">
        <w:rPr>
          <w:szCs w:val="20"/>
          <w:lang w:val="en-US"/>
        </w:rPr>
        <w:t xml:space="preserve"> </w:t>
      </w:r>
      <w:r w:rsidR="00F41EA1" w:rsidRPr="00A50E4D">
        <w:rPr>
          <w:szCs w:val="20"/>
          <w:lang w:val="en-US"/>
        </w:rPr>
        <w:t>through</w:t>
      </w:r>
      <w:r w:rsidRPr="00A50E4D">
        <w:rPr>
          <w:szCs w:val="20"/>
          <w:lang w:val="en-US"/>
        </w:rPr>
        <w:t xml:space="preserve"> a competitive </w:t>
      </w:r>
      <w:r w:rsidR="00F41EA1" w:rsidRPr="00A50E4D">
        <w:rPr>
          <w:szCs w:val="20"/>
          <w:lang w:val="en-US"/>
        </w:rPr>
        <w:t>procedure</w:t>
      </w:r>
      <w:r w:rsidRPr="00A50E4D">
        <w:rPr>
          <w:szCs w:val="20"/>
          <w:lang w:val="en-US"/>
        </w:rPr>
        <w:t xml:space="preserve"> an</w:t>
      </w:r>
      <w:r w:rsidR="00F41EA1" w:rsidRPr="00A50E4D">
        <w:rPr>
          <w:szCs w:val="20"/>
          <w:lang w:val="en-US"/>
        </w:rPr>
        <w:t xml:space="preserve">d who had enjoyed </w:t>
      </w:r>
      <w:r w:rsidRPr="00A50E4D">
        <w:rPr>
          <w:szCs w:val="20"/>
          <w:lang w:val="en-US"/>
        </w:rPr>
        <w:t>a long and unblemished career within it,</w:t>
      </w:r>
      <w:r w:rsidR="005472DB" w:rsidRPr="00A50E4D">
        <w:rPr>
          <w:szCs w:val="20"/>
          <w:lang w:val="en-US"/>
        </w:rPr>
        <w:t>”</w:t>
      </w:r>
      <w:r w:rsidR="005472DB" w:rsidRPr="00A50E4D">
        <w:rPr>
          <w:rStyle w:val="FootnoteReference"/>
          <w:sz w:val="20"/>
          <w:szCs w:val="20"/>
          <w:lang w:val="en-US"/>
        </w:rPr>
        <w:footnoteReference w:id="391"/>
      </w:r>
      <w:r w:rsidRPr="00A50E4D">
        <w:rPr>
          <w:szCs w:val="20"/>
          <w:lang w:val="en-US"/>
        </w:rPr>
        <w:t xml:space="preserve"> so that the</w:t>
      </w:r>
      <w:r w:rsidR="00F41EA1" w:rsidRPr="00A50E4D">
        <w:rPr>
          <w:szCs w:val="20"/>
          <w:lang w:val="en-US"/>
        </w:rPr>
        <w:t>ir</w:t>
      </w:r>
      <w:r w:rsidRPr="00A50E4D">
        <w:rPr>
          <w:szCs w:val="20"/>
          <w:lang w:val="en-US"/>
        </w:rPr>
        <w:t xml:space="preserve"> independence cannot be questioned </w:t>
      </w:r>
      <w:r w:rsidR="005472DB" w:rsidRPr="00A50E4D">
        <w:rPr>
          <w:rFonts w:cs="Arial"/>
          <w:szCs w:val="20"/>
          <w:lang w:val="en-US"/>
        </w:rPr>
        <w:t>(</w:t>
      </w:r>
      <w:r w:rsidR="005472DB" w:rsidRPr="00A50E4D">
        <w:rPr>
          <w:rFonts w:cs="Arial"/>
          <w:i/>
          <w:szCs w:val="20"/>
          <w:lang w:val="en-US"/>
        </w:rPr>
        <w:t xml:space="preserve">supra </w:t>
      </w:r>
      <w:r w:rsidR="00AD5EE7" w:rsidRPr="00A50E4D">
        <w:rPr>
          <w:rFonts w:cs="Arial"/>
          <w:szCs w:val="20"/>
          <w:lang w:val="en-US"/>
        </w:rPr>
        <w:t>para.</w:t>
      </w:r>
      <w:r w:rsidR="005472DB" w:rsidRPr="00A50E4D">
        <w:rPr>
          <w:rFonts w:cs="Arial"/>
          <w:szCs w:val="20"/>
          <w:lang w:val="en-US"/>
        </w:rPr>
        <w:t xml:space="preserve"> </w:t>
      </w:r>
      <w:r w:rsidR="005472DB" w:rsidRPr="00914F55">
        <w:rPr>
          <w:lang w:val="en-US"/>
        </w:rPr>
        <w:fldChar w:fldCharType="begin"/>
      </w:r>
      <w:r w:rsidR="005472DB" w:rsidRPr="00A50E4D">
        <w:rPr>
          <w:lang w:val="en-US"/>
        </w:rPr>
        <w:instrText xml:space="preserve"> REF _Ref424649494 \r \h  \* MERGEFORMAT </w:instrText>
      </w:r>
      <w:r w:rsidR="005472DB" w:rsidRPr="00914F55">
        <w:rPr>
          <w:lang w:val="en-US"/>
        </w:rPr>
      </w:r>
      <w:r w:rsidR="005472DB" w:rsidRPr="00914F55">
        <w:rPr>
          <w:lang w:val="en-US"/>
        </w:rPr>
        <w:fldChar w:fldCharType="separate"/>
      </w:r>
      <w:r w:rsidR="00547588" w:rsidRPr="00547588">
        <w:rPr>
          <w:rFonts w:cs="Arial"/>
          <w:szCs w:val="20"/>
          <w:lang w:val="en-US"/>
        </w:rPr>
        <w:t>99</w:t>
      </w:r>
      <w:r w:rsidR="005472DB" w:rsidRPr="00914F55">
        <w:rPr>
          <w:lang w:val="en-US"/>
        </w:rPr>
        <w:fldChar w:fldCharType="end"/>
      </w:r>
      <w:r w:rsidR="005472DB" w:rsidRPr="00A50E4D">
        <w:rPr>
          <w:rFonts w:cs="Arial"/>
          <w:szCs w:val="20"/>
          <w:lang w:val="en-US"/>
        </w:rPr>
        <w:t xml:space="preserve">, </w:t>
      </w:r>
      <w:r w:rsidR="005472DB" w:rsidRPr="00914F55">
        <w:rPr>
          <w:lang w:val="en-US"/>
        </w:rPr>
        <w:fldChar w:fldCharType="begin"/>
      </w:r>
      <w:r w:rsidR="005472DB" w:rsidRPr="00A50E4D">
        <w:rPr>
          <w:lang w:val="en-US"/>
        </w:rPr>
        <w:instrText xml:space="preserve"> REF _Ref424653459 \r \h  \* MERGEFORMAT </w:instrText>
      </w:r>
      <w:r w:rsidR="005472DB" w:rsidRPr="00914F55">
        <w:rPr>
          <w:lang w:val="en-US"/>
        </w:rPr>
      </w:r>
      <w:r w:rsidR="005472DB" w:rsidRPr="00914F55">
        <w:rPr>
          <w:lang w:val="en-US"/>
        </w:rPr>
        <w:fldChar w:fldCharType="separate"/>
      </w:r>
      <w:r w:rsidR="00547588" w:rsidRPr="00547588">
        <w:rPr>
          <w:rFonts w:cs="Arial"/>
          <w:szCs w:val="20"/>
          <w:lang w:val="en-US"/>
        </w:rPr>
        <w:t>118</w:t>
      </w:r>
      <w:r w:rsidR="005472DB" w:rsidRPr="00914F55">
        <w:rPr>
          <w:lang w:val="en-US"/>
        </w:rPr>
        <w:fldChar w:fldCharType="end"/>
      </w:r>
      <w:r w:rsidR="005472DB" w:rsidRPr="00A50E4D">
        <w:rPr>
          <w:rFonts w:cs="Arial"/>
          <w:szCs w:val="20"/>
          <w:lang w:val="en-US"/>
        </w:rPr>
        <w:t xml:space="preserve">, </w:t>
      </w:r>
      <w:r w:rsidR="005472DB" w:rsidRPr="00914F55">
        <w:rPr>
          <w:lang w:val="en-US"/>
        </w:rPr>
        <w:fldChar w:fldCharType="begin"/>
      </w:r>
      <w:r w:rsidR="005472DB" w:rsidRPr="00A50E4D">
        <w:rPr>
          <w:lang w:val="en-US"/>
        </w:rPr>
        <w:instrText xml:space="preserve"> REF _Ref424654878 \r \h  \* MERGEFORMAT </w:instrText>
      </w:r>
      <w:r w:rsidR="005472DB" w:rsidRPr="00914F55">
        <w:rPr>
          <w:lang w:val="en-US"/>
        </w:rPr>
      </w:r>
      <w:r w:rsidR="005472DB" w:rsidRPr="00914F55">
        <w:rPr>
          <w:lang w:val="en-US"/>
        </w:rPr>
        <w:fldChar w:fldCharType="separate"/>
      </w:r>
      <w:r w:rsidR="00547588" w:rsidRPr="00547588">
        <w:rPr>
          <w:rFonts w:cs="Arial"/>
          <w:szCs w:val="20"/>
          <w:lang w:val="en-US"/>
        </w:rPr>
        <w:t>134</w:t>
      </w:r>
      <w:r w:rsidR="005472DB" w:rsidRPr="00914F55">
        <w:rPr>
          <w:lang w:val="en-US"/>
        </w:rPr>
        <w:fldChar w:fldCharType="end"/>
      </w:r>
      <w:r w:rsidR="009808C5" w:rsidRPr="00A50E4D">
        <w:rPr>
          <w:rFonts w:cs="Arial"/>
          <w:b/>
          <w:szCs w:val="20"/>
          <w:lang w:val="en-US"/>
        </w:rPr>
        <w:t xml:space="preserve"> </w:t>
      </w:r>
      <w:r w:rsidR="009808C5" w:rsidRPr="00A50E4D">
        <w:rPr>
          <w:rFonts w:cs="Arial"/>
          <w:szCs w:val="20"/>
          <w:lang w:val="en-US"/>
        </w:rPr>
        <w:t>and</w:t>
      </w:r>
      <w:r w:rsidR="009808C5" w:rsidRPr="00A50E4D">
        <w:rPr>
          <w:rFonts w:cs="Arial"/>
          <w:b/>
          <w:szCs w:val="20"/>
          <w:lang w:val="en-US"/>
        </w:rPr>
        <w:t xml:space="preserve"> </w:t>
      </w:r>
      <w:r w:rsidR="005472DB" w:rsidRPr="00914F55">
        <w:rPr>
          <w:lang w:val="en-US"/>
        </w:rPr>
        <w:fldChar w:fldCharType="begin"/>
      </w:r>
      <w:r w:rsidR="005472DB" w:rsidRPr="00A50E4D">
        <w:rPr>
          <w:lang w:val="en-US"/>
        </w:rPr>
        <w:instrText xml:space="preserve"> REF _Ref427311068 \r \h  \* MERGEFORMAT </w:instrText>
      </w:r>
      <w:r w:rsidR="005472DB" w:rsidRPr="00914F55">
        <w:rPr>
          <w:lang w:val="en-US"/>
        </w:rPr>
      </w:r>
      <w:r w:rsidR="005472DB" w:rsidRPr="00914F55">
        <w:rPr>
          <w:lang w:val="en-US"/>
        </w:rPr>
        <w:fldChar w:fldCharType="separate"/>
      </w:r>
      <w:r w:rsidR="00547588" w:rsidRPr="00547588">
        <w:rPr>
          <w:rFonts w:cs="Arial"/>
          <w:szCs w:val="20"/>
          <w:lang w:val="en-US"/>
        </w:rPr>
        <w:t>146</w:t>
      </w:r>
      <w:r w:rsidR="005472DB" w:rsidRPr="00914F55">
        <w:rPr>
          <w:lang w:val="en-US"/>
        </w:rPr>
        <w:fldChar w:fldCharType="end"/>
      </w:r>
      <w:r w:rsidR="005472DB" w:rsidRPr="00A50E4D">
        <w:rPr>
          <w:rFonts w:cs="Arial"/>
          <w:szCs w:val="20"/>
          <w:lang w:val="en-US"/>
        </w:rPr>
        <w:t>)</w:t>
      </w:r>
      <w:r w:rsidR="005472DB" w:rsidRPr="00A50E4D">
        <w:rPr>
          <w:szCs w:val="20"/>
          <w:lang w:val="en-US"/>
        </w:rPr>
        <w:t xml:space="preserve">. </w:t>
      </w:r>
      <w:r w:rsidRPr="00A50E4D">
        <w:rPr>
          <w:szCs w:val="20"/>
          <w:lang w:val="en-US"/>
        </w:rPr>
        <w:t>In response to a request for useful information from</w:t>
      </w:r>
      <w:r w:rsidR="004626E5" w:rsidRPr="00A50E4D">
        <w:rPr>
          <w:szCs w:val="20"/>
          <w:lang w:val="en-US"/>
        </w:rPr>
        <w:t xml:space="preserve"> the </w:t>
      </w:r>
      <w:r w:rsidR="00CD2874" w:rsidRPr="00A50E4D">
        <w:rPr>
          <w:szCs w:val="20"/>
          <w:lang w:val="en-US"/>
        </w:rPr>
        <w:t>President</w:t>
      </w:r>
      <w:r w:rsidR="00F41EA1" w:rsidRPr="00A50E4D">
        <w:rPr>
          <w:szCs w:val="20"/>
          <w:lang w:val="en-US"/>
        </w:rPr>
        <w:t xml:space="preserve"> of this</w:t>
      </w:r>
      <w:r w:rsidR="009808C5" w:rsidRPr="00A50E4D">
        <w:rPr>
          <w:szCs w:val="20"/>
          <w:lang w:val="en-US"/>
        </w:rPr>
        <w:t xml:space="preserve"> Court</w:t>
      </w:r>
      <w:r w:rsidR="005472DB" w:rsidRPr="00A50E4D">
        <w:rPr>
          <w:szCs w:val="20"/>
          <w:lang w:val="en-US"/>
        </w:rPr>
        <w:t xml:space="preserve">, </w:t>
      </w:r>
      <w:r w:rsidR="009808C5" w:rsidRPr="00A50E4D">
        <w:rPr>
          <w:szCs w:val="20"/>
          <w:lang w:val="en-US"/>
        </w:rPr>
        <w:t>the State</w:t>
      </w:r>
      <w:r w:rsidR="005472DB" w:rsidRPr="00A50E4D">
        <w:rPr>
          <w:szCs w:val="20"/>
          <w:lang w:val="en-US"/>
        </w:rPr>
        <w:t xml:space="preserve"> </w:t>
      </w:r>
      <w:r w:rsidRPr="00A50E4D">
        <w:rPr>
          <w:szCs w:val="20"/>
          <w:lang w:val="en-US"/>
        </w:rPr>
        <w:t xml:space="preserve">affirmed that all the members of </w:t>
      </w:r>
      <w:r w:rsidR="006A756C" w:rsidRPr="00A50E4D">
        <w:rPr>
          <w:szCs w:val="20"/>
          <w:lang w:val="en-US"/>
        </w:rPr>
        <w:t>the Judicial Service Council</w:t>
      </w:r>
      <w:r w:rsidR="00F41EA1" w:rsidRPr="00A50E4D">
        <w:rPr>
          <w:szCs w:val="20"/>
          <w:lang w:val="en-US"/>
        </w:rPr>
        <w:t xml:space="preserve"> that</w:t>
      </w:r>
      <w:r w:rsidRPr="00A50E4D">
        <w:rPr>
          <w:szCs w:val="20"/>
          <w:lang w:val="en-US"/>
        </w:rPr>
        <w:t xml:space="preserve"> decided the cases </w:t>
      </w:r>
      <w:r w:rsidR="00371BB7" w:rsidRPr="00A50E4D">
        <w:rPr>
          <w:szCs w:val="20"/>
          <w:lang w:val="en-US"/>
        </w:rPr>
        <w:t>of the presumed victims</w:t>
      </w:r>
      <w:r w:rsidR="005472DB" w:rsidRPr="00A50E4D">
        <w:rPr>
          <w:szCs w:val="20"/>
          <w:lang w:val="en-US"/>
        </w:rPr>
        <w:t xml:space="preserve"> “</w:t>
      </w:r>
      <w:r w:rsidRPr="00A50E4D">
        <w:rPr>
          <w:iCs/>
          <w:szCs w:val="20"/>
          <w:lang w:val="en-US"/>
        </w:rPr>
        <w:t>were</w:t>
      </w:r>
      <w:r w:rsidR="005472DB" w:rsidRPr="00A50E4D">
        <w:rPr>
          <w:iCs/>
          <w:szCs w:val="20"/>
          <w:lang w:val="en-US"/>
        </w:rPr>
        <w:t xml:space="preserve"> </w:t>
      </w:r>
      <w:r w:rsidRPr="00A50E4D">
        <w:rPr>
          <w:iCs/>
          <w:szCs w:val="20"/>
          <w:lang w:val="en-US"/>
        </w:rPr>
        <w:t>judges or</w:t>
      </w:r>
      <w:r w:rsidR="009808C5" w:rsidRPr="00A50E4D">
        <w:rPr>
          <w:iCs/>
          <w:szCs w:val="20"/>
          <w:lang w:val="en-US"/>
        </w:rPr>
        <w:t xml:space="preserve"> </w:t>
      </w:r>
      <w:r w:rsidRPr="00A50E4D">
        <w:rPr>
          <w:iCs/>
          <w:szCs w:val="20"/>
          <w:lang w:val="en-US"/>
        </w:rPr>
        <w:t>j</w:t>
      </w:r>
      <w:r w:rsidR="00277E12" w:rsidRPr="00A50E4D">
        <w:rPr>
          <w:iCs/>
          <w:szCs w:val="20"/>
          <w:lang w:val="en-US"/>
        </w:rPr>
        <w:t>ustices</w:t>
      </w:r>
      <w:r w:rsidR="005472DB" w:rsidRPr="00A50E4D">
        <w:rPr>
          <w:iCs/>
          <w:szCs w:val="20"/>
          <w:lang w:val="en-US"/>
        </w:rPr>
        <w:t xml:space="preserve"> </w:t>
      </w:r>
      <w:r w:rsidRPr="00A50E4D">
        <w:rPr>
          <w:iCs/>
          <w:szCs w:val="20"/>
          <w:lang w:val="en-US"/>
        </w:rPr>
        <w:t>performing their judicial functions in the context of their professional career.</w:t>
      </w:r>
      <w:r w:rsidR="005472DB" w:rsidRPr="00A50E4D">
        <w:rPr>
          <w:iCs/>
          <w:szCs w:val="20"/>
          <w:lang w:val="en-US"/>
        </w:rPr>
        <w:t>”</w:t>
      </w:r>
      <w:r w:rsidR="005472DB" w:rsidRPr="00A50E4D">
        <w:rPr>
          <w:rStyle w:val="FootnoteReference"/>
          <w:iCs/>
          <w:sz w:val="20"/>
          <w:szCs w:val="20"/>
          <w:lang w:val="en-US"/>
        </w:rPr>
        <w:footnoteReference w:id="392"/>
      </w:r>
      <w:r w:rsidRPr="00A50E4D">
        <w:rPr>
          <w:iCs/>
          <w:szCs w:val="20"/>
          <w:lang w:val="en-US"/>
        </w:rPr>
        <w:t xml:space="preserve"> </w:t>
      </w:r>
      <w:r w:rsidR="005472DB" w:rsidRPr="00A50E4D">
        <w:rPr>
          <w:iCs/>
          <w:szCs w:val="20"/>
          <w:lang w:val="en-US"/>
        </w:rPr>
        <w:t xml:space="preserve"> </w:t>
      </w:r>
      <w:r w:rsidRPr="00A50E4D">
        <w:rPr>
          <w:iCs/>
          <w:szCs w:val="20"/>
          <w:lang w:val="en-US"/>
        </w:rPr>
        <w:t>However</w:t>
      </w:r>
      <w:r w:rsidR="005472DB" w:rsidRPr="00A50E4D">
        <w:rPr>
          <w:iCs/>
          <w:szCs w:val="20"/>
          <w:lang w:val="en-US"/>
        </w:rPr>
        <w:t xml:space="preserve">, </w:t>
      </w:r>
      <w:r w:rsidR="00AD5EE7" w:rsidRPr="00A50E4D">
        <w:rPr>
          <w:iCs/>
          <w:szCs w:val="20"/>
          <w:lang w:val="en-US"/>
        </w:rPr>
        <w:t>the representatives</w:t>
      </w:r>
      <w:r w:rsidR="005472DB" w:rsidRPr="00A50E4D">
        <w:rPr>
          <w:iCs/>
          <w:szCs w:val="20"/>
          <w:lang w:val="en-US"/>
        </w:rPr>
        <w:t xml:space="preserve"> indica</w:t>
      </w:r>
      <w:r w:rsidR="00F41EA1" w:rsidRPr="00A50E4D">
        <w:rPr>
          <w:iCs/>
          <w:szCs w:val="20"/>
          <w:lang w:val="en-US"/>
        </w:rPr>
        <w:t>ted that the</w:t>
      </w:r>
      <w:r w:rsidRPr="00A50E4D">
        <w:rPr>
          <w:iCs/>
          <w:szCs w:val="20"/>
          <w:lang w:val="en-US"/>
        </w:rPr>
        <w:t xml:space="preserve"> Council “was not composed solely of individuals who were judges or justices.” In this regard, they provided probative documentation according to which at least one of the individuals who ultimately composed </w:t>
      </w:r>
      <w:r w:rsidR="006A756C" w:rsidRPr="00A50E4D">
        <w:rPr>
          <w:iCs/>
          <w:szCs w:val="20"/>
          <w:lang w:val="en-US"/>
        </w:rPr>
        <w:t>the Judicial Service Council</w:t>
      </w:r>
      <w:r w:rsidR="005472DB" w:rsidRPr="00A50E4D">
        <w:rPr>
          <w:iCs/>
          <w:szCs w:val="20"/>
          <w:lang w:val="en-US"/>
        </w:rPr>
        <w:t xml:space="preserve"> </w:t>
      </w:r>
      <w:r w:rsidRPr="00A50E4D">
        <w:rPr>
          <w:iCs/>
          <w:szCs w:val="20"/>
          <w:lang w:val="en-US"/>
        </w:rPr>
        <w:t xml:space="preserve">in the proceedings against all </w:t>
      </w:r>
      <w:r w:rsidR="00371BB7" w:rsidRPr="00A50E4D">
        <w:rPr>
          <w:iCs/>
          <w:szCs w:val="20"/>
          <w:lang w:val="en-US"/>
        </w:rPr>
        <w:t>the presumed victims</w:t>
      </w:r>
      <w:r w:rsidR="005472DB" w:rsidRPr="00A50E4D">
        <w:rPr>
          <w:iCs/>
          <w:szCs w:val="20"/>
          <w:lang w:val="en-US"/>
        </w:rPr>
        <w:t xml:space="preserve"> </w:t>
      </w:r>
      <w:r w:rsidRPr="00A50E4D">
        <w:rPr>
          <w:iCs/>
          <w:szCs w:val="20"/>
          <w:lang w:val="en-US"/>
        </w:rPr>
        <w:t xml:space="preserve">was not a judge but rather an expert </w:t>
      </w:r>
      <w:r w:rsidR="00F41EA1" w:rsidRPr="00A50E4D">
        <w:rPr>
          <w:iCs/>
          <w:szCs w:val="20"/>
          <w:lang w:val="en-US"/>
        </w:rPr>
        <w:t>attached to</w:t>
      </w:r>
      <w:r w:rsidR="009808C5" w:rsidRPr="00A50E4D">
        <w:rPr>
          <w:iCs/>
          <w:szCs w:val="20"/>
          <w:lang w:val="en-US"/>
        </w:rPr>
        <w:t xml:space="preserve"> the </w:t>
      </w:r>
      <w:r w:rsidR="00700DEC" w:rsidRPr="00A50E4D">
        <w:rPr>
          <w:iCs/>
          <w:szCs w:val="20"/>
          <w:lang w:val="en-US"/>
        </w:rPr>
        <w:t>Supreme Court</w:t>
      </w:r>
      <w:r w:rsidRPr="00A50E4D">
        <w:rPr>
          <w:iCs/>
          <w:szCs w:val="20"/>
          <w:lang w:val="en-US"/>
        </w:rPr>
        <w:t>.</w:t>
      </w:r>
      <w:r w:rsidR="005472DB" w:rsidRPr="00A50E4D">
        <w:rPr>
          <w:rStyle w:val="FootnoteReference"/>
          <w:iCs/>
          <w:sz w:val="20"/>
          <w:szCs w:val="20"/>
          <w:lang w:val="en-US"/>
        </w:rPr>
        <w:footnoteReference w:id="393"/>
      </w:r>
      <w:r w:rsidR="005472DB" w:rsidRPr="00A50E4D">
        <w:rPr>
          <w:iCs/>
          <w:szCs w:val="20"/>
          <w:lang w:val="en-US"/>
        </w:rPr>
        <w:t xml:space="preserve"> </w:t>
      </w:r>
    </w:p>
    <w:p w14:paraId="30733D0C" w14:textId="77777777" w:rsidR="005472DB" w:rsidRPr="00A50E4D" w:rsidRDefault="005472DB" w:rsidP="005472DB">
      <w:pPr>
        <w:rPr>
          <w:spacing w:val="-4"/>
          <w:szCs w:val="20"/>
          <w:lang w:val="en-US" w:eastAsia="es-MX"/>
        </w:rPr>
      </w:pPr>
    </w:p>
    <w:p w14:paraId="4FF9D3EB" w14:textId="0346EEE1" w:rsidR="005472DB" w:rsidRPr="00A50E4D" w:rsidRDefault="00F41EA1" w:rsidP="005472DB">
      <w:pPr>
        <w:pStyle w:val="PrrafodeSentencia"/>
        <w:rPr>
          <w:szCs w:val="20"/>
          <w:lang w:val="en-US"/>
        </w:rPr>
      </w:pPr>
      <w:bookmarkStart w:id="326" w:name="_Ref427223771"/>
      <w:r w:rsidRPr="00A50E4D">
        <w:rPr>
          <w:szCs w:val="20"/>
          <w:lang w:val="en-US"/>
        </w:rPr>
        <w:lastRenderedPageBreak/>
        <w:t>The impossibility of requesting</w:t>
      </w:r>
      <w:r w:rsidR="00382405" w:rsidRPr="00A50E4D">
        <w:rPr>
          <w:szCs w:val="20"/>
          <w:lang w:val="en-US"/>
        </w:rPr>
        <w:t xml:space="preserve"> a review of the impartiality of the trial court constitutes a violation </w:t>
      </w:r>
      <w:r w:rsidR="00FF35A9" w:rsidRPr="00A50E4D">
        <w:rPr>
          <w:szCs w:val="20"/>
          <w:lang w:val="en-US"/>
        </w:rPr>
        <w:t xml:space="preserve">of the </w:t>
      </w:r>
      <w:r w:rsidR="005472DB" w:rsidRPr="00A50E4D">
        <w:rPr>
          <w:szCs w:val="20"/>
          <w:lang w:val="en-US"/>
        </w:rPr>
        <w:t>obliga</w:t>
      </w:r>
      <w:r w:rsidR="00382405" w:rsidRPr="00A50E4D">
        <w:rPr>
          <w:szCs w:val="20"/>
          <w:lang w:val="en-US"/>
        </w:rPr>
        <w:t>tion to ensure this right.</w:t>
      </w:r>
      <w:r w:rsidR="005472DB" w:rsidRPr="00A50E4D">
        <w:rPr>
          <w:rStyle w:val="FootnoteReference"/>
          <w:sz w:val="20"/>
          <w:szCs w:val="20"/>
          <w:lang w:val="en-US"/>
        </w:rPr>
        <w:footnoteReference w:id="394"/>
      </w:r>
      <w:r w:rsidR="005472DB" w:rsidRPr="00A50E4D">
        <w:rPr>
          <w:szCs w:val="20"/>
          <w:lang w:val="en-US"/>
        </w:rPr>
        <w:t xml:space="preserve"> </w:t>
      </w:r>
      <w:r w:rsidR="005472DB" w:rsidRPr="00A50E4D">
        <w:rPr>
          <w:i/>
          <w:szCs w:val="20"/>
          <w:lang w:val="en-US"/>
        </w:rPr>
        <w:t>A contrario sensu</w:t>
      </w:r>
      <w:r w:rsidRPr="00A50E4D">
        <w:rPr>
          <w:i/>
          <w:szCs w:val="20"/>
          <w:lang w:val="en-US"/>
        </w:rPr>
        <w:t>,</w:t>
      </w:r>
      <w:r w:rsidR="005472DB" w:rsidRPr="00A50E4D">
        <w:rPr>
          <w:szCs w:val="20"/>
          <w:lang w:val="en-US"/>
        </w:rPr>
        <w:t xml:space="preserve"> </w:t>
      </w:r>
      <w:r w:rsidR="00382405" w:rsidRPr="00A50E4D">
        <w:rPr>
          <w:szCs w:val="20"/>
          <w:lang w:val="en-US"/>
        </w:rPr>
        <w:t xml:space="preserve">if it were revealed that the court acted in a </w:t>
      </w:r>
      <w:r w:rsidR="000B62CF" w:rsidRPr="00A50E4D">
        <w:rPr>
          <w:szCs w:val="20"/>
          <w:lang w:val="en-US"/>
        </w:rPr>
        <w:t>biased</w:t>
      </w:r>
      <w:r w:rsidR="00382405" w:rsidRPr="00A50E4D">
        <w:rPr>
          <w:szCs w:val="20"/>
          <w:lang w:val="en-US"/>
        </w:rPr>
        <w:t xml:space="preserve"> manner, this would constitute a violation of the obligation to respect rights, which will be examined </w:t>
      </w:r>
      <w:r w:rsidR="005472DB" w:rsidRPr="00A50E4D">
        <w:rPr>
          <w:i/>
          <w:szCs w:val="20"/>
          <w:lang w:val="en-US"/>
        </w:rPr>
        <w:t>infra</w:t>
      </w:r>
      <w:r w:rsidR="00382405" w:rsidRPr="00A50E4D">
        <w:rPr>
          <w:szCs w:val="20"/>
          <w:lang w:val="en-US"/>
        </w:rPr>
        <w:t xml:space="preserve"> in relation to the actions </w:t>
      </w:r>
      <w:r w:rsidR="009808C5" w:rsidRPr="00A50E4D">
        <w:rPr>
          <w:szCs w:val="20"/>
          <w:lang w:val="en-US"/>
        </w:rPr>
        <w:t xml:space="preserve">of the </w:t>
      </w:r>
      <w:r w:rsidR="00371BB7" w:rsidRPr="00A50E4D">
        <w:rPr>
          <w:szCs w:val="20"/>
          <w:lang w:val="en-US"/>
        </w:rPr>
        <w:t>Supreme Court of Justice</w:t>
      </w:r>
      <w:r w:rsidR="005472DB" w:rsidRPr="00A50E4D">
        <w:rPr>
          <w:szCs w:val="20"/>
          <w:lang w:val="en-US"/>
        </w:rPr>
        <w:t xml:space="preserve">. </w:t>
      </w:r>
      <w:r w:rsidR="00382405" w:rsidRPr="00A50E4D">
        <w:rPr>
          <w:szCs w:val="20"/>
          <w:lang w:val="en-US"/>
        </w:rPr>
        <w:t>The absence of clarity as regards the way</w:t>
      </w:r>
      <w:r w:rsidRPr="00A50E4D">
        <w:rPr>
          <w:szCs w:val="20"/>
          <w:lang w:val="en-US"/>
        </w:rPr>
        <w:t xml:space="preserve"> in which</w:t>
      </w:r>
      <w:r w:rsidR="00382405" w:rsidRPr="00A50E4D">
        <w:rPr>
          <w:szCs w:val="20"/>
          <w:lang w:val="en-US"/>
        </w:rPr>
        <w:t xml:space="preserve"> the Council was composed prevented </w:t>
      </w:r>
      <w:r w:rsidR="00371BB7" w:rsidRPr="00A50E4D">
        <w:rPr>
          <w:szCs w:val="20"/>
          <w:lang w:val="en-US"/>
        </w:rPr>
        <w:t>the presumed victims</w:t>
      </w:r>
      <w:r w:rsidR="005472DB" w:rsidRPr="00A50E4D">
        <w:rPr>
          <w:szCs w:val="20"/>
          <w:lang w:val="en-US"/>
        </w:rPr>
        <w:t xml:space="preserve"> </w:t>
      </w:r>
      <w:r w:rsidR="00382405" w:rsidRPr="00A50E4D">
        <w:rPr>
          <w:szCs w:val="20"/>
          <w:lang w:val="en-US"/>
        </w:rPr>
        <w:t xml:space="preserve">from questioning the suitability and competence of its members. Consequently, in addition to the findings in </w:t>
      </w:r>
      <w:r w:rsidR="00CC78C7" w:rsidRPr="00A50E4D">
        <w:rPr>
          <w:szCs w:val="20"/>
          <w:lang w:val="en-US"/>
        </w:rPr>
        <w:t>Chapter</w:t>
      </w:r>
      <w:r w:rsidR="005472DB" w:rsidRPr="00A50E4D">
        <w:rPr>
          <w:szCs w:val="20"/>
          <w:lang w:val="en-US"/>
        </w:rPr>
        <w:t xml:space="preserve"> VII-1 </w:t>
      </w:r>
      <w:r w:rsidR="00382405" w:rsidRPr="00A50E4D">
        <w:rPr>
          <w:szCs w:val="20"/>
          <w:lang w:val="en-US"/>
        </w:rPr>
        <w:t xml:space="preserve">of this judgment, the Court concludes that, in </w:t>
      </w:r>
      <w:r w:rsidR="000A786A" w:rsidRPr="00A50E4D">
        <w:rPr>
          <w:szCs w:val="20"/>
          <w:lang w:val="en-US"/>
        </w:rPr>
        <w:t>this</w:t>
      </w:r>
      <w:r w:rsidR="00382405" w:rsidRPr="00A50E4D">
        <w:rPr>
          <w:szCs w:val="20"/>
          <w:lang w:val="en-US"/>
        </w:rPr>
        <w:t xml:space="preserve"> case, the impartiality </w:t>
      </w:r>
      <w:r w:rsidR="006A756C" w:rsidRPr="00A50E4D">
        <w:rPr>
          <w:szCs w:val="20"/>
          <w:lang w:val="en-US"/>
        </w:rPr>
        <w:t>of the Judicial Service Council</w:t>
      </w:r>
      <w:r w:rsidR="00382405" w:rsidRPr="00A50E4D">
        <w:rPr>
          <w:szCs w:val="20"/>
          <w:lang w:val="en-US"/>
        </w:rPr>
        <w:t xml:space="preserve"> was not ensured adequately</w:t>
      </w:r>
      <w:r w:rsidR="005472DB" w:rsidRPr="00A50E4D">
        <w:rPr>
          <w:szCs w:val="20"/>
          <w:lang w:val="en-US"/>
        </w:rPr>
        <w:t>.</w:t>
      </w:r>
      <w:bookmarkEnd w:id="326"/>
      <w:r w:rsidR="005472DB" w:rsidRPr="00A50E4D">
        <w:rPr>
          <w:szCs w:val="20"/>
          <w:lang w:val="en-US"/>
        </w:rPr>
        <w:t xml:space="preserve"> </w:t>
      </w:r>
    </w:p>
    <w:p w14:paraId="666E1551" w14:textId="77777777" w:rsidR="00B101DF" w:rsidRPr="00A50E4D" w:rsidRDefault="00B101DF" w:rsidP="005472DB">
      <w:pPr>
        <w:rPr>
          <w:spacing w:val="-4"/>
          <w:szCs w:val="20"/>
          <w:lang w:val="en-US" w:eastAsia="es-MX"/>
        </w:rPr>
      </w:pPr>
    </w:p>
    <w:p w14:paraId="0ABEDC60" w14:textId="5BE11B1A" w:rsidR="005472DB" w:rsidRPr="00A50E4D" w:rsidRDefault="005472DB" w:rsidP="00685B42">
      <w:pPr>
        <w:pStyle w:val="Heading4"/>
        <w:rPr>
          <w:spacing w:val="-4"/>
          <w:szCs w:val="20"/>
          <w:lang w:val="en-US"/>
        </w:rPr>
      </w:pPr>
      <w:bookmarkStart w:id="327" w:name="_Toc431584652"/>
      <w:bookmarkStart w:id="328" w:name="_Toc471717286"/>
      <w:r w:rsidRPr="00A50E4D">
        <w:rPr>
          <w:spacing w:val="-4"/>
          <w:szCs w:val="20"/>
          <w:lang w:val="en-US"/>
        </w:rPr>
        <w:t xml:space="preserve">B.2.c) </w:t>
      </w:r>
      <w:r w:rsidR="002876E8" w:rsidRPr="00A50E4D">
        <w:rPr>
          <w:spacing w:val="-4"/>
          <w:szCs w:val="20"/>
          <w:lang w:val="en-US"/>
        </w:rPr>
        <w:t>Bias of the Supreme Court of Justice</w:t>
      </w:r>
      <w:bookmarkEnd w:id="327"/>
      <w:bookmarkEnd w:id="328"/>
    </w:p>
    <w:p w14:paraId="6B60A44D" w14:textId="77777777" w:rsidR="00B101DF" w:rsidRPr="00A50E4D" w:rsidRDefault="00B101DF" w:rsidP="00B101DF">
      <w:pPr>
        <w:rPr>
          <w:lang w:val="en-US"/>
        </w:rPr>
      </w:pPr>
    </w:p>
    <w:p w14:paraId="5718FC95" w14:textId="7A202236" w:rsidR="005472DB" w:rsidRPr="00A50E4D" w:rsidRDefault="00700DEC" w:rsidP="00E4078E">
      <w:pPr>
        <w:pStyle w:val="PrrafodeSentencia"/>
        <w:tabs>
          <w:tab w:val="left" w:pos="9630"/>
        </w:tabs>
        <w:rPr>
          <w:szCs w:val="20"/>
          <w:lang w:val="en-US"/>
        </w:rPr>
      </w:pPr>
      <w:bookmarkStart w:id="329" w:name="_Ref431566391"/>
      <w:r w:rsidRPr="00A50E4D">
        <w:rPr>
          <w:lang w:val="en-US"/>
        </w:rPr>
        <w:t>The</w:t>
      </w:r>
      <w:r w:rsidR="00382405" w:rsidRPr="00A50E4D">
        <w:rPr>
          <w:lang w:val="en-US"/>
        </w:rPr>
        <w:t xml:space="preserve"> </w:t>
      </w:r>
      <w:r w:rsidRPr="00A50E4D">
        <w:rPr>
          <w:lang w:val="en-US"/>
        </w:rPr>
        <w:t>Truth and Reconciliation Commission</w:t>
      </w:r>
      <w:r w:rsidR="00382405" w:rsidRPr="00A50E4D">
        <w:rPr>
          <w:lang w:val="en-US"/>
        </w:rPr>
        <w:t xml:space="preserve"> concluded that</w:t>
      </w:r>
      <w:r w:rsidR="005472DB" w:rsidRPr="00A50E4D">
        <w:rPr>
          <w:lang w:val="en-US"/>
        </w:rPr>
        <w:t xml:space="preserve"> </w:t>
      </w:r>
      <w:r w:rsidR="009808C5" w:rsidRPr="00A50E4D">
        <w:rPr>
          <w:lang w:val="en-US"/>
        </w:rPr>
        <w:t xml:space="preserve">the </w:t>
      </w:r>
      <w:r w:rsidRPr="00A50E4D">
        <w:rPr>
          <w:lang w:val="en-US"/>
        </w:rPr>
        <w:t>Supreme Court</w:t>
      </w:r>
      <w:r w:rsidR="005472DB" w:rsidRPr="00A50E4D">
        <w:rPr>
          <w:lang w:val="en-US"/>
        </w:rPr>
        <w:t xml:space="preserve"> “</w:t>
      </w:r>
      <w:r w:rsidR="00382405" w:rsidRPr="00A50E4D">
        <w:rPr>
          <w:lang w:val="en-US"/>
        </w:rPr>
        <w:t xml:space="preserve">became a protagonist” </w:t>
      </w:r>
      <w:r w:rsidR="004626E5" w:rsidRPr="00A50E4D">
        <w:rPr>
          <w:szCs w:val="20"/>
          <w:lang w:val="en-US"/>
        </w:rPr>
        <w:t xml:space="preserve">of the </w:t>
      </w:r>
      <w:r w:rsidR="00B11ACA" w:rsidRPr="00A50E4D">
        <w:rPr>
          <w:i/>
          <w:szCs w:val="20"/>
          <w:lang w:val="en-US"/>
        </w:rPr>
        <w:t>coup d’état</w:t>
      </w:r>
      <w:r w:rsidR="005472DB" w:rsidRPr="00A50E4D">
        <w:rPr>
          <w:szCs w:val="20"/>
          <w:lang w:val="en-US"/>
        </w:rPr>
        <w:t xml:space="preserve"> (</w:t>
      </w:r>
      <w:r w:rsidR="005472DB" w:rsidRPr="00A50E4D">
        <w:rPr>
          <w:i/>
          <w:szCs w:val="20"/>
          <w:lang w:val="en-US"/>
        </w:rPr>
        <w:t>supra</w:t>
      </w:r>
      <w:r w:rsidR="005472DB" w:rsidRPr="00A50E4D">
        <w:rPr>
          <w:szCs w:val="20"/>
          <w:lang w:val="en-US"/>
        </w:rPr>
        <w:t xml:space="preserve"> </w:t>
      </w:r>
      <w:r w:rsidR="00AD5EE7" w:rsidRPr="00A50E4D">
        <w:rPr>
          <w:szCs w:val="20"/>
          <w:lang w:val="en-US"/>
        </w:rPr>
        <w:t>para.</w:t>
      </w:r>
      <w:r w:rsidR="005472DB" w:rsidRPr="00A50E4D">
        <w:rPr>
          <w:szCs w:val="20"/>
          <w:lang w:val="en-US"/>
        </w:rPr>
        <w:t xml:space="preserve"> </w:t>
      </w:r>
      <w:r w:rsidR="005472DB" w:rsidRPr="00914F55">
        <w:rPr>
          <w:lang w:val="en-US"/>
        </w:rPr>
        <w:fldChar w:fldCharType="begin"/>
      </w:r>
      <w:r w:rsidR="005472DB" w:rsidRPr="00A50E4D">
        <w:rPr>
          <w:lang w:val="en-US"/>
        </w:rPr>
        <w:instrText xml:space="preserve"> REF _Ref427311356 \r \h  \* MERGEFORMAT </w:instrText>
      </w:r>
      <w:r w:rsidR="005472DB" w:rsidRPr="00914F55">
        <w:rPr>
          <w:lang w:val="en-US"/>
        </w:rPr>
      </w:r>
      <w:r w:rsidR="005472DB" w:rsidRPr="00914F55">
        <w:rPr>
          <w:lang w:val="en-US"/>
        </w:rPr>
        <w:fldChar w:fldCharType="separate"/>
      </w:r>
      <w:r w:rsidR="00547588" w:rsidRPr="00547588">
        <w:rPr>
          <w:szCs w:val="20"/>
          <w:lang w:val="en-US"/>
        </w:rPr>
        <w:t>65</w:t>
      </w:r>
      <w:r w:rsidR="005472DB" w:rsidRPr="00914F55">
        <w:rPr>
          <w:lang w:val="en-US"/>
        </w:rPr>
        <w:fldChar w:fldCharType="end"/>
      </w:r>
      <w:r w:rsidR="005472DB" w:rsidRPr="00A50E4D">
        <w:rPr>
          <w:szCs w:val="20"/>
          <w:lang w:val="en-US"/>
        </w:rPr>
        <w:t xml:space="preserve">). </w:t>
      </w:r>
      <w:r w:rsidR="00382405" w:rsidRPr="00A50E4D">
        <w:rPr>
          <w:szCs w:val="20"/>
          <w:lang w:val="en-US"/>
        </w:rPr>
        <w:t xml:space="preserve">In this regard, this Court recalls that </w:t>
      </w:r>
      <w:r w:rsidR="009808C5" w:rsidRPr="00A50E4D">
        <w:rPr>
          <w:szCs w:val="20"/>
          <w:lang w:val="en-US"/>
        </w:rPr>
        <w:t xml:space="preserve">the </w:t>
      </w:r>
      <w:r w:rsidR="00371BB7" w:rsidRPr="00A50E4D">
        <w:rPr>
          <w:szCs w:val="20"/>
          <w:lang w:val="en-US"/>
        </w:rPr>
        <w:t>Supreme Court of Justice</w:t>
      </w:r>
      <w:r w:rsidR="00382405" w:rsidRPr="00A50E4D">
        <w:rPr>
          <w:szCs w:val="20"/>
          <w:lang w:val="en-US"/>
        </w:rPr>
        <w:t xml:space="preserve"> justified</w:t>
      </w:r>
      <w:r w:rsidR="005472DB" w:rsidRPr="00A50E4D">
        <w:rPr>
          <w:szCs w:val="20"/>
          <w:lang w:val="en-US"/>
        </w:rPr>
        <w:t xml:space="preserve"> </w:t>
      </w:r>
      <w:r w:rsidR="00371BB7" w:rsidRPr="00A50E4D">
        <w:rPr>
          <w:szCs w:val="20"/>
          <w:lang w:val="en-US"/>
        </w:rPr>
        <w:t xml:space="preserve">the </w:t>
      </w:r>
      <w:r w:rsidR="00B11ACA" w:rsidRPr="00A50E4D">
        <w:rPr>
          <w:i/>
          <w:szCs w:val="20"/>
          <w:lang w:val="en-US"/>
        </w:rPr>
        <w:t>coup d’état</w:t>
      </w:r>
      <w:r w:rsidR="005472DB" w:rsidRPr="00A50E4D">
        <w:rPr>
          <w:szCs w:val="20"/>
          <w:lang w:val="en-US"/>
        </w:rPr>
        <w:t xml:space="preserve"> </w:t>
      </w:r>
      <w:r w:rsidR="00382405" w:rsidRPr="00A50E4D">
        <w:rPr>
          <w:szCs w:val="20"/>
          <w:lang w:val="en-US"/>
        </w:rPr>
        <w:t>as a</w:t>
      </w:r>
      <w:r w:rsidR="005472DB" w:rsidRPr="00A50E4D">
        <w:rPr>
          <w:szCs w:val="20"/>
          <w:lang w:val="en-US"/>
        </w:rPr>
        <w:t xml:space="preserve"> “</w:t>
      </w:r>
      <w:r w:rsidR="00382405" w:rsidRPr="00A50E4D">
        <w:rPr>
          <w:szCs w:val="20"/>
          <w:lang w:val="en-US"/>
        </w:rPr>
        <w:t xml:space="preserve">constitutional succession” </w:t>
      </w:r>
      <w:r w:rsidR="005472DB" w:rsidRPr="00A50E4D">
        <w:rPr>
          <w:szCs w:val="20"/>
          <w:lang w:val="en-US"/>
        </w:rPr>
        <w:t>(</w:t>
      </w:r>
      <w:r w:rsidR="005472DB" w:rsidRPr="00A50E4D">
        <w:rPr>
          <w:i/>
          <w:szCs w:val="20"/>
          <w:lang w:val="en-US"/>
        </w:rPr>
        <w:t>supra</w:t>
      </w:r>
      <w:r w:rsidR="005472DB" w:rsidRPr="00A50E4D">
        <w:rPr>
          <w:szCs w:val="20"/>
          <w:lang w:val="en-US"/>
        </w:rPr>
        <w:t xml:space="preserve"> </w:t>
      </w:r>
      <w:r w:rsidR="00AD5EE7" w:rsidRPr="00A50E4D">
        <w:rPr>
          <w:szCs w:val="20"/>
          <w:lang w:val="en-US"/>
        </w:rPr>
        <w:t>para.</w:t>
      </w:r>
      <w:r w:rsidR="005472DB" w:rsidRPr="00A50E4D">
        <w:rPr>
          <w:szCs w:val="20"/>
          <w:lang w:val="en-US"/>
        </w:rPr>
        <w:t xml:space="preserve"> </w:t>
      </w:r>
      <w:r w:rsidR="005472DB" w:rsidRPr="00914F55">
        <w:rPr>
          <w:lang w:val="en-US"/>
        </w:rPr>
        <w:fldChar w:fldCharType="begin"/>
      </w:r>
      <w:r w:rsidR="005472DB" w:rsidRPr="00A50E4D">
        <w:rPr>
          <w:lang w:val="en-US"/>
        </w:rPr>
        <w:instrText xml:space="preserve"> REF _Ref427314091 \r \h  \* MERGEFORMAT </w:instrText>
      </w:r>
      <w:r w:rsidR="005472DB" w:rsidRPr="00914F55">
        <w:rPr>
          <w:lang w:val="en-US"/>
        </w:rPr>
      </w:r>
      <w:r w:rsidR="005472DB" w:rsidRPr="00914F55">
        <w:rPr>
          <w:lang w:val="en-US"/>
        </w:rPr>
        <w:fldChar w:fldCharType="separate"/>
      </w:r>
      <w:r w:rsidR="00547588" w:rsidRPr="00547588">
        <w:rPr>
          <w:szCs w:val="20"/>
          <w:lang w:val="en-US"/>
        </w:rPr>
        <w:t>63</w:t>
      </w:r>
      <w:r w:rsidR="005472DB" w:rsidRPr="00914F55">
        <w:rPr>
          <w:lang w:val="en-US"/>
        </w:rPr>
        <w:fldChar w:fldCharType="end"/>
      </w:r>
      <w:r w:rsidR="005472DB" w:rsidRPr="00A50E4D">
        <w:rPr>
          <w:szCs w:val="20"/>
          <w:lang w:val="en-US"/>
        </w:rPr>
        <w:t xml:space="preserve">). </w:t>
      </w:r>
      <w:r w:rsidR="00382405" w:rsidRPr="00A50E4D">
        <w:rPr>
          <w:szCs w:val="20"/>
          <w:lang w:val="en-US"/>
        </w:rPr>
        <w:t xml:space="preserve">In addition, the Court reiterates its findings in paragraphs </w:t>
      </w:r>
      <w:r w:rsidR="00816CCF" w:rsidRPr="00914F55">
        <w:rPr>
          <w:szCs w:val="20"/>
          <w:lang w:val="en-US"/>
        </w:rPr>
        <w:fldChar w:fldCharType="begin"/>
      </w:r>
      <w:r w:rsidR="00816CCF" w:rsidRPr="00A50E4D">
        <w:rPr>
          <w:szCs w:val="20"/>
          <w:lang w:val="en-US"/>
        </w:rPr>
        <w:instrText xml:space="preserve"> REF _Ref431586078 \r \h </w:instrText>
      </w:r>
      <w:r w:rsidR="00EA20A5" w:rsidRPr="00A50E4D">
        <w:rPr>
          <w:szCs w:val="20"/>
          <w:lang w:val="en-US"/>
        </w:rPr>
        <w:instrText xml:space="preserve"> \* MERGEFORMAT </w:instrText>
      </w:r>
      <w:r w:rsidR="00816CCF" w:rsidRPr="00914F55">
        <w:rPr>
          <w:szCs w:val="20"/>
          <w:lang w:val="en-US"/>
        </w:rPr>
      </w:r>
      <w:r w:rsidR="00816CCF" w:rsidRPr="00914F55">
        <w:rPr>
          <w:szCs w:val="20"/>
          <w:lang w:val="en-US"/>
        </w:rPr>
        <w:fldChar w:fldCharType="separate"/>
      </w:r>
      <w:r w:rsidR="00547588">
        <w:rPr>
          <w:szCs w:val="20"/>
          <w:lang w:val="en-US"/>
        </w:rPr>
        <w:t>148</w:t>
      </w:r>
      <w:r w:rsidR="00816CCF" w:rsidRPr="00914F55">
        <w:rPr>
          <w:szCs w:val="20"/>
          <w:lang w:val="en-US"/>
        </w:rPr>
        <w:fldChar w:fldCharType="end"/>
      </w:r>
      <w:r w:rsidR="00382405" w:rsidRPr="00A50E4D">
        <w:rPr>
          <w:szCs w:val="20"/>
          <w:lang w:val="en-US"/>
        </w:rPr>
        <w:t xml:space="preserve"> to</w:t>
      </w:r>
      <w:r w:rsidR="00816CCF" w:rsidRPr="00A50E4D">
        <w:rPr>
          <w:szCs w:val="20"/>
          <w:lang w:val="en-US"/>
        </w:rPr>
        <w:t xml:space="preserve"> </w:t>
      </w:r>
      <w:r w:rsidR="00816CCF" w:rsidRPr="00914F55">
        <w:rPr>
          <w:szCs w:val="20"/>
          <w:lang w:val="en-US"/>
        </w:rPr>
        <w:fldChar w:fldCharType="begin"/>
      </w:r>
      <w:r w:rsidR="00816CCF" w:rsidRPr="00A50E4D">
        <w:rPr>
          <w:szCs w:val="20"/>
          <w:lang w:val="en-US"/>
        </w:rPr>
        <w:instrText xml:space="preserve"> REF _Ref308455751 \r \h </w:instrText>
      </w:r>
      <w:r w:rsidR="00EA20A5" w:rsidRPr="00A50E4D">
        <w:rPr>
          <w:szCs w:val="20"/>
          <w:lang w:val="en-US"/>
        </w:rPr>
        <w:instrText xml:space="preserve"> \* MERGEFORMAT </w:instrText>
      </w:r>
      <w:r w:rsidR="00816CCF" w:rsidRPr="00914F55">
        <w:rPr>
          <w:szCs w:val="20"/>
          <w:lang w:val="en-US"/>
        </w:rPr>
      </w:r>
      <w:r w:rsidR="00816CCF" w:rsidRPr="00914F55">
        <w:rPr>
          <w:szCs w:val="20"/>
          <w:lang w:val="en-US"/>
        </w:rPr>
        <w:fldChar w:fldCharType="separate"/>
      </w:r>
      <w:r w:rsidR="00547588">
        <w:rPr>
          <w:szCs w:val="20"/>
          <w:lang w:val="en-US"/>
        </w:rPr>
        <w:t>155</w:t>
      </w:r>
      <w:r w:rsidR="00816CCF" w:rsidRPr="00914F55">
        <w:rPr>
          <w:szCs w:val="20"/>
          <w:lang w:val="en-US"/>
        </w:rPr>
        <w:fldChar w:fldCharType="end"/>
      </w:r>
      <w:r w:rsidR="00816CCF" w:rsidRPr="00A50E4D">
        <w:rPr>
          <w:szCs w:val="20"/>
          <w:lang w:val="en-US"/>
        </w:rPr>
        <w:t xml:space="preserve"> </w:t>
      </w:r>
      <w:r w:rsidR="00382405" w:rsidRPr="00A50E4D">
        <w:rPr>
          <w:szCs w:val="20"/>
          <w:lang w:val="en-US"/>
        </w:rPr>
        <w:t>of this judgment, when it conclu</w:t>
      </w:r>
      <w:r w:rsidR="005472DB" w:rsidRPr="00A50E4D">
        <w:rPr>
          <w:szCs w:val="20"/>
          <w:lang w:val="en-US"/>
        </w:rPr>
        <w:t>de</w:t>
      </w:r>
      <w:r w:rsidR="00382405" w:rsidRPr="00A50E4D">
        <w:rPr>
          <w:szCs w:val="20"/>
          <w:lang w:val="en-US"/>
        </w:rPr>
        <w:t>d</w:t>
      </w:r>
      <w:r w:rsidR="005472DB" w:rsidRPr="00A50E4D">
        <w:rPr>
          <w:szCs w:val="20"/>
          <w:lang w:val="en-US"/>
        </w:rPr>
        <w:t xml:space="preserve"> </w:t>
      </w:r>
      <w:r w:rsidR="00382405" w:rsidRPr="00A50E4D">
        <w:rPr>
          <w:szCs w:val="20"/>
          <w:lang w:val="en-US"/>
        </w:rPr>
        <w:t>that</w:t>
      </w:r>
      <w:r w:rsidR="005472DB" w:rsidRPr="00A50E4D">
        <w:rPr>
          <w:szCs w:val="20"/>
          <w:lang w:val="en-US"/>
        </w:rPr>
        <w:t xml:space="preserve"> </w:t>
      </w:r>
      <w:r w:rsidR="00371BB7" w:rsidRPr="00A50E4D">
        <w:rPr>
          <w:szCs w:val="20"/>
          <w:lang w:val="en-US"/>
        </w:rPr>
        <w:t xml:space="preserve">the </w:t>
      </w:r>
      <w:r w:rsidR="00B11ACA" w:rsidRPr="00A50E4D">
        <w:rPr>
          <w:i/>
          <w:szCs w:val="20"/>
          <w:lang w:val="en-US"/>
        </w:rPr>
        <w:t>coup d’état</w:t>
      </w:r>
      <w:r w:rsidR="005472DB" w:rsidRPr="00A50E4D">
        <w:rPr>
          <w:szCs w:val="20"/>
          <w:lang w:val="en-US"/>
        </w:rPr>
        <w:t xml:space="preserve"> </w:t>
      </w:r>
      <w:r w:rsidRPr="00A50E4D">
        <w:rPr>
          <w:szCs w:val="20"/>
          <w:lang w:val="en-US"/>
        </w:rPr>
        <w:t>in Honduras</w:t>
      </w:r>
      <w:r w:rsidR="005472DB" w:rsidRPr="00A50E4D">
        <w:rPr>
          <w:szCs w:val="20"/>
          <w:lang w:val="en-US"/>
        </w:rPr>
        <w:t xml:space="preserve"> constitu</w:t>
      </w:r>
      <w:r w:rsidR="00382405" w:rsidRPr="00A50E4D">
        <w:rPr>
          <w:szCs w:val="20"/>
          <w:lang w:val="en-US"/>
        </w:rPr>
        <w:t xml:space="preserve">ted an internationally wrongful act </w:t>
      </w:r>
      <w:r w:rsidR="005472DB" w:rsidRPr="00A50E4D">
        <w:rPr>
          <w:szCs w:val="20"/>
          <w:lang w:val="en-US"/>
        </w:rPr>
        <w:t>(</w:t>
      </w:r>
      <w:r w:rsidR="005472DB" w:rsidRPr="00A50E4D">
        <w:rPr>
          <w:i/>
          <w:szCs w:val="20"/>
          <w:lang w:val="en-US"/>
        </w:rPr>
        <w:t xml:space="preserve">supra </w:t>
      </w:r>
      <w:r w:rsidR="00AD5EE7" w:rsidRPr="00A50E4D">
        <w:rPr>
          <w:szCs w:val="20"/>
          <w:lang w:val="en-US"/>
        </w:rPr>
        <w:t>para.</w:t>
      </w:r>
      <w:r w:rsidR="005472DB" w:rsidRPr="00A50E4D">
        <w:rPr>
          <w:szCs w:val="20"/>
          <w:lang w:val="en-US"/>
        </w:rPr>
        <w:t xml:space="preserve"> </w:t>
      </w:r>
      <w:r w:rsidR="005472DB" w:rsidRPr="00914F55">
        <w:rPr>
          <w:szCs w:val="20"/>
          <w:lang w:val="en-US"/>
        </w:rPr>
        <w:fldChar w:fldCharType="begin"/>
      </w:r>
      <w:r w:rsidR="005472DB" w:rsidRPr="00A50E4D">
        <w:rPr>
          <w:szCs w:val="20"/>
          <w:lang w:val="en-US"/>
        </w:rPr>
        <w:instrText xml:space="preserve"> REF _Ref431553596 \r \h  \* MERGEFORMAT </w:instrText>
      </w:r>
      <w:r w:rsidR="005472DB" w:rsidRPr="00914F55">
        <w:rPr>
          <w:szCs w:val="20"/>
          <w:lang w:val="en-US"/>
        </w:rPr>
      </w:r>
      <w:r w:rsidR="005472DB" w:rsidRPr="00914F55">
        <w:rPr>
          <w:szCs w:val="20"/>
          <w:lang w:val="en-US"/>
        </w:rPr>
        <w:fldChar w:fldCharType="separate"/>
      </w:r>
      <w:r w:rsidR="00547588">
        <w:rPr>
          <w:szCs w:val="20"/>
          <w:lang w:val="en-US"/>
        </w:rPr>
        <w:t>152</w:t>
      </w:r>
      <w:r w:rsidR="005472DB" w:rsidRPr="00914F55">
        <w:rPr>
          <w:szCs w:val="20"/>
          <w:lang w:val="en-US"/>
        </w:rPr>
        <w:fldChar w:fldCharType="end"/>
      </w:r>
      <w:r w:rsidR="005472DB" w:rsidRPr="00A50E4D">
        <w:rPr>
          <w:szCs w:val="20"/>
          <w:lang w:val="en-US"/>
        </w:rPr>
        <w:t>),</w:t>
      </w:r>
      <w:r w:rsidR="00382405" w:rsidRPr="00A50E4D">
        <w:rPr>
          <w:szCs w:val="20"/>
          <w:lang w:val="en-US"/>
        </w:rPr>
        <w:t xml:space="preserve"> on the basis of which</w:t>
      </w:r>
      <w:r w:rsidR="00E4078E" w:rsidRPr="00A50E4D">
        <w:rPr>
          <w:szCs w:val="20"/>
          <w:lang w:val="en-US"/>
        </w:rPr>
        <w:t>, in July 2009,</w:t>
      </w:r>
      <w:r w:rsidR="00382405" w:rsidRPr="00A50E4D">
        <w:rPr>
          <w:szCs w:val="20"/>
          <w:lang w:val="en-US"/>
        </w:rPr>
        <w:t xml:space="preserve"> </w:t>
      </w:r>
      <w:r w:rsidR="0072698A" w:rsidRPr="00A50E4D">
        <w:rPr>
          <w:szCs w:val="20"/>
          <w:lang w:val="en-US"/>
        </w:rPr>
        <w:t>the OAS General Assembly</w:t>
      </w:r>
      <w:r w:rsidR="005472DB" w:rsidRPr="00A50E4D">
        <w:rPr>
          <w:szCs w:val="20"/>
          <w:lang w:val="en-US"/>
        </w:rPr>
        <w:t xml:space="preserve">, </w:t>
      </w:r>
      <w:r w:rsidR="00382405" w:rsidRPr="00A50E4D">
        <w:rPr>
          <w:szCs w:val="20"/>
          <w:lang w:val="en-US"/>
        </w:rPr>
        <w:t xml:space="preserve">in exercise of its competence and in application </w:t>
      </w:r>
      <w:r w:rsidR="0048601C" w:rsidRPr="00A50E4D">
        <w:rPr>
          <w:szCs w:val="20"/>
          <w:lang w:val="en-US"/>
        </w:rPr>
        <w:t>of Article</w:t>
      </w:r>
      <w:r w:rsidR="00E4078E" w:rsidRPr="00A50E4D">
        <w:rPr>
          <w:szCs w:val="20"/>
          <w:lang w:val="en-US"/>
        </w:rPr>
        <w:t>s</w:t>
      </w:r>
      <w:r w:rsidR="005472DB" w:rsidRPr="00A50E4D">
        <w:rPr>
          <w:szCs w:val="20"/>
          <w:lang w:val="en-US"/>
        </w:rPr>
        <w:t xml:space="preserve"> 21</w:t>
      </w:r>
      <w:r w:rsidR="00FF35A9" w:rsidRPr="00A50E4D">
        <w:rPr>
          <w:szCs w:val="20"/>
          <w:lang w:val="en-US"/>
        </w:rPr>
        <w:t xml:space="preserve"> of the </w:t>
      </w:r>
      <w:r w:rsidR="00E4078E" w:rsidRPr="00A50E4D">
        <w:rPr>
          <w:szCs w:val="20"/>
          <w:lang w:val="en-US"/>
        </w:rPr>
        <w:t xml:space="preserve">Inter-American </w:t>
      </w:r>
      <w:r w:rsidR="00382405" w:rsidRPr="00A50E4D">
        <w:rPr>
          <w:szCs w:val="20"/>
          <w:lang w:val="en-US"/>
        </w:rPr>
        <w:t>Democratic Charter</w:t>
      </w:r>
      <w:r w:rsidR="009808C5" w:rsidRPr="00A50E4D">
        <w:rPr>
          <w:szCs w:val="20"/>
          <w:lang w:val="en-US"/>
        </w:rPr>
        <w:t xml:space="preserve"> and </w:t>
      </w:r>
      <w:r w:rsidR="005472DB" w:rsidRPr="00A50E4D">
        <w:rPr>
          <w:szCs w:val="20"/>
          <w:lang w:val="en-US"/>
        </w:rPr>
        <w:t>9</w:t>
      </w:r>
      <w:r w:rsidR="00FF35A9" w:rsidRPr="00A50E4D">
        <w:rPr>
          <w:szCs w:val="20"/>
          <w:lang w:val="en-US"/>
        </w:rPr>
        <w:t xml:space="preserve"> of the </w:t>
      </w:r>
      <w:r w:rsidR="00382405" w:rsidRPr="00A50E4D">
        <w:rPr>
          <w:szCs w:val="20"/>
          <w:lang w:val="en-US"/>
        </w:rPr>
        <w:t>OAS Charter</w:t>
      </w:r>
      <w:r w:rsidR="00E4078E" w:rsidRPr="00A50E4D">
        <w:rPr>
          <w:szCs w:val="20"/>
          <w:lang w:val="en-US"/>
        </w:rPr>
        <w:t>,</w:t>
      </w:r>
      <w:r w:rsidR="00382405" w:rsidRPr="00A50E4D">
        <w:rPr>
          <w:szCs w:val="20"/>
          <w:lang w:val="en-US"/>
        </w:rPr>
        <w:t xml:space="preserve"> suspended </w:t>
      </w:r>
      <w:r w:rsidR="00E4078E" w:rsidRPr="00A50E4D">
        <w:rPr>
          <w:szCs w:val="20"/>
          <w:lang w:val="en-US"/>
        </w:rPr>
        <w:t>its right to participate in the O</w:t>
      </w:r>
      <w:r w:rsidR="00382405" w:rsidRPr="00A50E4D">
        <w:rPr>
          <w:szCs w:val="20"/>
          <w:lang w:val="en-US"/>
        </w:rPr>
        <w:t xml:space="preserve">rganization </w:t>
      </w:r>
      <w:r w:rsidR="005472DB" w:rsidRPr="00A50E4D">
        <w:rPr>
          <w:szCs w:val="20"/>
          <w:lang w:val="en-US"/>
        </w:rPr>
        <w:t>(</w:t>
      </w:r>
      <w:r w:rsidR="005472DB" w:rsidRPr="00A50E4D">
        <w:rPr>
          <w:i/>
          <w:szCs w:val="20"/>
          <w:lang w:val="en-US"/>
        </w:rPr>
        <w:t>supra</w:t>
      </w:r>
      <w:r w:rsidR="005472DB" w:rsidRPr="00A50E4D">
        <w:rPr>
          <w:szCs w:val="20"/>
          <w:lang w:val="en-US"/>
        </w:rPr>
        <w:t xml:space="preserve"> </w:t>
      </w:r>
      <w:r w:rsidR="00AD5EE7" w:rsidRPr="00A50E4D">
        <w:rPr>
          <w:szCs w:val="20"/>
          <w:lang w:val="en-US"/>
        </w:rPr>
        <w:t>para.</w:t>
      </w:r>
      <w:r w:rsidR="005472DB" w:rsidRPr="00A50E4D">
        <w:rPr>
          <w:szCs w:val="20"/>
          <w:lang w:val="en-US"/>
        </w:rPr>
        <w:t xml:space="preserve"> </w:t>
      </w:r>
      <w:r w:rsidR="005472DB" w:rsidRPr="00914F55">
        <w:rPr>
          <w:szCs w:val="20"/>
          <w:lang w:val="en-US"/>
        </w:rPr>
        <w:fldChar w:fldCharType="begin"/>
      </w:r>
      <w:r w:rsidR="005472DB" w:rsidRPr="00A50E4D">
        <w:rPr>
          <w:szCs w:val="20"/>
          <w:lang w:val="en-US"/>
        </w:rPr>
        <w:instrText xml:space="preserve"> REF _Ref431478335 \r \h  \* MERGEFORMAT </w:instrText>
      </w:r>
      <w:r w:rsidR="005472DB" w:rsidRPr="00914F55">
        <w:rPr>
          <w:szCs w:val="20"/>
          <w:lang w:val="en-US"/>
        </w:rPr>
      </w:r>
      <w:r w:rsidR="005472DB" w:rsidRPr="00914F55">
        <w:rPr>
          <w:szCs w:val="20"/>
          <w:lang w:val="en-US"/>
        </w:rPr>
        <w:fldChar w:fldCharType="separate"/>
      </w:r>
      <w:r w:rsidR="00547588">
        <w:rPr>
          <w:szCs w:val="20"/>
          <w:lang w:val="en-US"/>
        </w:rPr>
        <w:t>151</w:t>
      </w:r>
      <w:r w:rsidR="005472DB" w:rsidRPr="00914F55">
        <w:rPr>
          <w:szCs w:val="20"/>
          <w:lang w:val="en-US"/>
        </w:rPr>
        <w:fldChar w:fldCharType="end"/>
      </w:r>
      <w:r w:rsidR="005472DB" w:rsidRPr="00A50E4D">
        <w:rPr>
          <w:szCs w:val="20"/>
          <w:lang w:val="en-US"/>
        </w:rPr>
        <w:t xml:space="preserve">). </w:t>
      </w:r>
      <w:r w:rsidR="009808C5" w:rsidRPr="00A50E4D">
        <w:rPr>
          <w:szCs w:val="20"/>
          <w:lang w:val="en-US"/>
        </w:rPr>
        <w:t>The Court</w:t>
      </w:r>
      <w:r w:rsidR="005472DB" w:rsidRPr="00A50E4D">
        <w:rPr>
          <w:szCs w:val="20"/>
          <w:lang w:val="en-US"/>
        </w:rPr>
        <w:t xml:space="preserve"> </w:t>
      </w:r>
      <w:r w:rsidR="00E4078E" w:rsidRPr="00A50E4D">
        <w:rPr>
          <w:szCs w:val="20"/>
          <w:lang w:val="en-US"/>
        </w:rPr>
        <w:t xml:space="preserve">has </w:t>
      </w:r>
      <w:r w:rsidR="005472DB" w:rsidRPr="00A50E4D">
        <w:rPr>
          <w:szCs w:val="20"/>
          <w:lang w:val="en-US"/>
        </w:rPr>
        <w:t>conclu</w:t>
      </w:r>
      <w:r w:rsidR="00382405" w:rsidRPr="00A50E4D">
        <w:rPr>
          <w:szCs w:val="20"/>
          <w:lang w:val="en-US"/>
        </w:rPr>
        <w:t xml:space="preserve">ded that </w:t>
      </w:r>
      <w:r w:rsidR="00277E12" w:rsidRPr="00A50E4D">
        <w:rPr>
          <w:szCs w:val="20"/>
          <w:lang w:val="en-US"/>
        </w:rPr>
        <w:t>the disciplinary proceedings</w:t>
      </w:r>
      <w:r w:rsidR="005472DB" w:rsidRPr="00A50E4D">
        <w:rPr>
          <w:szCs w:val="20"/>
          <w:lang w:val="en-US"/>
        </w:rPr>
        <w:t xml:space="preserve"> </w:t>
      </w:r>
      <w:r w:rsidR="00FF35A9" w:rsidRPr="00A50E4D">
        <w:rPr>
          <w:szCs w:val="20"/>
          <w:lang w:val="en-US"/>
        </w:rPr>
        <w:t>against</w:t>
      </w:r>
      <w:r w:rsidR="005472DB" w:rsidRPr="00A50E4D">
        <w:rPr>
          <w:szCs w:val="20"/>
          <w:lang w:val="en-US"/>
        </w:rPr>
        <w:t xml:space="preserve"> </w:t>
      </w:r>
      <w:r w:rsidR="00382405" w:rsidRPr="00A50E4D">
        <w:rPr>
          <w:szCs w:val="20"/>
          <w:lang w:val="en-US"/>
        </w:rPr>
        <w:t>the four presumed</w:t>
      </w:r>
      <w:r w:rsidR="005472DB" w:rsidRPr="00A50E4D">
        <w:rPr>
          <w:szCs w:val="20"/>
          <w:lang w:val="en-US"/>
        </w:rPr>
        <w:t xml:space="preserve"> </w:t>
      </w:r>
      <w:r w:rsidR="004B0477" w:rsidRPr="00A50E4D">
        <w:rPr>
          <w:szCs w:val="20"/>
          <w:lang w:val="en-US"/>
        </w:rPr>
        <w:t>victims</w:t>
      </w:r>
      <w:r w:rsidR="005472DB" w:rsidRPr="00A50E4D">
        <w:rPr>
          <w:szCs w:val="20"/>
          <w:lang w:val="en-US"/>
        </w:rPr>
        <w:t xml:space="preserve"> </w:t>
      </w:r>
      <w:r w:rsidR="00382405" w:rsidRPr="00A50E4D">
        <w:rPr>
          <w:szCs w:val="20"/>
          <w:lang w:val="en-US"/>
        </w:rPr>
        <w:t xml:space="preserve">were instituted owing to their actions in defense of democracy and the rule of law </w:t>
      </w:r>
      <w:r w:rsidR="005472DB" w:rsidRPr="00A50E4D">
        <w:rPr>
          <w:szCs w:val="20"/>
          <w:lang w:val="en-US"/>
        </w:rPr>
        <w:t>(</w:t>
      </w:r>
      <w:r w:rsidR="005472DB" w:rsidRPr="00A50E4D">
        <w:rPr>
          <w:i/>
          <w:szCs w:val="20"/>
          <w:lang w:val="en-US"/>
        </w:rPr>
        <w:t xml:space="preserve">supra </w:t>
      </w:r>
      <w:r w:rsidR="00AD5EE7" w:rsidRPr="00A50E4D">
        <w:rPr>
          <w:szCs w:val="20"/>
          <w:lang w:val="en-US"/>
        </w:rPr>
        <w:t>para.</w:t>
      </w:r>
      <w:bookmarkStart w:id="330" w:name="_Ref427864529"/>
      <w:r w:rsidR="00303EC8" w:rsidRPr="00A50E4D">
        <w:rPr>
          <w:szCs w:val="20"/>
          <w:lang w:val="en-US"/>
        </w:rPr>
        <w:t xml:space="preserve"> </w:t>
      </w:r>
      <w:r w:rsidR="00303EC8" w:rsidRPr="00914F55">
        <w:rPr>
          <w:szCs w:val="20"/>
          <w:lang w:val="en-US"/>
        </w:rPr>
        <w:fldChar w:fldCharType="begin"/>
      </w:r>
      <w:r w:rsidR="00303EC8" w:rsidRPr="00A50E4D">
        <w:rPr>
          <w:szCs w:val="20"/>
          <w:lang w:val="en-US"/>
        </w:rPr>
        <w:instrText xml:space="preserve"> REF _Ref308455751 \r \h </w:instrText>
      </w:r>
      <w:r w:rsidR="00EA20A5" w:rsidRPr="00A50E4D">
        <w:rPr>
          <w:szCs w:val="20"/>
          <w:lang w:val="en-US"/>
        </w:rPr>
        <w:instrText xml:space="preserve"> \* MERGEFORMAT </w:instrText>
      </w:r>
      <w:r w:rsidR="00303EC8" w:rsidRPr="00914F55">
        <w:rPr>
          <w:szCs w:val="20"/>
          <w:lang w:val="en-US"/>
        </w:rPr>
      </w:r>
      <w:r w:rsidR="00303EC8" w:rsidRPr="00914F55">
        <w:rPr>
          <w:szCs w:val="20"/>
          <w:lang w:val="en-US"/>
        </w:rPr>
        <w:fldChar w:fldCharType="separate"/>
      </w:r>
      <w:r w:rsidR="00547588">
        <w:rPr>
          <w:szCs w:val="20"/>
          <w:lang w:val="en-US"/>
        </w:rPr>
        <w:t>155</w:t>
      </w:r>
      <w:r w:rsidR="00303EC8" w:rsidRPr="00914F55">
        <w:rPr>
          <w:szCs w:val="20"/>
          <w:lang w:val="en-US"/>
        </w:rPr>
        <w:fldChar w:fldCharType="end"/>
      </w:r>
      <w:r w:rsidR="005472DB" w:rsidRPr="00A50E4D">
        <w:rPr>
          <w:szCs w:val="20"/>
          <w:lang w:val="en-US"/>
        </w:rPr>
        <w:t>).</w:t>
      </w:r>
      <w:bookmarkEnd w:id="329"/>
      <w:r w:rsidR="005472DB" w:rsidRPr="00A50E4D">
        <w:rPr>
          <w:szCs w:val="20"/>
          <w:lang w:val="en-US"/>
        </w:rPr>
        <w:t xml:space="preserve"> </w:t>
      </w:r>
    </w:p>
    <w:p w14:paraId="749EB253" w14:textId="77777777" w:rsidR="005472DB" w:rsidRPr="00A50E4D" w:rsidRDefault="005472DB" w:rsidP="005472DB">
      <w:pPr>
        <w:rPr>
          <w:lang w:val="en-US" w:eastAsia="es-MX"/>
        </w:rPr>
      </w:pPr>
    </w:p>
    <w:p w14:paraId="072BFDF6" w14:textId="5EB129E1" w:rsidR="005472DB" w:rsidRPr="00A50E4D" w:rsidRDefault="009808C5" w:rsidP="005472DB">
      <w:pPr>
        <w:pStyle w:val="PrrafodeSentencia"/>
        <w:rPr>
          <w:szCs w:val="20"/>
          <w:lang w:val="en-US"/>
        </w:rPr>
      </w:pPr>
      <w:r w:rsidRPr="00A50E4D">
        <w:rPr>
          <w:szCs w:val="20"/>
          <w:lang w:val="en-US"/>
        </w:rPr>
        <w:t>The State</w:t>
      </w:r>
      <w:r w:rsidR="005472DB" w:rsidRPr="00A50E4D">
        <w:rPr>
          <w:szCs w:val="20"/>
          <w:lang w:val="en-US"/>
        </w:rPr>
        <w:t xml:space="preserve"> a</w:t>
      </w:r>
      <w:r w:rsidR="00A33F66" w:rsidRPr="00A50E4D">
        <w:rPr>
          <w:szCs w:val="20"/>
          <w:lang w:val="en-US"/>
        </w:rPr>
        <w:t>rgued that “the sanctions and dismissals of [</w:t>
      </w:r>
      <w:r w:rsidR="00371BB7" w:rsidRPr="00A50E4D">
        <w:rPr>
          <w:szCs w:val="20"/>
          <w:lang w:val="en-US"/>
        </w:rPr>
        <w:t>the presumed victims</w:t>
      </w:r>
      <w:r w:rsidR="005472DB" w:rsidRPr="00A50E4D">
        <w:rPr>
          <w:szCs w:val="20"/>
          <w:lang w:val="en-US"/>
        </w:rPr>
        <w:t xml:space="preserve">] </w:t>
      </w:r>
      <w:r w:rsidR="00A33F66" w:rsidRPr="00A50E4D">
        <w:rPr>
          <w:szCs w:val="20"/>
          <w:lang w:val="en-US"/>
        </w:rPr>
        <w:t xml:space="preserve">were based solely on the fact that they carried out acts that were </w:t>
      </w:r>
      <w:r w:rsidR="000A786A" w:rsidRPr="00A50E4D">
        <w:rPr>
          <w:szCs w:val="20"/>
          <w:lang w:val="en-US"/>
        </w:rPr>
        <w:t>expressly</w:t>
      </w:r>
      <w:r w:rsidR="00A33F66" w:rsidRPr="00A50E4D">
        <w:rPr>
          <w:szCs w:val="20"/>
          <w:lang w:val="en-US"/>
        </w:rPr>
        <w:t xml:space="preserve"> prohibited to judges by Honduran law.</w:t>
      </w:r>
      <w:r w:rsidR="005472DB" w:rsidRPr="00A50E4D">
        <w:rPr>
          <w:szCs w:val="20"/>
          <w:lang w:val="en-US"/>
        </w:rPr>
        <w:t>”</w:t>
      </w:r>
      <w:r w:rsidR="005472DB" w:rsidRPr="00A50E4D">
        <w:rPr>
          <w:rStyle w:val="FootnoteReference"/>
          <w:sz w:val="20"/>
          <w:szCs w:val="20"/>
          <w:lang w:val="en-US"/>
        </w:rPr>
        <w:footnoteReference w:id="395"/>
      </w:r>
      <w:r w:rsidR="005472DB" w:rsidRPr="00A50E4D">
        <w:rPr>
          <w:szCs w:val="20"/>
          <w:lang w:val="en-US"/>
        </w:rPr>
        <w:t xml:space="preserve"> </w:t>
      </w:r>
      <w:r w:rsidR="00A33F66" w:rsidRPr="00A50E4D">
        <w:rPr>
          <w:szCs w:val="20"/>
          <w:lang w:val="en-US"/>
        </w:rPr>
        <w:t xml:space="preserve">However, in addition to its findings in </w:t>
      </w:r>
      <w:r w:rsidR="00CC78C7" w:rsidRPr="00A50E4D">
        <w:rPr>
          <w:szCs w:val="20"/>
          <w:lang w:val="en-US"/>
        </w:rPr>
        <w:t>Chapter</w:t>
      </w:r>
      <w:r w:rsidR="005472DB" w:rsidRPr="00A50E4D">
        <w:rPr>
          <w:szCs w:val="20"/>
          <w:lang w:val="en-US"/>
        </w:rPr>
        <w:t xml:space="preserve"> VII</w:t>
      </w:r>
      <w:r w:rsidR="00816CCF" w:rsidRPr="00A50E4D">
        <w:rPr>
          <w:szCs w:val="20"/>
          <w:lang w:val="en-US"/>
        </w:rPr>
        <w:t>-</w:t>
      </w:r>
      <w:r w:rsidR="005472DB" w:rsidRPr="00A50E4D">
        <w:rPr>
          <w:szCs w:val="20"/>
          <w:lang w:val="en-US"/>
        </w:rPr>
        <w:t xml:space="preserve">1 </w:t>
      </w:r>
      <w:r w:rsidR="005472DB" w:rsidRPr="00A50E4D">
        <w:rPr>
          <w:i/>
          <w:szCs w:val="20"/>
          <w:lang w:val="en-US"/>
        </w:rPr>
        <w:t>supra</w:t>
      </w:r>
      <w:r w:rsidR="005472DB" w:rsidRPr="00A50E4D">
        <w:rPr>
          <w:szCs w:val="20"/>
          <w:lang w:val="en-US"/>
        </w:rPr>
        <w:t xml:space="preserve">, </w:t>
      </w:r>
      <w:r w:rsidR="00A33F66" w:rsidRPr="00A50E4D">
        <w:rPr>
          <w:szCs w:val="20"/>
          <w:lang w:val="en-US"/>
        </w:rPr>
        <w:t xml:space="preserve">this Court notes that all the conducts penalized by </w:t>
      </w:r>
      <w:r w:rsidRPr="00A50E4D">
        <w:rPr>
          <w:szCs w:val="20"/>
          <w:lang w:val="en-US"/>
        </w:rPr>
        <w:t xml:space="preserve">the </w:t>
      </w:r>
      <w:r w:rsidR="00700DEC" w:rsidRPr="00A50E4D">
        <w:rPr>
          <w:szCs w:val="20"/>
          <w:lang w:val="en-US"/>
        </w:rPr>
        <w:t>Supreme Court</w:t>
      </w:r>
      <w:r w:rsidRPr="00A50E4D">
        <w:rPr>
          <w:szCs w:val="20"/>
          <w:lang w:val="en-US"/>
        </w:rPr>
        <w:t xml:space="preserve"> and </w:t>
      </w:r>
      <w:r w:rsidR="00A33F66" w:rsidRPr="00A50E4D">
        <w:rPr>
          <w:szCs w:val="20"/>
          <w:lang w:val="en-US"/>
        </w:rPr>
        <w:t xml:space="preserve">which gave rise to </w:t>
      </w:r>
      <w:r w:rsidR="00277E12" w:rsidRPr="00A50E4D">
        <w:rPr>
          <w:szCs w:val="20"/>
          <w:lang w:val="en-US"/>
        </w:rPr>
        <w:t>the disciplinary proceedings</w:t>
      </w:r>
      <w:r w:rsidR="00371BB7" w:rsidRPr="00A50E4D">
        <w:rPr>
          <w:szCs w:val="20"/>
          <w:lang w:val="en-US"/>
        </w:rPr>
        <w:t xml:space="preserve"> of the presumed victims</w:t>
      </w:r>
      <w:r w:rsidR="005472DB" w:rsidRPr="00A50E4D">
        <w:rPr>
          <w:szCs w:val="20"/>
          <w:lang w:val="en-US"/>
        </w:rPr>
        <w:t xml:space="preserve"> </w:t>
      </w:r>
      <w:r w:rsidR="00A33F66" w:rsidRPr="00A50E4D">
        <w:rPr>
          <w:szCs w:val="20"/>
          <w:lang w:val="en-US"/>
        </w:rPr>
        <w:t xml:space="preserve">were related to </w:t>
      </w:r>
      <w:r w:rsidR="00371BB7" w:rsidRPr="00A50E4D">
        <w:rPr>
          <w:szCs w:val="20"/>
          <w:lang w:val="en-US"/>
        </w:rPr>
        <w:t xml:space="preserve">the </w:t>
      </w:r>
      <w:r w:rsidR="00A33F66" w:rsidRPr="00A50E4D">
        <w:rPr>
          <w:szCs w:val="20"/>
          <w:lang w:val="en-US"/>
        </w:rPr>
        <w:t xml:space="preserve">2009 </w:t>
      </w:r>
      <w:r w:rsidR="00B11ACA" w:rsidRPr="00A50E4D">
        <w:rPr>
          <w:i/>
          <w:szCs w:val="20"/>
          <w:lang w:val="en-US"/>
        </w:rPr>
        <w:t>coup d’état</w:t>
      </w:r>
      <w:r w:rsidR="005472DB" w:rsidRPr="00A50E4D">
        <w:rPr>
          <w:szCs w:val="20"/>
          <w:lang w:val="en-US"/>
        </w:rPr>
        <w:t xml:space="preserve"> </w:t>
      </w:r>
      <w:r w:rsidR="00A33F66" w:rsidRPr="00A50E4D">
        <w:rPr>
          <w:szCs w:val="20"/>
          <w:lang w:val="en-US"/>
        </w:rPr>
        <w:t xml:space="preserve">and the actions taken by </w:t>
      </w:r>
      <w:r w:rsidR="00371BB7" w:rsidRPr="00A50E4D">
        <w:rPr>
          <w:szCs w:val="20"/>
          <w:lang w:val="en-US"/>
        </w:rPr>
        <w:t>the presumed victims</w:t>
      </w:r>
      <w:r w:rsidR="005472DB" w:rsidRPr="00A50E4D">
        <w:rPr>
          <w:szCs w:val="20"/>
          <w:lang w:val="en-US"/>
        </w:rPr>
        <w:t xml:space="preserve"> </w:t>
      </w:r>
      <w:r w:rsidR="00FF35A9" w:rsidRPr="00A50E4D">
        <w:rPr>
          <w:szCs w:val="20"/>
          <w:lang w:val="en-US"/>
        </w:rPr>
        <w:t>against</w:t>
      </w:r>
      <w:r w:rsidR="00A33F66" w:rsidRPr="00A50E4D">
        <w:rPr>
          <w:szCs w:val="20"/>
          <w:lang w:val="en-US"/>
        </w:rPr>
        <w:t xml:space="preserve"> what happened, in open contradiction to the position adopted by the country’s highest judicial organ. Thus, </w:t>
      </w:r>
      <w:r w:rsidRPr="00A50E4D">
        <w:rPr>
          <w:szCs w:val="20"/>
          <w:lang w:val="en-US"/>
        </w:rPr>
        <w:t xml:space="preserve">the </w:t>
      </w:r>
      <w:r w:rsidR="00371BB7" w:rsidRPr="00A50E4D">
        <w:rPr>
          <w:szCs w:val="20"/>
          <w:lang w:val="en-US"/>
        </w:rPr>
        <w:t>Supreme Court of Justice</w:t>
      </w:r>
      <w:r w:rsidR="005472DB" w:rsidRPr="00A50E4D">
        <w:rPr>
          <w:szCs w:val="20"/>
          <w:lang w:val="en-US"/>
        </w:rPr>
        <w:t xml:space="preserve"> orde</w:t>
      </w:r>
      <w:r w:rsidR="00A33F66" w:rsidRPr="00A50E4D">
        <w:rPr>
          <w:szCs w:val="20"/>
          <w:lang w:val="en-US"/>
        </w:rPr>
        <w:t>red the dismissal of the</w:t>
      </w:r>
      <w:r w:rsidR="005472DB" w:rsidRPr="00A50E4D">
        <w:rPr>
          <w:szCs w:val="20"/>
          <w:lang w:val="en-US"/>
        </w:rPr>
        <w:t xml:space="preserve"> </w:t>
      </w:r>
      <w:r w:rsidRPr="00A50E4D">
        <w:rPr>
          <w:szCs w:val="20"/>
          <w:lang w:val="en-US"/>
        </w:rPr>
        <w:t xml:space="preserve">judges and </w:t>
      </w:r>
      <w:r w:rsidR="00A33F66" w:rsidRPr="00A50E4D">
        <w:rPr>
          <w:szCs w:val="20"/>
          <w:lang w:val="en-US"/>
        </w:rPr>
        <w:t xml:space="preserve">the justice, presumed </w:t>
      </w:r>
      <w:r w:rsidR="004B0477" w:rsidRPr="00A50E4D">
        <w:rPr>
          <w:szCs w:val="20"/>
          <w:lang w:val="en-US"/>
        </w:rPr>
        <w:t>victims</w:t>
      </w:r>
      <w:r w:rsidR="005472DB" w:rsidRPr="00A50E4D">
        <w:rPr>
          <w:szCs w:val="20"/>
          <w:lang w:val="en-US"/>
        </w:rPr>
        <w:t xml:space="preserve"> </w:t>
      </w:r>
      <w:r w:rsidR="00277E12" w:rsidRPr="00A50E4D">
        <w:rPr>
          <w:szCs w:val="20"/>
          <w:lang w:val="en-US"/>
        </w:rPr>
        <w:t>in this case</w:t>
      </w:r>
      <w:r w:rsidR="00AA55F5" w:rsidRPr="00A50E4D">
        <w:rPr>
          <w:szCs w:val="20"/>
          <w:lang w:val="en-US"/>
        </w:rPr>
        <w:t xml:space="preserve">, </w:t>
      </w:r>
      <w:r w:rsidR="00A33F66" w:rsidRPr="00A50E4D">
        <w:rPr>
          <w:szCs w:val="20"/>
          <w:lang w:val="en-US"/>
        </w:rPr>
        <w:t>among other reasons, for taking part in a protest against</w:t>
      </w:r>
      <w:r w:rsidR="004626E5" w:rsidRPr="00A50E4D">
        <w:rPr>
          <w:szCs w:val="20"/>
          <w:lang w:val="en-US"/>
        </w:rPr>
        <w:t xml:space="preserve"> the </w:t>
      </w:r>
      <w:r w:rsidR="00B11ACA" w:rsidRPr="00A50E4D">
        <w:rPr>
          <w:i/>
          <w:szCs w:val="20"/>
          <w:lang w:val="en-US"/>
        </w:rPr>
        <w:t>coup d’état</w:t>
      </w:r>
      <w:r w:rsidR="005472DB" w:rsidRPr="00A50E4D">
        <w:rPr>
          <w:szCs w:val="20"/>
          <w:lang w:val="en-US"/>
        </w:rPr>
        <w:t xml:space="preserve"> (Adán Guillermo López Lone, </w:t>
      </w:r>
      <w:r w:rsidR="005472DB" w:rsidRPr="00A50E4D">
        <w:rPr>
          <w:i/>
          <w:szCs w:val="20"/>
          <w:lang w:val="en-US"/>
        </w:rPr>
        <w:t>supra</w:t>
      </w:r>
      <w:r w:rsidR="005472DB" w:rsidRPr="00A50E4D">
        <w:rPr>
          <w:szCs w:val="20"/>
          <w:lang w:val="en-US"/>
        </w:rPr>
        <w:t xml:space="preserve"> </w:t>
      </w:r>
      <w:r w:rsidR="00AD5EE7" w:rsidRPr="00A50E4D">
        <w:rPr>
          <w:szCs w:val="20"/>
          <w:lang w:val="en-US"/>
        </w:rPr>
        <w:t>para.</w:t>
      </w:r>
      <w:r w:rsidR="005472DB" w:rsidRPr="00A50E4D">
        <w:rPr>
          <w:szCs w:val="20"/>
          <w:lang w:val="en-US"/>
        </w:rPr>
        <w:t xml:space="preserve"> </w:t>
      </w:r>
      <w:r w:rsidR="005472DB" w:rsidRPr="00914F55">
        <w:rPr>
          <w:lang w:val="en-US"/>
        </w:rPr>
        <w:fldChar w:fldCharType="begin"/>
      </w:r>
      <w:r w:rsidR="005472DB" w:rsidRPr="00A50E4D">
        <w:rPr>
          <w:lang w:val="en-US"/>
        </w:rPr>
        <w:instrText xml:space="preserve"> REF _Ref427311472 \r \h  \* MERGEFORMAT </w:instrText>
      </w:r>
      <w:r w:rsidR="005472DB" w:rsidRPr="00914F55">
        <w:rPr>
          <w:lang w:val="en-US"/>
        </w:rPr>
      </w:r>
      <w:r w:rsidR="005472DB" w:rsidRPr="00914F55">
        <w:rPr>
          <w:lang w:val="en-US"/>
        </w:rPr>
        <w:fldChar w:fldCharType="separate"/>
      </w:r>
      <w:r w:rsidR="00547588" w:rsidRPr="00547588">
        <w:rPr>
          <w:szCs w:val="20"/>
          <w:lang w:val="en-US"/>
        </w:rPr>
        <w:t>95</w:t>
      </w:r>
      <w:r w:rsidR="005472DB" w:rsidRPr="00914F55">
        <w:rPr>
          <w:lang w:val="en-US"/>
        </w:rPr>
        <w:fldChar w:fldCharType="end"/>
      </w:r>
      <w:r w:rsidR="005472DB" w:rsidRPr="00A50E4D">
        <w:rPr>
          <w:szCs w:val="20"/>
          <w:lang w:val="en-US"/>
        </w:rPr>
        <w:t xml:space="preserve">), </w:t>
      </w:r>
      <w:r w:rsidR="00A33F66" w:rsidRPr="00A50E4D">
        <w:rPr>
          <w:szCs w:val="20"/>
          <w:lang w:val="en-US"/>
        </w:rPr>
        <w:t xml:space="preserve">for presumably having taken part in a demonstration against </w:t>
      </w:r>
      <w:r w:rsidR="004626E5" w:rsidRPr="00A50E4D">
        <w:rPr>
          <w:szCs w:val="20"/>
          <w:lang w:val="en-US"/>
        </w:rPr>
        <w:t xml:space="preserve">the </w:t>
      </w:r>
      <w:r w:rsidR="00B11ACA" w:rsidRPr="00A50E4D">
        <w:rPr>
          <w:i/>
          <w:szCs w:val="20"/>
          <w:lang w:val="en-US"/>
        </w:rPr>
        <w:t>coup d’état</w:t>
      </w:r>
      <w:r w:rsidR="005472DB" w:rsidRPr="00A50E4D">
        <w:rPr>
          <w:szCs w:val="20"/>
          <w:lang w:val="en-US"/>
        </w:rPr>
        <w:t xml:space="preserve"> (Luis Alonso </w:t>
      </w:r>
      <w:r w:rsidR="009A7056" w:rsidRPr="00A50E4D">
        <w:rPr>
          <w:szCs w:val="20"/>
          <w:lang w:val="en-US"/>
        </w:rPr>
        <w:t>Chévez de la Rocha</w:t>
      </w:r>
      <w:r w:rsidR="005472DB" w:rsidRPr="00A50E4D">
        <w:rPr>
          <w:szCs w:val="20"/>
          <w:lang w:val="en-US"/>
        </w:rPr>
        <w:t xml:space="preserve">, </w:t>
      </w:r>
      <w:r w:rsidR="005472DB" w:rsidRPr="00A50E4D">
        <w:rPr>
          <w:i/>
          <w:szCs w:val="20"/>
          <w:lang w:val="en-US"/>
        </w:rPr>
        <w:t>supra</w:t>
      </w:r>
      <w:r w:rsidR="005472DB" w:rsidRPr="00A50E4D">
        <w:rPr>
          <w:szCs w:val="20"/>
          <w:lang w:val="en-US"/>
        </w:rPr>
        <w:t xml:space="preserve"> </w:t>
      </w:r>
      <w:r w:rsidR="00AD5EE7" w:rsidRPr="00A50E4D">
        <w:rPr>
          <w:szCs w:val="20"/>
          <w:lang w:val="en-US"/>
        </w:rPr>
        <w:t>para.</w:t>
      </w:r>
      <w:r w:rsidR="005472DB" w:rsidRPr="00A50E4D">
        <w:rPr>
          <w:szCs w:val="20"/>
          <w:lang w:val="en-US"/>
        </w:rPr>
        <w:t xml:space="preserve"> </w:t>
      </w:r>
      <w:r w:rsidR="005472DB" w:rsidRPr="00914F55">
        <w:rPr>
          <w:lang w:val="en-US"/>
        </w:rPr>
        <w:fldChar w:fldCharType="begin"/>
      </w:r>
      <w:r w:rsidR="005472DB" w:rsidRPr="00A50E4D">
        <w:rPr>
          <w:lang w:val="en-US"/>
        </w:rPr>
        <w:instrText xml:space="preserve"> REF _Ref426373726 \r \h  \* MERGEFORMAT </w:instrText>
      </w:r>
      <w:r w:rsidR="005472DB" w:rsidRPr="00914F55">
        <w:rPr>
          <w:lang w:val="en-US"/>
        </w:rPr>
      </w:r>
      <w:r w:rsidR="005472DB" w:rsidRPr="00914F55">
        <w:rPr>
          <w:lang w:val="en-US"/>
        </w:rPr>
        <w:fldChar w:fldCharType="separate"/>
      </w:r>
      <w:r w:rsidR="00547588" w:rsidRPr="00547588">
        <w:rPr>
          <w:szCs w:val="20"/>
          <w:lang w:val="en-US"/>
        </w:rPr>
        <w:t>132</w:t>
      </w:r>
      <w:r w:rsidR="005472DB" w:rsidRPr="00914F55">
        <w:rPr>
          <w:lang w:val="en-US"/>
        </w:rPr>
        <w:fldChar w:fldCharType="end"/>
      </w:r>
      <w:r w:rsidR="005472DB" w:rsidRPr="00A50E4D">
        <w:rPr>
          <w:szCs w:val="20"/>
          <w:lang w:val="en-US"/>
        </w:rPr>
        <w:t xml:space="preserve">), </w:t>
      </w:r>
      <w:r w:rsidR="00A33F66" w:rsidRPr="00A50E4D">
        <w:rPr>
          <w:szCs w:val="20"/>
          <w:lang w:val="en-US"/>
        </w:rPr>
        <w:t xml:space="preserve">for </w:t>
      </w:r>
      <w:r w:rsidR="000B62CF" w:rsidRPr="00A50E4D">
        <w:rPr>
          <w:szCs w:val="20"/>
          <w:lang w:val="en-US"/>
        </w:rPr>
        <w:t>practicing</w:t>
      </w:r>
      <w:r w:rsidR="00E4078E" w:rsidRPr="00A50E4D">
        <w:rPr>
          <w:szCs w:val="20"/>
          <w:lang w:val="en-US"/>
        </w:rPr>
        <w:t xml:space="preserve"> law </w:t>
      </w:r>
      <w:r w:rsidRPr="00A50E4D">
        <w:rPr>
          <w:szCs w:val="20"/>
          <w:lang w:val="en-US"/>
        </w:rPr>
        <w:t xml:space="preserve">and </w:t>
      </w:r>
      <w:r w:rsidR="00A33F66" w:rsidRPr="00A50E4D">
        <w:rPr>
          <w:szCs w:val="20"/>
          <w:lang w:val="en-US"/>
        </w:rPr>
        <w:t>filing a crimina</w:t>
      </w:r>
      <w:r w:rsidR="000A786A" w:rsidRPr="00A50E4D">
        <w:rPr>
          <w:szCs w:val="20"/>
          <w:lang w:val="en-US"/>
        </w:rPr>
        <w:t>l</w:t>
      </w:r>
      <w:r w:rsidR="00A33F66" w:rsidRPr="00A50E4D">
        <w:rPr>
          <w:szCs w:val="20"/>
          <w:lang w:val="en-US"/>
        </w:rPr>
        <w:t xml:space="preserve"> complaint </w:t>
      </w:r>
      <w:r w:rsidR="00FF35A9" w:rsidRPr="00A50E4D">
        <w:rPr>
          <w:szCs w:val="20"/>
          <w:lang w:val="en-US"/>
        </w:rPr>
        <w:t>against</w:t>
      </w:r>
      <w:r w:rsidR="00A33F66" w:rsidRPr="00A50E4D">
        <w:rPr>
          <w:szCs w:val="20"/>
          <w:lang w:val="en-US"/>
        </w:rPr>
        <w:t xml:space="preserve"> the </w:t>
      </w:r>
      <w:r w:rsidR="00B11ACA" w:rsidRPr="00A50E4D">
        <w:rPr>
          <w:i/>
          <w:szCs w:val="20"/>
          <w:lang w:val="en-US"/>
        </w:rPr>
        <w:t>coup d’état</w:t>
      </w:r>
      <w:r w:rsidR="00A33F66" w:rsidRPr="00A50E4D">
        <w:rPr>
          <w:szCs w:val="20"/>
          <w:lang w:val="en-US"/>
        </w:rPr>
        <w:t xml:space="preserve"> </w:t>
      </w:r>
      <w:r w:rsidR="005472DB" w:rsidRPr="00A50E4D">
        <w:rPr>
          <w:szCs w:val="20"/>
          <w:lang w:val="en-US"/>
        </w:rPr>
        <w:t xml:space="preserve">(Tirza Flores Lanza, </w:t>
      </w:r>
      <w:r w:rsidR="005472DB" w:rsidRPr="00A50E4D">
        <w:rPr>
          <w:i/>
          <w:szCs w:val="20"/>
          <w:lang w:val="en-US"/>
        </w:rPr>
        <w:t>supra</w:t>
      </w:r>
      <w:r w:rsidR="005472DB" w:rsidRPr="00A50E4D">
        <w:rPr>
          <w:szCs w:val="20"/>
          <w:lang w:val="en-US"/>
        </w:rPr>
        <w:t xml:space="preserve"> </w:t>
      </w:r>
      <w:r w:rsidR="00AD5EE7" w:rsidRPr="00A50E4D">
        <w:rPr>
          <w:szCs w:val="20"/>
          <w:lang w:val="en-US"/>
        </w:rPr>
        <w:t>para.</w:t>
      </w:r>
      <w:r w:rsidR="005472DB" w:rsidRPr="00A50E4D">
        <w:rPr>
          <w:szCs w:val="20"/>
          <w:lang w:val="en-US"/>
        </w:rPr>
        <w:t xml:space="preserve"> </w:t>
      </w:r>
      <w:r w:rsidR="005472DB" w:rsidRPr="00914F55">
        <w:rPr>
          <w:lang w:val="en-US"/>
        </w:rPr>
        <w:fldChar w:fldCharType="begin"/>
      </w:r>
      <w:r w:rsidR="005472DB" w:rsidRPr="00A50E4D">
        <w:rPr>
          <w:lang w:val="en-US"/>
        </w:rPr>
        <w:instrText xml:space="preserve"> REF _Ref427311483 \r \h  \* MERGEFORMAT </w:instrText>
      </w:r>
      <w:r w:rsidR="005472DB" w:rsidRPr="00914F55">
        <w:rPr>
          <w:lang w:val="en-US"/>
        </w:rPr>
      </w:r>
      <w:r w:rsidR="005472DB" w:rsidRPr="00914F55">
        <w:rPr>
          <w:lang w:val="en-US"/>
        </w:rPr>
        <w:fldChar w:fldCharType="separate"/>
      </w:r>
      <w:r w:rsidR="00547588" w:rsidRPr="00547588">
        <w:rPr>
          <w:szCs w:val="20"/>
          <w:lang w:val="en-US"/>
        </w:rPr>
        <w:t>115</w:t>
      </w:r>
      <w:r w:rsidR="005472DB" w:rsidRPr="00914F55">
        <w:rPr>
          <w:lang w:val="en-US"/>
        </w:rPr>
        <w:fldChar w:fldCharType="end"/>
      </w:r>
      <w:r w:rsidR="005472DB" w:rsidRPr="00A50E4D">
        <w:rPr>
          <w:szCs w:val="20"/>
          <w:lang w:val="en-US"/>
        </w:rPr>
        <w:t>)</w:t>
      </w:r>
      <w:r w:rsidRPr="00A50E4D">
        <w:rPr>
          <w:szCs w:val="20"/>
          <w:lang w:val="en-US"/>
        </w:rPr>
        <w:t xml:space="preserve"> and </w:t>
      </w:r>
      <w:r w:rsidR="00A33F66" w:rsidRPr="00A50E4D">
        <w:rPr>
          <w:szCs w:val="20"/>
          <w:lang w:val="en-US"/>
        </w:rPr>
        <w:t xml:space="preserve">for offering a legal and academic opinion </w:t>
      </w:r>
      <w:r w:rsidR="00E4078E" w:rsidRPr="00A50E4D">
        <w:rPr>
          <w:szCs w:val="20"/>
          <w:lang w:val="en-US"/>
        </w:rPr>
        <w:t>calling what happened</w:t>
      </w:r>
      <w:r w:rsidR="00A33F66" w:rsidRPr="00A50E4D">
        <w:rPr>
          <w:szCs w:val="20"/>
          <w:lang w:val="en-US"/>
        </w:rPr>
        <w:t xml:space="preserve"> a</w:t>
      </w:r>
      <w:r w:rsidR="005472DB" w:rsidRPr="00A50E4D">
        <w:rPr>
          <w:szCs w:val="20"/>
          <w:lang w:val="en-US"/>
        </w:rPr>
        <w:t xml:space="preserve"> </w:t>
      </w:r>
      <w:r w:rsidR="00B11ACA" w:rsidRPr="00A50E4D">
        <w:rPr>
          <w:i/>
          <w:szCs w:val="20"/>
          <w:lang w:val="en-US"/>
        </w:rPr>
        <w:t>coup d’état</w:t>
      </w:r>
      <w:r w:rsidR="005472DB" w:rsidRPr="00A50E4D">
        <w:rPr>
          <w:szCs w:val="20"/>
          <w:lang w:val="en-US"/>
        </w:rPr>
        <w:t xml:space="preserve"> (Ramón Barrios Maldonado, </w:t>
      </w:r>
      <w:r w:rsidR="005472DB" w:rsidRPr="00A50E4D">
        <w:rPr>
          <w:i/>
          <w:szCs w:val="20"/>
          <w:lang w:val="en-US"/>
        </w:rPr>
        <w:t>supra</w:t>
      </w:r>
      <w:r w:rsidR="005472DB" w:rsidRPr="00A50E4D">
        <w:rPr>
          <w:szCs w:val="20"/>
          <w:lang w:val="en-US"/>
        </w:rPr>
        <w:t xml:space="preserve"> </w:t>
      </w:r>
      <w:r w:rsidR="00AD5EE7" w:rsidRPr="00A50E4D">
        <w:rPr>
          <w:szCs w:val="20"/>
          <w:lang w:val="en-US"/>
        </w:rPr>
        <w:t>para.</w:t>
      </w:r>
      <w:r w:rsidR="005472DB" w:rsidRPr="00A50E4D">
        <w:rPr>
          <w:szCs w:val="20"/>
          <w:lang w:val="en-US"/>
        </w:rPr>
        <w:t xml:space="preserve"> </w:t>
      </w:r>
      <w:r w:rsidR="005472DB" w:rsidRPr="00914F55">
        <w:rPr>
          <w:lang w:val="en-US"/>
        </w:rPr>
        <w:fldChar w:fldCharType="begin"/>
      </w:r>
      <w:r w:rsidR="005472DB" w:rsidRPr="00A50E4D">
        <w:rPr>
          <w:lang w:val="en-US"/>
        </w:rPr>
        <w:instrText xml:space="preserve"> REF _Ref426552215 \r \h  \* MERGEFORMAT </w:instrText>
      </w:r>
      <w:r w:rsidR="005472DB" w:rsidRPr="00914F55">
        <w:rPr>
          <w:lang w:val="en-US"/>
        </w:rPr>
      </w:r>
      <w:r w:rsidR="005472DB" w:rsidRPr="00914F55">
        <w:rPr>
          <w:lang w:val="en-US"/>
        </w:rPr>
        <w:fldChar w:fldCharType="separate"/>
      </w:r>
      <w:r w:rsidR="00547588" w:rsidRPr="00547588">
        <w:rPr>
          <w:szCs w:val="20"/>
          <w:lang w:val="en-US"/>
        </w:rPr>
        <w:t>145</w:t>
      </w:r>
      <w:r w:rsidR="005472DB" w:rsidRPr="00914F55">
        <w:rPr>
          <w:lang w:val="en-US"/>
        </w:rPr>
        <w:fldChar w:fldCharType="end"/>
      </w:r>
      <w:r w:rsidR="005472DB" w:rsidRPr="00A50E4D">
        <w:rPr>
          <w:szCs w:val="20"/>
          <w:lang w:val="en-US"/>
        </w:rPr>
        <w:t>).</w:t>
      </w:r>
      <w:bookmarkEnd w:id="330"/>
      <w:r w:rsidR="005472DB" w:rsidRPr="00A50E4D">
        <w:rPr>
          <w:szCs w:val="20"/>
          <w:lang w:val="en-US"/>
        </w:rPr>
        <w:t xml:space="preserve"> </w:t>
      </w:r>
    </w:p>
    <w:p w14:paraId="3DBA77BF" w14:textId="77777777" w:rsidR="005472DB" w:rsidRPr="00A50E4D" w:rsidRDefault="005472DB" w:rsidP="005472DB">
      <w:pPr>
        <w:rPr>
          <w:spacing w:val="-4"/>
          <w:lang w:val="en-US" w:eastAsia="es-MX"/>
        </w:rPr>
      </w:pPr>
    </w:p>
    <w:p w14:paraId="3590A8C3" w14:textId="08A2DBA9" w:rsidR="005472DB" w:rsidRPr="00A50E4D" w:rsidRDefault="00A33F66" w:rsidP="005472DB">
      <w:pPr>
        <w:pStyle w:val="PrrafodeSentencia"/>
        <w:rPr>
          <w:szCs w:val="20"/>
          <w:lang w:val="en-US"/>
        </w:rPr>
      </w:pPr>
      <w:r w:rsidRPr="00A50E4D">
        <w:rPr>
          <w:szCs w:val="20"/>
          <w:lang w:val="en-US"/>
        </w:rPr>
        <w:t xml:space="preserve">To the contrary, as revealed by the </w:t>
      </w:r>
      <w:r w:rsidRPr="00A50E4D">
        <w:rPr>
          <w:lang w:val="en-US"/>
        </w:rPr>
        <w:t xml:space="preserve">proven facts </w:t>
      </w:r>
      <w:r w:rsidR="005472DB" w:rsidRPr="00A50E4D">
        <w:rPr>
          <w:lang w:val="en-US"/>
        </w:rPr>
        <w:t>(</w:t>
      </w:r>
      <w:r w:rsidR="005472DB" w:rsidRPr="00A50E4D">
        <w:rPr>
          <w:i/>
          <w:lang w:val="en-US"/>
        </w:rPr>
        <w:t>supra</w:t>
      </w:r>
      <w:r w:rsidR="005472DB" w:rsidRPr="00A50E4D">
        <w:rPr>
          <w:lang w:val="en-US"/>
        </w:rPr>
        <w:t xml:space="preserve"> </w:t>
      </w:r>
      <w:r w:rsidR="00AD5EE7" w:rsidRPr="00A50E4D">
        <w:rPr>
          <w:lang w:val="en-US"/>
        </w:rPr>
        <w:t>paras.</w:t>
      </w:r>
      <w:r w:rsidR="005472DB" w:rsidRPr="00A50E4D">
        <w:rPr>
          <w:lang w:val="en-US"/>
        </w:rPr>
        <w:t xml:space="preserve"> </w:t>
      </w:r>
      <w:r w:rsidR="005472DB" w:rsidRPr="00914F55">
        <w:rPr>
          <w:lang w:val="en-US"/>
        </w:rPr>
        <w:fldChar w:fldCharType="begin"/>
      </w:r>
      <w:r w:rsidR="005472DB" w:rsidRPr="00A50E4D">
        <w:rPr>
          <w:lang w:val="en-US"/>
        </w:rPr>
        <w:instrText xml:space="preserve"> REF _Ref427311353 \r \h  \* MERGEFORMAT </w:instrText>
      </w:r>
      <w:r w:rsidR="005472DB" w:rsidRPr="00914F55">
        <w:rPr>
          <w:lang w:val="en-US"/>
        </w:rPr>
      </w:r>
      <w:r w:rsidR="005472DB" w:rsidRPr="00914F55">
        <w:rPr>
          <w:lang w:val="en-US"/>
        </w:rPr>
        <w:fldChar w:fldCharType="separate"/>
      </w:r>
      <w:r w:rsidR="00547588">
        <w:rPr>
          <w:lang w:val="en-US"/>
        </w:rPr>
        <w:t>61</w:t>
      </w:r>
      <w:r w:rsidR="005472DB" w:rsidRPr="00914F55">
        <w:rPr>
          <w:lang w:val="en-US"/>
        </w:rPr>
        <w:fldChar w:fldCharType="end"/>
      </w:r>
      <w:r w:rsidR="005472DB" w:rsidRPr="00A50E4D">
        <w:rPr>
          <w:b/>
          <w:lang w:val="en-US"/>
        </w:rPr>
        <w:t xml:space="preserve"> </w:t>
      </w:r>
      <w:r w:rsidRPr="00A50E4D">
        <w:rPr>
          <w:lang w:val="en-US"/>
        </w:rPr>
        <w:t>to</w:t>
      </w:r>
      <w:r w:rsidR="005472DB" w:rsidRPr="00A50E4D">
        <w:rPr>
          <w:lang w:val="en-US"/>
        </w:rPr>
        <w:t xml:space="preserve"> </w:t>
      </w:r>
      <w:r w:rsidR="005472DB" w:rsidRPr="00914F55">
        <w:rPr>
          <w:lang w:val="en-US"/>
        </w:rPr>
        <w:fldChar w:fldCharType="begin"/>
      </w:r>
      <w:r w:rsidR="005472DB" w:rsidRPr="00A50E4D">
        <w:rPr>
          <w:lang w:val="en-US"/>
        </w:rPr>
        <w:instrText xml:space="preserve"> REF _Ref427311356 \r \h  \* MERGEFORMAT </w:instrText>
      </w:r>
      <w:r w:rsidR="005472DB" w:rsidRPr="00914F55">
        <w:rPr>
          <w:lang w:val="en-US"/>
        </w:rPr>
      </w:r>
      <w:r w:rsidR="005472DB" w:rsidRPr="00914F55">
        <w:rPr>
          <w:lang w:val="en-US"/>
        </w:rPr>
        <w:fldChar w:fldCharType="separate"/>
      </w:r>
      <w:r w:rsidR="00547588">
        <w:rPr>
          <w:lang w:val="en-US"/>
        </w:rPr>
        <w:t>65</w:t>
      </w:r>
      <w:r w:rsidR="005472DB" w:rsidRPr="00914F55">
        <w:rPr>
          <w:lang w:val="en-US"/>
        </w:rPr>
        <w:fldChar w:fldCharType="end"/>
      </w:r>
      <w:r w:rsidR="005472DB" w:rsidRPr="00A50E4D">
        <w:rPr>
          <w:lang w:val="en-US"/>
        </w:rPr>
        <w:t xml:space="preserve">), </w:t>
      </w:r>
      <w:r w:rsidR="00CA5D96" w:rsidRPr="00A50E4D">
        <w:rPr>
          <w:lang w:val="en-US"/>
        </w:rPr>
        <w:t>the plenum</w:t>
      </w:r>
      <w:r w:rsidR="009808C5" w:rsidRPr="00A50E4D">
        <w:rPr>
          <w:lang w:val="en-US"/>
        </w:rPr>
        <w:t xml:space="preserve"> of the </w:t>
      </w:r>
      <w:r w:rsidR="00700DEC" w:rsidRPr="00A50E4D">
        <w:rPr>
          <w:lang w:val="en-US"/>
        </w:rPr>
        <w:t>Supreme Court</w:t>
      </w:r>
      <w:r w:rsidR="005472DB" w:rsidRPr="00A50E4D">
        <w:rPr>
          <w:lang w:val="en-US"/>
        </w:rPr>
        <w:t xml:space="preserve"> </w:t>
      </w:r>
      <w:r w:rsidRPr="00A50E4D">
        <w:rPr>
          <w:lang w:val="en-US"/>
        </w:rPr>
        <w:t xml:space="preserve">participated in </w:t>
      </w:r>
      <w:r w:rsidR="00371BB7" w:rsidRPr="00A50E4D">
        <w:rPr>
          <w:lang w:val="en-US"/>
        </w:rPr>
        <w:t xml:space="preserve">the </w:t>
      </w:r>
      <w:r w:rsidR="00B11ACA" w:rsidRPr="00A50E4D">
        <w:rPr>
          <w:i/>
          <w:lang w:val="en-US"/>
        </w:rPr>
        <w:t>coup d’état</w:t>
      </w:r>
      <w:r w:rsidR="005472DB" w:rsidRPr="00A50E4D">
        <w:rPr>
          <w:lang w:val="en-US"/>
        </w:rPr>
        <w:t xml:space="preserve"> defendi</w:t>
      </w:r>
      <w:r w:rsidRPr="00A50E4D">
        <w:rPr>
          <w:lang w:val="en-US"/>
        </w:rPr>
        <w:t xml:space="preserve">ng the legality of the deprivation of liberty of former </w:t>
      </w:r>
      <w:r w:rsidR="00700DEC" w:rsidRPr="00A50E4D">
        <w:rPr>
          <w:lang w:val="en-US"/>
        </w:rPr>
        <w:t>President</w:t>
      </w:r>
      <w:r w:rsidR="005472DB" w:rsidRPr="00A50E4D">
        <w:rPr>
          <w:lang w:val="en-US"/>
        </w:rPr>
        <w:t xml:space="preserve"> Zelaya</w:t>
      </w:r>
      <w:r w:rsidR="009808C5" w:rsidRPr="00A50E4D">
        <w:rPr>
          <w:lang w:val="en-US"/>
        </w:rPr>
        <w:t xml:space="preserve"> and </w:t>
      </w:r>
      <w:r w:rsidRPr="00A50E4D">
        <w:rPr>
          <w:lang w:val="en-US"/>
        </w:rPr>
        <w:t xml:space="preserve">his </w:t>
      </w:r>
      <w:r w:rsidR="00E4078E" w:rsidRPr="00A50E4D">
        <w:rPr>
          <w:lang w:val="en-US"/>
        </w:rPr>
        <w:t>overthrow</w:t>
      </w:r>
      <w:r w:rsidR="00035665" w:rsidRPr="00A50E4D">
        <w:rPr>
          <w:lang w:val="en-US"/>
        </w:rPr>
        <w:t xml:space="preserve">. </w:t>
      </w:r>
      <w:r w:rsidR="009808C5" w:rsidRPr="00A50E4D">
        <w:rPr>
          <w:lang w:val="en-US"/>
        </w:rPr>
        <w:t xml:space="preserve">The </w:t>
      </w:r>
      <w:r w:rsidR="00371BB7" w:rsidRPr="00A50E4D">
        <w:rPr>
          <w:lang w:val="en-US"/>
        </w:rPr>
        <w:t>Supreme Court of Justice</w:t>
      </w:r>
      <w:r w:rsidR="00035665" w:rsidRPr="00A50E4D">
        <w:rPr>
          <w:szCs w:val="20"/>
          <w:lang w:val="en-US"/>
        </w:rPr>
        <w:t xml:space="preserve">, in a court order </w:t>
      </w:r>
      <w:r w:rsidR="00410BBD" w:rsidRPr="00A50E4D">
        <w:rPr>
          <w:szCs w:val="20"/>
          <w:lang w:val="en-US"/>
        </w:rPr>
        <w:t xml:space="preserve">of </w:t>
      </w:r>
      <w:r w:rsidR="00C150F2" w:rsidRPr="00A50E4D">
        <w:rPr>
          <w:szCs w:val="20"/>
          <w:lang w:val="en-US"/>
        </w:rPr>
        <w:t>June</w:t>
      </w:r>
      <w:r w:rsidR="00410BBD" w:rsidRPr="00A50E4D">
        <w:rPr>
          <w:szCs w:val="20"/>
          <w:lang w:val="en-US"/>
        </w:rPr>
        <w:t xml:space="preserve"> 25,</w:t>
      </w:r>
      <w:r w:rsidR="005472DB" w:rsidRPr="00A50E4D">
        <w:rPr>
          <w:szCs w:val="20"/>
          <w:lang w:val="en-US"/>
        </w:rPr>
        <w:t xml:space="preserve"> 2009, </w:t>
      </w:r>
      <w:r w:rsidR="00035665" w:rsidRPr="00A50E4D">
        <w:rPr>
          <w:szCs w:val="20"/>
          <w:lang w:val="en-US"/>
        </w:rPr>
        <w:t xml:space="preserve">responded to the request </w:t>
      </w:r>
      <w:r w:rsidR="00E4078E" w:rsidRPr="00A50E4D">
        <w:rPr>
          <w:szCs w:val="20"/>
          <w:lang w:val="en-US"/>
        </w:rPr>
        <w:t>to indict</w:t>
      </w:r>
      <w:r w:rsidR="00035665" w:rsidRPr="00A50E4D">
        <w:rPr>
          <w:szCs w:val="20"/>
          <w:lang w:val="en-US"/>
        </w:rPr>
        <w:t xml:space="preserve"> </w:t>
      </w:r>
      <w:r w:rsidR="00700DEC" w:rsidRPr="00A50E4D">
        <w:rPr>
          <w:szCs w:val="20"/>
          <w:lang w:val="en-US"/>
        </w:rPr>
        <w:t>former President</w:t>
      </w:r>
      <w:r w:rsidR="005472DB" w:rsidRPr="00A50E4D">
        <w:rPr>
          <w:szCs w:val="20"/>
          <w:lang w:val="en-US"/>
        </w:rPr>
        <w:t xml:space="preserve"> Zelaya,</w:t>
      </w:r>
      <w:r w:rsidR="009808C5" w:rsidRPr="00A50E4D">
        <w:rPr>
          <w:szCs w:val="20"/>
          <w:lang w:val="en-US"/>
        </w:rPr>
        <w:t xml:space="preserve"> and </w:t>
      </w:r>
      <w:r w:rsidR="00035665" w:rsidRPr="00A50E4D">
        <w:rPr>
          <w:szCs w:val="20"/>
          <w:lang w:val="en-US"/>
        </w:rPr>
        <w:t>appointed an ordinary judge to hear the case.</w:t>
      </w:r>
      <w:r w:rsidR="005472DB" w:rsidRPr="00A50E4D">
        <w:rPr>
          <w:rStyle w:val="FootnoteReference"/>
          <w:sz w:val="20"/>
          <w:szCs w:val="20"/>
          <w:lang w:val="en-US"/>
        </w:rPr>
        <w:footnoteReference w:id="396"/>
      </w:r>
      <w:r w:rsidR="005472DB" w:rsidRPr="00A50E4D">
        <w:rPr>
          <w:szCs w:val="20"/>
          <w:lang w:val="en-US"/>
        </w:rPr>
        <w:t xml:space="preserve"> </w:t>
      </w:r>
      <w:r w:rsidR="00D03F60" w:rsidRPr="00A50E4D">
        <w:rPr>
          <w:szCs w:val="20"/>
          <w:lang w:val="en-US"/>
        </w:rPr>
        <w:t xml:space="preserve">On </w:t>
      </w:r>
      <w:r w:rsidR="00C150F2" w:rsidRPr="00A50E4D">
        <w:rPr>
          <w:szCs w:val="20"/>
          <w:lang w:val="en-US"/>
        </w:rPr>
        <w:t>June</w:t>
      </w:r>
      <w:r w:rsidR="00D03F60" w:rsidRPr="00A50E4D">
        <w:rPr>
          <w:szCs w:val="20"/>
          <w:lang w:val="en-US"/>
        </w:rPr>
        <w:t xml:space="preserve"> 26</w:t>
      </w:r>
      <w:r w:rsidR="00035665" w:rsidRPr="00A50E4D">
        <w:rPr>
          <w:szCs w:val="20"/>
          <w:lang w:val="en-US"/>
        </w:rPr>
        <w:t>,</w:t>
      </w:r>
      <w:r w:rsidR="005472DB" w:rsidRPr="00A50E4D">
        <w:rPr>
          <w:szCs w:val="20"/>
          <w:lang w:val="en-US"/>
        </w:rPr>
        <w:t xml:space="preserve"> 2009, </w:t>
      </w:r>
      <w:r w:rsidR="00035665" w:rsidRPr="00A50E4D">
        <w:rPr>
          <w:szCs w:val="20"/>
          <w:lang w:val="en-US"/>
        </w:rPr>
        <w:t xml:space="preserve">through the ordinary judge it had appointed, the Supreme Court issued an order to search the home of the </w:t>
      </w:r>
      <w:r w:rsidR="00E4078E" w:rsidRPr="00A50E4D">
        <w:rPr>
          <w:szCs w:val="20"/>
          <w:lang w:val="en-US"/>
        </w:rPr>
        <w:t xml:space="preserve">then </w:t>
      </w:r>
      <w:r w:rsidR="00035665" w:rsidRPr="00A50E4D">
        <w:rPr>
          <w:szCs w:val="20"/>
          <w:lang w:val="en-US"/>
        </w:rPr>
        <w:t xml:space="preserve">President, presuming that he was responsible for perpetrating wrongful acts against </w:t>
      </w:r>
      <w:r w:rsidR="00FF35A9" w:rsidRPr="00A50E4D">
        <w:rPr>
          <w:szCs w:val="20"/>
          <w:lang w:val="en-US"/>
        </w:rPr>
        <w:t xml:space="preserve">the </w:t>
      </w:r>
      <w:r w:rsidR="00E4078E" w:rsidRPr="00A50E4D">
        <w:rPr>
          <w:szCs w:val="20"/>
          <w:lang w:val="en-US"/>
        </w:rPr>
        <w:t>public a</w:t>
      </w:r>
      <w:r w:rsidR="00035665" w:rsidRPr="00A50E4D">
        <w:rPr>
          <w:szCs w:val="20"/>
          <w:lang w:val="en-US"/>
        </w:rPr>
        <w:t xml:space="preserve">dministration and </w:t>
      </w:r>
      <w:r w:rsidR="009808C5" w:rsidRPr="00A50E4D">
        <w:rPr>
          <w:szCs w:val="20"/>
          <w:lang w:val="en-US"/>
        </w:rPr>
        <w:t xml:space="preserve">the </w:t>
      </w:r>
      <w:r w:rsidR="0048601C" w:rsidRPr="00A50E4D">
        <w:rPr>
          <w:szCs w:val="20"/>
          <w:lang w:val="en-US"/>
        </w:rPr>
        <w:t>State of Honduras</w:t>
      </w:r>
      <w:r w:rsidR="00035665" w:rsidRPr="00A50E4D">
        <w:rPr>
          <w:szCs w:val="20"/>
          <w:lang w:val="en-US"/>
        </w:rPr>
        <w:t>.</w:t>
      </w:r>
      <w:r w:rsidR="005472DB" w:rsidRPr="00A50E4D">
        <w:rPr>
          <w:rStyle w:val="FootnoteReference"/>
          <w:sz w:val="20"/>
          <w:szCs w:val="20"/>
          <w:lang w:val="en-US"/>
        </w:rPr>
        <w:footnoteReference w:id="397"/>
      </w:r>
      <w:r w:rsidR="00035665" w:rsidRPr="00A50E4D">
        <w:rPr>
          <w:szCs w:val="20"/>
          <w:lang w:val="en-US"/>
        </w:rPr>
        <w:t xml:space="preserve"> On June 9, 2009, </w:t>
      </w:r>
      <w:r w:rsidR="005472DB" w:rsidRPr="00A50E4D">
        <w:rPr>
          <w:szCs w:val="20"/>
          <w:lang w:val="en-US"/>
        </w:rPr>
        <w:t xml:space="preserve">a </w:t>
      </w:r>
      <w:r w:rsidR="00035665" w:rsidRPr="00A50E4D">
        <w:rPr>
          <w:szCs w:val="20"/>
          <w:lang w:val="en-US"/>
        </w:rPr>
        <w:t>judge, “[o]</w:t>
      </w:r>
      <w:r w:rsidR="005472DB" w:rsidRPr="00A50E4D">
        <w:rPr>
          <w:szCs w:val="20"/>
          <w:lang w:val="en-US"/>
        </w:rPr>
        <w:t>n</w:t>
      </w:r>
      <w:r w:rsidR="00035665" w:rsidRPr="00A50E4D">
        <w:rPr>
          <w:szCs w:val="20"/>
          <w:lang w:val="en-US"/>
        </w:rPr>
        <w:t xml:space="preserve"> the instructions of that court of justice,” ordered the </w:t>
      </w:r>
      <w:r w:rsidR="00035665" w:rsidRPr="00A50E4D">
        <w:rPr>
          <w:szCs w:val="20"/>
          <w:lang w:val="en-US"/>
        </w:rPr>
        <w:lastRenderedPageBreak/>
        <w:t xml:space="preserve">immediate capture of former </w:t>
      </w:r>
      <w:r w:rsidR="00700DEC" w:rsidRPr="00A50E4D">
        <w:rPr>
          <w:szCs w:val="20"/>
          <w:lang w:val="en-US"/>
        </w:rPr>
        <w:t>President</w:t>
      </w:r>
      <w:r w:rsidR="005472DB" w:rsidRPr="00A50E4D">
        <w:rPr>
          <w:szCs w:val="20"/>
          <w:lang w:val="en-US"/>
        </w:rPr>
        <w:t xml:space="preserve"> Zelaya</w:t>
      </w:r>
      <w:r w:rsidR="005472DB" w:rsidRPr="00A50E4D">
        <w:rPr>
          <w:rStyle w:val="FootnoteReference"/>
          <w:sz w:val="20"/>
          <w:szCs w:val="20"/>
          <w:lang w:val="en-US"/>
        </w:rPr>
        <w:footnoteReference w:id="398"/>
      </w:r>
      <w:r w:rsidR="005472DB" w:rsidRPr="00A50E4D">
        <w:rPr>
          <w:szCs w:val="20"/>
          <w:lang w:val="en-US"/>
        </w:rPr>
        <w:t xml:space="preserve"> (</w:t>
      </w:r>
      <w:r w:rsidR="005472DB" w:rsidRPr="00A50E4D">
        <w:rPr>
          <w:i/>
          <w:szCs w:val="20"/>
          <w:lang w:val="en-US"/>
        </w:rPr>
        <w:t>supra</w:t>
      </w:r>
      <w:r w:rsidR="005472DB" w:rsidRPr="00A50E4D">
        <w:rPr>
          <w:szCs w:val="20"/>
          <w:lang w:val="en-US"/>
        </w:rPr>
        <w:t xml:space="preserve"> </w:t>
      </w:r>
      <w:r w:rsidR="00AD5EE7" w:rsidRPr="00A50E4D">
        <w:rPr>
          <w:szCs w:val="20"/>
          <w:lang w:val="en-US"/>
        </w:rPr>
        <w:t>paras.</w:t>
      </w:r>
      <w:r w:rsidR="005472DB" w:rsidRPr="00A50E4D">
        <w:rPr>
          <w:szCs w:val="20"/>
          <w:lang w:val="en-US"/>
        </w:rPr>
        <w:t xml:space="preserve"> </w:t>
      </w:r>
      <w:r w:rsidR="005472DB" w:rsidRPr="00914F55">
        <w:rPr>
          <w:lang w:val="en-US"/>
        </w:rPr>
        <w:fldChar w:fldCharType="begin"/>
      </w:r>
      <w:r w:rsidR="005472DB" w:rsidRPr="00A50E4D">
        <w:rPr>
          <w:lang w:val="en-US"/>
        </w:rPr>
        <w:instrText xml:space="preserve"> REF _Ref427311379 \r \h  \* MERGEFORMAT </w:instrText>
      </w:r>
      <w:r w:rsidR="005472DB" w:rsidRPr="00914F55">
        <w:rPr>
          <w:lang w:val="en-US"/>
        </w:rPr>
      </w:r>
      <w:r w:rsidR="005472DB" w:rsidRPr="00914F55">
        <w:rPr>
          <w:lang w:val="en-US"/>
        </w:rPr>
        <w:fldChar w:fldCharType="separate"/>
      </w:r>
      <w:r w:rsidR="00547588" w:rsidRPr="00547588">
        <w:rPr>
          <w:szCs w:val="20"/>
          <w:lang w:val="en-US"/>
        </w:rPr>
        <w:t>49</w:t>
      </w:r>
      <w:r w:rsidR="005472DB" w:rsidRPr="00914F55">
        <w:rPr>
          <w:lang w:val="en-US"/>
        </w:rPr>
        <w:fldChar w:fldCharType="end"/>
      </w:r>
      <w:r w:rsidR="009808C5" w:rsidRPr="00A50E4D">
        <w:rPr>
          <w:lang w:val="en-US"/>
        </w:rPr>
        <w:t xml:space="preserve"> and </w:t>
      </w:r>
      <w:r w:rsidR="005472DB" w:rsidRPr="00914F55">
        <w:rPr>
          <w:lang w:val="en-US"/>
        </w:rPr>
        <w:fldChar w:fldCharType="begin"/>
      </w:r>
      <w:r w:rsidR="005472DB" w:rsidRPr="00A50E4D">
        <w:rPr>
          <w:lang w:val="en-US"/>
        </w:rPr>
        <w:instrText xml:space="preserve"> REF _Ref427311388 \r \h  \* MERGEFORMAT </w:instrText>
      </w:r>
      <w:r w:rsidR="005472DB" w:rsidRPr="00914F55">
        <w:rPr>
          <w:lang w:val="en-US"/>
        </w:rPr>
      </w:r>
      <w:r w:rsidR="005472DB" w:rsidRPr="00914F55">
        <w:rPr>
          <w:lang w:val="en-US"/>
        </w:rPr>
        <w:fldChar w:fldCharType="separate"/>
      </w:r>
      <w:r w:rsidR="00547588">
        <w:rPr>
          <w:lang w:val="en-US"/>
        </w:rPr>
        <w:t>62</w:t>
      </w:r>
      <w:r w:rsidR="005472DB" w:rsidRPr="00914F55">
        <w:rPr>
          <w:lang w:val="en-US"/>
        </w:rPr>
        <w:fldChar w:fldCharType="end"/>
      </w:r>
      <w:r w:rsidR="005472DB" w:rsidRPr="00A50E4D">
        <w:rPr>
          <w:lang w:val="en-US"/>
        </w:rPr>
        <w:t xml:space="preserve">). </w:t>
      </w:r>
      <w:r w:rsidR="00035665" w:rsidRPr="00A50E4D">
        <w:rPr>
          <w:lang w:val="en-US"/>
        </w:rPr>
        <w:t xml:space="preserve">In addition, between </w:t>
      </w:r>
      <w:r w:rsidR="00C150F2" w:rsidRPr="00A50E4D">
        <w:rPr>
          <w:szCs w:val="20"/>
          <w:lang w:val="en-US"/>
        </w:rPr>
        <w:t>June 28, 2009</w:t>
      </w:r>
      <w:r w:rsidR="00035665" w:rsidRPr="00A50E4D">
        <w:rPr>
          <w:szCs w:val="20"/>
          <w:lang w:val="en-US"/>
        </w:rPr>
        <w:t>,</w:t>
      </w:r>
      <w:r w:rsidR="009808C5" w:rsidRPr="00A50E4D">
        <w:rPr>
          <w:szCs w:val="20"/>
          <w:lang w:val="en-US"/>
        </w:rPr>
        <w:t xml:space="preserve"> and </w:t>
      </w:r>
      <w:r w:rsidR="00035665" w:rsidRPr="00A50E4D">
        <w:rPr>
          <w:szCs w:val="20"/>
          <w:lang w:val="en-US"/>
        </w:rPr>
        <w:t xml:space="preserve">August 21, </w:t>
      </w:r>
      <w:r w:rsidR="005472DB" w:rsidRPr="00A50E4D">
        <w:rPr>
          <w:szCs w:val="20"/>
          <w:lang w:val="en-US"/>
        </w:rPr>
        <w:t>2009</w:t>
      </w:r>
      <w:r w:rsidR="00035665" w:rsidRPr="00A50E4D">
        <w:rPr>
          <w:szCs w:val="20"/>
          <w:lang w:val="en-US"/>
        </w:rPr>
        <w:t>,</w:t>
      </w:r>
      <w:r w:rsidR="005472DB" w:rsidRPr="00A50E4D">
        <w:rPr>
          <w:szCs w:val="20"/>
          <w:lang w:val="en-US"/>
        </w:rPr>
        <w:t xml:space="preserve"> </w:t>
      </w:r>
      <w:r w:rsidR="009808C5" w:rsidRPr="00A50E4D">
        <w:rPr>
          <w:szCs w:val="20"/>
          <w:lang w:val="en-US"/>
        </w:rPr>
        <w:t xml:space="preserve">the </w:t>
      </w:r>
      <w:r w:rsidR="00371BB7" w:rsidRPr="00A50E4D">
        <w:rPr>
          <w:szCs w:val="20"/>
          <w:lang w:val="en-US"/>
        </w:rPr>
        <w:t>Supreme Court of Justice</w:t>
      </w:r>
      <w:r w:rsidR="005472DB" w:rsidRPr="00A50E4D">
        <w:rPr>
          <w:szCs w:val="20"/>
          <w:lang w:val="en-US"/>
        </w:rPr>
        <w:t xml:space="preserve"> </w:t>
      </w:r>
      <w:r w:rsidR="00035665" w:rsidRPr="00A50E4D">
        <w:rPr>
          <w:szCs w:val="20"/>
          <w:lang w:val="en-US"/>
        </w:rPr>
        <w:t>issued five press communiqués justifying the legality of what had happened</w:t>
      </w:r>
      <w:r w:rsidR="005472DB" w:rsidRPr="00A50E4D">
        <w:rPr>
          <w:szCs w:val="20"/>
          <w:lang w:val="en-US"/>
        </w:rPr>
        <w:t xml:space="preserve"> (</w:t>
      </w:r>
      <w:r w:rsidR="005472DB" w:rsidRPr="00A50E4D">
        <w:rPr>
          <w:i/>
          <w:szCs w:val="20"/>
          <w:lang w:val="en-US"/>
        </w:rPr>
        <w:t xml:space="preserve">supra </w:t>
      </w:r>
      <w:r w:rsidR="00AD5EE7" w:rsidRPr="00A50E4D">
        <w:rPr>
          <w:szCs w:val="20"/>
          <w:lang w:val="en-US"/>
        </w:rPr>
        <w:t>para.</w:t>
      </w:r>
      <w:r w:rsidR="005472DB" w:rsidRPr="00A50E4D">
        <w:rPr>
          <w:szCs w:val="20"/>
          <w:lang w:val="en-US"/>
        </w:rPr>
        <w:t xml:space="preserve"> </w:t>
      </w:r>
      <w:r w:rsidR="005472DB" w:rsidRPr="00914F55">
        <w:rPr>
          <w:szCs w:val="20"/>
          <w:lang w:val="en-US"/>
        </w:rPr>
        <w:fldChar w:fldCharType="begin"/>
      </w:r>
      <w:r w:rsidR="005472DB" w:rsidRPr="00A50E4D">
        <w:rPr>
          <w:szCs w:val="20"/>
          <w:lang w:val="en-US"/>
        </w:rPr>
        <w:instrText xml:space="preserve"> REF _Ref427311356 \r \h  \* MERGEFORMAT </w:instrText>
      </w:r>
      <w:r w:rsidR="005472DB" w:rsidRPr="00914F55">
        <w:rPr>
          <w:szCs w:val="20"/>
          <w:lang w:val="en-US"/>
        </w:rPr>
      </w:r>
      <w:r w:rsidR="005472DB" w:rsidRPr="00914F55">
        <w:rPr>
          <w:szCs w:val="20"/>
          <w:lang w:val="en-US"/>
        </w:rPr>
        <w:fldChar w:fldCharType="separate"/>
      </w:r>
      <w:r w:rsidR="00547588">
        <w:rPr>
          <w:szCs w:val="20"/>
          <w:lang w:val="en-US"/>
        </w:rPr>
        <w:t>65</w:t>
      </w:r>
      <w:r w:rsidR="005472DB" w:rsidRPr="00914F55">
        <w:rPr>
          <w:szCs w:val="20"/>
          <w:lang w:val="en-US"/>
        </w:rPr>
        <w:fldChar w:fldCharType="end"/>
      </w:r>
      <w:r w:rsidR="005472DB" w:rsidRPr="00A50E4D">
        <w:rPr>
          <w:szCs w:val="20"/>
          <w:lang w:val="en-US"/>
        </w:rPr>
        <w:t xml:space="preserve">). </w:t>
      </w:r>
    </w:p>
    <w:p w14:paraId="09A71A88" w14:textId="77777777" w:rsidR="005472DB" w:rsidRPr="00A50E4D" w:rsidRDefault="005472DB" w:rsidP="005472DB">
      <w:pPr>
        <w:pStyle w:val="PrrafodeSentencia"/>
        <w:numPr>
          <w:ilvl w:val="0"/>
          <w:numId w:val="0"/>
        </w:numPr>
        <w:rPr>
          <w:szCs w:val="20"/>
          <w:lang w:val="en-US"/>
        </w:rPr>
      </w:pPr>
    </w:p>
    <w:p w14:paraId="6AB19724" w14:textId="18F880E7" w:rsidR="005472DB" w:rsidRPr="00A50E4D" w:rsidRDefault="004F1414" w:rsidP="004F1414">
      <w:pPr>
        <w:pStyle w:val="PrrafodeSentencia"/>
        <w:rPr>
          <w:szCs w:val="20"/>
          <w:lang w:val="en-US"/>
        </w:rPr>
      </w:pPr>
      <w:bookmarkStart w:id="331" w:name="_Ref431566125"/>
      <w:r w:rsidRPr="00A50E4D">
        <w:rPr>
          <w:szCs w:val="20"/>
          <w:lang w:val="en-US"/>
        </w:rPr>
        <w:t xml:space="preserve">Specifically, regarding the need to provide guarantees of </w:t>
      </w:r>
      <w:r w:rsidR="005472DB" w:rsidRPr="00A50E4D">
        <w:rPr>
          <w:szCs w:val="20"/>
          <w:lang w:val="en-US"/>
        </w:rPr>
        <w:t>im</w:t>
      </w:r>
      <w:r w:rsidR="00382405" w:rsidRPr="00A50E4D">
        <w:rPr>
          <w:szCs w:val="20"/>
          <w:lang w:val="en-US"/>
        </w:rPr>
        <w:t>partiality</w:t>
      </w:r>
      <w:r w:rsidR="005472DB" w:rsidRPr="00A50E4D">
        <w:rPr>
          <w:szCs w:val="20"/>
          <w:lang w:val="en-US"/>
        </w:rPr>
        <w:t xml:space="preserve"> </w:t>
      </w:r>
      <w:r w:rsidRPr="00A50E4D">
        <w:rPr>
          <w:szCs w:val="20"/>
          <w:lang w:val="en-US"/>
        </w:rPr>
        <w:t xml:space="preserve">in the proceedings, the </w:t>
      </w:r>
      <w:r w:rsidR="00D03F60" w:rsidRPr="00A50E4D">
        <w:rPr>
          <w:szCs w:val="20"/>
          <w:lang w:val="en-US"/>
        </w:rPr>
        <w:t>Report of the United Nations High Commissioner for Human Rights</w:t>
      </w:r>
      <w:r w:rsidR="005472DB" w:rsidRPr="00A50E4D">
        <w:rPr>
          <w:szCs w:val="20"/>
          <w:lang w:val="en-US"/>
        </w:rPr>
        <w:t xml:space="preserve"> </w:t>
      </w:r>
      <w:r w:rsidRPr="00A50E4D">
        <w:rPr>
          <w:szCs w:val="20"/>
          <w:lang w:val="en-US"/>
        </w:rPr>
        <w:t xml:space="preserve">on the violations of human rights </w:t>
      </w:r>
      <w:r w:rsidR="00700DEC" w:rsidRPr="00A50E4D">
        <w:rPr>
          <w:szCs w:val="20"/>
          <w:lang w:val="en-US"/>
        </w:rPr>
        <w:t>in Honduras</w:t>
      </w:r>
      <w:r w:rsidR="005472DB" w:rsidRPr="00A50E4D">
        <w:rPr>
          <w:szCs w:val="20"/>
          <w:lang w:val="en-US"/>
        </w:rPr>
        <w:t xml:space="preserve"> </w:t>
      </w:r>
      <w:r w:rsidRPr="00A50E4D">
        <w:rPr>
          <w:szCs w:val="20"/>
          <w:lang w:val="en-US"/>
        </w:rPr>
        <w:t>since</w:t>
      </w:r>
      <w:r w:rsidR="005472DB" w:rsidRPr="00A50E4D">
        <w:rPr>
          <w:szCs w:val="20"/>
          <w:lang w:val="en-US"/>
        </w:rPr>
        <w:t xml:space="preserve"> </w:t>
      </w:r>
      <w:r w:rsidR="00371BB7" w:rsidRPr="00A50E4D">
        <w:rPr>
          <w:szCs w:val="20"/>
          <w:lang w:val="en-US"/>
        </w:rPr>
        <w:t xml:space="preserve">the </w:t>
      </w:r>
      <w:r w:rsidR="00B11ACA" w:rsidRPr="00A50E4D">
        <w:rPr>
          <w:i/>
          <w:szCs w:val="20"/>
          <w:lang w:val="en-US"/>
        </w:rPr>
        <w:t>coup d’état</w:t>
      </w:r>
      <w:r w:rsidRPr="00A50E4D">
        <w:rPr>
          <w:szCs w:val="20"/>
          <w:lang w:val="en-US"/>
        </w:rPr>
        <w:t xml:space="preserve"> asserted that “[t</w:t>
      </w:r>
      <w:r w:rsidR="005472DB" w:rsidRPr="00A50E4D">
        <w:rPr>
          <w:szCs w:val="20"/>
          <w:lang w:val="en-US"/>
        </w:rPr>
        <w:t>]</w:t>
      </w:r>
      <w:r w:rsidRPr="00A50E4D">
        <w:rPr>
          <w:szCs w:val="20"/>
          <w:lang w:val="en-US"/>
        </w:rPr>
        <w:t xml:space="preserve">he public stance of the Supreme Court, defining the coup as a “constitutional </w:t>
      </w:r>
      <w:r w:rsidR="000A786A" w:rsidRPr="00A50E4D">
        <w:rPr>
          <w:szCs w:val="20"/>
          <w:lang w:val="en-US"/>
        </w:rPr>
        <w:t>succession</w:t>
      </w:r>
      <w:r w:rsidRPr="00A50E4D">
        <w:rPr>
          <w:szCs w:val="20"/>
          <w:lang w:val="en-US"/>
        </w:rPr>
        <w:t xml:space="preserve">” and declaring its legality, cast doubt on its </w:t>
      </w:r>
      <w:r w:rsidR="005472DB" w:rsidRPr="00A50E4D">
        <w:rPr>
          <w:szCs w:val="20"/>
          <w:lang w:val="en-US"/>
        </w:rPr>
        <w:t>im</w:t>
      </w:r>
      <w:r w:rsidR="00382405" w:rsidRPr="00A50E4D">
        <w:rPr>
          <w:szCs w:val="20"/>
          <w:lang w:val="en-US"/>
        </w:rPr>
        <w:t>partiality</w:t>
      </w:r>
      <w:r w:rsidR="009808C5" w:rsidRPr="00A50E4D">
        <w:rPr>
          <w:szCs w:val="20"/>
          <w:lang w:val="en-US"/>
        </w:rPr>
        <w:t xml:space="preserve"> and </w:t>
      </w:r>
      <w:r w:rsidRPr="00A50E4D">
        <w:rPr>
          <w:szCs w:val="20"/>
          <w:lang w:val="en-US"/>
        </w:rPr>
        <w:t>commitment to the rule of law,” and also “the lack of independence of the judiciary and the unequal and discriminatory application and interpretation of the law have been evident.</w:t>
      </w:r>
      <w:r w:rsidR="005472DB" w:rsidRPr="00A50E4D">
        <w:rPr>
          <w:szCs w:val="20"/>
          <w:lang w:val="en-US"/>
        </w:rPr>
        <w:t>”</w:t>
      </w:r>
      <w:r w:rsidR="005472DB" w:rsidRPr="00A50E4D">
        <w:rPr>
          <w:rStyle w:val="FootnoteReference"/>
          <w:sz w:val="20"/>
          <w:szCs w:val="20"/>
          <w:lang w:val="en-US"/>
        </w:rPr>
        <w:footnoteReference w:id="399"/>
      </w:r>
      <w:r w:rsidRPr="00A50E4D">
        <w:rPr>
          <w:szCs w:val="20"/>
          <w:lang w:val="en-US"/>
        </w:rPr>
        <w:t xml:space="preserve"> In July 2011, the General Assembly of the United Nations recommended to Honduras that it “[u</w:t>
      </w:r>
      <w:r w:rsidR="005472DB" w:rsidRPr="00A50E4D">
        <w:rPr>
          <w:szCs w:val="20"/>
          <w:lang w:val="en-US"/>
        </w:rPr>
        <w:t>]</w:t>
      </w:r>
      <w:r w:rsidRPr="00A50E4D">
        <w:rPr>
          <w:szCs w:val="20"/>
          <w:lang w:val="en-US"/>
        </w:rPr>
        <w:t xml:space="preserve">ndertake </w:t>
      </w:r>
      <w:r w:rsidRPr="00A50E4D">
        <w:rPr>
          <w:lang w:val="en-US"/>
        </w:rPr>
        <w:t>all necessary measures to ensure the independence of the judiciary, including by putting an end to any intimidation or unjustified disciplinary procedures against judges perceived as critical of the coup.</w:t>
      </w:r>
      <w:r w:rsidR="005472DB" w:rsidRPr="00A50E4D">
        <w:rPr>
          <w:szCs w:val="20"/>
          <w:lang w:val="en-US"/>
        </w:rPr>
        <w:t>”</w:t>
      </w:r>
      <w:r w:rsidR="005472DB" w:rsidRPr="00A50E4D">
        <w:rPr>
          <w:bCs/>
          <w:szCs w:val="20"/>
          <w:vertAlign w:val="superscript"/>
          <w:lang w:val="en-US"/>
        </w:rPr>
        <w:footnoteReference w:id="400"/>
      </w:r>
      <w:bookmarkEnd w:id="331"/>
    </w:p>
    <w:p w14:paraId="3A0021B6" w14:textId="77777777" w:rsidR="005472DB" w:rsidRPr="00A50E4D" w:rsidRDefault="005472DB" w:rsidP="005472DB">
      <w:pPr>
        <w:rPr>
          <w:spacing w:val="-4"/>
          <w:szCs w:val="20"/>
          <w:lang w:val="en-US" w:eastAsia="es-MX"/>
        </w:rPr>
      </w:pPr>
    </w:p>
    <w:p w14:paraId="321A1098" w14:textId="006BFF31" w:rsidR="005472DB" w:rsidRPr="00A50E4D" w:rsidRDefault="004F1414" w:rsidP="004F1414">
      <w:pPr>
        <w:pStyle w:val="PrrafodeSentencia"/>
        <w:rPr>
          <w:szCs w:val="20"/>
          <w:lang w:val="en-US"/>
        </w:rPr>
      </w:pPr>
      <w:r w:rsidRPr="00A50E4D">
        <w:rPr>
          <w:szCs w:val="20"/>
          <w:lang w:val="en-US"/>
        </w:rPr>
        <w:t xml:space="preserve">This Court has indicated that </w:t>
      </w:r>
      <w:r w:rsidR="005472DB" w:rsidRPr="00A50E4D">
        <w:rPr>
          <w:szCs w:val="20"/>
          <w:lang w:val="en-US"/>
        </w:rPr>
        <w:t>im</w:t>
      </w:r>
      <w:r w:rsidR="00382405" w:rsidRPr="00A50E4D">
        <w:rPr>
          <w:szCs w:val="20"/>
          <w:lang w:val="en-US"/>
        </w:rPr>
        <w:t>partiality</w:t>
      </w:r>
      <w:r w:rsidR="005472DB" w:rsidRPr="00A50E4D">
        <w:rPr>
          <w:szCs w:val="20"/>
          <w:lang w:val="en-US"/>
        </w:rPr>
        <w:t xml:space="preserve"> </w:t>
      </w:r>
      <w:r w:rsidRPr="00A50E4D">
        <w:rPr>
          <w:szCs w:val="20"/>
          <w:lang w:val="en-US"/>
        </w:rPr>
        <w:t xml:space="preserve">requires that the judge who intervenes in a dispute must approach the facts of the case subjectively, without any prejudice, and also offering sufficient guarantees of an objective nature that </w:t>
      </w:r>
      <w:r w:rsidR="00E4078E" w:rsidRPr="00A50E4D">
        <w:rPr>
          <w:szCs w:val="20"/>
          <w:lang w:val="en-US"/>
        </w:rPr>
        <w:t>permit</w:t>
      </w:r>
      <w:r w:rsidRPr="00A50E4D">
        <w:rPr>
          <w:szCs w:val="20"/>
          <w:lang w:val="en-US"/>
        </w:rPr>
        <w:t xml:space="preserve"> the elimination of any doubt that the </w:t>
      </w:r>
      <w:r w:rsidR="00E4078E" w:rsidRPr="00A50E4D">
        <w:rPr>
          <w:szCs w:val="20"/>
          <w:lang w:val="en-US"/>
        </w:rPr>
        <w:t>defendant</w:t>
      </w:r>
      <w:r w:rsidRPr="00A50E4D">
        <w:rPr>
          <w:szCs w:val="20"/>
          <w:lang w:val="en-US"/>
        </w:rPr>
        <w:t xml:space="preserve"> or the community could harbor as to the absence of </w:t>
      </w:r>
      <w:r w:rsidR="005472DB" w:rsidRPr="00A50E4D">
        <w:rPr>
          <w:szCs w:val="20"/>
          <w:lang w:val="en-US"/>
        </w:rPr>
        <w:t>im</w:t>
      </w:r>
      <w:r w:rsidR="00382405" w:rsidRPr="00A50E4D">
        <w:rPr>
          <w:szCs w:val="20"/>
          <w:lang w:val="en-US"/>
        </w:rPr>
        <w:t>partiality</w:t>
      </w:r>
      <w:r w:rsidRPr="00A50E4D">
        <w:rPr>
          <w:szCs w:val="20"/>
          <w:lang w:val="en-US"/>
        </w:rPr>
        <w:t>.</w:t>
      </w:r>
      <w:r w:rsidR="005472DB" w:rsidRPr="00A50E4D">
        <w:rPr>
          <w:rStyle w:val="FootnoteReference"/>
          <w:sz w:val="20"/>
          <w:szCs w:val="20"/>
          <w:lang w:val="en-US"/>
        </w:rPr>
        <w:footnoteReference w:id="401"/>
      </w:r>
      <w:r w:rsidR="005472DB" w:rsidRPr="00A50E4D">
        <w:rPr>
          <w:szCs w:val="20"/>
          <w:lang w:val="en-US"/>
        </w:rPr>
        <w:t xml:space="preserve"> </w:t>
      </w:r>
      <w:r w:rsidR="0071780A" w:rsidRPr="00A50E4D">
        <w:rPr>
          <w:szCs w:val="20"/>
          <w:lang w:val="en-US"/>
        </w:rPr>
        <w:t>The European Court</w:t>
      </w:r>
      <w:r w:rsidR="005472DB" w:rsidRPr="00A50E4D">
        <w:rPr>
          <w:szCs w:val="20"/>
          <w:lang w:val="en-US"/>
        </w:rPr>
        <w:t xml:space="preserve"> </w:t>
      </w:r>
      <w:r w:rsidRPr="00A50E4D">
        <w:rPr>
          <w:szCs w:val="20"/>
          <w:lang w:val="en-US"/>
        </w:rPr>
        <w:t xml:space="preserve">of Human Rights has explained that personal or subjective </w:t>
      </w:r>
      <w:r w:rsidR="005472DB" w:rsidRPr="00A50E4D">
        <w:rPr>
          <w:szCs w:val="20"/>
          <w:lang w:val="en-US"/>
        </w:rPr>
        <w:t>im</w:t>
      </w:r>
      <w:r w:rsidR="00382405" w:rsidRPr="00A50E4D">
        <w:rPr>
          <w:szCs w:val="20"/>
          <w:lang w:val="en-US"/>
        </w:rPr>
        <w:t>partiality</w:t>
      </w:r>
      <w:r w:rsidR="005472DB" w:rsidRPr="00A50E4D">
        <w:rPr>
          <w:szCs w:val="20"/>
          <w:lang w:val="en-US"/>
        </w:rPr>
        <w:t xml:space="preserve"> </w:t>
      </w:r>
      <w:r w:rsidRPr="00A50E4D">
        <w:rPr>
          <w:szCs w:val="20"/>
          <w:lang w:val="en-US"/>
        </w:rPr>
        <w:t>is presumed unless there is evidence to the contrary.</w:t>
      </w:r>
      <w:r w:rsidR="005472DB" w:rsidRPr="00A50E4D">
        <w:rPr>
          <w:rStyle w:val="FootnoteReference"/>
          <w:sz w:val="20"/>
          <w:szCs w:val="20"/>
          <w:lang w:val="en-US"/>
        </w:rPr>
        <w:footnoteReference w:id="402"/>
      </w:r>
      <w:r w:rsidR="00E4078E" w:rsidRPr="00A50E4D">
        <w:rPr>
          <w:szCs w:val="20"/>
          <w:lang w:val="en-US"/>
        </w:rPr>
        <w:t xml:space="preserve"> Meanwhile, </w:t>
      </w:r>
      <w:r w:rsidRPr="00A50E4D">
        <w:rPr>
          <w:szCs w:val="20"/>
          <w:lang w:val="en-US"/>
        </w:rPr>
        <w:t xml:space="preserve">so-called objective impartiality consists in determining whether the judge </w:t>
      </w:r>
      <w:r w:rsidR="00E4078E" w:rsidRPr="00A50E4D">
        <w:rPr>
          <w:szCs w:val="20"/>
          <w:lang w:val="en-US"/>
        </w:rPr>
        <w:t>in</w:t>
      </w:r>
      <w:r w:rsidRPr="00A50E4D">
        <w:rPr>
          <w:szCs w:val="20"/>
          <w:lang w:val="en-US"/>
        </w:rPr>
        <w:t xml:space="preserve"> question</w:t>
      </w:r>
      <w:r w:rsidR="005472DB" w:rsidRPr="00A50E4D">
        <w:rPr>
          <w:szCs w:val="20"/>
          <w:lang w:val="en-US"/>
        </w:rPr>
        <w:t xml:space="preserve"> </w:t>
      </w:r>
      <w:r w:rsidR="00E4078E" w:rsidRPr="00A50E4D">
        <w:rPr>
          <w:szCs w:val="20"/>
          <w:lang w:val="en-US"/>
        </w:rPr>
        <w:t>provided sufficient elements of conviction</w:t>
      </w:r>
      <w:r w:rsidRPr="00A50E4D">
        <w:rPr>
          <w:szCs w:val="20"/>
          <w:lang w:val="en-US"/>
        </w:rPr>
        <w:t xml:space="preserve"> </w:t>
      </w:r>
      <w:r w:rsidR="00E4078E" w:rsidRPr="00A50E4D">
        <w:rPr>
          <w:szCs w:val="20"/>
          <w:lang w:val="en-US"/>
        </w:rPr>
        <w:t>to eliminate any</w:t>
      </w:r>
      <w:r w:rsidRPr="00A50E4D">
        <w:rPr>
          <w:szCs w:val="20"/>
          <w:lang w:val="en-US"/>
        </w:rPr>
        <w:t xml:space="preserve"> legitimate </w:t>
      </w:r>
      <w:r w:rsidR="00E4078E" w:rsidRPr="00A50E4D">
        <w:rPr>
          <w:szCs w:val="20"/>
          <w:lang w:val="en-US"/>
        </w:rPr>
        <w:t>fears or well-founded suspicion</w:t>
      </w:r>
      <w:r w:rsidRPr="00A50E4D">
        <w:rPr>
          <w:szCs w:val="20"/>
          <w:lang w:val="en-US"/>
        </w:rPr>
        <w:t xml:space="preserve"> about his </w:t>
      </w:r>
      <w:r w:rsidR="00382405" w:rsidRPr="00A50E4D">
        <w:rPr>
          <w:szCs w:val="20"/>
          <w:lang w:val="en-US"/>
        </w:rPr>
        <w:t>partiality</w:t>
      </w:r>
      <w:r w:rsidRPr="00A50E4D">
        <w:rPr>
          <w:szCs w:val="20"/>
          <w:lang w:val="en-US"/>
        </w:rPr>
        <w:t>.</w:t>
      </w:r>
      <w:r w:rsidR="005472DB" w:rsidRPr="00A50E4D">
        <w:rPr>
          <w:rStyle w:val="FootnoteReference"/>
          <w:sz w:val="20"/>
          <w:szCs w:val="20"/>
          <w:lang w:val="en-US"/>
        </w:rPr>
        <w:footnoteReference w:id="403"/>
      </w:r>
      <w:r w:rsidRPr="00A50E4D">
        <w:rPr>
          <w:szCs w:val="20"/>
          <w:lang w:val="en-US"/>
        </w:rPr>
        <w:t xml:space="preserve"> This is because the judge</w:t>
      </w:r>
      <w:r w:rsidR="005472DB" w:rsidRPr="00A50E4D">
        <w:rPr>
          <w:szCs w:val="20"/>
          <w:lang w:val="en-US"/>
        </w:rPr>
        <w:t xml:space="preserve"> </w:t>
      </w:r>
      <w:r w:rsidR="00CB360D" w:rsidRPr="00A50E4D">
        <w:rPr>
          <w:szCs w:val="20"/>
          <w:lang w:val="en-US"/>
        </w:rPr>
        <w:t xml:space="preserve">must act without being subject to improper influences, </w:t>
      </w:r>
      <w:r w:rsidR="00CB360D" w:rsidRPr="00A50E4D">
        <w:rPr>
          <w:lang w:val="en-US"/>
        </w:rPr>
        <w:t>inducements, pressures, threats or interferences, direct or indirect,</w:t>
      </w:r>
      <w:r w:rsidR="005472DB" w:rsidRPr="00A50E4D">
        <w:rPr>
          <w:rStyle w:val="FootnoteReference"/>
          <w:sz w:val="20"/>
          <w:szCs w:val="20"/>
          <w:lang w:val="en-US"/>
        </w:rPr>
        <w:footnoteReference w:id="404"/>
      </w:r>
      <w:r w:rsidR="005472DB" w:rsidRPr="00A50E4D">
        <w:rPr>
          <w:szCs w:val="20"/>
          <w:lang w:val="en-US"/>
        </w:rPr>
        <w:t xml:space="preserve"> </w:t>
      </w:r>
      <w:r w:rsidRPr="00A50E4D">
        <w:rPr>
          <w:szCs w:val="20"/>
          <w:lang w:val="en-US"/>
        </w:rPr>
        <w:t>and only and exclusively according to – and based on – the law.</w:t>
      </w:r>
      <w:r w:rsidR="005472DB" w:rsidRPr="00A50E4D">
        <w:rPr>
          <w:rStyle w:val="FootnoteReference"/>
          <w:sz w:val="20"/>
          <w:szCs w:val="20"/>
          <w:lang w:val="en-US"/>
        </w:rPr>
        <w:footnoteReference w:id="405"/>
      </w:r>
      <w:bookmarkStart w:id="332" w:name="_Ref369181695"/>
    </w:p>
    <w:bookmarkEnd w:id="332"/>
    <w:p w14:paraId="2CFB6A04" w14:textId="77777777" w:rsidR="005472DB" w:rsidRPr="00A50E4D" w:rsidRDefault="005472DB" w:rsidP="005472DB">
      <w:pPr>
        <w:rPr>
          <w:spacing w:val="-4"/>
          <w:szCs w:val="20"/>
          <w:lang w:val="en-US" w:eastAsia="es-MX"/>
        </w:rPr>
      </w:pPr>
    </w:p>
    <w:p w14:paraId="441EEA47" w14:textId="0EE4A7D5" w:rsidR="005472DB" w:rsidRPr="00A50E4D" w:rsidRDefault="004F1414" w:rsidP="005472DB">
      <w:pPr>
        <w:pStyle w:val="PrrafodeSentencia"/>
        <w:rPr>
          <w:szCs w:val="20"/>
          <w:lang w:val="en-US"/>
        </w:rPr>
      </w:pPr>
      <w:bookmarkStart w:id="333" w:name="_Ref427864546"/>
      <w:r w:rsidRPr="00A50E4D">
        <w:rPr>
          <w:szCs w:val="20"/>
          <w:lang w:val="en-US"/>
        </w:rPr>
        <w:t xml:space="preserve">Based on the above, and </w:t>
      </w:r>
      <w:r w:rsidR="00E4078E" w:rsidRPr="00A50E4D">
        <w:rPr>
          <w:szCs w:val="20"/>
          <w:lang w:val="en-US"/>
        </w:rPr>
        <w:t>added</w:t>
      </w:r>
      <w:r w:rsidRPr="00A50E4D">
        <w:rPr>
          <w:szCs w:val="20"/>
          <w:lang w:val="en-US"/>
        </w:rPr>
        <w:t xml:space="preserve"> to the findings in paragraphs </w:t>
      </w:r>
      <w:r w:rsidR="005472DB" w:rsidRPr="00914F55">
        <w:rPr>
          <w:szCs w:val="20"/>
          <w:lang w:val="en-US"/>
        </w:rPr>
        <w:fldChar w:fldCharType="begin"/>
      </w:r>
      <w:r w:rsidR="005472DB" w:rsidRPr="00A50E4D">
        <w:rPr>
          <w:szCs w:val="20"/>
          <w:lang w:val="en-US"/>
        </w:rPr>
        <w:instrText xml:space="preserve"> REF _Ref431586078 \r \h </w:instrText>
      </w:r>
      <w:r w:rsidR="00EA20A5" w:rsidRPr="00A50E4D">
        <w:rPr>
          <w:szCs w:val="20"/>
          <w:lang w:val="en-US"/>
        </w:rPr>
        <w:instrText xml:space="preserve"> \* MERGEFORMAT </w:instrText>
      </w:r>
      <w:r w:rsidR="005472DB" w:rsidRPr="00914F55">
        <w:rPr>
          <w:szCs w:val="20"/>
          <w:lang w:val="en-US"/>
        </w:rPr>
      </w:r>
      <w:r w:rsidR="005472DB" w:rsidRPr="00914F55">
        <w:rPr>
          <w:szCs w:val="20"/>
          <w:lang w:val="en-US"/>
        </w:rPr>
        <w:fldChar w:fldCharType="separate"/>
      </w:r>
      <w:r w:rsidR="00547588">
        <w:rPr>
          <w:szCs w:val="20"/>
          <w:lang w:val="en-US"/>
        </w:rPr>
        <w:t>148</w:t>
      </w:r>
      <w:r w:rsidR="005472DB" w:rsidRPr="00914F55">
        <w:rPr>
          <w:szCs w:val="20"/>
          <w:lang w:val="en-US"/>
        </w:rPr>
        <w:fldChar w:fldCharType="end"/>
      </w:r>
      <w:r w:rsidRPr="00A50E4D">
        <w:rPr>
          <w:szCs w:val="20"/>
          <w:lang w:val="en-US"/>
        </w:rPr>
        <w:t xml:space="preserve"> to</w:t>
      </w:r>
      <w:r w:rsidR="005472DB" w:rsidRPr="00A50E4D">
        <w:rPr>
          <w:szCs w:val="20"/>
          <w:lang w:val="en-US"/>
        </w:rPr>
        <w:t xml:space="preserve"> </w:t>
      </w:r>
      <w:r w:rsidR="007B6946" w:rsidRPr="00914F55">
        <w:rPr>
          <w:szCs w:val="20"/>
          <w:lang w:val="en-US"/>
        </w:rPr>
        <w:fldChar w:fldCharType="begin"/>
      </w:r>
      <w:r w:rsidR="007B6946" w:rsidRPr="00A50E4D">
        <w:rPr>
          <w:szCs w:val="20"/>
          <w:lang w:val="en-US"/>
        </w:rPr>
        <w:instrText xml:space="preserve"> REF _Ref308455751 \r \h </w:instrText>
      </w:r>
      <w:r w:rsidR="00EA20A5" w:rsidRPr="00A50E4D">
        <w:rPr>
          <w:szCs w:val="20"/>
          <w:lang w:val="en-US"/>
        </w:rPr>
        <w:instrText xml:space="preserve"> \* MERGEFORMAT </w:instrText>
      </w:r>
      <w:r w:rsidR="007B6946" w:rsidRPr="00914F55">
        <w:rPr>
          <w:szCs w:val="20"/>
          <w:lang w:val="en-US"/>
        </w:rPr>
      </w:r>
      <w:r w:rsidR="007B6946" w:rsidRPr="00914F55">
        <w:rPr>
          <w:szCs w:val="20"/>
          <w:lang w:val="en-US"/>
        </w:rPr>
        <w:fldChar w:fldCharType="separate"/>
      </w:r>
      <w:r w:rsidR="00547588">
        <w:rPr>
          <w:szCs w:val="20"/>
          <w:lang w:val="en-US"/>
        </w:rPr>
        <w:t>155</w:t>
      </w:r>
      <w:r w:rsidR="007B6946" w:rsidRPr="00914F55">
        <w:rPr>
          <w:szCs w:val="20"/>
          <w:lang w:val="en-US"/>
        </w:rPr>
        <w:fldChar w:fldCharType="end"/>
      </w:r>
      <w:r w:rsidR="007B6946" w:rsidRPr="00A50E4D">
        <w:rPr>
          <w:szCs w:val="20"/>
          <w:lang w:val="en-US"/>
        </w:rPr>
        <w:t xml:space="preserve"> </w:t>
      </w:r>
      <w:r w:rsidRPr="00A50E4D">
        <w:rPr>
          <w:szCs w:val="20"/>
          <w:lang w:val="en-US"/>
        </w:rPr>
        <w:t xml:space="preserve">of this judgment, the Court considers that </w:t>
      </w:r>
      <w:r w:rsidR="009808C5" w:rsidRPr="00A50E4D">
        <w:rPr>
          <w:szCs w:val="20"/>
          <w:lang w:val="en-US"/>
        </w:rPr>
        <w:t xml:space="preserve">the </w:t>
      </w:r>
      <w:r w:rsidR="00700DEC" w:rsidRPr="00A50E4D">
        <w:rPr>
          <w:szCs w:val="20"/>
          <w:lang w:val="en-US"/>
        </w:rPr>
        <w:t>Supreme Court</w:t>
      </w:r>
      <w:r w:rsidR="005472DB" w:rsidRPr="00A50E4D">
        <w:rPr>
          <w:szCs w:val="20"/>
          <w:lang w:val="en-US"/>
        </w:rPr>
        <w:t xml:space="preserve"> </w:t>
      </w:r>
      <w:r w:rsidRPr="00A50E4D">
        <w:rPr>
          <w:szCs w:val="20"/>
          <w:lang w:val="en-US"/>
        </w:rPr>
        <w:t xml:space="preserve">did not meet the objective requirements of impartiality to decide </w:t>
      </w:r>
      <w:r w:rsidR="00277E12" w:rsidRPr="00A50E4D">
        <w:rPr>
          <w:szCs w:val="20"/>
          <w:lang w:val="en-US"/>
        </w:rPr>
        <w:t>the disciplinary proceedings</w:t>
      </w:r>
      <w:r w:rsidR="005472DB" w:rsidRPr="00A50E4D">
        <w:rPr>
          <w:szCs w:val="20"/>
          <w:lang w:val="en-US"/>
        </w:rPr>
        <w:t xml:space="preserve"> </w:t>
      </w:r>
      <w:r w:rsidRPr="00A50E4D">
        <w:rPr>
          <w:szCs w:val="20"/>
          <w:lang w:val="en-US"/>
        </w:rPr>
        <w:t>of the</w:t>
      </w:r>
      <w:r w:rsidR="005472DB" w:rsidRPr="00A50E4D">
        <w:rPr>
          <w:szCs w:val="20"/>
          <w:lang w:val="en-US"/>
        </w:rPr>
        <w:t xml:space="preserve"> </w:t>
      </w:r>
      <w:r w:rsidR="004B0477" w:rsidRPr="00A50E4D">
        <w:rPr>
          <w:szCs w:val="20"/>
          <w:lang w:val="en-US"/>
        </w:rPr>
        <w:t>victims</w:t>
      </w:r>
      <w:r w:rsidR="005472DB" w:rsidRPr="00A50E4D">
        <w:rPr>
          <w:szCs w:val="20"/>
          <w:lang w:val="en-US"/>
        </w:rPr>
        <w:t xml:space="preserve"> </w:t>
      </w:r>
      <w:r w:rsidR="00FF35A9" w:rsidRPr="00A50E4D">
        <w:rPr>
          <w:szCs w:val="20"/>
          <w:lang w:val="en-US"/>
        </w:rPr>
        <w:t>in this case</w:t>
      </w:r>
      <w:bookmarkEnd w:id="333"/>
      <w:r w:rsidR="005472DB" w:rsidRPr="00A50E4D">
        <w:rPr>
          <w:szCs w:val="20"/>
          <w:lang w:val="en-US"/>
        </w:rPr>
        <w:t xml:space="preserve">. </w:t>
      </w:r>
    </w:p>
    <w:p w14:paraId="710E82ED" w14:textId="77777777" w:rsidR="005472DB" w:rsidRPr="00A50E4D" w:rsidRDefault="005472DB" w:rsidP="005472DB">
      <w:pPr>
        <w:rPr>
          <w:spacing w:val="-4"/>
          <w:szCs w:val="20"/>
          <w:lang w:val="en-US" w:eastAsia="es-MX"/>
        </w:rPr>
      </w:pPr>
    </w:p>
    <w:p w14:paraId="54C1B5D5" w14:textId="15B0FD1A" w:rsidR="005472DB" w:rsidRPr="00A50E4D" w:rsidRDefault="004F1414" w:rsidP="005472DB">
      <w:pPr>
        <w:pStyle w:val="Heading2"/>
        <w:numPr>
          <w:ilvl w:val="0"/>
          <w:numId w:val="8"/>
        </w:numPr>
        <w:tabs>
          <w:tab w:val="clear" w:pos="993"/>
        </w:tabs>
        <w:rPr>
          <w:spacing w:val="-4"/>
          <w:szCs w:val="20"/>
          <w:lang w:val="en-US"/>
        </w:rPr>
      </w:pPr>
      <w:bookmarkStart w:id="334" w:name="_Toc471717287"/>
      <w:bookmarkStart w:id="335" w:name="_Toc427932807"/>
      <w:r w:rsidRPr="00A50E4D">
        <w:rPr>
          <w:spacing w:val="-4"/>
          <w:szCs w:val="20"/>
          <w:lang w:val="en-US"/>
        </w:rPr>
        <w:t xml:space="preserve">Right to remain in office </w:t>
      </w:r>
      <w:r w:rsidR="002876E8" w:rsidRPr="00A50E4D">
        <w:rPr>
          <w:spacing w:val="-4"/>
          <w:szCs w:val="20"/>
          <w:lang w:val="en-US"/>
        </w:rPr>
        <w:t>on general terms of equality</w:t>
      </w:r>
      <w:bookmarkEnd w:id="334"/>
    </w:p>
    <w:p w14:paraId="26699069" w14:textId="77777777" w:rsidR="005472DB" w:rsidRPr="00A50E4D" w:rsidRDefault="005472DB" w:rsidP="005472DB">
      <w:pPr>
        <w:rPr>
          <w:lang w:val="en-US" w:eastAsia="es-MX"/>
        </w:rPr>
      </w:pPr>
    </w:p>
    <w:p w14:paraId="3AD5D26E" w14:textId="33B49BE4" w:rsidR="005472DB" w:rsidRPr="00A50E4D" w:rsidRDefault="005472DB" w:rsidP="005472DB">
      <w:pPr>
        <w:pStyle w:val="PrrafodeSentencia"/>
        <w:rPr>
          <w:szCs w:val="20"/>
          <w:lang w:val="en-US"/>
        </w:rPr>
      </w:pPr>
      <w:r w:rsidRPr="00A50E4D">
        <w:rPr>
          <w:szCs w:val="20"/>
          <w:lang w:val="en-US"/>
        </w:rPr>
        <w:t xml:space="preserve"> </w:t>
      </w:r>
      <w:r w:rsidR="009808C5" w:rsidRPr="00A50E4D">
        <w:rPr>
          <w:szCs w:val="20"/>
          <w:lang w:val="en-US"/>
        </w:rPr>
        <w:t>The Court</w:t>
      </w:r>
      <w:r w:rsidRPr="00A50E4D">
        <w:rPr>
          <w:szCs w:val="20"/>
          <w:lang w:val="en-US"/>
        </w:rPr>
        <w:t xml:space="preserve"> ha</w:t>
      </w:r>
      <w:r w:rsidR="004F1414" w:rsidRPr="00A50E4D">
        <w:rPr>
          <w:szCs w:val="20"/>
          <w:lang w:val="en-US"/>
        </w:rPr>
        <w:t xml:space="preserve">s indicated that the guarantee of stability or tenure of the judge is related to the right to remain in public office, </w:t>
      </w:r>
      <w:r w:rsidR="002876E8" w:rsidRPr="00A50E4D">
        <w:rPr>
          <w:szCs w:val="20"/>
          <w:lang w:val="en-US"/>
        </w:rPr>
        <w:t>on general terms of equality</w:t>
      </w:r>
      <w:r w:rsidR="004F1414" w:rsidRPr="00A50E4D">
        <w:rPr>
          <w:szCs w:val="20"/>
          <w:lang w:val="en-US"/>
        </w:rPr>
        <w:t>.</w:t>
      </w:r>
      <w:r w:rsidRPr="00A50E4D">
        <w:rPr>
          <w:szCs w:val="20"/>
          <w:vertAlign w:val="superscript"/>
          <w:lang w:val="en-US"/>
        </w:rPr>
        <w:footnoteReference w:id="406"/>
      </w:r>
      <w:r w:rsidR="004F1414" w:rsidRPr="00A50E4D">
        <w:rPr>
          <w:szCs w:val="20"/>
          <w:lang w:val="en-US"/>
        </w:rPr>
        <w:t xml:space="preserve"> Indeed, in the case of </w:t>
      </w:r>
      <w:r w:rsidR="004F1414" w:rsidRPr="00A50E4D">
        <w:rPr>
          <w:i/>
          <w:szCs w:val="20"/>
          <w:lang w:val="en-US"/>
        </w:rPr>
        <w:t xml:space="preserve">Reverón </w:t>
      </w:r>
      <w:r w:rsidR="004F1414" w:rsidRPr="00A50E4D">
        <w:rPr>
          <w:i/>
          <w:szCs w:val="20"/>
          <w:lang w:val="en-US"/>
        </w:rPr>
        <w:lastRenderedPageBreak/>
        <w:t xml:space="preserve">Trujillo </w:t>
      </w:r>
      <w:r w:rsidR="004F1414" w:rsidRPr="00A50E4D">
        <w:rPr>
          <w:szCs w:val="20"/>
          <w:lang w:val="en-US"/>
        </w:rPr>
        <w:t xml:space="preserve">it </w:t>
      </w:r>
      <w:r w:rsidR="000A786A" w:rsidRPr="00A50E4D">
        <w:rPr>
          <w:szCs w:val="20"/>
          <w:lang w:val="en-US"/>
        </w:rPr>
        <w:t>indicated</w:t>
      </w:r>
      <w:r w:rsidR="004F1414" w:rsidRPr="00A50E4D">
        <w:rPr>
          <w:szCs w:val="20"/>
          <w:lang w:val="en-US"/>
        </w:rPr>
        <w:t xml:space="preserve"> that “access, under equal conditions would constitute an insufficient </w:t>
      </w:r>
      <w:r w:rsidR="000A786A" w:rsidRPr="00A50E4D">
        <w:rPr>
          <w:szCs w:val="20"/>
          <w:lang w:val="en-US"/>
        </w:rPr>
        <w:t>guarantee</w:t>
      </w:r>
      <w:r w:rsidR="004F1414" w:rsidRPr="00A50E4D">
        <w:rPr>
          <w:szCs w:val="20"/>
          <w:lang w:val="en-US"/>
        </w:rPr>
        <w:t xml:space="preserve"> if it were not </w:t>
      </w:r>
      <w:r w:rsidR="000A786A" w:rsidRPr="00A50E4D">
        <w:rPr>
          <w:szCs w:val="20"/>
          <w:lang w:val="en-US"/>
        </w:rPr>
        <w:t>accompanied</w:t>
      </w:r>
      <w:r w:rsidR="004F1414" w:rsidRPr="00A50E4D">
        <w:rPr>
          <w:szCs w:val="20"/>
          <w:lang w:val="en-US"/>
        </w:rPr>
        <w:t xml:space="preserve"> by</w:t>
      </w:r>
      <w:r w:rsidR="00E4078E" w:rsidRPr="00A50E4D">
        <w:rPr>
          <w:szCs w:val="20"/>
          <w:lang w:val="en-US"/>
        </w:rPr>
        <w:t xml:space="preserve"> the effective protection of tenure in the post</w:t>
      </w:r>
      <w:r w:rsidR="004F1414" w:rsidRPr="00A50E4D">
        <w:rPr>
          <w:szCs w:val="20"/>
          <w:lang w:val="en-US"/>
        </w:rPr>
        <w:t xml:space="preserve"> held.</w:t>
      </w:r>
      <w:r w:rsidRPr="00A50E4D">
        <w:rPr>
          <w:szCs w:val="20"/>
          <w:lang w:val="en-US"/>
        </w:rPr>
        <w:t>”</w:t>
      </w:r>
      <w:r w:rsidRPr="00A50E4D">
        <w:rPr>
          <w:rStyle w:val="FootnoteReference"/>
          <w:sz w:val="20"/>
          <w:szCs w:val="20"/>
          <w:lang w:val="en-US"/>
        </w:rPr>
        <w:footnoteReference w:id="407"/>
      </w:r>
      <w:bookmarkStart w:id="336" w:name="_Ref427930779"/>
    </w:p>
    <w:p w14:paraId="37F687F9" w14:textId="77777777" w:rsidR="005472DB" w:rsidRPr="00A50E4D" w:rsidRDefault="005472DB" w:rsidP="005472DB">
      <w:pPr>
        <w:rPr>
          <w:lang w:val="en-US" w:eastAsia="es-MX"/>
        </w:rPr>
      </w:pPr>
    </w:p>
    <w:p w14:paraId="07CB3646" w14:textId="4C8CF061" w:rsidR="005472DB" w:rsidRPr="00A50E4D" w:rsidRDefault="004F1414" w:rsidP="00B7232A">
      <w:pPr>
        <w:pStyle w:val="PrrafodeSentencia"/>
        <w:rPr>
          <w:szCs w:val="20"/>
          <w:lang w:val="en-US"/>
        </w:rPr>
      </w:pPr>
      <w:bookmarkStart w:id="337" w:name="_Ref431483506"/>
      <w:r w:rsidRPr="00A50E4D">
        <w:rPr>
          <w:lang w:val="en-US"/>
        </w:rPr>
        <w:t xml:space="preserve">Regarding the protection granted by </w:t>
      </w:r>
      <w:r w:rsidR="009808C5" w:rsidRPr="00A50E4D">
        <w:rPr>
          <w:szCs w:val="20"/>
          <w:lang w:val="en-US"/>
        </w:rPr>
        <w:t>Article</w:t>
      </w:r>
      <w:r w:rsidR="005472DB" w:rsidRPr="00A50E4D">
        <w:rPr>
          <w:szCs w:val="20"/>
          <w:lang w:val="en-US"/>
        </w:rPr>
        <w:t xml:space="preserve"> </w:t>
      </w:r>
      <w:r w:rsidR="00EA5E90" w:rsidRPr="00A50E4D">
        <w:rPr>
          <w:szCs w:val="20"/>
          <w:lang w:val="en-US"/>
        </w:rPr>
        <w:t>23(1)(c)</w:t>
      </w:r>
      <w:r w:rsidR="009808C5" w:rsidRPr="00A50E4D">
        <w:rPr>
          <w:szCs w:val="20"/>
          <w:lang w:val="en-US"/>
        </w:rPr>
        <w:t xml:space="preserve"> of the American Convention</w:t>
      </w:r>
      <w:r w:rsidRPr="00A50E4D">
        <w:rPr>
          <w:szCs w:val="20"/>
          <w:lang w:val="en-US"/>
        </w:rPr>
        <w:t>,</w:t>
      </w:r>
      <w:r w:rsidR="005472DB" w:rsidRPr="00A50E4D">
        <w:rPr>
          <w:rStyle w:val="FootnoteReference"/>
          <w:sz w:val="20"/>
          <w:szCs w:val="20"/>
          <w:lang w:val="en-US"/>
        </w:rPr>
        <w:footnoteReference w:id="408"/>
      </w:r>
      <w:r w:rsidR="00B7232A" w:rsidRPr="00A50E4D">
        <w:rPr>
          <w:szCs w:val="20"/>
          <w:lang w:val="en-US"/>
        </w:rPr>
        <w:t xml:space="preserve"> in the cases of </w:t>
      </w:r>
      <w:r w:rsidR="005472DB" w:rsidRPr="00A50E4D">
        <w:rPr>
          <w:i/>
          <w:szCs w:val="20"/>
          <w:lang w:val="en-US"/>
        </w:rPr>
        <w:t>Apitz Barbera</w:t>
      </w:r>
      <w:r w:rsidR="009808C5" w:rsidRPr="00A50E4D">
        <w:rPr>
          <w:i/>
          <w:szCs w:val="20"/>
          <w:lang w:val="en-US"/>
        </w:rPr>
        <w:t xml:space="preserve"> et al. </w:t>
      </w:r>
      <w:r w:rsidR="009808C5" w:rsidRPr="00A50E4D">
        <w:rPr>
          <w:szCs w:val="20"/>
          <w:lang w:val="en-US"/>
        </w:rPr>
        <w:t xml:space="preserve">and </w:t>
      </w:r>
      <w:r w:rsidR="005472DB" w:rsidRPr="00A50E4D">
        <w:rPr>
          <w:i/>
          <w:szCs w:val="20"/>
          <w:lang w:val="en-US"/>
        </w:rPr>
        <w:t>Reverón Trujillo</w:t>
      </w:r>
      <w:r w:rsidR="005472DB" w:rsidRPr="00A50E4D">
        <w:rPr>
          <w:szCs w:val="20"/>
          <w:lang w:val="en-US"/>
        </w:rPr>
        <w:t xml:space="preserve">, </w:t>
      </w:r>
      <w:r w:rsidR="00B7232A" w:rsidRPr="00A50E4D">
        <w:rPr>
          <w:szCs w:val="20"/>
          <w:lang w:val="en-US"/>
        </w:rPr>
        <w:t xml:space="preserve">this Court </w:t>
      </w:r>
      <w:r w:rsidR="00E4078E" w:rsidRPr="00A50E4D">
        <w:rPr>
          <w:szCs w:val="20"/>
          <w:lang w:val="en-US"/>
        </w:rPr>
        <w:t>clarified</w:t>
      </w:r>
      <w:r w:rsidR="00B7232A" w:rsidRPr="00A50E4D">
        <w:rPr>
          <w:szCs w:val="20"/>
          <w:lang w:val="en-US"/>
        </w:rPr>
        <w:t xml:space="preserve"> that </w:t>
      </w:r>
      <w:r w:rsidR="009808C5" w:rsidRPr="00A50E4D">
        <w:rPr>
          <w:szCs w:val="20"/>
          <w:lang w:val="en-US"/>
        </w:rPr>
        <w:t>Article</w:t>
      </w:r>
      <w:r w:rsidR="005472DB" w:rsidRPr="00A50E4D">
        <w:rPr>
          <w:szCs w:val="20"/>
          <w:lang w:val="en-US"/>
        </w:rPr>
        <w:t xml:space="preserve"> </w:t>
      </w:r>
      <w:r w:rsidR="00EA5E90" w:rsidRPr="00A50E4D">
        <w:rPr>
          <w:szCs w:val="20"/>
          <w:lang w:val="en-US"/>
        </w:rPr>
        <w:t>23(1)(c)</w:t>
      </w:r>
      <w:r w:rsidR="00B7232A" w:rsidRPr="00A50E4D">
        <w:rPr>
          <w:szCs w:val="20"/>
          <w:lang w:val="en-US"/>
        </w:rPr>
        <w:t xml:space="preserve"> does not</w:t>
      </w:r>
      <w:r w:rsidR="005472DB" w:rsidRPr="00A50E4D">
        <w:rPr>
          <w:szCs w:val="20"/>
          <w:lang w:val="en-US"/>
        </w:rPr>
        <w:t xml:space="preserve"> </w:t>
      </w:r>
      <w:r w:rsidR="00B7232A" w:rsidRPr="00A50E4D">
        <w:rPr>
          <w:szCs w:val="20"/>
          <w:lang w:val="en-US"/>
        </w:rPr>
        <w:t xml:space="preserve">establish the right to have access to public service, but rather to do so “under general conditions of </w:t>
      </w:r>
      <w:r w:rsidR="00E4078E" w:rsidRPr="00A50E4D">
        <w:rPr>
          <w:szCs w:val="20"/>
          <w:lang w:val="en-US"/>
        </w:rPr>
        <w:t xml:space="preserve">equality.”  This means that </w:t>
      </w:r>
      <w:r w:rsidR="00B7232A" w:rsidRPr="00A50E4D">
        <w:rPr>
          <w:szCs w:val="20"/>
          <w:lang w:val="en-US"/>
        </w:rPr>
        <w:t xml:space="preserve">respect for and </w:t>
      </w:r>
      <w:r w:rsidR="00E4078E" w:rsidRPr="00A50E4D">
        <w:rPr>
          <w:szCs w:val="20"/>
          <w:lang w:val="en-US"/>
        </w:rPr>
        <w:t xml:space="preserve">the </w:t>
      </w:r>
      <w:r w:rsidR="00B7232A" w:rsidRPr="00A50E4D">
        <w:rPr>
          <w:szCs w:val="20"/>
          <w:lang w:val="en-US"/>
        </w:rPr>
        <w:t>guarantee of this right is complied with when “the criteria and procedures for the appointment, promotion, suspension and dismissal are reasonable and objective” and that “those concerned are not subject to discrimination”</w:t>
      </w:r>
      <w:r w:rsidR="00B7232A" w:rsidRPr="00A50E4D">
        <w:rPr>
          <w:rStyle w:val="FootnoteReference"/>
          <w:sz w:val="20"/>
          <w:szCs w:val="20"/>
          <w:lang w:val="en-US"/>
        </w:rPr>
        <w:footnoteReference w:id="409"/>
      </w:r>
      <w:r w:rsidR="00B7232A" w:rsidRPr="00A50E4D">
        <w:rPr>
          <w:szCs w:val="20"/>
          <w:lang w:val="en-US"/>
        </w:rPr>
        <w:t xml:space="preserve"> in the exercise of this right. In this regard, the Court has indicat</w:t>
      </w:r>
      <w:r w:rsidR="00E4078E" w:rsidRPr="00A50E4D">
        <w:rPr>
          <w:szCs w:val="20"/>
          <w:lang w:val="en-US"/>
        </w:rPr>
        <w:t>ed that equal opportunities in a</w:t>
      </w:r>
      <w:r w:rsidR="00B7232A" w:rsidRPr="00A50E4D">
        <w:rPr>
          <w:szCs w:val="20"/>
          <w:lang w:val="en-US"/>
        </w:rPr>
        <w:t>ccess and tenure ensures freedom from any political interference or pressure.</w:t>
      </w:r>
      <w:r w:rsidR="005472DB" w:rsidRPr="00A50E4D">
        <w:rPr>
          <w:rStyle w:val="FootnoteReference"/>
          <w:sz w:val="20"/>
          <w:szCs w:val="20"/>
          <w:lang w:val="en-US"/>
        </w:rPr>
        <w:footnoteReference w:id="410"/>
      </w:r>
      <w:bookmarkEnd w:id="336"/>
      <w:bookmarkEnd w:id="337"/>
    </w:p>
    <w:p w14:paraId="19EDD49A" w14:textId="77777777" w:rsidR="005472DB" w:rsidRPr="00A50E4D" w:rsidRDefault="005472DB" w:rsidP="005472DB">
      <w:pPr>
        <w:rPr>
          <w:lang w:val="en-US" w:eastAsia="es-MX"/>
        </w:rPr>
      </w:pPr>
    </w:p>
    <w:p w14:paraId="5401E220" w14:textId="19B2EA89" w:rsidR="005472DB" w:rsidRPr="00A50E4D" w:rsidRDefault="00B7232A" w:rsidP="005472DB">
      <w:pPr>
        <w:pStyle w:val="PrrafodeSentencia"/>
        <w:rPr>
          <w:szCs w:val="20"/>
          <w:lang w:val="en-US"/>
        </w:rPr>
      </w:pPr>
      <w:r w:rsidRPr="00A50E4D">
        <w:rPr>
          <w:szCs w:val="20"/>
          <w:lang w:val="en-US"/>
        </w:rPr>
        <w:t>T</w:t>
      </w:r>
      <w:r w:rsidR="00B94C31" w:rsidRPr="00A50E4D">
        <w:rPr>
          <w:szCs w:val="20"/>
          <w:lang w:val="en-US"/>
        </w:rPr>
        <w:t>he Human Rights Committee</w:t>
      </w:r>
      <w:r w:rsidR="005472DB" w:rsidRPr="00A50E4D">
        <w:rPr>
          <w:szCs w:val="20"/>
          <w:lang w:val="en-US"/>
        </w:rPr>
        <w:t xml:space="preserve"> ha</w:t>
      </w:r>
      <w:r w:rsidRPr="00A50E4D">
        <w:rPr>
          <w:szCs w:val="20"/>
          <w:lang w:val="en-US"/>
        </w:rPr>
        <w:t>s considered, in cases of the arbitrary dismissal of judges,</w:t>
      </w:r>
      <w:r w:rsidR="005472DB" w:rsidRPr="00A50E4D">
        <w:rPr>
          <w:rStyle w:val="FootnoteReference"/>
          <w:sz w:val="20"/>
          <w:szCs w:val="20"/>
          <w:lang w:val="en-US"/>
        </w:rPr>
        <w:footnoteReference w:id="411"/>
      </w:r>
      <w:r w:rsidR="005472DB" w:rsidRPr="00A50E4D">
        <w:rPr>
          <w:szCs w:val="20"/>
          <w:lang w:val="en-US"/>
        </w:rPr>
        <w:t xml:space="preserve"> </w:t>
      </w:r>
      <w:r w:rsidRPr="00A50E4D">
        <w:rPr>
          <w:szCs w:val="20"/>
          <w:lang w:val="en-US"/>
        </w:rPr>
        <w:t xml:space="preserve">that, if the basic requirements of due process are not respected, there is a violation of this right established in </w:t>
      </w:r>
      <w:r w:rsidR="009808C5" w:rsidRPr="00A50E4D">
        <w:rPr>
          <w:lang w:val="en-US"/>
        </w:rPr>
        <w:t>Article</w:t>
      </w:r>
      <w:r w:rsidR="005472DB" w:rsidRPr="00A50E4D">
        <w:rPr>
          <w:szCs w:val="20"/>
          <w:lang w:val="en-US"/>
        </w:rPr>
        <w:t xml:space="preserve"> 14</w:t>
      </w:r>
      <w:r w:rsidR="005472DB" w:rsidRPr="00A50E4D">
        <w:rPr>
          <w:rStyle w:val="FootnoteReference"/>
          <w:rFonts w:cs="Times"/>
          <w:sz w:val="20"/>
          <w:szCs w:val="20"/>
          <w:lang w:val="en-US"/>
        </w:rPr>
        <w:footnoteReference w:id="412"/>
      </w:r>
      <w:r w:rsidR="00FF35A9" w:rsidRPr="00A50E4D">
        <w:rPr>
          <w:szCs w:val="20"/>
          <w:lang w:val="en-US"/>
        </w:rPr>
        <w:t xml:space="preserve"> of the </w:t>
      </w:r>
      <w:r w:rsidRPr="00A50E4D">
        <w:rPr>
          <w:szCs w:val="20"/>
          <w:lang w:val="en-US"/>
        </w:rPr>
        <w:t>International Covenant on Civil and Political Rights (</w:t>
      </w:r>
      <w:r w:rsidR="00E4078E" w:rsidRPr="00A50E4D">
        <w:rPr>
          <w:szCs w:val="20"/>
          <w:lang w:val="en-US"/>
        </w:rPr>
        <w:t xml:space="preserve">corresponding to </w:t>
      </w:r>
      <w:r w:rsidRPr="00A50E4D">
        <w:rPr>
          <w:szCs w:val="20"/>
          <w:lang w:val="en-US"/>
        </w:rPr>
        <w:t xml:space="preserve"> </w:t>
      </w:r>
      <w:r w:rsidR="0048601C" w:rsidRPr="00A50E4D">
        <w:rPr>
          <w:szCs w:val="20"/>
          <w:lang w:val="en-US"/>
        </w:rPr>
        <w:t>Article</w:t>
      </w:r>
      <w:r w:rsidR="005472DB" w:rsidRPr="00A50E4D">
        <w:rPr>
          <w:szCs w:val="20"/>
          <w:lang w:val="en-US"/>
        </w:rPr>
        <w:t xml:space="preserve"> 8</w:t>
      </w:r>
      <w:r w:rsidR="009808C5" w:rsidRPr="00A50E4D">
        <w:rPr>
          <w:szCs w:val="20"/>
          <w:lang w:val="en-US"/>
        </w:rPr>
        <w:t xml:space="preserve"> of the American Convention</w:t>
      </w:r>
      <w:r w:rsidR="005472DB" w:rsidRPr="00A50E4D">
        <w:rPr>
          <w:szCs w:val="20"/>
          <w:lang w:val="en-US"/>
        </w:rPr>
        <w:t xml:space="preserve">), </w:t>
      </w:r>
      <w:r w:rsidRPr="00A50E4D">
        <w:rPr>
          <w:szCs w:val="20"/>
          <w:lang w:val="en-US"/>
        </w:rPr>
        <w:t xml:space="preserve">together with the right to have access under equal </w:t>
      </w:r>
      <w:r w:rsidR="000A786A" w:rsidRPr="00A50E4D">
        <w:rPr>
          <w:szCs w:val="20"/>
          <w:lang w:val="en-US"/>
        </w:rPr>
        <w:t>conditions</w:t>
      </w:r>
      <w:r w:rsidRPr="00A50E4D">
        <w:rPr>
          <w:szCs w:val="20"/>
          <w:lang w:val="en-US"/>
        </w:rPr>
        <w:t xml:space="preserve"> to the public service of the country recognized in </w:t>
      </w:r>
      <w:r w:rsidR="009808C5" w:rsidRPr="00A50E4D">
        <w:rPr>
          <w:szCs w:val="20"/>
          <w:lang w:val="en-US"/>
        </w:rPr>
        <w:t>Article</w:t>
      </w:r>
      <w:r w:rsidR="00E4078E" w:rsidRPr="00A50E4D">
        <w:rPr>
          <w:szCs w:val="20"/>
          <w:lang w:val="en-US"/>
        </w:rPr>
        <w:t xml:space="preserve"> 25(</w:t>
      </w:r>
      <w:r w:rsidR="005472DB" w:rsidRPr="00A50E4D">
        <w:rPr>
          <w:szCs w:val="20"/>
          <w:lang w:val="en-US"/>
        </w:rPr>
        <w:t>c</w:t>
      </w:r>
      <w:r w:rsidR="00E4078E" w:rsidRPr="00A50E4D">
        <w:rPr>
          <w:szCs w:val="20"/>
          <w:lang w:val="en-US"/>
        </w:rPr>
        <w:t>)</w:t>
      </w:r>
      <w:r w:rsidR="005472DB" w:rsidRPr="00A50E4D">
        <w:rPr>
          <w:rStyle w:val="FootnoteReference"/>
          <w:rFonts w:cs="Times"/>
          <w:sz w:val="20"/>
          <w:szCs w:val="20"/>
          <w:lang w:val="en-US"/>
        </w:rPr>
        <w:footnoteReference w:id="413"/>
      </w:r>
      <w:r w:rsidR="005472DB" w:rsidRPr="00A50E4D">
        <w:rPr>
          <w:szCs w:val="20"/>
          <w:lang w:val="en-US"/>
        </w:rPr>
        <w:t xml:space="preserve"> </w:t>
      </w:r>
      <w:r w:rsidRPr="00A50E4D">
        <w:rPr>
          <w:szCs w:val="20"/>
          <w:lang w:val="en-US"/>
        </w:rPr>
        <w:t xml:space="preserve">of the International Covenant on Civil and Political Rights </w:t>
      </w:r>
      <w:r w:rsidR="005472DB" w:rsidRPr="00A50E4D">
        <w:rPr>
          <w:szCs w:val="20"/>
          <w:lang w:val="en-US"/>
        </w:rPr>
        <w:t>(</w:t>
      </w:r>
      <w:r w:rsidR="00E4078E" w:rsidRPr="00A50E4D">
        <w:rPr>
          <w:szCs w:val="20"/>
          <w:lang w:val="en-US"/>
        </w:rPr>
        <w:t xml:space="preserve">corresponding to </w:t>
      </w:r>
      <w:r w:rsidR="0048601C" w:rsidRPr="00A50E4D">
        <w:rPr>
          <w:szCs w:val="20"/>
          <w:lang w:val="en-US"/>
        </w:rPr>
        <w:t>Article</w:t>
      </w:r>
      <w:r w:rsidR="005472DB" w:rsidRPr="00A50E4D">
        <w:rPr>
          <w:szCs w:val="20"/>
          <w:lang w:val="en-US"/>
        </w:rPr>
        <w:t xml:space="preserve"> </w:t>
      </w:r>
      <w:r w:rsidR="00EA5E90" w:rsidRPr="00A50E4D">
        <w:rPr>
          <w:szCs w:val="20"/>
          <w:lang w:val="en-US"/>
        </w:rPr>
        <w:t>23(1)(c)</w:t>
      </w:r>
      <w:r w:rsidR="009808C5" w:rsidRPr="00A50E4D">
        <w:rPr>
          <w:szCs w:val="20"/>
          <w:lang w:val="en-US"/>
        </w:rPr>
        <w:t xml:space="preserve"> of the American Convention</w:t>
      </w:r>
      <w:r w:rsidR="005472DB" w:rsidRPr="00A50E4D">
        <w:rPr>
          <w:szCs w:val="20"/>
          <w:lang w:val="en-US"/>
        </w:rPr>
        <w:t>)</w:t>
      </w:r>
      <w:r w:rsidRPr="00A50E4D">
        <w:rPr>
          <w:szCs w:val="20"/>
          <w:lang w:val="en-US"/>
        </w:rPr>
        <w:t>.</w:t>
      </w:r>
      <w:r w:rsidR="005472DB" w:rsidRPr="00A50E4D">
        <w:rPr>
          <w:rStyle w:val="FootnoteReference"/>
          <w:sz w:val="20"/>
          <w:szCs w:val="20"/>
          <w:lang w:val="en-US"/>
        </w:rPr>
        <w:footnoteReference w:id="414"/>
      </w:r>
      <w:r w:rsidR="005472DB" w:rsidRPr="00A50E4D">
        <w:rPr>
          <w:szCs w:val="20"/>
          <w:lang w:val="en-US"/>
        </w:rPr>
        <w:t xml:space="preserve"> </w:t>
      </w:r>
    </w:p>
    <w:p w14:paraId="674CB8B8" w14:textId="77777777" w:rsidR="005472DB" w:rsidRPr="00A50E4D" w:rsidRDefault="005472DB" w:rsidP="005472DB">
      <w:pPr>
        <w:rPr>
          <w:lang w:val="en-US" w:eastAsia="es-MX"/>
        </w:rPr>
      </w:pPr>
    </w:p>
    <w:p w14:paraId="0557558C" w14:textId="419E5227" w:rsidR="005472DB" w:rsidRPr="00A50E4D" w:rsidRDefault="00B7232A" w:rsidP="00B7232A">
      <w:pPr>
        <w:pStyle w:val="PrrafodeSentencia"/>
        <w:rPr>
          <w:szCs w:val="20"/>
          <w:lang w:val="en-US"/>
        </w:rPr>
      </w:pPr>
      <w:bookmarkStart w:id="338" w:name="_Ref308537578"/>
      <w:r w:rsidRPr="00A50E4D">
        <w:rPr>
          <w:szCs w:val="20"/>
          <w:lang w:val="en-US"/>
        </w:rPr>
        <w:t>As a result of</w:t>
      </w:r>
      <w:r w:rsidR="005472DB" w:rsidRPr="00A50E4D">
        <w:rPr>
          <w:szCs w:val="20"/>
          <w:lang w:val="en-US"/>
        </w:rPr>
        <w:t xml:space="preserve"> </w:t>
      </w:r>
      <w:r w:rsidR="00687A44" w:rsidRPr="00A50E4D">
        <w:rPr>
          <w:szCs w:val="20"/>
          <w:lang w:val="en-US"/>
        </w:rPr>
        <w:t>the disciplinary proce</w:t>
      </w:r>
      <w:r w:rsidR="00E4078E" w:rsidRPr="00A50E4D">
        <w:rPr>
          <w:szCs w:val="20"/>
          <w:lang w:val="en-US"/>
        </w:rPr>
        <w:t>dure</w:t>
      </w:r>
      <w:r w:rsidR="005472DB" w:rsidRPr="00A50E4D">
        <w:rPr>
          <w:szCs w:val="20"/>
          <w:lang w:val="en-US"/>
        </w:rPr>
        <w:t xml:space="preserve"> </w:t>
      </w:r>
      <w:r w:rsidRPr="00A50E4D">
        <w:rPr>
          <w:szCs w:val="20"/>
          <w:lang w:val="en-US"/>
        </w:rPr>
        <w:t>to which they were subjected, three</w:t>
      </w:r>
      <w:r w:rsidR="00371BB7" w:rsidRPr="00A50E4D">
        <w:rPr>
          <w:szCs w:val="20"/>
          <w:lang w:val="en-US"/>
        </w:rPr>
        <w:t xml:space="preserve"> of the presumed victims</w:t>
      </w:r>
      <w:r w:rsidR="005472DB" w:rsidRPr="00A50E4D">
        <w:rPr>
          <w:szCs w:val="20"/>
          <w:lang w:val="en-US"/>
        </w:rPr>
        <w:t xml:space="preserve"> </w:t>
      </w:r>
      <w:r w:rsidRPr="00A50E4D">
        <w:rPr>
          <w:szCs w:val="20"/>
          <w:lang w:val="en-US"/>
        </w:rPr>
        <w:t>were dismissed and removed from</w:t>
      </w:r>
      <w:r w:rsidR="00700DEC" w:rsidRPr="00A50E4D">
        <w:rPr>
          <w:szCs w:val="20"/>
          <w:lang w:val="en-US"/>
        </w:rPr>
        <w:t xml:space="preserve"> the Judiciary</w:t>
      </w:r>
      <w:r w:rsidR="005472DB" w:rsidRPr="00A50E4D">
        <w:rPr>
          <w:szCs w:val="20"/>
          <w:lang w:val="en-US"/>
        </w:rPr>
        <w:t xml:space="preserve">. </w:t>
      </w:r>
      <w:r w:rsidR="009808C5" w:rsidRPr="00A50E4D">
        <w:rPr>
          <w:szCs w:val="20"/>
          <w:lang w:val="en-US"/>
        </w:rPr>
        <w:t>The Court</w:t>
      </w:r>
      <w:r w:rsidRPr="00A50E4D">
        <w:rPr>
          <w:szCs w:val="20"/>
          <w:lang w:val="en-US"/>
        </w:rPr>
        <w:t xml:space="preserve"> considers that these dismissals constituted arbitrary measures in view of the </w:t>
      </w:r>
      <w:r w:rsidR="000A786A" w:rsidRPr="00A50E4D">
        <w:rPr>
          <w:szCs w:val="20"/>
          <w:lang w:val="en-US"/>
        </w:rPr>
        <w:t>circumstances</w:t>
      </w:r>
      <w:r w:rsidRPr="00A50E4D">
        <w:rPr>
          <w:szCs w:val="20"/>
          <w:lang w:val="en-US"/>
        </w:rPr>
        <w:t xml:space="preserve"> under which the presumed victims were sanctioned and the violations of due process verified in the disciplinary proce</w:t>
      </w:r>
      <w:r w:rsidR="00E4078E" w:rsidRPr="00A50E4D">
        <w:rPr>
          <w:szCs w:val="20"/>
          <w:lang w:val="en-US"/>
        </w:rPr>
        <w:t xml:space="preserve">edings in this </w:t>
      </w:r>
      <w:r w:rsidR="00E4078E" w:rsidRPr="00A50E4D">
        <w:rPr>
          <w:szCs w:val="20"/>
          <w:lang w:val="en-US"/>
        </w:rPr>
        <w:lastRenderedPageBreak/>
        <w:t>case. The</w:t>
      </w:r>
      <w:r w:rsidRPr="00A50E4D">
        <w:rPr>
          <w:szCs w:val="20"/>
          <w:lang w:val="en-US"/>
        </w:rPr>
        <w:t xml:space="preserve"> Court considers that the dismissal of the presumed victims, under a proce</w:t>
      </w:r>
      <w:r w:rsidR="00E4078E" w:rsidRPr="00A50E4D">
        <w:rPr>
          <w:szCs w:val="20"/>
          <w:lang w:val="en-US"/>
        </w:rPr>
        <w:t>dure</w:t>
      </w:r>
      <w:r w:rsidRPr="00A50E4D">
        <w:rPr>
          <w:szCs w:val="20"/>
          <w:lang w:val="en-US"/>
        </w:rPr>
        <w:t xml:space="preserve"> that was not established by law and that did not respect the </w:t>
      </w:r>
      <w:r w:rsidR="000A786A" w:rsidRPr="00A50E4D">
        <w:rPr>
          <w:szCs w:val="20"/>
          <w:lang w:val="en-US"/>
        </w:rPr>
        <w:t>guarantees</w:t>
      </w:r>
      <w:r w:rsidRPr="00A50E4D">
        <w:rPr>
          <w:szCs w:val="20"/>
          <w:lang w:val="en-US"/>
        </w:rPr>
        <w:t xml:space="preserve"> of competence, independence and impartiality, unduly affected the right to remain in office under conditions of equality of </w:t>
      </w:r>
      <w:r w:rsidR="005472DB" w:rsidRPr="00A50E4D">
        <w:rPr>
          <w:szCs w:val="20"/>
          <w:lang w:val="en-US"/>
        </w:rPr>
        <w:t xml:space="preserve">Adán Guillermo López Lone, </w:t>
      </w:r>
      <w:r w:rsidR="008217D7" w:rsidRPr="00A50E4D">
        <w:rPr>
          <w:szCs w:val="20"/>
          <w:lang w:val="en-US"/>
        </w:rPr>
        <w:t>Tirza del Carmen</w:t>
      </w:r>
      <w:r w:rsidR="005472DB" w:rsidRPr="00A50E4D">
        <w:rPr>
          <w:szCs w:val="20"/>
          <w:lang w:val="en-US"/>
        </w:rPr>
        <w:t xml:space="preserve"> Flores Lanza</w:t>
      </w:r>
      <w:r w:rsidR="009808C5" w:rsidRPr="00A50E4D">
        <w:rPr>
          <w:szCs w:val="20"/>
          <w:lang w:val="en-US"/>
        </w:rPr>
        <w:t xml:space="preserve"> and </w:t>
      </w:r>
      <w:r w:rsidR="005472DB" w:rsidRPr="00A50E4D">
        <w:rPr>
          <w:szCs w:val="20"/>
          <w:lang w:val="en-US"/>
        </w:rPr>
        <w:t xml:space="preserve">Luis Alonso </w:t>
      </w:r>
      <w:r w:rsidR="009A7056" w:rsidRPr="00A50E4D">
        <w:rPr>
          <w:szCs w:val="20"/>
          <w:lang w:val="en-US"/>
        </w:rPr>
        <w:t>Chévez de la Rocha</w:t>
      </w:r>
      <w:r w:rsidR="005472DB" w:rsidRPr="00A50E4D">
        <w:rPr>
          <w:szCs w:val="20"/>
          <w:lang w:val="en-US"/>
        </w:rPr>
        <w:t xml:space="preserve">, </w:t>
      </w:r>
      <w:r w:rsidRPr="00A50E4D">
        <w:rPr>
          <w:szCs w:val="20"/>
          <w:lang w:val="en-US"/>
        </w:rPr>
        <w:t>in violation</w:t>
      </w:r>
      <w:r w:rsidR="005472DB" w:rsidRPr="00A50E4D">
        <w:rPr>
          <w:szCs w:val="20"/>
          <w:lang w:val="en-US"/>
        </w:rPr>
        <w:t xml:space="preserve"> </w:t>
      </w:r>
      <w:r w:rsidR="0048601C" w:rsidRPr="00A50E4D">
        <w:rPr>
          <w:szCs w:val="20"/>
          <w:lang w:val="en-US"/>
        </w:rPr>
        <w:t>of Article</w:t>
      </w:r>
      <w:r w:rsidR="005472DB" w:rsidRPr="00A50E4D">
        <w:rPr>
          <w:lang w:val="en-US"/>
        </w:rPr>
        <w:t xml:space="preserve"> </w:t>
      </w:r>
      <w:r w:rsidR="00EA5E90" w:rsidRPr="00A50E4D">
        <w:rPr>
          <w:lang w:val="en-US"/>
        </w:rPr>
        <w:t>23(1)(c)</w:t>
      </w:r>
      <w:r w:rsidR="009808C5" w:rsidRPr="00A50E4D">
        <w:rPr>
          <w:lang w:val="en-US"/>
        </w:rPr>
        <w:t xml:space="preserve"> of the American Convention</w:t>
      </w:r>
      <w:r w:rsidR="005472DB" w:rsidRPr="00A50E4D">
        <w:rPr>
          <w:szCs w:val="20"/>
          <w:lang w:val="en-US"/>
        </w:rPr>
        <w:t xml:space="preserve">. </w:t>
      </w:r>
      <w:r w:rsidRPr="00A50E4D">
        <w:rPr>
          <w:szCs w:val="20"/>
          <w:lang w:val="en-US"/>
        </w:rPr>
        <w:t xml:space="preserve">This violation did not occur in the case of </w:t>
      </w:r>
      <w:r w:rsidR="005472DB" w:rsidRPr="00A50E4D">
        <w:rPr>
          <w:szCs w:val="20"/>
          <w:lang w:val="en-US"/>
        </w:rPr>
        <w:t xml:space="preserve">Ramón Enrique Barrios Maldonado, </w:t>
      </w:r>
      <w:r w:rsidRPr="00A50E4D">
        <w:rPr>
          <w:szCs w:val="20"/>
          <w:lang w:val="en-US"/>
        </w:rPr>
        <w:t>who, ultimately, was not dismissed from his post as a result of</w:t>
      </w:r>
      <w:r w:rsidR="00E4078E" w:rsidRPr="00A50E4D">
        <w:rPr>
          <w:szCs w:val="20"/>
          <w:lang w:val="en-US"/>
        </w:rPr>
        <w:t xml:space="preserve"> the facts of this case; consequently,</w:t>
      </w:r>
      <w:r w:rsidRPr="00A50E4D">
        <w:rPr>
          <w:szCs w:val="20"/>
          <w:lang w:val="en-US"/>
        </w:rPr>
        <w:t xml:space="preserve"> the Court will not declare </w:t>
      </w:r>
      <w:bookmarkEnd w:id="338"/>
      <w:r w:rsidR="00E4078E" w:rsidRPr="00A50E4D">
        <w:rPr>
          <w:szCs w:val="20"/>
          <w:lang w:val="en-US"/>
        </w:rPr>
        <w:t>this right violated in his case.</w:t>
      </w:r>
      <w:r w:rsidR="005472DB" w:rsidRPr="00A50E4D">
        <w:rPr>
          <w:szCs w:val="20"/>
          <w:lang w:val="en-US"/>
        </w:rPr>
        <w:t xml:space="preserve"> </w:t>
      </w:r>
    </w:p>
    <w:p w14:paraId="02798227" w14:textId="77777777" w:rsidR="005472DB" w:rsidRPr="00A50E4D" w:rsidRDefault="005472DB" w:rsidP="005472DB">
      <w:pPr>
        <w:rPr>
          <w:lang w:val="en-US" w:eastAsia="es-MX"/>
        </w:rPr>
      </w:pPr>
    </w:p>
    <w:p w14:paraId="0A82BEAE" w14:textId="73641F07" w:rsidR="005472DB" w:rsidRPr="00A50E4D" w:rsidRDefault="003C43D3" w:rsidP="005472DB">
      <w:pPr>
        <w:pStyle w:val="Heading2"/>
        <w:numPr>
          <w:ilvl w:val="0"/>
          <w:numId w:val="8"/>
        </w:numPr>
        <w:tabs>
          <w:tab w:val="clear" w:pos="993"/>
        </w:tabs>
        <w:rPr>
          <w:spacing w:val="-4"/>
          <w:szCs w:val="20"/>
          <w:lang w:val="en-US"/>
        </w:rPr>
      </w:pPr>
      <w:bookmarkStart w:id="339" w:name="_Toc431584654"/>
      <w:bookmarkStart w:id="340" w:name="_Toc471717288"/>
      <w:r w:rsidRPr="00A50E4D">
        <w:rPr>
          <w:spacing w:val="-4"/>
          <w:szCs w:val="20"/>
          <w:lang w:val="en-US"/>
        </w:rPr>
        <w:t>Conclusion</w:t>
      </w:r>
      <w:r w:rsidR="005472DB" w:rsidRPr="00A50E4D">
        <w:rPr>
          <w:spacing w:val="-4"/>
          <w:szCs w:val="20"/>
          <w:lang w:val="en-US"/>
        </w:rPr>
        <w:t xml:space="preserve"> </w:t>
      </w:r>
      <w:r w:rsidR="00884A7E" w:rsidRPr="00A50E4D">
        <w:rPr>
          <w:spacing w:val="-4"/>
          <w:szCs w:val="20"/>
          <w:lang w:val="en-US"/>
        </w:rPr>
        <w:t xml:space="preserve">on the </w:t>
      </w:r>
      <w:r w:rsidR="00C4689E" w:rsidRPr="00A50E4D">
        <w:rPr>
          <w:spacing w:val="-4"/>
          <w:szCs w:val="20"/>
          <w:lang w:val="en-US"/>
        </w:rPr>
        <w:t>guarantees of due process</w:t>
      </w:r>
      <w:r w:rsidR="009808C5" w:rsidRPr="00A50E4D">
        <w:rPr>
          <w:spacing w:val="-4"/>
          <w:szCs w:val="20"/>
          <w:lang w:val="en-US"/>
        </w:rPr>
        <w:t xml:space="preserve"> and </w:t>
      </w:r>
      <w:r w:rsidR="00371BB7" w:rsidRPr="00A50E4D">
        <w:rPr>
          <w:spacing w:val="-4"/>
          <w:szCs w:val="20"/>
          <w:lang w:val="en-US"/>
        </w:rPr>
        <w:t>political rights</w:t>
      </w:r>
      <w:bookmarkEnd w:id="335"/>
      <w:bookmarkEnd w:id="339"/>
      <w:bookmarkEnd w:id="340"/>
    </w:p>
    <w:p w14:paraId="54D9C8A4" w14:textId="77777777" w:rsidR="005472DB" w:rsidRPr="00A50E4D" w:rsidRDefault="005472DB" w:rsidP="005472DB">
      <w:pPr>
        <w:pStyle w:val="PrrafodeSentencia"/>
        <w:numPr>
          <w:ilvl w:val="0"/>
          <w:numId w:val="0"/>
        </w:numPr>
        <w:rPr>
          <w:szCs w:val="20"/>
          <w:lang w:val="en-US"/>
        </w:rPr>
      </w:pPr>
    </w:p>
    <w:p w14:paraId="41F32B96" w14:textId="3047BD19" w:rsidR="005472DB" w:rsidRPr="00A50E4D" w:rsidRDefault="00631AA8" w:rsidP="00631AA8">
      <w:pPr>
        <w:pStyle w:val="PrrafodeSentencia"/>
        <w:rPr>
          <w:szCs w:val="20"/>
          <w:lang w:val="en-US"/>
        </w:rPr>
      </w:pPr>
      <w:r w:rsidRPr="00A50E4D">
        <w:rPr>
          <w:szCs w:val="20"/>
          <w:lang w:val="en-US"/>
        </w:rPr>
        <w:t xml:space="preserve">Based on all the above, the Court concludes that: </w:t>
      </w:r>
      <w:r w:rsidR="00687A44" w:rsidRPr="00A50E4D">
        <w:rPr>
          <w:szCs w:val="20"/>
          <w:lang w:val="en-US"/>
        </w:rPr>
        <w:t>the disciplinary proceedings</w:t>
      </w:r>
      <w:r w:rsidR="005472DB" w:rsidRPr="00A50E4D">
        <w:rPr>
          <w:szCs w:val="20"/>
          <w:lang w:val="en-US"/>
        </w:rPr>
        <w:t xml:space="preserve"> </w:t>
      </w:r>
      <w:r w:rsidRPr="00A50E4D">
        <w:rPr>
          <w:szCs w:val="20"/>
          <w:lang w:val="en-US"/>
        </w:rPr>
        <w:t xml:space="preserve">to which </w:t>
      </w:r>
      <w:r w:rsidR="00371BB7" w:rsidRPr="00A50E4D">
        <w:rPr>
          <w:szCs w:val="20"/>
          <w:lang w:val="en-US"/>
        </w:rPr>
        <w:t>the presumed victims</w:t>
      </w:r>
      <w:r w:rsidR="007942A4" w:rsidRPr="00A50E4D">
        <w:rPr>
          <w:szCs w:val="20"/>
          <w:lang w:val="en-US"/>
        </w:rPr>
        <w:t xml:space="preserve"> </w:t>
      </w:r>
      <w:r w:rsidRPr="00A50E4D">
        <w:rPr>
          <w:szCs w:val="20"/>
          <w:lang w:val="en-US"/>
        </w:rPr>
        <w:t xml:space="preserve">were subjected were not instituted in accordance with the law; </w:t>
      </w:r>
      <w:r w:rsidR="006A756C" w:rsidRPr="00A50E4D">
        <w:rPr>
          <w:szCs w:val="20"/>
          <w:lang w:val="en-US"/>
        </w:rPr>
        <w:t>the Judicial Service Council</w:t>
      </w:r>
      <w:r w:rsidR="005472DB" w:rsidRPr="00A50E4D">
        <w:rPr>
          <w:szCs w:val="20"/>
          <w:lang w:val="en-US"/>
        </w:rPr>
        <w:t xml:space="preserve"> </w:t>
      </w:r>
      <w:r w:rsidRPr="00A50E4D">
        <w:rPr>
          <w:szCs w:val="20"/>
          <w:lang w:val="en-US"/>
        </w:rPr>
        <w:t xml:space="preserve">did not have competence and lacked the necessary independence to decide appeals against dismissal rulings by </w:t>
      </w:r>
      <w:r w:rsidR="009808C5" w:rsidRPr="00A50E4D">
        <w:rPr>
          <w:szCs w:val="20"/>
          <w:lang w:val="en-US"/>
        </w:rPr>
        <w:t xml:space="preserve">the </w:t>
      </w:r>
      <w:r w:rsidR="00371BB7" w:rsidRPr="00A50E4D">
        <w:rPr>
          <w:szCs w:val="20"/>
          <w:lang w:val="en-US"/>
        </w:rPr>
        <w:t>Supreme Court of Justice</w:t>
      </w:r>
      <w:r w:rsidR="005472DB" w:rsidRPr="00A50E4D">
        <w:rPr>
          <w:szCs w:val="20"/>
          <w:lang w:val="en-US"/>
        </w:rPr>
        <w:t xml:space="preserve">; </w:t>
      </w:r>
      <w:r w:rsidRPr="00A50E4D">
        <w:rPr>
          <w:szCs w:val="20"/>
          <w:lang w:val="en-US"/>
        </w:rPr>
        <w:t xml:space="preserve">the way in which </w:t>
      </w:r>
      <w:r w:rsidR="006A756C" w:rsidRPr="00A50E4D">
        <w:rPr>
          <w:szCs w:val="20"/>
          <w:lang w:val="en-US"/>
        </w:rPr>
        <w:t>the Judicial Service Council</w:t>
      </w:r>
      <w:r w:rsidRPr="00A50E4D">
        <w:rPr>
          <w:szCs w:val="20"/>
          <w:lang w:val="en-US"/>
        </w:rPr>
        <w:t xml:space="preserve"> was incorporated to decide the appeals filed by </w:t>
      </w:r>
      <w:r w:rsidR="00371BB7" w:rsidRPr="00A50E4D">
        <w:rPr>
          <w:szCs w:val="20"/>
          <w:lang w:val="en-US"/>
        </w:rPr>
        <w:t>the presumed victims</w:t>
      </w:r>
      <w:r w:rsidRPr="00A50E4D">
        <w:rPr>
          <w:szCs w:val="20"/>
          <w:lang w:val="en-US"/>
        </w:rPr>
        <w:t xml:space="preserve"> did not </w:t>
      </w:r>
      <w:r w:rsidR="00E4078E" w:rsidRPr="00A50E4D">
        <w:rPr>
          <w:szCs w:val="20"/>
          <w:lang w:val="en-US"/>
        </w:rPr>
        <w:t xml:space="preserve">provide a sufficient </w:t>
      </w:r>
      <w:r w:rsidRPr="00A50E4D">
        <w:rPr>
          <w:szCs w:val="20"/>
          <w:lang w:val="en-US"/>
        </w:rPr>
        <w:t xml:space="preserve">guarantee </w:t>
      </w:r>
      <w:r w:rsidR="00E4078E" w:rsidRPr="00A50E4D">
        <w:rPr>
          <w:szCs w:val="20"/>
          <w:lang w:val="en-US"/>
        </w:rPr>
        <w:t xml:space="preserve">of </w:t>
      </w:r>
      <w:r w:rsidRPr="00A50E4D">
        <w:rPr>
          <w:szCs w:val="20"/>
          <w:lang w:val="en-US"/>
        </w:rPr>
        <w:t xml:space="preserve">its impartiality, </w:t>
      </w:r>
      <w:r w:rsidR="009808C5" w:rsidRPr="00A50E4D">
        <w:rPr>
          <w:szCs w:val="20"/>
          <w:lang w:val="en-US"/>
        </w:rPr>
        <w:t xml:space="preserve">and the </w:t>
      </w:r>
      <w:r w:rsidR="00371BB7" w:rsidRPr="00A50E4D">
        <w:rPr>
          <w:szCs w:val="20"/>
          <w:lang w:val="en-US"/>
        </w:rPr>
        <w:t>Supreme Court of Justice</w:t>
      </w:r>
      <w:r w:rsidR="005472DB" w:rsidRPr="00A50E4D">
        <w:rPr>
          <w:szCs w:val="20"/>
          <w:lang w:val="en-US"/>
        </w:rPr>
        <w:t xml:space="preserve"> </w:t>
      </w:r>
      <w:r w:rsidRPr="00A50E4D">
        <w:rPr>
          <w:szCs w:val="20"/>
          <w:lang w:val="en-US"/>
        </w:rPr>
        <w:t xml:space="preserve">did not provide objective guarantees of </w:t>
      </w:r>
      <w:r w:rsidR="005472DB" w:rsidRPr="00A50E4D">
        <w:rPr>
          <w:szCs w:val="20"/>
          <w:lang w:val="en-US"/>
        </w:rPr>
        <w:t>im</w:t>
      </w:r>
      <w:r w:rsidR="00382405" w:rsidRPr="00A50E4D">
        <w:rPr>
          <w:szCs w:val="20"/>
          <w:lang w:val="en-US"/>
        </w:rPr>
        <w:t>partiality</w:t>
      </w:r>
      <w:r w:rsidR="005472DB" w:rsidRPr="00A50E4D">
        <w:rPr>
          <w:szCs w:val="20"/>
          <w:lang w:val="en-US"/>
        </w:rPr>
        <w:t xml:space="preserve"> </w:t>
      </w:r>
      <w:r w:rsidRPr="00A50E4D">
        <w:rPr>
          <w:szCs w:val="20"/>
          <w:lang w:val="en-US"/>
        </w:rPr>
        <w:t xml:space="preserve">to rule on the presumed disciplinary offenses </w:t>
      </w:r>
      <w:r w:rsidR="00371BB7" w:rsidRPr="00A50E4D">
        <w:rPr>
          <w:szCs w:val="20"/>
          <w:lang w:val="en-US"/>
        </w:rPr>
        <w:t>of the presumed victims</w:t>
      </w:r>
      <w:r w:rsidR="005472DB" w:rsidRPr="00A50E4D">
        <w:rPr>
          <w:szCs w:val="20"/>
          <w:lang w:val="en-US"/>
        </w:rPr>
        <w:t xml:space="preserve">, </w:t>
      </w:r>
      <w:r w:rsidRPr="00A50E4D">
        <w:rPr>
          <w:szCs w:val="20"/>
          <w:lang w:val="en-US"/>
        </w:rPr>
        <w:t>insofar as all the said conducts related to the</w:t>
      </w:r>
      <w:r w:rsidR="005472DB" w:rsidRPr="00A50E4D">
        <w:rPr>
          <w:szCs w:val="20"/>
          <w:lang w:val="en-US"/>
        </w:rPr>
        <w:t xml:space="preserve"> </w:t>
      </w:r>
      <w:r w:rsidR="00B11ACA" w:rsidRPr="00A50E4D">
        <w:rPr>
          <w:i/>
          <w:szCs w:val="20"/>
          <w:lang w:val="en-US"/>
        </w:rPr>
        <w:t>coup d’état</w:t>
      </w:r>
      <w:r w:rsidR="005472DB" w:rsidRPr="00A50E4D">
        <w:rPr>
          <w:szCs w:val="20"/>
          <w:lang w:val="en-US"/>
        </w:rPr>
        <w:t>.</w:t>
      </w:r>
      <w:bookmarkStart w:id="341" w:name="_Ref431213781"/>
      <w:r w:rsidR="005472DB" w:rsidRPr="00A50E4D">
        <w:rPr>
          <w:szCs w:val="20"/>
          <w:lang w:val="en-US"/>
        </w:rPr>
        <w:t xml:space="preserve"> </w:t>
      </w:r>
    </w:p>
    <w:p w14:paraId="28DBF941" w14:textId="77777777" w:rsidR="005472DB" w:rsidRPr="00A50E4D" w:rsidRDefault="005472DB" w:rsidP="005472DB">
      <w:pPr>
        <w:rPr>
          <w:lang w:val="en-US" w:eastAsia="es-MX"/>
        </w:rPr>
      </w:pPr>
    </w:p>
    <w:p w14:paraId="19F5EB56" w14:textId="36132C6D" w:rsidR="005472DB" w:rsidRPr="00A50E4D" w:rsidRDefault="00631AA8" w:rsidP="005472DB">
      <w:pPr>
        <w:pStyle w:val="PrrafodeSentencia"/>
        <w:rPr>
          <w:szCs w:val="20"/>
          <w:lang w:val="en-US"/>
        </w:rPr>
      </w:pPr>
      <w:bookmarkStart w:id="342" w:name="_Ref431644197"/>
      <w:r w:rsidRPr="00A50E4D">
        <w:rPr>
          <w:szCs w:val="20"/>
          <w:lang w:val="en-US"/>
        </w:rPr>
        <w:t>Consequently</w:t>
      </w:r>
      <w:r w:rsidR="005472DB" w:rsidRPr="00A50E4D">
        <w:rPr>
          <w:szCs w:val="20"/>
          <w:lang w:val="en-US"/>
        </w:rPr>
        <w:t xml:space="preserve">, </w:t>
      </w:r>
      <w:r w:rsidRPr="00A50E4D">
        <w:rPr>
          <w:szCs w:val="20"/>
          <w:lang w:val="en-US"/>
        </w:rPr>
        <w:t xml:space="preserve">taking into account the findings in paragraphs </w:t>
      </w:r>
      <w:r w:rsidR="00506DE5" w:rsidRPr="00914F55">
        <w:rPr>
          <w:szCs w:val="20"/>
          <w:lang w:val="en-US"/>
        </w:rPr>
        <w:fldChar w:fldCharType="begin"/>
      </w:r>
      <w:r w:rsidR="00506DE5" w:rsidRPr="00A50E4D">
        <w:rPr>
          <w:szCs w:val="20"/>
          <w:lang w:val="en-US"/>
        </w:rPr>
        <w:instrText xml:space="preserve"> REF _Ref431586078 \r \h </w:instrText>
      </w:r>
      <w:r w:rsidR="00EA20A5" w:rsidRPr="00A50E4D">
        <w:rPr>
          <w:szCs w:val="20"/>
          <w:lang w:val="en-US"/>
        </w:rPr>
        <w:instrText xml:space="preserve"> \* MERGEFORMAT </w:instrText>
      </w:r>
      <w:r w:rsidR="00506DE5" w:rsidRPr="00914F55">
        <w:rPr>
          <w:szCs w:val="20"/>
          <w:lang w:val="en-US"/>
        </w:rPr>
      </w:r>
      <w:r w:rsidR="00506DE5" w:rsidRPr="00914F55">
        <w:rPr>
          <w:szCs w:val="20"/>
          <w:lang w:val="en-US"/>
        </w:rPr>
        <w:fldChar w:fldCharType="separate"/>
      </w:r>
      <w:r w:rsidR="00547588">
        <w:rPr>
          <w:szCs w:val="20"/>
          <w:lang w:val="en-US"/>
        </w:rPr>
        <w:t>148</w:t>
      </w:r>
      <w:r w:rsidR="00506DE5" w:rsidRPr="00914F55">
        <w:rPr>
          <w:szCs w:val="20"/>
          <w:lang w:val="en-US"/>
        </w:rPr>
        <w:fldChar w:fldCharType="end"/>
      </w:r>
      <w:r w:rsidRPr="00A50E4D">
        <w:rPr>
          <w:szCs w:val="20"/>
          <w:lang w:val="en-US"/>
        </w:rPr>
        <w:t xml:space="preserve"> to</w:t>
      </w:r>
      <w:r w:rsidR="00506DE5" w:rsidRPr="00A50E4D">
        <w:rPr>
          <w:szCs w:val="20"/>
          <w:lang w:val="en-US"/>
        </w:rPr>
        <w:t xml:space="preserve"> </w:t>
      </w:r>
      <w:r w:rsidR="00506DE5" w:rsidRPr="00914F55">
        <w:rPr>
          <w:szCs w:val="20"/>
          <w:lang w:val="en-US"/>
        </w:rPr>
        <w:fldChar w:fldCharType="begin"/>
      </w:r>
      <w:r w:rsidR="00506DE5" w:rsidRPr="00A50E4D">
        <w:rPr>
          <w:szCs w:val="20"/>
          <w:lang w:val="en-US"/>
        </w:rPr>
        <w:instrText xml:space="preserve"> REF _Ref308455751 \r \h </w:instrText>
      </w:r>
      <w:r w:rsidR="00EA20A5" w:rsidRPr="00A50E4D">
        <w:rPr>
          <w:szCs w:val="20"/>
          <w:lang w:val="en-US"/>
        </w:rPr>
        <w:instrText xml:space="preserve"> \* MERGEFORMAT </w:instrText>
      </w:r>
      <w:r w:rsidR="00506DE5" w:rsidRPr="00914F55">
        <w:rPr>
          <w:szCs w:val="20"/>
          <w:lang w:val="en-US"/>
        </w:rPr>
      </w:r>
      <w:r w:rsidR="00506DE5" w:rsidRPr="00914F55">
        <w:rPr>
          <w:szCs w:val="20"/>
          <w:lang w:val="en-US"/>
        </w:rPr>
        <w:fldChar w:fldCharType="separate"/>
      </w:r>
      <w:r w:rsidR="00547588">
        <w:rPr>
          <w:szCs w:val="20"/>
          <w:lang w:val="en-US"/>
        </w:rPr>
        <w:t>155</w:t>
      </w:r>
      <w:r w:rsidR="00506DE5" w:rsidRPr="00914F55">
        <w:rPr>
          <w:szCs w:val="20"/>
          <w:lang w:val="en-US"/>
        </w:rPr>
        <w:fldChar w:fldCharType="end"/>
      </w:r>
      <w:r w:rsidR="005472DB" w:rsidRPr="00A50E4D">
        <w:rPr>
          <w:szCs w:val="20"/>
          <w:lang w:val="en-US"/>
        </w:rPr>
        <w:t xml:space="preserve"> </w:t>
      </w:r>
      <w:r w:rsidRPr="00A50E4D">
        <w:rPr>
          <w:szCs w:val="20"/>
          <w:lang w:val="en-US"/>
        </w:rPr>
        <w:t xml:space="preserve">of this judgment, </w:t>
      </w:r>
      <w:r w:rsidR="009808C5" w:rsidRPr="00A50E4D">
        <w:rPr>
          <w:szCs w:val="20"/>
          <w:lang w:val="en-US"/>
        </w:rPr>
        <w:t>the State</w:t>
      </w:r>
      <w:r w:rsidR="005472DB" w:rsidRPr="00A50E4D">
        <w:rPr>
          <w:szCs w:val="20"/>
          <w:lang w:val="en-US"/>
        </w:rPr>
        <w:t xml:space="preserve"> vi</w:t>
      </w:r>
      <w:r w:rsidRPr="00A50E4D">
        <w:rPr>
          <w:szCs w:val="20"/>
          <w:lang w:val="en-US"/>
        </w:rPr>
        <w:t>olated</w:t>
      </w:r>
      <w:r w:rsidR="005472DB" w:rsidRPr="00A50E4D">
        <w:rPr>
          <w:szCs w:val="20"/>
          <w:lang w:val="en-US"/>
        </w:rPr>
        <w:t xml:space="preserve"> </w:t>
      </w:r>
      <w:r w:rsidR="009808C5" w:rsidRPr="00A50E4D">
        <w:rPr>
          <w:szCs w:val="20"/>
          <w:lang w:val="en-US"/>
        </w:rPr>
        <w:t>Article</w:t>
      </w:r>
      <w:r w:rsidR="005472DB" w:rsidRPr="00A50E4D">
        <w:rPr>
          <w:szCs w:val="20"/>
          <w:lang w:val="en-US"/>
        </w:rPr>
        <w:t xml:space="preserve"> </w:t>
      </w:r>
      <w:r w:rsidR="00EA5E90" w:rsidRPr="00A50E4D">
        <w:rPr>
          <w:szCs w:val="20"/>
          <w:lang w:val="en-US"/>
        </w:rPr>
        <w:t>8(1)</w:t>
      </w:r>
      <w:r w:rsidR="009808C5" w:rsidRPr="00A50E4D">
        <w:rPr>
          <w:szCs w:val="20"/>
          <w:lang w:val="en-US"/>
        </w:rPr>
        <w:t xml:space="preserve"> of the Convention</w:t>
      </w:r>
      <w:r w:rsidR="005472DB" w:rsidRPr="00A50E4D">
        <w:rPr>
          <w:szCs w:val="20"/>
          <w:lang w:val="en-US"/>
        </w:rPr>
        <w:t xml:space="preserve">, </w:t>
      </w:r>
      <w:r w:rsidR="0048601C" w:rsidRPr="00A50E4D">
        <w:rPr>
          <w:szCs w:val="20"/>
          <w:lang w:val="en-US"/>
        </w:rPr>
        <w:t>in relation to Articles 1(1)</w:t>
      </w:r>
      <w:r w:rsidR="009808C5" w:rsidRPr="00A50E4D">
        <w:rPr>
          <w:szCs w:val="20"/>
          <w:lang w:val="en-US"/>
        </w:rPr>
        <w:t xml:space="preserve"> and </w:t>
      </w:r>
      <w:r w:rsidR="005472DB" w:rsidRPr="00A50E4D">
        <w:rPr>
          <w:szCs w:val="20"/>
          <w:lang w:val="en-US"/>
        </w:rPr>
        <w:t xml:space="preserve">2 </w:t>
      </w:r>
      <w:r w:rsidR="0048601C" w:rsidRPr="00A50E4D">
        <w:rPr>
          <w:szCs w:val="20"/>
          <w:lang w:val="en-US"/>
        </w:rPr>
        <w:t>of this instrument</w:t>
      </w:r>
      <w:r w:rsidR="005472DB" w:rsidRPr="00A50E4D">
        <w:rPr>
          <w:szCs w:val="20"/>
          <w:lang w:val="en-US"/>
        </w:rPr>
        <w:t xml:space="preserve">, </w:t>
      </w:r>
      <w:r w:rsidRPr="00A50E4D">
        <w:rPr>
          <w:szCs w:val="20"/>
          <w:lang w:val="en-US"/>
        </w:rPr>
        <w:t xml:space="preserve">to the detriment of </w:t>
      </w:r>
      <w:r w:rsidR="005472DB" w:rsidRPr="00A50E4D">
        <w:rPr>
          <w:szCs w:val="20"/>
          <w:lang w:val="en-US"/>
        </w:rPr>
        <w:t xml:space="preserve">Adán Guillermo López Lone, </w:t>
      </w:r>
      <w:r w:rsidR="008217D7" w:rsidRPr="00A50E4D">
        <w:rPr>
          <w:szCs w:val="20"/>
          <w:lang w:val="en-US"/>
        </w:rPr>
        <w:t>Tirza del Carmen</w:t>
      </w:r>
      <w:r w:rsidR="005472DB" w:rsidRPr="00A50E4D">
        <w:rPr>
          <w:szCs w:val="20"/>
          <w:lang w:val="en-US"/>
        </w:rPr>
        <w:t xml:space="preserve"> Flores Lanza, Luis Alonso </w:t>
      </w:r>
      <w:r w:rsidR="009A7056" w:rsidRPr="00A50E4D">
        <w:rPr>
          <w:szCs w:val="20"/>
          <w:lang w:val="en-US"/>
        </w:rPr>
        <w:t>Chévez de la Rocha</w:t>
      </w:r>
      <w:r w:rsidR="009808C5" w:rsidRPr="00A50E4D">
        <w:rPr>
          <w:szCs w:val="20"/>
          <w:lang w:val="en-US"/>
        </w:rPr>
        <w:t xml:space="preserve"> and </w:t>
      </w:r>
      <w:r w:rsidR="005472DB" w:rsidRPr="00A50E4D">
        <w:rPr>
          <w:szCs w:val="20"/>
          <w:lang w:val="en-US"/>
        </w:rPr>
        <w:t xml:space="preserve">Ramón Enrique Barrios Maldonado, </w:t>
      </w:r>
      <w:r w:rsidRPr="00A50E4D">
        <w:rPr>
          <w:szCs w:val="20"/>
          <w:lang w:val="en-US"/>
        </w:rPr>
        <w:t>as well as</w:t>
      </w:r>
      <w:r w:rsidR="005472DB" w:rsidRPr="00A50E4D">
        <w:rPr>
          <w:szCs w:val="20"/>
          <w:lang w:val="en-US"/>
        </w:rPr>
        <w:t xml:space="preserve"> </w:t>
      </w:r>
      <w:r w:rsidR="0048601C" w:rsidRPr="00A50E4D">
        <w:rPr>
          <w:szCs w:val="20"/>
          <w:lang w:val="en-US"/>
        </w:rPr>
        <w:t>in relation to Article</w:t>
      </w:r>
      <w:r w:rsidR="005472DB" w:rsidRPr="00A50E4D">
        <w:rPr>
          <w:szCs w:val="20"/>
          <w:lang w:val="en-US"/>
        </w:rPr>
        <w:t xml:space="preserve"> </w:t>
      </w:r>
      <w:r w:rsidR="00EA5E90" w:rsidRPr="00A50E4D">
        <w:rPr>
          <w:szCs w:val="20"/>
          <w:lang w:val="en-US"/>
        </w:rPr>
        <w:t>23(1)(c)</w:t>
      </w:r>
      <w:r w:rsidR="009808C5" w:rsidRPr="00A50E4D">
        <w:rPr>
          <w:szCs w:val="20"/>
          <w:lang w:val="en-US"/>
        </w:rPr>
        <w:t xml:space="preserve"> and </w:t>
      </w:r>
      <w:r w:rsidRPr="00A50E4D">
        <w:rPr>
          <w:szCs w:val="20"/>
          <w:lang w:val="en-US"/>
        </w:rPr>
        <w:t>1(</w:t>
      </w:r>
      <w:r w:rsidR="005472DB" w:rsidRPr="00A50E4D">
        <w:rPr>
          <w:szCs w:val="20"/>
          <w:lang w:val="en-US"/>
        </w:rPr>
        <w:t>1</w:t>
      </w:r>
      <w:r w:rsidRPr="00A50E4D">
        <w:rPr>
          <w:szCs w:val="20"/>
          <w:lang w:val="en-US"/>
        </w:rPr>
        <w:t>)</w:t>
      </w:r>
      <w:r w:rsidR="00FF35A9" w:rsidRPr="00A50E4D">
        <w:rPr>
          <w:szCs w:val="20"/>
          <w:lang w:val="en-US"/>
        </w:rPr>
        <w:t xml:space="preserve"> of the </w:t>
      </w:r>
      <w:r w:rsidRPr="00A50E4D">
        <w:rPr>
          <w:szCs w:val="20"/>
          <w:lang w:val="en-US"/>
        </w:rPr>
        <w:t xml:space="preserve">same instrument, owing to the arbitrary impairment of tenure in their judicial functions and the consequent harm to </w:t>
      </w:r>
      <w:r w:rsidR="00884A7E" w:rsidRPr="00A50E4D">
        <w:rPr>
          <w:szCs w:val="20"/>
          <w:lang w:val="en-US"/>
        </w:rPr>
        <w:t>judicial independence</w:t>
      </w:r>
      <w:r w:rsidR="005472DB" w:rsidRPr="00A50E4D">
        <w:rPr>
          <w:szCs w:val="20"/>
          <w:lang w:val="en-US"/>
        </w:rPr>
        <w:t xml:space="preserve">, </w:t>
      </w:r>
      <w:r w:rsidRPr="00A50E4D">
        <w:rPr>
          <w:szCs w:val="20"/>
          <w:lang w:val="en-US"/>
        </w:rPr>
        <w:t>of</w:t>
      </w:r>
      <w:r w:rsidR="005472DB" w:rsidRPr="00A50E4D">
        <w:rPr>
          <w:szCs w:val="20"/>
          <w:lang w:val="en-US"/>
        </w:rPr>
        <w:t xml:space="preserve"> Adán Guillermo López Lone, </w:t>
      </w:r>
      <w:r w:rsidR="008217D7" w:rsidRPr="00A50E4D">
        <w:rPr>
          <w:szCs w:val="20"/>
          <w:lang w:val="en-US"/>
        </w:rPr>
        <w:t>Tirza del Carmen</w:t>
      </w:r>
      <w:r w:rsidR="005472DB" w:rsidRPr="00A50E4D">
        <w:rPr>
          <w:szCs w:val="20"/>
          <w:lang w:val="en-US"/>
        </w:rPr>
        <w:t xml:space="preserve"> Flores Lanza</w:t>
      </w:r>
      <w:r w:rsidR="009808C5" w:rsidRPr="00A50E4D">
        <w:rPr>
          <w:szCs w:val="20"/>
          <w:lang w:val="en-US"/>
        </w:rPr>
        <w:t xml:space="preserve"> and </w:t>
      </w:r>
      <w:r w:rsidR="005472DB" w:rsidRPr="00A50E4D">
        <w:rPr>
          <w:szCs w:val="20"/>
          <w:lang w:val="en-US"/>
        </w:rPr>
        <w:t xml:space="preserve">Luis Alonso </w:t>
      </w:r>
      <w:r w:rsidR="009A7056" w:rsidRPr="00A50E4D">
        <w:rPr>
          <w:szCs w:val="20"/>
          <w:lang w:val="en-US"/>
        </w:rPr>
        <w:t>Chévez de la Rocha</w:t>
      </w:r>
      <w:r w:rsidR="005472DB" w:rsidRPr="00A50E4D">
        <w:rPr>
          <w:szCs w:val="20"/>
          <w:lang w:val="en-US"/>
        </w:rPr>
        <w:t xml:space="preserve">, </w:t>
      </w:r>
      <w:r w:rsidRPr="00A50E4D">
        <w:rPr>
          <w:szCs w:val="20"/>
          <w:lang w:val="en-US"/>
        </w:rPr>
        <w:t>who were</w:t>
      </w:r>
      <w:r w:rsidR="00E4078E" w:rsidRPr="00A50E4D">
        <w:rPr>
          <w:szCs w:val="20"/>
          <w:lang w:val="en-US"/>
        </w:rPr>
        <w:t xml:space="preserve"> dismissed</w:t>
      </w:r>
      <w:r w:rsidRPr="00A50E4D">
        <w:rPr>
          <w:szCs w:val="20"/>
          <w:lang w:val="en-US"/>
        </w:rPr>
        <w:t xml:space="preserve"> from</w:t>
      </w:r>
      <w:r w:rsidR="00700DEC" w:rsidRPr="00A50E4D">
        <w:rPr>
          <w:szCs w:val="20"/>
          <w:lang w:val="en-US"/>
        </w:rPr>
        <w:t xml:space="preserve"> the Judiciary</w:t>
      </w:r>
      <w:r w:rsidR="005472DB" w:rsidRPr="00A50E4D">
        <w:rPr>
          <w:szCs w:val="20"/>
          <w:lang w:val="en-US"/>
        </w:rPr>
        <w:t xml:space="preserve">. </w:t>
      </w:r>
      <w:bookmarkEnd w:id="341"/>
      <w:bookmarkEnd w:id="342"/>
    </w:p>
    <w:p w14:paraId="0A5208FA" w14:textId="77777777" w:rsidR="005472DB" w:rsidRPr="00A50E4D" w:rsidRDefault="005472DB" w:rsidP="005472DB">
      <w:pPr>
        <w:tabs>
          <w:tab w:val="left" w:pos="0"/>
          <w:tab w:val="left" w:pos="426"/>
          <w:tab w:val="left" w:pos="567"/>
        </w:tabs>
        <w:rPr>
          <w:color w:val="00B050"/>
          <w:spacing w:val="-4"/>
          <w:szCs w:val="20"/>
          <w:lang w:val="en-US"/>
        </w:rPr>
      </w:pPr>
    </w:p>
    <w:p w14:paraId="082F2448" w14:textId="148F2E87" w:rsidR="005472DB" w:rsidRPr="00A50E4D" w:rsidRDefault="005472DB" w:rsidP="005472DB">
      <w:pPr>
        <w:pStyle w:val="Heading2"/>
        <w:numPr>
          <w:ilvl w:val="0"/>
          <w:numId w:val="8"/>
        </w:numPr>
        <w:tabs>
          <w:tab w:val="clear" w:pos="993"/>
        </w:tabs>
        <w:rPr>
          <w:spacing w:val="-4"/>
          <w:lang w:val="en-US"/>
        </w:rPr>
      </w:pPr>
      <w:bookmarkStart w:id="343" w:name="_Toc427932808"/>
      <w:bookmarkStart w:id="344" w:name="_Toc424834711"/>
      <w:r w:rsidRPr="00A50E4D">
        <w:rPr>
          <w:spacing w:val="-4"/>
          <w:lang w:val="en-US"/>
        </w:rPr>
        <w:t xml:space="preserve"> </w:t>
      </w:r>
      <w:bookmarkStart w:id="345" w:name="_Toc431584655"/>
      <w:r w:rsidR="00E85F87" w:rsidRPr="00A50E4D">
        <w:rPr>
          <w:spacing w:val="-4"/>
          <w:lang w:val="en-US"/>
        </w:rPr>
        <w:t xml:space="preserve"> </w:t>
      </w:r>
      <w:bookmarkStart w:id="346" w:name="_Toc471717289"/>
      <w:r w:rsidR="00631AA8" w:rsidRPr="00A50E4D">
        <w:rPr>
          <w:spacing w:val="-4"/>
          <w:lang w:val="en-US"/>
        </w:rPr>
        <w:t>Other alleged violations of due process in</w:t>
      </w:r>
      <w:r w:rsidRPr="00A50E4D">
        <w:rPr>
          <w:spacing w:val="-4"/>
          <w:lang w:val="en-US"/>
        </w:rPr>
        <w:t xml:space="preserve"> </w:t>
      </w:r>
      <w:r w:rsidR="00277E12" w:rsidRPr="00A50E4D">
        <w:rPr>
          <w:spacing w:val="-4"/>
          <w:lang w:val="en-US"/>
        </w:rPr>
        <w:t>the disciplinary proceedings</w:t>
      </w:r>
      <w:bookmarkEnd w:id="343"/>
      <w:bookmarkEnd w:id="345"/>
      <w:r w:rsidRPr="00A50E4D">
        <w:rPr>
          <w:spacing w:val="-4"/>
          <w:lang w:val="en-US"/>
        </w:rPr>
        <w:t xml:space="preserve"> </w:t>
      </w:r>
      <w:r w:rsidR="00631AA8" w:rsidRPr="00A50E4D">
        <w:rPr>
          <w:spacing w:val="-4"/>
          <w:lang w:val="en-US"/>
        </w:rPr>
        <w:t>instituted against the</w:t>
      </w:r>
      <w:r w:rsidR="00371BB7" w:rsidRPr="00A50E4D">
        <w:rPr>
          <w:spacing w:val="-4"/>
          <w:lang w:val="en-US"/>
        </w:rPr>
        <w:t xml:space="preserve"> presumed victims</w:t>
      </w:r>
      <w:bookmarkEnd w:id="344"/>
      <w:bookmarkEnd w:id="346"/>
    </w:p>
    <w:p w14:paraId="138FA03F" w14:textId="77777777" w:rsidR="005472DB" w:rsidRPr="00A50E4D" w:rsidRDefault="005472DB" w:rsidP="005472DB">
      <w:pPr>
        <w:rPr>
          <w:spacing w:val="-4"/>
          <w:lang w:val="en-US" w:eastAsia="es-MX"/>
        </w:rPr>
      </w:pPr>
    </w:p>
    <w:p w14:paraId="08034C4F" w14:textId="455E4482" w:rsidR="005472DB" w:rsidRPr="00A50E4D" w:rsidRDefault="00E4078E" w:rsidP="005472DB">
      <w:pPr>
        <w:pStyle w:val="PrrafodeSentencia"/>
        <w:rPr>
          <w:lang w:val="en-US"/>
        </w:rPr>
      </w:pPr>
      <w:bookmarkStart w:id="347" w:name="_Ref427856101"/>
      <w:bookmarkStart w:id="348" w:name="_Ref431214864"/>
      <w:r w:rsidRPr="00A50E4D">
        <w:rPr>
          <w:szCs w:val="20"/>
          <w:lang w:val="en-US"/>
        </w:rPr>
        <w:t>Considering</w:t>
      </w:r>
      <w:r w:rsidR="00631AA8" w:rsidRPr="00A50E4D">
        <w:rPr>
          <w:szCs w:val="20"/>
          <w:lang w:val="en-US"/>
        </w:rPr>
        <w:t xml:space="preserve"> that the Court has determined that </w:t>
      </w:r>
      <w:r w:rsidRPr="00A50E4D">
        <w:rPr>
          <w:szCs w:val="20"/>
          <w:lang w:val="en-US"/>
        </w:rPr>
        <w:t xml:space="preserve">the procedure used in </w:t>
      </w:r>
      <w:r w:rsidR="00277E12" w:rsidRPr="00A50E4D">
        <w:rPr>
          <w:szCs w:val="20"/>
          <w:lang w:val="en-US"/>
        </w:rPr>
        <w:t>the disciplinary proceedings</w:t>
      </w:r>
      <w:r w:rsidR="00631AA8" w:rsidRPr="00A50E4D">
        <w:rPr>
          <w:szCs w:val="20"/>
          <w:lang w:val="en-US"/>
        </w:rPr>
        <w:t xml:space="preserve"> against</w:t>
      </w:r>
      <w:r w:rsidR="00371BB7" w:rsidRPr="00A50E4D">
        <w:rPr>
          <w:szCs w:val="20"/>
          <w:lang w:val="en-US"/>
        </w:rPr>
        <w:t xml:space="preserve"> the presumed victims</w:t>
      </w:r>
      <w:r w:rsidR="005472DB" w:rsidRPr="00A50E4D">
        <w:rPr>
          <w:szCs w:val="20"/>
          <w:lang w:val="en-US"/>
        </w:rPr>
        <w:t xml:space="preserve"> </w:t>
      </w:r>
      <w:r w:rsidRPr="00A50E4D">
        <w:rPr>
          <w:szCs w:val="20"/>
          <w:lang w:val="en-US"/>
        </w:rPr>
        <w:t>was not</w:t>
      </w:r>
      <w:r w:rsidR="00631AA8" w:rsidRPr="00A50E4D">
        <w:rPr>
          <w:szCs w:val="20"/>
          <w:lang w:val="en-US"/>
        </w:rPr>
        <w:t xml:space="preserve"> established by law, and </w:t>
      </w:r>
      <w:r w:rsidRPr="00A50E4D">
        <w:rPr>
          <w:szCs w:val="20"/>
          <w:lang w:val="en-US"/>
        </w:rPr>
        <w:t xml:space="preserve">that the organs that held them </w:t>
      </w:r>
      <w:r w:rsidR="00631AA8" w:rsidRPr="00A50E4D">
        <w:rPr>
          <w:szCs w:val="20"/>
          <w:lang w:val="en-US"/>
        </w:rPr>
        <w:t>did not comply with the guarantees of competence, independence and</w:t>
      </w:r>
      <w:r w:rsidR="005472DB" w:rsidRPr="00A50E4D">
        <w:rPr>
          <w:szCs w:val="20"/>
          <w:lang w:val="en-US"/>
        </w:rPr>
        <w:t xml:space="preserve"> im</w:t>
      </w:r>
      <w:r w:rsidR="00382405" w:rsidRPr="00A50E4D">
        <w:rPr>
          <w:szCs w:val="20"/>
          <w:lang w:val="en-US"/>
        </w:rPr>
        <w:t>partiality</w:t>
      </w:r>
      <w:r w:rsidR="005472DB" w:rsidRPr="00A50E4D">
        <w:rPr>
          <w:szCs w:val="20"/>
          <w:lang w:val="en-US"/>
        </w:rPr>
        <w:t xml:space="preserve"> </w:t>
      </w:r>
      <w:r w:rsidR="00631AA8" w:rsidRPr="00A50E4D">
        <w:rPr>
          <w:szCs w:val="20"/>
          <w:lang w:val="en-US"/>
        </w:rPr>
        <w:t>at any stage of the proceedings, it is not necessary to analyze the other guarantees established in</w:t>
      </w:r>
      <w:r w:rsidR="005472DB" w:rsidRPr="00A50E4D">
        <w:rPr>
          <w:szCs w:val="20"/>
          <w:lang w:val="en-US"/>
        </w:rPr>
        <w:t xml:space="preserve"> </w:t>
      </w:r>
      <w:r w:rsidR="009808C5" w:rsidRPr="00A50E4D">
        <w:rPr>
          <w:szCs w:val="20"/>
          <w:lang w:val="en-US"/>
        </w:rPr>
        <w:t>Article</w:t>
      </w:r>
      <w:r w:rsidR="005472DB" w:rsidRPr="00A50E4D">
        <w:rPr>
          <w:szCs w:val="20"/>
          <w:lang w:val="en-US"/>
        </w:rPr>
        <w:t xml:space="preserve"> 8</w:t>
      </w:r>
      <w:r w:rsidR="009808C5" w:rsidRPr="00A50E4D">
        <w:rPr>
          <w:szCs w:val="20"/>
          <w:lang w:val="en-US"/>
        </w:rPr>
        <w:t xml:space="preserve"> of the Convention</w:t>
      </w:r>
      <w:r w:rsidR="00631AA8" w:rsidRPr="00A50E4D">
        <w:rPr>
          <w:szCs w:val="20"/>
          <w:lang w:val="en-US"/>
        </w:rPr>
        <w:t>.</w:t>
      </w:r>
      <w:r w:rsidR="005472DB" w:rsidRPr="00A50E4D">
        <w:rPr>
          <w:rStyle w:val="FootnoteReference"/>
          <w:sz w:val="20"/>
          <w:szCs w:val="20"/>
          <w:lang w:val="en-US"/>
        </w:rPr>
        <w:footnoteReference w:id="415"/>
      </w:r>
      <w:r w:rsidRPr="00A50E4D">
        <w:rPr>
          <w:szCs w:val="20"/>
          <w:lang w:val="en-US"/>
        </w:rPr>
        <w:t xml:space="preserve"> Therefore, the</w:t>
      </w:r>
      <w:r w:rsidR="00631AA8" w:rsidRPr="00A50E4D">
        <w:rPr>
          <w:szCs w:val="20"/>
          <w:lang w:val="en-US"/>
        </w:rPr>
        <w:t xml:space="preserve"> Court finds that it is </w:t>
      </w:r>
      <w:r w:rsidRPr="00A50E4D">
        <w:rPr>
          <w:szCs w:val="20"/>
          <w:lang w:val="en-US"/>
        </w:rPr>
        <w:t>un</w:t>
      </w:r>
      <w:r w:rsidR="00631AA8" w:rsidRPr="00A50E4D">
        <w:rPr>
          <w:szCs w:val="20"/>
          <w:lang w:val="en-US"/>
        </w:rPr>
        <w:t xml:space="preserve">necessary to rule on the alleged violations of the obligation to </w:t>
      </w:r>
      <w:r w:rsidRPr="00A50E4D">
        <w:rPr>
          <w:szCs w:val="20"/>
          <w:lang w:val="en-US"/>
        </w:rPr>
        <w:t>indicate the grounds</w:t>
      </w:r>
      <w:r w:rsidR="00631AA8" w:rsidRPr="00A50E4D">
        <w:rPr>
          <w:szCs w:val="20"/>
          <w:lang w:val="en-US"/>
        </w:rPr>
        <w:t xml:space="preserve"> for the decisions, the right of defense, the presumption of innocence, and the effectiveness of the remedy before </w:t>
      </w:r>
      <w:r w:rsidR="006A756C" w:rsidRPr="00A50E4D">
        <w:rPr>
          <w:szCs w:val="20"/>
          <w:lang w:val="en-US"/>
        </w:rPr>
        <w:t>the Judicial Service Council</w:t>
      </w:r>
      <w:r w:rsidR="005472DB" w:rsidRPr="00A50E4D">
        <w:rPr>
          <w:lang w:val="en-US"/>
        </w:rPr>
        <w:t xml:space="preserve">. </w:t>
      </w:r>
      <w:bookmarkEnd w:id="347"/>
      <w:bookmarkEnd w:id="348"/>
    </w:p>
    <w:p w14:paraId="1EBAF1DA" w14:textId="77777777" w:rsidR="00A34945" w:rsidRPr="00A50E4D" w:rsidRDefault="00A34945" w:rsidP="005472DB">
      <w:pPr>
        <w:rPr>
          <w:spacing w:val="-4"/>
          <w:lang w:val="en-US"/>
        </w:rPr>
      </w:pPr>
    </w:p>
    <w:p w14:paraId="0568BB4F" w14:textId="108A1E11" w:rsidR="005472DB" w:rsidRPr="00A50E4D" w:rsidRDefault="005472DB" w:rsidP="005472DB">
      <w:pPr>
        <w:pStyle w:val="Heading2"/>
        <w:numPr>
          <w:ilvl w:val="0"/>
          <w:numId w:val="8"/>
        </w:numPr>
        <w:tabs>
          <w:tab w:val="clear" w:pos="993"/>
        </w:tabs>
        <w:rPr>
          <w:spacing w:val="-4"/>
          <w:lang w:val="en-US"/>
        </w:rPr>
      </w:pPr>
      <w:bookmarkStart w:id="349" w:name="_Toc427932809"/>
      <w:r w:rsidRPr="00A50E4D">
        <w:rPr>
          <w:spacing w:val="-4"/>
          <w:lang w:val="en-US"/>
        </w:rPr>
        <w:t xml:space="preserve"> </w:t>
      </w:r>
      <w:bookmarkStart w:id="350" w:name="_Toc471717290"/>
      <w:bookmarkStart w:id="351" w:name="_Toc431584656"/>
      <w:r w:rsidR="00631AA8" w:rsidRPr="00A50E4D">
        <w:rPr>
          <w:spacing w:val="-4"/>
          <w:lang w:val="en-US"/>
        </w:rPr>
        <w:t>Right to judicial protection</w:t>
      </w:r>
      <w:bookmarkEnd w:id="350"/>
      <w:r w:rsidRPr="00A50E4D">
        <w:rPr>
          <w:spacing w:val="-4"/>
          <w:lang w:val="en-US"/>
        </w:rPr>
        <w:t xml:space="preserve"> </w:t>
      </w:r>
      <w:bookmarkEnd w:id="349"/>
      <w:bookmarkEnd w:id="351"/>
    </w:p>
    <w:p w14:paraId="1DE66EEA" w14:textId="77777777" w:rsidR="005472DB" w:rsidRPr="00A50E4D" w:rsidRDefault="005472DB" w:rsidP="005472DB">
      <w:pPr>
        <w:rPr>
          <w:spacing w:val="-4"/>
          <w:lang w:val="en-US"/>
        </w:rPr>
      </w:pPr>
    </w:p>
    <w:p w14:paraId="2C39C23C" w14:textId="48B180EC" w:rsidR="005472DB" w:rsidRPr="00A50E4D" w:rsidRDefault="001F61CC" w:rsidP="005472DB">
      <w:pPr>
        <w:pStyle w:val="Heading3"/>
        <w:rPr>
          <w:spacing w:val="-4"/>
          <w:lang w:val="en-US"/>
        </w:rPr>
      </w:pPr>
      <w:bookmarkStart w:id="352" w:name="_Toc431584657"/>
      <w:bookmarkStart w:id="353" w:name="_Toc471717291"/>
      <w:bookmarkStart w:id="354" w:name="_Toc424834712"/>
      <w:r w:rsidRPr="00A50E4D">
        <w:rPr>
          <w:spacing w:val="-4"/>
          <w:lang w:val="en-US"/>
        </w:rPr>
        <w:t>F.</w:t>
      </w:r>
      <w:r w:rsidR="005472DB" w:rsidRPr="00A50E4D">
        <w:rPr>
          <w:spacing w:val="-4"/>
          <w:lang w:val="en-US"/>
        </w:rPr>
        <w:t xml:space="preserve">1) </w:t>
      </w:r>
      <w:r w:rsidR="00E84FC7" w:rsidRPr="00A50E4D">
        <w:rPr>
          <w:spacing w:val="-4"/>
          <w:lang w:val="en-US"/>
        </w:rPr>
        <w:t>Arguments</w:t>
      </w:r>
      <w:r w:rsidR="009808C5" w:rsidRPr="00A50E4D">
        <w:rPr>
          <w:spacing w:val="-4"/>
          <w:lang w:val="en-US"/>
        </w:rPr>
        <w:t xml:space="preserve"> of the Commission </w:t>
      </w:r>
      <w:r w:rsidR="008D65AB" w:rsidRPr="00A50E4D">
        <w:rPr>
          <w:spacing w:val="-4"/>
          <w:lang w:val="en-US"/>
        </w:rPr>
        <w:t>and of the parties</w:t>
      </w:r>
      <w:bookmarkEnd w:id="352"/>
      <w:bookmarkEnd w:id="353"/>
      <w:r w:rsidR="005472DB" w:rsidRPr="00A50E4D">
        <w:rPr>
          <w:spacing w:val="-4"/>
          <w:lang w:val="en-US"/>
        </w:rPr>
        <w:t xml:space="preserve"> </w:t>
      </w:r>
      <w:bookmarkEnd w:id="354"/>
    </w:p>
    <w:p w14:paraId="3EDD4D54" w14:textId="77777777" w:rsidR="005472DB" w:rsidRPr="00A50E4D" w:rsidRDefault="005472DB" w:rsidP="005472DB">
      <w:pPr>
        <w:rPr>
          <w:spacing w:val="-4"/>
          <w:lang w:val="en-US"/>
        </w:rPr>
      </w:pPr>
    </w:p>
    <w:p w14:paraId="4AEC6353" w14:textId="39657460" w:rsidR="005472DB" w:rsidRPr="00A50E4D" w:rsidRDefault="00CD2874" w:rsidP="005472DB">
      <w:pPr>
        <w:pStyle w:val="PrrafodeSentencia"/>
        <w:rPr>
          <w:lang w:val="en-US"/>
        </w:rPr>
      </w:pPr>
      <w:bookmarkStart w:id="355" w:name="_Ref427863345"/>
      <w:r w:rsidRPr="00A50E4D">
        <w:rPr>
          <w:lang w:val="en-US"/>
        </w:rPr>
        <w:t>The Commission</w:t>
      </w:r>
      <w:r w:rsidR="005472DB" w:rsidRPr="00A50E4D">
        <w:rPr>
          <w:lang w:val="en-US"/>
        </w:rPr>
        <w:t xml:space="preserve"> a</w:t>
      </w:r>
      <w:r w:rsidR="00631AA8" w:rsidRPr="00A50E4D">
        <w:rPr>
          <w:lang w:val="en-US"/>
        </w:rPr>
        <w:t xml:space="preserve">rgued that: </w:t>
      </w:r>
      <w:r w:rsidR="005472DB" w:rsidRPr="00A50E4D">
        <w:rPr>
          <w:lang w:val="en-US"/>
        </w:rPr>
        <w:t>“</w:t>
      </w:r>
      <w:r w:rsidR="00631AA8" w:rsidRPr="00A50E4D">
        <w:rPr>
          <w:rFonts w:cs="Cambria"/>
          <w:lang w:val="en-US"/>
        </w:rPr>
        <w:t>in view</w:t>
      </w:r>
      <w:r w:rsidR="00FF35A9" w:rsidRPr="00A50E4D">
        <w:rPr>
          <w:rFonts w:cs="Cambria"/>
          <w:lang w:val="en-US"/>
        </w:rPr>
        <w:t xml:space="preserve"> of the </w:t>
      </w:r>
      <w:r w:rsidR="00CC78C7" w:rsidRPr="00A50E4D">
        <w:rPr>
          <w:rFonts w:cs="Cambria"/>
          <w:lang w:val="en-US"/>
        </w:rPr>
        <w:t>lack of im</w:t>
      </w:r>
      <w:r w:rsidR="00E4078E" w:rsidRPr="00A50E4D">
        <w:rPr>
          <w:rFonts w:cs="Cambria"/>
          <w:lang w:val="en-US"/>
        </w:rPr>
        <w:t>partiality</w:t>
      </w:r>
      <w:r w:rsidR="002876E8" w:rsidRPr="00A50E4D">
        <w:rPr>
          <w:rFonts w:cs="Cambria"/>
          <w:lang w:val="en-US"/>
        </w:rPr>
        <w:t xml:space="preserve"> of the Supreme Court of Justice</w:t>
      </w:r>
      <w:r w:rsidR="009808C5" w:rsidRPr="00A50E4D">
        <w:rPr>
          <w:rFonts w:cs="Cambria"/>
          <w:lang w:val="en-US"/>
        </w:rPr>
        <w:t xml:space="preserve"> and </w:t>
      </w:r>
      <w:r w:rsidR="00631AA8" w:rsidRPr="00A50E4D">
        <w:rPr>
          <w:rFonts w:cs="Cambria"/>
          <w:lang w:val="en-US"/>
        </w:rPr>
        <w:t>the prohibition established in a</w:t>
      </w:r>
      <w:r w:rsidR="009808C5" w:rsidRPr="00A50E4D">
        <w:rPr>
          <w:rFonts w:cs="Cambria"/>
          <w:lang w:val="en-US"/>
        </w:rPr>
        <w:t>rticle</w:t>
      </w:r>
      <w:r w:rsidR="005472DB" w:rsidRPr="00A50E4D">
        <w:rPr>
          <w:rFonts w:cs="Cambria"/>
          <w:lang w:val="en-US"/>
        </w:rPr>
        <w:t xml:space="preserve"> 31</w:t>
      </w:r>
      <w:r w:rsidR="009808C5" w:rsidRPr="00A50E4D">
        <w:rPr>
          <w:rFonts w:cs="Cambria"/>
          <w:lang w:val="en-US"/>
        </w:rPr>
        <w:t xml:space="preserve"> of the </w:t>
      </w:r>
      <w:r w:rsidR="00631AA8" w:rsidRPr="00A50E4D">
        <w:rPr>
          <w:rFonts w:cs="Cambria"/>
          <w:lang w:val="en-US"/>
        </w:rPr>
        <w:t xml:space="preserve">[internal] rules of procedure </w:t>
      </w:r>
      <w:r w:rsidR="005472DB" w:rsidRPr="00A50E4D">
        <w:rPr>
          <w:rFonts w:cs="Cambria"/>
          <w:lang w:val="en-US"/>
        </w:rPr>
        <w:t>[</w:t>
      </w:r>
      <w:r w:rsidR="006A756C" w:rsidRPr="00A50E4D">
        <w:rPr>
          <w:rFonts w:cs="Cambria"/>
          <w:lang w:val="en-US"/>
        </w:rPr>
        <w:t>of the Judicial Service Council</w:t>
      </w:r>
      <w:r w:rsidR="005472DB" w:rsidRPr="00A50E4D">
        <w:rPr>
          <w:rFonts w:cs="Cambria"/>
          <w:lang w:val="en-US"/>
        </w:rPr>
        <w:t xml:space="preserve">], </w:t>
      </w:r>
      <w:r w:rsidR="00631AA8" w:rsidRPr="00A50E4D">
        <w:rPr>
          <w:rFonts w:cs="Cambria"/>
          <w:lang w:val="en-US"/>
        </w:rPr>
        <w:t xml:space="preserve">the victims did not have access to a remedy </w:t>
      </w:r>
      <w:r w:rsidR="00E4078E" w:rsidRPr="00A50E4D">
        <w:rPr>
          <w:rFonts w:cs="Cambria"/>
          <w:lang w:val="en-US"/>
        </w:rPr>
        <w:t>designed to protect</w:t>
      </w:r>
      <w:r w:rsidR="00631AA8" w:rsidRPr="00A50E4D">
        <w:rPr>
          <w:rFonts w:cs="Cambria"/>
          <w:lang w:val="en-US"/>
        </w:rPr>
        <w:t xml:space="preserve"> them from </w:t>
      </w:r>
      <w:r w:rsidR="00E4078E" w:rsidRPr="00A50E4D">
        <w:rPr>
          <w:rFonts w:cs="Cambria"/>
          <w:lang w:val="en-US"/>
        </w:rPr>
        <w:t xml:space="preserve">the </w:t>
      </w:r>
      <w:r w:rsidR="00631AA8" w:rsidRPr="00A50E4D">
        <w:rPr>
          <w:rFonts w:cs="Cambria"/>
          <w:lang w:val="en-US"/>
        </w:rPr>
        <w:t xml:space="preserve">violations of due process committed by </w:t>
      </w:r>
      <w:r w:rsidR="006A756C" w:rsidRPr="00A50E4D">
        <w:rPr>
          <w:rFonts w:cs="Cambria"/>
          <w:lang w:val="en-US"/>
        </w:rPr>
        <w:t>the Judicial Service Council</w:t>
      </w:r>
      <w:r w:rsidR="005472DB" w:rsidRPr="00A50E4D">
        <w:rPr>
          <w:rFonts w:cs="Cambria"/>
          <w:lang w:val="en-US"/>
        </w:rPr>
        <w:t xml:space="preserve"> </w:t>
      </w:r>
      <w:r w:rsidR="00E4078E" w:rsidRPr="00A50E4D">
        <w:rPr>
          <w:rFonts w:cs="Cambria"/>
          <w:lang w:val="en-US"/>
        </w:rPr>
        <w:t>pursuant to</w:t>
      </w:r>
      <w:r w:rsidR="0048601C" w:rsidRPr="00A50E4D">
        <w:rPr>
          <w:rFonts w:cs="Cambria"/>
          <w:lang w:val="en-US"/>
        </w:rPr>
        <w:t xml:space="preserve"> Article</w:t>
      </w:r>
      <w:r w:rsidR="005472DB" w:rsidRPr="00A50E4D">
        <w:rPr>
          <w:rFonts w:cs="Cambria"/>
          <w:lang w:val="en-US"/>
        </w:rPr>
        <w:t xml:space="preserve"> 25</w:t>
      </w:r>
      <w:r w:rsidR="009808C5" w:rsidRPr="00A50E4D">
        <w:rPr>
          <w:rFonts w:cs="Cambria"/>
          <w:lang w:val="en-US"/>
        </w:rPr>
        <w:t xml:space="preserve"> of the American Convention</w:t>
      </w:r>
      <w:r w:rsidR="00631AA8" w:rsidRPr="00A50E4D">
        <w:rPr>
          <w:rFonts w:cs="Cambria"/>
          <w:lang w:val="en-US"/>
        </w:rPr>
        <w:t>.”</w:t>
      </w:r>
      <w:r w:rsidR="005472DB" w:rsidRPr="00A50E4D">
        <w:rPr>
          <w:rFonts w:cs="Cambria"/>
          <w:lang w:val="en-US"/>
        </w:rPr>
        <w:t xml:space="preserve"> </w:t>
      </w:r>
      <w:r w:rsidR="00631AA8" w:rsidRPr="00A50E4D">
        <w:rPr>
          <w:lang w:val="en-US"/>
        </w:rPr>
        <w:t>Regarding the</w:t>
      </w:r>
      <w:r w:rsidR="005472DB" w:rsidRPr="00A50E4D">
        <w:rPr>
          <w:lang w:val="en-US"/>
        </w:rPr>
        <w:t xml:space="preserve"> </w:t>
      </w:r>
      <w:r w:rsidR="006A756C" w:rsidRPr="00A50E4D">
        <w:rPr>
          <w:lang w:val="en-US"/>
        </w:rPr>
        <w:t xml:space="preserve">application for </w:t>
      </w:r>
      <w:r w:rsidR="00B11ACA" w:rsidRPr="00A50E4D">
        <w:rPr>
          <w:i/>
          <w:lang w:val="en-US"/>
        </w:rPr>
        <w:t>amparo</w:t>
      </w:r>
      <w:r w:rsidR="005472DB" w:rsidRPr="00A50E4D">
        <w:rPr>
          <w:lang w:val="en-US"/>
        </w:rPr>
        <w:t xml:space="preserve">, </w:t>
      </w:r>
      <w:r w:rsidR="009808C5" w:rsidRPr="00A50E4D">
        <w:rPr>
          <w:lang w:val="en-US"/>
        </w:rPr>
        <w:t>the Commission</w:t>
      </w:r>
      <w:r w:rsidR="005472DB" w:rsidRPr="00A50E4D">
        <w:rPr>
          <w:lang w:val="en-US"/>
        </w:rPr>
        <w:t xml:space="preserve"> </w:t>
      </w:r>
      <w:r w:rsidR="00631AA8" w:rsidRPr="00A50E4D">
        <w:rPr>
          <w:lang w:val="en-US"/>
        </w:rPr>
        <w:t xml:space="preserve">indicated that the said </w:t>
      </w:r>
      <w:r w:rsidR="000E6A0D" w:rsidRPr="00A50E4D">
        <w:rPr>
          <w:lang w:val="en-US"/>
        </w:rPr>
        <w:t>rules of procedure</w:t>
      </w:r>
      <w:r w:rsidR="00631AA8" w:rsidRPr="00A50E4D">
        <w:rPr>
          <w:lang w:val="en-US"/>
        </w:rPr>
        <w:t xml:space="preserve"> indicated expressly that, there was no appeal against the decisions of the Judicial Service Council, which “constitutes further proof of the lack of access to j</w:t>
      </w:r>
      <w:r w:rsidR="004D0F32" w:rsidRPr="00A50E4D">
        <w:rPr>
          <w:lang w:val="en-US"/>
        </w:rPr>
        <w:t>udicial</w:t>
      </w:r>
      <w:r w:rsidR="00371BB7" w:rsidRPr="00A50E4D">
        <w:rPr>
          <w:lang w:val="en-US"/>
        </w:rPr>
        <w:t xml:space="preserve"> protection</w:t>
      </w:r>
      <w:r w:rsidR="00631AA8" w:rsidRPr="00A50E4D">
        <w:rPr>
          <w:lang w:val="en-US"/>
        </w:rPr>
        <w:t xml:space="preserve">.” According to </w:t>
      </w:r>
      <w:r w:rsidR="009808C5" w:rsidRPr="00A50E4D">
        <w:rPr>
          <w:lang w:val="en-US"/>
        </w:rPr>
        <w:t>the Commission</w:t>
      </w:r>
      <w:r w:rsidR="005472DB" w:rsidRPr="00A50E4D">
        <w:rPr>
          <w:lang w:val="en-US"/>
        </w:rPr>
        <w:t>,</w:t>
      </w:r>
      <w:r w:rsidR="005472DB" w:rsidRPr="00A50E4D">
        <w:rPr>
          <w:b/>
          <w:lang w:val="en-US"/>
        </w:rPr>
        <w:t xml:space="preserve"> </w:t>
      </w:r>
      <w:r w:rsidR="005472DB" w:rsidRPr="00A50E4D">
        <w:rPr>
          <w:lang w:val="en-US"/>
        </w:rPr>
        <w:t>“</w:t>
      </w:r>
      <w:r w:rsidR="009808C5" w:rsidRPr="00A50E4D">
        <w:rPr>
          <w:lang w:val="en-US"/>
        </w:rPr>
        <w:t>the State</w:t>
      </w:r>
      <w:r w:rsidR="00631AA8" w:rsidRPr="00A50E4D">
        <w:rPr>
          <w:lang w:val="en-US"/>
        </w:rPr>
        <w:t xml:space="preserve"> confirmed that, if an </w:t>
      </w:r>
      <w:r w:rsidR="006A756C" w:rsidRPr="00A50E4D">
        <w:rPr>
          <w:lang w:val="en-US"/>
        </w:rPr>
        <w:t xml:space="preserve">application for </w:t>
      </w:r>
      <w:r w:rsidR="00B11ACA" w:rsidRPr="00A50E4D">
        <w:rPr>
          <w:i/>
          <w:lang w:val="en-US"/>
        </w:rPr>
        <w:t>amparo</w:t>
      </w:r>
      <w:r w:rsidR="005472DB" w:rsidRPr="00A50E4D">
        <w:rPr>
          <w:lang w:val="en-US"/>
        </w:rPr>
        <w:t xml:space="preserve"> </w:t>
      </w:r>
      <w:r w:rsidR="00631AA8" w:rsidRPr="00A50E4D">
        <w:rPr>
          <w:lang w:val="en-US"/>
        </w:rPr>
        <w:lastRenderedPageBreak/>
        <w:t>had been filed, a series of interpretations would have been required in order to overcome the prohibition contained in a</w:t>
      </w:r>
      <w:r w:rsidR="009808C5" w:rsidRPr="00A50E4D">
        <w:rPr>
          <w:lang w:val="en-US"/>
        </w:rPr>
        <w:t>rticle</w:t>
      </w:r>
      <w:r w:rsidR="005472DB" w:rsidRPr="00A50E4D">
        <w:rPr>
          <w:lang w:val="en-US"/>
        </w:rPr>
        <w:t xml:space="preserve"> [31]</w:t>
      </w:r>
      <w:r w:rsidR="009808C5" w:rsidRPr="00A50E4D">
        <w:rPr>
          <w:lang w:val="en-US"/>
        </w:rPr>
        <w:t xml:space="preserve"> of the </w:t>
      </w:r>
      <w:r w:rsidR="00631AA8" w:rsidRPr="00A50E4D">
        <w:rPr>
          <w:lang w:val="en-US"/>
        </w:rPr>
        <w:t>rules of procedure</w:t>
      </w:r>
      <w:r w:rsidR="005472DB" w:rsidRPr="00A50E4D">
        <w:rPr>
          <w:lang w:val="en-US"/>
        </w:rPr>
        <w:t xml:space="preserve">.” </w:t>
      </w:r>
      <w:r w:rsidR="00631AA8" w:rsidRPr="00A50E4D">
        <w:rPr>
          <w:lang w:val="en-US"/>
        </w:rPr>
        <w:t xml:space="preserve">It also indicated that the </w:t>
      </w:r>
      <w:r w:rsidR="006A756C" w:rsidRPr="00A50E4D">
        <w:rPr>
          <w:lang w:val="en-US"/>
        </w:rPr>
        <w:t xml:space="preserve">application for </w:t>
      </w:r>
      <w:r w:rsidR="00B11ACA" w:rsidRPr="00A50E4D">
        <w:rPr>
          <w:i/>
          <w:lang w:val="en-US"/>
        </w:rPr>
        <w:t>amparo</w:t>
      </w:r>
      <w:r w:rsidR="005472DB" w:rsidRPr="00A50E4D">
        <w:rPr>
          <w:lang w:val="en-US"/>
        </w:rPr>
        <w:t xml:space="preserve"> </w:t>
      </w:r>
      <w:r w:rsidR="00631AA8" w:rsidRPr="00A50E4D">
        <w:rPr>
          <w:lang w:val="en-US"/>
        </w:rPr>
        <w:t xml:space="preserve">would not be </w:t>
      </w:r>
      <w:r w:rsidR="000A786A" w:rsidRPr="00A50E4D">
        <w:rPr>
          <w:lang w:val="en-US"/>
        </w:rPr>
        <w:t>effective</w:t>
      </w:r>
      <w:r w:rsidR="00631AA8" w:rsidRPr="00A50E4D">
        <w:rPr>
          <w:lang w:val="en-US"/>
        </w:rPr>
        <w:t xml:space="preserve"> because it would be decided by </w:t>
      </w:r>
      <w:r w:rsidR="009808C5" w:rsidRPr="00A50E4D">
        <w:rPr>
          <w:lang w:val="en-US"/>
        </w:rPr>
        <w:t xml:space="preserve">the </w:t>
      </w:r>
      <w:r w:rsidR="00371BB7" w:rsidRPr="00A50E4D">
        <w:rPr>
          <w:lang w:val="en-US"/>
        </w:rPr>
        <w:t>Supreme Court of Justice</w:t>
      </w:r>
      <w:r w:rsidR="005472DB" w:rsidRPr="00A50E4D">
        <w:rPr>
          <w:lang w:val="en-US"/>
        </w:rPr>
        <w:t>,</w:t>
      </w:r>
      <w:r w:rsidR="00631AA8" w:rsidRPr="00A50E4D">
        <w:rPr>
          <w:lang w:val="en-US"/>
        </w:rPr>
        <w:t xml:space="preserve"> and there were no clear rules concerning the way in which its </w:t>
      </w:r>
      <w:r w:rsidR="00631AA8" w:rsidRPr="00A50E4D">
        <w:rPr>
          <w:i/>
          <w:lang w:val="en-US"/>
        </w:rPr>
        <w:t>ad hoc</w:t>
      </w:r>
      <w:r w:rsidR="00631AA8" w:rsidRPr="00A50E4D">
        <w:rPr>
          <w:lang w:val="en-US"/>
        </w:rPr>
        <w:t xml:space="preserve"> members would be </w:t>
      </w:r>
      <w:r w:rsidR="00DC3989" w:rsidRPr="00A50E4D">
        <w:rPr>
          <w:lang w:val="en-US"/>
        </w:rPr>
        <w:t>appointed</w:t>
      </w:r>
      <w:r w:rsidR="00631AA8" w:rsidRPr="00A50E4D">
        <w:rPr>
          <w:lang w:val="en-US"/>
        </w:rPr>
        <w:t xml:space="preserve"> to hear the cases </w:t>
      </w:r>
      <w:r w:rsidR="00371BB7" w:rsidRPr="00A50E4D">
        <w:rPr>
          <w:lang w:val="en-US"/>
        </w:rPr>
        <w:t>of the presumed victims</w:t>
      </w:r>
      <w:r w:rsidR="005472DB" w:rsidRPr="00A50E4D">
        <w:rPr>
          <w:lang w:val="en-US"/>
        </w:rPr>
        <w:t>.</w:t>
      </w:r>
      <w:bookmarkEnd w:id="355"/>
      <w:r w:rsidR="005472DB" w:rsidRPr="00A50E4D">
        <w:rPr>
          <w:b/>
          <w:lang w:val="en-US"/>
        </w:rPr>
        <w:t xml:space="preserve"> </w:t>
      </w:r>
    </w:p>
    <w:p w14:paraId="69AB342D" w14:textId="77777777" w:rsidR="005472DB" w:rsidRPr="00A50E4D" w:rsidRDefault="005472DB" w:rsidP="005472DB">
      <w:pPr>
        <w:pStyle w:val="PrrafodeSentencia"/>
        <w:numPr>
          <w:ilvl w:val="0"/>
          <w:numId w:val="0"/>
        </w:numPr>
        <w:rPr>
          <w:lang w:val="en-US"/>
        </w:rPr>
      </w:pPr>
    </w:p>
    <w:p w14:paraId="67FD980F" w14:textId="1624948D" w:rsidR="005472DB" w:rsidRPr="00A50E4D" w:rsidRDefault="00AD5EE7" w:rsidP="00631AA8">
      <w:pPr>
        <w:pStyle w:val="PrrafodeSentencia"/>
        <w:rPr>
          <w:strike/>
          <w:lang w:val="en-US"/>
        </w:rPr>
      </w:pPr>
      <w:bookmarkStart w:id="356" w:name="_Ref427863350"/>
      <w:r w:rsidRPr="00A50E4D">
        <w:rPr>
          <w:lang w:val="en-US"/>
        </w:rPr>
        <w:t>The representatives</w:t>
      </w:r>
      <w:r w:rsidR="005472DB" w:rsidRPr="00A50E4D">
        <w:rPr>
          <w:lang w:val="en-US"/>
        </w:rPr>
        <w:t xml:space="preserve"> a</w:t>
      </w:r>
      <w:r w:rsidR="00631AA8" w:rsidRPr="00A50E4D">
        <w:rPr>
          <w:lang w:val="en-US"/>
        </w:rPr>
        <w:t xml:space="preserve">rgued that </w:t>
      </w:r>
      <w:r w:rsidR="000A786A" w:rsidRPr="00A50E4D">
        <w:rPr>
          <w:lang w:val="en-US"/>
        </w:rPr>
        <w:t>Honduran</w:t>
      </w:r>
      <w:r w:rsidR="00631AA8" w:rsidRPr="00A50E4D">
        <w:rPr>
          <w:lang w:val="en-US"/>
        </w:rPr>
        <w:t xml:space="preserve"> law did not establish an adequate and effective remedy against </w:t>
      </w:r>
      <w:r w:rsidR="006A756C" w:rsidRPr="00A50E4D">
        <w:rPr>
          <w:lang w:val="en-US"/>
        </w:rPr>
        <w:t>the Judicial Service Council</w:t>
      </w:r>
      <w:r w:rsidR="00DC3989" w:rsidRPr="00A50E4D">
        <w:rPr>
          <w:lang w:val="en-US"/>
        </w:rPr>
        <w:t>’s decisions on</w:t>
      </w:r>
      <w:r w:rsidR="00631AA8" w:rsidRPr="00A50E4D">
        <w:rPr>
          <w:lang w:val="en-US"/>
        </w:rPr>
        <w:t xml:space="preserve"> disciplinary matters, because a</w:t>
      </w:r>
      <w:r w:rsidR="009808C5" w:rsidRPr="00A50E4D">
        <w:rPr>
          <w:lang w:val="en-US"/>
        </w:rPr>
        <w:t>rticle</w:t>
      </w:r>
      <w:r w:rsidR="005472DB" w:rsidRPr="00A50E4D">
        <w:rPr>
          <w:lang w:val="en-US"/>
        </w:rPr>
        <w:t xml:space="preserve"> 31</w:t>
      </w:r>
      <w:r w:rsidR="009808C5" w:rsidRPr="00A50E4D">
        <w:rPr>
          <w:lang w:val="en-US"/>
        </w:rPr>
        <w:t xml:space="preserve"> of </w:t>
      </w:r>
      <w:r w:rsidR="006A756C" w:rsidRPr="00A50E4D">
        <w:rPr>
          <w:lang w:val="en-US"/>
        </w:rPr>
        <w:t xml:space="preserve">the </w:t>
      </w:r>
      <w:r w:rsidR="000E6A0D" w:rsidRPr="00A50E4D">
        <w:rPr>
          <w:lang w:val="en-US"/>
        </w:rPr>
        <w:t>rules of procedure</w:t>
      </w:r>
      <w:r w:rsidR="00EB6155" w:rsidRPr="00A50E4D">
        <w:rPr>
          <w:lang w:val="en-US"/>
        </w:rPr>
        <w:t xml:space="preserve"> </w:t>
      </w:r>
      <w:r w:rsidR="00631AA8" w:rsidRPr="00A50E4D">
        <w:rPr>
          <w:lang w:val="en-US"/>
        </w:rPr>
        <w:t xml:space="preserve">of the Judicial Service Council prevented filing appeals against its decisions. Regarding the State’s argument that, this </w:t>
      </w:r>
      <w:r w:rsidR="00DC3989" w:rsidRPr="00A50E4D">
        <w:rPr>
          <w:lang w:val="en-US"/>
        </w:rPr>
        <w:t>article</w:t>
      </w:r>
      <w:r w:rsidR="00631AA8" w:rsidRPr="00A50E4D">
        <w:rPr>
          <w:lang w:val="en-US"/>
        </w:rPr>
        <w:t xml:space="preserve"> had already been derogated at the time, they indicated that this “does no</w:t>
      </w:r>
      <w:r w:rsidR="00DC3989" w:rsidRPr="00A50E4D">
        <w:rPr>
          <w:lang w:val="en-US"/>
        </w:rPr>
        <w:t>t correspond to what happened in</w:t>
      </w:r>
      <w:r w:rsidR="00631AA8" w:rsidRPr="00A50E4D">
        <w:rPr>
          <w:lang w:val="en-US"/>
        </w:rPr>
        <w:t xml:space="preserve"> this </w:t>
      </w:r>
      <w:r w:rsidR="00DC3989" w:rsidRPr="00A50E4D">
        <w:rPr>
          <w:lang w:val="en-US"/>
        </w:rPr>
        <w:t xml:space="preserve">case, because </w:t>
      </w:r>
      <w:r w:rsidR="00631AA8" w:rsidRPr="00A50E4D">
        <w:rPr>
          <w:lang w:val="en-US"/>
        </w:rPr>
        <w:t xml:space="preserve">the [Judicial Service Council] </w:t>
      </w:r>
      <w:r w:rsidR="00DC3989" w:rsidRPr="00A50E4D">
        <w:rPr>
          <w:lang w:val="en-US"/>
        </w:rPr>
        <w:t xml:space="preserve">applied this norm </w:t>
      </w:r>
      <w:r w:rsidR="00631AA8" w:rsidRPr="00A50E4D">
        <w:rPr>
          <w:lang w:val="en-US"/>
        </w:rPr>
        <w:t xml:space="preserve">against the four victims […]; if it had not been in force, the organ regulated by </w:t>
      </w:r>
      <w:r w:rsidR="00DC3989" w:rsidRPr="00A50E4D">
        <w:rPr>
          <w:lang w:val="en-US"/>
        </w:rPr>
        <w:t>this instrument</w:t>
      </w:r>
      <w:r w:rsidR="00631AA8" w:rsidRPr="00A50E4D">
        <w:rPr>
          <w:lang w:val="en-US"/>
        </w:rPr>
        <w:t xml:space="preserve"> should</w:t>
      </w:r>
      <w:r w:rsidR="00DC3989" w:rsidRPr="00A50E4D">
        <w:rPr>
          <w:lang w:val="en-US"/>
        </w:rPr>
        <w:t xml:space="preserve"> have abstained from invoking this article</w:t>
      </w:r>
      <w:r w:rsidR="00631AA8" w:rsidRPr="00A50E4D">
        <w:rPr>
          <w:lang w:val="en-US"/>
        </w:rPr>
        <w:t xml:space="preserve">, or even proceeded to amend the corresponding rules of procedure.” They added that the State was basing itself on a false assumption, which was that the situation in Honduras was normal. According to the representatives, the application for </w:t>
      </w:r>
      <w:r w:rsidR="00B11ACA" w:rsidRPr="00A50E4D">
        <w:rPr>
          <w:i/>
          <w:lang w:val="en-US"/>
        </w:rPr>
        <w:t>amparo</w:t>
      </w:r>
      <w:r w:rsidR="00631AA8" w:rsidRPr="00A50E4D">
        <w:rPr>
          <w:lang w:val="en-US"/>
        </w:rPr>
        <w:t xml:space="preserve"> was illusory because the Judiciary lacked the necessary independence to </w:t>
      </w:r>
      <w:r w:rsidR="00DC3989" w:rsidRPr="00A50E4D">
        <w:rPr>
          <w:lang w:val="en-US"/>
        </w:rPr>
        <w:t>take an impartial decision</w:t>
      </w:r>
      <w:r w:rsidR="00631AA8" w:rsidRPr="00A50E4D">
        <w:rPr>
          <w:lang w:val="en-US"/>
        </w:rPr>
        <w:t xml:space="preserve"> </w:t>
      </w:r>
      <w:r w:rsidR="00DC3989" w:rsidRPr="00A50E4D">
        <w:rPr>
          <w:lang w:val="en-US"/>
        </w:rPr>
        <w:t>in view of the fact that</w:t>
      </w:r>
      <w:r w:rsidR="00631AA8" w:rsidRPr="00A50E4D">
        <w:rPr>
          <w:lang w:val="en-US"/>
        </w:rPr>
        <w:t xml:space="preserve"> “it corresponded to the Constitutional Chamber to hear the </w:t>
      </w:r>
      <w:r w:rsidR="005472DB" w:rsidRPr="00A50E4D">
        <w:rPr>
          <w:lang w:val="en-US"/>
        </w:rPr>
        <w:t>[</w:t>
      </w:r>
      <w:r w:rsidR="006A756C" w:rsidRPr="00A50E4D">
        <w:rPr>
          <w:lang w:val="en-US"/>
        </w:rPr>
        <w:t xml:space="preserve">application for </w:t>
      </w:r>
      <w:r w:rsidR="00B11ACA" w:rsidRPr="00A50E4D">
        <w:rPr>
          <w:i/>
          <w:lang w:val="en-US"/>
        </w:rPr>
        <w:t>amparo</w:t>
      </w:r>
      <w:r w:rsidR="005472DB" w:rsidRPr="00A50E4D">
        <w:rPr>
          <w:lang w:val="en-US"/>
        </w:rPr>
        <w:t>]”</w:t>
      </w:r>
      <w:r w:rsidR="009808C5" w:rsidRPr="00A50E4D">
        <w:rPr>
          <w:lang w:val="en-US"/>
        </w:rPr>
        <w:t xml:space="preserve"> and </w:t>
      </w:r>
      <w:r w:rsidR="00631AA8" w:rsidRPr="00A50E4D">
        <w:rPr>
          <w:lang w:val="en-US"/>
        </w:rPr>
        <w:t>the</w:t>
      </w:r>
      <w:r w:rsidR="005472DB" w:rsidRPr="00A50E4D">
        <w:rPr>
          <w:lang w:val="en-US"/>
        </w:rPr>
        <w:t xml:space="preserve"> </w:t>
      </w:r>
      <w:r w:rsidR="00277E12" w:rsidRPr="00A50E4D">
        <w:rPr>
          <w:lang w:val="en-US"/>
        </w:rPr>
        <w:t>justices</w:t>
      </w:r>
      <w:r w:rsidR="005472DB" w:rsidRPr="00A50E4D">
        <w:rPr>
          <w:lang w:val="en-US"/>
        </w:rPr>
        <w:t xml:space="preserve"> </w:t>
      </w:r>
      <w:r w:rsidR="00631AA8" w:rsidRPr="00A50E4D">
        <w:rPr>
          <w:lang w:val="en-US"/>
        </w:rPr>
        <w:t>who composed that Chamber were part</w:t>
      </w:r>
      <w:r w:rsidR="009808C5" w:rsidRPr="00A50E4D">
        <w:rPr>
          <w:lang w:val="en-US"/>
        </w:rPr>
        <w:t xml:space="preserve"> of the </w:t>
      </w:r>
      <w:r w:rsidR="00371BB7" w:rsidRPr="00A50E4D">
        <w:rPr>
          <w:lang w:val="en-US"/>
        </w:rPr>
        <w:t>Supreme Court of Justice</w:t>
      </w:r>
      <w:r w:rsidR="005472DB" w:rsidRPr="00A50E4D">
        <w:rPr>
          <w:lang w:val="en-US"/>
        </w:rPr>
        <w:t>.</w:t>
      </w:r>
      <w:r w:rsidR="005472DB" w:rsidRPr="00A50E4D">
        <w:rPr>
          <w:b/>
          <w:lang w:val="en-US"/>
        </w:rPr>
        <w:t xml:space="preserve"> </w:t>
      </w:r>
      <w:r w:rsidR="005472DB" w:rsidRPr="00A50E4D">
        <w:rPr>
          <w:lang w:val="en-US"/>
        </w:rPr>
        <w:t>T</w:t>
      </w:r>
      <w:r w:rsidR="00631AA8" w:rsidRPr="00A50E4D">
        <w:rPr>
          <w:lang w:val="en-US"/>
        </w:rPr>
        <w:t xml:space="preserve">hey also refuted the State’s argument that recusal could have been used, because “the incorporation of a new chamber does not offer the guarantees of independence and impartiality necessary for access to effective judicial protection.” According to </w:t>
      </w:r>
      <w:r w:rsidRPr="00A50E4D">
        <w:rPr>
          <w:lang w:val="en-US"/>
        </w:rPr>
        <w:t>the representatives</w:t>
      </w:r>
      <w:r w:rsidR="005472DB" w:rsidRPr="00A50E4D">
        <w:rPr>
          <w:lang w:val="en-US"/>
        </w:rPr>
        <w:t>, “</w:t>
      </w:r>
      <w:r w:rsidR="00631AA8" w:rsidRPr="00A50E4D">
        <w:rPr>
          <w:lang w:val="en-US"/>
        </w:rPr>
        <w:t>Honduran law does not establish the procedure to be applied when a recusal is filed against the whole deliberative body” because “there is no procedure for substitution when all the members of a chamber are recused and, above all, when the whole of the Supreme Court of Justice is recused.”</w:t>
      </w:r>
      <w:bookmarkEnd w:id="356"/>
    </w:p>
    <w:p w14:paraId="06BF5F01" w14:textId="77777777" w:rsidR="005472DB" w:rsidRPr="00A50E4D" w:rsidRDefault="005472DB" w:rsidP="005472DB">
      <w:pPr>
        <w:pStyle w:val="PrrafodeSentencia"/>
        <w:numPr>
          <w:ilvl w:val="0"/>
          <w:numId w:val="0"/>
        </w:numPr>
        <w:rPr>
          <w:lang w:val="en-US"/>
        </w:rPr>
      </w:pPr>
    </w:p>
    <w:p w14:paraId="76AC5DE3" w14:textId="22B1869B" w:rsidR="005472DB" w:rsidRPr="00A50E4D" w:rsidRDefault="009808C5" w:rsidP="00665BDA">
      <w:pPr>
        <w:pStyle w:val="PrrafodeSentencia"/>
        <w:rPr>
          <w:color w:val="00B050"/>
          <w:sz w:val="18"/>
          <w:szCs w:val="18"/>
          <w:lang w:val="en-US"/>
        </w:rPr>
      </w:pPr>
      <w:r w:rsidRPr="00A50E4D">
        <w:rPr>
          <w:lang w:val="en-US"/>
        </w:rPr>
        <w:t>The State</w:t>
      </w:r>
      <w:r w:rsidR="005472DB" w:rsidRPr="00A50E4D">
        <w:rPr>
          <w:b/>
          <w:i/>
          <w:lang w:val="en-US"/>
        </w:rPr>
        <w:t xml:space="preserve"> </w:t>
      </w:r>
      <w:r w:rsidR="00665BDA" w:rsidRPr="00A50E4D">
        <w:rPr>
          <w:lang w:val="en-US"/>
        </w:rPr>
        <w:t>responded that</w:t>
      </w:r>
      <w:r w:rsidR="005472DB" w:rsidRPr="00A50E4D">
        <w:rPr>
          <w:lang w:val="en-US"/>
        </w:rPr>
        <w:t xml:space="preserve"> </w:t>
      </w:r>
      <w:r w:rsidR="00371BB7" w:rsidRPr="00A50E4D">
        <w:rPr>
          <w:lang w:val="en-US"/>
        </w:rPr>
        <w:t>the presumed victims</w:t>
      </w:r>
      <w:r w:rsidR="005472DB" w:rsidRPr="00A50E4D">
        <w:rPr>
          <w:b/>
          <w:lang w:val="en-US"/>
        </w:rPr>
        <w:t xml:space="preserve"> </w:t>
      </w:r>
      <w:r w:rsidR="005472DB" w:rsidRPr="00A50E4D">
        <w:rPr>
          <w:lang w:val="en-US"/>
        </w:rPr>
        <w:t>“</w:t>
      </w:r>
      <w:r w:rsidR="00DC3989" w:rsidRPr="00A50E4D">
        <w:rPr>
          <w:lang w:val="en-US"/>
        </w:rPr>
        <w:t>did not file a</w:t>
      </w:r>
      <w:r w:rsidR="00665BDA" w:rsidRPr="00A50E4D">
        <w:rPr>
          <w:lang w:val="en-US"/>
        </w:rPr>
        <w:t xml:space="preserve"> judicial remedy, such as the </w:t>
      </w:r>
      <w:r w:rsidR="006A756C" w:rsidRPr="00A50E4D">
        <w:rPr>
          <w:lang w:val="en-US"/>
        </w:rPr>
        <w:t xml:space="preserve">application for </w:t>
      </w:r>
      <w:r w:rsidR="00B11ACA" w:rsidRPr="00A50E4D">
        <w:rPr>
          <w:i/>
          <w:lang w:val="en-US"/>
        </w:rPr>
        <w:t>amparo</w:t>
      </w:r>
      <w:r w:rsidR="005472DB" w:rsidRPr="00A50E4D">
        <w:rPr>
          <w:lang w:val="en-US"/>
        </w:rPr>
        <w:t xml:space="preserve">, </w:t>
      </w:r>
      <w:r w:rsidR="00665BDA" w:rsidRPr="00A50E4D">
        <w:rPr>
          <w:lang w:val="en-US"/>
        </w:rPr>
        <w:t>to establish their innocence and achieve</w:t>
      </w:r>
      <w:r w:rsidR="00DC3989" w:rsidRPr="00A50E4D">
        <w:rPr>
          <w:lang w:val="en-US"/>
        </w:rPr>
        <w:t>, if possible, what they are now</w:t>
      </w:r>
      <w:r w:rsidR="00665BDA" w:rsidRPr="00A50E4D">
        <w:rPr>
          <w:lang w:val="en-US"/>
        </w:rPr>
        <w:t xml:space="preserve"> requesting before </w:t>
      </w:r>
      <w:r w:rsidRPr="00A50E4D">
        <w:rPr>
          <w:lang w:val="en-US"/>
        </w:rPr>
        <w:t>the Inter-American Court</w:t>
      </w:r>
      <w:r w:rsidR="00665BDA" w:rsidRPr="00A50E4D">
        <w:rPr>
          <w:lang w:val="en-US"/>
        </w:rPr>
        <w:t>.” It indicated that a</w:t>
      </w:r>
      <w:r w:rsidRPr="00A50E4D">
        <w:rPr>
          <w:lang w:val="en-US"/>
        </w:rPr>
        <w:t>rticle</w:t>
      </w:r>
      <w:r w:rsidR="005472DB" w:rsidRPr="00A50E4D">
        <w:rPr>
          <w:lang w:val="en-US"/>
        </w:rPr>
        <w:t xml:space="preserve"> 31</w:t>
      </w:r>
      <w:r w:rsidRPr="00A50E4D">
        <w:rPr>
          <w:lang w:val="en-US"/>
        </w:rPr>
        <w:t xml:space="preserve"> of the </w:t>
      </w:r>
      <w:r w:rsidR="00665BDA" w:rsidRPr="00A50E4D">
        <w:rPr>
          <w:lang w:val="en-US"/>
        </w:rPr>
        <w:t xml:space="preserve">rules of procedure </w:t>
      </w:r>
      <w:r w:rsidR="005472DB" w:rsidRPr="00A50E4D">
        <w:rPr>
          <w:lang w:val="en-US"/>
        </w:rPr>
        <w:t>“</w:t>
      </w:r>
      <w:r w:rsidR="00DC3989" w:rsidRPr="00A50E4D">
        <w:rPr>
          <w:lang w:val="en-US"/>
        </w:rPr>
        <w:t xml:space="preserve">was derogated </w:t>
      </w:r>
      <w:r w:rsidR="00665BDA" w:rsidRPr="00A50E4D">
        <w:rPr>
          <w:lang w:val="en-US"/>
        </w:rPr>
        <w:t xml:space="preserve">at the time,” so that “the filing of the application for </w:t>
      </w:r>
      <w:r w:rsidR="00B11ACA" w:rsidRPr="00A50E4D">
        <w:rPr>
          <w:i/>
          <w:lang w:val="en-US"/>
        </w:rPr>
        <w:t>amparo</w:t>
      </w:r>
      <w:r w:rsidR="00665BDA" w:rsidRPr="00A50E4D">
        <w:rPr>
          <w:lang w:val="en-US"/>
        </w:rPr>
        <w:t xml:space="preserve"> was fully possible.” According to the State, article </w:t>
      </w:r>
      <w:r w:rsidR="005472DB" w:rsidRPr="00A50E4D">
        <w:rPr>
          <w:lang w:val="en-US"/>
        </w:rPr>
        <w:t xml:space="preserve">320 </w:t>
      </w:r>
      <w:r w:rsidR="00314E4B" w:rsidRPr="00A50E4D">
        <w:rPr>
          <w:lang w:val="en-US"/>
        </w:rPr>
        <w:t>of the Constitution</w:t>
      </w:r>
      <w:r w:rsidR="005472DB" w:rsidRPr="00A50E4D">
        <w:rPr>
          <w:lang w:val="en-US"/>
        </w:rPr>
        <w:t xml:space="preserve"> </w:t>
      </w:r>
      <w:r w:rsidR="00DC3989" w:rsidRPr="00A50E4D">
        <w:rPr>
          <w:lang w:val="en-US"/>
        </w:rPr>
        <w:t>stipulated</w:t>
      </w:r>
      <w:r w:rsidR="00665BDA" w:rsidRPr="00A50E4D">
        <w:rPr>
          <w:lang w:val="en-US"/>
        </w:rPr>
        <w:t xml:space="preserve"> that “in cases of incompatibility between a constitutional norm and an ordinary legal norm, the former [would] apply [and] during the course of the administrative proceeding and to date, none of [the pr</w:t>
      </w:r>
      <w:r w:rsidR="00DC3989" w:rsidRPr="00A50E4D">
        <w:rPr>
          <w:lang w:val="en-US"/>
        </w:rPr>
        <w:t>esumed victims] used this right</w:t>
      </w:r>
      <w:r w:rsidR="00665BDA" w:rsidRPr="00A50E4D">
        <w:rPr>
          <w:lang w:val="en-US"/>
        </w:rPr>
        <w:t xml:space="preserve"> granted to them by </w:t>
      </w:r>
      <w:r w:rsidR="00314E4B" w:rsidRPr="00A50E4D">
        <w:rPr>
          <w:lang w:val="en-US"/>
        </w:rPr>
        <w:t>the Constitution</w:t>
      </w:r>
      <w:r w:rsidRPr="00A50E4D">
        <w:rPr>
          <w:lang w:val="en-US"/>
        </w:rPr>
        <w:t xml:space="preserve"> and</w:t>
      </w:r>
      <w:r w:rsidR="00665BDA" w:rsidRPr="00A50E4D">
        <w:rPr>
          <w:lang w:val="en-US"/>
        </w:rPr>
        <w:t xml:space="preserve"> the laws of Honduras.” In addition, it argued that “they had </w:t>
      </w:r>
      <w:r w:rsidR="00DC3989" w:rsidRPr="00A50E4D">
        <w:rPr>
          <w:lang w:val="en-US"/>
        </w:rPr>
        <w:t>the option</w:t>
      </w:r>
      <w:r w:rsidR="00665BDA" w:rsidRPr="00A50E4D">
        <w:rPr>
          <w:lang w:val="en-US"/>
        </w:rPr>
        <w:t xml:space="preserve"> to file a judicial action to achieve their reinstatement or to obtain the legal compensation that they believe or consider corresponds to them.” The State added that “[a]lthough </w:t>
      </w:r>
      <w:r w:rsidR="00DC3989" w:rsidRPr="00A50E4D">
        <w:rPr>
          <w:lang w:val="en-US"/>
        </w:rPr>
        <w:t xml:space="preserve">what </w:t>
      </w:r>
      <w:r w:rsidR="00665BDA" w:rsidRPr="00A50E4D">
        <w:rPr>
          <w:lang w:val="en-US"/>
        </w:rPr>
        <w:t xml:space="preserve">the Inter-American Commission indicates is true as regards the </w:t>
      </w:r>
      <w:r w:rsidR="000A786A" w:rsidRPr="00A50E4D">
        <w:rPr>
          <w:lang w:val="en-US"/>
        </w:rPr>
        <w:t>procedure</w:t>
      </w:r>
      <w:r w:rsidR="00665BDA" w:rsidRPr="00A50E4D">
        <w:rPr>
          <w:lang w:val="en-US"/>
        </w:rPr>
        <w:t xml:space="preserve"> in the case of </w:t>
      </w:r>
      <w:r w:rsidR="00DC3989" w:rsidRPr="00A50E4D">
        <w:rPr>
          <w:lang w:val="en-US"/>
        </w:rPr>
        <w:t>a possible</w:t>
      </w:r>
      <w:r w:rsidR="00665BDA" w:rsidRPr="00A50E4D">
        <w:rPr>
          <w:lang w:val="en-US"/>
        </w:rPr>
        <w:t xml:space="preserve"> recusal of the </w:t>
      </w:r>
      <w:r w:rsidR="00277E12" w:rsidRPr="00A50E4D">
        <w:rPr>
          <w:lang w:val="en-US"/>
        </w:rPr>
        <w:t>justices</w:t>
      </w:r>
      <w:r w:rsidR="00FF35A9" w:rsidRPr="00A50E4D">
        <w:rPr>
          <w:lang w:val="en-US"/>
        </w:rPr>
        <w:t xml:space="preserve"> of the </w:t>
      </w:r>
      <w:r w:rsidR="00F61ED5" w:rsidRPr="00A50E4D">
        <w:rPr>
          <w:lang w:val="en-US"/>
        </w:rPr>
        <w:t>Constitutional Chamber</w:t>
      </w:r>
      <w:r w:rsidR="000A786A" w:rsidRPr="00A50E4D">
        <w:rPr>
          <w:lang w:val="en-US"/>
        </w:rPr>
        <w:t xml:space="preserve"> who would be calle</w:t>
      </w:r>
      <w:r w:rsidR="00665BDA" w:rsidRPr="00A50E4D">
        <w:rPr>
          <w:lang w:val="en-US"/>
        </w:rPr>
        <w:t>d</w:t>
      </w:r>
      <w:r w:rsidR="000A786A" w:rsidRPr="00A50E4D">
        <w:rPr>
          <w:lang w:val="en-US"/>
        </w:rPr>
        <w:t xml:space="preserve"> </w:t>
      </w:r>
      <w:r w:rsidR="00665BDA" w:rsidRPr="00A50E4D">
        <w:rPr>
          <w:lang w:val="en-US"/>
        </w:rPr>
        <w:t xml:space="preserve">on to hear an </w:t>
      </w:r>
      <w:r w:rsidR="006A756C" w:rsidRPr="00A50E4D">
        <w:rPr>
          <w:lang w:val="en-US"/>
        </w:rPr>
        <w:t xml:space="preserve">application for </w:t>
      </w:r>
      <w:r w:rsidR="00B11ACA" w:rsidRPr="00A50E4D">
        <w:rPr>
          <w:i/>
          <w:lang w:val="en-US"/>
        </w:rPr>
        <w:t>amparo</w:t>
      </w:r>
      <w:r w:rsidR="00665BDA" w:rsidRPr="00A50E4D">
        <w:rPr>
          <w:lang w:val="en-US"/>
        </w:rPr>
        <w:t>, this does not mean that</w:t>
      </w:r>
      <w:r w:rsidR="00DC3989" w:rsidRPr="00A50E4D">
        <w:rPr>
          <w:lang w:val="en-US"/>
        </w:rPr>
        <w:t>, in this case,</w:t>
      </w:r>
      <w:r w:rsidR="00665BDA" w:rsidRPr="00A50E4D">
        <w:rPr>
          <w:lang w:val="en-US"/>
        </w:rPr>
        <w:t xml:space="preserve"> those appointed would act </w:t>
      </w:r>
      <w:r w:rsidR="00DC3989" w:rsidRPr="00A50E4D">
        <w:rPr>
          <w:lang w:val="en-US"/>
        </w:rPr>
        <w:t>in a biased manner. That</w:t>
      </w:r>
      <w:r w:rsidR="00665BDA" w:rsidRPr="00A50E4D">
        <w:rPr>
          <w:lang w:val="en-US"/>
        </w:rPr>
        <w:t xml:space="preserve"> is a </w:t>
      </w:r>
      <w:r w:rsidR="00DC3989" w:rsidRPr="00A50E4D">
        <w:rPr>
          <w:lang w:val="en-US"/>
        </w:rPr>
        <w:t xml:space="preserve">groundless </w:t>
      </w:r>
      <w:r w:rsidR="00665BDA" w:rsidRPr="00A50E4D">
        <w:rPr>
          <w:lang w:val="en-US"/>
        </w:rPr>
        <w:t xml:space="preserve">pre-judgment made by the petitioners that is offensive to all </w:t>
      </w:r>
      <w:r w:rsidR="00DC3989" w:rsidRPr="00A50E4D">
        <w:rPr>
          <w:lang w:val="en-US"/>
        </w:rPr>
        <w:t>[</w:t>
      </w:r>
      <w:r w:rsidR="00665BDA" w:rsidRPr="00A50E4D">
        <w:rPr>
          <w:lang w:val="en-US"/>
        </w:rPr>
        <w:t>th</w:t>
      </w:r>
      <w:r w:rsidR="00DC3989" w:rsidRPr="00A50E4D">
        <w:rPr>
          <w:lang w:val="en-US"/>
        </w:rPr>
        <w:t>eir] country’s</w:t>
      </w:r>
      <w:r w:rsidR="00665BDA" w:rsidRPr="00A50E4D">
        <w:rPr>
          <w:lang w:val="en-US"/>
        </w:rPr>
        <w:t xml:space="preserve"> lawye</w:t>
      </w:r>
      <w:r w:rsidR="00DC3989" w:rsidRPr="00A50E4D">
        <w:rPr>
          <w:lang w:val="en-US"/>
        </w:rPr>
        <w:t>rs</w:t>
      </w:r>
      <w:r w:rsidR="00665BDA" w:rsidRPr="00A50E4D">
        <w:rPr>
          <w:lang w:val="en-US"/>
        </w:rPr>
        <w:t xml:space="preserve">.”  </w:t>
      </w:r>
    </w:p>
    <w:p w14:paraId="4D9AB3F7" w14:textId="77777777" w:rsidR="005472DB" w:rsidRPr="00A50E4D" w:rsidRDefault="005472DB" w:rsidP="005472DB">
      <w:pPr>
        <w:pStyle w:val="PrrafodeSentencia"/>
        <w:numPr>
          <w:ilvl w:val="0"/>
          <w:numId w:val="0"/>
        </w:numPr>
        <w:rPr>
          <w:color w:val="00B050"/>
          <w:sz w:val="18"/>
          <w:szCs w:val="18"/>
          <w:lang w:val="en-US"/>
        </w:rPr>
      </w:pPr>
      <w:r w:rsidRPr="00A50E4D">
        <w:rPr>
          <w:b/>
          <w:lang w:val="en-US"/>
        </w:rPr>
        <w:t xml:space="preserve"> </w:t>
      </w:r>
      <w:r w:rsidRPr="00A50E4D">
        <w:rPr>
          <w:lang w:val="en-US"/>
        </w:rPr>
        <w:t xml:space="preserve"> </w:t>
      </w:r>
    </w:p>
    <w:p w14:paraId="42F6F727" w14:textId="08DB6672" w:rsidR="005472DB" w:rsidRPr="00A50E4D" w:rsidRDefault="001F61CC" w:rsidP="005472DB">
      <w:pPr>
        <w:pStyle w:val="Heading3"/>
        <w:rPr>
          <w:spacing w:val="-4"/>
          <w:lang w:val="en-US"/>
        </w:rPr>
      </w:pPr>
      <w:bookmarkStart w:id="357" w:name="_Toc431584658"/>
      <w:bookmarkStart w:id="358" w:name="_Toc471717292"/>
      <w:r w:rsidRPr="00A50E4D">
        <w:rPr>
          <w:spacing w:val="-4"/>
          <w:lang w:val="en-US"/>
        </w:rPr>
        <w:t>F</w:t>
      </w:r>
      <w:r w:rsidR="005472DB" w:rsidRPr="00A50E4D">
        <w:rPr>
          <w:spacing w:val="-4"/>
          <w:lang w:val="en-US"/>
        </w:rPr>
        <w:t xml:space="preserve">.2) </w:t>
      </w:r>
      <w:r w:rsidR="001D6DF6" w:rsidRPr="00A50E4D">
        <w:rPr>
          <w:spacing w:val="-4"/>
          <w:lang w:val="en-US"/>
        </w:rPr>
        <w:t>Considerations</w:t>
      </w:r>
      <w:r w:rsidR="009808C5" w:rsidRPr="00A50E4D">
        <w:rPr>
          <w:spacing w:val="-4"/>
          <w:lang w:val="en-US"/>
        </w:rPr>
        <w:t xml:space="preserve"> of the Court</w:t>
      </w:r>
      <w:bookmarkEnd w:id="357"/>
      <w:bookmarkEnd w:id="358"/>
    </w:p>
    <w:p w14:paraId="177466A4" w14:textId="77777777" w:rsidR="005472DB" w:rsidRPr="00A50E4D" w:rsidRDefault="005472DB" w:rsidP="005472DB">
      <w:pPr>
        <w:pStyle w:val="PrrafodeSentencia"/>
        <w:numPr>
          <w:ilvl w:val="0"/>
          <w:numId w:val="0"/>
        </w:numPr>
        <w:rPr>
          <w:lang w:val="en-US"/>
        </w:rPr>
      </w:pPr>
    </w:p>
    <w:p w14:paraId="67926264" w14:textId="65AB409F" w:rsidR="005472DB" w:rsidRPr="00A50E4D" w:rsidRDefault="00665BDA" w:rsidP="005472DB">
      <w:pPr>
        <w:pStyle w:val="PrrafodeSentencia"/>
        <w:rPr>
          <w:szCs w:val="20"/>
          <w:lang w:val="en-US"/>
        </w:rPr>
      </w:pPr>
      <w:bookmarkStart w:id="359" w:name="_Ref427863337"/>
      <w:r w:rsidRPr="00A50E4D">
        <w:rPr>
          <w:szCs w:val="20"/>
          <w:lang w:val="en-US"/>
        </w:rPr>
        <w:t>The Court has indicated that</w:t>
      </w:r>
      <w:r w:rsidR="005472DB" w:rsidRPr="00A50E4D">
        <w:rPr>
          <w:szCs w:val="20"/>
          <w:lang w:val="en-US"/>
        </w:rPr>
        <w:t xml:space="preserve"> </w:t>
      </w:r>
      <w:r w:rsidR="009808C5" w:rsidRPr="00A50E4D">
        <w:rPr>
          <w:szCs w:val="20"/>
          <w:lang w:val="en-US"/>
        </w:rPr>
        <w:t>Article</w:t>
      </w:r>
      <w:r w:rsidR="005472DB" w:rsidRPr="00A50E4D">
        <w:rPr>
          <w:szCs w:val="20"/>
          <w:lang w:val="en-US"/>
        </w:rPr>
        <w:t xml:space="preserve"> </w:t>
      </w:r>
      <w:r w:rsidR="00EA5E90" w:rsidRPr="00A50E4D">
        <w:rPr>
          <w:szCs w:val="20"/>
          <w:lang w:val="en-US"/>
        </w:rPr>
        <w:t>25(1)</w:t>
      </w:r>
      <w:r w:rsidR="009808C5" w:rsidRPr="00A50E4D">
        <w:rPr>
          <w:szCs w:val="20"/>
          <w:lang w:val="en-US"/>
        </w:rPr>
        <w:t xml:space="preserve"> of the Convention</w:t>
      </w:r>
      <w:r w:rsidR="005472DB" w:rsidRPr="00A50E4D">
        <w:rPr>
          <w:szCs w:val="20"/>
          <w:lang w:val="en-US"/>
        </w:rPr>
        <w:t xml:space="preserve"> </w:t>
      </w:r>
      <w:r w:rsidRPr="00A50E4D">
        <w:rPr>
          <w:szCs w:val="20"/>
          <w:lang w:val="en-US"/>
        </w:rPr>
        <w:t>establishes the obligation of the States Parties to ensure, to all persons subject to their jurisdiction, a simple, prompt and effective judicial remedy before a competent judge or court. The Court recalls its consistent case law that this remedy must be adequate and effective.</w:t>
      </w:r>
      <w:r w:rsidR="005472DB" w:rsidRPr="00A50E4D">
        <w:rPr>
          <w:szCs w:val="20"/>
          <w:vertAlign w:val="superscript"/>
          <w:lang w:val="en-US"/>
        </w:rPr>
        <w:footnoteReference w:id="416"/>
      </w:r>
      <w:r w:rsidRPr="00A50E4D">
        <w:rPr>
          <w:szCs w:val="20"/>
          <w:lang w:val="en-US"/>
        </w:rPr>
        <w:t xml:space="preserve"> Regarding effectiveness, for this effective remedy to exist it is not sufficient that it is established in </w:t>
      </w:r>
      <w:r w:rsidR="00314E4B" w:rsidRPr="00A50E4D">
        <w:rPr>
          <w:szCs w:val="20"/>
          <w:lang w:val="en-US"/>
        </w:rPr>
        <w:t>the Constitution</w:t>
      </w:r>
      <w:r w:rsidR="005472DB" w:rsidRPr="00A50E4D">
        <w:rPr>
          <w:szCs w:val="20"/>
          <w:lang w:val="en-US"/>
        </w:rPr>
        <w:t xml:space="preserve"> o</w:t>
      </w:r>
      <w:r w:rsidRPr="00A50E4D">
        <w:rPr>
          <w:szCs w:val="20"/>
          <w:lang w:val="en-US"/>
        </w:rPr>
        <w:t xml:space="preserve">r the law, or that it is formally admissible; rather, it must be truly appropriate to establish whether a human rights violation has </w:t>
      </w:r>
      <w:r w:rsidRPr="00A50E4D">
        <w:rPr>
          <w:szCs w:val="20"/>
          <w:lang w:val="en-US"/>
        </w:rPr>
        <w:lastRenderedPageBreak/>
        <w:t xml:space="preserve">been committed and stipulate what is required to redress this. Thus, the </w:t>
      </w:r>
      <w:r w:rsidR="00DC3989" w:rsidRPr="00A50E4D">
        <w:rPr>
          <w:szCs w:val="20"/>
          <w:lang w:val="en-US"/>
        </w:rPr>
        <w:t>procedure must be</w:t>
      </w:r>
      <w:r w:rsidRPr="00A50E4D">
        <w:rPr>
          <w:szCs w:val="20"/>
          <w:lang w:val="en-US"/>
        </w:rPr>
        <w:t xml:space="preserve"> aimed at implementing the protection of the right recognized in the judicial ruling by </w:t>
      </w:r>
      <w:r w:rsidR="00DC3989" w:rsidRPr="00A50E4D">
        <w:rPr>
          <w:szCs w:val="20"/>
          <w:lang w:val="en-US"/>
        </w:rPr>
        <w:t>applying the ruling</w:t>
      </w:r>
      <w:r w:rsidRPr="00A50E4D">
        <w:rPr>
          <w:szCs w:val="20"/>
          <w:lang w:val="en-US"/>
        </w:rPr>
        <w:t xml:space="preserve"> appropriate</w:t>
      </w:r>
      <w:r w:rsidR="00DC3989" w:rsidRPr="00A50E4D">
        <w:rPr>
          <w:szCs w:val="20"/>
          <w:lang w:val="en-US"/>
        </w:rPr>
        <w:t>ly</w:t>
      </w:r>
      <w:r w:rsidRPr="00A50E4D">
        <w:rPr>
          <w:szCs w:val="20"/>
          <w:lang w:val="en-US"/>
        </w:rPr>
        <w:t>.</w:t>
      </w:r>
      <w:r w:rsidR="005472DB" w:rsidRPr="00A50E4D">
        <w:rPr>
          <w:rStyle w:val="FootnoteReference"/>
          <w:sz w:val="20"/>
          <w:szCs w:val="20"/>
          <w:lang w:val="en-US"/>
        </w:rPr>
        <w:footnoteReference w:id="417"/>
      </w:r>
      <w:bookmarkEnd w:id="359"/>
    </w:p>
    <w:p w14:paraId="75D574BC" w14:textId="77777777" w:rsidR="005472DB" w:rsidRPr="00A50E4D" w:rsidRDefault="005472DB" w:rsidP="005472DB">
      <w:pPr>
        <w:rPr>
          <w:lang w:val="en-US" w:eastAsia="es-MX"/>
        </w:rPr>
      </w:pPr>
    </w:p>
    <w:p w14:paraId="18EC4B68" w14:textId="20B813C5" w:rsidR="005472DB" w:rsidRPr="00A50E4D" w:rsidRDefault="00AD5EE7" w:rsidP="005472DB">
      <w:pPr>
        <w:pStyle w:val="PrrafodeSentencia"/>
        <w:rPr>
          <w:szCs w:val="20"/>
          <w:lang w:val="en-US"/>
        </w:rPr>
      </w:pPr>
      <w:r w:rsidRPr="00A50E4D">
        <w:rPr>
          <w:szCs w:val="20"/>
          <w:lang w:val="en-US"/>
        </w:rPr>
        <w:t>The representatives</w:t>
      </w:r>
      <w:r w:rsidR="009808C5" w:rsidRPr="00A50E4D">
        <w:rPr>
          <w:szCs w:val="20"/>
          <w:lang w:val="en-US"/>
        </w:rPr>
        <w:t xml:space="preserve"> and the Commission</w:t>
      </w:r>
      <w:r w:rsidR="005472DB" w:rsidRPr="00A50E4D">
        <w:rPr>
          <w:szCs w:val="20"/>
          <w:lang w:val="en-US"/>
        </w:rPr>
        <w:t xml:space="preserve"> </w:t>
      </w:r>
      <w:r w:rsidR="00665BDA" w:rsidRPr="00A50E4D">
        <w:rPr>
          <w:szCs w:val="20"/>
          <w:lang w:val="en-US"/>
        </w:rPr>
        <w:t>argued that</w:t>
      </w:r>
      <w:r w:rsidR="005472DB" w:rsidRPr="00A50E4D">
        <w:rPr>
          <w:szCs w:val="20"/>
          <w:lang w:val="en-US"/>
        </w:rPr>
        <w:t xml:space="preserve"> </w:t>
      </w:r>
      <w:r w:rsidR="00371BB7" w:rsidRPr="00A50E4D">
        <w:rPr>
          <w:szCs w:val="20"/>
          <w:lang w:val="en-US"/>
        </w:rPr>
        <w:t>the presumed victims</w:t>
      </w:r>
      <w:r w:rsidR="005472DB" w:rsidRPr="00A50E4D">
        <w:rPr>
          <w:szCs w:val="20"/>
          <w:lang w:val="en-US"/>
        </w:rPr>
        <w:t xml:space="preserve"> </w:t>
      </w:r>
      <w:r w:rsidR="00665BDA" w:rsidRPr="00A50E4D">
        <w:rPr>
          <w:szCs w:val="20"/>
          <w:lang w:val="en-US"/>
        </w:rPr>
        <w:t xml:space="preserve">did not have access to a remedy to counter the violations of due process committed by </w:t>
      </w:r>
      <w:r w:rsidR="006A756C" w:rsidRPr="00A50E4D">
        <w:rPr>
          <w:rFonts w:cs="Cambria"/>
          <w:szCs w:val="20"/>
          <w:lang w:val="en-US"/>
        </w:rPr>
        <w:t>the Judicial Service Council</w:t>
      </w:r>
      <w:r w:rsidR="005472DB" w:rsidRPr="00A50E4D">
        <w:rPr>
          <w:rFonts w:cs="Cambria"/>
          <w:szCs w:val="20"/>
          <w:lang w:val="en-US"/>
        </w:rPr>
        <w:t xml:space="preserve">, </w:t>
      </w:r>
      <w:r w:rsidR="00665BDA" w:rsidRPr="00A50E4D">
        <w:rPr>
          <w:rFonts w:cs="Cambria"/>
          <w:szCs w:val="20"/>
          <w:lang w:val="en-US"/>
        </w:rPr>
        <w:t xml:space="preserve">owing </w:t>
      </w:r>
      <w:r w:rsidR="00AF10DB" w:rsidRPr="00A50E4D">
        <w:rPr>
          <w:rFonts w:cs="Cambria"/>
          <w:szCs w:val="20"/>
          <w:lang w:val="en-US"/>
        </w:rPr>
        <w:t>to the prohibition to appeal against</w:t>
      </w:r>
      <w:r w:rsidR="00665BDA" w:rsidRPr="00A50E4D">
        <w:rPr>
          <w:rFonts w:cs="Cambria"/>
          <w:szCs w:val="20"/>
          <w:lang w:val="en-US"/>
        </w:rPr>
        <w:t xml:space="preserve"> the decisions of this organ established in a</w:t>
      </w:r>
      <w:r w:rsidR="009808C5" w:rsidRPr="00A50E4D">
        <w:rPr>
          <w:rFonts w:cs="Cambria"/>
          <w:szCs w:val="20"/>
          <w:lang w:val="en-US"/>
        </w:rPr>
        <w:t>rticle</w:t>
      </w:r>
      <w:r w:rsidR="005472DB" w:rsidRPr="00A50E4D">
        <w:rPr>
          <w:rFonts w:cs="Cambria"/>
          <w:szCs w:val="20"/>
          <w:lang w:val="en-US"/>
        </w:rPr>
        <w:t xml:space="preserve"> 31</w:t>
      </w:r>
      <w:r w:rsidR="009808C5" w:rsidRPr="00A50E4D">
        <w:rPr>
          <w:rFonts w:cs="Cambria"/>
          <w:szCs w:val="20"/>
          <w:lang w:val="en-US"/>
        </w:rPr>
        <w:t xml:space="preserve"> </w:t>
      </w:r>
      <w:r w:rsidR="00665BDA" w:rsidRPr="00A50E4D">
        <w:rPr>
          <w:rFonts w:cs="Cambria"/>
          <w:szCs w:val="20"/>
          <w:lang w:val="en-US"/>
        </w:rPr>
        <w:t xml:space="preserve">of the </w:t>
      </w:r>
      <w:r w:rsidR="000E6A0D" w:rsidRPr="00A50E4D">
        <w:rPr>
          <w:rFonts w:cs="Cambria"/>
          <w:szCs w:val="20"/>
          <w:lang w:val="en-US"/>
        </w:rPr>
        <w:t>rules of procedure</w:t>
      </w:r>
      <w:r w:rsidR="00665BDA" w:rsidRPr="00A50E4D">
        <w:rPr>
          <w:rFonts w:cs="Cambria"/>
          <w:szCs w:val="20"/>
          <w:lang w:val="en-US"/>
        </w:rPr>
        <w:t xml:space="preserve"> o</w:t>
      </w:r>
      <w:r w:rsidR="00AF10DB" w:rsidRPr="00A50E4D">
        <w:rPr>
          <w:rFonts w:cs="Cambria"/>
          <w:szCs w:val="20"/>
          <w:lang w:val="en-US"/>
        </w:rPr>
        <w:t xml:space="preserve">f the Judicial Service Council, </w:t>
      </w:r>
      <w:r w:rsidR="005472DB" w:rsidRPr="00A50E4D">
        <w:rPr>
          <w:rFonts w:cs="Cambria"/>
          <w:szCs w:val="20"/>
          <w:lang w:val="en-US"/>
        </w:rPr>
        <w:t>as</w:t>
      </w:r>
      <w:r w:rsidR="00665BDA" w:rsidRPr="00A50E4D">
        <w:rPr>
          <w:rFonts w:cs="Cambria"/>
          <w:szCs w:val="20"/>
          <w:lang w:val="en-US"/>
        </w:rPr>
        <w:t xml:space="preserve"> well as the supposed ineffectiveness </w:t>
      </w:r>
      <w:r w:rsidR="00FF35A9" w:rsidRPr="00A50E4D">
        <w:rPr>
          <w:rFonts w:cs="Cambria"/>
          <w:szCs w:val="20"/>
          <w:lang w:val="en-US"/>
        </w:rPr>
        <w:t xml:space="preserve">of the </w:t>
      </w:r>
      <w:r w:rsidR="006A756C" w:rsidRPr="00A50E4D">
        <w:rPr>
          <w:rFonts w:cs="Cambria"/>
          <w:szCs w:val="20"/>
          <w:lang w:val="en-US"/>
        </w:rPr>
        <w:t xml:space="preserve">application for </w:t>
      </w:r>
      <w:r w:rsidR="00B11ACA" w:rsidRPr="00A50E4D">
        <w:rPr>
          <w:rFonts w:cs="Cambria"/>
          <w:i/>
          <w:szCs w:val="20"/>
          <w:lang w:val="en-US"/>
        </w:rPr>
        <w:t>amparo</w:t>
      </w:r>
      <w:r w:rsidR="005472DB" w:rsidRPr="00A50E4D">
        <w:rPr>
          <w:rFonts w:cs="Cambria"/>
          <w:szCs w:val="20"/>
          <w:lang w:val="en-US"/>
        </w:rPr>
        <w:t xml:space="preserve">, </w:t>
      </w:r>
      <w:r w:rsidR="00884A7E" w:rsidRPr="00A50E4D">
        <w:rPr>
          <w:rFonts w:cs="Cambria"/>
          <w:szCs w:val="20"/>
          <w:lang w:val="en-US"/>
        </w:rPr>
        <w:t xml:space="preserve">in the context of </w:t>
      </w:r>
      <w:r w:rsidR="00665BDA" w:rsidRPr="00A50E4D">
        <w:rPr>
          <w:rFonts w:cs="Cambria"/>
          <w:szCs w:val="20"/>
          <w:lang w:val="en-US"/>
        </w:rPr>
        <w:t>the facts of</w:t>
      </w:r>
      <w:r w:rsidR="00FF35A9" w:rsidRPr="00A50E4D">
        <w:rPr>
          <w:rFonts w:cs="Cambria"/>
          <w:szCs w:val="20"/>
          <w:lang w:val="en-US"/>
        </w:rPr>
        <w:t xml:space="preserve"> this case</w:t>
      </w:r>
      <w:r w:rsidR="005472DB" w:rsidRPr="00A50E4D">
        <w:rPr>
          <w:rFonts w:cs="Cambria"/>
          <w:szCs w:val="20"/>
          <w:lang w:val="en-US"/>
        </w:rPr>
        <w:t xml:space="preserve">. </w:t>
      </w:r>
      <w:r w:rsidR="005472DB" w:rsidRPr="00A50E4D">
        <w:rPr>
          <w:szCs w:val="20"/>
          <w:lang w:val="en-US"/>
        </w:rPr>
        <w:t xml:space="preserve"> </w:t>
      </w:r>
    </w:p>
    <w:p w14:paraId="3C15990B" w14:textId="77777777" w:rsidR="005472DB" w:rsidRPr="00A50E4D" w:rsidRDefault="005472DB" w:rsidP="005472DB">
      <w:pPr>
        <w:rPr>
          <w:lang w:val="en-US" w:eastAsia="es-MX"/>
        </w:rPr>
      </w:pPr>
    </w:p>
    <w:p w14:paraId="239D00AE" w14:textId="61CCDF63" w:rsidR="005472DB" w:rsidRPr="00A50E4D" w:rsidRDefault="00665BDA" w:rsidP="00665BDA">
      <w:pPr>
        <w:pStyle w:val="PrrafodeSentencia"/>
        <w:rPr>
          <w:szCs w:val="20"/>
          <w:lang w:val="en-US"/>
        </w:rPr>
      </w:pPr>
      <w:r w:rsidRPr="00A50E4D">
        <w:rPr>
          <w:szCs w:val="20"/>
          <w:lang w:val="en-US"/>
        </w:rPr>
        <w:t>This Court has indicated that remedies that are illusory, owing to the general situation of a country or even the specific circumstances of a particular case, cannot be considered effective.</w:t>
      </w:r>
      <w:r w:rsidR="005472DB" w:rsidRPr="00A50E4D">
        <w:rPr>
          <w:rStyle w:val="FootnoteReference"/>
          <w:sz w:val="20"/>
          <w:szCs w:val="20"/>
          <w:lang w:val="en-US"/>
        </w:rPr>
        <w:footnoteReference w:id="418"/>
      </w:r>
      <w:r w:rsidRPr="00A50E4D">
        <w:rPr>
          <w:szCs w:val="20"/>
          <w:lang w:val="en-US"/>
        </w:rPr>
        <w:t xml:space="preserve"> This can occur, for example, when their </w:t>
      </w:r>
      <w:r w:rsidR="00AF10DB" w:rsidRPr="00A50E4D">
        <w:rPr>
          <w:szCs w:val="20"/>
          <w:lang w:val="en-US"/>
        </w:rPr>
        <w:t>futility</w:t>
      </w:r>
      <w:r w:rsidRPr="00A50E4D">
        <w:rPr>
          <w:szCs w:val="20"/>
          <w:lang w:val="en-US"/>
        </w:rPr>
        <w:t xml:space="preserve"> has been revealed in the practice, because there is no way of executing decisions or due to any o</w:t>
      </w:r>
      <w:r w:rsidR="000A786A" w:rsidRPr="00A50E4D">
        <w:rPr>
          <w:szCs w:val="20"/>
          <w:lang w:val="en-US"/>
        </w:rPr>
        <w:t xml:space="preserve">ther situation that constitutes </w:t>
      </w:r>
      <w:r w:rsidRPr="00A50E4D">
        <w:rPr>
          <w:szCs w:val="20"/>
          <w:lang w:val="en-US"/>
        </w:rPr>
        <w:t>a denial of justice.</w:t>
      </w:r>
      <w:r w:rsidR="005472DB" w:rsidRPr="00A50E4D">
        <w:rPr>
          <w:rStyle w:val="Refdenotaalpie1"/>
          <w:szCs w:val="20"/>
          <w:lang w:val="en-US"/>
        </w:rPr>
        <w:footnoteReference w:id="419"/>
      </w:r>
      <w:r w:rsidR="005472DB" w:rsidRPr="00A50E4D">
        <w:rPr>
          <w:szCs w:val="20"/>
          <w:lang w:val="en-US"/>
        </w:rPr>
        <w:t xml:space="preserve"> </w:t>
      </w:r>
      <w:r w:rsidR="00AF10DB" w:rsidRPr="00A50E4D">
        <w:rPr>
          <w:szCs w:val="20"/>
          <w:lang w:val="en-US"/>
        </w:rPr>
        <w:t>The</w:t>
      </w:r>
      <w:r w:rsidRPr="00A50E4D">
        <w:rPr>
          <w:szCs w:val="20"/>
          <w:lang w:val="en-US"/>
        </w:rPr>
        <w:t xml:space="preserve"> situations that l</w:t>
      </w:r>
      <w:r w:rsidR="00AF10DB" w:rsidRPr="00A50E4D">
        <w:rPr>
          <w:szCs w:val="20"/>
          <w:lang w:val="en-US"/>
        </w:rPr>
        <w:t>ead to a remedy being illusory include</w:t>
      </w:r>
      <w:r w:rsidRPr="00A50E4D">
        <w:rPr>
          <w:szCs w:val="20"/>
          <w:lang w:val="en-US"/>
        </w:rPr>
        <w:t xml:space="preserve"> that</w:t>
      </w:r>
      <w:r w:rsidR="00AF10DB" w:rsidRPr="00A50E4D">
        <w:rPr>
          <w:szCs w:val="20"/>
          <w:lang w:val="en-US"/>
        </w:rPr>
        <w:t xml:space="preserve"> in which</w:t>
      </w:r>
      <w:r w:rsidRPr="00A50E4D">
        <w:rPr>
          <w:szCs w:val="20"/>
          <w:lang w:val="en-US"/>
        </w:rPr>
        <w:t xml:space="preserve"> the Judiciary lacks the necessary independence to rule with</w:t>
      </w:r>
      <w:r w:rsidR="005472DB" w:rsidRPr="00A50E4D">
        <w:rPr>
          <w:szCs w:val="20"/>
          <w:lang w:val="en-US"/>
        </w:rPr>
        <w:t xml:space="preserve"> im</w:t>
      </w:r>
      <w:r w:rsidR="00382405" w:rsidRPr="00A50E4D">
        <w:rPr>
          <w:szCs w:val="20"/>
          <w:lang w:val="en-US"/>
        </w:rPr>
        <w:t>partiality</w:t>
      </w:r>
      <w:r w:rsidRPr="00A50E4D">
        <w:rPr>
          <w:szCs w:val="20"/>
          <w:lang w:val="en-US"/>
        </w:rPr>
        <w:t>.</w:t>
      </w:r>
      <w:r w:rsidR="005472DB" w:rsidRPr="00A50E4D">
        <w:rPr>
          <w:rStyle w:val="FootnoteReference"/>
          <w:sz w:val="20"/>
          <w:szCs w:val="20"/>
          <w:lang w:val="en-US"/>
        </w:rPr>
        <w:footnoteReference w:id="420"/>
      </w:r>
      <w:r w:rsidR="005472DB" w:rsidRPr="00A50E4D">
        <w:rPr>
          <w:szCs w:val="20"/>
          <w:lang w:val="en-US"/>
        </w:rPr>
        <w:t xml:space="preserve"> </w:t>
      </w:r>
    </w:p>
    <w:p w14:paraId="592FEA34" w14:textId="77777777" w:rsidR="005472DB" w:rsidRPr="00A50E4D" w:rsidRDefault="005472DB" w:rsidP="005472DB">
      <w:pPr>
        <w:rPr>
          <w:lang w:val="en-US" w:eastAsia="es-MX"/>
        </w:rPr>
      </w:pPr>
    </w:p>
    <w:p w14:paraId="1E38A250" w14:textId="448933C7" w:rsidR="005472DB" w:rsidRPr="00A50E4D" w:rsidRDefault="00665BDA" w:rsidP="005472DB">
      <w:pPr>
        <w:pStyle w:val="PrrafodeSentencia"/>
        <w:rPr>
          <w:strike/>
          <w:color w:val="00B050"/>
          <w:szCs w:val="20"/>
          <w:lang w:val="en-US"/>
        </w:rPr>
      </w:pPr>
      <w:r w:rsidRPr="00A50E4D">
        <w:rPr>
          <w:szCs w:val="20"/>
          <w:lang w:val="en-US"/>
        </w:rPr>
        <w:t xml:space="preserve">The Court has already determined that the availability </w:t>
      </w:r>
      <w:r w:rsidR="00FF35A9" w:rsidRPr="00A50E4D">
        <w:rPr>
          <w:szCs w:val="20"/>
          <w:lang w:val="en-US"/>
        </w:rPr>
        <w:t xml:space="preserve">of the </w:t>
      </w:r>
      <w:r w:rsidR="006A756C" w:rsidRPr="00A50E4D">
        <w:rPr>
          <w:szCs w:val="20"/>
          <w:lang w:val="en-US"/>
        </w:rPr>
        <w:t xml:space="preserve">application for </w:t>
      </w:r>
      <w:r w:rsidR="00B11ACA" w:rsidRPr="00A50E4D">
        <w:rPr>
          <w:i/>
          <w:szCs w:val="20"/>
          <w:lang w:val="en-US"/>
        </w:rPr>
        <w:t>amparo</w:t>
      </w:r>
      <w:r w:rsidR="005472DB" w:rsidRPr="00A50E4D">
        <w:rPr>
          <w:szCs w:val="20"/>
          <w:lang w:val="en-US"/>
        </w:rPr>
        <w:t xml:space="preserve"> </w:t>
      </w:r>
      <w:r w:rsidRPr="00A50E4D">
        <w:rPr>
          <w:szCs w:val="20"/>
          <w:lang w:val="en-US"/>
        </w:rPr>
        <w:t>to contest the decision</w:t>
      </w:r>
      <w:r w:rsidR="005472DB" w:rsidRPr="00A50E4D">
        <w:rPr>
          <w:szCs w:val="20"/>
          <w:lang w:val="en-US"/>
        </w:rPr>
        <w:t>s</w:t>
      </w:r>
      <w:r w:rsidR="006A756C" w:rsidRPr="00A50E4D">
        <w:rPr>
          <w:szCs w:val="20"/>
          <w:lang w:val="en-US"/>
        </w:rPr>
        <w:t xml:space="preserve"> of the Judicial Service Council</w:t>
      </w:r>
      <w:r w:rsidRPr="00A50E4D">
        <w:rPr>
          <w:szCs w:val="20"/>
          <w:lang w:val="en-US"/>
        </w:rPr>
        <w:t xml:space="preserve"> was unclear</w:t>
      </w:r>
      <w:r w:rsidR="005472DB" w:rsidRPr="00A50E4D">
        <w:rPr>
          <w:szCs w:val="20"/>
          <w:lang w:val="en-US"/>
        </w:rPr>
        <w:t xml:space="preserve"> </w:t>
      </w:r>
      <w:r w:rsidRPr="00A50E4D">
        <w:rPr>
          <w:szCs w:val="20"/>
          <w:lang w:val="en-US"/>
        </w:rPr>
        <w:t>owing to a</w:t>
      </w:r>
      <w:r w:rsidR="0048601C" w:rsidRPr="00A50E4D">
        <w:rPr>
          <w:szCs w:val="20"/>
          <w:lang w:val="en-US"/>
        </w:rPr>
        <w:t>rticle</w:t>
      </w:r>
      <w:r w:rsidR="005472DB" w:rsidRPr="00A50E4D">
        <w:rPr>
          <w:rFonts w:cs="Cambria"/>
          <w:szCs w:val="20"/>
          <w:lang w:val="en-US"/>
        </w:rPr>
        <w:t xml:space="preserve"> 31</w:t>
      </w:r>
      <w:r w:rsidR="009808C5" w:rsidRPr="00A50E4D">
        <w:rPr>
          <w:rFonts w:cs="Cambria"/>
          <w:szCs w:val="20"/>
          <w:lang w:val="en-US"/>
        </w:rPr>
        <w:t xml:space="preserve"> of </w:t>
      </w:r>
      <w:r w:rsidR="006A756C" w:rsidRPr="00A50E4D">
        <w:rPr>
          <w:rFonts w:cs="Cambria"/>
          <w:szCs w:val="20"/>
          <w:lang w:val="en-US"/>
        </w:rPr>
        <w:t xml:space="preserve">the </w:t>
      </w:r>
      <w:r w:rsidR="000E6A0D" w:rsidRPr="00A50E4D">
        <w:rPr>
          <w:rFonts w:cs="Cambria"/>
          <w:szCs w:val="20"/>
          <w:lang w:val="en-US"/>
        </w:rPr>
        <w:t>rules of procedure</w:t>
      </w:r>
      <w:r w:rsidR="00EB6155" w:rsidRPr="00A50E4D">
        <w:rPr>
          <w:rFonts w:cs="Cambria"/>
          <w:szCs w:val="20"/>
          <w:lang w:val="en-US"/>
        </w:rPr>
        <w:t xml:space="preserve"> </w:t>
      </w:r>
      <w:r w:rsidRPr="00A50E4D">
        <w:rPr>
          <w:rFonts w:cs="Cambria"/>
          <w:szCs w:val="20"/>
          <w:lang w:val="en-US"/>
        </w:rPr>
        <w:t>of the Judicial Service Council, which made it impossible to file ordinary or special appeals against such decisions</w:t>
      </w:r>
      <w:r w:rsidR="00EB6155" w:rsidRPr="00A50E4D">
        <w:rPr>
          <w:rFonts w:cs="Cambria"/>
          <w:szCs w:val="20"/>
          <w:lang w:val="en-US"/>
        </w:rPr>
        <w:t xml:space="preserve"> </w:t>
      </w:r>
      <w:r w:rsidR="005472DB" w:rsidRPr="00A50E4D">
        <w:rPr>
          <w:szCs w:val="20"/>
          <w:lang w:val="en-US"/>
        </w:rPr>
        <w:t>(</w:t>
      </w:r>
      <w:r w:rsidR="005472DB" w:rsidRPr="00A50E4D">
        <w:rPr>
          <w:i/>
          <w:szCs w:val="20"/>
          <w:lang w:val="en-US"/>
        </w:rPr>
        <w:t xml:space="preserve">supra </w:t>
      </w:r>
      <w:r w:rsidR="00AD5EE7" w:rsidRPr="00A50E4D">
        <w:rPr>
          <w:szCs w:val="20"/>
          <w:lang w:val="en-US"/>
        </w:rPr>
        <w:t>para.</w:t>
      </w:r>
      <w:r w:rsidR="005472DB" w:rsidRPr="00A50E4D">
        <w:rPr>
          <w:szCs w:val="20"/>
          <w:lang w:val="en-US"/>
        </w:rPr>
        <w:t xml:space="preserve"> </w:t>
      </w:r>
      <w:r w:rsidR="005472DB" w:rsidRPr="00914F55">
        <w:rPr>
          <w:szCs w:val="20"/>
          <w:lang w:val="en-US"/>
        </w:rPr>
        <w:fldChar w:fldCharType="begin"/>
      </w:r>
      <w:r w:rsidR="005472DB" w:rsidRPr="00A50E4D">
        <w:rPr>
          <w:szCs w:val="20"/>
          <w:lang w:val="en-US"/>
        </w:rPr>
        <w:instrText xml:space="preserve"> REF _Ref431549422 \r \h  \* MERGEFORMAT </w:instrText>
      </w:r>
      <w:r w:rsidR="005472DB" w:rsidRPr="00914F55">
        <w:rPr>
          <w:szCs w:val="20"/>
          <w:lang w:val="en-US"/>
        </w:rPr>
      </w:r>
      <w:r w:rsidR="005472DB" w:rsidRPr="00914F55">
        <w:rPr>
          <w:szCs w:val="20"/>
          <w:lang w:val="en-US"/>
        </w:rPr>
        <w:fldChar w:fldCharType="separate"/>
      </w:r>
      <w:r w:rsidR="00547588">
        <w:rPr>
          <w:szCs w:val="20"/>
          <w:lang w:val="en-US"/>
        </w:rPr>
        <w:t>28</w:t>
      </w:r>
      <w:r w:rsidR="005472DB" w:rsidRPr="00914F55">
        <w:rPr>
          <w:szCs w:val="20"/>
          <w:lang w:val="en-US"/>
        </w:rPr>
        <w:fldChar w:fldCharType="end"/>
      </w:r>
      <w:r w:rsidR="005472DB" w:rsidRPr="00A50E4D">
        <w:rPr>
          <w:szCs w:val="20"/>
          <w:lang w:val="en-US"/>
        </w:rPr>
        <w:t xml:space="preserve">). </w:t>
      </w:r>
      <w:r w:rsidRPr="00A50E4D">
        <w:rPr>
          <w:szCs w:val="20"/>
          <w:lang w:val="en-US"/>
        </w:rPr>
        <w:t xml:space="preserve">Nevertheless, the </w:t>
      </w:r>
      <w:r w:rsidR="00AF10DB" w:rsidRPr="00A50E4D">
        <w:rPr>
          <w:szCs w:val="20"/>
          <w:lang w:val="en-US"/>
        </w:rPr>
        <w:t>Court notes that, even if it had been</w:t>
      </w:r>
      <w:r w:rsidRPr="00A50E4D">
        <w:rPr>
          <w:szCs w:val="20"/>
          <w:lang w:val="en-US"/>
        </w:rPr>
        <w:t xml:space="preserve"> available owing to the constitutional norms alleged by the State, the context in which the facts of this case occurred and the characteristics of the procedure that would have </w:t>
      </w:r>
      <w:r w:rsidR="00AF10DB" w:rsidRPr="00A50E4D">
        <w:rPr>
          <w:szCs w:val="20"/>
          <w:lang w:val="en-US"/>
        </w:rPr>
        <w:t>had to be</w:t>
      </w:r>
      <w:r w:rsidRPr="00A50E4D">
        <w:rPr>
          <w:szCs w:val="20"/>
          <w:lang w:val="en-US"/>
        </w:rPr>
        <w:t xml:space="preserve"> followed reveal that it would have been ineffective.</w:t>
      </w:r>
    </w:p>
    <w:p w14:paraId="7DB78D3B" w14:textId="77777777" w:rsidR="005472DB" w:rsidRPr="00A50E4D" w:rsidRDefault="005472DB" w:rsidP="005472DB">
      <w:pPr>
        <w:rPr>
          <w:lang w:val="en-US" w:eastAsia="es-MX"/>
        </w:rPr>
      </w:pPr>
    </w:p>
    <w:p w14:paraId="37BD8840" w14:textId="30B31EA1" w:rsidR="005472DB" w:rsidRPr="00A50E4D" w:rsidRDefault="00665BDA" w:rsidP="005472DB">
      <w:pPr>
        <w:pStyle w:val="PrrafodeSentencia"/>
        <w:rPr>
          <w:lang w:val="en-US"/>
        </w:rPr>
      </w:pPr>
      <w:r w:rsidRPr="00A50E4D">
        <w:rPr>
          <w:szCs w:val="20"/>
          <w:lang w:val="en-US"/>
        </w:rPr>
        <w:t xml:space="preserve">The facts of this case occurred following a </w:t>
      </w:r>
      <w:r w:rsidR="00B11ACA" w:rsidRPr="00A50E4D">
        <w:rPr>
          <w:i/>
          <w:szCs w:val="20"/>
          <w:lang w:val="en-US"/>
        </w:rPr>
        <w:t>coup d’état</w:t>
      </w:r>
      <w:r w:rsidR="009808C5" w:rsidRPr="00A50E4D">
        <w:rPr>
          <w:szCs w:val="20"/>
          <w:lang w:val="en-US"/>
        </w:rPr>
        <w:t xml:space="preserve"> and </w:t>
      </w:r>
      <w:r w:rsidRPr="00A50E4D">
        <w:rPr>
          <w:szCs w:val="20"/>
          <w:lang w:val="en-US"/>
        </w:rPr>
        <w:t xml:space="preserve">the actions </w:t>
      </w:r>
      <w:r w:rsidR="00371BB7" w:rsidRPr="00A50E4D">
        <w:rPr>
          <w:szCs w:val="20"/>
          <w:lang w:val="en-US"/>
        </w:rPr>
        <w:t>of the presumed victims</w:t>
      </w:r>
      <w:r w:rsidR="005472DB" w:rsidRPr="00A50E4D">
        <w:rPr>
          <w:szCs w:val="20"/>
          <w:lang w:val="en-US"/>
        </w:rPr>
        <w:t xml:space="preserve"> </w:t>
      </w:r>
      <w:r w:rsidR="00FF35A9" w:rsidRPr="00A50E4D">
        <w:rPr>
          <w:szCs w:val="20"/>
          <w:lang w:val="en-US"/>
        </w:rPr>
        <w:t>against</w:t>
      </w:r>
      <w:r w:rsidR="005472DB" w:rsidRPr="00A50E4D">
        <w:rPr>
          <w:szCs w:val="20"/>
          <w:lang w:val="en-US"/>
        </w:rPr>
        <w:t xml:space="preserve"> </w:t>
      </w:r>
      <w:r w:rsidRPr="00A50E4D">
        <w:rPr>
          <w:szCs w:val="20"/>
          <w:lang w:val="en-US"/>
        </w:rPr>
        <w:t xml:space="preserve">this internationally wrongful act </w:t>
      </w:r>
      <w:r w:rsidR="005472DB" w:rsidRPr="00A50E4D">
        <w:rPr>
          <w:szCs w:val="20"/>
          <w:lang w:val="en-US"/>
        </w:rPr>
        <w:t>(</w:t>
      </w:r>
      <w:r w:rsidR="005472DB" w:rsidRPr="00A50E4D">
        <w:rPr>
          <w:i/>
          <w:szCs w:val="20"/>
          <w:lang w:val="en-US"/>
        </w:rPr>
        <w:t xml:space="preserve">supra </w:t>
      </w:r>
      <w:r w:rsidR="00AD5EE7" w:rsidRPr="00A50E4D">
        <w:rPr>
          <w:szCs w:val="20"/>
          <w:lang w:val="en-US"/>
        </w:rPr>
        <w:t>paras.</w:t>
      </w:r>
      <w:r w:rsidR="005472DB" w:rsidRPr="00A50E4D">
        <w:rPr>
          <w:szCs w:val="20"/>
          <w:lang w:val="en-US"/>
        </w:rPr>
        <w:t xml:space="preserve"> </w:t>
      </w:r>
      <w:r w:rsidR="005472DB" w:rsidRPr="00914F55">
        <w:rPr>
          <w:szCs w:val="20"/>
          <w:lang w:val="en-US"/>
        </w:rPr>
        <w:fldChar w:fldCharType="begin"/>
      </w:r>
      <w:r w:rsidR="005472DB" w:rsidRPr="00A50E4D">
        <w:rPr>
          <w:szCs w:val="20"/>
          <w:lang w:val="en-US"/>
        </w:rPr>
        <w:instrText xml:space="preserve"> REF _Ref431586078 \r \h  \* MERGEFORMAT </w:instrText>
      </w:r>
      <w:r w:rsidR="005472DB" w:rsidRPr="00914F55">
        <w:rPr>
          <w:szCs w:val="20"/>
          <w:lang w:val="en-US"/>
        </w:rPr>
      </w:r>
      <w:r w:rsidR="005472DB" w:rsidRPr="00914F55">
        <w:rPr>
          <w:szCs w:val="20"/>
          <w:lang w:val="en-US"/>
        </w:rPr>
        <w:fldChar w:fldCharType="separate"/>
      </w:r>
      <w:r w:rsidR="00547588">
        <w:rPr>
          <w:szCs w:val="20"/>
          <w:lang w:val="en-US"/>
        </w:rPr>
        <w:t>148</w:t>
      </w:r>
      <w:r w:rsidR="005472DB" w:rsidRPr="00914F55">
        <w:rPr>
          <w:szCs w:val="20"/>
          <w:lang w:val="en-US"/>
        </w:rPr>
        <w:fldChar w:fldCharType="end"/>
      </w:r>
      <w:r w:rsidR="009808C5" w:rsidRPr="00A50E4D">
        <w:rPr>
          <w:szCs w:val="20"/>
          <w:lang w:val="en-US"/>
        </w:rPr>
        <w:t xml:space="preserve"> and </w:t>
      </w:r>
      <w:r w:rsidR="005472DB" w:rsidRPr="00914F55">
        <w:rPr>
          <w:szCs w:val="20"/>
          <w:lang w:val="en-US"/>
        </w:rPr>
        <w:fldChar w:fldCharType="begin"/>
      </w:r>
      <w:r w:rsidR="005472DB" w:rsidRPr="00A50E4D">
        <w:rPr>
          <w:szCs w:val="20"/>
          <w:lang w:val="en-US"/>
        </w:rPr>
        <w:instrText xml:space="preserve"> REF _Ref431553596 \r \h  \* MERGEFORMAT </w:instrText>
      </w:r>
      <w:r w:rsidR="005472DB" w:rsidRPr="00914F55">
        <w:rPr>
          <w:szCs w:val="20"/>
          <w:lang w:val="en-US"/>
        </w:rPr>
      </w:r>
      <w:r w:rsidR="005472DB" w:rsidRPr="00914F55">
        <w:rPr>
          <w:szCs w:val="20"/>
          <w:lang w:val="en-US"/>
        </w:rPr>
        <w:fldChar w:fldCharType="separate"/>
      </w:r>
      <w:r w:rsidR="00547588">
        <w:rPr>
          <w:szCs w:val="20"/>
          <w:lang w:val="en-US"/>
        </w:rPr>
        <w:t>152</w:t>
      </w:r>
      <w:r w:rsidR="005472DB" w:rsidRPr="00914F55">
        <w:rPr>
          <w:szCs w:val="20"/>
          <w:lang w:val="en-US"/>
        </w:rPr>
        <w:fldChar w:fldCharType="end"/>
      </w:r>
      <w:r w:rsidR="005472DB" w:rsidRPr="00A50E4D">
        <w:rPr>
          <w:szCs w:val="20"/>
          <w:lang w:val="en-US"/>
        </w:rPr>
        <w:t xml:space="preserve">). </w:t>
      </w:r>
      <w:r w:rsidRPr="00A50E4D">
        <w:rPr>
          <w:szCs w:val="20"/>
          <w:lang w:val="en-US"/>
        </w:rPr>
        <w:t>In addition</w:t>
      </w:r>
      <w:r w:rsidR="005472DB" w:rsidRPr="00A50E4D">
        <w:rPr>
          <w:szCs w:val="20"/>
          <w:lang w:val="en-US"/>
        </w:rPr>
        <w:t xml:space="preserve">, </w:t>
      </w:r>
      <w:r w:rsidR="009808C5" w:rsidRPr="00A50E4D">
        <w:rPr>
          <w:szCs w:val="20"/>
          <w:lang w:val="en-US"/>
        </w:rPr>
        <w:t>the Court</w:t>
      </w:r>
      <w:r w:rsidR="005472DB" w:rsidRPr="00A50E4D">
        <w:rPr>
          <w:szCs w:val="20"/>
          <w:lang w:val="en-US"/>
        </w:rPr>
        <w:t xml:space="preserve"> </w:t>
      </w:r>
      <w:r w:rsidRPr="00A50E4D">
        <w:rPr>
          <w:szCs w:val="20"/>
          <w:lang w:val="en-US"/>
        </w:rPr>
        <w:t xml:space="preserve">has already emphasized the role played by </w:t>
      </w:r>
      <w:r w:rsidR="009808C5" w:rsidRPr="00A50E4D">
        <w:rPr>
          <w:szCs w:val="20"/>
          <w:lang w:val="en-US"/>
        </w:rPr>
        <w:t xml:space="preserve">the </w:t>
      </w:r>
      <w:r w:rsidR="00371BB7" w:rsidRPr="00A50E4D">
        <w:rPr>
          <w:szCs w:val="20"/>
          <w:lang w:val="en-US"/>
        </w:rPr>
        <w:t>Supreme Court of Justice</w:t>
      </w:r>
      <w:r w:rsidR="005472DB" w:rsidRPr="00A50E4D">
        <w:rPr>
          <w:szCs w:val="20"/>
          <w:lang w:val="en-US"/>
        </w:rPr>
        <w:t xml:space="preserve"> </w:t>
      </w:r>
      <w:r w:rsidRPr="00A50E4D">
        <w:rPr>
          <w:szCs w:val="20"/>
          <w:lang w:val="en-US"/>
        </w:rPr>
        <w:t xml:space="preserve">in this regard, as well as its </w:t>
      </w:r>
      <w:r w:rsidR="00CC78C7" w:rsidRPr="00A50E4D">
        <w:rPr>
          <w:szCs w:val="20"/>
          <w:lang w:val="en-US"/>
        </w:rPr>
        <w:t>lack of impartiality</w:t>
      </w:r>
      <w:r w:rsidR="00FF35A9" w:rsidRPr="00A50E4D">
        <w:rPr>
          <w:szCs w:val="20"/>
          <w:lang w:val="en-US"/>
        </w:rPr>
        <w:t xml:space="preserve"> </w:t>
      </w:r>
      <w:r w:rsidR="005472DB" w:rsidRPr="00A50E4D">
        <w:rPr>
          <w:szCs w:val="20"/>
          <w:lang w:val="en-US"/>
        </w:rPr>
        <w:t>(</w:t>
      </w:r>
      <w:r w:rsidR="005472DB" w:rsidRPr="00A50E4D">
        <w:rPr>
          <w:i/>
          <w:szCs w:val="20"/>
          <w:lang w:val="en-US"/>
        </w:rPr>
        <w:t xml:space="preserve">supra </w:t>
      </w:r>
      <w:r w:rsidR="00AD5EE7" w:rsidRPr="00A50E4D">
        <w:rPr>
          <w:szCs w:val="20"/>
          <w:lang w:val="en-US"/>
        </w:rPr>
        <w:t>paras.</w:t>
      </w:r>
      <w:r w:rsidR="005472DB" w:rsidRPr="00A50E4D">
        <w:rPr>
          <w:szCs w:val="20"/>
          <w:lang w:val="en-US"/>
        </w:rPr>
        <w:t xml:space="preserve"> </w:t>
      </w:r>
      <w:r w:rsidR="005472DB" w:rsidRPr="00914F55">
        <w:rPr>
          <w:szCs w:val="20"/>
          <w:lang w:val="en-US"/>
        </w:rPr>
        <w:fldChar w:fldCharType="begin"/>
      </w:r>
      <w:r w:rsidR="005472DB" w:rsidRPr="00A50E4D">
        <w:rPr>
          <w:szCs w:val="20"/>
          <w:lang w:val="en-US"/>
        </w:rPr>
        <w:instrText xml:space="preserve"> REF _Ref431566391 \r \h  \* MERGEFORMAT </w:instrText>
      </w:r>
      <w:r w:rsidR="005472DB" w:rsidRPr="00914F55">
        <w:rPr>
          <w:szCs w:val="20"/>
          <w:lang w:val="en-US"/>
        </w:rPr>
      </w:r>
      <w:r w:rsidR="005472DB" w:rsidRPr="00914F55">
        <w:rPr>
          <w:szCs w:val="20"/>
          <w:lang w:val="en-US"/>
        </w:rPr>
        <w:fldChar w:fldCharType="separate"/>
      </w:r>
      <w:r w:rsidR="00547588">
        <w:rPr>
          <w:szCs w:val="20"/>
          <w:lang w:val="en-US"/>
        </w:rPr>
        <w:t>229</w:t>
      </w:r>
      <w:r w:rsidR="005472DB" w:rsidRPr="00914F55">
        <w:rPr>
          <w:szCs w:val="20"/>
          <w:lang w:val="en-US"/>
        </w:rPr>
        <w:fldChar w:fldCharType="end"/>
      </w:r>
      <w:r w:rsidR="009808C5" w:rsidRPr="00A50E4D">
        <w:rPr>
          <w:szCs w:val="20"/>
          <w:lang w:val="en-US"/>
        </w:rPr>
        <w:t xml:space="preserve"> and </w:t>
      </w:r>
      <w:r w:rsidR="005472DB" w:rsidRPr="00914F55">
        <w:rPr>
          <w:szCs w:val="20"/>
          <w:lang w:val="en-US"/>
        </w:rPr>
        <w:fldChar w:fldCharType="begin"/>
      </w:r>
      <w:r w:rsidR="005472DB" w:rsidRPr="00A50E4D">
        <w:rPr>
          <w:szCs w:val="20"/>
          <w:lang w:val="en-US"/>
        </w:rPr>
        <w:instrText xml:space="preserve"> REF _Ref427864546 \r \h  \* MERGEFORMAT </w:instrText>
      </w:r>
      <w:r w:rsidR="005472DB" w:rsidRPr="00914F55">
        <w:rPr>
          <w:szCs w:val="20"/>
          <w:lang w:val="en-US"/>
        </w:rPr>
      </w:r>
      <w:r w:rsidR="005472DB" w:rsidRPr="00914F55">
        <w:rPr>
          <w:szCs w:val="20"/>
          <w:lang w:val="en-US"/>
        </w:rPr>
        <w:fldChar w:fldCharType="separate"/>
      </w:r>
      <w:r w:rsidR="00547588">
        <w:rPr>
          <w:szCs w:val="20"/>
          <w:lang w:val="en-US"/>
        </w:rPr>
        <w:t>234</w:t>
      </w:r>
      <w:r w:rsidR="005472DB" w:rsidRPr="00914F55">
        <w:rPr>
          <w:szCs w:val="20"/>
          <w:lang w:val="en-US"/>
        </w:rPr>
        <w:fldChar w:fldCharType="end"/>
      </w:r>
      <w:r w:rsidR="005472DB" w:rsidRPr="00A50E4D">
        <w:rPr>
          <w:szCs w:val="20"/>
          <w:lang w:val="en-US"/>
        </w:rPr>
        <w:t>).</w:t>
      </w:r>
      <w:r w:rsidRPr="00A50E4D">
        <w:rPr>
          <w:szCs w:val="20"/>
          <w:lang w:val="en-US"/>
        </w:rPr>
        <w:t xml:space="preserve"> As explained by the parties </w:t>
      </w:r>
      <w:r w:rsidR="009808C5" w:rsidRPr="00A50E4D">
        <w:rPr>
          <w:szCs w:val="20"/>
          <w:lang w:val="en-US"/>
        </w:rPr>
        <w:t>and the Commission</w:t>
      </w:r>
      <w:r w:rsidRPr="00A50E4D">
        <w:rPr>
          <w:szCs w:val="20"/>
          <w:lang w:val="en-US"/>
        </w:rPr>
        <w:t xml:space="preserve">, any </w:t>
      </w:r>
      <w:r w:rsidR="006A756C" w:rsidRPr="00A50E4D">
        <w:rPr>
          <w:szCs w:val="20"/>
          <w:lang w:val="en-US"/>
        </w:rPr>
        <w:t xml:space="preserve">application for </w:t>
      </w:r>
      <w:r w:rsidR="00B11ACA" w:rsidRPr="00A50E4D">
        <w:rPr>
          <w:i/>
          <w:szCs w:val="20"/>
          <w:lang w:val="en-US"/>
        </w:rPr>
        <w:t>amparo</w:t>
      </w:r>
      <w:r w:rsidR="005472DB" w:rsidRPr="00A50E4D">
        <w:rPr>
          <w:szCs w:val="20"/>
          <w:lang w:val="en-US"/>
        </w:rPr>
        <w:t xml:space="preserve"> </w:t>
      </w:r>
      <w:r w:rsidRPr="00A50E4D">
        <w:rPr>
          <w:szCs w:val="20"/>
          <w:lang w:val="en-US"/>
        </w:rPr>
        <w:t xml:space="preserve">against the decisions </w:t>
      </w:r>
      <w:r w:rsidR="006A756C" w:rsidRPr="00A50E4D">
        <w:rPr>
          <w:szCs w:val="20"/>
          <w:lang w:val="en-US"/>
        </w:rPr>
        <w:t>of the Judicial Service Council</w:t>
      </w:r>
      <w:r w:rsidR="005472DB" w:rsidRPr="00A50E4D">
        <w:rPr>
          <w:szCs w:val="20"/>
          <w:lang w:val="en-US"/>
        </w:rPr>
        <w:t xml:space="preserve"> </w:t>
      </w:r>
      <w:r w:rsidRPr="00A50E4D">
        <w:rPr>
          <w:szCs w:val="20"/>
          <w:lang w:val="en-US"/>
        </w:rPr>
        <w:t xml:space="preserve">would have </w:t>
      </w:r>
      <w:r w:rsidR="00AF10DB" w:rsidRPr="00A50E4D">
        <w:rPr>
          <w:szCs w:val="20"/>
          <w:lang w:val="en-US"/>
        </w:rPr>
        <w:t xml:space="preserve">had </w:t>
      </w:r>
      <w:r w:rsidRPr="00A50E4D">
        <w:rPr>
          <w:szCs w:val="20"/>
          <w:lang w:val="en-US"/>
        </w:rPr>
        <w:t xml:space="preserve">to be decided by </w:t>
      </w:r>
      <w:r w:rsidR="00F61ED5" w:rsidRPr="00A50E4D">
        <w:rPr>
          <w:szCs w:val="20"/>
          <w:lang w:val="en-US"/>
        </w:rPr>
        <w:t>the Constitutional Chamber</w:t>
      </w:r>
      <w:r w:rsidR="009808C5" w:rsidRPr="00A50E4D">
        <w:rPr>
          <w:szCs w:val="20"/>
          <w:lang w:val="en-US"/>
        </w:rPr>
        <w:t xml:space="preserve"> of the </w:t>
      </w:r>
      <w:r w:rsidR="00700DEC" w:rsidRPr="00A50E4D">
        <w:rPr>
          <w:szCs w:val="20"/>
          <w:lang w:val="en-US"/>
        </w:rPr>
        <w:t>Supreme Court</w:t>
      </w:r>
      <w:r w:rsidRPr="00A50E4D">
        <w:rPr>
          <w:szCs w:val="20"/>
          <w:lang w:val="en-US"/>
        </w:rPr>
        <w:t>.</w:t>
      </w:r>
      <w:r w:rsidR="005472DB" w:rsidRPr="00A50E4D">
        <w:rPr>
          <w:rStyle w:val="FootnoteReference"/>
          <w:sz w:val="20"/>
          <w:szCs w:val="20"/>
          <w:lang w:val="en-US"/>
        </w:rPr>
        <w:footnoteReference w:id="421"/>
      </w:r>
      <w:r w:rsidRPr="00A50E4D">
        <w:rPr>
          <w:szCs w:val="20"/>
          <w:lang w:val="en-US"/>
        </w:rPr>
        <w:t xml:space="preserve"> </w:t>
      </w:r>
      <w:r w:rsidR="00AF10DB" w:rsidRPr="00A50E4D">
        <w:rPr>
          <w:szCs w:val="20"/>
          <w:lang w:val="en-US"/>
        </w:rPr>
        <w:t>Given</w:t>
      </w:r>
      <w:r w:rsidRPr="00A50E4D">
        <w:rPr>
          <w:szCs w:val="20"/>
          <w:lang w:val="en-US"/>
        </w:rPr>
        <w:t xml:space="preserve"> that </w:t>
      </w:r>
      <w:r w:rsidR="00CA5D96" w:rsidRPr="00A50E4D">
        <w:rPr>
          <w:szCs w:val="20"/>
          <w:lang w:val="en-US"/>
        </w:rPr>
        <w:t>the plenum</w:t>
      </w:r>
      <w:r w:rsidRPr="00A50E4D">
        <w:rPr>
          <w:szCs w:val="20"/>
          <w:lang w:val="en-US"/>
        </w:rPr>
        <w:t xml:space="preserve"> </w:t>
      </w:r>
      <w:r w:rsidR="009808C5" w:rsidRPr="00A50E4D">
        <w:rPr>
          <w:szCs w:val="20"/>
          <w:lang w:val="en-US"/>
        </w:rPr>
        <w:t xml:space="preserve">of the </w:t>
      </w:r>
      <w:r w:rsidR="00700DEC" w:rsidRPr="00A50E4D">
        <w:rPr>
          <w:szCs w:val="20"/>
          <w:lang w:val="en-US"/>
        </w:rPr>
        <w:t>Supreme Court</w:t>
      </w:r>
      <w:r w:rsidR="005472DB" w:rsidRPr="00A50E4D">
        <w:rPr>
          <w:szCs w:val="20"/>
          <w:lang w:val="en-US"/>
        </w:rPr>
        <w:t xml:space="preserve"> ha</w:t>
      </w:r>
      <w:r w:rsidRPr="00A50E4D">
        <w:rPr>
          <w:szCs w:val="20"/>
          <w:lang w:val="en-US"/>
        </w:rPr>
        <w:t xml:space="preserve">d participated in the disciplinary proceedings against </w:t>
      </w:r>
      <w:r w:rsidR="00371BB7" w:rsidRPr="00A50E4D">
        <w:rPr>
          <w:szCs w:val="20"/>
          <w:lang w:val="en-US"/>
        </w:rPr>
        <w:t>the presumed victims</w:t>
      </w:r>
      <w:r w:rsidRPr="00A50E4D">
        <w:rPr>
          <w:szCs w:val="20"/>
          <w:lang w:val="en-US"/>
        </w:rPr>
        <w:t xml:space="preserve">, by law, the members of its Constitutional Chamber could not have ruled on the applications for </w:t>
      </w:r>
      <w:r w:rsidR="00B11ACA" w:rsidRPr="00A50E4D">
        <w:rPr>
          <w:i/>
          <w:szCs w:val="20"/>
          <w:lang w:val="en-US"/>
        </w:rPr>
        <w:t>amparo</w:t>
      </w:r>
      <w:r w:rsidRPr="00A50E4D">
        <w:rPr>
          <w:szCs w:val="20"/>
          <w:lang w:val="en-US"/>
        </w:rPr>
        <w:t xml:space="preserve"> in the same proceedings.</w:t>
      </w:r>
      <w:r w:rsidR="005472DB" w:rsidRPr="00A50E4D">
        <w:rPr>
          <w:rStyle w:val="FootnoteReference"/>
          <w:sz w:val="20"/>
          <w:szCs w:val="20"/>
          <w:lang w:val="en-US"/>
        </w:rPr>
        <w:footnoteReference w:id="422"/>
      </w:r>
      <w:r w:rsidRPr="00A50E4D">
        <w:rPr>
          <w:szCs w:val="20"/>
          <w:lang w:val="en-US"/>
        </w:rPr>
        <w:t xml:space="preserve"> However, the norms and procedures that would have been applied in </w:t>
      </w:r>
      <w:r w:rsidRPr="00A50E4D">
        <w:rPr>
          <w:szCs w:val="20"/>
          <w:lang w:val="en-US"/>
        </w:rPr>
        <w:lastRenderedPageBreak/>
        <w:t>order to substitute all the justices are unclear.</w:t>
      </w:r>
      <w:r w:rsidR="005472DB" w:rsidRPr="00A50E4D">
        <w:rPr>
          <w:rStyle w:val="FootnoteReference"/>
          <w:sz w:val="20"/>
          <w:szCs w:val="20"/>
          <w:lang w:val="en-US"/>
        </w:rPr>
        <w:footnoteReference w:id="423"/>
      </w:r>
      <w:r w:rsidRPr="00A50E4D">
        <w:rPr>
          <w:szCs w:val="20"/>
          <w:lang w:val="en-US"/>
        </w:rPr>
        <w:t xml:space="preserve"> This </w:t>
      </w:r>
      <w:r w:rsidR="000A786A" w:rsidRPr="00A50E4D">
        <w:rPr>
          <w:szCs w:val="20"/>
          <w:lang w:val="en-US"/>
        </w:rPr>
        <w:t>uncertainty</w:t>
      </w:r>
      <w:r w:rsidRPr="00A50E4D">
        <w:rPr>
          <w:szCs w:val="20"/>
          <w:lang w:val="en-US"/>
        </w:rPr>
        <w:t xml:space="preserve"> about the procedure to follow in order to co</w:t>
      </w:r>
      <w:r w:rsidR="00AF10DB" w:rsidRPr="00A50E4D">
        <w:rPr>
          <w:szCs w:val="20"/>
          <w:lang w:val="en-US"/>
        </w:rPr>
        <w:t>mpose</w:t>
      </w:r>
      <w:r w:rsidRPr="00A50E4D">
        <w:rPr>
          <w:szCs w:val="20"/>
          <w:lang w:val="en-US"/>
        </w:rPr>
        <w:t xml:space="preserve"> </w:t>
      </w:r>
      <w:r w:rsidR="00F61ED5" w:rsidRPr="00A50E4D">
        <w:rPr>
          <w:szCs w:val="20"/>
          <w:lang w:val="en-US"/>
        </w:rPr>
        <w:t>the Constitutional Chamber</w:t>
      </w:r>
      <w:r w:rsidR="005472DB" w:rsidRPr="00A50E4D">
        <w:rPr>
          <w:szCs w:val="20"/>
          <w:lang w:val="en-US"/>
        </w:rPr>
        <w:t xml:space="preserve"> </w:t>
      </w:r>
      <w:r w:rsidRPr="00A50E4D">
        <w:rPr>
          <w:szCs w:val="20"/>
          <w:lang w:val="en-US"/>
        </w:rPr>
        <w:t xml:space="preserve">responsible for deciding the eventual applications for </w:t>
      </w:r>
      <w:r w:rsidR="00B11ACA" w:rsidRPr="00A50E4D">
        <w:rPr>
          <w:i/>
          <w:szCs w:val="20"/>
          <w:lang w:val="en-US"/>
        </w:rPr>
        <w:t>amparo</w:t>
      </w:r>
      <w:r w:rsidRPr="00A50E4D">
        <w:rPr>
          <w:szCs w:val="20"/>
          <w:lang w:val="en-US"/>
        </w:rPr>
        <w:t xml:space="preserve"> </w:t>
      </w:r>
      <w:r w:rsidR="000A786A" w:rsidRPr="00A50E4D">
        <w:rPr>
          <w:szCs w:val="20"/>
          <w:lang w:val="en-US"/>
        </w:rPr>
        <w:t>against</w:t>
      </w:r>
      <w:r w:rsidRPr="00A50E4D">
        <w:rPr>
          <w:szCs w:val="20"/>
          <w:lang w:val="en-US"/>
        </w:rPr>
        <w:t xml:space="preserve"> the </w:t>
      </w:r>
      <w:r w:rsidR="006A756C" w:rsidRPr="00A50E4D">
        <w:rPr>
          <w:szCs w:val="20"/>
          <w:lang w:val="en-US"/>
        </w:rPr>
        <w:t>Judicial Service Council</w:t>
      </w:r>
      <w:r w:rsidR="00AF10DB" w:rsidRPr="00A50E4D">
        <w:rPr>
          <w:szCs w:val="20"/>
          <w:lang w:val="en-US"/>
        </w:rPr>
        <w:t>’s decision</w:t>
      </w:r>
      <w:r w:rsidR="005472DB" w:rsidRPr="00A50E4D">
        <w:rPr>
          <w:szCs w:val="20"/>
          <w:lang w:val="en-US"/>
        </w:rPr>
        <w:t xml:space="preserve"> </w:t>
      </w:r>
      <w:r w:rsidRPr="00A50E4D">
        <w:rPr>
          <w:szCs w:val="20"/>
          <w:lang w:val="en-US"/>
        </w:rPr>
        <w:t xml:space="preserve">undermines the possible effectiveness of the remedy because it does not allow the impartiality of the judge to be guaranteed. </w:t>
      </w:r>
    </w:p>
    <w:p w14:paraId="6E3B2FC9" w14:textId="77777777" w:rsidR="005472DB" w:rsidRPr="00A50E4D" w:rsidRDefault="005472DB" w:rsidP="005472DB">
      <w:pPr>
        <w:rPr>
          <w:lang w:val="en-US"/>
        </w:rPr>
      </w:pPr>
    </w:p>
    <w:p w14:paraId="2BB7454D" w14:textId="39A00058" w:rsidR="00250B7F" w:rsidRPr="00A50E4D" w:rsidRDefault="00665BDA" w:rsidP="00250B7F">
      <w:pPr>
        <w:pStyle w:val="PrrafodeSentencia"/>
        <w:rPr>
          <w:lang w:val="en-US"/>
        </w:rPr>
      </w:pPr>
      <w:bookmarkStart w:id="360" w:name="_Ref434599482"/>
      <w:r w:rsidRPr="00A50E4D">
        <w:rPr>
          <w:szCs w:val="20"/>
          <w:lang w:val="en-US"/>
        </w:rPr>
        <w:t xml:space="preserve">In addition to the findings in paragraphs </w:t>
      </w:r>
      <w:r w:rsidR="00506DE5" w:rsidRPr="00914F55">
        <w:rPr>
          <w:szCs w:val="20"/>
          <w:lang w:val="en-US"/>
        </w:rPr>
        <w:fldChar w:fldCharType="begin"/>
      </w:r>
      <w:r w:rsidR="00506DE5" w:rsidRPr="00A50E4D">
        <w:rPr>
          <w:szCs w:val="20"/>
          <w:lang w:val="en-US"/>
        </w:rPr>
        <w:instrText xml:space="preserve"> REF _Ref431586078 \r \h </w:instrText>
      </w:r>
      <w:r w:rsidR="00EA20A5" w:rsidRPr="00A50E4D">
        <w:rPr>
          <w:szCs w:val="20"/>
          <w:lang w:val="en-US"/>
        </w:rPr>
        <w:instrText xml:space="preserve"> \* MERGEFORMAT </w:instrText>
      </w:r>
      <w:r w:rsidR="00506DE5" w:rsidRPr="00914F55">
        <w:rPr>
          <w:szCs w:val="20"/>
          <w:lang w:val="en-US"/>
        </w:rPr>
      </w:r>
      <w:r w:rsidR="00506DE5" w:rsidRPr="00914F55">
        <w:rPr>
          <w:szCs w:val="20"/>
          <w:lang w:val="en-US"/>
        </w:rPr>
        <w:fldChar w:fldCharType="separate"/>
      </w:r>
      <w:r w:rsidR="00547588">
        <w:rPr>
          <w:szCs w:val="20"/>
          <w:lang w:val="en-US"/>
        </w:rPr>
        <w:t>148</w:t>
      </w:r>
      <w:r w:rsidR="00506DE5" w:rsidRPr="00914F55">
        <w:rPr>
          <w:szCs w:val="20"/>
          <w:lang w:val="en-US"/>
        </w:rPr>
        <w:fldChar w:fldCharType="end"/>
      </w:r>
      <w:r w:rsidRPr="00A50E4D">
        <w:rPr>
          <w:szCs w:val="20"/>
          <w:lang w:val="en-US"/>
        </w:rPr>
        <w:t xml:space="preserve"> to</w:t>
      </w:r>
      <w:r w:rsidR="00506DE5" w:rsidRPr="00A50E4D">
        <w:rPr>
          <w:szCs w:val="20"/>
          <w:lang w:val="en-US"/>
        </w:rPr>
        <w:t xml:space="preserve"> </w:t>
      </w:r>
      <w:r w:rsidR="00506DE5" w:rsidRPr="00914F55">
        <w:rPr>
          <w:szCs w:val="20"/>
          <w:lang w:val="en-US"/>
        </w:rPr>
        <w:fldChar w:fldCharType="begin"/>
      </w:r>
      <w:r w:rsidR="00506DE5" w:rsidRPr="00A50E4D">
        <w:rPr>
          <w:szCs w:val="20"/>
          <w:lang w:val="en-US"/>
        </w:rPr>
        <w:instrText xml:space="preserve"> REF _Ref308455751 \r \h </w:instrText>
      </w:r>
      <w:r w:rsidR="00EA20A5" w:rsidRPr="00A50E4D">
        <w:rPr>
          <w:szCs w:val="20"/>
          <w:lang w:val="en-US"/>
        </w:rPr>
        <w:instrText xml:space="preserve"> \* MERGEFORMAT </w:instrText>
      </w:r>
      <w:r w:rsidR="00506DE5" w:rsidRPr="00914F55">
        <w:rPr>
          <w:szCs w:val="20"/>
          <w:lang w:val="en-US"/>
        </w:rPr>
      </w:r>
      <w:r w:rsidR="00506DE5" w:rsidRPr="00914F55">
        <w:rPr>
          <w:szCs w:val="20"/>
          <w:lang w:val="en-US"/>
        </w:rPr>
        <w:fldChar w:fldCharType="separate"/>
      </w:r>
      <w:r w:rsidR="00547588">
        <w:rPr>
          <w:szCs w:val="20"/>
          <w:lang w:val="en-US"/>
        </w:rPr>
        <w:t>155</w:t>
      </w:r>
      <w:r w:rsidR="00506DE5" w:rsidRPr="00914F55">
        <w:rPr>
          <w:szCs w:val="20"/>
          <w:lang w:val="en-US"/>
        </w:rPr>
        <w:fldChar w:fldCharType="end"/>
      </w:r>
      <w:r w:rsidRPr="00A50E4D">
        <w:rPr>
          <w:szCs w:val="20"/>
          <w:lang w:val="en-US"/>
        </w:rPr>
        <w:t xml:space="preserve"> of this judgment</w:t>
      </w:r>
      <w:r w:rsidR="00506DE5" w:rsidRPr="00A50E4D">
        <w:rPr>
          <w:szCs w:val="20"/>
          <w:lang w:val="en-US"/>
        </w:rPr>
        <w:t>,</w:t>
      </w:r>
      <w:r w:rsidR="005472DB" w:rsidRPr="00A50E4D">
        <w:rPr>
          <w:szCs w:val="20"/>
          <w:lang w:val="en-US"/>
        </w:rPr>
        <w:t xml:space="preserve"> </w:t>
      </w:r>
      <w:r w:rsidR="009808C5" w:rsidRPr="00A50E4D">
        <w:rPr>
          <w:szCs w:val="20"/>
          <w:lang w:val="en-US"/>
        </w:rPr>
        <w:t>the Court</w:t>
      </w:r>
      <w:r w:rsidR="005472DB" w:rsidRPr="00A50E4D">
        <w:rPr>
          <w:szCs w:val="20"/>
          <w:lang w:val="en-US"/>
        </w:rPr>
        <w:t xml:space="preserve"> conclu</w:t>
      </w:r>
      <w:r w:rsidRPr="00A50E4D">
        <w:rPr>
          <w:szCs w:val="20"/>
          <w:lang w:val="en-US"/>
        </w:rPr>
        <w:t xml:space="preserve">des that it was foreseeable that, even if the application for </w:t>
      </w:r>
      <w:r w:rsidR="00B11ACA" w:rsidRPr="00A50E4D">
        <w:rPr>
          <w:i/>
          <w:szCs w:val="20"/>
          <w:lang w:val="en-US"/>
        </w:rPr>
        <w:t>amparo</w:t>
      </w:r>
      <w:r w:rsidRPr="00A50E4D">
        <w:rPr>
          <w:szCs w:val="20"/>
          <w:lang w:val="en-US"/>
        </w:rPr>
        <w:t xml:space="preserve"> had been filed, it would have been ineffective. Therefore, the Court finds that </w:t>
      </w:r>
      <w:r w:rsidR="009808C5" w:rsidRPr="00A50E4D">
        <w:rPr>
          <w:szCs w:val="20"/>
          <w:lang w:val="en-US"/>
        </w:rPr>
        <w:t>the State</w:t>
      </w:r>
      <w:r w:rsidR="005472DB" w:rsidRPr="00A50E4D">
        <w:rPr>
          <w:szCs w:val="20"/>
          <w:lang w:val="en-US"/>
        </w:rPr>
        <w:t xml:space="preserve"> </w:t>
      </w:r>
      <w:r w:rsidRPr="00A50E4D">
        <w:rPr>
          <w:szCs w:val="20"/>
          <w:lang w:val="en-US"/>
        </w:rPr>
        <w:t>violated</w:t>
      </w:r>
      <w:r w:rsidR="00E622CD" w:rsidRPr="00A50E4D">
        <w:rPr>
          <w:szCs w:val="20"/>
          <w:lang w:val="en-US"/>
        </w:rPr>
        <w:t xml:space="preserve"> </w:t>
      </w:r>
      <w:r w:rsidR="009808C5" w:rsidRPr="00A50E4D">
        <w:rPr>
          <w:szCs w:val="20"/>
          <w:lang w:val="en-US"/>
        </w:rPr>
        <w:t>Article</w:t>
      </w:r>
      <w:r w:rsidR="005472DB" w:rsidRPr="00A50E4D">
        <w:rPr>
          <w:szCs w:val="20"/>
          <w:lang w:val="en-US"/>
        </w:rPr>
        <w:t xml:space="preserve"> </w:t>
      </w:r>
      <w:r w:rsidR="00EA5E90" w:rsidRPr="00A50E4D">
        <w:rPr>
          <w:szCs w:val="20"/>
          <w:lang w:val="en-US"/>
        </w:rPr>
        <w:t>25(1)</w:t>
      </w:r>
      <w:r w:rsidR="009808C5" w:rsidRPr="00A50E4D">
        <w:rPr>
          <w:szCs w:val="20"/>
          <w:lang w:val="en-US"/>
        </w:rPr>
        <w:t xml:space="preserve"> of the Convention</w:t>
      </w:r>
      <w:r w:rsidR="005472DB" w:rsidRPr="00A50E4D">
        <w:rPr>
          <w:szCs w:val="20"/>
          <w:lang w:val="en-US"/>
        </w:rPr>
        <w:t xml:space="preserve">, </w:t>
      </w:r>
      <w:r w:rsidR="0048601C" w:rsidRPr="00A50E4D">
        <w:rPr>
          <w:szCs w:val="20"/>
          <w:lang w:val="en-US"/>
        </w:rPr>
        <w:t>in relation to Article 1(1)</w:t>
      </w:r>
      <w:r w:rsidR="00FF35A9" w:rsidRPr="00A50E4D">
        <w:rPr>
          <w:szCs w:val="20"/>
          <w:lang w:val="en-US"/>
        </w:rPr>
        <w:t xml:space="preserve"> of </w:t>
      </w:r>
      <w:r w:rsidRPr="00A50E4D">
        <w:rPr>
          <w:szCs w:val="20"/>
          <w:lang w:val="en-US"/>
        </w:rPr>
        <w:t xml:space="preserve">this instrument, to the detriment of </w:t>
      </w:r>
      <w:r w:rsidR="00E622CD" w:rsidRPr="00A50E4D">
        <w:rPr>
          <w:lang w:val="en-US"/>
        </w:rPr>
        <w:t xml:space="preserve">Adán Guillermo López Lone, Ramón Enrique Barrios Maldonado, Luis Alfonso </w:t>
      </w:r>
      <w:r w:rsidR="009A7056" w:rsidRPr="00A50E4D">
        <w:rPr>
          <w:lang w:val="en-US"/>
        </w:rPr>
        <w:t>Chévez de la Rocha</w:t>
      </w:r>
      <w:r w:rsidR="009808C5" w:rsidRPr="00A50E4D">
        <w:rPr>
          <w:lang w:val="en-US"/>
        </w:rPr>
        <w:t xml:space="preserve"> and </w:t>
      </w:r>
      <w:r w:rsidR="008217D7" w:rsidRPr="00A50E4D">
        <w:rPr>
          <w:lang w:val="en-US"/>
        </w:rPr>
        <w:t>Tirza del Carmen</w:t>
      </w:r>
      <w:r w:rsidR="00E622CD" w:rsidRPr="00A50E4D">
        <w:rPr>
          <w:lang w:val="en-US"/>
        </w:rPr>
        <w:t xml:space="preserve"> Flores </w:t>
      </w:r>
      <w:r w:rsidR="00250B7F" w:rsidRPr="00A50E4D">
        <w:rPr>
          <w:lang w:val="en-US"/>
        </w:rPr>
        <w:t>Lanza.</w:t>
      </w:r>
    </w:p>
    <w:p w14:paraId="5F24F9EE" w14:textId="77777777" w:rsidR="00250B7F" w:rsidRPr="00A50E4D" w:rsidRDefault="00250B7F" w:rsidP="00250B7F">
      <w:pPr>
        <w:rPr>
          <w:lang w:val="en-US" w:eastAsia="es-MX"/>
        </w:rPr>
      </w:pPr>
    </w:p>
    <w:p w14:paraId="2D062772" w14:textId="77777777" w:rsidR="00250B7F" w:rsidRPr="00A50E4D" w:rsidRDefault="00250B7F" w:rsidP="00250B7F">
      <w:pPr>
        <w:pStyle w:val="Heading1"/>
        <w:rPr>
          <w:spacing w:val="-4"/>
          <w:lang w:val="en-US"/>
        </w:rPr>
      </w:pPr>
      <w:bookmarkStart w:id="361" w:name="_Toc471717293"/>
      <w:r w:rsidRPr="00A50E4D">
        <w:rPr>
          <w:spacing w:val="-4"/>
          <w:lang w:val="en-US"/>
        </w:rPr>
        <w:t>VII-3</w:t>
      </w:r>
      <w:bookmarkEnd w:id="361"/>
    </w:p>
    <w:p w14:paraId="6023F96F" w14:textId="77777777" w:rsidR="00250B7F" w:rsidRPr="00A50E4D" w:rsidRDefault="00250B7F" w:rsidP="00250B7F">
      <w:pPr>
        <w:pStyle w:val="Heading1"/>
        <w:rPr>
          <w:spacing w:val="-4"/>
          <w:lang w:val="en-US"/>
        </w:rPr>
      </w:pPr>
      <w:bookmarkStart w:id="362" w:name="_Toc471717294"/>
      <w:r w:rsidRPr="00A50E4D">
        <w:rPr>
          <w:spacing w:val="-4"/>
          <w:lang w:val="en-US"/>
        </w:rPr>
        <w:t>PRINCIPLE OF LEGALITY</w:t>
      </w:r>
      <w:bookmarkEnd w:id="362"/>
    </w:p>
    <w:p w14:paraId="5C8EE613" w14:textId="77777777" w:rsidR="00250B7F" w:rsidRPr="00A50E4D" w:rsidRDefault="00250B7F" w:rsidP="00250B7F">
      <w:pPr>
        <w:rPr>
          <w:lang w:val="en-US" w:eastAsia="es-MX"/>
        </w:rPr>
      </w:pPr>
    </w:p>
    <w:bookmarkEnd w:id="360"/>
    <w:p w14:paraId="687E8214" w14:textId="4DCD6925" w:rsidR="00250B7F" w:rsidRPr="00A50E4D" w:rsidRDefault="00250B7F" w:rsidP="00250B7F">
      <w:pPr>
        <w:pStyle w:val="PrrafodeSentencia"/>
        <w:rPr>
          <w:lang w:val="en-US"/>
        </w:rPr>
      </w:pPr>
      <w:r w:rsidRPr="00A50E4D">
        <w:rPr>
          <w:lang w:val="en-US"/>
        </w:rPr>
        <w:t>The Commission and the representatives argued the violation of Article 9</w:t>
      </w:r>
      <w:r w:rsidRPr="00A50E4D">
        <w:rPr>
          <w:rStyle w:val="FootnoteReference"/>
          <w:sz w:val="20"/>
          <w:szCs w:val="20"/>
          <w:lang w:val="en-US"/>
        </w:rPr>
        <w:footnoteReference w:id="424"/>
      </w:r>
      <w:r w:rsidRPr="00A50E4D">
        <w:rPr>
          <w:szCs w:val="20"/>
          <w:lang w:val="en-US"/>
        </w:rPr>
        <w:t xml:space="preserve"> </w:t>
      </w:r>
      <w:r w:rsidRPr="00A50E4D">
        <w:rPr>
          <w:lang w:val="en-US"/>
        </w:rPr>
        <w:t>of the American Convention, in relation to Articles 1(1) and 2 of this instrument, based on the facts relating to the proceedings to dismiss Judges Adán Guillermo López Lone, Ramón Enrique Barrios Maldonado and Luis Alfonso Chévez de la Rocha, and also Justice Tirza del Carmen Flores Lanza. In this chapter, the Court will set out their arguments and then proceed to examine the alleged violations of this article.</w:t>
      </w:r>
    </w:p>
    <w:p w14:paraId="130A522D" w14:textId="77777777" w:rsidR="00685B42" w:rsidRPr="00A50E4D" w:rsidRDefault="00685B42" w:rsidP="007C30AF">
      <w:pPr>
        <w:pStyle w:val="ListParagraph"/>
        <w:numPr>
          <w:ilvl w:val="0"/>
          <w:numId w:val="0"/>
        </w:numPr>
        <w:tabs>
          <w:tab w:val="left" w:pos="567"/>
        </w:tabs>
        <w:rPr>
          <w:spacing w:val="-4"/>
          <w:lang w:val="en-US"/>
        </w:rPr>
      </w:pPr>
    </w:p>
    <w:p w14:paraId="0EDD4138" w14:textId="5E3ED43F" w:rsidR="007C30AF" w:rsidRPr="00A50E4D" w:rsidRDefault="00541CE1" w:rsidP="007C30AF">
      <w:pPr>
        <w:pStyle w:val="Heading2"/>
        <w:rPr>
          <w:spacing w:val="-4"/>
          <w:lang w:val="en-US"/>
        </w:rPr>
      </w:pPr>
      <w:bookmarkStart w:id="363" w:name="_Toc424834716"/>
      <w:bookmarkStart w:id="364" w:name="_Toc424834770"/>
      <w:bookmarkStart w:id="365" w:name="_Toc427932812"/>
      <w:bookmarkStart w:id="366" w:name="_Toc431584661"/>
      <w:bookmarkStart w:id="367" w:name="_Toc471717295"/>
      <w:r w:rsidRPr="00A50E4D">
        <w:rPr>
          <w:spacing w:val="-4"/>
          <w:lang w:val="en-US"/>
        </w:rPr>
        <w:t xml:space="preserve">A. </w:t>
      </w:r>
      <w:r w:rsidR="00E84FC7" w:rsidRPr="00A50E4D">
        <w:rPr>
          <w:spacing w:val="-4"/>
          <w:lang w:val="en-US"/>
        </w:rPr>
        <w:t>Arguments</w:t>
      </w:r>
      <w:r w:rsidR="009808C5" w:rsidRPr="00A50E4D">
        <w:rPr>
          <w:spacing w:val="-4"/>
          <w:lang w:val="en-US"/>
        </w:rPr>
        <w:t xml:space="preserve"> of the Commission</w:t>
      </w:r>
      <w:bookmarkEnd w:id="363"/>
      <w:bookmarkEnd w:id="364"/>
      <w:bookmarkEnd w:id="365"/>
      <w:bookmarkEnd w:id="366"/>
      <w:r w:rsidR="009808C5" w:rsidRPr="00A50E4D">
        <w:rPr>
          <w:spacing w:val="-4"/>
          <w:lang w:val="en-US"/>
        </w:rPr>
        <w:t xml:space="preserve"> </w:t>
      </w:r>
      <w:r w:rsidR="008D65AB" w:rsidRPr="00A50E4D">
        <w:rPr>
          <w:spacing w:val="-4"/>
          <w:lang w:val="en-US"/>
        </w:rPr>
        <w:t>and of the parties</w:t>
      </w:r>
      <w:bookmarkEnd w:id="367"/>
      <w:r w:rsidRPr="00A50E4D">
        <w:rPr>
          <w:spacing w:val="-4"/>
          <w:lang w:val="en-US"/>
        </w:rPr>
        <w:t xml:space="preserve"> </w:t>
      </w:r>
    </w:p>
    <w:p w14:paraId="591BADC6" w14:textId="77777777" w:rsidR="007C30AF" w:rsidRPr="00A50E4D" w:rsidRDefault="007C30AF" w:rsidP="007C30AF">
      <w:pPr>
        <w:pStyle w:val="ListParagraph"/>
        <w:numPr>
          <w:ilvl w:val="0"/>
          <w:numId w:val="0"/>
        </w:numPr>
        <w:tabs>
          <w:tab w:val="left" w:pos="567"/>
        </w:tabs>
        <w:rPr>
          <w:spacing w:val="-4"/>
          <w:lang w:val="en-US"/>
        </w:rPr>
      </w:pPr>
    </w:p>
    <w:p w14:paraId="15E67A1F" w14:textId="0F6C1DF1" w:rsidR="007C30AF" w:rsidRPr="00A50E4D" w:rsidRDefault="00CD2874" w:rsidP="000F5245">
      <w:pPr>
        <w:pStyle w:val="PrrafodeSentencia"/>
        <w:rPr>
          <w:lang w:val="en-US"/>
        </w:rPr>
      </w:pPr>
      <w:r w:rsidRPr="00A50E4D">
        <w:rPr>
          <w:iCs/>
          <w:lang w:val="en-US"/>
        </w:rPr>
        <w:t>The Commission</w:t>
      </w:r>
      <w:r w:rsidR="007C30AF" w:rsidRPr="00A50E4D">
        <w:rPr>
          <w:b/>
          <w:i/>
          <w:iCs/>
          <w:lang w:val="en-US"/>
        </w:rPr>
        <w:t xml:space="preserve"> </w:t>
      </w:r>
      <w:r w:rsidR="007C30AF" w:rsidRPr="00A50E4D">
        <w:rPr>
          <w:iCs/>
          <w:lang w:val="en-US"/>
        </w:rPr>
        <w:t>conclu</w:t>
      </w:r>
      <w:r w:rsidR="000E6A0D" w:rsidRPr="00A50E4D">
        <w:rPr>
          <w:iCs/>
          <w:lang w:val="en-US"/>
        </w:rPr>
        <w:t xml:space="preserve">ded that, in this case, </w:t>
      </w:r>
      <w:r w:rsidR="00FF35A9" w:rsidRPr="00A50E4D">
        <w:rPr>
          <w:iCs/>
          <w:lang w:val="en-US"/>
        </w:rPr>
        <w:t xml:space="preserve">the </w:t>
      </w:r>
      <w:r w:rsidR="00371BB7" w:rsidRPr="00A50E4D">
        <w:rPr>
          <w:iCs/>
          <w:lang w:val="en-US"/>
        </w:rPr>
        <w:t xml:space="preserve">principle of </w:t>
      </w:r>
      <w:r w:rsidR="007E14CE" w:rsidRPr="00A50E4D">
        <w:rPr>
          <w:iCs/>
          <w:lang w:val="en-US"/>
        </w:rPr>
        <w:t>legality</w:t>
      </w:r>
      <w:r w:rsidR="000E6A0D" w:rsidRPr="00A50E4D">
        <w:rPr>
          <w:iCs/>
          <w:lang w:val="en-US"/>
        </w:rPr>
        <w:t xml:space="preserve"> has been violated owing to</w:t>
      </w:r>
      <w:r w:rsidR="007C30AF" w:rsidRPr="00A50E4D">
        <w:rPr>
          <w:iCs/>
          <w:lang w:val="en-US"/>
        </w:rPr>
        <w:t xml:space="preserve">: (i) </w:t>
      </w:r>
      <w:r w:rsidR="000E6A0D" w:rsidRPr="00A50E4D">
        <w:rPr>
          <w:iCs/>
          <w:lang w:val="en-US"/>
        </w:rPr>
        <w:t xml:space="preserve">the lack of </w:t>
      </w:r>
      <w:r w:rsidR="000A786A" w:rsidRPr="00A50E4D">
        <w:rPr>
          <w:iCs/>
          <w:lang w:val="en-US"/>
        </w:rPr>
        <w:t>precision</w:t>
      </w:r>
      <w:r w:rsidR="000E6A0D" w:rsidRPr="00A50E4D">
        <w:rPr>
          <w:iCs/>
          <w:lang w:val="en-US"/>
        </w:rPr>
        <w:t xml:space="preserve"> and clarity of the norms cited in the dismissal decisions;</w:t>
      </w:r>
      <w:r w:rsidR="007C30AF" w:rsidRPr="00A50E4D">
        <w:rPr>
          <w:lang w:val="en-US"/>
        </w:rPr>
        <w:t xml:space="preserve"> (ii) </w:t>
      </w:r>
      <w:r w:rsidR="000E6A0D" w:rsidRPr="00A50E4D">
        <w:rPr>
          <w:lang w:val="en-US"/>
        </w:rPr>
        <w:t>the absence of a</w:t>
      </w:r>
      <w:r w:rsidR="000F5245" w:rsidRPr="00A50E4D">
        <w:rPr>
          <w:lang w:val="en-US"/>
        </w:rPr>
        <w:t>ny</w:t>
      </w:r>
      <w:r w:rsidR="000E6A0D" w:rsidRPr="00A50E4D">
        <w:rPr>
          <w:lang w:val="en-US"/>
        </w:rPr>
        <w:t xml:space="preserve"> </w:t>
      </w:r>
      <w:r w:rsidR="000F5245" w:rsidRPr="00A50E4D">
        <w:rPr>
          <w:lang w:val="en-US"/>
        </w:rPr>
        <w:t>relationship</w:t>
      </w:r>
      <w:r w:rsidR="000E6A0D" w:rsidRPr="00A50E4D">
        <w:rPr>
          <w:lang w:val="en-US"/>
        </w:rPr>
        <w:t xml:space="preserve"> between the </w:t>
      </w:r>
      <w:r w:rsidR="007D4BD3" w:rsidRPr="00A50E4D">
        <w:rPr>
          <w:lang w:val="en-US"/>
        </w:rPr>
        <w:t>grounds</w:t>
      </w:r>
      <w:r w:rsidR="000E6A0D" w:rsidRPr="00A50E4D">
        <w:rPr>
          <w:lang w:val="en-US"/>
        </w:rPr>
        <w:t xml:space="preserve"> cited and the </w:t>
      </w:r>
      <w:r w:rsidR="007D4BD3" w:rsidRPr="00A50E4D">
        <w:rPr>
          <w:lang w:val="en-US"/>
        </w:rPr>
        <w:t>conducts penalized</w:t>
      </w:r>
      <w:r w:rsidR="000E6A0D" w:rsidRPr="00A50E4D">
        <w:rPr>
          <w:lang w:val="en-US"/>
        </w:rPr>
        <w:t>; (iii) the lack of clarity as regards the normative sources of the sanctions applied; (iv) the lack of predictabi</w:t>
      </w:r>
      <w:r w:rsidR="007244E5" w:rsidRPr="00A50E4D">
        <w:rPr>
          <w:lang w:val="en-US"/>
        </w:rPr>
        <w:t xml:space="preserve">lity of the sanctions applied, </w:t>
      </w:r>
      <w:r w:rsidR="009808C5" w:rsidRPr="00A50E4D">
        <w:rPr>
          <w:lang w:val="en-US"/>
        </w:rPr>
        <w:t xml:space="preserve">and </w:t>
      </w:r>
      <w:r w:rsidR="007C30AF" w:rsidRPr="00A50E4D">
        <w:rPr>
          <w:lang w:val="en-US"/>
        </w:rPr>
        <w:t xml:space="preserve">(v) </w:t>
      </w:r>
      <w:r w:rsidR="000E6A0D" w:rsidRPr="00A50E4D">
        <w:rPr>
          <w:lang w:val="en-US"/>
        </w:rPr>
        <w:t xml:space="preserve">the application of </w:t>
      </w:r>
      <w:r w:rsidR="007D4BD3" w:rsidRPr="00A50E4D">
        <w:rPr>
          <w:lang w:val="en-US"/>
        </w:rPr>
        <w:t xml:space="preserve">grounds </w:t>
      </w:r>
      <w:r w:rsidR="000E6A0D" w:rsidRPr="00A50E4D">
        <w:rPr>
          <w:lang w:val="en-US"/>
        </w:rPr>
        <w:t>that restricted the l</w:t>
      </w:r>
      <w:r w:rsidR="007D4BD3" w:rsidRPr="00A50E4D">
        <w:rPr>
          <w:lang w:val="en-US"/>
        </w:rPr>
        <w:t>awful</w:t>
      </w:r>
      <w:r w:rsidR="000E6A0D" w:rsidRPr="00A50E4D">
        <w:rPr>
          <w:lang w:val="en-US"/>
        </w:rPr>
        <w:t xml:space="preserve"> exercise of other rights. As regards</w:t>
      </w:r>
      <w:r w:rsidR="007C30AF" w:rsidRPr="00A50E4D">
        <w:rPr>
          <w:lang w:val="en-US"/>
        </w:rPr>
        <w:t xml:space="preserve"> (i)</w:t>
      </w:r>
      <w:r w:rsidR="000E6A0D" w:rsidRPr="00A50E4D">
        <w:rPr>
          <w:lang w:val="en-US"/>
        </w:rPr>
        <w:t xml:space="preserve">, the absence of clarity and </w:t>
      </w:r>
      <w:r w:rsidR="000A786A" w:rsidRPr="00A50E4D">
        <w:rPr>
          <w:lang w:val="en-US"/>
        </w:rPr>
        <w:t>precision</w:t>
      </w:r>
      <w:r w:rsidR="000E6A0D" w:rsidRPr="00A50E4D">
        <w:rPr>
          <w:lang w:val="en-US"/>
        </w:rPr>
        <w:t xml:space="preserve"> of the norms cited in the dismissal decisions, it considered that “several of the articles cited lack[ed] a clear and precise definition of the punishable conduct, [</w:t>
      </w:r>
      <w:r w:rsidR="007D4BD3" w:rsidRPr="00A50E4D">
        <w:rPr>
          <w:lang w:val="en-US"/>
        </w:rPr>
        <w:t>…] thereby preventing</w:t>
      </w:r>
      <w:r w:rsidR="000E6A0D" w:rsidRPr="00A50E4D">
        <w:rPr>
          <w:lang w:val="en-US"/>
        </w:rPr>
        <w:t xml:space="preserve"> judges from co</w:t>
      </w:r>
      <w:r w:rsidR="007244E5" w:rsidRPr="00A50E4D">
        <w:rPr>
          <w:lang w:val="en-US"/>
        </w:rPr>
        <w:t>nducting</w:t>
      </w:r>
      <w:r w:rsidR="000E6A0D" w:rsidRPr="00A50E4D">
        <w:rPr>
          <w:lang w:val="en-US"/>
        </w:rPr>
        <w:t xml:space="preserve"> themselves in </w:t>
      </w:r>
      <w:r w:rsidR="007244E5" w:rsidRPr="00A50E4D">
        <w:rPr>
          <w:lang w:val="en-US"/>
        </w:rPr>
        <w:t xml:space="preserve">such a way </w:t>
      </w:r>
      <w:r w:rsidR="007244E5" w:rsidRPr="00A50E4D">
        <w:rPr>
          <w:lang w:val="en-US"/>
        </w:rPr>
        <w:lastRenderedPageBreak/>
        <w:t>as</w:t>
      </w:r>
      <w:r w:rsidR="007D4BD3" w:rsidRPr="00A50E4D">
        <w:rPr>
          <w:lang w:val="en-US"/>
        </w:rPr>
        <w:t xml:space="preserve"> not</w:t>
      </w:r>
      <w:r w:rsidR="007244E5" w:rsidRPr="00A50E4D">
        <w:rPr>
          <w:lang w:val="en-US"/>
        </w:rPr>
        <w:t xml:space="preserve"> to</w:t>
      </w:r>
      <w:r w:rsidR="007D4BD3" w:rsidRPr="00A50E4D">
        <w:rPr>
          <w:lang w:val="en-US"/>
        </w:rPr>
        <w:t xml:space="preserve"> </w:t>
      </w:r>
      <w:r w:rsidR="000E6A0D" w:rsidRPr="00A50E4D">
        <w:rPr>
          <w:lang w:val="en-US"/>
        </w:rPr>
        <w:t>incur any of the grounds for dismissal</w:t>
      </w:r>
      <w:r w:rsidR="007C30AF" w:rsidRPr="00A50E4D">
        <w:rPr>
          <w:lang w:val="en-US"/>
        </w:rPr>
        <w:t xml:space="preserve">, </w:t>
      </w:r>
      <w:r w:rsidR="000E6A0D" w:rsidRPr="00A50E4D">
        <w:rPr>
          <w:lang w:val="en-US"/>
        </w:rPr>
        <w:t xml:space="preserve">[…] and giving the authorities charged with </w:t>
      </w:r>
      <w:r w:rsidR="000F5245" w:rsidRPr="00A50E4D">
        <w:rPr>
          <w:lang w:val="en-US"/>
        </w:rPr>
        <w:t>applying</w:t>
      </w:r>
      <w:r w:rsidR="000E6A0D" w:rsidRPr="00A50E4D">
        <w:rPr>
          <w:lang w:val="en-US"/>
        </w:rPr>
        <w:t xml:space="preserve"> them a large margin of discretion, [thus failing to] </w:t>
      </w:r>
      <w:r w:rsidR="007244E5" w:rsidRPr="00A50E4D">
        <w:rPr>
          <w:lang w:val="en-US"/>
        </w:rPr>
        <w:t>meet</w:t>
      </w:r>
      <w:r w:rsidR="000E6A0D" w:rsidRPr="00A50E4D">
        <w:rPr>
          <w:lang w:val="en-US"/>
        </w:rPr>
        <w:t xml:space="preserve"> the standards of predictability required by  </w:t>
      </w:r>
      <w:r w:rsidR="009808C5" w:rsidRPr="00A50E4D">
        <w:rPr>
          <w:lang w:val="en-US"/>
        </w:rPr>
        <w:t>Article</w:t>
      </w:r>
      <w:r w:rsidR="007C30AF" w:rsidRPr="00A50E4D">
        <w:rPr>
          <w:lang w:val="en-US"/>
        </w:rPr>
        <w:t xml:space="preserve"> 9</w:t>
      </w:r>
      <w:r w:rsidR="009808C5" w:rsidRPr="00A50E4D">
        <w:rPr>
          <w:lang w:val="en-US"/>
        </w:rPr>
        <w:t xml:space="preserve"> of the Convention</w:t>
      </w:r>
      <w:r w:rsidR="000E6A0D" w:rsidRPr="00A50E4D">
        <w:rPr>
          <w:lang w:val="en-US"/>
        </w:rPr>
        <w:t>.”</w:t>
      </w:r>
      <w:r w:rsidR="007C30AF" w:rsidRPr="00A50E4D">
        <w:rPr>
          <w:lang w:val="en-US"/>
        </w:rPr>
        <w:t xml:space="preserve"> </w:t>
      </w:r>
      <w:r w:rsidR="000E6A0D" w:rsidRPr="00A50E4D">
        <w:rPr>
          <w:lang w:val="en-US"/>
        </w:rPr>
        <w:t>Regarding (ii), the absence of a</w:t>
      </w:r>
      <w:r w:rsidR="000F5245" w:rsidRPr="00A50E4D">
        <w:rPr>
          <w:lang w:val="en-US"/>
        </w:rPr>
        <w:t>ny</w:t>
      </w:r>
      <w:r w:rsidR="000E6A0D" w:rsidRPr="00A50E4D">
        <w:rPr>
          <w:lang w:val="en-US"/>
        </w:rPr>
        <w:t xml:space="preserve"> </w:t>
      </w:r>
      <w:r w:rsidR="000F5245" w:rsidRPr="00A50E4D">
        <w:rPr>
          <w:lang w:val="en-US"/>
        </w:rPr>
        <w:t>relationship</w:t>
      </w:r>
      <w:r w:rsidR="000E6A0D" w:rsidRPr="00A50E4D">
        <w:rPr>
          <w:lang w:val="en-US"/>
        </w:rPr>
        <w:t xml:space="preserve"> between the </w:t>
      </w:r>
      <w:r w:rsidR="007D4BD3" w:rsidRPr="00A50E4D">
        <w:rPr>
          <w:lang w:val="en-US"/>
        </w:rPr>
        <w:t xml:space="preserve">grounds </w:t>
      </w:r>
      <w:r w:rsidR="000E6A0D" w:rsidRPr="00A50E4D">
        <w:rPr>
          <w:lang w:val="en-US"/>
        </w:rPr>
        <w:t xml:space="preserve">cited and the </w:t>
      </w:r>
      <w:r w:rsidR="007D4BD3" w:rsidRPr="00A50E4D">
        <w:rPr>
          <w:lang w:val="en-US"/>
        </w:rPr>
        <w:t>conducts</w:t>
      </w:r>
      <w:r w:rsidR="000E6A0D" w:rsidRPr="00A50E4D">
        <w:rPr>
          <w:lang w:val="en-US"/>
        </w:rPr>
        <w:t xml:space="preserve"> </w:t>
      </w:r>
      <w:r w:rsidR="007D4BD3" w:rsidRPr="00A50E4D">
        <w:rPr>
          <w:lang w:val="en-US"/>
        </w:rPr>
        <w:t>penalized</w:t>
      </w:r>
      <w:r w:rsidR="000E6A0D" w:rsidRPr="00A50E4D">
        <w:rPr>
          <w:lang w:val="en-US"/>
        </w:rPr>
        <w:t>, the Commission</w:t>
      </w:r>
      <w:r w:rsidR="007D4BD3" w:rsidRPr="00A50E4D">
        <w:rPr>
          <w:lang w:val="en-US"/>
        </w:rPr>
        <w:t xml:space="preserve"> argued that the decisions to dismiss</w:t>
      </w:r>
      <w:r w:rsidR="000E6A0D" w:rsidRPr="00A50E4D">
        <w:rPr>
          <w:lang w:val="en-US"/>
        </w:rPr>
        <w:t xml:space="preserve"> the presumed victims</w:t>
      </w:r>
      <w:r w:rsidR="007D4BD3" w:rsidRPr="00A50E4D">
        <w:rPr>
          <w:lang w:val="en-US"/>
        </w:rPr>
        <w:t xml:space="preserve"> </w:t>
      </w:r>
      <w:r w:rsidR="000E6A0D" w:rsidRPr="00A50E4D">
        <w:rPr>
          <w:lang w:val="en-US"/>
        </w:rPr>
        <w:t>cited and transcribed, indistinctly, articles with contents of the most diverse nature and with the most diverse</w:t>
      </w:r>
      <w:r w:rsidR="007D4BD3" w:rsidRPr="00A50E4D">
        <w:rPr>
          <w:lang w:val="en-US"/>
        </w:rPr>
        <w:t xml:space="preserve"> content,</w:t>
      </w:r>
      <w:r w:rsidR="000F5245" w:rsidRPr="00A50E4D">
        <w:rPr>
          <w:lang w:val="en-US"/>
        </w:rPr>
        <w:t xml:space="preserve"> without justifying the relationship between the </w:t>
      </w:r>
      <w:r w:rsidR="007D4BD3" w:rsidRPr="00A50E4D">
        <w:rPr>
          <w:lang w:val="en-US"/>
        </w:rPr>
        <w:t xml:space="preserve">conduct </w:t>
      </w:r>
      <w:r w:rsidR="000F5245" w:rsidRPr="00A50E4D">
        <w:rPr>
          <w:lang w:val="en-US"/>
        </w:rPr>
        <w:t>and the norm applied. Thus, it considered that “the non-specific use of disciplinary provisions, without clear rules referring one to the others and without</w:t>
      </w:r>
      <w:r w:rsidR="007D4BD3" w:rsidRPr="00A50E4D">
        <w:rPr>
          <w:lang w:val="en-US"/>
        </w:rPr>
        <w:t xml:space="preserve"> providing the corresponding </w:t>
      </w:r>
      <w:r w:rsidR="00B14BFF" w:rsidRPr="00A50E4D">
        <w:rPr>
          <w:lang w:val="en-US"/>
        </w:rPr>
        <w:t>statement of reasons</w:t>
      </w:r>
      <w:r w:rsidR="000F5245" w:rsidRPr="00A50E4D">
        <w:rPr>
          <w:lang w:val="en-US"/>
        </w:rPr>
        <w:t>, [resulted in] a lack of clarity as to how the specific acts were ada</w:t>
      </w:r>
      <w:r w:rsidR="007244E5" w:rsidRPr="00A50E4D">
        <w:rPr>
          <w:lang w:val="en-US"/>
        </w:rPr>
        <w:t>pted to each of the provisions; thus</w:t>
      </w:r>
      <w:r w:rsidR="000F5245" w:rsidRPr="00A50E4D">
        <w:rPr>
          <w:lang w:val="en-US"/>
        </w:rPr>
        <w:t>, constit</w:t>
      </w:r>
      <w:r w:rsidR="007244E5" w:rsidRPr="00A50E4D">
        <w:rPr>
          <w:lang w:val="en-US"/>
        </w:rPr>
        <w:t>uting</w:t>
      </w:r>
      <w:r w:rsidR="000F5245" w:rsidRPr="00A50E4D">
        <w:rPr>
          <w:lang w:val="en-US"/>
        </w:rPr>
        <w:t xml:space="preserve"> a violation </w:t>
      </w:r>
      <w:r w:rsidR="00FF35A9" w:rsidRPr="00A50E4D">
        <w:rPr>
          <w:lang w:val="en-US"/>
        </w:rPr>
        <w:t xml:space="preserve">of the </w:t>
      </w:r>
      <w:r w:rsidR="00371BB7" w:rsidRPr="00A50E4D">
        <w:rPr>
          <w:lang w:val="en-US"/>
        </w:rPr>
        <w:t xml:space="preserve">principle of </w:t>
      </w:r>
      <w:r w:rsidR="007E14CE" w:rsidRPr="00A50E4D">
        <w:rPr>
          <w:lang w:val="en-US"/>
        </w:rPr>
        <w:t>legality</w:t>
      </w:r>
      <w:r w:rsidR="000F5245" w:rsidRPr="00A50E4D">
        <w:rPr>
          <w:lang w:val="en-US"/>
        </w:rPr>
        <w:t>.”</w:t>
      </w:r>
      <w:r w:rsidR="007C30AF" w:rsidRPr="00A50E4D">
        <w:rPr>
          <w:lang w:val="en-US"/>
        </w:rPr>
        <w:t xml:space="preserve"> </w:t>
      </w:r>
    </w:p>
    <w:p w14:paraId="45E7AE09" w14:textId="77777777" w:rsidR="007C30AF" w:rsidRPr="00A50E4D" w:rsidRDefault="007C30AF" w:rsidP="007C30AF">
      <w:pPr>
        <w:pStyle w:val="ListParagraph"/>
        <w:widowControl/>
        <w:numPr>
          <w:ilvl w:val="0"/>
          <w:numId w:val="0"/>
        </w:numPr>
        <w:tabs>
          <w:tab w:val="left" w:pos="567"/>
        </w:tabs>
        <w:autoSpaceDE/>
        <w:autoSpaceDN/>
        <w:adjustRightInd/>
        <w:ind w:right="0"/>
        <w:rPr>
          <w:spacing w:val="-4"/>
          <w:lang w:val="en-US"/>
        </w:rPr>
      </w:pPr>
    </w:p>
    <w:p w14:paraId="2FBA9413" w14:textId="3D62A726" w:rsidR="00F44E69" w:rsidRPr="00A50E4D" w:rsidRDefault="007D4BD3" w:rsidP="00F44E69">
      <w:pPr>
        <w:pStyle w:val="PrrafodeSentencia"/>
        <w:rPr>
          <w:u w:val="single"/>
          <w:lang w:val="en-US"/>
        </w:rPr>
      </w:pPr>
      <w:r w:rsidRPr="00A50E4D">
        <w:rPr>
          <w:lang w:val="en-US"/>
        </w:rPr>
        <w:t>Regarding</w:t>
      </w:r>
      <w:r w:rsidR="007C30AF" w:rsidRPr="00A50E4D">
        <w:rPr>
          <w:b/>
          <w:lang w:val="en-US"/>
        </w:rPr>
        <w:t xml:space="preserve"> </w:t>
      </w:r>
      <w:r w:rsidR="007C30AF" w:rsidRPr="00A50E4D">
        <w:rPr>
          <w:lang w:val="en-US"/>
        </w:rPr>
        <w:t>(iii)</w:t>
      </w:r>
      <w:r w:rsidRPr="00A50E4D">
        <w:rPr>
          <w:lang w:val="en-US"/>
        </w:rPr>
        <w:t>,</w:t>
      </w:r>
      <w:r w:rsidR="007C30AF" w:rsidRPr="00A50E4D">
        <w:rPr>
          <w:lang w:val="en-US"/>
        </w:rPr>
        <w:t xml:space="preserve"> </w:t>
      </w:r>
      <w:r w:rsidR="000F5245" w:rsidRPr="00A50E4D">
        <w:rPr>
          <w:lang w:val="en-US"/>
        </w:rPr>
        <w:t>the lack of clarity as regards the normative sources of</w:t>
      </w:r>
      <w:r w:rsidRPr="00A50E4D">
        <w:rPr>
          <w:lang w:val="en-US"/>
        </w:rPr>
        <w:t xml:space="preserve"> the sanctions applied, </w:t>
      </w:r>
      <w:r w:rsidR="009808C5" w:rsidRPr="00A50E4D">
        <w:rPr>
          <w:lang w:val="en-US"/>
        </w:rPr>
        <w:t>the Commission</w:t>
      </w:r>
      <w:r w:rsidR="007C30AF" w:rsidRPr="00A50E4D">
        <w:rPr>
          <w:b/>
          <w:i/>
          <w:lang w:val="en-US"/>
        </w:rPr>
        <w:t xml:space="preserve"> </w:t>
      </w:r>
      <w:r w:rsidR="007C30AF" w:rsidRPr="00A50E4D">
        <w:rPr>
          <w:lang w:val="en-US"/>
        </w:rPr>
        <w:t>rema</w:t>
      </w:r>
      <w:r w:rsidRPr="00A50E4D">
        <w:rPr>
          <w:lang w:val="en-US"/>
        </w:rPr>
        <w:t xml:space="preserve">rked that </w:t>
      </w:r>
      <w:r w:rsidR="007C30AF" w:rsidRPr="00A50E4D">
        <w:rPr>
          <w:lang w:val="en-US"/>
        </w:rPr>
        <w:t>“</w:t>
      </w:r>
      <w:r w:rsidRPr="00A50E4D">
        <w:rPr>
          <w:lang w:val="en-US"/>
        </w:rPr>
        <w:t xml:space="preserve">grounds were used that were established in laws of different normative </w:t>
      </w:r>
      <w:r w:rsidR="007244E5" w:rsidRPr="00A50E4D">
        <w:rPr>
          <w:lang w:val="en-US"/>
        </w:rPr>
        <w:t>levels</w:t>
      </w:r>
      <w:r w:rsidRPr="00A50E4D">
        <w:rPr>
          <w:lang w:val="en-US"/>
        </w:rPr>
        <w:t>, including codes of ethics and norms issued by international summits such as those from the Statute of the Ibero-American Judge and the Model Ibero-American Code of Judicial Ethics.” It also indicated that, in this case, “it ended up by imposing sanctions established in the Judicial Service A</w:t>
      </w:r>
      <w:r w:rsidR="007244E5" w:rsidRPr="00A50E4D">
        <w:rPr>
          <w:lang w:val="en-US"/>
        </w:rPr>
        <w:t>ct as a legal consequence of</w:t>
      </w:r>
      <w:r w:rsidRPr="00A50E4D">
        <w:rPr>
          <w:lang w:val="en-US"/>
        </w:rPr>
        <w:t xml:space="preserve"> supposed non-compliance with ethical standards </w:t>
      </w:r>
      <w:r w:rsidR="007244E5" w:rsidRPr="00A50E4D">
        <w:rPr>
          <w:lang w:val="en-US"/>
        </w:rPr>
        <w:t>for which</w:t>
      </w:r>
      <w:r w:rsidRPr="00A50E4D">
        <w:rPr>
          <w:lang w:val="en-US"/>
        </w:rPr>
        <w:t>, owing to their inherent nature, the text di</w:t>
      </w:r>
      <w:r w:rsidR="007244E5" w:rsidRPr="00A50E4D">
        <w:rPr>
          <w:lang w:val="en-US"/>
        </w:rPr>
        <w:t>d not establish any sanction</w:t>
      </w:r>
      <w:r w:rsidRPr="00A50E4D">
        <w:rPr>
          <w:lang w:val="en-US"/>
        </w:rPr>
        <w:t>.” Regarding</w:t>
      </w:r>
      <w:r w:rsidR="007C30AF" w:rsidRPr="00A50E4D">
        <w:rPr>
          <w:lang w:val="en-US"/>
        </w:rPr>
        <w:t xml:space="preserve"> (iv) </w:t>
      </w:r>
      <w:r w:rsidR="000F5245" w:rsidRPr="00A50E4D">
        <w:rPr>
          <w:lang w:val="en-US"/>
        </w:rPr>
        <w:t>the lack of predictability of the sanctions applied</w:t>
      </w:r>
      <w:r w:rsidRPr="00A50E4D">
        <w:rPr>
          <w:lang w:val="en-US"/>
        </w:rPr>
        <w:t>, it explained that, “from the point of view of the domestic legal system, imposing a sanction on the victims for conduct established in instruments other than the Judicial Service Act would be contrary to article 51 of the Judicial Service Act which establishes that officials may only be removed for conduct that constitutes grounds for dismissal.”  According to the Commission, “</w:t>
      </w:r>
      <w:r w:rsidR="007244E5" w:rsidRPr="00A50E4D">
        <w:rPr>
          <w:lang w:val="en-US"/>
        </w:rPr>
        <w:t>the fact that no</w:t>
      </w:r>
      <w:r w:rsidRPr="00A50E4D">
        <w:rPr>
          <w:lang w:val="en-US"/>
        </w:rPr>
        <w:t xml:space="preserve"> sanctions </w:t>
      </w:r>
      <w:r w:rsidR="007244E5" w:rsidRPr="00A50E4D">
        <w:rPr>
          <w:lang w:val="en-US"/>
        </w:rPr>
        <w:t xml:space="preserve">were </w:t>
      </w:r>
      <w:r w:rsidRPr="00A50E4D">
        <w:rPr>
          <w:lang w:val="en-US"/>
        </w:rPr>
        <w:t>established in these instruments</w:t>
      </w:r>
      <w:r w:rsidR="007244E5" w:rsidRPr="00A50E4D">
        <w:rPr>
          <w:lang w:val="en-US"/>
        </w:rPr>
        <w:t xml:space="preserve"> for the grounds invoked in the proceedings against the presumed victims (</w:t>
      </w:r>
      <w:r w:rsidRPr="00A50E4D">
        <w:rPr>
          <w:lang w:val="en-US"/>
        </w:rPr>
        <w:t>wit</w:t>
      </w:r>
      <w:r w:rsidR="007244E5" w:rsidRPr="00A50E4D">
        <w:rPr>
          <w:lang w:val="en-US"/>
        </w:rPr>
        <w:t>h no clear rules concerning</w:t>
      </w:r>
      <w:r w:rsidRPr="00A50E4D">
        <w:rPr>
          <w:lang w:val="en-US"/>
        </w:rPr>
        <w:t xml:space="preserve"> the referral of one legal system to </w:t>
      </w:r>
      <w:r w:rsidR="007244E5" w:rsidRPr="00A50E4D">
        <w:rPr>
          <w:lang w:val="en-US"/>
        </w:rPr>
        <w:t>another</w:t>
      </w:r>
      <w:r w:rsidRPr="00A50E4D">
        <w:rPr>
          <w:lang w:val="en-US"/>
        </w:rPr>
        <w:t>, and without this being justified by the disciplinary authority</w:t>
      </w:r>
      <w:r w:rsidR="007244E5" w:rsidRPr="00A50E4D">
        <w:rPr>
          <w:lang w:val="en-US"/>
        </w:rPr>
        <w:t>)</w:t>
      </w:r>
      <w:r w:rsidRPr="00A50E4D">
        <w:rPr>
          <w:lang w:val="en-US"/>
        </w:rPr>
        <w:t xml:space="preserve">, was contrary to the principle of legality protected by </w:t>
      </w:r>
      <w:r w:rsidR="009808C5" w:rsidRPr="00A50E4D">
        <w:rPr>
          <w:lang w:val="en-US"/>
        </w:rPr>
        <w:t>Article</w:t>
      </w:r>
      <w:r w:rsidR="007C30AF" w:rsidRPr="00A50E4D">
        <w:rPr>
          <w:lang w:val="en-US"/>
        </w:rPr>
        <w:t xml:space="preserve"> 9</w:t>
      </w:r>
      <w:r w:rsidR="009808C5" w:rsidRPr="00A50E4D">
        <w:rPr>
          <w:lang w:val="en-US"/>
        </w:rPr>
        <w:t xml:space="preserve"> of the Convention</w:t>
      </w:r>
      <w:r w:rsidR="007C30AF" w:rsidRPr="00A50E4D">
        <w:rPr>
          <w:lang w:val="en-US"/>
        </w:rPr>
        <w:t xml:space="preserve">”. </w:t>
      </w:r>
      <w:r w:rsidRPr="00A50E4D">
        <w:rPr>
          <w:lang w:val="en-US"/>
        </w:rPr>
        <w:t>Lastly</w:t>
      </w:r>
      <w:r w:rsidR="007C30AF" w:rsidRPr="00A50E4D">
        <w:rPr>
          <w:lang w:val="en-US"/>
        </w:rPr>
        <w:t xml:space="preserve">, </w:t>
      </w:r>
      <w:r w:rsidR="009808C5" w:rsidRPr="00A50E4D">
        <w:rPr>
          <w:lang w:val="en-US"/>
        </w:rPr>
        <w:t>the Commission</w:t>
      </w:r>
      <w:r w:rsidR="007C30AF" w:rsidRPr="00A50E4D">
        <w:rPr>
          <w:lang w:val="en-US"/>
        </w:rPr>
        <w:t xml:space="preserve"> </w:t>
      </w:r>
      <w:r w:rsidRPr="00A50E4D">
        <w:rPr>
          <w:lang w:val="en-US"/>
        </w:rPr>
        <w:t>argued that</w:t>
      </w:r>
      <w:r w:rsidR="007C30AF" w:rsidRPr="00A50E4D">
        <w:rPr>
          <w:b/>
          <w:lang w:val="en-US"/>
        </w:rPr>
        <w:t xml:space="preserve"> </w:t>
      </w:r>
      <w:r w:rsidR="007C30AF" w:rsidRPr="00A50E4D">
        <w:rPr>
          <w:lang w:val="en-US"/>
        </w:rPr>
        <w:t xml:space="preserve">(v) </w:t>
      </w:r>
      <w:r w:rsidRPr="00A50E4D">
        <w:rPr>
          <w:lang w:val="en-US"/>
        </w:rPr>
        <w:t>grounds were applied</w:t>
      </w:r>
      <w:r w:rsidR="000F5245" w:rsidRPr="00A50E4D">
        <w:rPr>
          <w:lang w:val="en-US"/>
        </w:rPr>
        <w:t xml:space="preserve"> that </w:t>
      </w:r>
      <w:r w:rsidRPr="00A50E4D">
        <w:rPr>
          <w:lang w:val="en-US"/>
        </w:rPr>
        <w:t xml:space="preserve">were incompatible with the principle of legality, in order to </w:t>
      </w:r>
      <w:r w:rsidR="007244E5" w:rsidRPr="00A50E4D">
        <w:rPr>
          <w:lang w:val="en-US"/>
        </w:rPr>
        <w:t>establish</w:t>
      </w:r>
      <w:r w:rsidRPr="00A50E4D">
        <w:rPr>
          <w:lang w:val="en-US"/>
        </w:rPr>
        <w:t xml:space="preserve"> disciplinary sanctions against the presumed victims, which unduly restricted the lawful exercise </w:t>
      </w:r>
      <w:r w:rsidR="000F5245" w:rsidRPr="00A50E4D">
        <w:rPr>
          <w:lang w:val="en-US"/>
        </w:rPr>
        <w:t>of other rights</w:t>
      </w:r>
      <w:r w:rsidRPr="00A50E4D">
        <w:rPr>
          <w:lang w:val="en-US"/>
        </w:rPr>
        <w:t>, such as</w:t>
      </w:r>
      <w:r w:rsidR="007C30AF" w:rsidRPr="00A50E4D">
        <w:rPr>
          <w:lang w:val="en-US"/>
        </w:rPr>
        <w:t xml:space="preserve"> </w:t>
      </w:r>
      <w:r w:rsidR="00371BB7" w:rsidRPr="00A50E4D">
        <w:rPr>
          <w:lang w:val="en-US"/>
        </w:rPr>
        <w:t>freedom of expression</w:t>
      </w:r>
      <w:r w:rsidRPr="00A50E4D">
        <w:rPr>
          <w:lang w:val="en-US"/>
        </w:rPr>
        <w:t xml:space="preserve"> and</w:t>
      </w:r>
      <w:r w:rsidR="007C30AF" w:rsidRPr="00A50E4D">
        <w:rPr>
          <w:lang w:val="en-US"/>
        </w:rPr>
        <w:t xml:space="preserve"> </w:t>
      </w:r>
      <w:r w:rsidR="00371BB7" w:rsidRPr="00A50E4D">
        <w:rPr>
          <w:lang w:val="en-US"/>
        </w:rPr>
        <w:t>the right of assembly</w:t>
      </w:r>
      <w:r w:rsidR="007C30AF" w:rsidRPr="00A50E4D">
        <w:rPr>
          <w:lang w:val="en-US"/>
        </w:rPr>
        <w:t>.</w:t>
      </w:r>
    </w:p>
    <w:p w14:paraId="49E45775" w14:textId="77777777" w:rsidR="007C30AF" w:rsidRPr="00A50E4D" w:rsidRDefault="007C30AF" w:rsidP="007C30AF">
      <w:pPr>
        <w:pStyle w:val="PrrafodeSentencia"/>
        <w:numPr>
          <w:ilvl w:val="0"/>
          <w:numId w:val="0"/>
        </w:numPr>
        <w:rPr>
          <w:b/>
          <w:bCs/>
          <w:i/>
          <w:lang w:val="en-US"/>
        </w:rPr>
      </w:pPr>
    </w:p>
    <w:p w14:paraId="57FC0236" w14:textId="7A492152" w:rsidR="007C30AF" w:rsidRPr="00A50E4D" w:rsidRDefault="00AD5EE7" w:rsidP="007D4BD3">
      <w:pPr>
        <w:pStyle w:val="PrrafodeSentencia"/>
        <w:rPr>
          <w:lang w:val="en-US"/>
        </w:rPr>
      </w:pPr>
      <w:r w:rsidRPr="00A50E4D">
        <w:rPr>
          <w:lang w:val="en-US"/>
        </w:rPr>
        <w:t>The representatives</w:t>
      </w:r>
      <w:r w:rsidR="007D4BD3" w:rsidRPr="00A50E4D">
        <w:rPr>
          <w:lang w:val="en-US"/>
        </w:rPr>
        <w:t xml:space="preserve"> argued that</w:t>
      </w:r>
      <w:r w:rsidR="00FF35A9" w:rsidRPr="00A50E4D">
        <w:rPr>
          <w:lang w:val="en-US"/>
        </w:rPr>
        <w:t xml:space="preserve"> the </w:t>
      </w:r>
      <w:r w:rsidR="00371BB7" w:rsidRPr="00A50E4D">
        <w:rPr>
          <w:lang w:val="en-US"/>
        </w:rPr>
        <w:t xml:space="preserve">principle of </w:t>
      </w:r>
      <w:r w:rsidR="007E14CE" w:rsidRPr="00A50E4D">
        <w:rPr>
          <w:lang w:val="en-US"/>
        </w:rPr>
        <w:t>legality</w:t>
      </w:r>
      <w:r w:rsidR="007D4BD3" w:rsidRPr="00A50E4D">
        <w:rPr>
          <w:lang w:val="en-US"/>
        </w:rPr>
        <w:t xml:space="preserve"> had been violated in this case because: </w:t>
      </w:r>
      <w:r w:rsidR="007C30AF" w:rsidRPr="00A50E4D">
        <w:rPr>
          <w:lang w:val="en-US"/>
        </w:rPr>
        <w:t>(i) “</w:t>
      </w:r>
      <w:r w:rsidR="007D4BD3" w:rsidRPr="00A50E4D">
        <w:rPr>
          <w:lang w:val="en-US"/>
        </w:rPr>
        <w:t xml:space="preserve">a series of </w:t>
      </w:r>
      <w:r w:rsidR="000A786A" w:rsidRPr="00A50E4D">
        <w:rPr>
          <w:lang w:val="en-US"/>
        </w:rPr>
        <w:t>imprecise</w:t>
      </w:r>
      <w:r w:rsidR="007D4BD3" w:rsidRPr="00A50E4D">
        <w:rPr>
          <w:lang w:val="en-US"/>
        </w:rPr>
        <w:t xml:space="preserve"> and vague norms had been applied in the disciplinary proceedings that prejudiced </w:t>
      </w:r>
      <w:r w:rsidR="00371BB7" w:rsidRPr="00A50E4D">
        <w:rPr>
          <w:lang w:val="en-US"/>
        </w:rPr>
        <w:t>the presumed victims</w:t>
      </w:r>
      <w:r w:rsidR="007C30AF" w:rsidRPr="00A50E4D">
        <w:rPr>
          <w:lang w:val="en-US"/>
        </w:rPr>
        <w:t>”; (ii) “</w:t>
      </w:r>
      <w:r w:rsidR="007D4BD3" w:rsidRPr="00A50E4D">
        <w:rPr>
          <w:lang w:val="en-US"/>
        </w:rPr>
        <w:t xml:space="preserve">there is no clear relationship between the grounds that gave rise to disciplinary responsibility and the consequences that </w:t>
      </w:r>
      <w:r w:rsidR="000A786A" w:rsidRPr="00A50E4D">
        <w:rPr>
          <w:lang w:val="en-US"/>
        </w:rPr>
        <w:t>corresponded</w:t>
      </w:r>
      <w:r w:rsidR="007D4BD3" w:rsidRPr="00A50E4D">
        <w:rPr>
          <w:lang w:val="en-US"/>
        </w:rPr>
        <w:t xml:space="preserve"> to this [under the laws of Honduras</w:t>
      </w:r>
      <w:r w:rsidR="007244E5" w:rsidRPr="00A50E4D">
        <w:rPr>
          <w:lang w:val="en-US"/>
        </w:rPr>
        <w:t>]</w:t>
      </w:r>
      <w:r w:rsidR="007D4BD3" w:rsidRPr="00A50E4D">
        <w:rPr>
          <w:lang w:val="en-US"/>
        </w:rPr>
        <w:t xml:space="preserve">,” and (iii) disciplinary sanctions </w:t>
      </w:r>
      <w:r w:rsidR="00FF35A9" w:rsidRPr="00A50E4D">
        <w:rPr>
          <w:lang w:val="en-US"/>
        </w:rPr>
        <w:t>against</w:t>
      </w:r>
      <w:r w:rsidR="007C30AF" w:rsidRPr="00A50E4D">
        <w:rPr>
          <w:lang w:val="en-US"/>
        </w:rPr>
        <w:t xml:space="preserve"> </w:t>
      </w:r>
      <w:r w:rsidR="009808C5" w:rsidRPr="00A50E4D">
        <w:rPr>
          <w:lang w:val="en-US"/>
        </w:rPr>
        <w:t xml:space="preserve">judges </w:t>
      </w:r>
      <w:r w:rsidR="007D4BD3" w:rsidRPr="00A50E4D">
        <w:rPr>
          <w:lang w:val="en-US"/>
        </w:rPr>
        <w:t>must be established by law. They agreed that “the provisions of the disciplinary regime […] were drawn up in a vague and imprecise way, facilitating arbitrariness and the consequent violation of the human rights of those subject to them.” They added that the use of certain terms “entailed subject</w:t>
      </w:r>
      <w:r w:rsidR="007244E5" w:rsidRPr="00A50E4D">
        <w:rPr>
          <w:lang w:val="en-US"/>
        </w:rPr>
        <w:t>ive</w:t>
      </w:r>
      <w:r w:rsidR="007D4BD3" w:rsidRPr="00A50E4D">
        <w:rPr>
          <w:lang w:val="en-US"/>
        </w:rPr>
        <w:t xml:space="preserve"> assessments that offered no clarity as regards the definition of the conduct to be sanctioned,” and that the wording of some norms was “very broad and general.” Therefore, they asserted that “the grounds cited against the victims did not respect the characteristics of clarity and precision required to comply with the principle of legality, and this allowed for an arbitrary interpretation of their content.” Thus, “it was not possible for the [presumed] victims to understand clearly that their protests against the</w:t>
      </w:r>
      <w:r w:rsidR="00AB4594" w:rsidRPr="00A50E4D">
        <w:rPr>
          <w:lang w:val="en-US"/>
        </w:rPr>
        <w:t xml:space="preserve"> breakdown</w:t>
      </w:r>
      <w:r w:rsidR="007D4BD3" w:rsidRPr="00A50E4D">
        <w:rPr>
          <w:lang w:val="en-US"/>
        </w:rPr>
        <w:t xml:space="preserve"> of the </w:t>
      </w:r>
      <w:r w:rsidR="000A786A" w:rsidRPr="00A50E4D">
        <w:rPr>
          <w:lang w:val="en-US"/>
        </w:rPr>
        <w:t>democratic</w:t>
      </w:r>
      <w:r w:rsidR="007D4BD3" w:rsidRPr="00A50E4D">
        <w:rPr>
          <w:lang w:val="en-US"/>
        </w:rPr>
        <w:t xml:space="preserve"> institutional framework and in favor of the re-establishment of the rule of law constituted expressions and manifestations of a political nature susceptible of being sanctioned.” Furthermore, in the case of Justice Flores Lanza, they argued that the norms applied in her proceeding were “</w:t>
      </w:r>
      <w:r w:rsidR="007244E5" w:rsidRPr="00A50E4D">
        <w:rPr>
          <w:lang w:val="en-US"/>
        </w:rPr>
        <w:t>not clear either as regards a</w:t>
      </w:r>
      <w:r w:rsidR="007D4BD3" w:rsidRPr="00A50E4D">
        <w:rPr>
          <w:lang w:val="en-US"/>
        </w:rPr>
        <w:t xml:space="preserve">cts that [could] be considered </w:t>
      </w:r>
      <w:r w:rsidR="007244E5" w:rsidRPr="00A50E4D">
        <w:rPr>
          <w:lang w:val="en-US"/>
        </w:rPr>
        <w:t>forming part of the practice of</w:t>
      </w:r>
      <w:r w:rsidR="007D4BD3" w:rsidRPr="00A50E4D">
        <w:rPr>
          <w:lang w:val="en-US"/>
        </w:rPr>
        <w:t xml:space="preserve"> law, which grant[ed] broad discretion to interpret its content.”</w:t>
      </w:r>
      <w:r w:rsidR="007C30AF" w:rsidRPr="00A50E4D">
        <w:rPr>
          <w:lang w:val="en-US"/>
        </w:rPr>
        <w:t xml:space="preserve">  </w:t>
      </w:r>
    </w:p>
    <w:p w14:paraId="79EDC23B" w14:textId="77777777" w:rsidR="007C30AF" w:rsidRPr="00A50E4D" w:rsidRDefault="007C30AF" w:rsidP="007C30AF">
      <w:pPr>
        <w:pStyle w:val="ListParagraph"/>
        <w:widowControl/>
        <w:numPr>
          <w:ilvl w:val="0"/>
          <w:numId w:val="0"/>
        </w:numPr>
        <w:tabs>
          <w:tab w:val="left" w:pos="567"/>
        </w:tabs>
        <w:autoSpaceDE/>
        <w:autoSpaceDN/>
        <w:adjustRightInd/>
        <w:ind w:right="0"/>
        <w:rPr>
          <w:spacing w:val="-4"/>
          <w:lang w:val="en-US"/>
        </w:rPr>
      </w:pPr>
    </w:p>
    <w:p w14:paraId="314151DD" w14:textId="34F5E69A" w:rsidR="007C30AF" w:rsidRPr="00A50E4D" w:rsidRDefault="007E14CE" w:rsidP="007C30AF">
      <w:pPr>
        <w:pStyle w:val="PrrafodeSentencia"/>
        <w:rPr>
          <w:lang w:val="en-US"/>
        </w:rPr>
      </w:pPr>
      <w:r w:rsidRPr="00A50E4D">
        <w:rPr>
          <w:lang w:val="en-US"/>
        </w:rPr>
        <w:t xml:space="preserve">They indicated that “given the diverse norms that </w:t>
      </w:r>
      <w:r w:rsidR="000A786A" w:rsidRPr="00A50E4D">
        <w:rPr>
          <w:lang w:val="en-US"/>
        </w:rPr>
        <w:t>established</w:t>
      </w:r>
      <w:r w:rsidRPr="00A50E4D">
        <w:rPr>
          <w:lang w:val="en-US"/>
        </w:rPr>
        <w:t xml:space="preserve"> punishable conduct in judges, a</w:t>
      </w:r>
      <w:r w:rsidR="007244E5" w:rsidRPr="00A50E4D">
        <w:rPr>
          <w:lang w:val="en-US"/>
        </w:rPr>
        <w:t>nd the omissions that existed in those norms</w:t>
      </w:r>
      <w:r w:rsidRPr="00A50E4D">
        <w:rPr>
          <w:lang w:val="en-US"/>
        </w:rPr>
        <w:t xml:space="preserve">, it was not possible for the </w:t>
      </w:r>
      <w:r w:rsidR="004B0477" w:rsidRPr="00A50E4D">
        <w:rPr>
          <w:lang w:val="en-US"/>
        </w:rPr>
        <w:t>[presumed]</w:t>
      </w:r>
      <w:r w:rsidR="007C30AF" w:rsidRPr="00A50E4D">
        <w:rPr>
          <w:lang w:val="en-US"/>
        </w:rPr>
        <w:t xml:space="preserve"> </w:t>
      </w:r>
      <w:r w:rsidR="004B0477" w:rsidRPr="00A50E4D">
        <w:rPr>
          <w:lang w:val="en-US"/>
        </w:rPr>
        <w:t>victims</w:t>
      </w:r>
      <w:r w:rsidRPr="00A50E4D">
        <w:rPr>
          <w:lang w:val="en-US"/>
        </w:rPr>
        <w:t xml:space="preserve"> in this case to be clear about the framewo</w:t>
      </w:r>
      <w:r w:rsidR="007244E5" w:rsidRPr="00A50E4D">
        <w:rPr>
          <w:lang w:val="en-US"/>
        </w:rPr>
        <w:t xml:space="preserve">rk that regulated their acts, </w:t>
      </w:r>
      <w:r w:rsidRPr="00A50E4D">
        <w:rPr>
          <w:lang w:val="en-US"/>
        </w:rPr>
        <w:t xml:space="preserve">the conducts that could be </w:t>
      </w:r>
      <w:r w:rsidRPr="00A50E4D">
        <w:rPr>
          <w:lang w:val="en-US"/>
        </w:rPr>
        <w:lastRenderedPageBreak/>
        <w:t>sanctioned and, ab</w:t>
      </w:r>
      <w:r w:rsidR="007244E5" w:rsidRPr="00A50E4D">
        <w:rPr>
          <w:lang w:val="en-US"/>
        </w:rPr>
        <w:t xml:space="preserve">ove all, </w:t>
      </w:r>
      <w:r w:rsidRPr="00A50E4D">
        <w:rPr>
          <w:lang w:val="en-US"/>
        </w:rPr>
        <w:t xml:space="preserve">how those conduct would be classified or the possible consequences for the [presumed victims].” They emphasized that several of the disciplinary grounds applied to </w:t>
      </w:r>
      <w:r w:rsidR="00371BB7" w:rsidRPr="00A50E4D">
        <w:rPr>
          <w:lang w:val="en-US"/>
        </w:rPr>
        <w:t>the presumed victims</w:t>
      </w:r>
      <w:r w:rsidR="007C30AF" w:rsidRPr="00A50E4D">
        <w:rPr>
          <w:lang w:val="en-US"/>
        </w:rPr>
        <w:t xml:space="preserve"> </w:t>
      </w:r>
      <w:r w:rsidRPr="00A50E4D">
        <w:rPr>
          <w:lang w:val="en-US"/>
        </w:rPr>
        <w:t xml:space="preserve">were not established by law, but by norms of a lower </w:t>
      </w:r>
      <w:r w:rsidR="007244E5" w:rsidRPr="00A50E4D">
        <w:rPr>
          <w:lang w:val="en-US"/>
        </w:rPr>
        <w:t>level</w:t>
      </w:r>
      <w:r w:rsidRPr="00A50E4D">
        <w:rPr>
          <w:lang w:val="en-US"/>
        </w:rPr>
        <w:t>, such as regulations and administrative decisions. They also asserted that “in order to found the dismissals of the victims, eight different legal instr</w:t>
      </w:r>
      <w:r w:rsidR="007244E5" w:rsidRPr="00A50E4D">
        <w:rPr>
          <w:lang w:val="en-US"/>
        </w:rPr>
        <w:t>uments were applied, citing</w:t>
      </w:r>
      <w:r w:rsidRPr="00A50E4D">
        <w:rPr>
          <w:lang w:val="en-US"/>
        </w:rPr>
        <w:t xml:space="preserve"> 55 to 59 articles, of which less than half were in </w:t>
      </w:r>
      <w:r w:rsidR="00314E4B" w:rsidRPr="00A50E4D">
        <w:rPr>
          <w:lang w:val="en-US"/>
        </w:rPr>
        <w:t>the Constitution</w:t>
      </w:r>
      <w:r w:rsidR="007C30AF" w:rsidRPr="00A50E4D">
        <w:rPr>
          <w:lang w:val="en-US"/>
        </w:rPr>
        <w:t xml:space="preserve"> o</w:t>
      </w:r>
      <w:r w:rsidRPr="00A50E4D">
        <w:rPr>
          <w:lang w:val="en-US"/>
        </w:rPr>
        <w:t>r in a law, and also</w:t>
      </w:r>
      <w:r w:rsidR="00D63B23" w:rsidRPr="00A50E4D">
        <w:rPr>
          <w:lang w:val="en-US"/>
        </w:rPr>
        <w:t xml:space="preserve"> intermingling</w:t>
      </w:r>
      <w:r w:rsidRPr="00A50E4D">
        <w:rPr>
          <w:lang w:val="en-US"/>
        </w:rPr>
        <w:t xml:space="preserve"> rights, obligations, procedural matters, sanctions and faculties of the </w:t>
      </w:r>
      <w:r w:rsidR="00D63B23" w:rsidRPr="00A50E4D">
        <w:rPr>
          <w:lang w:val="en-US"/>
        </w:rPr>
        <w:t>different bodie</w:t>
      </w:r>
      <w:r w:rsidRPr="00A50E4D">
        <w:rPr>
          <w:lang w:val="en-US"/>
        </w:rPr>
        <w:t>s.” They argued that “ethical code</w:t>
      </w:r>
      <w:r w:rsidR="00D63B23" w:rsidRPr="00A50E4D">
        <w:rPr>
          <w:lang w:val="en-US"/>
        </w:rPr>
        <w:t>s</w:t>
      </w:r>
      <w:r w:rsidRPr="00A50E4D">
        <w:rPr>
          <w:lang w:val="en-US"/>
        </w:rPr>
        <w:t xml:space="preserve"> can be a very valuable instrument</w:t>
      </w:r>
      <w:r w:rsidR="00D63B23" w:rsidRPr="00A50E4D">
        <w:rPr>
          <w:lang w:val="en-US"/>
        </w:rPr>
        <w:t>s</w:t>
      </w:r>
      <w:r w:rsidRPr="00A50E4D">
        <w:rPr>
          <w:lang w:val="en-US"/>
        </w:rPr>
        <w:t xml:space="preserve"> to guide and </w:t>
      </w:r>
      <w:r w:rsidR="00D63B23" w:rsidRPr="00A50E4D">
        <w:rPr>
          <w:lang w:val="en-US"/>
        </w:rPr>
        <w:t>encourage</w:t>
      </w:r>
      <w:r w:rsidRPr="00A50E4D">
        <w:rPr>
          <w:lang w:val="en-US"/>
        </w:rPr>
        <w:t xml:space="preserve"> agents of justice to perform their tasks with the highest quality and excellence, but not to sanction them.” </w:t>
      </w:r>
    </w:p>
    <w:p w14:paraId="31EE4BA6" w14:textId="77777777" w:rsidR="007C30AF" w:rsidRPr="00A50E4D" w:rsidRDefault="007C30AF" w:rsidP="007C30AF">
      <w:pPr>
        <w:pStyle w:val="ListParagraph"/>
        <w:numPr>
          <w:ilvl w:val="0"/>
          <w:numId w:val="0"/>
        </w:numPr>
        <w:tabs>
          <w:tab w:val="left" w:pos="0"/>
          <w:tab w:val="left" w:pos="426"/>
          <w:tab w:val="left" w:pos="567"/>
        </w:tabs>
        <w:rPr>
          <w:spacing w:val="-4"/>
          <w:lang w:val="en-US"/>
        </w:rPr>
      </w:pPr>
    </w:p>
    <w:p w14:paraId="53D8555D" w14:textId="4E311D08" w:rsidR="007E14CE" w:rsidRPr="00A50E4D" w:rsidRDefault="009808C5" w:rsidP="007C30AF">
      <w:pPr>
        <w:pStyle w:val="PrrafodeSentencia"/>
        <w:rPr>
          <w:lang w:val="en-US"/>
        </w:rPr>
      </w:pPr>
      <w:r w:rsidRPr="00A50E4D">
        <w:rPr>
          <w:iCs/>
          <w:lang w:val="en-US"/>
        </w:rPr>
        <w:t>The State</w:t>
      </w:r>
      <w:r w:rsidR="007C30AF" w:rsidRPr="00A50E4D">
        <w:rPr>
          <w:lang w:val="en-US"/>
        </w:rPr>
        <w:t xml:space="preserve"> </w:t>
      </w:r>
      <w:r w:rsidR="007E14CE" w:rsidRPr="00A50E4D">
        <w:rPr>
          <w:lang w:val="en-US"/>
        </w:rPr>
        <w:t xml:space="preserve">did not refer to specific elements of this aspect, but mentioned, in general, that “in the spirit </w:t>
      </w:r>
      <w:r w:rsidRPr="00A50E4D">
        <w:rPr>
          <w:lang w:val="en-US"/>
        </w:rPr>
        <w:t>of the Convention</w:t>
      </w:r>
      <w:r w:rsidR="007C30AF" w:rsidRPr="00A50E4D">
        <w:rPr>
          <w:lang w:val="en-US"/>
        </w:rPr>
        <w:t xml:space="preserve">, </w:t>
      </w:r>
      <w:r w:rsidR="007E14CE" w:rsidRPr="00A50E4D">
        <w:rPr>
          <w:lang w:val="en-US"/>
        </w:rPr>
        <w:t>[the</w:t>
      </w:r>
      <w:r w:rsidR="007C30AF" w:rsidRPr="00A50E4D">
        <w:rPr>
          <w:lang w:val="en-US"/>
        </w:rPr>
        <w:t xml:space="preserve"> </w:t>
      </w:r>
      <w:r w:rsidR="00371BB7" w:rsidRPr="00A50E4D">
        <w:rPr>
          <w:lang w:val="en-US"/>
        </w:rPr>
        <w:t xml:space="preserve">principle of </w:t>
      </w:r>
      <w:r w:rsidR="007E14CE" w:rsidRPr="00A50E4D">
        <w:rPr>
          <w:lang w:val="en-US"/>
        </w:rPr>
        <w:t>legality</w:t>
      </w:r>
      <w:r w:rsidR="007C30AF" w:rsidRPr="00A50E4D">
        <w:rPr>
          <w:lang w:val="en-US"/>
        </w:rPr>
        <w:t xml:space="preserve">] </w:t>
      </w:r>
      <w:r w:rsidR="00D63B23" w:rsidRPr="00A50E4D">
        <w:rPr>
          <w:lang w:val="en-US"/>
        </w:rPr>
        <w:t>should be understood as the principle under</w:t>
      </w:r>
      <w:r w:rsidR="007E14CE" w:rsidRPr="00A50E4D">
        <w:rPr>
          <w:lang w:val="en-US"/>
        </w:rPr>
        <w:t xml:space="preserve"> which legal norms of a general nature [will] be created pursuant to the procedures and by the organs established in the Constitution of each State Party and, all the public authorities must adapt their conduct strictly to the Constitution.” It added that “in a democratic society, the principle of legality is bound inseparably to that of legitimacy, according to the international standard recognized as the basis of the Convention itself relating to the effective exercise of representative democracy, that translates into election by the people of the</w:t>
      </w:r>
      <w:r w:rsidR="00D63B23" w:rsidRPr="00A50E4D">
        <w:rPr>
          <w:lang w:val="en-US"/>
        </w:rPr>
        <w:t xml:space="preserve"> bodies</w:t>
      </w:r>
      <w:r w:rsidR="007E14CE" w:rsidRPr="00A50E4D">
        <w:rPr>
          <w:lang w:val="en-US"/>
        </w:rPr>
        <w:t xml:space="preserve"> that create laws, respect for the participation of the citizenry, and attainment of the common good.” Thus, it concluded th</w:t>
      </w:r>
      <w:r w:rsidR="00D63B23" w:rsidRPr="00A50E4D">
        <w:rPr>
          <w:lang w:val="en-US"/>
        </w:rPr>
        <w:t>at “only the law adopted by bodies</w:t>
      </w:r>
      <w:r w:rsidR="007E14CE" w:rsidRPr="00A50E4D">
        <w:rPr>
          <w:lang w:val="en-US"/>
        </w:rPr>
        <w:t xml:space="preserve"> that have been democratically elected and authorized by the Constitution, </w:t>
      </w:r>
      <w:r w:rsidR="00D63B23" w:rsidRPr="00A50E4D">
        <w:rPr>
          <w:lang w:val="en-US"/>
        </w:rPr>
        <w:t>and designed to achieve</w:t>
      </w:r>
      <w:r w:rsidR="007E14CE" w:rsidRPr="00A50E4D">
        <w:rPr>
          <w:lang w:val="en-US"/>
        </w:rPr>
        <w:t xml:space="preserve"> the common good, can restrict the enjoyment and exercise of the rights and freedoms of the individual.”</w:t>
      </w:r>
    </w:p>
    <w:p w14:paraId="2805F02D" w14:textId="77777777" w:rsidR="007C30AF" w:rsidRPr="00A50E4D" w:rsidRDefault="007C30AF" w:rsidP="007C30AF">
      <w:pPr>
        <w:pStyle w:val="ListParagraph"/>
        <w:numPr>
          <w:ilvl w:val="0"/>
          <w:numId w:val="0"/>
        </w:numPr>
        <w:tabs>
          <w:tab w:val="left" w:pos="426"/>
        </w:tabs>
        <w:rPr>
          <w:spacing w:val="-4"/>
          <w:lang w:val="en-US"/>
        </w:rPr>
      </w:pPr>
    </w:p>
    <w:p w14:paraId="06DBB04A" w14:textId="469385E4" w:rsidR="007C30AF" w:rsidRPr="00A50E4D" w:rsidRDefault="007C30AF" w:rsidP="007C30AF">
      <w:pPr>
        <w:pStyle w:val="Heading2"/>
        <w:rPr>
          <w:rFonts w:eastAsiaTheme="minorHAnsi"/>
          <w:spacing w:val="-4"/>
          <w:lang w:val="en-US"/>
        </w:rPr>
      </w:pPr>
      <w:bookmarkStart w:id="368" w:name="_Toc427932813"/>
      <w:bookmarkStart w:id="369" w:name="_Toc431584662"/>
      <w:bookmarkStart w:id="370" w:name="_Toc471717296"/>
      <w:bookmarkStart w:id="371" w:name="_Toc424834717"/>
      <w:bookmarkStart w:id="372" w:name="_Toc424834771"/>
      <w:r w:rsidRPr="00A50E4D">
        <w:rPr>
          <w:spacing w:val="-4"/>
          <w:lang w:val="en-US"/>
        </w:rPr>
        <w:t xml:space="preserve">B. </w:t>
      </w:r>
      <w:r w:rsidR="001D6DF6" w:rsidRPr="00A50E4D">
        <w:rPr>
          <w:spacing w:val="-4"/>
          <w:lang w:val="en-US"/>
        </w:rPr>
        <w:t>Considerations</w:t>
      </w:r>
      <w:r w:rsidR="009808C5" w:rsidRPr="00A50E4D">
        <w:rPr>
          <w:spacing w:val="-4"/>
          <w:lang w:val="en-US"/>
        </w:rPr>
        <w:t xml:space="preserve"> of the Court</w:t>
      </w:r>
      <w:bookmarkEnd w:id="368"/>
      <w:bookmarkEnd w:id="369"/>
      <w:bookmarkEnd w:id="370"/>
      <w:r w:rsidRPr="00A50E4D">
        <w:rPr>
          <w:rFonts w:eastAsiaTheme="minorHAnsi"/>
          <w:spacing w:val="-4"/>
          <w:lang w:val="en-US"/>
        </w:rPr>
        <w:t xml:space="preserve"> </w:t>
      </w:r>
      <w:bookmarkEnd w:id="371"/>
      <w:bookmarkEnd w:id="372"/>
    </w:p>
    <w:p w14:paraId="3506B45E" w14:textId="77777777" w:rsidR="007C30AF" w:rsidRPr="00A50E4D" w:rsidRDefault="007C30AF" w:rsidP="007C30AF">
      <w:pPr>
        <w:rPr>
          <w:spacing w:val="-4"/>
          <w:lang w:val="en-US"/>
        </w:rPr>
      </w:pPr>
    </w:p>
    <w:p w14:paraId="5D423770" w14:textId="215D5F9E" w:rsidR="007C30AF" w:rsidRPr="00A50E4D" w:rsidRDefault="009808C5" w:rsidP="00A45832">
      <w:pPr>
        <w:pStyle w:val="PrrafodeSentencia"/>
        <w:rPr>
          <w:b/>
          <w:lang w:val="en-US"/>
        </w:rPr>
      </w:pPr>
      <w:bookmarkStart w:id="373" w:name="_Ref431643881"/>
      <w:r w:rsidRPr="00A50E4D">
        <w:rPr>
          <w:lang w:val="en-US"/>
        </w:rPr>
        <w:t>The Court</w:t>
      </w:r>
      <w:r w:rsidR="007C30AF" w:rsidRPr="00A50E4D">
        <w:rPr>
          <w:lang w:val="en-US"/>
        </w:rPr>
        <w:t xml:space="preserve"> ha</w:t>
      </w:r>
      <w:r w:rsidR="007E14CE" w:rsidRPr="00A50E4D">
        <w:rPr>
          <w:lang w:val="en-US"/>
        </w:rPr>
        <w:t>s</w:t>
      </w:r>
      <w:r w:rsidR="007C30AF" w:rsidRPr="00A50E4D">
        <w:rPr>
          <w:lang w:val="en-US"/>
        </w:rPr>
        <w:t xml:space="preserve"> establ</w:t>
      </w:r>
      <w:r w:rsidR="007E14CE" w:rsidRPr="00A50E4D">
        <w:rPr>
          <w:lang w:val="en-US"/>
        </w:rPr>
        <w:t xml:space="preserve">ished that </w:t>
      </w:r>
      <w:r w:rsidRPr="00A50E4D">
        <w:rPr>
          <w:lang w:val="en-US"/>
        </w:rPr>
        <w:t>Article</w:t>
      </w:r>
      <w:r w:rsidR="007C30AF" w:rsidRPr="00A50E4D">
        <w:rPr>
          <w:lang w:val="en-US"/>
        </w:rPr>
        <w:t xml:space="preserve"> 9</w:t>
      </w:r>
      <w:r w:rsidRPr="00A50E4D">
        <w:rPr>
          <w:lang w:val="en-US"/>
        </w:rPr>
        <w:t xml:space="preserve"> of the American Convention</w:t>
      </w:r>
      <w:r w:rsidR="007C30AF" w:rsidRPr="00A50E4D">
        <w:rPr>
          <w:lang w:val="en-US"/>
        </w:rPr>
        <w:t xml:space="preserve">, </w:t>
      </w:r>
      <w:r w:rsidR="007E14CE" w:rsidRPr="00A50E4D">
        <w:rPr>
          <w:lang w:val="en-US"/>
        </w:rPr>
        <w:t>which</w:t>
      </w:r>
      <w:r w:rsidR="007C30AF" w:rsidRPr="00A50E4D">
        <w:rPr>
          <w:lang w:val="en-US"/>
        </w:rPr>
        <w:t xml:space="preserve"> </w:t>
      </w:r>
      <w:r w:rsidR="00EA5E90" w:rsidRPr="00A50E4D">
        <w:rPr>
          <w:lang w:val="en-US"/>
        </w:rPr>
        <w:t>establishes</w:t>
      </w:r>
      <w:r w:rsidR="007C30AF" w:rsidRPr="00A50E4D">
        <w:rPr>
          <w:lang w:val="en-US"/>
        </w:rPr>
        <w:t xml:space="preserve"> </w:t>
      </w:r>
      <w:r w:rsidR="007E14CE" w:rsidRPr="00A50E4D">
        <w:rPr>
          <w:lang w:val="en-US"/>
        </w:rPr>
        <w:t xml:space="preserve">the </w:t>
      </w:r>
      <w:r w:rsidR="00371BB7" w:rsidRPr="00A50E4D">
        <w:rPr>
          <w:lang w:val="en-US"/>
        </w:rPr>
        <w:t xml:space="preserve">principle of </w:t>
      </w:r>
      <w:r w:rsidR="007E14CE" w:rsidRPr="00A50E4D">
        <w:rPr>
          <w:lang w:val="en-US"/>
        </w:rPr>
        <w:t>legality</w:t>
      </w:r>
      <w:r w:rsidR="007C30AF" w:rsidRPr="00A50E4D">
        <w:rPr>
          <w:lang w:val="en-US"/>
        </w:rPr>
        <w:t xml:space="preserve">, </w:t>
      </w:r>
      <w:r w:rsidR="007E14CE" w:rsidRPr="00A50E4D">
        <w:rPr>
          <w:lang w:val="en-US"/>
        </w:rPr>
        <w:t>is applicable to matters pertaining to administrative sanctions.</w:t>
      </w:r>
      <w:r w:rsidR="007C30AF" w:rsidRPr="00A50E4D">
        <w:rPr>
          <w:vertAlign w:val="superscript"/>
          <w:lang w:val="en-US"/>
        </w:rPr>
        <w:footnoteReference w:id="425"/>
      </w:r>
      <w:r w:rsidR="007E14CE" w:rsidRPr="00A50E4D">
        <w:rPr>
          <w:lang w:val="en-US"/>
        </w:rPr>
        <w:t xml:space="preserve"> In this regard, it </w:t>
      </w:r>
      <w:r w:rsidR="00657841" w:rsidRPr="00A50E4D">
        <w:rPr>
          <w:lang w:val="en-US"/>
        </w:rPr>
        <w:t xml:space="preserve">should be recalled </w:t>
      </w:r>
      <w:r w:rsidR="007E14CE" w:rsidRPr="00A50E4D">
        <w:rPr>
          <w:lang w:val="en-US"/>
        </w:rPr>
        <w:t>that, administrative sanctions</w:t>
      </w:r>
      <w:r w:rsidR="00A45832" w:rsidRPr="00A50E4D">
        <w:rPr>
          <w:lang w:val="en-US"/>
        </w:rPr>
        <w:t>, like criminal sanctions,</w:t>
      </w:r>
      <w:r w:rsidR="007E14CE" w:rsidRPr="00A50E4D">
        <w:rPr>
          <w:lang w:val="en-US"/>
        </w:rPr>
        <w:t xml:space="preserve"> are an expression of the punitive powers of the State and, at times, </w:t>
      </w:r>
      <w:r w:rsidR="00A45832" w:rsidRPr="00A50E4D">
        <w:rPr>
          <w:lang w:val="en-US"/>
        </w:rPr>
        <w:t xml:space="preserve">they are of a similar nature to criminal sanctions because both </w:t>
      </w:r>
      <w:r w:rsidR="00657841" w:rsidRPr="00A50E4D">
        <w:rPr>
          <w:lang w:val="en-US"/>
        </w:rPr>
        <w:t xml:space="preserve">of them </w:t>
      </w:r>
      <w:r w:rsidR="00A45832" w:rsidRPr="00A50E4D">
        <w:rPr>
          <w:lang w:val="en-US"/>
        </w:rPr>
        <w:t>entail impairment, deprivation or alteration of human rights. Consequently, in a democratic system, it is necessary to take special care to ensure that such measures are adopted strictly respecting the basic rights of the individual and following a careful verification of the effective existence of a wrongful conduct. Furthermore, in the interest of legal certainty, it is essential that the norm establishing the sancti</w:t>
      </w:r>
      <w:r w:rsidR="00657841" w:rsidRPr="00A50E4D">
        <w:rPr>
          <w:lang w:val="en-US"/>
        </w:rPr>
        <w:t>on exists and is known</w:t>
      </w:r>
      <w:r w:rsidR="00A45832" w:rsidRPr="00A50E4D">
        <w:rPr>
          <w:lang w:val="en-US"/>
        </w:rPr>
        <w:t xml:space="preserve"> or can be known, before the act or omission occurs that violates it and that it is sought to sanction. Accordingly, the Court considers that the </w:t>
      </w:r>
      <w:r w:rsidR="00371BB7" w:rsidRPr="00A50E4D">
        <w:rPr>
          <w:szCs w:val="20"/>
          <w:lang w:val="en-US"/>
        </w:rPr>
        <w:t xml:space="preserve">principle of </w:t>
      </w:r>
      <w:r w:rsidR="007E14CE" w:rsidRPr="00A50E4D">
        <w:rPr>
          <w:szCs w:val="20"/>
          <w:lang w:val="en-US"/>
        </w:rPr>
        <w:t>legality</w:t>
      </w:r>
      <w:r w:rsidR="007C30AF" w:rsidRPr="00A50E4D">
        <w:rPr>
          <w:szCs w:val="20"/>
          <w:lang w:val="en-US"/>
        </w:rPr>
        <w:t xml:space="preserve"> </w:t>
      </w:r>
      <w:r w:rsidR="00A45832" w:rsidRPr="00A50E4D">
        <w:rPr>
          <w:szCs w:val="20"/>
          <w:lang w:val="en-US"/>
        </w:rPr>
        <w:t xml:space="preserve">also applies to disciplinary matters, even though </w:t>
      </w:r>
      <w:r w:rsidR="000A786A" w:rsidRPr="00A50E4D">
        <w:rPr>
          <w:szCs w:val="20"/>
          <w:lang w:val="en-US"/>
        </w:rPr>
        <w:t>its</w:t>
      </w:r>
      <w:r w:rsidR="00A45832" w:rsidRPr="00A50E4D">
        <w:rPr>
          <w:szCs w:val="20"/>
          <w:lang w:val="en-US"/>
        </w:rPr>
        <w:t xml:space="preserve"> scope depends greatly on the matter regulated.</w:t>
      </w:r>
      <w:r w:rsidR="007C30AF" w:rsidRPr="00A50E4D">
        <w:rPr>
          <w:rStyle w:val="FootnoteReference"/>
          <w:sz w:val="20"/>
          <w:szCs w:val="20"/>
          <w:lang w:val="en-US"/>
        </w:rPr>
        <w:footnoteReference w:id="426"/>
      </w:r>
      <w:r w:rsidR="00A45832" w:rsidRPr="00A50E4D">
        <w:rPr>
          <w:szCs w:val="20"/>
          <w:lang w:val="en-US"/>
        </w:rPr>
        <w:t xml:space="preserve"> The precision of a norm establishing a sanction of a disciplinary nature may be different from that required by the </w:t>
      </w:r>
      <w:r w:rsidR="00371BB7" w:rsidRPr="00A50E4D">
        <w:rPr>
          <w:lang w:val="en-US"/>
        </w:rPr>
        <w:t xml:space="preserve">principle of </w:t>
      </w:r>
      <w:r w:rsidR="007E14CE" w:rsidRPr="00A50E4D">
        <w:rPr>
          <w:lang w:val="en-US"/>
        </w:rPr>
        <w:t>legality</w:t>
      </w:r>
      <w:r w:rsidR="007C30AF" w:rsidRPr="00A50E4D">
        <w:rPr>
          <w:lang w:val="en-US"/>
        </w:rPr>
        <w:t xml:space="preserve"> </w:t>
      </w:r>
      <w:r w:rsidR="00A45832" w:rsidRPr="00A50E4D">
        <w:rPr>
          <w:lang w:val="en-US"/>
        </w:rPr>
        <w:t>in a criminal matter, owing to the nature of the disputes that each one is designed to resolve.</w:t>
      </w:r>
      <w:bookmarkEnd w:id="373"/>
    </w:p>
    <w:p w14:paraId="5055B3DB" w14:textId="77777777" w:rsidR="007C30AF" w:rsidRPr="00A50E4D" w:rsidRDefault="007C30AF" w:rsidP="007C30AF">
      <w:pPr>
        <w:pStyle w:val="PrrafodeSentencia"/>
        <w:numPr>
          <w:ilvl w:val="0"/>
          <w:numId w:val="0"/>
        </w:numPr>
        <w:rPr>
          <w:lang w:val="en-US"/>
        </w:rPr>
      </w:pPr>
    </w:p>
    <w:p w14:paraId="02E1AF2E" w14:textId="585B40BA" w:rsidR="007C30AF" w:rsidRPr="00A50E4D" w:rsidRDefault="00A45832" w:rsidP="00657841">
      <w:pPr>
        <w:pStyle w:val="PrrafodeSentencia"/>
        <w:rPr>
          <w:szCs w:val="20"/>
          <w:lang w:val="en-US"/>
        </w:rPr>
      </w:pPr>
      <w:r w:rsidRPr="00A50E4D">
        <w:rPr>
          <w:lang w:val="en-US"/>
        </w:rPr>
        <w:t xml:space="preserve">In this case, it is clear that </w:t>
      </w:r>
      <w:r w:rsidR="00277E12" w:rsidRPr="00A50E4D">
        <w:rPr>
          <w:lang w:val="en-US"/>
        </w:rPr>
        <w:t>the disciplinary proceedings</w:t>
      </w:r>
      <w:r w:rsidR="007C30AF" w:rsidRPr="00A50E4D">
        <w:rPr>
          <w:lang w:val="en-US"/>
        </w:rPr>
        <w:t xml:space="preserve"> </w:t>
      </w:r>
      <w:r w:rsidRPr="00A50E4D">
        <w:rPr>
          <w:lang w:val="en-US"/>
        </w:rPr>
        <w:t xml:space="preserve">were of a </w:t>
      </w:r>
      <w:r w:rsidR="00F44E69" w:rsidRPr="00A50E4D">
        <w:rPr>
          <w:lang w:val="en-US"/>
        </w:rPr>
        <w:t>punitive</w:t>
      </w:r>
      <w:r w:rsidRPr="00A50E4D">
        <w:rPr>
          <w:lang w:val="en-US"/>
        </w:rPr>
        <w:t xml:space="preserve"> nature; thus, the guarantees under </w:t>
      </w:r>
      <w:r w:rsidR="0048601C" w:rsidRPr="00A50E4D">
        <w:rPr>
          <w:szCs w:val="20"/>
          <w:lang w:val="en-US"/>
        </w:rPr>
        <w:t>Article</w:t>
      </w:r>
      <w:r w:rsidR="007C30AF" w:rsidRPr="00A50E4D">
        <w:rPr>
          <w:szCs w:val="20"/>
          <w:lang w:val="en-US"/>
        </w:rPr>
        <w:t xml:space="preserve"> 9</w:t>
      </w:r>
      <w:r w:rsidR="009808C5" w:rsidRPr="00A50E4D">
        <w:rPr>
          <w:szCs w:val="20"/>
          <w:lang w:val="en-US"/>
        </w:rPr>
        <w:t xml:space="preserve"> of the Convention</w:t>
      </w:r>
      <w:r w:rsidRPr="00A50E4D">
        <w:rPr>
          <w:szCs w:val="20"/>
          <w:lang w:val="en-US"/>
        </w:rPr>
        <w:t xml:space="preserve"> apply.</w:t>
      </w:r>
      <w:r w:rsidR="007C30AF" w:rsidRPr="00A50E4D">
        <w:rPr>
          <w:rStyle w:val="FootnoteReference"/>
          <w:sz w:val="20"/>
          <w:szCs w:val="20"/>
          <w:lang w:val="en-US"/>
        </w:rPr>
        <w:footnoteReference w:id="427"/>
      </w:r>
      <w:r w:rsidRPr="00A50E4D">
        <w:rPr>
          <w:szCs w:val="20"/>
          <w:lang w:val="en-US"/>
        </w:rPr>
        <w:t xml:space="preserve"> Based on the </w:t>
      </w:r>
      <w:r w:rsidR="00E84FC7" w:rsidRPr="00A50E4D">
        <w:rPr>
          <w:szCs w:val="20"/>
          <w:lang w:val="en-US"/>
        </w:rPr>
        <w:t>arguments</w:t>
      </w:r>
      <w:r w:rsidR="007C30AF" w:rsidRPr="00A50E4D">
        <w:rPr>
          <w:szCs w:val="20"/>
          <w:lang w:val="en-US"/>
        </w:rPr>
        <w:t xml:space="preserve"> </w:t>
      </w:r>
      <w:r w:rsidR="002A0C68" w:rsidRPr="00A50E4D">
        <w:rPr>
          <w:szCs w:val="20"/>
          <w:lang w:val="en-US"/>
        </w:rPr>
        <w:t>of the parties</w:t>
      </w:r>
      <w:r w:rsidR="009808C5" w:rsidRPr="00A50E4D">
        <w:rPr>
          <w:szCs w:val="20"/>
          <w:lang w:val="en-US"/>
        </w:rPr>
        <w:t xml:space="preserve"> and of the Commission</w:t>
      </w:r>
      <w:r w:rsidR="007C30AF" w:rsidRPr="00A50E4D">
        <w:rPr>
          <w:szCs w:val="20"/>
          <w:lang w:val="en-US"/>
        </w:rPr>
        <w:t xml:space="preserve">, </w:t>
      </w:r>
      <w:r w:rsidR="009808C5" w:rsidRPr="00A50E4D">
        <w:rPr>
          <w:szCs w:val="20"/>
          <w:lang w:val="en-US"/>
        </w:rPr>
        <w:t>the Court</w:t>
      </w:r>
      <w:r w:rsidR="007C30AF" w:rsidRPr="00A50E4D">
        <w:rPr>
          <w:szCs w:val="20"/>
          <w:lang w:val="en-US"/>
        </w:rPr>
        <w:t xml:space="preserve"> </w:t>
      </w:r>
      <w:r w:rsidRPr="00A50E4D">
        <w:rPr>
          <w:szCs w:val="20"/>
          <w:lang w:val="en-US"/>
        </w:rPr>
        <w:t xml:space="preserve">will examine the </w:t>
      </w:r>
      <w:r w:rsidR="00371BB7" w:rsidRPr="00A50E4D">
        <w:rPr>
          <w:szCs w:val="20"/>
          <w:lang w:val="en-US"/>
        </w:rPr>
        <w:t xml:space="preserve">principle of </w:t>
      </w:r>
      <w:r w:rsidR="007E14CE" w:rsidRPr="00A50E4D">
        <w:rPr>
          <w:szCs w:val="20"/>
          <w:lang w:val="en-US"/>
        </w:rPr>
        <w:t>legality</w:t>
      </w:r>
      <w:r w:rsidR="007C30AF" w:rsidRPr="00A50E4D">
        <w:rPr>
          <w:szCs w:val="20"/>
          <w:lang w:val="en-US"/>
        </w:rPr>
        <w:t xml:space="preserve"> </w:t>
      </w:r>
      <w:r w:rsidRPr="00A50E4D">
        <w:rPr>
          <w:szCs w:val="20"/>
          <w:lang w:val="en-US"/>
        </w:rPr>
        <w:t>with regard to:</w:t>
      </w:r>
      <w:r w:rsidR="007C30AF" w:rsidRPr="00A50E4D">
        <w:rPr>
          <w:szCs w:val="20"/>
          <w:lang w:val="en-US"/>
        </w:rPr>
        <w:t xml:space="preserve"> (i) </w:t>
      </w:r>
      <w:r w:rsidRPr="00A50E4D">
        <w:rPr>
          <w:szCs w:val="20"/>
          <w:lang w:val="en-US"/>
        </w:rPr>
        <w:t xml:space="preserve">the sanctions imposed on </w:t>
      </w:r>
      <w:r w:rsidR="00371BB7" w:rsidRPr="00A50E4D">
        <w:rPr>
          <w:szCs w:val="20"/>
          <w:lang w:val="en-US"/>
        </w:rPr>
        <w:t>the presumed victims</w:t>
      </w:r>
      <w:r w:rsidRPr="00A50E4D">
        <w:rPr>
          <w:szCs w:val="20"/>
          <w:lang w:val="en-US"/>
        </w:rPr>
        <w:t>,</w:t>
      </w:r>
      <w:r w:rsidR="009808C5" w:rsidRPr="00A50E4D">
        <w:rPr>
          <w:szCs w:val="20"/>
          <w:lang w:val="en-US"/>
        </w:rPr>
        <w:t xml:space="preserve"> and </w:t>
      </w:r>
      <w:r w:rsidR="007C30AF" w:rsidRPr="00A50E4D">
        <w:rPr>
          <w:szCs w:val="20"/>
          <w:lang w:val="en-US"/>
        </w:rPr>
        <w:t xml:space="preserve">(ii) </w:t>
      </w:r>
      <w:r w:rsidRPr="00A50E4D">
        <w:rPr>
          <w:szCs w:val="20"/>
          <w:lang w:val="en-US"/>
        </w:rPr>
        <w:t xml:space="preserve">punishable conducts in the disciplinary norms of </w:t>
      </w:r>
      <w:r w:rsidR="00700DEC" w:rsidRPr="00A50E4D">
        <w:rPr>
          <w:szCs w:val="20"/>
          <w:lang w:val="en-US"/>
        </w:rPr>
        <w:t>Honduras</w:t>
      </w:r>
      <w:r w:rsidR="007C30AF" w:rsidRPr="00A50E4D">
        <w:rPr>
          <w:szCs w:val="20"/>
          <w:lang w:val="en-US"/>
        </w:rPr>
        <w:t xml:space="preserve">. </w:t>
      </w:r>
    </w:p>
    <w:p w14:paraId="270A2A4A" w14:textId="77777777" w:rsidR="007C30AF" w:rsidRPr="00A50E4D" w:rsidRDefault="007C30AF" w:rsidP="007C30AF">
      <w:pPr>
        <w:pStyle w:val="ListParagraph"/>
        <w:numPr>
          <w:ilvl w:val="0"/>
          <w:numId w:val="0"/>
        </w:numPr>
        <w:rPr>
          <w:spacing w:val="-4"/>
          <w:lang w:val="en-US"/>
        </w:rPr>
      </w:pPr>
    </w:p>
    <w:p w14:paraId="179EE394" w14:textId="07C50042" w:rsidR="00A45832" w:rsidRPr="00A50E4D" w:rsidRDefault="00A45832" w:rsidP="00D6773C">
      <w:pPr>
        <w:pStyle w:val="PrrafodeSentencia"/>
        <w:rPr>
          <w:lang w:val="en-US"/>
        </w:rPr>
      </w:pPr>
      <w:bookmarkStart w:id="374" w:name="_Ref427639972"/>
      <w:r w:rsidRPr="00A50E4D">
        <w:rPr>
          <w:lang w:val="en-US"/>
        </w:rPr>
        <w:lastRenderedPageBreak/>
        <w:t>Regarding the first aspect, the Court reiterates that the guarantee of tenure for judges requires that they may not be dismissed or removed from office</w:t>
      </w:r>
      <w:r w:rsidR="007C30AF" w:rsidRPr="00A50E4D">
        <w:rPr>
          <w:lang w:val="en-US"/>
        </w:rPr>
        <w:t xml:space="preserve">, </w:t>
      </w:r>
      <w:r w:rsidRPr="00A50E4D">
        <w:rPr>
          <w:lang w:val="en-US"/>
        </w:rPr>
        <w:t>unless they commit acts that are clearly punishable; in other words, based o</w:t>
      </w:r>
      <w:r w:rsidR="00F44E69" w:rsidRPr="00A50E4D">
        <w:rPr>
          <w:lang w:val="en-US"/>
        </w:rPr>
        <w:t>n the most serious grounds of mis</w:t>
      </w:r>
      <w:r w:rsidRPr="00A50E4D">
        <w:rPr>
          <w:lang w:val="en-US"/>
        </w:rPr>
        <w:t xml:space="preserve">conduct or incompetence </w:t>
      </w:r>
      <w:r w:rsidR="007C30AF" w:rsidRPr="00A50E4D">
        <w:rPr>
          <w:lang w:val="en-US"/>
        </w:rPr>
        <w:t>(</w:t>
      </w:r>
      <w:r w:rsidR="007C30AF" w:rsidRPr="00A50E4D">
        <w:rPr>
          <w:i/>
          <w:lang w:val="en-US"/>
        </w:rPr>
        <w:t>supra</w:t>
      </w:r>
      <w:r w:rsidR="007C30AF" w:rsidRPr="00A50E4D">
        <w:rPr>
          <w:lang w:val="en-US"/>
        </w:rPr>
        <w:t xml:space="preserve"> </w:t>
      </w:r>
      <w:r w:rsidR="00AD5EE7" w:rsidRPr="00A50E4D">
        <w:rPr>
          <w:lang w:val="en-US"/>
        </w:rPr>
        <w:t>paras.</w:t>
      </w:r>
      <w:r w:rsidR="007C30AF" w:rsidRPr="00A50E4D">
        <w:rPr>
          <w:lang w:val="en-US"/>
        </w:rPr>
        <w:t xml:space="preserve"> </w:t>
      </w:r>
      <w:r w:rsidR="007C30AF" w:rsidRPr="00914F55">
        <w:rPr>
          <w:b/>
          <w:lang w:val="en-US"/>
        </w:rPr>
        <w:fldChar w:fldCharType="begin"/>
      </w:r>
      <w:r w:rsidR="007C30AF" w:rsidRPr="00A50E4D">
        <w:rPr>
          <w:lang w:val="en-US"/>
        </w:rPr>
        <w:instrText xml:space="preserve"> REF _Ref427855519 \r \h </w:instrText>
      </w:r>
      <w:r w:rsidR="007C30AF" w:rsidRPr="00A50E4D">
        <w:rPr>
          <w:b/>
          <w:lang w:val="en-US"/>
        </w:rPr>
        <w:instrText xml:space="preserve"> \* MERGEFORMAT </w:instrText>
      </w:r>
      <w:r w:rsidR="007C30AF" w:rsidRPr="00914F55">
        <w:rPr>
          <w:b/>
          <w:lang w:val="en-US"/>
        </w:rPr>
      </w:r>
      <w:r w:rsidR="007C30AF" w:rsidRPr="00914F55">
        <w:rPr>
          <w:b/>
          <w:lang w:val="en-US"/>
        </w:rPr>
        <w:fldChar w:fldCharType="separate"/>
      </w:r>
      <w:r w:rsidR="00547588">
        <w:rPr>
          <w:lang w:val="en-US"/>
        </w:rPr>
        <w:t>196</w:t>
      </w:r>
      <w:r w:rsidR="007C30AF" w:rsidRPr="00914F55">
        <w:rPr>
          <w:b/>
          <w:lang w:val="en-US"/>
        </w:rPr>
        <w:fldChar w:fldCharType="end"/>
      </w:r>
      <w:r w:rsidR="007C30AF" w:rsidRPr="00A50E4D">
        <w:rPr>
          <w:lang w:val="en-US"/>
        </w:rPr>
        <w:t xml:space="preserve">, </w:t>
      </w:r>
      <w:r w:rsidR="007C30AF" w:rsidRPr="00914F55">
        <w:rPr>
          <w:lang w:val="en-US"/>
        </w:rPr>
        <w:fldChar w:fldCharType="begin"/>
      </w:r>
      <w:r w:rsidR="007C30AF" w:rsidRPr="00A50E4D">
        <w:rPr>
          <w:lang w:val="en-US"/>
        </w:rPr>
        <w:instrText xml:space="preserve"> REF _Ref427855558 \r \h  \* MERGEFORMAT </w:instrText>
      </w:r>
      <w:r w:rsidR="007C30AF" w:rsidRPr="00914F55">
        <w:rPr>
          <w:lang w:val="en-US"/>
        </w:rPr>
      </w:r>
      <w:r w:rsidR="007C30AF" w:rsidRPr="00914F55">
        <w:rPr>
          <w:lang w:val="en-US"/>
        </w:rPr>
        <w:fldChar w:fldCharType="separate"/>
      </w:r>
      <w:r w:rsidR="00547588">
        <w:rPr>
          <w:lang w:val="en-US"/>
        </w:rPr>
        <w:t>198</w:t>
      </w:r>
      <w:r w:rsidR="007C30AF" w:rsidRPr="00914F55">
        <w:rPr>
          <w:lang w:val="en-US"/>
        </w:rPr>
        <w:fldChar w:fldCharType="end"/>
      </w:r>
      <w:r w:rsidR="009808C5" w:rsidRPr="00A50E4D">
        <w:rPr>
          <w:lang w:val="en-US"/>
        </w:rPr>
        <w:t xml:space="preserve"> and </w:t>
      </w:r>
      <w:r w:rsidR="007C30AF" w:rsidRPr="00914F55">
        <w:rPr>
          <w:lang w:val="en-US"/>
        </w:rPr>
        <w:fldChar w:fldCharType="begin"/>
      </w:r>
      <w:r w:rsidR="007C30AF" w:rsidRPr="00A50E4D">
        <w:rPr>
          <w:lang w:val="en-US"/>
        </w:rPr>
        <w:instrText xml:space="preserve"> REF _Ref427855587 \r \h  \* MERGEFORMAT </w:instrText>
      </w:r>
      <w:r w:rsidR="007C30AF" w:rsidRPr="00914F55">
        <w:rPr>
          <w:lang w:val="en-US"/>
        </w:rPr>
      </w:r>
      <w:r w:rsidR="007C30AF" w:rsidRPr="00914F55">
        <w:rPr>
          <w:lang w:val="en-US"/>
        </w:rPr>
        <w:fldChar w:fldCharType="separate"/>
      </w:r>
      <w:r w:rsidR="00547588">
        <w:rPr>
          <w:lang w:val="en-US"/>
        </w:rPr>
        <w:t>199</w:t>
      </w:r>
      <w:r w:rsidR="007C30AF" w:rsidRPr="00914F55">
        <w:rPr>
          <w:lang w:val="en-US"/>
        </w:rPr>
        <w:fldChar w:fldCharType="end"/>
      </w:r>
      <w:r w:rsidR="007C30AF" w:rsidRPr="00A50E4D">
        <w:rPr>
          <w:lang w:val="en-US"/>
        </w:rPr>
        <w:t xml:space="preserve">). </w:t>
      </w:r>
      <w:r w:rsidRPr="00A50E4D">
        <w:rPr>
          <w:lang w:val="en-US"/>
        </w:rPr>
        <w:t xml:space="preserve">Therefore, the Court considers that, based on the guarantee of judicial tenure, the </w:t>
      </w:r>
      <w:r w:rsidR="00F44E69" w:rsidRPr="00A50E4D">
        <w:rPr>
          <w:lang w:val="en-US"/>
        </w:rPr>
        <w:t>grounds for removing</w:t>
      </w:r>
      <w:r w:rsidRPr="00A50E4D">
        <w:rPr>
          <w:lang w:val="en-US"/>
        </w:rPr>
        <w:t xml:space="preserve"> judges from their posts must be clear and established by law. Taking into account that dismissal or removal from office is the most restrictive and severe disciplinary measure that can be adopted, the possibility of its application must be predictable, either because the punishable conduct is</w:t>
      </w:r>
      <w:r w:rsidR="00F44E69" w:rsidRPr="00A50E4D">
        <w:rPr>
          <w:lang w:val="en-US"/>
        </w:rPr>
        <w:t xml:space="preserve"> expressly and clearly established, </w:t>
      </w:r>
      <w:r w:rsidRPr="00A50E4D">
        <w:rPr>
          <w:lang w:val="en-US"/>
        </w:rPr>
        <w:t xml:space="preserve">precisely, </w:t>
      </w:r>
      <w:r w:rsidR="00A00EF8" w:rsidRPr="00A50E4D">
        <w:rPr>
          <w:lang w:val="en-US"/>
        </w:rPr>
        <w:t xml:space="preserve">clearly and </w:t>
      </w:r>
      <w:r w:rsidR="00F44E69" w:rsidRPr="00A50E4D">
        <w:rPr>
          <w:lang w:val="en-US"/>
        </w:rPr>
        <w:t xml:space="preserve">previously, </w:t>
      </w:r>
      <w:r w:rsidR="00A00EF8" w:rsidRPr="00A50E4D">
        <w:rPr>
          <w:lang w:val="en-US"/>
        </w:rPr>
        <w:t xml:space="preserve">by law, or because the law delegates its </w:t>
      </w:r>
      <w:r w:rsidR="00F44E69" w:rsidRPr="00A50E4D">
        <w:rPr>
          <w:lang w:val="en-US"/>
        </w:rPr>
        <w:t>imposition</w:t>
      </w:r>
      <w:r w:rsidR="00A00EF8" w:rsidRPr="00A50E4D">
        <w:rPr>
          <w:lang w:val="en-US"/>
        </w:rPr>
        <w:t xml:space="preserve"> to the judge or to an infra-legal norm, under objective criteria that limit the scope of discretion. Moreover, the possibility of dismissal must abide by the above-mentioned principle of extreme </w:t>
      </w:r>
      <w:r w:rsidR="00F44E69" w:rsidRPr="00A50E4D">
        <w:rPr>
          <w:lang w:val="en-US"/>
        </w:rPr>
        <w:t>gravity</w:t>
      </w:r>
      <w:r w:rsidR="00A00EF8" w:rsidRPr="00A50E4D">
        <w:rPr>
          <w:lang w:val="en-US"/>
        </w:rPr>
        <w:t xml:space="preserve">. Indeed, the protection of judicial independence requires that the dismissal of judges be considered as the </w:t>
      </w:r>
      <w:r w:rsidR="00A00EF8" w:rsidRPr="00A50E4D">
        <w:rPr>
          <w:i/>
          <w:iCs/>
          <w:color w:val="000000"/>
          <w:szCs w:val="20"/>
          <w:lang w:val="en-US"/>
        </w:rPr>
        <w:t xml:space="preserve">ultima ratio </w:t>
      </w:r>
      <w:r w:rsidR="00A00EF8" w:rsidRPr="00A50E4D">
        <w:rPr>
          <w:iCs/>
          <w:color w:val="000000"/>
          <w:szCs w:val="20"/>
          <w:lang w:val="en-US"/>
        </w:rPr>
        <w:t>in judicial disciplinary matters.</w:t>
      </w:r>
    </w:p>
    <w:bookmarkEnd w:id="374"/>
    <w:p w14:paraId="7C3605DF" w14:textId="77777777" w:rsidR="007C30AF" w:rsidRPr="00A50E4D" w:rsidRDefault="007C30AF" w:rsidP="007C30AF">
      <w:pPr>
        <w:rPr>
          <w:spacing w:val="-4"/>
          <w:lang w:val="en-US"/>
        </w:rPr>
      </w:pPr>
    </w:p>
    <w:p w14:paraId="3F8C4967" w14:textId="2AC23772" w:rsidR="007C30AF" w:rsidRPr="00A50E4D" w:rsidRDefault="009808C5" w:rsidP="007C30AF">
      <w:pPr>
        <w:pStyle w:val="PrrafodeSentencia"/>
        <w:rPr>
          <w:lang w:val="en-US"/>
        </w:rPr>
      </w:pPr>
      <w:r w:rsidRPr="00A50E4D">
        <w:rPr>
          <w:lang w:val="en-US"/>
        </w:rPr>
        <w:t>The Court</w:t>
      </w:r>
      <w:r w:rsidR="007C30AF" w:rsidRPr="00A50E4D">
        <w:rPr>
          <w:lang w:val="en-US"/>
        </w:rPr>
        <w:t xml:space="preserve"> </w:t>
      </w:r>
      <w:r w:rsidR="00A00EF8" w:rsidRPr="00A50E4D">
        <w:rPr>
          <w:lang w:val="en-US"/>
        </w:rPr>
        <w:t>underlines that the principle of tenure for judges is established in the domestic law of Honduras. Thus, a</w:t>
      </w:r>
      <w:r w:rsidRPr="00A50E4D">
        <w:rPr>
          <w:lang w:val="en-US"/>
        </w:rPr>
        <w:t>rticle</w:t>
      </w:r>
      <w:r w:rsidR="007C30AF" w:rsidRPr="00A50E4D">
        <w:rPr>
          <w:lang w:val="en-US"/>
        </w:rPr>
        <w:t xml:space="preserve"> 51 </w:t>
      </w:r>
      <w:r w:rsidR="004D0F32" w:rsidRPr="00A50E4D">
        <w:rPr>
          <w:lang w:val="en-US"/>
        </w:rPr>
        <w:t>of the Judicial</w:t>
      </w:r>
      <w:r w:rsidR="00277E12" w:rsidRPr="00A50E4D">
        <w:rPr>
          <w:lang w:val="en-US"/>
        </w:rPr>
        <w:t xml:space="preserve"> Service Act</w:t>
      </w:r>
      <w:r w:rsidR="007C30AF" w:rsidRPr="00A50E4D">
        <w:rPr>
          <w:lang w:val="en-US"/>
        </w:rPr>
        <w:t xml:space="preserve"> </w:t>
      </w:r>
      <w:r w:rsidR="00A00EF8" w:rsidRPr="00A50E4D">
        <w:rPr>
          <w:lang w:val="en-US"/>
        </w:rPr>
        <w:t>stipulates that</w:t>
      </w:r>
      <w:r w:rsidR="007C30AF" w:rsidRPr="00A50E4D">
        <w:rPr>
          <w:lang w:val="en-US"/>
        </w:rPr>
        <w:t xml:space="preserve">: </w:t>
      </w:r>
    </w:p>
    <w:p w14:paraId="03E8C4F8" w14:textId="77777777" w:rsidR="007C30AF" w:rsidRPr="00A50E4D" w:rsidRDefault="007C30AF" w:rsidP="007C30AF">
      <w:pPr>
        <w:pStyle w:val="PrrafodeSentencia"/>
        <w:numPr>
          <w:ilvl w:val="0"/>
          <w:numId w:val="0"/>
        </w:numPr>
        <w:rPr>
          <w:lang w:val="en-US"/>
        </w:rPr>
      </w:pPr>
    </w:p>
    <w:p w14:paraId="0B07EE41" w14:textId="085D5385" w:rsidR="007C30AF" w:rsidRPr="00A50E4D" w:rsidRDefault="00A00EF8" w:rsidP="00F44E69">
      <w:pPr>
        <w:ind w:left="630" w:right="566"/>
        <w:rPr>
          <w:sz w:val="18"/>
          <w:szCs w:val="18"/>
          <w:lang w:val="en-US"/>
        </w:rPr>
      </w:pPr>
      <w:r w:rsidRPr="00A50E4D">
        <w:rPr>
          <w:spacing w:val="-4"/>
          <w:sz w:val="18"/>
          <w:szCs w:val="18"/>
          <w:lang w:val="en-US"/>
        </w:rPr>
        <w:t xml:space="preserve">Judicial officials shall enjoy </w:t>
      </w:r>
      <w:r w:rsidRPr="00A50E4D">
        <w:rPr>
          <w:sz w:val="18"/>
          <w:szCs w:val="18"/>
          <w:lang w:val="en-US"/>
        </w:rPr>
        <w:t>the right of tenure when they enter the service</w:t>
      </w:r>
      <w:r w:rsidRPr="00A50E4D">
        <w:rPr>
          <w:b/>
          <w:bCs/>
          <w:sz w:val="18"/>
          <w:szCs w:val="18"/>
          <w:lang w:val="en-US"/>
        </w:rPr>
        <w:t xml:space="preserve"> </w:t>
      </w:r>
      <w:r w:rsidRPr="00A50E4D">
        <w:rPr>
          <w:bCs/>
          <w:sz w:val="18"/>
          <w:szCs w:val="18"/>
          <w:lang w:val="en-US"/>
        </w:rPr>
        <w:t xml:space="preserve">in the </w:t>
      </w:r>
      <w:r w:rsidR="00F44E69" w:rsidRPr="00A50E4D">
        <w:rPr>
          <w:bCs/>
          <w:sz w:val="18"/>
          <w:szCs w:val="18"/>
          <w:lang w:val="en-US"/>
        </w:rPr>
        <w:t xml:space="preserve">appropriate </w:t>
      </w:r>
      <w:r w:rsidRPr="00A50E4D">
        <w:rPr>
          <w:bCs/>
          <w:sz w:val="18"/>
          <w:szCs w:val="18"/>
          <w:lang w:val="en-US"/>
        </w:rPr>
        <w:t>manner</w:t>
      </w:r>
      <w:r w:rsidRPr="00A50E4D">
        <w:rPr>
          <w:b/>
          <w:bCs/>
          <w:sz w:val="18"/>
          <w:szCs w:val="18"/>
          <w:lang w:val="en-US"/>
        </w:rPr>
        <w:t xml:space="preserve"> </w:t>
      </w:r>
      <w:r w:rsidRPr="00A50E4D">
        <w:rPr>
          <w:sz w:val="18"/>
          <w:szCs w:val="18"/>
          <w:lang w:val="en-US"/>
        </w:rPr>
        <w:t xml:space="preserve">and may only be removed when they give cause for dismissal </w:t>
      </w:r>
      <w:r w:rsidR="00F44E69" w:rsidRPr="00A50E4D">
        <w:rPr>
          <w:sz w:val="18"/>
          <w:szCs w:val="18"/>
          <w:lang w:val="en-US"/>
        </w:rPr>
        <w:t>under this law</w:t>
      </w:r>
      <w:r w:rsidRPr="00A50E4D">
        <w:rPr>
          <w:sz w:val="18"/>
          <w:szCs w:val="18"/>
          <w:lang w:val="en-US"/>
        </w:rPr>
        <w:t xml:space="preserve"> </w:t>
      </w:r>
      <w:r w:rsidR="00F44E69" w:rsidRPr="00A50E4D">
        <w:rPr>
          <w:sz w:val="18"/>
          <w:szCs w:val="18"/>
          <w:lang w:val="en-US"/>
        </w:rPr>
        <w:t>and its r</w:t>
      </w:r>
      <w:r w:rsidRPr="00A50E4D">
        <w:rPr>
          <w:sz w:val="18"/>
          <w:szCs w:val="18"/>
          <w:lang w:val="en-US"/>
        </w:rPr>
        <w:t>egulations.</w:t>
      </w:r>
      <w:r w:rsidR="007C30AF" w:rsidRPr="00A50E4D">
        <w:rPr>
          <w:rStyle w:val="FootnoteReference"/>
          <w:spacing w:val="-4"/>
          <w:sz w:val="18"/>
          <w:szCs w:val="18"/>
          <w:lang w:val="en-US"/>
        </w:rPr>
        <w:footnoteReference w:id="428"/>
      </w:r>
    </w:p>
    <w:p w14:paraId="0CB320EB" w14:textId="77777777" w:rsidR="00F44E69" w:rsidRPr="00A50E4D" w:rsidRDefault="00F44E69" w:rsidP="007C30AF">
      <w:pPr>
        <w:rPr>
          <w:spacing w:val="-4"/>
          <w:lang w:val="en-US"/>
        </w:rPr>
      </w:pPr>
    </w:p>
    <w:p w14:paraId="4A4BF9BF" w14:textId="3CCC10B7" w:rsidR="007C30AF" w:rsidRPr="00A50E4D" w:rsidRDefault="00A00EF8" w:rsidP="00A00EF8">
      <w:pPr>
        <w:pStyle w:val="PrrafodeSentencia"/>
        <w:tabs>
          <w:tab w:val="left" w:pos="2880"/>
        </w:tabs>
        <w:rPr>
          <w:szCs w:val="20"/>
          <w:lang w:val="en-US"/>
        </w:rPr>
      </w:pPr>
      <w:bookmarkStart w:id="375" w:name="_Ref427604803"/>
      <w:r w:rsidRPr="00A50E4D">
        <w:rPr>
          <w:lang w:val="en-US"/>
        </w:rPr>
        <w:t>Furthermore, the Court notes that the disciplinary regime applied to</w:t>
      </w:r>
      <w:r w:rsidR="007C30AF" w:rsidRPr="00A50E4D">
        <w:rPr>
          <w:lang w:val="en-US"/>
        </w:rPr>
        <w:t xml:space="preserve"> </w:t>
      </w:r>
      <w:r w:rsidR="00371BB7" w:rsidRPr="00A50E4D">
        <w:rPr>
          <w:lang w:val="en-US"/>
        </w:rPr>
        <w:t>the presumed victims</w:t>
      </w:r>
      <w:r w:rsidR="007C30AF" w:rsidRPr="00A50E4D">
        <w:rPr>
          <w:lang w:val="en-US"/>
        </w:rPr>
        <w:t>, establ</w:t>
      </w:r>
      <w:r w:rsidRPr="00A50E4D">
        <w:rPr>
          <w:lang w:val="en-US"/>
        </w:rPr>
        <w:t xml:space="preserve">ished mainly in </w:t>
      </w:r>
      <w:r w:rsidR="004D0F32" w:rsidRPr="00A50E4D">
        <w:rPr>
          <w:lang w:val="en-US"/>
        </w:rPr>
        <w:t>the Judicial</w:t>
      </w:r>
      <w:r w:rsidR="00277E12" w:rsidRPr="00A50E4D">
        <w:rPr>
          <w:lang w:val="en-US"/>
        </w:rPr>
        <w:t xml:space="preserve"> Service Act</w:t>
      </w:r>
      <w:r w:rsidR="009808C5" w:rsidRPr="00A50E4D">
        <w:rPr>
          <w:lang w:val="en-US"/>
        </w:rPr>
        <w:t xml:space="preserve"> and </w:t>
      </w:r>
      <w:r w:rsidR="00171F4E" w:rsidRPr="00A50E4D">
        <w:rPr>
          <w:lang w:val="en-US"/>
        </w:rPr>
        <w:t>its Regulations</w:t>
      </w:r>
      <w:r w:rsidR="007C30AF" w:rsidRPr="00A50E4D">
        <w:rPr>
          <w:lang w:val="en-US"/>
        </w:rPr>
        <w:t xml:space="preserve">, </w:t>
      </w:r>
      <w:r w:rsidR="000E0AAE" w:rsidRPr="00A50E4D">
        <w:rPr>
          <w:i/>
          <w:lang w:val="en-US"/>
        </w:rPr>
        <w:t>prima facie</w:t>
      </w:r>
      <w:r w:rsidRPr="00A50E4D">
        <w:rPr>
          <w:lang w:val="en-US"/>
        </w:rPr>
        <w:t xml:space="preserve"> was adapted to this, because the removal of a judge was considered the most severe sanction and, in principle, was reserved for the most serious conduct.</w:t>
      </w:r>
      <w:r w:rsidR="007C30AF" w:rsidRPr="00A50E4D">
        <w:rPr>
          <w:rStyle w:val="FootnoteReference"/>
          <w:sz w:val="20"/>
          <w:szCs w:val="20"/>
          <w:lang w:val="en-US"/>
        </w:rPr>
        <w:footnoteReference w:id="429"/>
      </w:r>
      <w:r w:rsidRPr="00A50E4D">
        <w:rPr>
          <w:szCs w:val="20"/>
          <w:lang w:val="en-US"/>
        </w:rPr>
        <w:t xml:space="preserve"> In this regard, the Court notes that </w:t>
      </w:r>
      <w:r w:rsidR="004D0F32" w:rsidRPr="00A50E4D">
        <w:rPr>
          <w:szCs w:val="20"/>
          <w:lang w:val="en-US"/>
        </w:rPr>
        <w:t>the Judicial</w:t>
      </w:r>
      <w:r w:rsidR="00277E12" w:rsidRPr="00A50E4D">
        <w:rPr>
          <w:szCs w:val="20"/>
          <w:lang w:val="en-US"/>
        </w:rPr>
        <w:t xml:space="preserve"> Service Act</w:t>
      </w:r>
      <w:r w:rsidR="007C30AF" w:rsidRPr="00A50E4D">
        <w:rPr>
          <w:szCs w:val="20"/>
          <w:lang w:val="en-US"/>
        </w:rPr>
        <w:t xml:space="preserve"> </w:t>
      </w:r>
      <w:r w:rsidRPr="00A50E4D">
        <w:rPr>
          <w:szCs w:val="20"/>
          <w:lang w:val="en-US"/>
        </w:rPr>
        <w:t>specified a series of disciplinary offenses, considered as acts that “</w:t>
      </w:r>
      <w:r w:rsidR="00F44E69" w:rsidRPr="00A50E4D">
        <w:rPr>
          <w:szCs w:val="20"/>
          <w:lang w:val="en-US"/>
        </w:rPr>
        <w:t xml:space="preserve">are inimical to </w:t>
      </w:r>
      <w:r w:rsidRPr="00A50E4D">
        <w:rPr>
          <w:szCs w:val="20"/>
          <w:lang w:val="en-US"/>
        </w:rPr>
        <w:t xml:space="preserve">the dignity </w:t>
      </w:r>
      <w:r w:rsidR="00FF35A9" w:rsidRPr="00A50E4D">
        <w:rPr>
          <w:szCs w:val="20"/>
          <w:lang w:val="en-US"/>
        </w:rPr>
        <w:t xml:space="preserve">of the </w:t>
      </w:r>
      <w:r w:rsidR="006A228E" w:rsidRPr="00A50E4D">
        <w:rPr>
          <w:szCs w:val="20"/>
          <w:lang w:val="en-US"/>
        </w:rPr>
        <w:t>administration of justice</w:t>
      </w:r>
      <w:r w:rsidR="007C30AF" w:rsidRPr="00A50E4D">
        <w:rPr>
          <w:szCs w:val="20"/>
          <w:lang w:val="en-US"/>
        </w:rPr>
        <w:t xml:space="preserve">” </w:t>
      </w:r>
      <w:r w:rsidRPr="00A50E4D">
        <w:rPr>
          <w:szCs w:val="20"/>
          <w:lang w:val="en-US"/>
        </w:rPr>
        <w:t>in its</w:t>
      </w:r>
      <w:r w:rsidR="007C30AF" w:rsidRPr="00A50E4D">
        <w:rPr>
          <w:szCs w:val="20"/>
          <w:lang w:val="en-US"/>
        </w:rPr>
        <w:t xml:space="preserve"> </w:t>
      </w:r>
      <w:r w:rsidR="00F02FB7" w:rsidRPr="00A50E4D">
        <w:rPr>
          <w:szCs w:val="20"/>
          <w:lang w:val="en-US"/>
        </w:rPr>
        <w:t>article</w:t>
      </w:r>
      <w:r w:rsidR="007C30AF" w:rsidRPr="00A50E4D">
        <w:rPr>
          <w:szCs w:val="20"/>
          <w:lang w:val="en-US"/>
        </w:rPr>
        <w:t xml:space="preserve"> 53 (</w:t>
      </w:r>
      <w:r w:rsidRPr="00A50E4D">
        <w:rPr>
          <w:szCs w:val="20"/>
          <w:lang w:val="en-US"/>
        </w:rPr>
        <w:t>which the Regulations to this Act referred to as “less serious offenses”) and “acts contrary to the eff</w:t>
      </w:r>
      <w:r w:rsidR="004C6D9D" w:rsidRPr="00A50E4D">
        <w:rPr>
          <w:szCs w:val="20"/>
          <w:lang w:val="en-US"/>
        </w:rPr>
        <w:t>ectiveness</w:t>
      </w:r>
      <w:r w:rsidRPr="00A50E4D">
        <w:rPr>
          <w:szCs w:val="20"/>
          <w:lang w:val="en-US"/>
        </w:rPr>
        <w:t xml:space="preserve"> </w:t>
      </w:r>
      <w:r w:rsidR="00FF35A9" w:rsidRPr="00A50E4D">
        <w:rPr>
          <w:szCs w:val="20"/>
          <w:lang w:val="en-US"/>
        </w:rPr>
        <w:t xml:space="preserve">of the </w:t>
      </w:r>
      <w:r w:rsidR="006A228E" w:rsidRPr="00A50E4D">
        <w:rPr>
          <w:szCs w:val="20"/>
          <w:lang w:val="en-US"/>
        </w:rPr>
        <w:t>administration of justice</w:t>
      </w:r>
      <w:r w:rsidRPr="00A50E4D">
        <w:rPr>
          <w:szCs w:val="20"/>
          <w:lang w:val="en-US"/>
        </w:rPr>
        <w:t>,” define</w:t>
      </w:r>
      <w:r w:rsidR="007C30AF" w:rsidRPr="00A50E4D">
        <w:rPr>
          <w:szCs w:val="20"/>
          <w:lang w:val="en-US"/>
        </w:rPr>
        <w:t>d</w:t>
      </w:r>
      <w:r w:rsidRPr="00A50E4D">
        <w:rPr>
          <w:szCs w:val="20"/>
          <w:lang w:val="en-US"/>
        </w:rPr>
        <w:t xml:space="preserve"> in its </w:t>
      </w:r>
      <w:r w:rsidR="00F02FB7" w:rsidRPr="00A50E4D">
        <w:rPr>
          <w:szCs w:val="20"/>
          <w:lang w:val="en-US"/>
        </w:rPr>
        <w:t>article</w:t>
      </w:r>
      <w:r w:rsidR="007C30AF" w:rsidRPr="00A50E4D">
        <w:rPr>
          <w:szCs w:val="20"/>
          <w:lang w:val="en-US"/>
        </w:rPr>
        <w:t xml:space="preserve"> 54 (</w:t>
      </w:r>
      <w:r w:rsidRPr="00A50E4D">
        <w:rPr>
          <w:szCs w:val="20"/>
          <w:lang w:val="en-US"/>
        </w:rPr>
        <w:t xml:space="preserve">which the Regulations to this Act referred to as </w:t>
      </w:r>
      <w:r w:rsidR="007C30AF" w:rsidRPr="00A50E4D">
        <w:rPr>
          <w:szCs w:val="20"/>
          <w:lang w:val="en-US"/>
        </w:rPr>
        <w:t>“</w:t>
      </w:r>
      <w:r w:rsidRPr="00A50E4D">
        <w:rPr>
          <w:szCs w:val="20"/>
          <w:lang w:val="en-US"/>
        </w:rPr>
        <w:t>serious offenses</w:t>
      </w:r>
      <w:r w:rsidR="007C30AF" w:rsidRPr="00A50E4D">
        <w:rPr>
          <w:szCs w:val="20"/>
          <w:lang w:val="en-US"/>
        </w:rPr>
        <w:t>”)</w:t>
      </w:r>
      <w:r w:rsidRPr="00A50E4D">
        <w:rPr>
          <w:szCs w:val="20"/>
          <w:lang w:val="en-US"/>
        </w:rPr>
        <w:t>.</w:t>
      </w:r>
      <w:r w:rsidR="007C30AF" w:rsidRPr="00A50E4D">
        <w:rPr>
          <w:rStyle w:val="FootnoteReference"/>
          <w:sz w:val="20"/>
          <w:szCs w:val="20"/>
          <w:lang w:val="en-US"/>
        </w:rPr>
        <w:footnoteReference w:id="430"/>
      </w:r>
      <w:r w:rsidRPr="00A50E4D">
        <w:rPr>
          <w:szCs w:val="20"/>
          <w:lang w:val="en-US"/>
        </w:rPr>
        <w:t xml:space="preserve"> The Act </w:t>
      </w:r>
      <w:r w:rsidR="000A786A" w:rsidRPr="00A50E4D">
        <w:rPr>
          <w:szCs w:val="20"/>
          <w:lang w:val="en-US"/>
        </w:rPr>
        <w:t>did not</w:t>
      </w:r>
      <w:r w:rsidRPr="00A50E4D">
        <w:rPr>
          <w:szCs w:val="20"/>
          <w:lang w:val="en-US"/>
        </w:rPr>
        <w:t xml:space="preserve"> establish clearly the sanctions that corresponded to each of these offenses, but rather established that the </w:t>
      </w:r>
      <w:r w:rsidR="00F44E69" w:rsidRPr="00A50E4D">
        <w:rPr>
          <w:szCs w:val="20"/>
          <w:lang w:val="en-US"/>
        </w:rPr>
        <w:t>penalties</w:t>
      </w:r>
      <w:r w:rsidRPr="00A50E4D">
        <w:rPr>
          <w:szCs w:val="20"/>
          <w:lang w:val="en-US"/>
        </w:rPr>
        <w:t xml:space="preserve"> (reprimand, fine, suspension from office, and dismissal) should be applied in keeping with the severity of the offense and taking into account the background to the case</w:t>
      </w:r>
      <w:r w:rsidR="007C30AF" w:rsidRPr="00A50E4D">
        <w:rPr>
          <w:rStyle w:val="FootnoteReference"/>
          <w:sz w:val="20"/>
          <w:szCs w:val="20"/>
          <w:lang w:val="en-US"/>
        </w:rPr>
        <w:footnoteReference w:id="431"/>
      </w:r>
      <w:r w:rsidR="007C30AF" w:rsidRPr="00A50E4D">
        <w:rPr>
          <w:szCs w:val="20"/>
          <w:lang w:val="en-US"/>
        </w:rPr>
        <w:t xml:space="preserve"> (</w:t>
      </w:r>
      <w:r w:rsidR="007C30AF" w:rsidRPr="00A50E4D">
        <w:rPr>
          <w:i/>
          <w:szCs w:val="20"/>
          <w:lang w:val="en-US"/>
        </w:rPr>
        <w:t xml:space="preserve">supra </w:t>
      </w:r>
      <w:r w:rsidR="00AD5EE7" w:rsidRPr="00A50E4D">
        <w:rPr>
          <w:szCs w:val="20"/>
          <w:lang w:val="en-US"/>
        </w:rPr>
        <w:t>paras.</w:t>
      </w:r>
      <w:r w:rsidR="007C30AF" w:rsidRPr="00A50E4D">
        <w:rPr>
          <w:b/>
          <w:szCs w:val="20"/>
          <w:lang w:val="en-US"/>
        </w:rPr>
        <w:t xml:space="preserve"> </w:t>
      </w:r>
      <w:r w:rsidR="007C30AF" w:rsidRPr="00914F55">
        <w:rPr>
          <w:szCs w:val="20"/>
          <w:lang w:val="en-US"/>
        </w:rPr>
        <w:fldChar w:fldCharType="begin"/>
      </w:r>
      <w:r w:rsidR="007C30AF" w:rsidRPr="00A50E4D">
        <w:rPr>
          <w:szCs w:val="20"/>
          <w:lang w:val="en-US"/>
        </w:rPr>
        <w:instrText xml:space="preserve"> REF _Ref427340540 \r \h  \* MERGEFORMAT </w:instrText>
      </w:r>
      <w:r w:rsidR="007C30AF" w:rsidRPr="00914F55">
        <w:rPr>
          <w:szCs w:val="20"/>
          <w:lang w:val="en-US"/>
        </w:rPr>
      </w:r>
      <w:r w:rsidR="007C30AF" w:rsidRPr="00914F55">
        <w:rPr>
          <w:szCs w:val="20"/>
          <w:lang w:val="en-US"/>
        </w:rPr>
        <w:fldChar w:fldCharType="separate"/>
      </w:r>
      <w:r w:rsidR="00547588">
        <w:rPr>
          <w:szCs w:val="20"/>
          <w:lang w:val="en-US"/>
        </w:rPr>
        <w:t>74</w:t>
      </w:r>
      <w:r w:rsidR="007C30AF" w:rsidRPr="00914F55">
        <w:rPr>
          <w:szCs w:val="20"/>
          <w:lang w:val="en-US"/>
        </w:rPr>
        <w:fldChar w:fldCharType="end"/>
      </w:r>
      <w:r w:rsidR="009808C5" w:rsidRPr="00A50E4D">
        <w:rPr>
          <w:szCs w:val="20"/>
          <w:lang w:val="en-US"/>
        </w:rPr>
        <w:t xml:space="preserve"> and </w:t>
      </w:r>
      <w:r w:rsidR="007C30AF" w:rsidRPr="00914F55">
        <w:rPr>
          <w:szCs w:val="20"/>
          <w:lang w:val="en-US"/>
        </w:rPr>
        <w:fldChar w:fldCharType="begin"/>
      </w:r>
      <w:r w:rsidR="007C30AF" w:rsidRPr="00A50E4D">
        <w:rPr>
          <w:szCs w:val="20"/>
          <w:lang w:val="en-US"/>
        </w:rPr>
        <w:instrText xml:space="preserve"> REF _Ref427855676 \r \h  \* MERGEFORMAT </w:instrText>
      </w:r>
      <w:r w:rsidR="007C30AF" w:rsidRPr="00914F55">
        <w:rPr>
          <w:szCs w:val="20"/>
          <w:lang w:val="en-US"/>
        </w:rPr>
      </w:r>
      <w:r w:rsidR="007C30AF" w:rsidRPr="00914F55">
        <w:rPr>
          <w:szCs w:val="20"/>
          <w:lang w:val="en-US"/>
        </w:rPr>
        <w:fldChar w:fldCharType="separate"/>
      </w:r>
      <w:r w:rsidR="00547588">
        <w:rPr>
          <w:szCs w:val="20"/>
          <w:lang w:val="en-US"/>
        </w:rPr>
        <w:t>75</w:t>
      </w:r>
      <w:r w:rsidR="007C30AF" w:rsidRPr="00914F55">
        <w:rPr>
          <w:szCs w:val="20"/>
          <w:lang w:val="en-US"/>
        </w:rPr>
        <w:fldChar w:fldCharType="end"/>
      </w:r>
      <w:r w:rsidR="007C30AF" w:rsidRPr="00A50E4D">
        <w:rPr>
          <w:szCs w:val="20"/>
          <w:lang w:val="en-US"/>
        </w:rPr>
        <w:t xml:space="preserve">). </w:t>
      </w:r>
      <w:r w:rsidRPr="00A50E4D">
        <w:rPr>
          <w:szCs w:val="20"/>
          <w:lang w:val="en-US"/>
        </w:rPr>
        <w:t xml:space="preserve">However, by classifying the severity of the different offenses (as minor, less serious and serious offenses), the Regulations to the Act did establish the sanctions </w:t>
      </w:r>
      <w:r w:rsidRPr="00A50E4D">
        <w:rPr>
          <w:szCs w:val="20"/>
          <w:lang w:val="en-US"/>
        </w:rPr>
        <w:lastRenderedPageBreak/>
        <w:t>corresponding to each type of offense.</w:t>
      </w:r>
      <w:r w:rsidR="007C30AF" w:rsidRPr="00A50E4D">
        <w:rPr>
          <w:rStyle w:val="FootnoteReference"/>
          <w:rFonts w:cs="Arial"/>
          <w:sz w:val="20"/>
          <w:szCs w:val="20"/>
          <w:lang w:val="en-US"/>
        </w:rPr>
        <w:footnoteReference w:id="432"/>
      </w:r>
      <w:r w:rsidRPr="00A50E4D">
        <w:rPr>
          <w:szCs w:val="20"/>
          <w:lang w:val="en-US"/>
        </w:rPr>
        <w:t xml:space="preserve"> In this way, in principle, the disciplinary regime applicable to </w:t>
      </w:r>
      <w:r w:rsidR="00371BB7" w:rsidRPr="00A50E4D">
        <w:rPr>
          <w:szCs w:val="20"/>
          <w:lang w:val="en-US"/>
        </w:rPr>
        <w:t>the presumed victims</w:t>
      </w:r>
      <w:r w:rsidRPr="00A50E4D">
        <w:rPr>
          <w:szCs w:val="20"/>
          <w:lang w:val="en-US"/>
        </w:rPr>
        <w:t xml:space="preserve"> established the possibility of dismissal for the perpetration of serious offenses or re</w:t>
      </w:r>
      <w:r w:rsidR="000A786A" w:rsidRPr="00A50E4D">
        <w:rPr>
          <w:szCs w:val="20"/>
          <w:lang w:val="en-US"/>
        </w:rPr>
        <w:t>petition</w:t>
      </w:r>
      <w:r w:rsidRPr="00A50E4D">
        <w:rPr>
          <w:szCs w:val="20"/>
          <w:lang w:val="en-US"/>
        </w:rPr>
        <w:t xml:space="preserve"> of less serious ones, in addition to the </w:t>
      </w:r>
      <w:r w:rsidR="00F44E69" w:rsidRPr="00A50E4D">
        <w:rPr>
          <w:szCs w:val="20"/>
          <w:lang w:val="en-US"/>
        </w:rPr>
        <w:t>grounds</w:t>
      </w:r>
      <w:r w:rsidRPr="00A50E4D">
        <w:rPr>
          <w:szCs w:val="20"/>
          <w:lang w:val="en-US"/>
        </w:rPr>
        <w:t xml:space="preserve"> for dismissal expressly established in a</w:t>
      </w:r>
      <w:r w:rsidR="009808C5" w:rsidRPr="00A50E4D">
        <w:rPr>
          <w:szCs w:val="20"/>
          <w:lang w:val="en-US"/>
        </w:rPr>
        <w:t>rticle</w:t>
      </w:r>
      <w:r w:rsidR="007C30AF" w:rsidRPr="00A50E4D">
        <w:rPr>
          <w:szCs w:val="20"/>
          <w:lang w:val="en-US"/>
        </w:rPr>
        <w:t xml:space="preserve"> 64 </w:t>
      </w:r>
      <w:r w:rsidR="004D0F32" w:rsidRPr="00A50E4D">
        <w:rPr>
          <w:szCs w:val="20"/>
          <w:lang w:val="en-US"/>
        </w:rPr>
        <w:t>of the Judicial</w:t>
      </w:r>
      <w:r w:rsidR="00277E12" w:rsidRPr="00A50E4D">
        <w:rPr>
          <w:szCs w:val="20"/>
          <w:lang w:val="en-US"/>
        </w:rPr>
        <w:t xml:space="preserve"> Service Act</w:t>
      </w:r>
      <w:r w:rsidR="007C30AF" w:rsidRPr="00A50E4D">
        <w:rPr>
          <w:szCs w:val="20"/>
          <w:lang w:val="en-US"/>
        </w:rPr>
        <w:t xml:space="preserve"> (</w:t>
      </w:r>
      <w:r w:rsidR="007C30AF" w:rsidRPr="00A50E4D">
        <w:rPr>
          <w:i/>
          <w:szCs w:val="20"/>
          <w:lang w:val="en-US"/>
        </w:rPr>
        <w:t xml:space="preserve">supra </w:t>
      </w:r>
      <w:r w:rsidR="00AD5EE7" w:rsidRPr="00A50E4D">
        <w:rPr>
          <w:szCs w:val="20"/>
          <w:lang w:val="en-US"/>
        </w:rPr>
        <w:t>para.</w:t>
      </w:r>
      <w:r w:rsidR="007C30AF" w:rsidRPr="00A50E4D">
        <w:rPr>
          <w:szCs w:val="20"/>
          <w:lang w:val="en-US"/>
        </w:rPr>
        <w:t xml:space="preserve"> </w:t>
      </w:r>
      <w:r w:rsidR="007C30AF" w:rsidRPr="00914F55">
        <w:rPr>
          <w:szCs w:val="20"/>
          <w:lang w:val="en-US"/>
        </w:rPr>
        <w:fldChar w:fldCharType="begin"/>
      </w:r>
      <w:r w:rsidR="007C30AF" w:rsidRPr="00A50E4D">
        <w:rPr>
          <w:szCs w:val="20"/>
          <w:lang w:val="en-US"/>
        </w:rPr>
        <w:instrText xml:space="preserve"> REF _Ref427340540 \r \h  \* MERGEFORMAT </w:instrText>
      </w:r>
      <w:r w:rsidR="007C30AF" w:rsidRPr="00914F55">
        <w:rPr>
          <w:szCs w:val="20"/>
          <w:lang w:val="en-US"/>
        </w:rPr>
      </w:r>
      <w:r w:rsidR="007C30AF" w:rsidRPr="00914F55">
        <w:rPr>
          <w:szCs w:val="20"/>
          <w:lang w:val="en-US"/>
        </w:rPr>
        <w:fldChar w:fldCharType="separate"/>
      </w:r>
      <w:r w:rsidR="00547588">
        <w:rPr>
          <w:szCs w:val="20"/>
          <w:lang w:val="en-US"/>
        </w:rPr>
        <w:t>74</w:t>
      </w:r>
      <w:r w:rsidR="007C30AF" w:rsidRPr="00914F55">
        <w:rPr>
          <w:szCs w:val="20"/>
          <w:lang w:val="en-US"/>
        </w:rPr>
        <w:fldChar w:fldCharType="end"/>
      </w:r>
      <w:r w:rsidR="007C30AF" w:rsidRPr="00A50E4D">
        <w:rPr>
          <w:szCs w:val="20"/>
          <w:lang w:val="en-US"/>
        </w:rPr>
        <w:t>)</w:t>
      </w:r>
      <w:r w:rsidRPr="00A50E4D">
        <w:rPr>
          <w:szCs w:val="20"/>
          <w:lang w:val="en-US"/>
        </w:rPr>
        <w:t>.</w:t>
      </w:r>
      <w:r w:rsidR="007C30AF" w:rsidRPr="00A50E4D">
        <w:rPr>
          <w:rStyle w:val="FootnoteReference"/>
          <w:sz w:val="20"/>
          <w:szCs w:val="20"/>
          <w:lang w:val="en-US"/>
        </w:rPr>
        <w:footnoteReference w:id="433"/>
      </w:r>
      <w:r w:rsidRPr="00A50E4D">
        <w:rPr>
          <w:szCs w:val="20"/>
          <w:lang w:val="en-US"/>
        </w:rPr>
        <w:t xml:space="preserve"> Also, with regard to the sanction of dismissal, both the Act and </w:t>
      </w:r>
      <w:r w:rsidR="00171F4E" w:rsidRPr="00A50E4D">
        <w:rPr>
          <w:szCs w:val="20"/>
          <w:lang w:val="en-US"/>
        </w:rPr>
        <w:t>its Regulations</w:t>
      </w:r>
      <w:r w:rsidR="007C30AF" w:rsidRPr="00A50E4D">
        <w:rPr>
          <w:szCs w:val="20"/>
          <w:lang w:val="en-US"/>
        </w:rPr>
        <w:t xml:space="preserve"> establ</w:t>
      </w:r>
      <w:r w:rsidRPr="00A50E4D">
        <w:rPr>
          <w:szCs w:val="20"/>
          <w:lang w:val="en-US"/>
        </w:rPr>
        <w:t>ished that this was only possible “</w:t>
      </w:r>
      <w:r w:rsidR="00F44E69" w:rsidRPr="00A50E4D">
        <w:rPr>
          <w:szCs w:val="20"/>
          <w:lang w:val="en-US"/>
        </w:rPr>
        <w:t>on</w:t>
      </w:r>
      <w:r w:rsidRPr="00A50E4D">
        <w:rPr>
          <w:szCs w:val="20"/>
          <w:lang w:val="en-US"/>
        </w:rPr>
        <w:t xml:space="preserve"> the </w:t>
      </w:r>
      <w:r w:rsidR="00F44E69" w:rsidRPr="00A50E4D">
        <w:rPr>
          <w:szCs w:val="20"/>
          <w:lang w:val="en-US"/>
        </w:rPr>
        <w:t>grounds</w:t>
      </w:r>
      <w:r w:rsidRPr="00A50E4D">
        <w:rPr>
          <w:szCs w:val="20"/>
          <w:lang w:val="en-US"/>
        </w:rPr>
        <w:t xml:space="preserve"> and </w:t>
      </w:r>
      <w:r w:rsidR="00F44E69" w:rsidRPr="00A50E4D">
        <w:rPr>
          <w:szCs w:val="20"/>
          <w:lang w:val="en-US"/>
        </w:rPr>
        <w:t xml:space="preserve">according to </w:t>
      </w:r>
      <w:r w:rsidRPr="00A50E4D">
        <w:rPr>
          <w:szCs w:val="20"/>
          <w:lang w:val="en-US"/>
        </w:rPr>
        <w:t>the procedure established” in the said Act.</w:t>
      </w:r>
      <w:r w:rsidR="007C30AF" w:rsidRPr="00A50E4D">
        <w:rPr>
          <w:rStyle w:val="FootnoteReference"/>
          <w:sz w:val="20"/>
          <w:szCs w:val="20"/>
          <w:lang w:val="en-US"/>
        </w:rPr>
        <w:footnoteReference w:id="434"/>
      </w:r>
    </w:p>
    <w:p w14:paraId="5FB8EED3" w14:textId="77777777" w:rsidR="007C30AF" w:rsidRPr="00A50E4D" w:rsidRDefault="007C30AF" w:rsidP="007C30AF">
      <w:pPr>
        <w:rPr>
          <w:lang w:val="en-US"/>
        </w:rPr>
      </w:pPr>
    </w:p>
    <w:p w14:paraId="54AEF7B5" w14:textId="720BCFBA" w:rsidR="007C30AF" w:rsidRPr="00A50E4D" w:rsidRDefault="00F814CB" w:rsidP="007C30AF">
      <w:pPr>
        <w:pStyle w:val="PrrafodeSentencia"/>
        <w:rPr>
          <w:rFonts w:eastAsia="Calibri"/>
          <w:sz w:val="16"/>
          <w:szCs w:val="16"/>
          <w:lang w:val="en-US"/>
        </w:rPr>
      </w:pPr>
      <w:r w:rsidRPr="00A50E4D">
        <w:rPr>
          <w:lang w:val="en-US"/>
        </w:rPr>
        <w:t>However</w:t>
      </w:r>
      <w:r w:rsidR="007C30AF" w:rsidRPr="00A50E4D">
        <w:rPr>
          <w:lang w:val="en-US"/>
        </w:rPr>
        <w:t xml:space="preserve">, </w:t>
      </w:r>
      <w:r w:rsidR="009808C5" w:rsidRPr="00A50E4D">
        <w:rPr>
          <w:lang w:val="en-US"/>
        </w:rPr>
        <w:t>the Court</w:t>
      </w:r>
      <w:r w:rsidRPr="00A50E4D">
        <w:rPr>
          <w:lang w:val="en-US"/>
        </w:rPr>
        <w:t xml:space="preserve"> notes that</w:t>
      </w:r>
      <w:r w:rsidR="007C30AF" w:rsidRPr="00A50E4D">
        <w:rPr>
          <w:lang w:val="en-US"/>
        </w:rPr>
        <w:t xml:space="preserve"> </w:t>
      </w:r>
      <w:r w:rsidRPr="00A50E4D">
        <w:rPr>
          <w:lang w:val="en-US"/>
        </w:rPr>
        <w:t>a</w:t>
      </w:r>
      <w:r w:rsidR="009808C5" w:rsidRPr="00A50E4D">
        <w:rPr>
          <w:lang w:val="en-US"/>
        </w:rPr>
        <w:t>rticle</w:t>
      </w:r>
      <w:r w:rsidR="007C30AF" w:rsidRPr="00A50E4D">
        <w:rPr>
          <w:lang w:val="en-US"/>
        </w:rPr>
        <w:t xml:space="preserve"> 64</w:t>
      </w:r>
      <w:r w:rsidR="000A786A" w:rsidRPr="00A50E4D">
        <w:rPr>
          <w:lang w:val="en-US"/>
        </w:rPr>
        <w:t>(</w:t>
      </w:r>
      <w:r w:rsidR="00217F93" w:rsidRPr="00A50E4D">
        <w:rPr>
          <w:lang w:val="en-US"/>
        </w:rPr>
        <w:t>a</w:t>
      </w:r>
      <w:r w:rsidR="000A786A" w:rsidRPr="00A50E4D">
        <w:rPr>
          <w:lang w:val="en-US"/>
        </w:rPr>
        <w:t>)</w:t>
      </w:r>
      <w:r w:rsidR="00FF35A9" w:rsidRPr="00A50E4D">
        <w:rPr>
          <w:lang w:val="en-US"/>
        </w:rPr>
        <w:t xml:space="preserve"> of the </w:t>
      </w:r>
      <w:r w:rsidR="00F44E69" w:rsidRPr="00A50E4D">
        <w:rPr>
          <w:lang w:val="en-US"/>
        </w:rPr>
        <w:t>Act</w:t>
      </w:r>
      <w:r w:rsidRPr="00A50E4D">
        <w:rPr>
          <w:lang w:val="en-US"/>
        </w:rPr>
        <w:t xml:space="preserve"> established </w:t>
      </w:r>
      <w:r w:rsidR="00F44E69" w:rsidRPr="00A50E4D">
        <w:rPr>
          <w:lang w:val="en-US"/>
        </w:rPr>
        <w:t>among</w:t>
      </w:r>
      <w:r w:rsidRPr="00A50E4D">
        <w:rPr>
          <w:lang w:val="en-US"/>
        </w:rPr>
        <w:t xml:space="preserve"> the </w:t>
      </w:r>
      <w:r w:rsidR="00F44E69" w:rsidRPr="00A50E4D">
        <w:rPr>
          <w:lang w:val="en-US"/>
        </w:rPr>
        <w:t>grounds</w:t>
      </w:r>
      <w:r w:rsidRPr="00A50E4D">
        <w:rPr>
          <w:lang w:val="en-US"/>
        </w:rPr>
        <w:t xml:space="preserve"> for dismissal that:</w:t>
      </w:r>
      <w:bookmarkEnd w:id="375"/>
    </w:p>
    <w:p w14:paraId="5761B989" w14:textId="77777777" w:rsidR="007C30AF" w:rsidRPr="00A50E4D" w:rsidRDefault="007C30AF" w:rsidP="007C30AF">
      <w:pPr>
        <w:pStyle w:val="PrrafodeSentencia"/>
        <w:numPr>
          <w:ilvl w:val="0"/>
          <w:numId w:val="0"/>
        </w:numPr>
        <w:rPr>
          <w:lang w:val="en-US"/>
        </w:rPr>
      </w:pPr>
    </w:p>
    <w:p w14:paraId="5B17B45B" w14:textId="53C88753" w:rsidR="007C30AF" w:rsidRPr="00A50E4D" w:rsidRDefault="00F814CB" w:rsidP="007C30AF">
      <w:pPr>
        <w:ind w:left="567" w:right="616"/>
        <w:rPr>
          <w:spacing w:val="-4"/>
          <w:sz w:val="16"/>
          <w:szCs w:val="16"/>
          <w:lang w:val="en-US"/>
        </w:rPr>
      </w:pPr>
      <w:r w:rsidRPr="00A50E4D">
        <w:rPr>
          <w:spacing w:val="-4"/>
          <w:sz w:val="18"/>
          <w:szCs w:val="18"/>
          <w:lang w:val="en-US"/>
        </w:rPr>
        <w:t xml:space="preserve">Judicial officials </w:t>
      </w:r>
      <w:r w:rsidR="00F44E69" w:rsidRPr="00A50E4D">
        <w:rPr>
          <w:spacing w:val="-4"/>
          <w:sz w:val="18"/>
          <w:szCs w:val="18"/>
          <w:lang w:val="en-US"/>
        </w:rPr>
        <w:t>may be dismissed from office on</w:t>
      </w:r>
      <w:r w:rsidRPr="00A50E4D">
        <w:rPr>
          <w:spacing w:val="-4"/>
          <w:sz w:val="18"/>
          <w:szCs w:val="18"/>
          <w:lang w:val="en-US"/>
        </w:rPr>
        <w:t xml:space="preserve"> any of the following </w:t>
      </w:r>
      <w:r w:rsidR="00F44E69" w:rsidRPr="00A50E4D">
        <w:rPr>
          <w:spacing w:val="-4"/>
          <w:sz w:val="18"/>
          <w:szCs w:val="18"/>
          <w:lang w:val="en-US"/>
        </w:rPr>
        <w:t>grounds</w:t>
      </w:r>
      <w:r w:rsidRPr="00A50E4D">
        <w:rPr>
          <w:spacing w:val="-4"/>
          <w:sz w:val="18"/>
          <w:szCs w:val="18"/>
          <w:lang w:val="en-US"/>
        </w:rPr>
        <w:t xml:space="preserve">: (a) non-compliance </w:t>
      </w:r>
      <w:r w:rsidR="003C2E57" w:rsidRPr="00A50E4D">
        <w:rPr>
          <w:spacing w:val="-4"/>
          <w:sz w:val="18"/>
          <w:szCs w:val="18"/>
          <w:lang w:val="en-US"/>
        </w:rPr>
        <w:t xml:space="preserve">with </w:t>
      </w:r>
      <w:r w:rsidRPr="00A50E4D">
        <w:rPr>
          <w:spacing w:val="-4"/>
          <w:sz w:val="18"/>
          <w:szCs w:val="18"/>
          <w:lang w:val="en-US"/>
        </w:rPr>
        <w:t xml:space="preserve">or serious or reiterated violation of any of the obligations, incompatibilities and conducts established in Chapters </w:t>
      </w:r>
      <w:r w:rsidR="007C30AF" w:rsidRPr="00A50E4D">
        <w:rPr>
          <w:spacing w:val="-4"/>
          <w:sz w:val="18"/>
          <w:szCs w:val="18"/>
          <w:lang w:val="en-US"/>
        </w:rPr>
        <w:t>X</w:t>
      </w:r>
      <w:r w:rsidR="009808C5" w:rsidRPr="00A50E4D">
        <w:rPr>
          <w:spacing w:val="-4"/>
          <w:sz w:val="18"/>
          <w:szCs w:val="18"/>
          <w:lang w:val="en-US"/>
        </w:rPr>
        <w:t xml:space="preserve"> and </w:t>
      </w:r>
      <w:r w:rsidR="007C30AF" w:rsidRPr="00A50E4D">
        <w:rPr>
          <w:spacing w:val="-4"/>
          <w:sz w:val="18"/>
          <w:szCs w:val="18"/>
          <w:lang w:val="en-US"/>
        </w:rPr>
        <w:t xml:space="preserve">XI </w:t>
      </w:r>
      <w:r w:rsidRPr="00A50E4D">
        <w:rPr>
          <w:spacing w:val="-4"/>
          <w:sz w:val="18"/>
          <w:szCs w:val="18"/>
          <w:lang w:val="en-US"/>
        </w:rPr>
        <w:t>of this Act.</w:t>
      </w:r>
      <w:r w:rsidR="007C30AF" w:rsidRPr="00A50E4D">
        <w:rPr>
          <w:rStyle w:val="FootnoteReference"/>
          <w:spacing w:val="-4"/>
          <w:sz w:val="18"/>
          <w:szCs w:val="18"/>
          <w:lang w:val="en-US"/>
        </w:rPr>
        <w:footnoteReference w:id="435"/>
      </w:r>
      <w:r w:rsidR="007C30AF" w:rsidRPr="00A50E4D">
        <w:rPr>
          <w:spacing w:val="-4"/>
          <w:sz w:val="18"/>
          <w:szCs w:val="18"/>
          <w:lang w:val="en-US"/>
        </w:rPr>
        <w:t xml:space="preserve"> </w:t>
      </w:r>
    </w:p>
    <w:p w14:paraId="376EDD01" w14:textId="77777777" w:rsidR="007C30AF" w:rsidRPr="00A50E4D" w:rsidRDefault="007C30AF" w:rsidP="007C30AF">
      <w:pPr>
        <w:ind w:left="567" w:right="616"/>
        <w:rPr>
          <w:spacing w:val="-4"/>
          <w:sz w:val="16"/>
          <w:szCs w:val="16"/>
          <w:lang w:val="en-US"/>
        </w:rPr>
      </w:pPr>
    </w:p>
    <w:p w14:paraId="33212FF4" w14:textId="3C8A83D5" w:rsidR="007C30AF" w:rsidRPr="00A50E4D" w:rsidRDefault="00F814CB" w:rsidP="003C2E57">
      <w:pPr>
        <w:pStyle w:val="PrrafodeSentencia"/>
        <w:rPr>
          <w:lang w:val="en-US"/>
        </w:rPr>
      </w:pPr>
      <w:bookmarkStart w:id="376" w:name="_Ref427604804"/>
      <w:r w:rsidRPr="00A50E4D">
        <w:rPr>
          <w:lang w:val="en-US"/>
        </w:rPr>
        <w:t xml:space="preserve">Thus, although, in principle, the Act and its Regulations established a </w:t>
      </w:r>
      <w:r w:rsidR="003C2E57" w:rsidRPr="00A50E4D">
        <w:rPr>
          <w:lang w:val="en-US"/>
        </w:rPr>
        <w:t xml:space="preserve">progressive </w:t>
      </w:r>
      <w:r w:rsidRPr="00A50E4D">
        <w:rPr>
          <w:lang w:val="en-US"/>
        </w:rPr>
        <w:t>system</w:t>
      </w:r>
      <w:r w:rsidR="003C2E57" w:rsidRPr="00A50E4D">
        <w:rPr>
          <w:lang w:val="en-US"/>
        </w:rPr>
        <w:t xml:space="preserve"> of sanctions, under which dismissal was applied for serious offenses, article 64(a) of the Act extended this sanction to offenses classified as minor or less seriou</w:t>
      </w:r>
      <w:r w:rsidR="00FB4565" w:rsidRPr="00A50E4D">
        <w:rPr>
          <w:lang w:val="en-US"/>
        </w:rPr>
        <w:t>s in case of non-compliance with</w:t>
      </w:r>
      <w:r w:rsidR="003C2E57" w:rsidRPr="00A50E4D">
        <w:rPr>
          <w:lang w:val="en-US"/>
        </w:rPr>
        <w:t xml:space="preserve"> or serious or reiterated violation of </w:t>
      </w:r>
      <w:r w:rsidR="00FB4565" w:rsidRPr="00A50E4D">
        <w:rPr>
          <w:lang w:val="en-US"/>
        </w:rPr>
        <w:t>certain obligations</w:t>
      </w:r>
      <w:r w:rsidR="003C2E57" w:rsidRPr="00A50E4D">
        <w:rPr>
          <w:lang w:val="en-US"/>
        </w:rPr>
        <w:t xml:space="preserve">. This Court underlines that all the presumed victims in this case were dismissed by the Supreme Court based on </w:t>
      </w:r>
      <w:r w:rsidR="00FB4565" w:rsidRPr="00A50E4D">
        <w:rPr>
          <w:lang w:val="en-US"/>
        </w:rPr>
        <w:t>these grounds</w:t>
      </w:r>
      <w:r w:rsidR="003C2E57" w:rsidRPr="00A50E4D">
        <w:rPr>
          <w:lang w:val="en-US"/>
        </w:rPr>
        <w:t>, among numerous other norms</w:t>
      </w:r>
      <w:r w:rsidR="007C30AF" w:rsidRPr="00A50E4D">
        <w:rPr>
          <w:lang w:val="en-US"/>
        </w:rPr>
        <w:t xml:space="preserve"> (</w:t>
      </w:r>
      <w:r w:rsidR="007C30AF" w:rsidRPr="00A50E4D">
        <w:rPr>
          <w:i/>
          <w:lang w:val="en-US"/>
        </w:rPr>
        <w:t>supra</w:t>
      </w:r>
      <w:r w:rsidR="007C30AF" w:rsidRPr="00A50E4D">
        <w:rPr>
          <w:lang w:val="en-US"/>
        </w:rPr>
        <w:t xml:space="preserve"> </w:t>
      </w:r>
      <w:r w:rsidR="00AD5EE7" w:rsidRPr="00A50E4D">
        <w:rPr>
          <w:lang w:val="en-US"/>
        </w:rPr>
        <w:t>paras.</w:t>
      </w:r>
      <w:r w:rsidR="007C30AF" w:rsidRPr="00A50E4D">
        <w:rPr>
          <w:lang w:val="en-US"/>
        </w:rPr>
        <w:t xml:space="preserve"> </w:t>
      </w:r>
      <w:r w:rsidR="007C30AF" w:rsidRPr="00914F55">
        <w:rPr>
          <w:b/>
          <w:lang w:val="en-US"/>
        </w:rPr>
        <w:fldChar w:fldCharType="begin"/>
      </w:r>
      <w:r w:rsidR="007C30AF" w:rsidRPr="00A50E4D">
        <w:rPr>
          <w:lang w:val="en-US"/>
        </w:rPr>
        <w:instrText xml:space="preserve"> REF _Ref427311472 \r \h </w:instrText>
      </w:r>
      <w:r w:rsidR="007C30AF" w:rsidRPr="00A50E4D">
        <w:rPr>
          <w:b/>
          <w:lang w:val="en-US"/>
        </w:rPr>
        <w:instrText xml:space="preserve"> \* MERGEFORMAT </w:instrText>
      </w:r>
      <w:r w:rsidR="007C30AF" w:rsidRPr="00914F55">
        <w:rPr>
          <w:b/>
          <w:lang w:val="en-US"/>
        </w:rPr>
      </w:r>
      <w:r w:rsidR="007C30AF" w:rsidRPr="00914F55">
        <w:rPr>
          <w:b/>
          <w:lang w:val="en-US"/>
        </w:rPr>
        <w:fldChar w:fldCharType="separate"/>
      </w:r>
      <w:r w:rsidR="00547588">
        <w:rPr>
          <w:lang w:val="en-US"/>
        </w:rPr>
        <w:t>95</w:t>
      </w:r>
      <w:r w:rsidR="007C30AF" w:rsidRPr="00914F55">
        <w:rPr>
          <w:b/>
          <w:lang w:val="en-US"/>
        </w:rPr>
        <w:fldChar w:fldCharType="end"/>
      </w:r>
      <w:r w:rsidR="007C30AF" w:rsidRPr="00A50E4D">
        <w:rPr>
          <w:szCs w:val="20"/>
          <w:lang w:val="en-US"/>
        </w:rPr>
        <w:t xml:space="preserve">, </w:t>
      </w:r>
      <w:r w:rsidR="007C30AF" w:rsidRPr="00914F55">
        <w:rPr>
          <w:szCs w:val="20"/>
          <w:lang w:val="en-US"/>
        </w:rPr>
        <w:fldChar w:fldCharType="begin"/>
      </w:r>
      <w:r w:rsidR="007C30AF" w:rsidRPr="00A50E4D">
        <w:rPr>
          <w:szCs w:val="20"/>
          <w:lang w:val="en-US"/>
        </w:rPr>
        <w:instrText xml:space="preserve"> REF _Ref427311483 \r \h  \* MERGEFORMAT </w:instrText>
      </w:r>
      <w:r w:rsidR="007C30AF" w:rsidRPr="00914F55">
        <w:rPr>
          <w:szCs w:val="20"/>
          <w:lang w:val="en-US"/>
        </w:rPr>
      </w:r>
      <w:r w:rsidR="007C30AF" w:rsidRPr="00914F55">
        <w:rPr>
          <w:szCs w:val="20"/>
          <w:lang w:val="en-US"/>
        </w:rPr>
        <w:fldChar w:fldCharType="separate"/>
      </w:r>
      <w:r w:rsidR="00547588">
        <w:rPr>
          <w:szCs w:val="20"/>
          <w:lang w:val="en-US"/>
        </w:rPr>
        <w:t>115</w:t>
      </w:r>
      <w:r w:rsidR="007C30AF" w:rsidRPr="00914F55">
        <w:rPr>
          <w:szCs w:val="20"/>
          <w:lang w:val="en-US"/>
        </w:rPr>
        <w:fldChar w:fldCharType="end"/>
      </w:r>
      <w:r w:rsidR="007C30AF" w:rsidRPr="00A50E4D">
        <w:rPr>
          <w:szCs w:val="20"/>
          <w:lang w:val="en-US"/>
        </w:rPr>
        <w:t xml:space="preserve">, </w:t>
      </w:r>
      <w:r w:rsidR="007C30AF" w:rsidRPr="00914F55">
        <w:rPr>
          <w:szCs w:val="20"/>
          <w:lang w:val="en-US"/>
        </w:rPr>
        <w:fldChar w:fldCharType="begin"/>
      </w:r>
      <w:r w:rsidR="007C30AF" w:rsidRPr="00A50E4D">
        <w:rPr>
          <w:szCs w:val="20"/>
          <w:lang w:val="en-US"/>
        </w:rPr>
        <w:instrText xml:space="preserve"> REF _Ref426373726 \r \h  \* MERGEFORMAT </w:instrText>
      </w:r>
      <w:r w:rsidR="007C30AF" w:rsidRPr="00914F55">
        <w:rPr>
          <w:szCs w:val="20"/>
          <w:lang w:val="en-US"/>
        </w:rPr>
      </w:r>
      <w:r w:rsidR="007C30AF" w:rsidRPr="00914F55">
        <w:rPr>
          <w:szCs w:val="20"/>
          <w:lang w:val="en-US"/>
        </w:rPr>
        <w:fldChar w:fldCharType="separate"/>
      </w:r>
      <w:r w:rsidR="00547588">
        <w:rPr>
          <w:szCs w:val="20"/>
          <w:lang w:val="en-US"/>
        </w:rPr>
        <w:t>132</w:t>
      </w:r>
      <w:r w:rsidR="007C30AF" w:rsidRPr="00914F55">
        <w:rPr>
          <w:szCs w:val="20"/>
          <w:lang w:val="en-US"/>
        </w:rPr>
        <w:fldChar w:fldCharType="end"/>
      </w:r>
      <w:r w:rsidR="009808C5" w:rsidRPr="00A50E4D">
        <w:rPr>
          <w:szCs w:val="20"/>
          <w:lang w:val="en-US"/>
        </w:rPr>
        <w:t xml:space="preserve"> and </w:t>
      </w:r>
      <w:r w:rsidR="007C30AF" w:rsidRPr="00914F55">
        <w:rPr>
          <w:szCs w:val="20"/>
          <w:lang w:val="en-US"/>
        </w:rPr>
        <w:fldChar w:fldCharType="begin"/>
      </w:r>
      <w:r w:rsidR="007C30AF" w:rsidRPr="00A50E4D">
        <w:rPr>
          <w:szCs w:val="20"/>
          <w:lang w:val="en-US"/>
        </w:rPr>
        <w:instrText xml:space="preserve"> REF _Ref426552215 \r \h  \* MERGEFORMAT </w:instrText>
      </w:r>
      <w:r w:rsidR="007C30AF" w:rsidRPr="00914F55">
        <w:rPr>
          <w:szCs w:val="20"/>
          <w:lang w:val="en-US"/>
        </w:rPr>
      </w:r>
      <w:r w:rsidR="007C30AF" w:rsidRPr="00914F55">
        <w:rPr>
          <w:szCs w:val="20"/>
          <w:lang w:val="en-US"/>
        </w:rPr>
        <w:fldChar w:fldCharType="separate"/>
      </w:r>
      <w:r w:rsidR="00547588">
        <w:rPr>
          <w:szCs w:val="20"/>
          <w:lang w:val="en-US"/>
        </w:rPr>
        <w:t>145</w:t>
      </w:r>
      <w:r w:rsidR="007C30AF" w:rsidRPr="00914F55">
        <w:rPr>
          <w:szCs w:val="20"/>
          <w:lang w:val="en-US"/>
        </w:rPr>
        <w:fldChar w:fldCharType="end"/>
      </w:r>
      <w:r w:rsidR="007C30AF" w:rsidRPr="00A50E4D">
        <w:rPr>
          <w:lang w:val="en-US"/>
        </w:rPr>
        <w:t>).</w:t>
      </w:r>
      <w:bookmarkEnd w:id="376"/>
      <w:r w:rsidR="007C30AF" w:rsidRPr="00A50E4D">
        <w:rPr>
          <w:lang w:val="en-US"/>
        </w:rPr>
        <w:t xml:space="preserve"> </w:t>
      </w:r>
      <w:bookmarkStart w:id="377" w:name="_Ref427639976"/>
    </w:p>
    <w:p w14:paraId="1B396D26" w14:textId="77777777" w:rsidR="007C30AF" w:rsidRPr="00A50E4D" w:rsidRDefault="007C30AF" w:rsidP="007C30AF">
      <w:pPr>
        <w:pStyle w:val="PrrafodeSentencia"/>
        <w:numPr>
          <w:ilvl w:val="0"/>
          <w:numId w:val="0"/>
        </w:numPr>
        <w:rPr>
          <w:rFonts w:eastAsia="Calibri"/>
          <w:sz w:val="16"/>
          <w:szCs w:val="16"/>
          <w:lang w:val="en-US"/>
        </w:rPr>
      </w:pPr>
    </w:p>
    <w:p w14:paraId="051D058D" w14:textId="398922CB" w:rsidR="007C30AF" w:rsidRPr="00A50E4D" w:rsidRDefault="009808C5" w:rsidP="00F476E8">
      <w:pPr>
        <w:pStyle w:val="PrrafodeSentencia"/>
        <w:rPr>
          <w:rFonts w:eastAsia="Calibri"/>
          <w:szCs w:val="20"/>
          <w:lang w:val="en-US"/>
        </w:rPr>
      </w:pPr>
      <w:r w:rsidRPr="00A50E4D">
        <w:rPr>
          <w:lang w:val="en-US"/>
        </w:rPr>
        <w:t>The Court</w:t>
      </w:r>
      <w:r w:rsidR="00F476E8" w:rsidRPr="00A50E4D">
        <w:rPr>
          <w:lang w:val="en-US"/>
        </w:rPr>
        <w:t xml:space="preserve"> considers that this regulatory framework affected the predictability of the sanction because it permitted the dismissal of a judge based on non-compliance with any of the obligations or incompatibilities of his office when th</w:t>
      </w:r>
      <w:r w:rsidR="00D63123" w:rsidRPr="00A50E4D">
        <w:rPr>
          <w:lang w:val="en-US"/>
        </w:rPr>
        <w:t>e court understood that it was</w:t>
      </w:r>
      <w:r w:rsidR="00F476E8" w:rsidRPr="00A50E4D">
        <w:rPr>
          <w:lang w:val="en-US"/>
        </w:rPr>
        <w:t xml:space="preserve"> serious non-compliance; thus it granted excessive discretionary power to the </w:t>
      </w:r>
      <w:r w:rsidR="00D63123" w:rsidRPr="00A50E4D">
        <w:rPr>
          <w:lang w:val="en-US"/>
        </w:rPr>
        <w:t>body</w:t>
      </w:r>
      <w:r w:rsidR="00F476E8" w:rsidRPr="00A50E4D">
        <w:rPr>
          <w:lang w:val="en-US"/>
        </w:rPr>
        <w:t xml:space="preserve"> responsible for applying the sanction. This Court finds that some degree of imprecision does not result, </w:t>
      </w:r>
      <w:r w:rsidR="00F476E8" w:rsidRPr="00A50E4D">
        <w:rPr>
          <w:i/>
          <w:szCs w:val="20"/>
          <w:lang w:val="en-US"/>
        </w:rPr>
        <w:t>per se</w:t>
      </w:r>
      <w:r w:rsidR="00F476E8" w:rsidRPr="00A50E4D">
        <w:rPr>
          <w:szCs w:val="20"/>
          <w:lang w:val="en-US"/>
        </w:rPr>
        <w:t>, in a violation of the Convention; in other words, the fact that a law grants some discretionary power is not incompatible with the degree of predictability required, provided that the scope of the discretion and the way in which it should be exercised are indicated with sufficient clarity in order to provide adequate protection against arbitrary interference.</w:t>
      </w:r>
      <w:r w:rsidR="007C30AF" w:rsidRPr="00A50E4D">
        <w:rPr>
          <w:rStyle w:val="FootnoteReference"/>
          <w:sz w:val="20"/>
          <w:szCs w:val="20"/>
          <w:lang w:val="en-US"/>
        </w:rPr>
        <w:footnoteReference w:id="436"/>
      </w:r>
      <w:r w:rsidR="00F476E8" w:rsidRPr="00A50E4D">
        <w:rPr>
          <w:szCs w:val="20"/>
          <w:lang w:val="en-US"/>
        </w:rPr>
        <w:t xml:space="preserve"> Consequently, </w:t>
      </w:r>
      <w:bookmarkStart w:id="378" w:name="_Ref427864288"/>
      <w:bookmarkStart w:id="379" w:name="_Ref427639992"/>
      <w:bookmarkEnd w:id="377"/>
      <w:r w:rsidRPr="00A50E4D">
        <w:rPr>
          <w:rFonts w:eastAsia="Calibri"/>
          <w:szCs w:val="20"/>
          <w:lang w:val="en-US"/>
        </w:rPr>
        <w:t>the Court</w:t>
      </w:r>
      <w:r w:rsidR="007C30AF" w:rsidRPr="00A50E4D">
        <w:rPr>
          <w:rFonts w:eastAsia="Calibri"/>
          <w:szCs w:val="20"/>
          <w:lang w:val="en-US"/>
        </w:rPr>
        <w:t xml:space="preserve"> consider</w:t>
      </w:r>
      <w:r w:rsidR="00F476E8" w:rsidRPr="00A50E4D">
        <w:rPr>
          <w:rFonts w:eastAsia="Calibri"/>
          <w:szCs w:val="20"/>
          <w:lang w:val="en-US"/>
        </w:rPr>
        <w:t xml:space="preserve">s that the disciplinary norms applicable to the cases </w:t>
      </w:r>
      <w:r w:rsidR="00371BB7" w:rsidRPr="00A50E4D">
        <w:rPr>
          <w:szCs w:val="20"/>
          <w:lang w:val="en-US"/>
        </w:rPr>
        <w:t>of the presumed victims</w:t>
      </w:r>
      <w:r w:rsidR="007C30AF" w:rsidRPr="00A50E4D">
        <w:rPr>
          <w:szCs w:val="20"/>
          <w:lang w:val="en-US"/>
        </w:rPr>
        <w:t xml:space="preserve"> </w:t>
      </w:r>
      <w:r w:rsidR="00F476E8" w:rsidRPr="00A50E4D">
        <w:rPr>
          <w:szCs w:val="20"/>
          <w:lang w:val="en-US"/>
        </w:rPr>
        <w:t>granted excessive discretionary powers to the court in the establishment of the sanction of dismissal.</w:t>
      </w:r>
      <w:r w:rsidR="007C30AF" w:rsidRPr="00A50E4D">
        <w:rPr>
          <w:szCs w:val="20"/>
          <w:lang w:val="en-US"/>
        </w:rPr>
        <w:t xml:space="preserve"> </w:t>
      </w:r>
    </w:p>
    <w:p w14:paraId="456AB549" w14:textId="77777777" w:rsidR="007C30AF" w:rsidRPr="00A50E4D" w:rsidRDefault="007C30AF" w:rsidP="007C30AF">
      <w:pPr>
        <w:rPr>
          <w:lang w:val="en-US"/>
        </w:rPr>
      </w:pPr>
    </w:p>
    <w:p w14:paraId="29B97ACD" w14:textId="115AA251" w:rsidR="007C30AF" w:rsidRPr="00A50E4D" w:rsidRDefault="00F476E8" w:rsidP="007C30AF">
      <w:pPr>
        <w:pStyle w:val="PrrafodeSentencia"/>
        <w:rPr>
          <w:rFonts w:eastAsia="Calibri"/>
          <w:sz w:val="16"/>
          <w:szCs w:val="16"/>
          <w:lang w:val="en-US"/>
        </w:rPr>
      </w:pPr>
      <w:bookmarkStart w:id="380" w:name="_Ref434420175"/>
      <w:r w:rsidRPr="00A50E4D">
        <w:rPr>
          <w:szCs w:val="20"/>
          <w:lang w:val="en-US"/>
        </w:rPr>
        <w:t>In addition, regard</w:t>
      </w:r>
      <w:r w:rsidR="00D63123" w:rsidRPr="00A50E4D">
        <w:rPr>
          <w:szCs w:val="20"/>
          <w:lang w:val="en-US"/>
        </w:rPr>
        <w:t>ing</w:t>
      </w:r>
      <w:r w:rsidRPr="00A50E4D">
        <w:rPr>
          <w:szCs w:val="20"/>
          <w:lang w:val="en-US"/>
        </w:rPr>
        <w:t xml:space="preserve"> the </w:t>
      </w:r>
      <w:r w:rsidR="00D63123" w:rsidRPr="00A50E4D">
        <w:rPr>
          <w:szCs w:val="20"/>
          <w:lang w:val="en-US"/>
        </w:rPr>
        <w:t>definition</w:t>
      </w:r>
      <w:r w:rsidRPr="00A50E4D">
        <w:rPr>
          <w:szCs w:val="20"/>
          <w:lang w:val="en-US"/>
        </w:rPr>
        <w:t xml:space="preserve"> </w:t>
      </w:r>
      <w:r w:rsidR="00D63123" w:rsidRPr="00A50E4D">
        <w:rPr>
          <w:szCs w:val="20"/>
          <w:lang w:val="en-US"/>
        </w:rPr>
        <w:t>of the punishable conducts, the</w:t>
      </w:r>
      <w:r w:rsidRPr="00A50E4D">
        <w:rPr>
          <w:szCs w:val="20"/>
          <w:lang w:val="en-US"/>
        </w:rPr>
        <w:t xml:space="preserve"> Court points out that </w:t>
      </w:r>
      <w:r w:rsidR="00371BB7" w:rsidRPr="00A50E4D">
        <w:rPr>
          <w:szCs w:val="20"/>
          <w:lang w:val="en-US"/>
        </w:rPr>
        <w:t>the presumed victims</w:t>
      </w:r>
      <w:r w:rsidR="007C30AF" w:rsidRPr="00A50E4D">
        <w:rPr>
          <w:szCs w:val="20"/>
          <w:lang w:val="en-US"/>
        </w:rPr>
        <w:t xml:space="preserve"> </w:t>
      </w:r>
      <w:r w:rsidRPr="00A50E4D">
        <w:rPr>
          <w:szCs w:val="20"/>
          <w:lang w:val="en-US"/>
        </w:rPr>
        <w:t>received disciplinary sanctions based on numerous norm</w:t>
      </w:r>
      <w:r w:rsidR="007C30AF" w:rsidRPr="00A50E4D">
        <w:rPr>
          <w:szCs w:val="20"/>
          <w:lang w:val="en-US"/>
        </w:rPr>
        <w:t>s.</w:t>
      </w:r>
      <w:bookmarkEnd w:id="378"/>
      <w:r w:rsidR="007C30AF" w:rsidRPr="00A50E4D">
        <w:rPr>
          <w:szCs w:val="20"/>
          <w:lang w:val="en-US"/>
        </w:rPr>
        <w:t xml:space="preserve"> </w:t>
      </w:r>
      <w:r w:rsidR="009808C5" w:rsidRPr="00A50E4D">
        <w:rPr>
          <w:szCs w:val="20"/>
          <w:lang w:val="en-US"/>
        </w:rPr>
        <w:t>The Court</w:t>
      </w:r>
      <w:r w:rsidR="007C30AF" w:rsidRPr="00A50E4D">
        <w:rPr>
          <w:szCs w:val="20"/>
          <w:lang w:val="en-US"/>
        </w:rPr>
        <w:t xml:space="preserve"> </w:t>
      </w:r>
      <w:r w:rsidRPr="00A50E4D">
        <w:rPr>
          <w:szCs w:val="20"/>
          <w:lang w:val="en-US"/>
        </w:rPr>
        <w:t>recalls that</w:t>
      </w:r>
      <w:r w:rsidR="007C30AF" w:rsidRPr="00A50E4D">
        <w:rPr>
          <w:szCs w:val="20"/>
          <w:lang w:val="en-US"/>
        </w:rPr>
        <w:t xml:space="preserve"> </w:t>
      </w:r>
      <w:r w:rsidR="00371BB7" w:rsidRPr="00A50E4D">
        <w:rPr>
          <w:szCs w:val="20"/>
          <w:lang w:val="en-US"/>
        </w:rPr>
        <w:t>the presumed victims</w:t>
      </w:r>
      <w:r w:rsidR="007C30AF" w:rsidRPr="00A50E4D">
        <w:rPr>
          <w:szCs w:val="20"/>
          <w:lang w:val="en-US"/>
        </w:rPr>
        <w:t xml:space="preserve"> </w:t>
      </w:r>
      <w:r w:rsidRPr="00A50E4D">
        <w:rPr>
          <w:szCs w:val="20"/>
          <w:lang w:val="en-US"/>
        </w:rPr>
        <w:t xml:space="preserve">were initially dismissed by means of </w:t>
      </w:r>
      <w:r w:rsidR="00D63123" w:rsidRPr="00A50E4D">
        <w:rPr>
          <w:szCs w:val="20"/>
          <w:lang w:val="en-US"/>
        </w:rPr>
        <w:t xml:space="preserve">a </w:t>
      </w:r>
      <w:r w:rsidRPr="00A50E4D">
        <w:rPr>
          <w:szCs w:val="20"/>
          <w:lang w:val="en-US"/>
        </w:rPr>
        <w:t xml:space="preserve">decision of </w:t>
      </w:r>
      <w:r w:rsidR="00CA5D96" w:rsidRPr="00A50E4D">
        <w:rPr>
          <w:szCs w:val="20"/>
          <w:lang w:val="en-US"/>
        </w:rPr>
        <w:t>the plenum</w:t>
      </w:r>
      <w:r w:rsidR="009808C5" w:rsidRPr="00A50E4D">
        <w:rPr>
          <w:szCs w:val="20"/>
          <w:lang w:val="en-US"/>
        </w:rPr>
        <w:t xml:space="preserve"> of the </w:t>
      </w:r>
      <w:r w:rsidR="00371BB7" w:rsidRPr="00A50E4D">
        <w:rPr>
          <w:szCs w:val="20"/>
          <w:lang w:val="en-US"/>
        </w:rPr>
        <w:t>Supreme Court of Justice</w:t>
      </w:r>
      <w:r w:rsidR="007C30AF" w:rsidRPr="00A50E4D">
        <w:rPr>
          <w:szCs w:val="20"/>
          <w:lang w:val="en-US"/>
        </w:rPr>
        <w:t xml:space="preserve"> (</w:t>
      </w:r>
      <w:r w:rsidR="007C30AF" w:rsidRPr="00A50E4D">
        <w:rPr>
          <w:i/>
          <w:szCs w:val="20"/>
          <w:lang w:val="en-US"/>
        </w:rPr>
        <w:t>supra</w:t>
      </w:r>
      <w:r w:rsidR="007C30AF" w:rsidRPr="00A50E4D">
        <w:rPr>
          <w:szCs w:val="20"/>
          <w:lang w:val="en-US"/>
        </w:rPr>
        <w:t xml:space="preserve"> </w:t>
      </w:r>
      <w:r w:rsidR="00AD5EE7" w:rsidRPr="00A50E4D">
        <w:rPr>
          <w:szCs w:val="20"/>
          <w:lang w:val="en-US"/>
        </w:rPr>
        <w:t>paras.</w:t>
      </w:r>
      <w:r w:rsidR="007C30AF" w:rsidRPr="00A50E4D">
        <w:rPr>
          <w:szCs w:val="20"/>
          <w:lang w:val="en-US"/>
        </w:rPr>
        <w:t xml:space="preserve"> </w:t>
      </w:r>
      <w:r w:rsidR="007C30AF" w:rsidRPr="00914F55">
        <w:rPr>
          <w:szCs w:val="20"/>
          <w:lang w:val="en-US"/>
        </w:rPr>
        <w:fldChar w:fldCharType="begin"/>
      </w:r>
      <w:r w:rsidR="007C30AF" w:rsidRPr="00A50E4D">
        <w:rPr>
          <w:szCs w:val="20"/>
          <w:lang w:val="en-US"/>
        </w:rPr>
        <w:instrText xml:space="preserve"> REF _Ref427311472 \r \h  \* MERGEFORMAT </w:instrText>
      </w:r>
      <w:r w:rsidR="007C30AF" w:rsidRPr="00914F55">
        <w:rPr>
          <w:szCs w:val="20"/>
          <w:lang w:val="en-US"/>
        </w:rPr>
      </w:r>
      <w:r w:rsidR="007C30AF" w:rsidRPr="00914F55">
        <w:rPr>
          <w:szCs w:val="20"/>
          <w:lang w:val="en-US"/>
        </w:rPr>
        <w:fldChar w:fldCharType="separate"/>
      </w:r>
      <w:r w:rsidR="00547588">
        <w:rPr>
          <w:szCs w:val="20"/>
          <w:lang w:val="en-US"/>
        </w:rPr>
        <w:t>95</w:t>
      </w:r>
      <w:r w:rsidR="007C30AF" w:rsidRPr="00914F55">
        <w:rPr>
          <w:szCs w:val="20"/>
          <w:lang w:val="en-US"/>
        </w:rPr>
        <w:fldChar w:fldCharType="end"/>
      </w:r>
      <w:r w:rsidR="007C30AF" w:rsidRPr="00A50E4D">
        <w:rPr>
          <w:szCs w:val="20"/>
          <w:lang w:val="en-US"/>
        </w:rPr>
        <w:t xml:space="preserve">, </w:t>
      </w:r>
      <w:r w:rsidR="007C30AF" w:rsidRPr="00914F55">
        <w:rPr>
          <w:szCs w:val="20"/>
          <w:lang w:val="en-US"/>
        </w:rPr>
        <w:fldChar w:fldCharType="begin"/>
      </w:r>
      <w:r w:rsidR="007C30AF" w:rsidRPr="00A50E4D">
        <w:rPr>
          <w:szCs w:val="20"/>
          <w:lang w:val="en-US"/>
        </w:rPr>
        <w:instrText xml:space="preserve"> REF _Ref427311483 \r \h  \* MERGEFORMAT </w:instrText>
      </w:r>
      <w:r w:rsidR="007C30AF" w:rsidRPr="00914F55">
        <w:rPr>
          <w:szCs w:val="20"/>
          <w:lang w:val="en-US"/>
        </w:rPr>
      </w:r>
      <w:r w:rsidR="007C30AF" w:rsidRPr="00914F55">
        <w:rPr>
          <w:szCs w:val="20"/>
          <w:lang w:val="en-US"/>
        </w:rPr>
        <w:fldChar w:fldCharType="separate"/>
      </w:r>
      <w:r w:rsidR="00547588">
        <w:rPr>
          <w:szCs w:val="20"/>
          <w:lang w:val="en-US"/>
        </w:rPr>
        <w:t>115</w:t>
      </w:r>
      <w:r w:rsidR="007C30AF" w:rsidRPr="00914F55">
        <w:rPr>
          <w:szCs w:val="20"/>
          <w:lang w:val="en-US"/>
        </w:rPr>
        <w:fldChar w:fldCharType="end"/>
      </w:r>
      <w:r w:rsidR="007C30AF" w:rsidRPr="00A50E4D">
        <w:rPr>
          <w:szCs w:val="20"/>
          <w:lang w:val="en-US"/>
        </w:rPr>
        <w:t xml:space="preserve">, </w:t>
      </w:r>
      <w:r w:rsidR="007C30AF" w:rsidRPr="00914F55">
        <w:rPr>
          <w:szCs w:val="20"/>
          <w:lang w:val="en-US"/>
        </w:rPr>
        <w:fldChar w:fldCharType="begin"/>
      </w:r>
      <w:r w:rsidR="007C30AF" w:rsidRPr="00A50E4D">
        <w:rPr>
          <w:szCs w:val="20"/>
          <w:lang w:val="en-US"/>
        </w:rPr>
        <w:instrText xml:space="preserve"> REF _Ref426373726 \r \h  \* MERGEFORMAT </w:instrText>
      </w:r>
      <w:r w:rsidR="007C30AF" w:rsidRPr="00914F55">
        <w:rPr>
          <w:szCs w:val="20"/>
          <w:lang w:val="en-US"/>
        </w:rPr>
      </w:r>
      <w:r w:rsidR="007C30AF" w:rsidRPr="00914F55">
        <w:rPr>
          <w:szCs w:val="20"/>
          <w:lang w:val="en-US"/>
        </w:rPr>
        <w:fldChar w:fldCharType="separate"/>
      </w:r>
      <w:r w:rsidR="00547588">
        <w:rPr>
          <w:szCs w:val="20"/>
          <w:lang w:val="en-US"/>
        </w:rPr>
        <w:t>132</w:t>
      </w:r>
      <w:r w:rsidR="007C30AF" w:rsidRPr="00914F55">
        <w:rPr>
          <w:szCs w:val="20"/>
          <w:lang w:val="en-US"/>
        </w:rPr>
        <w:fldChar w:fldCharType="end"/>
      </w:r>
      <w:r w:rsidR="009808C5" w:rsidRPr="00A50E4D">
        <w:rPr>
          <w:szCs w:val="20"/>
          <w:lang w:val="en-US"/>
        </w:rPr>
        <w:t xml:space="preserve"> and </w:t>
      </w:r>
      <w:r w:rsidR="007C30AF" w:rsidRPr="00914F55">
        <w:rPr>
          <w:b/>
          <w:szCs w:val="20"/>
          <w:lang w:val="en-US"/>
        </w:rPr>
        <w:fldChar w:fldCharType="begin"/>
      </w:r>
      <w:r w:rsidR="007C30AF" w:rsidRPr="00A50E4D">
        <w:rPr>
          <w:szCs w:val="20"/>
          <w:lang w:val="en-US"/>
        </w:rPr>
        <w:instrText xml:space="preserve"> REF _Ref426552215 \r \h </w:instrText>
      </w:r>
      <w:r w:rsidR="007C30AF" w:rsidRPr="00A50E4D">
        <w:rPr>
          <w:b/>
          <w:szCs w:val="20"/>
          <w:lang w:val="en-US"/>
        </w:rPr>
        <w:instrText xml:space="preserve"> \* MERGEFORMAT </w:instrText>
      </w:r>
      <w:r w:rsidR="007C30AF" w:rsidRPr="00914F55">
        <w:rPr>
          <w:b/>
          <w:szCs w:val="20"/>
          <w:lang w:val="en-US"/>
        </w:rPr>
      </w:r>
      <w:r w:rsidR="007C30AF" w:rsidRPr="00914F55">
        <w:rPr>
          <w:b/>
          <w:szCs w:val="20"/>
          <w:lang w:val="en-US"/>
        </w:rPr>
        <w:fldChar w:fldCharType="separate"/>
      </w:r>
      <w:r w:rsidR="00547588">
        <w:rPr>
          <w:szCs w:val="20"/>
          <w:lang w:val="en-US"/>
        </w:rPr>
        <w:t>145</w:t>
      </w:r>
      <w:r w:rsidR="007C30AF" w:rsidRPr="00914F55">
        <w:rPr>
          <w:b/>
          <w:szCs w:val="20"/>
          <w:lang w:val="en-US"/>
        </w:rPr>
        <w:fldChar w:fldCharType="end"/>
      </w:r>
      <w:r w:rsidR="007C30AF" w:rsidRPr="00A50E4D">
        <w:rPr>
          <w:szCs w:val="20"/>
          <w:lang w:val="en-US"/>
        </w:rPr>
        <w:t>)</w:t>
      </w:r>
      <w:r w:rsidRPr="00A50E4D">
        <w:rPr>
          <w:szCs w:val="20"/>
          <w:lang w:val="en-US"/>
        </w:rPr>
        <w:t>.</w:t>
      </w:r>
      <w:r w:rsidR="007C30AF" w:rsidRPr="00A50E4D">
        <w:rPr>
          <w:rStyle w:val="FootnoteReference"/>
          <w:sz w:val="20"/>
          <w:szCs w:val="20"/>
          <w:lang w:val="en-US"/>
        </w:rPr>
        <w:footnoteReference w:id="437"/>
      </w:r>
      <w:r w:rsidRPr="00A50E4D">
        <w:rPr>
          <w:szCs w:val="20"/>
          <w:lang w:val="en-US"/>
        </w:rPr>
        <w:t xml:space="preserve"> In this regard, this Court notes that, each </w:t>
      </w:r>
      <w:r w:rsidR="00D63123" w:rsidRPr="00A50E4D">
        <w:rPr>
          <w:szCs w:val="20"/>
          <w:lang w:val="en-US"/>
        </w:rPr>
        <w:t>decision included</w:t>
      </w:r>
      <w:r w:rsidRPr="00A50E4D">
        <w:rPr>
          <w:szCs w:val="20"/>
          <w:lang w:val="en-US"/>
        </w:rPr>
        <w:t xml:space="preserve"> a short descriptio</w:t>
      </w:r>
      <w:r w:rsidR="00D63123" w:rsidRPr="00A50E4D">
        <w:rPr>
          <w:szCs w:val="20"/>
          <w:lang w:val="en-US"/>
        </w:rPr>
        <w:t>n of the acts or conducts that we</w:t>
      </w:r>
      <w:r w:rsidRPr="00A50E4D">
        <w:rPr>
          <w:szCs w:val="20"/>
          <w:lang w:val="en-US"/>
        </w:rPr>
        <w:t>re bei</w:t>
      </w:r>
      <w:r w:rsidR="00D63123" w:rsidRPr="00A50E4D">
        <w:rPr>
          <w:szCs w:val="20"/>
          <w:lang w:val="en-US"/>
        </w:rPr>
        <w:t>ng punished, and then enumerated the norms that had</w:t>
      </w:r>
      <w:r w:rsidRPr="00A50E4D">
        <w:rPr>
          <w:szCs w:val="20"/>
          <w:lang w:val="en-US"/>
        </w:rPr>
        <w:t xml:space="preserve"> supposedly been infringed, without explaining sufficiently the relationship between the acts and the norms indicated </w:t>
      </w:r>
      <w:r w:rsidR="007C30AF" w:rsidRPr="00A50E4D">
        <w:rPr>
          <w:lang w:val="en-US"/>
        </w:rPr>
        <w:t>(</w:t>
      </w:r>
      <w:r w:rsidR="007C30AF" w:rsidRPr="00A50E4D">
        <w:rPr>
          <w:i/>
          <w:lang w:val="en-US"/>
        </w:rPr>
        <w:t>supra</w:t>
      </w:r>
      <w:r w:rsidR="007C30AF" w:rsidRPr="00A50E4D">
        <w:rPr>
          <w:lang w:val="en-US"/>
        </w:rPr>
        <w:t xml:space="preserve"> </w:t>
      </w:r>
      <w:r w:rsidR="00AD5EE7" w:rsidRPr="00A50E4D">
        <w:rPr>
          <w:lang w:val="en-US"/>
        </w:rPr>
        <w:t>paras.</w:t>
      </w:r>
      <w:r w:rsidR="007C30AF" w:rsidRPr="00A50E4D">
        <w:rPr>
          <w:lang w:val="en-US"/>
        </w:rPr>
        <w:t xml:space="preserve"> </w:t>
      </w:r>
      <w:r w:rsidR="007C30AF" w:rsidRPr="00914F55">
        <w:rPr>
          <w:b/>
          <w:lang w:val="en-US"/>
        </w:rPr>
        <w:fldChar w:fldCharType="begin"/>
      </w:r>
      <w:r w:rsidR="007C30AF" w:rsidRPr="00A50E4D">
        <w:rPr>
          <w:lang w:val="en-US"/>
        </w:rPr>
        <w:instrText xml:space="preserve"> REF _Ref427311472 \r \h </w:instrText>
      </w:r>
      <w:r w:rsidR="007C30AF" w:rsidRPr="00A50E4D">
        <w:rPr>
          <w:b/>
          <w:lang w:val="en-US"/>
        </w:rPr>
        <w:instrText xml:space="preserve"> \* MERGEFORMAT </w:instrText>
      </w:r>
      <w:r w:rsidR="007C30AF" w:rsidRPr="00914F55">
        <w:rPr>
          <w:b/>
          <w:lang w:val="en-US"/>
        </w:rPr>
      </w:r>
      <w:r w:rsidR="007C30AF" w:rsidRPr="00914F55">
        <w:rPr>
          <w:b/>
          <w:lang w:val="en-US"/>
        </w:rPr>
        <w:fldChar w:fldCharType="separate"/>
      </w:r>
      <w:r w:rsidR="00547588">
        <w:rPr>
          <w:lang w:val="en-US"/>
        </w:rPr>
        <w:t>95</w:t>
      </w:r>
      <w:r w:rsidR="007C30AF" w:rsidRPr="00914F55">
        <w:rPr>
          <w:b/>
          <w:lang w:val="en-US"/>
        </w:rPr>
        <w:fldChar w:fldCharType="end"/>
      </w:r>
      <w:r w:rsidR="007C30AF" w:rsidRPr="00A50E4D">
        <w:rPr>
          <w:lang w:val="en-US"/>
        </w:rPr>
        <w:t xml:space="preserve">, </w:t>
      </w:r>
      <w:r w:rsidR="007C30AF" w:rsidRPr="00914F55">
        <w:rPr>
          <w:lang w:val="en-US"/>
        </w:rPr>
        <w:fldChar w:fldCharType="begin"/>
      </w:r>
      <w:r w:rsidR="007C30AF" w:rsidRPr="00A50E4D">
        <w:rPr>
          <w:lang w:val="en-US"/>
        </w:rPr>
        <w:instrText xml:space="preserve"> REF _Ref427311483 \r \h  \* MERGEFORMAT </w:instrText>
      </w:r>
      <w:r w:rsidR="007C30AF" w:rsidRPr="00914F55">
        <w:rPr>
          <w:lang w:val="en-US"/>
        </w:rPr>
      </w:r>
      <w:r w:rsidR="007C30AF" w:rsidRPr="00914F55">
        <w:rPr>
          <w:lang w:val="en-US"/>
        </w:rPr>
        <w:fldChar w:fldCharType="separate"/>
      </w:r>
      <w:r w:rsidR="00547588">
        <w:rPr>
          <w:lang w:val="en-US"/>
        </w:rPr>
        <w:t>115</w:t>
      </w:r>
      <w:r w:rsidR="007C30AF" w:rsidRPr="00914F55">
        <w:rPr>
          <w:lang w:val="en-US"/>
        </w:rPr>
        <w:fldChar w:fldCharType="end"/>
      </w:r>
      <w:r w:rsidR="007C30AF" w:rsidRPr="00A50E4D">
        <w:rPr>
          <w:lang w:val="en-US"/>
        </w:rPr>
        <w:t xml:space="preserve">, </w:t>
      </w:r>
      <w:r w:rsidR="007C30AF" w:rsidRPr="00914F55">
        <w:rPr>
          <w:lang w:val="en-US"/>
        </w:rPr>
        <w:fldChar w:fldCharType="begin"/>
      </w:r>
      <w:r w:rsidR="007C30AF" w:rsidRPr="00A50E4D">
        <w:rPr>
          <w:lang w:val="en-US"/>
        </w:rPr>
        <w:instrText xml:space="preserve"> REF _Ref426373726 \r \h  \* MERGEFORMAT </w:instrText>
      </w:r>
      <w:r w:rsidR="007C30AF" w:rsidRPr="00914F55">
        <w:rPr>
          <w:lang w:val="en-US"/>
        </w:rPr>
      </w:r>
      <w:r w:rsidR="007C30AF" w:rsidRPr="00914F55">
        <w:rPr>
          <w:lang w:val="en-US"/>
        </w:rPr>
        <w:fldChar w:fldCharType="separate"/>
      </w:r>
      <w:r w:rsidR="00547588">
        <w:rPr>
          <w:lang w:val="en-US"/>
        </w:rPr>
        <w:t>132</w:t>
      </w:r>
      <w:r w:rsidR="007C30AF" w:rsidRPr="00914F55">
        <w:rPr>
          <w:lang w:val="en-US"/>
        </w:rPr>
        <w:fldChar w:fldCharType="end"/>
      </w:r>
      <w:r w:rsidR="009808C5" w:rsidRPr="00A50E4D">
        <w:rPr>
          <w:lang w:val="en-US"/>
        </w:rPr>
        <w:t xml:space="preserve"> and </w:t>
      </w:r>
      <w:r w:rsidR="007C30AF" w:rsidRPr="00914F55">
        <w:rPr>
          <w:lang w:val="en-US"/>
        </w:rPr>
        <w:fldChar w:fldCharType="begin"/>
      </w:r>
      <w:r w:rsidR="007C30AF" w:rsidRPr="00A50E4D">
        <w:rPr>
          <w:lang w:val="en-US"/>
        </w:rPr>
        <w:instrText xml:space="preserve"> REF _Ref426552215 \r \h  \* MERGEFORMAT </w:instrText>
      </w:r>
      <w:r w:rsidR="007C30AF" w:rsidRPr="00914F55">
        <w:rPr>
          <w:lang w:val="en-US"/>
        </w:rPr>
      </w:r>
      <w:r w:rsidR="007C30AF" w:rsidRPr="00914F55">
        <w:rPr>
          <w:lang w:val="en-US"/>
        </w:rPr>
        <w:fldChar w:fldCharType="separate"/>
      </w:r>
      <w:r w:rsidR="00547588">
        <w:rPr>
          <w:lang w:val="en-US"/>
        </w:rPr>
        <w:t>145</w:t>
      </w:r>
      <w:r w:rsidR="007C30AF" w:rsidRPr="00914F55">
        <w:rPr>
          <w:lang w:val="en-US"/>
        </w:rPr>
        <w:fldChar w:fldCharType="end"/>
      </w:r>
      <w:r w:rsidR="007C30AF" w:rsidRPr="00A50E4D">
        <w:rPr>
          <w:lang w:val="en-US"/>
        </w:rPr>
        <w:t xml:space="preserve">). </w:t>
      </w:r>
      <w:r w:rsidR="009808C5" w:rsidRPr="00A50E4D">
        <w:rPr>
          <w:lang w:val="en-US"/>
        </w:rPr>
        <w:t>The Court</w:t>
      </w:r>
      <w:r w:rsidRPr="00A50E4D">
        <w:rPr>
          <w:lang w:val="en-US"/>
        </w:rPr>
        <w:t xml:space="preserve"> notes that the mere enumeration of the </w:t>
      </w:r>
      <w:r w:rsidR="000A786A" w:rsidRPr="00A50E4D">
        <w:rPr>
          <w:lang w:val="en-US"/>
        </w:rPr>
        <w:t>norms</w:t>
      </w:r>
      <w:r w:rsidRPr="00A50E4D">
        <w:rPr>
          <w:lang w:val="en-US"/>
        </w:rPr>
        <w:t xml:space="preserve"> that could be applicable to the acts or conducts does not meet the requirements of </w:t>
      </w:r>
      <w:r w:rsidR="00D63123" w:rsidRPr="00A50E4D">
        <w:rPr>
          <w:lang w:val="en-US"/>
        </w:rPr>
        <w:t xml:space="preserve">an </w:t>
      </w:r>
      <w:r w:rsidRPr="00A50E4D">
        <w:rPr>
          <w:lang w:val="en-US"/>
        </w:rPr>
        <w:t xml:space="preserve">adequate </w:t>
      </w:r>
      <w:bookmarkEnd w:id="380"/>
      <w:r w:rsidR="00D63123" w:rsidRPr="00A50E4D">
        <w:rPr>
          <w:lang w:val="en-US"/>
        </w:rPr>
        <w:t>reasoning.</w:t>
      </w:r>
    </w:p>
    <w:p w14:paraId="4BA8D6AD" w14:textId="77777777" w:rsidR="007C30AF" w:rsidRPr="00A50E4D" w:rsidRDefault="007C30AF" w:rsidP="007C30AF">
      <w:pPr>
        <w:rPr>
          <w:lang w:val="en-US" w:eastAsia="es-MX"/>
        </w:rPr>
      </w:pPr>
    </w:p>
    <w:p w14:paraId="27407A46" w14:textId="4899BE4A" w:rsidR="007C30AF" w:rsidRPr="00A50E4D" w:rsidRDefault="008055A4" w:rsidP="008055A4">
      <w:pPr>
        <w:pStyle w:val="PrrafodeSentencia"/>
        <w:rPr>
          <w:lang w:val="en-US"/>
        </w:rPr>
      </w:pPr>
      <w:r w:rsidRPr="00A50E4D">
        <w:rPr>
          <w:lang w:val="en-US"/>
        </w:rPr>
        <w:t xml:space="preserve">However, in the two cases in which the dismissals were confirmed by the Superior Council of the Judicial Service </w:t>
      </w:r>
      <w:r w:rsidR="007C30AF" w:rsidRPr="00A50E4D">
        <w:rPr>
          <w:lang w:val="en-US"/>
        </w:rPr>
        <w:t>(Adán Guillermo López Lone</w:t>
      </w:r>
      <w:r w:rsidR="009808C5" w:rsidRPr="00A50E4D">
        <w:rPr>
          <w:lang w:val="en-US"/>
        </w:rPr>
        <w:t xml:space="preserve"> and </w:t>
      </w:r>
      <w:r w:rsidR="008217D7" w:rsidRPr="00A50E4D">
        <w:rPr>
          <w:lang w:val="en-US"/>
        </w:rPr>
        <w:t>Tirza del Carmen</w:t>
      </w:r>
      <w:r w:rsidR="007C30AF" w:rsidRPr="00A50E4D">
        <w:rPr>
          <w:lang w:val="en-US"/>
        </w:rPr>
        <w:t xml:space="preserve"> Flores Lanza), </w:t>
      </w:r>
      <w:r w:rsidRPr="00A50E4D">
        <w:rPr>
          <w:lang w:val="en-US"/>
        </w:rPr>
        <w:t>the decisions issued by this body contain</w:t>
      </w:r>
      <w:r w:rsidR="00D63123" w:rsidRPr="00A50E4D">
        <w:rPr>
          <w:lang w:val="en-US"/>
        </w:rPr>
        <w:t>ed</w:t>
      </w:r>
      <w:r w:rsidRPr="00A50E4D">
        <w:rPr>
          <w:lang w:val="en-US"/>
        </w:rPr>
        <w:t xml:space="preserve"> a more detailed legal and factual analysis of the conducts attributed to each </w:t>
      </w:r>
      <w:r w:rsidR="00371BB7" w:rsidRPr="00A50E4D">
        <w:rPr>
          <w:lang w:val="en-US"/>
        </w:rPr>
        <w:t>of the presumed victims</w:t>
      </w:r>
      <w:r w:rsidRPr="00A50E4D">
        <w:rPr>
          <w:lang w:val="en-US"/>
        </w:rPr>
        <w:t xml:space="preserve">. Nevertheless, ultimately, it was found that they both committed the same offense because they </w:t>
      </w:r>
      <w:r w:rsidR="00D63123" w:rsidRPr="00A50E4D">
        <w:rPr>
          <w:lang w:val="en-US"/>
        </w:rPr>
        <w:t>gave</w:t>
      </w:r>
      <w:r w:rsidRPr="00A50E4D">
        <w:rPr>
          <w:lang w:val="en-US"/>
        </w:rPr>
        <w:t xml:space="preserve"> as grounds for the sanctions imposed not only those articles of the Judicial Service Act and of its Regulations that specifically establish</w:t>
      </w:r>
      <w:r w:rsidR="00D63123" w:rsidRPr="00A50E4D">
        <w:rPr>
          <w:lang w:val="en-US"/>
        </w:rPr>
        <w:t>ed</w:t>
      </w:r>
      <w:r w:rsidRPr="00A50E4D">
        <w:rPr>
          <w:lang w:val="en-US"/>
        </w:rPr>
        <w:t xml:space="preserve"> the offending conducts, but also other provisions contained in a large variety of laws and regulations </w:t>
      </w:r>
      <w:r w:rsidR="000A786A" w:rsidRPr="00A50E4D">
        <w:rPr>
          <w:lang w:val="en-US"/>
        </w:rPr>
        <w:t>without</w:t>
      </w:r>
      <w:r w:rsidRPr="00A50E4D">
        <w:rPr>
          <w:lang w:val="en-US"/>
        </w:rPr>
        <w:t xml:space="preserve"> making the corresponding factual and legal analysis in relation to the supposed violation. In this regard, it should be pointed out that, in </w:t>
      </w:r>
      <w:r w:rsidR="00D63123" w:rsidRPr="00A50E4D">
        <w:rPr>
          <w:lang w:val="en-US"/>
        </w:rPr>
        <w:t>this case, domestic law required</w:t>
      </w:r>
      <w:r w:rsidRPr="00A50E4D">
        <w:rPr>
          <w:lang w:val="en-US"/>
        </w:rPr>
        <w:t xml:space="preserve"> that, in order to determine the app</w:t>
      </w:r>
      <w:r w:rsidR="00D63123" w:rsidRPr="00A50E4D">
        <w:rPr>
          <w:lang w:val="en-US"/>
        </w:rPr>
        <w:t xml:space="preserve">licable sanction, </w:t>
      </w:r>
      <w:r w:rsidRPr="00A50E4D">
        <w:rPr>
          <w:lang w:val="en-US"/>
        </w:rPr>
        <w:t>“the severity of the offense, [</w:t>
      </w:r>
      <w:r w:rsidR="00D63123" w:rsidRPr="00A50E4D">
        <w:rPr>
          <w:lang w:val="en-US"/>
        </w:rPr>
        <w:t>and] the background to the case</w:t>
      </w:r>
      <w:r w:rsidRPr="00A50E4D">
        <w:rPr>
          <w:lang w:val="en-US"/>
        </w:rPr>
        <w:t xml:space="preserve">” </w:t>
      </w:r>
      <w:r w:rsidR="00D63123" w:rsidRPr="00A50E4D">
        <w:rPr>
          <w:lang w:val="en-US"/>
        </w:rPr>
        <w:t xml:space="preserve">must be taken into account, </w:t>
      </w:r>
      <w:r w:rsidRPr="00A50E4D">
        <w:rPr>
          <w:lang w:val="en-US"/>
        </w:rPr>
        <w:t>as well as “the nature of the offense, the functions performed by the offender, [and] his degree of participation in the offense”</w:t>
      </w:r>
      <w:r w:rsidR="007C30AF" w:rsidRPr="00A50E4D">
        <w:rPr>
          <w:lang w:val="en-US"/>
        </w:rPr>
        <w:t xml:space="preserve"> (</w:t>
      </w:r>
      <w:r w:rsidR="007C30AF" w:rsidRPr="00A50E4D">
        <w:rPr>
          <w:i/>
          <w:lang w:val="en-US"/>
        </w:rPr>
        <w:t xml:space="preserve">supra </w:t>
      </w:r>
      <w:r w:rsidR="00AD5EE7" w:rsidRPr="00A50E4D">
        <w:rPr>
          <w:lang w:val="en-US"/>
        </w:rPr>
        <w:t>para.</w:t>
      </w:r>
      <w:r w:rsidR="007C30AF" w:rsidRPr="00A50E4D">
        <w:rPr>
          <w:lang w:val="en-US"/>
        </w:rPr>
        <w:t xml:space="preserve"> </w:t>
      </w:r>
      <w:r w:rsidR="007C30AF" w:rsidRPr="00914F55">
        <w:rPr>
          <w:lang w:val="en-US"/>
        </w:rPr>
        <w:fldChar w:fldCharType="begin"/>
      </w:r>
      <w:r w:rsidR="007C30AF" w:rsidRPr="00A50E4D">
        <w:rPr>
          <w:lang w:val="en-US"/>
        </w:rPr>
        <w:instrText xml:space="preserve"> REF _Ref427340540 \r \h  \* MERGEFORMAT </w:instrText>
      </w:r>
      <w:r w:rsidR="007C30AF" w:rsidRPr="00914F55">
        <w:rPr>
          <w:lang w:val="en-US"/>
        </w:rPr>
      </w:r>
      <w:r w:rsidR="007C30AF" w:rsidRPr="00914F55">
        <w:rPr>
          <w:lang w:val="en-US"/>
        </w:rPr>
        <w:fldChar w:fldCharType="separate"/>
      </w:r>
      <w:r w:rsidR="00547588">
        <w:rPr>
          <w:lang w:val="en-US"/>
        </w:rPr>
        <w:t>74</w:t>
      </w:r>
      <w:r w:rsidR="007C30AF" w:rsidRPr="00914F55">
        <w:rPr>
          <w:lang w:val="en-US"/>
        </w:rPr>
        <w:fldChar w:fldCharType="end"/>
      </w:r>
      <w:r w:rsidR="007C30AF" w:rsidRPr="00A50E4D">
        <w:rPr>
          <w:lang w:val="en-US"/>
        </w:rPr>
        <w:t xml:space="preserve">). </w:t>
      </w:r>
    </w:p>
    <w:p w14:paraId="6F9F9795" w14:textId="77777777" w:rsidR="007C30AF" w:rsidRPr="00A50E4D" w:rsidRDefault="007C30AF" w:rsidP="007C30AF">
      <w:pPr>
        <w:rPr>
          <w:spacing w:val="-4"/>
          <w:lang w:val="en-US" w:eastAsia="es-MX"/>
        </w:rPr>
      </w:pPr>
    </w:p>
    <w:p w14:paraId="58872C42" w14:textId="795B5289" w:rsidR="007C30AF" w:rsidRPr="00A50E4D" w:rsidRDefault="008055A4" w:rsidP="007C30AF">
      <w:pPr>
        <w:pStyle w:val="PrrafodeSentencia"/>
        <w:rPr>
          <w:szCs w:val="20"/>
          <w:lang w:val="en-US"/>
        </w:rPr>
      </w:pPr>
      <w:bookmarkStart w:id="381" w:name="_Ref427864292"/>
      <w:r w:rsidRPr="00A50E4D">
        <w:rPr>
          <w:lang w:val="en-US"/>
        </w:rPr>
        <w:t xml:space="preserve">In the case of disciplinary sanctions imposed on judges, the requirement of </w:t>
      </w:r>
      <w:r w:rsidR="00D63123" w:rsidRPr="00A50E4D">
        <w:rPr>
          <w:lang w:val="en-US"/>
        </w:rPr>
        <w:t>including</w:t>
      </w:r>
      <w:r w:rsidR="00AC03D5" w:rsidRPr="00A50E4D">
        <w:rPr>
          <w:lang w:val="en-US"/>
        </w:rPr>
        <w:t xml:space="preserve"> a statement of reasons</w:t>
      </w:r>
      <w:r w:rsidR="00D63123" w:rsidRPr="00A50E4D">
        <w:rPr>
          <w:lang w:val="en-US"/>
        </w:rPr>
        <w:t xml:space="preserve"> </w:t>
      </w:r>
      <w:r w:rsidRPr="00A50E4D">
        <w:rPr>
          <w:lang w:val="en-US"/>
        </w:rPr>
        <w:t xml:space="preserve">is even greater </w:t>
      </w:r>
      <w:r w:rsidR="000A786A" w:rsidRPr="00A50E4D">
        <w:rPr>
          <w:lang w:val="en-US"/>
        </w:rPr>
        <w:t>than</w:t>
      </w:r>
      <w:r w:rsidRPr="00A50E4D">
        <w:rPr>
          <w:lang w:val="en-US"/>
        </w:rPr>
        <w:t xml:space="preserve"> in other </w:t>
      </w:r>
      <w:r w:rsidR="00C4689E" w:rsidRPr="00A50E4D">
        <w:rPr>
          <w:lang w:val="en-US"/>
        </w:rPr>
        <w:t>disciplinary proceedings</w:t>
      </w:r>
      <w:r w:rsidRPr="00A50E4D">
        <w:rPr>
          <w:lang w:val="en-US"/>
        </w:rPr>
        <w:t>, because the purpose of the disciplinary control is to assess the conduct, suitability, and performance of the judge as a public official and, consequently, the seriousness of the conduct and the proportionality of the sanction</w:t>
      </w:r>
      <w:r w:rsidR="00036ADA" w:rsidRPr="00A50E4D">
        <w:rPr>
          <w:lang w:val="en-US"/>
        </w:rPr>
        <w:t xml:space="preserve"> require</w:t>
      </w:r>
      <w:r w:rsidR="00D63123" w:rsidRPr="00A50E4D">
        <w:rPr>
          <w:lang w:val="en-US"/>
        </w:rPr>
        <w:t xml:space="preserve"> analysis</w:t>
      </w:r>
      <w:r w:rsidRPr="00A50E4D">
        <w:rPr>
          <w:lang w:val="en-US"/>
        </w:rPr>
        <w:t>.</w:t>
      </w:r>
      <w:r w:rsidR="007C30AF" w:rsidRPr="00A50E4D">
        <w:rPr>
          <w:bCs/>
          <w:iCs/>
          <w:szCs w:val="20"/>
          <w:vertAlign w:val="superscript"/>
          <w:lang w:val="en-US"/>
        </w:rPr>
        <w:footnoteReference w:id="438"/>
      </w:r>
      <w:r w:rsidRPr="00A50E4D">
        <w:rPr>
          <w:szCs w:val="20"/>
          <w:lang w:val="en-US"/>
        </w:rPr>
        <w:t xml:space="preserve"> In the disciplinary sphere, it is essential to indicate the offense precisely and to develop arguments that allow it to be concluded that the offending conducts are sufficiently serious to justify removing the judge from his post.</w:t>
      </w:r>
      <w:r w:rsidR="007C30AF" w:rsidRPr="00A50E4D">
        <w:rPr>
          <w:rStyle w:val="FootnoteReference"/>
          <w:sz w:val="20"/>
          <w:szCs w:val="20"/>
          <w:lang w:val="en-US"/>
        </w:rPr>
        <w:footnoteReference w:id="439"/>
      </w:r>
      <w:bookmarkEnd w:id="381"/>
    </w:p>
    <w:p w14:paraId="54B9C701" w14:textId="77777777" w:rsidR="007C30AF" w:rsidRPr="00A50E4D" w:rsidRDefault="007C30AF" w:rsidP="007C30AF">
      <w:pPr>
        <w:rPr>
          <w:spacing w:val="-4"/>
          <w:szCs w:val="20"/>
          <w:lang w:val="en-US" w:eastAsia="es-MX"/>
        </w:rPr>
      </w:pPr>
    </w:p>
    <w:p w14:paraId="761441D5" w14:textId="4B692CB9" w:rsidR="007C30AF" w:rsidRPr="00A50E4D" w:rsidRDefault="007C30AF" w:rsidP="00A12579">
      <w:pPr>
        <w:pStyle w:val="PrrafodeSentencia"/>
        <w:rPr>
          <w:b/>
          <w:lang w:val="en-US"/>
        </w:rPr>
      </w:pPr>
      <w:r w:rsidRPr="00A50E4D">
        <w:rPr>
          <w:szCs w:val="20"/>
          <w:lang w:val="en-US"/>
        </w:rPr>
        <w:t xml:space="preserve"> </w:t>
      </w:r>
      <w:r w:rsidR="00A12579" w:rsidRPr="00A50E4D">
        <w:rPr>
          <w:szCs w:val="20"/>
          <w:lang w:val="en-US"/>
        </w:rPr>
        <w:t>The Court emphasize</w:t>
      </w:r>
      <w:r w:rsidR="00D63123" w:rsidRPr="00A50E4D">
        <w:rPr>
          <w:szCs w:val="20"/>
          <w:lang w:val="en-US"/>
        </w:rPr>
        <w:t xml:space="preserve">s that the failure to provide </w:t>
      </w:r>
      <w:r w:rsidR="00B14BFF" w:rsidRPr="00A50E4D">
        <w:rPr>
          <w:szCs w:val="20"/>
          <w:lang w:val="en-US"/>
        </w:rPr>
        <w:t>a statement of reasons</w:t>
      </w:r>
      <w:r w:rsidR="00A12579" w:rsidRPr="00A50E4D">
        <w:rPr>
          <w:szCs w:val="20"/>
          <w:lang w:val="en-US"/>
        </w:rPr>
        <w:t xml:space="preserve"> in the decisions </w:t>
      </w:r>
      <w:r w:rsidR="009808C5" w:rsidRPr="00A50E4D">
        <w:rPr>
          <w:lang w:val="en-US"/>
        </w:rPr>
        <w:t xml:space="preserve">of the </w:t>
      </w:r>
      <w:r w:rsidR="00700DEC" w:rsidRPr="00A50E4D">
        <w:rPr>
          <w:lang w:val="en-US"/>
        </w:rPr>
        <w:t>Supreme Court</w:t>
      </w:r>
      <w:r w:rsidRPr="00A50E4D">
        <w:rPr>
          <w:lang w:val="en-US"/>
        </w:rPr>
        <w:t xml:space="preserve"> </w:t>
      </w:r>
      <w:r w:rsidR="00A12579" w:rsidRPr="00A50E4D">
        <w:rPr>
          <w:lang w:val="en-US"/>
        </w:rPr>
        <w:t xml:space="preserve">had a direct effect on the absence of clarity as regards the legal grounds or the wrongful conducts based on which </w:t>
      </w:r>
      <w:r w:rsidR="00371BB7" w:rsidRPr="00A50E4D">
        <w:rPr>
          <w:lang w:val="en-US"/>
        </w:rPr>
        <w:t>the presumed victims</w:t>
      </w:r>
      <w:r w:rsidR="00A12579" w:rsidRPr="00A50E4D">
        <w:rPr>
          <w:lang w:val="en-US"/>
        </w:rPr>
        <w:t xml:space="preserve"> were dismissed</w:t>
      </w:r>
      <w:r w:rsidRPr="00A50E4D">
        <w:rPr>
          <w:lang w:val="en-US"/>
        </w:rPr>
        <w:t xml:space="preserve">. </w:t>
      </w:r>
      <w:r w:rsidR="00A12579" w:rsidRPr="00A50E4D">
        <w:rPr>
          <w:lang w:val="en-US"/>
        </w:rPr>
        <w:t xml:space="preserve">Each dismissal </w:t>
      </w:r>
      <w:r w:rsidR="000A786A" w:rsidRPr="00A50E4D">
        <w:rPr>
          <w:lang w:val="en-US"/>
        </w:rPr>
        <w:t>decision</w:t>
      </w:r>
      <w:r w:rsidR="00A12579" w:rsidRPr="00A50E4D">
        <w:rPr>
          <w:lang w:val="en-US"/>
        </w:rPr>
        <w:t xml:space="preserve"> issued by </w:t>
      </w:r>
      <w:r w:rsidR="009808C5" w:rsidRPr="00A50E4D">
        <w:rPr>
          <w:szCs w:val="20"/>
          <w:lang w:val="en-US"/>
        </w:rPr>
        <w:t xml:space="preserve">the </w:t>
      </w:r>
      <w:r w:rsidR="00371BB7" w:rsidRPr="00A50E4D">
        <w:rPr>
          <w:szCs w:val="20"/>
          <w:lang w:val="en-US"/>
        </w:rPr>
        <w:t>Supreme Court of Justice</w:t>
      </w:r>
      <w:r w:rsidRPr="00A50E4D">
        <w:rPr>
          <w:szCs w:val="20"/>
          <w:lang w:val="en-US"/>
        </w:rPr>
        <w:t xml:space="preserve"> u</w:t>
      </w:r>
      <w:r w:rsidR="00A12579" w:rsidRPr="00A50E4D">
        <w:rPr>
          <w:szCs w:val="20"/>
          <w:lang w:val="en-US"/>
        </w:rPr>
        <w:t xml:space="preserve">sed </w:t>
      </w:r>
      <w:r w:rsidR="00D63123" w:rsidRPr="00A50E4D">
        <w:rPr>
          <w:szCs w:val="20"/>
          <w:lang w:val="en-US"/>
        </w:rPr>
        <w:t>between 35 and</w:t>
      </w:r>
      <w:r w:rsidRPr="00A50E4D">
        <w:rPr>
          <w:szCs w:val="20"/>
          <w:lang w:val="en-US"/>
        </w:rPr>
        <w:t xml:space="preserve"> 65</w:t>
      </w:r>
      <w:r w:rsidRPr="00A50E4D">
        <w:rPr>
          <w:rStyle w:val="FootnoteReference"/>
          <w:sz w:val="20"/>
          <w:szCs w:val="20"/>
          <w:lang w:val="en-US"/>
        </w:rPr>
        <w:footnoteReference w:id="440"/>
      </w:r>
      <w:r w:rsidRPr="00A50E4D">
        <w:rPr>
          <w:szCs w:val="20"/>
          <w:lang w:val="en-US"/>
        </w:rPr>
        <w:t xml:space="preserve"> </w:t>
      </w:r>
      <w:r w:rsidR="00A12579" w:rsidRPr="00A50E4D">
        <w:rPr>
          <w:szCs w:val="20"/>
          <w:lang w:val="en-US"/>
        </w:rPr>
        <w:t>legal provisions</w:t>
      </w:r>
      <w:r w:rsidR="00D63123" w:rsidRPr="00A50E4D">
        <w:rPr>
          <w:szCs w:val="20"/>
          <w:lang w:val="en-US"/>
        </w:rPr>
        <w:t xml:space="preserve"> as grounds</w:t>
      </w:r>
      <w:r w:rsidR="00A12579" w:rsidRPr="00A50E4D">
        <w:rPr>
          <w:szCs w:val="20"/>
          <w:lang w:val="en-US"/>
        </w:rPr>
        <w:t xml:space="preserve">, including substantive and procedural norms, without differentiating one from the others; some of a constitutional, legal or regulatory nature or from codes of ethics (including a model code) and even the [American] “Declaration of the Rights and Duties of Man.” In addition, in the two cases in which the dismissals were confirmed by </w:t>
      </w:r>
      <w:r w:rsidR="00A12579" w:rsidRPr="00A50E4D">
        <w:rPr>
          <w:lang w:val="en-US"/>
        </w:rPr>
        <w:t xml:space="preserve">the Judicial Service Council (Adán Guillermo López Lone and Tirza del Carmen Flores Lanza), this body </w:t>
      </w:r>
      <w:r w:rsidR="000A786A" w:rsidRPr="00A50E4D">
        <w:rPr>
          <w:lang w:val="en-US"/>
        </w:rPr>
        <w:t>added</w:t>
      </w:r>
      <w:r w:rsidR="00A12579" w:rsidRPr="00A50E4D">
        <w:rPr>
          <w:lang w:val="en-US"/>
        </w:rPr>
        <w:t xml:space="preserve"> normative provisions to found its decisions, without excluding the considerations of the Supreme Court and without explaining the relationship of the new provisions or the previous ones to the acts with which each victim was charged</w:t>
      </w:r>
      <w:r w:rsidRPr="00A50E4D">
        <w:rPr>
          <w:lang w:val="en-US"/>
        </w:rPr>
        <w:t xml:space="preserve"> (</w:t>
      </w:r>
      <w:r w:rsidRPr="00A50E4D">
        <w:rPr>
          <w:i/>
          <w:lang w:val="en-US"/>
        </w:rPr>
        <w:t xml:space="preserve">supra </w:t>
      </w:r>
      <w:r w:rsidR="00AD5EE7" w:rsidRPr="00A50E4D">
        <w:rPr>
          <w:lang w:val="en-US"/>
        </w:rPr>
        <w:t>paras.</w:t>
      </w:r>
      <w:r w:rsidRPr="00A50E4D">
        <w:rPr>
          <w:lang w:val="en-US"/>
        </w:rPr>
        <w:t xml:space="preserve"> </w:t>
      </w:r>
      <w:r w:rsidRPr="00914F55">
        <w:rPr>
          <w:lang w:val="en-US"/>
        </w:rPr>
        <w:fldChar w:fldCharType="begin"/>
      </w:r>
      <w:r w:rsidRPr="00A50E4D">
        <w:rPr>
          <w:lang w:val="en-US"/>
        </w:rPr>
        <w:instrText xml:space="preserve"> REF _Ref427311472 \r \h  \* MERGEFORMAT </w:instrText>
      </w:r>
      <w:r w:rsidRPr="00914F55">
        <w:rPr>
          <w:lang w:val="en-US"/>
        </w:rPr>
      </w:r>
      <w:r w:rsidRPr="00914F55">
        <w:rPr>
          <w:lang w:val="en-US"/>
        </w:rPr>
        <w:fldChar w:fldCharType="separate"/>
      </w:r>
      <w:r w:rsidR="00547588">
        <w:rPr>
          <w:lang w:val="en-US"/>
        </w:rPr>
        <w:t>95</w:t>
      </w:r>
      <w:r w:rsidRPr="00914F55">
        <w:rPr>
          <w:lang w:val="en-US"/>
        </w:rPr>
        <w:fldChar w:fldCharType="end"/>
      </w:r>
      <w:r w:rsidR="00A12579" w:rsidRPr="00A50E4D">
        <w:rPr>
          <w:lang w:val="en-US"/>
        </w:rPr>
        <w:t xml:space="preserve"> to</w:t>
      </w:r>
      <w:r w:rsidRPr="00A50E4D">
        <w:rPr>
          <w:lang w:val="en-US"/>
        </w:rPr>
        <w:t xml:space="preserve"> </w:t>
      </w:r>
      <w:r w:rsidRPr="00914F55">
        <w:rPr>
          <w:lang w:val="en-US"/>
        </w:rPr>
        <w:fldChar w:fldCharType="begin"/>
      </w:r>
      <w:r w:rsidRPr="00A50E4D">
        <w:rPr>
          <w:lang w:val="en-US"/>
        </w:rPr>
        <w:instrText xml:space="preserve"> REF _Ref427318786 \r \h  \* MERGEFORMAT </w:instrText>
      </w:r>
      <w:r w:rsidRPr="00914F55">
        <w:rPr>
          <w:lang w:val="en-US"/>
        </w:rPr>
      </w:r>
      <w:r w:rsidRPr="00914F55">
        <w:rPr>
          <w:lang w:val="en-US"/>
        </w:rPr>
        <w:fldChar w:fldCharType="separate"/>
      </w:r>
      <w:r w:rsidR="00547588">
        <w:rPr>
          <w:lang w:val="en-US"/>
        </w:rPr>
        <w:t>103</w:t>
      </w:r>
      <w:r w:rsidRPr="00914F55">
        <w:rPr>
          <w:lang w:val="en-US"/>
        </w:rPr>
        <w:fldChar w:fldCharType="end"/>
      </w:r>
      <w:r w:rsidR="009808C5" w:rsidRPr="00A50E4D">
        <w:rPr>
          <w:b/>
          <w:lang w:val="en-US"/>
        </w:rPr>
        <w:t xml:space="preserve"> </w:t>
      </w:r>
      <w:r w:rsidR="009808C5" w:rsidRPr="00A50E4D">
        <w:rPr>
          <w:lang w:val="en-US"/>
        </w:rPr>
        <w:t>and</w:t>
      </w:r>
      <w:r w:rsidR="009808C5" w:rsidRPr="00A50E4D">
        <w:rPr>
          <w:b/>
          <w:lang w:val="en-US"/>
        </w:rPr>
        <w:t xml:space="preserve"> </w:t>
      </w:r>
      <w:r w:rsidRPr="00914F55">
        <w:rPr>
          <w:lang w:val="en-US"/>
        </w:rPr>
        <w:fldChar w:fldCharType="begin"/>
      </w:r>
      <w:r w:rsidRPr="00A50E4D">
        <w:rPr>
          <w:lang w:val="en-US"/>
        </w:rPr>
        <w:instrText xml:space="preserve"> REF _Ref424653459 \r \h  \* MERGEFORMAT </w:instrText>
      </w:r>
      <w:r w:rsidRPr="00914F55">
        <w:rPr>
          <w:lang w:val="en-US"/>
        </w:rPr>
      </w:r>
      <w:r w:rsidRPr="00914F55">
        <w:rPr>
          <w:lang w:val="en-US"/>
        </w:rPr>
        <w:fldChar w:fldCharType="separate"/>
      </w:r>
      <w:r w:rsidR="00547588">
        <w:rPr>
          <w:lang w:val="en-US"/>
        </w:rPr>
        <w:t>118</w:t>
      </w:r>
      <w:r w:rsidRPr="00914F55">
        <w:rPr>
          <w:lang w:val="en-US"/>
        </w:rPr>
        <w:fldChar w:fldCharType="end"/>
      </w:r>
      <w:r w:rsidR="00A12579" w:rsidRPr="00A50E4D">
        <w:rPr>
          <w:lang w:val="en-US"/>
        </w:rPr>
        <w:t xml:space="preserve"> to</w:t>
      </w:r>
      <w:r w:rsidRPr="00A50E4D">
        <w:rPr>
          <w:lang w:val="en-US"/>
        </w:rPr>
        <w:t xml:space="preserve"> </w:t>
      </w:r>
      <w:r w:rsidRPr="00914F55">
        <w:rPr>
          <w:lang w:val="en-US"/>
        </w:rPr>
        <w:fldChar w:fldCharType="begin"/>
      </w:r>
      <w:r w:rsidRPr="00A50E4D">
        <w:rPr>
          <w:lang w:val="en-US"/>
        </w:rPr>
        <w:instrText xml:space="preserve"> REF _Ref427864152 \r \h  \* MERGEFORMAT </w:instrText>
      </w:r>
      <w:r w:rsidRPr="00914F55">
        <w:rPr>
          <w:lang w:val="en-US"/>
        </w:rPr>
      </w:r>
      <w:r w:rsidRPr="00914F55">
        <w:rPr>
          <w:lang w:val="en-US"/>
        </w:rPr>
        <w:fldChar w:fldCharType="separate"/>
      </w:r>
      <w:r w:rsidR="00547588">
        <w:rPr>
          <w:lang w:val="en-US"/>
        </w:rPr>
        <w:t>120</w:t>
      </w:r>
      <w:r w:rsidRPr="00914F55">
        <w:rPr>
          <w:lang w:val="en-US"/>
        </w:rPr>
        <w:fldChar w:fldCharType="end"/>
      </w:r>
      <w:r w:rsidRPr="00A50E4D">
        <w:rPr>
          <w:lang w:val="en-US"/>
        </w:rPr>
        <w:t>).</w:t>
      </w:r>
      <w:bookmarkEnd w:id="379"/>
    </w:p>
    <w:p w14:paraId="022E8BBB" w14:textId="77777777" w:rsidR="007C30AF" w:rsidRPr="00A50E4D" w:rsidRDefault="007C30AF" w:rsidP="007C30AF">
      <w:pPr>
        <w:pStyle w:val="PrrafodeSentencia"/>
        <w:numPr>
          <w:ilvl w:val="0"/>
          <w:numId w:val="0"/>
        </w:numPr>
        <w:rPr>
          <w:b/>
          <w:lang w:val="en-US"/>
        </w:rPr>
      </w:pPr>
    </w:p>
    <w:p w14:paraId="4EB34872" w14:textId="09ECA874" w:rsidR="007C30AF" w:rsidRPr="00A50E4D" w:rsidRDefault="00A12579" w:rsidP="007C30AF">
      <w:pPr>
        <w:pStyle w:val="PrrafodeSentencia"/>
        <w:rPr>
          <w:lang w:val="en-US"/>
        </w:rPr>
      </w:pPr>
      <w:r w:rsidRPr="00A50E4D">
        <w:rPr>
          <w:lang w:val="en-US"/>
        </w:rPr>
        <w:t>Furthermore</w:t>
      </w:r>
      <w:r w:rsidR="007C30AF" w:rsidRPr="00A50E4D">
        <w:rPr>
          <w:lang w:val="en-US"/>
        </w:rPr>
        <w:t xml:space="preserve">, </w:t>
      </w:r>
      <w:r w:rsidR="009808C5" w:rsidRPr="00A50E4D">
        <w:rPr>
          <w:lang w:val="en-US"/>
        </w:rPr>
        <w:t>the Court</w:t>
      </w:r>
      <w:r w:rsidRPr="00A50E4D">
        <w:rPr>
          <w:lang w:val="en-US"/>
        </w:rPr>
        <w:t xml:space="preserve"> notes that</w:t>
      </w:r>
      <w:r w:rsidR="007C30AF" w:rsidRPr="00A50E4D">
        <w:rPr>
          <w:lang w:val="en-US"/>
        </w:rPr>
        <w:t xml:space="preserve"> </w:t>
      </w:r>
      <w:r w:rsidR="004D0F32" w:rsidRPr="00A50E4D">
        <w:rPr>
          <w:lang w:val="en-US"/>
        </w:rPr>
        <w:t>the Judicial</w:t>
      </w:r>
      <w:r w:rsidR="00277E12" w:rsidRPr="00A50E4D">
        <w:rPr>
          <w:lang w:val="en-US"/>
        </w:rPr>
        <w:t xml:space="preserve"> Service Act</w:t>
      </w:r>
      <w:r w:rsidR="009808C5" w:rsidRPr="00A50E4D">
        <w:rPr>
          <w:lang w:val="en-US"/>
        </w:rPr>
        <w:t xml:space="preserve"> and </w:t>
      </w:r>
      <w:r w:rsidR="00171F4E" w:rsidRPr="00A50E4D">
        <w:rPr>
          <w:lang w:val="en-US"/>
        </w:rPr>
        <w:t>its Regulations</w:t>
      </w:r>
      <w:r w:rsidR="007C30AF" w:rsidRPr="00A50E4D">
        <w:rPr>
          <w:lang w:val="en-US"/>
        </w:rPr>
        <w:t xml:space="preserve"> cont</w:t>
      </w:r>
      <w:r w:rsidRPr="00A50E4D">
        <w:rPr>
          <w:lang w:val="en-US"/>
        </w:rPr>
        <w:t>ained residual clauses, such as a</w:t>
      </w:r>
      <w:r w:rsidR="009808C5" w:rsidRPr="00A50E4D">
        <w:rPr>
          <w:lang w:val="en-US"/>
        </w:rPr>
        <w:t>rticle</w:t>
      </w:r>
      <w:r w:rsidR="007C30AF" w:rsidRPr="00A50E4D">
        <w:rPr>
          <w:lang w:val="en-US"/>
        </w:rPr>
        <w:t xml:space="preserve"> 5</w:t>
      </w:r>
      <w:r w:rsidRPr="00A50E4D">
        <w:rPr>
          <w:lang w:val="en-US"/>
        </w:rPr>
        <w:t>5 (and its equivalent,</w:t>
      </w:r>
      <w:r w:rsidR="007C30AF" w:rsidRPr="00A50E4D">
        <w:rPr>
          <w:lang w:val="en-US"/>
        </w:rPr>
        <w:t xml:space="preserve"> </w:t>
      </w:r>
      <w:r w:rsidR="00F02FB7" w:rsidRPr="00A50E4D">
        <w:rPr>
          <w:lang w:val="en-US"/>
        </w:rPr>
        <w:t>article</w:t>
      </w:r>
      <w:r w:rsidRPr="00A50E4D">
        <w:rPr>
          <w:lang w:val="en-US"/>
        </w:rPr>
        <w:t xml:space="preserve"> 174 in</w:t>
      </w:r>
      <w:r w:rsidR="007C30AF" w:rsidRPr="00A50E4D">
        <w:rPr>
          <w:lang w:val="en-US"/>
        </w:rPr>
        <w:t xml:space="preserve"> </w:t>
      </w:r>
      <w:r w:rsidR="009808C5" w:rsidRPr="00A50E4D">
        <w:rPr>
          <w:lang w:val="en-US"/>
        </w:rPr>
        <w:t xml:space="preserve">the </w:t>
      </w:r>
      <w:r w:rsidRPr="00A50E4D">
        <w:rPr>
          <w:lang w:val="en-US"/>
        </w:rPr>
        <w:t>Regulations to the Act</w:t>
      </w:r>
      <w:r w:rsidR="007C30AF" w:rsidRPr="00A50E4D">
        <w:rPr>
          <w:lang w:val="en-US"/>
        </w:rPr>
        <w:t xml:space="preserve">), </w:t>
      </w:r>
      <w:r w:rsidRPr="00A50E4D">
        <w:rPr>
          <w:lang w:val="en-US"/>
        </w:rPr>
        <w:t xml:space="preserve">based on which all the presumed victims were accused and subsequently sanctioned by </w:t>
      </w:r>
      <w:r w:rsidR="009808C5" w:rsidRPr="00A50E4D">
        <w:rPr>
          <w:lang w:val="en-US"/>
        </w:rPr>
        <w:t xml:space="preserve">the </w:t>
      </w:r>
      <w:r w:rsidR="00371BB7" w:rsidRPr="00A50E4D">
        <w:rPr>
          <w:lang w:val="en-US"/>
        </w:rPr>
        <w:t>Supreme Court of Justice</w:t>
      </w:r>
      <w:r w:rsidR="007C30AF" w:rsidRPr="00A50E4D">
        <w:rPr>
          <w:lang w:val="en-US"/>
        </w:rPr>
        <w:t xml:space="preserve">, </w:t>
      </w:r>
      <w:r w:rsidRPr="00A50E4D">
        <w:rPr>
          <w:lang w:val="en-US"/>
        </w:rPr>
        <w:t>under which</w:t>
      </w:r>
      <w:r w:rsidR="007C30AF" w:rsidRPr="00A50E4D">
        <w:rPr>
          <w:lang w:val="en-US"/>
        </w:rPr>
        <w:t>:</w:t>
      </w:r>
    </w:p>
    <w:p w14:paraId="4EEF0A24" w14:textId="77777777" w:rsidR="007C30AF" w:rsidRPr="00A50E4D" w:rsidRDefault="007C30AF" w:rsidP="007C30AF">
      <w:pPr>
        <w:pStyle w:val="ListParagraph"/>
        <w:numPr>
          <w:ilvl w:val="0"/>
          <w:numId w:val="0"/>
        </w:numPr>
        <w:ind w:right="815"/>
        <w:rPr>
          <w:spacing w:val="-4"/>
          <w:lang w:val="en-US"/>
        </w:rPr>
      </w:pPr>
    </w:p>
    <w:p w14:paraId="4364F7EC" w14:textId="13177A40" w:rsidR="007C30AF" w:rsidRPr="00A50E4D" w:rsidRDefault="00A12579" w:rsidP="007C30AF">
      <w:pPr>
        <w:ind w:left="567" w:right="815"/>
        <w:rPr>
          <w:spacing w:val="-4"/>
          <w:sz w:val="18"/>
          <w:szCs w:val="18"/>
          <w:lang w:val="en-US"/>
        </w:rPr>
      </w:pPr>
      <w:r w:rsidRPr="00A50E4D">
        <w:rPr>
          <w:spacing w:val="-4"/>
          <w:sz w:val="18"/>
          <w:szCs w:val="18"/>
          <w:lang w:val="en-US"/>
        </w:rPr>
        <w:t>I</w:t>
      </w:r>
      <w:r w:rsidR="007C30AF" w:rsidRPr="00A50E4D">
        <w:rPr>
          <w:spacing w:val="-4"/>
          <w:sz w:val="18"/>
          <w:szCs w:val="18"/>
          <w:lang w:val="en-US"/>
        </w:rPr>
        <w:t xml:space="preserve">n general, </w:t>
      </w:r>
      <w:r w:rsidRPr="00A50E4D">
        <w:rPr>
          <w:spacing w:val="-4"/>
          <w:sz w:val="18"/>
          <w:szCs w:val="18"/>
          <w:lang w:val="en-US"/>
        </w:rPr>
        <w:t>the following is considered misconduct by judicial officials and employees: failure to carry out the duties associated with the post; violation of the norms on incompatibilities for the exercise of their functions, or exercising their functions despite being aware of legal impediments prohibiting this.</w:t>
      </w:r>
      <w:r w:rsidR="007C30AF" w:rsidRPr="00A50E4D">
        <w:rPr>
          <w:rStyle w:val="FootnoteReference"/>
          <w:spacing w:val="-4"/>
          <w:sz w:val="18"/>
          <w:szCs w:val="18"/>
          <w:lang w:val="en-US"/>
        </w:rPr>
        <w:footnoteReference w:id="441"/>
      </w:r>
    </w:p>
    <w:p w14:paraId="1387E158" w14:textId="77777777" w:rsidR="007C30AF" w:rsidRPr="00A50E4D" w:rsidRDefault="007C30AF" w:rsidP="007C30AF">
      <w:pPr>
        <w:pStyle w:val="PrrafodeSentencia"/>
        <w:numPr>
          <w:ilvl w:val="0"/>
          <w:numId w:val="0"/>
        </w:numPr>
        <w:rPr>
          <w:szCs w:val="20"/>
          <w:lang w:val="en-US"/>
        </w:rPr>
      </w:pPr>
    </w:p>
    <w:p w14:paraId="5EDCA0D1" w14:textId="7E13FE1E" w:rsidR="007C30AF" w:rsidRPr="00A50E4D" w:rsidRDefault="00A12579" w:rsidP="00A12579">
      <w:pPr>
        <w:pStyle w:val="PrrafodeSentencia"/>
        <w:rPr>
          <w:lang w:val="en-US"/>
        </w:rPr>
      </w:pPr>
      <w:r w:rsidRPr="00A50E4D">
        <w:rPr>
          <w:szCs w:val="20"/>
          <w:lang w:val="en-US"/>
        </w:rPr>
        <w:t xml:space="preserve">Nevertheless, as indicated by </w:t>
      </w:r>
      <w:r w:rsidR="00622CE4" w:rsidRPr="00A50E4D">
        <w:rPr>
          <w:szCs w:val="20"/>
          <w:lang w:val="en-US"/>
        </w:rPr>
        <w:t>expert witness</w:t>
      </w:r>
      <w:r w:rsidR="007C30AF" w:rsidRPr="00A50E4D">
        <w:rPr>
          <w:szCs w:val="20"/>
          <w:lang w:val="en-US"/>
        </w:rPr>
        <w:t xml:space="preserve"> Ibáñez, </w:t>
      </w:r>
      <w:r w:rsidRPr="00A50E4D">
        <w:rPr>
          <w:szCs w:val="20"/>
          <w:lang w:val="en-US"/>
        </w:rPr>
        <w:t>“it is impossible to codify all assumptions” in disciplinary matters, so that “ultimately, there must always be a relatively open clause concerning professional duties.</w:t>
      </w:r>
      <w:r w:rsidR="007C30AF" w:rsidRPr="00A50E4D">
        <w:rPr>
          <w:rStyle w:val="FootnoteReference"/>
          <w:sz w:val="20"/>
          <w:szCs w:val="20"/>
          <w:lang w:val="en-US"/>
        </w:rPr>
        <w:footnoteReference w:id="442"/>
      </w:r>
      <w:bookmarkStart w:id="382" w:name="_Ref427638752"/>
      <w:r w:rsidRPr="00A50E4D">
        <w:rPr>
          <w:szCs w:val="20"/>
          <w:lang w:val="en-US"/>
        </w:rPr>
        <w:t xml:space="preserve"> However, in these assumptions and when open or indeterminate disciplinary offenses are used, it is fundamental to provide a statement of reasons when applying them, because it is incumbent on the disciplinary court to interpret these norms respecting the </w:t>
      </w:r>
      <w:r w:rsidRPr="00A50E4D">
        <w:rPr>
          <w:lang w:val="en-US"/>
        </w:rPr>
        <w:t>principle of le</w:t>
      </w:r>
      <w:r w:rsidR="00B14BFF" w:rsidRPr="00A50E4D">
        <w:rPr>
          <w:lang w:val="en-US"/>
        </w:rPr>
        <w:t>gality and observing the greatest</w:t>
      </w:r>
      <w:r w:rsidR="009449F2" w:rsidRPr="00A50E4D">
        <w:rPr>
          <w:lang w:val="en-US"/>
        </w:rPr>
        <w:t xml:space="preserve"> rigor when</w:t>
      </w:r>
      <w:r w:rsidRPr="00A50E4D">
        <w:rPr>
          <w:lang w:val="en-US"/>
        </w:rPr>
        <w:t xml:space="preserve"> verify</w:t>
      </w:r>
      <w:r w:rsidR="009449F2" w:rsidRPr="00A50E4D">
        <w:rPr>
          <w:lang w:val="en-US"/>
        </w:rPr>
        <w:t>ing</w:t>
      </w:r>
      <w:r w:rsidRPr="00A50E4D">
        <w:rPr>
          <w:lang w:val="en-US"/>
        </w:rPr>
        <w:t xml:space="preserve"> the existence of punishable conduct. With regard to this case, the Court has noted that the dismissal decisions issued by the Supreme Court and the decisions </w:t>
      </w:r>
      <w:r w:rsidR="006A756C" w:rsidRPr="00A50E4D">
        <w:rPr>
          <w:lang w:val="en-US"/>
        </w:rPr>
        <w:t>of the Judicial Service Council</w:t>
      </w:r>
      <w:r w:rsidR="007C30AF" w:rsidRPr="00A50E4D">
        <w:rPr>
          <w:lang w:val="en-US"/>
        </w:rPr>
        <w:t xml:space="preserve"> </w:t>
      </w:r>
      <w:r w:rsidRPr="00A50E4D">
        <w:rPr>
          <w:lang w:val="en-US"/>
        </w:rPr>
        <w:t>lacked adequate reas</w:t>
      </w:r>
      <w:r w:rsidR="007B3529" w:rsidRPr="00A50E4D">
        <w:rPr>
          <w:lang w:val="en-US"/>
        </w:rPr>
        <w:t>oning, precisely because they did</w:t>
      </w:r>
      <w:r w:rsidRPr="00A50E4D">
        <w:rPr>
          <w:lang w:val="en-US"/>
        </w:rPr>
        <w:t xml:space="preserve"> not explain adequately the relationship between the acts that constituted a punishable conduct or behavior and the norms that were presumably violated </w:t>
      </w:r>
      <w:r w:rsidR="007C30AF" w:rsidRPr="00A50E4D">
        <w:rPr>
          <w:lang w:val="en-US"/>
        </w:rPr>
        <w:t>(</w:t>
      </w:r>
      <w:r w:rsidR="007C30AF" w:rsidRPr="00A50E4D">
        <w:rPr>
          <w:i/>
          <w:lang w:val="en-US"/>
        </w:rPr>
        <w:t>supra</w:t>
      </w:r>
      <w:r w:rsidR="007C30AF" w:rsidRPr="00A50E4D">
        <w:rPr>
          <w:lang w:val="en-US"/>
        </w:rPr>
        <w:t xml:space="preserve"> </w:t>
      </w:r>
      <w:r w:rsidR="00AD5EE7" w:rsidRPr="00A50E4D">
        <w:rPr>
          <w:lang w:val="en-US"/>
        </w:rPr>
        <w:t>paras.</w:t>
      </w:r>
      <w:r w:rsidR="007C30AF" w:rsidRPr="00A50E4D">
        <w:rPr>
          <w:lang w:val="en-US"/>
        </w:rPr>
        <w:t xml:space="preserve"> </w:t>
      </w:r>
      <w:r w:rsidR="007C30AF" w:rsidRPr="00914F55">
        <w:rPr>
          <w:lang w:val="en-US"/>
        </w:rPr>
        <w:fldChar w:fldCharType="begin"/>
      </w:r>
      <w:r w:rsidR="007C30AF" w:rsidRPr="00A50E4D">
        <w:rPr>
          <w:lang w:val="en-US"/>
        </w:rPr>
        <w:instrText xml:space="preserve"> REF _Ref427864288 \r \h  \* MERGEFORMAT </w:instrText>
      </w:r>
      <w:r w:rsidR="007C30AF" w:rsidRPr="00914F55">
        <w:rPr>
          <w:lang w:val="en-US"/>
        </w:rPr>
      </w:r>
      <w:r w:rsidR="007C30AF" w:rsidRPr="00914F55">
        <w:rPr>
          <w:lang w:val="en-US"/>
        </w:rPr>
        <w:fldChar w:fldCharType="separate"/>
      </w:r>
      <w:r w:rsidR="00547588">
        <w:rPr>
          <w:lang w:val="en-US"/>
        </w:rPr>
        <w:t>264</w:t>
      </w:r>
      <w:r w:rsidR="007C30AF" w:rsidRPr="00914F55">
        <w:rPr>
          <w:lang w:val="en-US"/>
        </w:rPr>
        <w:fldChar w:fldCharType="end"/>
      </w:r>
      <w:r w:rsidRPr="00A50E4D">
        <w:rPr>
          <w:lang w:val="en-US"/>
        </w:rPr>
        <w:t xml:space="preserve"> to</w:t>
      </w:r>
      <w:r w:rsidR="007C30AF" w:rsidRPr="00A50E4D">
        <w:rPr>
          <w:lang w:val="en-US"/>
        </w:rPr>
        <w:t xml:space="preserve"> </w:t>
      </w:r>
      <w:r w:rsidR="007C30AF" w:rsidRPr="00914F55">
        <w:rPr>
          <w:lang w:val="en-US"/>
        </w:rPr>
        <w:fldChar w:fldCharType="begin"/>
      </w:r>
      <w:r w:rsidR="007C30AF" w:rsidRPr="00A50E4D">
        <w:rPr>
          <w:lang w:val="en-US"/>
        </w:rPr>
        <w:instrText xml:space="preserve"> REF _Ref427864292 \r \h  \* MERGEFORMAT </w:instrText>
      </w:r>
      <w:r w:rsidR="007C30AF" w:rsidRPr="00914F55">
        <w:rPr>
          <w:lang w:val="en-US"/>
        </w:rPr>
      </w:r>
      <w:r w:rsidR="007C30AF" w:rsidRPr="00914F55">
        <w:rPr>
          <w:lang w:val="en-US"/>
        </w:rPr>
        <w:fldChar w:fldCharType="separate"/>
      </w:r>
      <w:r w:rsidR="00547588">
        <w:rPr>
          <w:lang w:val="en-US"/>
        </w:rPr>
        <w:t>267</w:t>
      </w:r>
      <w:r w:rsidR="007C30AF" w:rsidRPr="00914F55">
        <w:rPr>
          <w:lang w:val="en-US"/>
        </w:rPr>
        <w:fldChar w:fldCharType="end"/>
      </w:r>
      <w:r w:rsidR="007C30AF" w:rsidRPr="00A50E4D">
        <w:rPr>
          <w:lang w:val="en-US"/>
        </w:rPr>
        <w:t>).</w:t>
      </w:r>
      <w:bookmarkEnd w:id="382"/>
      <w:r w:rsidR="007C30AF" w:rsidRPr="00A50E4D">
        <w:rPr>
          <w:lang w:val="en-US"/>
        </w:rPr>
        <w:t xml:space="preserve"> </w:t>
      </w:r>
    </w:p>
    <w:p w14:paraId="51126670" w14:textId="77777777" w:rsidR="007C30AF" w:rsidRPr="00A50E4D" w:rsidRDefault="007C30AF" w:rsidP="007C30AF">
      <w:pPr>
        <w:pStyle w:val="ListParagraph"/>
        <w:numPr>
          <w:ilvl w:val="0"/>
          <w:numId w:val="0"/>
        </w:numPr>
        <w:rPr>
          <w:spacing w:val="-4"/>
          <w:lang w:val="en-US"/>
        </w:rPr>
      </w:pPr>
      <w:r w:rsidRPr="00A50E4D">
        <w:rPr>
          <w:spacing w:val="-4"/>
          <w:lang w:val="en-US"/>
        </w:rPr>
        <w:t xml:space="preserve"> </w:t>
      </w:r>
    </w:p>
    <w:p w14:paraId="49F0C1D6" w14:textId="62029B6E" w:rsidR="007C30AF" w:rsidRPr="00A50E4D" w:rsidRDefault="00875867" w:rsidP="007C30AF">
      <w:pPr>
        <w:pStyle w:val="PrrafodeSentencia"/>
        <w:rPr>
          <w:lang w:val="en-US"/>
        </w:rPr>
      </w:pPr>
      <w:bookmarkStart w:id="383" w:name="_Ref427859635"/>
      <w:r w:rsidRPr="00A50E4D">
        <w:rPr>
          <w:lang w:val="en-US"/>
        </w:rPr>
        <w:t xml:space="preserve">Faced with the multiplicity of norms cited by the domestic organs that intervened in </w:t>
      </w:r>
      <w:r w:rsidR="00277E12" w:rsidRPr="00A50E4D">
        <w:rPr>
          <w:lang w:val="en-US"/>
        </w:rPr>
        <w:t>the disciplinary proceedings</w:t>
      </w:r>
      <w:r w:rsidR="00371BB7" w:rsidRPr="00A50E4D">
        <w:rPr>
          <w:lang w:val="en-US"/>
        </w:rPr>
        <w:t xml:space="preserve"> of the presumed victims</w:t>
      </w:r>
      <w:r w:rsidR="007C30AF" w:rsidRPr="00A50E4D">
        <w:rPr>
          <w:lang w:val="en-US"/>
        </w:rPr>
        <w:t xml:space="preserve">, </w:t>
      </w:r>
      <w:r w:rsidRPr="00A50E4D">
        <w:rPr>
          <w:lang w:val="en-US"/>
        </w:rPr>
        <w:t xml:space="preserve">this Court considers that it is not incumbent on it to choose those that are best suited to the conducts </w:t>
      </w:r>
      <w:r w:rsidR="00371BB7" w:rsidRPr="00A50E4D">
        <w:rPr>
          <w:lang w:val="en-US"/>
        </w:rPr>
        <w:t>of the presumed victims</w:t>
      </w:r>
      <w:r w:rsidRPr="00A50E4D">
        <w:rPr>
          <w:lang w:val="en-US"/>
        </w:rPr>
        <w:t xml:space="preserve"> in order to determine whether or not they meet the requirements of precision and clarity called for by the </w:t>
      </w:r>
      <w:r w:rsidR="00371BB7" w:rsidRPr="00A50E4D">
        <w:rPr>
          <w:lang w:val="en-US"/>
        </w:rPr>
        <w:t xml:space="preserve">principle of </w:t>
      </w:r>
      <w:r w:rsidR="007E14CE" w:rsidRPr="00A50E4D">
        <w:rPr>
          <w:lang w:val="en-US"/>
        </w:rPr>
        <w:t>legality</w:t>
      </w:r>
      <w:r w:rsidR="007C30AF" w:rsidRPr="00A50E4D">
        <w:rPr>
          <w:lang w:val="en-US"/>
        </w:rPr>
        <w:t xml:space="preserve"> </w:t>
      </w:r>
      <w:r w:rsidRPr="00A50E4D">
        <w:rPr>
          <w:lang w:val="en-US"/>
        </w:rPr>
        <w:t xml:space="preserve">for norms of a </w:t>
      </w:r>
      <w:r w:rsidR="007B3529" w:rsidRPr="00A50E4D">
        <w:rPr>
          <w:lang w:val="en-US"/>
        </w:rPr>
        <w:t>punitive</w:t>
      </w:r>
      <w:r w:rsidRPr="00A50E4D">
        <w:rPr>
          <w:lang w:val="en-US"/>
        </w:rPr>
        <w:t xml:space="preserve"> nature. Therefore, it is not possible to make a detailed analysis of the requirement of the </w:t>
      </w:r>
      <w:r w:rsidR="007B3529" w:rsidRPr="00A50E4D">
        <w:rPr>
          <w:lang w:val="en-US"/>
        </w:rPr>
        <w:t xml:space="preserve">substantive </w:t>
      </w:r>
      <w:r w:rsidRPr="00A50E4D">
        <w:rPr>
          <w:lang w:val="en-US"/>
        </w:rPr>
        <w:t>legality of the norms supposedly violated, owing to the absence of a statement of reasons.</w:t>
      </w:r>
      <w:bookmarkEnd w:id="383"/>
    </w:p>
    <w:p w14:paraId="3448FED7" w14:textId="77777777" w:rsidR="007C30AF" w:rsidRPr="00A50E4D" w:rsidRDefault="007C30AF" w:rsidP="007C30AF">
      <w:pPr>
        <w:pStyle w:val="ListParagraph"/>
        <w:numPr>
          <w:ilvl w:val="0"/>
          <w:numId w:val="0"/>
        </w:numPr>
        <w:rPr>
          <w:b/>
          <w:spacing w:val="-4"/>
          <w:lang w:val="en-US"/>
        </w:rPr>
      </w:pPr>
    </w:p>
    <w:p w14:paraId="6F655E9C" w14:textId="4A3A01B7" w:rsidR="007C30AF" w:rsidRPr="00A50E4D" w:rsidRDefault="00875867" w:rsidP="007C30AF">
      <w:pPr>
        <w:pStyle w:val="PrrafodeSentencia"/>
        <w:rPr>
          <w:szCs w:val="20"/>
          <w:lang w:val="en-US"/>
        </w:rPr>
      </w:pPr>
      <w:r w:rsidRPr="00A50E4D">
        <w:rPr>
          <w:szCs w:val="20"/>
          <w:lang w:val="en-US"/>
        </w:rPr>
        <w:t xml:space="preserve">Despite this, the Court notes that </w:t>
      </w:r>
      <w:r w:rsidR="009808C5" w:rsidRPr="00A50E4D">
        <w:rPr>
          <w:szCs w:val="20"/>
          <w:lang w:val="en-US"/>
        </w:rPr>
        <w:t xml:space="preserve">the </w:t>
      </w:r>
      <w:r w:rsidR="00371BB7" w:rsidRPr="00A50E4D">
        <w:rPr>
          <w:szCs w:val="20"/>
          <w:lang w:val="en-US"/>
        </w:rPr>
        <w:t>Supreme Court of Justice</w:t>
      </w:r>
      <w:r w:rsidR="009808C5" w:rsidRPr="00A50E4D">
        <w:rPr>
          <w:szCs w:val="20"/>
          <w:lang w:val="en-US"/>
        </w:rPr>
        <w:t xml:space="preserve"> and </w:t>
      </w:r>
      <w:r w:rsidR="006A756C" w:rsidRPr="00A50E4D">
        <w:rPr>
          <w:szCs w:val="20"/>
          <w:lang w:val="en-US"/>
        </w:rPr>
        <w:t>the Judicial Service Council</w:t>
      </w:r>
      <w:r w:rsidR="007C30AF" w:rsidRPr="00A50E4D">
        <w:rPr>
          <w:szCs w:val="20"/>
          <w:lang w:val="en-US"/>
        </w:rPr>
        <w:t xml:space="preserve"> </w:t>
      </w:r>
      <w:r w:rsidRPr="00A50E4D">
        <w:rPr>
          <w:szCs w:val="20"/>
          <w:lang w:val="en-US"/>
        </w:rPr>
        <w:t>resorted to disciplinary grounds that used vague concepts such as the “dignity</w:t>
      </w:r>
      <w:r w:rsidR="00FF35A9" w:rsidRPr="00A50E4D">
        <w:rPr>
          <w:szCs w:val="20"/>
          <w:lang w:val="en-US"/>
        </w:rPr>
        <w:t xml:space="preserve"> of the </w:t>
      </w:r>
      <w:r w:rsidR="006A228E" w:rsidRPr="00A50E4D">
        <w:rPr>
          <w:szCs w:val="20"/>
          <w:lang w:val="en-US"/>
        </w:rPr>
        <w:t>administration of justice</w:t>
      </w:r>
      <w:r w:rsidR="007C30AF" w:rsidRPr="00A50E4D">
        <w:rPr>
          <w:szCs w:val="20"/>
          <w:lang w:val="en-US"/>
        </w:rPr>
        <w:t>” o</w:t>
      </w:r>
      <w:r w:rsidRPr="00A50E4D">
        <w:rPr>
          <w:szCs w:val="20"/>
          <w:lang w:val="en-US"/>
        </w:rPr>
        <w:t xml:space="preserve">r the “decorum of the office.” </w:t>
      </w:r>
      <w:r w:rsidR="009808C5" w:rsidRPr="00A50E4D">
        <w:rPr>
          <w:szCs w:val="20"/>
          <w:lang w:val="en-US"/>
        </w:rPr>
        <w:t>The Court</w:t>
      </w:r>
      <w:r w:rsidR="007C30AF" w:rsidRPr="00A50E4D">
        <w:rPr>
          <w:szCs w:val="20"/>
          <w:lang w:val="en-US"/>
        </w:rPr>
        <w:t xml:space="preserve"> </w:t>
      </w:r>
      <w:r w:rsidRPr="00A50E4D">
        <w:rPr>
          <w:szCs w:val="20"/>
          <w:lang w:val="en-US"/>
        </w:rPr>
        <w:t>notes that, even though it m</w:t>
      </w:r>
      <w:r w:rsidR="000A786A" w:rsidRPr="00A50E4D">
        <w:rPr>
          <w:szCs w:val="20"/>
          <w:lang w:val="en-US"/>
        </w:rPr>
        <w:t>ay be admitted that the precision</w:t>
      </w:r>
      <w:r w:rsidRPr="00A50E4D">
        <w:rPr>
          <w:szCs w:val="20"/>
          <w:lang w:val="en-US"/>
        </w:rPr>
        <w:t xml:space="preserve"> required in matters of disciplinary sanctions is less than in criminal matters </w:t>
      </w:r>
      <w:r w:rsidR="007C30AF" w:rsidRPr="00A50E4D">
        <w:rPr>
          <w:szCs w:val="20"/>
          <w:lang w:val="en-US"/>
        </w:rPr>
        <w:t>(</w:t>
      </w:r>
      <w:r w:rsidR="007C30AF" w:rsidRPr="00A50E4D">
        <w:rPr>
          <w:i/>
          <w:szCs w:val="20"/>
          <w:lang w:val="en-US"/>
        </w:rPr>
        <w:t>supra</w:t>
      </w:r>
      <w:r w:rsidR="007C30AF" w:rsidRPr="00A50E4D">
        <w:rPr>
          <w:szCs w:val="20"/>
          <w:lang w:val="en-US"/>
        </w:rPr>
        <w:t xml:space="preserve"> </w:t>
      </w:r>
      <w:r w:rsidR="00AD5EE7" w:rsidRPr="00A50E4D">
        <w:rPr>
          <w:szCs w:val="20"/>
          <w:lang w:val="en-US"/>
        </w:rPr>
        <w:t>para.</w:t>
      </w:r>
      <w:r w:rsidR="007C30AF" w:rsidRPr="00A50E4D">
        <w:rPr>
          <w:szCs w:val="20"/>
          <w:lang w:val="en-US"/>
        </w:rPr>
        <w:t xml:space="preserve"> </w:t>
      </w:r>
      <w:r w:rsidR="007C30AF" w:rsidRPr="00914F55">
        <w:rPr>
          <w:szCs w:val="20"/>
          <w:lang w:val="en-US"/>
        </w:rPr>
        <w:fldChar w:fldCharType="begin"/>
      </w:r>
      <w:r w:rsidR="007C30AF" w:rsidRPr="00A50E4D">
        <w:rPr>
          <w:szCs w:val="20"/>
          <w:lang w:val="en-US"/>
        </w:rPr>
        <w:instrText xml:space="preserve"> REF _Ref431643881 \r \h </w:instrText>
      </w:r>
      <w:r w:rsidR="00EA20A5" w:rsidRPr="00A50E4D">
        <w:rPr>
          <w:szCs w:val="20"/>
          <w:lang w:val="en-US"/>
        </w:rPr>
        <w:instrText xml:space="preserve"> \* MERGEFORMAT </w:instrText>
      </w:r>
      <w:r w:rsidR="007C30AF" w:rsidRPr="00914F55">
        <w:rPr>
          <w:szCs w:val="20"/>
          <w:lang w:val="en-US"/>
        </w:rPr>
      </w:r>
      <w:r w:rsidR="007C30AF" w:rsidRPr="00914F55">
        <w:rPr>
          <w:szCs w:val="20"/>
          <w:lang w:val="en-US"/>
        </w:rPr>
        <w:fldChar w:fldCharType="separate"/>
      </w:r>
      <w:r w:rsidR="00547588">
        <w:rPr>
          <w:szCs w:val="20"/>
          <w:lang w:val="en-US"/>
        </w:rPr>
        <w:t>257</w:t>
      </w:r>
      <w:r w:rsidR="007C30AF" w:rsidRPr="00914F55">
        <w:rPr>
          <w:szCs w:val="20"/>
          <w:lang w:val="en-US"/>
        </w:rPr>
        <w:fldChar w:fldCharType="end"/>
      </w:r>
      <w:r w:rsidR="007C30AF" w:rsidRPr="00A50E4D">
        <w:rPr>
          <w:szCs w:val="20"/>
          <w:lang w:val="en-US"/>
        </w:rPr>
        <w:t xml:space="preserve">), </w:t>
      </w:r>
      <w:r w:rsidRPr="00A50E4D">
        <w:rPr>
          <w:szCs w:val="20"/>
          <w:lang w:val="en-US"/>
        </w:rPr>
        <w:t xml:space="preserve">the use of open assumptions or vague concepts such as the “dignity </w:t>
      </w:r>
      <w:r w:rsidR="00FF35A9" w:rsidRPr="00A50E4D">
        <w:rPr>
          <w:szCs w:val="20"/>
          <w:lang w:val="en-US"/>
        </w:rPr>
        <w:t xml:space="preserve">of the </w:t>
      </w:r>
      <w:r w:rsidR="006A228E" w:rsidRPr="00A50E4D">
        <w:rPr>
          <w:szCs w:val="20"/>
          <w:lang w:val="en-US"/>
        </w:rPr>
        <w:t>administration of justice</w:t>
      </w:r>
      <w:r w:rsidRPr="00A50E4D">
        <w:rPr>
          <w:szCs w:val="20"/>
          <w:lang w:val="en-US"/>
        </w:rPr>
        <w:t xml:space="preserve">” or the </w:t>
      </w:r>
      <w:r w:rsidR="007C30AF" w:rsidRPr="00A50E4D">
        <w:rPr>
          <w:szCs w:val="20"/>
          <w:lang w:val="en-US"/>
        </w:rPr>
        <w:t>“decor</w:t>
      </w:r>
      <w:r w:rsidRPr="00A50E4D">
        <w:rPr>
          <w:szCs w:val="20"/>
          <w:lang w:val="en-US"/>
        </w:rPr>
        <w:t>um</w:t>
      </w:r>
      <w:r w:rsidR="00FF35A9" w:rsidRPr="00A50E4D">
        <w:rPr>
          <w:szCs w:val="20"/>
          <w:lang w:val="en-US"/>
        </w:rPr>
        <w:t xml:space="preserve"> of the </w:t>
      </w:r>
      <w:r w:rsidRPr="00A50E4D">
        <w:rPr>
          <w:szCs w:val="20"/>
          <w:lang w:val="en-US"/>
        </w:rPr>
        <w:t>office</w:t>
      </w:r>
      <w:r w:rsidR="007C30AF" w:rsidRPr="00A50E4D">
        <w:rPr>
          <w:szCs w:val="20"/>
          <w:lang w:val="en-US"/>
        </w:rPr>
        <w:t>” requi</w:t>
      </w:r>
      <w:r w:rsidRPr="00A50E4D">
        <w:rPr>
          <w:szCs w:val="20"/>
          <w:lang w:val="en-US"/>
        </w:rPr>
        <w:t>re the establishment of objective criteria that guide the interpretation or content that should be given to such concepts in order to limit discretion in the application of sanctions. Such criteria can be established by law or by means of interpretation in light of case law that places these concepts within the context, purpose and objective of the norm, in order to avoid the arbitrary use of such assumptions, based on the personal and private opinions or prejudices of the judges when they are applied.</w:t>
      </w:r>
    </w:p>
    <w:p w14:paraId="1EEB8514" w14:textId="77777777" w:rsidR="007C30AF" w:rsidRPr="00A50E4D" w:rsidRDefault="007C30AF" w:rsidP="007C30AF">
      <w:pPr>
        <w:pStyle w:val="ListParagraph"/>
        <w:numPr>
          <w:ilvl w:val="0"/>
          <w:numId w:val="0"/>
        </w:numPr>
        <w:rPr>
          <w:rFonts w:ascii="Times New Roman" w:hAnsi="Times New Roman"/>
          <w:spacing w:val="-4"/>
          <w:lang w:val="en-US"/>
        </w:rPr>
      </w:pPr>
    </w:p>
    <w:p w14:paraId="4C5D143A" w14:textId="3D3B8261" w:rsidR="007C30AF" w:rsidRPr="00A50E4D" w:rsidRDefault="00875867" w:rsidP="00875867">
      <w:pPr>
        <w:pStyle w:val="PrrafodeSentencia"/>
        <w:rPr>
          <w:szCs w:val="20"/>
          <w:lang w:val="en-US"/>
        </w:rPr>
      </w:pPr>
      <w:r w:rsidRPr="00A50E4D">
        <w:rPr>
          <w:szCs w:val="20"/>
          <w:lang w:val="en-US"/>
        </w:rPr>
        <w:t xml:space="preserve">In this regard, the Court recalls that the purpose of disciplinary control is to assess the conduct, suitability and performance </w:t>
      </w:r>
      <w:r w:rsidR="00FF35A9" w:rsidRPr="00A50E4D">
        <w:rPr>
          <w:szCs w:val="20"/>
          <w:lang w:val="en-US"/>
        </w:rPr>
        <w:t xml:space="preserve">of the </w:t>
      </w:r>
      <w:r w:rsidRPr="00A50E4D">
        <w:rPr>
          <w:szCs w:val="20"/>
          <w:lang w:val="en-US"/>
        </w:rPr>
        <w:t>j</w:t>
      </w:r>
      <w:r w:rsidR="009808C5" w:rsidRPr="00A50E4D">
        <w:rPr>
          <w:szCs w:val="20"/>
          <w:lang w:val="en-US"/>
        </w:rPr>
        <w:t>udge</w:t>
      </w:r>
      <w:r w:rsidRPr="00A50E4D">
        <w:rPr>
          <w:szCs w:val="20"/>
          <w:lang w:val="en-US"/>
        </w:rPr>
        <w:t xml:space="preserve"> as a public official </w:t>
      </w:r>
      <w:r w:rsidR="007C30AF" w:rsidRPr="00A50E4D">
        <w:rPr>
          <w:szCs w:val="20"/>
          <w:lang w:val="en-US"/>
        </w:rPr>
        <w:t>(</w:t>
      </w:r>
      <w:r w:rsidR="007C30AF" w:rsidRPr="00A50E4D">
        <w:rPr>
          <w:i/>
          <w:szCs w:val="20"/>
          <w:lang w:val="en-US"/>
        </w:rPr>
        <w:t>supra</w:t>
      </w:r>
      <w:r w:rsidR="007C30AF" w:rsidRPr="00A50E4D">
        <w:rPr>
          <w:szCs w:val="20"/>
          <w:lang w:val="en-US"/>
        </w:rPr>
        <w:t xml:space="preserve"> </w:t>
      </w:r>
      <w:r w:rsidR="00AD5EE7" w:rsidRPr="00A50E4D">
        <w:rPr>
          <w:szCs w:val="20"/>
          <w:lang w:val="en-US"/>
        </w:rPr>
        <w:t>para.</w:t>
      </w:r>
      <w:r w:rsidR="007C30AF" w:rsidRPr="00A50E4D">
        <w:rPr>
          <w:b/>
          <w:szCs w:val="20"/>
          <w:lang w:val="en-US"/>
        </w:rPr>
        <w:t xml:space="preserve"> </w:t>
      </w:r>
      <w:r w:rsidR="007C30AF" w:rsidRPr="00914F55">
        <w:rPr>
          <w:szCs w:val="20"/>
          <w:lang w:val="en-US"/>
        </w:rPr>
        <w:fldChar w:fldCharType="begin"/>
      </w:r>
      <w:r w:rsidR="007C30AF" w:rsidRPr="00A50E4D">
        <w:rPr>
          <w:szCs w:val="20"/>
          <w:lang w:val="en-US"/>
        </w:rPr>
        <w:instrText xml:space="preserve"> REF _Ref427864292 \r \h  \* MERGEFORMAT </w:instrText>
      </w:r>
      <w:r w:rsidR="007C30AF" w:rsidRPr="00914F55">
        <w:rPr>
          <w:szCs w:val="20"/>
          <w:lang w:val="en-US"/>
        </w:rPr>
      </w:r>
      <w:r w:rsidR="007C30AF" w:rsidRPr="00914F55">
        <w:rPr>
          <w:szCs w:val="20"/>
          <w:lang w:val="en-US"/>
        </w:rPr>
        <w:fldChar w:fldCharType="separate"/>
      </w:r>
      <w:r w:rsidR="00547588">
        <w:rPr>
          <w:szCs w:val="20"/>
          <w:lang w:val="en-US"/>
        </w:rPr>
        <w:t>267</w:t>
      </w:r>
      <w:r w:rsidR="007C30AF" w:rsidRPr="00914F55">
        <w:rPr>
          <w:szCs w:val="20"/>
          <w:lang w:val="en-US"/>
        </w:rPr>
        <w:fldChar w:fldCharType="end"/>
      </w:r>
      <w:r w:rsidR="007C30AF" w:rsidRPr="00A50E4D">
        <w:rPr>
          <w:szCs w:val="20"/>
          <w:lang w:val="en-US"/>
        </w:rPr>
        <w:t xml:space="preserve">). </w:t>
      </w:r>
      <w:r w:rsidRPr="00A50E4D">
        <w:rPr>
          <w:szCs w:val="20"/>
          <w:lang w:val="en-US"/>
        </w:rPr>
        <w:t xml:space="preserve">Thus, the disciplinary regulations for judges should be aimed at protecting the judicial function </w:t>
      </w:r>
      <w:r w:rsidR="00B10B13" w:rsidRPr="00A50E4D">
        <w:rPr>
          <w:szCs w:val="20"/>
          <w:lang w:val="en-US"/>
        </w:rPr>
        <w:t>and, therefore,</w:t>
      </w:r>
      <w:r w:rsidRPr="00A50E4D">
        <w:rPr>
          <w:szCs w:val="20"/>
          <w:lang w:val="en-US"/>
        </w:rPr>
        <w:t xml:space="preserve"> to assess the performance of the judge in the exercise of his or her functions. Accordingly, when applying open or indeterminate disciplinary norms that require considering concepts, such as the decorum and the dignity </w:t>
      </w:r>
      <w:r w:rsidRPr="00A50E4D">
        <w:rPr>
          <w:lang w:val="en-US"/>
        </w:rPr>
        <w:t>of the administration of justice, it is essential to take into account the effects that the conduct examined could have on the exercise of the judicial function, either positively by the establishment of normative criteria for its application or by means of an adequate interpretation and statement of reasons by the judges when applying them. To the contrary, the scope of these disciplinary measures would be subject to the private or moral beliefs of the judges.</w:t>
      </w:r>
      <w:r w:rsidR="007C30AF" w:rsidRPr="00A50E4D">
        <w:rPr>
          <w:szCs w:val="20"/>
          <w:vertAlign w:val="superscript"/>
          <w:lang w:val="en-US"/>
        </w:rPr>
        <w:footnoteReference w:id="443"/>
      </w:r>
    </w:p>
    <w:p w14:paraId="29DDC53F" w14:textId="77777777" w:rsidR="007C30AF" w:rsidRPr="00A50E4D" w:rsidRDefault="007C30AF" w:rsidP="007C30AF">
      <w:pPr>
        <w:pStyle w:val="PrrafodeSentencia"/>
        <w:numPr>
          <w:ilvl w:val="0"/>
          <w:numId w:val="0"/>
        </w:numPr>
        <w:rPr>
          <w:szCs w:val="20"/>
          <w:lang w:val="en-US"/>
        </w:rPr>
      </w:pPr>
    </w:p>
    <w:p w14:paraId="598218CF" w14:textId="1B6EB0FC" w:rsidR="00875867" w:rsidRPr="00A50E4D" w:rsidRDefault="007C30AF" w:rsidP="007C30AF">
      <w:pPr>
        <w:pStyle w:val="PrrafodeSentencia"/>
        <w:rPr>
          <w:b/>
          <w:szCs w:val="20"/>
          <w:lang w:val="en-US"/>
        </w:rPr>
      </w:pPr>
      <w:bookmarkStart w:id="384" w:name="_Ref427640000"/>
      <w:r w:rsidRPr="00A50E4D">
        <w:rPr>
          <w:szCs w:val="20"/>
          <w:lang w:val="en-US"/>
        </w:rPr>
        <w:t>N</w:t>
      </w:r>
      <w:r w:rsidR="00875867" w:rsidRPr="00A50E4D">
        <w:rPr>
          <w:szCs w:val="20"/>
          <w:lang w:val="en-US"/>
        </w:rPr>
        <w:t xml:space="preserve">one of the preceding assumptions was verified in this case. The laws did not provide the bases or </w:t>
      </w:r>
      <w:r w:rsidR="00845900" w:rsidRPr="00A50E4D">
        <w:rPr>
          <w:szCs w:val="20"/>
          <w:lang w:val="en-US"/>
        </w:rPr>
        <w:t xml:space="preserve">the </w:t>
      </w:r>
      <w:r w:rsidR="00875867" w:rsidRPr="00A50E4D">
        <w:rPr>
          <w:szCs w:val="20"/>
          <w:lang w:val="en-US"/>
        </w:rPr>
        <w:t xml:space="preserve">objective criteria that would have allowed the scope of the disciplinary measures to be delimited, and the decisions of the judges did not establish the rules that would </w:t>
      </w:r>
      <w:r w:rsidR="00845900" w:rsidRPr="00A50E4D">
        <w:rPr>
          <w:szCs w:val="20"/>
          <w:lang w:val="en-US"/>
        </w:rPr>
        <w:t xml:space="preserve">have </w:t>
      </w:r>
      <w:r w:rsidR="00875867" w:rsidRPr="00A50E4D">
        <w:rPr>
          <w:szCs w:val="20"/>
          <w:lang w:val="en-US"/>
        </w:rPr>
        <w:t>restrict</w:t>
      </w:r>
      <w:r w:rsidR="00845900" w:rsidRPr="00A50E4D">
        <w:rPr>
          <w:szCs w:val="20"/>
          <w:lang w:val="en-US"/>
        </w:rPr>
        <w:t xml:space="preserve">ed </w:t>
      </w:r>
      <w:r w:rsidR="00875867" w:rsidRPr="00A50E4D">
        <w:rPr>
          <w:szCs w:val="20"/>
          <w:lang w:val="en-US"/>
        </w:rPr>
        <w:t>possible arbitrariness in their application.</w:t>
      </w:r>
    </w:p>
    <w:bookmarkEnd w:id="384"/>
    <w:p w14:paraId="5219AAEB" w14:textId="77777777" w:rsidR="007C30AF" w:rsidRPr="00A50E4D" w:rsidRDefault="007C30AF" w:rsidP="007C30AF">
      <w:pPr>
        <w:pStyle w:val="ListParagraph"/>
        <w:numPr>
          <w:ilvl w:val="0"/>
          <w:numId w:val="0"/>
        </w:numPr>
        <w:rPr>
          <w:spacing w:val="-4"/>
          <w:lang w:val="en-US"/>
        </w:rPr>
      </w:pPr>
    </w:p>
    <w:p w14:paraId="088A5C6C" w14:textId="2E60A9D7" w:rsidR="001C2ED0" w:rsidRPr="00A50E4D" w:rsidRDefault="00875867" w:rsidP="001C2ED0">
      <w:pPr>
        <w:pStyle w:val="PrrafodeSentencia"/>
        <w:rPr>
          <w:szCs w:val="20"/>
          <w:lang w:val="en-US"/>
        </w:rPr>
      </w:pPr>
      <w:r w:rsidRPr="00A50E4D">
        <w:rPr>
          <w:lang w:val="en-US"/>
        </w:rPr>
        <w:t>The Court also recalls that the obligation to adopt domestic provisions</w:t>
      </w:r>
      <w:r w:rsidR="001C2ED0" w:rsidRPr="00A50E4D">
        <w:rPr>
          <w:lang w:val="en-US"/>
        </w:rPr>
        <w:t xml:space="preserve"> </w:t>
      </w:r>
      <w:r w:rsidR="00884A7E" w:rsidRPr="00A50E4D">
        <w:rPr>
          <w:lang w:val="en-US"/>
        </w:rPr>
        <w:t>established in</w:t>
      </w:r>
      <w:r w:rsidR="001C2ED0" w:rsidRPr="00A50E4D">
        <w:rPr>
          <w:lang w:val="en-US"/>
        </w:rPr>
        <w:t xml:space="preserve"> </w:t>
      </w:r>
      <w:r w:rsidR="009808C5" w:rsidRPr="00A50E4D">
        <w:rPr>
          <w:szCs w:val="20"/>
          <w:lang w:val="en-US"/>
        </w:rPr>
        <w:t>Article</w:t>
      </w:r>
      <w:r w:rsidR="001C2ED0" w:rsidRPr="00A50E4D">
        <w:rPr>
          <w:szCs w:val="20"/>
          <w:lang w:val="en-US"/>
        </w:rPr>
        <w:t xml:space="preserve"> 2</w:t>
      </w:r>
      <w:r w:rsidR="009808C5" w:rsidRPr="00A50E4D">
        <w:rPr>
          <w:szCs w:val="20"/>
          <w:lang w:val="en-US"/>
        </w:rPr>
        <w:t xml:space="preserve"> of the Convention</w:t>
      </w:r>
      <w:r w:rsidRPr="00A50E4D">
        <w:rPr>
          <w:szCs w:val="20"/>
          <w:lang w:val="en-US"/>
        </w:rPr>
        <w:t xml:space="preserve"> obliges the States Parties to adopt the legislative or other measures as may be necessary to give effect to the rights and freedoms protected by </w:t>
      </w:r>
      <w:r w:rsidR="009808C5" w:rsidRPr="00A50E4D">
        <w:rPr>
          <w:szCs w:val="20"/>
          <w:lang w:val="en-US"/>
        </w:rPr>
        <w:t>the Convention</w:t>
      </w:r>
      <w:r w:rsidR="00ED7510" w:rsidRPr="00A50E4D">
        <w:rPr>
          <w:szCs w:val="20"/>
          <w:lang w:val="en-US"/>
        </w:rPr>
        <w:t xml:space="preserve"> (</w:t>
      </w:r>
      <w:r w:rsidR="00ED7510" w:rsidRPr="00A50E4D">
        <w:rPr>
          <w:i/>
          <w:szCs w:val="20"/>
          <w:lang w:val="en-US"/>
        </w:rPr>
        <w:t>supra</w:t>
      </w:r>
      <w:r w:rsidR="00ED7510" w:rsidRPr="00A50E4D">
        <w:rPr>
          <w:szCs w:val="20"/>
          <w:lang w:val="en-US"/>
        </w:rPr>
        <w:t xml:space="preserve"> </w:t>
      </w:r>
      <w:r w:rsidR="00AD5EE7" w:rsidRPr="00A50E4D">
        <w:rPr>
          <w:szCs w:val="20"/>
          <w:lang w:val="en-US"/>
        </w:rPr>
        <w:t>para.</w:t>
      </w:r>
      <w:r w:rsidR="00ED7510" w:rsidRPr="00A50E4D">
        <w:rPr>
          <w:szCs w:val="20"/>
          <w:lang w:val="en-US"/>
        </w:rPr>
        <w:t xml:space="preserve"> </w:t>
      </w:r>
      <w:r w:rsidR="00ED7510" w:rsidRPr="00914F55">
        <w:rPr>
          <w:szCs w:val="20"/>
          <w:lang w:val="en-US"/>
        </w:rPr>
        <w:fldChar w:fldCharType="begin"/>
      </w:r>
      <w:r w:rsidR="00ED7510" w:rsidRPr="00A50E4D">
        <w:rPr>
          <w:szCs w:val="20"/>
          <w:lang w:val="en-US"/>
        </w:rPr>
        <w:instrText xml:space="preserve"> REF _Ref308535770 \r \h </w:instrText>
      </w:r>
      <w:r w:rsidR="00EA20A5" w:rsidRPr="00A50E4D">
        <w:rPr>
          <w:szCs w:val="20"/>
          <w:lang w:val="en-US"/>
        </w:rPr>
        <w:instrText xml:space="preserve"> \* MERGEFORMAT </w:instrText>
      </w:r>
      <w:r w:rsidR="00ED7510" w:rsidRPr="00914F55">
        <w:rPr>
          <w:szCs w:val="20"/>
          <w:lang w:val="en-US"/>
        </w:rPr>
      </w:r>
      <w:r w:rsidR="00ED7510" w:rsidRPr="00914F55">
        <w:rPr>
          <w:szCs w:val="20"/>
          <w:lang w:val="en-US"/>
        </w:rPr>
        <w:fldChar w:fldCharType="separate"/>
      </w:r>
      <w:r w:rsidR="00547588">
        <w:rPr>
          <w:szCs w:val="20"/>
          <w:lang w:val="en-US"/>
        </w:rPr>
        <w:t>213</w:t>
      </w:r>
      <w:r w:rsidR="00ED7510" w:rsidRPr="00914F55">
        <w:rPr>
          <w:szCs w:val="20"/>
          <w:lang w:val="en-US"/>
        </w:rPr>
        <w:fldChar w:fldCharType="end"/>
      </w:r>
      <w:r w:rsidR="00ED7510" w:rsidRPr="00A50E4D">
        <w:rPr>
          <w:szCs w:val="20"/>
          <w:lang w:val="en-US"/>
        </w:rPr>
        <w:t>).</w:t>
      </w:r>
      <w:r w:rsidR="00ED7510" w:rsidRPr="00A50E4D">
        <w:rPr>
          <w:szCs w:val="20"/>
          <w:vertAlign w:val="superscript"/>
          <w:lang w:val="en-US"/>
        </w:rPr>
        <w:t xml:space="preserve"> </w:t>
      </w:r>
    </w:p>
    <w:p w14:paraId="3A27162C" w14:textId="77777777" w:rsidR="001C2ED0" w:rsidRPr="00A50E4D" w:rsidRDefault="001C2ED0" w:rsidP="007C30AF">
      <w:pPr>
        <w:pStyle w:val="ListParagraph"/>
        <w:numPr>
          <w:ilvl w:val="0"/>
          <w:numId w:val="0"/>
        </w:numPr>
        <w:rPr>
          <w:spacing w:val="-4"/>
          <w:lang w:val="en-US"/>
        </w:rPr>
      </w:pPr>
    </w:p>
    <w:p w14:paraId="3DBEE3FF" w14:textId="4D606736" w:rsidR="007C30AF" w:rsidRPr="00A50E4D" w:rsidRDefault="00875867" w:rsidP="007C30AF">
      <w:pPr>
        <w:pStyle w:val="PrrafodeSentencia"/>
        <w:rPr>
          <w:b/>
          <w:szCs w:val="20"/>
          <w:lang w:val="en-US"/>
        </w:rPr>
      </w:pPr>
      <w:bookmarkStart w:id="385" w:name="_Ref431643901"/>
      <w:r w:rsidRPr="00A50E4D">
        <w:rPr>
          <w:szCs w:val="20"/>
          <w:lang w:val="en-US"/>
        </w:rPr>
        <w:t>Based on the above, the Court concludes that</w:t>
      </w:r>
      <w:r w:rsidR="007C30AF" w:rsidRPr="00A50E4D">
        <w:rPr>
          <w:szCs w:val="20"/>
          <w:lang w:val="en-US"/>
        </w:rPr>
        <w:t xml:space="preserve"> </w:t>
      </w:r>
      <w:r w:rsidR="009808C5" w:rsidRPr="00A50E4D">
        <w:rPr>
          <w:szCs w:val="20"/>
          <w:lang w:val="en-US"/>
        </w:rPr>
        <w:t>the State</w:t>
      </w:r>
      <w:r w:rsidRPr="00A50E4D">
        <w:rPr>
          <w:szCs w:val="20"/>
          <w:lang w:val="en-US"/>
        </w:rPr>
        <w:t xml:space="preserve"> violated</w:t>
      </w:r>
      <w:r w:rsidR="007C30AF" w:rsidRPr="00A50E4D">
        <w:rPr>
          <w:szCs w:val="20"/>
          <w:lang w:val="en-US"/>
        </w:rPr>
        <w:t xml:space="preserve"> </w:t>
      </w:r>
      <w:r w:rsidR="009808C5" w:rsidRPr="00A50E4D">
        <w:rPr>
          <w:szCs w:val="20"/>
          <w:lang w:val="en-US"/>
        </w:rPr>
        <w:t>Article</w:t>
      </w:r>
      <w:r w:rsidR="007C30AF" w:rsidRPr="00A50E4D">
        <w:rPr>
          <w:szCs w:val="20"/>
          <w:lang w:val="en-US"/>
        </w:rPr>
        <w:t xml:space="preserve"> 9</w:t>
      </w:r>
      <w:r w:rsidR="009808C5" w:rsidRPr="00A50E4D">
        <w:rPr>
          <w:szCs w:val="20"/>
          <w:lang w:val="en-US"/>
        </w:rPr>
        <w:t xml:space="preserve"> of the Convention</w:t>
      </w:r>
      <w:r w:rsidR="007C30AF" w:rsidRPr="00A50E4D">
        <w:rPr>
          <w:szCs w:val="20"/>
          <w:lang w:val="en-US"/>
        </w:rPr>
        <w:t xml:space="preserve">, </w:t>
      </w:r>
      <w:r w:rsidR="0048601C" w:rsidRPr="00A50E4D">
        <w:rPr>
          <w:szCs w:val="20"/>
          <w:lang w:val="en-US"/>
        </w:rPr>
        <w:t>in relation to Articles 1(1)</w:t>
      </w:r>
      <w:r w:rsidR="009808C5" w:rsidRPr="00A50E4D">
        <w:rPr>
          <w:szCs w:val="20"/>
          <w:lang w:val="en-US"/>
        </w:rPr>
        <w:t xml:space="preserve"> and </w:t>
      </w:r>
      <w:r w:rsidR="007C30AF" w:rsidRPr="00A50E4D">
        <w:rPr>
          <w:szCs w:val="20"/>
          <w:lang w:val="en-US"/>
        </w:rPr>
        <w:t>2</w:t>
      </w:r>
      <w:r w:rsidR="009808C5" w:rsidRPr="00A50E4D">
        <w:rPr>
          <w:szCs w:val="20"/>
          <w:lang w:val="en-US"/>
        </w:rPr>
        <w:t xml:space="preserve"> of the Convention</w:t>
      </w:r>
      <w:r w:rsidR="007C30AF" w:rsidRPr="00A50E4D">
        <w:rPr>
          <w:szCs w:val="20"/>
          <w:lang w:val="en-US"/>
        </w:rPr>
        <w:t xml:space="preserve"> </w:t>
      </w:r>
      <w:r w:rsidRPr="00A50E4D">
        <w:rPr>
          <w:szCs w:val="20"/>
          <w:lang w:val="en-US"/>
        </w:rPr>
        <w:t>to the detriment of</w:t>
      </w:r>
      <w:r w:rsidR="007C30AF" w:rsidRPr="00A50E4D">
        <w:rPr>
          <w:szCs w:val="20"/>
          <w:lang w:val="en-US"/>
        </w:rPr>
        <w:t xml:space="preserve"> </w:t>
      </w:r>
      <w:r w:rsidR="007C30AF" w:rsidRPr="00A50E4D">
        <w:rPr>
          <w:lang w:val="en-US"/>
        </w:rPr>
        <w:t xml:space="preserve">Adán Guillermo López Lone, </w:t>
      </w:r>
      <w:r w:rsidR="008217D7" w:rsidRPr="00A50E4D">
        <w:rPr>
          <w:lang w:val="en-US"/>
        </w:rPr>
        <w:t>Tirza del Carmen</w:t>
      </w:r>
      <w:r w:rsidR="007C30AF" w:rsidRPr="00A50E4D">
        <w:rPr>
          <w:lang w:val="en-US"/>
        </w:rPr>
        <w:t xml:space="preserve"> Flores Lanza, Luis Alonso </w:t>
      </w:r>
      <w:r w:rsidR="009A7056" w:rsidRPr="00A50E4D">
        <w:rPr>
          <w:lang w:val="en-US"/>
        </w:rPr>
        <w:t>Chévez de la Rocha</w:t>
      </w:r>
      <w:r w:rsidR="009808C5" w:rsidRPr="00A50E4D">
        <w:rPr>
          <w:lang w:val="en-US"/>
        </w:rPr>
        <w:t xml:space="preserve"> and </w:t>
      </w:r>
      <w:r w:rsidR="007C30AF" w:rsidRPr="00A50E4D">
        <w:rPr>
          <w:lang w:val="en-US"/>
        </w:rPr>
        <w:t>Ramón Enrique Barrios Maldonado</w:t>
      </w:r>
      <w:r w:rsidR="007C30AF" w:rsidRPr="00A50E4D">
        <w:rPr>
          <w:szCs w:val="20"/>
          <w:lang w:val="en-US"/>
        </w:rPr>
        <w:t xml:space="preserve">, </w:t>
      </w:r>
      <w:r w:rsidRPr="00A50E4D">
        <w:rPr>
          <w:szCs w:val="20"/>
          <w:lang w:val="en-US"/>
        </w:rPr>
        <w:t xml:space="preserve">owing to the excessive discretion in the establishment of the sanction of dismissal </w:t>
      </w:r>
      <w:r w:rsidR="007C30AF" w:rsidRPr="00A50E4D">
        <w:rPr>
          <w:szCs w:val="20"/>
          <w:lang w:val="en-US"/>
        </w:rPr>
        <w:t>(</w:t>
      </w:r>
      <w:r w:rsidR="007C30AF" w:rsidRPr="00A50E4D">
        <w:rPr>
          <w:i/>
          <w:szCs w:val="20"/>
          <w:lang w:val="en-US"/>
        </w:rPr>
        <w:t>supra</w:t>
      </w:r>
      <w:r w:rsidR="007C30AF" w:rsidRPr="00A50E4D">
        <w:rPr>
          <w:szCs w:val="20"/>
          <w:lang w:val="en-US"/>
        </w:rPr>
        <w:t xml:space="preserve"> </w:t>
      </w:r>
      <w:r w:rsidR="00AD5EE7" w:rsidRPr="00A50E4D">
        <w:rPr>
          <w:szCs w:val="20"/>
          <w:lang w:val="en-US"/>
        </w:rPr>
        <w:t>paras.</w:t>
      </w:r>
      <w:r w:rsidR="007C30AF" w:rsidRPr="00A50E4D">
        <w:rPr>
          <w:szCs w:val="20"/>
          <w:lang w:val="en-US"/>
        </w:rPr>
        <w:t xml:space="preserve"> </w:t>
      </w:r>
      <w:r w:rsidR="007C30AF" w:rsidRPr="00914F55">
        <w:rPr>
          <w:szCs w:val="20"/>
          <w:lang w:val="en-US"/>
        </w:rPr>
        <w:fldChar w:fldCharType="begin"/>
      </w:r>
      <w:r w:rsidR="007C30AF" w:rsidRPr="00A50E4D">
        <w:rPr>
          <w:szCs w:val="20"/>
          <w:lang w:val="en-US"/>
        </w:rPr>
        <w:instrText xml:space="preserve"> REF _Ref427639972 \r \h  \* MERGEFORMAT </w:instrText>
      </w:r>
      <w:r w:rsidR="007C30AF" w:rsidRPr="00914F55">
        <w:rPr>
          <w:szCs w:val="20"/>
          <w:lang w:val="en-US"/>
        </w:rPr>
      </w:r>
      <w:r w:rsidR="007C30AF" w:rsidRPr="00914F55">
        <w:rPr>
          <w:szCs w:val="20"/>
          <w:lang w:val="en-US"/>
        </w:rPr>
        <w:fldChar w:fldCharType="separate"/>
      </w:r>
      <w:r w:rsidR="00547588">
        <w:rPr>
          <w:szCs w:val="20"/>
          <w:lang w:val="en-US"/>
        </w:rPr>
        <w:t>259</w:t>
      </w:r>
      <w:r w:rsidR="007C30AF" w:rsidRPr="00914F55">
        <w:rPr>
          <w:szCs w:val="20"/>
          <w:lang w:val="en-US"/>
        </w:rPr>
        <w:fldChar w:fldCharType="end"/>
      </w:r>
      <w:r w:rsidRPr="00A50E4D">
        <w:rPr>
          <w:szCs w:val="20"/>
          <w:lang w:val="en-US"/>
        </w:rPr>
        <w:t xml:space="preserve"> to</w:t>
      </w:r>
      <w:r w:rsidR="007C30AF" w:rsidRPr="00A50E4D">
        <w:rPr>
          <w:szCs w:val="20"/>
          <w:lang w:val="en-US"/>
        </w:rPr>
        <w:t xml:space="preserve"> </w:t>
      </w:r>
      <w:r w:rsidR="007C30AF" w:rsidRPr="00914F55">
        <w:rPr>
          <w:szCs w:val="20"/>
          <w:lang w:val="en-US"/>
        </w:rPr>
        <w:fldChar w:fldCharType="begin"/>
      </w:r>
      <w:r w:rsidR="007C30AF" w:rsidRPr="00A50E4D">
        <w:rPr>
          <w:szCs w:val="20"/>
          <w:lang w:val="en-US"/>
        </w:rPr>
        <w:instrText xml:space="preserve"> REF _Ref427639992 \r \h  \* MERGEFORMAT </w:instrText>
      </w:r>
      <w:r w:rsidR="007C30AF" w:rsidRPr="00914F55">
        <w:rPr>
          <w:szCs w:val="20"/>
          <w:lang w:val="en-US"/>
        </w:rPr>
      </w:r>
      <w:r w:rsidR="007C30AF" w:rsidRPr="00914F55">
        <w:rPr>
          <w:szCs w:val="20"/>
          <w:lang w:val="en-US"/>
        </w:rPr>
        <w:fldChar w:fldCharType="separate"/>
      </w:r>
      <w:r w:rsidR="00547588">
        <w:rPr>
          <w:szCs w:val="20"/>
          <w:lang w:val="en-US"/>
        </w:rPr>
        <w:t>264</w:t>
      </w:r>
      <w:r w:rsidR="007C30AF" w:rsidRPr="00914F55">
        <w:rPr>
          <w:szCs w:val="20"/>
          <w:lang w:val="en-US"/>
        </w:rPr>
        <w:fldChar w:fldCharType="end"/>
      </w:r>
      <w:r w:rsidR="007C30AF" w:rsidRPr="00A50E4D">
        <w:rPr>
          <w:szCs w:val="20"/>
          <w:lang w:val="en-US"/>
        </w:rPr>
        <w:t>), as</w:t>
      </w:r>
      <w:r w:rsidRPr="00A50E4D">
        <w:rPr>
          <w:szCs w:val="20"/>
          <w:lang w:val="en-US"/>
        </w:rPr>
        <w:t xml:space="preserve"> well as the vagueness and breadth with which the disciplinary grounds were established and applied to the </w:t>
      </w:r>
      <w:r w:rsidR="004B0477" w:rsidRPr="00A50E4D">
        <w:rPr>
          <w:szCs w:val="20"/>
          <w:lang w:val="en-US"/>
        </w:rPr>
        <w:t>victims</w:t>
      </w:r>
      <w:r w:rsidR="007C30AF" w:rsidRPr="00A50E4D">
        <w:rPr>
          <w:szCs w:val="20"/>
          <w:lang w:val="en-US"/>
        </w:rPr>
        <w:t xml:space="preserve"> </w:t>
      </w:r>
      <w:r w:rsidR="00FF35A9" w:rsidRPr="00A50E4D">
        <w:rPr>
          <w:szCs w:val="20"/>
          <w:lang w:val="en-US"/>
        </w:rPr>
        <w:t>in this case</w:t>
      </w:r>
      <w:r w:rsidR="007C30AF" w:rsidRPr="00A50E4D">
        <w:rPr>
          <w:szCs w:val="20"/>
          <w:lang w:val="en-US"/>
        </w:rPr>
        <w:t xml:space="preserve"> (</w:t>
      </w:r>
      <w:r w:rsidR="007C30AF" w:rsidRPr="00A50E4D">
        <w:rPr>
          <w:i/>
          <w:szCs w:val="20"/>
          <w:lang w:val="en-US"/>
        </w:rPr>
        <w:t xml:space="preserve">supra </w:t>
      </w:r>
      <w:r w:rsidR="00AD5EE7" w:rsidRPr="00A50E4D">
        <w:rPr>
          <w:szCs w:val="20"/>
          <w:lang w:val="en-US"/>
        </w:rPr>
        <w:t>paras.</w:t>
      </w:r>
      <w:r w:rsidR="007C30AF" w:rsidRPr="00A50E4D">
        <w:rPr>
          <w:szCs w:val="20"/>
          <w:lang w:val="en-US"/>
        </w:rPr>
        <w:t xml:space="preserve"> </w:t>
      </w:r>
      <w:r w:rsidR="007C30AF" w:rsidRPr="00914F55">
        <w:rPr>
          <w:szCs w:val="20"/>
          <w:lang w:val="en-US"/>
        </w:rPr>
        <w:fldChar w:fldCharType="begin"/>
      </w:r>
      <w:r w:rsidR="007C30AF" w:rsidRPr="00A50E4D">
        <w:rPr>
          <w:szCs w:val="20"/>
          <w:lang w:val="en-US"/>
        </w:rPr>
        <w:instrText xml:space="preserve"> REF _Ref434420175 \r \h </w:instrText>
      </w:r>
      <w:r w:rsidR="00EA20A5" w:rsidRPr="00A50E4D">
        <w:rPr>
          <w:szCs w:val="20"/>
          <w:lang w:val="en-US"/>
        </w:rPr>
        <w:instrText xml:space="preserve"> \* MERGEFORMAT </w:instrText>
      </w:r>
      <w:r w:rsidR="007C30AF" w:rsidRPr="00914F55">
        <w:rPr>
          <w:szCs w:val="20"/>
          <w:lang w:val="en-US"/>
        </w:rPr>
      </w:r>
      <w:r w:rsidR="007C30AF" w:rsidRPr="00914F55">
        <w:rPr>
          <w:szCs w:val="20"/>
          <w:lang w:val="en-US"/>
        </w:rPr>
        <w:fldChar w:fldCharType="separate"/>
      </w:r>
      <w:r w:rsidR="00547588">
        <w:rPr>
          <w:szCs w:val="20"/>
          <w:lang w:val="en-US"/>
        </w:rPr>
        <w:t>265</w:t>
      </w:r>
      <w:r w:rsidR="007C30AF" w:rsidRPr="00914F55">
        <w:rPr>
          <w:szCs w:val="20"/>
          <w:lang w:val="en-US"/>
        </w:rPr>
        <w:fldChar w:fldCharType="end"/>
      </w:r>
      <w:r w:rsidR="007C30AF" w:rsidRPr="00A50E4D">
        <w:rPr>
          <w:szCs w:val="20"/>
          <w:lang w:val="en-US"/>
        </w:rPr>
        <w:t xml:space="preserve"> </w:t>
      </w:r>
      <w:r w:rsidRPr="00A50E4D">
        <w:rPr>
          <w:szCs w:val="20"/>
          <w:lang w:val="en-US"/>
        </w:rPr>
        <w:t>to</w:t>
      </w:r>
      <w:r w:rsidR="007C30AF" w:rsidRPr="00A50E4D">
        <w:rPr>
          <w:szCs w:val="20"/>
          <w:lang w:val="en-US"/>
        </w:rPr>
        <w:t xml:space="preserve"> </w:t>
      </w:r>
      <w:r w:rsidR="007C30AF" w:rsidRPr="00914F55">
        <w:rPr>
          <w:szCs w:val="20"/>
          <w:lang w:val="en-US"/>
        </w:rPr>
        <w:fldChar w:fldCharType="begin"/>
      </w:r>
      <w:r w:rsidR="007C30AF" w:rsidRPr="00A50E4D">
        <w:rPr>
          <w:szCs w:val="20"/>
          <w:lang w:val="en-US"/>
        </w:rPr>
        <w:instrText xml:space="preserve"> REF _Ref427640000 \r \h  \* MERGEFORMAT </w:instrText>
      </w:r>
      <w:r w:rsidR="007C30AF" w:rsidRPr="00914F55">
        <w:rPr>
          <w:szCs w:val="20"/>
          <w:lang w:val="en-US"/>
        </w:rPr>
      </w:r>
      <w:r w:rsidR="007C30AF" w:rsidRPr="00914F55">
        <w:rPr>
          <w:szCs w:val="20"/>
          <w:lang w:val="en-US"/>
        </w:rPr>
        <w:fldChar w:fldCharType="separate"/>
      </w:r>
      <w:r w:rsidR="00547588">
        <w:rPr>
          <w:szCs w:val="20"/>
          <w:lang w:val="en-US"/>
        </w:rPr>
        <w:t>274</w:t>
      </w:r>
      <w:r w:rsidR="007C30AF" w:rsidRPr="00914F55">
        <w:rPr>
          <w:szCs w:val="20"/>
          <w:lang w:val="en-US"/>
        </w:rPr>
        <w:fldChar w:fldCharType="end"/>
      </w:r>
      <w:r w:rsidR="007C30AF" w:rsidRPr="00A50E4D">
        <w:rPr>
          <w:szCs w:val="20"/>
          <w:lang w:val="en-US"/>
        </w:rPr>
        <w:t>).</w:t>
      </w:r>
      <w:bookmarkEnd w:id="385"/>
      <w:r w:rsidR="007C30AF" w:rsidRPr="00A50E4D">
        <w:rPr>
          <w:szCs w:val="20"/>
          <w:lang w:val="en-US"/>
        </w:rPr>
        <w:t xml:space="preserve"> </w:t>
      </w:r>
    </w:p>
    <w:p w14:paraId="492FCE62" w14:textId="77777777" w:rsidR="00FA71A5" w:rsidRPr="00A50E4D" w:rsidRDefault="00FA71A5" w:rsidP="00FA71A5">
      <w:pPr>
        <w:rPr>
          <w:spacing w:val="-4"/>
          <w:lang w:val="en-US" w:eastAsia="es-MX"/>
        </w:rPr>
      </w:pPr>
    </w:p>
    <w:p w14:paraId="2A25FB6D" w14:textId="77777777" w:rsidR="00845900" w:rsidRPr="00A50E4D" w:rsidRDefault="00845900" w:rsidP="00FA71A5">
      <w:pPr>
        <w:rPr>
          <w:spacing w:val="-4"/>
          <w:lang w:val="en-US" w:eastAsia="es-MX"/>
        </w:rPr>
      </w:pPr>
    </w:p>
    <w:p w14:paraId="4A0D5506" w14:textId="77777777" w:rsidR="003D717E" w:rsidRPr="00A50E4D" w:rsidRDefault="005C2C05" w:rsidP="003D717E">
      <w:pPr>
        <w:pStyle w:val="Heading1"/>
        <w:rPr>
          <w:spacing w:val="-4"/>
          <w:lang w:val="en-US"/>
        </w:rPr>
      </w:pPr>
      <w:bookmarkStart w:id="386" w:name="_Toc471717297"/>
      <w:r w:rsidRPr="00A50E4D">
        <w:rPr>
          <w:spacing w:val="-4"/>
          <w:lang w:val="en-US"/>
        </w:rPr>
        <w:t>VII-</w:t>
      </w:r>
      <w:r w:rsidR="00FC38CE" w:rsidRPr="00A50E4D">
        <w:rPr>
          <w:spacing w:val="-4"/>
          <w:lang w:val="en-US"/>
        </w:rPr>
        <w:t>4</w:t>
      </w:r>
      <w:bookmarkEnd w:id="386"/>
    </w:p>
    <w:p w14:paraId="7C83B5B2" w14:textId="12A76B86" w:rsidR="003D717E" w:rsidRPr="00A50E4D" w:rsidRDefault="00655443" w:rsidP="003D717E">
      <w:pPr>
        <w:pStyle w:val="Heading1"/>
        <w:rPr>
          <w:spacing w:val="-4"/>
          <w:lang w:val="en-US"/>
        </w:rPr>
      </w:pPr>
      <w:bookmarkStart w:id="387" w:name="_Toc471717298"/>
      <w:r w:rsidRPr="00A50E4D">
        <w:rPr>
          <w:spacing w:val="-4"/>
          <w:lang w:val="en-US"/>
        </w:rPr>
        <w:t>RIGHT TO PERSONAL LIBERTY OF JUDGE CHÉVEZ DE LA ROCHA</w:t>
      </w:r>
      <w:bookmarkEnd w:id="387"/>
    </w:p>
    <w:p w14:paraId="63DE6ACB" w14:textId="77777777" w:rsidR="003D717E" w:rsidRPr="00A50E4D" w:rsidRDefault="003D717E" w:rsidP="003D717E">
      <w:pPr>
        <w:pStyle w:val="ListParagraph"/>
        <w:numPr>
          <w:ilvl w:val="0"/>
          <w:numId w:val="0"/>
        </w:numPr>
        <w:tabs>
          <w:tab w:val="left" w:pos="426"/>
        </w:tabs>
        <w:rPr>
          <w:rFonts w:eastAsiaTheme="minorHAnsi"/>
          <w:bCs/>
          <w:spacing w:val="-4"/>
          <w:lang w:val="en-US"/>
        </w:rPr>
      </w:pPr>
    </w:p>
    <w:p w14:paraId="47C954E6" w14:textId="0F93F870" w:rsidR="00734861" w:rsidRPr="00A50E4D" w:rsidRDefault="009A7056" w:rsidP="00734861">
      <w:pPr>
        <w:pStyle w:val="PrrafodeSentencia"/>
        <w:rPr>
          <w:rFonts w:eastAsiaTheme="minorHAnsi"/>
          <w:bCs/>
          <w:lang w:val="en-US"/>
        </w:rPr>
      </w:pPr>
      <w:bookmarkStart w:id="388" w:name="_Ref375137748"/>
      <w:r w:rsidRPr="00A50E4D">
        <w:rPr>
          <w:rFonts w:eastAsiaTheme="minorHAnsi"/>
          <w:lang w:val="en-US"/>
        </w:rPr>
        <w:lastRenderedPageBreak/>
        <w:t>Mr. Chévez de la Rocha</w:t>
      </w:r>
      <w:r w:rsidR="00734861" w:rsidRPr="00A50E4D">
        <w:rPr>
          <w:rFonts w:eastAsiaTheme="minorHAnsi"/>
          <w:lang w:val="en-US"/>
        </w:rPr>
        <w:t xml:space="preserve"> </w:t>
      </w:r>
      <w:r w:rsidR="0014798F" w:rsidRPr="00A50E4D">
        <w:rPr>
          <w:rFonts w:eastAsiaTheme="minorHAnsi"/>
          <w:lang w:val="en-US"/>
        </w:rPr>
        <w:t>was arrested base</w:t>
      </w:r>
      <w:r w:rsidR="00655443" w:rsidRPr="00A50E4D">
        <w:rPr>
          <w:rFonts w:eastAsiaTheme="minorHAnsi"/>
          <w:lang w:val="en-US"/>
        </w:rPr>
        <w:t>d</w:t>
      </w:r>
      <w:r w:rsidR="0014798F" w:rsidRPr="00A50E4D">
        <w:rPr>
          <w:rFonts w:eastAsiaTheme="minorHAnsi"/>
          <w:lang w:val="en-US"/>
        </w:rPr>
        <w:t xml:space="preserve"> </w:t>
      </w:r>
      <w:r w:rsidR="00655443" w:rsidRPr="00A50E4D">
        <w:rPr>
          <w:rFonts w:eastAsiaTheme="minorHAnsi"/>
          <w:lang w:val="en-US"/>
        </w:rPr>
        <w:t xml:space="preserve">on his supposed participation in a public </w:t>
      </w:r>
      <w:r w:rsidR="00845900" w:rsidRPr="00A50E4D">
        <w:rPr>
          <w:rFonts w:eastAsiaTheme="minorHAnsi"/>
          <w:lang w:val="en-US"/>
        </w:rPr>
        <w:t>protest</w:t>
      </w:r>
      <w:r w:rsidR="00655443" w:rsidRPr="00A50E4D">
        <w:rPr>
          <w:rFonts w:eastAsiaTheme="minorHAnsi"/>
          <w:lang w:val="en-US"/>
        </w:rPr>
        <w:t xml:space="preserve"> in</w:t>
      </w:r>
      <w:r w:rsidR="00734861" w:rsidRPr="00A50E4D">
        <w:rPr>
          <w:rFonts w:eastAsiaTheme="minorHAnsi"/>
          <w:lang w:val="en-US"/>
        </w:rPr>
        <w:t xml:space="preserve"> San Pedro Sula. </w:t>
      </w:r>
      <w:r w:rsidR="00AD5EE7" w:rsidRPr="00A50E4D">
        <w:rPr>
          <w:lang w:val="en-US"/>
        </w:rPr>
        <w:t>The representatives</w:t>
      </w:r>
      <w:r w:rsidR="00734861" w:rsidRPr="00A50E4D">
        <w:rPr>
          <w:lang w:val="en-US"/>
        </w:rPr>
        <w:t xml:space="preserve"> </w:t>
      </w:r>
      <w:r w:rsidR="00655443" w:rsidRPr="00A50E4D">
        <w:rPr>
          <w:lang w:val="en-US"/>
        </w:rPr>
        <w:t>argued the violation</w:t>
      </w:r>
      <w:r w:rsidR="00734861" w:rsidRPr="00A50E4D">
        <w:rPr>
          <w:lang w:val="en-US"/>
        </w:rPr>
        <w:t xml:space="preserve"> </w:t>
      </w:r>
      <w:r w:rsidR="0048601C" w:rsidRPr="00A50E4D">
        <w:rPr>
          <w:lang w:val="en-US"/>
        </w:rPr>
        <w:t>of Article</w:t>
      </w:r>
      <w:r w:rsidR="00734861" w:rsidRPr="00A50E4D">
        <w:rPr>
          <w:lang w:val="en-US"/>
        </w:rPr>
        <w:t xml:space="preserve"> 7</w:t>
      </w:r>
      <w:r w:rsidR="00734861" w:rsidRPr="00A50E4D">
        <w:rPr>
          <w:rStyle w:val="FootnoteReference"/>
          <w:sz w:val="20"/>
          <w:szCs w:val="20"/>
          <w:lang w:val="en-US"/>
        </w:rPr>
        <w:footnoteReference w:id="444"/>
      </w:r>
      <w:r w:rsidR="009808C5" w:rsidRPr="00A50E4D">
        <w:rPr>
          <w:szCs w:val="20"/>
          <w:lang w:val="en-US"/>
        </w:rPr>
        <w:t xml:space="preserve"> </w:t>
      </w:r>
      <w:r w:rsidR="009808C5" w:rsidRPr="00A50E4D">
        <w:rPr>
          <w:lang w:val="en-US"/>
        </w:rPr>
        <w:t>of the American Convention</w:t>
      </w:r>
      <w:r w:rsidR="00734861" w:rsidRPr="00A50E4D">
        <w:rPr>
          <w:lang w:val="en-US"/>
        </w:rPr>
        <w:t xml:space="preserve">, </w:t>
      </w:r>
      <w:r w:rsidR="0048601C" w:rsidRPr="00A50E4D">
        <w:rPr>
          <w:lang w:val="en-US"/>
        </w:rPr>
        <w:t>in relation to Article 1(1)</w:t>
      </w:r>
      <w:r w:rsidR="00FF35A9" w:rsidRPr="00A50E4D">
        <w:rPr>
          <w:lang w:val="en-US"/>
        </w:rPr>
        <w:t xml:space="preserve"> of </w:t>
      </w:r>
      <w:r w:rsidR="006F102D" w:rsidRPr="00A50E4D">
        <w:rPr>
          <w:lang w:val="en-US"/>
        </w:rPr>
        <w:t>this instrument, owing to the failure to investigate his supposed arbitrary deprivation of liberty. In this chapter, the Court will set out the argument</w:t>
      </w:r>
      <w:r w:rsidR="00734861" w:rsidRPr="00A50E4D">
        <w:rPr>
          <w:lang w:val="en-US"/>
        </w:rPr>
        <w:t>s</w:t>
      </w:r>
      <w:r w:rsidR="004626E5" w:rsidRPr="00A50E4D">
        <w:rPr>
          <w:lang w:val="en-US"/>
        </w:rPr>
        <w:t xml:space="preserve"> of the </w:t>
      </w:r>
      <w:r w:rsidR="00AD5EE7" w:rsidRPr="00A50E4D">
        <w:rPr>
          <w:lang w:val="en-US"/>
        </w:rPr>
        <w:t>representatives</w:t>
      </w:r>
      <w:r w:rsidR="009808C5" w:rsidRPr="00A50E4D">
        <w:rPr>
          <w:lang w:val="en-US"/>
        </w:rPr>
        <w:t xml:space="preserve"> and of the Commission and </w:t>
      </w:r>
      <w:r w:rsidR="006F102D" w:rsidRPr="00A50E4D">
        <w:rPr>
          <w:lang w:val="en-US"/>
        </w:rPr>
        <w:t xml:space="preserve">will then examine the alleged violations of this </w:t>
      </w:r>
      <w:r w:rsidR="00F02FB7" w:rsidRPr="00A50E4D">
        <w:rPr>
          <w:lang w:val="en-US"/>
        </w:rPr>
        <w:t>article</w:t>
      </w:r>
      <w:r w:rsidR="00734861" w:rsidRPr="00A50E4D">
        <w:rPr>
          <w:lang w:val="en-US"/>
        </w:rPr>
        <w:t xml:space="preserve">. </w:t>
      </w:r>
    </w:p>
    <w:p w14:paraId="1BF68068" w14:textId="77777777" w:rsidR="003D717E" w:rsidRPr="00A50E4D" w:rsidRDefault="003D717E" w:rsidP="003D717E">
      <w:pPr>
        <w:pStyle w:val="ListParagraph"/>
        <w:numPr>
          <w:ilvl w:val="0"/>
          <w:numId w:val="0"/>
        </w:numPr>
        <w:tabs>
          <w:tab w:val="left" w:pos="567"/>
        </w:tabs>
        <w:rPr>
          <w:spacing w:val="-4"/>
          <w:lang w:val="en-US"/>
        </w:rPr>
      </w:pPr>
    </w:p>
    <w:p w14:paraId="0E2B46FD" w14:textId="77777777" w:rsidR="00845900" w:rsidRPr="00A50E4D" w:rsidRDefault="00845900" w:rsidP="003D717E">
      <w:pPr>
        <w:pStyle w:val="ListParagraph"/>
        <w:numPr>
          <w:ilvl w:val="0"/>
          <w:numId w:val="0"/>
        </w:numPr>
        <w:tabs>
          <w:tab w:val="left" w:pos="567"/>
        </w:tabs>
        <w:rPr>
          <w:spacing w:val="-4"/>
          <w:lang w:val="en-US"/>
        </w:rPr>
      </w:pPr>
    </w:p>
    <w:p w14:paraId="06455803" w14:textId="5C1C6D71" w:rsidR="00734861" w:rsidRPr="00A50E4D" w:rsidRDefault="00541CE1" w:rsidP="00734861">
      <w:pPr>
        <w:pStyle w:val="Heading2"/>
        <w:rPr>
          <w:spacing w:val="-4"/>
          <w:lang w:val="en-US"/>
        </w:rPr>
      </w:pPr>
      <w:bookmarkStart w:id="389" w:name="_Toc424834735"/>
      <w:bookmarkStart w:id="390" w:name="_Toc427932821"/>
      <w:bookmarkStart w:id="391" w:name="_Toc431584665"/>
      <w:bookmarkStart w:id="392" w:name="_Toc471717299"/>
      <w:bookmarkEnd w:id="388"/>
      <w:r w:rsidRPr="00A50E4D">
        <w:rPr>
          <w:spacing w:val="-4"/>
          <w:lang w:val="en-US"/>
        </w:rPr>
        <w:t xml:space="preserve">A. </w:t>
      </w:r>
      <w:r w:rsidR="00E84FC7" w:rsidRPr="00A50E4D">
        <w:rPr>
          <w:spacing w:val="-4"/>
          <w:lang w:val="en-US"/>
        </w:rPr>
        <w:t>Arguments</w:t>
      </w:r>
      <w:r w:rsidR="009808C5" w:rsidRPr="00A50E4D">
        <w:rPr>
          <w:spacing w:val="-4"/>
          <w:lang w:val="en-US"/>
        </w:rPr>
        <w:t xml:space="preserve"> of the Commission</w:t>
      </w:r>
      <w:bookmarkEnd w:id="389"/>
      <w:bookmarkEnd w:id="390"/>
      <w:bookmarkEnd w:id="391"/>
      <w:r w:rsidR="009808C5" w:rsidRPr="00A50E4D">
        <w:rPr>
          <w:spacing w:val="-4"/>
          <w:lang w:val="en-US"/>
        </w:rPr>
        <w:t xml:space="preserve"> </w:t>
      </w:r>
      <w:r w:rsidR="000A786A" w:rsidRPr="00A50E4D">
        <w:rPr>
          <w:spacing w:val="-4"/>
          <w:lang w:val="en-US"/>
        </w:rPr>
        <w:t>and the parties</w:t>
      </w:r>
      <w:bookmarkEnd w:id="392"/>
    </w:p>
    <w:p w14:paraId="2D4E2649" w14:textId="77777777" w:rsidR="00734861" w:rsidRPr="00A50E4D" w:rsidRDefault="00734861" w:rsidP="00734861">
      <w:pPr>
        <w:pStyle w:val="ListParagraph"/>
        <w:numPr>
          <w:ilvl w:val="0"/>
          <w:numId w:val="0"/>
        </w:numPr>
        <w:tabs>
          <w:tab w:val="left" w:pos="567"/>
        </w:tabs>
        <w:rPr>
          <w:spacing w:val="-4"/>
          <w:lang w:val="en-US"/>
        </w:rPr>
      </w:pPr>
    </w:p>
    <w:p w14:paraId="2A1F8507" w14:textId="036876A8" w:rsidR="00734861" w:rsidRPr="00A50E4D" w:rsidRDefault="00AD5EE7" w:rsidP="00734861">
      <w:pPr>
        <w:pStyle w:val="PrrafodeSentencia"/>
        <w:rPr>
          <w:lang w:val="en-US"/>
        </w:rPr>
      </w:pPr>
      <w:bookmarkStart w:id="393" w:name="_Ref405408900"/>
      <w:r w:rsidRPr="00A50E4D">
        <w:rPr>
          <w:lang w:val="en-US"/>
        </w:rPr>
        <w:t>The representatives</w:t>
      </w:r>
      <w:r w:rsidR="00734861" w:rsidRPr="00A50E4D">
        <w:rPr>
          <w:b/>
          <w:i/>
          <w:lang w:val="en-US"/>
        </w:rPr>
        <w:t xml:space="preserve"> </w:t>
      </w:r>
      <w:r w:rsidR="00460840" w:rsidRPr="00A50E4D">
        <w:rPr>
          <w:lang w:val="en-US"/>
        </w:rPr>
        <w:t xml:space="preserve">asserted that, </w:t>
      </w:r>
      <w:r w:rsidR="008142CE" w:rsidRPr="00A50E4D">
        <w:rPr>
          <w:lang w:val="en-US"/>
        </w:rPr>
        <w:t>on August 12,</w:t>
      </w:r>
      <w:r w:rsidR="00734861" w:rsidRPr="00A50E4D">
        <w:rPr>
          <w:lang w:val="en-US"/>
        </w:rPr>
        <w:t xml:space="preserve"> 2009</w:t>
      </w:r>
      <w:r w:rsidR="00460840" w:rsidRPr="00A50E4D">
        <w:rPr>
          <w:lang w:val="en-US"/>
        </w:rPr>
        <w:t>,</w:t>
      </w:r>
      <w:r w:rsidR="00734861" w:rsidRPr="00A50E4D">
        <w:rPr>
          <w:lang w:val="en-US"/>
        </w:rPr>
        <w:t xml:space="preserve"> </w:t>
      </w:r>
      <w:r w:rsidR="009A7056" w:rsidRPr="00A50E4D">
        <w:rPr>
          <w:lang w:val="en-US"/>
        </w:rPr>
        <w:t>Mr. Chévez</w:t>
      </w:r>
      <w:r w:rsidR="00460840" w:rsidRPr="00A50E4D">
        <w:rPr>
          <w:lang w:val="en-US"/>
        </w:rPr>
        <w:t xml:space="preserve"> was</w:t>
      </w:r>
      <w:r w:rsidR="00734861" w:rsidRPr="00A50E4D">
        <w:rPr>
          <w:lang w:val="en-US"/>
        </w:rPr>
        <w:t xml:space="preserve"> “arbitrari</w:t>
      </w:r>
      <w:r w:rsidR="00460840" w:rsidRPr="00A50E4D">
        <w:rPr>
          <w:lang w:val="en-US"/>
        </w:rPr>
        <w:t xml:space="preserve">ly arrested” and, even though </w:t>
      </w:r>
      <w:r w:rsidR="009808C5" w:rsidRPr="00A50E4D">
        <w:rPr>
          <w:lang w:val="en-US"/>
        </w:rPr>
        <w:t>Judge</w:t>
      </w:r>
      <w:r w:rsidR="00734861" w:rsidRPr="00A50E4D">
        <w:rPr>
          <w:lang w:val="en-US"/>
        </w:rPr>
        <w:t xml:space="preserve"> Chévez </w:t>
      </w:r>
      <w:r w:rsidR="00460840" w:rsidRPr="00A50E4D">
        <w:rPr>
          <w:lang w:val="en-US"/>
        </w:rPr>
        <w:t xml:space="preserve">was able to obtain his own </w:t>
      </w:r>
      <w:r w:rsidR="000A786A" w:rsidRPr="00A50E4D">
        <w:rPr>
          <w:lang w:val="en-US"/>
        </w:rPr>
        <w:t>release</w:t>
      </w:r>
      <w:r w:rsidR="00460840" w:rsidRPr="00A50E4D">
        <w:rPr>
          <w:lang w:val="en-US"/>
        </w:rPr>
        <w:t>, the Honduran State did not carry out an investigation into these events that would have identified and punished those responsible for having arbitrarily deprived him of his liberty</w:t>
      </w:r>
      <w:r w:rsidR="00734861" w:rsidRPr="00A50E4D">
        <w:rPr>
          <w:lang w:val="en-US"/>
        </w:rPr>
        <w:t xml:space="preserve">. </w:t>
      </w:r>
      <w:r w:rsidR="00460840" w:rsidRPr="00A50E4D">
        <w:rPr>
          <w:lang w:val="en-US"/>
        </w:rPr>
        <w:t>They indicated that “the obligation to ensure rights [contemplated in</w:t>
      </w:r>
      <w:r w:rsidR="00734861" w:rsidRPr="00A50E4D">
        <w:rPr>
          <w:lang w:val="en-US"/>
        </w:rPr>
        <w:t xml:space="preserve"> </w:t>
      </w:r>
      <w:r w:rsidR="0048601C" w:rsidRPr="00A50E4D">
        <w:rPr>
          <w:lang w:val="en-US"/>
        </w:rPr>
        <w:t>Article 1(1)</w:t>
      </w:r>
      <w:r w:rsidR="009808C5" w:rsidRPr="00A50E4D">
        <w:rPr>
          <w:lang w:val="en-US"/>
        </w:rPr>
        <w:t xml:space="preserve"> of the Convention</w:t>
      </w:r>
      <w:r w:rsidR="00734861" w:rsidRPr="00A50E4D">
        <w:rPr>
          <w:lang w:val="en-US"/>
        </w:rPr>
        <w:t xml:space="preserve">] </w:t>
      </w:r>
      <w:r w:rsidR="00460840" w:rsidRPr="00A50E4D">
        <w:rPr>
          <w:lang w:val="en-US"/>
        </w:rPr>
        <w:t>requires</w:t>
      </w:r>
      <w:r w:rsidR="00734861" w:rsidRPr="00A50E4D">
        <w:rPr>
          <w:lang w:val="en-US"/>
        </w:rPr>
        <w:t xml:space="preserve"> […] </w:t>
      </w:r>
      <w:r w:rsidR="009808C5" w:rsidRPr="00A50E4D">
        <w:rPr>
          <w:lang w:val="en-US"/>
        </w:rPr>
        <w:t>the State</w:t>
      </w:r>
      <w:r w:rsidR="00460840" w:rsidRPr="00A50E4D">
        <w:rPr>
          <w:lang w:val="en-US"/>
        </w:rPr>
        <w:t xml:space="preserve"> to investigate the violations of this right and to punish those responsible,” and it has not done so to date. In </w:t>
      </w:r>
      <w:r w:rsidR="00845900" w:rsidRPr="00A50E4D">
        <w:rPr>
          <w:lang w:val="en-US"/>
        </w:rPr>
        <w:t>addition, they stressed that this</w:t>
      </w:r>
      <w:r w:rsidR="00460840" w:rsidRPr="00A50E4D">
        <w:rPr>
          <w:lang w:val="en-US"/>
        </w:rPr>
        <w:t xml:space="preserve"> ev</w:t>
      </w:r>
      <w:r w:rsidR="00845900" w:rsidRPr="00A50E4D">
        <w:rPr>
          <w:lang w:val="en-US"/>
        </w:rPr>
        <w:t>ent was</w:t>
      </w:r>
      <w:r w:rsidR="00460840" w:rsidRPr="00A50E4D">
        <w:rPr>
          <w:lang w:val="en-US"/>
        </w:rPr>
        <w:t xml:space="preserve"> not isolated, but occurred in the context of a climate of violence against defenders who denounced human rights violations.</w:t>
      </w:r>
      <w:bookmarkStart w:id="394" w:name="_Ref391904140"/>
      <w:bookmarkStart w:id="395" w:name="_Ref401910271"/>
      <w:bookmarkEnd w:id="393"/>
    </w:p>
    <w:p w14:paraId="163F3476" w14:textId="77777777" w:rsidR="00734861" w:rsidRPr="00A50E4D" w:rsidRDefault="00734861" w:rsidP="00734861">
      <w:pPr>
        <w:pStyle w:val="ListParagraph"/>
        <w:widowControl/>
        <w:numPr>
          <w:ilvl w:val="0"/>
          <w:numId w:val="0"/>
        </w:numPr>
        <w:tabs>
          <w:tab w:val="left" w:pos="567"/>
        </w:tabs>
        <w:autoSpaceDE/>
        <w:autoSpaceDN/>
        <w:adjustRightInd/>
        <w:ind w:right="0"/>
        <w:rPr>
          <w:spacing w:val="-4"/>
          <w:lang w:val="en-US"/>
        </w:rPr>
      </w:pPr>
    </w:p>
    <w:p w14:paraId="11CC6152" w14:textId="160C085C" w:rsidR="00734861" w:rsidRPr="00A50E4D" w:rsidRDefault="00CD2874" w:rsidP="00734861">
      <w:pPr>
        <w:pStyle w:val="PrrafodeSentencia"/>
        <w:rPr>
          <w:lang w:val="en-US"/>
        </w:rPr>
      </w:pPr>
      <w:r w:rsidRPr="00A50E4D">
        <w:rPr>
          <w:lang w:val="en-US"/>
        </w:rPr>
        <w:t>The Commission</w:t>
      </w:r>
      <w:r w:rsidR="00734861" w:rsidRPr="00A50E4D">
        <w:rPr>
          <w:b/>
          <w:lang w:val="en-US"/>
        </w:rPr>
        <w:t xml:space="preserve"> </w:t>
      </w:r>
      <w:r w:rsidR="00460840" w:rsidRPr="00A50E4D">
        <w:rPr>
          <w:lang w:val="en-US"/>
        </w:rPr>
        <w:t xml:space="preserve">considered that </w:t>
      </w:r>
      <w:r w:rsidR="00734861" w:rsidRPr="00A50E4D">
        <w:rPr>
          <w:lang w:val="en-US"/>
        </w:rPr>
        <w:t>“</w:t>
      </w:r>
      <w:r w:rsidR="00460840" w:rsidRPr="00A50E4D">
        <w:rPr>
          <w:lang w:val="en-US"/>
        </w:rPr>
        <w:t xml:space="preserve">given the circumstances of this case and considering that the application for </w:t>
      </w:r>
      <w:r w:rsidR="007D50DD" w:rsidRPr="00A50E4D">
        <w:rPr>
          <w:i/>
          <w:lang w:val="en-US"/>
        </w:rPr>
        <w:t>habeas corpus</w:t>
      </w:r>
      <w:r w:rsidR="00460840" w:rsidRPr="00A50E4D">
        <w:rPr>
          <w:lang w:val="en-US"/>
        </w:rPr>
        <w:t xml:space="preserve"> had been admitted, [it did] not have sufficient evidence to rule on a violation of the obligation to ensure the right to personal liberty.”</w:t>
      </w:r>
      <w:r w:rsidR="00734861" w:rsidRPr="00A50E4D">
        <w:rPr>
          <w:lang w:val="en-US"/>
        </w:rPr>
        <w:t xml:space="preserve"> </w:t>
      </w:r>
    </w:p>
    <w:p w14:paraId="68BE4115" w14:textId="77777777" w:rsidR="00734861" w:rsidRPr="00A50E4D" w:rsidRDefault="00734861" w:rsidP="00734861">
      <w:pPr>
        <w:rPr>
          <w:lang w:val="en-US"/>
        </w:rPr>
      </w:pPr>
    </w:p>
    <w:p w14:paraId="65D3A89B" w14:textId="6D53B240" w:rsidR="00734861" w:rsidRPr="00A50E4D" w:rsidRDefault="009808C5" w:rsidP="00734861">
      <w:pPr>
        <w:pStyle w:val="PrrafodeSentencia"/>
        <w:rPr>
          <w:lang w:val="en-US"/>
        </w:rPr>
      </w:pPr>
      <w:r w:rsidRPr="00A50E4D">
        <w:rPr>
          <w:lang w:val="en-US"/>
        </w:rPr>
        <w:t>The State</w:t>
      </w:r>
      <w:r w:rsidR="00734861" w:rsidRPr="00A50E4D">
        <w:rPr>
          <w:lang w:val="en-US"/>
        </w:rPr>
        <w:t xml:space="preserve"> </w:t>
      </w:r>
      <w:bookmarkEnd w:id="394"/>
      <w:bookmarkEnd w:id="395"/>
      <w:r w:rsidR="00460840" w:rsidRPr="00A50E4D">
        <w:rPr>
          <w:lang w:val="en-US"/>
        </w:rPr>
        <w:t>did not refer to the alleged violation of</w:t>
      </w:r>
      <w:r w:rsidR="00734861" w:rsidRPr="00A50E4D">
        <w:rPr>
          <w:lang w:val="en-US"/>
        </w:rPr>
        <w:t xml:space="preserve"> </w:t>
      </w:r>
      <w:r w:rsidR="00460840" w:rsidRPr="00A50E4D">
        <w:rPr>
          <w:lang w:val="en-US"/>
        </w:rPr>
        <w:t>A</w:t>
      </w:r>
      <w:r w:rsidR="00F02FB7" w:rsidRPr="00A50E4D">
        <w:rPr>
          <w:lang w:val="en-US"/>
        </w:rPr>
        <w:t>rticle</w:t>
      </w:r>
      <w:r w:rsidR="00734861" w:rsidRPr="00A50E4D">
        <w:rPr>
          <w:lang w:val="en-US"/>
        </w:rPr>
        <w:t xml:space="preserve"> 7, a</w:t>
      </w:r>
      <w:r w:rsidR="00460840" w:rsidRPr="00A50E4D">
        <w:rPr>
          <w:lang w:val="en-US"/>
        </w:rPr>
        <w:t xml:space="preserve">lthough it did underscore that “it was proved that </w:t>
      </w:r>
      <w:r w:rsidR="000A786A" w:rsidRPr="00A50E4D">
        <w:rPr>
          <w:lang w:val="en-US"/>
        </w:rPr>
        <w:t>Luis Alonso Ché</w:t>
      </w:r>
      <w:r w:rsidR="00734861" w:rsidRPr="00A50E4D">
        <w:rPr>
          <w:lang w:val="en-US"/>
        </w:rPr>
        <w:t>vez</w:t>
      </w:r>
      <w:r w:rsidR="00FF35A9" w:rsidRPr="00A50E4D">
        <w:rPr>
          <w:lang w:val="en-US"/>
        </w:rPr>
        <w:t xml:space="preserve"> of the </w:t>
      </w:r>
      <w:r w:rsidR="00734861" w:rsidRPr="00A50E4D">
        <w:rPr>
          <w:lang w:val="en-US"/>
        </w:rPr>
        <w:t>Rocha ha</w:t>
      </w:r>
      <w:r w:rsidR="00460840" w:rsidRPr="00A50E4D">
        <w:rPr>
          <w:lang w:val="en-US"/>
        </w:rPr>
        <w:t xml:space="preserve">d been released owing to a reasoned decision by order of the Executing Magistrate, </w:t>
      </w:r>
      <w:r w:rsidR="00734861" w:rsidRPr="00A50E4D">
        <w:rPr>
          <w:lang w:val="en-US"/>
        </w:rPr>
        <w:t xml:space="preserve">Katy Antonia Sánchez, </w:t>
      </w:r>
      <w:r w:rsidR="00460840" w:rsidRPr="00A50E4D">
        <w:rPr>
          <w:lang w:val="en-US"/>
        </w:rPr>
        <w:t>who</w:t>
      </w:r>
      <w:r w:rsidR="00845900" w:rsidRPr="00A50E4D">
        <w:rPr>
          <w:lang w:val="en-US"/>
        </w:rPr>
        <w:t xml:space="preserve"> told him that he was not detain</w:t>
      </w:r>
      <w:r w:rsidR="00460840" w:rsidRPr="00A50E4D">
        <w:rPr>
          <w:lang w:val="en-US"/>
        </w:rPr>
        <w:t>ed and that there was no evidence against him.”</w:t>
      </w:r>
    </w:p>
    <w:p w14:paraId="03F82452" w14:textId="77777777" w:rsidR="00734861" w:rsidRPr="00A50E4D" w:rsidRDefault="00734861" w:rsidP="00734861">
      <w:pPr>
        <w:rPr>
          <w:spacing w:val="-4"/>
          <w:lang w:val="en-US"/>
        </w:rPr>
      </w:pPr>
    </w:p>
    <w:p w14:paraId="61960161" w14:textId="4D11FFBA" w:rsidR="00734861" w:rsidRPr="00A50E4D" w:rsidRDefault="00734861" w:rsidP="00734861">
      <w:pPr>
        <w:pStyle w:val="Heading2"/>
        <w:rPr>
          <w:spacing w:val="-4"/>
          <w:lang w:val="en-US"/>
        </w:rPr>
      </w:pPr>
      <w:bookmarkStart w:id="396" w:name="_Toc424834736"/>
      <w:bookmarkStart w:id="397" w:name="_Toc427932822"/>
      <w:bookmarkStart w:id="398" w:name="_Toc431584666"/>
      <w:bookmarkStart w:id="399" w:name="_Toc471717300"/>
      <w:r w:rsidRPr="00A50E4D">
        <w:rPr>
          <w:spacing w:val="-4"/>
          <w:lang w:val="en-US"/>
        </w:rPr>
        <w:t xml:space="preserve">B. </w:t>
      </w:r>
      <w:r w:rsidR="001D6DF6" w:rsidRPr="00A50E4D">
        <w:rPr>
          <w:spacing w:val="-4"/>
          <w:lang w:val="en-US"/>
        </w:rPr>
        <w:t>Considerations</w:t>
      </w:r>
      <w:r w:rsidR="009808C5" w:rsidRPr="00A50E4D">
        <w:rPr>
          <w:spacing w:val="-4"/>
          <w:lang w:val="en-US"/>
        </w:rPr>
        <w:t xml:space="preserve"> of the Court</w:t>
      </w:r>
      <w:bookmarkEnd w:id="396"/>
      <w:bookmarkEnd w:id="397"/>
      <w:bookmarkEnd w:id="398"/>
      <w:bookmarkEnd w:id="399"/>
    </w:p>
    <w:p w14:paraId="52BFCACB" w14:textId="77777777" w:rsidR="00734861" w:rsidRPr="00A50E4D" w:rsidRDefault="00734861" w:rsidP="00734861">
      <w:pPr>
        <w:pStyle w:val="ListParagraph"/>
        <w:numPr>
          <w:ilvl w:val="0"/>
          <w:numId w:val="0"/>
        </w:numPr>
        <w:tabs>
          <w:tab w:val="left" w:pos="567"/>
        </w:tabs>
        <w:rPr>
          <w:color w:val="FF0000"/>
          <w:spacing w:val="-4"/>
          <w:lang w:val="en-US"/>
        </w:rPr>
      </w:pPr>
    </w:p>
    <w:p w14:paraId="22D39E72" w14:textId="30AC47A6" w:rsidR="00734861" w:rsidRPr="00A50E4D" w:rsidRDefault="00460840" w:rsidP="00460840">
      <w:pPr>
        <w:pStyle w:val="PrrafodeSentencia"/>
        <w:rPr>
          <w:szCs w:val="20"/>
          <w:lang w:val="en-US"/>
        </w:rPr>
      </w:pPr>
      <w:bookmarkStart w:id="400" w:name="_Ref431215046"/>
      <w:r w:rsidRPr="00A50E4D">
        <w:rPr>
          <w:lang w:val="en-US"/>
        </w:rPr>
        <w:t xml:space="preserve">The Court recalls that </w:t>
      </w:r>
      <w:r w:rsidR="009808C5" w:rsidRPr="00A50E4D">
        <w:rPr>
          <w:lang w:val="en-US"/>
        </w:rPr>
        <w:t>Article</w:t>
      </w:r>
      <w:r w:rsidR="00734861" w:rsidRPr="00A50E4D">
        <w:rPr>
          <w:lang w:val="en-US"/>
        </w:rPr>
        <w:t xml:space="preserve"> 7</w:t>
      </w:r>
      <w:r w:rsidR="009808C5" w:rsidRPr="00A50E4D">
        <w:rPr>
          <w:lang w:val="en-US"/>
        </w:rPr>
        <w:t xml:space="preserve"> of the American Convention</w:t>
      </w:r>
      <w:r w:rsidR="00734861" w:rsidRPr="00A50E4D">
        <w:rPr>
          <w:lang w:val="en-US"/>
        </w:rPr>
        <w:t xml:space="preserve"> </w:t>
      </w:r>
      <w:r w:rsidRPr="00A50E4D">
        <w:rPr>
          <w:lang w:val="en-US"/>
        </w:rPr>
        <w:t xml:space="preserve">contains two types of very different </w:t>
      </w:r>
      <w:r w:rsidRPr="00A50E4D">
        <w:rPr>
          <w:szCs w:val="20"/>
          <w:lang w:val="en-US"/>
        </w:rPr>
        <w:t xml:space="preserve">rules, one general and the other specific. The general rule can be found in the first paragraph: </w:t>
      </w:r>
      <w:r w:rsidRPr="00A50E4D">
        <w:rPr>
          <w:spacing w:val="-3"/>
          <w:szCs w:val="20"/>
          <w:lang w:val="en-US"/>
        </w:rPr>
        <w:t>[e]very person has the right to personal liberty and security. While the specific rule is composed of a series of guarantees that protect the right not to be deprived of liberty unlawfully</w:t>
      </w:r>
      <w:r w:rsidR="00734861" w:rsidRPr="00A50E4D">
        <w:rPr>
          <w:lang w:val="en-US"/>
        </w:rPr>
        <w:t xml:space="preserve"> (</w:t>
      </w:r>
      <w:r w:rsidRPr="00A50E4D">
        <w:rPr>
          <w:lang w:val="en-US"/>
        </w:rPr>
        <w:t>A</w:t>
      </w:r>
      <w:r w:rsidR="00F02FB7" w:rsidRPr="00A50E4D">
        <w:rPr>
          <w:lang w:val="en-US"/>
        </w:rPr>
        <w:t>rticle</w:t>
      </w:r>
      <w:r w:rsidRPr="00A50E4D">
        <w:rPr>
          <w:lang w:val="en-US"/>
        </w:rPr>
        <w:t xml:space="preserve"> 7(2)</w:t>
      </w:r>
      <w:r w:rsidR="00734861" w:rsidRPr="00A50E4D">
        <w:rPr>
          <w:lang w:val="en-US"/>
        </w:rPr>
        <w:t>) o</w:t>
      </w:r>
      <w:r w:rsidRPr="00A50E4D">
        <w:rPr>
          <w:lang w:val="en-US"/>
        </w:rPr>
        <w:t>r</w:t>
      </w:r>
      <w:r w:rsidR="00734861" w:rsidRPr="00A50E4D">
        <w:rPr>
          <w:lang w:val="en-US"/>
        </w:rPr>
        <w:t xml:space="preserve"> arbitrari</w:t>
      </w:r>
      <w:r w:rsidRPr="00A50E4D">
        <w:rPr>
          <w:lang w:val="en-US"/>
        </w:rPr>
        <w:t>ly</w:t>
      </w:r>
      <w:r w:rsidR="00734861" w:rsidRPr="00A50E4D">
        <w:rPr>
          <w:lang w:val="en-US"/>
        </w:rPr>
        <w:t xml:space="preserve"> (</w:t>
      </w:r>
      <w:r w:rsidRPr="00A50E4D">
        <w:rPr>
          <w:lang w:val="en-US"/>
        </w:rPr>
        <w:t>A</w:t>
      </w:r>
      <w:r w:rsidR="00F02FB7" w:rsidRPr="00A50E4D">
        <w:rPr>
          <w:lang w:val="en-US"/>
        </w:rPr>
        <w:t>rticle</w:t>
      </w:r>
      <w:r w:rsidRPr="00A50E4D">
        <w:rPr>
          <w:lang w:val="en-US"/>
        </w:rPr>
        <w:t xml:space="preserve"> 7(3));</w:t>
      </w:r>
      <w:r w:rsidR="00734861" w:rsidRPr="00A50E4D">
        <w:rPr>
          <w:lang w:val="en-US"/>
        </w:rPr>
        <w:t xml:space="preserve"> </w:t>
      </w:r>
      <w:r w:rsidRPr="00A50E4D">
        <w:rPr>
          <w:lang w:val="en-US"/>
        </w:rPr>
        <w:t xml:space="preserve">to be informed of the reasons for the detention and the charges against him </w:t>
      </w:r>
      <w:r w:rsidR="00734861" w:rsidRPr="00A50E4D">
        <w:rPr>
          <w:szCs w:val="20"/>
          <w:lang w:val="en-US"/>
        </w:rPr>
        <w:t>(</w:t>
      </w:r>
      <w:r w:rsidRPr="00A50E4D">
        <w:rPr>
          <w:szCs w:val="20"/>
          <w:lang w:val="en-US"/>
        </w:rPr>
        <w:t>A</w:t>
      </w:r>
      <w:r w:rsidR="00F02FB7" w:rsidRPr="00A50E4D">
        <w:rPr>
          <w:szCs w:val="20"/>
          <w:lang w:val="en-US"/>
        </w:rPr>
        <w:t>rticle</w:t>
      </w:r>
      <w:r w:rsidRPr="00A50E4D">
        <w:rPr>
          <w:szCs w:val="20"/>
          <w:lang w:val="en-US"/>
        </w:rPr>
        <w:t xml:space="preserve"> 7(</w:t>
      </w:r>
      <w:r w:rsidR="00734861" w:rsidRPr="00A50E4D">
        <w:rPr>
          <w:szCs w:val="20"/>
          <w:lang w:val="en-US"/>
        </w:rPr>
        <w:t>4)</w:t>
      </w:r>
      <w:r w:rsidRPr="00A50E4D">
        <w:rPr>
          <w:szCs w:val="20"/>
          <w:lang w:val="en-US"/>
        </w:rPr>
        <w:t xml:space="preserve">); to judicial control of the deprivation of liberty </w:t>
      </w:r>
      <w:r w:rsidR="00734861" w:rsidRPr="00A50E4D">
        <w:rPr>
          <w:szCs w:val="20"/>
          <w:lang w:val="en-US"/>
        </w:rPr>
        <w:t>(</w:t>
      </w:r>
      <w:r w:rsidRPr="00A50E4D">
        <w:rPr>
          <w:szCs w:val="20"/>
          <w:lang w:val="en-US"/>
        </w:rPr>
        <w:t>A</w:t>
      </w:r>
      <w:r w:rsidR="00F02FB7" w:rsidRPr="00A50E4D">
        <w:rPr>
          <w:szCs w:val="20"/>
          <w:lang w:val="en-US"/>
        </w:rPr>
        <w:t>rticle</w:t>
      </w:r>
      <w:r w:rsidRPr="00A50E4D">
        <w:rPr>
          <w:szCs w:val="20"/>
          <w:lang w:val="en-US"/>
        </w:rPr>
        <w:t xml:space="preserve"> 7(</w:t>
      </w:r>
      <w:r w:rsidR="00734861" w:rsidRPr="00A50E4D">
        <w:rPr>
          <w:szCs w:val="20"/>
          <w:lang w:val="en-US"/>
        </w:rPr>
        <w:t>5</w:t>
      </w:r>
      <w:r w:rsidRPr="00A50E4D">
        <w:rPr>
          <w:szCs w:val="20"/>
          <w:lang w:val="en-US"/>
        </w:rPr>
        <w:t>)</w:t>
      </w:r>
      <w:r w:rsidR="00734861" w:rsidRPr="00A50E4D">
        <w:rPr>
          <w:szCs w:val="20"/>
          <w:lang w:val="en-US"/>
        </w:rPr>
        <w:t>)</w:t>
      </w:r>
      <w:r w:rsidRPr="00A50E4D">
        <w:rPr>
          <w:szCs w:val="20"/>
          <w:lang w:val="en-US"/>
        </w:rPr>
        <w:t>,</w:t>
      </w:r>
      <w:r w:rsidR="009808C5" w:rsidRPr="00A50E4D">
        <w:rPr>
          <w:szCs w:val="20"/>
          <w:lang w:val="en-US"/>
        </w:rPr>
        <w:t xml:space="preserve"> and </w:t>
      </w:r>
      <w:r w:rsidRPr="00A50E4D">
        <w:rPr>
          <w:szCs w:val="20"/>
          <w:lang w:val="en-US"/>
        </w:rPr>
        <w:t xml:space="preserve">to contest the lawfulness of the detention </w:t>
      </w:r>
      <w:r w:rsidR="00734861" w:rsidRPr="00A50E4D">
        <w:rPr>
          <w:szCs w:val="20"/>
          <w:lang w:val="en-US"/>
        </w:rPr>
        <w:t>(</w:t>
      </w:r>
      <w:r w:rsidRPr="00A50E4D">
        <w:rPr>
          <w:szCs w:val="20"/>
          <w:lang w:val="en-US"/>
        </w:rPr>
        <w:t>A</w:t>
      </w:r>
      <w:r w:rsidR="00F02FB7" w:rsidRPr="00A50E4D">
        <w:rPr>
          <w:szCs w:val="20"/>
          <w:lang w:val="en-US"/>
        </w:rPr>
        <w:t>rticle</w:t>
      </w:r>
      <w:r w:rsidRPr="00A50E4D">
        <w:rPr>
          <w:szCs w:val="20"/>
          <w:lang w:val="en-US"/>
        </w:rPr>
        <w:t xml:space="preserve"> 7(</w:t>
      </w:r>
      <w:r w:rsidR="00734861" w:rsidRPr="00A50E4D">
        <w:rPr>
          <w:szCs w:val="20"/>
          <w:lang w:val="en-US"/>
        </w:rPr>
        <w:t>6</w:t>
      </w:r>
      <w:r w:rsidRPr="00A50E4D">
        <w:rPr>
          <w:szCs w:val="20"/>
          <w:lang w:val="en-US"/>
        </w:rPr>
        <w:t>)</w:t>
      </w:r>
      <w:r w:rsidR="00734861" w:rsidRPr="00A50E4D">
        <w:rPr>
          <w:szCs w:val="20"/>
          <w:lang w:val="en-US"/>
        </w:rPr>
        <w:t>)</w:t>
      </w:r>
      <w:r w:rsidRPr="00A50E4D">
        <w:rPr>
          <w:szCs w:val="20"/>
          <w:lang w:val="en-US"/>
        </w:rPr>
        <w:t>.</w:t>
      </w:r>
      <w:r w:rsidR="00734861" w:rsidRPr="00A50E4D">
        <w:rPr>
          <w:rStyle w:val="FootnoteReference"/>
          <w:sz w:val="20"/>
          <w:szCs w:val="20"/>
          <w:lang w:val="en-US"/>
        </w:rPr>
        <w:footnoteReference w:id="445"/>
      </w:r>
      <w:r w:rsidRPr="00A50E4D">
        <w:rPr>
          <w:szCs w:val="20"/>
          <w:lang w:val="en-US"/>
        </w:rPr>
        <w:t xml:space="preserve"> Any violation of paragraphs 2 to 7 </w:t>
      </w:r>
      <w:r w:rsidR="0048601C" w:rsidRPr="00A50E4D">
        <w:rPr>
          <w:szCs w:val="20"/>
          <w:lang w:val="en-US"/>
        </w:rPr>
        <w:t>of Article</w:t>
      </w:r>
      <w:r w:rsidR="00734861" w:rsidRPr="00A50E4D">
        <w:rPr>
          <w:szCs w:val="20"/>
          <w:lang w:val="en-US"/>
        </w:rPr>
        <w:t xml:space="preserve"> 7</w:t>
      </w:r>
      <w:r w:rsidR="009808C5" w:rsidRPr="00A50E4D">
        <w:rPr>
          <w:szCs w:val="20"/>
          <w:lang w:val="en-US"/>
        </w:rPr>
        <w:t xml:space="preserve"> of the Convention</w:t>
      </w:r>
      <w:r w:rsidR="00734861" w:rsidRPr="00A50E4D">
        <w:rPr>
          <w:szCs w:val="20"/>
          <w:lang w:val="en-US"/>
        </w:rPr>
        <w:t xml:space="preserve"> </w:t>
      </w:r>
      <w:r w:rsidRPr="00A50E4D">
        <w:rPr>
          <w:szCs w:val="20"/>
          <w:lang w:val="en-US"/>
        </w:rPr>
        <w:t xml:space="preserve">necessarily results in the violation </w:t>
      </w:r>
      <w:r w:rsidR="0048601C" w:rsidRPr="00A50E4D">
        <w:rPr>
          <w:szCs w:val="20"/>
          <w:lang w:val="en-US"/>
        </w:rPr>
        <w:t xml:space="preserve">of </w:t>
      </w:r>
      <w:r w:rsidRPr="00A50E4D">
        <w:rPr>
          <w:szCs w:val="20"/>
          <w:lang w:val="en-US"/>
        </w:rPr>
        <w:t xml:space="preserve">its </w:t>
      </w:r>
      <w:r w:rsidR="0048601C" w:rsidRPr="00A50E4D">
        <w:rPr>
          <w:szCs w:val="20"/>
          <w:lang w:val="en-US"/>
        </w:rPr>
        <w:t>Article</w:t>
      </w:r>
      <w:r w:rsidRPr="00A50E4D">
        <w:rPr>
          <w:szCs w:val="20"/>
          <w:lang w:val="en-US"/>
        </w:rPr>
        <w:t xml:space="preserve"> 7(</w:t>
      </w:r>
      <w:r w:rsidR="00734861" w:rsidRPr="00A50E4D">
        <w:rPr>
          <w:szCs w:val="20"/>
          <w:lang w:val="en-US"/>
        </w:rPr>
        <w:t>1</w:t>
      </w:r>
      <w:r w:rsidRPr="00A50E4D">
        <w:rPr>
          <w:szCs w:val="20"/>
          <w:lang w:val="en-US"/>
        </w:rPr>
        <w:t>).</w:t>
      </w:r>
      <w:r w:rsidR="00734861" w:rsidRPr="00A50E4D">
        <w:rPr>
          <w:rStyle w:val="FootnoteReference"/>
          <w:sz w:val="20"/>
          <w:szCs w:val="20"/>
          <w:lang w:val="en-US"/>
        </w:rPr>
        <w:footnoteReference w:id="446"/>
      </w:r>
      <w:bookmarkEnd w:id="400"/>
      <w:r w:rsidR="00734861" w:rsidRPr="00A50E4D">
        <w:rPr>
          <w:szCs w:val="20"/>
          <w:lang w:val="en-US"/>
        </w:rPr>
        <w:t xml:space="preserve"> </w:t>
      </w:r>
    </w:p>
    <w:p w14:paraId="2B7246F2" w14:textId="77777777" w:rsidR="00734861" w:rsidRPr="00A50E4D" w:rsidRDefault="00734861" w:rsidP="00734861">
      <w:pPr>
        <w:pStyle w:val="ListParagraph"/>
        <w:numPr>
          <w:ilvl w:val="0"/>
          <w:numId w:val="0"/>
        </w:numPr>
        <w:tabs>
          <w:tab w:val="left" w:pos="567"/>
        </w:tabs>
        <w:rPr>
          <w:spacing w:val="-4"/>
          <w:lang w:val="en-US"/>
        </w:rPr>
      </w:pPr>
    </w:p>
    <w:p w14:paraId="5A1868FC" w14:textId="4675A41E" w:rsidR="00734861" w:rsidRPr="00A50E4D" w:rsidRDefault="00460840" w:rsidP="00460840">
      <w:pPr>
        <w:pStyle w:val="PrrafodeSentencia"/>
        <w:rPr>
          <w:szCs w:val="20"/>
          <w:lang w:val="en-US"/>
        </w:rPr>
      </w:pPr>
      <w:r w:rsidRPr="00A50E4D">
        <w:rPr>
          <w:szCs w:val="20"/>
          <w:lang w:val="en-US"/>
        </w:rPr>
        <w:t xml:space="preserve">In addition, the Court has established that the obligation to ensure rights, included in </w:t>
      </w:r>
      <w:r w:rsidR="0048601C" w:rsidRPr="00A50E4D">
        <w:rPr>
          <w:szCs w:val="20"/>
          <w:lang w:val="en-US"/>
        </w:rPr>
        <w:t>Article 1(1)</w:t>
      </w:r>
      <w:r w:rsidR="009808C5" w:rsidRPr="00A50E4D">
        <w:rPr>
          <w:szCs w:val="20"/>
          <w:lang w:val="en-US"/>
        </w:rPr>
        <w:t xml:space="preserve"> of the Convention</w:t>
      </w:r>
      <w:r w:rsidRPr="00A50E4D">
        <w:rPr>
          <w:szCs w:val="20"/>
          <w:lang w:val="en-US"/>
        </w:rPr>
        <w:t xml:space="preserve">, entails the </w:t>
      </w:r>
      <w:r w:rsidR="000A786A" w:rsidRPr="00A50E4D">
        <w:rPr>
          <w:szCs w:val="20"/>
          <w:lang w:val="en-US"/>
        </w:rPr>
        <w:t>obligation</w:t>
      </w:r>
      <w:r w:rsidRPr="00A50E4D">
        <w:rPr>
          <w:szCs w:val="20"/>
          <w:lang w:val="en-US"/>
        </w:rPr>
        <w:t xml:space="preserve"> of the States Parties to organize the government apparatus and, in general, all the structures by m</w:t>
      </w:r>
      <w:r w:rsidR="00845900" w:rsidRPr="00A50E4D">
        <w:rPr>
          <w:szCs w:val="20"/>
          <w:lang w:val="en-US"/>
        </w:rPr>
        <w:t xml:space="preserve">eans of which </w:t>
      </w:r>
      <w:r w:rsidRPr="00A50E4D">
        <w:rPr>
          <w:szCs w:val="20"/>
          <w:lang w:val="en-US"/>
        </w:rPr>
        <w:t xml:space="preserve">public powers are exercised, so that they are able to ensure legally the free and full exercise of human rights. As part of this obligation, States are legally bound to prevent, within reason, human rights violations, and to investigate, genuinely and with the means at their disposal, </w:t>
      </w:r>
      <w:r w:rsidRPr="00A50E4D">
        <w:rPr>
          <w:lang w:val="en-US"/>
        </w:rPr>
        <w:t xml:space="preserve">any violations committed within their jurisdiction </w:t>
      </w:r>
      <w:r w:rsidR="00845900" w:rsidRPr="00A50E4D">
        <w:rPr>
          <w:lang w:val="en-US"/>
        </w:rPr>
        <w:t xml:space="preserve">so as </w:t>
      </w:r>
      <w:r w:rsidRPr="00A50E4D">
        <w:rPr>
          <w:lang w:val="en-US"/>
        </w:rPr>
        <w:t>to identify those responsible in order to impose the pertinent sanctions and to ensure adequate redress to the victim.</w:t>
      </w:r>
      <w:r w:rsidR="00734861" w:rsidRPr="00A50E4D">
        <w:rPr>
          <w:rStyle w:val="FootnoteReference"/>
          <w:sz w:val="20"/>
          <w:szCs w:val="20"/>
          <w:lang w:val="en-US"/>
        </w:rPr>
        <w:footnoteReference w:id="447"/>
      </w:r>
    </w:p>
    <w:p w14:paraId="758078CA" w14:textId="77777777" w:rsidR="00734861" w:rsidRPr="00A50E4D" w:rsidRDefault="00734861" w:rsidP="00734861">
      <w:pPr>
        <w:pStyle w:val="ListParagraph"/>
        <w:numPr>
          <w:ilvl w:val="0"/>
          <w:numId w:val="0"/>
        </w:numPr>
        <w:rPr>
          <w:spacing w:val="-4"/>
          <w:lang w:val="en-US"/>
        </w:rPr>
      </w:pPr>
    </w:p>
    <w:p w14:paraId="4E42BA40" w14:textId="14BC282F" w:rsidR="00A34945" w:rsidRPr="00A50E4D" w:rsidRDefault="00734861" w:rsidP="00E17423">
      <w:pPr>
        <w:pStyle w:val="PrrafodeSentencia"/>
        <w:rPr>
          <w:lang w:val="en-US"/>
        </w:rPr>
      </w:pPr>
      <w:bookmarkStart w:id="401" w:name="_Ref431215054"/>
      <w:r w:rsidRPr="00A50E4D">
        <w:rPr>
          <w:lang w:val="en-US"/>
        </w:rPr>
        <w:t>N</w:t>
      </w:r>
      <w:r w:rsidR="00460840" w:rsidRPr="00A50E4D">
        <w:rPr>
          <w:lang w:val="en-US"/>
        </w:rPr>
        <w:t xml:space="preserve">evertheless, the Court considers that, taking into account the duration of the detention and the effectiveness of the application for </w:t>
      </w:r>
      <w:r w:rsidR="007D50DD" w:rsidRPr="00A50E4D">
        <w:rPr>
          <w:i/>
          <w:lang w:val="en-US"/>
        </w:rPr>
        <w:t>habeas corpus</w:t>
      </w:r>
      <w:r w:rsidR="00460840" w:rsidRPr="00A50E4D">
        <w:rPr>
          <w:lang w:val="en-US"/>
        </w:rPr>
        <w:t xml:space="preserve"> that was filed, it is unnecessary to rule on the alleged failure to investigate the detention </w:t>
      </w:r>
      <w:bookmarkEnd w:id="401"/>
      <w:r w:rsidR="00DA4F82" w:rsidRPr="00A50E4D">
        <w:rPr>
          <w:lang w:val="en-US"/>
        </w:rPr>
        <w:t>of Mr.</w:t>
      </w:r>
      <w:r w:rsidRPr="00A50E4D">
        <w:rPr>
          <w:lang w:val="en-US"/>
        </w:rPr>
        <w:t xml:space="preserve"> </w:t>
      </w:r>
      <w:r w:rsidR="009A7056" w:rsidRPr="00A50E4D">
        <w:rPr>
          <w:lang w:val="en-US"/>
        </w:rPr>
        <w:t>Chévez de la Rocha</w:t>
      </w:r>
      <w:r w:rsidRPr="00A50E4D">
        <w:rPr>
          <w:lang w:val="en-US"/>
        </w:rPr>
        <w:t xml:space="preserve">. </w:t>
      </w:r>
      <w:r w:rsidR="00460840" w:rsidRPr="00A50E4D">
        <w:rPr>
          <w:lang w:val="en-US"/>
        </w:rPr>
        <w:t xml:space="preserve">Therefore, the Court concludes that it is not necessary to issue a ruling on the alleged violation </w:t>
      </w:r>
      <w:r w:rsidR="0048601C" w:rsidRPr="00A50E4D">
        <w:rPr>
          <w:lang w:val="en-US"/>
        </w:rPr>
        <w:t>of Article</w:t>
      </w:r>
      <w:r w:rsidRPr="00A50E4D">
        <w:rPr>
          <w:lang w:val="en-US"/>
        </w:rPr>
        <w:t xml:space="preserve"> 7</w:t>
      </w:r>
      <w:r w:rsidR="009808C5" w:rsidRPr="00A50E4D">
        <w:rPr>
          <w:lang w:val="en-US"/>
        </w:rPr>
        <w:t xml:space="preserve"> of the Convention</w:t>
      </w:r>
      <w:r w:rsidRPr="00A50E4D">
        <w:rPr>
          <w:lang w:val="en-US"/>
        </w:rPr>
        <w:t xml:space="preserve">, </w:t>
      </w:r>
      <w:r w:rsidR="0048601C" w:rsidRPr="00A50E4D">
        <w:rPr>
          <w:lang w:val="en-US"/>
        </w:rPr>
        <w:t>in relation to Article 1(1)</w:t>
      </w:r>
      <w:r w:rsidR="00FF35A9" w:rsidRPr="00A50E4D">
        <w:rPr>
          <w:lang w:val="en-US"/>
        </w:rPr>
        <w:t xml:space="preserve"> of </w:t>
      </w:r>
      <w:r w:rsidR="00460840" w:rsidRPr="00A50E4D">
        <w:rPr>
          <w:lang w:val="en-US"/>
        </w:rPr>
        <w:t xml:space="preserve">this instrument, to the detriment of </w:t>
      </w:r>
      <w:r w:rsidR="000A786A" w:rsidRPr="00A50E4D">
        <w:rPr>
          <w:lang w:val="en-US"/>
        </w:rPr>
        <w:t>Luis Alonso Ché</w:t>
      </w:r>
      <w:r w:rsidRPr="00A50E4D">
        <w:rPr>
          <w:lang w:val="en-US"/>
        </w:rPr>
        <w:t>vez</w:t>
      </w:r>
      <w:r w:rsidR="00FF35A9" w:rsidRPr="00A50E4D">
        <w:rPr>
          <w:lang w:val="en-US"/>
        </w:rPr>
        <w:t xml:space="preserve"> of the </w:t>
      </w:r>
      <w:r w:rsidRPr="00A50E4D">
        <w:rPr>
          <w:lang w:val="en-US"/>
        </w:rPr>
        <w:t>Rocha.</w:t>
      </w:r>
      <w:bookmarkStart w:id="402" w:name="_Toc424834738"/>
      <w:bookmarkStart w:id="403" w:name="_Toc424834784"/>
      <w:bookmarkStart w:id="404" w:name="_Toc427234576"/>
      <w:bookmarkStart w:id="405" w:name="_Toc427342862"/>
      <w:bookmarkStart w:id="406" w:name="_Toc427663850"/>
    </w:p>
    <w:p w14:paraId="4C84AD1F" w14:textId="77777777" w:rsidR="00FA71A5" w:rsidRPr="00A50E4D" w:rsidRDefault="005C2C05" w:rsidP="00FA71A5">
      <w:pPr>
        <w:pStyle w:val="Heading1"/>
        <w:rPr>
          <w:spacing w:val="-4"/>
          <w:lang w:val="en-US"/>
        </w:rPr>
      </w:pPr>
      <w:bookmarkStart w:id="407" w:name="_Toc471717301"/>
      <w:r w:rsidRPr="00A50E4D">
        <w:rPr>
          <w:spacing w:val="-4"/>
          <w:lang w:val="en-US"/>
        </w:rPr>
        <w:t>VII-</w:t>
      </w:r>
      <w:r w:rsidR="00FC38CE" w:rsidRPr="00A50E4D">
        <w:rPr>
          <w:spacing w:val="-4"/>
          <w:lang w:val="en-US"/>
        </w:rPr>
        <w:t>5</w:t>
      </w:r>
      <w:bookmarkEnd w:id="407"/>
    </w:p>
    <w:p w14:paraId="18F255EE" w14:textId="6A5B04B0" w:rsidR="00FA71A5" w:rsidRPr="00A50E4D" w:rsidRDefault="00460840" w:rsidP="00FA71A5">
      <w:pPr>
        <w:pStyle w:val="Heading1"/>
        <w:rPr>
          <w:spacing w:val="-4"/>
          <w:lang w:val="en-US"/>
        </w:rPr>
      </w:pPr>
      <w:bookmarkStart w:id="408" w:name="_Toc471717302"/>
      <w:r w:rsidRPr="00A50E4D">
        <w:rPr>
          <w:spacing w:val="-4"/>
          <w:lang w:val="en-US"/>
        </w:rPr>
        <w:t>OTHER ALLEGED VIOLATIONS</w:t>
      </w:r>
      <w:bookmarkEnd w:id="408"/>
    </w:p>
    <w:p w14:paraId="23D752DF" w14:textId="77777777" w:rsidR="00FA71A5" w:rsidRPr="00A50E4D" w:rsidRDefault="00FA71A5" w:rsidP="00FA71A5">
      <w:pPr>
        <w:rPr>
          <w:spacing w:val="-4"/>
          <w:lang w:val="en-US" w:eastAsia="es-MX"/>
        </w:rPr>
      </w:pPr>
    </w:p>
    <w:p w14:paraId="56E051A4" w14:textId="3B3C2E94" w:rsidR="00734861" w:rsidRPr="00A50E4D" w:rsidRDefault="00AD5EE7" w:rsidP="00460840">
      <w:pPr>
        <w:pStyle w:val="PrrafodeSentencia"/>
        <w:rPr>
          <w:lang w:val="en-US"/>
        </w:rPr>
      </w:pPr>
      <w:bookmarkStart w:id="409" w:name="_Ref431215084"/>
      <w:bookmarkEnd w:id="402"/>
      <w:bookmarkEnd w:id="403"/>
      <w:bookmarkEnd w:id="404"/>
      <w:bookmarkEnd w:id="405"/>
      <w:bookmarkEnd w:id="406"/>
      <w:r w:rsidRPr="00A50E4D">
        <w:rPr>
          <w:lang w:val="en-US"/>
        </w:rPr>
        <w:t>The representatives</w:t>
      </w:r>
      <w:r w:rsidR="00734861" w:rsidRPr="00A50E4D">
        <w:rPr>
          <w:lang w:val="en-US"/>
        </w:rPr>
        <w:t xml:space="preserve"> </w:t>
      </w:r>
      <w:r w:rsidR="00460840" w:rsidRPr="00A50E4D">
        <w:rPr>
          <w:lang w:val="en-US"/>
        </w:rPr>
        <w:t xml:space="preserve">argued that “the violation of the right to personal integrity, and also the right to honor and dignity [had been] proved owing to the </w:t>
      </w:r>
      <w:r w:rsidR="008A438D" w:rsidRPr="00A50E4D">
        <w:rPr>
          <w:lang w:val="en-US"/>
        </w:rPr>
        <w:t>disruption of</w:t>
      </w:r>
      <w:r w:rsidR="00460840" w:rsidRPr="00A50E4D">
        <w:rPr>
          <w:lang w:val="en-US"/>
        </w:rPr>
        <w:t xml:space="preserve"> the victims’ life project,” so that there had been an autonomous violation of these rights. In addition, they indicated that, in this case, in addition to the violations that had already been </w:t>
      </w:r>
      <w:r w:rsidR="000A786A" w:rsidRPr="00A50E4D">
        <w:rPr>
          <w:lang w:val="en-US"/>
        </w:rPr>
        <w:t>declared</w:t>
      </w:r>
      <w:r w:rsidR="00460840" w:rsidRPr="00A50E4D">
        <w:rPr>
          <w:lang w:val="en-US"/>
        </w:rPr>
        <w:t xml:space="preserve">, the right to defend human rights had been violated, as an autonomous and independent right that, although it was not expressly recognized in the text of the Convention, was protected by </w:t>
      </w:r>
      <w:r w:rsidR="009808C5" w:rsidRPr="00A50E4D">
        <w:rPr>
          <w:lang w:val="en-US"/>
        </w:rPr>
        <w:t>Articles</w:t>
      </w:r>
      <w:r w:rsidR="00734861" w:rsidRPr="00A50E4D">
        <w:rPr>
          <w:lang w:val="en-US"/>
        </w:rPr>
        <w:t xml:space="preserve"> </w:t>
      </w:r>
      <w:r w:rsidR="00CD2874" w:rsidRPr="00A50E4D">
        <w:rPr>
          <w:lang w:val="en-US"/>
        </w:rPr>
        <w:t>13(1)</w:t>
      </w:r>
      <w:r w:rsidR="00734861" w:rsidRPr="00A50E4D">
        <w:rPr>
          <w:lang w:val="en-US"/>
        </w:rPr>
        <w:t xml:space="preserve">, 15, </w:t>
      </w:r>
      <w:r w:rsidR="00CD2874" w:rsidRPr="00A50E4D">
        <w:rPr>
          <w:lang w:val="en-US"/>
        </w:rPr>
        <w:t>16(1)</w:t>
      </w:r>
      <w:r w:rsidR="00734861" w:rsidRPr="00A50E4D">
        <w:rPr>
          <w:lang w:val="en-US"/>
        </w:rPr>
        <w:t xml:space="preserve">, </w:t>
      </w:r>
      <w:r w:rsidR="00CD2874" w:rsidRPr="00A50E4D">
        <w:rPr>
          <w:lang w:val="en-US"/>
        </w:rPr>
        <w:t>23(1)(a)</w:t>
      </w:r>
      <w:r w:rsidR="009808C5" w:rsidRPr="00A50E4D">
        <w:rPr>
          <w:lang w:val="en-US"/>
        </w:rPr>
        <w:t xml:space="preserve"> and </w:t>
      </w:r>
      <w:r w:rsidR="00EA5E90" w:rsidRPr="00A50E4D">
        <w:rPr>
          <w:lang w:val="en-US"/>
        </w:rPr>
        <w:t>25(1)</w:t>
      </w:r>
      <w:r w:rsidR="00460840" w:rsidRPr="00A50E4D">
        <w:rPr>
          <w:lang w:val="en-US"/>
        </w:rPr>
        <w:t xml:space="preserve"> of this instrument.</w:t>
      </w:r>
      <w:bookmarkEnd w:id="409"/>
    </w:p>
    <w:p w14:paraId="76A8E61A" w14:textId="77777777" w:rsidR="00734861" w:rsidRPr="00A50E4D" w:rsidRDefault="00734861" w:rsidP="00734861">
      <w:pPr>
        <w:pStyle w:val="PrrafodeSentencia"/>
        <w:numPr>
          <w:ilvl w:val="0"/>
          <w:numId w:val="0"/>
        </w:numPr>
        <w:rPr>
          <w:lang w:val="en-US"/>
        </w:rPr>
      </w:pPr>
    </w:p>
    <w:p w14:paraId="4890785E" w14:textId="0D2F44FA" w:rsidR="00734861" w:rsidRPr="00A50E4D" w:rsidRDefault="00460840" w:rsidP="00734861">
      <w:pPr>
        <w:pStyle w:val="PrrafodeSentencia"/>
        <w:rPr>
          <w:lang w:val="en-US"/>
        </w:rPr>
      </w:pPr>
      <w:bookmarkStart w:id="410" w:name="_Ref431215078"/>
      <w:r w:rsidRPr="00A50E4D">
        <w:rPr>
          <w:lang w:val="en-US"/>
        </w:rPr>
        <w:t xml:space="preserve">Based on the conclusions set out in the preceding chapters, the Court considers that it is not necessary to examine, autonomously and separately, the </w:t>
      </w:r>
      <w:r w:rsidR="00E84FC7" w:rsidRPr="00A50E4D">
        <w:rPr>
          <w:szCs w:val="20"/>
          <w:lang w:val="en-US"/>
        </w:rPr>
        <w:t>arguments</w:t>
      </w:r>
      <w:r w:rsidR="004626E5" w:rsidRPr="00A50E4D">
        <w:rPr>
          <w:szCs w:val="20"/>
          <w:lang w:val="en-US"/>
        </w:rPr>
        <w:t xml:space="preserve"> of the </w:t>
      </w:r>
      <w:r w:rsidR="00AD5EE7" w:rsidRPr="00A50E4D">
        <w:rPr>
          <w:szCs w:val="20"/>
          <w:lang w:val="en-US"/>
        </w:rPr>
        <w:t>representatives</w:t>
      </w:r>
      <w:r w:rsidR="00734861" w:rsidRPr="00A50E4D">
        <w:rPr>
          <w:szCs w:val="20"/>
          <w:lang w:val="en-US"/>
        </w:rPr>
        <w:t xml:space="preserve"> </w:t>
      </w:r>
      <w:r w:rsidRPr="00A50E4D">
        <w:rPr>
          <w:szCs w:val="20"/>
          <w:lang w:val="en-US"/>
        </w:rPr>
        <w:t xml:space="preserve">indicated </w:t>
      </w:r>
      <w:r w:rsidR="00734861" w:rsidRPr="00A50E4D">
        <w:rPr>
          <w:i/>
          <w:szCs w:val="20"/>
          <w:lang w:val="en-US"/>
        </w:rPr>
        <w:t xml:space="preserve">supra. </w:t>
      </w:r>
      <w:r w:rsidRPr="00A50E4D">
        <w:rPr>
          <w:szCs w:val="20"/>
          <w:lang w:val="en-US"/>
        </w:rPr>
        <w:t>However, the arguments presented concerning the effects caused to the victims will be taken into account as pertinent when ordering the corresponding reparations</w:t>
      </w:r>
      <w:r w:rsidR="00734861" w:rsidRPr="00A50E4D">
        <w:rPr>
          <w:lang w:val="en-US"/>
        </w:rPr>
        <w:t>.</w:t>
      </w:r>
      <w:bookmarkEnd w:id="410"/>
    </w:p>
    <w:p w14:paraId="16490653" w14:textId="77777777" w:rsidR="007A5DB4" w:rsidRPr="00A50E4D" w:rsidRDefault="007A5DB4" w:rsidP="007A5DB4">
      <w:pPr>
        <w:pStyle w:val="PrrafodeSentencia"/>
        <w:numPr>
          <w:ilvl w:val="0"/>
          <w:numId w:val="0"/>
        </w:numPr>
        <w:rPr>
          <w:lang w:val="en-US"/>
        </w:rPr>
      </w:pPr>
    </w:p>
    <w:p w14:paraId="0A8466E9" w14:textId="77777777" w:rsidR="007A5DB4" w:rsidRPr="00A50E4D" w:rsidRDefault="007A5DB4" w:rsidP="007A5DB4">
      <w:pPr>
        <w:pStyle w:val="Heading1"/>
        <w:rPr>
          <w:spacing w:val="-4"/>
          <w:lang w:val="en-US"/>
        </w:rPr>
      </w:pPr>
      <w:bookmarkStart w:id="411" w:name="_Toc471717303"/>
      <w:r w:rsidRPr="00A50E4D">
        <w:rPr>
          <w:spacing w:val="-4"/>
          <w:lang w:val="en-US"/>
        </w:rPr>
        <w:t>VIII</w:t>
      </w:r>
      <w:bookmarkEnd w:id="411"/>
    </w:p>
    <w:p w14:paraId="146CBA6F" w14:textId="69CF7BED" w:rsidR="007A5DB4" w:rsidRPr="00A50E4D" w:rsidRDefault="00460840" w:rsidP="007A5DB4">
      <w:pPr>
        <w:pStyle w:val="Heading1"/>
        <w:rPr>
          <w:spacing w:val="-4"/>
          <w:lang w:val="en-US"/>
        </w:rPr>
      </w:pPr>
      <w:bookmarkStart w:id="412" w:name="_Toc471717304"/>
      <w:r w:rsidRPr="00A50E4D">
        <w:rPr>
          <w:spacing w:val="-4"/>
          <w:lang w:val="en-US"/>
        </w:rPr>
        <w:t>REPARATIONS</w:t>
      </w:r>
      <w:bookmarkEnd w:id="412"/>
    </w:p>
    <w:p w14:paraId="2A38FA3C" w14:textId="10AC7FAB" w:rsidR="007A5DB4" w:rsidRPr="00A50E4D" w:rsidRDefault="007A5DB4" w:rsidP="007A5DB4">
      <w:pPr>
        <w:pStyle w:val="Heading1"/>
        <w:rPr>
          <w:spacing w:val="-4"/>
          <w:lang w:val="en-US"/>
        </w:rPr>
      </w:pPr>
      <w:r w:rsidRPr="00A50E4D">
        <w:rPr>
          <w:spacing w:val="-4"/>
          <w:lang w:val="en-US"/>
        </w:rPr>
        <w:t xml:space="preserve"> </w:t>
      </w:r>
      <w:bookmarkStart w:id="413" w:name="_Toc308538214"/>
      <w:bookmarkStart w:id="414" w:name="_Toc434849686"/>
      <w:bookmarkStart w:id="415" w:name="_Toc434850460"/>
      <w:bookmarkStart w:id="416" w:name="_Toc471717305"/>
      <w:r w:rsidRPr="00A50E4D">
        <w:rPr>
          <w:spacing w:val="-4"/>
          <w:lang w:val="en-US"/>
        </w:rPr>
        <w:t>(</w:t>
      </w:r>
      <w:r w:rsidR="00460840" w:rsidRPr="00A50E4D">
        <w:rPr>
          <w:spacing w:val="-4"/>
          <w:lang w:val="en-US"/>
        </w:rPr>
        <w:t>Application of</w:t>
      </w:r>
      <w:r w:rsidR="0048601C" w:rsidRPr="00A50E4D">
        <w:rPr>
          <w:spacing w:val="-4"/>
          <w:lang w:val="en-US"/>
        </w:rPr>
        <w:t xml:space="preserve"> Article</w:t>
      </w:r>
      <w:r w:rsidRPr="00A50E4D">
        <w:rPr>
          <w:spacing w:val="-4"/>
          <w:lang w:val="en-US"/>
        </w:rPr>
        <w:t xml:space="preserve"> </w:t>
      </w:r>
      <w:r w:rsidR="009808C5" w:rsidRPr="00A50E4D">
        <w:rPr>
          <w:spacing w:val="-4"/>
          <w:lang w:val="en-US"/>
        </w:rPr>
        <w:t>63(1) of the American Convention</w:t>
      </w:r>
      <w:r w:rsidRPr="00A50E4D">
        <w:rPr>
          <w:spacing w:val="-4"/>
          <w:lang w:val="en-US"/>
        </w:rPr>
        <w:t>)</w:t>
      </w:r>
      <w:bookmarkEnd w:id="413"/>
      <w:bookmarkEnd w:id="414"/>
      <w:bookmarkEnd w:id="415"/>
      <w:bookmarkEnd w:id="416"/>
    </w:p>
    <w:p w14:paraId="66E49554" w14:textId="77777777" w:rsidR="007A5DB4" w:rsidRPr="00A50E4D" w:rsidRDefault="007A5DB4" w:rsidP="007A5DB4">
      <w:pPr>
        <w:rPr>
          <w:spacing w:val="-4"/>
          <w:lang w:val="en-US" w:eastAsia="es-CR"/>
        </w:rPr>
      </w:pPr>
    </w:p>
    <w:p w14:paraId="6A41A6EF" w14:textId="4B3FF6C2" w:rsidR="007A5DB4" w:rsidRPr="00A50E4D" w:rsidRDefault="00E55C7C" w:rsidP="007A5DB4">
      <w:pPr>
        <w:pStyle w:val="PrrafodeSentencia"/>
        <w:rPr>
          <w:lang w:val="en-US"/>
        </w:rPr>
      </w:pPr>
      <w:r w:rsidRPr="00A50E4D">
        <w:rPr>
          <w:lang w:val="en-US"/>
        </w:rPr>
        <w:t xml:space="preserve">Based on </w:t>
      </w:r>
      <w:r w:rsidR="009808C5" w:rsidRPr="00A50E4D">
        <w:rPr>
          <w:lang w:val="en-US"/>
        </w:rPr>
        <w:t>Article</w:t>
      </w:r>
      <w:r w:rsidR="007A5DB4" w:rsidRPr="00A50E4D">
        <w:rPr>
          <w:lang w:val="en-US"/>
        </w:rPr>
        <w:t xml:space="preserve"> </w:t>
      </w:r>
      <w:r w:rsidR="009808C5" w:rsidRPr="00A50E4D">
        <w:rPr>
          <w:lang w:val="en-US"/>
        </w:rPr>
        <w:t>63(1) of the American Convention</w:t>
      </w:r>
      <w:r w:rsidRPr="00A50E4D">
        <w:rPr>
          <w:lang w:val="en-US"/>
        </w:rPr>
        <w:t>,</w:t>
      </w:r>
      <w:r w:rsidR="007A5DB4" w:rsidRPr="00A50E4D">
        <w:rPr>
          <w:vertAlign w:val="superscript"/>
          <w:lang w:val="en-US"/>
        </w:rPr>
        <w:footnoteReference w:id="448"/>
      </w:r>
      <w:r w:rsidRPr="00A50E4D">
        <w:rPr>
          <w:lang w:val="en-US"/>
        </w:rPr>
        <w:t xml:space="preserve"> </w:t>
      </w:r>
      <w:r w:rsidR="009808C5" w:rsidRPr="00A50E4D">
        <w:rPr>
          <w:lang w:val="en-US"/>
        </w:rPr>
        <w:t>the Court</w:t>
      </w:r>
      <w:r w:rsidR="007A5DB4" w:rsidRPr="00A50E4D">
        <w:rPr>
          <w:lang w:val="en-US"/>
        </w:rPr>
        <w:t xml:space="preserve"> h</w:t>
      </w:r>
      <w:r w:rsidRPr="00A50E4D">
        <w:rPr>
          <w:lang w:val="en-US"/>
        </w:rPr>
        <w:t>as indicated that any violation of an international obligation that has caused harm entails the obligation to make adequate redress,</w:t>
      </w:r>
      <w:r w:rsidR="007A5DB4" w:rsidRPr="00A50E4D">
        <w:rPr>
          <w:vertAlign w:val="superscript"/>
          <w:lang w:val="en-US"/>
        </w:rPr>
        <w:footnoteReference w:id="449"/>
      </w:r>
      <w:r w:rsidR="009808C5" w:rsidRPr="00A50E4D">
        <w:rPr>
          <w:lang w:val="en-US"/>
        </w:rPr>
        <w:t xml:space="preserve"> and </w:t>
      </w:r>
      <w:r w:rsidRPr="00A50E4D">
        <w:rPr>
          <w:lang w:val="en-US"/>
        </w:rPr>
        <w:t>that this provision reflects a customary norm that constitutes one of the basic principles of contemporary international law on State responsibility.</w:t>
      </w:r>
      <w:r w:rsidR="007A5DB4" w:rsidRPr="00A50E4D">
        <w:rPr>
          <w:vertAlign w:val="superscript"/>
          <w:lang w:val="en-US"/>
        </w:rPr>
        <w:footnoteReference w:id="450"/>
      </w:r>
    </w:p>
    <w:p w14:paraId="73ADFC7B" w14:textId="77777777" w:rsidR="007A5DB4" w:rsidRPr="00A50E4D" w:rsidRDefault="007A5DB4" w:rsidP="007A5DB4">
      <w:pPr>
        <w:pStyle w:val="PrrafodeSentencia"/>
        <w:numPr>
          <w:ilvl w:val="0"/>
          <w:numId w:val="0"/>
        </w:numPr>
        <w:rPr>
          <w:lang w:val="en-US"/>
        </w:rPr>
      </w:pPr>
    </w:p>
    <w:p w14:paraId="74BBFCD5" w14:textId="4345E25B" w:rsidR="007A5DB4" w:rsidRPr="00A50E4D" w:rsidRDefault="00E55C7C" w:rsidP="007A5DB4">
      <w:pPr>
        <w:pStyle w:val="PrrafodeSentencia"/>
        <w:rPr>
          <w:lang w:val="en-US"/>
        </w:rPr>
      </w:pPr>
      <w:r w:rsidRPr="00A50E4D">
        <w:rPr>
          <w:lang w:val="en-US"/>
        </w:rPr>
        <w:lastRenderedPageBreak/>
        <w:t xml:space="preserve">The reparation of the harm caused by the violation of an international obligation requires, whenever this is possible, full restitution </w:t>
      </w:r>
      <w:r w:rsidR="007A5DB4" w:rsidRPr="00A50E4D">
        <w:rPr>
          <w:lang w:val="en-US"/>
        </w:rPr>
        <w:t>(</w:t>
      </w:r>
      <w:r w:rsidR="007A5DB4" w:rsidRPr="00A50E4D">
        <w:rPr>
          <w:i/>
          <w:lang w:val="en-US"/>
        </w:rPr>
        <w:t>restitutio in integrum</w:t>
      </w:r>
      <w:r w:rsidR="007A5DB4" w:rsidRPr="00A50E4D">
        <w:rPr>
          <w:lang w:val="en-US"/>
        </w:rPr>
        <w:t xml:space="preserve">), </w:t>
      </w:r>
      <w:r w:rsidR="008A438D" w:rsidRPr="00A50E4D">
        <w:rPr>
          <w:lang w:val="en-US"/>
        </w:rPr>
        <w:t>which consists in</w:t>
      </w:r>
      <w:r w:rsidRPr="00A50E4D">
        <w:rPr>
          <w:lang w:val="en-US"/>
        </w:rPr>
        <w:t xml:space="preserve"> re-establishment of the previous situation. If this is not feasible, as in most cases of human rights violations, the Court will determine measures to ensure the rights that have been infringed, and to redress the consequences of the resulting </w:t>
      </w:r>
      <w:r w:rsidR="008A438D" w:rsidRPr="00A50E4D">
        <w:rPr>
          <w:lang w:val="en-US"/>
        </w:rPr>
        <w:t>harm</w:t>
      </w:r>
      <w:r w:rsidRPr="00A50E4D">
        <w:rPr>
          <w:lang w:val="en-US"/>
        </w:rPr>
        <w:t>.</w:t>
      </w:r>
      <w:r w:rsidR="007A5DB4" w:rsidRPr="00A50E4D">
        <w:rPr>
          <w:vertAlign w:val="superscript"/>
          <w:lang w:val="en-US"/>
        </w:rPr>
        <w:footnoteReference w:id="451"/>
      </w:r>
      <w:r w:rsidRPr="00A50E4D">
        <w:rPr>
          <w:lang w:val="en-US"/>
        </w:rPr>
        <w:t xml:space="preserve"> Consequently, the Court has considered it necessary to award different measures of reparation</w:t>
      </w:r>
      <w:r w:rsidR="007A5DB4" w:rsidRPr="00A50E4D">
        <w:rPr>
          <w:lang w:val="en-US"/>
        </w:rPr>
        <w:t xml:space="preserve"> </w:t>
      </w:r>
      <w:r w:rsidRPr="00A50E4D">
        <w:rPr>
          <w:lang w:val="en-US"/>
        </w:rPr>
        <w:t xml:space="preserve">in order to repair the </w:t>
      </w:r>
      <w:r w:rsidR="008A438D" w:rsidRPr="00A50E4D">
        <w:rPr>
          <w:lang w:val="en-US"/>
        </w:rPr>
        <w:t>harm fully</w:t>
      </w:r>
      <w:r w:rsidRPr="00A50E4D">
        <w:rPr>
          <w:lang w:val="en-US"/>
        </w:rPr>
        <w:t>; thus, in addition to pecuniary compensation, measures of restitution and</w:t>
      </w:r>
      <w:r w:rsidR="007A5DB4" w:rsidRPr="00A50E4D">
        <w:rPr>
          <w:lang w:val="en-US"/>
        </w:rPr>
        <w:t xml:space="preserve"> </w:t>
      </w:r>
      <w:r w:rsidR="00A45503" w:rsidRPr="00A50E4D">
        <w:rPr>
          <w:lang w:val="en-US"/>
        </w:rPr>
        <w:t>satisfaction</w:t>
      </w:r>
      <w:r w:rsidR="009808C5" w:rsidRPr="00A50E4D">
        <w:rPr>
          <w:lang w:val="en-US"/>
        </w:rPr>
        <w:t xml:space="preserve"> and </w:t>
      </w:r>
      <w:r w:rsidR="00A45503" w:rsidRPr="00A50E4D">
        <w:rPr>
          <w:lang w:val="en-US"/>
        </w:rPr>
        <w:t>guarantees of non-repetition</w:t>
      </w:r>
      <w:r w:rsidR="007A5DB4" w:rsidRPr="00A50E4D">
        <w:rPr>
          <w:lang w:val="en-US"/>
        </w:rPr>
        <w:t xml:space="preserve"> </w:t>
      </w:r>
      <w:r w:rsidRPr="00A50E4D">
        <w:rPr>
          <w:lang w:val="en-US"/>
        </w:rPr>
        <w:t xml:space="preserve">are particularly relevant in view of the </w:t>
      </w:r>
      <w:r w:rsidR="008A438D" w:rsidRPr="00A50E4D">
        <w:rPr>
          <w:lang w:val="en-US"/>
        </w:rPr>
        <w:t>harm</w:t>
      </w:r>
      <w:r w:rsidRPr="00A50E4D">
        <w:rPr>
          <w:lang w:val="en-US"/>
        </w:rPr>
        <w:t xml:space="preserve"> caused.</w:t>
      </w:r>
      <w:r w:rsidR="007A5DB4" w:rsidRPr="00A50E4D">
        <w:rPr>
          <w:vertAlign w:val="superscript"/>
          <w:lang w:val="en-US"/>
        </w:rPr>
        <w:footnoteReference w:id="452"/>
      </w:r>
      <w:r w:rsidR="007A5DB4" w:rsidRPr="00A50E4D">
        <w:rPr>
          <w:lang w:val="en-US"/>
        </w:rPr>
        <w:t xml:space="preserve"> </w:t>
      </w:r>
    </w:p>
    <w:p w14:paraId="6ADF64D9" w14:textId="77777777" w:rsidR="007A5DB4" w:rsidRPr="00A50E4D" w:rsidRDefault="007A5DB4" w:rsidP="007A5DB4">
      <w:pPr>
        <w:pStyle w:val="PrrafodeSentencia"/>
        <w:numPr>
          <w:ilvl w:val="0"/>
          <w:numId w:val="0"/>
        </w:numPr>
        <w:rPr>
          <w:lang w:val="en-US"/>
        </w:rPr>
      </w:pPr>
    </w:p>
    <w:p w14:paraId="172CC136" w14:textId="2B896A00" w:rsidR="007A5DB4" w:rsidRPr="00A50E4D" w:rsidRDefault="00E55C7C" w:rsidP="007A5DB4">
      <w:pPr>
        <w:pStyle w:val="PrrafodeSentencia"/>
        <w:rPr>
          <w:lang w:val="en-US"/>
        </w:rPr>
      </w:pPr>
      <w:r w:rsidRPr="00A50E4D">
        <w:rPr>
          <w:lang w:val="en-US"/>
        </w:rPr>
        <w:t xml:space="preserve">The Court has established that </w:t>
      </w:r>
      <w:r w:rsidR="000A786A" w:rsidRPr="00A50E4D">
        <w:rPr>
          <w:lang w:val="en-US"/>
        </w:rPr>
        <w:t>reparations</w:t>
      </w:r>
      <w:r w:rsidRPr="00A50E4D">
        <w:rPr>
          <w:lang w:val="en-US"/>
        </w:rPr>
        <w:t xml:space="preserve"> must have a causal nexus with the facts of the case, the violations that have been declared, the harm proved, and also the measures requested to redress the respective damage. </w:t>
      </w:r>
      <w:r w:rsidR="009808C5" w:rsidRPr="00A50E4D">
        <w:rPr>
          <w:lang w:val="en-US"/>
        </w:rPr>
        <w:t>The Court</w:t>
      </w:r>
      <w:r w:rsidR="007A5DB4" w:rsidRPr="00A50E4D">
        <w:rPr>
          <w:lang w:val="en-US"/>
        </w:rPr>
        <w:t xml:space="preserve"> </w:t>
      </w:r>
      <w:r w:rsidRPr="00A50E4D">
        <w:rPr>
          <w:lang w:val="en-US"/>
        </w:rPr>
        <w:t>must observe this concurrence in order to rule appropriately and in accordance with the law.</w:t>
      </w:r>
      <w:r w:rsidR="007A5DB4" w:rsidRPr="00A50E4D">
        <w:rPr>
          <w:vertAlign w:val="superscript"/>
          <w:lang w:val="en-US"/>
        </w:rPr>
        <w:footnoteReference w:id="453"/>
      </w:r>
    </w:p>
    <w:p w14:paraId="2AFCE925" w14:textId="77777777" w:rsidR="007A5DB4" w:rsidRPr="00A50E4D" w:rsidRDefault="007A5DB4" w:rsidP="007A5DB4">
      <w:pPr>
        <w:pStyle w:val="PrrafodeSentencia"/>
        <w:numPr>
          <w:ilvl w:val="0"/>
          <w:numId w:val="0"/>
        </w:numPr>
        <w:rPr>
          <w:lang w:val="en-US"/>
        </w:rPr>
      </w:pPr>
    </w:p>
    <w:p w14:paraId="4388F095" w14:textId="0B12485F" w:rsidR="007A5DB4" w:rsidRPr="00A50E4D" w:rsidRDefault="00E55C7C" w:rsidP="007A5DB4">
      <w:pPr>
        <w:pStyle w:val="PrrafodeSentencia"/>
        <w:rPr>
          <w:lang w:val="en-US"/>
        </w:rPr>
      </w:pPr>
      <w:r w:rsidRPr="00A50E4D">
        <w:rPr>
          <w:lang w:val="en-US"/>
        </w:rPr>
        <w:t xml:space="preserve">Based on the violations declared in the preceding chapters, the Court will proceed to examine the claims presented by </w:t>
      </w:r>
      <w:r w:rsidR="009808C5" w:rsidRPr="00A50E4D">
        <w:rPr>
          <w:lang w:val="en-US"/>
        </w:rPr>
        <w:t xml:space="preserve">the Commission and </w:t>
      </w:r>
      <w:r w:rsidR="00AD5EE7" w:rsidRPr="00A50E4D">
        <w:rPr>
          <w:lang w:val="en-US"/>
        </w:rPr>
        <w:t>the representatives</w:t>
      </w:r>
      <w:r w:rsidR="007A5DB4" w:rsidRPr="00A50E4D">
        <w:rPr>
          <w:lang w:val="en-US"/>
        </w:rPr>
        <w:t>, as</w:t>
      </w:r>
      <w:r w:rsidRPr="00A50E4D">
        <w:rPr>
          <w:lang w:val="en-US"/>
        </w:rPr>
        <w:t xml:space="preserve"> well as the arguments </w:t>
      </w:r>
      <w:r w:rsidR="009808C5" w:rsidRPr="00A50E4D">
        <w:rPr>
          <w:lang w:val="en-US"/>
        </w:rPr>
        <w:t>of the State</w:t>
      </w:r>
      <w:r w:rsidR="007A5DB4" w:rsidRPr="00A50E4D">
        <w:rPr>
          <w:lang w:val="en-US"/>
        </w:rPr>
        <w:t xml:space="preserve">, </w:t>
      </w:r>
      <w:r w:rsidRPr="00A50E4D">
        <w:rPr>
          <w:lang w:val="en-US"/>
        </w:rPr>
        <w:t xml:space="preserve">in light of the criteria established in its case law as regards the nature and scope of the </w:t>
      </w:r>
      <w:r w:rsidR="000A786A" w:rsidRPr="00A50E4D">
        <w:rPr>
          <w:lang w:val="en-US"/>
        </w:rPr>
        <w:t>obligation</w:t>
      </w:r>
      <w:r w:rsidRPr="00A50E4D">
        <w:rPr>
          <w:lang w:val="en-US"/>
        </w:rPr>
        <w:t xml:space="preserve"> to make reparation,</w:t>
      </w:r>
      <w:r w:rsidR="007A5DB4" w:rsidRPr="00A50E4D">
        <w:rPr>
          <w:vertAlign w:val="superscript"/>
          <w:lang w:val="en-US"/>
        </w:rPr>
        <w:footnoteReference w:id="454"/>
      </w:r>
      <w:r w:rsidRPr="00A50E4D">
        <w:rPr>
          <w:lang w:val="en-US"/>
        </w:rPr>
        <w:t xml:space="preserve"> in order to establish measures to redress the harm caused to the</w:t>
      </w:r>
      <w:r w:rsidR="007A5DB4" w:rsidRPr="00A50E4D">
        <w:rPr>
          <w:lang w:val="en-US"/>
        </w:rPr>
        <w:t xml:space="preserve"> </w:t>
      </w:r>
      <w:r w:rsidR="004B0477" w:rsidRPr="00A50E4D">
        <w:rPr>
          <w:lang w:val="en-US"/>
        </w:rPr>
        <w:t>victims</w:t>
      </w:r>
      <w:r w:rsidR="007A5DB4" w:rsidRPr="00A50E4D">
        <w:rPr>
          <w:lang w:val="en-US"/>
        </w:rPr>
        <w:t>.</w:t>
      </w:r>
    </w:p>
    <w:p w14:paraId="77824A2F" w14:textId="77777777" w:rsidR="007A5DB4" w:rsidRPr="00A50E4D" w:rsidRDefault="007A5DB4" w:rsidP="007A5DB4">
      <w:pPr>
        <w:pStyle w:val="PrrafodeSentencia"/>
        <w:numPr>
          <w:ilvl w:val="0"/>
          <w:numId w:val="0"/>
        </w:numPr>
        <w:rPr>
          <w:lang w:val="en-US"/>
        </w:rPr>
      </w:pPr>
    </w:p>
    <w:p w14:paraId="5C64E6E8" w14:textId="73269770" w:rsidR="007A5DB4" w:rsidRPr="00A50E4D" w:rsidRDefault="007A5DB4" w:rsidP="007A5DB4">
      <w:pPr>
        <w:pStyle w:val="Heading2"/>
        <w:rPr>
          <w:spacing w:val="-4"/>
          <w:lang w:val="en-US"/>
        </w:rPr>
      </w:pPr>
      <w:bookmarkStart w:id="417" w:name="_Toc418074114"/>
      <w:bookmarkStart w:id="418" w:name="_Toc418503919"/>
      <w:bookmarkStart w:id="419" w:name="_Toc418912650"/>
      <w:bookmarkStart w:id="420" w:name="_Toc418912871"/>
      <w:bookmarkStart w:id="421" w:name="_Toc419394451"/>
      <w:bookmarkStart w:id="422" w:name="_Toc423361050"/>
      <w:bookmarkStart w:id="423" w:name="_Toc427234582"/>
      <w:bookmarkStart w:id="424" w:name="_Toc427932828"/>
      <w:bookmarkStart w:id="425" w:name="_Toc431584672"/>
      <w:bookmarkStart w:id="426" w:name="_Toc471717306"/>
      <w:r w:rsidRPr="00A50E4D">
        <w:rPr>
          <w:spacing w:val="-4"/>
          <w:lang w:val="en-US"/>
        </w:rPr>
        <w:t xml:space="preserve">A. </w:t>
      </w:r>
      <w:r w:rsidR="00A45503" w:rsidRPr="00A50E4D">
        <w:rPr>
          <w:spacing w:val="-4"/>
          <w:lang w:val="en-US"/>
        </w:rPr>
        <w:t>Injured party</w:t>
      </w:r>
      <w:bookmarkEnd w:id="417"/>
      <w:bookmarkEnd w:id="418"/>
      <w:bookmarkEnd w:id="419"/>
      <w:bookmarkEnd w:id="420"/>
      <w:bookmarkEnd w:id="421"/>
      <w:bookmarkEnd w:id="422"/>
      <w:bookmarkEnd w:id="423"/>
      <w:bookmarkEnd w:id="424"/>
      <w:bookmarkEnd w:id="425"/>
      <w:bookmarkEnd w:id="426"/>
    </w:p>
    <w:p w14:paraId="25FB399C" w14:textId="77777777" w:rsidR="007A5DB4" w:rsidRPr="00A50E4D" w:rsidRDefault="007A5DB4" w:rsidP="007A5DB4">
      <w:pPr>
        <w:pStyle w:val="PrrafodeSentencia"/>
        <w:numPr>
          <w:ilvl w:val="0"/>
          <w:numId w:val="0"/>
        </w:numPr>
        <w:rPr>
          <w:lang w:val="en-US"/>
        </w:rPr>
      </w:pPr>
    </w:p>
    <w:p w14:paraId="31DDDBA8" w14:textId="3C69F078" w:rsidR="007A5DB4" w:rsidRPr="00A50E4D" w:rsidRDefault="00E55C7C" w:rsidP="007A5DB4">
      <w:pPr>
        <w:pStyle w:val="PrrafodeSentencia"/>
        <w:rPr>
          <w:lang w:val="en-US"/>
        </w:rPr>
      </w:pPr>
      <w:r w:rsidRPr="00A50E4D">
        <w:rPr>
          <w:lang w:val="en-US"/>
        </w:rPr>
        <w:t>The Court reiterate</w:t>
      </w:r>
      <w:r w:rsidR="00F14036" w:rsidRPr="00A50E4D">
        <w:rPr>
          <w:lang w:val="en-US"/>
        </w:rPr>
        <w:t>s</w:t>
      </w:r>
      <w:r w:rsidRPr="00A50E4D">
        <w:rPr>
          <w:lang w:val="en-US"/>
        </w:rPr>
        <w:t xml:space="preserve"> that, pursuant to Article 63(1) of the Convention, the injured party is considered those who have been declared </w:t>
      </w:r>
      <w:r w:rsidR="004B0477" w:rsidRPr="00A50E4D">
        <w:rPr>
          <w:lang w:val="en-US"/>
        </w:rPr>
        <w:t>victims</w:t>
      </w:r>
      <w:r w:rsidR="00FF35A9" w:rsidRPr="00A50E4D">
        <w:rPr>
          <w:lang w:val="en-US"/>
        </w:rPr>
        <w:t xml:space="preserve"> of the </w:t>
      </w:r>
      <w:r w:rsidR="007A5DB4" w:rsidRPr="00A50E4D">
        <w:rPr>
          <w:lang w:val="en-US"/>
        </w:rPr>
        <w:t>viola</w:t>
      </w:r>
      <w:r w:rsidRPr="00A50E4D">
        <w:rPr>
          <w:lang w:val="en-US"/>
        </w:rPr>
        <w:t>tion of any right recognized therein.</w:t>
      </w:r>
      <w:r w:rsidR="007A5DB4" w:rsidRPr="00A50E4D">
        <w:rPr>
          <w:vertAlign w:val="superscript"/>
          <w:lang w:val="en-US"/>
        </w:rPr>
        <w:footnoteReference w:id="455"/>
      </w:r>
      <w:r w:rsidR="007A5DB4" w:rsidRPr="00A50E4D">
        <w:rPr>
          <w:lang w:val="en-US"/>
        </w:rPr>
        <w:t xml:space="preserve"> </w:t>
      </w:r>
      <w:r w:rsidRPr="00A50E4D">
        <w:rPr>
          <w:lang w:val="en-US"/>
        </w:rPr>
        <w:t xml:space="preserve">Therefore, the Court consider that </w:t>
      </w:r>
      <w:r w:rsidR="008217D7" w:rsidRPr="00A50E4D">
        <w:rPr>
          <w:lang w:val="en-US"/>
        </w:rPr>
        <w:t>Tirza del Carmen</w:t>
      </w:r>
      <w:r w:rsidR="007A5DB4" w:rsidRPr="00A50E4D">
        <w:rPr>
          <w:lang w:val="en-US"/>
        </w:rPr>
        <w:t xml:space="preserve"> Flores Lanza</w:t>
      </w:r>
      <w:r w:rsidRPr="00A50E4D">
        <w:rPr>
          <w:lang w:val="en-US"/>
        </w:rPr>
        <w:t xml:space="preserve">, </w:t>
      </w:r>
      <w:r w:rsidR="007A5DB4" w:rsidRPr="00A50E4D">
        <w:rPr>
          <w:lang w:val="en-US"/>
        </w:rPr>
        <w:t xml:space="preserve">Adán Guillermo López Lone, Luis Alonso </w:t>
      </w:r>
      <w:r w:rsidR="009A7056" w:rsidRPr="00A50E4D">
        <w:rPr>
          <w:lang w:val="en-US"/>
        </w:rPr>
        <w:t>Chévez de la Rocha</w:t>
      </w:r>
      <w:r w:rsidR="009808C5" w:rsidRPr="00A50E4D">
        <w:rPr>
          <w:lang w:val="en-US"/>
        </w:rPr>
        <w:t xml:space="preserve"> and </w:t>
      </w:r>
      <w:r w:rsidR="007A5DB4" w:rsidRPr="00A50E4D">
        <w:rPr>
          <w:lang w:val="en-US"/>
        </w:rPr>
        <w:t>Ramón Enrique Barrios Maldonado</w:t>
      </w:r>
      <w:r w:rsidRPr="00A50E4D">
        <w:rPr>
          <w:lang w:val="en-US"/>
        </w:rPr>
        <w:t xml:space="preserve"> are the “injured party” and,</w:t>
      </w:r>
      <w:r w:rsidR="007A5DB4" w:rsidRPr="00A50E4D">
        <w:rPr>
          <w:lang w:val="en-US"/>
        </w:rPr>
        <w:t xml:space="preserve"> </w:t>
      </w:r>
      <w:r w:rsidRPr="00A50E4D">
        <w:rPr>
          <w:lang w:val="en-US"/>
        </w:rPr>
        <w:t xml:space="preserve">in their capacity as victims of the violations declared in Chapters </w:t>
      </w:r>
      <w:r w:rsidR="007A5DB4" w:rsidRPr="00A50E4D">
        <w:rPr>
          <w:lang w:val="en-US"/>
        </w:rPr>
        <w:t>VII-1, VII-2</w:t>
      </w:r>
      <w:r w:rsidR="009808C5" w:rsidRPr="00A50E4D">
        <w:rPr>
          <w:lang w:val="en-US"/>
        </w:rPr>
        <w:t xml:space="preserve"> and </w:t>
      </w:r>
      <w:r w:rsidR="007A5DB4" w:rsidRPr="00A50E4D">
        <w:rPr>
          <w:lang w:val="en-US"/>
        </w:rPr>
        <w:t>VII-3</w:t>
      </w:r>
      <w:r w:rsidRPr="00A50E4D">
        <w:rPr>
          <w:lang w:val="en-US"/>
        </w:rPr>
        <w:t>, they will be the beneficiaries of the following reparations ordered by the Court.</w:t>
      </w:r>
    </w:p>
    <w:p w14:paraId="27408889" w14:textId="77777777" w:rsidR="007A5DB4" w:rsidRPr="00A50E4D" w:rsidRDefault="007A5DB4" w:rsidP="007A5DB4">
      <w:pPr>
        <w:pStyle w:val="PrrafodeSentencia"/>
        <w:numPr>
          <w:ilvl w:val="0"/>
          <w:numId w:val="0"/>
        </w:numPr>
        <w:rPr>
          <w:lang w:val="en-US"/>
        </w:rPr>
      </w:pPr>
    </w:p>
    <w:p w14:paraId="71C2B4B3" w14:textId="7D9E867E" w:rsidR="007A5DB4" w:rsidRPr="00A50E4D" w:rsidRDefault="007A5DB4" w:rsidP="007A5DB4">
      <w:pPr>
        <w:pStyle w:val="Heading2"/>
        <w:rPr>
          <w:spacing w:val="-4"/>
          <w:lang w:val="en-US"/>
        </w:rPr>
      </w:pPr>
      <w:bookmarkStart w:id="427" w:name="_Toc427234583"/>
      <w:bookmarkStart w:id="428" w:name="_Toc427932829"/>
      <w:bookmarkStart w:id="429" w:name="_Toc431584673"/>
      <w:bookmarkStart w:id="430" w:name="_Toc471717307"/>
      <w:r w:rsidRPr="00A50E4D">
        <w:rPr>
          <w:spacing w:val="-4"/>
          <w:lang w:val="en-US"/>
        </w:rPr>
        <w:t xml:space="preserve">B. </w:t>
      </w:r>
      <w:r w:rsidR="00A45503" w:rsidRPr="00A50E4D">
        <w:rPr>
          <w:spacing w:val="-4"/>
          <w:lang w:val="en-US"/>
        </w:rPr>
        <w:t>General arguments</w:t>
      </w:r>
      <w:r w:rsidR="009808C5" w:rsidRPr="00A50E4D">
        <w:rPr>
          <w:spacing w:val="-4"/>
          <w:lang w:val="en-US"/>
        </w:rPr>
        <w:t xml:space="preserve"> of the State</w:t>
      </w:r>
      <w:bookmarkEnd w:id="427"/>
      <w:bookmarkEnd w:id="428"/>
      <w:bookmarkEnd w:id="429"/>
      <w:bookmarkEnd w:id="430"/>
    </w:p>
    <w:p w14:paraId="559B3B6D" w14:textId="77777777" w:rsidR="007A5DB4" w:rsidRPr="00A50E4D" w:rsidRDefault="007A5DB4" w:rsidP="007A5DB4">
      <w:pPr>
        <w:pStyle w:val="PrrafodeSentencia"/>
        <w:numPr>
          <w:ilvl w:val="0"/>
          <w:numId w:val="0"/>
        </w:numPr>
        <w:rPr>
          <w:lang w:val="en-US"/>
        </w:rPr>
      </w:pPr>
    </w:p>
    <w:p w14:paraId="3F439CF0" w14:textId="7F99F3C9" w:rsidR="007A5DB4" w:rsidRPr="00A50E4D" w:rsidRDefault="009808C5" w:rsidP="007A5DB4">
      <w:pPr>
        <w:pStyle w:val="PrrafodeSentencia"/>
        <w:rPr>
          <w:lang w:val="en-US"/>
        </w:rPr>
      </w:pPr>
      <w:r w:rsidRPr="00A50E4D">
        <w:rPr>
          <w:lang w:val="en-US"/>
        </w:rPr>
        <w:t>The State</w:t>
      </w:r>
      <w:r w:rsidR="007A5DB4" w:rsidRPr="00A50E4D">
        <w:rPr>
          <w:b/>
          <w:i/>
          <w:lang w:val="en-US"/>
        </w:rPr>
        <w:t xml:space="preserve"> </w:t>
      </w:r>
      <w:r w:rsidR="00E55C7C" w:rsidRPr="00A50E4D">
        <w:rPr>
          <w:lang w:val="en-US"/>
        </w:rPr>
        <w:t xml:space="preserve">did not present specific arguments about all the measures of reparation requested by </w:t>
      </w:r>
      <w:r w:rsidRPr="00A50E4D">
        <w:rPr>
          <w:lang w:val="en-US"/>
        </w:rPr>
        <w:t xml:space="preserve">the Commission and </w:t>
      </w:r>
      <w:r w:rsidR="00AD5EE7" w:rsidRPr="00A50E4D">
        <w:rPr>
          <w:lang w:val="en-US"/>
        </w:rPr>
        <w:t>the representatives</w:t>
      </w:r>
      <w:r w:rsidR="007A5DB4" w:rsidRPr="00A50E4D">
        <w:rPr>
          <w:lang w:val="en-US"/>
        </w:rPr>
        <w:t xml:space="preserve">. </w:t>
      </w:r>
      <w:r w:rsidR="00E55C7C" w:rsidRPr="00A50E4D">
        <w:rPr>
          <w:lang w:val="en-US"/>
        </w:rPr>
        <w:t xml:space="preserve">In general, it argued that “trying to assert that [the events constitute] a wrongful act that can be attributed </w:t>
      </w:r>
      <w:r w:rsidR="00CD2874" w:rsidRPr="00A50E4D">
        <w:rPr>
          <w:lang w:val="en-US"/>
        </w:rPr>
        <w:t>to the State</w:t>
      </w:r>
      <w:r w:rsidR="007A5DB4" w:rsidRPr="00A50E4D">
        <w:rPr>
          <w:lang w:val="en-US"/>
        </w:rPr>
        <w:t xml:space="preserve"> […] </w:t>
      </w:r>
      <w:r w:rsidR="00E55C7C" w:rsidRPr="00A50E4D">
        <w:rPr>
          <w:lang w:val="en-US"/>
        </w:rPr>
        <w:t>i</w:t>
      </w:r>
      <w:r w:rsidR="00F14036" w:rsidRPr="00A50E4D">
        <w:rPr>
          <w:lang w:val="en-US"/>
        </w:rPr>
        <w:t>s manipulating</w:t>
      </w:r>
      <w:r w:rsidR="000A786A" w:rsidRPr="00A50E4D">
        <w:rPr>
          <w:lang w:val="en-US"/>
        </w:rPr>
        <w:t xml:space="preserve"> </w:t>
      </w:r>
      <w:r w:rsidR="00E55C7C" w:rsidRPr="00A50E4D">
        <w:rPr>
          <w:lang w:val="en-US"/>
        </w:rPr>
        <w:t xml:space="preserve">the vision and analysis that has been made </w:t>
      </w:r>
      <w:r w:rsidR="000A786A" w:rsidRPr="00A50E4D">
        <w:rPr>
          <w:lang w:val="en-US"/>
        </w:rPr>
        <w:t>of</w:t>
      </w:r>
      <w:r w:rsidR="00E55C7C" w:rsidRPr="00A50E4D">
        <w:rPr>
          <w:lang w:val="en-US"/>
        </w:rPr>
        <w:t xml:space="preserve"> the events </w:t>
      </w:r>
      <w:r w:rsidR="000A786A" w:rsidRPr="00A50E4D">
        <w:rPr>
          <w:lang w:val="en-US"/>
        </w:rPr>
        <w:t>in which</w:t>
      </w:r>
      <w:r w:rsidR="00E55C7C" w:rsidRPr="00A50E4D">
        <w:rPr>
          <w:lang w:val="en-US"/>
        </w:rPr>
        <w:t xml:space="preserve"> the petitioners</w:t>
      </w:r>
      <w:r w:rsidR="000A786A" w:rsidRPr="00A50E4D">
        <w:rPr>
          <w:lang w:val="en-US"/>
        </w:rPr>
        <w:t xml:space="preserve"> were involved</w:t>
      </w:r>
      <w:r w:rsidR="00E55C7C" w:rsidRPr="00A50E4D">
        <w:rPr>
          <w:lang w:val="en-US"/>
        </w:rPr>
        <w:t>, acting irresponsibly, violati</w:t>
      </w:r>
      <w:r w:rsidR="00F14036" w:rsidRPr="00A50E4D">
        <w:rPr>
          <w:lang w:val="en-US"/>
        </w:rPr>
        <w:t>ng the restrictions that, in the</w:t>
      </w:r>
      <w:r w:rsidR="00E55C7C" w:rsidRPr="00A50E4D">
        <w:rPr>
          <w:lang w:val="en-US"/>
        </w:rPr>
        <w:t xml:space="preserve"> exercise of their functions, are </w:t>
      </w:r>
      <w:r w:rsidR="000A786A" w:rsidRPr="00A50E4D">
        <w:rPr>
          <w:lang w:val="en-US"/>
        </w:rPr>
        <w:t>established</w:t>
      </w:r>
      <w:r w:rsidR="00E55C7C" w:rsidRPr="00A50E4D">
        <w:rPr>
          <w:lang w:val="en-US"/>
        </w:rPr>
        <w:t xml:space="preserve"> by the pertinent law and regulations.” Therefore, it argued that “in view of the offenses committed by the petitioners and the incompatibility of these offenses with domestic law, no reparation is in order.”</w:t>
      </w:r>
    </w:p>
    <w:p w14:paraId="1FE882F3" w14:textId="77777777" w:rsidR="007A5DB4" w:rsidRPr="00A50E4D" w:rsidRDefault="007A5DB4" w:rsidP="007A5DB4">
      <w:pPr>
        <w:pStyle w:val="PrrafodeSentencia"/>
        <w:numPr>
          <w:ilvl w:val="0"/>
          <w:numId w:val="0"/>
        </w:numPr>
        <w:rPr>
          <w:lang w:val="en-US"/>
        </w:rPr>
      </w:pPr>
    </w:p>
    <w:p w14:paraId="35F45D00" w14:textId="17676CA6" w:rsidR="007A5DB4" w:rsidRPr="00A50E4D" w:rsidRDefault="007A5DB4" w:rsidP="007A5DB4">
      <w:pPr>
        <w:pStyle w:val="Heading2"/>
        <w:rPr>
          <w:spacing w:val="-4"/>
          <w:lang w:val="en-US"/>
        </w:rPr>
      </w:pPr>
      <w:bookmarkStart w:id="431" w:name="_Toc418074115"/>
      <w:bookmarkStart w:id="432" w:name="_Toc418503920"/>
      <w:bookmarkStart w:id="433" w:name="_Toc418912651"/>
      <w:bookmarkStart w:id="434" w:name="_Toc418912872"/>
      <w:bookmarkStart w:id="435" w:name="_Toc419394452"/>
      <w:bookmarkStart w:id="436" w:name="_Toc423361051"/>
      <w:bookmarkStart w:id="437" w:name="_Toc427234584"/>
      <w:bookmarkStart w:id="438" w:name="_Toc427932830"/>
      <w:bookmarkStart w:id="439" w:name="_Toc431584674"/>
      <w:bookmarkStart w:id="440" w:name="_Toc471717308"/>
      <w:r w:rsidRPr="00A50E4D">
        <w:rPr>
          <w:spacing w:val="-4"/>
          <w:lang w:val="en-US"/>
        </w:rPr>
        <w:t xml:space="preserve">C. </w:t>
      </w:r>
      <w:r w:rsidR="00A45503" w:rsidRPr="00A50E4D">
        <w:rPr>
          <w:spacing w:val="-4"/>
          <w:lang w:val="en-US"/>
        </w:rPr>
        <w:t>Measures of integral reparation</w:t>
      </w:r>
      <w:r w:rsidRPr="00A50E4D">
        <w:rPr>
          <w:spacing w:val="-4"/>
          <w:lang w:val="en-US"/>
        </w:rPr>
        <w:t xml:space="preserve">: </w:t>
      </w:r>
      <w:r w:rsidR="00A45503" w:rsidRPr="00A50E4D">
        <w:rPr>
          <w:spacing w:val="-4"/>
          <w:lang w:val="en-US"/>
        </w:rPr>
        <w:t>restitution</w:t>
      </w:r>
      <w:r w:rsidRPr="00A50E4D">
        <w:rPr>
          <w:spacing w:val="-4"/>
          <w:lang w:val="en-US"/>
        </w:rPr>
        <w:t xml:space="preserve">, </w:t>
      </w:r>
      <w:r w:rsidR="00A45503" w:rsidRPr="00A50E4D">
        <w:rPr>
          <w:spacing w:val="-4"/>
          <w:lang w:val="en-US"/>
        </w:rPr>
        <w:t>satisfaction</w:t>
      </w:r>
      <w:r w:rsidR="009808C5" w:rsidRPr="00A50E4D">
        <w:rPr>
          <w:spacing w:val="-4"/>
          <w:lang w:val="en-US"/>
        </w:rPr>
        <w:t xml:space="preserve"> and </w:t>
      </w:r>
      <w:r w:rsidR="00A45503" w:rsidRPr="00A50E4D">
        <w:rPr>
          <w:spacing w:val="-4"/>
          <w:lang w:val="en-US"/>
        </w:rPr>
        <w:t>guarantees of non-repetition</w:t>
      </w:r>
      <w:bookmarkEnd w:id="431"/>
      <w:bookmarkEnd w:id="432"/>
      <w:bookmarkEnd w:id="433"/>
      <w:bookmarkEnd w:id="434"/>
      <w:bookmarkEnd w:id="435"/>
      <w:bookmarkEnd w:id="436"/>
      <w:bookmarkEnd w:id="437"/>
      <w:bookmarkEnd w:id="438"/>
      <w:bookmarkEnd w:id="439"/>
      <w:bookmarkEnd w:id="440"/>
    </w:p>
    <w:p w14:paraId="7AA08FBB" w14:textId="77777777" w:rsidR="007A5DB4" w:rsidRPr="00A50E4D" w:rsidRDefault="007A5DB4" w:rsidP="007A5DB4">
      <w:pPr>
        <w:pStyle w:val="PrrafodeSentencia"/>
        <w:numPr>
          <w:ilvl w:val="0"/>
          <w:numId w:val="0"/>
        </w:numPr>
        <w:rPr>
          <w:lang w:val="en-US"/>
        </w:rPr>
      </w:pPr>
    </w:p>
    <w:p w14:paraId="7CB6E4C1" w14:textId="21ADD72B" w:rsidR="007A5DB4" w:rsidRPr="00A50E4D" w:rsidRDefault="007A5DB4" w:rsidP="007A5DB4">
      <w:pPr>
        <w:pStyle w:val="Heading3"/>
        <w:rPr>
          <w:spacing w:val="-4"/>
          <w:lang w:val="en-US"/>
        </w:rPr>
      </w:pPr>
      <w:bookmarkStart w:id="441" w:name="_Toc418074116"/>
      <w:bookmarkStart w:id="442" w:name="_Toc418503921"/>
      <w:bookmarkStart w:id="443" w:name="_Toc418912652"/>
      <w:bookmarkStart w:id="444" w:name="_Toc418912873"/>
      <w:bookmarkStart w:id="445" w:name="_Toc419394453"/>
      <w:bookmarkStart w:id="446" w:name="_Toc423361052"/>
      <w:bookmarkStart w:id="447" w:name="_Toc431584675"/>
      <w:bookmarkStart w:id="448" w:name="_Toc471717309"/>
      <w:r w:rsidRPr="00A50E4D">
        <w:rPr>
          <w:spacing w:val="-4"/>
          <w:lang w:val="en-US"/>
        </w:rPr>
        <w:t xml:space="preserve">C.1) </w:t>
      </w:r>
      <w:r w:rsidR="00A45503" w:rsidRPr="00A50E4D">
        <w:rPr>
          <w:spacing w:val="-4"/>
          <w:lang w:val="en-US"/>
        </w:rPr>
        <w:t>Restitution</w:t>
      </w:r>
      <w:bookmarkEnd w:id="441"/>
      <w:bookmarkEnd w:id="442"/>
      <w:bookmarkEnd w:id="443"/>
      <w:bookmarkEnd w:id="444"/>
      <w:bookmarkEnd w:id="445"/>
      <w:bookmarkEnd w:id="446"/>
      <w:bookmarkEnd w:id="447"/>
      <w:bookmarkEnd w:id="448"/>
    </w:p>
    <w:p w14:paraId="0F72A8A4" w14:textId="77777777" w:rsidR="007A5DB4" w:rsidRPr="00A50E4D" w:rsidRDefault="007A5DB4" w:rsidP="007A5DB4">
      <w:pPr>
        <w:pStyle w:val="PrrafodeSentencia"/>
        <w:numPr>
          <w:ilvl w:val="0"/>
          <w:numId w:val="0"/>
        </w:numPr>
        <w:rPr>
          <w:lang w:val="en-US"/>
        </w:rPr>
      </w:pPr>
    </w:p>
    <w:p w14:paraId="0F4E492F" w14:textId="29A959E7" w:rsidR="00AF6381" w:rsidRPr="00A50E4D" w:rsidRDefault="00CD2874" w:rsidP="00E55C7C">
      <w:pPr>
        <w:pStyle w:val="PrrafodeSentencia"/>
        <w:rPr>
          <w:lang w:val="en-US"/>
        </w:rPr>
      </w:pPr>
      <w:r w:rsidRPr="00A50E4D">
        <w:rPr>
          <w:lang w:val="en-US"/>
        </w:rPr>
        <w:t>The Commission</w:t>
      </w:r>
      <w:r w:rsidR="007A5DB4" w:rsidRPr="00A50E4D">
        <w:rPr>
          <w:b/>
          <w:lang w:val="en-US"/>
        </w:rPr>
        <w:t xml:space="preserve"> </w:t>
      </w:r>
      <w:r w:rsidR="00E55C7C" w:rsidRPr="00A50E4D">
        <w:rPr>
          <w:lang w:val="en-US"/>
        </w:rPr>
        <w:t>asked</w:t>
      </w:r>
      <w:r w:rsidR="007A5DB4" w:rsidRPr="00A50E4D">
        <w:rPr>
          <w:lang w:val="en-US"/>
        </w:rPr>
        <w:t xml:space="preserve"> </w:t>
      </w:r>
      <w:r w:rsidR="009808C5" w:rsidRPr="00A50E4D">
        <w:rPr>
          <w:lang w:val="en-US"/>
        </w:rPr>
        <w:t>the Court</w:t>
      </w:r>
      <w:r w:rsidR="007A5DB4" w:rsidRPr="00A50E4D">
        <w:rPr>
          <w:lang w:val="en-US"/>
        </w:rPr>
        <w:t xml:space="preserve"> </w:t>
      </w:r>
      <w:r w:rsidR="00E55C7C" w:rsidRPr="00A50E4D">
        <w:rPr>
          <w:lang w:val="en-US"/>
        </w:rPr>
        <w:t>to order</w:t>
      </w:r>
      <w:r w:rsidRPr="00A50E4D">
        <w:rPr>
          <w:lang w:val="en-US"/>
        </w:rPr>
        <w:t xml:space="preserve"> the State</w:t>
      </w:r>
      <w:r w:rsidR="00E55C7C" w:rsidRPr="00A50E4D">
        <w:rPr>
          <w:lang w:val="en-US"/>
        </w:rPr>
        <w:t xml:space="preserve"> to:</w:t>
      </w:r>
      <w:r w:rsidR="007A5DB4" w:rsidRPr="00A50E4D">
        <w:rPr>
          <w:lang w:val="en-US"/>
        </w:rPr>
        <w:t xml:space="preserve"> “</w:t>
      </w:r>
      <w:r w:rsidR="00E55C7C" w:rsidRPr="00A50E4D">
        <w:rPr>
          <w:lang w:val="en-US"/>
        </w:rPr>
        <w:t xml:space="preserve">[r]einstate the victims in the Judiciary, </w:t>
      </w:r>
      <w:r w:rsidR="00E55C7C" w:rsidRPr="00A50E4D">
        <w:rPr>
          <w:rFonts w:cs="Arial"/>
          <w:szCs w:val="20"/>
          <w:lang w:val="en-US"/>
        </w:rPr>
        <w:t xml:space="preserve">in a post similar to the one they </w:t>
      </w:r>
      <w:r w:rsidR="00AF6381" w:rsidRPr="00A50E4D">
        <w:rPr>
          <w:rFonts w:cs="Arial"/>
          <w:szCs w:val="20"/>
          <w:lang w:val="en-US"/>
        </w:rPr>
        <w:t>held</w:t>
      </w:r>
      <w:r w:rsidR="00E55C7C" w:rsidRPr="00A50E4D">
        <w:rPr>
          <w:rFonts w:cs="Arial"/>
          <w:szCs w:val="20"/>
          <w:lang w:val="en-US"/>
        </w:rPr>
        <w:t xml:space="preserve">, with the same </w:t>
      </w:r>
      <w:r w:rsidR="00AF6381" w:rsidRPr="00A50E4D">
        <w:rPr>
          <w:rFonts w:cs="Arial"/>
          <w:szCs w:val="20"/>
          <w:lang w:val="en-US"/>
        </w:rPr>
        <w:t>remuneration</w:t>
      </w:r>
      <w:r w:rsidR="00E55C7C" w:rsidRPr="00A50E4D">
        <w:rPr>
          <w:rFonts w:cs="Arial"/>
          <w:szCs w:val="20"/>
          <w:lang w:val="en-US"/>
        </w:rPr>
        <w:t xml:space="preserve"> and </w:t>
      </w:r>
      <w:r w:rsidR="00AF6381" w:rsidRPr="00A50E4D">
        <w:rPr>
          <w:rFonts w:cs="Arial"/>
          <w:szCs w:val="20"/>
          <w:lang w:val="en-US"/>
        </w:rPr>
        <w:t xml:space="preserve">social benefits and </w:t>
      </w:r>
      <w:r w:rsidR="00E55C7C" w:rsidRPr="00A50E4D">
        <w:rPr>
          <w:rFonts w:cs="Arial"/>
          <w:szCs w:val="20"/>
          <w:lang w:val="en-US"/>
        </w:rPr>
        <w:t xml:space="preserve">a rank equivalent to </w:t>
      </w:r>
      <w:r w:rsidR="00AF6381" w:rsidRPr="00A50E4D">
        <w:rPr>
          <w:rFonts w:cs="Arial"/>
          <w:szCs w:val="20"/>
          <w:lang w:val="en-US"/>
        </w:rPr>
        <w:t>one</w:t>
      </w:r>
      <w:r w:rsidR="00E55C7C" w:rsidRPr="00A50E4D">
        <w:rPr>
          <w:rFonts w:cs="Arial"/>
          <w:szCs w:val="20"/>
          <w:lang w:val="en-US"/>
        </w:rPr>
        <w:t xml:space="preserve"> they would have had today had they not been dismissed</w:t>
      </w:r>
      <w:r w:rsidR="00AF6381" w:rsidRPr="00A50E4D">
        <w:rPr>
          <w:rFonts w:cs="Arial"/>
          <w:szCs w:val="20"/>
          <w:lang w:val="en-US"/>
        </w:rPr>
        <w:t>,</w:t>
      </w:r>
      <w:r w:rsidR="00E55C7C" w:rsidRPr="00A50E4D">
        <w:rPr>
          <w:rFonts w:cs="Arial"/>
          <w:szCs w:val="20"/>
          <w:lang w:val="en-US"/>
        </w:rPr>
        <w:t xml:space="preserve"> for </w:t>
      </w:r>
      <w:r w:rsidR="00AF6381" w:rsidRPr="00A50E4D">
        <w:rPr>
          <w:rFonts w:cs="Arial"/>
          <w:szCs w:val="20"/>
          <w:lang w:val="en-US"/>
        </w:rPr>
        <w:t>the</w:t>
      </w:r>
      <w:r w:rsidR="00E55C7C" w:rsidRPr="00A50E4D">
        <w:rPr>
          <w:rFonts w:cs="Arial"/>
          <w:szCs w:val="20"/>
          <w:lang w:val="en-US"/>
        </w:rPr>
        <w:t xml:space="preserve"> time </w:t>
      </w:r>
      <w:r w:rsidR="00AF6381" w:rsidRPr="00A50E4D">
        <w:rPr>
          <w:rFonts w:cs="Arial"/>
          <w:szCs w:val="20"/>
          <w:lang w:val="en-US"/>
        </w:rPr>
        <w:t xml:space="preserve">that remained of their term of office.” If, for good reason, their reinstatement was not possible, the Commission asked that the State pay compensation. According to the Commission, the reinstatement in their posts was “essential as a message to the community of judges that, even in </w:t>
      </w:r>
      <w:r w:rsidR="00AB4594" w:rsidRPr="00A50E4D">
        <w:rPr>
          <w:rFonts w:cs="Arial"/>
          <w:szCs w:val="20"/>
          <w:lang w:val="en-US"/>
        </w:rPr>
        <w:t xml:space="preserve">the </w:t>
      </w:r>
      <w:r w:rsidR="00AF6381" w:rsidRPr="00A50E4D">
        <w:rPr>
          <w:rFonts w:cs="Arial"/>
          <w:szCs w:val="20"/>
          <w:lang w:val="en-US"/>
        </w:rPr>
        <w:t>context of the breakdown of t</w:t>
      </w:r>
      <w:r w:rsidR="00AB4594" w:rsidRPr="00A50E4D">
        <w:rPr>
          <w:rFonts w:cs="Arial"/>
          <w:szCs w:val="20"/>
          <w:lang w:val="en-US"/>
        </w:rPr>
        <w:t>he institutional framework, it i</w:t>
      </w:r>
      <w:r w:rsidR="00AF6381" w:rsidRPr="00A50E4D">
        <w:rPr>
          <w:rFonts w:cs="Arial"/>
          <w:szCs w:val="20"/>
          <w:lang w:val="en-US"/>
        </w:rPr>
        <w:t>s necessary to continue defending democracy and the strict application of the law.</w:t>
      </w:r>
    </w:p>
    <w:p w14:paraId="217083E5" w14:textId="77777777" w:rsidR="007A5DB4" w:rsidRPr="00A50E4D" w:rsidRDefault="007A5DB4" w:rsidP="007A5DB4">
      <w:pPr>
        <w:pStyle w:val="PrrafodeSentencia"/>
        <w:numPr>
          <w:ilvl w:val="0"/>
          <w:numId w:val="0"/>
        </w:numPr>
        <w:rPr>
          <w:lang w:val="en-US"/>
        </w:rPr>
      </w:pPr>
    </w:p>
    <w:p w14:paraId="7480AEFF" w14:textId="3D66F092" w:rsidR="007A5DB4" w:rsidRPr="00A50E4D" w:rsidRDefault="00AD5EE7" w:rsidP="00AF6381">
      <w:pPr>
        <w:pStyle w:val="PrrafodeSentencia"/>
        <w:rPr>
          <w:lang w:val="en-US"/>
        </w:rPr>
      </w:pPr>
      <w:r w:rsidRPr="00A50E4D">
        <w:rPr>
          <w:lang w:val="en-US"/>
        </w:rPr>
        <w:t>The representatives</w:t>
      </w:r>
      <w:r w:rsidR="007A5DB4" w:rsidRPr="00A50E4D">
        <w:rPr>
          <w:b/>
          <w:i/>
          <w:lang w:val="en-US"/>
        </w:rPr>
        <w:t xml:space="preserve"> </w:t>
      </w:r>
      <w:r w:rsidR="00AB4594" w:rsidRPr="00A50E4D">
        <w:rPr>
          <w:lang w:val="en-US"/>
        </w:rPr>
        <w:t>asserted</w:t>
      </w:r>
      <w:r w:rsidR="00AF6381" w:rsidRPr="00A50E4D">
        <w:rPr>
          <w:lang w:val="en-US"/>
        </w:rPr>
        <w:t xml:space="preserve"> that the dismissal of the victims was the result of proceedings that harmed their fundamental rights and freedoms, so that “the appropriate and essential measure to redress the violati</w:t>
      </w:r>
      <w:r w:rsidR="00AB4594" w:rsidRPr="00A50E4D">
        <w:rPr>
          <w:lang w:val="en-US"/>
        </w:rPr>
        <w:t>ons of their basic rights is</w:t>
      </w:r>
      <w:r w:rsidR="00AF6381" w:rsidRPr="00A50E4D">
        <w:rPr>
          <w:lang w:val="en-US"/>
        </w:rPr>
        <w:t xml:space="preserve"> reinstatement in their posts.” They also underscored that the dismissals had a profound effect on the victims, “because their personal and professional aspirations revolved around the exercise of their judicial mandate.” They</w:t>
      </w:r>
      <w:r w:rsidR="00AB4594" w:rsidRPr="00A50E4D">
        <w:rPr>
          <w:lang w:val="en-US"/>
        </w:rPr>
        <w:t xml:space="preserve"> asked that</w:t>
      </w:r>
      <w:r w:rsidR="00AF6381" w:rsidRPr="00A50E4D">
        <w:rPr>
          <w:lang w:val="en-US"/>
        </w:rPr>
        <w:t xml:space="preserve"> reinstatement include the right of the victims to enjoy “the remuneration that would have corresponded to them on the day they receive this, as well as all the corresponding social be</w:t>
      </w:r>
      <w:r w:rsidR="00AB4594" w:rsidRPr="00A50E4D">
        <w:rPr>
          <w:lang w:val="en-US"/>
        </w:rPr>
        <w:t xml:space="preserve">nefits and rank, respecting </w:t>
      </w:r>
      <w:r w:rsidR="00AF6381" w:rsidRPr="00A50E4D">
        <w:rPr>
          <w:lang w:val="en-US"/>
        </w:rPr>
        <w:t>their geographical location and judicial specialization, as well as the indefinite na</w:t>
      </w:r>
      <w:r w:rsidR="00AB4594" w:rsidRPr="00A50E4D">
        <w:rPr>
          <w:lang w:val="en-US"/>
        </w:rPr>
        <w:t>ture of their appointment.” A</w:t>
      </w:r>
      <w:r w:rsidR="00AF6381" w:rsidRPr="00A50E4D">
        <w:rPr>
          <w:lang w:val="en-US"/>
        </w:rPr>
        <w:t>ddition</w:t>
      </w:r>
      <w:r w:rsidR="00AB4594" w:rsidRPr="00A50E4D">
        <w:rPr>
          <w:lang w:val="en-US"/>
        </w:rPr>
        <w:t>ally</w:t>
      </w:r>
      <w:r w:rsidR="00AF6381" w:rsidRPr="00A50E4D">
        <w:rPr>
          <w:lang w:val="en-US"/>
        </w:rPr>
        <w:t>, they asked that the State be ordered to calculate</w:t>
      </w:r>
      <w:r w:rsidR="00AB4594" w:rsidRPr="00A50E4D">
        <w:rPr>
          <w:lang w:val="en-US"/>
        </w:rPr>
        <w:t xml:space="preserve"> the years the victims had been out of office as if these had been </w:t>
      </w:r>
      <w:r w:rsidR="00AF6381" w:rsidRPr="00A50E4D">
        <w:rPr>
          <w:lang w:val="en-US"/>
        </w:rPr>
        <w:t>years worked, so that their right</w:t>
      </w:r>
      <w:r w:rsidR="00AB4594" w:rsidRPr="00A50E4D">
        <w:rPr>
          <w:lang w:val="en-US"/>
        </w:rPr>
        <w:t>s</w:t>
      </w:r>
      <w:r w:rsidR="00AF6381" w:rsidRPr="00A50E4D">
        <w:rPr>
          <w:lang w:val="en-US"/>
        </w:rPr>
        <w:t xml:space="preserve"> to retirement and to a pension would not be impaired. Furthermore, they argued that “the reasons [</w:t>
      </w:r>
      <w:r w:rsidR="00AB4594" w:rsidRPr="00A50E4D">
        <w:rPr>
          <w:lang w:val="en-US"/>
        </w:rPr>
        <w:t>for not reinstating</w:t>
      </w:r>
      <w:r w:rsidR="00AF6381" w:rsidRPr="00A50E4D">
        <w:rPr>
          <w:lang w:val="en-US"/>
        </w:rPr>
        <w:t xml:space="preserve"> the victims]</w:t>
      </w:r>
      <w:r w:rsidR="00AB4594" w:rsidRPr="00A50E4D">
        <w:rPr>
          <w:lang w:val="en-US"/>
        </w:rPr>
        <w:t xml:space="preserve"> that violated human rights, as in the case of Judge Chévez, </w:t>
      </w:r>
      <w:r w:rsidR="00AF6381" w:rsidRPr="00A50E4D">
        <w:rPr>
          <w:lang w:val="en-US"/>
        </w:rPr>
        <w:t xml:space="preserve">could not be </w:t>
      </w:r>
      <w:r w:rsidR="00AB4594" w:rsidRPr="00A50E4D">
        <w:rPr>
          <w:lang w:val="en-US"/>
        </w:rPr>
        <w:t>deemed objective</w:t>
      </w:r>
      <w:r w:rsidR="00AF6381" w:rsidRPr="00A50E4D">
        <w:rPr>
          <w:lang w:val="en-US"/>
        </w:rPr>
        <w:t xml:space="preserve">.” They also considered that </w:t>
      </w:r>
      <w:r w:rsidR="009808C5" w:rsidRPr="00A50E4D">
        <w:rPr>
          <w:lang w:val="en-US"/>
        </w:rPr>
        <w:t xml:space="preserve">the </w:t>
      </w:r>
      <w:r w:rsidR="00371BB7" w:rsidRPr="00A50E4D">
        <w:rPr>
          <w:lang w:val="en-US"/>
        </w:rPr>
        <w:t>Supreme Court of Justice</w:t>
      </w:r>
      <w:r w:rsidR="007A5DB4" w:rsidRPr="00A50E4D">
        <w:rPr>
          <w:lang w:val="en-US"/>
        </w:rPr>
        <w:t xml:space="preserve"> </w:t>
      </w:r>
      <w:r w:rsidR="00AF6381" w:rsidRPr="00A50E4D">
        <w:rPr>
          <w:lang w:val="en-US"/>
        </w:rPr>
        <w:t>ha</w:t>
      </w:r>
      <w:r w:rsidR="00AB4594" w:rsidRPr="00A50E4D">
        <w:rPr>
          <w:lang w:val="en-US"/>
        </w:rPr>
        <w:t xml:space="preserve">d broad authority to create </w:t>
      </w:r>
      <w:r w:rsidR="00AF6381" w:rsidRPr="00A50E4D">
        <w:rPr>
          <w:lang w:val="en-US"/>
        </w:rPr>
        <w:t>posts and chambers to place the victims.</w:t>
      </w:r>
      <w:r w:rsidR="007A5DB4" w:rsidRPr="00A50E4D">
        <w:rPr>
          <w:lang w:val="en-US"/>
        </w:rPr>
        <w:t xml:space="preserve"> </w:t>
      </w:r>
    </w:p>
    <w:p w14:paraId="07C65F6E" w14:textId="77777777" w:rsidR="007A5DB4" w:rsidRPr="00A50E4D" w:rsidRDefault="007A5DB4" w:rsidP="007A5DB4">
      <w:pPr>
        <w:pStyle w:val="PrrafodeSentencia"/>
        <w:numPr>
          <w:ilvl w:val="0"/>
          <w:numId w:val="0"/>
        </w:numPr>
        <w:rPr>
          <w:lang w:val="en-US"/>
        </w:rPr>
      </w:pPr>
    </w:p>
    <w:p w14:paraId="6047BCED" w14:textId="66F35B15" w:rsidR="007A5DB4" w:rsidRPr="00A50E4D" w:rsidRDefault="00AB4594" w:rsidP="007A5DB4">
      <w:pPr>
        <w:pStyle w:val="PrrafodeSentencia"/>
        <w:rPr>
          <w:lang w:val="en-US"/>
        </w:rPr>
      </w:pPr>
      <w:r w:rsidRPr="00A50E4D">
        <w:rPr>
          <w:lang w:val="en-US"/>
        </w:rPr>
        <w:t>Furthermore</w:t>
      </w:r>
      <w:r w:rsidR="00AF6381" w:rsidRPr="00A50E4D">
        <w:rPr>
          <w:lang w:val="en-US"/>
        </w:rPr>
        <w:t>, in their</w:t>
      </w:r>
      <w:r w:rsidR="007A5DB4" w:rsidRPr="00A50E4D">
        <w:rPr>
          <w:lang w:val="en-US"/>
        </w:rPr>
        <w:t xml:space="preserve"> </w:t>
      </w:r>
      <w:r w:rsidR="004626E5" w:rsidRPr="00A50E4D">
        <w:rPr>
          <w:lang w:val="en-US"/>
        </w:rPr>
        <w:t>final written arguments</w:t>
      </w:r>
      <w:r w:rsidR="007A5DB4" w:rsidRPr="00A50E4D">
        <w:rPr>
          <w:lang w:val="en-US"/>
        </w:rPr>
        <w:t xml:space="preserve">, </w:t>
      </w:r>
      <w:r w:rsidR="00AD5EE7" w:rsidRPr="00A50E4D">
        <w:rPr>
          <w:lang w:val="en-US"/>
        </w:rPr>
        <w:t>the representatives</w:t>
      </w:r>
      <w:r w:rsidR="007A5DB4" w:rsidRPr="00A50E4D">
        <w:rPr>
          <w:lang w:val="en-US"/>
        </w:rPr>
        <w:t xml:space="preserve"> </w:t>
      </w:r>
      <w:r w:rsidR="00AF6381" w:rsidRPr="00A50E4D">
        <w:rPr>
          <w:lang w:val="en-US"/>
        </w:rPr>
        <w:t xml:space="preserve">referred to the dismissal of </w:t>
      </w:r>
      <w:r w:rsidR="009808C5" w:rsidRPr="00A50E4D">
        <w:rPr>
          <w:lang w:val="en-US"/>
        </w:rPr>
        <w:t>Judge</w:t>
      </w:r>
      <w:r w:rsidR="007A5DB4" w:rsidRPr="00A50E4D">
        <w:rPr>
          <w:lang w:val="en-US"/>
        </w:rPr>
        <w:t xml:space="preserve"> Barrios Maldonado, </w:t>
      </w:r>
      <w:r w:rsidR="00AF6381" w:rsidRPr="00A50E4D">
        <w:rPr>
          <w:lang w:val="en-US"/>
        </w:rPr>
        <w:t>and indicated that “insofar as the Court […] finds that the use of ethical codes as disciplinary instruments violates the</w:t>
      </w:r>
      <w:r w:rsidR="007A5DB4" w:rsidRPr="00A50E4D">
        <w:rPr>
          <w:lang w:val="en-US"/>
        </w:rPr>
        <w:t xml:space="preserve"> </w:t>
      </w:r>
      <w:r w:rsidR="00371BB7" w:rsidRPr="00A50E4D">
        <w:rPr>
          <w:lang w:val="en-US"/>
        </w:rPr>
        <w:t xml:space="preserve">principle of </w:t>
      </w:r>
      <w:r w:rsidR="007E14CE" w:rsidRPr="00A50E4D">
        <w:rPr>
          <w:lang w:val="en-US"/>
        </w:rPr>
        <w:t>legality</w:t>
      </w:r>
      <w:r w:rsidR="000A786A" w:rsidRPr="00A50E4D">
        <w:rPr>
          <w:lang w:val="en-US"/>
        </w:rPr>
        <w:t>,</w:t>
      </w:r>
      <w:r w:rsidR="009808C5" w:rsidRPr="00A50E4D">
        <w:rPr>
          <w:lang w:val="en-US"/>
        </w:rPr>
        <w:t xml:space="preserve"> and </w:t>
      </w:r>
      <w:r w:rsidR="00AF6381" w:rsidRPr="00A50E4D">
        <w:rPr>
          <w:lang w:val="en-US"/>
        </w:rPr>
        <w:t xml:space="preserve">that their use subsists at the </w:t>
      </w:r>
      <w:r w:rsidR="000A786A" w:rsidRPr="00A50E4D">
        <w:rPr>
          <w:lang w:val="en-US"/>
        </w:rPr>
        <w:t>present</w:t>
      </w:r>
      <w:r w:rsidR="00AF6381" w:rsidRPr="00A50E4D">
        <w:rPr>
          <w:lang w:val="en-US"/>
        </w:rPr>
        <w:t xml:space="preserve"> time, pursuant to the </w:t>
      </w:r>
      <w:r w:rsidR="007A5DB4" w:rsidRPr="00A50E4D">
        <w:rPr>
          <w:i/>
          <w:lang w:val="en-US"/>
        </w:rPr>
        <w:t>iura novit curia</w:t>
      </w:r>
      <w:r w:rsidR="007A5DB4" w:rsidRPr="00A50E4D">
        <w:rPr>
          <w:lang w:val="en-US"/>
        </w:rPr>
        <w:t xml:space="preserve"> </w:t>
      </w:r>
      <w:r w:rsidR="00AF6381" w:rsidRPr="00A50E4D">
        <w:rPr>
          <w:lang w:val="en-US"/>
        </w:rPr>
        <w:t>principle, the Court would be authorized also to order the reinstatement</w:t>
      </w:r>
      <w:r w:rsidR="007A5DB4" w:rsidRPr="00A50E4D">
        <w:rPr>
          <w:lang w:val="en-US"/>
        </w:rPr>
        <w:t>”</w:t>
      </w:r>
      <w:r w:rsidR="00AF6381" w:rsidRPr="00A50E4D">
        <w:rPr>
          <w:lang w:val="en-US"/>
        </w:rPr>
        <w:t xml:space="preserve"> of</w:t>
      </w:r>
      <w:r w:rsidR="00FF35A9" w:rsidRPr="00A50E4D">
        <w:rPr>
          <w:lang w:val="en-US"/>
        </w:rPr>
        <w:t xml:space="preserve"> </w:t>
      </w:r>
      <w:r w:rsidR="009808C5" w:rsidRPr="00A50E4D">
        <w:rPr>
          <w:lang w:val="en-US"/>
        </w:rPr>
        <w:t>Judge</w:t>
      </w:r>
      <w:r w:rsidR="007A5DB4" w:rsidRPr="00A50E4D">
        <w:rPr>
          <w:lang w:val="en-US"/>
        </w:rPr>
        <w:t xml:space="preserve"> Barrios Maldonado. </w:t>
      </w:r>
    </w:p>
    <w:p w14:paraId="3B27B241" w14:textId="77777777" w:rsidR="007A5DB4" w:rsidRPr="00A50E4D" w:rsidRDefault="007A5DB4" w:rsidP="007A5DB4">
      <w:pPr>
        <w:pStyle w:val="PrrafodeSentencia"/>
        <w:numPr>
          <w:ilvl w:val="0"/>
          <w:numId w:val="0"/>
        </w:numPr>
        <w:rPr>
          <w:lang w:val="en-US"/>
        </w:rPr>
      </w:pPr>
    </w:p>
    <w:p w14:paraId="7CEE3F80" w14:textId="75946025" w:rsidR="007A5DB4" w:rsidRPr="00A50E4D" w:rsidRDefault="009808C5" w:rsidP="007A5DB4">
      <w:pPr>
        <w:pStyle w:val="PrrafodeSentencia"/>
        <w:rPr>
          <w:lang w:val="en-US"/>
        </w:rPr>
      </w:pPr>
      <w:r w:rsidRPr="00A50E4D">
        <w:rPr>
          <w:lang w:val="en-US"/>
        </w:rPr>
        <w:t>The State</w:t>
      </w:r>
      <w:r w:rsidR="007A5DB4" w:rsidRPr="00A50E4D">
        <w:rPr>
          <w:b/>
          <w:i/>
          <w:lang w:val="en-US"/>
        </w:rPr>
        <w:t xml:space="preserve"> </w:t>
      </w:r>
      <w:r w:rsidR="00AF6381" w:rsidRPr="00A50E4D">
        <w:rPr>
          <w:lang w:val="en-US"/>
        </w:rPr>
        <w:t xml:space="preserve">emphasized that </w:t>
      </w:r>
      <w:r w:rsidR="007A5DB4" w:rsidRPr="00A50E4D">
        <w:rPr>
          <w:lang w:val="en-US"/>
        </w:rPr>
        <w:t xml:space="preserve">Ramón Enrique Barrios Maldonado </w:t>
      </w:r>
      <w:r w:rsidR="00AF6381" w:rsidRPr="00A50E4D">
        <w:rPr>
          <w:lang w:val="en-US"/>
        </w:rPr>
        <w:t xml:space="preserve">remained in office, while </w:t>
      </w:r>
      <w:r w:rsidR="007A5DB4" w:rsidRPr="00A50E4D">
        <w:rPr>
          <w:lang w:val="en-US"/>
        </w:rPr>
        <w:t xml:space="preserve">Luis Alonso </w:t>
      </w:r>
      <w:r w:rsidR="009A7056" w:rsidRPr="00A50E4D">
        <w:rPr>
          <w:lang w:val="en-US"/>
        </w:rPr>
        <w:t>Chévez de la Rocha</w:t>
      </w:r>
      <w:r w:rsidR="007A5DB4" w:rsidRPr="00A50E4D">
        <w:rPr>
          <w:lang w:val="en-US"/>
        </w:rPr>
        <w:t xml:space="preserve"> </w:t>
      </w:r>
      <w:r w:rsidR="00AB4594" w:rsidRPr="00A50E4D">
        <w:rPr>
          <w:lang w:val="en-US"/>
        </w:rPr>
        <w:t>had been</w:t>
      </w:r>
      <w:r w:rsidR="00AF6381" w:rsidRPr="00A50E4D">
        <w:rPr>
          <w:lang w:val="en-US"/>
        </w:rPr>
        <w:t xml:space="preserve"> paid the </w:t>
      </w:r>
      <w:r w:rsidR="000A786A" w:rsidRPr="00A50E4D">
        <w:rPr>
          <w:lang w:val="en-US"/>
        </w:rPr>
        <w:t>social</w:t>
      </w:r>
      <w:r w:rsidR="00AF6381" w:rsidRPr="00A50E4D">
        <w:rPr>
          <w:lang w:val="en-US"/>
        </w:rPr>
        <w:t xml:space="preserve"> benefits to</w:t>
      </w:r>
      <w:r w:rsidR="007A5DB4" w:rsidRPr="00A50E4D">
        <w:rPr>
          <w:lang w:val="en-US"/>
        </w:rPr>
        <w:t xml:space="preserve"> </w:t>
      </w:r>
      <w:r w:rsidR="00AF6381" w:rsidRPr="00A50E4D">
        <w:rPr>
          <w:lang w:val="en-US"/>
        </w:rPr>
        <w:t>which he was entitled. Regarding</w:t>
      </w:r>
      <w:r w:rsidR="007A5DB4" w:rsidRPr="00A50E4D">
        <w:rPr>
          <w:lang w:val="en-US"/>
        </w:rPr>
        <w:t xml:space="preserve"> Adán Guillermo López Lone</w:t>
      </w:r>
      <w:r w:rsidRPr="00A50E4D">
        <w:rPr>
          <w:lang w:val="en-US"/>
        </w:rPr>
        <w:t xml:space="preserve"> and </w:t>
      </w:r>
      <w:r w:rsidR="008217D7" w:rsidRPr="00A50E4D">
        <w:rPr>
          <w:lang w:val="en-US"/>
        </w:rPr>
        <w:t>Tirza del Carmen</w:t>
      </w:r>
      <w:r w:rsidR="007A5DB4" w:rsidRPr="00A50E4D">
        <w:rPr>
          <w:lang w:val="en-US"/>
        </w:rPr>
        <w:t xml:space="preserve"> Flores Lanza, </w:t>
      </w:r>
      <w:r w:rsidRPr="00A50E4D">
        <w:rPr>
          <w:lang w:val="en-US"/>
        </w:rPr>
        <w:t>the State</w:t>
      </w:r>
      <w:r w:rsidR="00AF6381" w:rsidRPr="00A50E4D">
        <w:rPr>
          <w:lang w:val="en-US"/>
        </w:rPr>
        <w:t xml:space="preserve"> indicated that it was inadmissible to award them the measures of reparation requested, “because their actions were evidently politicized, and they committed offenses that are clearly established in the laws and regulations” </w:t>
      </w:r>
      <w:r w:rsidR="00700DEC" w:rsidRPr="00A50E4D">
        <w:rPr>
          <w:lang w:val="en-US"/>
        </w:rPr>
        <w:t>of Honduras</w:t>
      </w:r>
      <w:r w:rsidR="007A5DB4" w:rsidRPr="00A50E4D">
        <w:rPr>
          <w:lang w:val="en-US"/>
        </w:rPr>
        <w:t xml:space="preserve">. </w:t>
      </w:r>
    </w:p>
    <w:p w14:paraId="5B07142C" w14:textId="77777777" w:rsidR="007A5DB4" w:rsidRPr="00A50E4D" w:rsidRDefault="007A5DB4" w:rsidP="007A5DB4">
      <w:pPr>
        <w:pStyle w:val="PrrafodeSentencia"/>
        <w:numPr>
          <w:ilvl w:val="0"/>
          <w:numId w:val="0"/>
        </w:numPr>
        <w:rPr>
          <w:lang w:val="en-US"/>
        </w:rPr>
      </w:pPr>
    </w:p>
    <w:p w14:paraId="0CE4B593" w14:textId="6794B595" w:rsidR="00AF6381" w:rsidRPr="00A50E4D" w:rsidRDefault="009808C5" w:rsidP="007A5DB4">
      <w:pPr>
        <w:pStyle w:val="PrrafodeSentencia"/>
        <w:rPr>
          <w:lang w:val="en-US"/>
        </w:rPr>
      </w:pPr>
      <w:r w:rsidRPr="00A50E4D">
        <w:rPr>
          <w:lang w:val="en-US"/>
        </w:rPr>
        <w:t>The Court</w:t>
      </w:r>
      <w:r w:rsidR="00AF6381" w:rsidRPr="00A50E4D">
        <w:rPr>
          <w:lang w:val="en-US"/>
        </w:rPr>
        <w:t xml:space="preserve"> notes that, in their affidavits, the </w:t>
      </w:r>
      <w:r w:rsidR="004B0477" w:rsidRPr="00A50E4D">
        <w:rPr>
          <w:lang w:val="en-US"/>
        </w:rPr>
        <w:t>victims</w:t>
      </w:r>
      <w:r w:rsidR="007A5DB4" w:rsidRPr="00A50E4D">
        <w:rPr>
          <w:lang w:val="en-US"/>
        </w:rPr>
        <w:t xml:space="preserve"> </w:t>
      </w:r>
      <w:r w:rsidR="00AF6381" w:rsidRPr="00A50E4D">
        <w:rPr>
          <w:lang w:val="en-US"/>
        </w:rPr>
        <w:t xml:space="preserve">indicated that reinstatement in their posts was essential in order to obtain adequate redress. Thus, </w:t>
      </w:r>
      <w:r w:rsidR="009A7056" w:rsidRPr="00A50E4D">
        <w:rPr>
          <w:lang w:val="en-US"/>
        </w:rPr>
        <w:t>Mr. Chévez de la Rocha</w:t>
      </w:r>
      <w:r w:rsidR="00AF6381" w:rsidRPr="00A50E4D">
        <w:rPr>
          <w:lang w:val="en-US"/>
        </w:rPr>
        <w:t xml:space="preserve"> indicated that “the </w:t>
      </w:r>
      <w:r w:rsidR="00AB4594" w:rsidRPr="00A50E4D">
        <w:rPr>
          <w:lang w:val="en-US"/>
        </w:rPr>
        <w:t>foremost</w:t>
      </w:r>
      <w:r w:rsidR="00AF6381" w:rsidRPr="00A50E4D">
        <w:rPr>
          <w:lang w:val="en-US"/>
        </w:rPr>
        <w:t xml:space="preserve"> right that [he was] claiming is to be reinstated in [his] post in the same court and […] in the same city, with the same rights as the other judges.” Meanwhile, Ms. Flores Lanza stated that financial compensation instead of reinstatement “would not signify true reparation.” In addition, Mr. López Lone considered that “reinstatement […] is a primordial act [because] it would represent full </w:t>
      </w:r>
      <w:r w:rsidR="00AB4594" w:rsidRPr="00A50E4D">
        <w:rPr>
          <w:lang w:val="en-US"/>
        </w:rPr>
        <w:t>implementation of the justice</w:t>
      </w:r>
      <w:r w:rsidR="00AF6381" w:rsidRPr="00A50E4D">
        <w:rPr>
          <w:lang w:val="en-US"/>
        </w:rPr>
        <w:t xml:space="preserve"> [they had] sought.” Furthermore, the psychologist, María Sol Yáñez, recommended that the victims be reinstated in the Judiciary, with no negative</w:t>
      </w:r>
      <w:r w:rsidR="0047110C" w:rsidRPr="00A50E4D">
        <w:rPr>
          <w:lang w:val="en-US"/>
        </w:rPr>
        <w:t xml:space="preserve"> consequences on the part of </w:t>
      </w:r>
      <w:r w:rsidR="00AF6381" w:rsidRPr="00A50E4D">
        <w:rPr>
          <w:lang w:val="en-US"/>
        </w:rPr>
        <w:t xml:space="preserve">the institution and their colleagues, in the same place, and under the same conditions, and that measures be taken to avoid the victims being harassed or stigmatized. </w:t>
      </w:r>
    </w:p>
    <w:p w14:paraId="76D2FD97" w14:textId="77777777" w:rsidR="007A5DB4" w:rsidRPr="00A50E4D" w:rsidRDefault="007A5DB4" w:rsidP="007A5DB4">
      <w:pPr>
        <w:pStyle w:val="PrrafodeSentencia"/>
        <w:numPr>
          <w:ilvl w:val="0"/>
          <w:numId w:val="0"/>
        </w:numPr>
        <w:rPr>
          <w:lang w:val="en-US"/>
        </w:rPr>
      </w:pPr>
    </w:p>
    <w:p w14:paraId="17578ACF" w14:textId="62D8D3BE" w:rsidR="007A5DB4" w:rsidRPr="00A50E4D" w:rsidRDefault="0046301B" w:rsidP="006F7559">
      <w:pPr>
        <w:pStyle w:val="PrrafodeSentencia"/>
        <w:rPr>
          <w:lang w:val="en-US"/>
        </w:rPr>
      </w:pPr>
      <w:bookmarkStart w:id="449" w:name="_Ref431215154"/>
      <w:r w:rsidRPr="00A50E4D">
        <w:rPr>
          <w:lang w:val="en-US"/>
        </w:rPr>
        <w:t xml:space="preserve">The </w:t>
      </w:r>
      <w:r w:rsidR="0047110C" w:rsidRPr="00A50E4D">
        <w:rPr>
          <w:lang w:val="en-US"/>
        </w:rPr>
        <w:t>Court</w:t>
      </w:r>
      <w:r w:rsidRPr="00A50E4D">
        <w:rPr>
          <w:lang w:val="en-US"/>
        </w:rPr>
        <w:t xml:space="preserve"> determined that the dismissal of Judges </w:t>
      </w:r>
      <w:r w:rsidR="007A5DB4" w:rsidRPr="00A50E4D">
        <w:rPr>
          <w:lang w:val="en-US"/>
        </w:rPr>
        <w:t xml:space="preserve">Luis </w:t>
      </w:r>
      <w:r w:rsidR="009A7056" w:rsidRPr="00A50E4D">
        <w:rPr>
          <w:lang w:val="en-US"/>
        </w:rPr>
        <w:t>Chévez de la Rocha</w:t>
      </w:r>
      <w:r w:rsidRPr="00A50E4D">
        <w:rPr>
          <w:lang w:val="en-US"/>
        </w:rPr>
        <w:t xml:space="preserve"> and</w:t>
      </w:r>
      <w:r w:rsidR="007A5DB4" w:rsidRPr="00A50E4D">
        <w:rPr>
          <w:lang w:val="en-US"/>
        </w:rPr>
        <w:t xml:space="preserve"> Adán Guillermo López Lone</w:t>
      </w:r>
      <w:r w:rsidR="009808C5" w:rsidRPr="00A50E4D">
        <w:rPr>
          <w:lang w:val="en-US"/>
        </w:rPr>
        <w:t xml:space="preserve"> and </w:t>
      </w:r>
      <w:r w:rsidRPr="00A50E4D">
        <w:rPr>
          <w:lang w:val="en-US"/>
        </w:rPr>
        <w:t>Justice</w:t>
      </w:r>
      <w:r w:rsidR="007A5DB4" w:rsidRPr="00A50E4D">
        <w:rPr>
          <w:lang w:val="en-US"/>
        </w:rPr>
        <w:t xml:space="preserve"> </w:t>
      </w:r>
      <w:r w:rsidR="008217D7" w:rsidRPr="00A50E4D">
        <w:rPr>
          <w:lang w:val="en-US"/>
        </w:rPr>
        <w:t>Tirza del Carmen</w:t>
      </w:r>
      <w:r w:rsidR="007A5DB4" w:rsidRPr="00A50E4D">
        <w:rPr>
          <w:lang w:val="en-US"/>
        </w:rPr>
        <w:t xml:space="preserve"> Flores Lanza </w:t>
      </w:r>
      <w:r w:rsidRPr="00A50E4D">
        <w:rPr>
          <w:lang w:val="en-US"/>
        </w:rPr>
        <w:t xml:space="preserve">was the result of </w:t>
      </w:r>
      <w:r w:rsidR="00C4689E" w:rsidRPr="00A50E4D">
        <w:rPr>
          <w:lang w:val="en-US"/>
        </w:rPr>
        <w:t xml:space="preserve">disciplinary </w:t>
      </w:r>
      <w:r w:rsidR="00C4689E" w:rsidRPr="00A50E4D">
        <w:rPr>
          <w:lang w:val="en-US"/>
        </w:rPr>
        <w:lastRenderedPageBreak/>
        <w:t>proceedings</w:t>
      </w:r>
      <w:r w:rsidR="009808C5" w:rsidRPr="00A50E4D">
        <w:rPr>
          <w:lang w:val="en-US"/>
        </w:rPr>
        <w:t xml:space="preserve"> and </w:t>
      </w:r>
      <w:r w:rsidR="00665BDA" w:rsidRPr="00A50E4D">
        <w:rPr>
          <w:lang w:val="en-US"/>
        </w:rPr>
        <w:t>decisions</w:t>
      </w:r>
      <w:r w:rsidR="007A5DB4" w:rsidRPr="00A50E4D">
        <w:rPr>
          <w:lang w:val="en-US"/>
        </w:rPr>
        <w:t xml:space="preserve"> </w:t>
      </w:r>
      <w:r w:rsidRPr="00A50E4D">
        <w:rPr>
          <w:lang w:val="en-US"/>
        </w:rPr>
        <w:t xml:space="preserve">that violated their </w:t>
      </w:r>
      <w:r w:rsidR="00371BB7" w:rsidRPr="00A50E4D">
        <w:rPr>
          <w:lang w:val="en-US"/>
        </w:rPr>
        <w:t>political rights</w:t>
      </w:r>
      <w:r w:rsidRPr="00A50E4D">
        <w:rPr>
          <w:lang w:val="en-US"/>
        </w:rPr>
        <w:t>,</w:t>
      </w:r>
      <w:r w:rsidR="007A5DB4" w:rsidRPr="00A50E4D">
        <w:rPr>
          <w:lang w:val="en-US"/>
        </w:rPr>
        <w:t xml:space="preserve"> </w:t>
      </w:r>
      <w:r w:rsidR="00371BB7" w:rsidRPr="00A50E4D">
        <w:rPr>
          <w:lang w:val="en-US"/>
        </w:rPr>
        <w:t>freedom of expression</w:t>
      </w:r>
      <w:r w:rsidR="009808C5" w:rsidRPr="00A50E4D">
        <w:rPr>
          <w:lang w:val="en-US"/>
        </w:rPr>
        <w:t xml:space="preserve"> and </w:t>
      </w:r>
      <w:r w:rsidR="00371BB7" w:rsidRPr="00A50E4D">
        <w:rPr>
          <w:lang w:val="en-US"/>
        </w:rPr>
        <w:t>the right of assembly</w:t>
      </w:r>
      <w:r w:rsidR="007A5DB4" w:rsidRPr="00A50E4D">
        <w:rPr>
          <w:lang w:val="en-US"/>
        </w:rPr>
        <w:t>, respectiv</w:t>
      </w:r>
      <w:r w:rsidRPr="00A50E4D">
        <w:rPr>
          <w:lang w:val="en-US"/>
        </w:rPr>
        <w:t>ely</w:t>
      </w:r>
      <w:r w:rsidR="007A5DB4" w:rsidRPr="00A50E4D">
        <w:rPr>
          <w:lang w:val="en-US"/>
        </w:rPr>
        <w:t>, as</w:t>
      </w:r>
      <w:r w:rsidRPr="00A50E4D">
        <w:rPr>
          <w:lang w:val="en-US"/>
        </w:rPr>
        <w:t xml:space="preserve"> well as </w:t>
      </w:r>
      <w:r w:rsidR="00371BB7" w:rsidRPr="00A50E4D">
        <w:rPr>
          <w:lang w:val="en-US"/>
        </w:rPr>
        <w:t>judicial guarantees</w:t>
      </w:r>
      <w:r w:rsidR="009808C5" w:rsidRPr="00A50E4D">
        <w:rPr>
          <w:lang w:val="en-US"/>
        </w:rPr>
        <w:t xml:space="preserve"> and </w:t>
      </w:r>
      <w:r w:rsidRPr="00A50E4D">
        <w:rPr>
          <w:lang w:val="en-US"/>
        </w:rPr>
        <w:t xml:space="preserve">the right to tenure </w:t>
      </w:r>
      <w:r w:rsidR="007A5DB4" w:rsidRPr="00A50E4D">
        <w:rPr>
          <w:lang w:val="en-US"/>
        </w:rPr>
        <w:t>(</w:t>
      </w:r>
      <w:r w:rsidR="007A5DB4" w:rsidRPr="00A50E4D">
        <w:rPr>
          <w:i/>
          <w:lang w:val="en-US"/>
        </w:rPr>
        <w:t>supra</w:t>
      </w:r>
      <w:r w:rsidR="007A5DB4" w:rsidRPr="00A50E4D">
        <w:rPr>
          <w:lang w:val="en-US"/>
        </w:rPr>
        <w:t xml:space="preserve"> </w:t>
      </w:r>
      <w:r w:rsidR="00AD5EE7" w:rsidRPr="00A50E4D">
        <w:rPr>
          <w:lang w:val="en-US"/>
        </w:rPr>
        <w:t>paras.</w:t>
      </w:r>
      <w:r w:rsidR="007A5DB4" w:rsidRPr="00A50E4D">
        <w:rPr>
          <w:lang w:val="en-US"/>
        </w:rPr>
        <w:t xml:space="preserve"> </w:t>
      </w:r>
      <w:r w:rsidR="007A5DB4" w:rsidRPr="00914F55">
        <w:rPr>
          <w:lang w:val="en-US"/>
        </w:rPr>
        <w:fldChar w:fldCharType="begin"/>
      </w:r>
      <w:r w:rsidR="007A5DB4" w:rsidRPr="00A50E4D">
        <w:rPr>
          <w:lang w:val="en-US"/>
        </w:rPr>
        <w:instrText xml:space="preserve"> REF _Ref431642489 \r \h </w:instrText>
      </w:r>
      <w:r w:rsidR="00EA20A5" w:rsidRPr="00A50E4D">
        <w:rPr>
          <w:lang w:val="en-US"/>
        </w:rPr>
        <w:instrText xml:space="preserve"> \* MERGEFORMAT </w:instrText>
      </w:r>
      <w:r w:rsidR="007A5DB4" w:rsidRPr="00914F55">
        <w:rPr>
          <w:lang w:val="en-US"/>
        </w:rPr>
      </w:r>
      <w:r w:rsidR="007A5DB4" w:rsidRPr="00914F55">
        <w:rPr>
          <w:lang w:val="en-US"/>
        </w:rPr>
        <w:fldChar w:fldCharType="separate"/>
      </w:r>
      <w:r w:rsidR="00547588">
        <w:rPr>
          <w:lang w:val="en-US"/>
        </w:rPr>
        <w:t>178</w:t>
      </w:r>
      <w:r w:rsidR="007A5DB4" w:rsidRPr="00914F55">
        <w:rPr>
          <w:lang w:val="en-US"/>
        </w:rPr>
        <w:fldChar w:fldCharType="end"/>
      </w:r>
      <w:r w:rsidRPr="00A50E4D">
        <w:rPr>
          <w:lang w:val="en-US"/>
        </w:rPr>
        <w:t xml:space="preserve"> to</w:t>
      </w:r>
      <w:r w:rsidR="007A5DB4" w:rsidRPr="00A50E4D">
        <w:rPr>
          <w:lang w:val="en-US"/>
        </w:rPr>
        <w:t xml:space="preserve"> </w:t>
      </w:r>
      <w:r w:rsidR="007A5DB4" w:rsidRPr="00914F55">
        <w:rPr>
          <w:lang w:val="en-US"/>
        </w:rPr>
        <w:fldChar w:fldCharType="begin"/>
      </w:r>
      <w:r w:rsidR="007A5DB4" w:rsidRPr="00A50E4D">
        <w:rPr>
          <w:lang w:val="en-US"/>
        </w:rPr>
        <w:instrText xml:space="preserve"> REF _Ref431643134 \r \h </w:instrText>
      </w:r>
      <w:r w:rsidR="00EA20A5" w:rsidRPr="00A50E4D">
        <w:rPr>
          <w:lang w:val="en-US"/>
        </w:rPr>
        <w:instrText xml:space="preserve"> \* MERGEFORMAT </w:instrText>
      </w:r>
      <w:r w:rsidR="007A5DB4" w:rsidRPr="00914F55">
        <w:rPr>
          <w:lang w:val="en-US"/>
        </w:rPr>
      </w:r>
      <w:r w:rsidR="007A5DB4" w:rsidRPr="00914F55">
        <w:rPr>
          <w:lang w:val="en-US"/>
        </w:rPr>
        <w:fldChar w:fldCharType="separate"/>
      </w:r>
      <w:r w:rsidR="00547588">
        <w:rPr>
          <w:lang w:val="en-US"/>
        </w:rPr>
        <w:t>183</w:t>
      </w:r>
      <w:r w:rsidR="007A5DB4" w:rsidRPr="00914F55">
        <w:rPr>
          <w:lang w:val="en-US"/>
        </w:rPr>
        <w:fldChar w:fldCharType="end"/>
      </w:r>
      <w:r w:rsidR="009808C5" w:rsidRPr="00A50E4D">
        <w:rPr>
          <w:lang w:val="en-US"/>
        </w:rPr>
        <w:t xml:space="preserve"> and </w:t>
      </w:r>
      <w:r w:rsidR="007A5DB4" w:rsidRPr="00914F55">
        <w:rPr>
          <w:lang w:val="en-US"/>
        </w:rPr>
        <w:fldChar w:fldCharType="begin"/>
      </w:r>
      <w:r w:rsidR="007A5DB4" w:rsidRPr="00A50E4D">
        <w:rPr>
          <w:lang w:val="en-US"/>
        </w:rPr>
        <w:instrText xml:space="preserve"> REF _Ref431644197 \r \h </w:instrText>
      </w:r>
      <w:r w:rsidR="00EA20A5" w:rsidRPr="00A50E4D">
        <w:rPr>
          <w:lang w:val="en-US"/>
        </w:rPr>
        <w:instrText xml:space="preserve"> \* MERGEFORMAT </w:instrText>
      </w:r>
      <w:r w:rsidR="007A5DB4" w:rsidRPr="00914F55">
        <w:rPr>
          <w:lang w:val="en-US"/>
        </w:rPr>
      </w:r>
      <w:r w:rsidR="007A5DB4" w:rsidRPr="00914F55">
        <w:rPr>
          <w:lang w:val="en-US"/>
        </w:rPr>
        <w:fldChar w:fldCharType="separate"/>
      </w:r>
      <w:r w:rsidR="00547588">
        <w:rPr>
          <w:lang w:val="en-US"/>
        </w:rPr>
        <w:t>240</w:t>
      </w:r>
      <w:r w:rsidR="007A5DB4" w:rsidRPr="00914F55">
        <w:rPr>
          <w:lang w:val="en-US"/>
        </w:rPr>
        <w:fldChar w:fldCharType="end"/>
      </w:r>
      <w:r w:rsidR="007A5DB4" w:rsidRPr="00A50E4D">
        <w:rPr>
          <w:lang w:val="en-US"/>
        </w:rPr>
        <w:t xml:space="preserve">). </w:t>
      </w:r>
      <w:r w:rsidR="009808C5" w:rsidRPr="00A50E4D">
        <w:rPr>
          <w:lang w:val="en-US"/>
        </w:rPr>
        <w:t>The Court</w:t>
      </w:r>
      <w:r w:rsidR="007A5DB4" w:rsidRPr="00A50E4D">
        <w:rPr>
          <w:lang w:val="en-US"/>
        </w:rPr>
        <w:t xml:space="preserve"> </w:t>
      </w:r>
      <w:r w:rsidRPr="00A50E4D">
        <w:rPr>
          <w:lang w:val="en-US"/>
        </w:rPr>
        <w:t xml:space="preserve">bears in mind that the guarantee of tenure of judges </w:t>
      </w:r>
      <w:r w:rsidR="006F7559" w:rsidRPr="00A50E4D">
        <w:rPr>
          <w:lang w:val="en-US"/>
        </w:rPr>
        <w:t>shall operate</w:t>
      </w:r>
      <w:r w:rsidRPr="00A50E4D">
        <w:rPr>
          <w:lang w:val="en-US"/>
        </w:rPr>
        <w:t xml:space="preserve"> </w:t>
      </w:r>
      <w:r w:rsidR="006F7559" w:rsidRPr="00A50E4D">
        <w:rPr>
          <w:lang w:val="en-US"/>
        </w:rPr>
        <w:t>so as to allow</w:t>
      </w:r>
      <w:r w:rsidRPr="00A50E4D">
        <w:rPr>
          <w:lang w:val="en-US"/>
        </w:rPr>
        <w:t xml:space="preserve"> the reinstatement </w:t>
      </w:r>
      <w:r w:rsidR="006F7559" w:rsidRPr="00A50E4D">
        <w:rPr>
          <w:lang w:val="en-US"/>
        </w:rPr>
        <w:t xml:space="preserve">to the </w:t>
      </w:r>
      <w:r w:rsidR="0047110C" w:rsidRPr="00A50E4D">
        <w:rPr>
          <w:lang w:val="en-US"/>
        </w:rPr>
        <w:t>status</w:t>
      </w:r>
      <w:r w:rsidR="006F7559" w:rsidRPr="00A50E4D">
        <w:rPr>
          <w:lang w:val="en-US"/>
        </w:rPr>
        <w:t xml:space="preserve"> of</w:t>
      </w:r>
      <w:r w:rsidRPr="00A50E4D">
        <w:rPr>
          <w:lang w:val="en-US"/>
        </w:rPr>
        <w:t xml:space="preserve"> judge or justice </w:t>
      </w:r>
      <w:r w:rsidR="006F7559" w:rsidRPr="00A50E4D">
        <w:rPr>
          <w:lang w:val="en-US"/>
        </w:rPr>
        <w:t>to</w:t>
      </w:r>
      <w:r w:rsidRPr="00A50E4D">
        <w:rPr>
          <w:lang w:val="en-US"/>
        </w:rPr>
        <w:t xml:space="preserve"> who</w:t>
      </w:r>
      <w:r w:rsidR="006F7559" w:rsidRPr="00A50E4D">
        <w:rPr>
          <w:lang w:val="en-US"/>
        </w:rPr>
        <w:t>ever has been</w:t>
      </w:r>
      <w:r w:rsidRPr="00A50E4D">
        <w:rPr>
          <w:lang w:val="en-US"/>
        </w:rPr>
        <w:t xml:space="preserve"> arbitrarily deprived of </w:t>
      </w:r>
      <w:r w:rsidR="006F7559" w:rsidRPr="00A50E4D">
        <w:rPr>
          <w:lang w:val="en-US"/>
        </w:rPr>
        <w:t>it</w:t>
      </w:r>
      <w:r w:rsidRPr="00A50E4D">
        <w:rPr>
          <w:lang w:val="en-US"/>
        </w:rPr>
        <w:t>.</w:t>
      </w:r>
      <w:r w:rsidR="007A5DB4" w:rsidRPr="00A50E4D">
        <w:rPr>
          <w:vertAlign w:val="superscript"/>
          <w:lang w:val="en-US"/>
        </w:rPr>
        <w:footnoteReference w:id="456"/>
      </w:r>
      <w:r w:rsidRPr="00A50E4D">
        <w:rPr>
          <w:lang w:val="en-US"/>
        </w:rPr>
        <w:t xml:space="preserve"> Moreover, in previous cases, the Court has </w:t>
      </w:r>
      <w:r w:rsidR="0047110C" w:rsidRPr="00A50E4D">
        <w:rPr>
          <w:lang w:val="en-US"/>
        </w:rPr>
        <w:t>pointed out</w:t>
      </w:r>
      <w:r w:rsidRPr="00A50E4D">
        <w:rPr>
          <w:lang w:val="en-US"/>
        </w:rPr>
        <w:t xml:space="preserve"> that, following arbitrary dismissal, immediate reinstatement constitutes the least harmful measure to meet both the </w:t>
      </w:r>
      <w:r w:rsidR="0047110C" w:rsidRPr="00A50E4D">
        <w:rPr>
          <w:lang w:val="en-US"/>
        </w:rPr>
        <w:t>objectives</w:t>
      </w:r>
      <w:r w:rsidRPr="00A50E4D">
        <w:rPr>
          <w:lang w:val="en-US"/>
        </w:rPr>
        <w:t xml:space="preserve"> of the judicial </w:t>
      </w:r>
      <w:r w:rsidR="000B62CF" w:rsidRPr="00A50E4D">
        <w:rPr>
          <w:lang w:val="en-US"/>
        </w:rPr>
        <w:t>restructuring</w:t>
      </w:r>
      <w:r w:rsidR="000A786A" w:rsidRPr="00A50E4D">
        <w:rPr>
          <w:lang w:val="en-US"/>
        </w:rPr>
        <w:t xml:space="preserve"> </w:t>
      </w:r>
      <w:r w:rsidRPr="00A50E4D">
        <w:rPr>
          <w:lang w:val="en-US"/>
        </w:rPr>
        <w:t>and also the guarantee of tenure inherent in judicial independence, and indicated that “</w:t>
      </w:r>
      <w:r w:rsidR="006F7559" w:rsidRPr="00A50E4D">
        <w:rPr>
          <w:lang w:val="en-US"/>
        </w:rPr>
        <w:t>[</w:t>
      </w:r>
      <w:r w:rsidRPr="00A50E4D">
        <w:rPr>
          <w:lang w:val="en-US"/>
        </w:rPr>
        <w:t>t</w:t>
      </w:r>
      <w:r w:rsidR="006F7559" w:rsidRPr="00A50E4D">
        <w:rPr>
          <w:lang w:val="en-US"/>
        </w:rPr>
        <w:t>]</w:t>
      </w:r>
      <w:r w:rsidRPr="00A50E4D">
        <w:rPr>
          <w:lang w:val="en-US"/>
        </w:rPr>
        <w:t>his is so because, to the contrary, States c</w:t>
      </w:r>
      <w:r w:rsidR="006F7559" w:rsidRPr="00A50E4D">
        <w:rPr>
          <w:lang w:val="en-US"/>
        </w:rPr>
        <w:t>ould remove judges and therefore</w:t>
      </w:r>
      <w:r w:rsidRPr="00A50E4D">
        <w:rPr>
          <w:lang w:val="en-US"/>
        </w:rPr>
        <w:t xml:space="preserve"> intervene in the Judiciary without </w:t>
      </w:r>
      <w:r w:rsidR="006F7559" w:rsidRPr="00A50E4D">
        <w:rPr>
          <w:lang w:val="en-US"/>
        </w:rPr>
        <w:t>any great cost or control.</w:t>
      </w:r>
      <w:r w:rsidR="007A5DB4" w:rsidRPr="00A50E4D">
        <w:rPr>
          <w:lang w:val="en-US"/>
        </w:rPr>
        <w:t>”</w:t>
      </w:r>
      <w:r w:rsidR="007A5DB4" w:rsidRPr="00A50E4D">
        <w:rPr>
          <w:vertAlign w:val="superscript"/>
          <w:lang w:val="en-US"/>
        </w:rPr>
        <w:footnoteReference w:id="457"/>
      </w:r>
      <w:r w:rsidR="006F7559" w:rsidRPr="00A50E4D">
        <w:rPr>
          <w:lang w:val="en-US"/>
        </w:rPr>
        <w:t xml:space="preserve"> In addition, </w:t>
      </w:r>
      <w:r w:rsidR="007A5DB4" w:rsidRPr="00A50E4D">
        <w:rPr>
          <w:lang w:val="en-US"/>
        </w:rPr>
        <w:t>“</w:t>
      </w:r>
      <w:r w:rsidR="006F7559" w:rsidRPr="00A50E4D">
        <w:rPr>
          <w:lang w:val="en-US"/>
        </w:rPr>
        <w:t xml:space="preserve">this could </w:t>
      </w:r>
      <w:r w:rsidR="000A786A" w:rsidRPr="00A50E4D">
        <w:rPr>
          <w:lang w:val="en-US"/>
        </w:rPr>
        <w:t>generate</w:t>
      </w:r>
      <w:r w:rsidR="006F7559" w:rsidRPr="00A50E4D">
        <w:rPr>
          <w:lang w:val="en-US"/>
        </w:rPr>
        <w:t xml:space="preserve"> fear in the other judges, who observe that their colleagues are dismissed and then not reinstated</w:t>
      </w:r>
      <w:r w:rsidR="0047110C" w:rsidRPr="00A50E4D">
        <w:rPr>
          <w:lang w:val="en-US"/>
        </w:rPr>
        <w:t>,</w:t>
      </w:r>
      <w:r w:rsidR="006F7559" w:rsidRPr="00A50E4D">
        <w:rPr>
          <w:lang w:val="en-US"/>
        </w:rPr>
        <w:t xml:space="preserve"> even when the dismissal has been arbitrary. This fear could also affect </w:t>
      </w:r>
      <w:r w:rsidR="00884A7E" w:rsidRPr="00A50E4D">
        <w:rPr>
          <w:lang w:val="en-US"/>
        </w:rPr>
        <w:t>judicial independence</w:t>
      </w:r>
      <w:r w:rsidR="007A5DB4" w:rsidRPr="00A50E4D">
        <w:rPr>
          <w:lang w:val="en-US"/>
        </w:rPr>
        <w:t xml:space="preserve">, </w:t>
      </w:r>
      <w:r w:rsidR="006F7559" w:rsidRPr="00A50E4D">
        <w:rPr>
          <w:lang w:val="en-US"/>
        </w:rPr>
        <w:t>because it would encourage judges to follow instructions or to abstain from contesting both the nominating and the sanctioning entity.</w:t>
      </w:r>
      <w:r w:rsidR="007A5DB4" w:rsidRPr="00A50E4D">
        <w:rPr>
          <w:lang w:val="en-US"/>
        </w:rPr>
        <w:t>”</w:t>
      </w:r>
      <w:r w:rsidR="007A5DB4" w:rsidRPr="00A50E4D">
        <w:rPr>
          <w:vertAlign w:val="superscript"/>
          <w:lang w:val="en-US"/>
        </w:rPr>
        <w:footnoteReference w:id="458"/>
      </w:r>
      <w:bookmarkEnd w:id="449"/>
      <w:r w:rsidR="007A5DB4" w:rsidRPr="00A50E4D">
        <w:rPr>
          <w:lang w:val="en-US"/>
        </w:rPr>
        <w:t xml:space="preserve">  </w:t>
      </w:r>
    </w:p>
    <w:p w14:paraId="1474F1E8" w14:textId="77777777" w:rsidR="007A5DB4" w:rsidRPr="00A50E4D" w:rsidRDefault="007A5DB4" w:rsidP="007A5DB4">
      <w:pPr>
        <w:pStyle w:val="PrrafodeSentencia"/>
        <w:numPr>
          <w:ilvl w:val="0"/>
          <w:numId w:val="0"/>
        </w:numPr>
        <w:rPr>
          <w:lang w:val="en-US"/>
        </w:rPr>
      </w:pPr>
    </w:p>
    <w:p w14:paraId="6571086D" w14:textId="4EEF4F60" w:rsidR="007A5DB4" w:rsidRPr="00A50E4D" w:rsidRDefault="00A45503" w:rsidP="006F7559">
      <w:pPr>
        <w:pStyle w:val="PrrafodeSentencia"/>
        <w:rPr>
          <w:lang w:val="en-US"/>
        </w:rPr>
      </w:pPr>
      <w:bookmarkStart w:id="450" w:name="_Ref431215176"/>
      <w:r w:rsidRPr="00A50E4D">
        <w:rPr>
          <w:lang w:val="en-US"/>
        </w:rPr>
        <w:t>Consequently</w:t>
      </w:r>
      <w:r w:rsidR="007A5DB4" w:rsidRPr="00A50E4D">
        <w:rPr>
          <w:lang w:val="en-US"/>
        </w:rPr>
        <w:t xml:space="preserve">, </w:t>
      </w:r>
      <w:r w:rsidR="009808C5" w:rsidRPr="00A50E4D">
        <w:rPr>
          <w:lang w:val="en-US"/>
        </w:rPr>
        <w:t>the Court</w:t>
      </w:r>
      <w:r w:rsidR="007A5DB4" w:rsidRPr="00A50E4D">
        <w:rPr>
          <w:lang w:val="en-US"/>
        </w:rPr>
        <w:t xml:space="preserve"> </w:t>
      </w:r>
      <w:r w:rsidR="000A786A" w:rsidRPr="00A50E4D">
        <w:rPr>
          <w:lang w:val="en-US"/>
        </w:rPr>
        <w:t>finds</w:t>
      </w:r>
      <w:r w:rsidR="006F7559" w:rsidRPr="00A50E4D">
        <w:rPr>
          <w:lang w:val="en-US"/>
        </w:rPr>
        <w:t xml:space="preserve"> that the State must reinstate </w:t>
      </w:r>
      <w:r w:rsidR="007A5DB4" w:rsidRPr="00A50E4D">
        <w:rPr>
          <w:lang w:val="en-US"/>
        </w:rPr>
        <w:t xml:space="preserve">Adán Guillermo López Lone, </w:t>
      </w:r>
      <w:r w:rsidR="008217D7" w:rsidRPr="00A50E4D">
        <w:rPr>
          <w:lang w:val="en-US"/>
        </w:rPr>
        <w:t>Tirza del Carmen</w:t>
      </w:r>
      <w:r w:rsidR="007A5DB4" w:rsidRPr="00A50E4D">
        <w:rPr>
          <w:lang w:val="en-US"/>
        </w:rPr>
        <w:t xml:space="preserve"> Flores Lanza</w:t>
      </w:r>
      <w:r w:rsidR="009808C5" w:rsidRPr="00A50E4D">
        <w:rPr>
          <w:lang w:val="en-US"/>
        </w:rPr>
        <w:t xml:space="preserve"> and </w:t>
      </w:r>
      <w:r w:rsidR="007A5DB4" w:rsidRPr="00A50E4D">
        <w:rPr>
          <w:lang w:val="en-US"/>
        </w:rPr>
        <w:t xml:space="preserve">Luis </w:t>
      </w:r>
      <w:r w:rsidR="009A7056" w:rsidRPr="00A50E4D">
        <w:rPr>
          <w:lang w:val="en-US"/>
        </w:rPr>
        <w:t>Chévez de la Rocha</w:t>
      </w:r>
      <w:r w:rsidR="007A5DB4" w:rsidRPr="00A50E4D">
        <w:rPr>
          <w:lang w:val="en-US"/>
        </w:rPr>
        <w:t xml:space="preserve"> </w:t>
      </w:r>
      <w:r w:rsidR="0047110C" w:rsidRPr="00A50E4D">
        <w:rPr>
          <w:lang w:val="en-US"/>
        </w:rPr>
        <w:t>in</w:t>
      </w:r>
      <w:r w:rsidR="006F7559" w:rsidRPr="00A50E4D">
        <w:rPr>
          <w:lang w:val="en-US"/>
        </w:rPr>
        <w:t xml:space="preserve"> posts similar to those they held at the time of the facts, with the same remuneration and social benefits and a similar</w:t>
      </w:r>
      <w:r w:rsidR="007A5DB4" w:rsidRPr="00A50E4D">
        <w:rPr>
          <w:lang w:val="en-US"/>
        </w:rPr>
        <w:t xml:space="preserve"> </w:t>
      </w:r>
      <w:r w:rsidR="0047110C" w:rsidRPr="00A50E4D">
        <w:rPr>
          <w:lang w:val="en-US"/>
        </w:rPr>
        <w:t>rank to th</w:t>
      </w:r>
      <w:r w:rsidR="006F7559" w:rsidRPr="00A50E4D">
        <w:rPr>
          <w:lang w:val="en-US"/>
        </w:rPr>
        <w:t>e</w:t>
      </w:r>
      <w:r w:rsidR="0047110C" w:rsidRPr="00A50E4D">
        <w:rPr>
          <w:lang w:val="en-US"/>
        </w:rPr>
        <w:t xml:space="preserve"> one</w:t>
      </w:r>
      <w:r w:rsidR="006F7559" w:rsidRPr="00A50E4D">
        <w:rPr>
          <w:lang w:val="en-US"/>
        </w:rPr>
        <w:t xml:space="preserve"> they wou</w:t>
      </w:r>
      <w:r w:rsidR="0047110C" w:rsidRPr="00A50E4D">
        <w:rPr>
          <w:lang w:val="en-US"/>
        </w:rPr>
        <w:t>ld have had at the present time</w:t>
      </w:r>
      <w:r w:rsidR="006F7559" w:rsidRPr="00A50E4D">
        <w:rPr>
          <w:lang w:val="en-US"/>
        </w:rPr>
        <w:t xml:space="preserve"> if they had been reinstated </w:t>
      </w:r>
      <w:r w:rsidR="0047110C" w:rsidRPr="00A50E4D">
        <w:rPr>
          <w:lang w:val="en-US"/>
        </w:rPr>
        <w:t>promptly</w:t>
      </w:r>
      <w:r w:rsidR="006F7559" w:rsidRPr="00A50E4D">
        <w:rPr>
          <w:lang w:val="en-US"/>
        </w:rPr>
        <w:t xml:space="preserve">. </w:t>
      </w:r>
      <w:r w:rsidR="0047110C" w:rsidRPr="00A50E4D">
        <w:rPr>
          <w:lang w:val="en-US"/>
        </w:rPr>
        <w:t>The</w:t>
      </w:r>
      <w:r w:rsidR="006F7559" w:rsidRPr="00A50E4D">
        <w:rPr>
          <w:lang w:val="en-US"/>
        </w:rPr>
        <w:t xml:space="preserve"> State</w:t>
      </w:r>
      <w:r w:rsidR="0047110C" w:rsidRPr="00A50E4D">
        <w:rPr>
          <w:lang w:val="en-US"/>
        </w:rPr>
        <w:t xml:space="preserve"> must implement this measure within one year of</w:t>
      </w:r>
      <w:r w:rsidR="006F7559" w:rsidRPr="00A50E4D">
        <w:rPr>
          <w:lang w:val="en-US"/>
        </w:rPr>
        <w:t xml:space="preserve"> notification </w:t>
      </w:r>
      <w:r w:rsidR="00665BDA" w:rsidRPr="00A50E4D">
        <w:rPr>
          <w:lang w:val="en-US"/>
        </w:rPr>
        <w:t>of this judgment</w:t>
      </w:r>
      <w:r w:rsidR="007A5DB4" w:rsidRPr="00A50E4D">
        <w:rPr>
          <w:lang w:val="en-US"/>
        </w:rPr>
        <w:t>.</w:t>
      </w:r>
      <w:bookmarkEnd w:id="450"/>
      <w:r w:rsidR="007A5DB4" w:rsidRPr="00A50E4D">
        <w:rPr>
          <w:lang w:val="en-US"/>
        </w:rPr>
        <w:t xml:space="preserve"> </w:t>
      </w:r>
      <w:r w:rsidR="000A786A" w:rsidRPr="00A50E4D">
        <w:rPr>
          <w:lang w:val="en-US"/>
        </w:rPr>
        <w:t>When</w:t>
      </w:r>
      <w:r w:rsidR="006F7559" w:rsidRPr="00A50E4D">
        <w:rPr>
          <w:lang w:val="en-US"/>
        </w:rPr>
        <w:t xml:space="preserve"> reinstating the </w:t>
      </w:r>
      <w:r w:rsidR="004B0477" w:rsidRPr="00A50E4D">
        <w:rPr>
          <w:lang w:val="en-US"/>
        </w:rPr>
        <w:t>victims</w:t>
      </w:r>
      <w:r w:rsidR="007A5DB4" w:rsidRPr="00A50E4D">
        <w:rPr>
          <w:lang w:val="en-US"/>
        </w:rPr>
        <w:t xml:space="preserve">, </w:t>
      </w:r>
      <w:r w:rsidR="009808C5" w:rsidRPr="00A50E4D">
        <w:rPr>
          <w:lang w:val="en-US"/>
        </w:rPr>
        <w:t>the State</w:t>
      </w:r>
      <w:r w:rsidR="007A5DB4" w:rsidRPr="00A50E4D">
        <w:rPr>
          <w:lang w:val="en-US"/>
        </w:rPr>
        <w:t xml:space="preserve"> </w:t>
      </w:r>
      <w:r w:rsidR="006F7559" w:rsidRPr="00A50E4D">
        <w:rPr>
          <w:lang w:val="en-US"/>
        </w:rPr>
        <w:t xml:space="preserve">must </w:t>
      </w:r>
      <w:r w:rsidR="000A786A" w:rsidRPr="00A50E4D">
        <w:rPr>
          <w:lang w:val="en-US"/>
        </w:rPr>
        <w:t>assume</w:t>
      </w:r>
      <w:r w:rsidR="006F7559" w:rsidRPr="00A50E4D">
        <w:rPr>
          <w:lang w:val="en-US"/>
        </w:rPr>
        <w:t xml:space="preserve"> the amounts corresponding to the victims’ contributions to social benefits during the time they were </w:t>
      </w:r>
      <w:r w:rsidR="0047110C" w:rsidRPr="00A50E4D">
        <w:rPr>
          <w:lang w:val="en-US"/>
        </w:rPr>
        <w:t>excluded</w:t>
      </w:r>
      <w:r w:rsidR="006F7559" w:rsidRPr="00A50E4D">
        <w:rPr>
          <w:lang w:val="en-US"/>
        </w:rPr>
        <w:t xml:space="preserve"> from </w:t>
      </w:r>
      <w:r w:rsidR="00700DEC" w:rsidRPr="00A50E4D">
        <w:rPr>
          <w:lang w:val="en-US"/>
        </w:rPr>
        <w:t>the Judiciary</w:t>
      </w:r>
      <w:r w:rsidR="007A5DB4" w:rsidRPr="00A50E4D">
        <w:rPr>
          <w:lang w:val="en-US"/>
        </w:rPr>
        <w:t>.</w:t>
      </w:r>
    </w:p>
    <w:p w14:paraId="3C5D31D0" w14:textId="77777777" w:rsidR="007A5DB4" w:rsidRPr="00A50E4D" w:rsidRDefault="007A5DB4" w:rsidP="007A5DB4">
      <w:pPr>
        <w:pStyle w:val="PrrafodeSentencia"/>
        <w:numPr>
          <w:ilvl w:val="0"/>
          <w:numId w:val="0"/>
        </w:numPr>
        <w:rPr>
          <w:lang w:val="en-US"/>
        </w:rPr>
      </w:pPr>
    </w:p>
    <w:p w14:paraId="5E4CC7D6" w14:textId="395897DD" w:rsidR="007A5DB4" w:rsidRPr="00A50E4D" w:rsidRDefault="0047110C" w:rsidP="007A5DB4">
      <w:pPr>
        <w:pStyle w:val="PrrafodeSentencia"/>
        <w:rPr>
          <w:lang w:val="en-US"/>
        </w:rPr>
      </w:pPr>
      <w:bookmarkStart w:id="451" w:name="_Ref431215183"/>
      <w:r w:rsidRPr="00A50E4D">
        <w:rPr>
          <w:lang w:val="en-US"/>
        </w:rPr>
        <w:t>However</w:t>
      </w:r>
      <w:r w:rsidR="00180840" w:rsidRPr="00A50E4D">
        <w:rPr>
          <w:lang w:val="en-US"/>
        </w:rPr>
        <w:t xml:space="preserve">, if for reasons beyond the control of the victims, the State justifies the impossibility of reinstating </w:t>
      </w:r>
      <w:r w:rsidR="007A5DB4" w:rsidRPr="00A50E4D">
        <w:rPr>
          <w:lang w:val="en-US"/>
        </w:rPr>
        <w:t xml:space="preserve">Adán Guillermo López Lone, </w:t>
      </w:r>
      <w:r w:rsidR="008217D7" w:rsidRPr="00A50E4D">
        <w:rPr>
          <w:lang w:val="en-US"/>
        </w:rPr>
        <w:t>Tirza del Carmen</w:t>
      </w:r>
      <w:r w:rsidR="007A5DB4" w:rsidRPr="00A50E4D">
        <w:rPr>
          <w:lang w:val="en-US"/>
        </w:rPr>
        <w:t xml:space="preserve"> Flores Lanza</w:t>
      </w:r>
      <w:r w:rsidR="009808C5" w:rsidRPr="00A50E4D">
        <w:rPr>
          <w:lang w:val="en-US"/>
        </w:rPr>
        <w:t xml:space="preserve"> and </w:t>
      </w:r>
      <w:r w:rsidR="007A5DB4" w:rsidRPr="00A50E4D">
        <w:rPr>
          <w:lang w:val="en-US"/>
        </w:rPr>
        <w:t xml:space="preserve">Luis </w:t>
      </w:r>
      <w:r w:rsidR="009A7056" w:rsidRPr="00A50E4D">
        <w:rPr>
          <w:lang w:val="en-US"/>
        </w:rPr>
        <w:t>Chévez de la Rocha</w:t>
      </w:r>
      <w:r w:rsidR="007A5DB4" w:rsidRPr="00A50E4D">
        <w:rPr>
          <w:lang w:val="en-US"/>
        </w:rPr>
        <w:t xml:space="preserve"> </w:t>
      </w:r>
      <w:r w:rsidRPr="00A50E4D">
        <w:rPr>
          <w:lang w:val="en-US"/>
        </w:rPr>
        <w:t>in</w:t>
      </w:r>
      <w:r w:rsidR="00180840" w:rsidRPr="00A50E4D">
        <w:rPr>
          <w:lang w:val="en-US"/>
        </w:rPr>
        <w:t xml:space="preserve"> the Judiciary, the State shall instead p</w:t>
      </w:r>
      <w:r w:rsidRPr="00A50E4D">
        <w:rPr>
          <w:lang w:val="en-US"/>
        </w:rPr>
        <w:t>ay them compensation, which the</w:t>
      </w:r>
      <w:r w:rsidR="00180840" w:rsidRPr="00A50E4D">
        <w:rPr>
          <w:lang w:val="en-US"/>
        </w:rPr>
        <w:t xml:space="preserve"> </w:t>
      </w:r>
      <w:r w:rsidRPr="00A50E4D">
        <w:rPr>
          <w:lang w:val="en-US"/>
        </w:rPr>
        <w:t>Court establishes, in fairness, as</w:t>
      </w:r>
      <w:r w:rsidR="00180840" w:rsidRPr="00A50E4D">
        <w:rPr>
          <w:lang w:val="en-US"/>
        </w:rPr>
        <w:t xml:space="preserve"> US$150,000.</w:t>
      </w:r>
      <w:r w:rsidR="007A5DB4" w:rsidRPr="00A50E4D">
        <w:rPr>
          <w:lang w:val="en-US"/>
        </w:rPr>
        <w:t>00 (</w:t>
      </w:r>
      <w:r w:rsidR="00180840" w:rsidRPr="00A50E4D">
        <w:rPr>
          <w:lang w:val="en-US"/>
        </w:rPr>
        <w:t>one hundred and fifty thousand</w:t>
      </w:r>
      <w:r w:rsidR="007A5DB4" w:rsidRPr="00A50E4D">
        <w:rPr>
          <w:lang w:val="en-US"/>
        </w:rPr>
        <w:t xml:space="preserve"> </w:t>
      </w:r>
      <w:r w:rsidR="00A45503" w:rsidRPr="00A50E4D">
        <w:rPr>
          <w:lang w:val="en-US"/>
        </w:rPr>
        <w:t>United States dollars</w:t>
      </w:r>
      <w:r w:rsidR="007A5DB4" w:rsidRPr="00A50E4D">
        <w:rPr>
          <w:lang w:val="en-US"/>
        </w:rPr>
        <w:t>) o</w:t>
      </w:r>
      <w:r w:rsidR="00180840" w:rsidRPr="00A50E4D">
        <w:rPr>
          <w:lang w:val="en-US"/>
        </w:rPr>
        <w:t>r the equivalent in local currency each, within six months, or when</w:t>
      </w:r>
      <w:r w:rsidRPr="00A50E4D">
        <w:rPr>
          <w:lang w:val="en-US"/>
        </w:rPr>
        <w:t xml:space="preserve"> the</w:t>
      </w:r>
      <w:r w:rsidR="00180840" w:rsidRPr="00A50E4D">
        <w:rPr>
          <w:lang w:val="en-US"/>
        </w:rPr>
        <w:t xml:space="preserve"> </w:t>
      </w:r>
      <w:r w:rsidRPr="00A50E4D">
        <w:rPr>
          <w:lang w:val="en-US"/>
        </w:rPr>
        <w:t>one-</w:t>
      </w:r>
      <w:r w:rsidR="00180840" w:rsidRPr="00A50E4D">
        <w:rPr>
          <w:lang w:val="en-US"/>
        </w:rPr>
        <w:t xml:space="preserve">year </w:t>
      </w:r>
      <w:r w:rsidRPr="00A50E4D">
        <w:rPr>
          <w:lang w:val="en-US"/>
        </w:rPr>
        <w:t xml:space="preserve">period granted in the preceding paragraph </w:t>
      </w:r>
      <w:r w:rsidR="00180840" w:rsidRPr="00A50E4D">
        <w:rPr>
          <w:lang w:val="en-US"/>
        </w:rPr>
        <w:t>for their reinstatement expires</w:t>
      </w:r>
      <w:r w:rsidR="007A5DB4" w:rsidRPr="00A50E4D">
        <w:rPr>
          <w:lang w:val="en-US"/>
        </w:rPr>
        <w:t>.</w:t>
      </w:r>
      <w:bookmarkEnd w:id="451"/>
    </w:p>
    <w:p w14:paraId="429B3D53" w14:textId="77777777" w:rsidR="007A5DB4" w:rsidRPr="00A50E4D" w:rsidRDefault="007A5DB4" w:rsidP="007A5DB4">
      <w:pPr>
        <w:pStyle w:val="PrrafodeSentencia"/>
        <w:numPr>
          <w:ilvl w:val="0"/>
          <w:numId w:val="0"/>
        </w:numPr>
        <w:rPr>
          <w:lang w:val="en-US"/>
        </w:rPr>
      </w:pPr>
    </w:p>
    <w:p w14:paraId="588C7829" w14:textId="33401CC8" w:rsidR="007A5DB4" w:rsidRPr="00A50E4D" w:rsidRDefault="007A5DB4" w:rsidP="007A5DB4">
      <w:pPr>
        <w:pStyle w:val="PrrafodeSentencia"/>
        <w:rPr>
          <w:lang w:val="en-US"/>
        </w:rPr>
      </w:pPr>
      <w:r w:rsidRPr="00A50E4D">
        <w:rPr>
          <w:lang w:val="en-US"/>
        </w:rPr>
        <w:t>Re</w:t>
      </w:r>
      <w:r w:rsidR="00180840" w:rsidRPr="00A50E4D">
        <w:rPr>
          <w:lang w:val="en-US"/>
        </w:rPr>
        <w:t xml:space="preserve">garding the request to reinstate </w:t>
      </w:r>
      <w:r w:rsidR="00DA4F82" w:rsidRPr="00A50E4D">
        <w:rPr>
          <w:lang w:val="en-US"/>
        </w:rPr>
        <w:t>Mr.</w:t>
      </w:r>
      <w:r w:rsidRPr="00A50E4D">
        <w:rPr>
          <w:lang w:val="en-US"/>
        </w:rPr>
        <w:t xml:space="preserve"> Barrios Maldonado, </w:t>
      </w:r>
      <w:r w:rsidR="009808C5" w:rsidRPr="00A50E4D">
        <w:rPr>
          <w:lang w:val="en-US"/>
        </w:rPr>
        <w:t>the Court</w:t>
      </w:r>
      <w:r w:rsidR="00180840" w:rsidRPr="00A50E4D">
        <w:rPr>
          <w:lang w:val="en-US"/>
        </w:rPr>
        <w:t xml:space="preserve"> notes </w:t>
      </w:r>
      <w:r w:rsidR="000A786A" w:rsidRPr="00A50E4D">
        <w:rPr>
          <w:lang w:val="en-US"/>
        </w:rPr>
        <w:t>that</w:t>
      </w:r>
      <w:r w:rsidR="00180840" w:rsidRPr="00A50E4D">
        <w:rPr>
          <w:lang w:val="en-US"/>
        </w:rPr>
        <w:t xml:space="preserve"> he was never removed from his post as a result of</w:t>
      </w:r>
      <w:r w:rsidR="00FF35A9" w:rsidRPr="00A50E4D">
        <w:rPr>
          <w:lang w:val="en-US"/>
        </w:rPr>
        <w:t xml:space="preserve"> the disciplinary proceeding</w:t>
      </w:r>
      <w:r w:rsidR="00180840" w:rsidRPr="00A50E4D">
        <w:rPr>
          <w:lang w:val="en-US"/>
        </w:rPr>
        <w:t>s that are the purpose</w:t>
      </w:r>
      <w:r w:rsidRPr="00A50E4D">
        <w:rPr>
          <w:lang w:val="en-US"/>
        </w:rPr>
        <w:t xml:space="preserve"> </w:t>
      </w:r>
      <w:r w:rsidR="00FF35A9" w:rsidRPr="00A50E4D">
        <w:rPr>
          <w:lang w:val="en-US"/>
        </w:rPr>
        <w:t xml:space="preserve">of </w:t>
      </w:r>
      <w:r w:rsidR="0009368F" w:rsidRPr="00A50E4D">
        <w:rPr>
          <w:lang w:val="en-US"/>
        </w:rPr>
        <w:t>this case</w:t>
      </w:r>
      <w:r w:rsidRPr="00A50E4D">
        <w:rPr>
          <w:lang w:val="en-US"/>
        </w:rPr>
        <w:t xml:space="preserve"> (</w:t>
      </w:r>
      <w:r w:rsidRPr="00A50E4D">
        <w:rPr>
          <w:i/>
          <w:lang w:val="en-US"/>
        </w:rPr>
        <w:t xml:space="preserve">supra </w:t>
      </w:r>
      <w:r w:rsidR="00AD5EE7" w:rsidRPr="00A50E4D">
        <w:rPr>
          <w:lang w:val="en-US"/>
        </w:rPr>
        <w:t>para.</w:t>
      </w:r>
      <w:r w:rsidRPr="00A50E4D">
        <w:rPr>
          <w:lang w:val="en-US"/>
        </w:rPr>
        <w:t xml:space="preserve"> </w:t>
      </w:r>
      <w:r w:rsidRPr="00914F55">
        <w:rPr>
          <w:lang w:val="en-US"/>
        </w:rPr>
        <w:fldChar w:fldCharType="begin"/>
      </w:r>
      <w:r w:rsidRPr="00A50E4D">
        <w:rPr>
          <w:lang w:val="en-US"/>
        </w:rPr>
        <w:instrText xml:space="preserve"> REF _Ref431400542 \r \h </w:instrText>
      </w:r>
      <w:r w:rsidR="00EA20A5" w:rsidRPr="00A50E4D">
        <w:rPr>
          <w:lang w:val="en-US"/>
        </w:rPr>
        <w:instrText xml:space="preserve"> \* MERGEFORMAT </w:instrText>
      </w:r>
      <w:r w:rsidRPr="00914F55">
        <w:rPr>
          <w:lang w:val="en-US"/>
        </w:rPr>
      </w:r>
      <w:r w:rsidRPr="00914F55">
        <w:rPr>
          <w:lang w:val="en-US"/>
        </w:rPr>
        <w:fldChar w:fldCharType="separate"/>
      </w:r>
      <w:r w:rsidR="00547588">
        <w:rPr>
          <w:lang w:val="en-US"/>
        </w:rPr>
        <w:t>147</w:t>
      </w:r>
      <w:r w:rsidRPr="00914F55">
        <w:rPr>
          <w:lang w:val="en-US"/>
        </w:rPr>
        <w:fldChar w:fldCharType="end"/>
      </w:r>
      <w:r w:rsidRPr="00A50E4D">
        <w:rPr>
          <w:lang w:val="en-US"/>
        </w:rPr>
        <w:t xml:space="preserve">). </w:t>
      </w:r>
      <w:r w:rsidR="00180840" w:rsidRPr="00A50E4D">
        <w:rPr>
          <w:lang w:val="en-US"/>
        </w:rPr>
        <w:t>Consequently, the Court does not find it in order to require his reinstatement.</w:t>
      </w:r>
    </w:p>
    <w:p w14:paraId="1FEAA306" w14:textId="77777777" w:rsidR="007A5DB4" w:rsidRPr="00A50E4D" w:rsidRDefault="007A5DB4" w:rsidP="007A5DB4">
      <w:pPr>
        <w:pStyle w:val="PrrafodeSentencia"/>
        <w:numPr>
          <w:ilvl w:val="0"/>
          <w:numId w:val="0"/>
        </w:numPr>
        <w:rPr>
          <w:lang w:val="en-US"/>
        </w:rPr>
      </w:pPr>
    </w:p>
    <w:p w14:paraId="077CE6C3" w14:textId="5F0A7658" w:rsidR="007A5DB4" w:rsidRPr="00A50E4D" w:rsidRDefault="007A5DB4" w:rsidP="007A5DB4">
      <w:pPr>
        <w:pStyle w:val="Heading3"/>
        <w:rPr>
          <w:spacing w:val="-4"/>
          <w:lang w:val="en-US"/>
        </w:rPr>
      </w:pPr>
      <w:bookmarkStart w:id="452" w:name="_Toc418074117"/>
      <w:bookmarkStart w:id="453" w:name="_Toc418503922"/>
      <w:bookmarkStart w:id="454" w:name="_Toc418912653"/>
      <w:bookmarkStart w:id="455" w:name="_Toc418912876"/>
      <w:bookmarkStart w:id="456" w:name="_Toc419394456"/>
      <w:bookmarkStart w:id="457" w:name="_Toc423361055"/>
      <w:bookmarkStart w:id="458" w:name="_Toc431584676"/>
      <w:bookmarkStart w:id="459" w:name="_Toc471717310"/>
      <w:r w:rsidRPr="00A50E4D">
        <w:rPr>
          <w:spacing w:val="-4"/>
          <w:lang w:val="en-US"/>
        </w:rPr>
        <w:t xml:space="preserve">C.2) </w:t>
      </w:r>
      <w:bookmarkStart w:id="460" w:name="_Toc418074118"/>
      <w:bookmarkStart w:id="461" w:name="_Toc418503923"/>
      <w:bookmarkEnd w:id="452"/>
      <w:bookmarkEnd w:id="453"/>
      <w:r w:rsidRPr="00A50E4D">
        <w:rPr>
          <w:spacing w:val="-4"/>
          <w:lang w:val="en-US"/>
        </w:rPr>
        <w:t xml:space="preserve"> </w:t>
      </w:r>
      <w:r w:rsidR="00A45503" w:rsidRPr="00A50E4D">
        <w:rPr>
          <w:spacing w:val="-4"/>
          <w:lang w:val="en-US"/>
        </w:rPr>
        <w:t>Satisfaction</w:t>
      </w:r>
      <w:bookmarkEnd w:id="454"/>
      <w:bookmarkEnd w:id="455"/>
      <w:bookmarkEnd w:id="456"/>
      <w:bookmarkEnd w:id="457"/>
      <w:bookmarkEnd w:id="460"/>
      <w:bookmarkEnd w:id="461"/>
      <w:r w:rsidRPr="00A50E4D">
        <w:rPr>
          <w:spacing w:val="-4"/>
          <w:lang w:val="en-US"/>
        </w:rPr>
        <w:t xml:space="preserve">: </w:t>
      </w:r>
      <w:r w:rsidR="00A45503" w:rsidRPr="00A50E4D">
        <w:rPr>
          <w:spacing w:val="-4"/>
          <w:lang w:val="en-US"/>
        </w:rPr>
        <w:t>publication and dissemination of the judgment</w:t>
      </w:r>
      <w:bookmarkEnd w:id="458"/>
      <w:bookmarkEnd w:id="459"/>
    </w:p>
    <w:p w14:paraId="5DAD888D" w14:textId="77777777" w:rsidR="007A5DB4" w:rsidRPr="00A50E4D" w:rsidRDefault="007A5DB4" w:rsidP="007A5DB4">
      <w:pPr>
        <w:pStyle w:val="PrrafodeSentencia"/>
        <w:numPr>
          <w:ilvl w:val="0"/>
          <w:numId w:val="0"/>
        </w:numPr>
        <w:rPr>
          <w:lang w:val="en-US"/>
        </w:rPr>
      </w:pPr>
    </w:p>
    <w:p w14:paraId="655C6E86" w14:textId="79182712" w:rsidR="007A5DB4" w:rsidRPr="00A50E4D" w:rsidRDefault="00AD5EE7" w:rsidP="007A5DB4">
      <w:pPr>
        <w:pStyle w:val="PrrafodeSentencia"/>
        <w:rPr>
          <w:iCs/>
          <w:lang w:val="en-US"/>
        </w:rPr>
      </w:pPr>
      <w:r w:rsidRPr="00A50E4D">
        <w:rPr>
          <w:iCs/>
          <w:lang w:val="en-US"/>
        </w:rPr>
        <w:t>The representatives</w:t>
      </w:r>
      <w:r w:rsidR="007A5DB4" w:rsidRPr="00A50E4D">
        <w:rPr>
          <w:lang w:val="en-US"/>
        </w:rPr>
        <w:t xml:space="preserve"> </w:t>
      </w:r>
      <w:r w:rsidR="00180840" w:rsidRPr="00A50E4D">
        <w:rPr>
          <w:lang w:val="en-US"/>
        </w:rPr>
        <w:t>asked</w:t>
      </w:r>
      <w:r w:rsidR="007A5DB4" w:rsidRPr="00A50E4D">
        <w:rPr>
          <w:lang w:val="en-US"/>
        </w:rPr>
        <w:t xml:space="preserve"> </w:t>
      </w:r>
      <w:r w:rsidR="009808C5" w:rsidRPr="00A50E4D">
        <w:rPr>
          <w:lang w:val="en-US"/>
        </w:rPr>
        <w:t>the Court</w:t>
      </w:r>
      <w:r w:rsidR="007A5DB4" w:rsidRPr="00A50E4D">
        <w:rPr>
          <w:lang w:val="en-US"/>
        </w:rPr>
        <w:t xml:space="preserve"> </w:t>
      </w:r>
      <w:r w:rsidR="00180840" w:rsidRPr="00A50E4D">
        <w:rPr>
          <w:lang w:val="en-US"/>
        </w:rPr>
        <w:t>to order the State to publish, within six months, at least “the sections on the</w:t>
      </w:r>
      <w:r w:rsidR="007A5DB4" w:rsidRPr="00A50E4D">
        <w:rPr>
          <w:lang w:val="en-US"/>
        </w:rPr>
        <w:t xml:space="preserve"> </w:t>
      </w:r>
      <w:r w:rsidR="00700DEC" w:rsidRPr="00A50E4D">
        <w:rPr>
          <w:lang w:val="en-US"/>
        </w:rPr>
        <w:t>context</w:t>
      </w:r>
      <w:r w:rsidR="009808C5" w:rsidRPr="00A50E4D">
        <w:rPr>
          <w:lang w:val="en-US"/>
        </w:rPr>
        <w:t xml:space="preserve"> and </w:t>
      </w:r>
      <w:r w:rsidR="00180840" w:rsidRPr="00A50E4D">
        <w:rPr>
          <w:lang w:val="en-US"/>
        </w:rPr>
        <w:t>proven facts</w:t>
      </w:r>
      <w:r w:rsidR="007A5DB4" w:rsidRPr="00A50E4D">
        <w:rPr>
          <w:lang w:val="en-US"/>
        </w:rPr>
        <w:t>, as</w:t>
      </w:r>
      <w:r w:rsidR="00180840" w:rsidRPr="00A50E4D">
        <w:rPr>
          <w:lang w:val="en-US"/>
        </w:rPr>
        <w:t xml:space="preserve"> well as the operative par</w:t>
      </w:r>
      <w:r w:rsidR="0047110C" w:rsidRPr="00A50E4D">
        <w:rPr>
          <w:lang w:val="en-US"/>
        </w:rPr>
        <w:t>agraphs of the judgment in the o</w:t>
      </w:r>
      <w:r w:rsidR="00180840" w:rsidRPr="00A50E4D">
        <w:rPr>
          <w:lang w:val="en-US"/>
        </w:rPr>
        <w:t>fficial</w:t>
      </w:r>
      <w:r w:rsidR="0047110C" w:rsidRPr="00A50E4D">
        <w:rPr>
          <w:lang w:val="en-US"/>
        </w:rPr>
        <w:t xml:space="preserve"> g</w:t>
      </w:r>
      <w:r w:rsidR="00180840" w:rsidRPr="00A50E4D">
        <w:rPr>
          <w:lang w:val="en-US"/>
        </w:rPr>
        <w:t>azette and in at least two national newspa</w:t>
      </w:r>
      <w:r w:rsidR="0047110C" w:rsidRPr="00A50E4D">
        <w:rPr>
          <w:lang w:val="en-US"/>
        </w:rPr>
        <w:t>pers.” They also requested that</w:t>
      </w:r>
      <w:r w:rsidR="00180840" w:rsidRPr="00A50E4D">
        <w:rPr>
          <w:lang w:val="en-US"/>
        </w:rPr>
        <w:t xml:space="preserve"> publication be made on the websites </w:t>
      </w:r>
      <w:r w:rsidR="009808C5" w:rsidRPr="00A50E4D">
        <w:rPr>
          <w:lang w:val="en-US"/>
        </w:rPr>
        <w:t xml:space="preserve">of the </w:t>
      </w:r>
      <w:r w:rsidR="00371BB7" w:rsidRPr="00A50E4D">
        <w:rPr>
          <w:lang w:val="en-US"/>
        </w:rPr>
        <w:t>Supreme Court of Justice</w:t>
      </w:r>
      <w:r w:rsidR="007A5DB4" w:rsidRPr="00A50E4D">
        <w:rPr>
          <w:lang w:val="en-US"/>
        </w:rPr>
        <w:t xml:space="preserve">, </w:t>
      </w:r>
      <w:r w:rsidR="00180840" w:rsidRPr="00A50E4D">
        <w:rPr>
          <w:lang w:val="en-US"/>
        </w:rPr>
        <w:t xml:space="preserve">the Ministry of Foreign Affairs, and </w:t>
      </w:r>
      <w:r w:rsidR="00FF35A9" w:rsidRPr="00A50E4D">
        <w:rPr>
          <w:lang w:val="en-US"/>
        </w:rPr>
        <w:t xml:space="preserve">the </w:t>
      </w:r>
      <w:r w:rsidR="00CA2EB9" w:rsidRPr="00A50E4D">
        <w:rPr>
          <w:lang w:val="en-US"/>
        </w:rPr>
        <w:t>Public Prosecution Service</w:t>
      </w:r>
      <w:r w:rsidR="00180840" w:rsidRPr="00A50E4D">
        <w:rPr>
          <w:lang w:val="en-US"/>
        </w:rPr>
        <w:t>,</w:t>
      </w:r>
      <w:r w:rsidR="009808C5" w:rsidRPr="00A50E4D">
        <w:rPr>
          <w:lang w:val="en-US"/>
        </w:rPr>
        <w:t xml:space="preserve"> and </w:t>
      </w:r>
      <w:r w:rsidR="00180840" w:rsidRPr="00A50E4D">
        <w:rPr>
          <w:lang w:val="en-US"/>
        </w:rPr>
        <w:t>be maintained on these sites until the judgment was complied with fully</w:t>
      </w:r>
      <w:r w:rsidR="007A5DB4" w:rsidRPr="00A50E4D">
        <w:rPr>
          <w:lang w:val="en-US"/>
        </w:rPr>
        <w:t xml:space="preserve">. </w:t>
      </w:r>
    </w:p>
    <w:p w14:paraId="2608FAB3" w14:textId="77777777" w:rsidR="007A5DB4" w:rsidRPr="00A50E4D" w:rsidRDefault="007A5DB4" w:rsidP="007A5DB4">
      <w:pPr>
        <w:pStyle w:val="PrrafodeSentencia"/>
        <w:numPr>
          <w:ilvl w:val="0"/>
          <w:numId w:val="0"/>
        </w:numPr>
        <w:rPr>
          <w:lang w:val="en-US"/>
        </w:rPr>
      </w:pPr>
    </w:p>
    <w:p w14:paraId="41866DB5" w14:textId="26E47160" w:rsidR="007A5DB4" w:rsidRPr="00A50E4D" w:rsidRDefault="009808C5" w:rsidP="007A5DB4">
      <w:pPr>
        <w:pStyle w:val="PrrafodeSentencia"/>
        <w:rPr>
          <w:iCs/>
          <w:lang w:val="en-US"/>
        </w:rPr>
      </w:pPr>
      <w:r w:rsidRPr="00A50E4D">
        <w:rPr>
          <w:lang w:val="en-US"/>
        </w:rPr>
        <w:t>The State</w:t>
      </w:r>
      <w:r w:rsidR="007A5DB4" w:rsidRPr="00A50E4D">
        <w:rPr>
          <w:lang w:val="en-US"/>
        </w:rPr>
        <w:t xml:space="preserve"> </w:t>
      </w:r>
      <w:r w:rsidR="00180840" w:rsidRPr="00A50E4D">
        <w:rPr>
          <w:lang w:val="en-US"/>
        </w:rPr>
        <w:t>did not present any specific observation in this regard.</w:t>
      </w:r>
    </w:p>
    <w:p w14:paraId="5D2B99EF" w14:textId="77777777" w:rsidR="007A5DB4" w:rsidRPr="00A50E4D" w:rsidRDefault="007A5DB4" w:rsidP="007A5DB4">
      <w:pPr>
        <w:pStyle w:val="PrrafodeSentencia"/>
        <w:numPr>
          <w:ilvl w:val="0"/>
          <w:numId w:val="0"/>
        </w:numPr>
        <w:rPr>
          <w:lang w:val="en-US"/>
        </w:rPr>
      </w:pPr>
    </w:p>
    <w:p w14:paraId="6CBD5637" w14:textId="2E9FD1D4" w:rsidR="007A5DB4" w:rsidRPr="00A50E4D" w:rsidRDefault="009808C5" w:rsidP="007A5DB4">
      <w:pPr>
        <w:pStyle w:val="PrrafodeSentencia"/>
        <w:rPr>
          <w:iCs/>
          <w:lang w:val="en-US"/>
        </w:rPr>
      </w:pPr>
      <w:bookmarkStart w:id="462" w:name="_Ref419393952"/>
      <w:r w:rsidRPr="00A50E4D">
        <w:rPr>
          <w:lang w:val="en-US"/>
        </w:rPr>
        <w:t>The Court</w:t>
      </w:r>
      <w:r w:rsidR="007A5DB4" w:rsidRPr="00A50E4D">
        <w:rPr>
          <w:lang w:val="en-US"/>
        </w:rPr>
        <w:t xml:space="preserve"> </w:t>
      </w:r>
      <w:r w:rsidR="00180840" w:rsidRPr="00A50E4D">
        <w:rPr>
          <w:lang w:val="en-US"/>
        </w:rPr>
        <w:t>establishes, as it has in other cases,</w:t>
      </w:r>
      <w:r w:rsidR="007A5DB4" w:rsidRPr="00A50E4D">
        <w:rPr>
          <w:vertAlign w:val="superscript"/>
          <w:lang w:val="en-US"/>
        </w:rPr>
        <w:footnoteReference w:id="459"/>
      </w:r>
      <w:r w:rsidR="00180840" w:rsidRPr="00A50E4D">
        <w:rPr>
          <w:lang w:val="en-US"/>
        </w:rPr>
        <w:t xml:space="preserve"> that</w:t>
      </w:r>
      <w:r w:rsidR="007A5DB4" w:rsidRPr="00A50E4D">
        <w:rPr>
          <w:lang w:val="en-US"/>
        </w:rPr>
        <w:t xml:space="preserve"> </w:t>
      </w:r>
      <w:r w:rsidRPr="00A50E4D">
        <w:rPr>
          <w:lang w:val="en-US"/>
        </w:rPr>
        <w:t>the State</w:t>
      </w:r>
      <w:r w:rsidR="007A5DB4" w:rsidRPr="00A50E4D">
        <w:rPr>
          <w:lang w:val="en-US"/>
        </w:rPr>
        <w:t xml:space="preserve"> </w:t>
      </w:r>
      <w:r w:rsidR="00180840" w:rsidRPr="00A50E4D">
        <w:rPr>
          <w:lang w:val="en-US"/>
        </w:rPr>
        <w:t>must publish, within six month</w:t>
      </w:r>
      <w:r w:rsidR="0047110C" w:rsidRPr="00A50E4D">
        <w:rPr>
          <w:lang w:val="en-US"/>
        </w:rPr>
        <w:t>s</w:t>
      </w:r>
      <w:r w:rsidR="00180840" w:rsidRPr="00A50E4D">
        <w:rPr>
          <w:lang w:val="en-US"/>
        </w:rPr>
        <w:t xml:space="preserve"> </w:t>
      </w:r>
      <w:r w:rsidR="00F814CB" w:rsidRPr="00A50E4D">
        <w:rPr>
          <w:lang w:val="en-US"/>
        </w:rPr>
        <w:t xml:space="preserve">of notification </w:t>
      </w:r>
      <w:r w:rsidR="00FF35A9" w:rsidRPr="00A50E4D">
        <w:rPr>
          <w:lang w:val="en-US"/>
        </w:rPr>
        <w:t xml:space="preserve">of </w:t>
      </w:r>
      <w:r w:rsidR="00F814CB" w:rsidRPr="00A50E4D">
        <w:rPr>
          <w:lang w:val="en-US"/>
        </w:rPr>
        <w:t>this judgment</w:t>
      </w:r>
      <w:r w:rsidR="007A5DB4" w:rsidRPr="00A50E4D">
        <w:rPr>
          <w:lang w:val="en-US"/>
        </w:rPr>
        <w:t xml:space="preserve">: </w:t>
      </w:r>
      <w:r w:rsidR="00180840" w:rsidRPr="00A50E4D">
        <w:rPr>
          <w:lang w:val="en-US"/>
        </w:rPr>
        <w:t>(</w:t>
      </w:r>
      <w:r w:rsidR="007A5DB4" w:rsidRPr="00A50E4D">
        <w:rPr>
          <w:lang w:val="en-US"/>
        </w:rPr>
        <w:t xml:space="preserve">a) </w:t>
      </w:r>
      <w:r w:rsidR="00180840" w:rsidRPr="00A50E4D">
        <w:rPr>
          <w:lang w:val="en-US"/>
        </w:rPr>
        <w:t>the official summary</w:t>
      </w:r>
      <w:r w:rsidR="00FF35A9" w:rsidRPr="00A50E4D">
        <w:rPr>
          <w:lang w:val="en-US"/>
        </w:rPr>
        <w:t xml:space="preserve"> of the </w:t>
      </w:r>
      <w:r w:rsidR="00180840" w:rsidRPr="00A50E4D">
        <w:rPr>
          <w:lang w:val="en-US"/>
        </w:rPr>
        <w:t xml:space="preserve">judgment prepared by </w:t>
      </w:r>
      <w:r w:rsidRPr="00A50E4D">
        <w:rPr>
          <w:lang w:val="en-US"/>
        </w:rPr>
        <w:t>the Court</w:t>
      </w:r>
      <w:r w:rsidR="007A5DB4" w:rsidRPr="00A50E4D">
        <w:rPr>
          <w:lang w:val="en-US"/>
        </w:rPr>
        <w:t xml:space="preserve">, </w:t>
      </w:r>
      <w:r w:rsidR="00180840" w:rsidRPr="00A50E4D">
        <w:rPr>
          <w:lang w:val="en-US"/>
        </w:rPr>
        <w:t xml:space="preserve">once, in the </w:t>
      </w:r>
      <w:r w:rsidR="000A786A" w:rsidRPr="00A50E4D">
        <w:rPr>
          <w:lang w:val="en-US"/>
        </w:rPr>
        <w:t>official</w:t>
      </w:r>
      <w:r w:rsidR="00180840" w:rsidRPr="00A50E4D">
        <w:rPr>
          <w:lang w:val="en-US"/>
        </w:rPr>
        <w:t xml:space="preserve"> gazette; (</w:t>
      </w:r>
      <w:r w:rsidR="007A5DB4" w:rsidRPr="00A50E4D">
        <w:rPr>
          <w:lang w:val="en-US"/>
        </w:rPr>
        <w:t xml:space="preserve">b) </w:t>
      </w:r>
      <w:r w:rsidR="00180840" w:rsidRPr="00A50E4D">
        <w:rPr>
          <w:lang w:val="en-US"/>
        </w:rPr>
        <w:t xml:space="preserve">the official summary of the judgment prepared by </w:t>
      </w:r>
      <w:r w:rsidRPr="00A50E4D">
        <w:rPr>
          <w:lang w:val="en-US"/>
        </w:rPr>
        <w:t>the Court</w:t>
      </w:r>
      <w:r w:rsidR="000A786A" w:rsidRPr="00A50E4D">
        <w:rPr>
          <w:lang w:val="en-US"/>
        </w:rPr>
        <w:t>,</w:t>
      </w:r>
      <w:r w:rsidR="007A5DB4" w:rsidRPr="00A50E4D">
        <w:rPr>
          <w:lang w:val="en-US"/>
        </w:rPr>
        <w:t xml:space="preserve"> </w:t>
      </w:r>
      <w:r w:rsidR="00180840" w:rsidRPr="00A50E4D">
        <w:rPr>
          <w:lang w:val="en-US"/>
        </w:rPr>
        <w:t>once, in a national newspaper with widespread circulation, and (c) the judgment in its entirety, available for one year on an official website.</w:t>
      </w:r>
      <w:bookmarkEnd w:id="462"/>
    </w:p>
    <w:p w14:paraId="36A16781" w14:textId="77777777" w:rsidR="007A5DB4" w:rsidRPr="00A50E4D" w:rsidRDefault="007A5DB4" w:rsidP="007A5DB4">
      <w:pPr>
        <w:pStyle w:val="PrrafodeSentencia"/>
        <w:numPr>
          <w:ilvl w:val="0"/>
          <w:numId w:val="0"/>
        </w:numPr>
        <w:rPr>
          <w:lang w:val="en-US"/>
        </w:rPr>
      </w:pPr>
    </w:p>
    <w:p w14:paraId="690C8C83" w14:textId="7F7AD314" w:rsidR="007A5DB4" w:rsidRPr="00A50E4D" w:rsidRDefault="007A5DB4" w:rsidP="007A5DB4">
      <w:pPr>
        <w:pStyle w:val="Heading3"/>
        <w:rPr>
          <w:i/>
          <w:iCs/>
          <w:spacing w:val="-4"/>
          <w:lang w:val="en-US"/>
        </w:rPr>
      </w:pPr>
      <w:bookmarkStart w:id="463" w:name="_Toc431584677"/>
      <w:bookmarkStart w:id="464" w:name="_Toc471717311"/>
      <w:r w:rsidRPr="00A50E4D">
        <w:rPr>
          <w:spacing w:val="-4"/>
          <w:lang w:val="en-US"/>
        </w:rPr>
        <w:t xml:space="preserve">C.3)  </w:t>
      </w:r>
      <w:r w:rsidR="00A45503" w:rsidRPr="00A50E4D">
        <w:rPr>
          <w:spacing w:val="-4"/>
          <w:lang w:val="en-US"/>
        </w:rPr>
        <w:t>Other measures requested</w:t>
      </w:r>
      <w:bookmarkEnd w:id="463"/>
      <w:bookmarkEnd w:id="464"/>
    </w:p>
    <w:p w14:paraId="217776D3" w14:textId="77777777" w:rsidR="007A5DB4" w:rsidRPr="00A50E4D" w:rsidRDefault="007A5DB4" w:rsidP="007A5DB4">
      <w:pPr>
        <w:pStyle w:val="PrrafodeSentencia"/>
        <w:numPr>
          <w:ilvl w:val="0"/>
          <w:numId w:val="0"/>
        </w:numPr>
        <w:rPr>
          <w:lang w:val="en-US"/>
        </w:rPr>
      </w:pPr>
    </w:p>
    <w:p w14:paraId="28DAC712" w14:textId="6434F031" w:rsidR="0087695C" w:rsidRPr="00A50E4D" w:rsidRDefault="00CD2874" w:rsidP="0087695C">
      <w:pPr>
        <w:pStyle w:val="PrrafodeSentencia"/>
        <w:rPr>
          <w:rFonts w:cs="Arial"/>
          <w:szCs w:val="20"/>
          <w:lang w:val="en-US"/>
        </w:rPr>
      </w:pPr>
      <w:r w:rsidRPr="00A50E4D">
        <w:rPr>
          <w:lang w:val="en-US"/>
        </w:rPr>
        <w:t>The Commission</w:t>
      </w:r>
      <w:r w:rsidR="0087695C" w:rsidRPr="00A50E4D">
        <w:rPr>
          <w:lang w:val="en-US"/>
        </w:rPr>
        <w:t xml:space="preserve"> also asked the Court to </w:t>
      </w:r>
      <w:r w:rsidR="0047110C" w:rsidRPr="00A50E4D">
        <w:rPr>
          <w:lang w:val="en-US"/>
        </w:rPr>
        <w:t xml:space="preserve">require </w:t>
      </w:r>
      <w:r w:rsidR="0087695C" w:rsidRPr="00A50E4D">
        <w:rPr>
          <w:lang w:val="en-US"/>
        </w:rPr>
        <w:t xml:space="preserve">the State to </w:t>
      </w:r>
      <w:r w:rsidR="0047110C" w:rsidRPr="00A50E4D">
        <w:rPr>
          <w:lang w:val="en-US"/>
        </w:rPr>
        <w:t>“[m</w:t>
      </w:r>
      <w:r w:rsidR="0087695C" w:rsidRPr="00A50E4D">
        <w:rPr>
          <w:lang w:val="en-US"/>
        </w:rPr>
        <w:t>]</w:t>
      </w:r>
      <w:r w:rsidR="0047110C" w:rsidRPr="00A50E4D">
        <w:rPr>
          <w:rFonts w:cs="Arial"/>
          <w:szCs w:val="20"/>
          <w:lang w:val="en-US"/>
        </w:rPr>
        <w:t>ake</w:t>
      </w:r>
      <w:r w:rsidR="0087695C" w:rsidRPr="00A50E4D">
        <w:rPr>
          <w:rFonts w:cs="Arial"/>
          <w:szCs w:val="20"/>
          <w:lang w:val="en-US"/>
        </w:rPr>
        <w:t xml:space="preserve"> the </w:t>
      </w:r>
      <w:r w:rsidR="0047110C" w:rsidRPr="00A50E4D">
        <w:rPr>
          <w:rFonts w:cs="Arial"/>
          <w:szCs w:val="20"/>
          <w:lang w:val="en-US"/>
        </w:rPr>
        <w:t xml:space="preserve">necessary </w:t>
      </w:r>
      <w:r w:rsidR="0087695C" w:rsidRPr="00A50E4D">
        <w:rPr>
          <w:rFonts w:cs="Arial"/>
          <w:szCs w:val="20"/>
          <w:lang w:val="en-US"/>
        </w:rPr>
        <w:t>amendments to the law to ensure that disciplinary proceedings against judges are conducted by competent authorities with sufficient guarantees o</w:t>
      </w:r>
      <w:r w:rsidR="000A786A" w:rsidRPr="00A50E4D">
        <w:rPr>
          <w:rFonts w:cs="Arial"/>
          <w:szCs w:val="20"/>
          <w:lang w:val="en-US"/>
        </w:rPr>
        <w:t>f independence and impartiality</w:t>
      </w:r>
      <w:r w:rsidR="0087695C" w:rsidRPr="00A50E4D">
        <w:rPr>
          <w:rFonts w:cs="Arial"/>
          <w:szCs w:val="20"/>
          <w:lang w:val="en-US"/>
        </w:rPr>
        <w:t>;</w:t>
      </w:r>
      <w:r w:rsidR="000A786A" w:rsidRPr="00A50E4D">
        <w:rPr>
          <w:rFonts w:cs="Arial"/>
          <w:szCs w:val="20"/>
          <w:lang w:val="en-US"/>
        </w:rPr>
        <w:t xml:space="preserve"> [</w:t>
      </w:r>
      <w:r w:rsidR="0087695C" w:rsidRPr="00A50E4D">
        <w:rPr>
          <w:rFonts w:cs="Arial"/>
          <w:szCs w:val="20"/>
          <w:lang w:val="en-US"/>
        </w:rPr>
        <w:t xml:space="preserve">and to] “ensure </w:t>
      </w:r>
      <w:r w:rsidR="0087695C" w:rsidRPr="00A50E4D">
        <w:rPr>
          <w:rFonts w:cs="Arial"/>
          <w:lang w:val="en-US"/>
        </w:rPr>
        <w:t>that the grounds for disciplinary action against judges and the applicable sanctions are compatible with the principle of legality.”</w:t>
      </w:r>
    </w:p>
    <w:p w14:paraId="1665B86F" w14:textId="77777777" w:rsidR="007A5DB4" w:rsidRPr="00A50E4D" w:rsidRDefault="007A5DB4" w:rsidP="007A5DB4">
      <w:pPr>
        <w:pStyle w:val="PrrafodeSentencia"/>
        <w:numPr>
          <w:ilvl w:val="0"/>
          <w:numId w:val="0"/>
        </w:numPr>
        <w:rPr>
          <w:lang w:val="en-US"/>
        </w:rPr>
      </w:pPr>
    </w:p>
    <w:p w14:paraId="6E7EBC2A" w14:textId="5BD0B109" w:rsidR="0087695C" w:rsidRPr="00A50E4D" w:rsidRDefault="0087695C" w:rsidP="007A5DB4">
      <w:pPr>
        <w:pStyle w:val="PrrafodeSentencia"/>
        <w:rPr>
          <w:iCs/>
          <w:lang w:val="en-US"/>
        </w:rPr>
      </w:pPr>
      <w:r w:rsidRPr="00A50E4D">
        <w:rPr>
          <w:iCs/>
          <w:lang w:val="en-US"/>
        </w:rPr>
        <w:t>Meanwhile</w:t>
      </w:r>
      <w:r w:rsidR="007A5DB4" w:rsidRPr="00A50E4D">
        <w:rPr>
          <w:iCs/>
          <w:lang w:val="en-US"/>
        </w:rPr>
        <w:t xml:space="preserve">, </w:t>
      </w:r>
      <w:r w:rsidR="00AD5EE7" w:rsidRPr="00A50E4D">
        <w:rPr>
          <w:iCs/>
          <w:lang w:val="en-US"/>
        </w:rPr>
        <w:t>the representatives</w:t>
      </w:r>
      <w:r w:rsidR="007A5DB4" w:rsidRPr="00A50E4D">
        <w:rPr>
          <w:iCs/>
          <w:lang w:val="en-US"/>
        </w:rPr>
        <w:t xml:space="preserve"> </w:t>
      </w:r>
      <w:r w:rsidRPr="00A50E4D">
        <w:rPr>
          <w:iCs/>
          <w:lang w:val="en-US"/>
        </w:rPr>
        <w:t xml:space="preserve">asked the Court to order </w:t>
      </w:r>
      <w:r w:rsidR="00CD2874" w:rsidRPr="00A50E4D">
        <w:rPr>
          <w:iCs/>
          <w:lang w:val="en-US"/>
        </w:rPr>
        <w:t>the State</w:t>
      </w:r>
      <w:r w:rsidRPr="00A50E4D">
        <w:rPr>
          <w:iCs/>
          <w:lang w:val="en-US"/>
        </w:rPr>
        <w:t xml:space="preserve"> to</w:t>
      </w:r>
      <w:r w:rsidR="007A5DB4" w:rsidRPr="00A50E4D">
        <w:rPr>
          <w:iCs/>
          <w:lang w:val="en-US"/>
        </w:rPr>
        <w:t xml:space="preserve">: (i) </w:t>
      </w:r>
      <w:r w:rsidR="007A5DB4" w:rsidRPr="00A50E4D">
        <w:rPr>
          <w:lang w:val="en-US"/>
        </w:rPr>
        <w:t>“</w:t>
      </w:r>
      <w:r w:rsidR="00967C12" w:rsidRPr="00A50E4D">
        <w:rPr>
          <w:lang w:val="en-US"/>
        </w:rPr>
        <w:t>file</w:t>
      </w:r>
      <w:r w:rsidRPr="00A50E4D">
        <w:rPr>
          <w:lang w:val="en-US"/>
        </w:rPr>
        <w:t xml:space="preserve"> the corresponding criminal, civil or administrative </w:t>
      </w:r>
      <w:r w:rsidR="00967C12" w:rsidRPr="00A50E4D">
        <w:rPr>
          <w:lang w:val="en-US"/>
        </w:rPr>
        <w:t>charges</w:t>
      </w:r>
      <w:r w:rsidRPr="00A50E4D">
        <w:rPr>
          <w:lang w:val="en-US"/>
        </w:rPr>
        <w:t xml:space="preserve"> against those responsible for the facts on which this case is </w:t>
      </w:r>
      <w:r w:rsidR="00967C12" w:rsidRPr="00A50E4D">
        <w:rPr>
          <w:lang w:val="en-US"/>
        </w:rPr>
        <w:t>bas</w:t>
      </w:r>
      <w:r w:rsidRPr="00A50E4D">
        <w:rPr>
          <w:lang w:val="en-US"/>
        </w:rPr>
        <w:t>ed”; (ii) organize a public act to acknowledge international responsibility and make a public apology; (iii) implement a permanent training program for recently appointed agents of justice to provide basic information on judicial independence, and respect for the free and full exercise of their rights</w:t>
      </w:r>
      <w:r w:rsidR="00967C12" w:rsidRPr="00A50E4D">
        <w:rPr>
          <w:lang w:val="en-US"/>
        </w:rPr>
        <w:t xml:space="preserve"> and obligations</w:t>
      </w:r>
      <w:r w:rsidRPr="00A50E4D">
        <w:rPr>
          <w:lang w:val="en-US"/>
        </w:rPr>
        <w:t xml:space="preserve"> as judicial officials, and (iv) that the Court “reiterate to the State its obligation implement a public policy (for the protection of human ri</w:t>
      </w:r>
      <w:r w:rsidR="00967C12" w:rsidRPr="00A50E4D">
        <w:rPr>
          <w:lang w:val="en-US"/>
        </w:rPr>
        <w:t>ghts defenders] and require that this policy</w:t>
      </w:r>
      <w:r w:rsidRPr="00A50E4D">
        <w:rPr>
          <w:lang w:val="en-US"/>
        </w:rPr>
        <w:t xml:space="preserve"> include sufficient guarantees to protect the exercise of the human right to defend human rights.”</w:t>
      </w:r>
    </w:p>
    <w:p w14:paraId="44F0711D" w14:textId="77777777" w:rsidR="007A5DB4" w:rsidRPr="00A50E4D" w:rsidRDefault="007A5DB4" w:rsidP="007A5DB4">
      <w:pPr>
        <w:pStyle w:val="PrrafodeSentencia"/>
        <w:numPr>
          <w:ilvl w:val="0"/>
          <w:numId w:val="0"/>
        </w:numPr>
        <w:rPr>
          <w:lang w:val="en-US"/>
        </w:rPr>
      </w:pPr>
    </w:p>
    <w:p w14:paraId="57302FA3" w14:textId="5C692297" w:rsidR="007A5DB4" w:rsidRPr="00A50E4D" w:rsidRDefault="0087695C" w:rsidP="0087695C">
      <w:pPr>
        <w:pStyle w:val="PrrafodeSentencia"/>
        <w:rPr>
          <w:lang w:val="en-US"/>
        </w:rPr>
      </w:pPr>
      <w:r w:rsidRPr="00A50E4D">
        <w:rPr>
          <w:lang w:val="en-US"/>
        </w:rPr>
        <w:t>They also asked the Court to order the State to take the necessary measures to guarantee a disciplin</w:t>
      </w:r>
      <w:r w:rsidR="00967C12" w:rsidRPr="00A50E4D">
        <w:rPr>
          <w:lang w:val="en-US"/>
        </w:rPr>
        <w:t>ary regime for judges that met</w:t>
      </w:r>
      <w:r w:rsidRPr="00A50E4D">
        <w:rPr>
          <w:lang w:val="en-US"/>
        </w:rPr>
        <w:t xml:space="preserve"> the pertinent international standards. They indicated that, under the current regime, the provisions </w:t>
      </w:r>
      <w:r w:rsidR="00967C12" w:rsidRPr="00A50E4D">
        <w:rPr>
          <w:lang w:val="en-US"/>
        </w:rPr>
        <w:t>on</w:t>
      </w:r>
      <w:r w:rsidRPr="00A50E4D">
        <w:rPr>
          <w:lang w:val="en-US"/>
        </w:rPr>
        <w:t xml:space="preserve"> the</w:t>
      </w:r>
      <w:r w:rsidR="00967C12" w:rsidRPr="00A50E4D">
        <w:rPr>
          <w:lang w:val="en-US"/>
        </w:rPr>
        <w:t xml:space="preserve"> prohibitions and</w:t>
      </w:r>
      <w:r w:rsidRPr="00A50E4D">
        <w:rPr>
          <w:lang w:val="en-US"/>
        </w:rPr>
        <w:t xml:space="preserve"> </w:t>
      </w:r>
      <w:r w:rsidR="000A786A" w:rsidRPr="00A50E4D">
        <w:rPr>
          <w:lang w:val="en-US"/>
        </w:rPr>
        <w:t>incompatibilities</w:t>
      </w:r>
      <w:r w:rsidR="00967C12" w:rsidRPr="00A50E4D">
        <w:rPr>
          <w:lang w:val="en-US"/>
        </w:rPr>
        <w:t xml:space="preserve"> relating to</w:t>
      </w:r>
      <w:r w:rsidRPr="00A50E4D">
        <w:rPr>
          <w:lang w:val="en-US"/>
        </w:rPr>
        <w:t xml:space="preserve"> judicial posts and the disciplinary regime “are insufficiently clear and specific, [because] the substantive content of the articles in force is almost the same as the articles that were annulled.” In addition, they indicated that the actual law merely refers to three general situations that can result in the suspension of judicial employees and officials, as well</w:t>
      </w:r>
      <w:r w:rsidR="00967C12" w:rsidRPr="00A50E4D">
        <w:rPr>
          <w:lang w:val="en-US"/>
        </w:rPr>
        <w:t xml:space="preserve"> as some general prohibitions for</w:t>
      </w:r>
      <w:r w:rsidRPr="00A50E4D">
        <w:rPr>
          <w:lang w:val="en-US"/>
        </w:rPr>
        <w:t xml:space="preserve"> </w:t>
      </w:r>
      <w:r w:rsidR="009808C5" w:rsidRPr="00A50E4D">
        <w:rPr>
          <w:lang w:val="en-US"/>
        </w:rPr>
        <w:t xml:space="preserve">judges and </w:t>
      </w:r>
      <w:r w:rsidR="00277E12" w:rsidRPr="00A50E4D">
        <w:rPr>
          <w:lang w:val="en-US"/>
        </w:rPr>
        <w:t>justices</w:t>
      </w:r>
      <w:r w:rsidR="007A5DB4" w:rsidRPr="00A50E4D">
        <w:rPr>
          <w:lang w:val="en-US"/>
        </w:rPr>
        <w:t>. T</w:t>
      </w:r>
      <w:r w:rsidRPr="00A50E4D">
        <w:rPr>
          <w:lang w:val="en-US"/>
        </w:rPr>
        <w:t xml:space="preserve">hey also </w:t>
      </w:r>
      <w:r w:rsidR="000A786A" w:rsidRPr="00A50E4D">
        <w:rPr>
          <w:lang w:val="en-US"/>
        </w:rPr>
        <w:t>indicated</w:t>
      </w:r>
      <w:r w:rsidRPr="00A50E4D">
        <w:rPr>
          <w:lang w:val="en-US"/>
        </w:rPr>
        <w:t xml:space="preserve"> that the section corresponding to the disciplinary responsibility of officials and judges merely refers to the appeal for reconsideration that may be filed against the decision issued in </w:t>
      </w:r>
      <w:r w:rsidR="00FF35A9" w:rsidRPr="00A50E4D">
        <w:rPr>
          <w:lang w:val="en-US"/>
        </w:rPr>
        <w:t>the disciplinary proceeding</w:t>
      </w:r>
      <w:r w:rsidR="007A5DB4" w:rsidRPr="00A50E4D">
        <w:rPr>
          <w:lang w:val="en-US"/>
        </w:rPr>
        <w:t xml:space="preserve">, </w:t>
      </w:r>
      <w:r w:rsidRPr="00A50E4D">
        <w:rPr>
          <w:lang w:val="en-US"/>
        </w:rPr>
        <w:t>while the substantiation of the proceeding, the violations and</w:t>
      </w:r>
      <w:r w:rsidR="00967C12" w:rsidRPr="00A50E4D">
        <w:rPr>
          <w:lang w:val="en-US"/>
        </w:rPr>
        <w:t xml:space="preserve"> the</w:t>
      </w:r>
      <w:r w:rsidRPr="00A50E4D">
        <w:rPr>
          <w:lang w:val="en-US"/>
        </w:rPr>
        <w:t xml:space="preserve"> corresponding sanctions</w:t>
      </w:r>
      <w:r w:rsidR="00967C12" w:rsidRPr="00A50E4D">
        <w:rPr>
          <w:lang w:val="en-US"/>
        </w:rPr>
        <w:t xml:space="preserve"> are “</w:t>
      </w:r>
      <w:r w:rsidRPr="00A50E4D">
        <w:rPr>
          <w:lang w:val="en-US"/>
        </w:rPr>
        <w:t>delegated to the regulations governing the</w:t>
      </w:r>
      <w:r w:rsidR="00967C12" w:rsidRPr="00A50E4D">
        <w:rPr>
          <w:lang w:val="en-US"/>
        </w:rPr>
        <w:t xml:space="preserve"> Law on the Council of the Judiciary</w:t>
      </w:r>
      <w:r w:rsidRPr="00A50E4D">
        <w:rPr>
          <w:lang w:val="en-US"/>
        </w:rPr>
        <w:t xml:space="preserve"> </w:t>
      </w:r>
      <w:r w:rsidR="00967C12" w:rsidRPr="00A50E4D">
        <w:rPr>
          <w:lang w:val="en-US"/>
        </w:rPr>
        <w:t xml:space="preserve">and the Judicial Service </w:t>
      </w:r>
      <w:r w:rsidRPr="00A50E4D">
        <w:rPr>
          <w:lang w:val="en-US"/>
        </w:rPr>
        <w:t>to be drawn</w:t>
      </w:r>
      <w:r w:rsidR="00967C12" w:rsidRPr="00A50E4D">
        <w:rPr>
          <w:lang w:val="en-US"/>
        </w:rPr>
        <w:t xml:space="preserve"> up and approved by that body</w:t>
      </w:r>
      <w:r w:rsidRPr="00A50E4D">
        <w:rPr>
          <w:lang w:val="en-US"/>
        </w:rPr>
        <w:t xml:space="preserve">, which has not happened to date.” In addition, </w:t>
      </w:r>
      <w:r w:rsidR="00AD5EE7" w:rsidRPr="00A50E4D">
        <w:rPr>
          <w:lang w:val="en-US"/>
        </w:rPr>
        <w:t>the representatives</w:t>
      </w:r>
      <w:r w:rsidR="007A5DB4" w:rsidRPr="00A50E4D">
        <w:rPr>
          <w:lang w:val="en-US"/>
        </w:rPr>
        <w:t xml:space="preserve"> a</w:t>
      </w:r>
      <w:r w:rsidRPr="00A50E4D">
        <w:rPr>
          <w:lang w:val="en-US"/>
        </w:rPr>
        <w:t>rgued that some norms still subsist that were not expressly annulled; namely, those established in the</w:t>
      </w:r>
      <w:r w:rsidR="007A5DB4" w:rsidRPr="00A50E4D">
        <w:rPr>
          <w:lang w:val="en-US"/>
        </w:rPr>
        <w:t xml:space="preserve"> </w:t>
      </w:r>
      <w:r w:rsidR="000F4023" w:rsidRPr="00A50E4D">
        <w:rPr>
          <w:lang w:val="en-US"/>
        </w:rPr>
        <w:t>Law on the Organization and Faculties of the Courts</w:t>
      </w:r>
      <w:r w:rsidR="009808C5" w:rsidRPr="00A50E4D">
        <w:rPr>
          <w:lang w:val="en-US"/>
        </w:rPr>
        <w:t xml:space="preserve"> and </w:t>
      </w:r>
      <w:r w:rsidRPr="00A50E4D">
        <w:rPr>
          <w:lang w:val="en-US"/>
        </w:rPr>
        <w:t>the</w:t>
      </w:r>
      <w:r w:rsidR="007A5DB4" w:rsidRPr="00A50E4D">
        <w:rPr>
          <w:lang w:val="en-US"/>
        </w:rPr>
        <w:t xml:space="preserve"> </w:t>
      </w:r>
      <w:r w:rsidR="00BD29B4" w:rsidRPr="00A50E4D">
        <w:rPr>
          <w:lang w:val="en-US"/>
        </w:rPr>
        <w:t>Code of Ethics for Judicial Officials and Employees</w:t>
      </w:r>
      <w:r w:rsidR="007A5DB4" w:rsidRPr="00A50E4D">
        <w:rPr>
          <w:lang w:val="en-US"/>
        </w:rPr>
        <w:t xml:space="preserve">. </w:t>
      </w:r>
    </w:p>
    <w:p w14:paraId="6EA072B4" w14:textId="77777777" w:rsidR="007A5DB4" w:rsidRPr="00A50E4D" w:rsidRDefault="007A5DB4" w:rsidP="007A5DB4">
      <w:pPr>
        <w:pStyle w:val="PrrafodeSentencia"/>
        <w:numPr>
          <w:ilvl w:val="0"/>
          <w:numId w:val="0"/>
        </w:numPr>
        <w:rPr>
          <w:lang w:val="en-US"/>
        </w:rPr>
      </w:pPr>
    </w:p>
    <w:p w14:paraId="1C5D5236" w14:textId="18A197EF" w:rsidR="007A5DB4" w:rsidRPr="00A50E4D" w:rsidRDefault="007A5DB4" w:rsidP="0087695C">
      <w:pPr>
        <w:pStyle w:val="PrrafodeSentencia"/>
        <w:rPr>
          <w:lang w:val="en-US"/>
        </w:rPr>
      </w:pPr>
      <w:r w:rsidRPr="00A50E4D">
        <w:rPr>
          <w:lang w:val="en-US"/>
        </w:rPr>
        <w:t>Re</w:t>
      </w:r>
      <w:r w:rsidR="00967C12" w:rsidRPr="00A50E4D">
        <w:rPr>
          <w:lang w:val="en-US"/>
        </w:rPr>
        <w:t>garding this measure</w:t>
      </w:r>
      <w:r w:rsidR="0087695C" w:rsidRPr="00A50E4D">
        <w:rPr>
          <w:lang w:val="en-US"/>
        </w:rPr>
        <w:t>, the Court notes that, in Honduras, the disciplinary regime applied to the pr</w:t>
      </w:r>
      <w:r w:rsidR="00967C12" w:rsidRPr="00A50E4D">
        <w:rPr>
          <w:lang w:val="en-US"/>
        </w:rPr>
        <w:t>esumed victims has been amended. I</w:t>
      </w:r>
      <w:r w:rsidR="0087695C" w:rsidRPr="00A50E4D">
        <w:rPr>
          <w:lang w:val="en-US"/>
        </w:rPr>
        <w:t>t</w:t>
      </w:r>
      <w:r w:rsidRPr="00A50E4D">
        <w:rPr>
          <w:lang w:val="en-US"/>
        </w:rPr>
        <w:t xml:space="preserve"> </w:t>
      </w:r>
      <w:r w:rsidR="0087695C" w:rsidRPr="00A50E4D">
        <w:rPr>
          <w:lang w:val="en-US"/>
        </w:rPr>
        <w:t>recalls</w:t>
      </w:r>
      <w:r w:rsidR="00967C12" w:rsidRPr="00A50E4D">
        <w:rPr>
          <w:lang w:val="en-US"/>
        </w:rPr>
        <w:t>, however,</w:t>
      </w:r>
      <w:r w:rsidR="0087695C" w:rsidRPr="00A50E4D">
        <w:rPr>
          <w:lang w:val="en-US"/>
        </w:rPr>
        <w:t xml:space="preserve"> that it is not incumbent on the Court to review</w:t>
      </w:r>
      <w:r w:rsidR="00967C12" w:rsidRPr="00A50E4D">
        <w:rPr>
          <w:lang w:val="en-US"/>
        </w:rPr>
        <w:t>,</w:t>
      </w:r>
      <w:r w:rsidR="0087695C" w:rsidRPr="00A50E4D">
        <w:rPr>
          <w:lang w:val="en-US"/>
        </w:rPr>
        <w:t xml:space="preserve"> in </w:t>
      </w:r>
      <w:r w:rsidR="00967C12" w:rsidRPr="00A50E4D">
        <w:rPr>
          <w:lang w:val="en-US"/>
        </w:rPr>
        <w:t xml:space="preserve">the </w:t>
      </w:r>
      <w:r w:rsidR="0087695C" w:rsidRPr="00A50E4D">
        <w:rPr>
          <w:lang w:val="en-US"/>
        </w:rPr>
        <w:t>abstract</w:t>
      </w:r>
      <w:r w:rsidR="00967C12" w:rsidRPr="00A50E4D">
        <w:rPr>
          <w:lang w:val="en-US"/>
        </w:rPr>
        <w:t>,</w:t>
      </w:r>
      <w:r w:rsidR="0087695C" w:rsidRPr="00A50E4D">
        <w:rPr>
          <w:lang w:val="en-US"/>
        </w:rPr>
        <w:t xml:space="preserve"> norms that were not applied or that did not have any impact on the violations declared in a specific case.</w:t>
      </w:r>
      <w:r w:rsidRPr="00A50E4D">
        <w:rPr>
          <w:vertAlign w:val="superscript"/>
          <w:lang w:val="en-US"/>
        </w:rPr>
        <w:footnoteReference w:id="460"/>
      </w:r>
      <w:r w:rsidR="00967C12" w:rsidRPr="00A50E4D">
        <w:rPr>
          <w:lang w:val="en-US"/>
        </w:rPr>
        <w:t xml:space="preserve"> In the instant</w:t>
      </w:r>
      <w:r w:rsidR="0087695C" w:rsidRPr="00A50E4D">
        <w:rPr>
          <w:lang w:val="en-US"/>
        </w:rPr>
        <w:t xml:space="preserve"> case, the new disciplinary regime was not applied to the victims, a</w:t>
      </w:r>
      <w:r w:rsidR="00967C12" w:rsidRPr="00A50E4D">
        <w:rPr>
          <w:lang w:val="en-US"/>
        </w:rPr>
        <w:t>nd there is no evidence that it</w:t>
      </w:r>
      <w:r w:rsidR="0087695C" w:rsidRPr="00A50E4D">
        <w:rPr>
          <w:lang w:val="en-US"/>
        </w:rPr>
        <w:t xml:space="preserve">s possible applicable could have a direct </w:t>
      </w:r>
      <w:r w:rsidR="0087695C" w:rsidRPr="00A50E4D">
        <w:rPr>
          <w:lang w:val="en-US"/>
        </w:rPr>
        <w:lastRenderedPageBreak/>
        <w:t>relationship to the facts of this case</w:t>
      </w:r>
      <w:r w:rsidR="0087695C" w:rsidRPr="00A50E4D">
        <w:rPr>
          <w:szCs w:val="20"/>
          <w:lang w:val="en-US"/>
        </w:rPr>
        <w:t>.</w:t>
      </w:r>
      <w:r w:rsidR="0087695C" w:rsidRPr="00A50E4D">
        <w:rPr>
          <w:rStyle w:val="FootnoteReference"/>
          <w:iCs/>
          <w:sz w:val="20"/>
          <w:szCs w:val="20"/>
          <w:lang w:val="en-US"/>
        </w:rPr>
        <w:footnoteReference w:id="461"/>
      </w:r>
      <w:r w:rsidR="0087695C" w:rsidRPr="00A50E4D">
        <w:rPr>
          <w:szCs w:val="20"/>
          <w:lang w:val="en-US"/>
        </w:rPr>
        <w:t xml:space="preserve"> Therefore, and bearing in mind that the measures requested entail the analysis of legal norms and alleged legal </w:t>
      </w:r>
      <w:r w:rsidR="00967C12" w:rsidRPr="00A50E4D">
        <w:rPr>
          <w:szCs w:val="20"/>
          <w:lang w:val="en-US"/>
        </w:rPr>
        <w:t>advances</w:t>
      </w:r>
      <w:r w:rsidR="0087695C" w:rsidRPr="00A50E4D">
        <w:rPr>
          <w:szCs w:val="20"/>
          <w:lang w:val="en-US"/>
        </w:rPr>
        <w:t xml:space="preserve"> that did not constitute the regime in force when </w:t>
      </w:r>
      <w:r w:rsidR="00277E12" w:rsidRPr="00A50E4D">
        <w:rPr>
          <w:lang w:val="en-US"/>
        </w:rPr>
        <w:t>the disciplinary proceedings against</w:t>
      </w:r>
      <w:r w:rsidR="00967C12" w:rsidRPr="00A50E4D">
        <w:rPr>
          <w:lang w:val="en-US"/>
        </w:rPr>
        <w:t xml:space="preserve"> the</w:t>
      </w:r>
      <w:r w:rsidRPr="00A50E4D">
        <w:rPr>
          <w:lang w:val="en-US"/>
        </w:rPr>
        <w:t xml:space="preserve"> </w:t>
      </w:r>
      <w:r w:rsidR="004B0477" w:rsidRPr="00A50E4D">
        <w:rPr>
          <w:lang w:val="en-US"/>
        </w:rPr>
        <w:t>victims</w:t>
      </w:r>
      <w:r w:rsidRPr="00A50E4D">
        <w:rPr>
          <w:lang w:val="en-US"/>
        </w:rPr>
        <w:t xml:space="preserve"> </w:t>
      </w:r>
      <w:r w:rsidR="00FF35A9" w:rsidRPr="00A50E4D">
        <w:rPr>
          <w:lang w:val="en-US"/>
        </w:rPr>
        <w:t>in this case</w:t>
      </w:r>
      <w:r w:rsidR="0087695C" w:rsidRPr="00A50E4D">
        <w:rPr>
          <w:lang w:val="en-US"/>
        </w:rPr>
        <w:t xml:space="preserve"> were held</w:t>
      </w:r>
      <w:r w:rsidRPr="00A50E4D">
        <w:rPr>
          <w:lang w:val="en-US"/>
        </w:rPr>
        <w:t xml:space="preserve">, </w:t>
      </w:r>
      <w:r w:rsidR="009808C5" w:rsidRPr="00A50E4D">
        <w:rPr>
          <w:lang w:val="en-US"/>
        </w:rPr>
        <w:t>the Court</w:t>
      </w:r>
      <w:r w:rsidR="0087695C" w:rsidRPr="00A50E4D">
        <w:rPr>
          <w:lang w:val="en-US"/>
        </w:rPr>
        <w:t xml:space="preserve"> considers that it is not appropriate to make a ruling on these requests when establishing reparations in </w:t>
      </w:r>
      <w:r w:rsidR="0009368F" w:rsidRPr="00A50E4D">
        <w:rPr>
          <w:lang w:val="en-US"/>
        </w:rPr>
        <w:t>this case</w:t>
      </w:r>
      <w:r w:rsidR="0087695C" w:rsidRPr="00A50E4D">
        <w:rPr>
          <w:lang w:val="en-US"/>
        </w:rPr>
        <w:t>.</w:t>
      </w:r>
      <w:r w:rsidRPr="00A50E4D">
        <w:rPr>
          <w:vertAlign w:val="superscript"/>
          <w:lang w:val="en-US"/>
        </w:rPr>
        <w:footnoteReference w:id="462"/>
      </w:r>
      <w:r w:rsidR="0087695C" w:rsidRPr="00A50E4D">
        <w:rPr>
          <w:lang w:val="en-US"/>
        </w:rPr>
        <w:t xml:space="preserve"> Nevertheless, the Court recalls that when a State is party to an international treaty such as </w:t>
      </w:r>
      <w:r w:rsidR="009808C5" w:rsidRPr="00A50E4D">
        <w:rPr>
          <w:lang w:val="en-US"/>
        </w:rPr>
        <w:t>the American Convention</w:t>
      </w:r>
      <w:r w:rsidRPr="00A50E4D">
        <w:rPr>
          <w:lang w:val="en-US"/>
        </w:rPr>
        <w:t xml:space="preserve">, </w:t>
      </w:r>
      <w:r w:rsidR="0087695C" w:rsidRPr="00A50E4D">
        <w:rPr>
          <w:lang w:val="en-US"/>
        </w:rPr>
        <w:t xml:space="preserve">all its organs, including it judges, are subject to that treaty, and this obliges them to ensure that the effects of the provisions </w:t>
      </w:r>
      <w:r w:rsidR="009808C5" w:rsidRPr="00A50E4D">
        <w:rPr>
          <w:lang w:val="en-US"/>
        </w:rPr>
        <w:t>of the Convention</w:t>
      </w:r>
      <w:r w:rsidRPr="00A50E4D">
        <w:rPr>
          <w:lang w:val="en-US"/>
        </w:rPr>
        <w:t xml:space="preserve"> </w:t>
      </w:r>
      <w:r w:rsidR="0087695C" w:rsidRPr="00A50E4D">
        <w:rPr>
          <w:lang w:val="en-US"/>
        </w:rPr>
        <w:t xml:space="preserve">are not lessened by the application of norms contrary to its object and purpose. Judges and </w:t>
      </w:r>
      <w:r w:rsidR="00967C12" w:rsidRPr="00A50E4D">
        <w:rPr>
          <w:lang w:val="en-US"/>
        </w:rPr>
        <w:t>bodies</w:t>
      </w:r>
      <w:r w:rsidR="0087695C" w:rsidRPr="00A50E4D">
        <w:rPr>
          <w:lang w:val="en-US"/>
        </w:rPr>
        <w:t xml:space="preserve"> involved in the </w:t>
      </w:r>
      <w:r w:rsidR="006A228E" w:rsidRPr="00A50E4D">
        <w:rPr>
          <w:lang w:val="en-US"/>
        </w:rPr>
        <w:t>administration of justice</w:t>
      </w:r>
      <w:r w:rsidRPr="00A50E4D">
        <w:rPr>
          <w:lang w:val="en-US"/>
        </w:rPr>
        <w:t xml:space="preserve"> </w:t>
      </w:r>
      <w:r w:rsidR="0087695C" w:rsidRPr="00A50E4D">
        <w:rPr>
          <w:lang w:val="en-US"/>
        </w:rPr>
        <w:t xml:space="preserve">at all levels, are bound to exercise </w:t>
      </w:r>
      <w:r w:rsidRPr="00A50E4D">
        <w:rPr>
          <w:i/>
          <w:iCs/>
          <w:lang w:val="en-US"/>
        </w:rPr>
        <w:t xml:space="preserve">ex officio </w:t>
      </w:r>
      <w:r w:rsidR="0087695C" w:rsidRPr="00A50E4D">
        <w:rPr>
          <w:lang w:val="en-US"/>
        </w:rPr>
        <w:t>a</w:t>
      </w:r>
      <w:r w:rsidRPr="00A50E4D">
        <w:rPr>
          <w:lang w:val="en-US"/>
        </w:rPr>
        <w:t xml:space="preserve"> “control </w:t>
      </w:r>
      <w:r w:rsidR="0087695C" w:rsidRPr="00A50E4D">
        <w:rPr>
          <w:lang w:val="en-US"/>
        </w:rPr>
        <w:t xml:space="preserve">of conventionality” between domestic law </w:t>
      </w:r>
      <w:r w:rsidR="009808C5" w:rsidRPr="00A50E4D">
        <w:rPr>
          <w:lang w:val="en-US"/>
        </w:rPr>
        <w:t>and the American Convention</w:t>
      </w:r>
      <w:r w:rsidRPr="00A50E4D">
        <w:rPr>
          <w:lang w:val="en-US"/>
        </w:rPr>
        <w:t>, evident</w:t>
      </w:r>
      <w:r w:rsidR="0087695C" w:rsidRPr="00A50E4D">
        <w:rPr>
          <w:lang w:val="en-US"/>
        </w:rPr>
        <w:t xml:space="preserve">ly within the </w:t>
      </w:r>
      <w:r w:rsidR="000A786A" w:rsidRPr="00A50E4D">
        <w:rPr>
          <w:lang w:val="en-US"/>
        </w:rPr>
        <w:t>framework</w:t>
      </w:r>
      <w:r w:rsidR="00967C12" w:rsidRPr="00A50E4D">
        <w:rPr>
          <w:lang w:val="en-US"/>
        </w:rPr>
        <w:t xml:space="preserve"> of their respective jurisdictions </w:t>
      </w:r>
      <w:r w:rsidR="0087695C" w:rsidRPr="00A50E4D">
        <w:rPr>
          <w:lang w:val="en-US"/>
        </w:rPr>
        <w:t xml:space="preserve">and the corresponding procedural regulations. In this task, the judges and </w:t>
      </w:r>
      <w:r w:rsidR="00967C12" w:rsidRPr="00A50E4D">
        <w:rPr>
          <w:lang w:val="en-US"/>
        </w:rPr>
        <w:t>bodie</w:t>
      </w:r>
      <w:r w:rsidR="0087695C" w:rsidRPr="00A50E4D">
        <w:rPr>
          <w:lang w:val="en-US"/>
        </w:rPr>
        <w:t xml:space="preserve">s involved in the </w:t>
      </w:r>
      <w:r w:rsidR="006A228E" w:rsidRPr="00A50E4D">
        <w:rPr>
          <w:szCs w:val="20"/>
          <w:lang w:val="en-US"/>
        </w:rPr>
        <w:t>administration of justice</w:t>
      </w:r>
      <w:r w:rsidRPr="00A50E4D">
        <w:rPr>
          <w:szCs w:val="20"/>
          <w:lang w:val="en-US"/>
        </w:rPr>
        <w:t xml:space="preserve"> </w:t>
      </w:r>
      <w:r w:rsidR="0087695C" w:rsidRPr="00A50E4D">
        <w:rPr>
          <w:szCs w:val="20"/>
          <w:lang w:val="en-US"/>
        </w:rPr>
        <w:t xml:space="preserve">must take into account not only the treaty, but also the interpretation of this that has been made by </w:t>
      </w:r>
      <w:r w:rsidR="009808C5" w:rsidRPr="00A50E4D">
        <w:rPr>
          <w:szCs w:val="20"/>
          <w:lang w:val="en-US"/>
        </w:rPr>
        <w:t>the Inter-American Court</w:t>
      </w:r>
      <w:r w:rsidRPr="00A50E4D">
        <w:rPr>
          <w:szCs w:val="20"/>
          <w:lang w:val="en-US"/>
        </w:rPr>
        <w:t xml:space="preserve">, </w:t>
      </w:r>
      <w:r w:rsidR="0087695C" w:rsidRPr="00A50E4D">
        <w:rPr>
          <w:szCs w:val="20"/>
          <w:lang w:val="en-US"/>
        </w:rPr>
        <w:t xml:space="preserve">ultimate interpreter </w:t>
      </w:r>
      <w:r w:rsidR="009808C5" w:rsidRPr="00A50E4D">
        <w:rPr>
          <w:szCs w:val="20"/>
          <w:lang w:val="en-US"/>
        </w:rPr>
        <w:t>of the American Convention</w:t>
      </w:r>
      <w:r w:rsidR="0087695C" w:rsidRPr="00A50E4D">
        <w:rPr>
          <w:szCs w:val="20"/>
          <w:lang w:val="en-US"/>
        </w:rPr>
        <w:t>.</w:t>
      </w:r>
      <w:r w:rsidRPr="00A50E4D">
        <w:rPr>
          <w:rStyle w:val="FootnoteReference"/>
          <w:sz w:val="20"/>
          <w:szCs w:val="20"/>
          <w:lang w:val="en-US"/>
        </w:rPr>
        <w:footnoteReference w:id="463"/>
      </w:r>
      <w:r w:rsidR="0087695C" w:rsidRPr="00A50E4D">
        <w:rPr>
          <w:szCs w:val="20"/>
          <w:lang w:val="en-US"/>
        </w:rPr>
        <w:t xml:space="preserve"> Therefore, when applying the new disciplinary regime, the domestic authorities are obliged to take into account the interpretations </w:t>
      </w:r>
      <w:r w:rsidR="009808C5" w:rsidRPr="00A50E4D">
        <w:rPr>
          <w:szCs w:val="20"/>
          <w:lang w:val="en-US"/>
        </w:rPr>
        <w:t>of the American Convention</w:t>
      </w:r>
      <w:r w:rsidRPr="00A50E4D">
        <w:rPr>
          <w:szCs w:val="20"/>
          <w:lang w:val="en-US"/>
        </w:rPr>
        <w:t xml:space="preserve"> </w:t>
      </w:r>
      <w:r w:rsidR="0087695C" w:rsidRPr="00A50E4D">
        <w:rPr>
          <w:szCs w:val="20"/>
          <w:lang w:val="en-US"/>
        </w:rPr>
        <w:t>made by</w:t>
      </w:r>
      <w:r w:rsidRPr="00A50E4D">
        <w:rPr>
          <w:szCs w:val="20"/>
          <w:lang w:val="en-US"/>
        </w:rPr>
        <w:t xml:space="preserve"> </w:t>
      </w:r>
      <w:r w:rsidR="009808C5" w:rsidRPr="00A50E4D">
        <w:rPr>
          <w:szCs w:val="20"/>
          <w:lang w:val="en-US"/>
        </w:rPr>
        <w:t>the Inter-American Court</w:t>
      </w:r>
      <w:r w:rsidR="0087695C" w:rsidRPr="00A50E4D">
        <w:rPr>
          <w:szCs w:val="20"/>
          <w:lang w:val="en-US"/>
        </w:rPr>
        <w:t xml:space="preserve"> in this and other cases, including those relating to the importance that </w:t>
      </w:r>
      <w:r w:rsidR="00277E12" w:rsidRPr="00A50E4D">
        <w:rPr>
          <w:szCs w:val="20"/>
          <w:lang w:val="en-US"/>
        </w:rPr>
        <w:t>disciplinary proceedings</w:t>
      </w:r>
      <w:r w:rsidR="009808C5" w:rsidRPr="00A50E4D">
        <w:rPr>
          <w:szCs w:val="20"/>
          <w:lang w:val="en-US"/>
        </w:rPr>
        <w:t xml:space="preserve"> and </w:t>
      </w:r>
      <w:r w:rsidR="0087695C" w:rsidRPr="00A50E4D">
        <w:rPr>
          <w:szCs w:val="20"/>
          <w:lang w:val="en-US"/>
        </w:rPr>
        <w:t xml:space="preserve">the applicable norms are clearly and legally established, to the judicial guarantees that must be ensured in this type of proceedings, to the right to tenure, as well as to the respect for </w:t>
      </w:r>
      <w:r w:rsidR="00371BB7" w:rsidRPr="00A50E4D">
        <w:rPr>
          <w:lang w:val="en-US"/>
        </w:rPr>
        <w:t>political rights</w:t>
      </w:r>
      <w:r w:rsidRPr="00A50E4D">
        <w:rPr>
          <w:lang w:val="en-US"/>
        </w:rPr>
        <w:t xml:space="preserve">, </w:t>
      </w:r>
      <w:r w:rsidR="00371BB7" w:rsidRPr="00A50E4D">
        <w:rPr>
          <w:lang w:val="en-US"/>
        </w:rPr>
        <w:t>freedom of expression</w:t>
      </w:r>
      <w:r w:rsidR="009808C5" w:rsidRPr="00A50E4D">
        <w:rPr>
          <w:lang w:val="en-US"/>
        </w:rPr>
        <w:t xml:space="preserve"> and </w:t>
      </w:r>
      <w:r w:rsidR="00371BB7" w:rsidRPr="00A50E4D">
        <w:rPr>
          <w:lang w:val="en-US"/>
        </w:rPr>
        <w:t>the right of assembly</w:t>
      </w:r>
      <w:r w:rsidRPr="00A50E4D">
        <w:rPr>
          <w:lang w:val="en-US"/>
        </w:rPr>
        <w:t xml:space="preserve"> </w:t>
      </w:r>
      <w:r w:rsidR="0087695C" w:rsidRPr="00A50E4D">
        <w:rPr>
          <w:lang w:val="en-US"/>
        </w:rPr>
        <w:t>of</w:t>
      </w:r>
      <w:r w:rsidRPr="00A50E4D">
        <w:rPr>
          <w:lang w:val="en-US"/>
        </w:rPr>
        <w:t xml:space="preserve"> </w:t>
      </w:r>
      <w:r w:rsidR="009808C5" w:rsidRPr="00A50E4D">
        <w:rPr>
          <w:lang w:val="en-US"/>
        </w:rPr>
        <w:t>judges</w:t>
      </w:r>
      <w:r w:rsidRPr="00A50E4D">
        <w:rPr>
          <w:lang w:val="en-US"/>
        </w:rPr>
        <w:t xml:space="preserve">. </w:t>
      </w:r>
      <w:r w:rsidR="0087695C" w:rsidRPr="00A50E4D">
        <w:rPr>
          <w:lang w:val="en-US"/>
        </w:rPr>
        <w:t xml:space="preserve">The Court will not examine compliance with this obligation when monitoring compliance with </w:t>
      </w:r>
      <w:r w:rsidR="00F814CB" w:rsidRPr="00A50E4D">
        <w:rPr>
          <w:lang w:val="en-US"/>
        </w:rPr>
        <w:t>this judgment</w:t>
      </w:r>
      <w:r w:rsidRPr="00A50E4D">
        <w:rPr>
          <w:lang w:val="en-US"/>
        </w:rPr>
        <w:t>.</w:t>
      </w:r>
    </w:p>
    <w:p w14:paraId="4327ADF8" w14:textId="77777777" w:rsidR="007A5DB4" w:rsidRPr="00A50E4D" w:rsidRDefault="007A5DB4" w:rsidP="007A5DB4">
      <w:pPr>
        <w:pStyle w:val="PrrafodeSentencia"/>
        <w:numPr>
          <w:ilvl w:val="0"/>
          <w:numId w:val="0"/>
        </w:numPr>
        <w:rPr>
          <w:lang w:val="en-US"/>
        </w:rPr>
      </w:pPr>
      <w:r w:rsidRPr="00A50E4D">
        <w:rPr>
          <w:lang w:val="en-US"/>
        </w:rPr>
        <w:t xml:space="preserve"> </w:t>
      </w:r>
    </w:p>
    <w:p w14:paraId="6449E074" w14:textId="153A1F4D" w:rsidR="007A5DB4" w:rsidRPr="00A50E4D" w:rsidRDefault="0087695C" w:rsidP="007A5DB4">
      <w:pPr>
        <w:pStyle w:val="PrrafodeSentencia"/>
        <w:rPr>
          <w:lang w:val="en-US"/>
        </w:rPr>
      </w:pPr>
      <w:r w:rsidRPr="00A50E4D">
        <w:rPr>
          <w:lang w:val="en-US"/>
        </w:rPr>
        <w:t xml:space="preserve">Regarding the other measures requested, the Court considers that the delivery </w:t>
      </w:r>
      <w:r w:rsidR="00FF35A9" w:rsidRPr="00A50E4D">
        <w:rPr>
          <w:lang w:val="en-US"/>
        </w:rPr>
        <w:t xml:space="preserve">of </w:t>
      </w:r>
      <w:r w:rsidR="00F814CB" w:rsidRPr="00A50E4D">
        <w:rPr>
          <w:lang w:val="en-US"/>
        </w:rPr>
        <w:t>this judgment</w:t>
      </w:r>
      <w:r w:rsidR="009808C5" w:rsidRPr="00A50E4D">
        <w:rPr>
          <w:lang w:val="en-US"/>
        </w:rPr>
        <w:t xml:space="preserve"> and </w:t>
      </w:r>
      <w:r w:rsidRPr="00A50E4D">
        <w:rPr>
          <w:lang w:val="en-US"/>
        </w:rPr>
        <w:t>the reparations ordered in this chapter are sufficient and adequate to redress the violations suffered by the victims, and does not find it necessary to order such additional measures</w:t>
      </w:r>
      <w:r w:rsidR="007A5DB4" w:rsidRPr="00A50E4D">
        <w:rPr>
          <w:lang w:val="en-US"/>
        </w:rPr>
        <w:t>.</w:t>
      </w:r>
    </w:p>
    <w:p w14:paraId="0134A86C" w14:textId="77777777" w:rsidR="007A5DB4" w:rsidRPr="00A50E4D" w:rsidRDefault="007A5DB4" w:rsidP="007A5DB4">
      <w:pPr>
        <w:pStyle w:val="PrrafodeSentencia"/>
        <w:numPr>
          <w:ilvl w:val="0"/>
          <w:numId w:val="0"/>
        </w:numPr>
        <w:rPr>
          <w:lang w:val="en-US"/>
        </w:rPr>
      </w:pPr>
    </w:p>
    <w:p w14:paraId="5C2DE863" w14:textId="3CEF9F94" w:rsidR="007A5DB4" w:rsidRPr="00A50E4D" w:rsidRDefault="007A5DB4" w:rsidP="007A5DB4">
      <w:pPr>
        <w:pStyle w:val="Heading2"/>
        <w:rPr>
          <w:spacing w:val="-4"/>
          <w:lang w:val="en-US"/>
        </w:rPr>
      </w:pPr>
      <w:bookmarkStart w:id="465" w:name="_Toc418074121"/>
      <w:bookmarkStart w:id="466" w:name="_Toc418503926"/>
      <w:bookmarkStart w:id="467" w:name="_Toc418912655"/>
      <w:bookmarkStart w:id="468" w:name="_Toc418912879"/>
      <w:bookmarkStart w:id="469" w:name="_Toc419394459"/>
      <w:bookmarkStart w:id="470" w:name="_Toc423361058"/>
      <w:bookmarkStart w:id="471" w:name="_Toc427234585"/>
      <w:bookmarkStart w:id="472" w:name="_Toc427932831"/>
      <w:bookmarkStart w:id="473" w:name="_Toc431584678"/>
      <w:bookmarkStart w:id="474" w:name="_Toc471717312"/>
      <w:r w:rsidRPr="00A50E4D">
        <w:rPr>
          <w:spacing w:val="-4"/>
          <w:lang w:val="en-US"/>
        </w:rPr>
        <w:t xml:space="preserve">D. </w:t>
      </w:r>
      <w:bookmarkEnd w:id="465"/>
      <w:bookmarkEnd w:id="466"/>
      <w:bookmarkEnd w:id="467"/>
      <w:bookmarkEnd w:id="468"/>
      <w:bookmarkEnd w:id="469"/>
      <w:bookmarkEnd w:id="470"/>
      <w:bookmarkEnd w:id="471"/>
      <w:bookmarkEnd w:id="472"/>
      <w:r w:rsidR="00A45503" w:rsidRPr="00A50E4D">
        <w:rPr>
          <w:spacing w:val="-4"/>
          <w:lang w:val="en-US"/>
        </w:rPr>
        <w:t>Compensation</w:t>
      </w:r>
      <w:bookmarkEnd w:id="473"/>
      <w:bookmarkEnd w:id="474"/>
    </w:p>
    <w:p w14:paraId="6838FDCC" w14:textId="77777777" w:rsidR="007A5DB4" w:rsidRPr="00A50E4D" w:rsidRDefault="007A5DB4" w:rsidP="007A5DB4">
      <w:pPr>
        <w:pStyle w:val="PrrafodeSentencia"/>
        <w:numPr>
          <w:ilvl w:val="0"/>
          <w:numId w:val="0"/>
        </w:numPr>
        <w:rPr>
          <w:lang w:val="en-US"/>
        </w:rPr>
      </w:pPr>
    </w:p>
    <w:p w14:paraId="6D6D6CA0" w14:textId="0A4E7BED" w:rsidR="007A5DB4" w:rsidRPr="00A50E4D" w:rsidRDefault="00CD2874" w:rsidP="007A5DB4">
      <w:pPr>
        <w:pStyle w:val="PrrafodeSentencia"/>
        <w:rPr>
          <w:lang w:val="en-US"/>
        </w:rPr>
      </w:pPr>
      <w:r w:rsidRPr="00A50E4D">
        <w:rPr>
          <w:lang w:val="en-US"/>
        </w:rPr>
        <w:t>The Commission</w:t>
      </w:r>
      <w:r w:rsidR="007A5DB4" w:rsidRPr="00A50E4D">
        <w:rPr>
          <w:lang w:val="en-US"/>
        </w:rPr>
        <w:t xml:space="preserve"> </w:t>
      </w:r>
      <w:r w:rsidR="00640C35" w:rsidRPr="00A50E4D">
        <w:rPr>
          <w:lang w:val="en-US"/>
        </w:rPr>
        <w:t>asked</w:t>
      </w:r>
      <w:r w:rsidR="007A5DB4" w:rsidRPr="00A50E4D">
        <w:rPr>
          <w:lang w:val="en-US"/>
        </w:rPr>
        <w:t xml:space="preserve"> </w:t>
      </w:r>
      <w:r w:rsidR="009808C5" w:rsidRPr="00A50E4D">
        <w:rPr>
          <w:lang w:val="en-US"/>
        </w:rPr>
        <w:t>the Court</w:t>
      </w:r>
      <w:r w:rsidR="007A5DB4" w:rsidRPr="00A50E4D">
        <w:rPr>
          <w:lang w:val="en-US"/>
        </w:rPr>
        <w:t xml:space="preserve"> </w:t>
      </w:r>
      <w:r w:rsidR="004714EE" w:rsidRPr="00A50E4D">
        <w:rPr>
          <w:lang w:val="en-US"/>
        </w:rPr>
        <w:t xml:space="preserve">to order reparation for the violations declared in the </w:t>
      </w:r>
      <w:r w:rsidR="0048601C" w:rsidRPr="00A50E4D">
        <w:rPr>
          <w:lang w:val="en-US"/>
        </w:rPr>
        <w:t>Merits Report</w:t>
      </w:r>
      <w:r w:rsidR="007A5DB4" w:rsidRPr="00A50E4D">
        <w:rPr>
          <w:lang w:val="en-US"/>
        </w:rPr>
        <w:t>, “inclu</w:t>
      </w:r>
      <w:r w:rsidR="004714EE" w:rsidRPr="00A50E4D">
        <w:rPr>
          <w:lang w:val="en-US"/>
        </w:rPr>
        <w:t xml:space="preserve">ding both </w:t>
      </w:r>
      <w:r w:rsidR="00F814CB" w:rsidRPr="00A50E4D">
        <w:rPr>
          <w:lang w:val="en-US"/>
        </w:rPr>
        <w:t xml:space="preserve">pecuniary </w:t>
      </w:r>
      <w:r w:rsidR="004714EE" w:rsidRPr="00A50E4D">
        <w:rPr>
          <w:lang w:val="en-US"/>
        </w:rPr>
        <w:t>and</w:t>
      </w:r>
      <w:r w:rsidR="007A5DB4" w:rsidRPr="00A50E4D">
        <w:rPr>
          <w:lang w:val="en-US"/>
        </w:rPr>
        <w:t xml:space="preserve"> </w:t>
      </w:r>
      <w:r w:rsidR="00F814CB" w:rsidRPr="00A50E4D">
        <w:rPr>
          <w:lang w:val="en-US"/>
        </w:rPr>
        <w:t>non-pecuniary damage</w:t>
      </w:r>
      <w:r w:rsidR="00967C12" w:rsidRPr="00A50E4D">
        <w:rPr>
          <w:lang w:val="en-US"/>
        </w:rPr>
        <w:t>s</w:t>
      </w:r>
      <w:r w:rsidR="004714EE" w:rsidRPr="00A50E4D">
        <w:rPr>
          <w:lang w:val="en-US"/>
        </w:rPr>
        <w:t>.”</w:t>
      </w:r>
      <w:r w:rsidR="007A5DB4" w:rsidRPr="00A50E4D">
        <w:rPr>
          <w:lang w:val="en-US"/>
        </w:rPr>
        <w:t xml:space="preserve"> </w:t>
      </w:r>
    </w:p>
    <w:p w14:paraId="19ED1716" w14:textId="77777777" w:rsidR="007A5DB4" w:rsidRPr="00A50E4D" w:rsidRDefault="007A5DB4" w:rsidP="007A5DB4">
      <w:pPr>
        <w:pStyle w:val="PrrafodeSentencia"/>
        <w:numPr>
          <w:ilvl w:val="0"/>
          <w:numId w:val="0"/>
        </w:numPr>
        <w:rPr>
          <w:lang w:val="en-US"/>
        </w:rPr>
      </w:pPr>
    </w:p>
    <w:p w14:paraId="379B5C44" w14:textId="094B189F" w:rsidR="007A5DB4" w:rsidRPr="00A50E4D" w:rsidRDefault="007A5DB4" w:rsidP="007A5DB4">
      <w:pPr>
        <w:pStyle w:val="Heading3"/>
        <w:rPr>
          <w:i/>
          <w:iCs/>
          <w:spacing w:val="-4"/>
          <w:lang w:val="en-US"/>
        </w:rPr>
      </w:pPr>
      <w:bookmarkStart w:id="475" w:name="_Toc431584679"/>
      <w:bookmarkStart w:id="476" w:name="_Toc471717313"/>
      <w:r w:rsidRPr="00A50E4D">
        <w:rPr>
          <w:spacing w:val="-4"/>
          <w:lang w:val="en-US"/>
        </w:rPr>
        <w:t xml:space="preserve">D.1)  </w:t>
      </w:r>
      <w:r w:rsidR="00F814CB" w:rsidRPr="00A50E4D">
        <w:rPr>
          <w:spacing w:val="-4"/>
          <w:lang w:val="en-US"/>
        </w:rPr>
        <w:t>Pecuniary damage</w:t>
      </w:r>
      <w:bookmarkEnd w:id="475"/>
      <w:bookmarkEnd w:id="476"/>
      <w:r w:rsidRPr="00A50E4D">
        <w:rPr>
          <w:spacing w:val="-4"/>
          <w:lang w:val="en-US"/>
        </w:rPr>
        <w:t xml:space="preserve"> </w:t>
      </w:r>
    </w:p>
    <w:p w14:paraId="5E2F7C29" w14:textId="77777777" w:rsidR="007A5DB4" w:rsidRPr="00A50E4D" w:rsidRDefault="007A5DB4" w:rsidP="007A5DB4">
      <w:pPr>
        <w:pStyle w:val="PrrafodeSentencia"/>
        <w:numPr>
          <w:ilvl w:val="0"/>
          <w:numId w:val="0"/>
        </w:numPr>
        <w:rPr>
          <w:lang w:val="en-US"/>
        </w:rPr>
      </w:pPr>
    </w:p>
    <w:p w14:paraId="5EBB1A78" w14:textId="3ECC5677" w:rsidR="007A5DB4" w:rsidRPr="00A50E4D" w:rsidRDefault="00AD5EE7" w:rsidP="007A5DB4">
      <w:pPr>
        <w:pStyle w:val="PrrafodeSentencia"/>
        <w:rPr>
          <w:lang w:val="en-US"/>
        </w:rPr>
      </w:pPr>
      <w:r w:rsidRPr="00A50E4D">
        <w:rPr>
          <w:lang w:val="en-US"/>
        </w:rPr>
        <w:t>The representatives</w:t>
      </w:r>
      <w:r w:rsidR="007A5DB4" w:rsidRPr="00A50E4D">
        <w:rPr>
          <w:lang w:val="en-US"/>
        </w:rPr>
        <w:t xml:space="preserve"> </w:t>
      </w:r>
      <w:r w:rsidR="004714EE" w:rsidRPr="00A50E4D">
        <w:rPr>
          <w:lang w:val="en-US"/>
        </w:rPr>
        <w:t>argued that “[f</w:t>
      </w:r>
      <w:r w:rsidR="007A5DB4" w:rsidRPr="00A50E4D">
        <w:rPr>
          <w:lang w:val="en-US"/>
        </w:rPr>
        <w:t>]</w:t>
      </w:r>
      <w:r w:rsidR="004714EE" w:rsidRPr="00A50E4D">
        <w:rPr>
          <w:lang w:val="en-US"/>
        </w:rPr>
        <w:t>rom the start of</w:t>
      </w:r>
      <w:r w:rsidR="00FF35A9" w:rsidRPr="00A50E4D">
        <w:rPr>
          <w:lang w:val="en-US"/>
        </w:rPr>
        <w:t xml:space="preserve"> the </w:t>
      </w:r>
      <w:r w:rsidR="00277E12" w:rsidRPr="00A50E4D">
        <w:rPr>
          <w:lang w:val="en-US"/>
        </w:rPr>
        <w:t>disciplinary proceedings</w:t>
      </w:r>
      <w:r w:rsidR="007A5DB4" w:rsidRPr="00A50E4D">
        <w:rPr>
          <w:lang w:val="en-US"/>
        </w:rPr>
        <w:t xml:space="preserve">, </w:t>
      </w:r>
      <w:r w:rsidR="004714EE" w:rsidRPr="00A50E4D">
        <w:rPr>
          <w:lang w:val="en-US"/>
        </w:rPr>
        <w:t>the</w:t>
      </w:r>
      <w:r w:rsidR="007A5DB4" w:rsidRPr="00A50E4D">
        <w:rPr>
          <w:lang w:val="en-US"/>
        </w:rPr>
        <w:t xml:space="preserve"> </w:t>
      </w:r>
      <w:r w:rsidR="004B0477" w:rsidRPr="00A50E4D">
        <w:rPr>
          <w:lang w:val="en-US"/>
        </w:rPr>
        <w:t>[presumed]</w:t>
      </w:r>
      <w:r w:rsidR="007A5DB4" w:rsidRPr="00A50E4D">
        <w:rPr>
          <w:lang w:val="en-US"/>
        </w:rPr>
        <w:t xml:space="preserve"> </w:t>
      </w:r>
      <w:r w:rsidR="004B0477" w:rsidRPr="00A50E4D">
        <w:rPr>
          <w:lang w:val="en-US"/>
        </w:rPr>
        <w:t>victims</w:t>
      </w:r>
      <w:r w:rsidR="007A5DB4" w:rsidRPr="00A50E4D">
        <w:rPr>
          <w:lang w:val="en-US"/>
        </w:rPr>
        <w:t xml:space="preserve"> […] </w:t>
      </w:r>
      <w:r w:rsidR="004714EE" w:rsidRPr="00A50E4D">
        <w:rPr>
          <w:lang w:val="en-US"/>
        </w:rPr>
        <w:t xml:space="preserve">have taken steps to obtain justice and to try and reverse the decisions that have violated their rights.” They indicated that “numerous actions have been taken […] in their search for justice,” </w:t>
      </w:r>
      <w:r w:rsidR="00967C12" w:rsidRPr="00A50E4D">
        <w:rPr>
          <w:lang w:val="en-US"/>
        </w:rPr>
        <w:t>and this had</w:t>
      </w:r>
      <w:r w:rsidR="004714EE" w:rsidRPr="00A50E4D">
        <w:rPr>
          <w:lang w:val="en-US"/>
        </w:rPr>
        <w:t xml:space="preserve"> entailed many hours of work. In </w:t>
      </w:r>
      <w:r w:rsidR="007A5DB4" w:rsidRPr="00A50E4D">
        <w:rPr>
          <w:lang w:val="en-US"/>
        </w:rPr>
        <w:t xml:space="preserve">particular, </w:t>
      </w:r>
      <w:r w:rsidR="004714EE" w:rsidRPr="00A50E4D">
        <w:rPr>
          <w:lang w:val="en-US"/>
        </w:rPr>
        <w:t>they asserted that, on May 17, 2010, J</w:t>
      </w:r>
      <w:r w:rsidR="009808C5" w:rsidRPr="00A50E4D">
        <w:rPr>
          <w:lang w:val="en-US"/>
        </w:rPr>
        <w:t>udges</w:t>
      </w:r>
      <w:r w:rsidR="007A5DB4" w:rsidRPr="00A50E4D">
        <w:rPr>
          <w:lang w:val="en-US"/>
        </w:rPr>
        <w:t xml:space="preserve"> </w:t>
      </w:r>
      <w:r w:rsidR="009A7056" w:rsidRPr="00A50E4D">
        <w:rPr>
          <w:lang w:val="en-US"/>
        </w:rPr>
        <w:t>Chévez de la Rocha</w:t>
      </w:r>
      <w:r w:rsidR="009808C5" w:rsidRPr="00A50E4D">
        <w:rPr>
          <w:lang w:val="en-US"/>
        </w:rPr>
        <w:t xml:space="preserve"> and </w:t>
      </w:r>
      <w:r w:rsidR="007A5DB4" w:rsidRPr="00A50E4D">
        <w:rPr>
          <w:lang w:val="en-US"/>
        </w:rPr>
        <w:t>López Lone</w:t>
      </w:r>
      <w:r w:rsidR="004714EE" w:rsidRPr="00A50E4D">
        <w:rPr>
          <w:lang w:val="en-US"/>
        </w:rPr>
        <w:t>,</w:t>
      </w:r>
      <w:r w:rsidR="007A5DB4" w:rsidRPr="00A50E4D">
        <w:rPr>
          <w:lang w:val="en-US"/>
        </w:rPr>
        <w:t xml:space="preserve"> </w:t>
      </w:r>
      <w:r w:rsidR="004714EE" w:rsidRPr="00A50E4D">
        <w:rPr>
          <w:lang w:val="en-US"/>
        </w:rPr>
        <w:t xml:space="preserve">together with several members </w:t>
      </w:r>
      <w:r w:rsidR="004626E5" w:rsidRPr="00A50E4D">
        <w:rPr>
          <w:lang w:val="en-US"/>
        </w:rPr>
        <w:t xml:space="preserve">of the </w:t>
      </w:r>
      <w:r w:rsidR="0048601C" w:rsidRPr="00A50E4D">
        <w:rPr>
          <w:lang w:val="en-US"/>
        </w:rPr>
        <w:t>Association of Judges</w:t>
      </w:r>
      <w:r w:rsidR="00371BB7" w:rsidRPr="00A50E4D">
        <w:rPr>
          <w:lang w:val="en-US"/>
        </w:rPr>
        <w:t xml:space="preserve"> for Democracy</w:t>
      </w:r>
      <w:r w:rsidR="004714EE" w:rsidRPr="00A50E4D">
        <w:rPr>
          <w:lang w:val="en-US"/>
        </w:rPr>
        <w:t>, began a 15-day hunger strike</w:t>
      </w:r>
      <w:r w:rsidR="007A5DB4" w:rsidRPr="00A50E4D">
        <w:rPr>
          <w:lang w:val="en-US"/>
        </w:rPr>
        <w:t xml:space="preserve"> </w:t>
      </w:r>
      <w:r w:rsidR="004714EE" w:rsidRPr="00A50E4D">
        <w:rPr>
          <w:lang w:val="en-US"/>
        </w:rPr>
        <w:t>to demand justice</w:t>
      </w:r>
      <w:r w:rsidR="007A5DB4" w:rsidRPr="00A50E4D">
        <w:rPr>
          <w:lang w:val="en-US"/>
        </w:rPr>
        <w:t>.</w:t>
      </w:r>
      <w:r w:rsidR="004714EE" w:rsidRPr="00A50E4D">
        <w:rPr>
          <w:lang w:val="en-US"/>
        </w:rPr>
        <w:t xml:space="preserve"> This protest “entailed a series of expenses, including transport, telephone calls, stationary, rental of tents, and the medical care that the two [presumed] victims received.” According to </w:t>
      </w:r>
      <w:r w:rsidRPr="00A50E4D">
        <w:rPr>
          <w:lang w:val="en-US"/>
        </w:rPr>
        <w:t>the representatives</w:t>
      </w:r>
      <w:r w:rsidR="004714EE" w:rsidRPr="00A50E4D">
        <w:rPr>
          <w:lang w:val="en-US"/>
        </w:rPr>
        <w:t>, some of</w:t>
      </w:r>
      <w:r w:rsidR="007A5DB4" w:rsidRPr="00A50E4D">
        <w:rPr>
          <w:lang w:val="en-US"/>
        </w:rPr>
        <w:t xml:space="preserve"> </w:t>
      </w:r>
      <w:r w:rsidR="00A45503" w:rsidRPr="00A50E4D">
        <w:rPr>
          <w:lang w:val="en-US"/>
        </w:rPr>
        <w:t>the expenses</w:t>
      </w:r>
      <w:r w:rsidR="007A5DB4" w:rsidRPr="00A50E4D">
        <w:rPr>
          <w:lang w:val="en-US"/>
        </w:rPr>
        <w:t xml:space="preserve"> </w:t>
      </w:r>
      <w:r w:rsidR="004714EE" w:rsidRPr="00A50E4D">
        <w:rPr>
          <w:lang w:val="en-US"/>
        </w:rPr>
        <w:t xml:space="preserve">were assumed directly by </w:t>
      </w:r>
      <w:r w:rsidR="00371BB7" w:rsidRPr="00A50E4D">
        <w:rPr>
          <w:lang w:val="en-US"/>
        </w:rPr>
        <w:t>the presumed victims</w:t>
      </w:r>
      <w:r w:rsidR="007A5DB4" w:rsidRPr="00A50E4D">
        <w:rPr>
          <w:lang w:val="en-US"/>
        </w:rPr>
        <w:t xml:space="preserve">. </w:t>
      </w:r>
      <w:r w:rsidR="004714EE" w:rsidRPr="00A50E4D">
        <w:rPr>
          <w:lang w:val="en-US"/>
        </w:rPr>
        <w:t xml:space="preserve">They also indicated that </w:t>
      </w:r>
      <w:r w:rsidR="009A7056" w:rsidRPr="00A50E4D">
        <w:rPr>
          <w:lang w:val="en-US"/>
        </w:rPr>
        <w:t>Mr. Chévez de la Rocha</w:t>
      </w:r>
      <w:r w:rsidR="00025734" w:rsidRPr="00A50E4D">
        <w:rPr>
          <w:lang w:val="en-US"/>
        </w:rPr>
        <w:t xml:space="preserve"> </w:t>
      </w:r>
      <w:r w:rsidR="004714EE" w:rsidRPr="00A50E4D">
        <w:rPr>
          <w:lang w:val="en-US"/>
        </w:rPr>
        <w:t xml:space="preserve">had to </w:t>
      </w:r>
      <w:r w:rsidR="000A786A" w:rsidRPr="00A50E4D">
        <w:rPr>
          <w:lang w:val="en-US"/>
        </w:rPr>
        <w:t>assume</w:t>
      </w:r>
      <w:r w:rsidR="004714EE" w:rsidRPr="00A50E4D">
        <w:rPr>
          <w:lang w:val="en-US"/>
        </w:rPr>
        <w:t xml:space="preserve"> additional expenses for the treatment of his son, owing to the impossibility of using the private medical insurance offered by the Judiciary. Lastly, they argued that, owing to the passage of time, they do not have vouchers for the said expenses and, therefore, </w:t>
      </w:r>
      <w:r w:rsidR="004714EE" w:rsidRPr="00A50E4D">
        <w:rPr>
          <w:lang w:val="en-US"/>
        </w:rPr>
        <w:lastRenderedPageBreak/>
        <w:t xml:space="preserve">asked the Court to determine, in fairness, the amount corresponding to consequential damage for each </w:t>
      </w:r>
      <w:r w:rsidR="00371BB7" w:rsidRPr="00A50E4D">
        <w:rPr>
          <w:lang w:val="en-US"/>
        </w:rPr>
        <w:t>of the presumed victims</w:t>
      </w:r>
      <w:r w:rsidR="007A5DB4" w:rsidRPr="00A50E4D">
        <w:rPr>
          <w:lang w:val="en-US"/>
        </w:rPr>
        <w:t xml:space="preserve">. </w:t>
      </w:r>
    </w:p>
    <w:p w14:paraId="4AF344CF" w14:textId="77777777" w:rsidR="007A5DB4" w:rsidRPr="00A50E4D" w:rsidRDefault="007A5DB4" w:rsidP="007A5DB4">
      <w:pPr>
        <w:pStyle w:val="PrrafodeSentencia"/>
        <w:numPr>
          <w:ilvl w:val="0"/>
          <w:numId w:val="0"/>
        </w:numPr>
        <w:rPr>
          <w:lang w:val="en-US"/>
        </w:rPr>
      </w:pPr>
    </w:p>
    <w:p w14:paraId="71A3A385" w14:textId="4797A571" w:rsidR="007A5DB4" w:rsidRPr="00A50E4D" w:rsidRDefault="004714EE" w:rsidP="004714EE">
      <w:pPr>
        <w:pStyle w:val="PrrafodeSentencia"/>
        <w:rPr>
          <w:lang w:val="en-US"/>
        </w:rPr>
      </w:pPr>
      <w:r w:rsidRPr="00A50E4D">
        <w:rPr>
          <w:lang w:val="en-US"/>
        </w:rPr>
        <w:t xml:space="preserve">Regarding loss of earnings, </w:t>
      </w:r>
      <w:r w:rsidR="00AD5EE7" w:rsidRPr="00A50E4D">
        <w:rPr>
          <w:lang w:val="en-US"/>
        </w:rPr>
        <w:t>the representatives</w:t>
      </w:r>
      <w:r w:rsidRPr="00A50E4D">
        <w:rPr>
          <w:lang w:val="en-US"/>
        </w:rPr>
        <w:t xml:space="preserve"> c</w:t>
      </w:r>
      <w:r w:rsidR="00967C12" w:rsidRPr="00A50E4D">
        <w:rPr>
          <w:lang w:val="en-US"/>
        </w:rPr>
        <w:t>alculated the salaries that the victims</w:t>
      </w:r>
      <w:r w:rsidRPr="00A50E4D">
        <w:rPr>
          <w:lang w:val="en-US"/>
        </w:rPr>
        <w:t xml:space="preserve"> failed to receive bas</w:t>
      </w:r>
      <w:r w:rsidR="00967C12" w:rsidRPr="00A50E4D">
        <w:rPr>
          <w:lang w:val="en-US"/>
        </w:rPr>
        <w:t xml:space="preserve">ed on the salary of each of them </w:t>
      </w:r>
      <w:r w:rsidRPr="00A50E4D">
        <w:rPr>
          <w:lang w:val="en-US"/>
        </w:rPr>
        <w:t xml:space="preserve">at the time of the dismissal, and added two additional salaries a year representing the thirteenth month and social benefits. They also included one </w:t>
      </w:r>
      <w:r w:rsidR="000A786A" w:rsidRPr="00A50E4D">
        <w:rPr>
          <w:lang w:val="en-US"/>
        </w:rPr>
        <w:t>extra salary</w:t>
      </w:r>
      <w:r w:rsidRPr="00A50E4D">
        <w:rPr>
          <w:lang w:val="en-US"/>
        </w:rPr>
        <w:t>, “because the officials and employees of the Judiciary enjoy one month of paid vacations after each year of service.</w:t>
      </w:r>
      <w:r w:rsidR="007A5DB4" w:rsidRPr="00A50E4D">
        <w:rPr>
          <w:lang w:val="en-US"/>
        </w:rPr>
        <w:t>”</w:t>
      </w:r>
      <w:r w:rsidR="007A5DB4" w:rsidRPr="00A50E4D">
        <w:rPr>
          <w:vertAlign w:val="superscript"/>
          <w:lang w:val="en-US"/>
        </w:rPr>
        <w:footnoteReference w:id="464"/>
      </w:r>
      <w:r w:rsidR="007A5DB4" w:rsidRPr="00A50E4D">
        <w:rPr>
          <w:lang w:val="en-US"/>
        </w:rPr>
        <w:t xml:space="preserve"> </w:t>
      </w:r>
      <w:r w:rsidR="00AD5EE7" w:rsidRPr="00A50E4D">
        <w:rPr>
          <w:lang w:val="en-US"/>
        </w:rPr>
        <w:t>The representatives</w:t>
      </w:r>
      <w:r w:rsidR="007A5DB4" w:rsidRPr="00A50E4D">
        <w:rPr>
          <w:lang w:val="en-US"/>
        </w:rPr>
        <w:t xml:space="preserve"> </w:t>
      </w:r>
      <w:r w:rsidRPr="00A50E4D">
        <w:rPr>
          <w:lang w:val="en-US"/>
        </w:rPr>
        <w:t xml:space="preserve">made this </w:t>
      </w:r>
      <w:r w:rsidR="000A786A" w:rsidRPr="00A50E4D">
        <w:rPr>
          <w:lang w:val="en-US"/>
        </w:rPr>
        <w:t>calculation</w:t>
      </w:r>
      <w:r w:rsidRPr="00A50E4D">
        <w:rPr>
          <w:lang w:val="en-US"/>
        </w:rPr>
        <w:t xml:space="preserve"> in their</w:t>
      </w:r>
      <w:r w:rsidR="007A5DB4" w:rsidRPr="00A50E4D">
        <w:rPr>
          <w:lang w:val="en-US"/>
        </w:rPr>
        <w:t xml:space="preserve"> </w:t>
      </w:r>
      <w:r w:rsidR="00D77F26" w:rsidRPr="00A50E4D">
        <w:rPr>
          <w:lang w:val="en-US"/>
        </w:rPr>
        <w:t>pleadings and motions</w:t>
      </w:r>
      <w:r w:rsidR="00CD2874" w:rsidRPr="00A50E4D">
        <w:rPr>
          <w:lang w:val="en-US"/>
        </w:rPr>
        <w:t xml:space="preserve"> brief</w:t>
      </w:r>
      <w:r w:rsidR="007A5DB4" w:rsidRPr="00A50E4D">
        <w:rPr>
          <w:lang w:val="en-US"/>
        </w:rPr>
        <w:t xml:space="preserve"> </w:t>
      </w:r>
      <w:r w:rsidRPr="00A50E4D">
        <w:rPr>
          <w:lang w:val="en-US"/>
        </w:rPr>
        <w:t xml:space="preserve">based on rough estimates, because they “had been denied” access to the certifications of the victims’ salaries at the time of their dismissals. These amounts were adjusted by the representatives after the State had presented the calculations of the salaries that the victims would have received between 2010 and 2014, in response to a request for helpful evidence by </w:t>
      </w:r>
      <w:r w:rsidR="004626E5" w:rsidRPr="00A50E4D">
        <w:rPr>
          <w:lang w:val="en-US"/>
        </w:rPr>
        <w:t xml:space="preserve">the </w:t>
      </w:r>
      <w:r w:rsidR="00CD2874" w:rsidRPr="00A50E4D">
        <w:rPr>
          <w:lang w:val="en-US"/>
        </w:rPr>
        <w:t>President</w:t>
      </w:r>
      <w:r w:rsidR="009808C5" w:rsidRPr="00A50E4D">
        <w:rPr>
          <w:lang w:val="en-US"/>
        </w:rPr>
        <w:t xml:space="preserve"> of the Court</w:t>
      </w:r>
      <w:r w:rsidR="007A5DB4" w:rsidRPr="00A50E4D">
        <w:rPr>
          <w:lang w:val="en-US"/>
        </w:rPr>
        <w:t xml:space="preserve">, </w:t>
      </w:r>
      <w:r w:rsidRPr="00A50E4D">
        <w:rPr>
          <w:lang w:val="en-US"/>
        </w:rPr>
        <w:t>in his order of</w:t>
      </w:r>
      <w:r w:rsidR="00CD2874" w:rsidRPr="00A50E4D">
        <w:rPr>
          <w:lang w:val="en-US"/>
        </w:rPr>
        <w:t xml:space="preserve"> December 10,</w:t>
      </w:r>
      <w:r w:rsidR="007A5DB4" w:rsidRPr="00A50E4D">
        <w:rPr>
          <w:lang w:val="en-US"/>
        </w:rPr>
        <w:t xml:space="preserve"> 2014</w:t>
      </w:r>
      <w:r w:rsidR="007A5DB4" w:rsidRPr="00A50E4D">
        <w:rPr>
          <w:vertAlign w:val="superscript"/>
          <w:lang w:val="en-US"/>
        </w:rPr>
        <w:footnoteReference w:id="465"/>
      </w:r>
      <w:r w:rsidR="007A5DB4" w:rsidRPr="00A50E4D">
        <w:rPr>
          <w:lang w:val="en-US"/>
        </w:rPr>
        <w:t xml:space="preserve"> (</w:t>
      </w:r>
      <w:r w:rsidR="007A5DB4" w:rsidRPr="00A50E4D">
        <w:rPr>
          <w:i/>
          <w:lang w:val="en-US"/>
        </w:rPr>
        <w:t xml:space="preserve">supra </w:t>
      </w:r>
      <w:r w:rsidR="00AD5EE7" w:rsidRPr="00A50E4D">
        <w:rPr>
          <w:lang w:val="en-US"/>
        </w:rPr>
        <w:t>paras.</w:t>
      </w:r>
      <w:r w:rsidR="00B36590" w:rsidRPr="00A50E4D">
        <w:rPr>
          <w:lang w:val="en-US"/>
        </w:rPr>
        <w:t xml:space="preserve"> </w:t>
      </w:r>
      <w:r w:rsidR="00B36590" w:rsidRPr="00914F55">
        <w:rPr>
          <w:lang w:val="en-US"/>
        </w:rPr>
        <w:fldChar w:fldCharType="begin"/>
      </w:r>
      <w:r w:rsidR="00B36590" w:rsidRPr="00A50E4D">
        <w:rPr>
          <w:lang w:val="en-US"/>
        </w:rPr>
        <w:instrText xml:space="preserve"> REF _Ref308536157 \r \h </w:instrText>
      </w:r>
      <w:r w:rsidR="00EA20A5" w:rsidRPr="00A50E4D">
        <w:rPr>
          <w:lang w:val="en-US"/>
        </w:rPr>
        <w:instrText xml:space="preserve"> \* MERGEFORMAT </w:instrText>
      </w:r>
      <w:r w:rsidR="00B36590" w:rsidRPr="00914F55">
        <w:rPr>
          <w:lang w:val="en-US"/>
        </w:rPr>
      </w:r>
      <w:r w:rsidR="00B36590" w:rsidRPr="00914F55">
        <w:rPr>
          <w:lang w:val="en-US"/>
        </w:rPr>
        <w:fldChar w:fldCharType="separate"/>
      </w:r>
      <w:r w:rsidR="00547588">
        <w:rPr>
          <w:lang w:val="en-US"/>
        </w:rPr>
        <w:t>9</w:t>
      </w:r>
      <w:r w:rsidR="00B36590" w:rsidRPr="00914F55">
        <w:rPr>
          <w:lang w:val="en-US"/>
        </w:rPr>
        <w:fldChar w:fldCharType="end"/>
      </w:r>
      <w:r w:rsidR="009808C5" w:rsidRPr="00A50E4D">
        <w:rPr>
          <w:lang w:val="en-US"/>
        </w:rPr>
        <w:t xml:space="preserve"> and </w:t>
      </w:r>
      <w:r w:rsidR="00B36590" w:rsidRPr="00914F55">
        <w:rPr>
          <w:lang w:val="en-US"/>
        </w:rPr>
        <w:fldChar w:fldCharType="begin"/>
      </w:r>
      <w:r w:rsidR="00B36590" w:rsidRPr="00A50E4D">
        <w:rPr>
          <w:lang w:val="en-US"/>
        </w:rPr>
        <w:instrText xml:space="preserve"> REF _Ref434599321 \r \h </w:instrText>
      </w:r>
      <w:r w:rsidR="00EA20A5" w:rsidRPr="00A50E4D">
        <w:rPr>
          <w:lang w:val="en-US"/>
        </w:rPr>
        <w:instrText xml:space="preserve"> \* MERGEFORMAT </w:instrText>
      </w:r>
      <w:r w:rsidR="00B36590" w:rsidRPr="00914F55">
        <w:rPr>
          <w:lang w:val="en-US"/>
        </w:rPr>
      </w:r>
      <w:r w:rsidR="00B36590" w:rsidRPr="00914F55">
        <w:rPr>
          <w:lang w:val="en-US"/>
        </w:rPr>
        <w:fldChar w:fldCharType="separate"/>
      </w:r>
      <w:r w:rsidR="00547588">
        <w:rPr>
          <w:lang w:val="en-US"/>
        </w:rPr>
        <w:t>38</w:t>
      </w:r>
      <w:r w:rsidR="00B36590" w:rsidRPr="00914F55">
        <w:rPr>
          <w:lang w:val="en-US"/>
        </w:rPr>
        <w:fldChar w:fldCharType="end"/>
      </w:r>
      <w:r w:rsidR="007A5DB4" w:rsidRPr="00A50E4D">
        <w:rPr>
          <w:lang w:val="en-US"/>
        </w:rPr>
        <w:t xml:space="preserve">). </w:t>
      </w:r>
    </w:p>
    <w:p w14:paraId="2DC51BDB" w14:textId="77777777" w:rsidR="007A5DB4" w:rsidRPr="00A50E4D" w:rsidRDefault="007A5DB4" w:rsidP="007A5DB4">
      <w:pPr>
        <w:pStyle w:val="PrrafodeSentencia"/>
        <w:numPr>
          <w:ilvl w:val="0"/>
          <w:numId w:val="0"/>
        </w:numPr>
        <w:rPr>
          <w:lang w:val="en-US"/>
        </w:rPr>
      </w:pPr>
    </w:p>
    <w:p w14:paraId="0C94A463" w14:textId="5CCB0DA3" w:rsidR="004714EE" w:rsidRPr="00A50E4D" w:rsidRDefault="004714EE" w:rsidP="007A5DB4">
      <w:pPr>
        <w:pStyle w:val="PrrafodeSentencia"/>
        <w:rPr>
          <w:lang w:val="en-US"/>
        </w:rPr>
      </w:pPr>
      <w:r w:rsidRPr="00A50E4D">
        <w:rPr>
          <w:lang w:val="en-US"/>
        </w:rPr>
        <w:t xml:space="preserve">On this basis, </w:t>
      </w:r>
      <w:r w:rsidR="00AD5EE7" w:rsidRPr="00A50E4D">
        <w:rPr>
          <w:lang w:val="en-US"/>
        </w:rPr>
        <w:t>the representatives</w:t>
      </w:r>
      <w:r w:rsidR="007A5DB4" w:rsidRPr="00A50E4D">
        <w:rPr>
          <w:lang w:val="en-US"/>
        </w:rPr>
        <w:t xml:space="preserve"> </w:t>
      </w:r>
      <w:r w:rsidRPr="00A50E4D">
        <w:rPr>
          <w:lang w:val="en-US"/>
        </w:rPr>
        <w:t>asked that the State pay the following for loss of earnings: to</w:t>
      </w:r>
      <w:r w:rsidR="007A5DB4" w:rsidRPr="00A50E4D">
        <w:rPr>
          <w:lang w:val="en-US"/>
        </w:rPr>
        <w:t xml:space="preserve"> Luis Alfonso </w:t>
      </w:r>
      <w:r w:rsidR="009A7056" w:rsidRPr="00A50E4D">
        <w:rPr>
          <w:lang w:val="en-US"/>
        </w:rPr>
        <w:t>Chévez de la Rocha</w:t>
      </w:r>
      <w:r w:rsidR="007A5DB4" w:rsidRPr="00A50E4D">
        <w:rPr>
          <w:lang w:val="en-US"/>
        </w:rPr>
        <w:t xml:space="preserve"> </w:t>
      </w:r>
      <w:r w:rsidRPr="00A50E4D">
        <w:rPr>
          <w:lang w:val="en-US"/>
        </w:rPr>
        <w:t>the sum of US$59,678.</w:t>
      </w:r>
      <w:r w:rsidR="007A5DB4" w:rsidRPr="00A50E4D">
        <w:rPr>
          <w:lang w:val="en-US"/>
        </w:rPr>
        <w:t>44</w:t>
      </w:r>
      <w:r w:rsidRPr="00A50E4D">
        <w:rPr>
          <w:lang w:val="en-US"/>
        </w:rPr>
        <w:t>;</w:t>
      </w:r>
      <w:r w:rsidR="007A5DB4" w:rsidRPr="00A50E4D">
        <w:rPr>
          <w:vertAlign w:val="superscript"/>
          <w:lang w:val="en-US"/>
        </w:rPr>
        <w:footnoteReference w:id="466"/>
      </w:r>
      <w:r w:rsidRPr="00A50E4D">
        <w:rPr>
          <w:lang w:val="en-US"/>
        </w:rPr>
        <w:t xml:space="preserve"> to</w:t>
      </w:r>
      <w:r w:rsidR="007A5DB4" w:rsidRPr="00A50E4D">
        <w:rPr>
          <w:lang w:val="en-US"/>
        </w:rPr>
        <w:t xml:space="preserve"> </w:t>
      </w:r>
      <w:r w:rsidR="008217D7" w:rsidRPr="00A50E4D">
        <w:rPr>
          <w:lang w:val="en-US"/>
        </w:rPr>
        <w:t>Tirza del Carmen</w:t>
      </w:r>
      <w:r w:rsidR="007A5DB4" w:rsidRPr="00A50E4D">
        <w:rPr>
          <w:lang w:val="en-US"/>
        </w:rPr>
        <w:t xml:space="preserve"> Flores Lanza </w:t>
      </w:r>
      <w:r w:rsidRPr="00A50E4D">
        <w:rPr>
          <w:lang w:val="en-US"/>
        </w:rPr>
        <w:t>the sum of US$238,035.</w:t>
      </w:r>
      <w:r w:rsidR="007A5DB4" w:rsidRPr="00A50E4D">
        <w:rPr>
          <w:lang w:val="en-US"/>
        </w:rPr>
        <w:t>81,</w:t>
      </w:r>
      <w:r w:rsidR="009808C5" w:rsidRPr="00A50E4D">
        <w:rPr>
          <w:lang w:val="en-US"/>
        </w:rPr>
        <w:t xml:space="preserve"> and </w:t>
      </w:r>
      <w:r w:rsidRPr="00A50E4D">
        <w:rPr>
          <w:lang w:val="en-US"/>
        </w:rPr>
        <w:t>to</w:t>
      </w:r>
      <w:r w:rsidR="007A5DB4" w:rsidRPr="00A50E4D">
        <w:rPr>
          <w:lang w:val="en-US"/>
        </w:rPr>
        <w:t xml:space="preserve"> Adán Guillermo Lóp</w:t>
      </w:r>
      <w:r w:rsidRPr="00A50E4D">
        <w:rPr>
          <w:lang w:val="en-US"/>
        </w:rPr>
        <w:t>ez Lone the sum of US$179,435.</w:t>
      </w:r>
      <w:r w:rsidR="007A5DB4" w:rsidRPr="00A50E4D">
        <w:rPr>
          <w:lang w:val="en-US"/>
        </w:rPr>
        <w:t xml:space="preserve">00. </w:t>
      </w:r>
      <w:r w:rsidRPr="00A50E4D">
        <w:rPr>
          <w:lang w:val="en-US"/>
        </w:rPr>
        <w:t>Nevertheless, they asked that the Court order the payment of back pay up until the date on which the presumed victims were reinstated in their posts. In addition, they asked that the employer’s contributions to social security “be paid with retroactive effect, so that [the presumed victims] do not lose the years of contributions towards their retirement pension.”</w:t>
      </w:r>
    </w:p>
    <w:p w14:paraId="58179725" w14:textId="77777777" w:rsidR="007A5DB4" w:rsidRPr="00A50E4D" w:rsidRDefault="007A5DB4" w:rsidP="007A5DB4">
      <w:pPr>
        <w:pStyle w:val="PrrafodeSentencia"/>
        <w:numPr>
          <w:ilvl w:val="0"/>
          <w:numId w:val="0"/>
        </w:numPr>
        <w:rPr>
          <w:lang w:val="en-US"/>
        </w:rPr>
      </w:pPr>
    </w:p>
    <w:p w14:paraId="1C0E48FA" w14:textId="5C325564" w:rsidR="007A5DB4" w:rsidRPr="00A50E4D" w:rsidRDefault="000A786A" w:rsidP="007A5DB4">
      <w:pPr>
        <w:pStyle w:val="PrrafodeSentencia"/>
        <w:rPr>
          <w:b/>
          <w:i/>
          <w:lang w:val="en-US"/>
        </w:rPr>
      </w:pPr>
      <w:r w:rsidRPr="00A50E4D">
        <w:rPr>
          <w:lang w:val="en-US"/>
        </w:rPr>
        <w:t>Regarding</w:t>
      </w:r>
      <w:r w:rsidR="004714EE" w:rsidRPr="00A50E4D">
        <w:rPr>
          <w:lang w:val="en-US"/>
        </w:rPr>
        <w:t xml:space="preserve"> the estimates presented by </w:t>
      </w:r>
      <w:r w:rsidR="00AD5EE7" w:rsidRPr="00A50E4D">
        <w:rPr>
          <w:lang w:val="en-US"/>
        </w:rPr>
        <w:t>the representatives</w:t>
      </w:r>
      <w:r w:rsidR="007A5DB4" w:rsidRPr="00A50E4D">
        <w:rPr>
          <w:lang w:val="en-US"/>
        </w:rPr>
        <w:t xml:space="preserve">, </w:t>
      </w:r>
      <w:r w:rsidRPr="00A50E4D">
        <w:rPr>
          <w:lang w:val="en-US"/>
        </w:rPr>
        <w:t xml:space="preserve">the State indicated </w:t>
      </w:r>
      <w:r w:rsidR="004714EE" w:rsidRPr="00A50E4D">
        <w:rPr>
          <w:lang w:val="en-US"/>
        </w:rPr>
        <w:t xml:space="preserve">that it “trusted that the preliminary objection would be declared admissible and that the Court would order that the case be closed.” It also indicated that </w:t>
      </w:r>
      <w:r w:rsidR="00687A44" w:rsidRPr="00A50E4D">
        <w:rPr>
          <w:lang w:val="en-US"/>
        </w:rPr>
        <w:t>Mr. Chévez</w:t>
      </w:r>
      <w:r w:rsidR="009A7056" w:rsidRPr="00A50E4D">
        <w:rPr>
          <w:lang w:val="en-US"/>
        </w:rPr>
        <w:t xml:space="preserve"> de la Rocha</w:t>
      </w:r>
      <w:r w:rsidR="004714EE" w:rsidRPr="00A50E4D">
        <w:rPr>
          <w:lang w:val="en-US"/>
        </w:rPr>
        <w:t xml:space="preserve"> had been</w:t>
      </w:r>
      <w:r w:rsidR="007A5DB4" w:rsidRPr="00A50E4D">
        <w:rPr>
          <w:lang w:val="en-US"/>
        </w:rPr>
        <w:t xml:space="preserve"> “</w:t>
      </w:r>
      <w:r w:rsidR="004714EE" w:rsidRPr="00A50E4D">
        <w:rPr>
          <w:lang w:val="en-US"/>
        </w:rPr>
        <w:t xml:space="preserve">paid his employment entitlements in keeping with the provisions of the Judicial Service Act, and he had accepted them to his entire satisfaction.” </w:t>
      </w:r>
    </w:p>
    <w:p w14:paraId="6B124CD3" w14:textId="77777777" w:rsidR="007A5DB4" w:rsidRPr="00A50E4D" w:rsidRDefault="007A5DB4" w:rsidP="007A5DB4">
      <w:pPr>
        <w:pStyle w:val="PrrafodeSentencia"/>
        <w:numPr>
          <w:ilvl w:val="0"/>
          <w:numId w:val="0"/>
        </w:numPr>
        <w:rPr>
          <w:lang w:val="en-US"/>
        </w:rPr>
      </w:pPr>
    </w:p>
    <w:p w14:paraId="381A28B9" w14:textId="082439F6" w:rsidR="007A5DB4" w:rsidRPr="00A50E4D" w:rsidRDefault="004714EE" w:rsidP="007A5DB4">
      <w:pPr>
        <w:pStyle w:val="PrrafodeSentencia"/>
        <w:rPr>
          <w:b/>
          <w:i/>
          <w:lang w:val="en-US"/>
        </w:rPr>
      </w:pPr>
      <w:r w:rsidRPr="00A50E4D">
        <w:rPr>
          <w:lang w:val="en-US"/>
        </w:rPr>
        <w:t>In its case law, t</w:t>
      </w:r>
      <w:r w:rsidR="009808C5" w:rsidRPr="00A50E4D">
        <w:rPr>
          <w:lang w:val="en-US"/>
        </w:rPr>
        <w:t>he Court</w:t>
      </w:r>
      <w:r w:rsidR="007A5DB4" w:rsidRPr="00A50E4D">
        <w:rPr>
          <w:lang w:val="en-US"/>
        </w:rPr>
        <w:t xml:space="preserve"> ha</w:t>
      </w:r>
      <w:r w:rsidRPr="00A50E4D">
        <w:rPr>
          <w:lang w:val="en-US"/>
        </w:rPr>
        <w:t xml:space="preserve">s developed the concept of </w:t>
      </w:r>
      <w:r w:rsidR="00F814CB" w:rsidRPr="00A50E4D">
        <w:rPr>
          <w:lang w:val="en-US"/>
        </w:rPr>
        <w:t>pecuniary damage</w:t>
      </w:r>
      <w:r w:rsidR="009808C5" w:rsidRPr="00A50E4D">
        <w:rPr>
          <w:lang w:val="en-US"/>
        </w:rPr>
        <w:t xml:space="preserve"> and </w:t>
      </w:r>
      <w:r w:rsidRPr="00A50E4D">
        <w:rPr>
          <w:lang w:val="en-US"/>
        </w:rPr>
        <w:t xml:space="preserve">the situations in which it must be compensated. The Court has established that </w:t>
      </w:r>
      <w:r w:rsidR="00F814CB" w:rsidRPr="00A50E4D">
        <w:rPr>
          <w:lang w:val="en-US"/>
        </w:rPr>
        <w:t>pecuniary damage</w:t>
      </w:r>
      <w:r w:rsidR="007A5DB4" w:rsidRPr="00A50E4D">
        <w:rPr>
          <w:lang w:val="en-US"/>
        </w:rPr>
        <w:t xml:space="preserve"> </w:t>
      </w:r>
      <w:r w:rsidRPr="00A50E4D">
        <w:rPr>
          <w:lang w:val="en-US"/>
        </w:rPr>
        <w:t>covers</w:t>
      </w:r>
      <w:r w:rsidR="007A5DB4" w:rsidRPr="00A50E4D">
        <w:rPr>
          <w:lang w:val="en-US"/>
        </w:rPr>
        <w:t xml:space="preserve"> “</w:t>
      </w:r>
      <w:r w:rsidRPr="00A50E4D">
        <w:rPr>
          <w:lang w:val="en-US"/>
        </w:rPr>
        <w:t xml:space="preserve">the loss of, or detriment to, the earnings of the </w:t>
      </w:r>
      <w:r w:rsidR="004B0477" w:rsidRPr="00A50E4D">
        <w:rPr>
          <w:lang w:val="en-US"/>
        </w:rPr>
        <w:t>victims</w:t>
      </w:r>
      <w:r w:rsidR="007A5DB4" w:rsidRPr="00A50E4D">
        <w:rPr>
          <w:lang w:val="en-US"/>
        </w:rPr>
        <w:t xml:space="preserve">, </w:t>
      </w:r>
      <w:r w:rsidR="00A45503" w:rsidRPr="00A50E4D">
        <w:rPr>
          <w:lang w:val="en-US"/>
        </w:rPr>
        <w:t>the expenses</w:t>
      </w:r>
      <w:r w:rsidR="007A5DB4" w:rsidRPr="00A50E4D">
        <w:rPr>
          <w:lang w:val="en-US"/>
        </w:rPr>
        <w:t xml:space="preserve"> </w:t>
      </w:r>
      <w:r w:rsidRPr="00A50E4D">
        <w:rPr>
          <w:lang w:val="en-US"/>
        </w:rPr>
        <w:t>incurred as a result of the facts, and the consequences of a pecuniary nature that have a causal nexus to the facts of the case.</w:t>
      </w:r>
      <w:r w:rsidR="007A5DB4" w:rsidRPr="00A50E4D">
        <w:rPr>
          <w:lang w:val="en-US"/>
        </w:rPr>
        <w:t>”</w:t>
      </w:r>
      <w:r w:rsidR="007A5DB4" w:rsidRPr="00A50E4D">
        <w:rPr>
          <w:vertAlign w:val="superscript"/>
          <w:lang w:val="en-US"/>
        </w:rPr>
        <w:footnoteReference w:id="467"/>
      </w:r>
    </w:p>
    <w:p w14:paraId="5E99149A" w14:textId="77777777" w:rsidR="007A5DB4" w:rsidRPr="00A50E4D" w:rsidRDefault="007A5DB4" w:rsidP="007A5DB4">
      <w:pPr>
        <w:pStyle w:val="PrrafodeSentencia"/>
        <w:numPr>
          <w:ilvl w:val="0"/>
          <w:numId w:val="0"/>
        </w:numPr>
        <w:rPr>
          <w:lang w:val="en-US"/>
        </w:rPr>
      </w:pPr>
    </w:p>
    <w:p w14:paraId="31B83828" w14:textId="7DC31CE2" w:rsidR="007A5DB4" w:rsidRPr="00A50E4D" w:rsidRDefault="00967C12" w:rsidP="007A5DB4">
      <w:pPr>
        <w:pStyle w:val="PrrafodeSentencia"/>
        <w:rPr>
          <w:b/>
          <w:i/>
          <w:lang w:val="en-US"/>
        </w:rPr>
      </w:pPr>
      <w:r w:rsidRPr="00A50E4D">
        <w:rPr>
          <w:lang w:val="en-US"/>
        </w:rPr>
        <w:t>In the instant</w:t>
      </w:r>
      <w:r w:rsidR="004714EE" w:rsidRPr="00A50E4D">
        <w:rPr>
          <w:lang w:val="en-US"/>
        </w:rPr>
        <w:t xml:space="preserve"> case, the Court notes that Mr. </w:t>
      </w:r>
      <w:r w:rsidR="009A7056" w:rsidRPr="00A50E4D">
        <w:rPr>
          <w:lang w:val="en-US"/>
        </w:rPr>
        <w:t>Chévez de la Rocha</w:t>
      </w:r>
      <w:r w:rsidR="007A5DB4" w:rsidRPr="00A50E4D">
        <w:rPr>
          <w:lang w:val="en-US"/>
        </w:rPr>
        <w:t>,</w:t>
      </w:r>
      <w:r w:rsidR="004714EE" w:rsidRPr="00A50E4D">
        <w:rPr>
          <w:lang w:val="en-US"/>
        </w:rPr>
        <w:t xml:space="preserve"> Mr.</w:t>
      </w:r>
      <w:r w:rsidR="007A5DB4" w:rsidRPr="00A50E4D">
        <w:rPr>
          <w:lang w:val="en-US"/>
        </w:rPr>
        <w:t xml:space="preserve"> López Lone</w:t>
      </w:r>
      <w:r w:rsidR="009808C5" w:rsidRPr="00A50E4D">
        <w:rPr>
          <w:lang w:val="en-US"/>
        </w:rPr>
        <w:t xml:space="preserve"> and </w:t>
      </w:r>
      <w:r w:rsidR="00A23598" w:rsidRPr="00A50E4D">
        <w:rPr>
          <w:lang w:val="en-US"/>
        </w:rPr>
        <w:t>Ms. Flores</w:t>
      </w:r>
      <w:r w:rsidR="007A5DB4" w:rsidRPr="00A50E4D">
        <w:rPr>
          <w:lang w:val="en-US"/>
        </w:rPr>
        <w:t xml:space="preserve"> Lanza</w:t>
      </w:r>
      <w:r w:rsidR="004714EE" w:rsidRPr="00A50E4D">
        <w:rPr>
          <w:lang w:val="en-US"/>
        </w:rPr>
        <w:t xml:space="preserve"> suffered financial harm owing to their dismissal.</w:t>
      </w:r>
    </w:p>
    <w:p w14:paraId="034F12B4" w14:textId="77777777" w:rsidR="007A5DB4" w:rsidRPr="00A50E4D" w:rsidRDefault="007A5DB4" w:rsidP="007A5DB4">
      <w:pPr>
        <w:pStyle w:val="PrrafodeSentencia"/>
        <w:numPr>
          <w:ilvl w:val="0"/>
          <w:numId w:val="0"/>
        </w:numPr>
        <w:rPr>
          <w:lang w:val="en-US"/>
        </w:rPr>
      </w:pPr>
    </w:p>
    <w:p w14:paraId="0045F18B" w14:textId="3676DD78" w:rsidR="004714EE" w:rsidRPr="00A50E4D" w:rsidRDefault="004714EE" w:rsidP="007A5DB4">
      <w:pPr>
        <w:pStyle w:val="PrrafodeSentencia"/>
        <w:rPr>
          <w:b/>
          <w:i/>
          <w:lang w:val="en-US"/>
        </w:rPr>
      </w:pPr>
      <w:r w:rsidRPr="00A50E4D">
        <w:rPr>
          <w:lang w:val="en-US"/>
        </w:rPr>
        <w:t>I</w:t>
      </w:r>
      <w:r w:rsidR="007A5DB4" w:rsidRPr="00A50E4D">
        <w:rPr>
          <w:lang w:val="en-US"/>
        </w:rPr>
        <w:t>n particular, re</w:t>
      </w:r>
      <w:r w:rsidRPr="00A50E4D">
        <w:rPr>
          <w:lang w:val="en-US"/>
        </w:rPr>
        <w:t>garding</w:t>
      </w:r>
      <w:r w:rsidR="00FF35A9" w:rsidRPr="00A50E4D">
        <w:rPr>
          <w:lang w:val="en-US"/>
        </w:rPr>
        <w:t xml:space="preserve"> the </w:t>
      </w:r>
      <w:r w:rsidR="000A786A" w:rsidRPr="00A50E4D">
        <w:rPr>
          <w:lang w:val="en-US"/>
        </w:rPr>
        <w:t>situation</w:t>
      </w:r>
      <w:r w:rsidR="00FF35A9" w:rsidRPr="00A50E4D">
        <w:rPr>
          <w:lang w:val="en-US"/>
        </w:rPr>
        <w:t xml:space="preserve"> of the </w:t>
      </w:r>
      <w:r w:rsidR="007A5DB4" w:rsidRPr="00A50E4D">
        <w:rPr>
          <w:lang w:val="en-US"/>
        </w:rPr>
        <w:t>López Flores</w:t>
      </w:r>
      <w:r w:rsidRPr="00A50E4D">
        <w:rPr>
          <w:lang w:val="en-US"/>
        </w:rPr>
        <w:t xml:space="preserve"> family</w:t>
      </w:r>
      <w:r w:rsidR="007A5DB4" w:rsidRPr="00A50E4D">
        <w:rPr>
          <w:lang w:val="en-US"/>
        </w:rPr>
        <w:t xml:space="preserve">, </w:t>
      </w:r>
      <w:r w:rsidR="00A23598" w:rsidRPr="00A50E4D">
        <w:rPr>
          <w:lang w:val="en-US"/>
        </w:rPr>
        <w:t>Ms. Flores</w:t>
      </w:r>
      <w:r w:rsidRPr="00A50E4D">
        <w:rPr>
          <w:lang w:val="en-US"/>
        </w:rPr>
        <w:t xml:space="preserve"> Lanza indicated that, when both she and her husband were left without work and with s</w:t>
      </w:r>
      <w:r w:rsidR="00967C12" w:rsidRPr="00A50E4D">
        <w:rPr>
          <w:lang w:val="en-US"/>
        </w:rPr>
        <w:t xml:space="preserve">cant possibilities of finding </w:t>
      </w:r>
      <w:r w:rsidRPr="00A50E4D">
        <w:rPr>
          <w:lang w:val="en-US"/>
        </w:rPr>
        <w:t xml:space="preserve">other employment because they had been labelled “as persons who had been rejected and </w:t>
      </w:r>
      <w:r w:rsidR="000A786A" w:rsidRPr="00A50E4D">
        <w:rPr>
          <w:lang w:val="en-US"/>
        </w:rPr>
        <w:t>reprimanded</w:t>
      </w:r>
      <w:r w:rsidRPr="00A50E4D">
        <w:rPr>
          <w:lang w:val="en-US"/>
        </w:rPr>
        <w:t>,” they had</w:t>
      </w:r>
      <w:r w:rsidR="00967C12" w:rsidRPr="00A50E4D">
        <w:rPr>
          <w:lang w:val="en-US"/>
        </w:rPr>
        <w:t xml:space="preserve"> to reduce their family budget</w:t>
      </w:r>
      <w:r w:rsidRPr="00A50E4D">
        <w:rPr>
          <w:lang w:val="en-US"/>
        </w:rPr>
        <w:t xml:space="preserve"> significantly, and their oldest son had to pay </w:t>
      </w:r>
      <w:r w:rsidRPr="00A50E4D">
        <w:rPr>
          <w:lang w:val="en-US"/>
        </w:rPr>
        <w:lastRenderedPageBreak/>
        <w:t xml:space="preserve">the most urgent expenses, such as the mortgage on the house and some services. According to </w:t>
      </w:r>
      <w:r w:rsidR="00FF35A9" w:rsidRPr="00A50E4D">
        <w:rPr>
          <w:lang w:val="en-US"/>
        </w:rPr>
        <w:t>Mr. López</w:t>
      </w:r>
      <w:r w:rsidRPr="00A50E4D">
        <w:rPr>
          <w:lang w:val="en-US"/>
        </w:rPr>
        <w:t xml:space="preserve"> Lone, they have subsisted, </w:t>
      </w:r>
      <w:r w:rsidR="007A5DB4" w:rsidRPr="00A50E4D">
        <w:rPr>
          <w:lang w:val="en-US"/>
        </w:rPr>
        <w:t>“</w:t>
      </w:r>
      <w:r w:rsidRPr="00A50E4D">
        <w:rPr>
          <w:lang w:val="en-US"/>
        </w:rPr>
        <w:t>since</w:t>
      </w:r>
      <w:r w:rsidR="007A5DB4" w:rsidRPr="00A50E4D">
        <w:rPr>
          <w:lang w:val="en-US"/>
        </w:rPr>
        <w:t xml:space="preserve"> […] 2010, </w:t>
      </w:r>
      <w:r w:rsidRPr="00A50E4D">
        <w:rPr>
          <w:lang w:val="en-US"/>
        </w:rPr>
        <w:t xml:space="preserve">working as technical advisers to </w:t>
      </w:r>
      <w:r w:rsidR="004626E5" w:rsidRPr="00A50E4D">
        <w:rPr>
          <w:lang w:val="en-US"/>
        </w:rPr>
        <w:t xml:space="preserve">the </w:t>
      </w:r>
      <w:r w:rsidR="0048601C" w:rsidRPr="00A50E4D">
        <w:rPr>
          <w:lang w:val="en-US"/>
        </w:rPr>
        <w:t>Association of Judges</w:t>
      </w:r>
      <w:r w:rsidR="00371BB7" w:rsidRPr="00A50E4D">
        <w:rPr>
          <w:lang w:val="en-US"/>
        </w:rPr>
        <w:t xml:space="preserve"> for Democracy</w:t>
      </w:r>
      <w:r w:rsidRPr="00A50E4D">
        <w:rPr>
          <w:lang w:val="en-US"/>
        </w:rPr>
        <w:t>,” but owing to the dismissals, they had to change the plans they had for their children to “study in certain universities.” Also, their daughter</w:t>
      </w:r>
      <w:r w:rsidR="007A5DB4" w:rsidRPr="00A50E4D">
        <w:rPr>
          <w:lang w:val="en-US"/>
        </w:rPr>
        <w:t xml:space="preserve"> Carmen Haydée </w:t>
      </w:r>
      <w:r w:rsidRPr="00A50E4D">
        <w:rPr>
          <w:lang w:val="en-US"/>
        </w:rPr>
        <w:t>t</w:t>
      </w:r>
      <w:r w:rsidR="00967C12" w:rsidRPr="00A50E4D">
        <w:rPr>
          <w:lang w:val="en-US"/>
        </w:rPr>
        <w:t>estified that her parents had the added burden of</w:t>
      </w:r>
      <w:r w:rsidRPr="00A50E4D">
        <w:rPr>
          <w:lang w:val="en-US"/>
        </w:rPr>
        <w:t xml:space="preserve"> “responsibilities related to their </w:t>
      </w:r>
      <w:r w:rsidR="000A786A" w:rsidRPr="00A50E4D">
        <w:rPr>
          <w:lang w:val="en-US"/>
        </w:rPr>
        <w:t>professional</w:t>
      </w:r>
      <w:r w:rsidRPr="00A50E4D">
        <w:rPr>
          <w:lang w:val="en-US"/>
        </w:rPr>
        <w:t xml:space="preserve"> work, their work in the</w:t>
      </w:r>
      <w:r w:rsidR="007A5DB4" w:rsidRPr="00A50E4D">
        <w:rPr>
          <w:lang w:val="en-US"/>
        </w:rPr>
        <w:t xml:space="preserve"> AJD</w:t>
      </w:r>
      <w:r w:rsidRPr="00A50E4D">
        <w:rPr>
          <w:lang w:val="en-US"/>
        </w:rPr>
        <w:t>,</w:t>
      </w:r>
      <w:r w:rsidR="009808C5" w:rsidRPr="00A50E4D">
        <w:rPr>
          <w:lang w:val="en-US"/>
        </w:rPr>
        <w:t xml:space="preserve"> and </w:t>
      </w:r>
      <w:r w:rsidRPr="00A50E4D">
        <w:rPr>
          <w:lang w:val="en-US"/>
        </w:rPr>
        <w:t xml:space="preserve">the actions […] relating to </w:t>
      </w:r>
      <w:r w:rsidR="00277E12" w:rsidRPr="00A50E4D">
        <w:rPr>
          <w:lang w:val="en-US"/>
        </w:rPr>
        <w:t>the disciplinary proceedings</w:t>
      </w:r>
      <w:r w:rsidRPr="00A50E4D">
        <w:rPr>
          <w:lang w:val="en-US"/>
        </w:rPr>
        <w:t>,”</w:t>
      </w:r>
      <w:r w:rsidR="009808C5" w:rsidRPr="00A50E4D">
        <w:rPr>
          <w:lang w:val="en-US"/>
        </w:rPr>
        <w:t xml:space="preserve"> and </w:t>
      </w:r>
      <w:r w:rsidRPr="00A50E4D">
        <w:rPr>
          <w:lang w:val="en-US"/>
        </w:rPr>
        <w:t>that</w:t>
      </w:r>
      <w:r w:rsidR="007A5DB4" w:rsidRPr="00A50E4D">
        <w:rPr>
          <w:lang w:val="en-US"/>
        </w:rPr>
        <w:t xml:space="preserve"> “</w:t>
      </w:r>
      <w:r w:rsidRPr="00A50E4D">
        <w:rPr>
          <w:lang w:val="en-US"/>
        </w:rPr>
        <w:t>the family</w:t>
      </w:r>
      <w:r w:rsidR="00967C12" w:rsidRPr="00A50E4D">
        <w:rPr>
          <w:lang w:val="en-US"/>
        </w:rPr>
        <w:t>’s</w:t>
      </w:r>
      <w:r w:rsidRPr="00A50E4D">
        <w:rPr>
          <w:lang w:val="en-US"/>
        </w:rPr>
        <w:t xml:space="preserve"> life project was </w:t>
      </w:r>
      <w:r w:rsidR="00967C12" w:rsidRPr="00A50E4D">
        <w:rPr>
          <w:lang w:val="en-US"/>
        </w:rPr>
        <w:t>brought to a halt</w:t>
      </w:r>
      <w:r w:rsidRPr="00A50E4D">
        <w:rPr>
          <w:lang w:val="en-US"/>
        </w:rPr>
        <w:t>.” Their son</w:t>
      </w:r>
      <w:r w:rsidR="007A5DB4" w:rsidRPr="00A50E4D">
        <w:rPr>
          <w:lang w:val="en-US"/>
        </w:rPr>
        <w:t xml:space="preserve"> José Ernesto </w:t>
      </w:r>
      <w:r w:rsidRPr="00A50E4D">
        <w:rPr>
          <w:lang w:val="en-US"/>
        </w:rPr>
        <w:t xml:space="preserve">indicated that the dismissal “had financial implications, [because] the family’s two sources of financial income were cut </w:t>
      </w:r>
      <w:r w:rsidR="00967C12" w:rsidRPr="00A50E4D">
        <w:rPr>
          <w:lang w:val="en-US"/>
        </w:rPr>
        <w:t xml:space="preserve">off </w:t>
      </w:r>
      <w:r w:rsidRPr="00A50E4D">
        <w:rPr>
          <w:lang w:val="en-US"/>
        </w:rPr>
        <w:t xml:space="preserve">at one and the same time.” Lastly, their oldest son, </w:t>
      </w:r>
      <w:r w:rsidR="007A5DB4" w:rsidRPr="00A50E4D">
        <w:rPr>
          <w:lang w:val="en-US"/>
        </w:rPr>
        <w:t>Daniel Antonio, indic</w:t>
      </w:r>
      <w:r w:rsidRPr="00A50E4D">
        <w:rPr>
          <w:lang w:val="en-US"/>
        </w:rPr>
        <w:t>ated that, owing to the dismissa</w:t>
      </w:r>
      <w:r w:rsidR="00967C12" w:rsidRPr="00A50E4D">
        <w:rPr>
          <w:lang w:val="en-US"/>
        </w:rPr>
        <w:t>ls, they had to cut back on any expense that was</w:t>
      </w:r>
      <w:r w:rsidRPr="00A50E4D">
        <w:rPr>
          <w:lang w:val="en-US"/>
        </w:rPr>
        <w:t xml:space="preserve"> not exclusively necessary and, for seven month</w:t>
      </w:r>
      <w:r w:rsidR="00967C12" w:rsidRPr="00A50E4D">
        <w:rPr>
          <w:lang w:val="en-US"/>
        </w:rPr>
        <w:t>s, he had to assume the expense</w:t>
      </w:r>
      <w:r w:rsidRPr="00A50E4D">
        <w:rPr>
          <w:lang w:val="en-US"/>
        </w:rPr>
        <w:t xml:space="preserve"> of the mortgage on the house</w:t>
      </w:r>
      <w:r w:rsidR="00967C12" w:rsidRPr="00A50E4D">
        <w:rPr>
          <w:lang w:val="en-US"/>
        </w:rPr>
        <w:t xml:space="preserve"> and </w:t>
      </w:r>
      <w:r w:rsidRPr="00A50E4D">
        <w:rPr>
          <w:lang w:val="en-US"/>
        </w:rPr>
        <w:t>payment of utilities.</w:t>
      </w:r>
    </w:p>
    <w:p w14:paraId="42ACDDC3" w14:textId="77777777" w:rsidR="007A5DB4" w:rsidRPr="00A50E4D" w:rsidRDefault="007A5DB4" w:rsidP="007A5DB4">
      <w:pPr>
        <w:pStyle w:val="PrrafodeSentencia"/>
        <w:numPr>
          <w:ilvl w:val="0"/>
          <w:numId w:val="0"/>
        </w:numPr>
        <w:rPr>
          <w:lang w:val="en-US"/>
        </w:rPr>
      </w:pPr>
    </w:p>
    <w:p w14:paraId="7CC46C26" w14:textId="34724076" w:rsidR="007A5DB4" w:rsidRPr="00A50E4D" w:rsidRDefault="009A7056" w:rsidP="007E4B3C">
      <w:pPr>
        <w:pStyle w:val="PrrafodeSentencia"/>
        <w:rPr>
          <w:b/>
          <w:i/>
          <w:lang w:val="en-US"/>
        </w:rPr>
      </w:pPr>
      <w:r w:rsidRPr="00A50E4D">
        <w:rPr>
          <w:lang w:val="en-US"/>
        </w:rPr>
        <w:t>Mr. Chévez de la Rocha</w:t>
      </w:r>
      <w:r w:rsidR="007A5DB4" w:rsidRPr="00A50E4D">
        <w:rPr>
          <w:lang w:val="en-US"/>
        </w:rPr>
        <w:t xml:space="preserve"> </w:t>
      </w:r>
      <w:r w:rsidR="00CD2F51" w:rsidRPr="00A50E4D">
        <w:rPr>
          <w:lang w:val="en-US"/>
        </w:rPr>
        <w:t>stated that</w:t>
      </w:r>
      <w:r w:rsidR="007A5DB4" w:rsidRPr="00A50E4D">
        <w:rPr>
          <w:lang w:val="en-US"/>
        </w:rPr>
        <w:t xml:space="preserve"> “</w:t>
      </w:r>
      <w:r w:rsidR="00CD2F51" w:rsidRPr="00A50E4D">
        <w:rPr>
          <w:lang w:val="en-US"/>
        </w:rPr>
        <w:t>in view of the delicate financial situation in which [he] was placed by the dismissal, because [he] had not even completed payments on the house [he] lived in with [his] family, and with two children of four and six years of age at the time, [he] decided to take the money [corresponding to the employment benefits] as payment in advance for the harm caused; [and] merely considered the amount obtained as an advance for the difficult financial situation to which [he] was relegated.” He indicated that the dismissal “had a</w:t>
      </w:r>
      <w:r w:rsidR="00967C12" w:rsidRPr="00A50E4D">
        <w:rPr>
          <w:lang w:val="en-US"/>
        </w:rPr>
        <w:t>n extremely</w:t>
      </w:r>
      <w:r w:rsidR="00CD2F51" w:rsidRPr="00A50E4D">
        <w:rPr>
          <w:lang w:val="en-US"/>
        </w:rPr>
        <w:t xml:space="preserve"> negative impact on [his] life and on that of [his] family; [they] lost the right to life insurance and, in particular, to the medical insurance that was paid for by the Judiciary, and which [his] children used regularly because th</w:t>
      </w:r>
      <w:r w:rsidR="00967C12" w:rsidRPr="00A50E4D">
        <w:rPr>
          <w:lang w:val="en-US"/>
        </w:rPr>
        <w:t>ey were both born with allergie</w:t>
      </w:r>
      <w:r w:rsidR="00CD2F51" w:rsidRPr="00A50E4D">
        <w:rPr>
          <w:lang w:val="en-US"/>
        </w:rPr>
        <w:t xml:space="preserve">s.” He also stated that his wife, who had “a </w:t>
      </w:r>
      <w:r w:rsidR="007E4B3C" w:rsidRPr="00A50E4D">
        <w:rPr>
          <w:lang w:val="en-US"/>
        </w:rPr>
        <w:t>reproductive health problem</w:t>
      </w:r>
      <w:r w:rsidR="00CD2F51" w:rsidRPr="00A50E4D">
        <w:rPr>
          <w:lang w:val="en-US"/>
        </w:rPr>
        <w:t>, had to delay her visits to the gynecologist, owing to the high financial cost involved.” Also, before the dismissal, he had considered paying off the house and then selling it to buy another one in “a less conflictive part of the city,” but could not do this an</w:t>
      </w:r>
      <w:r w:rsidR="007E4B3C" w:rsidRPr="00A50E4D">
        <w:rPr>
          <w:lang w:val="en-US"/>
        </w:rPr>
        <w:t>d now the value of the house had declined because it wa</w:t>
      </w:r>
      <w:r w:rsidR="00CD2F51" w:rsidRPr="00A50E4D">
        <w:rPr>
          <w:lang w:val="en-US"/>
        </w:rPr>
        <w:t>s located in a dangerous area.</w:t>
      </w:r>
      <w:r w:rsidR="00CD2F51" w:rsidRPr="00A50E4D">
        <w:rPr>
          <w:b/>
          <w:i/>
          <w:lang w:val="en-US"/>
        </w:rPr>
        <w:t xml:space="preserve"> </w:t>
      </w:r>
      <w:r w:rsidRPr="00A50E4D">
        <w:rPr>
          <w:lang w:val="en-US"/>
        </w:rPr>
        <w:t>Mr. Chévez de la Rocha</w:t>
      </w:r>
      <w:r w:rsidR="007A5DB4" w:rsidRPr="00A50E4D">
        <w:rPr>
          <w:lang w:val="en-US"/>
        </w:rPr>
        <w:t xml:space="preserve"> </w:t>
      </w:r>
      <w:r w:rsidR="00CD2F51" w:rsidRPr="00A50E4D">
        <w:rPr>
          <w:lang w:val="en-US"/>
        </w:rPr>
        <w:t>was without work for four</w:t>
      </w:r>
      <w:r w:rsidR="007E4B3C" w:rsidRPr="00A50E4D">
        <w:rPr>
          <w:lang w:val="en-US"/>
        </w:rPr>
        <w:t xml:space="preserve"> months following his dismissal</w:t>
      </w:r>
      <w:r w:rsidR="00CD2F51" w:rsidRPr="00A50E4D">
        <w:rPr>
          <w:lang w:val="en-US"/>
        </w:rPr>
        <w:t xml:space="preserve"> until he began to work as coordinator of a project for the defense and protection of human rights in the </w:t>
      </w:r>
      <w:r w:rsidR="007A5DB4" w:rsidRPr="00A50E4D">
        <w:rPr>
          <w:i/>
          <w:lang w:val="en-US"/>
        </w:rPr>
        <w:t>Equipo de Reflexión, Investigación</w:t>
      </w:r>
      <w:r w:rsidR="00CD2F51" w:rsidRPr="00A50E4D">
        <w:rPr>
          <w:i/>
          <w:lang w:val="en-US"/>
        </w:rPr>
        <w:t xml:space="preserve"> y</w:t>
      </w:r>
      <w:r w:rsidR="009808C5" w:rsidRPr="00A50E4D">
        <w:rPr>
          <w:i/>
          <w:lang w:val="en-US"/>
        </w:rPr>
        <w:t xml:space="preserve"> </w:t>
      </w:r>
      <w:r w:rsidR="007A5DB4" w:rsidRPr="00A50E4D">
        <w:rPr>
          <w:i/>
          <w:lang w:val="en-US"/>
        </w:rPr>
        <w:t>Comunicación</w:t>
      </w:r>
      <w:r w:rsidR="00CD2F51" w:rsidRPr="00A50E4D">
        <w:rPr>
          <w:lang w:val="en-US"/>
        </w:rPr>
        <w:t xml:space="preserve"> (ERIC)</w:t>
      </w:r>
      <w:r w:rsidR="007A5DB4" w:rsidRPr="00A50E4D">
        <w:rPr>
          <w:lang w:val="en-US"/>
        </w:rPr>
        <w:t xml:space="preserve"> </w:t>
      </w:r>
      <w:r w:rsidR="00CD2F51" w:rsidRPr="00A50E4D">
        <w:rPr>
          <w:lang w:val="en-US"/>
        </w:rPr>
        <w:t>founded by the Jesuits in Honduras. Meanwhile, hi</w:t>
      </w:r>
      <w:r w:rsidR="007E4B3C" w:rsidRPr="00A50E4D">
        <w:rPr>
          <w:lang w:val="en-US"/>
        </w:rPr>
        <w:t>s wife underlined that they had</w:t>
      </w:r>
      <w:r w:rsidR="00CD2F51" w:rsidRPr="00A50E4D">
        <w:rPr>
          <w:lang w:val="en-US"/>
        </w:rPr>
        <w:t xml:space="preserve"> endured many financial difficulties and even had to take out a three-year loan to pay for their children’s schooling.</w:t>
      </w:r>
      <w:r w:rsidR="007A5DB4" w:rsidRPr="00A50E4D">
        <w:rPr>
          <w:vertAlign w:val="superscript"/>
          <w:lang w:val="en-US"/>
        </w:rPr>
        <w:footnoteReference w:id="468"/>
      </w:r>
    </w:p>
    <w:p w14:paraId="1675FB6C" w14:textId="77777777" w:rsidR="007A5DB4" w:rsidRPr="00A50E4D" w:rsidRDefault="007A5DB4" w:rsidP="007A5DB4">
      <w:pPr>
        <w:pStyle w:val="PrrafodeSentencia"/>
        <w:numPr>
          <w:ilvl w:val="0"/>
          <w:numId w:val="0"/>
        </w:numPr>
        <w:rPr>
          <w:lang w:val="en-US"/>
        </w:rPr>
      </w:pPr>
    </w:p>
    <w:p w14:paraId="473B1D66" w14:textId="2BB7EC8A" w:rsidR="007A5DB4" w:rsidRPr="00A50E4D" w:rsidRDefault="009808C5" w:rsidP="00CD2F51">
      <w:pPr>
        <w:pStyle w:val="PrrafodeSentencia"/>
        <w:rPr>
          <w:lang w:val="en-US"/>
        </w:rPr>
      </w:pPr>
      <w:bookmarkStart w:id="477" w:name="_Ref431215275"/>
      <w:r w:rsidRPr="00A50E4D">
        <w:rPr>
          <w:lang w:val="en-US"/>
        </w:rPr>
        <w:t>The Court</w:t>
      </w:r>
      <w:r w:rsidR="007A5DB4" w:rsidRPr="00A50E4D">
        <w:rPr>
          <w:lang w:val="en-US"/>
        </w:rPr>
        <w:t xml:space="preserve"> </w:t>
      </w:r>
      <w:r w:rsidR="00CD2F51" w:rsidRPr="00A50E4D">
        <w:rPr>
          <w:lang w:val="en-US"/>
        </w:rPr>
        <w:t xml:space="preserve">notes that </w:t>
      </w:r>
      <w:r w:rsidR="00AD5EE7" w:rsidRPr="00A50E4D">
        <w:rPr>
          <w:lang w:val="en-US"/>
        </w:rPr>
        <w:t>the representatives</w:t>
      </w:r>
      <w:r w:rsidR="007A5DB4" w:rsidRPr="00A50E4D">
        <w:rPr>
          <w:lang w:val="en-US"/>
        </w:rPr>
        <w:t xml:space="preserve"> </w:t>
      </w:r>
      <w:r w:rsidR="007E4B3C" w:rsidRPr="00A50E4D">
        <w:rPr>
          <w:lang w:val="en-US"/>
        </w:rPr>
        <w:t xml:space="preserve">had </w:t>
      </w:r>
      <w:r w:rsidR="00CD2F51" w:rsidRPr="00A50E4D">
        <w:rPr>
          <w:lang w:val="en-US"/>
        </w:rPr>
        <w:t>asked it to determine, in fairness, the amount for consequential damage suffered by the victims in this case, while they</w:t>
      </w:r>
      <w:r w:rsidR="007E4B3C" w:rsidRPr="00A50E4D">
        <w:rPr>
          <w:lang w:val="en-US"/>
        </w:rPr>
        <w:t xml:space="preserve"> had</w:t>
      </w:r>
      <w:r w:rsidR="00CD2F51" w:rsidRPr="00A50E4D">
        <w:rPr>
          <w:lang w:val="en-US"/>
        </w:rPr>
        <w:t xml:space="preserve"> indicated </w:t>
      </w:r>
      <w:r w:rsidR="000A786A" w:rsidRPr="00A50E4D">
        <w:rPr>
          <w:lang w:val="en-US"/>
        </w:rPr>
        <w:t>the</w:t>
      </w:r>
      <w:r w:rsidR="00CD2F51" w:rsidRPr="00A50E4D">
        <w:rPr>
          <w:lang w:val="en-US"/>
        </w:rPr>
        <w:t xml:space="preserve"> specific amounts that would correspond to the victims for loss of earnings, by calculating the amounts they failed to receive for salary and other employment benefits, based on the information </w:t>
      </w:r>
      <w:r w:rsidR="007E4B3C" w:rsidRPr="00A50E4D">
        <w:rPr>
          <w:lang w:val="en-US"/>
        </w:rPr>
        <w:t>submitted</w:t>
      </w:r>
      <w:r w:rsidR="00CD2F51" w:rsidRPr="00A50E4D">
        <w:rPr>
          <w:lang w:val="en-US"/>
        </w:rPr>
        <w:t xml:space="preserve"> by the State. The State did not present any specific comments on the amounts indicated by the representatives. The Court also observes that, at the domestic level, Mr. Chévez de la Rocha had received a sum corresponding to the payment of employment benefits, which had been deducted from the representatives’ claim. In this regard, the Court recalls that pecuniary damage should cover the salaries and employment benefits that the victims failed to receive from the time of their arbitrary removal and up until the date of the delivery of this judgment, including </w:t>
      </w:r>
      <w:r w:rsidR="007E4B3C" w:rsidRPr="00A50E4D">
        <w:rPr>
          <w:lang w:val="en-US"/>
        </w:rPr>
        <w:t>the corresponding</w:t>
      </w:r>
      <w:r w:rsidR="00CD2F51" w:rsidRPr="00A50E4D">
        <w:rPr>
          <w:lang w:val="en-US"/>
        </w:rPr>
        <w:t xml:space="preserve"> interest and other related concepts.</w:t>
      </w:r>
      <w:r w:rsidR="007A5DB4" w:rsidRPr="00A50E4D">
        <w:rPr>
          <w:vertAlign w:val="superscript"/>
          <w:lang w:val="en-US"/>
        </w:rPr>
        <w:footnoteReference w:id="469"/>
      </w:r>
      <w:r w:rsidR="007A5DB4" w:rsidRPr="00A50E4D">
        <w:rPr>
          <w:lang w:val="en-US"/>
        </w:rPr>
        <w:t xml:space="preserve"> </w:t>
      </w:r>
      <w:r w:rsidR="00A45503" w:rsidRPr="00A50E4D">
        <w:rPr>
          <w:lang w:val="en-US"/>
        </w:rPr>
        <w:t>Consequently</w:t>
      </w:r>
      <w:r w:rsidR="00CD2F51" w:rsidRPr="00A50E4D">
        <w:rPr>
          <w:lang w:val="en-US"/>
        </w:rPr>
        <w:t>,</w:t>
      </w:r>
      <w:r w:rsidRPr="00A50E4D">
        <w:rPr>
          <w:lang w:val="en-US"/>
        </w:rPr>
        <w:t xml:space="preserve"> and </w:t>
      </w:r>
      <w:r w:rsidR="00CD2F51" w:rsidRPr="00A50E4D">
        <w:rPr>
          <w:lang w:val="en-US"/>
        </w:rPr>
        <w:t xml:space="preserve">based on the calculations presented by </w:t>
      </w:r>
      <w:r w:rsidR="00AD5EE7" w:rsidRPr="00A50E4D">
        <w:rPr>
          <w:lang w:val="en-US"/>
        </w:rPr>
        <w:t>the representatives</w:t>
      </w:r>
      <w:r w:rsidR="007A5DB4" w:rsidRPr="00A50E4D">
        <w:rPr>
          <w:lang w:val="en-US"/>
        </w:rPr>
        <w:t xml:space="preserve"> </w:t>
      </w:r>
      <w:r w:rsidR="00884A7E" w:rsidRPr="00A50E4D">
        <w:rPr>
          <w:lang w:val="en-US"/>
        </w:rPr>
        <w:t xml:space="preserve">in the context of </w:t>
      </w:r>
      <w:r w:rsidR="00CD2F51" w:rsidRPr="00A50E4D">
        <w:rPr>
          <w:lang w:val="en-US"/>
        </w:rPr>
        <w:t>salaries that were not received</w:t>
      </w:r>
      <w:r w:rsidR="007A5DB4" w:rsidRPr="00A50E4D">
        <w:rPr>
          <w:lang w:val="en-US"/>
        </w:rPr>
        <w:t xml:space="preserve">, </w:t>
      </w:r>
      <w:r w:rsidRPr="00A50E4D">
        <w:rPr>
          <w:lang w:val="en-US"/>
        </w:rPr>
        <w:t>the Court</w:t>
      </w:r>
      <w:r w:rsidR="007A5DB4" w:rsidRPr="00A50E4D">
        <w:rPr>
          <w:lang w:val="en-US"/>
        </w:rPr>
        <w:t xml:space="preserve"> decide</w:t>
      </w:r>
      <w:r w:rsidR="007E4B3C" w:rsidRPr="00A50E4D">
        <w:rPr>
          <w:lang w:val="en-US"/>
        </w:rPr>
        <w:t xml:space="preserve">s to establish the sums of </w:t>
      </w:r>
      <w:r w:rsidR="0087695C" w:rsidRPr="00A50E4D">
        <w:rPr>
          <w:lang w:val="en-US"/>
        </w:rPr>
        <w:t>US$</w:t>
      </w:r>
      <w:r w:rsidR="007A5DB4" w:rsidRPr="00A50E4D">
        <w:rPr>
          <w:lang w:val="en-US"/>
        </w:rPr>
        <w:t>162</w:t>
      </w:r>
      <w:r w:rsidR="0087695C" w:rsidRPr="00A50E4D">
        <w:rPr>
          <w:lang w:val="en-US"/>
        </w:rPr>
        <w:t>,000.00</w:t>
      </w:r>
      <w:r w:rsidR="007A5DB4" w:rsidRPr="00A50E4D">
        <w:rPr>
          <w:lang w:val="en-US"/>
        </w:rPr>
        <w:t xml:space="preserve"> (</w:t>
      </w:r>
      <w:r w:rsidR="0087695C" w:rsidRPr="00A50E4D">
        <w:rPr>
          <w:lang w:val="en-US"/>
        </w:rPr>
        <w:t>one hundred and sixty-two thousand</w:t>
      </w:r>
      <w:r w:rsidRPr="00A50E4D">
        <w:rPr>
          <w:lang w:val="en-US"/>
        </w:rPr>
        <w:t xml:space="preserve"> </w:t>
      </w:r>
      <w:r w:rsidR="00A45503" w:rsidRPr="00A50E4D">
        <w:rPr>
          <w:lang w:val="en-US"/>
        </w:rPr>
        <w:t>United States dollars</w:t>
      </w:r>
      <w:r w:rsidR="007A5DB4" w:rsidRPr="00A50E4D">
        <w:rPr>
          <w:lang w:val="en-US"/>
        </w:rPr>
        <w:t xml:space="preserve">) </w:t>
      </w:r>
      <w:r w:rsidR="00CD43EA" w:rsidRPr="00A50E4D">
        <w:rPr>
          <w:lang w:val="en-US"/>
        </w:rPr>
        <w:t>for</w:t>
      </w:r>
      <w:r w:rsidR="0087695C" w:rsidRPr="00A50E4D">
        <w:rPr>
          <w:lang w:val="en-US"/>
        </w:rPr>
        <w:t xml:space="preserve"> Adán Guillermo López Lone; US$</w:t>
      </w:r>
      <w:r w:rsidR="007A5DB4" w:rsidRPr="00A50E4D">
        <w:rPr>
          <w:lang w:val="en-US"/>
        </w:rPr>
        <w:t>214</w:t>
      </w:r>
      <w:r w:rsidR="0087695C" w:rsidRPr="00A50E4D">
        <w:rPr>
          <w:lang w:val="en-US"/>
        </w:rPr>
        <w:t>,000.00</w:t>
      </w:r>
      <w:r w:rsidR="007A5DB4" w:rsidRPr="00A50E4D">
        <w:rPr>
          <w:lang w:val="en-US"/>
        </w:rPr>
        <w:t xml:space="preserve"> (</w:t>
      </w:r>
      <w:r w:rsidR="0087695C" w:rsidRPr="00A50E4D">
        <w:rPr>
          <w:lang w:val="en-US"/>
        </w:rPr>
        <w:t>two hundred and fourteen thousand</w:t>
      </w:r>
      <w:r w:rsidR="007A5DB4" w:rsidRPr="00A50E4D">
        <w:rPr>
          <w:lang w:val="en-US"/>
        </w:rPr>
        <w:t xml:space="preserve"> </w:t>
      </w:r>
      <w:r w:rsidR="00A45503" w:rsidRPr="00A50E4D">
        <w:rPr>
          <w:lang w:val="en-US"/>
        </w:rPr>
        <w:t>United States dollars</w:t>
      </w:r>
      <w:r w:rsidR="007A5DB4" w:rsidRPr="00A50E4D">
        <w:rPr>
          <w:lang w:val="en-US"/>
        </w:rPr>
        <w:t xml:space="preserve">) </w:t>
      </w:r>
      <w:r w:rsidR="00CD43EA" w:rsidRPr="00A50E4D">
        <w:rPr>
          <w:lang w:val="en-US"/>
        </w:rPr>
        <w:t>for</w:t>
      </w:r>
      <w:r w:rsidR="007A5DB4" w:rsidRPr="00A50E4D">
        <w:rPr>
          <w:lang w:val="en-US"/>
        </w:rPr>
        <w:t xml:space="preserve"> </w:t>
      </w:r>
      <w:r w:rsidR="008217D7" w:rsidRPr="00A50E4D">
        <w:rPr>
          <w:lang w:val="en-US"/>
        </w:rPr>
        <w:t>Tirza del Carmen</w:t>
      </w:r>
      <w:r w:rsidR="007A5DB4" w:rsidRPr="00A50E4D">
        <w:rPr>
          <w:lang w:val="en-US"/>
        </w:rPr>
        <w:t xml:space="preserve"> Flores Lanza,</w:t>
      </w:r>
      <w:r w:rsidRPr="00A50E4D">
        <w:rPr>
          <w:lang w:val="en-US"/>
        </w:rPr>
        <w:t xml:space="preserve"> and </w:t>
      </w:r>
      <w:r w:rsidR="0087695C" w:rsidRPr="00A50E4D">
        <w:rPr>
          <w:lang w:val="en-US"/>
        </w:rPr>
        <w:t>US$</w:t>
      </w:r>
      <w:r w:rsidR="007A5DB4" w:rsidRPr="00A50E4D">
        <w:rPr>
          <w:lang w:val="en-US"/>
        </w:rPr>
        <w:t>49</w:t>
      </w:r>
      <w:r w:rsidR="0087695C" w:rsidRPr="00A50E4D">
        <w:rPr>
          <w:lang w:val="en-US"/>
        </w:rPr>
        <w:t>,000.00</w:t>
      </w:r>
      <w:r w:rsidR="007A5DB4" w:rsidRPr="00A50E4D">
        <w:rPr>
          <w:lang w:val="en-US"/>
        </w:rPr>
        <w:t xml:space="preserve"> (</w:t>
      </w:r>
      <w:r w:rsidR="0087695C" w:rsidRPr="00A50E4D">
        <w:rPr>
          <w:lang w:val="en-US"/>
        </w:rPr>
        <w:t>forth-nine thousand</w:t>
      </w:r>
      <w:r w:rsidR="007A5DB4" w:rsidRPr="00A50E4D">
        <w:rPr>
          <w:lang w:val="en-US"/>
        </w:rPr>
        <w:t xml:space="preserve"> </w:t>
      </w:r>
      <w:r w:rsidR="00A45503" w:rsidRPr="00A50E4D">
        <w:rPr>
          <w:lang w:val="en-US"/>
        </w:rPr>
        <w:t>United States dollars</w:t>
      </w:r>
      <w:r w:rsidR="007A5DB4" w:rsidRPr="00A50E4D">
        <w:rPr>
          <w:lang w:val="en-US"/>
        </w:rPr>
        <w:t xml:space="preserve">) </w:t>
      </w:r>
      <w:r w:rsidR="00CD43EA" w:rsidRPr="00A50E4D">
        <w:rPr>
          <w:lang w:val="en-US"/>
        </w:rPr>
        <w:t>for</w:t>
      </w:r>
      <w:r w:rsidR="007A5DB4" w:rsidRPr="00A50E4D">
        <w:rPr>
          <w:lang w:val="en-US"/>
        </w:rPr>
        <w:t xml:space="preserve"> Luis Alonso </w:t>
      </w:r>
      <w:r w:rsidR="009A7056" w:rsidRPr="00A50E4D">
        <w:rPr>
          <w:lang w:val="en-US"/>
        </w:rPr>
        <w:t>Chévez de la Rocha</w:t>
      </w:r>
      <w:r w:rsidR="007A5DB4" w:rsidRPr="00A50E4D">
        <w:rPr>
          <w:lang w:val="en-US"/>
        </w:rPr>
        <w:t xml:space="preserve"> </w:t>
      </w:r>
      <w:r w:rsidR="00CD43EA" w:rsidRPr="00A50E4D">
        <w:rPr>
          <w:lang w:val="en-US"/>
        </w:rPr>
        <w:t>for loss of earnings</w:t>
      </w:r>
      <w:r w:rsidR="007E4B3C" w:rsidRPr="00A50E4D">
        <w:rPr>
          <w:lang w:val="en-US"/>
        </w:rPr>
        <w:t>. In addition, the Court decides</w:t>
      </w:r>
      <w:r w:rsidR="00CD43EA" w:rsidRPr="00A50E4D">
        <w:rPr>
          <w:lang w:val="en-US"/>
        </w:rPr>
        <w:t xml:space="preserve"> to establish, </w:t>
      </w:r>
      <w:r w:rsidR="00CD43EA" w:rsidRPr="00A50E4D">
        <w:rPr>
          <w:lang w:val="en-US"/>
        </w:rPr>
        <w:lastRenderedPageBreak/>
        <w:t xml:space="preserve">in fairness, the sum of </w:t>
      </w:r>
      <w:bookmarkEnd w:id="477"/>
      <w:r w:rsidR="007E4B3C" w:rsidRPr="00A50E4D">
        <w:rPr>
          <w:lang w:val="en-US"/>
        </w:rPr>
        <w:t>US$</w:t>
      </w:r>
      <w:r w:rsidR="007A5DB4" w:rsidRPr="00A50E4D">
        <w:rPr>
          <w:lang w:val="en-US"/>
        </w:rPr>
        <w:t>5</w:t>
      </w:r>
      <w:r w:rsidR="0087695C" w:rsidRPr="00A50E4D">
        <w:rPr>
          <w:lang w:val="en-US"/>
        </w:rPr>
        <w:t>,000.00</w:t>
      </w:r>
      <w:r w:rsidR="007A5DB4" w:rsidRPr="00A50E4D">
        <w:rPr>
          <w:lang w:val="en-US"/>
        </w:rPr>
        <w:t xml:space="preserve"> (</w:t>
      </w:r>
      <w:r w:rsidR="00CD43EA" w:rsidRPr="00A50E4D">
        <w:rPr>
          <w:lang w:val="en-US"/>
        </w:rPr>
        <w:t>five thousand</w:t>
      </w:r>
      <w:r w:rsidR="007A5DB4" w:rsidRPr="00A50E4D">
        <w:rPr>
          <w:lang w:val="en-US"/>
        </w:rPr>
        <w:t xml:space="preserve"> </w:t>
      </w:r>
      <w:r w:rsidR="00A45503" w:rsidRPr="00A50E4D">
        <w:rPr>
          <w:lang w:val="en-US"/>
        </w:rPr>
        <w:t>United States dollars</w:t>
      </w:r>
      <w:r w:rsidR="007A5DB4" w:rsidRPr="00A50E4D">
        <w:rPr>
          <w:lang w:val="en-US"/>
        </w:rPr>
        <w:t xml:space="preserve">) </w:t>
      </w:r>
      <w:r w:rsidR="00CD43EA" w:rsidRPr="00A50E4D">
        <w:rPr>
          <w:lang w:val="en-US"/>
        </w:rPr>
        <w:t xml:space="preserve">for each of the </w:t>
      </w:r>
      <w:r w:rsidR="004B0477" w:rsidRPr="00A50E4D">
        <w:rPr>
          <w:lang w:val="en-US"/>
        </w:rPr>
        <w:t>victims</w:t>
      </w:r>
      <w:r w:rsidR="007A5DB4" w:rsidRPr="00A50E4D">
        <w:rPr>
          <w:lang w:val="en-US"/>
        </w:rPr>
        <w:t xml:space="preserve">, Adán Guillermo López Lone, Luis </w:t>
      </w:r>
      <w:r w:rsidR="009A7056" w:rsidRPr="00A50E4D">
        <w:rPr>
          <w:lang w:val="en-US"/>
        </w:rPr>
        <w:t>Chévez de la Rocha</w:t>
      </w:r>
      <w:r w:rsidR="00CD43EA" w:rsidRPr="00A50E4D">
        <w:rPr>
          <w:lang w:val="en-US"/>
        </w:rPr>
        <w:t>,</w:t>
      </w:r>
      <w:r w:rsidRPr="00A50E4D">
        <w:rPr>
          <w:lang w:val="en-US"/>
        </w:rPr>
        <w:t xml:space="preserve"> </w:t>
      </w:r>
      <w:r w:rsidR="007A5DB4" w:rsidRPr="00A50E4D">
        <w:rPr>
          <w:lang w:val="en-US"/>
        </w:rPr>
        <w:t>Ramón Barrios Maldonado</w:t>
      </w:r>
      <w:r w:rsidRPr="00A50E4D">
        <w:rPr>
          <w:lang w:val="en-US"/>
        </w:rPr>
        <w:t xml:space="preserve"> and </w:t>
      </w:r>
      <w:r w:rsidR="008217D7" w:rsidRPr="00A50E4D">
        <w:rPr>
          <w:lang w:val="en-US"/>
        </w:rPr>
        <w:t>Tirza del Carmen</w:t>
      </w:r>
      <w:r w:rsidR="007A5DB4" w:rsidRPr="00A50E4D">
        <w:rPr>
          <w:lang w:val="en-US"/>
        </w:rPr>
        <w:t xml:space="preserve"> Flores Lanza, </w:t>
      </w:r>
      <w:r w:rsidR="00CD43EA" w:rsidRPr="00A50E4D">
        <w:rPr>
          <w:lang w:val="en-US"/>
        </w:rPr>
        <w:t>for consequential damage.</w:t>
      </w:r>
    </w:p>
    <w:p w14:paraId="4D5865E8" w14:textId="77777777" w:rsidR="00B101DF" w:rsidRPr="00A50E4D" w:rsidRDefault="00B101DF" w:rsidP="007A5DB4">
      <w:pPr>
        <w:rPr>
          <w:lang w:val="en-US" w:eastAsia="es-MX"/>
        </w:rPr>
      </w:pPr>
    </w:p>
    <w:p w14:paraId="56FB59B7" w14:textId="29F9B73B" w:rsidR="007A5DB4" w:rsidRPr="00A50E4D" w:rsidRDefault="007A5DB4" w:rsidP="007A5DB4">
      <w:pPr>
        <w:pStyle w:val="Heading3"/>
        <w:rPr>
          <w:spacing w:val="-4"/>
          <w:lang w:val="en-US"/>
        </w:rPr>
      </w:pPr>
      <w:bookmarkStart w:id="478" w:name="_Toc431584680"/>
      <w:bookmarkStart w:id="479" w:name="_Toc471717314"/>
      <w:r w:rsidRPr="00A50E4D">
        <w:rPr>
          <w:spacing w:val="-4"/>
          <w:lang w:val="en-US"/>
        </w:rPr>
        <w:t xml:space="preserve">D.2)  </w:t>
      </w:r>
      <w:r w:rsidR="00F814CB" w:rsidRPr="00A50E4D">
        <w:rPr>
          <w:spacing w:val="-4"/>
          <w:lang w:val="en-US"/>
        </w:rPr>
        <w:t>Non-pecuniary damage</w:t>
      </w:r>
      <w:bookmarkEnd w:id="478"/>
      <w:bookmarkEnd w:id="479"/>
    </w:p>
    <w:p w14:paraId="03ADA3CA" w14:textId="77777777" w:rsidR="007A5DB4" w:rsidRPr="00A50E4D" w:rsidRDefault="007A5DB4" w:rsidP="007A5DB4">
      <w:pPr>
        <w:pStyle w:val="PrrafodeSentencia"/>
        <w:numPr>
          <w:ilvl w:val="0"/>
          <w:numId w:val="0"/>
        </w:numPr>
        <w:rPr>
          <w:lang w:val="en-US"/>
        </w:rPr>
      </w:pPr>
    </w:p>
    <w:p w14:paraId="37713BD9" w14:textId="1268D254" w:rsidR="007A5DB4" w:rsidRPr="00A50E4D" w:rsidRDefault="00AD5EE7" w:rsidP="007A5DB4">
      <w:pPr>
        <w:pStyle w:val="PrrafodeSentencia"/>
        <w:rPr>
          <w:lang w:val="en-US"/>
        </w:rPr>
      </w:pPr>
      <w:r w:rsidRPr="00A50E4D">
        <w:rPr>
          <w:lang w:val="en-US"/>
        </w:rPr>
        <w:t>The representatives</w:t>
      </w:r>
      <w:r w:rsidR="007A5DB4" w:rsidRPr="00A50E4D">
        <w:rPr>
          <w:b/>
          <w:i/>
          <w:lang w:val="en-US"/>
        </w:rPr>
        <w:t xml:space="preserve"> </w:t>
      </w:r>
      <w:r w:rsidR="00DB2937" w:rsidRPr="00A50E4D">
        <w:rPr>
          <w:lang w:val="en-US"/>
        </w:rPr>
        <w:t xml:space="preserve">indicated that </w:t>
      </w:r>
      <w:r w:rsidR="007A5DB4" w:rsidRPr="00A50E4D">
        <w:rPr>
          <w:lang w:val="en-US"/>
        </w:rPr>
        <w:t>“</w:t>
      </w:r>
      <w:r w:rsidR="00DB2937" w:rsidRPr="00A50E4D">
        <w:rPr>
          <w:lang w:val="en-US"/>
        </w:rPr>
        <w:t xml:space="preserve">there had been an autonomous effect on the mental integrity and private life of </w:t>
      </w:r>
      <w:r w:rsidR="007A5DB4" w:rsidRPr="00A50E4D">
        <w:rPr>
          <w:lang w:val="en-US"/>
        </w:rPr>
        <w:t xml:space="preserve">Adán Guillermo López Lone, Luis Alonso </w:t>
      </w:r>
      <w:r w:rsidR="009A7056" w:rsidRPr="00A50E4D">
        <w:rPr>
          <w:lang w:val="en-US"/>
        </w:rPr>
        <w:t>Chévez de la Rocha</w:t>
      </w:r>
      <w:r w:rsidR="007A5DB4" w:rsidRPr="00A50E4D">
        <w:rPr>
          <w:lang w:val="en-US"/>
        </w:rPr>
        <w:t>, Ramón Enrique Barrios</w:t>
      </w:r>
      <w:r w:rsidR="009808C5" w:rsidRPr="00A50E4D">
        <w:rPr>
          <w:lang w:val="en-US"/>
        </w:rPr>
        <w:t xml:space="preserve"> and </w:t>
      </w:r>
      <w:r w:rsidR="008217D7" w:rsidRPr="00A50E4D">
        <w:rPr>
          <w:lang w:val="en-US"/>
        </w:rPr>
        <w:t>Tirza del Carmen</w:t>
      </w:r>
      <w:r w:rsidR="007A5DB4" w:rsidRPr="00A50E4D">
        <w:rPr>
          <w:lang w:val="en-US"/>
        </w:rPr>
        <w:t xml:space="preserve"> Flores Lanza, </w:t>
      </w:r>
      <w:r w:rsidR="00DB2937" w:rsidRPr="00A50E4D">
        <w:rPr>
          <w:lang w:val="en-US"/>
        </w:rPr>
        <w:t xml:space="preserve">because they were subject to stigmatization and </w:t>
      </w:r>
      <w:r w:rsidR="000A786A" w:rsidRPr="00A50E4D">
        <w:rPr>
          <w:lang w:val="en-US"/>
        </w:rPr>
        <w:t>discrimination</w:t>
      </w:r>
      <w:r w:rsidR="00DB2937" w:rsidRPr="00A50E4D">
        <w:rPr>
          <w:lang w:val="en-US"/>
        </w:rPr>
        <w:t xml:space="preserve"> by public of</w:t>
      </w:r>
      <w:r w:rsidR="00F32C1C" w:rsidRPr="00A50E4D">
        <w:rPr>
          <w:lang w:val="en-US"/>
        </w:rPr>
        <w:t>ficials,</w:t>
      </w:r>
      <w:r w:rsidR="00DB2937" w:rsidRPr="00A50E4D">
        <w:rPr>
          <w:lang w:val="en-US"/>
        </w:rPr>
        <w:t xml:space="preserve"> and</w:t>
      </w:r>
      <w:r w:rsidR="00F32C1C" w:rsidRPr="00A50E4D">
        <w:rPr>
          <w:lang w:val="en-US"/>
        </w:rPr>
        <w:t xml:space="preserve"> also</w:t>
      </w:r>
      <w:r w:rsidR="00DB2937" w:rsidRPr="00A50E4D">
        <w:rPr>
          <w:lang w:val="en-US"/>
        </w:rPr>
        <w:t xml:space="preserve"> due to the stress, suffering, frustration and uncertainty caused by the dismissals.” Accordingly, they asked that, based on the </w:t>
      </w:r>
      <w:r w:rsidR="000A786A" w:rsidRPr="00A50E4D">
        <w:rPr>
          <w:lang w:val="en-US"/>
        </w:rPr>
        <w:t>circumstances</w:t>
      </w:r>
      <w:r w:rsidR="00DB2937" w:rsidRPr="00A50E4D">
        <w:rPr>
          <w:lang w:val="en-US"/>
        </w:rPr>
        <w:t xml:space="preserve"> of the case and the harm suffered by the</w:t>
      </w:r>
      <w:r w:rsidR="007A5DB4" w:rsidRPr="00A50E4D">
        <w:rPr>
          <w:lang w:val="en-US"/>
        </w:rPr>
        <w:t xml:space="preserve"> </w:t>
      </w:r>
      <w:r w:rsidR="004B0477" w:rsidRPr="00A50E4D">
        <w:rPr>
          <w:lang w:val="en-US"/>
        </w:rPr>
        <w:t>victims</w:t>
      </w:r>
      <w:r w:rsidR="007A5DB4" w:rsidRPr="00A50E4D">
        <w:rPr>
          <w:lang w:val="en-US"/>
        </w:rPr>
        <w:t xml:space="preserve">, </w:t>
      </w:r>
      <w:r w:rsidR="009808C5" w:rsidRPr="00A50E4D">
        <w:rPr>
          <w:lang w:val="en-US"/>
        </w:rPr>
        <w:t>the Court</w:t>
      </w:r>
      <w:r w:rsidR="007A5DB4" w:rsidRPr="00A50E4D">
        <w:rPr>
          <w:lang w:val="en-US"/>
        </w:rPr>
        <w:t xml:space="preserve"> determine</w:t>
      </w:r>
      <w:r w:rsidR="00DB2937" w:rsidRPr="00A50E4D">
        <w:rPr>
          <w:lang w:val="en-US"/>
        </w:rPr>
        <w:t>, in fairness, compensation for</w:t>
      </w:r>
      <w:r w:rsidR="007A5DB4" w:rsidRPr="00A50E4D">
        <w:rPr>
          <w:lang w:val="en-US"/>
        </w:rPr>
        <w:t xml:space="preserve"> </w:t>
      </w:r>
      <w:r w:rsidR="00F814CB" w:rsidRPr="00A50E4D">
        <w:rPr>
          <w:lang w:val="en-US"/>
        </w:rPr>
        <w:t>non-pecuniary damage</w:t>
      </w:r>
      <w:r w:rsidR="007A5DB4" w:rsidRPr="00A50E4D">
        <w:rPr>
          <w:lang w:val="en-US"/>
        </w:rPr>
        <w:t xml:space="preserve"> </w:t>
      </w:r>
      <w:r w:rsidR="00DB2937" w:rsidRPr="00A50E4D">
        <w:rPr>
          <w:lang w:val="en-US"/>
        </w:rPr>
        <w:t>for each of them</w:t>
      </w:r>
      <w:r w:rsidR="007A5DB4" w:rsidRPr="00A50E4D">
        <w:rPr>
          <w:lang w:val="en-US"/>
        </w:rPr>
        <w:t xml:space="preserve">. </w:t>
      </w:r>
    </w:p>
    <w:p w14:paraId="0E11C7E8" w14:textId="77777777" w:rsidR="007A5DB4" w:rsidRPr="00A50E4D" w:rsidRDefault="007A5DB4" w:rsidP="007A5DB4">
      <w:pPr>
        <w:pStyle w:val="PrrafodeSentencia"/>
        <w:numPr>
          <w:ilvl w:val="0"/>
          <w:numId w:val="0"/>
        </w:numPr>
        <w:rPr>
          <w:lang w:val="en-US"/>
        </w:rPr>
      </w:pPr>
    </w:p>
    <w:p w14:paraId="5B2EBB1D" w14:textId="7BAC98EB" w:rsidR="007A5DB4" w:rsidRPr="00A50E4D" w:rsidRDefault="00DB2937" w:rsidP="007A5DB4">
      <w:pPr>
        <w:pStyle w:val="PrrafodeSentencia"/>
        <w:rPr>
          <w:lang w:val="en-US"/>
        </w:rPr>
      </w:pPr>
      <w:r w:rsidRPr="00A50E4D">
        <w:rPr>
          <w:lang w:val="en-US"/>
        </w:rPr>
        <w:t>International case law has established that the judgment constitutes</w:t>
      </w:r>
      <w:r w:rsidR="007A5DB4" w:rsidRPr="00A50E4D">
        <w:rPr>
          <w:lang w:val="en-US"/>
        </w:rPr>
        <w:t xml:space="preserve"> </w:t>
      </w:r>
      <w:r w:rsidR="007A5DB4" w:rsidRPr="00A50E4D">
        <w:rPr>
          <w:i/>
          <w:lang w:val="en-US"/>
        </w:rPr>
        <w:t xml:space="preserve">per se </w:t>
      </w:r>
      <w:r w:rsidRPr="00A50E4D">
        <w:rPr>
          <w:lang w:val="en-US"/>
        </w:rPr>
        <w:t>a form of reparation.</w:t>
      </w:r>
      <w:r w:rsidR="007A5DB4" w:rsidRPr="00A50E4D">
        <w:rPr>
          <w:vertAlign w:val="superscript"/>
          <w:lang w:val="en-US"/>
        </w:rPr>
        <w:footnoteReference w:id="470"/>
      </w:r>
      <w:r w:rsidRPr="00A50E4D">
        <w:rPr>
          <w:lang w:val="en-US"/>
        </w:rPr>
        <w:t xml:space="preserve"> However, this Court has developed the concept of </w:t>
      </w:r>
      <w:r w:rsidR="00F814CB" w:rsidRPr="00A50E4D">
        <w:rPr>
          <w:lang w:val="en-US"/>
        </w:rPr>
        <w:t>non-pecuniary damage</w:t>
      </w:r>
      <w:r w:rsidR="009808C5" w:rsidRPr="00A50E4D">
        <w:rPr>
          <w:lang w:val="en-US"/>
        </w:rPr>
        <w:t xml:space="preserve"> and </w:t>
      </w:r>
      <w:r w:rsidR="007A5DB4" w:rsidRPr="00A50E4D">
        <w:rPr>
          <w:lang w:val="en-US"/>
        </w:rPr>
        <w:t>ha</w:t>
      </w:r>
      <w:r w:rsidRPr="00A50E4D">
        <w:rPr>
          <w:lang w:val="en-US"/>
        </w:rPr>
        <w:t>s</w:t>
      </w:r>
      <w:r w:rsidR="007A5DB4" w:rsidRPr="00A50E4D">
        <w:rPr>
          <w:lang w:val="en-US"/>
        </w:rPr>
        <w:t xml:space="preserve"> establ</w:t>
      </w:r>
      <w:r w:rsidRPr="00A50E4D">
        <w:rPr>
          <w:lang w:val="en-US"/>
        </w:rPr>
        <w:t>ished that this “may include the suffering and affliction caused to the direct victim and his family, the impairment of values that are very significant for the individual, and also the changes of a non-pecuniary nature in the living conditions of the victim or his family.</w:t>
      </w:r>
      <w:r w:rsidR="007A5DB4" w:rsidRPr="00A50E4D">
        <w:rPr>
          <w:lang w:val="en-US"/>
        </w:rPr>
        <w:t>”</w:t>
      </w:r>
      <w:r w:rsidR="007A5DB4" w:rsidRPr="00A50E4D">
        <w:rPr>
          <w:vertAlign w:val="superscript"/>
          <w:lang w:val="en-US"/>
        </w:rPr>
        <w:footnoteReference w:id="471"/>
      </w:r>
    </w:p>
    <w:p w14:paraId="2ACD2B57" w14:textId="77777777" w:rsidR="007A5DB4" w:rsidRPr="00A50E4D" w:rsidRDefault="007A5DB4" w:rsidP="007A5DB4">
      <w:pPr>
        <w:pStyle w:val="PrrafodeSentencia"/>
        <w:numPr>
          <w:ilvl w:val="0"/>
          <w:numId w:val="0"/>
        </w:numPr>
        <w:rPr>
          <w:lang w:val="en-US"/>
        </w:rPr>
      </w:pPr>
    </w:p>
    <w:p w14:paraId="3F71C70A" w14:textId="12A1DAFE" w:rsidR="00DB2937" w:rsidRPr="00A50E4D" w:rsidRDefault="009808C5" w:rsidP="007A5DB4">
      <w:pPr>
        <w:pStyle w:val="PrrafodeSentencia"/>
        <w:rPr>
          <w:lang w:val="en-US"/>
        </w:rPr>
      </w:pPr>
      <w:r w:rsidRPr="00A50E4D">
        <w:rPr>
          <w:lang w:val="en-US"/>
        </w:rPr>
        <w:t>The Court</w:t>
      </w:r>
      <w:r w:rsidR="00DB2937" w:rsidRPr="00A50E4D">
        <w:rPr>
          <w:lang w:val="en-US"/>
        </w:rPr>
        <w:t xml:space="preserve"> notes that, in the statements made by the victims, they referred to their suffering and affliction owing to the violations declared in this case. Thus, </w:t>
      </w:r>
      <w:r w:rsidR="009A7056" w:rsidRPr="00A50E4D">
        <w:rPr>
          <w:lang w:val="en-US"/>
        </w:rPr>
        <w:t>Mr. Chévez de la Rocha</w:t>
      </w:r>
      <w:r w:rsidR="007A5DB4" w:rsidRPr="00A50E4D">
        <w:rPr>
          <w:lang w:val="en-US"/>
        </w:rPr>
        <w:t xml:space="preserve"> </w:t>
      </w:r>
      <w:r w:rsidR="00DB2937" w:rsidRPr="00A50E4D">
        <w:rPr>
          <w:lang w:val="en-US"/>
        </w:rPr>
        <w:t>stated that “the fact that a disciplinary case was brought against [him had] a strong impact, especially when the dismissal became final.” Losing his tenure as a judge “upset [him] and, at the beginning, his family seemed not to understand it”; he felt guilty, he was criticized, he was worried about the debts he had contracted and his children’s studies. He also stated that he had accumulated a “high level of stress […] over these four years and this has affected [his] h</w:t>
      </w:r>
      <w:r w:rsidR="00F32C1C" w:rsidRPr="00A50E4D">
        <w:rPr>
          <w:lang w:val="en-US"/>
        </w:rPr>
        <w:t>ealth.” He indicated that he had been diagnosed with generalized arthritis and the situation</w:t>
      </w:r>
      <w:r w:rsidR="00DB2937" w:rsidRPr="00A50E4D">
        <w:rPr>
          <w:lang w:val="en-US"/>
        </w:rPr>
        <w:t xml:space="preserve"> had even led to conflictive relationships within his household, “circumstances that [they] had responded to by paying for psychosocial assistance for [his] wife, [his] children and [him]self.” He </w:t>
      </w:r>
      <w:r w:rsidR="000A786A" w:rsidRPr="00A50E4D">
        <w:rPr>
          <w:lang w:val="en-US"/>
        </w:rPr>
        <w:t>stated</w:t>
      </w:r>
      <w:r w:rsidR="00DB2937" w:rsidRPr="00A50E4D">
        <w:rPr>
          <w:lang w:val="en-US"/>
        </w:rPr>
        <w:t xml:space="preserve"> that the dismissal had affected him psychologically; he “feels that this situation has deprived [his] family </w:t>
      </w:r>
      <w:r w:rsidR="00F32C1C" w:rsidRPr="00A50E4D">
        <w:rPr>
          <w:lang w:val="en-US"/>
        </w:rPr>
        <w:t>of</w:t>
      </w:r>
      <w:r w:rsidR="00DB2937" w:rsidRPr="00A50E4D">
        <w:rPr>
          <w:lang w:val="en-US"/>
        </w:rPr>
        <w:t xml:space="preserve"> a better quality of</w:t>
      </w:r>
      <w:r w:rsidR="00F32C1C" w:rsidRPr="00A50E4D">
        <w:rPr>
          <w:lang w:val="en-US"/>
        </w:rPr>
        <w:t xml:space="preserve"> life and [… he] constantly feels</w:t>
      </w:r>
      <w:r w:rsidR="00DB2937" w:rsidRPr="00A50E4D">
        <w:rPr>
          <w:lang w:val="en-US"/>
        </w:rPr>
        <w:t xml:space="preserve"> guilty and even though [he] is able to overcome this – because [he] is convinced that [his] stance was correct – it still annoys” him. In addition, his wife testified that the disciplinary proceeding and her husband’s dismissal “was really traumatic; he became more anxious, irritable.” She indicated that her husband became depressed because he had not been reinstated and the stress had affected his health.</w:t>
      </w:r>
    </w:p>
    <w:p w14:paraId="73BCA4B4" w14:textId="77777777" w:rsidR="007A5DB4" w:rsidRPr="00A50E4D" w:rsidRDefault="007A5DB4" w:rsidP="007A5DB4">
      <w:pPr>
        <w:pStyle w:val="PrrafodeSentencia"/>
        <w:numPr>
          <w:ilvl w:val="0"/>
          <w:numId w:val="0"/>
        </w:numPr>
        <w:rPr>
          <w:lang w:val="en-US"/>
        </w:rPr>
      </w:pPr>
    </w:p>
    <w:p w14:paraId="27078D72" w14:textId="78D8B74E" w:rsidR="007A5DB4" w:rsidRPr="00A50E4D" w:rsidRDefault="007A5DB4" w:rsidP="00DB2937">
      <w:pPr>
        <w:pStyle w:val="PrrafodeSentencia"/>
        <w:rPr>
          <w:lang w:val="en-US"/>
        </w:rPr>
      </w:pPr>
      <w:r w:rsidRPr="00A50E4D">
        <w:rPr>
          <w:lang w:val="en-US"/>
        </w:rPr>
        <w:t xml:space="preserve">Tirza Flores Lanza </w:t>
      </w:r>
      <w:r w:rsidR="00DB2937" w:rsidRPr="00A50E4D">
        <w:rPr>
          <w:lang w:val="en-US"/>
        </w:rPr>
        <w:t>testified that</w:t>
      </w:r>
      <w:r w:rsidRPr="00A50E4D">
        <w:rPr>
          <w:lang w:val="en-US"/>
        </w:rPr>
        <w:t xml:space="preserve"> “</w:t>
      </w:r>
      <w:r w:rsidR="00FF35A9" w:rsidRPr="00A50E4D">
        <w:rPr>
          <w:lang w:val="en-US"/>
        </w:rPr>
        <w:t>the disciplinary proceeding</w:t>
      </w:r>
      <w:r w:rsidRPr="00A50E4D">
        <w:rPr>
          <w:lang w:val="en-US"/>
        </w:rPr>
        <w:t xml:space="preserve"> […] </w:t>
      </w:r>
      <w:r w:rsidR="00DB2937" w:rsidRPr="00A50E4D">
        <w:rPr>
          <w:lang w:val="en-US"/>
        </w:rPr>
        <w:t xml:space="preserve">was a time of much uncertainty and affected [her] dignity. Following the dismissal [her] life changed completely; [she] felt totally disoriented and extremely worried about the maintenance of [her] family”; she felt “great fear [and] frustration.” She stated </w:t>
      </w:r>
      <w:r w:rsidR="000A786A" w:rsidRPr="00A50E4D">
        <w:rPr>
          <w:lang w:val="en-US"/>
        </w:rPr>
        <w:t>that</w:t>
      </w:r>
      <w:r w:rsidR="00DB2937" w:rsidRPr="00A50E4D">
        <w:rPr>
          <w:lang w:val="en-US"/>
        </w:rPr>
        <w:t xml:space="preserve"> “over the […] years since [she] was dismissed from the Judiciary, [she had] felt very sad and depressed on many occasion owing to the frustration caused by the fact that, because [she] did the right thing, [… she had been] expelled from [her] place of work as a result </w:t>
      </w:r>
      <w:r w:rsidR="000A786A" w:rsidRPr="00A50E4D">
        <w:rPr>
          <w:lang w:val="en-US"/>
        </w:rPr>
        <w:t>of</w:t>
      </w:r>
      <w:r w:rsidR="00DB2937" w:rsidRPr="00A50E4D">
        <w:rPr>
          <w:lang w:val="en-US"/>
        </w:rPr>
        <w:t xml:space="preserve"> accusations that have damaged [her] honor.” She stressed that she had “</w:t>
      </w:r>
      <w:r w:rsidR="000B62CF" w:rsidRPr="00A50E4D">
        <w:rPr>
          <w:lang w:val="en-US"/>
        </w:rPr>
        <w:t>been</w:t>
      </w:r>
      <w:r w:rsidR="00F32C1C" w:rsidRPr="00A50E4D">
        <w:rPr>
          <w:lang w:val="en-US"/>
        </w:rPr>
        <w:t xml:space="preserve"> </w:t>
      </w:r>
      <w:r w:rsidR="000B62CF" w:rsidRPr="00A50E4D">
        <w:rPr>
          <w:lang w:val="en-US"/>
        </w:rPr>
        <w:t>subjected</w:t>
      </w:r>
      <w:r w:rsidR="00F32C1C" w:rsidRPr="00A50E4D">
        <w:rPr>
          <w:lang w:val="en-US"/>
        </w:rPr>
        <w:t xml:space="preserve"> to</w:t>
      </w:r>
      <w:r w:rsidR="00DB2937" w:rsidRPr="00A50E4D">
        <w:rPr>
          <w:lang w:val="en-US"/>
        </w:rPr>
        <w:t xml:space="preserve"> many offensive and denigrating insults […] which have affected [them] greatly.” In addition, she stated that her husband, </w:t>
      </w:r>
      <w:r w:rsidRPr="00A50E4D">
        <w:rPr>
          <w:lang w:val="en-US"/>
        </w:rPr>
        <w:t>Adán Guillermo López Lone</w:t>
      </w:r>
      <w:r w:rsidR="00DB2937" w:rsidRPr="00A50E4D">
        <w:rPr>
          <w:lang w:val="en-US"/>
        </w:rPr>
        <w:t>, had undergone episodes of depression and anxiety as a result of his dismissal. Meanwhile</w:t>
      </w:r>
      <w:r w:rsidR="000A786A" w:rsidRPr="00A50E4D">
        <w:rPr>
          <w:lang w:val="en-US"/>
        </w:rPr>
        <w:t>, Adán</w:t>
      </w:r>
      <w:r w:rsidRPr="00A50E4D">
        <w:rPr>
          <w:lang w:val="en-US"/>
        </w:rPr>
        <w:t xml:space="preserve"> Guillermo López Lone </w:t>
      </w:r>
      <w:r w:rsidR="00DB2937" w:rsidRPr="00A50E4D">
        <w:rPr>
          <w:lang w:val="en-US"/>
        </w:rPr>
        <w:t>indicated that</w:t>
      </w:r>
      <w:r w:rsidRPr="00A50E4D">
        <w:rPr>
          <w:lang w:val="en-US"/>
        </w:rPr>
        <w:t xml:space="preserve"> “</w:t>
      </w:r>
      <w:r w:rsidR="00DB2937" w:rsidRPr="00A50E4D">
        <w:rPr>
          <w:lang w:val="en-US"/>
        </w:rPr>
        <w:t>the dismissal</w:t>
      </w:r>
      <w:r w:rsidRPr="00A50E4D">
        <w:rPr>
          <w:lang w:val="en-US"/>
        </w:rPr>
        <w:t xml:space="preserve"> […] </w:t>
      </w:r>
      <w:r w:rsidR="00DB2937" w:rsidRPr="00A50E4D">
        <w:rPr>
          <w:lang w:val="en-US"/>
        </w:rPr>
        <w:t xml:space="preserve">was a very difficult situation, almost devastating; [they] </w:t>
      </w:r>
      <w:r w:rsidR="00F32C1C" w:rsidRPr="00A50E4D">
        <w:rPr>
          <w:lang w:val="en-US"/>
        </w:rPr>
        <w:t xml:space="preserve">suffered </w:t>
      </w:r>
      <w:r w:rsidR="00DB2937" w:rsidRPr="00A50E4D">
        <w:rPr>
          <w:lang w:val="en-US"/>
        </w:rPr>
        <w:t xml:space="preserve">a great </w:t>
      </w:r>
      <w:r w:rsidR="00DB2937" w:rsidRPr="00A50E4D">
        <w:rPr>
          <w:lang w:val="en-US"/>
        </w:rPr>
        <w:lastRenderedPageBreak/>
        <w:t xml:space="preserve">deal of anguish, anxiety, depression; [he] had to seek medical help in order to overcome the situation.” His children indicated that their parents suffered </w:t>
      </w:r>
      <w:r w:rsidRPr="00A50E4D">
        <w:rPr>
          <w:lang w:val="en-US"/>
        </w:rPr>
        <w:t>“</w:t>
      </w:r>
      <w:r w:rsidR="00F32C1C" w:rsidRPr="00A50E4D">
        <w:rPr>
          <w:lang w:val="en-US"/>
        </w:rPr>
        <w:t xml:space="preserve">significant </w:t>
      </w:r>
      <w:r w:rsidR="00DB2937" w:rsidRPr="00A50E4D">
        <w:rPr>
          <w:lang w:val="en-US"/>
        </w:rPr>
        <w:t xml:space="preserve">stigmatization”; the media coverage caused them great frustration and they were “moody.” </w:t>
      </w:r>
      <w:r w:rsidRPr="00A50E4D">
        <w:rPr>
          <w:lang w:val="en-US"/>
        </w:rPr>
        <w:t>T</w:t>
      </w:r>
      <w:r w:rsidR="00DB2937" w:rsidRPr="00A50E4D">
        <w:rPr>
          <w:lang w:val="en-US"/>
        </w:rPr>
        <w:t>hey also indicated that their parents suffered “a great deal of emotional insecurity owing to their stigmatization, and even owing to the risk to their physical integrity that they felt on more than one occasion, and of the uncertainty owing to the arbitrary decisions</w:t>
      </w:r>
      <w:r w:rsidR="00F32C1C" w:rsidRPr="00A50E4D">
        <w:rPr>
          <w:lang w:val="en-US"/>
        </w:rPr>
        <w:t xml:space="preserve"> of the authorities. Permanent help</w:t>
      </w:r>
      <w:r w:rsidR="00DB2937" w:rsidRPr="00A50E4D">
        <w:rPr>
          <w:lang w:val="en-US"/>
        </w:rPr>
        <w:t>lessness was one of the strongest feelings they experienced.”</w:t>
      </w:r>
    </w:p>
    <w:p w14:paraId="67CA1239" w14:textId="77777777" w:rsidR="007A5DB4" w:rsidRPr="00A50E4D" w:rsidRDefault="007A5DB4" w:rsidP="007A5DB4">
      <w:pPr>
        <w:pStyle w:val="PrrafodeSentencia"/>
        <w:numPr>
          <w:ilvl w:val="0"/>
          <w:numId w:val="0"/>
        </w:numPr>
        <w:rPr>
          <w:lang w:val="en-US"/>
        </w:rPr>
      </w:pPr>
    </w:p>
    <w:p w14:paraId="4E29FD4E" w14:textId="1DF13AF3" w:rsidR="007A5DB4" w:rsidRPr="00A50E4D" w:rsidRDefault="00DB2937" w:rsidP="00DB2937">
      <w:pPr>
        <w:pStyle w:val="PrrafodeSentencia"/>
        <w:rPr>
          <w:lang w:val="en-US"/>
        </w:rPr>
      </w:pPr>
      <w:r w:rsidRPr="00A50E4D">
        <w:rPr>
          <w:lang w:val="en-US"/>
        </w:rPr>
        <w:t xml:space="preserve">Ramón Barrios Maldonado stated that, the fact that he had been dismissed and, at the same time, remained in his post awaiting his </w:t>
      </w:r>
      <w:r w:rsidR="000A786A" w:rsidRPr="00A50E4D">
        <w:rPr>
          <w:lang w:val="en-US"/>
        </w:rPr>
        <w:t>substitute</w:t>
      </w:r>
      <w:r w:rsidRPr="00A50E4D">
        <w:rPr>
          <w:lang w:val="en-US"/>
        </w:rPr>
        <w:t xml:space="preserve">, “affected [him] morally, and diminished [his] professional capability to </w:t>
      </w:r>
      <w:r w:rsidR="00F32C1C" w:rsidRPr="00A50E4D">
        <w:rPr>
          <w:lang w:val="en-US"/>
        </w:rPr>
        <w:t>execute</w:t>
      </w:r>
      <w:r w:rsidRPr="00A50E4D">
        <w:rPr>
          <w:lang w:val="en-US"/>
        </w:rPr>
        <w:t xml:space="preserve"> [his] work as a judge.” He also indicated that the proceeding affected both him and his family emotionally owing to the uncertainty of no</w:t>
      </w:r>
      <w:r w:rsidR="00F32C1C" w:rsidRPr="00A50E4D">
        <w:rPr>
          <w:lang w:val="en-US"/>
        </w:rPr>
        <w:t>t</w:t>
      </w:r>
      <w:r w:rsidRPr="00A50E4D">
        <w:rPr>
          <w:lang w:val="en-US"/>
        </w:rPr>
        <w:t xml:space="preserve"> knowing his fate. As a result of the proceeding, he “was stigmatized before society as a rebel judge, a communist and a Zelayist.” Throughout the proceedings he was also “emotionally destroyed and professionally diminished.” </w:t>
      </w:r>
      <w:r w:rsidR="00F32C1C" w:rsidRPr="00A50E4D">
        <w:rPr>
          <w:lang w:val="en-US"/>
        </w:rPr>
        <w:t>Moreover</w:t>
      </w:r>
      <w:r w:rsidRPr="00A50E4D">
        <w:rPr>
          <w:lang w:val="en-US"/>
        </w:rPr>
        <w:t xml:space="preserve">, </w:t>
      </w:r>
      <w:r w:rsidR="007A5DB4" w:rsidRPr="00A50E4D">
        <w:rPr>
          <w:lang w:val="en-US"/>
        </w:rPr>
        <w:t xml:space="preserve">Luis Alonso </w:t>
      </w:r>
      <w:r w:rsidR="009A7056" w:rsidRPr="00A50E4D">
        <w:rPr>
          <w:lang w:val="en-US"/>
        </w:rPr>
        <w:t>Chévez de la Rocha</w:t>
      </w:r>
      <w:r w:rsidR="007A5DB4" w:rsidRPr="00A50E4D">
        <w:rPr>
          <w:lang w:val="en-US"/>
        </w:rPr>
        <w:t xml:space="preserve"> </w:t>
      </w:r>
      <w:r w:rsidRPr="00A50E4D">
        <w:rPr>
          <w:lang w:val="en-US"/>
        </w:rPr>
        <w:t>stated that he</w:t>
      </w:r>
      <w:r w:rsidR="007A5DB4" w:rsidRPr="00A50E4D">
        <w:rPr>
          <w:lang w:val="en-US"/>
        </w:rPr>
        <w:t xml:space="preserve"> “</w:t>
      </w:r>
      <w:r w:rsidRPr="00A50E4D">
        <w:rPr>
          <w:lang w:val="en-US"/>
        </w:rPr>
        <w:t xml:space="preserve">could </w:t>
      </w:r>
      <w:r w:rsidR="00F32C1C" w:rsidRPr="00A50E4D">
        <w:rPr>
          <w:lang w:val="en-US"/>
        </w:rPr>
        <w:t>see</w:t>
      </w:r>
      <w:r w:rsidRPr="00A50E4D">
        <w:rPr>
          <w:lang w:val="en-US"/>
        </w:rPr>
        <w:t xml:space="preserve"> the frustration [of </w:t>
      </w:r>
      <w:r w:rsidR="007A5DB4" w:rsidRPr="00A50E4D">
        <w:rPr>
          <w:lang w:val="en-US"/>
        </w:rPr>
        <w:t xml:space="preserve">Ramón Barrios,] </w:t>
      </w:r>
      <w:r w:rsidRPr="00A50E4D">
        <w:rPr>
          <w:lang w:val="en-US"/>
        </w:rPr>
        <w:t xml:space="preserve">but what he </w:t>
      </w:r>
      <w:r w:rsidR="00F32C1C" w:rsidRPr="00A50E4D">
        <w:rPr>
          <w:lang w:val="en-US"/>
        </w:rPr>
        <w:t>saw</w:t>
      </w:r>
      <w:r w:rsidRPr="00A50E4D">
        <w:rPr>
          <w:lang w:val="en-US"/>
        </w:rPr>
        <w:t xml:space="preserve"> most was the emotional </w:t>
      </w:r>
      <w:r w:rsidR="000A786A" w:rsidRPr="00A50E4D">
        <w:rPr>
          <w:lang w:val="en-US"/>
        </w:rPr>
        <w:t>confusion</w:t>
      </w:r>
      <w:r w:rsidRPr="00A50E4D">
        <w:rPr>
          <w:lang w:val="en-US"/>
        </w:rPr>
        <w:t xml:space="preserve"> caused by having been dismissed</w:t>
      </w:r>
      <w:r w:rsidR="00F32C1C" w:rsidRPr="00A50E4D">
        <w:rPr>
          <w:lang w:val="en-US"/>
        </w:rPr>
        <w:t xml:space="preserve"> and having to wait a long time for </w:t>
      </w:r>
      <w:r w:rsidRPr="00A50E4D">
        <w:rPr>
          <w:lang w:val="en-US"/>
        </w:rPr>
        <w:t xml:space="preserve">his substitute </w:t>
      </w:r>
      <w:r w:rsidR="00F32C1C" w:rsidRPr="00A50E4D">
        <w:rPr>
          <w:lang w:val="en-US"/>
        </w:rPr>
        <w:t>to arrive, which</w:t>
      </w:r>
      <w:r w:rsidRPr="00A50E4D">
        <w:rPr>
          <w:lang w:val="en-US"/>
        </w:rPr>
        <w:t xml:space="preserve">, according to him, […] kept him in </w:t>
      </w:r>
      <w:r w:rsidR="000A786A" w:rsidRPr="00A50E4D">
        <w:rPr>
          <w:lang w:val="en-US"/>
        </w:rPr>
        <w:t>uncertainty</w:t>
      </w:r>
      <w:r w:rsidRPr="00A50E4D">
        <w:rPr>
          <w:lang w:val="en-US"/>
        </w:rPr>
        <w:t>, and [in a state of] emotional frustration.”</w:t>
      </w:r>
    </w:p>
    <w:p w14:paraId="3BE7890E" w14:textId="77777777" w:rsidR="007A5DB4" w:rsidRPr="00A50E4D" w:rsidRDefault="007A5DB4" w:rsidP="007A5DB4">
      <w:pPr>
        <w:pStyle w:val="PrrafodeSentencia"/>
        <w:numPr>
          <w:ilvl w:val="0"/>
          <w:numId w:val="0"/>
        </w:numPr>
        <w:rPr>
          <w:lang w:val="en-US"/>
        </w:rPr>
      </w:pPr>
    </w:p>
    <w:p w14:paraId="1E80EE0C" w14:textId="4C7BC1D9" w:rsidR="00DB2937" w:rsidRPr="00A50E4D" w:rsidRDefault="00DB2937" w:rsidP="007A5DB4">
      <w:pPr>
        <w:pStyle w:val="PrrafodeSentencia"/>
        <w:rPr>
          <w:lang w:val="en-US"/>
        </w:rPr>
      </w:pPr>
      <w:r w:rsidRPr="00A50E4D">
        <w:rPr>
          <w:lang w:val="en-US"/>
        </w:rPr>
        <w:t>In addition, expert witness</w:t>
      </w:r>
      <w:r w:rsidR="007A5DB4" w:rsidRPr="00A50E4D">
        <w:rPr>
          <w:lang w:val="en-US"/>
        </w:rPr>
        <w:t xml:space="preserve"> María Sol Y</w:t>
      </w:r>
      <w:r w:rsidR="001D48D1" w:rsidRPr="00A50E4D">
        <w:rPr>
          <w:lang w:val="en-US"/>
        </w:rPr>
        <w:t>á</w:t>
      </w:r>
      <w:r w:rsidR="007A5DB4" w:rsidRPr="00A50E4D">
        <w:rPr>
          <w:lang w:val="en-US"/>
        </w:rPr>
        <w:t>ñez determin</w:t>
      </w:r>
      <w:r w:rsidRPr="00A50E4D">
        <w:rPr>
          <w:lang w:val="en-US"/>
        </w:rPr>
        <w:t>ed that the four victims “have been deeply hurt, because the dismissal that was perceived as unjust has affected something as vital as their identity.” The</w:t>
      </w:r>
      <w:r w:rsidR="007A5DB4" w:rsidRPr="00A50E4D">
        <w:rPr>
          <w:lang w:val="en-US"/>
        </w:rPr>
        <w:t xml:space="preserve"> </w:t>
      </w:r>
      <w:r w:rsidRPr="00A50E4D">
        <w:rPr>
          <w:lang w:val="en-US"/>
        </w:rPr>
        <w:t>expert witness</w:t>
      </w:r>
      <w:r w:rsidR="007A5DB4" w:rsidRPr="00A50E4D">
        <w:rPr>
          <w:lang w:val="en-US"/>
        </w:rPr>
        <w:t xml:space="preserve"> indic</w:t>
      </w:r>
      <w:r w:rsidRPr="00A50E4D">
        <w:rPr>
          <w:lang w:val="en-US"/>
        </w:rPr>
        <w:t>ated that the</w:t>
      </w:r>
      <w:r w:rsidR="004519A2" w:rsidRPr="00A50E4D">
        <w:rPr>
          <w:lang w:val="en-US"/>
        </w:rPr>
        <w:t>y experienced great</w:t>
      </w:r>
      <w:r w:rsidRPr="00A50E4D">
        <w:rPr>
          <w:lang w:val="en-US"/>
        </w:rPr>
        <w:t xml:space="preserve"> mental suffering, </w:t>
      </w:r>
      <w:r w:rsidR="004519A2" w:rsidRPr="00A50E4D">
        <w:rPr>
          <w:lang w:val="en-US"/>
        </w:rPr>
        <w:t xml:space="preserve">and constraints to </w:t>
      </w:r>
      <w:r w:rsidRPr="00A50E4D">
        <w:rPr>
          <w:lang w:val="en-US"/>
        </w:rPr>
        <w:t xml:space="preserve">being able to </w:t>
      </w:r>
      <w:r w:rsidR="004519A2" w:rsidRPr="00A50E4D">
        <w:rPr>
          <w:lang w:val="en-US"/>
        </w:rPr>
        <w:t>carry on</w:t>
      </w:r>
      <w:r w:rsidRPr="00A50E4D">
        <w:rPr>
          <w:lang w:val="en-US"/>
        </w:rPr>
        <w:t xml:space="preserve"> with their life project. She concluded that various factors have contributed to the </w:t>
      </w:r>
      <w:r w:rsidR="004519A2" w:rsidRPr="00A50E4D">
        <w:rPr>
          <w:lang w:val="en-US"/>
        </w:rPr>
        <w:t>continuation</w:t>
      </w:r>
      <w:r w:rsidRPr="00A50E4D">
        <w:rPr>
          <w:lang w:val="en-US"/>
        </w:rPr>
        <w:t xml:space="preserve"> of the pain and t</w:t>
      </w:r>
      <w:r w:rsidR="004519A2" w:rsidRPr="00A50E4D">
        <w:rPr>
          <w:lang w:val="en-US"/>
        </w:rPr>
        <w:t>he prolonged emotional impact on</w:t>
      </w:r>
      <w:r w:rsidRPr="00A50E4D">
        <w:rPr>
          <w:lang w:val="en-US"/>
        </w:rPr>
        <w:t xml:space="preserve"> the victims, namely: the impact of the traumatic loss of their jobs; the climate of fear and </w:t>
      </w:r>
      <w:r w:rsidR="004519A2" w:rsidRPr="00A50E4D">
        <w:rPr>
          <w:lang w:val="en-US"/>
        </w:rPr>
        <w:t>vulnerability</w:t>
      </w:r>
      <w:r w:rsidRPr="00A50E4D">
        <w:rPr>
          <w:lang w:val="en-US"/>
        </w:rPr>
        <w:t xml:space="preserve"> created by the polarization; the lack of social validation of their pain; the </w:t>
      </w:r>
      <w:r w:rsidR="004519A2" w:rsidRPr="00A50E4D">
        <w:rPr>
          <w:lang w:val="en-US"/>
        </w:rPr>
        <w:t>absence</w:t>
      </w:r>
      <w:r w:rsidRPr="00A50E4D">
        <w:rPr>
          <w:lang w:val="en-US"/>
        </w:rPr>
        <w:t xml:space="preserve"> of institutional and social support; the stigmatization and the moral harm; the lack of resources for their living expenses owing to their dismissal; the contempt for their dignity and the questioning of their search for justice, and their concern</w:t>
      </w:r>
      <w:r w:rsidR="004519A2" w:rsidRPr="00A50E4D">
        <w:rPr>
          <w:lang w:val="en-US"/>
        </w:rPr>
        <w:t>s with regard to</w:t>
      </w:r>
      <w:r w:rsidRPr="00A50E4D">
        <w:rPr>
          <w:lang w:val="en-US"/>
        </w:rPr>
        <w:t xml:space="preserve"> the life projects of their children.</w:t>
      </w:r>
    </w:p>
    <w:p w14:paraId="5679FC47" w14:textId="77777777" w:rsidR="007A5DB4" w:rsidRPr="00A50E4D" w:rsidRDefault="007A5DB4" w:rsidP="007A5DB4">
      <w:pPr>
        <w:pStyle w:val="PrrafodeSentencia"/>
        <w:numPr>
          <w:ilvl w:val="0"/>
          <w:numId w:val="0"/>
        </w:numPr>
        <w:rPr>
          <w:lang w:val="en-US"/>
        </w:rPr>
      </w:pPr>
    </w:p>
    <w:p w14:paraId="20D01EB0" w14:textId="0F1EAB1A" w:rsidR="007A5DB4" w:rsidRPr="00A50E4D" w:rsidRDefault="007A5DB4" w:rsidP="007A5DB4">
      <w:pPr>
        <w:pStyle w:val="PrrafodeSentencia"/>
        <w:rPr>
          <w:lang w:val="en-US"/>
        </w:rPr>
      </w:pPr>
      <w:bookmarkStart w:id="480" w:name="_Ref431215355"/>
      <w:bookmarkStart w:id="481" w:name="_Ref419394005"/>
      <w:r w:rsidRPr="00A50E4D">
        <w:rPr>
          <w:lang w:val="en-US"/>
        </w:rPr>
        <w:t>T</w:t>
      </w:r>
      <w:r w:rsidR="00DB2937" w:rsidRPr="00A50E4D">
        <w:rPr>
          <w:lang w:val="en-US"/>
        </w:rPr>
        <w:t xml:space="preserve">aking into account the statements described above, the Court finds that </w:t>
      </w:r>
      <w:r w:rsidR="00277E12" w:rsidRPr="00A50E4D">
        <w:rPr>
          <w:lang w:val="en-US"/>
        </w:rPr>
        <w:t>the disciplinary proceedings</w:t>
      </w:r>
      <w:r w:rsidR="009808C5" w:rsidRPr="00A50E4D">
        <w:rPr>
          <w:lang w:val="en-US"/>
        </w:rPr>
        <w:t xml:space="preserve"> and </w:t>
      </w:r>
      <w:r w:rsidR="00DB2937" w:rsidRPr="00A50E4D">
        <w:rPr>
          <w:lang w:val="en-US"/>
        </w:rPr>
        <w:t>the termination of their functions caused</w:t>
      </w:r>
      <w:r w:rsidR="004519A2" w:rsidRPr="00A50E4D">
        <w:rPr>
          <w:lang w:val="en-US"/>
        </w:rPr>
        <w:t xml:space="preserve"> moral harm to the victims in this case</w:t>
      </w:r>
      <w:r w:rsidR="00DB2937" w:rsidRPr="00A50E4D">
        <w:rPr>
          <w:lang w:val="en-US"/>
        </w:rPr>
        <w:t>. Consequently, and ba</w:t>
      </w:r>
      <w:r w:rsidR="004519A2" w:rsidRPr="00A50E4D">
        <w:rPr>
          <w:lang w:val="en-US"/>
        </w:rPr>
        <w:t>sed on the circumstances of the</w:t>
      </w:r>
      <w:r w:rsidR="00DB2937" w:rsidRPr="00A50E4D">
        <w:rPr>
          <w:lang w:val="en-US"/>
        </w:rPr>
        <w:t xml:space="preserve"> case and the violations declared, the Court finds it pertinent to establish, in fairness, the sum of US$</w:t>
      </w:r>
      <w:r w:rsidRPr="00A50E4D">
        <w:rPr>
          <w:lang w:val="en-US"/>
        </w:rPr>
        <w:t>10</w:t>
      </w:r>
      <w:r w:rsidR="0087695C" w:rsidRPr="00A50E4D">
        <w:rPr>
          <w:lang w:val="en-US"/>
        </w:rPr>
        <w:t>,000.00</w:t>
      </w:r>
      <w:r w:rsidRPr="00A50E4D">
        <w:rPr>
          <w:lang w:val="en-US"/>
        </w:rPr>
        <w:t xml:space="preserve"> (</w:t>
      </w:r>
      <w:r w:rsidR="00DB2937" w:rsidRPr="00A50E4D">
        <w:rPr>
          <w:lang w:val="en-US"/>
        </w:rPr>
        <w:t>ten thousand</w:t>
      </w:r>
      <w:r w:rsidRPr="00A50E4D">
        <w:rPr>
          <w:lang w:val="en-US"/>
        </w:rPr>
        <w:t xml:space="preserve"> </w:t>
      </w:r>
      <w:r w:rsidR="00A45503" w:rsidRPr="00A50E4D">
        <w:rPr>
          <w:lang w:val="en-US"/>
        </w:rPr>
        <w:t>United States dollars</w:t>
      </w:r>
      <w:r w:rsidRPr="00A50E4D">
        <w:rPr>
          <w:lang w:val="en-US"/>
        </w:rPr>
        <w:t xml:space="preserve">) </w:t>
      </w:r>
      <w:r w:rsidR="00DB2937" w:rsidRPr="00A50E4D">
        <w:rPr>
          <w:lang w:val="en-US"/>
        </w:rPr>
        <w:t>each for</w:t>
      </w:r>
      <w:r w:rsidRPr="00A50E4D">
        <w:rPr>
          <w:lang w:val="en-US"/>
        </w:rPr>
        <w:t xml:space="preserve"> </w:t>
      </w:r>
      <w:r w:rsidR="00F814CB" w:rsidRPr="00A50E4D">
        <w:rPr>
          <w:lang w:val="en-US"/>
        </w:rPr>
        <w:t>non-pecuniary damage</w:t>
      </w:r>
      <w:r w:rsidRPr="00A50E4D">
        <w:rPr>
          <w:lang w:val="en-US"/>
        </w:rPr>
        <w:t xml:space="preserve"> </w:t>
      </w:r>
      <w:r w:rsidR="00DB2937" w:rsidRPr="00A50E4D">
        <w:rPr>
          <w:lang w:val="en-US"/>
        </w:rPr>
        <w:t>for</w:t>
      </w:r>
      <w:r w:rsidRPr="00A50E4D">
        <w:rPr>
          <w:lang w:val="en-US"/>
        </w:rPr>
        <w:t xml:space="preserve"> Adán Guillermo López Lone, Luis </w:t>
      </w:r>
      <w:r w:rsidR="009A7056" w:rsidRPr="00A50E4D">
        <w:rPr>
          <w:lang w:val="en-US"/>
        </w:rPr>
        <w:t>Chévez de la Rocha</w:t>
      </w:r>
      <w:r w:rsidR="00166327" w:rsidRPr="00A50E4D">
        <w:rPr>
          <w:lang w:val="en-US"/>
        </w:rPr>
        <w:t>,</w:t>
      </w:r>
      <w:r w:rsidRPr="00A50E4D">
        <w:rPr>
          <w:lang w:val="en-US"/>
        </w:rPr>
        <w:t xml:space="preserve"> Ramón Barrios Maldonado</w:t>
      </w:r>
      <w:r w:rsidR="00DB2937" w:rsidRPr="00A50E4D">
        <w:rPr>
          <w:lang w:val="en-US"/>
        </w:rPr>
        <w:t xml:space="preserve"> and</w:t>
      </w:r>
      <w:r w:rsidRPr="00A50E4D">
        <w:rPr>
          <w:lang w:val="en-US"/>
        </w:rPr>
        <w:t xml:space="preserve"> </w:t>
      </w:r>
      <w:r w:rsidR="008217D7" w:rsidRPr="00A50E4D">
        <w:rPr>
          <w:lang w:val="en-US"/>
        </w:rPr>
        <w:t>Tirza del Carmen</w:t>
      </w:r>
      <w:r w:rsidRPr="00A50E4D">
        <w:rPr>
          <w:lang w:val="en-US"/>
        </w:rPr>
        <w:t xml:space="preserve"> Flores Lanza</w:t>
      </w:r>
      <w:bookmarkEnd w:id="480"/>
      <w:bookmarkEnd w:id="481"/>
      <w:r w:rsidRPr="00A50E4D">
        <w:rPr>
          <w:lang w:val="en-US"/>
        </w:rPr>
        <w:t>.</w:t>
      </w:r>
    </w:p>
    <w:p w14:paraId="6B36192E" w14:textId="77777777" w:rsidR="007A5DB4" w:rsidRPr="00A50E4D" w:rsidRDefault="007A5DB4" w:rsidP="007A5DB4">
      <w:pPr>
        <w:pStyle w:val="PrrafodeSentencia"/>
        <w:numPr>
          <w:ilvl w:val="0"/>
          <w:numId w:val="0"/>
        </w:numPr>
        <w:rPr>
          <w:lang w:val="en-US"/>
        </w:rPr>
      </w:pPr>
    </w:p>
    <w:p w14:paraId="1570F259" w14:textId="2A2DCE22" w:rsidR="007A5DB4" w:rsidRPr="00A50E4D" w:rsidRDefault="007A5DB4" w:rsidP="007A5DB4">
      <w:pPr>
        <w:pStyle w:val="Heading2"/>
        <w:rPr>
          <w:spacing w:val="-4"/>
          <w:lang w:val="en-US"/>
        </w:rPr>
      </w:pPr>
      <w:bookmarkStart w:id="482" w:name="_Toc418074122"/>
      <w:bookmarkStart w:id="483" w:name="_Toc418503927"/>
      <w:bookmarkStart w:id="484" w:name="_Toc418912656"/>
      <w:bookmarkStart w:id="485" w:name="_Toc418912880"/>
      <w:bookmarkStart w:id="486" w:name="_Toc419394460"/>
      <w:bookmarkStart w:id="487" w:name="_Toc423361059"/>
      <w:bookmarkStart w:id="488" w:name="_Toc427234586"/>
      <w:bookmarkStart w:id="489" w:name="_Toc427932832"/>
      <w:bookmarkStart w:id="490" w:name="_Toc431584681"/>
      <w:bookmarkStart w:id="491" w:name="_Toc471717315"/>
      <w:r w:rsidRPr="00A50E4D">
        <w:rPr>
          <w:spacing w:val="-4"/>
          <w:lang w:val="en-US"/>
        </w:rPr>
        <w:t xml:space="preserve">E. </w:t>
      </w:r>
      <w:r w:rsidR="00F814CB" w:rsidRPr="00A50E4D">
        <w:rPr>
          <w:spacing w:val="-4"/>
          <w:lang w:val="en-US"/>
        </w:rPr>
        <w:t>Costs and expenses</w:t>
      </w:r>
      <w:bookmarkEnd w:id="482"/>
      <w:bookmarkEnd w:id="483"/>
      <w:bookmarkEnd w:id="484"/>
      <w:bookmarkEnd w:id="485"/>
      <w:bookmarkEnd w:id="486"/>
      <w:bookmarkEnd w:id="487"/>
      <w:bookmarkEnd w:id="488"/>
      <w:bookmarkEnd w:id="489"/>
      <w:bookmarkEnd w:id="490"/>
      <w:bookmarkEnd w:id="491"/>
    </w:p>
    <w:p w14:paraId="290E04E5" w14:textId="77777777" w:rsidR="007A5DB4" w:rsidRPr="00A50E4D" w:rsidRDefault="007A5DB4" w:rsidP="007A5DB4">
      <w:pPr>
        <w:pStyle w:val="PrrafodeSentencia"/>
        <w:numPr>
          <w:ilvl w:val="0"/>
          <w:numId w:val="0"/>
        </w:numPr>
        <w:rPr>
          <w:lang w:val="en-US"/>
        </w:rPr>
      </w:pPr>
    </w:p>
    <w:p w14:paraId="19DE8063" w14:textId="708369E9" w:rsidR="007A5DB4" w:rsidRPr="00A50E4D" w:rsidRDefault="00AD5EE7" w:rsidP="007A5DB4">
      <w:pPr>
        <w:pStyle w:val="PrrafodeSentencia"/>
        <w:rPr>
          <w:b/>
          <w:lang w:val="en-US"/>
        </w:rPr>
      </w:pPr>
      <w:r w:rsidRPr="00A50E4D">
        <w:rPr>
          <w:lang w:val="en-US"/>
        </w:rPr>
        <w:t>The representatives</w:t>
      </w:r>
      <w:r w:rsidR="007A5DB4" w:rsidRPr="00A50E4D">
        <w:rPr>
          <w:lang w:val="en-US"/>
        </w:rPr>
        <w:t xml:space="preserve"> </w:t>
      </w:r>
      <w:r w:rsidR="00A45503" w:rsidRPr="00A50E4D">
        <w:rPr>
          <w:lang w:val="en-US"/>
        </w:rPr>
        <w:t>alleged that the</w:t>
      </w:r>
      <w:r w:rsidR="007A5DB4" w:rsidRPr="00A50E4D">
        <w:rPr>
          <w:lang w:val="en-US"/>
        </w:rPr>
        <w:t xml:space="preserve"> </w:t>
      </w:r>
      <w:r w:rsidR="004B0477" w:rsidRPr="00A50E4D">
        <w:rPr>
          <w:lang w:val="en-US"/>
        </w:rPr>
        <w:t>victims</w:t>
      </w:r>
      <w:r w:rsidR="007A5DB4" w:rsidRPr="00A50E4D">
        <w:rPr>
          <w:lang w:val="en-US"/>
        </w:rPr>
        <w:t xml:space="preserve"> incurr</w:t>
      </w:r>
      <w:r w:rsidR="00A45503" w:rsidRPr="00A50E4D">
        <w:rPr>
          <w:lang w:val="en-US"/>
        </w:rPr>
        <w:t>ed diverse expenses throughout the disciplinary proceedings,</w:t>
      </w:r>
      <w:r w:rsidR="007A5DB4" w:rsidRPr="00A50E4D">
        <w:rPr>
          <w:vertAlign w:val="superscript"/>
          <w:lang w:val="en-US"/>
        </w:rPr>
        <w:footnoteReference w:id="472"/>
      </w:r>
      <w:r w:rsidR="00A45503" w:rsidRPr="00A50E4D">
        <w:rPr>
          <w:lang w:val="en-US"/>
        </w:rPr>
        <w:t xml:space="preserve"> which were estimated at US$2,109.</w:t>
      </w:r>
      <w:r w:rsidR="007A5DB4" w:rsidRPr="00A50E4D">
        <w:rPr>
          <w:lang w:val="en-US"/>
        </w:rPr>
        <w:t xml:space="preserve">36. </w:t>
      </w:r>
      <w:r w:rsidR="00A45503" w:rsidRPr="00A50E4D">
        <w:rPr>
          <w:lang w:val="en-US"/>
        </w:rPr>
        <w:t xml:space="preserve">However, they indicated that the victims had not kept the receipts for the expenses </w:t>
      </w:r>
      <w:r w:rsidR="000A786A" w:rsidRPr="00A50E4D">
        <w:rPr>
          <w:lang w:val="en-US"/>
        </w:rPr>
        <w:t>incurred</w:t>
      </w:r>
      <w:r w:rsidR="00A45503" w:rsidRPr="00A50E4D">
        <w:rPr>
          <w:lang w:val="en-US"/>
        </w:rPr>
        <w:t>, and therefore requested that the Court establish an amount based on fairness.</w:t>
      </w:r>
      <w:r w:rsidR="007A5DB4" w:rsidRPr="00A50E4D">
        <w:rPr>
          <w:lang w:val="en-US"/>
        </w:rPr>
        <w:t xml:space="preserve"> </w:t>
      </w:r>
    </w:p>
    <w:p w14:paraId="07F01C7A" w14:textId="77777777" w:rsidR="007A5DB4" w:rsidRPr="00A50E4D" w:rsidRDefault="007A5DB4" w:rsidP="007A5DB4">
      <w:pPr>
        <w:pStyle w:val="PrrafodeSentencia"/>
        <w:numPr>
          <w:ilvl w:val="0"/>
          <w:numId w:val="0"/>
        </w:numPr>
        <w:rPr>
          <w:lang w:val="en-US"/>
        </w:rPr>
      </w:pPr>
    </w:p>
    <w:p w14:paraId="218124E0" w14:textId="62E86305" w:rsidR="007A5DB4" w:rsidRPr="00A50E4D" w:rsidRDefault="00A45503" w:rsidP="007A5DB4">
      <w:pPr>
        <w:pStyle w:val="PrrafodeSentencia"/>
        <w:rPr>
          <w:b/>
          <w:lang w:val="en-US"/>
        </w:rPr>
      </w:pPr>
      <w:r w:rsidRPr="00A50E4D">
        <w:rPr>
          <w:lang w:val="en-US"/>
        </w:rPr>
        <w:t>Regarding the</w:t>
      </w:r>
      <w:r w:rsidR="007A5DB4" w:rsidRPr="00A50E4D">
        <w:rPr>
          <w:lang w:val="en-US"/>
        </w:rPr>
        <w:t xml:space="preserve"> </w:t>
      </w:r>
      <w:r w:rsidR="00F814CB" w:rsidRPr="00A50E4D">
        <w:rPr>
          <w:lang w:val="en-US"/>
        </w:rPr>
        <w:t>costs and expenses</w:t>
      </w:r>
      <w:r w:rsidR="007A5DB4" w:rsidRPr="00A50E4D">
        <w:rPr>
          <w:lang w:val="en-US"/>
        </w:rPr>
        <w:t xml:space="preserve"> </w:t>
      </w:r>
      <w:r w:rsidRPr="00A50E4D">
        <w:rPr>
          <w:lang w:val="en-US"/>
        </w:rPr>
        <w:t>incurred by the</w:t>
      </w:r>
      <w:r w:rsidR="007A5DB4" w:rsidRPr="00A50E4D">
        <w:rPr>
          <w:lang w:val="en-US"/>
        </w:rPr>
        <w:t xml:space="preserve"> AJD, </w:t>
      </w:r>
      <w:r w:rsidRPr="00A50E4D">
        <w:rPr>
          <w:lang w:val="en-US"/>
        </w:rPr>
        <w:t xml:space="preserve">they alleged that the latter had various expenses as a result of the 2010 hunger strike in which </w:t>
      </w:r>
      <w:r w:rsidR="004519A2" w:rsidRPr="00A50E4D">
        <w:rPr>
          <w:lang w:val="en-US"/>
        </w:rPr>
        <w:t>J</w:t>
      </w:r>
      <w:r w:rsidR="009808C5" w:rsidRPr="00A50E4D">
        <w:rPr>
          <w:lang w:val="en-US"/>
        </w:rPr>
        <w:t>udges</w:t>
      </w:r>
      <w:r w:rsidR="007A5DB4" w:rsidRPr="00A50E4D">
        <w:rPr>
          <w:lang w:val="en-US"/>
        </w:rPr>
        <w:t xml:space="preserve"> López Lone</w:t>
      </w:r>
      <w:r w:rsidR="009808C5" w:rsidRPr="00A50E4D">
        <w:rPr>
          <w:lang w:val="en-US"/>
        </w:rPr>
        <w:t xml:space="preserve"> and </w:t>
      </w:r>
      <w:r w:rsidR="009A7056" w:rsidRPr="00A50E4D">
        <w:rPr>
          <w:lang w:val="en-US"/>
        </w:rPr>
        <w:t>Chévez de la Rocha</w:t>
      </w:r>
      <w:r w:rsidR="007A5DB4" w:rsidRPr="00A50E4D">
        <w:rPr>
          <w:lang w:val="en-US"/>
        </w:rPr>
        <w:t xml:space="preserve"> </w:t>
      </w:r>
      <w:r w:rsidRPr="00A50E4D">
        <w:rPr>
          <w:lang w:val="en-US"/>
        </w:rPr>
        <w:t>took part</w:t>
      </w:r>
      <w:r w:rsidR="007A5DB4" w:rsidRPr="00A50E4D">
        <w:rPr>
          <w:lang w:val="en-US"/>
        </w:rPr>
        <w:t xml:space="preserve">. </w:t>
      </w:r>
      <w:r w:rsidRPr="00A50E4D">
        <w:rPr>
          <w:lang w:val="en-US"/>
        </w:rPr>
        <w:t xml:space="preserve">They also indicated that they had to cover the cost of the travel expenses of </w:t>
      </w:r>
      <w:r w:rsidR="008D65AB" w:rsidRPr="00A50E4D">
        <w:rPr>
          <w:lang w:val="en-US"/>
        </w:rPr>
        <w:t>Ms. Flores</w:t>
      </w:r>
      <w:r w:rsidR="007A5DB4" w:rsidRPr="00A50E4D">
        <w:rPr>
          <w:lang w:val="en-US"/>
        </w:rPr>
        <w:t xml:space="preserve"> Lanza </w:t>
      </w:r>
      <w:r w:rsidRPr="00A50E4D">
        <w:rPr>
          <w:lang w:val="en-US"/>
        </w:rPr>
        <w:t xml:space="preserve">in a trip to Spain “to make visits and have meetings with authorities and </w:t>
      </w:r>
      <w:r w:rsidR="000A786A" w:rsidRPr="00A50E4D">
        <w:rPr>
          <w:lang w:val="en-US"/>
        </w:rPr>
        <w:t>organizations</w:t>
      </w:r>
      <w:r w:rsidRPr="00A50E4D">
        <w:rPr>
          <w:lang w:val="en-US"/>
        </w:rPr>
        <w:t xml:space="preserve"> relating to the dismissal of the victims.</w:t>
      </w:r>
      <w:r w:rsidR="007A5DB4" w:rsidRPr="00A50E4D">
        <w:rPr>
          <w:lang w:val="en-US"/>
        </w:rPr>
        <w:t>”</w:t>
      </w:r>
      <w:r w:rsidR="007A5DB4" w:rsidRPr="00A50E4D">
        <w:rPr>
          <w:vertAlign w:val="superscript"/>
          <w:lang w:val="en-US"/>
        </w:rPr>
        <w:footnoteReference w:id="473"/>
      </w:r>
      <w:r w:rsidRPr="00A50E4D">
        <w:rPr>
          <w:lang w:val="en-US"/>
        </w:rPr>
        <w:t xml:space="preserve"> In addition, they indicated that</w:t>
      </w:r>
      <w:r w:rsidR="004519A2" w:rsidRPr="00A50E4D">
        <w:rPr>
          <w:lang w:val="en-US"/>
        </w:rPr>
        <w:t>,</w:t>
      </w:r>
      <w:r w:rsidRPr="00A50E4D">
        <w:rPr>
          <w:lang w:val="en-US"/>
        </w:rPr>
        <w:t xml:space="preserve"> during the litigation </w:t>
      </w:r>
      <w:r w:rsidRPr="00A50E4D">
        <w:rPr>
          <w:lang w:val="en-US"/>
        </w:rPr>
        <w:lastRenderedPageBreak/>
        <w:t xml:space="preserve">before </w:t>
      </w:r>
      <w:r w:rsidR="009808C5" w:rsidRPr="00A50E4D">
        <w:rPr>
          <w:lang w:val="en-US"/>
        </w:rPr>
        <w:t>the Commission</w:t>
      </w:r>
      <w:r w:rsidR="007A5DB4" w:rsidRPr="00A50E4D">
        <w:rPr>
          <w:lang w:val="en-US"/>
        </w:rPr>
        <w:t xml:space="preserve">, </w:t>
      </w:r>
      <w:r w:rsidRPr="00A50E4D">
        <w:rPr>
          <w:lang w:val="en-US"/>
        </w:rPr>
        <w:t>the Association paid all the expenses</w:t>
      </w:r>
      <w:r w:rsidR="007A5DB4" w:rsidRPr="00A50E4D">
        <w:rPr>
          <w:lang w:val="en-US"/>
        </w:rPr>
        <w:t xml:space="preserve"> </w:t>
      </w:r>
      <w:r w:rsidRPr="00A50E4D">
        <w:rPr>
          <w:lang w:val="en-US"/>
        </w:rPr>
        <w:t xml:space="preserve">of the trips to </w:t>
      </w:r>
      <w:r w:rsidR="007A5DB4" w:rsidRPr="00A50E4D">
        <w:rPr>
          <w:lang w:val="en-US"/>
        </w:rPr>
        <w:t xml:space="preserve">Washington D.C., </w:t>
      </w:r>
      <w:r w:rsidRPr="00A50E4D">
        <w:rPr>
          <w:lang w:val="en-US"/>
        </w:rPr>
        <w:t>United States of America</w:t>
      </w:r>
      <w:r w:rsidR="007A5DB4" w:rsidRPr="00A50E4D">
        <w:rPr>
          <w:lang w:val="en-US"/>
        </w:rPr>
        <w:t>,</w:t>
      </w:r>
      <w:r w:rsidRPr="00A50E4D">
        <w:rPr>
          <w:lang w:val="en-US"/>
        </w:rPr>
        <w:t xml:space="preserve"> to take part in the hearing of this case. C</w:t>
      </w:r>
      <w:r w:rsidR="004519A2" w:rsidRPr="00A50E4D">
        <w:rPr>
          <w:lang w:val="en-US"/>
        </w:rPr>
        <w:t xml:space="preserve">onsequently, they requested </w:t>
      </w:r>
      <w:r w:rsidRPr="00A50E4D">
        <w:rPr>
          <w:lang w:val="en-US"/>
        </w:rPr>
        <w:t xml:space="preserve">payment of </w:t>
      </w:r>
      <w:r w:rsidR="00F814CB" w:rsidRPr="00A50E4D">
        <w:rPr>
          <w:lang w:val="en-US"/>
        </w:rPr>
        <w:t>costs and expenses</w:t>
      </w:r>
      <w:r w:rsidRPr="00A50E4D">
        <w:rPr>
          <w:lang w:val="en-US"/>
        </w:rPr>
        <w:t xml:space="preserve"> prior to the presentation </w:t>
      </w:r>
      <w:r w:rsidR="00FF35A9" w:rsidRPr="00A50E4D">
        <w:rPr>
          <w:lang w:val="en-US"/>
        </w:rPr>
        <w:t xml:space="preserve">of the </w:t>
      </w:r>
      <w:r w:rsidR="00D77F26" w:rsidRPr="00A50E4D">
        <w:rPr>
          <w:lang w:val="en-US"/>
        </w:rPr>
        <w:t>pleadings and motions</w:t>
      </w:r>
      <w:r w:rsidR="00CD2874" w:rsidRPr="00A50E4D">
        <w:rPr>
          <w:lang w:val="en-US"/>
        </w:rPr>
        <w:t xml:space="preserve"> brief</w:t>
      </w:r>
      <w:r w:rsidRPr="00A50E4D">
        <w:rPr>
          <w:lang w:val="en-US"/>
        </w:rPr>
        <w:t xml:space="preserve"> for the sum of US$9,922.</w:t>
      </w:r>
      <w:r w:rsidR="007A5DB4" w:rsidRPr="00A50E4D">
        <w:rPr>
          <w:lang w:val="en-US"/>
        </w:rPr>
        <w:t>86</w:t>
      </w:r>
      <w:r w:rsidRPr="00A50E4D">
        <w:rPr>
          <w:lang w:val="en-US"/>
        </w:rPr>
        <w:t>.</w:t>
      </w:r>
      <w:r w:rsidR="007A5DB4" w:rsidRPr="00A50E4D">
        <w:rPr>
          <w:vertAlign w:val="superscript"/>
          <w:lang w:val="en-US"/>
        </w:rPr>
        <w:footnoteReference w:id="474"/>
      </w:r>
      <w:r w:rsidRPr="00A50E4D">
        <w:rPr>
          <w:lang w:val="en-US"/>
        </w:rPr>
        <w:t xml:space="preserve"> Following the presentation </w:t>
      </w:r>
      <w:r w:rsidR="00FF35A9" w:rsidRPr="00A50E4D">
        <w:rPr>
          <w:lang w:val="en-US"/>
        </w:rPr>
        <w:t xml:space="preserve">of the </w:t>
      </w:r>
      <w:r w:rsidR="00D77F26" w:rsidRPr="00A50E4D">
        <w:rPr>
          <w:lang w:val="en-US"/>
        </w:rPr>
        <w:t>pleadings and motions</w:t>
      </w:r>
      <w:r w:rsidR="00CD2874" w:rsidRPr="00A50E4D">
        <w:rPr>
          <w:lang w:val="en-US"/>
        </w:rPr>
        <w:t xml:space="preserve"> brief</w:t>
      </w:r>
      <w:r w:rsidRPr="00A50E4D">
        <w:rPr>
          <w:lang w:val="en-US"/>
        </w:rPr>
        <w:t>, the</w:t>
      </w:r>
      <w:r w:rsidR="007A5DB4" w:rsidRPr="00A50E4D">
        <w:rPr>
          <w:lang w:val="en-US"/>
        </w:rPr>
        <w:t xml:space="preserve"> AJD al</w:t>
      </w:r>
      <w:r w:rsidRPr="00A50E4D">
        <w:rPr>
          <w:lang w:val="en-US"/>
        </w:rPr>
        <w:t>leged that it</w:t>
      </w:r>
      <w:r w:rsidR="004519A2" w:rsidRPr="00A50E4D">
        <w:rPr>
          <w:lang w:val="en-US"/>
        </w:rPr>
        <w:t xml:space="preserve"> had</w:t>
      </w:r>
      <w:r w:rsidRPr="00A50E4D">
        <w:rPr>
          <w:lang w:val="en-US"/>
        </w:rPr>
        <w:t xml:space="preserve"> incurred expenses for the certification and forwarding of the affidavits.</w:t>
      </w:r>
      <w:r w:rsidR="007A5DB4" w:rsidRPr="00A50E4D">
        <w:rPr>
          <w:rStyle w:val="FootnoteReference"/>
          <w:sz w:val="20"/>
          <w:szCs w:val="20"/>
          <w:lang w:val="en-US"/>
        </w:rPr>
        <w:footnoteReference w:id="475"/>
      </w:r>
      <w:r w:rsidRPr="00A50E4D">
        <w:rPr>
          <w:szCs w:val="20"/>
          <w:lang w:val="en-US"/>
        </w:rPr>
        <w:t xml:space="preserve"> </w:t>
      </w:r>
      <w:r w:rsidR="000A786A" w:rsidRPr="00A50E4D">
        <w:rPr>
          <w:szCs w:val="20"/>
          <w:lang w:val="en-US"/>
        </w:rPr>
        <w:t>Additionally</w:t>
      </w:r>
      <w:r w:rsidRPr="00A50E4D">
        <w:rPr>
          <w:szCs w:val="20"/>
          <w:lang w:val="en-US"/>
        </w:rPr>
        <w:t xml:space="preserve">, it </w:t>
      </w:r>
      <w:r w:rsidR="004519A2" w:rsidRPr="00A50E4D">
        <w:rPr>
          <w:szCs w:val="20"/>
          <w:lang w:val="en-US"/>
        </w:rPr>
        <w:t xml:space="preserve">had </w:t>
      </w:r>
      <w:r w:rsidRPr="00A50E4D">
        <w:rPr>
          <w:szCs w:val="20"/>
          <w:lang w:val="en-US"/>
        </w:rPr>
        <w:t xml:space="preserve">covered </w:t>
      </w:r>
      <w:r w:rsidRPr="00A50E4D">
        <w:rPr>
          <w:lang w:val="en-US"/>
        </w:rPr>
        <w:t>the travel and accommodation expenses</w:t>
      </w:r>
      <w:r w:rsidR="007A5DB4" w:rsidRPr="00A50E4D">
        <w:rPr>
          <w:lang w:val="en-US"/>
        </w:rPr>
        <w:t xml:space="preserve"> </w:t>
      </w:r>
      <w:r w:rsidRPr="00A50E4D">
        <w:rPr>
          <w:lang w:val="en-US"/>
        </w:rPr>
        <w:t xml:space="preserve">of its representative and of the victims to the hearing of this case before </w:t>
      </w:r>
      <w:r w:rsidR="009808C5" w:rsidRPr="00A50E4D">
        <w:rPr>
          <w:lang w:val="en-US"/>
        </w:rPr>
        <w:t>the Court</w:t>
      </w:r>
      <w:r w:rsidRPr="00A50E4D">
        <w:rPr>
          <w:lang w:val="en-US"/>
        </w:rPr>
        <w:t>.</w:t>
      </w:r>
      <w:r w:rsidR="007A5DB4" w:rsidRPr="00A50E4D">
        <w:rPr>
          <w:vertAlign w:val="superscript"/>
          <w:lang w:val="en-US"/>
        </w:rPr>
        <w:footnoteReference w:id="476"/>
      </w:r>
      <w:r w:rsidRPr="00A50E4D">
        <w:rPr>
          <w:lang w:val="en-US"/>
        </w:rPr>
        <w:t xml:space="preserve"> Thes</w:t>
      </w:r>
      <w:r w:rsidR="004519A2" w:rsidRPr="00A50E4D">
        <w:rPr>
          <w:lang w:val="en-US"/>
        </w:rPr>
        <w:t>e expenses were calculated at</w:t>
      </w:r>
      <w:r w:rsidR="007A5DB4" w:rsidRPr="00A50E4D">
        <w:rPr>
          <w:lang w:val="en-US"/>
        </w:rPr>
        <w:t xml:space="preserve"> </w:t>
      </w:r>
      <w:r w:rsidRPr="00A50E4D">
        <w:rPr>
          <w:lang w:val="en-US"/>
        </w:rPr>
        <w:t>US$6,773.</w:t>
      </w:r>
      <w:r w:rsidR="007A5DB4" w:rsidRPr="00A50E4D">
        <w:rPr>
          <w:lang w:val="en-US"/>
        </w:rPr>
        <w:t xml:space="preserve">80. </w:t>
      </w:r>
      <w:r w:rsidRPr="00A50E4D">
        <w:rPr>
          <w:lang w:val="en-US"/>
        </w:rPr>
        <w:t>Therefore, they requested payment of a total of US$16,696.</w:t>
      </w:r>
      <w:r w:rsidR="007A5DB4" w:rsidRPr="00A50E4D">
        <w:rPr>
          <w:lang w:val="en-US"/>
        </w:rPr>
        <w:t>66</w:t>
      </w:r>
      <w:r w:rsidR="007A5DB4" w:rsidRPr="00A50E4D">
        <w:rPr>
          <w:vertAlign w:val="superscript"/>
          <w:lang w:val="en-US"/>
        </w:rPr>
        <w:footnoteReference w:id="477"/>
      </w:r>
      <w:r w:rsidR="007A5DB4" w:rsidRPr="00A50E4D">
        <w:rPr>
          <w:lang w:val="en-US"/>
        </w:rPr>
        <w:t xml:space="preserve"> </w:t>
      </w:r>
      <w:r w:rsidRPr="00A50E4D">
        <w:rPr>
          <w:lang w:val="en-US"/>
        </w:rPr>
        <w:t>for</w:t>
      </w:r>
      <w:r w:rsidR="007A5DB4" w:rsidRPr="00A50E4D">
        <w:rPr>
          <w:lang w:val="en-US"/>
        </w:rPr>
        <w:t xml:space="preserve"> </w:t>
      </w:r>
      <w:r w:rsidR="00F814CB" w:rsidRPr="00A50E4D">
        <w:rPr>
          <w:lang w:val="en-US"/>
        </w:rPr>
        <w:t>costs and expenses</w:t>
      </w:r>
      <w:r w:rsidR="007A5DB4" w:rsidRPr="00A50E4D">
        <w:rPr>
          <w:lang w:val="en-US"/>
        </w:rPr>
        <w:t xml:space="preserve"> </w:t>
      </w:r>
      <w:r w:rsidRPr="00A50E4D">
        <w:rPr>
          <w:lang w:val="en-US"/>
        </w:rPr>
        <w:t>covered by the</w:t>
      </w:r>
      <w:r w:rsidR="007A5DB4" w:rsidRPr="00A50E4D">
        <w:rPr>
          <w:lang w:val="en-US"/>
        </w:rPr>
        <w:t xml:space="preserve"> AJD. </w:t>
      </w:r>
    </w:p>
    <w:p w14:paraId="727073D2" w14:textId="77777777" w:rsidR="007A5DB4" w:rsidRPr="00A50E4D" w:rsidRDefault="007A5DB4" w:rsidP="007A5DB4">
      <w:pPr>
        <w:pStyle w:val="PrrafodeSentencia"/>
        <w:numPr>
          <w:ilvl w:val="0"/>
          <w:numId w:val="0"/>
        </w:numPr>
        <w:rPr>
          <w:lang w:val="en-US"/>
        </w:rPr>
      </w:pPr>
    </w:p>
    <w:p w14:paraId="5F18464F" w14:textId="6FA8CCC8" w:rsidR="007A5DB4" w:rsidRPr="00A50E4D" w:rsidRDefault="00A45503" w:rsidP="007A5DB4">
      <w:pPr>
        <w:pStyle w:val="PrrafodeSentencia"/>
        <w:rPr>
          <w:b/>
          <w:lang w:val="en-US"/>
        </w:rPr>
      </w:pPr>
      <w:r w:rsidRPr="00A50E4D">
        <w:rPr>
          <w:lang w:val="en-US"/>
        </w:rPr>
        <w:t>Regarding the</w:t>
      </w:r>
      <w:r w:rsidR="007A5DB4" w:rsidRPr="00A50E4D">
        <w:rPr>
          <w:lang w:val="en-US"/>
        </w:rPr>
        <w:t xml:space="preserve"> </w:t>
      </w:r>
      <w:r w:rsidR="00F814CB" w:rsidRPr="00A50E4D">
        <w:rPr>
          <w:lang w:val="en-US"/>
        </w:rPr>
        <w:t>costs and expenses</w:t>
      </w:r>
      <w:r w:rsidR="007A5DB4" w:rsidRPr="00A50E4D">
        <w:rPr>
          <w:lang w:val="en-US"/>
        </w:rPr>
        <w:t xml:space="preserve"> </w:t>
      </w:r>
      <w:r w:rsidRPr="00A50E4D">
        <w:rPr>
          <w:lang w:val="en-US"/>
        </w:rPr>
        <w:t>incurred by</w:t>
      </w:r>
      <w:r w:rsidR="007A5DB4" w:rsidRPr="00A50E4D">
        <w:rPr>
          <w:lang w:val="en-US"/>
        </w:rPr>
        <w:t xml:space="preserve"> CEJIL, </w:t>
      </w:r>
      <w:r w:rsidR="00AD5EE7" w:rsidRPr="00A50E4D">
        <w:rPr>
          <w:lang w:val="en-US"/>
        </w:rPr>
        <w:t>the representatives</w:t>
      </w:r>
      <w:r w:rsidR="007A5DB4" w:rsidRPr="00A50E4D">
        <w:rPr>
          <w:lang w:val="en-US"/>
        </w:rPr>
        <w:t xml:space="preserve"> indica</w:t>
      </w:r>
      <w:r w:rsidRPr="00A50E4D">
        <w:rPr>
          <w:lang w:val="en-US"/>
        </w:rPr>
        <w:t xml:space="preserve">ted that CEJIL had had “expenses that included trips, accommodation, communications, photocopies, stationary and </w:t>
      </w:r>
      <w:r w:rsidR="000A786A" w:rsidRPr="00A50E4D">
        <w:rPr>
          <w:lang w:val="en-US"/>
        </w:rPr>
        <w:t>mailings</w:t>
      </w:r>
      <w:r w:rsidR="00DB2937" w:rsidRPr="00A50E4D">
        <w:rPr>
          <w:lang w:val="en-US"/>
        </w:rPr>
        <w:t>,”</w:t>
      </w:r>
      <w:r w:rsidRPr="00A50E4D">
        <w:rPr>
          <w:lang w:val="en-US"/>
        </w:rPr>
        <w:t xml:space="preserve"> </w:t>
      </w:r>
      <w:r w:rsidR="00DB2937" w:rsidRPr="00A50E4D">
        <w:rPr>
          <w:lang w:val="en-US"/>
        </w:rPr>
        <w:t>and also</w:t>
      </w:r>
      <w:r w:rsidRPr="00A50E4D">
        <w:rPr>
          <w:lang w:val="en-US"/>
        </w:rPr>
        <w:t xml:space="preserve"> legal work, research, compilation and presentation of evidence, interviews</w:t>
      </w:r>
      <w:r w:rsidR="004519A2" w:rsidRPr="00A50E4D">
        <w:rPr>
          <w:lang w:val="en-US"/>
        </w:rPr>
        <w:t>,</w:t>
      </w:r>
      <w:r w:rsidRPr="00A50E4D">
        <w:rPr>
          <w:lang w:val="en-US"/>
        </w:rPr>
        <w:t xml:space="preserve"> and preparation of briefs.</w:t>
      </w:r>
      <w:r w:rsidR="007A5DB4" w:rsidRPr="00A50E4D">
        <w:rPr>
          <w:vertAlign w:val="superscript"/>
          <w:lang w:val="en-US"/>
        </w:rPr>
        <w:footnoteReference w:id="478"/>
      </w:r>
      <w:r w:rsidRPr="00A50E4D">
        <w:rPr>
          <w:lang w:val="en-US"/>
        </w:rPr>
        <w:t xml:space="preserve"> </w:t>
      </w:r>
      <w:r w:rsidR="00DB2937" w:rsidRPr="00A50E4D">
        <w:rPr>
          <w:lang w:val="en-US"/>
        </w:rPr>
        <w:t>Thus</w:t>
      </w:r>
      <w:r w:rsidRPr="00A50E4D">
        <w:rPr>
          <w:lang w:val="en-US"/>
        </w:rPr>
        <w:t>, CEJIL</w:t>
      </w:r>
      <w:r w:rsidR="004519A2" w:rsidRPr="00A50E4D">
        <w:rPr>
          <w:lang w:val="en-US"/>
        </w:rPr>
        <w:t xml:space="preserve"> had</w:t>
      </w:r>
      <w:r w:rsidRPr="00A50E4D">
        <w:rPr>
          <w:lang w:val="en-US"/>
        </w:rPr>
        <w:t xml:space="preserve"> incurred expenses of US$25,281.</w:t>
      </w:r>
      <w:r w:rsidR="007A5DB4" w:rsidRPr="00A50E4D">
        <w:rPr>
          <w:lang w:val="en-US"/>
        </w:rPr>
        <w:t xml:space="preserve">86 </w:t>
      </w:r>
      <w:r w:rsidRPr="00A50E4D">
        <w:rPr>
          <w:lang w:val="en-US"/>
        </w:rPr>
        <w:t>before</w:t>
      </w:r>
      <w:r w:rsidR="00FF35A9" w:rsidRPr="00A50E4D">
        <w:rPr>
          <w:lang w:val="en-US"/>
        </w:rPr>
        <w:t xml:space="preserve"> the </w:t>
      </w:r>
      <w:r w:rsidRPr="00A50E4D">
        <w:rPr>
          <w:lang w:val="en-US"/>
        </w:rPr>
        <w:t>presentation</w:t>
      </w:r>
      <w:r w:rsidR="00FF35A9" w:rsidRPr="00A50E4D">
        <w:rPr>
          <w:lang w:val="en-US"/>
        </w:rPr>
        <w:t xml:space="preserve"> of the </w:t>
      </w:r>
      <w:r w:rsidR="00D77F26" w:rsidRPr="00A50E4D">
        <w:rPr>
          <w:lang w:val="en-US"/>
        </w:rPr>
        <w:t>pleadings and motions</w:t>
      </w:r>
      <w:r w:rsidR="00CD2874" w:rsidRPr="00A50E4D">
        <w:rPr>
          <w:lang w:val="en-US"/>
        </w:rPr>
        <w:t xml:space="preserve"> brief</w:t>
      </w:r>
      <w:r w:rsidR="007A5DB4" w:rsidRPr="00A50E4D">
        <w:rPr>
          <w:lang w:val="en-US"/>
        </w:rPr>
        <w:t xml:space="preserve">. </w:t>
      </w:r>
      <w:r w:rsidRPr="00A50E4D">
        <w:rPr>
          <w:lang w:val="en-US"/>
        </w:rPr>
        <w:t>Following</w:t>
      </w:r>
      <w:r w:rsidR="00FF35A9" w:rsidRPr="00A50E4D">
        <w:rPr>
          <w:lang w:val="en-US"/>
        </w:rPr>
        <w:t xml:space="preserve"> the </w:t>
      </w:r>
      <w:r w:rsidRPr="00A50E4D">
        <w:rPr>
          <w:lang w:val="en-US"/>
        </w:rPr>
        <w:t>presentation</w:t>
      </w:r>
      <w:r w:rsidR="007A5DB4" w:rsidRPr="00A50E4D">
        <w:rPr>
          <w:lang w:val="en-US"/>
        </w:rPr>
        <w:t xml:space="preserve"> </w:t>
      </w:r>
      <w:r w:rsidRPr="00A50E4D">
        <w:rPr>
          <w:lang w:val="en-US"/>
        </w:rPr>
        <w:t>of this brief, it presented vouchers f</w:t>
      </w:r>
      <w:r w:rsidR="004519A2" w:rsidRPr="00A50E4D">
        <w:rPr>
          <w:lang w:val="en-US"/>
        </w:rPr>
        <w:t>or expenses arising from psycho</w:t>
      </w:r>
      <w:r w:rsidRPr="00A50E4D">
        <w:rPr>
          <w:lang w:val="en-US"/>
        </w:rPr>
        <w:t xml:space="preserve">social support for the victims; producing expert evidence for the </w:t>
      </w:r>
      <w:r w:rsidR="00CD2874" w:rsidRPr="00A50E4D">
        <w:rPr>
          <w:lang w:val="en-US"/>
        </w:rPr>
        <w:t>public hearing</w:t>
      </w:r>
      <w:r w:rsidR="007A5DB4" w:rsidRPr="00A50E4D">
        <w:rPr>
          <w:lang w:val="en-US"/>
        </w:rPr>
        <w:t xml:space="preserve">; </w:t>
      </w:r>
      <w:r w:rsidRPr="00A50E4D">
        <w:rPr>
          <w:lang w:val="en-US"/>
        </w:rPr>
        <w:t xml:space="preserve">sending the original expert opinions, and the salaries of three representatives of </w:t>
      </w:r>
      <w:r w:rsidR="007A5DB4" w:rsidRPr="00A50E4D">
        <w:rPr>
          <w:lang w:val="en-US"/>
        </w:rPr>
        <w:t xml:space="preserve">CEJIL. </w:t>
      </w:r>
      <w:r w:rsidRPr="00A50E4D">
        <w:rPr>
          <w:lang w:val="en-US"/>
        </w:rPr>
        <w:t xml:space="preserve">These expenses were calculated </w:t>
      </w:r>
      <w:r w:rsidR="004519A2" w:rsidRPr="00A50E4D">
        <w:rPr>
          <w:lang w:val="en-US"/>
        </w:rPr>
        <w:t>at</w:t>
      </w:r>
      <w:r w:rsidRPr="00A50E4D">
        <w:rPr>
          <w:lang w:val="en-US"/>
        </w:rPr>
        <w:t xml:space="preserve"> US$24,094.</w:t>
      </w:r>
      <w:r w:rsidR="007A5DB4" w:rsidRPr="00A50E4D">
        <w:rPr>
          <w:lang w:val="en-US"/>
        </w:rPr>
        <w:t xml:space="preserve">47. </w:t>
      </w:r>
      <w:r w:rsidRPr="00A50E4D">
        <w:rPr>
          <w:lang w:val="en-US"/>
        </w:rPr>
        <w:t>Therefore, they requested a total payment of US$49,376.</w:t>
      </w:r>
      <w:r w:rsidR="007A5DB4" w:rsidRPr="00A50E4D">
        <w:rPr>
          <w:lang w:val="en-US"/>
        </w:rPr>
        <w:t xml:space="preserve">33 </w:t>
      </w:r>
      <w:r w:rsidRPr="00A50E4D">
        <w:rPr>
          <w:lang w:val="en-US"/>
        </w:rPr>
        <w:t>for</w:t>
      </w:r>
      <w:r w:rsidR="007A5DB4" w:rsidRPr="00A50E4D">
        <w:rPr>
          <w:lang w:val="en-US"/>
        </w:rPr>
        <w:t xml:space="preserve"> </w:t>
      </w:r>
      <w:r w:rsidR="00F814CB" w:rsidRPr="00A50E4D">
        <w:rPr>
          <w:lang w:val="en-US"/>
        </w:rPr>
        <w:t>costs and expenses</w:t>
      </w:r>
      <w:r w:rsidR="007A5DB4" w:rsidRPr="00A50E4D">
        <w:rPr>
          <w:lang w:val="en-US"/>
        </w:rPr>
        <w:t xml:space="preserve"> incurr</w:t>
      </w:r>
      <w:r w:rsidRPr="00A50E4D">
        <w:rPr>
          <w:lang w:val="en-US"/>
        </w:rPr>
        <w:t xml:space="preserve">ed throughout the proceedings before the Court, and that </w:t>
      </w:r>
      <w:r w:rsidR="004519A2" w:rsidRPr="00A50E4D">
        <w:rPr>
          <w:lang w:val="en-US"/>
        </w:rPr>
        <w:t xml:space="preserve">the State reimburse this amount </w:t>
      </w:r>
      <w:r w:rsidRPr="00A50E4D">
        <w:rPr>
          <w:lang w:val="en-US"/>
        </w:rPr>
        <w:t xml:space="preserve">directly to CEJIL. </w:t>
      </w:r>
    </w:p>
    <w:p w14:paraId="414E2AD4" w14:textId="77777777" w:rsidR="007A5DB4" w:rsidRPr="00A50E4D" w:rsidRDefault="007A5DB4" w:rsidP="007A5DB4">
      <w:pPr>
        <w:pStyle w:val="PrrafodeSentencia"/>
        <w:numPr>
          <w:ilvl w:val="0"/>
          <w:numId w:val="0"/>
        </w:numPr>
        <w:rPr>
          <w:lang w:val="en-US"/>
        </w:rPr>
      </w:pPr>
    </w:p>
    <w:p w14:paraId="08E90EA0" w14:textId="39C51589" w:rsidR="003E7115" w:rsidRPr="00A50E4D" w:rsidRDefault="009808C5" w:rsidP="007A5DB4">
      <w:pPr>
        <w:pStyle w:val="PrrafodeSentencia"/>
        <w:rPr>
          <w:b/>
          <w:lang w:val="en-US"/>
        </w:rPr>
      </w:pPr>
      <w:r w:rsidRPr="00A50E4D">
        <w:rPr>
          <w:lang w:val="en-US"/>
        </w:rPr>
        <w:t>The State</w:t>
      </w:r>
      <w:r w:rsidR="007A5DB4" w:rsidRPr="00A50E4D">
        <w:rPr>
          <w:lang w:val="en-US"/>
        </w:rPr>
        <w:t xml:space="preserve"> </w:t>
      </w:r>
      <w:r w:rsidR="003E7115" w:rsidRPr="00A50E4D">
        <w:rPr>
          <w:lang w:val="en-US"/>
        </w:rPr>
        <w:t xml:space="preserve">indicated that it “trusts that, once the dispute has been decided, the party who prevails will be awarded the right to reimbursement of the expenses that it may have incurred as a result of the proceedings and that, should the Court […] find that the parties had reasonable grounds for litigating, they are exempted from </w:t>
      </w:r>
      <w:r w:rsidR="004519A2" w:rsidRPr="00A50E4D">
        <w:rPr>
          <w:lang w:val="en-US"/>
        </w:rPr>
        <w:t xml:space="preserve">the </w:t>
      </w:r>
      <w:r w:rsidR="003E7115" w:rsidRPr="00A50E4D">
        <w:rPr>
          <w:lang w:val="en-US"/>
        </w:rPr>
        <w:t xml:space="preserve">payment of such expenses.”  </w:t>
      </w:r>
    </w:p>
    <w:p w14:paraId="68C83F4B" w14:textId="77777777" w:rsidR="007A5DB4" w:rsidRPr="00A50E4D" w:rsidRDefault="007A5DB4" w:rsidP="007A5DB4">
      <w:pPr>
        <w:pStyle w:val="PrrafodeSentencia"/>
        <w:numPr>
          <w:ilvl w:val="0"/>
          <w:numId w:val="0"/>
        </w:numPr>
        <w:rPr>
          <w:lang w:val="en-US"/>
        </w:rPr>
      </w:pPr>
    </w:p>
    <w:p w14:paraId="6531059F" w14:textId="6E96129F" w:rsidR="007A5DB4" w:rsidRPr="00A50E4D" w:rsidRDefault="009808C5" w:rsidP="007A5DB4">
      <w:pPr>
        <w:pStyle w:val="PrrafodeSentencia"/>
        <w:rPr>
          <w:b/>
          <w:lang w:val="en-US"/>
        </w:rPr>
      </w:pPr>
      <w:r w:rsidRPr="00A50E4D">
        <w:rPr>
          <w:lang w:val="en-US"/>
        </w:rPr>
        <w:t>The Court</w:t>
      </w:r>
      <w:r w:rsidR="007A5DB4" w:rsidRPr="00A50E4D">
        <w:rPr>
          <w:lang w:val="en-US"/>
        </w:rPr>
        <w:t xml:space="preserve"> reitera</w:t>
      </w:r>
      <w:r w:rsidR="003E7115" w:rsidRPr="00A50E4D">
        <w:rPr>
          <w:lang w:val="en-US"/>
        </w:rPr>
        <w:t>tes that, according to it case law,</w:t>
      </w:r>
      <w:r w:rsidR="007A5DB4" w:rsidRPr="00A50E4D">
        <w:rPr>
          <w:vertAlign w:val="superscript"/>
          <w:lang w:val="en-US"/>
        </w:rPr>
        <w:footnoteReference w:id="479"/>
      </w:r>
      <w:r w:rsidR="003E7115" w:rsidRPr="00A50E4D">
        <w:rPr>
          <w:lang w:val="en-US"/>
        </w:rPr>
        <w:t xml:space="preserve"> costs and expenses form part of the concept of reparation, because the actions taken by the victims in order to obtain justice, at both the domestic and the international level, entail disbursements that must be compensated when the international responsibility of the State is declared in a judgment against it. It also recalls that the eventual reimbursement of </w:t>
      </w:r>
      <w:r w:rsidR="00F814CB" w:rsidRPr="00A50E4D">
        <w:rPr>
          <w:lang w:val="en-US"/>
        </w:rPr>
        <w:t>costs and expenses</w:t>
      </w:r>
      <w:r w:rsidR="007A5DB4" w:rsidRPr="00A50E4D">
        <w:rPr>
          <w:lang w:val="en-US"/>
        </w:rPr>
        <w:t xml:space="preserve"> </w:t>
      </w:r>
      <w:r w:rsidR="003E7115" w:rsidRPr="00A50E4D">
        <w:rPr>
          <w:lang w:val="en-US"/>
        </w:rPr>
        <w:t xml:space="preserve">is made on the basis of the </w:t>
      </w:r>
      <w:r w:rsidR="000A786A" w:rsidRPr="00A50E4D">
        <w:rPr>
          <w:lang w:val="en-US"/>
        </w:rPr>
        <w:t>disbursements</w:t>
      </w:r>
      <w:r w:rsidR="003E7115" w:rsidRPr="00A50E4D">
        <w:rPr>
          <w:lang w:val="en-US"/>
        </w:rPr>
        <w:t xml:space="preserve"> that have been duly </w:t>
      </w:r>
      <w:r w:rsidR="004519A2" w:rsidRPr="00A50E4D">
        <w:rPr>
          <w:lang w:val="en-US"/>
        </w:rPr>
        <w:t xml:space="preserve">authenticated </w:t>
      </w:r>
      <w:r w:rsidR="003E7115" w:rsidRPr="00A50E4D">
        <w:rPr>
          <w:lang w:val="en-US"/>
        </w:rPr>
        <w:t>before the Court</w:t>
      </w:r>
      <w:r w:rsidR="007A5DB4" w:rsidRPr="00A50E4D">
        <w:rPr>
          <w:lang w:val="en-US"/>
        </w:rPr>
        <w:t>.</w:t>
      </w:r>
    </w:p>
    <w:p w14:paraId="24B19BC0" w14:textId="77777777" w:rsidR="007A5DB4" w:rsidRPr="00A50E4D" w:rsidRDefault="007A5DB4" w:rsidP="007A5DB4">
      <w:pPr>
        <w:pStyle w:val="PrrafodeSentencia"/>
        <w:numPr>
          <w:ilvl w:val="0"/>
          <w:numId w:val="0"/>
        </w:numPr>
        <w:rPr>
          <w:lang w:val="en-US"/>
        </w:rPr>
      </w:pPr>
    </w:p>
    <w:p w14:paraId="4CB0D94F" w14:textId="23D19178" w:rsidR="007A5DB4" w:rsidRPr="00A50E4D" w:rsidRDefault="003E7115" w:rsidP="007A5DB4">
      <w:pPr>
        <w:pStyle w:val="PrrafodeSentencia"/>
        <w:rPr>
          <w:lang w:val="en-US"/>
        </w:rPr>
      </w:pPr>
      <w:r w:rsidRPr="00A50E4D">
        <w:rPr>
          <w:lang w:val="en-US"/>
        </w:rPr>
        <w:t>With regard to</w:t>
      </w:r>
      <w:r w:rsidR="007A5DB4" w:rsidRPr="00A50E4D">
        <w:rPr>
          <w:lang w:val="en-US"/>
        </w:rPr>
        <w:t xml:space="preserve"> </w:t>
      </w:r>
      <w:r w:rsidR="00A45503" w:rsidRPr="00A50E4D">
        <w:rPr>
          <w:lang w:val="en-US"/>
        </w:rPr>
        <w:t>the expenses</w:t>
      </w:r>
      <w:r w:rsidR="007A5DB4" w:rsidRPr="00A50E4D">
        <w:rPr>
          <w:lang w:val="en-US"/>
        </w:rPr>
        <w:t xml:space="preserve"> al</w:t>
      </w:r>
      <w:r w:rsidRPr="00A50E4D">
        <w:rPr>
          <w:lang w:val="en-US"/>
        </w:rPr>
        <w:t xml:space="preserve">leged by the victims in relation to the administrative proceedings, considering the absence of specific probative elements on this </w:t>
      </w:r>
      <w:r w:rsidR="000A786A" w:rsidRPr="00A50E4D">
        <w:rPr>
          <w:lang w:val="en-US"/>
        </w:rPr>
        <w:t>item</w:t>
      </w:r>
      <w:r w:rsidRPr="00A50E4D">
        <w:rPr>
          <w:lang w:val="en-US"/>
        </w:rPr>
        <w:t xml:space="preserve">, as well as the </w:t>
      </w:r>
      <w:r w:rsidRPr="00A50E4D">
        <w:rPr>
          <w:lang w:val="en-US"/>
        </w:rPr>
        <w:lastRenderedPageBreak/>
        <w:t>amount granted for consequential damage, the Court does not find it in order to award an additional amount to the victims under this heading.</w:t>
      </w:r>
    </w:p>
    <w:p w14:paraId="378D8D42" w14:textId="77777777" w:rsidR="007A5DB4" w:rsidRPr="00A50E4D" w:rsidRDefault="007A5DB4" w:rsidP="007A5DB4">
      <w:pPr>
        <w:rPr>
          <w:lang w:val="en-US"/>
        </w:rPr>
      </w:pPr>
    </w:p>
    <w:p w14:paraId="4C70E37C" w14:textId="2A8703FA" w:rsidR="007A5DB4" w:rsidRPr="00A50E4D" w:rsidRDefault="007A5DB4" w:rsidP="003E7115">
      <w:pPr>
        <w:pStyle w:val="PrrafodeSentencia"/>
        <w:rPr>
          <w:b/>
          <w:lang w:val="en-US"/>
        </w:rPr>
      </w:pPr>
      <w:r w:rsidRPr="00A50E4D">
        <w:rPr>
          <w:lang w:val="en-US"/>
        </w:rPr>
        <w:t>Re</w:t>
      </w:r>
      <w:r w:rsidR="003E7115" w:rsidRPr="00A50E4D">
        <w:rPr>
          <w:lang w:val="en-US"/>
        </w:rPr>
        <w:t xml:space="preserve">garding the expenses incurred by the AJD, the Court notes that the Association presented various probative elements to support the expenses associated with the hunger strike of May 2010. However, the Court finds that these expenses were not directly related to the </w:t>
      </w:r>
      <w:r w:rsidR="004519A2" w:rsidRPr="00A50E4D">
        <w:rPr>
          <w:lang w:val="en-US"/>
        </w:rPr>
        <w:t xml:space="preserve">processing of the </w:t>
      </w:r>
      <w:r w:rsidR="003E7115" w:rsidRPr="00A50E4D">
        <w:rPr>
          <w:lang w:val="en-US"/>
        </w:rPr>
        <w:t>litigation of this case at the domestic and</w:t>
      </w:r>
      <w:r w:rsidR="004519A2" w:rsidRPr="00A50E4D">
        <w:rPr>
          <w:lang w:val="en-US"/>
        </w:rPr>
        <w:t xml:space="preserve"> the</w:t>
      </w:r>
      <w:r w:rsidR="003E7115" w:rsidRPr="00A50E4D">
        <w:rPr>
          <w:lang w:val="en-US"/>
        </w:rPr>
        <w:t xml:space="preserve"> international level</w:t>
      </w:r>
      <w:r w:rsidR="004519A2" w:rsidRPr="00A50E4D">
        <w:rPr>
          <w:lang w:val="en-US"/>
        </w:rPr>
        <w:t>s</w:t>
      </w:r>
      <w:r w:rsidR="003E7115" w:rsidRPr="00A50E4D">
        <w:rPr>
          <w:lang w:val="en-US"/>
        </w:rPr>
        <w:t xml:space="preserve">. Regarding Ms. Flores Lanza’s travel expenses for the trip she made to Spain, the representatives did not explain clearly how that trip had been useful for the processing of this case. Furthermore, it notes that the representatives provided receipts for </w:t>
      </w:r>
      <w:r w:rsidR="004519A2" w:rsidRPr="00A50E4D">
        <w:rPr>
          <w:lang w:val="en-US"/>
        </w:rPr>
        <w:t>per diems</w:t>
      </w:r>
      <w:r w:rsidR="003E7115" w:rsidRPr="00A50E4D">
        <w:rPr>
          <w:lang w:val="en-US"/>
        </w:rPr>
        <w:t xml:space="preserve"> given to the four victims in this case, </w:t>
      </w:r>
      <w:r w:rsidR="004519A2" w:rsidRPr="00A50E4D">
        <w:rPr>
          <w:lang w:val="en-US"/>
        </w:rPr>
        <w:t xml:space="preserve">as well as for </w:t>
      </w:r>
      <w:r w:rsidR="003E7115" w:rsidRPr="00A50E4D">
        <w:rPr>
          <w:lang w:val="en-US"/>
        </w:rPr>
        <w:t>accommodation and plane tickets to attend the hearings held by the Commission in March 2011 and March 2012.</w:t>
      </w:r>
      <w:r w:rsidRPr="00A50E4D">
        <w:rPr>
          <w:vertAlign w:val="superscript"/>
          <w:lang w:val="en-US"/>
        </w:rPr>
        <w:footnoteReference w:id="480"/>
      </w:r>
      <w:r w:rsidR="003E7115" w:rsidRPr="00A50E4D">
        <w:rPr>
          <w:lang w:val="en-US"/>
        </w:rPr>
        <w:t xml:space="preserve"> In this regard, they indicated that the victims had taken part in other meetings and activities in the context of that trip and</w:t>
      </w:r>
      <w:r w:rsidR="004519A2" w:rsidRPr="00A50E4D">
        <w:rPr>
          <w:lang w:val="en-US"/>
        </w:rPr>
        <w:t xml:space="preserve"> had</w:t>
      </w:r>
      <w:r w:rsidR="003E7115" w:rsidRPr="00A50E4D">
        <w:rPr>
          <w:lang w:val="en-US"/>
        </w:rPr>
        <w:t xml:space="preserve"> therefore asked that the Court consider only 50% of the expenses covered by the said vouchers. The Court observes that on the invoice corresponding to the purchase of plane tickets,</w:t>
      </w:r>
      <w:r w:rsidR="003E7115" w:rsidRPr="00A50E4D">
        <w:rPr>
          <w:vertAlign w:val="superscript"/>
          <w:lang w:val="en-US"/>
        </w:rPr>
        <w:footnoteReference w:id="481"/>
      </w:r>
      <w:r w:rsidR="003E7115" w:rsidRPr="00A50E4D">
        <w:rPr>
          <w:lang w:val="en-US"/>
        </w:rPr>
        <w:t xml:space="preserve"> of the four tickets that </w:t>
      </w:r>
      <w:r w:rsidR="004519A2" w:rsidRPr="00A50E4D">
        <w:rPr>
          <w:lang w:val="en-US"/>
        </w:rPr>
        <w:t>t</w:t>
      </w:r>
      <w:r w:rsidR="003E7115" w:rsidRPr="00A50E4D">
        <w:rPr>
          <w:lang w:val="en-US"/>
        </w:rPr>
        <w:t xml:space="preserve">his covers, only one corresponds to tickets in the name of </w:t>
      </w:r>
      <w:r w:rsidR="004519A2" w:rsidRPr="00A50E4D">
        <w:rPr>
          <w:lang w:val="en-US"/>
        </w:rPr>
        <w:t xml:space="preserve">a victim </w:t>
      </w:r>
      <w:r w:rsidR="003E7115" w:rsidRPr="00A50E4D">
        <w:rPr>
          <w:lang w:val="en-US"/>
        </w:rPr>
        <w:t>in this case, and the representatives did not clarify whether the other three tickets bore any relationship to this litigation. Consequently, the Court will take into account only the cost of Mr. López Lone’s ticket. Regarding the expenses of the participation of Messrs.</w:t>
      </w:r>
      <w:r w:rsidR="003E7115" w:rsidRPr="00A50E4D">
        <w:rPr>
          <w:b/>
          <w:lang w:val="en-US"/>
        </w:rPr>
        <w:t xml:space="preserve"> </w:t>
      </w:r>
      <w:r w:rsidRPr="00A50E4D">
        <w:rPr>
          <w:lang w:val="en-US"/>
        </w:rPr>
        <w:t>Chévez</w:t>
      </w:r>
      <w:r w:rsidR="009808C5" w:rsidRPr="00A50E4D">
        <w:rPr>
          <w:lang w:val="en-US"/>
        </w:rPr>
        <w:t xml:space="preserve"> and </w:t>
      </w:r>
      <w:r w:rsidRPr="00A50E4D">
        <w:rPr>
          <w:lang w:val="en-US"/>
        </w:rPr>
        <w:t xml:space="preserve">Barrios, </w:t>
      </w:r>
      <w:r w:rsidR="00AD5EE7" w:rsidRPr="00A50E4D">
        <w:rPr>
          <w:lang w:val="en-US"/>
        </w:rPr>
        <w:t>the representatives</w:t>
      </w:r>
      <w:r w:rsidRPr="00A50E4D">
        <w:rPr>
          <w:lang w:val="en-US"/>
        </w:rPr>
        <w:t xml:space="preserve"> </w:t>
      </w:r>
      <w:r w:rsidR="003E7115" w:rsidRPr="00A50E4D">
        <w:rPr>
          <w:lang w:val="en-US"/>
        </w:rPr>
        <w:t>indicated that they “do not have the corresponding vouchers; nevertheless, [… they] asked that the Court consider that these were similar to the amount assigned to Mr. López Lone] as they covered the same items.” Following the presentation of the pleadings and motions brief, the representatives submitted invoices corresponding to the expenses for seven affidavits,</w:t>
      </w:r>
      <w:r w:rsidRPr="00A50E4D">
        <w:rPr>
          <w:vertAlign w:val="superscript"/>
          <w:lang w:val="en-US"/>
        </w:rPr>
        <w:footnoteReference w:id="482"/>
      </w:r>
      <w:r w:rsidR="009808C5" w:rsidRPr="00A50E4D">
        <w:rPr>
          <w:lang w:val="en-US"/>
        </w:rPr>
        <w:t xml:space="preserve"> and </w:t>
      </w:r>
      <w:r w:rsidR="003E7115" w:rsidRPr="00A50E4D">
        <w:rPr>
          <w:lang w:val="en-US"/>
        </w:rPr>
        <w:t>the forwarding of documents, as well as for the payment for the authentication of signatures and the forwarding of expert reports.</w:t>
      </w:r>
      <w:r w:rsidRPr="00A50E4D">
        <w:rPr>
          <w:vertAlign w:val="superscript"/>
          <w:lang w:val="en-US"/>
        </w:rPr>
        <w:footnoteReference w:id="483"/>
      </w:r>
      <w:r w:rsidRPr="00A50E4D">
        <w:rPr>
          <w:lang w:val="en-US"/>
        </w:rPr>
        <w:t xml:space="preserve"> </w:t>
      </w:r>
      <w:r w:rsidR="003E7115" w:rsidRPr="00A50E4D">
        <w:rPr>
          <w:lang w:val="en-US"/>
        </w:rPr>
        <w:t xml:space="preserve">They also presented vouchers for travel expenses, per diems, and accommodation </w:t>
      </w:r>
      <w:r w:rsidR="004519A2" w:rsidRPr="00A50E4D">
        <w:rPr>
          <w:lang w:val="en-US"/>
        </w:rPr>
        <w:t>related to</w:t>
      </w:r>
      <w:r w:rsidR="00FF35A9" w:rsidRPr="00A50E4D">
        <w:rPr>
          <w:lang w:val="en-US"/>
        </w:rPr>
        <w:t xml:space="preserve"> </w:t>
      </w:r>
      <w:r w:rsidR="00A45503" w:rsidRPr="00A50E4D">
        <w:rPr>
          <w:lang w:val="en-US"/>
        </w:rPr>
        <w:t>participation</w:t>
      </w:r>
      <w:r w:rsidRPr="00A50E4D">
        <w:rPr>
          <w:lang w:val="en-US"/>
        </w:rPr>
        <w:t xml:space="preserve"> </w:t>
      </w:r>
      <w:r w:rsidR="003E7115" w:rsidRPr="00A50E4D">
        <w:rPr>
          <w:lang w:val="en-US"/>
        </w:rPr>
        <w:t>in the</w:t>
      </w:r>
      <w:r w:rsidRPr="00A50E4D">
        <w:rPr>
          <w:lang w:val="en-US"/>
        </w:rPr>
        <w:t xml:space="preserve"> </w:t>
      </w:r>
      <w:r w:rsidR="00CD2874" w:rsidRPr="00A50E4D">
        <w:rPr>
          <w:lang w:val="en-US"/>
        </w:rPr>
        <w:t>public hearing</w:t>
      </w:r>
      <w:r w:rsidRPr="00A50E4D">
        <w:rPr>
          <w:lang w:val="en-US"/>
        </w:rPr>
        <w:t xml:space="preserve"> </w:t>
      </w:r>
      <w:r w:rsidR="003E7115" w:rsidRPr="00A50E4D">
        <w:rPr>
          <w:lang w:val="en-US"/>
        </w:rPr>
        <w:t>held</w:t>
      </w:r>
      <w:r w:rsidRPr="00A50E4D">
        <w:rPr>
          <w:lang w:val="en-US"/>
        </w:rPr>
        <w:t xml:space="preserve"> </w:t>
      </w:r>
      <w:r w:rsidR="00277E12" w:rsidRPr="00A50E4D">
        <w:rPr>
          <w:lang w:val="en-US"/>
        </w:rPr>
        <w:t>in this case</w:t>
      </w:r>
      <w:r w:rsidR="003E7115" w:rsidRPr="00A50E4D">
        <w:rPr>
          <w:lang w:val="en-US"/>
        </w:rPr>
        <w:t>.</w:t>
      </w:r>
      <w:r w:rsidRPr="00A50E4D">
        <w:rPr>
          <w:vertAlign w:val="superscript"/>
          <w:lang w:val="en-US"/>
        </w:rPr>
        <w:footnoteReference w:id="484"/>
      </w:r>
      <w:r w:rsidR="003E7115" w:rsidRPr="00A50E4D">
        <w:rPr>
          <w:lang w:val="en-US"/>
        </w:rPr>
        <w:t xml:space="preserve"> Based on the foregoing, the Court notes that the AJD presented vouchers for</w:t>
      </w:r>
      <w:r w:rsidRPr="00A50E4D">
        <w:rPr>
          <w:lang w:val="en-US"/>
        </w:rPr>
        <w:t xml:space="preserve"> </w:t>
      </w:r>
      <w:r w:rsidR="00F814CB" w:rsidRPr="00A50E4D">
        <w:rPr>
          <w:lang w:val="en-US"/>
        </w:rPr>
        <w:t>costs and expenses</w:t>
      </w:r>
      <w:r w:rsidRPr="00A50E4D">
        <w:rPr>
          <w:lang w:val="en-US"/>
        </w:rPr>
        <w:t xml:space="preserve"> </w:t>
      </w:r>
      <w:r w:rsidR="003E7115" w:rsidRPr="00A50E4D">
        <w:rPr>
          <w:lang w:val="en-US"/>
        </w:rPr>
        <w:t>amounting to US$12,057.</w:t>
      </w:r>
      <w:r w:rsidRPr="00A50E4D">
        <w:rPr>
          <w:lang w:val="en-US"/>
        </w:rPr>
        <w:t>06.</w:t>
      </w:r>
    </w:p>
    <w:p w14:paraId="21D3E2F7" w14:textId="77777777" w:rsidR="007A5DB4" w:rsidRPr="00A50E4D" w:rsidRDefault="007A5DB4" w:rsidP="007A5DB4">
      <w:pPr>
        <w:pStyle w:val="PrrafodeSentencia"/>
        <w:numPr>
          <w:ilvl w:val="0"/>
          <w:numId w:val="0"/>
        </w:numPr>
        <w:rPr>
          <w:lang w:val="en-US"/>
        </w:rPr>
      </w:pPr>
    </w:p>
    <w:p w14:paraId="58B6EC2E" w14:textId="2EE29DF8" w:rsidR="007A5DB4" w:rsidRPr="00A50E4D" w:rsidRDefault="003E7115" w:rsidP="003E7115">
      <w:pPr>
        <w:pStyle w:val="PrrafodeSentencia"/>
        <w:rPr>
          <w:b/>
          <w:lang w:val="en-US"/>
        </w:rPr>
      </w:pPr>
      <w:r w:rsidRPr="00A50E4D">
        <w:rPr>
          <w:lang w:val="en-US"/>
        </w:rPr>
        <w:t>Regarding</w:t>
      </w:r>
      <w:r w:rsidR="007A5DB4" w:rsidRPr="00A50E4D">
        <w:rPr>
          <w:lang w:val="en-US"/>
        </w:rPr>
        <w:t xml:space="preserve"> </w:t>
      </w:r>
      <w:r w:rsidR="00A45503" w:rsidRPr="00A50E4D">
        <w:rPr>
          <w:lang w:val="en-US"/>
        </w:rPr>
        <w:t>the expenses</w:t>
      </w:r>
      <w:r w:rsidR="007A5DB4" w:rsidRPr="00A50E4D">
        <w:rPr>
          <w:lang w:val="en-US"/>
        </w:rPr>
        <w:t xml:space="preserve"> </w:t>
      </w:r>
      <w:r w:rsidRPr="00A50E4D">
        <w:rPr>
          <w:lang w:val="en-US"/>
        </w:rPr>
        <w:t>incurred by</w:t>
      </w:r>
      <w:r w:rsidR="007A5DB4" w:rsidRPr="00A50E4D">
        <w:rPr>
          <w:lang w:val="en-US"/>
        </w:rPr>
        <w:t xml:space="preserve"> CEJIL, </w:t>
      </w:r>
      <w:r w:rsidR="009808C5" w:rsidRPr="00A50E4D">
        <w:rPr>
          <w:lang w:val="en-US"/>
        </w:rPr>
        <w:t>the Court</w:t>
      </w:r>
      <w:r w:rsidR="007A5DB4" w:rsidRPr="00A50E4D">
        <w:rPr>
          <w:lang w:val="en-US"/>
        </w:rPr>
        <w:t xml:space="preserve"> </w:t>
      </w:r>
      <w:r w:rsidRPr="00A50E4D">
        <w:rPr>
          <w:lang w:val="en-US"/>
        </w:rPr>
        <w:t xml:space="preserve">determines that it has provided evidence corresponding to </w:t>
      </w:r>
      <w:r w:rsidR="00A45503" w:rsidRPr="00A50E4D">
        <w:rPr>
          <w:lang w:val="en-US"/>
        </w:rPr>
        <w:t>the expenses</w:t>
      </w:r>
      <w:r w:rsidR="007A5DB4" w:rsidRPr="00A50E4D">
        <w:rPr>
          <w:lang w:val="en-US"/>
        </w:rPr>
        <w:t xml:space="preserve"> </w:t>
      </w:r>
      <w:r w:rsidRPr="00A50E4D">
        <w:rPr>
          <w:lang w:val="en-US"/>
        </w:rPr>
        <w:t xml:space="preserve">to attend the hearing on admissibility before </w:t>
      </w:r>
      <w:r w:rsidR="009808C5" w:rsidRPr="00A50E4D">
        <w:rPr>
          <w:lang w:val="en-US"/>
        </w:rPr>
        <w:t xml:space="preserve">the Inter-American </w:t>
      </w:r>
      <w:r w:rsidR="009808C5" w:rsidRPr="00A50E4D">
        <w:rPr>
          <w:lang w:val="en-US"/>
        </w:rPr>
        <w:lastRenderedPageBreak/>
        <w:t xml:space="preserve">Commission and </w:t>
      </w:r>
      <w:r w:rsidRPr="00A50E4D">
        <w:rPr>
          <w:lang w:val="en-US"/>
        </w:rPr>
        <w:t>the hearing on the merits.</w:t>
      </w:r>
      <w:r w:rsidR="007A5DB4" w:rsidRPr="00A50E4D">
        <w:rPr>
          <w:vertAlign w:val="superscript"/>
          <w:lang w:val="en-US"/>
        </w:rPr>
        <w:footnoteReference w:id="485"/>
      </w:r>
      <w:r w:rsidRPr="00A50E4D">
        <w:rPr>
          <w:lang w:val="en-US"/>
        </w:rPr>
        <w:t xml:space="preserve"> However, it notes that </w:t>
      </w:r>
      <w:r w:rsidR="007A5DB4" w:rsidRPr="00A50E4D">
        <w:rPr>
          <w:lang w:val="en-US"/>
        </w:rPr>
        <w:t xml:space="preserve">CEJIL </w:t>
      </w:r>
      <w:r w:rsidRPr="00A50E4D">
        <w:rPr>
          <w:lang w:val="en-US"/>
        </w:rPr>
        <w:t>asked that</w:t>
      </w:r>
      <w:r w:rsidR="004519A2" w:rsidRPr="00A50E4D">
        <w:rPr>
          <w:lang w:val="en-US"/>
        </w:rPr>
        <w:t xml:space="preserve"> the Court pay only 50% of the expenses incurred</w:t>
      </w:r>
      <w:r w:rsidRPr="00A50E4D">
        <w:rPr>
          <w:lang w:val="en-US"/>
        </w:rPr>
        <w:t xml:space="preserve"> since it had</w:t>
      </w:r>
      <w:r w:rsidR="004519A2" w:rsidRPr="00A50E4D">
        <w:rPr>
          <w:lang w:val="en-US"/>
        </w:rPr>
        <w:t xml:space="preserve"> taken part</w:t>
      </w:r>
      <w:r w:rsidRPr="00A50E4D">
        <w:rPr>
          <w:lang w:val="en-US"/>
        </w:rPr>
        <w:t xml:space="preserve"> in other hearings that were unrelated </w:t>
      </w:r>
      <w:r w:rsidR="004519A2" w:rsidRPr="00A50E4D">
        <w:rPr>
          <w:lang w:val="en-US"/>
        </w:rPr>
        <w:t>to this case during those trips</w:t>
      </w:r>
      <w:r w:rsidRPr="00A50E4D">
        <w:rPr>
          <w:lang w:val="en-US"/>
        </w:rPr>
        <w:t>. CEJIL also provided evidence relating to two trips to Honduras, one in May 2011, for which it requested payment of 5% of the total trip expenses,</w:t>
      </w:r>
      <w:r w:rsidR="007A5DB4" w:rsidRPr="00A50E4D">
        <w:rPr>
          <w:vertAlign w:val="superscript"/>
          <w:lang w:val="en-US"/>
        </w:rPr>
        <w:footnoteReference w:id="486"/>
      </w:r>
      <w:r w:rsidR="009808C5" w:rsidRPr="00A50E4D">
        <w:rPr>
          <w:lang w:val="en-US"/>
        </w:rPr>
        <w:t xml:space="preserve"> and </w:t>
      </w:r>
      <w:r w:rsidRPr="00A50E4D">
        <w:rPr>
          <w:lang w:val="en-US"/>
        </w:rPr>
        <w:t xml:space="preserve">another in May </w:t>
      </w:r>
      <w:r w:rsidR="007A5DB4" w:rsidRPr="00A50E4D">
        <w:rPr>
          <w:lang w:val="en-US"/>
        </w:rPr>
        <w:t>2014</w:t>
      </w:r>
      <w:r w:rsidRPr="00A50E4D">
        <w:rPr>
          <w:lang w:val="en-US"/>
        </w:rPr>
        <w:t>,</w:t>
      </w:r>
      <w:r w:rsidR="007A5DB4" w:rsidRPr="00A50E4D">
        <w:rPr>
          <w:vertAlign w:val="superscript"/>
          <w:lang w:val="en-US"/>
        </w:rPr>
        <w:footnoteReference w:id="487"/>
      </w:r>
      <w:r w:rsidRPr="00A50E4D">
        <w:rPr>
          <w:lang w:val="en-US"/>
        </w:rPr>
        <w:t xml:space="preserve"> for which it requested payment of</w:t>
      </w:r>
      <w:r w:rsidR="00A45503" w:rsidRPr="00A50E4D">
        <w:rPr>
          <w:lang w:val="en-US"/>
        </w:rPr>
        <w:t xml:space="preserve"> US$405.</w:t>
      </w:r>
      <w:r w:rsidR="007A5DB4" w:rsidRPr="00A50E4D">
        <w:rPr>
          <w:lang w:val="en-US"/>
        </w:rPr>
        <w:t xml:space="preserve">28. </w:t>
      </w:r>
      <w:r w:rsidRPr="00A50E4D">
        <w:rPr>
          <w:lang w:val="en-US"/>
        </w:rPr>
        <w:t xml:space="preserve">In addition, it presented </w:t>
      </w:r>
      <w:r w:rsidR="000A786A" w:rsidRPr="00A50E4D">
        <w:rPr>
          <w:lang w:val="en-US"/>
        </w:rPr>
        <w:t>vouchers</w:t>
      </w:r>
      <w:r w:rsidRPr="00A50E4D">
        <w:rPr>
          <w:lang w:val="en-US"/>
        </w:rPr>
        <w:t xml:space="preserve"> for the payment of photocopies,</w:t>
      </w:r>
      <w:r w:rsidR="007A5DB4" w:rsidRPr="00A50E4D">
        <w:rPr>
          <w:vertAlign w:val="superscript"/>
          <w:lang w:val="en-US"/>
        </w:rPr>
        <w:footnoteReference w:id="488"/>
      </w:r>
      <w:r w:rsidRPr="00A50E4D">
        <w:rPr>
          <w:lang w:val="en-US"/>
        </w:rPr>
        <w:t xml:space="preserve"> the expenses of producing expert evidence,</w:t>
      </w:r>
      <w:r w:rsidR="007A5DB4" w:rsidRPr="00A50E4D">
        <w:rPr>
          <w:vertAlign w:val="superscript"/>
          <w:lang w:val="en-US"/>
        </w:rPr>
        <w:footnoteReference w:id="489"/>
      </w:r>
      <w:r w:rsidRPr="00A50E4D">
        <w:rPr>
          <w:lang w:val="en-US"/>
        </w:rPr>
        <w:t xml:space="preserve"> and also salary vouchers for the lawyers who worked on</w:t>
      </w:r>
      <w:r w:rsidR="00277E12" w:rsidRPr="00A50E4D">
        <w:rPr>
          <w:lang w:val="en-US"/>
        </w:rPr>
        <w:t xml:space="preserve"> this case</w:t>
      </w:r>
      <w:r w:rsidRPr="00A50E4D">
        <w:rPr>
          <w:lang w:val="en-US"/>
        </w:rPr>
        <w:t>.</w:t>
      </w:r>
      <w:r w:rsidR="007A5DB4" w:rsidRPr="00A50E4D">
        <w:rPr>
          <w:vertAlign w:val="superscript"/>
          <w:lang w:val="en-US"/>
        </w:rPr>
        <w:footnoteReference w:id="490"/>
      </w:r>
      <w:r w:rsidR="007A5DB4" w:rsidRPr="00A50E4D">
        <w:rPr>
          <w:lang w:val="en-US"/>
        </w:rPr>
        <w:t xml:space="preserve"> </w:t>
      </w:r>
      <w:r w:rsidRPr="00A50E4D">
        <w:rPr>
          <w:lang w:val="en-US"/>
        </w:rPr>
        <w:t>As regards</w:t>
      </w:r>
      <w:r w:rsidR="007A5DB4" w:rsidRPr="00A50E4D">
        <w:rPr>
          <w:lang w:val="en-US"/>
        </w:rPr>
        <w:t xml:space="preserve"> </w:t>
      </w:r>
      <w:r w:rsidR="00A45503" w:rsidRPr="00A50E4D">
        <w:rPr>
          <w:lang w:val="en-US"/>
        </w:rPr>
        <w:t>the expenses</w:t>
      </w:r>
      <w:r w:rsidR="007A5DB4" w:rsidRPr="00A50E4D">
        <w:rPr>
          <w:lang w:val="en-US"/>
        </w:rPr>
        <w:t xml:space="preserve"> rela</w:t>
      </w:r>
      <w:r w:rsidRPr="00A50E4D">
        <w:rPr>
          <w:lang w:val="en-US"/>
        </w:rPr>
        <w:t>ted</w:t>
      </w:r>
      <w:r w:rsidR="004519A2" w:rsidRPr="00A50E4D">
        <w:rPr>
          <w:lang w:val="en-US"/>
        </w:rPr>
        <w:t xml:space="preserve"> to the travel and</w:t>
      </w:r>
      <w:r w:rsidRPr="00A50E4D">
        <w:rPr>
          <w:lang w:val="en-US"/>
        </w:rPr>
        <w:t xml:space="preserve"> support provided to the victims by</w:t>
      </w:r>
      <w:r w:rsidR="007A5DB4" w:rsidRPr="00A50E4D">
        <w:rPr>
          <w:lang w:val="en-US"/>
        </w:rPr>
        <w:t xml:space="preserve"> </w:t>
      </w:r>
      <w:r w:rsidR="00DB2937" w:rsidRPr="00A50E4D">
        <w:rPr>
          <w:lang w:val="en-US"/>
        </w:rPr>
        <w:t>expert witness</w:t>
      </w:r>
      <w:r w:rsidR="007A5DB4" w:rsidRPr="00A50E4D">
        <w:rPr>
          <w:lang w:val="en-US"/>
        </w:rPr>
        <w:t xml:space="preserve"> María Sol Yáñez, </w:t>
      </w:r>
      <w:r w:rsidR="009808C5" w:rsidRPr="00A50E4D">
        <w:rPr>
          <w:lang w:val="en-US"/>
        </w:rPr>
        <w:t>the Court</w:t>
      </w:r>
      <w:r w:rsidR="007A5DB4" w:rsidRPr="00A50E4D">
        <w:rPr>
          <w:lang w:val="en-US"/>
        </w:rPr>
        <w:t xml:space="preserve"> </w:t>
      </w:r>
      <w:r w:rsidRPr="00A50E4D">
        <w:rPr>
          <w:lang w:val="en-US"/>
        </w:rPr>
        <w:t>notes that CEJIL presented vouchers for</w:t>
      </w:r>
      <w:r w:rsidR="00A45503" w:rsidRPr="00A50E4D">
        <w:rPr>
          <w:lang w:val="en-US"/>
        </w:rPr>
        <w:t xml:space="preserve"> US$9,206.</w:t>
      </w:r>
      <w:r w:rsidR="007A5DB4" w:rsidRPr="00A50E4D">
        <w:rPr>
          <w:lang w:val="en-US"/>
        </w:rPr>
        <w:t>98</w:t>
      </w:r>
      <w:r w:rsidRPr="00A50E4D">
        <w:rPr>
          <w:lang w:val="en-US"/>
        </w:rPr>
        <w:t>.</w:t>
      </w:r>
      <w:r w:rsidR="007A5DB4" w:rsidRPr="00A50E4D">
        <w:rPr>
          <w:vertAlign w:val="superscript"/>
          <w:lang w:val="en-US"/>
        </w:rPr>
        <w:footnoteReference w:id="491"/>
      </w:r>
      <w:r w:rsidRPr="00A50E4D">
        <w:rPr>
          <w:lang w:val="en-US"/>
        </w:rPr>
        <w:t xml:space="preserve"> However, the case file does not show that all these expenses were necessary in the context </w:t>
      </w:r>
      <w:r w:rsidR="00FF35A9" w:rsidRPr="00A50E4D">
        <w:rPr>
          <w:lang w:val="en-US"/>
        </w:rPr>
        <w:t xml:space="preserve">of </w:t>
      </w:r>
      <w:r w:rsidR="0009368F" w:rsidRPr="00A50E4D">
        <w:rPr>
          <w:lang w:val="en-US"/>
        </w:rPr>
        <w:t>this case</w:t>
      </w:r>
      <w:r w:rsidR="007A5DB4" w:rsidRPr="00A50E4D">
        <w:rPr>
          <w:lang w:val="en-US"/>
        </w:rPr>
        <w:t xml:space="preserve">. </w:t>
      </w:r>
      <w:r w:rsidRPr="00A50E4D">
        <w:rPr>
          <w:lang w:val="en-US"/>
        </w:rPr>
        <w:t xml:space="preserve">Therefore, those expenses that are unreasonably high will be </w:t>
      </w:r>
      <w:r w:rsidR="004519A2" w:rsidRPr="00A50E4D">
        <w:rPr>
          <w:lang w:val="en-US"/>
        </w:rPr>
        <w:t>deducted</w:t>
      </w:r>
      <w:r w:rsidRPr="00A50E4D">
        <w:rPr>
          <w:lang w:val="en-US"/>
        </w:rPr>
        <w:t xml:space="preserve"> from the assessment made by the Court.</w:t>
      </w:r>
      <w:r w:rsidR="007A5DB4" w:rsidRPr="00A50E4D">
        <w:rPr>
          <w:vertAlign w:val="superscript"/>
          <w:lang w:val="en-US"/>
        </w:rPr>
        <w:footnoteReference w:id="492"/>
      </w:r>
      <w:r w:rsidR="007A5DB4" w:rsidRPr="00A50E4D">
        <w:rPr>
          <w:lang w:val="en-US"/>
        </w:rPr>
        <w:t xml:space="preserve"> </w:t>
      </w:r>
      <w:r w:rsidRPr="00A50E4D">
        <w:rPr>
          <w:lang w:val="en-US"/>
        </w:rPr>
        <w:t xml:space="preserve">Accordingly, the Court will only take into consideration the amount of the contract for professional services. Thus, the Court determines that CEJIL presented vouchers for expenses incurred in the context of this case for sum of </w:t>
      </w:r>
      <w:r w:rsidR="00A45503" w:rsidRPr="00A50E4D">
        <w:rPr>
          <w:lang w:val="en-US"/>
        </w:rPr>
        <w:t>US$41,423.</w:t>
      </w:r>
      <w:r w:rsidR="007A5DB4" w:rsidRPr="00A50E4D">
        <w:rPr>
          <w:lang w:val="en-US"/>
        </w:rPr>
        <w:t xml:space="preserve">75. </w:t>
      </w:r>
    </w:p>
    <w:p w14:paraId="7C8F815D" w14:textId="77777777" w:rsidR="007A5DB4" w:rsidRPr="00A50E4D" w:rsidRDefault="007A5DB4" w:rsidP="007A5DB4">
      <w:pPr>
        <w:pStyle w:val="PrrafodeSentencia"/>
        <w:numPr>
          <w:ilvl w:val="0"/>
          <w:numId w:val="0"/>
        </w:numPr>
        <w:rPr>
          <w:lang w:val="en-US"/>
        </w:rPr>
      </w:pPr>
    </w:p>
    <w:p w14:paraId="733082B4" w14:textId="1849EC7D" w:rsidR="007A5DB4" w:rsidRPr="00A50E4D" w:rsidRDefault="00A45503" w:rsidP="007A5DB4">
      <w:pPr>
        <w:pStyle w:val="PrrafodeSentencia"/>
        <w:rPr>
          <w:b/>
          <w:lang w:val="en-US"/>
        </w:rPr>
      </w:pPr>
      <w:bookmarkStart w:id="492" w:name="_Ref419394051"/>
      <w:r w:rsidRPr="00A50E4D">
        <w:rPr>
          <w:lang w:val="en-US"/>
        </w:rPr>
        <w:t>Consequently</w:t>
      </w:r>
      <w:r w:rsidR="007A5DB4" w:rsidRPr="00A50E4D">
        <w:rPr>
          <w:lang w:val="en-US"/>
        </w:rPr>
        <w:t xml:space="preserve">, </w:t>
      </w:r>
      <w:r w:rsidR="009808C5" w:rsidRPr="00A50E4D">
        <w:rPr>
          <w:lang w:val="en-US"/>
        </w:rPr>
        <w:t>the Court</w:t>
      </w:r>
      <w:r w:rsidR="007A5DB4" w:rsidRPr="00A50E4D">
        <w:rPr>
          <w:lang w:val="en-US"/>
        </w:rPr>
        <w:t xml:space="preserve"> ord</w:t>
      </w:r>
      <w:r w:rsidR="003E7115" w:rsidRPr="00A50E4D">
        <w:rPr>
          <w:lang w:val="en-US"/>
        </w:rPr>
        <w:t>ers the State to reimburse, under the heading of</w:t>
      </w:r>
      <w:r w:rsidR="007A5DB4" w:rsidRPr="00A50E4D">
        <w:rPr>
          <w:lang w:val="en-US"/>
        </w:rPr>
        <w:t xml:space="preserve"> </w:t>
      </w:r>
      <w:r w:rsidR="00F814CB" w:rsidRPr="00A50E4D">
        <w:rPr>
          <w:lang w:val="en-US"/>
        </w:rPr>
        <w:t>costs and expenses</w:t>
      </w:r>
      <w:r w:rsidRPr="00A50E4D">
        <w:rPr>
          <w:lang w:val="en-US"/>
        </w:rPr>
        <w:t>, US$12,057.</w:t>
      </w:r>
      <w:r w:rsidR="007A5DB4" w:rsidRPr="00A50E4D">
        <w:rPr>
          <w:lang w:val="en-US"/>
        </w:rPr>
        <w:t>06 (</w:t>
      </w:r>
      <w:r w:rsidRPr="00A50E4D">
        <w:rPr>
          <w:lang w:val="en-US"/>
        </w:rPr>
        <w:t>twelve thousand and fifty-seven United States dollars</w:t>
      </w:r>
      <w:r w:rsidR="007A5DB4" w:rsidRPr="00A50E4D">
        <w:rPr>
          <w:lang w:val="en-US"/>
        </w:rPr>
        <w:t xml:space="preserve"> </w:t>
      </w:r>
      <w:r w:rsidRPr="00A50E4D">
        <w:rPr>
          <w:lang w:val="en-US"/>
        </w:rPr>
        <w:t>and six cents) to</w:t>
      </w:r>
      <w:r w:rsidR="007A5DB4" w:rsidRPr="00A50E4D">
        <w:rPr>
          <w:lang w:val="en-US"/>
        </w:rPr>
        <w:t xml:space="preserve"> </w:t>
      </w:r>
      <w:r w:rsidR="0048601C" w:rsidRPr="00A50E4D">
        <w:rPr>
          <w:lang w:val="en-US"/>
        </w:rPr>
        <w:t>the Association of Judges</w:t>
      </w:r>
      <w:r w:rsidR="00371BB7" w:rsidRPr="00A50E4D">
        <w:rPr>
          <w:lang w:val="en-US"/>
        </w:rPr>
        <w:t xml:space="preserve"> for Democracy</w:t>
      </w:r>
      <w:r w:rsidR="009808C5" w:rsidRPr="00A50E4D">
        <w:rPr>
          <w:lang w:val="en-US"/>
        </w:rPr>
        <w:t xml:space="preserve"> and </w:t>
      </w:r>
      <w:r w:rsidRPr="00A50E4D">
        <w:rPr>
          <w:lang w:val="en-US"/>
        </w:rPr>
        <w:t>US$41,423.</w:t>
      </w:r>
      <w:r w:rsidR="007A5DB4" w:rsidRPr="00A50E4D">
        <w:rPr>
          <w:lang w:val="en-US"/>
        </w:rPr>
        <w:t>75 (</w:t>
      </w:r>
      <w:r w:rsidRPr="00A50E4D">
        <w:rPr>
          <w:lang w:val="en-US"/>
        </w:rPr>
        <w:t xml:space="preserve">forty-one thousand four </w:t>
      </w:r>
      <w:r w:rsidR="000A786A" w:rsidRPr="00A50E4D">
        <w:rPr>
          <w:lang w:val="en-US"/>
        </w:rPr>
        <w:t>hundred</w:t>
      </w:r>
      <w:r w:rsidRPr="00A50E4D">
        <w:rPr>
          <w:lang w:val="en-US"/>
        </w:rPr>
        <w:t xml:space="preserve"> and twenty-three United States dollars</w:t>
      </w:r>
      <w:r w:rsidR="007A5DB4" w:rsidRPr="00A50E4D">
        <w:rPr>
          <w:lang w:val="en-US"/>
        </w:rPr>
        <w:t xml:space="preserve"> </w:t>
      </w:r>
      <w:r w:rsidRPr="00A50E4D">
        <w:rPr>
          <w:lang w:val="en-US"/>
        </w:rPr>
        <w:t>and seventy-five cents) to</w:t>
      </w:r>
      <w:r w:rsidR="007A5DB4" w:rsidRPr="00A50E4D">
        <w:rPr>
          <w:lang w:val="en-US"/>
        </w:rPr>
        <w:t xml:space="preserve"> CEJIL.</w:t>
      </w:r>
      <w:r w:rsidR="003E7115" w:rsidRPr="00A50E4D">
        <w:rPr>
          <w:lang w:val="en-US"/>
        </w:rPr>
        <w:t xml:space="preserve"> At the stage of monitoring compliance with </w:t>
      </w:r>
      <w:r w:rsidR="00F814CB" w:rsidRPr="00A50E4D">
        <w:rPr>
          <w:lang w:val="en-US"/>
        </w:rPr>
        <w:t>this judgment</w:t>
      </w:r>
      <w:r w:rsidR="007A5DB4" w:rsidRPr="00A50E4D">
        <w:rPr>
          <w:lang w:val="en-US"/>
        </w:rPr>
        <w:t xml:space="preserve">, </w:t>
      </w:r>
      <w:r w:rsidR="009808C5" w:rsidRPr="00A50E4D">
        <w:rPr>
          <w:lang w:val="en-US"/>
        </w:rPr>
        <w:t>the Court</w:t>
      </w:r>
      <w:r w:rsidR="007A5DB4" w:rsidRPr="00A50E4D">
        <w:rPr>
          <w:lang w:val="en-US"/>
        </w:rPr>
        <w:t xml:space="preserve"> </w:t>
      </w:r>
      <w:r w:rsidR="003E7115" w:rsidRPr="00A50E4D">
        <w:rPr>
          <w:lang w:val="en-US"/>
        </w:rPr>
        <w:t>may order the reimbursement by the State to the victims or to their representatives of subsequent expenses that are reasonable and duly authenticated.</w:t>
      </w:r>
      <w:r w:rsidR="007A5DB4" w:rsidRPr="00A50E4D">
        <w:rPr>
          <w:vertAlign w:val="superscript"/>
          <w:lang w:val="en-US"/>
        </w:rPr>
        <w:footnoteReference w:id="493"/>
      </w:r>
      <w:bookmarkEnd w:id="492"/>
    </w:p>
    <w:p w14:paraId="40F49F25" w14:textId="77777777" w:rsidR="00685B42" w:rsidRPr="00A50E4D" w:rsidRDefault="00685B42" w:rsidP="007A5DB4">
      <w:pPr>
        <w:rPr>
          <w:lang w:val="en-US" w:eastAsia="es-MX"/>
        </w:rPr>
      </w:pPr>
    </w:p>
    <w:p w14:paraId="27132AAE" w14:textId="5F1DF667" w:rsidR="007A5DB4" w:rsidRPr="00A50E4D" w:rsidRDefault="00E17423" w:rsidP="007A5DB4">
      <w:pPr>
        <w:pStyle w:val="Heading2"/>
        <w:rPr>
          <w:spacing w:val="-4"/>
          <w:lang w:val="en-US"/>
        </w:rPr>
      </w:pPr>
      <w:bookmarkStart w:id="493" w:name="_Toc418074123"/>
      <w:bookmarkStart w:id="494" w:name="_Toc418503928"/>
      <w:bookmarkStart w:id="495" w:name="_Toc418912657"/>
      <w:bookmarkStart w:id="496" w:name="_Toc418912881"/>
      <w:bookmarkStart w:id="497" w:name="_Toc419394461"/>
      <w:bookmarkStart w:id="498" w:name="_Toc423361060"/>
      <w:bookmarkStart w:id="499" w:name="_Toc427234587"/>
      <w:bookmarkStart w:id="500" w:name="_Toc427932833"/>
      <w:bookmarkStart w:id="501" w:name="_Toc431584682"/>
      <w:bookmarkStart w:id="502" w:name="_Toc471717316"/>
      <w:r w:rsidRPr="00A50E4D">
        <w:rPr>
          <w:spacing w:val="-4"/>
          <w:lang w:val="en-US"/>
        </w:rPr>
        <w:t>F</w:t>
      </w:r>
      <w:r w:rsidR="007A5DB4" w:rsidRPr="00A50E4D">
        <w:rPr>
          <w:spacing w:val="-4"/>
          <w:lang w:val="en-US"/>
        </w:rPr>
        <w:t xml:space="preserve">. </w:t>
      </w:r>
      <w:r w:rsidR="00A45503" w:rsidRPr="00A50E4D">
        <w:rPr>
          <w:spacing w:val="-4"/>
          <w:lang w:val="en-US"/>
        </w:rPr>
        <w:t>Method of complying with the payments ordered</w:t>
      </w:r>
      <w:bookmarkEnd w:id="493"/>
      <w:bookmarkEnd w:id="494"/>
      <w:bookmarkEnd w:id="495"/>
      <w:bookmarkEnd w:id="496"/>
      <w:bookmarkEnd w:id="497"/>
      <w:bookmarkEnd w:id="498"/>
      <w:bookmarkEnd w:id="499"/>
      <w:bookmarkEnd w:id="500"/>
      <w:bookmarkEnd w:id="501"/>
      <w:bookmarkEnd w:id="502"/>
    </w:p>
    <w:p w14:paraId="25590F48" w14:textId="77777777" w:rsidR="007A5DB4" w:rsidRPr="00A50E4D" w:rsidRDefault="007A5DB4" w:rsidP="007A5DB4">
      <w:pPr>
        <w:pStyle w:val="PrrafodeSentencia"/>
        <w:numPr>
          <w:ilvl w:val="0"/>
          <w:numId w:val="0"/>
        </w:numPr>
        <w:rPr>
          <w:lang w:val="en-US"/>
        </w:rPr>
      </w:pPr>
    </w:p>
    <w:p w14:paraId="64AC0E3A" w14:textId="17CF1F73" w:rsidR="007A5DB4" w:rsidRPr="00A50E4D" w:rsidRDefault="009808C5" w:rsidP="007A5DB4">
      <w:pPr>
        <w:pStyle w:val="PrrafodeSentencia"/>
        <w:rPr>
          <w:b/>
          <w:lang w:val="en-US"/>
        </w:rPr>
      </w:pPr>
      <w:bookmarkStart w:id="503" w:name="_Ref419394072"/>
      <w:r w:rsidRPr="00A50E4D">
        <w:rPr>
          <w:lang w:val="en-US"/>
        </w:rPr>
        <w:t>The State</w:t>
      </w:r>
      <w:r w:rsidR="007A5DB4" w:rsidRPr="00A50E4D">
        <w:rPr>
          <w:lang w:val="en-US"/>
        </w:rPr>
        <w:t xml:space="preserve"> </w:t>
      </w:r>
      <w:r w:rsidR="0087695C" w:rsidRPr="00A50E4D">
        <w:rPr>
          <w:lang w:val="en-US"/>
        </w:rPr>
        <w:t xml:space="preserve">shall make the payment of the compensation for </w:t>
      </w:r>
      <w:r w:rsidR="00F814CB" w:rsidRPr="00A50E4D">
        <w:rPr>
          <w:lang w:val="en-US"/>
        </w:rPr>
        <w:t>pecuniary and non-pecuniary damage</w:t>
      </w:r>
      <w:r w:rsidRPr="00A50E4D">
        <w:rPr>
          <w:lang w:val="en-US"/>
        </w:rPr>
        <w:t xml:space="preserve"> and </w:t>
      </w:r>
      <w:r w:rsidR="0087695C" w:rsidRPr="00A50E4D">
        <w:rPr>
          <w:lang w:val="en-US"/>
        </w:rPr>
        <w:t xml:space="preserve">to reimburse </w:t>
      </w:r>
      <w:r w:rsidR="00F814CB" w:rsidRPr="00A50E4D">
        <w:rPr>
          <w:lang w:val="en-US"/>
        </w:rPr>
        <w:t>costs and expenses</w:t>
      </w:r>
      <w:r w:rsidR="007A5DB4" w:rsidRPr="00A50E4D">
        <w:rPr>
          <w:lang w:val="en-US"/>
        </w:rPr>
        <w:t xml:space="preserve"> establ</w:t>
      </w:r>
      <w:r w:rsidR="0087695C" w:rsidRPr="00A50E4D">
        <w:rPr>
          <w:lang w:val="en-US"/>
        </w:rPr>
        <w:t xml:space="preserve">ished in this judgment directly to the persons </w:t>
      </w:r>
      <w:r w:rsidR="0087695C" w:rsidRPr="00A50E4D">
        <w:rPr>
          <w:lang w:val="en-US"/>
        </w:rPr>
        <w:lastRenderedPageBreak/>
        <w:t xml:space="preserve">indicated herein, within one year </w:t>
      </w:r>
      <w:r w:rsidR="00F814CB" w:rsidRPr="00A50E4D">
        <w:rPr>
          <w:lang w:val="en-US"/>
        </w:rPr>
        <w:t xml:space="preserve">of notification </w:t>
      </w:r>
      <w:r w:rsidR="00FF35A9" w:rsidRPr="00A50E4D">
        <w:rPr>
          <w:lang w:val="en-US"/>
        </w:rPr>
        <w:t xml:space="preserve">of </w:t>
      </w:r>
      <w:r w:rsidR="00F814CB" w:rsidRPr="00A50E4D">
        <w:rPr>
          <w:lang w:val="en-US"/>
        </w:rPr>
        <w:t>this judgment</w:t>
      </w:r>
      <w:r w:rsidR="007A5DB4" w:rsidRPr="00A50E4D">
        <w:rPr>
          <w:lang w:val="en-US"/>
        </w:rPr>
        <w:t xml:space="preserve">, </w:t>
      </w:r>
      <w:r w:rsidR="0087695C" w:rsidRPr="00A50E4D">
        <w:rPr>
          <w:lang w:val="en-US"/>
        </w:rPr>
        <w:t>without prejudice to making the complete payment at an earlier date.</w:t>
      </w:r>
      <w:bookmarkEnd w:id="503"/>
    </w:p>
    <w:p w14:paraId="37AAB571" w14:textId="77777777" w:rsidR="007A5DB4" w:rsidRPr="00A50E4D" w:rsidRDefault="007A5DB4" w:rsidP="007A5DB4">
      <w:pPr>
        <w:pStyle w:val="PrrafodeSentencia"/>
        <w:numPr>
          <w:ilvl w:val="0"/>
          <w:numId w:val="0"/>
        </w:numPr>
        <w:rPr>
          <w:lang w:val="en-US"/>
        </w:rPr>
      </w:pPr>
    </w:p>
    <w:p w14:paraId="2AFF78E2" w14:textId="59AB59F1" w:rsidR="007A5DB4" w:rsidRPr="00A50E4D" w:rsidRDefault="004519A2" w:rsidP="007A5DB4">
      <w:pPr>
        <w:pStyle w:val="PrrafodeSentencia"/>
        <w:rPr>
          <w:b/>
          <w:lang w:val="en-US"/>
        </w:rPr>
      </w:pPr>
      <w:r w:rsidRPr="00A50E4D">
        <w:rPr>
          <w:lang w:val="en-US"/>
        </w:rPr>
        <w:t>If the beneficiaries have died or</w:t>
      </w:r>
      <w:r w:rsidR="0087695C" w:rsidRPr="00A50E4D">
        <w:rPr>
          <w:lang w:val="en-US"/>
        </w:rPr>
        <w:t xml:space="preserve"> die before they rec</w:t>
      </w:r>
      <w:r w:rsidRPr="00A50E4D">
        <w:rPr>
          <w:lang w:val="en-US"/>
        </w:rPr>
        <w:t>eive the corresponding</w:t>
      </w:r>
      <w:r w:rsidR="0087695C" w:rsidRPr="00A50E4D">
        <w:rPr>
          <w:lang w:val="en-US"/>
        </w:rPr>
        <w:t xml:space="preserve"> amount, this shall be delivered directly to their heirs, in accordance with the applicable domestic law.</w:t>
      </w:r>
    </w:p>
    <w:p w14:paraId="25CD3EDC" w14:textId="77777777" w:rsidR="007A5DB4" w:rsidRPr="00A50E4D" w:rsidRDefault="007A5DB4" w:rsidP="007A5DB4">
      <w:pPr>
        <w:pStyle w:val="PrrafodeSentencia"/>
        <w:numPr>
          <w:ilvl w:val="0"/>
          <w:numId w:val="0"/>
        </w:numPr>
        <w:rPr>
          <w:lang w:val="en-US"/>
        </w:rPr>
      </w:pPr>
    </w:p>
    <w:p w14:paraId="4DF13FB5" w14:textId="133C490E" w:rsidR="007A5DB4" w:rsidRPr="00A50E4D" w:rsidRDefault="009808C5" w:rsidP="007A5DB4">
      <w:pPr>
        <w:pStyle w:val="PrrafodeSentencia"/>
        <w:rPr>
          <w:b/>
          <w:lang w:val="en-US"/>
        </w:rPr>
      </w:pPr>
      <w:r w:rsidRPr="00A50E4D">
        <w:rPr>
          <w:lang w:val="en-US"/>
        </w:rPr>
        <w:t>The State</w:t>
      </w:r>
      <w:r w:rsidR="007A5DB4" w:rsidRPr="00A50E4D">
        <w:rPr>
          <w:lang w:val="en-US"/>
        </w:rPr>
        <w:t xml:space="preserve"> </w:t>
      </w:r>
      <w:r w:rsidR="0087695C" w:rsidRPr="00A50E4D">
        <w:rPr>
          <w:lang w:val="en-US"/>
        </w:rPr>
        <w:t xml:space="preserve">shall comply with its monetary obligations by payment in </w:t>
      </w:r>
      <w:r w:rsidR="00A45503" w:rsidRPr="00A50E4D">
        <w:rPr>
          <w:lang w:val="en-US"/>
        </w:rPr>
        <w:t>United States dollars</w:t>
      </w:r>
      <w:r w:rsidR="007A5DB4" w:rsidRPr="00A50E4D">
        <w:rPr>
          <w:lang w:val="en-US"/>
        </w:rPr>
        <w:t xml:space="preserve"> o</w:t>
      </w:r>
      <w:r w:rsidR="0087695C" w:rsidRPr="00A50E4D">
        <w:rPr>
          <w:lang w:val="en-US"/>
        </w:rPr>
        <w:t>r the equivalent in local currency, using the exchange rate in force on the New Y</w:t>
      </w:r>
      <w:r w:rsidR="003E41F4" w:rsidRPr="00A50E4D">
        <w:rPr>
          <w:lang w:val="en-US"/>
        </w:rPr>
        <w:t>ork</w:t>
      </w:r>
      <w:r w:rsidR="004519A2" w:rsidRPr="00A50E4D">
        <w:rPr>
          <w:lang w:val="en-US"/>
        </w:rPr>
        <w:t xml:space="preserve"> Stock Exchange</w:t>
      </w:r>
      <w:r w:rsidR="003E41F4" w:rsidRPr="00A50E4D">
        <w:rPr>
          <w:lang w:val="en-US"/>
        </w:rPr>
        <w:t xml:space="preserve"> </w:t>
      </w:r>
      <w:r w:rsidR="004519A2" w:rsidRPr="00A50E4D">
        <w:rPr>
          <w:lang w:val="en-US"/>
        </w:rPr>
        <w:t>(</w:t>
      </w:r>
      <w:r w:rsidR="003E41F4" w:rsidRPr="00A50E4D">
        <w:rPr>
          <w:lang w:val="en-US"/>
        </w:rPr>
        <w:t>United States</w:t>
      </w:r>
      <w:r w:rsidR="004519A2" w:rsidRPr="00A50E4D">
        <w:rPr>
          <w:lang w:val="en-US"/>
        </w:rPr>
        <w:t>)</w:t>
      </w:r>
      <w:r w:rsidR="003E41F4" w:rsidRPr="00A50E4D">
        <w:rPr>
          <w:lang w:val="en-US"/>
        </w:rPr>
        <w:t xml:space="preserve">, </w:t>
      </w:r>
      <w:r w:rsidR="004519A2" w:rsidRPr="00A50E4D">
        <w:rPr>
          <w:lang w:val="en-US"/>
        </w:rPr>
        <w:t xml:space="preserve">the day before </w:t>
      </w:r>
      <w:r w:rsidR="0087695C" w:rsidRPr="00A50E4D">
        <w:rPr>
          <w:lang w:val="en-US"/>
        </w:rPr>
        <w:t>payment</w:t>
      </w:r>
      <w:r w:rsidR="007A5DB4" w:rsidRPr="00A50E4D">
        <w:rPr>
          <w:lang w:val="en-US"/>
        </w:rPr>
        <w:t>.</w:t>
      </w:r>
    </w:p>
    <w:p w14:paraId="3B25EF07" w14:textId="77777777" w:rsidR="007A5DB4" w:rsidRPr="00A50E4D" w:rsidRDefault="007A5DB4" w:rsidP="007A5DB4">
      <w:pPr>
        <w:pStyle w:val="PrrafodeSentencia"/>
        <w:numPr>
          <w:ilvl w:val="0"/>
          <w:numId w:val="0"/>
        </w:numPr>
        <w:rPr>
          <w:lang w:val="en-US"/>
        </w:rPr>
      </w:pPr>
    </w:p>
    <w:p w14:paraId="394FA514" w14:textId="4AB7C8A3" w:rsidR="007A5DB4" w:rsidRPr="00A50E4D" w:rsidRDefault="0087695C" w:rsidP="007A5DB4">
      <w:pPr>
        <w:pStyle w:val="PrrafodeSentencia"/>
        <w:rPr>
          <w:b/>
          <w:lang w:val="en-US"/>
        </w:rPr>
      </w:pPr>
      <w:r w:rsidRPr="00A50E4D">
        <w:rPr>
          <w:lang w:val="en-US"/>
        </w:rPr>
        <w:t xml:space="preserve">If, for reasons that can be attributed to a </w:t>
      </w:r>
      <w:r w:rsidR="000A786A" w:rsidRPr="00A50E4D">
        <w:rPr>
          <w:lang w:val="en-US"/>
        </w:rPr>
        <w:t>beneficiary</w:t>
      </w:r>
      <w:r w:rsidRPr="00A50E4D">
        <w:rPr>
          <w:lang w:val="en-US"/>
        </w:rPr>
        <w:t xml:space="preserve"> of the compensation or his or her heirs, it is not possible to pay the amounts established within the term indicated, the State shall deposit such amounts in his or her favor in an account or certificate of deposit in a solvent Honduran financial institution, in </w:t>
      </w:r>
      <w:r w:rsidR="00A45503" w:rsidRPr="00A50E4D">
        <w:rPr>
          <w:lang w:val="en-US"/>
        </w:rPr>
        <w:t>United States dollars</w:t>
      </w:r>
      <w:r w:rsidR="007A5DB4" w:rsidRPr="00A50E4D">
        <w:rPr>
          <w:lang w:val="en-US"/>
        </w:rPr>
        <w:t>,</w:t>
      </w:r>
      <w:r w:rsidR="009808C5" w:rsidRPr="00A50E4D">
        <w:rPr>
          <w:lang w:val="en-US"/>
        </w:rPr>
        <w:t xml:space="preserve"> and </w:t>
      </w:r>
      <w:r w:rsidRPr="00A50E4D">
        <w:rPr>
          <w:lang w:val="en-US"/>
        </w:rPr>
        <w:t>in the most favorable financial conditions allowed by the State’s banking law and practice. If, after ten years, the compensation has not been claimed, the amounts shall be returned to the State with the interest accrued</w:t>
      </w:r>
      <w:r w:rsidR="007A5DB4" w:rsidRPr="00A50E4D">
        <w:rPr>
          <w:lang w:val="en-US"/>
        </w:rPr>
        <w:t>.</w:t>
      </w:r>
    </w:p>
    <w:p w14:paraId="3F7CB952" w14:textId="77777777" w:rsidR="007A5DB4" w:rsidRPr="00A50E4D" w:rsidRDefault="007A5DB4" w:rsidP="007A5DB4">
      <w:pPr>
        <w:pStyle w:val="PrrafodeSentencia"/>
        <w:numPr>
          <w:ilvl w:val="0"/>
          <w:numId w:val="0"/>
        </w:numPr>
        <w:rPr>
          <w:lang w:val="en-US"/>
        </w:rPr>
      </w:pPr>
    </w:p>
    <w:p w14:paraId="2EDE5C73" w14:textId="0ACB4DD2" w:rsidR="007A5DB4" w:rsidRPr="00A50E4D" w:rsidRDefault="0087695C" w:rsidP="007A5DB4">
      <w:pPr>
        <w:pStyle w:val="PrrafodeSentencia"/>
        <w:rPr>
          <w:b/>
          <w:lang w:val="en-US"/>
        </w:rPr>
      </w:pPr>
      <w:r w:rsidRPr="00A50E4D">
        <w:rPr>
          <w:lang w:val="en-US"/>
        </w:rPr>
        <w:t>The amounts assigned in this judgment as compensation for</w:t>
      </w:r>
      <w:r w:rsidR="007A5DB4" w:rsidRPr="00A50E4D">
        <w:rPr>
          <w:lang w:val="en-US"/>
        </w:rPr>
        <w:t xml:space="preserve"> </w:t>
      </w:r>
      <w:r w:rsidR="00F814CB" w:rsidRPr="00A50E4D">
        <w:rPr>
          <w:lang w:val="en-US"/>
        </w:rPr>
        <w:t>pecuniary and non-pecuniary damage</w:t>
      </w:r>
      <w:r w:rsidR="007A5DB4" w:rsidRPr="00A50E4D">
        <w:rPr>
          <w:lang w:val="en-US"/>
        </w:rPr>
        <w:t>,</w:t>
      </w:r>
      <w:r w:rsidR="009808C5" w:rsidRPr="00A50E4D">
        <w:rPr>
          <w:lang w:val="en-US"/>
        </w:rPr>
        <w:t xml:space="preserve"> and </w:t>
      </w:r>
      <w:r w:rsidRPr="00A50E4D">
        <w:rPr>
          <w:lang w:val="en-US"/>
        </w:rPr>
        <w:t xml:space="preserve">to reimburse </w:t>
      </w:r>
      <w:r w:rsidR="00F814CB" w:rsidRPr="00A50E4D">
        <w:rPr>
          <w:lang w:val="en-US"/>
        </w:rPr>
        <w:t>costs and expenses</w:t>
      </w:r>
      <w:r w:rsidR="007A5DB4" w:rsidRPr="00A50E4D">
        <w:rPr>
          <w:lang w:val="en-US"/>
        </w:rPr>
        <w:t xml:space="preserve"> </w:t>
      </w:r>
      <w:r w:rsidRPr="00A50E4D">
        <w:rPr>
          <w:lang w:val="en-US"/>
        </w:rPr>
        <w:t xml:space="preserve">shall be delivered to the persons indicated integrally, as </w:t>
      </w:r>
      <w:r w:rsidR="00884A7E" w:rsidRPr="00A50E4D">
        <w:rPr>
          <w:lang w:val="en-US"/>
        </w:rPr>
        <w:t>established in</w:t>
      </w:r>
      <w:r w:rsidR="007A5DB4" w:rsidRPr="00A50E4D">
        <w:rPr>
          <w:lang w:val="en-US"/>
        </w:rPr>
        <w:t xml:space="preserve"> </w:t>
      </w:r>
      <w:r w:rsidRPr="00A50E4D">
        <w:rPr>
          <w:lang w:val="en-US"/>
        </w:rPr>
        <w:t>this judgment</w:t>
      </w:r>
      <w:r w:rsidR="007A5DB4" w:rsidRPr="00A50E4D">
        <w:rPr>
          <w:lang w:val="en-US"/>
        </w:rPr>
        <w:t xml:space="preserve">, </w:t>
      </w:r>
      <w:r w:rsidRPr="00A50E4D">
        <w:rPr>
          <w:lang w:val="en-US"/>
        </w:rPr>
        <w:t>with</w:t>
      </w:r>
      <w:r w:rsidR="004519A2" w:rsidRPr="00A50E4D">
        <w:rPr>
          <w:lang w:val="en-US"/>
        </w:rPr>
        <w:t>out</w:t>
      </w:r>
      <w:r w:rsidRPr="00A50E4D">
        <w:rPr>
          <w:lang w:val="en-US"/>
        </w:rPr>
        <w:t xml:space="preserve"> any </w:t>
      </w:r>
      <w:r w:rsidR="000A786A" w:rsidRPr="00A50E4D">
        <w:rPr>
          <w:lang w:val="en-US"/>
        </w:rPr>
        <w:t>deductions</w:t>
      </w:r>
      <w:r w:rsidRPr="00A50E4D">
        <w:rPr>
          <w:lang w:val="en-US"/>
        </w:rPr>
        <w:t xml:space="preserve"> resulting from possible taxes or charges.</w:t>
      </w:r>
    </w:p>
    <w:p w14:paraId="238D8391" w14:textId="77777777" w:rsidR="007A5DB4" w:rsidRPr="00A50E4D" w:rsidRDefault="007A5DB4" w:rsidP="007A5DB4">
      <w:pPr>
        <w:pStyle w:val="PrrafodeSentencia"/>
        <w:numPr>
          <w:ilvl w:val="0"/>
          <w:numId w:val="0"/>
        </w:numPr>
        <w:rPr>
          <w:lang w:val="en-US"/>
        </w:rPr>
      </w:pPr>
    </w:p>
    <w:p w14:paraId="06FD18B6" w14:textId="6FD9DE4D" w:rsidR="00DB79D4" w:rsidRPr="00A50E4D" w:rsidRDefault="0087695C" w:rsidP="007A5DB4">
      <w:pPr>
        <w:pStyle w:val="PrrafodeSentencia"/>
        <w:rPr>
          <w:lang w:val="en-US"/>
        </w:rPr>
      </w:pPr>
      <w:bookmarkStart w:id="504" w:name="_Ref419394076"/>
      <w:r w:rsidRPr="00A50E4D">
        <w:rPr>
          <w:lang w:val="en-US"/>
        </w:rPr>
        <w:t xml:space="preserve">If the State should incur delay, it shall pay interest on the amount owed corresponding to banking interest on </w:t>
      </w:r>
      <w:r w:rsidR="000A786A" w:rsidRPr="00A50E4D">
        <w:rPr>
          <w:lang w:val="en-US"/>
        </w:rPr>
        <w:t>arrears</w:t>
      </w:r>
      <w:r w:rsidRPr="00A50E4D">
        <w:rPr>
          <w:lang w:val="en-US"/>
        </w:rPr>
        <w:t xml:space="preserve"> in </w:t>
      </w:r>
      <w:r w:rsidR="00A3368B" w:rsidRPr="00A50E4D">
        <w:rPr>
          <w:lang w:val="en-US"/>
        </w:rPr>
        <w:t>the Republic of</w:t>
      </w:r>
      <w:r w:rsidR="007A5DB4" w:rsidRPr="00A50E4D">
        <w:rPr>
          <w:lang w:val="en-US"/>
        </w:rPr>
        <w:t xml:space="preserve"> Honduras.</w:t>
      </w:r>
      <w:bookmarkEnd w:id="504"/>
    </w:p>
    <w:p w14:paraId="36A9B916" w14:textId="77777777" w:rsidR="00512B60" w:rsidRPr="00A50E4D" w:rsidRDefault="00512B60" w:rsidP="007F5EA0">
      <w:pPr>
        <w:rPr>
          <w:lang w:val="en-US" w:eastAsia="es-MX"/>
        </w:rPr>
      </w:pPr>
    </w:p>
    <w:p w14:paraId="282E58F6" w14:textId="77777777" w:rsidR="00DB79D4" w:rsidRPr="00A50E4D" w:rsidRDefault="00FC38CE" w:rsidP="00D010F9">
      <w:pPr>
        <w:pStyle w:val="Heading1"/>
        <w:spacing w:before="20" w:after="20"/>
        <w:rPr>
          <w:lang w:val="en-US"/>
        </w:rPr>
      </w:pPr>
      <w:bookmarkStart w:id="505" w:name="_Toc471717317"/>
      <w:bookmarkStart w:id="506" w:name="_Toc405857942"/>
      <w:bookmarkStart w:id="507" w:name="_Toc405774739"/>
      <w:bookmarkStart w:id="508" w:name="_Toc403671546"/>
      <w:bookmarkStart w:id="509" w:name="_Toc403670809"/>
      <w:bookmarkStart w:id="510" w:name="_Toc402039529"/>
      <w:r w:rsidRPr="00A50E4D">
        <w:rPr>
          <w:lang w:val="en-US"/>
        </w:rPr>
        <w:t>IX</w:t>
      </w:r>
      <w:bookmarkEnd w:id="505"/>
    </w:p>
    <w:p w14:paraId="15179249" w14:textId="7A9F2882" w:rsidR="00DB79D4" w:rsidRPr="00A50E4D" w:rsidRDefault="00A45503" w:rsidP="00D010F9">
      <w:pPr>
        <w:pStyle w:val="Heading1"/>
        <w:spacing w:before="20" w:after="20"/>
        <w:rPr>
          <w:lang w:val="en-US"/>
        </w:rPr>
      </w:pPr>
      <w:bookmarkStart w:id="511" w:name="_Toc471717318"/>
      <w:r w:rsidRPr="00A50E4D">
        <w:rPr>
          <w:lang w:val="en-US"/>
        </w:rPr>
        <w:t>OPERATIVE PARAGRAPHS</w:t>
      </w:r>
      <w:bookmarkEnd w:id="506"/>
      <w:bookmarkEnd w:id="507"/>
      <w:bookmarkEnd w:id="508"/>
      <w:bookmarkEnd w:id="509"/>
      <w:bookmarkEnd w:id="510"/>
      <w:bookmarkEnd w:id="511"/>
      <w:r w:rsidR="00DB79D4" w:rsidRPr="00A50E4D">
        <w:rPr>
          <w:lang w:val="en-US"/>
        </w:rPr>
        <w:t xml:space="preserve"> </w:t>
      </w:r>
    </w:p>
    <w:p w14:paraId="4453C7D8" w14:textId="77777777" w:rsidR="00DB79D4" w:rsidRPr="00A50E4D" w:rsidRDefault="00DB79D4" w:rsidP="00D010F9">
      <w:pPr>
        <w:spacing w:before="20" w:after="20"/>
        <w:rPr>
          <w:lang w:val="en-US"/>
        </w:rPr>
      </w:pPr>
    </w:p>
    <w:p w14:paraId="5D2694B1" w14:textId="457C8E03" w:rsidR="00BF57ED" w:rsidRPr="00A50E4D" w:rsidRDefault="00A45503" w:rsidP="00A34945">
      <w:pPr>
        <w:pStyle w:val="PrrafodeSentencia"/>
        <w:rPr>
          <w:b/>
          <w:lang w:val="en-US"/>
        </w:rPr>
      </w:pPr>
      <w:r w:rsidRPr="00A50E4D">
        <w:rPr>
          <w:spacing w:val="-2"/>
          <w:lang w:val="en-US"/>
        </w:rPr>
        <w:t>Therefore</w:t>
      </w:r>
      <w:r w:rsidR="00BF57ED" w:rsidRPr="00A50E4D">
        <w:rPr>
          <w:spacing w:val="-2"/>
          <w:lang w:val="en-US"/>
        </w:rPr>
        <w:t xml:space="preserve">, </w:t>
      </w:r>
    </w:p>
    <w:p w14:paraId="2C23215E" w14:textId="77777777" w:rsidR="00BF57ED" w:rsidRPr="00A50E4D" w:rsidRDefault="00BF57ED" w:rsidP="00A34945">
      <w:pPr>
        <w:tabs>
          <w:tab w:val="left" w:pos="567"/>
        </w:tabs>
        <w:autoSpaceDE w:val="0"/>
        <w:autoSpaceDN w:val="0"/>
        <w:adjustRightInd w:val="0"/>
        <w:contextualSpacing/>
        <w:rPr>
          <w:rFonts w:cs="Verdana"/>
          <w:spacing w:val="-2"/>
          <w:szCs w:val="20"/>
          <w:lang w:val="en-US"/>
        </w:rPr>
      </w:pPr>
    </w:p>
    <w:p w14:paraId="5AC3EF89" w14:textId="27E3C331" w:rsidR="00BF57ED" w:rsidRPr="00A50E4D" w:rsidRDefault="009808C5" w:rsidP="00E17423">
      <w:pPr>
        <w:tabs>
          <w:tab w:val="left" w:pos="567"/>
          <w:tab w:val="left" w:pos="720"/>
        </w:tabs>
        <w:spacing w:before="20" w:after="20"/>
        <w:rPr>
          <w:rFonts w:cs="Verdana"/>
          <w:b/>
          <w:spacing w:val="-2"/>
          <w:szCs w:val="20"/>
          <w:lang w:val="en-US"/>
        </w:rPr>
      </w:pPr>
      <w:r w:rsidRPr="00A50E4D">
        <w:rPr>
          <w:rFonts w:cs="Verdana"/>
          <w:b/>
          <w:spacing w:val="-2"/>
          <w:szCs w:val="20"/>
          <w:lang w:val="en-US"/>
        </w:rPr>
        <w:t>THE COURT</w:t>
      </w:r>
      <w:r w:rsidR="00BF57ED" w:rsidRPr="00A50E4D">
        <w:rPr>
          <w:rFonts w:cs="Verdana"/>
          <w:b/>
          <w:spacing w:val="-2"/>
          <w:szCs w:val="20"/>
          <w:lang w:val="en-US"/>
        </w:rPr>
        <w:t xml:space="preserve"> </w:t>
      </w:r>
    </w:p>
    <w:p w14:paraId="29C93330" w14:textId="77777777" w:rsidR="00BF57ED" w:rsidRPr="00A50E4D" w:rsidRDefault="00BF57ED" w:rsidP="00E17423">
      <w:pPr>
        <w:tabs>
          <w:tab w:val="left" w:pos="567"/>
          <w:tab w:val="left" w:pos="720"/>
        </w:tabs>
        <w:spacing w:before="20" w:after="20"/>
        <w:rPr>
          <w:rFonts w:cs="Verdana"/>
          <w:b/>
          <w:spacing w:val="-2"/>
          <w:szCs w:val="20"/>
          <w:lang w:val="en-US"/>
        </w:rPr>
      </w:pPr>
    </w:p>
    <w:p w14:paraId="26BD78CE" w14:textId="77780E6D" w:rsidR="00BF57ED" w:rsidRPr="00A50E4D" w:rsidRDefault="00BF57ED" w:rsidP="00E17423">
      <w:pPr>
        <w:tabs>
          <w:tab w:val="left" w:pos="567"/>
          <w:tab w:val="left" w:pos="720"/>
        </w:tabs>
        <w:spacing w:before="20" w:after="20"/>
        <w:rPr>
          <w:rFonts w:cs="Verdana"/>
          <w:b/>
          <w:spacing w:val="-2"/>
          <w:szCs w:val="20"/>
          <w:lang w:val="en-US"/>
        </w:rPr>
      </w:pPr>
      <w:r w:rsidRPr="00A50E4D">
        <w:rPr>
          <w:rFonts w:cs="Verdana"/>
          <w:b/>
          <w:spacing w:val="-2"/>
          <w:szCs w:val="20"/>
          <w:lang w:val="en-US"/>
        </w:rPr>
        <w:t>DECIDE</w:t>
      </w:r>
      <w:r w:rsidR="00A45503" w:rsidRPr="00A50E4D">
        <w:rPr>
          <w:rFonts w:cs="Verdana"/>
          <w:b/>
          <w:spacing w:val="-2"/>
          <w:szCs w:val="20"/>
          <w:lang w:val="en-US"/>
        </w:rPr>
        <w:t>S</w:t>
      </w:r>
      <w:r w:rsidRPr="00A50E4D">
        <w:rPr>
          <w:rFonts w:cs="Verdana"/>
          <w:b/>
          <w:spacing w:val="-2"/>
          <w:szCs w:val="20"/>
          <w:lang w:val="en-US"/>
        </w:rPr>
        <w:t xml:space="preserve">, </w:t>
      </w:r>
    </w:p>
    <w:p w14:paraId="4DD02B6F" w14:textId="77777777" w:rsidR="00BF57ED" w:rsidRPr="00A50E4D" w:rsidRDefault="00BF57ED" w:rsidP="00E17423">
      <w:pPr>
        <w:tabs>
          <w:tab w:val="left" w:pos="567"/>
          <w:tab w:val="left" w:pos="720"/>
        </w:tabs>
        <w:spacing w:before="20" w:after="20"/>
        <w:rPr>
          <w:rFonts w:cs="Verdana"/>
          <w:spacing w:val="-2"/>
          <w:szCs w:val="20"/>
          <w:lang w:val="en-US"/>
        </w:rPr>
      </w:pPr>
    </w:p>
    <w:p w14:paraId="461F2ECB" w14:textId="58261467" w:rsidR="00BF57ED" w:rsidRPr="00A50E4D" w:rsidRDefault="00A45503" w:rsidP="00E17423">
      <w:pPr>
        <w:tabs>
          <w:tab w:val="left" w:pos="567"/>
          <w:tab w:val="left" w:pos="720"/>
        </w:tabs>
        <w:spacing w:before="20" w:after="20"/>
        <w:rPr>
          <w:rFonts w:cs="Verdana"/>
          <w:spacing w:val="-2"/>
          <w:szCs w:val="20"/>
          <w:lang w:val="en-US"/>
        </w:rPr>
      </w:pPr>
      <w:r w:rsidRPr="00A50E4D">
        <w:rPr>
          <w:rFonts w:cs="Verdana"/>
          <w:spacing w:val="-2"/>
          <w:szCs w:val="20"/>
          <w:lang w:val="en-US"/>
        </w:rPr>
        <w:t>unanimously</w:t>
      </w:r>
      <w:r w:rsidR="00BF57ED" w:rsidRPr="00A50E4D">
        <w:rPr>
          <w:rFonts w:cs="Verdana"/>
          <w:spacing w:val="-2"/>
          <w:szCs w:val="20"/>
          <w:lang w:val="en-US"/>
        </w:rPr>
        <w:t xml:space="preserve">, </w:t>
      </w:r>
    </w:p>
    <w:p w14:paraId="35530A0C" w14:textId="77777777" w:rsidR="00BF57ED" w:rsidRPr="00A50E4D" w:rsidRDefault="00BF57ED" w:rsidP="00E17423">
      <w:pPr>
        <w:tabs>
          <w:tab w:val="left" w:pos="567"/>
        </w:tabs>
        <w:autoSpaceDE w:val="0"/>
        <w:autoSpaceDN w:val="0"/>
        <w:spacing w:before="20" w:after="20"/>
        <w:rPr>
          <w:rFonts w:eastAsia="Times" w:cs="Arial"/>
          <w:color w:val="000000"/>
          <w:spacing w:val="-2"/>
          <w:szCs w:val="20"/>
          <w:lang w:val="en-US"/>
        </w:rPr>
      </w:pPr>
    </w:p>
    <w:p w14:paraId="4DB54234" w14:textId="6696E22F" w:rsidR="00BF57ED" w:rsidRPr="00A50E4D" w:rsidRDefault="00A45503" w:rsidP="00E17423">
      <w:pPr>
        <w:numPr>
          <w:ilvl w:val="0"/>
          <w:numId w:val="13"/>
        </w:numPr>
        <w:tabs>
          <w:tab w:val="left" w:pos="567"/>
        </w:tabs>
        <w:autoSpaceDE w:val="0"/>
        <w:autoSpaceDN w:val="0"/>
        <w:spacing w:before="20" w:after="20"/>
        <w:ind w:left="0" w:firstLine="0"/>
        <w:rPr>
          <w:rFonts w:cs="Arial"/>
          <w:color w:val="000000"/>
          <w:spacing w:val="-2"/>
          <w:szCs w:val="20"/>
          <w:lang w:val="en-US"/>
        </w:rPr>
      </w:pPr>
      <w:r w:rsidRPr="00A50E4D">
        <w:rPr>
          <w:rFonts w:eastAsia="Times" w:cs="Arial"/>
          <w:color w:val="000000"/>
          <w:spacing w:val="-2"/>
          <w:szCs w:val="20"/>
          <w:lang w:val="en-US"/>
        </w:rPr>
        <w:t xml:space="preserve">To reject the </w:t>
      </w:r>
      <w:r w:rsidR="009808C5" w:rsidRPr="00A50E4D">
        <w:rPr>
          <w:rFonts w:eastAsia="Times" w:cs="Arial"/>
          <w:color w:val="000000"/>
          <w:spacing w:val="-2"/>
          <w:szCs w:val="20"/>
          <w:lang w:val="en-US"/>
        </w:rPr>
        <w:t>preliminary objection</w:t>
      </w:r>
      <w:r w:rsidR="00BF57ED" w:rsidRPr="00A50E4D">
        <w:rPr>
          <w:rFonts w:eastAsia="Times" w:cs="Arial"/>
          <w:color w:val="000000"/>
          <w:spacing w:val="-2"/>
          <w:szCs w:val="20"/>
          <w:lang w:val="en-US"/>
        </w:rPr>
        <w:t xml:space="preserve"> </w:t>
      </w:r>
      <w:r w:rsidRPr="00A50E4D">
        <w:rPr>
          <w:rFonts w:eastAsia="Times" w:cs="Arial"/>
          <w:color w:val="000000"/>
          <w:spacing w:val="-2"/>
          <w:szCs w:val="20"/>
          <w:lang w:val="en-US"/>
        </w:rPr>
        <w:t>filed by</w:t>
      </w:r>
      <w:r w:rsidR="00BF57ED" w:rsidRPr="00A50E4D">
        <w:rPr>
          <w:rFonts w:eastAsia="Times" w:cs="Arial"/>
          <w:color w:val="000000"/>
          <w:spacing w:val="-2"/>
          <w:szCs w:val="20"/>
          <w:lang w:val="en-US"/>
        </w:rPr>
        <w:t xml:space="preserve"> </w:t>
      </w:r>
      <w:r w:rsidR="009808C5" w:rsidRPr="00A50E4D">
        <w:rPr>
          <w:rFonts w:eastAsia="Times" w:cs="Arial"/>
          <w:color w:val="000000"/>
          <w:spacing w:val="-2"/>
          <w:szCs w:val="20"/>
          <w:lang w:val="en-US"/>
        </w:rPr>
        <w:t>the State</w:t>
      </w:r>
      <w:r w:rsidR="00BF57ED" w:rsidRPr="00A50E4D">
        <w:rPr>
          <w:rFonts w:eastAsia="Times" w:cs="Arial"/>
          <w:color w:val="000000"/>
          <w:spacing w:val="-2"/>
          <w:szCs w:val="20"/>
          <w:lang w:val="en-US"/>
        </w:rPr>
        <w:t xml:space="preserve"> </w:t>
      </w:r>
      <w:r w:rsidRPr="00A50E4D">
        <w:rPr>
          <w:rFonts w:eastAsia="Times" w:cs="Arial"/>
          <w:color w:val="000000"/>
          <w:spacing w:val="-2"/>
          <w:szCs w:val="20"/>
          <w:lang w:val="en-US"/>
        </w:rPr>
        <w:t xml:space="preserve">with regard to the exhaustion of domestic remedies, </w:t>
      </w:r>
      <w:r w:rsidRPr="00A50E4D">
        <w:rPr>
          <w:rFonts w:cs="Arial"/>
          <w:color w:val="000000"/>
          <w:spacing w:val="-2"/>
          <w:szCs w:val="20"/>
          <w:lang w:val="en-US"/>
        </w:rPr>
        <w:t>in the terms of</w:t>
      </w:r>
      <w:r w:rsidR="00BF57ED" w:rsidRPr="00A50E4D">
        <w:rPr>
          <w:rFonts w:cs="Arial"/>
          <w:color w:val="000000"/>
          <w:spacing w:val="-2"/>
          <w:szCs w:val="20"/>
          <w:lang w:val="en-US"/>
        </w:rPr>
        <w:t xml:space="preserve"> </w:t>
      </w:r>
      <w:r w:rsidR="00F814CB" w:rsidRPr="00A50E4D">
        <w:rPr>
          <w:rFonts w:cs="Arial"/>
          <w:color w:val="000000"/>
          <w:spacing w:val="-2"/>
          <w:szCs w:val="20"/>
          <w:lang w:val="en-US"/>
        </w:rPr>
        <w:t>paragraphs</w:t>
      </w:r>
      <w:r w:rsidR="00BF57ED" w:rsidRPr="00A50E4D">
        <w:rPr>
          <w:rFonts w:cs="Arial"/>
          <w:color w:val="000000"/>
          <w:spacing w:val="-2"/>
          <w:szCs w:val="20"/>
          <w:lang w:val="en-US"/>
        </w:rPr>
        <w:t xml:space="preserve"> </w:t>
      </w:r>
      <w:r w:rsidR="003B54A6" w:rsidRPr="00914F55">
        <w:rPr>
          <w:spacing w:val="-2"/>
          <w:szCs w:val="20"/>
          <w:lang w:val="en-US"/>
        </w:rPr>
        <w:fldChar w:fldCharType="begin"/>
      </w:r>
      <w:r w:rsidR="003B54A6" w:rsidRPr="00A50E4D">
        <w:rPr>
          <w:rFonts w:cs="Arial"/>
          <w:color w:val="000000"/>
          <w:spacing w:val="-2"/>
          <w:szCs w:val="20"/>
          <w:lang w:val="en-US"/>
        </w:rPr>
        <w:instrText xml:space="preserve"> REF _Ref431391501 \r \h </w:instrText>
      </w:r>
      <w:r w:rsidR="00AC1638" w:rsidRPr="00A50E4D">
        <w:rPr>
          <w:spacing w:val="-2"/>
          <w:szCs w:val="20"/>
          <w:lang w:val="en-US"/>
        </w:rPr>
        <w:instrText xml:space="preserve"> \* MERGEFORMAT </w:instrText>
      </w:r>
      <w:r w:rsidR="003B54A6" w:rsidRPr="00914F55">
        <w:rPr>
          <w:spacing w:val="-2"/>
          <w:szCs w:val="20"/>
          <w:lang w:val="en-US"/>
        </w:rPr>
      </w:r>
      <w:r w:rsidR="003B54A6" w:rsidRPr="00914F55">
        <w:rPr>
          <w:spacing w:val="-2"/>
          <w:szCs w:val="20"/>
          <w:lang w:val="en-US"/>
        </w:rPr>
        <w:fldChar w:fldCharType="separate"/>
      </w:r>
      <w:r w:rsidR="00547588">
        <w:rPr>
          <w:rFonts w:cs="Arial"/>
          <w:color w:val="000000"/>
          <w:spacing w:val="-2"/>
          <w:szCs w:val="20"/>
          <w:lang w:val="en-US"/>
        </w:rPr>
        <w:t>19</w:t>
      </w:r>
      <w:r w:rsidR="003B54A6" w:rsidRPr="00914F55">
        <w:rPr>
          <w:spacing w:val="-2"/>
          <w:szCs w:val="20"/>
          <w:lang w:val="en-US"/>
        </w:rPr>
        <w:fldChar w:fldCharType="end"/>
      </w:r>
      <w:r w:rsidRPr="00A50E4D">
        <w:rPr>
          <w:spacing w:val="-2"/>
          <w:szCs w:val="20"/>
          <w:lang w:val="en-US"/>
        </w:rPr>
        <w:t xml:space="preserve"> to</w:t>
      </w:r>
      <w:r w:rsidR="00BF57ED" w:rsidRPr="00A50E4D">
        <w:rPr>
          <w:spacing w:val="-2"/>
          <w:szCs w:val="20"/>
          <w:lang w:val="en-US"/>
        </w:rPr>
        <w:t xml:space="preserve"> </w:t>
      </w:r>
      <w:r w:rsidR="0003395B" w:rsidRPr="00914F55">
        <w:rPr>
          <w:spacing w:val="-2"/>
          <w:szCs w:val="20"/>
          <w:lang w:val="en-US"/>
        </w:rPr>
        <w:fldChar w:fldCharType="begin"/>
      </w:r>
      <w:r w:rsidR="0003395B" w:rsidRPr="00A50E4D">
        <w:rPr>
          <w:spacing w:val="-2"/>
          <w:szCs w:val="20"/>
          <w:lang w:val="en-US"/>
        </w:rPr>
        <w:instrText xml:space="preserve"> REF _Ref431392413 \r \h </w:instrText>
      </w:r>
      <w:r w:rsidR="00AC1638" w:rsidRPr="00A50E4D">
        <w:rPr>
          <w:spacing w:val="-2"/>
          <w:szCs w:val="20"/>
          <w:lang w:val="en-US"/>
        </w:rPr>
        <w:instrText xml:space="preserve"> \* MERGEFORMAT </w:instrText>
      </w:r>
      <w:r w:rsidR="0003395B" w:rsidRPr="00914F55">
        <w:rPr>
          <w:spacing w:val="-2"/>
          <w:szCs w:val="20"/>
          <w:lang w:val="en-US"/>
        </w:rPr>
      </w:r>
      <w:r w:rsidR="0003395B" w:rsidRPr="00914F55">
        <w:rPr>
          <w:spacing w:val="-2"/>
          <w:szCs w:val="20"/>
          <w:lang w:val="en-US"/>
        </w:rPr>
        <w:fldChar w:fldCharType="separate"/>
      </w:r>
      <w:r w:rsidR="00547588">
        <w:rPr>
          <w:spacing w:val="-2"/>
          <w:szCs w:val="20"/>
          <w:lang w:val="en-US"/>
        </w:rPr>
        <w:t>29</w:t>
      </w:r>
      <w:r w:rsidR="0003395B" w:rsidRPr="00914F55">
        <w:rPr>
          <w:spacing w:val="-2"/>
          <w:szCs w:val="20"/>
          <w:lang w:val="en-US"/>
        </w:rPr>
        <w:fldChar w:fldCharType="end"/>
      </w:r>
      <w:r w:rsidR="00FF35A9" w:rsidRPr="00A50E4D">
        <w:rPr>
          <w:spacing w:val="-2"/>
          <w:szCs w:val="20"/>
          <w:lang w:val="en-US"/>
        </w:rPr>
        <w:t xml:space="preserve"> of </w:t>
      </w:r>
      <w:r w:rsidR="00F814CB" w:rsidRPr="00A50E4D">
        <w:rPr>
          <w:spacing w:val="-2"/>
          <w:szCs w:val="20"/>
          <w:lang w:val="en-US"/>
        </w:rPr>
        <w:t>this judgment</w:t>
      </w:r>
      <w:r w:rsidR="00BF57ED" w:rsidRPr="00A50E4D">
        <w:rPr>
          <w:rFonts w:cs="Arial"/>
          <w:color w:val="000000"/>
          <w:spacing w:val="-2"/>
          <w:szCs w:val="20"/>
          <w:lang w:val="en-US"/>
        </w:rPr>
        <w:t>.</w:t>
      </w:r>
    </w:p>
    <w:p w14:paraId="3DB9A88C" w14:textId="77777777" w:rsidR="00BF57ED" w:rsidRPr="00A50E4D" w:rsidRDefault="00BF57ED" w:rsidP="00E17423">
      <w:pPr>
        <w:tabs>
          <w:tab w:val="left" w:pos="567"/>
        </w:tabs>
        <w:autoSpaceDE w:val="0"/>
        <w:autoSpaceDN w:val="0"/>
        <w:spacing w:before="20" w:after="20"/>
        <w:rPr>
          <w:rFonts w:cs="Arial"/>
          <w:color w:val="000000"/>
          <w:spacing w:val="-2"/>
          <w:szCs w:val="20"/>
          <w:lang w:val="en-US"/>
        </w:rPr>
      </w:pPr>
    </w:p>
    <w:p w14:paraId="1683CCAB" w14:textId="03D1B014" w:rsidR="00BF57ED" w:rsidRPr="00A50E4D" w:rsidRDefault="00A45503" w:rsidP="00E17423">
      <w:pPr>
        <w:tabs>
          <w:tab w:val="left" w:pos="567"/>
          <w:tab w:val="num" w:pos="630"/>
          <w:tab w:val="left" w:pos="720"/>
        </w:tabs>
        <w:spacing w:before="20" w:after="20"/>
        <w:rPr>
          <w:rFonts w:cs="Verdana"/>
          <w:b/>
          <w:spacing w:val="-2"/>
          <w:szCs w:val="20"/>
          <w:lang w:val="en-US"/>
        </w:rPr>
      </w:pPr>
      <w:r w:rsidRPr="00A50E4D">
        <w:rPr>
          <w:rFonts w:cs="Verdana"/>
          <w:b/>
          <w:spacing w:val="-2"/>
          <w:szCs w:val="20"/>
          <w:lang w:val="en-US"/>
        </w:rPr>
        <w:t>DECLARES</w:t>
      </w:r>
      <w:r w:rsidR="00BF57ED" w:rsidRPr="00A50E4D">
        <w:rPr>
          <w:rFonts w:cs="Verdana"/>
          <w:b/>
          <w:spacing w:val="-2"/>
          <w:szCs w:val="20"/>
          <w:lang w:val="en-US"/>
        </w:rPr>
        <w:t>,</w:t>
      </w:r>
    </w:p>
    <w:p w14:paraId="594F6C60" w14:textId="77777777" w:rsidR="00BF57ED" w:rsidRPr="00A50E4D" w:rsidRDefault="00BF57ED" w:rsidP="00E17423">
      <w:pPr>
        <w:tabs>
          <w:tab w:val="left" w:pos="567"/>
          <w:tab w:val="num" w:pos="630"/>
          <w:tab w:val="left" w:pos="720"/>
        </w:tabs>
        <w:spacing w:before="20" w:after="20"/>
        <w:rPr>
          <w:rFonts w:cs="Verdana"/>
          <w:b/>
          <w:spacing w:val="-2"/>
          <w:szCs w:val="20"/>
          <w:lang w:val="en-US"/>
        </w:rPr>
      </w:pPr>
    </w:p>
    <w:p w14:paraId="56FD77D0" w14:textId="626929DE" w:rsidR="00BF57ED" w:rsidRPr="00A50E4D" w:rsidRDefault="00A45503" w:rsidP="00E17423">
      <w:pPr>
        <w:tabs>
          <w:tab w:val="left" w:pos="567"/>
          <w:tab w:val="left" w:pos="720"/>
        </w:tabs>
        <w:spacing w:before="20" w:after="20"/>
        <w:rPr>
          <w:rFonts w:cs="Verdana"/>
          <w:spacing w:val="-2"/>
          <w:szCs w:val="20"/>
          <w:lang w:val="en-US"/>
        </w:rPr>
      </w:pPr>
      <w:r w:rsidRPr="00A50E4D">
        <w:rPr>
          <w:rFonts w:cs="Verdana"/>
          <w:spacing w:val="-2"/>
          <w:szCs w:val="20"/>
          <w:lang w:val="en-US"/>
        </w:rPr>
        <w:t>unanimously</w:t>
      </w:r>
      <w:r w:rsidR="00BF57ED" w:rsidRPr="00A50E4D">
        <w:rPr>
          <w:rFonts w:cs="Verdana"/>
          <w:spacing w:val="-2"/>
          <w:szCs w:val="20"/>
          <w:lang w:val="en-US"/>
        </w:rPr>
        <w:t xml:space="preserve">, </w:t>
      </w:r>
      <w:r w:rsidRPr="00A50E4D">
        <w:rPr>
          <w:rFonts w:cs="Verdana"/>
          <w:spacing w:val="-2"/>
          <w:szCs w:val="20"/>
          <w:lang w:val="en-US"/>
        </w:rPr>
        <w:t>that</w:t>
      </w:r>
      <w:r w:rsidR="00BF57ED" w:rsidRPr="00A50E4D">
        <w:rPr>
          <w:rFonts w:cs="Verdana"/>
          <w:spacing w:val="-2"/>
          <w:szCs w:val="20"/>
          <w:lang w:val="en-US"/>
        </w:rPr>
        <w:t>:</w:t>
      </w:r>
    </w:p>
    <w:p w14:paraId="54EA57B4" w14:textId="77777777" w:rsidR="00E50181" w:rsidRPr="00A50E4D" w:rsidRDefault="00E50181" w:rsidP="00E17423">
      <w:pPr>
        <w:tabs>
          <w:tab w:val="left" w:pos="567"/>
        </w:tabs>
        <w:autoSpaceDE w:val="0"/>
        <w:autoSpaceDN w:val="0"/>
        <w:spacing w:before="20" w:after="20"/>
        <w:rPr>
          <w:rFonts w:cs="Arial"/>
          <w:color w:val="000000"/>
          <w:spacing w:val="-4"/>
          <w:szCs w:val="20"/>
          <w:lang w:val="en-US"/>
        </w:rPr>
      </w:pPr>
    </w:p>
    <w:p w14:paraId="3D3378DF" w14:textId="54ABD3C4" w:rsidR="00E50181" w:rsidRPr="00A50E4D" w:rsidRDefault="009808C5" w:rsidP="00E17423">
      <w:pPr>
        <w:numPr>
          <w:ilvl w:val="0"/>
          <w:numId w:val="13"/>
        </w:numPr>
        <w:tabs>
          <w:tab w:val="left" w:pos="567"/>
        </w:tabs>
        <w:autoSpaceDE w:val="0"/>
        <w:autoSpaceDN w:val="0"/>
        <w:spacing w:before="20" w:after="20"/>
        <w:ind w:left="0" w:firstLine="0"/>
        <w:rPr>
          <w:rFonts w:cs="Arial"/>
          <w:color w:val="000000"/>
          <w:spacing w:val="-4"/>
          <w:szCs w:val="20"/>
          <w:lang w:val="en-US"/>
        </w:rPr>
      </w:pPr>
      <w:r w:rsidRPr="00A50E4D">
        <w:rPr>
          <w:spacing w:val="-4"/>
          <w:lang w:val="en-US"/>
        </w:rPr>
        <w:t>The State</w:t>
      </w:r>
      <w:r w:rsidR="00E50181" w:rsidRPr="00A50E4D">
        <w:rPr>
          <w:spacing w:val="-4"/>
          <w:lang w:val="en-US"/>
        </w:rPr>
        <w:t xml:space="preserve"> </w:t>
      </w:r>
      <w:r w:rsidR="00A45503" w:rsidRPr="00A50E4D">
        <w:rPr>
          <w:spacing w:val="-4"/>
          <w:lang w:val="en-US"/>
        </w:rPr>
        <w:t>is responsible for the violation of</w:t>
      </w:r>
      <w:r w:rsidR="00E37646" w:rsidRPr="00A50E4D">
        <w:rPr>
          <w:spacing w:val="-4"/>
          <w:lang w:val="en-US"/>
        </w:rPr>
        <w:t xml:space="preserve"> </w:t>
      </w:r>
      <w:r w:rsidRPr="00A50E4D">
        <w:rPr>
          <w:spacing w:val="-4"/>
          <w:lang w:val="en-US"/>
        </w:rPr>
        <w:t>Articles</w:t>
      </w:r>
      <w:r w:rsidR="00E37646" w:rsidRPr="00A50E4D">
        <w:rPr>
          <w:spacing w:val="-4"/>
          <w:lang w:val="en-US"/>
        </w:rPr>
        <w:t xml:space="preserve"> </w:t>
      </w:r>
      <w:r w:rsidR="00CD2874" w:rsidRPr="00A50E4D">
        <w:rPr>
          <w:spacing w:val="-4"/>
          <w:lang w:val="en-US"/>
        </w:rPr>
        <w:t>13(1)</w:t>
      </w:r>
      <w:r w:rsidR="00E37646" w:rsidRPr="00A50E4D">
        <w:rPr>
          <w:spacing w:val="-4"/>
          <w:lang w:val="en-US"/>
        </w:rPr>
        <w:t>, 15</w:t>
      </w:r>
      <w:r w:rsidRPr="00A50E4D">
        <w:rPr>
          <w:spacing w:val="-4"/>
          <w:lang w:val="en-US"/>
        </w:rPr>
        <w:t xml:space="preserve"> and </w:t>
      </w:r>
      <w:r w:rsidR="00E37646" w:rsidRPr="00A50E4D">
        <w:rPr>
          <w:spacing w:val="-4"/>
          <w:lang w:val="en-US"/>
        </w:rPr>
        <w:t>23</w:t>
      </w:r>
      <w:r w:rsidRPr="00A50E4D">
        <w:rPr>
          <w:spacing w:val="-4"/>
          <w:lang w:val="en-US"/>
        </w:rPr>
        <w:t xml:space="preserve"> of the American Convention</w:t>
      </w:r>
      <w:r w:rsidR="00E50181" w:rsidRPr="00A50E4D">
        <w:rPr>
          <w:spacing w:val="-4"/>
          <w:lang w:val="en-US"/>
        </w:rPr>
        <w:t xml:space="preserve">, </w:t>
      </w:r>
      <w:r w:rsidR="0048601C" w:rsidRPr="00A50E4D">
        <w:rPr>
          <w:spacing w:val="-4"/>
          <w:lang w:val="en-US"/>
        </w:rPr>
        <w:t>in relation to Article 1(1)</w:t>
      </w:r>
      <w:r w:rsidR="00FF35A9" w:rsidRPr="00A50E4D">
        <w:rPr>
          <w:spacing w:val="-4"/>
          <w:lang w:val="en-US"/>
        </w:rPr>
        <w:t xml:space="preserve"> </w:t>
      </w:r>
      <w:r w:rsidR="00A45503" w:rsidRPr="00A50E4D">
        <w:rPr>
          <w:spacing w:val="-4"/>
          <w:lang w:val="en-US"/>
        </w:rPr>
        <w:t>of this instrument</w:t>
      </w:r>
      <w:r w:rsidR="00E50181" w:rsidRPr="00A50E4D">
        <w:rPr>
          <w:spacing w:val="-4"/>
          <w:lang w:val="en-US"/>
        </w:rPr>
        <w:t xml:space="preserve">, </w:t>
      </w:r>
      <w:r w:rsidR="00A45503" w:rsidRPr="00A50E4D">
        <w:rPr>
          <w:spacing w:val="-4"/>
          <w:lang w:val="en-US"/>
        </w:rPr>
        <w:t>to the detriment of</w:t>
      </w:r>
      <w:r w:rsidR="00E50181" w:rsidRPr="00A50E4D">
        <w:rPr>
          <w:spacing w:val="-4"/>
          <w:lang w:val="en-US"/>
        </w:rPr>
        <w:t xml:space="preserve"> Adán Guillermo López Lone, </w:t>
      </w:r>
      <w:r w:rsidR="00A45503" w:rsidRPr="00A50E4D">
        <w:rPr>
          <w:spacing w:val="-4"/>
          <w:lang w:val="en-US"/>
        </w:rPr>
        <w:t>because the</w:t>
      </w:r>
      <w:r w:rsidR="00687A44" w:rsidRPr="00A50E4D">
        <w:rPr>
          <w:spacing w:val="-4"/>
          <w:lang w:val="en-US"/>
        </w:rPr>
        <w:t xml:space="preserve"> disciplinary proceeding</w:t>
      </w:r>
      <w:r w:rsidR="00E50181" w:rsidRPr="00A50E4D">
        <w:rPr>
          <w:spacing w:val="-4"/>
          <w:lang w:val="en-US"/>
        </w:rPr>
        <w:t xml:space="preserve"> </w:t>
      </w:r>
      <w:r w:rsidR="00A45503" w:rsidRPr="00A50E4D">
        <w:rPr>
          <w:spacing w:val="-4"/>
          <w:lang w:val="en-US"/>
        </w:rPr>
        <w:t>instituted against him and his subsequent dismissal</w:t>
      </w:r>
      <w:r w:rsidR="00E50181" w:rsidRPr="00A50E4D">
        <w:rPr>
          <w:spacing w:val="-4"/>
          <w:lang w:val="en-US"/>
        </w:rPr>
        <w:t xml:space="preserve"> </w:t>
      </w:r>
      <w:r w:rsidR="00A45503" w:rsidRPr="00A50E4D">
        <w:rPr>
          <w:spacing w:val="-4"/>
          <w:lang w:val="en-US"/>
        </w:rPr>
        <w:t>constituted an undue restriction of his</w:t>
      </w:r>
      <w:r w:rsidR="00E50181" w:rsidRPr="00A50E4D">
        <w:rPr>
          <w:spacing w:val="-4"/>
          <w:lang w:val="en-US"/>
        </w:rPr>
        <w:t xml:space="preserve"> </w:t>
      </w:r>
      <w:r w:rsidR="00371BB7" w:rsidRPr="00A50E4D">
        <w:rPr>
          <w:spacing w:val="-4"/>
          <w:lang w:val="en-US"/>
        </w:rPr>
        <w:t>freedom of expression</w:t>
      </w:r>
      <w:r w:rsidR="00E50181" w:rsidRPr="00A50E4D">
        <w:rPr>
          <w:spacing w:val="-4"/>
          <w:lang w:val="en-US"/>
        </w:rPr>
        <w:t xml:space="preserve">, </w:t>
      </w:r>
      <w:r w:rsidR="00371BB7" w:rsidRPr="00A50E4D">
        <w:rPr>
          <w:spacing w:val="-4"/>
          <w:lang w:val="en-US"/>
        </w:rPr>
        <w:t>right of assembly</w:t>
      </w:r>
      <w:r w:rsidRPr="00A50E4D">
        <w:rPr>
          <w:spacing w:val="-4"/>
          <w:lang w:val="en-US"/>
        </w:rPr>
        <w:t xml:space="preserve"> and </w:t>
      </w:r>
      <w:r w:rsidR="00371BB7" w:rsidRPr="00A50E4D">
        <w:rPr>
          <w:spacing w:val="-4"/>
          <w:lang w:val="en-US"/>
        </w:rPr>
        <w:t>political rights</w:t>
      </w:r>
      <w:r w:rsidR="00E50181" w:rsidRPr="00A50E4D">
        <w:rPr>
          <w:spacing w:val="-4"/>
          <w:lang w:val="en-US"/>
        </w:rPr>
        <w:t xml:space="preserve">, </w:t>
      </w:r>
      <w:r w:rsidR="004519A2" w:rsidRPr="00A50E4D">
        <w:rPr>
          <w:spacing w:val="-2"/>
          <w:lang w:val="en-US"/>
        </w:rPr>
        <w:t xml:space="preserve">pursuant to </w:t>
      </w:r>
      <w:r w:rsidR="00F814CB" w:rsidRPr="00A50E4D">
        <w:rPr>
          <w:spacing w:val="-4"/>
          <w:lang w:val="en-US"/>
        </w:rPr>
        <w:t>paragraphs</w:t>
      </w:r>
      <w:r w:rsidR="00E50181" w:rsidRPr="00A50E4D">
        <w:rPr>
          <w:spacing w:val="-4"/>
          <w:lang w:val="en-US"/>
        </w:rPr>
        <w:t xml:space="preserve"> </w:t>
      </w:r>
      <w:r w:rsidR="00E50181" w:rsidRPr="00914F55">
        <w:rPr>
          <w:spacing w:val="-4"/>
          <w:lang w:val="en-US"/>
        </w:rPr>
        <w:fldChar w:fldCharType="begin"/>
      </w:r>
      <w:r w:rsidR="00E50181" w:rsidRPr="00A50E4D">
        <w:rPr>
          <w:spacing w:val="-4"/>
          <w:lang w:val="en-US"/>
        </w:rPr>
        <w:instrText xml:space="preserve"> REF _Ref431642538 \r \h  \* MERGEFORMAT </w:instrText>
      </w:r>
      <w:r w:rsidR="00E50181" w:rsidRPr="00914F55">
        <w:rPr>
          <w:spacing w:val="-4"/>
          <w:lang w:val="en-US"/>
        </w:rPr>
      </w:r>
      <w:r w:rsidR="00E50181" w:rsidRPr="00914F55">
        <w:rPr>
          <w:spacing w:val="-4"/>
          <w:lang w:val="en-US"/>
        </w:rPr>
        <w:fldChar w:fldCharType="separate"/>
      </w:r>
      <w:r w:rsidR="00547588">
        <w:rPr>
          <w:spacing w:val="-4"/>
          <w:lang w:val="en-US"/>
        </w:rPr>
        <w:t>160</w:t>
      </w:r>
      <w:r w:rsidR="00E50181" w:rsidRPr="00914F55">
        <w:rPr>
          <w:spacing w:val="-4"/>
          <w:lang w:val="en-US"/>
        </w:rPr>
        <w:fldChar w:fldCharType="end"/>
      </w:r>
      <w:r w:rsidR="00E50181" w:rsidRPr="00A50E4D">
        <w:rPr>
          <w:spacing w:val="-4"/>
          <w:lang w:val="en-US"/>
        </w:rPr>
        <w:t xml:space="preserve"> </w:t>
      </w:r>
      <w:r w:rsidR="00A45503" w:rsidRPr="00A50E4D">
        <w:rPr>
          <w:spacing w:val="-4"/>
          <w:lang w:val="en-US"/>
        </w:rPr>
        <w:t>to</w:t>
      </w:r>
      <w:r w:rsidR="00E50181" w:rsidRPr="00A50E4D">
        <w:rPr>
          <w:spacing w:val="-4"/>
          <w:lang w:val="en-US"/>
        </w:rPr>
        <w:t xml:space="preserve"> </w:t>
      </w:r>
      <w:r w:rsidR="00E50181" w:rsidRPr="00914F55">
        <w:rPr>
          <w:spacing w:val="-4"/>
          <w:lang w:val="en-US"/>
        </w:rPr>
        <w:fldChar w:fldCharType="begin"/>
      </w:r>
      <w:r w:rsidR="00E50181" w:rsidRPr="00A50E4D">
        <w:rPr>
          <w:spacing w:val="-4"/>
          <w:lang w:val="en-US"/>
        </w:rPr>
        <w:instrText xml:space="preserve"> REF _Ref431642489 \r \h  \* MERGEFORMAT </w:instrText>
      </w:r>
      <w:r w:rsidR="00E50181" w:rsidRPr="00914F55">
        <w:rPr>
          <w:spacing w:val="-4"/>
          <w:lang w:val="en-US"/>
        </w:rPr>
      </w:r>
      <w:r w:rsidR="00E50181" w:rsidRPr="00914F55">
        <w:rPr>
          <w:spacing w:val="-4"/>
          <w:lang w:val="en-US"/>
        </w:rPr>
        <w:fldChar w:fldCharType="separate"/>
      </w:r>
      <w:r w:rsidR="00547588">
        <w:rPr>
          <w:spacing w:val="-4"/>
          <w:lang w:val="en-US"/>
        </w:rPr>
        <w:t>178</w:t>
      </w:r>
      <w:r w:rsidR="00E50181" w:rsidRPr="00914F55">
        <w:rPr>
          <w:spacing w:val="-4"/>
          <w:lang w:val="en-US"/>
        </w:rPr>
        <w:fldChar w:fldCharType="end"/>
      </w:r>
      <w:r w:rsidR="00E50181" w:rsidRPr="00A50E4D">
        <w:rPr>
          <w:spacing w:val="-4"/>
          <w:lang w:val="en-US"/>
        </w:rPr>
        <w:t xml:space="preserve">. </w:t>
      </w:r>
    </w:p>
    <w:p w14:paraId="7AB0CCBD" w14:textId="77777777" w:rsidR="00BF57ED" w:rsidRPr="00A50E4D" w:rsidRDefault="00BF57ED" w:rsidP="00E17423">
      <w:pPr>
        <w:pStyle w:val="ListParagraph"/>
        <w:numPr>
          <w:ilvl w:val="0"/>
          <w:numId w:val="0"/>
        </w:numPr>
        <w:tabs>
          <w:tab w:val="left" w:pos="567"/>
          <w:tab w:val="left" w:pos="630"/>
        </w:tabs>
        <w:spacing w:before="20" w:after="20"/>
        <w:rPr>
          <w:spacing w:val="-2"/>
          <w:lang w:val="en-US"/>
        </w:rPr>
      </w:pPr>
    </w:p>
    <w:p w14:paraId="6BAB64AB" w14:textId="0159CE5C" w:rsidR="00E50181" w:rsidRPr="00A50E4D" w:rsidRDefault="009808C5" w:rsidP="00E17423">
      <w:pPr>
        <w:numPr>
          <w:ilvl w:val="0"/>
          <w:numId w:val="13"/>
        </w:numPr>
        <w:tabs>
          <w:tab w:val="left" w:pos="567"/>
        </w:tabs>
        <w:autoSpaceDE w:val="0"/>
        <w:autoSpaceDN w:val="0"/>
        <w:spacing w:before="20" w:after="20"/>
        <w:ind w:left="0" w:firstLine="0"/>
        <w:rPr>
          <w:rFonts w:cs="Arial"/>
          <w:color w:val="000000"/>
          <w:spacing w:val="-4"/>
          <w:szCs w:val="20"/>
          <w:lang w:val="en-US"/>
        </w:rPr>
      </w:pPr>
      <w:r w:rsidRPr="00A50E4D">
        <w:rPr>
          <w:spacing w:val="-4"/>
          <w:lang w:val="en-US"/>
        </w:rPr>
        <w:t>The State</w:t>
      </w:r>
      <w:r w:rsidR="00E50181" w:rsidRPr="00A50E4D">
        <w:rPr>
          <w:spacing w:val="-4"/>
          <w:lang w:val="en-US"/>
        </w:rPr>
        <w:t xml:space="preserve"> </w:t>
      </w:r>
      <w:r w:rsidR="00A45503" w:rsidRPr="00A50E4D">
        <w:rPr>
          <w:spacing w:val="-4"/>
          <w:lang w:val="en-US"/>
        </w:rPr>
        <w:t>is responsible for the violation of</w:t>
      </w:r>
      <w:r w:rsidR="00E50181" w:rsidRPr="00A50E4D">
        <w:rPr>
          <w:spacing w:val="-4"/>
          <w:lang w:val="en-US"/>
        </w:rPr>
        <w:t xml:space="preserve"> </w:t>
      </w:r>
      <w:r w:rsidRPr="00A50E4D">
        <w:rPr>
          <w:spacing w:val="-4"/>
          <w:lang w:val="en-US"/>
        </w:rPr>
        <w:t>Articles</w:t>
      </w:r>
      <w:r w:rsidR="00E50181" w:rsidRPr="00A50E4D">
        <w:rPr>
          <w:spacing w:val="-4"/>
          <w:lang w:val="en-US"/>
        </w:rPr>
        <w:t xml:space="preserve"> </w:t>
      </w:r>
      <w:r w:rsidR="00CD2874" w:rsidRPr="00A50E4D">
        <w:rPr>
          <w:spacing w:val="-4"/>
          <w:lang w:val="en-US"/>
        </w:rPr>
        <w:t>13(1)</w:t>
      </w:r>
      <w:r w:rsidR="00E50181" w:rsidRPr="00A50E4D">
        <w:rPr>
          <w:spacing w:val="-4"/>
          <w:lang w:val="en-US"/>
        </w:rPr>
        <w:t>, 15</w:t>
      </w:r>
      <w:r w:rsidRPr="00A50E4D">
        <w:rPr>
          <w:spacing w:val="-4"/>
          <w:lang w:val="en-US"/>
        </w:rPr>
        <w:t xml:space="preserve"> and </w:t>
      </w:r>
      <w:r w:rsidR="00E50181" w:rsidRPr="00A50E4D">
        <w:rPr>
          <w:spacing w:val="-4"/>
          <w:lang w:val="en-US"/>
        </w:rPr>
        <w:t>23</w:t>
      </w:r>
      <w:r w:rsidRPr="00A50E4D">
        <w:rPr>
          <w:spacing w:val="-4"/>
          <w:lang w:val="en-US"/>
        </w:rPr>
        <w:t xml:space="preserve"> of the American Convention</w:t>
      </w:r>
      <w:r w:rsidR="00E50181" w:rsidRPr="00A50E4D">
        <w:rPr>
          <w:spacing w:val="-4"/>
          <w:lang w:val="en-US"/>
        </w:rPr>
        <w:t xml:space="preserve">, </w:t>
      </w:r>
      <w:r w:rsidR="0048601C" w:rsidRPr="00A50E4D">
        <w:rPr>
          <w:spacing w:val="-4"/>
          <w:lang w:val="en-US"/>
        </w:rPr>
        <w:t>in relation to Article 1(1)</w:t>
      </w:r>
      <w:r w:rsidR="00FF35A9" w:rsidRPr="00A50E4D">
        <w:rPr>
          <w:spacing w:val="-4"/>
          <w:lang w:val="en-US"/>
        </w:rPr>
        <w:t xml:space="preserve"> </w:t>
      </w:r>
      <w:r w:rsidR="00A45503" w:rsidRPr="00A50E4D">
        <w:rPr>
          <w:spacing w:val="-4"/>
          <w:lang w:val="en-US"/>
        </w:rPr>
        <w:t>of this instrument</w:t>
      </w:r>
      <w:r w:rsidR="00E50181" w:rsidRPr="00A50E4D">
        <w:rPr>
          <w:spacing w:val="-4"/>
          <w:lang w:val="en-US"/>
        </w:rPr>
        <w:t xml:space="preserve">, </w:t>
      </w:r>
      <w:r w:rsidR="00A45503" w:rsidRPr="00A50E4D">
        <w:rPr>
          <w:spacing w:val="-4"/>
          <w:lang w:val="en-US"/>
        </w:rPr>
        <w:t>to the detriment of</w:t>
      </w:r>
      <w:r w:rsidR="00E50181" w:rsidRPr="00A50E4D">
        <w:rPr>
          <w:spacing w:val="-4"/>
          <w:lang w:val="en-US"/>
        </w:rPr>
        <w:t xml:space="preserve"> Luis Alonso </w:t>
      </w:r>
      <w:r w:rsidR="009A7056" w:rsidRPr="00A50E4D">
        <w:rPr>
          <w:spacing w:val="-4"/>
          <w:lang w:val="en-US"/>
        </w:rPr>
        <w:t>Chévez de la Rocha</w:t>
      </w:r>
      <w:r w:rsidR="00E50181" w:rsidRPr="00A50E4D">
        <w:rPr>
          <w:spacing w:val="-4"/>
          <w:lang w:val="en-US"/>
        </w:rPr>
        <w:t xml:space="preserve">, </w:t>
      </w:r>
      <w:r w:rsidR="00A45503" w:rsidRPr="00A50E4D">
        <w:rPr>
          <w:spacing w:val="-4"/>
          <w:lang w:val="en-US"/>
        </w:rPr>
        <w:t>because the</w:t>
      </w:r>
      <w:r w:rsidR="00687A44" w:rsidRPr="00A50E4D">
        <w:rPr>
          <w:spacing w:val="-4"/>
          <w:lang w:val="en-US"/>
        </w:rPr>
        <w:t xml:space="preserve"> disciplinary proceeding</w:t>
      </w:r>
      <w:r w:rsidR="00E50181" w:rsidRPr="00A50E4D">
        <w:rPr>
          <w:spacing w:val="-4"/>
          <w:lang w:val="en-US"/>
        </w:rPr>
        <w:t xml:space="preserve"> </w:t>
      </w:r>
      <w:r w:rsidR="00A45503" w:rsidRPr="00A50E4D">
        <w:rPr>
          <w:spacing w:val="-4"/>
          <w:lang w:val="en-US"/>
        </w:rPr>
        <w:t>instituted against him</w:t>
      </w:r>
      <w:r w:rsidRPr="00A50E4D">
        <w:rPr>
          <w:spacing w:val="-4"/>
          <w:lang w:val="en-US"/>
        </w:rPr>
        <w:t xml:space="preserve"> and</w:t>
      </w:r>
      <w:r w:rsidR="00A45503" w:rsidRPr="00A50E4D">
        <w:rPr>
          <w:spacing w:val="-4"/>
          <w:lang w:val="en-US"/>
        </w:rPr>
        <w:t xml:space="preserve"> the refusal to reinstate him </w:t>
      </w:r>
      <w:r w:rsidR="00A45503" w:rsidRPr="00A50E4D">
        <w:rPr>
          <w:spacing w:val="-4"/>
          <w:lang w:val="en-US"/>
        </w:rPr>
        <w:lastRenderedPageBreak/>
        <w:t>in his post of judge</w:t>
      </w:r>
      <w:r w:rsidRPr="00A50E4D">
        <w:rPr>
          <w:spacing w:val="-4"/>
          <w:lang w:val="en-US"/>
        </w:rPr>
        <w:t xml:space="preserve"> </w:t>
      </w:r>
      <w:r w:rsidR="00A45503" w:rsidRPr="00A50E4D">
        <w:rPr>
          <w:spacing w:val="-4"/>
          <w:lang w:val="en-US"/>
        </w:rPr>
        <w:t>constituted an undue restriction of his</w:t>
      </w:r>
      <w:r w:rsidR="00E50181" w:rsidRPr="00A50E4D">
        <w:rPr>
          <w:spacing w:val="-4"/>
          <w:lang w:val="en-US"/>
        </w:rPr>
        <w:t xml:space="preserve"> </w:t>
      </w:r>
      <w:r w:rsidR="00371BB7" w:rsidRPr="00A50E4D">
        <w:rPr>
          <w:spacing w:val="-4"/>
          <w:lang w:val="en-US"/>
        </w:rPr>
        <w:t>freedom of expression</w:t>
      </w:r>
      <w:r w:rsidR="00E50181" w:rsidRPr="00A50E4D">
        <w:rPr>
          <w:spacing w:val="-4"/>
          <w:lang w:val="en-US"/>
        </w:rPr>
        <w:t xml:space="preserve">, </w:t>
      </w:r>
      <w:r w:rsidR="00371BB7" w:rsidRPr="00A50E4D">
        <w:rPr>
          <w:spacing w:val="-4"/>
          <w:lang w:val="en-US"/>
        </w:rPr>
        <w:t>right of assembly</w:t>
      </w:r>
      <w:r w:rsidRPr="00A50E4D">
        <w:rPr>
          <w:spacing w:val="-4"/>
          <w:lang w:val="en-US"/>
        </w:rPr>
        <w:t xml:space="preserve"> and </w:t>
      </w:r>
      <w:r w:rsidR="00371BB7" w:rsidRPr="00A50E4D">
        <w:rPr>
          <w:spacing w:val="-4"/>
          <w:lang w:val="en-US"/>
        </w:rPr>
        <w:t>political rights</w:t>
      </w:r>
      <w:r w:rsidR="00E50181" w:rsidRPr="00A50E4D">
        <w:rPr>
          <w:spacing w:val="-4"/>
          <w:lang w:val="en-US"/>
        </w:rPr>
        <w:t xml:space="preserve">, </w:t>
      </w:r>
      <w:r w:rsidR="004519A2" w:rsidRPr="00A50E4D">
        <w:rPr>
          <w:spacing w:val="-2"/>
          <w:lang w:val="en-US"/>
        </w:rPr>
        <w:t xml:space="preserve">pursuant to </w:t>
      </w:r>
      <w:r w:rsidR="00F814CB" w:rsidRPr="00A50E4D">
        <w:rPr>
          <w:spacing w:val="-4"/>
          <w:lang w:val="en-US"/>
        </w:rPr>
        <w:t>paragraphs</w:t>
      </w:r>
      <w:r w:rsidR="00E50181" w:rsidRPr="00A50E4D">
        <w:rPr>
          <w:spacing w:val="-4"/>
          <w:lang w:val="en-US"/>
        </w:rPr>
        <w:t xml:space="preserve"> </w:t>
      </w:r>
      <w:r w:rsidR="00E50181" w:rsidRPr="00914F55">
        <w:rPr>
          <w:spacing w:val="-4"/>
          <w:lang w:val="en-US"/>
        </w:rPr>
        <w:fldChar w:fldCharType="begin"/>
      </w:r>
      <w:r w:rsidR="00E50181" w:rsidRPr="00A50E4D">
        <w:rPr>
          <w:spacing w:val="-4"/>
          <w:lang w:val="en-US"/>
        </w:rPr>
        <w:instrText xml:space="preserve"> REF _Ref431642538 \r \h  \* MERGEFORMAT </w:instrText>
      </w:r>
      <w:r w:rsidR="00E50181" w:rsidRPr="00914F55">
        <w:rPr>
          <w:spacing w:val="-4"/>
          <w:lang w:val="en-US"/>
        </w:rPr>
      </w:r>
      <w:r w:rsidR="00E50181" w:rsidRPr="00914F55">
        <w:rPr>
          <w:spacing w:val="-4"/>
          <w:lang w:val="en-US"/>
        </w:rPr>
        <w:fldChar w:fldCharType="separate"/>
      </w:r>
      <w:r w:rsidR="00547588">
        <w:rPr>
          <w:spacing w:val="-4"/>
          <w:lang w:val="en-US"/>
        </w:rPr>
        <w:t>160</w:t>
      </w:r>
      <w:r w:rsidR="00E50181" w:rsidRPr="00914F55">
        <w:rPr>
          <w:spacing w:val="-4"/>
          <w:lang w:val="en-US"/>
        </w:rPr>
        <w:fldChar w:fldCharType="end"/>
      </w:r>
      <w:r w:rsidR="00E50181" w:rsidRPr="00A50E4D">
        <w:rPr>
          <w:spacing w:val="-4"/>
          <w:lang w:val="en-US"/>
        </w:rPr>
        <w:t xml:space="preserve"> </w:t>
      </w:r>
      <w:r w:rsidR="00A45503" w:rsidRPr="00A50E4D">
        <w:rPr>
          <w:spacing w:val="-4"/>
          <w:lang w:val="en-US"/>
        </w:rPr>
        <w:t>to</w:t>
      </w:r>
      <w:r w:rsidR="00E50181" w:rsidRPr="00A50E4D">
        <w:rPr>
          <w:spacing w:val="-4"/>
          <w:lang w:val="en-US"/>
        </w:rPr>
        <w:t xml:space="preserve"> </w:t>
      </w:r>
      <w:r w:rsidR="00E50181" w:rsidRPr="00914F55">
        <w:rPr>
          <w:spacing w:val="-4"/>
          <w:lang w:val="en-US"/>
        </w:rPr>
        <w:fldChar w:fldCharType="begin"/>
      </w:r>
      <w:r w:rsidR="00E50181" w:rsidRPr="00A50E4D">
        <w:rPr>
          <w:spacing w:val="-4"/>
          <w:lang w:val="en-US"/>
        </w:rPr>
        <w:instrText xml:space="preserve"> REF _Ref431642482 \r \h  \* MERGEFORMAT </w:instrText>
      </w:r>
      <w:r w:rsidR="00E50181" w:rsidRPr="00914F55">
        <w:rPr>
          <w:spacing w:val="-4"/>
          <w:lang w:val="en-US"/>
        </w:rPr>
      </w:r>
      <w:r w:rsidR="00E50181" w:rsidRPr="00914F55">
        <w:rPr>
          <w:spacing w:val="-4"/>
          <w:lang w:val="en-US"/>
        </w:rPr>
        <w:fldChar w:fldCharType="separate"/>
      </w:r>
      <w:r w:rsidR="00547588">
        <w:rPr>
          <w:spacing w:val="-4"/>
          <w:lang w:val="en-US"/>
        </w:rPr>
        <w:t>177</w:t>
      </w:r>
      <w:r w:rsidR="00E50181" w:rsidRPr="00914F55">
        <w:rPr>
          <w:spacing w:val="-4"/>
          <w:lang w:val="en-US"/>
        </w:rPr>
        <w:fldChar w:fldCharType="end"/>
      </w:r>
      <w:r w:rsidR="00E50181" w:rsidRPr="00A50E4D">
        <w:rPr>
          <w:spacing w:val="-4"/>
          <w:lang w:val="en-US"/>
        </w:rPr>
        <w:t xml:space="preserve">, </w:t>
      </w:r>
      <w:r w:rsidR="00E50181" w:rsidRPr="00914F55">
        <w:rPr>
          <w:spacing w:val="-4"/>
          <w:lang w:val="en-US"/>
        </w:rPr>
        <w:fldChar w:fldCharType="begin"/>
      </w:r>
      <w:r w:rsidR="00E50181" w:rsidRPr="00A50E4D">
        <w:rPr>
          <w:spacing w:val="-4"/>
          <w:lang w:val="en-US"/>
        </w:rPr>
        <w:instrText xml:space="preserve"> REF _Ref431214715 \r \h  \* MERGEFORMAT </w:instrText>
      </w:r>
      <w:r w:rsidR="00E50181" w:rsidRPr="00914F55">
        <w:rPr>
          <w:spacing w:val="-4"/>
          <w:lang w:val="en-US"/>
        </w:rPr>
      </w:r>
      <w:r w:rsidR="00E50181" w:rsidRPr="00914F55">
        <w:rPr>
          <w:spacing w:val="-4"/>
          <w:lang w:val="en-US"/>
        </w:rPr>
        <w:fldChar w:fldCharType="separate"/>
      </w:r>
      <w:r w:rsidR="00547588">
        <w:rPr>
          <w:spacing w:val="-4"/>
          <w:lang w:val="en-US"/>
        </w:rPr>
        <w:t>179</w:t>
      </w:r>
      <w:r w:rsidR="00E50181" w:rsidRPr="00914F55">
        <w:rPr>
          <w:spacing w:val="-4"/>
          <w:lang w:val="en-US"/>
        </w:rPr>
        <w:fldChar w:fldCharType="end"/>
      </w:r>
      <w:r w:rsidRPr="00A50E4D">
        <w:rPr>
          <w:spacing w:val="-4"/>
          <w:lang w:val="en-US"/>
        </w:rPr>
        <w:t xml:space="preserve"> and </w:t>
      </w:r>
      <w:r w:rsidR="00E50181" w:rsidRPr="00914F55">
        <w:rPr>
          <w:spacing w:val="-4"/>
          <w:lang w:val="en-US"/>
        </w:rPr>
        <w:fldChar w:fldCharType="begin"/>
      </w:r>
      <w:r w:rsidR="00E50181" w:rsidRPr="00A50E4D">
        <w:rPr>
          <w:spacing w:val="-4"/>
          <w:lang w:val="en-US"/>
        </w:rPr>
        <w:instrText xml:space="preserve"> REF _Ref431642859 \r \h  \* MERGEFORMAT </w:instrText>
      </w:r>
      <w:r w:rsidR="00E50181" w:rsidRPr="00914F55">
        <w:rPr>
          <w:spacing w:val="-4"/>
          <w:lang w:val="en-US"/>
        </w:rPr>
      </w:r>
      <w:r w:rsidR="00E50181" w:rsidRPr="00914F55">
        <w:rPr>
          <w:spacing w:val="-4"/>
          <w:lang w:val="en-US"/>
        </w:rPr>
        <w:fldChar w:fldCharType="separate"/>
      </w:r>
      <w:r w:rsidR="00547588">
        <w:rPr>
          <w:spacing w:val="-4"/>
          <w:lang w:val="en-US"/>
        </w:rPr>
        <w:t>180</w:t>
      </w:r>
      <w:r w:rsidR="00E50181" w:rsidRPr="00914F55">
        <w:rPr>
          <w:spacing w:val="-4"/>
          <w:lang w:val="en-US"/>
        </w:rPr>
        <w:fldChar w:fldCharType="end"/>
      </w:r>
      <w:r w:rsidR="00E50181" w:rsidRPr="00A50E4D">
        <w:rPr>
          <w:spacing w:val="-4"/>
          <w:lang w:val="en-US"/>
        </w:rPr>
        <w:t xml:space="preserve">. </w:t>
      </w:r>
    </w:p>
    <w:p w14:paraId="2941F79F" w14:textId="77777777" w:rsidR="008F28E7" w:rsidRPr="00A50E4D" w:rsidRDefault="008F28E7" w:rsidP="00E17423">
      <w:pPr>
        <w:tabs>
          <w:tab w:val="left" w:pos="567"/>
        </w:tabs>
        <w:autoSpaceDE w:val="0"/>
        <w:autoSpaceDN w:val="0"/>
        <w:spacing w:before="20" w:after="20"/>
        <w:rPr>
          <w:rFonts w:cs="Arial"/>
          <w:color w:val="000000"/>
          <w:spacing w:val="-2"/>
          <w:szCs w:val="20"/>
          <w:lang w:val="en-US"/>
        </w:rPr>
      </w:pPr>
    </w:p>
    <w:p w14:paraId="62C56035" w14:textId="7385F09C" w:rsidR="00453AA5" w:rsidRPr="00A50E4D" w:rsidRDefault="009808C5" w:rsidP="00E17423">
      <w:pPr>
        <w:numPr>
          <w:ilvl w:val="0"/>
          <w:numId w:val="13"/>
        </w:numPr>
        <w:tabs>
          <w:tab w:val="left" w:pos="567"/>
        </w:tabs>
        <w:autoSpaceDE w:val="0"/>
        <w:autoSpaceDN w:val="0"/>
        <w:spacing w:before="20" w:after="20"/>
        <w:ind w:left="0" w:firstLine="0"/>
        <w:rPr>
          <w:rFonts w:cs="Arial"/>
          <w:color w:val="000000"/>
          <w:spacing w:val="-4"/>
          <w:szCs w:val="20"/>
          <w:lang w:val="en-US"/>
        </w:rPr>
      </w:pPr>
      <w:r w:rsidRPr="00A50E4D">
        <w:rPr>
          <w:spacing w:val="-2"/>
          <w:lang w:val="en-US"/>
        </w:rPr>
        <w:t>The State</w:t>
      </w:r>
      <w:r w:rsidR="00453AA5" w:rsidRPr="00A50E4D">
        <w:rPr>
          <w:spacing w:val="-2"/>
          <w:lang w:val="en-US"/>
        </w:rPr>
        <w:t xml:space="preserve"> </w:t>
      </w:r>
      <w:r w:rsidR="00A45503" w:rsidRPr="00A50E4D">
        <w:rPr>
          <w:spacing w:val="-2"/>
          <w:lang w:val="en-US"/>
        </w:rPr>
        <w:t>is responsible for the violation of</w:t>
      </w:r>
      <w:r w:rsidR="00453AA5" w:rsidRPr="00A50E4D">
        <w:rPr>
          <w:spacing w:val="-2"/>
          <w:lang w:val="en-US"/>
        </w:rPr>
        <w:t xml:space="preserve"> </w:t>
      </w:r>
      <w:r w:rsidRPr="00A50E4D">
        <w:rPr>
          <w:spacing w:val="-2"/>
          <w:lang w:val="en-US"/>
        </w:rPr>
        <w:t>Articles</w:t>
      </w:r>
      <w:r w:rsidR="00453AA5" w:rsidRPr="00A50E4D">
        <w:rPr>
          <w:spacing w:val="-2"/>
          <w:lang w:val="en-US"/>
        </w:rPr>
        <w:t xml:space="preserve"> </w:t>
      </w:r>
      <w:r w:rsidR="00CD2874" w:rsidRPr="00A50E4D">
        <w:rPr>
          <w:lang w:val="en-US"/>
        </w:rPr>
        <w:t>13(1)</w:t>
      </w:r>
      <w:r w:rsidRPr="00A50E4D">
        <w:rPr>
          <w:lang w:val="en-US"/>
        </w:rPr>
        <w:t xml:space="preserve"> and </w:t>
      </w:r>
      <w:r w:rsidR="00453AA5" w:rsidRPr="00A50E4D">
        <w:rPr>
          <w:lang w:val="en-US"/>
        </w:rPr>
        <w:t>23</w:t>
      </w:r>
      <w:r w:rsidRPr="00A50E4D">
        <w:rPr>
          <w:spacing w:val="-2"/>
          <w:lang w:val="en-US"/>
        </w:rPr>
        <w:t xml:space="preserve"> of the </w:t>
      </w:r>
      <w:r w:rsidRPr="00A50E4D">
        <w:rPr>
          <w:lang w:val="en-US"/>
        </w:rPr>
        <w:t>American Convention</w:t>
      </w:r>
      <w:r w:rsidR="00453AA5" w:rsidRPr="00A50E4D">
        <w:rPr>
          <w:spacing w:val="-2"/>
          <w:lang w:val="en-US"/>
        </w:rPr>
        <w:t xml:space="preserve">, </w:t>
      </w:r>
      <w:r w:rsidR="0048601C" w:rsidRPr="00A50E4D">
        <w:rPr>
          <w:spacing w:val="-2"/>
          <w:lang w:val="en-US"/>
        </w:rPr>
        <w:t>in relation to Article 1(1)</w:t>
      </w:r>
      <w:r w:rsidR="00FF35A9" w:rsidRPr="00A50E4D">
        <w:rPr>
          <w:spacing w:val="-2"/>
          <w:lang w:val="en-US"/>
        </w:rPr>
        <w:t xml:space="preserve"> </w:t>
      </w:r>
      <w:r w:rsidR="00A45503" w:rsidRPr="00A50E4D">
        <w:rPr>
          <w:spacing w:val="-2"/>
          <w:lang w:val="en-US"/>
        </w:rPr>
        <w:t>of this instrument</w:t>
      </w:r>
      <w:r w:rsidR="00453AA5" w:rsidRPr="00A50E4D">
        <w:rPr>
          <w:spacing w:val="-2"/>
          <w:lang w:val="en-US"/>
        </w:rPr>
        <w:t xml:space="preserve">, </w:t>
      </w:r>
      <w:r w:rsidR="00A45503" w:rsidRPr="00A50E4D">
        <w:rPr>
          <w:spacing w:val="-2"/>
          <w:lang w:val="en-US"/>
        </w:rPr>
        <w:t>to the detriment of</w:t>
      </w:r>
      <w:r w:rsidR="00453AA5" w:rsidRPr="00A50E4D">
        <w:rPr>
          <w:spacing w:val="-2"/>
          <w:lang w:val="en-US"/>
        </w:rPr>
        <w:t xml:space="preserve"> </w:t>
      </w:r>
      <w:r w:rsidR="008217D7" w:rsidRPr="00A50E4D">
        <w:rPr>
          <w:lang w:val="en-US"/>
        </w:rPr>
        <w:t>Tirza del Carmen</w:t>
      </w:r>
      <w:r w:rsidR="00453AA5" w:rsidRPr="00A50E4D">
        <w:rPr>
          <w:lang w:val="en-US"/>
        </w:rPr>
        <w:t xml:space="preserve"> Flores Lanza, </w:t>
      </w:r>
      <w:r w:rsidR="00A45503" w:rsidRPr="00A50E4D">
        <w:rPr>
          <w:lang w:val="en-US"/>
        </w:rPr>
        <w:t>because the</w:t>
      </w:r>
      <w:r w:rsidR="00687A44" w:rsidRPr="00A50E4D">
        <w:rPr>
          <w:lang w:val="en-US"/>
        </w:rPr>
        <w:t xml:space="preserve"> disciplinary proceeding</w:t>
      </w:r>
      <w:r w:rsidR="00453AA5" w:rsidRPr="00A50E4D">
        <w:rPr>
          <w:lang w:val="en-US"/>
        </w:rPr>
        <w:t xml:space="preserve"> </w:t>
      </w:r>
      <w:r w:rsidR="00A45503" w:rsidRPr="00A50E4D">
        <w:rPr>
          <w:lang w:val="en-US"/>
        </w:rPr>
        <w:t>instituted against her and her subsequent dismissal</w:t>
      </w:r>
      <w:r w:rsidR="00453AA5" w:rsidRPr="00A50E4D">
        <w:rPr>
          <w:lang w:val="en-US"/>
        </w:rPr>
        <w:t xml:space="preserve"> </w:t>
      </w:r>
      <w:r w:rsidR="00A45503" w:rsidRPr="00A50E4D">
        <w:rPr>
          <w:lang w:val="en-US"/>
        </w:rPr>
        <w:t>constituted an undue restriction of her</w:t>
      </w:r>
      <w:r w:rsidR="00453AA5" w:rsidRPr="00A50E4D">
        <w:rPr>
          <w:lang w:val="en-US"/>
        </w:rPr>
        <w:t xml:space="preserve"> </w:t>
      </w:r>
      <w:r w:rsidR="00371BB7" w:rsidRPr="00A50E4D">
        <w:rPr>
          <w:lang w:val="en-US"/>
        </w:rPr>
        <w:t>freedom of expression</w:t>
      </w:r>
      <w:r w:rsidRPr="00A50E4D">
        <w:rPr>
          <w:lang w:val="en-US"/>
        </w:rPr>
        <w:t xml:space="preserve"> and </w:t>
      </w:r>
      <w:r w:rsidR="00371BB7" w:rsidRPr="00A50E4D">
        <w:rPr>
          <w:lang w:val="en-US"/>
        </w:rPr>
        <w:t>political rights</w:t>
      </w:r>
      <w:r w:rsidR="00453AA5" w:rsidRPr="00A50E4D">
        <w:rPr>
          <w:lang w:val="en-US"/>
        </w:rPr>
        <w:t xml:space="preserve">, </w:t>
      </w:r>
      <w:r w:rsidR="004519A2" w:rsidRPr="00A50E4D">
        <w:rPr>
          <w:spacing w:val="-2"/>
          <w:lang w:val="en-US"/>
        </w:rPr>
        <w:t>pursuant to</w:t>
      </w:r>
      <w:r w:rsidR="008F28E7" w:rsidRPr="00A50E4D">
        <w:rPr>
          <w:spacing w:val="-4"/>
          <w:lang w:val="en-US"/>
        </w:rPr>
        <w:t xml:space="preserve"> </w:t>
      </w:r>
      <w:r w:rsidR="00F814CB" w:rsidRPr="00A50E4D">
        <w:rPr>
          <w:spacing w:val="-4"/>
          <w:lang w:val="en-US"/>
        </w:rPr>
        <w:t>paragraphs</w:t>
      </w:r>
      <w:r w:rsidR="008F28E7" w:rsidRPr="00A50E4D">
        <w:rPr>
          <w:spacing w:val="-4"/>
          <w:lang w:val="en-US"/>
        </w:rPr>
        <w:t xml:space="preserve"> </w:t>
      </w:r>
      <w:r w:rsidR="008F28E7" w:rsidRPr="00914F55">
        <w:rPr>
          <w:spacing w:val="-4"/>
          <w:lang w:val="en-US"/>
        </w:rPr>
        <w:fldChar w:fldCharType="begin"/>
      </w:r>
      <w:r w:rsidR="008F28E7" w:rsidRPr="00A50E4D">
        <w:rPr>
          <w:spacing w:val="-4"/>
          <w:lang w:val="en-US"/>
        </w:rPr>
        <w:instrText xml:space="preserve"> REF _Ref431642538 \r \h  \* MERGEFORMAT </w:instrText>
      </w:r>
      <w:r w:rsidR="008F28E7" w:rsidRPr="00914F55">
        <w:rPr>
          <w:spacing w:val="-4"/>
          <w:lang w:val="en-US"/>
        </w:rPr>
      </w:r>
      <w:r w:rsidR="008F28E7" w:rsidRPr="00914F55">
        <w:rPr>
          <w:spacing w:val="-4"/>
          <w:lang w:val="en-US"/>
        </w:rPr>
        <w:fldChar w:fldCharType="separate"/>
      </w:r>
      <w:r w:rsidR="00547588">
        <w:rPr>
          <w:spacing w:val="-4"/>
          <w:lang w:val="en-US"/>
        </w:rPr>
        <w:t>160</w:t>
      </w:r>
      <w:r w:rsidR="008F28E7" w:rsidRPr="00914F55">
        <w:rPr>
          <w:spacing w:val="-4"/>
          <w:lang w:val="en-US"/>
        </w:rPr>
        <w:fldChar w:fldCharType="end"/>
      </w:r>
      <w:r w:rsidR="008F28E7" w:rsidRPr="00A50E4D">
        <w:rPr>
          <w:spacing w:val="-4"/>
          <w:lang w:val="en-US"/>
        </w:rPr>
        <w:t xml:space="preserve"> </w:t>
      </w:r>
      <w:r w:rsidR="00A45503" w:rsidRPr="00A50E4D">
        <w:rPr>
          <w:spacing w:val="-4"/>
          <w:lang w:val="en-US"/>
        </w:rPr>
        <w:t>to</w:t>
      </w:r>
      <w:r w:rsidR="008F28E7" w:rsidRPr="00A50E4D">
        <w:rPr>
          <w:spacing w:val="-4"/>
          <w:lang w:val="en-US"/>
        </w:rPr>
        <w:t xml:space="preserve"> </w:t>
      </w:r>
      <w:r w:rsidR="008F28E7" w:rsidRPr="00914F55">
        <w:rPr>
          <w:spacing w:val="-4"/>
          <w:lang w:val="en-US"/>
        </w:rPr>
        <w:fldChar w:fldCharType="begin"/>
      </w:r>
      <w:r w:rsidR="008F28E7" w:rsidRPr="00A50E4D">
        <w:rPr>
          <w:spacing w:val="-4"/>
          <w:lang w:val="en-US"/>
        </w:rPr>
        <w:instrText xml:space="preserve"> REF _Ref431642482 \r \h  \* MERGEFORMAT </w:instrText>
      </w:r>
      <w:r w:rsidR="008F28E7" w:rsidRPr="00914F55">
        <w:rPr>
          <w:spacing w:val="-4"/>
          <w:lang w:val="en-US"/>
        </w:rPr>
      </w:r>
      <w:r w:rsidR="008F28E7" w:rsidRPr="00914F55">
        <w:rPr>
          <w:spacing w:val="-4"/>
          <w:lang w:val="en-US"/>
        </w:rPr>
        <w:fldChar w:fldCharType="separate"/>
      </w:r>
      <w:r w:rsidR="00547588">
        <w:rPr>
          <w:spacing w:val="-4"/>
          <w:lang w:val="en-US"/>
        </w:rPr>
        <w:t>177</w:t>
      </w:r>
      <w:r w:rsidR="008F28E7" w:rsidRPr="00914F55">
        <w:rPr>
          <w:spacing w:val="-4"/>
          <w:lang w:val="en-US"/>
        </w:rPr>
        <w:fldChar w:fldCharType="end"/>
      </w:r>
      <w:r w:rsidR="008F28E7" w:rsidRPr="00A50E4D">
        <w:rPr>
          <w:spacing w:val="-4"/>
          <w:lang w:val="en-US"/>
        </w:rPr>
        <w:t xml:space="preserve">, </w:t>
      </w:r>
      <w:r w:rsidR="008F28E7" w:rsidRPr="00914F55">
        <w:rPr>
          <w:spacing w:val="-4"/>
          <w:lang w:val="en-US"/>
        </w:rPr>
        <w:fldChar w:fldCharType="begin"/>
      </w:r>
      <w:r w:rsidR="008F28E7" w:rsidRPr="00A50E4D">
        <w:rPr>
          <w:spacing w:val="-4"/>
          <w:lang w:val="en-US"/>
        </w:rPr>
        <w:instrText xml:space="preserve"> REF _Ref431643058 \r \h  \* MERGEFORMAT </w:instrText>
      </w:r>
      <w:r w:rsidR="008F28E7" w:rsidRPr="00914F55">
        <w:rPr>
          <w:spacing w:val="-4"/>
          <w:lang w:val="en-US"/>
        </w:rPr>
      </w:r>
      <w:r w:rsidR="008F28E7" w:rsidRPr="00914F55">
        <w:rPr>
          <w:spacing w:val="-4"/>
          <w:lang w:val="en-US"/>
        </w:rPr>
        <w:fldChar w:fldCharType="separate"/>
      </w:r>
      <w:r w:rsidR="00547588">
        <w:rPr>
          <w:spacing w:val="-4"/>
          <w:lang w:val="en-US"/>
        </w:rPr>
        <w:t>181</w:t>
      </w:r>
      <w:r w:rsidR="008F28E7" w:rsidRPr="00914F55">
        <w:rPr>
          <w:spacing w:val="-4"/>
          <w:lang w:val="en-US"/>
        </w:rPr>
        <w:fldChar w:fldCharType="end"/>
      </w:r>
      <w:r w:rsidRPr="00A50E4D">
        <w:rPr>
          <w:spacing w:val="-4"/>
          <w:lang w:val="en-US"/>
        </w:rPr>
        <w:t xml:space="preserve"> and </w:t>
      </w:r>
      <w:r w:rsidR="008F28E7" w:rsidRPr="00914F55">
        <w:rPr>
          <w:spacing w:val="-4"/>
          <w:lang w:val="en-US"/>
        </w:rPr>
        <w:fldChar w:fldCharType="begin"/>
      </w:r>
      <w:r w:rsidR="008F28E7" w:rsidRPr="00A50E4D">
        <w:rPr>
          <w:spacing w:val="-4"/>
          <w:lang w:val="en-US"/>
        </w:rPr>
        <w:instrText xml:space="preserve"> REF _Ref431643069 \r \h  \* MERGEFORMAT </w:instrText>
      </w:r>
      <w:r w:rsidR="008F28E7" w:rsidRPr="00914F55">
        <w:rPr>
          <w:spacing w:val="-4"/>
          <w:lang w:val="en-US"/>
        </w:rPr>
      </w:r>
      <w:r w:rsidR="008F28E7" w:rsidRPr="00914F55">
        <w:rPr>
          <w:spacing w:val="-4"/>
          <w:lang w:val="en-US"/>
        </w:rPr>
        <w:fldChar w:fldCharType="separate"/>
      </w:r>
      <w:r w:rsidR="00547588">
        <w:rPr>
          <w:spacing w:val="-4"/>
          <w:lang w:val="en-US"/>
        </w:rPr>
        <w:t>182</w:t>
      </w:r>
      <w:r w:rsidR="008F28E7" w:rsidRPr="00914F55">
        <w:rPr>
          <w:spacing w:val="-4"/>
          <w:lang w:val="en-US"/>
        </w:rPr>
        <w:fldChar w:fldCharType="end"/>
      </w:r>
      <w:r w:rsidR="008F28E7" w:rsidRPr="00A50E4D">
        <w:rPr>
          <w:spacing w:val="-4"/>
          <w:lang w:val="en-US"/>
        </w:rPr>
        <w:t>.</w:t>
      </w:r>
    </w:p>
    <w:p w14:paraId="4908BC1A" w14:textId="77777777" w:rsidR="00E50181" w:rsidRPr="00A50E4D" w:rsidRDefault="00E50181" w:rsidP="00E17423">
      <w:pPr>
        <w:tabs>
          <w:tab w:val="left" w:pos="567"/>
        </w:tabs>
        <w:autoSpaceDE w:val="0"/>
        <w:autoSpaceDN w:val="0"/>
        <w:spacing w:before="20" w:after="20"/>
        <w:rPr>
          <w:rFonts w:cs="Arial"/>
          <w:color w:val="000000"/>
          <w:spacing w:val="-4"/>
          <w:szCs w:val="20"/>
          <w:lang w:val="en-US"/>
        </w:rPr>
      </w:pPr>
    </w:p>
    <w:p w14:paraId="6F250C08" w14:textId="00303EE4" w:rsidR="00E50181" w:rsidRPr="00A50E4D" w:rsidRDefault="009808C5" w:rsidP="00E17423">
      <w:pPr>
        <w:numPr>
          <w:ilvl w:val="0"/>
          <w:numId w:val="13"/>
        </w:numPr>
        <w:tabs>
          <w:tab w:val="left" w:pos="567"/>
        </w:tabs>
        <w:autoSpaceDE w:val="0"/>
        <w:autoSpaceDN w:val="0"/>
        <w:spacing w:before="20" w:after="20"/>
        <w:ind w:left="0" w:firstLine="0"/>
        <w:rPr>
          <w:spacing w:val="-4"/>
          <w:lang w:val="en-US"/>
        </w:rPr>
      </w:pPr>
      <w:r w:rsidRPr="00A50E4D">
        <w:rPr>
          <w:spacing w:val="-4"/>
          <w:lang w:val="en-US"/>
        </w:rPr>
        <w:t>The State</w:t>
      </w:r>
      <w:r w:rsidR="00E50181" w:rsidRPr="00A50E4D">
        <w:rPr>
          <w:spacing w:val="-4"/>
          <w:lang w:val="en-US"/>
        </w:rPr>
        <w:t xml:space="preserve"> </w:t>
      </w:r>
      <w:r w:rsidR="00A45503" w:rsidRPr="00A50E4D">
        <w:rPr>
          <w:spacing w:val="-4"/>
          <w:lang w:val="en-US"/>
        </w:rPr>
        <w:t>is responsible for the violation of</w:t>
      </w:r>
      <w:r w:rsidR="00E37646" w:rsidRPr="00A50E4D">
        <w:rPr>
          <w:spacing w:val="-4"/>
          <w:lang w:val="en-US"/>
        </w:rPr>
        <w:t xml:space="preserve"> </w:t>
      </w:r>
      <w:r w:rsidRPr="00A50E4D">
        <w:rPr>
          <w:spacing w:val="-4"/>
          <w:lang w:val="en-US"/>
        </w:rPr>
        <w:t>Articles</w:t>
      </w:r>
      <w:r w:rsidR="00E37646" w:rsidRPr="00A50E4D">
        <w:rPr>
          <w:spacing w:val="-4"/>
          <w:lang w:val="en-US"/>
        </w:rPr>
        <w:t xml:space="preserve"> </w:t>
      </w:r>
      <w:r w:rsidR="00CD2874" w:rsidRPr="00A50E4D">
        <w:rPr>
          <w:spacing w:val="-4"/>
          <w:lang w:val="en-US"/>
        </w:rPr>
        <w:t>13(1)</w:t>
      </w:r>
      <w:r w:rsidRPr="00A50E4D">
        <w:rPr>
          <w:spacing w:val="-4"/>
          <w:lang w:val="en-US"/>
        </w:rPr>
        <w:t xml:space="preserve"> and </w:t>
      </w:r>
      <w:r w:rsidR="00E37646" w:rsidRPr="00A50E4D">
        <w:rPr>
          <w:spacing w:val="-4"/>
          <w:lang w:val="en-US"/>
        </w:rPr>
        <w:t>23</w:t>
      </w:r>
      <w:r w:rsidRPr="00A50E4D">
        <w:rPr>
          <w:spacing w:val="-4"/>
          <w:lang w:val="en-US"/>
        </w:rPr>
        <w:t xml:space="preserve"> of the American Convention</w:t>
      </w:r>
      <w:r w:rsidR="00E50181" w:rsidRPr="00A50E4D">
        <w:rPr>
          <w:spacing w:val="-4"/>
          <w:lang w:val="en-US"/>
        </w:rPr>
        <w:t xml:space="preserve">, </w:t>
      </w:r>
      <w:r w:rsidR="0048601C" w:rsidRPr="00A50E4D">
        <w:rPr>
          <w:spacing w:val="-4"/>
          <w:lang w:val="en-US"/>
        </w:rPr>
        <w:t>in relation to Article 1(1)</w:t>
      </w:r>
      <w:r w:rsidR="00FF35A9" w:rsidRPr="00A50E4D">
        <w:rPr>
          <w:spacing w:val="-4"/>
          <w:lang w:val="en-US"/>
        </w:rPr>
        <w:t xml:space="preserve"> </w:t>
      </w:r>
      <w:r w:rsidR="00A45503" w:rsidRPr="00A50E4D">
        <w:rPr>
          <w:spacing w:val="-4"/>
          <w:lang w:val="en-US"/>
        </w:rPr>
        <w:t>of this instrument</w:t>
      </w:r>
      <w:r w:rsidR="00E50181" w:rsidRPr="00A50E4D">
        <w:rPr>
          <w:spacing w:val="-4"/>
          <w:lang w:val="en-US"/>
        </w:rPr>
        <w:t xml:space="preserve">, </w:t>
      </w:r>
      <w:r w:rsidR="00A45503" w:rsidRPr="00A50E4D">
        <w:rPr>
          <w:spacing w:val="-4"/>
          <w:lang w:val="en-US"/>
        </w:rPr>
        <w:t>to the detriment of</w:t>
      </w:r>
      <w:r w:rsidR="00E50181" w:rsidRPr="00A50E4D">
        <w:rPr>
          <w:spacing w:val="-4"/>
          <w:lang w:val="en-US"/>
        </w:rPr>
        <w:t xml:space="preserve"> Ramón Enrique Barrios Maldonado, </w:t>
      </w:r>
      <w:r w:rsidR="00A45503" w:rsidRPr="00A50E4D">
        <w:rPr>
          <w:spacing w:val="-4"/>
          <w:lang w:val="en-US"/>
        </w:rPr>
        <w:t>because the</w:t>
      </w:r>
      <w:r w:rsidR="00687A44" w:rsidRPr="00A50E4D">
        <w:rPr>
          <w:spacing w:val="-4"/>
          <w:lang w:val="en-US"/>
        </w:rPr>
        <w:t xml:space="preserve"> disciplinary proceeding</w:t>
      </w:r>
      <w:r w:rsidR="00E50181" w:rsidRPr="00A50E4D">
        <w:rPr>
          <w:spacing w:val="-4"/>
          <w:lang w:val="en-US"/>
        </w:rPr>
        <w:t xml:space="preserve"> </w:t>
      </w:r>
      <w:r w:rsidR="00A45503" w:rsidRPr="00A50E4D">
        <w:rPr>
          <w:spacing w:val="-4"/>
          <w:lang w:val="en-US"/>
        </w:rPr>
        <w:t>instituted against him</w:t>
      </w:r>
      <w:r w:rsidR="00E50181" w:rsidRPr="00A50E4D">
        <w:rPr>
          <w:spacing w:val="-4"/>
          <w:lang w:val="en-US"/>
        </w:rPr>
        <w:t xml:space="preserve"> constitu</w:t>
      </w:r>
      <w:r w:rsidR="00A45503" w:rsidRPr="00A50E4D">
        <w:rPr>
          <w:spacing w:val="-4"/>
          <w:lang w:val="en-US"/>
        </w:rPr>
        <w:t xml:space="preserve">ted </w:t>
      </w:r>
      <w:r w:rsidR="00A45503" w:rsidRPr="00A50E4D">
        <w:rPr>
          <w:lang w:val="en-US"/>
        </w:rPr>
        <w:t xml:space="preserve">an undue restriction of his </w:t>
      </w:r>
      <w:r w:rsidR="00371BB7" w:rsidRPr="00A50E4D">
        <w:rPr>
          <w:spacing w:val="-4"/>
          <w:lang w:val="en-US"/>
        </w:rPr>
        <w:t>freedom of expression</w:t>
      </w:r>
      <w:r w:rsidRPr="00A50E4D">
        <w:rPr>
          <w:spacing w:val="-4"/>
          <w:lang w:val="en-US"/>
        </w:rPr>
        <w:t xml:space="preserve"> and </w:t>
      </w:r>
      <w:r w:rsidR="00371BB7" w:rsidRPr="00A50E4D">
        <w:rPr>
          <w:spacing w:val="-4"/>
          <w:lang w:val="en-US"/>
        </w:rPr>
        <w:t>political rights</w:t>
      </w:r>
      <w:r w:rsidR="00E50181" w:rsidRPr="00A50E4D">
        <w:rPr>
          <w:spacing w:val="-4"/>
          <w:lang w:val="en-US"/>
        </w:rPr>
        <w:t xml:space="preserve">, </w:t>
      </w:r>
      <w:r w:rsidR="004519A2" w:rsidRPr="00A50E4D">
        <w:rPr>
          <w:spacing w:val="-2"/>
          <w:lang w:val="en-US"/>
        </w:rPr>
        <w:t xml:space="preserve">pursuant to </w:t>
      </w:r>
      <w:r w:rsidR="00F814CB" w:rsidRPr="00A50E4D">
        <w:rPr>
          <w:spacing w:val="-4"/>
          <w:lang w:val="en-US"/>
        </w:rPr>
        <w:t>paragraphs</w:t>
      </w:r>
      <w:r w:rsidR="00E50181" w:rsidRPr="00A50E4D">
        <w:rPr>
          <w:spacing w:val="-4"/>
          <w:lang w:val="en-US"/>
        </w:rPr>
        <w:t xml:space="preserve"> </w:t>
      </w:r>
      <w:r w:rsidR="00E50181" w:rsidRPr="00914F55">
        <w:rPr>
          <w:spacing w:val="-4"/>
          <w:lang w:val="en-US"/>
        </w:rPr>
        <w:fldChar w:fldCharType="begin"/>
      </w:r>
      <w:r w:rsidR="00E50181" w:rsidRPr="00A50E4D">
        <w:rPr>
          <w:spacing w:val="-4"/>
          <w:lang w:val="en-US"/>
        </w:rPr>
        <w:instrText xml:space="preserve"> REF _Ref431642538 \r \h  \* MERGEFORMAT </w:instrText>
      </w:r>
      <w:r w:rsidR="00E50181" w:rsidRPr="00914F55">
        <w:rPr>
          <w:spacing w:val="-4"/>
          <w:lang w:val="en-US"/>
        </w:rPr>
      </w:r>
      <w:r w:rsidR="00E50181" w:rsidRPr="00914F55">
        <w:rPr>
          <w:spacing w:val="-4"/>
          <w:lang w:val="en-US"/>
        </w:rPr>
        <w:fldChar w:fldCharType="separate"/>
      </w:r>
      <w:r w:rsidR="00547588">
        <w:rPr>
          <w:spacing w:val="-4"/>
          <w:lang w:val="en-US"/>
        </w:rPr>
        <w:t>160</w:t>
      </w:r>
      <w:r w:rsidR="00E50181" w:rsidRPr="00914F55">
        <w:rPr>
          <w:spacing w:val="-4"/>
          <w:lang w:val="en-US"/>
        </w:rPr>
        <w:fldChar w:fldCharType="end"/>
      </w:r>
      <w:r w:rsidR="00E50181" w:rsidRPr="00A50E4D">
        <w:rPr>
          <w:spacing w:val="-4"/>
          <w:lang w:val="en-US"/>
        </w:rPr>
        <w:t xml:space="preserve"> </w:t>
      </w:r>
      <w:r w:rsidR="00A45503" w:rsidRPr="00A50E4D">
        <w:rPr>
          <w:spacing w:val="-4"/>
          <w:lang w:val="en-US"/>
        </w:rPr>
        <w:t>to</w:t>
      </w:r>
      <w:r w:rsidR="00E50181" w:rsidRPr="00A50E4D">
        <w:rPr>
          <w:spacing w:val="-4"/>
          <w:lang w:val="en-US"/>
        </w:rPr>
        <w:t xml:space="preserve"> </w:t>
      </w:r>
      <w:r w:rsidR="00E50181" w:rsidRPr="00914F55">
        <w:rPr>
          <w:spacing w:val="-4"/>
          <w:lang w:val="en-US"/>
        </w:rPr>
        <w:fldChar w:fldCharType="begin"/>
      </w:r>
      <w:r w:rsidR="00E50181" w:rsidRPr="00A50E4D">
        <w:rPr>
          <w:spacing w:val="-4"/>
          <w:lang w:val="en-US"/>
        </w:rPr>
        <w:instrText xml:space="preserve"> REF _Ref431642482 \r \h  \* MERGEFORMAT </w:instrText>
      </w:r>
      <w:r w:rsidR="00E50181" w:rsidRPr="00914F55">
        <w:rPr>
          <w:spacing w:val="-4"/>
          <w:lang w:val="en-US"/>
        </w:rPr>
      </w:r>
      <w:r w:rsidR="00E50181" w:rsidRPr="00914F55">
        <w:rPr>
          <w:spacing w:val="-4"/>
          <w:lang w:val="en-US"/>
        </w:rPr>
        <w:fldChar w:fldCharType="separate"/>
      </w:r>
      <w:r w:rsidR="00547588">
        <w:rPr>
          <w:spacing w:val="-4"/>
          <w:lang w:val="en-US"/>
        </w:rPr>
        <w:t>177</w:t>
      </w:r>
      <w:r w:rsidR="00E50181" w:rsidRPr="00914F55">
        <w:rPr>
          <w:spacing w:val="-4"/>
          <w:lang w:val="en-US"/>
        </w:rPr>
        <w:fldChar w:fldCharType="end"/>
      </w:r>
      <w:r w:rsidRPr="00A50E4D">
        <w:rPr>
          <w:spacing w:val="-4"/>
          <w:lang w:val="en-US"/>
        </w:rPr>
        <w:t xml:space="preserve"> and </w:t>
      </w:r>
      <w:r w:rsidR="00E50181" w:rsidRPr="00914F55">
        <w:rPr>
          <w:spacing w:val="-4"/>
          <w:lang w:val="en-US"/>
        </w:rPr>
        <w:fldChar w:fldCharType="begin"/>
      </w:r>
      <w:r w:rsidR="00E50181" w:rsidRPr="00A50E4D">
        <w:rPr>
          <w:spacing w:val="-4"/>
          <w:lang w:val="en-US"/>
        </w:rPr>
        <w:instrText xml:space="preserve"> REF _Ref431643134 \r \h  \* MERGEFORMAT </w:instrText>
      </w:r>
      <w:r w:rsidR="00E50181" w:rsidRPr="00914F55">
        <w:rPr>
          <w:spacing w:val="-4"/>
          <w:lang w:val="en-US"/>
        </w:rPr>
      </w:r>
      <w:r w:rsidR="00E50181" w:rsidRPr="00914F55">
        <w:rPr>
          <w:spacing w:val="-4"/>
          <w:lang w:val="en-US"/>
        </w:rPr>
        <w:fldChar w:fldCharType="separate"/>
      </w:r>
      <w:r w:rsidR="00547588">
        <w:rPr>
          <w:spacing w:val="-4"/>
          <w:lang w:val="en-US"/>
        </w:rPr>
        <w:t>183</w:t>
      </w:r>
      <w:r w:rsidR="00E50181" w:rsidRPr="00914F55">
        <w:rPr>
          <w:spacing w:val="-4"/>
          <w:lang w:val="en-US"/>
        </w:rPr>
        <w:fldChar w:fldCharType="end"/>
      </w:r>
      <w:r w:rsidR="00E50181" w:rsidRPr="00A50E4D">
        <w:rPr>
          <w:spacing w:val="-4"/>
          <w:lang w:val="en-US"/>
        </w:rPr>
        <w:t>.</w:t>
      </w:r>
    </w:p>
    <w:p w14:paraId="7B4B7FE5" w14:textId="77777777" w:rsidR="008F28E7" w:rsidRPr="00A50E4D" w:rsidRDefault="008F28E7" w:rsidP="00E17423">
      <w:pPr>
        <w:tabs>
          <w:tab w:val="left" w:pos="567"/>
        </w:tabs>
        <w:autoSpaceDE w:val="0"/>
        <w:autoSpaceDN w:val="0"/>
        <w:spacing w:before="20" w:after="20"/>
        <w:rPr>
          <w:lang w:val="en-US"/>
        </w:rPr>
      </w:pPr>
    </w:p>
    <w:p w14:paraId="1A767119" w14:textId="6A0F0030" w:rsidR="00453AA5" w:rsidRPr="00A50E4D" w:rsidRDefault="009808C5" w:rsidP="00E17423">
      <w:pPr>
        <w:numPr>
          <w:ilvl w:val="0"/>
          <w:numId w:val="13"/>
        </w:numPr>
        <w:tabs>
          <w:tab w:val="left" w:pos="567"/>
        </w:tabs>
        <w:autoSpaceDE w:val="0"/>
        <w:autoSpaceDN w:val="0"/>
        <w:spacing w:before="20" w:after="20"/>
        <w:ind w:left="0" w:firstLine="0"/>
        <w:rPr>
          <w:rFonts w:cs="Arial"/>
          <w:color w:val="000000"/>
          <w:spacing w:val="-2"/>
          <w:szCs w:val="20"/>
          <w:lang w:val="en-US"/>
        </w:rPr>
      </w:pPr>
      <w:r w:rsidRPr="00A50E4D">
        <w:rPr>
          <w:spacing w:val="-2"/>
          <w:lang w:val="en-US"/>
        </w:rPr>
        <w:t>The State</w:t>
      </w:r>
      <w:r w:rsidR="009A3C1E" w:rsidRPr="00A50E4D">
        <w:rPr>
          <w:spacing w:val="-2"/>
          <w:lang w:val="en-US"/>
        </w:rPr>
        <w:t xml:space="preserve"> </w:t>
      </w:r>
      <w:r w:rsidR="00A45503" w:rsidRPr="00A50E4D">
        <w:rPr>
          <w:spacing w:val="-4"/>
          <w:lang w:val="en-US"/>
        </w:rPr>
        <w:t xml:space="preserve">is responsible for the violation </w:t>
      </w:r>
      <w:r w:rsidR="0048601C" w:rsidRPr="00A50E4D">
        <w:rPr>
          <w:szCs w:val="20"/>
          <w:lang w:val="en-US"/>
        </w:rPr>
        <w:t>of Article</w:t>
      </w:r>
      <w:r w:rsidR="00453AA5" w:rsidRPr="00A50E4D">
        <w:rPr>
          <w:szCs w:val="20"/>
          <w:lang w:val="en-US"/>
        </w:rPr>
        <w:t xml:space="preserve"> 16</w:t>
      </w:r>
      <w:r w:rsidRPr="00A50E4D">
        <w:rPr>
          <w:szCs w:val="20"/>
          <w:lang w:val="en-US"/>
        </w:rPr>
        <w:t xml:space="preserve"> of the American Convention</w:t>
      </w:r>
      <w:r w:rsidR="00453AA5" w:rsidRPr="00A50E4D">
        <w:rPr>
          <w:szCs w:val="20"/>
          <w:lang w:val="en-US"/>
        </w:rPr>
        <w:t xml:space="preserve">, </w:t>
      </w:r>
      <w:r w:rsidR="0048601C" w:rsidRPr="00A50E4D">
        <w:rPr>
          <w:szCs w:val="20"/>
          <w:lang w:val="en-US"/>
        </w:rPr>
        <w:t>in relation to Article 1(1)</w:t>
      </w:r>
      <w:r w:rsidR="009A3C1E" w:rsidRPr="00A50E4D">
        <w:rPr>
          <w:szCs w:val="20"/>
          <w:lang w:val="en-US"/>
        </w:rPr>
        <w:t xml:space="preserve"> </w:t>
      </w:r>
      <w:r w:rsidR="0048601C" w:rsidRPr="00A50E4D">
        <w:rPr>
          <w:szCs w:val="20"/>
          <w:lang w:val="en-US"/>
        </w:rPr>
        <w:t>of this instrument</w:t>
      </w:r>
      <w:r w:rsidR="009A3C1E" w:rsidRPr="00A50E4D">
        <w:rPr>
          <w:szCs w:val="20"/>
          <w:lang w:val="en-US"/>
        </w:rPr>
        <w:t xml:space="preserve">, </w:t>
      </w:r>
      <w:r w:rsidR="00A45503" w:rsidRPr="00A50E4D">
        <w:rPr>
          <w:lang w:val="en-US"/>
        </w:rPr>
        <w:t>to the detriment of</w:t>
      </w:r>
      <w:r w:rsidR="00493415" w:rsidRPr="00A50E4D">
        <w:rPr>
          <w:lang w:val="en-US"/>
        </w:rPr>
        <w:t xml:space="preserve"> Adán Guillermo López Lone, </w:t>
      </w:r>
      <w:r w:rsidR="008217D7" w:rsidRPr="00A50E4D">
        <w:rPr>
          <w:lang w:val="en-US"/>
        </w:rPr>
        <w:t>Tirza del Carmen</w:t>
      </w:r>
      <w:r w:rsidR="00493415" w:rsidRPr="00A50E4D">
        <w:rPr>
          <w:lang w:val="en-US"/>
        </w:rPr>
        <w:t xml:space="preserve"> Flores Lanza</w:t>
      </w:r>
      <w:r w:rsidRPr="00A50E4D">
        <w:rPr>
          <w:lang w:val="en-US"/>
        </w:rPr>
        <w:t xml:space="preserve"> and </w:t>
      </w:r>
      <w:r w:rsidR="00493415" w:rsidRPr="00A50E4D">
        <w:rPr>
          <w:lang w:val="en-US"/>
        </w:rPr>
        <w:t xml:space="preserve">Luis Alonso </w:t>
      </w:r>
      <w:r w:rsidR="009A7056" w:rsidRPr="00A50E4D">
        <w:rPr>
          <w:lang w:val="en-US"/>
        </w:rPr>
        <w:t>Chévez de la Rocha</w:t>
      </w:r>
      <w:r w:rsidR="00493415" w:rsidRPr="00A50E4D">
        <w:rPr>
          <w:spacing w:val="-2"/>
          <w:lang w:val="en-US"/>
        </w:rPr>
        <w:t xml:space="preserve">, </w:t>
      </w:r>
      <w:r w:rsidR="00A45503" w:rsidRPr="00A50E4D">
        <w:rPr>
          <w:spacing w:val="-2"/>
          <w:lang w:val="en-US"/>
        </w:rPr>
        <w:t xml:space="preserve">owing to the undue violation of their </w:t>
      </w:r>
      <w:r w:rsidR="00371BB7" w:rsidRPr="00A50E4D">
        <w:rPr>
          <w:spacing w:val="-2"/>
          <w:lang w:val="en-US"/>
        </w:rPr>
        <w:t>freedom of association</w:t>
      </w:r>
      <w:r w:rsidR="00493415" w:rsidRPr="00A50E4D">
        <w:rPr>
          <w:spacing w:val="-2"/>
          <w:lang w:val="en-US"/>
        </w:rPr>
        <w:t xml:space="preserve">, </w:t>
      </w:r>
      <w:r w:rsidR="004519A2" w:rsidRPr="00A50E4D">
        <w:rPr>
          <w:spacing w:val="-2"/>
          <w:lang w:val="en-US"/>
        </w:rPr>
        <w:t>pursuant to</w:t>
      </w:r>
      <w:r w:rsidR="00453AA5" w:rsidRPr="00A50E4D">
        <w:rPr>
          <w:spacing w:val="-2"/>
          <w:lang w:val="en-US"/>
        </w:rPr>
        <w:t xml:space="preserve"> </w:t>
      </w:r>
      <w:r w:rsidR="00F814CB" w:rsidRPr="00A50E4D">
        <w:rPr>
          <w:spacing w:val="-2"/>
          <w:lang w:val="en-US"/>
        </w:rPr>
        <w:t>paragraph</w:t>
      </w:r>
      <w:r w:rsidR="00493415" w:rsidRPr="00A50E4D">
        <w:rPr>
          <w:rFonts w:eastAsia="Batang" w:cs="Times"/>
          <w:spacing w:val="-2"/>
          <w:szCs w:val="20"/>
          <w:lang w:val="en-US"/>
        </w:rPr>
        <w:t xml:space="preserve"> </w:t>
      </w:r>
      <w:r w:rsidR="00493415" w:rsidRPr="00914F55">
        <w:rPr>
          <w:rFonts w:eastAsia="Batang" w:cs="Times"/>
          <w:spacing w:val="-2"/>
          <w:szCs w:val="20"/>
          <w:lang w:val="en-US"/>
        </w:rPr>
        <w:fldChar w:fldCharType="begin"/>
      </w:r>
      <w:r w:rsidR="00493415" w:rsidRPr="00A50E4D">
        <w:rPr>
          <w:rFonts w:eastAsia="Batang" w:cs="Times"/>
          <w:spacing w:val="-2"/>
          <w:szCs w:val="20"/>
          <w:lang w:val="en-US"/>
        </w:rPr>
        <w:instrText xml:space="preserve"> REF _Ref431643622 \r \h  \* MERGEFORMAT </w:instrText>
      </w:r>
      <w:r w:rsidR="00493415" w:rsidRPr="00914F55">
        <w:rPr>
          <w:rFonts w:eastAsia="Batang" w:cs="Times"/>
          <w:spacing w:val="-2"/>
          <w:szCs w:val="20"/>
          <w:lang w:val="en-US"/>
        </w:rPr>
      </w:r>
      <w:r w:rsidR="00493415" w:rsidRPr="00914F55">
        <w:rPr>
          <w:rFonts w:eastAsia="Batang" w:cs="Times"/>
          <w:spacing w:val="-2"/>
          <w:szCs w:val="20"/>
          <w:lang w:val="en-US"/>
        </w:rPr>
        <w:fldChar w:fldCharType="separate"/>
      </w:r>
      <w:r w:rsidR="00547588">
        <w:rPr>
          <w:rFonts w:eastAsia="Batang" w:cs="Times"/>
          <w:spacing w:val="-2"/>
          <w:szCs w:val="20"/>
          <w:lang w:val="en-US"/>
        </w:rPr>
        <w:t>186</w:t>
      </w:r>
      <w:r w:rsidR="00493415" w:rsidRPr="00914F55">
        <w:rPr>
          <w:rFonts w:eastAsia="Batang" w:cs="Times"/>
          <w:spacing w:val="-2"/>
          <w:szCs w:val="20"/>
          <w:lang w:val="en-US"/>
        </w:rPr>
        <w:fldChar w:fldCharType="end"/>
      </w:r>
      <w:r w:rsidR="00453AA5" w:rsidRPr="00A50E4D">
        <w:rPr>
          <w:rFonts w:eastAsia="Batang" w:cs="Times"/>
          <w:spacing w:val="-2"/>
          <w:szCs w:val="20"/>
          <w:lang w:val="en-US"/>
        </w:rPr>
        <w:t>.</w:t>
      </w:r>
    </w:p>
    <w:p w14:paraId="4CDD9E21" w14:textId="77777777" w:rsidR="00493415" w:rsidRPr="00A50E4D" w:rsidRDefault="00493415" w:rsidP="00E17423">
      <w:pPr>
        <w:tabs>
          <w:tab w:val="left" w:pos="567"/>
        </w:tabs>
        <w:autoSpaceDE w:val="0"/>
        <w:autoSpaceDN w:val="0"/>
        <w:spacing w:before="20" w:after="20"/>
        <w:rPr>
          <w:rFonts w:cs="Arial"/>
          <w:color w:val="000000"/>
          <w:spacing w:val="-2"/>
          <w:szCs w:val="20"/>
          <w:lang w:val="en-US"/>
        </w:rPr>
      </w:pPr>
    </w:p>
    <w:p w14:paraId="6D082DDB" w14:textId="780FBB1B" w:rsidR="00493415" w:rsidRPr="00A50E4D" w:rsidRDefault="009808C5" w:rsidP="00E17423">
      <w:pPr>
        <w:pStyle w:val="PrrafodeSentencia"/>
        <w:numPr>
          <w:ilvl w:val="0"/>
          <w:numId w:val="13"/>
        </w:numPr>
        <w:spacing w:before="20" w:after="20"/>
        <w:ind w:left="0" w:firstLine="0"/>
        <w:rPr>
          <w:lang w:val="en-US"/>
        </w:rPr>
      </w:pPr>
      <w:r w:rsidRPr="00A50E4D">
        <w:rPr>
          <w:spacing w:val="-2"/>
          <w:lang w:val="en-US"/>
        </w:rPr>
        <w:t>The State</w:t>
      </w:r>
      <w:r w:rsidR="00493415" w:rsidRPr="00A50E4D">
        <w:rPr>
          <w:spacing w:val="-2"/>
          <w:lang w:val="en-US"/>
        </w:rPr>
        <w:t xml:space="preserve"> </w:t>
      </w:r>
      <w:r w:rsidR="00A45503" w:rsidRPr="00A50E4D">
        <w:rPr>
          <w:lang w:val="en-US"/>
        </w:rPr>
        <w:t xml:space="preserve">is responsible for the violation </w:t>
      </w:r>
      <w:r w:rsidR="0048601C" w:rsidRPr="00A50E4D">
        <w:rPr>
          <w:spacing w:val="-2"/>
          <w:lang w:val="en-US"/>
        </w:rPr>
        <w:t>of Article</w:t>
      </w:r>
      <w:r w:rsidR="00493415" w:rsidRPr="00A50E4D">
        <w:rPr>
          <w:spacing w:val="-2"/>
          <w:lang w:val="en-US"/>
        </w:rPr>
        <w:t xml:space="preserve"> </w:t>
      </w:r>
      <w:r w:rsidR="00EA5E90" w:rsidRPr="00A50E4D">
        <w:rPr>
          <w:spacing w:val="-2"/>
          <w:lang w:val="en-US"/>
        </w:rPr>
        <w:t>8(1)</w:t>
      </w:r>
      <w:r w:rsidRPr="00A50E4D">
        <w:rPr>
          <w:spacing w:val="-2"/>
          <w:lang w:val="en-US"/>
        </w:rPr>
        <w:t xml:space="preserve"> of the American Convention</w:t>
      </w:r>
      <w:r w:rsidR="00493415" w:rsidRPr="00A50E4D">
        <w:rPr>
          <w:spacing w:val="-2"/>
          <w:lang w:val="en-US"/>
        </w:rPr>
        <w:t xml:space="preserve">, </w:t>
      </w:r>
      <w:r w:rsidR="0048601C" w:rsidRPr="00A50E4D">
        <w:rPr>
          <w:spacing w:val="-2"/>
          <w:lang w:val="en-US"/>
        </w:rPr>
        <w:t>in relation to Articles 1(1)</w:t>
      </w:r>
      <w:r w:rsidRPr="00A50E4D">
        <w:rPr>
          <w:spacing w:val="-2"/>
          <w:lang w:val="en-US"/>
        </w:rPr>
        <w:t xml:space="preserve"> and </w:t>
      </w:r>
      <w:r w:rsidR="00493415" w:rsidRPr="00A50E4D">
        <w:rPr>
          <w:spacing w:val="-2"/>
          <w:lang w:val="en-US"/>
        </w:rPr>
        <w:t>2</w:t>
      </w:r>
      <w:r w:rsidR="00FF35A9" w:rsidRPr="00A50E4D">
        <w:rPr>
          <w:spacing w:val="-2"/>
          <w:lang w:val="en-US"/>
        </w:rPr>
        <w:t xml:space="preserve"> </w:t>
      </w:r>
      <w:r w:rsidR="00A45503" w:rsidRPr="00A50E4D">
        <w:rPr>
          <w:spacing w:val="-2"/>
          <w:lang w:val="en-US"/>
        </w:rPr>
        <w:t>of this instrument</w:t>
      </w:r>
      <w:r w:rsidR="00493415" w:rsidRPr="00A50E4D">
        <w:rPr>
          <w:spacing w:val="-2"/>
          <w:lang w:val="en-US"/>
        </w:rPr>
        <w:t xml:space="preserve">, </w:t>
      </w:r>
      <w:r w:rsidR="00A45503" w:rsidRPr="00A50E4D">
        <w:rPr>
          <w:spacing w:val="-2"/>
          <w:lang w:val="en-US"/>
        </w:rPr>
        <w:t>to the detriment of</w:t>
      </w:r>
      <w:r w:rsidR="00493415" w:rsidRPr="00A50E4D">
        <w:rPr>
          <w:spacing w:val="-2"/>
          <w:lang w:val="en-US"/>
        </w:rPr>
        <w:t xml:space="preserve"> </w:t>
      </w:r>
      <w:r w:rsidR="00493415" w:rsidRPr="00A50E4D">
        <w:rPr>
          <w:lang w:val="en-US"/>
        </w:rPr>
        <w:t xml:space="preserve">Adán Guillermo López Lone, </w:t>
      </w:r>
      <w:r w:rsidR="008217D7" w:rsidRPr="00A50E4D">
        <w:rPr>
          <w:lang w:val="en-US"/>
        </w:rPr>
        <w:t>Tirza del Carmen</w:t>
      </w:r>
      <w:r w:rsidR="00493415" w:rsidRPr="00A50E4D">
        <w:rPr>
          <w:lang w:val="en-US"/>
        </w:rPr>
        <w:t xml:space="preserve"> Flores Lanza, Luis Alonso </w:t>
      </w:r>
      <w:r w:rsidR="009A7056" w:rsidRPr="00A50E4D">
        <w:rPr>
          <w:lang w:val="en-US"/>
        </w:rPr>
        <w:t>Chévez de la Rocha</w:t>
      </w:r>
      <w:r w:rsidRPr="00A50E4D">
        <w:rPr>
          <w:lang w:val="en-US"/>
        </w:rPr>
        <w:t xml:space="preserve"> and </w:t>
      </w:r>
      <w:r w:rsidR="00493415" w:rsidRPr="00A50E4D">
        <w:rPr>
          <w:lang w:val="en-US"/>
        </w:rPr>
        <w:t>Ramón Enrique Barrios Maldonado</w:t>
      </w:r>
      <w:r w:rsidR="00493415" w:rsidRPr="00A50E4D">
        <w:rPr>
          <w:spacing w:val="-2"/>
          <w:lang w:val="en-US"/>
        </w:rPr>
        <w:t>,</w:t>
      </w:r>
      <w:r w:rsidR="00493415" w:rsidRPr="00A50E4D">
        <w:rPr>
          <w:lang w:val="en-US"/>
        </w:rPr>
        <w:t xml:space="preserve"> </w:t>
      </w:r>
      <w:r w:rsidR="00A45503" w:rsidRPr="00A50E4D">
        <w:rPr>
          <w:lang w:val="en-US"/>
        </w:rPr>
        <w:t>owing to the violation of the guarantees of competence, independence and</w:t>
      </w:r>
      <w:r w:rsidR="00493415" w:rsidRPr="00A50E4D">
        <w:rPr>
          <w:lang w:val="en-US"/>
        </w:rPr>
        <w:t xml:space="preserve"> im</w:t>
      </w:r>
      <w:r w:rsidR="00382405" w:rsidRPr="00A50E4D">
        <w:rPr>
          <w:lang w:val="en-US"/>
        </w:rPr>
        <w:t>partiality</w:t>
      </w:r>
      <w:r w:rsidR="00A45503" w:rsidRPr="00A50E4D">
        <w:rPr>
          <w:lang w:val="en-US"/>
        </w:rPr>
        <w:t xml:space="preserve"> i</w:t>
      </w:r>
      <w:r w:rsidR="00493415" w:rsidRPr="00A50E4D">
        <w:rPr>
          <w:lang w:val="en-US"/>
        </w:rPr>
        <w:t xml:space="preserve">n </w:t>
      </w:r>
      <w:r w:rsidR="00277E12" w:rsidRPr="00A50E4D">
        <w:rPr>
          <w:lang w:val="en-US"/>
        </w:rPr>
        <w:t>the disciplinary proceedings</w:t>
      </w:r>
      <w:r w:rsidR="00493415" w:rsidRPr="00A50E4D">
        <w:rPr>
          <w:lang w:val="en-US"/>
        </w:rPr>
        <w:t xml:space="preserve"> </w:t>
      </w:r>
      <w:r w:rsidR="00A45503" w:rsidRPr="00A50E4D">
        <w:rPr>
          <w:lang w:val="en-US"/>
        </w:rPr>
        <w:t xml:space="preserve">to which they were subjected, as well as </w:t>
      </w:r>
      <w:r w:rsidR="0048601C" w:rsidRPr="00A50E4D">
        <w:rPr>
          <w:spacing w:val="-2"/>
          <w:lang w:val="en-US"/>
        </w:rPr>
        <w:t>in relation to Article</w:t>
      </w:r>
      <w:r w:rsidR="00493415" w:rsidRPr="00A50E4D">
        <w:rPr>
          <w:spacing w:val="-2"/>
          <w:lang w:val="en-US"/>
        </w:rPr>
        <w:t xml:space="preserve"> </w:t>
      </w:r>
      <w:r w:rsidR="00EA5E90" w:rsidRPr="00A50E4D">
        <w:rPr>
          <w:spacing w:val="-2"/>
          <w:lang w:val="en-US"/>
        </w:rPr>
        <w:t>23(1)(c)</w:t>
      </w:r>
      <w:r w:rsidRPr="00A50E4D">
        <w:rPr>
          <w:lang w:val="en-US"/>
        </w:rPr>
        <w:t xml:space="preserve"> of the Convention</w:t>
      </w:r>
      <w:r w:rsidR="00493415" w:rsidRPr="00A50E4D">
        <w:rPr>
          <w:lang w:val="en-US"/>
        </w:rPr>
        <w:t xml:space="preserve"> </w:t>
      </w:r>
      <w:r w:rsidR="000A786A" w:rsidRPr="00A50E4D">
        <w:rPr>
          <w:lang w:val="en-US"/>
        </w:rPr>
        <w:t>owing</w:t>
      </w:r>
      <w:r w:rsidR="00A45503" w:rsidRPr="00A50E4D">
        <w:rPr>
          <w:lang w:val="en-US"/>
        </w:rPr>
        <w:t xml:space="preserve"> to the arbitrary infringement of tenure in the exercise of judicial functions and the consequent violation of </w:t>
      </w:r>
      <w:r w:rsidR="00884A7E" w:rsidRPr="00A50E4D">
        <w:rPr>
          <w:lang w:val="en-US"/>
        </w:rPr>
        <w:t>judicial independence</w:t>
      </w:r>
      <w:r w:rsidR="00493415" w:rsidRPr="00A50E4D">
        <w:rPr>
          <w:lang w:val="en-US"/>
        </w:rPr>
        <w:t xml:space="preserve">, </w:t>
      </w:r>
      <w:r w:rsidR="00A45503" w:rsidRPr="00A50E4D">
        <w:rPr>
          <w:lang w:val="en-US"/>
        </w:rPr>
        <w:t>to the detriment of</w:t>
      </w:r>
      <w:r w:rsidR="00493415" w:rsidRPr="00A50E4D">
        <w:rPr>
          <w:lang w:val="en-US"/>
        </w:rPr>
        <w:t xml:space="preserve"> Adán Guillermo López Lone, </w:t>
      </w:r>
      <w:r w:rsidR="008217D7" w:rsidRPr="00A50E4D">
        <w:rPr>
          <w:lang w:val="en-US"/>
        </w:rPr>
        <w:t>Tirza del Carmen</w:t>
      </w:r>
      <w:r w:rsidR="00493415" w:rsidRPr="00A50E4D">
        <w:rPr>
          <w:lang w:val="en-US"/>
        </w:rPr>
        <w:t xml:space="preserve"> Flores Lanza</w:t>
      </w:r>
      <w:r w:rsidRPr="00A50E4D">
        <w:rPr>
          <w:lang w:val="en-US"/>
        </w:rPr>
        <w:t xml:space="preserve"> and </w:t>
      </w:r>
      <w:r w:rsidR="00493415" w:rsidRPr="00A50E4D">
        <w:rPr>
          <w:lang w:val="en-US"/>
        </w:rPr>
        <w:t xml:space="preserve">Luis Alonso </w:t>
      </w:r>
      <w:r w:rsidR="009A7056" w:rsidRPr="00A50E4D">
        <w:rPr>
          <w:lang w:val="en-US"/>
        </w:rPr>
        <w:t>Chévez de la Rocha</w:t>
      </w:r>
      <w:r w:rsidR="00493415" w:rsidRPr="00A50E4D">
        <w:rPr>
          <w:lang w:val="en-US"/>
        </w:rPr>
        <w:t xml:space="preserve">, </w:t>
      </w:r>
      <w:r w:rsidR="004519A2" w:rsidRPr="00A50E4D">
        <w:rPr>
          <w:spacing w:val="-2"/>
          <w:lang w:val="en-US"/>
        </w:rPr>
        <w:t xml:space="preserve">pursuant to </w:t>
      </w:r>
      <w:r w:rsidR="00F814CB" w:rsidRPr="00A50E4D">
        <w:rPr>
          <w:spacing w:val="-2"/>
          <w:lang w:val="en-US"/>
        </w:rPr>
        <w:t>paragraphs</w:t>
      </w:r>
      <w:r w:rsidR="00493415" w:rsidRPr="00A50E4D">
        <w:rPr>
          <w:spacing w:val="-2"/>
          <w:lang w:val="en-US"/>
        </w:rPr>
        <w:t xml:space="preserve"> </w:t>
      </w:r>
      <w:r w:rsidR="00493415" w:rsidRPr="00914F55">
        <w:rPr>
          <w:spacing w:val="-2"/>
          <w:lang w:val="en-US"/>
        </w:rPr>
        <w:fldChar w:fldCharType="begin"/>
      </w:r>
      <w:r w:rsidR="00493415" w:rsidRPr="00A50E4D">
        <w:rPr>
          <w:spacing w:val="-2"/>
          <w:lang w:val="en-US"/>
        </w:rPr>
        <w:instrText xml:space="preserve"> REF _Ref431213752 \r \h  \* MERGEFORMAT </w:instrText>
      </w:r>
      <w:r w:rsidR="00493415" w:rsidRPr="00914F55">
        <w:rPr>
          <w:spacing w:val="-2"/>
          <w:lang w:val="en-US"/>
        </w:rPr>
      </w:r>
      <w:r w:rsidR="00493415" w:rsidRPr="00914F55">
        <w:rPr>
          <w:spacing w:val="-2"/>
          <w:lang w:val="en-US"/>
        </w:rPr>
        <w:fldChar w:fldCharType="separate"/>
      </w:r>
      <w:r w:rsidR="00547588">
        <w:rPr>
          <w:spacing w:val="-2"/>
          <w:lang w:val="en-US"/>
        </w:rPr>
        <w:t>207</w:t>
      </w:r>
      <w:r w:rsidR="00493415" w:rsidRPr="00914F55">
        <w:rPr>
          <w:spacing w:val="-2"/>
          <w:lang w:val="en-US"/>
        </w:rPr>
        <w:fldChar w:fldCharType="end"/>
      </w:r>
      <w:r w:rsidR="00A45503" w:rsidRPr="00A50E4D">
        <w:rPr>
          <w:spacing w:val="-2"/>
          <w:lang w:val="en-US"/>
        </w:rPr>
        <w:t xml:space="preserve"> to</w:t>
      </w:r>
      <w:r w:rsidR="00A82B2B" w:rsidRPr="00A50E4D">
        <w:rPr>
          <w:spacing w:val="-2"/>
          <w:lang w:val="en-US"/>
        </w:rPr>
        <w:t xml:space="preserve"> </w:t>
      </w:r>
      <w:r w:rsidR="00A82B2B" w:rsidRPr="00914F55">
        <w:rPr>
          <w:spacing w:val="-2"/>
          <w:lang w:val="en-US"/>
        </w:rPr>
        <w:fldChar w:fldCharType="begin"/>
      </w:r>
      <w:r w:rsidR="00A82B2B" w:rsidRPr="00A50E4D">
        <w:rPr>
          <w:spacing w:val="-2"/>
          <w:lang w:val="en-US"/>
        </w:rPr>
        <w:instrText xml:space="preserve"> REF _Ref431644197 \r \h  \* MERGEFORMAT </w:instrText>
      </w:r>
      <w:r w:rsidR="00A82B2B" w:rsidRPr="00914F55">
        <w:rPr>
          <w:spacing w:val="-2"/>
          <w:lang w:val="en-US"/>
        </w:rPr>
      </w:r>
      <w:r w:rsidR="00A82B2B" w:rsidRPr="00914F55">
        <w:rPr>
          <w:spacing w:val="-2"/>
          <w:lang w:val="en-US"/>
        </w:rPr>
        <w:fldChar w:fldCharType="separate"/>
      </w:r>
      <w:r w:rsidR="00547588">
        <w:rPr>
          <w:spacing w:val="-2"/>
          <w:lang w:val="en-US"/>
        </w:rPr>
        <w:t>240</w:t>
      </w:r>
      <w:r w:rsidR="00A82B2B" w:rsidRPr="00914F55">
        <w:rPr>
          <w:spacing w:val="-2"/>
          <w:lang w:val="en-US"/>
        </w:rPr>
        <w:fldChar w:fldCharType="end"/>
      </w:r>
      <w:r w:rsidR="00493415" w:rsidRPr="00A50E4D">
        <w:rPr>
          <w:lang w:val="en-US"/>
        </w:rPr>
        <w:t>.</w:t>
      </w:r>
    </w:p>
    <w:p w14:paraId="6DD40A8A" w14:textId="77777777" w:rsidR="00E50181" w:rsidRPr="00A50E4D" w:rsidRDefault="00E50181" w:rsidP="00E17423">
      <w:pPr>
        <w:spacing w:before="20" w:after="20"/>
        <w:rPr>
          <w:lang w:val="en-US" w:eastAsia="es-MX"/>
        </w:rPr>
      </w:pPr>
    </w:p>
    <w:p w14:paraId="1479118E" w14:textId="5E8C328B" w:rsidR="00F20162" w:rsidRPr="00A50E4D" w:rsidRDefault="009808C5" w:rsidP="00E17423">
      <w:pPr>
        <w:numPr>
          <w:ilvl w:val="0"/>
          <w:numId w:val="13"/>
        </w:numPr>
        <w:tabs>
          <w:tab w:val="left" w:pos="567"/>
        </w:tabs>
        <w:autoSpaceDE w:val="0"/>
        <w:autoSpaceDN w:val="0"/>
        <w:spacing w:before="20" w:after="20"/>
        <w:ind w:left="0" w:firstLine="0"/>
        <w:rPr>
          <w:spacing w:val="-2"/>
          <w:lang w:val="en-US"/>
        </w:rPr>
      </w:pPr>
      <w:r w:rsidRPr="00A50E4D">
        <w:rPr>
          <w:spacing w:val="-2"/>
          <w:lang w:val="en-US"/>
        </w:rPr>
        <w:t>The State</w:t>
      </w:r>
      <w:r w:rsidR="00F20162" w:rsidRPr="00A50E4D">
        <w:rPr>
          <w:spacing w:val="-2"/>
          <w:lang w:val="en-US"/>
        </w:rPr>
        <w:t xml:space="preserve"> </w:t>
      </w:r>
      <w:r w:rsidR="00A45503" w:rsidRPr="00A50E4D">
        <w:rPr>
          <w:spacing w:val="-4"/>
          <w:lang w:val="en-US"/>
        </w:rPr>
        <w:t xml:space="preserve">is responsible for the violation </w:t>
      </w:r>
      <w:r w:rsidR="0048601C" w:rsidRPr="00A50E4D">
        <w:rPr>
          <w:lang w:val="en-US"/>
        </w:rPr>
        <w:t>of Article</w:t>
      </w:r>
      <w:r w:rsidR="00F20162" w:rsidRPr="00A50E4D">
        <w:rPr>
          <w:lang w:val="en-US"/>
        </w:rPr>
        <w:t xml:space="preserve"> </w:t>
      </w:r>
      <w:r w:rsidR="00EA5E90" w:rsidRPr="00A50E4D">
        <w:rPr>
          <w:lang w:val="en-US"/>
        </w:rPr>
        <w:t>25(1)</w:t>
      </w:r>
      <w:r w:rsidRPr="00A50E4D">
        <w:rPr>
          <w:lang w:val="en-US"/>
        </w:rPr>
        <w:t xml:space="preserve"> of the American Convention</w:t>
      </w:r>
      <w:r w:rsidR="00F20162" w:rsidRPr="00A50E4D">
        <w:rPr>
          <w:spacing w:val="-2"/>
          <w:lang w:val="en-US"/>
        </w:rPr>
        <w:t xml:space="preserve">, </w:t>
      </w:r>
      <w:r w:rsidR="0048601C" w:rsidRPr="00A50E4D">
        <w:rPr>
          <w:spacing w:val="-2"/>
          <w:lang w:val="en-US"/>
        </w:rPr>
        <w:t>in relation to Article 1(1)</w:t>
      </w:r>
      <w:r w:rsidR="00FF35A9" w:rsidRPr="00A50E4D">
        <w:rPr>
          <w:spacing w:val="-2"/>
          <w:lang w:val="en-US"/>
        </w:rPr>
        <w:t xml:space="preserve"> </w:t>
      </w:r>
      <w:r w:rsidR="00A45503" w:rsidRPr="00A50E4D">
        <w:rPr>
          <w:spacing w:val="-2"/>
          <w:lang w:val="en-US"/>
        </w:rPr>
        <w:t>of this instrument</w:t>
      </w:r>
      <w:r w:rsidR="00F20162" w:rsidRPr="00A50E4D">
        <w:rPr>
          <w:spacing w:val="-2"/>
          <w:lang w:val="en-US"/>
        </w:rPr>
        <w:t xml:space="preserve">, </w:t>
      </w:r>
      <w:r w:rsidR="00A45503" w:rsidRPr="00A50E4D">
        <w:rPr>
          <w:spacing w:val="-2"/>
          <w:lang w:val="en-US"/>
        </w:rPr>
        <w:t>to the detriment of</w:t>
      </w:r>
      <w:r w:rsidR="00F20162" w:rsidRPr="00A50E4D">
        <w:rPr>
          <w:spacing w:val="-2"/>
          <w:lang w:val="en-US"/>
        </w:rPr>
        <w:t xml:space="preserve"> </w:t>
      </w:r>
      <w:r w:rsidR="00F20162" w:rsidRPr="00A50E4D">
        <w:rPr>
          <w:lang w:val="en-US"/>
        </w:rPr>
        <w:t xml:space="preserve">Adán Guillermo López Lone, </w:t>
      </w:r>
      <w:r w:rsidR="008217D7" w:rsidRPr="00A50E4D">
        <w:rPr>
          <w:lang w:val="en-US"/>
        </w:rPr>
        <w:t>Tirza del Carmen</w:t>
      </w:r>
      <w:r w:rsidR="00F20162" w:rsidRPr="00A50E4D">
        <w:rPr>
          <w:lang w:val="en-US"/>
        </w:rPr>
        <w:t xml:space="preserve"> Flores Lanza, Luis Alonso </w:t>
      </w:r>
      <w:r w:rsidR="009A7056" w:rsidRPr="00A50E4D">
        <w:rPr>
          <w:lang w:val="en-US"/>
        </w:rPr>
        <w:t>Chévez de la Rocha</w:t>
      </w:r>
      <w:r w:rsidRPr="00A50E4D">
        <w:rPr>
          <w:lang w:val="en-US"/>
        </w:rPr>
        <w:t xml:space="preserve"> and </w:t>
      </w:r>
      <w:r w:rsidR="00F20162" w:rsidRPr="00A50E4D">
        <w:rPr>
          <w:lang w:val="en-US"/>
        </w:rPr>
        <w:t xml:space="preserve">Ramón Enrique Barrios Maldonado, </w:t>
      </w:r>
      <w:r w:rsidR="004519A2" w:rsidRPr="00A50E4D">
        <w:rPr>
          <w:lang w:val="en-US"/>
        </w:rPr>
        <w:t>owing to the in</w:t>
      </w:r>
      <w:r w:rsidR="00A45503" w:rsidRPr="00A50E4D">
        <w:rPr>
          <w:lang w:val="en-US"/>
        </w:rPr>
        <w:t xml:space="preserve">effectiveness of </w:t>
      </w:r>
      <w:r w:rsidR="00FF35A9" w:rsidRPr="00A50E4D">
        <w:rPr>
          <w:lang w:val="en-US"/>
        </w:rPr>
        <w:t xml:space="preserve">the </w:t>
      </w:r>
      <w:r w:rsidR="006A756C" w:rsidRPr="00A50E4D">
        <w:rPr>
          <w:lang w:val="en-US"/>
        </w:rPr>
        <w:t xml:space="preserve">application for </w:t>
      </w:r>
      <w:r w:rsidR="00B11ACA" w:rsidRPr="00A50E4D">
        <w:rPr>
          <w:i/>
          <w:lang w:val="en-US"/>
        </w:rPr>
        <w:t>amparo</w:t>
      </w:r>
      <w:r w:rsidR="00F20162" w:rsidRPr="00A50E4D">
        <w:rPr>
          <w:lang w:val="en-US"/>
        </w:rPr>
        <w:t xml:space="preserve"> </w:t>
      </w:r>
      <w:r w:rsidR="00A45503" w:rsidRPr="00A50E4D">
        <w:rPr>
          <w:lang w:val="en-US"/>
        </w:rPr>
        <w:t xml:space="preserve">to contest the </w:t>
      </w:r>
      <w:r w:rsidR="00665BDA" w:rsidRPr="00A50E4D">
        <w:rPr>
          <w:lang w:val="en-US"/>
        </w:rPr>
        <w:t>decisions</w:t>
      </w:r>
      <w:r w:rsidR="00A45503" w:rsidRPr="00A50E4D">
        <w:rPr>
          <w:lang w:val="en-US"/>
        </w:rPr>
        <w:t xml:space="preserve"> i</w:t>
      </w:r>
      <w:r w:rsidR="00F20162" w:rsidRPr="00A50E4D">
        <w:rPr>
          <w:lang w:val="en-US"/>
        </w:rPr>
        <w:t xml:space="preserve">n </w:t>
      </w:r>
      <w:r w:rsidR="00687A44" w:rsidRPr="00A50E4D">
        <w:rPr>
          <w:lang w:val="en-US"/>
        </w:rPr>
        <w:t>the disciplinary proceedings</w:t>
      </w:r>
      <w:r w:rsidR="00A45503" w:rsidRPr="00A50E4D">
        <w:rPr>
          <w:lang w:val="en-US"/>
        </w:rPr>
        <w:t xml:space="preserve"> to which the victims were subject</w:t>
      </w:r>
      <w:r w:rsidR="004519A2" w:rsidRPr="00A50E4D">
        <w:rPr>
          <w:lang w:val="en-US"/>
        </w:rPr>
        <w:t>ed</w:t>
      </w:r>
      <w:r w:rsidR="00F20162" w:rsidRPr="00A50E4D">
        <w:rPr>
          <w:lang w:val="en-US"/>
        </w:rPr>
        <w:t xml:space="preserve">, </w:t>
      </w:r>
      <w:r w:rsidR="004519A2" w:rsidRPr="00A50E4D">
        <w:rPr>
          <w:spacing w:val="-2"/>
          <w:lang w:val="en-US"/>
        </w:rPr>
        <w:t xml:space="preserve">pursuant to </w:t>
      </w:r>
      <w:r w:rsidR="00F814CB" w:rsidRPr="00A50E4D">
        <w:rPr>
          <w:rFonts w:eastAsia="Batang" w:cs="Times"/>
          <w:spacing w:val="-2"/>
          <w:szCs w:val="20"/>
          <w:lang w:val="en-US"/>
        </w:rPr>
        <w:t>paragraphs</w:t>
      </w:r>
      <w:r w:rsidR="00F20162" w:rsidRPr="00A50E4D">
        <w:rPr>
          <w:rFonts w:eastAsia="Batang" w:cs="Times"/>
          <w:spacing w:val="-2"/>
          <w:szCs w:val="20"/>
          <w:lang w:val="en-US"/>
        </w:rPr>
        <w:t xml:space="preserve"> </w:t>
      </w:r>
      <w:r w:rsidR="00F20162" w:rsidRPr="00914F55">
        <w:rPr>
          <w:rFonts w:eastAsia="Batang" w:cs="Times"/>
          <w:spacing w:val="-2"/>
          <w:szCs w:val="20"/>
          <w:lang w:val="en-US"/>
        </w:rPr>
        <w:fldChar w:fldCharType="begin"/>
      </w:r>
      <w:r w:rsidR="00F20162" w:rsidRPr="00A50E4D">
        <w:rPr>
          <w:rFonts w:eastAsia="Batang" w:cs="Times"/>
          <w:spacing w:val="-2"/>
          <w:szCs w:val="20"/>
          <w:lang w:val="en-US"/>
        </w:rPr>
        <w:instrText xml:space="preserve"> REF _Ref427863337 \r \h  \* MERGEFORMAT </w:instrText>
      </w:r>
      <w:r w:rsidR="00F20162" w:rsidRPr="00914F55">
        <w:rPr>
          <w:rFonts w:eastAsia="Batang" w:cs="Times"/>
          <w:spacing w:val="-2"/>
          <w:szCs w:val="20"/>
          <w:lang w:val="en-US"/>
        </w:rPr>
      </w:r>
      <w:r w:rsidR="00F20162" w:rsidRPr="00914F55">
        <w:rPr>
          <w:rFonts w:eastAsia="Batang" w:cs="Times"/>
          <w:spacing w:val="-2"/>
          <w:szCs w:val="20"/>
          <w:lang w:val="en-US"/>
        </w:rPr>
        <w:fldChar w:fldCharType="separate"/>
      </w:r>
      <w:r w:rsidR="00547588">
        <w:rPr>
          <w:rFonts w:eastAsia="Batang" w:cs="Times"/>
          <w:spacing w:val="-2"/>
          <w:szCs w:val="20"/>
          <w:lang w:val="en-US"/>
        </w:rPr>
        <w:t>245</w:t>
      </w:r>
      <w:r w:rsidR="00F20162" w:rsidRPr="00914F55">
        <w:rPr>
          <w:rFonts w:eastAsia="Batang" w:cs="Times"/>
          <w:spacing w:val="-2"/>
          <w:szCs w:val="20"/>
          <w:lang w:val="en-US"/>
        </w:rPr>
        <w:fldChar w:fldCharType="end"/>
      </w:r>
      <w:r w:rsidR="00F20162" w:rsidRPr="00A50E4D">
        <w:rPr>
          <w:rFonts w:eastAsia="Batang" w:cs="Times"/>
          <w:spacing w:val="-2"/>
          <w:szCs w:val="20"/>
          <w:lang w:val="en-US"/>
        </w:rPr>
        <w:t xml:space="preserve"> </w:t>
      </w:r>
      <w:r w:rsidR="00A45503" w:rsidRPr="00A50E4D">
        <w:rPr>
          <w:spacing w:val="-2"/>
          <w:lang w:val="en-US"/>
        </w:rPr>
        <w:t>to</w:t>
      </w:r>
      <w:r w:rsidR="00F20162" w:rsidRPr="00A50E4D">
        <w:rPr>
          <w:spacing w:val="-2"/>
          <w:lang w:val="en-US"/>
        </w:rPr>
        <w:t xml:space="preserve"> </w:t>
      </w:r>
      <w:r w:rsidR="00F20162" w:rsidRPr="00914F55">
        <w:rPr>
          <w:spacing w:val="-2"/>
          <w:lang w:val="en-US"/>
        </w:rPr>
        <w:fldChar w:fldCharType="begin"/>
      </w:r>
      <w:r w:rsidR="00F20162" w:rsidRPr="00A50E4D">
        <w:rPr>
          <w:spacing w:val="-2"/>
          <w:lang w:val="en-US"/>
        </w:rPr>
        <w:instrText xml:space="preserve"> REF _Ref434599482 \r \h  \* MERGEFORMAT </w:instrText>
      </w:r>
      <w:r w:rsidR="00F20162" w:rsidRPr="00914F55">
        <w:rPr>
          <w:spacing w:val="-2"/>
          <w:lang w:val="en-US"/>
        </w:rPr>
      </w:r>
      <w:r w:rsidR="00F20162" w:rsidRPr="00914F55">
        <w:rPr>
          <w:spacing w:val="-2"/>
          <w:lang w:val="en-US"/>
        </w:rPr>
        <w:fldChar w:fldCharType="separate"/>
      </w:r>
      <w:r w:rsidR="00547588">
        <w:rPr>
          <w:spacing w:val="-2"/>
          <w:lang w:val="en-US"/>
        </w:rPr>
        <w:t>250</w:t>
      </w:r>
      <w:r w:rsidR="00F20162" w:rsidRPr="00914F55">
        <w:rPr>
          <w:spacing w:val="-2"/>
          <w:lang w:val="en-US"/>
        </w:rPr>
        <w:fldChar w:fldCharType="end"/>
      </w:r>
      <w:r w:rsidR="00F20162" w:rsidRPr="00A50E4D">
        <w:rPr>
          <w:rFonts w:eastAsia="Batang" w:cs="Times"/>
          <w:spacing w:val="-2"/>
          <w:szCs w:val="20"/>
          <w:lang w:val="en-US"/>
        </w:rPr>
        <w:t>.</w:t>
      </w:r>
    </w:p>
    <w:p w14:paraId="03A326F2" w14:textId="77777777" w:rsidR="00F20162" w:rsidRPr="00A50E4D" w:rsidRDefault="00F20162" w:rsidP="00E17423">
      <w:pPr>
        <w:tabs>
          <w:tab w:val="left" w:pos="567"/>
        </w:tabs>
        <w:autoSpaceDE w:val="0"/>
        <w:autoSpaceDN w:val="0"/>
        <w:spacing w:before="20" w:after="20"/>
        <w:rPr>
          <w:spacing w:val="-2"/>
          <w:lang w:val="en-US"/>
        </w:rPr>
      </w:pPr>
    </w:p>
    <w:p w14:paraId="7AA54432" w14:textId="01B40695" w:rsidR="00E50181" w:rsidRPr="00A50E4D" w:rsidRDefault="009808C5" w:rsidP="00E17423">
      <w:pPr>
        <w:numPr>
          <w:ilvl w:val="0"/>
          <w:numId w:val="13"/>
        </w:numPr>
        <w:tabs>
          <w:tab w:val="left" w:pos="567"/>
        </w:tabs>
        <w:autoSpaceDE w:val="0"/>
        <w:autoSpaceDN w:val="0"/>
        <w:spacing w:before="20" w:after="20"/>
        <w:ind w:left="0" w:firstLine="0"/>
        <w:rPr>
          <w:rFonts w:cs="Arial"/>
          <w:color w:val="000000"/>
          <w:spacing w:val="-4"/>
          <w:szCs w:val="20"/>
          <w:lang w:val="en-US"/>
        </w:rPr>
      </w:pPr>
      <w:r w:rsidRPr="00A50E4D">
        <w:rPr>
          <w:spacing w:val="-4"/>
          <w:lang w:val="en-US"/>
        </w:rPr>
        <w:t>The State</w:t>
      </w:r>
      <w:r w:rsidR="00E50181" w:rsidRPr="00A50E4D">
        <w:rPr>
          <w:spacing w:val="-4"/>
          <w:lang w:val="en-US"/>
        </w:rPr>
        <w:t xml:space="preserve"> </w:t>
      </w:r>
      <w:r w:rsidR="00A45503" w:rsidRPr="00A50E4D">
        <w:rPr>
          <w:spacing w:val="-4"/>
          <w:lang w:val="en-US"/>
        </w:rPr>
        <w:t xml:space="preserve">is responsible for the violation </w:t>
      </w:r>
      <w:r w:rsidR="0048601C" w:rsidRPr="00A50E4D">
        <w:rPr>
          <w:spacing w:val="-4"/>
          <w:lang w:val="en-US"/>
        </w:rPr>
        <w:t>of Article</w:t>
      </w:r>
      <w:r w:rsidR="00E50181" w:rsidRPr="00A50E4D">
        <w:rPr>
          <w:spacing w:val="-4"/>
          <w:lang w:val="en-US"/>
        </w:rPr>
        <w:t xml:space="preserve"> 9</w:t>
      </w:r>
      <w:r w:rsidRPr="00A50E4D">
        <w:rPr>
          <w:spacing w:val="-4"/>
          <w:lang w:val="en-US"/>
        </w:rPr>
        <w:t xml:space="preserve"> of the American Convention</w:t>
      </w:r>
      <w:r w:rsidR="00E50181" w:rsidRPr="00A50E4D">
        <w:rPr>
          <w:spacing w:val="-4"/>
          <w:szCs w:val="20"/>
          <w:lang w:val="en-US"/>
        </w:rPr>
        <w:t xml:space="preserve">, </w:t>
      </w:r>
      <w:r w:rsidR="0048601C" w:rsidRPr="00A50E4D">
        <w:rPr>
          <w:spacing w:val="-4"/>
          <w:szCs w:val="20"/>
          <w:lang w:val="en-US"/>
        </w:rPr>
        <w:t>in relation to Articles 1(1)</w:t>
      </w:r>
      <w:r w:rsidRPr="00A50E4D">
        <w:rPr>
          <w:spacing w:val="-4"/>
          <w:szCs w:val="20"/>
          <w:lang w:val="en-US"/>
        </w:rPr>
        <w:t xml:space="preserve"> and </w:t>
      </w:r>
      <w:r w:rsidR="00E50181" w:rsidRPr="00A50E4D">
        <w:rPr>
          <w:spacing w:val="-4"/>
          <w:szCs w:val="20"/>
          <w:lang w:val="en-US"/>
        </w:rPr>
        <w:t>2</w:t>
      </w:r>
      <w:r w:rsidR="00FF35A9" w:rsidRPr="00A50E4D">
        <w:rPr>
          <w:spacing w:val="-4"/>
          <w:szCs w:val="20"/>
          <w:lang w:val="en-US"/>
        </w:rPr>
        <w:t xml:space="preserve"> </w:t>
      </w:r>
      <w:r w:rsidR="00A45503" w:rsidRPr="00A50E4D">
        <w:rPr>
          <w:spacing w:val="-4"/>
          <w:szCs w:val="20"/>
          <w:lang w:val="en-US"/>
        </w:rPr>
        <w:t>of this instrument</w:t>
      </w:r>
      <w:r w:rsidR="00E50181" w:rsidRPr="00A50E4D">
        <w:rPr>
          <w:spacing w:val="-4"/>
          <w:szCs w:val="20"/>
          <w:lang w:val="en-US"/>
        </w:rPr>
        <w:t xml:space="preserve">, </w:t>
      </w:r>
      <w:r w:rsidR="00A45503" w:rsidRPr="00A50E4D">
        <w:rPr>
          <w:spacing w:val="-4"/>
          <w:lang w:val="en-US"/>
        </w:rPr>
        <w:t>to the detriment of</w:t>
      </w:r>
      <w:r w:rsidR="00E50181" w:rsidRPr="00A50E4D">
        <w:rPr>
          <w:spacing w:val="-4"/>
          <w:lang w:val="en-US"/>
        </w:rPr>
        <w:t xml:space="preserve"> Adán Guillermo López Lone, </w:t>
      </w:r>
      <w:r w:rsidR="008217D7" w:rsidRPr="00A50E4D">
        <w:rPr>
          <w:spacing w:val="-4"/>
          <w:lang w:val="en-US"/>
        </w:rPr>
        <w:t>Tirza del Carmen</w:t>
      </w:r>
      <w:r w:rsidR="00E50181" w:rsidRPr="00A50E4D">
        <w:rPr>
          <w:spacing w:val="-4"/>
          <w:lang w:val="en-US"/>
        </w:rPr>
        <w:t xml:space="preserve"> Flores Lanza, Luis Alonso </w:t>
      </w:r>
      <w:r w:rsidR="009A7056" w:rsidRPr="00A50E4D">
        <w:rPr>
          <w:spacing w:val="-4"/>
          <w:lang w:val="en-US"/>
        </w:rPr>
        <w:t>Chévez de la Rocha</w:t>
      </w:r>
      <w:r w:rsidRPr="00A50E4D">
        <w:rPr>
          <w:spacing w:val="-4"/>
          <w:lang w:val="en-US"/>
        </w:rPr>
        <w:t xml:space="preserve"> and </w:t>
      </w:r>
      <w:r w:rsidR="00E50181" w:rsidRPr="00A50E4D">
        <w:rPr>
          <w:spacing w:val="-4"/>
          <w:lang w:val="en-US"/>
        </w:rPr>
        <w:t>Ramón Enrique Barrios Maldonado</w:t>
      </w:r>
      <w:r w:rsidR="00E50181" w:rsidRPr="00A50E4D">
        <w:rPr>
          <w:spacing w:val="-4"/>
          <w:szCs w:val="20"/>
          <w:lang w:val="en-US"/>
        </w:rPr>
        <w:t>,</w:t>
      </w:r>
      <w:r w:rsidR="00A45503" w:rsidRPr="00A50E4D">
        <w:rPr>
          <w:spacing w:val="-4"/>
          <w:szCs w:val="20"/>
          <w:lang w:val="en-US"/>
        </w:rPr>
        <w:t xml:space="preserve"> owing to the excessive discretion </w:t>
      </w:r>
      <w:r w:rsidR="004519A2" w:rsidRPr="00A50E4D">
        <w:rPr>
          <w:spacing w:val="-4"/>
          <w:szCs w:val="20"/>
          <w:lang w:val="en-US"/>
        </w:rPr>
        <w:t>in the establishment of</w:t>
      </w:r>
      <w:r w:rsidR="00A45503" w:rsidRPr="00A50E4D">
        <w:rPr>
          <w:spacing w:val="-4"/>
          <w:szCs w:val="20"/>
          <w:lang w:val="en-US"/>
        </w:rPr>
        <w:t xml:space="preserve"> the sanction of dismissal, as well as to the </w:t>
      </w:r>
      <w:r w:rsidR="004519A2" w:rsidRPr="00A50E4D">
        <w:rPr>
          <w:spacing w:val="-4"/>
          <w:szCs w:val="20"/>
          <w:lang w:val="en-US"/>
        </w:rPr>
        <w:t>imprecision</w:t>
      </w:r>
      <w:r w:rsidR="00A45503" w:rsidRPr="00A50E4D">
        <w:rPr>
          <w:spacing w:val="-4"/>
          <w:szCs w:val="20"/>
          <w:lang w:val="en-US"/>
        </w:rPr>
        <w:t xml:space="preserve"> and breadth with which the disciplinary grounds </w:t>
      </w:r>
      <w:r w:rsidR="004519A2" w:rsidRPr="00A50E4D">
        <w:rPr>
          <w:spacing w:val="-4"/>
          <w:szCs w:val="20"/>
          <w:lang w:val="en-US"/>
        </w:rPr>
        <w:t xml:space="preserve">were defined and </w:t>
      </w:r>
      <w:r w:rsidR="00A45503" w:rsidRPr="00A50E4D">
        <w:rPr>
          <w:spacing w:val="-4"/>
          <w:szCs w:val="20"/>
          <w:lang w:val="en-US"/>
        </w:rPr>
        <w:t xml:space="preserve">applied to the victims in this case, </w:t>
      </w:r>
      <w:r w:rsidR="004519A2" w:rsidRPr="00A50E4D">
        <w:rPr>
          <w:spacing w:val="-2"/>
          <w:lang w:val="en-US"/>
        </w:rPr>
        <w:t xml:space="preserve">pursuant to </w:t>
      </w:r>
      <w:r w:rsidR="00F814CB" w:rsidRPr="00A50E4D">
        <w:rPr>
          <w:spacing w:val="-4"/>
          <w:lang w:val="en-US"/>
        </w:rPr>
        <w:t>paragraphs</w:t>
      </w:r>
      <w:r w:rsidR="00E50181" w:rsidRPr="00A50E4D">
        <w:rPr>
          <w:spacing w:val="-4"/>
          <w:lang w:val="en-US"/>
        </w:rPr>
        <w:t xml:space="preserve"> </w:t>
      </w:r>
      <w:r w:rsidR="00E50181" w:rsidRPr="00914F55">
        <w:rPr>
          <w:spacing w:val="-4"/>
          <w:lang w:val="en-US"/>
        </w:rPr>
        <w:fldChar w:fldCharType="begin"/>
      </w:r>
      <w:r w:rsidR="00E50181" w:rsidRPr="00A50E4D">
        <w:rPr>
          <w:spacing w:val="-4"/>
          <w:lang w:val="en-US"/>
        </w:rPr>
        <w:instrText xml:space="preserve"> REF _Ref431643881 \r \h  \* MERGEFORMAT </w:instrText>
      </w:r>
      <w:r w:rsidR="00E50181" w:rsidRPr="00914F55">
        <w:rPr>
          <w:spacing w:val="-4"/>
          <w:lang w:val="en-US"/>
        </w:rPr>
      </w:r>
      <w:r w:rsidR="00E50181" w:rsidRPr="00914F55">
        <w:rPr>
          <w:spacing w:val="-4"/>
          <w:lang w:val="en-US"/>
        </w:rPr>
        <w:fldChar w:fldCharType="separate"/>
      </w:r>
      <w:r w:rsidR="00547588">
        <w:rPr>
          <w:spacing w:val="-4"/>
          <w:lang w:val="en-US"/>
        </w:rPr>
        <w:t>257</w:t>
      </w:r>
      <w:r w:rsidR="00E50181" w:rsidRPr="00914F55">
        <w:rPr>
          <w:spacing w:val="-4"/>
          <w:lang w:val="en-US"/>
        </w:rPr>
        <w:fldChar w:fldCharType="end"/>
      </w:r>
      <w:r w:rsidR="00E50181" w:rsidRPr="00A50E4D">
        <w:rPr>
          <w:spacing w:val="-4"/>
          <w:lang w:val="en-US"/>
        </w:rPr>
        <w:t xml:space="preserve"> </w:t>
      </w:r>
      <w:r w:rsidR="00A45503" w:rsidRPr="00A50E4D">
        <w:rPr>
          <w:spacing w:val="-4"/>
          <w:lang w:val="en-US"/>
        </w:rPr>
        <w:t>to</w:t>
      </w:r>
      <w:r w:rsidR="00E50181" w:rsidRPr="00A50E4D">
        <w:rPr>
          <w:spacing w:val="-4"/>
          <w:lang w:val="en-US"/>
        </w:rPr>
        <w:t xml:space="preserve"> </w:t>
      </w:r>
      <w:r w:rsidR="00E50181" w:rsidRPr="00914F55">
        <w:rPr>
          <w:spacing w:val="-4"/>
          <w:lang w:val="en-US"/>
        </w:rPr>
        <w:fldChar w:fldCharType="begin"/>
      </w:r>
      <w:r w:rsidR="00E50181" w:rsidRPr="00A50E4D">
        <w:rPr>
          <w:spacing w:val="-4"/>
          <w:lang w:val="en-US"/>
        </w:rPr>
        <w:instrText xml:space="preserve"> REF _Ref431643901 \r \h  \* MERGEFORMAT </w:instrText>
      </w:r>
      <w:r w:rsidR="00E50181" w:rsidRPr="00914F55">
        <w:rPr>
          <w:spacing w:val="-4"/>
          <w:lang w:val="en-US"/>
        </w:rPr>
      </w:r>
      <w:r w:rsidR="00E50181" w:rsidRPr="00914F55">
        <w:rPr>
          <w:spacing w:val="-4"/>
          <w:lang w:val="en-US"/>
        </w:rPr>
        <w:fldChar w:fldCharType="separate"/>
      </w:r>
      <w:r w:rsidR="00547588">
        <w:rPr>
          <w:spacing w:val="-4"/>
          <w:lang w:val="en-US"/>
        </w:rPr>
        <w:t>276</w:t>
      </w:r>
      <w:r w:rsidR="00E50181" w:rsidRPr="00914F55">
        <w:rPr>
          <w:spacing w:val="-4"/>
          <w:lang w:val="en-US"/>
        </w:rPr>
        <w:fldChar w:fldCharType="end"/>
      </w:r>
      <w:r w:rsidR="00E50181" w:rsidRPr="00A50E4D">
        <w:rPr>
          <w:spacing w:val="-4"/>
          <w:lang w:val="en-US"/>
        </w:rPr>
        <w:t>.</w:t>
      </w:r>
    </w:p>
    <w:p w14:paraId="790B8631" w14:textId="77777777" w:rsidR="00042B8C" w:rsidRPr="00A50E4D" w:rsidRDefault="00042B8C" w:rsidP="00E17423">
      <w:pPr>
        <w:tabs>
          <w:tab w:val="left" w:pos="567"/>
        </w:tabs>
        <w:autoSpaceDE w:val="0"/>
        <w:autoSpaceDN w:val="0"/>
        <w:spacing w:before="20" w:after="20"/>
        <w:rPr>
          <w:spacing w:val="-2"/>
          <w:lang w:val="en-US"/>
        </w:rPr>
      </w:pPr>
    </w:p>
    <w:p w14:paraId="4A27EF39" w14:textId="4A76AAFF" w:rsidR="00042B8C" w:rsidRPr="00A50E4D" w:rsidRDefault="009808C5" w:rsidP="00B101DF">
      <w:pPr>
        <w:numPr>
          <w:ilvl w:val="0"/>
          <w:numId w:val="13"/>
        </w:numPr>
        <w:tabs>
          <w:tab w:val="left" w:pos="567"/>
        </w:tabs>
        <w:autoSpaceDE w:val="0"/>
        <w:autoSpaceDN w:val="0"/>
        <w:spacing w:before="40" w:after="20"/>
        <w:ind w:left="0" w:firstLine="0"/>
        <w:rPr>
          <w:spacing w:val="-2"/>
          <w:lang w:val="en-US"/>
        </w:rPr>
      </w:pPr>
      <w:r w:rsidRPr="00A50E4D">
        <w:rPr>
          <w:spacing w:val="-2"/>
          <w:lang w:val="en-US"/>
        </w:rPr>
        <w:t>The State</w:t>
      </w:r>
      <w:r w:rsidR="00A45503" w:rsidRPr="00A50E4D">
        <w:rPr>
          <w:spacing w:val="-2"/>
          <w:lang w:val="en-US"/>
        </w:rPr>
        <w:t xml:space="preserve"> is not responsible for the violation of</w:t>
      </w:r>
      <w:r w:rsidR="00042B8C" w:rsidRPr="00A50E4D">
        <w:rPr>
          <w:lang w:val="en-US"/>
        </w:rPr>
        <w:t xml:space="preserve"> </w:t>
      </w:r>
      <w:r w:rsidRPr="00A50E4D">
        <w:rPr>
          <w:lang w:val="en-US"/>
        </w:rPr>
        <w:t>Articles</w:t>
      </w:r>
      <w:r w:rsidR="00042B8C" w:rsidRPr="00A50E4D">
        <w:rPr>
          <w:lang w:val="en-US"/>
        </w:rPr>
        <w:t xml:space="preserve"> 16</w:t>
      </w:r>
      <w:r w:rsidRPr="00A50E4D">
        <w:rPr>
          <w:lang w:val="en-US"/>
        </w:rPr>
        <w:t xml:space="preserve"> and </w:t>
      </w:r>
      <w:r w:rsidR="00EA5E90" w:rsidRPr="00A50E4D">
        <w:rPr>
          <w:lang w:val="en-US"/>
        </w:rPr>
        <w:t>23(1)(c)</w:t>
      </w:r>
      <w:r w:rsidRPr="00A50E4D">
        <w:rPr>
          <w:lang w:val="en-US"/>
        </w:rPr>
        <w:t xml:space="preserve"> of the American Convention</w:t>
      </w:r>
      <w:r w:rsidR="00042B8C" w:rsidRPr="00A50E4D">
        <w:rPr>
          <w:spacing w:val="-2"/>
          <w:lang w:val="en-US"/>
        </w:rPr>
        <w:t xml:space="preserve">, </w:t>
      </w:r>
      <w:r w:rsidR="0048601C" w:rsidRPr="00A50E4D">
        <w:rPr>
          <w:spacing w:val="-2"/>
          <w:lang w:val="en-US"/>
        </w:rPr>
        <w:t>in relation to Article 1(1)</w:t>
      </w:r>
      <w:r w:rsidR="00FF35A9" w:rsidRPr="00A50E4D">
        <w:rPr>
          <w:spacing w:val="-2"/>
          <w:lang w:val="en-US"/>
        </w:rPr>
        <w:t xml:space="preserve"> </w:t>
      </w:r>
      <w:r w:rsidR="00A45503" w:rsidRPr="00A50E4D">
        <w:rPr>
          <w:spacing w:val="-2"/>
          <w:lang w:val="en-US"/>
        </w:rPr>
        <w:t>of this instrument</w:t>
      </w:r>
      <w:r w:rsidR="00042B8C" w:rsidRPr="00A50E4D">
        <w:rPr>
          <w:spacing w:val="-2"/>
          <w:lang w:val="en-US"/>
        </w:rPr>
        <w:t xml:space="preserve">, </w:t>
      </w:r>
      <w:r w:rsidR="00A45503" w:rsidRPr="00A50E4D">
        <w:rPr>
          <w:spacing w:val="-2"/>
          <w:lang w:val="en-US"/>
        </w:rPr>
        <w:t>to the detriment of</w:t>
      </w:r>
      <w:r w:rsidR="00042B8C" w:rsidRPr="00A50E4D">
        <w:rPr>
          <w:spacing w:val="-2"/>
          <w:lang w:val="en-US"/>
        </w:rPr>
        <w:t xml:space="preserve"> </w:t>
      </w:r>
      <w:r w:rsidR="00042B8C" w:rsidRPr="00A50E4D">
        <w:rPr>
          <w:lang w:val="en-US"/>
        </w:rPr>
        <w:t xml:space="preserve">Ramón Enrique Barrios Maldonado, </w:t>
      </w:r>
      <w:r w:rsidR="004519A2" w:rsidRPr="00A50E4D">
        <w:rPr>
          <w:spacing w:val="-2"/>
          <w:lang w:val="en-US"/>
        </w:rPr>
        <w:t xml:space="preserve">pursuant to </w:t>
      </w:r>
      <w:r w:rsidR="00F814CB" w:rsidRPr="00A50E4D">
        <w:rPr>
          <w:rFonts w:eastAsia="Batang" w:cs="Times"/>
          <w:spacing w:val="-2"/>
          <w:szCs w:val="20"/>
          <w:lang w:val="en-US"/>
        </w:rPr>
        <w:t>paragraphs</w:t>
      </w:r>
      <w:r w:rsidR="00042B8C" w:rsidRPr="00A50E4D">
        <w:rPr>
          <w:rFonts w:eastAsia="Batang" w:cs="Times"/>
          <w:spacing w:val="-2"/>
          <w:szCs w:val="20"/>
          <w:lang w:val="en-US"/>
        </w:rPr>
        <w:t xml:space="preserve"> </w:t>
      </w:r>
      <w:r w:rsidR="00042B8C" w:rsidRPr="00914F55">
        <w:rPr>
          <w:rFonts w:eastAsia="Batang" w:cs="Times"/>
          <w:spacing w:val="-2"/>
          <w:szCs w:val="20"/>
          <w:lang w:val="en-US"/>
        </w:rPr>
        <w:fldChar w:fldCharType="begin"/>
      </w:r>
      <w:r w:rsidR="00042B8C" w:rsidRPr="00A50E4D">
        <w:rPr>
          <w:rFonts w:eastAsia="Batang" w:cs="Times"/>
          <w:spacing w:val="-2"/>
          <w:szCs w:val="20"/>
          <w:lang w:val="en-US"/>
        </w:rPr>
        <w:instrText xml:space="preserve"> REF _Ref431643622 \r \h  \* MERGEFORMAT </w:instrText>
      </w:r>
      <w:r w:rsidR="00042B8C" w:rsidRPr="00914F55">
        <w:rPr>
          <w:rFonts w:eastAsia="Batang" w:cs="Times"/>
          <w:spacing w:val="-2"/>
          <w:szCs w:val="20"/>
          <w:lang w:val="en-US"/>
        </w:rPr>
      </w:r>
      <w:r w:rsidR="00042B8C" w:rsidRPr="00914F55">
        <w:rPr>
          <w:rFonts w:eastAsia="Batang" w:cs="Times"/>
          <w:spacing w:val="-2"/>
          <w:szCs w:val="20"/>
          <w:lang w:val="en-US"/>
        </w:rPr>
        <w:fldChar w:fldCharType="separate"/>
      </w:r>
      <w:r w:rsidR="00547588">
        <w:rPr>
          <w:rFonts w:eastAsia="Batang" w:cs="Times"/>
          <w:spacing w:val="-2"/>
          <w:szCs w:val="20"/>
          <w:lang w:val="en-US"/>
        </w:rPr>
        <w:t>186</w:t>
      </w:r>
      <w:r w:rsidR="00042B8C" w:rsidRPr="00914F55">
        <w:rPr>
          <w:rFonts w:eastAsia="Batang" w:cs="Times"/>
          <w:spacing w:val="-2"/>
          <w:szCs w:val="20"/>
          <w:lang w:val="en-US"/>
        </w:rPr>
        <w:fldChar w:fldCharType="end"/>
      </w:r>
      <w:r w:rsidRPr="00A50E4D">
        <w:rPr>
          <w:rFonts w:eastAsia="Batang" w:cs="Times"/>
          <w:spacing w:val="-2"/>
          <w:szCs w:val="20"/>
          <w:lang w:val="en-US"/>
        </w:rPr>
        <w:t xml:space="preserve"> and </w:t>
      </w:r>
      <w:r w:rsidR="003824AB" w:rsidRPr="00914F55">
        <w:rPr>
          <w:rFonts w:eastAsia="Batang" w:cs="Times"/>
          <w:spacing w:val="-2"/>
          <w:szCs w:val="20"/>
          <w:lang w:val="en-US"/>
        </w:rPr>
        <w:fldChar w:fldCharType="begin"/>
      </w:r>
      <w:r w:rsidR="003824AB" w:rsidRPr="00A50E4D">
        <w:rPr>
          <w:rFonts w:eastAsia="Batang" w:cs="Times"/>
          <w:spacing w:val="-2"/>
          <w:szCs w:val="20"/>
          <w:lang w:val="en-US"/>
        </w:rPr>
        <w:instrText xml:space="preserve"> REF _Ref308537578 \r \h </w:instrText>
      </w:r>
      <w:r w:rsidR="00A50E4D">
        <w:rPr>
          <w:rFonts w:eastAsia="Batang" w:cs="Times"/>
          <w:spacing w:val="-2"/>
          <w:szCs w:val="20"/>
          <w:lang w:val="en-US"/>
        </w:rPr>
        <w:instrText xml:space="preserve"> \* MERGEFORMAT </w:instrText>
      </w:r>
      <w:r w:rsidR="003824AB" w:rsidRPr="00914F55">
        <w:rPr>
          <w:rFonts w:eastAsia="Batang" w:cs="Times"/>
          <w:spacing w:val="-2"/>
          <w:szCs w:val="20"/>
          <w:lang w:val="en-US"/>
        </w:rPr>
      </w:r>
      <w:r w:rsidR="003824AB" w:rsidRPr="00914F55">
        <w:rPr>
          <w:rFonts w:eastAsia="Batang" w:cs="Times"/>
          <w:spacing w:val="-2"/>
          <w:szCs w:val="20"/>
          <w:lang w:val="en-US"/>
        </w:rPr>
        <w:fldChar w:fldCharType="separate"/>
      </w:r>
      <w:r w:rsidR="00547588">
        <w:rPr>
          <w:rFonts w:eastAsia="Batang" w:cs="Times"/>
          <w:spacing w:val="-2"/>
          <w:szCs w:val="20"/>
          <w:lang w:val="en-US"/>
        </w:rPr>
        <w:t>238</w:t>
      </w:r>
      <w:r w:rsidR="003824AB" w:rsidRPr="00914F55">
        <w:rPr>
          <w:rFonts w:eastAsia="Batang" w:cs="Times"/>
          <w:spacing w:val="-2"/>
          <w:szCs w:val="20"/>
          <w:lang w:val="en-US"/>
        </w:rPr>
        <w:fldChar w:fldCharType="end"/>
      </w:r>
      <w:r w:rsidR="0026392B" w:rsidRPr="00A50E4D">
        <w:rPr>
          <w:rFonts w:eastAsia="Batang" w:cs="Times"/>
          <w:spacing w:val="-2"/>
          <w:szCs w:val="20"/>
          <w:lang w:val="en-US"/>
        </w:rPr>
        <w:t>.</w:t>
      </w:r>
    </w:p>
    <w:p w14:paraId="79114D6C" w14:textId="77777777" w:rsidR="00453AA5" w:rsidRPr="00A50E4D" w:rsidRDefault="00453AA5" w:rsidP="00B101DF">
      <w:pPr>
        <w:tabs>
          <w:tab w:val="left" w:pos="567"/>
        </w:tabs>
        <w:autoSpaceDE w:val="0"/>
        <w:autoSpaceDN w:val="0"/>
        <w:spacing w:before="40" w:after="20"/>
        <w:rPr>
          <w:spacing w:val="-2"/>
          <w:lang w:val="en-US"/>
        </w:rPr>
      </w:pPr>
    </w:p>
    <w:p w14:paraId="27D421C5" w14:textId="095BAB57" w:rsidR="00BF57ED" w:rsidRPr="00A50E4D" w:rsidRDefault="00A45503" w:rsidP="00B101DF">
      <w:pPr>
        <w:numPr>
          <w:ilvl w:val="0"/>
          <w:numId w:val="13"/>
        </w:numPr>
        <w:tabs>
          <w:tab w:val="left" w:pos="567"/>
        </w:tabs>
        <w:spacing w:before="40" w:after="20"/>
        <w:ind w:left="0" w:firstLine="0"/>
        <w:rPr>
          <w:lang w:val="en-US"/>
        </w:rPr>
      </w:pPr>
      <w:r w:rsidRPr="00A50E4D">
        <w:rPr>
          <w:spacing w:val="-2"/>
          <w:szCs w:val="20"/>
          <w:lang w:val="en-US"/>
        </w:rPr>
        <w:t xml:space="preserve">It is not necessary to rule on the alleged violation of the obligation to state </w:t>
      </w:r>
      <w:r w:rsidR="004519A2" w:rsidRPr="00A50E4D">
        <w:rPr>
          <w:spacing w:val="-2"/>
          <w:szCs w:val="20"/>
          <w:lang w:val="en-US"/>
        </w:rPr>
        <w:t>the reasoning for a decision,</w:t>
      </w:r>
      <w:r w:rsidRPr="00A50E4D">
        <w:rPr>
          <w:spacing w:val="-2"/>
          <w:szCs w:val="20"/>
          <w:lang w:val="en-US"/>
        </w:rPr>
        <w:t xml:space="preserve"> the right of defense, the presumption of innocence, and the effectiveness of the remedy before </w:t>
      </w:r>
      <w:r w:rsidR="006A756C" w:rsidRPr="00A50E4D">
        <w:rPr>
          <w:lang w:val="en-US"/>
        </w:rPr>
        <w:t>the Judicial Service Council</w:t>
      </w:r>
      <w:r w:rsidR="00BF57ED" w:rsidRPr="00A50E4D">
        <w:rPr>
          <w:spacing w:val="-2"/>
          <w:szCs w:val="20"/>
          <w:lang w:val="en-US"/>
        </w:rPr>
        <w:t xml:space="preserve">, </w:t>
      </w:r>
      <w:r w:rsidR="004519A2" w:rsidRPr="00A50E4D">
        <w:rPr>
          <w:spacing w:val="-2"/>
          <w:lang w:val="en-US"/>
        </w:rPr>
        <w:t xml:space="preserve">pursuant to </w:t>
      </w:r>
      <w:r w:rsidR="00F814CB" w:rsidRPr="00A50E4D">
        <w:rPr>
          <w:spacing w:val="-2"/>
          <w:lang w:val="en-US"/>
        </w:rPr>
        <w:t>paragraph</w:t>
      </w:r>
      <w:r w:rsidR="00E85CF0" w:rsidRPr="00A50E4D">
        <w:rPr>
          <w:rFonts w:eastAsia="Batang" w:cs="Times"/>
          <w:spacing w:val="-2"/>
          <w:szCs w:val="20"/>
          <w:lang w:val="en-US"/>
        </w:rPr>
        <w:t xml:space="preserve"> </w:t>
      </w:r>
      <w:r w:rsidR="00E94097" w:rsidRPr="00914F55">
        <w:rPr>
          <w:spacing w:val="-2"/>
          <w:lang w:val="en-US"/>
        </w:rPr>
        <w:fldChar w:fldCharType="begin"/>
      </w:r>
      <w:r w:rsidR="00E85CF0" w:rsidRPr="00A50E4D">
        <w:rPr>
          <w:rFonts w:eastAsia="Batang" w:cs="Times"/>
          <w:spacing w:val="-2"/>
          <w:szCs w:val="20"/>
          <w:lang w:val="en-US"/>
        </w:rPr>
        <w:instrText xml:space="preserve"> REF _Ref431214864 \r \h </w:instrText>
      </w:r>
      <w:r w:rsidR="00AC1638" w:rsidRPr="00A50E4D">
        <w:rPr>
          <w:spacing w:val="-2"/>
          <w:lang w:val="en-US"/>
        </w:rPr>
        <w:instrText xml:space="preserve"> \* MERGEFORMAT </w:instrText>
      </w:r>
      <w:r w:rsidR="00E94097" w:rsidRPr="00914F55">
        <w:rPr>
          <w:spacing w:val="-2"/>
          <w:lang w:val="en-US"/>
        </w:rPr>
      </w:r>
      <w:r w:rsidR="00E94097" w:rsidRPr="00914F55">
        <w:rPr>
          <w:spacing w:val="-2"/>
          <w:lang w:val="en-US"/>
        </w:rPr>
        <w:fldChar w:fldCharType="separate"/>
      </w:r>
      <w:r w:rsidR="00547588">
        <w:rPr>
          <w:rFonts w:eastAsia="Batang" w:cs="Times"/>
          <w:spacing w:val="-2"/>
          <w:szCs w:val="20"/>
          <w:lang w:val="en-US"/>
        </w:rPr>
        <w:t>241</w:t>
      </w:r>
      <w:r w:rsidR="00E94097" w:rsidRPr="00914F55">
        <w:rPr>
          <w:spacing w:val="-2"/>
          <w:lang w:val="en-US"/>
        </w:rPr>
        <w:fldChar w:fldCharType="end"/>
      </w:r>
      <w:r w:rsidR="00042B8C" w:rsidRPr="00A50E4D">
        <w:rPr>
          <w:spacing w:val="-2"/>
          <w:lang w:val="en-US"/>
        </w:rPr>
        <w:t>.</w:t>
      </w:r>
      <w:r w:rsidR="00042B8C" w:rsidRPr="00A50E4D">
        <w:rPr>
          <w:rFonts w:eastAsia="Batang" w:cs="Times"/>
          <w:spacing w:val="-2"/>
          <w:szCs w:val="20"/>
          <w:lang w:val="en-US"/>
        </w:rPr>
        <w:t xml:space="preserve"> </w:t>
      </w:r>
    </w:p>
    <w:p w14:paraId="10204E06" w14:textId="77777777" w:rsidR="00BF57ED" w:rsidRPr="00A50E4D" w:rsidRDefault="00BF57ED" w:rsidP="00B101DF">
      <w:pPr>
        <w:tabs>
          <w:tab w:val="left" w:pos="567"/>
        </w:tabs>
        <w:autoSpaceDE w:val="0"/>
        <w:autoSpaceDN w:val="0"/>
        <w:spacing w:before="40" w:after="20"/>
        <w:rPr>
          <w:rFonts w:cs="Arial"/>
          <w:color w:val="000000"/>
          <w:spacing w:val="-2"/>
          <w:szCs w:val="20"/>
          <w:lang w:val="en-US"/>
        </w:rPr>
      </w:pPr>
    </w:p>
    <w:p w14:paraId="425DEC49" w14:textId="5E5FBDF1" w:rsidR="00BF57ED" w:rsidRPr="00A50E4D" w:rsidRDefault="00A45503" w:rsidP="00B101DF">
      <w:pPr>
        <w:numPr>
          <w:ilvl w:val="0"/>
          <w:numId w:val="13"/>
        </w:numPr>
        <w:tabs>
          <w:tab w:val="left" w:pos="567"/>
        </w:tabs>
        <w:autoSpaceDE w:val="0"/>
        <w:autoSpaceDN w:val="0"/>
        <w:spacing w:before="40" w:after="20"/>
        <w:ind w:left="0" w:firstLine="0"/>
        <w:rPr>
          <w:rFonts w:cs="Arial"/>
          <w:color w:val="000000"/>
          <w:spacing w:val="-2"/>
          <w:szCs w:val="20"/>
          <w:lang w:val="en-US"/>
        </w:rPr>
      </w:pPr>
      <w:r w:rsidRPr="00A50E4D">
        <w:rPr>
          <w:spacing w:val="-2"/>
          <w:szCs w:val="20"/>
          <w:lang w:val="en-US"/>
        </w:rPr>
        <w:lastRenderedPageBreak/>
        <w:t xml:space="preserve">It is not necessary to rule on the alleged violation </w:t>
      </w:r>
      <w:r w:rsidR="0048601C" w:rsidRPr="00A50E4D">
        <w:rPr>
          <w:szCs w:val="20"/>
          <w:lang w:val="en-US"/>
        </w:rPr>
        <w:t>of Article</w:t>
      </w:r>
      <w:r w:rsidRPr="00A50E4D">
        <w:rPr>
          <w:szCs w:val="20"/>
          <w:lang w:val="en-US"/>
        </w:rPr>
        <w:t xml:space="preserve"> 13(</w:t>
      </w:r>
      <w:r w:rsidR="00BF57ED" w:rsidRPr="00A50E4D">
        <w:rPr>
          <w:szCs w:val="20"/>
          <w:lang w:val="en-US"/>
        </w:rPr>
        <w:t>3</w:t>
      </w:r>
      <w:r w:rsidRPr="00A50E4D">
        <w:rPr>
          <w:szCs w:val="20"/>
          <w:lang w:val="en-US"/>
        </w:rPr>
        <w:t>)</w:t>
      </w:r>
      <w:r w:rsidR="009808C5" w:rsidRPr="00A50E4D">
        <w:rPr>
          <w:szCs w:val="20"/>
          <w:lang w:val="en-US"/>
        </w:rPr>
        <w:t xml:space="preserve"> of the American Convention</w:t>
      </w:r>
      <w:r w:rsidR="00BF57ED" w:rsidRPr="00A50E4D">
        <w:rPr>
          <w:szCs w:val="20"/>
          <w:lang w:val="en-US"/>
        </w:rPr>
        <w:t xml:space="preserve">, </w:t>
      </w:r>
      <w:r w:rsidR="004519A2" w:rsidRPr="00A50E4D">
        <w:rPr>
          <w:spacing w:val="-2"/>
          <w:lang w:val="en-US"/>
        </w:rPr>
        <w:t xml:space="preserve">pursuant to </w:t>
      </w:r>
      <w:r w:rsidR="00F814CB" w:rsidRPr="00A50E4D">
        <w:rPr>
          <w:spacing w:val="-2"/>
          <w:lang w:val="en-US"/>
        </w:rPr>
        <w:t>paragraph</w:t>
      </w:r>
      <w:r w:rsidR="00BF57ED" w:rsidRPr="00A50E4D">
        <w:rPr>
          <w:rFonts w:eastAsia="Batang" w:cs="Times"/>
          <w:spacing w:val="-2"/>
          <w:szCs w:val="20"/>
          <w:lang w:val="en-US"/>
        </w:rPr>
        <w:t xml:space="preserve"> </w:t>
      </w:r>
      <w:r w:rsidR="00E94097" w:rsidRPr="00914F55">
        <w:rPr>
          <w:rFonts w:eastAsia="Batang" w:cs="Times"/>
          <w:spacing w:val="-2"/>
          <w:szCs w:val="20"/>
          <w:lang w:val="en-US"/>
        </w:rPr>
        <w:fldChar w:fldCharType="begin"/>
      </w:r>
      <w:r w:rsidR="0059639B" w:rsidRPr="00A50E4D">
        <w:rPr>
          <w:rFonts w:eastAsia="Batang" w:cs="Times"/>
          <w:spacing w:val="-2"/>
          <w:szCs w:val="20"/>
          <w:lang w:val="en-US"/>
        </w:rPr>
        <w:instrText xml:space="preserve"> REF _Ref431214926 \r \h </w:instrText>
      </w:r>
      <w:r w:rsidR="00AC1638" w:rsidRPr="00A50E4D">
        <w:rPr>
          <w:rFonts w:eastAsia="Batang" w:cs="Times"/>
          <w:spacing w:val="-2"/>
          <w:szCs w:val="20"/>
          <w:lang w:val="en-US"/>
        </w:rPr>
        <w:instrText xml:space="preserve"> \* MERGEFORMAT </w:instrText>
      </w:r>
      <w:r w:rsidR="00E94097" w:rsidRPr="00914F55">
        <w:rPr>
          <w:rFonts w:eastAsia="Batang" w:cs="Times"/>
          <w:spacing w:val="-2"/>
          <w:szCs w:val="20"/>
          <w:lang w:val="en-US"/>
        </w:rPr>
      </w:r>
      <w:r w:rsidR="00E94097" w:rsidRPr="00914F55">
        <w:rPr>
          <w:rFonts w:eastAsia="Batang" w:cs="Times"/>
          <w:spacing w:val="-2"/>
          <w:szCs w:val="20"/>
          <w:lang w:val="en-US"/>
        </w:rPr>
        <w:fldChar w:fldCharType="separate"/>
      </w:r>
      <w:r w:rsidR="00547588">
        <w:rPr>
          <w:rFonts w:eastAsia="Batang" w:cs="Times"/>
          <w:spacing w:val="-2"/>
          <w:szCs w:val="20"/>
          <w:lang w:val="en-US"/>
        </w:rPr>
        <w:t>184</w:t>
      </w:r>
      <w:r w:rsidR="00E94097" w:rsidRPr="00914F55">
        <w:rPr>
          <w:rFonts w:eastAsia="Batang" w:cs="Times"/>
          <w:spacing w:val="-2"/>
          <w:szCs w:val="20"/>
          <w:lang w:val="en-US"/>
        </w:rPr>
        <w:fldChar w:fldCharType="end"/>
      </w:r>
      <w:r w:rsidR="00BF57ED" w:rsidRPr="00A50E4D">
        <w:rPr>
          <w:rFonts w:eastAsia="Batang" w:cs="Times"/>
          <w:spacing w:val="-2"/>
          <w:szCs w:val="20"/>
          <w:lang w:val="en-US"/>
        </w:rPr>
        <w:t>.</w:t>
      </w:r>
    </w:p>
    <w:p w14:paraId="283E7786" w14:textId="77777777" w:rsidR="00BF57ED" w:rsidRPr="00A50E4D" w:rsidRDefault="00BF57ED" w:rsidP="00B101DF">
      <w:pPr>
        <w:tabs>
          <w:tab w:val="left" w:pos="567"/>
        </w:tabs>
        <w:autoSpaceDE w:val="0"/>
        <w:autoSpaceDN w:val="0"/>
        <w:spacing w:before="40" w:after="20"/>
        <w:rPr>
          <w:rFonts w:cs="Arial"/>
          <w:color w:val="000000"/>
          <w:spacing w:val="-2"/>
          <w:szCs w:val="20"/>
          <w:lang w:val="en-US"/>
        </w:rPr>
      </w:pPr>
    </w:p>
    <w:p w14:paraId="4DBF5025" w14:textId="0BF0663E" w:rsidR="0081446F" w:rsidRPr="00A50E4D" w:rsidRDefault="00A45503" w:rsidP="00B101DF">
      <w:pPr>
        <w:numPr>
          <w:ilvl w:val="0"/>
          <w:numId w:val="13"/>
        </w:numPr>
        <w:tabs>
          <w:tab w:val="left" w:pos="567"/>
        </w:tabs>
        <w:autoSpaceDE w:val="0"/>
        <w:autoSpaceDN w:val="0"/>
        <w:spacing w:before="40" w:after="20"/>
        <w:ind w:left="0" w:firstLine="0"/>
        <w:rPr>
          <w:rFonts w:cs="Arial"/>
          <w:color w:val="000000"/>
          <w:spacing w:val="-2"/>
          <w:szCs w:val="20"/>
          <w:lang w:val="en-US"/>
        </w:rPr>
      </w:pPr>
      <w:r w:rsidRPr="00A50E4D">
        <w:rPr>
          <w:spacing w:val="-2"/>
          <w:szCs w:val="20"/>
          <w:lang w:val="en-US"/>
        </w:rPr>
        <w:t xml:space="preserve">It is not necessary to rule on the alleged violation </w:t>
      </w:r>
      <w:r w:rsidR="0048601C" w:rsidRPr="00A50E4D">
        <w:rPr>
          <w:szCs w:val="20"/>
          <w:lang w:val="en-US"/>
        </w:rPr>
        <w:t>of Article</w:t>
      </w:r>
      <w:r w:rsidR="0081446F" w:rsidRPr="00A50E4D">
        <w:rPr>
          <w:szCs w:val="20"/>
          <w:lang w:val="en-US"/>
        </w:rPr>
        <w:t xml:space="preserve"> 7</w:t>
      </w:r>
      <w:r w:rsidR="009808C5" w:rsidRPr="00A50E4D">
        <w:rPr>
          <w:szCs w:val="20"/>
          <w:lang w:val="en-US"/>
        </w:rPr>
        <w:t xml:space="preserve"> of the American Convention</w:t>
      </w:r>
      <w:r w:rsidR="0081446F" w:rsidRPr="00A50E4D">
        <w:rPr>
          <w:szCs w:val="20"/>
          <w:lang w:val="en-US"/>
        </w:rPr>
        <w:t xml:space="preserve">, </w:t>
      </w:r>
      <w:r w:rsidRPr="00A50E4D">
        <w:rPr>
          <w:szCs w:val="20"/>
          <w:lang w:val="en-US"/>
        </w:rPr>
        <w:t>to the detriment of</w:t>
      </w:r>
      <w:r w:rsidR="0081446F" w:rsidRPr="00A50E4D">
        <w:rPr>
          <w:szCs w:val="20"/>
          <w:lang w:val="en-US"/>
        </w:rPr>
        <w:t xml:space="preserve"> Luis Alonso </w:t>
      </w:r>
      <w:r w:rsidR="009A7056" w:rsidRPr="00A50E4D">
        <w:rPr>
          <w:szCs w:val="20"/>
          <w:lang w:val="en-US"/>
        </w:rPr>
        <w:t>Chévez de la Rocha</w:t>
      </w:r>
      <w:r w:rsidR="0081446F" w:rsidRPr="00A50E4D">
        <w:rPr>
          <w:szCs w:val="20"/>
          <w:lang w:val="en-US"/>
        </w:rPr>
        <w:t xml:space="preserve">, </w:t>
      </w:r>
      <w:r w:rsidR="004519A2" w:rsidRPr="00A50E4D">
        <w:rPr>
          <w:spacing w:val="-2"/>
          <w:lang w:val="en-US"/>
        </w:rPr>
        <w:t xml:space="preserve">pursuant to </w:t>
      </w:r>
      <w:r w:rsidR="00F814CB" w:rsidRPr="00A50E4D">
        <w:rPr>
          <w:spacing w:val="-2"/>
          <w:lang w:val="en-US"/>
        </w:rPr>
        <w:t>paragraphs</w:t>
      </w:r>
      <w:r w:rsidR="0081446F" w:rsidRPr="00A50E4D">
        <w:rPr>
          <w:rFonts w:eastAsia="Batang" w:cs="Times"/>
          <w:spacing w:val="-2"/>
          <w:szCs w:val="20"/>
          <w:lang w:val="en-US"/>
        </w:rPr>
        <w:t xml:space="preserve"> </w:t>
      </w:r>
      <w:r w:rsidR="0081446F" w:rsidRPr="00914F55">
        <w:rPr>
          <w:rFonts w:eastAsia="Batang" w:cs="Times"/>
          <w:spacing w:val="-2"/>
          <w:szCs w:val="20"/>
          <w:lang w:val="en-US"/>
        </w:rPr>
        <w:fldChar w:fldCharType="begin"/>
      </w:r>
      <w:r w:rsidR="0081446F" w:rsidRPr="00A50E4D">
        <w:rPr>
          <w:rFonts w:eastAsia="Batang" w:cs="Times"/>
          <w:spacing w:val="-2"/>
          <w:szCs w:val="20"/>
          <w:lang w:val="en-US"/>
        </w:rPr>
        <w:instrText xml:space="preserve"> REF _Ref431215046 \r \h  \* MERGEFORMAT </w:instrText>
      </w:r>
      <w:r w:rsidR="0081446F" w:rsidRPr="00914F55">
        <w:rPr>
          <w:rFonts w:eastAsia="Batang" w:cs="Times"/>
          <w:spacing w:val="-2"/>
          <w:szCs w:val="20"/>
          <w:lang w:val="en-US"/>
        </w:rPr>
      </w:r>
      <w:r w:rsidR="0081446F" w:rsidRPr="00914F55">
        <w:rPr>
          <w:rFonts w:eastAsia="Batang" w:cs="Times"/>
          <w:spacing w:val="-2"/>
          <w:szCs w:val="20"/>
          <w:lang w:val="en-US"/>
        </w:rPr>
        <w:fldChar w:fldCharType="separate"/>
      </w:r>
      <w:r w:rsidR="00547588">
        <w:rPr>
          <w:rFonts w:eastAsia="Batang" w:cs="Times"/>
          <w:spacing w:val="-2"/>
          <w:szCs w:val="20"/>
          <w:lang w:val="en-US"/>
        </w:rPr>
        <w:t>281</w:t>
      </w:r>
      <w:r w:rsidR="0081446F" w:rsidRPr="00914F55">
        <w:rPr>
          <w:rFonts w:eastAsia="Batang" w:cs="Times"/>
          <w:spacing w:val="-2"/>
          <w:szCs w:val="20"/>
          <w:lang w:val="en-US"/>
        </w:rPr>
        <w:fldChar w:fldCharType="end"/>
      </w:r>
      <w:r w:rsidRPr="00A50E4D">
        <w:rPr>
          <w:rFonts w:eastAsia="Batang" w:cs="Times"/>
          <w:spacing w:val="-2"/>
          <w:szCs w:val="20"/>
          <w:lang w:val="en-US"/>
        </w:rPr>
        <w:t xml:space="preserve"> to</w:t>
      </w:r>
      <w:r w:rsidR="0081446F" w:rsidRPr="00A50E4D">
        <w:rPr>
          <w:rFonts w:eastAsia="Batang" w:cs="Times"/>
          <w:spacing w:val="-2"/>
          <w:szCs w:val="20"/>
          <w:lang w:val="en-US"/>
        </w:rPr>
        <w:t xml:space="preserve"> </w:t>
      </w:r>
      <w:r w:rsidR="0081446F" w:rsidRPr="00914F55">
        <w:rPr>
          <w:rFonts w:eastAsia="Batang" w:cs="Times"/>
          <w:spacing w:val="-2"/>
          <w:szCs w:val="20"/>
          <w:lang w:val="en-US"/>
        </w:rPr>
        <w:fldChar w:fldCharType="begin"/>
      </w:r>
      <w:r w:rsidR="0081446F" w:rsidRPr="00A50E4D">
        <w:rPr>
          <w:rFonts w:eastAsia="Batang" w:cs="Times"/>
          <w:spacing w:val="-2"/>
          <w:szCs w:val="20"/>
          <w:lang w:val="en-US"/>
        </w:rPr>
        <w:instrText xml:space="preserve"> REF _Ref431215054 \r \h  \* MERGEFORMAT </w:instrText>
      </w:r>
      <w:r w:rsidR="0081446F" w:rsidRPr="00914F55">
        <w:rPr>
          <w:rFonts w:eastAsia="Batang" w:cs="Times"/>
          <w:spacing w:val="-2"/>
          <w:szCs w:val="20"/>
          <w:lang w:val="en-US"/>
        </w:rPr>
      </w:r>
      <w:r w:rsidR="0081446F" w:rsidRPr="00914F55">
        <w:rPr>
          <w:rFonts w:eastAsia="Batang" w:cs="Times"/>
          <w:spacing w:val="-2"/>
          <w:szCs w:val="20"/>
          <w:lang w:val="en-US"/>
        </w:rPr>
        <w:fldChar w:fldCharType="separate"/>
      </w:r>
      <w:r w:rsidR="00547588">
        <w:rPr>
          <w:rFonts w:eastAsia="Batang" w:cs="Times"/>
          <w:spacing w:val="-2"/>
          <w:szCs w:val="20"/>
          <w:lang w:val="en-US"/>
        </w:rPr>
        <w:t>283</w:t>
      </w:r>
      <w:r w:rsidR="0081446F" w:rsidRPr="00914F55">
        <w:rPr>
          <w:rFonts w:eastAsia="Batang" w:cs="Times"/>
          <w:spacing w:val="-2"/>
          <w:szCs w:val="20"/>
          <w:lang w:val="en-US"/>
        </w:rPr>
        <w:fldChar w:fldCharType="end"/>
      </w:r>
      <w:r w:rsidR="0081446F" w:rsidRPr="00A50E4D">
        <w:rPr>
          <w:rFonts w:eastAsia="Batang" w:cs="Times"/>
          <w:spacing w:val="-2"/>
          <w:szCs w:val="20"/>
          <w:lang w:val="en-US"/>
        </w:rPr>
        <w:t>.</w:t>
      </w:r>
    </w:p>
    <w:p w14:paraId="584C10C1" w14:textId="77777777" w:rsidR="00BF57ED" w:rsidRPr="00A50E4D" w:rsidRDefault="00BF57ED" w:rsidP="00B101DF">
      <w:pPr>
        <w:tabs>
          <w:tab w:val="left" w:pos="567"/>
        </w:tabs>
        <w:autoSpaceDE w:val="0"/>
        <w:autoSpaceDN w:val="0"/>
        <w:spacing w:before="40" w:after="20"/>
        <w:rPr>
          <w:rFonts w:cs="Arial"/>
          <w:color w:val="000000"/>
          <w:spacing w:val="-2"/>
          <w:szCs w:val="20"/>
          <w:lang w:val="en-US"/>
        </w:rPr>
      </w:pPr>
    </w:p>
    <w:p w14:paraId="792BB352" w14:textId="2DEB49B8" w:rsidR="00BF57ED" w:rsidRPr="00A50E4D" w:rsidRDefault="00A45503" w:rsidP="00B101DF">
      <w:pPr>
        <w:numPr>
          <w:ilvl w:val="0"/>
          <w:numId w:val="13"/>
        </w:numPr>
        <w:tabs>
          <w:tab w:val="left" w:pos="567"/>
        </w:tabs>
        <w:autoSpaceDE w:val="0"/>
        <w:autoSpaceDN w:val="0"/>
        <w:spacing w:before="40" w:after="20"/>
        <w:ind w:left="0" w:firstLine="0"/>
        <w:rPr>
          <w:rFonts w:cs="Arial"/>
          <w:color w:val="000000"/>
          <w:spacing w:val="-2"/>
          <w:szCs w:val="20"/>
          <w:lang w:val="en-US"/>
        </w:rPr>
      </w:pPr>
      <w:r w:rsidRPr="00A50E4D">
        <w:rPr>
          <w:spacing w:val="-2"/>
          <w:szCs w:val="20"/>
          <w:lang w:val="en-US"/>
        </w:rPr>
        <w:t>It is not necessary to rule on the alleged violation of</w:t>
      </w:r>
      <w:r w:rsidR="00BF57ED" w:rsidRPr="00A50E4D">
        <w:rPr>
          <w:spacing w:val="-2"/>
          <w:szCs w:val="20"/>
          <w:lang w:val="en-US"/>
        </w:rPr>
        <w:t xml:space="preserve"> </w:t>
      </w:r>
      <w:r w:rsidR="009808C5" w:rsidRPr="00A50E4D">
        <w:rPr>
          <w:spacing w:val="-2"/>
          <w:szCs w:val="20"/>
          <w:lang w:val="en-US"/>
        </w:rPr>
        <w:t>Articles</w:t>
      </w:r>
      <w:r w:rsidR="00BF57ED" w:rsidRPr="00A50E4D">
        <w:rPr>
          <w:spacing w:val="-2"/>
          <w:szCs w:val="20"/>
          <w:lang w:val="en-US"/>
        </w:rPr>
        <w:t xml:space="preserve"> 5</w:t>
      </w:r>
      <w:r w:rsidR="009808C5" w:rsidRPr="00A50E4D">
        <w:rPr>
          <w:spacing w:val="-2"/>
          <w:szCs w:val="20"/>
          <w:lang w:val="en-US"/>
        </w:rPr>
        <w:t xml:space="preserve"> and </w:t>
      </w:r>
      <w:r w:rsidR="00BF57ED" w:rsidRPr="00A50E4D">
        <w:rPr>
          <w:spacing w:val="-2"/>
          <w:szCs w:val="20"/>
          <w:lang w:val="en-US"/>
        </w:rPr>
        <w:t>11</w:t>
      </w:r>
      <w:r w:rsidR="009808C5" w:rsidRPr="00A50E4D">
        <w:rPr>
          <w:spacing w:val="-2"/>
          <w:szCs w:val="20"/>
          <w:lang w:val="en-US"/>
        </w:rPr>
        <w:t xml:space="preserve"> of the </w:t>
      </w:r>
      <w:r w:rsidR="009808C5" w:rsidRPr="00A50E4D">
        <w:rPr>
          <w:szCs w:val="20"/>
          <w:lang w:val="en-US"/>
        </w:rPr>
        <w:t>American Convention</w:t>
      </w:r>
      <w:r w:rsidR="00BF57ED" w:rsidRPr="00A50E4D">
        <w:rPr>
          <w:spacing w:val="-2"/>
          <w:szCs w:val="20"/>
          <w:lang w:val="en-US"/>
        </w:rPr>
        <w:t xml:space="preserve">, </w:t>
      </w:r>
      <w:r w:rsidR="004519A2" w:rsidRPr="00A50E4D">
        <w:rPr>
          <w:spacing w:val="-2"/>
          <w:szCs w:val="20"/>
          <w:lang w:val="en-US"/>
        </w:rPr>
        <w:t>or on</w:t>
      </w:r>
      <w:r w:rsidRPr="00A50E4D">
        <w:rPr>
          <w:spacing w:val="-2"/>
          <w:szCs w:val="20"/>
          <w:lang w:val="en-US"/>
        </w:rPr>
        <w:t xml:space="preserve"> the right to defend human rights, </w:t>
      </w:r>
      <w:r w:rsidR="004519A2" w:rsidRPr="00A50E4D">
        <w:rPr>
          <w:spacing w:val="-2"/>
          <w:lang w:val="en-US"/>
        </w:rPr>
        <w:t xml:space="preserve">pursuant to </w:t>
      </w:r>
      <w:r w:rsidR="00F814CB" w:rsidRPr="00A50E4D">
        <w:rPr>
          <w:spacing w:val="-2"/>
          <w:lang w:val="en-US"/>
        </w:rPr>
        <w:t>paragraph</w:t>
      </w:r>
      <w:r w:rsidR="008D2A6E" w:rsidRPr="00A50E4D">
        <w:rPr>
          <w:rFonts w:eastAsia="Batang" w:cs="Times"/>
          <w:spacing w:val="-2"/>
          <w:szCs w:val="20"/>
          <w:lang w:val="en-US"/>
        </w:rPr>
        <w:t xml:space="preserve"> </w:t>
      </w:r>
      <w:r w:rsidR="00E94097" w:rsidRPr="00914F55">
        <w:rPr>
          <w:rFonts w:eastAsia="Batang" w:cs="Times"/>
          <w:spacing w:val="-2"/>
          <w:szCs w:val="20"/>
          <w:lang w:val="en-US"/>
        </w:rPr>
        <w:fldChar w:fldCharType="begin"/>
      </w:r>
      <w:r w:rsidR="008D2A6E" w:rsidRPr="00A50E4D">
        <w:rPr>
          <w:rFonts w:eastAsia="Batang" w:cs="Times"/>
          <w:spacing w:val="-2"/>
          <w:szCs w:val="20"/>
          <w:lang w:val="en-US"/>
        </w:rPr>
        <w:instrText xml:space="preserve"> REF _Ref431215078 \r \h </w:instrText>
      </w:r>
      <w:r w:rsidR="00AC1638" w:rsidRPr="00A50E4D">
        <w:rPr>
          <w:rFonts w:eastAsia="Batang" w:cs="Times"/>
          <w:spacing w:val="-2"/>
          <w:szCs w:val="20"/>
          <w:lang w:val="en-US"/>
        </w:rPr>
        <w:instrText xml:space="preserve"> \* MERGEFORMAT </w:instrText>
      </w:r>
      <w:r w:rsidR="00E94097" w:rsidRPr="00914F55">
        <w:rPr>
          <w:rFonts w:eastAsia="Batang" w:cs="Times"/>
          <w:spacing w:val="-2"/>
          <w:szCs w:val="20"/>
          <w:lang w:val="en-US"/>
        </w:rPr>
      </w:r>
      <w:r w:rsidR="00E94097" w:rsidRPr="00914F55">
        <w:rPr>
          <w:rFonts w:eastAsia="Batang" w:cs="Times"/>
          <w:spacing w:val="-2"/>
          <w:szCs w:val="20"/>
          <w:lang w:val="en-US"/>
        </w:rPr>
        <w:fldChar w:fldCharType="separate"/>
      </w:r>
      <w:r w:rsidR="00547588">
        <w:rPr>
          <w:rFonts w:eastAsia="Batang" w:cs="Times"/>
          <w:spacing w:val="-2"/>
          <w:szCs w:val="20"/>
          <w:lang w:val="en-US"/>
        </w:rPr>
        <w:t>285</w:t>
      </w:r>
      <w:r w:rsidR="00E94097" w:rsidRPr="00914F55">
        <w:rPr>
          <w:rFonts w:eastAsia="Batang" w:cs="Times"/>
          <w:spacing w:val="-2"/>
          <w:szCs w:val="20"/>
          <w:lang w:val="en-US"/>
        </w:rPr>
        <w:fldChar w:fldCharType="end"/>
      </w:r>
      <w:r w:rsidR="00BF57ED" w:rsidRPr="00A50E4D">
        <w:rPr>
          <w:rFonts w:eastAsia="Batang" w:cs="Times"/>
          <w:spacing w:val="-2"/>
          <w:szCs w:val="20"/>
          <w:lang w:val="en-US"/>
        </w:rPr>
        <w:t>.</w:t>
      </w:r>
    </w:p>
    <w:p w14:paraId="1C8B509F" w14:textId="77777777" w:rsidR="00BF57ED" w:rsidRPr="00A50E4D" w:rsidRDefault="00BF57ED" w:rsidP="00B101DF">
      <w:pPr>
        <w:tabs>
          <w:tab w:val="left" w:pos="567"/>
        </w:tabs>
        <w:spacing w:before="40" w:after="20"/>
        <w:rPr>
          <w:rFonts w:eastAsia="Batang" w:cs="Times"/>
          <w:spacing w:val="-2"/>
          <w:szCs w:val="20"/>
          <w:lang w:val="en-US"/>
        </w:rPr>
      </w:pPr>
    </w:p>
    <w:p w14:paraId="27A092BE" w14:textId="2D0DF70F" w:rsidR="00BF57ED" w:rsidRPr="00A50E4D" w:rsidRDefault="00A45503" w:rsidP="00B101DF">
      <w:pPr>
        <w:tabs>
          <w:tab w:val="left" w:pos="567"/>
          <w:tab w:val="left" w:pos="720"/>
        </w:tabs>
        <w:spacing w:before="40" w:after="20"/>
        <w:rPr>
          <w:rFonts w:cs="Verdana"/>
          <w:b/>
          <w:spacing w:val="-2"/>
          <w:szCs w:val="20"/>
          <w:lang w:val="en-US"/>
        </w:rPr>
      </w:pPr>
      <w:r w:rsidRPr="00A50E4D">
        <w:rPr>
          <w:rFonts w:cs="Verdana"/>
          <w:b/>
          <w:spacing w:val="-2"/>
          <w:szCs w:val="20"/>
          <w:lang w:val="en-US"/>
        </w:rPr>
        <w:t>AND ESTABLISHES,</w:t>
      </w:r>
    </w:p>
    <w:p w14:paraId="562A5897" w14:textId="77777777" w:rsidR="00BF57ED" w:rsidRPr="00A50E4D" w:rsidRDefault="00BF57ED" w:rsidP="00B101DF">
      <w:pPr>
        <w:tabs>
          <w:tab w:val="left" w:pos="567"/>
          <w:tab w:val="num" w:pos="630"/>
          <w:tab w:val="left" w:pos="720"/>
        </w:tabs>
        <w:spacing w:before="40" w:after="20"/>
        <w:rPr>
          <w:rFonts w:cs="Verdana"/>
          <w:b/>
          <w:spacing w:val="-2"/>
          <w:szCs w:val="20"/>
          <w:lang w:val="en-US"/>
        </w:rPr>
      </w:pPr>
    </w:p>
    <w:p w14:paraId="31958354" w14:textId="3F76F663" w:rsidR="00BF57ED" w:rsidRPr="00A50E4D" w:rsidRDefault="00A45503" w:rsidP="00B101DF">
      <w:pPr>
        <w:tabs>
          <w:tab w:val="left" w:pos="567"/>
          <w:tab w:val="left" w:pos="720"/>
        </w:tabs>
        <w:spacing w:before="40" w:after="20"/>
        <w:rPr>
          <w:rFonts w:cs="Verdana"/>
          <w:spacing w:val="-2"/>
          <w:szCs w:val="20"/>
          <w:lang w:val="en-US"/>
        </w:rPr>
      </w:pPr>
      <w:r w:rsidRPr="00A50E4D">
        <w:rPr>
          <w:rFonts w:cs="Verdana"/>
          <w:spacing w:val="-2"/>
          <w:szCs w:val="20"/>
          <w:lang w:val="en-US"/>
        </w:rPr>
        <w:t>unanimously</w:t>
      </w:r>
      <w:r w:rsidR="00BF57ED" w:rsidRPr="00A50E4D">
        <w:rPr>
          <w:rFonts w:cs="Verdana"/>
          <w:spacing w:val="-2"/>
          <w:szCs w:val="20"/>
          <w:lang w:val="en-US"/>
        </w:rPr>
        <w:t xml:space="preserve">, </w:t>
      </w:r>
      <w:r w:rsidRPr="00A50E4D">
        <w:rPr>
          <w:rFonts w:cs="Verdana"/>
          <w:spacing w:val="-2"/>
          <w:szCs w:val="20"/>
          <w:lang w:val="en-US"/>
        </w:rPr>
        <w:t>that</w:t>
      </w:r>
      <w:r w:rsidR="00BF57ED" w:rsidRPr="00A50E4D">
        <w:rPr>
          <w:rFonts w:cs="Verdana"/>
          <w:spacing w:val="-2"/>
          <w:szCs w:val="20"/>
          <w:lang w:val="en-US"/>
        </w:rPr>
        <w:t>:</w:t>
      </w:r>
    </w:p>
    <w:p w14:paraId="4FDC0BA0" w14:textId="77777777" w:rsidR="00BF57ED" w:rsidRPr="00A50E4D" w:rsidRDefault="00BF57ED" w:rsidP="00B101DF">
      <w:pPr>
        <w:tabs>
          <w:tab w:val="left" w:pos="567"/>
          <w:tab w:val="left" w:pos="720"/>
        </w:tabs>
        <w:spacing w:before="40" w:after="20"/>
        <w:rPr>
          <w:rFonts w:cs="Verdana"/>
          <w:spacing w:val="-2"/>
          <w:szCs w:val="20"/>
          <w:lang w:val="en-US"/>
        </w:rPr>
      </w:pPr>
    </w:p>
    <w:p w14:paraId="47B6D85C" w14:textId="2CB040E8" w:rsidR="00BF57ED" w:rsidRPr="00A50E4D" w:rsidRDefault="00A45503" w:rsidP="00B101DF">
      <w:pPr>
        <w:numPr>
          <w:ilvl w:val="0"/>
          <w:numId w:val="13"/>
        </w:numPr>
        <w:tabs>
          <w:tab w:val="left" w:pos="567"/>
          <w:tab w:val="left" w:pos="720"/>
        </w:tabs>
        <w:spacing w:before="40" w:after="20"/>
        <w:ind w:left="0" w:firstLine="0"/>
        <w:rPr>
          <w:rFonts w:cs="Verdana"/>
          <w:spacing w:val="-2"/>
          <w:szCs w:val="20"/>
          <w:lang w:val="en-US"/>
        </w:rPr>
      </w:pPr>
      <w:r w:rsidRPr="00A50E4D">
        <w:rPr>
          <w:rFonts w:cs="Verdana"/>
          <w:spacing w:val="-2"/>
          <w:szCs w:val="20"/>
          <w:lang w:val="en-US"/>
        </w:rPr>
        <w:t>This judgment constitutes</w:t>
      </w:r>
      <w:r w:rsidR="00BF57ED" w:rsidRPr="00A50E4D">
        <w:rPr>
          <w:rFonts w:cs="Verdana"/>
          <w:spacing w:val="-2"/>
          <w:szCs w:val="20"/>
          <w:lang w:val="en-US"/>
        </w:rPr>
        <w:t xml:space="preserve"> </w:t>
      </w:r>
      <w:r w:rsidR="00BF57ED" w:rsidRPr="00A50E4D">
        <w:rPr>
          <w:rFonts w:cs="Verdana"/>
          <w:i/>
          <w:spacing w:val="-2"/>
          <w:szCs w:val="20"/>
          <w:lang w:val="en-US"/>
        </w:rPr>
        <w:t>per se</w:t>
      </w:r>
      <w:r w:rsidRPr="00A50E4D">
        <w:rPr>
          <w:rFonts w:cs="Verdana"/>
          <w:spacing w:val="-2"/>
          <w:szCs w:val="20"/>
          <w:lang w:val="en-US"/>
        </w:rPr>
        <w:t xml:space="preserve"> </w:t>
      </w:r>
      <w:r w:rsidR="00BF57ED" w:rsidRPr="00A50E4D">
        <w:rPr>
          <w:rFonts w:cs="Verdana"/>
          <w:spacing w:val="-2"/>
          <w:szCs w:val="20"/>
          <w:lang w:val="en-US"/>
        </w:rPr>
        <w:t>a form</w:t>
      </w:r>
      <w:r w:rsidRPr="00A50E4D">
        <w:rPr>
          <w:rFonts w:cs="Verdana"/>
          <w:spacing w:val="-2"/>
          <w:szCs w:val="20"/>
          <w:lang w:val="en-US"/>
        </w:rPr>
        <w:t xml:space="preserve"> of reparation.</w:t>
      </w:r>
    </w:p>
    <w:p w14:paraId="4C971617" w14:textId="77777777" w:rsidR="00BF57ED" w:rsidRPr="00A50E4D" w:rsidRDefault="00BF57ED" w:rsidP="00B101DF">
      <w:pPr>
        <w:tabs>
          <w:tab w:val="left" w:pos="567"/>
          <w:tab w:val="left" w:pos="720"/>
        </w:tabs>
        <w:spacing w:before="40" w:after="20"/>
        <w:rPr>
          <w:rFonts w:cs="Verdana"/>
          <w:spacing w:val="-2"/>
          <w:szCs w:val="20"/>
          <w:lang w:val="en-US"/>
        </w:rPr>
      </w:pPr>
    </w:p>
    <w:p w14:paraId="5B3753EF" w14:textId="027796F6" w:rsidR="00BF57ED" w:rsidRPr="00A50E4D" w:rsidRDefault="009808C5" w:rsidP="00B101DF">
      <w:pPr>
        <w:numPr>
          <w:ilvl w:val="0"/>
          <w:numId w:val="13"/>
        </w:numPr>
        <w:tabs>
          <w:tab w:val="left" w:pos="567"/>
          <w:tab w:val="left" w:pos="720"/>
        </w:tabs>
        <w:spacing w:before="40" w:after="20"/>
        <w:ind w:left="0" w:firstLine="0"/>
        <w:rPr>
          <w:rFonts w:cs="Verdana"/>
          <w:spacing w:val="-2"/>
          <w:szCs w:val="20"/>
          <w:lang w:val="en-US"/>
        </w:rPr>
      </w:pPr>
      <w:r w:rsidRPr="00A50E4D">
        <w:rPr>
          <w:rFonts w:cs="Verdana"/>
          <w:spacing w:val="-2"/>
          <w:szCs w:val="20"/>
          <w:lang w:val="en-US"/>
        </w:rPr>
        <w:t>The State</w:t>
      </w:r>
      <w:r w:rsidR="00BF57ED" w:rsidRPr="00A50E4D">
        <w:rPr>
          <w:spacing w:val="-2"/>
          <w:lang w:val="en-US"/>
        </w:rPr>
        <w:t xml:space="preserve"> </w:t>
      </w:r>
      <w:r w:rsidR="00A45503" w:rsidRPr="00A50E4D">
        <w:rPr>
          <w:spacing w:val="-2"/>
          <w:lang w:val="en-US"/>
        </w:rPr>
        <w:t xml:space="preserve">must reinstate </w:t>
      </w:r>
      <w:r w:rsidR="009E55B2" w:rsidRPr="00A50E4D">
        <w:rPr>
          <w:lang w:val="en-US"/>
        </w:rPr>
        <w:t>A</w:t>
      </w:r>
      <w:r w:rsidR="00BF57ED" w:rsidRPr="00A50E4D">
        <w:rPr>
          <w:lang w:val="en-US"/>
        </w:rPr>
        <w:t xml:space="preserve">dán Guillermo López Lone, </w:t>
      </w:r>
      <w:r w:rsidR="008217D7" w:rsidRPr="00A50E4D">
        <w:rPr>
          <w:lang w:val="en-US"/>
        </w:rPr>
        <w:t>Tirza del Carmen</w:t>
      </w:r>
      <w:r w:rsidR="00BF57ED" w:rsidRPr="00A50E4D">
        <w:rPr>
          <w:lang w:val="en-US"/>
        </w:rPr>
        <w:t xml:space="preserve"> Flores Lanza</w:t>
      </w:r>
      <w:r w:rsidRPr="00A50E4D">
        <w:rPr>
          <w:lang w:val="en-US"/>
        </w:rPr>
        <w:t xml:space="preserve"> and </w:t>
      </w:r>
      <w:r w:rsidR="00BF57ED" w:rsidRPr="00A50E4D">
        <w:rPr>
          <w:lang w:val="en-US"/>
        </w:rPr>
        <w:t xml:space="preserve">Luis </w:t>
      </w:r>
      <w:r w:rsidR="009A7056" w:rsidRPr="00A50E4D">
        <w:rPr>
          <w:lang w:val="en-US"/>
        </w:rPr>
        <w:t>Chévez de la Rocha</w:t>
      </w:r>
      <w:r w:rsidR="00BF57ED" w:rsidRPr="00A50E4D">
        <w:rPr>
          <w:lang w:val="en-US"/>
        </w:rPr>
        <w:t xml:space="preserve"> </w:t>
      </w:r>
      <w:r w:rsidR="00A45503" w:rsidRPr="00A50E4D">
        <w:rPr>
          <w:lang w:val="en-US"/>
        </w:rPr>
        <w:t xml:space="preserve">in functions similar to those they performed at the time of the facts, with the same remuneration, social benefits and rank as those that would have corresponded to them at that date if they had been reinstated promptly, </w:t>
      </w:r>
      <w:r w:rsidR="000B62CF" w:rsidRPr="00A50E4D">
        <w:rPr>
          <w:lang w:val="en-US"/>
        </w:rPr>
        <w:t>pursuant</w:t>
      </w:r>
      <w:r w:rsidR="004519A2" w:rsidRPr="00A50E4D">
        <w:rPr>
          <w:lang w:val="en-US"/>
        </w:rPr>
        <w:t xml:space="preserve"> to</w:t>
      </w:r>
      <w:r w:rsidR="00BF57ED" w:rsidRPr="00A50E4D">
        <w:rPr>
          <w:spacing w:val="-2"/>
          <w:lang w:val="en-US"/>
        </w:rPr>
        <w:t xml:space="preserve"> </w:t>
      </w:r>
      <w:r w:rsidR="00F814CB" w:rsidRPr="00A50E4D">
        <w:rPr>
          <w:spacing w:val="-2"/>
          <w:lang w:val="en-US"/>
        </w:rPr>
        <w:t>paragraph</w:t>
      </w:r>
      <w:r w:rsidR="00BF57ED" w:rsidRPr="00A50E4D">
        <w:rPr>
          <w:spacing w:val="-2"/>
          <w:lang w:val="en-US"/>
        </w:rPr>
        <w:t xml:space="preserve">s </w:t>
      </w:r>
      <w:r w:rsidR="00E94097" w:rsidRPr="00914F55">
        <w:rPr>
          <w:spacing w:val="-2"/>
          <w:lang w:val="en-US"/>
        </w:rPr>
        <w:fldChar w:fldCharType="begin"/>
      </w:r>
      <w:r w:rsidR="008D2A6E" w:rsidRPr="00A50E4D">
        <w:rPr>
          <w:spacing w:val="-2"/>
          <w:lang w:val="en-US"/>
        </w:rPr>
        <w:instrText xml:space="preserve"> REF _Ref431215154 \r \h </w:instrText>
      </w:r>
      <w:r w:rsidR="00AC1638" w:rsidRPr="00A50E4D">
        <w:rPr>
          <w:spacing w:val="-2"/>
          <w:lang w:val="en-US"/>
        </w:rPr>
        <w:instrText xml:space="preserve"> \* MERGEFORMAT </w:instrText>
      </w:r>
      <w:r w:rsidR="00E94097" w:rsidRPr="00914F55">
        <w:rPr>
          <w:spacing w:val="-2"/>
          <w:lang w:val="en-US"/>
        </w:rPr>
      </w:r>
      <w:r w:rsidR="00E94097" w:rsidRPr="00914F55">
        <w:rPr>
          <w:spacing w:val="-2"/>
          <w:lang w:val="en-US"/>
        </w:rPr>
        <w:fldChar w:fldCharType="separate"/>
      </w:r>
      <w:r w:rsidR="00547588">
        <w:rPr>
          <w:spacing w:val="-2"/>
          <w:lang w:val="en-US"/>
        </w:rPr>
        <w:t>297</w:t>
      </w:r>
      <w:r w:rsidR="00E94097" w:rsidRPr="00914F55">
        <w:rPr>
          <w:spacing w:val="-2"/>
          <w:lang w:val="en-US"/>
        </w:rPr>
        <w:fldChar w:fldCharType="end"/>
      </w:r>
      <w:r w:rsidRPr="00A50E4D">
        <w:rPr>
          <w:spacing w:val="-2"/>
          <w:lang w:val="en-US"/>
        </w:rPr>
        <w:t xml:space="preserve"> and </w:t>
      </w:r>
      <w:r w:rsidR="00E94097" w:rsidRPr="00914F55">
        <w:rPr>
          <w:spacing w:val="-2"/>
          <w:lang w:val="en-US"/>
        </w:rPr>
        <w:fldChar w:fldCharType="begin"/>
      </w:r>
      <w:r w:rsidR="008D2A6E" w:rsidRPr="00A50E4D">
        <w:rPr>
          <w:spacing w:val="-2"/>
          <w:lang w:val="en-US"/>
        </w:rPr>
        <w:instrText xml:space="preserve"> REF _Ref431215176 \r \h </w:instrText>
      </w:r>
      <w:r w:rsidR="00AC1638" w:rsidRPr="00A50E4D">
        <w:rPr>
          <w:spacing w:val="-2"/>
          <w:lang w:val="en-US"/>
        </w:rPr>
        <w:instrText xml:space="preserve"> \* MERGEFORMAT </w:instrText>
      </w:r>
      <w:r w:rsidR="00E94097" w:rsidRPr="00914F55">
        <w:rPr>
          <w:spacing w:val="-2"/>
          <w:lang w:val="en-US"/>
        </w:rPr>
      </w:r>
      <w:r w:rsidR="00E94097" w:rsidRPr="00914F55">
        <w:rPr>
          <w:spacing w:val="-2"/>
          <w:lang w:val="en-US"/>
        </w:rPr>
        <w:fldChar w:fldCharType="separate"/>
      </w:r>
      <w:r w:rsidR="00547588">
        <w:rPr>
          <w:spacing w:val="-2"/>
          <w:lang w:val="en-US"/>
        </w:rPr>
        <w:t>298</w:t>
      </w:r>
      <w:r w:rsidR="00E94097" w:rsidRPr="00914F55">
        <w:rPr>
          <w:spacing w:val="-2"/>
          <w:lang w:val="en-US"/>
        </w:rPr>
        <w:fldChar w:fldCharType="end"/>
      </w:r>
      <w:r w:rsidR="00BF57ED" w:rsidRPr="00A50E4D">
        <w:rPr>
          <w:spacing w:val="-2"/>
          <w:lang w:val="en-US"/>
        </w:rPr>
        <w:t>.</w:t>
      </w:r>
      <w:r w:rsidR="00BF57ED" w:rsidRPr="00A50E4D">
        <w:rPr>
          <w:lang w:val="en-US"/>
        </w:rPr>
        <w:t xml:space="preserve"> </w:t>
      </w:r>
      <w:r w:rsidR="00A45503" w:rsidRPr="00A50E4D">
        <w:rPr>
          <w:lang w:val="en-US"/>
        </w:rPr>
        <w:t xml:space="preserve">If their reinstatement is not possible, it shall pay them the amount established in </w:t>
      </w:r>
      <w:r w:rsidR="00F814CB" w:rsidRPr="00A50E4D">
        <w:rPr>
          <w:lang w:val="en-US"/>
        </w:rPr>
        <w:t>paragraph</w:t>
      </w:r>
      <w:r w:rsidR="00BF57ED" w:rsidRPr="00A50E4D">
        <w:rPr>
          <w:lang w:val="en-US"/>
        </w:rPr>
        <w:t xml:space="preserve"> </w:t>
      </w:r>
      <w:r w:rsidR="00E94097" w:rsidRPr="00914F55">
        <w:rPr>
          <w:lang w:val="en-US"/>
        </w:rPr>
        <w:fldChar w:fldCharType="begin"/>
      </w:r>
      <w:r w:rsidR="008D2A6E" w:rsidRPr="00A50E4D">
        <w:rPr>
          <w:lang w:val="en-US"/>
        </w:rPr>
        <w:instrText xml:space="preserve"> REF _Ref431215183 \r \h </w:instrText>
      </w:r>
      <w:r w:rsidR="00AC1638" w:rsidRPr="00A50E4D">
        <w:rPr>
          <w:lang w:val="en-US"/>
        </w:rPr>
        <w:instrText xml:space="preserve"> \* MERGEFORMAT </w:instrText>
      </w:r>
      <w:r w:rsidR="00E94097" w:rsidRPr="00914F55">
        <w:rPr>
          <w:lang w:val="en-US"/>
        </w:rPr>
      </w:r>
      <w:r w:rsidR="00E94097" w:rsidRPr="00914F55">
        <w:rPr>
          <w:lang w:val="en-US"/>
        </w:rPr>
        <w:fldChar w:fldCharType="separate"/>
      </w:r>
      <w:r w:rsidR="00547588">
        <w:rPr>
          <w:lang w:val="en-US"/>
        </w:rPr>
        <w:t>299</w:t>
      </w:r>
      <w:r w:rsidR="00E94097" w:rsidRPr="00914F55">
        <w:rPr>
          <w:lang w:val="en-US"/>
        </w:rPr>
        <w:fldChar w:fldCharType="end"/>
      </w:r>
      <w:r w:rsidR="00FF35A9" w:rsidRPr="00A50E4D">
        <w:rPr>
          <w:lang w:val="en-US"/>
        </w:rPr>
        <w:t xml:space="preserve"> of </w:t>
      </w:r>
      <w:r w:rsidR="00F814CB" w:rsidRPr="00A50E4D">
        <w:rPr>
          <w:lang w:val="en-US"/>
        </w:rPr>
        <w:t>this judgment</w:t>
      </w:r>
      <w:r w:rsidR="00BF57ED" w:rsidRPr="00A50E4D">
        <w:rPr>
          <w:lang w:val="en-US"/>
        </w:rPr>
        <w:t>.</w:t>
      </w:r>
    </w:p>
    <w:p w14:paraId="749BE105" w14:textId="77777777" w:rsidR="00BF57ED" w:rsidRPr="00A50E4D" w:rsidRDefault="00BF57ED" w:rsidP="00B101DF">
      <w:pPr>
        <w:tabs>
          <w:tab w:val="left" w:pos="0"/>
          <w:tab w:val="left" w:pos="567"/>
        </w:tabs>
        <w:spacing w:before="40" w:after="20"/>
        <w:rPr>
          <w:spacing w:val="-2"/>
          <w:szCs w:val="20"/>
          <w:lang w:val="en-US"/>
        </w:rPr>
      </w:pPr>
    </w:p>
    <w:p w14:paraId="1B147DEC" w14:textId="77538D08" w:rsidR="00BF57ED" w:rsidRPr="00A50E4D" w:rsidRDefault="009808C5" w:rsidP="00B101DF">
      <w:pPr>
        <w:numPr>
          <w:ilvl w:val="0"/>
          <w:numId w:val="13"/>
        </w:numPr>
        <w:tabs>
          <w:tab w:val="left" w:pos="0"/>
          <w:tab w:val="left" w:pos="567"/>
        </w:tabs>
        <w:spacing w:before="40" w:after="20"/>
        <w:ind w:left="0" w:firstLine="0"/>
        <w:rPr>
          <w:spacing w:val="-2"/>
          <w:szCs w:val="20"/>
          <w:lang w:val="en-US"/>
        </w:rPr>
      </w:pPr>
      <w:r w:rsidRPr="00A50E4D">
        <w:rPr>
          <w:spacing w:val="-2"/>
          <w:szCs w:val="20"/>
          <w:lang w:val="en-US"/>
        </w:rPr>
        <w:t>The State</w:t>
      </w:r>
      <w:r w:rsidR="00BF57ED" w:rsidRPr="00A50E4D">
        <w:rPr>
          <w:spacing w:val="-2"/>
          <w:szCs w:val="20"/>
          <w:lang w:val="en-US"/>
        </w:rPr>
        <w:t xml:space="preserve"> </w:t>
      </w:r>
      <w:r w:rsidR="00F814CB" w:rsidRPr="00A50E4D">
        <w:rPr>
          <w:spacing w:val="-2"/>
          <w:szCs w:val="20"/>
          <w:lang w:val="en-US"/>
        </w:rPr>
        <w:t>must make the publications indicated in</w:t>
      </w:r>
      <w:r w:rsidR="00BF57ED" w:rsidRPr="00A50E4D">
        <w:rPr>
          <w:spacing w:val="-2"/>
          <w:szCs w:val="20"/>
          <w:lang w:val="en-US"/>
        </w:rPr>
        <w:t xml:space="preserve"> </w:t>
      </w:r>
      <w:r w:rsidR="00F814CB" w:rsidRPr="00A50E4D">
        <w:rPr>
          <w:spacing w:val="-2"/>
          <w:szCs w:val="20"/>
          <w:lang w:val="en-US"/>
        </w:rPr>
        <w:t>paragraph</w:t>
      </w:r>
      <w:r w:rsidR="00BF57ED" w:rsidRPr="00A50E4D">
        <w:rPr>
          <w:spacing w:val="-2"/>
          <w:szCs w:val="20"/>
          <w:lang w:val="en-US"/>
        </w:rPr>
        <w:t xml:space="preserve"> </w:t>
      </w:r>
      <w:r w:rsidR="00C721D2" w:rsidRPr="00914F55">
        <w:rPr>
          <w:lang w:val="en-US"/>
        </w:rPr>
        <w:fldChar w:fldCharType="begin"/>
      </w:r>
      <w:r w:rsidR="00C721D2" w:rsidRPr="00A50E4D">
        <w:rPr>
          <w:lang w:val="en-US"/>
        </w:rPr>
        <w:instrText xml:space="preserve"> REF _Ref419393952 \r \h  \* MERGEFORMAT </w:instrText>
      </w:r>
      <w:r w:rsidR="00C721D2" w:rsidRPr="00914F55">
        <w:rPr>
          <w:lang w:val="en-US"/>
        </w:rPr>
      </w:r>
      <w:r w:rsidR="00C721D2" w:rsidRPr="00914F55">
        <w:rPr>
          <w:lang w:val="en-US"/>
        </w:rPr>
        <w:fldChar w:fldCharType="separate"/>
      </w:r>
      <w:r w:rsidR="00547588" w:rsidRPr="00547588">
        <w:rPr>
          <w:spacing w:val="-2"/>
          <w:szCs w:val="20"/>
          <w:lang w:val="en-US"/>
        </w:rPr>
        <w:t>303</w:t>
      </w:r>
      <w:r w:rsidR="00C721D2" w:rsidRPr="00914F55">
        <w:rPr>
          <w:lang w:val="en-US"/>
        </w:rPr>
        <w:fldChar w:fldCharType="end"/>
      </w:r>
      <w:r w:rsidR="00665BDA" w:rsidRPr="00A50E4D">
        <w:rPr>
          <w:spacing w:val="-2"/>
          <w:szCs w:val="20"/>
          <w:lang w:val="en-US"/>
        </w:rPr>
        <w:t xml:space="preserve"> of this judgment</w:t>
      </w:r>
      <w:r w:rsidR="00BF57ED" w:rsidRPr="00A50E4D">
        <w:rPr>
          <w:spacing w:val="-2"/>
          <w:szCs w:val="20"/>
          <w:lang w:val="en-US"/>
        </w:rPr>
        <w:t xml:space="preserve">, </w:t>
      </w:r>
      <w:r w:rsidR="00F814CB" w:rsidRPr="00A50E4D">
        <w:rPr>
          <w:spacing w:val="-2"/>
          <w:szCs w:val="20"/>
          <w:lang w:val="en-US"/>
        </w:rPr>
        <w:t>within six months of notification hereof</w:t>
      </w:r>
      <w:r w:rsidR="00BF57ED" w:rsidRPr="00A50E4D">
        <w:rPr>
          <w:spacing w:val="-2"/>
          <w:szCs w:val="20"/>
          <w:lang w:val="en-US"/>
        </w:rPr>
        <w:t>.</w:t>
      </w:r>
    </w:p>
    <w:p w14:paraId="7C2F7902" w14:textId="77777777" w:rsidR="00BF57ED" w:rsidRPr="00A50E4D" w:rsidRDefault="00BF57ED" w:rsidP="00B101DF">
      <w:pPr>
        <w:tabs>
          <w:tab w:val="left" w:pos="0"/>
          <w:tab w:val="left" w:pos="567"/>
        </w:tabs>
        <w:spacing w:before="40" w:after="20"/>
        <w:rPr>
          <w:spacing w:val="-2"/>
          <w:szCs w:val="20"/>
          <w:lang w:val="en-US"/>
        </w:rPr>
      </w:pPr>
    </w:p>
    <w:p w14:paraId="44423D5C" w14:textId="1D15B883" w:rsidR="00BF57ED" w:rsidRPr="00A50E4D" w:rsidRDefault="009808C5" w:rsidP="00B101DF">
      <w:pPr>
        <w:numPr>
          <w:ilvl w:val="0"/>
          <w:numId w:val="13"/>
        </w:numPr>
        <w:tabs>
          <w:tab w:val="left" w:pos="567"/>
          <w:tab w:val="left" w:pos="720"/>
        </w:tabs>
        <w:spacing w:before="40" w:after="20"/>
        <w:ind w:left="0" w:firstLine="0"/>
        <w:rPr>
          <w:rFonts w:cs="Verdana"/>
          <w:spacing w:val="-2"/>
          <w:szCs w:val="20"/>
          <w:lang w:val="en-US"/>
        </w:rPr>
      </w:pPr>
      <w:r w:rsidRPr="00A50E4D">
        <w:rPr>
          <w:rFonts w:cs="Verdana"/>
          <w:spacing w:val="-2"/>
          <w:szCs w:val="20"/>
          <w:lang w:val="en-US"/>
        </w:rPr>
        <w:t>The State</w:t>
      </w:r>
      <w:r w:rsidR="00BF57ED" w:rsidRPr="00A50E4D">
        <w:rPr>
          <w:rFonts w:cs="Verdana"/>
          <w:spacing w:val="-2"/>
          <w:szCs w:val="20"/>
          <w:lang w:val="en-US"/>
        </w:rPr>
        <w:t xml:space="preserve"> </w:t>
      </w:r>
      <w:r w:rsidR="00F814CB" w:rsidRPr="00A50E4D">
        <w:rPr>
          <w:rFonts w:cs="Verdana"/>
          <w:spacing w:val="-2"/>
          <w:szCs w:val="20"/>
          <w:lang w:val="en-US"/>
        </w:rPr>
        <w:t>must pay the amounts established in paragraphs</w:t>
      </w:r>
      <w:r w:rsidR="00BF57ED" w:rsidRPr="00A50E4D">
        <w:rPr>
          <w:rFonts w:cs="Verdana"/>
          <w:spacing w:val="-2"/>
          <w:szCs w:val="20"/>
          <w:lang w:val="en-US"/>
        </w:rPr>
        <w:t xml:space="preserve"> </w:t>
      </w:r>
      <w:r w:rsidR="00E94097" w:rsidRPr="00914F55">
        <w:rPr>
          <w:rFonts w:cs="Verdana"/>
          <w:spacing w:val="-2"/>
          <w:szCs w:val="20"/>
          <w:lang w:val="en-US"/>
        </w:rPr>
        <w:fldChar w:fldCharType="begin"/>
      </w:r>
      <w:r w:rsidR="008D2A6E" w:rsidRPr="00A50E4D">
        <w:rPr>
          <w:rFonts w:cs="Verdana"/>
          <w:spacing w:val="-2"/>
          <w:szCs w:val="20"/>
          <w:lang w:val="en-US"/>
        </w:rPr>
        <w:instrText xml:space="preserve"> REF _Ref431215275 \r \h </w:instrText>
      </w:r>
      <w:r w:rsidR="00AC1638" w:rsidRPr="00A50E4D">
        <w:rPr>
          <w:rFonts w:cs="Verdana"/>
          <w:spacing w:val="-2"/>
          <w:szCs w:val="20"/>
          <w:lang w:val="en-US"/>
        </w:rPr>
        <w:instrText xml:space="preserve"> \* MERGEFORMAT </w:instrText>
      </w:r>
      <w:r w:rsidR="00E94097" w:rsidRPr="00914F55">
        <w:rPr>
          <w:rFonts w:cs="Verdana"/>
          <w:spacing w:val="-2"/>
          <w:szCs w:val="20"/>
          <w:lang w:val="en-US"/>
        </w:rPr>
      </w:r>
      <w:r w:rsidR="00E94097" w:rsidRPr="00914F55">
        <w:rPr>
          <w:rFonts w:cs="Verdana"/>
          <w:spacing w:val="-2"/>
          <w:szCs w:val="20"/>
          <w:lang w:val="en-US"/>
        </w:rPr>
        <w:fldChar w:fldCharType="separate"/>
      </w:r>
      <w:r w:rsidR="00547588">
        <w:rPr>
          <w:rFonts w:cs="Verdana"/>
          <w:spacing w:val="-2"/>
          <w:szCs w:val="20"/>
          <w:lang w:val="en-US"/>
        </w:rPr>
        <w:t>318</w:t>
      </w:r>
      <w:r w:rsidR="00E94097" w:rsidRPr="00914F55">
        <w:rPr>
          <w:rFonts w:cs="Verdana"/>
          <w:spacing w:val="-2"/>
          <w:szCs w:val="20"/>
          <w:lang w:val="en-US"/>
        </w:rPr>
        <w:fldChar w:fldCharType="end"/>
      </w:r>
      <w:r w:rsidR="00F1563B" w:rsidRPr="00A50E4D">
        <w:rPr>
          <w:rFonts w:cs="Verdana"/>
          <w:spacing w:val="-2"/>
          <w:szCs w:val="20"/>
          <w:lang w:val="en-US"/>
        </w:rPr>
        <w:t xml:space="preserve">, </w:t>
      </w:r>
      <w:r w:rsidR="00E94097" w:rsidRPr="00914F55">
        <w:rPr>
          <w:rFonts w:cs="Verdana"/>
          <w:spacing w:val="-2"/>
          <w:szCs w:val="20"/>
          <w:lang w:val="en-US"/>
        </w:rPr>
        <w:fldChar w:fldCharType="begin"/>
      </w:r>
      <w:r w:rsidR="00F1563B" w:rsidRPr="00A50E4D">
        <w:rPr>
          <w:rFonts w:cs="Verdana"/>
          <w:spacing w:val="-2"/>
          <w:szCs w:val="20"/>
          <w:lang w:val="en-US"/>
        </w:rPr>
        <w:instrText xml:space="preserve"> REF _Ref431215355 \r \h </w:instrText>
      </w:r>
      <w:r w:rsidR="00AC1638" w:rsidRPr="00A50E4D">
        <w:rPr>
          <w:rFonts w:cs="Verdana"/>
          <w:spacing w:val="-2"/>
          <w:szCs w:val="20"/>
          <w:lang w:val="en-US"/>
        </w:rPr>
        <w:instrText xml:space="preserve"> \* MERGEFORMAT </w:instrText>
      </w:r>
      <w:r w:rsidR="00E94097" w:rsidRPr="00914F55">
        <w:rPr>
          <w:rFonts w:cs="Verdana"/>
          <w:spacing w:val="-2"/>
          <w:szCs w:val="20"/>
          <w:lang w:val="en-US"/>
        </w:rPr>
      </w:r>
      <w:r w:rsidR="00E94097" w:rsidRPr="00914F55">
        <w:rPr>
          <w:rFonts w:cs="Verdana"/>
          <w:spacing w:val="-2"/>
          <w:szCs w:val="20"/>
          <w:lang w:val="en-US"/>
        </w:rPr>
        <w:fldChar w:fldCharType="separate"/>
      </w:r>
      <w:r w:rsidR="00547588">
        <w:rPr>
          <w:rFonts w:cs="Verdana"/>
          <w:spacing w:val="-2"/>
          <w:szCs w:val="20"/>
          <w:lang w:val="en-US"/>
        </w:rPr>
        <w:t>325</w:t>
      </w:r>
      <w:r w:rsidR="00E94097" w:rsidRPr="00914F55">
        <w:rPr>
          <w:rFonts w:cs="Verdana"/>
          <w:spacing w:val="-2"/>
          <w:szCs w:val="20"/>
          <w:lang w:val="en-US"/>
        </w:rPr>
        <w:fldChar w:fldCharType="end"/>
      </w:r>
      <w:r w:rsidRPr="00A50E4D">
        <w:rPr>
          <w:spacing w:val="-2"/>
          <w:szCs w:val="20"/>
          <w:lang w:val="en-US"/>
        </w:rPr>
        <w:t xml:space="preserve"> and </w:t>
      </w:r>
      <w:r w:rsidR="00C721D2" w:rsidRPr="00914F55">
        <w:rPr>
          <w:lang w:val="en-US"/>
        </w:rPr>
        <w:fldChar w:fldCharType="begin"/>
      </w:r>
      <w:r w:rsidR="00C721D2" w:rsidRPr="00A50E4D">
        <w:rPr>
          <w:lang w:val="en-US"/>
        </w:rPr>
        <w:instrText xml:space="preserve"> REF _Ref419394051 \r \h  \* MERGEFORMAT </w:instrText>
      </w:r>
      <w:r w:rsidR="00C721D2" w:rsidRPr="00914F55">
        <w:rPr>
          <w:lang w:val="en-US"/>
        </w:rPr>
      </w:r>
      <w:r w:rsidR="00C721D2" w:rsidRPr="00914F55">
        <w:rPr>
          <w:lang w:val="en-US"/>
        </w:rPr>
        <w:fldChar w:fldCharType="separate"/>
      </w:r>
      <w:r w:rsidR="00547588" w:rsidRPr="00547588">
        <w:rPr>
          <w:spacing w:val="-2"/>
          <w:szCs w:val="20"/>
          <w:lang w:val="en-US"/>
        </w:rPr>
        <w:t>334</w:t>
      </w:r>
      <w:r w:rsidR="00C721D2" w:rsidRPr="00914F55">
        <w:rPr>
          <w:lang w:val="en-US"/>
        </w:rPr>
        <w:fldChar w:fldCharType="end"/>
      </w:r>
      <w:r w:rsidR="00FF35A9" w:rsidRPr="00A50E4D">
        <w:rPr>
          <w:spacing w:val="-2"/>
          <w:szCs w:val="20"/>
          <w:lang w:val="en-US"/>
        </w:rPr>
        <w:t xml:space="preserve"> of </w:t>
      </w:r>
      <w:r w:rsidR="00F814CB" w:rsidRPr="00A50E4D">
        <w:rPr>
          <w:spacing w:val="-2"/>
          <w:szCs w:val="20"/>
          <w:lang w:val="en-US"/>
        </w:rPr>
        <w:t>this judgment</w:t>
      </w:r>
      <w:r w:rsidR="00BF57ED" w:rsidRPr="00A50E4D">
        <w:rPr>
          <w:rFonts w:cs="Verdana"/>
          <w:spacing w:val="-2"/>
          <w:szCs w:val="20"/>
          <w:lang w:val="en-US"/>
        </w:rPr>
        <w:t xml:space="preserve"> </w:t>
      </w:r>
      <w:r w:rsidR="00F814CB" w:rsidRPr="00A50E4D">
        <w:rPr>
          <w:rFonts w:cs="Verdana"/>
          <w:spacing w:val="-2"/>
          <w:szCs w:val="20"/>
          <w:lang w:val="en-US"/>
        </w:rPr>
        <w:t xml:space="preserve">as compensation for </w:t>
      </w:r>
      <w:r w:rsidR="00F814CB" w:rsidRPr="00A50E4D">
        <w:rPr>
          <w:spacing w:val="-2"/>
          <w:szCs w:val="20"/>
          <w:lang w:val="en-US"/>
        </w:rPr>
        <w:t>pecuniary and non-pecuniary damage</w:t>
      </w:r>
      <w:r w:rsidRPr="00A50E4D">
        <w:rPr>
          <w:rFonts w:cs="Verdana"/>
          <w:spacing w:val="-2"/>
          <w:szCs w:val="20"/>
          <w:lang w:val="en-US"/>
        </w:rPr>
        <w:t xml:space="preserve"> and </w:t>
      </w:r>
      <w:r w:rsidR="00F814CB" w:rsidRPr="00A50E4D">
        <w:rPr>
          <w:rFonts w:cs="Verdana"/>
          <w:spacing w:val="-2"/>
          <w:szCs w:val="20"/>
          <w:lang w:val="en-US"/>
        </w:rPr>
        <w:t>to reimburse costs and expenses</w:t>
      </w:r>
      <w:r w:rsidR="00BF57ED" w:rsidRPr="00A50E4D">
        <w:rPr>
          <w:rFonts w:cs="Verdana"/>
          <w:spacing w:val="-2"/>
          <w:szCs w:val="20"/>
          <w:lang w:val="en-US"/>
        </w:rPr>
        <w:t xml:space="preserve">, </w:t>
      </w:r>
      <w:r w:rsidR="00F814CB" w:rsidRPr="00A50E4D">
        <w:rPr>
          <w:rFonts w:cs="Verdana"/>
          <w:spacing w:val="-2"/>
          <w:szCs w:val="20"/>
          <w:lang w:val="en-US"/>
        </w:rPr>
        <w:t>in the terms of the said paragraphs and of paragraphs</w:t>
      </w:r>
      <w:r w:rsidR="00BF57ED" w:rsidRPr="00A50E4D">
        <w:rPr>
          <w:rFonts w:cs="Verdana"/>
          <w:spacing w:val="-2"/>
          <w:szCs w:val="20"/>
          <w:lang w:val="en-US"/>
        </w:rPr>
        <w:t xml:space="preserve"> </w:t>
      </w:r>
      <w:r w:rsidR="00C721D2" w:rsidRPr="00914F55">
        <w:rPr>
          <w:lang w:val="en-US"/>
        </w:rPr>
        <w:fldChar w:fldCharType="begin"/>
      </w:r>
      <w:r w:rsidR="00C721D2" w:rsidRPr="00A50E4D">
        <w:rPr>
          <w:lang w:val="en-US"/>
        </w:rPr>
        <w:instrText xml:space="preserve"> REF _Ref419394072 \r \h  \* MERGEFORMAT </w:instrText>
      </w:r>
      <w:r w:rsidR="00C721D2" w:rsidRPr="00914F55">
        <w:rPr>
          <w:lang w:val="en-US"/>
        </w:rPr>
      </w:r>
      <w:r w:rsidR="00C721D2" w:rsidRPr="00914F55">
        <w:rPr>
          <w:lang w:val="en-US"/>
        </w:rPr>
        <w:fldChar w:fldCharType="separate"/>
      </w:r>
      <w:r w:rsidR="00547588" w:rsidRPr="00547588">
        <w:rPr>
          <w:rFonts w:cs="Verdana"/>
          <w:spacing w:val="-2"/>
          <w:szCs w:val="20"/>
          <w:lang w:val="en-US"/>
        </w:rPr>
        <w:t>335</w:t>
      </w:r>
      <w:r w:rsidR="00C721D2" w:rsidRPr="00914F55">
        <w:rPr>
          <w:lang w:val="en-US"/>
        </w:rPr>
        <w:fldChar w:fldCharType="end"/>
      </w:r>
      <w:r w:rsidR="00F814CB" w:rsidRPr="00A50E4D">
        <w:rPr>
          <w:rFonts w:cs="Verdana"/>
          <w:spacing w:val="-2"/>
          <w:szCs w:val="20"/>
          <w:lang w:val="en-US"/>
        </w:rPr>
        <w:t xml:space="preserve"> to</w:t>
      </w:r>
      <w:r w:rsidR="00BF57ED" w:rsidRPr="00A50E4D">
        <w:rPr>
          <w:rFonts w:cs="Verdana"/>
          <w:spacing w:val="-2"/>
          <w:szCs w:val="20"/>
          <w:lang w:val="en-US"/>
        </w:rPr>
        <w:t xml:space="preserve"> </w:t>
      </w:r>
      <w:r w:rsidR="00C721D2" w:rsidRPr="00914F55">
        <w:rPr>
          <w:lang w:val="en-US"/>
        </w:rPr>
        <w:fldChar w:fldCharType="begin"/>
      </w:r>
      <w:r w:rsidR="00C721D2" w:rsidRPr="00A50E4D">
        <w:rPr>
          <w:lang w:val="en-US"/>
        </w:rPr>
        <w:instrText xml:space="preserve"> REF _Ref419394076 \r \h  \* MERGEFORMAT </w:instrText>
      </w:r>
      <w:r w:rsidR="00C721D2" w:rsidRPr="00914F55">
        <w:rPr>
          <w:lang w:val="en-US"/>
        </w:rPr>
      </w:r>
      <w:r w:rsidR="00C721D2" w:rsidRPr="00914F55">
        <w:rPr>
          <w:lang w:val="en-US"/>
        </w:rPr>
        <w:fldChar w:fldCharType="separate"/>
      </w:r>
      <w:r w:rsidR="00547588" w:rsidRPr="00547588">
        <w:rPr>
          <w:rFonts w:cs="Verdana"/>
          <w:spacing w:val="-2"/>
          <w:szCs w:val="20"/>
          <w:lang w:val="en-US"/>
        </w:rPr>
        <w:t>340</w:t>
      </w:r>
      <w:r w:rsidR="00C721D2" w:rsidRPr="00914F55">
        <w:rPr>
          <w:lang w:val="en-US"/>
        </w:rPr>
        <w:fldChar w:fldCharType="end"/>
      </w:r>
      <w:r w:rsidR="00BF57ED" w:rsidRPr="00A50E4D">
        <w:rPr>
          <w:rFonts w:cs="Verdana"/>
          <w:spacing w:val="-2"/>
          <w:szCs w:val="20"/>
          <w:lang w:val="en-US"/>
        </w:rPr>
        <w:t>.</w:t>
      </w:r>
    </w:p>
    <w:p w14:paraId="3C38C12C" w14:textId="77777777" w:rsidR="00BF57ED" w:rsidRPr="00A50E4D" w:rsidRDefault="00BF57ED" w:rsidP="00B101DF">
      <w:pPr>
        <w:tabs>
          <w:tab w:val="left" w:pos="567"/>
          <w:tab w:val="left" w:pos="720"/>
        </w:tabs>
        <w:spacing w:before="40" w:after="20"/>
        <w:rPr>
          <w:rFonts w:cs="Verdana"/>
          <w:spacing w:val="-2"/>
          <w:szCs w:val="20"/>
          <w:lang w:val="en-US"/>
        </w:rPr>
      </w:pPr>
    </w:p>
    <w:p w14:paraId="68578B26" w14:textId="701488C0" w:rsidR="00BF57ED" w:rsidRPr="00A50E4D" w:rsidRDefault="009808C5" w:rsidP="00B101DF">
      <w:pPr>
        <w:numPr>
          <w:ilvl w:val="0"/>
          <w:numId w:val="13"/>
        </w:numPr>
        <w:tabs>
          <w:tab w:val="left" w:pos="0"/>
          <w:tab w:val="left" w:pos="567"/>
        </w:tabs>
        <w:spacing w:before="40" w:after="20"/>
        <w:ind w:left="0" w:firstLine="0"/>
        <w:rPr>
          <w:spacing w:val="-2"/>
          <w:szCs w:val="20"/>
          <w:lang w:val="en-US"/>
        </w:rPr>
      </w:pPr>
      <w:r w:rsidRPr="00A50E4D">
        <w:rPr>
          <w:spacing w:val="-2"/>
          <w:szCs w:val="20"/>
          <w:lang w:val="en-US"/>
        </w:rPr>
        <w:t>The State</w:t>
      </w:r>
      <w:r w:rsidR="00BF57ED" w:rsidRPr="00A50E4D">
        <w:rPr>
          <w:spacing w:val="-2"/>
          <w:szCs w:val="20"/>
          <w:lang w:val="en-US"/>
        </w:rPr>
        <w:t xml:space="preserve"> </w:t>
      </w:r>
      <w:r w:rsidR="00F814CB" w:rsidRPr="00A50E4D">
        <w:rPr>
          <w:spacing w:val="-2"/>
          <w:szCs w:val="20"/>
          <w:lang w:val="en-US"/>
        </w:rPr>
        <w:t xml:space="preserve">must, within one year </w:t>
      </w:r>
      <w:r w:rsidR="00FF35A9" w:rsidRPr="00A50E4D">
        <w:rPr>
          <w:spacing w:val="-2"/>
          <w:szCs w:val="20"/>
          <w:lang w:val="en-US"/>
        </w:rPr>
        <w:t xml:space="preserve">of the </w:t>
      </w:r>
      <w:r w:rsidR="000A786A" w:rsidRPr="00A50E4D">
        <w:rPr>
          <w:spacing w:val="-2"/>
          <w:szCs w:val="20"/>
          <w:lang w:val="en-US"/>
        </w:rPr>
        <w:t>notification</w:t>
      </w:r>
      <w:r w:rsidR="00665BDA" w:rsidRPr="00A50E4D">
        <w:rPr>
          <w:spacing w:val="-2"/>
          <w:szCs w:val="20"/>
          <w:lang w:val="en-US"/>
        </w:rPr>
        <w:t xml:space="preserve"> of this judgment</w:t>
      </w:r>
      <w:r w:rsidR="00BF57ED" w:rsidRPr="00A50E4D">
        <w:rPr>
          <w:spacing w:val="-2"/>
          <w:szCs w:val="20"/>
          <w:lang w:val="en-US"/>
        </w:rPr>
        <w:t xml:space="preserve">, </w:t>
      </w:r>
      <w:r w:rsidR="00F814CB" w:rsidRPr="00A50E4D">
        <w:rPr>
          <w:spacing w:val="-2"/>
          <w:szCs w:val="20"/>
          <w:lang w:val="en-US"/>
        </w:rPr>
        <w:t>provide the Court with a report on the measures adopted to comply with it.</w:t>
      </w:r>
    </w:p>
    <w:p w14:paraId="01822CAA" w14:textId="77777777" w:rsidR="00BF57ED" w:rsidRPr="00A50E4D" w:rsidRDefault="00BF57ED" w:rsidP="00B101DF">
      <w:pPr>
        <w:tabs>
          <w:tab w:val="left" w:pos="0"/>
          <w:tab w:val="left" w:pos="567"/>
        </w:tabs>
        <w:spacing w:before="40" w:after="20"/>
        <w:rPr>
          <w:spacing w:val="-2"/>
          <w:szCs w:val="20"/>
          <w:lang w:val="en-US"/>
        </w:rPr>
      </w:pPr>
    </w:p>
    <w:p w14:paraId="79F832E5" w14:textId="5A6CB9AA" w:rsidR="00BF57ED" w:rsidRPr="00A50E4D" w:rsidRDefault="009808C5" w:rsidP="00B101DF">
      <w:pPr>
        <w:numPr>
          <w:ilvl w:val="0"/>
          <w:numId w:val="13"/>
        </w:numPr>
        <w:tabs>
          <w:tab w:val="left" w:pos="0"/>
          <w:tab w:val="left" w:pos="567"/>
        </w:tabs>
        <w:spacing w:before="40" w:after="20"/>
        <w:ind w:left="0" w:firstLine="0"/>
        <w:rPr>
          <w:rFonts w:cs="Verdana"/>
          <w:spacing w:val="-2"/>
          <w:szCs w:val="20"/>
          <w:lang w:val="en-US"/>
        </w:rPr>
      </w:pPr>
      <w:r w:rsidRPr="00A50E4D">
        <w:rPr>
          <w:spacing w:val="-2"/>
          <w:szCs w:val="20"/>
          <w:lang w:val="en-US"/>
        </w:rPr>
        <w:t>The Court</w:t>
      </w:r>
      <w:r w:rsidR="00BF57ED" w:rsidRPr="00A50E4D">
        <w:rPr>
          <w:spacing w:val="-2"/>
          <w:szCs w:val="20"/>
          <w:lang w:val="en-US"/>
        </w:rPr>
        <w:t xml:space="preserve"> </w:t>
      </w:r>
      <w:r w:rsidR="00F814CB" w:rsidRPr="00A50E4D">
        <w:rPr>
          <w:spacing w:val="-2"/>
          <w:szCs w:val="20"/>
          <w:lang w:val="en-US"/>
        </w:rPr>
        <w:t xml:space="preserve">will monitor complete compliance with </w:t>
      </w:r>
      <w:r w:rsidR="00665BDA" w:rsidRPr="00A50E4D">
        <w:rPr>
          <w:spacing w:val="-2"/>
          <w:szCs w:val="20"/>
          <w:lang w:val="en-US"/>
        </w:rPr>
        <w:t>this judgment</w:t>
      </w:r>
      <w:r w:rsidR="00BF57ED" w:rsidRPr="00A50E4D">
        <w:rPr>
          <w:spacing w:val="-2"/>
          <w:szCs w:val="20"/>
          <w:lang w:val="en-US"/>
        </w:rPr>
        <w:t>,</w:t>
      </w:r>
      <w:r w:rsidR="00F814CB" w:rsidRPr="00A50E4D">
        <w:rPr>
          <w:spacing w:val="-2"/>
          <w:szCs w:val="20"/>
          <w:lang w:val="en-US"/>
        </w:rPr>
        <w:t xml:space="preserve"> in exercise of its authority and in execution of its obligations under</w:t>
      </w:r>
      <w:r w:rsidR="00BF57ED" w:rsidRPr="00A50E4D">
        <w:rPr>
          <w:spacing w:val="-2"/>
          <w:szCs w:val="20"/>
          <w:lang w:val="en-US"/>
        </w:rPr>
        <w:t xml:space="preserve"> </w:t>
      </w:r>
      <w:r w:rsidRPr="00A50E4D">
        <w:rPr>
          <w:spacing w:val="-2"/>
          <w:szCs w:val="20"/>
          <w:lang w:val="en-US"/>
        </w:rPr>
        <w:t>the American Convention on Human Rights</w:t>
      </w:r>
      <w:r w:rsidR="00BF57ED" w:rsidRPr="00A50E4D">
        <w:rPr>
          <w:spacing w:val="-2"/>
          <w:szCs w:val="20"/>
          <w:lang w:val="en-US"/>
        </w:rPr>
        <w:t>,</w:t>
      </w:r>
      <w:r w:rsidRPr="00A50E4D">
        <w:rPr>
          <w:spacing w:val="-2"/>
          <w:szCs w:val="20"/>
          <w:lang w:val="en-US"/>
        </w:rPr>
        <w:t xml:space="preserve"> and </w:t>
      </w:r>
      <w:r w:rsidR="00F814CB" w:rsidRPr="00A50E4D">
        <w:rPr>
          <w:spacing w:val="-2"/>
          <w:szCs w:val="20"/>
          <w:lang w:val="en-US"/>
        </w:rPr>
        <w:t xml:space="preserve">will consider this case closed when the State has complied fully with its provisions. </w:t>
      </w:r>
    </w:p>
    <w:p w14:paraId="26082F61" w14:textId="77777777" w:rsidR="00A34945" w:rsidRPr="00A50E4D" w:rsidRDefault="00A34945" w:rsidP="00B101DF">
      <w:pPr>
        <w:tabs>
          <w:tab w:val="left" w:pos="0"/>
          <w:tab w:val="left" w:pos="567"/>
        </w:tabs>
        <w:spacing w:before="40" w:after="20"/>
        <w:rPr>
          <w:rFonts w:cs="Verdana"/>
          <w:spacing w:val="-2"/>
          <w:szCs w:val="20"/>
          <w:lang w:val="en-US"/>
        </w:rPr>
      </w:pPr>
    </w:p>
    <w:p w14:paraId="3045B031" w14:textId="07413E25" w:rsidR="00A34945" w:rsidRPr="00A50E4D" w:rsidRDefault="008A03D7" w:rsidP="00B101DF">
      <w:pPr>
        <w:tabs>
          <w:tab w:val="left" w:pos="0"/>
          <w:tab w:val="left" w:pos="567"/>
        </w:tabs>
        <w:spacing w:before="40" w:after="20"/>
        <w:rPr>
          <w:spacing w:val="-2"/>
          <w:lang w:val="en-US"/>
        </w:rPr>
      </w:pPr>
      <w:r w:rsidRPr="00A50E4D">
        <w:rPr>
          <w:spacing w:val="-2"/>
          <w:lang w:val="en-US"/>
        </w:rPr>
        <w:t xml:space="preserve">Done, at </w:t>
      </w:r>
      <w:r w:rsidR="00A34945" w:rsidRPr="00A50E4D">
        <w:rPr>
          <w:spacing w:val="-2"/>
          <w:lang w:val="en-US"/>
        </w:rPr>
        <w:t xml:space="preserve">San José, Costa Rica, </w:t>
      </w:r>
      <w:r w:rsidRPr="00A50E4D">
        <w:rPr>
          <w:spacing w:val="-2"/>
          <w:lang w:val="en-US"/>
        </w:rPr>
        <w:t xml:space="preserve">on October 5, 2015, in the Spanish language. </w:t>
      </w:r>
    </w:p>
    <w:p w14:paraId="49D27251" w14:textId="77777777" w:rsidR="004D0663" w:rsidRPr="00A50E4D" w:rsidRDefault="004D0663" w:rsidP="00B101DF">
      <w:pPr>
        <w:tabs>
          <w:tab w:val="left" w:pos="0"/>
          <w:tab w:val="left" w:pos="567"/>
        </w:tabs>
        <w:spacing w:before="40" w:after="20"/>
        <w:rPr>
          <w:spacing w:val="-2"/>
          <w:lang w:val="en-US"/>
        </w:rPr>
      </w:pPr>
    </w:p>
    <w:p w14:paraId="0217E548" w14:textId="77777777" w:rsidR="004D0663" w:rsidRPr="00A50E4D" w:rsidRDefault="004D0663" w:rsidP="004D0663">
      <w:pPr>
        <w:jc w:val="center"/>
        <w:rPr>
          <w:lang w:val="en-US"/>
        </w:rPr>
      </w:pPr>
    </w:p>
    <w:p w14:paraId="6CF9BD7F" w14:textId="77777777" w:rsidR="008A03D7" w:rsidRPr="00A50E4D" w:rsidRDefault="008A03D7" w:rsidP="004D0663">
      <w:pPr>
        <w:jc w:val="center"/>
        <w:rPr>
          <w:lang w:val="en-US"/>
        </w:rPr>
      </w:pPr>
    </w:p>
    <w:p w14:paraId="43E7A9D9" w14:textId="77777777" w:rsidR="008A03D7" w:rsidRDefault="008A03D7" w:rsidP="004D0663">
      <w:pPr>
        <w:jc w:val="center"/>
        <w:rPr>
          <w:lang w:val="en-US"/>
        </w:rPr>
      </w:pPr>
    </w:p>
    <w:p w14:paraId="0BF8D56C" w14:textId="77777777" w:rsidR="007353B6" w:rsidRDefault="007353B6" w:rsidP="004D0663">
      <w:pPr>
        <w:jc w:val="center"/>
        <w:rPr>
          <w:lang w:val="en-US"/>
        </w:rPr>
      </w:pPr>
    </w:p>
    <w:p w14:paraId="64204F8C" w14:textId="77777777" w:rsidR="007353B6" w:rsidRDefault="007353B6" w:rsidP="004D0663">
      <w:pPr>
        <w:jc w:val="center"/>
        <w:rPr>
          <w:lang w:val="en-US"/>
        </w:rPr>
      </w:pPr>
    </w:p>
    <w:p w14:paraId="46989A5B" w14:textId="77777777" w:rsidR="007353B6" w:rsidRDefault="007353B6" w:rsidP="004D0663">
      <w:pPr>
        <w:jc w:val="center"/>
        <w:rPr>
          <w:lang w:val="en-US"/>
        </w:rPr>
      </w:pPr>
    </w:p>
    <w:p w14:paraId="67666F7F" w14:textId="77777777" w:rsidR="007353B6" w:rsidRDefault="007353B6" w:rsidP="004D0663">
      <w:pPr>
        <w:jc w:val="center"/>
        <w:rPr>
          <w:lang w:val="en-US"/>
        </w:rPr>
      </w:pPr>
    </w:p>
    <w:p w14:paraId="5FD03E31" w14:textId="77777777" w:rsidR="007353B6" w:rsidRDefault="007353B6" w:rsidP="004D0663">
      <w:pPr>
        <w:jc w:val="center"/>
        <w:rPr>
          <w:lang w:val="en-US"/>
        </w:rPr>
      </w:pPr>
    </w:p>
    <w:p w14:paraId="52EEBC96" w14:textId="77777777" w:rsidR="007353B6" w:rsidRDefault="007353B6" w:rsidP="004D0663">
      <w:pPr>
        <w:jc w:val="center"/>
        <w:rPr>
          <w:lang w:val="en-US"/>
        </w:rPr>
      </w:pPr>
    </w:p>
    <w:p w14:paraId="2BC597B7" w14:textId="77777777" w:rsidR="007353B6" w:rsidRDefault="007353B6" w:rsidP="004D0663">
      <w:pPr>
        <w:jc w:val="center"/>
        <w:rPr>
          <w:lang w:val="en-US"/>
        </w:rPr>
      </w:pPr>
    </w:p>
    <w:p w14:paraId="565A1D6C" w14:textId="77777777" w:rsidR="007353B6" w:rsidRDefault="007353B6" w:rsidP="004D0663">
      <w:pPr>
        <w:jc w:val="center"/>
        <w:rPr>
          <w:lang w:val="en-US"/>
        </w:rPr>
      </w:pPr>
    </w:p>
    <w:p w14:paraId="7D15E138" w14:textId="77777777" w:rsidR="007353B6" w:rsidRPr="00A50E4D" w:rsidRDefault="007353B6" w:rsidP="004D0663">
      <w:pPr>
        <w:jc w:val="center"/>
        <w:rPr>
          <w:lang w:val="en-US"/>
        </w:rPr>
      </w:pPr>
      <w:bookmarkStart w:id="512" w:name="_GoBack"/>
      <w:bookmarkEnd w:id="512"/>
    </w:p>
    <w:p w14:paraId="296BB549" w14:textId="77777777" w:rsidR="008A03D7" w:rsidRPr="00A50E4D" w:rsidRDefault="008A03D7" w:rsidP="004D0663">
      <w:pPr>
        <w:jc w:val="center"/>
        <w:rPr>
          <w:lang w:val="en-US"/>
        </w:rPr>
      </w:pPr>
    </w:p>
    <w:p w14:paraId="69C3AC4F" w14:textId="77777777" w:rsidR="004D0663" w:rsidRPr="00F25627" w:rsidRDefault="004D0663" w:rsidP="004D0663">
      <w:pPr>
        <w:jc w:val="center"/>
        <w:rPr>
          <w:lang w:val="es-CR"/>
        </w:rPr>
      </w:pPr>
      <w:r w:rsidRPr="00F25627">
        <w:rPr>
          <w:lang w:val="es-CR"/>
        </w:rPr>
        <w:t>Humberto Antonio Sierra Porto</w:t>
      </w:r>
    </w:p>
    <w:p w14:paraId="12B6328A" w14:textId="0C469671" w:rsidR="004D0663" w:rsidRPr="00F25627" w:rsidRDefault="009808C5" w:rsidP="004D0663">
      <w:pPr>
        <w:jc w:val="center"/>
        <w:rPr>
          <w:lang w:val="es-CR"/>
        </w:rPr>
      </w:pPr>
      <w:r w:rsidRPr="00F25627">
        <w:rPr>
          <w:lang w:val="es-CR"/>
        </w:rPr>
        <w:t>President</w:t>
      </w:r>
      <w:r w:rsidR="004D0663" w:rsidRPr="00F25627">
        <w:rPr>
          <w:lang w:val="es-CR"/>
        </w:rPr>
        <w:t xml:space="preserve"> </w:t>
      </w:r>
    </w:p>
    <w:p w14:paraId="72BD8875" w14:textId="77777777" w:rsidR="004D0663" w:rsidRPr="00F25627" w:rsidRDefault="004D0663" w:rsidP="004D0663">
      <w:pPr>
        <w:rPr>
          <w:lang w:val="es-CR"/>
        </w:rPr>
      </w:pPr>
    </w:p>
    <w:p w14:paraId="6C28F6C6" w14:textId="77777777" w:rsidR="004D0663" w:rsidRDefault="004D0663" w:rsidP="004D0663">
      <w:pPr>
        <w:rPr>
          <w:lang w:val="es-CR"/>
        </w:rPr>
      </w:pPr>
    </w:p>
    <w:p w14:paraId="0DE5C175" w14:textId="77777777" w:rsidR="007353B6" w:rsidRDefault="007353B6" w:rsidP="004D0663">
      <w:pPr>
        <w:rPr>
          <w:lang w:val="es-CR"/>
        </w:rPr>
      </w:pPr>
    </w:p>
    <w:p w14:paraId="423B6EC9" w14:textId="77777777" w:rsidR="007353B6" w:rsidRPr="00F25627" w:rsidRDefault="007353B6" w:rsidP="004D0663">
      <w:pPr>
        <w:rPr>
          <w:lang w:val="es-CR"/>
        </w:rPr>
      </w:pPr>
    </w:p>
    <w:p w14:paraId="7A8FF6F2" w14:textId="77777777" w:rsidR="004D0663" w:rsidRPr="00F25627" w:rsidRDefault="004D0663" w:rsidP="004D0663">
      <w:pPr>
        <w:rPr>
          <w:lang w:val="es-CR"/>
        </w:rPr>
      </w:pPr>
    </w:p>
    <w:p w14:paraId="5B5E9781" w14:textId="77777777" w:rsidR="004D0663" w:rsidRPr="00F25627" w:rsidRDefault="004D0663" w:rsidP="004D0663">
      <w:pPr>
        <w:rPr>
          <w:lang w:val="es-CR"/>
        </w:rPr>
      </w:pPr>
    </w:p>
    <w:p w14:paraId="56E7141E" w14:textId="77777777" w:rsidR="004D0663" w:rsidRPr="00F25627" w:rsidRDefault="004D0663" w:rsidP="004D0663">
      <w:pPr>
        <w:rPr>
          <w:lang w:val="es-CR"/>
        </w:rPr>
      </w:pPr>
      <w:r w:rsidRPr="00F25627">
        <w:rPr>
          <w:lang w:val="es-CR"/>
        </w:rPr>
        <w:t>Roberto F. Caldas</w:t>
      </w:r>
      <w:r w:rsidRPr="00F25627">
        <w:rPr>
          <w:lang w:val="es-CR"/>
        </w:rPr>
        <w:tab/>
      </w:r>
      <w:r w:rsidRPr="00F25627">
        <w:rPr>
          <w:lang w:val="es-CR"/>
        </w:rPr>
        <w:tab/>
      </w:r>
      <w:r w:rsidRPr="00F25627">
        <w:rPr>
          <w:lang w:val="es-CR"/>
        </w:rPr>
        <w:tab/>
      </w:r>
      <w:r w:rsidRPr="00F25627">
        <w:rPr>
          <w:lang w:val="es-CR"/>
        </w:rPr>
        <w:tab/>
      </w:r>
      <w:r w:rsidRPr="00F25627">
        <w:rPr>
          <w:lang w:val="es-CR"/>
        </w:rPr>
        <w:tab/>
      </w:r>
      <w:r w:rsidRPr="00F25627">
        <w:rPr>
          <w:lang w:val="es-CR"/>
        </w:rPr>
        <w:tab/>
        <w:t xml:space="preserve">        Manuel E. Ventura Robles</w:t>
      </w:r>
    </w:p>
    <w:p w14:paraId="79FBABF2" w14:textId="77777777" w:rsidR="004D0663" w:rsidRPr="00F25627" w:rsidRDefault="004D0663" w:rsidP="004D0663">
      <w:pPr>
        <w:rPr>
          <w:lang w:val="es-CR"/>
        </w:rPr>
      </w:pPr>
    </w:p>
    <w:p w14:paraId="47005614" w14:textId="77777777" w:rsidR="004D0663" w:rsidRPr="00F25627" w:rsidRDefault="004D0663" w:rsidP="004D0663">
      <w:pPr>
        <w:rPr>
          <w:lang w:val="es-CR"/>
        </w:rPr>
      </w:pPr>
    </w:p>
    <w:p w14:paraId="73D86C52" w14:textId="77777777" w:rsidR="004D0663" w:rsidRPr="00F25627" w:rsidRDefault="004D0663" w:rsidP="004D0663">
      <w:pPr>
        <w:rPr>
          <w:lang w:val="es-CR"/>
        </w:rPr>
      </w:pPr>
    </w:p>
    <w:p w14:paraId="50C081CB" w14:textId="77777777" w:rsidR="004D0663" w:rsidRPr="00F25627" w:rsidRDefault="004D0663" w:rsidP="004D0663">
      <w:pPr>
        <w:rPr>
          <w:lang w:val="es-CR"/>
        </w:rPr>
      </w:pPr>
    </w:p>
    <w:p w14:paraId="04403A44" w14:textId="77777777" w:rsidR="004D0663" w:rsidRPr="00F25627" w:rsidRDefault="004D0663" w:rsidP="004D0663">
      <w:pPr>
        <w:rPr>
          <w:lang w:val="es-CR"/>
        </w:rPr>
      </w:pPr>
      <w:r w:rsidRPr="00F25627">
        <w:rPr>
          <w:lang w:val="es-CR"/>
        </w:rPr>
        <w:t>Diego García-Sayán</w:t>
      </w:r>
      <w:r w:rsidRPr="00F25627">
        <w:rPr>
          <w:lang w:val="es-CR"/>
        </w:rPr>
        <w:tab/>
      </w:r>
      <w:r w:rsidRPr="00F25627">
        <w:rPr>
          <w:lang w:val="es-CR"/>
        </w:rPr>
        <w:tab/>
      </w:r>
      <w:r w:rsidRPr="00F25627">
        <w:rPr>
          <w:lang w:val="es-CR"/>
        </w:rPr>
        <w:tab/>
      </w:r>
      <w:r w:rsidRPr="00F25627">
        <w:rPr>
          <w:lang w:val="es-CR"/>
        </w:rPr>
        <w:tab/>
      </w:r>
      <w:r w:rsidRPr="00F25627">
        <w:rPr>
          <w:lang w:val="es-CR"/>
        </w:rPr>
        <w:tab/>
      </w:r>
      <w:r w:rsidRPr="00F25627">
        <w:rPr>
          <w:lang w:val="es-CR"/>
        </w:rPr>
        <w:tab/>
      </w:r>
      <w:r w:rsidRPr="00F25627">
        <w:rPr>
          <w:lang w:val="es-CR"/>
        </w:rPr>
        <w:tab/>
        <w:t xml:space="preserve">       Alberto Pérez Pérez </w:t>
      </w:r>
    </w:p>
    <w:p w14:paraId="2F07FD4C" w14:textId="77777777" w:rsidR="004D0663" w:rsidRPr="00F25627" w:rsidRDefault="004D0663" w:rsidP="004D0663">
      <w:pPr>
        <w:rPr>
          <w:lang w:val="es-CR"/>
        </w:rPr>
      </w:pPr>
    </w:p>
    <w:p w14:paraId="608D2818" w14:textId="77777777" w:rsidR="004D0663" w:rsidRPr="00F25627" w:rsidRDefault="004D0663" w:rsidP="004D0663">
      <w:pPr>
        <w:rPr>
          <w:lang w:val="es-CR"/>
        </w:rPr>
      </w:pPr>
    </w:p>
    <w:p w14:paraId="2248189B" w14:textId="77777777" w:rsidR="004D0663" w:rsidRPr="00F25627" w:rsidRDefault="004D0663" w:rsidP="004D0663">
      <w:pPr>
        <w:rPr>
          <w:lang w:val="es-CR"/>
        </w:rPr>
      </w:pPr>
    </w:p>
    <w:p w14:paraId="5C50B84E" w14:textId="77777777" w:rsidR="004D0663" w:rsidRPr="00F25627" w:rsidRDefault="004D0663" w:rsidP="004D0663">
      <w:pPr>
        <w:rPr>
          <w:lang w:val="es-CR"/>
        </w:rPr>
      </w:pPr>
    </w:p>
    <w:p w14:paraId="1FBB79B4" w14:textId="77777777" w:rsidR="004D0663" w:rsidRPr="00F25627" w:rsidRDefault="004D0663" w:rsidP="004D0663">
      <w:pPr>
        <w:rPr>
          <w:lang w:val="es-CR"/>
        </w:rPr>
      </w:pPr>
      <w:r w:rsidRPr="00F25627">
        <w:rPr>
          <w:lang w:val="es-CR"/>
        </w:rPr>
        <w:t xml:space="preserve">Eduardo Vio Grossi </w:t>
      </w:r>
      <w:r w:rsidRPr="00F25627">
        <w:rPr>
          <w:lang w:val="es-CR"/>
        </w:rPr>
        <w:tab/>
      </w:r>
      <w:r w:rsidRPr="00F25627">
        <w:rPr>
          <w:lang w:val="es-CR"/>
        </w:rPr>
        <w:tab/>
      </w:r>
      <w:r w:rsidRPr="00F25627">
        <w:rPr>
          <w:lang w:val="es-CR"/>
        </w:rPr>
        <w:tab/>
      </w:r>
      <w:r w:rsidRPr="00F25627">
        <w:rPr>
          <w:lang w:val="es-CR"/>
        </w:rPr>
        <w:tab/>
      </w:r>
      <w:r w:rsidRPr="00F25627">
        <w:rPr>
          <w:lang w:val="es-CR"/>
        </w:rPr>
        <w:tab/>
        <w:t xml:space="preserve">      Eduardo Ferrer Mac-Gregor Poisot</w:t>
      </w:r>
    </w:p>
    <w:p w14:paraId="7638C168" w14:textId="77777777" w:rsidR="004D0663" w:rsidRPr="00F25627" w:rsidRDefault="004D0663" w:rsidP="004D0663">
      <w:pPr>
        <w:rPr>
          <w:lang w:val="es-CR"/>
        </w:rPr>
      </w:pPr>
    </w:p>
    <w:p w14:paraId="7A60BCDF" w14:textId="77777777" w:rsidR="004D0663" w:rsidRPr="00F25627" w:rsidRDefault="004D0663" w:rsidP="004D0663">
      <w:pPr>
        <w:rPr>
          <w:lang w:val="es-CR"/>
        </w:rPr>
      </w:pPr>
    </w:p>
    <w:p w14:paraId="6C3AAE38" w14:textId="77777777" w:rsidR="004D0663" w:rsidRPr="00F25627" w:rsidRDefault="004D0663" w:rsidP="004D0663">
      <w:pPr>
        <w:rPr>
          <w:lang w:val="es-CR"/>
        </w:rPr>
      </w:pPr>
    </w:p>
    <w:p w14:paraId="3D3C3F20" w14:textId="77777777" w:rsidR="004D0663" w:rsidRPr="00F25627" w:rsidRDefault="004D0663" w:rsidP="004D0663">
      <w:pPr>
        <w:rPr>
          <w:lang w:val="es-CR"/>
        </w:rPr>
      </w:pPr>
    </w:p>
    <w:p w14:paraId="3857DD74" w14:textId="77777777" w:rsidR="00705C75" w:rsidRPr="00F25627" w:rsidRDefault="00705C75" w:rsidP="004D0663">
      <w:pPr>
        <w:rPr>
          <w:lang w:val="es-CR"/>
        </w:rPr>
      </w:pPr>
    </w:p>
    <w:p w14:paraId="4B4E791A" w14:textId="77777777" w:rsidR="004D0663" w:rsidRPr="00F25627" w:rsidRDefault="004D0663" w:rsidP="004D0663">
      <w:pPr>
        <w:jc w:val="center"/>
        <w:rPr>
          <w:lang w:val="es-CR"/>
        </w:rPr>
      </w:pPr>
      <w:r w:rsidRPr="00F25627">
        <w:rPr>
          <w:lang w:val="es-CR"/>
        </w:rPr>
        <w:t>Pablo Saavedra Alessandri</w:t>
      </w:r>
    </w:p>
    <w:p w14:paraId="1C88C96B" w14:textId="1087C8F3" w:rsidR="004D0663" w:rsidRPr="00F25627" w:rsidRDefault="009808C5" w:rsidP="004D0663">
      <w:pPr>
        <w:jc w:val="center"/>
        <w:rPr>
          <w:lang w:val="es-CR"/>
        </w:rPr>
      </w:pPr>
      <w:r w:rsidRPr="00F25627">
        <w:rPr>
          <w:lang w:val="es-CR"/>
        </w:rPr>
        <w:t>Secretary</w:t>
      </w:r>
    </w:p>
    <w:p w14:paraId="46A3C1B9" w14:textId="77777777" w:rsidR="004D0663" w:rsidRPr="00F25627" w:rsidRDefault="004D0663" w:rsidP="004D0663">
      <w:pPr>
        <w:rPr>
          <w:lang w:val="es-CR"/>
        </w:rPr>
      </w:pPr>
    </w:p>
    <w:p w14:paraId="7F942C33" w14:textId="77777777" w:rsidR="004D0663" w:rsidRPr="00F25627" w:rsidRDefault="004D0663" w:rsidP="004D0663">
      <w:pPr>
        <w:pStyle w:val="FootnoteText"/>
        <w:rPr>
          <w:lang w:val="es-CR"/>
        </w:rPr>
      </w:pPr>
    </w:p>
    <w:p w14:paraId="72709EEE" w14:textId="3DD426B9" w:rsidR="004D0663" w:rsidRPr="00F25627" w:rsidRDefault="008A03D7" w:rsidP="004D0663">
      <w:pPr>
        <w:rPr>
          <w:lang w:val="es-CR"/>
        </w:rPr>
      </w:pPr>
      <w:r w:rsidRPr="00F25627">
        <w:rPr>
          <w:lang w:val="es-CR"/>
        </w:rPr>
        <w:t>So ordered</w:t>
      </w:r>
    </w:p>
    <w:p w14:paraId="658DFAC8" w14:textId="77777777" w:rsidR="004D0663" w:rsidRPr="00F25627" w:rsidRDefault="004D0663" w:rsidP="004D0663">
      <w:pPr>
        <w:rPr>
          <w:lang w:val="es-CR"/>
        </w:rPr>
      </w:pPr>
    </w:p>
    <w:p w14:paraId="2E514D9B" w14:textId="77777777" w:rsidR="004D0663" w:rsidRPr="00F25627" w:rsidRDefault="004D0663" w:rsidP="004D0663">
      <w:pPr>
        <w:rPr>
          <w:lang w:val="es-CR"/>
        </w:rPr>
      </w:pPr>
    </w:p>
    <w:p w14:paraId="001AF806" w14:textId="77777777" w:rsidR="004D0663" w:rsidRPr="00F25627" w:rsidRDefault="004D0663" w:rsidP="004D0663">
      <w:pPr>
        <w:rPr>
          <w:lang w:val="es-CR"/>
        </w:rPr>
      </w:pPr>
    </w:p>
    <w:p w14:paraId="25A9A0F3" w14:textId="77777777" w:rsidR="004D0663" w:rsidRPr="00F25627" w:rsidRDefault="004D0663" w:rsidP="004D0663">
      <w:pPr>
        <w:ind w:left="5664"/>
        <w:jc w:val="center"/>
        <w:rPr>
          <w:lang w:val="es-CR"/>
        </w:rPr>
      </w:pPr>
      <w:r w:rsidRPr="00F25627">
        <w:rPr>
          <w:lang w:val="es-CR"/>
        </w:rPr>
        <w:t>Humberto Antonio Sierra Porto</w:t>
      </w:r>
    </w:p>
    <w:p w14:paraId="7790488B" w14:textId="05C17C36" w:rsidR="004D0663" w:rsidRPr="00A50E4D" w:rsidRDefault="009808C5" w:rsidP="004D0663">
      <w:pPr>
        <w:ind w:left="5664"/>
        <w:jc w:val="center"/>
        <w:rPr>
          <w:lang w:val="en-US"/>
        </w:rPr>
      </w:pPr>
      <w:r w:rsidRPr="00A50E4D">
        <w:rPr>
          <w:lang w:val="en-US"/>
        </w:rPr>
        <w:t>President</w:t>
      </w:r>
    </w:p>
    <w:p w14:paraId="753BE28C" w14:textId="77777777" w:rsidR="004D0663" w:rsidRPr="00A50E4D" w:rsidRDefault="004D0663" w:rsidP="004D0663">
      <w:pPr>
        <w:rPr>
          <w:lang w:val="en-US"/>
        </w:rPr>
      </w:pPr>
    </w:p>
    <w:p w14:paraId="156EFDD6" w14:textId="77777777" w:rsidR="004D0663" w:rsidRPr="00A50E4D" w:rsidRDefault="004D0663" w:rsidP="004D0663">
      <w:pPr>
        <w:rPr>
          <w:lang w:val="en-US"/>
        </w:rPr>
      </w:pPr>
    </w:p>
    <w:p w14:paraId="5E0CC0A6" w14:textId="77777777" w:rsidR="004D0663" w:rsidRPr="00A50E4D" w:rsidRDefault="004D0663" w:rsidP="004D0663">
      <w:pPr>
        <w:rPr>
          <w:lang w:val="en-US"/>
        </w:rPr>
      </w:pPr>
    </w:p>
    <w:p w14:paraId="2A478C34" w14:textId="77777777" w:rsidR="004D0663" w:rsidRPr="00A50E4D" w:rsidRDefault="004D0663" w:rsidP="004D0663">
      <w:pPr>
        <w:rPr>
          <w:lang w:val="en-US"/>
        </w:rPr>
      </w:pPr>
    </w:p>
    <w:p w14:paraId="15DA6FF3" w14:textId="77777777" w:rsidR="004D0663" w:rsidRPr="00A50E4D" w:rsidRDefault="004D0663" w:rsidP="004D0663">
      <w:pPr>
        <w:rPr>
          <w:lang w:val="en-US"/>
        </w:rPr>
      </w:pPr>
      <w:r w:rsidRPr="00A50E4D">
        <w:rPr>
          <w:lang w:val="en-US"/>
        </w:rPr>
        <w:t>Pablo Saavedra Alessandri</w:t>
      </w:r>
    </w:p>
    <w:p w14:paraId="29786DDC" w14:textId="0EDE4F4B" w:rsidR="004D0663" w:rsidRPr="001D48D1" w:rsidRDefault="004D0663" w:rsidP="008A03D7">
      <w:pPr>
        <w:rPr>
          <w:lang w:val="en-US"/>
        </w:rPr>
      </w:pPr>
      <w:r w:rsidRPr="00A50E4D">
        <w:rPr>
          <w:lang w:val="en-US"/>
        </w:rPr>
        <w:tab/>
      </w:r>
      <w:r w:rsidR="009808C5" w:rsidRPr="00A50E4D">
        <w:rPr>
          <w:lang w:val="en-US"/>
        </w:rPr>
        <w:t>Secretary</w:t>
      </w:r>
    </w:p>
    <w:sectPr w:rsidR="004D0663" w:rsidRPr="001D48D1" w:rsidSect="00722F01">
      <w:headerReference w:type="default" r:id="rId9"/>
      <w:footerReference w:type="default" r:id="rId10"/>
      <w:headerReference w:type="first" r:id="rId11"/>
      <w:pgSz w:w="12240" w:h="15840"/>
      <w:pgMar w:top="1418" w:right="1247" w:bottom="1418" w:left="1247"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298430" w14:textId="77777777" w:rsidR="007353B6" w:rsidRDefault="007353B6" w:rsidP="003D717E">
      <w:r>
        <w:separator/>
      </w:r>
    </w:p>
  </w:endnote>
  <w:endnote w:type="continuationSeparator" w:id="0">
    <w:p w14:paraId="570521D5" w14:textId="77777777" w:rsidR="007353B6" w:rsidRDefault="007353B6" w:rsidP="003D7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Fixed">
    <w:panose1 w:val="02070309020205020404"/>
    <w:charset w:val="00"/>
    <w:family w:val="modern"/>
    <w:pitch w:val="fixed"/>
    <w:sig w:usb0="00002003" w:usb1="00000000" w:usb2="00000000" w:usb3="00000000" w:csb0="0000004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alatino-Italic">
    <w:panose1 w:val="00000000000000000000"/>
    <w:charset w:val="00"/>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erdana Bold">
    <w:panose1 w:val="020B0804030504040204"/>
    <w:charset w:val="00"/>
    <w:family w:val="auto"/>
    <w:pitch w:val="variable"/>
    <w:sig w:usb0="A10006FF" w:usb1="4000205B" w:usb2="00000010" w:usb3="00000000" w:csb0="0000019F" w:csb1="00000000"/>
  </w:font>
  <w:font w:name="Cambria Math">
    <w:panose1 w:val="02040503050406030204"/>
    <w:charset w:val="00"/>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AGaramondPro-Regular">
    <w:panose1 w:val="00000000000000000000"/>
    <w:charset w:val="00"/>
    <w:family w:val="auto"/>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iddenHorzOCR">
    <w:altName w:val="MS Mincho"/>
    <w:panose1 w:val="00000000000000000000"/>
    <w:charset w:val="80"/>
    <w:family w:val="auto"/>
    <w:notTrueType/>
    <w:pitch w:val="default"/>
    <w:sig w:usb0="00000001" w:usb1="08070000" w:usb2="00000010" w:usb3="00000000" w:csb0="00020000" w:csb1="00000000"/>
  </w:font>
  <w:font w:name="ヒラギノ角ゴ Pro W3">
    <w:altName w:val="MS Mincho"/>
    <w:charset w:val="80"/>
    <w:family w:val="auto"/>
    <w:pitch w:val="variable"/>
    <w:sig w:usb0="00000000" w:usb1="7AC7FFFF" w:usb2="00000012" w:usb3="00000000" w:csb0="0002000D" w:csb1="00000000"/>
  </w:font>
  <w:font w:name="TimesNewRomanPS-ItalicMT">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27CC8" w14:textId="77777777" w:rsidR="007353B6" w:rsidRDefault="007353B6">
    <w:pPr>
      <w:pStyle w:val="Footer"/>
    </w:pPr>
  </w:p>
  <w:p w14:paraId="0549E910" w14:textId="77777777" w:rsidR="007353B6" w:rsidRDefault="007353B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E91F03" w14:textId="77777777" w:rsidR="007353B6" w:rsidRDefault="007353B6" w:rsidP="003D717E">
      <w:r>
        <w:separator/>
      </w:r>
    </w:p>
  </w:footnote>
  <w:footnote w:type="continuationSeparator" w:id="0">
    <w:p w14:paraId="0B9AFF3B" w14:textId="77777777" w:rsidR="007353B6" w:rsidRDefault="007353B6" w:rsidP="003D717E">
      <w:r>
        <w:continuationSeparator/>
      </w:r>
    </w:p>
  </w:footnote>
  <w:footnote w:id="1">
    <w:p w14:paraId="51D268D5" w14:textId="022FB47C" w:rsidR="007353B6" w:rsidRPr="00A50E4D" w:rsidRDefault="007353B6" w:rsidP="006F7559">
      <w:pPr>
        <w:pStyle w:val="Footnotes"/>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t xml:space="preserve">In this report, the Commission decided “to combine the analysis of the requirement to exhaust domestic remedies with its consideration of the merits of the possible violation of Articles 8 and 25.” Admissibility Report No. 70/11, </w:t>
      </w:r>
      <w:r w:rsidRPr="00A50E4D">
        <w:rPr>
          <w:i/>
          <w:lang w:val="en-US"/>
        </w:rPr>
        <w:t>Case of López Lone et al. v. Honduras</w:t>
      </w:r>
      <w:r w:rsidRPr="00A50E4D">
        <w:rPr>
          <w:lang w:val="en-US"/>
        </w:rPr>
        <w:t>, March 31, 2011 (evidence file, folios 4577 and 4588).</w:t>
      </w:r>
    </w:p>
  </w:footnote>
  <w:footnote w:id="2">
    <w:p w14:paraId="100C8BB9" w14:textId="183ED1DB"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Case of López Lone et al. v. Honduras. </w:t>
      </w:r>
      <w:r w:rsidRPr="00A50E4D">
        <w:rPr>
          <w:spacing w:val="-4"/>
          <w:lang w:val="en-US"/>
        </w:rPr>
        <w:t xml:space="preserve">Order of the President of the Court of December 10, 2014. Available at: </w:t>
      </w:r>
      <w:hyperlink r:id="rId1" w:history="1">
        <w:r w:rsidRPr="00A50E4D">
          <w:rPr>
            <w:rStyle w:val="Hyperlink"/>
            <w:spacing w:val="-4"/>
            <w:lang w:val="en-US"/>
          </w:rPr>
          <w:t>http://www.corteidh.or.cr/docs/asuntos/lopezlone_10_12_14.pdf</w:t>
        </w:r>
      </w:hyperlink>
    </w:p>
  </w:footnote>
  <w:footnote w:id="3">
    <w:p w14:paraId="4C58F19A" w14:textId="4B70AED7"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Expert witness Gabriela Knaul, proposed by the Commission and accepted by the President of the Court in his order of December 10, 2014, advised that she would be unable to attend the hearing, and the Commission therefore withdrew this expert opinion. As a result, the representatives asked the Court to summon expert witness Leandro Despouy to testify at the public hearing. Expert witness Despouy had been summoned to testify by affidavit. In an order of January 26, 2015, the Court decided to summon this expert witness to the hearing. </w:t>
      </w:r>
      <w:r w:rsidRPr="00A50E4D">
        <w:rPr>
          <w:i/>
          <w:spacing w:val="-4"/>
          <w:lang w:val="en-US"/>
        </w:rPr>
        <w:t xml:space="preserve">Cf. Case of López Lone et al. v. Honduras. </w:t>
      </w:r>
      <w:r w:rsidRPr="00A50E4D">
        <w:rPr>
          <w:spacing w:val="-4"/>
          <w:lang w:val="en-US"/>
        </w:rPr>
        <w:t xml:space="preserve">Order of the Court of January 26, 2015. Available at: </w:t>
      </w:r>
      <w:hyperlink r:id="rId2" w:history="1">
        <w:r w:rsidRPr="00A50E4D">
          <w:rPr>
            <w:rStyle w:val="Hyperlink"/>
            <w:spacing w:val="-4"/>
            <w:lang w:val="en-US"/>
          </w:rPr>
          <w:t>http://www.corteidh.or.cr/docs/asuntos/lopezlone_26_01_15.pdf</w:t>
        </w:r>
      </w:hyperlink>
    </w:p>
  </w:footnote>
  <w:footnote w:id="4">
    <w:p w14:paraId="0B398008" w14:textId="118E56A0" w:rsidR="007353B6" w:rsidRPr="00A50E4D" w:rsidRDefault="007353B6" w:rsidP="006F7559">
      <w:pPr>
        <w:pStyle w:val="Footnotes"/>
        <w:tabs>
          <w:tab w:val="left" w:pos="450"/>
        </w:tabs>
        <w:spacing w:before="120" w:after="120"/>
        <w:rPr>
          <w:lang w:val="en-US"/>
        </w:rPr>
      </w:pPr>
      <w:r w:rsidRPr="00A50E4D">
        <w:rPr>
          <w:rStyle w:val="FootnoteReference"/>
          <w:rFonts w:eastAsiaTheme="majorEastAsia"/>
          <w:lang w:val="en-US"/>
        </w:rPr>
        <w:footnoteRef/>
      </w:r>
      <w:r w:rsidRPr="00A50E4D">
        <w:rPr>
          <w:vertAlign w:val="superscript"/>
          <w:lang w:val="en-US"/>
        </w:rPr>
        <w:t xml:space="preserve"> </w:t>
      </w:r>
      <w:r w:rsidRPr="00A50E4D">
        <w:rPr>
          <w:lang w:val="en-US"/>
        </w:rPr>
        <w:tab/>
        <w:t>There appeared at this hearing: (a) for the Inter-American Commission: José de Jesús Orozco Henríquez, Commissioner; Edison Lanza, Special Rapporteur for Freedom of Expression; Silvia Serrano Guzmán, Ona Flores and Jorge H. Meza Flores, lawyers of the Executive Secretariat of the Inter-American Commission on Human Rights; (b) for the presumed victims: Oduemi Yeseli Arias, from the Association of Judges for Democracy; Marcia Aguiluz, Paola Limón, Alfredo Ortega, Esteban Madrigal and Sandra González from the Center for Justice and International Law (CEJIL), and (c) for the State: Jorge Abilio Serrano Villanueva, Assistant Attorney General and Agent for this case; María Luisa Ramos, Justice of the Supreme Court of Justice, Deputy Agent; Eblin Rosely Andino Sabillón, Human Rights Adviser, attached to the Office of the Assistant Attorney General, and Lilian Malexy Juárez, Legal Officer from the Multilateral Policy Directorate of the Secretariat of State for Foreign Affairs.</w:t>
      </w:r>
    </w:p>
  </w:footnote>
  <w:footnote w:id="5">
    <w:p w14:paraId="37F179A4" w14:textId="3A78B8A0" w:rsidR="007353B6" w:rsidRPr="00A50E4D" w:rsidRDefault="007353B6" w:rsidP="006F7559">
      <w:pPr>
        <w:pStyle w:val="FootnoteText"/>
        <w:tabs>
          <w:tab w:val="left" w:pos="450"/>
        </w:tabs>
        <w:spacing w:before="120" w:after="120"/>
        <w:rPr>
          <w:i/>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In this regard, it cited article 3(c) of the Contentious Administrative Jurisdiction Act. </w:t>
      </w:r>
      <w:r w:rsidRPr="00A50E4D">
        <w:rPr>
          <w:i/>
          <w:spacing w:val="-4"/>
          <w:lang w:val="en-US"/>
        </w:rPr>
        <w:t>Cf.</w:t>
      </w:r>
      <w:r w:rsidRPr="00A50E4D">
        <w:rPr>
          <w:spacing w:val="-4"/>
          <w:lang w:val="en-US"/>
        </w:rPr>
        <w:t xml:space="preserve"> Contentious Administrative Jurisdiction Act (evidence file, folios 6972 to 6981).</w:t>
      </w:r>
    </w:p>
  </w:footnote>
  <w:footnote w:id="6">
    <w:p w14:paraId="45D44E09" w14:textId="2630F548" w:rsidR="007353B6" w:rsidRPr="00914F55" w:rsidRDefault="007353B6" w:rsidP="006F7559">
      <w:pPr>
        <w:pStyle w:val="FootnoteText"/>
        <w:tabs>
          <w:tab w:val="left" w:pos="450"/>
        </w:tabs>
        <w:spacing w:before="120" w:after="120"/>
      </w:pPr>
      <w:r w:rsidRPr="00A50E4D">
        <w:rPr>
          <w:rStyle w:val="FootnoteReference"/>
          <w:lang w:val="en-US"/>
        </w:rPr>
        <w:footnoteRef/>
      </w:r>
      <w:r w:rsidRPr="00A50E4D">
        <w:rPr>
          <w:lang w:val="en-US"/>
        </w:rPr>
        <w:t xml:space="preserve"> </w:t>
      </w:r>
      <w:r w:rsidRPr="00A50E4D">
        <w:rPr>
          <w:lang w:val="en-US"/>
        </w:rPr>
        <w:tab/>
      </w:r>
      <w:r w:rsidRPr="00A50E4D">
        <w:rPr>
          <w:i/>
          <w:lang w:val="en-US"/>
        </w:rPr>
        <w:t xml:space="preserve">Cf. </w:t>
      </w:r>
      <w:r w:rsidRPr="00A50E4D">
        <w:rPr>
          <w:i/>
          <w:spacing w:val="-4"/>
          <w:lang w:val="en-US"/>
        </w:rPr>
        <w:t>Case of Velásquez Rodríguez v. Honduras. Preliminary objections</w:t>
      </w:r>
      <w:r w:rsidRPr="00A50E4D">
        <w:rPr>
          <w:spacing w:val="-4"/>
          <w:lang w:val="en-US"/>
        </w:rPr>
        <w:t xml:space="preserve">. Judgment of June 26, 1987. Series C No. 1, para. 29, and </w:t>
      </w:r>
      <w:r w:rsidRPr="00A50E4D">
        <w:rPr>
          <w:rStyle w:val="Strong"/>
          <w:b w:val="0"/>
          <w:i/>
          <w:color w:val="000000"/>
          <w:shd w:val="clear" w:color="auto" w:fill="FFFFFF"/>
          <w:lang w:val="en-US"/>
        </w:rPr>
        <w:t>Case of Bayarri v. Argentina. Preliminary objection, merits, reparations and costs</w:t>
      </w:r>
      <w:r w:rsidRPr="00A50E4D">
        <w:rPr>
          <w:rStyle w:val="Strong"/>
          <w:b w:val="0"/>
          <w:color w:val="000000"/>
          <w:shd w:val="clear" w:color="auto" w:fill="FFFFFF"/>
          <w:lang w:val="en-US"/>
        </w:rPr>
        <w:t xml:space="preserve">. Judgment of October 30, 2008. Series C No. 187, para. </w:t>
      </w:r>
      <w:r w:rsidRPr="00914F55">
        <w:rPr>
          <w:rStyle w:val="Strong"/>
          <w:b w:val="0"/>
          <w:color w:val="000000"/>
          <w:shd w:val="clear" w:color="auto" w:fill="FFFFFF"/>
        </w:rPr>
        <w:t>20.</w:t>
      </w:r>
    </w:p>
  </w:footnote>
  <w:footnote w:id="7">
    <w:p w14:paraId="7CC297B7" w14:textId="2FE4B904" w:rsidR="007353B6" w:rsidRPr="00914F55" w:rsidRDefault="007353B6" w:rsidP="006F7559">
      <w:pPr>
        <w:pStyle w:val="FootnoteText"/>
        <w:tabs>
          <w:tab w:val="left" w:pos="450"/>
        </w:tabs>
        <w:spacing w:before="120" w:after="120"/>
        <w:rPr>
          <w:spacing w:val="-4"/>
        </w:rPr>
      </w:pPr>
      <w:r w:rsidRPr="00A50E4D">
        <w:rPr>
          <w:rStyle w:val="FootnoteReference"/>
          <w:spacing w:val="-4"/>
          <w:lang w:val="en-US"/>
        </w:rPr>
        <w:footnoteRef/>
      </w:r>
      <w:r w:rsidRPr="00914F55">
        <w:rPr>
          <w:spacing w:val="-4"/>
        </w:rPr>
        <w:t xml:space="preserve"> </w:t>
      </w:r>
      <w:r w:rsidRPr="00914F55">
        <w:rPr>
          <w:spacing w:val="-4"/>
        </w:rPr>
        <w:tab/>
      </w:r>
      <w:r w:rsidRPr="00914F55">
        <w:rPr>
          <w:i/>
          <w:spacing w:val="-4"/>
        </w:rPr>
        <w:t>Cf. Case of Velásquez Rodríguez v. Honduras. Preliminary objections, supra</w:t>
      </w:r>
      <w:r w:rsidRPr="00914F55">
        <w:rPr>
          <w:spacing w:val="-4"/>
        </w:rPr>
        <w:t>, para. 29.</w:t>
      </w:r>
    </w:p>
  </w:footnote>
  <w:footnote w:id="8">
    <w:p w14:paraId="50434FA0" w14:textId="3E4107CB"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914F55">
        <w:rPr>
          <w:spacing w:val="-4"/>
        </w:rPr>
        <w:t xml:space="preserve"> </w:t>
      </w:r>
      <w:r w:rsidRPr="00914F55">
        <w:rPr>
          <w:spacing w:val="-4"/>
        </w:rPr>
        <w:tab/>
      </w:r>
      <w:r w:rsidRPr="00914F55">
        <w:rPr>
          <w:i/>
          <w:spacing w:val="-4"/>
        </w:rPr>
        <w:t xml:space="preserve">Cf. Case of Velásquez Rodríguez v. Honduras. </w:t>
      </w:r>
      <w:r w:rsidRPr="00F25627">
        <w:rPr>
          <w:i/>
          <w:spacing w:val="-4"/>
          <w:lang w:val="en-US"/>
        </w:rPr>
        <w:t>Preliminary objections, supra</w:t>
      </w:r>
      <w:r w:rsidRPr="00F25627">
        <w:rPr>
          <w:spacing w:val="-4"/>
          <w:lang w:val="en-US"/>
        </w:rPr>
        <w:t xml:space="preserve">, para. </w:t>
      </w:r>
      <w:r w:rsidRPr="00A50E4D">
        <w:rPr>
          <w:spacing w:val="-4"/>
          <w:lang w:val="en-US"/>
        </w:rPr>
        <w:t xml:space="preserve">85, and </w:t>
      </w:r>
      <w:r w:rsidRPr="00A50E4D">
        <w:rPr>
          <w:i/>
          <w:spacing w:val="-4"/>
          <w:lang w:val="en-US"/>
        </w:rPr>
        <w:t>Case of Gonzales Lluy et al. v. Ecuador. Preliminary objections, merits, reparations and costs.</w:t>
      </w:r>
      <w:r w:rsidRPr="00A50E4D">
        <w:rPr>
          <w:spacing w:val="-4"/>
          <w:lang w:val="en-US"/>
        </w:rPr>
        <w:t xml:space="preserve"> Judgment of September 1, 2015. Series C No. 298, para. 27.</w:t>
      </w:r>
    </w:p>
  </w:footnote>
  <w:footnote w:id="9">
    <w:p w14:paraId="4152889D" w14:textId="5F30349F" w:rsidR="007353B6" w:rsidRPr="00F25627" w:rsidRDefault="007353B6" w:rsidP="006F7559">
      <w:pPr>
        <w:pStyle w:val="FootnoteText"/>
        <w:tabs>
          <w:tab w:val="left" w:pos="450"/>
        </w:tabs>
        <w:spacing w:before="120" w:after="120"/>
        <w:rPr>
          <w:spacing w:val="-4"/>
          <w:lang w:val="es-CR"/>
        </w:rPr>
      </w:pPr>
      <w:r w:rsidRPr="00A50E4D">
        <w:rPr>
          <w:rStyle w:val="FootnoteReference"/>
          <w:spacing w:val="-4"/>
          <w:lang w:val="en-US"/>
        </w:rPr>
        <w:footnoteRef/>
      </w:r>
      <w:r w:rsidRPr="00F25627">
        <w:rPr>
          <w:spacing w:val="-4"/>
          <w:lang w:val="en-US"/>
        </w:rPr>
        <w:t xml:space="preserve"> </w:t>
      </w:r>
      <w:r w:rsidRPr="00F25627">
        <w:rPr>
          <w:spacing w:val="-4"/>
          <w:lang w:val="en-US"/>
        </w:rPr>
        <w:tab/>
      </w:r>
      <w:r w:rsidRPr="00F25627">
        <w:rPr>
          <w:i/>
          <w:spacing w:val="-4"/>
          <w:lang w:val="en-US"/>
        </w:rPr>
        <w:t xml:space="preserve">Cf. Case of Velásquez Rodríguez v. Honduras. </w:t>
      </w:r>
      <w:r w:rsidRPr="00A50E4D">
        <w:rPr>
          <w:i/>
          <w:spacing w:val="-4"/>
          <w:lang w:val="en-US"/>
        </w:rPr>
        <w:t>Merits</w:t>
      </w:r>
      <w:r w:rsidRPr="00A50E4D">
        <w:rPr>
          <w:spacing w:val="-4"/>
          <w:lang w:val="en-US"/>
        </w:rPr>
        <w:t xml:space="preserve">. Judgment of July 29, 1988. Series C No. 4, para. 61, and </w:t>
      </w:r>
      <w:r w:rsidRPr="00A50E4D">
        <w:rPr>
          <w:i/>
          <w:spacing w:val="-4"/>
          <w:lang w:val="en-US"/>
        </w:rPr>
        <w:t>Case of Wong Ho Wing v. Peru. Preliminary objection, merits, reparations and costs.</w:t>
      </w:r>
      <w:r w:rsidRPr="00A50E4D">
        <w:rPr>
          <w:spacing w:val="-4"/>
          <w:lang w:val="en-US"/>
        </w:rPr>
        <w:t xml:space="preserve"> Judgment of June 30, 2015. Series C No. 297, para. </w:t>
      </w:r>
      <w:r w:rsidRPr="00F25627">
        <w:rPr>
          <w:spacing w:val="-4"/>
          <w:lang w:val="es-CR"/>
        </w:rPr>
        <w:t>27.</w:t>
      </w:r>
    </w:p>
  </w:footnote>
  <w:footnote w:id="10">
    <w:p w14:paraId="164FC08F" w14:textId="242A1717" w:rsidR="007353B6" w:rsidRPr="00914F55" w:rsidRDefault="007353B6" w:rsidP="006F7559">
      <w:pPr>
        <w:pStyle w:val="FootnoteText"/>
        <w:tabs>
          <w:tab w:val="left" w:pos="450"/>
        </w:tabs>
        <w:spacing w:before="120" w:after="120"/>
        <w:rPr>
          <w:spacing w:val="-4"/>
        </w:rPr>
      </w:pPr>
      <w:r w:rsidRPr="00A50E4D">
        <w:rPr>
          <w:rStyle w:val="FootnoteReference"/>
          <w:spacing w:val="-4"/>
          <w:lang w:val="en-US"/>
        </w:rPr>
        <w:footnoteRef/>
      </w:r>
      <w:r w:rsidRPr="00F25627">
        <w:rPr>
          <w:spacing w:val="-4"/>
          <w:lang w:val="es-CR"/>
        </w:rPr>
        <w:t xml:space="preserve"> </w:t>
      </w:r>
      <w:r w:rsidRPr="00F25627">
        <w:rPr>
          <w:spacing w:val="-4"/>
          <w:lang w:val="es-CR"/>
        </w:rPr>
        <w:tab/>
      </w:r>
      <w:r w:rsidRPr="00F25627">
        <w:rPr>
          <w:i/>
          <w:spacing w:val="-4"/>
          <w:lang w:val="es-CR"/>
        </w:rPr>
        <w:t>Cf. Case of Velásquez Rodríguez v. Honduras. Preliminary objections, supra</w:t>
      </w:r>
      <w:r w:rsidRPr="00F25627">
        <w:rPr>
          <w:spacing w:val="-4"/>
          <w:lang w:val="es-CR"/>
        </w:rPr>
        <w:t xml:space="preserve">, para. 88, and </w:t>
      </w:r>
      <w:r w:rsidRPr="00F25627">
        <w:rPr>
          <w:i/>
          <w:spacing w:val="-4"/>
          <w:lang w:val="es-CR"/>
        </w:rPr>
        <w:t>Case of Gonzales Lluy et al. v. Ecuador, supra</w:t>
      </w:r>
      <w:r w:rsidRPr="00F25627">
        <w:rPr>
          <w:spacing w:val="-4"/>
          <w:lang w:val="es-CR"/>
        </w:rPr>
        <w:t xml:space="preserve">, para. </w:t>
      </w:r>
      <w:r w:rsidRPr="00914F55">
        <w:rPr>
          <w:spacing w:val="-4"/>
        </w:rPr>
        <w:t>27.</w:t>
      </w:r>
    </w:p>
  </w:footnote>
  <w:footnote w:id="11">
    <w:p w14:paraId="72E31747" w14:textId="77777777"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914F55">
        <w:rPr>
          <w:spacing w:val="-4"/>
        </w:rPr>
        <w:t xml:space="preserve"> </w:t>
      </w:r>
      <w:r w:rsidRPr="00914F55">
        <w:rPr>
          <w:spacing w:val="-4"/>
        </w:rPr>
        <w:tab/>
      </w:r>
      <w:r w:rsidRPr="00914F55">
        <w:rPr>
          <w:i/>
          <w:spacing w:val="-4"/>
        </w:rPr>
        <w:t>Cf. Case of Velásquez Rodríguez v. Honduras. Preliminary objections, supra</w:t>
      </w:r>
      <w:r w:rsidRPr="00914F55">
        <w:rPr>
          <w:spacing w:val="-4"/>
        </w:rPr>
        <w:t xml:space="preserve">, paras. </w:t>
      </w:r>
      <w:r w:rsidRPr="00F25627">
        <w:rPr>
          <w:spacing w:val="-4"/>
          <w:lang w:val="es-CR"/>
        </w:rPr>
        <w:t xml:space="preserve">88 and 91, and </w:t>
      </w:r>
      <w:r w:rsidRPr="00F25627">
        <w:rPr>
          <w:i/>
          <w:spacing w:val="-4"/>
          <w:lang w:val="es-CR"/>
        </w:rPr>
        <w:t>Case of Gonzales Lluy et al. v. Ecuador, supra</w:t>
      </w:r>
      <w:r w:rsidRPr="00F25627">
        <w:rPr>
          <w:spacing w:val="-4"/>
          <w:lang w:val="es-CR"/>
        </w:rPr>
        <w:t xml:space="preserve">, para. </w:t>
      </w:r>
      <w:r w:rsidRPr="00A50E4D">
        <w:rPr>
          <w:spacing w:val="-4"/>
          <w:lang w:val="en-US"/>
        </w:rPr>
        <w:t>31.</w:t>
      </w:r>
    </w:p>
  </w:footnote>
  <w:footnote w:id="12">
    <w:p w14:paraId="305EBAE3" w14:textId="096FC677"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Cf. Case of Reverón Trujillo v. Venezuela. Preliminary objection, merits, reparations and costs</w:t>
      </w:r>
      <w:r w:rsidRPr="00A50E4D">
        <w:rPr>
          <w:spacing w:val="-4"/>
          <w:lang w:val="en-US"/>
        </w:rPr>
        <w:t xml:space="preserve">. Judgment of June 30, 2009. Series C No. 197, para. 23, and </w:t>
      </w:r>
      <w:r w:rsidRPr="00A50E4D">
        <w:rPr>
          <w:i/>
          <w:spacing w:val="-4"/>
          <w:lang w:val="en-US"/>
        </w:rPr>
        <w:t>Case of Gonzales Lluy et al. v. Ecuador, supra</w:t>
      </w:r>
      <w:r w:rsidRPr="00A50E4D">
        <w:rPr>
          <w:spacing w:val="-4"/>
          <w:lang w:val="en-US"/>
        </w:rPr>
        <w:t>, para. 28.</w:t>
      </w:r>
    </w:p>
  </w:footnote>
  <w:footnote w:id="13">
    <w:p w14:paraId="3D346178" w14:textId="01AC23AB" w:rsidR="007353B6" w:rsidRPr="00F25627"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Case of Expelled Dominicans and Haitians v. Dominican Republic. Preliminary objections, merits, reparations and costs. </w:t>
      </w:r>
      <w:r w:rsidRPr="00A50E4D">
        <w:rPr>
          <w:spacing w:val="-4"/>
          <w:lang w:val="en-US"/>
        </w:rPr>
        <w:t xml:space="preserve">Judgment of August 28, 2014. Series C No. 282, para. </w:t>
      </w:r>
      <w:r w:rsidRPr="00F25627">
        <w:rPr>
          <w:spacing w:val="-4"/>
          <w:lang w:val="en-US"/>
        </w:rPr>
        <w:t>30.</w:t>
      </w:r>
    </w:p>
  </w:footnote>
  <w:footnote w:id="14">
    <w:p w14:paraId="1D8C0B9E" w14:textId="2CA252C6"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F25627">
        <w:rPr>
          <w:spacing w:val="-4"/>
          <w:lang w:val="en-US"/>
        </w:rPr>
        <w:t xml:space="preserve"> </w:t>
      </w:r>
      <w:r w:rsidRPr="00F25627">
        <w:rPr>
          <w:spacing w:val="-4"/>
          <w:lang w:val="en-US"/>
        </w:rPr>
        <w:tab/>
      </w:r>
      <w:r w:rsidRPr="00F25627">
        <w:rPr>
          <w:i/>
          <w:spacing w:val="-4"/>
          <w:lang w:val="en-US"/>
        </w:rPr>
        <w:t>Cf. Case of Velásquez Rodríguez v. Honduras. Preliminary objections, supra</w:t>
      </w:r>
      <w:r w:rsidRPr="00F25627">
        <w:rPr>
          <w:spacing w:val="-4"/>
          <w:lang w:val="en-US"/>
        </w:rPr>
        <w:t xml:space="preserve">, para. </w:t>
      </w:r>
      <w:r w:rsidRPr="00A50E4D">
        <w:rPr>
          <w:spacing w:val="-4"/>
          <w:lang w:val="en-US"/>
        </w:rPr>
        <w:t xml:space="preserve">88, and </w:t>
      </w:r>
      <w:r w:rsidRPr="00A50E4D">
        <w:rPr>
          <w:i/>
          <w:spacing w:val="-4"/>
          <w:lang w:val="en-US"/>
        </w:rPr>
        <w:t>Case of Argüelles et al. v. Argentina. Preliminary objections, merits, reparations and costs.</w:t>
      </w:r>
      <w:r w:rsidRPr="00A50E4D">
        <w:rPr>
          <w:spacing w:val="-4"/>
          <w:lang w:val="en-US"/>
        </w:rPr>
        <w:t xml:space="preserve"> Judgment of November 20, 2014.</w:t>
      </w:r>
      <w:r w:rsidRPr="00A50E4D">
        <w:rPr>
          <w:i/>
          <w:spacing w:val="-4"/>
          <w:lang w:val="en-US"/>
        </w:rPr>
        <w:t xml:space="preserve"> Series C No. 288</w:t>
      </w:r>
      <w:r w:rsidRPr="00A50E4D">
        <w:rPr>
          <w:spacing w:val="-4"/>
          <w:lang w:val="en-US"/>
        </w:rPr>
        <w:t>, para. 43.</w:t>
      </w:r>
    </w:p>
  </w:footnote>
  <w:footnote w:id="15">
    <w:p w14:paraId="20A669C4" w14:textId="409C71A6"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The State’s brief of October 19, 2010 (evidence file, folios 53, 63 to 67, 83 to 86, 100 and 102).</w:t>
      </w:r>
    </w:p>
  </w:footnote>
  <w:footnote w:id="16">
    <w:p w14:paraId="2B3454FA" w14:textId="15A7FC21"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The State’s brief of March 16, 2011 (evidence file, folios 4623 to 4661), and the State’s brief of March 25, 2011 (evidence file, folios 4611 to 4618).</w:t>
      </w:r>
    </w:p>
  </w:footnote>
  <w:footnote w:id="17">
    <w:p w14:paraId="11ACCD52" w14:textId="2F667024"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The Commission indicated that “[</w:t>
      </w:r>
      <w:r w:rsidRPr="00914F55">
        <w:rPr>
          <w:spacing w:val="-4"/>
          <w:lang w:val="en-US"/>
        </w:rPr>
        <w:t xml:space="preserve">g]iven the </w:t>
      </w:r>
      <w:r w:rsidRPr="00914F55">
        <w:rPr>
          <w:lang w:val="en-US"/>
        </w:rPr>
        <w:t>interrelationship between the effectiveness of the remedies available in order to exhaust domestic remedies and the possible violations of human rights at issue in the case, the Commission considers that the question of the prior exhaustion of those remedies must be taken up together with the merits of the petition</w:t>
      </w:r>
      <w:r w:rsidRPr="00A50E4D">
        <w:rPr>
          <w:lang w:val="en-US"/>
        </w:rPr>
        <w:t>.”</w:t>
      </w:r>
      <w:r w:rsidRPr="00A50E4D">
        <w:rPr>
          <w:spacing w:val="-4"/>
          <w:lang w:val="en-US"/>
        </w:rPr>
        <w:t xml:space="preserve"> Admissibility Report No. 70/11, Petition 975-10, Adán Guillermo López Lone </w:t>
      </w:r>
      <w:r w:rsidRPr="00A50E4D">
        <w:rPr>
          <w:i/>
          <w:spacing w:val="-4"/>
          <w:lang w:val="en-US"/>
        </w:rPr>
        <w:t>et al.</w:t>
      </w:r>
      <w:r w:rsidRPr="00A50E4D">
        <w:rPr>
          <w:spacing w:val="-4"/>
          <w:lang w:val="en-US"/>
        </w:rPr>
        <w:t>, Honduras, issued by the Inter-American Commission on March 31, 2011 (evidence file, folio 4586).</w:t>
      </w:r>
    </w:p>
  </w:footnote>
  <w:footnote w:id="18">
    <w:p w14:paraId="2D4D75BE" w14:textId="466D6F2D"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The State’s brief of February 1, 2012 (evidence file, folios 4341 to 4344).</w:t>
      </w:r>
    </w:p>
  </w:footnote>
  <w:footnote w:id="19">
    <w:p w14:paraId="0FAAC149" w14:textId="24BED6AC"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The State’s brief of June 25, 2012 (evidence file, folios 4290 to 4294).</w:t>
      </w:r>
    </w:p>
  </w:footnote>
  <w:footnote w:id="20">
    <w:p w14:paraId="24C5B708" w14:textId="0A73A977"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In this regard, it cited article 42 of the Constitutional Justice Act which establishes that “[t]he application for </w:t>
      </w:r>
      <w:r w:rsidRPr="00A50E4D">
        <w:rPr>
          <w:i/>
          <w:spacing w:val="-4"/>
          <w:lang w:val="en-US"/>
        </w:rPr>
        <w:t>amparo</w:t>
      </w:r>
      <w:r w:rsidRPr="00A50E4D">
        <w:rPr>
          <w:spacing w:val="-4"/>
          <w:lang w:val="en-US"/>
        </w:rPr>
        <w:t xml:space="preserve"> is admissible against the decisions, acts and deeds of the Branches of the State.” The State’s brief of October 15, 2010 (evidence file, folios 84, 85 and 86), and </w:t>
      </w:r>
      <w:r w:rsidRPr="00A50E4D">
        <w:rPr>
          <w:rFonts w:cs="Times New Roman"/>
          <w:iCs/>
          <w:spacing w:val="-4"/>
          <w:lang w:val="en-US"/>
        </w:rPr>
        <w:t>Constitutional Justice Act, article 42 (evidence file, folio 3919).</w:t>
      </w:r>
    </w:p>
  </w:footnote>
  <w:footnote w:id="21">
    <w:p w14:paraId="500B7982" w14:textId="1F1331D5"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The representatives’ brief of January 20, 2011 (evidence file, folio 4791). </w:t>
      </w:r>
    </w:p>
  </w:footnote>
  <w:footnote w:id="22">
    <w:p w14:paraId="634154A1" w14:textId="5E19E623"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The State’s brief of October 15, 2010 (evidence file, folio 99).</w:t>
      </w:r>
    </w:p>
  </w:footnote>
  <w:footnote w:id="23">
    <w:p w14:paraId="5C588D9C" w14:textId="77FF2C7E"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Rules of procedure of the Judicial Service Council (evidence file, folio 218). </w:t>
      </w:r>
    </w:p>
  </w:footnote>
  <w:footnote w:id="24">
    <w:p w14:paraId="4C3D93CE" w14:textId="28AE8409"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The State’s brief of March 11, 2011 (evidence file, folio 4636).</w:t>
      </w:r>
    </w:p>
  </w:footnote>
  <w:footnote w:id="25">
    <w:p w14:paraId="61539397" w14:textId="77777777" w:rsidR="007353B6" w:rsidRPr="00A50E4D" w:rsidRDefault="007353B6" w:rsidP="00C0533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The State’s brief of March 11, 2011 (evidence file, folios 4636 and 4637).</w:t>
      </w:r>
    </w:p>
  </w:footnote>
  <w:footnote w:id="26">
    <w:p w14:paraId="76A53C9A" w14:textId="71A28597"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The State’s brief of March 11, 2011 (evidence file, folios 4638 to 4649).</w:t>
      </w:r>
    </w:p>
  </w:footnote>
  <w:footnote w:id="27">
    <w:p w14:paraId="3C12DC8D" w14:textId="21A5948E" w:rsidR="007353B6" w:rsidRPr="00914F55" w:rsidRDefault="007353B6" w:rsidP="006F7559">
      <w:pPr>
        <w:pStyle w:val="FootnoteText"/>
        <w:tabs>
          <w:tab w:val="left" w:pos="450"/>
        </w:tabs>
        <w:spacing w:before="120" w:after="120"/>
        <w:rPr>
          <w:spacing w:val="-4"/>
          <w:lang w:val="fr-FR"/>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The Constitution establishes that “any aggrieved person, or anyone on his or her behalf, has the right to file an application for </w:t>
      </w:r>
      <w:r w:rsidRPr="00A50E4D">
        <w:rPr>
          <w:i/>
          <w:spacing w:val="-4"/>
          <w:lang w:val="en-US"/>
        </w:rPr>
        <w:t>amparo</w:t>
      </w:r>
      <w:r w:rsidRPr="00A50E4D">
        <w:rPr>
          <w:spacing w:val="-4"/>
          <w:lang w:val="en-US"/>
        </w:rPr>
        <w:t xml:space="preserve"> [… in order to </w:t>
      </w:r>
      <w:r w:rsidRPr="00A50E4D">
        <w:rPr>
          <w:lang w:val="en-US"/>
        </w:rPr>
        <w:t xml:space="preserve">uphold or reinstate the enjoyment of the rights and guarantees established by the Constitution and international treaties, conventions and other instruments, [or] to obtain a declaration, in specific cases, that the applicant is not bound by a regulation, action, act or decision of an authority, and the latter is not applicable because it contravenes, reduces or distorts any of the rights recognized by </w:t>
      </w:r>
      <w:r w:rsidRPr="00A50E4D">
        <w:rPr>
          <w:rFonts w:cs="Arial"/>
          <w:spacing w:val="-4"/>
          <w:lang w:val="en-US"/>
        </w:rPr>
        <w:t>the Constitution.</w:t>
      </w:r>
      <w:r w:rsidRPr="00A50E4D">
        <w:rPr>
          <w:spacing w:val="-4"/>
          <w:lang w:val="en-US"/>
        </w:rPr>
        <w:t xml:space="preserve">” 1982 Constitution of the Republic of Honduras (as amended up until January 20, 2006), article 183.  </w:t>
      </w:r>
      <w:r w:rsidRPr="00914F55">
        <w:rPr>
          <w:spacing w:val="-4"/>
          <w:lang w:val="fr-FR"/>
        </w:rPr>
        <w:t xml:space="preserve">Available at: </w:t>
      </w:r>
      <w:hyperlink r:id="rId3" w:history="1">
        <w:r w:rsidRPr="00914F55">
          <w:rPr>
            <w:rStyle w:val="Hyperlink"/>
            <w:spacing w:val="-4"/>
            <w:lang w:val="fr-FR"/>
          </w:rPr>
          <w:t>http://www.poderjudicial.gob.hn/CEDIJ/Leyes/ Documents/CONSTITUCI%C3%93N%20DE%20LA%20REP%C3%9ABLICA%20%2809%29.pdf</w:t>
        </w:r>
      </w:hyperlink>
    </w:p>
  </w:footnote>
  <w:footnote w:id="28">
    <w:p w14:paraId="3AA3E9C2" w14:textId="77661447"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Constitutional Justice Act, articles 41 and 42 (evidence file, folios 3918 and 3919).</w:t>
      </w:r>
    </w:p>
  </w:footnote>
  <w:footnote w:id="29">
    <w:p w14:paraId="7B7B1187" w14:textId="2224E8AC"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Rules of procedure of the Judicial Service Council, article 31 (evidence file, folio 218) </w:t>
      </w:r>
    </w:p>
  </w:footnote>
  <w:footnote w:id="30">
    <w:p w14:paraId="18F2AC81" w14:textId="4B3A43A1" w:rsidR="007353B6" w:rsidRPr="00A50E4D" w:rsidRDefault="007353B6" w:rsidP="006F7559">
      <w:pPr>
        <w:pStyle w:val="Footnotes"/>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t>On January 19, 2015, the petitioners forwarded the Spanish translation of the affidavit made by expert witness Hina Jilani.</w:t>
      </w:r>
    </w:p>
  </w:footnote>
  <w:footnote w:id="31">
    <w:p w14:paraId="30D08637" w14:textId="5C6CADF5" w:rsidR="007353B6" w:rsidRPr="00A50E4D" w:rsidRDefault="007353B6" w:rsidP="006F7559">
      <w:pPr>
        <w:pStyle w:val="Footnotes"/>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t>The purposes of these statements was established in the order of the President of December 10, 2014 (</w:t>
      </w:r>
      <w:r w:rsidRPr="00A50E4D">
        <w:rPr>
          <w:i/>
          <w:lang w:val="en-US"/>
        </w:rPr>
        <w:t>supra</w:t>
      </w:r>
      <w:r w:rsidRPr="00A50E4D">
        <w:rPr>
          <w:lang w:val="en-US"/>
        </w:rPr>
        <w:t xml:space="preserve"> nota </w:t>
      </w:r>
      <w:r w:rsidRPr="008136A0">
        <w:rPr>
          <w:lang w:val="en-US"/>
        </w:rPr>
        <w:fldChar w:fldCharType="begin"/>
      </w:r>
      <w:r w:rsidRPr="00A50E4D">
        <w:rPr>
          <w:lang w:val="en-US"/>
        </w:rPr>
        <w:instrText xml:space="preserve"> NOTEREF _Ref424783166 \h  \* MERGEFORMAT </w:instrText>
      </w:r>
      <w:r w:rsidRPr="008136A0">
        <w:rPr>
          <w:lang w:val="en-US"/>
        </w:rPr>
      </w:r>
      <w:r w:rsidRPr="008136A0">
        <w:rPr>
          <w:lang w:val="en-US"/>
        </w:rPr>
        <w:fldChar w:fldCharType="separate"/>
      </w:r>
      <w:r>
        <w:rPr>
          <w:lang w:val="en-US"/>
        </w:rPr>
        <w:t>2</w:t>
      </w:r>
      <w:r w:rsidRPr="008136A0">
        <w:rPr>
          <w:lang w:val="en-US"/>
        </w:rPr>
        <w:fldChar w:fldCharType="end"/>
      </w:r>
      <w:r w:rsidRPr="00A50E4D">
        <w:rPr>
          <w:lang w:val="en-US"/>
        </w:rPr>
        <w:t xml:space="preserve">). </w:t>
      </w:r>
    </w:p>
  </w:footnote>
  <w:footnote w:id="32">
    <w:p w14:paraId="4AB9AC0B" w14:textId="672533B3" w:rsidR="007353B6" w:rsidRPr="00A50E4D" w:rsidRDefault="007353B6" w:rsidP="006F7559">
      <w:pPr>
        <w:pStyle w:val="Footnotes"/>
        <w:tabs>
          <w:tab w:val="left" w:pos="450"/>
        </w:tabs>
        <w:spacing w:before="120" w:after="120"/>
        <w:rPr>
          <w:lang w:val="en-US"/>
        </w:rPr>
      </w:pPr>
      <w:r w:rsidRPr="00A50E4D">
        <w:rPr>
          <w:rStyle w:val="FootnoteReference"/>
          <w:lang w:val="en-US"/>
        </w:rPr>
        <w:footnoteRef/>
      </w:r>
      <w:r w:rsidRPr="00914F55">
        <w:t xml:space="preserve"> </w:t>
      </w:r>
      <w:r w:rsidRPr="00914F55">
        <w:tab/>
      </w:r>
      <w:r w:rsidRPr="00914F55">
        <w:rPr>
          <w:i/>
        </w:rPr>
        <w:t>Cf.</w:t>
      </w:r>
      <w:r w:rsidRPr="00914F55">
        <w:t xml:space="preserve"> </w:t>
      </w:r>
      <w:r w:rsidRPr="00914F55">
        <w:rPr>
          <w:i/>
        </w:rPr>
        <w:t xml:space="preserve">Case of Velásquez Rodríguez v. Honduras. </w:t>
      </w:r>
      <w:r w:rsidRPr="00A50E4D">
        <w:rPr>
          <w:i/>
          <w:lang w:val="en-US"/>
        </w:rPr>
        <w:t>Merits, supra</w:t>
      </w:r>
      <w:r w:rsidRPr="00A50E4D">
        <w:rPr>
          <w:lang w:val="en-US"/>
        </w:rPr>
        <w:t xml:space="preserve">, para. 140, and </w:t>
      </w:r>
      <w:r w:rsidRPr="00A50E4D">
        <w:rPr>
          <w:bCs/>
          <w:i/>
          <w:lang w:val="en-US"/>
        </w:rPr>
        <w:t>Case of Omar Humberto Maldonado Vargas et al. v. Chile. Merits, reparations and costs</w:t>
      </w:r>
      <w:r w:rsidRPr="00A50E4D">
        <w:rPr>
          <w:bCs/>
          <w:lang w:val="en-US"/>
        </w:rPr>
        <w:t>. Judgment of September 2, 2015. Series C No. 300, para. 12.</w:t>
      </w:r>
    </w:p>
  </w:footnote>
  <w:footnote w:id="33">
    <w:p w14:paraId="500A0773" w14:textId="36B1FF21" w:rsidR="007353B6" w:rsidRPr="00A50E4D" w:rsidRDefault="007353B6" w:rsidP="006F7559">
      <w:pPr>
        <w:pStyle w:val="Footnotes"/>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r>
      <w:r w:rsidRPr="00A50E4D">
        <w:rPr>
          <w:i/>
          <w:lang w:val="en-US"/>
        </w:rPr>
        <w:t>Cf.</w:t>
      </w:r>
      <w:r w:rsidRPr="00A50E4D">
        <w:rPr>
          <w:lang w:val="en-US"/>
        </w:rPr>
        <w:t xml:space="preserve"> </w:t>
      </w:r>
      <w:r w:rsidRPr="00A50E4D">
        <w:rPr>
          <w:i/>
          <w:lang w:val="en-US"/>
        </w:rPr>
        <w:t>Case of Velásquez Rodríguez v. Honduras. Merits, supra</w:t>
      </w:r>
      <w:r w:rsidRPr="00A50E4D">
        <w:rPr>
          <w:lang w:val="en-US"/>
        </w:rPr>
        <w:t xml:space="preserve">, para. 146, and </w:t>
      </w:r>
      <w:r w:rsidRPr="00A50E4D">
        <w:rPr>
          <w:bCs/>
          <w:i/>
          <w:lang w:val="en-US"/>
        </w:rPr>
        <w:t>Case of Omar Humberto Maldonado Vargas et al. v. Chile, supra</w:t>
      </w:r>
      <w:r w:rsidRPr="00A50E4D">
        <w:rPr>
          <w:bCs/>
          <w:lang w:val="en-US"/>
        </w:rPr>
        <w:t>, para. 12.</w:t>
      </w:r>
    </w:p>
  </w:footnote>
  <w:footnote w:id="34">
    <w:p w14:paraId="2BCC9E5F" w14:textId="5F744F5C" w:rsidR="007353B6" w:rsidRPr="00A50E4D" w:rsidRDefault="007353B6" w:rsidP="006F7559">
      <w:pPr>
        <w:pStyle w:val="Footnotes"/>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r>
      <w:r w:rsidRPr="00A50E4D">
        <w:rPr>
          <w:i/>
          <w:lang w:val="en-US"/>
        </w:rPr>
        <w:t xml:space="preserve">Cf. Case of Escué Zapata v. Colombia. Merits, reparations and costs. </w:t>
      </w:r>
      <w:r w:rsidRPr="00A50E4D">
        <w:rPr>
          <w:lang w:val="en-US"/>
        </w:rPr>
        <w:t xml:space="preserve">Judgment of July 4, 2007. Series C No 165, para. 26, and </w:t>
      </w:r>
      <w:r w:rsidRPr="00A50E4D">
        <w:rPr>
          <w:bCs/>
          <w:i/>
          <w:lang w:val="en-US"/>
        </w:rPr>
        <w:t>Case of Omar Humberto Maldonado Vargas et al. v. Chile, supra</w:t>
      </w:r>
      <w:r w:rsidRPr="00A50E4D">
        <w:rPr>
          <w:bCs/>
          <w:lang w:val="en-US"/>
        </w:rPr>
        <w:t>, para. 12.</w:t>
      </w:r>
    </w:p>
  </w:footnote>
  <w:footnote w:id="35">
    <w:p w14:paraId="63E462F3" w14:textId="527BD70A" w:rsidR="007353B6" w:rsidRPr="00A50E4D" w:rsidRDefault="007353B6" w:rsidP="006F7559">
      <w:pPr>
        <w:pStyle w:val="Footnotes"/>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r>
      <w:r w:rsidRPr="00A50E4D">
        <w:rPr>
          <w:i/>
          <w:lang w:val="en-US"/>
        </w:rPr>
        <w:t xml:space="preserve">Cf. </w:t>
      </w:r>
      <w:r w:rsidRPr="00A50E4D">
        <w:rPr>
          <w:lang w:val="en-US"/>
        </w:rPr>
        <w:t xml:space="preserve">Record of documents received. Public hearing of February 2 and 3, 2015. </w:t>
      </w:r>
      <w:r w:rsidRPr="00A50E4D">
        <w:rPr>
          <w:i/>
          <w:lang w:val="en-US"/>
        </w:rPr>
        <w:t>Case of López Lone et al. v. Honduras</w:t>
      </w:r>
      <w:r w:rsidRPr="00A50E4D">
        <w:rPr>
          <w:lang w:val="en-US"/>
        </w:rPr>
        <w:t xml:space="preserve"> (merits file, folio 1169).</w:t>
      </w:r>
    </w:p>
  </w:footnote>
  <w:footnote w:id="36">
    <w:p w14:paraId="4BB4E635" w14:textId="06047355"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Specifically, the State presented the following: (1) copy of Official Gazette of the Republic of Honduras No. 25,657 dated October 17, 1998, which contains the rules of procedure of the Judicial Service Council issued on August 4, 1988, and (2) certifications of rulings: AA-0730=12 of July 28, 2014, AA 627=11 of August 14, 2012, AA 966-2012 of April 23, 2014, AA 205=14 of September 23, 2014, AA788=09 of August 17, 2010, AA 25=11 of October 22, 2013, 0006-2014 of October 14, 2014, 0125-2014 of June 3, 2014, 0123-2014 of November 10, 2014, and AA 0209=14 of November 11, 2014.</w:t>
      </w:r>
    </w:p>
  </w:footnote>
  <w:footnote w:id="37">
    <w:p w14:paraId="75F0689A" w14:textId="3D32FC5C" w:rsidR="007353B6" w:rsidRPr="00A50E4D" w:rsidRDefault="007353B6" w:rsidP="006F7559">
      <w:pPr>
        <w:pStyle w:val="Footnotes"/>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t xml:space="preserve">The State presented: (1) a note of March 3, 2015, from the Personnel Management Directorate, in reply to a request by the President of the Court in his order of December 10, 2014, that it present “information on the salary increases that would have corresponded to the projected salaries of the presumed victims if they had not been removed from their posts, based on the salaries of judges and justices who are in the same salary range of each of the presumed victims in this case when they were dismissed,” as well as (2) a document entitled “Procedure to impose sanctions on judicial officials and employees” (merits file, folios 1818 to 1825). In addition to the documentation on expenses incurred since the pleadings and motions brief, the representatives presented a copy of a circular of the Council of the Judiciary and the Judicial Service dated February 11, 2015 (merits file, folio 1686).  </w:t>
      </w:r>
    </w:p>
  </w:footnote>
  <w:footnote w:id="38">
    <w:p w14:paraId="22E9C49F" w14:textId="4D14C639" w:rsidR="007353B6" w:rsidRPr="00A50E4D" w:rsidRDefault="007353B6" w:rsidP="006F7559">
      <w:pPr>
        <w:pStyle w:val="Footnotes"/>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r>
      <w:r w:rsidRPr="00A50E4D">
        <w:rPr>
          <w:i/>
          <w:lang w:val="en-US"/>
        </w:rPr>
        <w:t>Cf. Case of the “White Van” (Paniagua Morales et al.) v. Guatemala. Merits.</w:t>
      </w:r>
      <w:r w:rsidRPr="00A50E4D">
        <w:rPr>
          <w:lang w:val="en-US"/>
        </w:rPr>
        <w:t xml:space="preserve"> Judgment of March 8, 1998. Series C No 37, paras. 69 to 76, and </w:t>
      </w:r>
      <w:r w:rsidRPr="00A50E4D">
        <w:rPr>
          <w:bCs/>
          <w:i/>
          <w:lang w:val="en-US"/>
        </w:rPr>
        <w:t>Case of Omar Humberto Maldonado Vargas et al. v. Chile, supra</w:t>
      </w:r>
      <w:r w:rsidRPr="00A50E4D">
        <w:rPr>
          <w:bCs/>
          <w:lang w:val="en-US"/>
        </w:rPr>
        <w:t>, para. 16.</w:t>
      </w:r>
    </w:p>
  </w:footnote>
  <w:footnote w:id="39">
    <w:p w14:paraId="7D28D828" w14:textId="200DD0ED" w:rsidR="007353B6" w:rsidRPr="00A50E4D" w:rsidRDefault="007353B6" w:rsidP="006F7559">
      <w:pPr>
        <w:pStyle w:val="Footnotes"/>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r>
      <w:r w:rsidRPr="00A50E4D">
        <w:rPr>
          <w:i/>
          <w:lang w:val="en-US"/>
        </w:rPr>
        <w:t>Cf. Case of the “White Van” (Paniagua Morales et al.) v. Guatemala. Merits, supra</w:t>
      </w:r>
      <w:r w:rsidRPr="00A50E4D">
        <w:rPr>
          <w:lang w:val="en-US"/>
        </w:rPr>
        <w:t xml:space="preserve">, paras. 69 to 76, and </w:t>
      </w:r>
      <w:r w:rsidRPr="00A50E4D">
        <w:rPr>
          <w:bCs/>
          <w:i/>
          <w:lang w:val="en-US"/>
        </w:rPr>
        <w:t>Case of Omar Humberto Maldonado Vargas et al. v. Chile, supra</w:t>
      </w:r>
      <w:r w:rsidRPr="00A50E4D">
        <w:rPr>
          <w:bCs/>
          <w:lang w:val="en-US"/>
        </w:rPr>
        <w:t>, para. 16.</w:t>
      </w:r>
    </w:p>
  </w:footnote>
  <w:footnote w:id="40">
    <w:p w14:paraId="22F972EA" w14:textId="312C73FD" w:rsidR="007353B6" w:rsidRPr="00914F55" w:rsidRDefault="007353B6" w:rsidP="006F7559">
      <w:pPr>
        <w:pStyle w:val="Footnotes"/>
        <w:tabs>
          <w:tab w:val="left" w:pos="450"/>
        </w:tabs>
        <w:spacing w:before="120" w:after="120"/>
      </w:pPr>
      <w:r w:rsidRPr="00A50E4D">
        <w:rPr>
          <w:rStyle w:val="FootnoteReference"/>
          <w:lang w:val="en-US"/>
        </w:rPr>
        <w:footnoteRef/>
      </w:r>
      <w:r w:rsidRPr="00A50E4D">
        <w:rPr>
          <w:lang w:val="en-US"/>
        </w:rPr>
        <w:t xml:space="preserve"> </w:t>
      </w:r>
      <w:r w:rsidRPr="00A50E4D">
        <w:rPr>
          <w:lang w:val="en-US"/>
        </w:rPr>
        <w:tab/>
      </w:r>
      <w:r w:rsidRPr="00A50E4D">
        <w:rPr>
          <w:i/>
          <w:lang w:val="en-US"/>
        </w:rPr>
        <w:t>Cf. Case of Loayza Tamayo v. Peru. Merits.</w:t>
      </w:r>
      <w:r w:rsidRPr="00A50E4D">
        <w:rPr>
          <w:lang w:val="en-US"/>
        </w:rPr>
        <w:t xml:space="preserve"> Judgment of September 17, 1997. Series C No 33, para. </w:t>
      </w:r>
      <w:r w:rsidRPr="00914F55">
        <w:t xml:space="preserve">43, and </w:t>
      </w:r>
      <w:r w:rsidRPr="00914F55">
        <w:rPr>
          <w:bCs/>
          <w:i/>
        </w:rPr>
        <w:t>Case of Omar Humberto Maldonado Vargas et al. v. Chile, supra</w:t>
      </w:r>
      <w:r w:rsidRPr="00914F55">
        <w:rPr>
          <w:bCs/>
        </w:rPr>
        <w:t>, para. 16.</w:t>
      </w:r>
    </w:p>
  </w:footnote>
  <w:footnote w:id="41">
    <w:p w14:paraId="56BA4290" w14:textId="75D867BF" w:rsidR="007353B6" w:rsidRPr="00A50E4D" w:rsidRDefault="007353B6" w:rsidP="006F7559">
      <w:pPr>
        <w:pStyle w:val="FootnoteText"/>
        <w:tabs>
          <w:tab w:val="left" w:pos="450"/>
        </w:tabs>
        <w:spacing w:before="120" w:after="120"/>
        <w:rPr>
          <w:rFonts w:eastAsia="Times New Roman" w:cs="Times New Roman"/>
          <w:spacing w:val="-4"/>
          <w:lang w:val="en-US"/>
        </w:rPr>
      </w:pPr>
      <w:r w:rsidRPr="00A50E4D">
        <w:rPr>
          <w:rStyle w:val="FootnoteReference"/>
          <w:spacing w:val="-4"/>
          <w:lang w:val="en-US"/>
        </w:rPr>
        <w:footnoteRef/>
      </w:r>
      <w:r w:rsidRPr="00914F55">
        <w:rPr>
          <w:spacing w:val="-4"/>
        </w:rPr>
        <w:t xml:space="preserve"> </w:t>
      </w:r>
      <w:r w:rsidRPr="00914F55">
        <w:rPr>
          <w:spacing w:val="-4"/>
        </w:rPr>
        <w:tab/>
      </w:r>
      <w:r w:rsidRPr="00914F55">
        <w:rPr>
          <w:i/>
          <w:spacing w:val="-4"/>
        </w:rPr>
        <w:t xml:space="preserve">Cf. </w:t>
      </w:r>
      <w:r w:rsidRPr="00914F55">
        <w:rPr>
          <w:bCs/>
          <w:i/>
          <w:spacing w:val="-4"/>
        </w:rPr>
        <w:t xml:space="preserve">Case of Velásquez Rodríguez v. Honduras. </w:t>
      </w:r>
      <w:r w:rsidRPr="00A50E4D">
        <w:rPr>
          <w:bCs/>
          <w:i/>
          <w:spacing w:val="-4"/>
          <w:lang w:val="en-US"/>
        </w:rPr>
        <w:t xml:space="preserve">Merits, supra, </w:t>
      </w:r>
      <w:r w:rsidRPr="00A50E4D">
        <w:rPr>
          <w:bCs/>
          <w:spacing w:val="-4"/>
          <w:lang w:val="en-US"/>
        </w:rPr>
        <w:t>para. 126</w:t>
      </w:r>
      <w:r w:rsidRPr="00A50E4D">
        <w:rPr>
          <w:spacing w:val="-4"/>
          <w:lang w:val="en-US"/>
        </w:rPr>
        <w:t xml:space="preserve">, and </w:t>
      </w:r>
      <w:r w:rsidRPr="00A50E4D">
        <w:rPr>
          <w:rStyle w:val="Strong"/>
          <w:b w:val="0"/>
          <w:i/>
          <w:iCs/>
          <w:color w:val="000000"/>
          <w:lang w:val="en-US"/>
        </w:rPr>
        <w:t>Case of Espinoza Gonzáles v. Peru. Preliminary objections, merits, reparations and costs.</w:t>
      </w:r>
      <w:r w:rsidRPr="00A50E4D">
        <w:rPr>
          <w:rStyle w:val="Strong"/>
          <w:b w:val="0"/>
          <w:color w:val="000000"/>
          <w:lang w:val="en-US"/>
        </w:rPr>
        <w:t xml:space="preserve"> Judgment of November 20, 2014. Series C No. 289,</w:t>
      </w:r>
      <w:r w:rsidRPr="00A50E4D">
        <w:rPr>
          <w:rStyle w:val="Strong"/>
          <w:color w:val="000000"/>
          <w:lang w:val="en-US"/>
        </w:rPr>
        <w:t xml:space="preserve"> </w:t>
      </w:r>
      <w:r w:rsidRPr="00A50E4D">
        <w:rPr>
          <w:spacing w:val="-4"/>
          <w:lang w:val="en-US"/>
        </w:rPr>
        <w:t>paras. 67 and 68.</w:t>
      </w:r>
    </w:p>
  </w:footnote>
  <w:footnote w:id="42">
    <w:p w14:paraId="42987A0F" w14:textId="4A9F36E0" w:rsidR="007353B6" w:rsidRPr="00A50E4D" w:rsidRDefault="007353B6" w:rsidP="006F7559">
      <w:pPr>
        <w:pStyle w:val="FootnoteText"/>
        <w:tabs>
          <w:tab w:val="left" w:pos="450"/>
        </w:tabs>
        <w:spacing w:before="120" w:after="120"/>
        <w:rPr>
          <w:b/>
          <w:i/>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bCs/>
          <w:i/>
          <w:spacing w:val="-4"/>
          <w:lang w:val="en-US"/>
        </w:rPr>
        <w:t xml:space="preserve">Case of Velásquez Rodríguez v. Honduras. </w:t>
      </w:r>
      <w:r w:rsidRPr="00914F55">
        <w:rPr>
          <w:bCs/>
          <w:i/>
          <w:spacing w:val="-4"/>
        </w:rPr>
        <w:t>Merits, supra</w:t>
      </w:r>
      <w:r w:rsidRPr="00914F55">
        <w:rPr>
          <w:bCs/>
          <w:spacing w:val="-4"/>
        </w:rPr>
        <w:t>,</w:t>
      </w:r>
      <w:r w:rsidRPr="00914F55">
        <w:rPr>
          <w:bCs/>
          <w:i/>
          <w:spacing w:val="-4"/>
        </w:rPr>
        <w:t xml:space="preserve"> </w:t>
      </w:r>
      <w:r w:rsidRPr="00914F55">
        <w:rPr>
          <w:bCs/>
          <w:spacing w:val="-4"/>
        </w:rPr>
        <w:t>para. 126</w:t>
      </w:r>
      <w:r w:rsidRPr="00914F55">
        <w:rPr>
          <w:spacing w:val="-4"/>
        </w:rPr>
        <w:t xml:space="preserve">, and </w:t>
      </w:r>
      <w:r w:rsidRPr="00914F55">
        <w:rPr>
          <w:rStyle w:val="Strong"/>
          <w:b w:val="0"/>
          <w:i/>
          <w:color w:val="000000"/>
          <w:shd w:val="clear" w:color="auto" w:fill="FFFFFF"/>
        </w:rPr>
        <w:t>Case of Espinoza Gonzáles v. Peru, supra</w:t>
      </w:r>
      <w:r w:rsidRPr="00914F55">
        <w:rPr>
          <w:rStyle w:val="Strong"/>
          <w:b w:val="0"/>
          <w:color w:val="000000"/>
          <w:shd w:val="clear" w:color="auto" w:fill="FFFFFF"/>
        </w:rPr>
        <w:t>,</w:t>
      </w:r>
      <w:r w:rsidRPr="00914F55">
        <w:rPr>
          <w:rStyle w:val="Strong"/>
          <w:color w:val="000000"/>
          <w:shd w:val="clear" w:color="auto" w:fill="FFFFFF"/>
        </w:rPr>
        <w:t xml:space="preserve"> </w:t>
      </w:r>
      <w:r w:rsidRPr="00914F55">
        <w:rPr>
          <w:spacing w:val="-4"/>
        </w:rPr>
        <w:t xml:space="preserve">paras. </w:t>
      </w:r>
      <w:r w:rsidRPr="00A50E4D">
        <w:rPr>
          <w:spacing w:val="-4"/>
          <w:lang w:val="en-US"/>
        </w:rPr>
        <w:t>67, 68 and 195.</w:t>
      </w:r>
    </w:p>
  </w:footnote>
  <w:footnote w:id="43">
    <w:p w14:paraId="6E8F72EE" w14:textId="0195BD9A" w:rsidR="007353B6" w:rsidRPr="00A50E4D" w:rsidRDefault="007353B6" w:rsidP="006F7559">
      <w:pPr>
        <w:pStyle w:val="FootnoteText"/>
        <w:tabs>
          <w:tab w:val="left" w:pos="450"/>
        </w:tabs>
        <w:spacing w:before="120" w:after="120"/>
        <w:rPr>
          <w:b/>
          <w:i/>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Cf.</w:t>
      </w:r>
      <w:r w:rsidRPr="00A50E4D">
        <w:rPr>
          <w:b/>
          <w:spacing w:val="-4"/>
          <w:lang w:val="en-US"/>
        </w:rPr>
        <w:t xml:space="preserve"> </w:t>
      </w:r>
      <w:r w:rsidRPr="00A50E4D">
        <w:rPr>
          <w:bCs/>
          <w:i/>
          <w:spacing w:val="-4"/>
          <w:lang w:val="en-US"/>
        </w:rPr>
        <w:t xml:space="preserve">Case of Almonacid Arellano et al. v. Chile. </w:t>
      </w:r>
      <w:r w:rsidRPr="00A50E4D">
        <w:rPr>
          <w:i/>
          <w:spacing w:val="-4"/>
          <w:lang w:val="en-US"/>
        </w:rPr>
        <w:t>Preliminary objections, merits, reparations and costs.</w:t>
      </w:r>
      <w:r w:rsidRPr="00A50E4D">
        <w:rPr>
          <w:spacing w:val="-4"/>
          <w:lang w:val="en-US"/>
        </w:rPr>
        <w:t xml:space="preserve"> Judgment of September 26, 2006. Series C No. 154, paras. 94 to 96, 98 and 99, and </w:t>
      </w:r>
      <w:r w:rsidRPr="00A50E4D">
        <w:rPr>
          <w:rStyle w:val="Strong"/>
          <w:b w:val="0"/>
          <w:i/>
          <w:color w:val="000000"/>
          <w:shd w:val="clear" w:color="auto" w:fill="FFFFFF"/>
          <w:lang w:val="en-US"/>
        </w:rPr>
        <w:t>Case of Espinoza Gonzáles v. Peru, supra</w:t>
      </w:r>
      <w:r w:rsidRPr="00A50E4D">
        <w:rPr>
          <w:rStyle w:val="Strong"/>
          <w:b w:val="0"/>
          <w:color w:val="000000"/>
          <w:shd w:val="clear" w:color="auto" w:fill="FFFFFF"/>
          <w:lang w:val="en-US"/>
        </w:rPr>
        <w:t>,</w:t>
      </w:r>
      <w:r w:rsidRPr="00A50E4D">
        <w:rPr>
          <w:rStyle w:val="Strong"/>
          <w:color w:val="000000"/>
          <w:shd w:val="clear" w:color="auto" w:fill="FFFFFF"/>
          <w:lang w:val="en-US"/>
        </w:rPr>
        <w:t xml:space="preserve"> </w:t>
      </w:r>
      <w:r w:rsidRPr="00A50E4D">
        <w:rPr>
          <w:spacing w:val="-4"/>
          <w:lang w:val="en-US"/>
        </w:rPr>
        <w:t>para. 67.</w:t>
      </w:r>
    </w:p>
  </w:footnote>
  <w:footnote w:id="44">
    <w:p w14:paraId="1038FA5E" w14:textId="1F235332" w:rsidR="007353B6" w:rsidRPr="00914F55" w:rsidRDefault="007353B6" w:rsidP="006F7559">
      <w:pPr>
        <w:pStyle w:val="FootnoteText"/>
        <w:tabs>
          <w:tab w:val="left" w:pos="450"/>
        </w:tabs>
        <w:spacing w:before="120" w:after="120"/>
        <w:rPr>
          <w:spacing w:val="-4"/>
        </w:rPr>
      </w:pPr>
      <w:r w:rsidRPr="00A50E4D">
        <w:rPr>
          <w:spacing w:val="-4"/>
          <w:vertAlign w:val="superscript"/>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bCs/>
          <w:i/>
          <w:spacing w:val="-4"/>
          <w:lang w:val="en-US"/>
        </w:rPr>
        <w:t xml:space="preserve">Case of Goiburú et al. v. Paraguay. </w:t>
      </w:r>
      <w:r w:rsidRPr="00A50E4D">
        <w:rPr>
          <w:i/>
          <w:spacing w:val="-4"/>
          <w:lang w:val="en-US"/>
        </w:rPr>
        <w:t>Merits, reparations and costs.</w:t>
      </w:r>
      <w:r w:rsidRPr="00A50E4D">
        <w:rPr>
          <w:spacing w:val="-4"/>
          <w:lang w:val="en-US"/>
        </w:rPr>
        <w:t xml:space="preserve"> Judgment of September 22, 2006. Series C No. 153, paras. 61 and 62, and </w:t>
      </w:r>
      <w:r w:rsidRPr="00A50E4D">
        <w:rPr>
          <w:rStyle w:val="Strong"/>
          <w:b w:val="0"/>
          <w:i/>
          <w:color w:val="000000"/>
          <w:shd w:val="clear" w:color="auto" w:fill="FFFFFF"/>
          <w:lang w:val="en-US"/>
        </w:rPr>
        <w:t>Case of Espinoza Gonzáles v. Peru, supra</w:t>
      </w:r>
      <w:r w:rsidRPr="00A50E4D">
        <w:rPr>
          <w:rStyle w:val="Strong"/>
          <w:b w:val="0"/>
          <w:color w:val="000000"/>
          <w:shd w:val="clear" w:color="auto" w:fill="FFFFFF"/>
          <w:lang w:val="en-US"/>
        </w:rPr>
        <w:t>,</w:t>
      </w:r>
      <w:r w:rsidRPr="00A50E4D">
        <w:rPr>
          <w:rStyle w:val="Strong"/>
          <w:color w:val="000000"/>
          <w:shd w:val="clear" w:color="auto" w:fill="FFFFFF"/>
          <w:lang w:val="en-US"/>
        </w:rPr>
        <w:t xml:space="preserve"> </w:t>
      </w:r>
      <w:r w:rsidRPr="00A50E4D">
        <w:rPr>
          <w:spacing w:val="-4"/>
          <w:lang w:val="en-US"/>
        </w:rPr>
        <w:t xml:space="preserve">paras. </w:t>
      </w:r>
      <w:r w:rsidRPr="00914F55">
        <w:rPr>
          <w:spacing w:val="-4"/>
        </w:rPr>
        <w:t>195 and 196.</w:t>
      </w:r>
    </w:p>
  </w:footnote>
  <w:footnote w:id="45">
    <w:p w14:paraId="74E99CD2" w14:textId="11D83268"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914F55">
        <w:rPr>
          <w:spacing w:val="-4"/>
        </w:rPr>
        <w:t xml:space="preserve"> </w:t>
      </w:r>
      <w:r w:rsidRPr="00914F55">
        <w:rPr>
          <w:spacing w:val="-4"/>
        </w:rPr>
        <w:tab/>
      </w:r>
      <w:r w:rsidRPr="00914F55">
        <w:rPr>
          <w:i/>
          <w:iCs/>
          <w:spacing w:val="-4"/>
        </w:rPr>
        <w:t>Cf.</w:t>
      </w:r>
      <w:r w:rsidRPr="00914F55">
        <w:rPr>
          <w:spacing w:val="-4"/>
        </w:rPr>
        <w:t xml:space="preserve"> </w:t>
      </w:r>
      <w:r w:rsidRPr="00914F55">
        <w:rPr>
          <w:i/>
          <w:iCs/>
          <w:spacing w:val="-4"/>
        </w:rPr>
        <w:t>Case of Velásquez Rodríguez v. Honduras. Merits, supra</w:t>
      </w:r>
      <w:r w:rsidRPr="00914F55">
        <w:rPr>
          <w:spacing w:val="-4"/>
        </w:rPr>
        <w:t>,</w:t>
      </w:r>
      <w:r w:rsidRPr="00914F55">
        <w:rPr>
          <w:i/>
          <w:iCs/>
          <w:spacing w:val="-4"/>
        </w:rPr>
        <w:t xml:space="preserve"> </w:t>
      </w:r>
      <w:r w:rsidRPr="00914F55">
        <w:rPr>
          <w:spacing w:val="-4"/>
        </w:rPr>
        <w:t xml:space="preserve">paras. </w:t>
      </w:r>
      <w:r w:rsidRPr="00A50E4D">
        <w:rPr>
          <w:spacing w:val="-4"/>
          <w:lang w:val="en-US"/>
        </w:rPr>
        <w:t xml:space="preserve">129 to 146, and </w:t>
      </w:r>
      <w:r w:rsidRPr="00A50E4D">
        <w:rPr>
          <w:i/>
          <w:iCs/>
          <w:spacing w:val="-4"/>
          <w:lang w:val="en-US"/>
        </w:rPr>
        <w:t>Case of Espinoza Gonzáles v. Peru, supra</w:t>
      </w:r>
      <w:r w:rsidRPr="00A50E4D">
        <w:rPr>
          <w:spacing w:val="-4"/>
          <w:lang w:val="en-US"/>
        </w:rPr>
        <w:t>,</w:t>
      </w:r>
      <w:r w:rsidRPr="00A50E4D">
        <w:rPr>
          <w:b/>
          <w:bCs/>
          <w:spacing w:val="-4"/>
          <w:lang w:val="en-US"/>
        </w:rPr>
        <w:t xml:space="preserve"> </w:t>
      </w:r>
      <w:r w:rsidRPr="00A50E4D">
        <w:rPr>
          <w:spacing w:val="-4"/>
          <w:lang w:val="en-US"/>
        </w:rPr>
        <w:t xml:space="preserve">paras. 67 and 68. </w:t>
      </w:r>
    </w:p>
  </w:footnote>
  <w:footnote w:id="46">
    <w:p w14:paraId="413218BA" w14:textId="0FE39963"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bCs/>
          <w:i/>
          <w:color w:val="000000"/>
          <w:shd w:val="clear" w:color="auto" w:fill="FFFFFF"/>
          <w:lang w:val="en-US"/>
        </w:rPr>
        <w:t xml:space="preserve">Case of the Massacres of El Mozote and nearby places v. El Salvador. Merits, reparations and costs. </w:t>
      </w:r>
      <w:r w:rsidRPr="00A50E4D">
        <w:rPr>
          <w:bCs/>
          <w:color w:val="000000"/>
          <w:shd w:val="clear" w:color="auto" w:fill="FFFFFF"/>
          <w:lang w:val="en-US"/>
        </w:rPr>
        <w:t>Judgment of October 25, 2012. Series C No. 252,</w:t>
      </w:r>
      <w:r w:rsidRPr="00A50E4D">
        <w:rPr>
          <w:bCs/>
          <w:iCs/>
          <w:color w:val="000000"/>
          <w:shd w:val="clear" w:color="auto" w:fill="FFFFFF"/>
          <w:lang w:val="en-US"/>
        </w:rPr>
        <w:t xml:space="preserve"> </w:t>
      </w:r>
      <w:r w:rsidRPr="00A50E4D">
        <w:rPr>
          <w:bCs/>
          <w:color w:val="000000"/>
          <w:shd w:val="clear" w:color="auto" w:fill="FFFFFF"/>
          <w:lang w:val="en-US"/>
        </w:rPr>
        <w:t xml:space="preserve">paras. 244 to 249 and 319 to 321, and </w:t>
      </w:r>
      <w:r w:rsidRPr="00A50E4D">
        <w:rPr>
          <w:bCs/>
          <w:i/>
          <w:spacing w:val="-4"/>
          <w:lang w:val="en-US"/>
        </w:rPr>
        <w:t>Case of Gudiel Álvarez et al. ("Diario Militar") v. Guatemala. Merits, reparations and costs.</w:t>
      </w:r>
      <w:r w:rsidRPr="00A50E4D">
        <w:rPr>
          <w:bCs/>
          <w:spacing w:val="-4"/>
          <w:lang w:val="en-US"/>
        </w:rPr>
        <w:t xml:space="preserve"> Judgment of November 20, 2012. Series C No. 253, para. 327.</w:t>
      </w:r>
    </w:p>
  </w:footnote>
  <w:footnote w:id="47">
    <w:p w14:paraId="39EB7BE6" w14:textId="5CF82AD8" w:rsidR="007353B6" w:rsidRPr="00914F55" w:rsidRDefault="007353B6" w:rsidP="006F7559">
      <w:pPr>
        <w:pStyle w:val="FootnoteText"/>
        <w:tabs>
          <w:tab w:val="left" w:pos="450"/>
        </w:tabs>
        <w:spacing w:before="120" w:after="120"/>
        <w:rPr>
          <w:spacing w:val="-4"/>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Executive Decree PCM 05</w:t>
      </w:r>
      <w:r w:rsidRPr="00A50E4D">
        <w:rPr>
          <w:rFonts w:ascii="Cambria Math" w:hAnsi="Cambria Math" w:cs="Cambria Math"/>
          <w:spacing w:val="-4"/>
          <w:lang w:val="en-US"/>
        </w:rPr>
        <w:t>‐</w:t>
      </w:r>
      <w:r w:rsidRPr="00A50E4D">
        <w:rPr>
          <w:spacing w:val="-4"/>
          <w:lang w:val="en-US"/>
        </w:rPr>
        <w:t xml:space="preserve">2009 of March 23, 2009 (evidence file, folios 6919 and 6920), and IACHR, </w:t>
      </w:r>
      <w:r w:rsidRPr="00A50E4D">
        <w:rPr>
          <w:i/>
          <w:spacing w:val="-4"/>
          <w:lang w:val="en-US"/>
        </w:rPr>
        <w:t xml:space="preserve">Honduras: Human Rights and the coup d’état. </w:t>
      </w:r>
      <w:r w:rsidRPr="00A50E4D">
        <w:rPr>
          <w:spacing w:val="-4"/>
          <w:lang w:val="en-US"/>
        </w:rPr>
        <w:t xml:space="preserve">OEA/Ser.L/V/II. Doc 55, December 30, 2009, paras. 82 and 83. This decree was not published in the Official Gazette. </w:t>
      </w:r>
      <w:r w:rsidRPr="00914F55">
        <w:rPr>
          <w:i/>
          <w:spacing w:val="-4"/>
        </w:rPr>
        <w:t xml:space="preserve">Cf. </w:t>
      </w:r>
      <w:r w:rsidRPr="00914F55">
        <w:rPr>
          <w:spacing w:val="-4"/>
        </w:rPr>
        <w:t xml:space="preserve">Report of the Truth and Reconciliation Commission (CVR). </w:t>
      </w:r>
      <w:r w:rsidRPr="00914F55">
        <w:rPr>
          <w:i/>
          <w:iCs/>
          <w:spacing w:val="-4"/>
        </w:rPr>
        <w:t>Para que los hechos no se repitan: Informe de la Comisión de la Verdad y la Reconciliación</w:t>
      </w:r>
      <w:r w:rsidRPr="00914F55">
        <w:rPr>
          <w:spacing w:val="-4"/>
        </w:rPr>
        <w:t>, July 2011, p. 132 (evidence file, folio 7408).</w:t>
      </w:r>
    </w:p>
  </w:footnote>
  <w:footnote w:id="48">
    <w:p w14:paraId="72039738" w14:textId="68AA2484" w:rsidR="007353B6" w:rsidRPr="00914F55" w:rsidRDefault="007353B6" w:rsidP="006F7559">
      <w:pPr>
        <w:pStyle w:val="FootnoteText"/>
        <w:tabs>
          <w:tab w:val="left" w:pos="450"/>
        </w:tabs>
        <w:spacing w:before="120" w:after="120"/>
      </w:pPr>
      <w:r w:rsidRPr="00A50E4D">
        <w:rPr>
          <w:rStyle w:val="FootnoteReference"/>
          <w:lang w:val="en-US"/>
        </w:rPr>
        <w:footnoteRef/>
      </w:r>
      <w:r w:rsidRPr="00A50E4D">
        <w:rPr>
          <w:lang w:val="en-US"/>
        </w:rPr>
        <w:t xml:space="preserve"> </w:t>
      </w:r>
      <w:r w:rsidRPr="00A50E4D">
        <w:rPr>
          <w:lang w:val="en-US"/>
        </w:rPr>
        <w:tab/>
      </w:r>
      <w:r w:rsidRPr="00A50E4D">
        <w:rPr>
          <w:i/>
          <w:spacing w:val="-4"/>
          <w:lang w:val="en-US"/>
        </w:rPr>
        <w:t xml:space="preserve">Cf. </w:t>
      </w:r>
      <w:r w:rsidRPr="00A50E4D">
        <w:rPr>
          <w:color w:val="000000" w:themeColor="text1"/>
          <w:spacing w:val="-4"/>
          <w:lang w:val="en-US"/>
        </w:rPr>
        <w:t xml:space="preserve">Report of the Truth and Reconciliation Commission (CVR). </w:t>
      </w:r>
      <w:r w:rsidRPr="00914F55">
        <w:rPr>
          <w:i/>
          <w:iCs/>
          <w:color w:val="000000" w:themeColor="text1"/>
          <w:spacing w:val="-4"/>
        </w:rPr>
        <w:t>Para que los hechos no se repitan: Informe de la Comisión de la Verdad y la Reconciliación</w:t>
      </w:r>
      <w:r w:rsidRPr="00914F55">
        <w:rPr>
          <w:color w:val="000000" w:themeColor="text1"/>
          <w:spacing w:val="-4"/>
        </w:rPr>
        <w:t>, July 2011, p. 121 (evidence file, folios 7398 and 7399).</w:t>
      </w:r>
    </w:p>
  </w:footnote>
  <w:footnote w:id="49">
    <w:p w14:paraId="1B440603" w14:textId="75944D37" w:rsidR="007353B6" w:rsidRPr="00914F55" w:rsidRDefault="007353B6" w:rsidP="006F7559">
      <w:pPr>
        <w:pStyle w:val="FootnoteText"/>
        <w:tabs>
          <w:tab w:val="left" w:pos="450"/>
        </w:tabs>
        <w:spacing w:before="120" w:after="120"/>
        <w:rPr>
          <w:color w:val="000000" w:themeColor="text1"/>
          <w:spacing w:val="-4"/>
        </w:rPr>
      </w:pPr>
      <w:r w:rsidRPr="00A50E4D">
        <w:rPr>
          <w:rStyle w:val="FootnoteReference"/>
          <w:color w:val="000000" w:themeColor="text1"/>
          <w:lang w:val="en-US"/>
        </w:rPr>
        <w:footnoteRef/>
      </w:r>
      <w:r w:rsidRPr="00A50E4D">
        <w:rPr>
          <w:color w:val="000000" w:themeColor="text1"/>
          <w:lang w:val="en-US"/>
        </w:rPr>
        <w:t xml:space="preserve"> </w:t>
      </w:r>
      <w:r w:rsidRPr="00A50E4D">
        <w:rPr>
          <w:color w:val="000000" w:themeColor="text1"/>
          <w:lang w:val="en-US"/>
        </w:rPr>
        <w:tab/>
      </w:r>
      <w:r w:rsidRPr="00A50E4D">
        <w:rPr>
          <w:color w:val="000000" w:themeColor="text1"/>
          <w:spacing w:val="-4"/>
          <w:lang w:val="en-US"/>
        </w:rPr>
        <w:t xml:space="preserve">Report of the Truth and Reconciliation Commission (CVR). </w:t>
      </w:r>
      <w:r w:rsidRPr="00914F55">
        <w:rPr>
          <w:i/>
          <w:iCs/>
          <w:color w:val="000000" w:themeColor="text1"/>
          <w:spacing w:val="-4"/>
        </w:rPr>
        <w:t>Para que los hechos no se repitan: Informe de la Comisión de la Verdad y la Reconciliación</w:t>
      </w:r>
      <w:r w:rsidRPr="00914F55">
        <w:rPr>
          <w:color w:val="000000" w:themeColor="text1"/>
          <w:spacing w:val="-4"/>
        </w:rPr>
        <w:t>, July 2011, p. 121 and 122 (evidence file, folios 7399 and 7400).</w:t>
      </w:r>
    </w:p>
  </w:footnote>
  <w:footnote w:id="50">
    <w:p w14:paraId="1BA7570A" w14:textId="58910BAE" w:rsidR="007353B6" w:rsidRPr="00914F55" w:rsidRDefault="007353B6" w:rsidP="006F7559">
      <w:pPr>
        <w:pStyle w:val="FootnoteText"/>
        <w:tabs>
          <w:tab w:val="left" w:pos="450"/>
        </w:tabs>
        <w:spacing w:before="120" w:after="120"/>
        <w:rPr>
          <w:rFonts w:eastAsiaTheme="minorHAnsi" w:cs="Times New Roman"/>
        </w:rPr>
      </w:pPr>
      <w:r w:rsidRPr="00A50E4D">
        <w:rPr>
          <w:rStyle w:val="FootnoteReference"/>
          <w:lang w:val="en-US"/>
        </w:rPr>
        <w:footnoteRef/>
      </w:r>
      <w:r w:rsidRPr="00A50E4D">
        <w:rPr>
          <w:lang w:val="en-US"/>
        </w:rPr>
        <w:t xml:space="preserve"> </w:t>
      </w:r>
      <w:r w:rsidRPr="00A50E4D">
        <w:rPr>
          <w:lang w:val="en-US"/>
        </w:rPr>
        <w:tab/>
      </w:r>
      <w:r w:rsidRPr="00A50E4D">
        <w:rPr>
          <w:color w:val="000000" w:themeColor="text1"/>
          <w:spacing w:val="-4"/>
          <w:lang w:val="en-US"/>
        </w:rPr>
        <w:t xml:space="preserve">Report of the Truth and Reconciliation Commission (CVR). </w:t>
      </w:r>
      <w:r w:rsidRPr="00914F55">
        <w:rPr>
          <w:i/>
          <w:iCs/>
          <w:color w:val="000000" w:themeColor="text1"/>
          <w:spacing w:val="-4"/>
        </w:rPr>
        <w:t>Para que los hechos no se repitan: Informe de la Comisión de la Verdad y la Reconciliación</w:t>
      </w:r>
      <w:r w:rsidRPr="00914F55">
        <w:rPr>
          <w:color w:val="000000" w:themeColor="text1"/>
          <w:spacing w:val="-4"/>
        </w:rPr>
        <w:t>, July 2011, pp. 183 and 184 (evidence file, folios 7459 and 7460).</w:t>
      </w:r>
      <w:r w:rsidRPr="00914F55">
        <w:rPr>
          <w:rFonts w:eastAsiaTheme="minorHAnsi" w:cs="Times New Roman"/>
        </w:rPr>
        <w:t xml:space="preserve"> </w:t>
      </w:r>
    </w:p>
  </w:footnote>
  <w:footnote w:id="51">
    <w:p w14:paraId="7DC2EC14" w14:textId="4F5B1EA7" w:rsidR="007353B6" w:rsidRPr="00914F55" w:rsidRDefault="007353B6" w:rsidP="006F7559">
      <w:pPr>
        <w:tabs>
          <w:tab w:val="left" w:pos="450"/>
          <w:tab w:val="left" w:pos="567"/>
        </w:tabs>
        <w:spacing w:before="120" w:after="120"/>
        <w:rPr>
          <w:color w:val="000000" w:themeColor="text1"/>
          <w:spacing w:val="-4"/>
          <w:sz w:val="16"/>
          <w:szCs w:val="16"/>
        </w:rPr>
      </w:pPr>
      <w:r w:rsidRPr="00A50E4D">
        <w:rPr>
          <w:rStyle w:val="FootnoteReference"/>
          <w:color w:val="000000" w:themeColor="text1"/>
          <w:lang w:val="en-US"/>
        </w:rPr>
        <w:footnoteRef/>
      </w:r>
      <w:r w:rsidRPr="00A50E4D">
        <w:rPr>
          <w:color w:val="000000" w:themeColor="text1"/>
          <w:sz w:val="16"/>
          <w:szCs w:val="16"/>
          <w:lang w:val="en-US"/>
        </w:rPr>
        <w:t xml:space="preserve"> </w:t>
      </w:r>
      <w:r w:rsidRPr="00A50E4D">
        <w:rPr>
          <w:color w:val="000000" w:themeColor="text1"/>
          <w:sz w:val="16"/>
          <w:szCs w:val="16"/>
          <w:lang w:val="en-US"/>
        </w:rPr>
        <w:tab/>
      </w:r>
      <w:r w:rsidRPr="00A50E4D">
        <w:rPr>
          <w:i/>
          <w:color w:val="000000" w:themeColor="text1"/>
          <w:sz w:val="16"/>
          <w:szCs w:val="16"/>
          <w:lang w:val="en-US"/>
        </w:rPr>
        <w:t>Cf.</w:t>
      </w:r>
      <w:r w:rsidRPr="00A50E4D">
        <w:rPr>
          <w:color w:val="000000" w:themeColor="text1"/>
          <w:sz w:val="16"/>
          <w:szCs w:val="16"/>
          <w:lang w:val="en-US"/>
        </w:rPr>
        <w:t xml:space="preserve"> 1982 </w:t>
      </w:r>
      <w:r w:rsidRPr="00A50E4D">
        <w:rPr>
          <w:color w:val="000000" w:themeColor="text1"/>
          <w:spacing w:val="-4"/>
          <w:sz w:val="16"/>
          <w:szCs w:val="16"/>
          <w:lang w:val="en-US"/>
        </w:rPr>
        <w:t>Constitution of the Republic of Honduras (as amended up until January 20, 2006), article 374, which establishes the following: “</w:t>
      </w:r>
      <w:r w:rsidRPr="00914F55">
        <w:rPr>
          <w:color w:val="000000" w:themeColor="text1"/>
          <w:spacing w:val="-4"/>
          <w:sz w:val="16"/>
          <w:szCs w:val="16"/>
          <w:lang w:val="en-US"/>
        </w:rPr>
        <w:t>Under no circumstances shall amendments be introduced to the preceding article, the present article, the articles of the Constitution that concern the form of government, the national territory, the presidential term, the article prohibiting re-election of the person who served as President of the Republic regardless of the title of that office, and the article referring to those persons who are disqualified from running for the office of President in the following term</w:t>
      </w:r>
      <w:r w:rsidRPr="00A50E4D">
        <w:rPr>
          <w:color w:val="000000" w:themeColor="text1"/>
          <w:spacing w:val="-4"/>
          <w:sz w:val="16"/>
          <w:szCs w:val="16"/>
          <w:lang w:val="en-US"/>
        </w:rPr>
        <w:t xml:space="preserve">.” Available at: </w:t>
      </w:r>
      <w:hyperlink r:id="rId4" w:history="1">
        <w:r w:rsidRPr="00A50E4D">
          <w:rPr>
            <w:rStyle w:val="Hyperlink"/>
            <w:color w:val="000000" w:themeColor="text1"/>
            <w:spacing w:val="-4"/>
            <w:sz w:val="16"/>
            <w:szCs w:val="16"/>
            <w:lang w:val="en-US"/>
          </w:rPr>
          <w:t>http://www.poderjudicial.gob.hn/CEDIJ/Leyes/Documents/CONSTITUCI%C3%93N%20DE%20LA%20REP%C3%9ABLICA%20%2809%29.pdf</w:t>
        </w:r>
      </w:hyperlink>
      <w:r w:rsidRPr="00A50E4D">
        <w:rPr>
          <w:color w:val="000000" w:themeColor="text1"/>
          <w:spacing w:val="-4"/>
          <w:sz w:val="16"/>
          <w:szCs w:val="16"/>
          <w:lang w:val="en-US"/>
        </w:rPr>
        <w:t>. Despite this, this Court has noted that, on April 22, 2015, the Constitutional Chamber of the Supreme Court of Justice declared “the inapplicability of articles 42(5) and 239 of the Constitution of the Republic,” as well as “the partial inapplicability of articles [4] last paragraph and 374, the latter only as regards the paragraph reading: “</w:t>
      </w:r>
      <w:r w:rsidRPr="00914F55">
        <w:rPr>
          <w:color w:val="000000" w:themeColor="text1"/>
          <w:spacing w:val="-4"/>
          <w:sz w:val="16"/>
          <w:szCs w:val="16"/>
          <w:lang w:val="en-US"/>
        </w:rPr>
        <w:t>the article prohibiting re-election of the person who served as President of the Republic regardless of the title of that office, and the article referring to those persons who are disqualified from running for the office of President in the following term</w:t>
      </w:r>
      <w:r w:rsidRPr="00A50E4D">
        <w:rPr>
          <w:color w:val="000000" w:themeColor="text1"/>
          <w:spacing w:val="-4"/>
          <w:sz w:val="16"/>
          <w:szCs w:val="16"/>
          <w:lang w:val="en-US"/>
        </w:rPr>
        <w:t xml:space="preserve">.” Judgment of the Constitutional Chamber of the Supreme Court of Justice of April 22, 2015. Available at: </w:t>
      </w:r>
      <w:hyperlink r:id="rId5" w:history="1">
        <w:r w:rsidRPr="00A50E4D">
          <w:rPr>
            <w:rStyle w:val="Hyperlink"/>
            <w:spacing w:val="-4"/>
            <w:sz w:val="16"/>
            <w:szCs w:val="16"/>
            <w:lang w:val="en-US"/>
          </w:rPr>
          <w:t>http://www.poderjudicial.gob.hn/Documents/FalloSCONS23042015.pdf</w:t>
        </w:r>
      </w:hyperlink>
      <w:r w:rsidRPr="00A50E4D">
        <w:rPr>
          <w:color w:val="000000" w:themeColor="text1"/>
          <w:spacing w:val="-4"/>
          <w:sz w:val="16"/>
          <w:szCs w:val="16"/>
          <w:lang w:val="en-US"/>
        </w:rPr>
        <w:t xml:space="preserve">. The said articles of the Constitution establish the following: “Article 4. The form of government is republican, democratic and representative. It is exercised by three branches: the Legislature, the Executive, and the Judiciary, which are complementary, independent and not subordinated one to the others. Alternation in the exercise of the office of President of the Republic is mandatory. The infringement of this norm constitutes a treasonable offense.” “Article 42. Citizenship is lost: […] 5. By inciting, promoting or supporting the continuity or re-election of the President of the Republic.” “Article 239. The citizen who has acted as head of the Executive may not be elected President or Vice President of the Republic. Anyone who violates this provision or proposes that it be amended, as well as those who support him directly or indirectly, shall immediately be removed from their respective functions, and shall be disqualified from exercising any public office for ten (10) years.” </w:t>
      </w:r>
      <w:r w:rsidRPr="00914F55">
        <w:rPr>
          <w:color w:val="000000" w:themeColor="text1"/>
          <w:spacing w:val="-4"/>
          <w:sz w:val="16"/>
          <w:szCs w:val="16"/>
        </w:rPr>
        <w:t xml:space="preserve">Available at: </w:t>
      </w:r>
      <w:hyperlink r:id="rId6" w:history="1">
        <w:r w:rsidRPr="00914F55">
          <w:rPr>
            <w:rStyle w:val="Hyperlink"/>
            <w:spacing w:val="-4"/>
            <w:sz w:val="16"/>
            <w:szCs w:val="16"/>
          </w:rPr>
          <w:t>http://www.poderjudicial.gob.hn/CEDIJ/Leyes/Documents/ Constituci%C3%B3n%20de%20la%20Rep%C3%BAblica%20de%20Honduras%20%28Actualizada%202014%29.pdf</w:t>
        </w:r>
      </w:hyperlink>
    </w:p>
  </w:footnote>
  <w:footnote w:id="52">
    <w:p w14:paraId="39E7A61D" w14:textId="17E7EC47" w:rsidR="007353B6" w:rsidRPr="00914F55" w:rsidRDefault="007353B6" w:rsidP="006F7559">
      <w:pPr>
        <w:pStyle w:val="FootnoteText"/>
        <w:tabs>
          <w:tab w:val="left" w:pos="450"/>
        </w:tabs>
        <w:spacing w:before="120" w:after="120"/>
      </w:pPr>
      <w:r w:rsidRPr="00A50E4D">
        <w:rPr>
          <w:rStyle w:val="FootnoteReference"/>
          <w:lang w:val="en-US"/>
        </w:rPr>
        <w:footnoteRef/>
      </w:r>
      <w:r w:rsidRPr="00A50E4D">
        <w:rPr>
          <w:lang w:val="en-US"/>
        </w:rPr>
        <w:t xml:space="preserve"> </w:t>
      </w:r>
      <w:r w:rsidRPr="00A50E4D">
        <w:rPr>
          <w:lang w:val="en-US"/>
        </w:rPr>
        <w:tab/>
      </w:r>
      <w:r w:rsidRPr="00A50E4D">
        <w:rPr>
          <w:i/>
          <w:color w:val="000000" w:themeColor="text1"/>
          <w:lang w:val="en-US"/>
        </w:rPr>
        <w:t xml:space="preserve">Cf. </w:t>
      </w:r>
      <w:r w:rsidRPr="00A50E4D">
        <w:rPr>
          <w:color w:val="000000" w:themeColor="text1"/>
          <w:spacing w:val="-4"/>
          <w:lang w:val="en-US"/>
        </w:rPr>
        <w:t xml:space="preserve">Report of the Truth and Reconciliation Commission (CVR). </w:t>
      </w:r>
      <w:r w:rsidRPr="00914F55">
        <w:rPr>
          <w:i/>
          <w:iCs/>
          <w:color w:val="000000" w:themeColor="text1"/>
          <w:spacing w:val="-4"/>
        </w:rPr>
        <w:t>Para que los hechos no se repitan: Informe de la Comisión de la Verdad y la Reconciliación</w:t>
      </w:r>
      <w:r w:rsidRPr="00914F55">
        <w:rPr>
          <w:color w:val="000000" w:themeColor="text1"/>
          <w:spacing w:val="-4"/>
        </w:rPr>
        <w:t>, July 2011, p. 132 (evidence file, folio 7408).</w:t>
      </w:r>
    </w:p>
  </w:footnote>
  <w:footnote w:id="53">
    <w:p w14:paraId="06DC8147" w14:textId="7FD24191" w:rsidR="007353B6" w:rsidRPr="00A50E4D" w:rsidRDefault="007353B6" w:rsidP="006F7559">
      <w:pPr>
        <w:pStyle w:val="FootnoteText"/>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t xml:space="preserve">These decrees were adopted </w:t>
      </w:r>
      <w:r w:rsidRPr="00A50E4D">
        <w:rPr>
          <w:color w:val="000000" w:themeColor="text1"/>
          <w:spacing w:val="-4"/>
          <w:lang w:val="en-US"/>
        </w:rPr>
        <w:t xml:space="preserve">on May 26, but published on June 25, 2009. </w:t>
      </w:r>
      <w:r w:rsidRPr="00A50E4D">
        <w:rPr>
          <w:i/>
          <w:color w:val="000000" w:themeColor="text1"/>
          <w:lang w:val="en-US"/>
        </w:rPr>
        <w:t xml:space="preserve">Cf. </w:t>
      </w:r>
      <w:r w:rsidRPr="00A50E4D">
        <w:rPr>
          <w:color w:val="000000" w:themeColor="text1"/>
          <w:spacing w:val="-4"/>
          <w:lang w:val="en-US"/>
        </w:rPr>
        <w:t xml:space="preserve">Report of the Truth and Reconciliation Commission (CVR). </w:t>
      </w:r>
      <w:r w:rsidRPr="00A50E4D">
        <w:rPr>
          <w:i/>
          <w:iCs/>
          <w:color w:val="000000" w:themeColor="text1"/>
          <w:spacing w:val="-4"/>
          <w:lang w:val="en-US"/>
        </w:rPr>
        <w:t>Para que los hechos no se repitan: Informe de la Comisión de la Verdad y la Reconciliación</w:t>
      </w:r>
      <w:r w:rsidRPr="00A50E4D">
        <w:rPr>
          <w:color w:val="000000" w:themeColor="text1"/>
          <w:spacing w:val="-4"/>
          <w:lang w:val="en-US"/>
        </w:rPr>
        <w:t>, July 2011, p. 134 (evidence file, folios 7410 and 7457), and Executive Decree PCM-020-2009 (evidence file, folios 6922 and 6923)</w:t>
      </w:r>
    </w:p>
  </w:footnote>
  <w:footnote w:id="54">
    <w:p w14:paraId="545832FE" w14:textId="000EF190"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IACHR, </w:t>
      </w:r>
      <w:r w:rsidRPr="00A50E4D">
        <w:rPr>
          <w:i/>
          <w:spacing w:val="-4"/>
          <w:sz w:val="16"/>
          <w:szCs w:val="16"/>
          <w:lang w:val="en-US"/>
        </w:rPr>
        <w:t xml:space="preserve">Honduras: Human rights and the coup d’état. </w:t>
      </w:r>
      <w:r w:rsidRPr="00914F55">
        <w:rPr>
          <w:spacing w:val="-4"/>
          <w:sz w:val="16"/>
          <w:szCs w:val="16"/>
        </w:rPr>
        <w:t xml:space="preserve">OEA/Ser.L/V/II. </w:t>
      </w:r>
      <w:r w:rsidRPr="00A50E4D">
        <w:rPr>
          <w:spacing w:val="-4"/>
          <w:sz w:val="16"/>
          <w:szCs w:val="16"/>
          <w:lang w:val="en-US"/>
        </w:rPr>
        <w:t>Doc 55, December 30, 2009, para. 83, and Communiqué of the Supreme Court of Justice of June 30, 2009 (evidence file, folio 14).</w:t>
      </w:r>
    </w:p>
  </w:footnote>
  <w:footnote w:id="55">
    <w:p w14:paraId="56A92EF0" w14:textId="4D3FEFCD"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IACHR, </w:t>
      </w:r>
      <w:r w:rsidRPr="00A50E4D">
        <w:rPr>
          <w:i/>
          <w:spacing w:val="-4"/>
          <w:sz w:val="16"/>
          <w:szCs w:val="16"/>
          <w:lang w:val="en-US"/>
        </w:rPr>
        <w:t xml:space="preserve">Honduras: Human rights and the coup d’état. </w:t>
      </w:r>
      <w:r w:rsidRPr="00914F55">
        <w:rPr>
          <w:spacing w:val="-4"/>
          <w:sz w:val="16"/>
          <w:szCs w:val="16"/>
        </w:rPr>
        <w:t xml:space="preserve">OEA/Ser.L/V/II. </w:t>
      </w:r>
      <w:r w:rsidRPr="00A50E4D">
        <w:rPr>
          <w:spacing w:val="-4"/>
          <w:sz w:val="16"/>
          <w:szCs w:val="16"/>
          <w:lang w:val="en-US"/>
        </w:rPr>
        <w:t>Doc 55, December 30, 2009, para. 83.</w:t>
      </w:r>
    </w:p>
  </w:footnote>
  <w:footnote w:id="56">
    <w:p w14:paraId="337A7FE9" w14:textId="716F086E"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IACHR, </w:t>
      </w:r>
      <w:r w:rsidRPr="00A50E4D">
        <w:rPr>
          <w:i/>
          <w:spacing w:val="-4"/>
          <w:sz w:val="16"/>
          <w:szCs w:val="16"/>
          <w:lang w:val="en-US"/>
        </w:rPr>
        <w:t xml:space="preserve">Honduras: Human rights and the coup d’état. </w:t>
      </w:r>
      <w:r w:rsidRPr="00914F55">
        <w:rPr>
          <w:spacing w:val="-4"/>
          <w:sz w:val="16"/>
          <w:szCs w:val="16"/>
        </w:rPr>
        <w:t xml:space="preserve">OEA/Ser.L/V/II. </w:t>
      </w:r>
      <w:r w:rsidRPr="00A50E4D">
        <w:rPr>
          <w:spacing w:val="-4"/>
          <w:sz w:val="16"/>
          <w:szCs w:val="16"/>
          <w:lang w:val="en-US"/>
        </w:rPr>
        <w:t>Doc 55, December 30, 2009, para. 84, and Communiqué of the Supreme Court of Justice of June 30, 2009 (evidence file, folio 15).</w:t>
      </w:r>
    </w:p>
  </w:footnote>
  <w:footnote w:id="57">
    <w:p w14:paraId="7D89D57F" w14:textId="6BE125FA"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IACHR, </w:t>
      </w:r>
      <w:r w:rsidRPr="00A50E4D">
        <w:rPr>
          <w:i/>
          <w:spacing w:val="-4"/>
          <w:sz w:val="16"/>
          <w:szCs w:val="16"/>
          <w:lang w:val="en-US"/>
        </w:rPr>
        <w:t xml:space="preserve">Honduras: Human rights and the coup d’état. </w:t>
      </w:r>
      <w:r w:rsidRPr="00914F55">
        <w:rPr>
          <w:spacing w:val="-4"/>
          <w:sz w:val="16"/>
          <w:szCs w:val="16"/>
        </w:rPr>
        <w:t xml:space="preserve">OEA/Ser.L/V/II. </w:t>
      </w:r>
      <w:r w:rsidRPr="00A50E4D">
        <w:rPr>
          <w:spacing w:val="-4"/>
          <w:sz w:val="16"/>
          <w:szCs w:val="16"/>
          <w:lang w:val="en-US"/>
        </w:rPr>
        <w:t xml:space="preserve">Doc 55, December 30, 2009, paras. 85 and 84. </w:t>
      </w:r>
    </w:p>
  </w:footnote>
  <w:footnote w:id="58">
    <w:p w14:paraId="2BD070C2" w14:textId="31665C7D" w:rsidR="007353B6" w:rsidRPr="00914F55" w:rsidRDefault="007353B6" w:rsidP="006F7559">
      <w:pPr>
        <w:pStyle w:val="NoSpacing"/>
        <w:tabs>
          <w:tab w:val="left" w:pos="450"/>
          <w:tab w:val="left" w:pos="567"/>
        </w:tabs>
        <w:spacing w:before="120" w:after="120"/>
        <w:rPr>
          <w:spacing w:val="-4"/>
          <w:sz w:val="16"/>
          <w:szCs w:val="16"/>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IACHR, </w:t>
      </w:r>
      <w:r w:rsidRPr="00A50E4D">
        <w:rPr>
          <w:i/>
          <w:spacing w:val="-4"/>
          <w:sz w:val="16"/>
          <w:szCs w:val="16"/>
          <w:lang w:val="en-US"/>
        </w:rPr>
        <w:t xml:space="preserve">Honduras: Human rights and the coup d’état. </w:t>
      </w:r>
      <w:r w:rsidRPr="00914F55">
        <w:rPr>
          <w:spacing w:val="-4"/>
          <w:sz w:val="16"/>
          <w:szCs w:val="16"/>
        </w:rPr>
        <w:t xml:space="preserve">OEA/Ser.L/V/II. </w:t>
      </w:r>
      <w:r w:rsidRPr="00A50E4D">
        <w:rPr>
          <w:spacing w:val="-4"/>
          <w:sz w:val="16"/>
          <w:szCs w:val="16"/>
          <w:lang w:val="en-US"/>
        </w:rPr>
        <w:t xml:space="preserve">Doc 55, December 30, 2009, para. 86, and </w:t>
      </w:r>
      <w:r w:rsidRPr="00A50E4D">
        <w:rPr>
          <w:color w:val="000000" w:themeColor="text1"/>
          <w:spacing w:val="-4"/>
          <w:sz w:val="16"/>
          <w:szCs w:val="16"/>
          <w:lang w:val="en-US"/>
        </w:rPr>
        <w:t xml:space="preserve">Report of the Truth and Reconciliation Commission (CVR). </w:t>
      </w:r>
      <w:r w:rsidRPr="00914F55">
        <w:rPr>
          <w:i/>
          <w:iCs/>
          <w:color w:val="000000" w:themeColor="text1"/>
          <w:spacing w:val="-4"/>
          <w:sz w:val="16"/>
          <w:szCs w:val="16"/>
        </w:rPr>
        <w:t>Para que los hechos no se repitan: Informe de la Comisión de la Verdad y la Reconciliación</w:t>
      </w:r>
      <w:r w:rsidRPr="00914F55">
        <w:rPr>
          <w:color w:val="000000" w:themeColor="text1"/>
          <w:spacing w:val="-4"/>
          <w:sz w:val="16"/>
          <w:szCs w:val="16"/>
        </w:rPr>
        <w:t>, July 2011, p. 132 (evidence file, folio 7413).</w:t>
      </w:r>
    </w:p>
  </w:footnote>
  <w:footnote w:id="59">
    <w:p w14:paraId="7682939F" w14:textId="20829944" w:rsidR="007353B6" w:rsidRPr="00914F55" w:rsidRDefault="007353B6" w:rsidP="006F7559">
      <w:pPr>
        <w:pStyle w:val="NoSpacing"/>
        <w:tabs>
          <w:tab w:val="left" w:pos="450"/>
          <w:tab w:val="left" w:pos="567"/>
        </w:tabs>
        <w:spacing w:before="120" w:after="120"/>
        <w:rPr>
          <w:spacing w:val="-4"/>
          <w:sz w:val="16"/>
          <w:szCs w:val="16"/>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IACHR, </w:t>
      </w:r>
      <w:r w:rsidRPr="00A50E4D">
        <w:rPr>
          <w:i/>
          <w:spacing w:val="-4"/>
          <w:sz w:val="16"/>
          <w:szCs w:val="16"/>
          <w:lang w:val="en-US"/>
        </w:rPr>
        <w:t xml:space="preserve">Honduras: Human rights and the coup d’état. </w:t>
      </w:r>
      <w:r w:rsidRPr="00914F55">
        <w:rPr>
          <w:spacing w:val="-4"/>
          <w:sz w:val="16"/>
          <w:szCs w:val="16"/>
        </w:rPr>
        <w:t xml:space="preserve">OEA/Ser.L/V/II. </w:t>
      </w:r>
      <w:r w:rsidRPr="00A50E4D">
        <w:rPr>
          <w:spacing w:val="-4"/>
          <w:sz w:val="16"/>
          <w:szCs w:val="16"/>
          <w:lang w:val="en-US"/>
        </w:rPr>
        <w:t xml:space="preserve">Doc 55, December 30, 2009, para. 87; Communiqué of the Supreme Court of Justice of June 28, 2009 (evidence file, folio 11), and Report of the Truth and Reconciliation Commission (CVR). </w:t>
      </w:r>
      <w:r w:rsidRPr="00914F55">
        <w:rPr>
          <w:i/>
          <w:iCs/>
          <w:spacing w:val="-4"/>
          <w:sz w:val="16"/>
          <w:szCs w:val="16"/>
        </w:rPr>
        <w:t>Para que los hechos no se repitan: Informe de la Comisión de la Verdad y la Reconciliación</w:t>
      </w:r>
      <w:r w:rsidRPr="00914F55">
        <w:rPr>
          <w:spacing w:val="-4"/>
          <w:sz w:val="16"/>
          <w:szCs w:val="16"/>
        </w:rPr>
        <w:t>, July 2011, p. 138 (evidence file, folio 7414).</w:t>
      </w:r>
    </w:p>
  </w:footnote>
  <w:footnote w:id="60">
    <w:p w14:paraId="0A66301A" w14:textId="61637130"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IACHR, </w:t>
      </w:r>
      <w:r w:rsidRPr="00A50E4D">
        <w:rPr>
          <w:i/>
          <w:spacing w:val="-4"/>
          <w:lang w:val="en-US"/>
        </w:rPr>
        <w:t xml:space="preserve">Honduras: Human rights and the coup d’état. </w:t>
      </w:r>
      <w:r w:rsidRPr="00914F55">
        <w:rPr>
          <w:spacing w:val="-4"/>
        </w:rPr>
        <w:t xml:space="preserve">OEA/Ser.L/V/II. </w:t>
      </w:r>
      <w:r w:rsidRPr="00A50E4D">
        <w:rPr>
          <w:spacing w:val="-4"/>
          <w:lang w:val="en-US"/>
        </w:rPr>
        <w:t>Doc 55, December 30, 2009, para. 73.</w:t>
      </w:r>
    </w:p>
  </w:footnote>
  <w:footnote w:id="61">
    <w:p w14:paraId="0D501A4F" w14:textId="5631D0AA" w:rsidR="007353B6" w:rsidRPr="00A50E4D" w:rsidRDefault="007353B6" w:rsidP="006F7559">
      <w:pPr>
        <w:pStyle w:val="NoSpacing"/>
        <w:tabs>
          <w:tab w:val="left" w:pos="450"/>
          <w:tab w:val="left" w:pos="567"/>
        </w:tabs>
        <w:spacing w:before="120" w:after="120"/>
        <w:rPr>
          <w:rFonts w:cs="Times New Roman"/>
          <w:i/>
          <w:iCs/>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IACHR, </w:t>
      </w:r>
      <w:r w:rsidRPr="00A50E4D">
        <w:rPr>
          <w:i/>
          <w:spacing w:val="-4"/>
          <w:sz w:val="16"/>
          <w:szCs w:val="16"/>
          <w:lang w:val="en-US"/>
        </w:rPr>
        <w:t xml:space="preserve">Honduras: Human rights and the coup d’état. </w:t>
      </w:r>
      <w:r w:rsidRPr="00914F55">
        <w:rPr>
          <w:spacing w:val="-4"/>
          <w:sz w:val="16"/>
          <w:szCs w:val="16"/>
        </w:rPr>
        <w:t xml:space="preserve">OEA/Ser.L/V/II. </w:t>
      </w:r>
      <w:r w:rsidRPr="00A50E4D">
        <w:rPr>
          <w:spacing w:val="-4"/>
          <w:sz w:val="16"/>
          <w:szCs w:val="16"/>
          <w:lang w:val="en-US"/>
        </w:rPr>
        <w:t xml:space="preserve">Doc 55, December 30, 2009, para. 73, and United Nations, </w:t>
      </w:r>
      <w:r w:rsidRPr="00A50E4D">
        <w:rPr>
          <w:i/>
          <w:iCs/>
          <w:spacing w:val="-4"/>
          <w:sz w:val="16"/>
          <w:szCs w:val="16"/>
          <w:lang w:val="en-US"/>
        </w:rPr>
        <w:t>Report of the United Nations High Commissioner for Human Rights on the violations of human rights in Honduras since the coup d’état on 28 June 2009</w:t>
      </w:r>
      <w:r w:rsidRPr="00A50E4D">
        <w:rPr>
          <w:spacing w:val="-4"/>
          <w:sz w:val="16"/>
          <w:szCs w:val="16"/>
          <w:lang w:val="en-US"/>
        </w:rPr>
        <w:t>. Doc. UN A/HRC/13/66, March 3, 2010, para. 73 (merits file, folio 1281).</w:t>
      </w:r>
    </w:p>
  </w:footnote>
  <w:footnote w:id="62">
    <w:p w14:paraId="550DF967" w14:textId="7461E159" w:rsidR="007353B6" w:rsidRPr="00914F55" w:rsidRDefault="007353B6" w:rsidP="006F7559">
      <w:pPr>
        <w:pStyle w:val="NoSpacing"/>
        <w:tabs>
          <w:tab w:val="left" w:pos="450"/>
          <w:tab w:val="left" w:pos="567"/>
        </w:tabs>
        <w:spacing w:before="120" w:after="120"/>
        <w:rPr>
          <w:spacing w:val="-4"/>
          <w:sz w:val="16"/>
          <w:szCs w:val="16"/>
        </w:rPr>
      </w:pPr>
      <w:r w:rsidRPr="00A50E4D">
        <w:rPr>
          <w:rStyle w:val="FootnoteReference"/>
          <w:rFonts w:cs="Times New Roman"/>
          <w:spacing w:val="-4"/>
          <w:lang w:val="en-US"/>
        </w:rPr>
        <w:footnoteRef/>
      </w:r>
      <w:r w:rsidRPr="00A50E4D">
        <w:rPr>
          <w:rFonts w:cs="Times New Roman"/>
          <w:spacing w:val="-4"/>
          <w:sz w:val="16"/>
          <w:szCs w:val="16"/>
          <w:lang w:val="en-US"/>
        </w:rPr>
        <w:t xml:space="preserve"> </w:t>
      </w:r>
      <w:r w:rsidRPr="00A50E4D">
        <w:rPr>
          <w:rFonts w:cs="Times New Roman"/>
          <w:spacing w:val="-4"/>
          <w:sz w:val="16"/>
          <w:szCs w:val="16"/>
          <w:lang w:val="en-US"/>
        </w:rPr>
        <w:tab/>
      </w:r>
      <w:r w:rsidRPr="00A50E4D">
        <w:rPr>
          <w:rFonts w:cs="Times New Roman"/>
          <w:i/>
          <w:spacing w:val="-4"/>
          <w:sz w:val="16"/>
          <w:szCs w:val="16"/>
          <w:lang w:val="en-US"/>
        </w:rPr>
        <w:t xml:space="preserve">Cf. </w:t>
      </w:r>
      <w:r w:rsidRPr="00A50E4D">
        <w:rPr>
          <w:rFonts w:cs="Times New Roman"/>
          <w:spacing w:val="-4"/>
          <w:sz w:val="16"/>
          <w:szCs w:val="16"/>
          <w:lang w:val="en-US"/>
        </w:rPr>
        <w:t xml:space="preserve">IACHR, </w:t>
      </w:r>
      <w:r w:rsidRPr="00A50E4D">
        <w:rPr>
          <w:rFonts w:cs="Times New Roman"/>
          <w:i/>
          <w:spacing w:val="-4"/>
          <w:sz w:val="16"/>
          <w:szCs w:val="16"/>
          <w:lang w:val="en-US"/>
        </w:rPr>
        <w:t xml:space="preserve">Honduras: Human rights and the coup d’état. </w:t>
      </w:r>
      <w:r w:rsidRPr="00914F55">
        <w:rPr>
          <w:rFonts w:cs="Times New Roman"/>
          <w:spacing w:val="-4"/>
          <w:sz w:val="16"/>
          <w:szCs w:val="16"/>
        </w:rPr>
        <w:t xml:space="preserve">OEA/Ser.L/V/II. </w:t>
      </w:r>
      <w:r w:rsidRPr="00A50E4D">
        <w:rPr>
          <w:rFonts w:cs="Times New Roman"/>
          <w:spacing w:val="-4"/>
          <w:sz w:val="16"/>
          <w:szCs w:val="16"/>
          <w:lang w:val="en-US"/>
        </w:rPr>
        <w:t>Doc 55. December 30, 2009, para. 78, and Report</w:t>
      </w:r>
      <w:r w:rsidRPr="00A50E4D">
        <w:rPr>
          <w:spacing w:val="-4"/>
          <w:sz w:val="16"/>
          <w:szCs w:val="16"/>
          <w:lang w:val="en-US"/>
        </w:rPr>
        <w:t xml:space="preserve"> of the Truth and Reconciliation Commission (CVR). </w:t>
      </w:r>
      <w:r w:rsidRPr="00914F55">
        <w:rPr>
          <w:i/>
          <w:iCs/>
          <w:spacing w:val="-4"/>
          <w:sz w:val="16"/>
          <w:szCs w:val="16"/>
        </w:rPr>
        <w:t>Para que los hechos no se repitan: Informe de la Comisión de la Verdad y la Reconciliación</w:t>
      </w:r>
      <w:r w:rsidRPr="00914F55">
        <w:rPr>
          <w:spacing w:val="-4"/>
          <w:sz w:val="16"/>
          <w:szCs w:val="16"/>
        </w:rPr>
        <w:t xml:space="preserve">, July 2011, pp. 141 (merits file, folios 7416 and 7417). </w:t>
      </w:r>
    </w:p>
  </w:footnote>
  <w:footnote w:id="63">
    <w:p w14:paraId="1425C0CF" w14:textId="5FDD5B8C" w:rsidR="007353B6" w:rsidRPr="00914F55" w:rsidRDefault="007353B6" w:rsidP="006F7559">
      <w:pPr>
        <w:pStyle w:val="FootnoteText"/>
        <w:tabs>
          <w:tab w:val="left" w:pos="450"/>
        </w:tabs>
        <w:spacing w:before="120" w:after="120"/>
      </w:pPr>
      <w:r w:rsidRPr="00A50E4D">
        <w:rPr>
          <w:rStyle w:val="FootnoteReference"/>
          <w:lang w:val="en-US"/>
        </w:rPr>
        <w:footnoteRef/>
      </w:r>
      <w:r w:rsidRPr="00A50E4D">
        <w:rPr>
          <w:lang w:val="en-US"/>
        </w:rPr>
        <w:t xml:space="preserve"> </w:t>
      </w:r>
      <w:r w:rsidRPr="00A50E4D">
        <w:rPr>
          <w:lang w:val="en-US"/>
        </w:rPr>
        <w:tab/>
      </w:r>
      <w:r w:rsidRPr="00A50E4D">
        <w:rPr>
          <w:spacing w:val="-4"/>
          <w:lang w:val="en-US"/>
        </w:rPr>
        <w:t xml:space="preserve">Report of the Truth and Reconciliation Commission (CVR). </w:t>
      </w:r>
      <w:r w:rsidRPr="00914F55">
        <w:rPr>
          <w:i/>
          <w:iCs/>
          <w:spacing w:val="-4"/>
        </w:rPr>
        <w:t>Para que los hechos no se repitan: Informe de la Comisión de la Verdad y la Reconciliación</w:t>
      </w:r>
      <w:r w:rsidRPr="00914F55">
        <w:rPr>
          <w:spacing w:val="-4"/>
        </w:rPr>
        <w:t>, July 2011, pp. 145 and 146 (evidence file, folios 7421 and 7422).</w:t>
      </w:r>
    </w:p>
  </w:footnote>
  <w:footnote w:id="64">
    <w:p w14:paraId="07627741" w14:textId="2DC29A76" w:rsidR="007353B6" w:rsidRPr="00A50E4D" w:rsidRDefault="007353B6" w:rsidP="006F7559">
      <w:pPr>
        <w:pStyle w:val="NoSpacing"/>
        <w:tabs>
          <w:tab w:val="left" w:pos="450"/>
          <w:tab w:val="left" w:pos="567"/>
        </w:tabs>
        <w:spacing w:before="120" w:after="120"/>
        <w:rPr>
          <w:rFonts w:cs="Times New Roman"/>
          <w:b/>
          <w:spacing w:val="-4"/>
          <w:sz w:val="16"/>
          <w:szCs w:val="16"/>
          <w:lang w:val="en-US"/>
        </w:rPr>
      </w:pPr>
      <w:r w:rsidRPr="00A50E4D">
        <w:rPr>
          <w:rStyle w:val="FootnoteReference"/>
          <w:rFonts w:cs="Times New Roman"/>
          <w:spacing w:val="-4"/>
          <w:lang w:val="en-US"/>
        </w:rPr>
        <w:footnoteRef/>
      </w:r>
      <w:r w:rsidRPr="00A50E4D">
        <w:rPr>
          <w:rFonts w:cs="Times New Roman"/>
          <w:spacing w:val="-4"/>
          <w:sz w:val="16"/>
          <w:szCs w:val="16"/>
          <w:lang w:val="en-US"/>
        </w:rPr>
        <w:t xml:space="preserve"> </w:t>
      </w:r>
      <w:r w:rsidRPr="00A50E4D">
        <w:rPr>
          <w:rFonts w:cs="Times New Roman"/>
          <w:spacing w:val="-4"/>
          <w:sz w:val="16"/>
          <w:szCs w:val="16"/>
          <w:lang w:val="en-US"/>
        </w:rPr>
        <w:tab/>
        <w:t>Legislative Decree No. 141</w:t>
      </w:r>
      <w:r w:rsidRPr="00A50E4D">
        <w:rPr>
          <w:rFonts w:ascii="Cambria Math" w:hAnsi="Cambria Math" w:cs="Cambria Math"/>
          <w:spacing w:val="-4"/>
          <w:sz w:val="16"/>
          <w:szCs w:val="16"/>
          <w:lang w:val="en-US"/>
        </w:rPr>
        <w:t>‐</w:t>
      </w:r>
      <w:r w:rsidRPr="00A50E4D">
        <w:rPr>
          <w:rFonts w:cs="Times New Roman"/>
          <w:spacing w:val="-4"/>
          <w:sz w:val="16"/>
          <w:szCs w:val="16"/>
          <w:lang w:val="en-US"/>
        </w:rPr>
        <w:t xml:space="preserve">09 cited in IACHR, </w:t>
      </w:r>
      <w:r w:rsidRPr="00A50E4D">
        <w:rPr>
          <w:rFonts w:cs="Times New Roman"/>
          <w:i/>
          <w:spacing w:val="-4"/>
          <w:sz w:val="16"/>
          <w:szCs w:val="16"/>
          <w:lang w:val="en-US"/>
        </w:rPr>
        <w:t xml:space="preserve">Honduras: Human rights and the coup d’état. </w:t>
      </w:r>
      <w:r w:rsidRPr="00A50E4D">
        <w:rPr>
          <w:rFonts w:cs="Times New Roman"/>
          <w:spacing w:val="-4"/>
          <w:sz w:val="16"/>
          <w:szCs w:val="16"/>
          <w:lang w:val="en-US"/>
        </w:rPr>
        <w:t>OEA/Ser.L/V/II. Doc 55, December 30, 2009, para.77.</w:t>
      </w:r>
    </w:p>
  </w:footnote>
  <w:footnote w:id="65">
    <w:p w14:paraId="6785B8F9" w14:textId="0CCAA53F"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rFonts w:cs="Times New Roman"/>
          <w:spacing w:val="-4"/>
          <w:lang w:val="en-US"/>
        </w:rPr>
        <w:footnoteRef/>
      </w:r>
      <w:r w:rsidRPr="00A50E4D">
        <w:rPr>
          <w:rFonts w:cs="Times New Roman"/>
          <w:spacing w:val="-4"/>
          <w:sz w:val="16"/>
          <w:szCs w:val="16"/>
          <w:lang w:val="en-US"/>
        </w:rPr>
        <w:t xml:space="preserve"> </w:t>
      </w:r>
      <w:r w:rsidRPr="00A50E4D">
        <w:rPr>
          <w:rFonts w:cs="Times New Roman"/>
          <w:spacing w:val="-4"/>
          <w:sz w:val="16"/>
          <w:szCs w:val="16"/>
          <w:lang w:val="en-US"/>
        </w:rPr>
        <w:tab/>
      </w:r>
      <w:r w:rsidRPr="00A50E4D">
        <w:rPr>
          <w:rFonts w:cs="Times New Roman"/>
          <w:i/>
          <w:spacing w:val="-4"/>
          <w:sz w:val="16"/>
          <w:szCs w:val="16"/>
          <w:lang w:val="en-US"/>
        </w:rPr>
        <w:t xml:space="preserve">Cf. </w:t>
      </w:r>
      <w:r w:rsidRPr="00A50E4D">
        <w:rPr>
          <w:rFonts w:cs="Times New Roman"/>
          <w:spacing w:val="-4"/>
          <w:sz w:val="16"/>
          <w:szCs w:val="16"/>
          <w:lang w:val="en-US"/>
        </w:rPr>
        <w:t xml:space="preserve">IACHR, </w:t>
      </w:r>
      <w:r w:rsidRPr="00A50E4D">
        <w:rPr>
          <w:rFonts w:cs="Times New Roman"/>
          <w:i/>
          <w:spacing w:val="-4"/>
          <w:sz w:val="16"/>
          <w:szCs w:val="16"/>
          <w:lang w:val="en-US"/>
        </w:rPr>
        <w:t xml:space="preserve">Honduras: Human rights and the coup d’état. </w:t>
      </w:r>
      <w:r w:rsidRPr="00914F55">
        <w:rPr>
          <w:rFonts w:cs="Times New Roman"/>
          <w:spacing w:val="-4"/>
          <w:sz w:val="16"/>
          <w:szCs w:val="16"/>
        </w:rPr>
        <w:t xml:space="preserve">OEA/Ser.L/V/II. </w:t>
      </w:r>
      <w:r w:rsidRPr="00A50E4D">
        <w:rPr>
          <w:rFonts w:cs="Times New Roman"/>
          <w:spacing w:val="-4"/>
          <w:sz w:val="16"/>
          <w:szCs w:val="16"/>
          <w:lang w:val="en-US"/>
        </w:rPr>
        <w:t>Doc 55, December 30, 2009, paras. 88 and 89, and Report</w:t>
      </w:r>
      <w:r w:rsidRPr="00A50E4D">
        <w:rPr>
          <w:rFonts w:cs="Times New Roman"/>
          <w:i/>
          <w:iCs/>
          <w:spacing w:val="-4"/>
          <w:sz w:val="16"/>
          <w:szCs w:val="16"/>
          <w:lang w:val="en-US"/>
        </w:rPr>
        <w:t xml:space="preserve"> of the United Nations High Commissioner for Human Rights on the violations of human rights</w:t>
      </w:r>
      <w:r w:rsidRPr="00A50E4D">
        <w:rPr>
          <w:i/>
          <w:iCs/>
          <w:spacing w:val="-4"/>
          <w:sz w:val="16"/>
          <w:szCs w:val="16"/>
          <w:lang w:val="en-US"/>
        </w:rPr>
        <w:t xml:space="preserve"> in Honduras since the coup d’état on 28 June 2009</w:t>
      </w:r>
      <w:r w:rsidRPr="00A50E4D">
        <w:rPr>
          <w:spacing w:val="-4"/>
          <w:sz w:val="16"/>
          <w:szCs w:val="16"/>
          <w:lang w:val="en-US"/>
        </w:rPr>
        <w:t>. Doc. UN A/HRC/13/66, March 3, 2010, para. 9 (merits file, folio 1281).</w:t>
      </w:r>
    </w:p>
  </w:footnote>
  <w:footnote w:id="66">
    <w:p w14:paraId="101629C9" w14:textId="4B79CCEF" w:rsidR="007353B6" w:rsidRPr="00914F55" w:rsidRDefault="007353B6" w:rsidP="006F7559">
      <w:pPr>
        <w:pStyle w:val="NoSpacing"/>
        <w:tabs>
          <w:tab w:val="left" w:pos="450"/>
          <w:tab w:val="left" w:pos="567"/>
        </w:tabs>
        <w:spacing w:before="120" w:after="120"/>
        <w:rPr>
          <w:spacing w:val="-4"/>
          <w:sz w:val="16"/>
          <w:szCs w:val="16"/>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IACHR, </w:t>
      </w:r>
      <w:r w:rsidRPr="00A50E4D">
        <w:rPr>
          <w:i/>
          <w:spacing w:val="-4"/>
          <w:sz w:val="16"/>
          <w:szCs w:val="16"/>
          <w:lang w:val="en-US"/>
        </w:rPr>
        <w:t xml:space="preserve">Honduras: Human rights and the coup d’état. </w:t>
      </w:r>
      <w:r w:rsidRPr="00914F55">
        <w:rPr>
          <w:spacing w:val="-4"/>
          <w:sz w:val="16"/>
          <w:szCs w:val="16"/>
        </w:rPr>
        <w:t xml:space="preserve">OEA/Ser.L/V/II. </w:t>
      </w:r>
      <w:r w:rsidRPr="00A50E4D">
        <w:rPr>
          <w:spacing w:val="-4"/>
          <w:sz w:val="16"/>
          <w:szCs w:val="16"/>
          <w:lang w:val="en-US"/>
        </w:rPr>
        <w:t xml:space="preserve">Doc 55, December 30, 2009, para. 98; </w:t>
      </w:r>
      <w:r w:rsidRPr="00A50E4D">
        <w:rPr>
          <w:i/>
          <w:iCs/>
          <w:spacing w:val="-4"/>
          <w:sz w:val="16"/>
          <w:szCs w:val="16"/>
          <w:lang w:val="en-US"/>
        </w:rPr>
        <w:t>Report of the United Nations High Commissioner for Human Rights on the violations of human rights in Honduras since the coup d’état on 28 June 2009</w:t>
      </w:r>
      <w:r w:rsidRPr="00A50E4D">
        <w:rPr>
          <w:spacing w:val="-4"/>
          <w:sz w:val="16"/>
          <w:szCs w:val="16"/>
          <w:lang w:val="en-US"/>
        </w:rPr>
        <w:t xml:space="preserve">. Doc. UN A/HRC/13/66, March 3, 2010, paras. 8, 19, 20, 24 and 29 (merits file, folios 1281, 1283, 1284 and 1285), and Communiqué of the United Nations Secretary General, Available at: http://www.cinu.mx/noticias/la/onu-urge-a-cese-de-la-violenci/. In this regard, the Report of the Truth Commission records that the demonstrations were suppressed by an excessive use of lethal and non-lethal force, and that those taking part in the political protests in support of President Zelaya were subject to arbitrary or illegal detention. The Truth Commission reported that nine people died during the confrontations between the security forces and the protesters. </w:t>
      </w:r>
      <w:r w:rsidRPr="00914F55">
        <w:rPr>
          <w:i/>
          <w:spacing w:val="-4"/>
          <w:sz w:val="16"/>
          <w:szCs w:val="16"/>
        </w:rPr>
        <w:t xml:space="preserve">Cf. </w:t>
      </w:r>
      <w:r w:rsidRPr="00914F55">
        <w:rPr>
          <w:spacing w:val="-4"/>
          <w:sz w:val="16"/>
          <w:szCs w:val="16"/>
        </w:rPr>
        <w:t xml:space="preserve">Report of the Truth and Reconciliation Commission (CVR). </w:t>
      </w:r>
      <w:r w:rsidRPr="00914F55">
        <w:rPr>
          <w:i/>
          <w:iCs/>
          <w:spacing w:val="-4"/>
          <w:sz w:val="16"/>
          <w:szCs w:val="16"/>
        </w:rPr>
        <w:t>Para que los hechos no se repitan: Informe de la Comisión de la Verdad y la Reconciliación</w:t>
      </w:r>
      <w:r w:rsidRPr="00914F55">
        <w:rPr>
          <w:spacing w:val="-4"/>
          <w:sz w:val="16"/>
          <w:szCs w:val="16"/>
        </w:rPr>
        <w:t xml:space="preserve">, July 2011, pp. 307, 308, 326 and 327 (evidence file, folios 7581, 7582, 7600 and 7601). </w:t>
      </w:r>
    </w:p>
  </w:footnote>
  <w:footnote w:id="67">
    <w:p w14:paraId="3D4DCB21" w14:textId="0250CCA1"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i/>
          <w:iCs/>
          <w:spacing w:val="-4"/>
          <w:sz w:val="16"/>
          <w:szCs w:val="16"/>
          <w:lang w:val="en-US"/>
        </w:rPr>
        <w:t>Report of the United Nations High Commissioner for Human Rights on the violations of human rights in Honduras since the coup d’état on 28 June 2009</w:t>
      </w:r>
      <w:r w:rsidRPr="00A50E4D">
        <w:rPr>
          <w:spacing w:val="-4"/>
          <w:sz w:val="16"/>
          <w:szCs w:val="16"/>
          <w:lang w:val="en-US"/>
        </w:rPr>
        <w:t xml:space="preserve">. Doc. UN A/HRC/13/66, March 3, 2010, para. 32 (merits file, folio 1286); Subcommittee on Prevention of Torture, </w:t>
      </w:r>
      <w:r w:rsidRPr="00A50E4D">
        <w:rPr>
          <w:i/>
          <w:spacing w:val="-4"/>
          <w:sz w:val="16"/>
          <w:szCs w:val="16"/>
          <w:lang w:val="en-US"/>
        </w:rPr>
        <w:t xml:space="preserve">Report on the visit to Honduras of the Subcommittee on Prevention of Torture and Other Cruel, Inhuman or Degrading Treatment or Punishment, </w:t>
      </w:r>
      <w:r w:rsidRPr="00A50E4D">
        <w:rPr>
          <w:spacing w:val="-4"/>
          <w:sz w:val="16"/>
          <w:szCs w:val="16"/>
          <w:lang w:val="en-US"/>
        </w:rPr>
        <w:t xml:space="preserve">paras. 40 to 43 (cited in the pleadings and motions brief - merits file, folio 327), and IACHR, </w:t>
      </w:r>
      <w:r w:rsidRPr="00A50E4D">
        <w:rPr>
          <w:i/>
          <w:spacing w:val="-4"/>
          <w:sz w:val="16"/>
          <w:szCs w:val="16"/>
          <w:lang w:val="en-US"/>
        </w:rPr>
        <w:t xml:space="preserve">Honduras: Human rights and the coup d’état. </w:t>
      </w:r>
      <w:r w:rsidRPr="00A50E4D">
        <w:rPr>
          <w:spacing w:val="-4"/>
          <w:sz w:val="16"/>
          <w:szCs w:val="16"/>
          <w:lang w:val="en-US"/>
        </w:rPr>
        <w:t>OEA/Ser.L/V/II. Doc 55, December 30, 2009, paras. 99 and 340.</w:t>
      </w:r>
    </w:p>
  </w:footnote>
  <w:footnote w:id="68">
    <w:p w14:paraId="6C7672EC" w14:textId="0D9471E6"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IACHR, </w:t>
      </w:r>
      <w:r w:rsidRPr="00A50E4D">
        <w:rPr>
          <w:i/>
          <w:spacing w:val="-4"/>
          <w:sz w:val="16"/>
          <w:szCs w:val="16"/>
          <w:lang w:val="en-US"/>
        </w:rPr>
        <w:t xml:space="preserve">Honduras: Human rights and the coup d’état. </w:t>
      </w:r>
      <w:r w:rsidRPr="00914F55">
        <w:rPr>
          <w:spacing w:val="-4"/>
          <w:sz w:val="16"/>
          <w:szCs w:val="16"/>
        </w:rPr>
        <w:t xml:space="preserve">OEA/Ser.L/V/II. </w:t>
      </w:r>
      <w:r w:rsidRPr="00A50E4D">
        <w:rPr>
          <w:spacing w:val="-4"/>
          <w:sz w:val="16"/>
          <w:szCs w:val="16"/>
          <w:lang w:val="en-US"/>
        </w:rPr>
        <w:t xml:space="preserve">Doc 55, December 30, 2009, para. 195. </w:t>
      </w:r>
    </w:p>
  </w:footnote>
  <w:footnote w:id="69">
    <w:p w14:paraId="1723C1F2" w14:textId="4B950219"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rFonts w:cs="Arial"/>
          <w:spacing w:val="-4"/>
          <w:lang w:val="en-US"/>
        </w:rPr>
        <w:t>Resolution of the OAS General Assembly on the Political Crisis in Honduras. OEA/Ser.P AG/RES 1 (XXXVII-E/09), of July 1, 2009. Available at</w:t>
      </w:r>
      <w:r w:rsidRPr="00A50E4D">
        <w:rPr>
          <w:rFonts w:cs="Arial"/>
          <w:color w:val="000000" w:themeColor="text1"/>
          <w:spacing w:val="-4"/>
          <w:lang w:val="en-US"/>
        </w:rPr>
        <w:t xml:space="preserve">: </w:t>
      </w:r>
      <w:hyperlink r:id="rId7" w:anchor="inf" w:history="1">
        <w:r w:rsidRPr="00A50E4D">
          <w:rPr>
            <w:rStyle w:val="Hyperlink"/>
            <w:rFonts w:cs="Arial"/>
            <w:color w:val="000000" w:themeColor="text1"/>
            <w:spacing w:val="-4"/>
            <w:u w:val="none"/>
            <w:lang w:val="en-US"/>
          </w:rPr>
          <w:t>http://www.oas.org/consejo/sp/AG/37SGA.asp#inf</w:t>
        </w:r>
      </w:hyperlink>
      <w:r w:rsidRPr="00A50E4D">
        <w:rPr>
          <w:rFonts w:cs="Arial"/>
          <w:spacing w:val="-4"/>
          <w:lang w:val="en-US"/>
        </w:rPr>
        <w:t>; Resolution of the OAS Permanent Council</w:t>
      </w:r>
      <w:r w:rsidRPr="00A50E4D">
        <w:rPr>
          <w:spacing w:val="-4"/>
          <w:lang w:val="en-US"/>
        </w:rPr>
        <w:t xml:space="preserve"> on the Current situation </w:t>
      </w:r>
      <w:r w:rsidRPr="00A50E4D">
        <w:rPr>
          <w:iCs/>
          <w:spacing w:val="-4"/>
          <w:lang w:val="en-US"/>
        </w:rPr>
        <w:t>in Honduras</w:t>
      </w:r>
      <w:r w:rsidRPr="00A50E4D">
        <w:rPr>
          <w:spacing w:val="-4"/>
          <w:lang w:val="en-US"/>
        </w:rPr>
        <w:t xml:space="preserve">. CP/RES. 953 (1700/09), June 28, 2009. Available at: </w:t>
      </w:r>
      <w:hyperlink r:id="rId8" w:history="1">
        <w:r w:rsidRPr="00A50E4D">
          <w:rPr>
            <w:rStyle w:val="Hyperlink"/>
            <w:spacing w:val="-4"/>
            <w:lang w:val="en-US"/>
          </w:rPr>
          <w:t>http://www.oas.org/consejo sp/resoluciones/res953.asp</w:t>
        </w:r>
      </w:hyperlink>
      <w:r w:rsidRPr="00A50E4D">
        <w:rPr>
          <w:spacing w:val="-4"/>
          <w:lang w:val="en-US"/>
        </w:rPr>
        <w:t xml:space="preserve">, and </w:t>
      </w:r>
      <w:r w:rsidRPr="00A50E4D">
        <w:rPr>
          <w:rFonts w:cs="Arial"/>
          <w:spacing w:val="-4"/>
          <w:lang w:val="en-US"/>
        </w:rPr>
        <w:t>Resolution of the United Nations General Assembly</w:t>
      </w:r>
      <w:r w:rsidRPr="00A50E4D">
        <w:rPr>
          <w:spacing w:val="-4"/>
          <w:lang w:val="en-US"/>
        </w:rPr>
        <w:t xml:space="preserve"> on Situation</w:t>
      </w:r>
      <w:r w:rsidRPr="00A50E4D">
        <w:rPr>
          <w:iCs/>
          <w:spacing w:val="-4"/>
          <w:lang w:val="en-US"/>
        </w:rPr>
        <w:t xml:space="preserve"> in Honduras: democracy breakdown</w:t>
      </w:r>
      <w:r w:rsidRPr="00A50E4D">
        <w:rPr>
          <w:spacing w:val="-4"/>
          <w:lang w:val="en-US"/>
        </w:rPr>
        <w:t xml:space="preserve">, A/RES/63/301, July 1, 2009. Available at: </w:t>
      </w:r>
      <w:hyperlink r:id="rId9" w:history="1">
        <w:r w:rsidRPr="00A50E4D">
          <w:rPr>
            <w:rStyle w:val="Hyperlink"/>
            <w:spacing w:val="-4"/>
            <w:lang w:val="en-US"/>
          </w:rPr>
          <w:t>http://www.un.org/es/comun/docs/?symbol=A/RES/63/301</w:t>
        </w:r>
      </w:hyperlink>
      <w:r w:rsidRPr="00A50E4D">
        <w:rPr>
          <w:rStyle w:val="Hyperlink"/>
          <w:spacing w:val="-4"/>
          <w:lang w:val="en-US"/>
        </w:rPr>
        <w:t>.</w:t>
      </w:r>
    </w:p>
  </w:footnote>
  <w:footnote w:id="70">
    <w:p w14:paraId="51D41E48" w14:textId="0DB3C5E6" w:rsidR="007353B6" w:rsidRPr="00A50E4D" w:rsidRDefault="007353B6" w:rsidP="006F7559">
      <w:pPr>
        <w:pStyle w:val="FootnoteText"/>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t xml:space="preserve">OAS, </w:t>
      </w:r>
      <w:r w:rsidRPr="00A50E4D">
        <w:rPr>
          <w:rFonts w:cs="Arial"/>
          <w:spacing w:val="-4"/>
          <w:lang w:val="en-US"/>
        </w:rPr>
        <w:t>Permanent Council</w:t>
      </w:r>
      <w:r w:rsidRPr="00A50E4D">
        <w:rPr>
          <w:lang w:val="en-US"/>
        </w:rPr>
        <w:t xml:space="preserve">, </w:t>
      </w:r>
      <w:r w:rsidRPr="00A50E4D">
        <w:rPr>
          <w:i/>
          <w:lang w:val="en-US"/>
        </w:rPr>
        <w:t>Timeline of recent OAS engagement in Honduras: June-November 2009</w:t>
      </w:r>
      <w:r w:rsidRPr="00A50E4D">
        <w:rPr>
          <w:lang w:val="en-US"/>
        </w:rPr>
        <w:t xml:space="preserve">. OEA/Ser.GCP/INF.5938/09 corr. 1, November 23, 2009. Available at: </w:t>
      </w:r>
      <w:hyperlink r:id="rId10" w:history="1">
        <w:r w:rsidRPr="00A50E4D">
          <w:rPr>
            <w:rStyle w:val="Hyperlink"/>
            <w:lang w:val="en-US"/>
          </w:rPr>
          <w:t>http://www.oas.org/consejo/Documents% 20INF2009.asp</w:t>
        </w:r>
      </w:hyperlink>
      <w:r w:rsidRPr="00A50E4D">
        <w:rPr>
          <w:lang w:val="en-US"/>
        </w:rPr>
        <w:t>.</w:t>
      </w:r>
    </w:p>
    <w:p w14:paraId="0AC4422B" w14:textId="77777777" w:rsidR="007353B6" w:rsidRPr="00A50E4D" w:rsidRDefault="007353B6" w:rsidP="006F7559">
      <w:pPr>
        <w:pStyle w:val="FootnoteText"/>
        <w:tabs>
          <w:tab w:val="left" w:pos="450"/>
        </w:tabs>
        <w:spacing w:before="120" w:after="120"/>
        <w:rPr>
          <w:lang w:val="en-US"/>
        </w:rPr>
      </w:pPr>
    </w:p>
  </w:footnote>
  <w:footnote w:id="71">
    <w:p w14:paraId="519A80EE" w14:textId="2557AEF7" w:rsidR="007353B6" w:rsidRPr="00A50E4D" w:rsidRDefault="007353B6" w:rsidP="006F7559">
      <w:pPr>
        <w:pStyle w:val="FootnoteText"/>
        <w:tabs>
          <w:tab w:val="left" w:pos="450"/>
        </w:tabs>
        <w:spacing w:before="120" w:after="120"/>
        <w:rPr>
          <w:color w:val="000000" w:themeColor="text1"/>
          <w:lang w:val="en-US"/>
        </w:rPr>
      </w:pPr>
      <w:r w:rsidRPr="00A50E4D">
        <w:rPr>
          <w:rStyle w:val="FootnoteReference"/>
          <w:lang w:val="en-US"/>
        </w:rPr>
        <w:footnoteRef/>
      </w:r>
      <w:r w:rsidRPr="00A50E4D">
        <w:rPr>
          <w:lang w:val="en-US"/>
        </w:rPr>
        <w:t xml:space="preserve"> </w:t>
      </w:r>
      <w:r w:rsidRPr="00A50E4D">
        <w:rPr>
          <w:lang w:val="en-US"/>
        </w:rPr>
        <w:tab/>
      </w:r>
      <w:r w:rsidRPr="00A50E4D">
        <w:rPr>
          <w:rFonts w:cs="Arial"/>
          <w:spacing w:val="-4"/>
          <w:lang w:val="en-US"/>
        </w:rPr>
        <w:t>Resolution of the OAS Permanent Council</w:t>
      </w:r>
      <w:r w:rsidRPr="00A50E4D">
        <w:rPr>
          <w:spacing w:val="-4"/>
          <w:lang w:val="en-US"/>
        </w:rPr>
        <w:t xml:space="preserve"> on the </w:t>
      </w:r>
      <w:r w:rsidRPr="00A50E4D">
        <w:rPr>
          <w:iCs/>
          <w:spacing w:val="-4"/>
          <w:lang w:val="en-US"/>
        </w:rPr>
        <w:t>Situation in Honduras.</w:t>
      </w:r>
      <w:r w:rsidRPr="00A50E4D">
        <w:rPr>
          <w:i/>
          <w:iCs/>
          <w:spacing w:val="-4"/>
          <w:lang w:val="en-US"/>
        </w:rPr>
        <w:t xml:space="preserve"> </w:t>
      </w:r>
      <w:r w:rsidRPr="00A50E4D">
        <w:rPr>
          <w:spacing w:val="-4"/>
          <w:lang w:val="en-US"/>
        </w:rPr>
        <w:t xml:space="preserve">CP/RES. 952 (1699/09), of June 26, 2009.  </w:t>
      </w:r>
      <w:r w:rsidRPr="00A50E4D">
        <w:rPr>
          <w:rFonts w:cs="Arial"/>
          <w:spacing w:val="-4"/>
          <w:lang w:val="en-US"/>
        </w:rPr>
        <w:t>Available at</w:t>
      </w:r>
      <w:r w:rsidRPr="00A50E4D">
        <w:rPr>
          <w:rFonts w:cs="Arial"/>
          <w:color w:val="000000" w:themeColor="text1"/>
          <w:spacing w:val="-4"/>
          <w:lang w:val="en-US"/>
        </w:rPr>
        <w:t>:</w:t>
      </w:r>
      <w:r w:rsidRPr="00A50E4D">
        <w:rPr>
          <w:color w:val="000000" w:themeColor="text1"/>
          <w:spacing w:val="-4"/>
          <w:lang w:val="en-US"/>
        </w:rPr>
        <w:t xml:space="preserve"> </w:t>
      </w:r>
      <w:r w:rsidRPr="00A50E4D">
        <w:rPr>
          <w:lang w:val="en-US"/>
        </w:rPr>
        <w:t>http://www.oas.org/council/resolutions/res952.asp.</w:t>
      </w:r>
      <w:r w:rsidRPr="00A50E4D">
        <w:rPr>
          <w:rStyle w:val="Hyperlink"/>
          <w:color w:val="000000" w:themeColor="text1"/>
          <w:u w:val="none"/>
          <w:lang w:val="en-US"/>
        </w:rPr>
        <w:t xml:space="preserve"> </w:t>
      </w:r>
    </w:p>
  </w:footnote>
  <w:footnote w:id="72">
    <w:p w14:paraId="2F50FCF5" w14:textId="37E2EC9B" w:rsidR="007353B6" w:rsidRPr="00A50E4D" w:rsidRDefault="007353B6" w:rsidP="006F7559">
      <w:pPr>
        <w:pStyle w:val="FootnoteText"/>
        <w:tabs>
          <w:tab w:val="left" w:pos="360"/>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r>
      <w:r w:rsidRPr="00A50E4D">
        <w:rPr>
          <w:lang w:val="en-US"/>
        </w:rPr>
        <w:tab/>
      </w:r>
      <w:r w:rsidRPr="00A50E4D">
        <w:rPr>
          <w:i/>
          <w:lang w:val="en-US"/>
        </w:rPr>
        <w:t xml:space="preserve">Cf. </w:t>
      </w:r>
      <w:r w:rsidRPr="00A50E4D">
        <w:rPr>
          <w:rFonts w:cs="Arial"/>
          <w:spacing w:val="-4"/>
          <w:lang w:val="en-US"/>
        </w:rPr>
        <w:t>Resolution of the OAS Permanent Council</w:t>
      </w:r>
      <w:r w:rsidRPr="00A50E4D">
        <w:rPr>
          <w:spacing w:val="-4"/>
          <w:lang w:val="en-US"/>
        </w:rPr>
        <w:t xml:space="preserve"> on the Current S</w:t>
      </w:r>
      <w:r w:rsidRPr="00A50E4D">
        <w:rPr>
          <w:iCs/>
          <w:spacing w:val="-4"/>
          <w:lang w:val="en-US"/>
        </w:rPr>
        <w:t>ituation in Honduras</w:t>
      </w:r>
      <w:r w:rsidRPr="00A50E4D">
        <w:rPr>
          <w:spacing w:val="-4"/>
          <w:lang w:val="en-US"/>
        </w:rPr>
        <w:t xml:space="preserve">. CP/RES. 953 (1700/09), June 28, 2009. Available at: http://www.oas.org/council/resolutions/res953.asp, and minutes of the special meeting of the OAS Permanent Council on June 28, 2009. Available at: </w:t>
      </w:r>
      <w:hyperlink r:id="rId11" w:history="1">
        <w:r w:rsidRPr="00A50E4D">
          <w:rPr>
            <w:rStyle w:val="Hyperlink"/>
            <w:spacing w:val="-4"/>
            <w:lang w:val="en-US"/>
          </w:rPr>
          <w:t>http://www.oas.org/consejo/sp/actas/acta1700.pdf</w:t>
        </w:r>
      </w:hyperlink>
      <w:r w:rsidRPr="00A50E4D">
        <w:rPr>
          <w:spacing w:val="-4"/>
          <w:lang w:val="en-US"/>
        </w:rPr>
        <w:t xml:space="preserve">  </w:t>
      </w:r>
    </w:p>
  </w:footnote>
  <w:footnote w:id="73">
    <w:p w14:paraId="51051C51" w14:textId="5A97952D" w:rsidR="007353B6" w:rsidRPr="00A50E4D" w:rsidRDefault="007353B6" w:rsidP="006F7559">
      <w:pPr>
        <w:pStyle w:val="NormalWeb"/>
        <w:widowControl w:val="0"/>
        <w:tabs>
          <w:tab w:val="left" w:pos="450"/>
        </w:tabs>
        <w:spacing w:before="120" w:beforeAutospacing="0" w:after="120" w:afterAutospacing="0"/>
        <w:jc w:val="both"/>
        <w:rPr>
          <w:rFonts w:ascii="Verdana" w:eastAsia="Arial Unicode MS" w:hAnsi="Verdana"/>
          <w:sz w:val="16"/>
          <w:szCs w:val="16"/>
        </w:rPr>
      </w:pPr>
      <w:r w:rsidRPr="00A50E4D">
        <w:rPr>
          <w:rStyle w:val="FootnoteReference"/>
        </w:rPr>
        <w:footnoteRef/>
      </w:r>
      <w:r w:rsidRPr="00A50E4D">
        <w:rPr>
          <w:rFonts w:ascii="Verdana" w:hAnsi="Verdana"/>
          <w:sz w:val="16"/>
          <w:szCs w:val="16"/>
        </w:rPr>
        <w:t xml:space="preserve"> </w:t>
      </w:r>
      <w:r w:rsidRPr="00A50E4D">
        <w:rPr>
          <w:rFonts w:ascii="Verdana" w:hAnsi="Verdana"/>
          <w:sz w:val="16"/>
          <w:szCs w:val="16"/>
        </w:rPr>
        <w:tab/>
      </w:r>
      <w:r w:rsidRPr="00A50E4D">
        <w:rPr>
          <w:rFonts w:ascii="Verdana" w:hAnsi="Verdana" w:cs="Arial"/>
          <w:spacing w:val="-4"/>
          <w:sz w:val="16"/>
          <w:szCs w:val="16"/>
        </w:rPr>
        <w:t>Resolution of the OAS General Assembly on the Political Crisis in Honduras. OEA/Ser.P AG/RES 1 (XXXVII-E/09), of July 1, 2009. Available at</w:t>
      </w:r>
      <w:r w:rsidRPr="00A50E4D">
        <w:rPr>
          <w:rFonts w:ascii="Verdana" w:hAnsi="Verdana" w:cs="Arial"/>
          <w:color w:val="000000" w:themeColor="text1"/>
          <w:spacing w:val="-4"/>
          <w:sz w:val="16"/>
          <w:szCs w:val="16"/>
        </w:rPr>
        <w:t xml:space="preserve">: </w:t>
      </w:r>
      <w:hyperlink r:id="rId12" w:anchor="inf" w:history="1">
        <w:r w:rsidRPr="00A50E4D">
          <w:rPr>
            <w:rStyle w:val="Hyperlink"/>
            <w:rFonts w:ascii="Verdana" w:hAnsi="Verdana" w:cs="Arial"/>
            <w:color w:val="000000" w:themeColor="text1"/>
            <w:spacing w:val="-4"/>
            <w:sz w:val="16"/>
            <w:szCs w:val="16"/>
            <w:u w:val="none"/>
          </w:rPr>
          <w:t>http://www.oas.org/consejo/sp/AG/37SGA.asp#inf</w:t>
        </w:r>
      </w:hyperlink>
      <w:r w:rsidRPr="00A50E4D">
        <w:rPr>
          <w:rStyle w:val="Hyperlink"/>
          <w:rFonts w:ascii="Verdana" w:hAnsi="Verdana" w:cs="Arial"/>
          <w:color w:val="000000" w:themeColor="text1"/>
          <w:spacing w:val="-4"/>
          <w:sz w:val="16"/>
          <w:szCs w:val="16"/>
          <w:u w:val="none"/>
        </w:rPr>
        <w:t xml:space="preserve">. </w:t>
      </w:r>
      <w:r w:rsidRPr="00A50E4D">
        <w:rPr>
          <w:rFonts w:ascii="Verdana" w:hAnsi="Verdana"/>
          <w:color w:val="000000"/>
          <w:spacing w:val="-4"/>
          <w:sz w:val="16"/>
          <w:szCs w:val="16"/>
        </w:rPr>
        <w:t xml:space="preserve">Article 21 of the Inter-American Democratic Charter stipulates that: </w:t>
      </w:r>
      <w:r w:rsidRPr="00914F55">
        <w:rPr>
          <w:rFonts w:ascii="Verdana" w:hAnsi="Verdana"/>
          <w:color w:val="000000"/>
          <w:spacing w:val="-4"/>
          <w:sz w:val="16"/>
          <w:szCs w:val="16"/>
        </w:rPr>
        <w:t>“[w]</w:t>
      </w:r>
      <w:r w:rsidRPr="00914F55">
        <w:rPr>
          <w:rFonts w:ascii="Verdana" w:hAnsi="Verdana"/>
          <w:sz w:val="16"/>
          <w:szCs w:val="16"/>
        </w:rPr>
        <w:t>hen the special session of the General Assembly determines that there has been an unconstitutional interruption of the democratic order of a member state, and that diplomatic initiatives have failed, the special session shall take the decision to suspend said member state from the exercise of its right to participate in the OAS by an affirmative vote of two thirds of the member states in accordance with the Charter of the OAS. The suspension shall take effect immediately.</w:t>
      </w:r>
      <w:r w:rsidRPr="00914F55">
        <w:rPr>
          <w:rFonts w:ascii="Verdana" w:eastAsia="Arial Unicode MS" w:hAnsi="Verdana"/>
          <w:sz w:val="16"/>
          <w:szCs w:val="16"/>
        </w:rPr>
        <w:t xml:space="preserve"> </w:t>
      </w:r>
      <w:r w:rsidRPr="00914F55">
        <w:rPr>
          <w:rFonts w:ascii="Verdana" w:hAnsi="Verdana"/>
          <w:sz w:val="16"/>
          <w:szCs w:val="16"/>
        </w:rPr>
        <w:t>The suspended member state shall continue to fulfill its obligations to the Organization, in particular its human rights obligations.</w:t>
      </w:r>
      <w:r w:rsidRPr="00914F55">
        <w:rPr>
          <w:rFonts w:ascii="Verdana" w:eastAsia="Arial Unicode MS" w:hAnsi="Verdana"/>
          <w:sz w:val="16"/>
          <w:szCs w:val="16"/>
        </w:rPr>
        <w:t xml:space="preserve"> </w:t>
      </w:r>
      <w:r w:rsidRPr="00914F55">
        <w:rPr>
          <w:rFonts w:ascii="Verdana" w:hAnsi="Verdana"/>
          <w:sz w:val="16"/>
          <w:szCs w:val="16"/>
        </w:rPr>
        <w:t>Notwithstanding the suspension of the member state, the Organization will maintain diplomatic initiatives to restore democracy in that state.”</w:t>
      </w:r>
    </w:p>
  </w:footnote>
  <w:footnote w:id="74">
    <w:p w14:paraId="4C1C3D0C" w14:textId="72F00709" w:rsidR="007353B6" w:rsidRPr="00A50E4D" w:rsidRDefault="007353B6" w:rsidP="006F7559">
      <w:pPr>
        <w:pStyle w:val="style1"/>
        <w:tabs>
          <w:tab w:val="left" w:pos="450"/>
        </w:tabs>
        <w:spacing w:before="120" w:beforeAutospacing="0" w:after="120" w:afterAutospacing="0"/>
        <w:jc w:val="both"/>
        <w:rPr>
          <w:rFonts w:ascii="Verdana" w:hAnsi="Verdana"/>
          <w:sz w:val="16"/>
          <w:szCs w:val="16"/>
        </w:rPr>
      </w:pPr>
      <w:r w:rsidRPr="00A50E4D">
        <w:rPr>
          <w:rStyle w:val="FootnoteReference"/>
        </w:rPr>
        <w:footnoteRef/>
      </w:r>
      <w:r w:rsidRPr="00A50E4D">
        <w:rPr>
          <w:rFonts w:ascii="Verdana" w:hAnsi="Verdana"/>
          <w:sz w:val="16"/>
          <w:szCs w:val="16"/>
        </w:rPr>
        <w:t xml:space="preserve"> </w:t>
      </w:r>
      <w:r w:rsidRPr="00A50E4D">
        <w:rPr>
          <w:rFonts w:ascii="Verdana" w:hAnsi="Verdana"/>
          <w:sz w:val="16"/>
          <w:szCs w:val="16"/>
        </w:rPr>
        <w:tab/>
        <w:t>Article 9 of the OAS Charter states that: “[</w:t>
      </w:r>
      <w:r w:rsidRPr="00914F55">
        <w:rPr>
          <w:rFonts w:ascii="Verdana" w:hAnsi="Verdana"/>
          <w:sz w:val="16"/>
          <w:szCs w:val="16"/>
        </w:rPr>
        <w:t>A] Member of the Organization whose democratically constituted government has been overthrown by force may be suspended from the exercise of the right to participate in the sessions of the General Assembly, the Meeting of Consultation, the Councils of the Organization and the Specialized Conferences as well as in the commissions, working groups and any other bodies established: (a)The power to suspend shall be exercised only when such diplomatic initiatives undertaken by the Organization for the purpose of promoting the restoration of representative democracy in the affected Member State have been unsuccessful; (b) The decision to suspend shall be adopted at a special session of the General Assembly by an affirmative vote of two-thirds of the Member States; (c) The suspension shall take effect immediately following its approval by the General Assembly; (d) The suspension notwithstanding, the Organization shall endeavor to undertake additional diplomatic initiatives to contribute to the re-establishment of representative democracy in the affected Member State; (e) The Member which has been subject to suspension shall continue to fulfill its obligations to the Organization; (f) The General Assembly may lift the suspension by a decision adopted with the approval of two-thirds of the Member States; (g) The powers referred to in this article shall be exercised in accordance with this Charter</w:t>
      </w:r>
      <w:r w:rsidRPr="00A50E4D">
        <w:rPr>
          <w:rFonts w:ascii="Verdana" w:hAnsi="Verdana"/>
          <w:sz w:val="16"/>
          <w:szCs w:val="16"/>
        </w:rPr>
        <w:t>.</w:t>
      </w:r>
    </w:p>
  </w:footnote>
  <w:footnote w:id="75">
    <w:p w14:paraId="725EC53B" w14:textId="7ABA82AD" w:rsidR="007353B6" w:rsidRPr="00A50E4D" w:rsidRDefault="007353B6" w:rsidP="006F7559">
      <w:pPr>
        <w:tabs>
          <w:tab w:val="left" w:pos="450"/>
          <w:tab w:val="left" w:pos="540"/>
        </w:tabs>
        <w:spacing w:before="120" w:after="120"/>
        <w:outlineLvl w:val="0"/>
        <w:rPr>
          <w:rFonts w:cs="Arial"/>
          <w:spacing w:val="-4"/>
          <w:sz w:val="16"/>
          <w:szCs w:val="16"/>
          <w:lang w:val="en-US"/>
        </w:rPr>
      </w:pPr>
      <w:r w:rsidRPr="00A50E4D">
        <w:rPr>
          <w:rStyle w:val="FootnoteReference"/>
          <w:spacing w:val="-4"/>
          <w:lang w:val="en-US"/>
        </w:rPr>
        <w:footnoteRef/>
      </w:r>
      <w:r w:rsidRPr="00A50E4D">
        <w:rPr>
          <w:spacing w:val="-4"/>
          <w:sz w:val="16"/>
          <w:szCs w:val="16"/>
          <w:lang w:val="en-US"/>
        </w:rPr>
        <w:tab/>
      </w:r>
      <w:r w:rsidRPr="00A50E4D">
        <w:rPr>
          <w:rFonts w:cs="Arial"/>
          <w:spacing w:val="-4"/>
          <w:sz w:val="16"/>
          <w:szCs w:val="16"/>
          <w:lang w:val="en-US"/>
        </w:rPr>
        <w:t>Resolution of the OAS Genera</w:t>
      </w:r>
      <w:r w:rsidRPr="00914F55">
        <w:rPr>
          <w:rFonts w:cs="Arial"/>
          <w:spacing w:val="-4"/>
          <w:sz w:val="16"/>
          <w:szCs w:val="16"/>
          <w:lang w:val="en-US"/>
        </w:rPr>
        <w:t xml:space="preserve">l Assembly on the Suspension of the right of Honduras to participate in </w:t>
      </w:r>
      <w:r w:rsidRPr="00914F55">
        <w:rPr>
          <w:sz w:val="16"/>
          <w:szCs w:val="16"/>
          <w:lang w:val="en-US"/>
        </w:rPr>
        <w:t>the Organization of American States</w:t>
      </w:r>
      <w:r w:rsidRPr="00A50E4D">
        <w:rPr>
          <w:i/>
          <w:sz w:val="16"/>
          <w:szCs w:val="16"/>
          <w:lang w:val="en-US"/>
        </w:rPr>
        <w:t xml:space="preserve">. </w:t>
      </w:r>
      <w:r w:rsidRPr="00A50E4D">
        <w:rPr>
          <w:rFonts w:cs="Arial"/>
          <w:spacing w:val="-4"/>
          <w:sz w:val="16"/>
          <w:szCs w:val="16"/>
          <w:lang w:val="en-US"/>
        </w:rPr>
        <w:t>OEA/Ser.P AG/RES 1 (XXXVII-E/09), of July 4, 2009. Available at</w:t>
      </w:r>
      <w:r w:rsidRPr="00A50E4D">
        <w:rPr>
          <w:rFonts w:cs="Arial"/>
          <w:color w:val="000000" w:themeColor="text1"/>
          <w:spacing w:val="-4"/>
          <w:sz w:val="16"/>
          <w:szCs w:val="16"/>
          <w:lang w:val="en-US"/>
        </w:rPr>
        <w:t xml:space="preserve">: </w:t>
      </w:r>
      <w:hyperlink r:id="rId13" w:anchor="inf" w:history="1">
        <w:r w:rsidRPr="00A50E4D">
          <w:rPr>
            <w:rStyle w:val="Hyperlink"/>
            <w:rFonts w:cs="Arial"/>
            <w:spacing w:val="-4"/>
            <w:sz w:val="16"/>
            <w:szCs w:val="16"/>
            <w:lang w:val="en-US"/>
          </w:rPr>
          <w:t>http://www.oas.org/consejo/sp/AG/ 37SGA.asp#inf</w:t>
        </w:r>
      </w:hyperlink>
      <w:r w:rsidRPr="00A50E4D">
        <w:rPr>
          <w:rFonts w:cs="Arial"/>
          <w:spacing w:val="-4"/>
          <w:sz w:val="16"/>
          <w:szCs w:val="16"/>
          <w:lang w:val="en-US"/>
        </w:rPr>
        <w:t>.</w:t>
      </w:r>
    </w:p>
    <w:p w14:paraId="7D4AC7FF" w14:textId="77777777" w:rsidR="007353B6" w:rsidRPr="00A50E4D" w:rsidRDefault="007353B6" w:rsidP="006F7559">
      <w:pPr>
        <w:tabs>
          <w:tab w:val="left" w:pos="450"/>
          <w:tab w:val="left" w:pos="540"/>
        </w:tabs>
        <w:spacing w:before="120" w:after="120"/>
        <w:outlineLvl w:val="0"/>
        <w:rPr>
          <w:spacing w:val="-4"/>
          <w:sz w:val="16"/>
          <w:szCs w:val="16"/>
          <w:lang w:val="en-US"/>
        </w:rPr>
      </w:pPr>
    </w:p>
  </w:footnote>
  <w:footnote w:id="76">
    <w:p w14:paraId="38C15A66" w14:textId="449D86ED" w:rsidR="007353B6" w:rsidRPr="00914F55" w:rsidRDefault="007353B6" w:rsidP="006F7559">
      <w:pPr>
        <w:pStyle w:val="FootnoteText"/>
        <w:tabs>
          <w:tab w:val="left" w:pos="450"/>
        </w:tabs>
        <w:spacing w:before="120" w:after="120"/>
        <w:rPr>
          <w:spacing w:val="-4"/>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Cf.</w:t>
      </w:r>
      <w:r w:rsidRPr="00A50E4D">
        <w:rPr>
          <w:spacing w:val="-4"/>
          <w:lang w:val="en-US"/>
        </w:rPr>
        <w:t xml:space="preserve"> Report of the Truth and Reconciliation Commission (CVR). </w:t>
      </w:r>
      <w:r w:rsidRPr="00914F55">
        <w:rPr>
          <w:i/>
          <w:iCs/>
          <w:spacing w:val="-4"/>
        </w:rPr>
        <w:t>Para que los hechos no se repitan: Informe de la Comisión de la Verdad y la Reconciliación</w:t>
      </w:r>
      <w:r w:rsidRPr="00914F55">
        <w:rPr>
          <w:spacing w:val="-4"/>
        </w:rPr>
        <w:t>, July 2011, pp. 43 to 46 (evidence file, folios 7324 to 7327).</w:t>
      </w:r>
    </w:p>
  </w:footnote>
  <w:footnote w:id="77">
    <w:p w14:paraId="6CB5DF88" w14:textId="4F40E6F4" w:rsidR="007353B6" w:rsidRPr="00914F55" w:rsidRDefault="007353B6" w:rsidP="006F7559">
      <w:pPr>
        <w:pStyle w:val="FootnoteText"/>
        <w:tabs>
          <w:tab w:val="left" w:pos="450"/>
        </w:tabs>
        <w:spacing w:before="120" w:after="120"/>
        <w:rPr>
          <w:spacing w:val="-4"/>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Cf.</w:t>
      </w:r>
      <w:r w:rsidRPr="00A50E4D">
        <w:rPr>
          <w:spacing w:val="-4"/>
          <w:lang w:val="en-US"/>
        </w:rPr>
        <w:t xml:space="preserve"> Report of the Truth and Reconciliation Commission (CVR). </w:t>
      </w:r>
      <w:r w:rsidRPr="00914F55">
        <w:rPr>
          <w:i/>
          <w:iCs/>
          <w:spacing w:val="-4"/>
        </w:rPr>
        <w:t>Para que los hechos no se repitan: Informe de la Comisión de la Verdad y la Reconciliación</w:t>
      </w:r>
      <w:r w:rsidRPr="00914F55">
        <w:rPr>
          <w:spacing w:val="-4"/>
        </w:rPr>
        <w:t>, July 2011, p. 17 (evidence file, folios 6937, 6940, 7308, 7309 and 7327).</w:t>
      </w:r>
    </w:p>
  </w:footnote>
  <w:footnote w:id="78">
    <w:p w14:paraId="184D5480" w14:textId="20AB144C" w:rsidR="007353B6" w:rsidRPr="00914F55" w:rsidRDefault="007353B6" w:rsidP="006F7559">
      <w:pPr>
        <w:pStyle w:val="FootnoteText"/>
        <w:tabs>
          <w:tab w:val="left" w:pos="450"/>
        </w:tabs>
        <w:spacing w:before="120" w:after="120"/>
      </w:pPr>
      <w:r w:rsidRPr="00A50E4D">
        <w:rPr>
          <w:rStyle w:val="FootnoteReference"/>
          <w:lang w:val="en-US"/>
        </w:rPr>
        <w:footnoteRef/>
      </w:r>
      <w:r w:rsidRPr="00A50E4D">
        <w:rPr>
          <w:lang w:val="en-US"/>
        </w:rPr>
        <w:t xml:space="preserve"> </w:t>
      </w:r>
      <w:r w:rsidRPr="00A50E4D">
        <w:rPr>
          <w:lang w:val="en-US"/>
        </w:rPr>
        <w:tab/>
      </w:r>
      <w:r w:rsidRPr="00A50E4D">
        <w:rPr>
          <w:i/>
          <w:lang w:val="en-US"/>
        </w:rPr>
        <w:t xml:space="preserve">Cf. </w:t>
      </w:r>
      <w:r w:rsidRPr="00A50E4D">
        <w:rPr>
          <w:lang w:val="en-US"/>
        </w:rPr>
        <w:t xml:space="preserve">OAS, Permanent Council, </w:t>
      </w:r>
      <w:r w:rsidRPr="00A50E4D">
        <w:rPr>
          <w:i/>
          <w:lang w:val="en-US"/>
        </w:rPr>
        <w:t>Timeline of recent OAS engagement in Honduras June-November 2009</w:t>
      </w:r>
      <w:r w:rsidRPr="00A50E4D">
        <w:rPr>
          <w:lang w:val="en-US"/>
        </w:rPr>
        <w:t xml:space="preserve">. OEA/Ser.GCP/INF. 5938/09 corr. 1, November 23, 2009. Available at: </w:t>
      </w:r>
      <w:hyperlink r:id="rId14" w:history="1">
        <w:r w:rsidRPr="00A50E4D">
          <w:rPr>
            <w:rStyle w:val="Hyperlink"/>
            <w:lang w:val="en-US"/>
          </w:rPr>
          <w:t>http://www.oas.org/consejo/sp/documentos %20INF2009.asp</w:t>
        </w:r>
      </w:hyperlink>
      <w:r w:rsidRPr="00A50E4D">
        <w:rPr>
          <w:lang w:val="en-US"/>
        </w:rPr>
        <w:t xml:space="preserve">, and Tegucigalpa/San José Accord for “National Reconciliation and Strengthening Democracy in Honduras” of October 30, 2009, transcribed in the Report of the Truth and Reconciliation Commission (CVR). </w:t>
      </w:r>
      <w:r w:rsidRPr="00914F55">
        <w:rPr>
          <w:i/>
          <w:iCs/>
        </w:rPr>
        <w:t>Para que los hechos no se repitan: Informe de la Comisión de la Verdad y la Reconciliación</w:t>
      </w:r>
      <w:r w:rsidRPr="00914F55">
        <w:t xml:space="preserve">, July 2011, pp. 44 and 45 </w:t>
      </w:r>
      <w:r w:rsidRPr="00914F55">
        <w:rPr>
          <w:spacing w:val="-4"/>
        </w:rPr>
        <w:t>(evidence file, folios 7325 and 7326).</w:t>
      </w:r>
    </w:p>
  </w:footnote>
  <w:footnote w:id="79">
    <w:p w14:paraId="69AF8226" w14:textId="65B7F072" w:rsidR="007353B6" w:rsidRPr="00A50E4D" w:rsidRDefault="007353B6" w:rsidP="006F7559">
      <w:pPr>
        <w:pStyle w:val="FootnoteText"/>
        <w:tabs>
          <w:tab w:val="left" w:pos="360"/>
          <w:tab w:val="left" w:pos="450"/>
        </w:tabs>
        <w:spacing w:before="120" w:after="120"/>
        <w:rPr>
          <w:color w:val="0000FF"/>
          <w:u w:val="single"/>
          <w:lang w:val="en-US"/>
        </w:rPr>
      </w:pPr>
      <w:r w:rsidRPr="00A50E4D">
        <w:rPr>
          <w:rStyle w:val="FootnoteReference"/>
          <w:lang w:val="en-US"/>
        </w:rPr>
        <w:footnoteRef/>
      </w:r>
      <w:r w:rsidRPr="00A50E4D">
        <w:rPr>
          <w:lang w:val="en-US"/>
        </w:rPr>
        <w:t xml:space="preserve"> </w:t>
      </w:r>
      <w:r w:rsidRPr="00A50E4D">
        <w:rPr>
          <w:lang w:val="en-US"/>
        </w:rPr>
        <w:tab/>
        <w:t xml:space="preserve">     OAS, Permanent Council, </w:t>
      </w:r>
      <w:r w:rsidRPr="00A50E4D">
        <w:rPr>
          <w:i/>
          <w:lang w:val="en-US"/>
        </w:rPr>
        <w:t>Timeline of recent OAS engagement in Honduras June-November 2009</w:t>
      </w:r>
      <w:r w:rsidRPr="00A50E4D">
        <w:rPr>
          <w:lang w:val="en-US"/>
        </w:rPr>
        <w:t xml:space="preserve">. OEA/Ser.GCP/INF. 5938/09 corr. 1, November 23, 2009. Available at: </w:t>
      </w:r>
      <w:hyperlink r:id="rId15" w:history="1">
        <w:r w:rsidRPr="00A50E4D">
          <w:rPr>
            <w:rStyle w:val="Hyperlink"/>
            <w:lang w:val="en-US"/>
          </w:rPr>
          <w:t>http://www.oas.org/consejo/sp/documentos%20INF2009.asp</w:t>
        </w:r>
      </w:hyperlink>
    </w:p>
  </w:footnote>
  <w:footnote w:id="80">
    <w:p w14:paraId="0D20C8DE" w14:textId="5C1F8B80" w:rsidR="007353B6" w:rsidRPr="00A50E4D" w:rsidRDefault="007353B6" w:rsidP="006F7559">
      <w:pPr>
        <w:pStyle w:val="FootnoteText"/>
        <w:tabs>
          <w:tab w:val="left" w:pos="360"/>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r>
      <w:r w:rsidRPr="00A50E4D">
        <w:rPr>
          <w:lang w:val="en-US"/>
        </w:rPr>
        <w:tab/>
      </w:r>
      <w:r w:rsidRPr="00A50E4D">
        <w:rPr>
          <w:lang w:val="en-US"/>
        </w:rPr>
        <w:tab/>
      </w:r>
      <w:r w:rsidRPr="00A50E4D">
        <w:rPr>
          <w:i/>
          <w:lang w:val="en-US"/>
        </w:rPr>
        <w:t xml:space="preserve">Cf. </w:t>
      </w:r>
      <w:r w:rsidRPr="00A50E4D">
        <w:rPr>
          <w:lang w:val="en-US"/>
        </w:rPr>
        <w:t>OAS, Minutes of the special session of the OAS Permanent Council</w:t>
      </w:r>
      <w:r w:rsidRPr="00A50E4D">
        <w:rPr>
          <w:spacing w:val="-4"/>
          <w:lang w:val="en-US"/>
        </w:rPr>
        <w:t xml:space="preserve"> of November 10, </w:t>
      </w:r>
      <w:r w:rsidRPr="00A50E4D">
        <w:rPr>
          <w:lang w:val="en-US"/>
        </w:rPr>
        <w:t xml:space="preserve">2009. Available at: </w:t>
      </w:r>
      <w:hyperlink r:id="rId16" w:history="1">
        <w:r w:rsidRPr="00A50E4D">
          <w:rPr>
            <w:rStyle w:val="Hyperlink"/>
            <w:lang w:val="en-US"/>
          </w:rPr>
          <w:t>http://www.oas.org/consejo/sp/actas/acta1727.pdf</w:t>
        </w:r>
      </w:hyperlink>
      <w:r w:rsidRPr="00A50E4D">
        <w:rPr>
          <w:lang w:val="en-US"/>
        </w:rPr>
        <w:t xml:space="preserve"> </w:t>
      </w:r>
    </w:p>
  </w:footnote>
  <w:footnote w:id="81">
    <w:p w14:paraId="3DC6B70D" w14:textId="204D168A" w:rsidR="007353B6" w:rsidRPr="00914F55" w:rsidRDefault="007353B6" w:rsidP="006F7559">
      <w:pPr>
        <w:pStyle w:val="FootnoteText"/>
        <w:tabs>
          <w:tab w:val="left" w:pos="450"/>
        </w:tabs>
        <w:spacing w:before="120" w:after="120"/>
      </w:pPr>
      <w:r w:rsidRPr="00A50E4D">
        <w:rPr>
          <w:rStyle w:val="FootnoteReference"/>
          <w:lang w:val="en-US"/>
        </w:rPr>
        <w:footnoteRef/>
      </w:r>
      <w:r w:rsidRPr="00A50E4D">
        <w:rPr>
          <w:lang w:val="en-US"/>
        </w:rPr>
        <w:t xml:space="preserve"> </w:t>
      </w:r>
      <w:r w:rsidRPr="00A50E4D">
        <w:rPr>
          <w:lang w:val="en-US"/>
        </w:rPr>
        <w:tab/>
      </w:r>
      <w:r w:rsidRPr="00A50E4D">
        <w:rPr>
          <w:i/>
          <w:lang w:val="en-US"/>
        </w:rPr>
        <w:t xml:space="preserve">Cf. </w:t>
      </w:r>
      <w:r w:rsidRPr="00A50E4D">
        <w:rPr>
          <w:spacing w:val="-4"/>
          <w:lang w:val="en-US"/>
        </w:rPr>
        <w:t xml:space="preserve">Report of the Truth and Reconciliation Commission (CVR). </w:t>
      </w:r>
      <w:r w:rsidRPr="00914F55">
        <w:rPr>
          <w:i/>
          <w:iCs/>
          <w:spacing w:val="-4"/>
        </w:rPr>
        <w:t>Para que los hechos no se repitan: Informe de la Comisión de la Verdad y la Reconciliación</w:t>
      </w:r>
      <w:r w:rsidRPr="00914F55">
        <w:rPr>
          <w:spacing w:val="-4"/>
        </w:rPr>
        <w:t xml:space="preserve">, July 2011, pp. 248 and </w:t>
      </w:r>
      <w:r w:rsidRPr="00914F55">
        <w:t xml:space="preserve">267 </w:t>
      </w:r>
      <w:r w:rsidRPr="00914F55">
        <w:rPr>
          <w:spacing w:val="-4"/>
        </w:rPr>
        <w:t xml:space="preserve">(evidence file, folios 7523 and </w:t>
      </w:r>
      <w:r w:rsidRPr="00914F55">
        <w:t>7542</w:t>
      </w:r>
      <w:r w:rsidRPr="00914F55">
        <w:rPr>
          <w:spacing w:val="-4"/>
        </w:rPr>
        <w:t>).</w:t>
      </w:r>
    </w:p>
  </w:footnote>
  <w:footnote w:id="82">
    <w:p w14:paraId="0B6955BA" w14:textId="2D5665B7" w:rsidR="007353B6" w:rsidRPr="00A50E4D" w:rsidRDefault="007353B6" w:rsidP="006F7559">
      <w:pPr>
        <w:pStyle w:val="FootnoteText"/>
        <w:tabs>
          <w:tab w:val="left" w:pos="450"/>
        </w:tabs>
        <w:spacing w:before="120" w:after="120"/>
        <w:rPr>
          <w:color w:val="000000" w:themeColor="text1"/>
          <w:lang w:val="en-US"/>
        </w:rPr>
      </w:pPr>
      <w:r w:rsidRPr="00A50E4D">
        <w:rPr>
          <w:rStyle w:val="FootnoteReference"/>
          <w:lang w:val="en-US"/>
        </w:rPr>
        <w:footnoteRef/>
      </w:r>
      <w:r w:rsidRPr="00A50E4D">
        <w:rPr>
          <w:lang w:val="en-US"/>
        </w:rPr>
        <w:t xml:space="preserve"> </w:t>
      </w:r>
      <w:r w:rsidRPr="00A50E4D">
        <w:rPr>
          <w:lang w:val="en-US"/>
        </w:rPr>
        <w:tab/>
      </w:r>
      <w:r w:rsidRPr="00914F55">
        <w:rPr>
          <w:lang w:val="en-US"/>
        </w:rPr>
        <w:t>Agreement for National Reconciliation and Consolidation of the Democratic System in the Republic of Honduras,</w:t>
      </w:r>
      <w:r w:rsidRPr="00A50E4D">
        <w:rPr>
          <w:lang w:val="en-US"/>
        </w:rPr>
        <w:t xml:space="preserve"> “Cartagena Agreement”. Colombia, May 22, 2011. Available at: </w:t>
      </w:r>
      <w:hyperlink r:id="rId17" w:history="1">
        <w:r w:rsidRPr="00A50E4D">
          <w:rPr>
            <w:rStyle w:val="Hyperlink"/>
            <w:color w:val="000000" w:themeColor="text1"/>
            <w:u w:val="none"/>
            <w:lang w:val="en-US"/>
          </w:rPr>
          <w:t>http://wsp.presidencia.gov.co/Prensa/2011/Mayo/Paginas/20110522_02.aspx</w:t>
        </w:r>
      </w:hyperlink>
      <w:r w:rsidRPr="00A50E4D">
        <w:rPr>
          <w:rStyle w:val="Hyperlink"/>
          <w:color w:val="000000" w:themeColor="text1"/>
          <w:u w:val="none"/>
          <w:lang w:val="en-US"/>
        </w:rPr>
        <w:t>.</w:t>
      </w:r>
    </w:p>
  </w:footnote>
  <w:footnote w:id="83">
    <w:p w14:paraId="630A788A" w14:textId="071074F3" w:rsidR="007353B6" w:rsidRPr="00A50E4D" w:rsidRDefault="007353B6" w:rsidP="006F7559">
      <w:pPr>
        <w:tabs>
          <w:tab w:val="left" w:pos="450"/>
          <w:tab w:val="left" w:pos="567"/>
        </w:tabs>
        <w:autoSpaceDE w:val="0"/>
        <w:autoSpaceDN w:val="0"/>
        <w:adjustRightInd w:val="0"/>
        <w:spacing w:before="120" w:after="120"/>
        <w:rPr>
          <w:rFonts w:cs="Arial"/>
          <w:i/>
          <w:iCs/>
          <w:sz w:val="16"/>
          <w:szCs w:val="16"/>
          <w:lang w:val="en-US"/>
        </w:rPr>
      </w:pPr>
      <w:r w:rsidRPr="00A50E4D">
        <w:rPr>
          <w:rStyle w:val="FootnoteReference"/>
          <w:lang w:val="en-US"/>
        </w:rPr>
        <w:footnoteRef/>
      </w:r>
      <w:r w:rsidRPr="00A50E4D">
        <w:rPr>
          <w:sz w:val="16"/>
          <w:szCs w:val="16"/>
          <w:lang w:val="en-US"/>
        </w:rPr>
        <w:t xml:space="preserve"> </w:t>
      </w:r>
      <w:r w:rsidRPr="00A50E4D">
        <w:rPr>
          <w:sz w:val="16"/>
          <w:szCs w:val="16"/>
          <w:lang w:val="en-US"/>
        </w:rPr>
        <w:tab/>
      </w:r>
      <w:r w:rsidRPr="00A50E4D">
        <w:rPr>
          <w:i/>
          <w:sz w:val="16"/>
          <w:szCs w:val="16"/>
          <w:lang w:val="en-US"/>
        </w:rPr>
        <w:t>Cf.</w:t>
      </w:r>
      <w:r w:rsidRPr="00A50E4D">
        <w:rPr>
          <w:sz w:val="16"/>
          <w:szCs w:val="16"/>
          <w:lang w:val="en-US"/>
        </w:rPr>
        <w:t xml:space="preserve"> </w:t>
      </w:r>
      <w:r w:rsidRPr="00A50E4D">
        <w:rPr>
          <w:rFonts w:cs="Arial"/>
          <w:iCs/>
          <w:sz w:val="16"/>
          <w:szCs w:val="16"/>
          <w:lang w:val="en-US"/>
        </w:rPr>
        <w:t>Resolution of the OAS General Assembly on the participation of Honduras in the Organization of American States</w:t>
      </w:r>
      <w:r w:rsidRPr="00A50E4D">
        <w:rPr>
          <w:rFonts w:cs="Arial"/>
          <w:sz w:val="16"/>
          <w:szCs w:val="16"/>
          <w:lang w:val="en-US"/>
        </w:rPr>
        <w:t>. AG/RES.1 (XLI-E/11), June 22, 2011. Available at: http://www.oas.org/council/sp/AG/41SGA.asp.</w:t>
      </w:r>
    </w:p>
  </w:footnote>
  <w:footnote w:id="84">
    <w:p w14:paraId="23BF3A46" w14:textId="4CB2F453"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Communiqué of the Supreme Court of Justice of June 28, 2009 (evidence file, folios 11 and 12).</w:t>
      </w:r>
    </w:p>
  </w:footnote>
  <w:footnote w:id="85">
    <w:p w14:paraId="7A2B57BB" w14:textId="6CA46891"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Communiqué of the Supreme Court of Justice of June 30, 2009 (evidence file, folio 15).</w:t>
      </w:r>
    </w:p>
  </w:footnote>
  <w:footnote w:id="86">
    <w:p w14:paraId="6BD1AC00" w14:textId="2F7940EA"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Communiqué of the Supreme Court of Justice of July 20, 2009 (evidence file, folio 22).</w:t>
      </w:r>
    </w:p>
  </w:footnote>
  <w:footnote w:id="87">
    <w:p w14:paraId="65C05AA2" w14:textId="16508099"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Communiqué of the Supreme Court of Justice of August 21, 2009 (evidence file, folios 27 to 31).</w:t>
      </w:r>
    </w:p>
  </w:footnote>
  <w:footnote w:id="88">
    <w:p w14:paraId="1F61E294" w14:textId="40C0FEF1"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Communiqué of the Supreme Court of Justice of August 21, 2009 (evidence file, folio 30).</w:t>
      </w:r>
    </w:p>
  </w:footnote>
  <w:footnote w:id="89">
    <w:p w14:paraId="093E068F" w14:textId="2A68E2A9"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 xml:space="preserve">Newspaper articles entitled: </w:t>
      </w:r>
      <w:r w:rsidRPr="00A50E4D">
        <w:rPr>
          <w:i/>
          <w:spacing w:val="-4"/>
          <w:lang w:val="en-US"/>
        </w:rPr>
        <w:t xml:space="preserve">“Micheletti consulta a la Corte opinión sobre polémico decreto” and “Micheletti y magistrados discuten decreto” </w:t>
      </w:r>
      <w:r w:rsidRPr="00A50E4D">
        <w:rPr>
          <w:spacing w:val="-4"/>
          <w:lang w:val="en-US"/>
        </w:rPr>
        <w:t xml:space="preserve">which appear in the file of the </w:t>
      </w:r>
      <w:r w:rsidRPr="00914F55">
        <w:rPr>
          <w:spacing w:val="-4"/>
          <w:lang w:val="en-US"/>
        </w:rPr>
        <w:t>action on constitutionality</w:t>
      </w:r>
      <w:r w:rsidRPr="00A50E4D">
        <w:rPr>
          <w:spacing w:val="-4"/>
          <w:lang w:val="en-US"/>
        </w:rPr>
        <w:t xml:space="preserve"> filed by Adán Guillermo López Lone (evidence file, folios 425 and 427). </w:t>
      </w:r>
    </w:p>
  </w:footnote>
  <w:footnote w:id="90">
    <w:p w14:paraId="5AEB36E2" w14:textId="56246CDA" w:rsidR="007353B6" w:rsidRPr="00A50E4D" w:rsidRDefault="007353B6" w:rsidP="006F7559">
      <w:pPr>
        <w:pStyle w:val="NoSpacing"/>
        <w:tabs>
          <w:tab w:val="left" w:pos="450"/>
          <w:tab w:val="left" w:pos="567"/>
        </w:tabs>
        <w:spacing w:before="120" w:after="120"/>
        <w:rPr>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Report of the Truth and Reconciliation Commission (CVR). </w:t>
      </w:r>
      <w:r w:rsidRPr="00914F55">
        <w:rPr>
          <w:i/>
          <w:iCs/>
          <w:spacing w:val="-4"/>
          <w:sz w:val="16"/>
          <w:szCs w:val="16"/>
        </w:rPr>
        <w:t>Para que los hechos no se repitan: Informe de la Comisión de la Verdad y la Reconciliación</w:t>
      </w:r>
      <w:r w:rsidRPr="00914F55">
        <w:rPr>
          <w:spacing w:val="-4"/>
          <w:sz w:val="16"/>
          <w:szCs w:val="16"/>
        </w:rPr>
        <w:t xml:space="preserve">, July 2011, p. 402 (evidence file, folio 7674). </w:t>
      </w:r>
      <w:r w:rsidRPr="00A50E4D">
        <w:rPr>
          <w:spacing w:val="-4"/>
          <w:sz w:val="16"/>
          <w:szCs w:val="16"/>
          <w:lang w:val="en-US"/>
        </w:rPr>
        <w:t>In this regard, the International Commission of Jurists indicated that these communiqués revealed a “broad and unconditional support for the Army’s actions [and] sent a clear message that the Supreme Court of Justice would not oppose the coup d’état.”</w:t>
      </w:r>
      <w:r w:rsidRPr="00A50E4D">
        <w:rPr>
          <w:rFonts w:cs="Arial"/>
          <w:color w:val="000000"/>
          <w:spacing w:val="-4"/>
          <w:sz w:val="16"/>
          <w:szCs w:val="16"/>
          <w:lang w:val="en-US" w:eastAsia="es-UY"/>
        </w:rPr>
        <w:t xml:space="preserve"> </w:t>
      </w:r>
      <w:r w:rsidRPr="00A50E4D">
        <w:rPr>
          <w:spacing w:val="-4"/>
          <w:sz w:val="16"/>
          <w:szCs w:val="16"/>
          <w:lang w:val="en-US"/>
        </w:rPr>
        <w:t>International Commission of Jurists</w:t>
      </w:r>
      <w:r w:rsidRPr="00A50E4D">
        <w:rPr>
          <w:rFonts w:cs="Arial"/>
          <w:color w:val="000000"/>
          <w:spacing w:val="-4"/>
          <w:sz w:val="16"/>
          <w:szCs w:val="16"/>
          <w:lang w:val="en-US" w:eastAsia="es-UY"/>
        </w:rPr>
        <w:t xml:space="preserve">, </w:t>
      </w:r>
      <w:r w:rsidRPr="00A50E4D">
        <w:rPr>
          <w:rFonts w:cs="Arial"/>
          <w:i/>
          <w:color w:val="000000"/>
          <w:spacing w:val="-4"/>
          <w:sz w:val="16"/>
          <w:szCs w:val="16"/>
          <w:lang w:val="en-US" w:eastAsia="es-UY"/>
        </w:rPr>
        <w:t>La independencia del Poder Judicial en Honduras (2004-2013),</w:t>
      </w:r>
      <w:r w:rsidRPr="00A50E4D">
        <w:rPr>
          <w:rFonts w:cs="Arial"/>
          <w:color w:val="000000"/>
          <w:spacing w:val="-4"/>
          <w:sz w:val="16"/>
          <w:szCs w:val="16"/>
          <w:lang w:val="en-US" w:eastAsia="es-UY"/>
        </w:rPr>
        <w:t xml:space="preserve"> pp. 30 Similarly, </w:t>
      </w:r>
      <w:r w:rsidRPr="00A50E4D">
        <w:rPr>
          <w:rFonts w:cs="Arial"/>
          <w:i/>
          <w:color w:val="000000"/>
          <w:spacing w:val="-4"/>
          <w:sz w:val="16"/>
          <w:szCs w:val="16"/>
          <w:lang w:val="en-US" w:eastAsia="es-UY"/>
        </w:rPr>
        <w:t xml:space="preserve">see, </w:t>
      </w:r>
      <w:r w:rsidRPr="00914F55">
        <w:rPr>
          <w:rFonts w:cs="Arial"/>
          <w:color w:val="000000"/>
          <w:spacing w:val="-4"/>
          <w:sz w:val="16"/>
          <w:szCs w:val="16"/>
          <w:lang w:val="en-US" w:eastAsia="es-UY"/>
        </w:rPr>
        <w:t xml:space="preserve">Human Rights Watch, </w:t>
      </w:r>
      <w:r w:rsidRPr="00914F55">
        <w:rPr>
          <w:rFonts w:cs="Arial"/>
          <w:i/>
          <w:color w:val="000000"/>
          <w:spacing w:val="-4"/>
          <w:sz w:val="16"/>
          <w:szCs w:val="16"/>
          <w:lang w:val="en-US" w:eastAsia="es-UY"/>
        </w:rPr>
        <w:t>After the Coup: Ongoing Violence, Intimidation, and Impunity in Honduras</w:t>
      </w:r>
      <w:r w:rsidRPr="00914F55">
        <w:rPr>
          <w:rFonts w:cs="Arial"/>
          <w:color w:val="000000"/>
          <w:spacing w:val="-4"/>
          <w:sz w:val="16"/>
          <w:szCs w:val="16"/>
          <w:lang w:val="en-US" w:eastAsia="es-UY"/>
        </w:rPr>
        <w:t>,</w:t>
      </w:r>
      <w:r w:rsidRPr="00A50E4D">
        <w:rPr>
          <w:rFonts w:cs="Arial"/>
          <w:color w:val="000000"/>
          <w:spacing w:val="-4"/>
          <w:sz w:val="16"/>
          <w:szCs w:val="16"/>
          <w:lang w:val="en-US" w:eastAsia="es-UY"/>
        </w:rPr>
        <w:t xml:space="preserve"> December 2010, p. 39. Available at: </w:t>
      </w:r>
      <w:r w:rsidRPr="00A50E4D">
        <w:rPr>
          <w:sz w:val="16"/>
          <w:szCs w:val="16"/>
          <w:lang w:val="en-US"/>
        </w:rPr>
        <w:t>https://www.hrw.org/sites/default/files/reports/honduras1210webwcover_0.pdf</w:t>
      </w:r>
    </w:p>
  </w:footnote>
  <w:footnote w:id="91">
    <w:p w14:paraId="0EC60C0C" w14:textId="57DAFA3B"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Press communiqué on statement made by the </w:t>
      </w:r>
      <w:r w:rsidRPr="00A50E4D">
        <w:rPr>
          <w:lang w:val="en-US"/>
        </w:rPr>
        <w:t>United Nations Special Rapporteur on the independence of judges and lawyers</w:t>
      </w:r>
      <w:r w:rsidRPr="00A50E4D">
        <w:rPr>
          <w:spacing w:val="-4"/>
          <w:lang w:val="en-US"/>
        </w:rPr>
        <w:t xml:space="preserve">. </w:t>
      </w:r>
      <w:r w:rsidRPr="00A50E4D">
        <w:rPr>
          <w:rFonts w:cs="Arial"/>
          <w:spacing w:val="-4"/>
          <w:lang w:val="en-US" w:eastAsia="es-UY"/>
        </w:rPr>
        <w:t xml:space="preserve">Available at: http://www.cinu.mx/noticias/la/honduras-relator-especial-urge/. See also, Expert opinion of </w:t>
      </w:r>
      <w:r w:rsidRPr="00A50E4D">
        <w:rPr>
          <w:spacing w:val="-4"/>
          <w:lang w:val="en-US"/>
        </w:rPr>
        <w:t xml:space="preserve">Leandro Despouy provided during the public hearing held in this case. </w:t>
      </w:r>
    </w:p>
  </w:footnote>
  <w:footnote w:id="92">
    <w:p w14:paraId="5EC8E26D" w14:textId="7E155682"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United Nations, </w:t>
      </w:r>
      <w:r w:rsidRPr="00914F55">
        <w:rPr>
          <w:i/>
          <w:iCs/>
          <w:spacing w:val="-4"/>
          <w:sz w:val="16"/>
          <w:szCs w:val="16"/>
          <w:lang w:val="en-US"/>
        </w:rPr>
        <w:t>Report of the United Nations High Commissioner for Human Rights on the violations of human rights in Honduras since the coup d’état on 28 June 2009</w:t>
      </w:r>
      <w:r w:rsidRPr="00A50E4D">
        <w:rPr>
          <w:spacing w:val="-4"/>
          <w:sz w:val="16"/>
          <w:szCs w:val="16"/>
          <w:lang w:val="en-US"/>
        </w:rPr>
        <w:t>. Doc. UN A/HRC/13/66, March 3, 2010, para. 73 (merits file, folio 1293).</w:t>
      </w:r>
    </w:p>
  </w:footnote>
  <w:footnote w:id="93">
    <w:p w14:paraId="5BA36708" w14:textId="52EF9065" w:rsidR="007353B6" w:rsidRPr="00914F55" w:rsidRDefault="007353B6" w:rsidP="006F7559">
      <w:pPr>
        <w:pStyle w:val="NoSpacing"/>
        <w:tabs>
          <w:tab w:val="left" w:pos="450"/>
          <w:tab w:val="left" w:pos="567"/>
        </w:tabs>
        <w:spacing w:before="120" w:after="120"/>
        <w:rPr>
          <w:spacing w:val="-4"/>
          <w:sz w:val="16"/>
          <w:szCs w:val="16"/>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Report of the Truth and Reconciliation Commission (CVR). </w:t>
      </w:r>
      <w:r w:rsidRPr="00914F55">
        <w:rPr>
          <w:i/>
          <w:iCs/>
          <w:spacing w:val="-4"/>
          <w:sz w:val="16"/>
          <w:szCs w:val="16"/>
        </w:rPr>
        <w:t>Para que los hechos no se repitan: Informe de la Comisión de la Verdad y la Reconciliación</w:t>
      </w:r>
      <w:r w:rsidRPr="00914F55">
        <w:rPr>
          <w:spacing w:val="-4"/>
          <w:sz w:val="16"/>
          <w:szCs w:val="16"/>
        </w:rPr>
        <w:t>, July 2011, p. 373 (evidence file, folio 7647).</w:t>
      </w:r>
    </w:p>
  </w:footnote>
  <w:footnote w:id="94">
    <w:p w14:paraId="26B48C47" w14:textId="064158E9" w:rsidR="007353B6" w:rsidRPr="00914F55" w:rsidRDefault="007353B6" w:rsidP="006F7559">
      <w:pPr>
        <w:pStyle w:val="NoSpacing"/>
        <w:tabs>
          <w:tab w:val="left" w:pos="450"/>
          <w:tab w:val="left" w:pos="567"/>
        </w:tabs>
        <w:spacing w:before="120" w:after="120"/>
        <w:rPr>
          <w:spacing w:val="-4"/>
          <w:sz w:val="16"/>
          <w:szCs w:val="16"/>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United Nations, </w:t>
      </w:r>
      <w:r w:rsidRPr="00A50E4D">
        <w:rPr>
          <w:i/>
          <w:iCs/>
          <w:spacing w:val="-4"/>
          <w:sz w:val="16"/>
          <w:szCs w:val="16"/>
          <w:lang w:val="en-US"/>
        </w:rPr>
        <w:t>Report of the United Nations High Commissioner for Human Rights on the violations of human rights in Honduras since the coup d’état on 28 June 2009</w:t>
      </w:r>
      <w:r w:rsidRPr="00A50E4D">
        <w:rPr>
          <w:spacing w:val="-4"/>
          <w:sz w:val="16"/>
          <w:szCs w:val="16"/>
          <w:lang w:val="en-US"/>
        </w:rPr>
        <w:t xml:space="preserve">. Doc. UN A/HRC/13/66, March 3, 2010, </w:t>
      </w:r>
      <w:r w:rsidRPr="00914F55">
        <w:rPr>
          <w:spacing w:val="-4"/>
          <w:sz w:val="16"/>
          <w:szCs w:val="16"/>
          <w:lang w:val="en-US"/>
        </w:rPr>
        <w:t>para. 76</w:t>
      </w:r>
      <w:r w:rsidRPr="00A50E4D">
        <w:rPr>
          <w:spacing w:val="-4"/>
          <w:sz w:val="16"/>
          <w:szCs w:val="16"/>
          <w:lang w:val="en-US"/>
        </w:rPr>
        <w:t xml:space="preserve"> (merits file, folio 1294); IACHR, </w:t>
      </w:r>
      <w:r w:rsidRPr="00A50E4D">
        <w:rPr>
          <w:i/>
          <w:spacing w:val="-4"/>
          <w:sz w:val="16"/>
          <w:szCs w:val="16"/>
          <w:lang w:val="en-US"/>
        </w:rPr>
        <w:t xml:space="preserve">Honduras: Human rights and the coup d’état. </w:t>
      </w:r>
      <w:r w:rsidRPr="00A50E4D">
        <w:rPr>
          <w:spacing w:val="-4"/>
          <w:sz w:val="16"/>
          <w:szCs w:val="16"/>
          <w:lang w:val="en-US"/>
        </w:rPr>
        <w:t xml:space="preserve">OEA/Ser.L/V/II. Doc 55, December 30, 2009, para. 175, and Report of the Truth and Reconciliation Commission (CVR). </w:t>
      </w:r>
      <w:r w:rsidRPr="00914F55">
        <w:rPr>
          <w:i/>
          <w:iCs/>
          <w:spacing w:val="-4"/>
          <w:sz w:val="16"/>
          <w:szCs w:val="16"/>
        </w:rPr>
        <w:t>Para que los hechos no se repitan: Informe de la Comisión de la Verdad y la Reconciliación</w:t>
      </w:r>
      <w:r w:rsidRPr="00914F55">
        <w:rPr>
          <w:spacing w:val="-4"/>
          <w:sz w:val="16"/>
          <w:szCs w:val="16"/>
        </w:rPr>
        <w:t>, July 2011, pp. 376 and 377 (evidence file, folios 7650 and 7651).</w:t>
      </w:r>
    </w:p>
  </w:footnote>
  <w:footnote w:id="95">
    <w:p w14:paraId="7776489F" w14:textId="59EF9876"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Communiqué of the Head of Personnel of the Personnel Management Directorate (evidence file, folio 397). Regarding this communication, an investigation carried out by the General Inspectorate of Courts and Tribunals concluded that the official had issued this in error. </w:t>
      </w:r>
      <w:r w:rsidRPr="00A50E4D">
        <w:rPr>
          <w:i/>
          <w:spacing w:val="-4"/>
          <w:sz w:val="16"/>
          <w:szCs w:val="16"/>
          <w:lang w:val="en-US"/>
        </w:rPr>
        <w:t xml:space="preserve">Cf. </w:t>
      </w:r>
      <w:r w:rsidRPr="00A50E4D">
        <w:rPr>
          <w:spacing w:val="-4"/>
          <w:sz w:val="16"/>
          <w:szCs w:val="16"/>
          <w:lang w:val="en-US"/>
        </w:rPr>
        <w:t xml:space="preserve">Report of June 14, 2010, signed by the General Inspector of Courts and Tribunals and addressed to the Supreme Court of Justice (evidence file, folios 854 and 858). </w:t>
      </w:r>
    </w:p>
  </w:footnote>
  <w:footnote w:id="96">
    <w:p w14:paraId="0FCCEAE2" w14:textId="539225AF"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color w:val="000000" w:themeColor="text1"/>
          <w:spacing w:val="-4"/>
          <w:sz w:val="16"/>
          <w:szCs w:val="16"/>
          <w:lang w:val="en-US"/>
        </w:rPr>
        <w:t xml:space="preserve">Cf. </w:t>
      </w:r>
      <w:r w:rsidRPr="00A50E4D">
        <w:rPr>
          <w:spacing w:val="-4"/>
          <w:sz w:val="16"/>
          <w:szCs w:val="16"/>
          <w:lang w:val="en-US"/>
        </w:rPr>
        <w:t xml:space="preserve">Judiciary of the Republic of Honduras, </w:t>
      </w:r>
      <w:r w:rsidRPr="00A50E4D">
        <w:rPr>
          <w:color w:val="000000" w:themeColor="text1"/>
          <w:spacing w:val="-4"/>
          <w:sz w:val="16"/>
          <w:szCs w:val="16"/>
          <w:lang w:val="en-US"/>
        </w:rPr>
        <w:t>Association of Judges for Democracy</w:t>
      </w:r>
      <w:r w:rsidRPr="00A50E4D">
        <w:rPr>
          <w:spacing w:val="-4"/>
          <w:sz w:val="16"/>
          <w:szCs w:val="16"/>
          <w:lang w:val="en-US"/>
        </w:rPr>
        <w:t xml:space="preserve">. Available at: </w:t>
      </w:r>
      <w:hyperlink r:id="rId18" w:history="1">
        <w:r w:rsidRPr="00A50E4D">
          <w:rPr>
            <w:rStyle w:val="Hyperlink"/>
            <w:color w:val="000000" w:themeColor="text1"/>
            <w:spacing w:val="-4"/>
            <w:sz w:val="16"/>
            <w:szCs w:val="16"/>
            <w:u w:val="none"/>
            <w:lang w:val="en-US"/>
          </w:rPr>
          <w:t>http://www.poderjudicial.gob.hn/asociaciones/Paginas/asociacionjd.aspx</w:t>
        </w:r>
      </w:hyperlink>
      <w:r w:rsidRPr="00A50E4D">
        <w:rPr>
          <w:spacing w:val="-4"/>
          <w:sz w:val="16"/>
          <w:szCs w:val="16"/>
          <w:lang w:val="en-US"/>
        </w:rPr>
        <w:t xml:space="preserve"> (cited in the pleadings and motions brief – merits file, folio 332).</w:t>
      </w:r>
    </w:p>
  </w:footnote>
  <w:footnote w:id="97">
    <w:p w14:paraId="1E7C5C39" w14:textId="5A563522"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color w:val="000000" w:themeColor="text1"/>
          <w:spacing w:val="-4"/>
          <w:lang w:val="en-US"/>
        </w:rPr>
        <w:footnoteRef/>
      </w:r>
      <w:r w:rsidRPr="00A50E4D">
        <w:rPr>
          <w:color w:val="000000" w:themeColor="text1"/>
          <w:spacing w:val="-4"/>
          <w:sz w:val="16"/>
          <w:szCs w:val="16"/>
          <w:lang w:val="en-US"/>
        </w:rPr>
        <w:t xml:space="preserve"> </w:t>
      </w:r>
      <w:r w:rsidRPr="00A50E4D">
        <w:rPr>
          <w:color w:val="000000" w:themeColor="text1"/>
          <w:spacing w:val="-4"/>
          <w:sz w:val="16"/>
          <w:szCs w:val="16"/>
          <w:lang w:val="en-US"/>
        </w:rPr>
        <w:tab/>
      </w:r>
      <w:r w:rsidRPr="00A50E4D">
        <w:rPr>
          <w:i/>
          <w:color w:val="000000" w:themeColor="text1"/>
          <w:spacing w:val="-4"/>
          <w:sz w:val="16"/>
          <w:szCs w:val="16"/>
          <w:lang w:val="en-US"/>
        </w:rPr>
        <w:t xml:space="preserve">Cf. </w:t>
      </w:r>
      <w:r w:rsidRPr="00A50E4D">
        <w:rPr>
          <w:color w:val="000000" w:themeColor="text1"/>
          <w:spacing w:val="-4"/>
          <w:sz w:val="16"/>
          <w:szCs w:val="16"/>
          <w:lang w:val="en-US"/>
        </w:rPr>
        <w:t xml:space="preserve">Statutes of the Association of Judges for Democracy (AJD). Published in Official Gazette No. 31.528 of October 10, 2007, articles 6, 8 and 12 Available at: </w:t>
      </w:r>
      <w:hyperlink r:id="rId19" w:history="1">
        <w:r w:rsidRPr="00A50E4D">
          <w:rPr>
            <w:rStyle w:val="Hyperlink"/>
            <w:spacing w:val="-4"/>
            <w:sz w:val="16"/>
            <w:szCs w:val="16"/>
            <w:lang w:val="en-US"/>
          </w:rPr>
          <w:t>http://www.poderjudicial.gob.hn/asociaciones/Documents/Estatutos%20Asociaci%C3 %B3n%20de%20Judges%20por%20la%20Democracia.pdf</w:t>
        </w:r>
      </w:hyperlink>
      <w:r w:rsidRPr="00A50E4D">
        <w:rPr>
          <w:spacing w:val="-4"/>
          <w:sz w:val="16"/>
          <w:szCs w:val="16"/>
          <w:lang w:val="en-US"/>
        </w:rPr>
        <w:t xml:space="preserve"> </w:t>
      </w:r>
    </w:p>
  </w:footnote>
  <w:footnote w:id="98">
    <w:p w14:paraId="2D614D9C" w14:textId="325ADA36"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Communiqué of the Association of Judges for Democracy of July 28, 2009 (evidence file</w:t>
      </w:r>
      <w:r w:rsidRPr="00A50E4D">
        <w:rPr>
          <w:rFonts w:cs="Arial"/>
          <w:spacing w:val="-4"/>
          <w:sz w:val="16"/>
          <w:szCs w:val="16"/>
          <w:lang w:val="en-US"/>
        </w:rPr>
        <w:t>, folios 37 and 38).</w:t>
      </w:r>
    </w:p>
  </w:footnote>
  <w:footnote w:id="99">
    <w:p w14:paraId="08EB1B17" w14:textId="441077AB"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Communiqué of the Association of Judges for Democracy of August 14, 2009 (evidence file</w:t>
      </w:r>
      <w:r w:rsidRPr="00A50E4D">
        <w:rPr>
          <w:rFonts w:cs="Arial"/>
          <w:spacing w:val="-4"/>
          <w:sz w:val="16"/>
          <w:szCs w:val="16"/>
          <w:lang w:val="en-US"/>
        </w:rPr>
        <w:t>, folio 41).</w:t>
      </w:r>
    </w:p>
  </w:footnote>
  <w:footnote w:id="100">
    <w:p w14:paraId="3E7AE46C" w14:textId="74090CC9"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Communiqué of the Association of Judges for Democracy of October 7, 2009 (evidence file</w:t>
      </w:r>
      <w:r w:rsidRPr="00A50E4D">
        <w:rPr>
          <w:rFonts w:cs="Arial"/>
          <w:spacing w:val="-4"/>
          <w:sz w:val="16"/>
          <w:szCs w:val="16"/>
          <w:lang w:val="en-US"/>
        </w:rPr>
        <w:t xml:space="preserve">, folio 434), and </w:t>
      </w:r>
      <w:r w:rsidRPr="00A50E4D">
        <w:rPr>
          <w:spacing w:val="-4"/>
          <w:sz w:val="16"/>
          <w:szCs w:val="16"/>
          <w:lang w:val="en-US"/>
        </w:rPr>
        <w:t>Communiqué of the Association of Judges for Democracy of November 3, 2009 (evidence file</w:t>
      </w:r>
      <w:r w:rsidRPr="00A50E4D">
        <w:rPr>
          <w:rFonts w:cs="Arial"/>
          <w:spacing w:val="-4"/>
          <w:sz w:val="16"/>
          <w:szCs w:val="16"/>
          <w:lang w:val="en-US"/>
        </w:rPr>
        <w:t>, folio 45).</w:t>
      </w:r>
    </w:p>
  </w:footnote>
  <w:footnote w:id="101">
    <w:p w14:paraId="0B99DD60" w14:textId="0A7B6C61"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1982</w:t>
      </w:r>
      <w:r w:rsidRPr="00A50E4D">
        <w:rPr>
          <w:i/>
          <w:spacing w:val="-4"/>
          <w:sz w:val="16"/>
          <w:szCs w:val="16"/>
          <w:lang w:val="en-US"/>
        </w:rPr>
        <w:t xml:space="preserve"> </w:t>
      </w:r>
      <w:r w:rsidRPr="00A50E4D">
        <w:rPr>
          <w:spacing w:val="-4"/>
          <w:sz w:val="16"/>
          <w:szCs w:val="16"/>
          <w:lang w:val="en-US"/>
        </w:rPr>
        <w:t xml:space="preserve">Constitution of the Republic of Honduras (as amended up until January 20, 2006), article 317, which establishes: “The Council of the Judiciary shall be established, and its members shall be designated by the Supreme Court of Justice. The law shall indicate its organization, scope and faculties. Judges and justices may not be removed, suspended, transferred, demoted or retired, unless this is based on the reasons and with the guarantees established by law.” Available at: </w:t>
      </w:r>
      <w:hyperlink r:id="rId20" w:history="1">
        <w:r w:rsidRPr="00A50E4D">
          <w:rPr>
            <w:rStyle w:val="Hyperlink"/>
            <w:color w:val="000000" w:themeColor="text1"/>
            <w:spacing w:val="-4"/>
            <w:sz w:val="16"/>
            <w:szCs w:val="16"/>
            <w:u w:val="none"/>
            <w:lang w:val="en-US"/>
          </w:rPr>
          <w:t>http://www.poderjudicial.gob.hn/CEDIJ/Leyes/Documents/CONSTITUCI%C3%93N%20DE%20LA%20REP%C3%9ABLICA%20%2809%29.pdf</w:t>
        </w:r>
      </w:hyperlink>
      <w:r w:rsidRPr="00A50E4D">
        <w:rPr>
          <w:color w:val="000000" w:themeColor="text1"/>
          <w:spacing w:val="-4"/>
          <w:sz w:val="16"/>
          <w:szCs w:val="16"/>
          <w:lang w:val="en-US"/>
        </w:rPr>
        <w:t xml:space="preserve"> </w:t>
      </w:r>
    </w:p>
  </w:footnote>
  <w:footnote w:id="102">
    <w:p w14:paraId="28CE730F" w14:textId="6259F7B6"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Judicial Service Act (evidence file</w:t>
      </w:r>
      <w:r w:rsidRPr="00A50E4D">
        <w:rPr>
          <w:rFonts w:cs="Arial"/>
          <w:spacing w:val="-4"/>
          <w:sz w:val="16"/>
          <w:szCs w:val="16"/>
          <w:lang w:val="en-US"/>
        </w:rPr>
        <w:t>, folios 4150 to 4176), and Regulations governing the Judicial Service Act (evidence file, folios 158 to 209).</w:t>
      </w:r>
    </w:p>
  </w:footnote>
  <w:footnote w:id="103">
    <w:p w14:paraId="1320CF5C" w14:textId="6D64ECF8" w:rsidR="007353B6" w:rsidRPr="00F25627" w:rsidRDefault="007353B6" w:rsidP="006F7559">
      <w:pPr>
        <w:pStyle w:val="NoSpacing"/>
        <w:tabs>
          <w:tab w:val="left" w:pos="450"/>
          <w:tab w:val="left" w:pos="567"/>
        </w:tabs>
        <w:spacing w:before="120" w:after="120"/>
        <w:rPr>
          <w:spacing w:val="-4"/>
          <w:sz w:val="16"/>
          <w:szCs w:val="16"/>
          <w:lang w:val="es-CR"/>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 </w:t>
      </w:r>
      <w:r w:rsidRPr="00A50E4D">
        <w:rPr>
          <w:i/>
          <w:spacing w:val="-4"/>
          <w:sz w:val="16"/>
          <w:szCs w:val="16"/>
          <w:lang w:val="en-US"/>
        </w:rPr>
        <w:t xml:space="preserve">Cf. </w:t>
      </w:r>
      <w:r w:rsidRPr="00A50E4D">
        <w:rPr>
          <w:sz w:val="16"/>
          <w:szCs w:val="16"/>
          <w:lang w:val="en-US"/>
        </w:rPr>
        <w:t>Law on the Organization and Faculties of the Courts</w:t>
      </w:r>
      <w:r w:rsidRPr="00A50E4D">
        <w:rPr>
          <w:spacing w:val="-4"/>
          <w:sz w:val="16"/>
          <w:szCs w:val="16"/>
          <w:lang w:val="en-US"/>
        </w:rPr>
        <w:t xml:space="preserve">. Available at: </w:t>
      </w:r>
      <w:hyperlink r:id="rId21" w:history="1">
        <w:r w:rsidRPr="00A50E4D">
          <w:rPr>
            <w:rStyle w:val="Hyperlink"/>
            <w:spacing w:val="-4"/>
            <w:sz w:val="16"/>
            <w:szCs w:val="16"/>
            <w:lang w:val="en-US"/>
          </w:rPr>
          <w:t>http://www.poderjudicial.gob.hn/CEDIJ/ Leyes/Documents/LEY%20DE%20ORGANIZACI%C3%93N%20Y%20ATRIBUCIONES%20DE%20LOS%20TRIBUNALES%20%28ACTUALIZADA-07%29.pdf</w:t>
        </w:r>
      </w:hyperlink>
      <w:r w:rsidRPr="00A50E4D">
        <w:rPr>
          <w:spacing w:val="-4"/>
          <w:sz w:val="16"/>
          <w:szCs w:val="16"/>
          <w:lang w:val="en-US"/>
        </w:rPr>
        <w:t xml:space="preserve">; Rules of procedure of the Judicial Service Council (evidence file, folios 209 to 223), and Rules of procedure of the General Inspectorate of Courts. </w:t>
      </w:r>
      <w:r w:rsidRPr="00F25627">
        <w:rPr>
          <w:spacing w:val="-4"/>
          <w:sz w:val="16"/>
          <w:szCs w:val="16"/>
          <w:lang w:val="es-CR"/>
        </w:rPr>
        <w:t xml:space="preserve">Available at: </w:t>
      </w:r>
      <w:hyperlink r:id="rId22" w:history="1">
        <w:r w:rsidRPr="00F25627">
          <w:rPr>
            <w:rStyle w:val="Hyperlink"/>
            <w:spacing w:val="-4"/>
            <w:sz w:val="16"/>
            <w:szCs w:val="16"/>
            <w:lang w:val="es-CR"/>
          </w:rPr>
          <w:t>http://www.poderjudicial.gob.hn/transparencia/ regulacion/Documents/Reglamento%20de%20la%20Inspector%C3%ADa%20General%20de%20Tribunales.pdf</w:t>
        </w:r>
      </w:hyperlink>
    </w:p>
  </w:footnote>
  <w:footnote w:id="104">
    <w:p w14:paraId="6CBFA5C8" w14:textId="5567C955"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rFonts w:cs="Arial"/>
          <w:spacing w:val="-4"/>
          <w:sz w:val="16"/>
          <w:szCs w:val="16"/>
          <w:lang w:val="en-US"/>
        </w:rPr>
        <w:t xml:space="preserve">Code of Ethics for Judicial Officials and Employees, adopted by the Supreme Court of Justice by Judicial Decision No. 558 (evidence file, folios 5613 and 5619). </w:t>
      </w:r>
      <w:r w:rsidRPr="00A50E4D">
        <w:rPr>
          <w:spacing w:val="-4"/>
          <w:sz w:val="16"/>
          <w:szCs w:val="16"/>
          <w:lang w:val="en-US"/>
        </w:rPr>
        <w:t xml:space="preserve">In particular, in the proceedings of the presumed victims, the Supreme Court cited and applied the following provisions of that Code: “Article 1: Judges, Justices, Judicial Auxiliaries and other personnel of the Judiciary must exercise their functions with dignity, abstaining from any conduct contrary to the seriousness and decorum that these require. Consequently, they must: […] (d) Avoid going to indecorous places or participating in events that could alter public order. […] (f) Attend, on time, the hearings or meetings legally called by the superior authorities, provided these have been scheduled previously. Article 2: Justices or Judges must exercise their functions with integrity; thus, they must act with honesty, independence, impartiality and equanimity. To this end, they must: […] (d) Abstain from expressing or communicating political opinions, publicly or privately. Their intervention should be restricted to exercising the right to vote.  […] (f) Act, above all, in a way that their conduct does not cause even the least suspicion that they have act based on any motive other than the correct application of the law. […] </w:t>
      </w:r>
      <w:r w:rsidRPr="00A50E4D">
        <w:rPr>
          <w:rFonts w:eastAsiaTheme="minorHAnsi" w:cs="Arial-BoldMT"/>
          <w:bCs/>
          <w:spacing w:val="-4"/>
          <w:sz w:val="16"/>
          <w:szCs w:val="16"/>
          <w:lang w:val="en-US"/>
        </w:rPr>
        <w:t xml:space="preserve">Article 8. All justices and judges must conduct themselves in their private and social life respecting the following rules: (a) they must conduct themselves in a way that no one can doubt that they are exemplary citizens, offering serenity in their opinions, prudence in their actions, and reflection in their decisions. […] </w:t>
      </w:r>
      <w:r w:rsidRPr="00A50E4D">
        <w:rPr>
          <w:spacing w:val="-4"/>
          <w:sz w:val="16"/>
          <w:szCs w:val="16"/>
          <w:lang w:val="en-US"/>
        </w:rPr>
        <w:t xml:space="preserve">Article 9: Violations of the norms of this Code shall be sanctioned pursuant to the law.” According to information provided by the State, which was not contested by </w:t>
      </w:r>
      <w:r w:rsidRPr="00A50E4D">
        <w:rPr>
          <w:rFonts w:cs="Arial"/>
          <w:spacing w:val="-4"/>
          <w:sz w:val="16"/>
          <w:szCs w:val="16"/>
          <w:lang w:val="en-US"/>
        </w:rPr>
        <w:t xml:space="preserve">the representatives, this Code forms part of domestic law, “approved by Judicial Decision No. 558 of July 1, 1993, and published in Official Gazette No. 27126 of August 19, 1993; it is a law of the Republic and, therefore, compliance with it is compulsory.” </w:t>
      </w:r>
      <w:r w:rsidRPr="00A50E4D">
        <w:rPr>
          <w:rFonts w:cs="Arial"/>
          <w:i/>
          <w:spacing w:val="-4"/>
          <w:sz w:val="16"/>
          <w:szCs w:val="16"/>
          <w:lang w:val="en-US"/>
        </w:rPr>
        <w:t xml:space="preserve">Cf. </w:t>
      </w:r>
      <w:r w:rsidRPr="00A50E4D">
        <w:rPr>
          <w:rFonts w:cs="Arial"/>
          <w:spacing w:val="-4"/>
          <w:sz w:val="16"/>
          <w:szCs w:val="16"/>
          <w:lang w:val="en-US"/>
        </w:rPr>
        <w:t>Brief of the State received on August 7, 2015 (merits file, folio 1886), and brief of the representatives received on August 12, 2015 (merits file, folio 1899).</w:t>
      </w:r>
    </w:p>
  </w:footnote>
  <w:footnote w:id="105">
    <w:p w14:paraId="0F47CDB0" w14:textId="3F3ACBF2" w:rsidR="007353B6" w:rsidRPr="00A50E4D" w:rsidRDefault="007353B6" w:rsidP="006F7559">
      <w:pPr>
        <w:tabs>
          <w:tab w:val="left" w:pos="450"/>
          <w:tab w:val="left" w:pos="567"/>
        </w:tabs>
        <w:autoSpaceDE w:val="0"/>
        <w:autoSpaceDN w:val="0"/>
        <w:adjustRightInd w:val="0"/>
        <w:spacing w:before="120" w:after="120"/>
        <w:ind w:right="-35"/>
        <w:rPr>
          <w:rFonts w:eastAsiaTheme="minorHAnsi" w:cs="ArialMT"/>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color w:val="000000" w:themeColor="text1"/>
          <w:spacing w:val="-4"/>
          <w:sz w:val="16"/>
          <w:szCs w:val="16"/>
          <w:lang w:val="en-US"/>
        </w:rPr>
        <w:t xml:space="preserve">Cf. </w:t>
      </w:r>
      <w:r w:rsidRPr="00A50E4D">
        <w:rPr>
          <w:spacing w:val="-4"/>
          <w:sz w:val="16"/>
          <w:szCs w:val="16"/>
          <w:lang w:val="en-US"/>
        </w:rPr>
        <w:t xml:space="preserve">Ibero-American Model Code of Judicial Ethics, 2006. Available at: </w:t>
      </w:r>
      <w:hyperlink r:id="rId23" w:history="1">
        <w:r w:rsidRPr="00A50E4D">
          <w:rPr>
            <w:rStyle w:val="Hyperlink"/>
            <w:spacing w:val="-4"/>
            <w:sz w:val="16"/>
            <w:szCs w:val="16"/>
            <w:lang w:val="en-US"/>
          </w:rPr>
          <w:t>http://www.poderjudicial.gob.hn/ CUMBREJUDICIALIBEROAMERICANA/Documents/CodigoEtico.pdf</w:t>
        </w:r>
      </w:hyperlink>
      <w:r w:rsidRPr="00A50E4D">
        <w:rPr>
          <w:rStyle w:val="Hyperlink"/>
          <w:color w:val="000000" w:themeColor="text1"/>
          <w:spacing w:val="-4"/>
          <w:sz w:val="16"/>
          <w:szCs w:val="16"/>
          <w:u w:val="none"/>
          <w:lang w:val="en-US"/>
        </w:rPr>
        <w:t xml:space="preserve"> </w:t>
      </w:r>
      <w:r w:rsidRPr="00A50E4D">
        <w:rPr>
          <w:spacing w:val="-4"/>
          <w:sz w:val="16"/>
          <w:szCs w:val="16"/>
          <w:lang w:val="en-US"/>
        </w:rPr>
        <w:t xml:space="preserve"> According to information provided by the State, which was not contested by </w:t>
      </w:r>
      <w:r w:rsidRPr="00A50E4D">
        <w:rPr>
          <w:rFonts w:cs="Arial"/>
          <w:spacing w:val="-4"/>
          <w:sz w:val="16"/>
          <w:szCs w:val="16"/>
          <w:lang w:val="en-US"/>
        </w:rPr>
        <w:t xml:space="preserve">the representatives, this Code was adopted by the judicial authorities in June 2006 and contains “binding norms of an infra-legal nature.” </w:t>
      </w:r>
      <w:r w:rsidRPr="00A50E4D">
        <w:rPr>
          <w:rFonts w:cs="Arial"/>
          <w:i/>
          <w:spacing w:val="-4"/>
          <w:sz w:val="16"/>
          <w:szCs w:val="16"/>
          <w:lang w:val="en-US"/>
        </w:rPr>
        <w:t xml:space="preserve">Cf. </w:t>
      </w:r>
      <w:r w:rsidRPr="00A50E4D">
        <w:rPr>
          <w:rFonts w:cs="Arial"/>
          <w:spacing w:val="-4"/>
          <w:sz w:val="16"/>
          <w:szCs w:val="16"/>
          <w:lang w:val="en-US"/>
        </w:rPr>
        <w:t>Brief of the State received on August 7, 2015 (merits file, folio 1885), and Brief of the representatives received on August 12, 2015 (merits file, folio 1899).</w:t>
      </w:r>
    </w:p>
  </w:footnote>
  <w:footnote w:id="106">
    <w:p w14:paraId="50AA9F4B" w14:textId="0A20209C"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color w:val="000000" w:themeColor="text1"/>
          <w:spacing w:val="-4"/>
          <w:sz w:val="16"/>
          <w:szCs w:val="16"/>
          <w:lang w:val="en-US"/>
        </w:rPr>
        <w:t xml:space="preserve">Cf. </w:t>
      </w:r>
      <w:r w:rsidRPr="00A50E4D">
        <w:rPr>
          <w:spacing w:val="-4"/>
          <w:sz w:val="16"/>
          <w:szCs w:val="16"/>
          <w:lang w:val="en-US"/>
        </w:rPr>
        <w:t xml:space="preserve">Statute of the Ibero-American Judge. Available at: </w:t>
      </w:r>
      <w:hyperlink r:id="rId24" w:history="1">
        <w:r w:rsidRPr="00A50E4D">
          <w:rPr>
            <w:rStyle w:val="Hyperlink"/>
            <w:spacing w:val="-4"/>
            <w:sz w:val="16"/>
            <w:szCs w:val="16"/>
            <w:lang w:val="en-US"/>
          </w:rPr>
          <w:t>http://www.poderjudicial.gob.hn/transparencia/regulacion/ Documents/Estatuto%20del%20Judge%20Iberoamericano.pdf</w:t>
        </w:r>
      </w:hyperlink>
      <w:r w:rsidRPr="00A50E4D">
        <w:rPr>
          <w:spacing w:val="-4"/>
          <w:sz w:val="16"/>
          <w:szCs w:val="16"/>
          <w:lang w:val="en-US"/>
        </w:rPr>
        <w:t xml:space="preserve">  According to information provided by the State, which was not contested by </w:t>
      </w:r>
      <w:r w:rsidRPr="00A50E4D">
        <w:rPr>
          <w:rFonts w:cs="Arial"/>
          <w:spacing w:val="-4"/>
          <w:sz w:val="16"/>
          <w:szCs w:val="16"/>
          <w:lang w:val="en-US"/>
        </w:rPr>
        <w:t xml:space="preserve">the representatives, this Code was adopted by the judicial authorities in May 2001 and contains “binding norms of an infra-legal nature.” </w:t>
      </w:r>
      <w:r w:rsidRPr="00A50E4D">
        <w:rPr>
          <w:rFonts w:cs="Arial"/>
          <w:i/>
          <w:spacing w:val="-4"/>
          <w:sz w:val="16"/>
          <w:szCs w:val="16"/>
          <w:lang w:val="en-US"/>
        </w:rPr>
        <w:t xml:space="preserve">Cf. </w:t>
      </w:r>
      <w:r w:rsidRPr="00A50E4D">
        <w:rPr>
          <w:rFonts w:cs="Arial"/>
          <w:spacing w:val="-4"/>
          <w:sz w:val="16"/>
          <w:szCs w:val="16"/>
          <w:lang w:val="en-US"/>
        </w:rPr>
        <w:t>Brief of the State received on August 7, 2015 (merits file, folio 1885), and Brief of the representatives received on August 12, 2015 (merits file, folio 1899).</w:t>
      </w:r>
    </w:p>
  </w:footnote>
  <w:footnote w:id="107">
    <w:p w14:paraId="00742244" w14:textId="697B17BF" w:rsidR="007353B6" w:rsidRPr="00A50E4D" w:rsidRDefault="007353B6" w:rsidP="006F7559">
      <w:pPr>
        <w:pStyle w:val="NoSpacing"/>
        <w:tabs>
          <w:tab w:val="left" w:pos="450"/>
          <w:tab w:val="left" w:pos="567"/>
        </w:tabs>
        <w:spacing w:before="120" w:after="120"/>
        <w:rPr>
          <w:color w:val="000000" w:themeColor="text1"/>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1982 Constitution of the Republic of Honduras (as amended up until January 20, 2006), article 319. Available at: </w:t>
      </w:r>
      <w:hyperlink r:id="rId25" w:history="1">
        <w:r w:rsidRPr="00A50E4D">
          <w:rPr>
            <w:rStyle w:val="Hyperlink"/>
            <w:color w:val="000000" w:themeColor="text1"/>
            <w:spacing w:val="-4"/>
            <w:sz w:val="16"/>
            <w:szCs w:val="16"/>
            <w:u w:val="none"/>
            <w:lang w:val="en-US"/>
          </w:rPr>
          <w:t>http://www.poderjudicial.gob.hn/CEDIJ/Leyes/Documents/CONSTITUCI%C3%93N%20DE%20LA%20REP%C3%9ABLICA%20%2809%29.pdf</w:t>
        </w:r>
      </w:hyperlink>
    </w:p>
  </w:footnote>
  <w:footnote w:id="108">
    <w:p w14:paraId="77CD4A8B" w14:textId="53DE6D05" w:rsidR="007353B6" w:rsidRPr="00A50E4D" w:rsidRDefault="007353B6" w:rsidP="006F7559">
      <w:pPr>
        <w:pStyle w:val="NoSpacing"/>
        <w:tabs>
          <w:tab w:val="left" w:pos="450"/>
          <w:tab w:val="left" w:pos="567"/>
        </w:tabs>
        <w:spacing w:before="120" w:after="120"/>
        <w:rPr>
          <w:i/>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Judicial Service Act (evidence file</w:t>
      </w:r>
      <w:r w:rsidRPr="00A50E4D">
        <w:rPr>
          <w:rFonts w:cs="Arial"/>
          <w:spacing w:val="-4"/>
          <w:sz w:val="16"/>
          <w:szCs w:val="16"/>
          <w:lang w:val="en-US"/>
        </w:rPr>
        <w:t>, folios 4161 to 4166). See also: Regulations governing the Judicial Service Act, article 174 (evidence file, folio 198).</w:t>
      </w:r>
    </w:p>
  </w:footnote>
  <w:footnote w:id="109">
    <w:p w14:paraId="19B1BCC5" w14:textId="42B755C8" w:rsidR="007353B6" w:rsidRPr="00A50E4D" w:rsidRDefault="007353B6" w:rsidP="006F7559">
      <w:pPr>
        <w:tabs>
          <w:tab w:val="left" w:pos="450"/>
          <w:tab w:val="left" w:pos="567"/>
        </w:tabs>
        <w:autoSpaceDE w:val="0"/>
        <w:autoSpaceDN w:val="0"/>
        <w:adjustRightInd w:val="0"/>
        <w:spacing w:before="120" w:after="120"/>
        <w:rPr>
          <w:rFonts w:cs="Arial"/>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Judicial Service Act, article 56 (evidence file</w:t>
      </w:r>
      <w:r w:rsidRPr="00A50E4D">
        <w:rPr>
          <w:rFonts w:cs="Arial"/>
          <w:spacing w:val="-4"/>
          <w:sz w:val="16"/>
          <w:szCs w:val="16"/>
          <w:lang w:val="en-US"/>
        </w:rPr>
        <w:t xml:space="preserve">, folio 4166), and Regulations governing the Judicial Service Act, article 180 (evidence file, folio 199). In addition, the act and its regulations established that “[t]he disciplinary sanctions shall be applied taking into account the nature of the offense, the functions performed by the offender, the latter’s level of participation in the offense, and any prior appraisals or sanctions. In order to make this assessment, the Public Prosecution Service shall provide the offender’s professional record to the file.” </w:t>
      </w:r>
      <w:r w:rsidRPr="00A50E4D">
        <w:rPr>
          <w:spacing w:val="-4"/>
          <w:sz w:val="16"/>
          <w:szCs w:val="16"/>
          <w:lang w:val="en-US"/>
        </w:rPr>
        <w:t>Judicial Service Act, article 60 (evidence file</w:t>
      </w:r>
      <w:r w:rsidRPr="00A50E4D">
        <w:rPr>
          <w:rFonts w:cs="Arial"/>
          <w:spacing w:val="-4"/>
          <w:sz w:val="16"/>
          <w:szCs w:val="16"/>
          <w:lang w:val="en-US"/>
        </w:rPr>
        <w:t>, folio 4166), and Regulations governing the Judicial Service Act, article 184 (evidence file, folio 199).</w:t>
      </w:r>
    </w:p>
  </w:footnote>
  <w:footnote w:id="110">
    <w:p w14:paraId="52A39839" w14:textId="7BBDDFBC" w:rsidR="007353B6" w:rsidRPr="00A50E4D" w:rsidRDefault="007353B6" w:rsidP="006F7559">
      <w:pPr>
        <w:tabs>
          <w:tab w:val="left" w:pos="450"/>
          <w:tab w:val="left" w:pos="567"/>
        </w:tabs>
        <w:autoSpaceDE w:val="0"/>
        <w:autoSpaceDN w:val="0"/>
        <w:adjustRightInd w:val="0"/>
        <w:spacing w:before="120" w:after="120"/>
        <w:rPr>
          <w:rFonts w:cs="Arial"/>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Judicial Service Act, article 59 (evidence file</w:t>
      </w:r>
      <w:r w:rsidRPr="00A50E4D">
        <w:rPr>
          <w:rFonts w:cs="Arial"/>
          <w:spacing w:val="-4"/>
          <w:sz w:val="16"/>
          <w:szCs w:val="16"/>
          <w:lang w:val="en-US"/>
        </w:rPr>
        <w:t xml:space="preserve">, folio 4166), and Regulations governing the Judicial Service Act, article 183 (evidence file, folio 199). </w:t>
      </w:r>
    </w:p>
  </w:footnote>
  <w:footnote w:id="111">
    <w:p w14:paraId="7CD3236D" w14:textId="4CD84D4C"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Judicial Service Act, article 64 (evidence file</w:t>
      </w:r>
      <w:r w:rsidRPr="00A50E4D">
        <w:rPr>
          <w:rFonts w:cs="Arial"/>
          <w:spacing w:val="-4"/>
          <w:sz w:val="16"/>
          <w:szCs w:val="16"/>
          <w:lang w:val="en-US"/>
        </w:rPr>
        <w:t>, folios 4167 and 4168). See also:</w:t>
      </w:r>
      <w:r w:rsidRPr="00A50E4D">
        <w:rPr>
          <w:rFonts w:cs="Arial"/>
          <w:i/>
          <w:spacing w:val="-4"/>
          <w:sz w:val="16"/>
          <w:szCs w:val="16"/>
          <w:lang w:val="en-US"/>
        </w:rPr>
        <w:t xml:space="preserve"> </w:t>
      </w:r>
      <w:r w:rsidRPr="00A50E4D">
        <w:rPr>
          <w:rFonts w:cs="Arial"/>
          <w:spacing w:val="-4"/>
          <w:sz w:val="16"/>
          <w:szCs w:val="16"/>
          <w:lang w:val="en-US"/>
        </w:rPr>
        <w:t>Regulations governing the Judicial Service Act, article 187 (evidence file, folio 200).</w:t>
      </w:r>
    </w:p>
  </w:footnote>
  <w:footnote w:id="112">
    <w:p w14:paraId="32100586" w14:textId="78820B5A"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The Regulations classify offenses as minor, less serious, and serious, while the Act only refers to minor or serious offenses.  </w:t>
      </w:r>
      <w:r w:rsidRPr="00A50E4D">
        <w:rPr>
          <w:i/>
          <w:spacing w:val="-4"/>
          <w:lang w:val="en-US"/>
        </w:rPr>
        <w:t>Cf.</w:t>
      </w:r>
      <w:r w:rsidRPr="00A50E4D">
        <w:rPr>
          <w:rFonts w:cs="Arial"/>
          <w:spacing w:val="-4"/>
          <w:lang w:val="en-US"/>
        </w:rPr>
        <w:t xml:space="preserve"> Regulations governing the Judicial Service Act, articles 175, 177 and 178 (evidence file, folio 198), and </w:t>
      </w:r>
      <w:r w:rsidRPr="00A50E4D">
        <w:rPr>
          <w:spacing w:val="-4"/>
          <w:lang w:val="en-US"/>
        </w:rPr>
        <w:t>Judicial Service Act, article 59 (evidence file</w:t>
      </w:r>
      <w:r w:rsidRPr="00A50E4D">
        <w:rPr>
          <w:rFonts w:cs="Arial"/>
          <w:spacing w:val="-4"/>
          <w:lang w:val="en-US"/>
        </w:rPr>
        <w:t>, folio 4166).</w:t>
      </w:r>
    </w:p>
  </w:footnote>
  <w:footnote w:id="113">
    <w:p w14:paraId="2BB0A0BA" w14:textId="34D7F61A"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Cf.</w:t>
      </w:r>
      <w:r w:rsidRPr="00A50E4D">
        <w:rPr>
          <w:rFonts w:cs="Arial"/>
          <w:spacing w:val="-4"/>
          <w:lang w:val="en-US"/>
        </w:rPr>
        <w:t xml:space="preserve"> Regulations governing the Judicial Service</w:t>
      </w:r>
      <w:r w:rsidRPr="00A50E4D">
        <w:rPr>
          <w:spacing w:val="-4"/>
          <w:lang w:val="en-US"/>
        </w:rPr>
        <w:t xml:space="preserve"> Act</w:t>
      </w:r>
      <w:r w:rsidRPr="00A50E4D">
        <w:rPr>
          <w:rFonts w:cs="Arial"/>
          <w:spacing w:val="-4"/>
          <w:lang w:val="en-US"/>
        </w:rPr>
        <w:t>, articles 177, 178 and 179 (evidence file, folios 196 to 198).</w:t>
      </w:r>
      <w:r w:rsidRPr="00A50E4D">
        <w:rPr>
          <w:rFonts w:cs="Arial"/>
          <w:b/>
          <w:spacing w:val="-4"/>
          <w:lang w:val="en-US"/>
        </w:rPr>
        <w:t xml:space="preserve"> </w:t>
      </w:r>
    </w:p>
  </w:footnote>
  <w:footnote w:id="114">
    <w:p w14:paraId="3212B824" w14:textId="2393480A"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These conducts are defined in </w:t>
      </w:r>
      <w:r w:rsidRPr="00A50E4D">
        <w:rPr>
          <w:rFonts w:cs="Arial"/>
          <w:spacing w:val="-4"/>
          <w:lang w:val="en-US"/>
        </w:rPr>
        <w:t>article</w:t>
      </w:r>
      <w:r w:rsidRPr="00A50E4D">
        <w:rPr>
          <w:spacing w:val="-4"/>
          <w:lang w:val="en-US"/>
        </w:rPr>
        <w:t xml:space="preserve"> 54 of the Judicial Service Act, (evidence file</w:t>
      </w:r>
      <w:r w:rsidRPr="00A50E4D">
        <w:rPr>
          <w:rFonts w:cs="Arial"/>
          <w:spacing w:val="-4"/>
          <w:lang w:val="en-US"/>
        </w:rPr>
        <w:t>, folios 4164 and 4165), and in article 173 of the Regulations governing the Judicial Service Act (evidence file, folios 196 to 198).</w:t>
      </w:r>
    </w:p>
  </w:footnote>
  <w:footnote w:id="115">
    <w:p w14:paraId="132F1C3D" w14:textId="4FD72154"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These conducts are defined in </w:t>
      </w:r>
      <w:r w:rsidRPr="00A50E4D">
        <w:rPr>
          <w:rFonts w:cs="Arial"/>
          <w:spacing w:val="-4"/>
          <w:sz w:val="16"/>
          <w:szCs w:val="16"/>
          <w:lang w:val="en-US"/>
        </w:rPr>
        <w:t xml:space="preserve">article 53 of the </w:t>
      </w:r>
      <w:r w:rsidRPr="00A50E4D">
        <w:rPr>
          <w:spacing w:val="-4"/>
          <w:sz w:val="16"/>
          <w:szCs w:val="16"/>
          <w:lang w:val="en-US"/>
        </w:rPr>
        <w:t>Judicial Service Act (evidence file</w:t>
      </w:r>
      <w:r w:rsidRPr="00A50E4D">
        <w:rPr>
          <w:rFonts w:cs="Arial"/>
          <w:spacing w:val="-4"/>
          <w:sz w:val="16"/>
          <w:szCs w:val="16"/>
          <w:lang w:val="en-US"/>
        </w:rPr>
        <w:t>, folios 4163 and 4164), and in article 172 of the Regulations governing the Judicial Service Act (evidence file, folio 196).</w:t>
      </w:r>
    </w:p>
  </w:footnote>
  <w:footnote w:id="116">
    <w:p w14:paraId="115B1DDD" w14:textId="0E7601F0" w:rsidR="007353B6" w:rsidRPr="00F25627" w:rsidRDefault="007353B6" w:rsidP="006F7559">
      <w:pPr>
        <w:pStyle w:val="NoSpacing"/>
        <w:tabs>
          <w:tab w:val="left" w:pos="450"/>
          <w:tab w:val="left" w:pos="567"/>
        </w:tabs>
        <w:spacing w:before="120" w:after="120"/>
        <w:rPr>
          <w:b/>
          <w:color w:val="000000" w:themeColor="text1"/>
          <w:spacing w:val="-4"/>
          <w:sz w:val="16"/>
          <w:szCs w:val="16"/>
          <w:lang w:val="es-CR"/>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Law on the Organization and Faculties of the Courts, articles 3 and 108. </w:t>
      </w:r>
      <w:r w:rsidRPr="00F25627">
        <w:rPr>
          <w:spacing w:val="-4"/>
          <w:sz w:val="16"/>
          <w:szCs w:val="16"/>
          <w:lang w:val="es-CR"/>
        </w:rPr>
        <w:t xml:space="preserve">Available at: </w:t>
      </w:r>
      <w:hyperlink r:id="rId26" w:history="1">
        <w:r w:rsidRPr="00F25627">
          <w:rPr>
            <w:rStyle w:val="Hyperlink"/>
            <w:spacing w:val="-4"/>
            <w:sz w:val="16"/>
            <w:szCs w:val="16"/>
            <w:lang w:val="es-CR"/>
          </w:rPr>
          <w:t>http://www.poderjudicial.gob.hn/ CEDIJ/Leyes/Documents/LEY%20DE%20ORGANIZACI%C3%93N%20Y%20ATRIBUCIONES%20DE%20LOS%20TRIBUNALES%20%28ACTUALIZADA-07%29.pdf</w:t>
        </w:r>
      </w:hyperlink>
      <w:r w:rsidRPr="00F25627">
        <w:rPr>
          <w:color w:val="000000" w:themeColor="text1"/>
          <w:spacing w:val="-4"/>
          <w:sz w:val="16"/>
          <w:szCs w:val="16"/>
          <w:lang w:val="es-CR"/>
        </w:rPr>
        <w:t xml:space="preserve"> </w:t>
      </w:r>
    </w:p>
  </w:footnote>
  <w:footnote w:id="117">
    <w:p w14:paraId="6F95689F" w14:textId="758647B8"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According to an amendment of January 20, 2006, the text of the article appeared to be: “[t]o appoint and to remove justices and judges at the proposal of the </w:t>
      </w:r>
      <w:r w:rsidRPr="00A50E4D">
        <w:rPr>
          <w:spacing w:val="-4"/>
          <w:sz w:val="16"/>
          <w:szCs w:val="16"/>
          <w:u w:val="single"/>
          <w:lang w:val="en-US"/>
        </w:rPr>
        <w:t>Council of the Judiciary and the Judicial Service.</w:t>
      </w:r>
      <w:r w:rsidRPr="00A50E4D">
        <w:rPr>
          <w:spacing w:val="-4"/>
          <w:sz w:val="16"/>
          <w:szCs w:val="16"/>
          <w:lang w:val="en-US"/>
        </w:rPr>
        <w:t xml:space="preserve">” However, in 2009, when the facts of this case took place, the Council of the Judiciary and the Judicial Service had not yet been created, so that, in principle, this function corresponded to the Judicial Service Council. Indeed, both the State and the representatives have indicated to the Court and to the Commission that this norm established that it corresponded to the Supreme Court of Justice “[t]o appoint and to remove justices and judges at the proposal of the Judicial Service Council” (underlining added). </w:t>
      </w:r>
      <w:r w:rsidRPr="00A50E4D">
        <w:rPr>
          <w:i/>
          <w:spacing w:val="-4"/>
          <w:sz w:val="16"/>
          <w:szCs w:val="16"/>
          <w:lang w:val="en-US"/>
        </w:rPr>
        <w:t>Cf.</w:t>
      </w:r>
      <w:r w:rsidRPr="00A50E4D">
        <w:rPr>
          <w:spacing w:val="-4"/>
          <w:sz w:val="16"/>
          <w:szCs w:val="16"/>
          <w:lang w:val="en-US"/>
        </w:rPr>
        <w:t xml:space="preserve"> The State’s brief of October 14, 2010, presented to the Commission (evidence file, folio 73), brief with pleadings, motions and evidence received on June 19, 2014 (merits file, folio 530) and 1982 Constitution of the Republic of Honduras (as amended up until January 20, 2006), article 313. Available at: </w:t>
      </w:r>
      <w:hyperlink r:id="rId27" w:history="1">
        <w:r w:rsidRPr="00A50E4D">
          <w:rPr>
            <w:rStyle w:val="Hyperlink"/>
            <w:spacing w:val="-4"/>
            <w:sz w:val="16"/>
            <w:szCs w:val="16"/>
            <w:lang w:val="en-US"/>
          </w:rPr>
          <w:t>http://www.poderjudicial.gob.hn/CEDIJ/Leyes/Documents/CONSTITUCI%C3%93N%20DE%20LA% 20REP%C3%9ABLICA%20%2809%29.pdf</w:t>
        </w:r>
      </w:hyperlink>
    </w:p>
  </w:footnote>
  <w:footnote w:id="118">
    <w:p w14:paraId="51DB8496" w14:textId="1ECE34EE" w:rsidR="007353B6" w:rsidRPr="00F25627" w:rsidRDefault="007353B6" w:rsidP="006F7559">
      <w:pPr>
        <w:pStyle w:val="NoSpacing"/>
        <w:tabs>
          <w:tab w:val="left" w:pos="450"/>
          <w:tab w:val="left" w:pos="567"/>
        </w:tabs>
        <w:spacing w:before="120" w:after="120"/>
        <w:rPr>
          <w:b/>
          <w:spacing w:val="-4"/>
          <w:sz w:val="16"/>
          <w:szCs w:val="16"/>
          <w:lang w:val="es-CR"/>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Law on the Organization and Faculties of the Courts, article 78(10). </w:t>
      </w:r>
      <w:r w:rsidRPr="00F25627">
        <w:rPr>
          <w:spacing w:val="-4"/>
          <w:sz w:val="16"/>
          <w:szCs w:val="16"/>
          <w:lang w:val="es-CR"/>
        </w:rPr>
        <w:t xml:space="preserve">Available at: </w:t>
      </w:r>
      <w:hyperlink r:id="rId28" w:history="1">
        <w:r w:rsidRPr="00F25627">
          <w:rPr>
            <w:rStyle w:val="Hyperlink"/>
            <w:spacing w:val="-4"/>
            <w:sz w:val="16"/>
            <w:szCs w:val="16"/>
            <w:lang w:val="es-CR"/>
          </w:rPr>
          <w:t>http://www.poderjudicial.gob.hn/CEDIJ/ Leyes/Documents/LEY%20DE%20ORGANIZACI%C3%93N%20Y%20ATRIBUCIONES%20DE%20LOS%20TRIBUNALES%20%28ACTUALIZADA-07%29.pdf</w:t>
        </w:r>
      </w:hyperlink>
      <w:r w:rsidRPr="00F25627">
        <w:rPr>
          <w:color w:val="000000" w:themeColor="text1"/>
          <w:spacing w:val="-4"/>
          <w:sz w:val="16"/>
          <w:szCs w:val="16"/>
          <w:lang w:val="es-CR"/>
        </w:rPr>
        <w:t xml:space="preserve"> </w:t>
      </w:r>
    </w:p>
  </w:footnote>
  <w:footnote w:id="119">
    <w:p w14:paraId="6D7A4CD3" w14:textId="63DEC005"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Judicial Service Act, article 6 (evidence file</w:t>
      </w:r>
      <w:r w:rsidRPr="00A50E4D">
        <w:rPr>
          <w:rFonts w:cs="Arial"/>
          <w:spacing w:val="-4"/>
          <w:sz w:val="16"/>
          <w:szCs w:val="16"/>
          <w:lang w:val="en-US"/>
        </w:rPr>
        <w:t>, folio 4151).</w:t>
      </w:r>
    </w:p>
  </w:footnote>
  <w:footnote w:id="120">
    <w:p w14:paraId="07E22ECC" w14:textId="42779373"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Judicial Service Act, articles 7 and 8 (evidence file</w:t>
      </w:r>
      <w:r w:rsidRPr="00A50E4D">
        <w:rPr>
          <w:rFonts w:cs="Arial"/>
          <w:spacing w:val="-4"/>
          <w:sz w:val="16"/>
          <w:szCs w:val="16"/>
          <w:lang w:val="en-US"/>
        </w:rPr>
        <w:t>, folio 4152).</w:t>
      </w:r>
    </w:p>
  </w:footnote>
  <w:footnote w:id="121">
    <w:p w14:paraId="0B29EA35" w14:textId="3D927CA9"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Judicial Service Act, article 9(e) (evidence file</w:t>
      </w:r>
      <w:r w:rsidRPr="00A50E4D">
        <w:rPr>
          <w:rFonts w:cs="Arial"/>
          <w:spacing w:val="-4"/>
          <w:sz w:val="16"/>
          <w:szCs w:val="16"/>
          <w:lang w:val="en-US"/>
        </w:rPr>
        <w:t>, folios 4152 and 4153).</w:t>
      </w:r>
    </w:p>
  </w:footnote>
  <w:footnote w:id="122">
    <w:p w14:paraId="620A992A" w14:textId="00AF6DC3"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Judicial Service Act, article 10 (evidence file</w:t>
      </w:r>
      <w:r w:rsidRPr="00A50E4D">
        <w:rPr>
          <w:rFonts w:cs="Arial"/>
          <w:spacing w:val="-4"/>
          <w:sz w:val="16"/>
          <w:szCs w:val="16"/>
          <w:lang w:val="en-US"/>
        </w:rPr>
        <w:t>, folio 4153).</w:t>
      </w:r>
    </w:p>
  </w:footnote>
  <w:footnote w:id="123">
    <w:p w14:paraId="4BA2DD03" w14:textId="25A29556" w:rsidR="007353B6" w:rsidRPr="00A50E4D" w:rsidRDefault="007353B6" w:rsidP="006F7559">
      <w:pPr>
        <w:pStyle w:val="FootnoteText"/>
        <w:tabs>
          <w:tab w:val="left" w:pos="450"/>
        </w:tabs>
        <w:spacing w:before="120" w:after="120"/>
        <w:rPr>
          <w:i/>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According to the Law on the Organization and Faculties of the Courts, the Supreme Court of Justice was responsible for judicial oversight and this was carried out through the General Inspectorate of Courts. </w:t>
      </w:r>
      <w:r w:rsidRPr="00A50E4D">
        <w:rPr>
          <w:i/>
          <w:spacing w:val="-4"/>
          <w:lang w:val="en-US"/>
        </w:rPr>
        <w:t xml:space="preserve">Cf. </w:t>
      </w:r>
      <w:r w:rsidRPr="00A50E4D">
        <w:rPr>
          <w:spacing w:val="-4"/>
          <w:lang w:val="en-US"/>
        </w:rPr>
        <w:t xml:space="preserve">Law on the Organization and Faculties of the Courts, article 85. Available at: </w:t>
      </w:r>
      <w:hyperlink r:id="rId29" w:history="1">
        <w:r w:rsidRPr="00A50E4D">
          <w:rPr>
            <w:rStyle w:val="Hyperlink"/>
            <w:spacing w:val="-4"/>
            <w:lang w:val="en-US"/>
          </w:rPr>
          <w:t>http://www.poderjudicial.gob.hn/CEDIJ/Leyes/Documents/LEY%20DE%20ORGANIZACI %C3%93N%20Y%20ATRIBUCIONES%20DE%20LOS%20TRIBUNALES%20%28ACTUALIZADA-07%29.pdf</w:t>
        </w:r>
      </w:hyperlink>
      <w:r w:rsidRPr="00A50E4D">
        <w:rPr>
          <w:spacing w:val="-4"/>
          <w:lang w:val="en-US"/>
        </w:rPr>
        <w:t xml:space="preserve">, and Rules of procedure of the General Inspectorate of Courts, article 2. Available at: </w:t>
      </w:r>
      <w:hyperlink r:id="rId30" w:history="1">
        <w:r w:rsidRPr="00A50E4D">
          <w:rPr>
            <w:rStyle w:val="Hyperlink"/>
            <w:spacing w:val="-4"/>
            <w:lang w:val="en-US"/>
          </w:rPr>
          <w:t>http://www.poderjudicial.gob.hn/transparencia/regulacion/Documents/Reglamento%20de%20la%20Inspector%C3%ADa%20General%20de%20Tribunales.pdf</w:t>
        </w:r>
      </w:hyperlink>
    </w:p>
  </w:footnote>
  <w:footnote w:id="124">
    <w:p w14:paraId="0F1A38BC" w14:textId="7BFF4050"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The General Inspectorate of Courts</w:t>
      </w:r>
      <w:r w:rsidRPr="00A50E4D">
        <w:rPr>
          <w:i/>
          <w:spacing w:val="-4"/>
          <w:sz w:val="16"/>
          <w:szCs w:val="16"/>
          <w:lang w:val="en-US"/>
        </w:rPr>
        <w:t xml:space="preserve"> </w:t>
      </w:r>
      <w:r w:rsidRPr="00A50E4D">
        <w:rPr>
          <w:spacing w:val="-4"/>
          <w:sz w:val="16"/>
          <w:szCs w:val="16"/>
          <w:lang w:val="en-US"/>
        </w:rPr>
        <w:t xml:space="preserve">is composed of the General Inspectorate, the Regional Inspectorates and the Inspectorates of Courts and Tribunals. </w:t>
      </w:r>
      <w:r w:rsidRPr="00A50E4D">
        <w:rPr>
          <w:i/>
          <w:spacing w:val="-4"/>
          <w:sz w:val="16"/>
          <w:szCs w:val="16"/>
          <w:lang w:val="en-US"/>
        </w:rPr>
        <w:t xml:space="preserve">Cf. </w:t>
      </w:r>
      <w:r w:rsidRPr="00A50E4D">
        <w:rPr>
          <w:spacing w:val="-4"/>
          <w:sz w:val="16"/>
          <w:szCs w:val="16"/>
          <w:lang w:val="en-US"/>
        </w:rPr>
        <w:t>Rules of procedure of the General Inspectorate of Courts, Articles 4, 5, 14 and 15. Available at</w:t>
      </w:r>
      <w:r w:rsidRPr="00A50E4D">
        <w:rPr>
          <w:color w:val="000000" w:themeColor="text1"/>
          <w:spacing w:val="-4"/>
          <w:sz w:val="16"/>
          <w:szCs w:val="16"/>
          <w:lang w:val="en-US"/>
        </w:rPr>
        <w:t xml:space="preserve">: </w:t>
      </w:r>
      <w:hyperlink r:id="rId31" w:history="1">
        <w:r w:rsidRPr="00A50E4D">
          <w:rPr>
            <w:rStyle w:val="Hyperlink"/>
            <w:spacing w:val="-4"/>
            <w:sz w:val="16"/>
            <w:szCs w:val="16"/>
            <w:lang w:val="en-US"/>
          </w:rPr>
          <w:t>http://www.poderjudicial.gob.hn/transparencia/regulacion/Documents/Reglamento%20de%20la%20Inspector%C3%ADa%20General%20de%20Tribunales.pdf</w:t>
        </w:r>
      </w:hyperlink>
      <w:r w:rsidRPr="00A50E4D">
        <w:rPr>
          <w:spacing w:val="-4"/>
          <w:sz w:val="16"/>
          <w:szCs w:val="16"/>
          <w:lang w:val="en-US"/>
        </w:rPr>
        <w:t xml:space="preserve"> </w:t>
      </w:r>
    </w:p>
  </w:footnote>
  <w:footnote w:id="125">
    <w:p w14:paraId="4F0DE27B" w14:textId="52AB3489" w:rsidR="007353B6" w:rsidRPr="00A50E4D" w:rsidRDefault="007353B6" w:rsidP="006F7559">
      <w:pPr>
        <w:pStyle w:val="NoSpacing"/>
        <w:tabs>
          <w:tab w:val="left" w:pos="450"/>
          <w:tab w:val="left" w:pos="567"/>
        </w:tabs>
        <w:spacing w:before="120" w:after="120"/>
        <w:ind w:right="4"/>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Judicial Service Act, article 65 (evidence file, folio 4168). In this regard, the Regulations add “Article 188: The sanction of dismissal […] shall […] only be applied by means of prior summary information, and after the person concerned has provided explanations and answered the charges during a hearing, the pertinent investigations have been made, and the corresponding evidence obtained. To this end, the Personnel Management Directorate, itself or though the senior official to whom it has delegated this function, shall summon the employee in writing, determining the charges of which he is accused, so that he may appear at the place, on the date and at the time the hearing will be held. The employee may provide the evidence he considers necessary or request that this be obtained. Once the foregoing has concluded, the Directorate, or the Head of the unit hearing the case, shall report on the results, in a record prepared for this purpose, which shall be signed by all those present. Should anyone refuse to sign, this will be recorded in the said document. The Personnel Management Directorate shall take the final decision on whether or not to ratify the disciplinary sanction announced to the employee, notifying its decision to the person concerned in writing. The dismissal shall be final once the appeal filed by the defendant have been exhausted and decided.” </w:t>
      </w:r>
      <w:r w:rsidRPr="00A50E4D">
        <w:rPr>
          <w:i/>
          <w:spacing w:val="-4"/>
          <w:sz w:val="16"/>
          <w:szCs w:val="16"/>
          <w:lang w:val="en-US"/>
        </w:rPr>
        <w:t xml:space="preserve">Cf. </w:t>
      </w:r>
      <w:r w:rsidRPr="00A50E4D">
        <w:rPr>
          <w:spacing w:val="-4"/>
          <w:sz w:val="16"/>
          <w:szCs w:val="16"/>
          <w:lang w:val="en-US"/>
        </w:rPr>
        <w:t xml:space="preserve">Regulations governing the Judicial Service Act, article 190 (evidence file, folio 201).  </w:t>
      </w:r>
    </w:p>
  </w:footnote>
  <w:footnote w:id="126">
    <w:p w14:paraId="01436495" w14:textId="01312205" w:rsidR="007353B6" w:rsidRPr="00A50E4D" w:rsidRDefault="007353B6" w:rsidP="006F7559">
      <w:pPr>
        <w:pStyle w:val="NoSpacing"/>
        <w:tabs>
          <w:tab w:val="left" w:pos="450"/>
          <w:tab w:val="left" w:pos="567"/>
        </w:tabs>
        <w:spacing w:before="120" w:after="120"/>
        <w:ind w:right="4"/>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Regulations governing the Judicial Service Act, article 188 (evidence file, folio 201).  </w:t>
      </w:r>
    </w:p>
  </w:footnote>
  <w:footnote w:id="127">
    <w:p w14:paraId="11765637" w14:textId="44CD9470"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The representatives and the State agree on this. </w:t>
      </w:r>
      <w:r w:rsidRPr="00A50E4D">
        <w:rPr>
          <w:i/>
          <w:spacing w:val="-4"/>
          <w:lang w:val="en-US"/>
        </w:rPr>
        <w:t xml:space="preserve">Cf. </w:t>
      </w:r>
      <w:r w:rsidRPr="00A50E4D">
        <w:rPr>
          <w:spacing w:val="-4"/>
          <w:lang w:val="en-US"/>
        </w:rPr>
        <w:t>Brief with pleadings and evidence, and answering brief (merits file, folios 344 and 719).</w:t>
      </w:r>
    </w:p>
  </w:footnote>
  <w:footnote w:id="128">
    <w:p w14:paraId="03D6244C" w14:textId="54CA3137"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 xml:space="preserve">Rules of procedure of the General Inspectorate of Courts, Articles 10, 11, 14 and 15. Available at: </w:t>
      </w:r>
      <w:hyperlink r:id="rId32" w:history="1">
        <w:r w:rsidRPr="00A50E4D">
          <w:rPr>
            <w:rStyle w:val="Hyperlink"/>
            <w:spacing w:val="-4"/>
            <w:lang w:val="en-US"/>
          </w:rPr>
          <w:t>http://www.poderjudicial.gob.hn/transparencia/regulacion/Documents/Reglamento%20de%20la%20Inspector%C3%ADa%20General%20de%20Tribunales.pdf</w:t>
        </w:r>
      </w:hyperlink>
    </w:p>
  </w:footnote>
  <w:footnote w:id="129">
    <w:p w14:paraId="493B2BF2" w14:textId="01364DDF" w:rsidR="007353B6" w:rsidRPr="00A50E4D" w:rsidRDefault="007353B6" w:rsidP="006F7559">
      <w:pPr>
        <w:pStyle w:val="NoSpacing"/>
        <w:tabs>
          <w:tab w:val="left" w:pos="450"/>
          <w:tab w:val="left" w:pos="567"/>
        </w:tabs>
        <w:spacing w:before="120" w:after="120"/>
        <w:ind w:right="4"/>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Regulations governing the Judicial Service Act, article 190 (evidence file, folio 201).  </w:t>
      </w:r>
    </w:p>
  </w:footnote>
  <w:footnote w:id="130">
    <w:p w14:paraId="7E11CB2C" w14:textId="522038F4"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Judicial Service Act, article 67 (evidence file, folio 4168), and Regulations governing the Judicial Service Act, article 190 (evidence file, folio 201). </w:t>
      </w:r>
    </w:p>
  </w:footnote>
  <w:footnote w:id="131">
    <w:p w14:paraId="0BAC60DB" w14:textId="5CD63CE0"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Judicial Service Act, article 67 (evidence file, folio 4168), and Regulations governing the Judicial Service Act, article 190 (evidence file, folio 201). </w:t>
      </w:r>
    </w:p>
  </w:footnote>
  <w:footnote w:id="132">
    <w:p w14:paraId="6F0C6D6C" w14:textId="31AA1E7E"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Judicial Service Act, articles 68 and 69 (evidence file, folios 4168 and 4169).</w:t>
      </w:r>
    </w:p>
  </w:footnote>
  <w:footnote w:id="133">
    <w:p w14:paraId="4ACECD75" w14:textId="3D4C85CB"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rFonts w:cs="Arial"/>
          <w:spacing w:val="-4"/>
          <w:sz w:val="16"/>
          <w:szCs w:val="16"/>
          <w:lang w:val="en-US"/>
        </w:rPr>
        <w:t>Curriculum vitae of Adán Guillermo López Lone (evidence file, folio 5621).</w:t>
      </w:r>
    </w:p>
  </w:footnote>
  <w:footnote w:id="134">
    <w:p w14:paraId="7AACD9D7" w14:textId="237B3D57"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rFonts w:cs="Arial"/>
          <w:spacing w:val="-4"/>
          <w:sz w:val="16"/>
          <w:szCs w:val="16"/>
          <w:lang w:val="en-US"/>
        </w:rPr>
        <w:t>Certification of marriage certificate issued on June 4, 2014, by the municipal Registry Office of the National Registry of Persons of the Republic of Honduras (evidence file, folio 5650).</w:t>
      </w:r>
    </w:p>
  </w:footnote>
  <w:footnote w:id="135">
    <w:p w14:paraId="542E133A" w14:textId="6397EA02"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rFonts w:cs="Arial"/>
          <w:spacing w:val="-4"/>
          <w:sz w:val="16"/>
          <w:szCs w:val="16"/>
          <w:lang w:val="en-US"/>
        </w:rPr>
        <w:t>Brief received on June 30, 2010, signed by Adán Guillermo López Lone and addressed to the Judicial Service Council (evidence file, folio 490), and salary certification issued by the Head of the Judiciary’s Personnel Department on June 20, 2014 (evidence file, folio 5648).</w:t>
      </w:r>
    </w:p>
  </w:footnote>
  <w:footnote w:id="136">
    <w:p w14:paraId="06A4774F" w14:textId="43196D50"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rFonts w:cs="Arial"/>
          <w:spacing w:val="-4"/>
          <w:sz w:val="16"/>
          <w:szCs w:val="16"/>
          <w:lang w:val="en-US"/>
        </w:rPr>
        <w:t>Minutes covering the election of the ADJ Board of Directors, period 2008-2010, dated September 27, 2008 (evidence file, folio 5628).</w:t>
      </w:r>
    </w:p>
  </w:footnote>
  <w:footnote w:id="137">
    <w:p w14:paraId="6E81C001" w14:textId="42644F40"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Statement made by Adán Guillermo López Lone during the public hearing held in this case;</w:t>
      </w:r>
      <w:r w:rsidRPr="00A50E4D">
        <w:rPr>
          <w:b/>
          <w:spacing w:val="-4"/>
          <w:sz w:val="16"/>
          <w:szCs w:val="16"/>
          <w:lang w:val="en-US"/>
        </w:rPr>
        <w:t xml:space="preserve"> </w:t>
      </w:r>
      <w:r w:rsidRPr="00A50E4D">
        <w:rPr>
          <w:spacing w:val="-4"/>
          <w:sz w:val="16"/>
          <w:szCs w:val="16"/>
          <w:lang w:val="en-US"/>
        </w:rPr>
        <w:t>complaint filed on July 22, 2009, before the Supreme Court of Justice (evidence file</w:t>
      </w:r>
      <w:r w:rsidRPr="00A50E4D">
        <w:rPr>
          <w:rFonts w:cs="Arial"/>
          <w:spacing w:val="-4"/>
          <w:sz w:val="16"/>
          <w:szCs w:val="16"/>
          <w:lang w:val="en-US"/>
        </w:rPr>
        <w:t xml:space="preserve">, folio 226), and </w:t>
      </w:r>
      <w:r w:rsidRPr="00A50E4D">
        <w:rPr>
          <w:spacing w:val="-4"/>
          <w:sz w:val="16"/>
          <w:szCs w:val="16"/>
          <w:lang w:val="en-US"/>
        </w:rPr>
        <w:t>newspaper article entitled “</w:t>
      </w:r>
      <w:r w:rsidRPr="00A50E4D">
        <w:rPr>
          <w:i/>
          <w:spacing w:val="-4"/>
          <w:sz w:val="16"/>
          <w:szCs w:val="16"/>
          <w:lang w:val="en-US"/>
        </w:rPr>
        <w:t>Enfrentamientos entre Ejército y manifestantes deja un muerto</w:t>
      </w:r>
      <w:r w:rsidRPr="00A50E4D">
        <w:rPr>
          <w:spacing w:val="-4"/>
          <w:sz w:val="16"/>
          <w:szCs w:val="16"/>
          <w:lang w:val="en-US"/>
        </w:rPr>
        <w:t>”</w:t>
      </w:r>
      <w:r w:rsidRPr="00A50E4D">
        <w:rPr>
          <w:i/>
          <w:spacing w:val="-4"/>
          <w:sz w:val="16"/>
          <w:szCs w:val="16"/>
          <w:lang w:val="en-US"/>
        </w:rPr>
        <w:t xml:space="preserve"> </w:t>
      </w:r>
      <w:r w:rsidRPr="00A50E4D">
        <w:rPr>
          <w:spacing w:val="-4"/>
          <w:sz w:val="16"/>
          <w:szCs w:val="16"/>
          <w:lang w:val="en-US"/>
        </w:rPr>
        <w:t>included in the file of the disciplinary proceeding against Adán Guillermo López Lone (evidence file, folio 232)</w:t>
      </w:r>
      <w:r w:rsidRPr="00A50E4D">
        <w:rPr>
          <w:rFonts w:cs="Arial"/>
          <w:spacing w:val="-4"/>
          <w:sz w:val="16"/>
          <w:szCs w:val="16"/>
          <w:lang w:val="en-US"/>
        </w:rPr>
        <w:t xml:space="preserve">. </w:t>
      </w:r>
    </w:p>
  </w:footnote>
  <w:footnote w:id="138">
    <w:p w14:paraId="02AFC9F2" w14:textId="646AFE90" w:rsidR="007353B6" w:rsidRPr="00A50E4D" w:rsidRDefault="007353B6" w:rsidP="006F7559">
      <w:pPr>
        <w:pStyle w:val="NoSpacing"/>
        <w:tabs>
          <w:tab w:val="left" w:pos="450"/>
          <w:tab w:val="left" w:pos="567"/>
        </w:tabs>
        <w:spacing w:before="120" w:after="120"/>
        <w:rPr>
          <w:b/>
          <w:bCs/>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Statement made by Adán Guillermo López Lone during the public hearing held in this case; </w:t>
      </w:r>
      <w:r w:rsidRPr="00A50E4D">
        <w:rPr>
          <w:b/>
          <w:spacing w:val="-4"/>
          <w:sz w:val="16"/>
          <w:szCs w:val="16"/>
          <w:lang w:val="en-US"/>
        </w:rPr>
        <w:t xml:space="preserve"> </w:t>
      </w:r>
      <w:r w:rsidRPr="00A50E4D">
        <w:rPr>
          <w:spacing w:val="-4"/>
          <w:sz w:val="16"/>
          <w:szCs w:val="16"/>
          <w:lang w:val="en-US"/>
        </w:rPr>
        <w:t>newspaper article entitled “</w:t>
      </w:r>
      <w:r w:rsidRPr="00A50E4D">
        <w:rPr>
          <w:i/>
          <w:spacing w:val="-4"/>
          <w:sz w:val="16"/>
          <w:szCs w:val="16"/>
          <w:lang w:val="en-US"/>
        </w:rPr>
        <w:t>Enfrentamientos entre Ejército y manifestantes deja un muerto</w:t>
      </w:r>
      <w:r w:rsidRPr="00A50E4D">
        <w:rPr>
          <w:spacing w:val="-4"/>
          <w:sz w:val="16"/>
          <w:szCs w:val="16"/>
          <w:lang w:val="en-US"/>
        </w:rPr>
        <w:t>” included in the file of the disciplinary proceeding against Adán Guillermo López Lone (evidence file, folio 232), and rebuttal hearing of December 3, 2009 (evidence file, folio 6179).</w:t>
      </w:r>
    </w:p>
  </w:footnote>
  <w:footnote w:id="139">
    <w:p w14:paraId="2CE30BD4" w14:textId="0F915649"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Cf.</w:t>
      </w:r>
      <w:r w:rsidRPr="00A50E4D">
        <w:rPr>
          <w:rFonts w:cs="Arial"/>
          <w:spacing w:val="-4"/>
          <w:sz w:val="16"/>
          <w:szCs w:val="16"/>
          <w:lang w:val="en-US"/>
        </w:rPr>
        <w:t xml:space="preserve"> </w:t>
      </w:r>
      <w:r w:rsidRPr="00A50E4D">
        <w:rPr>
          <w:spacing w:val="-4"/>
          <w:sz w:val="16"/>
          <w:szCs w:val="16"/>
          <w:lang w:val="en-US"/>
        </w:rPr>
        <w:t>Newspaper article entitled “</w:t>
      </w:r>
      <w:r w:rsidRPr="00A50E4D">
        <w:rPr>
          <w:i/>
          <w:spacing w:val="-4"/>
          <w:sz w:val="16"/>
          <w:szCs w:val="16"/>
          <w:lang w:val="en-US"/>
        </w:rPr>
        <w:t>Enfrentamientos entre Ejército y manifestantes deja un muerto</w:t>
      </w:r>
      <w:r w:rsidRPr="00A50E4D">
        <w:rPr>
          <w:spacing w:val="-4"/>
          <w:sz w:val="16"/>
          <w:szCs w:val="16"/>
          <w:lang w:val="en-US"/>
        </w:rPr>
        <w:t>” included in the file of the disciplinary proceeding against Adán Guillermo López Lone (evidence file, folio 232), and Statement made by Adán Guillermo López Lone during the public hearing held in this case.</w:t>
      </w:r>
    </w:p>
  </w:footnote>
  <w:footnote w:id="140">
    <w:p w14:paraId="1D497F5D" w14:textId="7560AF60"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Medical expenses claim form dated July 21, 2009 (evidence file, folio 253).</w:t>
      </w:r>
    </w:p>
  </w:footnote>
  <w:footnote w:id="141">
    <w:p w14:paraId="27A7D7DF" w14:textId="1E897DC2"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Newspaper articles entitled “</w:t>
      </w:r>
      <w:r w:rsidRPr="00A50E4D">
        <w:rPr>
          <w:i/>
          <w:spacing w:val="-4"/>
          <w:sz w:val="16"/>
          <w:szCs w:val="16"/>
          <w:lang w:val="en-US"/>
        </w:rPr>
        <w:t>Enfrentamientos entre Ejército y manifestantes deja un muerto</w:t>
      </w:r>
      <w:r w:rsidRPr="00A50E4D">
        <w:rPr>
          <w:spacing w:val="-4"/>
          <w:sz w:val="16"/>
          <w:szCs w:val="16"/>
          <w:lang w:val="en-US"/>
        </w:rPr>
        <w:t>”; “</w:t>
      </w:r>
      <w:r w:rsidRPr="00A50E4D">
        <w:rPr>
          <w:i/>
          <w:spacing w:val="-4"/>
          <w:sz w:val="16"/>
          <w:szCs w:val="16"/>
          <w:lang w:val="en-US"/>
        </w:rPr>
        <w:t>Confuso y sangriento enfrentamiento</w:t>
      </w:r>
      <w:r w:rsidRPr="00A50E4D">
        <w:rPr>
          <w:spacing w:val="-4"/>
          <w:sz w:val="16"/>
          <w:szCs w:val="16"/>
          <w:lang w:val="en-US"/>
        </w:rPr>
        <w:t>”, and “</w:t>
      </w:r>
      <w:r w:rsidRPr="00A50E4D">
        <w:rPr>
          <w:i/>
          <w:spacing w:val="-4"/>
          <w:sz w:val="16"/>
          <w:szCs w:val="16"/>
          <w:lang w:val="en-US"/>
        </w:rPr>
        <w:t>Investigarán a Juez de sentencia</w:t>
      </w:r>
      <w:r w:rsidRPr="00A50E4D">
        <w:rPr>
          <w:spacing w:val="-4"/>
          <w:sz w:val="16"/>
          <w:szCs w:val="16"/>
          <w:lang w:val="en-US"/>
        </w:rPr>
        <w:t>” included in the file of the disciplinary proceeding against Adán Guillermo López Lone (evidence file, folios 232, 246 and 248), and Special report of the Inspectorate General of Courts and Tribunals (evidence file, folio 263).</w:t>
      </w:r>
    </w:p>
  </w:footnote>
  <w:footnote w:id="142">
    <w:p w14:paraId="6D114B9E" w14:textId="6D3C5CC3"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Record of procedure No. 45 of the Inspector of Courts and Tribunals for the Northwestern Region dated July 6, 2009 (evidence file, folio 231).</w:t>
      </w:r>
    </w:p>
  </w:footnote>
  <w:footnote w:id="143">
    <w:p w14:paraId="4B8EE2C9" w14:textId="3FBFA92A"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Complaint received on July 22, 2009, signed by the Secretary of State for National Defense and addressed to the President of the Supreme Court of Justice (evidence file</w:t>
      </w:r>
      <w:r w:rsidRPr="00A50E4D">
        <w:rPr>
          <w:rFonts w:cs="Arial"/>
          <w:spacing w:val="-4"/>
          <w:sz w:val="16"/>
          <w:szCs w:val="16"/>
          <w:lang w:val="en-US"/>
        </w:rPr>
        <w:t>, folio 226).</w:t>
      </w:r>
    </w:p>
  </w:footnote>
  <w:footnote w:id="144">
    <w:p w14:paraId="439F128F" w14:textId="5CB9E706"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The report cites the following norms among other legal considerations applicable to the case: article 319 of the Constitution; article 3(6) of the Law on the Organization and Faculties of the Courts; Articles 44, 53(f) and (g), 54(j) and 55 of the Judicial Service Act; Articles 149, 172(f), 173(i) and 174 of the Regulations of the Judicial Service Act; Articles 1 and 2(g) of the Code of Ethics for Judicial Officials and Employees, and Articles 3, 8, 43 and 55 of the Ibero-American Code of Ethics. </w:t>
      </w:r>
      <w:r w:rsidRPr="00A50E4D">
        <w:rPr>
          <w:i/>
          <w:spacing w:val="-4"/>
          <w:sz w:val="16"/>
          <w:szCs w:val="16"/>
          <w:lang w:val="en-US"/>
        </w:rPr>
        <w:t xml:space="preserve">Cf. </w:t>
      </w:r>
      <w:r w:rsidRPr="00A50E4D">
        <w:rPr>
          <w:spacing w:val="-4"/>
          <w:sz w:val="16"/>
          <w:szCs w:val="16"/>
          <w:lang w:val="en-US"/>
        </w:rPr>
        <w:t>Special report of July 30, 2009, signed by the Inspector General of Courts and Tribunals and addressed to the President of the Supreme Court of Justice (evidence file, folios 265 to 267), and decision of the Inspectorate General of Courts and Tribunals of July 31, 2009 (evidence file, folio 269).</w:t>
      </w:r>
    </w:p>
  </w:footnote>
  <w:footnote w:id="145">
    <w:p w14:paraId="4897D41C" w14:textId="7B85F2A0"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Special report of July 30, 2009, signed by the Inspector General of Courts and Tribunals addressed to the President of the Supreme Court of Justice (evidence file, folio 268).</w:t>
      </w:r>
    </w:p>
  </w:footnote>
  <w:footnote w:id="146">
    <w:p w14:paraId="03B1200D" w14:textId="4E6CF920"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Decision of the President of the Supreme Court of Justice of August 4, 2009 (evidence file, folio 270).</w:t>
      </w:r>
    </w:p>
  </w:footnote>
  <w:footnote w:id="147">
    <w:p w14:paraId="3D273916" w14:textId="79261DAD"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Writ of summons issued by the Deputy Director of Personnel Management dated October 30, 2009 (evidence file</w:t>
      </w:r>
      <w:r w:rsidRPr="00A50E4D">
        <w:rPr>
          <w:rFonts w:cs="Arial"/>
          <w:spacing w:val="-4"/>
          <w:sz w:val="16"/>
          <w:szCs w:val="16"/>
          <w:lang w:val="en-US"/>
        </w:rPr>
        <w:t>, folio 280).</w:t>
      </w:r>
    </w:p>
  </w:footnote>
  <w:footnote w:id="148">
    <w:p w14:paraId="24C5DAD5" w14:textId="2582B95D"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Brief of November 2, 2009, signed by Adán Guillermo López Lone addressed to the Director of Personnel Management (evidence file</w:t>
      </w:r>
      <w:r w:rsidRPr="00A50E4D">
        <w:rPr>
          <w:rFonts w:cs="Arial"/>
          <w:spacing w:val="-4"/>
          <w:sz w:val="16"/>
          <w:szCs w:val="16"/>
          <w:lang w:val="en-US"/>
        </w:rPr>
        <w:t>, folio 283).</w:t>
      </w:r>
    </w:p>
  </w:footnote>
  <w:footnote w:id="149">
    <w:p w14:paraId="5568EF0D" w14:textId="6C9AF87E"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Brief received on November 4, 2009, signed by Adán Guillermo López Lone addressed to the Director of Personnel Management (evidence file</w:t>
      </w:r>
      <w:r w:rsidRPr="00A50E4D">
        <w:rPr>
          <w:rFonts w:cs="Arial"/>
          <w:spacing w:val="-4"/>
          <w:sz w:val="16"/>
          <w:szCs w:val="16"/>
          <w:lang w:val="en-US"/>
        </w:rPr>
        <w:t>, folio 286); decision of the Deputy Director of Personnel Management</w:t>
      </w:r>
      <w:r w:rsidRPr="00A50E4D">
        <w:rPr>
          <w:spacing w:val="-4"/>
          <w:sz w:val="16"/>
          <w:szCs w:val="16"/>
          <w:lang w:val="en-US"/>
        </w:rPr>
        <w:t xml:space="preserve"> of November 5, 2009 (evidence file</w:t>
      </w:r>
      <w:r w:rsidRPr="00A50E4D">
        <w:rPr>
          <w:rFonts w:cs="Arial"/>
          <w:spacing w:val="-4"/>
          <w:sz w:val="16"/>
          <w:szCs w:val="16"/>
          <w:lang w:val="en-US"/>
        </w:rPr>
        <w:t xml:space="preserve">, folio 287); </w:t>
      </w:r>
      <w:r w:rsidRPr="00A50E4D">
        <w:rPr>
          <w:spacing w:val="-4"/>
          <w:sz w:val="16"/>
          <w:szCs w:val="16"/>
          <w:lang w:val="en-US"/>
        </w:rPr>
        <w:t>Brief received on November 23, 2009, signed by Adán Guillermo López Lone addressed to the Director of Personnel Management (evidence file</w:t>
      </w:r>
      <w:r w:rsidRPr="00A50E4D">
        <w:rPr>
          <w:rFonts w:cs="Arial"/>
          <w:spacing w:val="-4"/>
          <w:sz w:val="16"/>
          <w:szCs w:val="16"/>
          <w:lang w:val="en-US"/>
        </w:rPr>
        <w:t xml:space="preserve">, folio 289); decision of the Personnel Management Directorate </w:t>
      </w:r>
      <w:r w:rsidRPr="00A50E4D">
        <w:rPr>
          <w:spacing w:val="-4"/>
          <w:sz w:val="16"/>
          <w:szCs w:val="16"/>
          <w:lang w:val="en-US"/>
        </w:rPr>
        <w:t>of November 24, 2009 (evidence file</w:t>
      </w:r>
      <w:r w:rsidRPr="00A50E4D">
        <w:rPr>
          <w:rFonts w:cs="Arial"/>
          <w:spacing w:val="-4"/>
          <w:sz w:val="16"/>
          <w:szCs w:val="16"/>
          <w:lang w:val="en-US"/>
        </w:rPr>
        <w:t xml:space="preserve">, folio 290), and </w:t>
      </w:r>
      <w:r w:rsidRPr="00A50E4D">
        <w:rPr>
          <w:spacing w:val="-4"/>
          <w:sz w:val="16"/>
          <w:szCs w:val="16"/>
          <w:lang w:val="en-US"/>
        </w:rPr>
        <w:t>record of the rebuttal hearing of the Personnel Management Directorate of December 3, 2009 (evidence file</w:t>
      </w:r>
      <w:r w:rsidRPr="00A50E4D">
        <w:rPr>
          <w:rFonts w:cs="Arial"/>
          <w:spacing w:val="-4"/>
          <w:sz w:val="16"/>
          <w:szCs w:val="16"/>
          <w:lang w:val="en-US"/>
        </w:rPr>
        <w:t xml:space="preserve">, folios 293 </w:t>
      </w:r>
      <w:r>
        <w:rPr>
          <w:rFonts w:cs="Arial"/>
          <w:spacing w:val="-4"/>
          <w:sz w:val="16"/>
          <w:szCs w:val="16"/>
          <w:lang w:val="en-US"/>
        </w:rPr>
        <w:t>to</w:t>
      </w:r>
      <w:r w:rsidRPr="00A50E4D">
        <w:rPr>
          <w:rFonts w:cs="Arial"/>
          <w:spacing w:val="-4"/>
          <w:sz w:val="16"/>
          <w:szCs w:val="16"/>
          <w:lang w:val="en-US"/>
        </w:rPr>
        <w:t xml:space="preserve"> 308).</w:t>
      </w:r>
    </w:p>
  </w:footnote>
  <w:footnote w:id="150">
    <w:p w14:paraId="35A79F1D" w14:textId="458AD39A"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Decision of the Personnel Management Directorate of December 7, 2009 (evidence file, folios 309 a</w:t>
      </w:r>
      <w:r>
        <w:rPr>
          <w:spacing w:val="-4"/>
          <w:lang w:val="en-US"/>
        </w:rPr>
        <w:t>nd</w:t>
      </w:r>
      <w:r w:rsidRPr="00A50E4D">
        <w:rPr>
          <w:spacing w:val="-4"/>
          <w:lang w:val="en-US"/>
        </w:rPr>
        <w:t xml:space="preserve"> 310).</w:t>
      </w:r>
    </w:p>
  </w:footnote>
  <w:footnote w:id="151">
    <w:p w14:paraId="7A8FE9C2" w14:textId="103BF183"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Brief received on December 9, 2009 signed by Adán Guillermo López Lone addressed to the Director of Personnel Management (evidence file</w:t>
      </w:r>
      <w:r w:rsidRPr="00A50E4D">
        <w:rPr>
          <w:rFonts w:cs="Arial"/>
          <w:spacing w:val="-4"/>
          <w:sz w:val="16"/>
          <w:szCs w:val="16"/>
          <w:lang w:val="en-US"/>
        </w:rPr>
        <w:t xml:space="preserve">, folios 368 </w:t>
      </w:r>
      <w:r>
        <w:rPr>
          <w:rFonts w:cs="Arial"/>
          <w:spacing w:val="-4"/>
          <w:sz w:val="16"/>
          <w:szCs w:val="16"/>
          <w:lang w:val="en-US"/>
        </w:rPr>
        <w:t>to</w:t>
      </w:r>
      <w:r w:rsidRPr="00A50E4D">
        <w:rPr>
          <w:rFonts w:cs="Arial"/>
          <w:spacing w:val="-4"/>
          <w:sz w:val="16"/>
          <w:szCs w:val="16"/>
          <w:lang w:val="en-US"/>
        </w:rPr>
        <w:t xml:space="preserve"> 373).</w:t>
      </w:r>
    </w:p>
  </w:footnote>
  <w:footnote w:id="152">
    <w:p w14:paraId="7E07A997" w14:textId="24D1736E"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Decision of the Director of Personnel Management of December 10, 2009 (evidence file</w:t>
      </w:r>
      <w:r w:rsidRPr="00A50E4D">
        <w:rPr>
          <w:rFonts w:cs="Arial"/>
          <w:spacing w:val="-4"/>
          <w:sz w:val="16"/>
          <w:szCs w:val="16"/>
          <w:lang w:val="en-US"/>
        </w:rPr>
        <w:t>, folio 374).</w:t>
      </w:r>
    </w:p>
  </w:footnote>
  <w:footnote w:id="153">
    <w:p w14:paraId="0701F846" w14:textId="21C3F016"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Brief received on April 6, 2010, signed by Adán Guillermo López Lone addressed to the Director of Personnel Management (evidence file</w:t>
      </w:r>
      <w:r w:rsidRPr="00A50E4D">
        <w:rPr>
          <w:rFonts w:cs="Arial"/>
          <w:spacing w:val="-4"/>
          <w:sz w:val="16"/>
          <w:szCs w:val="16"/>
          <w:lang w:val="en-US"/>
        </w:rPr>
        <w:t>, folios 375 to 377).</w:t>
      </w:r>
    </w:p>
  </w:footnote>
  <w:footnote w:id="154">
    <w:p w14:paraId="719E56FD" w14:textId="0B7698C5"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Decision of the Director of Personnel Management of April 9, 2010 (evidence file</w:t>
      </w:r>
      <w:r w:rsidRPr="00A50E4D">
        <w:rPr>
          <w:rFonts w:cs="Arial"/>
          <w:spacing w:val="-4"/>
          <w:sz w:val="16"/>
          <w:szCs w:val="16"/>
          <w:lang w:val="en-US"/>
        </w:rPr>
        <w:t>, folio 378).</w:t>
      </w:r>
    </w:p>
  </w:footnote>
  <w:footnote w:id="155">
    <w:p w14:paraId="627C25A3" w14:textId="4BC17A9F" w:rsidR="007353B6" w:rsidRPr="00A50E4D" w:rsidRDefault="007353B6" w:rsidP="006F7559">
      <w:pPr>
        <w:tabs>
          <w:tab w:val="left" w:pos="450"/>
          <w:tab w:val="left" w:pos="567"/>
        </w:tabs>
        <w:autoSpaceDE w:val="0"/>
        <w:autoSpaceDN w:val="0"/>
        <w:adjustRightInd w:val="0"/>
        <w:spacing w:before="120" w:after="120"/>
        <w:rPr>
          <w:rFonts w:cs="Arial"/>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This recommendation was made “in application of </w:t>
      </w:r>
      <w:r w:rsidRPr="00A50E4D">
        <w:rPr>
          <w:rFonts w:cs="Arial"/>
          <w:spacing w:val="-4"/>
          <w:sz w:val="16"/>
          <w:szCs w:val="16"/>
          <w:lang w:val="en-US"/>
        </w:rPr>
        <w:t xml:space="preserve">Articles 80, 82, 319, of the Constitution of the Republic 1, 3, 4 (2) 10, 12 (a), 44, 51, 53 (g), 55, 56 (3), 60, 64 (a), 66, 73, 74 and 77 of the Judicial Service Act; 1, 3, 7, 9 (4), 31, 33 (a), 149, 161, 172 (f), 174, 180 (3), 184, 186, 187 (a), 188, 189, 190, 206, 207 and 210 of the Regulations governing that Act; 3 (6) of the Law on the Organization and Faculties of the Courts, 1 (d) of the Code of Ethics for Judicial Officials and Employees.” </w:t>
      </w:r>
      <w:r w:rsidRPr="00A50E4D">
        <w:rPr>
          <w:spacing w:val="-4"/>
          <w:sz w:val="16"/>
          <w:szCs w:val="16"/>
          <w:lang w:val="en-US"/>
        </w:rPr>
        <w:t>Resolution No. 172-2010 of the Personnel Management Directorate of April 20, 2010 (evidence file</w:t>
      </w:r>
      <w:r w:rsidRPr="00A50E4D">
        <w:rPr>
          <w:rFonts w:cs="Arial"/>
          <w:spacing w:val="-4"/>
          <w:sz w:val="16"/>
          <w:szCs w:val="16"/>
          <w:lang w:val="en-US"/>
        </w:rPr>
        <w:t>, folios 350 and 351).</w:t>
      </w:r>
    </w:p>
  </w:footnote>
  <w:footnote w:id="156">
    <w:p w14:paraId="4FBCD6A0" w14:textId="2660EE10"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This decision is included in Minutes </w:t>
      </w:r>
      <w:r w:rsidRPr="00A50E4D">
        <w:rPr>
          <w:rFonts w:cs="Arial"/>
          <w:spacing w:val="-4"/>
          <w:lang w:val="en-US"/>
        </w:rPr>
        <w:t>No. 24 of the meeting of the plenum of the Supreme Court of Justice that began on May 5, 2010, and concluded on May 7, 2010. The minutes were not notified to the presumed victims; rather a certified copy was issued at the request of Ramón Enrique Barrios and Tirza Flores Lanza on June 25, 2010 (evidence file, folios 5645 and 5646).</w:t>
      </w:r>
    </w:p>
  </w:footnote>
  <w:footnote w:id="157">
    <w:p w14:paraId="1A828DFF" w14:textId="42545EA8" w:rsidR="007353B6" w:rsidRPr="00A50E4D" w:rsidRDefault="007353B6" w:rsidP="006F7559">
      <w:pPr>
        <w:tabs>
          <w:tab w:val="left" w:pos="450"/>
          <w:tab w:val="left" w:pos="567"/>
        </w:tabs>
        <w:autoSpaceDE w:val="0"/>
        <w:autoSpaceDN w:val="0"/>
        <w:adjustRightInd w:val="0"/>
        <w:spacing w:before="120" w:after="120"/>
        <w:rPr>
          <w:rFonts w:cs="Times New Roman"/>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Ruling of the Supreme Court of Justice of May 5, 2010 (evidence file</w:t>
      </w:r>
      <w:r w:rsidRPr="00A50E4D">
        <w:rPr>
          <w:rFonts w:cs="Arial"/>
          <w:spacing w:val="-4"/>
          <w:sz w:val="16"/>
          <w:szCs w:val="16"/>
          <w:lang w:val="en-US"/>
        </w:rPr>
        <w:t>, folios 352, 358 and 359).</w:t>
      </w:r>
    </w:p>
  </w:footnote>
  <w:footnote w:id="158">
    <w:p w14:paraId="1D8E2942" w14:textId="64FA355A"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The victims and their representatives have repeatedly asserted that they were not notified of the said resolutions. The State has not contested this assertion and there is no record in the disciplinary files that these resolutions were notified to them.</w:t>
      </w:r>
    </w:p>
  </w:footnote>
  <w:footnote w:id="159">
    <w:p w14:paraId="71D19699" w14:textId="384DF4BE"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Brief with appeal for reconsideration received on May 21, 2011, signed by Adán Guillermo López Lone, Luis Alonso Chévez de la Rocha, </w:t>
      </w:r>
      <w:r w:rsidRPr="00A50E4D">
        <w:rPr>
          <w:rFonts w:cs="Arial"/>
          <w:spacing w:val="-4"/>
          <w:sz w:val="16"/>
          <w:szCs w:val="16"/>
          <w:lang w:val="en-US"/>
        </w:rPr>
        <w:t>Ramón Enrique Barrios and Tirza Flores Lanza and addressed to the Supreme Court of Justice</w:t>
      </w:r>
      <w:r w:rsidRPr="00A50E4D">
        <w:rPr>
          <w:spacing w:val="-4"/>
          <w:sz w:val="16"/>
          <w:szCs w:val="16"/>
          <w:lang w:val="en-US"/>
        </w:rPr>
        <w:t xml:space="preserve"> (evidence file</w:t>
      </w:r>
      <w:r w:rsidRPr="00A50E4D">
        <w:rPr>
          <w:rFonts w:cs="Arial"/>
          <w:spacing w:val="-4"/>
          <w:sz w:val="16"/>
          <w:szCs w:val="16"/>
          <w:lang w:val="en-US"/>
        </w:rPr>
        <w:t>, folios 1127 and 1128).</w:t>
      </w:r>
    </w:p>
  </w:footnote>
  <w:footnote w:id="160">
    <w:p w14:paraId="108B72AE" w14:textId="0E1635DC" w:rsidR="007353B6" w:rsidRPr="00A50E4D" w:rsidRDefault="007353B6" w:rsidP="006F7559">
      <w:pPr>
        <w:tabs>
          <w:tab w:val="left" w:pos="450"/>
          <w:tab w:val="left" w:pos="567"/>
        </w:tabs>
        <w:autoSpaceDE w:val="0"/>
        <w:autoSpaceDN w:val="0"/>
        <w:adjustRightInd w:val="0"/>
        <w:spacing w:before="120" w:after="120"/>
        <w:rPr>
          <w:rFonts w:cs="Times New Roman"/>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Note of June 16, 2010, signed by the Secretary General of the Supreme Court of Justice transcribing the dismissal decision of that date (evidence file</w:t>
      </w:r>
      <w:r w:rsidRPr="00A50E4D">
        <w:rPr>
          <w:rFonts w:cs="Arial"/>
          <w:spacing w:val="-4"/>
          <w:sz w:val="16"/>
          <w:szCs w:val="16"/>
          <w:lang w:val="en-US"/>
        </w:rPr>
        <w:t>, folios 501 and 502).</w:t>
      </w:r>
    </w:p>
  </w:footnote>
  <w:footnote w:id="161">
    <w:p w14:paraId="50BB43DE" w14:textId="3B048BBF"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Appeal received on June 30, 2010, signed by Adán Guillermo López Lone and addressed to the Judicial Service Council (evidence file</w:t>
      </w:r>
      <w:r w:rsidRPr="00A50E4D">
        <w:rPr>
          <w:rFonts w:cs="Arial"/>
          <w:spacing w:val="-4"/>
          <w:sz w:val="16"/>
          <w:szCs w:val="16"/>
          <w:lang w:val="en-US"/>
        </w:rPr>
        <w:t>, folios 490 and 500).</w:t>
      </w:r>
    </w:p>
  </w:footnote>
  <w:footnote w:id="162">
    <w:p w14:paraId="00229C4F" w14:textId="607AC1E9"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Disqualification dated November 25, 2010, signed by Edith María López Rivera, Permanent Member of the Judicial Service Council (evidence file, folio 605);</w:t>
      </w:r>
      <w:r w:rsidRPr="00A50E4D">
        <w:rPr>
          <w:b/>
          <w:spacing w:val="-4"/>
          <w:sz w:val="16"/>
          <w:szCs w:val="16"/>
          <w:lang w:val="en-US"/>
        </w:rPr>
        <w:t xml:space="preserve"> </w:t>
      </w:r>
      <w:r w:rsidRPr="00A50E4D">
        <w:rPr>
          <w:spacing w:val="-4"/>
          <w:sz w:val="16"/>
          <w:szCs w:val="16"/>
          <w:lang w:val="en-US"/>
        </w:rPr>
        <w:t>disqualification dated December 9, 2010, signed by Rosa Lourdes Paz Haslam, Substitute Member of the Judicial Service Council (evidence file, folio 607);</w:t>
      </w:r>
      <w:r w:rsidRPr="00A50E4D">
        <w:rPr>
          <w:b/>
          <w:spacing w:val="-4"/>
          <w:sz w:val="16"/>
          <w:szCs w:val="16"/>
          <w:lang w:val="en-US"/>
        </w:rPr>
        <w:t xml:space="preserve"> </w:t>
      </w:r>
      <w:r w:rsidRPr="00A50E4D">
        <w:rPr>
          <w:spacing w:val="-4"/>
          <w:sz w:val="16"/>
          <w:szCs w:val="16"/>
          <w:lang w:val="en-US"/>
        </w:rPr>
        <w:t>disqualification dated January 14, 2011, signed by Gustavo Enrique Bustillo Palma, Substitute Member of the Judicial Service Council, (evidence file, folio 613); disqualification dated February 2, 2011, signed by Raúl Antonio Henriquez Interiano, Permanent Member of the Judicial Service Council (evidence file, folio 616), and disqualification dated March 3, 2011, signed by Léster Ilich Mejía Flores, Substitute Member of the Judicial Service Council (evidence file, folio 839).</w:t>
      </w:r>
    </w:p>
  </w:footnote>
  <w:footnote w:id="163">
    <w:p w14:paraId="75799B11" w14:textId="64336BD8"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Minutes of the hearing of the Judicial Service Council of February 28, 2011 (evidence file, folio 634).</w:t>
      </w:r>
    </w:p>
  </w:footnote>
  <w:footnote w:id="164">
    <w:p w14:paraId="553EE2F2" w14:textId="73225BB3"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Minutes of the hearing of the Judicial Service Council of February 28, 2011 (evidence file, folios 632 to 650).</w:t>
      </w:r>
    </w:p>
  </w:footnote>
  <w:footnote w:id="165">
    <w:p w14:paraId="71A1C8FC" w14:textId="4E6B4175"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Decision of the Judicial Service Council of March 22, 2011 (evidence file, folio 1011).</w:t>
      </w:r>
    </w:p>
  </w:footnote>
  <w:footnote w:id="166">
    <w:p w14:paraId="404C2FFE" w14:textId="45EB3B90" w:rsidR="007353B6" w:rsidRPr="00A50E4D" w:rsidRDefault="007353B6" w:rsidP="006F7559">
      <w:pPr>
        <w:tabs>
          <w:tab w:val="left" w:pos="450"/>
          <w:tab w:val="left" w:pos="567"/>
        </w:tabs>
        <w:autoSpaceDE w:val="0"/>
        <w:autoSpaceDN w:val="0"/>
        <w:adjustRightInd w:val="0"/>
        <w:spacing w:before="120" w:after="120"/>
        <w:rPr>
          <w:rFonts w:cs="Times New Roman"/>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Resolution of the President of the Supreme Court of Justice of April 14, 2011 (evidence file</w:t>
      </w:r>
      <w:r w:rsidRPr="00A50E4D">
        <w:rPr>
          <w:rFonts w:cs="Arial"/>
          <w:spacing w:val="-4"/>
          <w:sz w:val="16"/>
          <w:szCs w:val="16"/>
          <w:lang w:val="en-US"/>
        </w:rPr>
        <w:t>, folio 1017).</w:t>
      </w:r>
    </w:p>
  </w:footnote>
  <w:footnote w:id="167">
    <w:p w14:paraId="45D9F0F9" w14:textId="1CEBA93B"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Decision of the Judicial Service Council of April 26, 2011 (evidence file, folio 1020).</w:t>
      </w:r>
    </w:p>
  </w:footnote>
  <w:footnote w:id="168">
    <w:p w14:paraId="54FE6828" w14:textId="5535F97B"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Disqualification dated April 26, 2011, signed by Zoe Celeste Vásquez Ordoñez, Permanent Member of the Judicial Service Council (evidence file, folio 1022); decision of the Judicial Service Council of April 29, 2011 (evidence file, folio 1023), and notification of disqualification presented by Jorge Alberto Zelaya Saldana and appointment of Ernesto Antonio Rodríguez Corrales on August 1, 2011 (evidence file, folio 1036).</w:t>
      </w:r>
    </w:p>
  </w:footnote>
  <w:footnote w:id="169">
    <w:p w14:paraId="3EEEAF5B" w14:textId="6171F7CA"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Decision of the Judicial Service Council of August 24, 2011 (evidence file, folios 1079 and 1080).</w:t>
      </w:r>
    </w:p>
  </w:footnote>
  <w:footnote w:id="170">
    <w:p w14:paraId="65CA1451" w14:textId="52294C1B"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Decision of the Judicial Service Council of August 24, 2011 (evidence file, folios 1057 to 1081).</w:t>
      </w:r>
    </w:p>
  </w:footnote>
  <w:footnote w:id="171">
    <w:p w14:paraId="147A5499" w14:textId="28D1EC52"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Decision of the Judicial Service Council of August 24, 2011 (evidence file, folio 1075).</w:t>
      </w:r>
    </w:p>
  </w:footnote>
  <w:footnote w:id="172">
    <w:p w14:paraId="340C3E03" w14:textId="45EC6A2F"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Decision of the Judicial Service Council of August 24, 2011 (evidence file, folios 1077 and 1078).</w:t>
      </w:r>
    </w:p>
  </w:footnote>
  <w:footnote w:id="173">
    <w:p w14:paraId="54B3B70E" w14:textId="6C50EE9C"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Decision of the Judicial Service Council of August 24, 2011 (evidence file, folio 1076).</w:t>
      </w:r>
    </w:p>
  </w:footnote>
  <w:footnote w:id="174">
    <w:p w14:paraId="0D82763F" w14:textId="36B3117E"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Decision of the Judicial Service Council of August 24, 2011 (evidence file, folios 1076 and 1077).</w:t>
      </w:r>
    </w:p>
  </w:footnote>
  <w:footnote w:id="175">
    <w:p w14:paraId="60FF006A" w14:textId="379982D8" w:rsidR="007353B6" w:rsidRPr="00A50E4D" w:rsidRDefault="007353B6" w:rsidP="006F7559">
      <w:pPr>
        <w:tabs>
          <w:tab w:val="left" w:pos="450"/>
          <w:tab w:val="left" w:pos="567"/>
        </w:tabs>
        <w:autoSpaceDE w:val="0"/>
        <w:autoSpaceDN w:val="0"/>
        <w:adjustRightInd w:val="0"/>
        <w:spacing w:before="120" w:after="120"/>
        <w:rPr>
          <w:rFonts w:eastAsiaTheme="minorHAnsi" w:cs="Times New Roman"/>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In addition to the findings and norms cited in paragraphs </w:t>
      </w:r>
      <w:r w:rsidRPr="00914F55">
        <w:rPr>
          <w:sz w:val="16"/>
          <w:szCs w:val="16"/>
          <w:lang w:val="en-US"/>
        </w:rPr>
        <w:fldChar w:fldCharType="begin"/>
      </w:r>
      <w:r w:rsidRPr="00A50E4D">
        <w:rPr>
          <w:sz w:val="16"/>
          <w:szCs w:val="16"/>
          <w:lang w:val="en-US"/>
        </w:rPr>
        <w:instrText xml:space="preserve"> REF _Ref427318783 \r \h  \* MERGEFORMAT </w:instrText>
      </w:r>
      <w:r w:rsidRPr="00914F55">
        <w:rPr>
          <w:sz w:val="16"/>
          <w:szCs w:val="16"/>
          <w:lang w:val="en-US"/>
        </w:rPr>
      </w:r>
      <w:r w:rsidRPr="00914F55">
        <w:rPr>
          <w:sz w:val="16"/>
          <w:szCs w:val="16"/>
          <w:lang w:val="en-US"/>
        </w:rPr>
        <w:fldChar w:fldCharType="separate"/>
      </w:r>
      <w:r w:rsidRPr="00547588">
        <w:rPr>
          <w:spacing w:val="-4"/>
          <w:sz w:val="16"/>
          <w:szCs w:val="16"/>
          <w:lang w:val="en-US"/>
        </w:rPr>
        <w:t>100</w:t>
      </w:r>
      <w:r w:rsidRPr="00914F55">
        <w:rPr>
          <w:sz w:val="16"/>
          <w:szCs w:val="16"/>
          <w:lang w:val="en-US"/>
        </w:rPr>
        <w:fldChar w:fldCharType="end"/>
      </w:r>
      <w:r w:rsidRPr="00A50E4D">
        <w:rPr>
          <w:spacing w:val="-4"/>
          <w:sz w:val="16"/>
          <w:szCs w:val="16"/>
          <w:lang w:val="en-US"/>
        </w:rPr>
        <w:t xml:space="preserve"> to </w:t>
      </w:r>
      <w:r w:rsidRPr="00914F55">
        <w:rPr>
          <w:sz w:val="16"/>
          <w:szCs w:val="16"/>
          <w:lang w:val="en-US"/>
        </w:rPr>
        <w:fldChar w:fldCharType="begin"/>
      </w:r>
      <w:r w:rsidRPr="00A50E4D">
        <w:rPr>
          <w:sz w:val="16"/>
          <w:szCs w:val="16"/>
          <w:lang w:val="en-US"/>
        </w:rPr>
        <w:instrText xml:space="preserve"> REF _Ref427318786 \r \h  \* MERGEFORMAT </w:instrText>
      </w:r>
      <w:r w:rsidRPr="00914F55">
        <w:rPr>
          <w:sz w:val="16"/>
          <w:szCs w:val="16"/>
          <w:lang w:val="en-US"/>
        </w:rPr>
      </w:r>
      <w:r w:rsidRPr="00914F55">
        <w:rPr>
          <w:sz w:val="16"/>
          <w:szCs w:val="16"/>
          <w:lang w:val="en-US"/>
        </w:rPr>
        <w:fldChar w:fldCharType="separate"/>
      </w:r>
      <w:r w:rsidRPr="00547588">
        <w:rPr>
          <w:spacing w:val="-4"/>
          <w:sz w:val="16"/>
          <w:szCs w:val="16"/>
          <w:lang w:val="en-US"/>
        </w:rPr>
        <w:t>103</w:t>
      </w:r>
      <w:r w:rsidRPr="00914F55">
        <w:rPr>
          <w:sz w:val="16"/>
          <w:szCs w:val="16"/>
          <w:lang w:val="en-US"/>
        </w:rPr>
        <w:fldChar w:fldCharType="end"/>
      </w:r>
      <w:r w:rsidRPr="00A50E4D">
        <w:rPr>
          <w:spacing w:val="-4"/>
          <w:sz w:val="16"/>
          <w:szCs w:val="16"/>
          <w:lang w:val="en-US"/>
        </w:rPr>
        <w:t xml:space="preserve"> </w:t>
      </w:r>
      <w:r w:rsidRPr="00A50E4D">
        <w:rPr>
          <w:i/>
          <w:spacing w:val="-4"/>
          <w:sz w:val="16"/>
          <w:szCs w:val="16"/>
          <w:lang w:val="en-US"/>
        </w:rPr>
        <w:t>supra</w:t>
      </w:r>
      <w:r w:rsidRPr="00A50E4D">
        <w:rPr>
          <w:spacing w:val="-4"/>
          <w:sz w:val="16"/>
          <w:szCs w:val="16"/>
          <w:lang w:val="en-US"/>
        </w:rPr>
        <w:t xml:space="preserve">, the operative paragraphs of the decision of the Judicial Service Council included the determination that the appeal filed by Mr. López was inadmissible, “in application of the provisions of </w:t>
      </w:r>
      <w:r w:rsidRPr="00A50E4D">
        <w:rPr>
          <w:rFonts w:eastAsiaTheme="minorHAnsi" w:cs="Times New Roman"/>
          <w:spacing w:val="-4"/>
          <w:sz w:val="16"/>
          <w:szCs w:val="16"/>
          <w:lang w:val="en-US"/>
        </w:rPr>
        <w:t xml:space="preserve">Articles 8 of the Universal Declaration of Human Rights; 3 of the American Convention on Human Rights; 72, 74, 82, 90, 303, 319 and 322 of the Constitution of the Republic; 1, 3, 4(1), 6(1), 9(e)(1), 44, 45, 53(b), 56, 67, 69 amended and 85 of the Judicial Service Act; 20(1), 23, 28(d) (1), 54, 171(b), 173(c), 179, 190, 191 and 192 of the Regulations governing the Judicial Service Act; and 3, 7(e)(1), 21, 24, 26, 31 and 34 of the rules of procedure of the Judicial Service Council.” </w:t>
      </w:r>
      <w:r w:rsidRPr="00A50E4D">
        <w:rPr>
          <w:spacing w:val="-4"/>
          <w:sz w:val="16"/>
          <w:szCs w:val="16"/>
          <w:lang w:val="en-US"/>
        </w:rPr>
        <w:t>Decision of the Judicial Service Council of August 24, 2011 (evidence file, folios 1079 and 1080).</w:t>
      </w:r>
    </w:p>
  </w:footnote>
  <w:footnote w:id="176">
    <w:p w14:paraId="31BFBED2" w14:textId="0C763916"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Decision of the Judicial Service Council of December 12, 2011 (evidence file, folio 1125).</w:t>
      </w:r>
    </w:p>
  </w:footnote>
  <w:footnote w:id="177">
    <w:p w14:paraId="24084FBD" w14:textId="1D2C47CF" w:rsidR="007353B6" w:rsidRPr="00F25627" w:rsidRDefault="007353B6" w:rsidP="006F7559">
      <w:pPr>
        <w:pStyle w:val="NoSpacing"/>
        <w:tabs>
          <w:tab w:val="left" w:pos="450"/>
          <w:tab w:val="left" w:pos="567"/>
        </w:tabs>
        <w:spacing w:before="120" w:after="120"/>
        <w:rPr>
          <w:b/>
          <w:spacing w:val="-4"/>
          <w:sz w:val="16"/>
          <w:szCs w:val="16"/>
          <w:lang w:val="es-CR"/>
        </w:rPr>
      </w:pPr>
      <w:r w:rsidRPr="00A50E4D">
        <w:rPr>
          <w:rStyle w:val="FootnoteReference"/>
          <w:spacing w:val="-4"/>
          <w:lang w:val="en-US"/>
        </w:rPr>
        <w:footnoteRef/>
      </w:r>
      <w:r w:rsidRPr="00F25627">
        <w:rPr>
          <w:spacing w:val="-4"/>
          <w:sz w:val="16"/>
          <w:szCs w:val="16"/>
          <w:lang w:val="es-CR"/>
        </w:rPr>
        <w:t xml:space="preserve"> </w:t>
      </w:r>
      <w:r w:rsidRPr="00F25627">
        <w:rPr>
          <w:spacing w:val="-4"/>
          <w:sz w:val="16"/>
          <w:szCs w:val="16"/>
          <w:lang w:val="es-CR"/>
        </w:rPr>
        <w:tab/>
      </w:r>
      <w:r w:rsidRPr="00F25627">
        <w:rPr>
          <w:i/>
          <w:spacing w:val="-4"/>
          <w:sz w:val="16"/>
          <w:szCs w:val="16"/>
          <w:lang w:val="es-CR"/>
        </w:rPr>
        <w:t>Cf.</w:t>
      </w:r>
      <w:r w:rsidRPr="00F25627">
        <w:rPr>
          <w:spacing w:val="-4"/>
          <w:sz w:val="16"/>
          <w:szCs w:val="16"/>
          <w:lang w:val="es-CR"/>
        </w:rPr>
        <w:t xml:space="preserve"> </w:t>
      </w:r>
      <w:r w:rsidRPr="00F25627">
        <w:rPr>
          <w:rFonts w:cs="Arial"/>
          <w:spacing w:val="-4"/>
          <w:sz w:val="16"/>
          <w:szCs w:val="16"/>
          <w:lang w:val="es-CR"/>
        </w:rPr>
        <w:t>Curriculum vitae of Tirza del Carmen Flores Lanza (evidence file, folio 5660).</w:t>
      </w:r>
    </w:p>
  </w:footnote>
  <w:footnote w:id="178">
    <w:p w14:paraId="6DE7CA24" w14:textId="038AE0F1" w:rsidR="007353B6" w:rsidRPr="00914F55"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rFonts w:cs="Arial"/>
          <w:spacing w:val="-4"/>
          <w:sz w:val="16"/>
          <w:szCs w:val="16"/>
          <w:lang w:val="en-US"/>
        </w:rPr>
        <w:t>Certification of marriage certificate issued on June 4, 2014, by the Municipal Civil Registry Office of the National Registry of Persons of the Republic of Honduras (evidence file, folio 5650).</w:t>
      </w:r>
    </w:p>
  </w:footnote>
  <w:footnote w:id="179">
    <w:p w14:paraId="7042C807" w14:textId="33072C31"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rFonts w:cs="Arial"/>
          <w:spacing w:val="-4"/>
          <w:lang w:val="en-US"/>
        </w:rPr>
        <w:t xml:space="preserve">Brief received on June 30, 2010, signed by Tirza del Carmen Flores Lanza and addressed to the Judicial Service Council (evidence file, folio 2291), and </w:t>
      </w:r>
      <w:r w:rsidRPr="00A50E4D">
        <w:rPr>
          <w:spacing w:val="-4"/>
          <w:lang w:val="en-US"/>
        </w:rPr>
        <w:t>salary certification issued by the Head of the Judiciary’s Personnel Department on June 20, 2014 (evidence file, folio 5674).</w:t>
      </w:r>
    </w:p>
  </w:footnote>
  <w:footnote w:id="180">
    <w:p w14:paraId="4D00A59C" w14:textId="6233FEC8"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rFonts w:cs="Arial"/>
          <w:spacing w:val="-4"/>
          <w:sz w:val="16"/>
          <w:szCs w:val="16"/>
          <w:lang w:val="en-US"/>
        </w:rPr>
        <w:t xml:space="preserve">Minutes covering the election of the ADJ Board of Directors, period 2008-2010, dated September 27, 2008 (evidence file, folio 5630), and </w:t>
      </w:r>
      <w:r w:rsidRPr="00A50E4D">
        <w:rPr>
          <w:spacing w:val="-4"/>
          <w:sz w:val="16"/>
          <w:szCs w:val="16"/>
          <w:lang w:val="en-US"/>
        </w:rPr>
        <w:t>affidavit made by Tirza del Carmen Flores Lanza on January 7, 2015 (evidence file, folio 6672).</w:t>
      </w:r>
    </w:p>
  </w:footnote>
  <w:footnote w:id="181">
    <w:p w14:paraId="2CDE2F42" w14:textId="1E6C1A72" w:rsidR="007353B6" w:rsidRPr="00A50E4D" w:rsidRDefault="007353B6" w:rsidP="006F7559">
      <w:pPr>
        <w:pStyle w:val="NoSpacing"/>
        <w:tabs>
          <w:tab w:val="left" w:pos="450"/>
          <w:tab w:val="left" w:pos="567"/>
        </w:tabs>
        <w:spacing w:before="120" w:after="120"/>
        <w:rPr>
          <w:rFonts w:cs="Arial"/>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rFonts w:cs="Arial"/>
          <w:spacing w:val="-4"/>
          <w:sz w:val="16"/>
          <w:szCs w:val="16"/>
          <w:lang w:val="en-US"/>
        </w:rPr>
        <w:t xml:space="preserve">Application for </w:t>
      </w:r>
      <w:r w:rsidRPr="00A50E4D">
        <w:rPr>
          <w:rFonts w:cs="Arial"/>
          <w:i/>
          <w:spacing w:val="-4"/>
          <w:sz w:val="16"/>
          <w:szCs w:val="16"/>
          <w:lang w:val="en-US"/>
        </w:rPr>
        <w:t>amparo</w:t>
      </w:r>
      <w:r w:rsidRPr="00A50E4D">
        <w:rPr>
          <w:rFonts w:cs="Arial"/>
          <w:spacing w:val="-4"/>
          <w:sz w:val="16"/>
          <w:szCs w:val="16"/>
          <w:lang w:val="en-US"/>
        </w:rPr>
        <w:t xml:space="preserve"> filed on June 30, 2009, by Tirza del Carmen Flores Lanza before the Constitutional Chamber of the Supreme Court of Justice (evidence file, folios 2905 and 2907). Similar applications were filed by other individuals, including Mr. Lopez Lone. </w:t>
      </w:r>
      <w:r w:rsidRPr="00A50E4D">
        <w:rPr>
          <w:i/>
          <w:spacing w:val="-4"/>
          <w:sz w:val="16"/>
          <w:szCs w:val="16"/>
          <w:lang w:val="en-US"/>
        </w:rPr>
        <w:t xml:space="preserve">Cf. </w:t>
      </w:r>
      <w:r w:rsidRPr="00A50E4D">
        <w:rPr>
          <w:rFonts w:cs="Arial"/>
          <w:spacing w:val="-4"/>
          <w:sz w:val="16"/>
          <w:szCs w:val="16"/>
          <w:lang w:val="en-US"/>
        </w:rPr>
        <w:t xml:space="preserve">Application for </w:t>
      </w:r>
      <w:r w:rsidRPr="00A50E4D">
        <w:rPr>
          <w:rFonts w:cs="Arial"/>
          <w:i/>
          <w:spacing w:val="-4"/>
          <w:sz w:val="16"/>
          <w:szCs w:val="16"/>
          <w:lang w:val="en-US"/>
        </w:rPr>
        <w:t>amparo</w:t>
      </w:r>
      <w:r w:rsidRPr="00A50E4D">
        <w:rPr>
          <w:rFonts w:cs="Arial"/>
          <w:spacing w:val="-4"/>
          <w:sz w:val="16"/>
          <w:szCs w:val="16"/>
          <w:lang w:val="en-US"/>
        </w:rPr>
        <w:t xml:space="preserve"> filed by Ben Hur López García before the Constitutional Chamber of the Supreme Court of Justice (evidence file, folios 2919 to 2921), and application for </w:t>
      </w:r>
      <w:r w:rsidRPr="00A50E4D">
        <w:rPr>
          <w:rFonts w:cs="Arial"/>
          <w:i/>
          <w:spacing w:val="-4"/>
          <w:sz w:val="16"/>
          <w:szCs w:val="16"/>
          <w:lang w:val="en-US"/>
        </w:rPr>
        <w:t>amparo</w:t>
      </w:r>
      <w:r w:rsidRPr="00A50E4D">
        <w:rPr>
          <w:rFonts w:cs="Arial"/>
          <w:spacing w:val="-4"/>
          <w:sz w:val="16"/>
          <w:szCs w:val="16"/>
          <w:lang w:val="en-US"/>
        </w:rPr>
        <w:t xml:space="preserve"> filed on September 29, 2009, by Adán Guillermo López Lone before the Constitutional Chamber of the Supreme Court of Justice (evidence file, folios 2925 to 2930).</w:t>
      </w:r>
    </w:p>
  </w:footnote>
  <w:footnote w:id="182">
    <w:p w14:paraId="62C7CBCB" w14:textId="3B2B165F" w:rsidR="007353B6" w:rsidRPr="00A50E4D" w:rsidRDefault="007353B6" w:rsidP="006F7559">
      <w:pPr>
        <w:pStyle w:val="NoSpacing"/>
        <w:tabs>
          <w:tab w:val="left" w:pos="450"/>
          <w:tab w:val="left" w:pos="567"/>
        </w:tabs>
        <w:spacing w:before="120" w:after="120"/>
        <w:rPr>
          <w:rFonts w:cs="Arial"/>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rFonts w:cs="Arial"/>
          <w:spacing w:val="-4"/>
          <w:sz w:val="16"/>
          <w:szCs w:val="16"/>
          <w:lang w:val="en-US"/>
        </w:rPr>
        <w:t xml:space="preserve">Decision of the Constitutional Chamber of June 30, 2009 (evidence file, folio 2931). </w:t>
      </w:r>
    </w:p>
  </w:footnote>
  <w:footnote w:id="183">
    <w:p w14:paraId="78606DA6" w14:textId="2958AC4E"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Complaint filed by </w:t>
      </w:r>
      <w:r w:rsidRPr="00A50E4D">
        <w:rPr>
          <w:rFonts w:cs="Arial"/>
          <w:spacing w:val="-4"/>
          <w:sz w:val="16"/>
          <w:szCs w:val="16"/>
          <w:lang w:val="en-US"/>
        </w:rPr>
        <w:t>Tirza del Carmen Flores Lanza and others on June 30, 2009, before the Prosecutor General (evidence file, folios 5666 and 5667). The group of those presenting this complaint included Mr. Lopez Lone.</w:t>
      </w:r>
    </w:p>
  </w:footnote>
  <w:footnote w:id="184">
    <w:p w14:paraId="6E63174B" w14:textId="5779B083"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Record of investigation by the Inspector General of Courts and Tribunals of July 1, 2009 (evidence file, folio 2892). </w:t>
      </w:r>
    </w:p>
  </w:footnote>
  <w:footnote w:id="185">
    <w:p w14:paraId="6A819A18" w14:textId="52DC629A"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Special Report of July 30, 2009, signed by the Inspector General of Courts and Tribunals and addressed to the President of the Supreme Court of Justice (evidence file, folio 2902), and decision of the Inspectorate General of Courts and Tribunals of July 31, 2009 (evidence file, folio 2904).</w:t>
      </w:r>
    </w:p>
  </w:footnote>
  <w:footnote w:id="186">
    <w:p w14:paraId="090182AF" w14:textId="0565A44D" w:rsidR="007353B6" w:rsidRPr="00A50E4D" w:rsidRDefault="007353B6" w:rsidP="006F7559">
      <w:pPr>
        <w:pStyle w:val="FootnoteText"/>
        <w:tabs>
          <w:tab w:val="left" w:pos="450"/>
        </w:tabs>
        <w:spacing w:before="120" w:after="120"/>
        <w:rPr>
          <w:b/>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Special Report of July 30, 2009, signed by the Inspector General of Courts and Tribunals and addressed to the President of the Supreme Court of Justice (evidence file, folios 2902 and 2903). Mr. López Lone was also included in this investigation. However, the procedure with regard to Mr. López Lone was suspended temporarily because he was “on medical leave.” According to information provided by the representatives, the investigation against Mr. López Lone was not taken up again subsequently. </w:t>
      </w:r>
      <w:r w:rsidRPr="00A50E4D">
        <w:rPr>
          <w:i/>
          <w:spacing w:val="-4"/>
          <w:lang w:val="en-US"/>
        </w:rPr>
        <w:t xml:space="preserve">Cf. </w:t>
      </w:r>
      <w:r w:rsidRPr="00A50E4D">
        <w:rPr>
          <w:spacing w:val="-4"/>
          <w:lang w:val="en-US"/>
        </w:rPr>
        <w:t>Brief of the representatives of August 12, 2015 (merits file, folio 1928).</w:t>
      </w:r>
    </w:p>
  </w:footnote>
  <w:footnote w:id="187">
    <w:p w14:paraId="19FF1FA2" w14:textId="7BB57ADA" w:rsidR="007353B6" w:rsidRPr="00A50E4D" w:rsidRDefault="007353B6" w:rsidP="006F7559">
      <w:pPr>
        <w:pStyle w:val="FootnoteText"/>
        <w:tabs>
          <w:tab w:val="left" w:pos="450"/>
        </w:tabs>
        <w:spacing w:before="120" w:after="120"/>
        <w:rPr>
          <w:b/>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The nullity was requested because the June 30 report in relation to the application for </w:t>
      </w:r>
      <w:r w:rsidRPr="00A50E4D">
        <w:rPr>
          <w:i/>
          <w:spacing w:val="-4"/>
          <w:lang w:val="en-US"/>
        </w:rPr>
        <w:t>amparo</w:t>
      </w:r>
      <w:r w:rsidRPr="00A50E4D">
        <w:rPr>
          <w:spacing w:val="-4"/>
          <w:lang w:val="en-US"/>
        </w:rPr>
        <w:t xml:space="preserve"> submitted by the respondent authority had been prepared by the Legal Auditor and not by the Head of the Armed Forces, General Romeo Vásquez Velásquez, against whom the application had been filed. </w:t>
      </w:r>
      <w:r w:rsidRPr="00A50E4D">
        <w:rPr>
          <w:i/>
          <w:spacing w:val="-4"/>
          <w:lang w:val="en-US"/>
        </w:rPr>
        <w:t xml:space="preserve">Cf. </w:t>
      </w:r>
      <w:r w:rsidRPr="00A50E4D">
        <w:rPr>
          <w:rFonts w:cs="Arial"/>
          <w:spacing w:val="-4"/>
          <w:lang w:val="en-US"/>
        </w:rPr>
        <w:t xml:space="preserve">Brief requesting a declaration of nullity received on August 12, 2009, signed by Tirza del Carmen Flores Lanza and addressed to the Constitutional Chamber (evidence file, folio 2472). </w:t>
      </w:r>
    </w:p>
  </w:footnote>
  <w:footnote w:id="188">
    <w:p w14:paraId="0C10D610" w14:textId="27A6DCB9"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The Chamber indicated that “the only way in which this Chamber could consider valid the actions involving the practice of law carried out by attorney </w:t>
      </w:r>
      <w:r w:rsidRPr="00A50E4D">
        <w:rPr>
          <w:rFonts w:cs="Times New Roman"/>
          <w:spacing w:val="-4"/>
          <w:sz w:val="16"/>
          <w:szCs w:val="16"/>
          <w:lang w:val="en-US"/>
        </w:rPr>
        <w:t>[Flores Lanza] or determine that she was authorized to take such actions in the name of JOSÉ MANUEL ZELAYA ROSALES,</w:t>
      </w:r>
      <w:r w:rsidRPr="00A50E4D">
        <w:rPr>
          <w:rFonts w:cs="Arial"/>
          <w:spacing w:val="-4"/>
          <w:sz w:val="16"/>
          <w:szCs w:val="16"/>
          <w:lang w:val="en-US"/>
        </w:rPr>
        <w:t xml:space="preserve"> would be that she prove that this fell within one of the following categories</w:t>
      </w:r>
      <w:r w:rsidRPr="00A50E4D">
        <w:rPr>
          <w:rFonts w:cs="Times New Roman"/>
          <w:spacing w:val="-4"/>
          <w:sz w:val="16"/>
          <w:szCs w:val="16"/>
          <w:lang w:val="en-US"/>
        </w:rPr>
        <w:t xml:space="preserve">: 1. That she is defending a personal case, which is not the case, because she is doing so in favor of a third party; 2. That she is defending a case involving her spouse, which is not the case either, because she is not related by marriage to the third party in favor of whom she filed the application for </w:t>
      </w:r>
      <w:r w:rsidRPr="00A50E4D">
        <w:rPr>
          <w:rFonts w:cs="Times New Roman"/>
          <w:i/>
          <w:spacing w:val="-4"/>
          <w:sz w:val="16"/>
          <w:szCs w:val="16"/>
          <w:lang w:val="en-US"/>
        </w:rPr>
        <w:t>amparo</w:t>
      </w:r>
      <w:r w:rsidRPr="00A50E4D">
        <w:rPr>
          <w:rFonts w:cs="Times New Roman"/>
          <w:spacing w:val="-4"/>
          <w:sz w:val="16"/>
          <w:szCs w:val="16"/>
          <w:lang w:val="en-US"/>
        </w:rPr>
        <w:t xml:space="preserve">; 3. That Mr. ZELAYA ROSALES is her ward; that Mr. ZELAYA is a relative within the fourth degree of consanguinity or the second of affinity, and/or 5. That the appellant is no longer a tenured justice of the San Pedro Sula District Appellate Court or is a substitute justice or a justice of the peace.” Decision </w:t>
      </w:r>
      <w:r w:rsidRPr="00A50E4D">
        <w:rPr>
          <w:rFonts w:cs="Arial"/>
          <w:spacing w:val="-4"/>
          <w:sz w:val="16"/>
          <w:szCs w:val="16"/>
          <w:lang w:val="en-US"/>
        </w:rPr>
        <w:t xml:space="preserve">of the Constitutional Chamber of September 9, 2009 (evidence file, folios 2595 and 2596). </w:t>
      </w:r>
    </w:p>
  </w:footnote>
  <w:footnote w:id="189">
    <w:p w14:paraId="5D76DBE7" w14:textId="74B52C93" w:rsidR="007353B6" w:rsidRPr="00A50E4D" w:rsidRDefault="007353B6" w:rsidP="006F7559">
      <w:pPr>
        <w:pStyle w:val="FootnoteText"/>
        <w:tabs>
          <w:tab w:val="left" w:pos="450"/>
        </w:tabs>
        <w:spacing w:before="120" w:after="120"/>
        <w:rPr>
          <w:b/>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Cf.</w:t>
      </w:r>
      <w:r w:rsidRPr="00A50E4D">
        <w:rPr>
          <w:spacing w:val="-4"/>
          <w:lang w:val="en-US"/>
        </w:rPr>
        <w:t xml:space="preserve"> Brief of September 16, 2009, signed by Tirza del Carmen Flores Lanza addressed to the Inspectors of Tribunals, San Pedro Sula (evidence file, folio 2734).</w:t>
      </w:r>
    </w:p>
  </w:footnote>
  <w:footnote w:id="190">
    <w:p w14:paraId="33DF22EE" w14:textId="71FFF9D8" w:rsidR="007353B6" w:rsidRPr="00A50E4D" w:rsidRDefault="007353B6" w:rsidP="006F7559">
      <w:pPr>
        <w:pStyle w:val="FootnoteText"/>
        <w:tabs>
          <w:tab w:val="left" w:pos="450"/>
        </w:tabs>
        <w:spacing w:before="120" w:after="120"/>
        <w:rPr>
          <w:b/>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Decision of the Regional Inspectorate of Courts and Tribunals of September 16, 2009 (evidence file, folio 2736).</w:t>
      </w:r>
    </w:p>
  </w:footnote>
  <w:footnote w:id="191">
    <w:p w14:paraId="124BE186" w14:textId="1FBCDEA7" w:rsidR="007353B6" w:rsidRPr="00A50E4D" w:rsidRDefault="007353B6" w:rsidP="006F7559">
      <w:pPr>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Decision of the Regional Inspectorate of Courts and Tribunals of September 16, 2009 (evidence file, folio 2736).</w:t>
      </w:r>
    </w:p>
  </w:footnote>
  <w:footnote w:id="192">
    <w:p w14:paraId="04179C16" w14:textId="4213DDA0"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rFonts w:cs="Arial"/>
          <w:spacing w:val="-4"/>
          <w:sz w:val="16"/>
          <w:szCs w:val="16"/>
          <w:lang w:val="en-US"/>
        </w:rPr>
        <w:t xml:space="preserve">Decision of the Personnel Management Directorate of October 20 2009 (evidence file, folios 2975 and 2976). </w:t>
      </w:r>
    </w:p>
  </w:footnote>
  <w:footnote w:id="193">
    <w:p w14:paraId="18CBB9A2" w14:textId="0B72E5A0" w:rsidR="007353B6" w:rsidRPr="00A50E4D" w:rsidRDefault="007353B6" w:rsidP="006F7559">
      <w:pPr>
        <w:tabs>
          <w:tab w:val="left" w:pos="450"/>
          <w:tab w:val="left" w:pos="567"/>
        </w:tabs>
        <w:spacing w:before="120" w:after="120"/>
        <w:rPr>
          <w:color w:val="1F497D"/>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z w:val="16"/>
          <w:szCs w:val="16"/>
          <w:lang w:val="en-US"/>
        </w:rPr>
        <w:t xml:space="preserve">Decision of the Personnel Management Directorate of December 10, 2009 (evidence file, folio 2988), and record of the </w:t>
      </w:r>
      <w:r w:rsidRPr="00A50E4D">
        <w:rPr>
          <w:rFonts w:cs="Arial"/>
          <w:spacing w:val="-4"/>
          <w:sz w:val="16"/>
          <w:szCs w:val="16"/>
          <w:lang w:val="en-US"/>
        </w:rPr>
        <w:t>rebuttal hearing held by the Personnel Management Directorate of January 7, 2010 (evidence file, folios 2990 to 3011).</w:t>
      </w:r>
    </w:p>
  </w:footnote>
  <w:footnote w:id="194">
    <w:p w14:paraId="5A9D33D2" w14:textId="16571581"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rFonts w:cs="Arial"/>
          <w:spacing w:val="-4"/>
          <w:sz w:val="16"/>
          <w:szCs w:val="16"/>
          <w:lang w:val="en-US"/>
        </w:rPr>
        <w:t>Decision of the Personnel Management Directorate of January 11, 2010 (evidence file, folios 3012 to 3013).</w:t>
      </w:r>
    </w:p>
  </w:footnote>
  <w:footnote w:id="195">
    <w:p w14:paraId="3B6CCBF4" w14:textId="24C9638D" w:rsidR="007353B6" w:rsidRPr="00A50E4D" w:rsidRDefault="007353B6" w:rsidP="006F7559">
      <w:pPr>
        <w:tabs>
          <w:tab w:val="left" w:pos="450"/>
          <w:tab w:val="left" w:pos="567"/>
        </w:tabs>
        <w:autoSpaceDE w:val="0"/>
        <w:autoSpaceDN w:val="0"/>
        <w:adjustRightInd w:val="0"/>
        <w:spacing w:before="120" w:after="120"/>
        <w:rPr>
          <w:rFonts w:cs="Arial"/>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This recommendation was made, “in application of </w:t>
      </w:r>
      <w:r w:rsidRPr="00A50E4D">
        <w:rPr>
          <w:rFonts w:cs="Arial"/>
          <w:spacing w:val="-4"/>
          <w:sz w:val="16"/>
          <w:szCs w:val="16"/>
          <w:lang w:val="en-US"/>
        </w:rPr>
        <w:t xml:space="preserve">Articles 80, 82, 319(1) of the Constitution of the Republic: 1, 3, 4(1), 10, 12(a), 44, 45, 51, 53(g), 54(c), 55, 56(3), 60, 64(a), 66, 73, 74 and 77 of the Judicial Service Act; 1, 3, 4, 7, 9(1), 31, 33(a), 149, 157, 158, 161, 172(f), 173(c), 174, 180(3), 184, 186, 187(a) 188, 189, 190, 206, 207 and 210 of the Regulations governing the same Act; 3(4) of the Law on the Organization and Faculties of the Courts; 1 of the Code of Ethics for Judicial Officials and Employees.” </w:t>
      </w:r>
      <w:r w:rsidRPr="00A50E4D">
        <w:rPr>
          <w:spacing w:val="-4"/>
          <w:sz w:val="16"/>
          <w:szCs w:val="16"/>
          <w:lang w:val="en-US"/>
        </w:rPr>
        <w:t>Resolution No. 04-2010 of the Personnel Management Directorate of April 20, 2010 (evidence file</w:t>
      </w:r>
      <w:r w:rsidRPr="00A50E4D">
        <w:rPr>
          <w:rFonts w:cs="Arial"/>
          <w:spacing w:val="-4"/>
          <w:sz w:val="16"/>
          <w:szCs w:val="16"/>
          <w:lang w:val="en-US"/>
        </w:rPr>
        <w:t>, folio 3068).</w:t>
      </w:r>
    </w:p>
  </w:footnote>
  <w:footnote w:id="196">
    <w:p w14:paraId="535C8B44" w14:textId="63292E12"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This decision appears in Minutes </w:t>
      </w:r>
      <w:r w:rsidRPr="00A50E4D">
        <w:rPr>
          <w:rFonts w:cs="Arial"/>
          <w:spacing w:val="-4"/>
          <w:lang w:val="en-US"/>
        </w:rPr>
        <w:t xml:space="preserve">No. 24 of the session initiated by the plenum of the Supreme Court of Justice on May 5, 2010, and ended on May 7, 2010. These minutes were not notified to the presumed victims; rather a certified copy was issued at the request of Ramón Enrique Barrios and Tirza Flores Lanza on June 25, 2010 (evidence file, folios 5640 and 5641). The decision of the Supreme Court was ratified on June 1, 2010. </w:t>
      </w:r>
      <w:r w:rsidRPr="00A50E4D">
        <w:rPr>
          <w:i/>
          <w:spacing w:val="-4"/>
          <w:lang w:val="en-US"/>
        </w:rPr>
        <w:t xml:space="preserve">Cf. </w:t>
      </w:r>
      <w:r w:rsidRPr="00A50E4D">
        <w:rPr>
          <w:spacing w:val="-4"/>
          <w:lang w:val="en-US"/>
        </w:rPr>
        <w:t>Decision of the Judicial Service Council of August 24, 2011 (evidence file, folio 2834).</w:t>
      </w:r>
    </w:p>
  </w:footnote>
  <w:footnote w:id="197">
    <w:p w14:paraId="20579469" w14:textId="52B1D676" w:rsidR="007353B6" w:rsidRPr="00A50E4D" w:rsidRDefault="007353B6" w:rsidP="006F7559">
      <w:pPr>
        <w:tabs>
          <w:tab w:val="left" w:pos="450"/>
          <w:tab w:val="left" w:pos="567"/>
        </w:tabs>
        <w:autoSpaceDE w:val="0"/>
        <w:autoSpaceDN w:val="0"/>
        <w:adjustRightInd w:val="0"/>
        <w:spacing w:before="120" w:after="120"/>
        <w:rPr>
          <w:rFonts w:cs="Times New Roman"/>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Resolution of the Supreme Court of Justice of May 5, 2010 (evidence file</w:t>
      </w:r>
      <w:r w:rsidRPr="00A50E4D">
        <w:rPr>
          <w:rFonts w:cs="Arial"/>
          <w:spacing w:val="-4"/>
          <w:sz w:val="16"/>
          <w:szCs w:val="16"/>
          <w:lang w:val="en-US"/>
        </w:rPr>
        <w:t xml:space="preserve">, folios 3070 to 3077). </w:t>
      </w:r>
    </w:p>
  </w:footnote>
  <w:footnote w:id="198">
    <w:p w14:paraId="5AE5386A" w14:textId="6EB7BEA3"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The victims and their representatives have repeatedly asserted that the said resolutions were not notified. The State has not contested this assertion and there is no record in the disciplinary files that these resolutions were notified.</w:t>
      </w:r>
    </w:p>
  </w:footnote>
  <w:footnote w:id="199">
    <w:p w14:paraId="26B22429" w14:textId="12DFCF3B" w:rsidR="007353B6" w:rsidRPr="00914F55"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Brief of the request for reconsideration received on May 21, 2011, signed by Adán Guillermo López Lone, Luis Alonso Chévez de la Rocha, </w:t>
      </w:r>
      <w:r w:rsidRPr="00A50E4D">
        <w:rPr>
          <w:rFonts w:cs="Arial"/>
          <w:spacing w:val="-4"/>
          <w:sz w:val="16"/>
          <w:szCs w:val="16"/>
          <w:lang w:val="en-US"/>
        </w:rPr>
        <w:t>Ramón Enrique Barrios and Tirza Flores Lanza and addressed to the Supreme Court of Justice</w:t>
      </w:r>
      <w:r w:rsidRPr="00A50E4D">
        <w:rPr>
          <w:spacing w:val="-4"/>
          <w:sz w:val="16"/>
          <w:szCs w:val="16"/>
          <w:lang w:val="en-US"/>
        </w:rPr>
        <w:t xml:space="preserve"> (evidence file</w:t>
      </w:r>
      <w:r w:rsidRPr="00A50E4D">
        <w:rPr>
          <w:rFonts w:cs="Arial"/>
          <w:spacing w:val="-4"/>
          <w:sz w:val="16"/>
          <w:szCs w:val="16"/>
          <w:lang w:val="en-US"/>
        </w:rPr>
        <w:t>, folios 1127 and 1128).</w:t>
      </w:r>
    </w:p>
  </w:footnote>
  <w:footnote w:id="200">
    <w:p w14:paraId="1B21F0B8" w14:textId="37A115E0"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Note of June 4, 2010, signed by the Secretary General of the Supreme Court of Justice, transcribing the dismissal decision of the same date (evidence file</w:t>
      </w:r>
      <w:r w:rsidRPr="00A50E4D">
        <w:rPr>
          <w:rFonts w:cs="Arial"/>
          <w:spacing w:val="-4"/>
          <w:sz w:val="16"/>
          <w:szCs w:val="16"/>
          <w:lang w:val="en-US"/>
        </w:rPr>
        <w:t>, folios 2303 and 2304).</w:t>
      </w:r>
    </w:p>
  </w:footnote>
  <w:footnote w:id="201">
    <w:p w14:paraId="001C82B0" w14:textId="39D0F98F"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Complaint received on June 30, 2010, signed by Tirza del Carmen Flores Lanza and addressed to the Judicial Service Council (evidence file</w:t>
      </w:r>
      <w:r w:rsidRPr="00A50E4D">
        <w:rPr>
          <w:rFonts w:cs="Arial"/>
          <w:spacing w:val="-4"/>
          <w:sz w:val="16"/>
          <w:szCs w:val="16"/>
          <w:lang w:val="en-US"/>
        </w:rPr>
        <w:t xml:space="preserve">, folios 2291 to 2302). </w:t>
      </w:r>
    </w:p>
  </w:footnote>
  <w:footnote w:id="202">
    <w:p w14:paraId="60CE441F" w14:textId="1073D05D"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Disqualification dated November 25, 2010, signed by Edith María López Rivera, Permanent Member of the Judicial Service Council (evidence file, folio 2329); disqualification dated December 9, 2010, signed by Rosa Lourdes Paz Haslam, Substitute Member of the Judicial Service Council (evidence file, folio 2331); disqualification dated of January 12, 2011, signed by Gustavo Enrique Bustillo Palma, Substitute Member of the Judicial Service Council (evidence file, folio 2333); disqualification dated February 2, 2011, signed by Raúl Antonio Henriquez Interiano, Permanent Member of the Judicial Service Council (evidence file, folio 2337), and disqualification dated February 23, 2011, signed by Léster Ilich Mejía Flores, Substitute Member of the Judicial Service Council (evidence file, folio 2539).</w:t>
      </w:r>
    </w:p>
  </w:footnote>
  <w:footnote w:id="203">
    <w:p w14:paraId="64183D37" w14:textId="6421F726"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Cf.</w:t>
      </w:r>
      <w:r w:rsidRPr="00A50E4D">
        <w:rPr>
          <w:spacing w:val="-4"/>
          <w:sz w:val="16"/>
          <w:szCs w:val="16"/>
          <w:lang w:val="en-US"/>
        </w:rPr>
        <w:t xml:space="preserve"> Minutes of the hearing of the Judicial Service Council of February 17, 2011 (evidence file, folios 2348 and 2349). </w:t>
      </w:r>
      <w:r w:rsidRPr="00A50E4D">
        <w:rPr>
          <w:i/>
          <w:spacing w:val="-4"/>
          <w:sz w:val="16"/>
          <w:szCs w:val="16"/>
          <w:lang w:val="en-US"/>
        </w:rPr>
        <w:t xml:space="preserve"> </w:t>
      </w:r>
    </w:p>
  </w:footnote>
  <w:footnote w:id="204">
    <w:p w14:paraId="10F15B0C" w14:textId="40847FA5" w:rsidR="007353B6" w:rsidRPr="00A50E4D" w:rsidRDefault="007353B6" w:rsidP="006F7559">
      <w:pPr>
        <w:tabs>
          <w:tab w:val="left" w:pos="450"/>
          <w:tab w:val="left" w:pos="567"/>
        </w:tabs>
        <w:spacing w:before="120" w:after="120"/>
        <w:rPr>
          <w:color w:val="1F497D"/>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Decision of the Judicial Service Council of March 22, 2011 (evidence file, folio 2759); </w:t>
      </w:r>
      <w:r w:rsidRPr="00A50E4D">
        <w:rPr>
          <w:sz w:val="16"/>
          <w:szCs w:val="16"/>
          <w:lang w:val="en-US"/>
        </w:rPr>
        <w:t>decision of the President of the Supreme Court of Justice of April 14, 2011 (evidence file, folio 2764)</w:t>
      </w:r>
      <w:r w:rsidRPr="00A50E4D">
        <w:rPr>
          <w:spacing w:val="-4"/>
          <w:sz w:val="16"/>
          <w:szCs w:val="16"/>
          <w:lang w:val="en-US"/>
        </w:rPr>
        <w:t>, and decision of the Judicial Service Council of April 26, 2011 (evidence file, folio 2767).</w:t>
      </w:r>
    </w:p>
  </w:footnote>
  <w:footnote w:id="205">
    <w:p w14:paraId="163E9CB3" w14:textId="37A645F1"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Disqualification dated April 26, 2011, signed by Zoe Celeste Vásquez Ordoñez, Permanent Member of the Judicial Service Council (evidence file, folio 2769); decision of the Judicial Service Council of April 29, 2011 (evidence file, folio 2770); disqualification dated June 22, 2011, signed by Sixto Aguilar Cruz (evidence file, folio 2782); decision of the Judicial Service Council of June 23, 2011 (evidence file, folio 2784); disqualification dated June 24, 2011, signed by Danery Antonio Medal Raudales (evidence file, folio 2787); decision of the Judicial Service Council of June 29, 2011 (evidence file, folio 2789); disqualification dated July 25, 2011, signed by Jorge Alberto Zelaya Zaldaña (evidence file, folios 2792 and 2793), and decision of the Judicial Service Council of August 1, 2011 (evidence file, folio 2794).</w:t>
      </w:r>
    </w:p>
  </w:footnote>
  <w:footnote w:id="206">
    <w:p w14:paraId="7B0E417C" w14:textId="590EB7A3"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This decision was adopted “in application of the provisions of Articles 8 of the Universal Declaration of Human Rights; 3 of the American Convention on Human Rights, 72, 74, 82, 90, 319 of the Constitution of the Republic; 1, 3, 4(1), 6(1), 9(e)(1), 44, 45, 53(b), 56, 67, 69 amended and 85 of the Judicial Service Act; 20(1), 23, 28(d)(1), 54, 171(b), 173(c), 179, 190, 191 and 192 of the Regulations governing the Judicial Service Act; 3, 7(e)(1), 21, 24, 26, 31 and 34 of the rules of procedure of the Judicial Service Council; 64 of the Civil Code, and 202 of the Code of Civil Procedure.” Decision of the Judicial Service Council of August 24, 2011 (evidence file, folio 2842).</w:t>
      </w:r>
    </w:p>
  </w:footnote>
  <w:footnote w:id="207">
    <w:p w14:paraId="6CF336AB" w14:textId="20761AF5"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Decision of the Judicial Service Council of August 24, 2011 (evidence file, folios 2828 and 2829).</w:t>
      </w:r>
    </w:p>
  </w:footnote>
  <w:footnote w:id="208">
    <w:p w14:paraId="49852B71" w14:textId="65D7EB0F"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Decision of the Judicial Service Council of August 24, 2011 (evidence file, folio 2836).</w:t>
      </w:r>
    </w:p>
  </w:footnote>
  <w:footnote w:id="209">
    <w:p w14:paraId="14E0687E" w14:textId="6E2A9434"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According to the decision, this obligation was established in “article 45 of the Judicial Service Act in relation to article 54 of the said Act. </w:t>
      </w:r>
      <w:r w:rsidRPr="00A50E4D">
        <w:rPr>
          <w:i/>
          <w:spacing w:val="-4"/>
          <w:sz w:val="16"/>
          <w:szCs w:val="16"/>
          <w:lang w:val="en-US"/>
        </w:rPr>
        <w:t xml:space="preserve">Cf. </w:t>
      </w:r>
      <w:r w:rsidRPr="00A50E4D">
        <w:rPr>
          <w:spacing w:val="-4"/>
          <w:sz w:val="16"/>
          <w:szCs w:val="16"/>
          <w:lang w:val="en-US"/>
        </w:rPr>
        <w:t>Decision of the Judicial Service Council of August 24, 2011 (evidence file, folio 2836).</w:t>
      </w:r>
    </w:p>
  </w:footnote>
  <w:footnote w:id="210">
    <w:p w14:paraId="00156678" w14:textId="75F907F0"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In this regard, it cited “article 319 [of the Constitution] and, by supplementary application […] articles 85 of the Judicial Service Act, 215 of the Regulations governing the Judicial Service Act and 51 of the rules of procedure of the Judicial Service Council, referred to article 108 of the Law on the Organization and Faculties of the Courts,” as well as articles 50 of the Judicial Service Act and 157 of its Regulations. </w:t>
      </w:r>
      <w:r w:rsidRPr="00A50E4D">
        <w:rPr>
          <w:i/>
          <w:spacing w:val="-4"/>
          <w:sz w:val="16"/>
          <w:szCs w:val="16"/>
          <w:lang w:val="en-US"/>
        </w:rPr>
        <w:t xml:space="preserve">Cf. </w:t>
      </w:r>
      <w:r w:rsidRPr="00A50E4D">
        <w:rPr>
          <w:spacing w:val="-4"/>
          <w:sz w:val="16"/>
          <w:szCs w:val="16"/>
          <w:lang w:val="en-US"/>
        </w:rPr>
        <w:t>Decision of the Judicial Service Council of August 24, 2011 (evidence file, folios 2837 and 2838).</w:t>
      </w:r>
    </w:p>
  </w:footnote>
  <w:footnote w:id="211">
    <w:p w14:paraId="5008C204" w14:textId="224A1ECF"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In this regard, it indicated that “article 12 of the Organic Law of the Honduran Lawyers’ Professional Association established that “[t]he practice of law corresponds exclusively to lawyers and graduates in legal and social sciences, members of the Association.” Decision of the Judicial Service Council of August 24, 2011 (evidence file, folio 2838). </w:t>
      </w:r>
    </w:p>
  </w:footnote>
  <w:footnote w:id="212">
    <w:p w14:paraId="7B07E4AC" w14:textId="48CB4AC2"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Decision of the Judicial Service Council of August 24, 2011 (evidence file, folios 2840 and 2841). </w:t>
      </w:r>
    </w:p>
  </w:footnote>
  <w:footnote w:id="213">
    <w:p w14:paraId="78DCA46D" w14:textId="659C6930"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Decision of the Judicial Service Council of December 12, 2011 (evidence file, folio 2888).</w:t>
      </w:r>
    </w:p>
  </w:footnote>
  <w:footnote w:id="214">
    <w:p w14:paraId="439CD2DF" w14:textId="62A6F42B" w:rsidR="007353B6" w:rsidRPr="00F25627" w:rsidRDefault="007353B6" w:rsidP="006F7559">
      <w:pPr>
        <w:pStyle w:val="NoSpacing"/>
        <w:tabs>
          <w:tab w:val="left" w:pos="450"/>
          <w:tab w:val="left" w:pos="567"/>
        </w:tabs>
        <w:spacing w:before="120" w:after="120"/>
        <w:rPr>
          <w:spacing w:val="-4"/>
          <w:sz w:val="16"/>
          <w:szCs w:val="16"/>
          <w:lang w:val="es-CR"/>
        </w:rPr>
      </w:pPr>
      <w:r w:rsidRPr="00A50E4D">
        <w:rPr>
          <w:rStyle w:val="FootnoteReference"/>
          <w:spacing w:val="-4"/>
          <w:lang w:val="en-US"/>
        </w:rPr>
        <w:footnoteRef/>
      </w:r>
      <w:r w:rsidRPr="00F25627">
        <w:rPr>
          <w:spacing w:val="-4"/>
          <w:sz w:val="16"/>
          <w:szCs w:val="16"/>
          <w:lang w:val="es-CR"/>
        </w:rPr>
        <w:t xml:space="preserve"> </w:t>
      </w:r>
      <w:r w:rsidRPr="00F25627">
        <w:rPr>
          <w:spacing w:val="-4"/>
          <w:sz w:val="16"/>
          <w:szCs w:val="16"/>
          <w:lang w:val="es-CR"/>
        </w:rPr>
        <w:tab/>
      </w:r>
      <w:r w:rsidRPr="00F25627">
        <w:rPr>
          <w:i/>
          <w:spacing w:val="-4"/>
          <w:sz w:val="16"/>
          <w:szCs w:val="16"/>
          <w:lang w:val="es-CR"/>
        </w:rPr>
        <w:t xml:space="preserve">Cf. </w:t>
      </w:r>
      <w:r w:rsidRPr="00F25627">
        <w:rPr>
          <w:rFonts w:cs="Arial"/>
          <w:spacing w:val="-4"/>
          <w:sz w:val="16"/>
          <w:szCs w:val="16"/>
          <w:lang w:val="es-CR"/>
        </w:rPr>
        <w:t xml:space="preserve">Curriculum vitae of Luis Alonso Chévez de la Rocha (evidence file, folio 5680). </w:t>
      </w:r>
    </w:p>
  </w:footnote>
  <w:footnote w:id="215">
    <w:p w14:paraId="725296CA" w14:textId="108CA067"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rFonts w:cs="Arial"/>
          <w:spacing w:val="-4"/>
          <w:lang w:val="en-US"/>
        </w:rPr>
        <w:t xml:space="preserve">Brief received on June 30, 2010, signed by Luis Alonso Chévez de la Rocha and addressed to the Judicial Service Council (evidence file, folio 1786), and </w:t>
      </w:r>
      <w:r w:rsidRPr="00A50E4D">
        <w:rPr>
          <w:spacing w:val="-4"/>
          <w:lang w:val="en-US"/>
        </w:rPr>
        <w:t>salary certification issued by the Head of the Judiciary’s Personnel Department on June 20, 2014 (evidence file, folio 5777).</w:t>
      </w:r>
    </w:p>
  </w:footnote>
  <w:footnote w:id="216">
    <w:p w14:paraId="656FC528" w14:textId="550D07FB"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rFonts w:cs="Arial"/>
          <w:spacing w:val="-4"/>
          <w:sz w:val="16"/>
          <w:szCs w:val="16"/>
          <w:lang w:val="en-US"/>
        </w:rPr>
        <w:t>Minutes covering the election of the ADJ Board of Directors, period 2008-2010, dated September 27, 2008 (evidence file, folio 5628).</w:t>
      </w:r>
    </w:p>
  </w:footnote>
  <w:footnote w:id="217">
    <w:p w14:paraId="0BEB8074" w14:textId="765D47C9" w:rsidR="007353B6" w:rsidRPr="00A50E4D" w:rsidRDefault="007353B6" w:rsidP="006F7559">
      <w:pPr>
        <w:pStyle w:val="NoSpacing"/>
        <w:tabs>
          <w:tab w:val="left" w:pos="450"/>
          <w:tab w:val="left" w:pos="567"/>
        </w:tabs>
        <w:spacing w:before="120" w:after="120"/>
        <w:rPr>
          <w:rFonts w:cs="Times New Roman"/>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In this regard, in a statement of </w:t>
      </w:r>
      <w:r w:rsidRPr="00A50E4D">
        <w:rPr>
          <w:rFonts w:cs="Arial"/>
          <w:spacing w:val="-4"/>
          <w:sz w:val="16"/>
          <w:szCs w:val="16"/>
          <w:lang w:val="en-US"/>
        </w:rPr>
        <w:t xml:space="preserve">August 12, 2009, Mr. Chévez declared that, during the protest, he asked a police officer “why they had suppressed the protest, considering that it was peaceful, and the [officer] said that this was not true and […] ordered his arrest.” In another statement of September 14, </w:t>
      </w:r>
      <w:r w:rsidRPr="00A50E4D">
        <w:rPr>
          <w:rFonts w:cs="Times New Roman"/>
          <w:spacing w:val="-4"/>
          <w:sz w:val="16"/>
          <w:szCs w:val="16"/>
          <w:lang w:val="en-US"/>
        </w:rPr>
        <w:t xml:space="preserve">2009, Mr. Chévez indicated that a police officer asked him if he was taking part in the march; Mr. Chévez told him that he was not and pointed out that “they were acting improperly, and asked why they were throwing [tear gas] bombs with no prior warning.” In the affidavit he submitted to this Court, Mr. Chévez stated that he went over to the police and “asked them why they had launched an attack with tear gas bombs with no prior warning; that this harmed innocent people; [he] told them clearly that [he] was a judge” and, as a result, he was arrested. </w:t>
      </w:r>
      <w:r w:rsidRPr="00A50E4D">
        <w:rPr>
          <w:i/>
          <w:spacing w:val="-4"/>
          <w:sz w:val="16"/>
          <w:szCs w:val="16"/>
          <w:lang w:val="en-US"/>
        </w:rPr>
        <w:t>Cf.</w:t>
      </w:r>
      <w:r w:rsidRPr="00A50E4D">
        <w:rPr>
          <w:spacing w:val="-4"/>
          <w:sz w:val="16"/>
          <w:szCs w:val="16"/>
          <w:lang w:val="en-US"/>
        </w:rPr>
        <w:t xml:space="preserve"> </w:t>
      </w:r>
      <w:r w:rsidRPr="00A50E4D">
        <w:rPr>
          <w:rFonts w:cs="Arial"/>
          <w:spacing w:val="-4"/>
          <w:sz w:val="16"/>
          <w:szCs w:val="16"/>
          <w:lang w:val="en-US"/>
        </w:rPr>
        <w:t xml:space="preserve">Record of interview with Luis Alonso Chévez de la Rocha at the First Police Station on August 12, 2009 (evidence file, folio 5696); statement made by </w:t>
      </w:r>
      <w:r w:rsidRPr="00A50E4D">
        <w:rPr>
          <w:spacing w:val="-4"/>
          <w:sz w:val="16"/>
          <w:szCs w:val="16"/>
          <w:lang w:val="en-US"/>
        </w:rPr>
        <w:t xml:space="preserve">Luis Alonso Chévez de la Rocha on September 14, 2009, before the Inspectorate of Courts and Tribunals </w:t>
      </w:r>
      <w:r w:rsidRPr="00A50E4D">
        <w:rPr>
          <w:rFonts w:cs="Arial"/>
          <w:spacing w:val="-4"/>
          <w:sz w:val="16"/>
          <w:szCs w:val="16"/>
          <w:lang w:val="en-US"/>
        </w:rPr>
        <w:t xml:space="preserve">(evidence file, folio 1201), and affidavit made by </w:t>
      </w:r>
      <w:r w:rsidRPr="00A50E4D">
        <w:rPr>
          <w:spacing w:val="-4"/>
          <w:sz w:val="16"/>
          <w:szCs w:val="16"/>
          <w:lang w:val="en-US"/>
        </w:rPr>
        <w:t>Luis Alonso Chévez de la Rocha</w:t>
      </w:r>
      <w:r w:rsidRPr="00A50E4D">
        <w:rPr>
          <w:rFonts w:cs="Arial"/>
          <w:spacing w:val="-4"/>
          <w:sz w:val="16"/>
          <w:szCs w:val="16"/>
          <w:lang w:val="en-US"/>
        </w:rPr>
        <w:t xml:space="preserve"> on January 8,</w:t>
      </w:r>
      <w:r w:rsidRPr="00A50E4D">
        <w:rPr>
          <w:spacing w:val="-4"/>
          <w:sz w:val="16"/>
          <w:szCs w:val="16"/>
          <w:lang w:val="en-US"/>
        </w:rPr>
        <w:t xml:space="preserve"> 2015 </w:t>
      </w:r>
      <w:r w:rsidRPr="00A50E4D">
        <w:rPr>
          <w:rFonts w:cs="Arial"/>
          <w:spacing w:val="-4"/>
          <w:sz w:val="16"/>
          <w:szCs w:val="16"/>
          <w:lang w:val="en-US"/>
        </w:rPr>
        <w:t>(evidence file, folios 6638 and 6639).</w:t>
      </w:r>
    </w:p>
  </w:footnote>
  <w:footnote w:id="218">
    <w:p w14:paraId="64AB8B59" w14:textId="07CBA479"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i/>
          <w:spacing w:val="-4"/>
          <w:sz w:val="16"/>
          <w:szCs w:val="16"/>
          <w:lang w:val="en-US"/>
        </w:rPr>
        <w:t xml:space="preserve"> </w:t>
      </w:r>
      <w:r w:rsidRPr="00A50E4D">
        <w:rPr>
          <w:i/>
          <w:spacing w:val="-4"/>
          <w:sz w:val="16"/>
          <w:szCs w:val="16"/>
          <w:lang w:val="en-US"/>
        </w:rPr>
        <w:tab/>
        <w:t>Cf.</w:t>
      </w:r>
      <w:r w:rsidRPr="00A50E4D">
        <w:rPr>
          <w:spacing w:val="-4"/>
          <w:sz w:val="16"/>
          <w:szCs w:val="16"/>
          <w:lang w:val="en-US"/>
        </w:rPr>
        <w:t xml:space="preserve"> Record of inspection by the Executing Magistrate of August 12, 2009</w:t>
      </w:r>
      <w:r w:rsidRPr="00A50E4D">
        <w:rPr>
          <w:rFonts w:cs="Arial"/>
          <w:spacing w:val="-4"/>
          <w:sz w:val="16"/>
          <w:szCs w:val="16"/>
          <w:lang w:val="en-US"/>
        </w:rPr>
        <w:t xml:space="preserve"> (evidence file, folio 5692), and record of interview with Luis Alonso Chévez de la Rocha in the First Police Station on August 12, 2009  (evidence file, folio 5696).</w:t>
      </w:r>
    </w:p>
  </w:footnote>
  <w:footnote w:id="219">
    <w:p w14:paraId="240DD1CA" w14:textId="206A719D"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Cf.</w:t>
      </w:r>
      <w:r w:rsidRPr="00A50E4D">
        <w:rPr>
          <w:spacing w:val="-4"/>
          <w:sz w:val="16"/>
          <w:szCs w:val="16"/>
          <w:lang w:val="en-US"/>
        </w:rPr>
        <w:t xml:space="preserve"> Record of inspection by the Executing Magistrate of August 12, 2009 </w:t>
      </w:r>
      <w:r w:rsidRPr="00A50E4D">
        <w:rPr>
          <w:rFonts w:cs="Arial"/>
          <w:spacing w:val="-4"/>
          <w:sz w:val="16"/>
          <w:szCs w:val="16"/>
          <w:lang w:val="en-US"/>
        </w:rPr>
        <w:t xml:space="preserve">(evidence file, folios 5692 and 5693), and affidavit made by </w:t>
      </w:r>
      <w:r w:rsidRPr="00A50E4D">
        <w:rPr>
          <w:spacing w:val="-4"/>
          <w:sz w:val="16"/>
          <w:szCs w:val="16"/>
          <w:lang w:val="en-US"/>
        </w:rPr>
        <w:t>Luis Alonso Chévez de la Rocha</w:t>
      </w:r>
      <w:r w:rsidRPr="00A50E4D">
        <w:rPr>
          <w:rFonts w:cs="Arial"/>
          <w:spacing w:val="-4"/>
          <w:sz w:val="16"/>
          <w:szCs w:val="16"/>
          <w:lang w:val="en-US"/>
        </w:rPr>
        <w:t xml:space="preserve"> on January 8,</w:t>
      </w:r>
      <w:r w:rsidRPr="00A50E4D">
        <w:rPr>
          <w:spacing w:val="-4"/>
          <w:sz w:val="16"/>
          <w:szCs w:val="16"/>
          <w:lang w:val="en-US"/>
        </w:rPr>
        <w:t xml:space="preserve"> 2015 </w:t>
      </w:r>
      <w:r w:rsidRPr="00A50E4D">
        <w:rPr>
          <w:rFonts w:cs="Arial"/>
          <w:spacing w:val="-4"/>
          <w:sz w:val="16"/>
          <w:szCs w:val="16"/>
          <w:lang w:val="en-US"/>
        </w:rPr>
        <w:t>(evidence file, folio 6639).</w:t>
      </w:r>
    </w:p>
  </w:footnote>
  <w:footnote w:id="220">
    <w:p w14:paraId="413600E8" w14:textId="02784E6B"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Application for </w:t>
      </w:r>
      <w:r w:rsidRPr="00A50E4D">
        <w:rPr>
          <w:i/>
          <w:spacing w:val="-4"/>
          <w:sz w:val="16"/>
          <w:szCs w:val="16"/>
          <w:lang w:val="en-US"/>
        </w:rPr>
        <w:t>habeas corpus</w:t>
      </w:r>
      <w:r w:rsidRPr="00A50E4D">
        <w:rPr>
          <w:spacing w:val="-4"/>
          <w:sz w:val="16"/>
          <w:szCs w:val="16"/>
          <w:lang w:val="en-US"/>
        </w:rPr>
        <w:t xml:space="preserve"> filed by Tirza Flores Lanza on August 12, 2009, before the San Pedro Sula District Appellate Court </w:t>
      </w:r>
      <w:r w:rsidRPr="00A50E4D">
        <w:rPr>
          <w:rFonts w:cs="Arial"/>
          <w:spacing w:val="-4"/>
          <w:sz w:val="16"/>
          <w:szCs w:val="16"/>
          <w:lang w:val="en-US"/>
        </w:rPr>
        <w:t xml:space="preserve">(evidence file, folio 1226). </w:t>
      </w:r>
    </w:p>
  </w:footnote>
  <w:footnote w:id="221">
    <w:p w14:paraId="4FCDABE8" w14:textId="5098F29E"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Cf.</w:t>
      </w:r>
      <w:r w:rsidRPr="00A50E4D">
        <w:rPr>
          <w:spacing w:val="-4"/>
          <w:sz w:val="16"/>
          <w:szCs w:val="16"/>
          <w:lang w:val="en-US"/>
        </w:rPr>
        <w:t xml:space="preserve"> Decision of the District Appellate Court of August 12, 2009 </w:t>
      </w:r>
      <w:r w:rsidRPr="00A50E4D">
        <w:rPr>
          <w:rFonts w:cs="Arial"/>
          <w:spacing w:val="-4"/>
          <w:sz w:val="16"/>
          <w:szCs w:val="16"/>
          <w:lang w:val="en-US"/>
        </w:rPr>
        <w:t>(evidence file, folio 1226).</w:t>
      </w:r>
    </w:p>
  </w:footnote>
  <w:footnote w:id="222">
    <w:p w14:paraId="2048C524" w14:textId="33F00FB5"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Record of inspection by the Executing Magistrate of August 12, 2009</w:t>
      </w:r>
      <w:r w:rsidRPr="00A50E4D">
        <w:rPr>
          <w:rFonts w:cs="Arial"/>
          <w:spacing w:val="-4"/>
          <w:sz w:val="16"/>
          <w:szCs w:val="16"/>
          <w:lang w:val="en-US"/>
        </w:rPr>
        <w:t xml:space="preserve"> (evidence file, folio 5692).</w:t>
      </w:r>
    </w:p>
  </w:footnote>
  <w:footnote w:id="223">
    <w:p w14:paraId="22BFB219" w14:textId="173FC228"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Record of inspection by the Executing Magistrate of August 12, 2009</w:t>
      </w:r>
      <w:r w:rsidRPr="00A50E4D">
        <w:rPr>
          <w:rFonts w:cs="Arial"/>
          <w:spacing w:val="-4"/>
          <w:sz w:val="16"/>
          <w:szCs w:val="16"/>
          <w:lang w:val="en-US"/>
        </w:rPr>
        <w:t xml:space="preserve"> (evidence file, folio 5692).</w:t>
      </w:r>
    </w:p>
  </w:footnote>
  <w:footnote w:id="224">
    <w:p w14:paraId="2F202F84" w14:textId="4BEB739A"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Decision of the Executing Magistrate of August 12, 2009 </w:t>
      </w:r>
      <w:r w:rsidRPr="00A50E4D">
        <w:rPr>
          <w:rFonts w:cs="Arial"/>
          <w:spacing w:val="-4"/>
          <w:sz w:val="16"/>
          <w:szCs w:val="16"/>
          <w:lang w:val="en-US"/>
        </w:rPr>
        <w:t xml:space="preserve">(evidence file, folio 1241), and </w:t>
      </w:r>
      <w:r w:rsidRPr="00A50E4D">
        <w:rPr>
          <w:spacing w:val="-4"/>
          <w:sz w:val="16"/>
          <w:szCs w:val="16"/>
          <w:lang w:val="en-US"/>
        </w:rPr>
        <w:t>Decision of the Judicial Service Council of August 24, 2011 (evidence file, folio 2233).</w:t>
      </w:r>
    </w:p>
  </w:footnote>
  <w:footnote w:id="225">
    <w:p w14:paraId="00CBAAE8" w14:textId="0F317E31"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Judgment of the District Appellate Court of September 10, 2009 </w:t>
      </w:r>
      <w:r w:rsidRPr="00A50E4D">
        <w:rPr>
          <w:rFonts w:cs="Arial"/>
          <w:spacing w:val="-4"/>
          <w:sz w:val="16"/>
          <w:szCs w:val="16"/>
          <w:lang w:val="en-US"/>
        </w:rPr>
        <w:t xml:space="preserve">(evidence file, folios 1250 and 1253). </w:t>
      </w:r>
    </w:p>
  </w:footnote>
  <w:footnote w:id="226">
    <w:p w14:paraId="2068327E" w14:textId="64482972"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Judgment of the District Appellate Court of September 10, 2009 </w:t>
      </w:r>
      <w:r w:rsidRPr="00A50E4D">
        <w:rPr>
          <w:rFonts w:cs="Arial"/>
          <w:spacing w:val="-4"/>
          <w:sz w:val="16"/>
          <w:szCs w:val="16"/>
          <w:lang w:val="en-US"/>
        </w:rPr>
        <w:t>(evidence file, folio 1253).</w:t>
      </w:r>
      <w:r w:rsidRPr="00A50E4D">
        <w:rPr>
          <w:spacing w:val="-4"/>
          <w:sz w:val="16"/>
          <w:szCs w:val="16"/>
          <w:lang w:val="en-US"/>
        </w:rPr>
        <w:t xml:space="preserve"> </w:t>
      </w:r>
    </w:p>
  </w:footnote>
  <w:footnote w:id="227">
    <w:p w14:paraId="5865C5B1" w14:textId="0A806497"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rFonts w:cs="Arial"/>
          <w:spacing w:val="-4"/>
          <w:sz w:val="16"/>
          <w:szCs w:val="16"/>
          <w:lang w:val="en-US"/>
        </w:rPr>
        <w:t>Decision of the Inspectorate General of Courts and Tribunals of August 13, 2009 (evidence file, folio 1159).</w:t>
      </w:r>
    </w:p>
  </w:footnote>
  <w:footnote w:id="228">
    <w:p w14:paraId="535E0C4D" w14:textId="57AB11D6"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rFonts w:cs="Arial"/>
          <w:spacing w:val="-4"/>
          <w:sz w:val="16"/>
          <w:szCs w:val="16"/>
          <w:lang w:val="en-US"/>
        </w:rPr>
        <w:t>Decision of the Inspectorate General of Courts and Tribunals of August 19, 2009 (evidence file, folio 1160).</w:t>
      </w:r>
    </w:p>
  </w:footnote>
  <w:footnote w:id="229">
    <w:p w14:paraId="5A0AC4D5" w14:textId="218E82FB"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Record of the Inspector of Courts and Tribunals of September 11, 2009 (evidence file, folio 1200).</w:t>
      </w:r>
    </w:p>
  </w:footnote>
  <w:footnote w:id="230">
    <w:p w14:paraId="6A2DF791" w14:textId="3102C73C"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Brief of September 12, 2009, signed by Luis Alonso Chévez de la Rocha addressed to the Head of the Regional Inspectorate of Courts and Tribunals (evidence file, folio 1198).</w:t>
      </w:r>
    </w:p>
  </w:footnote>
  <w:footnote w:id="231">
    <w:p w14:paraId="007F6DDD" w14:textId="0D28B1D2"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Decision of the Regional Inspectorate of Courts and Tribunals of September 11, 2009 (evidence file, folio 1199).</w:t>
      </w:r>
    </w:p>
  </w:footnote>
  <w:footnote w:id="232">
    <w:p w14:paraId="33A67840" w14:textId="35C5FCC4"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Statement made by Luis Alonso Chévez de la Rocha on September 14, 2009, before the Inspectorate of Courts and Tribunals </w:t>
      </w:r>
      <w:r w:rsidRPr="00A50E4D">
        <w:rPr>
          <w:rFonts w:cs="Arial"/>
          <w:spacing w:val="-4"/>
          <w:sz w:val="16"/>
          <w:szCs w:val="16"/>
          <w:lang w:val="en-US"/>
        </w:rPr>
        <w:t>(evidence file, folios 1201 and 1202).</w:t>
      </w:r>
    </w:p>
  </w:footnote>
  <w:footnote w:id="233">
    <w:p w14:paraId="145FF53D" w14:textId="5C9EB72C" w:rsidR="007353B6" w:rsidRPr="00A50E4D" w:rsidRDefault="007353B6" w:rsidP="006F7559">
      <w:pPr>
        <w:pStyle w:val="NoSpacing"/>
        <w:tabs>
          <w:tab w:val="left" w:pos="450"/>
          <w:tab w:val="left" w:pos="567"/>
        </w:tabs>
        <w:spacing w:before="120" w:after="120"/>
        <w:rPr>
          <w:rFonts w:cs="Arial"/>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During the investigation, the Inspectorate took statements from individuals who Mr. Chévez de la Rocha had supposedly incited to take part in protests and to whom he had allegedly expressed his shame about how the Supreme Court of Justice had allowed itself to be used. </w:t>
      </w:r>
      <w:r w:rsidRPr="00A50E4D">
        <w:rPr>
          <w:i/>
          <w:spacing w:val="-4"/>
          <w:sz w:val="16"/>
          <w:szCs w:val="16"/>
          <w:lang w:val="en-US"/>
        </w:rPr>
        <w:t xml:space="preserve">Cf. </w:t>
      </w:r>
      <w:r w:rsidRPr="00A50E4D">
        <w:rPr>
          <w:rFonts w:cs="Arial"/>
          <w:spacing w:val="-4"/>
          <w:sz w:val="16"/>
          <w:szCs w:val="16"/>
          <w:lang w:val="en-US"/>
        </w:rPr>
        <w:t xml:space="preserve">Report of September 16, 2009, prepared by the Inspectors of Courts and Tribunals for the Northwestern Region and addressed to the Inspector General of Courts and Tribunals (evidence file, folios 1378 and 1379). </w:t>
      </w:r>
    </w:p>
  </w:footnote>
  <w:footnote w:id="234">
    <w:p w14:paraId="404FD6CD" w14:textId="0E1F76A9"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rFonts w:cs="Arial"/>
          <w:spacing w:val="-4"/>
          <w:sz w:val="16"/>
          <w:szCs w:val="16"/>
          <w:lang w:val="en-US"/>
        </w:rPr>
        <w:t>Decision of the Inspectorate General of Courts and Tribunals of September 17, 2009 (evidence file, folios 1382 to 1383).</w:t>
      </w:r>
      <w:r w:rsidRPr="00A50E4D">
        <w:rPr>
          <w:rFonts w:cs="Arial"/>
          <w:b/>
          <w:color w:val="00B050"/>
          <w:spacing w:val="-4"/>
          <w:sz w:val="16"/>
          <w:szCs w:val="16"/>
          <w:lang w:val="en-US"/>
        </w:rPr>
        <w:t xml:space="preserve"> </w:t>
      </w:r>
    </w:p>
  </w:footnote>
  <w:footnote w:id="235">
    <w:p w14:paraId="51F04A0E" w14:textId="2FC5CDDC"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Decision of the Personnel Management Directorate of October 9, 2009 </w:t>
      </w:r>
      <w:r w:rsidRPr="00A50E4D">
        <w:rPr>
          <w:rFonts w:cs="Arial"/>
          <w:spacing w:val="-4"/>
          <w:sz w:val="16"/>
          <w:szCs w:val="16"/>
          <w:lang w:val="en-US"/>
        </w:rPr>
        <w:t>(evidence file, folios 1384 and 1385).</w:t>
      </w:r>
      <w:r w:rsidRPr="00A50E4D">
        <w:rPr>
          <w:rFonts w:cs="Arial"/>
          <w:b/>
          <w:color w:val="00B050"/>
          <w:spacing w:val="-4"/>
          <w:sz w:val="16"/>
          <w:szCs w:val="16"/>
          <w:lang w:val="en-US"/>
        </w:rPr>
        <w:t xml:space="preserve"> </w:t>
      </w:r>
    </w:p>
  </w:footnote>
  <w:footnote w:id="236">
    <w:p w14:paraId="0A55D980" w14:textId="19722DC8"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Record of the rebuttal hearing of the Personnel Management Directorate of December 3, 2009 (evidence file, folios 1421 to 1437), and decision of the Personnel Management Directorate of December 7, 2009 (evidence file, folios 1466 to 1468).</w:t>
      </w:r>
    </w:p>
  </w:footnote>
  <w:footnote w:id="237">
    <w:p w14:paraId="1A85B1E2" w14:textId="273DE36E"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Decision</w:t>
      </w:r>
      <w:r w:rsidRPr="00A50E4D">
        <w:rPr>
          <w:rFonts w:cs="Arial"/>
          <w:spacing w:val="-4"/>
          <w:sz w:val="16"/>
          <w:szCs w:val="16"/>
          <w:lang w:val="en-US"/>
        </w:rPr>
        <w:t xml:space="preserve"> of the Personnel Management Directorate of April 20, 2010 (evidence file, folio 1555).</w:t>
      </w:r>
    </w:p>
  </w:footnote>
  <w:footnote w:id="238">
    <w:p w14:paraId="1605EF4A" w14:textId="75C796CD"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This decision appears in Minutes</w:t>
      </w:r>
      <w:r w:rsidRPr="00A50E4D">
        <w:rPr>
          <w:rFonts w:cs="Arial"/>
          <w:spacing w:val="-4"/>
          <w:lang w:val="en-US"/>
        </w:rPr>
        <w:t xml:space="preserve"> No. 24 of the session initiated by the plenum of the Supreme Court of Justice on May 5, 2010, and ended on May 7, 2010. These minutes were not notified to the presumed victims; rather a certified copy was issued at the request of Ramón Enrique Barrios and Tirza Flores Lanza on June 25, 2010 (evidence file, folios 5643 and 5644). </w:t>
      </w:r>
    </w:p>
  </w:footnote>
  <w:footnote w:id="239">
    <w:p w14:paraId="7CB9A898" w14:textId="13DD1545" w:rsidR="007353B6" w:rsidRPr="00A50E4D" w:rsidRDefault="007353B6" w:rsidP="006F7559">
      <w:pPr>
        <w:tabs>
          <w:tab w:val="left" w:pos="450"/>
          <w:tab w:val="left" w:pos="567"/>
        </w:tabs>
        <w:autoSpaceDE w:val="0"/>
        <w:autoSpaceDN w:val="0"/>
        <w:adjustRightInd w:val="0"/>
        <w:spacing w:before="120" w:after="120"/>
        <w:rPr>
          <w:rFonts w:cs="Times New Roman"/>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Ruling of the Supreme Court of Justice of May 5, 2010 (evidence file</w:t>
      </w:r>
      <w:r w:rsidRPr="00A50E4D">
        <w:rPr>
          <w:rFonts w:cs="Arial"/>
          <w:spacing w:val="-4"/>
          <w:sz w:val="16"/>
          <w:szCs w:val="16"/>
          <w:lang w:val="en-US"/>
        </w:rPr>
        <w:t xml:space="preserve">, folios 1564 to 1571). </w:t>
      </w:r>
    </w:p>
  </w:footnote>
  <w:footnote w:id="240">
    <w:p w14:paraId="7985D0B1" w14:textId="032E54BB"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The victims and their representatives have repeatedly stated that they were not notified of these decisions. The State has not contested this assertion and there is no record in the disciplinary files that the said decisions were notified to them.</w:t>
      </w:r>
    </w:p>
  </w:footnote>
  <w:footnote w:id="241">
    <w:p w14:paraId="1DA411B6" w14:textId="6E21BF68"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Brief of the request for reconsideration received on May 21, 2011, signed by Adán Guillermo López Lone, Luis Alonso Chévez de la Rocha, </w:t>
      </w:r>
      <w:r w:rsidRPr="00A50E4D">
        <w:rPr>
          <w:rFonts w:cs="Arial"/>
          <w:spacing w:val="-4"/>
          <w:sz w:val="16"/>
          <w:szCs w:val="16"/>
          <w:lang w:val="en-US"/>
        </w:rPr>
        <w:t>Ramón Enrique Barrios and Tirza Flores Lanza and addressed to the Supreme Court of Justice</w:t>
      </w:r>
      <w:r w:rsidRPr="00A50E4D">
        <w:rPr>
          <w:spacing w:val="-4"/>
          <w:sz w:val="16"/>
          <w:szCs w:val="16"/>
          <w:lang w:val="en-US"/>
        </w:rPr>
        <w:t xml:space="preserve"> (evidence file</w:t>
      </w:r>
      <w:r w:rsidRPr="00A50E4D">
        <w:rPr>
          <w:rFonts w:cs="Arial"/>
          <w:spacing w:val="-4"/>
          <w:sz w:val="16"/>
          <w:szCs w:val="16"/>
          <w:lang w:val="en-US"/>
        </w:rPr>
        <w:t>, folio 1127).</w:t>
      </w:r>
    </w:p>
  </w:footnote>
  <w:footnote w:id="242">
    <w:p w14:paraId="3A482CE3" w14:textId="0F5FED5D"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Note of June 4, 2010, signed by the Secretary General of the Supreme Court of Justice transcribing the dismissal decision of that date </w:t>
      </w:r>
      <w:r w:rsidRPr="00A50E4D">
        <w:rPr>
          <w:rFonts w:cs="Arial"/>
          <w:spacing w:val="-4"/>
          <w:sz w:val="16"/>
          <w:szCs w:val="16"/>
          <w:lang w:val="en-US"/>
        </w:rPr>
        <w:t>(evidence file, folio 1794).</w:t>
      </w:r>
    </w:p>
  </w:footnote>
  <w:footnote w:id="243">
    <w:p w14:paraId="7DEEDC06" w14:textId="02AAC318"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Complaint received on June 30, 2010, signed by Luis Alonso Chévez de la Rocha addressed to the Judicial Service Council (evidence file</w:t>
      </w:r>
      <w:r w:rsidRPr="00A50E4D">
        <w:rPr>
          <w:rFonts w:cs="Arial"/>
          <w:spacing w:val="-4"/>
          <w:sz w:val="16"/>
          <w:szCs w:val="16"/>
          <w:lang w:val="en-US"/>
        </w:rPr>
        <w:t xml:space="preserve">, folios 1786 to 1793). </w:t>
      </w:r>
    </w:p>
  </w:footnote>
  <w:footnote w:id="244">
    <w:p w14:paraId="4F7BD108" w14:textId="0BB8B55C"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Disqualification dated November 25, 2010, signed by Edith María López Rivera, Permanent Member of the Judicial Service Council (evidence file, folio 1813);</w:t>
      </w:r>
      <w:r w:rsidRPr="00A50E4D">
        <w:rPr>
          <w:b/>
          <w:spacing w:val="-4"/>
          <w:sz w:val="16"/>
          <w:szCs w:val="16"/>
          <w:lang w:val="en-US"/>
        </w:rPr>
        <w:t xml:space="preserve"> </w:t>
      </w:r>
      <w:r w:rsidRPr="00A50E4D">
        <w:rPr>
          <w:spacing w:val="-4"/>
          <w:sz w:val="16"/>
          <w:szCs w:val="16"/>
          <w:lang w:val="en-US"/>
        </w:rPr>
        <w:t>disqualification dated December 9, 2010, signed by Rosa Lourdes Paz Haslam, Substitute Member of the Judicial Service Council (evidence file, folio 1815);</w:t>
      </w:r>
      <w:r w:rsidRPr="00A50E4D">
        <w:rPr>
          <w:b/>
          <w:spacing w:val="-4"/>
          <w:sz w:val="16"/>
          <w:szCs w:val="16"/>
          <w:lang w:val="en-US"/>
        </w:rPr>
        <w:t xml:space="preserve"> </w:t>
      </w:r>
      <w:r w:rsidRPr="00A50E4D">
        <w:rPr>
          <w:spacing w:val="-4"/>
          <w:sz w:val="16"/>
          <w:szCs w:val="16"/>
          <w:lang w:val="en-US"/>
        </w:rPr>
        <w:t>disqualification dated January 12, 2011, signed by Gustavo Enrique Bustillo Palma, Substitute Member of the Judicial Service Council, (evidence file, folio 1817); disqualification dated February 2, 2011, signed by Raúl Antonio Henriquez Interiano, Permanent Member of the Judicial Service Council (evidence file, folio 1821), and disqualification dated February 23, 2011, signed by Léster Ilich Mejía Flores, Substitute Member of the Judicial Service Council (evidence file, folio 1970).</w:t>
      </w:r>
    </w:p>
  </w:footnote>
  <w:footnote w:id="245">
    <w:p w14:paraId="5C0F0DAD" w14:textId="427E467E" w:rsidR="007353B6" w:rsidRPr="00A50E4D" w:rsidRDefault="007353B6" w:rsidP="006F7559">
      <w:pPr>
        <w:tabs>
          <w:tab w:val="left" w:pos="450"/>
          <w:tab w:val="left" w:pos="630"/>
        </w:tabs>
        <w:spacing w:before="120" w:after="120"/>
        <w:rPr>
          <w:color w:val="1F497D"/>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color w:val="000000"/>
          <w:spacing w:val="-4"/>
          <w:sz w:val="16"/>
          <w:szCs w:val="16"/>
          <w:lang w:val="en-US"/>
        </w:rPr>
        <w:t xml:space="preserve">Decision of the Judicial Service Council of March 22, 2011 (evidence file, folio </w:t>
      </w:r>
      <w:r w:rsidRPr="00A50E4D">
        <w:rPr>
          <w:color w:val="000000"/>
          <w:sz w:val="16"/>
          <w:szCs w:val="16"/>
          <w:lang w:val="en-US"/>
        </w:rPr>
        <w:t>2171</w:t>
      </w:r>
      <w:r w:rsidRPr="00A50E4D">
        <w:rPr>
          <w:spacing w:val="-4"/>
          <w:sz w:val="16"/>
          <w:szCs w:val="16"/>
          <w:lang w:val="en-US"/>
        </w:rPr>
        <w:t>);</w:t>
      </w:r>
      <w:r w:rsidRPr="00A50E4D">
        <w:rPr>
          <w:i/>
          <w:spacing w:val="-4"/>
          <w:sz w:val="16"/>
          <w:szCs w:val="16"/>
          <w:lang w:val="en-US"/>
        </w:rPr>
        <w:t xml:space="preserve"> </w:t>
      </w:r>
      <w:r w:rsidRPr="00A50E4D">
        <w:rPr>
          <w:spacing w:val="-4"/>
          <w:sz w:val="16"/>
          <w:szCs w:val="16"/>
          <w:lang w:val="en-US"/>
        </w:rPr>
        <w:t>Decision of the President of the Supreme Court of Justice of April 14, 2011 (evidence file, folio 2176), and Decision of the Judicial Service Council of April 26, 2011 (evidence file, folio 2179).</w:t>
      </w:r>
    </w:p>
  </w:footnote>
  <w:footnote w:id="246">
    <w:p w14:paraId="488C83A8" w14:textId="583E2AD2"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Disqualification dated July 25, 2011, signed by Jorge Alberto Zelaya Zaldaña (evidence file, folios 2193 and 2194), and Decision of the Judicial Service Council of August 1, 2011 (evidence file, folio 2195).</w:t>
      </w:r>
    </w:p>
  </w:footnote>
  <w:footnote w:id="247">
    <w:p w14:paraId="51A3ADC1" w14:textId="48E29429"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Decision of the Judicial Service Council of August 24, 2011 (evidence file, folios 2224 and 2225).</w:t>
      </w:r>
    </w:p>
  </w:footnote>
  <w:footnote w:id="248">
    <w:p w14:paraId="0F4DAA45" w14:textId="2EFEE2B4"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Decision of the Judicial Service Council of August 24, 2011 (evidence file, folios 2233 and 2234).</w:t>
      </w:r>
    </w:p>
  </w:footnote>
  <w:footnote w:id="249">
    <w:p w14:paraId="3189D4C9" w14:textId="124BE872"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Decision of the Judicial Service Council of August 24, 2011 (evidence file, folio 2236).</w:t>
      </w:r>
    </w:p>
  </w:footnote>
  <w:footnote w:id="250">
    <w:p w14:paraId="0FB4F3F2" w14:textId="6204B2D1"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Decision of the Judicial Service Council of August 24, 2011 (evidence file, folios 2236 and 2237).</w:t>
      </w:r>
    </w:p>
  </w:footnote>
  <w:footnote w:id="251">
    <w:p w14:paraId="2BFF44FC" w14:textId="32CACA70"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The Council decided to declare “admissible” the complaint against the dismissal “in application of the provisions of Articles 8 of the Universal Declaration of Human Rights; 3 of the American Convention on Human Rights, 72, 74, 82, 90, 129, 319 of the Constitution of the Republic; 1, 3, 4(1), 6(1), 9(e)(1), 44, 45, 53(b), 56, 67, 69 amended,  and 85 of the Judicial Service Act; 20(1), 23, 28(d) (1), 54, 171(b), 173(c), 179 190, 191 and 192 of the Regulations governing the Judicial Service Act; 3, 7(e)(1), 21, 24, 26, 31 and 34 of the rules of procedure of the Judicial Service Council; 64 of the Civil Code, and 202 of the Code of Civil Procedure.”</w:t>
      </w:r>
      <w:r w:rsidRPr="00A50E4D">
        <w:rPr>
          <w:i/>
          <w:spacing w:val="-4"/>
          <w:sz w:val="16"/>
          <w:szCs w:val="16"/>
          <w:lang w:val="en-US"/>
        </w:rPr>
        <w:t xml:space="preserve"> </w:t>
      </w:r>
      <w:r w:rsidRPr="00A50E4D">
        <w:rPr>
          <w:spacing w:val="-4"/>
          <w:sz w:val="16"/>
          <w:szCs w:val="16"/>
          <w:lang w:val="en-US"/>
        </w:rPr>
        <w:t>Decision of the Judicial Service Council of August 24, 2011 (evidence file, folios 2238, 2239 and 2240).</w:t>
      </w:r>
    </w:p>
  </w:footnote>
  <w:footnote w:id="252">
    <w:p w14:paraId="7B06489E" w14:textId="6CC4C7B8"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The Council decided to compensate him with “one month of salary for each year of the claimant’s service to the Judiciary, up to a maximum of 15 years, […] to which should be added the sum corresponding to one month of salary for notice, and other compensations to which he is legally entitled, such as any pending leave, the thirteenth month payment and the fourteenth month, plus any salaries he has not received as of the date on which his dismissal came into effect on September 13, 2010, and up until the date of this decision.” Decision of the Judicial Service Council of August 24, 2011 (evidence file, folio 2240).</w:t>
      </w:r>
    </w:p>
  </w:footnote>
  <w:footnote w:id="253">
    <w:p w14:paraId="3B1CC3C5" w14:textId="70849C5F"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rFonts w:cs="Arial"/>
          <w:spacing w:val="-4"/>
          <w:sz w:val="16"/>
          <w:szCs w:val="16"/>
          <w:lang w:val="en-US"/>
        </w:rPr>
        <w:t xml:space="preserve">Memorandum of November 8, 2011, signed by the Head of the Judiciary’s Personnel Department and addressed to the Judiciary’s Special Payments Department </w:t>
      </w:r>
      <w:r w:rsidRPr="00A50E4D">
        <w:rPr>
          <w:rFonts w:cs="Arial"/>
          <w:color w:val="000000"/>
          <w:spacing w:val="-4"/>
          <w:sz w:val="16"/>
          <w:szCs w:val="16"/>
          <w:lang w:val="en-US" w:eastAsia="es-UY"/>
        </w:rPr>
        <w:t>(evidence file, folio 6537); certification of payment in settlement of entitlements and back salary issued by the Special Payments Department on June 20, 2014</w:t>
      </w:r>
      <w:r w:rsidRPr="00A50E4D">
        <w:rPr>
          <w:rFonts w:cs="Arial"/>
          <w:spacing w:val="-4"/>
          <w:sz w:val="16"/>
          <w:szCs w:val="16"/>
          <w:lang w:val="en-US"/>
        </w:rPr>
        <w:t xml:space="preserve"> (evidence file, folio 6539); letter acknowledging receipt of payment dated November 23, 2011, signed by Luis Alonso Chévez de la Rocha (evidence file, folio 2288).</w:t>
      </w:r>
    </w:p>
  </w:footnote>
  <w:footnote w:id="254">
    <w:p w14:paraId="598F2578" w14:textId="729E3163"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Cf.</w:t>
      </w:r>
      <w:r w:rsidRPr="00A50E4D">
        <w:rPr>
          <w:spacing w:val="-4"/>
          <w:sz w:val="16"/>
          <w:szCs w:val="16"/>
          <w:lang w:val="en-US"/>
        </w:rPr>
        <w:t xml:space="preserve"> Power of attorney granted by </w:t>
      </w:r>
      <w:r w:rsidRPr="00A50E4D">
        <w:rPr>
          <w:rFonts w:cs="Arial"/>
          <w:spacing w:val="-4"/>
          <w:sz w:val="16"/>
          <w:szCs w:val="16"/>
          <w:lang w:val="en-US"/>
        </w:rPr>
        <w:t>Ramón Enrique Barrios Maldonado on June 24, 2014 (evidence file, folio 6017).</w:t>
      </w:r>
    </w:p>
  </w:footnote>
  <w:footnote w:id="255">
    <w:p w14:paraId="639D62AE" w14:textId="3FEE5652"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Salary certification issued by the Head of the Judiciary’s Personnel Department on June 23, 2014 (evidence file, folio 5813).</w:t>
      </w:r>
    </w:p>
  </w:footnote>
  <w:footnote w:id="256">
    <w:p w14:paraId="27DF913E" w14:textId="3CE366F7"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Record of the rebuttal hearing before the Personnel Management Directorate of December 7, 2009 </w:t>
      </w:r>
      <w:r w:rsidRPr="00A50E4D">
        <w:rPr>
          <w:rFonts w:cs="Arial"/>
          <w:spacing w:val="-4"/>
          <w:sz w:val="16"/>
          <w:szCs w:val="16"/>
          <w:lang w:val="en-US"/>
        </w:rPr>
        <w:t>(evidence file, folio 1439)</w:t>
      </w:r>
    </w:p>
  </w:footnote>
  <w:footnote w:id="257">
    <w:p w14:paraId="46D3BDCE" w14:textId="17757D3C"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rFonts w:cs="Arial"/>
          <w:spacing w:val="-4"/>
          <w:sz w:val="16"/>
          <w:szCs w:val="16"/>
          <w:lang w:val="en-US"/>
        </w:rPr>
        <w:t>Minutes covering the election of the ADJ Board of Directors, period 2008-2010, dated September 27, 2008 (evidence file, folio 5628).</w:t>
      </w:r>
    </w:p>
  </w:footnote>
  <w:footnote w:id="258">
    <w:p w14:paraId="44257036" w14:textId="2A6FEA37"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Newspaper article entitled “</w:t>
      </w:r>
      <w:r w:rsidRPr="00A50E4D">
        <w:rPr>
          <w:i/>
          <w:spacing w:val="-4"/>
          <w:sz w:val="16"/>
          <w:szCs w:val="16"/>
          <w:lang w:val="en-US"/>
        </w:rPr>
        <w:t>No hubo sucesión constitucional</w:t>
      </w:r>
      <w:r w:rsidRPr="00A50E4D">
        <w:rPr>
          <w:spacing w:val="-4"/>
          <w:sz w:val="16"/>
          <w:szCs w:val="16"/>
          <w:lang w:val="en-US"/>
        </w:rPr>
        <w:t xml:space="preserve">” published in the newspaper, </w:t>
      </w:r>
      <w:r w:rsidRPr="00A50E4D">
        <w:rPr>
          <w:i/>
          <w:spacing w:val="-4"/>
          <w:sz w:val="16"/>
          <w:szCs w:val="16"/>
          <w:lang w:val="en-US"/>
        </w:rPr>
        <w:t>El Tiempo</w:t>
      </w:r>
      <w:r w:rsidRPr="00A50E4D">
        <w:rPr>
          <w:spacing w:val="-4"/>
          <w:sz w:val="16"/>
          <w:szCs w:val="16"/>
          <w:lang w:val="en-US"/>
        </w:rPr>
        <w:t xml:space="preserve">, on August 28, 2009 (evidence file, folio 1987). </w:t>
      </w:r>
    </w:p>
  </w:footnote>
  <w:footnote w:id="259">
    <w:p w14:paraId="6B4EA26E" w14:textId="4FE6058D" w:rsidR="007353B6" w:rsidRPr="00A50E4D" w:rsidRDefault="007353B6" w:rsidP="006F7559">
      <w:pPr>
        <w:pStyle w:val="NoSpacing"/>
        <w:tabs>
          <w:tab w:val="left" w:pos="450"/>
          <w:tab w:val="left" w:pos="567"/>
        </w:tabs>
        <w:spacing w:before="120" w:after="120"/>
        <w:rPr>
          <w:rFonts w:cs="Arial"/>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rFonts w:cs="Arial"/>
          <w:spacing w:val="-4"/>
          <w:sz w:val="16"/>
          <w:szCs w:val="16"/>
          <w:lang w:val="en-US"/>
        </w:rPr>
        <w:t xml:space="preserve">Report of September 16, 2009, prepared by the Inspectors of Courts and Tribunals for the Northwestern Region and addressed to the Inspector General of Courts and Tribunals (evidence file, folio 1377), and </w:t>
      </w:r>
      <w:r w:rsidRPr="00A50E4D">
        <w:rPr>
          <w:spacing w:val="-4"/>
          <w:sz w:val="16"/>
          <w:szCs w:val="16"/>
          <w:lang w:val="en-US"/>
        </w:rPr>
        <w:t xml:space="preserve">statement made by </w:t>
      </w:r>
      <w:r w:rsidRPr="00A50E4D">
        <w:rPr>
          <w:rFonts w:cs="Arial"/>
          <w:spacing w:val="-4"/>
          <w:sz w:val="16"/>
          <w:szCs w:val="16"/>
          <w:lang w:val="en-US"/>
        </w:rPr>
        <w:t>Ramón Enrique Barrios</w:t>
      </w:r>
      <w:r w:rsidRPr="00A50E4D">
        <w:rPr>
          <w:spacing w:val="-4"/>
          <w:sz w:val="16"/>
          <w:szCs w:val="16"/>
          <w:lang w:val="en-US"/>
        </w:rPr>
        <w:t xml:space="preserve"> on September 16, 2009 before the Inspectorate of Courts and Tribunals</w:t>
      </w:r>
      <w:r w:rsidRPr="00A50E4D">
        <w:rPr>
          <w:rFonts w:cs="Arial"/>
          <w:spacing w:val="-4"/>
          <w:sz w:val="16"/>
          <w:szCs w:val="16"/>
          <w:lang w:val="en-US"/>
        </w:rPr>
        <w:t xml:space="preserve"> (evidence file, folio 3299). </w:t>
      </w:r>
    </w:p>
  </w:footnote>
  <w:footnote w:id="260">
    <w:p w14:paraId="42BA357F" w14:textId="09E1CD8B"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 xml:space="preserve">Report of the Inspector of Courts of August 28, 2009 (evidence file, folio 1988). This investigation was opened on August 10, 2009, following the publication in the newspapers that several judicial officers had filed a complaint before the Public Prosecution Service requiring an investigation into the abduction of José Manuel Zelaya. Subsequently, investigations against other judicial officials were joindered to this for their actions in relation to the coup d’état. Mr. López Lone and Ms. Flores Lanza were initially included in this investigation. However, on October 9, 2009, the Personnel Management Directorate decided that no administrative liability had been found in relation to these two persons, because “the corresponding investigation had already been carried out in the context of another complaint.” </w:t>
      </w:r>
      <w:r w:rsidRPr="00A50E4D">
        <w:rPr>
          <w:i/>
          <w:spacing w:val="-4"/>
          <w:lang w:val="en-US"/>
        </w:rPr>
        <w:t xml:space="preserve">Cf. </w:t>
      </w:r>
      <w:r w:rsidRPr="00A50E4D">
        <w:rPr>
          <w:spacing w:val="-4"/>
          <w:lang w:val="en-US"/>
        </w:rPr>
        <w:t xml:space="preserve">Decision to open an investigation of the Inspectorate General of Courts and Tribunals of August 10, 2009 (evidence file, folio 1142), Note of July 2, 2009, signed by the National Director of Public Defense addressed to the President of the Supreme Court of Justice (evidence file, folio 1138), and Decision of the Personnel Management Directorate of October 9, 2009 </w:t>
      </w:r>
      <w:r w:rsidRPr="00A50E4D">
        <w:rPr>
          <w:rFonts w:cs="Arial"/>
          <w:spacing w:val="-4"/>
          <w:lang w:val="en-US"/>
        </w:rPr>
        <w:t>(evidence file, folio 1384).</w:t>
      </w:r>
    </w:p>
  </w:footnote>
  <w:footnote w:id="261">
    <w:p w14:paraId="7CA31363" w14:textId="0B69EE53"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rFonts w:cs="Arial"/>
          <w:spacing w:val="-4"/>
          <w:sz w:val="16"/>
          <w:szCs w:val="16"/>
          <w:lang w:val="en-US"/>
        </w:rPr>
        <w:t xml:space="preserve">Report of September 16, 2009, prepared by the Inspectors of Courts and Tribunals for the Northwestern Region and addressed to the Inspector General of Courts and Tribunals (evidence file, folio 1377). </w:t>
      </w:r>
    </w:p>
  </w:footnote>
  <w:footnote w:id="262">
    <w:p w14:paraId="61BCD824" w14:textId="476511D5"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rFonts w:cs="Arial"/>
          <w:spacing w:val="-4"/>
          <w:sz w:val="16"/>
          <w:szCs w:val="16"/>
          <w:lang w:val="en-US"/>
        </w:rPr>
        <w:t xml:space="preserve">Report of September 16, 2009, prepared by the Inspectors of Courts and Tribunals for the Northwestern Region and addressed to the Inspector General of Courts and Tribunals (evidence file, folios 1378 and 1379). </w:t>
      </w:r>
    </w:p>
  </w:footnote>
  <w:footnote w:id="263">
    <w:p w14:paraId="040D8C0F" w14:textId="625D5612"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According to this decision, these prohibitions are established in article 3 of the Law on the Organization and Faculties of the Courts, sub-paragraphs (1) and (4), the latter in relation to article 53(f) and (g) and article 55 of the Judicial Service Act, and also article 172(e) and (f), and 174 of its Regulations. </w:t>
      </w:r>
      <w:r w:rsidRPr="00A50E4D">
        <w:rPr>
          <w:i/>
          <w:spacing w:val="-4"/>
          <w:sz w:val="16"/>
          <w:szCs w:val="16"/>
          <w:lang w:val="en-US"/>
        </w:rPr>
        <w:t>Cf.</w:t>
      </w:r>
      <w:r w:rsidRPr="00A50E4D">
        <w:rPr>
          <w:rFonts w:cs="Arial"/>
          <w:spacing w:val="-4"/>
          <w:sz w:val="16"/>
          <w:szCs w:val="16"/>
          <w:lang w:val="en-US"/>
        </w:rPr>
        <w:t xml:space="preserve"> Decision of the Inspectorate General of Courts and Tribunals of September 17, 2009 (evidence file, folios 1382 to 1383).</w:t>
      </w:r>
      <w:r w:rsidRPr="00A50E4D">
        <w:rPr>
          <w:rFonts w:cs="Arial"/>
          <w:b/>
          <w:color w:val="00B050"/>
          <w:spacing w:val="-4"/>
          <w:sz w:val="16"/>
          <w:szCs w:val="16"/>
          <w:lang w:val="en-US"/>
        </w:rPr>
        <w:t xml:space="preserve"> </w:t>
      </w:r>
    </w:p>
  </w:footnote>
  <w:footnote w:id="264">
    <w:p w14:paraId="16C2D00D" w14:textId="60B0CB18"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According to the said decision, these prohibitions are established in articles “321, 322 and 323(1) of the Constitution of the Republic; 44, 53(b) and (g) of the Judicial Service Act; 6, 149 and 172(b) of its Regulations, in addition to non-compliance with articles 1(d) and (e) and 2(d) and (f) of the Code of Ethics for Judicial Officials and Employees, and 3, 8, 43 and 55 of the Ibero-American Code of Ethics.” </w:t>
      </w:r>
      <w:r w:rsidRPr="00A50E4D">
        <w:rPr>
          <w:rFonts w:cs="Arial"/>
          <w:spacing w:val="-4"/>
          <w:sz w:val="16"/>
          <w:szCs w:val="16"/>
          <w:lang w:val="en-US"/>
        </w:rPr>
        <w:t>Decision of the Inspectorate General of Courts and Tribunals of September 17, 2009 (evidence file, folios 1382 to 1383).</w:t>
      </w:r>
      <w:r w:rsidRPr="00A50E4D">
        <w:rPr>
          <w:rFonts w:cs="Arial"/>
          <w:b/>
          <w:color w:val="00B050"/>
          <w:spacing w:val="-4"/>
          <w:sz w:val="16"/>
          <w:szCs w:val="16"/>
          <w:lang w:val="en-US"/>
        </w:rPr>
        <w:t xml:space="preserve"> </w:t>
      </w:r>
    </w:p>
  </w:footnote>
  <w:footnote w:id="265">
    <w:p w14:paraId="4AB449D4" w14:textId="5312107D"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Note of the Personnel Management Directorate of October 9, 2009 </w:t>
      </w:r>
      <w:r w:rsidRPr="00A50E4D">
        <w:rPr>
          <w:rFonts w:cs="Arial"/>
          <w:spacing w:val="-4"/>
          <w:sz w:val="16"/>
          <w:szCs w:val="16"/>
          <w:lang w:val="en-US"/>
        </w:rPr>
        <w:t>(evidence file, folios 1384 and 1385).</w:t>
      </w:r>
      <w:r w:rsidRPr="00A50E4D">
        <w:rPr>
          <w:rFonts w:cs="Arial"/>
          <w:b/>
          <w:color w:val="00B050"/>
          <w:spacing w:val="-4"/>
          <w:sz w:val="16"/>
          <w:szCs w:val="16"/>
          <w:lang w:val="en-US"/>
        </w:rPr>
        <w:t xml:space="preserve"> </w:t>
      </w:r>
    </w:p>
  </w:footnote>
  <w:footnote w:id="266">
    <w:p w14:paraId="01813252" w14:textId="1B7C2C59"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Record of the rebuttal hearing before the Personnel Management Directorate of December 7, 2009 (evidence file, folios 1438 to 1461), and decision of the Personnel Management Directorate of December 10, 2009 (evidence file, folios 1469 to 1471).</w:t>
      </w:r>
    </w:p>
  </w:footnote>
  <w:footnote w:id="267">
    <w:p w14:paraId="54742145" w14:textId="7F199E87"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Decision</w:t>
      </w:r>
      <w:r w:rsidRPr="00A50E4D">
        <w:rPr>
          <w:rFonts w:cs="Arial"/>
          <w:spacing w:val="-4"/>
          <w:sz w:val="16"/>
          <w:szCs w:val="16"/>
          <w:lang w:val="en-US"/>
        </w:rPr>
        <w:t xml:space="preserve"> of the Personnel Management Directorate of April 20, 2010 (evidence file, folio 1555).</w:t>
      </w:r>
    </w:p>
  </w:footnote>
  <w:footnote w:id="268">
    <w:p w14:paraId="062D37BA" w14:textId="21FD612A"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This decision appears in Minutes No. 24 of the meeting initiated by the plenum </w:t>
      </w:r>
      <w:r w:rsidRPr="00A50E4D">
        <w:rPr>
          <w:rFonts w:cs="Arial"/>
          <w:spacing w:val="-4"/>
          <w:lang w:val="en-US"/>
        </w:rPr>
        <w:t xml:space="preserve">of the Supreme Court of Justice on May 5, 2010, and concluded on May 7, 2010. The minutes were not notified to the presumed victims; rather a certified copy was issued at the request of Ramón Enrique Barrios and Tirza Flores Lanza on June 25, 2010 (evidence file, folios 5643 and 5644). </w:t>
      </w:r>
    </w:p>
  </w:footnote>
  <w:footnote w:id="269">
    <w:p w14:paraId="0FBF897B" w14:textId="659DF7D2" w:rsidR="007353B6" w:rsidRPr="00A50E4D" w:rsidRDefault="007353B6" w:rsidP="006F7559">
      <w:pPr>
        <w:tabs>
          <w:tab w:val="left" w:pos="450"/>
          <w:tab w:val="left" w:pos="567"/>
        </w:tabs>
        <w:autoSpaceDE w:val="0"/>
        <w:autoSpaceDN w:val="0"/>
        <w:adjustRightInd w:val="0"/>
        <w:spacing w:before="120" w:after="120"/>
        <w:rPr>
          <w:rFonts w:cs="Times New Roman"/>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Ruling of the Supreme Court of Justice of May 5, 2010 (evidence file</w:t>
      </w:r>
      <w:r w:rsidRPr="00A50E4D">
        <w:rPr>
          <w:rFonts w:cs="Arial"/>
          <w:spacing w:val="-4"/>
          <w:sz w:val="16"/>
          <w:szCs w:val="16"/>
          <w:lang w:val="en-US"/>
        </w:rPr>
        <w:t xml:space="preserve">, folios 1557 to 1563). </w:t>
      </w:r>
    </w:p>
  </w:footnote>
  <w:footnote w:id="270">
    <w:p w14:paraId="4209DBEC" w14:textId="43B6288E"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The victims and their representatives have repeatedly asserted that they were not notified of these decisions. The State has not contested this assertion and there is no record in the disciplinary files that these decisions were notified to them.</w:t>
      </w:r>
    </w:p>
  </w:footnote>
  <w:footnote w:id="271">
    <w:p w14:paraId="0F46B4F8" w14:textId="0C1A9251"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Brief of the request for reconsideration received on May 21, 2011, signed by Adán Guillermo López Lone, Luis Alonso Chévez de la Rocha, </w:t>
      </w:r>
      <w:r w:rsidRPr="00A50E4D">
        <w:rPr>
          <w:rFonts w:cs="Arial"/>
          <w:spacing w:val="-4"/>
          <w:sz w:val="16"/>
          <w:szCs w:val="16"/>
          <w:lang w:val="en-US"/>
        </w:rPr>
        <w:t>Ramón Enrique Barrios and Tirza Flores Lanza and addressed to the Supreme Court of Justice</w:t>
      </w:r>
      <w:r w:rsidRPr="00A50E4D">
        <w:rPr>
          <w:spacing w:val="-4"/>
          <w:sz w:val="16"/>
          <w:szCs w:val="16"/>
          <w:lang w:val="en-US"/>
        </w:rPr>
        <w:t xml:space="preserve"> (evidence file</w:t>
      </w:r>
      <w:r w:rsidRPr="00A50E4D">
        <w:rPr>
          <w:rFonts w:cs="Arial"/>
          <w:spacing w:val="-4"/>
          <w:sz w:val="16"/>
          <w:szCs w:val="16"/>
          <w:lang w:val="en-US"/>
        </w:rPr>
        <w:t>, folio 1127).</w:t>
      </w:r>
    </w:p>
  </w:footnote>
  <w:footnote w:id="272">
    <w:p w14:paraId="26994578" w14:textId="40E60EF4"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Note of June 16, 2010, signed by the Secretary General of the Supreme Court of Justice transcribing the decision on dismissal of that date </w:t>
      </w:r>
      <w:r w:rsidRPr="00A50E4D">
        <w:rPr>
          <w:rFonts w:cs="Arial"/>
          <w:spacing w:val="-4"/>
          <w:sz w:val="16"/>
          <w:szCs w:val="16"/>
          <w:lang w:val="en-US"/>
        </w:rPr>
        <w:t>(evidence file, folios 3097 and 3098).</w:t>
      </w:r>
    </w:p>
  </w:footnote>
  <w:footnote w:id="273">
    <w:p w14:paraId="610AC8FC" w14:textId="6A30100E"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Note of June 16, 2010, signed by the Secretary General of the Supreme Court of Justice transcribing the ruling on dismissal of this date </w:t>
      </w:r>
      <w:r w:rsidRPr="00A50E4D">
        <w:rPr>
          <w:rFonts w:cs="Arial"/>
          <w:spacing w:val="-4"/>
          <w:sz w:val="16"/>
          <w:szCs w:val="16"/>
          <w:lang w:val="en-US"/>
        </w:rPr>
        <w:t>(evidence file, folio 3098).</w:t>
      </w:r>
    </w:p>
  </w:footnote>
  <w:footnote w:id="274">
    <w:p w14:paraId="75CD54D1" w14:textId="0B24FE51"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Complaint received on June 30, 2010, signed by Adán Guillermo López Lone and addressed to the Judicial Service Council (evidence file</w:t>
      </w:r>
      <w:r w:rsidRPr="00A50E4D">
        <w:rPr>
          <w:rFonts w:cs="Arial"/>
          <w:spacing w:val="-4"/>
          <w:sz w:val="16"/>
          <w:szCs w:val="16"/>
          <w:lang w:val="en-US"/>
        </w:rPr>
        <w:t xml:space="preserve">, folios 3088 to 3095). </w:t>
      </w:r>
    </w:p>
  </w:footnote>
  <w:footnote w:id="275">
    <w:p w14:paraId="613BDDFE" w14:textId="62CDBF34" w:rsidR="007353B6" w:rsidRPr="00A50E4D" w:rsidRDefault="007353B6" w:rsidP="006F7559">
      <w:pPr>
        <w:pStyle w:val="NoSpacing"/>
        <w:tabs>
          <w:tab w:val="left" w:pos="450"/>
          <w:tab w:val="left" w:pos="567"/>
        </w:tabs>
        <w:spacing w:before="120" w:after="120"/>
        <w:rPr>
          <w:i/>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Disqualification dated November 25, 2010, signed by Edith María López Rivera, Permanent Member of the Judicial Service Council (evidence file, folio 3116);</w:t>
      </w:r>
      <w:r w:rsidRPr="00A50E4D">
        <w:rPr>
          <w:b/>
          <w:spacing w:val="-4"/>
          <w:sz w:val="16"/>
          <w:szCs w:val="16"/>
          <w:lang w:val="en-US"/>
        </w:rPr>
        <w:t xml:space="preserve"> </w:t>
      </w:r>
      <w:r w:rsidRPr="00A50E4D">
        <w:rPr>
          <w:spacing w:val="-4"/>
          <w:sz w:val="16"/>
          <w:szCs w:val="16"/>
          <w:lang w:val="en-US"/>
        </w:rPr>
        <w:t>disqualification dated December 9, 2010, signed by Rosa Lourdes Paz Haslam, Substitute Member of the Judicial Service Council (evidence file, folio 3118);</w:t>
      </w:r>
      <w:r w:rsidRPr="00A50E4D">
        <w:rPr>
          <w:b/>
          <w:spacing w:val="-4"/>
          <w:sz w:val="16"/>
          <w:szCs w:val="16"/>
          <w:lang w:val="en-US"/>
        </w:rPr>
        <w:t xml:space="preserve"> </w:t>
      </w:r>
      <w:r w:rsidRPr="00A50E4D">
        <w:rPr>
          <w:spacing w:val="-4"/>
          <w:sz w:val="16"/>
          <w:szCs w:val="16"/>
          <w:lang w:val="en-US"/>
        </w:rPr>
        <w:t>disqualification dated of January 12, 2011, signed by Gustavo Enrique Bustillo Palma, Substitute Member of the Judicial Service Council, (evidence file, folio 3120); disqualification dated February 2, 2011, signed by Raúl Antonio Henriquez Interiano, Permanent Member of the Judicial Service Council (evidence file, folio 3125), and disqualification dated of March 3, 2011, signed by Léster Ilich Mejía Flores, Substitute Member of the Judicial Service Council (evidence file, folio 3313).</w:t>
      </w:r>
    </w:p>
  </w:footnote>
  <w:footnote w:id="276">
    <w:p w14:paraId="50C05415" w14:textId="2D72185C"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Decision of the Judicial Service Council of March 22, 2011 (evidence file, folio 3457); Decision of the President of the Supreme Court of Justice of April 14, 2011 (evidence file, folio 3462), and Decision of the Judicial Service Council of April 26, 2011 (evidence file, folio 3465).</w:t>
      </w:r>
    </w:p>
  </w:footnote>
  <w:footnote w:id="277">
    <w:p w14:paraId="7D66784D" w14:textId="5F667241"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Disqualification dated July 25, 2011, signed by Jorge Alberto Zelaya Zaldaña (evidence file, folios 3477 and 3478), and Decision of the Judicial Service Council of August 1, 2011 (evidence file, folio 3479).</w:t>
      </w:r>
    </w:p>
  </w:footnote>
  <w:footnote w:id="278">
    <w:p w14:paraId="5F221789" w14:textId="5CA57E9B" w:rsidR="007353B6" w:rsidRPr="00A50E4D" w:rsidRDefault="007353B6" w:rsidP="006F7559">
      <w:pPr>
        <w:pStyle w:val="NoSpacing"/>
        <w:tabs>
          <w:tab w:val="left" w:pos="450"/>
          <w:tab w:val="left" w:pos="567"/>
        </w:tabs>
        <w:spacing w:before="120" w:after="120"/>
        <w:rPr>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Decision of the Judicial Service Council of August 24, 2011 (evidence file, folios 3519 and 3520). </w:t>
      </w:r>
    </w:p>
  </w:footnote>
  <w:footnote w:id="279">
    <w:p w14:paraId="39EDBC76" w14:textId="43409144"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Decision of the Judicial Service Council of August 24, 2011 (evidence file, folios 3508 and 3509).</w:t>
      </w:r>
    </w:p>
  </w:footnote>
  <w:footnote w:id="280">
    <w:p w14:paraId="7063BE9A" w14:textId="0536E71F"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Decision of the Judicial Service Council of August 24, 2011 (evidence file, folio 3515).</w:t>
      </w:r>
    </w:p>
  </w:footnote>
  <w:footnote w:id="281">
    <w:p w14:paraId="3D93FB94" w14:textId="7CC4FFFC"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Decision of the Judicial Service Council of August 24, 2011 (evidence file, folio 3516).</w:t>
      </w:r>
    </w:p>
  </w:footnote>
  <w:footnote w:id="282">
    <w:p w14:paraId="71272A50" w14:textId="3320002D"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Decision of the Judicial Service Council of August 24, 2011 (evidence file, folios 3517, 3518 and 3520). According to information provided by the representatives, on March 26, 2014, Mr. Barrios Maldonado was dismissed from his judicial functions by a decision of that date of the Council of the Judiciary and the Judicial Service, for reasons unrelated to the facts of this case (merits file, folio 596).</w:t>
      </w:r>
    </w:p>
  </w:footnote>
  <w:footnote w:id="283">
    <w:p w14:paraId="6C35D1A5" w14:textId="4B9B8356" w:rsidR="007353B6" w:rsidRPr="00A50E4D" w:rsidRDefault="007353B6" w:rsidP="006F7559">
      <w:pPr>
        <w:pStyle w:val="FootnoteText"/>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r>
      <w:r w:rsidRPr="00A50E4D">
        <w:rPr>
          <w:i/>
          <w:iCs/>
          <w:lang w:val="en-US"/>
        </w:rPr>
        <w:t>Cf.</w:t>
      </w:r>
      <w:r w:rsidRPr="00A50E4D">
        <w:rPr>
          <w:lang w:val="en-US"/>
        </w:rPr>
        <w:t> </w:t>
      </w:r>
      <w:r w:rsidRPr="00A50E4D">
        <w:rPr>
          <w:i/>
          <w:iCs/>
          <w:lang w:val="en-US"/>
        </w:rPr>
        <w:t>The Word “Laws” in Article 30 of the American Convention on Human Rights</w:t>
      </w:r>
      <w:r w:rsidRPr="00A50E4D">
        <w:rPr>
          <w:lang w:val="en-US"/>
        </w:rPr>
        <w:t xml:space="preserve">. Advisory Opinion OC-6/86 of May 9, 1986. Series A No. 6, para. 34, and </w:t>
      </w:r>
      <w:r w:rsidRPr="00A50E4D">
        <w:rPr>
          <w:rStyle w:val="Strong"/>
          <w:b w:val="0"/>
          <w:i/>
          <w:color w:val="000000"/>
          <w:shd w:val="clear" w:color="auto" w:fill="FFFFFF"/>
          <w:lang w:val="en-US"/>
        </w:rPr>
        <w:t xml:space="preserve">Case of Castañeda Gutman v. Mexico. Preliminary objections, merits, reparations and costs. </w:t>
      </w:r>
      <w:r w:rsidRPr="00A50E4D">
        <w:rPr>
          <w:rStyle w:val="Strong"/>
          <w:b w:val="0"/>
          <w:color w:val="000000"/>
          <w:shd w:val="clear" w:color="auto" w:fill="FFFFFF"/>
          <w:lang w:val="en-US"/>
        </w:rPr>
        <w:t>Judgment of August 6, 2008. Series C No. 184, para.</w:t>
      </w:r>
      <w:r w:rsidRPr="00A50E4D">
        <w:rPr>
          <w:lang w:val="en-US"/>
        </w:rPr>
        <w:t xml:space="preserve"> 141.</w:t>
      </w:r>
    </w:p>
  </w:footnote>
  <w:footnote w:id="284">
    <w:p w14:paraId="67B89F6D" w14:textId="342026F9" w:rsidR="007353B6" w:rsidRPr="00A50E4D" w:rsidRDefault="007353B6" w:rsidP="006F7559">
      <w:pPr>
        <w:pStyle w:val="FootnoteText"/>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t>Article 2(b) of the Charter of the Organization of American States.</w:t>
      </w:r>
    </w:p>
  </w:footnote>
  <w:footnote w:id="285">
    <w:p w14:paraId="30C8F56F" w14:textId="303BC159" w:rsidR="007353B6" w:rsidRPr="00A50E4D" w:rsidRDefault="007353B6" w:rsidP="006F7559">
      <w:pPr>
        <w:pStyle w:val="FootnoteText"/>
        <w:tabs>
          <w:tab w:val="left" w:pos="450"/>
        </w:tabs>
        <w:spacing w:before="120" w:after="120"/>
        <w:rPr>
          <w:lang w:val="en-US"/>
        </w:rPr>
      </w:pPr>
      <w:r w:rsidRPr="00A50E4D">
        <w:rPr>
          <w:rStyle w:val="FootnoteReference"/>
          <w:lang w:val="en-US"/>
        </w:rPr>
        <w:footnoteRef/>
      </w:r>
      <w:r w:rsidRPr="00F25627">
        <w:rPr>
          <w:lang w:val="es-CR"/>
        </w:rPr>
        <w:t xml:space="preserve"> </w:t>
      </w:r>
      <w:r w:rsidRPr="00F25627">
        <w:rPr>
          <w:lang w:val="es-CR"/>
        </w:rPr>
        <w:tab/>
      </w:r>
      <w:r w:rsidRPr="00F25627">
        <w:rPr>
          <w:i/>
          <w:lang w:val="es-CR"/>
        </w:rPr>
        <w:t>Cf.</w:t>
      </w:r>
      <w:r w:rsidRPr="00F25627">
        <w:rPr>
          <w:lang w:val="es-CR"/>
        </w:rPr>
        <w:t xml:space="preserve"> </w:t>
      </w:r>
      <w:r w:rsidRPr="00F25627">
        <w:rPr>
          <w:rStyle w:val="Strong"/>
          <w:b w:val="0"/>
          <w:i/>
          <w:color w:val="000000"/>
          <w:shd w:val="clear" w:color="auto" w:fill="FFFFFF"/>
          <w:lang w:val="es-CR"/>
        </w:rPr>
        <w:t>Case of Castañeda Gutman v. Mexico, supra</w:t>
      </w:r>
      <w:r w:rsidRPr="00F25627">
        <w:rPr>
          <w:rStyle w:val="Strong"/>
          <w:b w:val="0"/>
          <w:color w:val="000000"/>
          <w:shd w:val="clear" w:color="auto" w:fill="FFFFFF"/>
          <w:lang w:val="es-CR"/>
        </w:rPr>
        <w:t>, para.</w:t>
      </w:r>
      <w:r w:rsidRPr="00F25627">
        <w:rPr>
          <w:lang w:val="es-CR"/>
        </w:rPr>
        <w:t xml:space="preserve"> </w:t>
      </w:r>
      <w:r w:rsidRPr="00A50E4D">
        <w:rPr>
          <w:lang w:val="en-US"/>
        </w:rPr>
        <w:t xml:space="preserve">142, citing the Inter-American Democratic Charter. Adopted at the first plenary meeting held on September 11, 2001, of the twenty-eighth special session of the OAS General Assembly, Article 3. </w:t>
      </w:r>
    </w:p>
  </w:footnote>
  <w:footnote w:id="286">
    <w:p w14:paraId="287C7F30" w14:textId="15F2C9A7" w:rsidR="007353B6" w:rsidRPr="00A50E4D" w:rsidRDefault="007353B6" w:rsidP="006F7559">
      <w:pPr>
        <w:pStyle w:val="NormalWeb"/>
        <w:widowControl w:val="0"/>
        <w:tabs>
          <w:tab w:val="left" w:pos="450"/>
        </w:tabs>
        <w:spacing w:before="120" w:beforeAutospacing="0" w:after="120" w:afterAutospacing="0"/>
        <w:jc w:val="both"/>
        <w:rPr>
          <w:rFonts w:ascii="Verdana" w:hAnsi="Verdana"/>
          <w:sz w:val="16"/>
          <w:szCs w:val="16"/>
        </w:rPr>
      </w:pPr>
      <w:r w:rsidRPr="00A50E4D">
        <w:rPr>
          <w:rStyle w:val="FootnoteReference"/>
        </w:rPr>
        <w:footnoteRef/>
      </w:r>
      <w:r w:rsidRPr="00A50E4D">
        <w:rPr>
          <w:rFonts w:ascii="Verdana" w:hAnsi="Verdana"/>
          <w:sz w:val="16"/>
          <w:szCs w:val="16"/>
        </w:rPr>
        <w:t xml:space="preserve"> </w:t>
      </w:r>
      <w:r w:rsidRPr="00A50E4D">
        <w:rPr>
          <w:rFonts w:ascii="Verdana" w:hAnsi="Verdana"/>
          <w:sz w:val="16"/>
          <w:szCs w:val="16"/>
        </w:rPr>
        <w:tab/>
        <w:t>Resolution of the OAS General Assembly on the Political Crisis in Honduras of July 1, 2009. OEA/Ser.P AG/RES 1 (XXXVII-E/09). Available at</w:t>
      </w:r>
      <w:r w:rsidRPr="00A50E4D">
        <w:rPr>
          <w:rFonts w:ascii="Verdana" w:hAnsi="Verdana"/>
          <w:i/>
          <w:sz w:val="16"/>
          <w:szCs w:val="16"/>
        </w:rPr>
        <w:t xml:space="preserve">: </w:t>
      </w:r>
      <w:hyperlink r:id="rId33" w:history="1">
        <w:r w:rsidRPr="00A50E4D">
          <w:rPr>
            <w:rStyle w:val="Hyperlink"/>
            <w:rFonts w:ascii="Verdana" w:eastAsia="Calibri" w:hAnsi="Verdana"/>
            <w:sz w:val="16"/>
            <w:szCs w:val="16"/>
          </w:rPr>
          <w:t>https://www.</w:t>
        </w:r>
        <w:r w:rsidRPr="00A50E4D">
          <w:rPr>
            <w:rStyle w:val="Hyperlink"/>
            <w:rFonts w:ascii="Verdana" w:eastAsia="Calibri" w:hAnsi="Verdana"/>
            <w:bCs/>
            <w:sz w:val="16"/>
            <w:szCs w:val="16"/>
          </w:rPr>
          <w:t>oas</w:t>
        </w:r>
        <w:r w:rsidRPr="00A50E4D">
          <w:rPr>
            <w:rStyle w:val="Hyperlink"/>
            <w:rFonts w:ascii="Verdana" w:eastAsia="Calibri" w:hAnsi="Verdana"/>
            <w:sz w:val="16"/>
            <w:szCs w:val="16"/>
          </w:rPr>
          <w:t>.org/consejo/sp/</w:t>
        </w:r>
        <w:r w:rsidRPr="00A50E4D">
          <w:rPr>
            <w:rStyle w:val="Hyperlink"/>
            <w:rFonts w:ascii="Verdana" w:eastAsia="Calibri" w:hAnsi="Verdana"/>
            <w:bCs/>
            <w:sz w:val="16"/>
            <w:szCs w:val="16"/>
          </w:rPr>
          <w:t>AG</w:t>
        </w:r>
        <w:r w:rsidRPr="00A50E4D">
          <w:rPr>
            <w:rStyle w:val="Hyperlink"/>
            <w:rFonts w:ascii="Verdana" w:eastAsia="Calibri" w:hAnsi="Verdana"/>
            <w:sz w:val="16"/>
            <w:szCs w:val="16"/>
          </w:rPr>
          <w:t>/Documentos/AG04665E04.doc</w:t>
        </w:r>
      </w:hyperlink>
      <w:r w:rsidRPr="00A50E4D">
        <w:rPr>
          <w:rStyle w:val="HTMLCite"/>
          <w:rFonts w:ascii="Verdana" w:eastAsia="Calibri" w:hAnsi="Verdana"/>
          <w:i w:val="0"/>
          <w:sz w:val="16"/>
          <w:szCs w:val="16"/>
        </w:rPr>
        <w:t xml:space="preserve">, </w:t>
      </w:r>
      <w:r w:rsidRPr="00A50E4D">
        <w:rPr>
          <w:rFonts w:ascii="Verdana" w:hAnsi="Verdana"/>
          <w:sz w:val="16"/>
          <w:szCs w:val="16"/>
        </w:rPr>
        <w:t xml:space="preserve">and </w:t>
      </w:r>
      <w:r w:rsidRPr="00A50E4D">
        <w:rPr>
          <w:rFonts w:ascii="Verdana" w:hAnsi="Verdana"/>
          <w:i/>
          <w:sz w:val="16"/>
          <w:szCs w:val="16"/>
        </w:rPr>
        <w:t xml:space="preserve">Cf. </w:t>
      </w:r>
      <w:r w:rsidRPr="00A50E4D">
        <w:rPr>
          <w:rFonts w:ascii="Verdana" w:hAnsi="Verdana"/>
          <w:sz w:val="16"/>
          <w:szCs w:val="16"/>
        </w:rPr>
        <w:t xml:space="preserve">Resolution of the Permanent Council of the OAS, </w:t>
      </w:r>
      <w:r w:rsidRPr="00914F55">
        <w:rPr>
          <w:rFonts w:ascii="Verdana" w:hAnsi="Verdana"/>
          <w:iCs/>
          <w:sz w:val="16"/>
          <w:szCs w:val="16"/>
        </w:rPr>
        <w:t>Current situation in Honduras</w:t>
      </w:r>
      <w:r w:rsidRPr="00914F55">
        <w:rPr>
          <w:rFonts w:ascii="Verdana" w:hAnsi="Verdana"/>
          <w:sz w:val="16"/>
          <w:szCs w:val="16"/>
        </w:rPr>
        <w:t>,</w:t>
      </w:r>
      <w:r w:rsidRPr="00A50E4D">
        <w:rPr>
          <w:rFonts w:ascii="Verdana" w:hAnsi="Verdana"/>
          <w:sz w:val="16"/>
          <w:szCs w:val="16"/>
        </w:rPr>
        <w:t xml:space="preserve"> June 28, 2009, CP/RES. 953 (1700/09). Article</w:t>
      </w:r>
      <w:r w:rsidRPr="00A50E4D">
        <w:rPr>
          <w:rFonts w:ascii="Verdana" w:hAnsi="Verdana"/>
          <w:color w:val="000000"/>
          <w:sz w:val="16"/>
          <w:szCs w:val="16"/>
        </w:rPr>
        <w:t xml:space="preserve"> 20 of the Democratic Charter establishes that: “</w:t>
      </w:r>
      <w:r w:rsidRPr="00914F55">
        <w:rPr>
          <w:rFonts w:ascii="Verdana" w:hAnsi="Verdana"/>
          <w:sz w:val="16"/>
          <w:szCs w:val="16"/>
        </w:rPr>
        <w:t>In the event of an unconstitutional alteration of the constitutional regime that seriously impairs the democratic order in a member state, any member state or the Secretary General may request the immediate convocation of the Permanent Council to undertake a collective assessment of the situation and to take such decisions as it deems appropriate</w:t>
      </w:r>
      <w:r w:rsidRPr="00914F55">
        <w:rPr>
          <w:rFonts w:ascii="Verdana" w:hAnsi="Verdana"/>
          <w:color w:val="000000"/>
          <w:sz w:val="16"/>
          <w:szCs w:val="16"/>
        </w:rPr>
        <w:t xml:space="preserve">. </w:t>
      </w:r>
      <w:r w:rsidRPr="00914F55">
        <w:rPr>
          <w:rFonts w:ascii="Verdana" w:hAnsi="Verdana"/>
          <w:sz w:val="16"/>
          <w:szCs w:val="16"/>
        </w:rPr>
        <w:t>The Permanent Council, depending on the situation, may undertake the necessary diplomatic initiatives, including good offices, to foster the restoration of democracy. If such diplomatic initiatives prove unsuccessful, or if the urgency of the situation so warrants, the Permanent Council shall immediately convene a special session of the General Assembly. The General Assembly will adopt the decisions it deems appropriate, including the undertaking of diplomatic initiatives in accordance with the Charter of the Organization, international law, and the provisions of this Democratic Charter. The necessary diplomatic initiatives, including good offices, to foster the restoration of democracy, will continue during the process.</w:t>
      </w:r>
      <w:r w:rsidRPr="00914F55">
        <w:rPr>
          <w:rFonts w:ascii="Verdana" w:hAnsi="Verdana"/>
          <w:color w:val="000000"/>
          <w:sz w:val="16"/>
          <w:szCs w:val="16"/>
        </w:rPr>
        <w:t>”</w:t>
      </w:r>
    </w:p>
  </w:footnote>
  <w:footnote w:id="287">
    <w:p w14:paraId="4B282270" w14:textId="15D21248" w:rsidR="007353B6" w:rsidRPr="00A50E4D" w:rsidRDefault="007353B6" w:rsidP="006F7559">
      <w:pPr>
        <w:pStyle w:val="FootnoteText"/>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r>
      <w:r w:rsidRPr="00A50E4D">
        <w:rPr>
          <w:i/>
          <w:spacing w:val="-4"/>
          <w:lang w:val="en-US"/>
        </w:rPr>
        <w:t xml:space="preserve">Cf. </w:t>
      </w:r>
      <w:r w:rsidRPr="00A50E4D">
        <w:rPr>
          <w:rFonts w:cs="Arial"/>
          <w:spacing w:val="-4"/>
          <w:lang w:val="en-US"/>
        </w:rPr>
        <w:t xml:space="preserve">Resolution of the OAS General Assembly on the Political Crisis in Honduras of July 1, 2009. OEA/Ser.P AG/RES 1 (XXXVII-E/09). Available at: </w:t>
      </w:r>
      <w:hyperlink r:id="rId34" w:anchor="inf" w:history="1">
        <w:r w:rsidRPr="00A50E4D">
          <w:rPr>
            <w:rStyle w:val="Hyperlink"/>
            <w:rFonts w:cs="Arial"/>
            <w:spacing w:val="-4"/>
            <w:lang w:val="en-US"/>
          </w:rPr>
          <w:t>http://www.oas.org/consejo/sp/AG/37SGA.asp#inf</w:t>
        </w:r>
      </w:hyperlink>
      <w:r w:rsidRPr="00A50E4D">
        <w:rPr>
          <w:spacing w:val="-4"/>
          <w:lang w:val="en-US"/>
        </w:rPr>
        <w:t>.</w:t>
      </w:r>
    </w:p>
  </w:footnote>
  <w:footnote w:id="288">
    <w:p w14:paraId="57F02173" w14:textId="1E2EC9DC" w:rsidR="007353B6" w:rsidRPr="00A50E4D" w:rsidRDefault="007353B6" w:rsidP="006F7559">
      <w:pPr>
        <w:pStyle w:val="FootnoteText"/>
        <w:tabs>
          <w:tab w:val="left" w:pos="450"/>
        </w:tabs>
        <w:spacing w:before="120" w:after="120"/>
        <w:rPr>
          <w:i/>
          <w:iCs/>
          <w:lang w:val="en-US"/>
        </w:rPr>
      </w:pPr>
      <w:r w:rsidRPr="00A50E4D">
        <w:rPr>
          <w:rStyle w:val="FootnoteReference"/>
          <w:lang w:val="en-US"/>
        </w:rPr>
        <w:footnoteRef/>
      </w:r>
      <w:r w:rsidRPr="00A50E4D">
        <w:rPr>
          <w:lang w:val="en-US"/>
        </w:rPr>
        <w:t xml:space="preserve"> </w:t>
      </w:r>
      <w:r w:rsidRPr="00A50E4D">
        <w:rPr>
          <w:lang w:val="en-US"/>
        </w:rPr>
        <w:tab/>
      </w:r>
      <w:r w:rsidRPr="00A50E4D">
        <w:rPr>
          <w:rFonts w:cs="Arial"/>
          <w:spacing w:val="-4"/>
          <w:lang w:val="en-US"/>
        </w:rPr>
        <w:t xml:space="preserve">Resolution of the OAS General Assembly on the Suspension of the right of Honduras to participate in the OAS of July 4, 2009. OEA/Ser.P AG/RES 2 (XXXVII-E/09). Available at: </w:t>
      </w:r>
      <w:hyperlink r:id="rId35" w:history="1">
        <w:r w:rsidRPr="00A50E4D">
          <w:rPr>
            <w:rStyle w:val="Hyperlink"/>
            <w:lang w:val="en-US"/>
          </w:rPr>
          <w:t>https://www.</w:t>
        </w:r>
        <w:r w:rsidRPr="00A50E4D">
          <w:rPr>
            <w:rStyle w:val="Hyperlink"/>
            <w:bCs/>
            <w:lang w:val="en-US"/>
          </w:rPr>
          <w:t>oas</w:t>
        </w:r>
        <w:r w:rsidRPr="00A50E4D">
          <w:rPr>
            <w:rStyle w:val="Hyperlink"/>
            <w:lang w:val="en-US"/>
          </w:rPr>
          <w:t>.org/consejo/sp/</w:t>
        </w:r>
        <w:r w:rsidRPr="00A50E4D">
          <w:rPr>
            <w:rStyle w:val="Hyperlink"/>
            <w:bCs/>
            <w:lang w:val="en-US"/>
          </w:rPr>
          <w:t>AG</w:t>
        </w:r>
        <w:r w:rsidRPr="00A50E4D">
          <w:rPr>
            <w:rStyle w:val="Hyperlink"/>
            <w:lang w:val="en-US"/>
          </w:rPr>
          <w:t>/Documentos/ag04682e07.doc</w:t>
        </w:r>
      </w:hyperlink>
    </w:p>
  </w:footnote>
  <w:footnote w:id="289">
    <w:p w14:paraId="5D0EF2E5" w14:textId="105E00D2" w:rsidR="007353B6" w:rsidRPr="00A50E4D" w:rsidRDefault="007353B6" w:rsidP="006F7559">
      <w:pPr>
        <w:pStyle w:val="FootnoteText"/>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r>
      <w:r w:rsidRPr="00A50E4D">
        <w:rPr>
          <w:i/>
          <w:iCs/>
          <w:spacing w:val="-4"/>
          <w:lang w:val="en-US"/>
        </w:rPr>
        <w:t>Report of the United Nations High Commissioner for Human Rights on the violations of human rights in Honduras since the coup d’état on 28 June 2009</w:t>
      </w:r>
      <w:r w:rsidRPr="00A50E4D">
        <w:rPr>
          <w:spacing w:val="-4"/>
          <w:lang w:val="en-US"/>
        </w:rPr>
        <w:t>. Doc. UN A/HRC/13/66, March 3, 2010, para. 68 (merits file, folio 1292).</w:t>
      </w:r>
    </w:p>
  </w:footnote>
  <w:footnote w:id="290">
    <w:p w14:paraId="49738B5B" w14:textId="5FDFD6FC" w:rsidR="007353B6" w:rsidRPr="00A50E4D" w:rsidRDefault="007353B6" w:rsidP="006F7559">
      <w:pPr>
        <w:pStyle w:val="FootnoteText"/>
        <w:tabs>
          <w:tab w:val="left" w:pos="450"/>
        </w:tabs>
        <w:spacing w:before="120" w:after="120"/>
        <w:rPr>
          <w:snapToGrid w:val="0"/>
          <w:spacing w:val="-3"/>
          <w:lang w:val="en-US"/>
        </w:rPr>
      </w:pPr>
      <w:r w:rsidRPr="00A50E4D">
        <w:rPr>
          <w:rStyle w:val="FootnoteReference"/>
          <w:lang w:val="en-US"/>
        </w:rPr>
        <w:footnoteRef/>
      </w:r>
      <w:r w:rsidRPr="00A50E4D">
        <w:rPr>
          <w:lang w:val="en-US"/>
        </w:rPr>
        <w:t xml:space="preserve"> </w:t>
      </w:r>
      <w:r w:rsidRPr="00A50E4D">
        <w:rPr>
          <w:lang w:val="en-US"/>
        </w:rPr>
        <w:tab/>
        <w:t xml:space="preserve">This obligation is embodied in Article XXXIII of the American Declaration of the Rights and Duties of Man which establishes that: </w:t>
      </w:r>
      <w:r w:rsidRPr="00914F55">
        <w:rPr>
          <w:lang w:val="en-US"/>
        </w:rPr>
        <w:t>“</w:t>
      </w:r>
      <w:r w:rsidRPr="00914F55">
        <w:rPr>
          <w:snapToGrid w:val="0"/>
          <w:spacing w:val="-3"/>
          <w:lang w:val="en-US"/>
        </w:rPr>
        <w:t>It is the duty of every person to obey the law and other legitimate commands of the authorities of his country and those of the country in which he may be.” Furthermore, Article 21(1) and 21(3) of the Universal Declaration of Human Rights stipulates that: “</w:t>
      </w:r>
      <w:r w:rsidRPr="00914F55">
        <w:rPr>
          <w:lang w:val="en-US"/>
        </w:rPr>
        <w:t>Everyone has the right to take part in the government of his country, directly or through freely chosen representatives. […] The will of the people shall be the basis of the authority of government; this will shall be expressed in periodic and genuine elections which shall be by universal and equal suffrage and shall be held by secret vote or by equivalent free voting procedures.”</w:t>
      </w:r>
      <w:r w:rsidRPr="00A50E4D">
        <w:rPr>
          <w:lang w:val="en-US"/>
        </w:rPr>
        <w:t xml:space="preserve"> </w:t>
      </w:r>
    </w:p>
  </w:footnote>
  <w:footnote w:id="291">
    <w:p w14:paraId="23DBBB5D" w14:textId="5EB61054" w:rsidR="007353B6" w:rsidRPr="00A50E4D" w:rsidRDefault="007353B6" w:rsidP="006F7559">
      <w:pPr>
        <w:pStyle w:val="FootnoteText"/>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t>The preamble to the Convention establishes as one of its purposes “</w:t>
      </w:r>
      <w:r w:rsidRPr="00914F55">
        <w:rPr>
          <w:spacing w:val="-3"/>
          <w:lang w:val="en-US"/>
        </w:rPr>
        <w:t>to consolidate in this hemisphere, within the framework of democratic institutions, a system of personal liberty and social justice based on respect for the essential rights of man</w:t>
      </w:r>
      <w:r w:rsidRPr="00A50E4D">
        <w:rPr>
          <w:lang w:val="en-US"/>
        </w:rPr>
        <w:t>.</w:t>
      </w:r>
      <w:r w:rsidRPr="00A50E4D">
        <w:rPr>
          <w:rFonts w:cs="Tahoma"/>
          <w:color w:val="000000"/>
          <w:lang w:val="en-US"/>
        </w:rPr>
        <w:t xml:space="preserve">” Furthermore, </w:t>
      </w:r>
      <w:r w:rsidRPr="00A50E4D">
        <w:rPr>
          <w:rFonts w:cs="Tahoma"/>
          <w:bCs/>
          <w:color w:val="000000"/>
          <w:lang w:val="en-US"/>
        </w:rPr>
        <w:t>29 of the Convention stipulates that:</w:t>
      </w:r>
      <w:r w:rsidRPr="00A50E4D">
        <w:rPr>
          <w:rFonts w:cs="Tahoma"/>
          <w:color w:val="000000"/>
          <w:lang w:val="en-US"/>
        </w:rPr>
        <w:t xml:space="preserve"> </w:t>
      </w:r>
      <w:r w:rsidRPr="00914F55">
        <w:rPr>
          <w:rFonts w:cs="Tahoma"/>
          <w:color w:val="000000"/>
          <w:lang w:val="en-US"/>
        </w:rPr>
        <w:t>“</w:t>
      </w:r>
      <w:r w:rsidRPr="00914F55">
        <w:rPr>
          <w:spacing w:val="-3"/>
          <w:lang w:val="en-US"/>
        </w:rPr>
        <w:t>No provision of this Convention shall be interpreted as: […] (c) precluding other rights or guarantees that are inherent in the human personality or derived from representative democracy as a form of government</w:t>
      </w:r>
      <w:r w:rsidRPr="00914F55">
        <w:rPr>
          <w:rFonts w:cs="Tahoma"/>
          <w:color w:val="000000"/>
          <w:lang w:val="en-US"/>
        </w:rPr>
        <w:t>.”</w:t>
      </w:r>
    </w:p>
  </w:footnote>
  <w:footnote w:id="292">
    <w:p w14:paraId="4B6A9800" w14:textId="6B35EF71" w:rsidR="007353B6" w:rsidRPr="00914F55" w:rsidRDefault="007353B6" w:rsidP="006F7559">
      <w:pPr>
        <w:tabs>
          <w:tab w:val="left" w:pos="450"/>
          <w:tab w:val="left" w:pos="480"/>
          <w:tab w:val="left" w:pos="1080"/>
          <w:tab w:val="left" w:pos="1680"/>
          <w:tab w:val="left" w:pos="5400"/>
        </w:tabs>
        <w:suppressAutoHyphens/>
        <w:spacing w:before="120" w:after="120"/>
        <w:rPr>
          <w:spacing w:val="-3"/>
          <w:sz w:val="16"/>
          <w:szCs w:val="16"/>
          <w:lang w:val="en-US"/>
        </w:rPr>
      </w:pPr>
      <w:r w:rsidRPr="00A50E4D">
        <w:rPr>
          <w:rStyle w:val="FootnoteReference"/>
          <w:lang w:val="en-US"/>
        </w:rPr>
        <w:footnoteRef/>
      </w:r>
      <w:r w:rsidRPr="00A50E4D">
        <w:rPr>
          <w:sz w:val="16"/>
          <w:szCs w:val="16"/>
          <w:lang w:val="en-US"/>
        </w:rPr>
        <w:t xml:space="preserve"> </w:t>
      </w:r>
      <w:r w:rsidRPr="00A50E4D">
        <w:rPr>
          <w:sz w:val="16"/>
          <w:szCs w:val="16"/>
          <w:lang w:val="en-US"/>
        </w:rPr>
        <w:tab/>
      </w:r>
      <w:r w:rsidRPr="00914F55">
        <w:rPr>
          <w:sz w:val="16"/>
          <w:szCs w:val="16"/>
          <w:lang w:val="en-US"/>
        </w:rPr>
        <w:t xml:space="preserve">The relevant part of Article 23 of the Convention establishes that: “1. </w:t>
      </w:r>
      <w:r w:rsidRPr="00914F55">
        <w:rPr>
          <w:spacing w:val="-3"/>
          <w:sz w:val="16"/>
          <w:szCs w:val="16"/>
          <w:lang w:val="en-US"/>
        </w:rPr>
        <w:t>Every citizen shall enjoy the following rights and opportunities: (a) to take part in the conduct of public affairs, directly or through freely chosen representatives; […] 2. The law may regulate the exercise of the rights and opportunities referred to in the preceding paragraph only on the basis of age, nationality, residence, language, education, civil and mental capacity, or sentencing by a competent court in criminal proceedings.</w:t>
      </w:r>
      <w:r w:rsidRPr="00914F55">
        <w:rPr>
          <w:rFonts w:eastAsiaTheme="minorHAnsi" w:cs="Tahoma"/>
          <w:sz w:val="16"/>
          <w:szCs w:val="16"/>
          <w:lang w:val="en-US"/>
        </w:rPr>
        <w:t>”</w:t>
      </w:r>
    </w:p>
  </w:footnote>
  <w:footnote w:id="293">
    <w:p w14:paraId="535609AC" w14:textId="6491723F" w:rsidR="007353B6" w:rsidRPr="00914F55" w:rsidRDefault="007353B6" w:rsidP="006F7559">
      <w:pPr>
        <w:pStyle w:val="FootnoteText"/>
        <w:tabs>
          <w:tab w:val="left" w:pos="450"/>
        </w:tabs>
        <w:spacing w:before="120" w:after="120"/>
        <w:rPr>
          <w:lang w:val="en-US"/>
        </w:rPr>
      </w:pPr>
      <w:r w:rsidRPr="00914F55">
        <w:rPr>
          <w:rStyle w:val="FootnoteReference"/>
          <w:lang w:val="en-US"/>
        </w:rPr>
        <w:footnoteRef/>
      </w:r>
      <w:r w:rsidRPr="00914F55">
        <w:rPr>
          <w:lang w:val="en-US"/>
        </w:rPr>
        <w:t xml:space="preserve"> </w:t>
      </w:r>
      <w:r w:rsidRPr="00914F55">
        <w:rPr>
          <w:lang w:val="en-US"/>
        </w:rPr>
        <w:tab/>
        <w:t>Article 13(1) of the Convention stipulates that: “</w:t>
      </w:r>
      <w:r w:rsidRPr="00914F55">
        <w:rPr>
          <w:spacing w:val="-3"/>
          <w:lang w:val="en-US"/>
        </w:rPr>
        <w:t>Everyone has the right to freedom of thought and expression. This right includes freedom to seek, receive, and impart information and ideas of all kinds, regardless of frontiers, either orally, in writing, in print, in the form of art, or through any other medium of one's choice.</w:t>
      </w:r>
      <w:r w:rsidRPr="00914F55">
        <w:rPr>
          <w:lang w:val="en-US"/>
        </w:rPr>
        <w:t>”</w:t>
      </w:r>
    </w:p>
  </w:footnote>
  <w:footnote w:id="294">
    <w:p w14:paraId="26BDE4E0" w14:textId="2B098229" w:rsidR="007353B6" w:rsidRPr="00914F55" w:rsidRDefault="007353B6" w:rsidP="006F7559">
      <w:pPr>
        <w:pStyle w:val="FootnoteText"/>
        <w:tabs>
          <w:tab w:val="left" w:pos="450"/>
        </w:tabs>
        <w:spacing w:before="120" w:after="120"/>
        <w:rPr>
          <w:lang w:val="en-US"/>
        </w:rPr>
      </w:pPr>
      <w:r w:rsidRPr="00914F55">
        <w:rPr>
          <w:rStyle w:val="FootnoteReference"/>
          <w:lang w:val="en-US"/>
        </w:rPr>
        <w:footnoteRef/>
      </w:r>
      <w:r w:rsidRPr="00914F55">
        <w:rPr>
          <w:lang w:val="en-US"/>
        </w:rPr>
        <w:t xml:space="preserve"> </w:t>
      </w:r>
      <w:r w:rsidRPr="00914F55">
        <w:rPr>
          <w:lang w:val="en-US"/>
        </w:rPr>
        <w:tab/>
        <w:t>Article 15 of the Convention establishes that: “</w:t>
      </w:r>
      <w:r w:rsidRPr="00914F55">
        <w:rPr>
          <w:spacing w:val="-3"/>
          <w:lang w:val="en-US"/>
        </w:rPr>
        <w:t>The right of peaceful assembly, without arms, is recognized. No restrictions may be placed on the exercise of this right other than those imposed in conformity with the law and necessary in a democratic society in the interest of national security, public safety or public order, or to protect public health or morals or the rights or freedom of others.</w:t>
      </w:r>
      <w:r w:rsidRPr="00914F55">
        <w:rPr>
          <w:lang w:val="en-US"/>
        </w:rPr>
        <w:t>”</w:t>
      </w:r>
    </w:p>
  </w:footnote>
  <w:footnote w:id="295">
    <w:p w14:paraId="7E723AB5" w14:textId="3460D254" w:rsidR="007353B6" w:rsidRPr="00A50E4D" w:rsidRDefault="007353B6" w:rsidP="006F7559">
      <w:pPr>
        <w:pStyle w:val="FootnoteText"/>
        <w:tabs>
          <w:tab w:val="left" w:pos="450"/>
        </w:tabs>
        <w:spacing w:before="120" w:after="120"/>
        <w:rPr>
          <w:lang w:val="en-US"/>
        </w:rPr>
      </w:pPr>
      <w:r w:rsidRPr="00914F55">
        <w:rPr>
          <w:rStyle w:val="FootnoteReference"/>
          <w:lang w:val="en-US"/>
        </w:rPr>
        <w:footnoteRef/>
      </w:r>
      <w:r w:rsidRPr="00914F55">
        <w:rPr>
          <w:lang w:val="en-US"/>
        </w:rPr>
        <w:t xml:space="preserve"> </w:t>
      </w:r>
      <w:r w:rsidRPr="00914F55">
        <w:rPr>
          <w:lang w:val="en-US"/>
        </w:rPr>
        <w:tab/>
        <w:t>Article 16(1) of the Convention establishes that: “</w:t>
      </w:r>
      <w:r w:rsidRPr="00914F55">
        <w:rPr>
          <w:spacing w:val="-3"/>
          <w:lang w:val="en-US"/>
        </w:rPr>
        <w:t>Everyone has the right to associate freely for ideological, religious, political, economic, labor, social, cultural, sports, or other purposes.</w:t>
      </w:r>
      <w:r w:rsidRPr="00914F55">
        <w:rPr>
          <w:lang w:val="en-US"/>
        </w:rPr>
        <w:t>”</w:t>
      </w:r>
    </w:p>
  </w:footnote>
  <w:footnote w:id="296">
    <w:p w14:paraId="5E023399" w14:textId="7FD6AB75" w:rsidR="007353B6" w:rsidRPr="00A50E4D" w:rsidRDefault="007353B6" w:rsidP="006F7559">
      <w:pPr>
        <w:pStyle w:val="FootnoteText"/>
        <w:tabs>
          <w:tab w:val="left" w:pos="450"/>
        </w:tabs>
        <w:spacing w:before="120" w:after="120"/>
        <w:rPr>
          <w:lang w:val="en-US"/>
        </w:rPr>
      </w:pPr>
      <w:r w:rsidRPr="00A50E4D">
        <w:rPr>
          <w:rStyle w:val="FootnoteReference"/>
          <w:lang w:val="en-US"/>
        </w:rPr>
        <w:footnoteRef/>
      </w:r>
      <w:r w:rsidRPr="00F25627">
        <w:rPr>
          <w:lang w:val="es-CR"/>
        </w:rPr>
        <w:t xml:space="preserve"> </w:t>
      </w:r>
      <w:r w:rsidRPr="00F25627">
        <w:rPr>
          <w:lang w:val="es-CR"/>
        </w:rPr>
        <w:tab/>
      </w:r>
      <w:r w:rsidRPr="00F25627">
        <w:rPr>
          <w:i/>
          <w:lang w:val="es-CR"/>
        </w:rPr>
        <w:t>Cf.</w:t>
      </w:r>
      <w:r w:rsidRPr="00F25627">
        <w:rPr>
          <w:lang w:val="es-CR"/>
        </w:rPr>
        <w:t xml:space="preserve"> </w:t>
      </w:r>
      <w:r w:rsidRPr="00F25627">
        <w:rPr>
          <w:rStyle w:val="Strong"/>
          <w:b w:val="0"/>
          <w:i/>
          <w:color w:val="000000"/>
          <w:shd w:val="clear" w:color="auto" w:fill="FFFFFF"/>
          <w:lang w:val="es-CR"/>
        </w:rPr>
        <w:t>Case of Castañeda Gutman v. Mexico, supra</w:t>
      </w:r>
      <w:r w:rsidRPr="00F25627">
        <w:rPr>
          <w:rStyle w:val="Strong"/>
          <w:b w:val="0"/>
          <w:color w:val="000000"/>
          <w:shd w:val="clear" w:color="auto" w:fill="FFFFFF"/>
          <w:lang w:val="es-CR"/>
        </w:rPr>
        <w:t xml:space="preserve">, para. </w:t>
      </w:r>
      <w:r w:rsidRPr="00A50E4D">
        <w:rPr>
          <w:rStyle w:val="Strong"/>
          <w:b w:val="0"/>
          <w:color w:val="000000"/>
          <w:shd w:val="clear" w:color="auto" w:fill="FFFFFF"/>
          <w:lang w:val="en-US"/>
        </w:rPr>
        <w:t>140.</w:t>
      </w:r>
    </w:p>
  </w:footnote>
  <w:footnote w:id="297">
    <w:p w14:paraId="158266B3" w14:textId="41CFB7C8" w:rsidR="007353B6" w:rsidRPr="00A50E4D" w:rsidRDefault="007353B6" w:rsidP="006F7559">
      <w:pPr>
        <w:pStyle w:val="FootnoteText"/>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r>
      <w:r w:rsidRPr="00A50E4D">
        <w:rPr>
          <w:i/>
          <w:lang w:val="en-US"/>
        </w:rPr>
        <w:t>Cf.</w:t>
      </w:r>
      <w:r w:rsidRPr="00A50E4D">
        <w:rPr>
          <w:lang w:val="en-US"/>
        </w:rPr>
        <w:t xml:space="preserve"> </w:t>
      </w:r>
      <w:r w:rsidRPr="00A50E4D">
        <w:rPr>
          <w:i/>
          <w:lang w:val="en-US"/>
        </w:rPr>
        <w:t>Case of Yatama v. Nicaragua. Preliminary objections, merits, reparations and costs.</w:t>
      </w:r>
      <w:r w:rsidRPr="00A50E4D">
        <w:rPr>
          <w:lang w:val="en-US"/>
        </w:rPr>
        <w:t xml:space="preserve"> Judgment of June 23, 2005. Series C No. 127, paras. 195 to 200, and </w:t>
      </w:r>
      <w:r w:rsidRPr="00A50E4D">
        <w:rPr>
          <w:rStyle w:val="Strong"/>
          <w:b w:val="0"/>
          <w:i/>
          <w:color w:val="000000"/>
          <w:shd w:val="clear" w:color="auto" w:fill="FFFFFF"/>
          <w:lang w:val="en-US"/>
        </w:rPr>
        <w:t>Case of Argüelles et al. v. Argentina, supra</w:t>
      </w:r>
      <w:r w:rsidRPr="00A50E4D">
        <w:rPr>
          <w:lang w:val="en-US"/>
        </w:rPr>
        <w:t>, para. 221.</w:t>
      </w:r>
    </w:p>
  </w:footnote>
  <w:footnote w:id="298">
    <w:p w14:paraId="46AAAD01" w14:textId="782964B4" w:rsidR="007353B6" w:rsidRPr="00A50E4D" w:rsidRDefault="007353B6" w:rsidP="006F7559">
      <w:pPr>
        <w:pStyle w:val="Footnotes"/>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r>
      <w:r w:rsidRPr="00A50E4D">
        <w:rPr>
          <w:i/>
          <w:lang w:val="en-US"/>
        </w:rPr>
        <w:t>Cf.</w:t>
      </w:r>
      <w:r w:rsidRPr="00A50E4D">
        <w:rPr>
          <w:lang w:val="en-US"/>
        </w:rPr>
        <w:t xml:space="preserve"> </w:t>
      </w:r>
      <w:r w:rsidRPr="00A50E4D">
        <w:rPr>
          <w:i/>
          <w:lang w:val="en-US"/>
        </w:rPr>
        <w:t>Case of Castañeda Gutman v. Mexico, supra</w:t>
      </w:r>
      <w:r w:rsidRPr="00A50E4D">
        <w:rPr>
          <w:lang w:val="en-US"/>
        </w:rPr>
        <w:t xml:space="preserve">, para. 143, and </w:t>
      </w:r>
      <w:r w:rsidRPr="00A50E4D">
        <w:rPr>
          <w:rStyle w:val="Strong"/>
          <w:b w:val="0"/>
          <w:i/>
          <w:color w:val="000000"/>
          <w:shd w:val="clear" w:color="auto" w:fill="FFFFFF"/>
          <w:lang w:val="en-US"/>
        </w:rPr>
        <w:t>Case of López Mendoza v. Venezuela. Merits, reparations and costs</w:t>
      </w:r>
      <w:r w:rsidRPr="00A50E4D">
        <w:rPr>
          <w:rStyle w:val="Strong"/>
          <w:b w:val="0"/>
          <w:color w:val="000000"/>
          <w:shd w:val="clear" w:color="auto" w:fill="FFFFFF"/>
          <w:lang w:val="en-US"/>
        </w:rPr>
        <w:t>. Judgment of September 1, 2011 Series C No. 233, para. 108.</w:t>
      </w:r>
    </w:p>
  </w:footnote>
  <w:footnote w:id="299">
    <w:p w14:paraId="1CBBE03F" w14:textId="64BC5C17" w:rsidR="007353B6" w:rsidRPr="00F25627" w:rsidRDefault="007353B6" w:rsidP="006F7559">
      <w:pPr>
        <w:pStyle w:val="Footnotes"/>
        <w:tabs>
          <w:tab w:val="left" w:pos="450"/>
        </w:tabs>
        <w:spacing w:before="120" w:after="120"/>
        <w:rPr>
          <w:lang w:val="es-CR"/>
        </w:rPr>
      </w:pPr>
      <w:r w:rsidRPr="00A50E4D">
        <w:rPr>
          <w:rStyle w:val="FootnoteReference"/>
          <w:lang w:val="en-US"/>
        </w:rPr>
        <w:footnoteRef/>
      </w:r>
      <w:r w:rsidRPr="00A50E4D">
        <w:rPr>
          <w:lang w:val="en-US"/>
        </w:rPr>
        <w:t xml:space="preserve"> </w:t>
      </w:r>
      <w:r w:rsidRPr="00A50E4D">
        <w:rPr>
          <w:lang w:val="en-US"/>
        </w:rPr>
        <w:tab/>
      </w:r>
      <w:r w:rsidRPr="00A50E4D">
        <w:rPr>
          <w:i/>
          <w:lang w:val="en-US"/>
        </w:rPr>
        <w:t>Cf.</w:t>
      </w:r>
      <w:r w:rsidRPr="00A50E4D">
        <w:rPr>
          <w:rStyle w:val="FootnoteTextChar"/>
          <w:bCs/>
          <w:color w:val="000000"/>
          <w:sz w:val="16"/>
          <w:szCs w:val="16"/>
          <w:shd w:val="clear" w:color="auto" w:fill="FFFFFF"/>
          <w:lang w:val="en-US"/>
        </w:rPr>
        <w:t xml:space="preserve"> </w:t>
      </w:r>
      <w:r w:rsidRPr="00A50E4D">
        <w:rPr>
          <w:rStyle w:val="Strong"/>
          <w:b w:val="0"/>
          <w:i/>
          <w:color w:val="000000"/>
          <w:shd w:val="clear" w:color="auto" w:fill="FFFFFF"/>
          <w:lang w:val="en-US"/>
        </w:rPr>
        <w:t xml:space="preserve">Case of Yatama v. Nicaragua, supra, </w:t>
      </w:r>
      <w:r w:rsidRPr="00A50E4D">
        <w:rPr>
          <w:lang w:val="en-US"/>
        </w:rPr>
        <w:t xml:space="preserve">para. 195, and </w:t>
      </w:r>
      <w:r w:rsidRPr="00A50E4D">
        <w:rPr>
          <w:rStyle w:val="Strong"/>
          <w:b w:val="0"/>
          <w:i/>
          <w:color w:val="000000"/>
          <w:shd w:val="clear" w:color="auto" w:fill="FFFFFF"/>
          <w:lang w:val="en-US"/>
        </w:rPr>
        <w:t>Case of López Mendoza v. Venezuela, supra</w:t>
      </w:r>
      <w:r w:rsidRPr="00A50E4D">
        <w:rPr>
          <w:rStyle w:val="Strong"/>
          <w:b w:val="0"/>
          <w:color w:val="000000"/>
          <w:shd w:val="clear" w:color="auto" w:fill="FFFFFF"/>
          <w:lang w:val="en-US"/>
        </w:rPr>
        <w:t xml:space="preserve">, </w:t>
      </w:r>
      <w:r w:rsidRPr="00A50E4D">
        <w:rPr>
          <w:lang w:val="en-US"/>
        </w:rPr>
        <w:t xml:space="preserve">para. </w:t>
      </w:r>
      <w:r w:rsidRPr="00F25627">
        <w:rPr>
          <w:lang w:val="es-CR"/>
        </w:rPr>
        <w:t>108.</w:t>
      </w:r>
    </w:p>
  </w:footnote>
  <w:footnote w:id="300">
    <w:p w14:paraId="6E96A567" w14:textId="2A48831C" w:rsidR="007353B6" w:rsidRPr="00F25627" w:rsidRDefault="007353B6" w:rsidP="006F7559">
      <w:pPr>
        <w:pStyle w:val="Footnotes"/>
        <w:tabs>
          <w:tab w:val="left" w:pos="450"/>
        </w:tabs>
        <w:spacing w:before="120" w:after="120"/>
        <w:rPr>
          <w:lang w:val="es-CR"/>
        </w:rPr>
      </w:pPr>
      <w:r w:rsidRPr="00A50E4D">
        <w:rPr>
          <w:rStyle w:val="FootnoteReference"/>
          <w:lang w:val="en-US"/>
        </w:rPr>
        <w:footnoteRef/>
      </w:r>
      <w:r w:rsidRPr="00F25627">
        <w:rPr>
          <w:lang w:val="es-CR"/>
        </w:rPr>
        <w:t xml:space="preserve"> </w:t>
      </w:r>
      <w:r w:rsidRPr="00F25627">
        <w:rPr>
          <w:lang w:val="es-CR"/>
        </w:rPr>
        <w:tab/>
      </w:r>
      <w:r w:rsidRPr="00F25627">
        <w:rPr>
          <w:i/>
          <w:lang w:val="es-CR"/>
        </w:rPr>
        <w:t>Cf.</w:t>
      </w:r>
      <w:r w:rsidRPr="00F25627">
        <w:rPr>
          <w:rStyle w:val="FootnoteTextChar"/>
          <w:bCs/>
          <w:color w:val="000000"/>
          <w:sz w:val="16"/>
          <w:szCs w:val="16"/>
          <w:shd w:val="clear" w:color="auto" w:fill="FFFFFF"/>
          <w:lang w:val="es-CR"/>
        </w:rPr>
        <w:t xml:space="preserve"> </w:t>
      </w:r>
      <w:r w:rsidRPr="00F25627">
        <w:rPr>
          <w:rStyle w:val="Strong"/>
          <w:b w:val="0"/>
          <w:i/>
          <w:color w:val="000000"/>
          <w:shd w:val="clear" w:color="auto" w:fill="FFFFFF"/>
          <w:lang w:val="es-CR"/>
        </w:rPr>
        <w:t>Case of Yatama v. Nicaragua, supra</w:t>
      </w:r>
      <w:r w:rsidRPr="00F25627">
        <w:rPr>
          <w:lang w:val="es-CR"/>
        </w:rPr>
        <w:t xml:space="preserve">, para. 192, and </w:t>
      </w:r>
      <w:r w:rsidRPr="00F25627">
        <w:rPr>
          <w:rStyle w:val="Strong"/>
          <w:b w:val="0"/>
          <w:i/>
          <w:color w:val="000000"/>
          <w:shd w:val="clear" w:color="auto" w:fill="FFFFFF"/>
          <w:lang w:val="es-CR"/>
        </w:rPr>
        <w:t>Case of López Mendoza v. Venezuela, supra</w:t>
      </w:r>
      <w:r w:rsidRPr="00F25627">
        <w:rPr>
          <w:rStyle w:val="Strong"/>
          <w:b w:val="0"/>
          <w:color w:val="000000"/>
          <w:shd w:val="clear" w:color="auto" w:fill="FFFFFF"/>
          <w:lang w:val="es-CR"/>
        </w:rPr>
        <w:t>, para. 26.</w:t>
      </w:r>
    </w:p>
  </w:footnote>
  <w:footnote w:id="301">
    <w:p w14:paraId="24545C6D" w14:textId="6DAFDE29" w:rsidR="007353B6" w:rsidRPr="00A50E4D" w:rsidRDefault="007353B6" w:rsidP="006F7559">
      <w:pPr>
        <w:tabs>
          <w:tab w:val="left" w:pos="450"/>
          <w:tab w:val="left" w:pos="567"/>
        </w:tabs>
        <w:spacing w:before="120" w:after="120"/>
        <w:rPr>
          <w:sz w:val="16"/>
          <w:szCs w:val="16"/>
          <w:lang w:val="en-US"/>
        </w:rPr>
      </w:pPr>
      <w:r w:rsidRPr="00A50E4D">
        <w:rPr>
          <w:rStyle w:val="FootnoteReference"/>
          <w:lang w:val="en-US"/>
        </w:rPr>
        <w:footnoteRef/>
      </w:r>
      <w:r w:rsidRPr="00F25627">
        <w:rPr>
          <w:sz w:val="16"/>
          <w:szCs w:val="16"/>
          <w:lang w:val="es-CR"/>
        </w:rPr>
        <w:t xml:space="preserve"> </w:t>
      </w:r>
      <w:r w:rsidRPr="00F25627">
        <w:rPr>
          <w:sz w:val="16"/>
          <w:szCs w:val="16"/>
          <w:lang w:val="es-CR"/>
        </w:rPr>
        <w:tab/>
      </w:r>
      <w:r w:rsidRPr="00F25627">
        <w:rPr>
          <w:i/>
          <w:sz w:val="16"/>
          <w:szCs w:val="16"/>
          <w:lang w:val="es-CR"/>
        </w:rPr>
        <w:t>Cf. Case of Yatama v. Nicaragua, supra</w:t>
      </w:r>
      <w:r w:rsidRPr="00F25627">
        <w:rPr>
          <w:sz w:val="16"/>
          <w:szCs w:val="16"/>
          <w:lang w:val="es-CR"/>
        </w:rPr>
        <w:t xml:space="preserve">, para. 195, and </w:t>
      </w:r>
      <w:r w:rsidRPr="00F25627">
        <w:rPr>
          <w:rStyle w:val="Strong"/>
          <w:b w:val="0"/>
          <w:i/>
          <w:color w:val="000000"/>
          <w:sz w:val="16"/>
          <w:szCs w:val="16"/>
          <w:shd w:val="clear" w:color="auto" w:fill="FFFFFF"/>
          <w:lang w:val="es-CR"/>
        </w:rPr>
        <w:t>Case of Reverón Trujillo v. Venezuela, supra</w:t>
      </w:r>
      <w:r w:rsidRPr="00F25627">
        <w:rPr>
          <w:rStyle w:val="Strong"/>
          <w:b w:val="0"/>
          <w:color w:val="000000"/>
          <w:sz w:val="16"/>
          <w:szCs w:val="16"/>
          <w:shd w:val="clear" w:color="auto" w:fill="FFFFFF"/>
          <w:lang w:val="es-CR"/>
        </w:rPr>
        <w:t xml:space="preserve">, para. </w:t>
      </w:r>
      <w:r w:rsidRPr="00A50E4D">
        <w:rPr>
          <w:rStyle w:val="Strong"/>
          <w:b w:val="0"/>
          <w:color w:val="000000"/>
          <w:sz w:val="16"/>
          <w:szCs w:val="16"/>
          <w:shd w:val="clear" w:color="auto" w:fill="FFFFFF"/>
          <w:lang w:val="en-US"/>
        </w:rPr>
        <w:t>139.</w:t>
      </w:r>
    </w:p>
  </w:footnote>
  <w:footnote w:id="302">
    <w:p w14:paraId="536A8CC0" w14:textId="5DFA6CCC" w:rsidR="007353B6" w:rsidRPr="00A50E4D" w:rsidRDefault="007353B6" w:rsidP="006F7559">
      <w:pPr>
        <w:tabs>
          <w:tab w:val="left" w:pos="450"/>
          <w:tab w:val="left" w:pos="567"/>
        </w:tabs>
        <w:spacing w:before="120" w:after="120"/>
        <w:rPr>
          <w:sz w:val="16"/>
          <w:szCs w:val="16"/>
          <w:lang w:val="en-US"/>
        </w:rPr>
      </w:pPr>
      <w:r w:rsidRPr="00A50E4D">
        <w:rPr>
          <w:rStyle w:val="FootnoteReference"/>
          <w:lang w:val="en-US"/>
        </w:rPr>
        <w:footnoteRef/>
      </w:r>
      <w:r w:rsidRPr="00A50E4D">
        <w:rPr>
          <w:sz w:val="16"/>
          <w:szCs w:val="16"/>
          <w:lang w:val="en-US"/>
        </w:rPr>
        <w:t xml:space="preserve"> </w:t>
      </w:r>
      <w:r w:rsidRPr="00A50E4D">
        <w:rPr>
          <w:sz w:val="16"/>
          <w:szCs w:val="16"/>
          <w:lang w:val="en-US"/>
        </w:rPr>
        <w:tab/>
      </w:r>
      <w:r w:rsidRPr="00A50E4D">
        <w:rPr>
          <w:i/>
          <w:sz w:val="16"/>
          <w:szCs w:val="16"/>
          <w:lang w:val="en-US"/>
        </w:rPr>
        <w:t>Cf. Case of Yatama v. Nicaragua, supra</w:t>
      </w:r>
      <w:r w:rsidRPr="00A50E4D">
        <w:rPr>
          <w:sz w:val="16"/>
          <w:szCs w:val="16"/>
          <w:lang w:val="en-US"/>
        </w:rPr>
        <w:t>, para. 195.</w:t>
      </w:r>
    </w:p>
  </w:footnote>
  <w:footnote w:id="303">
    <w:p w14:paraId="39A682B5" w14:textId="7A76F64F"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Compulsory Membership in an Association Prescribed by Law for the Practice of Journalism </w:t>
      </w:r>
      <w:r w:rsidRPr="00A50E4D">
        <w:rPr>
          <w:spacing w:val="-4"/>
          <w:lang w:val="en-US"/>
        </w:rPr>
        <w:t xml:space="preserve">(Arts. 13 and 29 American Convention on Human Rights). Advisory Opinion OC-5/85, of November 13, </w:t>
      </w:r>
      <w:r w:rsidRPr="00A50E4D">
        <w:rPr>
          <w:rStyle w:val="Strong"/>
          <w:b w:val="0"/>
          <w:color w:val="000000"/>
          <w:shd w:val="clear" w:color="auto" w:fill="FFFFFF"/>
          <w:lang w:val="en-US"/>
        </w:rPr>
        <w:t>1985. Series A No. 5, para. 70</w:t>
      </w:r>
      <w:r w:rsidRPr="00A50E4D">
        <w:rPr>
          <w:spacing w:val="-4"/>
          <w:lang w:val="en-US"/>
        </w:rPr>
        <w:t xml:space="preserve">, and </w:t>
      </w:r>
      <w:r w:rsidRPr="00A50E4D">
        <w:rPr>
          <w:rStyle w:val="Strong"/>
          <w:b w:val="0"/>
          <w:i/>
          <w:color w:val="000000"/>
          <w:shd w:val="clear" w:color="auto" w:fill="FFFFFF"/>
          <w:lang w:val="en-US"/>
        </w:rPr>
        <w:t>Case of Granier et al. (Radio Caracas Televisión) v. Venezuela. Preliminary objections, merits, reparations and costs.</w:t>
      </w:r>
      <w:r w:rsidRPr="00A50E4D">
        <w:rPr>
          <w:rStyle w:val="Strong"/>
          <w:b w:val="0"/>
          <w:color w:val="000000"/>
          <w:shd w:val="clear" w:color="auto" w:fill="FFFFFF"/>
          <w:lang w:val="en-US"/>
        </w:rPr>
        <w:t xml:space="preserve"> Judgment of June 22, 2015. Series C No. 293, para. 140.</w:t>
      </w:r>
    </w:p>
  </w:footnote>
  <w:footnote w:id="304">
    <w:p w14:paraId="43F1353E" w14:textId="32605DBC" w:rsidR="007353B6" w:rsidRPr="00A50E4D" w:rsidRDefault="007353B6" w:rsidP="006F7559">
      <w:pPr>
        <w:pStyle w:val="FootnoteText"/>
        <w:tabs>
          <w:tab w:val="left" w:pos="450"/>
        </w:tabs>
        <w:spacing w:before="120" w:after="120"/>
        <w:rPr>
          <w:spacing w:val="-4"/>
          <w:lang w:val="en-US"/>
        </w:rPr>
      </w:pPr>
      <w:r w:rsidRPr="00A50E4D">
        <w:rPr>
          <w:rStyle w:val="FootnoteReference"/>
          <w:rFonts w:eastAsiaTheme="majorEastAsia"/>
          <w:spacing w:val="-4"/>
          <w:lang w:val="en-US"/>
        </w:rPr>
        <w:footnoteRef/>
      </w:r>
      <w:r w:rsidRPr="00A50E4D">
        <w:rPr>
          <w:spacing w:val="-4"/>
          <w:lang w:val="en-US"/>
        </w:rPr>
        <w:t xml:space="preserve"> </w:t>
      </w:r>
      <w:r w:rsidRPr="00A50E4D">
        <w:rPr>
          <w:spacing w:val="-4"/>
          <w:lang w:val="en-US"/>
        </w:rPr>
        <w:tab/>
      </w:r>
      <w:r w:rsidRPr="00A50E4D">
        <w:rPr>
          <w:i/>
          <w:spacing w:val="-4"/>
          <w:lang w:val="en-US"/>
        </w:rPr>
        <w:t>Cf.</w:t>
      </w:r>
      <w:r w:rsidRPr="00A50E4D">
        <w:rPr>
          <w:spacing w:val="-4"/>
          <w:lang w:val="en-US"/>
        </w:rPr>
        <w:t xml:space="preserve"> </w:t>
      </w:r>
      <w:r w:rsidRPr="00A50E4D">
        <w:rPr>
          <w:i/>
          <w:lang w:val="en-US"/>
        </w:rPr>
        <w:t>Case of Herrera Ulloa v. Costa Rica</w:t>
      </w:r>
      <w:r w:rsidRPr="00A50E4D">
        <w:rPr>
          <w:lang w:val="en-US"/>
        </w:rPr>
        <w:t xml:space="preserve">. </w:t>
      </w:r>
      <w:r w:rsidRPr="00A50E4D">
        <w:rPr>
          <w:i/>
          <w:lang w:val="en-US"/>
        </w:rPr>
        <w:t xml:space="preserve">Preliminary objections, merits, reparations and costs. </w:t>
      </w:r>
      <w:r w:rsidRPr="00A50E4D">
        <w:rPr>
          <w:lang w:val="en-US"/>
        </w:rPr>
        <w:t xml:space="preserve">Judgment of July 2, 2004. Series C No. 107, para. 116, and </w:t>
      </w:r>
      <w:r w:rsidRPr="00A50E4D">
        <w:rPr>
          <w:rStyle w:val="Strong"/>
          <w:b w:val="0"/>
          <w:i/>
          <w:color w:val="000000"/>
          <w:shd w:val="clear" w:color="auto" w:fill="FFFFFF"/>
          <w:lang w:val="en-US"/>
        </w:rPr>
        <w:t>Case of Granier et al. (Radio Caracas Televisión) v. Venezuela, supra</w:t>
      </w:r>
      <w:r w:rsidRPr="00A50E4D">
        <w:rPr>
          <w:rStyle w:val="Strong"/>
          <w:b w:val="0"/>
          <w:color w:val="000000"/>
          <w:shd w:val="clear" w:color="auto" w:fill="FFFFFF"/>
          <w:lang w:val="en-US"/>
        </w:rPr>
        <w:t>, para. 140.</w:t>
      </w:r>
    </w:p>
  </w:footnote>
  <w:footnote w:id="305">
    <w:p w14:paraId="17945D0C" w14:textId="710D2584"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Cf.</w:t>
      </w:r>
      <w:r w:rsidRPr="00A50E4D">
        <w:rPr>
          <w:spacing w:val="-4"/>
          <w:lang w:val="en-US"/>
        </w:rPr>
        <w:t xml:space="preserve"> </w:t>
      </w:r>
      <w:r w:rsidRPr="00A50E4D">
        <w:rPr>
          <w:i/>
          <w:spacing w:val="-4"/>
          <w:lang w:val="en-US"/>
        </w:rPr>
        <w:t>Case of “The Last Temptation of Christ” (Olmedo Bustos et al.) v. Chile</w:t>
      </w:r>
      <w:r w:rsidRPr="00A50E4D">
        <w:rPr>
          <w:spacing w:val="-4"/>
          <w:lang w:val="en-US"/>
        </w:rPr>
        <w:t xml:space="preserve">. </w:t>
      </w:r>
      <w:r w:rsidRPr="00A50E4D">
        <w:rPr>
          <w:rStyle w:val="Strong"/>
          <w:b w:val="0"/>
          <w:color w:val="000000"/>
          <w:shd w:val="clear" w:color="auto" w:fill="FFFFFF"/>
          <w:lang w:val="en-US"/>
        </w:rPr>
        <w:t xml:space="preserve">Merits, reparations and costs. Judgment of February 5, 2001. Series C No. 73, </w:t>
      </w:r>
      <w:r w:rsidRPr="00A50E4D">
        <w:rPr>
          <w:spacing w:val="-4"/>
          <w:lang w:val="en-US"/>
        </w:rPr>
        <w:t xml:space="preserve">para. </w:t>
      </w:r>
      <w:r w:rsidRPr="00F25627">
        <w:rPr>
          <w:spacing w:val="-4"/>
          <w:lang w:val="es-CR"/>
        </w:rPr>
        <w:t xml:space="preserve">69, and </w:t>
      </w:r>
      <w:r w:rsidRPr="00F25627">
        <w:rPr>
          <w:rStyle w:val="Strong"/>
          <w:b w:val="0"/>
          <w:i/>
          <w:color w:val="000000"/>
          <w:shd w:val="clear" w:color="auto" w:fill="FFFFFF"/>
          <w:lang w:val="es-CR"/>
        </w:rPr>
        <w:t>Case of Granier et al. (Radio Caracas Televisión) v. Venezuela, supra</w:t>
      </w:r>
      <w:r w:rsidRPr="00F25627">
        <w:rPr>
          <w:rStyle w:val="Strong"/>
          <w:b w:val="0"/>
          <w:color w:val="000000"/>
          <w:shd w:val="clear" w:color="auto" w:fill="FFFFFF"/>
          <w:lang w:val="es-CR"/>
        </w:rPr>
        <w:t xml:space="preserve">, para. </w:t>
      </w:r>
      <w:r w:rsidRPr="00A50E4D">
        <w:rPr>
          <w:rStyle w:val="Strong"/>
          <w:b w:val="0"/>
          <w:color w:val="000000"/>
          <w:shd w:val="clear" w:color="auto" w:fill="FFFFFF"/>
          <w:lang w:val="en-US"/>
        </w:rPr>
        <w:t>140.</w:t>
      </w:r>
    </w:p>
  </w:footnote>
  <w:footnote w:id="306">
    <w:p w14:paraId="0908E209" w14:textId="20652EE4" w:rsidR="007353B6" w:rsidRPr="00A50E4D" w:rsidRDefault="007353B6" w:rsidP="006F7559">
      <w:pPr>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i/>
          <w:spacing w:val="-4"/>
          <w:sz w:val="16"/>
          <w:szCs w:val="16"/>
          <w:lang w:val="en-US"/>
        </w:rPr>
        <w:t xml:space="preserve"> </w:t>
      </w:r>
      <w:r w:rsidRPr="00A50E4D">
        <w:rPr>
          <w:i/>
          <w:spacing w:val="-4"/>
          <w:sz w:val="16"/>
          <w:szCs w:val="16"/>
          <w:lang w:val="en-US"/>
        </w:rPr>
        <w:tab/>
        <w:t>Cf. Compulsory Membership in an Association Prescribed by Law for the Practice of Journalism (Arts. 13 and 29 American Convention on Human Rights), supra</w:t>
      </w:r>
      <w:r w:rsidRPr="00A50E4D">
        <w:rPr>
          <w:spacing w:val="-4"/>
          <w:sz w:val="16"/>
          <w:szCs w:val="16"/>
          <w:lang w:val="en-US"/>
        </w:rPr>
        <w:t xml:space="preserve">, para. </w:t>
      </w:r>
      <w:r w:rsidRPr="00F25627">
        <w:rPr>
          <w:spacing w:val="-4"/>
          <w:sz w:val="16"/>
          <w:szCs w:val="16"/>
          <w:lang w:val="es-CR"/>
        </w:rPr>
        <w:t xml:space="preserve">30, and </w:t>
      </w:r>
      <w:r w:rsidRPr="00F25627">
        <w:rPr>
          <w:rStyle w:val="Strong"/>
          <w:b w:val="0"/>
          <w:i/>
          <w:color w:val="000000"/>
          <w:sz w:val="16"/>
          <w:szCs w:val="16"/>
          <w:shd w:val="clear" w:color="auto" w:fill="FFFFFF"/>
          <w:lang w:val="es-CR"/>
        </w:rPr>
        <w:t>Case of Granier et al. (Radio Caracas Televisión) v. Venezuela, supra</w:t>
      </w:r>
      <w:r w:rsidRPr="00F25627">
        <w:rPr>
          <w:rStyle w:val="Strong"/>
          <w:b w:val="0"/>
          <w:color w:val="000000"/>
          <w:sz w:val="16"/>
          <w:szCs w:val="16"/>
          <w:shd w:val="clear" w:color="auto" w:fill="FFFFFF"/>
          <w:lang w:val="es-CR"/>
        </w:rPr>
        <w:t xml:space="preserve">, para. </w:t>
      </w:r>
      <w:r w:rsidRPr="00A50E4D">
        <w:rPr>
          <w:rStyle w:val="Strong"/>
          <w:b w:val="0"/>
          <w:color w:val="000000"/>
          <w:sz w:val="16"/>
          <w:szCs w:val="16"/>
          <w:shd w:val="clear" w:color="auto" w:fill="FFFFFF"/>
          <w:lang w:val="en-US"/>
        </w:rPr>
        <w:t>135.</w:t>
      </w:r>
    </w:p>
  </w:footnote>
  <w:footnote w:id="307">
    <w:p w14:paraId="34D417E9" w14:textId="64C4B712" w:rsidR="007353B6" w:rsidRPr="00A50E4D" w:rsidRDefault="007353B6" w:rsidP="006F7559">
      <w:pPr>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Cf. Compulsory Membership in an Association Prescribed by Law for the Practice of Journalism (Arts. 13 and 29 American Convention on Human Rights), supra</w:t>
      </w:r>
      <w:r w:rsidRPr="00A50E4D">
        <w:rPr>
          <w:spacing w:val="-4"/>
          <w:sz w:val="16"/>
          <w:szCs w:val="16"/>
          <w:lang w:val="en-US"/>
        </w:rPr>
        <w:t xml:space="preserve">, paras. 31 and 32, and </w:t>
      </w:r>
      <w:r w:rsidRPr="00A50E4D">
        <w:rPr>
          <w:rStyle w:val="Strong"/>
          <w:b w:val="0"/>
          <w:i/>
          <w:color w:val="000000"/>
          <w:sz w:val="16"/>
          <w:szCs w:val="16"/>
          <w:shd w:val="clear" w:color="auto" w:fill="FFFFFF"/>
          <w:lang w:val="en-US"/>
        </w:rPr>
        <w:t>Case of Granier et al. (Radio Caracas Televisión) v. Venezuela, supra</w:t>
      </w:r>
      <w:r w:rsidRPr="00A50E4D">
        <w:rPr>
          <w:rStyle w:val="Strong"/>
          <w:b w:val="0"/>
          <w:color w:val="000000"/>
          <w:sz w:val="16"/>
          <w:szCs w:val="16"/>
          <w:shd w:val="clear" w:color="auto" w:fill="FFFFFF"/>
          <w:lang w:val="en-US"/>
        </w:rPr>
        <w:t>, para. 135.</w:t>
      </w:r>
    </w:p>
  </w:footnote>
  <w:footnote w:id="308">
    <w:p w14:paraId="47A618AA" w14:textId="27DD0225" w:rsidR="007353B6" w:rsidRPr="00A50E4D" w:rsidRDefault="007353B6" w:rsidP="006F7559">
      <w:pPr>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i/>
          <w:sz w:val="16"/>
          <w:szCs w:val="16"/>
          <w:lang w:val="en-US"/>
        </w:rPr>
        <w:t>Case of “The Last Temptation of Christ” (Olmedo Bustos et al.) v. Chile, supra</w:t>
      </w:r>
      <w:r w:rsidRPr="00A50E4D">
        <w:rPr>
          <w:sz w:val="16"/>
          <w:szCs w:val="16"/>
          <w:lang w:val="en-US"/>
        </w:rPr>
        <w:t xml:space="preserve">, para. </w:t>
      </w:r>
      <w:r w:rsidRPr="00F25627">
        <w:rPr>
          <w:sz w:val="16"/>
          <w:szCs w:val="16"/>
          <w:lang w:val="es-CR"/>
        </w:rPr>
        <w:t xml:space="preserve">67, and </w:t>
      </w:r>
      <w:r w:rsidRPr="00F25627">
        <w:rPr>
          <w:rStyle w:val="Strong"/>
          <w:b w:val="0"/>
          <w:i/>
          <w:color w:val="000000"/>
          <w:sz w:val="16"/>
          <w:szCs w:val="16"/>
          <w:shd w:val="clear" w:color="auto" w:fill="FFFFFF"/>
          <w:lang w:val="es-CR"/>
        </w:rPr>
        <w:t>Case of Granier et al. (Radio Caracas Televisión) v. Venezuela, supra</w:t>
      </w:r>
      <w:r w:rsidRPr="00F25627">
        <w:rPr>
          <w:rStyle w:val="Strong"/>
          <w:b w:val="0"/>
          <w:color w:val="000000"/>
          <w:sz w:val="16"/>
          <w:szCs w:val="16"/>
          <w:shd w:val="clear" w:color="auto" w:fill="FFFFFF"/>
          <w:lang w:val="es-CR"/>
        </w:rPr>
        <w:t xml:space="preserve">, para. </w:t>
      </w:r>
      <w:r w:rsidRPr="00A50E4D">
        <w:rPr>
          <w:rStyle w:val="Strong"/>
          <w:b w:val="0"/>
          <w:color w:val="000000"/>
          <w:sz w:val="16"/>
          <w:szCs w:val="16"/>
          <w:shd w:val="clear" w:color="auto" w:fill="FFFFFF"/>
          <w:lang w:val="en-US"/>
        </w:rPr>
        <w:t>135.</w:t>
      </w:r>
    </w:p>
  </w:footnote>
  <w:footnote w:id="309">
    <w:p w14:paraId="4A0D157D" w14:textId="1DE7DFCF"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i/>
          <w:lang w:val="en-US"/>
        </w:rPr>
        <w:t>Case of “The Last Temptation of Christ” (Olmedo Bustos et al.) v. Chile, supra</w:t>
      </w:r>
      <w:r w:rsidRPr="00A50E4D">
        <w:rPr>
          <w:lang w:val="en-US"/>
        </w:rPr>
        <w:t xml:space="preserve">, para. </w:t>
      </w:r>
      <w:r w:rsidRPr="00F25627">
        <w:rPr>
          <w:lang w:val="es-CR"/>
        </w:rPr>
        <w:t xml:space="preserve">66, and </w:t>
      </w:r>
      <w:r w:rsidRPr="00F25627">
        <w:rPr>
          <w:rStyle w:val="Strong"/>
          <w:b w:val="0"/>
          <w:i/>
          <w:color w:val="000000"/>
          <w:shd w:val="clear" w:color="auto" w:fill="FFFFFF"/>
          <w:lang w:val="es-CR"/>
        </w:rPr>
        <w:t>Case of Granier et al. (Radio Caracas Televisión) v. Venezuela, supra</w:t>
      </w:r>
      <w:r w:rsidRPr="00F25627">
        <w:rPr>
          <w:rStyle w:val="Strong"/>
          <w:b w:val="0"/>
          <w:color w:val="000000"/>
          <w:shd w:val="clear" w:color="auto" w:fill="FFFFFF"/>
          <w:lang w:val="es-CR"/>
        </w:rPr>
        <w:t xml:space="preserve">, para. </w:t>
      </w:r>
      <w:r w:rsidRPr="00A50E4D">
        <w:rPr>
          <w:rStyle w:val="Strong"/>
          <w:b w:val="0"/>
          <w:color w:val="000000"/>
          <w:shd w:val="clear" w:color="auto" w:fill="FFFFFF"/>
          <w:lang w:val="en-US"/>
        </w:rPr>
        <w:t>136.</w:t>
      </w:r>
    </w:p>
  </w:footnote>
  <w:footnote w:id="310">
    <w:p w14:paraId="72FE2D2E" w14:textId="787AF49F" w:rsidR="007353B6" w:rsidRPr="00A50E4D" w:rsidRDefault="007353B6" w:rsidP="006F7559">
      <w:pPr>
        <w:pStyle w:val="FootnoteText"/>
        <w:tabs>
          <w:tab w:val="left" w:pos="450"/>
        </w:tabs>
        <w:spacing w:before="120" w:after="120"/>
        <w:rPr>
          <w:spacing w:val="-4"/>
          <w:lang w:val="en-US"/>
        </w:rPr>
      </w:pPr>
      <w:r w:rsidRPr="00A50E4D">
        <w:rPr>
          <w:rStyle w:val="FootnoteReference"/>
          <w:rFonts w:eastAsiaTheme="majorEastAsia"/>
          <w:spacing w:val="-4"/>
          <w:lang w:val="en-US"/>
        </w:rPr>
        <w:footnoteRef/>
      </w:r>
      <w:r w:rsidRPr="00A50E4D">
        <w:rPr>
          <w:spacing w:val="-4"/>
          <w:lang w:val="en-US"/>
        </w:rPr>
        <w:t xml:space="preserve"> </w:t>
      </w:r>
      <w:r w:rsidRPr="00A50E4D">
        <w:rPr>
          <w:spacing w:val="-4"/>
          <w:lang w:val="en-US"/>
        </w:rPr>
        <w:tab/>
      </w:r>
      <w:r w:rsidRPr="00A50E4D">
        <w:rPr>
          <w:i/>
          <w:spacing w:val="-4"/>
          <w:lang w:val="en-US"/>
        </w:rPr>
        <w:t>Cf.</w:t>
      </w:r>
      <w:r w:rsidRPr="00A50E4D">
        <w:rPr>
          <w:spacing w:val="-4"/>
          <w:lang w:val="en-US"/>
        </w:rPr>
        <w:t xml:space="preserve"> </w:t>
      </w:r>
      <w:r w:rsidRPr="00A50E4D">
        <w:rPr>
          <w:i/>
          <w:spacing w:val="-4"/>
          <w:lang w:val="en-US"/>
        </w:rPr>
        <w:t>Compulsory Membership in an Association Prescribed by Law for the Practice of Journalism (Arts. 13 and 29 American Convention on Human Rights), supra</w:t>
      </w:r>
      <w:r w:rsidRPr="00A50E4D">
        <w:rPr>
          <w:spacing w:val="-4"/>
          <w:lang w:val="en-US"/>
        </w:rPr>
        <w:t xml:space="preserve">, para. </w:t>
      </w:r>
      <w:r w:rsidRPr="00F25627">
        <w:rPr>
          <w:spacing w:val="-4"/>
          <w:lang w:val="es-CR"/>
        </w:rPr>
        <w:t xml:space="preserve">30, and </w:t>
      </w:r>
      <w:r w:rsidRPr="00F25627">
        <w:rPr>
          <w:rStyle w:val="Strong"/>
          <w:b w:val="0"/>
          <w:i/>
          <w:color w:val="000000"/>
          <w:shd w:val="clear" w:color="auto" w:fill="FFFFFF"/>
          <w:lang w:val="es-CR"/>
        </w:rPr>
        <w:t>Case of Granier et al. (Radio Caracas Televisión) v. Venezuela, supra</w:t>
      </w:r>
      <w:r w:rsidRPr="00F25627">
        <w:rPr>
          <w:rStyle w:val="Strong"/>
          <w:b w:val="0"/>
          <w:color w:val="000000"/>
          <w:shd w:val="clear" w:color="auto" w:fill="FFFFFF"/>
          <w:lang w:val="es-CR"/>
        </w:rPr>
        <w:t xml:space="preserve">, para. </w:t>
      </w:r>
      <w:r w:rsidRPr="00A50E4D">
        <w:rPr>
          <w:rStyle w:val="Strong"/>
          <w:b w:val="0"/>
          <w:color w:val="000000"/>
          <w:shd w:val="clear" w:color="auto" w:fill="FFFFFF"/>
          <w:lang w:val="en-US"/>
        </w:rPr>
        <w:t>136</w:t>
      </w:r>
      <w:r w:rsidRPr="00A50E4D">
        <w:rPr>
          <w:spacing w:val="-4"/>
          <w:lang w:val="en-US"/>
        </w:rPr>
        <w:t>.</w:t>
      </w:r>
    </w:p>
  </w:footnote>
  <w:footnote w:id="311">
    <w:p w14:paraId="1C183693" w14:textId="696921D9" w:rsidR="007353B6" w:rsidRPr="00A50E4D" w:rsidRDefault="007353B6" w:rsidP="006F7559">
      <w:pPr>
        <w:tabs>
          <w:tab w:val="left" w:pos="450"/>
          <w:tab w:val="left" w:pos="567"/>
        </w:tabs>
        <w:spacing w:before="120" w:after="120"/>
        <w:rPr>
          <w:rFonts w:cs="Arial"/>
          <w:b/>
          <w:bCs/>
          <w:color w:val="000000" w:themeColor="text1"/>
          <w:spacing w:val="-4"/>
          <w:sz w:val="16"/>
          <w:szCs w:val="16"/>
          <w:shd w:val="clear" w:color="auto" w:fill="C1C0C0"/>
          <w:lang w:val="en-US"/>
        </w:rPr>
      </w:pPr>
      <w:r w:rsidRPr="00A50E4D">
        <w:rPr>
          <w:rStyle w:val="FootnoteReference"/>
          <w:color w:val="000000" w:themeColor="text1"/>
          <w:spacing w:val="-4"/>
          <w:lang w:val="en-US"/>
        </w:rPr>
        <w:footnoteRef/>
      </w:r>
      <w:r w:rsidRPr="00A50E4D">
        <w:rPr>
          <w:color w:val="000000" w:themeColor="text1"/>
          <w:spacing w:val="-4"/>
          <w:sz w:val="16"/>
          <w:szCs w:val="16"/>
          <w:lang w:val="en-US"/>
        </w:rPr>
        <w:t xml:space="preserve"> </w:t>
      </w:r>
      <w:r w:rsidRPr="00A50E4D">
        <w:rPr>
          <w:color w:val="000000" w:themeColor="text1"/>
          <w:spacing w:val="-4"/>
          <w:sz w:val="16"/>
          <w:szCs w:val="16"/>
          <w:lang w:val="en-US"/>
        </w:rPr>
        <w:tab/>
      </w:r>
      <w:r w:rsidRPr="00A50E4D">
        <w:rPr>
          <w:i/>
          <w:color w:val="000000" w:themeColor="text1"/>
          <w:spacing w:val="-4"/>
          <w:sz w:val="16"/>
          <w:szCs w:val="16"/>
          <w:lang w:val="en-US"/>
        </w:rPr>
        <w:t xml:space="preserve">Cf. </w:t>
      </w:r>
      <w:r w:rsidRPr="00A50E4D">
        <w:rPr>
          <w:color w:val="000000" w:themeColor="text1"/>
          <w:spacing w:val="-4"/>
          <w:sz w:val="16"/>
          <w:szCs w:val="16"/>
          <w:lang w:val="en-US"/>
        </w:rPr>
        <w:t xml:space="preserve">ECHR, </w:t>
      </w:r>
      <w:r w:rsidRPr="00A50E4D">
        <w:rPr>
          <w:rFonts w:cs="Arial"/>
          <w:i/>
          <w:iCs/>
          <w:color w:val="000000" w:themeColor="text1"/>
          <w:spacing w:val="-4"/>
          <w:sz w:val="16"/>
          <w:szCs w:val="16"/>
          <w:shd w:val="clear" w:color="auto" w:fill="FFFFFF"/>
          <w:lang w:val="en-US"/>
        </w:rPr>
        <w:t xml:space="preserve">Case of Djavit An v. Turkey, </w:t>
      </w:r>
      <w:r w:rsidRPr="00A50E4D">
        <w:rPr>
          <w:rFonts w:cs="Arial"/>
          <w:iCs/>
          <w:color w:val="000000" w:themeColor="text1"/>
          <w:spacing w:val="-4"/>
          <w:sz w:val="16"/>
          <w:szCs w:val="16"/>
          <w:shd w:val="clear" w:color="auto" w:fill="FFFFFF"/>
          <w:lang w:val="en-US"/>
        </w:rPr>
        <w:t xml:space="preserve">No, 20652/92. Judgment of February 20, 2003, para. 56, and </w:t>
      </w:r>
      <w:r w:rsidRPr="00A50E4D">
        <w:rPr>
          <w:rFonts w:cs="Arial"/>
          <w:i/>
          <w:iCs/>
          <w:color w:val="000000" w:themeColor="text1"/>
          <w:spacing w:val="-4"/>
          <w:sz w:val="16"/>
          <w:szCs w:val="16"/>
          <w:shd w:val="clear" w:color="auto" w:fill="FFFFFF"/>
          <w:lang w:val="en-US"/>
        </w:rPr>
        <w:t>Case of Yilmaz Yildiz et al. v. Turkey</w:t>
      </w:r>
      <w:r w:rsidRPr="00A50E4D">
        <w:rPr>
          <w:rFonts w:cs="Arial"/>
          <w:iCs/>
          <w:color w:val="000000" w:themeColor="text1"/>
          <w:spacing w:val="-4"/>
          <w:sz w:val="16"/>
          <w:szCs w:val="16"/>
          <w:shd w:val="clear" w:color="auto" w:fill="FFFFFF"/>
          <w:lang w:val="en-US"/>
        </w:rPr>
        <w:t>, No.</w:t>
      </w:r>
      <w:r w:rsidRPr="00A50E4D">
        <w:rPr>
          <w:rStyle w:val="apple-converted-space"/>
          <w:rFonts w:cs="Arial"/>
          <w:iCs/>
          <w:color w:val="000000" w:themeColor="text1"/>
          <w:sz w:val="16"/>
          <w:szCs w:val="16"/>
          <w:shd w:val="clear" w:color="auto" w:fill="FFFFFF"/>
          <w:lang w:val="en-US"/>
        </w:rPr>
        <w:t> </w:t>
      </w:r>
      <w:hyperlink r:id="rId36" w:anchor="{&quot;appno&quot;:[&quot;4524/06&quot;]}" w:tgtFrame="_blank" w:history="1">
        <w:r w:rsidRPr="00A50E4D">
          <w:rPr>
            <w:rStyle w:val="Hyperlink"/>
            <w:rFonts w:cs="Arial"/>
            <w:iCs/>
            <w:color w:val="000000" w:themeColor="text1"/>
            <w:spacing w:val="-4"/>
            <w:sz w:val="16"/>
            <w:szCs w:val="16"/>
            <w:u w:val="none"/>
            <w:shd w:val="clear" w:color="auto" w:fill="FFFFFF"/>
            <w:lang w:val="en-US"/>
          </w:rPr>
          <w:t>4524/06</w:t>
        </w:r>
      </w:hyperlink>
      <w:r w:rsidRPr="00A50E4D">
        <w:rPr>
          <w:rFonts w:cs="Arial"/>
          <w:iCs/>
          <w:color w:val="000000" w:themeColor="text1"/>
          <w:spacing w:val="-4"/>
          <w:sz w:val="16"/>
          <w:szCs w:val="16"/>
          <w:shd w:val="clear" w:color="auto" w:fill="FFFFFF"/>
          <w:lang w:val="en-US"/>
        </w:rPr>
        <w:t>. Judgment of October 14, 2014, para. 41.</w:t>
      </w:r>
    </w:p>
  </w:footnote>
  <w:footnote w:id="312">
    <w:p w14:paraId="67F2586D" w14:textId="0FDFC36C" w:rsidR="007353B6" w:rsidRPr="00A50E4D" w:rsidRDefault="007353B6" w:rsidP="006F7559">
      <w:pPr>
        <w:tabs>
          <w:tab w:val="left" w:pos="450"/>
          <w:tab w:val="left" w:pos="567"/>
        </w:tabs>
        <w:spacing w:before="120" w:after="120"/>
        <w:rPr>
          <w:rFonts w:cs="Arial"/>
          <w:b/>
          <w:bCs/>
          <w:color w:val="000000" w:themeColor="text1"/>
          <w:spacing w:val="-4"/>
          <w:sz w:val="16"/>
          <w:szCs w:val="16"/>
          <w:shd w:val="clear" w:color="auto" w:fill="C1C0C0"/>
          <w:lang w:val="en-US"/>
        </w:rPr>
      </w:pPr>
      <w:r w:rsidRPr="00A50E4D">
        <w:rPr>
          <w:rStyle w:val="FootnoteReference"/>
          <w:color w:val="000000" w:themeColor="text1"/>
          <w:spacing w:val="-4"/>
          <w:lang w:val="en-US"/>
        </w:rPr>
        <w:footnoteRef/>
      </w:r>
      <w:r w:rsidRPr="00A50E4D">
        <w:rPr>
          <w:color w:val="000000" w:themeColor="text1"/>
          <w:spacing w:val="-4"/>
          <w:sz w:val="16"/>
          <w:szCs w:val="16"/>
          <w:lang w:val="en-US"/>
        </w:rPr>
        <w:t xml:space="preserve"> </w:t>
      </w:r>
      <w:r w:rsidRPr="00A50E4D">
        <w:rPr>
          <w:color w:val="000000" w:themeColor="text1"/>
          <w:spacing w:val="-4"/>
          <w:sz w:val="16"/>
          <w:szCs w:val="16"/>
          <w:lang w:val="en-US"/>
        </w:rPr>
        <w:tab/>
      </w:r>
      <w:r w:rsidRPr="00A50E4D">
        <w:rPr>
          <w:i/>
          <w:color w:val="000000" w:themeColor="text1"/>
          <w:spacing w:val="-4"/>
          <w:sz w:val="16"/>
          <w:szCs w:val="16"/>
          <w:lang w:val="en-US"/>
        </w:rPr>
        <w:t xml:space="preserve">Cf. </w:t>
      </w:r>
      <w:r w:rsidRPr="00A50E4D">
        <w:rPr>
          <w:color w:val="000000" w:themeColor="text1"/>
          <w:spacing w:val="-4"/>
          <w:sz w:val="16"/>
          <w:szCs w:val="16"/>
          <w:lang w:val="en-US"/>
        </w:rPr>
        <w:t xml:space="preserve">United Nations, </w:t>
      </w:r>
      <w:r w:rsidRPr="00A50E4D">
        <w:rPr>
          <w:spacing w:val="-4"/>
          <w:sz w:val="16"/>
          <w:szCs w:val="16"/>
          <w:lang w:val="en-US"/>
        </w:rPr>
        <w:t>Resolution of the Human Rights Council on the promotion and protection of human rights in the context of peaceful protests. A/HRC/RES/19/35, March 23, 2012; Resolution of the Human Rights Council on the promotion and protection of human rights in the context of peaceful protests. A/HRC/RES/22/10, March 21, 2013, and Resolution of the Human Rights Council on the promotion and protection of human rights in the context of peaceful protests. A/HRC/25/L.20, March 24, 2014.</w:t>
      </w:r>
    </w:p>
  </w:footnote>
  <w:footnote w:id="313">
    <w:p w14:paraId="5737422F" w14:textId="1327E12C" w:rsidR="007353B6" w:rsidRPr="00A50E4D" w:rsidRDefault="007353B6" w:rsidP="006F7559">
      <w:pPr>
        <w:tabs>
          <w:tab w:val="left" w:pos="450"/>
          <w:tab w:val="left" w:pos="567"/>
        </w:tabs>
        <w:spacing w:before="120" w:after="120"/>
        <w:rPr>
          <w:rFonts w:cs="Arial"/>
          <w:b/>
          <w:bCs/>
          <w:color w:val="000000" w:themeColor="text1"/>
          <w:spacing w:val="-4"/>
          <w:sz w:val="16"/>
          <w:szCs w:val="16"/>
          <w:shd w:val="clear" w:color="auto" w:fill="C1C0C0"/>
          <w:lang w:val="en-US"/>
        </w:rPr>
      </w:pPr>
      <w:r w:rsidRPr="00A50E4D">
        <w:rPr>
          <w:rStyle w:val="FootnoteReference"/>
          <w:color w:val="000000" w:themeColor="text1"/>
          <w:spacing w:val="-4"/>
          <w:lang w:val="en-US"/>
        </w:rPr>
        <w:footnoteRef/>
      </w:r>
      <w:r w:rsidRPr="00A50E4D">
        <w:rPr>
          <w:color w:val="000000" w:themeColor="text1"/>
          <w:spacing w:val="-4"/>
          <w:sz w:val="16"/>
          <w:szCs w:val="16"/>
          <w:lang w:val="en-US"/>
        </w:rPr>
        <w:t xml:space="preserve"> </w:t>
      </w:r>
      <w:r w:rsidRPr="00A50E4D">
        <w:rPr>
          <w:color w:val="000000" w:themeColor="text1"/>
          <w:spacing w:val="-4"/>
          <w:sz w:val="16"/>
          <w:szCs w:val="16"/>
          <w:lang w:val="en-US"/>
        </w:rPr>
        <w:tab/>
      </w:r>
      <w:r w:rsidRPr="00A50E4D">
        <w:rPr>
          <w:i/>
          <w:color w:val="000000" w:themeColor="text1"/>
          <w:spacing w:val="-4"/>
          <w:sz w:val="16"/>
          <w:szCs w:val="16"/>
          <w:lang w:val="en-US"/>
        </w:rPr>
        <w:t xml:space="preserve">Cf. </w:t>
      </w:r>
      <w:r w:rsidRPr="00A50E4D">
        <w:rPr>
          <w:color w:val="000000" w:themeColor="text1"/>
          <w:spacing w:val="-4"/>
          <w:sz w:val="16"/>
          <w:szCs w:val="16"/>
          <w:lang w:val="en-US"/>
        </w:rPr>
        <w:t xml:space="preserve">ECHR, </w:t>
      </w:r>
      <w:r w:rsidRPr="00A50E4D">
        <w:rPr>
          <w:rFonts w:cs="Arial"/>
          <w:i/>
          <w:iCs/>
          <w:color w:val="000000" w:themeColor="text1"/>
          <w:spacing w:val="-4"/>
          <w:sz w:val="16"/>
          <w:szCs w:val="16"/>
          <w:shd w:val="clear" w:color="auto" w:fill="FFFFFF"/>
          <w:lang w:val="en-US"/>
        </w:rPr>
        <w:t xml:space="preserve">Case of Djavit An v. Turkey, </w:t>
      </w:r>
      <w:r w:rsidRPr="00A50E4D">
        <w:rPr>
          <w:rFonts w:cs="Arial"/>
          <w:iCs/>
          <w:color w:val="000000" w:themeColor="text1"/>
          <w:spacing w:val="-4"/>
          <w:sz w:val="16"/>
          <w:szCs w:val="16"/>
          <w:shd w:val="clear" w:color="auto" w:fill="FFFFFF"/>
          <w:lang w:val="en-US"/>
        </w:rPr>
        <w:t xml:space="preserve">No, 20652/92. Judgment of February 20, 2003, para. 56, and </w:t>
      </w:r>
      <w:r w:rsidRPr="00A50E4D">
        <w:rPr>
          <w:rFonts w:cs="Arial"/>
          <w:i/>
          <w:iCs/>
          <w:color w:val="000000" w:themeColor="text1"/>
          <w:spacing w:val="-4"/>
          <w:sz w:val="16"/>
          <w:szCs w:val="16"/>
          <w:shd w:val="clear" w:color="auto" w:fill="FFFFFF"/>
          <w:lang w:val="en-US"/>
        </w:rPr>
        <w:t>Case of Yilmaz Yildiz et al. v. Turkey</w:t>
      </w:r>
      <w:r w:rsidRPr="00A50E4D">
        <w:rPr>
          <w:rFonts w:cs="Arial"/>
          <w:iCs/>
          <w:color w:val="000000" w:themeColor="text1"/>
          <w:spacing w:val="-4"/>
          <w:sz w:val="16"/>
          <w:szCs w:val="16"/>
          <w:shd w:val="clear" w:color="auto" w:fill="FFFFFF"/>
          <w:lang w:val="en-US"/>
        </w:rPr>
        <w:t>, No.</w:t>
      </w:r>
      <w:r w:rsidRPr="00A50E4D">
        <w:rPr>
          <w:rStyle w:val="apple-converted-space"/>
          <w:rFonts w:cs="Arial"/>
          <w:iCs/>
          <w:color w:val="000000" w:themeColor="text1"/>
          <w:sz w:val="16"/>
          <w:szCs w:val="16"/>
          <w:shd w:val="clear" w:color="auto" w:fill="FFFFFF"/>
          <w:lang w:val="en-US"/>
        </w:rPr>
        <w:t> </w:t>
      </w:r>
      <w:hyperlink r:id="rId37" w:anchor="{&quot;appno&quot;:[&quot;4524/06&quot;]}" w:tgtFrame="_blank" w:history="1">
        <w:r w:rsidRPr="00A50E4D">
          <w:rPr>
            <w:rStyle w:val="Hyperlink"/>
            <w:rFonts w:cs="Arial"/>
            <w:iCs/>
            <w:color w:val="000000" w:themeColor="text1"/>
            <w:spacing w:val="-4"/>
            <w:sz w:val="16"/>
            <w:szCs w:val="16"/>
            <w:u w:val="none"/>
            <w:shd w:val="clear" w:color="auto" w:fill="FFFFFF"/>
            <w:lang w:val="en-US"/>
          </w:rPr>
          <w:t>4524/06</w:t>
        </w:r>
      </w:hyperlink>
      <w:r w:rsidRPr="00A50E4D">
        <w:rPr>
          <w:rFonts w:cs="Arial"/>
          <w:iCs/>
          <w:color w:val="000000" w:themeColor="text1"/>
          <w:spacing w:val="-4"/>
          <w:sz w:val="16"/>
          <w:szCs w:val="16"/>
          <w:shd w:val="clear" w:color="auto" w:fill="FFFFFF"/>
          <w:lang w:val="en-US"/>
        </w:rPr>
        <w:t>. Judgment of October 14, 2014, para. 41.</w:t>
      </w:r>
    </w:p>
  </w:footnote>
  <w:footnote w:id="314">
    <w:p w14:paraId="7DF2F730" w14:textId="12D62ECB" w:rsidR="007353B6" w:rsidRPr="00A50E4D" w:rsidRDefault="007353B6" w:rsidP="006F7559">
      <w:pPr>
        <w:tabs>
          <w:tab w:val="left" w:pos="450"/>
          <w:tab w:val="left" w:pos="567"/>
        </w:tabs>
        <w:spacing w:before="120" w:after="120"/>
        <w:rPr>
          <w:rFonts w:cs="Arial"/>
          <w:b/>
          <w:bCs/>
          <w:color w:val="000000" w:themeColor="text1"/>
          <w:spacing w:val="-4"/>
          <w:sz w:val="16"/>
          <w:szCs w:val="16"/>
          <w:shd w:val="clear" w:color="auto" w:fill="C1C0C0"/>
          <w:lang w:val="en-US"/>
        </w:rPr>
      </w:pPr>
      <w:r w:rsidRPr="00A50E4D">
        <w:rPr>
          <w:rStyle w:val="FootnoteReference"/>
          <w:color w:val="000000" w:themeColor="text1"/>
          <w:spacing w:val="-4"/>
          <w:lang w:val="en-US"/>
        </w:rPr>
        <w:footnoteRef/>
      </w:r>
      <w:r w:rsidRPr="00A50E4D">
        <w:rPr>
          <w:color w:val="000000" w:themeColor="text1"/>
          <w:spacing w:val="-4"/>
          <w:sz w:val="16"/>
          <w:szCs w:val="16"/>
          <w:lang w:val="en-US"/>
        </w:rPr>
        <w:t xml:space="preserve"> </w:t>
      </w:r>
      <w:r w:rsidRPr="00A50E4D">
        <w:rPr>
          <w:color w:val="000000" w:themeColor="text1"/>
          <w:spacing w:val="-4"/>
          <w:sz w:val="16"/>
          <w:szCs w:val="16"/>
          <w:lang w:val="en-US"/>
        </w:rPr>
        <w:tab/>
      </w:r>
      <w:r w:rsidRPr="00A50E4D">
        <w:rPr>
          <w:i/>
          <w:color w:val="000000" w:themeColor="text1"/>
          <w:spacing w:val="-4"/>
          <w:sz w:val="16"/>
          <w:szCs w:val="16"/>
          <w:lang w:val="en-US"/>
        </w:rPr>
        <w:t xml:space="preserve">Cf. </w:t>
      </w:r>
      <w:r w:rsidRPr="00A50E4D">
        <w:rPr>
          <w:color w:val="000000" w:themeColor="text1"/>
          <w:spacing w:val="-4"/>
          <w:sz w:val="16"/>
          <w:szCs w:val="16"/>
          <w:lang w:val="en-US"/>
        </w:rPr>
        <w:t xml:space="preserve">ECHR, </w:t>
      </w:r>
      <w:r w:rsidRPr="00A50E4D">
        <w:rPr>
          <w:i/>
          <w:color w:val="000000" w:themeColor="text1"/>
          <w:spacing w:val="-4"/>
          <w:sz w:val="16"/>
          <w:szCs w:val="16"/>
          <w:lang w:val="en-US"/>
        </w:rPr>
        <w:t xml:space="preserve">Case of Ezelin v. France, </w:t>
      </w:r>
      <w:r w:rsidRPr="00A50E4D">
        <w:rPr>
          <w:color w:val="000000" w:themeColor="text1"/>
          <w:spacing w:val="-4"/>
          <w:sz w:val="16"/>
          <w:szCs w:val="16"/>
          <w:lang w:val="en-US"/>
        </w:rPr>
        <w:t xml:space="preserve">No. 11800/85. Judgment of April 26, 1991, para. 53, and </w:t>
      </w:r>
      <w:r w:rsidRPr="00A50E4D">
        <w:rPr>
          <w:rFonts w:cs="Arial"/>
          <w:i/>
          <w:iCs/>
          <w:color w:val="000000" w:themeColor="text1"/>
          <w:spacing w:val="-4"/>
          <w:sz w:val="16"/>
          <w:szCs w:val="16"/>
          <w:shd w:val="clear" w:color="auto" w:fill="FFFFFF"/>
          <w:lang w:val="en-US"/>
        </w:rPr>
        <w:t>Case of Yilmaz Yildiz et al. v. Turkey</w:t>
      </w:r>
      <w:r w:rsidRPr="00A50E4D">
        <w:rPr>
          <w:rFonts w:cs="Arial"/>
          <w:iCs/>
          <w:color w:val="000000" w:themeColor="text1"/>
          <w:spacing w:val="-4"/>
          <w:sz w:val="16"/>
          <w:szCs w:val="16"/>
          <w:shd w:val="clear" w:color="auto" w:fill="FFFFFF"/>
          <w:lang w:val="en-US"/>
        </w:rPr>
        <w:t>, No.</w:t>
      </w:r>
      <w:r w:rsidRPr="00A50E4D">
        <w:rPr>
          <w:rStyle w:val="apple-converted-space"/>
          <w:rFonts w:cs="Arial"/>
          <w:iCs/>
          <w:color w:val="000000" w:themeColor="text1"/>
          <w:sz w:val="16"/>
          <w:szCs w:val="16"/>
          <w:shd w:val="clear" w:color="auto" w:fill="FFFFFF"/>
          <w:lang w:val="en-US"/>
        </w:rPr>
        <w:t> </w:t>
      </w:r>
      <w:hyperlink r:id="rId38" w:anchor="{&quot;appno&quot;:[&quot;4524/06&quot;]}" w:tgtFrame="_blank" w:history="1">
        <w:r w:rsidRPr="00A50E4D">
          <w:rPr>
            <w:rStyle w:val="Hyperlink"/>
            <w:rFonts w:cs="Arial"/>
            <w:iCs/>
            <w:color w:val="000000" w:themeColor="text1"/>
            <w:spacing w:val="-4"/>
            <w:sz w:val="16"/>
            <w:szCs w:val="16"/>
            <w:u w:val="none"/>
            <w:shd w:val="clear" w:color="auto" w:fill="FFFFFF"/>
            <w:lang w:val="en-US"/>
          </w:rPr>
          <w:t>4524/06</w:t>
        </w:r>
      </w:hyperlink>
      <w:r w:rsidRPr="00A50E4D">
        <w:rPr>
          <w:rFonts w:cs="Arial"/>
          <w:iCs/>
          <w:color w:val="000000" w:themeColor="text1"/>
          <w:spacing w:val="-4"/>
          <w:sz w:val="16"/>
          <w:szCs w:val="16"/>
          <w:shd w:val="clear" w:color="auto" w:fill="FFFFFF"/>
          <w:lang w:val="en-US"/>
        </w:rPr>
        <w:t>. Judgment of October 14, 2014, para. 41.</w:t>
      </w:r>
    </w:p>
  </w:footnote>
  <w:footnote w:id="315">
    <w:p w14:paraId="6D01DEC7" w14:textId="46567DA9"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Cf. The Word “Laws” in Article 30 of the American Convention on Human Rights, supra</w:t>
      </w:r>
      <w:r w:rsidRPr="00A50E4D">
        <w:rPr>
          <w:spacing w:val="-4"/>
          <w:lang w:val="en-US"/>
        </w:rPr>
        <w:t xml:space="preserve">, paras. 35 and 37, and </w:t>
      </w:r>
      <w:r w:rsidRPr="00A50E4D">
        <w:rPr>
          <w:bCs/>
          <w:i/>
          <w:spacing w:val="-4"/>
          <w:lang w:val="en-US"/>
        </w:rPr>
        <w:t>Case of Artavia Murillo et al. (In vitro fertilization) v. Costa Rica. Preliminary objections, merits, reparations and costs</w:t>
      </w:r>
      <w:r w:rsidRPr="00A50E4D">
        <w:rPr>
          <w:bCs/>
          <w:spacing w:val="-4"/>
          <w:lang w:val="en-US"/>
        </w:rPr>
        <w:t>. Judgment of November 28, 2012. Series C No. 257, para. 273.</w:t>
      </w:r>
      <w:r w:rsidRPr="00A50E4D">
        <w:rPr>
          <w:i/>
          <w:spacing w:val="-4"/>
          <w:lang w:val="en-US"/>
        </w:rPr>
        <w:t xml:space="preserve"> </w:t>
      </w:r>
      <w:r w:rsidRPr="00A50E4D">
        <w:rPr>
          <w:spacing w:val="-4"/>
          <w:lang w:val="en-US"/>
        </w:rPr>
        <w:t xml:space="preserve">See also, on the right to freedom of expression: </w:t>
      </w:r>
      <w:r w:rsidRPr="00A50E4D">
        <w:rPr>
          <w:i/>
          <w:spacing w:val="-4"/>
          <w:lang w:val="en-US"/>
        </w:rPr>
        <w:t>Case of Herrera Ulloa v. Costa Rica, supra</w:t>
      </w:r>
      <w:r w:rsidRPr="00A50E4D">
        <w:rPr>
          <w:spacing w:val="-4"/>
          <w:lang w:val="en-US"/>
        </w:rPr>
        <w:t xml:space="preserve">, para. 120; </w:t>
      </w:r>
      <w:r w:rsidRPr="00A50E4D">
        <w:rPr>
          <w:bCs/>
          <w:i/>
          <w:spacing w:val="-4"/>
          <w:lang w:val="en-US"/>
        </w:rPr>
        <w:t xml:space="preserve">Case of Fontevecchia and D’Amico v. Argentina. </w:t>
      </w:r>
      <w:r w:rsidRPr="00A50E4D">
        <w:rPr>
          <w:i/>
          <w:spacing w:val="-4"/>
          <w:lang w:val="en-US"/>
        </w:rPr>
        <w:t>Merits, reparations and costs.</w:t>
      </w:r>
      <w:r w:rsidRPr="00A50E4D">
        <w:rPr>
          <w:spacing w:val="-4"/>
          <w:lang w:val="en-US"/>
        </w:rPr>
        <w:t xml:space="preserve"> Judgment of November 29, 2011. Series C No. 238, para. 43, and </w:t>
      </w:r>
      <w:r w:rsidRPr="00A50E4D">
        <w:rPr>
          <w:rStyle w:val="Strong"/>
          <w:b w:val="0"/>
          <w:i/>
          <w:color w:val="000000"/>
          <w:shd w:val="clear" w:color="auto" w:fill="FFFFFF"/>
          <w:lang w:val="en-US"/>
        </w:rPr>
        <w:t>Case of Mémoli v. Argentina. Preliminary objections, merits, reparations and costs.</w:t>
      </w:r>
      <w:r w:rsidRPr="00A50E4D">
        <w:rPr>
          <w:rStyle w:val="Strong"/>
          <w:b w:val="0"/>
          <w:color w:val="000000"/>
          <w:shd w:val="clear" w:color="auto" w:fill="FFFFFF"/>
          <w:lang w:val="en-US"/>
        </w:rPr>
        <w:t xml:space="preserve"> Judgment of August 22, 2013. Series C No. 265, para. 127. And, on political rights: </w:t>
      </w:r>
      <w:r w:rsidRPr="00A50E4D">
        <w:rPr>
          <w:rStyle w:val="Strong"/>
          <w:b w:val="0"/>
          <w:i/>
          <w:color w:val="000000"/>
          <w:shd w:val="clear" w:color="auto" w:fill="FFFFFF"/>
          <w:lang w:val="en-US"/>
        </w:rPr>
        <w:t>Case of Yatama v. Nicaragua, supra</w:t>
      </w:r>
      <w:r w:rsidRPr="00A50E4D">
        <w:rPr>
          <w:rStyle w:val="Strong"/>
          <w:b w:val="0"/>
          <w:color w:val="000000"/>
          <w:shd w:val="clear" w:color="auto" w:fill="FFFFFF"/>
          <w:lang w:val="en-US"/>
        </w:rPr>
        <w:t xml:space="preserve">, para. </w:t>
      </w:r>
      <w:r w:rsidRPr="00F25627">
        <w:rPr>
          <w:rStyle w:val="Strong"/>
          <w:b w:val="0"/>
          <w:color w:val="000000"/>
          <w:shd w:val="clear" w:color="auto" w:fill="FFFFFF"/>
          <w:lang w:val="es-CR"/>
        </w:rPr>
        <w:t xml:space="preserve">206; </w:t>
      </w:r>
      <w:r w:rsidRPr="00F25627">
        <w:rPr>
          <w:rStyle w:val="Strong"/>
          <w:b w:val="0"/>
          <w:i/>
          <w:color w:val="000000"/>
          <w:shd w:val="clear" w:color="auto" w:fill="FFFFFF"/>
          <w:lang w:val="es-CR"/>
        </w:rPr>
        <w:t>Case of Castañeda Gutman v. Mexico, supra</w:t>
      </w:r>
      <w:r w:rsidRPr="00F25627">
        <w:rPr>
          <w:rStyle w:val="Strong"/>
          <w:b w:val="0"/>
          <w:color w:val="000000"/>
          <w:shd w:val="clear" w:color="auto" w:fill="FFFFFF"/>
          <w:lang w:val="es-CR"/>
        </w:rPr>
        <w:t xml:space="preserve">, para. 149, and </w:t>
      </w:r>
      <w:r w:rsidRPr="00F25627">
        <w:rPr>
          <w:rStyle w:val="Strong"/>
          <w:b w:val="0"/>
          <w:i/>
          <w:color w:val="000000"/>
          <w:shd w:val="clear" w:color="auto" w:fill="FFFFFF"/>
          <w:lang w:val="es-CR"/>
        </w:rPr>
        <w:t>Case of López Mendoza v. Venezuela, supra</w:t>
      </w:r>
      <w:r w:rsidRPr="00F25627">
        <w:rPr>
          <w:rStyle w:val="Strong"/>
          <w:b w:val="0"/>
          <w:color w:val="000000"/>
          <w:shd w:val="clear" w:color="auto" w:fill="FFFFFF"/>
          <w:lang w:val="es-CR"/>
        </w:rPr>
        <w:t xml:space="preserve">, para. </w:t>
      </w:r>
      <w:r w:rsidRPr="00A50E4D">
        <w:rPr>
          <w:rStyle w:val="Strong"/>
          <w:b w:val="0"/>
          <w:color w:val="000000"/>
          <w:shd w:val="clear" w:color="auto" w:fill="FFFFFF"/>
          <w:lang w:val="en-US"/>
        </w:rPr>
        <w:t>107.</w:t>
      </w:r>
    </w:p>
  </w:footnote>
  <w:footnote w:id="316">
    <w:p w14:paraId="7BCC5952" w14:textId="42A0208B"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i/>
          <w:spacing w:val="-4"/>
          <w:lang w:val="en-US"/>
        </w:rPr>
        <w:tab/>
      </w:r>
      <w:r w:rsidRPr="00A50E4D">
        <w:rPr>
          <w:spacing w:val="-4"/>
          <w:lang w:val="en-US"/>
        </w:rPr>
        <w:t xml:space="preserve">Regarding freedom of expression, see, </w:t>
      </w:r>
      <w:r w:rsidRPr="00A50E4D">
        <w:rPr>
          <w:bCs/>
          <w:i/>
          <w:spacing w:val="-4"/>
          <w:lang w:val="en-US"/>
        </w:rPr>
        <w:t>Compulsory Membership in an Association Prescribed by Law for the Practice of Journalism (Arts. 13 and 29 American Convention on Human Rights), supra</w:t>
      </w:r>
      <w:r w:rsidRPr="00A50E4D">
        <w:rPr>
          <w:bCs/>
          <w:spacing w:val="-4"/>
          <w:lang w:val="en-US"/>
        </w:rPr>
        <w:t xml:space="preserve">, paras. 81 and 84, and </w:t>
      </w:r>
      <w:r w:rsidRPr="00A50E4D">
        <w:rPr>
          <w:i/>
          <w:spacing w:val="-4"/>
          <w:lang w:val="en-US"/>
        </w:rPr>
        <w:t xml:space="preserve">Case of Tristán Donoso v. Panama. Preliminary objection, merits, reparations and costs. </w:t>
      </w:r>
      <w:r w:rsidRPr="00A50E4D">
        <w:rPr>
          <w:spacing w:val="-4"/>
          <w:lang w:val="en-US"/>
        </w:rPr>
        <w:t>Judgment of January 27, 2009. Series C No. 193, para. 114.</w:t>
      </w:r>
    </w:p>
  </w:footnote>
  <w:footnote w:id="317">
    <w:p w14:paraId="698BA7AE" w14:textId="3A6EEB2A" w:rsidR="007353B6" w:rsidRPr="00A50E4D" w:rsidRDefault="007353B6" w:rsidP="006F7559">
      <w:pPr>
        <w:pStyle w:val="FootnoteText"/>
        <w:tabs>
          <w:tab w:val="left" w:pos="450"/>
        </w:tabs>
        <w:spacing w:before="120" w:after="120"/>
        <w:rPr>
          <w:rFonts w:eastAsiaTheme="minorHAnsi" w:cs="Arial"/>
          <w:spacing w:val="-4"/>
          <w:lang w:val="en-US" w:eastAsia="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914F55">
        <w:rPr>
          <w:rFonts w:cs="Tahoma"/>
          <w:lang w:val="en-US"/>
        </w:rPr>
        <w:t xml:space="preserve">United Nations Basic Principles on the Independence of the Judiciary </w:t>
      </w:r>
      <w:r w:rsidRPr="00914F55">
        <w:rPr>
          <w:rFonts w:eastAsiaTheme="minorHAnsi" w:cs="Arial"/>
          <w:spacing w:val="-4"/>
          <w:lang w:val="en-US" w:eastAsia="en-US"/>
        </w:rPr>
        <w:t>(adopted by the Seventh United Nations Congress on the Prevention of Crime and the Treatment of Offenders held in Milan from 26 August to 6 September 1985 and endorsed by General Assembly resolutions 40/32 of 29 November 1985 and 40/146 of 13 December 1985, principle 8</w:t>
      </w:r>
      <w:r w:rsidRPr="00A50E4D">
        <w:rPr>
          <w:rFonts w:eastAsiaTheme="minorHAnsi" w:cs="Arial"/>
          <w:spacing w:val="-4"/>
          <w:lang w:val="en-US" w:eastAsia="en-US"/>
        </w:rPr>
        <w:t>.</w:t>
      </w:r>
    </w:p>
  </w:footnote>
  <w:footnote w:id="318">
    <w:p w14:paraId="2DACB905" w14:textId="5DF1166A"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914F55">
        <w:rPr>
          <w:lang w:val="en-US"/>
        </w:rPr>
        <w:t xml:space="preserve">Bangalore Principles of Judicial Conduct adopted by the Judicial Group on Strengthening Judicial Integrity, </w:t>
      </w:r>
      <w:r w:rsidRPr="00914F55">
        <w:rPr>
          <w:spacing w:val="-4"/>
          <w:lang w:val="en-US"/>
        </w:rPr>
        <w:t>as revised at the Round Table Meeting of Chief Justices held at the Peace Palace, The Hague, November 25 and 26, 2002</w:t>
      </w:r>
      <w:r w:rsidRPr="00914F55">
        <w:rPr>
          <w:rFonts w:eastAsiaTheme="minorHAnsi" w:cs="Arial"/>
          <w:spacing w:val="-4"/>
          <w:lang w:val="en-US" w:eastAsia="en-US"/>
        </w:rPr>
        <w:t>,</w:t>
      </w:r>
      <w:r w:rsidRPr="00A50E4D">
        <w:rPr>
          <w:rFonts w:eastAsiaTheme="minorHAnsi" w:cs="Arial"/>
          <w:spacing w:val="-4"/>
          <w:lang w:val="en-US" w:eastAsia="en-US"/>
        </w:rPr>
        <w:t xml:space="preserve"> para. 4.6.  </w:t>
      </w:r>
    </w:p>
  </w:footnote>
  <w:footnote w:id="319">
    <w:p w14:paraId="5642C37D" w14:textId="6382B475"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914F55">
        <w:rPr>
          <w:i/>
          <w:spacing w:val="-4"/>
          <w:lang w:val="en-US"/>
        </w:rPr>
        <w:t xml:space="preserve">Cf. </w:t>
      </w:r>
      <w:r w:rsidRPr="00914F55">
        <w:rPr>
          <w:spacing w:val="-4"/>
          <w:lang w:val="en-US"/>
        </w:rPr>
        <w:t xml:space="preserve">ECHR, </w:t>
      </w:r>
      <w:r w:rsidRPr="00914F55">
        <w:rPr>
          <w:i/>
          <w:spacing w:val="-4"/>
          <w:lang w:val="en-US"/>
        </w:rPr>
        <w:t xml:space="preserve">Case of </w:t>
      </w:r>
      <w:r w:rsidRPr="00914F55">
        <w:rPr>
          <w:rStyle w:val="s6b621b36"/>
          <w:rFonts w:cs="Arial"/>
          <w:i/>
          <w:iCs/>
          <w:color w:val="000000"/>
          <w:spacing w:val="-4"/>
          <w:shd w:val="clear" w:color="auto" w:fill="FFFFFF"/>
          <w:lang w:val="en-US"/>
        </w:rPr>
        <w:t xml:space="preserve">Wille v. Liechtenstein </w:t>
      </w:r>
      <w:r w:rsidRPr="00914F55">
        <w:rPr>
          <w:spacing w:val="-4"/>
          <w:lang w:val="en-US"/>
        </w:rPr>
        <w:t>[GS]</w:t>
      </w:r>
      <w:r w:rsidRPr="00914F55">
        <w:rPr>
          <w:rStyle w:val="s6b621b36"/>
          <w:rFonts w:cs="Arial"/>
          <w:i/>
          <w:iCs/>
          <w:color w:val="000000"/>
          <w:spacing w:val="-4"/>
          <w:shd w:val="clear" w:color="auto" w:fill="FFFFFF"/>
          <w:lang w:val="en-US"/>
        </w:rPr>
        <w:t xml:space="preserve">, </w:t>
      </w:r>
      <w:r w:rsidRPr="00914F55">
        <w:rPr>
          <w:rStyle w:val="s6b621b36"/>
          <w:rFonts w:cs="Arial"/>
          <w:iCs/>
          <w:color w:val="000000"/>
          <w:spacing w:val="-4"/>
          <w:shd w:val="clear" w:color="auto" w:fill="FFFFFF"/>
          <w:lang w:val="en-US"/>
        </w:rPr>
        <w:t>No. 28396/95.</w:t>
      </w:r>
      <w:r w:rsidRPr="00914F55">
        <w:rPr>
          <w:rStyle w:val="s6b621b36"/>
          <w:rFonts w:cs="Arial"/>
          <w:i/>
          <w:iCs/>
          <w:color w:val="000000"/>
          <w:spacing w:val="-4"/>
          <w:shd w:val="clear" w:color="auto" w:fill="FFFFFF"/>
          <w:lang w:val="en-US"/>
        </w:rPr>
        <w:t xml:space="preserve"> </w:t>
      </w:r>
      <w:r w:rsidRPr="00914F55">
        <w:rPr>
          <w:rStyle w:val="s6b621b36"/>
          <w:rFonts w:cs="Arial"/>
          <w:iCs/>
          <w:color w:val="000000"/>
          <w:spacing w:val="-4"/>
          <w:shd w:val="clear" w:color="auto" w:fill="FFFFFF"/>
          <w:lang w:val="en-US"/>
        </w:rPr>
        <w:t>Judgment of</w:t>
      </w:r>
      <w:r w:rsidRPr="00A50E4D">
        <w:rPr>
          <w:rStyle w:val="s6b621b36"/>
          <w:rFonts w:cs="Arial"/>
          <w:iCs/>
          <w:color w:val="000000"/>
          <w:spacing w:val="-4"/>
          <w:shd w:val="clear" w:color="auto" w:fill="FFFFFF"/>
          <w:lang w:val="en-US"/>
        </w:rPr>
        <w:t xml:space="preserve"> October 28, 1999, para. </w:t>
      </w:r>
      <w:r w:rsidRPr="00A50E4D">
        <w:rPr>
          <w:rStyle w:val="sb8d990e2"/>
          <w:rFonts w:eastAsiaTheme="majorEastAsia" w:cs="Arial"/>
          <w:color w:val="000000"/>
          <w:spacing w:val="-4"/>
          <w:shd w:val="clear" w:color="auto" w:fill="FFFFFF"/>
          <w:lang w:val="en-US"/>
        </w:rPr>
        <w:t xml:space="preserve">64, and </w:t>
      </w:r>
      <w:r w:rsidRPr="00A50E4D">
        <w:rPr>
          <w:i/>
          <w:spacing w:val="-4"/>
          <w:lang w:val="en-US"/>
        </w:rPr>
        <w:t xml:space="preserve">Case of Kudeshkina v. Russia, </w:t>
      </w:r>
      <w:r w:rsidRPr="00A50E4D">
        <w:rPr>
          <w:spacing w:val="-4"/>
          <w:lang w:val="en-US"/>
        </w:rPr>
        <w:t>No. 29492/05.</w:t>
      </w:r>
      <w:r w:rsidRPr="00A50E4D">
        <w:rPr>
          <w:i/>
          <w:spacing w:val="-4"/>
          <w:lang w:val="en-US"/>
        </w:rPr>
        <w:t xml:space="preserve"> </w:t>
      </w:r>
      <w:r w:rsidRPr="00A50E4D">
        <w:rPr>
          <w:spacing w:val="-4"/>
          <w:lang w:val="en-US"/>
        </w:rPr>
        <w:t xml:space="preserve">Judgment of February 26, 2009, para. 86. </w:t>
      </w:r>
    </w:p>
  </w:footnote>
  <w:footnote w:id="320">
    <w:p w14:paraId="5A5287F9" w14:textId="3F50A22F" w:rsidR="007353B6" w:rsidRPr="00A50E4D" w:rsidRDefault="007353B6" w:rsidP="006F7559">
      <w:pPr>
        <w:pStyle w:val="FootnoteText"/>
        <w:tabs>
          <w:tab w:val="left" w:pos="450"/>
        </w:tabs>
        <w:spacing w:before="120" w:after="120"/>
        <w:rPr>
          <w:color w:val="000000" w:themeColor="text1"/>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The Court notes that, in the region, there are different degrees of restriction for judges. In Argentina, judges are prohibited from engaging in activities of </w:t>
      </w:r>
      <w:r w:rsidRPr="00A50E4D">
        <w:rPr>
          <w:bCs/>
          <w:lang w:val="en-US"/>
        </w:rPr>
        <w:t>political proselytism</w:t>
      </w:r>
      <w:r w:rsidRPr="00A50E4D">
        <w:rPr>
          <w:spacing w:val="-4"/>
          <w:lang w:val="en-US"/>
        </w:rPr>
        <w:t xml:space="preserve">. </w:t>
      </w:r>
      <w:r w:rsidRPr="00A50E4D">
        <w:rPr>
          <w:rStyle w:val="Hyperlink"/>
          <w:color w:val="000000" w:themeColor="text1"/>
          <w:spacing w:val="-4"/>
          <w:u w:val="none"/>
          <w:lang w:val="en-US"/>
        </w:rPr>
        <w:t xml:space="preserve">In Brazil, they are prohibited from engaging in politics. In Bolivia and Dominican Republic, they are prohibited from activism in a political party. In Chile, they are prohibited from attending meetings, demonstrations or other acts of a political nature; while in </w:t>
      </w:r>
      <w:r w:rsidRPr="00A50E4D">
        <w:rPr>
          <w:bCs/>
          <w:spacing w:val="-4"/>
          <w:lang w:val="en-US"/>
        </w:rPr>
        <w:t xml:space="preserve">El Salvador, judges are prohibited from occupying directorial positions in political parties. </w:t>
      </w:r>
      <w:r w:rsidRPr="00A50E4D">
        <w:rPr>
          <w:i/>
          <w:spacing w:val="-4"/>
          <w:lang w:val="en-US"/>
        </w:rPr>
        <w:t xml:space="preserve">Cf. </w:t>
      </w:r>
      <w:r w:rsidRPr="00A50E4D">
        <w:rPr>
          <w:spacing w:val="-4"/>
          <w:lang w:val="en-US"/>
        </w:rPr>
        <w:t>Argentina (</w:t>
      </w:r>
      <w:r w:rsidRPr="00A50E4D">
        <w:rPr>
          <w:rFonts w:cs="Arial"/>
          <w:spacing w:val="-4"/>
          <w:lang w:val="en-US"/>
        </w:rPr>
        <w:t xml:space="preserve">Rules of Procedure for the National Judiciary, </w:t>
      </w:r>
      <w:r w:rsidRPr="00A50E4D">
        <w:rPr>
          <w:spacing w:val="-4"/>
          <w:lang w:val="en-US"/>
        </w:rPr>
        <w:t xml:space="preserve">article 8. Available at: </w:t>
      </w:r>
      <w:hyperlink r:id="rId39" w:history="1">
        <w:r w:rsidRPr="00A50E4D">
          <w:rPr>
            <w:rStyle w:val="Hyperlink"/>
            <w:color w:val="000000" w:themeColor="text1"/>
            <w:spacing w:val="-4"/>
            <w:u w:val="none"/>
            <w:lang w:val="en-US"/>
          </w:rPr>
          <w:t>http://www.infoleg.gov.ar/infolegInternet/anexos/165000-169999/167638/norma.htm,</w:t>
        </w:r>
      </w:hyperlink>
      <w:r w:rsidRPr="00A50E4D">
        <w:rPr>
          <w:color w:val="000000" w:themeColor="text1"/>
          <w:spacing w:val="-4"/>
          <w:lang w:val="en-US"/>
        </w:rPr>
        <w:t xml:space="preserve"> and Law 24,937 on the Council of the Judiciary, article 14. Available at: </w:t>
      </w:r>
      <w:hyperlink r:id="rId40" w:history="1">
        <w:r w:rsidRPr="00A50E4D">
          <w:rPr>
            <w:rStyle w:val="Hyperlink"/>
            <w:color w:val="000000" w:themeColor="text1"/>
            <w:spacing w:val="-4"/>
            <w:u w:val="none"/>
            <w:lang w:val="en-US"/>
          </w:rPr>
          <w:t>http://www.infojus.gob.ar/legislacion/ley-nacional-24937-consejo_magistratura.htm?6</w:t>
        </w:r>
      </w:hyperlink>
      <w:r w:rsidRPr="00A50E4D">
        <w:rPr>
          <w:color w:val="000000" w:themeColor="text1"/>
          <w:spacing w:val="-4"/>
          <w:lang w:val="en-US"/>
        </w:rPr>
        <w:t xml:space="preserve">.); Brazil (Constitution, article 95. Available at: </w:t>
      </w:r>
      <w:hyperlink r:id="rId41" w:history="1">
        <w:r w:rsidRPr="00A50E4D">
          <w:rPr>
            <w:rStyle w:val="Hyperlink"/>
            <w:rFonts w:cs="Arial"/>
            <w:color w:val="000000" w:themeColor="text1"/>
            <w:spacing w:val="-4"/>
            <w:u w:val="none"/>
            <w:lang w:val="en-US"/>
          </w:rPr>
          <w:t>http://www.planalto.gov.br/ccivil_03/constituicao/constituicao.htm</w:t>
        </w:r>
      </w:hyperlink>
      <w:r w:rsidRPr="00A50E4D">
        <w:rPr>
          <w:rStyle w:val="Hyperlink"/>
          <w:rFonts w:cs="Arial"/>
          <w:color w:val="000000" w:themeColor="text1"/>
          <w:spacing w:val="-4"/>
          <w:u w:val="none"/>
          <w:lang w:val="en-US"/>
        </w:rPr>
        <w:t>)</w:t>
      </w:r>
      <w:r w:rsidRPr="00A50E4D">
        <w:rPr>
          <w:rStyle w:val="Hyperlink"/>
          <w:color w:val="000000" w:themeColor="text1"/>
          <w:spacing w:val="-4"/>
          <w:u w:val="none"/>
          <w:lang w:val="en-US"/>
        </w:rPr>
        <w:t xml:space="preserve">; </w:t>
      </w:r>
      <w:r w:rsidRPr="00A50E4D">
        <w:rPr>
          <w:spacing w:val="-4"/>
          <w:lang w:val="en-US"/>
        </w:rPr>
        <w:t xml:space="preserve">Bolivia (Law on the Judiciary of June 24, 2010, articles 19 and 22. Available at: </w:t>
      </w:r>
      <w:hyperlink r:id="rId42" w:history="1">
        <w:r w:rsidRPr="00A50E4D">
          <w:rPr>
            <w:rStyle w:val="Hyperlink"/>
            <w:spacing w:val="-4"/>
            <w:lang w:val="en-US"/>
          </w:rPr>
          <w:t>http://magistratura.organojudicial.gob.bo/</w:t>
        </w:r>
      </w:hyperlink>
      <w:r w:rsidRPr="00A50E4D">
        <w:rPr>
          <w:spacing w:val="-4"/>
          <w:lang w:val="en-US"/>
        </w:rPr>
        <w:t xml:space="preserve"> index.php/institucion/2013-05-07-16-03-21/finish/3-leyes/1-ley-del-organo-judicial</w:t>
      </w:r>
      <w:r w:rsidRPr="00A50E4D">
        <w:rPr>
          <w:color w:val="000000" w:themeColor="text1"/>
          <w:spacing w:val="-4"/>
          <w:lang w:val="en-US"/>
        </w:rPr>
        <w:t>)</w:t>
      </w:r>
      <w:r w:rsidRPr="00A50E4D">
        <w:rPr>
          <w:rStyle w:val="Hyperlink"/>
          <w:color w:val="000000" w:themeColor="text1"/>
          <w:spacing w:val="-4"/>
          <w:u w:val="none"/>
          <w:lang w:val="en-US"/>
        </w:rPr>
        <w:t xml:space="preserve">; Dominican Republic </w:t>
      </w:r>
      <w:r w:rsidRPr="00A50E4D">
        <w:rPr>
          <w:spacing w:val="-4"/>
          <w:lang w:val="en-US"/>
        </w:rPr>
        <w:t xml:space="preserve">(Law No. 327-98 on the Judicial Service, articles 45 and 65. Available at: </w:t>
      </w:r>
      <w:hyperlink r:id="rId43" w:history="1">
        <w:r w:rsidRPr="00A50E4D">
          <w:rPr>
            <w:rStyle w:val="Hyperlink"/>
            <w:spacing w:val="-4"/>
            <w:lang w:val="en-US"/>
          </w:rPr>
          <w:t>http://ojd.org.do/Normativas/General/Ley%20No.%20327-98,%20 sobre%20Carrera%20Judicial,%20del%2011%20de%20agosto%20de%201998%20G.O.%209994.pdf</w:t>
        </w:r>
      </w:hyperlink>
      <w:r w:rsidRPr="00A50E4D">
        <w:rPr>
          <w:spacing w:val="-4"/>
          <w:lang w:val="en-US"/>
        </w:rPr>
        <w:t>)</w:t>
      </w:r>
      <w:r w:rsidRPr="00A50E4D">
        <w:rPr>
          <w:rStyle w:val="Hyperlink"/>
          <w:color w:val="000000" w:themeColor="text1"/>
          <w:spacing w:val="-4"/>
          <w:u w:val="none"/>
          <w:lang w:val="en-US"/>
        </w:rPr>
        <w:t>;</w:t>
      </w:r>
      <w:r w:rsidRPr="00A50E4D">
        <w:rPr>
          <w:spacing w:val="-4"/>
          <w:lang w:val="en-US"/>
        </w:rPr>
        <w:t xml:space="preserve"> Chile (Organic Code of the Courts, article 323. Available at: </w:t>
      </w:r>
      <w:hyperlink r:id="rId44" w:history="1">
        <w:r w:rsidRPr="00A50E4D">
          <w:rPr>
            <w:rStyle w:val="Hyperlink"/>
            <w:color w:val="000000" w:themeColor="text1"/>
            <w:spacing w:val="-4"/>
            <w:u w:val="none"/>
            <w:lang w:val="en-US"/>
          </w:rPr>
          <w:t>http://www.leychile.cl/Navegar?idNorma=25563</w:t>
        </w:r>
      </w:hyperlink>
      <w:r w:rsidRPr="00A50E4D">
        <w:rPr>
          <w:spacing w:val="-4"/>
          <w:lang w:val="en-US"/>
        </w:rPr>
        <w:t xml:space="preserve">), and El Salvador (Judicial Service Act of July 12, 1990, articles 26 and 53. Available at: </w:t>
      </w:r>
      <w:hyperlink r:id="rId45" w:history="1">
        <w:r w:rsidRPr="00A50E4D">
          <w:rPr>
            <w:rStyle w:val="Hyperlink"/>
            <w:color w:val="000000" w:themeColor="text1"/>
            <w:spacing w:val="-4"/>
            <w:u w:val="none"/>
            <w:lang w:val="en-US"/>
          </w:rPr>
          <w:t>http://www.asamblea.gob.sv/eparlamento/indice-legislativo/buscador-de-documentos-legislativos/ley-de-la-carrera-judicial</w:t>
        </w:r>
      </w:hyperlink>
      <w:r w:rsidRPr="00A50E4D">
        <w:rPr>
          <w:spacing w:val="-4"/>
          <w:lang w:val="en-US"/>
        </w:rPr>
        <w:t xml:space="preserve">). </w:t>
      </w:r>
    </w:p>
  </w:footnote>
  <w:footnote w:id="321">
    <w:p w14:paraId="2B373513" w14:textId="53F2BD70" w:rsidR="007353B6" w:rsidRPr="00A50E4D" w:rsidRDefault="007353B6" w:rsidP="006F7559">
      <w:pPr>
        <w:pStyle w:val="FootnoteText"/>
        <w:tabs>
          <w:tab w:val="left" w:pos="450"/>
        </w:tabs>
        <w:spacing w:before="120" w:after="120"/>
        <w:rPr>
          <w:b/>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Colombia (Statutory Law on the administration of justice of March </w:t>
      </w:r>
      <w:r w:rsidRPr="00A50E4D">
        <w:rPr>
          <w:bCs/>
          <w:spacing w:val="-4"/>
          <w:lang w:val="en-US"/>
        </w:rPr>
        <w:t xml:space="preserve">15, 1996, article 154. Available at: </w:t>
      </w:r>
      <w:hyperlink r:id="rId46" w:history="1">
        <w:r w:rsidRPr="00A50E4D">
          <w:rPr>
            <w:rStyle w:val="Hyperlink"/>
            <w:color w:val="000000" w:themeColor="text1"/>
            <w:spacing w:val="-4"/>
            <w:u w:val="none"/>
            <w:lang w:val="en-US"/>
          </w:rPr>
          <w:t>http://www.alcaldiabogota.gov.co/sisjur/normas/Norma1.jsp?i=6548</w:t>
        </w:r>
      </w:hyperlink>
      <w:r w:rsidRPr="00A50E4D">
        <w:rPr>
          <w:rStyle w:val="Hyperlink"/>
          <w:color w:val="000000" w:themeColor="text1"/>
          <w:spacing w:val="-4"/>
          <w:u w:val="none"/>
          <w:lang w:val="en-US"/>
        </w:rPr>
        <w:t xml:space="preserve">, and </w:t>
      </w:r>
      <w:hyperlink r:id="rId47" w:history="1">
        <w:r w:rsidRPr="00A50E4D">
          <w:rPr>
            <w:rStyle w:val="Hyperlink"/>
            <w:color w:val="000000" w:themeColor="text1"/>
            <w:spacing w:val="-4"/>
            <w:u w:val="none"/>
            <w:lang w:val="en-US"/>
          </w:rPr>
          <w:t>Consolidated</w:t>
        </w:r>
      </w:hyperlink>
      <w:r w:rsidRPr="00A50E4D">
        <w:rPr>
          <w:rStyle w:val="Hyperlink"/>
          <w:color w:val="000000" w:themeColor="text1"/>
          <w:spacing w:val="-4"/>
          <w:u w:val="none"/>
          <w:lang w:val="en-US"/>
        </w:rPr>
        <w:t xml:space="preserve"> Disciplinary Code,</w:t>
      </w:r>
      <w:r w:rsidRPr="00A50E4D">
        <w:rPr>
          <w:color w:val="000000" w:themeColor="text1"/>
          <w:spacing w:val="-4"/>
          <w:lang w:val="en-US"/>
        </w:rPr>
        <w:t xml:space="preserve"> Available at: </w:t>
      </w:r>
      <w:hyperlink r:id="rId48" w:history="1">
        <w:r w:rsidRPr="00A50E4D">
          <w:rPr>
            <w:rStyle w:val="Hyperlink"/>
            <w:color w:val="000000" w:themeColor="text1"/>
            <w:spacing w:val="-4"/>
            <w:u w:val="none"/>
            <w:lang w:val="en-US"/>
          </w:rPr>
          <w:t>http://www.procuraduria.gov.co/relatoria/media/file/Codigo_Disciplinario_Unico_2011.pdf</w:t>
        </w:r>
      </w:hyperlink>
      <w:r w:rsidRPr="00A50E4D">
        <w:rPr>
          <w:color w:val="000000" w:themeColor="text1"/>
          <w:spacing w:val="-4"/>
          <w:lang w:val="en-US"/>
        </w:rPr>
        <w:t>)</w:t>
      </w:r>
      <w:r w:rsidRPr="00A50E4D">
        <w:rPr>
          <w:spacing w:val="-4"/>
          <w:lang w:val="en-US"/>
        </w:rPr>
        <w:t xml:space="preserve">; Costa Rica (Organic Law of the Judiciary of July 1, 1993, articles 9 and 192. Available at </w:t>
      </w:r>
      <w:hyperlink r:id="rId49" w:history="1">
        <w:r w:rsidRPr="00A50E4D">
          <w:rPr>
            <w:rStyle w:val="Hyperlink"/>
            <w:color w:val="000000" w:themeColor="text1"/>
            <w:spacing w:val="-4"/>
            <w:u w:val="none"/>
            <w:lang w:val="en-US"/>
          </w:rPr>
          <w:t>https://www.tse.go.cr/pdf/normativa/leyorganicapoderjudicial.pdf</w:t>
        </w:r>
      </w:hyperlink>
      <w:r w:rsidRPr="00A50E4D">
        <w:rPr>
          <w:spacing w:val="-4"/>
          <w:lang w:val="en-US"/>
        </w:rPr>
        <w:t xml:space="preserve">); Nicaragua (Judicial Service Act, Articles 43 and 66. Available at: </w:t>
      </w:r>
      <w:hyperlink r:id="rId50" w:history="1">
        <w:r w:rsidRPr="00A50E4D">
          <w:rPr>
            <w:rStyle w:val="Hyperlink"/>
            <w:spacing w:val="-4"/>
            <w:lang w:val="en-US"/>
          </w:rPr>
          <w:t>http://www.poderjudicial.gob.ni/carrerajudicial/ ley_de_carrera_judicia_su_normativa.pdf</w:t>
        </w:r>
      </w:hyperlink>
      <w:r w:rsidRPr="00A50E4D">
        <w:rPr>
          <w:spacing w:val="-4"/>
          <w:lang w:val="en-US"/>
        </w:rPr>
        <w:t xml:space="preserve">); Panama (Constitution of the Republic of Panama of October 1972, articles 212 and 284. Available at: </w:t>
      </w:r>
      <w:hyperlink r:id="rId51" w:history="1">
        <w:r w:rsidRPr="00A50E4D">
          <w:rPr>
            <w:rStyle w:val="Hyperlink"/>
            <w:color w:val="000000" w:themeColor="text1"/>
            <w:spacing w:val="-4"/>
            <w:u w:val="none"/>
            <w:lang w:val="en-US"/>
          </w:rPr>
          <w:t>http://www.ilo.org/dyn/travail/docs/2083/CONSTITUTION.pdf</w:t>
        </w:r>
      </w:hyperlink>
      <w:r w:rsidRPr="00A50E4D">
        <w:rPr>
          <w:spacing w:val="-4"/>
          <w:lang w:val="en-US"/>
        </w:rPr>
        <w:t xml:space="preserve">); Peru (Constitution of Peru, article 153. Available at: </w:t>
      </w:r>
      <w:hyperlink r:id="rId52" w:history="1">
        <w:r w:rsidRPr="00A50E4D">
          <w:rPr>
            <w:rStyle w:val="Hyperlink"/>
            <w:color w:val="000000" w:themeColor="text1"/>
            <w:spacing w:val="-4"/>
            <w:u w:val="none"/>
            <w:lang w:val="en-US"/>
          </w:rPr>
          <w:t>http://www4.congreso.gob.pe/ntley/Imagenes/Constitu/Cons1993.pdf</w:t>
        </w:r>
      </w:hyperlink>
      <w:r w:rsidRPr="00A50E4D">
        <w:rPr>
          <w:spacing w:val="-4"/>
          <w:lang w:val="en-US"/>
        </w:rPr>
        <w:t xml:space="preserve">, and Judicial Service Act, article 48. Available at: http://www.oas.org/juridico/PDFs/mesicic4_per_ley29277.pdf), and Venezuela (Constitution, article 256. Available at: </w:t>
      </w:r>
      <w:hyperlink r:id="rId53" w:history="1">
        <w:r w:rsidRPr="00A50E4D">
          <w:rPr>
            <w:rStyle w:val="Hyperlink"/>
            <w:color w:val="000000" w:themeColor="text1"/>
            <w:spacing w:val="-4"/>
            <w:u w:val="none"/>
            <w:lang w:val="en-US"/>
          </w:rPr>
          <w:t>http://www.mp.gob.ve/LEYES/constitucion/constitucion1.html</w:t>
        </w:r>
      </w:hyperlink>
      <w:r w:rsidRPr="00A50E4D">
        <w:rPr>
          <w:color w:val="000000" w:themeColor="text1"/>
          <w:spacing w:val="-4"/>
          <w:lang w:val="en-US"/>
        </w:rPr>
        <w:t xml:space="preserve">, and Code of Ethics of the Venezuelan Judge, articles 26, 32 and 33. Available at: </w:t>
      </w:r>
      <w:hyperlink r:id="rId54" w:history="1">
        <w:r w:rsidRPr="00A50E4D">
          <w:rPr>
            <w:rStyle w:val="Hyperlink"/>
            <w:spacing w:val="-4"/>
            <w:lang w:val="en-US"/>
          </w:rPr>
          <w:t>http://www.mp.gob.ve/c/document_library/get_file?uuid=949621c5-5d93-436e-b0ac17a7312faef6&amp; groupId=10136</w:t>
        </w:r>
      </w:hyperlink>
      <w:r w:rsidRPr="00A50E4D">
        <w:rPr>
          <w:rStyle w:val="Hyperlink"/>
          <w:color w:val="000000" w:themeColor="text1"/>
          <w:spacing w:val="-4"/>
          <w:u w:val="none"/>
          <w:lang w:val="en-US"/>
        </w:rPr>
        <w:t>).</w:t>
      </w:r>
    </w:p>
  </w:footnote>
  <w:footnote w:id="322">
    <w:p w14:paraId="7FFBD6AA" w14:textId="2B72C0A6"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The power of States to regulate or restrict rights is not discretionary; rather it is limited by international law, and this requires compliance with specific imperatives, and if these are not respected the restriction is unlawful and contrary to the American Convention. According to Article 29(a) </w:t>
      </w:r>
      <w:r w:rsidRPr="00A50E4D">
        <w:rPr>
          <w:i/>
          <w:iCs/>
          <w:spacing w:val="-4"/>
          <w:lang w:val="en-US"/>
        </w:rPr>
        <w:t xml:space="preserve">in fine </w:t>
      </w:r>
      <w:r w:rsidRPr="00A50E4D">
        <w:rPr>
          <w:spacing w:val="-4"/>
          <w:lang w:val="en-US"/>
        </w:rPr>
        <w:t xml:space="preserve">of this treaty, </w:t>
      </w:r>
      <w:r w:rsidRPr="00914F55">
        <w:rPr>
          <w:spacing w:val="-4"/>
          <w:lang w:val="en-US"/>
        </w:rPr>
        <w:t>no provision of this instrument may be interpreted as restricting rights to a greater extent than is provided for therein</w:t>
      </w:r>
      <w:r w:rsidRPr="00A50E4D">
        <w:rPr>
          <w:spacing w:val="-4"/>
          <w:lang w:val="en-US"/>
        </w:rPr>
        <w:t xml:space="preserve">. </w:t>
      </w:r>
      <w:r w:rsidRPr="00A50E4D">
        <w:rPr>
          <w:i/>
          <w:spacing w:val="-4"/>
          <w:lang w:val="en-US"/>
        </w:rPr>
        <w:t xml:space="preserve">Cf. </w:t>
      </w:r>
      <w:r w:rsidRPr="00A50E4D">
        <w:rPr>
          <w:bCs/>
          <w:i/>
          <w:spacing w:val="-4"/>
          <w:lang w:val="en-US"/>
        </w:rPr>
        <w:t>Case of Castañeda Gutman v. Mexico, supra</w:t>
      </w:r>
      <w:r w:rsidRPr="00A50E4D">
        <w:rPr>
          <w:bCs/>
          <w:spacing w:val="-4"/>
          <w:lang w:val="en-US"/>
        </w:rPr>
        <w:t>, para. 174</w:t>
      </w:r>
      <w:r w:rsidRPr="00A50E4D">
        <w:rPr>
          <w:spacing w:val="-4"/>
          <w:lang w:val="en-US"/>
        </w:rPr>
        <w:t xml:space="preserve">.  </w:t>
      </w:r>
    </w:p>
  </w:footnote>
  <w:footnote w:id="323">
    <w:p w14:paraId="7B6743DF" w14:textId="4E47CF01"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Similarly, see,</w:t>
      </w:r>
      <w:r w:rsidRPr="00A50E4D">
        <w:rPr>
          <w:i/>
          <w:spacing w:val="-4"/>
          <w:lang w:val="en-US"/>
        </w:rPr>
        <w:t xml:space="preserve"> </w:t>
      </w:r>
      <w:r w:rsidRPr="00A50E4D">
        <w:rPr>
          <w:spacing w:val="-4"/>
          <w:lang w:val="en-US"/>
        </w:rPr>
        <w:t>ECHR,</w:t>
      </w:r>
      <w:r w:rsidRPr="00A50E4D">
        <w:rPr>
          <w:rStyle w:val="s6b621b36"/>
          <w:rFonts w:cs="Arial"/>
          <w:i/>
          <w:iCs/>
          <w:color w:val="000000"/>
          <w:spacing w:val="-4"/>
          <w:shd w:val="clear" w:color="auto" w:fill="FFFFFF"/>
          <w:lang w:val="en-US"/>
        </w:rPr>
        <w:t xml:space="preserve"> Wille v. Liechtenstein </w:t>
      </w:r>
      <w:r w:rsidRPr="00A50E4D">
        <w:rPr>
          <w:spacing w:val="-4"/>
          <w:lang w:val="en-US"/>
        </w:rPr>
        <w:t>[GS]</w:t>
      </w:r>
      <w:r w:rsidRPr="00A50E4D">
        <w:rPr>
          <w:rStyle w:val="s6b621b36"/>
          <w:rFonts w:cs="Arial"/>
          <w:i/>
          <w:iCs/>
          <w:color w:val="000000"/>
          <w:spacing w:val="-4"/>
          <w:shd w:val="clear" w:color="auto" w:fill="FFFFFF"/>
          <w:lang w:val="en-US"/>
        </w:rPr>
        <w:t xml:space="preserve">, </w:t>
      </w:r>
      <w:r w:rsidRPr="00A50E4D">
        <w:rPr>
          <w:rStyle w:val="s6b621b36"/>
          <w:rFonts w:cs="Arial"/>
          <w:iCs/>
          <w:color w:val="000000"/>
          <w:spacing w:val="-4"/>
          <w:shd w:val="clear" w:color="auto" w:fill="FFFFFF"/>
          <w:lang w:val="en-US"/>
        </w:rPr>
        <w:t>No. 28396/95.</w:t>
      </w:r>
      <w:r w:rsidRPr="00A50E4D">
        <w:rPr>
          <w:rStyle w:val="s6b621b36"/>
          <w:rFonts w:cs="Arial"/>
          <w:i/>
          <w:iCs/>
          <w:color w:val="000000"/>
          <w:spacing w:val="-4"/>
          <w:shd w:val="clear" w:color="auto" w:fill="FFFFFF"/>
          <w:lang w:val="en-US"/>
        </w:rPr>
        <w:t xml:space="preserve"> </w:t>
      </w:r>
      <w:r w:rsidRPr="00A50E4D">
        <w:rPr>
          <w:rStyle w:val="s6b621b36"/>
          <w:rFonts w:cs="Arial"/>
          <w:iCs/>
          <w:color w:val="000000"/>
          <w:spacing w:val="-4"/>
          <w:shd w:val="clear" w:color="auto" w:fill="FFFFFF"/>
          <w:lang w:val="en-US"/>
        </w:rPr>
        <w:t xml:space="preserve">Judgment of October 28, 1999, para. </w:t>
      </w:r>
      <w:r w:rsidRPr="00A50E4D">
        <w:rPr>
          <w:rStyle w:val="sb8d990e2"/>
          <w:rFonts w:eastAsiaTheme="majorEastAsia" w:cs="Arial"/>
          <w:color w:val="000000"/>
          <w:spacing w:val="-4"/>
          <w:shd w:val="clear" w:color="auto" w:fill="FFFFFF"/>
          <w:lang w:val="en-US"/>
        </w:rPr>
        <w:t xml:space="preserve">67. </w:t>
      </w:r>
    </w:p>
  </w:footnote>
  <w:footnote w:id="324">
    <w:p w14:paraId="43A3B5A0" w14:textId="2AAB034D" w:rsidR="007353B6" w:rsidRPr="00A50E4D" w:rsidRDefault="007353B6" w:rsidP="006F7559">
      <w:pPr>
        <w:tabs>
          <w:tab w:val="left" w:pos="450"/>
          <w:tab w:val="left" w:pos="567"/>
        </w:tabs>
        <w:spacing w:before="120" w:after="120"/>
        <w:rPr>
          <w:iCs/>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United Nations, </w:t>
      </w:r>
      <w:r w:rsidRPr="00914F55">
        <w:rPr>
          <w:iCs/>
          <w:spacing w:val="-4"/>
          <w:sz w:val="16"/>
          <w:szCs w:val="16"/>
          <w:lang w:val="en-US"/>
        </w:rPr>
        <w:t xml:space="preserve">Commentary on the Bangalore </w:t>
      </w:r>
      <w:r w:rsidRPr="00914F55">
        <w:rPr>
          <w:sz w:val="16"/>
          <w:szCs w:val="16"/>
          <w:lang w:val="en-US"/>
        </w:rPr>
        <w:t>Principles of Judicial Conduct</w:t>
      </w:r>
      <w:r w:rsidRPr="00914F55">
        <w:rPr>
          <w:iCs/>
          <w:spacing w:val="-4"/>
          <w:sz w:val="16"/>
          <w:szCs w:val="16"/>
          <w:lang w:val="en-US"/>
        </w:rPr>
        <w:t>, prepared</w:t>
      </w:r>
      <w:r w:rsidRPr="00A50E4D">
        <w:rPr>
          <w:iCs/>
          <w:spacing w:val="-4"/>
          <w:sz w:val="16"/>
          <w:szCs w:val="16"/>
          <w:lang w:val="en-US"/>
        </w:rPr>
        <w:t xml:space="preserve"> by the United Nations Office on Drugs and Crime, 2013, paras. 65 </w:t>
      </w:r>
      <w:r w:rsidRPr="00914F55">
        <w:rPr>
          <w:iCs/>
          <w:spacing w:val="-4"/>
          <w:sz w:val="16"/>
          <w:szCs w:val="16"/>
          <w:lang w:val="en-US"/>
        </w:rPr>
        <w:t>and 140.</w:t>
      </w:r>
      <w:r w:rsidRPr="00A50E4D">
        <w:rPr>
          <w:iCs/>
          <w:spacing w:val="-4"/>
          <w:sz w:val="16"/>
          <w:szCs w:val="16"/>
          <w:lang w:val="en-US"/>
        </w:rPr>
        <w:t xml:space="preserve"> In this regard, the Ibero-American Model Code of Judicial Ethics establishes that</w:t>
      </w:r>
      <w:r w:rsidRPr="00A50E4D">
        <w:rPr>
          <w:spacing w:val="-4"/>
          <w:sz w:val="16"/>
          <w:szCs w:val="16"/>
          <w:lang w:val="en-US"/>
        </w:rPr>
        <w:t xml:space="preserve"> “[j]udges have the right and the obligation to denounce any attempt to interfere with their independence.” 2006 Ibero-American Model Code of Judicial Ethics, article 6. Available at: </w:t>
      </w:r>
      <w:hyperlink r:id="rId55" w:history="1">
        <w:r w:rsidRPr="00A50E4D">
          <w:rPr>
            <w:rStyle w:val="Hyperlink"/>
            <w:spacing w:val="-4"/>
            <w:sz w:val="16"/>
            <w:szCs w:val="16"/>
            <w:lang w:val="en-US"/>
          </w:rPr>
          <w:t>http://www.poderjudicial.gob.hn/CUMBREJUDICIALIBEROAMERICANA/ Documents/CodigoEtico.pdf</w:t>
        </w:r>
      </w:hyperlink>
      <w:r w:rsidRPr="00A50E4D">
        <w:rPr>
          <w:rStyle w:val="Hyperlink"/>
          <w:color w:val="000000" w:themeColor="text1"/>
          <w:spacing w:val="-4"/>
          <w:sz w:val="16"/>
          <w:szCs w:val="16"/>
          <w:u w:val="none"/>
          <w:lang w:val="en-US"/>
        </w:rPr>
        <w:t>.</w:t>
      </w:r>
      <w:r w:rsidRPr="00A50E4D">
        <w:rPr>
          <w:iCs/>
          <w:spacing w:val="-4"/>
          <w:sz w:val="16"/>
          <w:szCs w:val="16"/>
          <w:lang w:val="en-US"/>
        </w:rPr>
        <w:t xml:space="preserve"> </w:t>
      </w:r>
    </w:p>
  </w:footnote>
  <w:footnote w:id="325">
    <w:p w14:paraId="7A7B9F73" w14:textId="030AB270" w:rsidR="007353B6" w:rsidRPr="00A50E4D" w:rsidRDefault="007353B6" w:rsidP="006F7559">
      <w:pPr>
        <w:pStyle w:val="NoSpacing"/>
        <w:tabs>
          <w:tab w:val="left" w:pos="450"/>
          <w:tab w:val="left" w:pos="567"/>
        </w:tabs>
        <w:spacing w:before="120" w:after="120"/>
        <w:rPr>
          <w:rFonts w:cs="Times New Roman"/>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Affidavit made by Leandro Despouy </w:t>
      </w:r>
      <w:r w:rsidRPr="00A50E4D">
        <w:rPr>
          <w:rFonts w:cs="Arial"/>
          <w:spacing w:val="-4"/>
          <w:sz w:val="16"/>
          <w:szCs w:val="16"/>
          <w:lang w:val="en-US"/>
        </w:rPr>
        <w:t>on January 8,</w:t>
      </w:r>
      <w:r w:rsidRPr="00A50E4D">
        <w:rPr>
          <w:spacing w:val="-4"/>
          <w:sz w:val="16"/>
          <w:szCs w:val="16"/>
          <w:lang w:val="en-US"/>
        </w:rPr>
        <w:t xml:space="preserve"> 2015 </w:t>
      </w:r>
      <w:r w:rsidRPr="00A50E4D">
        <w:rPr>
          <w:rFonts w:cs="Arial"/>
          <w:spacing w:val="-4"/>
          <w:sz w:val="16"/>
          <w:szCs w:val="16"/>
          <w:lang w:val="en-US"/>
        </w:rPr>
        <w:t>(evidence file, folio 6722). Similarly, see Expert opinion provide by Perfecto Andrés Ibáñez during the public hearing held in this case.</w:t>
      </w:r>
    </w:p>
  </w:footnote>
  <w:footnote w:id="326">
    <w:p w14:paraId="73A1074B" w14:textId="25D9AF37" w:rsidR="007353B6" w:rsidRPr="00A50E4D" w:rsidRDefault="007353B6" w:rsidP="006F7559">
      <w:pPr>
        <w:pStyle w:val="FootnoteText"/>
        <w:tabs>
          <w:tab w:val="left" w:pos="450"/>
        </w:tabs>
        <w:spacing w:before="120" w:after="120"/>
        <w:rPr>
          <w:rFonts w:eastAsiaTheme="minorHAnsi" w:cs="Arial"/>
          <w:spacing w:val="-4"/>
          <w:lang w:val="en-US" w:eastAsia="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rFonts w:cs="Arial"/>
          <w:spacing w:val="-4"/>
          <w:lang w:val="en-US"/>
        </w:rPr>
        <w:t xml:space="preserve">Affidavit made by </w:t>
      </w:r>
      <w:r w:rsidRPr="00A50E4D">
        <w:rPr>
          <w:rFonts w:eastAsiaTheme="minorHAnsi" w:cs="Arial"/>
          <w:spacing w:val="-4"/>
          <w:lang w:val="en-US" w:eastAsia="en-US"/>
        </w:rPr>
        <w:t xml:space="preserve">Martin Federico Böhmer </w:t>
      </w:r>
      <w:r w:rsidRPr="00A50E4D">
        <w:rPr>
          <w:rFonts w:cs="Arial"/>
          <w:spacing w:val="-4"/>
          <w:lang w:val="en-US"/>
        </w:rPr>
        <w:t>on January 12,</w:t>
      </w:r>
      <w:r w:rsidRPr="00A50E4D">
        <w:rPr>
          <w:spacing w:val="-4"/>
          <w:lang w:val="en-US"/>
        </w:rPr>
        <w:t xml:space="preserve"> 2015 </w:t>
      </w:r>
      <w:r w:rsidRPr="00A50E4D">
        <w:rPr>
          <w:rFonts w:cs="Arial"/>
          <w:spacing w:val="-4"/>
          <w:lang w:val="en-US"/>
        </w:rPr>
        <w:t>(evidence file, folio 6888).</w:t>
      </w:r>
    </w:p>
  </w:footnote>
  <w:footnote w:id="327">
    <w:p w14:paraId="03A1C6A7" w14:textId="5529C626" w:rsidR="007353B6" w:rsidRPr="00A50E4D" w:rsidRDefault="007353B6" w:rsidP="006F7559">
      <w:pPr>
        <w:pStyle w:val="NoSpacing"/>
        <w:tabs>
          <w:tab w:val="left" w:pos="450"/>
          <w:tab w:val="left" w:pos="567"/>
        </w:tabs>
        <w:spacing w:before="120" w:after="120"/>
        <w:rPr>
          <w:rFonts w:cs="Times New Roman"/>
          <w:b/>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rFonts w:cs="Arial"/>
          <w:spacing w:val="-4"/>
          <w:sz w:val="16"/>
          <w:szCs w:val="16"/>
          <w:lang w:val="en-US"/>
        </w:rPr>
        <w:t>Expert opinion provided by Perfecto Andrés Ibáñez during the public hearing held in this case.</w:t>
      </w:r>
    </w:p>
  </w:footnote>
  <w:footnote w:id="328">
    <w:p w14:paraId="704EB8A0" w14:textId="7B42A08A" w:rsidR="007353B6" w:rsidRPr="00A50E4D" w:rsidRDefault="007353B6" w:rsidP="006F7559">
      <w:pPr>
        <w:pStyle w:val="FootnoteText"/>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r>
      <w:r w:rsidRPr="00A50E4D">
        <w:rPr>
          <w:bCs/>
          <w:i/>
          <w:lang w:val="en-US"/>
        </w:rPr>
        <w:t xml:space="preserve">Case of Uzcátegui et al. v. Venezuela. Merits and reparations. </w:t>
      </w:r>
      <w:r w:rsidRPr="00A50E4D">
        <w:rPr>
          <w:bCs/>
          <w:lang w:val="en-US"/>
        </w:rPr>
        <w:t>Judgment of September 3, 2012. Series C No. 249</w:t>
      </w:r>
      <w:r w:rsidRPr="00A50E4D">
        <w:rPr>
          <w:lang w:val="en-US"/>
        </w:rPr>
        <w:t>, para. 189.</w:t>
      </w:r>
    </w:p>
  </w:footnote>
  <w:footnote w:id="329">
    <w:p w14:paraId="170DC8AA" w14:textId="3923EF12" w:rsidR="007353B6" w:rsidRPr="00A50E4D" w:rsidRDefault="007353B6" w:rsidP="006F7559">
      <w:pPr>
        <w:pStyle w:val="FootnoteText"/>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t xml:space="preserve">Thus, for example, in the </w:t>
      </w:r>
      <w:r w:rsidRPr="00A50E4D">
        <w:rPr>
          <w:bCs/>
          <w:i/>
          <w:lang w:val="en-US"/>
        </w:rPr>
        <w:t xml:space="preserve">Case of Uzcátegui et al. </w:t>
      </w:r>
      <w:r w:rsidRPr="00A50E4D">
        <w:rPr>
          <w:lang w:val="en-US"/>
        </w:rPr>
        <w:t xml:space="preserve">criminal proceedings had been instituted against Mr. Uzcátegui, in which the plaintiff was a high-ranking officer (Commander General of Armed Police Forces of Falcón state), a context of violence existed, and the victim had been subjected to threats, harassment and unlawful detentions. </w:t>
      </w:r>
      <w:r w:rsidRPr="00F25627">
        <w:rPr>
          <w:i/>
          <w:lang w:val="es-CR"/>
        </w:rPr>
        <w:t xml:space="preserve">Cf. </w:t>
      </w:r>
      <w:r w:rsidRPr="00F25627">
        <w:rPr>
          <w:bCs/>
          <w:i/>
          <w:lang w:val="es-CR"/>
        </w:rPr>
        <w:t>Case of Uzcátegui et al. v. Venezuela, supra</w:t>
      </w:r>
      <w:r w:rsidRPr="00F25627">
        <w:rPr>
          <w:lang w:val="es-CR"/>
        </w:rPr>
        <w:t xml:space="preserve">, para. </w:t>
      </w:r>
      <w:r w:rsidRPr="00A50E4D">
        <w:rPr>
          <w:lang w:val="en-US"/>
        </w:rPr>
        <w:t>189.</w:t>
      </w:r>
    </w:p>
  </w:footnote>
  <w:footnote w:id="330">
    <w:p w14:paraId="06D7E306" w14:textId="4581B3BA" w:rsidR="007353B6" w:rsidRPr="00A50E4D" w:rsidRDefault="007353B6" w:rsidP="006F7559">
      <w:pPr>
        <w:pStyle w:val="FootnoteText"/>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t>Similarly, see</w:t>
      </w:r>
      <w:r w:rsidRPr="00A50E4D">
        <w:rPr>
          <w:i/>
          <w:lang w:val="en-US"/>
        </w:rPr>
        <w:t xml:space="preserve">, </w:t>
      </w:r>
      <w:r w:rsidRPr="00A50E4D">
        <w:rPr>
          <w:lang w:val="en-US"/>
        </w:rPr>
        <w:t>ECHR</w:t>
      </w:r>
      <w:r w:rsidRPr="00A50E4D">
        <w:rPr>
          <w:i/>
          <w:lang w:val="en-US"/>
        </w:rPr>
        <w:t>, Case of Kayasu v. Turkey,</w:t>
      </w:r>
      <w:r w:rsidRPr="00A50E4D">
        <w:rPr>
          <w:rStyle w:val="s6b621b36"/>
          <w:rFonts w:cs="Arial"/>
          <w:iCs/>
          <w:color w:val="000000"/>
          <w:shd w:val="clear" w:color="auto" w:fill="FFFFFF"/>
          <w:lang w:val="en-US"/>
        </w:rPr>
        <w:t xml:space="preserve"> N</w:t>
      </w:r>
      <w:r w:rsidRPr="00A50E4D">
        <w:rPr>
          <w:rStyle w:val="sf1c7242d"/>
          <w:rFonts w:cs="Arial"/>
          <w:iCs/>
          <w:color w:val="000000"/>
          <w:shd w:val="clear" w:color="auto" w:fill="FFFFFF"/>
          <w:lang w:val="en-US"/>
        </w:rPr>
        <w:t>os.</w:t>
      </w:r>
      <w:r w:rsidRPr="00A50E4D">
        <w:rPr>
          <w:rStyle w:val="apple-converted-space"/>
          <w:rFonts w:cs="Arial"/>
          <w:i/>
          <w:iCs/>
          <w:color w:val="000000"/>
          <w:shd w:val="clear" w:color="auto" w:fill="FFFFFF"/>
          <w:lang w:val="en-US"/>
        </w:rPr>
        <w:t> </w:t>
      </w:r>
      <w:hyperlink r:id="rId56" w:anchor="{&quot;appno&quot;:[&quot;64119/00&quot;]}" w:tgtFrame="_blank" w:history="1">
        <w:r w:rsidRPr="00A50E4D">
          <w:rPr>
            <w:rStyle w:val="Hyperlink"/>
            <w:rFonts w:cs="Arial"/>
            <w:iCs/>
            <w:color w:val="000000" w:themeColor="text1"/>
            <w:u w:val="none"/>
            <w:shd w:val="clear" w:color="auto" w:fill="FFFFFF"/>
            <w:lang w:val="en-US"/>
          </w:rPr>
          <w:t>64119/00</w:t>
        </w:r>
      </w:hyperlink>
      <w:r w:rsidRPr="00A50E4D">
        <w:rPr>
          <w:rStyle w:val="apple-converted-space"/>
          <w:rFonts w:cs="Arial"/>
          <w:iCs/>
          <w:color w:val="000000" w:themeColor="text1"/>
          <w:shd w:val="clear" w:color="auto" w:fill="FFFFFF"/>
          <w:lang w:val="en-US"/>
        </w:rPr>
        <w:t xml:space="preserve"> and </w:t>
      </w:r>
      <w:hyperlink r:id="rId57" w:anchor="{&quot;appno&quot;:[&quot;76292/01&quot;]}" w:tgtFrame="_blank" w:history="1">
        <w:r w:rsidRPr="00A50E4D">
          <w:rPr>
            <w:rStyle w:val="Hyperlink"/>
            <w:rFonts w:cs="Arial"/>
            <w:iCs/>
            <w:color w:val="000000" w:themeColor="text1"/>
            <w:u w:val="none"/>
            <w:shd w:val="clear" w:color="auto" w:fill="FFFFFF"/>
            <w:lang w:val="en-US"/>
          </w:rPr>
          <w:t>76292/01</w:t>
        </w:r>
      </w:hyperlink>
      <w:r w:rsidRPr="00A50E4D">
        <w:rPr>
          <w:rStyle w:val="s6b621b36"/>
          <w:rFonts w:cs="Arial"/>
          <w:iCs/>
          <w:color w:val="000000" w:themeColor="text1"/>
          <w:shd w:val="clear" w:color="auto" w:fill="FFFFFF"/>
          <w:lang w:val="en-US"/>
        </w:rPr>
        <w:t xml:space="preserve">. Judgment of November 13, 2008 paras. 59 and 61, 81 and 107; </w:t>
      </w:r>
      <w:r w:rsidRPr="00A50E4D">
        <w:rPr>
          <w:i/>
          <w:lang w:val="en-US"/>
        </w:rPr>
        <w:t>Case of Heinsich v. Germany</w:t>
      </w:r>
      <w:r w:rsidRPr="00A50E4D">
        <w:rPr>
          <w:lang w:val="en-US"/>
        </w:rPr>
        <w:t xml:space="preserve">, </w:t>
      </w:r>
      <w:r w:rsidRPr="00A50E4D">
        <w:rPr>
          <w:rFonts w:cs="Arial"/>
          <w:iCs/>
          <w:color w:val="000000" w:themeColor="text1"/>
          <w:shd w:val="clear" w:color="auto" w:fill="FFFFFF"/>
          <w:lang w:val="en-US"/>
        </w:rPr>
        <w:t>No.</w:t>
      </w:r>
      <w:r w:rsidRPr="00A50E4D">
        <w:rPr>
          <w:rStyle w:val="apple-converted-space"/>
          <w:rFonts w:cs="Arial"/>
          <w:iCs/>
          <w:color w:val="000000" w:themeColor="text1"/>
          <w:shd w:val="clear" w:color="auto" w:fill="FFFFFF"/>
          <w:lang w:val="en-US"/>
        </w:rPr>
        <w:t> </w:t>
      </w:r>
      <w:hyperlink r:id="rId58" w:anchor="{&quot;appno&quot;:[&quot;28274/08&quot;]}" w:tgtFrame="_blank" w:history="1">
        <w:r w:rsidRPr="00A50E4D">
          <w:rPr>
            <w:rStyle w:val="Hyperlink"/>
            <w:rFonts w:cs="Arial"/>
            <w:iCs/>
            <w:color w:val="000000" w:themeColor="text1"/>
            <w:u w:val="none"/>
            <w:shd w:val="clear" w:color="auto" w:fill="FFFFFF"/>
            <w:lang w:val="en-US"/>
          </w:rPr>
          <w:t>28274/08</w:t>
        </w:r>
      </w:hyperlink>
      <w:r w:rsidRPr="00A50E4D">
        <w:rPr>
          <w:lang w:val="en-US"/>
        </w:rPr>
        <w:t xml:space="preserve">. Judgment of July 21, 2011, para. 45, and </w:t>
      </w:r>
      <w:r w:rsidRPr="00A50E4D">
        <w:rPr>
          <w:i/>
          <w:lang w:val="en-US"/>
        </w:rPr>
        <w:t>Case of Baka vs. Hungary,</w:t>
      </w:r>
      <w:r w:rsidRPr="00A50E4D">
        <w:rPr>
          <w:lang w:val="en-US"/>
        </w:rPr>
        <w:t xml:space="preserve"> </w:t>
      </w:r>
      <w:r w:rsidRPr="00A50E4D">
        <w:rPr>
          <w:rFonts w:cs="Arial"/>
          <w:iCs/>
          <w:color w:val="000000" w:themeColor="text1"/>
          <w:shd w:val="clear" w:color="auto" w:fill="FFFFFF"/>
          <w:lang w:val="en-US"/>
        </w:rPr>
        <w:t>No.</w:t>
      </w:r>
      <w:r w:rsidRPr="00A50E4D">
        <w:rPr>
          <w:rStyle w:val="apple-converted-space"/>
          <w:rFonts w:cs="Arial"/>
          <w:iCs/>
          <w:color w:val="000000" w:themeColor="text1"/>
          <w:shd w:val="clear" w:color="auto" w:fill="FFFFFF"/>
          <w:lang w:val="en-US"/>
        </w:rPr>
        <w:t> </w:t>
      </w:r>
      <w:hyperlink r:id="rId59" w:anchor="{&quot;appno&quot;:[&quot;20261/12&quot;]}" w:tgtFrame="_blank" w:history="1">
        <w:r w:rsidRPr="00A50E4D">
          <w:rPr>
            <w:rStyle w:val="Hyperlink"/>
            <w:rFonts w:cs="Arial"/>
            <w:iCs/>
            <w:color w:val="000000" w:themeColor="text1"/>
            <w:u w:val="none"/>
            <w:shd w:val="clear" w:color="auto" w:fill="FFFFFF"/>
            <w:lang w:val="en-US"/>
          </w:rPr>
          <w:t>20261/12</w:t>
        </w:r>
      </w:hyperlink>
      <w:r w:rsidRPr="00A50E4D">
        <w:rPr>
          <w:color w:val="000000" w:themeColor="text1"/>
          <w:lang w:val="en-US"/>
        </w:rPr>
        <w:t>. Judgment of May 27, 2014, para. 102.</w:t>
      </w:r>
    </w:p>
  </w:footnote>
  <w:footnote w:id="331">
    <w:p w14:paraId="232D18AD" w14:textId="220957C4" w:rsidR="007353B6" w:rsidRPr="00A50E4D" w:rsidRDefault="007353B6" w:rsidP="006F7559">
      <w:pPr>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In this regard, the Court notes the existence of a regional consensus as regards the prohibition for judges to practice law. </w:t>
      </w:r>
      <w:r w:rsidRPr="00A50E4D">
        <w:rPr>
          <w:i/>
          <w:spacing w:val="-4"/>
          <w:sz w:val="16"/>
          <w:szCs w:val="16"/>
          <w:lang w:val="en-US"/>
        </w:rPr>
        <w:t xml:space="preserve">Cf. </w:t>
      </w:r>
      <w:r w:rsidRPr="00A50E4D">
        <w:rPr>
          <w:rFonts w:eastAsia="Times New Roman" w:cs="Arial"/>
          <w:color w:val="000000"/>
          <w:spacing w:val="-4"/>
          <w:sz w:val="16"/>
          <w:szCs w:val="16"/>
          <w:lang w:val="en-US"/>
        </w:rPr>
        <w:t>Argentina (Rules of Procedure for the National Judiciary</w:t>
      </w:r>
      <w:r w:rsidRPr="00A50E4D">
        <w:rPr>
          <w:spacing w:val="-4"/>
          <w:sz w:val="16"/>
          <w:szCs w:val="16"/>
          <w:lang w:val="en-US"/>
        </w:rPr>
        <w:t xml:space="preserve">, articles 8 and 14. Available at: </w:t>
      </w:r>
      <w:hyperlink r:id="rId60" w:history="1">
        <w:r w:rsidRPr="00A50E4D">
          <w:rPr>
            <w:rStyle w:val="Hyperlink"/>
            <w:spacing w:val="-4"/>
            <w:sz w:val="16"/>
            <w:szCs w:val="16"/>
            <w:lang w:val="en-US"/>
          </w:rPr>
          <w:t>http://www.infoleg.gov.ar/ infolegInternet/anexos/165000-169999/167638/norma.htm</w:t>
        </w:r>
      </w:hyperlink>
      <w:r w:rsidRPr="00A50E4D">
        <w:rPr>
          <w:spacing w:val="-4"/>
          <w:sz w:val="16"/>
          <w:szCs w:val="16"/>
          <w:lang w:val="en-US"/>
        </w:rPr>
        <w:t xml:space="preserve">); Bolivia (Law of the Judiciary of June 24, 2010, articles 22 and 188. Available at: http://magistratura.organojudicial.gob.bo/index.php/institucion/2013-05-07-16-03-21/finish/3-leyes/1-ley-del-organo-judicial); Brazil (Constitution, article 95. Available at: </w:t>
      </w:r>
      <w:hyperlink r:id="rId61" w:history="1">
        <w:r w:rsidRPr="00A50E4D">
          <w:rPr>
            <w:rStyle w:val="Hyperlink"/>
            <w:rFonts w:cs="Arial"/>
            <w:spacing w:val="-4"/>
            <w:sz w:val="16"/>
            <w:szCs w:val="16"/>
            <w:lang w:val="en-US"/>
          </w:rPr>
          <w:t>http://www.planalto.gov.br/ccivil_03/constituicao/ constituicao.htm</w:t>
        </w:r>
      </w:hyperlink>
      <w:r w:rsidRPr="00A50E4D">
        <w:rPr>
          <w:spacing w:val="-4"/>
          <w:sz w:val="16"/>
          <w:szCs w:val="16"/>
          <w:lang w:val="en-US"/>
        </w:rPr>
        <w:t>); Colombia (Statutory Law of the administration of justice of March 15,</w:t>
      </w:r>
      <w:r w:rsidRPr="00A50E4D">
        <w:rPr>
          <w:bCs/>
          <w:spacing w:val="-4"/>
          <w:sz w:val="16"/>
          <w:szCs w:val="16"/>
          <w:lang w:val="en-US"/>
        </w:rPr>
        <w:t xml:space="preserve"> 1996, article 151. Available at: </w:t>
      </w:r>
      <w:hyperlink r:id="rId62" w:history="1">
        <w:r w:rsidRPr="00A50E4D">
          <w:rPr>
            <w:rStyle w:val="Hyperlink"/>
            <w:color w:val="000000" w:themeColor="text1"/>
            <w:spacing w:val="-4"/>
            <w:sz w:val="16"/>
            <w:szCs w:val="16"/>
            <w:u w:val="none"/>
            <w:lang w:val="en-US"/>
          </w:rPr>
          <w:t>http://www.alcaldiabogota.gov.co/sisjur/normas/Norma1.jsp?i=6548</w:t>
        </w:r>
      </w:hyperlink>
      <w:r w:rsidRPr="00A50E4D">
        <w:rPr>
          <w:rStyle w:val="Hyperlink"/>
          <w:color w:val="000000" w:themeColor="text1"/>
          <w:spacing w:val="-4"/>
          <w:sz w:val="16"/>
          <w:szCs w:val="16"/>
          <w:u w:val="none"/>
          <w:lang w:val="en-US"/>
        </w:rPr>
        <w:t xml:space="preserve">, </w:t>
      </w:r>
      <w:r w:rsidRPr="00A50E4D">
        <w:rPr>
          <w:rStyle w:val="Hyperlink"/>
          <w:rFonts w:cs="Arial"/>
          <w:color w:val="000000" w:themeColor="text1"/>
          <w:spacing w:val="-4"/>
          <w:sz w:val="16"/>
          <w:szCs w:val="16"/>
          <w:u w:val="none"/>
          <w:lang w:val="en-US"/>
        </w:rPr>
        <w:t>and Consolidated Disciplinary Code</w:t>
      </w:r>
      <w:r w:rsidRPr="00A50E4D">
        <w:rPr>
          <w:color w:val="000000" w:themeColor="text1"/>
          <w:spacing w:val="-4"/>
          <w:sz w:val="16"/>
          <w:szCs w:val="16"/>
          <w:lang w:val="en-US"/>
        </w:rPr>
        <w:t xml:space="preserve">, </w:t>
      </w:r>
      <w:r w:rsidRPr="00A50E4D">
        <w:rPr>
          <w:spacing w:val="-4"/>
          <w:sz w:val="16"/>
          <w:szCs w:val="16"/>
          <w:lang w:val="en-US"/>
        </w:rPr>
        <w:t xml:space="preserve">article 50. Available at: </w:t>
      </w:r>
      <w:hyperlink r:id="rId63" w:history="1">
        <w:r w:rsidRPr="00A50E4D">
          <w:rPr>
            <w:rStyle w:val="Hyperlink"/>
            <w:color w:val="000000" w:themeColor="text1"/>
            <w:spacing w:val="-4"/>
            <w:sz w:val="16"/>
            <w:szCs w:val="16"/>
            <w:u w:val="none"/>
            <w:lang w:val="en-US"/>
          </w:rPr>
          <w:t>http://www.procuraduria.gov.co/relatoria/media/file/Codigo_Disciplinario_Unico_2011.pdf</w:t>
        </w:r>
      </w:hyperlink>
      <w:r w:rsidRPr="00A50E4D">
        <w:rPr>
          <w:color w:val="000000" w:themeColor="text1"/>
          <w:spacing w:val="-4"/>
          <w:sz w:val="16"/>
          <w:szCs w:val="16"/>
          <w:lang w:val="en-US"/>
        </w:rPr>
        <w:t xml:space="preserve">); </w:t>
      </w:r>
      <w:r w:rsidRPr="00A50E4D">
        <w:rPr>
          <w:spacing w:val="-4"/>
          <w:sz w:val="16"/>
          <w:szCs w:val="16"/>
          <w:lang w:val="en-US"/>
        </w:rPr>
        <w:t xml:space="preserve">Chile (Organic Code of the Courts, article 316. Available at: </w:t>
      </w:r>
      <w:hyperlink r:id="rId64" w:history="1">
        <w:r w:rsidRPr="00A50E4D">
          <w:rPr>
            <w:rStyle w:val="Hyperlink"/>
            <w:color w:val="000000" w:themeColor="text1"/>
            <w:spacing w:val="-4"/>
            <w:sz w:val="16"/>
            <w:szCs w:val="16"/>
            <w:u w:val="none"/>
            <w:lang w:val="en-US"/>
          </w:rPr>
          <w:t>http://www.leychile.cl/Navegar?idNorma=25563</w:t>
        </w:r>
      </w:hyperlink>
      <w:r w:rsidRPr="00A50E4D">
        <w:rPr>
          <w:spacing w:val="-4"/>
          <w:sz w:val="16"/>
          <w:szCs w:val="16"/>
          <w:lang w:val="en-US"/>
        </w:rPr>
        <w:t xml:space="preserve">); Costa Rica (Organic Law of the Judiciary of July 1, 1993, article 9. Available at: </w:t>
      </w:r>
      <w:hyperlink r:id="rId65" w:history="1">
        <w:r w:rsidRPr="00A50E4D">
          <w:rPr>
            <w:rStyle w:val="Hyperlink"/>
            <w:color w:val="000000" w:themeColor="text1"/>
            <w:spacing w:val="-4"/>
            <w:sz w:val="16"/>
            <w:szCs w:val="16"/>
            <w:u w:val="none"/>
            <w:lang w:val="en-US"/>
          </w:rPr>
          <w:t>https://www.tse.go.cr/pdf/normativa/leyorganicapoderjudicial.pdf</w:t>
        </w:r>
      </w:hyperlink>
      <w:r w:rsidRPr="00A50E4D">
        <w:rPr>
          <w:spacing w:val="-4"/>
          <w:sz w:val="16"/>
          <w:szCs w:val="16"/>
          <w:lang w:val="en-US"/>
        </w:rPr>
        <w:t xml:space="preserve">); Ecuador (Constitution of the Republic of Ecuador of October 20 2008, articles 109 and 174. Available at: </w:t>
      </w:r>
      <w:hyperlink r:id="rId66" w:history="1">
        <w:r w:rsidRPr="00A50E4D">
          <w:rPr>
            <w:rStyle w:val="Hyperlink"/>
            <w:spacing w:val="-4"/>
            <w:sz w:val="16"/>
            <w:szCs w:val="16"/>
            <w:lang w:val="en-US"/>
          </w:rPr>
          <w:t>http://www.asambleanacional.gov.ec/ documentos/constitucion_de_bolsillo.pdf</w:t>
        </w:r>
      </w:hyperlink>
      <w:r w:rsidRPr="00A50E4D">
        <w:rPr>
          <w:color w:val="000000" w:themeColor="text1"/>
          <w:spacing w:val="-4"/>
          <w:sz w:val="16"/>
          <w:szCs w:val="16"/>
          <w:lang w:val="en-US"/>
        </w:rPr>
        <w:t>)</w:t>
      </w:r>
      <w:r w:rsidRPr="00A50E4D">
        <w:rPr>
          <w:spacing w:val="-4"/>
          <w:sz w:val="16"/>
          <w:szCs w:val="16"/>
          <w:lang w:val="en-US"/>
        </w:rPr>
        <w:t xml:space="preserve">; El Salvador (Judicial Service Act of July 12, 1990, articles 24 and 52. Available at: </w:t>
      </w:r>
      <w:hyperlink r:id="rId67" w:history="1">
        <w:r w:rsidRPr="00A50E4D">
          <w:rPr>
            <w:rStyle w:val="Hyperlink"/>
            <w:color w:val="000000" w:themeColor="text1"/>
            <w:spacing w:val="-4"/>
            <w:sz w:val="16"/>
            <w:szCs w:val="16"/>
            <w:u w:val="none"/>
            <w:lang w:val="en-US"/>
          </w:rPr>
          <w:t>http://www.asamblea.gob.sv/eparlamento/indice-legislativo/buscador-de-documentos-legislativos/ley-de-la-carrera-judicial</w:t>
        </w:r>
      </w:hyperlink>
      <w:r w:rsidRPr="00A50E4D">
        <w:rPr>
          <w:spacing w:val="-4"/>
          <w:sz w:val="16"/>
          <w:szCs w:val="16"/>
          <w:lang w:val="en-US"/>
        </w:rPr>
        <w:t xml:space="preserve">); Guatemala (Judicial Service Act, articles 29 and 41. Available at: </w:t>
      </w:r>
      <w:hyperlink r:id="rId68" w:history="1">
        <w:r w:rsidRPr="00A50E4D">
          <w:rPr>
            <w:rStyle w:val="Hyperlink"/>
            <w:spacing w:val="-4"/>
            <w:sz w:val="16"/>
            <w:szCs w:val="16"/>
            <w:lang w:val="en-US"/>
          </w:rPr>
          <w:t>http://www.mingob.gob.gt/images/legislacion/m</w:t>
        </w:r>
      </w:hyperlink>
      <w:r w:rsidRPr="00A50E4D">
        <w:rPr>
          <w:spacing w:val="-4"/>
          <w:sz w:val="16"/>
          <w:szCs w:val="16"/>
          <w:lang w:val="en-US"/>
        </w:rPr>
        <w:t xml:space="preserve"> Ley_de_la_carrera_judicial_Guatemala.pdf); Mexico (Constitution of the United Mexican States, article 101. Available at: </w:t>
      </w:r>
      <w:hyperlink r:id="rId69" w:history="1">
        <w:r w:rsidRPr="00A50E4D">
          <w:rPr>
            <w:rStyle w:val="Hyperlink"/>
            <w:color w:val="000000" w:themeColor="text1"/>
            <w:spacing w:val="-4"/>
            <w:sz w:val="16"/>
            <w:szCs w:val="16"/>
            <w:u w:val="none"/>
            <w:lang w:val="en-US"/>
          </w:rPr>
          <w:t>http://www.diputados.gob.mx/LeyesBiblio/htm/1.htm</w:t>
        </w:r>
      </w:hyperlink>
      <w:r w:rsidRPr="00A50E4D">
        <w:rPr>
          <w:spacing w:val="-4"/>
          <w:sz w:val="16"/>
          <w:szCs w:val="16"/>
          <w:lang w:val="en-US"/>
        </w:rPr>
        <w:t xml:space="preserve">); Peru (Judicial Service Act, articles 40(1) and 48. Available at: </w:t>
      </w:r>
      <w:hyperlink r:id="rId70" w:history="1">
        <w:r w:rsidRPr="00A50E4D">
          <w:rPr>
            <w:rStyle w:val="Hyperlink"/>
            <w:color w:val="000000" w:themeColor="text1"/>
            <w:spacing w:val="-4"/>
            <w:sz w:val="16"/>
            <w:szCs w:val="16"/>
            <w:u w:val="none"/>
            <w:lang w:val="en-US"/>
          </w:rPr>
          <w:t>http://www.oas.org/juridico/PDFs/mesicic4_per_ley29277.pdf</w:t>
        </w:r>
      </w:hyperlink>
      <w:r w:rsidRPr="00A50E4D">
        <w:rPr>
          <w:spacing w:val="-4"/>
          <w:sz w:val="16"/>
          <w:szCs w:val="16"/>
          <w:lang w:val="en-US"/>
        </w:rPr>
        <w:t xml:space="preserve">); Dominican Republic (Law No. 327-98 of the Judicial Service, articles 44 and 66. Available at: http://ojd.org.do/Normativas/General/Ley%20No.%20327-98,%20sobre%20Carrera% 20Judicial,%20del%2011%20de%20agosto%20de%201998%20G.O.%209994.pdf); Uruguay (Constitution of the Oriental Republic of Uruguay, article 252. Available at: </w:t>
      </w:r>
      <w:hyperlink r:id="rId71" w:history="1">
        <w:r w:rsidRPr="00A50E4D">
          <w:rPr>
            <w:rStyle w:val="Hyperlink"/>
            <w:color w:val="000000" w:themeColor="text1"/>
            <w:spacing w:val="-4"/>
            <w:sz w:val="16"/>
            <w:szCs w:val="16"/>
            <w:u w:val="none"/>
            <w:lang w:val="en-US"/>
          </w:rPr>
          <w:t>http://www.presidencia.gub.uy/normativa/constitucion-de-la-republica</w:t>
        </w:r>
      </w:hyperlink>
      <w:r w:rsidRPr="00A50E4D">
        <w:rPr>
          <w:rStyle w:val="Hyperlink"/>
          <w:color w:val="000000" w:themeColor="text1"/>
          <w:spacing w:val="-4"/>
          <w:sz w:val="16"/>
          <w:szCs w:val="16"/>
          <w:u w:val="none"/>
          <w:lang w:val="en-US"/>
        </w:rPr>
        <w:t xml:space="preserve">, and </w:t>
      </w:r>
      <w:r w:rsidRPr="00A50E4D">
        <w:rPr>
          <w:color w:val="000000" w:themeColor="text1"/>
          <w:spacing w:val="-4"/>
          <w:sz w:val="16"/>
          <w:szCs w:val="16"/>
          <w:lang w:val="en-US"/>
        </w:rPr>
        <w:t>Organic Law</w:t>
      </w:r>
      <w:r w:rsidRPr="00A50E4D">
        <w:rPr>
          <w:spacing w:val="-4"/>
          <w:sz w:val="16"/>
          <w:szCs w:val="16"/>
          <w:lang w:val="en-US"/>
        </w:rPr>
        <w:t xml:space="preserve"> of the Judiciary and of the Organization of the Courts, article 91. Available at: </w:t>
      </w:r>
      <w:hyperlink r:id="rId72" w:history="1">
        <w:r w:rsidRPr="00A50E4D">
          <w:rPr>
            <w:rStyle w:val="Hyperlink"/>
            <w:spacing w:val="-4"/>
            <w:sz w:val="16"/>
            <w:szCs w:val="16"/>
            <w:lang w:val="en-US"/>
          </w:rPr>
          <w:t>http://www.parlamento.gub.uy/</w:t>
        </w:r>
      </w:hyperlink>
      <w:r w:rsidRPr="00A50E4D">
        <w:rPr>
          <w:spacing w:val="-4"/>
          <w:sz w:val="16"/>
          <w:szCs w:val="16"/>
          <w:lang w:val="en-US"/>
        </w:rPr>
        <w:t xml:space="preserve"> leyes/ley15750.htm), and Venezuela (Code of Ethics of the Venezuelan Judge, articles 22 and 33. Available at: </w:t>
      </w:r>
      <w:hyperlink r:id="rId73" w:history="1">
        <w:r w:rsidRPr="00A50E4D">
          <w:rPr>
            <w:rStyle w:val="Hyperlink"/>
            <w:color w:val="000000" w:themeColor="text1"/>
            <w:spacing w:val="-4"/>
            <w:sz w:val="16"/>
            <w:szCs w:val="16"/>
            <w:u w:val="none"/>
            <w:lang w:val="en-US"/>
          </w:rPr>
          <w:t>http://www.mp.gob.ve/c/document_library/get_file?uuid=949621c5-5d93-436e-b0ac-17a7312faef6&amp;groupId=10136</w:t>
        </w:r>
      </w:hyperlink>
      <w:r w:rsidRPr="00A50E4D">
        <w:rPr>
          <w:spacing w:val="-4"/>
          <w:sz w:val="16"/>
          <w:szCs w:val="16"/>
          <w:lang w:val="en-US"/>
        </w:rPr>
        <w:t xml:space="preserve">). Also, for example, the Bangalore Principles of Judicial Conduct establish that, </w:t>
      </w:r>
      <w:r w:rsidRPr="00914F55">
        <w:rPr>
          <w:spacing w:val="-4"/>
          <w:sz w:val="16"/>
          <w:szCs w:val="16"/>
          <w:lang w:val="en-US"/>
        </w:rPr>
        <w:t>“</w:t>
      </w:r>
      <w:r w:rsidRPr="00914F55">
        <w:rPr>
          <w:sz w:val="16"/>
          <w:szCs w:val="16"/>
          <w:lang w:val="en-US"/>
        </w:rPr>
        <w:t>[a] judge shall not practise law whilst the holder of judicial office</w:t>
      </w:r>
      <w:r w:rsidRPr="00A50E4D">
        <w:rPr>
          <w:sz w:val="16"/>
          <w:szCs w:val="16"/>
          <w:lang w:val="en-US"/>
        </w:rPr>
        <w:t>.”</w:t>
      </w:r>
      <w:r w:rsidRPr="00A50E4D">
        <w:rPr>
          <w:spacing w:val="-4"/>
          <w:sz w:val="16"/>
          <w:szCs w:val="16"/>
          <w:lang w:val="en-US"/>
        </w:rPr>
        <w:t xml:space="preserve"> Bangalore Principles of Judicial Conduct</w:t>
      </w:r>
      <w:r w:rsidRPr="00A50E4D">
        <w:rPr>
          <w:rFonts w:eastAsiaTheme="minorHAnsi" w:cs="Arial"/>
          <w:spacing w:val="-4"/>
          <w:sz w:val="16"/>
          <w:szCs w:val="16"/>
          <w:lang w:val="en-US"/>
        </w:rPr>
        <w:t>, Principle 4.12.</w:t>
      </w:r>
    </w:p>
  </w:footnote>
  <w:footnote w:id="332">
    <w:p w14:paraId="141860DE" w14:textId="0D29B1C7"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 xml:space="preserve">Note of June 16, 2010, signed by the Secretary General of the Supreme Court of Justice transcribing the dismissal decision of the same date </w:t>
      </w:r>
      <w:r w:rsidRPr="00A50E4D">
        <w:rPr>
          <w:rFonts w:cs="Arial"/>
          <w:spacing w:val="-4"/>
          <w:sz w:val="16"/>
          <w:szCs w:val="16"/>
          <w:lang w:val="en-US"/>
        </w:rPr>
        <w:t>(evidence file, folio 3098).</w:t>
      </w:r>
    </w:p>
  </w:footnote>
  <w:footnote w:id="333">
    <w:p w14:paraId="0648EB16" w14:textId="57FD783C"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spacing w:val="-4"/>
          <w:sz w:val="16"/>
          <w:szCs w:val="16"/>
          <w:lang w:val="en-US"/>
        </w:rPr>
        <w:t>Decision of the Judicial Service Council of August 24, 2011 (evidence file, folio 3516).</w:t>
      </w:r>
    </w:p>
  </w:footnote>
  <w:footnote w:id="334">
    <w:p w14:paraId="366F5494" w14:textId="6B20191B" w:rsidR="007353B6" w:rsidRPr="00A50E4D" w:rsidRDefault="007353B6" w:rsidP="006F7559">
      <w:pPr>
        <w:pStyle w:val="FootnoteText"/>
        <w:tabs>
          <w:tab w:val="left" w:pos="450"/>
        </w:tabs>
        <w:spacing w:before="120" w:after="120"/>
        <w:rPr>
          <w:color w:val="FF0000"/>
          <w:lang w:val="en-US"/>
        </w:rPr>
      </w:pPr>
      <w:r w:rsidRPr="00A50E4D">
        <w:rPr>
          <w:rStyle w:val="FootnoteReference"/>
          <w:lang w:val="en-US"/>
        </w:rPr>
        <w:footnoteRef/>
      </w:r>
      <w:r w:rsidRPr="00A50E4D">
        <w:rPr>
          <w:lang w:val="en-US"/>
        </w:rPr>
        <w:t xml:space="preserve"> </w:t>
      </w:r>
      <w:r w:rsidRPr="00A50E4D">
        <w:rPr>
          <w:lang w:val="en-US"/>
        </w:rPr>
        <w:tab/>
      </w:r>
      <w:r w:rsidRPr="00A50E4D">
        <w:rPr>
          <w:i/>
          <w:lang w:val="en-US"/>
        </w:rPr>
        <w:t>Cf.</w:t>
      </w:r>
      <w:r w:rsidRPr="00A50E4D">
        <w:rPr>
          <w:lang w:val="en-US"/>
        </w:rPr>
        <w:t xml:space="preserve"> </w:t>
      </w:r>
      <w:r w:rsidRPr="00A50E4D">
        <w:rPr>
          <w:i/>
          <w:iCs/>
          <w:color w:val="000000"/>
          <w:lang w:val="en-US"/>
        </w:rPr>
        <w:t xml:space="preserve">Case of Baena Ricardo et al. v. Panama. </w:t>
      </w:r>
      <w:r w:rsidRPr="00A50E4D">
        <w:rPr>
          <w:i/>
          <w:lang w:val="en-US"/>
        </w:rPr>
        <w:t>Merits, reparations and costs</w:t>
      </w:r>
      <w:r w:rsidRPr="00A50E4D">
        <w:rPr>
          <w:i/>
          <w:iCs/>
          <w:color w:val="000000"/>
          <w:lang w:val="en-US"/>
        </w:rPr>
        <w:t xml:space="preserve">. </w:t>
      </w:r>
      <w:r w:rsidRPr="00A50E4D">
        <w:rPr>
          <w:color w:val="000000"/>
          <w:lang w:val="en-US"/>
        </w:rPr>
        <w:t xml:space="preserve">Judgment of February 2, 2001. Series C No. 72, para. 156, and </w:t>
      </w:r>
      <w:r w:rsidRPr="00A50E4D">
        <w:rPr>
          <w:bCs/>
          <w:i/>
          <w:color w:val="000000"/>
          <w:lang w:val="en-US"/>
        </w:rPr>
        <w:t>Case of García and family members v. Guatemala. Merits, reparations and costs.</w:t>
      </w:r>
      <w:r w:rsidRPr="00A50E4D">
        <w:rPr>
          <w:bCs/>
          <w:color w:val="000000"/>
          <w:lang w:val="en-US"/>
        </w:rPr>
        <w:t xml:space="preserve"> Judgment of November 29, 2012 Series C No. 258, para. 116.</w:t>
      </w:r>
    </w:p>
  </w:footnote>
  <w:footnote w:id="335">
    <w:p w14:paraId="680C8456" w14:textId="738E47EE" w:rsidR="007353B6" w:rsidRPr="00A50E4D" w:rsidRDefault="007353B6" w:rsidP="006F7559">
      <w:pPr>
        <w:pStyle w:val="FootnoteText"/>
        <w:tabs>
          <w:tab w:val="left" w:pos="450"/>
        </w:tabs>
        <w:spacing w:before="120" w:after="120"/>
        <w:rPr>
          <w:color w:val="FF0000"/>
          <w:lang w:val="en-US"/>
        </w:rPr>
      </w:pPr>
      <w:r w:rsidRPr="00A50E4D">
        <w:rPr>
          <w:rStyle w:val="FootnoteReference"/>
          <w:lang w:val="en-US"/>
        </w:rPr>
        <w:footnoteRef/>
      </w:r>
      <w:r w:rsidRPr="00A50E4D">
        <w:rPr>
          <w:lang w:val="en-US"/>
        </w:rPr>
        <w:t xml:space="preserve"> </w:t>
      </w:r>
      <w:r w:rsidRPr="00A50E4D">
        <w:rPr>
          <w:lang w:val="en-US"/>
        </w:rPr>
        <w:tab/>
      </w:r>
      <w:r w:rsidRPr="00A50E4D">
        <w:rPr>
          <w:i/>
          <w:lang w:val="en-US"/>
        </w:rPr>
        <w:t>Cf.</w:t>
      </w:r>
      <w:r w:rsidRPr="00A50E4D">
        <w:rPr>
          <w:lang w:val="en-US"/>
        </w:rPr>
        <w:t xml:space="preserve"> </w:t>
      </w:r>
      <w:r w:rsidRPr="00A50E4D">
        <w:rPr>
          <w:rStyle w:val="Strong"/>
          <w:b w:val="0"/>
          <w:i/>
          <w:color w:val="000000"/>
          <w:shd w:val="clear" w:color="auto" w:fill="FFFFFF"/>
          <w:lang w:val="en-US"/>
        </w:rPr>
        <w:t>Case of Huilca Tecse v. Peru.</w:t>
      </w:r>
      <w:r w:rsidRPr="00A50E4D">
        <w:rPr>
          <w:rStyle w:val="Strong"/>
          <w:b w:val="0"/>
          <w:color w:val="000000"/>
          <w:shd w:val="clear" w:color="auto" w:fill="FFFFFF"/>
          <w:lang w:val="en-US"/>
        </w:rPr>
        <w:t xml:space="preserve"> </w:t>
      </w:r>
      <w:r w:rsidRPr="00A50E4D">
        <w:rPr>
          <w:rStyle w:val="Strong"/>
          <w:b w:val="0"/>
          <w:i/>
          <w:color w:val="000000"/>
          <w:shd w:val="clear" w:color="auto" w:fill="FFFFFF"/>
          <w:lang w:val="en-US"/>
        </w:rPr>
        <w:t>Merits, reparations and costs</w:t>
      </w:r>
      <w:r w:rsidRPr="00A50E4D">
        <w:rPr>
          <w:rStyle w:val="Strong"/>
          <w:b w:val="0"/>
          <w:color w:val="000000"/>
          <w:shd w:val="clear" w:color="auto" w:fill="FFFFFF"/>
          <w:lang w:val="en-US"/>
        </w:rPr>
        <w:t>. Judgment of March 3, 2005. Series C No. 121,</w:t>
      </w:r>
      <w:r w:rsidRPr="00A50E4D">
        <w:rPr>
          <w:lang w:val="en-US"/>
        </w:rPr>
        <w:t xml:space="preserve"> para. 76</w:t>
      </w:r>
      <w:r w:rsidRPr="00A50E4D">
        <w:rPr>
          <w:color w:val="000000"/>
          <w:lang w:val="en-US"/>
        </w:rPr>
        <w:t>, and</w:t>
      </w:r>
      <w:r w:rsidRPr="00A50E4D">
        <w:rPr>
          <w:b/>
          <w:bCs/>
          <w:color w:val="000000"/>
          <w:lang w:val="en-US"/>
        </w:rPr>
        <w:t> </w:t>
      </w:r>
      <w:r w:rsidRPr="00A50E4D">
        <w:rPr>
          <w:bCs/>
          <w:i/>
          <w:color w:val="000000"/>
          <w:lang w:val="en-US"/>
        </w:rPr>
        <w:t>Case of García and family members v. Guatemala, supra</w:t>
      </w:r>
      <w:r w:rsidRPr="00A50E4D">
        <w:rPr>
          <w:bCs/>
          <w:color w:val="000000"/>
          <w:lang w:val="en-US"/>
        </w:rPr>
        <w:t>, para. 116.</w:t>
      </w:r>
    </w:p>
  </w:footnote>
  <w:footnote w:id="336">
    <w:p w14:paraId="433DB786" w14:textId="165220F9"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Cf.</w:t>
      </w:r>
      <w:r w:rsidRPr="00A50E4D">
        <w:rPr>
          <w:spacing w:val="-4"/>
          <w:sz w:val="16"/>
          <w:szCs w:val="16"/>
          <w:lang w:val="en-US"/>
        </w:rPr>
        <w:t xml:space="preserve"> Statutes of the Association of Judges for Democracy (AJD), published in Official Gazette No. 31,528 of October 10, 2007. Articles 8 and 12. Available at: </w:t>
      </w:r>
      <w:hyperlink r:id="rId74" w:history="1">
        <w:r w:rsidRPr="00A50E4D">
          <w:rPr>
            <w:rStyle w:val="Hyperlink"/>
            <w:spacing w:val="-4"/>
            <w:sz w:val="16"/>
            <w:szCs w:val="16"/>
            <w:lang w:val="en-US"/>
          </w:rPr>
          <w:t>http://www.poderjudicial.gob.hn/asociaciones/Documents/Estatutos%20Asociaci% C3%B3n% 20de%20Judges%20por%20la%20Democracia.pdf</w:t>
        </w:r>
      </w:hyperlink>
      <w:r w:rsidRPr="00A50E4D">
        <w:rPr>
          <w:color w:val="000000" w:themeColor="text1"/>
          <w:spacing w:val="-4"/>
          <w:sz w:val="16"/>
          <w:szCs w:val="16"/>
          <w:lang w:val="en-US"/>
        </w:rPr>
        <w:t xml:space="preserve"> </w:t>
      </w:r>
      <w:r w:rsidRPr="00A50E4D">
        <w:rPr>
          <w:spacing w:val="-4"/>
          <w:sz w:val="16"/>
          <w:szCs w:val="16"/>
          <w:lang w:val="en-US"/>
        </w:rPr>
        <w:t xml:space="preserve">(cited in the Merits Report, merits file, folio 17). </w:t>
      </w:r>
    </w:p>
  </w:footnote>
  <w:footnote w:id="337">
    <w:p w14:paraId="31B6792E" w14:textId="10B1AD4D" w:rsidR="007353B6" w:rsidRPr="00A50E4D" w:rsidRDefault="007353B6" w:rsidP="006F7559">
      <w:pPr>
        <w:pStyle w:val="FootnoteText"/>
        <w:tabs>
          <w:tab w:val="left" w:pos="450"/>
        </w:tabs>
        <w:spacing w:before="120" w:after="120"/>
        <w:rPr>
          <w:b/>
          <w:bCs/>
          <w:lang w:val="en-US"/>
        </w:rPr>
      </w:pPr>
      <w:r w:rsidRPr="00A50E4D">
        <w:rPr>
          <w:rStyle w:val="FootnoteReference"/>
          <w:lang w:val="en-US"/>
        </w:rPr>
        <w:footnoteRef/>
      </w:r>
      <w:r w:rsidRPr="00A50E4D">
        <w:rPr>
          <w:lang w:val="en-US"/>
        </w:rPr>
        <w:t xml:space="preserve"> </w:t>
      </w:r>
      <w:r w:rsidRPr="00A50E4D">
        <w:rPr>
          <w:lang w:val="en-US"/>
        </w:rPr>
        <w:tab/>
        <w:t>The representatives advised that, following the events of this case, Mr. Barrios Maldonado was dismissed from his judicial functions (</w:t>
      </w:r>
      <w:r w:rsidRPr="00A50E4D">
        <w:rPr>
          <w:i/>
          <w:lang w:val="en-US"/>
        </w:rPr>
        <w:t>supra</w:t>
      </w:r>
      <w:r w:rsidRPr="00A50E4D">
        <w:rPr>
          <w:lang w:val="en-US"/>
        </w:rPr>
        <w:t xml:space="preserve"> nota </w:t>
      </w:r>
      <w:r w:rsidRPr="00914F55">
        <w:rPr>
          <w:lang w:val="en-US"/>
        </w:rPr>
        <w:fldChar w:fldCharType="begin"/>
      </w:r>
      <w:r w:rsidRPr="00A50E4D">
        <w:rPr>
          <w:lang w:val="en-US"/>
        </w:rPr>
        <w:instrText xml:space="preserve"> NOTEREF _Ref431893029 \h  \* MERGEFORMAT </w:instrText>
      </w:r>
      <w:r w:rsidRPr="00914F55">
        <w:rPr>
          <w:lang w:val="en-US"/>
        </w:rPr>
      </w:r>
      <w:r w:rsidRPr="00914F55">
        <w:rPr>
          <w:lang w:val="en-US"/>
        </w:rPr>
        <w:fldChar w:fldCharType="separate"/>
      </w:r>
      <w:r>
        <w:rPr>
          <w:lang w:val="en-US"/>
        </w:rPr>
        <w:t>282</w:t>
      </w:r>
      <w:r w:rsidRPr="00914F55">
        <w:rPr>
          <w:lang w:val="en-US"/>
        </w:rPr>
        <w:fldChar w:fldCharType="end"/>
      </w:r>
      <w:r w:rsidRPr="00A50E4D">
        <w:rPr>
          <w:lang w:val="en-US"/>
        </w:rPr>
        <w:t>). Nevertheless, the Court notes that, since that proceeding does not form part of the factual framework of the instant case, it is not appropriate to examine a possible violation of the American Convention as a result of that fact.</w:t>
      </w:r>
    </w:p>
  </w:footnote>
  <w:footnote w:id="338">
    <w:p w14:paraId="4793E35E" w14:textId="5064A679" w:rsidR="007353B6" w:rsidRPr="00914F55" w:rsidRDefault="007353B6" w:rsidP="006F7559">
      <w:pPr>
        <w:tabs>
          <w:tab w:val="left" w:pos="450"/>
          <w:tab w:val="left" w:pos="567"/>
          <w:tab w:val="left" w:pos="709"/>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Article 8(1) of the American Convention </w:t>
      </w:r>
      <w:r w:rsidRPr="00914F55">
        <w:rPr>
          <w:spacing w:val="-4"/>
          <w:sz w:val="16"/>
          <w:szCs w:val="16"/>
          <w:lang w:val="en-US"/>
        </w:rPr>
        <w:t>(judicial guarantees) establishes that: “[e]</w:t>
      </w:r>
      <w:r w:rsidRPr="00914F55">
        <w:rPr>
          <w:snapToGrid w:val="0"/>
          <w:spacing w:val="-3"/>
          <w:sz w:val="16"/>
          <w:szCs w:val="16"/>
          <w:lang w:val="en-US"/>
        </w:rPr>
        <w:t>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r w:rsidRPr="00914F55">
        <w:rPr>
          <w:spacing w:val="-4"/>
          <w:sz w:val="16"/>
          <w:szCs w:val="16"/>
          <w:lang w:val="en-US"/>
        </w:rPr>
        <w:t>”</w:t>
      </w:r>
    </w:p>
  </w:footnote>
  <w:footnote w:id="339">
    <w:p w14:paraId="0F8660C6" w14:textId="7C2337A5" w:rsidR="007353B6" w:rsidRPr="00914F55" w:rsidRDefault="007353B6" w:rsidP="006F7559">
      <w:pPr>
        <w:pStyle w:val="NormalWeb"/>
        <w:tabs>
          <w:tab w:val="left" w:pos="450"/>
          <w:tab w:val="left" w:pos="567"/>
        </w:tabs>
        <w:spacing w:before="120" w:beforeAutospacing="0" w:after="120" w:afterAutospacing="0"/>
        <w:jc w:val="both"/>
        <w:rPr>
          <w:rFonts w:ascii="Verdana" w:hAnsi="Verdana"/>
          <w:spacing w:val="-4"/>
          <w:sz w:val="16"/>
          <w:szCs w:val="16"/>
          <w:lang w:eastAsia="de-DE"/>
        </w:rPr>
      </w:pPr>
      <w:r w:rsidRPr="00914F55">
        <w:rPr>
          <w:rStyle w:val="FootnoteReference"/>
          <w:rFonts w:eastAsia="Calibri"/>
          <w:spacing w:val="-4"/>
        </w:rPr>
        <w:footnoteRef/>
      </w:r>
      <w:r w:rsidRPr="00914F55">
        <w:rPr>
          <w:rFonts w:ascii="Verdana" w:hAnsi="Verdana"/>
          <w:spacing w:val="-4"/>
          <w:sz w:val="16"/>
          <w:szCs w:val="16"/>
          <w:lang w:eastAsia="de-DE"/>
        </w:rPr>
        <w:t xml:space="preserve"> </w:t>
      </w:r>
      <w:r w:rsidRPr="00914F55">
        <w:rPr>
          <w:rFonts w:ascii="Verdana" w:hAnsi="Verdana"/>
          <w:spacing w:val="-4"/>
          <w:sz w:val="16"/>
          <w:szCs w:val="16"/>
          <w:lang w:eastAsia="de-DE"/>
        </w:rPr>
        <w:tab/>
        <w:t>Article 25(1) of the American Convention establishes that: “[e]</w:t>
      </w:r>
      <w:r w:rsidRPr="00914F55">
        <w:rPr>
          <w:rFonts w:ascii="Verdana" w:hAnsi="Verdana"/>
          <w:snapToGrid w:val="0"/>
          <w:spacing w:val="-3"/>
          <w:sz w:val="16"/>
          <w:szCs w:val="16"/>
        </w:rPr>
        <w:t>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r w:rsidRPr="00914F55">
        <w:rPr>
          <w:rFonts w:ascii="Verdana" w:hAnsi="Verdana"/>
          <w:spacing w:val="-4"/>
          <w:sz w:val="16"/>
          <w:szCs w:val="16"/>
          <w:lang w:eastAsia="de-DE"/>
        </w:rPr>
        <w:t>”.</w:t>
      </w:r>
    </w:p>
  </w:footnote>
  <w:footnote w:id="340">
    <w:p w14:paraId="313B3451" w14:textId="52013ECE" w:rsidR="007353B6" w:rsidRPr="00A50E4D" w:rsidRDefault="007353B6" w:rsidP="006F7559">
      <w:pPr>
        <w:pStyle w:val="FootnoteText"/>
        <w:tabs>
          <w:tab w:val="left" w:pos="450"/>
        </w:tabs>
        <w:spacing w:before="120" w:after="120"/>
        <w:rPr>
          <w:spacing w:val="-4"/>
          <w:lang w:val="en-US"/>
        </w:rPr>
      </w:pPr>
      <w:r w:rsidRPr="00914F55">
        <w:rPr>
          <w:rStyle w:val="FootnoteReference"/>
          <w:spacing w:val="-4"/>
          <w:lang w:val="en-US"/>
        </w:rPr>
        <w:footnoteRef/>
      </w:r>
      <w:r w:rsidRPr="00914F55">
        <w:rPr>
          <w:spacing w:val="-4"/>
          <w:lang w:val="en-US"/>
        </w:rPr>
        <w:t xml:space="preserve"> </w:t>
      </w:r>
      <w:r w:rsidRPr="00914F55">
        <w:rPr>
          <w:spacing w:val="-4"/>
          <w:lang w:val="en-US"/>
        </w:rPr>
        <w:tab/>
        <w:t>Article</w:t>
      </w:r>
      <w:r w:rsidRPr="00914F55">
        <w:rPr>
          <w:bCs/>
          <w:spacing w:val="-4"/>
          <w:lang w:val="en-US"/>
        </w:rPr>
        <w:t xml:space="preserve"> 23(1)(c) of the American Convention establishes that:</w:t>
      </w:r>
      <w:r w:rsidRPr="00914F55">
        <w:rPr>
          <w:spacing w:val="-4"/>
          <w:lang w:val="en-US"/>
        </w:rPr>
        <w:t> “[e]</w:t>
      </w:r>
      <w:r w:rsidRPr="00914F55">
        <w:rPr>
          <w:snapToGrid w:val="0"/>
          <w:spacing w:val="-3"/>
          <w:lang w:val="en-US"/>
        </w:rPr>
        <w:t>very citizen shall enjoy the following rights and opportunities</w:t>
      </w:r>
      <w:r w:rsidRPr="00914F55">
        <w:rPr>
          <w:spacing w:val="-4"/>
          <w:lang w:val="en-US"/>
        </w:rPr>
        <w:t xml:space="preserve">: […] </w:t>
      </w:r>
      <w:r w:rsidRPr="00914F55">
        <w:rPr>
          <w:snapToGrid w:val="0"/>
          <w:spacing w:val="-3"/>
          <w:lang w:val="en-US"/>
        </w:rPr>
        <w:t>to have access, under general conditions of equality, to the public service of his country.</w:t>
      </w:r>
      <w:r w:rsidRPr="00914F55">
        <w:rPr>
          <w:spacing w:val="-4"/>
          <w:lang w:val="en-US"/>
        </w:rPr>
        <w:t>”</w:t>
      </w:r>
    </w:p>
  </w:footnote>
  <w:footnote w:id="341">
    <w:p w14:paraId="4752DD98" w14:textId="084EB68E" w:rsidR="007353B6" w:rsidRPr="00A50E4D" w:rsidRDefault="007353B6" w:rsidP="006F7559">
      <w:pPr>
        <w:pStyle w:val="FootnoteText"/>
        <w:tabs>
          <w:tab w:val="left" w:pos="450"/>
        </w:tabs>
        <w:spacing w:before="120" w:after="120"/>
        <w:rPr>
          <w:rFonts w:cs="Arial"/>
          <w:i/>
          <w:spacing w:val="-4"/>
          <w:lang w:val="en-US"/>
        </w:rPr>
      </w:pPr>
      <w:r w:rsidRPr="00A50E4D">
        <w:rPr>
          <w:rStyle w:val="FootnoteReference"/>
          <w:spacing w:val="-4"/>
          <w:lang w:val="en-US"/>
        </w:rPr>
        <w:footnoteRef/>
      </w:r>
      <w:r w:rsidRPr="00F25627">
        <w:rPr>
          <w:rFonts w:cs="Arial"/>
          <w:spacing w:val="-4"/>
          <w:vertAlign w:val="superscript"/>
          <w:lang w:val="es-CR"/>
        </w:rPr>
        <w:t xml:space="preserve"> </w:t>
      </w:r>
      <w:r w:rsidRPr="00F25627">
        <w:rPr>
          <w:rFonts w:cs="Arial"/>
          <w:spacing w:val="-4"/>
          <w:lang w:val="es-CR"/>
        </w:rPr>
        <w:tab/>
      </w:r>
      <w:r w:rsidRPr="00F25627">
        <w:rPr>
          <w:rFonts w:cs="Arial"/>
          <w:i/>
          <w:spacing w:val="-4"/>
          <w:lang w:val="es-CR"/>
        </w:rPr>
        <w:t>Cf. Case of Reverón Trujillo v. Venezuela, supra</w:t>
      </w:r>
      <w:r w:rsidRPr="00F25627">
        <w:rPr>
          <w:rFonts w:cs="Arial"/>
          <w:spacing w:val="-4"/>
          <w:lang w:val="es-CR"/>
        </w:rPr>
        <w:t xml:space="preserve">, para. </w:t>
      </w:r>
      <w:r w:rsidRPr="00A50E4D">
        <w:rPr>
          <w:rFonts w:cs="Arial"/>
          <w:spacing w:val="-4"/>
          <w:lang w:val="en-US"/>
        </w:rPr>
        <w:t>67</w:t>
      </w:r>
      <w:r w:rsidRPr="00A50E4D">
        <w:rPr>
          <w:spacing w:val="-4"/>
          <w:lang w:val="en-US"/>
        </w:rPr>
        <w:t xml:space="preserve">, and </w:t>
      </w:r>
      <w:r w:rsidRPr="00A50E4D">
        <w:rPr>
          <w:i/>
          <w:spacing w:val="-4"/>
          <w:lang w:val="en-US"/>
        </w:rPr>
        <w:t>Case of the Constitutional Tribunal (Camba Campos et al.) v. Ecuador. Preliminary objections, merits, reparations and costs</w:t>
      </w:r>
      <w:r w:rsidRPr="00A50E4D">
        <w:rPr>
          <w:spacing w:val="-4"/>
          <w:lang w:val="en-US"/>
        </w:rPr>
        <w:t>. Judgment of August 28, 2013. Series C No. 268, para. 188.</w:t>
      </w:r>
    </w:p>
  </w:footnote>
  <w:footnote w:id="342">
    <w:p w14:paraId="510BE5B6" w14:textId="367E4898" w:rsidR="007353B6" w:rsidRPr="00A50E4D" w:rsidRDefault="007353B6" w:rsidP="006F7559">
      <w:pPr>
        <w:pStyle w:val="FootnoteText"/>
        <w:tabs>
          <w:tab w:val="left" w:pos="450"/>
        </w:tabs>
        <w:spacing w:before="120" w:after="120"/>
        <w:rPr>
          <w:rFonts w:cs="Arial"/>
          <w:spacing w:val="-4"/>
          <w:lang w:val="en-US"/>
        </w:rPr>
      </w:pPr>
      <w:r w:rsidRPr="00A50E4D">
        <w:rPr>
          <w:rStyle w:val="FootnoteReference"/>
          <w:spacing w:val="-4"/>
          <w:lang w:val="en-US"/>
        </w:rPr>
        <w:footnoteRef/>
      </w:r>
      <w:r w:rsidRPr="00A50E4D">
        <w:rPr>
          <w:rFonts w:cs="Arial"/>
          <w:spacing w:val="-4"/>
          <w:vertAlign w:val="superscript"/>
          <w:lang w:val="en-US"/>
        </w:rPr>
        <w:t xml:space="preserve"> </w:t>
      </w:r>
      <w:r w:rsidRPr="00A50E4D">
        <w:rPr>
          <w:rFonts w:cs="Arial"/>
          <w:spacing w:val="-4"/>
          <w:lang w:val="en-US"/>
        </w:rPr>
        <w:tab/>
      </w:r>
      <w:r w:rsidRPr="00A50E4D">
        <w:rPr>
          <w:rFonts w:cs="Arial"/>
          <w:i/>
          <w:spacing w:val="-4"/>
          <w:lang w:val="en-US"/>
        </w:rPr>
        <w:t xml:space="preserve">Cf. Case of the Constitutional Court v. Peru. Merits, reparations and costs. </w:t>
      </w:r>
      <w:r w:rsidRPr="00A50E4D">
        <w:rPr>
          <w:rFonts w:cs="Arial"/>
          <w:spacing w:val="-4"/>
          <w:lang w:val="en-US"/>
        </w:rPr>
        <w:t>Judgment of January 31, 2001</w:t>
      </w:r>
      <w:r w:rsidRPr="00A50E4D">
        <w:rPr>
          <w:rFonts w:cs="Arial"/>
          <w:bCs/>
          <w:spacing w:val="-4"/>
          <w:lang w:val="en-US"/>
        </w:rPr>
        <w:t xml:space="preserve">, </w:t>
      </w:r>
      <w:r w:rsidRPr="00A50E4D">
        <w:rPr>
          <w:rFonts w:cs="Arial"/>
          <w:spacing w:val="-4"/>
          <w:lang w:val="en-US"/>
        </w:rPr>
        <w:t xml:space="preserve">para. 75, and </w:t>
      </w:r>
      <w:r w:rsidRPr="00A50E4D">
        <w:rPr>
          <w:i/>
          <w:spacing w:val="-4"/>
          <w:lang w:val="en-US"/>
        </w:rPr>
        <w:t>Case of the Constitutional Tribunal (Camba Campos et al.) v. Ecuador, supra</w:t>
      </w:r>
      <w:r w:rsidRPr="00A50E4D">
        <w:rPr>
          <w:spacing w:val="-4"/>
          <w:lang w:val="en-US"/>
        </w:rPr>
        <w:t>, para.</w:t>
      </w:r>
      <w:r w:rsidRPr="00A50E4D">
        <w:rPr>
          <w:rFonts w:cs="Arial"/>
          <w:spacing w:val="-4"/>
          <w:lang w:val="en-US"/>
        </w:rPr>
        <w:t xml:space="preserve">188. See also: ECHR, </w:t>
      </w:r>
      <w:r w:rsidRPr="00A50E4D">
        <w:rPr>
          <w:rFonts w:cs="Arial"/>
          <w:i/>
          <w:spacing w:val="-4"/>
          <w:lang w:val="en-US"/>
        </w:rPr>
        <w:t xml:space="preserve">Case of Campbell and Fell v. The United Kingdom, </w:t>
      </w:r>
      <w:r w:rsidRPr="00A50E4D">
        <w:rPr>
          <w:rFonts w:cs="Arial"/>
          <w:spacing w:val="-4"/>
          <w:lang w:val="en-US"/>
        </w:rPr>
        <w:t xml:space="preserve">Judgment of June 28, 1984, para. 78; </w:t>
      </w:r>
      <w:r w:rsidRPr="00A50E4D">
        <w:rPr>
          <w:rFonts w:cs="Arial"/>
          <w:i/>
          <w:spacing w:val="-4"/>
          <w:lang w:val="en-US"/>
        </w:rPr>
        <w:t>Case of Langborger v. Sweden,</w:t>
      </w:r>
      <w:r w:rsidRPr="00A50E4D">
        <w:rPr>
          <w:rFonts w:cs="Arial"/>
          <w:spacing w:val="-4"/>
          <w:lang w:val="en-US"/>
        </w:rPr>
        <w:t xml:space="preserve"> Judgment of January 22, 1989, para. 32, and </w:t>
      </w:r>
      <w:r w:rsidRPr="00914F55">
        <w:rPr>
          <w:rFonts w:cs="Arial"/>
          <w:spacing w:val="-4"/>
          <w:lang w:val="en-US"/>
        </w:rPr>
        <w:t>Principle 10</w:t>
      </w:r>
      <w:r w:rsidRPr="00A50E4D">
        <w:rPr>
          <w:rFonts w:cs="Arial"/>
          <w:spacing w:val="-4"/>
          <w:lang w:val="en-US"/>
        </w:rPr>
        <w:t xml:space="preserve"> of the </w:t>
      </w:r>
      <w:r w:rsidRPr="00914F55">
        <w:rPr>
          <w:rFonts w:cs="Arial"/>
          <w:spacing w:val="-4"/>
          <w:lang w:val="en-US"/>
        </w:rPr>
        <w:t>U</w:t>
      </w:r>
      <w:r w:rsidRPr="00914F55">
        <w:rPr>
          <w:rFonts w:cs="Tahoma"/>
          <w:lang w:val="en-US"/>
        </w:rPr>
        <w:t xml:space="preserve">nited Nations Basic Principles on the Independence of the Judiciary </w:t>
      </w:r>
      <w:r w:rsidRPr="00914F55">
        <w:rPr>
          <w:rFonts w:eastAsiaTheme="minorHAnsi" w:cs="Arial"/>
          <w:spacing w:val="-4"/>
          <w:lang w:val="en-US" w:eastAsia="en-US"/>
        </w:rPr>
        <w:t>(adopted by the Seventh United Nations Congress on the Prevention of Crime and the Treatment of Offenders held in Milan from 26 August to 6 September 1985 and endorsed by General Assembly resolutions 40/32 of 29 November 1985 and 40/146 of 13 December 1985.</w:t>
      </w:r>
    </w:p>
  </w:footnote>
  <w:footnote w:id="343">
    <w:p w14:paraId="50785A9F" w14:textId="6AD2D16D" w:rsidR="007353B6" w:rsidRPr="00A50E4D" w:rsidRDefault="007353B6" w:rsidP="006F7559">
      <w:pPr>
        <w:pStyle w:val="FootnoteText"/>
        <w:tabs>
          <w:tab w:val="left" w:pos="450"/>
        </w:tabs>
        <w:spacing w:before="120" w:after="120"/>
        <w:rPr>
          <w:rFonts w:cs="Arial"/>
          <w:spacing w:val="-4"/>
          <w:lang w:val="en-US"/>
        </w:rPr>
      </w:pPr>
      <w:r w:rsidRPr="00A50E4D">
        <w:rPr>
          <w:rStyle w:val="FootnoteReference"/>
          <w:spacing w:val="-4"/>
          <w:lang w:val="en-US"/>
        </w:rPr>
        <w:footnoteRef/>
      </w:r>
      <w:r w:rsidRPr="00A50E4D">
        <w:rPr>
          <w:rFonts w:cs="Arial"/>
          <w:spacing w:val="-4"/>
          <w:lang w:val="en-US"/>
        </w:rPr>
        <w:t xml:space="preserve"> </w:t>
      </w:r>
      <w:r w:rsidRPr="00A50E4D">
        <w:rPr>
          <w:rFonts w:cs="Arial"/>
          <w:spacing w:val="-4"/>
          <w:lang w:val="en-US"/>
        </w:rPr>
        <w:tab/>
      </w:r>
      <w:r w:rsidRPr="00A50E4D">
        <w:rPr>
          <w:rFonts w:cs="Arial"/>
          <w:i/>
          <w:spacing w:val="-4"/>
          <w:lang w:val="en-US"/>
        </w:rPr>
        <w:t>Cf. Case of the Constitutional Court v. Peru, supra</w:t>
      </w:r>
      <w:r w:rsidRPr="00A50E4D">
        <w:rPr>
          <w:rFonts w:cs="Arial"/>
          <w:bCs/>
          <w:spacing w:val="-4"/>
          <w:lang w:val="en-US"/>
        </w:rPr>
        <w:t xml:space="preserve">, </w:t>
      </w:r>
      <w:r w:rsidRPr="00A50E4D">
        <w:rPr>
          <w:rFonts w:cs="Arial"/>
          <w:spacing w:val="-4"/>
          <w:lang w:val="en-US"/>
        </w:rPr>
        <w:t xml:space="preserve">para. 75, and </w:t>
      </w:r>
      <w:r w:rsidRPr="00A50E4D">
        <w:rPr>
          <w:i/>
          <w:spacing w:val="-4"/>
          <w:lang w:val="en-US"/>
        </w:rPr>
        <w:t>Case of the Constitutional Tribunal (Camba Campos et al.) v. Ecuador, supra</w:t>
      </w:r>
      <w:r w:rsidRPr="00A50E4D">
        <w:rPr>
          <w:spacing w:val="-4"/>
          <w:lang w:val="en-US"/>
        </w:rPr>
        <w:t>, para.</w:t>
      </w:r>
      <w:r w:rsidRPr="00A50E4D">
        <w:rPr>
          <w:rFonts w:cs="Arial"/>
          <w:spacing w:val="-4"/>
          <w:lang w:val="en-US"/>
        </w:rPr>
        <w:t xml:space="preserve">188. See also </w:t>
      </w:r>
      <w:r w:rsidRPr="00914F55">
        <w:rPr>
          <w:rFonts w:cs="Arial"/>
          <w:spacing w:val="-4"/>
          <w:lang w:val="en-US"/>
        </w:rPr>
        <w:t>Principle 12</w:t>
      </w:r>
      <w:r w:rsidRPr="00A50E4D">
        <w:rPr>
          <w:rFonts w:cs="Arial"/>
          <w:spacing w:val="-4"/>
          <w:lang w:val="en-US"/>
        </w:rPr>
        <w:t xml:space="preserve"> of the </w:t>
      </w:r>
      <w:r w:rsidRPr="00A50E4D">
        <w:rPr>
          <w:spacing w:val="-4"/>
          <w:lang w:val="en-US"/>
        </w:rPr>
        <w:t>United Nations Basic Principles.</w:t>
      </w:r>
    </w:p>
  </w:footnote>
  <w:footnote w:id="344">
    <w:p w14:paraId="343967FE" w14:textId="719DB37C" w:rsidR="007353B6" w:rsidRPr="00A50E4D" w:rsidRDefault="007353B6" w:rsidP="006F7559">
      <w:pPr>
        <w:pStyle w:val="FootnoteText"/>
        <w:tabs>
          <w:tab w:val="left" w:pos="450"/>
        </w:tabs>
        <w:spacing w:before="120" w:after="120"/>
        <w:rPr>
          <w:rFonts w:cs="Arial"/>
          <w:spacing w:val="-4"/>
          <w:lang w:val="en-US"/>
        </w:rPr>
      </w:pPr>
      <w:r w:rsidRPr="00A50E4D">
        <w:rPr>
          <w:rStyle w:val="FootnoteReference"/>
          <w:spacing w:val="-4"/>
          <w:lang w:val="en-US"/>
        </w:rPr>
        <w:footnoteRef/>
      </w:r>
      <w:r w:rsidRPr="00A50E4D">
        <w:rPr>
          <w:rFonts w:cs="Arial"/>
          <w:spacing w:val="-4"/>
          <w:vertAlign w:val="superscript"/>
          <w:lang w:val="en-US"/>
        </w:rPr>
        <w:t xml:space="preserve"> </w:t>
      </w:r>
      <w:r w:rsidRPr="00A50E4D">
        <w:rPr>
          <w:rFonts w:cs="Arial"/>
          <w:spacing w:val="-4"/>
          <w:lang w:val="en-US"/>
        </w:rPr>
        <w:tab/>
      </w:r>
      <w:r w:rsidRPr="00A50E4D">
        <w:rPr>
          <w:rFonts w:cs="Arial"/>
          <w:i/>
          <w:spacing w:val="-4"/>
          <w:lang w:val="en-US"/>
        </w:rPr>
        <w:t>Cf. Case of the Constitutional Court v. Peru, supra</w:t>
      </w:r>
      <w:r w:rsidRPr="00A50E4D">
        <w:rPr>
          <w:rFonts w:cs="Arial"/>
          <w:bCs/>
          <w:spacing w:val="-4"/>
          <w:lang w:val="en-US"/>
        </w:rPr>
        <w:t xml:space="preserve">, </w:t>
      </w:r>
      <w:r w:rsidRPr="00A50E4D">
        <w:rPr>
          <w:rFonts w:cs="Arial"/>
          <w:spacing w:val="-4"/>
          <w:lang w:val="en-US"/>
        </w:rPr>
        <w:t xml:space="preserve">para. 75, and </w:t>
      </w:r>
      <w:r w:rsidRPr="00A50E4D">
        <w:rPr>
          <w:i/>
          <w:spacing w:val="-4"/>
          <w:lang w:val="en-US"/>
        </w:rPr>
        <w:t>Case of the Constitutional Tribunal (Camba Campos et al.) v. Ecuador, supra</w:t>
      </w:r>
      <w:r w:rsidRPr="00A50E4D">
        <w:rPr>
          <w:spacing w:val="-4"/>
          <w:lang w:val="en-US"/>
        </w:rPr>
        <w:t>, para.</w:t>
      </w:r>
      <w:r w:rsidRPr="00A50E4D">
        <w:rPr>
          <w:rFonts w:cs="Arial"/>
          <w:spacing w:val="-4"/>
          <w:lang w:val="en-US"/>
        </w:rPr>
        <w:t xml:space="preserve">188. See also, </w:t>
      </w:r>
      <w:r w:rsidRPr="00914F55">
        <w:rPr>
          <w:rFonts w:cs="Arial"/>
          <w:spacing w:val="-4"/>
          <w:lang w:val="en-US"/>
        </w:rPr>
        <w:t>Principles 2 and 4 of</w:t>
      </w:r>
      <w:r w:rsidRPr="00A50E4D">
        <w:rPr>
          <w:rFonts w:cs="Arial"/>
          <w:spacing w:val="-4"/>
          <w:lang w:val="en-US"/>
        </w:rPr>
        <w:t xml:space="preserve"> the </w:t>
      </w:r>
      <w:r w:rsidRPr="00A50E4D">
        <w:rPr>
          <w:spacing w:val="-4"/>
          <w:lang w:val="en-US"/>
        </w:rPr>
        <w:t>United Nations Basic Principles.</w:t>
      </w:r>
    </w:p>
  </w:footnote>
  <w:footnote w:id="345">
    <w:p w14:paraId="08C620BC" w14:textId="77777777"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bCs/>
          <w:i/>
          <w:spacing w:val="-4"/>
          <w:lang w:val="en-US"/>
        </w:rPr>
        <w:t>Case of the Supreme Court of Justice (Quintana Coello et al.) v. Ecuador. Preliminary objection, merits, reparations and costs.</w:t>
      </w:r>
      <w:r w:rsidRPr="00A50E4D">
        <w:rPr>
          <w:bCs/>
          <w:spacing w:val="-4"/>
          <w:lang w:val="en-US"/>
        </w:rPr>
        <w:t xml:space="preserve"> Judgment of August 23, 2013. Series C No. 266, para. 155, and </w:t>
      </w:r>
      <w:r w:rsidRPr="00A50E4D">
        <w:rPr>
          <w:bCs/>
          <w:i/>
          <w:spacing w:val="-4"/>
          <w:lang w:val="en-US"/>
        </w:rPr>
        <w:t>Case of the Constitutional Tribunal (Camba Campos et al.) v. Ecuador, supra</w:t>
      </w:r>
      <w:r w:rsidRPr="00A50E4D">
        <w:rPr>
          <w:bCs/>
          <w:spacing w:val="-4"/>
          <w:lang w:val="en-US"/>
        </w:rPr>
        <w:t>, para. 199.</w:t>
      </w:r>
    </w:p>
  </w:footnote>
  <w:footnote w:id="346">
    <w:p w14:paraId="4729A28B" w14:textId="521E9C59"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rStyle w:val="Strong"/>
          <w:b w:val="0"/>
          <w:i/>
          <w:color w:val="000000"/>
          <w:spacing w:val="-4"/>
          <w:shd w:val="clear" w:color="auto" w:fill="FFFFFF"/>
          <w:lang w:val="en-US"/>
        </w:rPr>
        <w:t>Cf. Case of the Supreme Court of Justice (Quintana Coello et al.) v. Ecuador, supra</w:t>
      </w:r>
      <w:r w:rsidRPr="00A50E4D">
        <w:rPr>
          <w:rStyle w:val="Strong"/>
          <w:b w:val="0"/>
          <w:color w:val="000000"/>
          <w:spacing w:val="-4"/>
          <w:shd w:val="clear" w:color="auto" w:fill="FFFFFF"/>
          <w:lang w:val="en-US"/>
        </w:rPr>
        <w:t xml:space="preserve">, para. 153, and </w:t>
      </w:r>
      <w:r w:rsidRPr="00A50E4D">
        <w:rPr>
          <w:rStyle w:val="Strong"/>
          <w:b w:val="0"/>
          <w:i/>
          <w:color w:val="000000"/>
          <w:spacing w:val="-4"/>
          <w:shd w:val="clear" w:color="auto" w:fill="FFFFFF"/>
          <w:lang w:val="en-US"/>
        </w:rPr>
        <w:t>Case of the Constitutional Tribunal (Camba Campos et al.) v. Ecuador, supra</w:t>
      </w:r>
      <w:r w:rsidRPr="00A50E4D">
        <w:rPr>
          <w:spacing w:val="-4"/>
          <w:lang w:val="en-US"/>
        </w:rPr>
        <w:t>, para. 197.</w:t>
      </w:r>
    </w:p>
  </w:footnote>
  <w:footnote w:id="347">
    <w:p w14:paraId="234D8052" w14:textId="13659897"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Cf.</w:t>
      </w:r>
      <w:r w:rsidRPr="00A50E4D">
        <w:rPr>
          <w:spacing w:val="-4"/>
          <w:lang w:val="en-US"/>
        </w:rPr>
        <w:t xml:space="preserve"> </w:t>
      </w:r>
      <w:r w:rsidRPr="00A50E4D">
        <w:rPr>
          <w:i/>
          <w:spacing w:val="-4"/>
          <w:lang w:val="en-US"/>
        </w:rPr>
        <w:t xml:space="preserve">Case of Apitz Barbera et al. (“First Court of Administrative Disputes”) v. Venezuela. Preliminary objection, merits, reparations and costs. </w:t>
      </w:r>
      <w:r w:rsidRPr="00A50E4D">
        <w:rPr>
          <w:spacing w:val="-4"/>
          <w:lang w:val="en-US"/>
        </w:rPr>
        <w:t>Judgment of August 5, 2008, para.</w:t>
      </w:r>
      <w:r w:rsidRPr="00A50E4D">
        <w:rPr>
          <w:i/>
          <w:spacing w:val="-4"/>
          <w:lang w:val="en-US"/>
        </w:rPr>
        <w:t xml:space="preserve"> </w:t>
      </w:r>
      <w:r w:rsidRPr="00A50E4D">
        <w:rPr>
          <w:spacing w:val="-4"/>
          <w:lang w:val="en-US"/>
        </w:rPr>
        <w:t xml:space="preserve">55, and </w:t>
      </w:r>
      <w:r w:rsidRPr="00A50E4D">
        <w:rPr>
          <w:rStyle w:val="Strong"/>
          <w:b w:val="0"/>
          <w:i/>
          <w:color w:val="000000"/>
          <w:spacing w:val="-4"/>
          <w:shd w:val="clear" w:color="auto" w:fill="FFFFFF"/>
          <w:lang w:val="en-US"/>
        </w:rPr>
        <w:t>Case of the Constitutional Tribunal (Camba Campos et al.) v. Ecuador, supra</w:t>
      </w:r>
      <w:r w:rsidRPr="00A50E4D">
        <w:rPr>
          <w:spacing w:val="-4"/>
          <w:lang w:val="en-US"/>
        </w:rPr>
        <w:t>, para. 198.</w:t>
      </w:r>
    </w:p>
  </w:footnote>
  <w:footnote w:id="348">
    <w:p w14:paraId="6F408AC0" w14:textId="38BD2B66"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Cf.</w:t>
      </w:r>
      <w:r w:rsidRPr="00A50E4D">
        <w:rPr>
          <w:spacing w:val="-4"/>
          <w:lang w:val="en-US"/>
        </w:rPr>
        <w:t xml:space="preserve"> The United Nations Basic Principles</w:t>
      </w:r>
      <w:r w:rsidRPr="00A50E4D">
        <w:rPr>
          <w:rFonts w:cs="Arial"/>
          <w:color w:val="000000"/>
          <w:spacing w:val="-4"/>
          <w:lang w:val="en-US"/>
        </w:rPr>
        <w:t>.</w:t>
      </w:r>
    </w:p>
  </w:footnote>
  <w:footnote w:id="349">
    <w:p w14:paraId="1A17D419" w14:textId="5D68F16B" w:rsidR="007353B6" w:rsidRPr="00A50E4D" w:rsidRDefault="007353B6" w:rsidP="006F7559">
      <w:pPr>
        <w:pStyle w:val="FootnoteText"/>
        <w:tabs>
          <w:tab w:val="left" w:pos="450"/>
        </w:tabs>
        <w:spacing w:before="120" w:after="120"/>
        <w:rPr>
          <w:rFonts w:cs="Arial"/>
          <w:spacing w:val="-4"/>
          <w:lang w:val="en-US"/>
        </w:rPr>
      </w:pPr>
      <w:r w:rsidRPr="00A50E4D">
        <w:rPr>
          <w:rStyle w:val="FootnoteReference"/>
          <w:lang w:val="en-US"/>
        </w:rPr>
        <w:footnoteRef/>
      </w:r>
      <w:r w:rsidRPr="00A50E4D">
        <w:rPr>
          <w:lang w:val="en-US"/>
        </w:rPr>
        <w:t xml:space="preserve"> </w:t>
      </w:r>
      <w:r w:rsidRPr="00A50E4D">
        <w:rPr>
          <w:lang w:val="en-US"/>
        </w:rPr>
        <w:tab/>
      </w:r>
      <w:r w:rsidRPr="00914F55">
        <w:rPr>
          <w:rFonts w:cs="Arial"/>
          <w:spacing w:val="-4"/>
          <w:lang w:val="en-US"/>
        </w:rPr>
        <w:t>Principle 11</w:t>
      </w:r>
      <w:r w:rsidRPr="00A50E4D">
        <w:rPr>
          <w:rFonts w:cs="Arial"/>
          <w:spacing w:val="-4"/>
          <w:lang w:val="en-US"/>
        </w:rPr>
        <w:t xml:space="preserve"> of the United Nations Basic Principles.</w:t>
      </w:r>
    </w:p>
  </w:footnote>
  <w:footnote w:id="350">
    <w:p w14:paraId="1F308FBC" w14:textId="2D736E2D" w:rsidR="007353B6" w:rsidRPr="00A50E4D" w:rsidRDefault="007353B6" w:rsidP="006F7559">
      <w:pPr>
        <w:pStyle w:val="FootnoteText"/>
        <w:tabs>
          <w:tab w:val="left" w:pos="450"/>
        </w:tabs>
        <w:spacing w:before="120" w:after="120"/>
        <w:rPr>
          <w:rFonts w:cs="Arial"/>
          <w:spacing w:val="-4"/>
          <w:lang w:val="en-US"/>
        </w:rPr>
      </w:pPr>
      <w:r w:rsidRPr="00A50E4D">
        <w:rPr>
          <w:rStyle w:val="FootnoteReference"/>
          <w:spacing w:val="-4"/>
          <w:lang w:val="en-US"/>
        </w:rPr>
        <w:footnoteRef/>
      </w:r>
      <w:r w:rsidRPr="00A50E4D">
        <w:rPr>
          <w:rFonts w:cs="Arial"/>
          <w:spacing w:val="-4"/>
          <w:lang w:val="en-US"/>
        </w:rPr>
        <w:t xml:space="preserve"> </w:t>
      </w:r>
      <w:r w:rsidRPr="00A50E4D">
        <w:rPr>
          <w:rFonts w:cs="Arial"/>
          <w:spacing w:val="-4"/>
          <w:lang w:val="en-US"/>
        </w:rPr>
        <w:tab/>
      </w:r>
      <w:r w:rsidRPr="00914F55">
        <w:rPr>
          <w:rFonts w:cs="Arial"/>
          <w:spacing w:val="-4"/>
          <w:lang w:val="en-US"/>
        </w:rPr>
        <w:t>Principle 12 of</w:t>
      </w:r>
      <w:r w:rsidRPr="00A50E4D">
        <w:rPr>
          <w:rFonts w:cs="Arial"/>
          <w:spacing w:val="-4"/>
          <w:lang w:val="en-US"/>
        </w:rPr>
        <w:t xml:space="preserve"> the United Nations Basic Principles.</w:t>
      </w:r>
    </w:p>
  </w:footnote>
  <w:footnote w:id="351">
    <w:p w14:paraId="2506F22B" w14:textId="4F101BD1" w:rsidR="007353B6" w:rsidRPr="00A50E4D" w:rsidRDefault="007353B6" w:rsidP="006F7559">
      <w:pPr>
        <w:pStyle w:val="FootnoteText"/>
        <w:tabs>
          <w:tab w:val="left" w:pos="450"/>
        </w:tabs>
        <w:spacing w:before="120" w:after="120"/>
        <w:rPr>
          <w:lang w:val="en-US"/>
        </w:rPr>
      </w:pPr>
      <w:r w:rsidRPr="00A50E4D">
        <w:rPr>
          <w:rStyle w:val="FootnoteReference"/>
          <w:spacing w:val="-4"/>
          <w:lang w:val="en-US"/>
        </w:rPr>
        <w:footnoteRef/>
      </w:r>
      <w:r w:rsidRPr="00A50E4D">
        <w:rPr>
          <w:rFonts w:cs="Arial"/>
          <w:spacing w:val="-4"/>
          <w:vertAlign w:val="superscript"/>
          <w:lang w:val="en-US"/>
        </w:rPr>
        <w:t xml:space="preserve"> </w:t>
      </w:r>
      <w:r w:rsidRPr="00A50E4D">
        <w:rPr>
          <w:rFonts w:cs="Arial"/>
          <w:spacing w:val="-4"/>
          <w:lang w:val="en-US"/>
        </w:rPr>
        <w:tab/>
      </w:r>
      <w:r w:rsidRPr="00A50E4D">
        <w:rPr>
          <w:rFonts w:cs="Arial"/>
          <w:i/>
          <w:spacing w:val="-4"/>
          <w:lang w:val="en-US"/>
        </w:rPr>
        <w:t xml:space="preserve">Cf. </w:t>
      </w:r>
      <w:r w:rsidRPr="00A50E4D">
        <w:rPr>
          <w:rFonts w:cs="Arial"/>
          <w:spacing w:val="-4"/>
          <w:lang w:val="en-US"/>
        </w:rPr>
        <w:t xml:space="preserve">Human Rights Committee. General Comment No. 32, Article 14: </w:t>
      </w:r>
      <w:r w:rsidRPr="00A50E4D">
        <w:rPr>
          <w:rStyle w:val="Strong"/>
          <w:b w:val="0"/>
          <w:lang w:val="en-US"/>
        </w:rPr>
        <w:t>Right to equality before courts and tribunals and to a fair trial</w:t>
      </w:r>
      <w:r w:rsidRPr="00A50E4D">
        <w:rPr>
          <w:rFonts w:cs="Arial"/>
          <w:spacing w:val="-4"/>
          <w:lang w:val="en-US"/>
        </w:rPr>
        <w:t xml:space="preserve">, CCPR/C/GC/32, August 23, 2007, para. 20. In addition, in this same General Comment, the Committee stated that: </w:t>
      </w:r>
      <w:r w:rsidRPr="00914F55">
        <w:rPr>
          <w:spacing w:val="-4"/>
          <w:lang w:val="en-US"/>
        </w:rPr>
        <w:t>“[t]</w:t>
      </w:r>
      <w:r w:rsidRPr="00914F55">
        <w:rPr>
          <w:lang w:val="en-US"/>
        </w:rPr>
        <w:t>he dismissal of judges by the executive, e.g. before the expiry of the term for which they have been appointed, without any specific reasons given to them and without effective judicial protection being available to contest the dismissal is incompatible with the independence of the judiciary</w:t>
      </w:r>
      <w:r w:rsidRPr="00A50E4D">
        <w:rPr>
          <w:spacing w:val="-4"/>
          <w:lang w:val="en-US"/>
        </w:rPr>
        <w:t>” (para. 20).</w:t>
      </w:r>
      <w:r w:rsidRPr="00A50E4D">
        <w:rPr>
          <w:i/>
          <w:spacing w:val="-4"/>
          <w:lang w:val="en-US"/>
        </w:rPr>
        <w:t xml:space="preserve"> </w:t>
      </w:r>
      <w:r w:rsidRPr="00A50E4D">
        <w:rPr>
          <w:spacing w:val="-4"/>
          <w:lang w:val="en-US"/>
        </w:rPr>
        <w:t xml:space="preserve">In addition, the United Nations Basic Principles establish that </w:t>
      </w:r>
      <w:r w:rsidRPr="00914F55">
        <w:rPr>
          <w:spacing w:val="-4"/>
          <w:lang w:val="en-US"/>
        </w:rPr>
        <w:t>“</w:t>
      </w:r>
      <w:r w:rsidRPr="00914F55">
        <w:rPr>
          <w:lang w:val="en-US"/>
        </w:rPr>
        <w:t>[j]udges shall be subject to suspension or removal only for reasons of incapacity or behaviour that renders them unfit to discharge their duties,</w:t>
      </w:r>
      <w:r w:rsidRPr="00914F55">
        <w:rPr>
          <w:spacing w:val="-4"/>
          <w:lang w:val="en-US"/>
        </w:rPr>
        <w:t>” and that “[a]</w:t>
      </w:r>
      <w:r w:rsidRPr="00914F55">
        <w:rPr>
          <w:lang w:val="en-US"/>
        </w:rPr>
        <w:t>ll disciplinary, suspension or removal proceedings shall be determined in accordance with established standards of judicial conduct.</w:t>
      </w:r>
      <w:r w:rsidRPr="00914F55">
        <w:rPr>
          <w:rFonts w:cs="Arial"/>
          <w:spacing w:val="-4"/>
          <w:lang w:val="en-US" w:eastAsia="ko-KR"/>
        </w:rPr>
        <w:t>”</w:t>
      </w:r>
      <w:r w:rsidRPr="00A50E4D">
        <w:rPr>
          <w:rFonts w:cs="Arial"/>
          <w:spacing w:val="-4"/>
          <w:lang w:val="en-US" w:eastAsia="ko-KR"/>
        </w:rPr>
        <w:t xml:space="preserve"> </w:t>
      </w:r>
      <w:r w:rsidRPr="00A50E4D">
        <w:rPr>
          <w:rFonts w:cs="Arial"/>
          <w:spacing w:val="-4"/>
          <w:lang w:val="en-US"/>
        </w:rPr>
        <w:t>Pri</w:t>
      </w:r>
      <w:r w:rsidRPr="00914F55">
        <w:rPr>
          <w:rFonts w:cs="Arial"/>
          <w:spacing w:val="-4"/>
          <w:lang w:val="en-US"/>
        </w:rPr>
        <w:t>nciples 18 and 19,</w:t>
      </w:r>
      <w:r w:rsidRPr="00A50E4D">
        <w:rPr>
          <w:rFonts w:cs="Arial"/>
          <w:spacing w:val="-4"/>
          <w:lang w:val="en-US"/>
        </w:rPr>
        <w:t xml:space="preserve"> respectively, of the United Nations Basic Principles.</w:t>
      </w:r>
    </w:p>
  </w:footnote>
  <w:footnote w:id="352">
    <w:p w14:paraId="1685316B" w14:textId="11385513" w:rsidR="007353B6" w:rsidRPr="00A50E4D" w:rsidRDefault="007353B6" w:rsidP="006F7559">
      <w:pPr>
        <w:pStyle w:val="FootnoteText"/>
        <w:tabs>
          <w:tab w:val="left" w:pos="450"/>
          <w:tab w:val="left" w:pos="720"/>
        </w:tabs>
        <w:spacing w:before="120" w:after="120"/>
        <w:rPr>
          <w:rFonts w:cs="Arial"/>
          <w:i/>
          <w:spacing w:val="-4"/>
          <w:lang w:val="en-US"/>
        </w:rPr>
      </w:pPr>
      <w:r w:rsidRPr="00A50E4D">
        <w:rPr>
          <w:rStyle w:val="FootnoteReference"/>
          <w:spacing w:val="-4"/>
          <w:lang w:val="en-US"/>
        </w:rPr>
        <w:footnoteRef/>
      </w:r>
      <w:r w:rsidRPr="00A50E4D">
        <w:rPr>
          <w:rFonts w:cs="Arial"/>
          <w:spacing w:val="-4"/>
          <w:lang w:val="en-US"/>
        </w:rPr>
        <w:t xml:space="preserve"> </w:t>
      </w:r>
      <w:r w:rsidRPr="00A50E4D">
        <w:rPr>
          <w:rFonts w:cs="Arial"/>
          <w:spacing w:val="-4"/>
          <w:lang w:val="en-US"/>
        </w:rPr>
        <w:tab/>
      </w:r>
      <w:r w:rsidRPr="00A50E4D">
        <w:rPr>
          <w:rFonts w:cs="Arial"/>
          <w:i/>
          <w:spacing w:val="-4"/>
          <w:lang w:val="en-US"/>
        </w:rPr>
        <w:t>Cf. Case of the Constitutional Court v. Peru, supra</w:t>
      </w:r>
      <w:r w:rsidRPr="00A50E4D">
        <w:rPr>
          <w:rFonts w:cs="Arial"/>
          <w:bCs/>
          <w:spacing w:val="-4"/>
          <w:lang w:val="en-US"/>
        </w:rPr>
        <w:t xml:space="preserve">, </w:t>
      </w:r>
      <w:r w:rsidRPr="00A50E4D">
        <w:rPr>
          <w:rFonts w:cs="Arial"/>
          <w:spacing w:val="-4"/>
          <w:lang w:val="en-US"/>
        </w:rPr>
        <w:t xml:space="preserve">para. 74, and </w:t>
      </w:r>
      <w:r w:rsidRPr="00A50E4D">
        <w:rPr>
          <w:rStyle w:val="Strong"/>
          <w:b w:val="0"/>
          <w:i/>
          <w:color w:val="000000"/>
          <w:spacing w:val="-4"/>
          <w:shd w:val="clear" w:color="auto" w:fill="FFFFFF"/>
          <w:lang w:val="en-US"/>
        </w:rPr>
        <w:t>Case of the Constitutional Tribunal (Camba Campos et al.) v. Ecuador, supra</w:t>
      </w:r>
      <w:r w:rsidRPr="00A50E4D">
        <w:rPr>
          <w:spacing w:val="-4"/>
          <w:lang w:val="en-US"/>
        </w:rPr>
        <w:t>, para. 198.</w:t>
      </w:r>
    </w:p>
  </w:footnote>
  <w:footnote w:id="353">
    <w:p w14:paraId="0EC58887" w14:textId="5AA55C11" w:rsidR="007353B6" w:rsidRPr="00A50E4D" w:rsidRDefault="007353B6" w:rsidP="006F7559">
      <w:pPr>
        <w:pStyle w:val="FootnoteText"/>
        <w:tabs>
          <w:tab w:val="left" w:pos="450"/>
        </w:tabs>
        <w:spacing w:before="120" w:after="120"/>
        <w:rPr>
          <w:rFonts w:cs="Arial"/>
          <w:spacing w:val="-4"/>
          <w:lang w:val="en-US"/>
        </w:rPr>
      </w:pPr>
      <w:r w:rsidRPr="00A50E4D">
        <w:rPr>
          <w:rStyle w:val="FootnoteReference"/>
          <w:spacing w:val="-4"/>
          <w:lang w:val="en-US"/>
        </w:rPr>
        <w:footnoteRef/>
      </w:r>
      <w:r w:rsidRPr="00A50E4D">
        <w:rPr>
          <w:rFonts w:cs="Arial"/>
          <w:spacing w:val="-4"/>
          <w:vertAlign w:val="superscript"/>
          <w:lang w:val="en-US"/>
        </w:rPr>
        <w:t xml:space="preserve"> </w:t>
      </w:r>
      <w:r w:rsidRPr="00A50E4D">
        <w:rPr>
          <w:rFonts w:cs="Arial"/>
          <w:spacing w:val="-4"/>
          <w:lang w:val="en-US"/>
        </w:rPr>
        <w:tab/>
      </w:r>
      <w:r w:rsidRPr="00A50E4D">
        <w:rPr>
          <w:rFonts w:cs="Arial"/>
          <w:i/>
          <w:spacing w:val="-4"/>
          <w:lang w:val="en-US"/>
        </w:rPr>
        <w:t xml:space="preserve">Cf. </w:t>
      </w:r>
      <w:r w:rsidRPr="00A50E4D">
        <w:rPr>
          <w:i/>
          <w:spacing w:val="-4"/>
          <w:lang w:val="en-US"/>
        </w:rPr>
        <w:t>Case of Apitz Barbera et al. (“First Court of Administrative Disputes”) v. Venezuela, supra</w:t>
      </w:r>
      <w:r w:rsidRPr="00A50E4D">
        <w:rPr>
          <w:spacing w:val="-4"/>
          <w:lang w:val="en-US"/>
        </w:rPr>
        <w:t>, para.</w:t>
      </w:r>
      <w:r w:rsidRPr="00A50E4D">
        <w:rPr>
          <w:i/>
          <w:spacing w:val="-4"/>
          <w:lang w:val="en-US"/>
        </w:rPr>
        <w:t xml:space="preserve"> </w:t>
      </w:r>
      <w:r w:rsidRPr="00A50E4D">
        <w:rPr>
          <w:rFonts w:cs="Arial"/>
          <w:spacing w:val="-4"/>
          <w:lang w:val="en-US"/>
        </w:rPr>
        <w:t xml:space="preserve">44, and </w:t>
      </w:r>
      <w:r w:rsidRPr="00A50E4D">
        <w:rPr>
          <w:rStyle w:val="Strong"/>
          <w:b w:val="0"/>
          <w:i/>
          <w:color w:val="000000"/>
          <w:spacing w:val="-4"/>
          <w:shd w:val="clear" w:color="auto" w:fill="FFFFFF"/>
          <w:lang w:val="en-US"/>
        </w:rPr>
        <w:t>Case of the Constitutional Tribunal (Camba Campos et al.) v. Ecuador, supra</w:t>
      </w:r>
      <w:r w:rsidRPr="00A50E4D">
        <w:rPr>
          <w:spacing w:val="-4"/>
          <w:lang w:val="en-US"/>
        </w:rPr>
        <w:t>, para.189</w:t>
      </w:r>
      <w:r w:rsidRPr="00A50E4D">
        <w:rPr>
          <w:rFonts w:cs="Arial"/>
          <w:spacing w:val="-4"/>
          <w:lang w:val="en-US"/>
        </w:rPr>
        <w:t xml:space="preserve">. See also: </w:t>
      </w:r>
      <w:r w:rsidRPr="00914F55">
        <w:rPr>
          <w:rFonts w:cs="Arial"/>
          <w:spacing w:val="-4"/>
          <w:lang w:val="en-US"/>
        </w:rPr>
        <w:t>Principles 2, 3 and 4 of the United Nations</w:t>
      </w:r>
      <w:r w:rsidRPr="00A50E4D">
        <w:rPr>
          <w:rFonts w:cs="Arial"/>
          <w:spacing w:val="-4"/>
          <w:lang w:val="en-US"/>
        </w:rPr>
        <w:t xml:space="preserve"> Basic Principles.</w:t>
      </w:r>
    </w:p>
  </w:footnote>
  <w:footnote w:id="354">
    <w:p w14:paraId="4B134E6D" w14:textId="5DCFBBC4" w:rsidR="007353B6" w:rsidRPr="00914F55" w:rsidRDefault="007353B6" w:rsidP="006F7559">
      <w:pPr>
        <w:pStyle w:val="FootnoteText"/>
        <w:tabs>
          <w:tab w:val="left" w:pos="450"/>
        </w:tabs>
        <w:spacing w:before="120" w:after="120"/>
        <w:rPr>
          <w:rFonts w:cs="Arial"/>
          <w:spacing w:val="-4"/>
          <w:lang w:val="en-US"/>
        </w:rPr>
      </w:pPr>
      <w:r w:rsidRPr="00A50E4D">
        <w:rPr>
          <w:rStyle w:val="FootnoteReference"/>
          <w:spacing w:val="-4"/>
          <w:lang w:val="en-US"/>
        </w:rPr>
        <w:footnoteRef/>
      </w:r>
      <w:r w:rsidRPr="00A50E4D">
        <w:rPr>
          <w:rFonts w:cs="Arial"/>
          <w:spacing w:val="-4"/>
          <w:vertAlign w:val="superscript"/>
          <w:lang w:val="en-US"/>
        </w:rPr>
        <w:t xml:space="preserve"> </w:t>
      </w:r>
      <w:r w:rsidRPr="00A50E4D">
        <w:rPr>
          <w:rFonts w:cs="Arial"/>
          <w:spacing w:val="-4"/>
          <w:lang w:val="en-US"/>
        </w:rPr>
        <w:tab/>
      </w:r>
      <w:r w:rsidRPr="00914F55">
        <w:rPr>
          <w:rFonts w:cs="Arial"/>
          <w:spacing w:val="-4"/>
          <w:lang w:val="en-US"/>
        </w:rPr>
        <w:t xml:space="preserve">Principle 2 of the United Nations Basic Principles. </w:t>
      </w:r>
    </w:p>
  </w:footnote>
  <w:footnote w:id="355">
    <w:p w14:paraId="3EB48BF5" w14:textId="48E43595" w:rsidR="007353B6" w:rsidRPr="00A50E4D" w:rsidRDefault="007353B6" w:rsidP="006F7559">
      <w:pPr>
        <w:pStyle w:val="FootnoteText"/>
        <w:tabs>
          <w:tab w:val="left" w:pos="450"/>
        </w:tabs>
        <w:spacing w:before="120" w:after="120"/>
        <w:rPr>
          <w:rFonts w:cs="Arial"/>
          <w:spacing w:val="-4"/>
          <w:lang w:val="en-US"/>
        </w:rPr>
      </w:pPr>
      <w:r w:rsidRPr="00914F55">
        <w:rPr>
          <w:rStyle w:val="FootnoteReference"/>
          <w:spacing w:val="-4"/>
          <w:lang w:val="en-US"/>
        </w:rPr>
        <w:footnoteRef/>
      </w:r>
      <w:r w:rsidRPr="00914F55">
        <w:rPr>
          <w:rFonts w:cs="Arial"/>
          <w:spacing w:val="-4"/>
          <w:vertAlign w:val="superscript"/>
          <w:lang w:val="en-US"/>
        </w:rPr>
        <w:t xml:space="preserve"> </w:t>
      </w:r>
      <w:r w:rsidRPr="00914F55">
        <w:rPr>
          <w:rFonts w:cs="Arial"/>
          <w:spacing w:val="-4"/>
          <w:lang w:val="en-US"/>
        </w:rPr>
        <w:tab/>
        <w:t>Principle 4 of the United Nations Basic Principles.</w:t>
      </w:r>
    </w:p>
  </w:footnote>
  <w:footnote w:id="356">
    <w:p w14:paraId="2F6A001C" w14:textId="77DCD367" w:rsidR="007353B6" w:rsidRPr="00A50E4D" w:rsidRDefault="007353B6" w:rsidP="006F7559">
      <w:pPr>
        <w:tabs>
          <w:tab w:val="left" w:pos="450"/>
          <w:tab w:val="left" w:pos="567"/>
        </w:tabs>
        <w:spacing w:before="120" w:after="120"/>
        <w:rPr>
          <w:rFonts w:cs="Arial"/>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rFonts w:cs="Arial"/>
          <w:i/>
          <w:spacing w:val="-4"/>
          <w:sz w:val="16"/>
          <w:szCs w:val="16"/>
          <w:lang w:val="en-US"/>
        </w:rPr>
        <w:t xml:space="preserve">Cf. </w:t>
      </w:r>
      <w:r w:rsidRPr="00A50E4D">
        <w:rPr>
          <w:rFonts w:cs="Arial"/>
          <w:spacing w:val="-4"/>
          <w:sz w:val="16"/>
          <w:szCs w:val="16"/>
          <w:lang w:val="en-US"/>
        </w:rPr>
        <w:t xml:space="preserve">Human Rights Committee, General Comment No. 32: Article 14: </w:t>
      </w:r>
      <w:r w:rsidRPr="00A50E4D">
        <w:rPr>
          <w:rStyle w:val="Strong"/>
          <w:b w:val="0"/>
          <w:sz w:val="16"/>
          <w:szCs w:val="16"/>
          <w:lang w:val="en-US"/>
        </w:rPr>
        <w:t>Right to equality before courts and tribunals and to a fair trial</w:t>
      </w:r>
      <w:r w:rsidRPr="00A50E4D">
        <w:rPr>
          <w:rFonts w:cs="Arial"/>
          <w:spacing w:val="-4"/>
          <w:sz w:val="16"/>
          <w:szCs w:val="16"/>
          <w:lang w:val="en-US"/>
        </w:rPr>
        <w:t xml:space="preserve">, CCPR/C/GC/32, August 23, 2007, para. 20. </w:t>
      </w:r>
      <w:r w:rsidRPr="00A50E4D">
        <w:rPr>
          <w:spacing w:val="-4"/>
          <w:sz w:val="16"/>
          <w:szCs w:val="16"/>
          <w:lang w:val="en-US"/>
        </w:rPr>
        <w:t>See also Human Rights Committee, Communication No. 1376/2005, Soratha Bandaranayake v. Sri Lanka, CCPR/C/93/D/1376/2005, para. 7.3.</w:t>
      </w:r>
    </w:p>
  </w:footnote>
  <w:footnote w:id="357">
    <w:p w14:paraId="1092FE4D" w14:textId="6EB70BA1" w:rsidR="007353B6" w:rsidRPr="00A50E4D" w:rsidRDefault="007353B6" w:rsidP="006F7559">
      <w:pPr>
        <w:pStyle w:val="FootnoteText"/>
        <w:tabs>
          <w:tab w:val="left" w:pos="450"/>
        </w:tabs>
        <w:spacing w:before="120" w:after="120"/>
        <w:rPr>
          <w:rFonts w:cs="Arial"/>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914F55">
        <w:rPr>
          <w:rFonts w:cs="Arial"/>
          <w:spacing w:val="-4"/>
          <w:lang w:val="en-US"/>
        </w:rPr>
        <w:t>Principles 17, 18 and 19 of</w:t>
      </w:r>
      <w:r w:rsidRPr="00A50E4D">
        <w:rPr>
          <w:rFonts w:cs="Arial"/>
          <w:spacing w:val="-4"/>
          <w:lang w:val="en-US"/>
        </w:rPr>
        <w:t xml:space="preserve"> the United Nations Basic Principles.</w:t>
      </w:r>
    </w:p>
  </w:footnote>
  <w:footnote w:id="358">
    <w:p w14:paraId="7232986D" w14:textId="63E23AD9" w:rsidR="007353B6" w:rsidRPr="00A50E4D" w:rsidRDefault="007353B6" w:rsidP="006F7559">
      <w:pPr>
        <w:tabs>
          <w:tab w:val="left" w:pos="450"/>
          <w:tab w:val="left" w:pos="567"/>
        </w:tabs>
        <w:rPr>
          <w:rFonts w:eastAsia="Times New Roman" w:cs="Times New Roman"/>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 xml:space="preserve">Cf. </w:t>
      </w:r>
      <w:r w:rsidRPr="00A50E4D">
        <w:rPr>
          <w:rFonts w:cs="Arial"/>
          <w:bCs/>
          <w:i/>
          <w:spacing w:val="-4"/>
          <w:sz w:val="16"/>
          <w:szCs w:val="16"/>
          <w:lang w:val="en-US"/>
        </w:rPr>
        <w:t>Case of the Supreme Court of Justice (Quintana Coello et al.) v. Ecuador, supra</w:t>
      </w:r>
      <w:r w:rsidRPr="00A50E4D">
        <w:rPr>
          <w:rFonts w:cs="Arial"/>
          <w:bCs/>
          <w:spacing w:val="-4"/>
          <w:sz w:val="16"/>
          <w:szCs w:val="16"/>
          <w:lang w:val="en-US"/>
        </w:rPr>
        <w:t xml:space="preserve">, para. 148, citing the </w:t>
      </w:r>
      <w:r w:rsidRPr="00A50E4D">
        <w:rPr>
          <w:sz w:val="16"/>
          <w:szCs w:val="16"/>
          <w:lang w:val="en-US"/>
        </w:rPr>
        <w:t>Recommendation of the Council of Europe on the Independence, Efficiency and Role of Judges, which stipulate</w:t>
      </w:r>
      <w:r w:rsidRPr="00914F55">
        <w:rPr>
          <w:sz w:val="16"/>
          <w:szCs w:val="16"/>
          <w:lang w:val="en-US"/>
        </w:rPr>
        <w:t xml:space="preserve">: </w:t>
      </w:r>
      <w:r w:rsidRPr="00914F55">
        <w:rPr>
          <w:bCs/>
          <w:iCs/>
          <w:spacing w:val="-4"/>
          <w:sz w:val="16"/>
          <w:szCs w:val="16"/>
          <w:lang w:val="en-US"/>
        </w:rPr>
        <w:t xml:space="preserve">Principle I </w:t>
      </w:r>
      <w:r w:rsidRPr="00914F55">
        <w:rPr>
          <w:rFonts w:eastAsia="Times New Roman" w:cs="Times New Roman"/>
          <w:sz w:val="16"/>
          <w:szCs w:val="16"/>
          <w:lang w:val="en-US"/>
        </w:rPr>
        <w:t>–</w:t>
      </w:r>
      <w:r w:rsidRPr="00914F55">
        <w:rPr>
          <w:bCs/>
          <w:iCs/>
          <w:spacing w:val="-4"/>
          <w:sz w:val="16"/>
          <w:szCs w:val="16"/>
          <w:lang w:val="en-US"/>
        </w:rPr>
        <w:t xml:space="preserve"> General principles on the Independence of judges [...] 2. […] (a) (i) </w:t>
      </w:r>
      <w:r w:rsidRPr="00914F55">
        <w:rPr>
          <w:rFonts w:eastAsia="Times New Roman" w:cs="Times New Roman"/>
          <w:sz w:val="16"/>
          <w:szCs w:val="16"/>
          <w:lang w:val="en-US"/>
        </w:rPr>
        <w:t>decisions of judges should not be the subject of any revision outside any appeals procedures as provided for by law; […] Principle VI – Failure to carry out responsibilities and disciplinary offences. 1. When judges fail to carry out their duties in an efficient and proper manner or in the event of disciplinary offences, all necessary measures which do not prejudice judicial independence should be taken. Depending on the constitutional principles and the legal provisions and traditions of each state, such measures may include, for instance: (a) withdrawal of cases from the judge; (b) moving the judge to other judicial tasks within the court; (c) economic sanctions such as a reduction in salary for a temporary period; (d) suspension. 2. Appointed judges may not be permanently removed from office without valid reasons until mandatory retirement. Such reasons, which should be defined in precise terms by the law, could apply in countries where the judge is elected for a certain period, or may relate to incapacity to perform judicial functions, commission of criminal offences or serious infringements of disciplinary rules. 3. Where measures under paragraphs 1 and 2 of this article need to be taken, states should consider setting up, by law, a special competent body which has as its task to apply any disciplinary sanctions and measures, where they are not dealt with by a court, and whose decisions shall be controlled by a superior judicial organs, or which is a superior judicial organ itself. The law should provide for appropriate procedures to ensure that judges in question are given at least all the due process requirements of the Convention, for instance that the case should be heard within a reasonable time and that they should have a right to answer any charges</w:t>
      </w:r>
      <w:r w:rsidRPr="00A50E4D">
        <w:rPr>
          <w:rFonts w:eastAsia="Times New Roman" w:cs="Times New Roman"/>
          <w:sz w:val="16"/>
          <w:szCs w:val="16"/>
          <w:lang w:val="en-US"/>
        </w:rPr>
        <w:t xml:space="preserve">.” </w:t>
      </w:r>
      <w:r w:rsidRPr="00A50E4D">
        <w:rPr>
          <w:spacing w:val="-4"/>
          <w:sz w:val="16"/>
          <w:szCs w:val="16"/>
          <w:lang w:val="en-US"/>
        </w:rPr>
        <w:t>European Union, Committee of Minister. Recommendation No. R (94) 12 on the Independence, Efficiency and Role of Judges, October 13, 1994.</w:t>
      </w:r>
    </w:p>
  </w:footnote>
  <w:footnote w:id="359">
    <w:p w14:paraId="1A0E803E" w14:textId="220411F5" w:rsidR="007353B6" w:rsidRPr="00A50E4D" w:rsidRDefault="007353B6" w:rsidP="006F7559">
      <w:pPr>
        <w:pStyle w:val="FootnoteText"/>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r>
      <w:r w:rsidRPr="00914F55">
        <w:rPr>
          <w:spacing w:val="-4"/>
          <w:lang w:val="en-US"/>
        </w:rPr>
        <w:t>Inter-American Democratic Charter, article 3.</w:t>
      </w:r>
    </w:p>
  </w:footnote>
  <w:footnote w:id="360">
    <w:p w14:paraId="5BAAC16D" w14:textId="4415DDFD"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The Court notes that the representatives also presented arguments regarding a presumed infringement of the judicial independence of the Supreme Court, due to the procedure used to appoint its justices. These facts are outside the factual framework submitted to the Court by the Commission. Therefore, the Court will not take them into account in its decision in this case.</w:t>
      </w:r>
    </w:p>
  </w:footnote>
  <w:footnote w:id="361">
    <w:p w14:paraId="395A7AB4" w14:textId="08473A57" w:rsidR="007353B6" w:rsidRPr="00A50E4D" w:rsidRDefault="007353B6" w:rsidP="006F7559">
      <w:pPr>
        <w:pStyle w:val="FootnoteText"/>
        <w:tabs>
          <w:tab w:val="left" w:pos="450"/>
        </w:tabs>
        <w:spacing w:before="120" w:after="120"/>
        <w:ind w:right="11"/>
        <w:rPr>
          <w:spacing w:val="-4"/>
          <w:lang w:val="en-US" w:bidi="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bidi="en-US"/>
        </w:rPr>
        <w:t>Cf.</w:t>
      </w:r>
      <w:r w:rsidRPr="00A50E4D">
        <w:rPr>
          <w:spacing w:val="-4"/>
          <w:lang w:val="en-US" w:bidi="en-US"/>
        </w:rPr>
        <w:t xml:space="preserve"> </w:t>
      </w:r>
      <w:r w:rsidRPr="00A50E4D">
        <w:rPr>
          <w:i/>
          <w:iCs/>
          <w:spacing w:val="-4"/>
          <w:lang w:val="en-US" w:bidi="en-US"/>
        </w:rPr>
        <w:t>Case of the Constitutional Court v. Peru, supra</w:t>
      </w:r>
      <w:r w:rsidRPr="00A50E4D">
        <w:rPr>
          <w:spacing w:val="-4"/>
          <w:lang w:val="en-US" w:bidi="en-US"/>
        </w:rPr>
        <w:t xml:space="preserve">, para. 71, and </w:t>
      </w:r>
      <w:r w:rsidRPr="00A50E4D">
        <w:rPr>
          <w:i/>
          <w:iCs/>
          <w:spacing w:val="-4"/>
          <w:lang w:val="en-US" w:bidi="en-US"/>
        </w:rPr>
        <w:t xml:space="preserve">Case of Claude Reyes et al. v. Chile. Merits, reparations and costs. </w:t>
      </w:r>
      <w:r w:rsidRPr="00A50E4D">
        <w:rPr>
          <w:iCs/>
          <w:spacing w:val="-4"/>
          <w:lang w:val="en-US" w:bidi="en-US"/>
        </w:rPr>
        <w:t>Judgment of September 19, 2006. Series C No. 151</w:t>
      </w:r>
      <w:r w:rsidRPr="00A50E4D">
        <w:rPr>
          <w:spacing w:val="-4"/>
          <w:lang w:val="en-US" w:bidi="en-US"/>
        </w:rPr>
        <w:t>, para. 119.</w:t>
      </w:r>
    </w:p>
  </w:footnote>
  <w:footnote w:id="362">
    <w:p w14:paraId="5F221D5C" w14:textId="00BF2E3E"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iCs/>
          <w:spacing w:val="-4"/>
          <w:lang w:val="en-US" w:bidi="en-US"/>
        </w:rPr>
        <w:t>Cf.</w:t>
      </w:r>
      <w:r w:rsidRPr="00A50E4D">
        <w:rPr>
          <w:spacing w:val="-4"/>
          <w:lang w:val="en-US" w:bidi="en-US"/>
        </w:rPr>
        <w:t xml:space="preserve"> </w:t>
      </w:r>
      <w:r w:rsidRPr="00A50E4D">
        <w:rPr>
          <w:i/>
          <w:iCs/>
          <w:spacing w:val="-4"/>
          <w:lang w:val="en-US" w:bidi="en-US"/>
        </w:rPr>
        <w:t>Case of Claude Reyes et al. v. Chile, supra</w:t>
      </w:r>
      <w:r w:rsidRPr="00A50E4D">
        <w:rPr>
          <w:spacing w:val="-4"/>
          <w:lang w:val="en-US" w:bidi="en-US"/>
        </w:rPr>
        <w:t xml:space="preserve">, para. 119, and </w:t>
      </w:r>
      <w:r w:rsidRPr="00A50E4D">
        <w:rPr>
          <w:i/>
          <w:spacing w:val="-4"/>
          <w:lang w:val="en-US" w:bidi="en-US"/>
        </w:rPr>
        <w:t>Case of Escher et al. v. Brazil. Preliminary objections, merits, reparations and costs</w:t>
      </w:r>
      <w:r w:rsidRPr="00A50E4D">
        <w:rPr>
          <w:spacing w:val="-4"/>
          <w:lang w:val="en-US" w:bidi="en-US"/>
        </w:rPr>
        <w:t>. Judgment of July 6, 2009. Series C No. 200, para. 208.</w:t>
      </w:r>
    </w:p>
  </w:footnote>
  <w:footnote w:id="363">
    <w:p w14:paraId="3ACD47AF" w14:textId="05CF777C"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This power of the Supreme Court was also established in the Law on the Organization and Faculties of the Courts (</w:t>
      </w:r>
      <w:r w:rsidRPr="00A50E4D">
        <w:rPr>
          <w:i/>
          <w:spacing w:val="-4"/>
          <w:lang w:val="en-US"/>
        </w:rPr>
        <w:t>supra</w:t>
      </w:r>
      <w:r w:rsidRPr="00A50E4D">
        <w:rPr>
          <w:spacing w:val="-4"/>
          <w:lang w:val="en-US"/>
        </w:rPr>
        <w:t xml:space="preserve"> para. </w:t>
      </w:r>
      <w:r w:rsidRPr="00914F55">
        <w:rPr>
          <w:spacing w:val="-4"/>
          <w:lang w:val="en-US"/>
        </w:rPr>
        <w:fldChar w:fldCharType="begin"/>
      </w:r>
      <w:r w:rsidRPr="00A50E4D">
        <w:rPr>
          <w:spacing w:val="-4"/>
          <w:lang w:val="en-US"/>
        </w:rPr>
        <w:instrText xml:space="preserve"> REF _Ref433883931 \r \h  \* MERGEFORMAT </w:instrText>
      </w:r>
      <w:r w:rsidRPr="00914F55">
        <w:rPr>
          <w:spacing w:val="-4"/>
          <w:lang w:val="en-US"/>
        </w:rPr>
      </w:r>
      <w:r w:rsidRPr="00914F55">
        <w:rPr>
          <w:spacing w:val="-4"/>
          <w:lang w:val="en-US"/>
        </w:rPr>
        <w:fldChar w:fldCharType="separate"/>
      </w:r>
      <w:r>
        <w:rPr>
          <w:spacing w:val="-4"/>
          <w:lang w:val="en-US"/>
        </w:rPr>
        <w:t>82</w:t>
      </w:r>
      <w:r w:rsidRPr="00914F55">
        <w:rPr>
          <w:spacing w:val="-4"/>
          <w:lang w:val="en-US"/>
        </w:rPr>
        <w:fldChar w:fldCharType="end"/>
      </w:r>
      <w:r w:rsidRPr="00A50E4D">
        <w:rPr>
          <w:spacing w:val="-4"/>
          <w:lang w:val="en-US"/>
        </w:rPr>
        <w:t>).</w:t>
      </w:r>
    </w:p>
  </w:footnote>
  <w:footnote w:id="364">
    <w:p w14:paraId="7043E8AD" w14:textId="1A7A5743"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In this regard, the Regulations governing the Judicial Service Act established that: “[t]he Personnel Management Directorate</w:t>
      </w:r>
      <w:r w:rsidRPr="00A50E4D">
        <w:rPr>
          <w:rFonts w:eastAsia="Batang"/>
          <w:spacing w:val="-4"/>
          <w:lang w:val="en-US" w:eastAsia="es-MX"/>
        </w:rPr>
        <w:t xml:space="preserve"> w[ould] taken the final decision on whether or not to ratify the disciplinary sanction against the employee, giving written notice of its decision to the person concerned. The dismissal [was] final once the appeals filed by the person concerned had been exhausted and decided</w:t>
      </w:r>
      <w:r w:rsidRPr="00A50E4D">
        <w:rPr>
          <w:spacing w:val="-4"/>
          <w:lang w:val="en-US"/>
        </w:rPr>
        <w:t>. […] The judicial employee affected by a disciplinary measure or by dismissal m[ight], within ten working days from the date of notification of the disciplinary measure or the dismissal, appeal before the Judicial Service Council.” Regulations governing the Judicial Service Act, articles 188 and 190 (evidence file, folio 201).</w:t>
      </w:r>
    </w:p>
  </w:footnote>
  <w:footnote w:id="365">
    <w:p w14:paraId="78422875" w14:textId="0477C560"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Expert witness Perfecto Andrés Ibáñez also referred to this when he indicated that “the Honduran system, at that time, provided for or established two alternative and, I would say, contradictory procedures,”  and “a third procedure, which was not established either by law or in the Constitution, is the one that was used [in this case], under which there was a complaint by the Inspectorate, the Personnel Management Directorate held the preliminary hearing, the Supreme Court took the decision, and an appeal, which was legally inexistent, was heard by the Council of the Judiciary.” Expert opinion provided by Perfecto Andrés Ibáñez during the public hearing in this case.</w:t>
      </w:r>
    </w:p>
  </w:footnote>
  <w:footnote w:id="366">
    <w:p w14:paraId="1D171B33" w14:textId="69BBD80A"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In this regard, see decisions of the Judicial Service Council of August 24, 2011, with regard to Adán Guillermo López Lone, Luis Alonso Chévez de la Rocha, Tirza del Carmen Flores Lanza and Ramón Enrique Barrios Maldonado (evidence file, folio 1057, 2218, 2817 and 3499). In these proceedings, in addition to indicating the Personnel Management Directorate as the respondent party, the Judicial Service Council justified the transfer of the appeal to the Personnel Management Directorate, prior to holding the hearing, contrary to the provisions of the Judicial Service Act and its Regulations, in application of complementary provisions so that, respecting the principle of “equality of arms, it was guaranteeing the right of the Personnel Management Directorate to defend itself.” Decisions of the Judicial Service Council of August 24, 2011, with regard to Adán Guillermo López Lone, Luis Alonso Chévez de la Rocha, Tirza del Carmen Flores Lanza and Ramón Enrique Barrios Maldonado (evidence file, folios 1064 and 1065, 2224, 2826 and 3506).</w:t>
      </w:r>
    </w:p>
  </w:footnote>
  <w:footnote w:id="367">
    <w:p w14:paraId="1A7B2F66" w14:textId="6BCFD9A8" w:rsidR="007353B6" w:rsidRPr="00A50E4D" w:rsidRDefault="007353B6" w:rsidP="006F7559">
      <w:pPr>
        <w:pStyle w:val="PrrafodeSentencia"/>
        <w:numPr>
          <w:ilvl w:val="0"/>
          <w:numId w:val="0"/>
        </w:numPr>
        <w:tabs>
          <w:tab w:val="left" w:pos="450"/>
        </w:tabs>
        <w:spacing w:before="120" w:after="120"/>
        <w:rPr>
          <w:sz w:val="16"/>
          <w:szCs w:val="16"/>
          <w:lang w:val="en-US"/>
        </w:rPr>
      </w:pPr>
      <w:r w:rsidRPr="00A50E4D">
        <w:rPr>
          <w:rStyle w:val="FootnoteReference"/>
          <w:lang w:val="en-US"/>
        </w:rPr>
        <w:footnoteRef/>
      </w:r>
      <w:r w:rsidRPr="00A50E4D">
        <w:rPr>
          <w:sz w:val="16"/>
          <w:szCs w:val="16"/>
          <w:lang w:val="en-US"/>
        </w:rPr>
        <w:t xml:space="preserve"> </w:t>
      </w:r>
      <w:r w:rsidRPr="00A50E4D">
        <w:rPr>
          <w:sz w:val="16"/>
          <w:szCs w:val="16"/>
          <w:lang w:val="en-US"/>
        </w:rPr>
        <w:tab/>
        <w:t>Thus, Mr. López Lone testified before the Court that “throughout the processing of the disciplinary procedure my colleagues and I endured a situation of complete uncertainty; we did not know against whom we were litigating; we did not know in which instances we were litigating; we were completely unaware of who would hear our statements, who would receive the evidence, who would assess the evidence; we were litigating before bodies that were hierarchically dependent on the Supreme Court of Justice.” Statement made by Adán Guillermo López Lone during the public hearing held in this case. Judge Chévez de la Rocha testified similarly, when indicating that he “was never able to be certain about the norms and procedures that were being applied to us,” and also, “[w]hen the case was in the hands of the Judicial Service Council, [he] was unaware of the procedure to follow, because the Judicial Service Act was fairly ambiguous and imprecise as regards the procedure, and [they] were not given sufficient information.” Affidavit made by Luis Alfonso Chévez de la Rocha on January 8, 2015 (evidence file, folios 6643 and 6644). Justice Flores Lanza also stated that: “[a]t the time, the regulatory framework of the disciplinary procedure contained many defects and omissions and that, together with the arbitrary and authoritarian attitude of some of the judicial employees who were in charge of it, resulted in the proceedings being plagued by numerous violations of due process.” Affidavit made by Tirza del Carmen Flores Lanza on January 7, 2015 (evidence file, folio 6665).</w:t>
      </w:r>
    </w:p>
  </w:footnote>
  <w:footnote w:id="368">
    <w:p w14:paraId="02D6148E" w14:textId="323E54F4" w:rsidR="007353B6" w:rsidRPr="00A50E4D" w:rsidRDefault="007353B6" w:rsidP="006F7559">
      <w:pPr>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They also asserted that: “This ‘diffuse ordinary judge’ limits or prevents the </w:t>
      </w:r>
      <w:r w:rsidRPr="00A50E4D">
        <w:rPr>
          <w:rFonts w:eastAsia="Times New Roman" w:cs="Times New Roman"/>
          <w:spacing w:val="-4"/>
          <w:sz w:val="16"/>
          <w:szCs w:val="16"/>
          <w:lang w:val="en-US"/>
        </w:rPr>
        <w:t>defendants from alleging grounds for recusal. Moreover, the administrative official is in a situation of administrative subordination in relation to his superior, and in frank dependence, which does not allow him to form his opinions independently. But, the most serious factor is that, subsequently, the body that will impose the sanction – the President or the plenum of justices of the Supreme Court of Justice – has already prejudged the facts owing to his direct or indirect participation in the investigation. In these conditions, it is difficult to be able to conceive the existence of the mechanism of the ordinary judge and his independent function.” Statements made by Guillermo</w:t>
      </w:r>
      <w:r w:rsidRPr="00A50E4D">
        <w:rPr>
          <w:spacing w:val="-4"/>
          <w:sz w:val="16"/>
          <w:szCs w:val="16"/>
          <w:lang w:val="en-US"/>
        </w:rPr>
        <w:t xml:space="preserve"> López Lone and Luis Chévez de la Rocha before the Personnel Management Directorate at the rebuttal hearing of the disciplinary proceedings against Mr. Barrios Maldonado and Mrs. Flores Lanza on December 3 and 7, 2009 (evidence file, folios 305, 1456, 1948 and 2464)</w:t>
      </w:r>
      <w:r w:rsidRPr="00A50E4D">
        <w:rPr>
          <w:rFonts w:eastAsia="Times New Roman" w:cs="Times New Roman"/>
          <w:spacing w:val="-4"/>
          <w:sz w:val="16"/>
          <w:szCs w:val="16"/>
          <w:lang w:val="en-US"/>
        </w:rPr>
        <w:t>.</w:t>
      </w:r>
    </w:p>
  </w:footnote>
  <w:footnote w:id="369">
    <w:p w14:paraId="69DF3D69" w14:textId="1C4DEE55" w:rsidR="007353B6" w:rsidRPr="00A50E4D" w:rsidRDefault="007353B6" w:rsidP="006F7559">
      <w:pPr>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Hearings before the Judicial Service Council on September 29, 2010, and on February 24, 2011, in the disciplinary proceedings against Adán Guillermo López Lone and Ramón Barrios Maldonado (evidence file, folios</w:t>
      </w:r>
      <w:r w:rsidRPr="00A50E4D">
        <w:rPr>
          <w:b/>
          <w:bCs/>
          <w:spacing w:val="-4"/>
          <w:sz w:val="16"/>
          <w:szCs w:val="16"/>
          <w:lang w:val="en-US"/>
        </w:rPr>
        <w:t xml:space="preserve"> </w:t>
      </w:r>
      <w:r w:rsidRPr="00A50E4D">
        <w:rPr>
          <w:bCs/>
          <w:spacing w:val="-4"/>
          <w:sz w:val="16"/>
          <w:szCs w:val="16"/>
          <w:lang w:val="en-US"/>
        </w:rPr>
        <w:t>534, 3163 and 3164</w:t>
      </w:r>
      <w:r w:rsidRPr="00A50E4D">
        <w:rPr>
          <w:spacing w:val="-4"/>
          <w:sz w:val="16"/>
          <w:szCs w:val="16"/>
          <w:lang w:val="en-US"/>
        </w:rPr>
        <w:t>).</w:t>
      </w:r>
    </w:p>
  </w:footnote>
  <w:footnote w:id="370">
    <w:p w14:paraId="3443DD55" w14:textId="0F7C916D" w:rsidR="007353B6" w:rsidRPr="00914F55" w:rsidRDefault="007353B6" w:rsidP="006F7559">
      <w:pPr>
        <w:tabs>
          <w:tab w:val="left" w:pos="450"/>
          <w:tab w:val="left" w:pos="567"/>
          <w:tab w:val="left" w:pos="720"/>
        </w:tabs>
        <w:autoSpaceDE w:val="0"/>
        <w:autoSpaceDN w:val="0"/>
        <w:adjustRightInd w:val="0"/>
        <w:spacing w:before="120" w:after="120"/>
        <w:rPr>
          <w:rFonts w:cs="Verdana"/>
          <w:i/>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Cf. Case of Gangaram Panday v. Suriname. Preliminary objections</w:t>
      </w:r>
      <w:r w:rsidRPr="00A50E4D">
        <w:rPr>
          <w:spacing w:val="-4"/>
          <w:sz w:val="16"/>
          <w:szCs w:val="16"/>
          <w:lang w:val="en-US"/>
        </w:rPr>
        <w:t xml:space="preserve">. Judgment of December 4, 1991. Series C No. 12, para. 50 and </w:t>
      </w:r>
      <w:r w:rsidRPr="00A50E4D">
        <w:rPr>
          <w:i/>
          <w:spacing w:val="-4"/>
          <w:sz w:val="16"/>
          <w:szCs w:val="16"/>
          <w:lang w:val="en-US"/>
        </w:rPr>
        <w:t xml:space="preserve">Case of Granier et al. </w:t>
      </w:r>
      <w:r w:rsidRPr="00914F55">
        <w:rPr>
          <w:i/>
          <w:spacing w:val="-4"/>
          <w:sz w:val="16"/>
          <w:szCs w:val="16"/>
          <w:lang w:val="en-US"/>
        </w:rPr>
        <w:t>(Radio Caracas Televisión) v. Venezuela, supra</w:t>
      </w:r>
      <w:r w:rsidRPr="00914F55">
        <w:rPr>
          <w:spacing w:val="-4"/>
          <w:sz w:val="16"/>
          <w:szCs w:val="16"/>
          <w:lang w:val="en-US"/>
        </w:rPr>
        <w:t>, para. 389.</w:t>
      </w:r>
    </w:p>
  </w:footnote>
  <w:footnote w:id="371">
    <w:p w14:paraId="2A8EDDD9" w14:textId="1F0EDD13" w:rsidR="007353B6" w:rsidRPr="00A50E4D" w:rsidRDefault="007353B6" w:rsidP="006F7559">
      <w:pPr>
        <w:tabs>
          <w:tab w:val="left" w:pos="450"/>
          <w:tab w:val="left" w:pos="567"/>
        </w:tabs>
        <w:spacing w:before="120" w:after="120"/>
        <w:ind w:right="1"/>
        <w:rPr>
          <w:spacing w:val="-4"/>
          <w:sz w:val="16"/>
          <w:szCs w:val="16"/>
          <w:lang w:val="en-US"/>
        </w:rPr>
      </w:pPr>
      <w:r w:rsidRPr="00A50E4D">
        <w:rPr>
          <w:rStyle w:val="FootnoteReference"/>
          <w:spacing w:val="-4"/>
          <w:lang w:val="en-US"/>
        </w:rPr>
        <w:footnoteRef/>
      </w:r>
      <w:r w:rsidRPr="00914F55">
        <w:rPr>
          <w:spacing w:val="-4"/>
          <w:sz w:val="16"/>
          <w:szCs w:val="16"/>
          <w:lang w:val="en-US"/>
        </w:rPr>
        <w:t xml:space="preserve"> </w:t>
      </w:r>
      <w:r w:rsidRPr="00914F55">
        <w:rPr>
          <w:spacing w:val="-4"/>
          <w:sz w:val="16"/>
          <w:szCs w:val="16"/>
          <w:lang w:val="en-US"/>
        </w:rPr>
        <w:tab/>
      </w:r>
      <w:r w:rsidRPr="00914F55">
        <w:rPr>
          <w:i/>
          <w:spacing w:val="-4"/>
          <w:sz w:val="16"/>
          <w:szCs w:val="16"/>
          <w:lang w:val="en-US"/>
        </w:rPr>
        <w:t xml:space="preserve">Cf. Case of Castillo Petruzzi et al. v. </w:t>
      </w:r>
      <w:r w:rsidRPr="00914F55">
        <w:rPr>
          <w:rStyle w:val="Strong"/>
          <w:b w:val="0"/>
          <w:i/>
          <w:spacing w:val="-4"/>
          <w:sz w:val="16"/>
          <w:szCs w:val="16"/>
          <w:lang w:val="en-US"/>
        </w:rPr>
        <w:t xml:space="preserve">Peru. </w:t>
      </w:r>
      <w:r w:rsidRPr="00A50E4D">
        <w:rPr>
          <w:rStyle w:val="Strong"/>
          <w:b w:val="0"/>
          <w:i/>
          <w:spacing w:val="-4"/>
          <w:sz w:val="16"/>
          <w:szCs w:val="16"/>
          <w:lang w:val="en-US"/>
        </w:rPr>
        <w:t>Merits, reparations and costs</w:t>
      </w:r>
      <w:r w:rsidRPr="00A50E4D">
        <w:rPr>
          <w:rStyle w:val="Strong"/>
          <w:b w:val="0"/>
          <w:spacing w:val="-4"/>
          <w:sz w:val="16"/>
          <w:szCs w:val="16"/>
          <w:lang w:val="en-US"/>
        </w:rPr>
        <w:t>. Judgment of May 30, 1999. Series C No. 52,</w:t>
      </w:r>
      <w:r w:rsidRPr="00A50E4D">
        <w:rPr>
          <w:b/>
          <w:i/>
          <w:spacing w:val="-4"/>
          <w:sz w:val="16"/>
          <w:szCs w:val="16"/>
          <w:lang w:val="en-US"/>
        </w:rPr>
        <w:t xml:space="preserve"> </w:t>
      </w:r>
      <w:r w:rsidRPr="00A50E4D">
        <w:rPr>
          <w:spacing w:val="-4"/>
          <w:sz w:val="16"/>
          <w:szCs w:val="16"/>
          <w:lang w:val="en-US"/>
        </w:rPr>
        <w:t>para. 207,</w:t>
      </w:r>
      <w:r w:rsidRPr="00A50E4D">
        <w:rPr>
          <w:b/>
          <w:spacing w:val="-4"/>
          <w:sz w:val="16"/>
          <w:szCs w:val="16"/>
          <w:lang w:val="en-US"/>
        </w:rPr>
        <w:t xml:space="preserve"> </w:t>
      </w:r>
      <w:r w:rsidRPr="00A50E4D">
        <w:rPr>
          <w:rStyle w:val="Strong"/>
          <w:b w:val="0"/>
          <w:spacing w:val="-4"/>
          <w:sz w:val="16"/>
          <w:szCs w:val="16"/>
          <w:lang w:val="en-US"/>
        </w:rPr>
        <w:t>and</w:t>
      </w:r>
      <w:r w:rsidRPr="00A50E4D">
        <w:rPr>
          <w:spacing w:val="-4"/>
          <w:sz w:val="16"/>
          <w:szCs w:val="16"/>
          <w:lang w:val="en-US"/>
        </w:rPr>
        <w:t xml:space="preserve"> </w:t>
      </w:r>
      <w:r w:rsidRPr="00A50E4D">
        <w:rPr>
          <w:bCs/>
          <w:i/>
          <w:spacing w:val="-4"/>
          <w:sz w:val="16"/>
          <w:szCs w:val="16"/>
          <w:lang w:val="en-US"/>
        </w:rPr>
        <w:t>Case of Expelled Dominicans and Haitians v. Dominican Republic, supra</w:t>
      </w:r>
      <w:r w:rsidRPr="00A50E4D">
        <w:rPr>
          <w:bCs/>
          <w:spacing w:val="-4"/>
          <w:sz w:val="16"/>
          <w:szCs w:val="16"/>
          <w:lang w:val="en-US"/>
        </w:rPr>
        <w:t>, para. 270.</w:t>
      </w:r>
    </w:p>
  </w:footnote>
  <w:footnote w:id="372">
    <w:p w14:paraId="45E18AC0" w14:textId="1B6A12E9" w:rsidR="007353B6" w:rsidRPr="00F25627" w:rsidRDefault="007353B6" w:rsidP="006F7559">
      <w:pPr>
        <w:pStyle w:val="FootnoteText"/>
        <w:tabs>
          <w:tab w:val="left" w:pos="450"/>
        </w:tabs>
        <w:spacing w:before="120" w:after="120"/>
        <w:ind w:right="1"/>
        <w:rPr>
          <w:spacing w:val="-4"/>
          <w:lang w:val="es-CR"/>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Cf.</w:t>
      </w:r>
      <w:r w:rsidRPr="00A50E4D">
        <w:rPr>
          <w:spacing w:val="-4"/>
          <w:lang w:val="en-US"/>
        </w:rPr>
        <w:t xml:space="preserve"> </w:t>
      </w:r>
      <w:r w:rsidRPr="00A50E4D">
        <w:rPr>
          <w:bCs/>
          <w:i/>
          <w:spacing w:val="-4"/>
          <w:lang w:val="en-US"/>
        </w:rPr>
        <w:t xml:space="preserve">Hilaire, Constantine and Benjamin et al. v. Trinidad and Tobago. Merits, reparations and costs. </w:t>
      </w:r>
      <w:r w:rsidRPr="00A50E4D">
        <w:rPr>
          <w:bCs/>
          <w:spacing w:val="-4"/>
          <w:lang w:val="en-US"/>
        </w:rPr>
        <w:t>Judgment of June 21, 2002. Series C No. 94,</w:t>
      </w:r>
      <w:r w:rsidRPr="00A50E4D">
        <w:rPr>
          <w:i/>
          <w:spacing w:val="-4"/>
          <w:lang w:val="en-US"/>
        </w:rPr>
        <w:t xml:space="preserve"> </w:t>
      </w:r>
      <w:r w:rsidRPr="00A50E4D">
        <w:rPr>
          <w:spacing w:val="-4"/>
          <w:lang w:val="en-US"/>
        </w:rPr>
        <w:t xml:space="preserve">para. 113, and </w:t>
      </w:r>
      <w:r w:rsidRPr="00A50E4D">
        <w:rPr>
          <w:bCs/>
          <w:i/>
          <w:spacing w:val="-4"/>
          <w:lang w:val="en-US"/>
        </w:rPr>
        <w:t>Case of Expelled Dominicans and Haitians v. Dominican Republic, supra</w:t>
      </w:r>
      <w:r w:rsidRPr="00A50E4D">
        <w:rPr>
          <w:bCs/>
          <w:spacing w:val="-4"/>
          <w:lang w:val="en-US"/>
        </w:rPr>
        <w:t xml:space="preserve">, para. </w:t>
      </w:r>
      <w:r w:rsidRPr="00F25627">
        <w:rPr>
          <w:bCs/>
          <w:spacing w:val="-4"/>
          <w:lang w:val="es-CR"/>
        </w:rPr>
        <w:t>270.</w:t>
      </w:r>
    </w:p>
  </w:footnote>
  <w:footnote w:id="373">
    <w:p w14:paraId="7894B513" w14:textId="24580741" w:rsidR="007353B6" w:rsidRPr="00A50E4D" w:rsidRDefault="007353B6" w:rsidP="006F7559">
      <w:pPr>
        <w:pStyle w:val="FootnoteText"/>
        <w:tabs>
          <w:tab w:val="left" w:pos="450"/>
        </w:tabs>
        <w:spacing w:before="120" w:after="120"/>
        <w:ind w:right="1"/>
        <w:rPr>
          <w:spacing w:val="-4"/>
          <w:lang w:val="en-US"/>
        </w:rPr>
      </w:pPr>
      <w:r w:rsidRPr="00A50E4D">
        <w:rPr>
          <w:rStyle w:val="FootnoteReference"/>
          <w:spacing w:val="-4"/>
          <w:lang w:val="en-US"/>
        </w:rPr>
        <w:footnoteRef/>
      </w:r>
      <w:r w:rsidRPr="00F25627">
        <w:rPr>
          <w:spacing w:val="-4"/>
          <w:lang w:val="es-CR"/>
        </w:rPr>
        <w:t xml:space="preserve"> </w:t>
      </w:r>
      <w:r w:rsidRPr="00F25627">
        <w:rPr>
          <w:spacing w:val="-4"/>
          <w:lang w:val="es-CR"/>
        </w:rPr>
        <w:tab/>
      </w:r>
      <w:r w:rsidRPr="00F25627">
        <w:rPr>
          <w:i/>
          <w:spacing w:val="-4"/>
          <w:lang w:val="es-CR"/>
        </w:rPr>
        <w:t>Cf.</w:t>
      </w:r>
      <w:r w:rsidRPr="00F25627">
        <w:rPr>
          <w:spacing w:val="-4"/>
          <w:lang w:val="es-CR"/>
        </w:rPr>
        <w:t xml:space="preserve"> </w:t>
      </w:r>
      <w:r w:rsidRPr="00F25627">
        <w:rPr>
          <w:bCs/>
          <w:i/>
          <w:spacing w:val="-4"/>
          <w:lang w:val="es-CR"/>
        </w:rPr>
        <w:t>Case of Castillo Petruzzi et al. v. Peru, supra</w:t>
      </w:r>
      <w:r w:rsidRPr="00F25627">
        <w:rPr>
          <w:spacing w:val="-4"/>
          <w:lang w:val="es-CR"/>
        </w:rPr>
        <w:t xml:space="preserve">, para. </w:t>
      </w:r>
      <w:r w:rsidRPr="00A50E4D">
        <w:rPr>
          <w:spacing w:val="-4"/>
          <w:lang w:val="en-US"/>
        </w:rPr>
        <w:t>207</w:t>
      </w:r>
      <w:r w:rsidRPr="00A50E4D">
        <w:rPr>
          <w:bCs/>
          <w:spacing w:val="-4"/>
          <w:lang w:val="en-US"/>
        </w:rPr>
        <w:t xml:space="preserve">, and </w:t>
      </w:r>
      <w:r w:rsidRPr="00A50E4D">
        <w:rPr>
          <w:bCs/>
          <w:i/>
          <w:spacing w:val="-4"/>
          <w:lang w:val="en-US"/>
        </w:rPr>
        <w:t>Case of Expelled Dominicans and Haitians v. Dominican Republic, supra</w:t>
      </w:r>
      <w:r w:rsidRPr="00A50E4D">
        <w:rPr>
          <w:bCs/>
          <w:spacing w:val="-4"/>
          <w:lang w:val="en-US"/>
        </w:rPr>
        <w:t>, para. 270.</w:t>
      </w:r>
    </w:p>
  </w:footnote>
  <w:footnote w:id="374">
    <w:p w14:paraId="7BF3851F" w14:textId="053A344E" w:rsidR="007353B6" w:rsidRPr="00A50E4D" w:rsidRDefault="007353B6" w:rsidP="006F7559">
      <w:pPr>
        <w:pStyle w:val="FootnoteText"/>
        <w:tabs>
          <w:tab w:val="left" w:pos="450"/>
        </w:tabs>
        <w:spacing w:before="120" w:after="120"/>
        <w:ind w:right="1"/>
        <w:rPr>
          <w:spacing w:val="-4"/>
          <w:lang w:val="en-US"/>
        </w:rPr>
      </w:pPr>
      <w:r w:rsidRPr="00A50E4D">
        <w:rPr>
          <w:rStyle w:val="FootnoteReference"/>
          <w:spacing w:val="-4"/>
          <w:lang w:val="en-US"/>
        </w:rPr>
        <w:footnoteRef/>
      </w:r>
      <w:r w:rsidRPr="00A50E4D">
        <w:rPr>
          <w:rStyle w:val="FootnoteReference"/>
          <w:spacing w:val="-4"/>
          <w:lang w:val="en-US"/>
        </w:rPr>
        <w:t xml:space="preserve"> </w:t>
      </w:r>
      <w:r w:rsidRPr="00A50E4D">
        <w:rPr>
          <w:spacing w:val="-4"/>
          <w:lang w:val="en-US"/>
        </w:rPr>
        <w:tab/>
      </w:r>
      <w:r w:rsidRPr="00A50E4D">
        <w:rPr>
          <w:i/>
          <w:spacing w:val="-4"/>
          <w:lang w:val="en-US"/>
        </w:rPr>
        <w:t>Cf. Case of “The Last Temptation of Christ” (Olmedo Bustos et al.) v. Chile, supra</w:t>
      </w:r>
      <w:r w:rsidRPr="00A50E4D">
        <w:rPr>
          <w:spacing w:val="-4"/>
          <w:lang w:val="en-US"/>
        </w:rPr>
        <w:t xml:space="preserve">, para. 87; and </w:t>
      </w:r>
      <w:r w:rsidRPr="00A50E4D">
        <w:rPr>
          <w:rFonts w:eastAsia="ヒラギノ角ゴ Pro W3"/>
          <w:bCs/>
          <w:i/>
          <w:spacing w:val="-4"/>
          <w:lang w:val="en-US"/>
        </w:rPr>
        <w:t>Case of Omar Humberto Maldonado Vargas et al. v. Chile, supra</w:t>
      </w:r>
      <w:r w:rsidRPr="00A50E4D">
        <w:rPr>
          <w:rFonts w:eastAsia="ヒラギノ角ゴ Pro W3"/>
          <w:bCs/>
          <w:spacing w:val="-4"/>
          <w:lang w:val="en-US"/>
        </w:rPr>
        <w:t>,</w:t>
      </w:r>
      <w:r w:rsidRPr="00A50E4D">
        <w:rPr>
          <w:spacing w:val="-4"/>
          <w:lang w:val="en-US"/>
        </w:rPr>
        <w:t xml:space="preserve"> para. 124</w:t>
      </w:r>
      <w:r w:rsidRPr="00A50E4D">
        <w:rPr>
          <w:bCs/>
          <w:spacing w:val="-4"/>
          <w:lang w:val="en-US"/>
        </w:rPr>
        <w:t>.</w:t>
      </w:r>
    </w:p>
  </w:footnote>
  <w:footnote w:id="375">
    <w:p w14:paraId="4846F3C4" w14:textId="3316E1BC" w:rsidR="007353B6" w:rsidRPr="00A50E4D" w:rsidRDefault="007353B6" w:rsidP="006F7559">
      <w:pPr>
        <w:tabs>
          <w:tab w:val="left" w:pos="450"/>
          <w:tab w:val="left" w:pos="567"/>
        </w:tabs>
        <w:autoSpaceDE w:val="0"/>
        <w:autoSpaceDN w:val="0"/>
        <w:adjustRightInd w:val="0"/>
        <w:spacing w:before="120" w:after="120"/>
        <w:rPr>
          <w:rFonts w:cs="Arial"/>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The Judicial Service Act establishes that: “</w:t>
      </w:r>
      <w:r w:rsidRPr="00A50E4D">
        <w:rPr>
          <w:rFonts w:cs="Arial"/>
          <w:bCs/>
          <w:spacing w:val="-4"/>
          <w:sz w:val="16"/>
          <w:szCs w:val="16"/>
          <w:lang w:val="en-US"/>
        </w:rPr>
        <w:t xml:space="preserve">Article 7. </w:t>
      </w:r>
      <w:r w:rsidRPr="00A50E4D">
        <w:rPr>
          <w:rFonts w:cs="Arial"/>
          <w:spacing w:val="-4"/>
          <w:sz w:val="16"/>
          <w:szCs w:val="16"/>
          <w:lang w:val="en-US"/>
        </w:rPr>
        <w:t xml:space="preserve">The Judicial Service Council shall depend on the Supreme Court of Justice. </w:t>
      </w:r>
      <w:r w:rsidRPr="00A50E4D">
        <w:rPr>
          <w:rFonts w:cs="Arial"/>
          <w:bCs/>
          <w:spacing w:val="-4"/>
          <w:sz w:val="16"/>
          <w:szCs w:val="16"/>
          <w:lang w:val="en-US"/>
        </w:rPr>
        <w:t xml:space="preserve">Article </w:t>
      </w:r>
      <w:r w:rsidRPr="00A50E4D">
        <w:rPr>
          <w:rFonts w:cs="Arial"/>
          <w:spacing w:val="-4"/>
          <w:sz w:val="16"/>
          <w:szCs w:val="16"/>
          <w:lang w:val="en-US"/>
        </w:rPr>
        <w:t>8. The essential function of the Judicial Service Council shall be to assist the Supreme Court of Justice, as regards personnel management policy, and to decide, within its respective instance, any conflicts that occur as a result of the application of this law and its regulations” (evidence file, folio 4152).</w:t>
      </w:r>
      <w:r w:rsidRPr="00A50E4D">
        <w:rPr>
          <w:i/>
          <w:spacing w:val="-4"/>
          <w:sz w:val="16"/>
          <w:szCs w:val="16"/>
          <w:lang w:val="en-US"/>
        </w:rPr>
        <w:t xml:space="preserve"> </w:t>
      </w:r>
      <w:r w:rsidRPr="00A50E4D">
        <w:rPr>
          <w:spacing w:val="-4"/>
          <w:sz w:val="16"/>
          <w:szCs w:val="16"/>
          <w:lang w:val="en-US"/>
        </w:rPr>
        <w:t xml:space="preserve">These provisions are reiterated in articles 22 and 23 of the Regulations governing the Judicial Service Act </w:t>
      </w:r>
      <w:r w:rsidRPr="00A50E4D">
        <w:rPr>
          <w:rFonts w:cs="Arial"/>
          <w:spacing w:val="-4"/>
          <w:sz w:val="16"/>
          <w:szCs w:val="16"/>
          <w:lang w:val="en-US"/>
        </w:rPr>
        <w:t>(evidence file, folios 163 and 164)</w:t>
      </w:r>
      <w:r w:rsidRPr="00A50E4D">
        <w:rPr>
          <w:spacing w:val="-4"/>
          <w:sz w:val="16"/>
          <w:szCs w:val="16"/>
          <w:lang w:val="en-US"/>
        </w:rPr>
        <w:t>. In addition, article 3 of the rules of procedure of the Judicial Service Council establishes that</w:t>
      </w:r>
      <w:r w:rsidRPr="00A50E4D">
        <w:rPr>
          <w:i/>
          <w:spacing w:val="-4"/>
          <w:sz w:val="16"/>
          <w:szCs w:val="16"/>
          <w:lang w:val="en-US"/>
        </w:rPr>
        <w:t xml:space="preserve"> </w:t>
      </w:r>
      <w:r w:rsidRPr="00A50E4D">
        <w:rPr>
          <w:rFonts w:cs="Arial"/>
          <w:bCs/>
          <w:spacing w:val="-4"/>
          <w:sz w:val="16"/>
          <w:szCs w:val="16"/>
          <w:lang w:val="en-US"/>
        </w:rPr>
        <w:t>“</w:t>
      </w:r>
      <w:r w:rsidRPr="00A50E4D">
        <w:rPr>
          <w:rFonts w:cs="Arial"/>
          <w:spacing w:val="-4"/>
          <w:sz w:val="16"/>
          <w:szCs w:val="16"/>
          <w:lang w:val="en-US"/>
        </w:rPr>
        <w:t>[t]he Judicial Service Council is the highest organ of the judicial service regime, depending on the Supreme Court of Justice; it shall have as an essential function to assist the latter as regards personnel management policy, and to decide, in its respective instance, any conflicts that occur as a result of the application of the Judicial Service Act and its Regulations” (evidence file, folio 4208).</w:t>
      </w:r>
    </w:p>
  </w:footnote>
  <w:footnote w:id="376">
    <w:p w14:paraId="650289A2" w14:textId="1D4B77F9" w:rsidR="007353B6" w:rsidRPr="00F25627" w:rsidRDefault="007353B6" w:rsidP="006F7559">
      <w:pPr>
        <w:pStyle w:val="FootnoteText"/>
        <w:tabs>
          <w:tab w:val="left" w:pos="450"/>
        </w:tabs>
        <w:spacing w:before="120" w:after="120"/>
        <w:rPr>
          <w:bCs/>
          <w:i/>
          <w:color w:val="000000"/>
          <w:spacing w:val="-4"/>
          <w:shd w:val="clear" w:color="auto" w:fill="FFFFFF"/>
          <w:lang w:val="es-CR"/>
        </w:rPr>
      </w:pPr>
      <w:r w:rsidRPr="00A50E4D">
        <w:rPr>
          <w:rStyle w:val="FootnoteReference"/>
          <w:spacing w:val="-4"/>
          <w:lang w:val="en-US"/>
        </w:rPr>
        <w:footnoteRef/>
      </w:r>
      <w:r w:rsidRPr="00A50E4D">
        <w:rPr>
          <w:spacing w:val="-4"/>
          <w:lang w:val="en-US"/>
        </w:rPr>
        <w:t xml:space="preserve"> </w:t>
      </w:r>
      <w:r w:rsidRPr="00A50E4D">
        <w:rPr>
          <w:b/>
          <w:spacing w:val="-4"/>
          <w:lang w:val="en-US"/>
        </w:rPr>
        <w:tab/>
      </w:r>
      <w:r w:rsidRPr="00A50E4D">
        <w:rPr>
          <w:i/>
          <w:spacing w:val="-4"/>
          <w:lang w:val="en-US"/>
        </w:rPr>
        <w:t xml:space="preserve">Cf. </w:t>
      </w:r>
      <w:r w:rsidRPr="00A50E4D">
        <w:rPr>
          <w:rStyle w:val="Strong"/>
          <w:b w:val="0"/>
          <w:i/>
          <w:color w:val="000000"/>
          <w:spacing w:val="-4"/>
          <w:shd w:val="clear" w:color="auto" w:fill="FFFFFF"/>
          <w:lang w:val="en-US"/>
        </w:rPr>
        <w:t>Case of Apitz Barbera et al. (“First Court of Administrative Disputes”) v. Venezuela, supra</w:t>
      </w:r>
      <w:r w:rsidRPr="00A50E4D">
        <w:rPr>
          <w:rStyle w:val="Strong"/>
          <w:b w:val="0"/>
          <w:color w:val="000000"/>
          <w:spacing w:val="-4"/>
          <w:shd w:val="clear" w:color="auto" w:fill="FFFFFF"/>
          <w:lang w:val="en-US"/>
        </w:rPr>
        <w:t xml:space="preserve">, para. </w:t>
      </w:r>
      <w:r w:rsidRPr="00F25627">
        <w:rPr>
          <w:rStyle w:val="Strong"/>
          <w:b w:val="0"/>
          <w:color w:val="000000"/>
          <w:spacing w:val="-4"/>
          <w:shd w:val="clear" w:color="auto" w:fill="FFFFFF"/>
          <w:lang w:val="es-CR"/>
        </w:rPr>
        <w:t xml:space="preserve">55, and </w:t>
      </w:r>
      <w:r w:rsidRPr="00F25627">
        <w:rPr>
          <w:rStyle w:val="Strong"/>
          <w:b w:val="0"/>
          <w:i/>
          <w:color w:val="000000"/>
          <w:spacing w:val="-4"/>
          <w:shd w:val="clear" w:color="auto" w:fill="FFFFFF"/>
          <w:lang w:val="es-CR"/>
        </w:rPr>
        <w:t>Case of the Constitutional Tribunal (Camba Campos et al.) v. Ecuador, supra</w:t>
      </w:r>
      <w:r w:rsidRPr="00F25627">
        <w:rPr>
          <w:spacing w:val="-4"/>
          <w:lang w:val="es-CR"/>
        </w:rPr>
        <w:t>, para.188.</w:t>
      </w:r>
    </w:p>
  </w:footnote>
  <w:footnote w:id="377">
    <w:p w14:paraId="2D66E71E" w14:textId="5EF8F0CF"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F25627">
        <w:rPr>
          <w:spacing w:val="-4"/>
          <w:lang w:val="es-CR"/>
        </w:rPr>
        <w:t xml:space="preserve"> </w:t>
      </w:r>
      <w:r w:rsidRPr="00F25627">
        <w:rPr>
          <w:spacing w:val="-4"/>
          <w:lang w:val="es-CR"/>
        </w:rPr>
        <w:tab/>
      </w:r>
      <w:r w:rsidRPr="00F25627">
        <w:rPr>
          <w:i/>
          <w:spacing w:val="-4"/>
          <w:lang w:val="es-CR"/>
        </w:rPr>
        <w:t>Cf. Case of Reverón Trujillo v. Venezuela, supra</w:t>
      </w:r>
      <w:r w:rsidRPr="00F25627">
        <w:rPr>
          <w:spacing w:val="-4"/>
          <w:lang w:val="es-CR"/>
        </w:rPr>
        <w:t xml:space="preserve">, para. </w:t>
      </w:r>
      <w:r w:rsidRPr="00A50E4D">
        <w:rPr>
          <w:spacing w:val="-4"/>
          <w:lang w:val="en-US"/>
        </w:rPr>
        <w:t xml:space="preserve">114 and </w:t>
      </w:r>
      <w:r w:rsidRPr="00A50E4D">
        <w:rPr>
          <w:i/>
          <w:spacing w:val="-4"/>
          <w:lang w:val="en-US"/>
        </w:rPr>
        <w:t>Case of Chocrón Chocrón v. Venezuela</w:t>
      </w:r>
      <w:r w:rsidRPr="00A50E4D">
        <w:rPr>
          <w:spacing w:val="-4"/>
          <w:lang w:val="en-US"/>
        </w:rPr>
        <w:t xml:space="preserve">. </w:t>
      </w:r>
      <w:r w:rsidRPr="00A50E4D">
        <w:rPr>
          <w:i/>
          <w:spacing w:val="-4"/>
          <w:lang w:val="en-US"/>
        </w:rPr>
        <w:t>Preliminary objection, merits, reparations and costs</w:t>
      </w:r>
      <w:r w:rsidRPr="00A50E4D">
        <w:rPr>
          <w:spacing w:val="-4"/>
          <w:lang w:val="en-US"/>
        </w:rPr>
        <w:t>. Judgment of July 1, 2011. Series C No. 227, para. 103.</w:t>
      </w:r>
    </w:p>
  </w:footnote>
  <w:footnote w:id="378">
    <w:p w14:paraId="5FBD2684" w14:textId="0F3B212D"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Expert opinion provided by Perfecto Andrés Ibáñez during the public hearing in this case.</w:t>
      </w:r>
    </w:p>
  </w:footnote>
  <w:footnote w:id="379">
    <w:p w14:paraId="767B6DC4" w14:textId="0141B6AF"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Written report of expert witness Perfecto Andrés Ibáñez presented during the public hearing held in this case (merits file, folio 1335). In similar terms to those used by this Court </w:t>
      </w:r>
      <w:r w:rsidRPr="00A50E4D">
        <w:rPr>
          <w:i/>
          <w:spacing w:val="-4"/>
          <w:lang w:val="en-US"/>
        </w:rPr>
        <w:t>supra</w:t>
      </w:r>
      <w:r w:rsidRPr="00A50E4D">
        <w:rPr>
          <w:spacing w:val="-4"/>
          <w:lang w:val="en-US"/>
        </w:rPr>
        <w:t xml:space="preserve"> para. </w:t>
      </w:r>
      <w:r w:rsidRPr="00914F55">
        <w:rPr>
          <w:lang w:val="en-US"/>
        </w:rPr>
        <w:fldChar w:fldCharType="begin"/>
      </w:r>
      <w:r w:rsidRPr="00A50E4D">
        <w:rPr>
          <w:lang w:val="en-US"/>
        </w:rPr>
        <w:instrText xml:space="preserve"> REF _Ref427197056 \r \h  \* MERGEFORMAT </w:instrText>
      </w:r>
      <w:r w:rsidRPr="00914F55">
        <w:rPr>
          <w:lang w:val="en-US"/>
        </w:rPr>
      </w:r>
      <w:r w:rsidRPr="00914F55">
        <w:rPr>
          <w:lang w:val="en-US"/>
        </w:rPr>
        <w:fldChar w:fldCharType="separate"/>
      </w:r>
      <w:r w:rsidRPr="00547588">
        <w:rPr>
          <w:spacing w:val="-4"/>
          <w:lang w:val="en-US"/>
        </w:rPr>
        <w:t>218</w:t>
      </w:r>
      <w:r w:rsidRPr="00914F55">
        <w:rPr>
          <w:lang w:val="en-US"/>
        </w:rPr>
        <w:fldChar w:fldCharType="end"/>
      </w:r>
      <w:r w:rsidRPr="00A50E4D">
        <w:rPr>
          <w:lang w:val="en-US"/>
        </w:rPr>
        <w:t xml:space="preserve">, according to </w:t>
      </w:r>
      <w:r w:rsidRPr="00A50E4D">
        <w:rPr>
          <w:spacing w:val="-4"/>
          <w:lang w:val="en-US"/>
        </w:rPr>
        <w:t xml:space="preserve">the said expert, the principle of independence has an external aspect (faced with possible interference from other organs of power) and an internal aspect; and each of these aspects has an institutional and a functional facet. According to the expert: “the </w:t>
      </w:r>
      <w:r w:rsidRPr="00A50E4D">
        <w:rPr>
          <w:i/>
          <w:spacing w:val="-4"/>
          <w:lang w:val="en-US"/>
        </w:rPr>
        <w:t>internal</w:t>
      </w:r>
      <w:r w:rsidRPr="00A50E4D">
        <w:rPr>
          <w:spacing w:val="-4"/>
          <w:lang w:val="en-US"/>
        </w:rPr>
        <w:t xml:space="preserve"> independence of the </w:t>
      </w:r>
      <w:r w:rsidRPr="00A50E4D">
        <w:rPr>
          <w:i/>
          <w:spacing w:val="-4"/>
          <w:lang w:val="en-US"/>
        </w:rPr>
        <w:t>institutional</w:t>
      </w:r>
      <w:r w:rsidRPr="00A50E4D">
        <w:rPr>
          <w:spacing w:val="-4"/>
          <w:lang w:val="en-US"/>
        </w:rPr>
        <w:t xml:space="preserve"> facet requires a horizontal model of organization, so that the interrelationship between judges and courts responds only to a judicial criterion, inherent in the chain of authority; so that the relationships of supra- and subordination between them is exclusively procedural in nature and not hierarchic and administrative, [… while] the </w:t>
      </w:r>
      <w:r w:rsidRPr="00A50E4D">
        <w:rPr>
          <w:i/>
          <w:spacing w:val="-4"/>
          <w:lang w:val="en-US"/>
        </w:rPr>
        <w:t xml:space="preserve">internal </w:t>
      </w:r>
      <w:r w:rsidRPr="00A50E4D">
        <w:rPr>
          <w:spacing w:val="-4"/>
          <w:lang w:val="en-US"/>
        </w:rPr>
        <w:t xml:space="preserve">independence in the </w:t>
      </w:r>
      <w:r w:rsidRPr="00A50E4D">
        <w:rPr>
          <w:i/>
          <w:spacing w:val="-4"/>
          <w:lang w:val="en-US"/>
        </w:rPr>
        <w:t>functional</w:t>
      </w:r>
      <w:r w:rsidRPr="00A50E4D">
        <w:rPr>
          <w:spacing w:val="-4"/>
          <w:lang w:val="en-US"/>
        </w:rPr>
        <w:t xml:space="preserve"> order, […] seeks to avoid possible interference in the judicial activity by other judges, over and above legitimate interference owing to interventions based on legally established remedies.” Written report of expert witness Perfecto Andrés Ibáñez presented during the public hearing held in this case (merits file, folios 1300 and 1301).  </w:t>
      </w:r>
    </w:p>
  </w:footnote>
  <w:footnote w:id="380">
    <w:p w14:paraId="137D8C9F" w14:textId="66E54E37" w:rsidR="007353B6" w:rsidRPr="00A50E4D" w:rsidRDefault="007353B6" w:rsidP="006F7559">
      <w:pPr>
        <w:pStyle w:val="FootnoteText"/>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t>In addition to articles 7 and 8 of the Judicial Service Act (</w:t>
      </w:r>
      <w:r w:rsidRPr="00A50E4D">
        <w:rPr>
          <w:i/>
          <w:lang w:val="en-US"/>
        </w:rPr>
        <w:t>supra</w:t>
      </w:r>
      <w:r w:rsidRPr="00A50E4D">
        <w:rPr>
          <w:lang w:val="en-US"/>
        </w:rPr>
        <w:t xml:space="preserve"> nota </w:t>
      </w:r>
      <w:r w:rsidRPr="00914F55">
        <w:rPr>
          <w:lang w:val="en-US"/>
        </w:rPr>
        <w:fldChar w:fldCharType="begin"/>
      </w:r>
      <w:r w:rsidRPr="00A50E4D">
        <w:rPr>
          <w:lang w:val="en-US"/>
        </w:rPr>
        <w:instrText xml:space="preserve"> NOTEREF _Ref308520393 \h  \* MERGEFORMAT </w:instrText>
      </w:r>
      <w:r w:rsidRPr="00914F55">
        <w:rPr>
          <w:lang w:val="en-US"/>
        </w:rPr>
      </w:r>
      <w:r w:rsidRPr="00914F55">
        <w:rPr>
          <w:lang w:val="en-US"/>
        </w:rPr>
        <w:fldChar w:fldCharType="separate"/>
      </w:r>
      <w:r>
        <w:rPr>
          <w:lang w:val="en-US"/>
        </w:rPr>
        <w:t>375</w:t>
      </w:r>
      <w:r w:rsidRPr="00914F55">
        <w:rPr>
          <w:lang w:val="en-US"/>
        </w:rPr>
        <w:fldChar w:fldCharType="end"/>
      </w:r>
      <w:r w:rsidRPr="00A50E4D">
        <w:rPr>
          <w:lang w:val="en-US"/>
        </w:rPr>
        <w:t>), article 9 established that: “The Judicial Service Council has the following authority: (a) To elaborate and approve its rules of procedure; (b) To recommend to the Supreme Court of Justice the policy that it should follow as regard personnel management; (c) To examine general problems related to the personnel management system and to make any recommendations it deems appropriate to the Directorate to resolve them; (d) To propose the regulations referred to in paragraphs (c), (d) and (f) of article 12 of this Act to the Supreme Court of Justice for its approval; (e) To examine and decide: 1. Any problems, disputes and claims presented with regard to personnel management and those that arise between the Directorate and the personnel as a result of the application of this Act. 4(2) The admissible remedies filed against the decisions of the Personnel Management Directorate.”</w:t>
      </w:r>
      <w:r w:rsidRPr="00A50E4D">
        <w:rPr>
          <w:i/>
          <w:spacing w:val="-4"/>
          <w:lang w:val="en-US"/>
        </w:rPr>
        <w:t xml:space="preserve"> </w:t>
      </w:r>
      <w:r w:rsidRPr="00A50E4D">
        <w:rPr>
          <w:spacing w:val="-4"/>
          <w:lang w:val="en-US"/>
        </w:rPr>
        <w:t>Judicial Service Act (evidence file</w:t>
      </w:r>
      <w:r w:rsidRPr="00A50E4D">
        <w:rPr>
          <w:rFonts w:cs="Arial"/>
          <w:spacing w:val="-4"/>
          <w:lang w:val="en-US"/>
        </w:rPr>
        <w:t>, folios 4152 and 4153).</w:t>
      </w:r>
      <w:r w:rsidRPr="00A50E4D">
        <w:rPr>
          <w:lang w:val="en-US"/>
        </w:rPr>
        <w:t xml:space="preserve">  </w:t>
      </w:r>
    </w:p>
  </w:footnote>
  <w:footnote w:id="381">
    <w:p w14:paraId="3C50074A" w14:textId="080FA8BB" w:rsidR="007353B6" w:rsidRPr="00A50E4D" w:rsidRDefault="007353B6" w:rsidP="006F7559">
      <w:pPr>
        <w:tabs>
          <w:tab w:val="left" w:pos="450"/>
          <w:tab w:val="left" w:pos="567"/>
        </w:tabs>
        <w:autoSpaceDE w:val="0"/>
        <w:autoSpaceDN w:val="0"/>
        <w:adjustRightInd w:val="0"/>
        <w:spacing w:before="120" w:after="120"/>
        <w:rPr>
          <w:rFonts w:cs="Arial"/>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According to article 7(e)(1) of the rules of procedure of the Judicial Service Council: “[t]he powers of the [Judicial Service] Council are to examine and decide […] admissible appeals </w:t>
      </w:r>
      <w:r w:rsidRPr="00A50E4D">
        <w:rPr>
          <w:rFonts w:cs="Arial"/>
          <w:spacing w:val="-4"/>
          <w:sz w:val="16"/>
          <w:szCs w:val="16"/>
          <w:lang w:val="en-US"/>
        </w:rPr>
        <w:t>established in the Judicial Service Act and its Regulations that are filed against the decisions of the Personnel Management Directorate” (evidence file, folio 211).</w:t>
      </w:r>
    </w:p>
  </w:footnote>
  <w:footnote w:id="382">
    <w:p w14:paraId="65346D09" w14:textId="664F3ABD"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Decision of the Judicial Service Council of August 24, 2011, with regard to Tirza del Carmen Flores Lanza (evidence file, folios 2827 and 2828). See also</w:t>
      </w:r>
      <w:r w:rsidRPr="00A50E4D">
        <w:rPr>
          <w:i/>
          <w:spacing w:val="-4"/>
          <w:lang w:val="en-US"/>
        </w:rPr>
        <w:t xml:space="preserve">, </w:t>
      </w:r>
      <w:r w:rsidRPr="00A50E4D">
        <w:rPr>
          <w:spacing w:val="-4"/>
          <w:lang w:val="en-US"/>
        </w:rPr>
        <w:t>Decisions of the Judicial Service Council of August 24, 2011, with regard to Adán Guillermo López Lone, Luis Alonso Chévez de la Rocha and Ramón Enrique Barrios Maldonado (evidence file, folios 1066 and 1067, 2225 and 2226, 3507 and 3508).</w:t>
      </w:r>
    </w:p>
  </w:footnote>
  <w:footnote w:id="383">
    <w:p w14:paraId="2747D33B" w14:textId="0BBCB0C3"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Statement by Adán Guillermo López Lone provided during the public hearing held in this case.</w:t>
      </w:r>
    </w:p>
  </w:footnote>
  <w:footnote w:id="384">
    <w:p w14:paraId="097F3390" w14:textId="088D4CE4"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Affidavit made by Luis Alfonso Chévez de la Rocha on January 8, 2015 (evidence file, folio 6646).</w:t>
      </w:r>
    </w:p>
  </w:footnote>
  <w:footnote w:id="385">
    <w:p w14:paraId="6FE9C678" w14:textId="32987E9B"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Affidavit made by Tirza del Carmen Flores Lanza on January 7, 2015 (evidence file, folios 6668 and 6669).</w:t>
      </w:r>
    </w:p>
  </w:footnote>
  <w:footnote w:id="386">
    <w:p w14:paraId="766FDB68" w14:textId="0AC8454F"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According to article 8 of the Judicial Service Act, the Council should be composed of five permanent members and three substitute members appointed by the Supreme Court of Justice at the proposal of its President: two justices of the Supreme Court, one justice of the Appellate Courts, one ordinary judge, and one member of the Public Prosecution Service. In addition, this article established that: “[t]he substitute members shall be freely appointed by the court. […] The justice of the Supreme Court of Justice appointed to the Council who has served the longest in the Judiciary shall be its President.” Judicial Service Act, article 8 (evidence file, folio 4152).</w:t>
      </w:r>
    </w:p>
  </w:footnote>
  <w:footnote w:id="387">
    <w:p w14:paraId="3C4121B0" w14:textId="6CB274BB"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Notifications using the notice board, signed by the Council’s Secretary in the disciplinary proceedings instituted against Adán Guillermo López Lone, Luis Alonso Chévez de la Rocha, Tirza del Carmen Flores Lanza and Ramón Enrique Barrios Maldonado dated February 4 and 10, March 30, May 4, June 4 and August 3, 2011 (evidence file, folios 618 to 621</w:t>
      </w:r>
      <w:r>
        <w:rPr>
          <w:spacing w:val="-4"/>
          <w:lang w:val="en-US"/>
        </w:rPr>
        <w:t>,</w:t>
      </w:r>
      <w:r w:rsidRPr="00A50E4D">
        <w:rPr>
          <w:spacing w:val="-4"/>
          <w:lang w:val="en-US"/>
        </w:rPr>
        <w:t xml:space="preserve"> 1013, 1014, 1029 to 1031</w:t>
      </w:r>
      <w:r>
        <w:rPr>
          <w:spacing w:val="-4"/>
          <w:lang w:val="en-US"/>
        </w:rPr>
        <w:t>,</w:t>
      </w:r>
      <w:r w:rsidRPr="00A50E4D">
        <w:rPr>
          <w:spacing w:val="-4"/>
          <w:lang w:val="en-US"/>
        </w:rPr>
        <w:t xml:space="preserve"> 1036, 1825 to 1830, 2173, 2174, 2186, 2187, 2197, 2198, 2341, 2342, 2346, 2761, 2762, 2776 to 2778</w:t>
      </w:r>
      <w:r>
        <w:rPr>
          <w:spacing w:val="-4"/>
          <w:lang w:val="en-US"/>
        </w:rPr>
        <w:t>,</w:t>
      </w:r>
      <w:r w:rsidRPr="00A50E4D">
        <w:rPr>
          <w:spacing w:val="-4"/>
          <w:lang w:val="en-US"/>
        </w:rPr>
        <w:t xml:space="preserve"> 2786, 2791, 2797, 3128 to 3130</w:t>
      </w:r>
      <w:r>
        <w:rPr>
          <w:spacing w:val="-4"/>
          <w:lang w:val="en-US"/>
        </w:rPr>
        <w:t>,</w:t>
      </w:r>
      <w:r w:rsidRPr="00A50E4D">
        <w:rPr>
          <w:spacing w:val="-4"/>
          <w:lang w:val="en-US"/>
        </w:rPr>
        <w:t xml:space="preserve"> 3133, 3459, 3460, 3468, 3469 and 3481).</w:t>
      </w:r>
    </w:p>
  </w:footnote>
  <w:footnote w:id="388">
    <w:p w14:paraId="29B62EFC" w14:textId="15351CA7" w:rsidR="007353B6" w:rsidRPr="00A50E4D" w:rsidRDefault="007353B6" w:rsidP="006F7559">
      <w:pPr>
        <w:tabs>
          <w:tab w:val="left" w:pos="450"/>
          <w:tab w:val="left" w:pos="567"/>
        </w:tabs>
        <w:autoSpaceDE w:val="0"/>
        <w:autoSpaceDN w:val="0"/>
        <w:adjustRightInd w:val="0"/>
        <w:spacing w:before="120" w:after="120"/>
        <w:rPr>
          <w:rFonts w:cs="Times New Roman"/>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The decisions of the Judicial Service Council in the proceedings held against the presumed victims indicate: “an examination of the [claimant’s] request to be reinstated reveals that it does not include an email address, or telephone number and does not indicate the place where notifications may be made, so that the provisions of article 33 </w:t>
      </w:r>
      <w:r w:rsidRPr="00A50E4D">
        <w:rPr>
          <w:rFonts w:cs="Times New Roman"/>
          <w:spacing w:val="-4"/>
          <w:sz w:val="16"/>
          <w:szCs w:val="16"/>
          <w:lang w:val="en-US"/>
        </w:rPr>
        <w:t xml:space="preserve">of the rules of procedure of the Judicial Service Council were applied. These relate to notifications and establish how they shall be made, as follows: (1) Personally, to the head of the entity against which the claim has been made, of the decision in which it is decided to process the claim, or to advise him of the first decision that has been taken; (2) Orally, decisions issued at the hearings. It shall be understood that these notifications shall have all the desired effects, from the moment they are issued, and (3) By means of the Notice Board, decisions that are merely procedural, when they were not issued during a hearing. And an examination of the case file reveals that, on the date of the hearing for proposing evidence, the claimant was notified of the decisions taken at that hearing, and that the other notifications were executed by means of the court order affixed to the Council’s Notice Board, because they were merely procedural decisions; thus, the celerity of the proceedings is ensured, by not being left to the discretion of parties who intervene in them.” </w:t>
      </w:r>
      <w:r w:rsidRPr="00A50E4D">
        <w:rPr>
          <w:i/>
          <w:spacing w:val="-4"/>
          <w:sz w:val="16"/>
          <w:szCs w:val="16"/>
          <w:lang w:val="en-US"/>
        </w:rPr>
        <w:t xml:space="preserve">Cf. </w:t>
      </w:r>
      <w:r w:rsidRPr="00A50E4D">
        <w:rPr>
          <w:spacing w:val="-4"/>
          <w:sz w:val="16"/>
          <w:szCs w:val="16"/>
          <w:lang w:val="en-US"/>
        </w:rPr>
        <w:t xml:space="preserve">Decisions of the Judicial Service Council in the disciplinary proceedings against Adán Guillermo López Lone, Luis Alonso Chévez de la Rocha, Tirza del Carmen Flores Lanza and Ramón Enrique Barrios Maldonado (evidence file, folios 1069, 1070, 2228, 2229, 2830, 2831 and 3510), and </w:t>
      </w:r>
      <w:r w:rsidRPr="00A50E4D">
        <w:rPr>
          <w:rFonts w:cs="Times New Roman"/>
          <w:spacing w:val="-4"/>
          <w:sz w:val="16"/>
          <w:szCs w:val="16"/>
          <w:lang w:val="en-US"/>
        </w:rPr>
        <w:t>Rules of procedure of the Judicial Service Council</w:t>
      </w:r>
      <w:r w:rsidRPr="00A50E4D">
        <w:rPr>
          <w:spacing w:val="-4"/>
          <w:sz w:val="16"/>
          <w:szCs w:val="16"/>
          <w:lang w:val="en-US"/>
        </w:rPr>
        <w:t>, article 33 (evidence file, folio 218).</w:t>
      </w:r>
    </w:p>
  </w:footnote>
  <w:footnote w:id="389">
    <w:p w14:paraId="4D354F6A" w14:textId="25A4F47D"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bCs/>
          <w:i/>
          <w:spacing w:val="-4"/>
          <w:lang w:val="en-US"/>
        </w:rPr>
        <w:t>Case of Apitz Barbera et al. (“First Court of Administrative Disputes”) v. Venezuela, supra</w:t>
      </w:r>
      <w:r w:rsidRPr="00A50E4D">
        <w:rPr>
          <w:spacing w:val="-4"/>
          <w:lang w:val="en-US"/>
        </w:rPr>
        <w:t xml:space="preserve">, para. 64, and </w:t>
      </w:r>
      <w:r w:rsidRPr="00A50E4D">
        <w:rPr>
          <w:bCs/>
          <w:i/>
          <w:spacing w:val="-4"/>
          <w:lang w:val="en-US"/>
        </w:rPr>
        <w:t>Case of Norín Catrimán et al. (Leaders, members and activity of the Mapuche Indigenous People) v. Chile. Merits, reparations and costs.</w:t>
      </w:r>
      <w:r w:rsidRPr="00A50E4D">
        <w:rPr>
          <w:bCs/>
          <w:spacing w:val="-4"/>
          <w:lang w:val="en-US"/>
        </w:rPr>
        <w:t xml:space="preserve"> Judgment of May 29, 2014. Series C No. 279, </w:t>
      </w:r>
      <w:r w:rsidRPr="00A50E4D">
        <w:rPr>
          <w:spacing w:val="-4"/>
          <w:lang w:val="en-US"/>
        </w:rPr>
        <w:t>para. 30.</w:t>
      </w:r>
    </w:p>
  </w:footnote>
  <w:footnote w:id="390">
    <w:p w14:paraId="1134757E" w14:textId="5C625295"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bCs/>
          <w:i/>
          <w:spacing w:val="-4"/>
          <w:lang w:val="en-US"/>
        </w:rPr>
        <w:t>Case of Apitz Barbera et al. (“First Court of Administrative Disputes”) v. Venezuela, supra</w:t>
      </w:r>
      <w:r w:rsidRPr="00A50E4D">
        <w:rPr>
          <w:spacing w:val="-4"/>
          <w:lang w:val="en-US"/>
        </w:rPr>
        <w:t>, para. 64.</w:t>
      </w:r>
    </w:p>
  </w:footnote>
  <w:footnote w:id="391">
    <w:p w14:paraId="248C3067" w14:textId="3198E9BE"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Decisions of the Judicial Service Council of August 24, 2011, with regard to Adán Guillermo López Lone, Luis Alonso Chévez de la Rocha, Tirza del Carmen Flores Lanza and Ramón Enrique Barrios Maldonado (evidence file, folios 1011, 1068, 2227, 2269, 2829, 3508, 3509, 3537, 3561</w:t>
      </w:r>
      <w:r>
        <w:rPr>
          <w:spacing w:val="-4"/>
          <w:lang w:val="en-US"/>
        </w:rPr>
        <w:t xml:space="preserve"> and</w:t>
      </w:r>
      <w:r w:rsidRPr="00A50E4D">
        <w:rPr>
          <w:spacing w:val="-4"/>
          <w:lang w:val="en-US"/>
        </w:rPr>
        <w:t xml:space="preserve"> 3584).</w:t>
      </w:r>
    </w:p>
  </w:footnote>
  <w:footnote w:id="392">
    <w:p w14:paraId="312999CA" w14:textId="42ADE13F"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Brief of the State received on August 7, 2015 (merits file, folio 1886).</w:t>
      </w:r>
    </w:p>
  </w:footnote>
  <w:footnote w:id="393">
    <w:p w14:paraId="23FDA0F8" w14:textId="7580A223"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Specifically, the representatives indicated that Silvia Trinidad Santos Moncada, who was a member of the Judicial Service Council that decided the appeals of the four presumed victims in this case was employed as a “Level II expert of the Supreme Court of Justice,” as recorded in a contract for professional services provided to the case file. According to the representatives, the text establishes that the contract is for an employment relationship under the terms of “excluded service” [</w:t>
      </w:r>
      <w:r w:rsidRPr="00A50E4D">
        <w:rPr>
          <w:i/>
          <w:spacing w:val="-4"/>
          <w:lang w:val="en-US"/>
        </w:rPr>
        <w:t>servicio excluido</w:t>
      </w:r>
      <w:r w:rsidRPr="00A50E4D">
        <w:rPr>
          <w:spacing w:val="-4"/>
          <w:lang w:val="en-US"/>
        </w:rPr>
        <w:t xml:space="preserve">], which means that the Supreme Court was ‘free to appoint, hire and remove her, and terminate or rescind her contract.” </w:t>
      </w:r>
      <w:r w:rsidRPr="00A50E4D">
        <w:rPr>
          <w:i/>
          <w:spacing w:val="-4"/>
          <w:lang w:val="en-US"/>
        </w:rPr>
        <w:t>Cf.</w:t>
      </w:r>
      <w:r w:rsidRPr="00A50E4D">
        <w:rPr>
          <w:spacing w:val="-4"/>
          <w:lang w:val="en-US"/>
        </w:rPr>
        <w:t xml:space="preserve"> Brief of the representatives of August 21, 2015 (merits file, folio 1927); decisions of the Judicial Service Council of August 24, 2011, with regard to Adán Guillermo López Lone, Luis Alonso Chévez de la Rocha, Tirza del Carmen Flores Lanza and Ramón Enrique Barrios Maldonado (evidence file, folios 1080, 2241, 2843 and 3520), and Professional services contract signed by the President of the Supreme Court, on behalf of the Court, and Silvia Trinidad Santos Moncada on April 1, 2011 (evidence file, folios 7283 and 7284).</w:t>
      </w:r>
    </w:p>
  </w:footnote>
  <w:footnote w:id="394">
    <w:p w14:paraId="5415019D" w14:textId="7DD3D1B8"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rStyle w:val="Strong"/>
          <w:b w:val="0"/>
          <w:i/>
          <w:color w:val="000000"/>
          <w:spacing w:val="-4"/>
          <w:shd w:val="clear" w:color="auto" w:fill="FFFFFF"/>
          <w:lang w:val="en-US"/>
        </w:rPr>
        <w:t>Case of Apitz Barbera et al. (“First Court of Administrative Disputes”) v. Venezuela, supra</w:t>
      </w:r>
      <w:r w:rsidRPr="00A50E4D">
        <w:rPr>
          <w:rStyle w:val="Strong"/>
          <w:b w:val="0"/>
          <w:color w:val="000000"/>
          <w:spacing w:val="-4"/>
          <w:shd w:val="clear" w:color="auto" w:fill="FFFFFF"/>
          <w:lang w:val="en-US"/>
        </w:rPr>
        <w:t>, para. 66</w:t>
      </w:r>
      <w:r w:rsidRPr="00A50E4D">
        <w:rPr>
          <w:spacing w:val="-4"/>
          <w:lang w:val="en-US"/>
        </w:rPr>
        <w:t>.</w:t>
      </w:r>
    </w:p>
  </w:footnote>
  <w:footnote w:id="395">
    <w:p w14:paraId="264CC49B" w14:textId="49FE6688"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Brief of the State before the Commission dated October 14, 2010 (evidence file, folios 53 and 54)</w:t>
      </w:r>
    </w:p>
  </w:footnote>
  <w:footnote w:id="396">
    <w:p w14:paraId="6A1F2A66" w14:textId="0445C875"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Cf.</w:t>
      </w:r>
      <w:r w:rsidRPr="00A50E4D">
        <w:rPr>
          <w:spacing w:val="-4"/>
          <w:lang w:val="en-US"/>
        </w:rPr>
        <w:t xml:space="preserve"> Supreme Court of Justice. Record No. 34 of June 25, 2009. Available at: </w:t>
      </w:r>
      <w:hyperlink r:id="rId75" w:history="1">
        <w:r w:rsidRPr="00A50E4D">
          <w:rPr>
            <w:rStyle w:val="Hyperlink"/>
            <w:spacing w:val="-4"/>
            <w:lang w:val="en-US"/>
          </w:rPr>
          <w:t>https://www.oas.org/es/sap/docs/ DSDME/2011/CVR/Honduras%20-%20Informe%20CVR%20-%20TOMO-II-4.pdf</w:t>
        </w:r>
      </w:hyperlink>
      <w:r w:rsidRPr="00A50E4D">
        <w:rPr>
          <w:rStyle w:val="Hyperlink"/>
          <w:spacing w:val="-4"/>
          <w:u w:val="none"/>
          <w:lang w:val="en-US"/>
        </w:rPr>
        <w:t xml:space="preserve">, and </w:t>
      </w:r>
      <w:r w:rsidRPr="00A50E4D">
        <w:rPr>
          <w:spacing w:val="-4"/>
          <w:lang w:val="en-US"/>
        </w:rPr>
        <w:t>Communiqué of the Supreme Court of Justice of June 28, 2009 (evidence file, folios 11 and 12).</w:t>
      </w:r>
    </w:p>
  </w:footnote>
  <w:footnote w:id="397">
    <w:p w14:paraId="48AA7ED2" w14:textId="2F8566E1"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Cf.</w:t>
      </w:r>
      <w:r w:rsidRPr="00A50E4D">
        <w:rPr>
          <w:spacing w:val="-4"/>
          <w:lang w:val="en-US"/>
        </w:rPr>
        <w:t xml:space="preserve"> Supreme Court of Justice. Warrant for the arrest of José Manuel Zelaya. June 26, 2009. Available at: </w:t>
      </w:r>
      <w:hyperlink r:id="rId76" w:history="1">
        <w:r w:rsidRPr="00A50E4D">
          <w:rPr>
            <w:rStyle w:val="Hyperlink"/>
            <w:spacing w:val="-4"/>
            <w:lang w:val="en-US"/>
          </w:rPr>
          <w:t>https://www.oas.org/es/sap/docs/DSDME/2011/CVR/Honduras%20-%20Informe%20CVR%20-%20TOMO-II-4.pdf</w:t>
        </w:r>
      </w:hyperlink>
    </w:p>
  </w:footnote>
  <w:footnote w:id="398">
    <w:p w14:paraId="4FD00A1E" w14:textId="787FEC3B"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Cf.</w:t>
      </w:r>
      <w:r w:rsidRPr="00A50E4D">
        <w:rPr>
          <w:spacing w:val="-4"/>
          <w:lang w:val="en-US"/>
        </w:rPr>
        <w:t xml:space="preserve"> Supreme Court of Justice. Search order. June 29, 2009. Available at: </w:t>
      </w:r>
      <w:hyperlink r:id="rId77" w:history="1">
        <w:r w:rsidRPr="00A50E4D">
          <w:rPr>
            <w:rStyle w:val="Hyperlink"/>
            <w:spacing w:val="-4"/>
            <w:lang w:val="en-US"/>
          </w:rPr>
          <w:t>https://www.oas.org/es/sap/docs/DSDME/ 2011/CVR/Honduras%20-%20Informe%20CVR%20-%20TOMO-II-4.pdf</w:t>
        </w:r>
      </w:hyperlink>
    </w:p>
  </w:footnote>
  <w:footnote w:id="399">
    <w:p w14:paraId="7B20F3D7" w14:textId="1E5D919E" w:rsidR="007353B6" w:rsidRPr="00A50E4D" w:rsidRDefault="007353B6" w:rsidP="006F7559">
      <w:pPr>
        <w:pStyle w:val="FootnoteText"/>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r>
      <w:r w:rsidRPr="00A50E4D">
        <w:rPr>
          <w:i/>
          <w:iCs/>
          <w:spacing w:val="-4"/>
          <w:lang w:val="en-US"/>
        </w:rPr>
        <w:t>Report of the United Nations High Commissioner for Human Rights on the violations of human rights in Honduras since the coup d’état on 28 June 2009</w:t>
      </w:r>
      <w:r w:rsidRPr="00A50E4D">
        <w:rPr>
          <w:spacing w:val="-4"/>
          <w:lang w:val="en-US"/>
        </w:rPr>
        <w:t>. Doc. UN A/HRC/13/66, March 3, 2010, paras. 68 and 73 (merits file, folios 1292 and 1293).</w:t>
      </w:r>
    </w:p>
  </w:footnote>
  <w:footnote w:id="400">
    <w:p w14:paraId="3A37823B" w14:textId="6BA8A885" w:rsidR="007353B6" w:rsidRPr="00A50E4D" w:rsidRDefault="007353B6" w:rsidP="006F7559">
      <w:pPr>
        <w:pStyle w:val="NoSpacing"/>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United Nations, General Assembly. </w:t>
      </w:r>
      <w:r w:rsidRPr="00A50E4D">
        <w:rPr>
          <w:i/>
          <w:spacing w:val="-4"/>
          <w:sz w:val="16"/>
          <w:szCs w:val="16"/>
          <w:lang w:val="en-US"/>
        </w:rPr>
        <w:t xml:space="preserve">Report of the Working Group on the Universal Periodic Review. Honduras, </w:t>
      </w:r>
      <w:r w:rsidRPr="00A50E4D">
        <w:rPr>
          <w:spacing w:val="-4"/>
          <w:sz w:val="16"/>
          <w:szCs w:val="16"/>
          <w:lang w:val="en-US"/>
        </w:rPr>
        <w:t xml:space="preserve">A/HRC/16/10, 4 January 2011. Recommendation 82.56. Available at: </w:t>
      </w:r>
      <w:hyperlink r:id="rId78" w:history="1">
        <w:r w:rsidRPr="00A50E4D">
          <w:rPr>
            <w:rStyle w:val="Hyperlink"/>
            <w:spacing w:val="-4"/>
            <w:sz w:val="16"/>
            <w:szCs w:val="16"/>
            <w:lang w:val="en-US"/>
          </w:rPr>
          <w:t>http://daccess-dds-ny.un.org/doc/UNDOC/GEN/G11/100 /65/PDF/G1110065.pdf?OpenElement</w:t>
        </w:r>
      </w:hyperlink>
      <w:r w:rsidRPr="00A50E4D">
        <w:rPr>
          <w:spacing w:val="-4"/>
          <w:sz w:val="16"/>
          <w:szCs w:val="16"/>
          <w:lang w:val="en-US"/>
        </w:rPr>
        <w:t xml:space="preserve"> </w:t>
      </w:r>
    </w:p>
  </w:footnote>
  <w:footnote w:id="401">
    <w:p w14:paraId="7E8BE679" w14:textId="19120B5B"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Cf. Case of Apitz Barbera et al. (“First Court of Administrative Disputes”) v. Venezuela, supra</w:t>
      </w:r>
      <w:r w:rsidRPr="00A50E4D">
        <w:rPr>
          <w:spacing w:val="-4"/>
          <w:lang w:val="en-US"/>
        </w:rPr>
        <w:t xml:space="preserve">, para. 56, and </w:t>
      </w:r>
      <w:r w:rsidRPr="00A50E4D">
        <w:rPr>
          <w:rStyle w:val="Strong"/>
          <w:b w:val="0"/>
          <w:i/>
          <w:color w:val="000000"/>
          <w:spacing w:val="-4"/>
          <w:shd w:val="clear" w:color="auto" w:fill="FFFFFF"/>
          <w:lang w:val="en-US"/>
        </w:rPr>
        <w:t>Case of the Constitutional Tribunal (Camba Campos et al.) v. Ecuador, supra</w:t>
      </w:r>
      <w:r w:rsidRPr="00A50E4D">
        <w:rPr>
          <w:spacing w:val="-4"/>
          <w:lang w:val="en-US"/>
        </w:rPr>
        <w:t>,</w:t>
      </w:r>
      <w:r w:rsidRPr="00A50E4D">
        <w:rPr>
          <w:b/>
          <w:spacing w:val="-4"/>
          <w:lang w:val="en-US"/>
        </w:rPr>
        <w:t xml:space="preserve"> </w:t>
      </w:r>
      <w:r w:rsidRPr="00A50E4D">
        <w:rPr>
          <w:spacing w:val="-4"/>
          <w:lang w:val="en-US"/>
        </w:rPr>
        <w:t xml:space="preserve">para. 220.  </w:t>
      </w:r>
    </w:p>
  </w:footnote>
  <w:footnote w:id="402">
    <w:p w14:paraId="5815B661" w14:textId="1F149F0F"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Cf.</w:t>
      </w:r>
      <w:r w:rsidRPr="00A50E4D">
        <w:rPr>
          <w:spacing w:val="-4"/>
          <w:lang w:val="en-US"/>
        </w:rPr>
        <w:t xml:space="preserve"> Case of </w:t>
      </w:r>
      <w:r w:rsidRPr="00A50E4D">
        <w:rPr>
          <w:i/>
          <w:spacing w:val="-4"/>
          <w:lang w:val="en-US"/>
        </w:rPr>
        <w:t>Apitz Barbera et al. (“First Court of Administrative Disputes”) v. Venezuela, supra</w:t>
      </w:r>
      <w:r w:rsidRPr="00A50E4D">
        <w:rPr>
          <w:spacing w:val="-4"/>
          <w:lang w:val="en-US"/>
        </w:rPr>
        <w:t>, para. 56, citing: ECHR</w:t>
      </w:r>
      <w:r w:rsidRPr="00A50E4D">
        <w:rPr>
          <w:i/>
          <w:spacing w:val="-4"/>
          <w:lang w:val="en-US"/>
        </w:rPr>
        <w:t xml:space="preserve">, Case of </w:t>
      </w:r>
      <w:r w:rsidRPr="00A50E4D">
        <w:rPr>
          <w:rFonts w:cs="TimesNewRomanPS-ItalicMT"/>
          <w:i/>
          <w:iCs/>
          <w:spacing w:val="-4"/>
          <w:lang w:val="en-US" w:bidi="en-US"/>
        </w:rPr>
        <w:t xml:space="preserve">Daktaras </w:t>
      </w:r>
      <w:r w:rsidRPr="00A50E4D">
        <w:rPr>
          <w:i/>
          <w:spacing w:val="-4"/>
          <w:lang w:val="en-US"/>
        </w:rPr>
        <w:t xml:space="preserve">v. </w:t>
      </w:r>
      <w:r w:rsidRPr="00A50E4D">
        <w:rPr>
          <w:rFonts w:cs="TimesNewRomanPS-ItalicMT"/>
          <w:i/>
          <w:iCs/>
          <w:spacing w:val="-4"/>
          <w:lang w:val="en-US" w:bidi="en-US"/>
        </w:rPr>
        <w:t>Lithuania</w:t>
      </w:r>
      <w:r w:rsidRPr="00A50E4D">
        <w:rPr>
          <w:rFonts w:cs="TimesNewRomanPS-ItalicMT"/>
          <w:i/>
          <w:spacing w:val="-4"/>
          <w:lang w:val="en-US" w:bidi="en-US"/>
        </w:rPr>
        <w:t>,</w:t>
      </w:r>
      <w:r w:rsidRPr="00A50E4D">
        <w:rPr>
          <w:rFonts w:cs="TimesNewRomanPS-ItalicMT"/>
          <w:spacing w:val="-4"/>
          <w:lang w:val="en-US" w:bidi="en-US"/>
        </w:rPr>
        <w:t xml:space="preserve"> No. 42095/98. Judgment of October 10, 2000, </w:t>
      </w:r>
      <w:r w:rsidRPr="00A50E4D">
        <w:rPr>
          <w:spacing w:val="-4"/>
          <w:lang w:val="en-US"/>
        </w:rPr>
        <w:t>para. 30.</w:t>
      </w:r>
    </w:p>
  </w:footnote>
  <w:footnote w:id="403">
    <w:p w14:paraId="54027BFB" w14:textId="1C9B2C66"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Cf.</w:t>
      </w:r>
      <w:r w:rsidRPr="00A50E4D">
        <w:rPr>
          <w:spacing w:val="-4"/>
          <w:lang w:val="en-US"/>
        </w:rPr>
        <w:t xml:space="preserve"> Case of </w:t>
      </w:r>
      <w:r w:rsidRPr="00A50E4D">
        <w:rPr>
          <w:i/>
          <w:spacing w:val="-4"/>
          <w:lang w:val="en-US"/>
        </w:rPr>
        <w:t>Apitz Barbera et al. (“First Court of Administrative Disputes”) v. Venezuela, supra</w:t>
      </w:r>
      <w:r w:rsidRPr="00A50E4D">
        <w:rPr>
          <w:spacing w:val="-4"/>
          <w:lang w:val="en-US"/>
        </w:rPr>
        <w:t xml:space="preserve">, para. 56, citing: ECHR, </w:t>
      </w:r>
      <w:r w:rsidRPr="00A50E4D">
        <w:rPr>
          <w:i/>
          <w:spacing w:val="-4"/>
          <w:lang w:val="en-US"/>
        </w:rPr>
        <w:t>Case of Piersack v. Belgium,</w:t>
      </w:r>
      <w:r w:rsidRPr="00A50E4D">
        <w:rPr>
          <w:spacing w:val="-4"/>
          <w:lang w:val="en-US"/>
        </w:rPr>
        <w:t xml:space="preserve"> No. </w:t>
      </w:r>
      <w:hyperlink r:id="rId79" w:anchor="{&quot;appno&quot;:[&quot;8692/79&quot;]}" w:tgtFrame="_blank" w:history="1">
        <w:r w:rsidRPr="00A50E4D">
          <w:rPr>
            <w:rStyle w:val="Hyperlink"/>
            <w:iCs/>
            <w:color w:val="auto"/>
            <w:spacing w:val="-4"/>
            <w:u w:val="none"/>
            <w:lang w:val="en-US"/>
          </w:rPr>
          <w:t>8692/79</w:t>
        </w:r>
      </w:hyperlink>
      <w:r w:rsidRPr="00A50E4D">
        <w:rPr>
          <w:spacing w:val="-4"/>
          <w:lang w:val="en-US"/>
        </w:rPr>
        <w:t xml:space="preserve">. Judgment of October 1, 1982, and </w:t>
      </w:r>
      <w:r w:rsidRPr="00A50E4D">
        <w:rPr>
          <w:i/>
          <w:spacing w:val="-4"/>
          <w:lang w:val="en-US"/>
        </w:rPr>
        <w:t>Case of De Cubber v. Belgium</w:t>
      </w:r>
      <w:r w:rsidRPr="00A50E4D">
        <w:rPr>
          <w:spacing w:val="-4"/>
          <w:lang w:val="en-US"/>
        </w:rPr>
        <w:t>, No. 9186/80.</w:t>
      </w:r>
      <w:r w:rsidRPr="00A50E4D">
        <w:rPr>
          <w:i/>
          <w:spacing w:val="-4"/>
          <w:lang w:val="en-US"/>
        </w:rPr>
        <w:t xml:space="preserve"> </w:t>
      </w:r>
      <w:r w:rsidRPr="00A50E4D">
        <w:rPr>
          <w:spacing w:val="-4"/>
          <w:lang w:val="en-US"/>
        </w:rPr>
        <w:t>Judgment of October 26, 1984</w:t>
      </w:r>
      <w:r w:rsidRPr="00A50E4D">
        <w:rPr>
          <w:i/>
          <w:spacing w:val="-4"/>
          <w:lang w:val="en-US"/>
        </w:rPr>
        <w:t>.</w:t>
      </w:r>
    </w:p>
  </w:footnote>
  <w:footnote w:id="404">
    <w:p w14:paraId="7E5B36BA" w14:textId="45CB0936"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914F55">
        <w:rPr>
          <w:spacing w:val="-4"/>
          <w:lang w:val="en-US"/>
        </w:rPr>
        <w:t>Principle 2 of the United Nations Basic Principles</w:t>
      </w:r>
      <w:r w:rsidRPr="00A50E4D">
        <w:rPr>
          <w:spacing w:val="-4"/>
          <w:lang w:val="en-US"/>
        </w:rPr>
        <w:t>.</w:t>
      </w:r>
    </w:p>
  </w:footnote>
  <w:footnote w:id="405">
    <w:p w14:paraId="0C4F8904" w14:textId="5BE4CF4F"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Cf. Case of Apitz Barbera et al. (“First Court of Administrative Disputes”) v. Venezuela, supra</w:t>
      </w:r>
      <w:r w:rsidRPr="00A50E4D">
        <w:rPr>
          <w:spacing w:val="-4"/>
          <w:lang w:val="en-US"/>
        </w:rPr>
        <w:t>, para. 56.</w:t>
      </w:r>
    </w:p>
  </w:footnote>
  <w:footnote w:id="406">
    <w:p w14:paraId="62481347" w14:textId="2495B592" w:rsidR="007353B6" w:rsidRPr="00F25627" w:rsidRDefault="007353B6" w:rsidP="006F7559">
      <w:pPr>
        <w:pStyle w:val="FootnoteText"/>
        <w:tabs>
          <w:tab w:val="left" w:pos="450"/>
        </w:tabs>
        <w:spacing w:before="120" w:after="120"/>
        <w:rPr>
          <w:spacing w:val="-4"/>
          <w:lang w:val="es-CR"/>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Cf.</w:t>
      </w:r>
      <w:r w:rsidRPr="00A50E4D">
        <w:rPr>
          <w:spacing w:val="-4"/>
          <w:lang w:val="en-US"/>
        </w:rPr>
        <w:t xml:space="preserve"> </w:t>
      </w:r>
      <w:r w:rsidRPr="00A50E4D">
        <w:rPr>
          <w:i/>
          <w:spacing w:val="-4"/>
          <w:lang w:val="en-US"/>
        </w:rPr>
        <w:t>Case of Apitz Barbera et al. (“First Court of Administrative Disputes”) v. Venezuela, supra</w:t>
      </w:r>
      <w:r w:rsidRPr="00A50E4D">
        <w:rPr>
          <w:spacing w:val="-4"/>
          <w:lang w:val="en-US"/>
        </w:rPr>
        <w:t xml:space="preserve">, para. </w:t>
      </w:r>
      <w:r w:rsidRPr="00F25627">
        <w:rPr>
          <w:spacing w:val="-4"/>
          <w:lang w:val="es-CR"/>
        </w:rPr>
        <w:t xml:space="preserve">43; and </w:t>
      </w:r>
      <w:r w:rsidRPr="00F25627">
        <w:rPr>
          <w:bCs/>
          <w:i/>
          <w:spacing w:val="-4"/>
          <w:lang w:val="es-CR"/>
        </w:rPr>
        <w:t>Case of the Constitutional Tribunal (Camba Campos et al.) v. Ecuador, supra</w:t>
      </w:r>
      <w:r w:rsidRPr="00F25627">
        <w:rPr>
          <w:bCs/>
          <w:spacing w:val="-4"/>
          <w:lang w:val="es-CR"/>
        </w:rPr>
        <w:t>,</w:t>
      </w:r>
      <w:r w:rsidRPr="00F25627">
        <w:rPr>
          <w:i/>
          <w:spacing w:val="-4"/>
          <w:lang w:val="es-CR"/>
        </w:rPr>
        <w:t xml:space="preserve"> </w:t>
      </w:r>
      <w:r w:rsidRPr="00F25627">
        <w:rPr>
          <w:spacing w:val="-4"/>
          <w:lang w:val="es-CR"/>
        </w:rPr>
        <w:t xml:space="preserve">para. 135. </w:t>
      </w:r>
    </w:p>
  </w:footnote>
  <w:footnote w:id="407">
    <w:p w14:paraId="021866CF" w14:textId="78ED46B8"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F25627">
        <w:rPr>
          <w:spacing w:val="-4"/>
          <w:lang w:val="es-CR"/>
        </w:rPr>
        <w:t xml:space="preserve"> </w:t>
      </w:r>
      <w:r w:rsidRPr="00F25627">
        <w:rPr>
          <w:spacing w:val="-4"/>
          <w:lang w:val="es-CR"/>
        </w:rPr>
        <w:tab/>
      </w:r>
      <w:r w:rsidRPr="00F25627">
        <w:rPr>
          <w:bCs/>
          <w:i/>
          <w:spacing w:val="-4"/>
          <w:lang w:val="es-CR"/>
        </w:rPr>
        <w:t>Case of Reverón Trujillo v. Venezuela, supra</w:t>
      </w:r>
      <w:r w:rsidRPr="00F25627">
        <w:rPr>
          <w:spacing w:val="-4"/>
          <w:lang w:val="es-CR"/>
        </w:rPr>
        <w:t xml:space="preserve">, para. </w:t>
      </w:r>
      <w:r w:rsidRPr="00A50E4D">
        <w:rPr>
          <w:spacing w:val="-4"/>
          <w:lang w:val="en-US"/>
        </w:rPr>
        <w:t xml:space="preserve">138, and </w:t>
      </w:r>
      <w:r w:rsidRPr="00A50E4D">
        <w:rPr>
          <w:i/>
          <w:spacing w:val="-4"/>
          <w:lang w:val="en-US"/>
        </w:rPr>
        <w:t xml:space="preserve">Cf. </w:t>
      </w:r>
      <w:r w:rsidRPr="00A50E4D">
        <w:rPr>
          <w:bCs/>
          <w:i/>
          <w:spacing w:val="-4"/>
          <w:lang w:val="en-US"/>
        </w:rPr>
        <w:t>Case of the Constitutional Tribunal (Camba Campos et al.) v. Ecuador, supra</w:t>
      </w:r>
      <w:r w:rsidRPr="00A50E4D">
        <w:rPr>
          <w:spacing w:val="-4"/>
          <w:lang w:val="en-US"/>
        </w:rPr>
        <w:t xml:space="preserve">, para. 195. </w:t>
      </w:r>
    </w:p>
  </w:footnote>
  <w:footnote w:id="408">
    <w:p w14:paraId="7D2CC8C5" w14:textId="52C0A218"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The relevant part of Article 23(1) establishes that: </w:t>
      </w:r>
      <w:r w:rsidRPr="00914F55">
        <w:rPr>
          <w:spacing w:val="-4"/>
          <w:lang w:val="en-US"/>
        </w:rPr>
        <w:t>“[e]v</w:t>
      </w:r>
      <w:r w:rsidRPr="00914F55">
        <w:rPr>
          <w:snapToGrid w:val="0"/>
          <w:spacing w:val="-3"/>
          <w:lang w:val="en-US"/>
        </w:rPr>
        <w:t xml:space="preserve">ery citizen shall enjoy the following rights and opportunities: </w:t>
      </w:r>
      <w:r w:rsidRPr="00914F55">
        <w:rPr>
          <w:spacing w:val="-4"/>
          <w:lang w:val="en-US"/>
        </w:rPr>
        <w:t xml:space="preserve">[…] (c) </w:t>
      </w:r>
      <w:r w:rsidRPr="00914F55">
        <w:rPr>
          <w:snapToGrid w:val="0"/>
          <w:spacing w:val="-3"/>
          <w:lang w:val="en-US"/>
        </w:rPr>
        <w:t>to have access, under general conditions of equality, to the public service of his country</w:t>
      </w:r>
      <w:r w:rsidRPr="00914F55">
        <w:rPr>
          <w:spacing w:val="-4"/>
          <w:lang w:val="en-US"/>
        </w:rPr>
        <w:t>.”</w:t>
      </w:r>
    </w:p>
  </w:footnote>
  <w:footnote w:id="409">
    <w:p w14:paraId="1E00B87C" w14:textId="77777777" w:rsidR="007353B6" w:rsidRPr="00F25627" w:rsidRDefault="007353B6" w:rsidP="006F7559">
      <w:pPr>
        <w:pStyle w:val="FootnoteText"/>
        <w:tabs>
          <w:tab w:val="left" w:pos="450"/>
        </w:tabs>
        <w:spacing w:before="120" w:after="120"/>
        <w:rPr>
          <w:spacing w:val="-4"/>
          <w:lang w:val="es-CR"/>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Cf. Case of Apitz Barbera et al. (“First Court of Administrative Disputes”) v. Venezuela, supra</w:t>
      </w:r>
      <w:r w:rsidRPr="00A50E4D">
        <w:rPr>
          <w:spacing w:val="-4"/>
          <w:lang w:val="en-US"/>
        </w:rPr>
        <w:t xml:space="preserve">, para. </w:t>
      </w:r>
      <w:r w:rsidRPr="00F25627">
        <w:rPr>
          <w:spacing w:val="-4"/>
          <w:lang w:val="es-CR"/>
        </w:rPr>
        <w:t xml:space="preserve">206, and </w:t>
      </w:r>
      <w:r w:rsidRPr="00F25627">
        <w:rPr>
          <w:bCs/>
          <w:i/>
          <w:spacing w:val="-4"/>
          <w:lang w:val="es-CR"/>
        </w:rPr>
        <w:t>Case of the Constitutional Tribunal (Camba Campos et al.) v. Ecuador</w:t>
      </w:r>
      <w:r w:rsidRPr="00F25627">
        <w:rPr>
          <w:bCs/>
          <w:spacing w:val="-4"/>
          <w:lang w:val="es-CR"/>
        </w:rPr>
        <w:t xml:space="preserve">, </w:t>
      </w:r>
      <w:r w:rsidRPr="00F25627">
        <w:rPr>
          <w:bCs/>
          <w:i/>
          <w:spacing w:val="-4"/>
          <w:lang w:val="es-CR"/>
        </w:rPr>
        <w:t>supra</w:t>
      </w:r>
      <w:r w:rsidRPr="00F25627">
        <w:rPr>
          <w:bCs/>
          <w:spacing w:val="-4"/>
          <w:lang w:val="es-CR"/>
        </w:rPr>
        <w:t>,</w:t>
      </w:r>
      <w:r w:rsidRPr="00F25627">
        <w:rPr>
          <w:i/>
          <w:spacing w:val="-4"/>
          <w:lang w:val="es-CR"/>
        </w:rPr>
        <w:t xml:space="preserve"> </w:t>
      </w:r>
      <w:r w:rsidRPr="00F25627">
        <w:rPr>
          <w:spacing w:val="-4"/>
          <w:lang w:val="es-CR"/>
        </w:rPr>
        <w:t xml:space="preserve">para. 194. </w:t>
      </w:r>
    </w:p>
  </w:footnote>
  <w:footnote w:id="410">
    <w:p w14:paraId="5870EFB9" w14:textId="524BE4E8"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F25627">
        <w:rPr>
          <w:spacing w:val="-4"/>
          <w:lang w:val="es-CR"/>
        </w:rPr>
        <w:t xml:space="preserve"> </w:t>
      </w:r>
      <w:r w:rsidRPr="00F25627">
        <w:rPr>
          <w:spacing w:val="-4"/>
          <w:lang w:val="es-CR"/>
        </w:rPr>
        <w:tab/>
      </w:r>
      <w:r w:rsidRPr="00F25627">
        <w:rPr>
          <w:i/>
          <w:spacing w:val="-4"/>
          <w:lang w:val="es-CR"/>
        </w:rPr>
        <w:t>Cf.</w:t>
      </w:r>
      <w:r w:rsidRPr="00F25627">
        <w:rPr>
          <w:spacing w:val="-4"/>
          <w:lang w:val="es-CR"/>
        </w:rPr>
        <w:t xml:space="preserve"> </w:t>
      </w:r>
      <w:r w:rsidRPr="00F25627">
        <w:rPr>
          <w:bCs/>
          <w:i/>
          <w:spacing w:val="-4"/>
          <w:lang w:val="es-CR"/>
        </w:rPr>
        <w:t>Case of Chocrón v. Venezuela, supra</w:t>
      </w:r>
      <w:r w:rsidRPr="00F25627">
        <w:rPr>
          <w:bCs/>
          <w:spacing w:val="-4"/>
          <w:lang w:val="es-CR"/>
        </w:rPr>
        <w:t>,</w:t>
      </w:r>
      <w:r w:rsidRPr="00F25627">
        <w:rPr>
          <w:b/>
          <w:bCs/>
          <w:i/>
          <w:spacing w:val="-4"/>
          <w:lang w:val="es-CR"/>
        </w:rPr>
        <w:t xml:space="preserve"> </w:t>
      </w:r>
      <w:r w:rsidRPr="00F25627">
        <w:rPr>
          <w:spacing w:val="-4"/>
          <w:lang w:val="es-CR"/>
        </w:rPr>
        <w:t xml:space="preserve">para. </w:t>
      </w:r>
      <w:r w:rsidRPr="00A50E4D">
        <w:rPr>
          <w:spacing w:val="-4"/>
          <w:lang w:val="en-US"/>
        </w:rPr>
        <w:t xml:space="preserve">135; and </w:t>
      </w:r>
      <w:r w:rsidRPr="00A50E4D">
        <w:rPr>
          <w:bCs/>
          <w:i/>
          <w:spacing w:val="-4"/>
          <w:lang w:val="en-US"/>
        </w:rPr>
        <w:t>Case of the Constitutional Tribunal (Camba Campos et al.) v. Ecuador</w:t>
      </w:r>
      <w:r w:rsidRPr="00A50E4D">
        <w:rPr>
          <w:bCs/>
          <w:spacing w:val="-4"/>
          <w:lang w:val="en-US"/>
        </w:rPr>
        <w:t xml:space="preserve">, </w:t>
      </w:r>
      <w:r w:rsidRPr="00A50E4D">
        <w:rPr>
          <w:bCs/>
          <w:i/>
          <w:spacing w:val="-4"/>
          <w:lang w:val="en-US"/>
        </w:rPr>
        <w:t>supra</w:t>
      </w:r>
      <w:r w:rsidRPr="00A50E4D">
        <w:rPr>
          <w:bCs/>
          <w:spacing w:val="-4"/>
          <w:lang w:val="en-US"/>
        </w:rPr>
        <w:t>,</w:t>
      </w:r>
      <w:r w:rsidRPr="00A50E4D">
        <w:rPr>
          <w:i/>
          <w:spacing w:val="-4"/>
          <w:lang w:val="en-US"/>
        </w:rPr>
        <w:t xml:space="preserve"> </w:t>
      </w:r>
      <w:r w:rsidRPr="00A50E4D">
        <w:rPr>
          <w:spacing w:val="-4"/>
          <w:lang w:val="en-US"/>
        </w:rPr>
        <w:t xml:space="preserve">para. 194. </w:t>
      </w:r>
    </w:p>
  </w:footnote>
  <w:footnote w:id="411">
    <w:p w14:paraId="7FA962D2" w14:textId="39C699E9"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In the case of </w:t>
      </w:r>
      <w:r w:rsidRPr="00A50E4D">
        <w:rPr>
          <w:i/>
          <w:spacing w:val="-4"/>
          <w:lang w:val="en-US"/>
        </w:rPr>
        <w:t>Soratha Bandaranayake v. Sri Lanka</w:t>
      </w:r>
      <w:r w:rsidRPr="00A50E4D">
        <w:rPr>
          <w:spacing w:val="-4"/>
          <w:lang w:val="en-US"/>
        </w:rPr>
        <w:t xml:space="preserve">, the Committee concluded that the </w:t>
      </w:r>
      <w:r w:rsidRPr="00914F55">
        <w:rPr>
          <w:spacing w:val="-4"/>
          <w:lang w:val="en-US"/>
        </w:rPr>
        <w:t>“dismissal of a judge in violation of article 25 (c) of the Covenant, may amount to a violation of this guarantee, read in conjunction with article 14, paragraph 1 providing for the independence of the judiciary.”</w:t>
      </w:r>
      <w:r w:rsidRPr="00A50E4D">
        <w:rPr>
          <w:spacing w:val="-4"/>
          <w:lang w:val="en-US"/>
        </w:rPr>
        <w:t xml:space="preserve"> Human Rights Committee. </w:t>
      </w:r>
      <w:r w:rsidRPr="00A50E4D">
        <w:rPr>
          <w:i/>
          <w:spacing w:val="-4"/>
          <w:lang w:val="en-US"/>
        </w:rPr>
        <w:t xml:space="preserve">Communication No. 1376/2005, Soratha Bandaranayake v. Sri Lanka, </w:t>
      </w:r>
      <w:r w:rsidRPr="00A50E4D">
        <w:rPr>
          <w:spacing w:val="-4"/>
          <w:lang w:val="en-US"/>
        </w:rPr>
        <w:t>July 24, 2008. CCPR/C/93/D/1376/2005, para. 7.3.</w:t>
      </w:r>
    </w:p>
  </w:footnote>
  <w:footnote w:id="412">
    <w:p w14:paraId="20411198" w14:textId="1552C07C"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Article 14(1) of the International Covenant on Civil and Political Rights establishes that: “</w:t>
      </w:r>
      <w:r w:rsidRPr="00914F55">
        <w:rPr>
          <w:lang w:val="en-US"/>
        </w:rPr>
        <w:t>All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 The press and the public may be excluded from all or part of a trial for reasons of morals, public order (ordre public) or national security in a democratic society, or when the interest of the private lives of the parties so requires, or to the extent strictly necessary in the opinion of the court in special circumstances where publicity would prejudice the interests of justice; but any judgement rendered in a criminal case or in a suit at law shall be made public except where the interest of juvenile persons otherwise requires or the proceedings concern matrimonial disputes or the guardianship of children.</w:t>
      </w:r>
      <w:r w:rsidRPr="00914F55">
        <w:rPr>
          <w:spacing w:val="-4"/>
          <w:lang w:val="en-US"/>
        </w:rPr>
        <w:t>”</w:t>
      </w:r>
    </w:p>
  </w:footnote>
  <w:footnote w:id="413">
    <w:p w14:paraId="7B4CBF12" w14:textId="611F85BC" w:rsidR="007353B6" w:rsidRPr="00A50E4D" w:rsidRDefault="007353B6" w:rsidP="006F7559">
      <w:pPr>
        <w:pStyle w:val="NormalWeb"/>
        <w:tabs>
          <w:tab w:val="left" w:pos="450"/>
          <w:tab w:val="left" w:pos="567"/>
        </w:tabs>
        <w:spacing w:before="120" w:beforeAutospacing="0" w:after="120" w:afterAutospacing="0"/>
        <w:jc w:val="both"/>
        <w:rPr>
          <w:rFonts w:ascii="Verdana" w:hAnsi="Verdana"/>
          <w:spacing w:val="-4"/>
          <w:sz w:val="16"/>
          <w:szCs w:val="16"/>
        </w:rPr>
      </w:pPr>
      <w:r w:rsidRPr="00A50E4D">
        <w:rPr>
          <w:rStyle w:val="FootnoteReference"/>
          <w:rFonts w:eastAsia="Calibri"/>
          <w:spacing w:val="-4"/>
        </w:rPr>
        <w:footnoteRef/>
      </w:r>
      <w:r w:rsidRPr="00A50E4D">
        <w:rPr>
          <w:rFonts w:ascii="Verdana" w:hAnsi="Verdana"/>
          <w:spacing w:val="-4"/>
          <w:sz w:val="16"/>
          <w:szCs w:val="16"/>
          <w:lang w:eastAsia="de-DE"/>
        </w:rPr>
        <w:t xml:space="preserve"> </w:t>
      </w:r>
      <w:r w:rsidRPr="00A50E4D">
        <w:rPr>
          <w:rFonts w:ascii="Verdana" w:hAnsi="Verdana"/>
          <w:spacing w:val="-4"/>
          <w:sz w:val="16"/>
          <w:szCs w:val="16"/>
          <w:lang w:eastAsia="de-DE"/>
        </w:rPr>
        <w:tab/>
      </w:r>
      <w:r w:rsidRPr="00914F55">
        <w:rPr>
          <w:rFonts w:ascii="Verdana" w:hAnsi="Verdana"/>
          <w:spacing w:val="-4"/>
          <w:sz w:val="16"/>
          <w:szCs w:val="16"/>
          <w:lang w:eastAsia="de-DE"/>
        </w:rPr>
        <w:t>Article 25(c) of the International Covenant on Civil and Political Rights establishes that: “</w:t>
      </w:r>
      <w:r w:rsidRPr="00914F55">
        <w:rPr>
          <w:rFonts w:ascii="Verdana" w:hAnsi="Verdana"/>
          <w:sz w:val="16"/>
          <w:szCs w:val="16"/>
        </w:rPr>
        <w:t>Every citizen shall have the right and the opportunity, without any of the distinctions mentioned in article 2 and without unreasonable restrictions</w:t>
      </w:r>
      <w:r w:rsidRPr="00914F55">
        <w:rPr>
          <w:rFonts w:ascii="Verdana" w:hAnsi="Verdana"/>
          <w:spacing w:val="-4"/>
          <w:sz w:val="16"/>
          <w:szCs w:val="16"/>
        </w:rPr>
        <w:t xml:space="preserve">: […] (c) </w:t>
      </w:r>
      <w:r w:rsidRPr="00914F55">
        <w:rPr>
          <w:rFonts w:ascii="Verdana" w:hAnsi="Verdana"/>
          <w:sz w:val="16"/>
          <w:szCs w:val="16"/>
        </w:rPr>
        <w:t>To have access, on general terms of equality, to public service in his country.</w:t>
      </w:r>
      <w:r w:rsidRPr="00914F55">
        <w:rPr>
          <w:rFonts w:ascii="Verdana" w:hAnsi="Verdana"/>
          <w:spacing w:val="-4"/>
          <w:sz w:val="16"/>
          <w:szCs w:val="16"/>
        </w:rPr>
        <w:t>”</w:t>
      </w:r>
    </w:p>
  </w:footnote>
  <w:footnote w:id="414">
    <w:p w14:paraId="4A4B00FC" w14:textId="266964C9" w:rsidR="007353B6" w:rsidRPr="00A50E4D" w:rsidRDefault="007353B6" w:rsidP="006F7559">
      <w:pPr>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The Human Rights Committee concluded that the “</w:t>
      </w:r>
      <w:r w:rsidRPr="00914F55">
        <w:rPr>
          <w:spacing w:val="-4"/>
          <w:sz w:val="16"/>
          <w:szCs w:val="16"/>
          <w:lang w:val="en-US"/>
        </w:rPr>
        <w:t>dismissal procedure […] did not respect the requirements of basic procedural fairness and failed to ensure that the author benefited from the necessary guarantees to which he was entitled in his capacity as a judge, thus constituting an attack on the independence of the judiciary. For this reason the Committee concludes that the author's rights under article 25 (c) in conjunction with article 14, paragraph 1, have been violated”.</w:t>
      </w:r>
      <w:r w:rsidRPr="00A50E4D">
        <w:rPr>
          <w:spacing w:val="-4"/>
          <w:sz w:val="16"/>
          <w:szCs w:val="16"/>
          <w:lang w:val="en-US"/>
        </w:rPr>
        <w:t xml:space="preserve"> Human Rights Committee. </w:t>
      </w:r>
      <w:r w:rsidRPr="00A50E4D">
        <w:rPr>
          <w:i/>
          <w:spacing w:val="-4"/>
          <w:sz w:val="16"/>
          <w:szCs w:val="16"/>
          <w:lang w:val="en-US"/>
        </w:rPr>
        <w:t xml:space="preserve">Communication No. 1376/2005, Soratha Bandaranayake v. Sri Lanka, </w:t>
      </w:r>
      <w:r w:rsidRPr="00A50E4D">
        <w:rPr>
          <w:spacing w:val="-4"/>
          <w:sz w:val="16"/>
          <w:szCs w:val="16"/>
          <w:lang w:val="en-US"/>
        </w:rPr>
        <w:t>2July 4, 2008. CCPR/C/93/D/1376/2005, para. 7.2.</w:t>
      </w:r>
    </w:p>
  </w:footnote>
  <w:footnote w:id="415">
    <w:p w14:paraId="3A71AFAB" w14:textId="06378AFD" w:rsidR="007353B6" w:rsidRPr="00F25627" w:rsidRDefault="007353B6" w:rsidP="006F7559">
      <w:pPr>
        <w:pStyle w:val="FootnoteText"/>
        <w:tabs>
          <w:tab w:val="left" w:pos="450"/>
        </w:tabs>
        <w:spacing w:before="120" w:after="120"/>
        <w:rPr>
          <w:spacing w:val="-4"/>
          <w:lang w:val="es-CR"/>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Similarly, </w:t>
      </w:r>
      <w:r w:rsidRPr="00A50E4D">
        <w:rPr>
          <w:i/>
          <w:spacing w:val="-4"/>
          <w:lang w:val="en-US"/>
        </w:rPr>
        <w:t>cf.</w:t>
      </w:r>
      <w:r w:rsidRPr="00A50E4D">
        <w:rPr>
          <w:spacing w:val="-4"/>
          <w:lang w:val="en-US"/>
        </w:rPr>
        <w:t xml:space="preserve"> </w:t>
      </w:r>
      <w:r w:rsidRPr="00A50E4D">
        <w:rPr>
          <w:bCs/>
          <w:i/>
          <w:spacing w:val="-4"/>
          <w:lang w:val="en-US"/>
        </w:rPr>
        <w:t>Case of the Supreme Court of Justice (Quintana Coello et al.) v. Ecuador, supra</w:t>
      </w:r>
      <w:r w:rsidRPr="00A50E4D">
        <w:rPr>
          <w:bCs/>
          <w:spacing w:val="-4"/>
          <w:lang w:val="en-US"/>
        </w:rPr>
        <w:t xml:space="preserve">, para. </w:t>
      </w:r>
      <w:r w:rsidRPr="00F25627">
        <w:rPr>
          <w:bCs/>
          <w:spacing w:val="-4"/>
          <w:lang w:val="es-CR"/>
        </w:rPr>
        <w:t xml:space="preserve">181; and </w:t>
      </w:r>
      <w:r w:rsidRPr="00F25627">
        <w:rPr>
          <w:bCs/>
          <w:i/>
          <w:spacing w:val="-4"/>
          <w:lang w:val="es-CR"/>
        </w:rPr>
        <w:t>Case of the Constitutional Tribunal (Camba Campos et al.) v. Ecuador, supra</w:t>
      </w:r>
      <w:r w:rsidRPr="00F25627">
        <w:rPr>
          <w:bCs/>
          <w:spacing w:val="-4"/>
          <w:lang w:val="es-CR"/>
        </w:rPr>
        <w:t xml:space="preserve">, para. 223. </w:t>
      </w:r>
      <w:r w:rsidRPr="00F25627">
        <w:rPr>
          <w:spacing w:val="-4"/>
          <w:lang w:val="es-CR"/>
        </w:rPr>
        <w:t xml:space="preserve"> </w:t>
      </w:r>
    </w:p>
  </w:footnote>
  <w:footnote w:id="416">
    <w:p w14:paraId="366D1115" w14:textId="7B02E41F" w:rsidR="007353B6" w:rsidRPr="00F25627" w:rsidRDefault="007353B6" w:rsidP="006F7559">
      <w:pPr>
        <w:tabs>
          <w:tab w:val="left" w:pos="450"/>
          <w:tab w:val="left" w:pos="567"/>
        </w:tabs>
        <w:spacing w:before="120" w:after="120"/>
        <w:rPr>
          <w:spacing w:val="-4"/>
          <w:sz w:val="16"/>
          <w:szCs w:val="16"/>
          <w:lang w:val="es-CR"/>
        </w:rPr>
      </w:pPr>
      <w:r w:rsidRPr="00A50E4D">
        <w:rPr>
          <w:rStyle w:val="FootnoteReference"/>
          <w:spacing w:val="-4"/>
          <w:lang w:val="en-US"/>
        </w:rPr>
        <w:footnoteRef/>
      </w:r>
      <w:r w:rsidRPr="00F25627">
        <w:rPr>
          <w:spacing w:val="-4"/>
          <w:sz w:val="16"/>
          <w:szCs w:val="16"/>
          <w:lang w:val="es-CR"/>
        </w:rPr>
        <w:tab/>
      </w:r>
      <w:r w:rsidRPr="00F25627">
        <w:rPr>
          <w:bCs/>
          <w:i/>
          <w:color w:val="000000"/>
          <w:spacing w:val="-4"/>
          <w:sz w:val="16"/>
          <w:szCs w:val="16"/>
          <w:lang w:val="es-CR"/>
        </w:rPr>
        <w:t xml:space="preserve"> </w:t>
      </w:r>
      <w:r w:rsidRPr="00F25627">
        <w:rPr>
          <w:i/>
          <w:spacing w:val="-4"/>
          <w:sz w:val="16"/>
          <w:szCs w:val="16"/>
          <w:lang w:val="es-CR"/>
        </w:rPr>
        <w:t>Cf.</w:t>
      </w:r>
      <w:r w:rsidRPr="00F25627">
        <w:rPr>
          <w:spacing w:val="-4"/>
          <w:sz w:val="16"/>
          <w:szCs w:val="16"/>
          <w:lang w:val="es-CR"/>
        </w:rPr>
        <w:t xml:space="preserve"> </w:t>
      </w:r>
      <w:r w:rsidRPr="00F25627">
        <w:rPr>
          <w:bCs/>
          <w:i/>
          <w:spacing w:val="-4"/>
          <w:sz w:val="16"/>
          <w:szCs w:val="16"/>
          <w:lang w:val="es-CR"/>
        </w:rPr>
        <w:t xml:space="preserve">Case of Velásquez Rodríguez v. Honduras. </w:t>
      </w:r>
      <w:r w:rsidRPr="00A50E4D">
        <w:rPr>
          <w:bCs/>
          <w:i/>
          <w:spacing w:val="-4"/>
          <w:sz w:val="16"/>
          <w:szCs w:val="16"/>
          <w:lang w:val="en-US"/>
        </w:rPr>
        <w:t>Merits, supra</w:t>
      </w:r>
      <w:r w:rsidRPr="00A50E4D">
        <w:rPr>
          <w:bCs/>
          <w:spacing w:val="-4"/>
          <w:sz w:val="16"/>
          <w:szCs w:val="16"/>
          <w:lang w:val="en-US"/>
        </w:rPr>
        <w:t>,</w:t>
      </w:r>
      <w:r w:rsidRPr="00A50E4D">
        <w:rPr>
          <w:b/>
          <w:bCs/>
          <w:i/>
          <w:spacing w:val="-4"/>
          <w:sz w:val="16"/>
          <w:szCs w:val="16"/>
          <w:lang w:val="en-US"/>
        </w:rPr>
        <w:t xml:space="preserve"> </w:t>
      </w:r>
      <w:r w:rsidRPr="00A50E4D">
        <w:rPr>
          <w:spacing w:val="-4"/>
          <w:sz w:val="16"/>
          <w:szCs w:val="16"/>
          <w:lang w:val="en-US"/>
        </w:rPr>
        <w:t xml:space="preserve">para. 63; and </w:t>
      </w:r>
      <w:r w:rsidRPr="00A50E4D">
        <w:rPr>
          <w:bCs/>
          <w:i/>
          <w:spacing w:val="-4"/>
          <w:sz w:val="16"/>
          <w:szCs w:val="16"/>
          <w:lang w:val="en-US"/>
        </w:rPr>
        <w:t xml:space="preserve">Case of Granier et al. </w:t>
      </w:r>
      <w:r w:rsidRPr="00914F55">
        <w:rPr>
          <w:bCs/>
          <w:i/>
          <w:spacing w:val="-4"/>
          <w:sz w:val="16"/>
          <w:szCs w:val="16"/>
          <w:lang w:val="en-US"/>
        </w:rPr>
        <w:t>(Radio Caracas Televisión) v. Venezuela, supra</w:t>
      </w:r>
      <w:r w:rsidRPr="00914F55">
        <w:rPr>
          <w:bCs/>
          <w:spacing w:val="-4"/>
          <w:sz w:val="16"/>
          <w:szCs w:val="16"/>
          <w:lang w:val="en-US"/>
        </w:rPr>
        <w:t xml:space="preserve">, para. </w:t>
      </w:r>
      <w:r w:rsidRPr="00F25627">
        <w:rPr>
          <w:bCs/>
          <w:spacing w:val="-4"/>
          <w:sz w:val="16"/>
          <w:szCs w:val="16"/>
          <w:lang w:val="es-CR"/>
        </w:rPr>
        <w:t>282.</w:t>
      </w:r>
    </w:p>
  </w:footnote>
  <w:footnote w:id="417">
    <w:p w14:paraId="113523EE" w14:textId="4808D4BF" w:rsidR="007353B6" w:rsidRPr="00A50E4D" w:rsidRDefault="007353B6" w:rsidP="006F7559">
      <w:pPr>
        <w:pStyle w:val="FootnoteText"/>
        <w:tabs>
          <w:tab w:val="left" w:pos="450"/>
        </w:tabs>
        <w:spacing w:before="120" w:after="120"/>
        <w:rPr>
          <w:i/>
          <w:spacing w:val="-4"/>
          <w:lang w:val="en-US"/>
        </w:rPr>
      </w:pPr>
      <w:r w:rsidRPr="00A50E4D">
        <w:rPr>
          <w:rStyle w:val="FootnoteReference"/>
          <w:spacing w:val="-4"/>
          <w:lang w:val="en-US"/>
        </w:rPr>
        <w:footnoteRef/>
      </w:r>
      <w:r w:rsidRPr="00F25627">
        <w:rPr>
          <w:spacing w:val="-4"/>
          <w:lang w:val="es-CR"/>
        </w:rPr>
        <w:t xml:space="preserve"> </w:t>
      </w:r>
      <w:r w:rsidRPr="00F25627">
        <w:rPr>
          <w:spacing w:val="-4"/>
          <w:lang w:val="es-CR"/>
        </w:rPr>
        <w:tab/>
      </w:r>
      <w:r w:rsidRPr="00F25627">
        <w:rPr>
          <w:i/>
          <w:spacing w:val="-4"/>
          <w:lang w:val="es-CR"/>
        </w:rPr>
        <w:t>Cf.</w:t>
      </w:r>
      <w:r w:rsidRPr="00F25627">
        <w:rPr>
          <w:spacing w:val="-4"/>
          <w:lang w:val="es-CR"/>
        </w:rPr>
        <w:t xml:space="preserve"> </w:t>
      </w:r>
      <w:r w:rsidRPr="00F25627">
        <w:rPr>
          <w:i/>
          <w:lang w:val="es-CR"/>
        </w:rPr>
        <w:t xml:space="preserve">Case of Baena Ricardo et al. v. Panama. Competence. </w:t>
      </w:r>
      <w:r w:rsidRPr="00A50E4D">
        <w:rPr>
          <w:lang w:val="en-US"/>
        </w:rPr>
        <w:t>Judgment of November 28, 2003. Series C No. 104, para. 73</w:t>
      </w:r>
      <w:r w:rsidRPr="00A50E4D">
        <w:rPr>
          <w:spacing w:val="-4"/>
          <w:lang w:val="en-US"/>
        </w:rPr>
        <w:t xml:space="preserve">; and </w:t>
      </w:r>
      <w:r w:rsidRPr="00A50E4D">
        <w:rPr>
          <w:bCs/>
          <w:i/>
          <w:spacing w:val="-4"/>
          <w:lang w:val="en-US"/>
        </w:rPr>
        <w:t xml:space="preserve">Case of Furlan and family v. Argentina. Preliminary objections, merits, reparations and costs. </w:t>
      </w:r>
      <w:r w:rsidRPr="00A50E4D">
        <w:rPr>
          <w:bCs/>
          <w:spacing w:val="-4"/>
          <w:lang w:val="en-US"/>
        </w:rPr>
        <w:t>Judgment of August 31, 2012. Series C No. 246</w:t>
      </w:r>
      <w:r w:rsidRPr="00A50E4D">
        <w:rPr>
          <w:spacing w:val="-4"/>
          <w:lang w:val="en-US"/>
        </w:rPr>
        <w:t>, para. 345.</w:t>
      </w:r>
    </w:p>
  </w:footnote>
  <w:footnote w:id="418">
    <w:p w14:paraId="3EB01802" w14:textId="20F1BC1E" w:rsidR="007353B6" w:rsidRPr="00A50E4D" w:rsidRDefault="007353B6" w:rsidP="006F7559">
      <w:pPr>
        <w:tabs>
          <w:tab w:val="left" w:pos="450"/>
          <w:tab w:val="left" w:pos="567"/>
        </w:tabs>
        <w:spacing w:before="120" w:after="120"/>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Cf.</w:t>
      </w:r>
      <w:r w:rsidRPr="00A50E4D">
        <w:rPr>
          <w:spacing w:val="-4"/>
          <w:sz w:val="16"/>
          <w:szCs w:val="16"/>
          <w:lang w:val="en-US"/>
        </w:rPr>
        <w:t xml:space="preserve"> </w:t>
      </w:r>
      <w:r w:rsidRPr="00A50E4D">
        <w:rPr>
          <w:rFonts w:cs="Verdana"/>
          <w:bCs/>
          <w:i/>
          <w:spacing w:val="-4"/>
          <w:sz w:val="16"/>
          <w:szCs w:val="16"/>
          <w:lang w:val="en-US" w:bidi="en-US"/>
        </w:rPr>
        <w:t xml:space="preserve">Judicial Guarantees in States of Emergency (Arts. 27.2, 25 and 8 American Convention on Human Rights). </w:t>
      </w:r>
      <w:r w:rsidRPr="00A50E4D">
        <w:rPr>
          <w:rFonts w:cs="Verdana"/>
          <w:bCs/>
          <w:spacing w:val="-4"/>
          <w:sz w:val="16"/>
          <w:szCs w:val="16"/>
          <w:lang w:val="en-US" w:bidi="en-US"/>
        </w:rPr>
        <w:t>Advisory Opinion OC-9/87 of October 6, 1987. Series A No. 9,</w:t>
      </w:r>
      <w:r w:rsidRPr="00A50E4D">
        <w:rPr>
          <w:rFonts w:cs="Verdana"/>
          <w:bCs/>
          <w:i/>
          <w:spacing w:val="-4"/>
          <w:sz w:val="16"/>
          <w:szCs w:val="16"/>
          <w:lang w:val="en-US" w:bidi="en-US"/>
        </w:rPr>
        <w:t xml:space="preserve"> </w:t>
      </w:r>
      <w:r w:rsidRPr="00A50E4D">
        <w:rPr>
          <w:rFonts w:cs="Verdana"/>
          <w:spacing w:val="-4"/>
          <w:sz w:val="16"/>
          <w:szCs w:val="16"/>
          <w:lang w:val="en-US" w:bidi="en-US"/>
        </w:rPr>
        <w:t xml:space="preserve">para. 24, and </w:t>
      </w:r>
      <w:r w:rsidRPr="00A50E4D">
        <w:rPr>
          <w:bCs/>
          <w:i/>
          <w:spacing w:val="-4"/>
          <w:sz w:val="16"/>
          <w:szCs w:val="16"/>
          <w:lang w:val="en-US"/>
        </w:rPr>
        <w:t xml:space="preserve">Case of Brewer Carías v. Venezuela. Preliminary objections. </w:t>
      </w:r>
      <w:r w:rsidRPr="00A50E4D">
        <w:rPr>
          <w:bCs/>
          <w:spacing w:val="-4"/>
          <w:sz w:val="16"/>
          <w:szCs w:val="16"/>
          <w:lang w:val="en-US"/>
        </w:rPr>
        <w:t>Judgment of May 26, 2014.</w:t>
      </w:r>
      <w:r w:rsidRPr="00A50E4D">
        <w:rPr>
          <w:bCs/>
          <w:i/>
          <w:spacing w:val="-4"/>
          <w:sz w:val="16"/>
          <w:szCs w:val="16"/>
          <w:lang w:val="en-US"/>
        </w:rPr>
        <w:t xml:space="preserve"> </w:t>
      </w:r>
      <w:r w:rsidRPr="00A50E4D">
        <w:rPr>
          <w:bCs/>
          <w:spacing w:val="-4"/>
          <w:sz w:val="16"/>
          <w:szCs w:val="16"/>
          <w:lang w:val="en-US"/>
        </w:rPr>
        <w:t>Series C No. 278,</w:t>
      </w:r>
      <w:r w:rsidRPr="00A50E4D">
        <w:rPr>
          <w:b/>
          <w:bCs/>
          <w:i/>
          <w:spacing w:val="-4"/>
          <w:sz w:val="16"/>
          <w:szCs w:val="16"/>
          <w:lang w:val="en-US"/>
        </w:rPr>
        <w:t xml:space="preserve"> </w:t>
      </w:r>
      <w:r w:rsidRPr="00A50E4D">
        <w:rPr>
          <w:rFonts w:cs="Verdana"/>
          <w:spacing w:val="-4"/>
          <w:sz w:val="16"/>
          <w:szCs w:val="16"/>
          <w:lang w:val="en-US" w:bidi="en-US"/>
        </w:rPr>
        <w:t>para. 100.</w:t>
      </w:r>
    </w:p>
  </w:footnote>
  <w:footnote w:id="419">
    <w:p w14:paraId="0495E790" w14:textId="5FC63A86" w:rsidR="007353B6" w:rsidRPr="00A50E4D" w:rsidRDefault="007353B6" w:rsidP="006F7559">
      <w:pPr>
        <w:tabs>
          <w:tab w:val="left" w:pos="450"/>
          <w:tab w:val="left" w:pos="567"/>
        </w:tabs>
        <w:spacing w:before="120" w:after="120"/>
        <w:rPr>
          <w:spacing w:val="-4"/>
          <w:sz w:val="16"/>
          <w:szCs w:val="16"/>
          <w:lang w:val="en-US"/>
        </w:rPr>
      </w:pPr>
      <w:r w:rsidRPr="00A50E4D">
        <w:rPr>
          <w:rStyle w:val="Refdenotaalpie1"/>
          <w:spacing w:val="-4"/>
          <w:sz w:val="16"/>
          <w:szCs w:val="16"/>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Cf.</w:t>
      </w:r>
      <w:r w:rsidRPr="00A50E4D">
        <w:rPr>
          <w:spacing w:val="-4"/>
          <w:sz w:val="16"/>
          <w:szCs w:val="16"/>
          <w:lang w:val="en-US"/>
        </w:rPr>
        <w:t xml:space="preserve"> </w:t>
      </w:r>
      <w:r w:rsidRPr="00A50E4D">
        <w:rPr>
          <w:i/>
          <w:spacing w:val="-4"/>
          <w:sz w:val="16"/>
          <w:szCs w:val="16"/>
          <w:lang w:val="en-US"/>
        </w:rPr>
        <w:t>Case of Las Palmeras v. Colombia. Merits.</w:t>
      </w:r>
      <w:r w:rsidRPr="00A50E4D">
        <w:rPr>
          <w:spacing w:val="-4"/>
          <w:sz w:val="16"/>
          <w:szCs w:val="16"/>
          <w:lang w:val="en-US"/>
        </w:rPr>
        <w:t xml:space="preserve"> Judgment of December 6, 2001. Series C No. 90, para. 58; and </w:t>
      </w:r>
      <w:r w:rsidRPr="00A50E4D">
        <w:rPr>
          <w:i/>
          <w:spacing w:val="-4"/>
          <w:sz w:val="16"/>
          <w:szCs w:val="16"/>
          <w:lang w:val="en-US"/>
        </w:rPr>
        <w:t>Case of Forneron and daughter v. Argentina. Merits, reparations and costs</w:t>
      </w:r>
      <w:r w:rsidRPr="00A50E4D">
        <w:rPr>
          <w:spacing w:val="-4"/>
          <w:sz w:val="16"/>
          <w:szCs w:val="16"/>
          <w:lang w:val="en-US"/>
        </w:rPr>
        <w:t>. Judgment of April 27, 2012. Series C No. 242, para. 107.</w:t>
      </w:r>
    </w:p>
  </w:footnote>
  <w:footnote w:id="420">
    <w:p w14:paraId="05E122D5" w14:textId="5F611952" w:rsidR="007353B6" w:rsidRPr="00A50E4D" w:rsidRDefault="007353B6" w:rsidP="006F7559">
      <w:pPr>
        <w:pStyle w:val="FootnoteText"/>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r>
      <w:r w:rsidRPr="00A50E4D">
        <w:rPr>
          <w:i/>
          <w:spacing w:val="-4"/>
          <w:lang w:val="en-US"/>
        </w:rPr>
        <w:t>Cf.</w:t>
      </w:r>
      <w:r w:rsidRPr="00A50E4D">
        <w:rPr>
          <w:spacing w:val="-4"/>
          <w:lang w:val="en-US"/>
        </w:rPr>
        <w:t xml:space="preserve"> </w:t>
      </w:r>
      <w:r w:rsidRPr="00A50E4D">
        <w:rPr>
          <w:i/>
          <w:spacing w:val="-4"/>
          <w:lang w:val="en-US" w:bidi="en-US"/>
        </w:rPr>
        <w:t>Case of Ivcher Bronstein v. Peru. Merits, reparations and costs.</w:t>
      </w:r>
      <w:r w:rsidRPr="00A50E4D">
        <w:rPr>
          <w:spacing w:val="-4"/>
          <w:lang w:val="en-US" w:bidi="en-US"/>
        </w:rPr>
        <w:t xml:space="preserve"> Judgment of February 6, 2001. Series C No. 7, para. 137, and </w:t>
      </w:r>
      <w:r w:rsidRPr="00A50E4D">
        <w:rPr>
          <w:bCs/>
          <w:i/>
          <w:spacing w:val="-4"/>
          <w:lang w:val="en-US" w:bidi="en-US"/>
        </w:rPr>
        <w:t>Case of 19 Traders v. Colombia. Merits, reparations and costs</w:t>
      </w:r>
      <w:r w:rsidRPr="00A50E4D">
        <w:rPr>
          <w:bCs/>
          <w:spacing w:val="-4"/>
          <w:lang w:val="en-US" w:bidi="en-US"/>
        </w:rPr>
        <w:t>. Judgment of July 5, 2004. Series C No. 109, para. 192.</w:t>
      </w:r>
    </w:p>
  </w:footnote>
  <w:footnote w:id="421">
    <w:p w14:paraId="2901FC9A" w14:textId="0950A470" w:rsidR="007353B6" w:rsidRPr="00A50E4D" w:rsidRDefault="007353B6" w:rsidP="006F7559">
      <w:pPr>
        <w:pStyle w:val="FootnoteText"/>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t>The Commission, the representatives and the State all agree on this point.</w:t>
      </w:r>
    </w:p>
  </w:footnote>
  <w:footnote w:id="422">
    <w:p w14:paraId="4C4474C4" w14:textId="00BF28C2" w:rsidR="007353B6" w:rsidRPr="00A50E4D" w:rsidRDefault="007353B6" w:rsidP="006F7559">
      <w:pPr>
        <w:pStyle w:val="FootnoteText"/>
        <w:tabs>
          <w:tab w:val="left" w:pos="450"/>
        </w:tabs>
        <w:spacing w:before="120" w:after="120"/>
        <w:rPr>
          <w:lang w:val="en-US"/>
        </w:rPr>
      </w:pPr>
      <w:r w:rsidRPr="00A50E4D">
        <w:rPr>
          <w:rStyle w:val="FootnoteReference"/>
          <w:lang w:val="en-US"/>
        </w:rPr>
        <w:footnoteRef/>
      </w:r>
      <w:r w:rsidRPr="00A50E4D">
        <w:rPr>
          <w:lang w:val="en-US"/>
        </w:rPr>
        <w:t xml:space="preserve"> </w:t>
      </w:r>
      <w:r w:rsidRPr="00A50E4D">
        <w:rPr>
          <w:lang w:val="en-US"/>
        </w:rPr>
        <w:tab/>
        <w:t xml:space="preserve">As indicated by the State, article 7 of the Law on the Organization and Faculties of the Courts established that: “No judge or justice may occupy this position in different courts in one and the same case,” and, based on this rule, none of the justices that had taken part in the dismissals of the presumed victims could have decided the applications for </w:t>
      </w:r>
      <w:r w:rsidRPr="00A50E4D">
        <w:rPr>
          <w:i/>
          <w:lang w:val="en-US"/>
        </w:rPr>
        <w:t>amparo</w:t>
      </w:r>
      <w:r w:rsidRPr="00A50E4D">
        <w:rPr>
          <w:lang w:val="en-US"/>
        </w:rPr>
        <w:t xml:space="preserve"> filed by the presumed victims against the decisions of the Judicial Service Council (merits file, folio 1790). Furthermore, article</w:t>
      </w:r>
      <w:r w:rsidRPr="00A50E4D">
        <w:rPr>
          <w:rFonts w:eastAsia="Batang" w:cs="Times New Roman"/>
          <w:spacing w:val="-4"/>
          <w:lang w:val="en-US" w:eastAsia="es-MX"/>
        </w:rPr>
        <w:t xml:space="preserve"> 303 of the Constitution of the Republic of Honduras stipulates that: “There shall be no more than two instances in any trial: the judge or justice who has exercised jurisdiction in one of them may not sit on the bench in the other, or in any special appeal on the same matter, without being held responsible.” </w:t>
      </w:r>
      <w:r w:rsidRPr="00A50E4D">
        <w:rPr>
          <w:spacing w:val="-4"/>
          <w:lang w:val="en-US"/>
        </w:rPr>
        <w:t xml:space="preserve">1982 Constitution of the Republic of Honduras (as amended up until January 20, 2006), article 303. Available at: </w:t>
      </w:r>
      <w:hyperlink r:id="rId80" w:history="1">
        <w:r w:rsidRPr="00A50E4D">
          <w:rPr>
            <w:rStyle w:val="Hyperlink"/>
            <w:spacing w:val="-4"/>
            <w:lang w:val="en-US"/>
          </w:rPr>
          <w:t>http://www.poderjudicial.gob.hn/CEDIJ/Leyes/Documents/CONSTITUCI% C3%93N%20DE%20LA%20REP%C3%9ABLICA%20%2809%29.pdf</w:t>
        </w:r>
      </w:hyperlink>
      <w:r w:rsidRPr="00A50E4D">
        <w:rPr>
          <w:rStyle w:val="Hyperlink"/>
          <w:color w:val="000000" w:themeColor="text1"/>
          <w:spacing w:val="-4"/>
          <w:u w:val="none"/>
          <w:lang w:val="en-US"/>
        </w:rPr>
        <w:t xml:space="preserve">.  </w:t>
      </w:r>
    </w:p>
  </w:footnote>
  <w:footnote w:id="423">
    <w:p w14:paraId="79404E5A" w14:textId="762184BE" w:rsidR="007353B6" w:rsidRPr="00A50E4D" w:rsidRDefault="007353B6" w:rsidP="006F7559">
      <w:pPr>
        <w:pStyle w:val="FootnoteText"/>
        <w:tabs>
          <w:tab w:val="left" w:pos="450"/>
        </w:tabs>
        <w:spacing w:before="120" w:after="120"/>
        <w:rPr>
          <w:spacing w:val="-4"/>
          <w:lang w:val="en-US"/>
        </w:rPr>
      </w:pPr>
      <w:r w:rsidRPr="00A50E4D">
        <w:rPr>
          <w:rStyle w:val="FootnoteReference"/>
          <w:lang w:val="en-US"/>
        </w:rPr>
        <w:footnoteRef/>
      </w:r>
      <w:r w:rsidRPr="00A50E4D">
        <w:rPr>
          <w:lang w:val="en-US"/>
        </w:rPr>
        <w:t xml:space="preserve"> </w:t>
      </w:r>
      <w:r w:rsidRPr="00A50E4D">
        <w:rPr>
          <w:lang w:val="en-US"/>
        </w:rPr>
        <w:tab/>
        <w:t>According to article 76 of the Law on the Organization and Faculties of the Courts: “</w:t>
      </w:r>
      <w:r w:rsidRPr="00A50E4D">
        <w:rPr>
          <w:spacing w:val="-4"/>
          <w:lang w:val="en-US"/>
        </w:rPr>
        <w:t>[t]he Supreme Court shall have three substitute justices. Their constitutional term of office shall be six years, counted from the January 1 closest to the date on which they take office.” In addition, article 103 established that: “[i]f none of the appointed substitutes is able to take office in the Supreme Court, other lawyers shall be called on, in the capacity of members and, in each case, they shall be designated by the justices who remain on the court, provided they comply with the requirements to be justices. The parties shall be advised of the call for members referred to in the preceding paragraph before the latter take office. If there are no lawyers, other persons who meet the other characteristics required to be justices may be called as members”</w:t>
      </w:r>
      <w:r w:rsidRPr="00A50E4D">
        <w:rPr>
          <w:lang w:val="en-US"/>
        </w:rPr>
        <w:t xml:space="preserve"> (merits file, folio 1546). Additionally, article 193 of the law establishes that: “</w:t>
      </w:r>
      <w:r w:rsidRPr="00A50E4D">
        <w:rPr>
          <w:spacing w:val="-4"/>
          <w:lang w:val="en-US"/>
        </w:rPr>
        <w:t>[t]he Court itself shall examine the recusal of the justices of the Supreme Court and of the Appellate Courts, with the exclusion of the member or members who have been recused, and when the recusal is denied, the remedy of cassation alone shall be admissible, when applicable</w:t>
      </w:r>
      <w:r w:rsidRPr="00A50E4D">
        <w:rPr>
          <w:lang w:val="en-US"/>
        </w:rPr>
        <w:t xml:space="preserve">” (merits file, folio 803). Law on the Organization and Faculties of the Courts Available at: </w:t>
      </w:r>
      <w:hyperlink r:id="rId81" w:history="1">
        <w:r w:rsidRPr="00A50E4D">
          <w:rPr>
            <w:rStyle w:val="Hyperlink"/>
            <w:lang w:val="en-US"/>
          </w:rPr>
          <w:t>http://www.poderjudicial.gob.hn/CEDIJ/Leyes/Documents/LEY%20DE%20 ORGANIZACI%C3%93N%20Y%20ATRIBUCIONES%20DE%20LOS%20TRIBUNALES%20%28ACTUALIZADA-07%29.pdf</w:t>
        </w:r>
      </w:hyperlink>
      <w:r w:rsidRPr="00A50E4D">
        <w:rPr>
          <w:lang w:val="en-US"/>
        </w:rPr>
        <w:t xml:space="preserve"> (cited by the Inter-American Commission on Human Rights in the Merits Report, merits file, folio 14)</w:t>
      </w:r>
      <w:r w:rsidRPr="00A50E4D">
        <w:rPr>
          <w:rStyle w:val="Hyperlink"/>
          <w:u w:val="none"/>
          <w:lang w:val="en-US"/>
        </w:rPr>
        <w:t xml:space="preserve">. </w:t>
      </w:r>
      <w:r w:rsidRPr="00A50E4D">
        <w:rPr>
          <w:lang w:val="en-US"/>
        </w:rPr>
        <w:t xml:space="preserve">Likewise, the law referred to above, article 8 of the rules of procedure of the Supreme Court of Justice, in relation to article 15 of these rules and article 5 of the rules of procedure of the Constitutional Chamber establish that, it shall be the President of the Supreme Court of Justice or, if this is not possible, the President of the Constitutional Chamber, who has the power to constitute the chambers when there has been a disqualification or recusal; also, these norms establish that members of other chambers will be called on to substitute the justice who has been recused. </w:t>
      </w:r>
    </w:p>
  </w:footnote>
  <w:footnote w:id="424">
    <w:p w14:paraId="58513100" w14:textId="2773CD65" w:rsidR="007353B6" w:rsidRPr="00A50E4D" w:rsidRDefault="007353B6" w:rsidP="00250B7F">
      <w:pPr>
        <w:pStyle w:val="FootnoteText"/>
        <w:tabs>
          <w:tab w:val="left" w:pos="450"/>
        </w:tabs>
        <w:spacing w:before="120" w:after="120"/>
        <w:rPr>
          <w:spacing w:val="-3"/>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Article 9 of the Convention establishes that: </w:t>
      </w:r>
      <w:r w:rsidRPr="00914F55">
        <w:rPr>
          <w:spacing w:val="-4"/>
          <w:lang w:val="en-US"/>
        </w:rPr>
        <w:t>“[n]</w:t>
      </w:r>
      <w:r w:rsidRPr="00914F55">
        <w:rPr>
          <w:spacing w:val="-3"/>
          <w:lang w:val="en-US"/>
        </w:rPr>
        <w:t>o one shall be convicted of any act or omission that did not constitute a criminal offense, under the applicable law, at the time it was committed. A heavier penalty shall not be imposed than the one that was applicable at the time the criminal offense was committed. If subsequent to the commission of the offense the law provides for the imposition of a lighter punishment, the guilty person shall benefit therefrom</w:t>
      </w:r>
      <w:r w:rsidRPr="00A50E4D">
        <w:rPr>
          <w:spacing w:val="-3"/>
          <w:lang w:val="en-US"/>
        </w:rPr>
        <w:t>.</w:t>
      </w:r>
      <w:r w:rsidRPr="00A50E4D">
        <w:rPr>
          <w:spacing w:val="-4"/>
          <w:lang w:val="en-US"/>
        </w:rPr>
        <w:t>”</w:t>
      </w:r>
    </w:p>
  </w:footnote>
  <w:footnote w:id="425">
    <w:p w14:paraId="2652FBD9" w14:textId="04A533A9"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Cf. Case of Baena Ricardo et al. v. Panama. Merits, reparations and costs, supra,</w:t>
      </w:r>
      <w:r w:rsidRPr="00A50E4D">
        <w:rPr>
          <w:spacing w:val="-4"/>
          <w:lang w:val="en-US"/>
        </w:rPr>
        <w:t xml:space="preserve"> para. 106, and </w:t>
      </w:r>
      <w:r w:rsidRPr="00A50E4D">
        <w:rPr>
          <w:bCs/>
          <w:i/>
          <w:spacing w:val="-4"/>
          <w:lang w:val="en-US"/>
        </w:rPr>
        <w:t>Case of Vélez Loor v. Panama. Preliminary objections, merits, reparations and costs</w:t>
      </w:r>
      <w:r w:rsidRPr="00A50E4D">
        <w:rPr>
          <w:bCs/>
          <w:spacing w:val="-4"/>
          <w:lang w:val="en-US"/>
        </w:rPr>
        <w:t>. Judgment of November 23, 2010 Series C No. 218, para. 183.</w:t>
      </w:r>
    </w:p>
  </w:footnote>
  <w:footnote w:id="426">
    <w:p w14:paraId="58947F82" w14:textId="6EEFECDC"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Mutatis mutandis, </w:t>
      </w:r>
      <w:r w:rsidRPr="00A50E4D">
        <w:rPr>
          <w:bCs/>
          <w:i/>
          <w:spacing w:val="-4"/>
          <w:lang w:val="en-US"/>
        </w:rPr>
        <w:t>Case of Fontevecchia and D’Amico v. Argentina, supra</w:t>
      </w:r>
      <w:r w:rsidRPr="00A50E4D">
        <w:rPr>
          <w:bCs/>
          <w:spacing w:val="-4"/>
          <w:lang w:val="en-US"/>
        </w:rPr>
        <w:t xml:space="preserve">, para. 89. </w:t>
      </w:r>
    </w:p>
  </w:footnote>
  <w:footnote w:id="427">
    <w:p w14:paraId="53EC8999" w14:textId="44996BAD"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The expert witnesses who testified before this Court all agree on this. </w:t>
      </w:r>
      <w:r w:rsidRPr="00A50E4D">
        <w:rPr>
          <w:i/>
          <w:iCs/>
          <w:spacing w:val="-4"/>
          <w:lang w:val="en-US"/>
        </w:rPr>
        <w:t xml:space="preserve">Cf. </w:t>
      </w:r>
      <w:r w:rsidRPr="00A50E4D">
        <w:rPr>
          <w:spacing w:val="-4"/>
          <w:lang w:val="en-US"/>
        </w:rPr>
        <w:t>Expert opinion provided by Perfecto Andrés Ibáñez during the public hearing in this case; affidavit made by Param Cumaraswamy on January 29, 2013 (merits file, folios 247</w:t>
      </w:r>
      <w:r>
        <w:rPr>
          <w:spacing w:val="-4"/>
          <w:lang w:val="en-US"/>
        </w:rPr>
        <w:t xml:space="preserve"> to </w:t>
      </w:r>
      <w:r w:rsidRPr="00A50E4D">
        <w:rPr>
          <w:spacing w:val="-4"/>
          <w:lang w:val="en-US"/>
        </w:rPr>
        <w:t>249), and affidavit made by Leandro Despouy on January 8, 2015 (evidence file, folios 6717, 6718 and 6731).</w:t>
      </w:r>
    </w:p>
  </w:footnote>
  <w:footnote w:id="428">
    <w:p w14:paraId="052F29A4" w14:textId="6C9245B7"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Judicial Service Act, article 51 (evidence file, 4162).</w:t>
      </w:r>
    </w:p>
  </w:footnote>
  <w:footnote w:id="429">
    <w:p w14:paraId="7D5D2B60" w14:textId="4BF3BD75"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This is revealed by the Act and its Regulations, as well as in the decision of the Judicial Service Council in the proceedings against Mr. Chévez de la Rocha in which the Council indicated that “based on the principle of proportionality, […] there must be a correlation between the offense committed and the sanction imposed; thus, the institution must prove that the judicial official has committed an offense of such a serious nature that it is impossible to sustain the relationship owing to the prejudice that the irregular activity of the official would cause to the citizenry; and an offense that is expressly mentioned in </w:t>
      </w:r>
      <w:r w:rsidRPr="00A50E4D">
        <w:rPr>
          <w:rFonts w:cs="Times New Roman"/>
          <w:spacing w:val="-4"/>
          <w:lang w:val="en-US"/>
        </w:rPr>
        <w:t xml:space="preserve">the rules of procedure of the Judicial Service as warranting dismissal; […] dismissal […] is the highest penalty, especially taking into account the serious prejudice that this measure causes to a judicial official.” </w:t>
      </w:r>
      <w:r w:rsidRPr="00A50E4D">
        <w:rPr>
          <w:spacing w:val="-4"/>
          <w:lang w:val="en-US"/>
        </w:rPr>
        <w:t>Decision of the Judicial Service Council of August 24, 2011 (evidence file, folios 2236 and 2237).</w:t>
      </w:r>
    </w:p>
  </w:footnote>
  <w:footnote w:id="430">
    <w:p w14:paraId="7A5607EB" w14:textId="46DC5CD3"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The acts that are inimical to the dignity of the administration of justice were also included in article 172 of the Regulations governing the Judicial Service Act, while the acts contrary to the effectiveness of the administration of justice were included in article 173 of the Regulations. </w:t>
      </w:r>
      <w:r w:rsidRPr="00A50E4D">
        <w:rPr>
          <w:i/>
          <w:spacing w:val="-4"/>
          <w:lang w:val="en-US"/>
        </w:rPr>
        <w:t>Cf.</w:t>
      </w:r>
      <w:r w:rsidRPr="00A50E4D">
        <w:rPr>
          <w:spacing w:val="-4"/>
          <w:lang w:val="en-US"/>
        </w:rPr>
        <w:t xml:space="preserve"> Regulations governing the Judicial Service Act (evidence file, folios 196 and 197), and Judicial Service Act (evidence file, folios 4163 to 4166).</w:t>
      </w:r>
    </w:p>
  </w:footnote>
  <w:footnote w:id="431">
    <w:p w14:paraId="517AC0ED" w14:textId="64C39A1E" w:rsidR="007353B6" w:rsidRPr="00A50E4D" w:rsidRDefault="007353B6" w:rsidP="006F7559">
      <w:pPr>
        <w:pStyle w:val="FootnoteText"/>
        <w:tabs>
          <w:tab w:val="left" w:pos="450"/>
        </w:tabs>
        <w:spacing w:before="120" w:after="120"/>
        <w:rPr>
          <w:spacing w:val="-4"/>
          <w:lang w:val="en-US"/>
        </w:rPr>
      </w:pPr>
      <w:r w:rsidRPr="00A50E4D">
        <w:rPr>
          <w:rStyle w:val="FootnoteReference"/>
          <w:lang w:val="en-US"/>
        </w:rPr>
        <w:footnoteRef/>
      </w:r>
      <w:r w:rsidRPr="00A50E4D">
        <w:rPr>
          <w:lang w:val="en-US"/>
        </w:rPr>
        <w:t xml:space="preserve"> </w:t>
      </w:r>
      <w:r w:rsidRPr="00A50E4D">
        <w:rPr>
          <w:lang w:val="en-US"/>
        </w:rPr>
        <w:tab/>
        <w:t xml:space="preserve">Articles 57 and 59 </w:t>
      </w:r>
      <w:r w:rsidRPr="00A50E4D">
        <w:rPr>
          <w:spacing w:val="-4"/>
          <w:lang w:val="en-US"/>
        </w:rPr>
        <w:t>of the Judicial Service Act established that: “When, in the opinion of the superior, the offense does not give rise to another sanction, the superior shall summarily and in writing reprimand the offender,” and that “Suspension from office for up to three months may be imposed for serious offenses or repetition of minor offenses” and could be accompanied by “exclusion from the service after the first time and, of necessity, will produce this if the offense is repeated.” Judicial Service Act, article 59 (evidence file</w:t>
      </w:r>
      <w:r w:rsidRPr="00A50E4D">
        <w:rPr>
          <w:rFonts w:cs="Arial"/>
          <w:spacing w:val="-4"/>
          <w:lang w:val="en-US"/>
        </w:rPr>
        <w:t>, folio 4166). However, these articles do not establish which offenses were considered minor or serious, and also constitutes a different classification from the one established in the Regulations to the Act</w:t>
      </w:r>
      <w:r w:rsidRPr="00A50E4D">
        <w:rPr>
          <w:lang w:val="en-US"/>
        </w:rPr>
        <w:t xml:space="preserve">. </w:t>
      </w:r>
    </w:p>
  </w:footnote>
  <w:footnote w:id="432">
    <w:p w14:paraId="6D4815FE" w14:textId="3E807FC5"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The Regulations classify offenses as minor, less serious and serious, while the Act only refers to minor or serious offenses. </w:t>
      </w:r>
      <w:r w:rsidRPr="00A50E4D">
        <w:rPr>
          <w:i/>
          <w:spacing w:val="-4"/>
          <w:lang w:val="en-US"/>
        </w:rPr>
        <w:t>Cf.</w:t>
      </w:r>
      <w:r w:rsidRPr="00A50E4D">
        <w:rPr>
          <w:rFonts w:cs="Arial"/>
          <w:spacing w:val="-4"/>
          <w:lang w:val="en-US"/>
        </w:rPr>
        <w:t xml:space="preserve"> Regulations governing the Judicial Service Act, articles 175, 177 and 178 (evidence file, folio 198), and </w:t>
      </w:r>
      <w:r w:rsidRPr="00A50E4D">
        <w:rPr>
          <w:spacing w:val="-4"/>
          <w:lang w:val="en-US"/>
        </w:rPr>
        <w:t>Judicial Service Act, article 59 (evidence file</w:t>
      </w:r>
      <w:r w:rsidRPr="00A50E4D">
        <w:rPr>
          <w:rFonts w:cs="Arial"/>
          <w:spacing w:val="-4"/>
          <w:lang w:val="en-US"/>
        </w:rPr>
        <w:t>, folio 4166).</w:t>
      </w:r>
    </w:p>
  </w:footnote>
  <w:footnote w:id="433">
    <w:p w14:paraId="01809F92" w14:textId="0D69F77D"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Article 64 of the Judicial Service Act established the causes for “dismissal” (evidence file, folios 4166 and 4167). According to article 186 of the Regulations governing the Judicial Service Act “[b]y Dismissal Regime shall be understood the body of norms that regulate the removal or dismissal of judicial officials from regular service for justifiable causes.” Regulations governing the Judicial Service Act, article 186 (evidence file, folio 200).</w:t>
      </w:r>
    </w:p>
  </w:footnote>
  <w:footnote w:id="434">
    <w:p w14:paraId="3E7665E7" w14:textId="703245E5"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Judicial Service Act, articles 5(3), 64, 65 and 66 (evidence file, folios 4166 to 4168), and Regulations governing the Judicial Service Act, articles 180, 186, 187, 188 and 189 (evidence file, folios 199 to 201).</w:t>
      </w:r>
    </w:p>
  </w:footnote>
  <w:footnote w:id="435">
    <w:p w14:paraId="5F301BCB" w14:textId="6C6F5B23"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In this regard, the Regulations governing the Judicial Service</w:t>
      </w:r>
      <w:r w:rsidRPr="00A50E4D">
        <w:rPr>
          <w:rFonts w:cs="Arial"/>
          <w:spacing w:val="-4"/>
          <w:lang w:val="en-US"/>
        </w:rPr>
        <w:t xml:space="preserve"> Act</w:t>
      </w:r>
      <w:r w:rsidRPr="00A50E4D">
        <w:rPr>
          <w:spacing w:val="-4"/>
          <w:lang w:val="en-US"/>
        </w:rPr>
        <w:t xml:space="preserve"> establish that: “Article 175. The following shall be considered minor offenses: (a) Absenting oneself from one’s post, without authorization, in regulatory working hours; (b) Mistreatment, by word or deed, of subordinate employees; (c) Involuntary errors in performing one’s work; (ch) Lack of attention to personal appearance and tidiness in the workplace. Article 176. Minor offenses shall merit a verbal reprimand. If the official commits a second minor offense, a written reprimand shall be applied as a sanction. Article 177. The offenses indicated in Article 172 of these Regulations shall be considered less serious offenses [equivalent to the offenses established in article 53 of the Judicial Service Act and corresponding to the acts that “are inimical to the dignity of the administration of justice”] and shall be sanctioned with a fine of no less than five days or more than 30 days salary. Article 178. Repetition of a less serious offense shall constitute a serious offense and shall be sanctioned with suspension from office; the same sanction shall be applied to serious offenses, without exceeding three months. Article 179. The offenses established in article 173 of these Regulations shall constitute serious offenses [equivalent to the offenses established in article 54 of the Judicial Service Act and corresponding to the acts contrary to the effectiveness of the administration of justice”], without prejudice to the provisions relating to the Dismissal Regime indicated in article 187 hereof [equivalent to article 64 of the Judicial Service Act on the grounds for dismissal].” </w:t>
      </w:r>
      <w:r w:rsidRPr="00A50E4D">
        <w:rPr>
          <w:rFonts w:cs="Arial"/>
          <w:spacing w:val="-4"/>
          <w:lang w:val="en-US"/>
        </w:rPr>
        <w:t>Regulations governing the Judicial Service Act (evidence file, folios 198 and 199)</w:t>
      </w:r>
      <w:r w:rsidRPr="00A50E4D">
        <w:rPr>
          <w:spacing w:val="-4"/>
          <w:lang w:val="en-US"/>
        </w:rPr>
        <w:t>.</w:t>
      </w:r>
    </w:p>
  </w:footnote>
  <w:footnote w:id="436">
    <w:p w14:paraId="53A72DFC" w14:textId="25E80FDB"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F25627">
        <w:rPr>
          <w:spacing w:val="-4"/>
          <w:lang w:val="es-CR"/>
        </w:rPr>
        <w:t xml:space="preserve"> </w:t>
      </w:r>
      <w:r w:rsidRPr="00F25627">
        <w:rPr>
          <w:spacing w:val="-4"/>
          <w:lang w:val="es-CR"/>
        </w:rPr>
        <w:tab/>
      </w:r>
      <w:r w:rsidRPr="00F25627">
        <w:rPr>
          <w:i/>
          <w:spacing w:val="-4"/>
          <w:lang w:val="es-CR"/>
        </w:rPr>
        <w:t xml:space="preserve">Cf. </w:t>
      </w:r>
      <w:r w:rsidRPr="00F25627">
        <w:rPr>
          <w:bCs/>
          <w:i/>
          <w:spacing w:val="-4"/>
          <w:lang w:val="es-CR"/>
        </w:rPr>
        <w:t>Case of López Mendoza v. Venezuela, supra</w:t>
      </w:r>
      <w:r w:rsidRPr="00F25627">
        <w:rPr>
          <w:spacing w:val="-4"/>
          <w:lang w:val="es-CR"/>
        </w:rPr>
        <w:t xml:space="preserve">, para. </w:t>
      </w:r>
      <w:r w:rsidRPr="00A50E4D">
        <w:rPr>
          <w:spacing w:val="-4"/>
          <w:lang w:val="en-US"/>
        </w:rPr>
        <w:t xml:space="preserve">202. </w:t>
      </w:r>
      <w:r w:rsidRPr="00A50E4D">
        <w:rPr>
          <w:color w:val="000000"/>
          <w:spacing w:val="-4"/>
          <w:lang w:val="en-US"/>
        </w:rPr>
        <w:t xml:space="preserve"> </w:t>
      </w:r>
    </w:p>
  </w:footnote>
  <w:footnote w:id="437">
    <w:p w14:paraId="4F9C0452" w14:textId="46C8A422"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In this regard, the Court notes that the plenum of the Supreme Court of Justice decided the dismissal of the four presumed victims in this case in a session that commenced on May 5 and concluded on May 7, 2010. The record of that session indicates that the plenum of the Court appointed a committee of three justices to “draw up the respective resolution, and then to issue the corresponding dismissal decision” (</w:t>
      </w:r>
      <w:r w:rsidRPr="00A50E4D">
        <w:rPr>
          <w:i/>
          <w:spacing w:val="-4"/>
          <w:lang w:val="en-US"/>
        </w:rPr>
        <w:t>supra</w:t>
      </w:r>
      <w:r w:rsidRPr="00A50E4D">
        <w:rPr>
          <w:spacing w:val="-4"/>
          <w:lang w:val="en-US"/>
        </w:rPr>
        <w:t xml:space="preserve"> paras. </w:t>
      </w:r>
      <w:r w:rsidRPr="00914F55">
        <w:rPr>
          <w:b/>
          <w:spacing w:val="-4"/>
          <w:lang w:val="en-US"/>
        </w:rPr>
        <w:fldChar w:fldCharType="begin"/>
      </w:r>
      <w:r w:rsidRPr="00A50E4D">
        <w:rPr>
          <w:spacing w:val="-4"/>
          <w:lang w:val="en-US"/>
        </w:rPr>
        <w:instrText xml:space="preserve"> REF _Ref427311540 \r \h </w:instrText>
      </w:r>
      <w:r w:rsidRPr="00A50E4D">
        <w:rPr>
          <w:b/>
          <w:spacing w:val="-4"/>
          <w:lang w:val="en-US"/>
        </w:rPr>
        <w:instrText xml:space="preserve"> \* MERGEFORMAT </w:instrText>
      </w:r>
      <w:r w:rsidRPr="00914F55">
        <w:rPr>
          <w:b/>
          <w:spacing w:val="-4"/>
          <w:lang w:val="en-US"/>
        </w:rPr>
      </w:r>
      <w:r w:rsidRPr="00914F55">
        <w:rPr>
          <w:b/>
          <w:spacing w:val="-4"/>
          <w:lang w:val="en-US"/>
        </w:rPr>
        <w:fldChar w:fldCharType="separate"/>
      </w:r>
      <w:r>
        <w:rPr>
          <w:spacing w:val="-4"/>
          <w:lang w:val="en-US"/>
        </w:rPr>
        <w:t>94</w:t>
      </w:r>
      <w:r w:rsidRPr="00914F55">
        <w:rPr>
          <w:b/>
          <w:spacing w:val="-4"/>
          <w:lang w:val="en-US"/>
        </w:rPr>
        <w:fldChar w:fldCharType="end"/>
      </w:r>
      <w:r w:rsidRPr="00A50E4D">
        <w:rPr>
          <w:spacing w:val="-4"/>
          <w:lang w:val="en-US"/>
        </w:rPr>
        <w:t xml:space="preserve">, </w:t>
      </w:r>
      <w:r w:rsidRPr="00914F55">
        <w:rPr>
          <w:spacing w:val="-4"/>
          <w:lang w:val="en-US"/>
        </w:rPr>
        <w:fldChar w:fldCharType="begin"/>
      </w:r>
      <w:r w:rsidRPr="00A50E4D">
        <w:rPr>
          <w:spacing w:val="-4"/>
          <w:lang w:val="en-US"/>
        </w:rPr>
        <w:instrText xml:space="preserve"> REF _Ref427311551 \r \h  \* MERGEFORMAT </w:instrText>
      </w:r>
      <w:r w:rsidRPr="00914F55">
        <w:rPr>
          <w:spacing w:val="-4"/>
          <w:lang w:val="en-US"/>
        </w:rPr>
      </w:r>
      <w:r w:rsidRPr="00914F55">
        <w:rPr>
          <w:spacing w:val="-4"/>
          <w:lang w:val="en-US"/>
        </w:rPr>
        <w:fldChar w:fldCharType="separate"/>
      </w:r>
      <w:r>
        <w:rPr>
          <w:spacing w:val="-4"/>
          <w:lang w:val="en-US"/>
        </w:rPr>
        <w:t>114</w:t>
      </w:r>
      <w:r w:rsidRPr="00914F55">
        <w:rPr>
          <w:spacing w:val="-4"/>
          <w:lang w:val="en-US"/>
        </w:rPr>
        <w:fldChar w:fldCharType="end"/>
      </w:r>
      <w:r w:rsidRPr="00A50E4D">
        <w:rPr>
          <w:spacing w:val="-4"/>
          <w:lang w:val="en-US"/>
        </w:rPr>
        <w:t xml:space="preserve">, </w:t>
      </w:r>
      <w:r w:rsidRPr="00914F55">
        <w:rPr>
          <w:spacing w:val="-4"/>
          <w:lang w:val="en-US"/>
        </w:rPr>
        <w:fldChar w:fldCharType="begin"/>
      </w:r>
      <w:r w:rsidRPr="00A50E4D">
        <w:rPr>
          <w:spacing w:val="-4"/>
          <w:lang w:val="en-US"/>
        </w:rPr>
        <w:instrText xml:space="preserve"> REF _Ref427311566 \r \h  \* MERGEFORMAT </w:instrText>
      </w:r>
      <w:r w:rsidRPr="00914F55">
        <w:rPr>
          <w:spacing w:val="-4"/>
          <w:lang w:val="en-US"/>
        </w:rPr>
      </w:r>
      <w:r w:rsidRPr="00914F55">
        <w:rPr>
          <w:spacing w:val="-4"/>
          <w:lang w:val="en-US"/>
        </w:rPr>
        <w:fldChar w:fldCharType="separate"/>
      </w:r>
      <w:r>
        <w:rPr>
          <w:spacing w:val="-4"/>
          <w:lang w:val="en-US"/>
        </w:rPr>
        <w:t>131</w:t>
      </w:r>
      <w:r w:rsidRPr="00914F55">
        <w:rPr>
          <w:spacing w:val="-4"/>
          <w:lang w:val="en-US"/>
        </w:rPr>
        <w:fldChar w:fldCharType="end"/>
      </w:r>
      <w:r w:rsidRPr="00A50E4D">
        <w:rPr>
          <w:spacing w:val="-4"/>
          <w:lang w:val="en-US"/>
        </w:rPr>
        <w:t xml:space="preserve"> and </w:t>
      </w:r>
      <w:r w:rsidRPr="00914F55">
        <w:rPr>
          <w:spacing w:val="-4"/>
          <w:lang w:val="en-US"/>
        </w:rPr>
        <w:fldChar w:fldCharType="begin"/>
      </w:r>
      <w:r w:rsidRPr="00A50E4D">
        <w:rPr>
          <w:spacing w:val="-4"/>
          <w:lang w:val="en-US"/>
        </w:rPr>
        <w:instrText xml:space="preserve"> REF _Ref427339122 \r \h  \* MERGEFORMAT </w:instrText>
      </w:r>
      <w:r w:rsidRPr="00914F55">
        <w:rPr>
          <w:spacing w:val="-4"/>
          <w:lang w:val="en-US"/>
        </w:rPr>
      </w:r>
      <w:r w:rsidRPr="00914F55">
        <w:rPr>
          <w:spacing w:val="-4"/>
          <w:lang w:val="en-US"/>
        </w:rPr>
        <w:fldChar w:fldCharType="separate"/>
      </w:r>
      <w:r>
        <w:rPr>
          <w:spacing w:val="-4"/>
          <w:lang w:val="en-US"/>
        </w:rPr>
        <w:t>144</w:t>
      </w:r>
      <w:r w:rsidRPr="00914F55">
        <w:rPr>
          <w:spacing w:val="-4"/>
          <w:lang w:val="en-US"/>
        </w:rPr>
        <w:fldChar w:fldCharType="end"/>
      </w:r>
      <w:r w:rsidRPr="00A50E4D">
        <w:rPr>
          <w:spacing w:val="-4"/>
          <w:lang w:val="en-US"/>
        </w:rPr>
        <w:t>). However, the disciplinary files contain decisions dated May 5, 2010, signed by the President and the Secretary of the Supreme Court, in which, apparently following up on the orders of the plenum of the Court, they set out “the corresponding grounds, which have been approved, adding the date that the plenum was held”</w:t>
      </w:r>
      <w:r w:rsidRPr="00A50E4D">
        <w:rPr>
          <w:rFonts w:cs="Arial"/>
          <w:spacing w:val="-4"/>
          <w:lang w:val="en-US"/>
        </w:rPr>
        <w:t xml:space="preserve"> (</w:t>
      </w:r>
      <w:r w:rsidRPr="00A50E4D">
        <w:rPr>
          <w:i/>
          <w:spacing w:val="-4"/>
          <w:lang w:val="en-US"/>
        </w:rPr>
        <w:t>supra</w:t>
      </w:r>
      <w:r w:rsidRPr="00A50E4D">
        <w:rPr>
          <w:spacing w:val="-4"/>
          <w:lang w:val="en-US"/>
        </w:rPr>
        <w:t xml:space="preserve"> paras. </w:t>
      </w:r>
      <w:r w:rsidRPr="00914F55">
        <w:rPr>
          <w:b/>
          <w:spacing w:val="-4"/>
          <w:lang w:val="en-US"/>
        </w:rPr>
        <w:fldChar w:fldCharType="begin"/>
      </w:r>
      <w:r w:rsidRPr="00A50E4D">
        <w:rPr>
          <w:spacing w:val="-4"/>
          <w:lang w:val="en-US"/>
        </w:rPr>
        <w:instrText xml:space="preserve"> REF _Ref427311540 \r \h </w:instrText>
      </w:r>
      <w:r w:rsidRPr="00A50E4D">
        <w:rPr>
          <w:b/>
          <w:spacing w:val="-4"/>
          <w:lang w:val="en-US"/>
        </w:rPr>
        <w:instrText xml:space="preserve"> \* MERGEFORMAT </w:instrText>
      </w:r>
      <w:r w:rsidRPr="00914F55">
        <w:rPr>
          <w:b/>
          <w:spacing w:val="-4"/>
          <w:lang w:val="en-US"/>
        </w:rPr>
      </w:r>
      <w:r w:rsidRPr="00914F55">
        <w:rPr>
          <w:b/>
          <w:spacing w:val="-4"/>
          <w:lang w:val="en-US"/>
        </w:rPr>
        <w:fldChar w:fldCharType="separate"/>
      </w:r>
      <w:r>
        <w:rPr>
          <w:spacing w:val="-4"/>
          <w:lang w:val="en-US"/>
        </w:rPr>
        <w:t>94</w:t>
      </w:r>
      <w:r w:rsidRPr="00914F55">
        <w:rPr>
          <w:b/>
          <w:spacing w:val="-4"/>
          <w:lang w:val="en-US"/>
        </w:rPr>
        <w:fldChar w:fldCharType="end"/>
      </w:r>
      <w:r w:rsidRPr="00A50E4D">
        <w:rPr>
          <w:spacing w:val="-4"/>
          <w:lang w:val="en-US"/>
        </w:rPr>
        <w:t xml:space="preserve">, </w:t>
      </w:r>
      <w:r w:rsidRPr="00914F55">
        <w:rPr>
          <w:spacing w:val="-4"/>
          <w:lang w:val="en-US"/>
        </w:rPr>
        <w:fldChar w:fldCharType="begin"/>
      </w:r>
      <w:r w:rsidRPr="00A50E4D">
        <w:rPr>
          <w:spacing w:val="-4"/>
          <w:lang w:val="en-US"/>
        </w:rPr>
        <w:instrText xml:space="preserve"> REF _Ref427311551 \r \h  \* MERGEFORMAT </w:instrText>
      </w:r>
      <w:r w:rsidRPr="00914F55">
        <w:rPr>
          <w:spacing w:val="-4"/>
          <w:lang w:val="en-US"/>
        </w:rPr>
      </w:r>
      <w:r w:rsidRPr="00914F55">
        <w:rPr>
          <w:spacing w:val="-4"/>
          <w:lang w:val="en-US"/>
        </w:rPr>
        <w:fldChar w:fldCharType="separate"/>
      </w:r>
      <w:r>
        <w:rPr>
          <w:spacing w:val="-4"/>
          <w:lang w:val="en-US"/>
        </w:rPr>
        <w:t>114</w:t>
      </w:r>
      <w:r w:rsidRPr="00914F55">
        <w:rPr>
          <w:spacing w:val="-4"/>
          <w:lang w:val="en-US"/>
        </w:rPr>
        <w:fldChar w:fldCharType="end"/>
      </w:r>
      <w:r w:rsidRPr="00A50E4D">
        <w:rPr>
          <w:spacing w:val="-4"/>
          <w:lang w:val="en-US"/>
        </w:rPr>
        <w:t xml:space="preserve">, </w:t>
      </w:r>
      <w:r w:rsidRPr="00914F55">
        <w:rPr>
          <w:spacing w:val="-4"/>
          <w:lang w:val="en-US"/>
        </w:rPr>
        <w:fldChar w:fldCharType="begin"/>
      </w:r>
      <w:r w:rsidRPr="00A50E4D">
        <w:rPr>
          <w:spacing w:val="-4"/>
          <w:lang w:val="en-US"/>
        </w:rPr>
        <w:instrText xml:space="preserve"> REF _Ref427311566 \r \h  \* MERGEFORMAT </w:instrText>
      </w:r>
      <w:r w:rsidRPr="00914F55">
        <w:rPr>
          <w:spacing w:val="-4"/>
          <w:lang w:val="en-US"/>
        </w:rPr>
      </w:r>
      <w:r w:rsidRPr="00914F55">
        <w:rPr>
          <w:spacing w:val="-4"/>
          <w:lang w:val="en-US"/>
        </w:rPr>
        <w:fldChar w:fldCharType="separate"/>
      </w:r>
      <w:r>
        <w:rPr>
          <w:spacing w:val="-4"/>
          <w:lang w:val="en-US"/>
        </w:rPr>
        <w:t>131</w:t>
      </w:r>
      <w:r w:rsidRPr="00914F55">
        <w:rPr>
          <w:spacing w:val="-4"/>
          <w:lang w:val="en-US"/>
        </w:rPr>
        <w:fldChar w:fldCharType="end"/>
      </w:r>
      <w:r w:rsidRPr="00A50E4D">
        <w:rPr>
          <w:spacing w:val="-4"/>
          <w:lang w:val="en-US"/>
        </w:rPr>
        <w:t xml:space="preserve"> and </w:t>
      </w:r>
      <w:r w:rsidRPr="00914F55">
        <w:rPr>
          <w:spacing w:val="-4"/>
          <w:lang w:val="en-US"/>
        </w:rPr>
        <w:fldChar w:fldCharType="begin"/>
      </w:r>
      <w:r w:rsidRPr="00A50E4D">
        <w:rPr>
          <w:spacing w:val="-4"/>
          <w:lang w:val="en-US"/>
        </w:rPr>
        <w:instrText xml:space="preserve"> REF _Ref427339122 \r \h  \* MERGEFORMAT </w:instrText>
      </w:r>
      <w:r w:rsidRPr="00914F55">
        <w:rPr>
          <w:spacing w:val="-4"/>
          <w:lang w:val="en-US"/>
        </w:rPr>
      </w:r>
      <w:r w:rsidRPr="00914F55">
        <w:rPr>
          <w:spacing w:val="-4"/>
          <w:lang w:val="en-US"/>
        </w:rPr>
        <w:fldChar w:fldCharType="separate"/>
      </w:r>
      <w:r>
        <w:rPr>
          <w:spacing w:val="-4"/>
          <w:lang w:val="en-US"/>
        </w:rPr>
        <w:t>144</w:t>
      </w:r>
      <w:r w:rsidRPr="00914F55">
        <w:rPr>
          <w:spacing w:val="-4"/>
          <w:lang w:val="en-US"/>
        </w:rPr>
        <w:fldChar w:fldCharType="end"/>
      </w:r>
      <w:r w:rsidRPr="00A50E4D">
        <w:rPr>
          <w:spacing w:val="-4"/>
          <w:lang w:val="en-US"/>
        </w:rPr>
        <w:t xml:space="preserve">). The decisions of the Judicial Service Council indicate that the dismissals of the presumed victims were based on grounds outlined in the May 5 decisions that were attached and that are in the case file. The Court notes that it is unclear what the nature and purpose of these decisions of the President were within the disciplinary proceedings of the presumed victims, because they were not issued by the committee of three justices that had been appointed by the plenum of the Supreme Court, and there is no record that they were notified to the presumed victims. Therefore, this Court will not take into account the said decisions of the President of the Supreme Court of May 5, 2010, to explain the grounds for the sanctions imposed on the presumed victims by the Supreme Court. Furthermore, even though the presumed victims learned of their dismissal in advance through the press and even filed appeals for review in this regard, it was not until the notification of the dismissal decisions on June 4, 2010 (Tirza del Carmen Flores Lanza, </w:t>
      </w:r>
      <w:r w:rsidRPr="00A50E4D">
        <w:rPr>
          <w:i/>
          <w:spacing w:val="-4"/>
          <w:lang w:val="en-US"/>
        </w:rPr>
        <w:t>supra</w:t>
      </w:r>
      <w:r w:rsidRPr="00A50E4D">
        <w:rPr>
          <w:spacing w:val="-4"/>
          <w:lang w:val="en-US"/>
        </w:rPr>
        <w:t xml:space="preserve"> para. </w:t>
      </w:r>
      <w:r w:rsidRPr="00914F55">
        <w:rPr>
          <w:b/>
          <w:spacing w:val="-4"/>
          <w:lang w:val="en-US"/>
        </w:rPr>
        <w:fldChar w:fldCharType="begin"/>
      </w:r>
      <w:r w:rsidRPr="00A50E4D">
        <w:rPr>
          <w:spacing w:val="-4"/>
          <w:lang w:val="en-US"/>
        </w:rPr>
        <w:instrText xml:space="preserve"> REF _Ref427311483 \r \h </w:instrText>
      </w:r>
      <w:r w:rsidRPr="00A50E4D">
        <w:rPr>
          <w:b/>
          <w:spacing w:val="-4"/>
          <w:lang w:val="en-US"/>
        </w:rPr>
        <w:instrText xml:space="preserve"> \* MERGEFORMAT </w:instrText>
      </w:r>
      <w:r w:rsidRPr="00914F55">
        <w:rPr>
          <w:b/>
          <w:spacing w:val="-4"/>
          <w:lang w:val="en-US"/>
        </w:rPr>
      </w:r>
      <w:r w:rsidRPr="00914F55">
        <w:rPr>
          <w:b/>
          <w:spacing w:val="-4"/>
          <w:lang w:val="en-US"/>
        </w:rPr>
        <w:fldChar w:fldCharType="separate"/>
      </w:r>
      <w:r w:rsidRPr="00547588">
        <w:rPr>
          <w:spacing w:val="-4"/>
          <w:lang w:val="es-CR"/>
        </w:rPr>
        <w:t>115</w:t>
      </w:r>
      <w:r w:rsidRPr="00914F55">
        <w:rPr>
          <w:spacing w:val="-4"/>
          <w:lang w:val="en-US"/>
        </w:rPr>
        <w:fldChar w:fldCharType="end"/>
      </w:r>
      <w:r w:rsidRPr="00F25627">
        <w:rPr>
          <w:spacing w:val="-4"/>
          <w:lang w:val="es-CR"/>
        </w:rPr>
        <w:t xml:space="preserve"> and Luis Alonso Chévez de la Rocha, </w:t>
      </w:r>
      <w:r w:rsidRPr="00F25627">
        <w:rPr>
          <w:i/>
          <w:spacing w:val="-4"/>
          <w:lang w:val="es-CR"/>
        </w:rPr>
        <w:t>supra</w:t>
      </w:r>
      <w:r w:rsidRPr="00F25627">
        <w:rPr>
          <w:spacing w:val="-4"/>
          <w:lang w:val="es-CR"/>
        </w:rPr>
        <w:t xml:space="preserve"> para. </w:t>
      </w:r>
      <w:r w:rsidRPr="00914F55">
        <w:rPr>
          <w:b/>
          <w:spacing w:val="-4"/>
          <w:lang w:val="en-US"/>
        </w:rPr>
        <w:fldChar w:fldCharType="begin"/>
      </w:r>
      <w:r w:rsidRPr="00F25627">
        <w:rPr>
          <w:spacing w:val="-4"/>
          <w:lang w:val="es-CR"/>
        </w:rPr>
        <w:instrText xml:space="preserve"> REF _Ref426373726 \r \h </w:instrText>
      </w:r>
      <w:r w:rsidRPr="00F25627">
        <w:rPr>
          <w:b/>
          <w:spacing w:val="-4"/>
          <w:lang w:val="es-CR"/>
        </w:rPr>
        <w:instrText xml:space="preserve"> \* MERGEFORMAT </w:instrText>
      </w:r>
      <w:r w:rsidRPr="00914F55">
        <w:rPr>
          <w:b/>
          <w:spacing w:val="-4"/>
          <w:lang w:val="en-US"/>
        </w:rPr>
      </w:r>
      <w:r w:rsidRPr="00914F55">
        <w:rPr>
          <w:b/>
          <w:spacing w:val="-4"/>
          <w:lang w:val="en-US"/>
        </w:rPr>
        <w:fldChar w:fldCharType="separate"/>
      </w:r>
      <w:r>
        <w:rPr>
          <w:spacing w:val="-4"/>
          <w:lang w:val="es-CR"/>
        </w:rPr>
        <w:t>132</w:t>
      </w:r>
      <w:r w:rsidRPr="00914F55">
        <w:rPr>
          <w:spacing w:val="-4"/>
          <w:lang w:val="en-US"/>
        </w:rPr>
        <w:fldChar w:fldCharType="end"/>
      </w:r>
      <w:r w:rsidRPr="00F25627">
        <w:rPr>
          <w:spacing w:val="-4"/>
          <w:lang w:val="es-CR"/>
        </w:rPr>
        <w:t xml:space="preserve">) and on June 16 (Adán Guillermo López Lone, </w:t>
      </w:r>
      <w:r w:rsidRPr="00F25627">
        <w:rPr>
          <w:i/>
          <w:spacing w:val="-4"/>
          <w:lang w:val="es-CR"/>
        </w:rPr>
        <w:t>supra</w:t>
      </w:r>
      <w:r w:rsidRPr="00F25627">
        <w:rPr>
          <w:spacing w:val="-4"/>
          <w:lang w:val="es-CR"/>
        </w:rPr>
        <w:t xml:space="preserve"> para. </w:t>
      </w:r>
      <w:r w:rsidRPr="00914F55">
        <w:rPr>
          <w:b/>
          <w:spacing w:val="-4"/>
          <w:lang w:val="en-US"/>
        </w:rPr>
        <w:fldChar w:fldCharType="begin"/>
      </w:r>
      <w:r w:rsidRPr="00F25627">
        <w:rPr>
          <w:spacing w:val="-4"/>
          <w:lang w:val="es-CR"/>
        </w:rPr>
        <w:instrText xml:space="preserve"> REF _Ref427311472 \r \h </w:instrText>
      </w:r>
      <w:r w:rsidRPr="00F25627">
        <w:rPr>
          <w:b/>
          <w:spacing w:val="-4"/>
          <w:lang w:val="es-CR"/>
        </w:rPr>
        <w:instrText xml:space="preserve"> \* MERGEFORMAT </w:instrText>
      </w:r>
      <w:r w:rsidRPr="00914F55">
        <w:rPr>
          <w:b/>
          <w:spacing w:val="-4"/>
          <w:lang w:val="en-US"/>
        </w:rPr>
      </w:r>
      <w:r w:rsidRPr="00914F55">
        <w:rPr>
          <w:b/>
          <w:spacing w:val="-4"/>
          <w:lang w:val="en-US"/>
        </w:rPr>
        <w:fldChar w:fldCharType="separate"/>
      </w:r>
      <w:r w:rsidRPr="00547588">
        <w:rPr>
          <w:spacing w:val="-4"/>
          <w:lang w:val="en-US"/>
        </w:rPr>
        <w:t>95</w:t>
      </w:r>
      <w:r w:rsidRPr="00914F55">
        <w:rPr>
          <w:spacing w:val="-4"/>
          <w:lang w:val="en-US"/>
        </w:rPr>
        <w:fldChar w:fldCharType="end"/>
      </w:r>
      <w:r w:rsidRPr="00A50E4D">
        <w:rPr>
          <w:b/>
          <w:spacing w:val="-4"/>
          <w:lang w:val="en-US"/>
        </w:rPr>
        <w:t xml:space="preserve"> </w:t>
      </w:r>
      <w:r w:rsidRPr="00A50E4D">
        <w:rPr>
          <w:spacing w:val="-4"/>
          <w:lang w:val="en-US"/>
        </w:rPr>
        <w:t xml:space="preserve">and Ramón Barrios Maldonado, </w:t>
      </w:r>
      <w:r w:rsidRPr="00A50E4D">
        <w:rPr>
          <w:i/>
          <w:spacing w:val="-4"/>
          <w:lang w:val="en-US"/>
        </w:rPr>
        <w:t>supra</w:t>
      </w:r>
      <w:r w:rsidRPr="00A50E4D">
        <w:rPr>
          <w:spacing w:val="-4"/>
          <w:lang w:val="en-US"/>
        </w:rPr>
        <w:t xml:space="preserve"> para. </w:t>
      </w:r>
      <w:r w:rsidRPr="00914F55">
        <w:rPr>
          <w:spacing w:val="-4"/>
          <w:lang w:val="en-US"/>
        </w:rPr>
        <w:fldChar w:fldCharType="begin"/>
      </w:r>
      <w:r w:rsidRPr="00A50E4D">
        <w:rPr>
          <w:spacing w:val="-4"/>
          <w:lang w:val="en-US"/>
        </w:rPr>
        <w:instrText xml:space="preserve"> REF _Ref426552215 \r \h  \* MERGEFORMAT </w:instrText>
      </w:r>
      <w:r w:rsidRPr="00914F55">
        <w:rPr>
          <w:spacing w:val="-4"/>
          <w:lang w:val="en-US"/>
        </w:rPr>
      </w:r>
      <w:r w:rsidRPr="00914F55">
        <w:rPr>
          <w:spacing w:val="-4"/>
          <w:lang w:val="en-US"/>
        </w:rPr>
        <w:fldChar w:fldCharType="separate"/>
      </w:r>
      <w:r>
        <w:rPr>
          <w:spacing w:val="-4"/>
          <w:lang w:val="en-US"/>
        </w:rPr>
        <w:t>145</w:t>
      </w:r>
      <w:r w:rsidRPr="00914F55">
        <w:rPr>
          <w:spacing w:val="-4"/>
          <w:lang w:val="en-US"/>
        </w:rPr>
        <w:fldChar w:fldCharType="end"/>
      </w:r>
      <w:r w:rsidRPr="00A50E4D">
        <w:rPr>
          <w:spacing w:val="-4"/>
          <w:lang w:val="en-US"/>
        </w:rPr>
        <w:t>), that they were officially notified of the decisions of the Supreme Court in relation to their disciplinary proceedings. Therefore, these decisions constitute the documents in which the Supreme Court announced its decisions.</w:t>
      </w:r>
    </w:p>
  </w:footnote>
  <w:footnote w:id="438">
    <w:p w14:paraId="2F5EAD95" w14:textId="2CA2C707"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F25627">
        <w:rPr>
          <w:spacing w:val="-4"/>
          <w:lang w:val="es-CR"/>
        </w:rPr>
        <w:t xml:space="preserve"> </w:t>
      </w:r>
      <w:r w:rsidRPr="00F25627">
        <w:rPr>
          <w:spacing w:val="-4"/>
          <w:lang w:val="es-CR"/>
        </w:rPr>
        <w:tab/>
      </w:r>
      <w:r w:rsidRPr="00F25627">
        <w:rPr>
          <w:i/>
          <w:spacing w:val="-4"/>
          <w:lang w:val="es-CR"/>
        </w:rPr>
        <w:t xml:space="preserve">Cf. </w:t>
      </w:r>
      <w:r w:rsidRPr="00F25627">
        <w:rPr>
          <w:bCs/>
          <w:i/>
          <w:spacing w:val="-4"/>
          <w:lang w:val="es-CR"/>
        </w:rPr>
        <w:t>Case of Chocrón Chocrón v. Venezuela, supra</w:t>
      </w:r>
      <w:r w:rsidRPr="00F25627">
        <w:rPr>
          <w:spacing w:val="-4"/>
          <w:lang w:val="es-CR"/>
        </w:rPr>
        <w:t xml:space="preserve">, para. </w:t>
      </w:r>
      <w:r w:rsidRPr="00A50E4D">
        <w:rPr>
          <w:spacing w:val="-4"/>
          <w:lang w:val="en-US"/>
        </w:rPr>
        <w:t xml:space="preserve">120. Similarly, this Court has ordered that a punishment should be applied that is proportionate to the nature and seriousness of the offense, taking into account any attenuating or aggravating circumstances that could be relevant to the case. </w:t>
      </w:r>
      <w:r w:rsidRPr="00A50E4D">
        <w:rPr>
          <w:i/>
          <w:spacing w:val="-4"/>
          <w:lang w:val="en-US"/>
        </w:rPr>
        <w:t>Cf. Case of Raxcacó Reyes v. Guatemala. Merits, reparations and costs</w:t>
      </w:r>
      <w:r w:rsidRPr="00A50E4D">
        <w:rPr>
          <w:spacing w:val="-4"/>
          <w:lang w:val="en-US"/>
        </w:rPr>
        <w:t xml:space="preserve">. Judgment of September 15, 2005. Series C No. 133, para. 133, and </w:t>
      </w:r>
      <w:r w:rsidRPr="00A50E4D">
        <w:rPr>
          <w:bCs/>
          <w:i/>
          <w:spacing w:val="-4"/>
          <w:lang w:val="en-US"/>
        </w:rPr>
        <w:t>Case of the La Rochela Massacre v. Colombia. Merits, reparations and costs</w:t>
      </w:r>
      <w:r w:rsidRPr="00A50E4D">
        <w:rPr>
          <w:bCs/>
          <w:spacing w:val="-4"/>
          <w:lang w:val="en-US"/>
        </w:rPr>
        <w:t>. Judgment of May 11, 2007. Series C No. 163, para. 196.</w:t>
      </w:r>
    </w:p>
  </w:footnote>
  <w:footnote w:id="439">
    <w:p w14:paraId="5E360744" w14:textId="18C8F65A"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Cf.</w:t>
      </w:r>
      <w:r w:rsidRPr="00A50E4D">
        <w:rPr>
          <w:spacing w:val="-4"/>
          <w:lang w:val="en-US"/>
        </w:rPr>
        <w:t xml:space="preserve"> </w:t>
      </w:r>
      <w:r w:rsidRPr="00A50E4D">
        <w:rPr>
          <w:bCs/>
          <w:i/>
          <w:spacing w:val="-4"/>
          <w:lang w:val="en-US"/>
        </w:rPr>
        <w:t>Case of Chocrón Chocrón v. Venezuela, supra</w:t>
      </w:r>
      <w:r w:rsidRPr="00A50E4D">
        <w:rPr>
          <w:spacing w:val="-4"/>
          <w:lang w:val="en-US"/>
        </w:rPr>
        <w:t>, para. 120.</w:t>
      </w:r>
    </w:p>
  </w:footnote>
  <w:footnote w:id="440">
    <w:p w14:paraId="59C1A93F" w14:textId="4D4D50F6"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In particular, </w:t>
      </w:r>
      <w:r w:rsidRPr="00A50E4D">
        <w:rPr>
          <w:bCs/>
          <w:spacing w:val="-4"/>
          <w:u w:val="single"/>
          <w:lang w:val="en-US"/>
        </w:rPr>
        <w:t>57</w:t>
      </w:r>
      <w:r w:rsidRPr="00A50E4D">
        <w:rPr>
          <w:bCs/>
          <w:spacing w:val="-4"/>
          <w:lang w:val="en-US"/>
        </w:rPr>
        <w:t xml:space="preserve"> regulatory provisions were cited in the case </w:t>
      </w:r>
      <w:r w:rsidRPr="00A50E4D">
        <w:rPr>
          <w:spacing w:val="-4"/>
          <w:lang w:val="en-US"/>
        </w:rPr>
        <w:t xml:space="preserve">of Mr. </w:t>
      </w:r>
      <w:r w:rsidRPr="00A50E4D">
        <w:rPr>
          <w:bCs/>
          <w:spacing w:val="-4"/>
          <w:lang w:val="en-US"/>
        </w:rPr>
        <w:t xml:space="preserve">López Lone, </w:t>
      </w:r>
      <w:r w:rsidRPr="00A50E4D">
        <w:rPr>
          <w:bCs/>
          <w:spacing w:val="-4"/>
          <w:u w:val="single"/>
          <w:lang w:val="en-US"/>
        </w:rPr>
        <w:t>59</w:t>
      </w:r>
      <w:r w:rsidRPr="00A50E4D">
        <w:rPr>
          <w:bCs/>
          <w:spacing w:val="-4"/>
          <w:lang w:val="en-US"/>
        </w:rPr>
        <w:t xml:space="preserve"> </w:t>
      </w:r>
      <w:r w:rsidRPr="00A50E4D">
        <w:rPr>
          <w:spacing w:val="-4"/>
          <w:lang w:val="en-US"/>
        </w:rPr>
        <w:t xml:space="preserve">in the case of </w:t>
      </w:r>
      <w:r w:rsidRPr="00A50E4D">
        <w:rPr>
          <w:bCs/>
          <w:spacing w:val="-4"/>
          <w:lang w:val="en-US"/>
        </w:rPr>
        <w:t xml:space="preserve">Tirza del Carmen Flores Lanza, </w:t>
      </w:r>
      <w:r w:rsidRPr="00A50E4D">
        <w:rPr>
          <w:bCs/>
          <w:spacing w:val="-4"/>
          <w:u w:val="single"/>
          <w:lang w:val="en-US"/>
        </w:rPr>
        <w:t>65</w:t>
      </w:r>
      <w:r w:rsidRPr="00A50E4D">
        <w:rPr>
          <w:bCs/>
          <w:spacing w:val="-4"/>
          <w:lang w:val="en-US"/>
        </w:rPr>
        <w:t xml:space="preserve"> </w:t>
      </w:r>
      <w:r w:rsidRPr="00A50E4D">
        <w:rPr>
          <w:spacing w:val="-4"/>
          <w:lang w:val="en-US"/>
        </w:rPr>
        <w:t xml:space="preserve">in the case of </w:t>
      </w:r>
      <w:r w:rsidRPr="00A50E4D">
        <w:rPr>
          <w:bCs/>
          <w:spacing w:val="-4"/>
          <w:lang w:val="en-US"/>
        </w:rPr>
        <w:t xml:space="preserve">Luis Alonso Chévez de la Rocha and </w:t>
      </w:r>
      <w:r w:rsidRPr="00A50E4D">
        <w:rPr>
          <w:bCs/>
          <w:spacing w:val="-4"/>
          <w:u w:val="single"/>
          <w:lang w:val="en-US"/>
        </w:rPr>
        <w:t>35</w:t>
      </w:r>
      <w:r w:rsidRPr="00A50E4D">
        <w:rPr>
          <w:bCs/>
          <w:spacing w:val="-4"/>
          <w:lang w:val="en-US"/>
        </w:rPr>
        <w:t xml:space="preserve"> </w:t>
      </w:r>
      <w:r w:rsidRPr="00A50E4D">
        <w:rPr>
          <w:spacing w:val="-4"/>
          <w:lang w:val="en-US"/>
        </w:rPr>
        <w:t xml:space="preserve">in the case of </w:t>
      </w:r>
      <w:r w:rsidRPr="00A50E4D">
        <w:rPr>
          <w:bCs/>
          <w:spacing w:val="-4"/>
          <w:lang w:val="en-US"/>
        </w:rPr>
        <w:t>Ramón Enrique Barrios Maldonado (</w:t>
      </w:r>
      <w:r w:rsidRPr="00A50E4D">
        <w:rPr>
          <w:bCs/>
          <w:i/>
          <w:spacing w:val="-4"/>
          <w:lang w:val="en-US"/>
        </w:rPr>
        <w:t>supra</w:t>
      </w:r>
      <w:r w:rsidRPr="00A50E4D">
        <w:rPr>
          <w:bCs/>
          <w:spacing w:val="-4"/>
          <w:lang w:val="en-US"/>
        </w:rPr>
        <w:t xml:space="preserve"> paras. </w:t>
      </w:r>
      <w:r w:rsidRPr="00914F55">
        <w:rPr>
          <w:b/>
          <w:spacing w:val="-4"/>
          <w:lang w:val="en-US"/>
        </w:rPr>
        <w:fldChar w:fldCharType="begin"/>
      </w:r>
      <w:r w:rsidRPr="00A50E4D">
        <w:rPr>
          <w:spacing w:val="-4"/>
          <w:lang w:val="en-US"/>
        </w:rPr>
        <w:instrText xml:space="preserve"> REF _Ref427311472 \r \h </w:instrText>
      </w:r>
      <w:r w:rsidRPr="00A50E4D">
        <w:rPr>
          <w:b/>
          <w:spacing w:val="-4"/>
          <w:lang w:val="en-US"/>
        </w:rPr>
        <w:instrText xml:space="preserve"> \* MERGEFORMAT </w:instrText>
      </w:r>
      <w:r w:rsidRPr="00914F55">
        <w:rPr>
          <w:b/>
          <w:spacing w:val="-4"/>
          <w:lang w:val="en-US"/>
        </w:rPr>
      </w:r>
      <w:r w:rsidRPr="00914F55">
        <w:rPr>
          <w:b/>
          <w:spacing w:val="-4"/>
          <w:lang w:val="en-US"/>
        </w:rPr>
        <w:fldChar w:fldCharType="separate"/>
      </w:r>
      <w:r>
        <w:rPr>
          <w:spacing w:val="-4"/>
          <w:lang w:val="en-US"/>
        </w:rPr>
        <w:t>95</w:t>
      </w:r>
      <w:r w:rsidRPr="00914F55">
        <w:rPr>
          <w:b/>
          <w:spacing w:val="-4"/>
          <w:lang w:val="en-US"/>
        </w:rPr>
        <w:fldChar w:fldCharType="end"/>
      </w:r>
      <w:r w:rsidRPr="00A50E4D">
        <w:rPr>
          <w:spacing w:val="-4"/>
          <w:lang w:val="en-US"/>
        </w:rPr>
        <w:t xml:space="preserve">, </w:t>
      </w:r>
      <w:r w:rsidRPr="00914F55">
        <w:rPr>
          <w:spacing w:val="-4"/>
          <w:lang w:val="en-US"/>
        </w:rPr>
        <w:fldChar w:fldCharType="begin"/>
      </w:r>
      <w:r w:rsidRPr="00A50E4D">
        <w:rPr>
          <w:spacing w:val="-4"/>
          <w:lang w:val="en-US"/>
        </w:rPr>
        <w:instrText xml:space="preserve"> REF _Ref427311483 \r \h  \* MERGEFORMAT </w:instrText>
      </w:r>
      <w:r w:rsidRPr="00914F55">
        <w:rPr>
          <w:spacing w:val="-4"/>
          <w:lang w:val="en-US"/>
        </w:rPr>
      </w:r>
      <w:r w:rsidRPr="00914F55">
        <w:rPr>
          <w:spacing w:val="-4"/>
          <w:lang w:val="en-US"/>
        </w:rPr>
        <w:fldChar w:fldCharType="separate"/>
      </w:r>
      <w:r>
        <w:rPr>
          <w:spacing w:val="-4"/>
          <w:lang w:val="en-US"/>
        </w:rPr>
        <w:t>115</w:t>
      </w:r>
      <w:r w:rsidRPr="00914F55">
        <w:rPr>
          <w:spacing w:val="-4"/>
          <w:lang w:val="en-US"/>
        </w:rPr>
        <w:fldChar w:fldCharType="end"/>
      </w:r>
      <w:r w:rsidRPr="00A50E4D">
        <w:rPr>
          <w:spacing w:val="-4"/>
          <w:lang w:val="en-US"/>
        </w:rPr>
        <w:t xml:space="preserve">, </w:t>
      </w:r>
      <w:r w:rsidRPr="00914F55">
        <w:rPr>
          <w:spacing w:val="-4"/>
          <w:lang w:val="en-US"/>
        </w:rPr>
        <w:fldChar w:fldCharType="begin"/>
      </w:r>
      <w:r w:rsidRPr="00A50E4D">
        <w:rPr>
          <w:spacing w:val="-4"/>
          <w:lang w:val="en-US"/>
        </w:rPr>
        <w:instrText xml:space="preserve"> REF _Ref426373726 \r \h  \* MERGEFORMAT </w:instrText>
      </w:r>
      <w:r w:rsidRPr="00914F55">
        <w:rPr>
          <w:spacing w:val="-4"/>
          <w:lang w:val="en-US"/>
        </w:rPr>
      </w:r>
      <w:r w:rsidRPr="00914F55">
        <w:rPr>
          <w:spacing w:val="-4"/>
          <w:lang w:val="en-US"/>
        </w:rPr>
        <w:fldChar w:fldCharType="separate"/>
      </w:r>
      <w:r>
        <w:rPr>
          <w:spacing w:val="-4"/>
          <w:lang w:val="en-US"/>
        </w:rPr>
        <w:t>132</w:t>
      </w:r>
      <w:r w:rsidRPr="00914F55">
        <w:rPr>
          <w:spacing w:val="-4"/>
          <w:lang w:val="en-US"/>
        </w:rPr>
        <w:fldChar w:fldCharType="end"/>
      </w:r>
      <w:r w:rsidRPr="00A50E4D">
        <w:rPr>
          <w:spacing w:val="-4"/>
          <w:lang w:val="en-US"/>
        </w:rPr>
        <w:t xml:space="preserve"> and </w:t>
      </w:r>
      <w:r w:rsidRPr="00914F55">
        <w:rPr>
          <w:spacing w:val="-4"/>
          <w:lang w:val="en-US"/>
        </w:rPr>
        <w:fldChar w:fldCharType="begin"/>
      </w:r>
      <w:r w:rsidRPr="00A50E4D">
        <w:rPr>
          <w:spacing w:val="-4"/>
          <w:lang w:val="en-US"/>
        </w:rPr>
        <w:instrText xml:space="preserve"> REF _Ref426552215 \r \h  \* MERGEFORMAT </w:instrText>
      </w:r>
      <w:r w:rsidRPr="00914F55">
        <w:rPr>
          <w:spacing w:val="-4"/>
          <w:lang w:val="en-US"/>
        </w:rPr>
      </w:r>
      <w:r w:rsidRPr="00914F55">
        <w:rPr>
          <w:spacing w:val="-4"/>
          <w:lang w:val="en-US"/>
        </w:rPr>
        <w:fldChar w:fldCharType="separate"/>
      </w:r>
      <w:r>
        <w:rPr>
          <w:spacing w:val="-4"/>
          <w:lang w:val="en-US"/>
        </w:rPr>
        <w:t>145</w:t>
      </w:r>
      <w:r w:rsidRPr="00914F55">
        <w:rPr>
          <w:spacing w:val="-4"/>
          <w:lang w:val="en-US"/>
        </w:rPr>
        <w:fldChar w:fldCharType="end"/>
      </w:r>
      <w:r w:rsidRPr="00A50E4D">
        <w:rPr>
          <w:spacing w:val="-4"/>
          <w:lang w:val="en-US"/>
        </w:rPr>
        <w:t>).</w:t>
      </w:r>
    </w:p>
  </w:footnote>
  <w:footnote w:id="441">
    <w:p w14:paraId="7586C527" w14:textId="1FA67E2D"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This norm was in Chapter XI corresponding to the disciplinary regime. </w:t>
      </w:r>
      <w:r w:rsidRPr="00A50E4D">
        <w:rPr>
          <w:i/>
          <w:spacing w:val="-4"/>
          <w:lang w:val="en-US"/>
        </w:rPr>
        <w:t>Cf.</w:t>
      </w:r>
      <w:r w:rsidRPr="00A50E4D">
        <w:rPr>
          <w:spacing w:val="-4"/>
          <w:lang w:val="en-US"/>
        </w:rPr>
        <w:t xml:space="preserve"> Judicial Service Act, article 55 (evidence file, folio 4166) and Regulations governing the Judicial Service Act, article 174 (evidence file, folio 198). Also, in Chapter X of the Regulations governing the Judicial Service Act, article 160 corresponding to the incompatibilities, under which the presumed victims were sanctioned by the Supreme Court, established that: “[a]ny other prohibition that may be established by law to ensure effectiveness, impartiality and independence in the exercise of the functions, shall be observed with due rigor; without prejudice to offenders incurring responsibility.” Regulations governing the Judicial Service Act (evidence file, folio 192).</w:t>
      </w:r>
    </w:p>
  </w:footnote>
  <w:footnote w:id="442">
    <w:p w14:paraId="4E465F41" w14:textId="679DD206"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Expert opinion provided by Perfecto Andrés Ibáñez during the public hearing held in this case.</w:t>
      </w:r>
    </w:p>
  </w:footnote>
  <w:footnote w:id="443">
    <w:p w14:paraId="7CC124A4" w14:textId="5E1DA503"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In this regard, expert witness Ibáñez indicated that “these types of formula, which are very open formulas, call for very rigorous case law. I consider that this should be of a hard and fast nature, in which case law is used and there is a basic agreement on these fundamental principles, [… so as] not [to resort] to the private morals of the person who at a certain moment exercises the discipline.” Expert opinion provided by Perfecto Andrés Ibáñez during the public hearing held in this case.</w:t>
      </w:r>
    </w:p>
  </w:footnote>
  <w:footnote w:id="444">
    <w:p w14:paraId="11CAD8C5" w14:textId="072382FE" w:rsidR="007353B6" w:rsidRPr="00A50E4D" w:rsidRDefault="007353B6" w:rsidP="006F7559">
      <w:pPr>
        <w:tabs>
          <w:tab w:val="left" w:pos="450"/>
          <w:tab w:val="left" w:pos="480"/>
          <w:tab w:val="left" w:pos="1080"/>
          <w:tab w:val="left" w:pos="1680"/>
          <w:tab w:val="left" w:pos="5400"/>
        </w:tabs>
        <w:suppressAutoHyphens/>
        <w:rPr>
          <w:spacing w:val="-3"/>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Article 7 of the Convention establishes that: </w:t>
      </w:r>
      <w:r w:rsidRPr="00914F55">
        <w:rPr>
          <w:spacing w:val="-4"/>
          <w:sz w:val="16"/>
          <w:szCs w:val="16"/>
          <w:lang w:val="en-US"/>
        </w:rPr>
        <w:t>“</w:t>
      </w:r>
      <w:r w:rsidRPr="00914F55">
        <w:rPr>
          <w:spacing w:val="-3"/>
          <w:sz w:val="16"/>
          <w:szCs w:val="16"/>
          <w:lang w:val="en-US"/>
        </w:rPr>
        <w:t>1. Every person has the right to personal liberty and security. 2. No one shall be deprived of his physical liberty except for the reasons and under the conditions established beforehand by the constitution of the State Party concerned or by a law established pursuant thereto. 3. No one shall be subject to arbitrary arrest or imprisonment. 4. Anyone who is detained shall be informed of the reasons for his detention and shall be promptly notified of the charge or charges against him. 5. Any person detained shall be brought promptly before a judge or other officer authorized by law to exercise judicial power and shall be entitled to trial within a reasonable time or to be released without prejudice to the continuation of the proceedings. His release may be subject to guarantees to assure his appearance for trial. 6. Anyone who is deprived of his liberty shall be entitled to recourse to a competent court, in order that the court may decide without delay on the lawfulness of his arrest or detention and order his release if the arrest or detention is unlawful. In States Parties whose laws provide that anyone who believes himself to be threatened with deprivation of his liberty is entitled to recourse to a competent court in order that it may decide on the lawfulness of such threat, this remedy may not be restricted or abolished. The interested party or another person in his behalf is entitled to seek these remedies. 7. No one shall be detained for debt. This principle shall not limit the orders of a competent judicial authority issued for nonfulfillment of duties of support.”</w:t>
      </w:r>
    </w:p>
  </w:footnote>
  <w:footnote w:id="445">
    <w:p w14:paraId="7BB592EB" w14:textId="5A9478FC" w:rsidR="007353B6" w:rsidRPr="00F25627" w:rsidRDefault="007353B6" w:rsidP="006F7559">
      <w:pPr>
        <w:pStyle w:val="FootnoteText"/>
        <w:tabs>
          <w:tab w:val="left" w:pos="450"/>
        </w:tabs>
        <w:spacing w:before="120" w:after="120"/>
        <w:rPr>
          <w:spacing w:val="-4"/>
          <w:lang w:val="es-CR"/>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Cf.</w:t>
      </w:r>
      <w:r w:rsidRPr="00A50E4D">
        <w:rPr>
          <w:spacing w:val="-4"/>
          <w:lang w:val="en-US"/>
        </w:rPr>
        <w:t xml:space="preserve"> </w:t>
      </w:r>
      <w:r w:rsidRPr="00A50E4D">
        <w:rPr>
          <w:bCs/>
          <w:i/>
          <w:lang w:val="en-US"/>
        </w:rPr>
        <w:t>Case of Chaparro Álvarez and Lapo Íñiguez. v. Ecuador. Preliminary objections, merits, reparations and costs</w:t>
      </w:r>
      <w:r w:rsidRPr="00A50E4D">
        <w:rPr>
          <w:bCs/>
          <w:lang w:val="en-US"/>
        </w:rPr>
        <w:t xml:space="preserve">. Judgment of November 21, 2007. Series C No. 170, </w:t>
      </w:r>
      <w:r w:rsidRPr="00A50E4D">
        <w:rPr>
          <w:spacing w:val="-4"/>
          <w:lang w:val="en-US"/>
        </w:rPr>
        <w:t xml:space="preserve">para. 51, and </w:t>
      </w:r>
      <w:r w:rsidRPr="00A50E4D">
        <w:rPr>
          <w:bCs/>
          <w:i/>
          <w:spacing w:val="-4"/>
          <w:lang w:val="en-US"/>
        </w:rPr>
        <w:t>Case of Wong Ho Wing v. Peru, supra</w:t>
      </w:r>
      <w:r w:rsidRPr="00A50E4D">
        <w:rPr>
          <w:bCs/>
          <w:spacing w:val="-4"/>
          <w:lang w:val="en-US"/>
        </w:rPr>
        <w:t xml:space="preserve">, para. </w:t>
      </w:r>
      <w:r w:rsidRPr="00F25627">
        <w:rPr>
          <w:bCs/>
          <w:spacing w:val="-4"/>
          <w:lang w:val="es-CR"/>
        </w:rPr>
        <w:t>236.</w:t>
      </w:r>
    </w:p>
  </w:footnote>
  <w:footnote w:id="446">
    <w:p w14:paraId="7FD237FB" w14:textId="246E98D5" w:rsidR="007353B6" w:rsidRPr="00F25627" w:rsidRDefault="007353B6" w:rsidP="006F7559">
      <w:pPr>
        <w:pStyle w:val="FootnoteText"/>
        <w:tabs>
          <w:tab w:val="left" w:pos="450"/>
        </w:tabs>
        <w:spacing w:before="120" w:after="120"/>
        <w:rPr>
          <w:spacing w:val="-4"/>
          <w:lang w:val="es-CR"/>
        </w:rPr>
      </w:pPr>
      <w:r w:rsidRPr="00A50E4D">
        <w:rPr>
          <w:rStyle w:val="FootnoteReference"/>
          <w:spacing w:val="-4"/>
          <w:lang w:val="en-US"/>
        </w:rPr>
        <w:footnoteRef/>
      </w:r>
      <w:r w:rsidRPr="00F25627">
        <w:rPr>
          <w:spacing w:val="-4"/>
          <w:lang w:val="es-CR"/>
        </w:rPr>
        <w:t xml:space="preserve"> </w:t>
      </w:r>
      <w:r w:rsidRPr="00F25627">
        <w:rPr>
          <w:spacing w:val="-4"/>
          <w:lang w:val="es-CR"/>
        </w:rPr>
        <w:tab/>
      </w:r>
      <w:r w:rsidRPr="00F25627">
        <w:rPr>
          <w:i/>
          <w:spacing w:val="-4"/>
          <w:lang w:val="es-CR"/>
        </w:rPr>
        <w:t>Cf.</w:t>
      </w:r>
      <w:r w:rsidRPr="00F25627">
        <w:rPr>
          <w:spacing w:val="-4"/>
          <w:lang w:val="es-CR"/>
        </w:rPr>
        <w:t xml:space="preserve"> </w:t>
      </w:r>
      <w:r w:rsidRPr="00F25627">
        <w:rPr>
          <w:rStyle w:val="Strong"/>
          <w:b w:val="0"/>
          <w:i/>
          <w:color w:val="000000"/>
          <w:shd w:val="clear" w:color="auto" w:fill="FFFFFF"/>
          <w:lang w:val="es-CR"/>
        </w:rPr>
        <w:t>Case of Chaparro Álvarez and Lapo Íñiguez. v. Ecuador, supra</w:t>
      </w:r>
      <w:r w:rsidRPr="00F25627">
        <w:rPr>
          <w:rStyle w:val="Strong"/>
          <w:b w:val="0"/>
          <w:color w:val="000000"/>
          <w:shd w:val="clear" w:color="auto" w:fill="FFFFFF"/>
          <w:lang w:val="es-CR"/>
        </w:rPr>
        <w:t>,</w:t>
      </w:r>
      <w:r w:rsidRPr="00F25627">
        <w:rPr>
          <w:rStyle w:val="Strong"/>
          <w:color w:val="000000"/>
          <w:shd w:val="clear" w:color="auto" w:fill="FFFFFF"/>
          <w:lang w:val="es-CR"/>
        </w:rPr>
        <w:t xml:space="preserve"> </w:t>
      </w:r>
      <w:r w:rsidRPr="00F25627">
        <w:rPr>
          <w:spacing w:val="-4"/>
          <w:lang w:val="es-CR"/>
        </w:rPr>
        <w:t xml:space="preserve">para. </w:t>
      </w:r>
      <w:r w:rsidRPr="00A50E4D">
        <w:rPr>
          <w:spacing w:val="-4"/>
          <w:lang w:val="en-US"/>
        </w:rPr>
        <w:t xml:space="preserve">54, and </w:t>
      </w:r>
      <w:r w:rsidRPr="00A50E4D">
        <w:rPr>
          <w:bCs/>
          <w:i/>
          <w:spacing w:val="-4"/>
          <w:lang w:val="en-US"/>
        </w:rPr>
        <w:t>Case of Wong Ho Wing v. Peru, supra</w:t>
      </w:r>
      <w:r w:rsidRPr="00A50E4D">
        <w:rPr>
          <w:bCs/>
          <w:spacing w:val="-4"/>
          <w:lang w:val="en-US"/>
        </w:rPr>
        <w:t xml:space="preserve">, para. </w:t>
      </w:r>
      <w:r w:rsidRPr="00F25627">
        <w:rPr>
          <w:bCs/>
          <w:spacing w:val="-4"/>
          <w:lang w:val="es-CR"/>
        </w:rPr>
        <w:t>236.</w:t>
      </w:r>
    </w:p>
  </w:footnote>
  <w:footnote w:id="447">
    <w:p w14:paraId="3EBA86B4" w14:textId="63F20FD0" w:rsidR="007353B6" w:rsidRPr="00A50E4D" w:rsidRDefault="007353B6" w:rsidP="006F7559">
      <w:pPr>
        <w:pStyle w:val="FootnoteText"/>
        <w:tabs>
          <w:tab w:val="left" w:pos="450"/>
        </w:tabs>
        <w:spacing w:before="120" w:after="120"/>
        <w:rPr>
          <w:bCs/>
          <w:color w:val="000000"/>
          <w:shd w:val="clear" w:color="auto" w:fill="FFFFFF"/>
          <w:lang w:val="en-US"/>
        </w:rPr>
      </w:pPr>
      <w:r w:rsidRPr="00A50E4D">
        <w:rPr>
          <w:rStyle w:val="FootnoteReference"/>
          <w:spacing w:val="-4"/>
          <w:lang w:val="en-US"/>
        </w:rPr>
        <w:footnoteRef/>
      </w:r>
      <w:r w:rsidRPr="00F25627">
        <w:rPr>
          <w:spacing w:val="-4"/>
          <w:lang w:val="es-CR"/>
        </w:rPr>
        <w:t xml:space="preserve"> </w:t>
      </w:r>
      <w:r w:rsidRPr="00F25627">
        <w:rPr>
          <w:spacing w:val="-4"/>
          <w:lang w:val="es-CR"/>
        </w:rPr>
        <w:tab/>
      </w:r>
      <w:r w:rsidRPr="00F25627">
        <w:rPr>
          <w:i/>
          <w:spacing w:val="-4"/>
          <w:lang w:val="es-CR"/>
        </w:rPr>
        <w:t>Cf.</w:t>
      </w:r>
      <w:r w:rsidRPr="00F25627">
        <w:rPr>
          <w:spacing w:val="-4"/>
          <w:lang w:val="es-CR"/>
        </w:rPr>
        <w:t xml:space="preserve"> </w:t>
      </w:r>
      <w:r w:rsidRPr="00F25627">
        <w:rPr>
          <w:bCs/>
          <w:i/>
          <w:spacing w:val="-4"/>
          <w:lang w:val="es-CR"/>
        </w:rPr>
        <w:t>Case of Velásquez Rodríguez v. Honduras. Merits, supra</w:t>
      </w:r>
      <w:r w:rsidRPr="00F25627">
        <w:rPr>
          <w:bCs/>
          <w:spacing w:val="-4"/>
          <w:lang w:val="es-CR"/>
        </w:rPr>
        <w:t xml:space="preserve">, para. </w:t>
      </w:r>
      <w:r w:rsidRPr="00A50E4D">
        <w:rPr>
          <w:bCs/>
          <w:spacing w:val="-4"/>
          <w:lang w:val="en-US"/>
        </w:rPr>
        <w:t xml:space="preserve">166, and </w:t>
      </w:r>
      <w:r w:rsidRPr="00A50E4D">
        <w:rPr>
          <w:rStyle w:val="Strong"/>
          <w:b w:val="0"/>
          <w:i/>
          <w:color w:val="000000"/>
          <w:shd w:val="clear" w:color="auto" w:fill="FFFFFF"/>
          <w:lang w:val="en-US"/>
        </w:rPr>
        <w:t xml:space="preserve">Case of the Barrios Family v. Venezuela. Merits, reparations and costs. </w:t>
      </w:r>
      <w:r w:rsidRPr="00A50E4D">
        <w:rPr>
          <w:rStyle w:val="Strong"/>
          <w:b w:val="0"/>
          <w:color w:val="000000"/>
          <w:shd w:val="clear" w:color="auto" w:fill="FFFFFF"/>
          <w:lang w:val="en-US"/>
        </w:rPr>
        <w:t>Judgment of November 24, 2011. Series C No. 237, para. 47.</w:t>
      </w:r>
    </w:p>
  </w:footnote>
  <w:footnote w:id="448">
    <w:p w14:paraId="34922A85" w14:textId="31A93B37" w:rsidR="007353B6" w:rsidRPr="00A50E4D" w:rsidRDefault="007353B6" w:rsidP="006F7559">
      <w:pPr>
        <w:pStyle w:val="FootnoteText"/>
        <w:tabs>
          <w:tab w:val="left" w:pos="450"/>
        </w:tabs>
        <w:spacing w:before="120" w:after="120"/>
        <w:rPr>
          <w:spacing w:val="-4"/>
          <w:lang w:val="en-US"/>
        </w:rPr>
      </w:pPr>
      <w:r w:rsidRPr="00A50E4D">
        <w:rPr>
          <w:rStyle w:val="FootnoteReference"/>
          <w:rFonts w:eastAsiaTheme="majorEastAsia"/>
          <w:spacing w:val="-4"/>
          <w:lang w:val="en-US"/>
        </w:rPr>
        <w:footnoteRef/>
      </w:r>
      <w:r w:rsidRPr="00A50E4D">
        <w:rPr>
          <w:spacing w:val="-4"/>
          <w:lang w:val="en-US"/>
        </w:rPr>
        <w:t xml:space="preserve"> </w:t>
      </w:r>
      <w:r w:rsidRPr="00A50E4D">
        <w:rPr>
          <w:spacing w:val="-4"/>
          <w:lang w:val="en-US"/>
        </w:rPr>
        <w:tab/>
        <w:t xml:space="preserve">Article 63(1) of the American Convention establishes that: </w:t>
      </w:r>
      <w:r w:rsidRPr="00914F55">
        <w:rPr>
          <w:spacing w:val="-4"/>
          <w:lang w:val="en-US"/>
        </w:rPr>
        <w:t>“[i]</w:t>
      </w:r>
      <w:r w:rsidRPr="00914F55">
        <w:rPr>
          <w:spacing w:val="-3"/>
          <w:lang w:val="en-US"/>
        </w:rPr>
        <w:t>f the Court finds that there has been a violation of a right or freedom protected by this Convention, the Court shall rule that the injured party be ensured the enjoyment of his right or freedom that was violated.  It shall also rule, if appropriate, that the consequences of the measure or situation that constituted the breach of such right or freedom be remedied and that fair compensation be paid to the injured party.</w:t>
      </w:r>
      <w:r w:rsidRPr="00914F55">
        <w:rPr>
          <w:spacing w:val="-4"/>
          <w:lang w:val="en-US"/>
        </w:rPr>
        <w:t>”</w:t>
      </w:r>
    </w:p>
  </w:footnote>
  <w:footnote w:id="449">
    <w:p w14:paraId="6675F446" w14:textId="6A5F2208" w:rsidR="007353B6" w:rsidRPr="00F25627" w:rsidRDefault="007353B6" w:rsidP="006F7559">
      <w:pPr>
        <w:pStyle w:val="FootnoteText"/>
        <w:tabs>
          <w:tab w:val="left" w:pos="450"/>
        </w:tabs>
        <w:spacing w:before="120" w:after="120"/>
        <w:rPr>
          <w:spacing w:val="-4"/>
          <w:lang w:val="es-CR"/>
        </w:rPr>
      </w:pPr>
      <w:r w:rsidRPr="00A50E4D">
        <w:rPr>
          <w:rStyle w:val="FootnoteReference"/>
          <w:rFonts w:eastAsiaTheme="majorEastAsia"/>
          <w:spacing w:val="-4"/>
          <w:lang w:val="en-US"/>
        </w:rPr>
        <w:footnoteRef/>
      </w:r>
      <w:r w:rsidRPr="00F25627">
        <w:rPr>
          <w:spacing w:val="-4"/>
          <w:lang w:val="es-CR"/>
        </w:rPr>
        <w:t xml:space="preserve"> </w:t>
      </w:r>
      <w:r w:rsidRPr="00F25627">
        <w:rPr>
          <w:spacing w:val="-4"/>
          <w:lang w:val="es-CR"/>
        </w:rPr>
        <w:tab/>
      </w:r>
      <w:r w:rsidRPr="00F25627">
        <w:rPr>
          <w:i/>
          <w:spacing w:val="-4"/>
          <w:lang w:val="es-CR"/>
        </w:rPr>
        <w:t>Cf. Case of Velásquez Rodríguez v. Hondur</w:t>
      </w:r>
      <w:r w:rsidRPr="00F25627">
        <w:rPr>
          <w:spacing w:val="-4"/>
          <w:lang w:val="es-CR"/>
        </w:rPr>
        <w:t xml:space="preserve">as. </w:t>
      </w:r>
      <w:r w:rsidRPr="00A50E4D">
        <w:rPr>
          <w:i/>
          <w:spacing w:val="-4"/>
          <w:lang w:val="en-US"/>
        </w:rPr>
        <w:t>Reparations and costs.</w:t>
      </w:r>
      <w:r w:rsidRPr="00A50E4D">
        <w:rPr>
          <w:spacing w:val="-4"/>
          <w:lang w:val="en-US"/>
        </w:rPr>
        <w:t xml:space="preserve"> Judgment of July 21, 1989. </w:t>
      </w:r>
      <w:r w:rsidRPr="00F25627">
        <w:rPr>
          <w:spacing w:val="-4"/>
          <w:lang w:val="es-CR"/>
        </w:rPr>
        <w:t xml:space="preserve">Series C No. 7, para. 25, and </w:t>
      </w:r>
      <w:r w:rsidRPr="00F25627">
        <w:rPr>
          <w:i/>
          <w:spacing w:val="-4"/>
          <w:lang w:val="es-CR"/>
        </w:rPr>
        <w:t>Case of Omar Humberto Maldonado Vargas et al. vs. Chile, supra</w:t>
      </w:r>
      <w:r w:rsidRPr="00F25627">
        <w:rPr>
          <w:spacing w:val="-4"/>
          <w:lang w:val="es-CR"/>
        </w:rPr>
        <w:t xml:space="preserve">, para. 149. </w:t>
      </w:r>
    </w:p>
  </w:footnote>
  <w:footnote w:id="450">
    <w:p w14:paraId="562917F7" w14:textId="2362F413" w:rsidR="007353B6" w:rsidRPr="00F25627" w:rsidRDefault="007353B6" w:rsidP="006F7559">
      <w:pPr>
        <w:pStyle w:val="FootnoteText"/>
        <w:tabs>
          <w:tab w:val="left" w:pos="450"/>
        </w:tabs>
        <w:spacing w:before="120" w:after="120"/>
        <w:rPr>
          <w:spacing w:val="-4"/>
          <w:lang w:val="es-CR"/>
        </w:rPr>
      </w:pPr>
      <w:r w:rsidRPr="00A50E4D">
        <w:rPr>
          <w:rStyle w:val="FootnoteReference"/>
          <w:rFonts w:eastAsiaTheme="majorEastAsia"/>
          <w:spacing w:val="-4"/>
          <w:lang w:val="en-US"/>
        </w:rPr>
        <w:footnoteRef/>
      </w:r>
      <w:r w:rsidRPr="00F25627">
        <w:rPr>
          <w:spacing w:val="-4"/>
          <w:lang w:val="es-CR"/>
        </w:rPr>
        <w:t xml:space="preserve"> </w:t>
      </w:r>
      <w:r w:rsidRPr="00F25627">
        <w:rPr>
          <w:spacing w:val="-4"/>
          <w:lang w:val="es-CR"/>
        </w:rPr>
        <w:tab/>
      </w:r>
      <w:r w:rsidRPr="00F25627">
        <w:rPr>
          <w:i/>
          <w:spacing w:val="-4"/>
          <w:lang w:val="es-CR"/>
        </w:rPr>
        <w:t>Cf. Case of Velásquez Rodríguez v. Honduras. Reparations and costs, supra</w:t>
      </w:r>
      <w:r w:rsidRPr="00F25627">
        <w:rPr>
          <w:spacing w:val="-4"/>
          <w:lang w:val="es-CR"/>
        </w:rPr>
        <w:t xml:space="preserve">, para. 25, and </w:t>
      </w:r>
      <w:r w:rsidRPr="00F25627">
        <w:rPr>
          <w:i/>
          <w:lang w:val="es-CR"/>
        </w:rPr>
        <w:t>Case of Omar Humberto Maldonado Vargas et al. v. Chile, supra</w:t>
      </w:r>
      <w:r w:rsidRPr="00F25627">
        <w:rPr>
          <w:spacing w:val="-4"/>
          <w:lang w:val="es-CR"/>
        </w:rPr>
        <w:t>, para. 149.</w:t>
      </w:r>
    </w:p>
  </w:footnote>
  <w:footnote w:id="451">
    <w:p w14:paraId="01894636" w14:textId="13ADCD12" w:rsidR="007353B6" w:rsidRPr="00A50E4D" w:rsidRDefault="007353B6" w:rsidP="006F7559">
      <w:pPr>
        <w:tabs>
          <w:tab w:val="left" w:pos="450"/>
          <w:tab w:val="left" w:pos="567"/>
        </w:tabs>
        <w:spacing w:before="120" w:after="120"/>
        <w:ind w:right="-90"/>
        <w:rPr>
          <w:spacing w:val="-4"/>
          <w:sz w:val="16"/>
          <w:szCs w:val="16"/>
          <w:lang w:val="en-US"/>
        </w:rPr>
      </w:pPr>
      <w:r w:rsidRPr="00A50E4D">
        <w:rPr>
          <w:rStyle w:val="FootnoteReference"/>
          <w:rFonts w:eastAsia="MS Mincho"/>
          <w:spacing w:val="-4"/>
          <w:lang w:val="en-US"/>
        </w:rPr>
        <w:footnoteRef/>
      </w:r>
      <w:r w:rsidRPr="00F25627">
        <w:rPr>
          <w:spacing w:val="-4"/>
          <w:sz w:val="16"/>
          <w:szCs w:val="16"/>
          <w:lang w:val="es-CR"/>
        </w:rPr>
        <w:t xml:space="preserve"> </w:t>
      </w:r>
      <w:r w:rsidRPr="00F25627">
        <w:rPr>
          <w:spacing w:val="-4"/>
          <w:sz w:val="16"/>
          <w:szCs w:val="16"/>
          <w:lang w:val="es-CR"/>
        </w:rPr>
        <w:tab/>
      </w:r>
      <w:r w:rsidRPr="00F25627">
        <w:rPr>
          <w:i/>
          <w:iCs/>
          <w:spacing w:val="-4"/>
          <w:sz w:val="16"/>
          <w:szCs w:val="16"/>
          <w:lang w:val="es-CR"/>
        </w:rPr>
        <w:t>Cf. Case of Velásquez Rodríguez v. Honduras. Reparations and costs, supra</w:t>
      </w:r>
      <w:r w:rsidRPr="00F25627">
        <w:rPr>
          <w:spacing w:val="-4"/>
          <w:sz w:val="16"/>
          <w:szCs w:val="16"/>
          <w:lang w:val="es-CR"/>
        </w:rPr>
        <w:t xml:space="preserve">, para. </w:t>
      </w:r>
      <w:r w:rsidRPr="00F25627">
        <w:rPr>
          <w:iCs/>
          <w:spacing w:val="-4"/>
          <w:sz w:val="16"/>
          <w:szCs w:val="16"/>
          <w:lang w:val="es-CR"/>
        </w:rPr>
        <w:t>26</w:t>
      </w:r>
      <w:r w:rsidRPr="00F25627">
        <w:rPr>
          <w:spacing w:val="-4"/>
          <w:sz w:val="16"/>
          <w:szCs w:val="16"/>
          <w:lang w:val="es-CR"/>
        </w:rPr>
        <w:t xml:space="preserve">, and </w:t>
      </w:r>
      <w:r w:rsidRPr="00F25627">
        <w:rPr>
          <w:i/>
          <w:sz w:val="16"/>
          <w:szCs w:val="16"/>
          <w:lang w:val="es-CR"/>
        </w:rPr>
        <w:t>Case of Omar Humberto Maldonado Vargas et al. v. Chile, supra</w:t>
      </w:r>
      <w:r w:rsidRPr="00F25627">
        <w:rPr>
          <w:spacing w:val="-4"/>
          <w:sz w:val="16"/>
          <w:szCs w:val="16"/>
          <w:lang w:val="es-CR"/>
        </w:rPr>
        <w:t xml:space="preserve">, para. </w:t>
      </w:r>
      <w:r w:rsidRPr="00A50E4D">
        <w:rPr>
          <w:spacing w:val="-4"/>
          <w:sz w:val="16"/>
          <w:szCs w:val="16"/>
          <w:lang w:val="en-US"/>
        </w:rPr>
        <w:t>150.</w:t>
      </w:r>
    </w:p>
  </w:footnote>
  <w:footnote w:id="452">
    <w:p w14:paraId="0A57332D" w14:textId="248FD1A2" w:rsidR="007353B6" w:rsidRPr="00A50E4D" w:rsidRDefault="007353B6" w:rsidP="006F7559">
      <w:pPr>
        <w:pStyle w:val="FootnoteText"/>
        <w:tabs>
          <w:tab w:val="clear" w:pos="567"/>
          <w:tab w:val="left" w:pos="450"/>
        </w:tabs>
        <w:spacing w:before="120" w:after="120"/>
        <w:ind w:right="-90"/>
        <w:rPr>
          <w:spacing w:val="-4"/>
          <w:lang w:val="en-US"/>
        </w:rPr>
      </w:pPr>
      <w:r w:rsidRPr="00A50E4D">
        <w:rPr>
          <w:rStyle w:val="FootnoteReference"/>
          <w:rFonts w:eastAsiaTheme="majorEastAsia"/>
          <w:spacing w:val="-4"/>
          <w:lang w:val="en-US"/>
        </w:rPr>
        <w:footnoteRef/>
      </w:r>
      <w:r w:rsidRPr="00A50E4D">
        <w:rPr>
          <w:spacing w:val="-4"/>
          <w:lang w:val="en-US"/>
        </w:rPr>
        <w:t xml:space="preserve"> </w:t>
      </w:r>
      <w:r w:rsidRPr="00A50E4D">
        <w:rPr>
          <w:spacing w:val="-4"/>
          <w:lang w:val="en-US"/>
        </w:rPr>
        <w:tab/>
      </w:r>
      <w:r w:rsidRPr="00A50E4D">
        <w:rPr>
          <w:i/>
          <w:iCs/>
          <w:spacing w:val="-4"/>
          <w:lang w:val="en-US"/>
        </w:rPr>
        <w:t xml:space="preserve">Cf. </w:t>
      </w:r>
      <w:r w:rsidRPr="00A50E4D">
        <w:rPr>
          <w:bCs/>
          <w:i/>
          <w:iCs/>
          <w:spacing w:val="-4"/>
          <w:lang w:val="en-US"/>
        </w:rPr>
        <w:t>Case of Las Dos Erres Massacre v. Guatemala. Preliminary objection, merits, reparations and costs.</w:t>
      </w:r>
      <w:r w:rsidRPr="00A50E4D">
        <w:rPr>
          <w:bCs/>
          <w:iCs/>
          <w:spacing w:val="-4"/>
          <w:lang w:val="en-US"/>
        </w:rPr>
        <w:t xml:space="preserve"> Judgment of November 24, 2009. Series C No. 211, </w:t>
      </w:r>
      <w:r w:rsidRPr="00A50E4D">
        <w:rPr>
          <w:iCs/>
          <w:spacing w:val="-4"/>
          <w:lang w:val="en-US"/>
        </w:rPr>
        <w:t xml:space="preserve">para. 226, and </w:t>
      </w:r>
      <w:r w:rsidRPr="00A50E4D">
        <w:rPr>
          <w:i/>
          <w:lang w:val="en-US"/>
        </w:rPr>
        <w:t>Case of Omar Humberto Maldonado Vargas et al. v. Chile, supra</w:t>
      </w:r>
      <w:r w:rsidRPr="00A50E4D">
        <w:rPr>
          <w:spacing w:val="-4"/>
          <w:lang w:val="en-US"/>
        </w:rPr>
        <w:t>, para. 150.</w:t>
      </w:r>
    </w:p>
  </w:footnote>
  <w:footnote w:id="453">
    <w:p w14:paraId="4E53099C" w14:textId="4A3675D8" w:rsidR="007353B6" w:rsidRPr="00A50E4D" w:rsidRDefault="007353B6" w:rsidP="006F7559">
      <w:pPr>
        <w:pStyle w:val="FootnoteText"/>
        <w:tabs>
          <w:tab w:val="left" w:pos="450"/>
          <w:tab w:val="left" w:pos="720"/>
        </w:tabs>
        <w:spacing w:before="120" w:after="120"/>
        <w:ind w:right="-90"/>
        <w:rPr>
          <w:bCs/>
          <w:i/>
          <w:spacing w:val="-4"/>
          <w:lang w:val="en-US"/>
        </w:rPr>
      </w:pPr>
      <w:r w:rsidRPr="00A50E4D">
        <w:rPr>
          <w:rStyle w:val="FootnoteReference"/>
          <w:rFonts w:eastAsiaTheme="majorEastAsia"/>
          <w:spacing w:val="-4"/>
          <w:lang w:val="en-US"/>
        </w:rPr>
        <w:footnoteRef/>
      </w:r>
      <w:r w:rsidRPr="00A50E4D">
        <w:rPr>
          <w:i/>
          <w:spacing w:val="-4"/>
          <w:lang w:val="en-US"/>
        </w:rPr>
        <w:tab/>
      </w:r>
      <w:r w:rsidRPr="00A50E4D">
        <w:rPr>
          <w:rFonts w:cstheme="minorHAnsi"/>
          <w:i/>
          <w:spacing w:val="-4"/>
          <w:lang w:val="en-US"/>
        </w:rPr>
        <w:t xml:space="preserve">Cf. </w:t>
      </w:r>
      <w:r w:rsidRPr="00A50E4D">
        <w:rPr>
          <w:i/>
          <w:lang w:val="en-US"/>
        </w:rPr>
        <w:t>Case of Ticona Estrada et al. v. Bolivia. Merits, reparations and costs</w:t>
      </w:r>
      <w:r w:rsidRPr="00A50E4D">
        <w:rPr>
          <w:lang w:val="en-US"/>
        </w:rPr>
        <w:t>. Judgment of November 27, 2008. Series C No. 191, para. 110</w:t>
      </w:r>
      <w:r w:rsidRPr="00A50E4D">
        <w:rPr>
          <w:rFonts w:eastAsiaTheme="minorHAnsi" w:cstheme="minorHAnsi"/>
          <w:spacing w:val="-4"/>
          <w:lang w:val="en-US"/>
        </w:rPr>
        <w:t xml:space="preserve">, and </w:t>
      </w:r>
      <w:r w:rsidRPr="00A50E4D">
        <w:rPr>
          <w:i/>
          <w:lang w:val="en-US"/>
        </w:rPr>
        <w:t>Case of Omar Humberto Maldonado Vargas et al. v. Chile, supra</w:t>
      </w:r>
      <w:r w:rsidRPr="00A50E4D">
        <w:rPr>
          <w:spacing w:val="-4"/>
          <w:lang w:val="en-US"/>
        </w:rPr>
        <w:t>, para. 149.</w:t>
      </w:r>
    </w:p>
  </w:footnote>
  <w:footnote w:id="454">
    <w:p w14:paraId="62A476DB" w14:textId="7474A351" w:rsidR="007353B6" w:rsidRPr="00A50E4D" w:rsidRDefault="007353B6" w:rsidP="006F7559">
      <w:pPr>
        <w:pStyle w:val="FootnoteText"/>
        <w:tabs>
          <w:tab w:val="left" w:pos="450"/>
          <w:tab w:val="left" w:pos="720"/>
        </w:tabs>
        <w:spacing w:before="120" w:after="120"/>
        <w:ind w:right="-90"/>
        <w:rPr>
          <w:spacing w:val="-4"/>
          <w:lang w:val="en-US"/>
        </w:rPr>
      </w:pPr>
      <w:r w:rsidRPr="00A50E4D">
        <w:rPr>
          <w:rStyle w:val="FootnoteReference"/>
          <w:rFonts w:eastAsiaTheme="majorEastAsia"/>
          <w:spacing w:val="-4"/>
          <w:lang w:val="en-US"/>
        </w:rPr>
        <w:footnoteRef/>
      </w:r>
      <w:r w:rsidRPr="00A50E4D">
        <w:rPr>
          <w:spacing w:val="-4"/>
          <w:lang w:val="en-US"/>
        </w:rPr>
        <w:t xml:space="preserve"> </w:t>
      </w:r>
      <w:r w:rsidRPr="00A50E4D">
        <w:rPr>
          <w:spacing w:val="-4"/>
          <w:lang w:val="en-US"/>
        </w:rPr>
        <w:tab/>
      </w:r>
      <w:r w:rsidRPr="00A50E4D">
        <w:rPr>
          <w:i/>
          <w:iCs/>
          <w:spacing w:val="-4"/>
          <w:lang w:val="en-US"/>
        </w:rPr>
        <w:t xml:space="preserve">Cf. </w:t>
      </w:r>
      <w:r w:rsidRPr="00A50E4D">
        <w:rPr>
          <w:rFonts w:cstheme="minorHAnsi"/>
          <w:i/>
          <w:spacing w:val="-4"/>
          <w:lang w:val="en-US"/>
        </w:rPr>
        <w:t>Case of Velásquez Rodríguez v. Honduras. Reparations and costs</w:t>
      </w:r>
      <w:r w:rsidRPr="00A50E4D">
        <w:rPr>
          <w:rFonts w:cs="Calibri"/>
          <w:spacing w:val="-4"/>
          <w:lang w:val="en-US"/>
        </w:rPr>
        <w:t xml:space="preserve">, </w:t>
      </w:r>
      <w:r w:rsidRPr="00A50E4D">
        <w:rPr>
          <w:rFonts w:cs="Calibri"/>
          <w:i/>
          <w:spacing w:val="-4"/>
          <w:lang w:val="en-US"/>
        </w:rPr>
        <w:t>supra</w:t>
      </w:r>
      <w:r w:rsidRPr="00A50E4D">
        <w:rPr>
          <w:rFonts w:cs="Calibri"/>
          <w:spacing w:val="-4"/>
          <w:lang w:val="en-US"/>
        </w:rPr>
        <w:t xml:space="preserve">, </w:t>
      </w:r>
      <w:r w:rsidRPr="00A50E4D">
        <w:rPr>
          <w:rFonts w:cstheme="minorHAnsi"/>
          <w:spacing w:val="-4"/>
          <w:lang w:val="en-US"/>
        </w:rPr>
        <w:t>paras.</w:t>
      </w:r>
      <w:r w:rsidRPr="00A50E4D">
        <w:rPr>
          <w:rFonts w:cstheme="minorHAnsi"/>
          <w:i/>
          <w:spacing w:val="-4"/>
          <w:lang w:val="en-US"/>
        </w:rPr>
        <w:t xml:space="preserve"> </w:t>
      </w:r>
      <w:r w:rsidRPr="00A50E4D">
        <w:rPr>
          <w:rFonts w:cstheme="minorHAnsi"/>
          <w:spacing w:val="-4"/>
          <w:lang w:val="en-US"/>
        </w:rPr>
        <w:t>25 to 27</w:t>
      </w:r>
      <w:r w:rsidRPr="00A50E4D">
        <w:rPr>
          <w:iCs/>
          <w:spacing w:val="-4"/>
          <w:lang w:val="en-US"/>
        </w:rPr>
        <w:t xml:space="preserve">, and </w:t>
      </w:r>
      <w:r w:rsidRPr="00A50E4D">
        <w:rPr>
          <w:i/>
          <w:lang w:val="en-US"/>
        </w:rPr>
        <w:t>Case of Omar Humberto Maldonado Vargas et al. v. Chile, supra</w:t>
      </w:r>
      <w:r w:rsidRPr="00A50E4D">
        <w:rPr>
          <w:spacing w:val="-4"/>
          <w:lang w:val="en-US"/>
        </w:rPr>
        <w:t>, para. 151.</w:t>
      </w:r>
    </w:p>
  </w:footnote>
  <w:footnote w:id="455">
    <w:p w14:paraId="5A709529" w14:textId="2D4D86CB" w:rsidR="007353B6" w:rsidRPr="00A50E4D" w:rsidRDefault="007353B6" w:rsidP="006F7559">
      <w:pPr>
        <w:pStyle w:val="FootnoteText"/>
        <w:tabs>
          <w:tab w:val="left" w:pos="450"/>
        </w:tabs>
        <w:spacing w:before="120" w:after="120"/>
        <w:rPr>
          <w:spacing w:val="-4"/>
          <w:lang w:val="en-US"/>
        </w:rPr>
      </w:pPr>
      <w:r w:rsidRPr="00A50E4D">
        <w:rPr>
          <w:rStyle w:val="FootnoteReference"/>
          <w:rFonts w:eastAsiaTheme="majorEastAsia"/>
          <w:spacing w:val="-4"/>
          <w:lang w:val="en-US"/>
        </w:rPr>
        <w:footnoteRef/>
      </w:r>
      <w:r w:rsidRPr="00A50E4D">
        <w:rPr>
          <w:spacing w:val="-4"/>
          <w:lang w:val="en-US"/>
        </w:rPr>
        <w:t xml:space="preserve"> </w:t>
      </w:r>
      <w:r w:rsidRPr="00A50E4D">
        <w:rPr>
          <w:i/>
          <w:spacing w:val="-4"/>
          <w:lang w:val="en-US"/>
        </w:rPr>
        <w:tab/>
        <w:t>Cf. Case of the La Rochela Massacre v. Colombia, supra</w:t>
      </w:r>
      <w:r w:rsidRPr="00A50E4D">
        <w:rPr>
          <w:spacing w:val="-4"/>
          <w:lang w:val="en-US"/>
        </w:rPr>
        <w:t xml:space="preserve">, para. 233, and </w:t>
      </w:r>
      <w:r w:rsidRPr="00A50E4D">
        <w:rPr>
          <w:i/>
          <w:lang w:val="en-US"/>
        </w:rPr>
        <w:t>Case of Omar Humberto Maldonado Vargas et al. v. Chile, supra</w:t>
      </w:r>
      <w:r w:rsidRPr="00A50E4D">
        <w:rPr>
          <w:spacing w:val="-4"/>
          <w:lang w:val="en-US"/>
        </w:rPr>
        <w:t>, para. 153.</w:t>
      </w:r>
    </w:p>
  </w:footnote>
  <w:footnote w:id="456">
    <w:p w14:paraId="2C172B6D" w14:textId="07FAF53C" w:rsidR="007353B6" w:rsidRPr="00F25627" w:rsidRDefault="007353B6" w:rsidP="006F7559">
      <w:pPr>
        <w:tabs>
          <w:tab w:val="left" w:pos="450"/>
        </w:tabs>
        <w:rPr>
          <w:rFonts w:eastAsia="Times New Roman" w:cs="Arial"/>
          <w:sz w:val="16"/>
          <w:szCs w:val="16"/>
          <w:lang w:val="es-CR"/>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t xml:space="preserve">Likewise, in the case of </w:t>
      </w:r>
      <w:r w:rsidRPr="00A50E4D">
        <w:rPr>
          <w:i/>
          <w:spacing w:val="-4"/>
          <w:sz w:val="16"/>
          <w:szCs w:val="16"/>
          <w:lang w:val="en-US"/>
        </w:rPr>
        <w:t xml:space="preserve">Apitz v. Venezuela, </w:t>
      </w:r>
      <w:r w:rsidRPr="00A50E4D">
        <w:rPr>
          <w:spacing w:val="-4"/>
          <w:sz w:val="16"/>
          <w:szCs w:val="16"/>
          <w:lang w:val="en-US"/>
        </w:rPr>
        <w:t>the Court established that “</w:t>
      </w:r>
      <w:r w:rsidRPr="00914F55">
        <w:rPr>
          <w:rFonts w:cs="Arial"/>
          <w:sz w:val="16"/>
          <w:szCs w:val="16"/>
          <w:lang w:val="en-US"/>
        </w:rPr>
        <w:t>taking into consideration that the guarantee of permanence and stability of judges, whether they be temporary or permanent, must ensure that those who were arbitrarily removed from their position as judges be reinstated therein, the Court deems that as a reparation measure the State must reinstate the</w:t>
      </w:r>
      <w:r w:rsidRPr="00A50E4D">
        <w:rPr>
          <w:rFonts w:cs="Arial"/>
          <w:sz w:val="16"/>
          <w:szCs w:val="16"/>
          <w:lang w:val="en-US"/>
        </w:rPr>
        <w:t xml:space="preserve"> victims, if they so desire, in a position in the Judiciary in which they have the same rank, salary and related social benefits as they had prior to their removal.</w:t>
      </w:r>
      <w:r w:rsidRPr="00A50E4D">
        <w:rPr>
          <w:spacing w:val="-4"/>
          <w:sz w:val="16"/>
          <w:szCs w:val="16"/>
          <w:lang w:val="en-US"/>
        </w:rPr>
        <w:t xml:space="preserve">” </w:t>
      </w:r>
      <w:r w:rsidRPr="00A50E4D">
        <w:rPr>
          <w:i/>
          <w:spacing w:val="-4"/>
          <w:sz w:val="16"/>
          <w:szCs w:val="16"/>
          <w:lang w:val="en-US"/>
        </w:rPr>
        <w:t xml:space="preserve">Case of </w:t>
      </w:r>
      <w:r w:rsidRPr="00A50E4D">
        <w:rPr>
          <w:rStyle w:val="Strong"/>
          <w:b w:val="0"/>
          <w:i/>
          <w:color w:val="000000"/>
          <w:sz w:val="16"/>
          <w:szCs w:val="16"/>
          <w:lang w:val="en-US"/>
        </w:rPr>
        <w:t>Apitz Barbera et al. (“First Court of Administrative Disputes”) v. Venezuela, supra</w:t>
      </w:r>
      <w:r w:rsidRPr="00A50E4D">
        <w:rPr>
          <w:rStyle w:val="Strong"/>
          <w:b w:val="0"/>
          <w:color w:val="000000"/>
          <w:sz w:val="16"/>
          <w:szCs w:val="16"/>
          <w:lang w:val="en-US"/>
        </w:rPr>
        <w:t>,</w:t>
      </w:r>
      <w:r w:rsidRPr="00A50E4D">
        <w:rPr>
          <w:i/>
          <w:spacing w:val="-4"/>
          <w:sz w:val="16"/>
          <w:szCs w:val="16"/>
          <w:lang w:val="en-US"/>
        </w:rPr>
        <w:t xml:space="preserve"> </w:t>
      </w:r>
      <w:r w:rsidRPr="00A50E4D">
        <w:rPr>
          <w:spacing w:val="-4"/>
          <w:sz w:val="16"/>
          <w:szCs w:val="16"/>
          <w:lang w:val="en-US"/>
        </w:rPr>
        <w:t xml:space="preserve">para. </w:t>
      </w:r>
      <w:r w:rsidRPr="00F25627">
        <w:rPr>
          <w:spacing w:val="-4"/>
          <w:sz w:val="16"/>
          <w:szCs w:val="16"/>
          <w:lang w:val="es-CR"/>
        </w:rPr>
        <w:t xml:space="preserve">246. See also, </w:t>
      </w:r>
      <w:r w:rsidRPr="00F25627">
        <w:rPr>
          <w:i/>
          <w:spacing w:val="-4"/>
          <w:sz w:val="16"/>
          <w:szCs w:val="16"/>
          <w:lang w:val="es-CR"/>
        </w:rPr>
        <w:t>Case of the Constitutional Tribunal (Camba Campos et al.) v. Ecuador, supra</w:t>
      </w:r>
      <w:r w:rsidRPr="00F25627">
        <w:rPr>
          <w:spacing w:val="-4"/>
          <w:sz w:val="16"/>
          <w:szCs w:val="16"/>
          <w:lang w:val="es-CR"/>
        </w:rPr>
        <w:t>, para. 258.</w:t>
      </w:r>
    </w:p>
  </w:footnote>
  <w:footnote w:id="457">
    <w:p w14:paraId="0FE9ACCC" w14:textId="17E82661" w:rsidR="007353B6" w:rsidRPr="00F25627" w:rsidRDefault="007353B6" w:rsidP="006F7559">
      <w:pPr>
        <w:pStyle w:val="FootnoteText"/>
        <w:tabs>
          <w:tab w:val="left" w:pos="450"/>
        </w:tabs>
        <w:spacing w:before="120" w:after="120"/>
        <w:rPr>
          <w:spacing w:val="-4"/>
          <w:lang w:val="es-CR"/>
        </w:rPr>
      </w:pPr>
      <w:r w:rsidRPr="00A50E4D">
        <w:rPr>
          <w:rStyle w:val="FootnoteReference"/>
          <w:spacing w:val="-4"/>
          <w:lang w:val="en-US"/>
        </w:rPr>
        <w:footnoteRef/>
      </w:r>
      <w:r w:rsidRPr="00F25627">
        <w:rPr>
          <w:spacing w:val="-4"/>
          <w:lang w:val="es-CR"/>
        </w:rPr>
        <w:t xml:space="preserve"> </w:t>
      </w:r>
      <w:r w:rsidRPr="00F25627">
        <w:rPr>
          <w:spacing w:val="-4"/>
          <w:lang w:val="es-CR"/>
        </w:rPr>
        <w:tab/>
      </w:r>
      <w:r w:rsidRPr="00F25627">
        <w:rPr>
          <w:rStyle w:val="Strong"/>
          <w:b w:val="0"/>
          <w:i/>
          <w:color w:val="000000"/>
          <w:lang w:val="es-CR"/>
        </w:rPr>
        <w:t>Case of Reverón Trujillo v. Venezuela, supra</w:t>
      </w:r>
      <w:r w:rsidRPr="00F25627">
        <w:rPr>
          <w:i/>
          <w:spacing w:val="-4"/>
          <w:lang w:val="es-CR"/>
        </w:rPr>
        <w:t>,</w:t>
      </w:r>
      <w:r w:rsidRPr="00F25627">
        <w:rPr>
          <w:spacing w:val="-4"/>
          <w:lang w:val="es-CR"/>
        </w:rPr>
        <w:t xml:space="preserve"> para. 81, and </w:t>
      </w:r>
      <w:r w:rsidRPr="00F25627">
        <w:rPr>
          <w:i/>
          <w:spacing w:val="-4"/>
          <w:lang w:val="es-CR"/>
        </w:rPr>
        <w:t>Case of Chocrón Chocrón v. Venezuela, supra</w:t>
      </w:r>
      <w:r w:rsidRPr="00F25627">
        <w:rPr>
          <w:spacing w:val="-4"/>
          <w:lang w:val="es-CR"/>
        </w:rPr>
        <w:t>, para. 152.</w:t>
      </w:r>
    </w:p>
  </w:footnote>
  <w:footnote w:id="458">
    <w:p w14:paraId="1296CA6E" w14:textId="0AA1EA0B" w:rsidR="007353B6" w:rsidRPr="00A50E4D" w:rsidRDefault="007353B6" w:rsidP="006F7559">
      <w:pPr>
        <w:pStyle w:val="FootnoteText"/>
        <w:tabs>
          <w:tab w:val="clear" w:pos="567"/>
          <w:tab w:val="left" w:pos="450"/>
        </w:tabs>
        <w:spacing w:before="120" w:after="120"/>
        <w:rPr>
          <w:spacing w:val="-4"/>
          <w:lang w:val="en-US"/>
        </w:rPr>
      </w:pPr>
      <w:r w:rsidRPr="00A50E4D">
        <w:rPr>
          <w:rStyle w:val="FootnoteReference"/>
          <w:spacing w:val="-4"/>
          <w:lang w:val="en-US"/>
        </w:rPr>
        <w:footnoteRef/>
      </w:r>
      <w:r w:rsidRPr="00F25627">
        <w:rPr>
          <w:spacing w:val="-4"/>
          <w:lang w:val="es-CR"/>
        </w:rPr>
        <w:t xml:space="preserve"> </w:t>
      </w:r>
      <w:r w:rsidRPr="00F25627">
        <w:rPr>
          <w:spacing w:val="-4"/>
          <w:lang w:val="es-CR"/>
        </w:rPr>
        <w:tab/>
      </w:r>
      <w:r w:rsidRPr="00F25627">
        <w:rPr>
          <w:rStyle w:val="Strong"/>
          <w:b w:val="0"/>
          <w:i/>
          <w:color w:val="000000"/>
          <w:lang w:val="es-CR"/>
        </w:rPr>
        <w:t>Case of Reverón Trujillo v. Venezuela, supra</w:t>
      </w:r>
      <w:r w:rsidRPr="00F25627">
        <w:rPr>
          <w:i/>
          <w:spacing w:val="-4"/>
          <w:lang w:val="es-CR"/>
        </w:rPr>
        <w:t>,</w:t>
      </w:r>
      <w:r w:rsidRPr="00F25627">
        <w:rPr>
          <w:spacing w:val="-4"/>
          <w:lang w:val="es-CR"/>
        </w:rPr>
        <w:t xml:space="preserve"> para. </w:t>
      </w:r>
      <w:r w:rsidRPr="00A50E4D">
        <w:rPr>
          <w:spacing w:val="-4"/>
          <w:lang w:val="en-US"/>
        </w:rPr>
        <w:t xml:space="preserve">81, and </w:t>
      </w:r>
      <w:r w:rsidRPr="00A50E4D">
        <w:rPr>
          <w:i/>
          <w:spacing w:val="-4"/>
          <w:lang w:val="en-US"/>
        </w:rPr>
        <w:t>Case of Chocrón Chocrón v. Venezuela, supra</w:t>
      </w:r>
      <w:r w:rsidRPr="00A50E4D">
        <w:rPr>
          <w:spacing w:val="-4"/>
          <w:lang w:val="en-US"/>
        </w:rPr>
        <w:t>, para. 152.</w:t>
      </w:r>
    </w:p>
  </w:footnote>
  <w:footnote w:id="459">
    <w:p w14:paraId="3DE099E7" w14:textId="63ABF3C0" w:rsidR="007353B6" w:rsidRPr="00A50E4D" w:rsidRDefault="007353B6" w:rsidP="006F7559">
      <w:pPr>
        <w:pStyle w:val="FootnoteText"/>
        <w:tabs>
          <w:tab w:val="left" w:pos="450"/>
        </w:tabs>
        <w:spacing w:before="120" w:after="120"/>
        <w:rPr>
          <w:spacing w:val="-4"/>
          <w:lang w:val="en-US"/>
        </w:rPr>
      </w:pPr>
      <w:r w:rsidRPr="00A50E4D">
        <w:rPr>
          <w:rStyle w:val="FootnoteReference"/>
          <w:rFonts w:eastAsiaTheme="majorEastAsia"/>
          <w:spacing w:val="-4"/>
          <w:lang w:val="en-US"/>
        </w:rPr>
        <w:footnoteRef/>
      </w:r>
      <w:r w:rsidRPr="00A50E4D">
        <w:rPr>
          <w:spacing w:val="-4"/>
          <w:lang w:val="en-US"/>
        </w:rPr>
        <w:t xml:space="preserve"> </w:t>
      </w:r>
      <w:r w:rsidRPr="00A50E4D">
        <w:rPr>
          <w:spacing w:val="-4"/>
          <w:lang w:val="en-US"/>
        </w:rPr>
        <w:tab/>
      </w:r>
      <w:r w:rsidRPr="00A50E4D">
        <w:rPr>
          <w:i/>
          <w:color w:val="000000" w:themeColor="text1"/>
          <w:spacing w:val="-4"/>
          <w:lang w:val="en-US"/>
        </w:rPr>
        <w:t xml:space="preserve">Cf. </w:t>
      </w:r>
      <w:r w:rsidRPr="00A50E4D">
        <w:rPr>
          <w:i/>
          <w:color w:val="000000" w:themeColor="text1"/>
          <w:lang w:val="en-US"/>
        </w:rPr>
        <w:t xml:space="preserve">Case of Cantoral Benavides v. Peru. Reparations and costs. </w:t>
      </w:r>
      <w:r w:rsidRPr="00A50E4D">
        <w:rPr>
          <w:color w:val="000000" w:themeColor="text1"/>
          <w:lang w:val="en-US"/>
        </w:rPr>
        <w:t xml:space="preserve">Judgment of December 3, 2001. </w:t>
      </w:r>
      <w:r w:rsidRPr="00F25627">
        <w:rPr>
          <w:color w:val="000000" w:themeColor="text1"/>
          <w:lang w:val="es-CR"/>
        </w:rPr>
        <w:t>Series C No. 88, para. 79</w:t>
      </w:r>
      <w:r w:rsidRPr="00F25627">
        <w:rPr>
          <w:color w:val="000000" w:themeColor="text1"/>
          <w:spacing w:val="-4"/>
          <w:lang w:val="es-CR"/>
        </w:rPr>
        <w:t xml:space="preserve">, and </w:t>
      </w:r>
      <w:r w:rsidRPr="00F25627">
        <w:rPr>
          <w:i/>
          <w:color w:val="000000" w:themeColor="text1"/>
          <w:lang w:val="es-CR"/>
        </w:rPr>
        <w:t>Case of Omar Humberto Maldonado Vargas et al. v. Chile, supra</w:t>
      </w:r>
      <w:r w:rsidRPr="00F25627">
        <w:rPr>
          <w:i/>
          <w:color w:val="000000" w:themeColor="text1"/>
          <w:spacing w:val="-4"/>
          <w:lang w:val="es-CR"/>
        </w:rPr>
        <w:t>,</w:t>
      </w:r>
      <w:r w:rsidRPr="00F25627">
        <w:rPr>
          <w:color w:val="000000" w:themeColor="text1"/>
          <w:spacing w:val="-4"/>
          <w:lang w:val="es-CR"/>
        </w:rPr>
        <w:t xml:space="preserve"> para. </w:t>
      </w:r>
      <w:r w:rsidRPr="00A50E4D">
        <w:rPr>
          <w:color w:val="000000" w:themeColor="text1"/>
          <w:spacing w:val="-4"/>
          <w:lang w:val="en-US"/>
        </w:rPr>
        <w:t>162.</w:t>
      </w:r>
    </w:p>
  </w:footnote>
  <w:footnote w:id="460">
    <w:p w14:paraId="6C7D18BE" w14:textId="481CBE7F"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i/>
          <w:spacing w:val="-4"/>
          <w:lang w:val="en-US"/>
        </w:rPr>
        <w:tab/>
        <w:t>Cf.</w:t>
      </w:r>
      <w:r w:rsidRPr="00A50E4D">
        <w:rPr>
          <w:spacing w:val="-4"/>
          <w:lang w:val="en-US"/>
        </w:rPr>
        <w:t xml:space="preserve"> </w:t>
      </w:r>
      <w:r w:rsidRPr="00A50E4D">
        <w:rPr>
          <w:rStyle w:val="Strong"/>
          <w:b w:val="0"/>
          <w:i/>
          <w:color w:val="000000"/>
          <w:shd w:val="clear" w:color="auto" w:fill="FFFFFF"/>
          <w:lang w:val="en-US"/>
        </w:rPr>
        <w:t>Case of Genie Lacayo v. Nicaragua. Preliminary objections.</w:t>
      </w:r>
      <w:r w:rsidRPr="00A50E4D">
        <w:rPr>
          <w:rStyle w:val="Strong"/>
          <w:b w:val="0"/>
          <w:color w:val="000000"/>
          <w:shd w:val="clear" w:color="auto" w:fill="FFFFFF"/>
          <w:lang w:val="en-US"/>
        </w:rPr>
        <w:t xml:space="preserve"> Judgment of January 27, 1995. Series C No. 21</w:t>
      </w:r>
      <w:r w:rsidRPr="00A50E4D">
        <w:rPr>
          <w:b/>
          <w:bCs/>
          <w:spacing w:val="-4"/>
          <w:lang w:val="en-US"/>
        </w:rPr>
        <w:t>,</w:t>
      </w:r>
      <w:r w:rsidRPr="00A50E4D">
        <w:rPr>
          <w:bCs/>
          <w:spacing w:val="-4"/>
          <w:lang w:val="en-US"/>
        </w:rPr>
        <w:t xml:space="preserve"> para. 50, and </w:t>
      </w:r>
      <w:r w:rsidRPr="00A50E4D">
        <w:rPr>
          <w:i/>
          <w:spacing w:val="-4"/>
          <w:lang w:val="en-US"/>
        </w:rPr>
        <w:t xml:space="preserve">Case of Rodríguez Vera et al. (the Disappeared from the Palace of Justice) v. Colombia. Preliminary objections, merits, reparations and costs. </w:t>
      </w:r>
      <w:r w:rsidRPr="00A50E4D">
        <w:rPr>
          <w:spacing w:val="-4"/>
          <w:lang w:val="en-US"/>
        </w:rPr>
        <w:t>Judgment of November 14, 2015. Series C No. 287, para. 64.</w:t>
      </w:r>
    </w:p>
  </w:footnote>
  <w:footnote w:id="461">
    <w:p w14:paraId="5681BF9C" w14:textId="4C30B8EC" w:rsidR="007353B6" w:rsidRPr="00A50E4D" w:rsidRDefault="007353B6" w:rsidP="0087695C">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To the contrary, see, </w:t>
      </w:r>
      <w:r w:rsidRPr="00A50E4D">
        <w:rPr>
          <w:bCs/>
          <w:i/>
          <w:spacing w:val="-4"/>
          <w:lang w:val="en-US"/>
        </w:rPr>
        <w:t>Case of Expelled Dominicans and Haitians v. Dominican Republic, supra</w:t>
      </w:r>
      <w:r w:rsidRPr="00A50E4D">
        <w:rPr>
          <w:spacing w:val="-4"/>
          <w:lang w:val="en-US"/>
        </w:rPr>
        <w:t>, para. 310.</w:t>
      </w:r>
      <w:r w:rsidRPr="00A50E4D">
        <w:rPr>
          <w:i/>
          <w:spacing w:val="-4"/>
          <w:lang w:val="en-US"/>
        </w:rPr>
        <w:t xml:space="preserve"> </w:t>
      </w:r>
      <w:r w:rsidRPr="00A50E4D">
        <w:rPr>
          <w:spacing w:val="-4"/>
          <w:lang w:val="en-US"/>
        </w:rPr>
        <w:t xml:space="preserve">Also, </w:t>
      </w:r>
      <w:r w:rsidRPr="00A50E4D">
        <w:rPr>
          <w:i/>
          <w:spacing w:val="-4"/>
          <w:lang w:val="en-US"/>
        </w:rPr>
        <w:t>cf. Case of Rodríguez Vera et al. (the Disappeared from the Palace of Justice) v. Colombia, supra</w:t>
      </w:r>
      <w:r w:rsidRPr="00A50E4D">
        <w:rPr>
          <w:spacing w:val="-4"/>
          <w:lang w:val="en-US"/>
        </w:rPr>
        <w:t>, para. 64.</w:t>
      </w:r>
    </w:p>
  </w:footnote>
  <w:footnote w:id="462">
    <w:p w14:paraId="112EF9DA" w14:textId="6C4EC1EE"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Similarly, </w:t>
      </w:r>
      <w:r w:rsidRPr="00A50E4D">
        <w:rPr>
          <w:i/>
          <w:spacing w:val="-4"/>
          <w:lang w:val="en-US"/>
        </w:rPr>
        <w:t xml:space="preserve">Case of Mohamed v. Argentina. Preliminary objection, merits, reparations and costs. </w:t>
      </w:r>
      <w:r w:rsidRPr="00A50E4D">
        <w:rPr>
          <w:spacing w:val="-4"/>
          <w:lang w:val="en-US"/>
        </w:rPr>
        <w:t>Judgment of November 23, 2012. Series C No. 255, para. 162.</w:t>
      </w:r>
    </w:p>
  </w:footnote>
  <w:footnote w:id="463">
    <w:p w14:paraId="5233EB93" w14:textId="480B4152" w:rsidR="007353B6" w:rsidRPr="00A50E4D" w:rsidRDefault="007353B6" w:rsidP="006F7559">
      <w:pPr>
        <w:tabs>
          <w:tab w:val="left" w:pos="450"/>
          <w:tab w:val="left" w:pos="567"/>
        </w:tabs>
        <w:spacing w:before="120" w:after="120"/>
        <w:ind w:right="1"/>
        <w:rPr>
          <w:spacing w:val="-4"/>
          <w:sz w:val="16"/>
          <w:szCs w:val="16"/>
          <w:lang w:val="en-US"/>
        </w:rPr>
      </w:pPr>
      <w:r w:rsidRPr="00A50E4D">
        <w:rPr>
          <w:rStyle w:val="FootnoteReference"/>
          <w:spacing w:val="-4"/>
          <w:lang w:val="en-US"/>
        </w:rPr>
        <w:footnoteRef/>
      </w:r>
      <w:r w:rsidRPr="00A50E4D">
        <w:rPr>
          <w:spacing w:val="-4"/>
          <w:sz w:val="16"/>
          <w:szCs w:val="16"/>
          <w:lang w:val="en-US"/>
        </w:rPr>
        <w:t xml:space="preserve"> </w:t>
      </w:r>
      <w:r w:rsidRPr="00A50E4D">
        <w:rPr>
          <w:spacing w:val="-4"/>
          <w:sz w:val="16"/>
          <w:szCs w:val="16"/>
          <w:lang w:val="en-US"/>
        </w:rPr>
        <w:tab/>
      </w:r>
      <w:r w:rsidRPr="00A50E4D">
        <w:rPr>
          <w:i/>
          <w:spacing w:val="-4"/>
          <w:sz w:val="16"/>
          <w:szCs w:val="16"/>
          <w:lang w:val="en-US"/>
        </w:rPr>
        <w:t>Cf.</w:t>
      </w:r>
      <w:r w:rsidRPr="00A50E4D">
        <w:rPr>
          <w:spacing w:val="-4"/>
          <w:sz w:val="16"/>
          <w:szCs w:val="16"/>
          <w:lang w:val="en-US"/>
        </w:rPr>
        <w:t xml:space="preserve"> </w:t>
      </w:r>
      <w:r w:rsidRPr="00A50E4D">
        <w:rPr>
          <w:rStyle w:val="Strong"/>
          <w:b w:val="0"/>
          <w:i/>
          <w:color w:val="000000"/>
          <w:sz w:val="16"/>
          <w:szCs w:val="16"/>
          <w:shd w:val="clear" w:color="auto" w:fill="FFFFFF"/>
          <w:lang w:val="en-US"/>
        </w:rPr>
        <w:t>Case of Almonacid Arellano et al. v. Chile, supra</w:t>
      </w:r>
      <w:r w:rsidRPr="00A50E4D">
        <w:rPr>
          <w:rStyle w:val="Strong"/>
          <w:b w:val="0"/>
          <w:color w:val="000000"/>
          <w:sz w:val="16"/>
          <w:szCs w:val="16"/>
          <w:shd w:val="clear" w:color="auto" w:fill="FFFFFF"/>
          <w:lang w:val="en-US"/>
        </w:rPr>
        <w:t xml:space="preserve">, para. 124, and </w:t>
      </w:r>
      <w:r w:rsidRPr="00A50E4D">
        <w:rPr>
          <w:rStyle w:val="Strong"/>
          <w:b w:val="0"/>
          <w:i/>
          <w:color w:val="000000"/>
          <w:spacing w:val="-4"/>
          <w:sz w:val="16"/>
          <w:szCs w:val="16"/>
          <w:shd w:val="clear" w:color="auto" w:fill="FFFFFF"/>
          <w:lang w:val="en-US"/>
        </w:rPr>
        <w:t>Case of Expelled Dominicans and Haitians v. Dominican Republic, supra</w:t>
      </w:r>
      <w:r w:rsidRPr="00A50E4D">
        <w:rPr>
          <w:spacing w:val="-4"/>
          <w:sz w:val="16"/>
          <w:szCs w:val="16"/>
          <w:lang w:val="en-US"/>
        </w:rPr>
        <w:t>, para. 311.</w:t>
      </w:r>
    </w:p>
  </w:footnote>
  <w:footnote w:id="464">
    <w:p w14:paraId="2CE135E7" w14:textId="2ED319DA"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In the case of Luis Chévez, the calculation was made taking into account that his effective dismissal was September 23, 2010. However, the payment corresponding to the employment entitlements that the Judicial Service Council agreed to pay him for the salaries that he failed to receive and for social benefits “up until the date of the decision confirming his dismissal; in other words, up until August 24, 2011,” “was deducted” from the final sum. In the cases of Tirza Flores Lanza and Adán Guillermo López Lone, “the calculation was made on the basis of the fact that they were dismissed on July 1, 2010. At that date, they had been paid the [salary for social compensation] for that year, as well as the first part of their paid vacations], but not the thirteenth month.”</w:t>
      </w:r>
    </w:p>
  </w:footnote>
  <w:footnote w:id="465">
    <w:p w14:paraId="56DDAE0B" w14:textId="222721BE"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Order of the President of the Court of December 10, 2014.</w:t>
      </w:r>
    </w:p>
  </w:footnote>
  <w:footnote w:id="466">
    <w:p w14:paraId="116AAEA5" w14:textId="3EC49220" w:rsidR="007353B6" w:rsidRPr="00A50E4D" w:rsidRDefault="007353B6" w:rsidP="006F7559">
      <w:pPr>
        <w:pStyle w:val="FootnoteText"/>
        <w:tabs>
          <w:tab w:val="left" w:pos="450"/>
        </w:tabs>
        <w:spacing w:before="120" w:after="120"/>
        <w:rPr>
          <w:b/>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The representatives calculated that the total amount for loss of earning corresponding to Luis Alonso Chévez de la Rocha was US$83,679.45; however, they deducted US$24,001.00 from this for the payments received for advance notice and compensation (merits file, folio 675). </w:t>
      </w:r>
    </w:p>
  </w:footnote>
  <w:footnote w:id="467">
    <w:p w14:paraId="44BAB0D4" w14:textId="0C0AE006"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Case of Bámaca Velásquez v. Guatemala. Reparations and costs.</w:t>
      </w:r>
      <w:r w:rsidRPr="00A50E4D">
        <w:rPr>
          <w:spacing w:val="-4"/>
          <w:lang w:val="en-US"/>
        </w:rPr>
        <w:t xml:space="preserve"> Judgment of February 22, 2002. Series C No. 91, para. 43, and </w:t>
      </w:r>
      <w:r w:rsidRPr="00A50E4D">
        <w:rPr>
          <w:i/>
          <w:color w:val="000000" w:themeColor="text1"/>
          <w:lang w:val="en-US"/>
        </w:rPr>
        <w:t>Case of Omar Humberto Maldonado Vargas et al. v. Chile, supra</w:t>
      </w:r>
      <w:r w:rsidRPr="00A50E4D">
        <w:rPr>
          <w:spacing w:val="-4"/>
          <w:lang w:val="en-US"/>
        </w:rPr>
        <w:t>, para. 174.</w:t>
      </w:r>
    </w:p>
  </w:footnote>
  <w:footnote w:id="468">
    <w:p w14:paraId="491E9A65" w14:textId="277D9AE1"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The Court notes that the representatives presented a certification of a three-year personal loan in the name of Mr. Chévez de la Rocha, for 156,800.00 lempiras. At June 30, 2014, the balance was 88,790.76 lempiras, and he has a mortgage for 202,800.00 lempiras for a term of 228 months, with a balance at June 30, 2014, of 68,292.44 lempiras (evidence file, folio 5786).</w:t>
      </w:r>
    </w:p>
  </w:footnote>
  <w:footnote w:id="469">
    <w:p w14:paraId="3615E551" w14:textId="1449B694" w:rsidR="007353B6" w:rsidRPr="00F25627" w:rsidRDefault="007353B6" w:rsidP="006F7559">
      <w:pPr>
        <w:pStyle w:val="FootnoteText"/>
        <w:tabs>
          <w:tab w:val="left" w:pos="450"/>
        </w:tabs>
        <w:spacing w:before="120" w:after="120"/>
        <w:rPr>
          <w:spacing w:val="-4"/>
          <w:lang w:val="es-CR"/>
        </w:rPr>
      </w:pPr>
      <w:r w:rsidRPr="00A50E4D">
        <w:rPr>
          <w:rStyle w:val="FootnoteReference"/>
          <w:spacing w:val="-4"/>
          <w:lang w:val="en-US"/>
        </w:rPr>
        <w:footnoteRef/>
      </w:r>
      <w:r w:rsidRPr="00F25627">
        <w:rPr>
          <w:spacing w:val="-4"/>
          <w:lang w:val="es-CR"/>
        </w:rPr>
        <w:t xml:space="preserve"> </w:t>
      </w:r>
      <w:r w:rsidRPr="00F25627">
        <w:rPr>
          <w:spacing w:val="-4"/>
          <w:lang w:val="es-CR"/>
        </w:rPr>
        <w:tab/>
      </w:r>
      <w:r w:rsidRPr="00F25627">
        <w:rPr>
          <w:i/>
          <w:spacing w:val="-4"/>
          <w:lang w:val="es-CR"/>
        </w:rPr>
        <w:t>Cf. Case of Chocrón Chocrón v. Venezuela, supra</w:t>
      </w:r>
      <w:r w:rsidRPr="00F25627">
        <w:rPr>
          <w:spacing w:val="-4"/>
          <w:lang w:val="es-CR"/>
        </w:rPr>
        <w:t>, para. 184.</w:t>
      </w:r>
    </w:p>
  </w:footnote>
  <w:footnote w:id="470">
    <w:p w14:paraId="010B18FD" w14:textId="4C0E48CA"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F25627">
        <w:rPr>
          <w:i/>
          <w:spacing w:val="-4"/>
          <w:lang w:val="es-CR"/>
        </w:rPr>
        <w:t xml:space="preserve"> </w:t>
      </w:r>
      <w:r w:rsidRPr="00F25627">
        <w:rPr>
          <w:i/>
          <w:spacing w:val="-4"/>
          <w:lang w:val="es-CR"/>
        </w:rPr>
        <w:tab/>
      </w:r>
      <w:r w:rsidRPr="00F25627">
        <w:rPr>
          <w:i/>
          <w:color w:val="000000" w:themeColor="text1"/>
          <w:spacing w:val="-4"/>
          <w:lang w:val="es-CR"/>
        </w:rPr>
        <w:t xml:space="preserve">Cf. Case of El Amparo v. Venezuela. </w:t>
      </w:r>
      <w:r w:rsidRPr="00A50E4D">
        <w:rPr>
          <w:i/>
          <w:color w:val="000000" w:themeColor="text1"/>
          <w:spacing w:val="-4"/>
          <w:lang w:val="en-US"/>
        </w:rPr>
        <w:t xml:space="preserve">Reparations and costs. </w:t>
      </w:r>
      <w:r w:rsidRPr="00A50E4D">
        <w:rPr>
          <w:color w:val="000000" w:themeColor="text1"/>
          <w:spacing w:val="-4"/>
          <w:lang w:val="en-US"/>
        </w:rPr>
        <w:t xml:space="preserve">Judgment of September 14, 1996. </w:t>
      </w:r>
      <w:r w:rsidRPr="00F25627">
        <w:rPr>
          <w:color w:val="000000" w:themeColor="text1"/>
          <w:spacing w:val="-4"/>
          <w:lang w:val="es-CR"/>
        </w:rPr>
        <w:t xml:space="preserve">Series C No. 28, para. 35, and </w:t>
      </w:r>
      <w:r w:rsidRPr="00F25627">
        <w:rPr>
          <w:i/>
          <w:color w:val="000000" w:themeColor="text1"/>
          <w:lang w:val="es-CR"/>
        </w:rPr>
        <w:t>Case of Omar Humberto Maldonado Vargas et al. v. Chile, supra</w:t>
      </w:r>
      <w:r w:rsidRPr="00F25627">
        <w:rPr>
          <w:color w:val="000000" w:themeColor="text1"/>
          <w:spacing w:val="-4"/>
          <w:lang w:val="es-CR"/>
        </w:rPr>
        <w:t xml:space="preserve">, para. </w:t>
      </w:r>
      <w:r w:rsidRPr="00A50E4D">
        <w:rPr>
          <w:color w:val="000000" w:themeColor="text1"/>
          <w:spacing w:val="-4"/>
          <w:lang w:val="en-US"/>
        </w:rPr>
        <w:t>157.</w:t>
      </w:r>
    </w:p>
  </w:footnote>
  <w:footnote w:id="471">
    <w:p w14:paraId="21CA5D1B" w14:textId="647ACEF5" w:rsidR="007353B6" w:rsidRPr="00A50E4D" w:rsidRDefault="007353B6" w:rsidP="006F7559">
      <w:pPr>
        <w:pStyle w:val="FootnoteText"/>
        <w:tabs>
          <w:tab w:val="left" w:pos="450"/>
        </w:tabs>
        <w:spacing w:before="120" w:after="120"/>
        <w:rPr>
          <w:spacing w:val="-4"/>
          <w:lang w:val="en-US"/>
        </w:rPr>
      </w:pPr>
      <w:r w:rsidRPr="00A50E4D">
        <w:rPr>
          <w:rStyle w:val="FootnoteReference"/>
          <w:rFonts w:eastAsiaTheme="majorEastAsia"/>
          <w:spacing w:val="-4"/>
          <w:lang w:val="en-US"/>
        </w:rPr>
        <w:footnoteRef/>
      </w:r>
      <w:r w:rsidRPr="00A50E4D">
        <w:rPr>
          <w:spacing w:val="-4"/>
          <w:lang w:val="en-US"/>
        </w:rPr>
        <w:t xml:space="preserve"> </w:t>
      </w:r>
      <w:r w:rsidRPr="00A50E4D">
        <w:rPr>
          <w:spacing w:val="-4"/>
          <w:lang w:val="en-US"/>
        </w:rPr>
        <w:tab/>
      </w:r>
      <w:r w:rsidRPr="00A50E4D">
        <w:rPr>
          <w:spacing w:val="-4"/>
          <w:lang w:val="en-US"/>
        </w:rPr>
        <w:tab/>
      </w:r>
      <w:r w:rsidRPr="00A50E4D">
        <w:rPr>
          <w:i/>
          <w:lang w:val="en-US"/>
        </w:rPr>
        <w:t>Case of the “Street Children” (Villagrán Morales et al.) v. Guatemala. Reparations and costs</w:t>
      </w:r>
      <w:r w:rsidRPr="00A50E4D">
        <w:rPr>
          <w:b/>
          <w:lang w:val="en-US"/>
        </w:rPr>
        <w:t xml:space="preserve">. </w:t>
      </w:r>
      <w:r w:rsidRPr="00A50E4D">
        <w:rPr>
          <w:rStyle w:val="Strong"/>
          <w:b w:val="0"/>
          <w:color w:val="000000"/>
          <w:shd w:val="clear" w:color="auto" w:fill="FFFFFF"/>
          <w:lang w:val="en-US"/>
        </w:rPr>
        <w:t>Judgment of May 26, 2001. Series C No. 77,</w:t>
      </w:r>
      <w:r w:rsidRPr="00A50E4D">
        <w:rPr>
          <w:lang w:val="en-US"/>
        </w:rPr>
        <w:t xml:space="preserve"> para. 84, and </w:t>
      </w:r>
      <w:r w:rsidRPr="00A50E4D">
        <w:rPr>
          <w:i/>
          <w:color w:val="000000" w:themeColor="text1"/>
          <w:lang w:val="en-US"/>
        </w:rPr>
        <w:t>Case of Omar Humberto Maldonado Vargas et al. v. Chile, supra</w:t>
      </w:r>
      <w:r w:rsidRPr="00A50E4D">
        <w:rPr>
          <w:color w:val="000000" w:themeColor="text1"/>
          <w:spacing w:val="-4"/>
          <w:lang w:val="en-US"/>
        </w:rPr>
        <w:t>, para. 174.</w:t>
      </w:r>
    </w:p>
  </w:footnote>
  <w:footnote w:id="472">
    <w:p w14:paraId="6B629B51" w14:textId="343A4F98"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They indicated that they had to travel from San Pedro Sula to Tegucigalpa several times to take part in the disciplinary proceedings. </w:t>
      </w:r>
    </w:p>
  </w:footnote>
  <w:footnote w:id="473">
    <w:p w14:paraId="40ED54D8" w14:textId="07D05009"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Receipt for travel expenses dated May 10, 2010 (evidence file, folio 5898).</w:t>
      </w:r>
    </w:p>
  </w:footnote>
  <w:footnote w:id="474">
    <w:p w14:paraId="6BDCBF9A" w14:textId="1A93B729" w:rsidR="007353B6" w:rsidRPr="00A50E4D" w:rsidRDefault="007353B6" w:rsidP="006F7559">
      <w:pPr>
        <w:pStyle w:val="FootnoteText"/>
        <w:tabs>
          <w:tab w:val="left" w:pos="450"/>
        </w:tabs>
        <w:spacing w:before="120" w:after="120"/>
        <w:rPr>
          <w:b/>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The representatives alleged that the costs of the hunger strike amounted to US$2,149.35; the travel expenses of Ms. Flores Lanza to US$500.00; the participation of the victims in the hearing on admissibility to US$3,413.15, and the participation in the hearing on the merits to US$3,860.36. </w:t>
      </w:r>
    </w:p>
  </w:footnote>
  <w:footnote w:id="475">
    <w:p w14:paraId="0EAF6EAF" w14:textId="0BFA1BF4" w:rsidR="007353B6" w:rsidRPr="00A50E4D" w:rsidRDefault="007353B6" w:rsidP="006F7559">
      <w:pPr>
        <w:pStyle w:val="PrrafodeSentencia"/>
        <w:numPr>
          <w:ilvl w:val="0"/>
          <w:numId w:val="0"/>
        </w:numPr>
        <w:tabs>
          <w:tab w:val="left" w:pos="450"/>
        </w:tabs>
        <w:spacing w:before="120" w:after="120"/>
        <w:rPr>
          <w:sz w:val="16"/>
          <w:szCs w:val="16"/>
          <w:lang w:val="en-US"/>
        </w:rPr>
      </w:pPr>
      <w:r w:rsidRPr="00A50E4D">
        <w:rPr>
          <w:rStyle w:val="FootnoteReference"/>
          <w:lang w:val="en-US"/>
        </w:rPr>
        <w:footnoteRef/>
      </w:r>
      <w:r w:rsidRPr="00A50E4D">
        <w:rPr>
          <w:sz w:val="16"/>
          <w:szCs w:val="16"/>
          <w:lang w:val="en-US"/>
        </w:rPr>
        <w:t xml:space="preserve"> </w:t>
      </w:r>
      <w:r w:rsidRPr="00A50E4D">
        <w:rPr>
          <w:sz w:val="16"/>
          <w:szCs w:val="16"/>
          <w:lang w:val="en-US"/>
        </w:rPr>
        <w:tab/>
        <w:t>The representatives forwarded the vouchers for costs and expenses incurred following the presentation of the pleadings and motions brief together with their final written arguments (</w:t>
      </w:r>
      <w:r w:rsidRPr="00A50E4D">
        <w:rPr>
          <w:i/>
          <w:sz w:val="16"/>
          <w:szCs w:val="16"/>
          <w:lang w:val="en-US"/>
        </w:rPr>
        <w:t>supra</w:t>
      </w:r>
      <w:r w:rsidRPr="00A50E4D">
        <w:rPr>
          <w:sz w:val="16"/>
          <w:szCs w:val="16"/>
          <w:lang w:val="en-US"/>
        </w:rPr>
        <w:t xml:space="preserve"> para. </w:t>
      </w:r>
      <w:r w:rsidRPr="00914F55">
        <w:rPr>
          <w:sz w:val="16"/>
          <w:szCs w:val="16"/>
          <w:lang w:val="en-US"/>
        </w:rPr>
        <w:fldChar w:fldCharType="begin"/>
      </w:r>
      <w:r w:rsidRPr="00A50E4D">
        <w:rPr>
          <w:sz w:val="16"/>
          <w:szCs w:val="16"/>
          <w:lang w:val="en-US"/>
        </w:rPr>
        <w:instrText xml:space="preserve"> REF _Ref434599321 \r \h  \* MERGEFORMAT </w:instrText>
      </w:r>
      <w:r w:rsidRPr="00914F55">
        <w:rPr>
          <w:sz w:val="16"/>
          <w:szCs w:val="16"/>
          <w:lang w:val="en-US"/>
        </w:rPr>
      </w:r>
      <w:r w:rsidRPr="00914F55">
        <w:rPr>
          <w:sz w:val="16"/>
          <w:szCs w:val="16"/>
          <w:lang w:val="en-US"/>
        </w:rPr>
        <w:fldChar w:fldCharType="separate"/>
      </w:r>
      <w:r>
        <w:rPr>
          <w:sz w:val="16"/>
          <w:szCs w:val="16"/>
          <w:lang w:val="en-US"/>
        </w:rPr>
        <w:t>38</w:t>
      </w:r>
      <w:r w:rsidRPr="00914F55">
        <w:rPr>
          <w:sz w:val="16"/>
          <w:szCs w:val="16"/>
          <w:lang w:val="en-US"/>
        </w:rPr>
        <w:fldChar w:fldCharType="end"/>
      </w:r>
      <w:r w:rsidRPr="00A50E4D">
        <w:rPr>
          <w:sz w:val="16"/>
          <w:szCs w:val="16"/>
          <w:lang w:val="en-US"/>
        </w:rPr>
        <w:t>).</w:t>
      </w:r>
    </w:p>
  </w:footnote>
  <w:footnote w:id="476">
    <w:p w14:paraId="7B35ED3D" w14:textId="22B28A88"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In this regard, they alleged that, even though the Court had decided not to summon the four victims to testify at the hearing, the victims “felt it was very important to be present.” Regarding the wife of Mr. Chévez, they indicated that her presence was “very important” for her husband, because “the consequences […] of the actions that he took […] entailed some difficulties in their relationship; thus, sharing the experience with her helped repair the situation.” </w:t>
      </w:r>
    </w:p>
  </w:footnote>
  <w:footnote w:id="477">
    <w:p w14:paraId="5EDB29CE" w14:textId="65E1AF40"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 xml:space="preserve">The representatives indicated that the cost of certifying and forwarding the affidavits of the victims and their family members, and the expert opinions was US$533.48. Regarding the expenses for participating in the public hearing, they indicated that these amounted to US$6,240.32. </w:t>
      </w:r>
    </w:p>
  </w:footnote>
  <w:footnote w:id="478">
    <w:p w14:paraId="18DFAC5D" w14:textId="6BCA099B"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CEJIL indicated, with regard to the expenses for travel between San José and San Pedro Sula, that “some of these [… were] not used entirely for work relating to this case, [so that] the amounts were established on the basis of a proportionate amount of the expenses incurred for the trip, based on the time dedicated specifically to work on this case.”</w:t>
      </w:r>
    </w:p>
  </w:footnote>
  <w:footnote w:id="479">
    <w:p w14:paraId="57E42E2C" w14:textId="41876EF2" w:rsidR="007353B6" w:rsidRPr="00A50E4D" w:rsidRDefault="007353B6" w:rsidP="006F7559">
      <w:pPr>
        <w:pStyle w:val="FootnoteText"/>
        <w:tabs>
          <w:tab w:val="left" w:pos="450"/>
        </w:tabs>
        <w:spacing w:before="120" w:after="120"/>
        <w:rPr>
          <w:spacing w:val="-4"/>
          <w:lang w:val="en-US"/>
        </w:rPr>
      </w:pPr>
      <w:r w:rsidRPr="00A50E4D">
        <w:rPr>
          <w:rStyle w:val="FootnoteReference"/>
          <w:rFonts w:eastAsiaTheme="majorEastAsia"/>
          <w:spacing w:val="-4"/>
          <w:lang w:val="en-US"/>
        </w:rPr>
        <w:footnoteRef/>
      </w:r>
      <w:r w:rsidRPr="00A50E4D">
        <w:rPr>
          <w:spacing w:val="-4"/>
          <w:lang w:val="en-US"/>
        </w:rPr>
        <w:t xml:space="preserve"> </w:t>
      </w:r>
      <w:r w:rsidRPr="00A50E4D">
        <w:rPr>
          <w:i/>
          <w:spacing w:val="-4"/>
          <w:lang w:val="en-US"/>
        </w:rPr>
        <w:tab/>
      </w:r>
      <w:r w:rsidRPr="00A50E4D">
        <w:rPr>
          <w:i/>
          <w:spacing w:val="-4"/>
          <w:lang w:val="en-US"/>
        </w:rPr>
        <w:tab/>
        <w:t xml:space="preserve">Cf. Case of Garrido and Baigorria v. Argentina. Reparations and costs. </w:t>
      </w:r>
      <w:r w:rsidRPr="00A50E4D">
        <w:rPr>
          <w:spacing w:val="-4"/>
          <w:lang w:val="en-US"/>
        </w:rPr>
        <w:t>Judgment of August 27, 1998. Series C No. 39, para. 79,</w:t>
      </w:r>
      <w:r w:rsidRPr="00A50E4D">
        <w:rPr>
          <w:i/>
          <w:spacing w:val="-4"/>
          <w:lang w:val="en-US"/>
        </w:rPr>
        <w:t xml:space="preserve"> and </w:t>
      </w:r>
      <w:r w:rsidRPr="00A50E4D">
        <w:rPr>
          <w:rStyle w:val="Strong"/>
          <w:b w:val="0"/>
          <w:i/>
          <w:color w:val="000000"/>
          <w:shd w:val="clear" w:color="auto" w:fill="FFFFFF"/>
          <w:lang w:val="en-US"/>
        </w:rPr>
        <w:t>Case of Gudiel Álvarez et al. ("Diario Militar") v. Guatemala, supra</w:t>
      </w:r>
      <w:r w:rsidRPr="00A50E4D">
        <w:rPr>
          <w:i/>
          <w:spacing w:val="-4"/>
          <w:lang w:val="en-US"/>
        </w:rPr>
        <w:t xml:space="preserve">, </w:t>
      </w:r>
      <w:r w:rsidRPr="00A50E4D">
        <w:rPr>
          <w:spacing w:val="-4"/>
          <w:lang w:val="en-US"/>
        </w:rPr>
        <w:t>para. 376.</w:t>
      </w:r>
    </w:p>
  </w:footnote>
  <w:footnote w:id="480">
    <w:p w14:paraId="67CC2546" w14:textId="501B422C"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 xml:space="preserve">Receipts for travel expenses dated March 16, 2011, for each victim to attend the hearing held </w:t>
      </w:r>
      <w:r w:rsidRPr="00A50E4D">
        <w:rPr>
          <w:spacing w:val="-4"/>
          <w:lang w:val="en-US" w:bidi="en-US"/>
        </w:rPr>
        <w:t>at the Inter-American Commission</w:t>
      </w:r>
      <w:r w:rsidRPr="00A50E4D">
        <w:rPr>
          <w:spacing w:val="-4"/>
          <w:lang w:val="en-US"/>
        </w:rPr>
        <w:t xml:space="preserve"> in March </w:t>
      </w:r>
      <w:r w:rsidRPr="00A50E4D">
        <w:rPr>
          <w:spacing w:val="-4"/>
          <w:lang w:val="en-US" w:bidi="en-US"/>
        </w:rPr>
        <w:t>2011</w:t>
      </w:r>
      <w:r w:rsidRPr="00A50E4D">
        <w:rPr>
          <w:spacing w:val="-4"/>
          <w:lang w:val="en-US"/>
        </w:rPr>
        <w:t xml:space="preserve"> (evidence file, folios 5900 to 5903); invoices for accommodation at The Embassy Inn from March 21 to 27, 2011 (evidence file, folios 5904 and 5905); receipt from American Airlines dated March 8, 2011 (evidence file, folio 5906); invoice for accommodation at Carlyle Suites, Washington D.C. from March 21 to 27, 2012 (evidence file, folio 5909), and receipts for travel expenses of Adán Guillermo López Lone and Tirza del Carmen Flores Lanza dated March 20, 2012 (evidence file, folio 5911).</w:t>
      </w:r>
    </w:p>
  </w:footnote>
  <w:footnote w:id="481">
    <w:p w14:paraId="655686E7" w14:textId="3C5C3372" w:rsidR="007353B6" w:rsidRPr="00A50E4D" w:rsidRDefault="007353B6" w:rsidP="003E7115">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Invoice for the purchase of plane tickets in the name of Rubenia Galeano, Paula Velasquez, Adriana Orocu and Guillermo López Lone of March 3, 2012 (evidence file, folio 5908).</w:t>
      </w:r>
    </w:p>
  </w:footnote>
  <w:footnote w:id="482">
    <w:p w14:paraId="3E998842" w14:textId="0895D9BF"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 xml:space="preserve">Invoice from </w:t>
      </w:r>
      <w:r w:rsidRPr="00A50E4D">
        <w:rPr>
          <w:i/>
          <w:spacing w:val="-4"/>
          <w:lang w:val="en-US"/>
        </w:rPr>
        <w:t>Asesoría Legal Integrada</w:t>
      </w:r>
      <w:r w:rsidRPr="00A50E4D">
        <w:rPr>
          <w:spacing w:val="-4"/>
          <w:lang w:val="en-US"/>
        </w:rPr>
        <w:t xml:space="preserve"> dated January 8, 2015, for four affidavits and payment for forwarding them on the same date (merits file, folios 1688 and 1689); receipt for payment of three notarized statements dated January 7, 2014 (merits file, folio 1692). When calculating the dollar value of the amounts presented in lempiras, the Court used the exchange rate in force at the date of the invoice according to the table on the average cost of the dollar prepared by the Banco Central of Honduras.</w:t>
      </w:r>
    </w:p>
  </w:footnote>
  <w:footnote w:id="483">
    <w:p w14:paraId="230D33D4" w14:textId="1D23F993"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Invoice for sending documents by Fedex dated January 9, 2015 (merits file, folio 1693); receipt for payment of authentication of Julio Escoto’s signature (merits file, folio 1695), and UPS payment of January 9 and 10, 2015 (merits file, folios 1696 to 1698).</w:t>
      </w:r>
    </w:p>
  </w:footnote>
  <w:footnote w:id="484">
    <w:p w14:paraId="4C8A1C6A" w14:textId="2F45406F"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t>The representatives presented the invoice corresponding to the plane tickets for Luis Chévez and Lidia Galindo, Oduemi Arias, Tirza Flores, Adán López and Ramón Barrios (merits file, folios 1701 and 1702). They also presented the vouchers for payment of the airport and exit taxes (merits file, folios 1703 to 1711)</w:t>
      </w:r>
      <w:r w:rsidRPr="00A50E4D">
        <w:rPr>
          <w:i/>
          <w:spacing w:val="-4"/>
          <w:lang w:val="en-US"/>
        </w:rPr>
        <w:t>;</w:t>
      </w:r>
      <w:r w:rsidRPr="00A50E4D">
        <w:rPr>
          <w:spacing w:val="-4"/>
          <w:lang w:val="en-US"/>
        </w:rPr>
        <w:t xml:space="preserve"> invoice for accommodation at the</w:t>
      </w:r>
      <w:r w:rsidRPr="00A50E4D">
        <w:rPr>
          <w:i/>
          <w:spacing w:val="-4"/>
          <w:lang w:val="en-US"/>
        </w:rPr>
        <w:t xml:space="preserve"> </w:t>
      </w:r>
      <w:r w:rsidRPr="00A50E4D">
        <w:rPr>
          <w:spacing w:val="-4"/>
          <w:lang w:val="en-US"/>
        </w:rPr>
        <w:t xml:space="preserve">Hotel Casa Cambranes (merits file, folio 1712), vouchers for payment of per diems to </w:t>
      </w:r>
      <w:r w:rsidRPr="00A50E4D">
        <w:rPr>
          <w:spacing w:val="-4"/>
          <w:lang w:val="en-US" w:bidi="en-US"/>
        </w:rPr>
        <w:t>Oduemi Arias for six days to attend the public hearing; to Guillermo López Lone for nine days; to Tirza Flores Lanza for nine days; to Ramón Barrios for five days; to Luis Alonso Chévez for five days, and to Lidia Galindo for five days</w:t>
      </w:r>
      <w:r w:rsidRPr="00A50E4D">
        <w:rPr>
          <w:spacing w:val="-4"/>
          <w:lang w:val="en-US"/>
        </w:rPr>
        <w:t xml:space="preserve"> (merits file, folios 1713 to 1718).</w:t>
      </w:r>
    </w:p>
  </w:footnote>
  <w:footnote w:id="485">
    <w:p w14:paraId="6970E486" w14:textId="46B23AA0"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i/>
          <w:spacing w:val="-4"/>
          <w:lang w:val="en-US"/>
        </w:rPr>
        <w:tab/>
        <w:t xml:space="preserve">Cf. </w:t>
      </w:r>
      <w:r w:rsidRPr="00A50E4D">
        <w:rPr>
          <w:spacing w:val="-4"/>
          <w:lang w:val="en-US"/>
        </w:rPr>
        <w:t>CEJIL, payment of travel expenses, March 31, 2011 (evidence file, folio 5913); purchase of plane tickets San José – Washington, D.C. (evidence file, folio 5914); invoice for accommodation at Carlyle Suites, Washington, D.C. from March 21 to 29, 2011 (evidence file, folio 5915); payment of travel expenses dated March 29, 2012 (evidence file, folio 5926); purchase of plane tickets San José – Washington, D.C. (evidence file, folio 5929), and invoice for accommodation at Carlyle Suites, Washington, D.C. from March 21 to 29, 2012 (evidence file, folio 5930).</w:t>
      </w:r>
    </w:p>
  </w:footnote>
  <w:footnote w:id="486">
    <w:p w14:paraId="2AFBD69A" w14:textId="78C47057"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CEJIL, payment of travel expenses, accommodation, plane tickets, airport and exit taxes to Marcia Aguiluz for working trip to Honduras (evidence file, folios 5918 to 5921).</w:t>
      </w:r>
    </w:p>
  </w:footnote>
  <w:footnote w:id="487">
    <w:p w14:paraId="1A649755" w14:textId="70534A8F"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CEJIL, payment of travel expenses and accommodation to Marcia Aguiluz and payment of travel expenses, accommodation, plane tickets and exit taxes to Alfredo Ortega for trip to Honduras (evidence file, folios 5932 to 5936).</w:t>
      </w:r>
    </w:p>
  </w:footnote>
  <w:footnote w:id="488">
    <w:p w14:paraId="200E5300" w14:textId="754DA0F8"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Vouchers for photocopies from Centro de Fotocopiado Policromia S.A (evidence file, folio 5939 to 5941).</w:t>
      </w:r>
    </w:p>
  </w:footnote>
  <w:footnote w:id="489">
    <w:p w14:paraId="6092E68A" w14:textId="38A6A946"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i/>
          <w:spacing w:val="-4"/>
          <w:lang w:val="en-US"/>
        </w:rPr>
        <w:tab/>
        <w:t xml:space="preserve">Cf. </w:t>
      </w:r>
      <w:r w:rsidRPr="00A50E4D">
        <w:rPr>
          <w:spacing w:val="-4"/>
          <w:lang w:val="en-US"/>
        </w:rPr>
        <w:t>UPS invoices for forwarding the opinions of four expert witnesses (merits file, folios 1760 to 1768); receipt for official translation of one expert opinion (merits file, folio 1770); receipt for travel expenses for Antonio Maldonado dated January 30, 2015: plane tickets Panama – San José and accommodation (merits file, folios 1746 to 1749); receipt for travel expenses for Perfecto Andrés Ibáñez dated January 30, 2015: plane tickets Madrid – San José and accommodation (merits file, folios 1750 to 1753); receipt for travel expenses for Leandro Despouy dated February 1, 2015: plane tickets Buenos Aires – San José and accommodation (merits file, folios 1754 to 1758).</w:t>
      </w:r>
    </w:p>
  </w:footnote>
  <w:footnote w:id="490">
    <w:p w14:paraId="7EA3172B" w14:textId="44683304"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CEJIL payroll (evidence file, folios 5943 to 5956 and merits file, folios 1772 and 1773).</w:t>
      </w:r>
    </w:p>
  </w:footnote>
  <w:footnote w:id="491">
    <w:p w14:paraId="51BCC10F" w14:textId="36A4DCC2" w:rsidR="007353B6" w:rsidRPr="00A50E4D" w:rsidRDefault="007353B6" w:rsidP="006F7559">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spacing w:val="-4"/>
          <w:lang w:val="en-US"/>
        </w:rPr>
        <w:t>Receipts for CEJIL payments dated June 30, September 24, and November 22, 2014 (merits file, folios 1720, 1725 and 1730); plane tickets San Salvador – San Pedro Sula from September 24 to 28 and from November 22 to 27, 2014 (merits file, folios 1726, 1727, 1731 and 1732); receipt for payment from CEJIL for trip accompanying the victims to the public hearing before the Court from January 28 to February 5, 2015 (merits file, folio 1736); plane tickets San Salvador – San José and receipt for accommodation (merits file, folios 1737 to 1739); contract for professional services (merits file, folios 1741 and 1742), and payments for professional services (merits file, folios 1743 and 1744).</w:t>
      </w:r>
    </w:p>
  </w:footnote>
  <w:footnote w:id="492">
    <w:p w14:paraId="514740C7" w14:textId="7DCEBCAD" w:rsidR="007353B6" w:rsidRPr="00A50E4D" w:rsidRDefault="007353B6" w:rsidP="003E41F4">
      <w:pPr>
        <w:pStyle w:val="FootnoteText"/>
        <w:tabs>
          <w:tab w:val="left" w:pos="450"/>
        </w:tabs>
        <w:spacing w:before="120" w:after="120"/>
        <w:rPr>
          <w:spacing w:val="-4"/>
          <w:lang w:val="en-US"/>
        </w:rPr>
      </w:pPr>
      <w:r w:rsidRPr="00A50E4D">
        <w:rPr>
          <w:rStyle w:val="FootnoteReference"/>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rStyle w:val="Strong"/>
          <w:b w:val="0"/>
          <w:i/>
          <w:color w:val="000000"/>
          <w:shd w:val="clear" w:color="auto" w:fill="FFFFFF"/>
          <w:lang w:val="en-US"/>
        </w:rPr>
        <w:t>Case of J. v. Peru. Preliminary objection, merits, reparations and costs</w:t>
      </w:r>
      <w:r w:rsidRPr="00A50E4D">
        <w:rPr>
          <w:rStyle w:val="Strong"/>
          <w:b w:val="0"/>
          <w:color w:val="000000"/>
          <w:shd w:val="clear" w:color="auto" w:fill="FFFFFF"/>
          <w:lang w:val="en-US"/>
        </w:rPr>
        <w:t>. Judgment of November 27, 2013. Series C No. 275</w:t>
      </w:r>
      <w:r w:rsidRPr="00A50E4D">
        <w:rPr>
          <w:i/>
          <w:spacing w:val="-4"/>
          <w:lang w:val="en-US"/>
        </w:rPr>
        <w:t>,</w:t>
      </w:r>
      <w:r w:rsidRPr="00A50E4D">
        <w:rPr>
          <w:spacing w:val="-4"/>
          <w:lang w:val="en-US"/>
        </w:rPr>
        <w:t xml:space="preserve"> para. 422.</w:t>
      </w:r>
    </w:p>
  </w:footnote>
  <w:footnote w:id="493">
    <w:p w14:paraId="358CF473" w14:textId="6BD4B596" w:rsidR="007353B6" w:rsidRPr="001D48D1" w:rsidRDefault="007353B6" w:rsidP="003E41F4">
      <w:pPr>
        <w:pStyle w:val="FootnoteText"/>
        <w:tabs>
          <w:tab w:val="left" w:pos="450"/>
        </w:tabs>
        <w:spacing w:before="120" w:after="120"/>
        <w:rPr>
          <w:spacing w:val="-4"/>
          <w:lang w:val="en-US"/>
        </w:rPr>
      </w:pPr>
      <w:r w:rsidRPr="00A50E4D">
        <w:rPr>
          <w:rStyle w:val="FootnoteReference"/>
          <w:rFonts w:eastAsiaTheme="majorEastAsia"/>
          <w:spacing w:val="-4"/>
          <w:lang w:val="en-US"/>
        </w:rPr>
        <w:footnoteRef/>
      </w:r>
      <w:r w:rsidRPr="00A50E4D">
        <w:rPr>
          <w:spacing w:val="-4"/>
          <w:lang w:val="en-US"/>
        </w:rPr>
        <w:t xml:space="preserve"> </w:t>
      </w:r>
      <w:r w:rsidRPr="00A50E4D">
        <w:rPr>
          <w:spacing w:val="-4"/>
          <w:lang w:val="en-US"/>
        </w:rPr>
        <w:tab/>
      </w:r>
      <w:r w:rsidRPr="00A50E4D">
        <w:rPr>
          <w:i/>
          <w:spacing w:val="-4"/>
          <w:lang w:val="en-US"/>
        </w:rPr>
        <w:t xml:space="preserve">Cf. </w:t>
      </w:r>
      <w:r w:rsidRPr="00A50E4D">
        <w:rPr>
          <w:i/>
          <w:lang w:val="en-US"/>
        </w:rPr>
        <w:t>Case of Ibsen Cárdenas and Ibsen Peña v. Bolivia. Merits, reparations and costs.</w:t>
      </w:r>
      <w:r w:rsidRPr="00A50E4D">
        <w:rPr>
          <w:lang w:val="en-US"/>
        </w:rPr>
        <w:t xml:space="preserve"> Judgment of September 1, 2010. </w:t>
      </w:r>
      <w:r w:rsidRPr="00F25627">
        <w:rPr>
          <w:lang w:val="es-CR"/>
        </w:rPr>
        <w:t>Series C No. 217, para. 291</w:t>
      </w:r>
      <w:r w:rsidRPr="00F25627">
        <w:rPr>
          <w:spacing w:val="-4"/>
          <w:lang w:val="es-CR"/>
        </w:rPr>
        <w:t xml:space="preserve">, and </w:t>
      </w:r>
      <w:r w:rsidRPr="00F25627">
        <w:rPr>
          <w:i/>
          <w:color w:val="000000" w:themeColor="text1"/>
          <w:lang w:val="es-CR"/>
        </w:rPr>
        <w:t>Case of Gonzales Lluy et al. v. Ecuador, supra</w:t>
      </w:r>
      <w:r w:rsidRPr="00F25627">
        <w:rPr>
          <w:color w:val="000000" w:themeColor="text1"/>
          <w:lang w:val="es-CR"/>
        </w:rPr>
        <w:t xml:space="preserve">, para. </w:t>
      </w:r>
      <w:r w:rsidRPr="00A50E4D">
        <w:rPr>
          <w:color w:val="000000" w:themeColor="text1"/>
          <w:lang w:val="en-US"/>
        </w:rPr>
        <w:t>421.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2ACCC" w14:textId="77777777" w:rsidR="007353B6" w:rsidRDefault="007353B6"/>
  <w:p w14:paraId="1A1BD55E" w14:textId="77777777" w:rsidR="007353B6" w:rsidRDefault="007353B6" w:rsidP="00D157D7">
    <w:pP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A57BCB">
      <w:rPr>
        <w:rStyle w:val="PageNumber"/>
        <w:noProof/>
      </w:rPr>
      <w:t>105</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A1542C" w14:textId="77777777" w:rsidR="007353B6" w:rsidRDefault="007353B6">
    <w:pPr>
      <w:pStyle w:val="Header"/>
    </w:pPr>
  </w:p>
  <w:p w14:paraId="4E26F8D2" w14:textId="77777777" w:rsidR="007353B6" w:rsidRDefault="007353B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459DC"/>
    <w:multiLevelType w:val="hybridMultilevel"/>
    <w:tmpl w:val="EE967E50"/>
    <w:lvl w:ilvl="0" w:tplc="ABEE34EE">
      <w:start w:val="1"/>
      <w:numFmt w:val="lowerRoman"/>
      <w:lvlText w:val="(%1)"/>
      <w:lvlJc w:val="left"/>
      <w:pPr>
        <w:ind w:left="2138" w:hanging="720"/>
      </w:pPr>
      <w:rPr>
        <w:rFonts w:hint="default"/>
      </w:rPr>
    </w:lvl>
    <w:lvl w:ilvl="1" w:tplc="140A0019" w:tentative="1">
      <w:start w:val="1"/>
      <w:numFmt w:val="lowerLetter"/>
      <w:lvlText w:val="%2."/>
      <w:lvlJc w:val="left"/>
      <w:pPr>
        <w:ind w:left="2498" w:hanging="360"/>
      </w:pPr>
    </w:lvl>
    <w:lvl w:ilvl="2" w:tplc="140A001B" w:tentative="1">
      <w:start w:val="1"/>
      <w:numFmt w:val="lowerRoman"/>
      <w:lvlText w:val="%3."/>
      <w:lvlJc w:val="right"/>
      <w:pPr>
        <w:ind w:left="3218" w:hanging="180"/>
      </w:pPr>
    </w:lvl>
    <w:lvl w:ilvl="3" w:tplc="140A000F" w:tentative="1">
      <w:start w:val="1"/>
      <w:numFmt w:val="decimal"/>
      <w:lvlText w:val="%4."/>
      <w:lvlJc w:val="left"/>
      <w:pPr>
        <w:ind w:left="3938" w:hanging="360"/>
      </w:pPr>
    </w:lvl>
    <w:lvl w:ilvl="4" w:tplc="140A0019" w:tentative="1">
      <w:start w:val="1"/>
      <w:numFmt w:val="lowerLetter"/>
      <w:lvlText w:val="%5."/>
      <w:lvlJc w:val="left"/>
      <w:pPr>
        <w:ind w:left="4658" w:hanging="360"/>
      </w:pPr>
    </w:lvl>
    <w:lvl w:ilvl="5" w:tplc="140A001B" w:tentative="1">
      <w:start w:val="1"/>
      <w:numFmt w:val="lowerRoman"/>
      <w:lvlText w:val="%6."/>
      <w:lvlJc w:val="right"/>
      <w:pPr>
        <w:ind w:left="5378" w:hanging="180"/>
      </w:pPr>
    </w:lvl>
    <w:lvl w:ilvl="6" w:tplc="140A000F" w:tentative="1">
      <w:start w:val="1"/>
      <w:numFmt w:val="decimal"/>
      <w:lvlText w:val="%7."/>
      <w:lvlJc w:val="left"/>
      <w:pPr>
        <w:ind w:left="6098" w:hanging="360"/>
      </w:pPr>
    </w:lvl>
    <w:lvl w:ilvl="7" w:tplc="140A0019" w:tentative="1">
      <w:start w:val="1"/>
      <w:numFmt w:val="lowerLetter"/>
      <w:lvlText w:val="%8."/>
      <w:lvlJc w:val="left"/>
      <w:pPr>
        <w:ind w:left="6818" w:hanging="360"/>
      </w:pPr>
    </w:lvl>
    <w:lvl w:ilvl="8" w:tplc="140A001B" w:tentative="1">
      <w:start w:val="1"/>
      <w:numFmt w:val="lowerRoman"/>
      <w:lvlText w:val="%9."/>
      <w:lvlJc w:val="right"/>
      <w:pPr>
        <w:ind w:left="7538" w:hanging="180"/>
      </w:pPr>
    </w:lvl>
  </w:abstractNum>
  <w:abstractNum w:abstractNumId="1">
    <w:nsid w:val="023F6B66"/>
    <w:multiLevelType w:val="hybridMultilevel"/>
    <w:tmpl w:val="6A6E934C"/>
    <w:lvl w:ilvl="0" w:tplc="6D5CE7FA">
      <w:start w:val="1"/>
      <w:numFmt w:val="decimal"/>
      <w:pStyle w:val="PrrafodeSentencia"/>
      <w:lvlText w:val="%1."/>
      <w:lvlJc w:val="left"/>
      <w:pPr>
        <w:ind w:left="5130" w:hanging="360"/>
      </w:pPr>
      <w:rPr>
        <w:rFonts w:hint="default"/>
        <w:b w:val="0"/>
        <w:i w:val="0"/>
        <w:strike w:val="0"/>
        <w:color w:val="auto"/>
        <w:sz w:val="20"/>
        <w:szCs w:val="20"/>
        <w:vertAlign w:val="baseline"/>
        <w:lang w:val="es-CR"/>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6F641DA"/>
    <w:multiLevelType w:val="hybridMultilevel"/>
    <w:tmpl w:val="9B6C270A"/>
    <w:lvl w:ilvl="0" w:tplc="21C87E52">
      <w:start w:val="1"/>
      <w:numFmt w:val="upperLetter"/>
      <w:lvlText w:val="%1."/>
      <w:lvlJc w:val="left"/>
      <w:pPr>
        <w:ind w:left="930" w:hanging="360"/>
      </w:pPr>
      <w:rPr>
        <w:rFonts w:hint="default"/>
      </w:rPr>
    </w:lvl>
    <w:lvl w:ilvl="1" w:tplc="140A0019" w:tentative="1">
      <w:start w:val="1"/>
      <w:numFmt w:val="lowerLetter"/>
      <w:lvlText w:val="%2."/>
      <w:lvlJc w:val="left"/>
      <w:pPr>
        <w:ind w:left="1650" w:hanging="360"/>
      </w:pPr>
    </w:lvl>
    <w:lvl w:ilvl="2" w:tplc="140A001B" w:tentative="1">
      <w:start w:val="1"/>
      <w:numFmt w:val="lowerRoman"/>
      <w:lvlText w:val="%3."/>
      <w:lvlJc w:val="right"/>
      <w:pPr>
        <w:ind w:left="2370" w:hanging="180"/>
      </w:pPr>
    </w:lvl>
    <w:lvl w:ilvl="3" w:tplc="140A000F" w:tentative="1">
      <w:start w:val="1"/>
      <w:numFmt w:val="decimal"/>
      <w:lvlText w:val="%4."/>
      <w:lvlJc w:val="left"/>
      <w:pPr>
        <w:ind w:left="3090" w:hanging="360"/>
      </w:pPr>
    </w:lvl>
    <w:lvl w:ilvl="4" w:tplc="140A0019" w:tentative="1">
      <w:start w:val="1"/>
      <w:numFmt w:val="lowerLetter"/>
      <w:lvlText w:val="%5."/>
      <w:lvlJc w:val="left"/>
      <w:pPr>
        <w:ind w:left="3810" w:hanging="360"/>
      </w:pPr>
    </w:lvl>
    <w:lvl w:ilvl="5" w:tplc="140A001B" w:tentative="1">
      <w:start w:val="1"/>
      <w:numFmt w:val="lowerRoman"/>
      <w:lvlText w:val="%6."/>
      <w:lvlJc w:val="right"/>
      <w:pPr>
        <w:ind w:left="4530" w:hanging="180"/>
      </w:pPr>
    </w:lvl>
    <w:lvl w:ilvl="6" w:tplc="140A000F" w:tentative="1">
      <w:start w:val="1"/>
      <w:numFmt w:val="decimal"/>
      <w:lvlText w:val="%7."/>
      <w:lvlJc w:val="left"/>
      <w:pPr>
        <w:ind w:left="5250" w:hanging="360"/>
      </w:pPr>
    </w:lvl>
    <w:lvl w:ilvl="7" w:tplc="140A0019" w:tentative="1">
      <w:start w:val="1"/>
      <w:numFmt w:val="lowerLetter"/>
      <w:lvlText w:val="%8."/>
      <w:lvlJc w:val="left"/>
      <w:pPr>
        <w:ind w:left="5970" w:hanging="360"/>
      </w:pPr>
    </w:lvl>
    <w:lvl w:ilvl="8" w:tplc="140A001B" w:tentative="1">
      <w:start w:val="1"/>
      <w:numFmt w:val="lowerRoman"/>
      <w:lvlText w:val="%9."/>
      <w:lvlJc w:val="right"/>
      <w:pPr>
        <w:ind w:left="6690" w:hanging="180"/>
      </w:pPr>
    </w:lvl>
  </w:abstractNum>
  <w:abstractNum w:abstractNumId="3">
    <w:nsid w:val="2A2E7445"/>
    <w:multiLevelType w:val="hybridMultilevel"/>
    <w:tmpl w:val="2C8EA0D2"/>
    <w:lvl w:ilvl="0" w:tplc="33329696">
      <w:start w:val="1"/>
      <w:numFmt w:val="bullet"/>
      <w:lvlText w:val=""/>
      <w:lvlJc w:val="left"/>
      <w:pPr>
        <w:ind w:left="1500" w:hanging="360"/>
      </w:pPr>
      <w:rPr>
        <w:rFonts w:ascii="Symbol" w:hAnsi="Symbol" w:hint="default"/>
      </w:rPr>
    </w:lvl>
    <w:lvl w:ilvl="1" w:tplc="140A0019">
      <w:start w:val="1"/>
      <w:numFmt w:val="bullet"/>
      <w:lvlText w:val="­"/>
      <w:lvlJc w:val="left"/>
      <w:pPr>
        <w:ind w:left="2220" w:hanging="360"/>
      </w:pPr>
      <w:rPr>
        <w:rFonts w:ascii="Simplified Arabic Fixed" w:hAnsi="Simplified Arabic Fixed" w:hint="default"/>
      </w:rPr>
    </w:lvl>
    <w:lvl w:ilvl="2" w:tplc="140A001B" w:tentative="1">
      <w:start w:val="1"/>
      <w:numFmt w:val="bullet"/>
      <w:lvlText w:val=""/>
      <w:lvlJc w:val="left"/>
      <w:pPr>
        <w:ind w:left="2940" w:hanging="360"/>
      </w:pPr>
      <w:rPr>
        <w:rFonts w:ascii="Wingdings" w:hAnsi="Wingdings" w:hint="default"/>
      </w:rPr>
    </w:lvl>
    <w:lvl w:ilvl="3" w:tplc="140A000F" w:tentative="1">
      <w:start w:val="1"/>
      <w:numFmt w:val="bullet"/>
      <w:lvlText w:val=""/>
      <w:lvlJc w:val="left"/>
      <w:pPr>
        <w:ind w:left="3660" w:hanging="360"/>
      </w:pPr>
      <w:rPr>
        <w:rFonts w:ascii="Symbol" w:hAnsi="Symbol" w:hint="default"/>
      </w:rPr>
    </w:lvl>
    <w:lvl w:ilvl="4" w:tplc="140A0019" w:tentative="1">
      <w:start w:val="1"/>
      <w:numFmt w:val="bullet"/>
      <w:lvlText w:val="o"/>
      <w:lvlJc w:val="left"/>
      <w:pPr>
        <w:ind w:left="4380" w:hanging="360"/>
      </w:pPr>
      <w:rPr>
        <w:rFonts w:ascii="Courier New" w:hAnsi="Courier New" w:cs="Courier New" w:hint="default"/>
      </w:rPr>
    </w:lvl>
    <w:lvl w:ilvl="5" w:tplc="140A001B" w:tentative="1">
      <w:start w:val="1"/>
      <w:numFmt w:val="bullet"/>
      <w:lvlText w:val=""/>
      <w:lvlJc w:val="left"/>
      <w:pPr>
        <w:ind w:left="5100" w:hanging="360"/>
      </w:pPr>
      <w:rPr>
        <w:rFonts w:ascii="Wingdings" w:hAnsi="Wingdings" w:hint="default"/>
      </w:rPr>
    </w:lvl>
    <w:lvl w:ilvl="6" w:tplc="140A000F" w:tentative="1">
      <w:start w:val="1"/>
      <w:numFmt w:val="bullet"/>
      <w:lvlText w:val=""/>
      <w:lvlJc w:val="left"/>
      <w:pPr>
        <w:ind w:left="5820" w:hanging="360"/>
      </w:pPr>
      <w:rPr>
        <w:rFonts w:ascii="Symbol" w:hAnsi="Symbol" w:hint="default"/>
      </w:rPr>
    </w:lvl>
    <w:lvl w:ilvl="7" w:tplc="140A0019" w:tentative="1">
      <w:start w:val="1"/>
      <w:numFmt w:val="bullet"/>
      <w:lvlText w:val="o"/>
      <w:lvlJc w:val="left"/>
      <w:pPr>
        <w:ind w:left="6540" w:hanging="360"/>
      </w:pPr>
      <w:rPr>
        <w:rFonts w:ascii="Courier New" w:hAnsi="Courier New" w:cs="Courier New" w:hint="default"/>
      </w:rPr>
    </w:lvl>
    <w:lvl w:ilvl="8" w:tplc="140A001B" w:tentative="1">
      <w:start w:val="1"/>
      <w:numFmt w:val="bullet"/>
      <w:lvlText w:val=""/>
      <w:lvlJc w:val="left"/>
      <w:pPr>
        <w:ind w:left="7260" w:hanging="360"/>
      </w:pPr>
      <w:rPr>
        <w:rFonts w:ascii="Wingdings" w:hAnsi="Wingdings" w:hint="default"/>
      </w:rPr>
    </w:lvl>
  </w:abstractNum>
  <w:abstractNum w:abstractNumId="4">
    <w:nsid w:val="2B494BD8"/>
    <w:multiLevelType w:val="hybridMultilevel"/>
    <w:tmpl w:val="A2B47C3C"/>
    <w:lvl w:ilvl="0" w:tplc="ADB0DE42">
      <w:start w:val="1"/>
      <w:numFmt w:val="decimal"/>
      <w:lvlText w:val="%1."/>
      <w:lvlJc w:val="left"/>
      <w:pPr>
        <w:tabs>
          <w:tab w:val="num" w:pos="2160"/>
        </w:tabs>
        <w:ind w:left="2160" w:hanging="1440"/>
      </w:pPr>
      <w:rPr>
        <w:lang w:val="es-E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D817BBB"/>
    <w:multiLevelType w:val="hybridMultilevel"/>
    <w:tmpl w:val="C0147802"/>
    <w:lvl w:ilvl="0" w:tplc="65828F86">
      <w:start w:val="1"/>
      <w:numFmt w:val="decimal"/>
      <w:lvlText w:val="%1."/>
      <w:lvlJc w:val="left"/>
      <w:pPr>
        <w:tabs>
          <w:tab w:val="num" w:pos="567"/>
        </w:tabs>
        <w:ind w:left="0" w:firstLine="0"/>
      </w:pPr>
      <w:rPr>
        <w:rFonts w:ascii="Verdana" w:eastAsia="Times New Roman" w:hAnsi="Verdana" w:hint="default"/>
        <w:b w:val="0"/>
        <w:bCs w:val="0"/>
        <w:i w:val="0"/>
        <w:iCs w:val="0"/>
        <w:strike w:val="0"/>
        <w:dstrike w:val="0"/>
        <w:color w:val="auto"/>
        <w:sz w:val="20"/>
        <w:szCs w:val="20"/>
        <w:u w:val="none"/>
        <w:effect w:val="none"/>
        <w:lang w:val="es-ES_tradnl"/>
      </w:rPr>
    </w:lvl>
    <w:lvl w:ilvl="1" w:tplc="7C2C13CE">
      <w:start w:val="1"/>
      <w:numFmt w:val="lowerLetter"/>
      <w:lvlText w:val="%2."/>
      <w:lvlJc w:val="left"/>
      <w:pPr>
        <w:ind w:left="1440" w:hanging="360"/>
      </w:pPr>
    </w:lvl>
    <w:lvl w:ilvl="2" w:tplc="841219D4">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17D5093"/>
    <w:multiLevelType w:val="hybridMultilevel"/>
    <w:tmpl w:val="2CC6FC6C"/>
    <w:lvl w:ilvl="0" w:tplc="140A0001">
      <w:start w:val="1"/>
      <w:numFmt w:val="lowerRoman"/>
      <w:lvlText w:val="%1."/>
      <w:lvlJc w:val="right"/>
      <w:pPr>
        <w:ind w:left="1428" w:hanging="360"/>
      </w:pPr>
    </w:lvl>
    <w:lvl w:ilvl="1" w:tplc="24ECE532" w:tentative="1">
      <w:start w:val="1"/>
      <w:numFmt w:val="lowerLetter"/>
      <w:lvlText w:val="%2."/>
      <w:lvlJc w:val="left"/>
      <w:pPr>
        <w:ind w:left="2148" w:hanging="360"/>
      </w:pPr>
    </w:lvl>
    <w:lvl w:ilvl="2" w:tplc="140A0005" w:tentative="1">
      <w:start w:val="1"/>
      <w:numFmt w:val="lowerRoman"/>
      <w:lvlText w:val="%3."/>
      <w:lvlJc w:val="right"/>
      <w:pPr>
        <w:ind w:left="2868" w:hanging="180"/>
      </w:pPr>
    </w:lvl>
    <w:lvl w:ilvl="3" w:tplc="140A0001" w:tentative="1">
      <w:start w:val="1"/>
      <w:numFmt w:val="decimal"/>
      <w:lvlText w:val="%4."/>
      <w:lvlJc w:val="left"/>
      <w:pPr>
        <w:ind w:left="3588" w:hanging="360"/>
      </w:pPr>
    </w:lvl>
    <w:lvl w:ilvl="4" w:tplc="140A0003" w:tentative="1">
      <w:start w:val="1"/>
      <w:numFmt w:val="lowerLetter"/>
      <w:lvlText w:val="%5."/>
      <w:lvlJc w:val="left"/>
      <w:pPr>
        <w:ind w:left="4308" w:hanging="360"/>
      </w:pPr>
    </w:lvl>
    <w:lvl w:ilvl="5" w:tplc="140A0005" w:tentative="1">
      <w:start w:val="1"/>
      <w:numFmt w:val="lowerRoman"/>
      <w:lvlText w:val="%6."/>
      <w:lvlJc w:val="right"/>
      <w:pPr>
        <w:ind w:left="5028" w:hanging="180"/>
      </w:pPr>
    </w:lvl>
    <w:lvl w:ilvl="6" w:tplc="140A0001" w:tentative="1">
      <w:start w:val="1"/>
      <w:numFmt w:val="decimal"/>
      <w:lvlText w:val="%7."/>
      <w:lvlJc w:val="left"/>
      <w:pPr>
        <w:ind w:left="5748" w:hanging="360"/>
      </w:pPr>
    </w:lvl>
    <w:lvl w:ilvl="7" w:tplc="140A0003" w:tentative="1">
      <w:start w:val="1"/>
      <w:numFmt w:val="lowerLetter"/>
      <w:lvlText w:val="%8."/>
      <w:lvlJc w:val="left"/>
      <w:pPr>
        <w:ind w:left="6468" w:hanging="360"/>
      </w:pPr>
    </w:lvl>
    <w:lvl w:ilvl="8" w:tplc="140A0005" w:tentative="1">
      <w:start w:val="1"/>
      <w:numFmt w:val="lowerRoman"/>
      <w:lvlText w:val="%9."/>
      <w:lvlJc w:val="right"/>
      <w:pPr>
        <w:ind w:left="7188" w:hanging="180"/>
      </w:pPr>
    </w:lvl>
  </w:abstractNum>
  <w:abstractNum w:abstractNumId="7">
    <w:nsid w:val="3D157CFD"/>
    <w:multiLevelType w:val="hybridMultilevel"/>
    <w:tmpl w:val="3BB05504"/>
    <w:lvl w:ilvl="0" w:tplc="2CEA5F3E">
      <w:start w:val="3"/>
      <w:numFmt w:val="upperLetter"/>
      <w:lvlText w:val="%1."/>
      <w:lvlJc w:val="left"/>
      <w:pPr>
        <w:ind w:left="930" w:hanging="360"/>
      </w:pPr>
      <w:rPr>
        <w:rFonts w:hint="default"/>
      </w:rPr>
    </w:lvl>
    <w:lvl w:ilvl="1" w:tplc="140A0019" w:tentative="1">
      <w:start w:val="1"/>
      <w:numFmt w:val="lowerLetter"/>
      <w:lvlText w:val="%2."/>
      <w:lvlJc w:val="left"/>
      <w:pPr>
        <w:ind w:left="1650" w:hanging="360"/>
      </w:pPr>
    </w:lvl>
    <w:lvl w:ilvl="2" w:tplc="140A001B" w:tentative="1">
      <w:start w:val="1"/>
      <w:numFmt w:val="lowerRoman"/>
      <w:lvlText w:val="%3."/>
      <w:lvlJc w:val="right"/>
      <w:pPr>
        <w:ind w:left="2370" w:hanging="180"/>
      </w:pPr>
    </w:lvl>
    <w:lvl w:ilvl="3" w:tplc="140A000F" w:tentative="1">
      <w:start w:val="1"/>
      <w:numFmt w:val="decimal"/>
      <w:lvlText w:val="%4."/>
      <w:lvlJc w:val="left"/>
      <w:pPr>
        <w:ind w:left="3090" w:hanging="360"/>
      </w:pPr>
    </w:lvl>
    <w:lvl w:ilvl="4" w:tplc="140A0019" w:tentative="1">
      <w:start w:val="1"/>
      <w:numFmt w:val="lowerLetter"/>
      <w:lvlText w:val="%5."/>
      <w:lvlJc w:val="left"/>
      <w:pPr>
        <w:ind w:left="3810" w:hanging="360"/>
      </w:pPr>
    </w:lvl>
    <w:lvl w:ilvl="5" w:tplc="140A001B" w:tentative="1">
      <w:start w:val="1"/>
      <w:numFmt w:val="lowerRoman"/>
      <w:lvlText w:val="%6."/>
      <w:lvlJc w:val="right"/>
      <w:pPr>
        <w:ind w:left="4530" w:hanging="180"/>
      </w:pPr>
    </w:lvl>
    <w:lvl w:ilvl="6" w:tplc="140A000F" w:tentative="1">
      <w:start w:val="1"/>
      <w:numFmt w:val="decimal"/>
      <w:lvlText w:val="%7."/>
      <w:lvlJc w:val="left"/>
      <w:pPr>
        <w:ind w:left="5250" w:hanging="360"/>
      </w:pPr>
    </w:lvl>
    <w:lvl w:ilvl="7" w:tplc="140A0019" w:tentative="1">
      <w:start w:val="1"/>
      <w:numFmt w:val="lowerLetter"/>
      <w:lvlText w:val="%8."/>
      <w:lvlJc w:val="left"/>
      <w:pPr>
        <w:ind w:left="5970" w:hanging="360"/>
      </w:pPr>
    </w:lvl>
    <w:lvl w:ilvl="8" w:tplc="140A001B" w:tentative="1">
      <w:start w:val="1"/>
      <w:numFmt w:val="lowerRoman"/>
      <w:lvlText w:val="%9."/>
      <w:lvlJc w:val="right"/>
      <w:pPr>
        <w:ind w:left="6690" w:hanging="180"/>
      </w:pPr>
    </w:lvl>
  </w:abstractNum>
  <w:abstractNum w:abstractNumId="8">
    <w:nsid w:val="51FE496F"/>
    <w:multiLevelType w:val="hybridMultilevel"/>
    <w:tmpl w:val="5B6EDE58"/>
    <w:lvl w:ilvl="0" w:tplc="140A0015">
      <w:start w:val="1"/>
      <w:numFmt w:val="upperLetter"/>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nsid w:val="53DC78DD"/>
    <w:multiLevelType w:val="hybridMultilevel"/>
    <w:tmpl w:val="1B3E88AC"/>
    <w:lvl w:ilvl="0" w:tplc="FB4AC918">
      <w:start w:val="1"/>
      <w:numFmt w:val="decimal"/>
      <w:lvlText w:val="%1."/>
      <w:lvlJc w:val="left"/>
      <w:pPr>
        <w:tabs>
          <w:tab w:val="num" w:pos="720"/>
        </w:tabs>
        <w:ind w:left="720" w:hanging="360"/>
      </w:pPr>
      <w:rPr>
        <w:rFonts w:hint="default"/>
        <w:b w:val="0"/>
        <w:lang w:val="es-EC"/>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54B97438"/>
    <w:multiLevelType w:val="hybridMultilevel"/>
    <w:tmpl w:val="7ABE6172"/>
    <w:lvl w:ilvl="0" w:tplc="CE0413D6">
      <w:start w:val="1"/>
      <w:numFmt w:val="lowerRoman"/>
      <w:lvlText w:val="(%1)"/>
      <w:lvlJc w:val="left"/>
      <w:pPr>
        <w:ind w:left="1440" w:hanging="72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11">
    <w:nsid w:val="5CD06D7B"/>
    <w:multiLevelType w:val="hybridMultilevel"/>
    <w:tmpl w:val="9B348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0A55B42"/>
    <w:multiLevelType w:val="hybridMultilevel"/>
    <w:tmpl w:val="5964DE5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nsid w:val="615D6ECD"/>
    <w:multiLevelType w:val="hybridMultilevel"/>
    <w:tmpl w:val="20D8447E"/>
    <w:lvl w:ilvl="0" w:tplc="2968E114">
      <w:start w:val="1"/>
      <w:numFmt w:val="lowerLetter"/>
      <w:lvlText w:val="%1)"/>
      <w:lvlJc w:val="left"/>
      <w:pPr>
        <w:ind w:left="1080" w:hanging="360"/>
      </w:pPr>
      <w:rPr>
        <w:rFonts w:ascii="Verdana" w:hAnsi="Verdana" w:cs="Verdana" w:hint="default"/>
        <w:sz w:val="20"/>
        <w:szCs w:val="20"/>
      </w:rPr>
    </w:lvl>
    <w:lvl w:ilvl="1" w:tplc="140A0019">
      <w:start w:val="1"/>
      <w:numFmt w:val="decimal"/>
      <w:pStyle w:val="ListParagraph"/>
      <w:lvlText w:val="%2."/>
      <w:lvlJc w:val="left"/>
      <w:pPr>
        <w:tabs>
          <w:tab w:val="num" w:pos="0"/>
        </w:tabs>
      </w:pPr>
      <w:rPr>
        <w:rFonts w:hint="default"/>
        <w:b w:val="0"/>
        <w:bCs w:val="0"/>
        <w:color w:val="auto"/>
        <w:sz w:val="20"/>
        <w:szCs w:val="20"/>
        <w:lang w:val="es-MX"/>
      </w:rPr>
    </w:lvl>
    <w:lvl w:ilvl="2" w:tplc="140A001B">
      <w:start w:val="1"/>
      <w:numFmt w:val="lowerLetter"/>
      <w:lvlText w:val="%3)"/>
      <w:lvlJc w:val="left"/>
      <w:pPr>
        <w:ind w:left="2700" w:hanging="360"/>
      </w:pPr>
      <w:rPr>
        <w:rFonts w:ascii="Verdana" w:hAnsi="Verdana" w:cs="Verdana" w:hint="default"/>
        <w:b w:val="0"/>
        <w:bCs w:val="0"/>
        <w:sz w:val="20"/>
        <w:szCs w:val="20"/>
      </w:rPr>
    </w:lvl>
    <w:lvl w:ilvl="3" w:tplc="140A000F">
      <w:start w:val="1"/>
      <w:numFmt w:val="decimal"/>
      <w:lvlText w:val="%4."/>
      <w:lvlJc w:val="left"/>
      <w:pPr>
        <w:ind w:left="3240" w:hanging="360"/>
      </w:pPr>
    </w:lvl>
    <w:lvl w:ilvl="4" w:tplc="140A0019">
      <w:start w:val="1"/>
      <w:numFmt w:val="lowerLetter"/>
      <w:lvlText w:val="%5."/>
      <w:lvlJc w:val="left"/>
      <w:pPr>
        <w:ind w:left="3960" w:hanging="360"/>
      </w:pPr>
    </w:lvl>
    <w:lvl w:ilvl="5" w:tplc="140A001B">
      <w:start w:val="1"/>
      <w:numFmt w:val="lowerRoman"/>
      <w:lvlText w:val="%6."/>
      <w:lvlJc w:val="right"/>
      <w:pPr>
        <w:ind w:left="4680" w:hanging="180"/>
      </w:pPr>
    </w:lvl>
    <w:lvl w:ilvl="6" w:tplc="140A000F">
      <w:start w:val="1"/>
      <w:numFmt w:val="decimal"/>
      <w:lvlText w:val="%7."/>
      <w:lvlJc w:val="left"/>
      <w:pPr>
        <w:ind w:left="5400" w:hanging="360"/>
      </w:pPr>
    </w:lvl>
    <w:lvl w:ilvl="7" w:tplc="140A0019">
      <w:start w:val="1"/>
      <w:numFmt w:val="lowerLetter"/>
      <w:lvlText w:val="%8."/>
      <w:lvlJc w:val="left"/>
      <w:pPr>
        <w:ind w:left="6120" w:hanging="360"/>
      </w:pPr>
    </w:lvl>
    <w:lvl w:ilvl="8" w:tplc="140A001B">
      <w:start w:val="1"/>
      <w:numFmt w:val="lowerRoman"/>
      <w:lvlText w:val="%9."/>
      <w:lvlJc w:val="right"/>
      <w:pPr>
        <w:ind w:left="6840" w:hanging="180"/>
      </w:pPr>
    </w:lvl>
  </w:abstractNum>
  <w:abstractNum w:abstractNumId="14">
    <w:nsid w:val="66BE5E6A"/>
    <w:multiLevelType w:val="hybridMultilevel"/>
    <w:tmpl w:val="99A4964C"/>
    <w:lvl w:ilvl="0" w:tplc="B95E0210">
      <w:start w:val="1"/>
      <w:numFmt w:val="decimal"/>
      <w:lvlText w:val="%1."/>
      <w:lvlJc w:val="left"/>
      <w:pPr>
        <w:tabs>
          <w:tab w:val="num" w:pos="72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67F0346A"/>
    <w:multiLevelType w:val="hybridMultilevel"/>
    <w:tmpl w:val="B966081A"/>
    <w:lvl w:ilvl="0" w:tplc="140A0001">
      <w:start w:val="1"/>
      <w:numFmt w:val="bullet"/>
      <w:lvlText w:val=""/>
      <w:lvlJc w:val="left"/>
      <w:pPr>
        <w:ind w:left="1428" w:hanging="360"/>
      </w:pPr>
      <w:rPr>
        <w:rFonts w:ascii="Symbol" w:hAnsi="Symbol" w:hint="default"/>
      </w:rPr>
    </w:lvl>
    <w:lvl w:ilvl="1" w:tplc="140A0003" w:tentative="1">
      <w:start w:val="1"/>
      <w:numFmt w:val="bullet"/>
      <w:lvlText w:val="o"/>
      <w:lvlJc w:val="left"/>
      <w:pPr>
        <w:ind w:left="2148" w:hanging="360"/>
      </w:pPr>
      <w:rPr>
        <w:rFonts w:ascii="Courier New" w:hAnsi="Courier New" w:cs="Courier New" w:hint="default"/>
      </w:rPr>
    </w:lvl>
    <w:lvl w:ilvl="2" w:tplc="140A0005" w:tentative="1">
      <w:start w:val="1"/>
      <w:numFmt w:val="bullet"/>
      <w:lvlText w:val=""/>
      <w:lvlJc w:val="left"/>
      <w:pPr>
        <w:ind w:left="2868" w:hanging="360"/>
      </w:pPr>
      <w:rPr>
        <w:rFonts w:ascii="Wingdings" w:hAnsi="Wingdings" w:hint="default"/>
      </w:rPr>
    </w:lvl>
    <w:lvl w:ilvl="3" w:tplc="140A0001" w:tentative="1">
      <w:start w:val="1"/>
      <w:numFmt w:val="bullet"/>
      <w:lvlText w:val=""/>
      <w:lvlJc w:val="left"/>
      <w:pPr>
        <w:ind w:left="3588" w:hanging="360"/>
      </w:pPr>
      <w:rPr>
        <w:rFonts w:ascii="Symbol" w:hAnsi="Symbol" w:hint="default"/>
      </w:rPr>
    </w:lvl>
    <w:lvl w:ilvl="4" w:tplc="140A0003" w:tentative="1">
      <w:start w:val="1"/>
      <w:numFmt w:val="bullet"/>
      <w:lvlText w:val="o"/>
      <w:lvlJc w:val="left"/>
      <w:pPr>
        <w:ind w:left="4308" w:hanging="360"/>
      </w:pPr>
      <w:rPr>
        <w:rFonts w:ascii="Courier New" w:hAnsi="Courier New" w:cs="Courier New" w:hint="default"/>
      </w:rPr>
    </w:lvl>
    <w:lvl w:ilvl="5" w:tplc="140A0005" w:tentative="1">
      <w:start w:val="1"/>
      <w:numFmt w:val="bullet"/>
      <w:lvlText w:val=""/>
      <w:lvlJc w:val="left"/>
      <w:pPr>
        <w:ind w:left="5028" w:hanging="360"/>
      </w:pPr>
      <w:rPr>
        <w:rFonts w:ascii="Wingdings" w:hAnsi="Wingdings" w:hint="default"/>
      </w:rPr>
    </w:lvl>
    <w:lvl w:ilvl="6" w:tplc="140A0001" w:tentative="1">
      <w:start w:val="1"/>
      <w:numFmt w:val="bullet"/>
      <w:lvlText w:val=""/>
      <w:lvlJc w:val="left"/>
      <w:pPr>
        <w:ind w:left="5748" w:hanging="360"/>
      </w:pPr>
      <w:rPr>
        <w:rFonts w:ascii="Symbol" w:hAnsi="Symbol" w:hint="default"/>
      </w:rPr>
    </w:lvl>
    <w:lvl w:ilvl="7" w:tplc="140A0003" w:tentative="1">
      <w:start w:val="1"/>
      <w:numFmt w:val="bullet"/>
      <w:lvlText w:val="o"/>
      <w:lvlJc w:val="left"/>
      <w:pPr>
        <w:ind w:left="6468" w:hanging="360"/>
      </w:pPr>
      <w:rPr>
        <w:rFonts w:ascii="Courier New" w:hAnsi="Courier New" w:cs="Courier New" w:hint="default"/>
      </w:rPr>
    </w:lvl>
    <w:lvl w:ilvl="8" w:tplc="140A0005" w:tentative="1">
      <w:start w:val="1"/>
      <w:numFmt w:val="bullet"/>
      <w:lvlText w:val=""/>
      <w:lvlJc w:val="left"/>
      <w:pPr>
        <w:ind w:left="7188" w:hanging="360"/>
      </w:pPr>
      <w:rPr>
        <w:rFonts w:ascii="Wingdings" w:hAnsi="Wingdings" w:hint="default"/>
      </w:rPr>
    </w:lvl>
  </w:abstractNum>
  <w:abstractNum w:abstractNumId="16">
    <w:nsid w:val="6CB41243"/>
    <w:multiLevelType w:val="hybridMultilevel"/>
    <w:tmpl w:val="78FA6E02"/>
    <w:lvl w:ilvl="0" w:tplc="532AFFF2">
      <w:start w:val="5"/>
      <w:numFmt w:val="bullet"/>
      <w:lvlText w:val=""/>
      <w:lvlJc w:val="left"/>
      <w:pPr>
        <w:ind w:left="720" w:hanging="360"/>
      </w:pPr>
      <w:rPr>
        <w:rFonts w:ascii="Symbol" w:eastAsia="Calibri" w:hAnsi="Symbol" w:cs="Calibr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7">
    <w:nsid w:val="7A7D511C"/>
    <w:multiLevelType w:val="hybridMultilevel"/>
    <w:tmpl w:val="0DA6EDF0"/>
    <w:lvl w:ilvl="0" w:tplc="50A65828">
      <w:start w:val="1"/>
      <w:numFmt w:val="decimal"/>
      <w:lvlText w:val="%1."/>
      <w:lvlJc w:val="left"/>
      <w:pPr>
        <w:ind w:left="720" w:hanging="360"/>
      </w:pPr>
      <w:rPr>
        <w:rFonts w:ascii="Verdana" w:hAnsi="Verdana" w:hint="default"/>
        <w:b w:val="0"/>
        <w:lang w:val="es-MX"/>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nsid w:val="7C116B2D"/>
    <w:multiLevelType w:val="hybridMultilevel"/>
    <w:tmpl w:val="E4BA6C0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nsid w:val="7CE64D32"/>
    <w:multiLevelType w:val="hybridMultilevel"/>
    <w:tmpl w:val="F84AD750"/>
    <w:lvl w:ilvl="0" w:tplc="93EAE40E">
      <w:start w:val="1"/>
      <w:numFmt w:val="decimal"/>
      <w:lvlText w:val="%1."/>
      <w:lvlJc w:val="left"/>
      <w:pPr>
        <w:tabs>
          <w:tab w:val="num" w:pos="11028"/>
        </w:tabs>
      </w:pPr>
      <w:rPr>
        <w:rFonts w:ascii="Verdana" w:eastAsia="Times New Roman" w:hAnsi="Verdana"/>
        <w:b w:val="0"/>
        <w:bCs w:val="0"/>
        <w:i w:val="0"/>
        <w:iCs w:val="0"/>
        <w:strike w:val="0"/>
        <w:color w:val="auto"/>
        <w:sz w:val="20"/>
        <w:szCs w:val="20"/>
        <w:lang w:val="es-MX"/>
      </w:rPr>
    </w:lvl>
    <w:lvl w:ilvl="1" w:tplc="140A0019">
      <w:start w:val="1"/>
      <w:numFmt w:val="lowerLetter"/>
      <w:lvlText w:val="%2)"/>
      <w:lvlJc w:val="left"/>
      <w:pPr>
        <w:tabs>
          <w:tab w:val="num" w:pos="1080"/>
        </w:tabs>
        <w:ind w:left="1080" w:hanging="360"/>
      </w:pPr>
      <w:rPr>
        <w:rFonts w:hint="default"/>
        <w:b w:val="0"/>
        <w:bCs w:val="0"/>
        <w:i w:val="0"/>
        <w:iCs w:val="0"/>
        <w:sz w:val="20"/>
        <w:szCs w:val="20"/>
      </w:rPr>
    </w:lvl>
    <w:lvl w:ilvl="2" w:tplc="140A001B">
      <w:start w:val="1"/>
      <w:numFmt w:val="lowerRoman"/>
      <w:lvlText w:val="%3."/>
      <w:lvlJc w:val="right"/>
      <w:pPr>
        <w:tabs>
          <w:tab w:val="num" w:pos="1530"/>
        </w:tabs>
        <w:ind w:left="1530" w:hanging="180"/>
      </w:pPr>
      <w:rPr>
        <w:b w:val="0"/>
        <w:strike w:val="0"/>
      </w:rPr>
    </w:lvl>
    <w:lvl w:ilvl="3" w:tplc="140A000F">
      <w:start w:val="1"/>
      <w:numFmt w:val="decimal"/>
      <w:lvlText w:val="%4."/>
      <w:lvlJc w:val="left"/>
      <w:pPr>
        <w:tabs>
          <w:tab w:val="num" w:pos="2880"/>
        </w:tabs>
        <w:ind w:left="2880" w:hanging="360"/>
      </w:pPr>
    </w:lvl>
    <w:lvl w:ilvl="4" w:tplc="140A0019">
      <w:start w:val="1"/>
      <w:numFmt w:val="lowerLetter"/>
      <w:pStyle w:val="Heading6"/>
      <w:lvlText w:val="%5."/>
      <w:lvlJc w:val="left"/>
      <w:pPr>
        <w:tabs>
          <w:tab w:val="num" w:pos="3600"/>
        </w:tabs>
        <w:ind w:left="3600" w:hanging="360"/>
      </w:pPr>
    </w:lvl>
    <w:lvl w:ilvl="5" w:tplc="140A001B">
      <w:start w:val="1"/>
      <w:numFmt w:val="lowerRoman"/>
      <w:lvlText w:val="%6."/>
      <w:lvlJc w:val="right"/>
      <w:pPr>
        <w:tabs>
          <w:tab w:val="num" w:pos="4320"/>
        </w:tabs>
        <w:ind w:left="4320" w:hanging="180"/>
      </w:pPr>
    </w:lvl>
    <w:lvl w:ilvl="6" w:tplc="140A000F">
      <w:start w:val="1"/>
      <w:numFmt w:val="decimal"/>
      <w:lvlText w:val="%7."/>
      <w:lvlJc w:val="left"/>
      <w:pPr>
        <w:tabs>
          <w:tab w:val="num" w:pos="5040"/>
        </w:tabs>
        <w:ind w:left="5040" w:hanging="360"/>
      </w:pPr>
    </w:lvl>
    <w:lvl w:ilvl="7" w:tplc="140A0019">
      <w:start w:val="1"/>
      <w:numFmt w:val="lowerLetter"/>
      <w:lvlText w:val="%8."/>
      <w:lvlJc w:val="left"/>
      <w:pPr>
        <w:tabs>
          <w:tab w:val="num" w:pos="5760"/>
        </w:tabs>
        <w:ind w:left="5760" w:hanging="360"/>
      </w:pPr>
    </w:lvl>
    <w:lvl w:ilvl="8" w:tplc="140A001B">
      <w:start w:val="1"/>
      <w:numFmt w:val="lowerRoman"/>
      <w:lvlText w:val="%9."/>
      <w:lvlJc w:val="right"/>
      <w:pPr>
        <w:tabs>
          <w:tab w:val="num" w:pos="6480"/>
        </w:tabs>
        <w:ind w:left="6480" w:hanging="180"/>
      </w:pPr>
    </w:lvl>
  </w:abstractNum>
  <w:num w:numId="1">
    <w:abstractNumId w:val="13"/>
  </w:num>
  <w:num w:numId="2">
    <w:abstractNumId w:val="19"/>
  </w:num>
  <w:num w:numId="3">
    <w:abstractNumId w:val="1"/>
  </w:num>
  <w:num w:numId="4">
    <w:abstractNumId w:val="6"/>
  </w:num>
  <w:num w:numId="5">
    <w:abstractNumId w:val="15"/>
  </w:num>
  <w:num w:numId="6">
    <w:abstractNumId w:val="2"/>
  </w:num>
  <w:num w:numId="7">
    <w:abstractNumId w:val="12"/>
  </w:num>
  <w:num w:numId="8">
    <w:abstractNumId w:val="8"/>
  </w:num>
  <w:num w:numId="9">
    <w:abstractNumId w:val="10"/>
  </w:num>
  <w:num w:numId="10">
    <w:abstractNumId w:val="0"/>
  </w:num>
  <w:num w:numId="11">
    <w:abstractNumId w:val="7"/>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9"/>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4"/>
  </w:num>
  <w:num w:numId="20">
    <w:abstractNumId w:val="18"/>
  </w:num>
  <w:num w:numId="21">
    <w:abstractNumId w:val="16"/>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17E"/>
    <w:rsid w:val="00000484"/>
    <w:rsid w:val="00000560"/>
    <w:rsid w:val="000022FE"/>
    <w:rsid w:val="00002BE4"/>
    <w:rsid w:val="000038FE"/>
    <w:rsid w:val="0000461F"/>
    <w:rsid w:val="00004E43"/>
    <w:rsid w:val="00005E93"/>
    <w:rsid w:val="0001050F"/>
    <w:rsid w:val="00010A16"/>
    <w:rsid w:val="00011AE3"/>
    <w:rsid w:val="00014F1F"/>
    <w:rsid w:val="00015A0E"/>
    <w:rsid w:val="00017B6F"/>
    <w:rsid w:val="00017FF8"/>
    <w:rsid w:val="00022CF2"/>
    <w:rsid w:val="000230D7"/>
    <w:rsid w:val="00024BAD"/>
    <w:rsid w:val="00025734"/>
    <w:rsid w:val="000258AE"/>
    <w:rsid w:val="00027300"/>
    <w:rsid w:val="00030FAE"/>
    <w:rsid w:val="0003395B"/>
    <w:rsid w:val="00035665"/>
    <w:rsid w:val="00035E08"/>
    <w:rsid w:val="00036ADA"/>
    <w:rsid w:val="00036EC7"/>
    <w:rsid w:val="00037575"/>
    <w:rsid w:val="00037AB6"/>
    <w:rsid w:val="00037C60"/>
    <w:rsid w:val="00040604"/>
    <w:rsid w:val="000413E4"/>
    <w:rsid w:val="00042B8C"/>
    <w:rsid w:val="00042E2E"/>
    <w:rsid w:val="00043D96"/>
    <w:rsid w:val="00051D26"/>
    <w:rsid w:val="00053DE3"/>
    <w:rsid w:val="0005525F"/>
    <w:rsid w:val="00064646"/>
    <w:rsid w:val="00067D05"/>
    <w:rsid w:val="00071BC1"/>
    <w:rsid w:val="00072F20"/>
    <w:rsid w:val="00073625"/>
    <w:rsid w:val="000746EA"/>
    <w:rsid w:val="00074B55"/>
    <w:rsid w:val="00074DFB"/>
    <w:rsid w:val="00076274"/>
    <w:rsid w:val="000804BA"/>
    <w:rsid w:val="00080E86"/>
    <w:rsid w:val="00082FF9"/>
    <w:rsid w:val="0008527E"/>
    <w:rsid w:val="000858A4"/>
    <w:rsid w:val="000908A9"/>
    <w:rsid w:val="00090CB0"/>
    <w:rsid w:val="00092FAB"/>
    <w:rsid w:val="0009368F"/>
    <w:rsid w:val="00093E5E"/>
    <w:rsid w:val="0009562D"/>
    <w:rsid w:val="0009584D"/>
    <w:rsid w:val="000A3933"/>
    <w:rsid w:val="000A5AA6"/>
    <w:rsid w:val="000A786A"/>
    <w:rsid w:val="000B1044"/>
    <w:rsid w:val="000B1663"/>
    <w:rsid w:val="000B1DFF"/>
    <w:rsid w:val="000B48A5"/>
    <w:rsid w:val="000B4956"/>
    <w:rsid w:val="000B4D95"/>
    <w:rsid w:val="000B5D1E"/>
    <w:rsid w:val="000B62CF"/>
    <w:rsid w:val="000B6741"/>
    <w:rsid w:val="000C1B92"/>
    <w:rsid w:val="000C2F2B"/>
    <w:rsid w:val="000C3BFF"/>
    <w:rsid w:val="000C55E9"/>
    <w:rsid w:val="000C6619"/>
    <w:rsid w:val="000C6A77"/>
    <w:rsid w:val="000C7068"/>
    <w:rsid w:val="000C739D"/>
    <w:rsid w:val="000D0A32"/>
    <w:rsid w:val="000D43D6"/>
    <w:rsid w:val="000D4643"/>
    <w:rsid w:val="000D4BD7"/>
    <w:rsid w:val="000D5842"/>
    <w:rsid w:val="000D58ED"/>
    <w:rsid w:val="000D70BD"/>
    <w:rsid w:val="000D7790"/>
    <w:rsid w:val="000D79B4"/>
    <w:rsid w:val="000E0AAE"/>
    <w:rsid w:val="000E1506"/>
    <w:rsid w:val="000E1811"/>
    <w:rsid w:val="000E2CD5"/>
    <w:rsid w:val="000E382E"/>
    <w:rsid w:val="000E4F2D"/>
    <w:rsid w:val="000E60D0"/>
    <w:rsid w:val="000E63A0"/>
    <w:rsid w:val="000E6A0D"/>
    <w:rsid w:val="000E78F8"/>
    <w:rsid w:val="000E7B56"/>
    <w:rsid w:val="000F3D49"/>
    <w:rsid w:val="000F4023"/>
    <w:rsid w:val="000F432D"/>
    <w:rsid w:val="000F4604"/>
    <w:rsid w:val="000F5245"/>
    <w:rsid w:val="000F6102"/>
    <w:rsid w:val="000F6162"/>
    <w:rsid w:val="000F731B"/>
    <w:rsid w:val="000F752E"/>
    <w:rsid w:val="000F7864"/>
    <w:rsid w:val="00100340"/>
    <w:rsid w:val="001006A8"/>
    <w:rsid w:val="00101638"/>
    <w:rsid w:val="00101989"/>
    <w:rsid w:val="001032A0"/>
    <w:rsid w:val="00104B36"/>
    <w:rsid w:val="0011240C"/>
    <w:rsid w:val="00114360"/>
    <w:rsid w:val="00114D72"/>
    <w:rsid w:val="0011572A"/>
    <w:rsid w:val="001179C9"/>
    <w:rsid w:val="00121B54"/>
    <w:rsid w:val="00125214"/>
    <w:rsid w:val="001265D5"/>
    <w:rsid w:val="00126C0C"/>
    <w:rsid w:val="0012731C"/>
    <w:rsid w:val="0012789D"/>
    <w:rsid w:val="00131175"/>
    <w:rsid w:val="0013504C"/>
    <w:rsid w:val="00135CC4"/>
    <w:rsid w:val="00136120"/>
    <w:rsid w:val="001370C8"/>
    <w:rsid w:val="001400FD"/>
    <w:rsid w:val="00140CB7"/>
    <w:rsid w:val="00140E00"/>
    <w:rsid w:val="00140F8F"/>
    <w:rsid w:val="001441E6"/>
    <w:rsid w:val="0014478A"/>
    <w:rsid w:val="00145ABD"/>
    <w:rsid w:val="0014632D"/>
    <w:rsid w:val="0014640D"/>
    <w:rsid w:val="00146B43"/>
    <w:rsid w:val="0014798F"/>
    <w:rsid w:val="0015009A"/>
    <w:rsid w:val="00152DD3"/>
    <w:rsid w:val="00156FF8"/>
    <w:rsid w:val="00157DD2"/>
    <w:rsid w:val="001601E4"/>
    <w:rsid w:val="00160684"/>
    <w:rsid w:val="00160ADB"/>
    <w:rsid w:val="00161659"/>
    <w:rsid w:val="00162302"/>
    <w:rsid w:val="00162DB8"/>
    <w:rsid w:val="00166327"/>
    <w:rsid w:val="00166935"/>
    <w:rsid w:val="00167264"/>
    <w:rsid w:val="001707F9"/>
    <w:rsid w:val="00171F4E"/>
    <w:rsid w:val="00176914"/>
    <w:rsid w:val="00177964"/>
    <w:rsid w:val="00180840"/>
    <w:rsid w:val="00180C2A"/>
    <w:rsid w:val="00183658"/>
    <w:rsid w:val="001863BA"/>
    <w:rsid w:val="001867BD"/>
    <w:rsid w:val="00190178"/>
    <w:rsid w:val="0019090C"/>
    <w:rsid w:val="00192476"/>
    <w:rsid w:val="00192A85"/>
    <w:rsid w:val="00195770"/>
    <w:rsid w:val="00196998"/>
    <w:rsid w:val="00197449"/>
    <w:rsid w:val="001A35E1"/>
    <w:rsid w:val="001A6732"/>
    <w:rsid w:val="001A6FCA"/>
    <w:rsid w:val="001A71E4"/>
    <w:rsid w:val="001B41C6"/>
    <w:rsid w:val="001B4736"/>
    <w:rsid w:val="001B5E90"/>
    <w:rsid w:val="001C2ED0"/>
    <w:rsid w:val="001C35C0"/>
    <w:rsid w:val="001C4FB3"/>
    <w:rsid w:val="001C591D"/>
    <w:rsid w:val="001C59CB"/>
    <w:rsid w:val="001C5A64"/>
    <w:rsid w:val="001C5C1F"/>
    <w:rsid w:val="001C7FFD"/>
    <w:rsid w:val="001D0932"/>
    <w:rsid w:val="001D1EEF"/>
    <w:rsid w:val="001D48D1"/>
    <w:rsid w:val="001D4D93"/>
    <w:rsid w:val="001D6DF6"/>
    <w:rsid w:val="001D6E98"/>
    <w:rsid w:val="001E3BA2"/>
    <w:rsid w:val="001E4A09"/>
    <w:rsid w:val="001E53CE"/>
    <w:rsid w:val="001E76E5"/>
    <w:rsid w:val="001F1EA7"/>
    <w:rsid w:val="001F38F7"/>
    <w:rsid w:val="001F5392"/>
    <w:rsid w:val="001F590E"/>
    <w:rsid w:val="001F61CC"/>
    <w:rsid w:val="001F792F"/>
    <w:rsid w:val="001F7CD7"/>
    <w:rsid w:val="00202BEE"/>
    <w:rsid w:val="00203D3A"/>
    <w:rsid w:val="00206ADA"/>
    <w:rsid w:val="00213E8C"/>
    <w:rsid w:val="002170BA"/>
    <w:rsid w:val="00217182"/>
    <w:rsid w:val="002171C7"/>
    <w:rsid w:val="0021747B"/>
    <w:rsid w:val="00217F93"/>
    <w:rsid w:val="0022064A"/>
    <w:rsid w:val="00222793"/>
    <w:rsid w:val="00223C09"/>
    <w:rsid w:val="00226E5B"/>
    <w:rsid w:val="002277DB"/>
    <w:rsid w:val="00230A64"/>
    <w:rsid w:val="0023125C"/>
    <w:rsid w:val="00231C59"/>
    <w:rsid w:val="00232B33"/>
    <w:rsid w:val="00232C46"/>
    <w:rsid w:val="00232C6E"/>
    <w:rsid w:val="00235D24"/>
    <w:rsid w:val="002369D7"/>
    <w:rsid w:val="00236B5D"/>
    <w:rsid w:val="00236BF0"/>
    <w:rsid w:val="00237E12"/>
    <w:rsid w:val="002461A0"/>
    <w:rsid w:val="00247437"/>
    <w:rsid w:val="00250B7F"/>
    <w:rsid w:val="00252EF1"/>
    <w:rsid w:val="00256123"/>
    <w:rsid w:val="002571B6"/>
    <w:rsid w:val="002571CD"/>
    <w:rsid w:val="00261D8F"/>
    <w:rsid w:val="002629E4"/>
    <w:rsid w:val="0026392B"/>
    <w:rsid w:val="00264052"/>
    <w:rsid w:val="00264405"/>
    <w:rsid w:val="00264CD4"/>
    <w:rsid w:val="00264FC4"/>
    <w:rsid w:val="0026687E"/>
    <w:rsid w:val="00273BFD"/>
    <w:rsid w:val="002763C0"/>
    <w:rsid w:val="00277E12"/>
    <w:rsid w:val="002809FB"/>
    <w:rsid w:val="00280AA5"/>
    <w:rsid w:val="00284070"/>
    <w:rsid w:val="00284557"/>
    <w:rsid w:val="0028647D"/>
    <w:rsid w:val="0028653D"/>
    <w:rsid w:val="002876E8"/>
    <w:rsid w:val="002877CF"/>
    <w:rsid w:val="00287DFA"/>
    <w:rsid w:val="00290292"/>
    <w:rsid w:val="0029063C"/>
    <w:rsid w:val="0029085B"/>
    <w:rsid w:val="00291453"/>
    <w:rsid w:val="002958B4"/>
    <w:rsid w:val="002A0C68"/>
    <w:rsid w:val="002A0C74"/>
    <w:rsid w:val="002A33A0"/>
    <w:rsid w:val="002A363A"/>
    <w:rsid w:val="002B727B"/>
    <w:rsid w:val="002C0636"/>
    <w:rsid w:val="002C08D7"/>
    <w:rsid w:val="002C15FE"/>
    <w:rsid w:val="002C1E66"/>
    <w:rsid w:val="002C6521"/>
    <w:rsid w:val="002C7482"/>
    <w:rsid w:val="002C7EAC"/>
    <w:rsid w:val="002D4375"/>
    <w:rsid w:val="002D4B56"/>
    <w:rsid w:val="002D52A8"/>
    <w:rsid w:val="002D5B11"/>
    <w:rsid w:val="002D60EA"/>
    <w:rsid w:val="002D6BFC"/>
    <w:rsid w:val="002D7946"/>
    <w:rsid w:val="002E25B8"/>
    <w:rsid w:val="002E28C0"/>
    <w:rsid w:val="002E406E"/>
    <w:rsid w:val="002E4296"/>
    <w:rsid w:val="002E555C"/>
    <w:rsid w:val="002E6232"/>
    <w:rsid w:val="002E6AB5"/>
    <w:rsid w:val="002E7066"/>
    <w:rsid w:val="002F020F"/>
    <w:rsid w:val="002F0C50"/>
    <w:rsid w:val="002F1E1C"/>
    <w:rsid w:val="002F2E89"/>
    <w:rsid w:val="002F3F5C"/>
    <w:rsid w:val="002F6BAA"/>
    <w:rsid w:val="003000C2"/>
    <w:rsid w:val="003017CE"/>
    <w:rsid w:val="0030208B"/>
    <w:rsid w:val="003020DA"/>
    <w:rsid w:val="00303EC8"/>
    <w:rsid w:val="003040A6"/>
    <w:rsid w:val="00306414"/>
    <w:rsid w:val="003118BF"/>
    <w:rsid w:val="00313267"/>
    <w:rsid w:val="00313343"/>
    <w:rsid w:val="00314E4B"/>
    <w:rsid w:val="00320A7D"/>
    <w:rsid w:val="003218A4"/>
    <w:rsid w:val="00322F37"/>
    <w:rsid w:val="00323BFE"/>
    <w:rsid w:val="00323CBC"/>
    <w:rsid w:val="00325DD2"/>
    <w:rsid w:val="00326329"/>
    <w:rsid w:val="003263B3"/>
    <w:rsid w:val="00330281"/>
    <w:rsid w:val="00331DEC"/>
    <w:rsid w:val="003324B2"/>
    <w:rsid w:val="00334BF5"/>
    <w:rsid w:val="00335314"/>
    <w:rsid w:val="00336FF5"/>
    <w:rsid w:val="0033725C"/>
    <w:rsid w:val="00337943"/>
    <w:rsid w:val="00340157"/>
    <w:rsid w:val="00340512"/>
    <w:rsid w:val="00340D22"/>
    <w:rsid w:val="003438D8"/>
    <w:rsid w:val="0034798D"/>
    <w:rsid w:val="00347E4F"/>
    <w:rsid w:val="00353204"/>
    <w:rsid w:val="00353579"/>
    <w:rsid w:val="00353671"/>
    <w:rsid w:val="00354D41"/>
    <w:rsid w:val="003552CD"/>
    <w:rsid w:val="003559C6"/>
    <w:rsid w:val="0035697B"/>
    <w:rsid w:val="00361D95"/>
    <w:rsid w:val="003626BC"/>
    <w:rsid w:val="00362DE3"/>
    <w:rsid w:val="0036513A"/>
    <w:rsid w:val="003656CD"/>
    <w:rsid w:val="003658B5"/>
    <w:rsid w:val="00366BB3"/>
    <w:rsid w:val="00370DE4"/>
    <w:rsid w:val="00370F91"/>
    <w:rsid w:val="003712DA"/>
    <w:rsid w:val="00371BB7"/>
    <w:rsid w:val="0038153E"/>
    <w:rsid w:val="00382405"/>
    <w:rsid w:val="003824AB"/>
    <w:rsid w:val="00383EAF"/>
    <w:rsid w:val="00386B90"/>
    <w:rsid w:val="003901F5"/>
    <w:rsid w:val="003927B0"/>
    <w:rsid w:val="00394018"/>
    <w:rsid w:val="00394941"/>
    <w:rsid w:val="0039531B"/>
    <w:rsid w:val="003957D8"/>
    <w:rsid w:val="00395A01"/>
    <w:rsid w:val="0039668B"/>
    <w:rsid w:val="00397B49"/>
    <w:rsid w:val="003A0283"/>
    <w:rsid w:val="003A11D9"/>
    <w:rsid w:val="003A54C5"/>
    <w:rsid w:val="003B06FF"/>
    <w:rsid w:val="003B130A"/>
    <w:rsid w:val="003B24AE"/>
    <w:rsid w:val="003B2655"/>
    <w:rsid w:val="003B2D8F"/>
    <w:rsid w:val="003B54A6"/>
    <w:rsid w:val="003B7D90"/>
    <w:rsid w:val="003C02EA"/>
    <w:rsid w:val="003C0738"/>
    <w:rsid w:val="003C2E57"/>
    <w:rsid w:val="003C41B7"/>
    <w:rsid w:val="003C43D3"/>
    <w:rsid w:val="003C45B9"/>
    <w:rsid w:val="003C58D0"/>
    <w:rsid w:val="003C6A5C"/>
    <w:rsid w:val="003C728C"/>
    <w:rsid w:val="003C7FDD"/>
    <w:rsid w:val="003D02C1"/>
    <w:rsid w:val="003D1D31"/>
    <w:rsid w:val="003D2D93"/>
    <w:rsid w:val="003D4269"/>
    <w:rsid w:val="003D5A5B"/>
    <w:rsid w:val="003D5B54"/>
    <w:rsid w:val="003D717E"/>
    <w:rsid w:val="003D77BA"/>
    <w:rsid w:val="003D7AE8"/>
    <w:rsid w:val="003E0165"/>
    <w:rsid w:val="003E0F64"/>
    <w:rsid w:val="003E41F4"/>
    <w:rsid w:val="003E427E"/>
    <w:rsid w:val="003E440A"/>
    <w:rsid w:val="003E5F3A"/>
    <w:rsid w:val="003E7115"/>
    <w:rsid w:val="003E71BE"/>
    <w:rsid w:val="003E75E7"/>
    <w:rsid w:val="003E7FB2"/>
    <w:rsid w:val="003F16C6"/>
    <w:rsid w:val="003F2AFC"/>
    <w:rsid w:val="003F3282"/>
    <w:rsid w:val="003F5159"/>
    <w:rsid w:val="004008AE"/>
    <w:rsid w:val="00402214"/>
    <w:rsid w:val="004029F2"/>
    <w:rsid w:val="00404519"/>
    <w:rsid w:val="004049CA"/>
    <w:rsid w:val="00405AFD"/>
    <w:rsid w:val="00406310"/>
    <w:rsid w:val="004071B1"/>
    <w:rsid w:val="00410BBD"/>
    <w:rsid w:val="00411138"/>
    <w:rsid w:val="004123BA"/>
    <w:rsid w:val="00412676"/>
    <w:rsid w:val="0041293F"/>
    <w:rsid w:val="00412D9C"/>
    <w:rsid w:val="004143F0"/>
    <w:rsid w:val="00416E4C"/>
    <w:rsid w:val="00417133"/>
    <w:rsid w:val="004171A8"/>
    <w:rsid w:val="00417563"/>
    <w:rsid w:val="00417D6F"/>
    <w:rsid w:val="0042034D"/>
    <w:rsid w:val="00420A78"/>
    <w:rsid w:val="00420CCE"/>
    <w:rsid w:val="004218B5"/>
    <w:rsid w:val="00421D33"/>
    <w:rsid w:val="00422FE0"/>
    <w:rsid w:val="00427500"/>
    <w:rsid w:val="00430536"/>
    <w:rsid w:val="00431C58"/>
    <w:rsid w:val="004326B3"/>
    <w:rsid w:val="00432B65"/>
    <w:rsid w:val="0043370D"/>
    <w:rsid w:val="00435F5F"/>
    <w:rsid w:val="00437216"/>
    <w:rsid w:val="0043736F"/>
    <w:rsid w:val="004375DD"/>
    <w:rsid w:val="00437852"/>
    <w:rsid w:val="004378CE"/>
    <w:rsid w:val="00437AC6"/>
    <w:rsid w:val="00440222"/>
    <w:rsid w:val="004416A6"/>
    <w:rsid w:val="00441F0B"/>
    <w:rsid w:val="00442B3D"/>
    <w:rsid w:val="00443A81"/>
    <w:rsid w:val="00444168"/>
    <w:rsid w:val="00444661"/>
    <w:rsid w:val="00446F5D"/>
    <w:rsid w:val="00447E17"/>
    <w:rsid w:val="00447E9C"/>
    <w:rsid w:val="004519A2"/>
    <w:rsid w:val="00453AA5"/>
    <w:rsid w:val="00457AC2"/>
    <w:rsid w:val="00457FEC"/>
    <w:rsid w:val="00460840"/>
    <w:rsid w:val="00460951"/>
    <w:rsid w:val="004614E3"/>
    <w:rsid w:val="004626E5"/>
    <w:rsid w:val="0046301B"/>
    <w:rsid w:val="00463B47"/>
    <w:rsid w:val="0046400B"/>
    <w:rsid w:val="00465324"/>
    <w:rsid w:val="0047098B"/>
    <w:rsid w:val="004709DD"/>
    <w:rsid w:val="0047110C"/>
    <w:rsid w:val="004714EE"/>
    <w:rsid w:val="004716E9"/>
    <w:rsid w:val="00472482"/>
    <w:rsid w:val="00472818"/>
    <w:rsid w:val="004729A2"/>
    <w:rsid w:val="0047350B"/>
    <w:rsid w:val="00473F3B"/>
    <w:rsid w:val="00474186"/>
    <w:rsid w:val="00475108"/>
    <w:rsid w:val="004765C6"/>
    <w:rsid w:val="00477F0E"/>
    <w:rsid w:val="00480B60"/>
    <w:rsid w:val="00481186"/>
    <w:rsid w:val="004837B3"/>
    <w:rsid w:val="00483C48"/>
    <w:rsid w:val="00484309"/>
    <w:rsid w:val="00485198"/>
    <w:rsid w:val="004857A4"/>
    <w:rsid w:val="0048601C"/>
    <w:rsid w:val="0048659D"/>
    <w:rsid w:val="004866E0"/>
    <w:rsid w:val="00487EA7"/>
    <w:rsid w:val="00490703"/>
    <w:rsid w:val="00491D80"/>
    <w:rsid w:val="0049336A"/>
    <w:rsid w:val="00493415"/>
    <w:rsid w:val="00494B73"/>
    <w:rsid w:val="00495776"/>
    <w:rsid w:val="004A0940"/>
    <w:rsid w:val="004A0C60"/>
    <w:rsid w:val="004A1797"/>
    <w:rsid w:val="004A4197"/>
    <w:rsid w:val="004A5626"/>
    <w:rsid w:val="004A7258"/>
    <w:rsid w:val="004B0477"/>
    <w:rsid w:val="004B053B"/>
    <w:rsid w:val="004B1797"/>
    <w:rsid w:val="004B2E3B"/>
    <w:rsid w:val="004B5905"/>
    <w:rsid w:val="004B7766"/>
    <w:rsid w:val="004C054B"/>
    <w:rsid w:val="004C072E"/>
    <w:rsid w:val="004C13DD"/>
    <w:rsid w:val="004C1891"/>
    <w:rsid w:val="004C2118"/>
    <w:rsid w:val="004C3B24"/>
    <w:rsid w:val="004C3F32"/>
    <w:rsid w:val="004C572C"/>
    <w:rsid w:val="004C5F49"/>
    <w:rsid w:val="004C6D9D"/>
    <w:rsid w:val="004C79D8"/>
    <w:rsid w:val="004C79D9"/>
    <w:rsid w:val="004D0281"/>
    <w:rsid w:val="004D030C"/>
    <w:rsid w:val="004D0663"/>
    <w:rsid w:val="004D0F32"/>
    <w:rsid w:val="004D3A13"/>
    <w:rsid w:val="004D5145"/>
    <w:rsid w:val="004D61EE"/>
    <w:rsid w:val="004D6AE5"/>
    <w:rsid w:val="004D7137"/>
    <w:rsid w:val="004E05D9"/>
    <w:rsid w:val="004E0A65"/>
    <w:rsid w:val="004E0F59"/>
    <w:rsid w:val="004E1A9B"/>
    <w:rsid w:val="004E1F08"/>
    <w:rsid w:val="004E2BDE"/>
    <w:rsid w:val="004E3F81"/>
    <w:rsid w:val="004E44B1"/>
    <w:rsid w:val="004E7670"/>
    <w:rsid w:val="004F1414"/>
    <w:rsid w:val="004F228D"/>
    <w:rsid w:val="004F3082"/>
    <w:rsid w:val="004F343A"/>
    <w:rsid w:val="004F4A02"/>
    <w:rsid w:val="004F565F"/>
    <w:rsid w:val="004F5742"/>
    <w:rsid w:val="004F7227"/>
    <w:rsid w:val="004F771D"/>
    <w:rsid w:val="004F7D65"/>
    <w:rsid w:val="005028F3"/>
    <w:rsid w:val="00502F06"/>
    <w:rsid w:val="00505627"/>
    <w:rsid w:val="00506C7F"/>
    <w:rsid w:val="00506DE5"/>
    <w:rsid w:val="00507E79"/>
    <w:rsid w:val="00510DF3"/>
    <w:rsid w:val="00512022"/>
    <w:rsid w:val="0051264B"/>
    <w:rsid w:val="00512B60"/>
    <w:rsid w:val="00513059"/>
    <w:rsid w:val="0051579F"/>
    <w:rsid w:val="00516B7A"/>
    <w:rsid w:val="00516E0F"/>
    <w:rsid w:val="00521855"/>
    <w:rsid w:val="00522401"/>
    <w:rsid w:val="0052345F"/>
    <w:rsid w:val="00530463"/>
    <w:rsid w:val="00532A3B"/>
    <w:rsid w:val="00532E14"/>
    <w:rsid w:val="0053560B"/>
    <w:rsid w:val="00535867"/>
    <w:rsid w:val="005370D5"/>
    <w:rsid w:val="005378D0"/>
    <w:rsid w:val="005405BC"/>
    <w:rsid w:val="0054091D"/>
    <w:rsid w:val="0054124E"/>
    <w:rsid w:val="00541863"/>
    <w:rsid w:val="00541CE1"/>
    <w:rsid w:val="00542746"/>
    <w:rsid w:val="00542CED"/>
    <w:rsid w:val="005443F4"/>
    <w:rsid w:val="005461E8"/>
    <w:rsid w:val="005472DB"/>
    <w:rsid w:val="00547588"/>
    <w:rsid w:val="00551128"/>
    <w:rsid w:val="0055153B"/>
    <w:rsid w:val="005520DE"/>
    <w:rsid w:val="005535CA"/>
    <w:rsid w:val="00553824"/>
    <w:rsid w:val="00553CB3"/>
    <w:rsid w:val="00554842"/>
    <w:rsid w:val="00555BEC"/>
    <w:rsid w:val="00557951"/>
    <w:rsid w:val="005613D0"/>
    <w:rsid w:val="00561FEE"/>
    <w:rsid w:val="005634EA"/>
    <w:rsid w:val="00563F22"/>
    <w:rsid w:val="005642B6"/>
    <w:rsid w:val="00564370"/>
    <w:rsid w:val="0056645C"/>
    <w:rsid w:val="0057288D"/>
    <w:rsid w:val="00575474"/>
    <w:rsid w:val="00575DDD"/>
    <w:rsid w:val="005806F4"/>
    <w:rsid w:val="005809CB"/>
    <w:rsid w:val="00581B9D"/>
    <w:rsid w:val="00582AFC"/>
    <w:rsid w:val="005835B6"/>
    <w:rsid w:val="0058729F"/>
    <w:rsid w:val="005908EA"/>
    <w:rsid w:val="00591D1A"/>
    <w:rsid w:val="00591E97"/>
    <w:rsid w:val="00593B9D"/>
    <w:rsid w:val="0059639B"/>
    <w:rsid w:val="0059668D"/>
    <w:rsid w:val="0059773A"/>
    <w:rsid w:val="00597DD5"/>
    <w:rsid w:val="005A0405"/>
    <w:rsid w:val="005A0431"/>
    <w:rsid w:val="005A0CCD"/>
    <w:rsid w:val="005A14FB"/>
    <w:rsid w:val="005A1CD0"/>
    <w:rsid w:val="005A4487"/>
    <w:rsid w:val="005A56FE"/>
    <w:rsid w:val="005A7873"/>
    <w:rsid w:val="005B1F89"/>
    <w:rsid w:val="005B2277"/>
    <w:rsid w:val="005B2671"/>
    <w:rsid w:val="005B2957"/>
    <w:rsid w:val="005B2B62"/>
    <w:rsid w:val="005B5891"/>
    <w:rsid w:val="005B6454"/>
    <w:rsid w:val="005B64C5"/>
    <w:rsid w:val="005B6DD1"/>
    <w:rsid w:val="005B7759"/>
    <w:rsid w:val="005C2B27"/>
    <w:rsid w:val="005C2C05"/>
    <w:rsid w:val="005C34FA"/>
    <w:rsid w:val="005C4937"/>
    <w:rsid w:val="005C7E94"/>
    <w:rsid w:val="005D1D86"/>
    <w:rsid w:val="005D4810"/>
    <w:rsid w:val="005D6843"/>
    <w:rsid w:val="005D7E37"/>
    <w:rsid w:val="005E02C7"/>
    <w:rsid w:val="005E03B0"/>
    <w:rsid w:val="005E054D"/>
    <w:rsid w:val="005E07A0"/>
    <w:rsid w:val="005E2D1B"/>
    <w:rsid w:val="005E3EEB"/>
    <w:rsid w:val="005E5ACB"/>
    <w:rsid w:val="005E68CD"/>
    <w:rsid w:val="005F07F6"/>
    <w:rsid w:val="005F1345"/>
    <w:rsid w:val="005F1829"/>
    <w:rsid w:val="005F401D"/>
    <w:rsid w:val="005F4F35"/>
    <w:rsid w:val="005F5239"/>
    <w:rsid w:val="005F5382"/>
    <w:rsid w:val="005F6F35"/>
    <w:rsid w:val="005F7B09"/>
    <w:rsid w:val="0060277C"/>
    <w:rsid w:val="00603798"/>
    <w:rsid w:val="0061500B"/>
    <w:rsid w:val="00615A2F"/>
    <w:rsid w:val="00621B0C"/>
    <w:rsid w:val="006228C4"/>
    <w:rsid w:val="00622CE4"/>
    <w:rsid w:val="006242D5"/>
    <w:rsid w:val="00624BA9"/>
    <w:rsid w:val="0062567F"/>
    <w:rsid w:val="0062649F"/>
    <w:rsid w:val="00627F85"/>
    <w:rsid w:val="006303E5"/>
    <w:rsid w:val="00630CBD"/>
    <w:rsid w:val="00631AA8"/>
    <w:rsid w:val="0063321B"/>
    <w:rsid w:val="00633E24"/>
    <w:rsid w:val="00635742"/>
    <w:rsid w:val="00640C35"/>
    <w:rsid w:val="00641B0D"/>
    <w:rsid w:val="006434A2"/>
    <w:rsid w:val="006444FA"/>
    <w:rsid w:val="00645CD6"/>
    <w:rsid w:val="0065023F"/>
    <w:rsid w:val="00650A1D"/>
    <w:rsid w:val="00650FC3"/>
    <w:rsid w:val="00651494"/>
    <w:rsid w:val="00651A2E"/>
    <w:rsid w:val="00652F09"/>
    <w:rsid w:val="0065444A"/>
    <w:rsid w:val="00655443"/>
    <w:rsid w:val="00657841"/>
    <w:rsid w:val="0066078E"/>
    <w:rsid w:val="00660FD2"/>
    <w:rsid w:val="00664E41"/>
    <w:rsid w:val="00665BDA"/>
    <w:rsid w:val="006721E2"/>
    <w:rsid w:val="006757F7"/>
    <w:rsid w:val="00677236"/>
    <w:rsid w:val="0068250B"/>
    <w:rsid w:val="006850E7"/>
    <w:rsid w:val="00685B42"/>
    <w:rsid w:val="0068755C"/>
    <w:rsid w:val="00687A44"/>
    <w:rsid w:val="0069066A"/>
    <w:rsid w:val="00690767"/>
    <w:rsid w:val="00694F2D"/>
    <w:rsid w:val="006958F1"/>
    <w:rsid w:val="00696EF1"/>
    <w:rsid w:val="00697107"/>
    <w:rsid w:val="006A228E"/>
    <w:rsid w:val="006A2674"/>
    <w:rsid w:val="006A382C"/>
    <w:rsid w:val="006A3B18"/>
    <w:rsid w:val="006A3D3C"/>
    <w:rsid w:val="006A4059"/>
    <w:rsid w:val="006A6821"/>
    <w:rsid w:val="006A72EB"/>
    <w:rsid w:val="006A756C"/>
    <w:rsid w:val="006B0627"/>
    <w:rsid w:val="006B1DF8"/>
    <w:rsid w:val="006B2F75"/>
    <w:rsid w:val="006B34C5"/>
    <w:rsid w:val="006B34D7"/>
    <w:rsid w:val="006B5389"/>
    <w:rsid w:val="006B7AF8"/>
    <w:rsid w:val="006C33EE"/>
    <w:rsid w:val="006C38FD"/>
    <w:rsid w:val="006D0193"/>
    <w:rsid w:val="006D0588"/>
    <w:rsid w:val="006D25C3"/>
    <w:rsid w:val="006D701B"/>
    <w:rsid w:val="006E1430"/>
    <w:rsid w:val="006E2A34"/>
    <w:rsid w:val="006E2E4D"/>
    <w:rsid w:val="006E77ED"/>
    <w:rsid w:val="006F102D"/>
    <w:rsid w:val="006F2144"/>
    <w:rsid w:val="006F24A8"/>
    <w:rsid w:val="006F4268"/>
    <w:rsid w:val="006F7559"/>
    <w:rsid w:val="00700DEC"/>
    <w:rsid w:val="00702158"/>
    <w:rsid w:val="007022BF"/>
    <w:rsid w:val="00702C86"/>
    <w:rsid w:val="00704F46"/>
    <w:rsid w:val="00705C75"/>
    <w:rsid w:val="007076F0"/>
    <w:rsid w:val="007109CA"/>
    <w:rsid w:val="00715553"/>
    <w:rsid w:val="00716237"/>
    <w:rsid w:val="00717791"/>
    <w:rsid w:val="0071780A"/>
    <w:rsid w:val="007179C6"/>
    <w:rsid w:val="007215E8"/>
    <w:rsid w:val="00721874"/>
    <w:rsid w:val="00722F01"/>
    <w:rsid w:val="007244E5"/>
    <w:rsid w:val="00724560"/>
    <w:rsid w:val="00724D54"/>
    <w:rsid w:val="00724D6C"/>
    <w:rsid w:val="0072698A"/>
    <w:rsid w:val="00727B1F"/>
    <w:rsid w:val="007305CC"/>
    <w:rsid w:val="007316A6"/>
    <w:rsid w:val="00732892"/>
    <w:rsid w:val="00734861"/>
    <w:rsid w:val="00734948"/>
    <w:rsid w:val="00734A70"/>
    <w:rsid w:val="007353B6"/>
    <w:rsid w:val="00736ADC"/>
    <w:rsid w:val="007405FA"/>
    <w:rsid w:val="007424E2"/>
    <w:rsid w:val="00746BAF"/>
    <w:rsid w:val="0075077D"/>
    <w:rsid w:val="00752FE6"/>
    <w:rsid w:val="00757B4F"/>
    <w:rsid w:val="00763C6E"/>
    <w:rsid w:val="007664A0"/>
    <w:rsid w:val="00767F14"/>
    <w:rsid w:val="00774BB4"/>
    <w:rsid w:val="00775E59"/>
    <w:rsid w:val="00776D7E"/>
    <w:rsid w:val="007822DF"/>
    <w:rsid w:val="00782857"/>
    <w:rsid w:val="00782BC6"/>
    <w:rsid w:val="00783D9F"/>
    <w:rsid w:val="007841D2"/>
    <w:rsid w:val="00790A6B"/>
    <w:rsid w:val="007936F2"/>
    <w:rsid w:val="00793BAA"/>
    <w:rsid w:val="007942A4"/>
    <w:rsid w:val="00796F87"/>
    <w:rsid w:val="007970C5"/>
    <w:rsid w:val="00797862"/>
    <w:rsid w:val="007A15FE"/>
    <w:rsid w:val="007A5BE9"/>
    <w:rsid w:val="007A5DB4"/>
    <w:rsid w:val="007A61E1"/>
    <w:rsid w:val="007A62C1"/>
    <w:rsid w:val="007B08A2"/>
    <w:rsid w:val="007B115E"/>
    <w:rsid w:val="007B2ACA"/>
    <w:rsid w:val="007B3481"/>
    <w:rsid w:val="007B3529"/>
    <w:rsid w:val="007B42C0"/>
    <w:rsid w:val="007B6253"/>
    <w:rsid w:val="007B6946"/>
    <w:rsid w:val="007C262A"/>
    <w:rsid w:val="007C2BD5"/>
    <w:rsid w:val="007C2EEE"/>
    <w:rsid w:val="007C30AF"/>
    <w:rsid w:val="007C4209"/>
    <w:rsid w:val="007C5B2E"/>
    <w:rsid w:val="007D026A"/>
    <w:rsid w:val="007D4BD3"/>
    <w:rsid w:val="007D4F35"/>
    <w:rsid w:val="007D50DD"/>
    <w:rsid w:val="007D5E30"/>
    <w:rsid w:val="007D6586"/>
    <w:rsid w:val="007D75E2"/>
    <w:rsid w:val="007E14CE"/>
    <w:rsid w:val="007E1DF3"/>
    <w:rsid w:val="007E2006"/>
    <w:rsid w:val="007E29F9"/>
    <w:rsid w:val="007E4B3C"/>
    <w:rsid w:val="007E5A0E"/>
    <w:rsid w:val="007E6842"/>
    <w:rsid w:val="007E7377"/>
    <w:rsid w:val="007F5933"/>
    <w:rsid w:val="007F5EA0"/>
    <w:rsid w:val="00801101"/>
    <w:rsid w:val="0080167B"/>
    <w:rsid w:val="008030AA"/>
    <w:rsid w:val="008042D1"/>
    <w:rsid w:val="00804C5F"/>
    <w:rsid w:val="008055A4"/>
    <w:rsid w:val="008110C1"/>
    <w:rsid w:val="00812D5A"/>
    <w:rsid w:val="00812E68"/>
    <w:rsid w:val="008132F4"/>
    <w:rsid w:val="0081357D"/>
    <w:rsid w:val="008136A0"/>
    <w:rsid w:val="008136C1"/>
    <w:rsid w:val="008142CE"/>
    <w:rsid w:val="0081446F"/>
    <w:rsid w:val="0081647C"/>
    <w:rsid w:val="00816CCF"/>
    <w:rsid w:val="008217D7"/>
    <w:rsid w:val="00823C52"/>
    <w:rsid w:val="00825250"/>
    <w:rsid w:val="008274B8"/>
    <w:rsid w:val="00827724"/>
    <w:rsid w:val="00827A58"/>
    <w:rsid w:val="008301D0"/>
    <w:rsid w:val="008319FF"/>
    <w:rsid w:val="00832C30"/>
    <w:rsid w:val="00832C87"/>
    <w:rsid w:val="00833C3B"/>
    <w:rsid w:val="00834616"/>
    <w:rsid w:val="00836BDB"/>
    <w:rsid w:val="00837463"/>
    <w:rsid w:val="00837FBE"/>
    <w:rsid w:val="00840125"/>
    <w:rsid w:val="00843AD2"/>
    <w:rsid w:val="00843CC1"/>
    <w:rsid w:val="0084495A"/>
    <w:rsid w:val="00845900"/>
    <w:rsid w:val="0084681D"/>
    <w:rsid w:val="0085146C"/>
    <w:rsid w:val="008514A5"/>
    <w:rsid w:val="0085238F"/>
    <w:rsid w:val="008531FC"/>
    <w:rsid w:val="008538DF"/>
    <w:rsid w:val="00853F87"/>
    <w:rsid w:val="00854D5B"/>
    <w:rsid w:val="00854FBB"/>
    <w:rsid w:val="008606C1"/>
    <w:rsid w:val="00860FD1"/>
    <w:rsid w:val="00861527"/>
    <w:rsid w:val="0086419F"/>
    <w:rsid w:val="008641FF"/>
    <w:rsid w:val="00864689"/>
    <w:rsid w:val="008657AC"/>
    <w:rsid w:val="008657F0"/>
    <w:rsid w:val="0086612F"/>
    <w:rsid w:val="008664D3"/>
    <w:rsid w:val="00867EF1"/>
    <w:rsid w:val="0087003A"/>
    <w:rsid w:val="00871864"/>
    <w:rsid w:val="008725B9"/>
    <w:rsid w:val="008732BC"/>
    <w:rsid w:val="008754C9"/>
    <w:rsid w:val="00875867"/>
    <w:rsid w:val="00875E98"/>
    <w:rsid w:val="0087695C"/>
    <w:rsid w:val="0087793E"/>
    <w:rsid w:val="00880BDE"/>
    <w:rsid w:val="0088145C"/>
    <w:rsid w:val="00881955"/>
    <w:rsid w:val="008822FF"/>
    <w:rsid w:val="008838B8"/>
    <w:rsid w:val="00883BF1"/>
    <w:rsid w:val="0088461E"/>
    <w:rsid w:val="00884661"/>
    <w:rsid w:val="00884A7E"/>
    <w:rsid w:val="00886085"/>
    <w:rsid w:val="0089125C"/>
    <w:rsid w:val="00891388"/>
    <w:rsid w:val="00891E06"/>
    <w:rsid w:val="00895BEA"/>
    <w:rsid w:val="00896C43"/>
    <w:rsid w:val="008A03D7"/>
    <w:rsid w:val="008A1B59"/>
    <w:rsid w:val="008A272B"/>
    <w:rsid w:val="008A438D"/>
    <w:rsid w:val="008B170A"/>
    <w:rsid w:val="008B37D6"/>
    <w:rsid w:val="008B524D"/>
    <w:rsid w:val="008B563B"/>
    <w:rsid w:val="008B6483"/>
    <w:rsid w:val="008C0177"/>
    <w:rsid w:val="008C08F1"/>
    <w:rsid w:val="008C1757"/>
    <w:rsid w:val="008C3032"/>
    <w:rsid w:val="008C3829"/>
    <w:rsid w:val="008C49A5"/>
    <w:rsid w:val="008C4B72"/>
    <w:rsid w:val="008D131E"/>
    <w:rsid w:val="008D26FC"/>
    <w:rsid w:val="008D2A6E"/>
    <w:rsid w:val="008D65AB"/>
    <w:rsid w:val="008D6AA5"/>
    <w:rsid w:val="008D75C3"/>
    <w:rsid w:val="008D7A04"/>
    <w:rsid w:val="008E202A"/>
    <w:rsid w:val="008E23CB"/>
    <w:rsid w:val="008E29DB"/>
    <w:rsid w:val="008E4F84"/>
    <w:rsid w:val="008E5436"/>
    <w:rsid w:val="008E5D0C"/>
    <w:rsid w:val="008E775E"/>
    <w:rsid w:val="008F0ED6"/>
    <w:rsid w:val="008F1E60"/>
    <w:rsid w:val="008F1F79"/>
    <w:rsid w:val="008F28E7"/>
    <w:rsid w:val="008F3CE8"/>
    <w:rsid w:val="008F4DEB"/>
    <w:rsid w:val="008F6922"/>
    <w:rsid w:val="008F697A"/>
    <w:rsid w:val="009002D2"/>
    <w:rsid w:val="0090160A"/>
    <w:rsid w:val="00904FA6"/>
    <w:rsid w:val="0090709A"/>
    <w:rsid w:val="00910184"/>
    <w:rsid w:val="0091127C"/>
    <w:rsid w:val="009126D0"/>
    <w:rsid w:val="00913154"/>
    <w:rsid w:val="00913192"/>
    <w:rsid w:val="00913ACC"/>
    <w:rsid w:val="00914671"/>
    <w:rsid w:val="00914C0C"/>
    <w:rsid w:val="00914F55"/>
    <w:rsid w:val="009162BC"/>
    <w:rsid w:val="009202FA"/>
    <w:rsid w:val="0092187E"/>
    <w:rsid w:val="00924387"/>
    <w:rsid w:val="009249ED"/>
    <w:rsid w:val="00930C85"/>
    <w:rsid w:val="00930E39"/>
    <w:rsid w:val="00930E53"/>
    <w:rsid w:val="0093264C"/>
    <w:rsid w:val="009332C6"/>
    <w:rsid w:val="00933955"/>
    <w:rsid w:val="00941713"/>
    <w:rsid w:val="00941C44"/>
    <w:rsid w:val="0094257E"/>
    <w:rsid w:val="00942EE5"/>
    <w:rsid w:val="00944330"/>
    <w:rsid w:val="00944338"/>
    <w:rsid w:val="009449F2"/>
    <w:rsid w:val="00945313"/>
    <w:rsid w:val="00945679"/>
    <w:rsid w:val="00945BDF"/>
    <w:rsid w:val="009545AB"/>
    <w:rsid w:val="00961F39"/>
    <w:rsid w:val="0096217A"/>
    <w:rsid w:val="009625B6"/>
    <w:rsid w:val="0096350B"/>
    <w:rsid w:val="009660FC"/>
    <w:rsid w:val="0096689A"/>
    <w:rsid w:val="00967C12"/>
    <w:rsid w:val="0097025E"/>
    <w:rsid w:val="00970BBA"/>
    <w:rsid w:val="00972FCA"/>
    <w:rsid w:val="009738DD"/>
    <w:rsid w:val="00973B54"/>
    <w:rsid w:val="0097453B"/>
    <w:rsid w:val="00974AE7"/>
    <w:rsid w:val="00974D72"/>
    <w:rsid w:val="00975FAD"/>
    <w:rsid w:val="009775A5"/>
    <w:rsid w:val="009808C5"/>
    <w:rsid w:val="00980D53"/>
    <w:rsid w:val="009824BE"/>
    <w:rsid w:val="009836A4"/>
    <w:rsid w:val="0098377D"/>
    <w:rsid w:val="00984788"/>
    <w:rsid w:val="009860D6"/>
    <w:rsid w:val="0098652F"/>
    <w:rsid w:val="00986AA4"/>
    <w:rsid w:val="0098790F"/>
    <w:rsid w:val="009927AA"/>
    <w:rsid w:val="0099283D"/>
    <w:rsid w:val="009940F4"/>
    <w:rsid w:val="009947A8"/>
    <w:rsid w:val="00994F28"/>
    <w:rsid w:val="00995361"/>
    <w:rsid w:val="00995853"/>
    <w:rsid w:val="00995BA5"/>
    <w:rsid w:val="009A1986"/>
    <w:rsid w:val="009A26AF"/>
    <w:rsid w:val="009A2901"/>
    <w:rsid w:val="009A2A90"/>
    <w:rsid w:val="009A2E2E"/>
    <w:rsid w:val="009A3C1E"/>
    <w:rsid w:val="009A420C"/>
    <w:rsid w:val="009A4E69"/>
    <w:rsid w:val="009A5815"/>
    <w:rsid w:val="009A6ECD"/>
    <w:rsid w:val="009A7056"/>
    <w:rsid w:val="009A7C22"/>
    <w:rsid w:val="009A7ED8"/>
    <w:rsid w:val="009B0CF4"/>
    <w:rsid w:val="009B1AA7"/>
    <w:rsid w:val="009B236D"/>
    <w:rsid w:val="009B3767"/>
    <w:rsid w:val="009B40BD"/>
    <w:rsid w:val="009B4ECA"/>
    <w:rsid w:val="009B6DBB"/>
    <w:rsid w:val="009B6F06"/>
    <w:rsid w:val="009C0006"/>
    <w:rsid w:val="009C1AB3"/>
    <w:rsid w:val="009C3860"/>
    <w:rsid w:val="009C392D"/>
    <w:rsid w:val="009C4A95"/>
    <w:rsid w:val="009C4FC4"/>
    <w:rsid w:val="009C5372"/>
    <w:rsid w:val="009C55CA"/>
    <w:rsid w:val="009C6713"/>
    <w:rsid w:val="009C73D4"/>
    <w:rsid w:val="009D0289"/>
    <w:rsid w:val="009D10AC"/>
    <w:rsid w:val="009D2353"/>
    <w:rsid w:val="009D2567"/>
    <w:rsid w:val="009D2717"/>
    <w:rsid w:val="009D3C94"/>
    <w:rsid w:val="009D3D92"/>
    <w:rsid w:val="009D4165"/>
    <w:rsid w:val="009D4673"/>
    <w:rsid w:val="009D4B00"/>
    <w:rsid w:val="009D5F38"/>
    <w:rsid w:val="009D6A26"/>
    <w:rsid w:val="009D78DF"/>
    <w:rsid w:val="009D7F31"/>
    <w:rsid w:val="009E0AD7"/>
    <w:rsid w:val="009E1C09"/>
    <w:rsid w:val="009E293D"/>
    <w:rsid w:val="009E38EF"/>
    <w:rsid w:val="009E4994"/>
    <w:rsid w:val="009E4AD2"/>
    <w:rsid w:val="009E55B2"/>
    <w:rsid w:val="009E5E62"/>
    <w:rsid w:val="009E6320"/>
    <w:rsid w:val="009E7135"/>
    <w:rsid w:val="009F2431"/>
    <w:rsid w:val="009F43F8"/>
    <w:rsid w:val="009F5DDE"/>
    <w:rsid w:val="009F683E"/>
    <w:rsid w:val="00A00EF8"/>
    <w:rsid w:val="00A038A3"/>
    <w:rsid w:val="00A04680"/>
    <w:rsid w:val="00A065E3"/>
    <w:rsid w:val="00A11DF4"/>
    <w:rsid w:val="00A12579"/>
    <w:rsid w:val="00A125A8"/>
    <w:rsid w:val="00A13127"/>
    <w:rsid w:val="00A13C29"/>
    <w:rsid w:val="00A14924"/>
    <w:rsid w:val="00A15204"/>
    <w:rsid w:val="00A170F9"/>
    <w:rsid w:val="00A17691"/>
    <w:rsid w:val="00A2143C"/>
    <w:rsid w:val="00A22858"/>
    <w:rsid w:val="00A22A5B"/>
    <w:rsid w:val="00A2309D"/>
    <w:rsid w:val="00A23598"/>
    <w:rsid w:val="00A25E84"/>
    <w:rsid w:val="00A26939"/>
    <w:rsid w:val="00A26969"/>
    <w:rsid w:val="00A30F3B"/>
    <w:rsid w:val="00A3368B"/>
    <w:rsid w:val="00A33F66"/>
    <w:rsid w:val="00A34945"/>
    <w:rsid w:val="00A3525B"/>
    <w:rsid w:val="00A37D9F"/>
    <w:rsid w:val="00A41A1B"/>
    <w:rsid w:val="00A41D75"/>
    <w:rsid w:val="00A42254"/>
    <w:rsid w:val="00A43CC2"/>
    <w:rsid w:val="00A45503"/>
    <w:rsid w:val="00A45777"/>
    <w:rsid w:val="00A45832"/>
    <w:rsid w:val="00A46A5C"/>
    <w:rsid w:val="00A46ED2"/>
    <w:rsid w:val="00A50E4D"/>
    <w:rsid w:val="00A5146A"/>
    <w:rsid w:val="00A54865"/>
    <w:rsid w:val="00A57BCB"/>
    <w:rsid w:val="00A633BB"/>
    <w:rsid w:val="00A63DFE"/>
    <w:rsid w:val="00A703CE"/>
    <w:rsid w:val="00A77DCC"/>
    <w:rsid w:val="00A82B2B"/>
    <w:rsid w:val="00A8389D"/>
    <w:rsid w:val="00A8624B"/>
    <w:rsid w:val="00A86F42"/>
    <w:rsid w:val="00A917D7"/>
    <w:rsid w:val="00A92F1B"/>
    <w:rsid w:val="00A9395C"/>
    <w:rsid w:val="00A952CA"/>
    <w:rsid w:val="00A9532A"/>
    <w:rsid w:val="00A95C6A"/>
    <w:rsid w:val="00A96892"/>
    <w:rsid w:val="00A96DB8"/>
    <w:rsid w:val="00AA04FA"/>
    <w:rsid w:val="00AA07D6"/>
    <w:rsid w:val="00AA0B73"/>
    <w:rsid w:val="00AA0FAF"/>
    <w:rsid w:val="00AA1D82"/>
    <w:rsid w:val="00AA32E1"/>
    <w:rsid w:val="00AA4338"/>
    <w:rsid w:val="00AA4B17"/>
    <w:rsid w:val="00AA4D69"/>
    <w:rsid w:val="00AA55F5"/>
    <w:rsid w:val="00AA6099"/>
    <w:rsid w:val="00AA7445"/>
    <w:rsid w:val="00AB06CB"/>
    <w:rsid w:val="00AB10C5"/>
    <w:rsid w:val="00AB3645"/>
    <w:rsid w:val="00AB4594"/>
    <w:rsid w:val="00AB48A3"/>
    <w:rsid w:val="00AB4C33"/>
    <w:rsid w:val="00AB5969"/>
    <w:rsid w:val="00AB697D"/>
    <w:rsid w:val="00AB7F81"/>
    <w:rsid w:val="00AC03D5"/>
    <w:rsid w:val="00AC1638"/>
    <w:rsid w:val="00AC2053"/>
    <w:rsid w:val="00AC3BA3"/>
    <w:rsid w:val="00AC3DC7"/>
    <w:rsid w:val="00AC3F67"/>
    <w:rsid w:val="00AC4042"/>
    <w:rsid w:val="00AC4A16"/>
    <w:rsid w:val="00AC6FD4"/>
    <w:rsid w:val="00AD2070"/>
    <w:rsid w:val="00AD2928"/>
    <w:rsid w:val="00AD3ADE"/>
    <w:rsid w:val="00AD5EE7"/>
    <w:rsid w:val="00AD7E3F"/>
    <w:rsid w:val="00AE06CD"/>
    <w:rsid w:val="00AE2618"/>
    <w:rsid w:val="00AE5A4B"/>
    <w:rsid w:val="00AE5F08"/>
    <w:rsid w:val="00AE6C1C"/>
    <w:rsid w:val="00AF10DB"/>
    <w:rsid w:val="00AF18E8"/>
    <w:rsid w:val="00AF1ADB"/>
    <w:rsid w:val="00AF4DA4"/>
    <w:rsid w:val="00AF6381"/>
    <w:rsid w:val="00AF698B"/>
    <w:rsid w:val="00B00659"/>
    <w:rsid w:val="00B013EE"/>
    <w:rsid w:val="00B03574"/>
    <w:rsid w:val="00B058B9"/>
    <w:rsid w:val="00B058C8"/>
    <w:rsid w:val="00B064B4"/>
    <w:rsid w:val="00B064BB"/>
    <w:rsid w:val="00B0722A"/>
    <w:rsid w:val="00B0741F"/>
    <w:rsid w:val="00B101DF"/>
    <w:rsid w:val="00B10B13"/>
    <w:rsid w:val="00B11929"/>
    <w:rsid w:val="00B11ACA"/>
    <w:rsid w:val="00B14BFF"/>
    <w:rsid w:val="00B16016"/>
    <w:rsid w:val="00B16D56"/>
    <w:rsid w:val="00B25344"/>
    <w:rsid w:val="00B255DC"/>
    <w:rsid w:val="00B2594D"/>
    <w:rsid w:val="00B310E0"/>
    <w:rsid w:val="00B31452"/>
    <w:rsid w:val="00B3297F"/>
    <w:rsid w:val="00B32B27"/>
    <w:rsid w:val="00B36590"/>
    <w:rsid w:val="00B37A52"/>
    <w:rsid w:val="00B37BBB"/>
    <w:rsid w:val="00B40C1B"/>
    <w:rsid w:val="00B41176"/>
    <w:rsid w:val="00B41C0B"/>
    <w:rsid w:val="00B41E84"/>
    <w:rsid w:val="00B455E4"/>
    <w:rsid w:val="00B46A54"/>
    <w:rsid w:val="00B46BF1"/>
    <w:rsid w:val="00B51D96"/>
    <w:rsid w:val="00B530D3"/>
    <w:rsid w:val="00B5349E"/>
    <w:rsid w:val="00B55F6D"/>
    <w:rsid w:val="00B6086D"/>
    <w:rsid w:val="00B6333B"/>
    <w:rsid w:val="00B65EA2"/>
    <w:rsid w:val="00B66079"/>
    <w:rsid w:val="00B66341"/>
    <w:rsid w:val="00B67A90"/>
    <w:rsid w:val="00B72178"/>
    <w:rsid w:val="00B7232A"/>
    <w:rsid w:val="00B726FE"/>
    <w:rsid w:val="00B753D5"/>
    <w:rsid w:val="00B80361"/>
    <w:rsid w:val="00B81F55"/>
    <w:rsid w:val="00B8395F"/>
    <w:rsid w:val="00B86487"/>
    <w:rsid w:val="00B87611"/>
    <w:rsid w:val="00B87F81"/>
    <w:rsid w:val="00B90378"/>
    <w:rsid w:val="00B906E2"/>
    <w:rsid w:val="00B92230"/>
    <w:rsid w:val="00B9253B"/>
    <w:rsid w:val="00B93474"/>
    <w:rsid w:val="00B93CC5"/>
    <w:rsid w:val="00B94236"/>
    <w:rsid w:val="00B94C31"/>
    <w:rsid w:val="00B95982"/>
    <w:rsid w:val="00B976CC"/>
    <w:rsid w:val="00BA1014"/>
    <w:rsid w:val="00BA175F"/>
    <w:rsid w:val="00BA1865"/>
    <w:rsid w:val="00BA3E5E"/>
    <w:rsid w:val="00BA4F36"/>
    <w:rsid w:val="00BA795B"/>
    <w:rsid w:val="00BB0971"/>
    <w:rsid w:val="00BB2189"/>
    <w:rsid w:val="00BB443C"/>
    <w:rsid w:val="00BB665F"/>
    <w:rsid w:val="00BB6B37"/>
    <w:rsid w:val="00BB6BBD"/>
    <w:rsid w:val="00BC1480"/>
    <w:rsid w:val="00BC1A2F"/>
    <w:rsid w:val="00BC1A50"/>
    <w:rsid w:val="00BC3A50"/>
    <w:rsid w:val="00BC3D2A"/>
    <w:rsid w:val="00BC4191"/>
    <w:rsid w:val="00BC4BE7"/>
    <w:rsid w:val="00BC4EEF"/>
    <w:rsid w:val="00BC4F0E"/>
    <w:rsid w:val="00BC7FB1"/>
    <w:rsid w:val="00BD0214"/>
    <w:rsid w:val="00BD0EA8"/>
    <w:rsid w:val="00BD1A41"/>
    <w:rsid w:val="00BD29B4"/>
    <w:rsid w:val="00BD5F3C"/>
    <w:rsid w:val="00BD6E61"/>
    <w:rsid w:val="00BD6FA6"/>
    <w:rsid w:val="00BD7F4F"/>
    <w:rsid w:val="00BE1230"/>
    <w:rsid w:val="00BE1ADD"/>
    <w:rsid w:val="00BE4173"/>
    <w:rsid w:val="00BE5180"/>
    <w:rsid w:val="00BE5E02"/>
    <w:rsid w:val="00BE7598"/>
    <w:rsid w:val="00BF135D"/>
    <w:rsid w:val="00BF3653"/>
    <w:rsid w:val="00BF476C"/>
    <w:rsid w:val="00BF57ED"/>
    <w:rsid w:val="00BF59AA"/>
    <w:rsid w:val="00C012F0"/>
    <w:rsid w:val="00C05339"/>
    <w:rsid w:val="00C06982"/>
    <w:rsid w:val="00C10BFE"/>
    <w:rsid w:val="00C12096"/>
    <w:rsid w:val="00C13A10"/>
    <w:rsid w:val="00C13AA1"/>
    <w:rsid w:val="00C150F2"/>
    <w:rsid w:val="00C16097"/>
    <w:rsid w:val="00C16D47"/>
    <w:rsid w:val="00C171A4"/>
    <w:rsid w:val="00C2161D"/>
    <w:rsid w:val="00C21743"/>
    <w:rsid w:val="00C2524E"/>
    <w:rsid w:val="00C2682D"/>
    <w:rsid w:val="00C3059B"/>
    <w:rsid w:val="00C36863"/>
    <w:rsid w:val="00C41038"/>
    <w:rsid w:val="00C41C66"/>
    <w:rsid w:val="00C46544"/>
    <w:rsid w:val="00C4689E"/>
    <w:rsid w:val="00C50978"/>
    <w:rsid w:val="00C50C7B"/>
    <w:rsid w:val="00C52AB0"/>
    <w:rsid w:val="00C55EEA"/>
    <w:rsid w:val="00C57E3E"/>
    <w:rsid w:val="00C6198D"/>
    <w:rsid w:val="00C626F5"/>
    <w:rsid w:val="00C63EC2"/>
    <w:rsid w:val="00C65A7B"/>
    <w:rsid w:val="00C679DB"/>
    <w:rsid w:val="00C707A3"/>
    <w:rsid w:val="00C712C2"/>
    <w:rsid w:val="00C721D2"/>
    <w:rsid w:val="00C74B96"/>
    <w:rsid w:val="00C753D9"/>
    <w:rsid w:val="00C75523"/>
    <w:rsid w:val="00C7598E"/>
    <w:rsid w:val="00C7629D"/>
    <w:rsid w:val="00C76BDB"/>
    <w:rsid w:val="00C8210D"/>
    <w:rsid w:val="00C831CA"/>
    <w:rsid w:val="00C84CE9"/>
    <w:rsid w:val="00C85486"/>
    <w:rsid w:val="00C86CF4"/>
    <w:rsid w:val="00C90355"/>
    <w:rsid w:val="00C91D2B"/>
    <w:rsid w:val="00C91E0F"/>
    <w:rsid w:val="00C9401A"/>
    <w:rsid w:val="00CA2EB9"/>
    <w:rsid w:val="00CA46C0"/>
    <w:rsid w:val="00CA4D53"/>
    <w:rsid w:val="00CA5D96"/>
    <w:rsid w:val="00CA6E05"/>
    <w:rsid w:val="00CA7E67"/>
    <w:rsid w:val="00CB12DE"/>
    <w:rsid w:val="00CB130B"/>
    <w:rsid w:val="00CB360D"/>
    <w:rsid w:val="00CB4D28"/>
    <w:rsid w:val="00CB554B"/>
    <w:rsid w:val="00CB63E6"/>
    <w:rsid w:val="00CC27BD"/>
    <w:rsid w:val="00CC3006"/>
    <w:rsid w:val="00CC78C7"/>
    <w:rsid w:val="00CD1C04"/>
    <w:rsid w:val="00CD25B4"/>
    <w:rsid w:val="00CD2874"/>
    <w:rsid w:val="00CD2F51"/>
    <w:rsid w:val="00CD37A0"/>
    <w:rsid w:val="00CD3A7B"/>
    <w:rsid w:val="00CD43EA"/>
    <w:rsid w:val="00CD5671"/>
    <w:rsid w:val="00CD5A8E"/>
    <w:rsid w:val="00CD755A"/>
    <w:rsid w:val="00CD7845"/>
    <w:rsid w:val="00CE413A"/>
    <w:rsid w:val="00CE5E44"/>
    <w:rsid w:val="00CE60E9"/>
    <w:rsid w:val="00CE6EDF"/>
    <w:rsid w:val="00CE7503"/>
    <w:rsid w:val="00CF13D1"/>
    <w:rsid w:val="00CF3170"/>
    <w:rsid w:val="00CF450C"/>
    <w:rsid w:val="00CF451A"/>
    <w:rsid w:val="00D010F9"/>
    <w:rsid w:val="00D036F6"/>
    <w:rsid w:val="00D03EDE"/>
    <w:rsid w:val="00D03F60"/>
    <w:rsid w:val="00D04B5E"/>
    <w:rsid w:val="00D04C20"/>
    <w:rsid w:val="00D05D2C"/>
    <w:rsid w:val="00D06166"/>
    <w:rsid w:val="00D0656A"/>
    <w:rsid w:val="00D10092"/>
    <w:rsid w:val="00D10FAC"/>
    <w:rsid w:val="00D1260A"/>
    <w:rsid w:val="00D12DDF"/>
    <w:rsid w:val="00D13840"/>
    <w:rsid w:val="00D14C7A"/>
    <w:rsid w:val="00D157D7"/>
    <w:rsid w:val="00D1595F"/>
    <w:rsid w:val="00D17B62"/>
    <w:rsid w:val="00D2204F"/>
    <w:rsid w:val="00D2279D"/>
    <w:rsid w:val="00D228B9"/>
    <w:rsid w:val="00D238BB"/>
    <w:rsid w:val="00D245B6"/>
    <w:rsid w:val="00D25328"/>
    <w:rsid w:val="00D2683F"/>
    <w:rsid w:val="00D268E8"/>
    <w:rsid w:val="00D30960"/>
    <w:rsid w:val="00D31532"/>
    <w:rsid w:val="00D31673"/>
    <w:rsid w:val="00D316A5"/>
    <w:rsid w:val="00D350C2"/>
    <w:rsid w:val="00D3569F"/>
    <w:rsid w:val="00D36A7E"/>
    <w:rsid w:val="00D41BE9"/>
    <w:rsid w:val="00D4269C"/>
    <w:rsid w:val="00D42F62"/>
    <w:rsid w:val="00D437D8"/>
    <w:rsid w:val="00D46FC5"/>
    <w:rsid w:val="00D5270B"/>
    <w:rsid w:val="00D53C3B"/>
    <w:rsid w:val="00D5541E"/>
    <w:rsid w:val="00D55481"/>
    <w:rsid w:val="00D563D1"/>
    <w:rsid w:val="00D57C26"/>
    <w:rsid w:val="00D60C4D"/>
    <w:rsid w:val="00D620FD"/>
    <w:rsid w:val="00D62FFF"/>
    <w:rsid w:val="00D63123"/>
    <w:rsid w:val="00D6314A"/>
    <w:rsid w:val="00D6338F"/>
    <w:rsid w:val="00D63B23"/>
    <w:rsid w:val="00D670C1"/>
    <w:rsid w:val="00D67542"/>
    <w:rsid w:val="00D6773C"/>
    <w:rsid w:val="00D67E02"/>
    <w:rsid w:val="00D709AF"/>
    <w:rsid w:val="00D7119F"/>
    <w:rsid w:val="00D723AB"/>
    <w:rsid w:val="00D72753"/>
    <w:rsid w:val="00D73CC3"/>
    <w:rsid w:val="00D7536D"/>
    <w:rsid w:val="00D75CE8"/>
    <w:rsid w:val="00D75E69"/>
    <w:rsid w:val="00D75F95"/>
    <w:rsid w:val="00D77F26"/>
    <w:rsid w:val="00D80A32"/>
    <w:rsid w:val="00D80EBF"/>
    <w:rsid w:val="00D80FDD"/>
    <w:rsid w:val="00D817D9"/>
    <w:rsid w:val="00D85238"/>
    <w:rsid w:val="00D87517"/>
    <w:rsid w:val="00D91C6B"/>
    <w:rsid w:val="00D920B8"/>
    <w:rsid w:val="00D93E62"/>
    <w:rsid w:val="00D947E2"/>
    <w:rsid w:val="00D95E75"/>
    <w:rsid w:val="00D960CA"/>
    <w:rsid w:val="00D97392"/>
    <w:rsid w:val="00D97879"/>
    <w:rsid w:val="00D97B59"/>
    <w:rsid w:val="00DA09AC"/>
    <w:rsid w:val="00DA1DCB"/>
    <w:rsid w:val="00DA22A1"/>
    <w:rsid w:val="00DA364F"/>
    <w:rsid w:val="00DA3FE6"/>
    <w:rsid w:val="00DA4F82"/>
    <w:rsid w:val="00DA69FF"/>
    <w:rsid w:val="00DA6A93"/>
    <w:rsid w:val="00DB21B2"/>
    <w:rsid w:val="00DB2937"/>
    <w:rsid w:val="00DB2A40"/>
    <w:rsid w:val="00DB36E6"/>
    <w:rsid w:val="00DB3A3D"/>
    <w:rsid w:val="00DB41D5"/>
    <w:rsid w:val="00DB49AA"/>
    <w:rsid w:val="00DB6C85"/>
    <w:rsid w:val="00DB6EAA"/>
    <w:rsid w:val="00DB79D4"/>
    <w:rsid w:val="00DC17A5"/>
    <w:rsid w:val="00DC1E39"/>
    <w:rsid w:val="00DC2A22"/>
    <w:rsid w:val="00DC2C95"/>
    <w:rsid w:val="00DC3989"/>
    <w:rsid w:val="00DC3FD7"/>
    <w:rsid w:val="00DC443C"/>
    <w:rsid w:val="00DC79AF"/>
    <w:rsid w:val="00DD0148"/>
    <w:rsid w:val="00DD2F47"/>
    <w:rsid w:val="00DD6A15"/>
    <w:rsid w:val="00DD6A6F"/>
    <w:rsid w:val="00DE2C69"/>
    <w:rsid w:val="00DE3B48"/>
    <w:rsid w:val="00DE474C"/>
    <w:rsid w:val="00DE4AD7"/>
    <w:rsid w:val="00DF0404"/>
    <w:rsid w:val="00DF0E2E"/>
    <w:rsid w:val="00E0081C"/>
    <w:rsid w:val="00E00BB4"/>
    <w:rsid w:val="00E013B4"/>
    <w:rsid w:val="00E01A0C"/>
    <w:rsid w:val="00E01F7C"/>
    <w:rsid w:val="00E054D1"/>
    <w:rsid w:val="00E05887"/>
    <w:rsid w:val="00E06E5C"/>
    <w:rsid w:val="00E07DA7"/>
    <w:rsid w:val="00E1156B"/>
    <w:rsid w:val="00E12FF1"/>
    <w:rsid w:val="00E151F9"/>
    <w:rsid w:val="00E16C36"/>
    <w:rsid w:val="00E17046"/>
    <w:rsid w:val="00E17423"/>
    <w:rsid w:val="00E17F99"/>
    <w:rsid w:val="00E20E7A"/>
    <w:rsid w:val="00E22C24"/>
    <w:rsid w:val="00E2414F"/>
    <w:rsid w:val="00E24EE4"/>
    <w:rsid w:val="00E26C10"/>
    <w:rsid w:val="00E27230"/>
    <w:rsid w:val="00E27698"/>
    <w:rsid w:val="00E27CB0"/>
    <w:rsid w:val="00E33219"/>
    <w:rsid w:val="00E37646"/>
    <w:rsid w:val="00E37710"/>
    <w:rsid w:val="00E4078E"/>
    <w:rsid w:val="00E43547"/>
    <w:rsid w:val="00E461F6"/>
    <w:rsid w:val="00E47896"/>
    <w:rsid w:val="00E50181"/>
    <w:rsid w:val="00E50480"/>
    <w:rsid w:val="00E504DB"/>
    <w:rsid w:val="00E5486B"/>
    <w:rsid w:val="00E54CE6"/>
    <w:rsid w:val="00E55C7C"/>
    <w:rsid w:val="00E60CE2"/>
    <w:rsid w:val="00E60E3F"/>
    <w:rsid w:val="00E61730"/>
    <w:rsid w:val="00E6221B"/>
    <w:rsid w:val="00E622CD"/>
    <w:rsid w:val="00E634F9"/>
    <w:rsid w:val="00E66BD5"/>
    <w:rsid w:val="00E6788D"/>
    <w:rsid w:val="00E678F7"/>
    <w:rsid w:val="00E67F26"/>
    <w:rsid w:val="00E7138A"/>
    <w:rsid w:val="00E71AB3"/>
    <w:rsid w:val="00E74661"/>
    <w:rsid w:val="00E7782F"/>
    <w:rsid w:val="00E81457"/>
    <w:rsid w:val="00E8163A"/>
    <w:rsid w:val="00E81D75"/>
    <w:rsid w:val="00E829A6"/>
    <w:rsid w:val="00E84FC7"/>
    <w:rsid w:val="00E85CF0"/>
    <w:rsid w:val="00E85F87"/>
    <w:rsid w:val="00E86478"/>
    <w:rsid w:val="00E8729E"/>
    <w:rsid w:val="00E92BA7"/>
    <w:rsid w:val="00E94097"/>
    <w:rsid w:val="00EA1310"/>
    <w:rsid w:val="00EA15A6"/>
    <w:rsid w:val="00EA1BB7"/>
    <w:rsid w:val="00EA20A5"/>
    <w:rsid w:val="00EA3139"/>
    <w:rsid w:val="00EA3C54"/>
    <w:rsid w:val="00EA4AF1"/>
    <w:rsid w:val="00EA56DA"/>
    <w:rsid w:val="00EA5E90"/>
    <w:rsid w:val="00EB136F"/>
    <w:rsid w:val="00EB1F0F"/>
    <w:rsid w:val="00EB580F"/>
    <w:rsid w:val="00EB5815"/>
    <w:rsid w:val="00EB5817"/>
    <w:rsid w:val="00EB6155"/>
    <w:rsid w:val="00EB65D1"/>
    <w:rsid w:val="00EB6EAA"/>
    <w:rsid w:val="00EC179D"/>
    <w:rsid w:val="00EC1DE2"/>
    <w:rsid w:val="00EC2A56"/>
    <w:rsid w:val="00EC3864"/>
    <w:rsid w:val="00EC4498"/>
    <w:rsid w:val="00EC5482"/>
    <w:rsid w:val="00EC5EAA"/>
    <w:rsid w:val="00ED17C0"/>
    <w:rsid w:val="00ED4312"/>
    <w:rsid w:val="00ED6094"/>
    <w:rsid w:val="00ED699F"/>
    <w:rsid w:val="00ED69A1"/>
    <w:rsid w:val="00ED7510"/>
    <w:rsid w:val="00ED7F73"/>
    <w:rsid w:val="00EE2E40"/>
    <w:rsid w:val="00EF50DE"/>
    <w:rsid w:val="00EF5FD9"/>
    <w:rsid w:val="00EF6246"/>
    <w:rsid w:val="00EF7DCF"/>
    <w:rsid w:val="00F01A67"/>
    <w:rsid w:val="00F02BF1"/>
    <w:rsid w:val="00F02FB7"/>
    <w:rsid w:val="00F030AD"/>
    <w:rsid w:val="00F048F7"/>
    <w:rsid w:val="00F049E3"/>
    <w:rsid w:val="00F069FC"/>
    <w:rsid w:val="00F07081"/>
    <w:rsid w:val="00F12509"/>
    <w:rsid w:val="00F14036"/>
    <w:rsid w:val="00F1423B"/>
    <w:rsid w:val="00F14FBA"/>
    <w:rsid w:val="00F1563B"/>
    <w:rsid w:val="00F1704A"/>
    <w:rsid w:val="00F17732"/>
    <w:rsid w:val="00F20162"/>
    <w:rsid w:val="00F20698"/>
    <w:rsid w:val="00F21DB9"/>
    <w:rsid w:val="00F22A0B"/>
    <w:rsid w:val="00F254B3"/>
    <w:rsid w:val="00F25627"/>
    <w:rsid w:val="00F2731E"/>
    <w:rsid w:val="00F27BDE"/>
    <w:rsid w:val="00F27F30"/>
    <w:rsid w:val="00F30615"/>
    <w:rsid w:val="00F31796"/>
    <w:rsid w:val="00F31A91"/>
    <w:rsid w:val="00F32843"/>
    <w:rsid w:val="00F32C1C"/>
    <w:rsid w:val="00F32EF2"/>
    <w:rsid w:val="00F33BC1"/>
    <w:rsid w:val="00F36370"/>
    <w:rsid w:val="00F4065A"/>
    <w:rsid w:val="00F4081C"/>
    <w:rsid w:val="00F40839"/>
    <w:rsid w:val="00F41EA1"/>
    <w:rsid w:val="00F44067"/>
    <w:rsid w:val="00F44E69"/>
    <w:rsid w:val="00F47484"/>
    <w:rsid w:val="00F476E8"/>
    <w:rsid w:val="00F5103E"/>
    <w:rsid w:val="00F518DE"/>
    <w:rsid w:val="00F51B50"/>
    <w:rsid w:val="00F51DEA"/>
    <w:rsid w:val="00F52058"/>
    <w:rsid w:val="00F52882"/>
    <w:rsid w:val="00F53382"/>
    <w:rsid w:val="00F5560C"/>
    <w:rsid w:val="00F55E70"/>
    <w:rsid w:val="00F60DA5"/>
    <w:rsid w:val="00F61BFA"/>
    <w:rsid w:val="00F61ED5"/>
    <w:rsid w:val="00F62E77"/>
    <w:rsid w:val="00F63C10"/>
    <w:rsid w:val="00F63D0F"/>
    <w:rsid w:val="00F6429D"/>
    <w:rsid w:val="00F661E8"/>
    <w:rsid w:val="00F67855"/>
    <w:rsid w:val="00F711C1"/>
    <w:rsid w:val="00F71493"/>
    <w:rsid w:val="00F7175B"/>
    <w:rsid w:val="00F7342D"/>
    <w:rsid w:val="00F73C1B"/>
    <w:rsid w:val="00F75A1E"/>
    <w:rsid w:val="00F76C92"/>
    <w:rsid w:val="00F814CB"/>
    <w:rsid w:val="00F821DE"/>
    <w:rsid w:val="00F82AC3"/>
    <w:rsid w:val="00F8526A"/>
    <w:rsid w:val="00F85798"/>
    <w:rsid w:val="00F9147F"/>
    <w:rsid w:val="00F9339B"/>
    <w:rsid w:val="00F94AE7"/>
    <w:rsid w:val="00F94F67"/>
    <w:rsid w:val="00F95647"/>
    <w:rsid w:val="00FA112D"/>
    <w:rsid w:val="00FA182C"/>
    <w:rsid w:val="00FA28C4"/>
    <w:rsid w:val="00FA3374"/>
    <w:rsid w:val="00FA3850"/>
    <w:rsid w:val="00FA45CB"/>
    <w:rsid w:val="00FA5B9B"/>
    <w:rsid w:val="00FA5F5B"/>
    <w:rsid w:val="00FA71A5"/>
    <w:rsid w:val="00FA7FB8"/>
    <w:rsid w:val="00FB083E"/>
    <w:rsid w:val="00FB0FF2"/>
    <w:rsid w:val="00FB12C7"/>
    <w:rsid w:val="00FB29A6"/>
    <w:rsid w:val="00FB401D"/>
    <w:rsid w:val="00FB4565"/>
    <w:rsid w:val="00FB647E"/>
    <w:rsid w:val="00FB6CED"/>
    <w:rsid w:val="00FB7DC9"/>
    <w:rsid w:val="00FC103A"/>
    <w:rsid w:val="00FC38CE"/>
    <w:rsid w:val="00FC5662"/>
    <w:rsid w:val="00FC57D5"/>
    <w:rsid w:val="00FC6D1D"/>
    <w:rsid w:val="00FC71D0"/>
    <w:rsid w:val="00FD0931"/>
    <w:rsid w:val="00FD1AA6"/>
    <w:rsid w:val="00FE1B97"/>
    <w:rsid w:val="00FE2916"/>
    <w:rsid w:val="00FE2DB5"/>
    <w:rsid w:val="00FE6C02"/>
    <w:rsid w:val="00FF05C0"/>
    <w:rsid w:val="00FF1F8D"/>
    <w:rsid w:val="00FF28BC"/>
    <w:rsid w:val="00FF35A9"/>
    <w:rsid w:val="00FF3D83"/>
    <w:rsid w:val="00FF4C94"/>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B0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0B"/>
    <w:pPr>
      <w:spacing w:after="0" w:line="240" w:lineRule="auto"/>
      <w:jc w:val="both"/>
    </w:pPr>
    <w:rPr>
      <w:rFonts w:ascii="Verdana" w:eastAsia="Calibri" w:hAnsi="Verdana" w:cs="Calibri"/>
      <w:sz w:val="20"/>
      <w:lang w:val="es-MX"/>
    </w:rPr>
  </w:style>
  <w:style w:type="paragraph" w:styleId="Heading1">
    <w:name w:val="heading 1"/>
    <w:aliases w:val="Título Verdana"/>
    <w:basedOn w:val="Normal"/>
    <w:next w:val="Normal"/>
    <w:link w:val="Heading1Char"/>
    <w:uiPriority w:val="9"/>
    <w:qFormat/>
    <w:rsid w:val="003D717E"/>
    <w:pPr>
      <w:jc w:val="center"/>
      <w:outlineLvl w:val="0"/>
    </w:pPr>
    <w:rPr>
      <w:b/>
      <w:lang w:eastAsia="es-CR"/>
    </w:rPr>
  </w:style>
  <w:style w:type="paragraph" w:styleId="Heading2">
    <w:name w:val="heading 2"/>
    <w:basedOn w:val="Normal"/>
    <w:next w:val="Normal"/>
    <w:link w:val="Heading2Char"/>
    <w:uiPriority w:val="9"/>
    <w:unhideWhenUsed/>
    <w:qFormat/>
    <w:rsid w:val="003D717E"/>
    <w:pPr>
      <w:tabs>
        <w:tab w:val="left" w:pos="567"/>
        <w:tab w:val="left" w:pos="993"/>
      </w:tabs>
      <w:ind w:left="930" w:hanging="360"/>
      <w:outlineLvl w:val="1"/>
    </w:pPr>
    <w:rPr>
      <w:b/>
      <w:i/>
      <w:lang w:eastAsia="es-MX"/>
    </w:rPr>
  </w:style>
  <w:style w:type="paragraph" w:styleId="Heading3">
    <w:name w:val="heading 3"/>
    <w:basedOn w:val="Normal"/>
    <w:next w:val="Normal"/>
    <w:link w:val="Heading3Char"/>
    <w:uiPriority w:val="9"/>
    <w:unhideWhenUsed/>
    <w:qFormat/>
    <w:rsid w:val="003D717E"/>
    <w:pPr>
      <w:ind w:left="993"/>
      <w:outlineLvl w:val="2"/>
    </w:pPr>
    <w:rPr>
      <w:b/>
      <w:lang w:val="es-ES"/>
    </w:rPr>
  </w:style>
  <w:style w:type="paragraph" w:styleId="Heading4">
    <w:name w:val="heading 4"/>
    <w:basedOn w:val="Heading3"/>
    <w:next w:val="Normal"/>
    <w:link w:val="Heading4Char"/>
    <w:uiPriority w:val="9"/>
    <w:unhideWhenUsed/>
    <w:qFormat/>
    <w:rsid w:val="003D717E"/>
    <w:pPr>
      <w:ind w:left="1418"/>
      <w:outlineLvl w:val="3"/>
    </w:pPr>
    <w:rPr>
      <w:b w:val="0"/>
      <w:u w:val="single"/>
    </w:rPr>
  </w:style>
  <w:style w:type="paragraph" w:styleId="Heading5">
    <w:name w:val="heading 5"/>
    <w:basedOn w:val="Normal"/>
    <w:next w:val="Normal"/>
    <w:link w:val="Heading5Char"/>
    <w:uiPriority w:val="9"/>
    <w:semiHidden/>
    <w:unhideWhenUsed/>
    <w:qFormat/>
    <w:rsid w:val="003D71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3D717E"/>
    <w:pPr>
      <w:keepNext w:val="0"/>
      <w:keepLines w:val="0"/>
      <w:numPr>
        <w:ilvl w:val="4"/>
        <w:numId w:val="2"/>
      </w:numPr>
      <w:spacing w:before="0"/>
      <w:outlineLvl w:val="5"/>
    </w:pPr>
    <w:rPr>
      <w:rFonts w:ascii="Verdana" w:eastAsia="Times New Roman" w:hAnsi="Verdana" w:cs="Times New Roman"/>
      <w:color w:val="auto"/>
      <w:spacing w:val="-2"/>
      <w:szCs w:val="20"/>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3D717E"/>
    <w:rPr>
      <w:rFonts w:ascii="Verdana" w:eastAsia="Calibri" w:hAnsi="Verdana" w:cs="Calibri"/>
      <w:b/>
      <w:sz w:val="20"/>
      <w:lang w:val="es-MX" w:eastAsia="es-CR"/>
    </w:rPr>
  </w:style>
  <w:style w:type="character" w:customStyle="1" w:styleId="Heading2Char">
    <w:name w:val="Heading 2 Char"/>
    <w:basedOn w:val="DefaultParagraphFont"/>
    <w:link w:val="Heading2"/>
    <w:uiPriority w:val="9"/>
    <w:rsid w:val="003D717E"/>
    <w:rPr>
      <w:rFonts w:ascii="Verdana" w:eastAsia="Calibri" w:hAnsi="Verdana" w:cs="Calibri"/>
      <w:b/>
      <w:i/>
      <w:sz w:val="20"/>
      <w:lang w:val="es-MX" w:eastAsia="es-MX"/>
    </w:rPr>
  </w:style>
  <w:style w:type="character" w:customStyle="1" w:styleId="Heading3Char">
    <w:name w:val="Heading 3 Char"/>
    <w:basedOn w:val="DefaultParagraphFont"/>
    <w:link w:val="Heading3"/>
    <w:uiPriority w:val="9"/>
    <w:rsid w:val="003D717E"/>
    <w:rPr>
      <w:rFonts w:ascii="Verdana" w:eastAsia="Calibri" w:hAnsi="Verdana" w:cs="Calibri"/>
      <w:b/>
      <w:sz w:val="20"/>
      <w:lang w:val="es-ES"/>
    </w:rPr>
  </w:style>
  <w:style w:type="character" w:customStyle="1" w:styleId="Heading4Char">
    <w:name w:val="Heading 4 Char"/>
    <w:basedOn w:val="DefaultParagraphFont"/>
    <w:link w:val="Heading4"/>
    <w:uiPriority w:val="9"/>
    <w:rsid w:val="003D717E"/>
    <w:rPr>
      <w:rFonts w:ascii="Verdana" w:eastAsia="Calibri" w:hAnsi="Verdana" w:cs="Calibri"/>
      <w:sz w:val="20"/>
      <w:u w:val="single"/>
      <w:lang w:val="es-ES"/>
    </w:rPr>
  </w:style>
  <w:style w:type="character" w:customStyle="1" w:styleId="Heading5Char">
    <w:name w:val="Heading 5 Char"/>
    <w:basedOn w:val="DefaultParagraphFont"/>
    <w:link w:val="Heading5"/>
    <w:uiPriority w:val="9"/>
    <w:semiHidden/>
    <w:rsid w:val="003D717E"/>
    <w:rPr>
      <w:rFonts w:asciiTheme="majorHAnsi" w:eastAsiaTheme="majorEastAsia" w:hAnsiTheme="majorHAnsi" w:cstheme="majorBidi"/>
      <w:color w:val="243F60" w:themeColor="accent1" w:themeShade="7F"/>
      <w:sz w:val="20"/>
      <w:lang w:val="es-MX"/>
    </w:rPr>
  </w:style>
  <w:style w:type="character" w:customStyle="1" w:styleId="Heading6Char">
    <w:name w:val="Heading 6 Char"/>
    <w:basedOn w:val="DefaultParagraphFont"/>
    <w:link w:val="Heading6"/>
    <w:uiPriority w:val="9"/>
    <w:rsid w:val="003D717E"/>
    <w:rPr>
      <w:rFonts w:ascii="Verdana" w:eastAsia="Times New Roman" w:hAnsi="Verdana" w:cs="Times New Roman"/>
      <w:spacing w:val="-2"/>
      <w:sz w:val="20"/>
      <w:szCs w:val="20"/>
      <w:lang w:val="es-ES_tradnl" w:eastAsia="es-CR"/>
    </w:rPr>
  </w:style>
  <w:style w:type="paragraph" w:styleId="Title">
    <w:name w:val="Title"/>
    <w:basedOn w:val="Normal"/>
    <w:next w:val="Normal"/>
    <w:link w:val="TitleChar"/>
    <w:uiPriority w:val="10"/>
    <w:qFormat/>
    <w:rsid w:val="003D717E"/>
    <w:pPr>
      <w:jc w:val="center"/>
    </w:pPr>
    <w:rPr>
      <w:b/>
    </w:rPr>
  </w:style>
  <w:style w:type="character" w:customStyle="1" w:styleId="TitleChar">
    <w:name w:val="Title Char"/>
    <w:basedOn w:val="DefaultParagraphFont"/>
    <w:link w:val="Title"/>
    <w:uiPriority w:val="10"/>
    <w:rsid w:val="003D717E"/>
    <w:rPr>
      <w:rFonts w:ascii="Verdana" w:eastAsia="Calibri" w:hAnsi="Verdana" w:cs="Calibri"/>
      <w:b/>
      <w:sz w:val="20"/>
      <w:lang w:val="es-MX"/>
    </w:rPr>
  </w:style>
  <w:style w:type="paragraph" w:styleId="ListParagraph">
    <w:name w:val="List Paragraph"/>
    <w:aliases w:val="Footnote,List Paragraph1,Párrafo de lista1"/>
    <w:basedOn w:val="Normal"/>
    <w:link w:val="ListParagraphChar"/>
    <w:uiPriority w:val="34"/>
    <w:qFormat/>
    <w:rsid w:val="003D717E"/>
    <w:pPr>
      <w:widowControl w:val="0"/>
      <w:numPr>
        <w:ilvl w:val="1"/>
        <w:numId w:val="1"/>
      </w:numPr>
      <w:autoSpaceDE w:val="0"/>
      <w:autoSpaceDN w:val="0"/>
      <w:adjustRightInd w:val="0"/>
      <w:ind w:right="22"/>
    </w:pPr>
    <w:rPr>
      <w:rFonts w:cs="Verdana"/>
      <w:szCs w:val="20"/>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uiPriority w:val="99"/>
    <w:qFormat/>
    <w:rsid w:val="003D717E"/>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qFormat/>
    <w:rsid w:val="003D717E"/>
    <w:pPr>
      <w:tabs>
        <w:tab w:val="left" w:pos="567"/>
      </w:tabs>
    </w:pPr>
    <w:rPr>
      <w:rFonts w:cs="Verdana"/>
      <w:sz w:val="16"/>
      <w:szCs w:val="16"/>
      <w:lang w:val="es-ES_tradnl" w:eastAsia="es-ES"/>
    </w:rPr>
  </w:style>
  <w:style w:type="character" w:customStyle="1" w:styleId="FootnoteTextChar">
    <w:name w:val="Footnote Text Char"/>
    <w:aliases w:val="Footnote Text Cha Char,FA Fuﬂnotentext Char,Ca Char,C Char,2. Footnote Text Char,Footnote Tesina Char,FA Fu Char1,Footnote Text Char Char Char Char Char Char1,Footnote Text Char Char Char Char Char2,Footnote reference Char1"/>
    <w:basedOn w:val="DefaultParagraphFont"/>
    <w:rsid w:val="003D717E"/>
    <w:rPr>
      <w:rFonts w:ascii="Verdana" w:eastAsia="Calibri" w:hAnsi="Verdana" w:cs="Calibri"/>
      <w:sz w:val="20"/>
      <w:szCs w:val="20"/>
      <w:lang w:val="es-MX"/>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ink w:val="FootnoteText"/>
    <w:locked/>
    <w:rsid w:val="003D717E"/>
    <w:rPr>
      <w:rFonts w:ascii="Verdana" w:eastAsia="Calibri" w:hAnsi="Verdana" w:cs="Verdana"/>
      <w:sz w:val="16"/>
      <w:szCs w:val="16"/>
      <w:lang w:val="es-ES_tradnl" w:eastAsia="es-ES"/>
    </w:rPr>
  </w:style>
  <w:style w:type="paragraph" w:styleId="BodyText">
    <w:name w:val="Body Text"/>
    <w:basedOn w:val="Normal"/>
    <w:link w:val="BodyTextChar"/>
    <w:uiPriority w:val="99"/>
    <w:semiHidden/>
    <w:rsid w:val="003D717E"/>
    <w:pPr>
      <w:spacing w:after="120"/>
    </w:pPr>
    <w:rPr>
      <w:rFonts w:ascii="Times" w:hAnsi="Times" w:cs="Times"/>
      <w:sz w:val="24"/>
      <w:szCs w:val="24"/>
      <w:lang w:val="es-ES_tradnl" w:eastAsia="es-ES"/>
    </w:rPr>
  </w:style>
  <w:style w:type="character" w:customStyle="1" w:styleId="BodyTextChar">
    <w:name w:val="Body Text Char"/>
    <w:basedOn w:val="DefaultParagraphFont"/>
    <w:link w:val="BodyText"/>
    <w:uiPriority w:val="99"/>
    <w:semiHidden/>
    <w:rsid w:val="003D717E"/>
    <w:rPr>
      <w:rFonts w:ascii="Times" w:eastAsia="Calibri" w:hAnsi="Times" w:cs="Times"/>
      <w:sz w:val="24"/>
      <w:szCs w:val="24"/>
      <w:lang w:val="es-ES_tradnl" w:eastAsia="es-ES"/>
    </w:rPr>
  </w:style>
  <w:style w:type="paragraph" w:styleId="Header">
    <w:name w:val="header"/>
    <w:basedOn w:val="Normal"/>
    <w:link w:val="HeaderChar"/>
    <w:uiPriority w:val="99"/>
    <w:rsid w:val="003D717E"/>
    <w:pPr>
      <w:tabs>
        <w:tab w:val="center" w:pos="4252"/>
        <w:tab w:val="right" w:pos="8504"/>
      </w:tabs>
    </w:pPr>
  </w:style>
  <w:style w:type="character" w:customStyle="1" w:styleId="HeaderChar">
    <w:name w:val="Header Char"/>
    <w:basedOn w:val="DefaultParagraphFont"/>
    <w:link w:val="Header"/>
    <w:uiPriority w:val="99"/>
    <w:rsid w:val="003D717E"/>
    <w:rPr>
      <w:rFonts w:ascii="Verdana" w:eastAsia="Calibri" w:hAnsi="Verdana" w:cs="Calibri"/>
      <w:sz w:val="20"/>
      <w:lang w:val="es-MX"/>
    </w:rPr>
  </w:style>
  <w:style w:type="paragraph" w:customStyle="1" w:styleId="ColorfulList-Accent11">
    <w:name w:val="Colorful List - Accent 11"/>
    <w:basedOn w:val="Normal"/>
    <w:uiPriority w:val="99"/>
    <w:rsid w:val="003D717E"/>
    <w:pPr>
      <w:ind w:left="720"/>
    </w:pPr>
    <w:rPr>
      <w:rFonts w:ascii="Times" w:eastAsia="MS Mincho" w:hAnsi="Times" w:cs="Times"/>
      <w:sz w:val="24"/>
      <w:szCs w:val="24"/>
      <w:lang w:val="es-ES_tradnl"/>
    </w:rPr>
  </w:style>
  <w:style w:type="paragraph" w:customStyle="1" w:styleId="Default">
    <w:name w:val="Default"/>
    <w:rsid w:val="003D717E"/>
    <w:pPr>
      <w:autoSpaceDE w:val="0"/>
      <w:autoSpaceDN w:val="0"/>
      <w:adjustRightInd w:val="0"/>
      <w:spacing w:after="0" w:line="240" w:lineRule="auto"/>
    </w:pPr>
    <w:rPr>
      <w:rFonts w:ascii="Arial" w:eastAsia="MS Mincho" w:hAnsi="Arial" w:cs="Arial"/>
      <w:color w:val="000000"/>
      <w:sz w:val="24"/>
      <w:szCs w:val="24"/>
      <w:lang w:val="es-ES" w:eastAsia="es-ES"/>
    </w:rPr>
  </w:style>
  <w:style w:type="character" w:customStyle="1" w:styleId="apple-converted-space">
    <w:name w:val="apple-converted-space"/>
    <w:basedOn w:val="DefaultParagraphFont"/>
    <w:rsid w:val="003D717E"/>
  </w:style>
  <w:style w:type="paragraph" w:styleId="BalloonText">
    <w:name w:val="Balloon Text"/>
    <w:basedOn w:val="Normal"/>
    <w:link w:val="BalloonTextChar"/>
    <w:uiPriority w:val="99"/>
    <w:semiHidden/>
    <w:unhideWhenUsed/>
    <w:rsid w:val="003D717E"/>
    <w:rPr>
      <w:rFonts w:ascii="Tahoma" w:hAnsi="Tahoma" w:cs="Tahoma"/>
      <w:sz w:val="16"/>
      <w:szCs w:val="16"/>
    </w:rPr>
  </w:style>
  <w:style w:type="character" w:customStyle="1" w:styleId="BalloonTextChar">
    <w:name w:val="Balloon Text Char"/>
    <w:basedOn w:val="DefaultParagraphFont"/>
    <w:link w:val="BalloonText"/>
    <w:uiPriority w:val="99"/>
    <w:semiHidden/>
    <w:rsid w:val="003D717E"/>
    <w:rPr>
      <w:rFonts w:ascii="Tahoma" w:eastAsia="Calibri" w:hAnsi="Tahoma" w:cs="Tahoma"/>
      <w:sz w:val="16"/>
      <w:szCs w:val="16"/>
      <w:lang w:val="es-MX"/>
    </w:rPr>
  </w:style>
  <w:style w:type="character" w:styleId="CommentReference">
    <w:name w:val="annotation reference"/>
    <w:basedOn w:val="DefaultParagraphFont"/>
    <w:unhideWhenUsed/>
    <w:rsid w:val="003D717E"/>
    <w:rPr>
      <w:sz w:val="18"/>
      <w:szCs w:val="18"/>
    </w:rPr>
  </w:style>
  <w:style w:type="paragraph" w:styleId="CommentText">
    <w:name w:val="annotation text"/>
    <w:basedOn w:val="Normal"/>
    <w:link w:val="CommentTextChar"/>
    <w:uiPriority w:val="99"/>
    <w:unhideWhenUsed/>
    <w:rsid w:val="003D717E"/>
    <w:rPr>
      <w:sz w:val="24"/>
      <w:szCs w:val="24"/>
    </w:rPr>
  </w:style>
  <w:style w:type="character" w:customStyle="1" w:styleId="CommentTextChar">
    <w:name w:val="Comment Text Char"/>
    <w:basedOn w:val="DefaultParagraphFont"/>
    <w:link w:val="CommentText"/>
    <w:uiPriority w:val="99"/>
    <w:rsid w:val="003D717E"/>
    <w:rPr>
      <w:rFonts w:ascii="Verdana" w:eastAsia="Calibri" w:hAnsi="Verdana" w:cs="Calibri"/>
      <w:sz w:val="24"/>
      <w:szCs w:val="24"/>
      <w:lang w:val="es-MX"/>
    </w:rPr>
  </w:style>
  <w:style w:type="paragraph" w:styleId="CommentSubject">
    <w:name w:val="annotation subject"/>
    <w:basedOn w:val="CommentText"/>
    <w:next w:val="CommentText"/>
    <w:link w:val="CommentSubjectChar"/>
    <w:uiPriority w:val="99"/>
    <w:semiHidden/>
    <w:unhideWhenUsed/>
    <w:rsid w:val="003D717E"/>
    <w:rPr>
      <w:b/>
      <w:bCs/>
      <w:sz w:val="20"/>
      <w:szCs w:val="20"/>
    </w:rPr>
  </w:style>
  <w:style w:type="character" w:customStyle="1" w:styleId="CommentSubjectChar">
    <w:name w:val="Comment Subject Char"/>
    <w:basedOn w:val="CommentTextChar"/>
    <w:link w:val="CommentSubject"/>
    <w:uiPriority w:val="99"/>
    <w:semiHidden/>
    <w:rsid w:val="003D717E"/>
    <w:rPr>
      <w:rFonts w:ascii="Verdana" w:eastAsia="Calibri" w:hAnsi="Verdana" w:cs="Calibri"/>
      <w:b/>
      <w:bCs/>
      <w:sz w:val="20"/>
      <w:szCs w:val="20"/>
      <w:lang w:val="es-MX"/>
    </w:rPr>
  </w:style>
  <w:style w:type="paragraph" w:styleId="NoSpacing">
    <w:name w:val="No Spacing"/>
    <w:uiPriority w:val="1"/>
    <w:qFormat/>
    <w:rsid w:val="003D717E"/>
    <w:pPr>
      <w:spacing w:after="0" w:line="240" w:lineRule="auto"/>
      <w:jc w:val="both"/>
    </w:pPr>
    <w:rPr>
      <w:rFonts w:ascii="Verdana" w:eastAsia="Calibri" w:hAnsi="Verdana" w:cs="Calibri"/>
      <w:sz w:val="20"/>
      <w:lang w:val="es-MX"/>
    </w:rPr>
  </w:style>
  <w:style w:type="paragraph" w:customStyle="1" w:styleId="citaindirecta">
    <w:name w:val="cita indirecta"/>
    <w:basedOn w:val="Normal"/>
    <w:rsid w:val="003D717E"/>
    <w:pPr>
      <w:ind w:left="708"/>
    </w:pPr>
    <w:rPr>
      <w:rFonts w:eastAsia="Times New Roman" w:cs="Times New Roman"/>
      <w:szCs w:val="20"/>
      <w:lang w:val="es-ES_tradnl" w:eastAsia="es-MX"/>
    </w:rPr>
  </w:style>
  <w:style w:type="paragraph" w:customStyle="1" w:styleId="Footnotes">
    <w:name w:val="**. Footnotes"/>
    <w:basedOn w:val="FootnoteText"/>
    <w:link w:val="FootnotesChar"/>
    <w:qFormat/>
    <w:rsid w:val="003D717E"/>
    <w:rPr>
      <w:rFonts w:eastAsia="Times New Roman" w:cs="Palatino-Italic"/>
      <w:iCs/>
      <w:spacing w:val="-4"/>
      <w:lang w:val="es-ES" w:eastAsia="en-US" w:bidi="en-US"/>
    </w:rPr>
  </w:style>
  <w:style w:type="character" w:customStyle="1" w:styleId="FootnotesChar">
    <w:name w:val="**. Footnotes Char"/>
    <w:basedOn w:val="DefaultParagraphFont"/>
    <w:link w:val="Footnotes"/>
    <w:rsid w:val="003D717E"/>
    <w:rPr>
      <w:rFonts w:ascii="Verdana" w:eastAsia="Times New Roman" w:hAnsi="Verdana" w:cs="Palatino-Italic"/>
      <w:iCs/>
      <w:spacing w:val="-4"/>
      <w:sz w:val="16"/>
      <w:szCs w:val="16"/>
      <w:lang w:val="es-ES" w:bidi="en-US"/>
    </w:rPr>
  </w:style>
  <w:style w:type="paragraph" w:styleId="DocumentMap">
    <w:name w:val="Document Map"/>
    <w:basedOn w:val="Normal"/>
    <w:link w:val="DocumentMapChar"/>
    <w:uiPriority w:val="99"/>
    <w:semiHidden/>
    <w:unhideWhenUsed/>
    <w:rsid w:val="003D717E"/>
    <w:rPr>
      <w:rFonts w:ascii="Tahoma" w:hAnsi="Tahoma" w:cs="Tahoma"/>
      <w:sz w:val="16"/>
      <w:szCs w:val="16"/>
    </w:rPr>
  </w:style>
  <w:style w:type="character" w:customStyle="1" w:styleId="DocumentMapChar">
    <w:name w:val="Document Map Char"/>
    <w:basedOn w:val="DefaultParagraphFont"/>
    <w:link w:val="DocumentMap"/>
    <w:uiPriority w:val="99"/>
    <w:semiHidden/>
    <w:rsid w:val="003D717E"/>
    <w:rPr>
      <w:rFonts w:ascii="Tahoma" w:eastAsia="Calibri" w:hAnsi="Tahoma" w:cs="Tahoma"/>
      <w:sz w:val="16"/>
      <w:szCs w:val="16"/>
      <w:lang w:val="es-MX"/>
    </w:rPr>
  </w:style>
  <w:style w:type="paragraph" w:styleId="NormalWeb">
    <w:name w:val="Normal (Web)"/>
    <w:basedOn w:val="Normal"/>
    <w:uiPriority w:val="99"/>
    <w:unhideWhenUsed/>
    <w:rsid w:val="003D717E"/>
    <w:pPr>
      <w:spacing w:before="100" w:beforeAutospacing="1" w:after="100" w:afterAutospacing="1"/>
      <w:jc w:val="left"/>
    </w:pPr>
    <w:rPr>
      <w:rFonts w:ascii="Times New Roman" w:eastAsia="Times New Roman" w:hAnsi="Times New Roman" w:cs="Times New Roman"/>
      <w:sz w:val="24"/>
      <w:szCs w:val="24"/>
      <w:lang w:val="en-US"/>
    </w:rPr>
  </w:style>
  <w:style w:type="character" w:styleId="Hyperlink">
    <w:name w:val="Hyperlink"/>
    <w:uiPriority w:val="99"/>
    <w:unhideWhenUsed/>
    <w:rsid w:val="003D717E"/>
    <w:rPr>
      <w:color w:val="0000FF"/>
      <w:u w:val="single"/>
    </w:rPr>
  </w:style>
  <w:style w:type="character" w:customStyle="1" w:styleId="ListParagraphChar">
    <w:name w:val="List Paragraph Char"/>
    <w:aliases w:val="Footnote Char,List Paragraph1 Char,Párrafo de lista1 Char"/>
    <w:link w:val="ListParagraph"/>
    <w:uiPriority w:val="34"/>
    <w:rsid w:val="003D717E"/>
    <w:rPr>
      <w:rFonts w:ascii="Verdana" w:eastAsia="Calibri" w:hAnsi="Verdana" w:cs="Verdana"/>
      <w:sz w:val="20"/>
      <w:szCs w:val="20"/>
      <w:lang w:val="es-MX"/>
    </w:rPr>
  </w:style>
  <w:style w:type="paragraph" w:customStyle="1" w:styleId="PrrafodeSentencia">
    <w:name w:val="*. Párrafo de Sentencia"/>
    <w:basedOn w:val="Normal"/>
    <w:next w:val="Normal"/>
    <w:link w:val="PrrafodeSentenciaChar"/>
    <w:qFormat/>
    <w:rsid w:val="003D717E"/>
    <w:pPr>
      <w:numPr>
        <w:numId w:val="3"/>
      </w:numPr>
      <w:tabs>
        <w:tab w:val="left" w:pos="567"/>
      </w:tabs>
      <w:ind w:left="0" w:firstLine="0"/>
    </w:pPr>
    <w:rPr>
      <w:rFonts w:eastAsia="Batang" w:cs="Times New Roman"/>
      <w:spacing w:val="-4"/>
      <w:lang w:val="es-CR" w:eastAsia="es-MX"/>
    </w:rPr>
  </w:style>
  <w:style w:type="character" w:customStyle="1" w:styleId="PrrafodeSentenciaChar">
    <w:name w:val="*. Párrafo de Sentencia Char"/>
    <w:basedOn w:val="DefaultParagraphFont"/>
    <w:link w:val="PrrafodeSentencia"/>
    <w:rsid w:val="003D717E"/>
    <w:rPr>
      <w:rFonts w:ascii="Verdana" w:eastAsia="Batang" w:hAnsi="Verdana" w:cs="Times New Roman"/>
      <w:spacing w:val="-4"/>
      <w:sz w:val="20"/>
      <w:lang w:eastAsia="es-MX"/>
    </w:rPr>
  </w:style>
  <w:style w:type="character" w:styleId="Strong">
    <w:name w:val="Strong"/>
    <w:basedOn w:val="DefaultParagraphFont"/>
    <w:uiPriority w:val="22"/>
    <w:qFormat/>
    <w:rsid w:val="003D717E"/>
    <w:rPr>
      <w:b/>
      <w:bCs/>
    </w:rPr>
  </w:style>
  <w:style w:type="character" w:customStyle="1" w:styleId="ListParagraphChar1">
    <w:name w:val="List Paragraph Char1"/>
    <w:aliases w:val="Colorful List - Accent 11 Char1"/>
    <w:uiPriority w:val="99"/>
    <w:locked/>
    <w:rsid w:val="003D717E"/>
    <w:rPr>
      <w:rFonts w:ascii="Verdana" w:eastAsia="Times New Roman" w:hAnsi="Verdana"/>
      <w:lang w:val="es-ES_tradnl"/>
    </w:rPr>
  </w:style>
  <w:style w:type="character" w:customStyle="1" w:styleId="Refdenotaalpie1">
    <w:name w:val="Ref. de nota al pie1"/>
    <w:basedOn w:val="DefaultParagraphFont"/>
    <w:rsid w:val="003D717E"/>
    <w:rPr>
      <w:sz w:val="20"/>
      <w:vertAlign w:val="superscript"/>
    </w:rPr>
  </w:style>
  <w:style w:type="paragraph" w:styleId="EndnoteText">
    <w:name w:val="endnote text"/>
    <w:basedOn w:val="Normal"/>
    <w:link w:val="EndnoteTextChar"/>
    <w:uiPriority w:val="99"/>
    <w:semiHidden/>
    <w:unhideWhenUsed/>
    <w:rsid w:val="003D717E"/>
    <w:rPr>
      <w:szCs w:val="20"/>
    </w:rPr>
  </w:style>
  <w:style w:type="character" w:customStyle="1" w:styleId="EndnoteTextChar">
    <w:name w:val="Endnote Text Char"/>
    <w:basedOn w:val="DefaultParagraphFont"/>
    <w:link w:val="EndnoteText"/>
    <w:uiPriority w:val="99"/>
    <w:semiHidden/>
    <w:rsid w:val="003D717E"/>
    <w:rPr>
      <w:rFonts w:ascii="Verdana" w:eastAsia="Calibri" w:hAnsi="Verdana" w:cs="Calibri"/>
      <w:sz w:val="20"/>
      <w:szCs w:val="20"/>
      <w:lang w:val="es-MX"/>
    </w:rPr>
  </w:style>
  <w:style w:type="character" w:styleId="EndnoteReference">
    <w:name w:val="endnote reference"/>
    <w:basedOn w:val="DefaultParagraphFont"/>
    <w:uiPriority w:val="99"/>
    <w:semiHidden/>
    <w:unhideWhenUsed/>
    <w:rsid w:val="003D717E"/>
    <w:rPr>
      <w:vertAlign w:val="superscript"/>
    </w:rPr>
  </w:style>
  <w:style w:type="paragraph" w:styleId="Revision">
    <w:name w:val="Revision"/>
    <w:hidden/>
    <w:uiPriority w:val="99"/>
    <w:semiHidden/>
    <w:rsid w:val="003D717E"/>
    <w:pPr>
      <w:spacing w:after="0" w:line="240" w:lineRule="auto"/>
    </w:pPr>
    <w:rPr>
      <w:rFonts w:ascii="Verdana" w:eastAsia="Calibri" w:hAnsi="Verdana" w:cs="Calibri"/>
      <w:sz w:val="20"/>
      <w:lang w:val="es-MX"/>
    </w:rPr>
  </w:style>
  <w:style w:type="character" w:styleId="FollowedHyperlink">
    <w:name w:val="FollowedHyperlink"/>
    <w:basedOn w:val="DefaultParagraphFont"/>
    <w:uiPriority w:val="99"/>
    <w:semiHidden/>
    <w:unhideWhenUsed/>
    <w:rsid w:val="003D717E"/>
    <w:rPr>
      <w:color w:val="800080" w:themeColor="followedHyperlink"/>
      <w:u w:val="single"/>
    </w:rPr>
  </w:style>
  <w:style w:type="paragraph" w:styleId="Footer">
    <w:name w:val="footer"/>
    <w:basedOn w:val="Normal"/>
    <w:link w:val="FooterChar"/>
    <w:uiPriority w:val="99"/>
    <w:unhideWhenUsed/>
    <w:rsid w:val="003D717E"/>
    <w:pPr>
      <w:tabs>
        <w:tab w:val="center" w:pos="4419"/>
        <w:tab w:val="right" w:pos="8838"/>
      </w:tabs>
    </w:pPr>
    <w:rPr>
      <w:rFonts w:eastAsiaTheme="minorEastAsia" w:cstheme="minorBidi"/>
      <w:lang w:val="es-PE" w:eastAsia="es-PE"/>
    </w:rPr>
  </w:style>
  <w:style w:type="character" w:customStyle="1" w:styleId="FooterChar">
    <w:name w:val="Footer Char"/>
    <w:basedOn w:val="DefaultParagraphFont"/>
    <w:link w:val="Footer"/>
    <w:uiPriority w:val="99"/>
    <w:rsid w:val="003D717E"/>
    <w:rPr>
      <w:rFonts w:ascii="Verdana" w:eastAsiaTheme="minorEastAsia" w:hAnsi="Verdana"/>
      <w:sz w:val="20"/>
      <w:lang w:val="es-PE" w:eastAsia="es-PE"/>
    </w:rPr>
  </w:style>
  <w:style w:type="character" w:customStyle="1" w:styleId="apple-style-span">
    <w:name w:val="apple-style-span"/>
    <w:basedOn w:val="DefaultParagraphFont"/>
    <w:rsid w:val="003D717E"/>
  </w:style>
  <w:style w:type="paragraph" w:styleId="TOC1">
    <w:name w:val="toc 1"/>
    <w:basedOn w:val="Normal"/>
    <w:next w:val="Normal"/>
    <w:autoRedefine/>
    <w:uiPriority w:val="39"/>
    <w:unhideWhenUsed/>
    <w:rsid w:val="00F31796"/>
    <w:pPr>
      <w:tabs>
        <w:tab w:val="right" w:leader="dot" w:pos="9736"/>
      </w:tabs>
      <w:spacing w:before="60" w:after="60"/>
    </w:pPr>
    <w:rPr>
      <w:b/>
      <w:noProof/>
      <w:spacing w:val="-4"/>
      <w:sz w:val="18"/>
      <w:szCs w:val="18"/>
    </w:rPr>
  </w:style>
  <w:style w:type="paragraph" w:styleId="TOC2">
    <w:name w:val="toc 2"/>
    <w:basedOn w:val="Normal"/>
    <w:next w:val="Normal"/>
    <w:autoRedefine/>
    <w:uiPriority w:val="39"/>
    <w:unhideWhenUsed/>
    <w:rsid w:val="00F31A91"/>
    <w:pPr>
      <w:tabs>
        <w:tab w:val="left" w:pos="567"/>
        <w:tab w:val="left" w:pos="880"/>
        <w:tab w:val="right" w:leader="dot" w:pos="9736"/>
      </w:tabs>
      <w:spacing w:after="100"/>
      <w:ind w:left="200"/>
    </w:pPr>
  </w:style>
  <w:style w:type="paragraph" w:styleId="TOC3">
    <w:name w:val="toc 3"/>
    <w:basedOn w:val="Normal"/>
    <w:next w:val="Normal"/>
    <w:autoRedefine/>
    <w:uiPriority w:val="39"/>
    <w:unhideWhenUsed/>
    <w:rsid w:val="003D717E"/>
    <w:pPr>
      <w:spacing w:after="100"/>
      <w:ind w:left="400"/>
    </w:pPr>
  </w:style>
  <w:style w:type="character" w:customStyle="1" w:styleId="sb8d990e2">
    <w:name w:val="sb8d990e2"/>
    <w:basedOn w:val="DefaultParagraphFont"/>
    <w:rsid w:val="003D717E"/>
  </w:style>
  <w:style w:type="character" w:customStyle="1" w:styleId="s6b621b36">
    <w:name w:val="s6b621b36"/>
    <w:basedOn w:val="DefaultParagraphFont"/>
    <w:rsid w:val="003D717E"/>
  </w:style>
  <w:style w:type="table" w:styleId="TableGrid">
    <w:name w:val="Table Grid"/>
    <w:basedOn w:val="TableNormal"/>
    <w:uiPriority w:val="59"/>
    <w:rsid w:val="003D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717E"/>
  </w:style>
  <w:style w:type="paragraph" w:customStyle="1" w:styleId="Prrafodelista2">
    <w:name w:val="Párrafo de lista2"/>
    <w:basedOn w:val="Normal"/>
    <w:uiPriority w:val="99"/>
    <w:rsid w:val="003D717E"/>
    <w:pPr>
      <w:ind w:left="720"/>
      <w:jc w:val="left"/>
    </w:pPr>
    <w:rPr>
      <w:rFonts w:eastAsia="MS Mincho" w:cs="Times New Roman"/>
      <w:szCs w:val="20"/>
      <w:lang w:val="es-ES_tradnl" w:bidi="en-US"/>
    </w:rPr>
  </w:style>
  <w:style w:type="character" w:styleId="Emphasis">
    <w:name w:val="Emphasis"/>
    <w:basedOn w:val="DefaultParagraphFont"/>
    <w:uiPriority w:val="20"/>
    <w:qFormat/>
    <w:rsid w:val="003D717E"/>
    <w:rPr>
      <w:i/>
      <w:iCs/>
    </w:rPr>
  </w:style>
  <w:style w:type="character" w:customStyle="1" w:styleId="documentbody1">
    <w:name w:val="documentbody1"/>
    <w:uiPriority w:val="99"/>
    <w:rsid w:val="003D717E"/>
    <w:rPr>
      <w:rFonts w:ascii="Verdana" w:hAnsi="Verdana"/>
      <w:sz w:val="19"/>
    </w:rPr>
  </w:style>
  <w:style w:type="character" w:customStyle="1" w:styleId="ju-005fpara--char">
    <w:name w:val="ju-005fpara--char"/>
    <w:basedOn w:val="DefaultParagraphFont"/>
    <w:rsid w:val="003D717E"/>
  </w:style>
  <w:style w:type="character" w:customStyle="1" w:styleId="normal--char">
    <w:name w:val="normal--char"/>
    <w:basedOn w:val="DefaultParagraphFont"/>
    <w:rsid w:val="003D717E"/>
  </w:style>
  <w:style w:type="paragraph" w:customStyle="1" w:styleId="Estilo1">
    <w:name w:val="Estilo1"/>
    <w:basedOn w:val="Normal"/>
    <w:link w:val="Estilo1Car"/>
    <w:qFormat/>
    <w:rsid w:val="003D717E"/>
    <w:pPr>
      <w:tabs>
        <w:tab w:val="left" w:pos="567"/>
        <w:tab w:val="left" w:pos="1134"/>
        <w:tab w:val="num" w:pos="16392"/>
      </w:tabs>
      <w:spacing w:after="120"/>
    </w:pPr>
    <w:rPr>
      <w:rFonts w:cs="Times New Roman"/>
      <w:szCs w:val="20"/>
      <w:lang w:val="es-ES"/>
    </w:rPr>
  </w:style>
  <w:style w:type="character" w:customStyle="1" w:styleId="Estilo1Car">
    <w:name w:val="Estilo1 Car"/>
    <w:link w:val="Estilo1"/>
    <w:rsid w:val="003D717E"/>
    <w:rPr>
      <w:rFonts w:ascii="Verdana" w:eastAsia="Calibri" w:hAnsi="Verdana" w:cs="Times New Roman"/>
      <w:sz w:val="20"/>
      <w:szCs w:val="20"/>
      <w:lang w:val="es-ES"/>
    </w:rPr>
  </w:style>
  <w:style w:type="paragraph" w:customStyle="1" w:styleId="Estilo2">
    <w:name w:val="Estilo2"/>
    <w:basedOn w:val="Normal"/>
    <w:qFormat/>
    <w:rsid w:val="003D717E"/>
    <w:pPr>
      <w:tabs>
        <w:tab w:val="left" w:pos="567"/>
        <w:tab w:val="left" w:pos="1134"/>
        <w:tab w:val="num" w:pos="4767"/>
      </w:tabs>
      <w:spacing w:after="120"/>
      <w:ind w:firstLine="357"/>
    </w:pPr>
    <w:rPr>
      <w:rFonts w:cs="Times New Roman"/>
      <w:szCs w:val="20"/>
      <w:lang w:val="es-ES"/>
    </w:rPr>
  </w:style>
  <w:style w:type="paragraph" w:styleId="TOC4">
    <w:name w:val="toc 4"/>
    <w:basedOn w:val="Normal"/>
    <w:next w:val="Normal"/>
    <w:autoRedefine/>
    <w:uiPriority w:val="39"/>
    <w:unhideWhenUsed/>
    <w:rsid w:val="00930E53"/>
    <w:pPr>
      <w:spacing w:after="100"/>
      <w:ind w:left="600"/>
    </w:pPr>
  </w:style>
  <w:style w:type="character" w:customStyle="1" w:styleId="s3">
    <w:name w:val="s3"/>
    <w:basedOn w:val="DefaultParagraphFont"/>
    <w:rsid w:val="009A1986"/>
  </w:style>
  <w:style w:type="character" w:styleId="PageNumber">
    <w:name w:val="page number"/>
    <w:basedOn w:val="DefaultParagraphFont"/>
    <w:uiPriority w:val="99"/>
    <w:semiHidden/>
    <w:unhideWhenUsed/>
    <w:rsid w:val="00D157D7"/>
  </w:style>
  <w:style w:type="character" w:customStyle="1" w:styleId="sf1c7242d">
    <w:name w:val="sf1c7242d"/>
    <w:basedOn w:val="DefaultParagraphFont"/>
    <w:rsid w:val="0084681D"/>
  </w:style>
  <w:style w:type="paragraph" w:customStyle="1" w:styleId="style1">
    <w:name w:val="style1"/>
    <w:basedOn w:val="Normal"/>
    <w:rsid w:val="00465324"/>
    <w:pPr>
      <w:spacing w:before="100" w:beforeAutospacing="1" w:after="100" w:afterAutospacing="1"/>
      <w:jc w:val="left"/>
    </w:pPr>
    <w:rPr>
      <w:rFonts w:ascii="Times New Roman" w:eastAsia="Times New Roman" w:hAnsi="Times New Roman" w:cs="Times New Roman"/>
      <w:sz w:val="24"/>
      <w:szCs w:val="24"/>
      <w:lang w:val="en-US"/>
    </w:rPr>
  </w:style>
  <w:style w:type="character" w:styleId="HTMLCite">
    <w:name w:val="HTML Cite"/>
    <w:basedOn w:val="DefaultParagraphFont"/>
    <w:uiPriority w:val="99"/>
    <w:semiHidden/>
    <w:unhideWhenUsed/>
    <w:rsid w:val="00AB5969"/>
    <w:rPr>
      <w:i/>
      <w:iCs/>
    </w:rPr>
  </w:style>
  <w:style w:type="paragraph" w:styleId="BodyTextIndent3">
    <w:name w:val="Body Text Indent 3"/>
    <w:basedOn w:val="Normal"/>
    <w:link w:val="BodyTextIndent3Char"/>
    <w:uiPriority w:val="99"/>
    <w:semiHidden/>
    <w:unhideWhenUsed/>
    <w:rsid w:val="00E55C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55C7C"/>
    <w:rPr>
      <w:rFonts w:ascii="Verdana" w:eastAsia="Calibri" w:hAnsi="Verdana" w:cs="Calibri"/>
      <w:sz w:val="16"/>
      <w:szCs w:val="16"/>
      <w:lang w:val="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2A0B"/>
    <w:pPr>
      <w:spacing w:after="0" w:line="240" w:lineRule="auto"/>
      <w:jc w:val="both"/>
    </w:pPr>
    <w:rPr>
      <w:rFonts w:ascii="Verdana" w:eastAsia="Calibri" w:hAnsi="Verdana" w:cs="Calibri"/>
      <w:sz w:val="20"/>
      <w:lang w:val="es-MX"/>
    </w:rPr>
  </w:style>
  <w:style w:type="paragraph" w:styleId="Heading1">
    <w:name w:val="heading 1"/>
    <w:aliases w:val="Título Verdana"/>
    <w:basedOn w:val="Normal"/>
    <w:next w:val="Normal"/>
    <w:link w:val="Heading1Char"/>
    <w:uiPriority w:val="9"/>
    <w:qFormat/>
    <w:rsid w:val="003D717E"/>
    <w:pPr>
      <w:jc w:val="center"/>
      <w:outlineLvl w:val="0"/>
    </w:pPr>
    <w:rPr>
      <w:b/>
      <w:lang w:eastAsia="es-CR"/>
    </w:rPr>
  </w:style>
  <w:style w:type="paragraph" w:styleId="Heading2">
    <w:name w:val="heading 2"/>
    <w:basedOn w:val="Normal"/>
    <w:next w:val="Normal"/>
    <w:link w:val="Heading2Char"/>
    <w:uiPriority w:val="9"/>
    <w:unhideWhenUsed/>
    <w:qFormat/>
    <w:rsid w:val="003D717E"/>
    <w:pPr>
      <w:tabs>
        <w:tab w:val="left" w:pos="567"/>
        <w:tab w:val="left" w:pos="993"/>
      </w:tabs>
      <w:ind w:left="930" w:hanging="360"/>
      <w:outlineLvl w:val="1"/>
    </w:pPr>
    <w:rPr>
      <w:b/>
      <w:i/>
      <w:lang w:eastAsia="es-MX"/>
    </w:rPr>
  </w:style>
  <w:style w:type="paragraph" w:styleId="Heading3">
    <w:name w:val="heading 3"/>
    <w:basedOn w:val="Normal"/>
    <w:next w:val="Normal"/>
    <w:link w:val="Heading3Char"/>
    <w:uiPriority w:val="9"/>
    <w:unhideWhenUsed/>
    <w:qFormat/>
    <w:rsid w:val="003D717E"/>
    <w:pPr>
      <w:ind w:left="993"/>
      <w:outlineLvl w:val="2"/>
    </w:pPr>
    <w:rPr>
      <w:b/>
      <w:lang w:val="es-ES"/>
    </w:rPr>
  </w:style>
  <w:style w:type="paragraph" w:styleId="Heading4">
    <w:name w:val="heading 4"/>
    <w:basedOn w:val="Heading3"/>
    <w:next w:val="Normal"/>
    <w:link w:val="Heading4Char"/>
    <w:uiPriority w:val="9"/>
    <w:unhideWhenUsed/>
    <w:qFormat/>
    <w:rsid w:val="003D717E"/>
    <w:pPr>
      <w:ind w:left="1418"/>
      <w:outlineLvl w:val="3"/>
    </w:pPr>
    <w:rPr>
      <w:b w:val="0"/>
      <w:u w:val="single"/>
    </w:rPr>
  </w:style>
  <w:style w:type="paragraph" w:styleId="Heading5">
    <w:name w:val="heading 5"/>
    <w:basedOn w:val="Normal"/>
    <w:next w:val="Normal"/>
    <w:link w:val="Heading5Char"/>
    <w:uiPriority w:val="9"/>
    <w:semiHidden/>
    <w:unhideWhenUsed/>
    <w:qFormat/>
    <w:rsid w:val="003D717E"/>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Heading5"/>
    <w:next w:val="Normal"/>
    <w:link w:val="Heading6Char"/>
    <w:uiPriority w:val="9"/>
    <w:unhideWhenUsed/>
    <w:qFormat/>
    <w:rsid w:val="003D717E"/>
    <w:pPr>
      <w:keepNext w:val="0"/>
      <w:keepLines w:val="0"/>
      <w:numPr>
        <w:ilvl w:val="4"/>
        <w:numId w:val="2"/>
      </w:numPr>
      <w:spacing w:before="0"/>
      <w:outlineLvl w:val="5"/>
    </w:pPr>
    <w:rPr>
      <w:rFonts w:ascii="Verdana" w:eastAsia="Times New Roman" w:hAnsi="Verdana" w:cs="Times New Roman"/>
      <w:color w:val="auto"/>
      <w:spacing w:val="-2"/>
      <w:szCs w:val="20"/>
      <w:lang w:val="es-ES_tradnl" w:eastAsia="es-C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ítulo Verdana Char"/>
    <w:basedOn w:val="DefaultParagraphFont"/>
    <w:link w:val="Heading1"/>
    <w:uiPriority w:val="9"/>
    <w:rsid w:val="003D717E"/>
    <w:rPr>
      <w:rFonts w:ascii="Verdana" w:eastAsia="Calibri" w:hAnsi="Verdana" w:cs="Calibri"/>
      <w:b/>
      <w:sz w:val="20"/>
      <w:lang w:val="es-MX" w:eastAsia="es-CR"/>
    </w:rPr>
  </w:style>
  <w:style w:type="character" w:customStyle="1" w:styleId="Heading2Char">
    <w:name w:val="Heading 2 Char"/>
    <w:basedOn w:val="DefaultParagraphFont"/>
    <w:link w:val="Heading2"/>
    <w:uiPriority w:val="9"/>
    <w:rsid w:val="003D717E"/>
    <w:rPr>
      <w:rFonts w:ascii="Verdana" w:eastAsia="Calibri" w:hAnsi="Verdana" w:cs="Calibri"/>
      <w:b/>
      <w:i/>
      <w:sz w:val="20"/>
      <w:lang w:val="es-MX" w:eastAsia="es-MX"/>
    </w:rPr>
  </w:style>
  <w:style w:type="character" w:customStyle="1" w:styleId="Heading3Char">
    <w:name w:val="Heading 3 Char"/>
    <w:basedOn w:val="DefaultParagraphFont"/>
    <w:link w:val="Heading3"/>
    <w:uiPriority w:val="9"/>
    <w:rsid w:val="003D717E"/>
    <w:rPr>
      <w:rFonts w:ascii="Verdana" w:eastAsia="Calibri" w:hAnsi="Verdana" w:cs="Calibri"/>
      <w:b/>
      <w:sz w:val="20"/>
      <w:lang w:val="es-ES"/>
    </w:rPr>
  </w:style>
  <w:style w:type="character" w:customStyle="1" w:styleId="Heading4Char">
    <w:name w:val="Heading 4 Char"/>
    <w:basedOn w:val="DefaultParagraphFont"/>
    <w:link w:val="Heading4"/>
    <w:uiPriority w:val="9"/>
    <w:rsid w:val="003D717E"/>
    <w:rPr>
      <w:rFonts w:ascii="Verdana" w:eastAsia="Calibri" w:hAnsi="Verdana" w:cs="Calibri"/>
      <w:sz w:val="20"/>
      <w:u w:val="single"/>
      <w:lang w:val="es-ES"/>
    </w:rPr>
  </w:style>
  <w:style w:type="character" w:customStyle="1" w:styleId="Heading5Char">
    <w:name w:val="Heading 5 Char"/>
    <w:basedOn w:val="DefaultParagraphFont"/>
    <w:link w:val="Heading5"/>
    <w:uiPriority w:val="9"/>
    <w:semiHidden/>
    <w:rsid w:val="003D717E"/>
    <w:rPr>
      <w:rFonts w:asciiTheme="majorHAnsi" w:eastAsiaTheme="majorEastAsia" w:hAnsiTheme="majorHAnsi" w:cstheme="majorBidi"/>
      <w:color w:val="243F60" w:themeColor="accent1" w:themeShade="7F"/>
      <w:sz w:val="20"/>
      <w:lang w:val="es-MX"/>
    </w:rPr>
  </w:style>
  <w:style w:type="character" w:customStyle="1" w:styleId="Heading6Char">
    <w:name w:val="Heading 6 Char"/>
    <w:basedOn w:val="DefaultParagraphFont"/>
    <w:link w:val="Heading6"/>
    <w:uiPriority w:val="9"/>
    <w:rsid w:val="003D717E"/>
    <w:rPr>
      <w:rFonts w:ascii="Verdana" w:eastAsia="Times New Roman" w:hAnsi="Verdana" w:cs="Times New Roman"/>
      <w:spacing w:val="-2"/>
      <w:sz w:val="20"/>
      <w:szCs w:val="20"/>
      <w:lang w:val="es-ES_tradnl" w:eastAsia="es-CR"/>
    </w:rPr>
  </w:style>
  <w:style w:type="paragraph" w:styleId="Title">
    <w:name w:val="Title"/>
    <w:basedOn w:val="Normal"/>
    <w:next w:val="Normal"/>
    <w:link w:val="TitleChar"/>
    <w:uiPriority w:val="10"/>
    <w:qFormat/>
    <w:rsid w:val="003D717E"/>
    <w:pPr>
      <w:jc w:val="center"/>
    </w:pPr>
    <w:rPr>
      <w:b/>
    </w:rPr>
  </w:style>
  <w:style w:type="character" w:customStyle="1" w:styleId="TitleChar">
    <w:name w:val="Title Char"/>
    <w:basedOn w:val="DefaultParagraphFont"/>
    <w:link w:val="Title"/>
    <w:uiPriority w:val="10"/>
    <w:rsid w:val="003D717E"/>
    <w:rPr>
      <w:rFonts w:ascii="Verdana" w:eastAsia="Calibri" w:hAnsi="Verdana" w:cs="Calibri"/>
      <w:b/>
      <w:sz w:val="20"/>
      <w:lang w:val="es-MX"/>
    </w:rPr>
  </w:style>
  <w:style w:type="paragraph" w:styleId="ListParagraph">
    <w:name w:val="List Paragraph"/>
    <w:aliases w:val="Footnote,List Paragraph1,Párrafo de lista1"/>
    <w:basedOn w:val="Normal"/>
    <w:link w:val="ListParagraphChar"/>
    <w:uiPriority w:val="34"/>
    <w:qFormat/>
    <w:rsid w:val="003D717E"/>
    <w:pPr>
      <w:widowControl w:val="0"/>
      <w:numPr>
        <w:ilvl w:val="1"/>
        <w:numId w:val="1"/>
      </w:numPr>
      <w:autoSpaceDE w:val="0"/>
      <w:autoSpaceDN w:val="0"/>
      <w:adjustRightInd w:val="0"/>
      <w:ind w:right="22"/>
    </w:pPr>
    <w:rPr>
      <w:rFonts w:cs="Verdana"/>
      <w:szCs w:val="20"/>
    </w:rPr>
  </w:style>
  <w:style w:type="character" w:styleId="FootnoteReference">
    <w:name w:val="footnote reference"/>
    <w:aliases w:val="Texto de nota al pie,Appel note de bas de page,Footnotes refss,Footnote number,referencia nota al pie,BVI fnr,f,4_G,16 Point,Superscript 6 Point,Footnote Reference Char3,Footnote Reference Char1 Char,Footnote Reference Char Char Char"/>
    <w:basedOn w:val="DefaultParagraphFont"/>
    <w:uiPriority w:val="99"/>
    <w:qFormat/>
    <w:rsid w:val="003D717E"/>
    <w:rPr>
      <w:rFonts w:ascii="Verdana" w:hAnsi="Verdana" w:cs="Verdana"/>
      <w:sz w:val="16"/>
      <w:szCs w:val="16"/>
      <w:vertAlign w:val="superscript"/>
    </w:rPr>
  </w:style>
  <w:style w:type="paragraph" w:styleId="FootnoteText">
    <w:name w:val="footnote text"/>
    <w:aliases w:val="FA Fu,Footnote Text Char Char Char Char Char,Footnote Text Char Char Char Char,Footnote reference,Footnote Text Char Char Char,Texto nota pie Car,FA Fu Car,FA Fu Car Car,Footnote Text Cha,FA Fußnotentext,FA Fuﬂnotentext,FA Fu?notentext,Ca"/>
    <w:basedOn w:val="Normal"/>
    <w:link w:val="FootnoteTextChar1"/>
    <w:qFormat/>
    <w:rsid w:val="003D717E"/>
    <w:pPr>
      <w:tabs>
        <w:tab w:val="left" w:pos="567"/>
      </w:tabs>
    </w:pPr>
    <w:rPr>
      <w:rFonts w:cs="Verdana"/>
      <w:sz w:val="16"/>
      <w:szCs w:val="16"/>
      <w:lang w:val="es-ES_tradnl" w:eastAsia="es-ES"/>
    </w:rPr>
  </w:style>
  <w:style w:type="character" w:customStyle="1" w:styleId="FootnoteTextChar">
    <w:name w:val="Footnote Text Char"/>
    <w:aliases w:val="Footnote Text Cha Char,FA Fuﬂnotentext Char,Ca Char,C Char,2. Footnote Text Char,Footnote Tesina Char,FA Fu Char1,Footnote Text Char Char Char Char Char Char1,Footnote Text Char Char Char Char Char2,Footnote reference Char1"/>
    <w:basedOn w:val="DefaultParagraphFont"/>
    <w:rsid w:val="003D717E"/>
    <w:rPr>
      <w:rFonts w:ascii="Verdana" w:eastAsia="Calibri" w:hAnsi="Verdana" w:cs="Calibri"/>
      <w:sz w:val="20"/>
      <w:szCs w:val="20"/>
      <w:lang w:val="es-MX"/>
    </w:rPr>
  </w:style>
  <w:style w:type="character" w:customStyle="1" w:styleId="FootnoteTextChar1">
    <w:name w:val="Footnote Text Char1"/>
    <w:aliases w:val="FA Fu Char,Footnote Text Char Char Char Char Char Char,Footnote Text Char Char Char Char Char1,Footnote reference Char,Footnote Text Char Char Char Char1,Texto nota pie Car Char,FA Fu Car Char,FA Fu Car Car Char,FA Fußnotentext Char"/>
    <w:basedOn w:val="DefaultParagraphFont"/>
    <w:link w:val="FootnoteText"/>
    <w:locked/>
    <w:rsid w:val="003D717E"/>
    <w:rPr>
      <w:rFonts w:ascii="Verdana" w:eastAsia="Calibri" w:hAnsi="Verdana" w:cs="Verdana"/>
      <w:sz w:val="16"/>
      <w:szCs w:val="16"/>
      <w:lang w:val="es-ES_tradnl" w:eastAsia="es-ES"/>
    </w:rPr>
  </w:style>
  <w:style w:type="paragraph" w:styleId="BodyText">
    <w:name w:val="Body Text"/>
    <w:basedOn w:val="Normal"/>
    <w:link w:val="BodyTextChar"/>
    <w:uiPriority w:val="99"/>
    <w:semiHidden/>
    <w:rsid w:val="003D717E"/>
    <w:pPr>
      <w:spacing w:after="120"/>
    </w:pPr>
    <w:rPr>
      <w:rFonts w:ascii="Times" w:hAnsi="Times" w:cs="Times"/>
      <w:sz w:val="24"/>
      <w:szCs w:val="24"/>
      <w:lang w:val="es-ES_tradnl" w:eastAsia="es-ES"/>
    </w:rPr>
  </w:style>
  <w:style w:type="character" w:customStyle="1" w:styleId="BodyTextChar">
    <w:name w:val="Body Text Char"/>
    <w:basedOn w:val="DefaultParagraphFont"/>
    <w:link w:val="BodyText"/>
    <w:uiPriority w:val="99"/>
    <w:semiHidden/>
    <w:rsid w:val="003D717E"/>
    <w:rPr>
      <w:rFonts w:ascii="Times" w:eastAsia="Calibri" w:hAnsi="Times" w:cs="Times"/>
      <w:sz w:val="24"/>
      <w:szCs w:val="24"/>
      <w:lang w:val="es-ES_tradnl" w:eastAsia="es-ES"/>
    </w:rPr>
  </w:style>
  <w:style w:type="paragraph" w:styleId="Header">
    <w:name w:val="header"/>
    <w:basedOn w:val="Normal"/>
    <w:link w:val="HeaderChar"/>
    <w:uiPriority w:val="99"/>
    <w:rsid w:val="003D717E"/>
    <w:pPr>
      <w:tabs>
        <w:tab w:val="center" w:pos="4252"/>
        <w:tab w:val="right" w:pos="8504"/>
      </w:tabs>
    </w:pPr>
  </w:style>
  <w:style w:type="character" w:customStyle="1" w:styleId="HeaderChar">
    <w:name w:val="Header Char"/>
    <w:basedOn w:val="DefaultParagraphFont"/>
    <w:link w:val="Header"/>
    <w:uiPriority w:val="99"/>
    <w:rsid w:val="003D717E"/>
    <w:rPr>
      <w:rFonts w:ascii="Verdana" w:eastAsia="Calibri" w:hAnsi="Verdana" w:cs="Calibri"/>
      <w:sz w:val="20"/>
      <w:lang w:val="es-MX"/>
    </w:rPr>
  </w:style>
  <w:style w:type="paragraph" w:customStyle="1" w:styleId="ColorfulList-Accent11">
    <w:name w:val="Colorful List - Accent 11"/>
    <w:basedOn w:val="Normal"/>
    <w:uiPriority w:val="99"/>
    <w:rsid w:val="003D717E"/>
    <w:pPr>
      <w:ind w:left="720"/>
    </w:pPr>
    <w:rPr>
      <w:rFonts w:ascii="Times" w:eastAsia="MS Mincho" w:hAnsi="Times" w:cs="Times"/>
      <w:sz w:val="24"/>
      <w:szCs w:val="24"/>
      <w:lang w:val="es-ES_tradnl"/>
    </w:rPr>
  </w:style>
  <w:style w:type="paragraph" w:customStyle="1" w:styleId="Default">
    <w:name w:val="Default"/>
    <w:rsid w:val="003D717E"/>
    <w:pPr>
      <w:autoSpaceDE w:val="0"/>
      <w:autoSpaceDN w:val="0"/>
      <w:adjustRightInd w:val="0"/>
      <w:spacing w:after="0" w:line="240" w:lineRule="auto"/>
    </w:pPr>
    <w:rPr>
      <w:rFonts w:ascii="Arial" w:eastAsia="MS Mincho" w:hAnsi="Arial" w:cs="Arial"/>
      <w:color w:val="000000"/>
      <w:sz w:val="24"/>
      <w:szCs w:val="24"/>
      <w:lang w:val="es-ES" w:eastAsia="es-ES"/>
    </w:rPr>
  </w:style>
  <w:style w:type="character" w:customStyle="1" w:styleId="apple-converted-space">
    <w:name w:val="apple-converted-space"/>
    <w:basedOn w:val="DefaultParagraphFont"/>
    <w:rsid w:val="003D717E"/>
  </w:style>
  <w:style w:type="paragraph" w:styleId="BalloonText">
    <w:name w:val="Balloon Text"/>
    <w:basedOn w:val="Normal"/>
    <w:link w:val="BalloonTextChar"/>
    <w:uiPriority w:val="99"/>
    <w:semiHidden/>
    <w:unhideWhenUsed/>
    <w:rsid w:val="003D717E"/>
    <w:rPr>
      <w:rFonts w:ascii="Tahoma" w:hAnsi="Tahoma" w:cs="Tahoma"/>
      <w:sz w:val="16"/>
      <w:szCs w:val="16"/>
    </w:rPr>
  </w:style>
  <w:style w:type="character" w:customStyle="1" w:styleId="BalloonTextChar">
    <w:name w:val="Balloon Text Char"/>
    <w:basedOn w:val="DefaultParagraphFont"/>
    <w:link w:val="BalloonText"/>
    <w:uiPriority w:val="99"/>
    <w:semiHidden/>
    <w:rsid w:val="003D717E"/>
    <w:rPr>
      <w:rFonts w:ascii="Tahoma" w:eastAsia="Calibri" w:hAnsi="Tahoma" w:cs="Tahoma"/>
      <w:sz w:val="16"/>
      <w:szCs w:val="16"/>
      <w:lang w:val="es-MX"/>
    </w:rPr>
  </w:style>
  <w:style w:type="character" w:styleId="CommentReference">
    <w:name w:val="annotation reference"/>
    <w:basedOn w:val="DefaultParagraphFont"/>
    <w:unhideWhenUsed/>
    <w:rsid w:val="003D717E"/>
    <w:rPr>
      <w:sz w:val="18"/>
      <w:szCs w:val="18"/>
    </w:rPr>
  </w:style>
  <w:style w:type="paragraph" w:styleId="CommentText">
    <w:name w:val="annotation text"/>
    <w:basedOn w:val="Normal"/>
    <w:link w:val="CommentTextChar"/>
    <w:uiPriority w:val="99"/>
    <w:unhideWhenUsed/>
    <w:rsid w:val="003D717E"/>
    <w:rPr>
      <w:sz w:val="24"/>
      <w:szCs w:val="24"/>
    </w:rPr>
  </w:style>
  <w:style w:type="character" w:customStyle="1" w:styleId="CommentTextChar">
    <w:name w:val="Comment Text Char"/>
    <w:basedOn w:val="DefaultParagraphFont"/>
    <w:link w:val="CommentText"/>
    <w:uiPriority w:val="99"/>
    <w:rsid w:val="003D717E"/>
    <w:rPr>
      <w:rFonts w:ascii="Verdana" w:eastAsia="Calibri" w:hAnsi="Verdana" w:cs="Calibri"/>
      <w:sz w:val="24"/>
      <w:szCs w:val="24"/>
      <w:lang w:val="es-MX"/>
    </w:rPr>
  </w:style>
  <w:style w:type="paragraph" w:styleId="CommentSubject">
    <w:name w:val="annotation subject"/>
    <w:basedOn w:val="CommentText"/>
    <w:next w:val="CommentText"/>
    <w:link w:val="CommentSubjectChar"/>
    <w:uiPriority w:val="99"/>
    <w:semiHidden/>
    <w:unhideWhenUsed/>
    <w:rsid w:val="003D717E"/>
    <w:rPr>
      <w:b/>
      <w:bCs/>
      <w:sz w:val="20"/>
      <w:szCs w:val="20"/>
    </w:rPr>
  </w:style>
  <w:style w:type="character" w:customStyle="1" w:styleId="CommentSubjectChar">
    <w:name w:val="Comment Subject Char"/>
    <w:basedOn w:val="CommentTextChar"/>
    <w:link w:val="CommentSubject"/>
    <w:uiPriority w:val="99"/>
    <w:semiHidden/>
    <w:rsid w:val="003D717E"/>
    <w:rPr>
      <w:rFonts w:ascii="Verdana" w:eastAsia="Calibri" w:hAnsi="Verdana" w:cs="Calibri"/>
      <w:b/>
      <w:bCs/>
      <w:sz w:val="20"/>
      <w:szCs w:val="20"/>
      <w:lang w:val="es-MX"/>
    </w:rPr>
  </w:style>
  <w:style w:type="paragraph" w:styleId="NoSpacing">
    <w:name w:val="No Spacing"/>
    <w:uiPriority w:val="1"/>
    <w:qFormat/>
    <w:rsid w:val="003D717E"/>
    <w:pPr>
      <w:spacing w:after="0" w:line="240" w:lineRule="auto"/>
      <w:jc w:val="both"/>
    </w:pPr>
    <w:rPr>
      <w:rFonts w:ascii="Verdana" w:eastAsia="Calibri" w:hAnsi="Verdana" w:cs="Calibri"/>
      <w:sz w:val="20"/>
      <w:lang w:val="es-MX"/>
    </w:rPr>
  </w:style>
  <w:style w:type="paragraph" w:customStyle="1" w:styleId="citaindirecta">
    <w:name w:val="cita indirecta"/>
    <w:basedOn w:val="Normal"/>
    <w:rsid w:val="003D717E"/>
    <w:pPr>
      <w:ind w:left="708"/>
    </w:pPr>
    <w:rPr>
      <w:rFonts w:eastAsia="Times New Roman" w:cs="Times New Roman"/>
      <w:szCs w:val="20"/>
      <w:lang w:val="es-ES_tradnl" w:eastAsia="es-MX"/>
    </w:rPr>
  </w:style>
  <w:style w:type="paragraph" w:customStyle="1" w:styleId="Footnotes">
    <w:name w:val="**. Footnotes"/>
    <w:basedOn w:val="FootnoteText"/>
    <w:link w:val="FootnotesChar"/>
    <w:qFormat/>
    <w:rsid w:val="003D717E"/>
    <w:rPr>
      <w:rFonts w:eastAsia="Times New Roman" w:cs="Palatino-Italic"/>
      <w:iCs/>
      <w:spacing w:val="-4"/>
      <w:lang w:val="es-ES" w:eastAsia="en-US" w:bidi="en-US"/>
    </w:rPr>
  </w:style>
  <w:style w:type="character" w:customStyle="1" w:styleId="FootnotesChar">
    <w:name w:val="**. Footnotes Char"/>
    <w:basedOn w:val="DefaultParagraphFont"/>
    <w:link w:val="Footnotes"/>
    <w:rsid w:val="003D717E"/>
    <w:rPr>
      <w:rFonts w:ascii="Verdana" w:eastAsia="Times New Roman" w:hAnsi="Verdana" w:cs="Palatino-Italic"/>
      <w:iCs/>
      <w:spacing w:val="-4"/>
      <w:sz w:val="16"/>
      <w:szCs w:val="16"/>
      <w:lang w:val="es-ES" w:bidi="en-US"/>
    </w:rPr>
  </w:style>
  <w:style w:type="paragraph" w:styleId="DocumentMap">
    <w:name w:val="Document Map"/>
    <w:basedOn w:val="Normal"/>
    <w:link w:val="DocumentMapChar"/>
    <w:uiPriority w:val="99"/>
    <w:semiHidden/>
    <w:unhideWhenUsed/>
    <w:rsid w:val="003D717E"/>
    <w:rPr>
      <w:rFonts w:ascii="Tahoma" w:hAnsi="Tahoma" w:cs="Tahoma"/>
      <w:sz w:val="16"/>
      <w:szCs w:val="16"/>
    </w:rPr>
  </w:style>
  <w:style w:type="character" w:customStyle="1" w:styleId="DocumentMapChar">
    <w:name w:val="Document Map Char"/>
    <w:basedOn w:val="DefaultParagraphFont"/>
    <w:link w:val="DocumentMap"/>
    <w:uiPriority w:val="99"/>
    <w:semiHidden/>
    <w:rsid w:val="003D717E"/>
    <w:rPr>
      <w:rFonts w:ascii="Tahoma" w:eastAsia="Calibri" w:hAnsi="Tahoma" w:cs="Tahoma"/>
      <w:sz w:val="16"/>
      <w:szCs w:val="16"/>
      <w:lang w:val="es-MX"/>
    </w:rPr>
  </w:style>
  <w:style w:type="paragraph" w:styleId="NormalWeb">
    <w:name w:val="Normal (Web)"/>
    <w:basedOn w:val="Normal"/>
    <w:uiPriority w:val="99"/>
    <w:unhideWhenUsed/>
    <w:rsid w:val="003D717E"/>
    <w:pPr>
      <w:spacing w:before="100" w:beforeAutospacing="1" w:after="100" w:afterAutospacing="1"/>
      <w:jc w:val="left"/>
    </w:pPr>
    <w:rPr>
      <w:rFonts w:ascii="Times New Roman" w:eastAsia="Times New Roman" w:hAnsi="Times New Roman" w:cs="Times New Roman"/>
      <w:sz w:val="24"/>
      <w:szCs w:val="24"/>
      <w:lang w:val="en-US"/>
    </w:rPr>
  </w:style>
  <w:style w:type="character" w:styleId="Hyperlink">
    <w:name w:val="Hyperlink"/>
    <w:uiPriority w:val="99"/>
    <w:unhideWhenUsed/>
    <w:rsid w:val="003D717E"/>
    <w:rPr>
      <w:color w:val="0000FF"/>
      <w:u w:val="single"/>
    </w:rPr>
  </w:style>
  <w:style w:type="character" w:customStyle="1" w:styleId="ListParagraphChar">
    <w:name w:val="List Paragraph Char"/>
    <w:aliases w:val="Footnote Char,List Paragraph1 Char,Párrafo de lista1 Char"/>
    <w:link w:val="ListParagraph"/>
    <w:uiPriority w:val="34"/>
    <w:rsid w:val="003D717E"/>
    <w:rPr>
      <w:rFonts w:ascii="Verdana" w:eastAsia="Calibri" w:hAnsi="Verdana" w:cs="Verdana"/>
      <w:sz w:val="20"/>
      <w:szCs w:val="20"/>
      <w:lang w:val="es-MX"/>
    </w:rPr>
  </w:style>
  <w:style w:type="paragraph" w:customStyle="1" w:styleId="PrrafodeSentencia">
    <w:name w:val="*. Párrafo de Sentencia"/>
    <w:basedOn w:val="Normal"/>
    <w:next w:val="Normal"/>
    <w:link w:val="PrrafodeSentenciaChar"/>
    <w:qFormat/>
    <w:rsid w:val="003D717E"/>
    <w:pPr>
      <w:numPr>
        <w:numId w:val="3"/>
      </w:numPr>
      <w:tabs>
        <w:tab w:val="left" w:pos="567"/>
      </w:tabs>
      <w:ind w:left="0" w:firstLine="0"/>
    </w:pPr>
    <w:rPr>
      <w:rFonts w:eastAsia="Batang" w:cs="Times New Roman"/>
      <w:spacing w:val="-4"/>
      <w:lang w:val="es-CR" w:eastAsia="es-MX"/>
    </w:rPr>
  </w:style>
  <w:style w:type="character" w:customStyle="1" w:styleId="PrrafodeSentenciaChar">
    <w:name w:val="*. Párrafo de Sentencia Char"/>
    <w:basedOn w:val="DefaultParagraphFont"/>
    <w:link w:val="PrrafodeSentencia"/>
    <w:rsid w:val="003D717E"/>
    <w:rPr>
      <w:rFonts w:ascii="Verdana" w:eastAsia="Batang" w:hAnsi="Verdana" w:cs="Times New Roman"/>
      <w:spacing w:val="-4"/>
      <w:sz w:val="20"/>
      <w:lang w:eastAsia="es-MX"/>
    </w:rPr>
  </w:style>
  <w:style w:type="character" w:styleId="Strong">
    <w:name w:val="Strong"/>
    <w:basedOn w:val="DefaultParagraphFont"/>
    <w:uiPriority w:val="22"/>
    <w:qFormat/>
    <w:rsid w:val="003D717E"/>
    <w:rPr>
      <w:b/>
      <w:bCs/>
    </w:rPr>
  </w:style>
  <w:style w:type="character" w:customStyle="1" w:styleId="ListParagraphChar1">
    <w:name w:val="List Paragraph Char1"/>
    <w:aliases w:val="Colorful List - Accent 11 Char1"/>
    <w:uiPriority w:val="99"/>
    <w:locked/>
    <w:rsid w:val="003D717E"/>
    <w:rPr>
      <w:rFonts w:ascii="Verdana" w:eastAsia="Times New Roman" w:hAnsi="Verdana"/>
      <w:lang w:val="es-ES_tradnl"/>
    </w:rPr>
  </w:style>
  <w:style w:type="character" w:customStyle="1" w:styleId="Refdenotaalpie1">
    <w:name w:val="Ref. de nota al pie1"/>
    <w:basedOn w:val="DefaultParagraphFont"/>
    <w:rsid w:val="003D717E"/>
    <w:rPr>
      <w:sz w:val="20"/>
      <w:vertAlign w:val="superscript"/>
    </w:rPr>
  </w:style>
  <w:style w:type="paragraph" w:styleId="EndnoteText">
    <w:name w:val="endnote text"/>
    <w:basedOn w:val="Normal"/>
    <w:link w:val="EndnoteTextChar"/>
    <w:uiPriority w:val="99"/>
    <w:semiHidden/>
    <w:unhideWhenUsed/>
    <w:rsid w:val="003D717E"/>
    <w:rPr>
      <w:szCs w:val="20"/>
    </w:rPr>
  </w:style>
  <w:style w:type="character" w:customStyle="1" w:styleId="EndnoteTextChar">
    <w:name w:val="Endnote Text Char"/>
    <w:basedOn w:val="DefaultParagraphFont"/>
    <w:link w:val="EndnoteText"/>
    <w:uiPriority w:val="99"/>
    <w:semiHidden/>
    <w:rsid w:val="003D717E"/>
    <w:rPr>
      <w:rFonts w:ascii="Verdana" w:eastAsia="Calibri" w:hAnsi="Verdana" w:cs="Calibri"/>
      <w:sz w:val="20"/>
      <w:szCs w:val="20"/>
      <w:lang w:val="es-MX"/>
    </w:rPr>
  </w:style>
  <w:style w:type="character" w:styleId="EndnoteReference">
    <w:name w:val="endnote reference"/>
    <w:basedOn w:val="DefaultParagraphFont"/>
    <w:uiPriority w:val="99"/>
    <w:semiHidden/>
    <w:unhideWhenUsed/>
    <w:rsid w:val="003D717E"/>
    <w:rPr>
      <w:vertAlign w:val="superscript"/>
    </w:rPr>
  </w:style>
  <w:style w:type="paragraph" w:styleId="Revision">
    <w:name w:val="Revision"/>
    <w:hidden/>
    <w:uiPriority w:val="99"/>
    <w:semiHidden/>
    <w:rsid w:val="003D717E"/>
    <w:pPr>
      <w:spacing w:after="0" w:line="240" w:lineRule="auto"/>
    </w:pPr>
    <w:rPr>
      <w:rFonts w:ascii="Verdana" w:eastAsia="Calibri" w:hAnsi="Verdana" w:cs="Calibri"/>
      <w:sz w:val="20"/>
      <w:lang w:val="es-MX"/>
    </w:rPr>
  </w:style>
  <w:style w:type="character" w:styleId="FollowedHyperlink">
    <w:name w:val="FollowedHyperlink"/>
    <w:basedOn w:val="DefaultParagraphFont"/>
    <w:uiPriority w:val="99"/>
    <w:semiHidden/>
    <w:unhideWhenUsed/>
    <w:rsid w:val="003D717E"/>
    <w:rPr>
      <w:color w:val="800080" w:themeColor="followedHyperlink"/>
      <w:u w:val="single"/>
    </w:rPr>
  </w:style>
  <w:style w:type="paragraph" w:styleId="Footer">
    <w:name w:val="footer"/>
    <w:basedOn w:val="Normal"/>
    <w:link w:val="FooterChar"/>
    <w:uiPriority w:val="99"/>
    <w:unhideWhenUsed/>
    <w:rsid w:val="003D717E"/>
    <w:pPr>
      <w:tabs>
        <w:tab w:val="center" w:pos="4419"/>
        <w:tab w:val="right" w:pos="8838"/>
      </w:tabs>
    </w:pPr>
    <w:rPr>
      <w:rFonts w:eastAsiaTheme="minorEastAsia" w:cstheme="minorBidi"/>
      <w:lang w:val="es-PE" w:eastAsia="es-PE"/>
    </w:rPr>
  </w:style>
  <w:style w:type="character" w:customStyle="1" w:styleId="FooterChar">
    <w:name w:val="Footer Char"/>
    <w:basedOn w:val="DefaultParagraphFont"/>
    <w:link w:val="Footer"/>
    <w:uiPriority w:val="99"/>
    <w:rsid w:val="003D717E"/>
    <w:rPr>
      <w:rFonts w:ascii="Verdana" w:eastAsiaTheme="minorEastAsia" w:hAnsi="Verdana"/>
      <w:sz w:val="20"/>
      <w:lang w:val="es-PE" w:eastAsia="es-PE"/>
    </w:rPr>
  </w:style>
  <w:style w:type="character" w:customStyle="1" w:styleId="apple-style-span">
    <w:name w:val="apple-style-span"/>
    <w:basedOn w:val="DefaultParagraphFont"/>
    <w:rsid w:val="003D717E"/>
  </w:style>
  <w:style w:type="paragraph" w:styleId="TOC1">
    <w:name w:val="toc 1"/>
    <w:basedOn w:val="Normal"/>
    <w:next w:val="Normal"/>
    <w:autoRedefine/>
    <w:uiPriority w:val="39"/>
    <w:unhideWhenUsed/>
    <w:rsid w:val="00F31796"/>
    <w:pPr>
      <w:tabs>
        <w:tab w:val="right" w:leader="dot" w:pos="9736"/>
      </w:tabs>
      <w:spacing w:before="60" w:after="60"/>
    </w:pPr>
    <w:rPr>
      <w:b/>
      <w:noProof/>
      <w:spacing w:val="-4"/>
      <w:sz w:val="18"/>
      <w:szCs w:val="18"/>
    </w:rPr>
  </w:style>
  <w:style w:type="paragraph" w:styleId="TOC2">
    <w:name w:val="toc 2"/>
    <w:basedOn w:val="Normal"/>
    <w:next w:val="Normal"/>
    <w:autoRedefine/>
    <w:uiPriority w:val="39"/>
    <w:unhideWhenUsed/>
    <w:rsid w:val="00F31A91"/>
    <w:pPr>
      <w:tabs>
        <w:tab w:val="left" w:pos="567"/>
        <w:tab w:val="left" w:pos="880"/>
        <w:tab w:val="right" w:leader="dot" w:pos="9736"/>
      </w:tabs>
      <w:spacing w:after="100"/>
      <w:ind w:left="200"/>
    </w:pPr>
  </w:style>
  <w:style w:type="paragraph" w:styleId="TOC3">
    <w:name w:val="toc 3"/>
    <w:basedOn w:val="Normal"/>
    <w:next w:val="Normal"/>
    <w:autoRedefine/>
    <w:uiPriority w:val="39"/>
    <w:unhideWhenUsed/>
    <w:rsid w:val="003D717E"/>
    <w:pPr>
      <w:spacing w:after="100"/>
      <w:ind w:left="400"/>
    </w:pPr>
  </w:style>
  <w:style w:type="character" w:customStyle="1" w:styleId="sb8d990e2">
    <w:name w:val="sb8d990e2"/>
    <w:basedOn w:val="DefaultParagraphFont"/>
    <w:rsid w:val="003D717E"/>
  </w:style>
  <w:style w:type="character" w:customStyle="1" w:styleId="s6b621b36">
    <w:name w:val="s6b621b36"/>
    <w:basedOn w:val="DefaultParagraphFont"/>
    <w:rsid w:val="003D717E"/>
  </w:style>
  <w:style w:type="table" w:styleId="TableGrid">
    <w:name w:val="Table Grid"/>
    <w:basedOn w:val="TableNormal"/>
    <w:uiPriority w:val="59"/>
    <w:rsid w:val="003D71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3D717E"/>
  </w:style>
  <w:style w:type="paragraph" w:customStyle="1" w:styleId="Prrafodelista2">
    <w:name w:val="Párrafo de lista2"/>
    <w:basedOn w:val="Normal"/>
    <w:uiPriority w:val="99"/>
    <w:rsid w:val="003D717E"/>
    <w:pPr>
      <w:ind w:left="720"/>
      <w:jc w:val="left"/>
    </w:pPr>
    <w:rPr>
      <w:rFonts w:eastAsia="MS Mincho" w:cs="Times New Roman"/>
      <w:szCs w:val="20"/>
      <w:lang w:val="es-ES_tradnl" w:bidi="en-US"/>
    </w:rPr>
  </w:style>
  <w:style w:type="character" w:styleId="Emphasis">
    <w:name w:val="Emphasis"/>
    <w:basedOn w:val="DefaultParagraphFont"/>
    <w:uiPriority w:val="20"/>
    <w:qFormat/>
    <w:rsid w:val="003D717E"/>
    <w:rPr>
      <w:i/>
      <w:iCs/>
    </w:rPr>
  </w:style>
  <w:style w:type="character" w:customStyle="1" w:styleId="documentbody1">
    <w:name w:val="documentbody1"/>
    <w:uiPriority w:val="99"/>
    <w:rsid w:val="003D717E"/>
    <w:rPr>
      <w:rFonts w:ascii="Verdana" w:hAnsi="Verdana"/>
      <w:sz w:val="19"/>
    </w:rPr>
  </w:style>
  <w:style w:type="character" w:customStyle="1" w:styleId="ju-005fpara--char">
    <w:name w:val="ju-005fpara--char"/>
    <w:basedOn w:val="DefaultParagraphFont"/>
    <w:rsid w:val="003D717E"/>
  </w:style>
  <w:style w:type="character" w:customStyle="1" w:styleId="normal--char">
    <w:name w:val="normal--char"/>
    <w:basedOn w:val="DefaultParagraphFont"/>
    <w:rsid w:val="003D717E"/>
  </w:style>
  <w:style w:type="paragraph" w:customStyle="1" w:styleId="Estilo1">
    <w:name w:val="Estilo1"/>
    <w:basedOn w:val="Normal"/>
    <w:link w:val="Estilo1Car"/>
    <w:qFormat/>
    <w:rsid w:val="003D717E"/>
    <w:pPr>
      <w:tabs>
        <w:tab w:val="left" w:pos="567"/>
        <w:tab w:val="left" w:pos="1134"/>
        <w:tab w:val="num" w:pos="16392"/>
      </w:tabs>
      <w:spacing w:after="120"/>
    </w:pPr>
    <w:rPr>
      <w:rFonts w:cs="Times New Roman"/>
      <w:szCs w:val="20"/>
      <w:lang w:val="es-ES"/>
    </w:rPr>
  </w:style>
  <w:style w:type="character" w:customStyle="1" w:styleId="Estilo1Car">
    <w:name w:val="Estilo1 Car"/>
    <w:link w:val="Estilo1"/>
    <w:rsid w:val="003D717E"/>
    <w:rPr>
      <w:rFonts w:ascii="Verdana" w:eastAsia="Calibri" w:hAnsi="Verdana" w:cs="Times New Roman"/>
      <w:sz w:val="20"/>
      <w:szCs w:val="20"/>
      <w:lang w:val="es-ES"/>
    </w:rPr>
  </w:style>
  <w:style w:type="paragraph" w:customStyle="1" w:styleId="Estilo2">
    <w:name w:val="Estilo2"/>
    <w:basedOn w:val="Normal"/>
    <w:qFormat/>
    <w:rsid w:val="003D717E"/>
    <w:pPr>
      <w:tabs>
        <w:tab w:val="left" w:pos="567"/>
        <w:tab w:val="left" w:pos="1134"/>
        <w:tab w:val="num" w:pos="4767"/>
      </w:tabs>
      <w:spacing w:after="120"/>
      <w:ind w:firstLine="357"/>
    </w:pPr>
    <w:rPr>
      <w:rFonts w:cs="Times New Roman"/>
      <w:szCs w:val="20"/>
      <w:lang w:val="es-ES"/>
    </w:rPr>
  </w:style>
  <w:style w:type="paragraph" w:styleId="TOC4">
    <w:name w:val="toc 4"/>
    <w:basedOn w:val="Normal"/>
    <w:next w:val="Normal"/>
    <w:autoRedefine/>
    <w:uiPriority w:val="39"/>
    <w:unhideWhenUsed/>
    <w:rsid w:val="00930E53"/>
    <w:pPr>
      <w:spacing w:after="100"/>
      <w:ind w:left="600"/>
    </w:pPr>
  </w:style>
  <w:style w:type="character" w:customStyle="1" w:styleId="s3">
    <w:name w:val="s3"/>
    <w:basedOn w:val="DefaultParagraphFont"/>
    <w:rsid w:val="009A1986"/>
  </w:style>
  <w:style w:type="character" w:styleId="PageNumber">
    <w:name w:val="page number"/>
    <w:basedOn w:val="DefaultParagraphFont"/>
    <w:uiPriority w:val="99"/>
    <w:semiHidden/>
    <w:unhideWhenUsed/>
    <w:rsid w:val="00D157D7"/>
  </w:style>
  <w:style w:type="character" w:customStyle="1" w:styleId="sf1c7242d">
    <w:name w:val="sf1c7242d"/>
    <w:basedOn w:val="DefaultParagraphFont"/>
    <w:rsid w:val="0084681D"/>
  </w:style>
  <w:style w:type="paragraph" w:customStyle="1" w:styleId="style1">
    <w:name w:val="style1"/>
    <w:basedOn w:val="Normal"/>
    <w:rsid w:val="00465324"/>
    <w:pPr>
      <w:spacing w:before="100" w:beforeAutospacing="1" w:after="100" w:afterAutospacing="1"/>
      <w:jc w:val="left"/>
    </w:pPr>
    <w:rPr>
      <w:rFonts w:ascii="Times New Roman" w:eastAsia="Times New Roman" w:hAnsi="Times New Roman" w:cs="Times New Roman"/>
      <w:sz w:val="24"/>
      <w:szCs w:val="24"/>
      <w:lang w:val="en-US"/>
    </w:rPr>
  </w:style>
  <w:style w:type="character" w:styleId="HTMLCite">
    <w:name w:val="HTML Cite"/>
    <w:basedOn w:val="DefaultParagraphFont"/>
    <w:uiPriority w:val="99"/>
    <w:semiHidden/>
    <w:unhideWhenUsed/>
    <w:rsid w:val="00AB5969"/>
    <w:rPr>
      <w:i/>
      <w:iCs/>
    </w:rPr>
  </w:style>
  <w:style w:type="paragraph" w:styleId="BodyTextIndent3">
    <w:name w:val="Body Text Indent 3"/>
    <w:basedOn w:val="Normal"/>
    <w:link w:val="BodyTextIndent3Char"/>
    <w:uiPriority w:val="99"/>
    <w:semiHidden/>
    <w:unhideWhenUsed/>
    <w:rsid w:val="00E55C7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55C7C"/>
    <w:rPr>
      <w:rFonts w:ascii="Verdana" w:eastAsia="Calibri" w:hAnsi="Verdana" w:cs="Calibri"/>
      <w:sz w:val="16"/>
      <w:szCs w:val="16"/>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9713">
      <w:bodyDiv w:val="1"/>
      <w:marLeft w:val="0"/>
      <w:marRight w:val="0"/>
      <w:marTop w:val="0"/>
      <w:marBottom w:val="0"/>
      <w:divBdr>
        <w:top w:val="none" w:sz="0" w:space="0" w:color="auto"/>
        <w:left w:val="none" w:sz="0" w:space="0" w:color="auto"/>
        <w:bottom w:val="none" w:sz="0" w:space="0" w:color="auto"/>
        <w:right w:val="none" w:sz="0" w:space="0" w:color="auto"/>
      </w:divBdr>
    </w:div>
    <w:div w:id="39522281">
      <w:bodyDiv w:val="1"/>
      <w:marLeft w:val="0"/>
      <w:marRight w:val="0"/>
      <w:marTop w:val="0"/>
      <w:marBottom w:val="0"/>
      <w:divBdr>
        <w:top w:val="none" w:sz="0" w:space="0" w:color="auto"/>
        <w:left w:val="none" w:sz="0" w:space="0" w:color="auto"/>
        <w:bottom w:val="none" w:sz="0" w:space="0" w:color="auto"/>
        <w:right w:val="none" w:sz="0" w:space="0" w:color="auto"/>
      </w:divBdr>
    </w:div>
    <w:div w:id="44378293">
      <w:bodyDiv w:val="1"/>
      <w:marLeft w:val="0"/>
      <w:marRight w:val="0"/>
      <w:marTop w:val="0"/>
      <w:marBottom w:val="0"/>
      <w:divBdr>
        <w:top w:val="none" w:sz="0" w:space="0" w:color="auto"/>
        <w:left w:val="none" w:sz="0" w:space="0" w:color="auto"/>
        <w:bottom w:val="none" w:sz="0" w:space="0" w:color="auto"/>
        <w:right w:val="none" w:sz="0" w:space="0" w:color="auto"/>
      </w:divBdr>
    </w:div>
    <w:div w:id="72049602">
      <w:bodyDiv w:val="1"/>
      <w:marLeft w:val="0"/>
      <w:marRight w:val="0"/>
      <w:marTop w:val="0"/>
      <w:marBottom w:val="0"/>
      <w:divBdr>
        <w:top w:val="none" w:sz="0" w:space="0" w:color="auto"/>
        <w:left w:val="none" w:sz="0" w:space="0" w:color="auto"/>
        <w:bottom w:val="none" w:sz="0" w:space="0" w:color="auto"/>
        <w:right w:val="none" w:sz="0" w:space="0" w:color="auto"/>
      </w:divBdr>
    </w:div>
    <w:div w:id="95172399">
      <w:bodyDiv w:val="1"/>
      <w:marLeft w:val="0"/>
      <w:marRight w:val="0"/>
      <w:marTop w:val="0"/>
      <w:marBottom w:val="0"/>
      <w:divBdr>
        <w:top w:val="none" w:sz="0" w:space="0" w:color="auto"/>
        <w:left w:val="none" w:sz="0" w:space="0" w:color="auto"/>
        <w:bottom w:val="none" w:sz="0" w:space="0" w:color="auto"/>
        <w:right w:val="none" w:sz="0" w:space="0" w:color="auto"/>
      </w:divBdr>
      <w:divsChild>
        <w:div w:id="6176866">
          <w:marLeft w:val="0"/>
          <w:marRight w:val="0"/>
          <w:marTop w:val="0"/>
          <w:marBottom w:val="0"/>
          <w:divBdr>
            <w:top w:val="none" w:sz="0" w:space="0" w:color="auto"/>
            <w:left w:val="none" w:sz="0" w:space="0" w:color="auto"/>
            <w:bottom w:val="none" w:sz="0" w:space="0" w:color="auto"/>
            <w:right w:val="none" w:sz="0" w:space="0" w:color="auto"/>
          </w:divBdr>
        </w:div>
        <w:div w:id="237057231">
          <w:marLeft w:val="0"/>
          <w:marRight w:val="0"/>
          <w:marTop w:val="0"/>
          <w:marBottom w:val="0"/>
          <w:divBdr>
            <w:top w:val="none" w:sz="0" w:space="0" w:color="auto"/>
            <w:left w:val="none" w:sz="0" w:space="0" w:color="auto"/>
            <w:bottom w:val="none" w:sz="0" w:space="0" w:color="auto"/>
            <w:right w:val="none" w:sz="0" w:space="0" w:color="auto"/>
          </w:divBdr>
        </w:div>
        <w:div w:id="495222038">
          <w:marLeft w:val="0"/>
          <w:marRight w:val="0"/>
          <w:marTop w:val="0"/>
          <w:marBottom w:val="0"/>
          <w:divBdr>
            <w:top w:val="none" w:sz="0" w:space="0" w:color="auto"/>
            <w:left w:val="none" w:sz="0" w:space="0" w:color="auto"/>
            <w:bottom w:val="none" w:sz="0" w:space="0" w:color="auto"/>
            <w:right w:val="none" w:sz="0" w:space="0" w:color="auto"/>
          </w:divBdr>
        </w:div>
        <w:div w:id="1869953916">
          <w:marLeft w:val="0"/>
          <w:marRight w:val="0"/>
          <w:marTop w:val="0"/>
          <w:marBottom w:val="0"/>
          <w:divBdr>
            <w:top w:val="none" w:sz="0" w:space="0" w:color="auto"/>
            <w:left w:val="none" w:sz="0" w:space="0" w:color="auto"/>
            <w:bottom w:val="none" w:sz="0" w:space="0" w:color="auto"/>
            <w:right w:val="none" w:sz="0" w:space="0" w:color="auto"/>
          </w:divBdr>
        </w:div>
        <w:div w:id="2091849860">
          <w:marLeft w:val="0"/>
          <w:marRight w:val="0"/>
          <w:marTop w:val="0"/>
          <w:marBottom w:val="0"/>
          <w:divBdr>
            <w:top w:val="none" w:sz="0" w:space="0" w:color="auto"/>
            <w:left w:val="none" w:sz="0" w:space="0" w:color="auto"/>
            <w:bottom w:val="none" w:sz="0" w:space="0" w:color="auto"/>
            <w:right w:val="none" w:sz="0" w:space="0" w:color="auto"/>
          </w:divBdr>
        </w:div>
      </w:divsChild>
    </w:div>
    <w:div w:id="96487400">
      <w:bodyDiv w:val="1"/>
      <w:marLeft w:val="0"/>
      <w:marRight w:val="0"/>
      <w:marTop w:val="0"/>
      <w:marBottom w:val="0"/>
      <w:divBdr>
        <w:top w:val="none" w:sz="0" w:space="0" w:color="auto"/>
        <w:left w:val="none" w:sz="0" w:space="0" w:color="auto"/>
        <w:bottom w:val="none" w:sz="0" w:space="0" w:color="auto"/>
        <w:right w:val="none" w:sz="0" w:space="0" w:color="auto"/>
      </w:divBdr>
    </w:div>
    <w:div w:id="194925403">
      <w:bodyDiv w:val="1"/>
      <w:marLeft w:val="0"/>
      <w:marRight w:val="0"/>
      <w:marTop w:val="0"/>
      <w:marBottom w:val="0"/>
      <w:divBdr>
        <w:top w:val="none" w:sz="0" w:space="0" w:color="auto"/>
        <w:left w:val="none" w:sz="0" w:space="0" w:color="auto"/>
        <w:bottom w:val="none" w:sz="0" w:space="0" w:color="auto"/>
        <w:right w:val="none" w:sz="0" w:space="0" w:color="auto"/>
      </w:divBdr>
    </w:div>
    <w:div w:id="208760478">
      <w:bodyDiv w:val="1"/>
      <w:marLeft w:val="0"/>
      <w:marRight w:val="0"/>
      <w:marTop w:val="0"/>
      <w:marBottom w:val="0"/>
      <w:divBdr>
        <w:top w:val="none" w:sz="0" w:space="0" w:color="auto"/>
        <w:left w:val="none" w:sz="0" w:space="0" w:color="auto"/>
        <w:bottom w:val="none" w:sz="0" w:space="0" w:color="auto"/>
        <w:right w:val="none" w:sz="0" w:space="0" w:color="auto"/>
      </w:divBdr>
    </w:div>
    <w:div w:id="250627025">
      <w:bodyDiv w:val="1"/>
      <w:marLeft w:val="0"/>
      <w:marRight w:val="0"/>
      <w:marTop w:val="0"/>
      <w:marBottom w:val="0"/>
      <w:divBdr>
        <w:top w:val="none" w:sz="0" w:space="0" w:color="auto"/>
        <w:left w:val="none" w:sz="0" w:space="0" w:color="auto"/>
        <w:bottom w:val="none" w:sz="0" w:space="0" w:color="auto"/>
        <w:right w:val="none" w:sz="0" w:space="0" w:color="auto"/>
      </w:divBdr>
    </w:div>
    <w:div w:id="285552548">
      <w:bodyDiv w:val="1"/>
      <w:marLeft w:val="0"/>
      <w:marRight w:val="0"/>
      <w:marTop w:val="0"/>
      <w:marBottom w:val="0"/>
      <w:divBdr>
        <w:top w:val="none" w:sz="0" w:space="0" w:color="auto"/>
        <w:left w:val="none" w:sz="0" w:space="0" w:color="auto"/>
        <w:bottom w:val="none" w:sz="0" w:space="0" w:color="auto"/>
        <w:right w:val="none" w:sz="0" w:space="0" w:color="auto"/>
      </w:divBdr>
    </w:div>
    <w:div w:id="317271948">
      <w:bodyDiv w:val="1"/>
      <w:marLeft w:val="0"/>
      <w:marRight w:val="0"/>
      <w:marTop w:val="0"/>
      <w:marBottom w:val="0"/>
      <w:divBdr>
        <w:top w:val="none" w:sz="0" w:space="0" w:color="auto"/>
        <w:left w:val="none" w:sz="0" w:space="0" w:color="auto"/>
        <w:bottom w:val="none" w:sz="0" w:space="0" w:color="auto"/>
        <w:right w:val="none" w:sz="0" w:space="0" w:color="auto"/>
      </w:divBdr>
    </w:div>
    <w:div w:id="419378175">
      <w:bodyDiv w:val="1"/>
      <w:marLeft w:val="0"/>
      <w:marRight w:val="0"/>
      <w:marTop w:val="0"/>
      <w:marBottom w:val="0"/>
      <w:divBdr>
        <w:top w:val="none" w:sz="0" w:space="0" w:color="auto"/>
        <w:left w:val="none" w:sz="0" w:space="0" w:color="auto"/>
        <w:bottom w:val="none" w:sz="0" w:space="0" w:color="auto"/>
        <w:right w:val="none" w:sz="0" w:space="0" w:color="auto"/>
      </w:divBdr>
      <w:divsChild>
        <w:div w:id="221061088">
          <w:marLeft w:val="0"/>
          <w:marRight w:val="0"/>
          <w:marTop w:val="0"/>
          <w:marBottom w:val="0"/>
          <w:divBdr>
            <w:top w:val="none" w:sz="0" w:space="0" w:color="auto"/>
            <w:left w:val="none" w:sz="0" w:space="0" w:color="auto"/>
            <w:bottom w:val="none" w:sz="0" w:space="0" w:color="auto"/>
            <w:right w:val="none" w:sz="0" w:space="0" w:color="auto"/>
          </w:divBdr>
        </w:div>
        <w:div w:id="555507203">
          <w:marLeft w:val="0"/>
          <w:marRight w:val="0"/>
          <w:marTop w:val="0"/>
          <w:marBottom w:val="0"/>
          <w:divBdr>
            <w:top w:val="none" w:sz="0" w:space="0" w:color="auto"/>
            <w:left w:val="none" w:sz="0" w:space="0" w:color="auto"/>
            <w:bottom w:val="none" w:sz="0" w:space="0" w:color="auto"/>
            <w:right w:val="none" w:sz="0" w:space="0" w:color="auto"/>
          </w:divBdr>
        </w:div>
        <w:div w:id="1339503903">
          <w:marLeft w:val="0"/>
          <w:marRight w:val="0"/>
          <w:marTop w:val="0"/>
          <w:marBottom w:val="0"/>
          <w:divBdr>
            <w:top w:val="none" w:sz="0" w:space="0" w:color="auto"/>
            <w:left w:val="none" w:sz="0" w:space="0" w:color="auto"/>
            <w:bottom w:val="none" w:sz="0" w:space="0" w:color="auto"/>
            <w:right w:val="none" w:sz="0" w:space="0" w:color="auto"/>
          </w:divBdr>
        </w:div>
        <w:div w:id="1729263879">
          <w:marLeft w:val="0"/>
          <w:marRight w:val="0"/>
          <w:marTop w:val="0"/>
          <w:marBottom w:val="0"/>
          <w:divBdr>
            <w:top w:val="none" w:sz="0" w:space="0" w:color="auto"/>
            <w:left w:val="none" w:sz="0" w:space="0" w:color="auto"/>
            <w:bottom w:val="none" w:sz="0" w:space="0" w:color="auto"/>
            <w:right w:val="none" w:sz="0" w:space="0" w:color="auto"/>
          </w:divBdr>
        </w:div>
        <w:div w:id="2067801138">
          <w:marLeft w:val="0"/>
          <w:marRight w:val="0"/>
          <w:marTop w:val="0"/>
          <w:marBottom w:val="0"/>
          <w:divBdr>
            <w:top w:val="none" w:sz="0" w:space="0" w:color="auto"/>
            <w:left w:val="none" w:sz="0" w:space="0" w:color="auto"/>
            <w:bottom w:val="none" w:sz="0" w:space="0" w:color="auto"/>
            <w:right w:val="none" w:sz="0" w:space="0" w:color="auto"/>
          </w:divBdr>
        </w:div>
      </w:divsChild>
    </w:div>
    <w:div w:id="504438566">
      <w:bodyDiv w:val="1"/>
      <w:marLeft w:val="0"/>
      <w:marRight w:val="0"/>
      <w:marTop w:val="0"/>
      <w:marBottom w:val="0"/>
      <w:divBdr>
        <w:top w:val="none" w:sz="0" w:space="0" w:color="auto"/>
        <w:left w:val="none" w:sz="0" w:space="0" w:color="auto"/>
        <w:bottom w:val="none" w:sz="0" w:space="0" w:color="auto"/>
        <w:right w:val="none" w:sz="0" w:space="0" w:color="auto"/>
      </w:divBdr>
    </w:div>
    <w:div w:id="507983450">
      <w:bodyDiv w:val="1"/>
      <w:marLeft w:val="0"/>
      <w:marRight w:val="0"/>
      <w:marTop w:val="0"/>
      <w:marBottom w:val="0"/>
      <w:divBdr>
        <w:top w:val="none" w:sz="0" w:space="0" w:color="auto"/>
        <w:left w:val="none" w:sz="0" w:space="0" w:color="auto"/>
        <w:bottom w:val="none" w:sz="0" w:space="0" w:color="auto"/>
        <w:right w:val="none" w:sz="0" w:space="0" w:color="auto"/>
      </w:divBdr>
    </w:div>
    <w:div w:id="640187443">
      <w:bodyDiv w:val="1"/>
      <w:marLeft w:val="0"/>
      <w:marRight w:val="0"/>
      <w:marTop w:val="0"/>
      <w:marBottom w:val="0"/>
      <w:divBdr>
        <w:top w:val="none" w:sz="0" w:space="0" w:color="auto"/>
        <w:left w:val="none" w:sz="0" w:space="0" w:color="auto"/>
        <w:bottom w:val="none" w:sz="0" w:space="0" w:color="auto"/>
        <w:right w:val="none" w:sz="0" w:space="0" w:color="auto"/>
      </w:divBdr>
    </w:div>
    <w:div w:id="749615483">
      <w:bodyDiv w:val="1"/>
      <w:marLeft w:val="0"/>
      <w:marRight w:val="0"/>
      <w:marTop w:val="0"/>
      <w:marBottom w:val="0"/>
      <w:divBdr>
        <w:top w:val="none" w:sz="0" w:space="0" w:color="auto"/>
        <w:left w:val="none" w:sz="0" w:space="0" w:color="auto"/>
        <w:bottom w:val="none" w:sz="0" w:space="0" w:color="auto"/>
        <w:right w:val="none" w:sz="0" w:space="0" w:color="auto"/>
      </w:divBdr>
    </w:div>
    <w:div w:id="757600073">
      <w:bodyDiv w:val="1"/>
      <w:marLeft w:val="0"/>
      <w:marRight w:val="0"/>
      <w:marTop w:val="0"/>
      <w:marBottom w:val="0"/>
      <w:divBdr>
        <w:top w:val="none" w:sz="0" w:space="0" w:color="auto"/>
        <w:left w:val="none" w:sz="0" w:space="0" w:color="auto"/>
        <w:bottom w:val="none" w:sz="0" w:space="0" w:color="auto"/>
        <w:right w:val="none" w:sz="0" w:space="0" w:color="auto"/>
      </w:divBdr>
    </w:div>
    <w:div w:id="774517363">
      <w:bodyDiv w:val="1"/>
      <w:marLeft w:val="0"/>
      <w:marRight w:val="0"/>
      <w:marTop w:val="0"/>
      <w:marBottom w:val="0"/>
      <w:divBdr>
        <w:top w:val="none" w:sz="0" w:space="0" w:color="auto"/>
        <w:left w:val="none" w:sz="0" w:space="0" w:color="auto"/>
        <w:bottom w:val="none" w:sz="0" w:space="0" w:color="auto"/>
        <w:right w:val="none" w:sz="0" w:space="0" w:color="auto"/>
      </w:divBdr>
    </w:div>
    <w:div w:id="795488435">
      <w:bodyDiv w:val="1"/>
      <w:marLeft w:val="0"/>
      <w:marRight w:val="0"/>
      <w:marTop w:val="0"/>
      <w:marBottom w:val="0"/>
      <w:divBdr>
        <w:top w:val="none" w:sz="0" w:space="0" w:color="auto"/>
        <w:left w:val="none" w:sz="0" w:space="0" w:color="auto"/>
        <w:bottom w:val="none" w:sz="0" w:space="0" w:color="auto"/>
        <w:right w:val="none" w:sz="0" w:space="0" w:color="auto"/>
      </w:divBdr>
    </w:div>
    <w:div w:id="902184352">
      <w:bodyDiv w:val="1"/>
      <w:marLeft w:val="0"/>
      <w:marRight w:val="0"/>
      <w:marTop w:val="0"/>
      <w:marBottom w:val="0"/>
      <w:divBdr>
        <w:top w:val="none" w:sz="0" w:space="0" w:color="auto"/>
        <w:left w:val="none" w:sz="0" w:space="0" w:color="auto"/>
        <w:bottom w:val="none" w:sz="0" w:space="0" w:color="auto"/>
        <w:right w:val="none" w:sz="0" w:space="0" w:color="auto"/>
      </w:divBdr>
    </w:div>
    <w:div w:id="941693610">
      <w:bodyDiv w:val="1"/>
      <w:marLeft w:val="0"/>
      <w:marRight w:val="0"/>
      <w:marTop w:val="0"/>
      <w:marBottom w:val="0"/>
      <w:divBdr>
        <w:top w:val="none" w:sz="0" w:space="0" w:color="auto"/>
        <w:left w:val="none" w:sz="0" w:space="0" w:color="auto"/>
        <w:bottom w:val="none" w:sz="0" w:space="0" w:color="auto"/>
        <w:right w:val="none" w:sz="0" w:space="0" w:color="auto"/>
      </w:divBdr>
    </w:div>
    <w:div w:id="986471676">
      <w:bodyDiv w:val="1"/>
      <w:marLeft w:val="0"/>
      <w:marRight w:val="0"/>
      <w:marTop w:val="0"/>
      <w:marBottom w:val="0"/>
      <w:divBdr>
        <w:top w:val="none" w:sz="0" w:space="0" w:color="auto"/>
        <w:left w:val="none" w:sz="0" w:space="0" w:color="auto"/>
        <w:bottom w:val="none" w:sz="0" w:space="0" w:color="auto"/>
        <w:right w:val="none" w:sz="0" w:space="0" w:color="auto"/>
      </w:divBdr>
    </w:div>
    <w:div w:id="997730403">
      <w:bodyDiv w:val="1"/>
      <w:marLeft w:val="0"/>
      <w:marRight w:val="0"/>
      <w:marTop w:val="0"/>
      <w:marBottom w:val="0"/>
      <w:divBdr>
        <w:top w:val="none" w:sz="0" w:space="0" w:color="auto"/>
        <w:left w:val="none" w:sz="0" w:space="0" w:color="auto"/>
        <w:bottom w:val="none" w:sz="0" w:space="0" w:color="auto"/>
        <w:right w:val="none" w:sz="0" w:space="0" w:color="auto"/>
      </w:divBdr>
    </w:div>
    <w:div w:id="1013454609">
      <w:bodyDiv w:val="1"/>
      <w:marLeft w:val="0"/>
      <w:marRight w:val="0"/>
      <w:marTop w:val="0"/>
      <w:marBottom w:val="0"/>
      <w:divBdr>
        <w:top w:val="none" w:sz="0" w:space="0" w:color="auto"/>
        <w:left w:val="none" w:sz="0" w:space="0" w:color="auto"/>
        <w:bottom w:val="none" w:sz="0" w:space="0" w:color="auto"/>
        <w:right w:val="none" w:sz="0" w:space="0" w:color="auto"/>
      </w:divBdr>
    </w:div>
    <w:div w:id="1051465389">
      <w:bodyDiv w:val="1"/>
      <w:marLeft w:val="0"/>
      <w:marRight w:val="0"/>
      <w:marTop w:val="0"/>
      <w:marBottom w:val="0"/>
      <w:divBdr>
        <w:top w:val="none" w:sz="0" w:space="0" w:color="auto"/>
        <w:left w:val="none" w:sz="0" w:space="0" w:color="auto"/>
        <w:bottom w:val="none" w:sz="0" w:space="0" w:color="auto"/>
        <w:right w:val="none" w:sz="0" w:space="0" w:color="auto"/>
      </w:divBdr>
    </w:div>
    <w:div w:id="1115252345">
      <w:bodyDiv w:val="1"/>
      <w:marLeft w:val="0"/>
      <w:marRight w:val="0"/>
      <w:marTop w:val="0"/>
      <w:marBottom w:val="0"/>
      <w:divBdr>
        <w:top w:val="none" w:sz="0" w:space="0" w:color="auto"/>
        <w:left w:val="none" w:sz="0" w:space="0" w:color="auto"/>
        <w:bottom w:val="none" w:sz="0" w:space="0" w:color="auto"/>
        <w:right w:val="none" w:sz="0" w:space="0" w:color="auto"/>
      </w:divBdr>
    </w:div>
    <w:div w:id="1122920787">
      <w:bodyDiv w:val="1"/>
      <w:marLeft w:val="0"/>
      <w:marRight w:val="0"/>
      <w:marTop w:val="0"/>
      <w:marBottom w:val="0"/>
      <w:divBdr>
        <w:top w:val="none" w:sz="0" w:space="0" w:color="auto"/>
        <w:left w:val="none" w:sz="0" w:space="0" w:color="auto"/>
        <w:bottom w:val="none" w:sz="0" w:space="0" w:color="auto"/>
        <w:right w:val="none" w:sz="0" w:space="0" w:color="auto"/>
      </w:divBdr>
      <w:divsChild>
        <w:div w:id="2109617768">
          <w:marLeft w:val="0"/>
          <w:marRight w:val="0"/>
          <w:marTop w:val="0"/>
          <w:marBottom w:val="0"/>
          <w:divBdr>
            <w:top w:val="none" w:sz="0" w:space="0" w:color="auto"/>
            <w:left w:val="none" w:sz="0" w:space="0" w:color="auto"/>
            <w:bottom w:val="none" w:sz="0" w:space="0" w:color="auto"/>
            <w:right w:val="none" w:sz="0" w:space="0" w:color="auto"/>
          </w:divBdr>
          <w:divsChild>
            <w:div w:id="1391267521">
              <w:marLeft w:val="0"/>
              <w:marRight w:val="0"/>
              <w:marTop w:val="0"/>
              <w:marBottom w:val="0"/>
              <w:divBdr>
                <w:top w:val="none" w:sz="0" w:space="0" w:color="auto"/>
                <w:left w:val="none" w:sz="0" w:space="0" w:color="auto"/>
                <w:bottom w:val="none" w:sz="0" w:space="0" w:color="auto"/>
                <w:right w:val="none" w:sz="0" w:space="0" w:color="auto"/>
              </w:divBdr>
              <w:divsChild>
                <w:div w:id="51839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392425">
      <w:bodyDiv w:val="1"/>
      <w:marLeft w:val="0"/>
      <w:marRight w:val="0"/>
      <w:marTop w:val="0"/>
      <w:marBottom w:val="0"/>
      <w:divBdr>
        <w:top w:val="none" w:sz="0" w:space="0" w:color="auto"/>
        <w:left w:val="none" w:sz="0" w:space="0" w:color="auto"/>
        <w:bottom w:val="none" w:sz="0" w:space="0" w:color="auto"/>
        <w:right w:val="none" w:sz="0" w:space="0" w:color="auto"/>
      </w:divBdr>
    </w:div>
    <w:div w:id="1191796619">
      <w:bodyDiv w:val="1"/>
      <w:marLeft w:val="0"/>
      <w:marRight w:val="0"/>
      <w:marTop w:val="0"/>
      <w:marBottom w:val="0"/>
      <w:divBdr>
        <w:top w:val="none" w:sz="0" w:space="0" w:color="auto"/>
        <w:left w:val="none" w:sz="0" w:space="0" w:color="auto"/>
        <w:bottom w:val="none" w:sz="0" w:space="0" w:color="auto"/>
        <w:right w:val="none" w:sz="0" w:space="0" w:color="auto"/>
      </w:divBdr>
      <w:divsChild>
        <w:div w:id="799880397">
          <w:marLeft w:val="0"/>
          <w:marRight w:val="0"/>
          <w:marTop w:val="0"/>
          <w:marBottom w:val="0"/>
          <w:divBdr>
            <w:top w:val="none" w:sz="0" w:space="0" w:color="auto"/>
            <w:left w:val="none" w:sz="0" w:space="0" w:color="auto"/>
            <w:bottom w:val="none" w:sz="0" w:space="0" w:color="auto"/>
            <w:right w:val="none" w:sz="0" w:space="0" w:color="auto"/>
          </w:divBdr>
          <w:divsChild>
            <w:div w:id="1321231281">
              <w:marLeft w:val="0"/>
              <w:marRight w:val="0"/>
              <w:marTop w:val="0"/>
              <w:marBottom w:val="0"/>
              <w:divBdr>
                <w:top w:val="none" w:sz="0" w:space="0" w:color="auto"/>
                <w:left w:val="none" w:sz="0" w:space="0" w:color="auto"/>
                <w:bottom w:val="none" w:sz="0" w:space="0" w:color="auto"/>
                <w:right w:val="none" w:sz="0" w:space="0" w:color="auto"/>
              </w:divBdr>
              <w:divsChild>
                <w:div w:id="80400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7924">
      <w:bodyDiv w:val="1"/>
      <w:marLeft w:val="0"/>
      <w:marRight w:val="0"/>
      <w:marTop w:val="0"/>
      <w:marBottom w:val="0"/>
      <w:divBdr>
        <w:top w:val="none" w:sz="0" w:space="0" w:color="auto"/>
        <w:left w:val="none" w:sz="0" w:space="0" w:color="auto"/>
        <w:bottom w:val="none" w:sz="0" w:space="0" w:color="auto"/>
        <w:right w:val="none" w:sz="0" w:space="0" w:color="auto"/>
      </w:divBdr>
    </w:div>
    <w:div w:id="1230192797">
      <w:bodyDiv w:val="1"/>
      <w:marLeft w:val="0"/>
      <w:marRight w:val="0"/>
      <w:marTop w:val="0"/>
      <w:marBottom w:val="0"/>
      <w:divBdr>
        <w:top w:val="none" w:sz="0" w:space="0" w:color="auto"/>
        <w:left w:val="none" w:sz="0" w:space="0" w:color="auto"/>
        <w:bottom w:val="none" w:sz="0" w:space="0" w:color="auto"/>
        <w:right w:val="none" w:sz="0" w:space="0" w:color="auto"/>
      </w:divBdr>
    </w:div>
    <w:div w:id="1294096411">
      <w:bodyDiv w:val="1"/>
      <w:marLeft w:val="0"/>
      <w:marRight w:val="0"/>
      <w:marTop w:val="0"/>
      <w:marBottom w:val="0"/>
      <w:divBdr>
        <w:top w:val="none" w:sz="0" w:space="0" w:color="auto"/>
        <w:left w:val="none" w:sz="0" w:space="0" w:color="auto"/>
        <w:bottom w:val="none" w:sz="0" w:space="0" w:color="auto"/>
        <w:right w:val="none" w:sz="0" w:space="0" w:color="auto"/>
      </w:divBdr>
    </w:div>
    <w:div w:id="1310211321">
      <w:bodyDiv w:val="1"/>
      <w:marLeft w:val="0"/>
      <w:marRight w:val="0"/>
      <w:marTop w:val="0"/>
      <w:marBottom w:val="0"/>
      <w:divBdr>
        <w:top w:val="none" w:sz="0" w:space="0" w:color="auto"/>
        <w:left w:val="none" w:sz="0" w:space="0" w:color="auto"/>
        <w:bottom w:val="none" w:sz="0" w:space="0" w:color="auto"/>
        <w:right w:val="none" w:sz="0" w:space="0" w:color="auto"/>
      </w:divBdr>
    </w:div>
    <w:div w:id="1334067417">
      <w:bodyDiv w:val="1"/>
      <w:marLeft w:val="0"/>
      <w:marRight w:val="0"/>
      <w:marTop w:val="0"/>
      <w:marBottom w:val="0"/>
      <w:divBdr>
        <w:top w:val="none" w:sz="0" w:space="0" w:color="auto"/>
        <w:left w:val="none" w:sz="0" w:space="0" w:color="auto"/>
        <w:bottom w:val="none" w:sz="0" w:space="0" w:color="auto"/>
        <w:right w:val="none" w:sz="0" w:space="0" w:color="auto"/>
      </w:divBdr>
    </w:div>
    <w:div w:id="1344285593">
      <w:bodyDiv w:val="1"/>
      <w:marLeft w:val="0"/>
      <w:marRight w:val="0"/>
      <w:marTop w:val="0"/>
      <w:marBottom w:val="0"/>
      <w:divBdr>
        <w:top w:val="none" w:sz="0" w:space="0" w:color="auto"/>
        <w:left w:val="none" w:sz="0" w:space="0" w:color="auto"/>
        <w:bottom w:val="none" w:sz="0" w:space="0" w:color="auto"/>
        <w:right w:val="none" w:sz="0" w:space="0" w:color="auto"/>
      </w:divBdr>
    </w:div>
    <w:div w:id="1390108539">
      <w:bodyDiv w:val="1"/>
      <w:marLeft w:val="0"/>
      <w:marRight w:val="0"/>
      <w:marTop w:val="0"/>
      <w:marBottom w:val="0"/>
      <w:divBdr>
        <w:top w:val="none" w:sz="0" w:space="0" w:color="auto"/>
        <w:left w:val="none" w:sz="0" w:space="0" w:color="auto"/>
        <w:bottom w:val="none" w:sz="0" w:space="0" w:color="auto"/>
        <w:right w:val="none" w:sz="0" w:space="0" w:color="auto"/>
      </w:divBdr>
    </w:div>
    <w:div w:id="1397514091">
      <w:bodyDiv w:val="1"/>
      <w:marLeft w:val="0"/>
      <w:marRight w:val="0"/>
      <w:marTop w:val="0"/>
      <w:marBottom w:val="0"/>
      <w:divBdr>
        <w:top w:val="none" w:sz="0" w:space="0" w:color="auto"/>
        <w:left w:val="none" w:sz="0" w:space="0" w:color="auto"/>
        <w:bottom w:val="none" w:sz="0" w:space="0" w:color="auto"/>
        <w:right w:val="none" w:sz="0" w:space="0" w:color="auto"/>
      </w:divBdr>
    </w:div>
    <w:div w:id="1415055197">
      <w:bodyDiv w:val="1"/>
      <w:marLeft w:val="0"/>
      <w:marRight w:val="0"/>
      <w:marTop w:val="0"/>
      <w:marBottom w:val="0"/>
      <w:divBdr>
        <w:top w:val="none" w:sz="0" w:space="0" w:color="auto"/>
        <w:left w:val="none" w:sz="0" w:space="0" w:color="auto"/>
        <w:bottom w:val="none" w:sz="0" w:space="0" w:color="auto"/>
        <w:right w:val="none" w:sz="0" w:space="0" w:color="auto"/>
      </w:divBdr>
      <w:divsChild>
        <w:div w:id="22634512">
          <w:marLeft w:val="0"/>
          <w:marRight w:val="0"/>
          <w:marTop w:val="0"/>
          <w:marBottom w:val="0"/>
          <w:divBdr>
            <w:top w:val="none" w:sz="0" w:space="0" w:color="auto"/>
            <w:left w:val="none" w:sz="0" w:space="0" w:color="auto"/>
            <w:bottom w:val="none" w:sz="0" w:space="0" w:color="auto"/>
            <w:right w:val="none" w:sz="0" w:space="0" w:color="auto"/>
          </w:divBdr>
        </w:div>
        <w:div w:id="368140548">
          <w:marLeft w:val="0"/>
          <w:marRight w:val="0"/>
          <w:marTop w:val="0"/>
          <w:marBottom w:val="0"/>
          <w:divBdr>
            <w:top w:val="none" w:sz="0" w:space="0" w:color="auto"/>
            <w:left w:val="none" w:sz="0" w:space="0" w:color="auto"/>
            <w:bottom w:val="none" w:sz="0" w:space="0" w:color="auto"/>
            <w:right w:val="none" w:sz="0" w:space="0" w:color="auto"/>
          </w:divBdr>
        </w:div>
        <w:div w:id="381056488">
          <w:marLeft w:val="0"/>
          <w:marRight w:val="0"/>
          <w:marTop w:val="0"/>
          <w:marBottom w:val="0"/>
          <w:divBdr>
            <w:top w:val="none" w:sz="0" w:space="0" w:color="auto"/>
            <w:left w:val="none" w:sz="0" w:space="0" w:color="auto"/>
            <w:bottom w:val="none" w:sz="0" w:space="0" w:color="auto"/>
            <w:right w:val="none" w:sz="0" w:space="0" w:color="auto"/>
          </w:divBdr>
        </w:div>
        <w:div w:id="641539762">
          <w:marLeft w:val="0"/>
          <w:marRight w:val="0"/>
          <w:marTop w:val="0"/>
          <w:marBottom w:val="0"/>
          <w:divBdr>
            <w:top w:val="none" w:sz="0" w:space="0" w:color="auto"/>
            <w:left w:val="none" w:sz="0" w:space="0" w:color="auto"/>
            <w:bottom w:val="none" w:sz="0" w:space="0" w:color="auto"/>
            <w:right w:val="none" w:sz="0" w:space="0" w:color="auto"/>
          </w:divBdr>
        </w:div>
        <w:div w:id="935017605">
          <w:marLeft w:val="0"/>
          <w:marRight w:val="0"/>
          <w:marTop w:val="0"/>
          <w:marBottom w:val="0"/>
          <w:divBdr>
            <w:top w:val="none" w:sz="0" w:space="0" w:color="auto"/>
            <w:left w:val="none" w:sz="0" w:space="0" w:color="auto"/>
            <w:bottom w:val="none" w:sz="0" w:space="0" w:color="auto"/>
            <w:right w:val="none" w:sz="0" w:space="0" w:color="auto"/>
          </w:divBdr>
        </w:div>
        <w:div w:id="1130712150">
          <w:marLeft w:val="0"/>
          <w:marRight w:val="0"/>
          <w:marTop w:val="0"/>
          <w:marBottom w:val="0"/>
          <w:divBdr>
            <w:top w:val="none" w:sz="0" w:space="0" w:color="auto"/>
            <w:left w:val="none" w:sz="0" w:space="0" w:color="auto"/>
            <w:bottom w:val="none" w:sz="0" w:space="0" w:color="auto"/>
            <w:right w:val="none" w:sz="0" w:space="0" w:color="auto"/>
          </w:divBdr>
        </w:div>
        <w:div w:id="1399017248">
          <w:marLeft w:val="0"/>
          <w:marRight w:val="0"/>
          <w:marTop w:val="0"/>
          <w:marBottom w:val="0"/>
          <w:divBdr>
            <w:top w:val="none" w:sz="0" w:space="0" w:color="auto"/>
            <w:left w:val="none" w:sz="0" w:space="0" w:color="auto"/>
            <w:bottom w:val="none" w:sz="0" w:space="0" w:color="auto"/>
            <w:right w:val="none" w:sz="0" w:space="0" w:color="auto"/>
          </w:divBdr>
        </w:div>
        <w:div w:id="1681278646">
          <w:marLeft w:val="0"/>
          <w:marRight w:val="0"/>
          <w:marTop w:val="0"/>
          <w:marBottom w:val="0"/>
          <w:divBdr>
            <w:top w:val="none" w:sz="0" w:space="0" w:color="auto"/>
            <w:left w:val="none" w:sz="0" w:space="0" w:color="auto"/>
            <w:bottom w:val="none" w:sz="0" w:space="0" w:color="auto"/>
            <w:right w:val="none" w:sz="0" w:space="0" w:color="auto"/>
          </w:divBdr>
        </w:div>
        <w:div w:id="1821579077">
          <w:marLeft w:val="0"/>
          <w:marRight w:val="0"/>
          <w:marTop w:val="0"/>
          <w:marBottom w:val="0"/>
          <w:divBdr>
            <w:top w:val="none" w:sz="0" w:space="0" w:color="auto"/>
            <w:left w:val="none" w:sz="0" w:space="0" w:color="auto"/>
            <w:bottom w:val="none" w:sz="0" w:space="0" w:color="auto"/>
            <w:right w:val="none" w:sz="0" w:space="0" w:color="auto"/>
          </w:divBdr>
        </w:div>
      </w:divsChild>
    </w:div>
    <w:div w:id="1559392240">
      <w:bodyDiv w:val="1"/>
      <w:marLeft w:val="0"/>
      <w:marRight w:val="0"/>
      <w:marTop w:val="0"/>
      <w:marBottom w:val="0"/>
      <w:divBdr>
        <w:top w:val="none" w:sz="0" w:space="0" w:color="auto"/>
        <w:left w:val="none" w:sz="0" w:space="0" w:color="auto"/>
        <w:bottom w:val="none" w:sz="0" w:space="0" w:color="auto"/>
        <w:right w:val="none" w:sz="0" w:space="0" w:color="auto"/>
      </w:divBdr>
    </w:div>
    <w:div w:id="1633098176">
      <w:bodyDiv w:val="1"/>
      <w:marLeft w:val="0"/>
      <w:marRight w:val="0"/>
      <w:marTop w:val="0"/>
      <w:marBottom w:val="0"/>
      <w:divBdr>
        <w:top w:val="none" w:sz="0" w:space="0" w:color="auto"/>
        <w:left w:val="none" w:sz="0" w:space="0" w:color="auto"/>
        <w:bottom w:val="none" w:sz="0" w:space="0" w:color="auto"/>
        <w:right w:val="none" w:sz="0" w:space="0" w:color="auto"/>
      </w:divBdr>
    </w:div>
    <w:div w:id="1633244157">
      <w:bodyDiv w:val="1"/>
      <w:marLeft w:val="0"/>
      <w:marRight w:val="0"/>
      <w:marTop w:val="0"/>
      <w:marBottom w:val="0"/>
      <w:divBdr>
        <w:top w:val="none" w:sz="0" w:space="0" w:color="auto"/>
        <w:left w:val="none" w:sz="0" w:space="0" w:color="auto"/>
        <w:bottom w:val="none" w:sz="0" w:space="0" w:color="auto"/>
        <w:right w:val="none" w:sz="0" w:space="0" w:color="auto"/>
      </w:divBdr>
    </w:div>
    <w:div w:id="1702243031">
      <w:bodyDiv w:val="1"/>
      <w:marLeft w:val="0"/>
      <w:marRight w:val="0"/>
      <w:marTop w:val="0"/>
      <w:marBottom w:val="0"/>
      <w:divBdr>
        <w:top w:val="none" w:sz="0" w:space="0" w:color="auto"/>
        <w:left w:val="none" w:sz="0" w:space="0" w:color="auto"/>
        <w:bottom w:val="none" w:sz="0" w:space="0" w:color="auto"/>
        <w:right w:val="none" w:sz="0" w:space="0" w:color="auto"/>
      </w:divBdr>
      <w:divsChild>
        <w:div w:id="54354077">
          <w:marLeft w:val="0"/>
          <w:marRight w:val="0"/>
          <w:marTop w:val="0"/>
          <w:marBottom w:val="0"/>
          <w:divBdr>
            <w:top w:val="none" w:sz="0" w:space="0" w:color="auto"/>
            <w:left w:val="none" w:sz="0" w:space="0" w:color="auto"/>
            <w:bottom w:val="none" w:sz="0" w:space="0" w:color="auto"/>
            <w:right w:val="none" w:sz="0" w:space="0" w:color="auto"/>
          </w:divBdr>
        </w:div>
        <w:div w:id="302581058">
          <w:marLeft w:val="0"/>
          <w:marRight w:val="0"/>
          <w:marTop w:val="0"/>
          <w:marBottom w:val="0"/>
          <w:divBdr>
            <w:top w:val="none" w:sz="0" w:space="0" w:color="auto"/>
            <w:left w:val="none" w:sz="0" w:space="0" w:color="auto"/>
            <w:bottom w:val="none" w:sz="0" w:space="0" w:color="auto"/>
            <w:right w:val="none" w:sz="0" w:space="0" w:color="auto"/>
          </w:divBdr>
        </w:div>
        <w:div w:id="357243910">
          <w:marLeft w:val="0"/>
          <w:marRight w:val="0"/>
          <w:marTop w:val="0"/>
          <w:marBottom w:val="0"/>
          <w:divBdr>
            <w:top w:val="none" w:sz="0" w:space="0" w:color="auto"/>
            <w:left w:val="none" w:sz="0" w:space="0" w:color="auto"/>
            <w:bottom w:val="none" w:sz="0" w:space="0" w:color="auto"/>
            <w:right w:val="none" w:sz="0" w:space="0" w:color="auto"/>
          </w:divBdr>
        </w:div>
        <w:div w:id="394937809">
          <w:marLeft w:val="0"/>
          <w:marRight w:val="0"/>
          <w:marTop w:val="0"/>
          <w:marBottom w:val="0"/>
          <w:divBdr>
            <w:top w:val="none" w:sz="0" w:space="0" w:color="auto"/>
            <w:left w:val="none" w:sz="0" w:space="0" w:color="auto"/>
            <w:bottom w:val="none" w:sz="0" w:space="0" w:color="auto"/>
            <w:right w:val="none" w:sz="0" w:space="0" w:color="auto"/>
          </w:divBdr>
        </w:div>
        <w:div w:id="458187502">
          <w:marLeft w:val="0"/>
          <w:marRight w:val="0"/>
          <w:marTop w:val="0"/>
          <w:marBottom w:val="0"/>
          <w:divBdr>
            <w:top w:val="none" w:sz="0" w:space="0" w:color="auto"/>
            <w:left w:val="none" w:sz="0" w:space="0" w:color="auto"/>
            <w:bottom w:val="none" w:sz="0" w:space="0" w:color="auto"/>
            <w:right w:val="none" w:sz="0" w:space="0" w:color="auto"/>
          </w:divBdr>
        </w:div>
        <w:div w:id="567501547">
          <w:marLeft w:val="0"/>
          <w:marRight w:val="0"/>
          <w:marTop w:val="0"/>
          <w:marBottom w:val="0"/>
          <w:divBdr>
            <w:top w:val="none" w:sz="0" w:space="0" w:color="auto"/>
            <w:left w:val="none" w:sz="0" w:space="0" w:color="auto"/>
            <w:bottom w:val="none" w:sz="0" w:space="0" w:color="auto"/>
            <w:right w:val="none" w:sz="0" w:space="0" w:color="auto"/>
          </w:divBdr>
        </w:div>
        <w:div w:id="743841409">
          <w:marLeft w:val="0"/>
          <w:marRight w:val="0"/>
          <w:marTop w:val="0"/>
          <w:marBottom w:val="0"/>
          <w:divBdr>
            <w:top w:val="none" w:sz="0" w:space="0" w:color="auto"/>
            <w:left w:val="none" w:sz="0" w:space="0" w:color="auto"/>
            <w:bottom w:val="none" w:sz="0" w:space="0" w:color="auto"/>
            <w:right w:val="none" w:sz="0" w:space="0" w:color="auto"/>
          </w:divBdr>
        </w:div>
        <w:div w:id="902715678">
          <w:marLeft w:val="0"/>
          <w:marRight w:val="0"/>
          <w:marTop w:val="0"/>
          <w:marBottom w:val="0"/>
          <w:divBdr>
            <w:top w:val="none" w:sz="0" w:space="0" w:color="auto"/>
            <w:left w:val="none" w:sz="0" w:space="0" w:color="auto"/>
            <w:bottom w:val="none" w:sz="0" w:space="0" w:color="auto"/>
            <w:right w:val="none" w:sz="0" w:space="0" w:color="auto"/>
          </w:divBdr>
        </w:div>
        <w:div w:id="953487629">
          <w:marLeft w:val="0"/>
          <w:marRight w:val="0"/>
          <w:marTop w:val="0"/>
          <w:marBottom w:val="0"/>
          <w:divBdr>
            <w:top w:val="none" w:sz="0" w:space="0" w:color="auto"/>
            <w:left w:val="none" w:sz="0" w:space="0" w:color="auto"/>
            <w:bottom w:val="none" w:sz="0" w:space="0" w:color="auto"/>
            <w:right w:val="none" w:sz="0" w:space="0" w:color="auto"/>
          </w:divBdr>
        </w:div>
        <w:div w:id="1002707494">
          <w:marLeft w:val="0"/>
          <w:marRight w:val="0"/>
          <w:marTop w:val="0"/>
          <w:marBottom w:val="0"/>
          <w:divBdr>
            <w:top w:val="none" w:sz="0" w:space="0" w:color="auto"/>
            <w:left w:val="none" w:sz="0" w:space="0" w:color="auto"/>
            <w:bottom w:val="none" w:sz="0" w:space="0" w:color="auto"/>
            <w:right w:val="none" w:sz="0" w:space="0" w:color="auto"/>
          </w:divBdr>
        </w:div>
        <w:div w:id="1056010611">
          <w:marLeft w:val="0"/>
          <w:marRight w:val="0"/>
          <w:marTop w:val="0"/>
          <w:marBottom w:val="0"/>
          <w:divBdr>
            <w:top w:val="none" w:sz="0" w:space="0" w:color="auto"/>
            <w:left w:val="none" w:sz="0" w:space="0" w:color="auto"/>
            <w:bottom w:val="none" w:sz="0" w:space="0" w:color="auto"/>
            <w:right w:val="none" w:sz="0" w:space="0" w:color="auto"/>
          </w:divBdr>
        </w:div>
        <w:div w:id="1097402877">
          <w:marLeft w:val="0"/>
          <w:marRight w:val="0"/>
          <w:marTop w:val="0"/>
          <w:marBottom w:val="0"/>
          <w:divBdr>
            <w:top w:val="none" w:sz="0" w:space="0" w:color="auto"/>
            <w:left w:val="none" w:sz="0" w:space="0" w:color="auto"/>
            <w:bottom w:val="none" w:sz="0" w:space="0" w:color="auto"/>
            <w:right w:val="none" w:sz="0" w:space="0" w:color="auto"/>
          </w:divBdr>
        </w:div>
        <w:div w:id="1223172728">
          <w:marLeft w:val="0"/>
          <w:marRight w:val="0"/>
          <w:marTop w:val="0"/>
          <w:marBottom w:val="0"/>
          <w:divBdr>
            <w:top w:val="none" w:sz="0" w:space="0" w:color="auto"/>
            <w:left w:val="none" w:sz="0" w:space="0" w:color="auto"/>
            <w:bottom w:val="none" w:sz="0" w:space="0" w:color="auto"/>
            <w:right w:val="none" w:sz="0" w:space="0" w:color="auto"/>
          </w:divBdr>
        </w:div>
        <w:div w:id="1281836163">
          <w:marLeft w:val="0"/>
          <w:marRight w:val="0"/>
          <w:marTop w:val="0"/>
          <w:marBottom w:val="0"/>
          <w:divBdr>
            <w:top w:val="none" w:sz="0" w:space="0" w:color="auto"/>
            <w:left w:val="none" w:sz="0" w:space="0" w:color="auto"/>
            <w:bottom w:val="none" w:sz="0" w:space="0" w:color="auto"/>
            <w:right w:val="none" w:sz="0" w:space="0" w:color="auto"/>
          </w:divBdr>
        </w:div>
        <w:div w:id="1386679474">
          <w:marLeft w:val="0"/>
          <w:marRight w:val="0"/>
          <w:marTop w:val="0"/>
          <w:marBottom w:val="0"/>
          <w:divBdr>
            <w:top w:val="none" w:sz="0" w:space="0" w:color="auto"/>
            <w:left w:val="none" w:sz="0" w:space="0" w:color="auto"/>
            <w:bottom w:val="none" w:sz="0" w:space="0" w:color="auto"/>
            <w:right w:val="none" w:sz="0" w:space="0" w:color="auto"/>
          </w:divBdr>
        </w:div>
        <w:div w:id="1475178525">
          <w:marLeft w:val="0"/>
          <w:marRight w:val="0"/>
          <w:marTop w:val="0"/>
          <w:marBottom w:val="0"/>
          <w:divBdr>
            <w:top w:val="none" w:sz="0" w:space="0" w:color="auto"/>
            <w:left w:val="none" w:sz="0" w:space="0" w:color="auto"/>
            <w:bottom w:val="none" w:sz="0" w:space="0" w:color="auto"/>
            <w:right w:val="none" w:sz="0" w:space="0" w:color="auto"/>
          </w:divBdr>
        </w:div>
        <w:div w:id="1521313907">
          <w:marLeft w:val="0"/>
          <w:marRight w:val="0"/>
          <w:marTop w:val="0"/>
          <w:marBottom w:val="0"/>
          <w:divBdr>
            <w:top w:val="none" w:sz="0" w:space="0" w:color="auto"/>
            <w:left w:val="none" w:sz="0" w:space="0" w:color="auto"/>
            <w:bottom w:val="none" w:sz="0" w:space="0" w:color="auto"/>
            <w:right w:val="none" w:sz="0" w:space="0" w:color="auto"/>
          </w:divBdr>
        </w:div>
        <w:div w:id="1533152342">
          <w:marLeft w:val="0"/>
          <w:marRight w:val="0"/>
          <w:marTop w:val="0"/>
          <w:marBottom w:val="0"/>
          <w:divBdr>
            <w:top w:val="none" w:sz="0" w:space="0" w:color="auto"/>
            <w:left w:val="none" w:sz="0" w:space="0" w:color="auto"/>
            <w:bottom w:val="none" w:sz="0" w:space="0" w:color="auto"/>
            <w:right w:val="none" w:sz="0" w:space="0" w:color="auto"/>
          </w:divBdr>
        </w:div>
        <w:div w:id="1660842051">
          <w:marLeft w:val="0"/>
          <w:marRight w:val="0"/>
          <w:marTop w:val="0"/>
          <w:marBottom w:val="0"/>
          <w:divBdr>
            <w:top w:val="none" w:sz="0" w:space="0" w:color="auto"/>
            <w:left w:val="none" w:sz="0" w:space="0" w:color="auto"/>
            <w:bottom w:val="none" w:sz="0" w:space="0" w:color="auto"/>
            <w:right w:val="none" w:sz="0" w:space="0" w:color="auto"/>
          </w:divBdr>
        </w:div>
        <w:div w:id="1677343684">
          <w:marLeft w:val="0"/>
          <w:marRight w:val="0"/>
          <w:marTop w:val="0"/>
          <w:marBottom w:val="0"/>
          <w:divBdr>
            <w:top w:val="none" w:sz="0" w:space="0" w:color="auto"/>
            <w:left w:val="none" w:sz="0" w:space="0" w:color="auto"/>
            <w:bottom w:val="none" w:sz="0" w:space="0" w:color="auto"/>
            <w:right w:val="none" w:sz="0" w:space="0" w:color="auto"/>
          </w:divBdr>
        </w:div>
        <w:div w:id="1717508682">
          <w:marLeft w:val="0"/>
          <w:marRight w:val="0"/>
          <w:marTop w:val="0"/>
          <w:marBottom w:val="0"/>
          <w:divBdr>
            <w:top w:val="none" w:sz="0" w:space="0" w:color="auto"/>
            <w:left w:val="none" w:sz="0" w:space="0" w:color="auto"/>
            <w:bottom w:val="none" w:sz="0" w:space="0" w:color="auto"/>
            <w:right w:val="none" w:sz="0" w:space="0" w:color="auto"/>
          </w:divBdr>
        </w:div>
        <w:div w:id="1832331222">
          <w:marLeft w:val="0"/>
          <w:marRight w:val="0"/>
          <w:marTop w:val="0"/>
          <w:marBottom w:val="0"/>
          <w:divBdr>
            <w:top w:val="none" w:sz="0" w:space="0" w:color="auto"/>
            <w:left w:val="none" w:sz="0" w:space="0" w:color="auto"/>
            <w:bottom w:val="none" w:sz="0" w:space="0" w:color="auto"/>
            <w:right w:val="none" w:sz="0" w:space="0" w:color="auto"/>
          </w:divBdr>
        </w:div>
        <w:div w:id="1841308318">
          <w:marLeft w:val="0"/>
          <w:marRight w:val="0"/>
          <w:marTop w:val="0"/>
          <w:marBottom w:val="0"/>
          <w:divBdr>
            <w:top w:val="none" w:sz="0" w:space="0" w:color="auto"/>
            <w:left w:val="none" w:sz="0" w:space="0" w:color="auto"/>
            <w:bottom w:val="none" w:sz="0" w:space="0" w:color="auto"/>
            <w:right w:val="none" w:sz="0" w:space="0" w:color="auto"/>
          </w:divBdr>
        </w:div>
        <w:div w:id="1917128644">
          <w:marLeft w:val="0"/>
          <w:marRight w:val="0"/>
          <w:marTop w:val="0"/>
          <w:marBottom w:val="0"/>
          <w:divBdr>
            <w:top w:val="none" w:sz="0" w:space="0" w:color="auto"/>
            <w:left w:val="none" w:sz="0" w:space="0" w:color="auto"/>
            <w:bottom w:val="none" w:sz="0" w:space="0" w:color="auto"/>
            <w:right w:val="none" w:sz="0" w:space="0" w:color="auto"/>
          </w:divBdr>
        </w:div>
        <w:div w:id="1970935265">
          <w:marLeft w:val="0"/>
          <w:marRight w:val="0"/>
          <w:marTop w:val="0"/>
          <w:marBottom w:val="0"/>
          <w:divBdr>
            <w:top w:val="none" w:sz="0" w:space="0" w:color="auto"/>
            <w:left w:val="none" w:sz="0" w:space="0" w:color="auto"/>
            <w:bottom w:val="none" w:sz="0" w:space="0" w:color="auto"/>
            <w:right w:val="none" w:sz="0" w:space="0" w:color="auto"/>
          </w:divBdr>
        </w:div>
        <w:div w:id="2138136128">
          <w:marLeft w:val="0"/>
          <w:marRight w:val="0"/>
          <w:marTop w:val="0"/>
          <w:marBottom w:val="0"/>
          <w:divBdr>
            <w:top w:val="none" w:sz="0" w:space="0" w:color="auto"/>
            <w:left w:val="none" w:sz="0" w:space="0" w:color="auto"/>
            <w:bottom w:val="none" w:sz="0" w:space="0" w:color="auto"/>
            <w:right w:val="none" w:sz="0" w:space="0" w:color="auto"/>
          </w:divBdr>
        </w:div>
        <w:div w:id="2142383240">
          <w:marLeft w:val="0"/>
          <w:marRight w:val="0"/>
          <w:marTop w:val="0"/>
          <w:marBottom w:val="0"/>
          <w:divBdr>
            <w:top w:val="none" w:sz="0" w:space="0" w:color="auto"/>
            <w:left w:val="none" w:sz="0" w:space="0" w:color="auto"/>
            <w:bottom w:val="none" w:sz="0" w:space="0" w:color="auto"/>
            <w:right w:val="none" w:sz="0" w:space="0" w:color="auto"/>
          </w:divBdr>
        </w:div>
      </w:divsChild>
    </w:div>
    <w:div w:id="1764033598">
      <w:bodyDiv w:val="1"/>
      <w:marLeft w:val="0"/>
      <w:marRight w:val="0"/>
      <w:marTop w:val="0"/>
      <w:marBottom w:val="0"/>
      <w:divBdr>
        <w:top w:val="none" w:sz="0" w:space="0" w:color="auto"/>
        <w:left w:val="none" w:sz="0" w:space="0" w:color="auto"/>
        <w:bottom w:val="none" w:sz="0" w:space="0" w:color="auto"/>
        <w:right w:val="none" w:sz="0" w:space="0" w:color="auto"/>
      </w:divBdr>
    </w:div>
    <w:div w:id="1778795224">
      <w:bodyDiv w:val="1"/>
      <w:marLeft w:val="0"/>
      <w:marRight w:val="0"/>
      <w:marTop w:val="0"/>
      <w:marBottom w:val="0"/>
      <w:divBdr>
        <w:top w:val="none" w:sz="0" w:space="0" w:color="auto"/>
        <w:left w:val="none" w:sz="0" w:space="0" w:color="auto"/>
        <w:bottom w:val="none" w:sz="0" w:space="0" w:color="auto"/>
        <w:right w:val="none" w:sz="0" w:space="0" w:color="auto"/>
      </w:divBdr>
    </w:div>
    <w:div w:id="1803424997">
      <w:bodyDiv w:val="1"/>
      <w:marLeft w:val="0"/>
      <w:marRight w:val="0"/>
      <w:marTop w:val="0"/>
      <w:marBottom w:val="0"/>
      <w:divBdr>
        <w:top w:val="none" w:sz="0" w:space="0" w:color="auto"/>
        <w:left w:val="none" w:sz="0" w:space="0" w:color="auto"/>
        <w:bottom w:val="none" w:sz="0" w:space="0" w:color="auto"/>
        <w:right w:val="none" w:sz="0" w:space="0" w:color="auto"/>
      </w:divBdr>
    </w:div>
    <w:div w:id="1833250406">
      <w:bodyDiv w:val="1"/>
      <w:marLeft w:val="0"/>
      <w:marRight w:val="0"/>
      <w:marTop w:val="0"/>
      <w:marBottom w:val="0"/>
      <w:divBdr>
        <w:top w:val="none" w:sz="0" w:space="0" w:color="auto"/>
        <w:left w:val="none" w:sz="0" w:space="0" w:color="auto"/>
        <w:bottom w:val="none" w:sz="0" w:space="0" w:color="auto"/>
        <w:right w:val="none" w:sz="0" w:space="0" w:color="auto"/>
      </w:divBdr>
    </w:div>
    <w:div w:id="1921214957">
      <w:bodyDiv w:val="1"/>
      <w:marLeft w:val="0"/>
      <w:marRight w:val="0"/>
      <w:marTop w:val="0"/>
      <w:marBottom w:val="0"/>
      <w:divBdr>
        <w:top w:val="none" w:sz="0" w:space="0" w:color="auto"/>
        <w:left w:val="none" w:sz="0" w:space="0" w:color="auto"/>
        <w:bottom w:val="none" w:sz="0" w:space="0" w:color="auto"/>
        <w:right w:val="none" w:sz="0" w:space="0" w:color="auto"/>
      </w:divBdr>
    </w:div>
    <w:div w:id="2002850586">
      <w:bodyDiv w:val="1"/>
      <w:marLeft w:val="0"/>
      <w:marRight w:val="0"/>
      <w:marTop w:val="0"/>
      <w:marBottom w:val="0"/>
      <w:divBdr>
        <w:top w:val="none" w:sz="0" w:space="0" w:color="auto"/>
        <w:left w:val="none" w:sz="0" w:space="0" w:color="auto"/>
        <w:bottom w:val="none" w:sz="0" w:space="0" w:color="auto"/>
        <w:right w:val="none" w:sz="0" w:space="0" w:color="auto"/>
      </w:divBdr>
    </w:div>
    <w:div w:id="2072145569">
      <w:bodyDiv w:val="1"/>
      <w:marLeft w:val="0"/>
      <w:marRight w:val="0"/>
      <w:marTop w:val="0"/>
      <w:marBottom w:val="0"/>
      <w:divBdr>
        <w:top w:val="none" w:sz="0" w:space="0" w:color="auto"/>
        <w:left w:val="none" w:sz="0" w:space="0" w:color="auto"/>
        <w:bottom w:val="none" w:sz="0" w:space="0" w:color="auto"/>
        <w:right w:val="none" w:sz="0" w:space="0" w:color="auto"/>
      </w:divBdr>
    </w:div>
    <w:div w:id="2097482358">
      <w:bodyDiv w:val="1"/>
      <w:marLeft w:val="0"/>
      <w:marRight w:val="0"/>
      <w:marTop w:val="0"/>
      <w:marBottom w:val="0"/>
      <w:divBdr>
        <w:top w:val="none" w:sz="0" w:space="0" w:color="auto"/>
        <w:left w:val="none" w:sz="0" w:space="0" w:color="auto"/>
        <w:bottom w:val="none" w:sz="0" w:space="0" w:color="auto"/>
        <w:right w:val="none" w:sz="0" w:space="0" w:color="auto"/>
      </w:divBdr>
      <w:divsChild>
        <w:div w:id="299922920">
          <w:marLeft w:val="0"/>
          <w:marRight w:val="0"/>
          <w:marTop w:val="0"/>
          <w:marBottom w:val="0"/>
          <w:divBdr>
            <w:top w:val="none" w:sz="0" w:space="0" w:color="auto"/>
            <w:left w:val="none" w:sz="0" w:space="0" w:color="auto"/>
            <w:bottom w:val="none" w:sz="0" w:space="0" w:color="auto"/>
            <w:right w:val="none" w:sz="0" w:space="0" w:color="auto"/>
          </w:divBdr>
        </w:div>
      </w:divsChild>
    </w:div>
    <w:div w:id="2141456773">
      <w:bodyDiv w:val="1"/>
      <w:marLeft w:val="0"/>
      <w:marRight w:val="0"/>
      <w:marTop w:val="0"/>
      <w:marBottom w:val="0"/>
      <w:divBdr>
        <w:top w:val="none" w:sz="0" w:space="0" w:color="auto"/>
        <w:left w:val="none" w:sz="0" w:space="0" w:color="auto"/>
        <w:bottom w:val="none" w:sz="0" w:space="0" w:color="auto"/>
        <w:right w:val="none" w:sz="0" w:space="0" w:color="auto"/>
      </w:divBdr>
      <w:divsChild>
        <w:div w:id="1643726449">
          <w:marLeft w:val="0"/>
          <w:marRight w:val="0"/>
          <w:marTop w:val="0"/>
          <w:marBottom w:val="0"/>
          <w:divBdr>
            <w:top w:val="none" w:sz="0" w:space="0" w:color="auto"/>
            <w:left w:val="none" w:sz="0" w:space="0" w:color="auto"/>
            <w:bottom w:val="none" w:sz="0" w:space="0" w:color="auto"/>
            <w:right w:val="none" w:sz="0" w:space="0" w:color="auto"/>
          </w:divBdr>
        </w:div>
        <w:div w:id="1838836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3" Type="http://schemas.openxmlformats.org/officeDocument/2006/relationships/hyperlink" Target="http://www.oas.org/consejo/sp/AG/%2037SGA.asp" TargetMode="External"/><Relationship Id="rId18" Type="http://schemas.openxmlformats.org/officeDocument/2006/relationships/hyperlink" Target="http://www.poderjudicial.gob.hn/asociaciones/Paginas/asociacionjd.aspx" TargetMode="External"/><Relationship Id="rId26" Type="http://schemas.openxmlformats.org/officeDocument/2006/relationships/hyperlink" Target="http://www.poderjudicial.gob.hn/%20CEDIJ/Leyes/Documents/LEY%20DE%20ORGANIZACI%C3%93N%20Y%20ATRIBUCIONES%20DE%20LOS%20TRIBUNALES%20%28ACTUALIZADA-07%29.pdf" TargetMode="External"/><Relationship Id="rId39" Type="http://schemas.openxmlformats.org/officeDocument/2006/relationships/hyperlink" Target="http://www.infoleg.gov.ar/infolegInternet/anexos/165000-169999/167638/norma.htm," TargetMode="External"/><Relationship Id="rId21" Type="http://schemas.openxmlformats.org/officeDocument/2006/relationships/hyperlink" Target="http://www.poderjudicial.gob.hn/CEDIJ/%20Leyes/Documents/LEY%20DE%20ORGANIZACI%C3%93N%20Y%20ATRIBUCIONES%20DE%20LOS%20TRIBUNALES%20%28ACTUALIZADA-07%29.pdf" TargetMode="External"/><Relationship Id="rId34" Type="http://schemas.openxmlformats.org/officeDocument/2006/relationships/hyperlink" Target="http://www.oas.org/consejo/sp/AG/37SGA.asp" TargetMode="External"/><Relationship Id="rId42" Type="http://schemas.openxmlformats.org/officeDocument/2006/relationships/hyperlink" Target="http://magistratura.organojudicial.gob.bo/" TargetMode="External"/><Relationship Id="rId47" Type="http://schemas.openxmlformats.org/officeDocument/2006/relationships/hyperlink" Target="http://www.procuraduria.gov.co/relatoria/media/file/Codigo_Disciplinario_Unico_2011.pdf" TargetMode="External"/><Relationship Id="rId50" Type="http://schemas.openxmlformats.org/officeDocument/2006/relationships/hyperlink" Target="http://www.poderjudicial.gob.ni/carrerajudicial/%20ley_de_carrera_judicia_su_normativa.pdf" TargetMode="External"/><Relationship Id="rId55" Type="http://schemas.openxmlformats.org/officeDocument/2006/relationships/hyperlink" Target="http://www.poderjudicial.gob.hn/CUMBREJUDICIALIBEROAMERICANA/%20Documents/CodigoEtico.pdf" TargetMode="External"/><Relationship Id="rId63" Type="http://schemas.openxmlformats.org/officeDocument/2006/relationships/hyperlink" Target="http://www.procuraduria.gov.co/relatoria/media/file/Codigo_Disciplinario_Unico_2011.pdf" TargetMode="External"/><Relationship Id="rId68" Type="http://schemas.openxmlformats.org/officeDocument/2006/relationships/hyperlink" Target="http://www.mingob.gob.gt/images/legislacion/m" TargetMode="External"/><Relationship Id="rId76" Type="http://schemas.openxmlformats.org/officeDocument/2006/relationships/hyperlink" Target="https://www.oas.org/es/sap/docs/DSDME/2011/CVR/Honduras%20-%20Informe%20CVR%20-%20TOMO-II-4.pdf" TargetMode="External"/><Relationship Id="rId7" Type="http://schemas.openxmlformats.org/officeDocument/2006/relationships/hyperlink" Target="http://www.oas.org/consejo/sp/AG/37SGA.asp" TargetMode="External"/><Relationship Id="rId71" Type="http://schemas.openxmlformats.org/officeDocument/2006/relationships/hyperlink" Target="http://www.presidencia.gub.uy/normativa/constitucion-de-la-republica" TargetMode="External"/><Relationship Id="rId2" Type="http://schemas.openxmlformats.org/officeDocument/2006/relationships/hyperlink" Target="http://www.corteidh.or.cr/docs/asuntos/lopezlone_26_01_15.pdf" TargetMode="External"/><Relationship Id="rId16" Type="http://schemas.openxmlformats.org/officeDocument/2006/relationships/hyperlink" Target="http://www.oas.org/consejo/sp/actas/acta1727.pdf" TargetMode="External"/><Relationship Id="rId29" Type="http://schemas.openxmlformats.org/officeDocument/2006/relationships/hyperlink" Target="http://www.poderjudicial.gob.hn/CEDIJ/Leyes/Documents/LEY%20DE%20ORGANIZACI%20%C3%93N%20Y%20ATRIBUCIONES%20DE%20LOS%20TRIBUNALES%20%28ACTUALIZADA-07%29.pdf" TargetMode="External"/><Relationship Id="rId11" Type="http://schemas.openxmlformats.org/officeDocument/2006/relationships/hyperlink" Target="http://www.oas.org/consejo/sp/actas/acta1700.pdf" TargetMode="External"/><Relationship Id="rId24" Type="http://schemas.openxmlformats.org/officeDocument/2006/relationships/hyperlink" Target="http://www.poderjudicial.gob.hn/transparencia/regulacion/%20Documents/Estatuto%20del%20Judge%20Iberoamericano.pdf" TargetMode="External"/><Relationship Id="rId32" Type="http://schemas.openxmlformats.org/officeDocument/2006/relationships/hyperlink" Target="http://www.poderjudicial.gob.hn/transparencia/regulacion/Documents/Reglamento%20de%20la%20Inspector%C3%ADa%20General%20de%20Tribunales.pdf" TargetMode="External"/><Relationship Id="rId37" Type="http://schemas.openxmlformats.org/officeDocument/2006/relationships/hyperlink" Target="http://hudoc.echr.coe.int/fre" TargetMode="External"/><Relationship Id="rId40" Type="http://schemas.openxmlformats.org/officeDocument/2006/relationships/hyperlink" Target="http://www.infojus.gob.ar/legislacion/ley-nacional-24937-consejo_magistratura.htm?6" TargetMode="External"/><Relationship Id="rId45" Type="http://schemas.openxmlformats.org/officeDocument/2006/relationships/hyperlink" Target="http://www.asamblea.gob.sv/eparlamento/indice-legislativo/buscador-de-documentos-legislativos/ley-de-la-carrera-judicial" TargetMode="External"/><Relationship Id="rId53" Type="http://schemas.openxmlformats.org/officeDocument/2006/relationships/hyperlink" Target="http://www.mp.gob.ve/LEYES/constitucion/constitucion1.html" TargetMode="External"/><Relationship Id="rId58" Type="http://schemas.openxmlformats.org/officeDocument/2006/relationships/hyperlink" Target="http://hudoc.echr.coe.int/eng" TargetMode="External"/><Relationship Id="rId66" Type="http://schemas.openxmlformats.org/officeDocument/2006/relationships/hyperlink" Target="http://www.asambleanacional.gov.ec/%20documentos/constitucion_de_bolsillo.pdf" TargetMode="External"/><Relationship Id="rId74" Type="http://schemas.openxmlformats.org/officeDocument/2006/relationships/hyperlink" Target="http://www.poderjudicial.gob.hn/asociaciones/Documents/Estatutos%20Asociaci%25%20C3%B3n%25%2020de%20Judges%20por%20la%20Democracia.pdf" TargetMode="External"/><Relationship Id="rId79" Type="http://schemas.openxmlformats.org/officeDocument/2006/relationships/hyperlink" Target="http://hudoc.echr.coe.int/eng" TargetMode="External"/><Relationship Id="rId5" Type="http://schemas.openxmlformats.org/officeDocument/2006/relationships/hyperlink" Target="http://www.poderjudicial.gob.hn/Documents/FalloSCONS23042015.pdf" TargetMode="External"/><Relationship Id="rId61" Type="http://schemas.openxmlformats.org/officeDocument/2006/relationships/hyperlink" Target="http://www.planalto.gov.br/ccivil_03/constituicao/%20constituicao.htm" TargetMode="External"/><Relationship Id="rId10" Type="http://schemas.openxmlformats.org/officeDocument/2006/relationships/hyperlink" Target="http://www.oas.org/consejo/Documents%20INF2009.asp" TargetMode="External"/><Relationship Id="rId19" Type="http://schemas.openxmlformats.org/officeDocument/2006/relationships/hyperlink" Target="http://www.poderjudicial.gob.hn/asociaciones/Documents/Estatutos%20Asociaci%C3%20%B3n%20de%20Judges%20por%20la%20Democracia.pdf" TargetMode="External"/><Relationship Id="rId31" Type="http://schemas.openxmlformats.org/officeDocument/2006/relationships/hyperlink" Target="http://www.poderjudicial.gob.hn/transparencia/regulacion/Documents/Reglamento%20de%20la%20Inspector%C3%ADa%20General%20de%20Tribunales.pdf" TargetMode="External"/><Relationship Id="rId44" Type="http://schemas.openxmlformats.org/officeDocument/2006/relationships/hyperlink" Target="http://www.leychile.cl/Navegar?idNorma=25563" TargetMode="External"/><Relationship Id="rId52" Type="http://schemas.openxmlformats.org/officeDocument/2006/relationships/hyperlink" Target="http://www4.congreso.gob.pe/ntley/Imagenes/Constitu/Cons1993.pdf" TargetMode="External"/><Relationship Id="rId60" Type="http://schemas.openxmlformats.org/officeDocument/2006/relationships/hyperlink" Target="http://www.infoleg.gov.ar/%20infolegInternet/anexos/165000-169999/167638/norma.htm" TargetMode="External"/><Relationship Id="rId65" Type="http://schemas.openxmlformats.org/officeDocument/2006/relationships/hyperlink" Target="https://www.tse.go.cr/pdf/normativa/leyorganicapoderjudicial.pdf" TargetMode="External"/><Relationship Id="rId73" Type="http://schemas.openxmlformats.org/officeDocument/2006/relationships/hyperlink" Target="http://www.mp.gob.ve/c/document_library/get_file?uuid=949621c5-5d93-436e-b0ac-17a7312faef6&amp;groupId=10136" TargetMode="External"/><Relationship Id="rId78" Type="http://schemas.openxmlformats.org/officeDocument/2006/relationships/hyperlink" Target="http://daccess-dds-ny.un.org/doc/UNDOC/GEN/G11/100%20/65/PDF/G1110065.pdf?OpenElement" TargetMode="External"/><Relationship Id="rId81" Type="http://schemas.openxmlformats.org/officeDocument/2006/relationships/hyperlink" Target="http://www.poderjudicial.gob.hn/CEDIJ/Leyes/Documents/LEY%20DE%20%20ORGANIZACI%C3%93N%20Y%20ATRIBUCIONES%20DE%20LOS%20TRIBUNALES%20%28ACTUALIZADA-07%29.pdf" TargetMode="External"/><Relationship Id="rId4" Type="http://schemas.openxmlformats.org/officeDocument/2006/relationships/hyperlink" Target="http://www.poderjudicial.gob.hn/CEDIJ/Leyes/Documents/CONSTITUCI%C3%93N%20DE%20LA%20REP%C3%9ABLICA%20%2809%29.pdf" TargetMode="External"/><Relationship Id="rId9" Type="http://schemas.openxmlformats.org/officeDocument/2006/relationships/hyperlink" Target="http://www.un.org/es/comun/docs/?symbol=A/RES/63/301" TargetMode="External"/><Relationship Id="rId14" Type="http://schemas.openxmlformats.org/officeDocument/2006/relationships/hyperlink" Target="http://www.oas.org/consejo/sp/documentos%20%20INF2009.asp" TargetMode="External"/><Relationship Id="rId22" Type="http://schemas.openxmlformats.org/officeDocument/2006/relationships/hyperlink" Target="http://www.poderjudicial.gob.hn/transparencia/%20regulacion/Documents/Reglamento%20de%20la%20Inspector%C3%ADa%20General%20de%20Tribunales.pdf" TargetMode="External"/><Relationship Id="rId27" Type="http://schemas.openxmlformats.org/officeDocument/2006/relationships/hyperlink" Target="http://www.poderjudicial.gob.hn/CEDIJ/Leyes/Documents/CONSTITUCI%C3%93N%20DE%20LA%25%2020REP%C3%9ABLICA%20%2809%29.pdf" TargetMode="External"/><Relationship Id="rId30" Type="http://schemas.openxmlformats.org/officeDocument/2006/relationships/hyperlink" Target="http://www.poderjudicial.gob.hn/transparencia/regulacion/Documents/Reglamento%20de%20la%20Inspector%C3%ADa%20General%20de%20Tribunales.pdf" TargetMode="External"/><Relationship Id="rId35" Type="http://schemas.openxmlformats.org/officeDocument/2006/relationships/hyperlink" Target="https://www.oas.org/consejo/sp/AG/Documentos/ag04682e07.doc" TargetMode="External"/><Relationship Id="rId43" Type="http://schemas.openxmlformats.org/officeDocument/2006/relationships/hyperlink" Target="http://ojd.org.do/Normativas/General/Ley%20No.%20327-98,%20%20sobre%20Carrera%20Judicial,%20del%2011%20de%20agosto%20de%201998%20G.O.%209994.pdf" TargetMode="External"/><Relationship Id="rId48" Type="http://schemas.openxmlformats.org/officeDocument/2006/relationships/hyperlink" Target="http://www.procuraduria.gov.co/relatoria/media/file/Codigo_Disciplinario_Unico_2011.pdf" TargetMode="External"/><Relationship Id="rId56" Type="http://schemas.openxmlformats.org/officeDocument/2006/relationships/hyperlink" Target="http://hudoc.echr.coe.int/eng" TargetMode="External"/><Relationship Id="rId64" Type="http://schemas.openxmlformats.org/officeDocument/2006/relationships/hyperlink" Target="http://www.leychile.cl/Navegar?idNorma=25563" TargetMode="External"/><Relationship Id="rId69" Type="http://schemas.openxmlformats.org/officeDocument/2006/relationships/hyperlink" Target="http://www.diputados.gob.mx/LeyesBiblio/htm/1.htm" TargetMode="External"/><Relationship Id="rId77" Type="http://schemas.openxmlformats.org/officeDocument/2006/relationships/hyperlink" Target="https://www.oas.org/es/sap/docs/DSDME/%202011/CVR/Honduras%20-%20Informe%20CVR%20-%20TOMO-II-4.pdf" TargetMode="External"/><Relationship Id="rId8" Type="http://schemas.openxmlformats.org/officeDocument/2006/relationships/hyperlink" Target="http://www.oas.org/consejo%20sp/resoluciones/res953.asp" TargetMode="External"/><Relationship Id="rId51" Type="http://schemas.openxmlformats.org/officeDocument/2006/relationships/hyperlink" Target="http://www.ilo.org/dyn/travail/docs/2083/CONSTITUTION.pdf" TargetMode="External"/><Relationship Id="rId72" Type="http://schemas.openxmlformats.org/officeDocument/2006/relationships/hyperlink" Target="http://www.parlamento.gub.uy/" TargetMode="External"/><Relationship Id="rId80" Type="http://schemas.openxmlformats.org/officeDocument/2006/relationships/hyperlink" Target="http://www.poderjudicial.gob.hn/CEDIJ/Leyes/Documents/CONSTITUCI%25%20C3%93N%20DE%20LA%20REP%C3%9ABLICA%20%2809%29.pdf" TargetMode="External"/><Relationship Id="rId3" Type="http://schemas.openxmlformats.org/officeDocument/2006/relationships/hyperlink" Target="http://www.poderjudicial.gob.hn/CEDIJ/Leyes/%20Documents/CONSTITUCI%C3%93N%20DE%20LA%20REP%C3%9ABLICA%20%2809%29.pdf" TargetMode="External"/><Relationship Id="rId12" Type="http://schemas.openxmlformats.org/officeDocument/2006/relationships/hyperlink" Target="http://www.oas.org/consejo/sp/AG/37SGA.asp" TargetMode="External"/><Relationship Id="rId17" Type="http://schemas.openxmlformats.org/officeDocument/2006/relationships/hyperlink" Target="http://wsp.presidencia.gov.co/Prensa/2011/Mayo/Paginas/20110522_02.aspx" TargetMode="External"/><Relationship Id="rId25" Type="http://schemas.openxmlformats.org/officeDocument/2006/relationships/hyperlink" Target="http://www.poderjudicial.gob.hn/CEDIJ/Leyes/Documents/CONSTITUCI%C3%93N%20DE%20LA%20REP%C3%9ABLICA%20%2809%29.pdf" TargetMode="External"/><Relationship Id="rId33" Type="http://schemas.openxmlformats.org/officeDocument/2006/relationships/hyperlink" Target="https://www.oas.org/consejo/sp/AG/Documentos/AG04665E04.doc" TargetMode="External"/><Relationship Id="rId38" Type="http://schemas.openxmlformats.org/officeDocument/2006/relationships/hyperlink" Target="http://hudoc.echr.coe.int/fre" TargetMode="External"/><Relationship Id="rId46" Type="http://schemas.openxmlformats.org/officeDocument/2006/relationships/hyperlink" Target="http://www.alcaldiabogota.gov.co/sisjur/normas/Norma1.jsp?i=6548" TargetMode="External"/><Relationship Id="rId59" Type="http://schemas.openxmlformats.org/officeDocument/2006/relationships/hyperlink" Target="http://hudoc.echr.coe.int/eng" TargetMode="External"/><Relationship Id="rId67" Type="http://schemas.openxmlformats.org/officeDocument/2006/relationships/hyperlink" Target="http://www.asamblea.gob.sv/eparlamento/indice-legislativo/buscador-de-documentos-legislativos/ley-de-la-carrera-judicial" TargetMode="External"/><Relationship Id="rId20" Type="http://schemas.openxmlformats.org/officeDocument/2006/relationships/hyperlink" Target="http://www.poderjudicial.gob.hn/CEDIJ/Leyes/Documents/CONSTITUCI%C3%93N%20DE%20LA%20REP%C3%9ABLICA%20%2809%29.pdf" TargetMode="External"/><Relationship Id="rId41" Type="http://schemas.openxmlformats.org/officeDocument/2006/relationships/hyperlink" Target="http://www.planalto.gov.br/ccivil_03/constituicao/constituicao.htm" TargetMode="External"/><Relationship Id="rId54" Type="http://schemas.openxmlformats.org/officeDocument/2006/relationships/hyperlink" Target="http://www.mp.gob.ve/c/document_library/get_file?uuid=949621c5-5d93-436e-b0ac17a7312faef6&amp;%20groupId=10136" TargetMode="External"/><Relationship Id="rId62" Type="http://schemas.openxmlformats.org/officeDocument/2006/relationships/hyperlink" Target="http://www.alcaldiabogota.gov.co/sisjur/normas/Norma1.jsp?i=6548" TargetMode="External"/><Relationship Id="rId70" Type="http://schemas.openxmlformats.org/officeDocument/2006/relationships/hyperlink" Target="http://www.oas.org/juridico/PDFs/mesicic4_per_ley29277.pdf" TargetMode="External"/><Relationship Id="rId75" Type="http://schemas.openxmlformats.org/officeDocument/2006/relationships/hyperlink" Target="https://www.oas.org/es/sap/docs/%20DSDME/2011/CVR/Honduras%20-%20Informe%20CVR%20-%20TOMO-II-4.pdf" TargetMode="External"/><Relationship Id="rId1" Type="http://schemas.openxmlformats.org/officeDocument/2006/relationships/hyperlink" Target="http://www.corteidh.or.cr/docs/asuntos/lopezlone_10_12_14.pdf" TargetMode="External"/><Relationship Id="rId6" Type="http://schemas.openxmlformats.org/officeDocument/2006/relationships/hyperlink" Target="http://www.poderjudicial.gob.hn/CEDIJ/Leyes/Documents/%20Constituci%C3%B3n%20de%20la%20Rep%C3%BAblica%20de%20Honduras%20%28Actualizada%202014%29.pdf" TargetMode="External"/><Relationship Id="rId15" Type="http://schemas.openxmlformats.org/officeDocument/2006/relationships/hyperlink" Target="http://www.oas.org/consejo/sp/documentos%20INF2009.asp" TargetMode="External"/><Relationship Id="rId23" Type="http://schemas.openxmlformats.org/officeDocument/2006/relationships/hyperlink" Target="http://www.poderjudicial.gob.hn/%20CUMBREJUDICIALIBEROAMERICANA/Documents/CodigoEtico.pdf" TargetMode="External"/><Relationship Id="rId28" Type="http://schemas.openxmlformats.org/officeDocument/2006/relationships/hyperlink" Target="http://www.poderjudicial.gob.hn/CEDIJ/%20Leyes/Documents/LEY%20DE%20ORGANIZACI%C3%93N%20Y%20ATRIBUCIONES%20DE%20LOS%20TRIBUNALES%20%28ACTUALIZADA-07%29.pdf" TargetMode="External"/><Relationship Id="rId36" Type="http://schemas.openxmlformats.org/officeDocument/2006/relationships/hyperlink" Target="http://hudoc.echr.coe.int/fre" TargetMode="External"/><Relationship Id="rId49" Type="http://schemas.openxmlformats.org/officeDocument/2006/relationships/hyperlink" Target="https://www.tse.go.cr/pdf/normativa/leyorganicapoderjudicial.pdf" TargetMode="External"/><Relationship Id="rId57" Type="http://schemas.openxmlformats.org/officeDocument/2006/relationships/hyperlink" Target="http://hudoc.echr.coe.int/e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E6BE0-A824-45B4-B171-1020CDEB5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106</Pages>
  <Words>45855</Words>
  <Characters>261379</Characters>
  <Application>Microsoft Office Word</Application>
  <DocSecurity>4</DocSecurity>
  <Lines>2178</Lines>
  <Paragraphs>613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306621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Corteidh</dc:creator>
  <cp:lastModifiedBy>Ligia Vargas</cp:lastModifiedBy>
  <cp:revision>2</cp:revision>
  <cp:lastPrinted>2017-01-17T21:36:00Z</cp:lastPrinted>
  <dcterms:created xsi:type="dcterms:W3CDTF">2017-01-18T20:02:00Z</dcterms:created>
  <dcterms:modified xsi:type="dcterms:W3CDTF">2017-01-18T20:02:00Z</dcterms:modified>
</cp:coreProperties>
</file>