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48" w:rsidRPr="00BE5AE1" w:rsidRDefault="00970448" w:rsidP="00571229">
      <w:pPr>
        <w:tabs>
          <w:tab w:val="left" w:pos="567"/>
        </w:tabs>
        <w:spacing w:after="0" w:line="240" w:lineRule="auto"/>
        <w:jc w:val="center"/>
        <w:rPr>
          <w:rFonts w:eastAsia="Times New Roman" w:cs="Verdana"/>
          <w:b/>
          <w:bCs/>
          <w:caps/>
          <w:snapToGrid w:val="0"/>
          <w:szCs w:val="20"/>
          <w:lang w:val="es-ES_tradnl" w:eastAsia="es-ES"/>
        </w:rPr>
      </w:pPr>
    </w:p>
    <w:p w:rsidR="00970448" w:rsidRPr="00BE5AE1" w:rsidRDefault="00970448" w:rsidP="00571229">
      <w:pPr>
        <w:tabs>
          <w:tab w:val="left" w:pos="567"/>
        </w:tabs>
        <w:spacing w:after="0" w:line="240" w:lineRule="auto"/>
        <w:jc w:val="center"/>
        <w:rPr>
          <w:rFonts w:eastAsia="Times New Roman" w:cs="Verdana"/>
          <w:b/>
          <w:bCs/>
          <w:caps/>
          <w:snapToGrid w:val="0"/>
          <w:szCs w:val="20"/>
          <w:lang w:val="es-ES_tradnl" w:eastAsia="es-ES"/>
        </w:rPr>
      </w:pPr>
    </w:p>
    <w:p w:rsidR="00970448" w:rsidRPr="00BE5AE1" w:rsidRDefault="00970448" w:rsidP="00571229">
      <w:pPr>
        <w:tabs>
          <w:tab w:val="left" w:pos="567"/>
        </w:tabs>
        <w:spacing w:after="0" w:line="240" w:lineRule="auto"/>
        <w:jc w:val="center"/>
        <w:rPr>
          <w:rFonts w:eastAsia="Times New Roman" w:cs="Verdana"/>
          <w:b/>
          <w:bCs/>
          <w:caps/>
          <w:snapToGrid w:val="0"/>
          <w:szCs w:val="20"/>
          <w:lang w:val="es-ES_tradnl" w:eastAsia="es-ES"/>
        </w:rPr>
      </w:pPr>
    </w:p>
    <w:p w:rsidR="00970448" w:rsidRPr="00BE5AE1" w:rsidRDefault="00970448" w:rsidP="00571229">
      <w:pPr>
        <w:tabs>
          <w:tab w:val="left" w:pos="567"/>
        </w:tabs>
        <w:spacing w:after="0" w:line="240" w:lineRule="auto"/>
        <w:jc w:val="center"/>
        <w:rPr>
          <w:rFonts w:eastAsia="Times New Roman" w:cs="Verdana"/>
          <w:b/>
          <w:bCs/>
          <w:caps/>
          <w:snapToGrid w:val="0"/>
          <w:szCs w:val="20"/>
          <w:lang w:val="es-ES_tradnl" w:eastAsia="es-ES"/>
        </w:rPr>
      </w:pPr>
    </w:p>
    <w:p w:rsidR="00970448" w:rsidRPr="00BE5AE1" w:rsidRDefault="00970448" w:rsidP="00571229">
      <w:pPr>
        <w:tabs>
          <w:tab w:val="left" w:pos="567"/>
        </w:tabs>
        <w:spacing w:after="0" w:line="240" w:lineRule="auto"/>
        <w:jc w:val="center"/>
        <w:rPr>
          <w:rFonts w:eastAsia="Times New Roman" w:cs="Verdana"/>
          <w:b/>
          <w:bCs/>
          <w:caps/>
          <w:snapToGrid w:val="0"/>
          <w:szCs w:val="20"/>
          <w:lang w:val="es-ES_tradnl" w:eastAsia="es-ES"/>
        </w:rPr>
      </w:pPr>
    </w:p>
    <w:p w:rsidR="00970448" w:rsidRPr="00BE5AE1" w:rsidRDefault="00970448" w:rsidP="00571229">
      <w:pPr>
        <w:tabs>
          <w:tab w:val="left" w:pos="567"/>
        </w:tabs>
        <w:spacing w:after="0" w:line="240" w:lineRule="auto"/>
        <w:jc w:val="center"/>
        <w:rPr>
          <w:rFonts w:eastAsia="Times New Roman" w:cs="Verdana"/>
          <w:b/>
          <w:bCs/>
          <w:caps/>
          <w:snapToGrid w:val="0"/>
          <w:szCs w:val="20"/>
          <w:lang w:val="es-ES_tradnl" w:eastAsia="es-ES"/>
        </w:rPr>
      </w:pPr>
    </w:p>
    <w:p w:rsidR="00E77DBC" w:rsidRPr="00BE5AE1" w:rsidRDefault="00E77DBC" w:rsidP="00571229">
      <w:pPr>
        <w:tabs>
          <w:tab w:val="left" w:pos="567"/>
        </w:tabs>
        <w:spacing w:after="0" w:line="240" w:lineRule="auto"/>
        <w:rPr>
          <w:rFonts w:eastAsia="Times New Roman" w:cs="Verdana"/>
          <w:b/>
          <w:bCs/>
          <w:caps/>
          <w:snapToGrid w:val="0"/>
          <w:szCs w:val="20"/>
          <w:lang w:val="es-ES_tradnl" w:eastAsia="es-ES"/>
        </w:rPr>
      </w:pPr>
    </w:p>
    <w:p w:rsidR="00970448" w:rsidRPr="00BE5AE1" w:rsidRDefault="00970448" w:rsidP="00571229">
      <w:pPr>
        <w:tabs>
          <w:tab w:val="left" w:pos="567"/>
        </w:tabs>
        <w:spacing w:after="0" w:line="240" w:lineRule="auto"/>
        <w:jc w:val="center"/>
        <w:rPr>
          <w:rFonts w:eastAsia="Times New Roman" w:cs="Verdana"/>
          <w:b/>
          <w:bCs/>
          <w:caps/>
          <w:snapToGrid w:val="0"/>
          <w:szCs w:val="20"/>
          <w:lang w:val="es-ES_tradnl" w:eastAsia="es-ES"/>
        </w:rPr>
      </w:pPr>
    </w:p>
    <w:p w:rsidR="00970448" w:rsidRPr="00BE5AE1" w:rsidRDefault="00970448" w:rsidP="00571229">
      <w:pPr>
        <w:tabs>
          <w:tab w:val="left" w:pos="567"/>
        </w:tabs>
        <w:spacing w:after="0" w:line="240" w:lineRule="auto"/>
        <w:jc w:val="center"/>
        <w:rPr>
          <w:rFonts w:eastAsia="Times New Roman" w:cs="Verdana"/>
          <w:b/>
          <w:bCs/>
          <w:caps/>
          <w:snapToGrid w:val="0"/>
          <w:szCs w:val="20"/>
          <w:lang w:val="es-ES_tradnl" w:eastAsia="es-ES"/>
        </w:rPr>
      </w:pPr>
    </w:p>
    <w:p w:rsidR="00970448" w:rsidRPr="00BE5AE1" w:rsidRDefault="00970448" w:rsidP="00571229">
      <w:pPr>
        <w:tabs>
          <w:tab w:val="left" w:pos="567"/>
        </w:tabs>
        <w:spacing w:after="0" w:line="240" w:lineRule="auto"/>
        <w:rPr>
          <w:rFonts w:eastAsia="Times New Roman" w:cs="Verdana"/>
          <w:b/>
          <w:bCs/>
          <w:caps/>
          <w:snapToGrid w:val="0"/>
          <w:szCs w:val="20"/>
          <w:lang w:val="es-ES_tradnl" w:eastAsia="es-ES"/>
        </w:rPr>
      </w:pPr>
    </w:p>
    <w:p w:rsidR="00970448" w:rsidRPr="00BE5AE1" w:rsidRDefault="00970448" w:rsidP="00571229">
      <w:pPr>
        <w:tabs>
          <w:tab w:val="left" w:pos="567"/>
        </w:tabs>
        <w:spacing w:after="0" w:line="240" w:lineRule="auto"/>
        <w:rPr>
          <w:rFonts w:eastAsia="Times New Roman" w:cs="Verdana"/>
          <w:b/>
          <w:bCs/>
          <w:caps/>
          <w:snapToGrid w:val="0"/>
          <w:szCs w:val="20"/>
          <w:lang w:val="es-ES_tradnl" w:eastAsia="es-ES"/>
        </w:rPr>
      </w:pPr>
    </w:p>
    <w:p w:rsidR="00970448" w:rsidRPr="00BE5AE1" w:rsidRDefault="00970448" w:rsidP="00571229">
      <w:pPr>
        <w:tabs>
          <w:tab w:val="left" w:pos="567"/>
        </w:tabs>
        <w:spacing w:after="0" w:line="240" w:lineRule="auto"/>
        <w:jc w:val="center"/>
        <w:rPr>
          <w:rFonts w:eastAsia="Times New Roman" w:cs="Verdana"/>
          <w:b/>
          <w:bCs/>
          <w:caps/>
          <w:snapToGrid w:val="0"/>
          <w:szCs w:val="20"/>
          <w:lang w:val="es-ES_tradnl" w:eastAsia="es-ES"/>
        </w:rPr>
      </w:pPr>
      <w:r w:rsidRPr="00BE5AE1">
        <w:rPr>
          <w:rFonts w:eastAsia="Times New Roman" w:cs="Verdana"/>
          <w:b/>
          <w:bCs/>
          <w:caps/>
          <w:snapToGrid w:val="0"/>
          <w:szCs w:val="20"/>
          <w:lang w:val="es-ES_tradnl" w:eastAsia="es-ES"/>
        </w:rPr>
        <w:t xml:space="preserve">Corte Interamericana de Derechos </w:t>
      </w:r>
      <w:bookmarkStart w:id="0" w:name="_GoBack"/>
      <w:bookmarkEnd w:id="0"/>
      <w:r w:rsidRPr="00BE5AE1">
        <w:rPr>
          <w:rFonts w:eastAsia="Times New Roman" w:cs="Verdana"/>
          <w:b/>
          <w:bCs/>
          <w:caps/>
          <w:snapToGrid w:val="0"/>
          <w:szCs w:val="20"/>
          <w:lang w:val="es-ES_tradnl" w:eastAsia="es-ES"/>
        </w:rPr>
        <w:t>Humanos</w:t>
      </w:r>
      <w:r w:rsidR="007246F6">
        <w:rPr>
          <w:rStyle w:val="FootnoteReference"/>
          <w:b/>
          <w:szCs w:val="20"/>
        </w:rPr>
        <w:footnoteReference w:customMarkFollows="1" w:id="1"/>
        <w:sym w:font="Symbol" w:char="F02A"/>
      </w:r>
    </w:p>
    <w:p w:rsidR="00970448" w:rsidRPr="00BE5AE1" w:rsidRDefault="00970448" w:rsidP="00571229">
      <w:pPr>
        <w:tabs>
          <w:tab w:val="left" w:pos="567"/>
        </w:tabs>
        <w:spacing w:after="0" w:line="240" w:lineRule="auto"/>
        <w:jc w:val="center"/>
        <w:rPr>
          <w:rFonts w:eastAsia="Times New Roman" w:cs="Verdana"/>
          <w:b/>
          <w:bCs/>
          <w:caps/>
          <w:snapToGrid w:val="0"/>
          <w:szCs w:val="20"/>
          <w:lang w:val="es-ES_tradnl" w:eastAsia="es-ES"/>
        </w:rPr>
      </w:pPr>
      <w:r w:rsidRPr="00BE5AE1">
        <w:rPr>
          <w:rFonts w:eastAsia="Times New Roman" w:cs="Verdana"/>
          <w:b/>
          <w:bCs/>
          <w:caps/>
          <w:snapToGrid w:val="0"/>
          <w:szCs w:val="20"/>
          <w:lang w:val="es-ES_tradnl" w:eastAsia="es-ES"/>
        </w:rPr>
        <w:t xml:space="preserve"> </w:t>
      </w:r>
    </w:p>
    <w:p w:rsidR="00970448" w:rsidRPr="00E36761" w:rsidRDefault="00111495" w:rsidP="00E36761">
      <w:pPr>
        <w:spacing w:after="0" w:line="240" w:lineRule="auto"/>
        <w:jc w:val="center"/>
        <w:rPr>
          <w:rFonts w:ascii="Times New Roman" w:eastAsiaTheme="minorHAnsi" w:hAnsi="Times New Roman"/>
          <w:sz w:val="24"/>
          <w:szCs w:val="24"/>
          <w:lang w:eastAsia="es-CR"/>
        </w:rPr>
      </w:pPr>
      <w:r w:rsidRPr="00BE5AE1">
        <w:rPr>
          <w:rFonts w:eastAsia="Times New Roman" w:cs="Verdana"/>
          <w:b/>
          <w:bCs/>
          <w:snapToGrid w:val="0"/>
          <w:szCs w:val="20"/>
          <w:lang w:val="es-ES_tradnl" w:eastAsia="es-ES"/>
        </w:rPr>
        <w:t xml:space="preserve">CASO </w:t>
      </w:r>
      <w:r w:rsidRPr="00BE5AE1">
        <w:rPr>
          <w:rFonts w:cs="Verdana Bold"/>
          <w:b/>
          <w:bCs/>
          <w:szCs w:val="20"/>
        </w:rPr>
        <w:t>LÓPEZ LONE Y OTROS VS. HONDURAS</w:t>
      </w:r>
    </w:p>
    <w:p w:rsidR="00970448" w:rsidRPr="00BE5AE1" w:rsidRDefault="00970448" w:rsidP="00571229">
      <w:pPr>
        <w:tabs>
          <w:tab w:val="left" w:pos="0"/>
          <w:tab w:val="left" w:pos="567"/>
        </w:tabs>
        <w:spacing w:after="0" w:line="240" w:lineRule="auto"/>
        <w:jc w:val="center"/>
        <w:rPr>
          <w:rFonts w:eastAsia="Times New Roman"/>
          <w:b/>
          <w:bCs/>
          <w:caps/>
          <w:snapToGrid w:val="0"/>
          <w:szCs w:val="20"/>
          <w:lang w:val="es-ES_tradnl" w:eastAsia="es-ES"/>
        </w:rPr>
      </w:pPr>
    </w:p>
    <w:p w:rsidR="00970448" w:rsidRPr="00BE5AE1" w:rsidRDefault="00970448" w:rsidP="00571229">
      <w:pPr>
        <w:tabs>
          <w:tab w:val="left" w:pos="0"/>
          <w:tab w:val="left" w:pos="567"/>
        </w:tabs>
        <w:spacing w:after="0" w:line="240" w:lineRule="auto"/>
        <w:jc w:val="center"/>
        <w:rPr>
          <w:rFonts w:eastAsia="Times New Roman" w:cs="Verdana"/>
          <w:b/>
          <w:bCs/>
          <w:snapToGrid w:val="0"/>
          <w:szCs w:val="20"/>
          <w:lang w:val="es-ES_tradnl" w:eastAsia="es-ES"/>
        </w:rPr>
      </w:pPr>
      <w:r w:rsidRPr="00BE5AE1">
        <w:rPr>
          <w:rFonts w:eastAsia="Times New Roman" w:cs="Verdana"/>
          <w:b/>
          <w:bCs/>
          <w:snapToGrid w:val="0"/>
          <w:szCs w:val="20"/>
          <w:lang w:val="es-ES_tradnl" w:eastAsia="es-ES"/>
        </w:rPr>
        <w:t>SENTENCIA DE</w:t>
      </w:r>
      <w:r w:rsidR="003A272C" w:rsidRPr="00BE5AE1">
        <w:rPr>
          <w:rFonts w:eastAsia="Times New Roman" w:cs="Verdana"/>
          <w:b/>
          <w:bCs/>
          <w:snapToGrid w:val="0"/>
          <w:szCs w:val="20"/>
          <w:lang w:val="es-ES_tradnl" w:eastAsia="es-ES"/>
        </w:rPr>
        <w:t xml:space="preserve"> </w:t>
      </w:r>
      <w:r w:rsidR="00E36761">
        <w:rPr>
          <w:rFonts w:eastAsia="Times New Roman" w:cs="Verdana"/>
          <w:b/>
          <w:bCs/>
          <w:snapToGrid w:val="0"/>
          <w:szCs w:val="20"/>
          <w:lang w:val="es-ES_tradnl" w:eastAsia="es-ES"/>
        </w:rPr>
        <w:t>2 DE SEPTIEMBRE</w:t>
      </w:r>
      <w:r w:rsidR="003A272C" w:rsidRPr="00BE5AE1">
        <w:rPr>
          <w:rFonts w:eastAsia="Times New Roman" w:cs="Verdana"/>
          <w:b/>
          <w:bCs/>
          <w:snapToGrid w:val="0"/>
          <w:szCs w:val="20"/>
          <w:lang w:val="es-ES_tradnl" w:eastAsia="es-ES"/>
        </w:rPr>
        <w:t xml:space="preserve"> </w:t>
      </w:r>
      <w:r w:rsidRPr="00BE5AE1">
        <w:rPr>
          <w:rFonts w:eastAsia="Times New Roman" w:cs="Verdana"/>
          <w:b/>
          <w:bCs/>
          <w:snapToGrid w:val="0"/>
          <w:szCs w:val="20"/>
          <w:lang w:val="es-ES_tradnl" w:eastAsia="es-ES"/>
        </w:rPr>
        <w:t>DE 201</w:t>
      </w:r>
      <w:r w:rsidR="003878FC" w:rsidRPr="00BE5AE1">
        <w:rPr>
          <w:rFonts w:eastAsia="Times New Roman" w:cs="Verdana"/>
          <w:b/>
          <w:bCs/>
          <w:snapToGrid w:val="0"/>
          <w:szCs w:val="20"/>
          <w:lang w:val="es-ES_tradnl" w:eastAsia="es-ES"/>
        </w:rPr>
        <w:t>6</w:t>
      </w:r>
    </w:p>
    <w:p w:rsidR="004542DE" w:rsidRPr="00BE5AE1" w:rsidRDefault="004542DE" w:rsidP="00571229">
      <w:pPr>
        <w:tabs>
          <w:tab w:val="left" w:pos="0"/>
          <w:tab w:val="left" w:pos="567"/>
        </w:tabs>
        <w:spacing w:after="0" w:line="240" w:lineRule="auto"/>
        <w:jc w:val="center"/>
        <w:rPr>
          <w:rFonts w:eastAsia="Times New Roman"/>
          <w:b/>
          <w:bCs/>
          <w:caps/>
          <w:snapToGrid w:val="0"/>
          <w:szCs w:val="20"/>
          <w:lang w:val="es-ES_tradnl" w:eastAsia="es-ES"/>
        </w:rPr>
      </w:pPr>
    </w:p>
    <w:p w:rsidR="00C2489D" w:rsidRPr="00BE5AE1" w:rsidRDefault="00970448" w:rsidP="00571229">
      <w:pPr>
        <w:tabs>
          <w:tab w:val="left" w:pos="567"/>
        </w:tabs>
        <w:spacing w:after="0" w:line="240" w:lineRule="auto"/>
        <w:jc w:val="center"/>
        <w:rPr>
          <w:rFonts w:eastAsia="Times New Roman" w:cs="Verdana"/>
          <w:b/>
          <w:bCs/>
          <w:i/>
          <w:iCs/>
          <w:snapToGrid w:val="0"/>
          <w:szCs w:val="20"/>
          <w:lang w:val="es-ES_tradnl" w:eastAsia="es-ES"/>
        </w:rPr>
      </w:pPr>
      <w:r w:rsidRPr="00BE5AE1">
        <w:rPr>
          <w:rFonts w:eastAsia="Times New Roman" w:cs="Verdana"/>
          <w:b/>
          <w:bCs/>
          <w:i/>
          <w:iCs/>
          <w:snapToGrid w:val="0"/>
          <w:szCs w:val="20"/>
          <w:lang w:val="es-ES_tradnl" w:eastAsia="es-ES"/>
        </w:rPr>
        <w:t xml:space="preserve">(Interpretación de la Sentencia de </w:t>
      </w:r>
      <w:r w:rsidR="00C2489D" w:rsidRPr="00BE5AE1">
        <w:rPr>
          <w:rFonts w:eastAsia="Times New Roman" w:cs="Verdana"/>
          <w:b/>
          <w:bCs/>
          <w:i/>
          <w:iCs/>
          <w:snapToGrid w:val="0"/>
          <w:szCs w:val="20"/>
          <w:lang w:val="es-ES_tradnl" w:eastAsia="es-ES"/>
        </w:rPr>
        <w:t xml:space="preserve">Excepción Preliminar, </w:t>
      </w:r>
    </w:p>
    <w:p w:rsidR="00970448" w:rsidRPr="00BE5AE1" w:rsidRDefault="00970448" w:rsidP="00571229">
      <w:pPr>
        <w:tabs>
          <w:tab w:val="left" w:pos="567"/>
        </w:tabs>
        <w:spacing w:after="0" w:line="240" w:lineRule="auto"/>
        <w:jc w:val="center"/>
        <w:rPr>
          <w:rFonts w:eastAsia="Times New Roman" w:cs="Verdana"/>
          <w:b/>
          <w:bCs/>
          <w:i/>
          <w:snapToGrid w:val="0"/>
          <w:szCs w:val="20"/>
          <w:lang w:val="es-ES_tradnl" w:eastAsia="es-ES"/>
        </w:rPr>
      </w:pPr>
      <w:r w:rsidRPr="00BE5AE1">
        <w:rPr>
          <w:rFonts w:eastAsia="Times New Roman" w:cs="Verdana"/>
          <w:b/>
          <w:bCs/>
          <w:i/>
          <w:iCs/>
          <w:snapToGrid w:val="0"/>
          <w:szCs w:val="20"/>
          <w:lang w:val="es-ES_tradnl" w:eastAsia="es-ES"/>
        </w:rPr>
        <w:t>Fondo, Reparaciones y Costas)</w:t>
      </w:r>
    </w:p>
    <w:p w:rsidR="00970448" w:rsidRPr="00BE5AE1" w:rsidRDefault="00970448" w:rsidP="00571229">
      <w:pPr>
        <w:tabs>
          <w:tab w:val="left" w:pos="567"/>
          <w:tab w:val="left" w:pos="720"/>
        </w:tabs>
        <w:spacing w:after="0" w:line="240" w:lineRule="auto"/>
        <w:rPr>
          <w:rFonts w:eastAsia="Times New Roman"/>
          <w:b/>
          <w:bCs/>
          <w:smallCaps/>
          <w:szCs w:val="20"/>
          <w:lang w:val="es-ES_tradnl"/>
        </w:rPr>
      </w:pPr>
    </w:p>
    <w:p w:rsidR="00970448" w:rsidRPr="00BE5AE1" w:rsidRDefault="00970448" w:rsidP="00571229">
      <w:pPr>
        <w:tabs>
          <w:tab w:val="left" w:pos="567"/>
          <w:tab w:val="left" w:pos="720"/>
        </w:tabs>
        <w:spacing w:after="0" w:line="240" w:lineRule="auto"/>
        <w:jc w:val="both"/>
        <w:rPr>
          <w:rFonts w:eastAsia="Times New Roman"/>
          <w:szCs w:val="20"/>
          <w:lang w:val="es-ES_tradnl"/>
        </w:rPr>
      </w:pPr>
    </w:p>
    <w:p w:rsidR="00970448" w:rsidRPr="00BE5AE1" w:rsidRDefault="00970448" w:rsidP="00571229">
      <w:pPr>
        <w:tabs>
          <w:tab w:val="left" w:pos="567"/>
          <w:tab w:val="left" w:pos="720"/>
        </w:tabs>
        <w:spacing w:after="0" w:line="240" w:lineRule="auto"/>
        <w:jc w:val="both"/>
        <w:rPr>
          <w:rFonts w:eastAsia="Times New Roman"/>
          <w:szCs w:val="20"/>
          <w:lang w:val="es-ES_tradnl"/>
        </w:rPr>
      </w:pPr>
    </w:p>
    <w:p w:rsidR="00970448" w:rsidRPr="00BE5AE1" w:rsidRDefault="00970448" w:rsidP="00571229">
      <w:pPr>
        <w:tabs>
          <w:tab w:val="left" w:pos="567"/>
          <w:tab w:val="left" w:pos="720"/>
        </w:tabs>
        <w:spacing w:after="0" w:line="240" w:lineRule="auto"/>
        <w:jc w:val="both"/>
        <w:rPr>
          <w:rFonts w:eastAsia="Times New Roman" w:cs="Verdana"/>
          <w:i/>
          <w:iCs/>
          <w:szCs w:val="20"/>
          <w:lang w:val="es-ES_tradnl"/>
        </w:rPr>
      </w:pPr>
      <w:r w:rsidRPr="00BE5AE1">
        <w:rPr>
          <w:rFonts w:eastAsia="Times New Roman" w:cs="Verdana"/>
          <w:szCs w:val="20"/>
          <w:lang w:val="es-ES_tradnl"/>
        </w:rPr>
        <w:t>En el caso</w:t>
      </w:r>
      <w:r w:rsidRPr="00BE5AE1">
        <w:rPr>
          <w:rFonts w:eastAsia="Times New Roman" w:cs="Verdana"/>
          <w:i/>
          <w:iCs/>
          <w:szCs w:val="20"/>
          <w:lang w:val="es-ES_tradnl"/>
        </w:rPr>
        <w:t xml:space="preserve"> </w:t>
      </w:r>
      <w:r w:rsidR="003878FC" w:rsidRPr="00BE5AE1">
        <w:rPr>
          <w:rFonts w:eastAsia="Times New Roman" w:cs="Verdana"/>
          <w:i/>
          <w:iCs/>
          <w:szCs w:val="20"/>
          <w:lang w:val="es-ES_tradnl"/>
        </w:rPr>
        <w:t xml:space="preserve">López </w:t>
      </w:r>
      <w:proofErr w:type="spellStart"/>
      <w:r w:rsidR="003878FC" w:rsidRPr="00BE5AE1">
        <w:rPr>
          <w:rFonts w:eastAsia="Times New Roman" w:cs="Verdana"/>
          <w:i/>
          <w:iCs/>
          <w:szCs w:val="20"/>
          <w:lang w:val="es-ES_tradnl"/>
        </w:rPr>
        <w:t>Lone</w:t>
      </w:r>
      <w:proofErr w:type="spellEnd"/>
      <w:r w:rsidR="003878FC" w:rsidRPr="00BE5AE1">
        <w:rPr>
          <w:rFonts w:eastAsia="Times New Roman" w:cs="Verdana"/>
          <w:i/>
          <w:iCs/>
          <w:szCs w:val="20"/>
          <w:lang w:val="es-ES_tradnl"/>
        </w:rPr>
        <w:t xml:space="preserve"> y </w:t>
      </w:r>
      <w:r w:rsidR="00D06789" w:rsidRPr="00BE5AE1">
        <w:rPr>
          <w:rFonts w:eastAsia="Times New Roman" w:cs="Verdana"/>
          <w:i/>
          <w:iCs/>
          <w:szCs w:val="20"/>
          <w:lang w:val="es-ES_tradnl"/>
        </w:rPr>
        <w:t>o</w:t>
      </w:r>
      <w:r w:rsidR="003878FC" w:rsidRPr="00BE5AE1">
        <w:rPr>
          <w:rFonts w:eastAsia="Times New Roman" w:cs="Verdana"/>
          <w:i/>
          <w:iCs/>
          <w:szCs w:val="20"/>
          <w:lang w:val="es-ES_tradnl"/>
        </w:rPr>
        <w:t>tros</w:t>
      </w:r>
      <w:r w:rsidRPr="00BE5AE1">
        <w:rPr>
          <w:rFonts w:eastAsia="Times New Roman" w:cs="Verdana"/>
          <w:i/>
          <w:iCs/>
          <w:szCs w:val="20"/>
          <w:lang w:val="es-ES_tradnl"/>
        </w:rPr>
        <w:t xml:space="preserve">, </w:t>
      </w:r>
    </w:p>
    <w:p w:rsidR="00970448" w:rsidRPr="00BE5AE1" w:rsidRDefault="00970448" w:rsidP="00571229">
      <w:pPr>
        <w:tabs>
          <w:tab w:val="left" w:pos="567"/>
          <w:tab w:val="left" w:pos="720"/>
        </w:tabs>
        <w:spacing w:after="0" w:line="240" w:lineRule="auto"/>
        <w:jc w:val="both"/>
        <w:rPr>
          <w:rFonts w:eastAsia="Times New Roman"/>
          <w:szCs w:val="20"/>
          <w:lang w:val="es-ES_tradnl"/>
        </w:rPr>
      </w:pPr>
    </w:p>
    <w:p w:rsidR="00970448" w:rsidRPr="00BE5AE1" w:rsidRDefault="00970448" w:rsidP="00571229">
      <w:pPr>
        <w:tabs>
          <w:tab w:val="left" w:pos="567"/>
          <w:tab w:val="left" w:pos="720"/>
        </w:tabs>
        <w:spacing w:after="0" w:line="240" w:lineRule="auto"/>
        <w:jc w:val="both"/>
        <w:rPr>
          <w:rFonts w:eastAsia="Times New Roman" w:cs="Verdana"/>
          <w:szCs w:val="20"/>
          <w:lang w:val="es-ES_tradnl"/>
        </w:rPr>
      </w:pPr>
      <w:proofErr w:type="gramStart"/>
      <w:r w:rsidRPr="00BE5AE1">
        <w:rPr>
          <w:rFonts w:eastAsia="Times New Roman" w:cs="Verdana"/>
          <w:szCs w:val="20"/>
          <w:lang w:val="es-ES_tradnl"/>
        </w:rPr>
        <w:t>la</w:t>
      </w:r>
      <w:proofErr w:type="gramEnd"/>
      <w:r w:rsidRPr="00BE5AE1">
        <w:rPr>
          <w:rFonts w:eastAsia="Times New Roman" w:cs="Verdana"/>
          <w:szCs w:val="20"/>
          <w:lang w:val="es-ES_tradnl"/>
        </w:rPr>
        <w:t xml:space="preserve"> Corte Interamericana de Derechos Humanos (en adelante “la Corte Interamericana”, “la Corte” o “este </w:t>
      </w:r>
      <w:r w:rsidRPr="00BE5AE1">
        <w:rPr>
          <w:rStyle w:val="LineNumber"/>
          <w:sz w:val="20"/>
          <w:szCs w:val="20"/>
          <w:lang w:val="es-ES_tradnl"/>
        </w:rPr>
        <w:t>Tribunal</w:t>
      </w:r>
      <w:r w:rsidRPr="00BE5AE1">
        <w:rPr>
          <w:rFonts w:eastAsia="Times New Roman" w:cs="Verdana"/>
          <w:szCs w:val="20"/>
          <w:lang w:val="es-ES_tradnl"/>
        </w:rPr>
        <w:t>”), integrada por los siguientes jueces</w:t>
      </w:r>
      <w:r w:rsidR="003A272C" w:rsidRPr="00BE5AE1">
        <w:rPr>
          <w:rFonts w:eastAsia="Times New Roman" w:cs="Verdana"/>
          <w:szCs w:val="20"/>
          <w:lang w:val="es-ES_tradnl"/>
        </w:rPr>
        <w:t>:</w:t>
      </w:r>
    </w:p>
    <w:p w:rsidR="00970448" w:rsidRPr="00BE5AE1" w:rsidRDefault="00970448" w:rsidP="00571229">
      <w:pPr>
        <w:tabs>
          <w:tab w:val="left" w:pos="567"/>
          <w:tab w:val="left" w:pos="720"/>
        </w:tabs>
        <w:spacing w:after="0" w:line="240" w:lineRule="auto"/>
        <w:jc w:val="both"/>
        <w:rPr>
          <w:rFonts w:eastAsia="Times New Roman" w:cs="Verdana"/>
          <w:szCs w:val="20"/>
          <w:lang w:val="es-ES_tradnl"/>
        </w:rPr>
      </w:pPr>
    </w:p>
    <w:p w:rsidR="0060168F" w:rsidRPr="00E960DF" w:rsidRDefault="0060168F" w:rsidP="00571229">
      <w:pPr>
        <w:tabs>
          <w:tab w:val="left" w:pos="567"/>
          <w:tab w:val="left" w:pos="720"/>
        </w:tabs>
        <w:spacing w:after="0" w:line="240" w:lineRule="auto"/>
        <w:rPr>
          <w:rFonts w:eastAsia="Times New Roman" w:cs="Verdana"/>
          <w:szCs w:val="20"/>
          <w:lang w:val="pt-BR"/>
        </w:rPr>
      </w:pPr>
      <w:r w:rsidRPr="00E960DF">
        <w:rPr>
          <w:rFonts w:eastAsia="Times New Roman" w:cs="Verdana"/>
          <w:szCs w:val="20"/>
          <w:lang w:val="pt-BR"/>
        </w:rPr>
        <w:t>Roberto F. Caldas, Presidente;</w:t>
      </w:r>
    </w:p>
    <w:p w:rsidR="0060168F" w:rsidRPr="00E960DF" w:rsidRDefault="0060168F" w:rsidP="00571229">
      <w:pPr>
        <w:tabs>
          <w:tab w:val="left" w:pos="567"/>
          <w:tab w:val="left" w:pos="720"/>
        </w:tabs>
        <w:spacing w:after="0" w:line="240" w:lineRule="auto"/>
        <w:rPr>
          <w:rFonts w:eastAsia="Times New Roman" w:cs="Verdana"/>
          <w:szCs w:val="20"/>
          <w:lang w:val="pt-BR"/>
        </w:rPr>
      </w:pPr>
      <w:r w:rsidRPr="00E960DF">
        <w:rPr>
          <w:rFonts w:eastAsia="Times New Roman" w:cs="Verdana"/>
          <w:szCs w:val="20"/>
          <w:lang w:val="pt-BR"/>
        </w:rPr>
        <w:t>Eduardo Ferrer Mac-Gregor Poisot, Vicepresidente;</w:t>
      </w:r>
    </w:p>
    <w:p w:rsidR="0060168F" w:rsidRPr="00BE5AE1" w:rsidRDefault="0060168F" w:rsidP="00571229">
      <w:pPr>
        <w:tabs>
          <w:tab w:val="left" w:pos="567"/>
          <w:tab w:val="left" w:pos="720"/>
        </w:tabs>
        <w:spacing w:after="0" w:line="240" w:lineRule="auto"/>
        <w:rPr>
          <w:rFonts w:eastAsia="Times New Roman" w:cs="Verdana"/>
          <w:szCs w:val="20"/>
          <w:lang w:val="es-ES_tradnl"/>
        </w:rPr>
      </w:pPr>
      <w:r w:rsidRPr="00BE5AE1">
        <w:rPr>
          <w:rFonts w:eastAsia="Times New Roman" w:cs="Verdana"/>
          <w:szCs w:val="20"/>
          <w:lang w:val="es-ES_tradnl"/>
        </w:rPr>
        <w:t>Manuel E. Ventura Robles, Juez;</w:t>
      </w:r>
    </w:p>
    <w:p w:rsidR="003878FC" w:rsidRPr="00BE5AE1" w:rsidRDefault="003878FC" w:rsidP="00571229">
      <w:pPr>
        <w:tabs>
          <w:tab w:val="left" w:pos="567"/>
          <w:tab w:val="left" w:pos="720"/>
        </w:tabs>
        <w:spacing w:after="0" w:line="240" w:lineRule="auto"/>
        <w:rPr>
          <w:rFonts w:eastAsia="Times New Roman" w:cs="Verdana"/>
          <w:szCs w:val="20"/>
          <w:lang w:val="es-ES_tradnl"/>
        </w:rPr>
      </w:pPr>
      <w:r w:rsidRPr="00BE5AE1">
        <w:t>Diego García-Sayán, Juez</w:t>
      </w:r>
      <w:r w:rsidR="0060168F" w:rsidRPr="00BE5AE1">
        <w:rPr>
          <w:rFonts w:eastAsia="Times New Roman" w:cs="Verdana"/>
          <w:szCs w:val="20"/>
          <w:lang w:val="es-ES_tradnl"/>
        </w:rPr>
        <w:t>;</w:t>
      </w:r>
    </w:p>
    <w:p w:rsidR="003878FC" w:rsidRPr="00BE5AE1" w:rsidRDefault="003878FC" w:rsidP="00571229">
      <w:pPr>
        <w:tabs>
          <w:tab w:val="left" w:pos="567"/>
          <w:tab w:val="left" w:pos="720"/>
        </w:tabs>
        <w:spacing w:after="0" w:line="240" w:lineRule="auto"/>
        <w:rPr>
          <w:rFonts w:eastAsia="Times New Roman" w:cs="Verdana"/>
          <w:szCs w:val="20"/>
          <w:lang w:val="es-ES_tradnl"/>
        </w:rPr>
      </w:pPr>
      <w:r w:rsidRPr="00BE5AE1">
        <w:t xml:space="preserve">Alberto Pérez </w:t>
      </w:r>
      <w:proofErr w:type="spellStart"/>
      <w:r w:rsidRPr="00BE5AE1">
        <w:t>Pérez</w:t>
      </w:r>
      <w:proofErr w:type="spellEnd"/>
      <w:r w:rsidRPr="00BE5AE1">
        <w:t>, Juez</w:t>
      </w:r>
      <w:r w:rsidR="0060168F" w:rsidRPr="00BE5AE1">
        <w:t>;</w:t>
      </w:r>
    </w:p>
    <w:p w:rsidR="00160152" w:rsidRPr="00BE5AE1" w:rsidRDefault="00160152" w:rsidP="00571229">
      <w:pPr>
        <w:tabs>
          <w:tab w:val="left" w:pos="567"/>
          <w:tab w:val="left" w:pos="720"/>
        </w:tabs>
        <w:spacing w:after="0" w:line="240" w:lineRule="auto"/>
        <w:rPr>
          <w:rFonts w:eastAsia="Times New Roman" w:cs="Verdana"/>
          <w:szCs w:val="20"/>
          <w:lang w:val="es-ES_tradnl"/>
        </w:rPr>
      </w:pPr>
      <w:r w:rsidRPr="00BE5AE1">
        <w:rPr>
          <w:rFonts w:eastAsia="Times New Roman" w:cs="Verdana"/>
          <w:szCs w:val="20"/>
          <w:lang w:val="es-ES_tradnl"/>
        </w:rPr>
        <w:t>Eduardo Vio Grossi, Juez;</w:t>
      </w:r>
    </w:p>
    <w:p w:rsidR="0060168F" w:rsidRPr="00BE5AE1" w:rsidRDefault="0060168F" w:rsidP="00571229">
      <w:pPr>
        <w:tabs>
          <w:tab w:val="left" w:pos="567"/>
          <w:tab w:val="left" w:pos="720"/>
        </w:tabs>
        <w:spacing w:after="0" w:line="240" w:lineRule="auto"/>
        <w:rPr>
          <w:rFonts w:eastAsia="Times New Roman" w:cs="Verdana"/>
          <w:szCs w:val="20"/>
          <w:lang w:val="es-ES_tradnl"/>
        </w:rPr>
      </w:pPr>
      <w:r w:rsidRPr="00BE5AE1">
        <w:rPr>
          <w:rFonts w:eastAsia="Times New Roman" w:cs="Verdana"/>
          <w:szCs w:val="20"/>
          <w:lang w:val="es-ES_tradnl"/>
        </w:rPr>
        <w:t>Humberto Antonio Sierra Porto, Juez;</w:t>
      </w:r>
    </w:p>
    <w:p w:rsidR="00160152" w:rsidRPr="00BE5AE1" w:rsidRDefault="00160152" w:rsidP="00571229">
      <w:pPr>
        <w:tabs>
          <w:tab w:val="left" w:pos="567"/>
          <w:tab w:val="left" w:pos="720"/>
        </w:tabs>
        <w:spacing w:after="0" w:line="240" w:lineRule="auto"/>
        <w:jc w:val="both"/>
        <w:rPr>
          <w:rFonts w:eastAsia="Times New Roman" w:cs="Verdana"/>
          <w:szCs w:val="20"/>
          <w:lang w:val="es-ES_tradnl"/>
        </w:rPr>
      </w:pPr>
    </w:p>
    <w:p w:rsidR="00970448" w:rsidRPr="00BE5AE1" w:rsidRDefault="00970448" w:rsidP="00571229">
      <w:pPr>
        <w:tabs>
          <w:tab w:val="left" w:pos="567"/>
          <w:tab w:val="left" w:pos="720"/>
        </w:tabs>
        <w:spacing w:after="0" w:line="240" w:lineRule="auto"/>
        <w:jc w:val="both"/>
        <w:rPr>
          <w:rFonts w:eastAsia="Times New Roman" w:cs="Verdana"/>
          <w:szCs w:val="20"/>
          <w:lang w:val="es-ES_tradnl"/>
        </w:rPr>
      </w:pPr>
      <w:proofErr w:type="gramStart"/>
      <w:r w:rsidRPr="00BE5AE1">
        <w:rPr>
          <w:rFonts w:eastAsia="Times New Roman" w:cs="Verdana"/>
          <w:szCs w:val="20"/>
          <w:lang w:val="es-ES_tradnl"/>
        </w:rPr>
        <w:t>presentes</w:t>
      </w:r>
      <w:proofErr w:type="gramEnd"/>
      <w:r w:rsidRPr="00BE5AE1">
        <w:rPr>
          <w:rFonts w:eastAsia="Times New Roman" w:cs="Verdana"/>
          <w:szCs w:val="20"/>
          <w:lang w:val="es-ES_tradnl"/>
        </w:rPr>
        <w:t xml:space="preserve"> además,</w:t>
      </w:r>
    </w:p>
    <w:p w:rsidR="00970448" w:rsidRPr="00BE5AE1" w:rsidRDefault="00970448" w:rsidP="00571229">
      <w:pPr>
        <w:tabs>
          <w:tab w:val="left" w:pos="567"/>
          <w:tab w:val="left" w:pos="720"/>
        </w:tabs>
        <w:spacing w:after="0" w:line="240" w:lineRule="auto"/>
        <w:jc w:val="both"/>
        <w:rPr>
          <w:rFonts w:eastAsia="Times New Roman" w:cs="Verdana"/>
          <w:szCs w:val="20"/>
          <w:lang w:val="es-ES_tradnl"/>
        </w:rPr>
      </w:pPr>
    </w:p>
    <w:p w:rsidR="00970448" w:rsidRPr="00BE5AE1" w:rsidRDefault="00970448" w:rsidP="00571229">
      <w:pPr>
        <w:tabs>
          <w:tab w:val="left" w:pos="567"/>
          <w:tab w:val="left" w:pos="720"/>
        </w:tabs>
        <w:spacing w:after="0" w:line="240" w:lineRule="auto"/>
        <w:jc w:val="both"/>
        <w:rPr>
          <w:rFonts w:eastAsia="Times New Roman" w:cs="Verdana"/>
          <w:szCs w:val="20"/>
          <w:lang w:val="es-ES_tradnl"/>
        </w:rPr>
      </w:pPr>
      <w:r w:rsidRPr="00BE5AE1">
        <w:rPr>
          <w:rFonts w:eastAsia="Times New Roman" w:cs="Verdana"/>
          <w:szCs w:val="20"/>
          <w:lang w:val="es-ES_tradnl"/>
        </w:rPr>
        <w:t xml:space="preserve">Pablo Saavedra Alessandri, Secretario, y </w:t>
      </w:r>
    </w:p>
    <w:p w:rsidR="00970448" w:rsidRPr="00BE5AE1" w:rsidRDefault="00970448" w:rsidP="00571229">
      <w:pPr>
        <w:tabs>
          <w:tab w:val="left" w:pos="567"/>
          <w:tab w:val="left" w:pos="720"/>
        </w:tabs>
        <w:spacing w:after="0" w:line="240" w:lineRule="auto"/>
        <w:jc w:val="both"/>
        <w:rPr>
          <w:rFonts w:eastAsia="Times New Roman"/>
          <w:szCs w:val="20"/>
          <w:lang w:val="es-ES_tradnl"/>
        </w:rPr>
      </w:pPr>
      <w:r w:rsidRPr="00BE5AE1">
        <w:rPr>
          <w:rFonts w:eastAsia="Times New Roman" w:cs="Verdana"/>
          <w:szCs w:val="20"/>
          <w:lang w:val="es-ES_tradnl" w:eastAsia="es-MX"/>
        </w:rPr>
        <w:t>Emilia Segares Rodríguez, Secretaria Adjunta,</w:t>
      </w:r>
    </w:p>
    <w:p w:rsidR="00970448" w:rsidRPr="00BE5AE1" w:rsidRDefault="00970448" w:rsidP="00571229">
      <w:pPr>
        <w:tabs>
          <w:tab w:val="left" w:pos="567"/>
        </w:tabs>
        <w:spacing w:after="0" w:line="240" w:lineRule="auto"/>
        <w:jc w:val="center"/>
        <w:rPr>
          <w:rFonts w:eastAsia="Times New Roman" w:cs="Verdana"/>
          <w:b/>
          <w:bCs/>
          <w:caps/>
          <w:snapToGrid w:val="0"/>
          <w:szCs w:val="20"/>
          <w:lang w:val="es-ES_tradnl" w:eastAsia="es-ES"/>
        </w:rPr>
      </w:pPr>
    </w:p>
    <w:p w:rsidR="001564D5" w:rsidRPr="00E36761" w:rsidRDefault="00970448" w:rsidP="00E36761">
      <w:pPr>
        <w:tabs>
          <w:tab w:val="left" w:pos="567"/>
        </w:tabs>
        <w:autoSpaceDE w:val="0"/>
        <w:autoSpaceDN w:val="0"/>
        <w:adjustRightInd w:val="0"/>
        <w:spacing w:after="0" w:line="240" w:lineRule="auto"/>
        <w:jc w:val="both"/>
        <w:rPr>
          <w:szCs w:val="20"/>
          <w:lang w:val="es-ES_tradnl"/>
        </w:rPr>
      </w:pPr>
      <w:r w:rsidRPr="00BE5AE1">
        <w:rPr>
          <w:rFonts w:cs="Verdana"/>
          <w:szCs w:val="20"/>
          <w:lang w:val="es-ES_tradnl"/>
        </w:rPr>
        <w:t>de conformidad con el artículo 67 de la Convención Americana sobre Derechos Humanos (en adelante también “la Convención Americana” o “la Convención”) y el artículo 68 del Reglamento de la Corte (en adelante “el Reglamento”),</w:t>
      </w:r>
      <w:r w:rsidR="00726A6E" w:rsidRPr="00BE5AE1">
        <w:rPr>
          <w:szCs w:val="20"/>
          <w:lang w:val="es-ES_tradnl"/>
        </w:rPr>
        <w:t xml:space="preserve"> </w:t>
      </w:r>
      <w:r w:rsidRPr="00BE5AE1">
        <w:rPr>
          <w:rFonts w:cs="Verdana"/>
          <w:szCs w:val="20"/>
          <w:lang w:val="es-ES_tradnl"/>
        </w:rPr>
        <w:t>resuelve la solicitud de interpretación de la Sentencia de</w:t>
      </w:r>
      <w:r w:rsidR="00475443" w:rsidRPr="00BE5AE1">
        <w:rPr>
          <w:rFonts w:cs="Verdana"/>
          <w:szCs w:val="20"/>
          <w:lang w:val="es-ES_tradnl"/>
        </w:rPr>
        <w:t xml:space="preserve"> excepción preliminar,</w:t>
      </w:r>
      <w:r w:rsidRPr="00BE5AE1">
        <w:rPr>
          <w:rFonts w:cs="Verdana"/>
          <w:szCs w:val="20"/>
          <w:lang w:val="es-ES_tradnl"/>
        </w:rPr>
        <w:t xml:space="preserve"> fondo, reparaciones y costas emitida por este Tribunal el </w:t>
      </w:r>
      <w:r w:rsidR="00B56E9F" w:rsidRPr="00BE5AE1">
        <w:rPr>
          <w:rFonts w:cs="Verdana"/>
          <w:szCs w:val="20"/>
          <w:lang w:val="es-ES_tradnl"/>
        </w:rPr>
        <w:t>5 de octubre de 2015</w:t>
      </w:r>
      <w:r w:rsidRPr="00BE5AE1">
        <w:rPr>
          <w:rFonts w:cs="Verdana"/>
          <w:szCs w:val="20"/>
          <w:lang w:val="es-ES_tradnl"/>
        </w:rPr>
        <w:t xml:space="preserve"> en el presente caso (en adelante también “la Sentencia”), interpuesta</w:t>
      </w:r>
      <w:r w:rsidR="000651F9" w:rsidRPr="00BE5AE1">
        <w:rPr>
          <w:rFonts w:cs="Verdana"/>
          <w:szCs w:val="20"/>
          <w:lang w:val="es-ES_tradnl"/>
        </w:rPr>
        <w:t xml:space="preserve"> el 8 de febrero de 2016 por los representantes de la</w:t>
      </w:r>
      <w:r w:rsidR="00B56E9F" w:rsidRPr="00BE5AE1">
        <w:rPr>
          <w:rFonts w:cs="Verdana"/>
          <w:szCs w:val="20"/>
          <w:lang w:val="es-ES_tradnl"/>
        </w:rPr>
        <w:t>s</w:t>
      </w:r>
      <w:r w:rsidR="000651F9" w:rsidRPr="00BE5AE1">
        <w:rPr>
          <w:rFonts w:cs="Verdana"/>
          <w:szCs w:val="20"/>
          <w:lang w:val="es-ES_tradnl"/>
        </w:rPr>
        <w:t xml:space="preserve"> víctima</w:t>
      </w:r>
      <w:r w:rsidR="00B56E9F" w:rsidRPr="00BE5AE1">
        <w:rPr>
          <w:rFonts w:cs="Verdana"/>
          <w:szCs w:val="20"/>
          <w:lang w:val="es-ES_tradnl"/>
        </w:rPr>
        <w:t>s</w:t>
      </w:r>
      <w:r w:rsidR="000651F9" w:rsidRPr="00BE5AE1">
        <w:rPr>
          <w:rFonts w:cs="Verdana"/>
          <w:szCs w:val="20"/>
          <w:lang w:val="es-ES_tradnl"/>
        </w:rPr>
        <w:t xml:space="preserve"> </w:t>
      </w:r>
      <w:r w:rsidR="000651F9" w:rsidRPr="00BE5AE1">
        <w:rPr>
          <w:rFonts w:eastAsia="Times"/>
          <w:bCs/>
          <w:szCs w:val="20"/>
          <w:lang w:val="es-ES_tradnl"/>
        </w:rPr>
        <w:t>(en adelante “los representantes”)</w:t>
      </w:r>
      <w:r w:rsidR="00F81484">
        <w:rPr>
          <w:rFonts w:cs="Verdana"/>
          <w:szCs w:val="20"/>
          <w:lang w:val="es-ES_tradnl"/>
        </w:rPr>
        <w:t>, y se pronuncia sobre la</w:t>
      </w:r>
      <w:r w:rsidR="00726A6E" w:rsidRPr="00BE5AE1">
        <w:rPr>
          <w:rFonts w:cs="Verdana"/>
          <w:szCs w:val="20"/>
          <w:lang w:val="es-ES_tradnl"/>
        </w:rPr>
        <w:t xml:space="preserve"> “solicitud de reposición de resolución o sentencia interlocutor</w:t>
      </w:r>
      <w:r w:rsidR="00E36761">
        <w:rPr>
          <w:rFonts w:cs="Verdana"/>
          <w:szCs w:val="20"/>
          <w:lang w:val="es-ES_tradnl"/>
        </w:rPr>
        <w:t>i</w:t>
      </w:r>
      <w:r w:rsidR="00726A6E" w:rsidRPr="00BE5AE1">
        <w:rPr>
          <w:rFonts w:cs="Verdana"/>
          <w:szCs w:val="20"/>
          <w:lang w:val="es-ES_tradnl"/>
        </w:rPr>
        <w:t>a”</w:t>
      </w:r>
      <w:r w:rsidR="00FC6650" w:rsidRPr="00BE5AE1">
        <w:rPr>
          <w:rFonts w:cs="Verdana"/>
          <w:szCs w:val="20"/>
          <w:lang w:val="es-ES_tradnl"/>
        </w:rPr>
        <w:t xml:space="preserve"> </w:t>
      </w:r>
      <w:r w:rsidR="00F81484">
        <w:rPr>
          <w:rFonts w:cs="Verdana"/>
          <w:szCs w:val="20"/>
          <w:lang w:val="es-ES_tradnl"/>
        </w:rPr>
        <w:t xml:space="preserve">presentada el </w:t>
      </w:r>
      <w:r w:rsidR="00FC6650" w:rsidRPr="00BE5AE1">
        <w:rPr>
          <w:rFonts w:eastAsia="Times"/>
          <w:bCs/>
          <w:szCs w:val="20"/>
          <w:lang w:val="es-ES_tradnl"/>
        </w:rPr>
        <w:t xml:space="preserve">4 de febrero de 2016 por parte del Estado de Honduras </w:t>
      </w:r>
      <w:r w:rsidR="00FC6650" w:rsidRPr="00BE5AE1">
        <w:rPr>
          <w:szCs w:val="20"/>
          <w:lang w:val="es-ES_tradnl"/>
        </w:rPr>
        <w:t>(en adelante “Honduras” o “el Estado”).</w:t>
      </w:r>
      <w:r w:rsidR="00726A6E" w:rsidRPr="00BE5AE1">
        <w:rPr>
          <w:rFonts w:cs="Verdana"/>
          <w:szCs w:val="20"/>
          <w:lang w:val="es-ES_tradnl"/>
        </w:rPr>
        <w:t xml:space="preserve"> </w:t>
      </w:r>
    </w:p>
    <w:p w:rsidR="006E4F7C" w:rsidRDefault="006E4F7C" w:rsidP="00571229">
      <w:pPr>
        <w:tabs>
          <w:tab w:val="left" w:pos="567"/>
        </w:tabs>
        <w:autoSpaceDE w:val="0"/>
        <w:autoSpaceDN w:val="0"/>
        <w:adjustRightInd w:val="0"/>
        <w:spacing w:after="0" w:line="240" w:lineRule="auto"/>
        <w:jc w:val="center"/>
        <w:rPr>
          <w:rFonts w:eastAsia="Times New Roman" w:cs="Verdana"/>
          <w:b/>
          <w:bCs/>
          <w:iCs/>
          <w:caps/>
          <w:snapToGrid w:val="0"/>
          <w:szCs w:val="20"/>
          <w:lang w:val="es-ES_tradnl" w:eastAsia="es-ES"/>
        </w:rPr>
      </w:pPr>
    </w:p>
    <w:p w:rsidR="00970448" w:rsidRPr="00BE5AE1" w:rsidRDefault="00970448" w:rsidP="00571229">
      <w:pPr>
        <w:tabs>
          <w:tab w:val="left" w:pos="567"/>
        </w:tabs>
        <w:autoSpaceDE w:val="0"/>
        <w:autoSpaceDN w:val="0"/>
        <w:adjustRightInd w:val="0"/>
        <w:spacing w:after="0" w:line="240" w:lineRule="auto"/>
        <w:jc w:val="center"/>
        <w:rPr>
          <w:rFonts w:eastAsia="Times New Roman" w:cs="Verdana"/>
          <w:b/>
          <w:bCs/>
          <w:iCs/>
          <w:caps/>
          <w:snapToGrid w:val="0"/>
          <w:szCs w:val="20"/>
          <w:lang w:val="es-ES_tradnl" w:eastAsia="es-ES"/>
        </w:rPr>
      </w:pPr>
      <w:r w:rsidRPr="00BE5AE1">
        <w:rPr>
          <w:rFonts w:eastAsia="Times New Roman" w:cs="Verdana"/>
          <w:b/>
          <w:bCs/>
          <w:iCs/>
          <w:caps/>
          <w:snapToGrid w:val="0"/>
          <w:szCs w:val="20"/>
          <w:lang w:val="es-ES_tradnl" w:eastAsia="es-ES"/>
        </w:rPr>
        <w:t>I</w:t>
      </w:r>
    </w:p>
    <w:p w:rsidR="00970448" w:rsidRPr="00BE5AE1" w:rsidRDefault="00970448" w:rsidP="00571229">
      <w:pPr>
        <w:tabs>
          <w:tab w:val="left" w:pos="567"/>
        </w:tabs>
        <w:autoSpaceDE w:val="0"/>
        <w:autoSpaceDN w:val="0"/>
        <w:adjustRightInd w:val="0"/>
        <w:spacing w:after="0" w:line="240" w:lineRule="auto"/>
        <w:jc w:val="center"/>
        <w:rPr>
          <w:rFonts w:cs="Verdana"/>
          <w:b/>
          <w:bCs/>
          <w:szCs w:val="20"/>
          <w:lang w:val="es-ES_tradnl"/>
        </w:rPr>
      </w:pPr>
      <w:r w:rsidRPr="00BE5AE1">
        <w:rPr>
          <w:rFonts w:cs="Verdana"/>
          <w:b/>
          <w:bCs/>
          <w:szCs w:val="20"/>
          <w:lang w:val="es-ES_tradnl"/>
        </w:rPr>
        <w:t>SOLICITUD DE INTERPRETACIÓN</w:t>
      </w:r>
    </w:p>
    <w:p w:rsidR="00970448" w:rsidRPr="00BE5AE1" w:rsidRDefault="00970448" w:rsidP="00571229">
      <w:pPr>
        <w:tabs>
          <w:tab w:val="left" w:pos="567"/>
        </w:tabs>
        <w:spacing w:after="0" w:line="240" w:lineRule="auto"/>
        <w:jc w:val="center"/>
        <w:rPr>
          <w:rFonts w:eastAsia="Times"/>
          <w:szCs w:val="20"/>
          <w:lang w:val="es-ES_tradnl" w:eastAsia="es-ES"/>
        </w:rPr>
      </w:pPr>
      <w:r w:rsidRPr="00BE5AE1">
        <w:rPr>
          <w:rFonts w:cs="Verdana"/>
          <w:b/>
          <w:bCs/>
          <w:szCs w:val="20"/>
          <w:lang w:val="es-ES_tradnl"/>
        </w:rPr>
        <w:t>Y PROCEDIMIENTO ANTE LA CORTE</w:t>
      </w:r>
    </w:p>
    <w:p w:rsidR="00970448" w:rsidRPr="00BE5AE1" w:rsidRDefault="00970448" w:rsidP="00571229">
      <w:pPr>
        <w:tabs>
          <w:tab w:val="left" w:pos="567"/>
        </w:tabs>
        <w:spacing w:after="0" w:line="240" w:lineRule="auto"/>
        <w:jc w:val="both"/>
        <w:rPr>
          <w:rFonts w:eastAsia="Times"/>
          <w:szCs w:val="20"/>
          <w:lang w:val="es-ES_tradnl"/>
        </w:rPr>
      </w:pPr>
    </w:p>
    <w:p w:rsidR="00970448" w:rsidRPr="00BE5AE1" w:rsidRDefault="00970448" w:rsidP="00571229">
      <w:pPr>
        <w:numPr>
          <w:ilvl w:val="0"/>
          <w:numId w:val="1"/>
        </w:numPr>
        <w:tabs>
          <w:tab w:val="left" w:pos="567"/>
          <w:tab w:val="num" w:pos="720"/>
        </w:tabs>
        <w:autoSpaceDE w:val="0"/>
        <w:autoSpaceDN w:val="0"/>
        <w:adjustRightInd w:val="0"/>
        <w:spacing w:after="0" w:line="240" w:lineRule="auto"/>
        <w:jc w:val="both"/>
        <w:rPr>
          <w:rFonts w:cs="Verdana"/>
          <w:szCs w:val="20"/>
          <w:lang w:val="es-ES_tradnl"/>
        </w:rPr>
      </w:pPr>
      <w:bookmarkStart w:id="1" w:name="_Ref395106623"/>
      <w:r w:rsidRPr="00BE5AE1">
        <w:rPr>
          <w:rFonts w:cs="Verdana"/>
          <w:szCs w:val="20"/>
          <w:lang w:val="es-ES_tradnl"/>
        </w:rPr>
        <w:t xml:space="preserve">El </w:t>
      </w:r>
      <w:r w:rsidR="007A7C02" w:rsidRPr="00BE5AE1">
        <w:rPr>
          <w:lang w:val="es-AR"/>
        </w:rPr>
        <w:t xml:space="preserve">5 de octubre de 2015 </w:t>
      </w:r>
      <w:r w:rsidRPr="00BE5AE1">
        <w:rPr>
          <w:rFonts w:eastAsia="Times"/>
          <w:szCs w:val="20"/>
          <w:lang w:val="es-ES_tradnl"/>
        </w:rPr>
        <w:t xml:space="preserve">la Corte emitió la Sentencia, la cual fue notificada a las partes y a la Comisión Interamericana de </w:t>
      </w:r>
      <w:r w:rsidRPr="00BE5AE1">
        <w:rPr>
          <w:rFonts w:cs="Verdana"/>
          <w:szCs w:val="20"/>
          <w:lang w:val="es-ES_tradnl"/>
        </w:rPr>
        <w:t xml:space="preserve">Derechos Humanos (en adelante “la Comisión Interamericana” o “la Comisión”) </w:t>
      </w:r>
      <w:r w:rsidRPr="00BE5AE1">
        <w:rPr>
          <w:rFonts w:eastAsia="Times"/>
          <w:szCs w:val="20"/>
          <w:lang w:val="es-ES_tradnl"/>
        </w:rPr>
        <w:t xml:space="preserve">el </w:t>
      </w:r>
      <w:r w:rsidR="007A7C02" w:rsidRPr="00BE5AE1">
        <w:rPr>
          <w:lang w:val="es-AR"/>
        </w:rPr>
        <w:t>10 de noviembre</w:t>
      </w:r>
      <w:r w:rsidRPr="00BE5AE1">
        <w:rPr>
          <w:rFonts w:eastAsia="Times"/>
          <w:szCs w:val="20"/>
          <w:lang w:val="es-ES_tradnl"/>
        </w:rPr>
        <w:t xml:space="preserve"> del mismo año</w:t>
      </w:r>
      <w:r w:rsidR="00002230" w:rsidRPr="00BE5AE1">
        <w:rPr>
          <w:rFonts w:eastAsia="Times"/>
          <w:szCs w:val="20"/>
          <w:lang w:val="es-ES_tradnl"/>
        </w:rPr>
        <w:t>.</w:t>
      </w:r>
      <w:r w:rsidR="00475443" w:rsidRPr="00BE5AE1">
        <w:rPr>
          <w:rFonts w:eastAsia="Times"/>
          <w:szCs w:val="20"/>
          <w:lang w:val="es-ES_tradnl"/>
        </w:rPr>
        <w:t xml:space="preserve"> </w:t>
      </w:r>
      <w:bookmarkEnd w:id="1"/>
    </w:p>
    <w:p w:rsidR="00970448" w:rsidRPr="00BE5AE1" w:rsidRDefault="00970448" w:rsidP="00571229">
      <w:pPr>
        <w:tabs>
          <w:tab w:val="left" w:pos="567"/>
        </w:tabs>
        <w:autoSpaceDE w:val="0"/>
        <w:autoSpaceDN w:val="0"/>
        <w:adjustRightInd w:val="0"/>
        <w:spacing w:after="0" w:line="240" w:lineRule="auto"/>
        <w:jc w:val="both"/>
        <w:rPr>
          <w:rFonts w:cs="Verdana"/>
          <w:szCs w:val="20"/>
          <w:lang w:val="es-ES_tradnl"/>
        </w:rPr>
      </w:pPr>
    </w:p>
    <w:p w:rsidR="007A7C02" w:rsidRPr="00BE5AE1" w:rsidRDefault="007A7C02" w:rsidP="00571229">
      <w:pPr>
        <w:numPr>
          <w:ilvl w:val="0"/>
          <w:numId w:val="1"/>
        </w:numPr>
        <w:tabs>
          <w:tab w:val="left" w:pos="567"/>
          <w:tab w:val="num" w:pos="720"/>
        </w:tabs>
        <w:autoSpaceDE w:val="0"/>
        <w:autoSpaceDN w:val="0"/>
        <w:adjustRightInd w:val="0"/>
        <w:spacing w:after="0" w:line="240" w:lineRule="auto"/>
        <w:jc w:val="both"/>
        <w:rPr>
          <w:rFonts w:cs="Arial"/>
          <w:szCs w:val="20"/>
          <w:lang w:val="es-ES_tradnl"/>
        </w:rPr>
      </w:pPr>
      <w:bookmarkStart w:id="2" w:name="_Ref403060837"/>
      <w:bookmarkStart w:id="3" w:name="_Ref461535061"/>
      <w:bookmarkStart w:id="4" w:name="_Ref395083031"/>
      <w:bookmarkStart w:id="5" w:name="_Ref395083029"/>
      <w:bookmarkStart w:id="6" w:name="_Ref403060836"/>
      <w:bookmarkStart w:id="7" w:name="_Ref363085373"/>
      <w:r w:rsidRPr="00BE5AE1">
        <w:rPr>
          <w:rFonts w:cs="Verdana"/>
          <w:szCs w:val="20"/>
          <w:lang w:val="es-ES_tradnl"/>
        </w:rPr>
        <w:t xml:space="preserve">El </w:t>
      </w:r>
      <w:r w:rsidRPr="00BE5AE1">
        <w:rPr>
          <w:rFonts w:eastAsia="Times"/>
          <w:bCs/>
          <w:szCs w:val="20"/>
          <w:lang w:val="es-ES_tradnl"/>
        </w:rPr>
        <w:t>4 de febrero de 2016</w:t>
      </w:r>
      <w:r w:rsidRPr="00BE5AE1">
        <w:rPr>
          <w:rFonts w:cs="Verdana"/>
          <w:szCs w:val="20"/>
          <w:lang w:val="es-ES_tradnl"/>
        </w:rPr>
        <w:t xml:space="preserve"> el Estado </w:t>
      </w:r>
      <w:r w:rsidR="00FC6650" w:rsidRPr="00BE5AE1">
        <w:rPr>
          <w:rFonts w:cs="Verdana"/>
          <w:szCs w:val="20"/>
          <w:lang w:val="es-ES_tradnl"/>
        </w:rPr>
        <w:t>presentó una “solicitud de reposición de resolución de sentencia interlocutor</w:t>
      </w:r>
      <w:r w:rsidR="004005ED">
        <w:rPr>
          <w:rFonts w:cs="Verdana"/>
          <w:szCs w:val="20"/>
          <w:lang w:val="es-ES_tradnl"/>
        </w:rPr>
        <w:t>i</w:t>
      </w:r>
      <w:r w:rsidR="00FC6650" w:rsidRPr="00BE5AE1">
        <w:rPr>
          <w:rFonts w:cs="Verdana"/>
          <w:szCs w:val="20"/>
          <w:lang w:val="es-ES_tradnl"/>
        </w:rPr>
        <w:t>a”</w:t>
      </w:r>
      <w:r w:rsidR="00133A8F" w:rsidRPr="00BE5AE1">
        <w:rPr>
          <w:rFonts w:cs="Verdana"/>
          <w:szCs w:val="20"/>
          <w:lang w:val="es-ES_tradnl"/>
        </w:rPr>
        <w:t>,</w:t>
      </w:r>
      <w:r w:rsidRPr="00BE5AE1">
        <w:rPr>
          <w:rFonts w:cs="Verdana"/>
          <w:szCs w:val="20"/>
          <w:lang w:val="es-ES_tradnl"/>
        </w:rPr>
        <w:t xml:space="preserve"> </w:t>
      </w:r>
      <w:bookmarkEnd w:id="2"/>
      <w:r w:rsidRPr="00BE5AE1">
        <w:rPr>
          <w:szCs w:val="20"/>
        </w:rPr>
        <w:t>mediante la cual reiteró sus alegatos sobre la excepción preliminar</w:t>
      </w:r>
      <w:r w:rsidR="00133A8F" w:rsidRPr="00BE5AE1">
        <w:rPr>
          <w:szCs w:val="20"/>
        </w:rPr>
        <w:t xml:space="preserve"> y solicitó revocar la decisión de la Corte por la cual se desestimó la excepción preliminar relativa al agotamiento de los recursos internos</w:t>
      </w:r>
      <w:r w:rsidR="00FE0B0F" w:rsidRPr="00BE5AE1">
        <w:rPr>
          <w:szCs w:val="20"/>
        </w:rPr>
        <w:t>.</w:t>
      </w:r>
      <w:bookmarkEnd w:id="3"/>
      <w:r w:rsidR="00E047EE" w:rsidRPr="00BE5AE1">
        <w:rPr>
          <w:szCs w:val="20"/>
        </w:rPr>
        <w:t xml:space="preserve"> </w:t>
      </w:r>
    </w:p>
    <w:p w:rsidR="007A7C02" w:rsidRPr="00BE5AE1" w:rsidRDefault="007A7C02" w:rsidP="00571229">
      <w:pPr>
        <w:tabs>
          <w:tab w:val="left" w:pos="567"/>
        </w:tabs>
        <w:autoSpaceDE w:val="0"/>
        <w:autoSpaceDN w:val="0"/>
        <w:adjustRightInd w:val="0"/>
        <w:spacing w:after="0" w:line="240" w:lineRule="auto"/>
        <w:jc w:val="both"/>
        <w:rPr>
          <w:rFonts w:cs="Arial"/>
          <w:szCs w:val="20"/>
          <w:lang w:val="es-ES_tradnl"/>
        </w:rPr>
      </w:pPr>
    </w:p>
    <w:p w:rsidR="00970448" w:rsidRPr="004005ED" w:rsidRDefault="00475443" w:rsidP="00571229">
      <w:pPr>
        <w:numPr>
          <w:ilvl w:val="0"/>
          <w:numId w:val="1"/>
        </w:numPr>
        <w:tabs>
          <w:tab w:val="left" w:pos="567"/>
          <w:tab w:val="num" w:pos="720"/>
        </w:tabs>
        <w:autoSpaceDE w:val="0"/>
        <w:autoSpaceDN w:val="0"/>
        <w:adjustRightInd w:val="0"/>
        <w:spacing w:after="0" w:line="240" w:lineRule="auto"/>
        <w:jc w:val="both"/>
        <w:rPr>
          <w:rFonts w:cs="Verdana"/>
          <w:szCs w:val="20"/>
          <w:u w:val="single"/>
          <w:lang w:val="es-ES_tradnl"/>
        </w:rPr>
      </w:pPr>
      <w:bookmarkStart w:id="8" w:name="_Ref461115199"/>
      <w:bookmarkEnd w:id="4"/>
      <w:r w:rsidRPr="004005ED">
        <w:rPr>
          <w:rFonts w:cs="Verdana"/>
          <w:szCs w:val="20"/>
          <w:lang w:val="es-ES_tradnl"/>
        </w:rPr>
        <w:t xml:space="preserve">El </w:t>
      </w:r>
      <w:r w:rsidR="007A7C02" w:rsidRPr="004005ED">
        <w:rPr>
          <w:rFonts w:cs="Verdana"/>
          <w:szCs w:val="20"/>
          <w:lang w:val="es-ES_tradnl"/>
        </w:rPr>
        <w:t>8 de febrero de 2016</w:t>
      </w:r>
      <w:r w:rsidRPr="004005ED">
        <w:rPr>
          <w:rFonts w:cs="Verdana"/>
          <w:szCs w:val="20"/>
          <w:lang w:val="es-ES_tradnl"/>
        </w:rPr>
        <w:t xml:space="preserve"> </w:t>
      </w:r>
      <w:r w:rsidR="009D3F10" w:rsidRPr="004005ED">
        <w:rPr>
          <w:rFonts w:cs="Verdana"/>
          <w:szCs w:val="20"/>
          <w:lang w:val="es-ES_tradnl"/>
        </w:rPr>
        <w:t xml:space="preserve">los </w:t>
      </w:r>
      <w:r w:rsidRPr="004005ED">
        <w:rPr>
          <w:rFonts w:cs="Verdana"/>
          <w:szCs w:val="20"/>
          <w:lang w:val="es-ES_tradnl"/>
        </w:rPr>
        <w:t>representante</w:t>
      </w:r>
      <w:r w:rsidR="009D3F10" w:rsidRPr="004005ED">
        <w:rPr>
          <w:rFonts w:cs="Verdana"/>
          <w:szCs w:val="20"/>
          <w:lang w:val="es-ES_tradnl"/>
        </w:rPr>
        <w:t>s</w:t>
      </w:r>
      <w:r w:rsidR="009D3F10" w:rsidRPr="004005ED">
        <w:rPr>
          <w:rFonts w:eastAsia="Times"/>
          <w:bCs/>
          <w:szCs w:val="20"/>
          <w:lang w:val="es-ES_tradnl"/>
        </w:rPr>
        <w:t xml:space="preserve"> sometieron</w:t>
      </w:r>
      <w:r w:rsidRPr="004005ED">
        <w:rPr>
          <w:rFonts w:eastAsia="Times"/>
          <w:bCs/>
          <w:szCs w:val="20"/>
          <w:lang w:val="es-ES_tradnl"/>
        </w:rPr>
        <w:t xml:space="preserve"> una solicitud de interpretación</w:t>
      </w:r>
      <w:r w:rsidR="00C10360" w:rsidRPr="004005ED">
        <w:rPr>
          <w:rFonts w:eastAsia="Times"/>
          <w:bCs/>
          <w:szCs w:val="20"/>
          <w:lang w:val="es-ES_tradnl"/>
        </w:rPr>
        <w:t>, en relación</w:t>
      </w:r>
      <w:bookmarkEnd w:id="5"/>
      <w:bookmarkEnd w:id="6"/>
      <w:bookmarkEnd w:id="7"/>
      <w:r w:rsidR="00E047EE" w:rsidRPr="004005ED">
        <w:rPr>
          <w:rFonts w:eastAsia="Times"/>
          <w:bCs/>
          <w:szCs w:val="20"/>
          <w:lang w:val="es-ES_tradnl"/>
        </w:rPr>
        <w:t xml:space="preserve"> con </w:t>
      </w:r>
      <w:r w:rsidR="00FC6650" w:rsidRPr="004005ED">
        <w:rPr>
          <w:rFonts w:eastAsia="Times"/>
          <w:bCs/>
          <w:szCs w:val="20"/>
          <w:lang w:val="es-ES_tradnl"/>
        </w:rPr>
        <w:t>las cantidades otorgadas en la Sentencia por concepto de</w:t>
      </w:r>
      <w:r w:rsidR="00E047EE" w:rsidRPr="004005ED">
        <w:rPr>
          <w:rFonts w:eastAsia="Times"/>
          <w:bCs/>
          <w:szCs w:val="20"/>
          <w:lang w:val="es-ES_tradnl"/>
        </w:rPr>
        <w:t xml:space="preserve"> daño material</w:t>
      </w:r>
      <w:r w:rsidR="00FE0B0F" w:rsidRPr="004005ED">
        <w:rPr>
          <w:rFonts w:eastAsia="Times"/>
          <w:bCs/>
          <w:szCs w:val="20"/>
          <w:lang w:val="es-ES_tradnl"/>
        </w:rPr>
        <w:t>.</w:t>
      </w:r>
      <w:bookmarkEnd w:id="8"/>
      <w:r w:rsidR="00E047EE" w:rsidRPr="004005ED">
        <w:rPr>
          <w:rFonts w:eastAsia="Times"/>
          <w:bCs/>
          <w:szCs w:val="20"/>
          <w:lang w:val="es-ES_tradnl"/>
        </w:rPr>
        <w:t xml:space="preserve"> </w:t>
      </w:r>
    </w:p>
    <w:p w:rsidR="004005ED" w:rsidRPr="004005ED" w:rsidRDefault="004005ED" w:rsidP="004005ED">
      <w:pPr>
        <w:tabs>
          <w:tab w:val="left" w:pos="567"/>
        </w:tabs>
        <w:autoSpaceDE w:val="0"/>
        <w:autoSpaceDN w:val="0"/>
        <w:adjustRightInd w:val="0"/>
        <w:spacing w:after="0" w:line="240" w:lineRule="auto"/>
        <w:jc w:val="both"/>
        <w:rPr>
          <w:rFonts w:cs="Verdana"/>
          <w:szCs w:val="20"/>
          <w:u w:val="single"/>
          <w:lang w:val="es-ES_tradnl"/>
        </w:rPr>
      </w:pPr>
    </w:p>
    <w:p w:rsidR="00970448" w:rsidRPr="00BE5AE1" w:rsidRDefault="00970448" w:rsidP="00571229">
      <w:pPr>
        <w:numPr>
          <w:ilvl w:val="0"/>
          <w:numId w:val="1"/>
        </w:numPr>
        <w:tabs>
          <w:tab w:val="left" w:pos="567"/>
          <w:tab w:val="num" w:pos="720"/>
        </w:tabs>
        <w:autoSpaceDE w:val="0"/>
        <w:autoSpaceDN w:val="0"/>
        <w:adjustRightInd w:val="0"/>
        <w:spacing w:after="0" w:line="240" w:lineRule="auto"/>
        <w:jc w:val="both"/>
        <w:rPr>
          <w:rFonts w:cs="Verdana"/>
          <w:szCs w:val="20"/>
          <w:lang w:val="es-ES_tradnl"/>
        </w:rPr>
      </w:pPr>
      <w:bookmarkStart w:id="9" w:name="_Ref403065790"/>
      <w:r w:rsidRPr="00BE5AE1">
        <w:rPr>
          <w:rFonts w:cs="Verdana"/>
          <w:szCs w:val="20"/>
          <w:lang w:val="es-ES_tradnl"/>
        </w:rPr>
        <w:t xml:space="preserve">El </w:t>
      </w:r>
      <w:r w:rsidR="007A7C02" w:rsidRPr="00BE5AE1">
        <w:rPr>
          <w:rFonts w:cs="Verdana"/>
          <w:szCs w:val="20"/>
          <w:lang w:val="es-ES_tradnl"/>
        </w:rPr>
        <w:t>16</w:t>
      </w:r>
      <w:r w:rsidR="00570E40" w:rsidRPr="00BE5AE1">
        <w:rPr>
          <w:rFonts w:cs="Verdana"/>
          <w:szCs w:val="20"/>
          <w:lang w:val="es-ES_tradnl"/>
        </w:rPr>
        <w:t xml:space="preserve"> de </w:t>
      </w:r>
      <w:r w:rsidR="007A7C02" w:rsidRPr="00BE5AE1">
        <w:rPr>
          <w:rFonts w:cs="Verdana"/>
          <w:szCs w:val="20"/>
          <w:lang w:val="es-ES_tradnl"/>
        </w:rPr>
        <w:t>febrero de 2016</w:t>
      </w:r>
      <w:r w:rsidRPr="00BE5AE1">
        <w:rPr>
          <w:rFonts w:cs="Verdana"/>
          <w:szCs w:val="20"/>
          <w:lang w:val="es-ES_tradnl"/>
        </w:rPr>
        <w:t>, de conformidad con el artículo 68.2 del Reglamento y siguiendo instrucciones del Presidente de la Corte, la Secretaría transmitió la referida solicitud</w:t>
      </w:r>
      <w:r w:rsidR="00FC6650" w:rsidRPr="00BE5AE1">
        <w:rPr>
          <w:rFonts w:cs="Verdana"/>
          <w:szCs w:val="20"/>
          <w:lang w:val="es-ES_tradnl"/>
        </w:rPr>
        <w:t xml:space="preserve"> </w:t>
      </w:r>
      <w:r w:rsidRPr="00BE5AE1">
        <w:rPr>
          <w:rFonts w:cs="Verdana"/>
          <w:szCs w:val="20"/>
          <w:lang w:val="es-ES_tradnl"/>
        </w:rPr>
        <w:t xml:space="preserve">de interpretación </w:t>
      </w:r>
      <w:r w:rsidR="00BE46CC" w:rsidRPr="00BE5AE1">
        <w:rPr>
          <w:rFonts w:cs="Verdana"/>
          <w:szCs w:val="20"/>
          <w:lang w:val="es-ES_tradnl"/>
        </w:rPr>
        <w:t>a</w:t>
      </w:r>
      <w:r w:rsidRPr="00BE5AE1">
        <w:rPr>
          <w:rFonts w:cs="Verdana"/>
          <w:szCs w:val="20"/>
          <w:lang w:val="es-ES_tradnl"/>
        </w:rPr>
        <w:t>l Estado</w:t>
      </w:r>
      <w:r w:rsidR="00BE46CC" w:rsidRPr="00BE5AE1">
        <w:rPr>
          <w:rFonts w:cs="Verdana"/>
          <w:szCs w:val="20"/>
          <w:lang w:val="es-ES_tradnl"/>
        </w:rPr>
        <w:t xml:space="preserve"> y</w:t>
      </w:r>
      <w:r w:rsidRPr="00BE5AE1">
        <w:rPr>
          <w:rFonts w:cs="Verdana"/>
          <w:szCs w:val="20"/>
          <w:lang w:val="es-ES_tradnl"/>
        </w:rPr>
        <w:t xml:space="preserve"> a la Comisión</w:t>
      </w:r>
      <w:r w:rsidR="00FC6650" w:rsidRPr="00BE5AE1">
        <w:rPr>
          <w:rFonts w:cs="Verdana"/>
          <w:szCs w:val="20"/>
          <w:lang w:val="es-ES_tradnl"/>
        </w:rPr>
        <w:t>, así como el escrito del Estado (</w:t>
      </w:r>
      <w:r w:rsidR="00FC6650" w:rsidRPr="00BE5AE1">
        <w:rPr>
          <w:rFonts w:cs="Verdana"/>
          <w:i/>
          <w:szCs w:val="20"/>
          <w:lang w:val="es-ES_tradnl"/>
        </w:rPr>
        <w:t>supra</w:t>
      </w:r>
      <w:r w:rsidR="00FE0B0F" w:rsidRPr="00BE5AE1">
        <w:rPr>
          <w:rFonts w:cs="Verdana"/>
          <w:i/>
          <w:szCs w:val="20"/>
          <w:lang w:val="es-ES_tradnl"/>
        </w:rPr>
        <w:t xml:space="preserve"> </w:t>
      </w:r>
      <w:r w:rsidR="00FC6650" w:rsidRPr="00BE5AE1">
        <w:rPr>
          <w:rFonts w:cs="Verdana"/>
          <w:szCs w:val="20"/>
          <w:lang w:val="es-ES_tradnl"/>
        </w:rPr>
        <w:t xml:space="preserve">párr. </w:t>
      </w:r>
      <w:r w:rsidR="00F81484">
        <w:rPr>
          <w:rFonts w:cs="Verdana"/>
          <w:szCs w:val="20"/>
          <w:lang w:val="es-ES_tradnl"/>
        </w:rPr>
        <w:fldChar w:fldCharType="begin"/>
      </w:r>
      <w:r w:rsidR="00F81484">
        <w:rPr>
          <w:rFonts w:cs="Verdana"/>
          <w:szCs w:val="20"/>
          <w:lang w:val="es-ES_tradnl"/>
        </w:rPr>
        <w:instrText xml:space="preserve"> REF _Ref461535061 \r \h </w:instrText>
      </w:r>
      <w:r w:rsidR="00F81484">
        <w:rPr>
          <w:rFonts w:cs="Verdana"/>
          <w:szCs w:val="20"/>
          <w:lang w:val="es-ES_tradnl"/>
        </w:rPr>
      </w:r>
      <w:r w:rsidR="00F81484">
        <w:rPr>
          <w:rFonts w:cs="Verdana"/>
          <w:szCs w:val="20"/>
          <w:lang w:val="es-ES_tradnl"/>
        </w:rPr>
        <w:fldChar w:fldCharType="separate"/>
      </w:r>
      <w:r w:rsidR="00E54675">
        <w:rPr>
          <w:rFonts w:cs="Verdana"/>
          <w:szCs w:val="20"/>
          <w:lang w:val="es-ES_tradnl"/>
        </w:rPr>
        <w:t>2</w:t>
      </w:r>
      <w:r w:rsidR="00F81484">
        <w:rPr>
          <w:rFonts w:cs="Verdana"/>
          <w:szCs w:val="20"/>
          <w:lang w:val="es-ES_tradnl"/>
        </w:rPr>
        <w:fldChar w:fldCharType="end"/>
      </w:r>
      <w:r w:rsidR="00FC6650" w:rsidRPr="00BE5AE1">
        <w:rPr>
          <w:rFonts w:cs="Verdana"/>
          <w:szCs w:val="20"/>
          <w:lang w:val="es-ES_tradnl"/>
        </w:rPr>
        <w:t>), a los representantes y a la Comisión</w:t>
      </w:r>
      <w:r w:rsidRPr="00BE5AE1">
        <w:rPr>
          <w:rFonts w:cs="Verdana"/>
          <w:szCs w:val="20"/>
          <w:lang w:val="es-ES_tradnl"/>
        </w:rPr>
        <w:t xml:space="preserve"> y les otorgó un plazo hasta el </w:t>
      </w:r>
      <w:r w:rsidR="007A7C02" w:rsidRPr="00BE5AE1">
        <w:rPr>
          <w:rFonts w:cs="Verdana"/>
          <w:szCs w:val="20"/>
          <w:lang w:val="es-ES_tradnl"/>
        </w:rPr>
        <w:t>14</w:t>
      </w:r>
      <w:r w:rsidR="00BE46CC" w:rsidRPr="00BE5AE1">
        <w:rPr>
          <w:rFonts w:cs="Verdana"/>
          <w:szCs w:val="20"/>
          <w:lang w:val="es-ES_tradnl"/>
        </w:rPr>
        <w:t xml:space="preserve"> de </w:t>
      </w:r>
      <w:r w:rsidR="007A7C02" w:rsidRPr="00BE5AE1">
        <w:rPr>
          <w:rFonts w:cs="Verdana"/>
          <w:szCs w:val="20"/>
          <w:lang w:val="es-ES_tradnl"/>
        </w:rPr>
        <w:t>marzo</w:t>
      </w:r>
      <w:r w:rsidR="00BE46CC" w:rsidRPr="00BE5AE1">
        <w:rPr>
          <w:rFonts w:cs="Verdana"/>
          <w:szCs w:val="20"/>
          <w:lang w:val="es-ES_tradnl"/>
        </w:rPr>
        <w:t xml:space="preserve"> de 201</w:t>
      </w:r>
      <w:r w:rsidR="00FB40E8">
        <w:rPr>
          <w:rFonts w:cs="Verdana"/>
          <w:szCs w:val="20"/>
          <w:lang w:val="es-ES_tradnl"/>
        </w:rPr>
        <w:t>6</w:t>
      </w:r>
      <w:r w:rsidRPr="00BE5AE1">
        <w:rPr>
          <w:rFonts w:cs="Verdana"/>
          <w:szCs w:val="20"/>
          <w:lang w:val="es-ES_tradnl"/>
        </w:rPr>
        <w:t xml:space="preserve"> para presentar las </w:t>
      </w:r>
      <w:r w:rsidR="00FE0B0F" w:rsidRPr="00BE5AE1">
        <w:rPr>
          <w:rFonts w:cs="Verdana"/>
          <w:szCs w:val="20"/>
          <w:lang w:val="es-ES_tradnl"/>
        </w:rPr>
        <w:t>observaciones</w:t>
      </w:r>
      <w:r w:rsidRPr="00BE5AE1">
        <w:rPr>
          <w:rFonts w:cs="Verdana"/>
          <w:szCs w:val="20"/>
          <w:lang w:val="es-ES_tradnl"/>
        </w:rPr>
        <w:t xml:space="preserve"> que estimaran pertinentes</w:t>
      </w:r>
      <w:r w:rsidR="00FE0B0F" w:rsidRPr="00BE5AE1">
        <w:rPr>
          <w:rFonts w:cs="Verdana"/>
          <w:szCs w:val="20"/>
          <w:lang w:val="es-ES_tradnl"/>
        </w:rPr>
        <w:t>.</w:t>
      </w:r>
      <w:r w:rsidR="00E047EE" w:rsidRPr="00BE5AE1">
        <w:rPr>
          <w:rFonts w:cs="Verdana"/>
          <w:szCs w:val="20"/>
          <w:lang w:val="es-ES_tradnl"/>
        </w:rPr>
        <w:t xml:space="preserve"> </w:t>
      </w:r>
      <w:bookmarkEnd w:id="9"/>
    </w:p>
    <w:p w:rsidR="00970448" w:rsidRPr="00BE5AE1" w:rsidRDefault="00970448" w:rsidP="00571229">
      <w:pPr>
        <w:tabs>
          <w:tab w:val="left" w:pos="567"/>
        </w:tabs>
        <w:autoSpaceDE w:val="0"/>
        <w:autoSpaceDN w:val="0"/>
        <w:adjustRightInd w:val="0"/>
        <w:spacing w:after="0" w:line="240" w:lineRule="auto"/>
        <w:jc w:val="both"/>
        <w:rPr>
          <w:rFonts w:cs="Verdana"/>
          <w:szCs w:val="20"/>
          <w:lang w:val="es-ES_tradnl"/>
        </w:rPr>
      </w:pPr>
    </w:p>
    <w:p w:rsidR="002E76B8" w:rsidRPr="00BE5AE1" w:rsidRDefault="004B12BF" w:rsidP="00571229">
      <w:pPr>
        <w:numPr>
          <w:ilvl w:val="0"/>
          <w:numId w:val="1"/>
        </w:numPr>
        <w:tabs>
          <w:tab w:val="left" w:pos="567"/>
          <w:tab w:val="num" w:pos="720"/>
        </w:tabs>
        <w:autoSpaceDE w:val="0"/>
        <w:autoSpaceDN w:val="0"/>
        <w:adjustRightInd w:val="0"/>
        <w:spacing w:after="0" w:line="240" w:lineRule="auto"/>
        <w:jc w:val="both"/>
        <w:rPr>
          <w:rFonts w:cs="Verdana"/>
          <w:b/>
          <w:color w:val="00B050"/>
          <w:szCs w:val="20"/>
          <w:lang w:val="es-ES_tradnl"/>
        </w:rPr>
      </w:pPr>
      <w:bookmarkStart w:id="10" w:name="_Ref324683819"/>
      <w:bookmarkStart w:id="11" w:name="_Ref364679847"/>
      <w:r w:rsidRPr="00BE5AE1">
        <w:rPr>
          <w:rFonts w:cs="Verdana"/>
          <w:szCs w:val="20"/>
          <w:lang w:val="es-ES_tradnl"/>
        </w:rPr>
        <w:t xml:space="preserve">El </w:t>
      </w:r>
      <w:r w:rsidR="00FC6650" w:rsidRPr="00BE5AE1">
        <w:rPr>
          <w:rFonts w:cs="Verdana"/>
          <w:szCs w:val="20"/>
          <w:lang w:val="es-ES_tradnl"/>
        </w:rPr>
        <w:t xml:space="preserve">14 marzo </w:t>
      </w:r>
      <w:r w:rsidR="00BE2531" w:rsidRPr="00BE5AE1">
        <w:rPr>
          <w:rFonts w:cs="Verdana"/>
          <w:szCs w:val="20"/>
          <w:lang w:val="es-ES_tradnl"/>
        </w:rPr>
        <w:t>de 2016</w:t>
      </w:r>
      <w:r w:rsidR="00BE46CC" w:rsidRPr="00BE5AE1">
        <w:rPr>
          <w:rFonts w:cs="Verdana"/>
          <w:szCs w:val="20"/>
          <w:lang w:val="es-ES_tradnl"/>
        </w:rPr>
        <w:t xml:space="preserve"> </w:t>
      </w:r>
      <w:r w:rsidR="00970448" w:rsidRPr="00BE5AE1">
        <w:rPr>
          <w:rFonts w:cs="Verdana"/>
          <w:szCs w:val="20"/>
          <w:lang w:val="es-ES_tradnl"/>
        </w:rPr>
        <w:t xml:space="preserve">la Comisión y el Estado presentaron sus </w:t>
      </w:r>
      <w:r w:rsidR="00FE0B0F" w:rsidRPr="00BE5AE1">
        <w:rPr>
          <w:rFonts w:cs="Verdana"/>
          <w:szCs w:val="20"/>
          <w:lang w:val="es-ES_tradnl"/>
        </w:rPr>
        <w:t xml:space="preserve">observaciones </w:t>
      </w:r>
      <w:r w:rsidR="006D36FA" w:rsidRPr="00BE5AE1">
        <w:rPr>
          <w:rFonts w:cs="Verdana"/>
          <w:szCs w:val="20"/>
          <w:lang w:val="es-ES_tradnl"/>
        </w:rPr>
        <w:t xml:space="preserve">a </w:t>
      </w:r>
      <w:r w:rsidR="00970448" w:rsidRPr="00BE5AE1">
        <w:rPr>
          <w:rFonts w:cs="Verdana"/>
          <w:szCs w:val="20"/>
          <w:lang w:val="es-ES_tradnl"/>
        </w:rPr>
        <w:t>la referida solicitud</w:t>
      </w:r>
      <w:r w:rsidR="00FC6650" w:rsidRPr="00BE5AE1">
        <w:rPr>
          <w:rFonts w:cs="Verdana"/>
          <w:szCs w:val="20"/>
          <w:lang w:val="es-ES_tradnl"/>
        </w:rPr>
        <w:t xml:space="preserve"> </w:t>
      </w:r>
      <w:r w:rsidR="00970448" w:rsidRPr="00BE5AE1">
        <w:rPr>
          <w:rFonts w:cs="Verdana"/>
          <w:szCs w:val="20"/>
          <w:lang w:val="es-ES_tradnl"/>
        </w:rPr>
        <w:t>de interpretación</w:t>
      </w:r>
      <w:bookmarkEnd w:id="10"/>
      <w:bookmarkEnd w:id="11"/>
      <w:r w:rsidR="00FC6650" w:rsidRPr="00BE5AE1">
        <w:rPr>
          <w:rFonts w:cs="Verdana"/>
          <w:szCs w:val="20"/>
          <w:lang w:val="es-ES_tradnl"/>
        </w:rPr>
        <w:t xml:space="preserve"> </w:t>
      </w:r>
      <w:r w:rsidR="00133A8F" w:rsidRPr="00BE5AE1">
        <w:rPr>
          <w:rFonts w:cs="Verdana"/>
          <w:szCs w:val="20"/>
          <w:lang w:val="es-ES_tradnl"/>
        </w:rPr>
        <w:t xml:space="preserve">de los representantes </w:t>
      </w:r>
      <w:r w:rsidR="00FC6650" w:rsidRPr="00BE5AE1">
        <w:rPr>
          <w:rFonts w:cs="Verdana"/>
          <w:szCs w:val="20"/>
          <w:lang w:val="es-ES_tradnl"/>
        </w:rPr>
        <w:t>y</w:t>
      </w:r>
      <w:r w:rsidR="00133A8F" w:rsidRPr="00BE5AE1">
        <w:rPr>
          <w:rFonts w:cs="Verdana"/>
          <w:szCs w:val="20"/>
          <w:lang w:val="es-ES_tradnl"/>
        </w:rPr>
        <w:t>, en el caso de la Comisión, también</w:t>
      </w:r>
      <w:r w:rsidR="00FC6650" w:rsidRPr="00BE5AE1">
        <w:rPr>
          <w:rFonts w:cs="Verdana"/>
          <w:szCs w:val="20"/>
          <w:lang w:val="es-ES_tradnl"/>
        </w:rPr>
        <w:t xml:space="preserve"> </w:t>
      </w:r>
      <w:r w:rsidR="00133A8F" w:rsidRPr="00BE5AE1">
        <w:rPr>
          <w:rFonts w:cs="Verdana"/>
          <w:szCs w:val="20"/>
          <w:lang w:val="es-ES_tradnl"/>
        </w:rPr>
        <w:t xml:space="preserve">al </w:t>
      </w:r>
      <w:r w:rsidR="00FC6650" w:rsidRPr="00BE5AE1">
        <w:rPr>
          <w:rFonts w:cs="Verdana"/>
          <w:szCs w:val="20"/>
          <w:lang w:val="es-ES_tradnl"/>
        </w:rPr>
        <w:t>escrito del Estado</w:t>
      </w:r>
      <w:r w:rsidR="00156E19" w:rsidRPr="00BE5AE1">
        <w:rPr>
          <w:rStyle w:val="FootnoteReference"/>
          <w:rFonts w:cs="Verdana"/>
          <w:szCs w:val="20"/>
          <w:lang w:val="es-ES_tradnl"/>
        </w:rPr>
        <w:footnoteReference w:id="2"/>
      </w:r>
      <w:r w:rsidR="00FC6650" w:rsidRPr="00BE5AE1">
        <w:rPr>
          <w:rFonts w:cs="Verdana"/>
          <w:szCs w:val="20"/>
          <w:lang w:val="es-ES_tradnl"/>
        </w:rPr>
        <w:t xml:space="preserve">. </w:t>
      </w:r>
    </w:p>
    <w:p w:rsidR="00D83958" w:rsidRDefault="00D83958" w:rsidP="00571229">
      <w:pPr>
        <w:tabs>
          <w:tab w:val="left" w:pos="567"/>
        </w:tabs>
        <w:autoSpaceDE w:val="0"/>
        <w:autoSpaceDN w:val="0"/>
        <w:adjustRightInd w:val="0"/>
        <w:spacing w:after="0" w:line="240" w:lineRule="auto"/>
        <w:jc w:val="both"/>
        <w:rPr>
          <w:rFonts w:cs="Verdana"/>
          <w:b/>
          <w:color w:val="00B050"/>
          <w:szCs w:val="20"/>
          <w:lang w:val="es-ES_tradnl"/>
        </w:rPr>
      </w:pPr>
    </w:p>
    <w:p w:rsidR="006E4F7C" w:rsidRPr="00BE5AE1" w:rsidRDefault="006E4F7C" w:rsidP="00571229">
      <w:pPr>
        <w:tabs>
          <w:tab w:val="left" w:pos="567"/>
        </w:tabs>
        <w:autoSpaceDE w:val="0"/>
        <w:autoSpaceDN w:val="0"/>
        <w:adjustRightInd w:val="0"/>
        <w:spacing w:after="0" w:line="240" w:lineRule="auto"/>
        <w:jc w:val="both"/>
        <w:rPr>
          <w:rFonts w:cs="Verdana"/>
          <w:b/>
          <w:color w:val="00B050"/>
          <w:szCs w:val="20"/>
          <w:lang w:val="es-ES_tradnl"/>
        </w:rPr>
      </w:pPr>
    </w:p>
    <w:p w:rsidR="00970448" w:rsidRPr="00BE5AE1" w:rsidRDefault="00970448" w:rsidP="00571229">
      <w:pPr>
        <w:tabs>
          <w:tab w:val="left" w:pos="567"/>
        </w:tabs>
        <w:spacing w:after="0" w:line="240" w:lineRule="auto"/>
        <w:jc w:val="center"/>
        <w:rPr>
          <w:rFonts w:eastAsia="Times"/>
          <w:b/>
          <w:bCs/>
          <w:szCs w:val="20"/>
          <w:lang w:val="es-ES_tradnl"/>
        </w:rPr>
      </w:pPr>
      <w:r w:rsidRPr="00BE5AE1">
        <w:rPr>
          <w:rFonts w:eastAsia="Times"/>
          <w:b/>
          <w:bCs/>
          <w:szCs w:val="20"/>
          <w:lang w:val="es-ES_tradnl"/>
        </w:rPr>
        <w:t>II</w:t>
      </w:r>
    </w:p>
    <w:p w:rsidR="00970448" w:rsidRPr="00BE5AE1" w:rsidRDefault="00970448" w:rsidP="00571229">
      <w:pPr>
        <w:tabs>
          <w:tab w:val="left" w:pos="567"/>
        </w:tabs>
        <w:spacing w:after="0" w:line="240" w:lineRule="auto"/>
        <w:jc w:val="center"/>
        <w:rPr>
          <w:rFonts w:eastAsia="Times"/>
          <w:b/>
          <w:bCs/>
          <w:szCs w:val="20"/>
          <w:lang w:val="es-ES_tradnl"/>
        </w:rPr>
      </w:pPr>
      <w:r w:rsidRPr="00BE5AE1">
        <w:rPr>
          <w:rFonts w:eastAsia="Times"/>
          <w:b/>
          <w:bCs/>
          <w:szCs w:val="20"/>
          <w:lang w:val="es-ES_tradnl"/>
        </w:rPr>
        <w:t>COMPETENCIA</w:t>
      </w:r>
    </w:p>
    <w:p w:rsidR="00970448" w:rsidRPr="00BE5AE1" w:rsidRDefault="00970448" w:rsidP="00571229">
      <w:pPr>
        <w:tabs>
          <w:tab w:val="left" w:pos="567"/>
        </w:tabs>
        <w:spacing w:after="0" w:line="240" w:lineRule="auto"/>
        <w:ind w:left="720"/>
        <w:jc w:val="both"/>
        <w:rPr>
          <w:rFonts w:eastAsia="Batang"/>
          <w:szCs w:val="24"/>
          <w:lang w:val="es-ES_tradnl"/>
        </w:rPr>
      </w:pPr>
    </w:p>
    <w:p w:rsidR="00970448" w:rsidRPr="00BE5AE1" w:rsidRDefault="00970448" w:rsidP="00571229">
      <w:pPr>
        <w:numPr>
          <w:ilvl w:val="0"/>
          <w:numId w:val="1"/>
        </w:numPr>
        <w:tabs>
          <w:tab w:val="left" w:pos="567"/>
          <w:tab w:val="num" w:pos="720"/>
        </w:tabs>
        <w:autoSpaceDE w:val="0"/>
        <w:autoSpaceDN w:val="0"/>
        <w:adjustRightInd w:val="0"/>
        <w:spacing w:after="0" w:line="240" w:lineRule="auto"/>
        <w:jc w:val="both"/>
        <w:rPr>
          <w:rFonts w:eastAsia="Times"/>
          <w:bCs/>
          <w:szCs w:val="20"/>
          <w:lang w:val="es-ES_tradnl"/>
        </w:rPr>
      </w:pPr>
      <w:bookmarkStart w:id="12" w:name="_Ref361668910"/>
      <w:r w:rsidRPr="00BE5AE1">
        <w:rPr>
          <w:rFonts w:eastAsia="Times"/>
          <w:szCs w:val="20"/>
          <w:lang w:val="es-ES_tradnl"/>
        </w:rPr>
        <w:t>El artículo 67 de la Convención establece que:</w:t>
      </w:r>
      <w:bookmarkEnd w:id="12"/>
    </w:p>
    <w:p w:rsidR="00970448" w:rsidRPr="00BE5AE1" w:rsidRDefault="00970448" w:rsidP="00571229">
      <w:pPr>
        <w:tabs>
          <w:tab w:val="left" w:pos="567"/>
        </w:tabs>
        <w:autoSpaceDE w:val="0"/>
        <w:autoSpaceDN w:val="0"/>
        <w:adjustRightInd w:val="0"/>
        <w:spacing w:after="0" w:line="240" w:lineRule="auto"/>
        <w:jc w:val="both"/>
        <w:rPr>
          <w:rFonts w:eastAsia="Times"/>
          <w:bCs/>
          <w:szCs w:val="20"/>
          <w:lang w:val="es-ES_tradnl"/>
        </w:rPr>
      </w:pPr>
    </w:p>
    <w:p w:rsidR="00970448" w:rsidRPr="00BE5AE1" w:rsidRDefault="00970448" w:rsidP="00571229">
      <w:pPr>
        <w:tabs>
          <w:tab w:val="left" w:pos="567"/>
        </w:tabs>
        <w:spacing w:after="0" w:line="240" w:lineRule="auto"/>
        <w:ind w:left="567" w:right="639"/>
        <w:jc w:val="both"/>
        <w:rPr>
          <w:rFonts w:eastAsia="Times"/>
          <w:sz w:val="18"/>
          <w:szCs w:val="18"/>
          <w:lang w:val="es-ES_tradnl"/>
        </w:rPr>
      </w:pPr>
      <w:r w:rsidRPr="00BE5AE1">
        <w:rPr>
          <w:rFonts w:eastAsia="Times"/>
          <w:sz w:val="18"/>
          <w:szCs w:val="18"/>
          <w:lang w:val="es-ES_tradnl"/>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FB40E8" w:rsidRPr="00BE5AE1" w:rsidRDefault="00FB40E8" w:rsidP="00571229">
      <w:pPr>
        <w:tabs>
          <w:tab w:val="left" w:pos="567"/>
        </w:tabs>
        <w:spacing w:after="0" w:line="240" w:lineRule="auto"/>
        <w:ind w:left="720" w:right="639"/>
        <w:jc w:val="both"/>
        <w:rPr>
          <w:rFonts w:eastAsia="Times"/>
          <w:szCs w:val="20"/>
          <w:lang w:val="es-ES_tradnl"/>
        </w:rPr>
      </w:pPr>
    </w:p>
    <w:p w:rsidR="006D7279" w:rsidRPr="00BE5AE1" w:rsidRDefault="00970448" w:rsidP="00571229">
      <w:pPr>
        <w:numPr>
          <w:ilvl w:val="0"/>
          <w:numId w:val="1"/>
        </w:numPr>
        <w:tabs>
          <w:tab w:val="left" w:pos="567"/>
          <w:tab w:val="num" w:pos="720"/>
        </w:tabs>
        <w:autoSpaceDE w:val="0"/>
        <w:autoSpaceDN w:val="0"/>
        <w:adjustRightInd w:val="0"/>
        <w:spacing w:after="0" w:line="240" w:lineRule="auto"/>
        <w:jc w:val="both"/>
        <w:rPr>
          <w:rFonts w:eastAsia="Times"/>
          <w:bCs/>
          <w:szCs w:val="20"/>
          <w:lang w:val="es-ES_tradnl"/>
        </w:rPr>
      </w:pPr>
      <w:r w:rsidRPr="00BE5AE1">
        <w:rPr>
          <w:rFonts w:eastAsia="Times"/>
          <w:szCs w:val="20"/>
          <w:lang w:val="es-ES_tradnl"/>
        </w:rPr>
        <w:t>De conformidad con el artículo citado, la Corte es competente para interpretar sus fallos. Para realizar el examen de la</w:t>
      </w:r>
      <w:r w:rsidR="006D7279" w:rsidRPr="00BE5AE1">
        <w:rPr>
          <w:rFonts w:eastAsia="Times"/>
          <w:szCs w:val="20"/>
          <w:lang w:val="es-ES_tradnl"/>
        </w:rPr>
        <w:t>s</w:t>
      </w:r>
      <w:r w:rsidRPr="00BE5AE1">
        <w:rPr>
          <w:rFonts w:eastAsia="Times"/>
          <w:szCs w:val="20"/>
          <w:lang w:val="es-ES_tradnl"/>
        </w:rPr>
        <w:t xml:space="preserve"> solicitud</w:t>
      </w:r>
      <w:r w:rsidR="006D7279" w:rsidRPr="00BE5AE1">
        <w:rPr>
          <w:rFonts w:eastAsia="Times"/>
          <w:szCs w:val="20"/>
          <w:lang w:val="es-ES_tradnl"/>
        </w:rPr>
        <w:t>es</w:t>
      </w:r>
      <w:r w:rsidRPr="00BE5AE1">
        <w:rPr>
          <w:rFonts w:eastAsia="Times"/>
          <w:szCs w:val="20"/>
          <w:lang w:val="es-ES_tradnl"/>
        </w:rPr>
        <w:t xml:space="preserve"> de interpretación y resolver lo que a este respecto corresponda, el Tribunal debe tener, si es posible, la misma composición que tenía al dictar la Sentencia respectiva, de acuerdo con el artículo 68.3 del Reglamento. En es</w:t>
      </w:r>
      <w:r w:rsidR="00374259" w:rsidRPr="00BE5AE1">
        <w:rPr>
          <w:rFonts w:eastAsia="Times"/>
          <w:szCs w:val="20"/>
          <w:lang w:val="es-ES_tradnl"/>
        </w:rPr>
        <w:t>ta ocasión, la Corte se integra</w:t>
      </w:r>
      <w:r w:rsidR="007A7C02" w:rsidRPr="00BE5AE1">
        <w:t xml:space="preserve"> </w:t>
      </w:r>
      <w:r w:rsidRPr="00BE5AE1">
        <w:rPr>
          <w:rFonts w:eastAsia="Times"/>
          <w:szCs w:val="20"/>
          <w:lang w:val="es-ES_tradnl"/>
        </w:rPr>
        <w:t>con los jueces que dictaron la Sentencia cuya interpret</w:t>
      </w:r>
      <w:r w:rsidR="009D3F10" w:rsidRPr="00BE5AE1">
        <w:rPr>
          <w:rFonts w:eastAsia="Times"/>
          <w:szCs w:val="20"/>
          <w:lang w:val="es-ES_tradnl"/>
        </w:rPr>
        <w:t xml:space="preserve">ación </w:t>
      </w:r>
      <w:r w:rsidR="006D7279" w:rsidRPr="00BE5AE1">
        <w:rPr>
          <w:rFonts w:eastAsia="Times"/>
          <w:szCs w:val="20"/>
          <w:lang w:val="es-ES_tradnl"/>
        </w:rPr>
        <w:t>ha sido solicitada</w:t>
      </w:r>
      <w:r w:rsidRPr="00BE5AE1">
        <w:rPr>
          <w:rFonts w:eastAsia="Times"/>
          <w:szCs w:val="20"/>
          <w:lang w:val="es-ES_tradnl"/>
        </w:rPr>
        <w:t xml:space="preserve">. </w:t>
      </w:r>
    </w:p>
    <w:p w:rsidR="00E77DBC" w:rsidRDefault="00E77DBC" w:rsidP="00571229">
      <w:pPr>
        <w:pStyle w:val="NoSpacing"/>
        <w:rPr>
          <w:rFonts w:ascii="Verdana" w:hAnsi="Verdana" w:cs="Verdana"/>
          <w:b/>
          <w:sz w:val="20"/>
          <w:szCs w:val="20"/>
          <w:lang w:val="es-ES_tradnl"/>
        </w:rPr>
      </w:pPr>
    </w:p>
    <w:p w:rsidR="006E4F7C" w:rsidRDefault="006E4F7C" w:rsidP="00571229">
      <w:pPr>
        <w:pStyle w:val="NoSpacing"/>
        <w:rPr>
          <w:rFonts w:ascii="Verdana" w:hAnsi="Verdana" w:cs="Verdana"/>
          <w:b/>
          <w:sz w:val="20"/>
          <w:szCs w:val="20"/>
          <w:lang w:val="es-ES_tradnl"/>
        </w:rPr>
      </w:pPr>
    </w:p>
    <w:p w:rsidR="006E4F7C" w:rsidRDefault="006E4F7C" w:rsidP="00571229">
      <w:pPr>
        <w:pStyle w:val="NoSpacing"/>
        <w:rPr>
          <w:rFonts w:ascii="Verdana" w:hAnsi="Verdana" w:cs="Verdana"/>
          <w:b/>
          <w:sz w:val="20"/>
          <w:szCs w:val="20"/>
          <w:lang w:val="es-ES_tradnl"/>
        </w:rPr>
      </w:pPr>
    </w:p>
    <w:p w:rsidR="006E4F7C" w:rsidRPr="00BE5AE1" w:rsidRDefault="006E4F7C" w:rsidP="00571229">
      <w:pPr>
        <w:pStyle w:val="NoSpacing"/>
        <w:rPr>
          <w:rFonts w:ascii="Verdana" w:hAnsi="Verdana" w:cs="Verdana"/>
          <w:b/>
          <w:sz w:val="20"/>
          <w:szCs w:val="20"/>
          <w:lang w:val="es-ES_tradnl"/>
        </w:rPr>
      </w:pPr>
    </w:p>
    <w:p w:rsidR="00E723EE" w:rsidRPr="00BE5AE1" w:rsidRDefault="00E723EE" w:rsidP="00571229">
      <w:pPr>
        <w:pStyle w:val="NoSpacing"/>
        <w:jc w:val="center"/>
        <w:rPr>
          <w:rFonts w:ascii="Verdana" w:hAnsi="Verdana" w:cs="Verdana"/>
          <w:b/>
          <w:sz w:val="20"/>
          <w:szCs w:val="20"/>
          <w:lang w:val="es-ES_tradnl"/>
        </w:rPr>
      </w:pPr>
      <w:r w:rsidRPr="00BE5AE1">
        <w:rPr>
          <w:rFonts w:ascii="Verdana" w:hAnsi="Verdana" w:cs="Verdana"/>
          <w:b/>
          <w:sz w:val="20"/>
          <w:szCs w:val="20"/>
          <w:lang w:val="es-ES_tradnl"/>
        </w:rPr>
        <w:lastRenderedPageBreak/>
        <w:t>III</w:t>
      </w:r>
    </w:p>
    <w:p w:rsidR="000651F9" w:rsidRPr="00BE5AE1" w:rsidRDefault="00E12C9E" w:rsidP="00571229">
      <w:pPr>
        <w:pStyle w:val="NoSpacing"/>
        <w:jc w:val="center"/>
        <w:rPr>
          <w:rFonts w:ascii="Verdana" w:hAnsi="Verdana" w:cs="Verdana"/>
          <w:b/>
          <w:sz w:val="20"/>
          <w:szCs w:val="20"/>
          <w:lang w:val="es-ES_tradnl"/>
        </w:rPr>
      </w:pPr>
      <w:r w:rsidRPr="00BE5AE1">
        <w:rPr>
          <w:rFonts w:ascii="Verdana" w:hAnsi="Verdana" w:cs="Verdana"/>
          <w:b/>
          <w:sz w:val="20"/>
          <w:szCs w:val="20"/>
          <w:lang w:val="es-ES_tradnl"/>
        </w:rPr>
        <w:t>“</w:t>
      </w:r>
      <w:r w:rsidR="003F64DC" w:rsidRPr="00BE5AE1">
        <w:rPr>
          <w:rFonts w:ascii="Verdana" w:hAnsi="Verdana" w:cs="Verdana"/>
          <w:b/>
          <w:sz w:val="20"/>
          <w:szCs w:val="20"/>
          <w:lang w:val="es-ES_tradnl"/>
        </w:rPr>
        <w:t xml:space="preserve">SOLICITUD DE </w:t>
      </w:r>
      <w:r w:rsidR="000651F9" w:rsidRPr="00BE5AE1">
        <w:rPr>
          <w:rFonts w:ascii="Verdana" w:hAnsi="Verdana" w:cs="Verdana"/>
          <w:b/>
          <w:sz w:val="20"/>
          <w:szCs w:val="20"/>
          <w:lang w:val="es-ES_tradnl"/>
        </w:rPr>
        <w:t xml:space="preserve">REPOSICIÓN DE RESOLUCIÓN O </w:t>
      </w:r>
      <w:r w:rsidR="001564D5" w:rsidRPr="00BE5AE1">
        <w:rPr>
          <w:rFonts w:ascii="Verdana" w:hAnsi="Verdana" w:cs="Verdana"/>
          <w:b/>
          <w:sz w:val="20"/>
          <w:szCs w:val="20"/>
          <w:lang w:val="es-ES_tradnl"/>
        </w:rPr>
        <w:t xml:space="preserve">SENTENCIA </w:t>
      </w:r>
      <w:r w:rsidR="000651F9" w:rsidRPr="00BE5AE1">
        <w:rPr>
          <w:rFonts w:ascii="Verdana" w:hAnsi="Verdana" w:cs="Verdana"/>
          <w:b/>
          <w:sz w:val="20"/>
          <w:szCs w:val="20"/>
          <w:lang w:val="es-ES_tradnl"/>
        </w:rPr>
        <w:t>INTERLOCUTORIA”</w:t>
      </w:r>
      <w:r w:rsidRPr="00BE5AE1">
        <w:rPr>
          <w:rFonts w:ascii="Verdana" w:hAnsi="Verdana" w:cs="Verdana"/>
          <w:b/>
          <w:sz w:val="20"/>
          <w:szCs w:val="20"/>
          <w:lang w:val="es-ES_tradnl"/>
        </w:rPr>
        <w:t xml:space="preserve"> PRESENTADA POR EL ESTADO</w:t>
      </w:r>
    </w:p>
    <w:p w:rsidR="000651F9" w:rsidRPr="00BE5AE1" w:rsidRDefault="000651F9" w:rsidP="00571229">
      <w:pPr>
        <w:pStyle w:val="NoSpacing"/>
        <w:jc w:val="both"/>
        <w:rPr>
          <w:rFonts w:ascii="Verdana" w:hAnsi="Verdana" w:cs="Verdana"/>
          <w:b/>
          <w:sz w:val="20"/>
          <w:szCs w:val="20"/>
          <w:lang w:val="es-ES_tradnl"/>
        </w:rPr>
      </w:pPr>
    </w:p>
    <w:p w:rsidR="00492A3F" w:rsidRPr="00492A3F" w:rsidRDefault="00492A3F" w:rsidP="00571229">
      <w:pPr>
        <w:pStyle w:val="NoSpacing"/>
        <w:tabs>
          <w:tab w:val="left" w:pos="630"/>
        </w:tabs>
        <w:jc w:val="both"/>
        <w:rPr>
          <w:rFonts w:ascii="Verdana" w:hAnsi="Verdana"/>
          <w:b/>
          <w:i/>
          <w:sz w:val="20"/>
          <w:szCs w:val="20"/>
          <w:lang w:val="es-ES_tradnl"/>
        </w:rPr>
      </w:pPr>
      <w:r>
        <w:rPr>
          <w:rFonts w:ascii="Verdana" w:hAnsi="Verdana"/>
          <w:b/>
          <w:i/>
          <w:sz w:val="20"/>
          <w:szCs w:val="20"/>
          <w:lang w:val="es-ES_tradnl"/>
        </w:rPr>
        <w:tab/>
      </w:r>
      <w:r w:rsidRPr="00492A3F">
        <w:rPr>
          <w:rFonts w:ascii="Verdana" w:hAnsi="Verdana"/>
          <w:b/>
          <w:i/>
          <w:sz w:val="20"/>
          <w:szCs w:val="20"/>
          <w:lang w:val="es-ES_tradnl"/>
        </w:rPr>
        <w:t>A. Alegatos del Estado y observaciones de la Comisión</w:t>
      </w:r>
    </w:p>
    <w:p w:rsidR="00492A3F" w:rsidRDefault="00492A3F" w:rsidP="00571229">
      <w:pPr>
        <w:pStyle w:val="NoSpacing"/>
        <w:tabs>
          <w:tab w:val="left" w:pos="630"/>
        </w:tabs>
        <w:jc w:val="both"/>
        <w:rPr>
          <w:rFonts w:ascii="Verdana" w:hAnsi="Verdana"/>
          <w:sz w:val="20"/>
          <w:szCs w:val="20"/>
          <w:lang w:val="es-ES_tradnl"/>
        </w:rPr>
      </w:pPr>
    </w:p>
    <w:p w:rsidR="000651F9" w:rsidRPr="006E4F7C" w:rsidRDefault="00E12C9E" w:rsidP="00571229">
      <w:pPr>
        <w:pStyle w:val="NoSpacing"/>
        <w:numPr>
          <w:ilvl w:val="0"/>
          <w:numId w:val="1"/>
        </w:numPr>
        <w:tabs>
          <w:tab w:val="left" w:pos="630"/>
        </w:tabs>
        <w:jc w:val="both"/>
        <w:rPr>
          <w:rFonts w:ascii="Verdana" w:hAnsi="Verdana"/>
          <w:sz w:val="20"/>
          <w:szCs w:val="20"/>
          <w:lang w:val="es-ES_tradnl"/>
        </w:rPr>
      </w:pPr>
      <w:r w:rsidRPr="00BE5AE1">
        <w:rPr>
          <w:rFonts w:ascii="Verdana" w:hAnsi="Verdana"/>
          <w:sz w:val="20"/>
          <w:szCs w:val="20"/>
          <w:lang w:val="es-ES_tradnl"/>
        </w:rPr>
        <w:t>E</w:t>
      </w:r>
      <w:r w:rsidR="009D3F10" w:rsidRPr="00BE5AE1">
        <w:rPr>
          <w:rFonts w:ascii="Verdana" w:hAnsi="Verdana"/>
          <w:sz w:val="20"/>
          <w:szCs w:val="20"/>
          <w:lang w:val="es-ES_tradnl"/>
        </w:rPr>
        <w:t>l</w:t>
      </w:r>
      <w:r w:rsidR="00FE0B0F" w:rsidRPr="00BE5AE1">
        <w:rPr>
          <w:rFonts w:ascii="Verdana" w:hAnsi="Verdana"/>
          <w:sz w:val="20"/>
          <w:szCs w:val="20"/>
          <w:lang w:val="es-ES_tradnl"/>
        </w:rPr>
        <w:t xml:space="preserve"> </w:t>
      </w:r>
      <w:r w:rsidR="00FE0B0F" w:rsidRPr="00BE5AE1">
        <w:rPr>
          <w:rFonts w:ascii="Verdana" w:hAnsi="Verdana"/>
          <w:b/>
          <w:i/>
          <w:sz w:val="20"/>
          <w:szCs w:val="20"/>
          <w:lang w:val="es-ES_tradnl"/>
        </w:rPr>
        <w:t>Estado</w:t>
      </w:r>
      <w:r w:rsidR="00FE0B0F" w:rsidRPr="00BE5AE1">
        <w:rPr>
          <w:rFonts w:ascii="Verdana" w:hAnsi="Verdana"/>
          <w:sz w:val="20"/>
          <w:szCs w:val="20"/>
          <w:lang w:val="es-ES_tradnl"/>
        </w:rPr>
        <w:t xml:space="preserve"> </w:t>
      </w:r>
      <w:r w:rsidR="0072798A" w:rsidRPr="00BE5AE1">
        <w:rPr>
          <w:rFonts w:ascii="Verdana" w:hAnsi="Verdana"/>
          <w:sz w:val="20"/>
          <w:szCs w:val="20"/>
          <w:lang w:val="es-ES_tradnl"/>
        </w:rPr>
        <w:t xml:space="preserve">presentó una “solicitud de reposición de resolución o sentencia interlocutoria” </w:t>
      </w:r>
      <w:r w:rsidR="00F275F0" w:rsidRPr="00BE5AE1">
        <w:rPr>
          <w:rFonts w:ascii="Verdana" w:hAnsi="Verdana"/>
          <w:sz w:val="20"/>
          <w:szCs w:val="20"/>
          <w:lang w:val="es-ES_tradnl"/>
        </w:rPr>
        <w:t>solicitando a</w:t>
      </w:r>
      <w:r w:rsidR="00043218" w:rsidRPr="00BE5AE1">
        <w:rPr>
          <w:rFonts w:ascii="Verdana" w:hAnsi="Verdana"/>
          <w:sz w:val="20"/>
          <w:szCs w:val="20"/>
          <w:lang w:val="es-ES_tradnl"/>
        </w:rPr>
        <w:t xml:space="preserve"> la Corte </w:t>
      </w:r>
      <w:r w:rsidR="0072798A" w:rsidRPr="00BE5AE1">
        <w:rPr>
          <w:rFonts w:ascii="Verdana" w:hAnsi="Verdana"/>
          <w:sz w:val="20"/>
          <w:szCs w:val="20"/>
          <w:lang w:val="es-ES_tradnl"/>
        </w:rPr>
        <w:t>revo</w:t>
      </w:r>
      <w:r w:rsidR="00697759" w:rsidRPr="00BE5AE1">
        <w:rPr>
          <w:rFonts w:ascii="Verdana" w:hAnsi="Verdana"/>
          <w:sz w:val="20"/>
          <w:szCs w:val="20"/>
          <w:lang w:val="es-ES_tradnl"/>
        </w:rPr>
        <w:t>car</w:t>
      </w:r>
      <w:r w:rsidR="009D3F10" w:rsidRPr="00BE5AE1">
        <w:rPr>
          <w:rFonts w:ascii="Verdana" w:hAnsi="Verdana"/>
          <w:sz w:val="20"/>
          <w:szCs w:val="20"/>
          <w:lang w:val="es-ES_tradnl"/>
        </w:rPr>
        <w:t xml:space="preserve"> “la resolución o sentencia mediante la cual [</w:t>
      </w:r>
      <w:r w:rsidR="00F275F0" w:rsidRPr="00BE5AE1">
        <w:rPr>
          <w:rFonts w:ascii="Verdana" w:hAnsi="Verdana"/>
          <w:sz w:val="20"/>
          <w:szCs w:val="20"/>
          <w:lang w:val="es-ES_tradnl"/>
        </w:rPr>
        <w:t>se</w:t>
      </w:r>
      <w:r w:rsidR="009D3F10" w:rsidRPr="00BE5AE1">
        <w:rPr>
          <w:rFonts w:ascii="Verdana" w:hAnsi="Verdana"/>
          <w:sz w:val="20"/>
          <w:szCs w:val="20"/>
          <w:lang w:val="es-ES_tradnl"/>
        </w:rPr>
        <w:t>] desestimó la excepción preliminar”. Al respecto, alegó que el carácter inapelable de los fallos de la Corte “se refiere exclusivamente al fallo de la sentencia definitiva que resuelve el fondo del asunto”. Señaló que “[t]</w:t>
      </w:r>
      <w:proofErr w:type="spellStart"/>
      <w:r w:rsidR="009D3F10" w:rsidRPr="00BE5AE1">
        <w:rPr>
          <w:rFonts w:ascii="Verdana" w:hAnsi="Verdana"/>
          <w:sz w:val="20"/>
          <w:szCs w:val="20"/>
          <w:lang w:val="es-ES_tradnl"/>
        </w:rPr>
        <w:t>odas</w:t>
      </w:r>
      <w:proofErr w:type="spellEnd"/>
      <w:r w:rsidR="009D3F10" w:rsidRPr="00BE5AE1">
        <w:rPr>
          <w:rFonts w:ascii="Verdana" w:hAnsi="Verdana"/>
          <w:sz w:val="20"/>
          <w:szCs w:val="20"/>
          <w:lang w:val="es-ES_tradnl"/>
        </w:rPr>
        <w:t xml:space="preserve"> las demás resoluciones, tanto del proceso principal como de su fase de ejecución, aunque de hecho por costumbre se le llamen también sentencias, son interlocutorias y siempre sujetas a otras que por vía de recurso o sencillamente por contrario imperio, las interpreten, complementen, aclaren adiciones o incluso modifiquen o revoquen”. Respecto a la excepción preliminar, el Estado reiteró sus alegatos re</w:t>
      </w:r>
      <w:r w:rsidR="00B24966" w:rsidRPr="00BE5AE1">
        <w:rPr>
          <w:rFonts w:ascii="Verdana" w:hAnsi="Verdana"/>
          <w:sz w:val="20"/>
          <w:szCs w:val="20"/>
          <w:lang w:val="es-ES_tradnl"/>
        </w:rPr>
        <w:t xml:space="preserve">lativos </w:t>
      </w:r>
      <w:r w:rsidR="009D3F10" w:rsidRPr="00BE5AE1">
        <w:rPr>
          <w:rFonts w:ascii="Verdana" w:hAnsi="Verdana"/>
          <w:sz w:val="20"/>
          <w:szCs w:val="20"/>
          <w:lang w:val="es-ES_tradnl"/>
        </w:rPr>
        <w:t>a la alegada falta de agotamiento del recurso de amparo, los cuales, en su mayoría, ya habían sido presentados en el momento procesal oportuno,</w:t>
      </w:r>
      <w:r w:rsidR="00B24966" w:rsidRPr="00BE5AE1">
        <w:rPr>
          <w:rFonts w:ascii="Verdana" w:hAnsi="Verdana"/>
          <w:sz w:val="20"/>
          <w:szCs w:val="20"/>
          <w:lang w:val="es-ES_tradnl"/>
        </w:rPr>
        <w:t xml:space="preserve"> es decir en</w:t>
      </w:r>
      <w:r w:rsidR="009D3F10" w:rsidRPr="00BE5AE1">
        <w:rPr>
          <w:rFonts w:ascii="Verdana" w:hAnsi="Verdana"/>
          <w:sz w:val="20"/>
          <w:szCs w:val="20"/>
          <w:lang w:val="es-ES_tradnl"/>
        </w:rPr>
        <w:t xml:space="preserve"> </w:t>
      </w:r>
      <w:r w:rsidR="0091633B" w:rsidRPr="00BE5AE1">
        <w:rPr>
          <w:rFonts w:ascii="Verdana" w:hAnsi="Verdana"/>
          <w:sz w:val="20"/>
          <w:szCs w:val="20"/>
          <w:lang w:val="es-ES_tradnl"/>
        </w:rPr>
        <w:t>su</w:t>
      </w:r>
      <w:r w:rsidR="009D3F10" w:rsidRPr="00BE5AE1">
        <w:rPr>
          <w:rFonts w:ascii="Verdana" w:hAnsi="Verdana"/>
          <w:sz w:val="20"/>
          <w:szCs w:val="20"/>
          <w:lang w:val="es-ES_tradnl"/>
        </w:rPr>
        <w:t xml:space="preserve"> escrito de </w:t>
      </w:r>
      <w:r w:rsidR="009D3F10" w:rsidRPr="00BE5AE1">
        <w:rPr>
          <w:rFonts w:ascii="Verdana" w:hAnsi="Verdana"/>
          <w:sz w:val="20"/>
          <w:szCs w:val="20"/>
          <w:lang w:val="es-MX"/>
        </w:rPr>
        <w:t xml:space="preserve">excepción preliminar, contestación al sometimiento del caso por parte de la Comisión y de </w:t>
      </w:r>
      <w:r w:rsidR="009D3F10" w:rsidRPr="006E4F7C">
        <w:rPr>
          <w:rFonts w:ascii="Verdana" w:hAnsi="Verdana"/>
          <w:sz w:val="20"/>
          <w:szCs w:val="20"/>
          <w:lang w:val="es-MX"/>
        </w:rPr>
        <w:t>observaciones al escrito de solicitudes y argumentos</w:t>
      </w:r>
      <w:r w:rsidR="009D3F10" w:rsidRPr="006E4F7C">
        <w:rPr>
          <w:rFonts w:ascii="Verdana" w:hAnsi="Verdana"/>
          <w:sz w:val="20"/>
          <w:szCs w:val="20"/>
          <w:lang w:val="es-ES_tradnl"/>
        </w:rPr>
        <w:t xml:space="preserve">. </w:t>
      </w:r>
      <w:r w:rsidR="00492A3F" w:rsidRPr="006E4F7C">
        <w:rPr>
          <w:rFonts w:ascii="Verdana" w:hAnsi="Verdana"/>
          <w:sz w:val="20"/>
          <w:szCs w:val="20"/>
          <w:lang w:val="es-ES_tradnl"/>
        </w:rPr>
        <w:t xml:space="preserve">De acuerdo al Estado, la Corte </w:t>
      </w:r>
      <w:r w:rsidR="008116C2" w:rsidRPr="006E4F7C">
        <w:rPr>
          <w:rFonts w:ascii="Verdana" w:hAnsi="Verdana"/>
          <w:sz w:val="20"/>
          <w:szCs w:val="20"/>
          <w:lang w:val="es-ES_tradnl"/>
        </w:rPr>
        <w:t xml:space="preserve">no </w:t>
      </w:r>
      <w:r w:rsidR="00594EBA" w:rsidRPr="006E4F7C">
        <w:rPr>
          <w:rFonts w:ascii="Verdana" w:hAnsi="Verdana"/>
          <w:sz w:val="20"/>
          <w:szCs w:val="20"/>
          <w:lang w:val="es-ES_tradnl"/>
        </w:rPr>
        <w:t xml:space="preserve">había plasmado sus alegatos en la Sentencia </w:t>
      </w:r>
      <w:r w:rsidR="00492A3F" w:rsidRPr="006E4F7C">
        <w:rPr>
          <w:rFonts w:ascii="Verdana" w:hAnsi="Verdana"/>
          <w:sz w:val="20"/>
          <w:szCs w:val="20"/>
          <w:lang w:val="es-ES_tradnl"/>
        </w:rPr>
        <w:t xml:space="preserve">y </w:t>
      </w:r>
      <w:r w:rsidR="00594EBA" w:rsidRPr="006E4F7C">
        <w:rPr>
          <w:rFonts w:ascii="Verdana" w:hAnsi="Verdana"/>
          <w:sz w:val="20"/>
          <w:szCs w:val="20"/>
          <w:lang w:val="es-ES_tradnl"/>
        </w:rPr>
        <w:t>la “lectura correcta” de su tesis llevaría a concluir que no se agotaron los recursos internos</w:t>
      </w:r>
      <w:r w:rsidR="00492A3F" w:rsidRPr="006E4F7C">
        <w:rPr>
          <w:rFonts w:ascii="Verdana" w:hAnsi="Verdana"/>
          <w:sz w:val="20"/>
          <w:szCs w:val="20"/>
          <w:lang w:val="es-ES_tradnl"/>
        </w:rPr>
        <w:t xml:space="preserve">. </w:t>
      </w:r>
      <w:r w:rsidR="009D3F10" w:rsidRPr="006E4F7C">
        <w:rPr>
          <w:rFonts w:ascii="Verdana" w:hAnsi="Verdana"/>
          <w:sz w:val="20"/>
          <w:szCs w:val="20"/>
          <w:lang w:val="es-ES_tradnl"/>
        </w:rPr>
        <w:t>A</w:t>
      </w:r>
      <w:r w:rsidR="00594EBA" w:rsidRPr="006E4F7C">
        <w:rPr>
          <w:rFonts w:ascii="Verdana" w:hAnsi="Verdana"/>
          <w:sz w:val="20"/>
          <w:szCs w:val="20"/>
          <w:lang w:val="es-ES_tradnl"/>
        </w:rPr>
        <w:t xml:space="preserve">dicionalmente, </w:t>
      </w:r>
      <w:r w:rsidR="0091633B" w:rsidRPr="006E4F7C">
        <w:rPr>
          <w:rFonts w:ascii="Verdana" w:hAnsi="Verdana"/>
          <w:sz w:val="20"/>
          <w:szCs w:val="20"/>
          <w:lang w:val="es-ES_tradnl"/>
        </w:rPr>
        <w:t xml:space="preserve">Honduras </w:t>
      </w:r>
      <w:r w:rsidR="009D3F10" w:rsidRPr="006E4F7C">
        <w:rPr>
          <w:rFonts w:ascii="Verdana" w:hAnsi="Verdana"/>
          <w:sz w:val="20"/>
          <w:szCs w:val="20"/>
          <w:lang w:val="es-ES_tradnl"/>
        </w:rPr>
        <w:t>refutó las consideraciones realizadas por la Corte al desestimar la excepción preliminar</w:t>
      </w:r>
      <w:r w:rsidR="009D3F10" w:rsidRPr="006E4F7C">
        <w:rPr>
          <w:rStyle w:val="FootnoteReference"/>
          <w:rFonts w:ascii="Verdana" w:hAnsi="Verdana"/>
          <w:sz w:val="20"/>
          <w:szCs w:val="20"/>
          <w:lang w:val="es-ES_tradnl"/>
        </w:rPr>
        <w:footnoteReference w:id="3"/>
      </w:r>
      <w:r w:rsidR="009D3F10" w:rsidRPr="006E4F7C">
        <w:rPr>
          <w:rFonts w:ascii="Verdana" w:hAnsi="Verdana"/>
          <w:sz w:val="20"/>
          <w:szCs w:val="20"/>
          <w:lang w:val="es-ES_tradnl"/>
        </w:rPr>
        <w:t xml:space="preserve">. </w:t>
      </w:r>
    </w:p>
    <w:p w:rsidR="002F4312" w:rsidRPr="006E4F7C" w:rsidRDefault="002F4312" w:rsidP="00571229">
      <w:pPr>
        <w:pStyle w:val="NoSpacing"/>
        <w:tabs>
          <w:tab w:val="left" w:pos="630"/>
        </w:tabs>
        <w:jc w:val="both"/>
        <w:rPr>
          <w:rFonts w:ascii="Verdana" w:hAnsi="Verdana"/>
          <w:sz w:val="20"/>
          <w:szCs w:val="20"/>
          <w:lang w:val="es-ES_tradnl"/>
        </w:rPr>
      </w:pPr>
    </w:p>
    <w:p w:rsidR="002F4312" w:rsidRPr="00BE5AE1" w:rsidRDefault="002F4312" w:rsidP="00571229">
      <w:pPr>
        <w:pStyle w:val="NoSpacing"/>
        <w:numPr>
          <w:ilvl w:val="0"/>
          <w:numId w:val="1"/>
        </w:numPr>
        <w:tabs>
          <w:tab w:val="left" w:pos="630"/>
        </w:tabs>
        <w:jc w:val="both"/>
        <w:rPr>
          <w:rFonts w:ascii="Verdana" w:hAnsi="Verdana"/>
          <w:sz w:val="20"/>
          <w:szCs w:val="20"/>
          <w:lang w:val="es-ES_tradnl"/>
        </w:rPr>
      </w:pPr>
      <w:r w:rsidRPr="00BE5AE1">
        <w:rPr>
          <w:rFonts w:ascii="Verdana" w:hAnsi="Verdana"/>
          <w:sz w:val="20"/>
          <w:szCs w:val="20"/>
          <w:lang w:val="es-ES_tradnl"/>
        </w:rPr>
        <w:t xml:space="preserve">La </w:t>
      </w:r>
      <w:r w:rsidRPr="00BE5AE1">
        <w:rPr>
          <w:rFonts w:ascii="Verdana" w:hAnsi="Verdana"/>
          <w:b/>
          <w:i/>
          <w:sz w:val="20"/>
          <w:szCs w:val="20"/>
          <w:lang w:val="es-ES_tradnl"/>
        </w:rPr>
        <w:t xml:space="preserve">Comisión </w:t>
      </w:r>
      <w:r w:rsidR="008116C2">
        <w:rPr>
          <w:rFonts w:ascii="Verdana" w:hAnsi="Verdana"/>
          <w:sz w:val="20"/>
          <w:szCs w:val="20"/>
          <w:lang w:val="es-ES_tradnl"/>
        </w:rPr>
        <w:t>indic</w:t>
      </w:r>
      <w:r w:rsidRPr="00BE5AE1">
        <w:rPr>
          <w:rFonts w:ascii="Verdana" w:hAnsi="Verdana"/>
          <w:sz w:val="20"/>
          <w:szCs w:val="20"/>
          <w:lang w:val="es-ES_tradnl"/>
        </w:rPr>
        <w:t>ó que la solicitud del Estado “pretende una modificación del sentido de la decisión de la Corte adoptada en relación con el análisis de las excepciones preliminares realizado en la Sentencia”. Por tanto, “no reuniría las condiciones para ser analizada bajo [el] artículo [67 de la Convención Americana]”.</w:t>
      </w:r>
      <w:r w:rsidR="00297BF2" w:rsidRPr="00BE5AE1">
        <w:rPr>
          <w:rFonts w:ascii="Verdana" w:hAnsi="Verdana"/>
          <w:sz w:val="20"/>
          <w:szCs w:val="20"/>
          <w:lang w:val="es-ES_tradnl"/>
        </w:rPr>
        <w:t xml:space="preserve"> </w:t>
      </w:r>
    </w:p>
    <w:p w:rsidR="002F4312" w:rsidRDefault="002F4312" w:rsidP="00571229">
      <w:pPr>
        <w:pStyle w:val="NoSpacing"/>
        <w:tabs>
          <w:tab w:val="left" w:pos="630"/>
        </w:tabs>
        <w:jc w:val="both"/>
        <w:rPr>
          <w:rFonts w:ascii="Verdana" w:hAnsi="Verdana"/>
          <w:sz w:val="20"/>
          <w:szCs w:val="20"/>
        </w:rPr>
      </w:pPr>
    </w:p>
    <w:p w:rsidR="00492A3F" w:rsidRDefault="00492A3F" w:rsidP="00571229">
      <w:pPr>
        <w:pStyle w:val="NoSpacing"/>
        <w:tabs>
          <w:tab w:val="left" w:pos="630"/>
        </w:tabs>
        <w:jc w:val="both"/>
        <w:rPr>
          <w:rFonts w:ascii="Verdana" w:hAnsi="Verdana"/>
          <w:b/>
          <w:i/>
          <w:sz w:val="20"/>
          <w:szCs w:val="20"/>
        </w:rPr>
      </w:pPr>
      <w:r>
        <w:rPr>
          <w:rFonts w:ascii="Verdana" w:hAnsi="Verdana"/>
          <w:b/>
          <w:i/>
          <w:sz w:val="20"/>
          <w:szCs w:val="20"/>
        </w:rPr>
        <w:tab/>
      </w:r>
      <w:r w:rsidRPr="00492A3F">
        <w:rPr>
          <w:rFonts w:ascii="Verdana" w:hAnsi="Verdana"/>
          <w:b/>
          <w:i/>
          <w:sz w:val="20"/>
          <w:szCs w:val="20"/>
        </w:rPr>
        <w:t>B. Consideraciones de la Corte</w:t>
      </w:r>
    </w:p>
    <w:p w:rsidR="00492A3F" w:rsidRPr="00492A3F" w:rsidRDefault="00492A3F" w:rsidP="00571229">
      <w:pPr>
        <w:pStyle w:val="NoSpacing"/>
        <w:tabs>
          <w:tab w:val="left" w:pos="630"/>
        </w:tabs>
        <w:jc w:val="both"/>
        <w:rPr>
          <w:rFonts w:ascii="Verdana" w:hAnsi="Verdana"/>
          <w:b/>
          <w:i/>
          <w:sz w:val="20"/>
          <w:szCs w:val="20"/>
        </w:rPr>
      </w:pPr>
    </w:p>
    <w:p w:rsidR="008F51E0" w:rsidRDefault="008F51E0" w:rsidP="00571229">
      <w:pPr>
        <w:pStyle w:val="NoSpacing"/>
        <w:numPr>
          <w:ilvl w:val="0"/>
          <w:numId w:val="1"/>
        </w:numPr>
        <w:tabs>
          <w:tab w:val="left" w:pos="630"/>
        </w:tabs>
        <w:jc w:val="both"/>
        <w:rPr>
          <w:rFonts w:ascii="Verdana" w:hAnsi="Verdana"/>
          <w:sz w:val="20"/>
          <w:szCs w:val="20"/>
          <w:lang w:val="es-ES_tradnl"/>
        </w:rPr>
      </w:pPr>
      <w:bookmarkStart w:id="13" w:name="_Ref446342174"/>
      <w:r w:rsidRPr="008F51E0">
        <w:rPr>
          <w:rFonts w:ascii="Verdana" w:hAnsi="Verdana"/>
          <w:sz w:val="20"/>
          <w:szCs w:val="20"/>
          <w:lang w:val="es-ES_tradnl"/>
        </w:rPr>
        <w:t xml:space="preserve">Este Tribunal </w:t>
      </w:r>
      <w:r>
        <w:rPr>
          <w:rFonts w:ascii="Verdana" w:hAnsi="Verdana"/>
          <w:sz w:val="20"/>
          <w:szCs w:val="20"/>
          <w:lang w:val="es-ES_tradnl"/>
        </w:rPr>
        <w:t>recuerda</w:t>
      </w:r>
      <w:r w:rsidRPr="008F51E0">
        <w:rPr>
          <w:rFonts w:ascii="Verdana" w:hAnsi="Verdana"/>
          <w:sz w:val="20"/>
          <w:szCs w:val="20"/>
          <w:lang w:val="es-ES_tradnl"/>
        </w:rPr>
        <w:t xml:space="preserve"> que, de acuerdo al artículo 67 de la Convención, “[e]l fallo de la Corte será definitivo e inapelable” (</w:t>
      </w:r>
      <w:r w:rsidRPr="008F51E0">
        <w:rPr>
          <w:rFonts w:ascii="Verdana" w:hAnsi="Verdana"/>
          <w:i/>
          <w:sz w:val="20"/>
          <w:szCs w:val="20"/>
          <w:lang w:val="es-ES_tradnl"/>
        </w:rPr>
        <w:t xml:space="preserve">supra </w:t>
      </w:r>
      <w:r w:rsidRPr="008F51E0">
        <w:rPr>
          <w:rFonts w:ascii="Verdana" w:hAnsi="Verdana"/>
          <w:sz w:val="20"/>
          <w:szCs w:val="20"/>
          <w:lang w:val="es-ES_tradnl"/>
        </w:rPr>
        <w:t xml:space="preserve">párr. </w:t>
      </w:r>
      <w:r w:rsidRPr="008F51E0">
        <w:rPr>
          <w:rFonts w:ascii="Verdana" w:hAnsi="Verdana"/>
          <w:sz w:val="20"/>
          <w:szCs w:val="20"/>
          <w:lang w:val="es-ES_tradnl"/>
        </w:rPr>
        <w:fldChar w:fldCharType="begin"/>
      </w:r>
      <w:r w:rsidRPr="008F51E0">
        <w:rPr>
          <w:rFonts w:ascii="Verdana" w:hAnsi="Verdana"/>
          <w:sz w:val="20"/>
          <w:szCs w:val="20"/>
          <w:lang w:val="es-ES_tradnl"/>
        </w:rPr>
        <w:instrText xml:space="preserve"> REF _Ref361668910 \r \h  \* MERGEFORMAT </w:instrText>
      </w:r>
      <w:r w:rsidRPr="008F51E0">
        <w:rPr>
          <w:rFonts w:ascii="Verdana" w:hAnsi="Verdana"/>
          <w:sz w:val="20"/>
          <w:szCs w:val="20"/>
          <w:lang w:val="es-ES_tradnl"/>
        </w:rPr>
      </w:r>
      <w:r w:rsidRPr="008F51E0">
        <w:rPr>
          <w:rFonts w:ascii="Verdana" w:hAnsi="Verdana"/>
          <w:sz w:val="20"/>
          <w:szCs w:val="20"/>
          <w:lang w:val="es-ES_tradnl"/>
        </w:rPr>
        <w:fldChar w:fldCharType="separate"/>
      </w:r>
      <w:r w:rsidR="00E54675">
        <w:rPr>
          <w:rFonts w:ascii="Verdana" w:hAnsi="Verdana"/>
          <w:sz w:val="20"/>
          <w:szCs w:val="20"/>
          <w:lang w:val="es-ES_tradnl"/>
        </w:rPr>
        <w:t>6</w:t>
      </w:r>
      <w:r w:rsidRPr="008F51E0">
        <w:rPr>
          <w:rFonts w:ascii="Verdana" w:hAnsi="Verdana"/>
          <w:sz w:val="20"/>
          <w:szCs w:val="20"/>
          <w:lang w:val="es-ES_tradnl"/>
        </w:rPr>
        <w:fldChar w:fldCharType="end"/>
      </w:r>
      <w:r w:rsidRPr="008F51E0">
        <w:rPr>
          <w:rFonts w:ascii="Verdana" w:hAnsi="Verdana"/>
          <w:sz w:val="20"/>
          <w:szCs w:val="20"/>
          <w:lang w:val="es-ES_tradnl"/>
        </w:rPr>
        <w:t>). Asimismo, el artículo 31.3 del Reglamento establece que “[c]</w:t>
      </w:r>
      <w:proofErr w:type="spellStart"/>
      <w:r w:rsidRPr="008F51E0">
        <w:rPr>
          <w:rFonts w:ascii="Verdana" w:hAnsi="Verdana"/>
          <w:sz w:val="20"/>
          <w:szCs w:val="20"/>
          <w:lang w:val="es-ES_tradnl"/>
        </w:rPr>
        <w:t>ontra</w:t>
      </w:r>
      <w:proofErr w:type="spellEnd"/>
      <w:r w:rsidRPr="008F51E0">
        <w:rPr>
          <w:rFonts w:ascii="Verdana" w:hAnsi="Verdana"/>
          <w:sz w:val="20"/>
          <w:szCs w:val="20"/>
          <w:lang w:val="es-ES_tradnl"/>
        </w:rPr>
        <w:t xml:space="preserve"> las sentencias y resoluciones de la Corte no procede ningún medio de impugnación”. </w:t>
      </w:r>
    </w:p>
    <w:p w:rsidR="008F51E0" w:rsidRDefault="008F51E0" w:rsidP="00571229">
      <w:pPr>
        <w:pStyle w:val="NoSpacing"/>
        <w:tabs>
          <w:tab w:val="left" w:pos="630"/>
        </w:tabs>
        <w:jc w:val="both"/>
        <w:rPr>
          <w:rFonts w:ascii="Verdana" w:hAnsi="Verdana"/>
          <w:sz w:val="20"/>
          <w:szCs w:val="20"/>
          <w:lang w:val="es-ES_tradnl"/>
        </w:rPr>
      </w:pPr>
    </w:p>
    <w:p w:rsidR="00492A3F" w:rsidRPr="00BE5AE1" w:rsidRDefault="00492A3F" w:rsidP="00571229">
      <w:pPr>
        <w:pStyle w:val="NoSpacing"/>
        <w:numPr>
          <w:ilvl w:val="0"/>
          <w:numId w:val="1"/>
        </w:numPr>
        <w:tabs>
          <w:tab w:val="left" w:pos="630"/>
        </w:tabs>
        <w:jc w:val="both"/>
        <w:rPr>
          <w:rFonts w:ascii="Verdana" w:hAnsi="Verdana"/>
          <w:sz w:val="20"/>
          <w:szCs w:val="20"/>
          <w:lang w:val="es-ES_tradnl"/>
        </w:rPr>
      </w:pPr>
      <w:r>
        <w:rPr>
          <w:rFonts w:ascii="Verdana" w:hAnsi="Verdana"/>
          <w:sz w:val="20"/>
          <w:szCs w:val="20"/>
          <w:lang w:val="es-ES_tradnl"/>
        </w:rPr>
        <w:t>E</w:t>
      </w:r>
      <w:r w:rsidRPr="00BE5AE1">
        <w:rPr>
          <w:rFonts w:ascii="Verdana" w:hAnsi="Verdana"/>
          <w:sz w:val="20"/>
          <w:szCs w:val="20"/>
          <w:lang w:val="es-ES_tradnl"/>
        </w:rPr>
        <w:t xml:space="preserve">l Estado argumenta que el carácter definitivo e inapelable de la Sentencia de la Corte aplicaría solamente a la decisión de fondo y no así a la decisión sobre la excepción preliminar que, de acuerdo al Estado, constituiría una decisión “interlocutoria”. Al respecto, este Tribunal hace notar que el </w:t>
      </w:r>
      <w:r w:rsidRPr="00BE5AE1">
        <w:rPr>
          <w:rFonts w:ascii="Verdana" w:hAnsi="Verdana"/>
          <w:sz w:val="20"/>
        </w:rPr>
        <w:t>artículo 25 del Estatuto de la Corte y 31 del Reglamento establecen que s</w:t>
      </w:r>
      <w:r w:rsidR="008116C2">
        <w:rPr>
          <w:rFonts w:ascii="Verdana" w:hAnsi="Verdana"/>
          <w:sz w:val="20"/>
        </w:rPr>
        <w:t>o</w:t>
      </w:r>
      <w:r w:rsidRPr="00BE5AE1">
        <w:rPr>
          <w:rFonts w:ascii="Verdana" w:hAnsi="Verdana"/>
          <w:sz w:val="20"/>
        </w:rPr>
        <w:t>lo son recurribles ante el pleno de la Corte, las decisiones que no sean de mero trámite y que hubieran sido dictadas por la Presidencia o Comisiones de la Corte, mientras que las sentencias y resol</w:t>
      </w:r>
      <w:r w:rsidR="008116C2">
        <w:rPr>
          <w:rFonts w:ascii="Verdana" w:hAnsi="Verdana"/>
          <w:sz w:val="20"/>
        </w:rPr>
        <w:t>uciones del pleno de la Corte</w:t>
      </w:r>
      <w:r w:rsidR="00D60E09">
        <w:rPr>
          <w:rFonts w:ascii="Verdana" w:hAnsi="Verdana"/>
          <w:sz w:val="20"/>
        </w:rPr>
        <w:t xml:space="preserve"> no</w:t>
      </w:r>
      <w:r w:rsidRPr="00BE5AE1">
        <w:rPr>
          <w:rFonts w:ascii="Verdana" w:hAnsi="Verdana"/>
          <w:sz w:val="20"/>
        </w:rPr>
        <w:t xml:space="preserve"> son impugnables (</w:t>
      </w:r>
      <w:r w:rsidRPr="00BE5AE1">
        <w:rPr>
          <w:rFonts w:ascii="Verdana" w:hAnsi="Verdana"/>
          <w:i/>
          <w:sz w:val="20"/>
        </w:rPr>
        <w:t>supra</w:t>
      </w:r>
      <w:r w:rsidRPr="00BE5AE1">
        <w:rPr>
          <w:rFonts w:ascii="Verdana" w:hAnsi="Verdana"/>
          <w:sz w:val="20"/>
        </w:rPr>
        <w:t xml:space="preserve"> párr. </w:t>
      </w:r>
      <w:r w:rsidRPr="00BE5AE1">
        <w:rPr>
          <w:rFonts w:ascii="Verdana" w:hAnsi="Verdana"/>
          <w:sz w:val="20"/>
        </w:rPr>
        <w:fldChar w:fldCharType="begin"/>
      </w:r>
      <w:r w:rsidRPr="00BE5AE1">
        <w:rPr>
          <w:rFonts w:ascii="Verdana" w:hAnsi="Verdana"/>
          <w:sz w:val="20"/>
        </w:rPr>
        <w:instrText xml:space="preserve"> REF _Ref446342174 \r \h </w:instrText>
      </w:r>
      <w:r>
        <w:rPr>
          <w:rFonts w:ascii="Verdana" w:hAnsi="Verdana"/>
          <w:sz w:val="20"/>
        </w:rPr>
        <w:instrText xml:space="preserve"> \* MERGEFORMAT </w:instrText>
      </w:r>
      <w:r w:rsidRPr="00BE5AE1">
        <w:rPr>
          <w:rFonts w:ascii="Verdana" w:hAnsi="Verdana"/>
          <w:sz w:val="20"/>
        </w:rPr>
      </w:r>
      <w:r w:rsidRPr="00BE5AE1">
        <w:rPr>
          <w:rFonts w:ascii="Verdana" w:hAnsi="Verdana"/>
          <w:sz w:val="20"/>
        </w:rPr>
        <w:fldChar w:fldCharType="separate"/>
      </w:r>
      <w:r w:rsidR="00E54675">
        <w:rPr>
          <w:rFonts w:ascii="Verdana" w:hAnsi="Verdana"/>
          <w:sz w:val="20"/>
        </w:rPr>
        <w:t>10</w:t>
      </w:r>
      <w:r w:rsidRPr="00BE5AE1">
        <w:rPr>
          <w:rFonts w:ascii="Verdana" w:hAnsi="Verdana"/>
          <w:sz w:val="20"/>
        </w:rPr>
        <w:fldChar w:fldCharType="end"/>
      </w:r>
      <w:r w:rsidRPr="00BE5AE1">
        <w:rPr>
          <w:rFonts w:ascii="Verdana" w:hAnsi="Verdana"/>
          <w:sz w:val="20"/>
        </w:rPr>
        <w:t xml:space="preserve">). </w:t>
      </w:r>
      <w:r w:rsidRPr="00BE5AE1">
        <w:rPr>
          <w:rFonts w:ascii="Verdana" w:hAnsi="Verdana"/>
          <w:sz w:val="20"/>
          <w:szCs w:val="20"/>
          <w:lang w:val="es-ES_tradnl"/>
        </w:rPr>
        <w:t xml:space="preserve">En consecuencia, </w:t>
      </w:r>
      <w:r w:rsidRPr="00BE5AE1">
        <w:rPr>
          <w:rFonts w:ascii="Verdana" w:hAnsi="Verdana"/>
          <w:sz w:val="20"/>
        </w:rPr>
        <w:t xml:space="preserve">la posibilidad de recurrir una decisión no radica en si esta se </w:t>
      </w:r>
      <w:r w:rsidRPr="009A58B1">
        <w:rPr>
          <w:rFonts w:ascii="Verdana" w:hAnsi="Verdana"/>
          <w:sz w:val="20"/>
        </w:rPr>
        <w:t xml:space="preserve">refiere o no al fondo del asunto, como alega el Estado, sino que </w:t>
      </w:r>
      <w:r w:rsidRPr="009A58B1">
        <w:rPr>
          <w:rFonts w:ascii="Verdana" w:hAnsi="Verdana"/>
          <w:sz w:val="20"/>
          <w:szCs w:val="20"/>
          <w:lang w:val="es-ES_tradnl"/>
        </w:rPr>
        <w:t xml:space="preserve">toda decisión adoptada por el pleno de la Corte Interamericana, como en este caso, es definitiva e inapelable, independientemente de la etapa procesal a la cual se refiera. </w:t>
      </w:r>
      <w:r w:rsidRPr="009A58B1">
        <w:rPr>
          <w:rFonts w:ascii="Verdana" w:hAnsi="Verdana"/>
          <w:sz w:val="20"/>
        </w:rPr>
        <w:t xml:space="preserve">Así, por ejemplo, </w:t>
      </w:r>
      <w:r w:rsidRPr="009A58B1">
        <w:rPr>
          <w:rFonts w:ascii="Verdana" w:hAnsi="Verdana"/>
          <w:sz w:val="20"/>
          <w:szCs w:val="20"/>
          <w:lang w:val="es-ES_tradnl"/>
        </w:rPr>
        <w:t xml:space="preserve">la Corte ha considerado </w:t>
      </w:r>
      <w:r w:rsidRPr="009A58B1">
        <w:rPr>
          <w:rFonts w:ascii="Verdana" w:hAnsi="Verdana"/>
          <w:sz w:val="20"/>
          <w:szCs w:val="20"/>
          <w:lang w:val="es-ES_tradnl"/>
        </w:rPr>
        <w:lastRenderedPageBreak/>
        <w:t>inapelables sus decisiones relativas a reparaciones</w:t>
      </w:r>
      <w:r w:rsidRPr="009A58B1">
        <w:rPr>
          <w:rStyle w:val="FootnoteReference"/>
          <w:rFonts w:ascii="Verdana" w:hAnsi="Verdana"/>
          <w:sz w:val="20"/>
          <w:szCs w:val="20"/>
          <w:lang w:val="es-ES_tradnl"/>
        </w:rPr>
        <w:footnoteReference w:id="4"/>
      </w:r>
      <w:r w:rsidRPr="009A58B1">
        <w:rPr>
          <w:rFonts w:ascii="Verdana" w:hAnsi="Verdana"/>
          <w:sz w:val="20"/>
          <w:szCs w:val="20"/>
          <w:lang w:val="es-ES_tradnl"/>
        </w:rPr>
        <w:t>, razonamiento</w:t>
      </w:r>
      <w:r w:rsidRPr="00BE5AE1">
        <w:rPr>
          <w:rFonts w:ascii="Verdana" w:hAnsi="Verdana"/>
          <w:sz w:val="20"/>
          <w:szCs w:val="20"/>
          <w:lang w:val="es-ES_tradnl"/>
        </w:rPr>
        <w:t xml:space="preserve"> que es igualmente aplicable a sus decisiones sobre excepciones preliminares. </w:t>
      </w:r>
    </w:p>
    <w:p w:rsidR="00492A3F" w:rsidRPr="00492A3F" w:rsidRDefault="00492A3F" w:rsidP="00571229">
      <w:pPr>
        <w:pStyle w:val="ListParagraph"/>
        <w:widowControl w:val="0"/>
        <w:tabs>
          <w:tab w:val="left" w:pos="567"/>
        </w:tabs>
        <w:autoSpaceDE w:val="0"/>
        <w:autoSpaceDN w:val="0"/>
        <w:adjustRightInd w:val="0"/>
        <w:spacing w:after="0" w:line="240" w:lineRule="auto"/>
        <w:ind w:left="0" w:right="-3"/>
        <w:contextualSpacing w:val="0"/>
        <w:jc w:val="both"/>
        <w:rPr>
          <w:rFonts w:eastAsia="Times New Roman" w:cs="Verdana"/>
          <w:lang w:val="es-ES" w:eastAsia="es-CR"/>
        </w:rPr>
      </w:pPr>
    </w:p>
    <w:p w:rsidR="00947FD3" w:rsidRPr="00BE5AE1" w:rsidRDefault="004B2BE0" w:rsidP="00571229">
      <w:pPr>
        <w:pStyle w:val="ListParagraph"/>
        <w:widowControl w:val="0"/>
        <w:numPr>
          <w:ilvl w:val="0"/>
          <w:numId w:val="1"/>
        </w:numPr>
        <w:tabs>
          <w:tab w:val="left" w:pos="567"/>
        </w:tabs>
        <w:autoSpaceDE w:val="0"/>
        <w:autoSpaceDN w:val="0"/>
        <w:adjustRightInd w:val="0"/>
        <w:spacing w:after="0" w:line="240" w:lineRule="auto"/>
        <w:ind w:right="-3"/>
        <w:contextualSpacing w:val="0"/>
        <w:jc w:val="both"/>
        <w:rPr>
          <w:rFonts w:eastAsia="Times New Roman" w:cs="Verdana"/>
          <w:lang w:val="es-ES" w:eastAsia="es-CR"/>
        </w:rPr>
      </w:pPr>
      <w:r w:rsidRPr="00BE5AE1">
        <w:rPr>
          <w:szCs w:val="20"/>
          <w:lang w:val="es-ES_tradnl"/>
        </w:rPr>
        <w:t>L</w:t>
      </w:r>
      <w:r w:rsidR="0072798A" w:rsidRPr="00BE5AE1">
        <w:rPr>
          <w:szCs w:val="20"/>
          <w:lang w:val="es-ES_tradnl"/>
        </w:rPr>
        <w:t xml:space="preserve">a </w:t>
      </w:r>
      <w:r w:rsidRPr="00BE5AE1">
        <w:rPr>
          <w:szCs w:val="20"/>
          <w:lang w:val="es-ES_tradnl"/>
        </w:rPr>
        <w:t xml:space="preserve">solicitud del Estado es directamente una solicitud de </w:t>
      </w:r>
      <w:r w:rsidR="008B0AF8" w:rsidRPr="00BE5AE1">
        <w:rPr>
          <w:szCs w:val="20"/>
          <w:lang w:val="es-ES_tradnl"/>
        </w:rPr>
        <w:t xml:space="preserve">impugnación respecto a la decisión sobre la excepción preliminar en el </w:t>
      </w:r>
      <w:r w:rsidRPr="00BE5AE1">
        <w:rPr>
          <w:szCs w:val="20"/>
          <w:lang w:val="es-ES_tradnl"/>
        </w:rPr>
        <w:t xml:space="preserve">fallo de la Corte. </w:t>
      </w:r>
      <w:r w:rsidR="00F96DE5" w:rsidRPr="00BE5AE1">
        <w:rPr>
          <w:szCs w:val="20"/>
          <w:lang w:val="es-ES_tradnl"/>
        </w:rPr>
        <w:t xml:space="preserve">Si bien el Estado no identificó su </w:t>
      </w:r>
      <w:r w:rsidR="001564D5" w:rsidRPr="00BE5AE1">
        <w:rPr>
          <w:szCs w:val="20"/>
          <w:lang w:val="es-ES_tradnl"/>
        </w:rPr>
        <w:t>escrito</w:t>
      </w:r>
      <w:r w:rsidR="00F96DE5" w:rsidRPr="00BE5AE1">
        <w:rPr>
          <w:szCs w:val="20"/>
          <w:lang w:val="es-ES_tradnl"/>
        </w:rPr>
        <w:t xml:space="preserve"> como una solicitud de interpretación, utilizó como supuesta base normativa de su solicitud los artículos 67 de la Convención y 68.1 del Reglamento de la Corte, ambos relativos a la posibilidad de </w:t>
      </w:r>
      <w:r w:rsidR="001564D5" w:rsidRPr="00BE5AE1">
        <w:rPr>
          <w:szCs w:val="20"/>
          <w:lang w:val="es-ES_tradnl"/>
        </w:rPr>
        <w:t xml:space="preserve">solicitar la </w:t>
      </w:r>
      <w:r w:rsidR="00F96DE5" w:rsidRPr="00BE5AE1">
        <w:rPr>
          <w:szCs w:val="20"/>
          <w:lang w:val="es-ES_tradnl"/>
        </w:rPr>
        <w:t>interpretación</w:t>
      </w:r>
      <w:r w:rsidR="001564D5" w:rsidRPr="00BE5AE1">
        <w:rPr>
          <w:szCs w:val="20"/>
          <w:lang w:val="es-ES_tradnl"/>
        </w:rPr>
        <w:t xml:space="preserve"> de un fallo</w:t>
      </w:r>
      <w:r w:rsidR="00F96DE5" w:rsidRPr="00BE5AE1">
        <w:rPr>
          <w:szCs w:val="20"/>
          <w:lang w:val="es-ES_tradnl"/>
        </w:rPr>
        <w:t xml:space="preserve">. </w:t>
      </w:r>
      <w:r w:rsidR="00947FD3" w:rsidRPr="00BE5AE1">
        <w:rPr>
          <w:szCs w:val="20"/>
          <w:lang w:val="es-ES_tradnl"/>
        </w:rPr>
        <w:t>Es jurisp</w:t>
      </w:r>
      <w:r w:rsidRPr="00BE5AE1">
        <w:rPr>
          <w:szCs w:val="20"/>
          <w:lang w:val="es-ES_tradnl"/>
        </w:rPr>
        <w:t>rudencia constante de la Corte,</w:t>
      </w:r>
      <w:r w:rsidR="00947FD3" w:rsidRPr="00BE5AE1">
        <w:rPr>
          <w:szCs w:val="20"/>
        </w:rPr>
        <w:t xml:space="preserve"> claramente sustentada en el ordenamiento aplicable, que una solicitud de interpretación de sentencia no puede utilizarse como medio de impugnación de la decisión cuya interpretación se requiere. Dicha solicitud tiene como objeto, exclusivamente, determinar el sentido de un fallo cuando alguna de las partes sostiene que el texto de sus puntos resolutivos o de sus consideraciones carece de claridad o precisión, siempre y cuando esas consideraciones incidan en dicha parte resolutiva</w:t>
      </w:r>
      <w:r w:rsidR="00947FD3" w:rsidRPr="00BE5AE1">
        <w:rPr>
          <w:rStyle w:val="FootnoteReference"/>
          <w:szCs w:val="20"/>
        </w:rPr>
        <w:footnoteReference w:id="5"/>
      </w:r>
      <w:r w:rsidR="00947FD3" w:rsidRPr="00BE5AE1">
        <w:rPr>
          <w:szCs w:val="20"/>
        </w:rPr>
        <w:t>. Por lo tanto, no se puede solicitar la modificación o anulación de la sentencia respectiva a través de una solicitud de interpretación</w:t>
      </w:r>
      <w:r w:rsidR="00947FD3" w:rsidRPr="00BE5AE1">
        <w:rPr>
          <w:rStyle w:val="FootnoteReference"/>
          <w:szCs w:val="20"/>
        </w:rPr>
        <w:footnoteReference w:id="6"/>
      </w:r>
      <w:r w:rsidR="00947FD3" w:rsidRPr="00BE5AE1">
        <w:rPr>
          <w:szCs w:val="20"/>
        </w:rPr>
        <w:t>.</w:t>
      </w:r>
      <w:bookmarkEnd w:id="13"/>
      <w:r w:rsidR="00F96DE5" w:rsidRPr="00BE5AE1">
        <w:rPr>
          <w:szCs w:val="20"/>
        </w:rPr>
        <w:t xml:space="preserve"> </w:t>
      </w:r>
    </w:p>
    <w:p w:rsidR="00137BA8" w:rsidRPr="00BE5AE1" w:rsidRDefault="00137BA8" w:rsidP="00571229">
      <w:pPr>
        <w:pStyle w:val="NoSpacing"/>
        <w:jc w:val="both"/>
        <w:rPr>
          <w:rFonts w:ascii="Verdana" w:hAnsi="Verdana"/>
          <w:sz w:val="20"/>
          <w:szCs w:val="20"/>
          <w:lang w:val="es-ES_tradnl"/>
        </w:rPr>
      </w:pPr>
    </w:p>
    <w:p w:rsidR="00F1652D" w:rsidRPr="00BE5AE1" w:rsidRDefault="00945BF0" w:rsidP="00571229">
      <w:pPr>
        <w:pStyle w:val="NoSpacing"/>
        <w:numPr>
          <w:ilvl w:val="0"/>
          <w:numId w:val="1"/>
        </w:numPr>
        <w:tabs>
          <w:tab w:val="clear" w:pos="1247"/>
          <w:tab w:val="left" w:pos="540"/>
        </w:tabs>
        <w:jc w:val="both"/>
        <w:rPr>
          <w:rFonts w:ascii="Verdana" w:hAnsi="Verdana"/>
          <w:sz w:val="20"/>
          <w:szCs w:val="20"/>
          <w:lang w:val="es-ES_tradnl"/>
        </w:rPr>
      </w:pPr>
      <w:r w:rsidRPr="00BE5AE1">
        <w:rPr>
          <w:rFonts w:ascii="Verdana" w:hAnsi="Verdana"/>
          <w:sz w:val="20"/>
          <w:szCs w:val="20"/>
          <w:lang w:val="es-ES_tradnl"/>
        </w:rPr>
        <w:t>Por otra parte</w:t>
      </w:r>
      <w:r w:rsidR="00137BA8" w:rsidRPr="00BE5AE1">
        <w:rPr>
          <w:rFonts w:ascii="Verdana" w:hAnsi="Verdana"/>
          <w:sz w:val="20"/>
          <w:szCs w:val="20"/>
          <w:lang w:val="es-ES_tradnl"/>
        </w:rPr>
        <w:t xml:space="preserve">, </w:t>
      </w:r>
      <w:r w:rsidR="0091633B" w:rsidRPr="00BE5AE1">
        <w:rPr>
          <w:rFonts w:ascii="Verdana" w:hAnsi="Verdana"/>
          <w:sz w:val="20"/>
          <w:szCs w:val="20"/>
          <w:lang w:val="es-ES_tradnl"/>
        </w:rPr>
        <w:t xml:space="preserve">en su escrito el Estado alegó que la Corte Interamericana no consideró todos sus alegatos relativos a la excepción preliminar y que la tesis desarrollada por el Estado había sido “captada de manera errónea por los relatores de este fallo”. </w:t>
      </w:r>
      <w:r w:rsidR="001C4DC4" w:rsidRPr="00BE5AE1">
        <w:rPr>
          <w:rFonts w:ascii="Verdana" w:hAnsi="Verdana"/>
          <w:sz w:val="20"/>
          <w:szCs w:val="20"/>
          <w:lang w:val="es-ES_tradnl"/>
        </w:rPr>
        <w:t xml:space="preserve">Si bien la Corte ha reconocido que, </w:t>
      </w:r>
      <w:r w:rsidR="001C4DC4" w:rsidRPr="00BE5AE1">
        <w:rPr>
          <w:rFonts w:ascii="Verdana" w:eastAsiaTheme="minorHAnsi" w:hAnsi="Verdana"/>
          <w:sz w:val="20"/>
          <w:szCs w:val="20"/>
          <w:lang w:val="es-ES" w:eastAsia="es-CR"/>
        </w:rPr>
        <w:t xml:space="preserve">en casos excepcionales, podría </w:t>
      </w:r>
      <w:r w:rsidR="00137BA8" w:rsidRPr="00BE5AE1">
        <w:rPr>
          <w:rFonts w:ascii="Verdana" w:eastAsiaTheme="minorHAnsi" w:hAnsi="Verdana"/>
          <w:sz w:val="20"/>
          <w:szCs w:val="20"/>
          <w:lang w:val="es-ES" w:eastAsia="es-CR"/>
        </w:rPr>
        <w:t>procede</w:t>
      </w:r>
      <w:r w:rsidR="001C4DC4" w:rsidRPr="00BE5AE1">
        <w:rPr>
          <w:rFonts w:ascii="Verdana" w:eastAsiaTheme="minorHAnsi" w:hAnsi="Verdana"/>
          <w:sz w:val="20"/>
          <w:szCs w:val="20"/>
          <w:lang w:val="es-ES" w:eastAsia="es-CR"/>
        </w:rPr>
        <w:t>r</w:t>
      </w:r>
      <w:r w:rsidR="00137BA8" w:rsidRPr="00BE5AE1">
        <w:rPr>
          <w:rFonts w:ascii="Verdana" w:eastAsiaTheme="minorHAnsi" w:hAnsi="Verdana"/>
          <w:sz w:val="20"/>
          <w:szCs w:val="20"/>
          <w:lang w:val="es-ES" w:eastAsia="es-CR"/>
        </w:rPr>
        <w:t xml:space="preserve"> un recurso de revisión</w:t>
      </w:r>
      <w:r w:rsidR="00137BA8" w:rsidRPr="00BE5AE1">
        <w:rPr>
          <w:rFonts w:ascii="Verdana" w:eastAsiaTheme="minorHAnsi" w:hAnsi="Verdana"/>
          <w:i/>
          <w:sz w:val="20"/>
          <w:szCs w:val="20"/>
          <w:lang w:val="es-ES" w:eastAsia="es-CR"/>
        </w:rPr>
        <w:t xml:space="preserve"> </w:t>
      </w:r>
      <w:r w:rsidR="00137BA8" w:rsidRPr="00BE5AE1">
        <w:rPr>
          <w:rFonts w:ascii="Verdana" w:eastAsiaTheme="minorHAnsi" w:hAnsi="Verdana"/>
          <w:sz w:val="20"/>
          <w:szCs w:val="20"/>
          <w:lang w:val="es-ES" w:eastAsia="es-CR"/>
        </w:rPr>
        <w:t xml:space="preserve">cuando un hecho, conocido luego de emitida la sentencia, afecte lo decidido, o demuestre un vicio sustancial de </w:t>
      </w:r>
      <w:r w:rsidR="00DB42B2">
        <w:rPr>
          <w:rFonts w:ascii="Verdana" w:eastAsiaTheme="minorHAnsi" w:hAnsi="Verdana"/>
          <w:sz w:val="20"/>
          <w:szCs w:val="20"/>
          <w:lang w:val="es-ES" w:eastAsia="es-CR"/>
        </w:rPr>
        <w:t>e</w:t>
      </w:r>
      <w:r w:rsidR="00137BA8" w:rsidRPr="00BE5AE1">
        <w:rPr>
          <w:rFonts w:ascii="Verdana" w:eastAsiaTheme="minorHAnsi" w:hAnsi="Verdana"/>
          <w:sz w:val="20"/>
          <w:szCs w:val="20"/>
          <w:lang w:val="es-ES" w:eastAsia="es-CR"/>
        </w:rPr>
        <w:t>sta</w:t>
      </w:r>
      <w:r w:rsidR="001C4DC4" w:rsidRPr="00BE5AE1">
        <w:rPr>
          <w:rStyle w:val="FootnoteReference"/>
          <w:rFonts w:ascii="Verdana" w:eastAsiaTheme="minorHAnsi" w:hAnsi="Verdana"/>
          <w:sz w:val="20"/>
          <w:szCs w:val="20"/>
          <w:lang w:val="es-ES" w:eastAsia="es-CR"/>
        </w:rPr>
        <w:footnoteReference w:id="7"/>
      </w:r>
      <w:r w:rsidR="001C4DC4" w:rsidRPr="00BE5AE1">
        <w:rPr>
          <w:rFonts w:ascii="Verdana" w:eastAsiaTheme="minorHAnsi" w:hAnsi="Verdana"/>
          <w:sz w:val="20"/>
          <w:szCs w:val="20"/>
          <w:lang w:val="es-ES" w:eastAsia="es-CR"/>
        </w:rPr>
        <w:t xml:space="preserve">, </w:t>
      </w:r>
      <w:r w:rsidR="00B120B3" w:rsidRPr="00BE5AE1">
        <w:rPr>
          <w:rFonts w:ascii="Verdana" w:eastAsiaTheme="minorHAnsi" w:hAnsi="Verdana"/>
          <w:sz w:val="20"/>
          <w:szCs w:val="20"/>
          <w:lang w:val="es-ES" w:eastAsia="es-CR"/>
        </w:rPr>
        <w:t>este no es el supuesto del presente caso. L</w:t>
      </w:r>
      <w:r w:rsidR="001C4DC4" w:rsidRPr="00BE5AE1">
        <w:rPr>
          <w:rFonts w:ascii="Verdana" w:eastAsiaTheme="minorHAnsi" w:hAnsi="Verdana"/>
          <w:sz w:val="20"/>
          <w:szCs w:val="20"/>
          <w:lang w:val="es-ES" w:eastAsia="es-CR"/>
        </w:rPr>
        <w:t xml:space="preserve">os alegatos presentados por el Estado </w:t>
      </w:r>
      <w:r w:rsidR="00B120B3" w:rsidRPr="00BE5AE1">
        <w:rPr>
          <w:rFonts w:ascii="Verdana" w:eastAsiaTheme="minorHAnsi" w:hAnsi="Verdana"/>
          <w:sz w:val="20"/>
          <w:szCs w:val="20"/>
          <w:lang w:val="es-ES" w:eastAsia="es-CR"/>
        </w:rPr>
        <w:t xml:space="preserve">en su “solicitud de reposición” constituyen sustancialmente los mismos </w:t>
      </w:r>
      <w:r w:rsidR="001564D5" w:rsidRPr="00BE5AE1">
        <w:rPr>
          <w:rFonts w:ascii="Verdana" w:eastAsiaTheme="minorHAnsi" w:hAnsi="Verdana"/>
          <w:sz w:val="20"/>
          <w:szCs w:val="20"/>
          <w:lang w:val="es-ES" w:eastAsia="es-CR"/>
        </w:rPr>
        <w:t xml:space="preserve">que fueron </w:t>
      </w:r>
      <w:r w:rsidR="00B120B3" w:rsidRPr="00BE5AE1">
        <w:rPr>
          <w:rFonts w:ascii="Verdana" w:eastAsiaTheme="minorHAnsi" w:hAnsi="Verdana"/>
          <w:sz w:val="20"/>
          <w:szCs w:val="20"/>
          <w:lang w:val="es-ES" w:eastAsia="es-CR"/>
        </w:rPr>
        <w:t>presentados durante el trámite del caso contencioso</w:t>
      </w:r>
      <w:r w:rsidR="001564D5" w:rsidRPr="00BE5AE1">
        <w:rPr>
          <w:rFonts w:ascii="Verdana" w:eastAsiaTheme="minorHAnsi" w:hAnsi="Verdana"/>
          <w:sz w:val="20"/>
          <w:szCs w:val="20"/>
          <w:lang w:val="es-ES" w:eastAsia="es-CR"/>
        </w:rPr>
        <w:t xml:space="preserve"> y que </w:t>
      </w:r>
      <w:r w:rsidR="00B120B3" w:rsidRPr="00BE5AE1">
        <w:rPr>
          <w:rFonts w:ascii="Verdana" w:eastAsiaTheme="minorHAnsi" w:hAnsi="Verdana"/>
          <w:sz w:val="20"/>
          <w:szCs w:val="20"/>
          <w:lang w:val="es-ES" w:eastAsia="es-CR"/>
        </w:rPr>
        <w:t xml:space="preserve">fueron oportunamente resueltos en la Sentencia. </w:t>
      </w:r>
      <w:r w:rsidR="00B120B3" w:rsidRPr="00BE5AE1">
        <w:rPr>
          <w:rFonts w:ascii="Verdana" w:hAnsi="Verdana"/>
          <w:sz w:val="20"/>
          <w:szCs w:val="20"/>
          <w:lang w:val="es-ES_tradnl"/>
        </w:rPr>
        <w:t>L</w:t>
      </w:r>
      <w:r w:rsidR="001C4DC4" w:rsidRPr="00BE5AE1">
        <w:rPr>
          <w:rFonts w:ascii="Verdana" w:hAnsi="Verdana"/>
          <w:sz w:val="20"/>
          <w:szCs w:val="20"/>
          <w:lang w:val="es-ES_tradnl"/>
        </w:rPr>
        <w:t xml:space="preserve">a Corte advierte que </w:t>
      </w:r>
      <w:r w:rsidR="001C4DC4" w:rsidRPr="00BE5AE1">
        <w:rPr>
          <w:rFonts w:ascii="Verdana" w:hAnsi="Verdana"/>
          <w:sz w:val="20"/>
          <w:szCs w:val="20"/>
        </w:rPr>
        <w:t xml:space="preserve">el resumen de los alegatos de las partes reflejado en </w:t>
      </w:r>
      <w:r w:rsidR="00B120B3" w:rsidRPr="00BE5AE1">
        <w:rPr>
          <w:rFonts w:ascii="Verdana" w:hAnsi="Verdana"/>
          <w:sz w:val="20"/>
          <w:szCs w:val="20"/>
        </w:rPr>
        <w:t xml:space="preserve">sus </w:t>
      </w:r>
      <w:r w:rsidR="001C4DC4" w:rsidRPr="00BE5AE1">
        <w:rPr>
          <w:rFonts w:ascii="Verdana" w:hAnsi="Verdana"/>
          <w:sz w:val="20"/>
          <w:szCs w:val="20"/>
        </w:rPr>
        <w:t>sentencias constituye exactamente eso, un resumen, y en ninguna manera significa que este Tribunal no haya examinado y tomado en cuenta la totalidad de los alegatos presentados, previo a adoptar una decisión al respecto.</w:t>
      </w:r>
      <w:r w:rsidR="001C4DC4" w:rsidRPr="00BE5AE1">
        <w:rPr>
          <w:rFonts w:ascii="Verdana" w:hAnsi="Verdana"/>
          <w:sz w:val="20"/>
          <w:szCs w:val="20"/>
          <w:lang w:val="es-ES_tradnl"/>
        </w:rPr>
        <w:t xml:space="preserve"> </w:t>
      </w:r>
      <w:r w:rsidR="00B120B3" w:rsidRPr="00BE5AE1">
        <w:rPr>
          <w:rFonts w:ascii="Verdana" w:eastAsiaTheme="minorHAnsi" w:hAnsi="Verdana"/>
          <w:sz w:val="20"/>
          <w:szCs w:val="20"/>
          <w:lang w:val="es-CL" w:eastAsia="es-CR"/>
        </w:rPr>
        <w:t xml:space="preserve">No existe ningún </w:t>
      </w:r>
      <w:r w:rsidR="00B120B3" w:rsidRPr="00BE5AE1">
        <w:rPr>
          <w:rFonts w:ascii="Verdana" w:eastAsiaTheme="minorHAnsi" w:hAnsi="Verdana"/>
          <w:sz w:val="20"/>
          <w:szCs w:val="20"/>
          <w:lang w:val="es-ES" w:eastAsia="es-CR"/>
        </w:rPr>
        <w:t>hecho o situación relevante que fuera desconocida al momento de dictarse la Sentencia</w:t>
      </w:r>
      <w:r w:rsidR="00B120B3" w:rsidRPr="00BE5AE1">
        <w:rPr>
          <w:rFonts w:ascii="Verdana" w:eastAsiaTheme="minorHAnsi" w:hAnsi="Verdana"/>
          <w:sz w:val="20"/>
          <w:szCs w:val="20"/>
          <w:lang w:val="es-CL" w:eastAsia="es-CR"/>
        </w:rPr>
        <w:t xml:space="preserve"> que, </w:t>
      </w:r>
      <w:r w:rsidR="00B120B3" w:rsidRPr="00BE5AE1">
        <w:rPr>
          <w:rFonts w:ascii="Verdana" w:eastAsiaTheme="minorHAnsi" w:hAnsi="Verdana"/>
          <w:sz w:val="20"/>
          <w:szCs w:val="20"/>
          <w:lang w:val="es-ES" w:eastAsia="es-CR"/>
        </w:rPr>
        <w:t xml:space="preserve">de haberse conocido, hubiese modificado su resultado, sino que el Estado está nuevamente cuestionando la admisibilidad del caso, con base en los mismos argumentos ya presentados con anterioridad. </w:t>
      </w:r>
      <w:r w:rsidR="00F1652D" w:rsidRPr="00BE5AE1">
        <w:rPr>
          <w:rFonts w:ascii="Verdana" w:hAnsi="Verdana"/>
          <w:sz w:val="20"/>
          <w:szCs w:val="20"/>
          <w:lang w:val="es-ES_tradnl"/>
        </w:rPr>
        <w:t xml:space="preserve">El desacuerdo con lo decidido no constituye una razón que justifique la interpretación o revisión de una Sentencia de la Corte. </w:t>
      </w:r>
    </w:p>
    <w:p w:rsidR="00F1652D" w:rsidRPr="00BE5AE1" w:rsidRDefault="00F1652D" w:rsidP="00571229">
      <w:pPr>
        <w:pStyle w:val="NoSpacing"/>
        <w:jc w:val="both"/>
        <w:rPr>
          <w:rFonts w:ascii="Verdana" w:hAnsi="Verdana"/>
          <w:sz w:val="20"/>
          <w:szCs w:val="20"/>
          <w:lang w:val="es-ES_tradnl"/>
        </w:rPr>
      </w:pPr>
    </w:p>
    <w:p w:rsidR="0072798A" w:rsidRPr="00BE5AE1" w:rsidRDefault="0072798A" w:rsidP="00571229">
      <w:pPr>
        <w:pStyle w:val="NoSpacing"/>
        <w:numPr>
          <w:ilvl w:val="0"/>
          <w:numId w:val="1"/>
        </w:numPr>
        <w:tabs>
          <w:tab w:val="clear" w:pos="1247"/>
          <w:tab w:val="num" w:pos="540"/>
        </w:tabs>
        <w:jc w:val="both"/>
        <w:rPr>
          <w:rFonts w:ascii="Verdana" w:hAnsi="Verdana"/>
          <w:sz w:val="20"/>
          <w:szCs w:val="20"/>
          <w:lang w:val="es-ES_tradnl"/>
        </w:rPr>
      </w:pPr>
      <w:r w:rsidRPr="00BE5AE1">
        <w:rPr>
          <w:rFonts w:ascii="Verdana" w:hAnsi="Verdana" w:cs="Arial"/>
          <w:sz w:val="20"/>
          <w:szCs w:val="20"/>
          <w:lang w:val="es-ES_tradnl"/>
        </w:rPr>
        <w:lastRenderedPageBreak/>
        <w:t>En virtud de l</w:t>
      </w:r>
      <w:r w:rsidR="001C4DC4" w:rsidRPr="00BE5AE1">
        <w:rPr>
          <w:rFonts w:ascii="Verdana" w:hAnsi="Verdana" w:cs="Arial"/>
          <w:sz w:val="20"/>
          <w:szCs w:val="20"/>
          <w:lang w:val="es-ES_tradnl"/>
        </w:rPr>
        <w:t>as consideraciones</w:t>
      </w:r>
      <w:r w:rsidRPr="00BE5AE1">
        <w:rPr>
          <w:rFonts w:ascii="Verdana" w:hAnsi="Verdana" w:cs="Arial"/>
          <w:sz w:val="20"/>
          <w:szCs w:val="20"/>
          <w:lang w:val="es-ES_tradnl"/>
        </w:rPr>
        <w:t xml:space="preserve"> anterior</w:t>
      </w:r>
      <w:r w:rsidR="001C4DC4" w:rsidRPr="00BE5AE1">
        <w:rPr>
          <w:rFonts w:ascii="Verdana" w:hAnsi="Verdana" w:cs="Arial"/>
          <w:sz w:val="20"/>
          <w:szCs w:val="20"/>
          <w:lang w:val="es-ES_tradnl"/>
        </w:rPr>
        <w:t>es</w:t>
      </w:r>
      <w:r w:rsidRPr="00BE5AE1">
        <w:rPr>
          <w:rFonts w:ascii="Verdana" w:hAnsi="Verdana" w:cs="Arial"/>
          <w:sz w:val="20"/>
          <w:szCs w:val="20"/>
          <w:lang w:val="es-ES_tradnl"/>
        </w:rPr>
        <w:t xml:space="preserve">, la Corte concluye que </w:t>
      </w:r>
      <w:r w:rsidR="00E12C9E" w:rsidRPr="00BE5AE1">
        <w:rPr>
          <w:rFonts w:ascii="Verdana" w:hAnsi="Verdana" w:cs="Arial"/>
          <w:sz w:val="20"/>
          <w:szCs w:val="20"/>
          <w:lang w:val="es-ES_tradnl"/>
        </w:rPr>
        <w:t xml:space="preserve">la “solicitud de reposición” </w:t>
      </w:r>
      <w:r w:rsidRPr="00BE5AE1">
        <w:rPr>
          <w:rFonts w:ascii="Verdana" w:hAnsi="Verdana" w:cs="Arial"/>
          <w:sz w:val="20"/>
          <w:szCs w:val="20"/>
          <w:lang w:val="es-ES_tradnl"/>
        </w:rPr>
        <w:t>presentad</w:t>
      </w:r>
      <w:r w:rsidR="00E12C9E" w:rsidRPr="00BE5AE1">
        <w:rPr>
          <w:rFonts w:ascii="Verdana" w:hAnsi="Verdana" w:cs="Arial"/>
          <w:sz w:val="20"/>
          <w:szCs w:val="20"/>
          <w:lang w:val="es-ES_tradnl"/>
        </w:rPr>
        <w:t>a</w:t>
      </w:r>
      <w:r w:rsidRPr="00BE5AE1">
        <w:rPr>
          <w:rFonts w:ascii="Verdana" w:hAnsi="Verdana" w:cs="Arial"/>
          <w:sz w:val="20"/>
          <w:szCs w:val="20"/>
          <w:lang w:val="es-ES_tradnl"/>
        </w:rPr>
        <w:t xml:space="preserve"> por el Estado e</w:t>
      </w:r>
      <w:r w:rsidR="00B120B3" w:rsidRPr="00BE5AE1">
        <w:rPr>
          <w:rFonts w:ascii="Verdana" w:hAnsi="Verdana" w:cs="Arial"/>
          <w:sz w:val="20"/>
          <w:szCs w:val="20"/>
          <w:lang w:val="es-ES_tradnl"/>
        </w:rPr>
        <w:t xml:space="preserve">s manifiestamente improcedente, por lo que corresponde </w:t>
      </w:r>
      <w:r w:rsidR="00B120B3" w:rsidRPr="00D0731F">
        <w:rPr>
          <w:rFonts w:ascii="Verdana" w:hAnsi="Verdana" w:cs="Arial"/>
          <w:sz w:val="20"/>
          <w:szCs w:val="20"/>
          <w:lang w:val="es-ES_tradnl"/>
        </w:rPr>
        <w:t>desestimar</w:t>
      </w:r>
      <w:r w:rsidR="00B120B3" w:rsidRPr="00BE5AE1">
        <w:rPr>
          <w:rFonts w:ascii="Verdana" w:hAnsi="Verdana" w:cs="Arial"/>
          <w:sz w:val="20"/>
          <w:szCs w:val="20"/>
          <w:lang w:val="es-ES_tradnl"/>
        </w:rPr>
        <w:t xml:space="preserve"> dicha solicitud.</w:t>
      </w:r>
    </w:p>
    <w:p w:rsidR="008B08FE" w:rsidRPr="00BE5AE1" w:rsidRDefault="008B08FE" w:rsidP="00571229">
      <w:pPr>
        <w:pStyle w:val="NoSpacing"/>
        <w:rPr>
          <w:rFonts w:ascii="Verdana" w:hAnsi="Verdana" w:cs="Verdana"/>
          <w:b/>
          <w:sz w:val="20"/>
          <w:szCs w:val="20"/>
          <w:lang w:val="es-ES_tradnl"/>
        </w:rPr>
      </w:pPr>
    </w:p>
    <w:p w:rsidR="000651F9" w:rsidRPr="00BE5AE1" w:rsidRDefault="000651F9" w:rsidP="00571229">
      <w:pPr>
        <w:pStyle w:val="NoSpacing"/>
        <w:jc w:val="center"/>
        <w:rPr>
          <w:rFonts w:ascii="Verdana" w:hAnsi="Verdana" w:cs="Verdana"/>
          <w:b/>
          <w:sz w:val="20"/>
          <w:szCs w:val="20"/>
          <w:lang w:val="es-ES_tradnl"/>
        </w:rPr>
      </w:pPr>
      <w:r w:rsidRPr="00BE5AE1">
        <w:rPr>
          <w:rFonts w:ascii="Verdana" w:hAnsi="Verdana" w:cs="Verdana"/>
          <w:b/>
          <w:sz w:val="20"/>
          <w:szCs w:val="20"/>
          <w:lang w:val="es-ES_tradnl"/>
        </w:rPr>
        <w:t>IV</w:t>
      </w:r>
    </w:p>
    <w:p w:rsidR="00E723EE" w:rsidRPr="00BE5AE1" w:rsidRDefault="00E723EE" w:rsidP="00571229">
      <w:pPr>
        <w:pStyle w:val="NoSpacing"/>
        <w:jc w:val="center"/>
        <w:rPr>
          <w:rFonts w:ascii="Verdana" w:hAnsi="Verdana" w:cs="Verdana"/>
          <w:b/>
          <w:sz w:val="20"/>
          <w:szCs w:val="20"/>
          <w:lang w:val="es-ES_tradnl"/>
        </w:rPr>
      </w:pPr>
      <w:r w:rsidRPr="00BE5AE1">
        <w:rPr>
          <w:rFonts w:ascii="Verdana" w:hAnsi="Verdana" w:cs="Verdana"/>
          <w:b/>
          <w:sz w:val="20"/>
          <w:szCs w:val="20"/>
          <w:lang w:val="es-ES_tradnl"/>
        </w:rPr>
        <w:t xml:space="preserve">ADMISIBILIDAD </w:t>
      </w:r>
      <w:r w:rsidR="009D3F10" w:rsidRPr="00BE5AE1">
        <w:rPr>
          <w:rFonts w:ascii="Verdana" w:hAnsi="Verdana" w:cs="Verdana"/>
          <w:b/>
          <w:sz w:val="20"/>
          <w:szCs w:val="20"/>
          <w:lang w:val="es-ES_tradnl"/>
        </w:rPr>
        <w:t>DE LA SOLICITUD DE INTERPRETACIÓN</w:t>
      </w:r>
      <w:r w:rsidR="00E12C9E" w:rsidRPr="00BE5AE1">
        <w:rPr>
          <w:rFonts w:ascii="Verdana" w:hAnsi="Verdana" w:cs="Verdana"/>
          <w:b/>
          <w:sz w:val="20"/>
          <w:szCs w:val="20"/>
          <w:lang w:val="es-ES_tradnl"/>
        </w:rPr>
        <w:t xml:space="preserve"> PRESENTADA POR LOS REPRESENTANTES</w:t>
      </w:r>
    </w:p>
    <w:p w:rsidR="00E723EE" w:rsidRPr="00BE5AE1" w:rsidRDefault="00E723EE" w:rsidP="00571229">
      <w:pPr>
        <w:tabs>
          <w:tab w:val="left" w:pos="567"/>
        </w:tabs>
        <w:autoSpaceDE w:val="0"/>
        <w:autoSpaceDN w:val="0"/>
        <w:adjustRightInd w:val="0"/>
        <w:spacing w:after="0" w:line="240" w:lineRule="auto"/>
        <w:jc w:val="both"/>
        <w:rPr>
          <w:rFonts w:eastAsia="Times"/>
          <w:bCs/>
          <w:szCs w:val="20"/>
          <w:lang w:val="es-ES_tradnl"/>
        </w:rPr>
      </w:pPr>
    </w:p>
    <w:p w:rsidR="00E723EE" w:rsidRPr="00BE5AE1" w:rsidRDefault="00E723EE" w:rsidP="00571229">
      <w:pPr>
        <w:numPr>
          <w:ilvl w:val="0"/>
          <w:numId w:val="1"/>
        </w:numPr>
        <w:tabs>
          <w:tab w:val="left" w:pos="567"/>
          <w:tab w:val="num" w:pos="720"/>
        </w:tabs>
        <w:autoSpaceDE w:val="0"/>
        <w:autoSpaceDN w:val="0"/>
        <w:adjustRightInd w:val="0"/>
        <w:spacing w:after="0" w:line="240" w:lineRule="auto"/>
        <w:jc w:val="both"/>
        <w:rPr>
          <w:rFonts w:eastAsia="Times"/>
          <w:bCs/>
          <w:szCs w:val="20"/>
          <w:lang w:val="es-ES_tradnl"/>
        </w:rPr>
      </w:pPr>
      <w:bookmarkStart w:id="14" w:name="_Ref403060963"/>
      <w:r w:rsidRPr="00BE5AE1">
        <w:rPr>
          <w:szCs w:val="20"/>
          <w:lang w:val="es-ES_tradnl"/>
        </w:rPr>
        <w:t>Corresp</w:t>
      </w:r>
      <w:r w:rsidR="00945BF0" w:rsidRPr="00BE5AE1">
        <w:rPr>
          <w:szCs w:val="20"/>
          <w:lang w:val="es-ES_tradnl"/>
        </w:rPr>
        <w:t>onde a la Corte verificar si la solicitud presentada</w:t>
      </w:r>
      <w:r w:rsidRPr="00BE5AE1">
        <w:rPr>
          <w:szCs w:val="20"/>
          <w:lang w:val="es-ES_tradnl"/>
        </w:rPr>
        <w:t xml:space="preserve"> por </w:t>
      </w:r>
      <w:r w:rsidR="003F64DC" w:rsidRPr="00BE5AE1">
        <w:rPr>
          <w:szCs w:val="20"/>
          <w:lang w:val="es-ES_tradnl"/>
        </w:rPr>
        <w:t>los</w:t>
      </w:r>
      <w:r w:rsidRPr="00BE5AE1">
        <w:rPr>
          <w:szCs w:val="20"/>
          <w:lang w:val="es-ES_tradnl"/>
        </w:rPr>
        <w:t xml:space="preserve"> representante</w:t>
      </w:r>
      <w:r w:rsidR="003F64DC" w:rsidRPr="00BE5AE1">
        <w:rPr>
          <w:szCs w:val="20"/>
          <w:lang w:val="es-ES_tradnl"/>
        </w:rPr>
        <w:t>s</w:t>
      </w:r>
      <w:r w:rsidR="00945BF0" w:rsidRPr="00BE5AE1">
        <w:rPr>
          <w:szCs w:val="20"/>
          <w:lang w:val="es-ES_tradnl"/>
        </w:rPr>
        <w:t xml:space="preserve"> cumple</w:t>
      </w:r>
      <w:r w:rsidRPr="00BE5AE1">
        <w:rPr>
          <w:szCs w:val="20"/>
          <w:lang w:val="es-ES_tradnl"/>
        </w:rPr>
        <w:t xml:space="preserve"> con los requisitos establecidos en las normas aplicables a una solicitud de interpretación de Sentencia, a saber, el artículo 67 de la Convención, anteriormente citado, y el artículo 68 del Reglamento que dispone, en lo pertinente, que:</w:t>
      </w:r>
      <w:bookmarkEnd w:id="14"/>
    </w:p>
    <w:p w:rsidR="00E723EE" w:rsidRPr="00BE5AE1" w:rsidRDefault="00E723EE" w:rsidP="00571229">
      <w:pPr>
        <w:tabs>
          <w:tab w:val="left" w:pos="567"/>
        </w:tabs>
        <w:autoSpaceDE w:val="0"/>
        <w:autoSpaceDN w:val="0"/>
        <w:adjustRightInd w:val="0"/>
        <w:spacing w:after="0" w:line="240" w:lineRule="auto"/>
        <w:jc w:val="both"/>
        <w:rPr>
          <w:szCs w:val="20"/>
          <w:lang w:val="es-ES_tradnl"/>
        </w:rPr>
      </w:pPr>
    </w:p>
    <w:p w:rsidR="00E723EE" w:rsidRPr="00BE5AE1" w:rsidRDefault="00E723EE" w:rsidP="00571229">
      <w:pPr>
        <w:pStyle w:val="NoSpacing"/>
        <w:tabs>
          <w:tab w:val="left" w:pos="1134"/>
        </w:tabs>
        <w:ind w:left="720" w:right="616"/>
        <w:jc w:val="both"/>
        <w:rPr>
          <w:rFonts w:ascii="Verdana" w:hAnsi="Verdana"/>
          <w:sz w:val="16"/>
          <w:szCs w:val="16"/>
          <w:lang w:val="es-ES_tradnl"/>
        </w:rPr>
      </w:pPr>
      <w:r w:rsidRPr="00BE5AE1">
        <w:rPr>
          <w:rFonts w:ascii="Verdana" w:hAnsi="Verdana"/>
          <w:sz w:val="16"/>
          <w:szCs w:val="16"/>
          <w:lang w:val="es-ES_tradnl"/>
        </w:rPr>
        <w:t>1.</w:t>
      </w:r>
      <w:r w:rsidRPr="00BE5AE1">
        <w:rPr>
          <w:rFonts w:ascii="Verdana" w:hAnsi="Verdana"/>
          <w:sz w:val="16"/>
          <w:szCs w:val="16"/>
          <w:lang w:val="es-ES_tradnl"/>
        </w:rPr>
        <w:tab/>
        <w:t>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w:t>
      </w:r>
    </w:p>
    <w:p w:rsidR="00E723EE" w:rsidRPr="00BE5AE1" w:rsidRDefault="00E723EE" w:rsidP="00571229">
      <w:pPr>
        <w:pStyle w:val="NoSpacing"/>
        <w:tabs>
          <w:tab w:val="left" w:pos="1134"/>
        </w:tabs>
        <w:ind w:left="720" w:right="616"/>
        <w:jc w:val="both"/>
        <w:rPr>
          <w:rFonts w:ascii="Verdana" w:hAnsi="Verdana"/>
          <w:sz w:val="16"/>
          <w:szCs w:val="16"/>
          <w:lang w:val="es-ES_tradnl"/>
        </w:rPr>
      </w:pPr>
      <w:r w:rsidRPr="00BE5AE1">
        <w:rPr>
          <w:rFonts w:ascii="Verdana" w:hAnsi="Verdana"/>
          <w:sz w:val="16"/>
          <w:szCs w:val="16"/>
          <w:lang w:val="es-ES_tradnl"/>
        </w:rPr>
        <w:t>[…]</w:t>
      </w:r>
    </w:p>
    <w:p w:rsidR="00E723EE" w:rsidRPr="00BE5AE1" w:rsidRDefault="00E723EE" w:rsidP="00571229">
      <w:pPr>
        <w:pStyle w:val="NoSpacing"/>
        <w:tabs>
          <w:tab w:val="left" w:pos="1134"/>
        </w:tabs>
        <w:ind w:left="720" w:right="616"/>
        <w:jc w:val="both"/>
        <w:rPr>
          <w:rFonts w:ascii="Verdana" w:hAnsi="Verdana"/>
          <w:sz w:val="16"/>
          <w:szCs w:val="16"/>
          <w:lang w:val="es-ES_tradnl"/>
        </w:rPr>
      </w:pPr>
      <w:r w:rsidRPr="00BE5AE1">
        <w:rPr>
          <w:rFonts w:ascii="Verdana" w:hAnsi="Verdana"/>
          <w:sz w:val="16"/>
          <w:szCs w:val="16"/>
          <w:lang w:val="es-ES_tradnl"/>
        </w:rPr>
        <w:t>4.</w:t>
      </w:r>
      <w:r w:rsidRPr="00BE5AE1">
        <w:rPr>
          <w:rFonts w:ascii="Verdana" w:hAnsi="Verdana"/>
          <w:sz w:val="16"/>
          <w:szCs w:val="16"/>
          <w:lang w:val="es-ES_tradnl"/>
        </w:rPr>
        <w:tab/>
        <w:t>La solicitud de interpretación no suspenderá la ejecución de la sentencia.</w:t>
      </w:r>
    </w:p>
    <w:p w:rsidR="00E723EE" w:rsidRPr="00BE5AE1" w:rsidRDefault="00E723EE" w:rsidP="00571229">
      <w:pPr>
        <w:pStyle w:val="NoSpacing"/>
        <w:tabs>
          <w:tab w:val="left" w:pos="1134"/>
        </w:tabs>
        <w:ind w:left="720" w:right="616"/>
        <w:jc w:val="both"/>
        <w:rPr>
          <w:rFonts w:ascii="Verdana" w:hAnsi="Verdana"/>
          <w:sz w:val="16"/>
          <w:szCs w:val="16"/>
          <w:lang w:val="es-ES_tradnl"/>
        </w:rPr>
      </w:pPr>
      <w:r w:rsidRPr="00BE5AE1">
        <w:rPr>
          <w:rFonts w:ascii="Verdana" w:hAnsi="Verdana"/>
          <w:sz w:val="16"/>
          <w:szCs w:val="16"/>
          <w:lang w:val="es-ES_tradnl"/>
        </w:rPr>
        <w:t>5.</w:t>
      </w:r>
      <w:r w:rsidRPr="00BE5AE1">
        <w:rPr>
          <w:rFonts w:ascii="Verdana" w:hAnsi="Verdana"/>
          <w:sz w:val="16"/>
          <w:szCs w:val="16"/>
          <w:lang w:val="es-ES_tradnl"/>
        </w:rPr>
        <w:tab/>
        <w:t>La Corte determinará el procedimiento que se seguirá y resolverá mediante una sentencia.</w:t>
      </w:r>
    </w:p>
    <w:p w:rsidR="003F64DC" w:rsidRPr="00BE5AE1" w:rsidRDefault="003F64DC" w:rsidP="00571229">
      <w:pPr>
        <w:spacing w:after="0"/>
        <w:rPr>
          <w:szCs w:val="20"/>
          <w:lang w:val="es-ES_tradnl"/>
        </w:rPr>
      </w:pPr>
    </w:p>
    <w:p w:rsidR="00E723EE" w:rsidRPr="00BE5AE1" w:rsidRDefault="00E723EE" w:rsidP="00571229">
      <w:pPr>
        <w:pStyle w:val="ListParagraph"/>
        <w:widowControl w:val="0"/>
        <w:numPr>
          <w:ilvl w:val="0"/>
          <w:numId w:val="1"/>
        </w:numPr>
        <w:tabs>
          <w:tab w:val="left" w:pos="567"/>
        </w:tabs>
        <w:autoSpaceDE w:val="0"/>
        <w:autoSpaceDN w:val="0"/>
        <w:adjustRightInd w:val="0"/>
        <w:spacing w:after="0" w:line="240" w:lineRule="auto"/>
        <w:ind w:right="-3"/>
        <w:contextualSpacing w:val="0"/>
        <w:jc w:val="both"/>
        <w:rPr>
          <w:rFonts w:eastAsia="Times New Roman" w:cs="Verdana"/>
          <w:lang w:val="es-ES" w:eastAsia="es-CR"/>
        </w:rPr>
      </w:pPr>
      <w:r w:rsidRPr="00BE5AE1">
        <w:rPr>
          <w:szCs w:val="20"/>
          <w:lang w:val="es-ES_tradnl"/>
        </w:rPr>
        <w:t xml:space="preserve">La Corte observa que </w:t>
      </w:r>
      <w:r w:rsidR="009D3F10" w:rsidRPr="00BE5AE1">
        <w:rPr>
          <w:szCs w:val="20"/>
          <w:lang w:val="es-ES_tradnl"/>
        </w:rPr>
        <w:t>los</w:t>
      </w:r>
      <w:r w:rsidRPr="00BE5AE1">
        <w:rPr>
          <w:szCs w:val="20"/>
          <w:lang w:val="es-ES_tradnl"/>
        </w:rPr>
        <w:t xml:space="preserve"> representante</w:t>
      </w:r>
      <w:r w:rsidR="009D3F10" w:rsidRPr="00BE5AE1">
        <w:rPr>
          <w:szCs w:val="20"/>
          <w:lang w:val="es-ES_tradnl"/>
        </w:rPr>
        <w:t>s</w:t>
      </w:r>
      <w:r w:rsidRPr="00BE5AE1">
        <w:rPr>
          <w:szCs w:val="20"/>
          <w:lang w:val="es-ES_tradnl"/>
        </w:rPr>
        <w:t xml:space="preserve"> </w:t>
      </w:r>
      <w:r w:rsidR="009D3F10" w:rsidRPr="00BE5AE1">
        <w:rPr>
          <w:szCs w:val="20"/>
          <w:lang w:val="es-ES_tradnl"/>
        </w:rPr>
        <w:t>presentaron su solicitud</w:t>
      </w:r>
      <w:r w:rsidRPr="00BE5AE1">
        <w:rPr>
          <w:szCs w:val="20"/>
          <w:lang w:val="es-ES_tradnl"/>
        </w:rPr>
        <w:t xml:space="preserve"> de interpretación </w:t>
      </w:r>
      <w:r w:rsidR="00350AB4" w:rsidRPr="00BE5AE1">
        <w:rPr>
          <w:szCs w:val="20"/>
          <w:lang w:val="es-ES_tradnl"/>
        </w:rPr>
        <w:t xml:space="preserve">el </w:t>
      </w:r>
      <w:r w:rsidR="00F60030" w:rsidRPr="00BE5AE1">
        <w:rPr>
          <w:szCs w:val="20"/>
          <w:lang w:val="es-ES_tradnl"/>
        </w:rPr>
        <w:t>8</w:t>
      </w:r>
      <w:r w:rsidR="00795C6E" w:rsidRPr="00BE5AE1">
        <w:rPr>
          <w:szCs w:val="20"/>
          <w:lang w:val="es-ES_tradnl"/>
        </w:rPr>
        <w:t xml:space="preserve"> </w:t>
      </w:r>
      <w:r w:rsidR="00F60030" w:rsidRPr="00BE5AE1">
        <w:rPr>
          <w:szCs w:val="20"/>
          <w:lang w:val="es-ES_tradnl"/>
        </w:rPr>
        <w:t>de febrero de 2016</w:t>
      </w:r>
      <w:r w:rsidR="00350AB4" w:rsidRPr="00BE5AE1">
        <w:rPr>
          <w:szCs w:val="20"/>
          <w:lang w:val="es-ES_tradnl"/>
        </w:rPr>
        <w:t>,</w:t>
      </w:r>
      <w:r w:rsidR="003F64DC" w:rsidRPr="00BE5AE1">
        <w:rPr>
          <w:szCs w:val="20"/>
          <w:lang w:val="es-ES_tradnl"/>
        </w:rPr>
        <w:t xml:space="preserve"> </w:t>
      </w:r>
      <w:r w:rsidRPr="00BE5AE1">
        <w:rPr>
          <w:szCs w:val="20"/>
          <w:lang w:val="es-ES_tradnl"/>
        </w:rPr>
        <w:t xml:space="preserve">dentro del plazo de noventa días establecido en el artículo 67 de la </w:t>
      </w:r>
      <w:r w:rsidR="00350AB4" w:rsidRPr="00BE5AE1">
        <w:rPr>
          <w:rFonts w:eastAsia="Times"/>
          <w:szCs w:val="20"/>
          <w:lang w:val="es-ES_tradnl"/>
        </w:rPr>
        <w:t>Convención para la presentación de una solicitud de interpretación de la Sentencia (</w:t>
      </w:r>
      <w:r w:rsidR="00350AB4" w:rsidRPr="00BE5AE1">
        <w:rPr>
          <w:rFonts w:eastAsia="Times"/>
          <w:i/>
          <w:szCs w:val="20"/>
          <w:lang w:val="es-ES_tradnl"/>
        </w:rPr>
        <w:t>supra</w:t>
      </w:r>
      <w:r w:rsidR="00350AB4" w:rsidRPr="00BE5AE1">
        <w:rPr>
          <w:rFonts w:eastAsia="Times"/>
          <w:szCs w:val="20"/>
          <w:lang w:val="es-ES_tradnl"/>
        </w:rPr>
        <w:t xml:space="preserve"> </w:t>
      </w:r>
      <w:proofErr w:type="spellStart"/>
      <w:r w:rsidR="00350AB4" w:rsidRPr="00BE5AE1">
        <w:rPr>
          <w:rFonts w:eastAsia="Times"/>
          <w:szCs w:val="20"/>
          <w:lang w:val="es-ES_tradnl"/>
        </w:rPr>
        <w:t>párr</w:t>
      </w:r>
      <w:r w:rsidR="00A64FFB" w:rsidRPr="00BE5AE1">
        <w:rPr>
          <w:rFonts w:eastAsia="Times"/>
          <w:szCs w:val="20"/>
          <w:lang w:val="es-ES_tradnl"/>
        </w:rPr>
        <w:t>s</w:t>
      </w:r>
      <w:proofErr w:type="spellEnd"/>
      <w:r w:rsidR="00350AB4" w:rsidRPr="00BE5AE1">
        <w:rPr>
          <w:rFonts w:eastAsia="Times"/>
          <w:szCs w:val="20"/>
          <w:lang w:val="es-ES_tradnl"/>
        </w:rPr>
        <w:t>.</w:t>
      </w:r>
      <w:r w:rsidR="003B78CD">
        <w:rPr>
          <w:rFonts w:eastAsia="Times"/>
          <w:szCs w:val="20"/>
          <w:lang w:val="es-ES_tradnl"/>
        </w:rPr>
        <w:t xml:space="preserve"> </w:t>
      </w:r>
      <w:r w:rsidR="003B78CD">
        <w:rPr>
          <w:rFonts w:eastAsia="Times"/>
          <w:szCs w:val="20"/>
          <w:lang w:val="es-ES_tradnl"/>
        </w:rPr>
        <w:fldChar w:fldCharType="begin"/>
      </w:r>
      <w:r w:rsidR="003B78CD">
        <w:rPr>
          <w:rFonts w:eastAsia="Times"/>
          <w:szCs w:val="20"/>
          <w:lang w:val="es-ES_tradnl"/>
        </w:rPr>
        <w:instrText xml:space="preserve"> REF _Ref461115199 \r \h </w:instrText>
      </w:r>
      <w:r w:rsidR="003B78CD">
        <w:rPr>
          <w:rFonts w:eastAsia="Times"/>
          <w:szCs w:val="20"/>
          <w:lang w:val="es-ES_tradnl"/>
        </w:rPr>
      </w:r>
      <w:r w:rsidR="003B78CD">
        <w:rPr>
          <w:rFonts w:eastAsia="Times"/>
          <w:szCs w:val="20"/>
          <w:lang w:val="es-ES_tradnl"/>
        </w:rPr>
        <w:fldChar w:fldCharType="separate"/>
      </w:r>
      <w:r w:rsidR="00E54675">
        <w:rPr>
          <w:rFonts w:eastAsia="Times"/>
          <w:szCs w:val="20"/>
          <w:lang w:val="es-ES_tradnl"/>
        </w:rPr>
        <w:t>3</w:t>
      </w:r>
      <w:r w:rsidR="003B78CD">
        <w:rPr>
          <w:rFonts w:eastAsia="Times"/>
          <w:szCs w:val="20"/>
          <w:lang w:val="es-ES_tradnl"/>
        </w:rPr>
        <w:fldChar w:fldCharType="end"/>
      </w:r>
      <w:r w:rsidR="003B78CD">
        <w:rPr>
          <w:rFonts w:eastAsia="Times"/>
          <w:szCs w:val="20"/>
          <w:lang w:val="es-ES_tradnl"/>
        </w:rPr>
        <w:t xml:space="preserve"> y </w:t>
      </w:r>
      <w:r w:rsidR="003B78CD">
        <w:rPr>
          <w:rFonts w:eastAsia="Times"/>
          <w:szCs w:val="20"/>
          <w:lang w:val="es-ES_tradnl"/>
        </w:rPr>
        <w:fldChar w:fldCharType="begin"/>
      </w:r>
      <w:r w:rsidR="003B78CD">
        <w:rPr>
          <w:rFonts w:eastAsia="Times"/>
          <w:szCs w:val="20"/>
          <w:lang w:val="es-ES_tradnl"/>
        </w:rPr>
        <w:instrText xml:space="preserve"> REF _Ref361668910 \r \h </w:instrText>
      </w:r>
      <w:r w:rsidR="003B78CD">
        <w:rPr>
          <w:rFonts w:eastAsia="Times"/>
          <w:szCs w:val="20"/>
          <w:lang w:val="es-ES_tradnl"/>
        </w:rPr>
      </w:r>
      <w:r w:rsidR="003B78CD">
        <w:rPr>
          <w:rFonts w:eastAsia="Times"/>
          <w:szCs w:val="20"/>
          <w:lang w:val="es-ES_tradnl"/>
        </w:rPr>
        <w:fldChar w:fldCharType="separate"/>
      </w:r>
      <w:r w:rsidR="00E54675">
        <w:rPr>
          <w:rFonts w:eastAsia="Times"/>
          <w:szCs w:val="20"/>
          <w:lang w:val="es-ES_tradnl"/>
        </w:rPr>
        <w:t>6</w:t>
      </w:r>
      <w:r w:rsidR="003B78CD">
        <w:rPr>
          <w:rFonts w:eastAsia="Times"/>
          <w:szCs w:val="20"/>
          <w:lang w:val="es-ES_tradnl"/>
        </w:rPr>
        <w:fldChar w:fldCharType="end"/>
      </w:r>
      <w:r w:rsidR="00350AB4" w:rsidRPr="00BE5AE1">
        <w:rPr>
          <w:rFonts w:eastAsia="Times"/>
          <w:szCs w:val="20"/>
          <w:lang w:val="es-ES_tradnl"/>
        </w:rPr>
        <w:t>)</w:t>
      </w:r>
      <w:r w:rsidRPr="00BE5AE1">
        <w:rPr>
          <w:szCs w:val="20"/>
          <w:lang w:val="es-ES_tradnl"/>
        </w:rPr>
        <w:t xml:space="preserve">, ya que la misma fue notificada el </w:t>
      </w:r>
      <w:r w:rsidR="00F60030" w:rsidRPr="00BE5AE1">
        <w:rPr>
          <w:lang w:val="es-AR"/>
        </w:rPr>
        <w:t>10 de noviembre de 2015</w:t>
      </w:r>
      <w:r w:rsidR="00137BA8" w:rsidRPr="00BE5AE1">
        <w:rPr>
          <w:szCs w:val="20"/>
          <w:lang w:val="es-ES_tradnl"/>
        </w:rPr>
        <w:t>. Por ende, la solicitud resulta admisible</w:t>
      </w:r>
      <w:r w:rsidRPr="00BE5AE1">
        <w:rPr>
          <w:szCs w:val="20"/>
          <w:lang w:val="es-ES_tradnl"/>
        </w:rPr>
        <w:t xml:space="preserve"> en lo que se refiere al plazo de su presentación. </w:t>
      </w:r>
    </w:p>
    <w:p w:rsidR="00E723EE" w:rsidRPr="00BE5AE1" w:rsidRDefault="00E723EE" w:rsidP="00571229">
      <w:pPr>
        <w:tabs>
          <w:tab w:val="left" w:pos="567"/>
        </w:tabs>
        <w:autoSpaceDE w:val="0"/>
        <w:autoSpaceDN w:val="0"/>
        <w:adjustRightInd w:val="0"/>
        <w:spacing w:after="0" w:line="240" w:lineRule="auto"/>
        <w:jc w:val="both"/>
        <w:rPr>
          <w:rFonts w:eastAsia="Times"/>
          <w:szCs w:val="20"/>
          <w:lang w:val="es-ES_tradnl"/>
        </w:rPr>
      </w:pPr>
    </w:p>
    <w:p w:rsidR="002F0CC2" w:rsidRPr="00BE5AE1" w:rsidRDefault="00E723EE" w:rsidP="00571229">
      <w:pPr>
        <w:tabs>
          <w:tab w:val="left" w:pos="0"/>
          <w:tab w:val="left" w:pos="567"/>
        </w:tabs>
        <w:autoSpaceDE w:val="0"/>
        <w:autoSpaceDN w:val="0"/>
        <w:adjustRightInd w:val="0"/>
        <w:spacing w:after="0" w:line="240" w:lineRule="auto"/>
        <w:jc w:val="center"/>
        <w:rPr>
          <w:rFonts w:cs="Verdana"/>
          <w:b/>
          <w:szCs w:val="20"/>
          <w:lang w:val="es-ES_tradnl"/>
        </w:rPr>
      </w:pPr>
      <w:r w:rsidRPr="00BE5AE1">
        <w:rPr>
          <w:rFonts w:cs="Verdana"/>
          <w:b/>
          <w:szCs w:val="20"/>
          <w:lang w:val="es-ES_tradnl"/>
        </w:rPr>
        <w:t>V</w:t>
      </w:r>
    </w:p>
    <w:p w:rsidR="002F0CC2" w:rsidRPr="00BE5AE1" w:rsidRDefault="00E464E8" w:rsidP="00571229">
      <w:pPr>
        <w:pStyle w:val="NoSpacing"/>
        <w:jc w:val="center"/>
        <w:rPr>
          <w:rFonts w:ascii="Verdana" w:hAnsi="Verdana" w:cs="Verdana"/>
          <w:b/>
          <w:sz w:val="20"/>
          <w:szCs w:val="20"/>
          <w:lang w:val="es-ES_tradnl"/>
        </w:rPr>
      </w:pPr>
      <w:r w:rsidRPr="00BE5AE1">
        <w:rPr>
          <w:rFonts w:ascii="Verdana" w:hAnsi="Verdana" w:cs="Verdana"/>
          <w:b/>
          <w:sz w:val="20"/>
          <w:szCs w:val="20"/>
          <w:lang w:val="es-ES_tradnl"/>
        </w:rPr>
        <w:t xml:space="preserve">ANÁLISIS DE LA PROCEDENCIA DE LA SOLICITUD DE INTERPRETACIÓN </w:t>
      </w:r>
    </w:p>
    <w:p w:rsidR="002F0CC2" w:rsidRPr="00BE5AE1" w:rsidRDefault="002F0CC2" w:rsidP="00571229">
      <w:pPr>
        <w:tabs>
          <w:tab w:val="left" w:pos="567"/>
        </w:tabs>
        <w:autoSpaceDE w:val="0"/>
        <w:autoSpaceDN w:val="0"/>
        <w:adjustRightInd w:val="0"/>
        <w:spacing w:after="0" w:line="240" w:lineRule="auto"/>
        <w:jc w:val="both"/>
        <w:rPr>
          <w:rFonts w:eastAsia="Times"/>
          <w:bCs/>
          <w:szCs w:val="20"/>
          <w:lang w:val="es-ES_tradnl"/>
        </w:rPr>
      </w:pPr>
    </w:p>
    <w:p w:rsidR="00E464E8" w:rsidRPr="00BE5AE1" w:rsidRDefault="00E464E8" w:rsidP="00571229">
      <w:pPr>
        <w:numPr>
          <w:ilvl w:val="0"/>
          <w:numId w:val="1"/>
        </w:numPr>
        <w:tabs>
          <w:tab w:val="left" w:pos="567"/>
          <w:tab w:val="num" w:pos="720"/>
        </w:tabs>
        <w:autoSpaceDE w:val="0"/>
        <w:autoSpaceDN w:val="0"/>
        <w:adjustRightInd w:val="0"/>
        <w:spacing w:after="0" w:line="240" w:lineRule="auto"/>
        <w:jc w:val="both"/>
        <w:rPr>
          <w:rFonts w:eastAsia="Times"/>
          <w:bCs/>
          <w:szCs w:val="20"/>
          <w:lang w:val="es-ES_tradnl"/>
        </w:rPr>
      </w:pPr>
      <w:r w:rsidRPr="00BE5AE1">
        <w:rPr>
          <w:rFonts w:eastAsia="Times"/>
          <w:szCs w:val="20"/>
          <w:lang w:val="es-ES_tradnl"/>
        </w:rPr>
        <w:t xml:space="preserve">A continuación el Tribunal analizará la solicitud </w:t>
      </w:r>
      <w:r w:rsidR="00945BF0" w:rsidRPr="00BE5AE1">
        <w:rPr>
          <w:rFonts w:eastAsia="Times"/>
          <w:szCs w:val="20"/>
          <w:lang w:val="es-ES_tradnl"/>
        </w:rPr>
        <w:t>de los</w:t>
      </w:r>
      <w:r w:rsidR="0030682B" w:rsidRPr="00BE5AE1">
        <w:rPr>
          <w:rFonts w:eastAsia="Times"/>
          <w:szCs w:val="20"/>
          <w:lang w:val="es-ES_tradnl"/>
        </w:rPr>
        <w:t xml:space="preserve"> representante</w:t>
      </w:r>
      <w:r w:rsidR="00945BF0" w:rsidRPr="00BE5AE1">
        <w:rPr>
          <w:rFonts w:eastAsia="Times"/>
          <w:szCs w:val="20"/>
          <w:lang w:val="es-ES_tradnl"/>
        </w:rPr>
        <w:t>s</w:t>
      </w:r>
      <w:r w:rsidR="0030682B" w:rsidRPr="00BE5AE1">
        <w:rPr>
          <w:rFonts w:eastAsia="Times"/>
          <w:szCs w:val="20"/>
          <w:lang w:val="es-ES_tradnl"/>
        </w:rPr>
        <w:t xml:space="preserve"> </w:t>
      </w:r>
      <w:r w:rsidRPr="00BE5AE1">
        <w:rPr>
          <w:rFonts w:eastAsia="Times"/>
          <w:szCs w:val="20"/>
          <w:lang w:val="es-ES_tradnl"/>
        </w:rPr>
        <w:t xml:space="preserve">para determinar si, de acuerdo a la normativa y a los estándares desarrollados en su jurisprudencia, procede aclarar el sentido o alcance de algún punto de la Sentencia. </w:t>
      </w:r>
    </w:p>
    <w:p w:rsidR="00082515" w:rsidRPr="00BE5AE1" w:rsidRDefault="00082515" w:rsidP="00571229">
      <w:pPr>
        <w:tabs>
          <w:tab w:val="left" w:pos="567"/>
        </w:tabs>
        <w:spacing w:after="0" w:line="240" w:lineRule="auto"/>
        <w:jc w:val="both"/>
        <w:rPr>
          <w:rFonts w:eastAsia="Times"/>
          <w:szCs w:val="20"/>
          <w:lang w:val="es-ES_tradnl"/>
        </w:rPr>
      </w:pPr>
    </w:p>
    <w:p w:rsidR="00C10360" w:rsidRPr="00BE5AE1" w:rsidRDefault="00C10360" w:rsidP="00571229">
      <w:pPr>
        <w:numPr>
          <w:ilvl w:val="0"/>
          <w:numId w:val="1"/>
        </w:numPr>
        <w:tabs>
          <w:tab w:val="clear" w:pos="1247"/>
          <w:tab w:val="num" w:pos="567"/>
        </w:tabs>
        <w:spacing w:after="0" w:line="240" w:lineRule="auto"/>
        <w:jc w:val="both"/>
      </w:pPr>
      <w:bookmarkStart w:id="15" w:name="_Ref392082429"/>
      <w:r w:rsidRPr="00BE5AE1">
        <w:t>Para analizar la procedencia de la</w:t>
      </w:r>
      <w:r w:rsidR="00945BF0" w:rsidRPr="00BE5AE1">
        <w:t xml:space="preserve"> solicitud</w:t>
      </w:r>
      <w:r w:rsidRPr="00BE5AE1">
        <w:t xml:space="preserve"> de </w:t>
      </w:r>
      <w:r w:rsidR="00293122" w:rsidRPr="00BE5AE1">
        <w:t>interpretación sometida</w:t>
      </w:r>
      <w:r w:rsidRPr="00BE5AE1">
        <w:t xml:space="preserve"> en el presente caso, la Corte toma en consideración su jurisprudencia constante</w:t>
      </w:r>
      <w:r w:rsidR="00A770B4" w:rsidRPr="00BE5AE1">
        <w:t xml:space="preserve"> sobre este punto (</w:t>
      </w:r>
      <w:r w:rsidR="00A770B4" w:rsidRPr="00BE5AE1">
        <w:rPr>
          <w:i/>
        </w:rPr>
        <w:t xml:space="preserve">supra </w:t>
      </w:r>
      <w:r w:rsidR="00A770B4" w:rsidRPr="00BE5AE1">
        <w:t xml:space="preserve">párr. </w:t>
      </w:r>
      <w:r w:rsidR="00A770B4" w:rsidRPr="00BE5AE1">
        <w:fldChar w:fldCharType="begin"/>
      </w:r>
      <w:r w:rsidR="00A770B4" w:rsidRPr="00BE5AE1">
        <w:instrText xml:space="preserve"> REF _Ref446342174 \r \h </w:instrText>
      </w:r>
      <w:r w:rsidR="00BE5AE1">
        <w:instrText xml:space="preserve"> \* MERGEFORMAT </w:instrText>
      </w:r>
      <w:r w:rsidR="00A770B4" w:rsidRPr="00BE5AE1">
        <w:fldChar w:fldCharType="separate"/>
      </w:r>
      <w:r w:rsidR="00E54675">
        <w:t>10</w:t>
      </w:r>
      <w:r w:rsidR="00A770B4" w:rsidRPr="00BE5AE1">
        <w:fldChar w:fldCharType="end"/>
      </w:r>
      <w:r w:rsidR="00A770B4" w:rsidRPr="00BE5AE1">
        <w:t>)</w:t>
      </w:r>
      <w:bookmarkEnd w:id="15"/>
      <w:r w:rsidR="00A770B4" w:rsidRPr="00BE5AE1">
        <w:t xml:space="preserve">. </w:t>
      </w:r>
      <w:bookmarkStart w:id="16" w:name="_Ref406488555"/>
      <w:r w:rsidRPr="00BE5AE1">
        <w:t>Adicionalmente, la Corte ha sostenido la improcedencia de utilizar una solicitud de interpretación para someter cuestiones de hecho y de derecho que ya fueron planteadas en su oportunidad procesal y sobre las cuales la Corte ya adoptó una decisión</w:t>
      </w:r>
      <w:r w:rsidRPr="00BE5AE1">
        <w:rPr>
          <w:rStyle w:val="FootnoteReference"/>
        </w:rPr>
        <w:footnoteReference w:id="8"/>
      </w:r>
      <w:r w:rsidRPr="00BE5AE1">
        <w:t>, así como para pretender que la Corte valore nuevamente cuestiones que ya han sido resueltas por éste en su Sentencia</w:t>
      </w:r>
      <w:r w:rsidRPr="00BE5AE1">
        <w:rPr>
          <w:rStyle w:val="FootnoteReference"/>
        </w:rPr>
        <w:footnoteReference w:id="9"/>
      </w:r>
      <w:r w:rsidRPr="00BE5AE1">
        <w:t>. De igual manera, por esta vía tampoco se puede intentar que se amplíe el alcance de una medida de reparación ordenada oportunamente</w:t>
      </w:r>
      <w:r w:rsidRPr="00BE5AE1">
        <w:rPr>
          <w:rStyle w:val="FootnoteReference"/>
        </w:rPr>
        <w:footnoteReference w:id="10"/>
      </w:r>
      <w:r w:rsidRPr="00BE5AE1">
        <w:t xml:space="preserve">. Por otro lado, la Corte también ha señalado que </w:t>
      </w:r>
      <w:r w:rsidRPr="00BE5AE1">
        <w:lastRenderedPageBreak/>
        <w:t>la formulación de situaciones abstractas o hipotéticas no tiene relación alguna con el objeto de una solicitud de interpretación de sentencia</w:t>
      </w:r>
      <w:r w:rsidRPr="00BE5AE1">
        <w:rPr>
          <w:rStyle w:val="FootnoteReference"/>
        </w:rPr>
        <w:footnoteReference w:id="11"/>
      </w:r>
      <w:r w:rsidRPr="00BE5AE1">
        <w:t>.</w:t>
      </w:r>
      <w:bookmarkEnd w:id="16"/>
    </w:p>
    <w:p w:rsidR="00C10360" w:rsidRPr="00BE5AE1" w:rsidRDefault="00C10360" w:rsidP="00571229">
      <w:pPr>
        <w:spacing w:after="0" w:line="240" w:lineRule="auto"/>
        <w:jc w:val="both"/>
      </w:pPr>
    </w:p>
    <w:p w:rsidR="002400B2" w:rsidRPr="00BE5AE1" w:rsidRDefault="002400B2" w:rsidP="00571229">
      <w:pPr>
        <w:numPr>
          <w:ilvl w:val="0"/>
          <w:numId w:val="1"/>
        </w:numPr>
        <w:tabs>
          <w:tab w:val="left" w:pos="567"/>
          <w:tab w:val="num" w:pos="720"/>
        </w:tabs>
        <w:spacing w:after="0" w:line="240" w:lineRule="auto"/>
        <w:jc w:val="both"/>
        <w:rPr>
          <w:rFonts w:eastAsia="Times"/>
          <w:szCs w:val="20"/>
          <w:lang w:val="es-ES_tradnl"/>
        </w:rPr>
      </w:pPr>
      <w:r w:rsidRPr="00BE5AE1">
        <w:rPr>
          <w:rFonts w:cs="Arial"/>
          <w:szCs w:val="20"/>
          <w:lang w:val="es-ES_tradnl"/>
        </w:rPr>
        <w:t xml:space="preserve">Los representantes solicitaron una interpretación </w:t>
      </w:r>
      <w:r w:rsidRPr="00BE5AE1">
        <w:rPr>
          <w:rFonts w:eastAsia="Times"/>
          <w:bCs/>
          <w:szCs w:val="20"/>
          <w:lang w:val="es-ES_tradnl"/>
        </w:rPr>
        <w:t>en relación con las cantidades otorgadas en la Sentencia por concepto de daño material.</w:t>
      </w:r>
      <w:r w:rsidRPr="00BE5AE1">
        <w:rPr>
          <w:rFonts w:cs="Arial"/>
          <w:szCs w:val="20"/>
          <w:lang w:val="es-ES_tradnl"/>
        </w:rPr>
        <w:t xml:space="preserve"> </w:t>
      </w:r>
      <w:r w:rsidRPr="00BE5AE1">
        <w:t xml:space="preserve">A continuación, se expondrán los (A) argumentos de las partes y </w:t>
      </w:r>
      <w:r w:rsidR="00977478">
        <w:t xml:space="preserve">de </w:t>
      </w:r>
      <w:r w:rsidRPr="00BE5AE1">
        <w:t xml:space="preserve">la Comisión y se realizarán (B) las consideraciones pertinentes. </w:t>
      </w:r>
    </w:p>
    <w:p w:rsidR="002400B2" w:rsidRPr="00BE5AE1" w:rsidRDefault="002400B2" w:rsidP="00571229">
      <w:pPr>
        <w:tabs>
          <w:tab w:val="left" w:pos="567"/>
        </w:tabs>
        <w:autoSpaceDE w:val="0"/>
        <w:autoSpaceDN w:val="0"/>
        <w:adjustRightInd w:val="0"/>
        <w:spacing w:after="0" w:line="240" w:lineRule="auto"/>
        <w:jc w:val="both"/>
        <w:rPr>
          <w:rFonts w:cs="Arial"/>
          <w:szCs w:val="20"/>
          <w:lang w:val="es-ES_tradnl"/>
        </w:rPr>
      </w:pPr>
    </w:p>
    <w:p w:rsidR="002400B2" w:rsidRPr="00BE5AE1" w:rsidRDefault="002400B2" w:rsidP="00571229">
      <w:pPr>
        <w:pStyle w:val="ListParagraph"/>
        <w:numPr>
          <w:ilvl w:val="0"/>
          <w:numId w:val="4"/>
        </w:numPr>
        <w:tabs>
          <w:tab w:val="left" w:pos="567"/>
        </w:tabs>
        <w:autoSpaceDE w:val="0"/>
        <w:autoSpaceDN w:val="0"/>
        <w:adjustRightInd w:val="0"/>
        <w:spacing w:after="0" w:line="240" w:lineRule="auto"/>
        <w:jc w:val="both"/>
        <w:rPr>
          <w:rFonts w:cs="Arial"/>
          <w:b/>
          <w:i/>
          <w:szCs w:val="20"/>
          <w:lang w:val="es-ES_tradnl"/>
        </w:rPr>
      </w:pPr>
      <w:r w:rsidRPr="00BE5AE1">
        <w:rPr>
          <w:rFonts w:cs="Arial"/>
          <w:b/>
          <w:i/>
          <w:szCs w:val="20"/>
          <w:lang w:val="es-ES_tradnl"/>
        </w:rPr>
        <w:t>Argumentos de las partes y de la Comisión</w:t>
      </w:r>
    </w:p>
    <w:p w:rsidR="002400B2" w:rsidRPr="00BE5AE1" w:rsidRDefault="002400B2" w:rsidP="00571229">
      <w:pPr>
        <w:pStyle w:val="ListParagraph"/>
        <w:tabs>
          <w:tab w:val="left" w:pos="567"/>
        </w:tabs>
        <w:autoSpaceDE w:val="0"/>
        <w:autoSpaceDN w:val="0"/>
        <w:adjustRightInd w:val="0"/>
        <w:spacing w:after="0" w:line="240" w:lineRule="auto"/>
        <w:jc w:val="both"/>
        <w:rPr>
          <w:rFonts w:cs="Arial"/>
          <w:b/>
          <w:i/>
          <w:szCs w:val="20"/>
          <w:lang w:val="es-ES_tradnl"/>
        </w:rPr>
      </w:pPr>
    </w:p>
    <w:p w:rsidR="0016061B" w:rsidRPr="00BE5AE1" w:rsidRDefault="00235FE6" w:rsidP="00571229">
      <w:pPr>
        <w:numPr>
          <w:ilvl w:val="0"/>
          <w:numId w:val="1"/>
        </w:numPr>
        <w:tabs>
          <w:tab w:val="left" w:pos="567"/>
          <w:tab w:val="num" w:pos="720"/>
        </w:tabs>
        <w:spacing w:after="0" w:line="240" w:lineRule="auto"/>
        <w:jc w:val="both"/>
        <w:rPr>
          <w:rFonts w:cs="Arial"/>
          <w:b/>
          <w:szCs w:val="20"/>
          <w:lang w:val="es-ES_tradnl"/>
        </w:rPr>
      </w:pPr>
      <w:r w:rsidRPr="00BE5AE1">
        <w:rPr>
          <w:rFonts w:cs="Arial"/>
          <w:szCs w:val="20"/>
          <w:lang w:val="es-ES_tradnl"/>
        </w:rPr>
        <w:t>Los</w:t>
      </w:r>
      <w:r w:rsidR="000B5BD7" w:rsidRPr="00BE5AE1">
        <w:rPr>
          <w:rFonts w:cs="Arial"/>
          <w:szCs w:val="20"/>
          <w:lang w:val="es-ES_tradnl"/>
        </w:rPr>
        <w:t xml:space="preserve"> </w:t>
      </w:r>
      <w:r w:rsidR="000B5BD7" w:rsidRPr="00BE5AE1">
        <w:rPr>
          <w:rFonts w:cs="Arial"/>
          <w:b/>
          <w:i/>
          <w:szCs w:val="20"/>
          <w:lang w:val="es-ES_tradnl"/>
        </w:rPr>
        <w:t>representante</w:t>
      </w:r>
      <w:r w:rsidRPr="00BE5AE1">
        <w:rPr>
          <w:rFonts w:cs="Arial"/>
          <w:b/>
          <w:i/>
          <w:szCs w:val="20"/>
          <w:lang w:val="es-ES_tradnl"/>
        </w:rPr>
        <w:t>s</w:t>
      </w:r>
      <w:r w:rsidR="002543A3" w:rsidRPr="00BE5AE1">
        <w:rPr>
          <w:rFonts w:cs="Arial"/>
          <w:szCs w:val="20"/>
          <w:lang w:val="es-ES_tradnl"/>
        </w:rPr>
        <w:t xml:space="preserve"> </w:t>
      </w:r>
      <w:r w:rsidR="001F5CF6" w:rsidRPr="00BE5AE1">
        <w:rPr>
          <w:rFonts w:cs="Arial"/>
          <w:szCs w:val="20"/>
          <w:lang w:val="es-ES_tradnl"/>
        </w:rPr>
        <w:t>señalaron que los montos fijados en la Sentencia por pérdida de ingresos “son menores a lo que corresponde con base en la prueba disponible” y “no responde</w:t>
      </w:r>
      <w:r w:rsidR="001F5CF6">
        <w:rPr>
          <w:rFonts w:cs="Arial"/>
          <w:szCs w:val="20"/>
          <w:lang w:val="es-ES_tradnl"/>
        </w:rPr>
        <w:t>n</w:t>
      </w:r>
      <w:r w:rsidR="001F5CF6" w:rsidRPr="00BE5AE1">
        <w:rPr>
          <w:rFonts w:cs="Arial"/>
          <w:szCs w:val="20"/>
          <w:lang w:val="es-ES_tradnl"/>
        </w:rPr>
        <w:t xml:space="preserve"> a los criterios fijados en el [párrafo 318 de la Sentencia]”. Al respecto, señalaron que el </w:t>
      </w:r>
      <w:r w:rsidR="001F5CF6">
        <w:rPr>
          <w:rFonts w:cs="Arial"/>
          <w:szCs w:val="20"/>
          <w:lang w:val="es-ES_tradnl"/>
        </w:rPr>
        <w:t xml:space="preserve">monto </w:t>
      </w:r>
      <w:r w:rsidR="001F5CF6" w:rsidRPr="00BE5AE1">
        <w:rPr>
          <w:rFonts w:cs="Arial"/>
          <w:szCs w:val="20"/>
          <w:lang w:val="es-ES_tradnl"/>
        </w:rPr>
        <w:t>del lucro cesante calcul</w:t>
      </w:r>
      <w:r w:rsidR="001F5CF6">
        <w:rPr>
          <w:rFonts w:cs="Arial"/>
          <w:szCs w:val="20"/>
          <w:lang w:val="es-ES_tradnl"/>
        </w:rPr>
        <w:t>ado</w:t>
      </w:r>
      <w:r w:rsidR="001F5CF6" w:rsidRPr="00BE5AE1">
        <w:rPr>
          <w:rFonts w:cs="Arial"/>
          <w:szCs w:val="20"/>
          <w:lang w:val="es-ES_tradnl"/>
        </w:rPr>
        <w:t xml:space="preserve"> </w:t>
      </w:r>
      <w:r w:rsidR="001F5CF6">
        <w:rPr>
          <w:rFonts w:cs="Arial"/>
          <w:szCs w:val="20"/>
          <w:lang w:val="es-ES_tradnl"/>
        </w:rPr>
        <w:t>por los representantes hasta diciembre de 2014 “</w:t>
      </w:r>
      <w:proofErr w:type="spellStart"/>
      <w:r w:rsidR="001F5CF6">
        <w:rPr>
          <w:rFonts w:cs="Arial"/>
          <w:szCs w:val="20"/>
          <w:lang w:val="es-ES_tradnl"/>
        </w:rPr>
        <w:t>tendrí</w:t>
      </w:r>
      <w:proofErr w:type="spellEnd"/>
      <w:r w:rsidR="001F5CF6">
        <w:rPr>
          <w:rFonts w:cs="Arial"/>
          <w:szCs w:val="20"/>
          <w:lang w:val="es-ES_tradnl"/>
        </w:rPr>
        <w:t>[a]</w:t>
      </w:r>
      <w:r w:rsidR="001F5CF6" w:rsidRPr="00BE5AE1">
        <w:rPr>
          <w:rFonts w:cs="Arial"/>
          <w:szCs w:val="20"/>
          <w:lang w:val="es-ES_tradnl"/>
        </w:rPr>
        <w:t xml:space="preserve"> que incrementar una vez se conozca el aumento salarial correspondiente al año 2015 y se realice el cálculo de salarios y prestaciones sociales dejadas de percibir hasta la fecha de la emisión de la sentencia”.</w:t>
      </w:r>
    </w:p>
    <w:p w:rsidR="00235FE6" w:rsidRPr="00BE5AE1" w:rsidRDefault="00235FE6" w:rsidP="00571229">
      <w:pPr>
        <w:tabs>
          <w:tab w:val="left" w:pos="567"/>
        </w:tabs>
        <w:spacing w:after="0" w:line="240" w:lineRule="auto"/>
        <w:jc w:val="both"/>
        <w:rPr>
          <w:rFonts w:cs="Arial"/>
          <w:b/>
          <w:szCs w:val="20"/>
          <w:lang w:val="es-ES_tradnl"/>
        </w:rPr>
      </w:pPr>
    </w:p>
    <w:p w:rsidR="00BC0F47" w:rsidRPr="00BE5AE1" w:rsidRDefault="002543A3" w:rsidP="00571229">
      <w:pPr>
        <w:pStyle w:val="ListParagraph"/>
        <w:numPr>
          <w:ilvl w:val="0"/>
          <w:numId w:val="1"/>
        </w:numPr>
        <w:tabs>
          <w:tab w:val="left" w:pos="567"/>
        </w:tabs>
        <w:autoSpaceDE w:val="0"/>
        <w:autoSpaceDN w:val="0"/>
        <w:adjustRightInd w:val="0"/>
        <w:spacing w:after="0" w:line="240" w:lineRule="auto"/>
        <w:jc w:val="both"/>
        <w:rPr>
          <w:rFonts w:cs="Arial"/>
          <w:i/>
          <w:szCs w:val="20"/>
          <w:lang w:val="es-ES_tradnl"/>
        </w:rPr>
      </w:pPr>
      <w:r w:rsidRPr="00BE5AE1">
        <w:rPr>
          <w:rFonts w:eastAsia="Times"/>
          <w:bCs/>
          <w:szCs w:val="20"/>
          <w:lang w:val="es-ES_tradnl"/>
        </w:rPr>
        <w:t xml:space="preserve">La </w:t>
      </w:r>
      <w:r w:rsidRPr="00BE5AE1">
        <w:rPr>
          <w:rFonts w:eastAsia="Times"/>
          <w:b/>
          <w:bCs/>
          <w:i/>
          <w:szCs w:val="20"/>
          <w:lang w:val="es-ES_tradnl"/>
        </w:rPr>
        <w:t>Comisión</w:t>
      </w:r>
      <w:r w:rsidRPr="00BE5AE1">
        <w:rPr>
          <w:rFonts w:cs="Arial"/>
          <w:szCs w:val="20"/>
          <w:lang w:val="es-ES_tradnl"/>
        </w:rPr>
        <w:t xml:space="preserve"> </w:t>
      </w:r>
      <w:r w:rsidR="00BC0F47" w:rsidRPr="00BE5AE1">
        <w:rPr>
          <w:rFonts w:cs="Arial"/>
          <w:szCs w:val="20"/>
          <w:lang w:val="es-ES_tradnl"/>
        </w:rPr>
        <w:t xml:space="preserve">consideró que la solicitud de los representantes era “procedente”  en tanto las cantidades ordenadas por la Corte por concepto de daño material “no </w:t>
      </w:r>
      <w:proofErr w:type="spellStart"/>
      <w:proofErr w:type="gramStart"/>
      <w:r w:rsidR="00BC0F47" w:rsidRPr="00BE5AE1">
        <w:rPr>
          <w:rFonts w:cs="Arial"/>
          <w:szCs w:val="20"/>
          <w:lang w:val="es-ES_tradnl"/>
        </w:rPr>
        <w:t>coincid</w:t>
      </w:r>
      <w:proofErr w:type="spellEnd"/>
      <w:r w:rsidR="00A113D1" w:rsidRPr="00BE5AE1">
        <w:rPr>
          <w:rFonts w:cs="Arial"/>
          <w:szCs w:val="20"/>
          <w:lang w:val="es-ES_tradnl"/>
        </w:rPr>
        <w:t>[</w:t>
      </w:r>
      <w:proofErr w:type="gramEnd"/>
      <w:r w:rsidR="001F5CF6">
        <w:rPr>
          <w:rFonts w:cs="Arial"/>
          <w:szCs w:val="20"/>
          <w:lang w:val="es-ES_tradnl"/>
        </w:rPr>
        <w:t>e</w:t>
      </w:r>
      <w:r w:rsidR="00A113D1" w:rsidRPr="00BE5AE1">
        <w:rPr>
          <w:rFonts w:cs="Arial"/>
          <w:szCs w:val="20"/>
          <w:lang w:val="es-ES_tradnl"/>
        </w:rPr>
        <w:t>n]</w:t>
      </w:r>
      <w:r w:rsidR="00BC0F47" w:rsidRPr="00BE5AE1">
        <w:rPr>
          <w:rFonts w:cs="Arial"/>
          <w:szCs w:val="20"/>
          <w:lang w:val="es-ES_tradnl"/>
        </w:rPr>
        <w:t xml:space="preserve"> con los informados por los representantes en su escrito de 18 de marzo de 2015”.</w:t>
      </w:r>
      <w:r w:rsidR="00BC0F47" w:rsidRPr="00BE5AE1">
        <w:rPr>
          <w:rFonts w:cs="Arial"/>
          <w:b/>
          <w:i/>
          <w:szCs w:val="20"/>
          <w:lang w:val="es-ES_tradnl"/>
        </w:rPr>
        <w:t xml:space="preserve"> </w:t>
      </w:r>
    </w:p>
    <w:p w:rsidR="002543A3" w:rsidRPr="00BE5AE1" w:rsidRDefault="002543A3" w:rsidP="00571229">
      <w:pPr>
        <w:pStyle w:val="ListParagraph"/>
        <w:spacing w:after="0"/>
        <w:rPr>
          <w:rFonts w:cs="Arial"/>
          <w:i/>
          <w:szCs w:val="20"/>
          <w:lang w:val="es-ES_tradnl"/>
        </w:rPr>
      </w:pPr>
    </w:p>
    <w:p w:rsidR="002543A3" w:rsidRDefault="00235FE6" w:rsidP="00571229">
      <w:pPr>
        <w:pStyle w:val="ListParagraph"/>
        <w:numPr>
          <w:ilvl w:val="0"/>
          <w:numId w:val="1"/>
        </w:numPr>
        <w:tabs>
          <w:tab w:val="left" w:pos="567"/>
        </w:tabs>
        <w:autoSpaceDE w:val="0"/>
        <w:autoSpaceDN w:val="0"/>
        <w:adjustRightInd w:val="0"/>
        <w:spacing w:after="0" w:line="240" w:lineRule="auto"/>
        <w:jc w:val="both"/>
        <w:rPr>
          <w:rFonts w:cs="Arial"/>
          <w:b/>
          <w:szCs w:val="20"/>
          <w:lang w:val="es-ES_tradnl"/>
        </w:rPr>
      </w:pPr>
      <w:r w:rsidRPr="001F5CF6">
        <w:rPr>
          <w:rFonts w:eastAsia="Times"/>
          <w:szCs w:val="20"/>
          <w:lang w:val="es-ES_tradnl"/>
        </w:rPr>
        <w:t>Al respecto, e</w:t>
      </w:r>
      <w:r w:rsidR="002543A3" w:rsidRPr="001F5CF6">
        <w:rPr>
          <w:rFonts w:eastAsia="Times"/>
          <w:szCs w:val="20"/>
          <w:lang w:val="es-ES_tradnl"/>
        </w:rPr>
        <w:t xml:space="preserve">l </w:t>
      </w:r>
      <w:r w:rsidR="002543A3" w:rsidRPr="001F5CF6">
        <w:rPr>
          <w:rFonts w:eastAsia="Times"/>
          <w:b/>
          <w:i/>
          <w:szCs w:val="20"/>
          <w:lang w:val="es-ES_tradnl"/>
        </w:rPr>
        <w:t>Estado</w:t>
      </w:r>
      <w:r w:rsidR="002543A3" w:rsidRPr="001F5CF6">
        <w:rPr>
          <w:rFonts w:eastAsia="Times"/>
          <w:szCs w:val="20"/>
          <w:lang w:val="es-ES_tradnl"/>
        </w:rPr>
        <w:t xml:space="preserve"> indicó que</w:t>
      </w:r>
      <w:r w:rsidR="00BC0F47" w:rsidRPr="001F5CF6">
        <w:rPr>
          <w:rFonts w:eastAsia="Times"/>
          <w:szCs w:val="20"/>
          <w:lang w:val="es-ES_tradnl"/>
        </w:rPr>
        <w:t xml:space="preserve"> “no hay duda alguna sobre el sentido y alcance de lo que se ha solicitado interpretar” y agregó que “mediante esa solicitud los representantes </w:t>
      </w:r>
      <w:r w:rsidR="001F5CF6">
        <w:rPr>
          <w:rFonts w:eastAsia="Times"/>
          <w:szCs w:val="20"/>
          <w:lang w:val="es-ES_tradnl"/>
        </w:rPr>
        <w:t>[…]</w:t>
      </w:r>
      <w:r w:rsidR="00BC0F47" w:rsidRPr="001F5CF6">
        <w:rPr>
          <w:rFonts w:eastAsia="Times"/>
          <w:szCs w:val="20"/>
          <w:lang w:val="es-ES_tradnl"/>
        </w:rPr>
        <w:t xml:space="preserve"> pretenden que </w:t>
      </w:r>
      <w:r w:rsidR="00293122" w:rsidRPr="001F5CF6">
        <w:rPr>
          <w:rFonts w:eastAsia="Times"/>
          <w:szCs w:val="20"/>
          <w:lang w:val="es-ES_tradnl"/>
        </w:rPr>
        <w:t>[la Corte]</w:t>
      </w:r>
      <w:r w:rsidR="00BC0F47" w:rsidRPr="001F5CF6">
        <w:rPr>
          <w:rFonts w:eastAsia="Times"/>
          <w:szCs w:val="20"/>
          <w:lang w:val="es-ES_tradnl"/>
        </w:rPr>
        <w:t xml:space="preserve"> valore nuevamente cuestiones de hecho y de derecho que ya han sido resueltas, con el propósito de modificar la sentencia de fondo, reparaciones y costas”.</w:t>
      </w:r>
      <w:r w:rsidR="00A113D1" w:rsidRPr="001F5CF6">
        <w:rPr>
          <w:rFonts w:cs="Arial"/>
          <w:b/>
          <w:i/>
          <w:szCs w:val="20"/>
          <w:lang w:val="es-ES_tradnl"/>
        </w:rPr>
        <w:t xml:space="preserve"> </w:t>
      </w:r>
    </w:p>
    <w:p w:rsidR="001F5CF6" w:rsidRPr="001F5CF6" w:rsidRDefault="001F5CF6" w:rsidP="001F5CF6">
      <w:pPr>
        <w:pStyle w:val="ListParagraph"/>
        <w:tabs>
          <w:tab w:val="left" w:pos="567"/>
        </w:tabs>
        <w:autoSpaceDE w:val="0"/>
        <w:autoSpaceDN w:val="0"/>
        <w:adjustRightInd w:val="0"/>
        <w:spacing w:after="0" w:line="240" w:lineRule="auto"/>
        <w:ind w:left="0"/>
        <w:jc w:val="both"/>
        <w:rPr>
          <w:rFonts w:cs="Arial"/>
          <w:b/>
          <w:szCs w:val="20"/>
          <w:lang w:val="es-ES_tradnl"/>
        </w:rPr>
      </w:pPr>
    </w:p>
    <w:p w:rsidR="003A3F97" w:rsidRPr="00BE5AE1" w:rsidRDefault="003A3F97" w:rsidP="00571229">
      <w:pPr>
        <w:pStyle w:val="ListParagraph"/>
        <w:numPr>
          <w:ilvl w:val="0"/>
          <w:numId w:val="4"/>
        </w:numPr>
        <w:tabs>
          <w:tab w:val="left" w:pos="567"/>
        </w:tabs>
        <w:autoSpaceDE w:val="0"/>
        <w:autoSpaceDN w:val="0"/>
        <w:adjustRightInd w:val="0"/>
        <w:spacing w:after="0" w:line="240" w:lineRule="auto"/>
        <w:jc w:val="both"/>
        <w:rPr>
          <w:rFonts w:cs="Arial"/>
          <w:b/>
          <w:i/>
          <w:szCs w:val="20"/>
          <w:lang w:val="es-ES_tradnl"/>
        </w:rPr>
      </w:pPr>
      <w:r w:rsidRPr="00BE5AE1">
        <w:rPr>
          <w:rFonts w:cs="Arial"/>
          <w:b/>
          <w:i/>
          <w:szCs w:val="20"/>
          <w:lang w:val="es-ES_tradnl"/>
        </w:rPr>
        <w:t>Consideraciones de la Corte</w:t>
      </w:r>
    </w:p>
    <w:p w:rsidR="000E1C23" w:rsidRPr="00BE5AE1" w:rsidRDefault="000E1C23" w:rsidP="00571229">
      <w:pPr>
        <w:pStyle w:val="ListParagraph"/>
        <w:tabs>
          <w:tab w:val="left" w:pos="567"/>
        </w:tabs>
        <w:autoSpaceDE w:val="0"/>
        <w:autoSpaceDN w:val="0"/>
        <w:adjustRightInd w:val="0"/>
        <w:spacing w:after="0" w:line="240" w:lineRule="auto"/>
        <w:jc w:val="both"/>
        <w:rPr>
          <w:rFonts w:cs="Arial"/>
          <w:i/>
          <w:szCs w:val="20"/>
          <w:lang w:val="es-ES_tradnl"/>
        </w:rPr>
      </w:pPr>
    </w:p>
    <w:p w:rsidR="00973883" w:rsidRPr="00BE5AE1" w:rsidRDefault="000E1C23" w:rsidP="00571229">
      <w:pPr>
        <w:pStyle w:val="ListParagraph"/>
        <w:numPr>
          <w:ilvl w:val="0"/>
          <w:numId w:val="1"/>
        </w:numPr>
        <w:tabs>
          <w:tab w:val="left" w:pos="567"/>
        </w:tabs>
        <w:autoSpaceDE w:val="0"/>
        <w:autoSpaceDN w:val="0"/>
        <w:adjustRightInd w:val="0"/>
        <w:spacing w:after="0" w:line="240" w:lineRule="auto"/>
        <w:jc w:val="both"/>
        <w:rPr>
          <w:rFonts w:cs="Arial"/>
          <w:b/>
          <w:szCs w:val="20"/>
          <w:lang w:val="es-ES_tradnl"/>
        </w:rPr>
      </w:pPr>
      <w:bookmarkStart w:id="17" w:name="_Ref446344847"/>
      <w:r w:rsidRPr="00BE5AE1">
        <w:t xml:space="preserve">La </w:t>
      </w:r>
      <w:r w:rsidR="00973883" w:rsidRPr="00BE5AE1">
        <w:t xml:space="preserve">determinación de los ingresos dejados de percibir </w:t>
      </w:r>
      <w:r w:rsidR="00924CAF" w:rsidRPr="00BE5AE1">
        <w:t xml:space="preserve">de las víctimas </w:t>
      </w:r>
      <w:r w:rsidR="00973883" w:rsidRPr="00BE5AE1">
        <w:t>fue realizada al momento de dictar la Sentencia</w:t>
      </w:r>
      <w:r w:rsidR="00924CAF" w:rsidRPr="00BE5AE1">
        <w:t>,</w:t>
      </w:r>
      <w:r w:rsidR="00973883" w:rsidRPr="00BE5AE1">
        <w:t xml:space="preserve"> con base </w:t>
      </w:r>
      <w:r w:rsidR="003854AC">
        <w:t>en</w:t>
      </w:r>
      <w:r w:rsidR="00973883" w:rsidRPr="00BE5AE1">
        <w:t xml:space="preserve"> la prueba aportada al proceso, a la luz de la normativa de la Convención Americana y los principios que la informan</w:t>
      </w:r>
      <w:r w:rsidR="00B96AF0" w:rsidRPr="00BE5AE1">
        <w:rPr>
          <w:rStyle w:val="FootnoteReference"/>
        </w:rPr>
        <w:footnoteReference w:id="12"/>
      </w:r>
      <w:r w:rsidR="00973883" w:rsidRPr="00BE5AE1">
        <w:t>. De forma particular, este Tribunal estableció en</w:t>
      </w:r>
      <w:r w:rsidR="0060214F" w:rsidRPr="00BE5AE1">
        <w:t xml:space="preserve"> el párrafo</w:t>
      </w:r>
      <w:r w:rsidR="00973883" w:rsidRPr="00BE5AE1">
        <w:t xml:space="preserve"> </w:t>
      </w:r>
      <w:r w:rsidR="0060214F" w:rsidRPr="00BE5AE1">
        <w:t xml:space="preserve">318 </w:t>
      </w:r>
      <w:r w:rsidR="00973883" w:rsidRPr="00BE5AE1">
        <w:t>de su Sentencia que:</w:t>
      </w:r>
      <w:bookmarkEnd w:id="17"/>
    </w:p>
    <w:p w:rsidR="00973883" w:rsidRPr="00BE5AE1" w:rsidRDefault="00973883" w:rsidP="00571229">
      <w:pPr>
        <w:pStyle w:val="ListParagraph"/>
        <w:tabs>
          <w:tab w:val="left" w:pos="567"/>
        </w:tabs>
        <w:autoSpaceDE w:val="0"/>
        <w:autoSpaceDN w:val="0"/>
        <w:adjustRightInd w:val="0"/>
        <w:spacing w:after="0" w:line="240" w:lineRule="auto"/>
        <w:ind w:left="0"/>
        <w:jc w:val="both"/>
        <w:rPr>
          <w:rFonts w:cs="Arial"/>
          <w:b/>
          <w:szCs w:val="20"/>
          <w:lang w:val="es-ES_tradnl"/>
        </w:rPr>
      </w:pPr>
    </w:p>
    <w:p w:rsidR="00973883" w:rsidRPr="00BE5AE1" w:rsidRDefault="0016061B" w:rsidP="00571229">
      <w:pPr>
        <w:pStyle w:val="PrrafodeSentencia"/>
        <w:numPr>
          <w:ilvl w:val="0"/>
          <w:numId w:val="0"/>
        </w:numPr>
        <w:ind w:left="567" w:right="616"/>
        <w:rPr>
          <w:spacing w:val="0"/>
          <w:sz w:val="18"/>
          <w:szCs w:val="18"/>
        </w:rPr>
      </w:pPr>
      <w:r w:rsidRPr="00BE5AE1">
        <w:rPr>
          <w:spacing w:val="0"/>
          <w:sz w:val="18"/>
          <w:szCs w:val="18"/>
        </w:rPr>
        <w:t xml:space="preserve">318. </w:t>
      </w:r>
      <w:bookmarkStart w:id="18" w:name="_Ref431215275"/>
      <w:r w:rsidR="00973883" w:rsidRPr="00BE5AE1">
        <w:rPr>
          <w:spacing w:val="0"/>
          <w:sz w:val="18"/>
          <w:szCs w:val="18"/>
        </w:rPr>
        <w:t xml:space="preserve">La Corte constata que los representantes solicitaron que este Tribunal determine en equidad el monto por daño emergente sufrido por las víctimas del presente caso, mientras que señalaron los montos específicos que corresponderían a las víctimas, respecto de la pérdida de ingresos, a partir del cálculo de los salarios dejados de percibir y otros beneficios laborales, con base en la información presentada por el Estado. El Estado no presentó ninguna observación específica respecto de los montos indicados por los representantes. Asimismo, la Corte observa que el señor </w:t>
      </w:r>
      <w:proofErr w:type="spellStart"/>
      <w:r w:rsidR="00973883" w:rsidRPr="00BE5AE1">
        <w:rPr>
          <w:spacing w:val="0"/>
          <w:sz w:val="18"/>
          <w:szCs w:val="18"/>
        </w:rPr>
        <w:t>Chévez</w:t>
      </w:r>
      <w:proofErr w:type="spellEnd"/>
      <w:r w:rsidR="00973883" w:rsidRPr="00BE5AE1">
        <w:rPr>
          <w:spacing w:val="0"/>
          <w:sz w:val="18"/>
          <w:szCs w:val="18"/>
        </w:rPr>
        <w:t xml:space="preserve"> de la Rocha recibió a nivel interno un monto </w:t>
      </w:r>
      <w:r w:rsidR="00973883" w:rsidRPr="00BE5AE1">
        <w:rPr>
          <w:spacing w:val="0"/>
          <w:sz w:val="18"/>
          <w:szCs w:val="18"/>
        </w:rPr>
        <w:lastRenderedPageBreak/>
        <w:t xml:space="preserve">correspondiente a la liquidación por prestaciones sociales, el cual fue descontado de la pretensión de los representantes. En este sentido este Tribunal recuerda que, en el marco del daño material, deben ser reconocidos los salarios y prestaciones sociales dejados de percibir por las víctimas desde el momento de su remoción arbitraria hasta la fecha de emisión de la presente Sentencia, incluyendo los intereses pertinentes y otros conceptos anexos. En consecuencia y en atención a los cálculos presentados por los representantes en el marco de los salarios dejados de percibir, la Corte decide fijar las cantidades de US$ </w:t>
      </w:r>
      <w:r w:rsidR="00973883" w:rsidRPr="00BE5AE1">
        <w:rPr>
          <w:spacing w:val="0"/>
          <w:sz w:val="18"/>
          <w:szCs w:val="18"/>
          <w:lang w:val="es-MX"/>
        </w:rPr>
        <w:t>162.000,00</w:t>
      </w:r>
      <w:r w:rsidR="00973883" w:rsidRPr="00BE5AE1">
        <w:rPr>
          <w:spacing w:val="0"/>
          <w:sz w:val="18"/>
          <w:szCs w:val="18"/>
        </w:rPr>
        <w:t xml:space="preserve"> (ciento sesenta y dos mil dólares de los Estados Unidos de América) a favor de Adán Guillermo López </w:t>
      </w:r>
      <w:proofErr w:type="spellStart"/>
      <w:r w:rsidR="00973883" w:rsidRPr="00BE5AE1">
        <w:rPr>
          <w:spacing w:val="0"/>
          <w:sz w:val="18"/>
          <w:szCs w:val="18"/>
        </w:rPr>
        <w:t>Lone</w:t>
      </w:r>
      <w:proofErr w:type="spellEnd"/>
      <w:r w:rsidR="00973883" w:rsidRPr="00BE5AE1">
        <w:rPr>
          <w:spacing w:val="0"/>
          <w:sz w:val="18"/>
          <w:szCs w:val="18"/>
        </w:rPr>
        <w:t xml:space="preserve">; US$ </w:t>
      </w:r>
      <w:r w:rsidR="00973883" w:rsidRPr="00BE5AE1">
        <w:rPr>
          <w:spacing w:val="0"/>
          <w:sz w:val="18"/>
          <w:szCs w:val="18"/>
          <w:lang w:val="es-MX"/>
        </w:rPr>
        <w:t>214.000,00</w:t>
      </w:r>
      <w:r w:rsidR="00973883" w:rsidRPr="00BE5AE1">
        <w:rPr>
          <w:spacing w:val="0"/>
          <w:sz w:val="18"/>
          <w:szCs w:val="18"/>
        </w:rPr>
        <w:t xml:space="preserve"> (doscientos catorce mil dólares de los Estados Unidos de América) a favor de </w:t>
      </w:r>
      <w:proofErr w:type="spellStart"/>
      <w:r w:rsidR="00973883" w:rsidRPr="00BE5AE1">
        <w:rPr>
          <w:spacing w:val="0"/>
          <w:sz w:val="18"/>
          <w:szCs w:val="18"/>
        </w:rPr>
        <w:t>Tirza</w:t>
      </w:r>
      <w:proofErr w:type="spellEnd"/>
      <w:r w:rsidR="00973883" w:rsidRPr="00BE5AE1">
        <w:rPr>
          <w:spacing w:val="0"/>
          <w:sz w:val="18"/>
          <w:szCs w:val="18"/>
        </w:rPr>
        <w:t xml:space="preserve"> del Carmen Flores Lanza, y US$ 49.000,00 (cuarenta y nueve mil dólares de los Estados Unidos de América) a favor de Luis Alonso </w:t>
      </w:r>
      <w:proofErr w:type="spellStart"/>
      <w:r w:rsidR="00973883" w:rsidRPr="00BE5AE1">
        <w:rPr>
          <w:spacing w:val="0"/>
          <w:sz w:val="18"/>
          <w:szCs w:val="18"/>
        </w:rPr>
        <w:t>Chévez</w:t>
      </w:r>
      <w:proofErr w:type="spellEnd"/>
      <w:r w:rsidR="00973883" w:rsidRPr="00BE5AE1">
        <w:rPr>
          <w:spacing w:val="0"/>
          <w:sz w:val="18"/>
          <w:szCs w:val="18"/>
        </w:rPr>
        <w:t xml:space="preserve"> de la Rocha por concepto de pérdida de ingresos.</w:t>
      </w:r>
      <w:bookmarkEnd w:id="18"/>
      <w:r w:rsidR="00973883" w:rsidRPr="00BE5AE1">
        <w:rPr>
          <w:spacing w:val="0"/>
          <w:sz w:val="18"/>
          <w:szCs w:val="18"/>
        </w:rPr>
        <w:t xml:space="preserve"> Adicionalmente, la Corte decide fijar en equidad la cantidad de US$ </w:t>
      </w:r>
      <w:r w:rsidR="00973883" w:rsidRPr="00BE5AE1">
        <w:rPr>
          <w:spacing w:val="0"/>
          <w:sz w:val="18"/>
          <w:szCs w:val="18"/>
          <w:lang w:val="es-MX"/>
        </w:rPr>
        <w:t>5.000,00</w:t>
      </w:r>
      <w:r w:rsidR="00973883" w:rsidRPr="00BE5AE1">
        <w:rPr>
          <w:spacing w:val="0"/>
          <w:sz w:val="18"/>
          <w:szCs w:val="18"/>
        </w:rPr>
        <w:t xml:space="preserve"> (cinco mil dólares de los Estados Unidos de América) a cada una de las víctimas, los señores Adán Guillermo López </w:t>
      </w:r>
      <w:proofErr w:type="spellStart"/>
      <w:r w:rsidR="00973883" w:rsidRPr="00BE5AE1">
        <w:rPr>
          <w:spacing w:val="0"/>
          <w:sz w:val="18"/>
          <w:szCs w:val="18"/>
        </w:rPr>
        <w:t>Lone</w:t>
      </w:r>
      <w:proofErr w:type="spellEnd"/>
      <w:r w:rsidR="00973883" w:rsidRPr="00BE5AE1">
        <w:rPr>
          <w:spacing w:val="0"/>
          <w:sz w:val="18"/>
          <w:szCs w:val="18"/>
        </w:rPr>
        <w:t xml:space="preserve">, Luis </w:t>
      </w:r>
      <w:proofErr w:type="spellStart"/>
      <w:r w:rsidR="00973883" w:rsidRPr="00BE5AE1">
        <w:rPr>
          <w:spacing w:val="0"/>
          <w:sz w:val="18"/>
          <w:szCs w:val="18"/>
        </w:rPr>
        <w:t>Chévez</w:t>
      </w:r>
      <w:proofErr w:type="spellEnd"/>
      <w:r w:rsidR="00973883" w:rsidRPr="00BE5AE1">
        <w:rPr>
          <w:spacing w:val="0"/>
          <w:sz w:val="18"/>
          <w:szCs w:val="18"/>
        </w:rPr>
        <w:t xml:space="preserve"> de la Rocha y Ramón Barrios Maldonado y la señora </w:t>
      </w:r>
      <w:proofErr w:type="spellStart"/>
      <w:r w:rsidR="00973883" w:rsidRPr="00BE5AE1">
        <w:rPr>
          <w:spacing w:val="0"/>
          <w:sz w:val="18"/>
          <w:szCs w:val="18"/>
        </w:rPr>
        <w:t>Tirza</w:t>
      </w:r>
      <w:proofErr w:type="spellEnd"/>
      <w:r w:rsidR="00973883" w:rsidRPr="00BE5AE1">
        <w:rPr>
          <w:spacing w:val="0"/>
          <w:sz w:val="18"/>
          <w:szCs w:val="18"/>
        </w:rPr>
        <w:t xml:space="preserve"> del Carmen Flores Lanza, por concepto de daño emergente.</w:t>
      </w:r>
    </w:p>
    <w:p w:rsidR="00973883" w:rsidRPr="00BE5AE1" w:rsidRDefault="00973883" w:rsidP="00571229">
      <w:pPr>
        <w:pStyle w:val="ListParagraph"/>
        <w:tabs>
          <w:tab w:val="left" w:pos="567"/>
        </w:tabs>
        <w:autoSpaceDE w:val="0"/>
        <w:autoSpaceDN w:val="0"/>
        <w:adjustRightInd w:val="0"/>
        <w:spacing w:after="0" w:line="240" w:lineRule="auto"/>
        <w:ind w:left="0"/>
        <w:jc w:val="both"/>
        <w:rPr>
          <w:rFonts w:cs="Arial"/>
          <w:b/>
          <w:szCs w:val="20"/>
        </w:rPr>
      </w:pPr>
    </w:p>
    <w:p w:rsidR="003A3F97" w:rsidRPr="00BE5AE1" w:rsidRDefault="00492A3F" w:rsidP="00571229">
      <w:pPr>
        <w:pStyle w:val="ListParagraph"/>
        <w:numPr>
          <w:ilvl w:val="0"/>
          <w:numId w:val="1"/>
        </w:numPr>
        <w:tabs>
          <w:tab w:val="left" w:pos="567"/>
        </w:tabs>
        <w:autoSpaceDE w:val="0"/>
        <w:autoSpaceDN w:val="0"/>
        <w:adjustRightInd w:val="0"/>
        <w:spacing w:after="0" w:line="240" w:lineRule="auto"/>
        <w:jc w:val="both"/>
        <w:rPr>
          <w:rFonts w:eastAsiaTheme="minorHAnsi" w:cs="Verdana"/>
          <w:szCs w:val="20"/>
          <w:lang w:val="es-ES_tradnl"/>
        </w:rPr>
      </w:pPr>
      <w:bookmarkStart w:id="19" w:name="_Ref406491795"/>
      <w:r>
        <w:t xml:space="preserve">Los </w:t>
      </w:r>
      <w:r w:rsidR="00B96AF0" w:rsidRPr="00BE5AE1">
        <w:t xml:space="preserve">representantes </w:t>
      </w:r>
      <w:r>
        <w:t>plantearon su solicitud c</w:t>
      </w:r>
      <w:r w:rsidR="00594EBA">
        <w:t>o</w:t>
      </w:r>
      <w:r>
        <w:t xml:space="preserve">mo un cuestionamiento de los criterios utilizados por este Tribunal al ordenar las indemnizaciones en la Sentencia. No obstante, la solicitud de interpretación no se basa en </w:t>
      </w:r>
      <w:r w:rsidR="00B96AF0" w:rsidRPr="00BE5AE1">
        <w:t xml:space="preserve">una duda </w:t>
      </w:r>
      <w:r w:rsidR="00C539EC" w:rsidRPr="00BE5AE1">
        <w:t xml:space="preserve">sobre </w:t>
      </w:r>
      <w:r w:rsidR="00B96AF0" w:rsidRPr="00BE5AE1">
        <w:t xml:space="preserve">las cantidades ordenadas en </w:t>
      </w:r>
      <w:r w:rsidR="00C539EC" w:rsidRPr="00BE5AE1">
        <w:t xml:space="preserve">la </w:t>
      </w:r>
      <w:r w:rsidR="00B96AF0" w:rsidRPr="00BE5AE1">
        <w:t>Se</w:t>
      </w:r>
      <w:r w:rsidR="00C539EC" w:rsidRPr="00BE5AE1">
        <w:t>ntencia</w:t>
      </w:r>
      <w:r w:rsidR="00B96AF0" w:rsidRPr="00BE5AE1">
        <w:t xml:space="preserve"> por concepto de pérdida de ingresos</w:t>
      </w:r>
      <w:r w:rsidR="00C539EC" w:rsidRPr="00BE5AE1">
        <w:t>, sino un desacuerdo con las cantidades fijadas</w:t>
      </w:r>
      <w:r w:rsidR="00B96AF0" w:rsidRPr="00BE5AE1">
        <w:t xml:space="preserve">. </w:t>
      </w:r>
      <w:r w:rsidR="0060214F" w:rsidRPr="00BE5AE1">
        <w:t xml:space="preserve">Como se desprende del párrafo </w:t>
      </w:r>
      <w:r w:rsidR="0052337F" w:rsidRPr="00BE5AE1">
        <w:t>de la S</w:t>
      </w:r>
      <w:r w:rsidR="003476E8" w:rsidRPr="00BE5AE1">
        <w:t>entencia transcrito</w:t>
      </w:r>
      <w:r w:rsidR="00B96AF0" w:rsidRPr="00BE5AE1">
        <w:t>, si bien la Corte tomó en cuenta los cálculos presentados por los representantes, este Tribunal decidió fijar, de manera autónoma</w:t>
      </w:r>
      <w:r w:rsidR="00C539EC" w:rsidRPr="00BE5AE1">
        <w:t>,</w:t>
      </w:r>
      <w:r w:rsidR="00B96AF0" w:rsidRPr="00BE5AE1">
        <w:t xml:space="preserve"> las cantidades correspondientes a la pérdida de ingresos de las víctimas</w:t>
      </w:r>
      <w:r w:rsidR="00C539EC" w:rsidRPr="00BE5AE1">
        <w:t xml:space="preserve">. </w:t>
      </w:r>
      <w:r w:rsidR="002543A3" w:rsidRPr="00BE5AE1">
        <w:rPr>
          <w:rFonts w:eastAsiaTheme="minorHAnsi" w:cs="Verdana"/>
          <w:szCs w:val="20"/>
          <w:lang w:val="es-ES_tradnl"/>
        </w:rPr>
        <w:t>Por tanto, no estima procedente ni necesario realizar pre</w:t>
      </w:r>
      <w:r w:rsidR="008B0B0A">
        <w:rPr>
          <w:rFonts w:eastAsiaTheme="minorHAnsi" w:cs="Verdana"/>
          <w:szCs w:val="20"/>
          <w:lang w:val="es-ES_tradnl"/>
        </w:rPr>
        <w:t>ci</w:t>
      </w:r>
      <w:r w:rsidR="002543A3" w:rsidRPr="00BE5AE1">
        <w:rPr>
          <w:rFonts w:eastAsiaTheme="minorHAnsi" w:cs="Verdana"/>
          <w:szCs w:val="20"/>
          <w:lang w:val="es-ES_tradnl"/>
        </w:rPr>
        <w:t>siones adicionales al respecto.</w:t>
      </w:r>
      <w:bookmarkEnd w:id="19"/>
    </w:p>
    <w:p w:rsidR="0091269B" w:rsidRPr="00BE5AE1" w:rsidRDefault="0091269B" w:rsidP="00571229">
      <w:pPr>
        <w:tabs>
          <w:tab w:val="left" w:pos="567"/>
        </w:tabs>
        <w:spacing w:after="0" w:line="240" w:lineRule="auto"/>
        <w:jc w:val="both"/>
        <w:rPr>
          <w:rFonts w:eastAsia="Times"/>
          <w:szCs w:val="20"/>
          <w:lang w:val="es-ES_tradnl"/>
        </w:rPr>
      </w:pPr>
    </w:p>
    <w:p w:rsidR="00BA3D77" w:rsidRPr="00BE5AE1" w:rsidRDefault="00CF3648" w:rsidP="00571229">
      <w:pPr>
        <w:tabs>
          <w:tab w:val="left" w:pos="567"/>
        </w:tabs>
        <w:spacing w:after="0" w:line="240" w:lineRule="auto"/>
        <w:jc w:val="center"/>
        <w:rPr>
          <w:rFonts w:eastAsia="Times"/>
          <w:b/>
          <w:szCs w:val="20"/>
          <w:lang w:val="es-ES_tradnl"/>
        </w:rPr>
      </w:pPr>
      <w:r w:rsidRPr="00BE5AE1">
        <w:rPr>
          <w:rFonts w:eastAsia="Times"/>
          <w:b/>
          <w:szCs w:val="20"/>
          <w:lang w:val="es-ES_tradnl"/>
        </w:rPr>
        <w:t>V</w:t>
      </w:r>
      <w:r w:rsidR="00DB42B2">
        <w:rPr>
          <w:rFonts w:eastAsia="Times"/>
          <w:b/>
          <w:szCs w:val="20"/>
          <w:lang w:val="es-ES_tradnl"/>
        </w:rPr>
        <w:t>I</w:t>
      </w:r>
    </w:p>
    <w:p w:rsidR="00BA3D77" w:rsidRPr="00BE5AE1" w:rsidRDefault="00BA3D77" w:rsidP="00571229">
      <w:pPr>
        <w:tabs>
          <w:tab w:val="left" w:pos="567"/>
        </w:tabs>
        <w:spacing w:after="0" w:line="240" w:lineRule="auto"/>
        <w:jc w:val="center"/>
        <w:rPr>
          <w:rFonts w:eastAsia="Times"/>
          <w:b/>
          <w:szCs w:val="20"/>
          <w:lang w:val="es-ES_tradnl"/>
        </w:rPr>
      </w:pPr>
      <w:r w:rsidRPr="00BE5AE1">
        <w:rPr>
          <w:rFonts w:eastAsia="Times"/>
          <w:b/>
          <w:szCs w:val="20"/>
          <w:lang w:val="es-ES_tradnl"/>
        </w:rPr>
        <w:t xml:space="preserve">PUNTOS RESOLUTIVOS </w:t>
      </w:r>
    </w:p>
    <w:p w:rsidR="00BA3D77" w:rsidRPr="00BE5AE1" w:rsidRDefault="00BA3D77" w:rsidP="003854AC">
      <w:pPr>
        <w:tabs>
          <w:tab w:val="left" w:pos="567"/>
        </w:tabs>
        <w:spacing w:after="0" w:line="240" w:lineRule="auto"/>
        <w:jc w:val="both"/>
        <w:rPr>
          <w:rFonts w:eastAsia="Times"/>
          <w:b/>
          <w:szCs w:val="20"/>
          <w:lang w:val="es-ES_tradnl"/>
        </w:rPr>
      </w:pPr>
    </w:p>
    <w:p w:rsidR="00BA3D77" w:rsidRPr="00BE5AE1" w:rsidRDefault="00BA3D77" w:rsidP="003854AC">
      <w:pPr>
        <w:numPr>
          <w:ilvl w:val="0"/>
          <w:numId w:val="1"/>
        </w:numPr>
        <w:tabs>
          <w:tab w:val="left" w:pos="567"/>
          <w:tab w:val="left" w:pos="720"/>
        </w:tabs>
        <w:spacing w:after="0" w:line="240" w:lineRule="auto"/>
        <w:ind w:right="-90"/>
        <w:jc w:val="both"/>
        <w:rPr>
          <w:rFonts w:cs="Arial"/>
          <w:szCs w:val="20"/>
          <w:lang w:val="es-ES_tradnl"/>
        </w:rPr>
      </w:pPr>
      <w:r w:rsidRPr="00BE5AE1">
        <w:rPr>
          <w:rFonts w:eastAsia="Times"/>
          <w:szCs w:val="20"/>
          <w:lang w:val="es-ES_tradnl"/>
        </w:rPr>
        <w:t xml:space="preserve">Por tanto, </w:t>
      </w:r>
    </w:p>
    <w:p w:rsidR="00BA3D77" w:rsidRPr="00BE5AE1" w:rsidRDefault="00BA3D77" w:rsidP="003854AC">
      <w:pPr>
        <w:tabs>
          <w:tab w:val="left" w:pos="567"/>
        </w:tabs>
        <w:spacing w:after="0" w:line="240" w:lineRule="auto"/>
        <w:jc w:val="both"/>
        <w:rPr>
          <w:rFonts w:eastAsia="Times"/>
          <w:b/>
          <w:szCs w:val="20"/>
          <w:lang w:val="es-ES_tradnl"/>
        </w:rPr>
      </w:pPr>
    </w:p>
    <w:p w:rsidR="00BA3D77" w:rsidRPr="00BE5AE1" w:rsidRDefault="00BA3D77" w:rsidP="003854AC">
      <w:pPr>
        <w:tabs>
          <w:tab w:val="left" w:pos="567"/>
        </w:tabs>
        <w:spacing w:after="0" w:line="240" w:lineRule="auto"/>
        <w:jc w:val="both"/>
        <w:rPr>
          <w:rFonts w:eastAsia="Times"/>
          <w:b/>
          <w:szCs w:val="20"/>
          <w:lang w:val="es-ES_tradnl"/>
        </w:rPr>
      </w:pPr>
      <w:r w:rsidRPr="00BE5AE1">
        <w:rPr>
          <w:rFonts w:eastAsia="Times"/>
          <w:b/>
          <w:szCs w:val="20"/>
          <w:lang w:val="es-ES_tradnl"/>
        </w:rPr>
        <w:t xml:space="preserve">LA CORTE </w:t>
      </w:r>
    </w:p>
    <w:p w:rsidR="00E77DBC" w:rsidRPr="00BE5AE1" w:rsidRDefault="00E77DBC" w:rsidP="003854AC">
      <w:pPr>
        <w:tabs>
          <w:tab w:val="left" w:pos="567"/>
        </w:tabs>
        <w:spacing w:after="0" w:line="240" w:lineRule="auto"/>
        <w:jc w:val="both"/>
        <w:rPr>
          <w:rFonts w:eastAsia="Times"/>
          <w:b/>
          <w:szCs w:val="20"/>
          <w:lang w:val="es-ES_tradnl"/>
        </w:rPr>
      </w:pPr>
    </w:p>
    <w:p w:rsidR="00BA3D77" w:rsidRPr="00BE5AE1" w:rsidRDefault="00BA3D77" w:rsidP="003854AC">
      <w:pPr>
        <w:tabs>
          <w:tab w:val="left" w:pos="567"/>
        </w:tabs>
        <w:spacing w:after="0" w:line="240" w:lineRule="auto"/>
        <w:jc w:val="both"/>
        <w:rPr>
          <w:rFonts w:eastAsia="Times"/>
          <w:szCs w:val="20"/>
          <w:lang w:val="es-ES_tradnl"/>
        </w:rPr>
      </w:pPr>
      <w:r w:rsidRPr="00BE5AE1">
        <w:rPr>
          <w:rFonts w:eastAsia="Times"/>
          <w:szCs w:val="20"/>
          <w:lang w:val="es-ES_tradnl"/>
        </w:rPr>
        <w:t>de conformidad con el artículo 67 de la Convención Americana sobre Derech</w:t>
      </w:r>
      <w:r w:rsidR="008B0B0A">
        <w:rPr>
          <w:rFonts w:eastAsia="Times"/>
          <w:szCs w:val="20"/>
          <w:lang w:val="es-ES_tradnl"/>
        </w:rPr>
        <w:t>os Humanos y los artículos 31.3 y</w:t>
      </w:r>
      <w:r w:rsidR="00C90393" w:rsidRPr="00BE5AE1">
        <w:rPr>
          <w:rFonts w:eastAsia="Times"/>
          <w:szCs w:val="20"/>
          <w:lang w:val="es-ES_tradnl"/>
        </w:rPr>
        <w:t xml:space="preserve"> </w:t>
      </w:r>
      <w:r w:rsidRPr="00BE5AE1">
        <w:rPr>
          <w:rFonts w:eastAsia="Times"/>
          <w:szCs w:val="20"/>
          <w:lang w:val="es-ES_tradnl"/>
        </w:rPr>
        <w:t>68 del Reglamento,</w:t>
      </w:r>
    </w:p>
    <w:p w:rsidR="00BA3D77" w:rsidRPr="00BE5AE1" w:rsidRDefault="00BA3D77" w:rsidP="003854AC">
      <w:pPr>
        <w:tabs>
          <w:tab w:val="left" w:pos="567"/>
        </w:tabs>
        <w:spacing w:after="0" w:line="240" w:lineRule="auto"/>
        <w:jc w:val="both"/>
        <w:rPr>
          <w:rFonts w:eastAsia="Times"/>
          <w:b/>
          <w:szCs w:val="20"/>
          <w:lang w:val="es-ES_tradnl"/>
        </w:rPr>
      </w:pPr>
      <w:r w:rsidRPr="00BE5AE1">
        <w:rPr>
          <w:rFonts w:eastAsia="Times"/>
          <w:szCs w:val="20"/>
          <w:lang w:val="es-ES_tradnl"/>
        </w:rPr>
        <w:br/>
      </w:r>
      <w:r w:rsidRPr="00BE5AE1">
        <w:rPr>
          <w:rFonts w:eastAsia="Times"/>
          <w:b/>
          <w:szCs w:val="20"/>
          <w:lang w:val="es-ES_tradnl"/>
        </w:rPr>
        <w:t>DECIDE:</w:t>
      </w:r>
    </w:p>
    <w:p w:rsidR="00E77DBC" w:rsidRPr="00BE5AE1" w:rsidRDefault="00E77DBC" w:rsidP="003854AC">
      <w:pPr>
        <w:tabs>
          <w:tab w:val="left" w:pos="567"/>
        </w:tabs>
        <w:spacing w:after="0" w:line="240" w:lineRule="auto"/>
        <w:jc w:val="both"/>
        <w:rPr>
          <w:rFonts w:eastAsia="Times"/>
          <w:b/>
          <w:szCs w:val="20"/>
          <w:lang w:val="es-ES_tradnl"/>
        </w:rPr>
      </w:pPr>
    </w:p>
    <w:p w:rsidR="00062DDF" w:rsidRPr="00BE5AE1" w:rsidRDefault="00BA3D77" w:rsidP="003854AC">
      <w:pPr>
        <w:tabs>
          <w:tab w:val="left" w:pos="567"/>
          <w:tab w:val="center" w:pos="4252"/>
          <w:tab w:val="right" w:pos="8504"/>
        </w:tabs>
        <w:spacing w:after="0" w:line="240" w:lineRule="auto"/>
        <w:jc w:val="both"/>
        <w:rPr>
          <w:rFonts w:eastAsia="Times"/>
          <w:szCs w:val="20"/>
          <w:lang w:val="es-ES_tradnl"/>
        </w:rPr>
      </w:pPr>
      <w:r w:rsidRPr="00BE5AE1">
        <w:rPr>
          <w:rFonts w:eastAsia="Times"/>
          <w:szCs w:val="20"/>
          <w:lang w:val="es-ES_tradnl"/>
        </w:rPr>
        <w:t>Por</w:t>
      </w:r>
      <w:r w:rsidR="00973883" w:rsidRPr="00BE5AE1">
        <w:rPr>
          <w:rFonts w:eastAsia="Times"/>
          <w:szCs w:val="20"/>
          <w:lang w:val="es-ES_tradnl"/>
        </w:rPr>
        <w:t xml:space="preserve"> </w:t>
      </w:r>
      <w:r w:rsidR="00D71A36">
        <w:rPr>
          <w:rFonts w:eastAsia="Times"/>
          <w:szCs w:val="20"/>
          <w:lang w:val="es-ES_tradnl"/>
        </w:rPr>
        <w:t>unanimidad</w:t>
      </w:r>
      <w:r w:rsidRPr="00BE5AE1">
        <w:rPr>
          <w:rFonts w:eastAsia="Times"/>
          <w:szCs w:val="20"/>
          <w:lang w:val="es-ES_tradnl"/>
        </w:rPr>
        <w:t>,</w:t>
      </w:r>
    </w:p>
    <w:p w:rsidR="00E77DBC" w:rsidRPr="00BE5AE1" w:rsidRDefault="00E77DBC" w:rsidP="003854AC">
      <w:pPr>
        <w:tabs>
          <w:tab w:val="left" w:pos="567"/>
          <w:tab w:val="center" w:pos="4252"/>
          <w:tab w:val="right" w:pos="8504"/>
        </w:tabs>
        <w:spacing w:after="0" w:line="240" w:lineRule="auto"/>
        <w:jc w:val="both"/>
        <w:rPr>
          <w:rFonts w:eastAsia="Times"/>
          <w:szCs w:val="20"/>
          <w:lang w:val="es-ES_tradnl"/>
        </w:rPr>
      </w:pPr>
    </w:p>
    <w:p w:rsidR="00A113D1" w:rsidRPr="00BE5AE1" w:rsidRDefault="00BA3D77" w:rsidP="003854AC">
      <w:pPr>
        <w:pStyle w:val="ListParagraph"/>
        <w:numPr>
          <w:ilvl w:val="0"/>
          <w:numId w:val="6"/>
        </w:numPr>
        <w:tabs>
          <w:tab w:val="left" w:pos="567"/>
        </w:tabs>
        <w:spacing w:after="0" w:line="240" w:lineRule="auto"/>
        <w:ind w:left="0" w:firstLine="0"/>
        <w:contextualSpacing w:val="0"/>
        <w:jc w:val="both"/>
        <w:rPr>
          <w:rFonts w:eastAsia="Times New Roman"/>
          <w:szCs w:val="20"/>
          <w:lang w:val="es-ES_tradnl" w:eastAsia="es-ES"/>
        </w:rPr>
      </w:pPr>
      <w:r w:rsidRPr="00BE5AE1">
        <w:rPr>
          <w:rFonts w:eastAsia="Times New Roman"/>
          <w:szCs w:val="20"/>
          <w:lang w:val="es-ES_tradnl" w:eastAsia="es-ES"/>
        </w:rPr>
        <w:t>De</w:t>
      </w:r>
      <w:r w:rsidR="00571229">
        <w:rPr>
          <w:rFonts w:eastAsia="Times New Roman"/>
          <w:szCs w:val="20"/>
          <w:lang w:val="es-ES_tradnl" w:eastAsia="es-ES"/>
        </w:rPr>
        <w:t>sestima</w:t>
      </w:r>
      <w:r w:rsidR="00A24599">
        <w:rPr>
          <w:rFonts w:eastAsia="Times New Roman"/>
          <w:szCs w:val="20"/>
          <w:lang w:val="es-ES_tradnl" w:eastAsia="es-ES"/>
        </w:rPr>
        <w:t>r</w:t>
      </w:r>
      <w:r w:rsidR="00571229">
        <w:rPr>
          <w:rFonts w:eastAsia="Times New Roman"/>
          <w:szCs w:val="20"/>
          <w:lang w:val="es-ES_tradnl" w:eastAsia="es-ES"/>
        </w:rPr>
        <w:t xml:space="preserve"> por</w:t>
      </w:r>
      <w:r w:rsidRPr="00BE5AE1">
        <w:rPr>
          <w:rFonts w:eastAsia="Times New Roman"/>
          <w:szCs w:val="20"/>
          <w:lang w:val="es-ES_tradnl" w:eastAsia="es-ES"/>
        </w:rPr>
        <w:t xml:space="preserve"> </w:t>
      </w:r>
      <w:r w:rsidR="00A113D1" w:rsidRPr="00BE5AE1">
        <w:rPr>
          <w:szCs w:val="20"/>
        </w:rPr>
        <w:t>improcedente la solicitud de “reposición de resolución o sentencia interlocutoria” presentada por el Estado.</w:t>
      </w:r>
    </w:p>
    <w:p w:rsidR="00E77DBC" w:rsidRPr="00BE5AE1" w:rsidRDefault="00E77DBC" w:rsidP="003854AC">
      <w:pPr>
        <w:pStyle w:val="ListParagraph"/>
        <w:tabs>
          <w:tab w:val="left" w:pos="567"/>
        </w:tabs>
        <w:spacing w:after="0" w:line="240" w:lineRule="auto"/>
        <w:ind w:left="0"/>
        <w:contextualSpacing w:val="0"/>
        <w:jc w:val="both"/>
        <w:rPr>
          <w:rFonts w:eastAsia="Times New Roman"/>
          <w:lang w:eastAsia="es-ES"/>
        </w:rPr>
      </w:pPr>
    </w:p>
    <w:p w:rsidR="00B6703B" w:rsidRPr="00BE5AE1" w:rsidRDefault="00BE6ADE" w:rsidP="003854AC">
      <w:pPr>
        <w:pStyle w:val="ListParagraph"/>
        <w:numPr>
          <w:ilvl w:val="0"/>
          <w:numId w:val="6"/>
        </w:numPr>
        <w:tabs>
          <w:tab w:val="left" w:pos="567"/>
        </w:tabs>
        <w:spacing w:after="0" w:line="240" w:lineRule="auto"/>
        <w:ind w:left="0" w:firstLine="0"/>
        <w:contextualSpacing w:val="0"/>
        <w:jc w:val="both"/>
        <w:rPr>
          <w:rFonts w:eastAsia="Times New Roman"/>
          <w:lang w:eastAsia="es-ES"/>
        </w:rPr>
      </w:pPr>
      <w:r w:rsidRPr="00BE5AE1">
        <w:rPr>
          <w:rFonts w:eastAsia="Times New Roman"/>
          <w:szCs w:val="20"/>
          <w:lang w:val="es-ES_tradnl" w:eastAsia="es-ES"/>
        </w:rPr>
        <w:t>D</w:t>
      </w:r>
      <w:r w:rsidR="00571229">
        <w:rPr>
          <w:rFonts w:eastAsia="Times New Roman"/>
          <w:szCs w:val="20"/>
          <w:lang w:val="es-ES_tradnl" w:eastAsia="es-ES"/>
        </w:rPr>
        <w:t>esestima</w:t>
      </w:r>
      <w:r w:rsidR="00A24599">
        <w:rPr>
          <w:rFonts w:eastAsia="Times New Roman"/>
          <w:szCs w:val="20"/>
          <w:lang w:val="es-ES_tradnl" w:eastAsia="es-ES"/>
        </w:rPr>
        <w:t>r</w:t>
      </w:r>
      <w:r w:rsidR="00571229">
        <w:rPr>
          <w:rFonts w:eastAsia="Times New Roman"/>
          <w:szCs w:val="20"/>
          <w:lang w:val="es-ES_tradnl" w:eastAsia="es-ES"/>
        </w:rPr>
        <w:t xml:space="preserve"> por </w:t>
      </w:r>
      <w:r w:rsidR="002543A3" w:rsidRPr="00BE5AE1">
        <w:rPr>
          <w:rFonts w:eastAsia="Times New Roman"/>
          <w:szCs w:val="20"/>
          <w:lang w:val="es-ES_tradnl" w:eastAsia="es-ES"/>
        </w:rPr>
        <w:t>improcedente el cuestionamiento</w:t>
      </w:r>
      <w:r w:rsidRPr="00BE5AE1">
        <w:rPr>
          <w:rFonts w:eastAsia="Times New Roman"/>
          <w:szCs w:val="20"/>
          <w:lang w:val="es-ES_tradnl" w:eastAsia="es-ES"/>
        </w:rPr>
        <w:t xml:space="preserve"> de</w:t>
      </w:r>
      <w:r w:rsidR="00751030" w:rsidRPr="00BE5AE1">
        <w:rPr>
          <w:rFonts w:eastAsia="Times New Roman"/>
          <w:szCs w:val="20"/>
          <w:lang w:val="es-ES_tradnl" w:eastAsia="es-ES"/>
        </w:rPr>
        <w:t xml:space="preserve"> </w:t>
      </w:r>
      <w:r w:rsidRPr="00BE5AE1">
        <w:rPr>
          <w:rFonts w:eastAsia="Times New Roman"/>
          <w:szCs w:val="20"/>
          <w:lang w:val="es-ES_tradnl" w:eastAsia="es-ES"/>
        </w:rPr>
        <w:t>l</w:t>
      </w:r>
      <w:r w:rsidR="00751030" w:rsidRPr="00BE5AE1">
        <w:rPr>
          <w:rFonts w:eastAsia="Times New Roman"/>
          <w:szCs w:val="20"/>
          <w:lang w:val="es-ES_tradnl" w:eastAsia="es-ES"/>
        </w:rPr>
        <w:t>os</w:t>
      </w:r>
      <w:r w:rsidRPr="00BE5AE1">
        <w:rPr>
          <w:rFonts w:eastAsia="Times New Roman"/>
          <w:szCs w:val="20"/>
          <w:lang w:val="es-ES_tradnl" w:eastAsia="es-ES"/>
        </w:rPr>
        <w:t xml:space="preserve"> </w:t>
      </w:r>
      <w:r w:rsidR="006C44F4" w:rsidRPr="00BE5AE1">
        <w:rPr>
          <w:rFonts w:eastAsia="Times New Roman"/>
          <w:szCs w:val="20"/>
          <w:lang w:val="es-ES_tradnl" w:eastAsia="es-ES"/>
        </w:rPr>
        <w:t>representante</w:t>
      </w:r>
      <w:r w:rsidR="00751030" w:rsidRPr="00BE5AE1">
        <w:rPr>
          <w:rFonts w:eastAsia="Times New Roman"/>
          <w:szCs w:val="20"/>
          <w:lang w:val="es-ES_tradnl" w:eastAsia="es-ES"/>
        </w:rPr>
        <w:t>s</w:t>
      </w:r>
      <w:r w:rsidR="007527F5" w:rsidRPr="00BE5AE1">
        <w:rPr>
          <w:rFonts w:eastAsia="Times New Roman"/>
          <w:szCs w:val="20"/>
          <w:lang w:val="es-ES_tradnl" w:eastAsia="es-ES"/>
        </w:rPr>
        <w:t xml:space="preserve"> respecto de</w:t>
      </w:r>
      <w:r w:rsidRPr="00BE5AE1">
        <w:rPr>
          <w:rFonts w:eastAsia="Times New Roman"/>
          <w:szCs w:val="20"/>
          <w:lang w:val="es-ES_tradnl" w:eastAsia="es-ES"/>
        </w:rPr>
        <w:t xml:space="preserve"> </w:t>
      </w:r>
      <w:r w:rsidR="0063430F" w:rsidRPr="00BE5AE1">
        <w:rPr>
          <w:rFonts w:eastAsia="Times New Roman"/>
          <w:szCs w:val="20"/>
          <w:lang w:val="es-ES_tradnl" w:eastAsia="es-ES"/>
        </w:rPr>
        <w:t xml:space="preserve">las </w:t>
      </w:r>
      <w:r w:rsidR="00FF41F9" w:rsidRPr="00BE5AE1">
        <w:rPr>
          <w:rFonts w:eastAsia="Times New Roman"/>
          <w:szCs w:val="20"/>
          <w:lang w:val="es-ES_tradnl" w:eastAsia="es-ES"/>
        </w:rPr>
        <w:t xml:space="preserve">cantidades fijadas en la Sentencia </w:t>
      </w:r>
      <w:r w:rsidR="0063430F" w:rsidRPr="00BE5AE1">
        <w:rPr>
          <w:rFonts w:eastAsia="Times New Roman"/>
          <w:szCs w:val="20"/>
          <w:lang w:val="es-ES_tradnl" w:eastAsia="es-ES"/>
        </w:rPr>
        <w:t xml:space="preserve">por concepto de </w:t>
      </w:r>
      <w:r w:rsidR="00FF41F9" w:rsidRPr="00BE5AE1">
        <w:rPr>
          <w:rFonts w:eastAsia="Times New Roman"/>
          <w:szCs w:val="20"/>
          <w:lang w:val="es-ES_tradnl" w:eastAsia="es-ES"/>
        </w:rPr>
        <w:t>pérdida de ingresos</w:t>
      </w:r>
      <w:r w:rsidRPr="00BE5AE1">
        <w:rPr>
          <w:rFonts w:eastAsia="Times New Roman"/>
          <w:szCs w:val="20"/>
          <w:lang w:val="es-ES_tradnl" w:eastAsia="es-ES"/>
        </w:rPr>
        <w:t xml:space="preserve">, conforme a lo señalado en los párrafos </w:t>
      </w:r>
      <w:r w:rsidR="00751030" w:rsidRPr="00BE5AE1">
        <w:fldChar w:fldCharType="begin"/>
      </w:r>
      <w:r w:rsidR="00751030" w:rsidRPr="00BE5AE1">
        <w:rPr>
          <w:rFonts w:eastAsia="Times New Roman"/>
          <w:szCs w:val="20"/>
          <w:lang w:val="es-ES_tradnl" w:eastAsia="es-ES"/>
        </w:rPr>
        <w:instrText xml:space="preserve"> REF _Ref446344847 \r \h </w:instrText>
      </w:r>
      <w:r w:rsidR="00BE5AE1">
        <w:instrText xml:space="preserve"> \* MERGEFORMAT </w:instrText>
      </w:r>
      <w:r w:rsidR="00751030" w:rsidRPr="00BE5AE1">
        <w:fldChar w:fldCharType="separate"/>
      </w:r>
      <w:r w:rsidR="00E54675">
        <w:rPr>
          <w:rFonts w:eastAsia="Times New Roman"/>
          <w:szCs w:val="20"/>
          <w:lang w:val="es-ES_tradnl" w:eastAsia="es-ES"/>
        </w:rPr>
        <w:t>23</w:t>
      </w:r>
      <w:r w:rsidR="00751030" w:rsidRPr="00BE5AE1">
        <w:fldChar w:fldCharType="end"/>
      </w:r>
      <w:r w:rsidR="00751030" w:rsidRPr="00BE5AE1">
        <w:t xml:space="preserve"> y </w:t>
      </w:r>
      <w:r w:rsidR="00A24599">
        <w:fldChar w:fldCharType="begin"/>
      </w:r>
      <w:r w:rsidR="00A24599">
        <w:instrText xml:space="preserve"> REF _Ref406491795 \r \h </w:instrText>
      </w:r>
      <w:r w:rsidR="003854AC">
        <w:instrText xml:space="preserve"> \* MERGEFORMAT </w:instrText>
      </w:r>
      <w:r w:rsidR="00A24599">
        <w:fldChar w:fldCharType="separate"/>
      </w:r>
      <w:r w:rsidR="00E54675">
        <w:t>24</w:t>
      </w:r>
      <w:r w:rsidR="00A24599">
        <w:fldChar w:fldCharType="end"/>
      </w:r>
      <w:r w:rsidR="00751030" w:rsidRPr="00BE5AE1">
        <w:t xml:space="preserve"> </w:t>
      </w:r>
      <w:r w:rsidRPr="00BE5AE1">
        <w:rPr>
          <w:rFonts w:eastAsia="Times New Roman"/>
          <w:szCs w:val="20"/>
          <w:lang w:val="es-ES_tradnl" w:eastAsia="es-ES"/>
        </w:rPr>
        <w:t xml:space="preserve">de </w:t>
      </w:r>
      <w:r w:rsidR="00571229">
        <w:rPr>
          <w:rFonts w:eastAsia="Times New Roman"/>
          <w:szCs w:val="20"/>
          <w:lang w:val="es-ES_tradnl" w:eastAsia="es-ES"/>
        </w:rPr>
        <w:t>esta</w:t>
      </w:r>
      <w:r w:rsidRPr="00BE5AE1">
        <w:rPr>
          <w:rFonts w:eastAsia="Times New Roman"/>
          <w:szCs w:val="20"/>
          <w:lang w:val="es-ES_tradnl" w:eastAsia="es-ES"/>
        </w:rPr>
        <w:t xml:space="preserve"> </w:t>
      </w:r>
      <w:r w:rsidR="00751030" w:rsidRPr="00BE5AE1">
        <w:rPr>
          <w:rFonts w:eastAsia="Times New Roman"/>
          <w:szCs w:val="20"/>
          <w:lang w:val="es-ES_tradnl" w:eastAsia="es-ES"/>
        </w:rPr>
        <w:t>S</w:t>
      </w:r>
      <w:r w:rsidR="00CF7B79" w:rsidRPr="00BE5AE1">
        <w:rPr>
          <w:rFonts w:eastAsia="Times New Roman"/>
          <w:szCs w:val="20"/>
          <w:lang w:val="es-ES_tradnl" w:eastAsia="es-ES"/>
        </w:rPr>
        <w:t xml:space="preserve">entencia </w:t>
      </w:r>
      <w:r w:rsidRPr="00BE5AE1">
        <w:rPr>
          <w:rFonts w:eastAsia="Times New Roman"/>
          <w:szCs w:val="20"/>
          <w:lang w:val="es-ES_tradnl" w:eastAsia="es-ES"/>
        </w:rPr>
        <w:t>de interpretación.</w:t>
      </w:r>
    </w:p>
    <w:p w:rsidR="00E77DBC" w:rsidRPr="00BE5AE1" w:rsidRDefault="00E77DBC" w:rsidP="003854AC">
      <w:pPr>
        <w:pStyle w:val="ListParagraph"/>
        <w:tabs>
          <w:tab w:val="left" w:pos="567"/>
        </w:tabs>
        <w:spacing w:after="0" w:line="240" w:lineRule="auto"/>
        <w:ind w:left="0"/>
        <w:contextualSpacing w:val="0"/>
        <w:jc w:val="both"/>
        <w:rPr>
          <w:rFonts w:eastAsia="Batang"/>
          <w:szCs w:val="20"/>
          <w:lang w:val="es-ES_tradnl"/>
        </w:rPr>
      </w:pPr>
    </w:p>
    <w:p w:rsidR="00E723EE" w:rsidRDefault="00B6703B" w:rsidP="003854AC">
      <w:pPr>
        <w:pStyle w:val="ListParagraph"/>
        <w:numPr>
          <w:ilvl w:val="0"/>
          <w:numId w:val="6"/>
        </w:numPr>
        <w:tabs>
          <w:tab w:val="left" w:pos="567"/>
        </w:tabs>
        <w:spacing w:after="0" w:line="240" w:lineRule="auto"/>
        <w:ind w:left="0" w:firstLine="0"/>
        <w:contextualSpacing w:val="0"/>
        <w:jc w:val="both"/>
        <w:rPr>
          <w:rFonts w:eastAsia="Batang"/>
          <w:szCs w:val="20"/>
          <w:lang w:val="es-ES_tradnl"/>
        </w:rPr>
      </w:pPr>
      <w:r w:rsidRPr="00BE5AE1">
        <w:rPr>
          <w:rFonts w:eastAsia="Batang"/>
          <w:szCs w:val="20"/>
          <w:lang w:val="es-ES_tradnl"/>
        </w:rPr>
        <w:t xml:space="preserve">Disponer que la Secretaría de la Corte notifique la presente </w:t>
      </w:r>
      <w:r w:rsidR="00A24599">
        <w:rPr>
          <w:rFonts w:eastAsia="Batang"/>
          <w:szCs w:val="20"/>
          <w:lang w:val="es-ES_tradnl"/>
        </w:rPr>
        <w:t>s</w:t>
      </w:r>
      <w:r w:rsidRPr="00BE5AE1">
        <w:rPr>
          <w:rFonts w:eastAsia="Batang"/>
          <w:szCs w:val="20"/>
          <w:lang w:val="es-ES_tradnl"/>
        </w:rPr>
        <w:t xml:space="preserve">entencia </w:t>
      </w:r>
      <w:r w:rsidR="006C44F4" w:rsidRPr="00BE5AE1">
        <w:rPr>
          <w:rFonts w:eastAsia="Times New Roman"/>
          <w:szCs w:val="20"/>
          <w:lang w:val="es-ES_tradnl" w:eastAsia="es-ES"/>
        </w:rPr>
        <w:t>de interpretación</w:t>
      </w:r>
      <w:r w:rsidR="006C44F4" w:rsidRPr="00BE5AE1">
        <w:rPr>
          <w:rFonts w:eastAsia="Batang"/>
          <w:szCs w:val="20"/>
          <w:lang w:val="es-ES_tradnl"/>
        </w:rPr>
        <w:t xml:space="preserve"> </w:t>
      </w:r>
      <w:r w:rsidRPr="00BE5AE1">
        <w:rPr>
          <w:rFonts w:eastAsia="Batang"/>
          <w:szCs w:val="20"/>
          <w:lang w:val="es-ES_tradnl"/>
        </w:rPr>
        <w:t>a la República de</w:t>
      </w:r>
      <w:r w:rsidR="009E6ACD" w:rsidRPr="00BE5AE1">
        <w:rPr>
          <w:rFonts w:eastAsia="Batang"/>
          <w:szCs w:val="20"/>
          <w:lang w:val="es-ES_tradnl"/>
        </w:rPr>
        <w:t xml:space="preserve"> Honduras, a</w:t>
      </w:r>
      <w:r w:rsidR="00A113D1" w:rsidRPr="00BE5AE1">
        <w:rPr>
          <w:rFonts w:eastAsia="Batang"/>
          <w:szCs w:val="20"/>
          <w:lang w:val="es-ES_tradnl"/>
        </w:rPr>
        <w:t xml:space="preserve"> </w:t>
      </w:r>
      <w:r w:rsidR="009E6ACD" w:rsidRPr="00BE5AE1">
        <w:rPr>
          <w:rFonts w:eastAsia="Batang"/>
          <w:szCs w:val="20"/>
          <w:lang w:val="es-ES_tradnl"/>
        </w:rPr>
        <w:t>l</w:t>
      </w:r>
      <w:r w:rsidR="00A113D1" w:rsidRPr="00BE5AE1">
        <w:rPr>
          <w:rFonts w:eastAsia="Batang"/>
          <w:szCs w:val="20"/>
          <w:lang w:val="es-ES_tradnl"/>
        </w:rPr>
        <w:t>os</w:t>
      </w:r>
      <w:r w:rsidR="00787117" w:rsidRPr="00BE5AE1">
        <w:rPr>
          <w:rFonts w:eastAsia="Batang"/>
          <w:szCs w:val="20"/>
          <w:lang w:val="es-ES_tradnl"/>
        </w:rPr>
        <w:t xml:space="preserve"> representante</w:t>
      </w:r>
      <w:r w:rsidR="00A113D1" w:rsidRPr="00BE5AE1">
        <w:rPr>
          <w:rFonts w:eastAsia="Batang"/>
          <w:szCs w:val="20"/>
          <w:lang w:val="es-ES_tradnl"/>
        </w:rPr>
        <w:t>s</w:t>
      </w:r>
      <w:r w:rsidR="00787117" w:rsidRPr="00BE5AE1">
        <w:rPr>
          <w:rFonts w:eastAsia="Batang"/>
          <w:szCs w:val="20"/>
          <w:lang w:val="es-ES_tradnl"/>
        </w:rPr>
        <w:t xml:space="preserve"> de la</w:t>
      </w:r>
      <w:r w:rsidR="00A113D1" w:rsidRPr="00BE5AE1">
        <w:rPr>
          <w:rFonts w:eastAsia="Batang"/>
          <w:szCs w:val="20"/>
          <w:lang w:val="es-ES_tradnl"/>
        </w:rPr>
        <w:t>s</w:t>
      </w:r>
      <w:r w:rsidR="00787117" w:rsidRPr="00BE5AE1">
        <w:rPr>
          <w:rFonts w:eastAsia="Batang"/>
          <w:szCs w:val="20"/>
          <w:lang w:val="es-ES_tradnl"/>
        </w:rPr>
        <w:t xml:space="preserve"> víctima</w:t>
      </w:r>
      <w:r w:rsidR="00A113D1" w:rsidRPr="00BE5AE1">
        <w:rPr>
          <w:rFonts w:eastAsia="Batang"/>
          <w:szCs w:val="20"/>
          <w:lang w:val="es-ES_tradnl"/>
        </w:rPr>
        <w:t>s</w:t>
      </w:r>
      <w:r w:rsidRPr="00BE5AE1">
        <w:rPr>
          <w:rFonts w:eastAsia="Batang"/>
          <w:szCs w:val="20"/>
          <w:lang w:val="es-ES_tradnl"/>
        </w:rPr>
        <w:t xml:space="preserve"> y a la Comisión Interamericana de Derechos Humanos.</w:t>
      </w:r>
    </w:p>
    <w:p w:rsidR="00A24599" w:rsidRPr="00A24599" w:rsidRDefault="00A24599" w:rsidP="003854AC">
      <w:pPr>
        <w:pStyle w:val="ListParagraph"/>
        <w:jc w:val="both"/>
        <w:rPr>
          <w:rFonts w:eastAsia="Batang"/>
          <w:szCs w:val="20"/>
          <w:lang w:val="es-ES_tradnl"/>
        </w:rPr>
      </w:pPr>
    </w:p>
    <w:p w:rsidR="00A24599" w:rsidRDefault="00A24599" w:rsidP="003854AC">
      <w:pPr>
        <w:pStyle w:val="ListParagraph"/>
        <w:tabs>
          <w:tab w:val="left" w:pos="567"/>
        </w:tabs>
        <w:spacing w:after="0" w:line="240" w:lineRule="auto"/>
        <w:ind w:left="0"/>
        <w:contextualSpacing w:val="0"/>
        <w:jc w:val="both"/>
      </w:pPr>
      <w:r>
        <w:t>Redactada en español, en Ciudad de México, México, el 2 de septiembre de 2016.</w:t>
      </w:r>
    </w:p>
    <w:p w:rsidR="000D5BF4" w:rsidRDefault="000D5BF4" w:rsidP="00A24599">
      <w:pPr>
        <w:pStyle w:val="ListParagraph"/>
        <w:tabs>
          <w:tab w:val="left" w:pos="567"/>
        </w:tabs>
        <w:spacing w:after="0" w:line="240" w:lineRule="auto"/>
        <w:ind w:left="0"/>
        <w:contextualSpacing w:val="0"/>
        <w:jc w:val="both"/>
      </w:pPr>
    </w:p>
    <w:p w:rsidR="000D5BF4" w:rsidRPr="000D5BF4" w:rsidRDefault="000D5BF4" w:rsidP="000D5BF4">
      <w:pPr>
        <w:keepNext/>
        <w:spacing w:after="0" w:line="240" w:lineRule="auto"/>
        <w:jc w:val="both"/>
        <w:outlineLvl w:val="0"/>
        <w:rPr>
          <w:rFonts w:eastAsia="Times"/>
          <w:szCs w:val="20"/>
        </w:rPr>
      </w:pPr>
      <w:r w:rsidRPr="000D5BF4">
        <w:rPr>
          <w:rFonts w:eastAsia="Times"/>
          <w:szCs w:val="20"/>
          <w:lang w:val="es-ES"/>
        </w:rPr>
        <w:lastRenderedPageBreak/>
        <w:t xml:space="preserve">Sentencia de Interpretación de la Sentencia de </w:t>
      </w:r>
      <w:r w:rsidRPr="000D5BF4">
        <w:rPr>
          <w:rFonts w:eastAsia="Times"/>
          <w:szCs w:val="20"/>
        </w:rPr>
        <w:t xml:space="preserve">Excepción Preliminar, </w:t>
      </w:r>
      <w:r w:rsidRPr="000D5BF4">
        <w:rPr>
          <w:rFonts w:eastAsia="Times"/>
          <w:snapToGrid w:val="0"/>
          <w:szCs w:val="20"/>
        </w:rPr>
        <w:t xml:space="preserve">Fondo, Reparaciones y Costas. </w:t>
      </w:r>
      <w:r w:rsidRPr="000D5BF4">
        <w:rPr>
          <w:rFonts w:eastAsia="Times"/>
          <w:szCs w:val="20"/>
        </w:rPr>
        <w:t xml:space="preserve">Caso López </w:t>
      </w:r>
      <w:proofErr w:type="spellStart"/>
      <w:r w:rsidRPr="000D5BF4">
        <w:rPr>
          <w:rFonts w:eastAsia="Times"/>
          <w:szCs w:val="20"/>
        </w:rPr>
        <w:t>Lone</w:t>
      </w:r>
      <w:proofErr w:type="spellEnd"/>
      <w:r w:rsidRPr="000D5BF4">
        <w:rPr>
          <w:rFonts w:eastAsia="Times"/>
          <w:szCs w:val="20"/>
        </w:rPr>
        <w:t xml:space="preserve"> y otros vs Honduras. </w:t>
      </w:r>
    </w:p>
    <w:p w:rsidR="000D5BF4" w:rsidRPr="000D5BF4" w:rsidRDefault="000D5BF4" w:rsidP="000D5BF4">
      <w:pPr>
        <w:spacing w:after="0" w:line="240" w:lineRule="auto"/>
        <w:jc w:val="center"/>
        <w:rPr>
          <w:rFonts w:eastAsia="Times"/>
          <w:szCs w:val="20"/>
          <w:lang w:val="es-ES"/>
        </w:rPr>
      </w:pPr>
    </w:p>
    <w:p w:rsidR="000D5BF4" w:rsidRPr="000D5BF4" w:rsidRDefault="000D5BF4" w:rsidP="000D5BF4">
      <w:pPr>
        <w:spacing w:after="0" w:line="240" w:lineRule="auto"/>
        <w:jc w:val="center"/>
        <w:rPr>
          <w:rFonts w:eastAsia="Times"/>
          <w:szCs w:val="20"/>
          <w:lang w:val="es-ES"/>
        </w:rPr>
      </w:pPr>
    </w:p>
    <w:p w:rsidR="000D5BF4" w:rsidRPr="000D5BF4" w:rsidRDefault="000D5BF4" w:rsidP="000D5BF4">
      <w:pPr>
        <w:spacing w:after="0" w:line="240" w:lineRule="auto"/>
        <w:jc w:val="center"/>
        <w:rPr>
          <w:rFonts w:eastAsia="Times"/>
          <w:szCs w:val="20"/>
          <w:lang w:val="es-ES"/>
        </w:rPr>
      </w:pPr>
    </w:p>
    <w:p w:rsidR="000D5BF4" w:rsidRPr="000D5BF4" w:rsidRDefault="000D5BF4" w:rsidP="000D5BF4">
      <w:pPr>
        <w:spacing w:after="0" w:line="240" w:lineRule="auto"/>
        <w:jc w:val="center"/>
        <w:rPr>
          <w:rFonts w:eastAsia="Times"/>
          <w:szCs w:val="20"/>
          <w:lang w:val="es-ES"/>
        </w:rPr>
      </w:pPr>
      <w:r w:rsidRPr="000D5BF4">
        <w:rPr>
          <w:rFonts w:eastAsia="Times"/>
          <w:szCs w:val="20"/>
          <w:lang w:val="es-ES"/>
        </w:rPr>
        <w:t>Roberto F. Caldas</w:t>
      </w:r>
    </w:p>
    <w:p w:rsidR="000D5BF4" w:rsidRPr="000D5BF4" w:rsidRDefault="000D5BF4" w:rsidP="000D5BF4">
      <w:pPr>
        <w:spacing w:after="0" w:line="240" w:lineRule="auto"/>
        <w:jc w:val="center"/>
        <w:rPr>
          <w:rFonts w:eastAsia="Times"/>
          <w:szCs w:val="20"/>
          <w:lang w:val="es-ES"/>
        </w:rPr>
      </w:pPr>
      <w:r w:rsidRPr="000D5BF4">
        <w:rPr>
          <w:rFonts w:eastAsia="Times"/>
          <w:szCs w:val="20"/>
          <w:lang w:val="es-ES"/>
        </w:rPr>
        <w:t xml:space="preserve">Presidente </w:t>
      </w: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7246F6" w:rsidRDefault="000D5BF4" w:rsidP="000D5BF4">
      <w:pPr>
        <w:spacing w:after="0" w:line="240" w:lineRule="auto"/>
        <w:jc w:val="both"/>
        <w:rPr>
          <w:rFonts w:eastAsia="Times"/>
          <w:szCs w:val="20"/>
          <w:lang w:val="pt-BR"/>
        </w:rPr>
      </w:pPr>
      <w:r w:rsidRPr="007246F6">
        <w:rPr>
          <w:rFonts w:eastAsia="Times"/>
          <w:szCs w:val="20"/>
          <w:lang w:val="pt-BR"/>
        </w:rPr>
        <w:t>Eduardo Ferrer Mac-Gregor Poisot</w:t>
      </w:r>
      <w:r w:rsidRPr="007246F6">
        <w:rPr>
          <w:rFonts w:eastAsia="Times"/>
          <w:szCs w:val="20"/>
          <w:lang w:val="pt-BR"/>
        </w:rPr>
        <w:tab/>
      </w:r>
      <w:r w:rsidRPr="007246F6">
        <w:rPr>
          <w:rFonts w:eastAsia="Times"/>
          <w:szCs w:val="20"/>
          <w:lang w:val="pt-BR"/>
        </w:rPr>
        <w:tab/>
      </w:r>
      <w:r w:rsidRPr="007246F6">
        <w:rPr>
          <w:rFonts w:eastAsia="Times"/>
          <w:szCs w:val="20"/>
          <w:lang w:val="pt-BR"/>
        </w:rPr>
        <w:tab/>
      </w:r>
      <w:r w:rsidRPr="007246F6">
        <w:rPr>
          <w:rFonts w:eastAsia="Times"/>
          <w:szCs w:val="20"/>
          <w:lang w:val="pt-BR"/>
        </w:rPr>
        <w:tab/>
        <w:t xml:space="preserve">        Manuel E. Ventura Robles</w:t>
      </w:r>
    </w:p>
    <w:p w:rsidR="000D5BF4" w:rsidRPr="007246F6" w:rsidRDefault="000D5BF4" w:rsidP="000D5BF4">
      <w:pPr>
        <w:spacing w:after="0" w:line="240" w:lineRule="auto"/>
        <w:jc w:val="both"/>
        <w:rPr>
          <w:rFonts w:eastAsia="Times"/>
          <w:szCs w:val="20"/>
          <w:lang w:val="pt-BR"/>
        </w:rPr>
      </w:pPr>
    </w:p>
    <w:p w:rsidR="000D5BF4" w:rsidRPr="007246F6" w:rsidRDefault="000D5BF4" w:rsidP="000D5BF4">
      <w:pPr>
        <w:spacing w:after="0" w:line="240" w:lineRule="auto"/>
        <w:jc w:val="both"/>
        <w:rPr>
          <w:rFonts w:eastAsia="Times"/>
          <w:szCs w:val="20"/>
          <w:lang w:val="pt-BR"/>
        </w:rPr>
      </w:pPr>
    </w:p>
    <w:p w:rsidR="000D5BF4" w:rsidRPr="007246F6" w:rsidRDefault="000D5BF4" w:rsidP="000D5BF4">
      <w:pPr>
        <w:spacing w:after="0" w:line="240" w:lineRule="auto"/>
        <w:jc w:val="both"/>
        <w:rPr>
          <w:rFonts w:eastAsia="Times"/>
          <w:szCs w:val="20"/>
          <w:lang w:val="pt-BR"/>
        </w:rPr>
      </w:pPr>
    </w:p>
    <w:p w:rsidR="000D5BF4" w:rsidRPr="007246F6" w:rsidRDefault="000D5BF4" w:rsidP="000D5BF4">
      <w:pPr>
        <w:spacing w:after="0" w:line="240" w:lineRule="auto"/>
        <w:jc w:val="both"/>
        <w:rPr>
          <w:rFonts w:eastAsia="Times"/>
          <w:szCs w:val="20"/>
          <w:lang w:val="pt-BR"/>
        </w:rPr>
      </w:pPr>
    </w:p>
    <w:p w:rsidR="000D5BF4" w:rsidRPr="007246F6" w:rsidRDefault="000D5BF4" w:rsidP="000D5BF4">
      <w:pPr>
        <w:spacing w:after="0" w:line="240" w:lineRule="auto"/>
        <w:jc w:val="both"/>
        <w:rPr>
          <w:rFonts w:eastAsia="Times"/>
          <w:szCs w:val="20"/>
          <w:lang w:val="pt-BR"/>
        </w:rPr>
      </w:pPr>
    </w:p>
    <w:p w:rsidR="000D5BF4" w:rsidRPr="000D5BF4" w:rsidRDefault="000D5BF4" w:rsidP="000D5BF4">
      <w:pPr>
        <w:spacing w:after="0" w:line="240" w:lineRule="auto"/>
        <w:jc w:val="both"/>
        <w:rPr>
          <w:rFonts w:eastAsia="Times"/>
          <w:szCs w:val="20"/>
          <w:lang w:val="es-ES"/>
        </w:rPr>
      </w:pPr>
      <w:r w:rsidRPr="000D5BF4">
        <w:rPr>
          <w:rFonts w:eastAsia="Times"/>
          <w:szCs w:val="20"/>
          <w:lang w:val="es-ES"/>
        </w:rPr>
        <w:t>Diego García-Sayán</w:t>
      </w:r>
      <w:r w:rsidRPr="000D5BF4">
        <w:rPr>
          <w:rFonts w:eastAsia="Times"/>
          <w:szCs w:val="20"/>
          <w:lang w:val="es-ES"/>
        </w:rPr>
        <w:tab/>
      </w:r>
      <w:r w:rsidRPr="000D5BF4">
        <w:rPr>
          <w:rFonts w:eastAsia="Times"/>
          <w:szCs w:val="20"/>
          <w:lang w:val="es-ES"/>
        </w:rPr>
        <w:tab/>
      </w:r>
      <w:r w:rsidRPr="000D5BF4">
        <w:rPr>
          <w:rFonts w:eastAsia="Times"/>
          <w:szCs w:val="20"/>
          <w:lang w:val="es-ES"/>
        </w:rPr>
        <w:tab/>
      </w:r>
      <w:r w:rsidRPr="000D5BF4">
        <w:rPr>
          <w:rFonts w:eastAsia="Times"/>
          <w:szCs w:val="20"/>
          <w:lang w:val="es-ES"/>
        </w:rPr>
        <w:tab/>
      </w:r>
      <w:r w:rsidRPr="000D5BF4">
        <w:rPr>
          <w:rFonts w:eastAsia="Times"/>
          <w:szCs w:val="20"/>
          <w:lang w:val="es-ES"/>
        </w:rPr>
        <w:tab/>
      </w:r>
      <w:r w:rsidRPr="000D5BF4">
        <w:rPr>
          <w:rFonts w:eastAsia="Times"/>
          <w:szCs w:val="20"/>
          <w:lang w:val="es-ES"/>
        </w:rPr>
        <w:tab/>
      </w:r>
      <w:r w:rsidRPr="000D5BF4">
        <w:rPr>
          <w:rFonts w:eastAsia="Times"/>
          <w:szCs w:val="20"/>
          <w:lang w:val="es-ES"/>
        </w:rPr>
        <w:tab/>
        <w:t xml:space="preserve">       Alberto Pérez </w:t>
      </w:r>
      <w:proofErr w:type="spellStart"/>
      <w:r w:rsidRPr="000D5BF4">
        <w:rPr>
          <w:rFonts w:eastAsia="Times"/>
          <w:szCs w:val="20"/>
          <w:lang w:val="es-ES"/>
        </w:rPr>
        <w:t>Pérez</w:t>
      </w:r>
      <w:proofErr w:type="spellEnd"/>
      <w:r w:rsidRPr="000D5BF4">
        <w:rPr>
          <w:rFonts w:eastAsia="Times"/>
          <w:szCs w:val="20"/>
          <w:lang w:val="es-ES"/>
        </w:rPr>
        <w:t xml:space="preserve"> </w:t>
      </w: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rPr>
          <w:rFonts w:eastAsia="Times"/>
          <w:szCs w:val="20"/>
          <w:lang w:val="es-ES"/>
        </w:rPr>
      </w:pPr>
      <w:r w:rsidRPr="000D5BF4">
        <w:rPr>
          <w:rFonts w:eastAsia="Times"/>
          <w:szCs w:val="20"/>
          <w:lang w:val="es-ES"/>
        </w:rPr>
        <w:t xml:space="preserve">Eduardo Vio Grossi </w:t>
      </w:r>
      <w:r w:rsidRPr="000D5BF4">
        <w:rPr>
          <w:rFonts w:eastAsia="Times"/>
          <w:szCs w:val="20"/>
          <w:lang w:val="es-ES"/>
        </w:rPr>
        <w:tab/>
      </w:r>
      <w:r w:rsidRPr="000D5BF4">
        <w:rPr>
          <w:rFonts w:eastAsia="Times"/>
          <w:szCs w:val="20"/>
          <w:lang w:val="es-ES"/>
        </w:rPr>
        <w:tab/>
      </w:r>
      <w:r w:rsidRPr="000D5BF4">
        <w:rPr>
          <w:rFonts w:eastAsia="Times"/>
          <w:szCs w:val="20"/>
          <w:lang w:val="es-ES"/>
        </w:rPr>
        <w:tab/>
      </w:r>
      <w:r w:rsidRPr="000D5BF4">
        <w:rPr>
          <w:rFonts w:eastAsia="Times"/>
          <w:szCs w:val="20"/>
          <w:lang w:val="es-ES"/>
        </w:rPr>
        <w:tab/>
      </w:r>
      <w:r w:rsidRPr="000D5BF4">
        <w:rPr>
          <w:rFonts w:eastAsia="Times"/>
          <w:szCs w:val="20"/>
          <w:lang w:val="es-ES"/>
        </w:rPr>
        <w:tab/>
        <w:t xml:space="preserve">           Humberto Antonio Sierra Porto</w:t>
      </w: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center"/>
        <w:rPr>
          <w:rFonts w:eastAsia="Times"/>
          <w:szCs w:val="20"/>
          <w:lang w:val="es-ES"/>
        </w:rPr>
      </w:pPr>
      <w:r w:rsidRPr="000D5BF4">
        <w:rPr>
          <w:rFonts w:eastAsia="Times"/>
          <w:szCs w:val="20"/>
          <w:lang w:val="es-ES"/>
        </w:rPr>
        <w:t>Pablo Saavedra Alessandri</w:t>
      </w:r>
    </w:p>
    <w:p w:rsidR="000D5BF4" w:rsidRPr="000D5BF4" w:rsidRDefault="000D5BF4" w:rsidP="000D5BF4">
      <w:pPr>
        <w:spacing w:after="0" w:line="240" w:lineRule="auto"/>
        <w:jc w:val="center"/>
        <w:rPr>
          <w:rFonts w:eastAsia="Times"/>
          <w:szCs w:val="20"/>
          <w:lang w:val="es-ES"/>
        </w:rPr>
      </w:pPr>
      <w:r w:rsidRPr="000D5BF4">
        <w:rPr>
          <w:rFonts w:eastAsia="Times"/>
          <w:szCs w:val="20"/>
          <w:lang w:val="es-ES"/>
        </w:rPr>
        <w:t>Secretario</w:t>
      </w:r>
    </w:p>
    <w:p w:rsidR="000D5BF4" w:rsidRPr="000D5BF4" w:rsidRDefault="000D5BF4" w:rsidP="000D5BF4">
      <w:pPr>
        <w:spacing w:after="0" w:line="240" w:lineRule="auto"/>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r w:rsidRPr="000D5BF4">
        <w:rPr>
          <w:rFonts w:eastAsia="Times"/>
          <w:szCs w:val="20"/>
          <w:lang w:val="es-ES"/>
        </w:rPr>
        <w:t>Comuníquese y ejecútese,</w:t>
      </w: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rPr>
      </w:pPr>
    </w:p>
    <w:p w:rsidR="000D5BF4" w:rsidRPr="000D5BF4" w:rsidRDefault="000D5BF4" w:rsidP="000D5BF4">
      <w:pPr>
        <w:spacing w:after="0" w:line="240" w:lineRule="auto"/>
        <w:ind w:left="5664"/>
        <w:jc w:val="center"/>
        <w:rPr>
          <w:rFonts w:eastAsia="Times"/>
          <w:szCs w:val="20"/>
          <w:lang w:val="es-ES"/>
        </w:rPr>
      </w:pPr>
      <w:r w:rsidRPr="000D5BF4">
        <w:rPr>
          <w:rFonts w:eastAsia="Times"/>
          <w:szCs w:val="20"/>
          <w:lang w:val="es-ES"/>
        </w:rPr>
        <w:t>Roberto F. Caldas</w:t>
      </w:r>
    </w:p>
    <w:p w:rsidR="000D5BF4" w:rsidRPr="000D5BF4" w:rsidRDefault="000D5BF4" w:rsidP="000D5BF4">
      <w:pPr>
        <w:spacing w:after="0" w:line="240" w:lineRule="auto"/>
        <w:ind w:left="5664"/>
        <w:jc w:val="center"/>
        <w:rPr>
          <w:rFonts w:eastAsia="Times"/>
          <w:szCs w:val="20"/>
          <w:lang w:val="es-ES"/>
        </w:rPr>
      </w:pPr>
      <w:r w:rsidRPr="000D5BF4">
        <w:rPr>
          <w:rFonts w:eastAsia="Times"/>
          <w:szCs w:val="20"/>
          <w:lang w:val="es-ES"/>
        </w:rPr>
        <w:t>Presidente</w:t>
      </w: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p>
    <w:p w:rsidR="000D5BF4" w:rsidRPr="000D5BF4" w:rsidRDefault="000D5BF4" w:rsidP="000D5BF4">
      <w:pPr>
        <w:spacing w:after="0" w:line="240" w:lineRule="auto"/>
        <w:jc w:val="both"/>
        <w:rPr>
          <w:rFonts w:eastAsia="Times"/>
          <w:szCs w:val="20"/>
          <w:lang w:val="es-ES"/>
        </w:rPr>
      </w:pPr>
      <w:r w:rsidRPr="000D5BF4">
        <w:rPr>
          <w:rFonts w:eastAsia="Times"/>
          <w:szCs w:val="20"/>
          <w:lang w:val="es-ES"/>
        </w:rPr>
        <w:t>Pablo Saavedra Alessandri</w:t>
      </w:r>
    </w:p>
    <w:p w:rsidR="000D5BF4" w:rsidRPr="000D5BF4" w:rsidRDefault="000D5BF4" w:rsidP="000D5BF4">
      <w:pPr>
        <w:spacing w:after="0" w:line="240" w:lineRule="auto"/>
        <w:rPr>
          <w:rFonts w:eastAsia="Times"/>
          <w:szCs w:val="20"/>
        </w:rPr>
      </w:pPr>
      <w:r w:rsidRPr="000D5BF4">
        <w:rPr>
          <w:rFonts w:eastAsia="Times"/>
          <w:szCs w:val="20"/>
          <w:lang w:val="es-ES"/>
        </w:rPr>
        <w:tab/>
      </w:r>
      <w:r w:rsidRPr="000D5BF4">
        <w:rPr>
          <w:rFonts w:eastAsia="Times"/>
          <w:szCs w:val="20"/>
        </w:rPr>
        <w:t>Secretario</w:t>
      </w:r>
    </w:p>
    <w:p w:rsidR="000D5BF4" w:rsidRPr="00BE5AE1" w:rsidRDefault="000D5BF4" w:rsidP="00A24599">
      <w:pPr>
        <w:pStyle w:val="ListParagraph"/>
        <w:tabs>
          <w:tab w:val="left" w:pos="567"/>
        </w:tabs>
        <w:spacing w:after="0" w:line="240" w:lineRule="auto"/>
        <w:ind w:left="0"/>
        <w:contextualSpacing w:val="0"/>
        <w:jc w:val="both"/>
        <w:rPr>
          <w:rFonts w:eastAsia="Batang"/>
          <w:szCs w:val="20"/>
          <w:lang w:val="es-ES_tradnl"/>
        </w:rPr>
      </w:pPr>
    </w:p>
    <w:sectPr w:rsidR="000D5BF4" w:rsidRPr="00BE5AE1" w:rsidSect="00E960DF">
      <w:headerReference w:type="default" r:id="rId9"/>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7D" w:rsidRDefault="00321D7D" w:rsidP="00970448">
      <w:pPr>
        <w:spacing w:after="0" w:line="240" w:lineRule="auto"/>
      </w:pPr>
      <w:r>
        <w:separator/>
      </w:r>
    </w:p>
  </w:endnote>
  <w:endnote w:type="continuationSeparator" w:id="0">
    <w:p w:rsidR="00321D7D" w:rsidRDefault="00321D7D" w:rsidP="0097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Verdana Bold">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7D" w:rsidRDefault="00321D7D" w:rsidP="00970448">
      <w:pPr>
        <w:spacing w:after="0" w:line="240" w:lineRule="auto"/>
      </w:pPr>
      <w:r>
        <w:separator/>
      </w:r>
    </w:p>
  </w:footnote>
  <w:footnote w:type="continuationSeparator" w:id="0">
    <w:p w:rsidR="00321D7D" w:rsidRDefault="00321D7D" w:rsidP="00970448">
      <w:pPr>
        <w:spacing w:after="0" w:line="240" w:lineRule="auto"/>
      </w:pPr>
      <w:r>
        <w:continuationSeparator/>
      </w:r>
    </w:p>
  </w:footnote>
  <w:footnote w:id="1">
    <w:p w:rsidR="007246F6" w:rsidRDefault="007246F6" w:rsidP="007246F6">
      <w:pPr>
        <w:pStyle w:val="FootnoteText"/>
        <w:tabs>
          <w:tab w:val="left" w:pos="567"/>
        </w:tabs>
        <w:jc w:val="both"/>
        <w:rPr>
          <w:rFonts w:eastAsia="Times New Roman"/>
          <w:lang w:eastAsia="es-ES"/>
        </w:rPr>
      </w:pPr>
      <w:r>
        <w:rPr>
          <w:rStyle w:val="FootnoteReference"/>
        </w:rPr>
        <w:sym w:font="Symbol" w:char="F02A"/>
      </w:r>
      <w:r>
        <w:t xml:space="preserve"> </w:t>
      </w:r>
      <w:r>
        <w:tab/>
        <w:t xml:space="preserve">Los Jueces Manuel E. Ventura Robles, Diego García-Sayán y Alberto Pérez </w:t>
      </w:r>
      <w:proofErr w:type="spellStart"/>
      <w:r>
        <w:t>Pérez</w:t>
      </w:r>
      <w:proofErr w:type="spellEnd"/>
      <w:r>
        <w:t xml:space="preserve"> participaron en el conocimiento y deliberación de la presente Sentencia por medios electrónicos.</w:t>
      </w:r>
    </w:p>
  </w:footnote>
  <w:footnote w:id="2">
    <w:p w:rsidR="00156E19" w:rsidRPr="0052337F" w:rsidRDefault="00156E19" w:rsidP="00BE5AE1">
      <w:pPr>
        <w:pStyle w:val="FootnoteText"/>
        <w:tabs>
          <w:tab w:val="left" w:pos="567"/>
        </w:tabs>
        <w:spacing w:before="120" w:after="120"/>
        <w:jc w:val="both"/>
        <w:rPr>
          <w:rFonts w:cs="Verdana"/>
          <w:lang w:val="es-ES_tradnl"/>
        </w:rPr>
      </w:pPr>
      <w:r>
        <w:rPr>
          <w:rStyle w:val="FootnoteReference"/>
        </w:rPr>
        <w:footnoteRef/>
      </w:r>
      <w:r>
        <w:t xml:space="preserve"> </w:t>
      </w:r>
      <w:r>
        <w:tab/>
      </w:r>
      <w:r>
        <w:rPr>
          <w:rFonts w:cs="Verdana"/>
          <w:lang w:val="es-ES_tradnl"/>
        </w:rPr>
        <w:t>Los representantes presentaron sus observaciones al escrito del Estado el 15 de marzo de 2016</w:t>
      </w:r>
      <w:r w:rsidR="0052337F">
        <w:rPr>
          <w:rFonts w:cs="Verdana"/>
          <w:lang w:val="es-ES_tradnl"/>
        </w:rPr>
        <w:t>, un día después de vencido el plazo para su presentación. En consecuencia, dichas observaciones son inadmisibles y no serán consideradas</w:t>
      </w:r>
      <w:r>
        <w:rPr>
          <w:rFonts w:cs="Verdana"/>
          <w:lang w:val="es-ES_tradnl"/>
        </w:rPr>
        <w:t xml:space="preserve"> </w:t>
      </w:r>
      <w:r w:rsidR="0052337F" w:rsidRPr="0052337F">
        <w:rPr>
          <w:rFonts w:cs="Verdana"/>
          <w:lang w:val="es-ES_tradnl"/>
        </w:rPr>
        <w:t xml:space="preserve">por </w:t>
      </w:r>
      <w:r w:rsidR="0052337F">
        <w:rPr>
          <w:rFonts w:cs="Verdana"/>
          <w:lang w:val="es-ES_tradnl"/>
        </w:rPr>
        <w:t xml:space="preserve">este </w:t>
      </w:r>
      <w:r w:rsidR="0052337F" w:rsidRPr="0052337F">
        <w:rPr>
          <w:rFonts w:cs="Verdana"/>
          <w:lang w:val="es-ES_tradnl"/>
        </w:rPr>
        <w:t xml:space="preserve">Tribunal </w:t>
      </w:r>
      <w:r w:rsidR="0052337F">
        <w:rPr>
          <w:rFonts w:cs="Verdana"/>
          <w:lang w:val="es-ES_tradnl"/>
        </w:rPr>
        <w:t xml:space="preserve">en la presente decisión. </w:t>
      </w:r>
    </w:p>
  </w:footnote>
  <w:footnote w:id="3">
    <w:p w:rsidR="009D3F10" w:rsidRPr="00E90AAD" w:rsidRDefault="009D3F10" w:rsidP="006E4F7C">
      <w:pPr>
        <w:pStyle w:val="FootnoteText"/>
        <w:tabs>
          <w:tab w:val="left" w:pos="426"/>
          <w:tab w:val="left" w:pos="567"/>
        </w:tabs>
        <w:spacing w:before="120" w:after="120"/>
        <w:jc w:val="both"/>
      </w:pPr>
      <w:r>
        <w:rPr>
          <w:rStyle w:val="FootnoteReference"/>
        </w:rPr>
        <w:footnoteRef/>
      </w:r>
      <w:r>
        <w:t xml:space="preserve"> </w:t>
      </w:r>
      <w:r>
        <w:tab/>
        <w:t xml:space="preserve">En particular, el Estado señaló que “no puede [la Corte] considerar siquiera que las presuntas víctimas (una magistrada de </w:t>
      </w:r>
      <w:r w:rsidR="006E4F7C">
        <w:t>[</w:t>
      </w:r>
      <w:r>
        <w:t>la</w:t>
      </w:r>
      <w:r w:rsidR="006E4F7C">
        <w:t>]</w:t>
      </w:r>
      <w:r>
        <w:t xml:space="preserve"> Corte de Apelaciones y tres jueces de primera </w:t>
      </w:r>
      <w:r w:rsidRPr="006E4F7C">
        <w:rPr>
          <w:szCs w:val="16"/>
        </w:rPr>
        <w:t>instancia), tenían incertidumbre si era procedente el recurso de Amparo o no, ya que ellos por su calidad de jueces conocen el derecho, por lo que sí es a ellos exigibles el agotamiento del recurso de Amparo como requisito de admisibilidad. Por tanto al no haber agotado el mismo, [la] Corte Interamericana no puede conocer esta causa</w:t>
      </w:r>
      <w:r>
        <w:t>”.</w:t>
      </w:r>
    </w:p>
  </w:footnote>
  <w:footnote w:id="4">
    <w:p w:rsidR="00492A3F" w:rsidRDefault="00492A3F" w:rsidP="00492A3F">
      <w:pPr>
        <w:pStyle w:val="FootnoteText"/>
        <w:tabs>
          <w:tab w:val="left" w:pos="426"/>
          <w:tab w:val="left" w:pos="567"/>
        </w:tabs>
        <w:spacing w:before="120" w:after="120"/>
        <w:jc w:val="both"/>
        <w:rPr>
          <w:i/>
          <w:szCs w:val="16"/>
        </w:rPr>
      </w:pPr>
      <w:r>
        <w:rPr>
          <w:rStyle w:val="FootnoteReference"/>
        </w:rPr>
        <w:footnoteRef/>
      </w:r>
      <w:r>
        <w:t xml:space="preserve"> </w:t>
      </w:r>
      <w:r>
        <w:tab/>
      </w:r>
      <w:r w:rsidR="009A58B1">
        <w:rPr>
          <w:i/>
        </w:rPr>
        <w:t xml:space="preserve">Véase por ejemplo, </w:t>
      </w:r>
      <w:r w:rsidR="009A58B1" w:rsidRPr="003F64DC">
        <w:rPr>
          <w:rStyle w:val="Strong"/>
          <w:b w:val="0"/>
          <w:i/>
          <w:color w:val="000000"/>
          <w:shd w:val="clear" w:color="auto" w:fill="FFFFFF"/>
        </w:rPr>
        <w:t>Caso Chaparro Álvarez y Lapo Íñiguez Vs. Ecuador. Interpretación de la Sentencia de Excepciones Preliminares, Fondo, Reparaciones y Costas.</w:t>
      </w:r>
      <w:r w:rsidR="009A58B1" w:rsidRPr="003F64DC">
        <w:rPr>
          <w:rStyle w:val="Strong"/>
          <w:b w:val="0"/>
          <w:color w:val="000000"/>
          <w:shd w:val="clear" w:color="auto" w:fill="FFFFFF"/>
        </w:rPr>
        <w:t xml:space="preserve"> Sentencia de 26 de no</w:t>
      </w:r>
      <w:r w:rsidR="009A58B1">
        <w:rPr>
          <w:rStyle w:val="Strong"/>
          <w:b w:val="0"/>
          <w:color w:val="000000"/>
          <w:shd w:val="clear" w:color="auto" w:fill="FFFFFF"/>
        </w:rPr>
        <w:t>viembre de 2008 Serie C No. 189, párr. 20.</w:t>
      </w:r>
    </w:p>
  </w:footnote>
  <w:footnote w:id="5">
    <w:p w:rsidR="00947FD3" w:rsidRPr="00C10360" w:rsidRDefault="00947FD3" w:rsidP="00BE5AE1">
      <w:pPr>
        <w:pStyle w:val="FootnoteText"/>
        <w:tabs>
          <w:tab w:val="left" w:pos="426"/>
          <w:tab w:val="left" w:pos="567"/>
        </w:tabs>
        <w:spacing w:before="120" w:after="120"/>
        <w:jc w:val="both"/>
        <w:rPr>
          <w:szCs w:val="16"/>
          <w:lang w:val="es-CO"/>
        </w:rPr>
      </w:pPr>
      <w:r w:rsidRPr="00C10360">
        <w:rPr>
          <w:rStyle w:val="FootnoteReference"/>
          <w:szCs w:val="16"/>
          <w:lang w:val="es-CO"/>
        </w:rPr>
        <w:footnoteRef/>
      </w:r>
      <w:r w:rsidRPr="00C10360">
        <w:rPr>
          <w:szCs w:val="16"/>
          <w:lang w:val="es-CO"/>
        </w:rPr>
        <w:t xml:space="preserve"> </w:t>
      </w:r>
      <w:r w:rsidRPr="00C10360">
        <w:rPr>
          <w:szCs w:val="16"/>
          <w:lang w:val="es-CO"/>
        </w:rPr>
        <w:tab/>
      </w:r>
      <w:r w:rsidR="00D60E09" w:rsidRPr="00C10360">
        <w:rPr>
          <w:i/>
          <w:szCs w:val="16"/>
          <w:lang w:val="es-CO"/>
        </w:rPr>
        <w:t>Cfr. Caso Loayza Tamayo Vs. Perú</w:t>
      </w:r>
      <w:r w:rsidR="00D60E09" w:rsidRPr="00C10360">
        <w:rPr>
          <w:szCs w:val="16"/>
          <w:lang w:val="es-CO"/>
        </w:rPr>
        <w:t xml:space="preserve">. </w:t>
      </w:r>
      <w:r w:rsidR="00D60E09" w:rsidRPr="00C10360">
        <w:rPr>
          <w:i/>
          <w:szCs w:val="16"/>
          <w:lang w:val="es-CO"/>
        </w:rPr>
        <w:t>Interpretación de la Sentencia de Fondo.</w:t>
      </w:r>
      <w:r w:rsidR="00D60E09">
        <w:rPr>
          <w:szCs w:val="16"/>
          <w:lang w:val="es-CO"/>
        </w:rPr>
        <w:t xml:space="preserve"> Resolución de la Corte</w:t>
      </w:r>
      <w:r w:rsidR="00D60E09" w:rsidRPr="00C10360">
        <w:rPr>
          <w:szCs w:val="16"/>
          <w:lang w:val="es-CO"/>
        </w:rPr>
        <w:t xml:space="preserve"> de 8 de marzo de 1998. Serie C No. 47, párr. 16, </w:t>
      </w:r>
      <w:r w:rsidR="00D60E09" w:rsidRPr="003C3698">
        <w:rPr>
          <w:szCs w:val="16"/>
          <w:lang w:val="es-CO"/>
        </w:rPr>
        <w:t>y</w:t>
      </w:r>
      <w:r w:rsidR="00D60E09">
        <w:rPr>
          <w:szCs w:val="16"/>
          <w:lang w:val="es-CO"/>
        </w:rPr>
        <w:t xml:space="preserve"> </w:t>
      </w:r>
      <w:r w:rsidR="00D60E09">
        <w:rPr>
          <w:i/>
          <w:szCs w:val="16"/>
          <w:lang w:val="es-CO"/>
        </w:rPr>
        <w:t xml:space="preserve">Caso Wong Ho </w:t>
      </w:r>
      <w:proofErr w:type="spellStart"/>
      <w:r w:rsidR="00D60E09">
        <w:rPr>
          <w:i/>
          <w:szCs w:val="16"/>
          <w:lang w:val="es-CO"/>
        </w:rPr>
        <w:t>Wing</w:t>
      </w:r>
      <w:proofErr w:type="spellEnd"/>
      <w:r w:rsidR="00D60E09">
        <w:rPr>
          <w:i/>
          <w:szCs w:val="16"/>
          <w:lang w:val="es-CO"/>
        </w:rPr>
        <w:t xml:space="preserve"> Vs. Perú. Interpretación de la Sentencia de Excepción Preliminar, Fondo, Reparaciones y Costas</w:t>
      </w:r>
      <w:r w:rsidR="00D60E09">
        <w:rPr>
          <w:szCs w:val="16"/>
          <w:lang w:val="es-CO"/>
        </w:rPr>
        <w:t>. Sentencia de 22 de junio de 2016. Serie C No. 313, párr. 10</w:t>
      </w:r>
      <w:r w:rsidR="00D60E09" w:rsidRPr="00C10360">
        <w:rPr>
          <w:szCs w:val="16"/>
          <w:lang w:val="es-CO"/>
        </w:rPr>
        <w:t>.</w:t>
      </w:r>
    </w:p>
  </w:footnote>
  <w:footnote w:id="6">
    <w:p w:rsidR="00947FD3" w:rsidRPr="00273810" w:rsidRDefault="00947FD3" w:rsidP="00BE5AE1">
      <w:pPr>
        <w:pStyle w:val="FootnoteText"/>
        <w:tabs>
          <w:tab w:val="left" w:pos="426"/>
          <w:tab w:val="left" w:pos="567"/>
        </w:tabs>
        <w:spacing w:before="120" w:after="120"/>
        <w:jc w:val="both"/>
        <w:rPr>
          <w:szCs w:val="16"/>
          <w:lang w:val="es-CO"/>
        </w:rPr>
      </w:pPr>
      <w:r w:rsidRPr="00C10360">
        <w:rPr>
          <w:rStyle w:val="FootnoteReference"/>
          <w:szCs w:val="16"/>
          <w:lang w:val="es-CO"/>
        </w:rPr>
        <w:footnoteRef/>
      </w:r>
      <w:r w:rsidRPr="00C10360">
        <w:rPr>
          <w:szCs w:val="16"/>
          <w:lang w:val="es-CO"/>
        </w:rPr>
        <w:t xml:space="preserve"> </w:t>
      </w:r>
      <w:r w:rsidRPr="00C10360">
        <w:rPr>
          <w:szCs w:val="16"/>
          <w:lang w:val="es-CO"/>
        </w:rPr>
        <w:tab/>
      </w:r>
      <w:r w:rsidR="00D60E09" w:rsidRPr="00C10360">
        <w:rPr>
          <w:i/>
          <w:szCs w:val="16"/>
          <w:lang w:val="es-CO"/>
        </w:rPr>
        <w:t>Cfr. Caso Loayza Tamayo Vs. Perú</w:t>
      </w:r>
      <w:r w:rsidR="00D60E09" w:rsidRPr="00C10360">
        <w:rPr>
          <w:szCs w:val="16"/>
          <w:lang w:val="es-CO"/>
        </w:rPr>
        <w:t xml:space="preserve">. </w:t>
      </w:r>
      <w:r w:rsidR="00D60E09" w:rsidRPr="00C10360">
        <w:rPr>
          <w:i/>
          <w:szCs w:val="16"/>
          <w:lang w:val="es-CO"/>
        </w:rPr>
        <w:t>Interpretación de la Sentencia de Fondo</w:t>
      </w:r>
      <w:r w:rsidR="00D60E09">
        <w:rPr>
          <w:i/>
          <w:szCs w:val="16"/>
          <w:lang w:val="es-CO"/>
        </w:rPr>
        <w:t>,</w:t>
      </w:r>
      <w:r w:rsidR="00D60E09" w:rsidRPr="00C10360">
        <w:rPr>
          <w:szCs w:val="16"/>
          <w:lang w:val="es-CO"/>
        </w:rPr>
        <w:t xml:space="preserve"> </w:t>
      </w:r>
      <w:r w:rsidR="00D60E09" w:rsidRPr="00BA4B0C">
        <w:rPr>
          <w:i/>
          <w:szCs w:val="16"/>
          <w:lang w:val="es-CO"/>
        </w:rPr>
        <w:t>supra</w:t>
      </w:r>
      <w:r w:rsidR="00D60E09" w:rsidRPr="00C10360">
        <w:rPr>
          <w:szCs w:val="16"/>
          <w:lang w:val="es-CO"/>
        </w:rPr>
        <w:t xml:space="preserve">, párr. 16, </w:t>
      </w:r>
      <w:r w:rsidR="00D60E09" w:rsidRPr="003C3698">
        <w:rPr>
          <w:szCs w:val="16"/>
          <w:lang w:val="es-CO"/>
        </w:rPr>
        <w:t>y</w:t>
      </w:r>
      <w:r w:rsidR="00D60E09" w:rsidRPr="003C3698">
        <w:rPr>
          <w:b/>
          <w:szCs w:val="16"/>
          <w:lang w:val="es-CO"/>
        </w:rPr>
        <w:t xml:space="preserve"> </w:t>
      </w:r>
      <w:r w:rsidR="00D60E09" w:rsidRPr="003C3698">
        <w:rPr>
          <w:rStyle w:val="Strong"/>
          <w:b w:val="0"/>
          <w:i/>
          <w:color w:val="000000"/>
          <w:shd w:val="clear" w:color="auto" w:fill="FFFFFF"/>
        </w:rPr>
        <w:t xml:space="preserve">Caso </w:t>
      </w:r>
      <w:r w:rsidR="00D60E09">
        <w:rPr>
          <w:rStyle w:val="Strong"/>
          <w:b w:val="0"/>
          <w:i/>
          <w:color w:val="000000"/>
          <w:shd w:val="clear" w:color="auto" w:fill="FFFFFF"/>
        </w:rPr>
        <w:t xml:space="preserve">Wong Ho </w:t>
      </w:r>
      <w:proofErr w:type="spellStart"/>
      <w:r w:rsidR="00D60E09">
        <w:rPr>
          <w:rStyle w:val="Strong"/>
          <w:b w:val="0"/>
          <w:i/>
          <w:color w:val="000000"/>
          <w:shd w:val="clear" w:color="auto" w:fill="FFFFFF"/>
        </w:rPr>
        <w:t>Wing</w:t>
      </w:r>
      <w:proofErr w:type="spellEnd"/>
      <w:r w:rsidR="00D60E09">
        <w:rPr>
          <w:rStyle w:val="Strong"/>
          <w:b w:val="0"/>
          <w:i/>
          <w:color w:val="000000"/>
          <w:shd w:val="clear" w:color="auto" w:fill="FFFFFF"/>
        </w:rPr>
        <w:t xml:space="preserve"> Vs. Perú. Interpretación de la Sentencia de Excepción Preliminar, Fondo, Reparaciones y Costas</w:t>
      </w:r>
      <w:r w:rsidR="00D60E09">
        <w:rPr>
          <w:rStyle w:val="Strong"/>
          <w:b w:val="0"/>
          <w:color w:val="000000"/>
          <w:shd w:val="clear" w:color="auto" w:fill="FFFFFF"/>
        </w:rPr>
        <w:t xml:space="preserve">, </w:t>
      </w:r>
      <w:r w:rsidR="00D60E09" w:rsidRPr="00BA4B0C">
        <w:rPr>
          <w:rStyle w:val="Strong"/>
          <w:b w:val="0"/>
          <w:i/>
          <w:color w:val="000000"/>
          <w:shd w:val="clear" w:color="auto" w:fill="FFFFFF"/>
        </w:rPr>
        <w:t>supra</w:t>
      </w:r>
      <w:r w:rsidR="00D60E09">
        <w:rPr>
          <w:szCs w:val="16"/>
          <w:lang w:val="es-CO"/>
        </w:rPr>
        <w:t>, párr. 10</w:t>
      </w:r>
      <w:r w:rsidR="00D60E09" w:rsidRPr="00C10360">
        <w:rPr>
          <w:szCs w:val="16"/>
          <w:lang w:val="es-CO"/>
        </w:rPr>
        <w:t>.</w:t>
      </w:r>
    </w:p>
  </w:footnote>
  <w:footnote w:id="7">
    <w:p w:rsidR="001C4DC4" w:rsidRDefault="001C4DC4" w:rsidP="00BE5AE1">
      <w:pPr>
        <w:pStyle w:val="FootnoteText"/>
        <w:tabs>
          <w:tab w:val="left" w:pos="426"/>
          <w:tab w:val="left" w:pos="567"/>
        </w:tabs>
        <w:spacing w:before="120" w:after="120"/>
        <w:jc w:val="both"/>
      </w:pPr>
      <w:r>
        <w:rPr>
          <w:rStyle w:val="FootnoteReference"/>
        </w:rPr>
        <w:footnoteRef/>
      </w:r>
      <w:r>
        <w:t xml:space="preserve"> </w:t>
      </w:r>
      <w:r>
        <w:tab/>
      </w:r>
      <w:r w:rsidR="002E30E5">
        <w:rPr>
          <w:i/>
        </w:rPr>
        <w:t xml:space="preserve">Cfr. Caso </w:t>
      </w:r>
      <w:proofErr w:type="spellStart"/>
      <w:r w:rsidR="002E30E5">
        <w:rPr>
          <w:i/>
        </w:rPr>
        <w:t>Genie</w:t>
      </w:r>
      <w:proofErr w:type="spellEnd"/>
      <w:r w:rsidR="002E30E5">
        <w:rPr>
          <w:i/>
        </w:rPr>
        <w:t xml:space="preserve"> Lacayo Vs. Nicaragua. </w:t>
      </w:r>
      <w:r w:rsidR="002E30E5" w:rsidRPr="001C4DC4">
        <w:rPr>
          <w:i/>
        </w:rPr>
        <w:t xml:space="preserve">Solicitud de Revisión de la Sentencia </w:t>
      </w:r>
      <w:r w:rsidR="002E30E5">
        <w:rPr>
          <w:i/>
        </w:rPr>
        <w:t>de Fondo, Reparaciones y Costas</w:t>
      </w:r>
      <w:r w:rsidR="002E30E5" w:rsidRPr="001C4DC4">
        <w:rPr>
          <w:i/>
        </w:rPr>
        <w:t>.</w:t>
      </w:r>
      <w:r w:rsidR="002E30E5">
        <w:t xml:space="preserve"> Resolución de la Corte de 13 de septiembre de 1997. Serie C No. 45, </w:t>
      </w:r>
      <w:proofErr w:type="spellStart"/>
      <w:r w:rsidR="002E30E5">
        <w:t>párrs</w:t>
      </w:r>
      <w:proofErr w:type="spellEnd"/>
      <w:r w:rsidR="002E30E5">
        <w:t xml:space="preserve">. 10-12, y </w:t>
      </w:r>
      <w:r w:rsidR="002E30E5" w:rsidRPr="001C4DC4">
        <w:rPr>
          <w:rStyle w:val="Strong"/>
          <w:b w:val="0"/>
          <w:i/>
          <w:color w:val="000000"/>
          <w:shd w:val="clear" w:color="auto" w:fill="FFFFFF"/>
        </w:rPr>
        <w:t xml:space="preserve">Caso </w:t>
      </w:r>
      <w:r w:rsidR="002E30E5">
        <w:rPr>
          <w:rStyle w:val="Strong"/>
          <w:b w:val="0"/>
          <w:i/>
          <w:color w:val="000000"/>
          <w:shd w:val="clear" w:color="auto" w:fill="FFFFFF"/>
        </w:rPr>
        <w:t>Chaparro Álvarez y Lapo Íñiguez Vs. Ecuador. Interpretación de la Sentencia de Excepciones Preliminares, Fondo, Reparaciones y Costas</w:t>
      </w:r>
      <w:r w:rsidR="00945D26">
        <w:rPr>
          <w:rStyle w:val="Strong"/>
          <w:b w:val="0"/>
          <w:color w:val="000000"/>
          <w:shd w:val="clear" w:color="auto" w:fill="FFFFFF"/>
        </w:rPr>
        <w:t xml:space="preserve">, </w:t>
      </w:r>
      <w:r w:rsidR="00945D26" w:rsidRPr="00BA4B0C">
        <w:rPr>
          <w:rStyle w:val="Strong"/>
          <w:b w:val="0"/>
          <w:i/>
          <w:color w:val="000000"/>
          <w:shd w:val="clear" w:color="auto" w:fill="FFFFFF"/>
        </w:rPr>
        <w:t>supra</w:t>
      </w:r>
      <w:r w:rsidR="00945D26">
        <w:rPr>
          <w:szCs w:val="16"/>
          <w:lang w:val="es-CO"/>
        </w:rPr>
        <w:t xml:space="preserve">, </w:t>
      </w:r>
      <w:r w:rsidR="002E30E5">
        <w:rPr>
          <w:rStyle w:val="Strong"/>
          <w:b w:val="0"/>
          <w:color w:val="000000"/>
          <w:shd w:val="clear" w:color="auto" w:fill="FFFFFF"/>
        </w:rPr>
        <w:t>párr. 21</w:t>
      </w:r>
      <w:r w:rsidR="002E30E5" w:rsidRPr="001C4DC4">
        <w:rPr>
          <w:rStyle w:val="Strong"/>
          <w:b w:val="0"/>
          <w:color w:val="000000"/>
          <w:shd w:val="clear" w:color="auto" w:fill="FFFFFF"/>
        </w:rPr>
        <w:t>.</w:t>
      </w:r>
    </w:p>
  </w:footnote>
  <w:footnote w:id="8">
    <w:p w:rsidR="000E53D3" w:rsidRPr="00273810" w:rsidRDefault="000E53D3" w:rsidP="00BE5AE1">
      <w:pPr>
        <w:pStyle w:val="FootnoteText"/>
        <w:tabs>
          <w:tab w:val="left" w:pos="426"/>
          <w:tab w:val="left" w:pos="567"/>
        </w:tabs>
        <w:spacing w:before="120" w:after="120"/>
        <w:jc w:val="both"/>
        <w:rPr>
          <w:szCs w:val="16"/>
          <w:lang w:val="es-CO"/>
        </w:rPr>
      </w:pPr>
      <w:r w:rsidRPr="00273810">
        <w:rPr>
          <w:rStyle w:val="FootnoteReference"/>
          <w:szCs w:val="16"/>
          <w:lang w:val="es-CO"/>
        </w:rPr>
        <w:footnoteRef/>
      </w:r>
      <w:r w:rsidRPr="00273810">
        <w:rPr>
          <w:szCs w:val="16"/>
          <w:lang w:val="es-CO"/>
        </w:rPr>
        <w:t xml:space="preserve"> </w:t>
      </w:r>
      <w:r w:rsidRPr="00273810">
        <w:rPr>
          <w:szCs w:val="16"/>
          <w:lang w:val="es-CO"/>
        </w:rPr>
        <w:tab/>
      </w:r>
      <w:r w:rsidR="003B78CD" w:rsidRPr="00C10360">
        <w:rPr>
          <w:i/>
          <w:szCs w:val="16"/>
          <w:lang w:val="es-CO"/>
        </w:rPr>
        <w:t>Cfr. Caso Loayza Tamayo Vs. Perú</w:t>
      </w:r>
      <w:r w:rsidR="003B78CD" w:rsidRPr="00C10360">
        <w:rPr>
          <w:szCs w:val="16"/>
          <w:lang w:val="es-CO"/>
        </w:rPr>
        <w:t xml:space="preserve">. </w:t>
      </w:r>
      <w:r w:rsidR="003B78CD" w:rsidRPr="00C10360">
        <w:rPr>
          <w:i/>
          <w:szCs w:val="16"/>
          <w:lang w:val="es-CO"/>
        </w:rPr>
        <w:t xml:space="preserve">Interpretación de la Sentencia de </w:t>
      </w:r>
      <w:r w:rsidR="003B78CD">
        <w:rPr>
          <w:i/>
          <w:szCs w:val="16"/>
          <w:lang w:val="es-CO"/>
        </w:rPr>
        <w:t>Reparaciones y Costas</w:t>
      </w:r>
      <w:r w:rsidR="00945D26">
        <w:rPr>
          <w:rStyle w:val="Strong"/>
          <w:b w:val="0"/>
          <w:color w:val="000000"/>
          <w:shd w:val="clear" w:color="auto" w:fill="FFFFFF"/>
        </w:rPr>
        <w:t xml:space="preserve">, </w:t>
      </w:r>
      <w:r w:rsidR="00945D26" w:rsidRPr="00BA4B0C">
        <w:rPr>
          <w:rStyle w:val="Strong"/>
          <w:b w:val="0"/>
          <w:i/>
          <w:color w:val="000000"/>
          <w:shd w:val="clear" w:color="auto" w:fill="FFFFFF"/>
        </w:rPr>
        <w:t>supra</w:t>
      </w:r>
      <w:r w:rsidR="003B78CD">
        <w:rPr>
          <w:szCs w:val="16"/>
          <w:lang w:val="es-CO"/>
        </w:rPr>
        <w:t>, párr. 15</w:t>
      </w:r>
      <w:r w:rsidR="003B78CD" w:rsidRPr="00C10360">
        <w:rPr>
          <w:szCs w:val="16"/>
          <w:lang w:val="es-CO"/>
        </w:rPr>
        <w:t xml:space="preserve">, </w:t>
      </w:r>
      <w:r w:rsidR="003B78CD" w:rsidRPr="003C3698">
        <w:rPr>
          <w:szCs w:val="16"/>
          <w:lang w:val="es-CO"/>
        </w:rPr>
        <w:t>y</w:t>
      </w:r>
      <w:r w:rsidR="003B78CD" w:rsidRPr="003C3698">
        <w:rPr>
          <w:b/>
          <w:szCs w:val="16"/>
          <w:lang w:val="es-CO"/>
        </w:rPr>
        <w:t xml:space="preserve"> </w:t>
      </w:r>
      <w:r w:rsidR="003B78CD" w:rsidRPr="003C3698">
        <w:rPr>
          <w:rStyle w:val="Strong"/>
          <w:b w:val="0"/>
          <w:i/>
          <w:color w:val="000000"/>
          <w:shd w:val="clear" w:color="auto" w:fill="FFFFFF"/>
        </w:rPr>
        <w:t xml:space="preserve">Caso </w:t>
      </w:r>
      <w:r w:rsidR="003B78CD">
        <w:rPr>
          <w:rStyle w:val="Strong"/>
          <w:b w:val="0"/>
          <w:i/>
          <w:color w:val="000000"/>
          <w:shd w:val="clear" w:color="auto" w:fill="FFFFFF"/>
        </w:rPr>
        <w:t xml:space="preserve">Wong Ho </w:t>
      </w:r>
      <w:proofErr w:type="spellStart"/>
      <w:r w:rsidR="003B78CD">
        <w:rPr>
          <w:rStyle w:val="Strong"/>
          <w:b w:val="0"/>
          <w:i/>
          <w:color w:val="000000"/>
          <w:shd w:val="clear" w:color="auto" w:fill="FFFFFF"/>
        </w:rPr>
        <w:t>Wing</w:t>
      </w:r>
      <w:proofErr w:type="spellEnd"/>
      <w:r w:rsidR="003B78CD">
        <w:rPr>
          <w:rStyle w:val="Strong"/>
          <w:b w:val="0"/>
          <w:i/>
          <w:color w:val="000000"/>
          <w:shd w:val="clear" w:color="auto" w:fill="FFFFFF"/>
        </w:rPr>
        <w:t xml:space="preserve"> Vs. Perú. Interpretación de la Sentencia de Excepción Preliminar, Fondo, Reparaciones y Costas, supra</w:t>
      </w:r>
      <w:r w:rsidR="003B78CD">
        <w:rPr>
          <w:szCs w:val="16"/>
          <w:lang w:val="es-CO"/>
        </w:rPr>
        <w:t>, párr. 11</w:t>
      </w:r>
      <w:r w:rsidR="003B78CD" w:rsidRPr="00C10360">
        <w:rPr>
          <w:szCs w:val="16"/>
          <w:lang w:val="es-CO"/>
        </w:rPr>
        <w:t>.</w:t>
      </w:r>
    </w:p>
  </w:footnote>
  <w:footnote w:id="9">
    <w:p w:rsidR="000E53D3" w:rsidRPr="00273810" w:rsidRDefault="000E53D3" w:rsidP="00BE5AE1">
      <w:pPr>
        <w:pStyle w:val="FootnoteText"/>
        <w:tabs>
          <w:tab w:val="left" w:pos="426"/>
          <w:tab w:val="left" w:pos="567"/>
        </w:tabs>
        <w:spacing w:before="120" w:after="120"/>
        <w:jc w:val="both"/>
        <w:rPr>
          <w:szCs w:val="16"/>
          <w:lang w:val="es-CO"/>
        </w:rPr>
      </w:pPr>
      <w:r w:rsidRPr="00273810">
        <w:rPr>
          <w:rStyle w:val="FootnoteReference"/>
          <w:szCs w:val="16"/>
          <w:lang w:val="es-CO"/>
        </w:rPr>
        <w:footnoteRef/>
      </w:r>
      <w:r w:rsidRPr="00273810">
        <w:rPr>
          <w:szCs w:val="16"/>
          <w:lang w:val="es-CO"/>
        </w:rPr>
        <w:t xml:space="preserve"> </w:t>
      </w:r>
      <w:r w:rsidRPr="00273810">
        <w:rPr>
          <w:szCs w:val="16"/>
          <w:lang w:val="es-CO"/>
        </w:rPr>
        <w:tab/>
      </w:r>
      <w:r w:rsidR="003B78CD" w:rsidRPr="00273810">
        <w:rPr>
          <w:i/>
          <w:szCs w:val="16"/>
          <w:lang w:val="es-CO"/>
        </w:rPr>
        <w:t xml:space="preserve">Cfr. </w:t>
      </w:r>
      <w:r w:rsidR="003B78CD" w:rsidRPr="00273810">
        <w:rPr>
          <w:bCs/>
          <w:i/>
          <w:color w:val="000000"/>
          <w:szCs w:val="16"/>
          <w:lang w:val="es-CO"/>
        </w:rPr>
        <w:t xml:space="preserve">Caso Salvador Chiriboga Vs. Ecuador. </w:t>
      </w:r>
      <w:r w:rsidR="003B78CD" w:rsidRPr="00273810">
        <w:rPr>
          <w:i/>
          <w:color w:val="000000"/>
          <w:szCs w:val="16"/>
          <w:lang w:val="es-CO"/>
        </w:rPr>
        <w:t>Interpretación de la Sentencia de Reparaciones y Costas</w:t>
      </w:r>
      <w:r w:rsidR="003B78CD" w:rsidRPr="00273810">
        <w:rPr>
          <w:color w:val="000000"/>
          <w:szCs w:val="16"/>
          <w:lang w:val="es-CO"/>
        </w:rPr>
        <w:t xml:space="preserve">. Sentencia de 29 de agosto de 2011. Serie C No. 230, párr. 30, y </w:t>
      </w:r>
      <w:r w:rsidR="003B78CD" w:rsidRPr="003C3698">
        <w:rPr>
          <w:rStyle w:val="Strong"/>
          <w:b w:val="0"/>
          <w:i/>
          <w:color w:val="000000"/>
          <w:shd w:val="clear" w:color="auto" w:fill="FFFFFF"/>
        </w:rPr>
        <w:t xml:space="preserve">Caso </w:t>
      </w:r>
      <w:r w:rsidR="003B78CD">
        <w:rPr>
          <w:rStyle w:val="Strong"/>
          <w:b w:val="0"/>
          <w:i/>
          <w:color w:val="000000"/>
          <w:shd w:val="clear" w:color="auto" w:fill="FFFFFF"/>
        </w:rPr>
        <w:t xml:space="preserve">Wong Ho </w:t>
      </w:r>
      <w:proofErr w:type="spellStart"/>
      <w:r w:rsidR="003B78CD">
        <w:rPr>
          <w:rStyle w:val="Strong"/>
          <w:b w:val="0"/>
          <w:i/>
          <w:color w:val="000000"/>
          <w:shd w:val="clear" w:color="auto" w:fill="FFFFFF"/>
        </w:rPr>
        <w:t>Wing</w:t>
      </w:r>
      <w:proofErr w:type="spellEnd"/>
      <w:r w:rsidR="003B78CD">
        <w:rPr>
          <w:rStyle w:val="Strong"/>
          <w:b w:val="0"/>
          <w:i/>
          <w:color w:val="000000"/>
          <w:shd w:val="clear" w:color="auto" w:fill="FFFFFF"/>
        </w:rPr>
        <w:t xml:space="preserve">. Interpretación de la Sentencia de Excepción Preliminar, Fondo, Reparaciones y Costas, supra, </w:t>
      </w:r>
      <w:r w:rsidR="003B78CD">
        <w:rPr>
          <w:rStyle w:val="Strong"/>
          <w:b w:val="0"/>
          <w:color w:val="000000"/>
          <w:shd w:val="clear" w:color="auto" w:fill="FFFFFF"/>
        </w:rPr>
        <w:t>párr. 11.</w:t>
      </w:r>
    </w:p>
  </w:footnote>
  <w:footnote w:id="10">
    <w:p w:rsidR="000E53D3" w:rsidRPr="00273810" w:rsidRDefault="000E53D3" w:rsidP="00BE5AE1">
      <w:pPr>
        <w:pStyle w:val="FootnoteText"/>
        <w:tabs>
          <w:tab w:val="left" w:pos="426"/>
          <w:tab w:val="left" w:pos="567"/>
        </w:tabs>
        <w:spacing w:before="120" w:after="120"/>
        <w:jc w:val="both"/>
        <w:rPr>
          <w:szCs w:val="16"/>
          <w:lang w:val="es-CO"/>
        </w:rPr>
      </w:pPr>
      <w:r w:rsidRPr="00273810">
        <w:rPr>
          <w:rStyle w:val="FootnoteReference"/>
          <w:szCs w:val="16"/>
          <w:lang w:val="es-CO"/>
        </w:rPr>
        <w:footnoteRef/>
      </w:r>
      <w:r w:rsidRPr="00273810">
        <w:rPr>
          <w:szCs w:val="16"/>
          <w:lang w:val="es-CO"/>
        </w:rPr>
        <w:t xml:space="preserve"> </w:t>
      </w:r>
      <w:r w:rsidRPr="00273810">
        <w:rPr>
          <w:szCs w:val="16"/>
          <w:lang w:val="es-CO"/>
        </w:rPr>
        <w:tab/>
      </w:r>
      <w:r w:rsidR="003B78CD" w:rsidRPr="00273810">
        <w:rPr>
          <w:i/>
          <w:szCs w:val="16"/>
          <w:lang w:val="es-CO"/>
        </w:rPr>
        <w:t>Cfr</w:t>
      </w:r>
      <w:r w:rsidR="003B78CD" w:rsidRPr="00273810">
        <w:rPr>
          <w:szCs w:val="16"/>
          <w:lang w:val="es-CO"/>
        </w:rPr>
        <w:t xml:space="preserve">. </w:t>
      </w:r>
      <w:r w:rsidR="003B78CD" w:rsidRPr="00C10360">
        <w:rPr>
          <w:i/>
          <w:szCs w:val="16"/>
          <w:lang w:val="es-CO"/>
        </w:rPr>
        <w:t xml:space="preserve">Caso </w:t>
      </w:r>
      <w:proofErr w:type="spellStart"/>
      <w:r w:rsidR="003B78CD" w:rsidRPr="00C10360">
        <w:rPr>
          <w:i/>
          <w:szCs w:val="16"/>
          <w:lang w:val="es-CO"/>
        </w:rPr>
        <w:t>Escher</w:t>
      </w:r>
      <w:proofErr w:type="spellEnd"/>
      <w:r w:rsidR="003B78CD" w:rsidRPr="00C10360">
        <w:rPr>
          <w:i/>
          <w:szCs w:val="16"/>
          <w:lang w:val="es-CO"/>
        </w:rPr>
        <w:t xml:space="preserve"> y otros Vs. Brasil. Interpretación de la Sentencia de Excepciones Preliminares,</w:t>
      </w:r>
      <w:r w:rsidR="003B78CD" w:rsidRPr="00C10360">
        <w:rPr>
          <w:szCs w:val="16"/>
          <w:lang w:val="es-CO"/>
        </w:rPr>
        <w:t xml:space="preserve"> </w:t>
      </w:r>
      <w:r w:rsidR="003B78CD" w:rsidRPr="0015158B">
        <w:rPr>
          <w:i/>
          <w:szCs w:val="16"/>
          <w:lang w:val="es-CO"/>
        </w:rPr>
        <w:t>Fondo, Reparaciones y Costas</w:t>
      </w:r>
      <w:r w:rsidR="003B78CD" w:rsidRPr="00C10360">
        <w:rPr>
          <w:szCs w:val="16"/>
          <w:lang w:val="es-CO"/>
        </w:rPr>
        <w:t>. Sentencia de 20 de noviembre de 2009. Serie C No. 208, párr. 11</w:t>
      </w:r>
      <w:r w:rsidR="003B78CD">
        <w:rPr>
          <w:szCs w:val="16"/>
          <w:lang w:val="es-CO"/>
        </w:rPr>
        <w:t xml:space="preserve">, y </w:t>
      </w:r>
      <w:r w:rsidR="003B78CD" w:rsidRPr="003C3698">
        <w:rPr>
          <w:rStyle w:val="Strong"/>
          <w:b w:val="0"/>
          <w:i/>
          <w:color w:val="000000"/>
          <w:shd w:val="clear" w:color="auto" w:fill="FFFFFF"/>
        </w:rPr>
        <w:t xml:space="preserve">Caso </w:t>
      </w:r>
      <w:r w:rsidR="003B78CD">
        <w:rPr>
          <w:rStyle w:val="Strong"/>
          <w:b w:val="0"/>
          <w:i/>
          <w:color w:val="000000"/>
          <w:shd w:val="clear" w:color="auto" w:fill="FFFFFF"/>
        </w:rPr>
        <w:t xml:space="preserve">Wong Ho </w:t>
      </w:r>
      <w:proofErr w:type="spellStart"/>
      <w:r w:rsidR="003B78CD">
        <w:rPr>
          <w:rStyle w:val="Strong"/>
          <w:b w:val="0"/>
          <w:i/>
          <w:color w:val="000000"/>
          <w:shd w:val="clear" w:color="auto" w:fill="FFFFFF"/>
        </w:rPr>
        <w:t>Wing</w:t>
      </w:r>
      <w:proofErr w:type="spellEnd"/>
      <w:r w:rsidR="003B78CD">
        <w:rPr>
          <w:rStyle w:val="Strong"/>
          <w:b w:val="0"/>
          <w:i/>
          <w:color w:val="000000"/>
          <w:shd w:val="clear" w:color="auto" w:fill="FFFFFF"/>
        </w:rPr>
        <w:t xml:space="preserve"> Vs. Perú. Interpretación de la Sentencia de Excepción Preliminar, Fondo, Reparaciones y Costas, supra</w:t>
      </w:r>
      <w:r w:rsidR="003B78CD">
        <w:rPr>
          <w:szCs w:val="16"/>
          <w:lang w:val="es-CO"/>
        </w:rPr>
        <w:t>, párr. 11</w:t>
      </w:r>
      <w:r w:rsidR="003B78CD" w:rsidRPr="00C10360">
        <w:rPr>
          <w:szCs w:val="16"/>
          <w:lang w:val="es-CO"/>
        </w:rPr>
        <w:t>.</w:t>
      </w:r>
    </w:p>
  </w:footnote>
  <w:footnote w:id="11">
    <w:p w:rsidR="000E53D3" w:rsidRPr="00273810" w:rsidRDefault="000E53D3" w:rsidP="00BE5AE1">
      <w:pPr>
        <w:pStyle w:val="FootnoteText"/>
        <w:tabs>
          <w:tab w:val="left" w:pos="426"/>
          <w:tab w:val="left" w:pos="567"/>
        </w:tabs>
        <w:spacing w:before="120" w:after="120"/>
        <w:jc w:val="both"/>
        <w:rPr>
          <w:szCs w:val="16"/>
          <w:lang w:val="es-CO"/>
        </w:rPr>
      </w:pPr>
      <w:r w:rsidRPr="00273810">
        <w:rPr>
          <w:rStyle w:val="FootnoteReference"/>
          <w:szCs w:val="16"/>
          <w:lang w:val="es-CO"/>
        </w:rPr>
        <w:footnoteRef/>
      </w:r>
      <w:r w:rsidRPr="00273810">
        <w:rPr>
          <w:szCs w:val="16"/>
          <w:lang w:val="es-CO"/>
        </w:rPr>
        <w:t xml:space="preserve"> </w:t>
      </w:r>
      <w:r w:rsidRPr="00273810">
        <w:rPr>
          <w:szCs w:val="16"/>
          <w:lang w:val="es-CO"/>
        </w:rPr>
        <w:tab/>
      </w:r>
      <w:r w:rsidR="003B78CD" w:rsidRPr="00273810">
        <w:rPr>
          <w:i/>
          <w:szCs w:val="16"/>
          <w:lang w:val="es-CO"/>
        </w:rPr>
        <w:t xml:space="preserve">Cfr. Caso </w:t>
      </w:r>
      <w:proofErr w:type="spellStart"/>
      <w:r w:rsidR="003B78CD" w:rsidRPr="00273810">
        <w:rPr>
          <w:i/>
          <w:szCs w:val="16"/>
          <w:lang w:val="es-CO"/>
        </w:rPr>
        <w:t>Cesti</w:t>
      </w:r>
      <w:proofErr w:type="spellEnd"/>
      <w:r w:rsidR="003B78CD" w:rsidRPr="00273810">
        <w:rPr>
          <w:i/>
          <w:szCs w:val="16"/>
          <w:lang w:val="es-CO"/>
        </w:rPr>
        <w:t xml:space="preserve"> Hurtado Vs. Perú. Interpretación de la Sentencia de Fondo.</w:t>
      </w:r>
      <w:r w:rsidR="003B78CD">
        <w:rPr>
          <w:szCs w:val="16"/>
          <w:lang w:val="es-CO"/>
        </w:rPr>
        <w:t xml:space="preserve"> Sentencia de 2</w:t>
      </w:r>
      <w:r w:rsidR="003B78CD" w:rsidRPr="00273810">
        <w:rPr>
          <w:szCs w:val="16"/>
          <w:lang w:val="es-CO"/>
        </w:rPr>
        <w:t xml:space="preserve">9 de </w:t>
      </w:r>
      <w:r w:rsidR="003B78CD">
        <w:rPr>
          <w:szCs w:val="16"/>
          <w:lang w:val="es-CO"/>
        </w:rPr>
        <w:t>enero</w:t>
      </w:r>
      <w:r w:rsidR="003B78CD" w:rsidRPr="00273810">
        <w:rPr>
          <w:szCs w:val="16"/>
          <w:lang w:val="es-CO"/>
        </w:rPr>
        <w:t xml:space="preserve"> de </w:t>
      </w:r>
      <w:r w:rsidR="003B78CD">
        <w:rPr>
          <w:szCs w:val="16"/>
          <w:lang w:val="es-CO"/>
        </w:rPr>
        <w:t>2000</w:t>
      </w:r>
      <w:r w:rsidR="003B78CD" w:rsidRPr="00273810">
        <w:rPr>
          <w:szCs w:val="16"/>
          <w:lang w:val="es-CO"/>
        </w:rPr>
        <w:t xml:space="preserve">. Serie C No. 62, párr. 27, y </w:t>
      </w:r>
      <w:r w:rsidR="003B78CD" w:rsidRPr="003C3698">
        <w:rPr>
          <w:rStyle w:val="Strong"/>
          <w:b w:val="0"/>
          <w:i/>
          <w:color w:val="000000"/>
          <w:shd w:val="clear" w:color="auto" w:fill="FFFFFF"/>
        </w:rPr>
        <w:t xml:space="preserve">Caso </w:t>
      </w:r>
      <w:r w:rsidR="003B78CD">
        <w:rPr>
          <w:rStyle w:val="Strong"/>
          <w:b w:val="0"/>
          <w:i/>
          <w:color w:val="000000"/>
          <w:shd w:val="clear" w:color="auto" w:fill="FFFFFF"/>
        </w:rPr>
        <w:t xml:space="preserve">J. Vs. Perú. Interpretación de la Sentencia de Excepción Preliminar, Fondo, Reparaciones y Costas. </w:t>
      </w:r>
      <w:r w:rsidR="003B78CD">
        <w:rPr>
          <w:rStyle w:val="Strong"/>
          <w:b w:val="0"/>
          <w:color w:val="000000"/>
          <w:shd w:val="clear" w:color="auto" w:fill="FFFFFF"/>
        </w:rPr>
        <w:t>Sentencia de 20 de noviembre de 2014. Serie C No. 291</w:t>
      </w:r>
      <w:r w:rsidR="003B78CD">
        <w:rPr>
          <w:szCs w:val="16"/>
          <w:lang w:val="es-CO"/>
        </w:rPr>
        <w:t>, párr. 13</w:t>
      </w:r>
      <w:r w:rsidR="003B78CD" w:rsidRPr="00C10360">
        <w:rPr>
          <w:szCs w:val="16"/>
          <w:lang w:val="es-CO"/>
        </w:rPr>
        <w:t>.</w:t>
      </w:r>
    </w:p>
  </w:footnote>
  <w:footnote w:id="12">
    <w:p w:rsidR="00B96AF0" w:rsidRDefault="00B96AF0" w:rsidP="00D839DC">
      <w:pPr>
        <w:pStyle w:val="FootnoteText"/>
        <w:tabs>
          <w:tab w:val="left" w:pos="426"/>
        </w:tabs>
        <w:spacing w:before="120" w:after="120"/>
        <w:jc w:val="both"/>
      </w:pPr>
      <w:r>
        <w:rPr>
          <w:rStyle w:val="FootnoteReference"/>
        </w:rPr>
        <w:footnoteRef/>
      </w:r>
      <w:r>
        <w:t xml:space="preserve"> </w:t>
      </w:r>
      <w:r>
        <w:tab/>
      </w:r>
      <w:r w:rsidR="00F53ED5" w:rsidRPr="00924CAF">
        <w:rPr>
          <w:i/>
        </w:rPr>
        <w:t>Cfr.</w:t>
      </w:r>
      <w:r w:rsidR="00F53ED5">
        <w:t xml:space="preserve"> </w:t>
      </w:r>
      <w:r w:rsidR="00F53ED5" w:rsidRPr="00B96AF0">
        <w:rPr>
          <w:i/>
        </w:rPr>
        <w:t xml:space="preserve">inter </w:t>
      </w:r>
      <w:proofErr w:type="spellStart"/>
      <w:r w:rsidR="00F53ED5" w:rsidRPr="00B96AF0">
        <w:rPr>
          <w:i/>
        </w:rPr>
        <w:t>alia</w:t>
      </w:r>
      <w:proofErr w:type="spellEnd"/>
      <w:r w:rsidR="00F53ED5">
        <w:t xml:space="preserve">, </w:t>
      </w:r>
      <w:r w:rsidR="00F53ED5" w:rsidRPr="00B96AF0">
        <w:rPr>
          <w:rStyle w:val="Strong"/>
          <w:b w:val="0"/>
          <w:i/>
          <w:color w:val="000000"/>
          <w:shd w:val="clear" w:color="auto" w:fill="FFFFFF"/>
        </w:rPr>
        <w:t xml:space="preserve">Caso </w:t>
      </w:r>
      <w:proofErr w:type="spellStart"/>
      <w:r w:rsidR="00F53ED5" w:rsidRPr="00B96AF0">
        <w:rPr>
          <w:rStyle w:val="Strong"/>
          <w:b w:val="0"/>
          <w:i/>
          <w:color w:val="000000"/>
          <w:shd w:val="clear" w:color="auto" w:fill="FFFFFF"/>
        </w:rPr>
        <w:t>Gudiel</w:t>
      </w:r>
      <w:proofErr w:type="spellEnd"/>
      <w:r w:rsidR="00F53ED5" w:rsidRPr="00B96AF0">
        <w:rPr>
          <w:rStyle w:val="Strong"/>
          <w:b w:val="0"/>
          <w:i/>
          <w:color w:val="000000"/>
          <w:shd w:val="clear" w:color="auto" w:fill="FFFFFF"/>
        </w:rPr>
        <w:t xml:space="preserve"> Álvarez y otros ("Diario Militar") Vs. Guatemala. Fondo Reparaciones y Costas. </w:t>
      </w:r>
      <w:r w:rsidR="00F53ED5" w:rsidRPr="00B96AF0">
        <w:rPr>
          <w:rStyle w:val="Strong"/>
          <w:b w:val="0"/>
          <w:color w:val="000000"/>
          <w:shd w:val="clear" w:color="auto" w:fill="FFFFFF"/>
        </w:rPr>
        <w:t xml:space="preserve">Sentencia de 20 noviembre de 2012 Serie C No. 253, párr. </w:t>
      </w:r>
      <w:r w:rsidR="00F53ED5">
        <w:rPr>
          <w:rStyle w:val="Strong"/>
          <w:b w:val="0"/>
          <w:color w:val="000000"/>
          <w:shd w:val="clear" w:color="auto" w:fill="FFFFFF"/>
        </w:rPr>
        <w:t xml:space="preserve">363, </w:t>
      </w:r>
      <w:r w:rsidR="00F53ED5" w:rsidRPr="00924CAF">
        <w:rPr>
          <w:rStyle w:val="Strong"/>
          <w:b w:val="0"/>
          <w:i/>
          <w:color w:val="000000"/>
          <w:shd w:val="clear" w:color="auto" w:fill="FFFFFF"/>
        </w:rPr>
        <w:t xml:space="preserve">Caso de la Corte Suprema de Justicia (Quintana Coello y otros) Vs. Ecuador. Excepción Preliminar, Fondo, Reparaciones y Costas. </w:t>
      </w:r>
      <w:r w:rsidR="00F53ED5" w:rsidRPr="00924CAF">
        <w:rPr>
          <w:rStyle w:val="Strong"/>
          <w:b w:val="0"/>
          <w:color w:val="000000"/>
          <w:shd w:val="clear" w:color="auto" w:fill="FFFFFF"/>
        </w:rPr>
        <w:t>Sentencia de 23 de agosto de 2013. Serie C No. 266</w:t>
      </w:r>
      <w:r w:rsidR="00F53ED5">
        <w:rPr>
          <w:rStyle w:val="Strong"/>
          <w:b w:val="0"/>
          <w:color w:val="00000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551080"/>
      <w:docPartObj>
        <w:docPartGallery w:val="Page Numbers (Top of Page)"/>
        <w:docPartUnique/>
      </w:docPartObj>
    </w:sdtPr>
    <w:sdtEndPr/>
    <w:sdtContent>
      <w:p w:rsidR="000E53D3" w:rsidRDefault="000E53D3">
        <w:pPr>
          <w:pStyle w:val="Header"/>
          <w:jc w:val="center"/>
        </w:pPr>
        <w:r>
          <w:t xml:space="preserve">- </w:t>
        </w:r>
        <w:r w:rsidR="00C62C4C">
          <w:fldChar w:fldCharType="begin"/>
        </w:r>
        <w:r w:rsidR="00DA08E7">
          <w:instrText xml:space="preserve"> PAGE   \* MERGEFORMAT </w:instrText>
        </w:r>
        <w:r w:rsidR="00C62C4C">
          <w:fldChar w:fldCharType="separate"/>
        </w:r>
        <w:r w:rsidR="00E54675">
          <w:rPr>
            <w:noProof/>
          </w:rPr>
          <w:t>3</w:t>
        </w:r>
        <w:r w:rsidR="00C62C4C">
          <w:rPr>
            <w:noProof/>
          </w:rPr>
          <w:fldChar w:fldCharType="end"/>
        </w:r>
        <w:r>
          <w:t xml:space="preserve"> -</w:t>
        </w:r>
      </w:p>
    </w:sdtContent>
  </w:sdt>
  <w:p w:rsidR="000E53D3" w:rsidRDefault="000E53D3" w:rsidP="00D11C1D">
    <w:pPr>
      <w:pStyle w:val="Header"/>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66"/>
    <w:multiLevelType w:val="hybridMultilevel"/>
    <w:tmpl w:val="6A6E934C"/>
    <w:lvl w:ilvl="0" w:tplc="6D5CE7FA">
      <w:start w:val="1"/>
      <w:numFmt w:val="decimal"/>
      <w:pStyle w:val="PrrafodeSentencia"/>
      <w:lvlText w:val="%1."/>
      <w:lvlJc w:val="left"/>
      <w:pPr>
        <w:ind w:left="5130" w:hanging="360"/>
      </w:pPr>
      <w:rPr>
        <w:b w:val="0"/>
        <w:i w:val="0"/>
        <w:strike w:val="0"/>
        <w:dstrike w:val="0"/>
        <w:color w:val="auto"/>
        <w:sz w:val="20"/>
        <w:szCs w:val="20"/>
        <w:u w:val="none"/>
        <w:effect w:val="none"/>
        <w:vertAlign w:val="baseline"/>
        <w:lang w:val="es-CR"/>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nsid w:val="0D151ADF"/>
    <w:multiLevelType w:val="hybridMultilevel"/>
    <w:tmpl w:val="1960EF6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257D75E8"/>
    <w:multiLevelType w:val="hybridMultilevel"/>
    <w:tmpl w:val="45BE062C"/>
    <w:lvl w:ilvl="0" w:tplc="246A4DB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12BBF"/>
    <w:multiLevelType w:val="hybridMultilevel"/>
    <w:tmpl w:val="C03A189E"/>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72870CD"/>
    <w:multiLevelType w:val="hybridMultilevel"/>
    <w:tmpl w:val="76E491C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9487256"/>
    <w:multiLevelType w:val="hybridMultilevel"/>
    <w:tmpl w:val="F0D6C1E2"/>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A320D86"/>
    <w:multiLevelType w:val="hybridMultilevel"/>
    <w:tmpl w:val="CD8AD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80770"/>
    <w:multiLevelType w:val="hybridMultilevel"/>
    <w:tmpl w:val="2BB0768C"/>
    <w:lvl w:ilvl="0" w:tplc="AB54366C">
      <w:start w:val="1"/>
      <w:numFmt w:val="decimal"/>
      <w:lvlText w:val="%1."/>
      <w:lvlJc w:val="left"/>
      <w:pPr>
        <w:ind w:left="1080" w:hanging="720"/>
      </w:pPr>
      <w:rPr>
        <w:rFonts w:hint="default"/>
        <w:b w:val="0"/>
        <w:i w:val="0"/>
        <w:color w:val="auto"/>
        <w:lang w:val="es-ES"/>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97A54"/>
    <w:multiLevelType w:val="multilevel"/>
    <w:tmpl w:val="22C4231E"/>
    <w:lvl w:ilvl="0">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start w:val="1"/>
      <w:numFmt w:val="lowerLetter"/>
      <w:lvlText w:val="%2)"/>
      <w:lvlJc w:val="left"/>
      <w:pPr>
        <w:tabs>
          <w:tab w:val="num" w:pos="1080"/>
        </w:tabs>
        <w:ind w:left="1080" w:hanging="360"/>
      </w:pPr>
      <w:rPr>
        <w:rFonts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C0846E7"/>
    <w:multiLevelType w:val="hybridMultilevel"/>
    <w:tmpl w:val="C03A189E"/>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7C9712D"/>
    <w:multiLevelType w:val="hybridMultilevel"/>
    <w:tmpl w:val="E6B2D1E6"/>
    <w:lvl w:ilvl="0" w:tplc="E10AD118">
      <w:start w:val="1"/>
      <w:numFmt w:val="decimal"/>
      <w:lvlText w:val="%1."/>
      <w:lvlJc w:val="left"/>
      <w:pPr>
        <w:ind w:left="1065" w:hanging="705"/>
      </w:pPr>
      <w:rPr>
        <w:rFonts w:hint="default"/>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15D6ECD"/>
    <w:multiLevelType w:val="hybridMultilevel"/>
    <w:tmpl w:val="F4BA3FDA"/>
    <w:lvl w:ilvl="0" w:tplc="ED0459E8">
      <w:start w:val="1"/>
      <w:numFmt w:val="lowerLetter"/>
      <w:lvlText w:val="%1)"/>
      <w:lvlJc w:val="left"/>
      <w:pPr>
        <w:ind w:left="1080" w:hanging="360"/>
      </w:pPr>
      <w:rPr>
        <w:rFonts w:ascii="Verdana" w:hAnsi="Verdana" w:cs="Verdana" w:hint="default"/>
        <w:sz w:val="20"/>
        <w:szCs w:val="20"/>
      </w:rPr>
    </w:lvl>
    <w:lvl w:ilvl="1" w:tplc="323EEAAC">
      <w:start w:val="1"/>
      <w:numFmt w:val="decimal"/>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2">
    <w:nsid w:val="654144DA"/>
    <w:multiLevelType w:val="hybridMultilevel"/>
    <w:tmpl w:val="22C4231E"/>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7CE64D32"/>
    <w:multiLevelType w:val="hybridMultilevel"/>
    <w:tmpl w:val="96CC80D0"/>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5"/>
  </w:num>
  <w:num w:numId="4">
    <w:abstractNumId w:val="2"/>
  </w:num>
  <w:num w:numId="5">
    <w:abstractNumId w:val="6"/>
  </w:num>
  <w:num w:numId="6">
    <w:abstractNumId w:val="10"/>
  </w:num>
  <w:num w:numId="7">
    <w:abstractNumId w:val="12"/>
  </w:num>
  <w:num w:numId="8">
    <w:abstractNumId w:val="3"/>
  </w:num>
  <w:num w:numId="9">
    <w:abstractNumId w:val="9"/>
  </w:num>
  <w:num w:numId="10">
    <w:abstractNumId w:val="8"/>
  </w:num>
  <w:num w:numId="11">
    <w:abstractNumId w:val="11"/>
  </w:num>
  <w:num w:numId="12">
    <w:abstractNumId w:val="7"/>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48"/>
    <w:rsid w:val="00002230"/>
    <w:rsid w:val="000041B4"/>
    <w:rsid w:val="0001035D"/>
    <w:rsid w:val="00017560"/>
    <w:rsid w:val="00020075"/>
    <w:rsid w:val="0002077C"/>
    <w:rsid w:val="00034EEA"/>
    <w:rsid w:val="00041EB9"/>
    <w:rsid w:val="00043218"/>
    <w:rsid w:val="00052195"/>
    <w:rsid w:val="00054420"/>
    <w:rsid w:val="00055C4C"/>
    <w:rsid w:val="00060E10"/>
    <w:rsid w:val="00062DDF"/>
    <w:rsid w:val="000651F9"/>
    <w:rsid w:val="0007099B"/>
    <w:rsid w:val="000739BB"/>
    <w:rsid w:val="00082515"/>
    <w:rsid w:val="00082C1A"/>
    <w:rsid w:val="0008702B"/>
    <w:rsid w:val="00091E0C"/>
    <w:rsid w:val="0009389B"/>
    <w:rsid w:val="000939CA"/>
    <w:rsid w:val="0009642D"/>
    <w:rsid w:val="00096A59"/>
    <w:rsid w:val="000A221C"/>
    <w:rsid w:val="000B5BD7"/>
    <w:rsid w:val="000C0E47"/>
    <w:rsid w:val="000C4DDD"/>
    <w:rsid w:val="000C5596"/>
    <w:rsid w:val="000D2A09"/>
    <w:rsid w:val="000D3BE8"/>
    <w:rsid w:val="000D5391"/>
    <w:rsid w:val="000D5BF4"/>
    <w:rsid w:val="000E0432"/>
    <w:rsid w:val="000E0E8E"/>
    <w:rsid w:val="000E1A8F"/>
    <w:rsid w:val="000E1C23"/>
    <w:rsid w:val="000E53D3"/>
    <w:rsid w:val="000E7AA8"/>
    <w:rsid w:val="000E7CE1"/>
    <w:rsid w:val="000F0F6E"/>
    <w:rsid w:val="000F36F7"/>
    <w:rsid w:val="001101CE"/>
    <w:rsid w:val="00111495"/>
    <w:rsid w:val="00113F3F"/>
    <w:rsid w:val="00124237"/>
    <w:rsid w:val="0012494D"/>
    <w:rsid w:val="00130983"/>
    <w:rsid w:val="00131B67"/>
    <w:rsid w:val="00133A8F"/>
    <w:rsid w:val="00137814"/>
    <w:rsid w:val="00137BA8"/>
    <w:rsid w:val="00147626"/>
    <w:rsid w:val="0015158B"/>
    <w:rsid w:val="00151ACA"/>
    <w:rsid w:val="00153285"/>
    <w:rsid w:val="00153940"/>
    <w:rsid w:val="00154BD7"/>
    <w:rsid w:val="001554F3"/>
    <w:rsid w:val="00156109"/>
    <w:rsid w:val="001564D5"/>
    <w:rsid w:val="00156E19"/>
    <w:rsid w:val="00160152"/>
    <w:rsid w:val="0016061B"/>
    <w:rsid w:val="00161377"/>
    <w:rsid w:val="00166151"/>
    <w:rsid w:val="001661A0"/>
    <w:rsid w:val="00166CD8"/>
    <w:rsid w:val="00182E5A"/>
    <w:rsid w:val="00186AA1"/>
    <w:rsid w:val="00190C25"/>
    <w:rsid w:val="001A315F"/>
    <w:rsid w:val="001A4716"/>
    <w:rsid w:val="001A6AEE"/>
    <w:rsid w:val="001B0639"/>
    <w:rsid w:val="001B358B"/>
    <w:rsid w:val="001B4103"/>
    <w:rsid w:val="001C031A"/>
    <w:rsid w:val="001C300E"/>
    <w:rsid w:val="001C3D42"/>
    <w:rsid w:val="001C4DC4"/>
    <w:rsid w:val="001D1D16"/>
    <w:rsid w:val="001D48AB"/>
    <w:rsid w:val="001E35AB"/>
    <w:rsid w:val="001E3D30"/>
    <w:rsid w:val="001E7A72"/>
    <w:rsid w:val="001F5CF6"/>
    <w:rsid w:val="001F7685"/>
    <w:rsid w:val="002050C4"/>
    <w:rsid w:val="00206C33"/>
    <w:rsid w:val="002121C9"/>
    <w:rsid w:val="002138F5"/>
    <w:rsid w:val="002206D9"/>
    <w:rsid w:val="0022381C"/>
    <w:rsid w:val="00227942"/>
    <w:rsid w:val="00232282"/>
    <w:rsid w:val="002350D4"/>
    <w:rsid w:val="00235FE6"/>
    <w:rsid w:val="00236C40"/>
    <w:rsid w:val="00237187"/>
    <w:rsid w:val="002400B2"/>
    <w:rsid w:val="00241D4B"/>
    <w:rsid w:val="00245634"/>
    <w:rsid w:val="00254108"/>
    <w:rsid w:val="002543A3"/>
    <w:rsid w:val="00254982"/>
    <w:rsid w:val="00255A97"/>
    <w:rsid w:val="00257888"/>
    <w:rsid w:val="0026211F"/>
    <w:rsid w:val="0027115E"/>
    <w:rsid w:val="00273AC2"/>
    <w:rsid w:val="00293122"/>
    <w:rsid w:val="00297BF2"/>
    <w:rsid w:val="002A4E12"/>
    <w:rsid w:val="002B059C"/>
    <w:rsid w:val="002C22B2"/>
    <w:rsid w:val="002C5E4A"/>
    <w:rsid w:val="002D5E0C"/>
    <w:rsid w:val="002E30E5"/>
    <w:rsid w:val="002E4004"/>
    <w:rsid w:val="002E4564"/>
    <w:rsid w:val="002E76B8"/>
    <w:rsid w:val="002F0CC2"/>
    <w:rsid w:val="002F4312"/>
    <w:rsid w:val="00301E05"/>
    <w:rsid w:val="0030484F"/>
    <w:rsid w:val="0030682B"/>
    <w:rsid w:val="00307BF5"/>
    <w:rsid w:val="00321D7D"/>
    <w:rsid w:val="00336295"/>
    <w:rsid w:val="00345D66"/>
    <w:rsid w:val="00345DF1"/>
    <w:rsid w:val="003476E8"/>
    <w:rsid w:val="00350AB4"/>
    <w:rsid w:val="00350C07"/>
    <w:rsid w:val="0035232B"/>
    <w:rsid w:val="00365E43"/>
    <w:rsid w:val="00365FD6"/>
    <w:rsid w:val="00371831"/>
    <w:rsid w:val="00371DF2"/>
    <w:rsid w:val="00371FEB"/>
    <w:rsid w:val="00372717"/>
    <w:rsid w:val="00374259"/>
    <w:rsid w:val="003743BD"/>
    <w:rsid w:val="00380C1D"/>
    <w:rsid w:val="003854AC"/>
    <w:rsid w:val="003878FC"/>
    <w:rsid w:val="0039192D"/>
    <w:rsid w:val="00393BB8"/>
    <w:rsid w:val="003A003E"/>
    <w:rsid w:val="003A1477"/>
    <w:rsid w:val="003A272C"/>
    <w:rsid w:val="003A3F97"/>
    <w:rsid w:val="003B2625"/>
    <w:rsid w:val="003B272D"/>
    <w:rsid w:val="003B2BC7"/>
    <w:rsid w:val="003B2CA9"/>
    <w:rsid w:val="003B3309"/>
    <w:rsid w:val="003B4AF3"/>
    <w:rsid w:val="003B78CD"/>
    <w:rsid w:val="003B7B29"/>
    <w:rsid w:val="003C3698"/>
    <w:rsid w:val="003D4EC6"/>
    <w:rsid w:val="003D5123"/>
    <w:rsid w:val="003D6631"/>
    <w:rsid w:val="003F64DC"/>
    <w:rsid w:val="004005ED"/>
    <w:rsid w:val="00403EBE"/>
    <w:rsid w:val="00406798"/>
    <w:rsid w:val="00407A75"/>
    <w:rsid w:val="00415BE4"/>
    <w:rsid w:val="004224BB"/>
    <w:rsid w:val="004266EA"/>
    <w:rsid w:val="004312CE"/>
    <w:rsid w:val="004317BB"/>
    <w:rsid w:val="00432064"/>
    <w:rsid w:val="00442B1A"/>
    <w:rsid w:val="0044424F"/>
    <w:rsid w:val="0044614F"/>
    <w:rsid w:val="00452F26"/>
    <w:rsid w:val="00453AFB"/>
    <w:rsid w:val="004542DE"/>
    <w:rsid w:val="00456E5E"/>
    <w:rsid w:val="004603F5"/>
    <w:rsid w:val="0046153E"/>
    <w:rsid w:val="004729E8"/>
    <w:rsid w:val="004745A3"/>
    <w:rsid w:val="00474FE0"/>
    <w:rsid w:val="00475443"/>
    <w:rsid w:val="00476E17"/>
    <w:rsid w:val="0048329E"/>
    <w:rsid w:val="004855C7"/>
    <w:rsid w:val="00492A3F"/>
    <w:rsid w:val="004A3DB0"/>
    <w:rsid w:val="004A5630"/>
    <w:rsid w:val="004B12BF"/>
    <w:rsid w:val="004B29D6"/>
    <w:rsid w:val="004B2BE0"/>
    <w:rsid w:val="004B3604"/>
    <w:rsid w:val="004B3BA0"/>
    <w:rsid w:val="004C1903"/>
    <w:rsid w:val="004C2035"/>
    <w:rsid w:val="004C26D4"/>
    <w:rsid w:val="004C6E12"/>
    <w:rsid w:val="004C736B"/>
    <w:rsid w:val="004D0E2F"/>
    <w:rsid w:val="004D1194"/>
    <w:rsid w:val="004D1B91"/>
    <w:rsid w:val="004F45D6"/>
    <w:rsid w:val="004F767F"/>
    <w:rsid w:val="0050063B"/>
    <w:rsid w:val="00501058"/>
    <w:rsid w:val="005021EA"/>
    <w:rsid w:val="00503672"/>
    <w:rsid w:val="00507E5A"/>
    <w:rsid w:val="00513856"/>
    <w:rsid w:val="005165DF"/>
    <w:rsid w:val="00520113"/>
    <w:rsid w:val="0052337F"/>
    <w:rsid w:val="005233F7"/>
    <w:rsid w:val="00526597"/>
    <w:rsid w:val="00530DB9"/>
    <w:rsid w:val="00531883"/>
    <w:rsid w:val="005322B3"/>
    <w:rsid w:val="005346FC"/>
    <w:rsid w:val="00542846"/>
    <w:rsid w:val="00544405"/>
    <w:rsid w:val="00545C01"/>
    <w:rsid w:val="00547146"/>
    <w:rsid w:val="00554E97"/>
    <w:rsid w:val="00555D98"/>
    <w:rsid w:val="00556E53"/>
    <w:rsid w:val="00561357"/>
    <w:rsid w:val="00564242"/>
    <w:rsid w:val="00570CA6"/>
    <w:rsid w:val="00570E40"/>
    <w:rsid w:val="00571229"/>
    <w:rsid w:val="00576658"/>
    <w:rsid w:val="00580FA1"/>
    <w:rsid w:val="005851B7"/>
    <w:rsid w:val="0058663E"/>
    <w:rsid w:val="00593D0F"/>
    <w:rsid w:val="00594EBA"/>
    <w:rsid w:val="0059765B"/>
    <w:rsid w:val="005A1039"/>
    <w:rsid w:val="005A614F"/>
    <w:rsid w:val="005A735A"/>
    <w:rsid w:val="005B1B00"/>
    <w:rsid w:val="005B6034"/>
    <w:rsid w:val="005B7D34"/>
    <w:rsid w:val="005C7A74"/>
    <w:rsid w:val="005D0AC2"/>
    <w:rsid w:val="005D10EE"/>
    <w:rsid w:val="005E3416"/>
    <w:rsid w:val="005E49CA"/>
    <w:rsid w:val="005F081C"/>
    <w:rsid w:val="005F4872"/>
    <w:rsid w:val="005F72F5"/>
    <w:rsid w:val="0060168F"/>
    <w:rsid w:val="0060214F"/>
    <w:rsid w:val="006036A3"/>
    <w:rsid w:val="00605BAC"/>
    <w:rsid w:val="00616016"/>
    <w:rsid w:val="00616BBE"/>
    <w:rsid w:val="00617FDF"/>
    <w:rsid w:val="006216BB"/>
    <w:rsid w:val="00625203"/>
    <w:rsid w:val="00625A11"/>
    <w:rsid w:val="00632769"/>
    <w:rsid w:val="00632FE4"/>
    <w:rsid w:val="0063430F"/>
    <w:rsid w:val="00635663"/>
    <w:rsid w:val="00651836"/>
    <w:rsid w:val="0065322E"/>
    <w:rsid w:val="00653FC5"/>
    <w:rsid w:val="0065462D"/>
    <w:rsid w:val="0065769D"/>
    <w:rsid w:val="00657B65"/>
    <w:rsid w:val="00660039"/>
    <w:rsid w:val="00660DDB"/>
    <w:rsid w:val="006626DC"/>
    <w:rsid w:val="0067091C"/>
    <w:rsid w:val="00681140"/>
    <w:rsid w:val="0068155E"/>
    <w:rsid w:val="0068672E"/>
    <w:rsid w:val="006916CB"/>
    <w:rsid w:val="00692993"/>
    <w:rsid w:val="00693BD8"/>
    <w:rsid w:val="00694DDC"/>
    <w:rsid w:val="00696B75"/>
    <w:rsid w:val="00697759"/>
    <w:rsid w:val="006A5302"/>
    <w:rsid w:val="006A6E7C"/>
    <w:rsid w:val="006B0D11"/>
    <w:rsid w:val="006B5E53"/>
    <w:rsid w:val="006C0486"/>
    <w:rsid w:val="006C3505"/>
    <w:rsid w:val="006C44F4"/>
    <w:rsid w:val="006D36FA"/>
    <w:rsid w:val="006D45B9"/>
    <w:rsid w:val="006D4CDE"/>
    <w:rsid w:val="006D576F"/>
    <w:rsid w:val="006D7279"/>
    <w:rsid w:val="006E12F7"/>
    <w:rsid w:val="006E4F7C"/>
    <w:rsid w:val="006E59C4"/>
    <w:rsid w:val="006F7AFA"/>
    <w:rsid w:val="006F7B06"/>
    <w:rsid w:val="00702104"/>
    <w:rsid w:val="007139B2"/>
    <w:rsid w:val="00723C9A"/>
    <w:rsid w:val="007246F6"/>
    <w:rsid w:val="00726A6E"/>
    <w:rsid w:val="0072798A"/>
    <w:rsid w:val="0073790A"/>
    <w:rsid w:val="0074122A"/>
    <w:rsid w:val="00750E30"/>
    <w:rsid w:val="00751030"/>
    <w:rsid w:val="007527F5"/>
    <w:rsid w:val="00776779"/>
    <w:rsid w:val="00777146"/>
    <w:rsid w:val="007859AE"/>
    <w:rsid w:val="00785B73"/>
    <w:rsid w:val="007868AB"/>
    <w:rsid w:val="00787117"/>
    <w:rsid w:val="00787F12"/>
    <w:rsid w:val="00795C6E"/>
    <w:rsid w:val="007A0139"/>
    <w:rsid w:val="007A7390"/>
    <w:rsid w:val="007A7C02"/>
    <w:rsid w:val="007C427B"/>
    <w:rsid w:val="007C4794"/>
    <w:rsid w:val="007D41CF"/>
    <w:rsid w:val="007D6CF5"/>
    <w:rsid w:val="007E35CA"/>
    <w:rsid w:val="007F1DC9"/>
    <w:rsid w:val="007F1E58"/>
    <w:rsid w:val="008056E4"/>
    <w:rsid w:val="008116C2"/>
    <w:rsid w:val="00812F56"/>
    <w:rsid w:val="00815FCA"/>
    <w:rsid w:val="00820790"/>
    <w:rsid w:val="008246C0"/>
    <w:rsid w:val="00833A25"/>
    <w:rsid w:val="00835BB2"/>
    <w:rsid w:val="00837939"/>
    <w:rsid w:val="0084033F"/>
    <w:rsid w:val="00841214"/>
    <w:rsid w:val="00842833"/>
    <w:rsid w:val="00842CE1"/>
    <w:rsid w:val="00845165"/>
    <w:rsid w:val="00847FAF"/>
    <w:rsid w:val="0085069E"/>
    <w:rsid w:val="008509B8"/>
    <w:rsid w:val="00850A4E"/>
    <w:rsid w:val="00851BA4"/>
    <w:rsid w:val="00853C10"/>
    <w:rsid w:val="00853D0E"/>
    <w:rsid w:val="0085675B"/>
    <w:rsid w:val="00861E45"/>
    <w:rsid w:val="0086220C"/>
    <w:rsid w:val="008739CB"/>
    <w:rsid w:val="00881D1D"/>
    <w:rsid w:val="008833C5"/>
    <w:rsid w:val="0088493B"/>
    <w:rsid w:val="00892979"/>
    <w:rsid w:val="00892BB3"/>
    <w:rsid w:val="008A01A8"/>
    <w:rsid w:val="008A7804"/>
    <w:rsid w:val="008B08FE"/>
    <w:rsid w:val="008B0AF8"/>
    <w:rsid w:val="008B0B0A"/>
    <w:rsid w:val="008B181E"/>
    <w:rsid w:val="008B19D6"/>
    <w:rsid w:val="008C1B55"/>
    <w:rsid w:val="008C3EDD"/>
    <w:rsid w:val="008C7625"/>
    <w:rsid w:val="008D54EB"/>
    <w:rsid w:val="008D6DDA"/>
    <w:rsid w:val="008E1588"/>
    <w:rsid w:val="008E6D4D"/>
    <w:rsid w:val="008F51E0"/>
    <w:rsid w:val="008F56FC"/>
    <w:rsid w:val="008F74A2"/>
    <w:rsid w:val="009075CD"/>
    <w:rsid w:val="00910842"/>
    <w:rsid w:val="0091115A"/>
    <w:rsid w:val="009119A4"/>
    <w:rsid w:val="0091269B"/>
    <w:rsid w:val="0091633B"/>
    <w:rsid w:val="009170A8"/>
    <w:rsid w:val="00924CAF"/>
    <w:rsid w:val="00930EFA"/>
    <w:rsid w:val="0093183C"/>
    <w:rsid w:val="00934AC1"/>
    <w:rsid w:val="00934E24"/>
    <w:rsid w:val="00935D86"/>
    <w:rsid w:val="00936D38"/>
    <w:rsid w:val="00937C14"/>
    <w:rsid w:val="009416DA"/>
    <w:rsid w:val="00943C93"/>
    <w:rsid w:val="009448B9"/>
    <w:rsid w:val="00945BF0"/>
    <w:rsid w:val="00945D26"/>
    <w:rsid w:val="00947C6F"/>
    <w:rsid w:val="00947FD3"/>
    <w:rsid w:val="0095588F"/>
    <w:rsid w:val="009561D4"/>
    <w:rsid w:val="00957777"/>
    <w:rsid w:val="0096123D"/>
    <w:rsid w:val="00961659"/>
    <w:rsid w:val="00962BD4"/>
    <w:rsid w:val="009652C6"/>
    <w:rsid w:val="00970448"/>
    <w:rsid w:val="009722B5"/>
    <w:rsid w:val="009724FF"/>
    <w:rsid w:val="00972ABE"/>
    <w:rsid w:val="00973883"/>
    <w:rsid w:val="00977478"/>
    <w:rsid w:val="00982426"/>
    <w:rsid w:val="00985D09"/>
    <w:rsid w:val="00991791"/>
    <w:rsid w:val="00992FAE"/>
    <w:rsid w:val="009A2A9D"/>
    <w:rsid w:val="009A3A18"/>
    <w:rsid w:val="009A42D1"/>
    <w:rsid w:val="009A58B1"/>
    <w:rsid w:val="009B2311"/>
    <w:rsid w:val="009B5209"/>
    <w:rsid w:val="009C0C59"/>
    <w:rsid w:val="009C118D"/>
    <w:rsid w:val="009C169A"/>
    <w:rsid w:val="009C4C7F"/>
    <w:rsid w:val="009C503C"/>
    <w:rsid w:val="009D22C8"/>
    <w:rsid w:val="009D2D65"/>
    <w:rsid w:val="009D3C00"/>
    <w:rsid w:val="009D3F10"/>
    <w:rsid w:val="009D4731"/>
    <w:rsid w:val="009D51CF"/>
    <w:rsid w:val="009E0D28"/>
    <w:rsid w:val="009E30ED"/>
    <w:rsid w:val="009E5A2E"/>
    <w:rsid w:val="009E6ACD"/>
    <w:rsid w:val="009F00DE"/>
    <w:rsid w:val="009F0DB1"/>
    <w:rsid w:val="009F2FFF"/>
    <w:rsid w:val="00A015AD"/>
    <w:rsid w:val="00A03FAE"/>
    <w:rsid w:val="00A040FF"/>
    <w:rsid w:val="00A113D1"/>
    <w:rsid w:val="00A1333D"/>
    <w:rsid w:val="00A14725"/>
    <w:rsid w:val="00A14CF4"/>
    <w:rsid w:val="00A24599"/>
    <w:rsid w:val="00A25721"/>
    <w:rsid w:val="00A257D6"/>
    <w:rsid w:val="00A35DF2"/>
    <w:rsid w:val="00A36C77"/>
    <w:rsid w:val="00A42C22"/>
    <w:rsid w:val="00A459C2"/>
    <w:rsid w:val="00A53D64"/>
    <w:rsid w:val="00A57311"/>
    <w:rsid w:val="00A57643"/>
    <w:rsid w:val="00A61DD5"/>
    <w:rsid w:val="00A64FFB"/>
    <w:rsid w:val="00A70FB7"/>
    <w:rsid w:val="00A770B4"/>
    <w:rsid w:val="00A80A42"/>
    <w:rsid w:val="00A83DE1"/>
    <w:rsid w:val="00A8434E"/>
    <w:rsid w:val="00A85833"/>
    <w:rsid w:val="00A85935"/>
    <w:rsid w:val="00A90175"/>
    <w:rsid w:val="00A94036"/>
    <w:rsid w:val="00A948E0"/>
    <w:rsid w:val="00A96589"/>
    <w:rsid w:val="00AA4DFC"/>
    <w:rsid w:val="00AA66E3"/>
    <w:rsid w:val="00AB18B6"/>
    <w:rsid w:val="00AB1DE5"/>
    <w:rsid w:val="00AB4D74"/>
    <w:rsid w:val="00AC27BE"/>
    <w:rsid w:val="00AC336D"/>
    <w:rsid w:val="00AC6E5A"/>
    <w:rsid w:val="00AC7AE5"/>
    <w:rsid w:val="00AD02D8"/>
    <w:rsid w:val="00AD2D8F"/>
    <w:rsid w:val="00AD443C"/>
    <w:rsid w:val="00AD6821"/>
    <w:rsid w:val="00AE18BE"/>
    <w:rsid w:val="00AE313F"/>
    <w:rsid w:val="00AF20CC"/>
    <w:rsid w:val="00AF3377"/>
    <w:rsid w:val="00AF6FCF"/>
    <w:rsid w:val="00AF7011"/>
    <w:rsid w:val="00AF7C7F"/>
    <w:rsid w:val="00B011F9"/>
    <w:rsid w:val="00B04A7F"/>
    <w:rsid w:val="00B0700C"/>
    <w:rsid w:val="00B120B3"/>
    <w:rsid w:val="00B13420"/>
    <w:rsid w:val="00B15C89"/>
    <w:rsid w:val="00B168EC"/>
    <w:rsid w:val="00B24966"/>
    <w:rsid w:val="00B26733"/>
    <w:rsid w:val="00B27160"/>
    <w:rsid w:val="00B27C76"/>
    <w:rsid w:val="00B35225"/>
    <w:rsid w:val="00B373F4"/>
    <w:rsid w:val="00B37BFF"/>
    <w:rsid w:val="00B42832"/>
    <w:rsid w:val="00B56E9F"/>
    <w:rsid w:val="00B64CF2"/>
    <w:rsid w:val="00B6703B"/>
    <w:rsid w:val="00B67AA9"/>
    <w:rsid w:val="00B67F6B"/>
    <w:rsid w:val="00B702D8"/>
    <w:rsid w:val="00B74143"/>
    <w:rsid w:val="00B74A98"/>
    <w:rsid w:val="00B752D1"/>
    <w:rsid w:val="00B77D17"/>
    <w:rsid w:val="00B80471"/>
    <w:rsid w:val="00B8149C"/>
    <w:rsid w:val="00B835D6"/>
    <w:rsid w:val="00B83897"/>
    <w:rsid w:val="00B859C9"/>
    <w:rsid w:val="00B87AB1"/>
    <w:rsid w:val="00B96AF0"/>
    <w:rsid w:val="00BA3D77"/>
    <w:rsid w:val="00BA47F8"/>
    <w:rsid w:val="00BA4B0C"/>
    <w:rsid w:val="00BB206C"/>
    <w:rsid w:val="00BB718F"/>
    <w:rsid w:val="00BB723A"/>
    <w:rsid w:val="00BC0F47"/>
    <w:rsid w:val="00BC11D4"/>
    <w:rsid w:val="00BC4044"/>
    <w:rsid w:val="00BD0BC3"/>
    <w:rsid w:val="00BD1E75"/>
    <w:rsid w:val="00BD3C4D"/>
    <w:rsid w:val="00BD49AA"/>
    <w:rsid w:val="00BD6FF7"/>
    <w:rsid w:val="00BE2531"/>
    <w:rsid w:val="00BE46CC"/>
    <w:rsid w:val="00BE5AE1"/>
    <w:rsid w:val="00BE5C5E"/>
    <w:rsid w:val="00BE6ADE"/>
    <w:rsid w:val="00BF19FC"/>
    <w:rsid w:val="00BF2D99"/>
    <w:rsid w:val="00BF6B64"/>
    <w:rsid w:val="00C02163"/>
    <w:rsid w:val="00C03390"/>
    <w:rsid w:val="00C10360"/>
    <w:rsid w:val="00C11EB9"/>
    <w:rsid w:val="00C13C35"/>
    <w:rsid w:val="00C2343D"/>
    <w:rsid w:val="00C24723"/>
    <w:rsid w:val="00C2489D"/>
    <w:rsid w:val="00C256E2"/>
    <w:rsid w:val="00C34035"/>
    <w:rsid w:val="00C365F8"/>
    <w:rsid w:val="00C40984"/>
    <w:rsid w:val="00C439CF"/>
    <w:rsid w:val="00C46C39"/>
    <w:rsid w:val="00C51A0F"/>
    <w:rsid w:val="00C539EC"/>
    <w:rsid w:val="00C6138F"/>
    <w:rsid w:val="00C62C4C"/>
    <w:rsid w:val="00C677C2"/>
    <w:rsid w:val="00C73B8E"/>
    <w:rsid w:val="00C76A62"/>
    <w:rsid w:val="00C77F46"/>
    <w:rsid w:val="00C82AF1"/>
    <w:rsid w:val="00C82D20"/>
    <w:rsid w:val="00C90393"/>
    <w:rsid w:val="00C9624A"/>
    <w:rsid w:val="00CA1FB9"/>
    <w:rsid w:val="00CA2A20"/>
    <w:rsid w:val="00CA3524"/>
    <w:rsid w:val="00CA37B3"/>
    <w:rsid w:val="00CA4398"/>
    <w:rsid w:val="00CA66A8"/>
    <w:rsid w:val="00CC33E5"/>
    <w:rsid w:val="00CD7FDA"/>
    <w:rsid w:val="00CE0FA5"/>
    <w:rsid w:val="00CE3841"/>
    <w:rsid w:val="00CE53D6"/>
    <w:rsid w:val="00CE5F5A"/>
    <w:rsid w:val="00CE7075"/>
    <w:rsid w:val="00CF19A7"/>
    <w:rsid w:val="00CF2A84"/>
    <w:rsid w:val="00CF307E"/>
    <w:rsid w:val="00CF3648"/>
    <w:rsid w:val="00CF6049"/>
    <w:rsid w:val="00CF7B79"/>
    <w:rsid w:val="00D054A5"/>
    <w:rsid w:val="00D06789"/>
    <w:rsid w:val="00D0731F"/>
    <w:rsid w:val="00D11C1D"/>
    <w:rsid w:val="00D17232"/>
    <w:rsid w:val="00D248E5"/>
    <w:rsid w:val="00D259E3"/>
    <w:rsid w:val="00D27878"/>
    <w:rsid w:val="00D32BE2"/>
    <w:rsid w:val="00D342F6"/>
    <w:rsid w:val="00D35332"/>
    <w:rsid w:val="00D35ABC"/>
    <w:rsid w:val="00D36F21"/>
    <w:rsid w:val="00D40959"/>
    <w:rsid w:val="00D462A8"/>
    <w:rsid w:val="00D47D1D"/>
    <w:rsid w:val="00D53AC2"/>
    <w:rsid w:val="00D53B1D"/>
    <w:rsid w:val="00D5559E"/>
    <w:rsid w:val="00D60E09"/>
    <w:rsid w:val="00D66F1E"/>
    <w:rsid w:val="00D717CA"/>
    <w:rsid w:val="00D71A36"/>
    <w:rsid w:val="00D72516"/>
    <w:rsid w:val="00D73397"/>
    <w:rsid w:val="00D74ACC"/>
    <w:rsid w:val="00D80696"/>
    <w:rsid w:val="00D811AD"/>
    <w:rsid w:val="00D83958"/>
    <w:rsid w:val="00D839DC"/>
    <w:rsid w:val="00D8489E"/>
    <w:rsid w:val="00D85D44"/>
    <w:rsid w:val="00D85E21"/>
    <w:rsid w:val="00D8759B"/>
    <w:rsid w:val="00D955A1"/>
    <w:rsid w:val="00D955AE"/>
    <w:rsid w:val="00DA08E7"/>
    <w:rsid w:val="00DA0CC5"/>
    <w:rsid w:val="00DA23CF"/>
    <w:rsid w:val="00DA42F9"/>
    <w:rsid w:val="00DA4BA5"/>
    <w:rsid w:val="00DB42B2"/>
    <w:rsid w:val="00DC32D8"/>
    <w:rsid w:val="00DC595C"/>
    <w:rsid w:val="00DC61D1"/>
    <w:rsid w:val="00DC7ADC"/>
    <w:rsid w:val="00DD35EE"/>
    <w:rsid w:val="00DD6AC8"/>
    <w:rsid w:val="00DE2A28"/>
    <w:rsid w:val="00DE4197"/>
    <w:rsid w:val="00DE4BAD"/>
    <w:rsid w:val="00DE5590"/>
    <w:rsid w:val="00DE7118"/>
    <w:rsid w:val="00E019AF"/>
    <w:rsid w:val="00E047EE"/>
    <w:rsid w:val="00E12C9E"/>
    <w:rsid w:val="00E13FD3"/>
    <w:rsid w:val="00E15C52"/>
    <w:rsid w:val="00E1772B"/>
    <w:rsid w:val="00E235F1"/>
    <w:rsid w:val="00E2523A"/>
    <w:rsid w:val="00E2788E"/>
    <w:rsid w:val="00E3355C"/>
    <w:rsid w:val="00E340CA"/>
    <w:rsid w:val="00E35F08"/>
    <w:rsid w:val="00E36761"/>
    <w:rsid w:val="00E42591"/>
    <w:rsid w:val="00E464E8"/>
    <w:rsid w:val="00E542B1"/>
    <w:rsid w:val="00E54675"/>
    <w:rsid w:val="00E56365"/>
    <w:rsid w:val="00E5639E"/>
    <w:rsid w:val="00E6412A"/>
    <w:rsid w:val="00E65310"/>
    <w:rsid w:val="00E678AB"/>
    <w:rsid w:val="00E679FA"/>
    <w:rsid w:val="00E723EE"/>
    <w:rsid w:val="00E72D87"/>
    <w:rsid w:val="00E74100"/>
    <w:rsid w:val="00E7675A"/>
    <w:rsid w:val="00E77DBC"/>
    <w:rsid w:val="00E80650"/>
    <w:rsid w:val="00E860DE"/>
    <w:rsid w:val="00E9605E"/>
    <w:rsid w:val="00E960DF"/>
    <w:rsid w:val="00EA3F99"/>
    <w:rsid w:val="00EB0958"/>
    <w:rsid w:val="00EC1954"/>
    <w:rsid w:val="00ED534A"/>
    <w:rsid w:val="00ED5571"/>
    <w:rsid w:val="00ED5D51"/>
    <w:rsid w:val="00ED5F43"/>
    <w:rsid w:val="00ED5FEF"/>
    <w:rsid w:val="00ED722E"/>
    <w:rsid w:val="00EE10AF"/>
    <w:rsid w:val="00EE1749"/>
    <w:rsid w:val="00EE178E"/>
    <w:rsid w:val="00EE2D16"/>
    <w:rsid w:val="00EE5E39"/>
    <w:rsid w:val="00EF270F"/>
    <w:rsid w:val="00EF774D"/>
    <w:rsid w:val="00F006FA"/>
    <w:rsid w:val="00F06450"/>
    <w:rsid w:val="00F10197"/>
    <w:rsid w:val="00F1652D"/>
    <w:rsid w:val="00F24E28"/>
    <w:rsid w:val="00F25251"/>
    <w:rsid w:val="00F275F0"/>
    <w:rsid w:val="00F31700"/>
    <w:rsid w:val="00F35483"/>
    <w:rsid w:val="00F37A9E"/>
    <w:rsid w:val="00F44042"/>
    <w:rsid w:val="00F44D3C"/>
    <w:rsid w:val="00F4696E"/>
    <w:rsid w:val="00F51282"/>
    <w:rsid w:val="00F53ED5"/>
    <w:rsid w:val="00F53FED"/>
    <w:rsid w:val="00F60030"/>
    <w:rsid w:val="00F62B52"/>
    <w:rsid w:val="00F7049C"/>
    <w:rsid w:val="00F70D4E"/>
    <w:rsid w:val="00F70FEB"/>
    <w:rsid w:val="00F749AF"/>
    <w:rsid w:val="00F75E95"/>
    <w:rsid w:val="00F81484"/>
    <w:rsid w:val="00F81BCE"/>
    <w:rsid w:val="00F8440D"/>
    <w:rsid w:val="00F84ACD"/>
    <w:rsid w:val="00F85E0D"/>
    <w:rsid w:val="00F954FF"/>
    <w:rsid w:val="00F96DE5"/>
    <w:rsid w:val="00F97F9F"/>
    <w:rsid w:val="00FA15D0"/>
    <w:rsid w:val="00FA6B65"/>
    <w:rsid w:val="00FB16B6"/>
    <w:rsid w:val="00FB1AAA"/>
    <w:rsid w:val="00FB40E8"/>
    <w:rsid w:val="00FB7194"/>
    <w:rsid w:val="00FC5CE8"/>
    <w:rsid w:val="00FC6650"/>
    <w:rsid w:val="00FC6D2C"/>
    <w:rsid w:val="00FD11E4"/>
    <w:rsid w:val="00FD1E60"/>
    <w:rsid w:val="00FE0B0F"/>
    <w:rsid w:val="00FE0D29"/>
    <w:rsid w:val="00FE1015"/>
    <w:rsid w:val="00FE1025"/>
    <w:rsid w:val="00FE3830"/>
    <w:rsid w:val="00FE441F"/>
    <w:rsid w:val="00FF0689"/>
    <w:rsid w:val="00FF1AE6"/>
    <w:rsid w:val="00FF3323"/>
    <w:rsid w:val="00FF41F9"/>
    <w:rsid w:val="00FF6784"/>
    <w:rsid w:val="00FF6F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60"/>
    <w:rPr>
      <w:rFonts w:ascii="Verdana" w:eastAsia="Calibri" w:hAnsi="Verdana" w:cs="Times New Roman"/>
      <w:sz w:val="20"/>
    </w:rPr>
  </w:style>
  <w:style w:type="paragraph" w:styleId="Heading1">
    <w:name w:val="heading 1"/>
    <w:basedOn w:val="Normal"/>
    <w:next w:val="Normal"/>
    <w:link w:val="Heading1Char"/>
    <w:uiPriority w:val="9"/>
    <w:qFormat/>
    <w:rsid w:val="003B3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881D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881D1D"/>
    <w:pPr>
      <w:keepNext w:val="0"/>
      <w:keepLines w:val="0"/>
      <w:tabs>
        <w:tab w:val="num" w:pos="3600"/>
      </w:tabs>
      <w:spacing w:before="0" w:line="240" w:lineRule="auto"/>
      <w:ind w:left="3600" w:hanging="360"/>
      <w:jc w:val="both"/>
      <w:outlineLvl w:val="5"/>
    </w:pPr>
    <w:rPr>
      <w:rFonts w:ascii="Verdana" w:eastAsia="Times New Roman" w:hAnsi="Verdana" w:cs="Times New Roman"/>
      <w:color w:val="auto"/>
      <w:spacing w:val="-2"/>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C10360"/>
    <w:pPr>
      <w:spacing w:after="0" w:line="240" w:lineRule="auto"/>
    </w:pPr>
    <w:rPr>
      <w:sz w:val="16"/>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C10360"/>
    <w:rPr>
      <w:rFonts w:ascii="Verdana" w:eastAsia="Calibri" w:hAnsi="Verdana" w:cs="Times New Roman"/>
      <w:sz w:val="16"/>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970448"/>
    <w:rPr>
      <w:vertAlign w:val="superscript"/>
    </w:rPr>
  </w:style>
  <w:style w:type="character" w:styleId="LineNumber">
    <w:name w:val="line number"/>
    <w:basedOn w:val="DefaultParagraphFont"/>
    <w:uiPriority w:val="99"/>
    <w:unhideWhenUsed/>
    <w:rsid w:val="00970448"/>
    <w:rPr>
      <w:rFonts w:ascii="Verdana" w:hAnsi="Verdana"/>
      <w:sz w:val="18"/>
    </w:rPr>
  </w:style>
  <w:style w:type="paragraph" w:styleId="NoSpacing">
    <w:name w:val="No Spacing"/>
    <w:uiPriority w:val="1"/>
    <w:qFormat/>
    <w:rsid w:val="00301E05"/>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60152"/>
  </w:style>
  <w:style w:type="character" w:styleId="Hyperlink">
    <w:name w:val="Hyperlink"/>
    <w:basedOn w:val="DefaultParagraphFont"/>
    <w:uiPriority w:val="99"/>
    <w:unhideWhenUsed/>
    <w:rsid w:val="00160152"/>
    <w:rPr>
      <w:color w:val="0000FF"/>
      <w:u w:val="single"/>
    </w:rPr>
  </w:style>
  <w:style w:type="paragraph" w:styleId="ListParagraph">
    <w:name w:val="List Paragraph"/>
    <w:aliases w:val="Footnote,List Paragraph2"/>
    <w:basedOn w:val="Normal"/>
    <w:link w:val="ListParagraphChar2"/>
    <w:uiPriority w:val="34"/>
    <w:qFormat/>
    <w:rsid w:val="00475443"/>
    <w:pPr>
      <w:ind w:left="720"/>
      <w:contextualSpacing/>
    </w:pPr>
  </w:style>
  <w:style w:type="character" w:customStyle="1" w:styleId="ListParagraphChar2">
    <w:name w:val="List Paragraph Char2"/>
    <w:aliases w:val="Footnote Char2,List Paragraph2 Char2"/>
    <w:basedOn w:val="DefaultParagraphFont"/>
    <w:link w:val="ListParagraph"/>
    <w:uiPriority w:val="99"/>
    <w:rsid w:val="009E5A2E"/>
    <w:rPr>
      <w:rFonts w:ascii="Calibri" w:eastAsia="Calibri" w:hAnsi="Calibri" w:cs="Times New Roman"/>
    </w:rPr>
  </w:style>
  <w:style w:type="character" w:styleId="CommentReference">
    <w:name w:val="annotation reference"/>
    <w:basedOn w:val="DefaultParagraphFont"/>
    <w:uiPriority w:val="99"/>
    <w:semiHidden/>
    <w:unhideWhenUsed/>
    <w:rsid w:val="006D7279"/>
    <w:rPr>
      <w:sz w:val="16"/>
      <w:szCs w:val="16"/>
    </w:rPr>
  </w:style>
  <w:style w:type="paragraph" w:styleId="CommentText">
    <w:name w:val="annotation text"/>
    <w:basedOn w:val="Normal"/>
    <w:link w:val="CommentTextChar"/>
    <w:uiPriority w:val="99"/>
    <w:semiHidden/>
    <w:unhideWhenUsed/>
    <w:rsid w:val="006D7279"/>
    <w:pPr>
      <w:spacing w:line="240" w:lineRule="auto"/>
    </w:pPr>
    <w:rPr>
      <w:szCs w:val="20"/>
    </w:rPr>
  </w:style>
  <w:style w:type="character" w:customStyle="1" w:styleId="CommentTextChar">
    <w:name w:val="Comment Text Char"/>
    <w:basedOn w:val="DefaultParagraphFont"/>
    <w:link w:val="CommentText"/>
    <w:uiPriority w:val="99"/>
    <w:semiHidden/>
    <w:rsid w:val="006D72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7279"/>
    <w:rPr>
      <w:b/>
      <w:bCs/>
    </w:rPr>
  </w:style>
  <w:style w:type="character" w:customStyle="1" w:styleId="CommentSubjectChar">
    <w:name w:val="Comment Subject Char"/>
    <w:basedOn w:val="CommentTextChar"/>
    <w:link w:val="CommentSubject"/>
    <w:uiPriority w:val="99"/>
    <w:semiHidden/>
    <w:rsid w:val="006D727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D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79"/>
    <w:rPr>
      <w:rFonts w:ascii="Tahoma" w:eastAsia="Calibri" w:hAnsi="Tahoma" w:cs="Tahoma"/>
      <w:sz w:val="16"/>
      <w:szCs w:val="16"/>
    </w:rPr>
  </w:style>
  <w:style w:type="character" w:customStyle="1" w:styleId="FootnoteCharacters">
    <w:name w:val="Footnote Characters"/>
    <w:basedOn w:val="DefaultParagraphFont"/>
    <w:rsid w:val="00113F3F"/>
    <w:rPr>
      <w:sz w:val="20"/>
      <w:vertAlign w:val="superscript"/>
    </w:rPr>
  </w:style>
  <w:style w:type="paragraph" w:styleId="Header">
    <w:name w:val="header"/>
    <w:basedOn w:val="Normal"/>
    <w:link w:val="HeaderChar"/>
    <w:uiPriority w:val="99"/>
    <w:unhideWhenUsed/>
    <w:rsid w:val="000E7CE1"/>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7CE1"/>
    <w:rPr>
      <w:rFonts w:ascii="Calibri" w:eastAsia="Calibri" w:hAnsi="Calibri" w:cs="Times New Roman"/>
    </w:rPr>
  </w:style>
  <w:style w:type="paragraph" w:styleId="Footer">
    <w:name w:val="footer"/>
    <w:basedOn w:val="Normal"/>
    <w:link w:val="FooterChar"/>
    <w:uiPriority w:val="99"/>
    <w:semiHidden/>
    <w:unhideWhenUsed/>
    <w:rsid w:val="000E7CE1"/>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0E7CE1"/>
    <w:rPr>
      <w:rFonts w:ascii="Calibri" w:eastAsia="Calibri" w:hAnsi="Calibri" w:cs="Times New Roman"/>
    </w:rPr>
  </w:style>
  <w:style w:type="paragraph" w:styleId="EndnoteText">
    <w:name w:val="endnote text"/>
    <w:basedOn w:val="Normal"/>
    <w:link w:val="EndnoteTextChar"/>
    <w:uiPriority w:val="99"/>
    <w:semiHidden/>
    <w:unhideWhenUsed/>
    <w:rsid w:val="003A272C"/>
    <w:pPr>
      <w:spacing w:after="0" w:line="240" w:lineRule="auto"/>
    </w:pPr>
    <w:rPr>
      <w:sz w:val="24"/>
      <w:szCs w:val="24"/>
    </w:rPr>
  </w:style>
  <w:style w:type="character" w:customStyle="1" w:styleId="EndnoteTextChar">
    <w:name w:val="Endnote Text Char"/>
    <w:basedOn w:val="DefaultParagraphFont"/>
    <w:link w:val="EndnoteText"/>
    <w:uiPriority w:val="99"/>
    <w:semiHidden/>
    <w:rsid w:val="003A272C"/>
    <w:rPr>
      <w:rFonts w:ascii="Calibri" w:eastAsia="Calibri" w:hAnsi="Calibri" w:cs="Times New Roman"/>
      <w:sz w:val="24"/>
      <w:szCs w:val="24"/>
    </w:rPr>
  </w:style>
  <w:style w:type="character" w:styleId="EndnoteReference">
    <w:name w:val="endnote reference"/>
    <w:basedOn w:val="DefaultParagraphFont"/>
    <w:uiPriority w:val="99"/>
    <w:semiHidden/>
    <w:unhideWhenUsed/>
    <w:rsid w:val="003A272C"/>
    <w:rPr>
      <w:vertAlign w:val="superscript"/>
    </w:rPr>
  </w:style>
  <w:style w:type="paragraph" w:styleId="NormalWeb">
    <w:name w:val="Normal (Web)"/>
    <w:basedOn w:val="Normal"/>
    <w:uiPriority w:val="99"/>
    <w:unhideWhenUsed/>
    <w:rsid w:val="00815FCA"/>
    <w:pPr>
      <w:spacing w:before="100" w:beforeAutospacing="1" w:after="100" w:afterAutospacing="1" w:line="240" w:lineRule="auto"/>
    </w:pPr>
    <w:rPr>
      <w:rFonts w:ascii="Times" w:eastAsiaTheme="minorHAnsi" w:hAnsi="Times"/>
      <w:szCs w:val="20"/>
      <w:lang w:val="en-US"/>
    </w:rPr>
  </w:style>
  <w:style w:type="character" w:customStyle="1" w:styleId="Heading6Char">
    <w:name w:val="Heading 6 Char"/>
    <w:basedOn w:val="DefaultParagraphFont"/>
    <w:link w:val="Heading6"/>
    <w:uiPriority w:val="9"/>
    <w:rsid w:val="00881D1D"/>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
    <w:semiHidden/>
    <w:rsid w:val="00881D1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3C3698"/>
    <w:rPr>
      <w:b/>
      <w:bCs/>
    </w:rPr>
  </w:style>
  <w:style w:type="paragraph" w:styleId="DocumentMap">
    <w:name w:val="Document Map"/>
    <w:basedOn w:val="Normal"/>
    <w:link w:val="DocumentMapChar"/>
    <w:uiPriority w:val="99"/>
    <w:semiHidden/>
    <w:unhideWhenUsed/>
    <w:rsid w:val="00CF364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3648"/>
    <w:rPr>
      <w:rFonts w:ascii="Tahoma" w:eastAsia="Calibri" w:hAnsi="Tahoma" w:cs="Tahoma"/>
      <w:sz w:val="16"/>
      <w:szCs w:val="16"/>
    </w:rPr>
  </w:style>
  <w:style w:type="character" w:customStyle="1" w:styleId="Heading1Char">
    <w:name w:val="Heading 1 Char"/>
    <w:basedOn w:val="DefaultParagraphFont"/>
    <w:link w:val="Heading1"/>
    <w:uiPriority w:val="9"/>
    <w:rsid w:val="003B3309"/>
    <w:rPr>
      <w:rFonts w:asciiTheme="majorHAnsi" w:eastAsiaTheme="majorEastAsia" w:hAnsiTheme="majorHAnsi" w:cstheme="majorBidi"/>
      <w:b/>
      <w:bCs/>
      <w:color w:val="365F91" w:themeColor="accent1" w:themeShade="BF"/>
      <w:sz w:val="28"/>
      <w:szCs w:val="28"/>
    </w:rPr>
  </w:style>
  <w:style w:type="character" w:customStyle="1" w:styleId="ListParagraphChar1">
    <w:name w:val="List Paragraph Char1"/>
    <w:aliases w:val="Footnote Char1,List Paragraph2 Char"/>
    <w:locked/>
    <w:rsid w:val="00E047EE"/>
    <w:rPr>
      <w:rFonts w:ascii="Verdana" w:eastAsia="Calibri" w:hAnsi="Verdana" w:cs="Times New Roman"/>
      <w:sz w:val="20"/>
      <w:szCs w:val="20"/>
      <w:lang w:val="es-MX"/>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FA Fu Car Char,FA Fu Car Car Char,Ca Char1"/>
    <w:locked/>
    <w:rsid w:val="003A3F97"/>
    <w:rPr>
      <w:rFonts w:ascii="Verdana" w:eastAsia="Calibri" w:hAnsi="Verdana" w:cs="Times New Roman"/>
      <w:sz w:val="16"/>
      <w:szCs w:val="16"/>
      <w:lang w:val="es-ES_tradnl" w:eastAsia="es-ES"/>
    </w:rPr>
  </w:style>
  <w:style w:type="character" w:customStyle="1" w:styleId="ListParagraphChar">
    <w:name w:val="List Paragraph Char"/>
    <w:aliases w:val="Footnote Char,List Paragraph2 Char1"/>
    <w:basedOn w:val="DefaultParagraphFont"/>
    <w:uiPriority w:val="34"/>
    <w:rsid w:val="00235FE6"/>
    <w:rPr>
      <w:rFonts w:ascii="Calibri" w:eastAsia="Calibri" w:hAnsi="Calibri" w:cs="Times New Roman"/>
    </w:rPr>
  </w:style>
  <w:style w:type="character" w:customStyle="1" w:styleId="PrrafodeSentenciaChar">
    <w:name w:val="*. Párrafo de Sentencia Char"/>
    <w:basedOn w:val="DefaultParagraphFont"/>
    <w:link w:val="PrrafodeSentencia"/>
    <w:locked/>
    <w:rsid w:val="00973883"/>
    <w:rPr>
      <w:rFonts w:ascii="Verdana" w:eastAsia="Batang" w:hAnsi="Verdana" w:cs="Times New Roman"/>
      <w:spacing w:val="-4"/>
      <w:sz w:val="20"/>
      <w:lang w:eastAsia="es-MX"/>
    </w:rPr>
  </w:style>
  <w:style w:type="paragraph" w:customStyle="1" w:styleId="PrrafodeSentencia">
    <w:name w:val="*. Párrafo de Sentencia"/>
    <w:basedOn w:val="Normal"/>
    <w:next w:val="Normal"/>
    <w:link w:val="PrrafodeSentenciaChar"/>
    <w:qFormat/>
    <w:rsid w:val="00973883"/>
    <w:pPr>
      <w:numPr>
        <w:numId w:val="15"/>
      </w:numPr>
      <w:tabs>
        <w:tab w:val="left" w:pos="567"/>
      </w:tabs>
      <w:spacing w:after="0" w:line="240" w:lineRule="auto"/>
      <w:ind w:left="0" w:firstLine="0"/>
      <w:jc w:val="both"/>
    </w:pPr>
    <w:rPr>
      <w:rFonts w:eastAsia="Batang"/>
      <w:spacing w:val="-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60"/>
    <w:rPr>
      <w:rFonts w:ascii="Verdana" w:eastAsia="Calibri" w:hAnsi="Verdana" w:cs="Times New Roman"/>
      <w:sz w:val="20"/>
    </w:rPr>
  </w:style>
  <w:style w:type="paragraph" w:styleId="Heading1">
    <w:name w:val="heading 1"/>
    <w:basedOn w:val="Normal"/>
    <w:next w:val="Normal"/>
    <w:link w:val="Heading1Char"/>
    <w:uiPriority w:val="9"/>
    <w:qFormat/>
    <w:rsid w:val="003B3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881D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881D1D"/>
    <w:pPr>
      <w:keepNext w:val="0"/>
      <w:keepLines w:val="0"/>
      <w:tabs>
        <w:tab w:val="num" w:pos="3600"/>
      </w:tabs>
      <w:spacing w:before="0" w:line="240" w:lineRule="auto"/>
      <w:ind w:left="3600" w:hanging="360"/>
      <w:jc w:val="both"/>
      <w:outlineLvl w:val="5"/>
    </w:pPr>
    <w:rPr>
      <w:rFonts w:ascii="Verdana" w:eastAsia="Times New Roman" w:hAnsi="Verdana" w:cs="Times New Roman"/>
      <w:color w:val="auto"/>
      <w:spacing w:val="-2"/>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C10360"/>
    <w:pPr>
      <w:spacing w:after="0" w:line="240" w:lineRule="auto"/>
    </w:pPr>
    <w:rPr>
      <w:sz w:val="16"/>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C10360"/>
    <w:rPr>
      <w:rFonts w:ascii="Verdana" w:eastAsia="Calibri" w:hAnsi="Verdana" w:cs="Times New Roman"/>
      <w:sz w:val="16"/>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970448"/>
    <w:rPr>
      <w:vertAlign w:val="superscript"/>
    </w:rPr>
  </w:style>
  <w:style w:type="character" w:styleId="LineNumber">
    <w:name w:val="line number"/>
    <w:basedOn w:val="DefaultParagraphFont"/>
    <w:uiPriority w:val="99"/>
    <w:unhideWhenUsed/>
    <w:rsid w:val="00970448"/>
    <w:rPr>
      <w:rFonts w:ascii="Verdana" w:hAnsi="Verdana"/>
      <w:sz w:val="18"/>
    </w:rPr>
  </w:style>
  <w:style w:type="paragraph" w:styleId="NoSpacing">
    <w:name w:val="No Spacing"/>
    <w:uiPriority w:val="1"/>
    <w:qFormat/>
    <w:rsid w:val="00301E05"/>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60152"/>
  </w:style>
  <w:style w:type="character" w:styleId="Hyperlink">
    <w:name w:val="Hyperlink"/>
    <w:basedOn w:val="DefaultParagraphFont"/>
    <w:uiPriority w:val="99"/>
    <w:unhideWhenUsed/>
    <w:rsid w:val="00160152"/>
    <w:rPr>
      <w:color w:val="0000FF"/>
      <w:u w:val="single"/>
    </w:rPr>
  </w:style>
  <w:style w:type="paragraph" w:styleId="ListParagraph">
    <w:name w:val="List Paragraph"/>
    <w:aliases w:val="Footnote,List Paragraph2"/>
    <w:basedOn w:val="Normal"/>
    <w:link w:val="ListParagraphChar2"/>
    <w:uiPriority w:val="34"/>
    <w:qFormat/>
    <w:rsid w:val="00475443"/>
    <w:pPr>
      <w:ind w:left="720"/>
      <w:contextualSpacing/>
    </w:pPr>
  </w:style>
  <w:style w:type="character" w:customStyle="1" w:styleId="ListParagraphChar2">
    <w:name w:val="List Paragraph Char2"/>
    <w:aliases w:val="Footnote Char2,List Paragraph2 Char2"/>
    <w:basedOn w:val="DefaultParagraphFont"/>
    <w:link w:val="ListParagraph"/>
    <w:uiPriority w:val="99"/>
    <w:rsid w:val="009E5A2E"/>
    <w:rPr>
      <w:rFonts w:ascii="Calibri" w:eastAsia="Calibri" w:hAnsi="Calibri" w:cs="Times New Roman"/>
    </w:rPr>
  </w:style>
  <w:style w:type="character" w:styleId="CommentReference">
    <w:name w:val="annotation reference"/>
    <w:basedOn w:val="DefaultParagraphFont"/>
    <w:uiPriority w:val="99"/>
    <w:semiHidden/>
    <w:unhideWhenUsed/>
    <w:rsid w:val="006D7279"/>
    <w:rPr>
      <w:sz w:val="16"/>
      <w:szCs w:val="16"/>
    </w:rPr>
  </w:style>
  <w:style w:type="paragraph" w:styleId="CommentText">
    <w:name w:val="annotation text"/>
    <w:basedOn w:val="Normal"/>
    <w:link w:val="CommentTextChar"/>
    <w:uiPriority w:val="99"/>
    <w:semiHidden/>
    <w:unhideWhenUsed/>
    <w:rsid w:val="006D7279"/>
    <w:pPr>
      <w:spacing w:line="240" w:lineRule="auto"/>
    </w:pPr>
    <w:rPr>
      <w:szCs w:val="20"/>
    </w:rPr>
  </w:style>
  <w:style w:type="character" w:customStyle="1" w:styleId="CommentTextChar">
    <w:name w:val="Comment Text Char"/>
    <w:basedOn w:val="DefaultParagraphFont"/>
    <w:link w:val="CommentText"/>
    <w:uiPriority w:val="99"/>
    <w:semiHidden/>
    <w:rsid w:val="006D72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7279"/>
    <w:rPr>
      <w:b/>
      <w:bCs/>
    </w:rPr>
  </w:style>
  <w:style w:type="character" w:customStyle="1" w:styleId="CommentSubjectChar">
    <w:name w:val="Comment Subject Char"/>
    <w:basedOn w:val="CommentTextChar"/>
    <w:link w:val="CommentSubject"/>
    <w:uiPriority w:val="99"/>
    <w:semiHidden/>
    <w:rsid w:val="006D727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D7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79"/>
    <w:rPr>
      <w:rFonts w:ascii="Tahoma" w:eastAsia="Calibri" w:hAnsi="Tahoma" w:cs="Tahoma"/>
      <w:sz w:val="16"/>
      <w:szCs w:val="16"/>
    </w:rPr>
  </w:style>
  <w:style w:type="character" w:customStyle="1" w:styleId="FootnoteCharacters">
    <w:name w:val="Footnote Characters"/>
    <w:basedOn w:val="DefaultParagraphFont"/>
    <w:rsid w:val="00113F3F"/>
    <w:rPr>
      <w:sz w:val="20"/>
      <w:vertAlign w:val="superscript"/>
    </w:rPr>
  </w:style>
  <w:style w:type="paragraph" w:styleId="Header">
    <w:name w:val="header"/>
    <w:basedOn w:val="Normal"/>
    <w:link w:val="HeaderChar"/>
    <w:uiPriority w:val="99"/>
    <w:unhideWhenUsed/>
    <w:rsid w:val="000E7CE1"/>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7CE1"/>
    <w:rPr>
      <w:rFonts w:ascii="Calibri" w:eastAsia="Calibri" w:hAnsi="Calibri" w:cs="Times New Roman"/>
    </w:rPr>
  </w:style>
  <w:style w:type="paragraph" w:styleId="Footer">
    <w:name w:val="footer"/>
    <w:basedOn w:val="Normal"/>
    <w:link w:val="FooterChar"/>
    <w:uiPriority w:val="99"/>
    <w:semiHidden/>
    <w:unhideWhenUsed/>
    <w:rsid w:val="000E7CE1"/>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0E7CE1"/>
    <w:rPr>
      <w:rFonts w:ascii="Calibri" w:eastAsia="Calibri" w:hAnsi="Calibri" w:cs="Times New Roman"/>
    </w:rPr>
  </w:style>
  <w:style w:type="paragraph" w:styleId="EndnoteText">
    <w:name w:val="endnote text"/>
    <w:basedOn w:val="Normal"/>
    <w:link w:val="EndnoteTextChar"/>
    <w:uiPriority w:val="99"/>
    <w:semiHidden/>
    <w:unhideWhenUsed/>
    <w:rsid w:val="003A272C"/>
    <w:pPr>
      <w:spacing w:after="0" w:line="240" w:lineRule="auto"/>
    </w:pPr>
    <w:rPr>
      <w:sz w:val="24"/>
      <w:szCs w:val="24"/>
    </w:rPr>
  </w:style>
  <w:style w:type="character" w:customStyle="1" w:styleId="EndnoteTextChar">
    <w:name w:val="Endnote Text Char"/>
    <w:basedOn w:val="DefaultParagraphFont"/>
    <w:link w:val="EndnoteText"/>
    <w:uiPriority w:val="99"/>
    <w:semiHidden/>
    <w:rsid w:val="003A272C"/>
    <w:rPr>
      <w:rFonts w:ascii="Calibri" w:eastAsia="Calibri" w:hAnsi="Calibri" w:cs="Times New Roman"/>
      <w:sz w:val="24"/>
      <w:szCs w:val="24"/>
    </w:rPr>
  </w:style>
  <w:style w:type="character" w:styleId="EndnoteReference">
    <w:name w:val="endnote reference"/>
    <w:basedOn w:val="DefaultParagraphFont"/>
    <w:uiPriority w:val="99"/>
    <w:semiHidden/>
    <w:unhideWhenUsed/>
    <w:rsid w:val="003A272C"/>
    <w:rPr>
      <w:vertAlign w:val="superscript"/>
    </w:rPr>
  </w:style>
  <w:style w:type="paragraph" w:styleId="NormalWeb">
    <w:name w:val="Normal (Web)"/>
    <w:basedOn w:val="Normal"/>
    <w:uiPriority w:val="99"/>
    <w:unhideWhenUsed/>
    <w:rsid w:val="00815FCA"/>
    <w:pPr>
      <w:spacing w:before="100" w:beforeAutospacing="1" w:after="100" w:afterAutospacing="1" w:line="240" w:lineRule="auto"/>
    </w:pPr>
    <w:rPr>
      <w:rFonts w:ascii="Times" w:eastAsiaTheme="minorHAnsi" w:hAnsi="Times"/>
      <w:szCs w:val="20"/>
      <w:lang w:val="en-US"/>
    </w:rPr>
  </w:style>
  <w:style w:type="character" w:customStyle="1" w:styleId="Heading6Char">
    <w:name w:val="Heading 6 Char"/>
    <w:basedOn w:val="DefaultParagraphFont"/>
    <w:link w:val="Heading6"/>
    <w:uiPriority w:val="9"/>
    <w:rsid w:val="00881D1D"/>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
    <w:semiHidden/>
    <w:rsid w:val="00881D1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3C3698"/>
    <w:rPr>
      <w:b/>
      <w:bCs/>
    </w:rPr>
  </w:style>
  <w:style w:type="paragraph" w:styleId="DocumentMap">
    <w:name w:val="Document Map"/>
    <w:basedOn w:val="Normal"/>
    <w:link w:val="DocumentMapChar"/>
    <w:uiPriority w:val="99"/>
    <w:semiHidden/>
    <w:unhideWhenUsed/>
    <w:rsid w:val="00CF364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3648"/>
    <w:rPr>
      <w:rFonts w:ascii="Tahoma" w:eastAsia="Calibri" w:hAnsi="Tahoma" w:cs="Tahoma"/>
      <w:sz w:val="16"/>
      <w:szCs w:val="16"/>
    </w:rPr>
  </w:style>
  <w:style w:type="character" w:customStyle="1" w:styleId="Heading1Char">
    <w:name w:val="Heading 1 Char"/>
    <w:basedOn w:val="DefaultParagraphFont"/>
    <w:link w:val="Heading1"/>
    <w:uiPriority w:val="9"/>
    <w:rsid w:val="003B3309"/>
    <w:rPr>
      <w:rFonts w:asciiTheme="majorHAnsi" w:eastAsiaTheme="majorEastAsia" w:hAnsiTheme="majorHAnsi" w:cstheme="majorBidi"/>
      <w:b/>
      <w:bCs/>
      <w:color w:val="365F91" w:themeColor="accent1" w:themeShade="BF"/>
      <w:sz w:val="28"/>
      <w:szCs w:val="28"/>
    </w:rPr>
  </w:style>
  <w:style w:type="character" w:customStyle="1" w:styleId="ListParagraphChar1">
    <w:name w:val="List Paragraph Char1"/>
    <w:aliases w:val="Footnote Char1,List Paragraph2 Char"/>
    <w:locked/>
    <w:rsid w:val="00E047EE"/>
    <w:rPr>
      <w:rFonts w:ascii="Verdana" w:eastAsia="Calibri" w:hAnsi="Verdana" w:cs="Times New Roman"/>
      <w:sz w:val="20"/>
      <w:szCs w:val="20"/>
      <w:lang w:val="es-MX"/>
    </w:rPr>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Car Char,FA Fu Car Char,FA Fu Car Car Char,Ca Char1"/>
    <w:locked/>
    <w:rsid w:val="003A3F97"/>
    <w:rPr>
      <w:rFonts w:ascii="Verdana" w:eastAsia="Calibri" w:hAnsi="Verdana" w:cs="Times New Roman"/>
      <w:sz w:val="16"/>
      <w:szCs w:val="16"/>
      <w:lang w:val="es-ES_tradnl" w:eastAsia="es-ES"/>
    </w:rPr>
  </w:style>
  <w:style w:type="character" w:customStyle="1" w:styleId="ListParagraphChar">
    <w:name w:val="List Paragraph Char"/>
    <w:aliases w:val="Footnote Char,List Paragraph2 Char1"/>
    <w:basedOn w:val="DefaultParagraphFont"/>
    <w:uiPriority w:val="34"/>
    <w:rsid w:val="00235FE6"/>
    <w:rPr>
      <w:rFonts w:ascii="Calibri" w:eastAsia="Calibri" w:hAnsi="Calibri" w:cs="Times New Roman"/>
    </w:rPr>
  </w:style>
  <w:style w:type="character" w:customStyle="1" w:styleId="PrrafodeSentenciaChar">
    <w:name w:val="*. Párrafo de Sentencia Char"/>
    <w:basedOn w:val="DefaultParagraphFont"/>
    <w:link w:val="PrrafodeSentencia"/>
    <w:locked/>
    <w:rsid w:val="00973883"/>
    <w:rPr>
      <w:rFonts w:ascii="Verdana" w:eastAsia="Batang" w:hAnsi="Verdana" w:cs="Times New Roman"/>
      <w:spacing w:val="-4"/>
      <w:sz w:val="20"/>
      <w:lang w:eastAsia="es-MX"/>
    </w:rPr>
  </w:style>
  <w:style w:type="paragraph" w:customStyle="1" w:styleId="PrrafodeSentencia">
    <w:name w:val="*. Párrafo de Sentencia"/>
    <w:basedOn w:val="Normal"/>
    <w:next w:val="Normal"/>
    <w:link w:val="PrrafodeSentenciaChar"/>
    <w:qFormat/>
    <w:rsid w:val="00973883"/>
    <w:pPr>
      <w:numPr>
        <w:numId w:val="15"/>
      </w:numPr>
      <w:tabs>
        <w:tab w:val="left" w:pos="567"/>
      </w:tabs>
      <w:spacing w:after="0" w:line="240" w:lineRule="auto"/>
      <w:ind w:left="0" w:firstLine="0"/>
      <w:jc w:val="both"/>
    </w:pPr>
    <w:rPr>
      <w:rFonts w:eastAsia="Batang"/>
      <w:spacing w:val="-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6328">
      <w:bodyDiv w:val="1"/>
      <w:marLeft w:val="0"/>
      <w:marRight w:val="0"/>
      <w:marTop w:val="0"/>
      <w:marBottom w:val="0"/>
      <w:divBdr>
        <w:top w:val="none" w:sz="0" w:space="0" w:color="auto"/>
        <w:left w:val="none" w:sz="0" w:space="0" w:color="auto"/>
        <w:bottom w:val="none" w:sz="0" w:space="0" w:color="auto"/>
        <w:right w:val="none" w:sz="0" w:space="0" w:color="auto"/>
      </w:divBdr>
      <w:divsChild>
        <w:div w:id="1250583423">
          <w:marLeft w:val="0"/>
          <w:marRight w:val="0"/>
          <w:marTop w:val="0"/>
          <w:marBottom w:val="0"/>
          <w:divBdr>
            <w:top w:val="none" w:sz="0" w:space="0" w:color="auto"/>
            <w:left w:val="none" w:sz="0" w:space="0" w:color="auto"/>
            <w:bottom w:val="none" w:sz="0" w:space="0" w:color="auto"/>
            <w:right w:val="none" w:sz="0" w:space="0" w:color="auto"/>
          </w:divBdr>
          <w:divsChild>
            <w:div w:id="2064908687">
              <w:marLeft w:val="0"/>
              <w:marRight w:val="0"/>
              <w:marTop w:val="0"/>
              <w:marBottom w:val="0"/>
              <w:divBdr>
                <w:top w:val="none" w:sz="0" w:space="0" w:color="auto"/>
                <w:left w:val="none" w:sz="0" w:space="0" w:color="auto"/>
                <w:bottom w:val="none" w:sz="0" w:space="0" w:color="auto"/>
                <w:right w:val="none" w:sz="0" w:space="0" w:color="auto"/>
              </w:divBdr>
              <w:divsChild>
                <w:div w:id="16727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4495">
      <w:bodyDiv w:val="1"/>
      <w:marLeft w:val="0"/>
      <w:marRight w:val="0"/>
      <w:marTop w:val="0"/>
      <w:marBottom w:val="0"/>
      <w:divBdr>
        <w:top w:val="none" w:sz="0" w:space="0" w:color="auto"/>
        <w:left w:val="none" w:sz="0" w:space="0" w:color="auto"/>
        <w:bottom w:val="none" w:sz="0" w:space="0" w:color="auto"/>
        <w:right w:val="none" w:sz="0" w:space="0" w:color="auto"/>
      </w:divBdr>
      <w:divsChild>
        <w:div w:id="555319252">
          <w:marLeft w:val="0"/>
          <w:marRight w:val="0"/>
          <w:marTop w:val="0"/>
          <w:marBottom w:val="0"/>
          <w:divBdr>
            <w:top w:val="none" w:sz="0" w:space="0" w:color="auto"/>
            <w:left w:val="none" w:sz="0" w:space="0" w:color="auto"/>
            <w:bottom w:val="none" w:sz="0" w:space="0" w:color="auto"/>
            <w:right w:val="none" w:sz="0" w:space="0" w:color="auto"/>
          </w:divBdr>
          <w:divsChild>
            <w:div w:id="69087066">
              <w:marLeft w:val="0"/>
              <w:marRight w:val="0"/>
              <w:marTop w:val="0"/>
              <w:marBottom w:val="0"/>
              <w:divBdr>
                <w:top w:val="none" w:sz="0" w:space="0" w:color="auto"/>
                <w:left w:val="none" w:sz="0" w:space="0" w:color="auto"/>
                <w:bottom w:val="none" w:sz="0" w:space="0" w:color="auto"/>
                <w:right w:val="none" w:sz="0" w:space="0" w:color="auto"/>
              </w:divBdr>
              <w:divsChild>
                <w:div w:id="11794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97654">
      <w:bodyDiv w:val="1"/>
      <w:marLeft w:val="0"/>
      <w:marRight w:val="0"/>
      <w:marTop w:val="0"/>
      <w:marBottom w:val="0"/>
      <w:divBdr>
        <w:top w:val="none" w:sz="0" w:space="0" w:color="auto"/>
        <w:left w:val="none" w:sz="0" w:space="0" w:color="auto"/>
        <w:bottom w:val="none" w:sz="0" w:space="0" w:color="auto"/>
        <w:right w:val="none" w:sz="0" w:space="0" w:color="auto"/>
      </w:divBdr>
      <w:divsChild>
        <w:div w:id="1982225922">
          <w:marLeft w:val="0"/>
          <w:marRight w:val="0"/>
          <w:marTop w:val="0"/>
          <w:marBottom w:val="0"/>
          <w:divBdr>
            <w:top w:val="none" w:sz="0" w:space="0" w:color="auto"/>
            <w:left w:val="none" w:sz="0" w:space="0" w:color="auto"/>
            <w:bottom w:val="none" w:sz="0" w:space="0" w:color="auto"/>
            <w:right w:val="none" w:sz="0" w:space="0" w:color="auto"/>
          </w:divBdr>
          <w:divsChild>
            <w:div w:id="1852721380">
              <w:marLeft w:val="0"/>
              <w:marRight w:val="0"/>
              <w:marTop w:val="0"/>
              <w:marBottom w:val="0"/>
              <w:divBdr>
                <w:top w:val="none" w:sz="0" w:space="0" w:color="auto"/>
                <w:left w:val="none" w:sz="0" w:space="0" w:color="auto"/>
                <w:bottom w:val="none" w:sz="0" w:space="0" w:color="auto"/>
                <w:right w:val="none" w:sz="0" w:space="0" w:color="auto"/>
              </w:divBdr>
              <w:divsChild>
                <w:div w:id="18413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0942">
      <w:bodyDiv w:val="1"/>
      <w:marLeft w:val="0"/>
      <w:marRight w:val="0"/>
      <w:marTop w:val="0"/>
      <w:marBottom w:val="0"/>
      <w:divBdr>
        <w:top w:val="none" w:sz="0" w:space="0" w:color="auto"/>
        <w:left w:val="none" w:sz="0" w:space="0" w:color="auto"/>
        <w:bottom w:val="none" w:sz="0" w:space="0" w:color="auto"/>
        <w:right w:val="none" w:sz="0" w:space="0" w:color="auto"/>
      </w:divBdr>
    </w:div>
    <w:div w:id="546376733">
      <w:bodyDiv w:val="1"/>
      <w:marLeft w:val="0"/>
      <w:marRight w:val="0"/>
      <w:marTop w:val="0"/>
      <w:marBottom w:val="0"/>
      <w:divBdr>
        <w:top w:val="none" w:sz="0" w:space="0" w:color="auto"/>
        <w:left w:val="none" w:sz="0" w:space="0" w:color="auto"/>
        <w:bottom w:val="none" w:sz="0" w:space="0" w:color="auto"/>
        <w:right w:val="none" w:sz="0" w:space="0" w:color="auto"/>
      </w:divBdr>
    </w:div>
    <w:div w:id="1027177473">
      <w:bodyDiv w:val="1"/>
      <w:marLeft w:val="0"/>
      <w:marRight w:val="0"/>
      <w:marTop w:val="0"/>
      <w:marBottom w:val="0"/>
      <w:divBdr>
        <w:top w:val="none" w:sz="0" w:space="0" w:color="auto"/>
        <w:left w:val="none" w:sz="0" w:space="0" w:color="auto"/>
        <w:bottom w:val="none" w:sz="0" w:space="0" w:color="auto"/>
        <w:right w:val="none" w:sz="0" w:space="0" w:color="auto"/>
      </w:divBdr>
    </w:div>
    <w:div w:id="1048602361">
      <w:bodyDiv w:val="1"/>
      <w:marLeft w:val="0"/>
      <w:marRight w:val="0"/>
      <w:marTop w:val="0"/>
      <w:marBottom w:val="0"/>
      <w:divBdr>
        <w:top w:val="none" w:sz="0" w:space="0" w:color="auto"/>
        <w:left w:val="none" w:sz="0" w:space="0" w:color="auto"/>
        <w:bottom w:val="none" w:sz="0" w:space="0" w:color="auto"/>
        <w:right w:val="none" w:sz="0" w:space="0" w:color="auto"/>
      </w:divBdr>
      <w:divsChild>
        <w:div w:id="20133747">
          <w:marLeft w:val="0"/>
          <w:marRight w:val="0"/>
          <w:marTop w:val="0"/>
          <w:marBottom w:val="0"/>
          <w:divBdr>
            <w:top w:val="none" w:sz="0" w:space="0" w:color="auto"/>
            <w:left w:val="none" w:sz="0" w:space="0" w:color="auto"/>
            <w:bottom w:val="none" w:sz="0" w:space="0" w:color="auto"/>
            <w:right w:val="none" w:sz="0" w:space="0" w:color="auto"/>
          </w:divBdr>
          <w:divsChild>
            <w:div w:id="1455177399">
              <w:marLeft w:val="0"/>
              <w:marRight w:val="0"/>
              <w:marTop w:val="0"/>
              <w:marBottom w:val="0"/>
              <w:divBdr>
                <w:top w:val="none" w:sz="0" w:space="0" w:color="auto"/>
                <w:left w:val="none" w:sz="0" w:space="0" w:color="auto"/>
                <w:bottom w:val="none" w:sz="0" w:space="0" w:color="auto"/>
                <w:right w:val="none" w:sz="0" w:space="0" w:color="auto"/>
              </w:divBdr>
              <w:divsChild>
                <w:div w:id="15064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7072">
      <w:bodyDiv w:val="1"/>
      <w:marLeft w:val="0"/>
      <w:marRight w:val="0"/>
      <w:marTop w:val="0"/>
      <w:marBottom w:val="0"/>
      <w:divBdr>
        <w:top w:val="none" w:sz="0" w:space="0" w:color="auto"/>
        <w:left w:val="none" w:sz="0" w:space="0" w:color="auto"/>
        <w:bottom w:val="none" w:sz="0" w:space="0" w:color="auto"/>
        <w:right w:val="none" w:sz="0" w:space="0" w:color="auto"/>
      </w:divBdr>
      <w:divsChild>
        <w:div w:id="970474830">
          <w:marLeft w:val="0"/>
          <w:marRight w:val="0"/>
          <w:marTop w:val="0"/>
          <w:marBottom w:val="0"/>
          <w:divBdr>
            <w:top w:val="none" w:sz="0" w:space="0" w:color="auto"/>
            <w:left w:val="none" w:sz="0" w:space="0" w:color="auto"/>
            <w:bottom w:val="none" w:sz="0" w:space="0" w:color="auto"/>
            <w:right w:val="none" w:sz="0" w:space="0" w:color="auto"/>
          </w:divBdr>
          <w:divsChild>
            <w:div w:id="200478325">
              <w:marLeft w:val="0"/>
              <w:marRight w:val="0"/>
              <w:marTop w:val="0"/>
              <w:marBottom w:val="0"/>
              <w:divBdr>
                <w:top w:val="none" w:sz="0" w:space="0" w:color="auto"/>
                <w:left w:val="none" w:sz="0" w:space="0" w:color="auto"/>
                <w:bottom w:val="none" w:sz="0" w:space="0" w:color="auto"/>
                <w:right w:val="none" w:sz="0" w:space="0" w:color="auto"/>
              </w:divBdr>
              <w:divsChild>
                <w:div w:id="13967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5083">
      <w:bodyDiv w:val="1"/>
      <w:marLeft w:val="0"/>
      <w:marRight w:val="0"/>
      <w:marTop w:val="0"/>
      <w:marBottom w:val="0"/>
      <w:divBdr>
        <w:top w:val="none" w:sz="0" w:space="0" w:color="auto"/>
        <w:left w:val="none" w:sz="0" w:space="0" w:color="auto"/>
        <w:bottom w:val="none" w:sz="0" w:space="0" w:color="auto"/>
        <w:right w:val="none" w:sz="0" w:space="0" w:color="auto"/>
      </w:divBdr>
      <w:divsChild>
        <w:div w:id="1727223844">
          <w:marLeft w:val="0"/>
          <w:marRight w:val="0"/>
          <w:marTop w:val="0"/>
          <w:marBottom w:val="0"/>
          <w:divBdr>
            <w:top w:val="none" w:sz="0" w:space="0" w:color="auto"/>
            <w:left w:val="none" w:sz="0" w:space="0" w:color="auto"/>
            <w:bottom w:val="none" w:sz="0" w:space="0" w:color="auto"/>
            <w:right w:val="none" w:sz="0" w:space="0" w:color="auto"/>
          </w:divBdr>
          <w:divsChild>
            <w:div w:id="2135754178">
              <w:marLeft w:val="0"/>
              <w:marRight w:val="0"/>
              <w:marTop w:val="0"/>
              <w:marBottom w:val="0"/>
              <w:divBdr>
                <w:top w:val="none" w:sz="0" w:space="0" w:color="auto"/>
                <w:left w:val="none" w:sz="0" w:space="0" w:color="auto"/>
                <w:bottom w:val="none" w:sz="0" w:space="0" w:color="auto"/>
                <w:right w:val="none" w:sz="0" w:space="0" w:color="auto"/>
              </w:divBdr>
              <w:divsChild>
                <w:div w:id="17955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1687">
      <w:bodyDiv w:val="1"/>
      <w:marLeft w:val="0"/>
      <w:marRight w:val="0"/>
      <w:marTop w:val="0"/>
      <w:marBottom w:val="0"/>
      <w:divBdr>
        <w:top w:val="none" w:sz="0" w:space="0" w:color="auto"/>
        <w:left w:val="none" w:sz="0" w:space="0" w:color="auto"/>
        <w:bottom w:val="none" w:sz="0" w:space="0" w:color="auto"/>
        <w:right w:val="none" w:sz="0" w:space="0" w:color="auto"/>
      </w:divBdr>
      <w:divsChild>
        <w:div w:id="745960406">
          <w:marLeft w:val="0"/>
          <w:marRight w:val="0"/>
          <w:marTop w:val="0"/>
          <w:marBottom w:val="0"/>
          <w:divBdr>
            <w:top w:val="none" w:sz="0" w:space="0" w:color="auto"/>
            <w:left w:val="none" w:sz="0" w:space="0" w:color="auto"/>
            <w:bottom w:val="none" w:sz="0" w:space="0" w:color="auto"/>
            <w:right w:val="none" w:sz="0" w:space="0" w:color="auto"/>
          </w:divBdr>
          <w:divsChild>
            <w:div w:id="592591750">
              <w:marLeft w:val="0"/>
              <w:marRight w:val="0"/>
              <w:marTop w:val="0"/>
              <w:marBottom w:val="0"/>
              <w:divBdr>
                <w:top w:val="none" w:sz="0" w:space="0" w:color="auto"/>
                <w:left w:val="none" w:sz="0" w:space="0" w:color="auto"/>
                <w:bottom w:val="none" w:sz="0" w:space="0" w:color="auto"/>
                <w:right w:val="none" w:sz="0" w:space="0" w:color="auto"/>
              </w:divBdr>
              <w:divsChild>
                <w:div w:id="16971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8304">
      <w:bodyDiv w:val="1"/>
      <w:marLeft w:val="0"/>
      <w:marRight w:val="0"/>
      <w:marTop w:val="0"/>
      <w:marBottom w:val="0"/>
      <w:divBdr>
        <w:top w:val="none" w:sz="0" w:space="0" w:color="auto"/>
        <w:left w:val="none" w:sz="0" w:space="0" w:color="auto"/>
        <w:bottom w:val="none" w:sz="0" w:space="0" w:color="auto"/>
        <w:right w:val="none" w:sz="0" w:space="0" w:color="auto"/>
      </w:divBdr>
      <w:divsChild>
        <w:div w:id="792484219">
          <w:marLeft w:val="0"/>
          <w:marRight w:val="0"/>
          <w:marTop w:val="0"/>
          <w:marBottom w:val="0"/>
          <w:divBdr>
            <w:top w:val="none" w:sz="0" w:space="0" w:color="auto"/>
            <w:left w:val="none" w:sz="0" w:space="0" w:color="auto"/>
            <w:bottom w:val="none" w:sz="0" w:space="0" w:color="auto"/>
            <w:right w:val="none" w:sz="0" w:space="0" w:color="auto"/>
          </w:divBdr>
          <w:divsChild>
            <w:div w:id="65229874">
              <w:marLeft w:val="0"/>
              <w:marRight w:val="0"/>
              <w:marTop w:val="0"/>
              <w:marBottom w:val="0"/>
              <w:divBdr>
                <w:top w:val="none" w:sz="0" w:space="0" w:color="auto"/>
                <w:left w:val="none" w:sz="0" w:space="0" w:color="auto"/>
                <w:bottom w:val="none" w:sz="0" w:space="0" w:color="auto"/>
                <w:right w:val="none" w:sz="0" w:space="0" w:color="auto"/>
              </w:divBdr>
              <w:divsChild>
                <w:div w:id="1671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B73C3-D72D-4582-B939-30C677AA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2881</Words>
  <Characters>15847</Characters>
  <Application>Microsoft Office Word</Application>
  <DocSecurity>0</DocSecurity>
  <Lines>132</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Jairo Guadamuz</cp:lastModifiedBy>
  <cp:revision>7</cp:revision>
  <cp:lastPrinted>2016-09-14T22:19:00Z</cp:lastPrinted>
  <dcterms:created xsi:type="dcterms:W3CDTF">2016-09-14T16:52:00Z</dcterms:created>
  <dcterms:modified xsi:type="dcterms:W3CDTF">2016-09-14T22:19:00Z</dcterms:modified>
</cp:coreProperties>
</file>