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r w:rsidRPr="00BE133F">
        <w:rPr>
          <w:rFonts w:ascii="Verdana" w:eastAsia="Times New Roman" w:hAnsi="Verdana" w:cs="Verdana"/>
          <w:b/>
          <w:bCs/>
          <w:caps/>
          <w:snapToGrid w:val="0"/>
          <w:sz w:val="20"/>
          <w:szCs w:val="20"/>
          <w:lang w:eastAsia="es-ES"/>
        </w:rPr>
        <w:t>Corte Interamericana de Derechos Humanos</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spacing w:after="0" w:line="240" w:lineRule="auto"/>
        <w:jc w:val="center"/>
        <w:rPr>
          <w:rFonts w:ascii="Verdana" w:hAnsi="Verdana"/>
          <w:b/>
          <w:smallCaps/>
          <w:sz w:val="20"/>
          <w:szCs w:val="20"/>
        </w:rPr>
      </w:pPr>
      <w:bookmarkStart w:id="0" w:name="OLE_LINK1"/>
      <w:bookmarkStart w:id="1" w:name="OLE_LINK2"/>
      <w:r w:rsidRPr="00BE133F">
        <w:rPr>
          <w:rFonts w:ascii="Verdana" w:eastAsia="MS Mincho" w:hAnsi="Verdana"/>
          <w:b/>
          <w:sz w:val="20"/>
          <w:szCs w:val="20"/>
        </w:rPr>
        <w:t xml:space="preserve">CASO </w:t>
      </w:r>
      <w:r w:rsidR="00680AED">
        <w:rPr>
          <w:rFonts w:ascii="Verdana" w:eastAsia="MS Mincho" w:hAnsi="Verdana"/>
          <w:b/>
          <w:sz w:val="20"/>
          <w:szCs w:val="20"/>
        </w:rPr>
        <w:t>QUISPIALAYA VILCAPOMA</w:t>
      </w:r>
      <w:r w:rsidRPr="00BE133F">
        <w:rPr>
          <w:rFonts w:ascii="Verdana" w:eastAsia="MS Mincho" w:hAnsi="Verdana"/>
          <w:b/>
          <w:sz w:val="20"/>
          <w:szCs w:val="20"/>
        </w:rPr>
        <w:t xml:space="preserve"> </w:t>
      </w:r>
      <w:r w:rsidRPr="00BE133F">
        <w:rPr>
          <w:rFonts w:ascii="Verdana" w:eastAsia="MS Mincho" w:hAnsi="Verdana"/>
          <w:b/>
          <w:i/>
          <w:sz w:val="20"/>
          <w:szCs w:val="20"/>
        </w:rPr>
        <w:t>VS.</w:t>
      </w:r>
      <w:r w:rsidRPr="00BE133F">
        <w:rPr>
          <w:rFonts w:ascii="Verdana" w:eastAsia="MS Mincho" w:hAnsi="Verdana"/>
          <w:b/>
          <w:sz w:val="20"/>
          <w:szCs w:val="20"/>
        </w:rPr>
        <w:t xml:space="preserve"> PERÚ</w:t>
      </w:r>
    </w:p>
    <w:bookmarkEnd w:id="0"/>
    <w:bookmarkEnd w:id="1"/>
    <w:p w:rsidR="00577097" w:rsidRPr="00BE133F" w:rsidRDefault="00577097" w:rsidP="00577097">
      <w:pPr>
        <w:tabs>
          <w:tab w:val="left" w:pos="0"/>
          <w:tab w:val="left" w:pos="567"/>
        </w:tabs>
        <w:spacing w:after="0" w:line="240" w:lineRule="auto"/>
        <w:jc w:val="center"/>
        <w:rPr>
          <w:rFonts w:ascii="Verdana" w:eastAsia="Times New Roman" w:hAnsi="Verdana" w:cs="Verdana"/>
          <w:b/>
          <w:bCs/>
          <w:snapToGrid w:val="0"/>
          <w:sz w:val="20"/>
          <w:szCs w:val="20"/>
          <w:lang w:eastAsia="es-ES"/>
        </w:rPr>
      </w:pPr>
    </w:p>
    <w:p w:rsidR="00577097" w:rsidRPr="00BE133F" w:rsidRDefault="00577097" w:rsidP="00577097">
      <w:pPr>
        <w:tabs>
          <w:tab w:val="left" w:pos="0"/>
          <w:tab w:val="left" w:pos="567"/>
        </w:tabs>
        <w:spacing w:after="0" w:line="240" w:lineRule="auto"/>
        <w:jc w:val="center"/>
        <w:rPr>
          <w:rFonts w:ascii="Verdana" w:eastAsia="Times New Roman" w:hAnsi="Verdana"/>
          <w:b/>
          <w:bCs/>
          <w:caps/>
          <w:snapToGrid w:val="0"/>
          <w:sz w:val="20"/>
          <w:szCs w:val="20"/>
          <w:lang w:eastAsia="es-ES"/>
        </w:rPr>
      </w:pPr>
      <w:r w:rsidRPr="00BE133F">
        <w:rPr>
          <w:rFonts w:ascii="Verdana" w:eastAsia="Times New Roman" w:hAnsi="Verdana" w:cs="Verdana"/>
          <w:b/>
          <w:bCs/>
          <w:snapToGrid w:val="0"/>
          <w:sz w:val="20"/>
          <w:szCs w:val="20"/>
          <w:lang w:eastAsia="es-ES"/>
        </w:rPr>
        <w:t xml:space="preserve">SENTENCIA DE </w:t>
      </w:r>
      <w:r w:rsidR="00FE5184">
        <w:rPr>
          <w:rFonts w:ascii="Verdana" w:eastAsia="Times New Roman" w:hAnsi="Verdana" w:cs="Verdana"/>
          <w:b/>
          <w:bCs/>
          <w:snapToGrid w:val="0"/>
          <w:sz w:val="20"/>
          <w:szCs w:val="20"/>
          <w:lang w:eastAsia="es-ES"/>
        </w:rPr>
        <w:t xml:space="preserve">21 DE NOVIEMBRE </w:t>
      </w:r>
      <w:r w:rsidRPr="00BE133F">
        <w:rPr>
          <w:rFonts w:ascii="Verdana" w:eastAsia="Times New Roman" w:hAnsi="Verdana" w:cs="Verdana"/>
          <w:b/>
          <w:bCs/>
          <w:snapToGrid w:val="0"/>
          <w:sz w:val="20"/>
          <w:szCs w:val="20"/>
          <w:lang w:eastAsia="es-ES"/>
        </w:rPr>
        <w:t>DE 2016</w:t>
      </w:r>
    </w:p>
    <w:p w:rsidR="00577097" w:rsidRPr="00BE133F" w:rsidRDefault="00577097" w:rsidP="00577097">
      <w:pPr>
        <w:tabs>
          <w:tab w:val="left" w:pos="567"/>
        </w:tabs>
        <w:spacing w:after="0" w:line="240" w:lineRule="auto"/>
        <w:jc w:val="center"/>
        <w:rPr>
          <w:rFonts w:ascii="Verdana" w:eastAsia="Times New Roman" w:hAnsi="Verdana"/>
          <w:sz w:val="20"/>
          <w:szCs w:val="20"/>
        </w:rPr>
      </w:pPr>
      <w:r w:rsidRPr="00BE133F">
        <w:rPr>
          <w:rFonts w:ascii="Verdana" w:eastAsia="Times New Roman" w:hAnsi="Verdana" w:cs="Verdana"/>
          <w:b/>
          <w:bCs/>
          <w:i/>
          <w:iCs/>
          <w:snapToGrid w:val="0"/>
          <w:sz w:val="20"/>
          <w:szCs w:val="20"/>
          <w:lang w:eastAsia="es-ES"/>
        </w:rPr>
        <w:t xml:space="preserve">(Interpretación de la Sentencia de </w:t>
      </w:r>
      <w:r w:rsidRPr="00BE133F">
        <w:rPr>
          <w:rFonts w:ascii="Verdana" w:hAnsi="Verdana"/>
          <w:b/>
          <w:i/>
          <w:sz w:val="20"/>
          <w:szCs w:val="20"/>
        </w:rPr>
        <w:t>Excepciones Preliminares, Fondo, Reparaciones y Costas</w:t>
      </w:r>
      <w:r w:rsidRPr="00BE133F">
        <w:rPr>
          <w:rFonts w:ascii="Verdana" w:hAnsi="Verdana"/>
          <w:b/>
          <w:i/>
          <w:caps/>
          <w:snapToGrid w:val="0"/>
          <w:sz w:val="20"/>
          <w:szCs w:val="20"/>
        </w:rPr>
        <w:t>)</w:t>
      </w:r>
    </w:p>
    <w:p w:rsidR="00577097" w:rsidRPr="00BE133F" w:rsidRDefault="00577097" w:rsidP="00577097">
      <w:pPr>
        <w:tabs>
          <w:tab w:val="left" w:pos="567"/>
          <w:tab w:val="left" w:pos="720"/>
        </w:tabs>
        <w:spacing w:after="0" w:line="240" w:lineRule="auto"/>
        <w:jc w:val="both"/>
        <w:rPr>
          <w:rFonts w:ascii="Verdana" w:eastAsia="Times New Roman" w:hAnsi="Verdana"/>
          <w:sz w:val="20"/>
          <w:szCs w:val="20"/>
        </w:rPr>
      </w:pPr>
    </w:p>
    <w:p w:rsidR="00577097" w:rsidRPr="00BE133F" w:rsidRDefault="00577097" w:rsidP="00577097">
      <w:pPr>
        <w:spacing w:after="0" w:line="240" w:lineRule="auto"/>
        <w:rPr>
          <w:rFonts w:ascii="Verdana" w:hAnsi="Verdana"/>
          <w:sz w:val="20"/>
          <w:szCs w:val="20"/>
          <w:highlight w:val="yellow"/>
        </w:rPr>
      </w:pPr>
    </w:p>
    <w:p w:rsidR="00577097" w:rsidRPr="00BE133F" w:rsidRDefault="00577097" w:rsidP="00577097">
      <w:pPr>
        <w:spacing w:after="0" w:line="240" w:lineRule="auto"/>
        <w:rPr>
          <w:rFonts w:ascii="Verdana" w:hAnsi="Verdana"/>
          <w:sz w:val="20"/>
          <w:szCs w:val="20"/>
          <w:highlight w:val="yellow"/>
        </w:rPr>
      </w:pPr>
      <w:bookmarkStart w:id="2" w:name="_GoBack"/>
      <w:bookmarkEnd w:id="2"/>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 xml:space="preserve">En el caso </w:t>
      </w:r>
      <w:r w:rsidR="00680AED">
        <w:rPr>
          <w:rFonts w:ascii="Verdana" w:hAnsi="Verdana"/>
          <w:sz w:val="20"/>
          <w:szCs w:val="20"/>
        </w:rPr>
        <w:t>Quispialaya Vilcapoma</w:t>
      </w:r>
      <w:r w:rsidR="007D0F6B" w:rsidRPr="00BE133F">
        <w:rPr>
          <w:rFonts w:ascii="Verdana" w:hAnsi="Verdana"/>
          <w:sz w:val="20"/>
          <w:szCs w:val="20"/>
        </w:rPr>
        <w:t xml:space="preserve"> Vs Perú</w:t>
      </w:r>
      <w:r w:rsidRPr="00BE133F">
        <w:rPr>
          <w:rFonts w:ascii="Verdana" w:hAnsi="Verdana"/>
          <w:sz w:val="20"/>
          <w:szCs w:val="20"/>
        </w:rPr>
        <w:t>,</w:t>
      </w:r>
      <w:r w:rsidRPr="00BE133F">
        <w:rPr>
          <w:rFonts w:ascii="Verdana" w:hAnsi="Verdana"/>
          <w:sz w:val="20"/>
          <w:szCs w:val="20"/>
        </w:rPr>
        <w:tab/>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tabs>
          <w:tab w:val="left" w:pos="851"/>
        </w:tabs>
        <w:spacing w:after="0" w:line="240" w:lineRule="auto"/>
        <w:rPr>
          <w:rFonts w:ascii="Verdana" w:hAnsi="Verdana"/>
          <w:sz w:val="20"/>
          <w:szCs w:val="20"/>
        </w:rPr>
      </w:pPr>
      <w:proofErr w:type="gramStart"/>
      <w:r w:rsidRPr="00BE133F">
        <w:rPr>
          <w:rFonts w:ascii="Verdana" w:hAnsi="Verdana"/>
          <w:sz w:val="20"/>
          <w:szCs w:val="20"/>
        </w:rPr>
        <w:t>la</w:t>
      </w:r>
      <w:proofErr w:type="gramEnd"/>
      <w:r w:rsidRPr="00BE133F">
        <w:rPr>
          <w:rFonts w:ascii="Verdana" w:hAnsi="Verdana"/>
          <w:sz w:val="20"/>
          <w:szCs w:val="20"/>
        </w:rPr>
        <w:t xml:space="preserve"> Corte Interamericana de Derechos Humanos (en adelante “la Corte Interamericana”, “la Corte” o “el Tribunal”), integrada por los siguientes jueces</w:t>
      </w:r>
      <w:r w:rsidR="007D0F6B" w:rsidRPr="00BE133F">
        <w:rPr>
          <w:rStyle w:val="FootnoteReference"/>
          <w:rFonts w:ascii="Verdana" w:hAnsi="Verdana"/>
          <w:sz w:val="20"/>
          <w:szCs w:val="20"/>
        </w:rPr>
        <w:footnoteReference w:customMarkFollows="1" w:id="1"/>
        <w:t>*</w:t>
      </w:r>
      <w:r w:rsidRPr="00BE133F">
        <w:rPr>
          <w:rFonts w:ascii="Verdana" w:hAnsi="Verdana"/>
          <w:sz w:val="20"/>
          <w:szCs w:val="20"/>
        </w:rPr>
        <w:t>:</w:t>
      </w:r>
    </w:p>
    <w:p w:rsidR="00577097" w:rsidRPr="00BE133F" w:rsidRDefault="00577097" w:rsidP="00577097">
      <w:pPr>
        <w:tabs>
          <w:tab w:val="left" w:pos="851"/>
        </w:tabs>
        <w:spacing w:after="0" w:line="240" w:lineRule="auto"/>
        <w:rPr>
          <w:rFonts w:ascii="Verdana" w:hAnsi="Verdana"/>
          <w:sz w:val="20"/>
          <w:szCs w:val="20"/>
        </w:rPr>
      </w:pPr>
    </w:p>
    <w:p w:rsidR="00577097" w:rsidRPr="00680AED" w:rsidRDefault="00B00DFC" w:rsidP="00577097">
      <w:pPr>
        <w:spacing w:after="0" w:line="240" w:lineRule="auto"/>
        <w:ind w:firstLine="720"/>
        <w:jc w:val="both"/>
        <w:rPr>
          <w:rFonts w:ascii="Verdana" w:hAnsi="Verdana" w:cs="Verdana"/>
          <w:sz w:val="20"/>
          <w:szCs w:val="20"/>
          <w:lang w:val="pt-BR"/>
        </w:rPr>
      </w:pPr>
      <w:r w:rsidRPr="00680AED">
        <w:rPr>
          <w:rFonts w:ascii="Verdana" w:hAnsi="Verdana" w:cs="Verdana"/>
          <w:sz w:val="20"/>
          <w:szCs w:val="20"/>
          <w:lang w:val="pt-BR"/>
        </w:rPr>
        <w:t>Roberto F. Caldas</w:t>
      </w:r>
      <w:r w:rsidR="00577097" w:rsidRPr="00680AED">
        <w:rPr>
          <w:rFonts w:ascii="Verdana" w:hAnsi="Verdana" w:cs="Verdana"/>
          <w:sz w:val="20"/>
          <w:szCs w:val="20"/>
          <w:lang w:val="pt-BR"/>
        </w:rPr>
        <w:t>, Presidente;</w:t>
      </w:r>
    </w:p>
    <w:p w:rsidR="00577097" w:rsidRPr="00680AED" w:rsidRDefault="00B00DFC" w:rsidP="00577097">
      <w:pPr>
        <w:spacing w:after="0" w:line="240" w:lineRule="auto"/>
        <w:ind w:firstLine="720"/>
        <w:jc w:val="both"/>
        <w:rPr>
          <w:rFonts w:ascii="Verdana" w:hAnsi="Verdana" w:cs="Verdana"/>
          <w:sz w:val="20"/>
          <w:szCs w:val="20"/>
          <w:lang w:val="pt-BR"/>
        </w:rPr>
      </w:pPr>
      <w:r w:rsidRPr="00B00DFC">
        <w:rPr>
          <w:rFonts w:ascii="Verdana" w:hAnsi="Verdana" w:cs="Verdana"/>
          <w:sz w:val="20"/>
          <w:szCs w:val="20"/>
          <w:lang w:val="pt-BR"/>
        </w:rPr>
        <w:t>Eduardo Ferrer Mac-Gregor Poisot</w:t>
      </w:r>
      <w:r w:rsidR="00577097" w:rsidRPr="00680AED">
        <w:rPr>
          <w:rFonts w:ascii="Verdana" w:hAnsi="Verdana" w:cs="Verdana"/>
          <w:sz w:val="20"/>
          <w:szCs w:val="20"/>
          <w:lang w:val="pt-BR"/>
        </w:rPr>
        <w:t>, Vicepresidente;</w:t>
      </w:r>
    </w:p>
    <w:p w:rsidR="00577097" w:rsidRPr="00B00DFC" w:rsidRDefault="00577097" w:rsidP="00577097">
      <w:pPr>
        <w:spacing w:after="0" w:line="240" w:lineRule="auto"/>
        <w:ind w:firstLine="720"/>
        <w:jc w:val="both"/>
        <w:rPr>
          <w:rFonts w:ascii="Verdana" w:hAnsi="Verdana" w:cs="Verdana"/>
          <w:sz w:val="20"/>
          <w:szCs w:val="20"/>
          <w:lang w:val="es-AR"/>
        </w:rPr>
      </w:pPr>
      <w:r w:rsidRPr="00B00DFC">
        <w:rPr>
          <w:rFonts w:ascii="Verdana" w:hAnsi="Verdana" w:cs="Verdana"/>
          <w:sz w:val="20"/>
          <w:szCs w:val="20"/>
          <w:lang w:val="es-AR"/>
        </w:rPr>
        <w:t>Manuel E. Ventura Robles, Juez;</w:t>
      </w:r>
    </w:p>
    <w:p w:rsidR="007D0F6B" w:rsidRPr="00B00DFC" w:rsidRDefault="007D0F6B" w:rsidP="00577097">
      <w:pPr>
        <w:spacing w:after="0" w:line="240" w:lineRule="auto"/>
        <w:ind w:firstLine="720"/>
        <w:jc w:val="both"/>
        <w:rPr>
          <w:rFonts w:ascii="Verdana" w:hAnsi="Verdana" w:cs="Verdana"/>
          <w:sz w:val="20"/>
          <w:szCs w:val="20"/>
          <w:lang w:val="es-AR"/>
        </w:rPr>
      </w:pPr>
      <w:r w:rsidRPr="00B00DFC">
        <w:rPr>
          <w:rFonts w:ascii="Verdana" w:hAnsi="Verdana" w:cs="Verdana"/>
          <w:sz w:val="20"/>
          <w:szCs w:val="20"/>
          <w:lang w:val="es-AR"/>
        </w:rPr>
        <w:t xml:space="preserve">Alberto Pérez </w:t>
      </w:r>
      <w:proofErr w:type="spellStart"/>
      <w:r w:rsidRPr="00B00DFC">
        <w:rPr>
          <w:rFonts w:ascii="Verdana" w:hAnsi="Verdana" w:cs="Verdana"/>
          <w:sz w:val="20"/>
          <w:szCs w:val="20"/>
          <w:lang w:val="es-AR"/>
        </w:rPr>
        <w:t>Pérez</w:t>
      </w:r>
      <w:proofErr w:type="spellEnd"/>
      <w:r w:rsidRPr="00B00DFC">
        <w:rPr>
          <w:rFonts w:ascii="Verdana" w:hAnsi="Verdana" w:cs="Verdana"/>
          <w:sz w:val="20"/>
          <w:szCs w:val="20"/>
          <w:lang w:val="es-AR"/>
        </w:rPr>
        <w:t>, Juez;</w:t>
      </w:r>
    </w:p>
    <w:p w:rsidR="00577097" w:rsidRPr="00B00DFC" w:rsidRDefault="00577097" w:rsidP="00577097">
      <w:pPr>
        <w:spacing w:after="0" w:line="240" w:lineRule="auto"/>
        <w:ind w:firstLine="720"/>
        <w:jc w:val="both"/>
        <w:rPr>
          <w:rFonts w:ascii="Verdana" w:hAnsi="Verdana" w:cs="Verdana"/>
          <w:sz w:val="20"/>
          <w:szCs w:val="20"/>
        </w:rPr>
      </w:pPr>
      <w:r w:rsidRPr="00B00DFC">
        <w:rPr>
          <w:rFonts w:ascii="Verdana" w:hAnsi="Verdana" w:cs="Verdana"/>
          <w:sz w:val="20"/>
          <w:szCs w:val="20"/>
        </w:rPr>
        <w:t>Eduardo Vio Grossi, Juez, y</w:t>
      </w:r>
    </w:p>
    <w:p w:rsidR="00B00DFC" w:rsidRPr="00680AED" w:rsidRDefault="00B00DFC" w:rsidP="00B00DFC">
      <w:pPr>
        <w:spacing w:after="0" w:line="240" w:lineRule="auto"/>
        <w:ind w:firstLine="720"/>
        <w:jc w:val="both"/>
        <w:rPr>
          <w:rFonts w:ascii="Verdana" w:hAnsi="Verdana" w:cs="Verdana"/>
          <w:sz w:val="20"/>
          <w:szCs w:val="20"/>
          <w:lang w:val="es-ES"/>
        </w:rPr>
      </w:pPr>
      <w:r w:rsidRPr="00B00DFC">
        <w:rPr>
          <w:rFonts w:ascii="Verdana" w:hAnsi="Verdana" w:cs="Verdana"/>
          <w:sz w:val="20"/>
          <w:szCs w:val="20"/>
          <w:lang w:val="es-AR"/>
        </w:rPr>
        <w:t>Humberto Antonio Sierra Porto</w:t>
      </w:r>
      <w:r w:rsidR="00577097" w:rsidRPr="00680AED">
        <w:rPr>
          <w:rFonts w:ascii="Verdana" w:hAnsi="Verdana" w:cs="Verdana"/>
          <w:sz w:val="20"/>
          <w:szCs w:val="20"/>
          <w:lang w:val="es-ES"/>
        </w:rPr>
        <w:t>, Juez</w:t>
      </w:r>
    </w:p>
    <w:p w:rsidR="00577097" w:rsidRPr="00E571D7" w:rsidRDefault="00577097" w:rsidP="00577097">
      <w:pPr>
        <w:tabs>
          <w:tab w:val="left" w:pos="851"/>
        </w:tabs>
        <w:spacing w:after="0" w:line="240" w:lineRule="auto"/>
        <w:rPr>
          <w:rFonts w:ascii="Verdana" w:hAnsi="Verdana"/>
          <w:sz w:val="20"/>
          <w:szCs w:val="20"/>
          <w:lang w:val="es-ES"/>
        </w:rPr>
      </w:pPr>
    </w:p>
    <w:p w:rsidR="00577097" w:rsidRPr="00BE133F" w:rsidRDefault="00577097" w:rsidP="00577097">
      <w:pPr>
        <w:tabs>
          <w:tab w:val="left" w:pos="851"/>
        </w:tabs>
        <w:spacing w:after="0" w:line="240" w:lineRule="auto"/>
        <w:rPr>
          <w:rFonts w:ascii="Verdana" w:hAnsi="Verdana"/>
          <w:sz w:val="20"/>
          <w:szCs w:val="20"/>
        </w:rPr>
      </w:pPr>
      <w:proofErr w:type="gramStart"/>
      <w:r w:rsidRPr="00BE133F">
        <w:rPr>
          <w:rFonts w:ascii="Verdana" w:hAnsi="Verdana"/>
          <w:sz w:val="20"/>
          <w:szCs w:val="20"/>
        </w:rPr>
        <w:t>presentes</w:t>
      </w:r>
      <w:proofErr w:type="gramEnd"/>
      <w:r w:rsidRPr="00BE133F">
        <w:rPr>
          <w:rFonts w:ascii="Verdana" w:hAnsi="Verdana"/>
          <w:sz w:val="20"/>
          <w:szCs w:val="20"/>
        </w:rPr>
        <w:t xml:space="preserve"> además, </w:t>
      </w:r>
    </w:p>
    <w:p w:rsidR="00577097" w:rsidRPr="00BE133F" w:rsidRDefault="00577097" w:rsidP="00577097">
      <w:pPr>
        <w:tabs>
          <w:tab w:val="left" w:pos="851"/>
        </w:tabs>
        <w:spacing w:after="0" w:line="240" w:lineRule="auto"/>
        <w:rPr>
          <w:rFonts w:ascii="Verdana" w:hAnsi="Verdana"/>
          <w:sz w:val="20"/>
          <w:szCs w:val="20"/>
        </w:rPr>
      </w:pPr>
    </w:p>
    <w:p w:rsidR="00577097" w:rsidRPr="00BE133F" w:rsidRDefault="00577097" w:rsidP="00577097">
      <w:pPr>
        <w:spacing w:after="0" w:line="240" w:lineRule="auto"/>
        <w:rPr>
          <w:rFonts w:ascii="Verdana" w:hAnsi="Verdana"/>
          <w:sz w:val="20"/>
          <w:szCs w:val="20"/>
        </w:rPr>
      </w:pPr>
      <w:r w:rsidRPr="00BE133F">
        <w:rPr>
          <w:rFonts w:ascii="Verdana" w:hAnsi="Verdana"/>
          <w:sz w:val="20"/>
          <w:szCs w:val="20"/>
        </w:rPr>
        <w:t>Pablo Saavedra Alessandri, Secretario, y</w:t>
      </w:r>
    </w:p>
    <w:p w:rsidR="00577097" w:rsidRPr="00BE133F" w:rsidRDefault="00577097" w:rsidP="00577097">
      <w:pPr>
        <w:tabs>
          <w:tab w:val="left" w:pos="720"/>
          <w:tab w:val="left" w:pos="851"/>
        </w:tabs>
        <w:spacing w:after="0" w:line="240" w:lineRule="auto"/>
        <w:rPr>
          <w:rFonts w:ascii="Verdana" w:hAnsi="Verdana"/>
          <w:sz w:val="20"/>
          <w:szCs w:val="20"/>
        </w:rPr>
      </w:pPr>
      <w:r w:rsidRPr="00BE133F">
        <w:rPr>
          <w:rFonts w:ascii="Verdana" w:hAnsi="Verdana"/>
          <w:sz w:val="20"/>
          <w:szCs w:val="20"/>
        </w:rPr>
        <w:t>Emilia Segares Rodríguez, Secretaria Adjunta,</w:t>
      </w:r>
    </w:p>
    <w:p w:rsidR="00577097" w:rsidRPr="00BE133F" w:rsidRDefault="00577097" w:rsidP="00577097">
      <w:pPr>
        <w:tabs>
          <w:tab w:val="left" w:pos="567"/>
        </w:tabs>
        <w:spacing w:after="0" w:line="240" w:lineRule="auto"/>
        <w:jc w:val="center"/>
        <w:rPr>
          <w:rFonts w:ascii="Verdana" w:eastAsia="Times New Roman" w:hAnsi="Verdana" w:cs="Verdana"/>
          <w:b/>
          <w:bCs/>
          <w:caps/>
          <w:snapToGrid w:val="0"/>
          <w:sz w:val="20"/>
          <w:szCs w:val="20"/>
          <w:lang w:eastAsia="es-ES"/>
        </w:rPr>
      </w:pP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de conformidad con el artículo 67 de la Convención Americana sobre Derechos Humanos (en adelante también “la Convención Americana” o “la Convención”) y el artículo 68 del Reglamento de la Corte (en adelante “el Reglamento”), resuelve las solicitudes de interpretación de la Sentencia de E</w:t>
      </w:r>
      <w:r w:rsidR="0040422A" w:rsidRPr="00BE133F">
        <w:rPr>
          <w:rFonts w:ascii="Verdana" w:hAnsi="Verdana" w:cs="Verdana"/>
          <w:sz w:val="20"/>
          <w:szCs w:val="20"/>
        </w:rPr>
        <w:t>xcepcio</w:t>
      </w:r>
      <w:r w:rsidRPr="00BE133F">
        <w:rPr>
          <w:rFonts w:ascii="Verdana" w:hAnsi="Verdana" w:cs="Verdana"/>
          <w:sz w:val="20"/>
          <w:szCs w:val="20"/>
        </w:rPr>
        <w:t>n</w:t>
      </w:r>
      <w:r w:rsidR="0040422A" w:rsidRPr="00BE133F">
        <w:rPr>
          <w:rFonts w:ascii="Verdana" w:hAnsi="Verdana" w:cs="Verdana"/>
          <w:sz w:val="20"/>
          <w:szCs w:val="20"/>
        </w:rPr>
        <w:t>es</w:t>
      </w:r>
      <w:r w:rsidRPr="00BE133F">
        <w:rPr>
          <w:rFonts w:ascii="Verdana" w:hAnsi="Verdana" w:cs="Verdana"/>
          <w:sz w:val="20"/>
          <w:szCs w:val="20"/>
        </w:rPr>
        <w:t xml:space="preserve"> Preliminar</w:t>
      </w:r>
      <w:r w:rsidR="0040422A" w:rsidRPr="00BE133F">
        <w:rPr>
          <w:rFonts w:ascii="Verdana" w:hAnsi="Verdana" w:cs="Verdana"/>
          <w:sz w:val="20"/>
          <w:szCs w:val="20"/>
        </w:rPr>
        <w:t>es</w:t>
      </w:r>
      <w:r w:rsidRPr="00BE133F">
        <w:rPr>
          <w:rFonts w:ascii="Verdana" w:hAnsi="Verdana" w:cs="Verdana"/>
          <w:sz w:val="20"/>
          <w:szCs w:val="20"/>
        </w:rPr>
        <w:t>, Fo</w:t>
      </w:r>
      <w:r w:rsidRPr="00680AED">
        <w:rPr>
          <w:rFonts w:ascii="Verdana" w:hAnsi="Verdana" w:cs="Verdana"/>
          <w:sz w:val="20"/>
          <w:szCs w:val="20"/>
        </w:rPr>
        <w:t xml:space="preserve">ndo, Reparaciones y Costas emitida por este Tribunal el </w:t>
      </w:r>
      <w:r w:rsidR="0040422A" w:rsidRPr="00680AED">
        <w:rPr>
          <w:rFonts w:ascii="Verdana" w:hAnsi="Verdana" w:cs="Verdana"/>
          <w:sz w:val="20"/>
          <w:szCs w:val="20"/>
        </w:rPr>
        <w:t>2</w:t>
      </w:r>
      <w:r w:rsidR="00680AED" w:rsidRPr="00680AED">
        <w:rPr>
          <w:rFonts w:ascii="Verdana" w:hAnsi="Verdana" w:cs="Verdana"/>
          <w:sz w:val="20"/>
          <w:szCs w:val="20"/>
        </w:rPr>
        <w:t>3</w:t>
      </w:r>
      <w:r w:rsidR="0040422A" w:rsidRPr="00680AED">
        <w:rPr>
          <w:rFonts w:ascii="Verdana" w:hAnsi="Verdana" w:cs="Verdana"/>
          <w:sz w:val="20"/>
          <w:szCs w:val="20"/>
        </w:rPr>
        <w:t xml:space="preserve"> de </w:t>
      </w:r>
      <w:r w:rsidR="00680AED" w:rsidRPr="00680AED">
        <w:rPr>
          <w:rFonts w:ascii="Verdana" w:hAnsi="Verdana" w:cs="Verdana"/>
          <w:sz w:val="20"/>
          <w:szCs w:val="20"/>
        </w:rPr>
        <w:t>noviembre</w:t>
      </w:r>
      <w:r w:rsidR="0040422A" w:rsidRPr="00680AED">
        <w:rPr>
          <w:rFonts w:ascii="Verdana" w:hAnsi="Verdana" w:cs="Verdana"/>
          <w:sz w:val="20"/>
          <w:szCs w:val="20"/>
        </w:rPr>
        <w:t xml:space="preserve"> de 2015</w:t>
      </w:r>
      <w:r w:rsidRPr="00680AED">
        <w:rPr>
          <w:rFonts w:ascii="Verdana" w:hAnsi="Verdana" w:cs="Verdana"/>
          <w:sz w:val="20"/>
          <w:szCs w:val="20"/>
        </w:rPr>
        <w:t xml:space="preserve"> en el presente caso (en adelante también “la Sentencia”), interpuesta el </w:t>
      </w:r>
      <w:r w:rsidR="00680AED" w:rsidRPr="00680AED">
        <w:rPr>
          <w:rFonts w:ascii="Verdana" w:hAnsi="Verdana" w:cs="Verdana"/>
          <w:sz w:val="20"/>
          <w:szCs w:val="20"/>
        </w:rPr>
        <w:t>15</w:t>
      </w:r>
      <w:r w:rsidR="0040422A" w:rsidRPr="00680AED">
        <w:rPr>
          <w:rFonts w:ascii="Verdana" w:hAnsi="Verdana" w:cs="Verdana"/>
          <w:sz w:val="20"/>
          <w:szCs w:val="20"/>
        </w:rPr>
        <w:t xml:space="preserve"> de </w:t>
      </w:r>
      <w:r w:rsidR="00680AED" w:rsidRPr="00680AED">
        <w:rPr>
          <w:rFonts w:ascii="Verdana" w:hAnsi="Verdana" w:cs="Verdana"/>
          <w:sz w:val="20"/>
          <w:szCs w:val="20"/>
        </w:rPr>
        <w:t>marzo</w:t>
      </w:r>
      <w:r w:rsidR="0040422A" w:rsidRPr="00680AED">
        <w:rPr>
          <w:rFonts w:ascii="Verdana" w:hAnsi="Verdana" w:cs="Verdana"/>
          <w:sz w:val="20"/>
          <w:szCs w:val="20"/>
        </w:rPr>
        <w:t xml:space="preserve"> de 201</w:t>
      </w:r>
      <w:r w:rsidR="00680AED" w:rsidRPr="00680AED">
        <w:rPr>
          <w:rFonts w:ascii="Verdana" w:hAnsi="Verdana" w:cs="Verdana"/>
          <w:sz w:val="20"/>
          <w:szCs w:val="20"/>
        </w:rPr>
        <w:t>6</w:t>
      </w:r>
      <w:r w:rsidRPr="00680AED">
        <w:rPr>
          <w:rFonts w:ascii="Verdana" w:hAnsi="Verdana" w:cs="Verdana"/>
          <w:sz w:val="20"/>
          <w:szCs w:val="20"/>
        </w:rPr>
        <w:t xml:space="preserve"> por </w:t>
      </w:r>
      <w:r w:rsidR="0040422A" w:rsidRPr="00BE133F">
        <w:rPr>
          <w:rFonts w:ascii="Verdana" w:hAnsi="Verdana" w:cs="Verdana"/>
          <w:sz w:val="20"/>
          <w:szCs w:val="20"/>
        </w:rPr>
        <w:t>el Estado del Perú</w:t>
      </w:r>
      <w:r w:rsidRPr="00BE133F">
        <w:rPr>
          <w:rFonts w:ascii="Verdana" w:hAnsi="Verdana" w:cs="Verdana"/>
          <w:sz w:val="20"/>
          <w:szCs w:val="20"/>
        </w:rPr>
        <w:t>.</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sz w:val="20"/>
          <w:szCs w:val="20"/>
        </w:rPr>
      </w:pPr>
      <w:r w:rsidRPr="00BE133F">
        <w:rPr>
          <w:rFonts w:ascii="Verdana" w:hAnsi="Verdana" w:cs="Verdana"/>
          <w:sz w:val="20"/>
          <w:szCs w:val="20"/>
        </w:rPr>
        <w:br w:type="page"/>
      </w:r>
      <w:r w:rsidRPr="00BE133F">
        <w:rPr>
          <w:rFonts w:ascii="Verdana" w:eastAsia="Times New Roman" w:hAnsi="Verdana" w:cs="Verdana"/>
          <w:b/>
          <w:bCs/>
          <w:iCs/>
          <w:caps/>
          <w:snapToGrid w:val="0"/>
          <w:sz w:val="20"/>
          <w:szCs w:val="20"/>
          <w:lang w:eastAsia="es-ES"/>
        </w:rPr>
        <w:lastRenderedPageBreak/>
        <w:t>I</w:t>
      </w:r>
    </w:p>
    <w:p w:rsidR="00577097" w:rsidRPr="00BE133F" w:rsidRDefault="00577097" w:rsidP="00577097">
      <w:pPr>
        <w:tabs>
          <w:tab w:val="left" w:pos="567"/>
        </w:tabs>
        <w:autoSpaceDE w:val="0"/>
        <w:autoSpaceDN w:val="0"/>
        <w:adjustRightInd w:val="0"/>
        <w:spacing w:after="0" w:line="240" w:lineRule="auto"/>
        <w:jc w:val="center"/>
        <w:rPr>
          <w:rFonts w:ascii="Verdana" w:eastAsia="Times" w:hAnsi="Verdana"/>
          <w:sz w:val="20"/>
          <w:szCs w:val="20"/>
          <w:lang w:eastAsia="es-ES"/>
        </w:rPr>
      </w:pPr>
      <w:r w:rsidRPr="00BE133F">
        <w:rPr>
          <w:rFonts w:ascii="Verdana" w:hAnsi="Verdana" w:cs="Verdana"/>
          <w:b/>
          <w:bCs/>
          <w:sz w:val="20"/>
          <w:szCs w:val="20"/>
        </w:rPr>
        <w:t>SOLICITUD DE INTERPRETACIÓN Y PROCEDIMIENTO ANTE LA CORTE</w:t>
      </w:r>
    </w:p>
    <w:p w:rsidR="00577097" w:rsidRPr="00BE133F" w:rsidRDefault="00577097" w:rsidP="00577097">
      <w:pPr>
        <w:tabs>
          <w:tab w:val="left" w:pos="567"/>
        </w:tabs>
        <w:spacing w:after="0" w:line="240" w:lineRule="auto"/>
        <w:jc w:val="both"/>
        <w:rPr>
          <w:rFonts w:ascii="Verdana" w:eastAsia="Times"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 xml:space="preserve">El </w:t>
      </w:r>
      <w:r w:rsidR="00BE4E24" w:rsidRPr="00BE133F">
        <w:rPr>
          <w:rFonts w:ascii="Verdana" w:hAnsi="Verdana" w:cs="Verdana"/>
          <w:sz w:val="20"/>
          <w:szCs w:val="20"/>
        </w:rPr>
        <w:t>2</w:t>
      </w:r>
      <w:r w:rsidR="00680AED">
        <w:rPr>
          <w:rFonts w:ascii="Verdana" w:hAnsi="Verdana" w:cs="Verdana"/>
          <w:sz w:val="20"/>
          <w:szCs w:val="20"/>
        </w:rPr>
        <w:t>3</w:t>
      </w:r>
      <w:r w:rsidR="00BE4E24" w:rsidRPr="00BE133F">
        <w:rPr>
          <w:rFonts w:ascii="Verdana" w:hAnsi="Verdana" w:cs="Verdana"/>
          <w:sz w:val="20"/>
          <w:szCs w:val="20"/>
        </w:rPr>
        <w:t xml:space="preserve"> de </w:t>
      </w:r>
      <w:r w:rsidR="00680AED">
        <w:rPr>
          <w:rFonts w:ascii="Verdana" w:hAnsi="Verdana" w:cs="Verdana"/>
          <w:sz w:val="20"/>
          <w:szCs w:val="20"/>
        </w:rPr>
        <w:t>noviembre</w:t>
      </w:r>
      <w:r w:rsidR="00BE4E24" w:rsidRPr="00BE133F">
        <w:rPr>
          <w:rFonts w:ascii="Verdana" w:hAnsi="Verdana" w:cs="Verdana"/>
          <w:sz w:val="20"/>
          <w:szCs w:val="20"/>
        </w:rPr>
        <w:t xml:space="preserve"> de 2015</w:t>
      </w:r>
      <w:r w:rsidRPr="00BE133F">
        <w:rPr>
          <w:rFonts w:ascii="Verdana" w:eastAsia="Times" w:hAnsi="Verdana"/>
          <w:sz w:val="20"/>
          <w:szCs w:val="20"/>
          <w:lang w:val="es-ES_tradnl"/>
        </w:rPr>
        <w:t xml:space="preserve"> la Corte emitió la Sentencia, la cual fue notificada a las partes y a la Comisión Interamericana de </w:t>
      </w:r>
      <w:r w:rsidRPr="00BE133F">
        <w:rPr>
          <w:rFonts w:ascii="Verdana" w:hAnsi="Verdana" w:cs="Verdana"/>
          <w:sz w:val="20"/>
          <w:szCs w:val="20"/>
        </w:rPr>
        <w:t xml:space="preserve">Derechos Humanos (en adelante “la Comisión Interamericana” o “la Comisión”) </w:t>
      </w:r>
      <w:r w:rsidRPr="00BE133F">
        <w:rPr>
          <w:rFonts w:ascii="Verdana" w:eastAsia="Times" w:hAnsi="Verdana"/>
          <w:sz w:val="20"/>
          <w:szCs w:val="20"/>
          <w:lang w:val="es-ES_tradnl"/>
        </w:rPr>
        <w:t xml:space="preserve">el </w:t>
      </w:r>
      <w:r w:rsidR="00680AED">
        <w:rPr>
          <w:rFonts w:ascii="Verdana" w:eastAsia="Times" w:hAnsi="Verdana"/>
          <w:sz w:val="20"/>
          <w:szCs w:val="20"/>
          <w:lang w:val="es-ES_tradnl"/>
        </w:rPr>
        <w:t>16</w:t>
      </w:r>
      <w:r w:rsidR="00BE4E24" w:rsidRPr="00BE133F">
        <w:rPr>
          <w:rFonts w:ascii="Verdana" w:eastAsia="Times" w:hAnsi="Verdana"/>
          <w:sz w:val="20"/>
          <w:szCs w:val="20"/>
          <w:lang w:val="es-ES_tradnl"/>
        </w:rPr>
        <w:t xml:space="preserve"> de </w:t>
      </w:r>
      <w:r w:rsidR="00680AED">
        <w:rPr>
          <w:rFonts w:ascii="Verdana" w:eastAsia="Times" w:hAnsi="Verdana"/>
          <w:sz w:val="20"/>
          <w:szCs w:val="20"/>
          <w:lang w:val="es-ES_tradnl"/>
        </w:rPr>
        <w:t>diciembre</w:t>
      </w:r>
      <w:r w:rsidRPr="00BE133F">
        <w:rPr>
          <w:rFonts w:ascii="Verdana" w:eastAsia="Times" w:hAnsi="Verdana"/>
          <w:sz w:val="20"/>
          <w:szCs w:val="20"/>
          <w:lang w:val="es-ES_tradnl"/>
        </w:rPr>
        <w:t xml:space="preserve"> del mismo año.</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rsidR="00577097" w:rsidRPr="00C941D7"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sidRPr="00C941D7">
        <w:rPr>
          <w:rFonts w:ascii="Verdana" w:hAnsi="Verdana" w:cs="Verdana"/>
          <w:sz w:val="20"/>
          <w:szCs w:val="20"/>
        </w:rPr>
        <w:t xml:space="preserve">El </w:t>
      </w:r>
      <w:r w:rsidR="00BE4E24" w:rsidRPr="00C941D7">
        <w:rPr>
          <w:rFonts w:ascii="Verdana" w:hAnsi="Verdana" w:cs="Verdana"/>
          <w:sz w:val="20"/>
          <w:szCs w:val="20"/>
        </w:rPr>
        <w:t>1</w:t>
      </w:r>
      <w:r w:rsidR="00680AED">
        <w:rPr>
          <w:rFonts w:ascii="Verdana" w:hAnsi="Verdana" w:cs="Verdana"/>
          <w:sz w:val="20"/>
          <w:szCs w:val="20"/>
        </w:rPr>
        <w:t>5</w:t>
      </w:r>
      <w:r w:rsidRPr="00C941D7">
        <w:rPr>
          <w:rFonts w:ascii="Verdana" w:hAnsi="Verdana" w:cs="Verdana"/>
          <w:sz w:val="20"/>
          <w:szCs w:val="20"/>
        </w:rPr>
        <w:t xml:space="preserve"> de </w:t>
      </w:r>
      <w:r w:rsidR="00680AED">
        <w:rPr>
          <w:rFonts w:ascii="Verdana" w:hAnsi="Verdana" w:cs="Verdana"/>
          <w:sz w:val="20"/>
          <w:szCs w:val="20"/>
        </w:rPr>
        <w:t>marzo</w:t>
      </w:r>
      <w:r w:rsidRPr="00C941D7">
        <w:rPr>
          <w:rFonts w:ascii="Verdana" w:hAnsi="Verdana" w:cs="Verdana"/>
          <w:sz w:val="20"/>
          <w:szCs w:val="20"/>
        </w:rPr>
        <w:t xml:space="preserve"> de </w:t>
      </w:r>
      <w:r w:rsidR="00BE4E24" w:rsidRPr="00C941D7">
        <w:rPr>
          <w:rFonts w:ascii="Verdana" w:hAnsi="Verdana" w:cs="Verdana"/>
          <w:sz w:val="20"/>
          <w:szCs w:val="20"/>
        </w:rPr>
        <w:t>2015</w:t>
      </w:r>
      <w:r w:rsidRPr="00C941D7">
        <w:rPr>
          <w:rFonts w:ascii="Verdana" w:hAnsi="Verdana" w:cs="Verdana"/>
          <w:sz w:val="20"/>
          <w:szCs w:val="20"/>
        </w:rPr>
        <w:t xml:space="preserve"> </w:t>
      </w:r>
      <w:r w:rsidR="00BE4E24" w:rsidRPr="00C941D7">
        <w:rPr>
          <w:rFonts w:ascii="Verdana" w:hAnsi="Verdana" w:cs="Verdana"/>
          <w:sz w:val="20"/>
          <w:szCs w:val="20"/>
        </w:rPr>
        <w:t>el</w:t>
      </w:r>
      <w:r w:rsidRPr="00C941D7">
        <w:rPr>
          <w:rFonts w:ascii="Verdana" w:hAnsi="Verdana" w:cs="Verdana"/>
          <w:sz w:val="20"/>
          <w:szCs w:val="20"/>
        </w:rPr>
        <w:t xml:space="preserve"> </w:t>
      </w:r>
      <w:r w:rsidR="00680AED">
        <w:rPr>
          <w:rFonts w:ascii="Verdana" w:hAnsi="Verdana" w:cs="Verdana"/>
          <w:sz w:val="20"/>
          <w:szCs w:val="20"/>
        </w:rPr>
        <w:t xml:space="preserve">Estado del Perú </w:t>
      </w:r>
      <w:r w:rsidRPr="00C941D7">
        <w:rPr>
          <w:rFonts w:ascii="Verdana" w:hAnsi="Verdana" w:cs="Verdana"/>
          <w:sz w:val="20"/>
          <w:szCs w:val="20"/>
        </w:rPr>
        <w:t>present</w:t>
      </w:r>
      <w:r w:rsidR="00CF3F01" w:rsidRPr="00C941D7">
        <w:rPr>
          <w:rFonts w:ascii="Verdana" w:hAnsi="Verdana" w:cs="Verdana"/>
          <w:sz w:val="20"/>
          <w:szCs w:val="20"/>
        </w:rPr>
        <w:t>ó</w:t>
      </w:r>
      <w:r w:rsidRPr="00C941D7">
        <w:rPr>
          <w:rFonts w:ascii="Verdana" w:hAnsi="Verdana" w:cs="Verdana"/>
          <w:sz w:val="20"/>
          <w:szCs w:val="20"/>
        </w:rPr>
        <w:t xml:space="preserve"> </w:t>
      </w:r>
      <w:bookmarkStart w:id="3" w:name="_Ref363085373"/>
      <w:r w:rsidR="00F15834">
        <w:rPr>
          <w:rFonts w:ascii="Verdana" w:eastAsia="Times" w:hAnsi="Verdana"/>
          <w:bCs/>
          <w:sz w:val="20"/>
          <w:szCs w:val="20"/>
        </w:rPr>
        <w:t>dos</w:t>
      </w:r>
      <w:r w:rsidRPr="00C941D7">
        <w:rPr>
          <w:rFonts w:ascii="Verdana" w:eastAsia="Times" w:hAnsi="Verdana"/>
          <w:bCs/>
          <w:sz w:val="20"/>
          <w:szCs w:val="20"/>
        </w:rPr>
        <w:t xml:space="preserve"> solicitud</w:t>
      </w:r>
      <w:r w:rsidR="00F15834">
        <w:rPr>
          <w:rFonts w:ascii="Verdana" w:eastAsia="Times" w:hAnsi="Verdana"/>
          <w:bCs/>
          <w:sz w:val="20"/>
          <w:szCs w:val="20"/>
        </w:rPr>
        <w:t>es</w:t>
      </w:r>
      <w:r w:rsidRPr="00C941D7">
        <w:rPr>
          <w:rFonts w:ascii="Verdana" w:eastAsia="Times" w:hAnsi="Verdana"/>
          <w:bCs/>
          <w:sz w:val="20"/>
          <w:szCs w:val="20"/>
        </w:rPr>
        <w:t xml:space="preserve"> de interpretación de la Sentencia con relación a</w:t>
      </w:r>
      <w:r w:rsidR="003D1781">
        <w:rPr>
          <w:rFonts w:ascii="Verdana" w:eastAsia="Times" w:hAnsi="Verdana"/>
          <w:bCs/>
          <w:sz w:val="20"/>
          <w:szCs w:val="20"/>
        </w:rPr>
        <w:t xml:space="preserve">l </w:t>
      </w:r>
      <w:r w:rsidR="00680AED">
        <w:rPr>
          <w:rFonts w:ascii="Verdana" w:eastAsia="Times" w:hAnsi="Verdana"/>
          <w:bCs/>
          <w:sz w:val="20"/>
          <w:szCs w:val="20"/>
        </w:rPr>
        <w:t xml:space="preserve">punto resolutivo tercero de </w:t>
      </w:r>
      <w:r w:rsidR="003D1781">
        <w:rPr>
          <w:rFonts w:ascii="Verdana" w:eastAsia="Times" w:hAnsi="Verdana"/>
          <w:bCs/>
          <w:sz w:val="20"/>
          <w:szCs w:val="20"/>
        </w:rPr>
        <w:t xml:space="preserve">la </w:t>
      </w:r>
      <w:r w:rsidR="00981FD6">
        <w:rPr>
          <w:rFonts w:ascii="Verdana" w:eastAsia="Times" w:hAnsi="Verdana"/>
          <w:bCs/>
          <w:sz w:val="20"/>
          <w:szCs w:val="20"/>
        </w:rPr>
        <w:t>misma</w:t>
      </w:r>
      <w:r w:rsidR="008D02E3">
        <w:rPr>
          <w:rFonts w:ascii="Verdana" w:eastAsia="Times" w:hAnsi="Verdana"/>
          <w:bCs/>
          <w:sz w:val="20"/>
          <w:szCs w:val="20"/>
        </w:rPr>
        <w:t>,</w:t>
      </w:r>
      <w:r w:rsidR="003D1781">
        <w:rPr>
          <w:rFonts w:ascii="Verdana" w:eastAsia="Times" w:hAnsi="Verdana"/>
          <w:bCs/>
          <w:sz w:val="20"/>
          <w:szCs w:val="20"/>
        </w:rPr>
        <w:t xml:space="preserve"> en </w:t>
      </w:r>
      <w:r w:rsidR="008D02E3">
        <w:rPr>
          <w:rFonts w:ascii="Verdana" w:eastAsia="Times" w:hAnsi="Verdana"/>
          <w:bCs/>
          <w:sz w:val="20"/>
          <w:szCs w:val="20"/>
        </w:rPr>
        <w:t>lo que respecta</w:t>
      </w:r>
      <w:r w:rsidR="00F15834">
        <w:rPr>
          <w:rFonts w:ascii="Verdana" w:eastAsia="Times" w:hAnsi="Verdana"/>
          <w:bCs/>
          <w:sz w:val="20"/>
          <w:szCs w:val="20"/>
        </w:rPr>
        <w:t>: i)</w:t>
      </w:r>
      <w:r w:rsidR="008D02E3">
        <w:rPr>
          <w:rFonts w:ascii="Verdana" w:eastAsia="Times" w:hAnsi="Verdana"/>
          <w:bCs/>
          <w:sz w:val="20"/>
          <w:szCs w:val="20"/>
        </w:rPr>
        <w:t xml:space="preserve"> a la </w:t>
      </w:r>
      <w:r w:rsidR="00680AED">
        <w:rPr>
          <w:rFonts w:ascii="Verdana" w:eastAsia="Times" w:hAnsi="Verdana"/>
          <w:bCs/>
          <w:sz w:val="20"/>
          <w:szCs w:val="20"/>
        </w:rPr>
        <w:t>calificación de los hechos que afectaron la integridad personal del señor Quispialaya</w:t>
      </w:r>
      <w:r w:rsidR="00F15834">
        <w:rPr>
          <w:rFonts w:ascii="Verdana" w:eastAsia="Times" w:hAnsi="Verdana"/>
          <w:bCs/>
          <w:sz w:val="20"/>
          <w:szCs w:val="20"/>
        </w:rPr>
        <w:t xml:space="preserve">, y ii) </w:t>
      </w:r>
      <w:r w:rsidR="00680AED">
        <w:rPr>
          <w:rFonts w:ascii="Verdana" w:eastAsia="Times" w:hAnsi="Verdana"/>
          <w:bCs/>
          <w:sz w:val="20"/>
          <w:szCs w:val="20"/>
        </w:rPr>
        <w:t xml:space="preserve">el número de votos por el que se declaró la responsabilidad estatal por la intervención de la justicia militar. </w:t>
      </w:r>
    </w:p>
    <w:p w:rsidR="00C941D7" w:rsidRPr="00C941D7" w:rsidRDefault="00C941D7" w:rsidP="00C941D7">
      <w:pPr>
        <w:tabs>
          <w:tab w:val="left" w:pos="567"/>
        </w:tabs>
        <w:autoSpaceDE w:val="0"/>
        <w:autoSpaceDN w:val="0"/>
        <w:adjustRightInd w:val="0"/>
        <w:spacing w:after="0" w:line="240" w:lineRule="auto"/>
        <w:jc w:val="both"/>
        <w:rPr>
          <w:rFonts w:ascii="Verdana" w:hAnsi="Verdana" w:cs="Verdana"/>
          <w:sz w:val="20"/>
          <w:szCs w:val="20"/>
          <w:u w:val="single"/>
        </w:rPr>
      </w:pPr>
    </w:p>
    <w:p w:rsidR="00577097" w:rsidRPr="00BE133F" w:rsidRDefault="00AE0798"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4" w:name="_Ref324683819"/>
      <w:bookmarkStart w:id="5" w:name="_Ref364679847"/>
      <w:bookmarkEnd w:id="3"/>
      <w:r w:rsidRPr="00AE0798">
        <w:rPr>
          <w:rFonts w:ascii="Verdana" w:hAnsi="Verdana" w:cs="Verdana"/>
          <w:sz w:val="20"/>
          <w:szCs w:val="20"/>
          <w:lang w:val="es-ES_tradnl"/>
        </w:rPr>
        <w:t>El</w:t>
      </w:r>
      <w:r>
        <w:rPr>
          <w:rFonts w:ascii="Verdana" w:hAnsi="Verdana" w:cs="Verdana"/>
          <w:sz w:val="20"/>
          <w:szCs w:val="20"/>
          <w:lang w:val="es-ES_tradnl"/>
        </w:rPr>
        <w:t xml:space="preserve"> </w:t>
      </w:r>
      <w:r w:rsidR="00022FE7">
        <w:rPr>
          <w:rFonts w:ascii="Verdana" w:hAnsi="Verdana" w:cs="Verdana"/>
          <w:sz w:val="20"/>
          <w:szCs w:val="20"/>
          <w:lang w:val="es-ES_tradnl"/>
        </w:rPr>
        <w:t>18 de marzo de 2016</w:t>
      </w:r>
      <w:r w:rsidRPr="00AE0798">
        <w:rPr>
          <w:rFonts w:ascii="Verdana" w:hAnsi="Verdana" w:cs="Verdana"/>
          <w:sz w:val="20"/>
          <w:szCs w:val="20"/>
          <w:lang w:val="es-ES_tradnl"/>
        </w:rPr>
        <w:t>, de conformidad con el artículo 68.2 del Reglamento y siguiendo instrucciones del Presidente de la Corte, la Secretaría transmitió la referida solicitud de interpretación a</w:t>
      </w:r>
      <w:r w:rsidR="00022FE7">
        <w:rPr>
          <w:rFonts w:ascii="Verdana" w:hAnsi="Verdana" w:cs="Verdana"/>
          <w:sz w:val="20"/>
          <w:szCs w:val="20"/>
          <w:lang w:val="es-ES_tradnl"/>
        </w:rPr>
        <w:t xml:space="preserve"> </w:t>
      </w:r>
      <w:r w:rsidRPr="00AE0798">
        <w:rPr>
          <w:rFonts w:ascii="Verdana" w:hAnsi="Verdana" w:cs="Verdana"/>
          <w:sz w:val="20"/>
          <w:szCs w:val="20"/>
          <w:lang w:val="es-ES_tradnl"/>
        </w:rPr>
        <w:t>l</w:t>
      </w:r>
      <w:r w:rsidR="00022FE7">
        <w:rPr>
          <w:rFonts w:ascii="Verdana" w:hAnsi="Verdana" w:cs="Verdana"/>
          <w:sz w:val="20"/>
          <w:szCs w:val="20"/>
          <w:lang w:val="es-ES_tradnl"/>
        </w:rPr>
        <w:t>os</w:t>
      </w:r>
      <w:r w:rsidRPr="00AE0798">
        <w:rPr>
          <w:rFonts w:ascii="Verdana" w:hAnsi="Verdana" w:cs="Verdana"/>
          <w:sz w:val="20"/>
          <w:szCs w:val="20"/>
          <w:lang w:val="es-ES_tradnl"/>
        </w:rPr>
        <w:t xml:space="preserve"> representante</w:t>
      </w:r>
      <w:r w:rsidR="00022FE7">
        <w:rPr>
          <w:rFonts w:ascii="Verdana" w:hAnsi="Verdana" w:cs="Verdana"/>
          <w:sz w:val="20"/>
          <w:szCs w:val="20"/>
          <w:lang w:val="es-ES_tradnl"/>
        </w:rPr>
        <w:t>s</w:t>
      </w:r>
      <w:r w:rsidRPr="00AE0798">
        <w:rPr>
          <w:rFonts w:ascii="Verdana" w:hAnsi="Verdana" w:cs="Verdana"/>
          <w:sz w:val="20"/>
          <w:szCs w:val="20"/>
          <w:lang w:val="es-ES_tradnl"/>
        </w:rPr>
        <w:t xml:space="preserve"> y a la Comisión y les otorgó un plazo para que presentaran las alegaciones escritas que estimaran pertinentes</w:t>
      </w:r>
      <w:r>
        <w:rPr>
          <w:rFonts w:ascii="Verdana" w:hAnsi="Verdana" w:cs="Verdana"/>
          <w:sz w:val="20"/>
          <w:szCs w:val="20"/>
          <w:lang w:val="es-ES_tradnl"/>
        </w:rPr>
        <w:t xml:space="preserve">. </w:t>
      </w:r>
      <w:r w:rsidR="00577097" w:rsidRPr="00BE133F">
        <w:rPr>
          <w:rFonts w:ascii="Verdana" w:hAnsi="Verdana" w:cs="Verdana"/>
          <w:sz w:val="20"/>
          <w:szCs w:val="20"/>
        </w:rPr>
        <w:t>El</w:t>
      </w:r>
      <w:r w:rsidR="004A472B">
        <w:rPr>
          <w:rFonts w:ascii="Verdana" w:hAnsi="Verdana" w:cs="Verdana"/>
          <w:sz w:val="20"/>
          <w:szCs w:val="20"/>
        </w:rPr>
        <w:t xml:space="preserve"> 1</w:t>
      </w:r>
      <w:r w:rsidR="00067A54" w:rsidRPr="00BE133F">
        <w:rPr>
          <w:rFonts w:ascii="Verdana" w:hAnsi="Verdana" w:cs="Verdana"/>
          <w:sz w:val="20"/>
          <w:szCs w:val="20"/>
        </w:rPr>
        <w:t xml:space="preserve">1 </w:t>
      </w:r>
      <w:r w:rsidR="00632CB0" w:rsidRPr="00BE133F">
        <w:rPr>
          <w:rFonts w:ascii="Verdana" w:hAnsi="Verdana" w:cs="Verdana"/>
          <w:sz w:val="20"/>
          <w:szCs w:val="20"/>
        </w:rPr>
        <w:t xml:space="preserve">de </w:t>
      </w:r>
      <w:r w:rsidR="004A472B">
        <w:rPr>
          <w:rFonts w:ascii="Verdana" w:hAnsi="Verdana" w:cs="Verdana"/>
          <w:sz w:val="20"/>
          <w:szCs w:val="20"/>
        </w:rPr>
        <w:t xml:space="preserve">abril </w:t>
      </w:r>
      <w:r w:rsidR="00632CB0" w:rsidRPr="00BE133F">
        <w:rPr>
          <w:rFonts w:ascii="Verdana" w:hAnsi="Verdana" w:cs="Verdana"/>
          <w:sz w:val="20"/>
          <w:szCs w:val="20"/>
        </w:rPr>
        <w:t xml:space="preserve">de 2016 </w:t>
      </w:r>
      <w:r w:rsidR="00F15834">
        <w:rPr>
          <w:rFonts w:ascii="Verdana" w:hAnsi="Verdana" w:cs="Verdana"/>
          <w:sz w:val="20"/>
          <w:szCs w:val="20"/>
        </w:rPr>
        <w:t xml:space="preserve">los </w:t>
      </w:r>
      <w:r w:rsidR="00632CB0" w:rsidRPr="00BE133F">
        <w:rPr>
          <w:rFonts w:ascii="Verdana" w:hAnsi="Verdana" w:cs="Verdana"/>
          <w:sz w:val="20"/>
          <w:szCs w:val="20"/>
        </w:rPr>
        <w:t>representante</w:t>
      </w:r>
      <w:r w:rsidR="00F15834">
        <w:rPr>
          <w:rFonts w:ascii="Verdana" w:hAnsi="Verdana" w:cs="Verdana"/>
          <w:sz w:val="20"/>
          <w:szCs w:val="20"/>
        </w:rPr>
        <w:t>s</w:t>
      </w:r>
      <w:r w:rsidR="003016B2" w:rsidRPr="00BE133F">
        <w:rPr>
          <w:rFonts w:ascii="Verdana" w:hAnsi="Verdana" w:cs="Verdana"/>
          <w:sz w:val="20"/>
          <w:szCs w:val="20"/>
        </w:rPr>
        <w:t xml:space="preserve"> </w:t>
      </w:r>
      <w:r w:rsidR="004A472B">
        <w:rPr>
          <w:rFonts w:ascii="Verdana" w:hAnsi="Verdana" w:cs="Verdana"/>
          <w:sz w:val="20"/>
          <w:szCs w:val="20"/>
        </w:rPr>
        <w:t xml:space="preserve">de la víctima y la Comisión Interamericana de Derechos Humanos presentaron </w:t>
      </w:r>
      <w:r w:rsidR="003016B2" w:rsidRPr="00BE133F">
        <w:rPr>
          <w:rFonts w:ascii="Verdana" w:hAnsi="Verdana" w:cs="Verdana"/>
          <w:sz w:val="20"/>
          <w:szCs w:val="20"/>
        </w:rPr>
        <w:t>sus observaciones escritas a la</w:t>
      </w:r>
      <w:r w:rsidR="00F15834">
        <w:rPr>
          <w:rFonts w:ascii="Verdana" w:hAnsi="Verdana" w:cs="Verdana"/>
          <w:sz w:val="20"/>
          <w:szCs w:val="20"/>
        </w:rPr>
        <w:t>s</w:t>
      </w:r>
      <w:r w:rsidR="003016B2" w:rsidRPr="00BE133F">
        <w:rPr>
          <w:rFonts w:ascii="Verdana" w:hAnsi="Verdana" w:cs="Verdana"/>
          <w:sz w:val="20"/>
          <w:szCs w:val="20"/>
        </w:rPr>
        <w:t xml:space="preserve"> solicitud</w:t>
      </w:r>
      <w:r w:rsidR="00F15834">
        <w:rPr>
          <w:rFonts w:ascii="Verdana" w:hAnsi="Verdana" w:cs="Verdana"/>
          <w:sz w:val="20"/>
          <w:szCs w:val="20"/>
        </w:rPr>
        <w:t>es</w:t>
      </w:r>
      <w:r w:rsidR="003016B2" w:rsidRPr="00BE133F">
        <w:rPr>
          <w:rFonts w:ascii="Verdana" w:hAnsi="Verdana" w:cs="Verdana"/>
          <w:sz w:val="20"/>
          <w:szCs w:val="20"/>
        </w:rPr>
        <w:t xml:space="preserve"> de interpretación</w:t>
      </w:r>
      <w:r w:rsidR="00577097" w:rsidRPr="00BE133F">
        <w:rPr>
          <w:rFonts w:ascii="Verdana" w:hAnsi="Verdana" w:cs="Verdana"/>
          <w:sz w:val="20"/>
          <w:szCs w:val="20"/>
        </w:rPr>
        <w:t xml:space="preserve"> </w:t>
      </w:r>
      <w:r w:rsidR="003016B2" w:rsidRPr="00BE133F">
        <w:rPr>
          <w:rFonts w:ascii="Verdana" w:hAnsi="Verdana" w:cs="Verdana"/>
          <w:sz w:val="20"/>
          <w:szCs w:val="20"/>
        </w:rPr>
        <w:t>d</w:t>
      </w:r>
      <w:r w:rsidR="00577097" w:rsidRPr="00BE133F">
        <w:rPr>
          <w:rFonts w:ascii="Verdana" w:hAnsi="Verdana" w:cs="Verdana"/>
          <w:sz w:val="20"/>
          <w:szCs w:val="20"/>
        </w:rPr>
        <w:t>el Estado</w:t>
      </w:r>
      <w:r w:rsidR="003016B2" w:rsidRPr="00BE133F">
        <w:rPr>
          <w:rFonts w:ascii="Verdana" w:hAnsi="Verdana" w:cs="Verdana"/>
          <w:sz w:val="20"/>
          <w:szCs w:val="20"/>
        </w:rPr>
        <w:t xml:space="preserve">. </w:t>
      </w:r>
      <w:bookmarkEnd w:id="4"/>
      <w:bookmarkEnd w:id="5"/>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b/>
          <w:color w:val="00B050"/>
          <w:sz w:val="20"/>
          <w:szCs w:val="20"/>
        </w:rPr>
      </w:pP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II</w:t>
      </w:r>
    </w:p>
    <w:p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COMPETENCIA</w:t>
      </w:r>
    </w:p>
    <w:p w:rsidR="00577097" w:rsidRPr="00BE133F" w:rsidRDefault="00577097" w:rsidP="00577097">
      <w:pPr>
        <w:tabs>
          <w:tab w:val="left" w:pos="567"/>
        </w:tabs>
        <w:spacing w:after="0" w:line="240" w:lineRule="auto"/>
        <w:ind w:left="720"/>
        <w:jc w:val="both"/>
        <w:rPr>
          <w:rFonts w:ascii="Verdana" w:eastAsia="Batang"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6" w:name="_Ref361668910"/>
      <w:r w:rsidRPr="00BE133F">
        <w:rPr>
          <w:rFonts w:ascii="Verdana" w:eastAsia="Times" w:hAnsi="Verdana"/>
          <w:sz w:val="20"/>
          <w:szCs w:val="20"/>
        </w:rPr>
        <w:t>El artículo 67 de la Convención establece que:</w:t>
      </w:r>
      <w:bookmarkEnd w:id="6"/>
    </w:p>
    <w:p w:rsidR="00577097" w:rsidRPr="00BE133F" w:rsidRDefault="00577097" w:rsidP="00577097">
      <w:pPr>
        <w:tabs>
          <w:tab w:val="left" w:pos="567"/>
        </w:tabs>
        <w:autoSpaceDE w:val="0"/>
        <w:autoSpaceDN w:val="0"/>
        <w:adjustRightInd w:val="0"/>
        <w:spacing w:after="0" w:line="240" w:lineRule="auto"/>
        <w:jc w:val="both"/>
        <w:rPr>
          <w:rFonts w:ascii="Verdana" w:eastAsia="Times" w:hAnsi="Verdana"/>
          <w:bCs/>
          <w:sz w:val="20"/>
          <w:szCs w:val="20"/>
          <w:lang w:val="es-ES_tradnl"/>
        </w:rPr>
      </w:pPr>
    </w:p>
    <w:p w:rsidR="00577097" w:rsidRPr="008562C7" w:rsidRDefault="00577097" w:rsidP="008562C7">
      <w:pPr>
        <w:pStyle w:val="BlockText"/>
      </w:pPr>
      <w:r w:rsidRPr="008562C7">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577097" w:rsidRPr="00BE133F" w:rsidRDefault="00577097" w:rsidP="00577097">
      <w:pPr>
        <w:tabs>
          <w:tab w:val="left" w:pos="567"/>
        </w:tabs>
        <w:spacing w:after="0" w:line="240" w:lineRule="auto"/>
        <w:ind w:left="720" w:right="639"/>
        <w:jc w:val="both"/>
        <w:rPr>
          <w:rFonts w:ascii="Verdana" w:eastAsia="Times" w:hAnsi="Verdana"/>
          <w:sz w:val="20"/>
          <w:szCs w:val="20"/>
          <w:lang w:val="es-ES_tradnl"/>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r w:rsidRPr="00BE133F">
        <w:rPr>
          <w:rFonts w:ascii="Verdana" w:eastAsia="Times" w:hAnsi="Verdana"/>
          <w:sz w:val="20"/>
          <w:szCs w:val="20"/>
        </w:rPr>
        <w:t>De conformidad con el artículo citado, la Corte es competente para interpretar sus fallos. Para realizar el examen de la solicitud de interpretación y resolver lo que a este respecto corresponda, el Tribunal debe tener, si es posible, la misma composición que tenía al dictar la Sentencia respectiva, de acuerdo con el artículo 68.3 del Reglamento. En esta ocasión, la Corte se integra por los mismos jueces que dictaron la Sentencia</w:t>
      </w:r>
      <w:bookmarkStart w:id="7" w:name="_Ref364680909"/>
      <w:r w:rsidRPr="00BE133F">
        <w:rPr>
          <w:rFonts w:ascii="Verdana" w:eastAsia="Times" w:hAnsi="Verdana"/>
          <w:sz w:val="20"/>
          <w:szCs w:val="20"/>
        </w:rPr>
        <w:t>.</w:t>
      </w:r>
    </w:p>
    <w:p w:rsidR="00577097" w:rsidRPr="00BE133F" w:rsidRDefault="00577097" w:rsidP="00577097">
      <w:pPr>
        <w:tabs>
          <w:tab w:val="left" w:pos="567"/>
        </w:tabs>
        <w:autoSpaceDE w:val="0"/>
        <w:autoSpaceDN w:val="0"/>
        <w:adjustRightInd w:val="0"/>
        <w:spacing w:after="0" w:line="240" w:lineRule="auto"/>
        <w:jc w:val="both"/>
        <w:rPr>
          <w:rFonts w:ascii="Verdana" w:eastAsia="Times" w:hAnsi="Verdana"/>
          <w:sz w:val="20"/>
          <w:szCs w:val="20"/>
          <w:lang w:val="es-ES_tradnl"/>
        </w:rPr>
      </w:pPr>
    </w:p>
    <w:bookmarkEnd w:id="7"/>
    <w:p w:rsidR="00A57281" w:rsidRDefault="00A57281" w:rsidP="00577097">
      <w:pPr>
        <w:tabs>
          <w:tab w:val="left" w:pos="567"/>
        </w:tabs>
        <w:autoSpaceDE w:val="0"/>
        <w:autoSpaceDN w:val="0"/>
        <w:adjustRightInd w:val="0"/>
        <w:spacing w:after="0" w:line="240" w:lineRule="auto"/>
        <w:jc w:val="center"/>
        <w:rPr>
          <w:rFonts w:ascii="Verdana" w:hAnsi="Verdana" w:cs="Verdana"/>
          <w:b/>
          <w:sz w:val="20"/>
          <w:szCs w:val="20"/>
        </w:rPr>
      </w:pP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III</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ADMISIBILIDAD</w:t>
      </w:r>
    </w:p>
    <w:p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bookmarkStart w:id="8" w:name="_Ref363125960"/>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eastAsia="Times" w:hAnsi="Verdana"/>
          <w:sz w:val="20"/>
          <w:szCs w:val="20"/>
          <w:lang w:val="es-ES_tradnl"/>
        </w:rPr>
        <w:t xml:space="preserve">Corresponde a la Corte verificar si las solicitudes presentadas por </w:t>
      </w:r>
      <w:r w:rsidR="00D724A5" w:rsidRPr="00BE133F">
        <w:rPr>
          <w:rFonts w:ascii="Verdana" w:eastAsia="Times" w:hAnsi="Verdana"/>
          <w:sz w:val="20"/>
          <w:szCs w:val="20"/>
          <w:lang w:val="es-ES_tradnl"/>
        </w:rPr>
        <w:t>el Estado</w:t>
      </w:r>
      <w:r w:rsidRPr="00BE133F">
        <w:rPr>
          <w:rFonts w:ascii="Verdana" w:eastAsia="Times" w:hAnsi="Verdana"/>
          <w:sz w:val="20"/>
          <w:szCs w:val="20"/>
          <w:lang w:val="es-ES_tradnl"/>
        </w:rPr>
        <w:t xml:space="preserve"> cumplen con los requisitos establecidos en las normas aplicables a una solicitud de interpretación de Sentencia, a saber, el artículo 67 de la Convención, anteriormente citado, y el artículo 68 del Reglamento que dispone, en lo pertinente, que:</w:t>
      </w:r>
      <w:bookmarkEnd w:id="8"/>
    </w:p>
    <w:p w:rsidR="00577097" w:rsidRPr="00BE133F" w:rsidRDefault="00577097" w:rsidP="00577097">
      <w:pPr>
        <w:tabs>
          <w:tab w:val="left" w:pos="567"/>
        </w:tabs>
        <w:spacing w:after="0" w:line="240" w:lineRule="auto"/>
        <w:rPr>
          <w:rFonts w:ascii="Verdana" w:eastAsia="Times" w:hAnsi="Verdana"/>
          <w:sz w:val="20"/>
          <w:szCs w:val="20"/>
        </w:rPr>
      </w:pPr>
    </w:p>
    <w:p w:rsidR="00577097" w:rsidRPr="008562C7" w:rsidRDefault="00577097" w:rsidP="00577097">
      <w:pPr>
        <w:tabs>
          <w:tab w:val="left" w:pos="567"/>
        </w:tabs>
        <w:spacing w:after="0" w:line="240" w:lineRule="auto"/>
        <w:ind w:left="567" w:right="720"/>
        <w:jc w:val="both"/>
        <w:rPr>
          <w:rFonts w:ascii="Verdana" w:eastAsia="Times" w:hAnsi="Verdana"/>
          <w:sz w:val="18"/>
          <w:szCs w:val="18"/>
          <w:lang w:val="es-ES_tradnl"/>
        </w:rPr>
      </w:pPr>
      <w:r w:rsidRPr="008562C7">
        <w:rPr>
          <w:rFonts w:ascii="Verdana" w:eastAsia="Times" w:hAnsi="Verdana"/>
          <w:sz w:val="18"/>
          <w:szCs w:val="18"/>
          <w:lang w:val="es-ES_tradnl"/>
        </w:rPr>
        <w:t>1.</w:t>
      </w:r>
      <w:r w:rsidRPr="008562C7">
        <w:rPr>
          <w:rFonts w:ascii="Verdana" w:eastAsia="Times" w:hAnsi="Verdana"/>
          <w:sz w:val="18"/>
          <w:szCs w:val="18"/>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577097" w:rsidRPr="008562C7" w:rsidRDefault="00577097" w:rsidP="00577097">
      <w:pPr>
        <w:tabs>
          <w:tab w:val="left" w:pos="567"/>
        </w:tabs>
        <w:spacing w:after="0" w:line="240" w:lineRule="auto"/>
        <w:ind w:left="567" w:right="720"/>
        <w:rPr>
          <w:rFonts w:ascii="Verdana" w:eastAsia="Times" w:hAnsi="Verdana"/>
          <w:sz w:val="18"/>
          <w:szCs w:val="18"/>
          <w:lang w:val="es-ES_tradnl"/>
        </w:rPr>
      </w:pPr>
      <w:r w:rsidRPr="008562C7">
        <w:rPr>
          <w:rFonts w:ascii="Verdana" w:eastAsia="Times" w:hAnsi="Verdana"/>
          <w:sz w:val="18"/>
          <w:szCs w:val="18"/>
          <w:lang w:val="es-ES_tradnl"/>
        </w:rPr>
        <w:t>[…]</w:t>
      </w:r>
    </w:p>
    <w:p w:rsidR="00577097" w:rsidRPr="008562C7" w:rsidRDefault="00577097" w:rsidP="00577097">
      <w:pPr>
        <w:tabs>
          <w:tab w:val="left" w:pos="567"/>
        </w:tabs>
        <w:spacing w:after="0" w:line="240" w:lineRule="auto"/>
        <w:ind w:left="567" w:right="720"/>
        <w:rPr>
          <w:rFonts w:ascii="Verdana" w:eastAsia="Times" w:hAnsi="Verdana"/>
          <w:sz w:val="18"/>
          <w:szCs w:val="18"/>
          <w:lang w:val="es-ES_tradnl"/>
        </w:rPr>
      </w:pPr>
    </w:p>
    <w:p w:rsidR="00577097" w:rsidRPr="008562C7" w:rsidRDefault="00577097" w:rsidP="00577097">
      <w:pPr>
        <w:tabs>
          <w:tab w:val="left" w:pos="567"/>
        </w:tabs>
        <w:spacing w:after="0" w:line="240" w:lineRule="auto"/>
        <w:ind w:left="567" w:right="720"/>
        <w:jc w:val="both"/>
        <w:rPr>
          <w:rFonts w:ascii="Verdana" w:eastAsia="Times" w:hAnsi="Verdana"/>
          <w:sz w:val="18"/>
          <w:szCs w:val="18"/>
          <w:lang w:val="es-ES_tradnl"/>
        </w:rPr>
      </w:pPr>
      <w:r w:rsidRPr="008562C7">
        <w:rPr>
          <w:rFonts w:ascii="Verdana" w:eastAsia="Times" w:hAnsi="Verdana"/>
          <w:sz w:val="18"/>
          <w:szCs w:val="18"/>
          <w:lang w:val="es-ES_tradnl"/>
        </w:rPr>
        <w:t>4.</w:t>
      </w:r>
      <w:r w:rsidRPr="008562C7">
        <w:rPr>
          <w:rFonts w:ascii="Verdana" w:eastAsia="Times" w:hAnsi="Verdana"/>
          <w:sz w:val="18"/>
          <w:szCs w:val="18"/>
          <w:lang w:val="es-ES_tradnl"/>
        </w:rPr>
        <w:tab/>
        <w:t>La solicitud de interpretación no suspenderá la ejecución de la sentencia.</w:t>
      </w:r>
    </w:p>
    <w:p w:rsidR="00577097" w:rsidRPr="008562C7" w:rsidRDefault="00577097" w:rsidP="00577097">
      <w:pPr>
        <w:tabs>
          <w:tab w:val="left" w:pos="567"/>
        </w:tabs>
        <w:spacing w:after="0" w:line="240" w:lineRule="auto"/>
        <w:ind w:left="567" w:right="702"/>
        <w:jc w:val="both"/>
        <w:rPr>
          <w:rFonts w:ascii="Verdana" w:eastAsia="Times" w:hAnsi="Verdana"/>
          <w:sz w:val="18"/>
          <w:szCs w:val="18"/>
          <w:lang w:val="es-ES_tradnl"/>
        </w:rPr>
      </w:pPr>
    </w:p>
    <w:p w:rsidR="00577097" w:rsidRPr="008562C7" w:rsidRDefault="00577097" w:rsidP="00577097">
      <w:pPr>
        <w:tabs>
          <w:tab w:val="left" w:pos="567"/>
        </w:tabs>
        <w:spacing w:after="0" w:line="240" w:lineRule="auto"/>
        <w:ind w:left="567" w:right="702"/>
        <w:jc w:val="both"/>
        <w:rPr>
          <w:rFonts w:ascii="Verdana" w:eastAsia="Times" w:hAnsi="Verdana"/>
          <w:sz w:val="18"/>
          <w:szCs w:val="18"/>
          <w:lang w:val="es-ES_tradnl"/>
        </w:rPr>
      </w:pPr>
      <w:r w:rsidRPr="008562C7">
        <w:rPr>
          <w:rFonts w:ascii="Verdana" w:eastAsia="Times" w:hAnsi="Verdana"/>
          <w:sz w:val="18"/>
          <w:szCs w:val="18"/>
          <w:lang w:val="es-ES_tradnl"/>
        </w:rPr>
        <w:lastRenderedPageBreak/>
        <w:t>5.</w:t>
      </w:r>
      <w:r w:rsidRPr="008562C7">
        <w:rPr>
          <w:rFonts w:ascii="Verdana" w:eastAsia="Times" w:hAnsi="Verdana"/>
          <w:sz w:val="18"/>
          <w:szCs w:val="18"/>
          <w:lang w:val="es-ES_tradnl"/>
        </w:rPr>
        <w:tab/>
        <w:t xml:space="preserve">La Corte determinará el procedimiento que se seguirá y resolverá mediante una sentencia. </w:t>
      </w:r>
    </w:p>
    <w:p w:rsidR="00577097" w:rsidRPr="00BE133F" w:rsidRDefault="00577097" w:rsidP="00577097">
      <w:pPr>
        <w:tabs>
          <w:tab w:val="left" w:pos="567"/>
        </w:tabs>
        <w:spacing w:after="0" w:line="240" w:lineRule="auto"/>
        <w:jc w:val="both"/>
        <w:rPr>
          <w:rFonts w:ascii="Verdana" w:eastAsia="Times" w:hAnsi="Verdana"/>
          <w:sz w:val="20"/>
          <w:szCs w:val="20"/>
          <w:lang w:val="es-ES_tradnl"/>
        </w:rPr>
      </w:pPr>
      <w:bookmarkStart w:id="9" w:name="_Ref363125964"/>
    </w:p>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Asimismo, el artículo 31.3 del Reglamento establece que “[c]</w:t>
      </w:r>
      <w:proofErr w:type="spellStart"/>
      <w:r w:rsidRPr="00BE133F">
        <w:rPr>
          <w:rFonts w:ascii="Verdana" w:eastAsia="Times" w:hAnsi="Verdana"/>
          <w:sz w:val="20"/>
          <w:szCs w:val="20"/>
          <w:lang w:val="es-ES_tradnl"/>
        </w:rPr>
        <w:t>ontra</w:t>
      </w:r>
      <w:proofErr w:type="spellEnd"/>
      <w:r w:rsidRPr="00BE133F">
        <w:rPr>
          <w:rFonts w:ascii="Verdana" w:eastAsia="Times" w:hAnsi="Verdana"/>
          <w:sz w:val="20"/>
          <w:szCs w:val="20"/>
          <w:lang w:val="es-ES_tradnl"/>
        </w:rPr>
        <w:t xml:space="preserve"> las sentencias y resoluciones de la Corte no procede ningún medio de impugnación”.</w:t>
      </w:r>
      <w:bookmarkEnd w:id="9"/>
    </w:p>
    <w:p w:rsidR="00577097" w:rsidRPr="00BE133F" w:rsidRDefault="00577097" w:rsidP="00577097">
      <w:pPr>
        <w:tabs>
          <w:tab w:val="left" w:pos="567"/>
        </w:tabs>
        <w:spacing w:after="0" w:line="240" w:lineRule="auto"/>
        <w:ind w:left="720"/>
        <w:jc w:val="both"/>
        <w:rPr>
          <w:rFonts w:ascii="Verdana" w:eastAsia="Batang" w:hAnsi="Verdana"/>
          <w:sz w:val="20"/>
          <w:szCs w:val="20"/>
          <w:lang w:val="es-ES_tradnl"/>
        </w:rPr>
      </w:pPr>
    </w:p>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BE133F">
        <w:rPr>
          <w:rFonts w:ascii="Verdana" w:eastAsia="Times" w:hAnsi="Verdana"/>
          <w:sz w:val="20"/>
          <w:szCs w:val="20"/>
          <w:lang w:val="es-ES_tradnl"/>
        </w:rPr>
        <w:t xml:space="preserve">La Corte observa que </w:t>
      </w:r>
      <w:r w:rsidR="00B35601" w:rsidRPr="00BE133F">
        <w:rPr>
          <w:rFonts w:ascii="Verdana" w:eastAsia="Times" w:hAnsi="Verdana"/>
          <w:sz w:val="20"/>
          <w:szCs w:val="20"/>
          <w:lang w:val="es-ES_tradnl"/>
        </w:rPr>
        <w:t>el</w:t>
      </w:r>
      <w:r w:rsidRPr="00BE133F">
        <w:rPr>
          <w:rFonts w:ascii="Verdana" w:eastAsia="Times" w:hAnsi="Verdana"/>
          <w:sz w:val="20"/>
          <w:szCs w:val="20"/>
          <w:lang w:val="es-ES_tradnl"/>
        </w:rPr>
        <w:t xml:space="preserve"> </w:t>
      </w:r>
      <w:r w:rsidR="004A472B">
        <w:rPr>
          <w:rFonts w:ascii="Verdana" w:eastAsia="Times" w:hAnsi="Verdana"/>
          <w:sz w:val="20"/>
          <w:szCs w:val="20"/>
          <w:lang w:val="es-ES_tradnl"/>
        </w:rPr>
        <w:t xml:space="preserve">Estado </w:t>
      </w:r>
      <w:r w:rsidR="00B35601" w:rsidRPr="00BE133F">
        <w:rPr>
          <w:rFonts w:ascii="Verdana" w:eastAsia="Times" w:hAnsi="Verdana"/>
          <w:sz w:val="20"/>
          <w:szCs w:val="20"/>
          <w:lang w:val="es-ES_tradnl"/>
        </w:rPr>
        <w:t>remitió</w:t>
      </w:r>
      <w:r w:rsidRPr="00BE133F">
        <w:rPr>
          <w:rFonts w:ascii="Verdana" w:eastAsia="Times" w:hAnsi="Verdana"/>
          <w:sz w:val="20"/>
          <w:szCs w:val="20"/>
          <w:lang w:val="es-ES_tradnl"/>
        </w:rPr>
        <w:t xml:space="preserve"> la</w:t>
      </w:r>
      <w:r w:rsidR="00F15834">
        <w:rPr>
          <w:rFonts w:ascii="Verdana" w:eastAsia="Times" w:hAnsi="Verdana"/>
          <w:sz w:val="20"/>
          <w:szCs w:val="20"/>
          <w:lang w:val="es-ES_tradnl"/>
        </w:rPr>
        <w:t>s</w:t>
      </w:r>
      <w:r w:rsidRPr="00BE133F">
        <w:rPr>
          <w:rFonts w:ascii="Verdana" w:eastAsia="Times" w:hAnsi="Verdana"/>
          <w:sz w:val="20"/>
          <w:szCs w:val="20"/>
          <w:lang w:val="es-ES_tradnl"/>
        </w:rPr>
        <w:t xml:space="preserve"> solicitud</w:t>
      </w:r>
      <w:r w:rsidR="00F15834">
        <w:rPr>
          <w:rFonts w:ascii="Verdana" w:eastAsia="Times" w:hAnsi="Verdana"/>
          <w:sz w:val="20"/>
          <w:szCs w:val="20"/>
          <w:lang w:val="es-ES_tradnl"/>
        </w:rPr>
        <w:t>es</w:t>
      </w:r>
      <w:r w:rsidRPr="00BE133F">
        <w:rPr>
          <w:rFonts w:ascii="Verdana" w:eastAsia="Times" w:hAnsi="Verdana"/>
          <w:sz w:val="20"/>
          <w:szCs w:val="20"/>
          <w:lang w:val="es-ES_tradnl"/>
        </w:rPr>
        <w:t xml:space="preserve"> de interpretación el </w:t>
      </w:r>
      <w:r w:rsidR="00B35601" w:rsidRPr="00BE133F">
        <w:rPr>
          <w:rFonts w:ascii="Verdana" w:eastAsia="Times" w:hAnsi="Verdana"/>
          <w:sz w:val="20"/>
          <w:szCs w:val="20"/>
          <w:lang w:val="es-ES_tradnl"/>
        </w:rPr>
        <w:t>1</w:t>
      </w:r>
      <w:r w:rsidR="004A472B">
        <w:rPr>
          <w:rFonts w:ascii="Verdana" w:eastAsia="Times" w:hAnsi="Verdana"/>
          <w:sz w:val="20"/>
          <w:szCs w:val="20"/>
          <w:lang w:val="es-ES_tradnl"/>
        </w:rPr>
        <w:t>5</w:t>
      </w:r>
      <w:r w:rsidRPr="00BE133F">
        <w:rPr>
          <w:rFonts w:ascii="Verdana" w:eastAsia="Times" w:hAnsi="Verdana"/>
          <w:sz w:val="20"/>
          <w:szCs w:val="20"/>
          <w:lang w:val="es-ES_tradnl"/>
        </w:rPr>
        <w:t xml:space="preserve"> de </w:t>
      </w:r>
      <w:r w:rsidR="004A472B">
        <w:rPr>
          <w:rFonts w:ascii="Verdana" w:eastAsia="Times" w:hAnsi="Verdana"/>
          <w:sz w:val="20"/>
          <w:szCs w:val="20"/>
          <w:lang w:val="es-ES_tradnl"/>
        </w:rPr>
        <w:t>marzo</w:t>
      </w:r>
      <w:r w:rsidRPr="00BE133F">
        <w:rPr>
          <w:rFonts w:ascii="Verdana" w:eastAsia="Times" w:hAnsi="Verdana"/>
          <w:sz w:val="20"/>
          <w:szCs w:val="20"/>
          <w:lang w:val="es-ES_tradnl"/>
        </w:rPr>
        <w:t xml:space="preserve"> de 201</w:t>
      </w:r>
      <w:r w:rsidR="00AE0798">
        <w:rPr>
          <w:rFonts w:ascii="Verdana" w:eastAsia="Times" w:hAnsi="Verdana"/>
          <w:sz w:val="20"/>
          <w:szCs w:val="20"/>
          <w:lang w:val="es-ES_tradnl"/>
        </w:rPr>
        <w:t>6</w:t>
      </w:r>
      <w:r w:rsidRPr="00BE133F">
        <w:rPr>
          <w:rFonts w:ascii="Verdana" w:eastAsia="Times" w:hAnsi="Verdana"/>
          <w:sz w:val="20"/>
          <w:szCs w:val="20"/>
          <w:lang w:val="es-ES_tradnl"/>
        </w:rPr>
        <w:t xml:space="preserve">, dentro del plazo establecido en el artículo 67 de la Convención, ya que la </w:t>
      </w:r>
      <w:r w:rsidR="004A472B">
        <w:rPr>
          <w:rFonts w:ascii="Verdana" w:eastAsia="Times" w:hAnsi="Verdana"/>
          <w:sz w:val="20"/>
          <w:szCs w:val="20"/>
          <w:lang w:val="es-ES_tradnl"/>
        </w:rPr>
        <w:t xml:space="preserve">Sentencia </w:t>
      </w:r>
      <w:r w:rsidRPr="00BE133F">
        <w:rPr>
          <w:rFonts w:ascii="Verdana" w:eastAsia="Times" w:hAnsi="Verdana"/>
          <w:sz w:val="20"/>
          <w:szCs w:val="20"/>
          <w:lang w:val="es-ES_tradnl"/>
        </w:rPr>
        <w:t xml:space="preserve">fue notificada el </w:t>
      </w:r>
      <w:r w:rsidR="00B35601" w:rsidRPr="00BE133F">
        <w:rPr>
          <w:rFonts w:ascii="Verdana" w:eastAsia="Times" w:hAnsi="Verdana"/>
          <w:sz w:val="20"/>
          <w:szCs w:val="20"/>
          <w:lang w:val="es-ES_tradnl"/>
        </w:rPr>
        <w:t>1</w:t>
      </w:r>
      <w:r w:rsidR="004A472B">
        <w:rPr>
          <w:rFonts w:ascii="Verdana" w:eastAsia="Times" w:hAnsi="Verdana"/>
          <w:sz w:val="20"/>
          <w:szCs w:val="20"/>
          <w:lang w:val="es-ES_tradnl"/>
        </w:rPr>
        <w:t>6</w:t>
      </w:r>
      <w:r w:rsidR="00B35601" w:rsidRPr="00BE133F">
        <w:rPr>
          <w:rFonts w:ascii="Verdana" w:eastAsia="Times" w:hAnsi="Verdana"/>
          <w:sz w:val="20"/>
          <w:szCs w:val="20"/>
          <w:lang w:val="es-ES_tradnl"/>
        </w:rPr>
        <w:t xml:space="preserve"> de </w:t>
      </w:r>
      <w:r w:rsidR="004A472B">
        <w:rPr>
          <w:rFonts w:ascii="Verdana" w:eastAsia="Times" w:hAnsi="Verdana"/>
          <w:sz w:val="20"/>
          <w:szCs w:val="20"/>
          <w:lang w:val="es-ES_tradnl"/>
        </w:rPr>
        <w:t>diciembre</w:t>
      </w:r>
      <w:r w:rsidR="00B35601" w:rsidRPr="00BE133F">
        <w:rPr>
          <w:rFonts w:ascii="Verdana" w:eastAsia="Times" w:hAnsi="Verdana"/>
          <w:sz w:val="20"/>
          <w:szCs w:val="20"/>
          <w:lang w:val="es-ES_tradnl"/>
        </w:rPr>
        <w:t xml:space="preserve"> de 2015</w:t>
      </w:r>
      <w:r w:rsidRPr="00BE133F">
        <w:rPr>
          <w:rFonts w:ascii="Verdana" w:eastAsia="Times" w:hAnsi="Verdana"/>
          <w:sz w:val="20"/>
          <w:szCs w:val="20"/>
          <w:lang w:val="es-ES_tradnl"/>
        </w:rPr>
        <w:t xml:space="preserve">. Por ende, las solicitudes resultan admisibles en lo que se refiere al plazo de su presentación. En cuanto a los demás requisitos, la Corte realizará el análisis respectivo al examinar el contenido de </w:t>
      </w:r>
      <w:r w:rsidR="003A32F1">
        <w:rPr>
          <w:rFonts w:ascii="Verdana" w:eastAsia="Times" w:hAnsi="Verdana"/>
          <w:sz w:val="20"/>
          <w:szCs w:val="20"/>
          <w:lang w:val="es-ES_tradnl"/>
        </w:rPr>
        <w:t>cada</w:t>
      </w:r>
      <w:r w:rsidRPr="00BE133F">
        <w:rPr>
          <w:rFonts w:ascii="Verdana" w:eastAsia="Times" w:hAnsi="Verdana"/>
          <w:sz w:val="20"/>
          <w:szCs w:val="20"/>
          <w:lang w:val="es-ES_tradnl"/>
        </w:rPr>
        <w:t xml:space="preserve"> solicitud de interpretación en el próximo capítulo.</w:t>
      </w:r>
    </w:p>
    <w:p w:rsidR="00577097" w:rsidRPr="00BE133F" w:rsidRDefault="00577097" w:rsidP="00577097">
      <w:pPr>
        <w:tabs>
          <w:tab w:val="left" w:pos="567"/>
        </w:tabs>
        <w:spacing w:after="0" w:line="240" w:lineRule="auto"/>
        <w:jc w:val="both"/>
        <w:rPr>
          <w:rFonts w:ascii="Verdana" w:eastAsia="Times" w:hAnsi="Verdana"/>
          <w:sz w:val="20"/>
          <w:szCs w:val="20"/>
          <w:u w:val="single"/>
          <w:lang w:val="es-ES_tradnl"/>
        </w:rPr>
      </w:pPr>
    </w:p>
    <w:p w:rsidR="00577097" w:rsidRPr="00BE133F" w:rsidRDefault="00577097" w:rsidP="00577097">
      <w:pPr>
        <w:tabs>
          <w:tab w:val="left" w:pos="567"/>
        </w:tabs>
        <w:spacing w:after="0" w:line="240" w:lineRule="auto"/>
        <w:jc w:val="center"/>
        <w:rPr>
          <w:rFonts w:ascii="Verdana" w:eastAsia="Times" w:hAnsi="Verdana"/>
          <w:b/>
          <w:sz w:val="20"/>
          <w:szCs w:val="20"/>
        </w:rPr>
      </w:pPr>
      <w:r w:rsidRPr="00BE133F">
        <w:rPr>
          <w:rFonts w:ascii="Verdana" w:eastAsia="Times" w:hAnsi="Verdana"/>
          <w:b/>
          <w:sz w:val="20"/>
          <w:szCs w:val="20"/>
        </w:rPr>
        <w:t>IV</w:t>
      </w:r>
    </w:p>
    <w:p w:rsidR="00577097" w:rsidRPr="0093256C"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r w:rsidRPr="00B8255C">
        <w:rPr>
          <w:rFonts w:ascii="Verdana" w:hAnsi="Verdana" w:cs="Verdana"/>
          <w:b/>
          <w:caps/>
          <w:sz w:val="20"/>
          <w:szCs w:val="20"/>
        </w:rPr>
        <w:t>ANÁLISIS DE LA PROCEDENCIA DE LAs SOLICITUDes DE INTERPRETACIÓN</w:t>
      </w:r>
    </w:p>
    <w:p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p>
    <w:p w:rsidR="00577097" w:rsidRPr="00BE133F" w:rsidRDefault="00577097"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bookmarkStart w:id="10" w:name="_Ref325023272"/>
      <w:r w:rsidRPr="00BE133F">
        <w:rPr>
          <w:rFonts w:ascii="Verdana" w:eastAsia="Times" w:hAnsi="Verdana"/>
          <w:sz w:val="20"/>
          <w:szCs w:val="20"/>
          <w:lang w:val="es-ES_tradnl"/>
        </w:rPr>
        <w:t>A continuación</w:t>
      </w:r>
      <w:r w:rsidR="00F474DD">
        <w:rPr>
          <w:rFonts w:ascii="Verdana" w:eastAsia="Times" w:hAnsi="Verdana"/>
          <w:sz w:val="20"/>
          <w:szCs w:val="20"/>
          <w:lang w:val="es-ES_tradnl"/>
        </w:rPr>
        <w:t>,</w:t>
      </w:r>
      <w:r w:rsidRPr="00BE133F">
        <w:rPr>
          <w:rFonts w:ascii="Verdana" w:eastAsia="Times" w:hAnsi="Verdana"/>
          <w:sz w:val="20"/>
          <w:szCs w:val="20"/>
          <w:lang w:val="es-ES_tradnl"/>
        </w:rPr>
        <w:t xml:space="preserve"> el Tribunal analizará las </w:t>
      </w:r>
      <w:r w:rsidR="004A472B">
        <w:rPr>
          <w:rFonts w:ascii="Verdana" w:eastAsia="Times" w:hAnsi="Verdana"/>
          <w:sz w:val="20"/>
          <w:szCs w:val="20"/>
          <w:lang w:val="es-ES_tradnl"/>
        </w:rPr>
        <w:t xml:space="preserve">dos </w:t>
      </w:r>
      <w:r w:rsidRPr="00BE133F">
        <w:rPr>
          <w:rFonts w:ascii="Verdana" w:eastAsia="Times" w:hAnsi="Verdana"/>
          <w:sz w:val="20"/>
          <w:szCs w:val="20"/>
          <w:lang w:val="es-ES_tradnl"/>
        </w:rPr>
        <w:t xml:space="preserve">solicitudes </w:t>
      </w:r>
      <w:r w:rsidR="004A472B">
        <w:rPr>
          <w:rFonts w:ascii="Verdana" w:eastAsia="Times" w:hAnsi="Verdana"/>
          <w:sz w:val="20"/>
          <w:szCs w:val="20"/>
          <w:lang w:val="es-ES_tradnl"/>
        </w:rPr>
        <w:t xml:space="preserve">de interpretación </w:t>
      </w:r>
      <w:r w:rsidR="00B35601" w:rsidRPr="00BE133F">
        <w:rPr>
          <w:rFonts w:ascii="Verdana" w:hAnsi="Verdana" w:cs="Verdana"/>
          <w:sz w:val="20"/>
          <w:szCs w:val="20"/>
        </w:rPr>
        <w:t>del Estado</w:t>
      </w:r>
      <w:r w:rsidRPr="00BE133F">
        <w:rPr>
          <w:rFonts w:ascii="Verdana" w:eastAsia="Times" w:hAnsi="Verdana"/>
          <w:sz w:val="20"/>
          <w:szCs w:val="20"/>
          <w:lang w:val="es-ES_tradnl"/>
        </w:rPr>
        <w:t xml:space="preserve"> </w:t>
      </w:r>
      <w:r w:rsidR="00AB38AA" w:rsidRPr="00BE133F">
        <w:rPr>
          <w:rFonts w:ascii="Verdana" w:eastAsia="Times" w:hAnsi="Verdana"/>
          <w:sz w:val="20"/>
          <w:szCs w:val="20"/>
          <w:lang w:val="es-ES_tradnl"/>
        </w:rPr>
        <w:t xml:space="preserve">peruano </w:t>
      </w:r>
      <w:r w:rsidRPr="00BE133F">
        <w:rPr>
          <w:rFonts w:ascii="Verdana" w:eastAsia="Times" w:hAnsi="Verdana"/>
          <w:sz w:val="20"/>
          <w:szCs w:val="20"/>
          <w:lang w:val="es-ES_tradnl"/>
        </w:rPr>
        <w:t xml:space="preserve">para determinar si, de acuerdo con la normativa y los estándares desarrollados en su jurisprudencia, procede aclarar el sentido </w:t>
      </w:r>
      <w:r w:rsidR="004A472B">
        <w:rPr>
          <w:rFonts w:ascii="Verdana" w:eastAsia="Times" w:hAnsi="Verdana"/>
          <w:sz w:val="20"/>
          <w:szCs w:val="20"/>
          <w:lang w:val="es-ES_tradnl"/>
        </w:rPr>
        <w:t xml:space="preserve">del </w:t>
      </w:r>
      <w:r w:rsidR="004A472B" w:rsidRPr="004A472B">
        <w:rPr>
          <w:rFonts w:ascii="Verdana" w:eastAsia="Times" w:hAnsi="Verdana"/>
          <w:bCs/>
          <w:sz w:val="20"/>
          <w:szCs w:val="20"/>
        </w:rPr>
        <w:t xml:space="preserve">punto resolutivo tercero de la </w:t>
      </w:r>
      <w:r w:rsidR="004A472B">
        <w:rPr>
          <w:rFonts w:ascii="Verdana" w:eastAsia="Times" w:hAnsi="Verdana"/>
          <w:bCs/>
          <w:sz w:val="20"/>
          <w:szCs w:val="20"/>
        </w:rPr>
        <w:t xml:space="preserve">Sentencia </w:t>
      </w:r>
      <w:r w:rsidR="00F15834">
        <w:rPr>
          <w:rFonts w:ascii="Verdana" w:eastAsia="Times" w:hAnsi="Verdana"/>
          <w:bCs/>
          <w:sz w:val="20"/>
          <w:szCs w:val="20"/>
        </w:rPr>
        <w:t xml:space="preserve">en relación con la calificación jurídica de los hechos que afectaron la integridad personal de la víctima </w:t>
      </w:r>
      <w:r w:rsidR="004A472B">
        <w:rPr>
          <w:rFonts w:ascii="Verdana" w:eastAsia="Times" w:hAnsi="Verdana"/>
          <w:bCs/>
          <w:sz w:val="20"/>
          <w:szCs w:val="20"/>
        </w:rPr>
        <w:t xml:space="preserve">y </w:t>
      </w:r>
      <w:r w:rsidR="004A472B" w:rsidRPr="004A472B">
        <w:rPr>
          <w:rFonts w:ascii="Verdana" w:eastAsia="Times" w:hAnsi="Verdana"/>
          <w:bCs/>
          <w:sz w:val="20"/>
          <w:szCs w:val="20"/>
        </w:rPr>
        <w:t>el número de votos por el que se declaró la responsabilidad estatal por la intervención de la justicia militar</w:t>
      </w:r>
      <w:r w:rsidRPr="00BE133F">
        <w:rPr>
          <w:rFonts w:ascii="Verdana" w:eastAsia="Times" w:hAnsi="Verdana"/>
          <w:sz w:val="20"/>
          <w:szCs w:val="20"/>
          <w:lang w:val="es-ES_tradnl"/>
        </w:rPr>
        <w:t xml:space="preserve">. </w:t>
      </w:r>
      <w:bookmarkStart w:id="11" w:name="_Ref324754196"/>
      <w:bookmarkEnd w:id="10"/>
    </w:p>
    <w:p w:rsidR="00577097" w:rsidRPr="00BE133F" w:rsidRDefault="00577097" w:rsidP="00577097">
      <w:pPr>
        <w:tabs>
          <w:tab w:val="left" w:pos="567"/>
        </w:tabs>
        <w:spacing w:after="0" w:line="240" w:lineRule="auto"/>
        <w:jc w:val="both"/>
        <w:rPr>
          <w:rFonts w:ascii="Verdana" w:eastAsia="Times" w:hAnsi="Verdana"/>
          <w:sz w:val="20"/>
          <w:szCs w:val="20"/>
          <w:lang w:val="es-ES_tradnl"/>
        </w:rPr>
      </w:pPr>
    </w:p>
    <w:p w:rsidR="00577097" w:rsidRPr="00BE133F" w:rsidRDefault="00577097" w:rsidP="00577097">
      <w:pPr>
        <w:numPr>
          <w:ilvl w:val="0"/>
          <w:numId w:val="3"/>
        </w:numPr>
        <w:tabs>
          <w:tab w:val="left" w:pos="567"/>
        </w:tabs>
        <w:spacing w:after="0" w:line="240" w:lineRule="auto"/>
        <w:jc w:val="both"/>
        <w:rPr>
          <w:rFonts w:ascii="Verdana" w:eastAsia="Times" w:hAnsi="Verdana"/>
          <w:b/>
          <w:i/>
          <w:sz w:val="20"/>
          <w:szCs w:val="20"/>
        </w:rPr>
      </w:pPr>
      <w:r w:rsidRPr="00BE133F">
        <w:rPr>
          <w:rFonts w:ascii="Verdana" w:eastAsia="Times" w:hAnsi="Verdana"/>
          <w:b/>
          <w:i/>
          <w:sz w:val="20"/>
          <w:szCs w:val="20"/>
        </w:rPr>
        <w:t xml:space="preserve">Argumentos de las partes </w:t>
      </w:r>
      <w:r w:rsidR="001A3700">
        <w:rPr>
          <w:rFonts w:ascii="Verdana" w:eastAsia="Times" w:hAnsi="Verdana"/>
          <w:b/>
          <w:i/>
          <w:sz w:val="20"/>
          <w:szCs w:val="20"/>
        </w:rPr>
        <w:t>y de la Comisión</w:t>
      </w:r>
    </w:p>
    <w:p w:rsidR="00064C1E" w:rsidRPr="00BE133F" w:rsidRDefault="00064C1E" w:rsidP="00064C1E">
      <w:pPr>
        <w:tabs>
          <w:tab w:val="left" w:pos="567"/>
        </w:tabs>
        <w:spacing w:after="0" w:line="240" w:lineRule="auto"/>
        <w:ind w:left="360"/>
        <w:jc w:val="both"/>
        <w:rPr>
          <w:rFonts w:ascii="Verdana" w:eastAsia="Times" w:hAnsi="Verdana"/>
          <w:b/>
          <w:i/>
          <w:sz w:val="20"/>
          <w:szCs w:val="20"/>
        </w:rPr>
      </w:pPr>
    </w:p>
    <w:p w:rsidR="00064C1E" w:rsidRPr="00BE133F" w:rsidRDefault="00064C1E" w:rsidP="00064C1E">
      <w:pPr>
        <w:tabs>
          <w:tab w:val="left" w:pos="567"/>
        </w:tabs>
        <w:spacing w:after="0" w:line="240" w:lineRule="auto"/>
        <w:ind w:left="360"/>
        <w:jc w:val="both"/>
        <w:rPr>
          <w:rFonts w:ascii="Verdana" w:eastAsia="Times" w:hAnsi="Verdana"/>
          <w:i/>
          <w:sz w:val="20"/>
          <w:szCs w:val="20"/>
        </w:rPr>
      </w:pPr>
      <w:r w:rsidRPr="00BE133F">
        <w:rPr>
          <w:rFonts w:ascii="Verdana" w:eastAsia="Times" w:hAnsi="Verdana"/>
          <w:i/>
          <w:sz w:val="20"/>
          <w:szCs w:val="20"/>
        </w:rPr>
        <w:t xml:space="preserve">A.1 Solicitud de interpretación </w:t>
      </w:r>
      <w:r w:rsidR="004A472B">
        <w:rPr>
          <w:rFonts w:ascii="Verdana" w:eastAsia="Times" w:hAnsi="Verdana"/>
          <w:i/>
          <w:sz w:val="20"/>
          <w:szCs w:val="20"/>
        </w:rPr>
        <w:t xml:space="preserve">sobre </w:t>
      </w:r>
      <w:r w:rsidR="00F15834">
        <w:rPr>
          <w:rFonts w:ascii="Verdana" w:eastAsia="Times" w:hAnsi="Verdana"/>
          <w:i/>
          <w:sz w:val="20"/>
          <w:szCs w:val="20"/>
        </w:rPr>
        <w:t xml:space="preserve">la </w:t>
      </w:r>
      <w:r w:rsidR="004A472B" w:rsidRPr="004A472B">
        <w:rPr>
          <w:rFonts w:ascii="Verdana" w:eastAsia="Times" w:hAnsi="Verdana"/>
          <w:bCs/>
          <w:i/>
          <w:sz w:val="20"/>
          <w:szCs w:val="20"/>
        </w:rPr>
        <w:t>calificación de los hechos que afectaron la integridad personal del señor Quispialaya</w:t>
      </w:r>
    </w:p>
    <w:p w:rsidR="00577097" w:rsidRPr="00BE133F" w:rsidRDefault="00577097" w:rsidP="00577097">
      <w:pPr>
        <w:tabs>
          <w:tab w:val="left" w:pos="567"/>
        </w:tabs>
        <w:spacing w:after="0" w:line="240" w:lineRule="auto"/>
        <w:jc w:val="both"/>
        <w:rPr>
          <w:rFonts w:ascii="Verdana" w:eastAsia="Times" w:hAnsi="Verdana"/>
          <w:sz w:val="20"/>
          <w:szCs w:val="20"/>
        </w:rPr>
      </w:pPr>
    </w:p>
    <w:p w:rsidR="00C30090" w:rsidRPr="00D15964" w:rsidRDefault="00777038" w:rsidP="00AD709F">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D15964">
        <w:rPr>
          <w:rFonts w:ascii="Verdana" w:hAnsi="Verdana" w:cs="Verdana"/>
          <w:sz w:val="20"/>
          <w:szCs w:val="20"/>
        </w:rPr>
        <w:t xml:space="preserve">El </w:t>
      </w:r>
      <w:r w:rsidR="00C30090" w:rsidRPr="00D15964">
        <w:rPr>
          <w:rFonts w:ascii="Verdana" w:hAnsi="Verdana" w:cs="Verdana"/>
          <w:b/>
          <w:i/>
          <w:sz w:val="20"/>
          <w:szCs w:val="20"/>
        </w:rPr>
        <w:t xml:space="preserve">Estado </w:t>
      </w:r>
      <w:r w:rsidR="00B8255C" w:rsidRPr="00D15964">
        <w:rPr>
          <w:rFonts w:ascii="Verdana" w:hAnsi="Verdana" w:cs="Verdana"/>
          <w:sz w:val="20"/>
          <w:szCs w:val="20"/>
        </w:rPr>
        <w:t>solicitó</w:t>
      </w:r>
      <w:r w:rsidR="00434957" w:rsidRPr="00D15964">
        <w:rPr>
          <w:rFonts w:ascii="Verdana" w:hAnsi="Verdana" w:cs="Verdana"/>
          <w:sz w:val="20"/>
          <w:szCs w:val="20"/>
        </w:rPr>
        <w:t xml:space="preserve"> </w:t>
      </w:r>
      <w:r w:rsidR="00434957" w:rsidRPr="00D15964">
        <w:rPr>
          <w:rFonts w:ascii="Verdana" w:hAnsi="Verdana"/>
          <w:sz w:val="20"/>
          <w:szCs w:val="20"/>
        </w:rPr>
        <w:t>a la Corte la interpretación d</w:t>
      </w:r>
      <w:r w:rsidR="00434957" w:rsidRPr="00D15964">
        <w:rPr>
          <w:rFonts w:ascii="Verdana" w:hAnsi="Verdana" w:cs="Verdana"/>
          <w:sz w:val="20"/>
          <w:szCs w:val="20"/>
        </w:rPr>
        <w:t xml:space="preserve">el </w:t>
      </w:r>
      <w:r w:rsidR="00C30090" w:rsidRPr="00D15964">
        <w:rPr>
          <w:rFonts w:ascii="Verdana" w:hAnsi="Verdana" w:cs="Verdana"/>
          <w:sz w:val="20"/>
          <w:szCs w:val="20"/>
        </w:rPr>
        <w:t xml:space="preserve">punto resolutivo tercero de la Sentencia respecto a la calificación de los hechos que afectaron la integridad personal del señor Valdemir Quispialaya. </w:t>
      </w:r>
      <w:r w:rsidR="00AD709F" w:rsidRPr="00D15964">
        <w:rPr>
          <w:rFonts w:ascii="Verdana" w:hAnsi="Verdana" w:cs="Verdana"/>
          <w:sz w:val="20"/>
          <w:szCs w:val="20"/>
        </w:rPr>
        <w:t xml:space="preserve">Para el Estado, </w:t>
      </w:r>
      <w:r w:rsidR="00D15964" w:rsidRPr="00D15964">
        <w:rPr>
          <w:rFonts w:ascii="Verdana" w:hAnsi="Verdana" w:cs="Verdana"/>
          <w:sz w:val="20"/>
          <w:szCs w:val="20"/>
        </w:rPr>
        <w:t xml:space="preserve">dicho punto resolutivo se refiere a las obligaciones contenidas en los artículos 1, 6 y 8 de la Convención Interamericana para Prevenir y Sancionar la Tortura (en adelante “CIPST”) relacionadas a la investigación y sanción de los actos que puedan ser considerados como tortura o como tratos crueles, inhumanos y degradantes. Sin embargo, </w:t>
      </w:r>
      <w:r w:rsidR="00AD709F" w:rsidRPr="00D15964">
        <w:rPr>
          <w:rFonts w:ascii="Verdana" w:hAnsi="Verdana" w:cs="Verdana"/>
          <w:sz w:val="20"/>
          <w:szCs w:val="20"/>
        </w:rPr>
        <w:t xml:space="preserve">la </w:t>
      </w:r>
      <w:r w:rsidR="00D15964">
        <w:rPr>
          <w:rFonts w:ascii="Verdana" w:hAnsi="Verdana" w:cs="Verdana"/>
          <w:sz w:val="20"/>
          <w:szCs w:val="20"/>
        </w:rPr>
        <w:t xml:space="preserve">anterior </w:t>
      </w:r>
      <w:r w:rsidR="00AD709F" w:rsidRPr="00D15964">
        <w:rPr>
          <w:rFonts w:ascii="Verdana" w:hAnsi="Verdana" w:cs="Verdana"/>
          <w:sz w:val="20"/>
          <w:szCs w:val="20"/>
        </w:rPr>
        <w:t xml:space="preserve">mención al artículo 1 de la </w:t>
      </w:r>
      <w:r w:rsidR="00D15964">
        <w:rPr>
          <w:rFonts w:ascii="Verdana" w:hAnsi="Verdana" w:cs="Verdana"/>
          <w:sz w:val="20"/>
          <w:szCs w:val="20"/>
        </w:rPr>
        <w:t xml:space="preserve">CIPST </w:t>
      </w:r>
      <w:r w:rsidR="00AD709F" w:rsidRPr="00D15964">
        <w:rPr>
          <w:rFonts w:ascii="Verdana" w:hAnsi="Verdana" w:cs="Verdana"/>
          <w:sz w:val="20"/>
          <w:szCs w:val="20"/>
        </w:rPr>
        <w:t xml:space="preserve">podría erróneamente interpretarse en el sentido que la Corte ha concluido que la afectación a la integridad del señor Quispialaya constituyó un acto de tortura. </w:t>
      </w:r>
      <w:r w:rsidR="00D15964">
        <w:rPr>
          <w:rFonts w:ascii="Verdana" w:hAnsi="Verdana" w:cs="Verdana"/>
          <w:sz w:val="20"/>
          <w:szCs w:val="20"/>
        </w:rPr>
        <w:t>En</w:t>
      </w:r>
      <w:r w:rsidR="00F15834">
        <w:rPr>
          <w:rFonts w:ascii="Verdana" w:hAnsi="Verdana" w:cs="Verdana"/>
          <w:sz w:val="20"/>
          <w:szCs w:val="20"/>
        </w:rPr>
        <w:t xml:space="preserve"> ese sentido, el Estado solicitó</w:t>
      </w:r>
      <w:r w:rsidR="00D15964">
        <w:rPr>
          <w:rFonts w:ascii="Verdana" w:hAnsi="Verdana" w:cs="Verdana"/>
          <w:sz w:val="20"/>
          <w:szCs w:val="20"/>
        </w:rPr>
        <w:t xml:space="preserve"> a la Corte aclarar </w:t>
      </w:r>
      <w:r w:rsidR="00F15834">
        <w:rPr>
          <w:rFonts w:ascii="Verdana" w:hAnsi="Verdana" w:cs="Verdana"/>
          <w:sz w:val="20"/>
          <w:szCs w:val="20"/>
        </w:rPr>
        <w:t xml:space="preserve">si la </w:t>
      </w:r>
      <w:r w:rsidR="00D15964">
        <w:rPr>
          <w:rFonts w:ascii="Verdana" w:hAnsi="Verdana" w:cs="Verdana"/>
          <w:sz w:val="20"/>
          <w:szCs w:val="20"/>
        </w:rPr>
        <w:t>“referencia a los artículos 1, 6 y 8 de la CIPST en el punto resolutivo 3 de la Sentencia implica que la Corte Interamericana ha calificado como tortura los actos del 26 de enero de 2001 que lesionaron la integridad del señor Quispialaya”</w:t>
      </w:r>
      <w:r w:rsidR="00F15834">
        <w:rPr>
          <w:rFonts w:ascii="Verdana" w:hAnsi="Verdana" w:cs="Verdana"/>
          <w:sz w:val="20"/>
          <w:szCs w:val="20"/>
        </w:rPr>
        <w:t>.</w:t>
      </w:r>
    </w:p>
    <w:p w:rsidR="00D15964" w:rsidRPr="00D15964" w:rsidRDefault="00D15964" w:rsidP="00D15964">
      <w:pPr>
        <w:tabs>
          <w:tab w:val="left" w:pos="567"/>
        </w:tabs>
        <w:autoSpaceDE w:val="0"/>
        <w:autoSpaceDN w:val="0"/>
        <w:adjustRightInd w:val="0"/>
        <w:spacing w:after="0" w:line="240" w:lineRule="auto"/>
        <w:jc w:val="both"/>
        <w:rPr>
          <w:rFonts w:ascii="Verdana" w:hAnsi="Verdana"/>
          <w:sz w:val="20"/>
          <w:szCs w:val="20"/>
        </w:rPr>
      </w:pPr>
    </w:p>
    <w:p w:rsidR="00D15964" w:rsidRPr="00DD590D" w:rsidRDefault="00D15964" w:rsidP="00AD709F">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DD590D">
        <w:rPr>
          <w:rFonts w:ascii="Verdana" w:hAnsi="Verdana" w:cs="Verdana"/>
          <w:sz w:val="20"/>
          <w:szCs w:val="20"/>
        </w:rPr>
        <w:t xml:space="preserve">Asimismo, el Estado </w:t>
      </w:r>
      <w:r w:rsidR="00F75D55" w:rsidRPr="00DD590D">
        <w:rPr>
          <w:rFonts w:ascii="Verdana" w:hAnsi="Verdana" w:cs="Verdana"/>
          <w:sz w:val="20"/>
          <w:szCs w:val="20"/>
        </w:rPr>
        <w:t xml:space="preserve">señaló que el artículo 1 de la CIPST solo hace referencia a la tortura, y no a otro tipo de tratos, por lo que su mención en referencia a la investigación interna y como ésta habría vulnerado los derechos del señor Quispialaya, hace necesario que la Corte aclare la relación que este artículo tiene con dicha vulneración. </w:t>
      </w:r>
      <w:r w:rsidR="00DD590D" w:rsidRPr="00DD590D">
        <w:rPr>
          <w:rFonts w:ascii="Verdana" w:hAnsi="Verdana" w:cs="Verdana"/>
          <w:sz w:val="20"/>
          <w:szCs w:val="20"/>
        </w:rPr>
        <w:t xml:space="preserve">Por lo tanto, </w:t>
      </w:r>
      <w:r w:rsidR="00DD590D">
        <w:rPr>
          <w:rFonts w:ascii="Verdana" w:hAnsi="Verdana" w:cs="Verdana"/>
          <w:sz w:val="20"/>
          <w:szCs w:val="20"/>
        </w:rPr>
        <w:t xml:space="preserve">el Estado </w:t>
      </w:r>
      <w:r w:rsidRPr="00DD590D">
        <w:rPr>
          <w:rFonts w:ascii="Verdana" w:hAnsi="Verdana" w:cs="Verdana"/>
          <w:sz w:val="20"/>
          <w:szCs w:val="20"/>
        </w:rPr>
        <w:t xml:space="preserve">solicitó a la Corte que aclare </w:t>
      </w:r>
      <w:r w:rsidR="00F75D55" w:rsidRPr="00DD590D">
        <w:rPr>
          <w:rFonts w:ascii="Verdana" w:hAnsi="Verdana" w:cs="Verdana"/>
          <w:sz w:val="20"/>
          <w:szCs w:val="20"/>
        </w:rPr>
        <w:t>si</w:t>
      </w:r>
      <w:r w:rsidRPr="00DD590D">
        <w:rPr>
          <w:rFonts w:ascii="Verdana" w:hAnsi="Verdana" w:cs="Verdana"/>
          <w:sz w:val="20"/>
          <w:szCs w:val="20"/>
        </w:rPr>
        <w:t xml:space="preserve"> la relación del artículo 6 de la CIPST con la vulneración de los artículos 8.1 y 25 de la Convención Americana </w:t>
      </w:r>
      <w:r w:rsidR="00F15834">
        <w:rPr>
          <w:rFonts w:ascii="Verdana" w:hAnsi="Verdana" w:cs="Verdana"/>
          <w:sz w:val="20"/>
          <w:szCs w:val="20"/>
        </w:rPr>
        <w:t>se refiere</w:t>
      </w:r>
      <w:r w:rsidRPr="00DD590D">
        <w:rPr>
          <w:rFonts w:ascii="Verdana" w:hAnsi="Verdana" w:cs="Verdana"/>
          <w:sz w:val="20"/>
          <w:szCs w:val="20"/>
        </w:rPr>
        <w:t xml:space="preserve">, </w:t>
      </w:r>
      <w:r w:rsidR="00785FF9" w:rsidRPr="00DD590D">
        <w:rPr>
          <w:rFonts w:ascii="Verdana" w:hAnsi="Verdana" w:cs="Verdana"/>
          <w:sz w:val="20"/>
          <w:szCs w:val="20"/>
        </w:rPr>
        <w:t xml:space="preserve">al igual que en el caso del artículo 1, </w:t>
      </w:r>
      <w:r w:rsidR="00F75D55" w:rsidRPr="00DD590D">
        <w:rPr>
          <w:rFonts w:ascii="Verdana" w:hAnsi="Verdana" w:cs="Verdana"/>
          <w:sz w:val="20"/>
          <w:szCs w:val="20"/>
        </w:rPr>
        <w:t xml:space="preserve">a la investigación de los hechos denunciados como tortura. Es decir, si el artículo 6 de la CIPST se habría vulnerado específicamente en este caso por las características del proceso seguido en la jurisdicción interna, y no porque la Corte haya calificado como tortura la afectación a la integridad personal del señor Quispialaya. </w:t>
      </w:r>
    </w:p>
    <w:p w:rsidR="00434957" w:rsidRPr="00BE133F" w:rsidRDefault="00434957" w:rsidP="00434957">
      <w:pPr>
        <w:tabs>
          <w:tab w:val="left" w:pos="567"/>
        </w:tabs>
        <w:autoSpaceDE w:val="0"/>
        <w:autoSpaceDN w:val="0"/>
        <w:adjustRightInd w:val="0"/>
        <w:spacing w:after="0" w:line="240" w:lineRule="auto"/>
        <w:jc w:val="both"/>
        <w:rPr>
          <w:rFonts w:ascii="Verdana" w:hAnsi="Verdana"/>
          <w:sz w:val="20"/>
          <w:szCs w:val="20"/>
        </w:rPr>
      </w:pPr>
    </w:p>
    <w:p w:rsidR="00A5262F" w:rsidRPr="00677F3E" w:rsidRDefault="00577097" w:rsidP="00DF679D">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DF679D">
        <w:rPr>
          <w:rFonts w:ascii="Verdana" w:hAnsi="Verdana"/>
          <w:sz w:val="20"/>
          <w:szCs w:val="20"/>
        </w:rPr>
        <w:lastRenderedPageBreak/>
        <w:t xml:space="preserve">Al respecto, </w:t>
      </w:r>
      <w:r w:rsidR="00284014" w:rsidRPr="00DF679D">
        <w:rPr>
          <w:rFonts w:ascii="Verdana" w:hAnsi="Verdana"/>
          <w:sz w:val="20"/>
          <w:szCs w:val="20"/>
        </w:rPr>
        <w:t xml:space="preserve">la </w:t>
      </w:r>
      <w:r w:rsidRPr="00677F3E">
        <w:rPr>
          <w:rFonts w:ascii="Verdana" w:hAnsi="Verdana"/>
          <w:b/>
          <w:i/>
          <w:sz w:val="20"/>
          <w:szCs w:val="20"/>
        </w:rPr>
        <w:t>Comisión</w:t>
      </w:r>
      <w:r w:rsidRPr="00677F3E">
        <w:rPr>
          <w:rFonts w:ascii="Verdana" w:hAnsi="Verdana"/>
          <w:sz w:val="20"/>
          <w:szCs w:val="20"/>
        </w:rPr>
        <w:t xml:space="preserve"> </w:t>
      </w:r>
      <w:r w:rsidR="00434957" w:rsidRPr="00677F3E">
        <w:rPr>
          <w:rFonts w:ascii="Verdana" w:hAnsi="Verdana"/>
          <w:sz w:val="20"/>
          <w:szCs w:val="20"/>
        </w:rPr>
        <w:t>consideró</w:t>
      </w:r>
      <w:r w:rsidR="00DF679D" w:rsidRPr="00677F3E">
        <w:rPr>
          <w:rFonts w:ascii="Verdana" w:hAnsi="Verdana"/>
          <w:sz w:val="20"/>
          <w:szCs w:val="20"/>
        </w:rPr>
        <w:t xml:space="preserve"> que la Sentencia </w:t>
      </w:r>
      <w:r w:rsidR="00DF679D" w:rsidRPr="00677F3E">
        <w:rPr>
          <w:rFonts w:ascii="Verdana" w:hAnsi="Verdana"/>
          <w:sz w:val="20"/>
          <w:szCs w:val="20"/>
          <w:lang w:val="es-ES"/>
        </w:rPr>
        <w:t xml:space="preserve">indicó en el párrafo 129 que la agresión cometida en perjuicio de la víctima </w:t>
      </w:r>
      <w:r w:rsidR="00D954A8">
        <w:rPr>
          <w:rFonts w:ascii="Verdana" w:hAnsi="Verdana"/>
          <w:sz w:val="20"/>
          <w:szCs w:val="20"/>
          <w:lang w:val="es-ES"/>
        </w:rPr>
        <w:t>“</w:t>
      </w:r>
      <w:r w:rsidR="00DF679D" w:rsidRPr="00677F3E">
        <w:rPr>
          <w:rFonts w:ascii="Verdana" w:hAnsi="Verdana"/>
          <w:sz w:val="20"/>
          <w:szCs w:val="20"/>
          <w:lang w:val="es-ES"/>
        </w:rPr>
        <w:t>representó una violación a los artículos 5.1 y 5.2 de la Convención Americana sobre Derechos Humanos y el incumplimiento del artículo 6 de la Convención lnteramericana para Prevenir y Sancionar la Tortura, los cuales prohíben los actos de tortura y los tratos o penas crueles, inhumanos o degradantes</w:t>
      </w:r>
      <w:r w:rsidR="00D954A8">
        <w:rPr>
          <w:rFonts w:ascii="Verdana" w:hAnsi="Verdana"/>
          <w:sz w:val="20"/>
          <w:szCs w:val="20"/>
          <w:lang w:val="es-ES"/>
        </w:rPr>
        <w:t>”</w:t>
      </w:r>
      <w:r w:rsidR="00DF679D" w:rsidRPr="00677F3E">
        <w:rPr>
          <w:rFonts w:ascii="Verdana" w:hAnsi="Verdana"/>
          <w:sz w:val="20"/>
          <w:szCs w:val="20"/>
          <w:lang w:val="es-ES"/>
        </w:rPr>
        <w:t>. Al respecto, en principio, no procede aclarar el alcance de dicho párrafo en vista de que el mismo establece claramente el alcance</w:t>
      </w:r>
      <w:r w:rsidR="00F15834">
        <w:rPr>
          <w:rFonts w:ascii="Verdana" w:hAnsi="Verdana"/>
          <w:sz w:val="20"/>
          <w:szCs w:val="20"/>
          <w:lang w:val="es-ES"/>
        </w:rPr>
        <w:t xml:space="preserve"> de</w:t>
      </w:r>
      <w:r w:rsidR="00DF679D" w:rsidRPr="00677F3E">
        <w:rPr>
          <w:rFonts w:ascii="Verdana" w:hAnsi="Verdana"/>
          <w:sz w:val="20"/>
          <w:szCs w:val="20"/>
          <w:lang w:val="es-ES"/>
        </w:rPr>
        <w:t xml:space="preserve"> la responsabilidad del Estado por la agresión perpetrada en contra de la víctima. La Comisión entiende</w:t>
      </w:r>
      <w:r w:rsidR="00DF679D" w:rsidRPr="00DF679D">
        <w:rPr>
          <w:rFonts w:ascii="Verdana" w:hAnsi="Verdana"/>
          <w:sz w:val="20"/>
          <w:szCs w:val="20"/>
          <w:lang w:val="es-ES"/>
        </w:rPr>
        <w:t xml:space="preserve"> que la invocación del artículo 5</w:t>
      </w:r>
      <w:r w:rsidR="00D954A8">
        <w:rPr>
          <w:rFonts w:ascii="Verdana" w:hAnsi="Verdana"/>
          <w:sz w:val="20"/>
          <w:szCs w:val="20"/>
          <w:lang w:val="es-ES"/>
        </w:rPr>
        <w:t>.2 de la Convención y 6 de la CI</w:t>
      </w:r>
      <w:r w:rsidR="00DF679D" w:rsidRPr="00DF679D">
        <w:rPr>
          <w:rFonts w:ascii="Verdana" w:hAnsi="Verdana"/>
          <w:sz w:val="20"/>
          <w:szCs w:val="20"/>
          <w:lang w:val="es-ES"/>
        </w:rPr>
        <w:t>PST, sin distinciones y a la luz de lo argumentado durante el proceso, permite entender que la Corte Interamericana consideró que los hechos constituyeron tortura y tratos crueles, inhumanos o degradantes. Esto, sin perjuicio de que la Corte considere pertinente hacer explícito este entendimiento en una Sentencia de interpretación, tal como lo solicita el Estado</w:t>
      </w:r>
      <w:r w:rsidR="00677F3E">
        <w:rPr>
          <w:rFonts w:ascii="Verdana" w:hAnsi="Verdana"/>
          <w:sz w:val="20"/>
          <w:szCs w:val="20"/>
          <w:lang w:val="es-ES"/>
        </w:rPr>
        <w:t>.</w:t>
      </w:r>
    </w:p>
    <w:p w:rsidR="00677F3E" w:rsidRPr="00677F3E" w:rsidRDefault="00677F3E" w:rsidP="00677F3E">
      <w:pPr>
        <w:tabs>
          <w:tab w:val="left" w:pos="567"/>
        </w:tabs>
        <w:autoSpaceDE w:val="0"/>
        <w:autoSpaceDN w:val="0"/>
        <w:adjustRightInd w:val="0"/>
        <w:spacing w:after="0" w:line="240" w:lineRule="auto"/>
        <w:jc w:val="both"/>
        <w:rPr>
          <w:rFonts w:ascii="Verdana" w:hAnsi="Verdana"/>
          <w:sz w:val="20"/>
          <w:szCs w:val="20"/>
        </w:rPr>
      </w:pPr>
    </w:p>
    <w:p w:rsidR="00677F3E" w:rsidRPr="00677F3E" w:rsidRDefault="00677F3E" w:rsidP="00677F3E">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677F3E">
        <w:rPr>
          <w:rFonts w:ascii="Verdana" w:hAnsi="Verdana"/>
          <w:sz w:val="20"/>
          <w:szCs w:val="20"/>
        </w:rPr>
        <w:t xml:space="preserve">Asimismo, </w:t>
      </w:r>
      <w:r w:rsidRPr="00677F3E">
        <w:rPr>
          <w:rFonts w:ascii="Verdana" w:hAnsi="Verdana"/>
          <w:sz w:val="20"/>
          <w:szCs w:val="20"/>
          <w:lang w:val="es-ES"/>
        </w:rPr>
        <w:t xml:space="preserve">la Comisión hace notar que si bien como lo señaló el Estado, la Corte indicó que </w:t>
      </w:r>
      <w:r w:rsidR="00D954A8">
        <w:rPr>
          <w:rFonts w:ascii="Verdana" w:hAnsi="Verdana"/>
          <w:sz w:val="20"/>
          <w:szCs w:val="20"/>
          <w:lang w:val="es-ES"/>
        </w:rPr>
        <w:t>“</w:t>
      </w:r>
      <w:r w:rsidRPr="00677F3E">
        <w:rPr>
          <w:rFonts w:ascii="Verdana" w:hAnsi="Verdana"/>
          <w:sz w:val="20"/>
          <w:szCs w:val="20"/>
          <w:lang w:val="es-ES"/>
        </w:rPr>
        <w:t>en relación con la definición del delito cometido por el acusado (tortura o lesiones graves), compete a las autoridades internas realizar esa determinación al final del proceso penal correspondiente</w:t>
      </w:r>
      <w:r w:rsidR="00D954A8">
        <w:rPr>
          <w:rFonts w:ascii="Verdana" w:hAnsi="Verdana"/>
          <w:sz w:val="20"/>
          <w:szCs w:val="20"/>
          <w:lang w:val="es-ES"/>
        </w:rPr>
        <w:t>”</w:t>
      </w:r>
      <w:r w:rsidRPr="00677F3E">
        <w:rPr>
          <w:rFonts w:ascii="Verdana" w:hAnsi="Verdana"/>
          <w:sz w:val="20"/>
          <w:szCs w:val="20"/>
          <w:lang w:val="es-ES"/>
        </w:rPr>
        <w:t>, esto es así porque la atribución de responsabilidad internacional es diferente de las categorías penales propias de la jurisdicción interna que, en este caso, son las llamadas a determinar el tipo penal en el que se encuadra una conducta. En todo caso, la Comisión observa que la Corte constató que "actualmente la agresión contra Valdemir Quispialaya está siendo investigada por el Ministerio Público peruano bajo la figura de tortura" (párr. 218) y ordenó "continuar la investigación y</w:t>
      </w:r>
      <w:r>
        <w:rPr>
          <w:rFonts w:ascii="Verdana" w:hAnsi="Verdana"/>
          <w:sz w:val="20"/>
          <w:szCs w:val="20"/>
          <w:lang w:val="es-ES"/>
        </w:rPr>
        <w:t>/</w:t>
      </w:r>
      <w:r w:rsidRPr="00677F3E">
        <w:rPr>
          <w:rFonts w:ascii="Verdana" w:hAnsi="Verdana"/>
          <w:iCs/>
          <w:sz w:val="20"/>
          <w:szCs w:val="20"/>
          <w:lang w:val="es-ES"/>
        </w:rPr>
        <w:t>o</w:t>
      </w:r>
      <w:r w:rsidRPr="00677F3E">
        <w:rPr>
          <w:rFonts w:ascii="Verdana" w:hAnsi="Verdana"/>
          <w:i/>
          <w:iCs/>
          <w:sz w:val="20"/>
          <w:szCs w:val="20"/>
          <w:lang w:val="es-ES"/>
        </w:rPr>
        <w:t xml:space="preserve"> </w:t>
      </w:r>
      <w:r w:rsidRPr="00677F3E">
        <w:rPr>
          <w:rFonts w:ascii="Verdana" w:hAnsi="Verdana"/>
          <w:sz w:val="20"/>
          <w:szCs w:val="20"/>
          <w:lang w:val="es-ES"/>
        </w:rPr>
        <w:t>proceso actualmente en curso" (punto resolutivo 7) es decir, la seguida por el delito de tortura.</w:t>
      </w:r>
      <w:r>
        <w:rPr>
          <w:rFonts w:ascii="Verdana" w:hAnsi="Verdana"/>
          <w:sz w:val="20"/>
          <w:szCs w:val="20"/>
          <w:lang w:val="es-ES"/>
        </w:rPr>
        <w:t xml:space="preserve"> </w:t>
      </w:r>
    </w:p>
    <w:p w:rsidR="00EE3FD4" w:rsidRPr="00EE3FD4" w:rsidRDefault="00EE3FD4" w:rsidP="00EE3FD4">
      <w:pPr>
        <w:tabs>
          <w:tab w:val="left" w:pos="567"/>
        </w:tabs>
        <w:autoSpaceDE w:val="0"/>
        <w:autoSpaceDN w:val="0"/>
        <w:adjustRightInd w:val="0"/>
        <w:spacing w:after="0" w:line="240" w:lineRule="auto"/>
        <w:jc w:val="both"/>
        <w:rPr>
          <w:rFonts w:ascii="Verdana" w:hAnsi="Verdana"/>
          <w:sz w:val="20"/>
          <w:szCs w:val="20"/>
        </w:rPr>
      </w:pPr>
    </w:p>
    <w:p w:rsidR="00E15834" w:rsidRDefault="00A5262F" w:rsidP="00EF4195">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EF4195">
        <w:rPr>
          <w:rFonts w:ascii="Verdana" w:hAnsi="Verdana"/>
          <w:sz w:val="20"/>
          <w:szCs w:val="20"/>
        </w:rPr>
        <w:t xml:space="preserve">Por su parte </w:t>
      </w:r>
      <w:r w:rsidR="00AB7880" w:rsidRPr="00BA3ADC">
        <w:rPr>
          <w:rFonts w:ascii="Verdana" w:hAnsi="Verdana"/>
          <w:sz w:val="20"/>
          <w:szCs w:val="20"/>
        </w:rPr>
        <w:t>los</w:t>
      </w:r>
      <w:r w:rsidR="00AB7880" w:rsidRPr="00AB7880">
        <w:rPr>
          <w:rFonts w:ascii="Verdana" w:hAnsi="Verdana"/>
          <w:b/>
          <w:i/>
          <w:sz w:val="20"/>
          <w:szCs w:val="20"/>
        </w:rPr>
        <w:t xml:space="preserve"> representantes</w:t>
      </w:r>
      <w:r w:rsidR="00DD590D" w:rsidRPr="00EF4195">
        <w:rPr>
          <w:rFonts w:ascii="Verdana" w:hAnsi="Verdana"/>
          <w:sz w:val="20"/>
          <w:szCs w:val="20"/>
        </w:rPr>
        <w:t xml:space="preserve"> </w:t>
      </w:r>
      <w:r w:rsidR="00AB7880">
        <w:rPr>
          <w:rFonts w:ascii="Verdana" w:hAnsi="Verdana"/>
          <w:sz w:val="20"/>
          <w:szCs w:val="20"/>
        </w:rPr>
        <w:t>consideraron</w:t>
      </w:r>
      <w:r w:rsidR="003B547D" w:rsidRPr="00EF4195">
        <w:rPr>
          <w:rFonts w:ascii="Verdana" w:hAnsi="Verdana"/>
          <w:sz w:val="20"/>
          <w:szCs w:val="20"/>
        </w:rPr>
        <w:t xml:space="preserve"> q</w:t>
      </w:r>
      <w:r w:rsidR="00A42EDC" w:rsidRPr="00EF4195">
        <w:rPr>
          <w:rFonts w:ascii="Verdana" w:hAnsi="Verdana"/>
          <w:sz w:val="20"/>
          <w:szCs w:val="20"/>
        </w:rPr>
        <w:t>ue</w:t>
      </w:r>
      <w:r w:rsidR="00677F3E" w:rsidRPr="00EF4195">
        <w:rPr>
          <w:rFonts w:ascii="Verdana" w:hAnsi="Verdana"/>
          <w:sz w:val="20"/>
          <w:szCs w:val="20"/>
        </w:rPr>
        <w:t xml:space="preserve"> de </w:t>
      </w:r>
      <w:r w:rsidR="00677F3E" w:rsidRPr="00EF4195">
        <w:rPr>
          <w:rFonts w:ascii="Verdana" w:hAnsi="Verdana"/>
          <w:sz w:val="20"/>
          <w:szCs w:val="20"/>
          <w:lang w:val="es-ES"/>
        </w:rPr>
        <w:t xml:space="preserve">la lectura de los párrafos </w:t>
      </w:r>
      <w:r w:rsidR="00EF4195" w:rsidRPr="00EF4195">
        <w:rPr>
          <w:rFonts w:ascii="Verdana" w:hAnsi="Verdana"/>
          <w:sz w:val="20"/>
          <w:szCs w:val="20"/>
          <w:lang w:val="es-ES"/>
        </w:rPr>
        <w:t>161 a 169 de la Sentencia</w:t>
      </w:r>
      <w:r w:rsidR="00677F3E" w:rsidRPr="00EF4195">
        <w:rPr>
          <w:rFonts w:ascii="Verdana" w:hAnsi="Verdana"/>
          <w:sz w:val="20"/>
          <w:szCs w:val="20"/>
          <w:lang w:val="es-ES"/>
        </w:rPr>
        <w:t>, es claro que la Corte Interamericana</w:t>
      </w:r>
      <w:r w:rsidR="00EF4195" w:rsidRPr="00EF4195">
        <w:rPr>
          <w:rFonts w:ascii="Verdana" w:hAnsi="Verdana"/>
          <w:sz w:val="20"/>
          <w:szCs w:val="20"/>
          <w:lang w:val="es-ES"/>
        </w:rPr>
        <w:t xml:space="preserve"> </w:t>
      </w:r>
      <w:r w:rsidR="00677F3E" w:rsidRPr="00EF4195">
        <w:rPr>
          <w:rFonts w:ascii="Verdana" w:hAnsi="Verdana"/>
          <w:sz w:val="20"/>
          <w:szCs w:val="20"/>
          <w:lang w:val="es-ES"/>
        </w:rPr>
        <w:t xml:space="preserve">considera que la violación de los artículos 8.1 y 25 de la </w:t>
      </w:r>
      <w:r w:rsidR="00EF4195" w:rsidRPr="00EF4195">
        <w:rPr>
          <w:rFonts w:ascii="Verdana" w:hAnsi="Verdana"/>
          <w:sz w:val="20"/>
          <w:szCs w:val="20"/>
          <w:lang w:val="es-ES"/>
        </w:rPr>
        <w:t>Convención</w:t>
      </w:r>
      <w:r w:rsidR="00677F3E" w:rsidRPr="00EF4195">
        <w:rPr>
          <w:rFonts w:ascii="Verdana" w:hAnsi="Verdana"/>
          <w:sz w:val="20"/>
          <w:szCs w:val="20"/>
          <w:lang w:val="es-ES"/>
        </w:rPr>
        <w:t>, en relación a los</w:t>
      </w:r>
      <w:r w:rsidR="00EF4195" w:rsidRPr="00EF4195">
        <w:rPr>
          <w:rFonts w:ascii="Verdana" w:hAnsi="Verdana"/>
          <w:sz w:val="20"/>
          <w:szCs w:val="20"/>
          <w:lang w:val="es-ES"/>
        </w:rPr>
        <w:t xml:space="preserve"> </w:t>
      </w:r>
      <w:r w:rsidR="00677F3E" w:rsidRPr="00EF4195">
        <w:rPr>
          <w:rFonts w:ascii="Verdana" w:hAnsi="Verdana"/>
          <w:sz w:val="20"/>
          <w:szCs w:val="20"/>
          <w:lang w:val="es-ES"/>
        </w:rPr>
        <w:t>artículos 1, 6 y 8 de la CIPST se originan por la falta de inicio de una investigación</w:t>
      </w:r>
      <w:r w:rsidR="00EF4195" w:rsidRPr="00EF4195">
        <w:rPr>
          <w:rFonts w:ascii="Verdana" w:hAnsi="Verdana"/>
          <w:sz w:val="20"/>
          <w:szCs w:val="20"/>
          <w:lang w:val="es-ES"/>
        </w:rPr>
        <w:t xml:space="preserve"> </w:t>
      </w:r>
      <w:r w:rsidR="00677F3E" w:rsidRPr="00EF4195">
        <w:rPr>
          <w:rFonts w:ascii="Verdana" w:hAnsi="Verdana"/>
          <w:sz w:val="20"/>
          <w:szCs w:val="20"/>
          <w:lang w:val="es-ES"/>
        </w:rPr>
        <w:t xml:space="preserve">de manera inmediata y </w:t>
      </w:r>
      <w:r w:rsidR="00677F3E" w:rsidRPr="00EF4195">
        <w:rPr>
          <w:rFonts w:ascii="Verdana" w:hAnsi="Verdana"/>
          <w:i/>
          <w:iCs/>
          <w:sz w:val="20"/>
          <w:szCs w:val="20"/>
          <w:lang w:val="es-ES"/>
        </w:rPr>
        <w:t xml:space="preserve">ex </w:t>
      </w:r>
      <w:proofErr w:type="spellStart"/>
      <w:r w:rsidR="00677F3E" w:rsidRPr="00EF4195">
        <w:rPr>
          <w:rFonts w:ascii="Verdana" w:hAnsi="Verdana"/>
          <w:i/>
          <w:iCs/>
          <w:sz w:val="20"/>
          <w:szCs w:val="20"/>
          <w:lang w:val="es-ES"/>
        </w:rPr>
        <w:t>officio</w:t>
      </w:r>
      <w:proofErr w:type="spellEnd"/>
      <w:r w:rsidR="00677F3E" w:rsidRPr="00EF4195">
        <w:rPr>
          <w:rFonts w:ascii="Verdana" w:hAnsi="Verdana"/>
          <w:i/>
          <w:iCs/>
          <w:sz w:val="20"/>
          <w:szCs w:val="20"/>
          <w:lang w:val="es-ES"/>
        </w:rPr>
        <w:t xml:space="preserve"> </w:t>
      </w:r>
      <w:r w:rsidR="00677F3E" w:rsidRPr="00EF4195">
        <w:rPr>
          <w:rFonts w:ascii="Verdana" w:hAnsi="Verdana"/>
          <w:sz w:val="20"/>
          <w:szCs w:val="20"/>
          <w:lang w:val="es-ES"/>
        </w:rPr>
        <w:t>y por la falta de debida diligencia en la</w:t>
      </w:r>
      <w:r w:rsidR="00EF4195" w:rsidRPr="00EF4195">
        <w:rPr>
          <w:rFonts w:ascii="Verdana" w:hAnsi="Verdana"/>
          <w:sz w:val="20"/>
          <w:szCs w:val="20"/>
          <w:lang w:val="es-ES"/>
        </w:rPr>
        <w:t xml:space="preserve"> </w:t>
      </w:r>
      <w:r w:rsidR="00677F3E" w:rsidRPr="00EF4195">
        <w:rPr>
          <w:rFonts w:ascii="Verdana" w:hAnsi="Verdana"/>
          <w:sz w:val="20"/>
          <w:szCs w:val="20"/>
          <w:lang w:val="es-ES"/>
        </w:rPr>
        <w:t>investigación fiscal del año 2007.</w:t>
      </w:r>
      <w:r w:rsidR="00EF4195" w:rsidRPr="00EF4195">
        <w:rPr>
          <w:rFonts w:ascii="Verdana" w:hAnsi="Verdana"/>
          <w:sz w:val="20"/>
          <w:szCs w:val="20"/>
          <w:lang w:val="es-ES"/>
        </w:rPr>
        <w:t xml:space="preserve"> Es evidente que la declaración de la violación de los artículos cuestionados por el Estado se fundamenta en la investigación de los hechos denunciados y las características del proceso seguido en la jurisdicción interna, siendo innecesaria la precisión de si dichos hechos son calificados por la Corte Interamericana como tortura o no. En ese sentido, </w:t>
      </w:r>
      <w:r w:rsidR="00AE0798">
        <w:rPr>
          <w:rFonts w:ascii="Verdana" w:hAnsi="Verdana"/>
          <w:sz w:val="20"/>
          <w:szCs w:val="20"/>
          <w:lang w:val="es-ES"/>
        </w:rPr>
        <w:t xml:space="preserve">entienden </w:t>
      </w:r>
      <w:r w:rsidR="00EF4195" w:rsidRPr="00EF4195">
        <w:rPr>
          <w:rFonts w:ascii="Verdana" w:hAnsi="Verdana"/>
          <w:sz w:val="20"/>
          <w:szCs w:val="20"/>
          <w:lang w:val="es-ES"/>
        </w:rPr>
        <w:t>que la pretensión del Estado estaría referida en realidad a que la Corte Interamericana brinde una calificación jurídica exacta a los hechos de los cuales fue víctima el señor Valdemir Quispialaya. Sin embargo, ello no es posible pues, tal como la Corte IDH manifestó en su sentencia, la definición del delito cometido corresponde, en principio, a las autoridades internas en el proceso penal correspondiente</w:t>
      </w:r>
      <w:r w:rsidR="00EF4195">
        <w:rPr>
          <w:rFonts w:ascii="Verdana" w:hAnsi="Verdana"/>
          <w:sz w:val="20"/>
          <w:szCs w:val="20"/>
        </w:rPr>
        <w:t xml:space="preserve">. </w:t>
      </w:r>
    </w:p>
    <w:p w:rsidR="00EF4195" w:rsidRPr="00EF4195" w:rsidRDefault="00EF4195" w:rsidP="00EF4195">
      <w:pPr>
        <w:tabs>
          <w:tab w:val="left" w:pos="567"/>
        </w:tabs>
        <w:autoSpaceDE w:val="0"/>
        <w:autoSpaceDN w:val="0"/>
        <w:adjustRightInd w:val="0"/>
        <w:spacing w:after="0" w:line="240" w:lineRule="auto"/>
        <w:jc w:val="both"/>
        <w:rPr>
          <w:rFonts w:ascii="Verdana" w:hAnsi="Verdana"/>
          <w:sz w:val="20"/>
          <w:szCs w:val="20"/>
          <w:lang w:val="es-ES"/>
        </w:rPr>
      </w:pPr>
    </w:p>
    <w:p w:rsidR="00AB7880" w:rsidRPr="00BA3ADC" w:rsidRDefault="00EF4195" w:rsidP="00AB7880">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AB7880">
        <w:rPr>
          <w:rFonts w:ascii="Verdana" w:hAnsi="Verdana"/>
          <w:sz w:val="20"/>
          <w:szCs w:val="20"/>
          <w:lang w:val="es-ES"/>
        </w:rPr>
        <w:t xml:space="preserve">Además, </w:t>
      </w:r>
      <w:r w:rsidR="00AB7880">
        <w:rPr>
          <w:rFonts w:ascii="Verdana" w:hAnsi="Verdana"/>
          <w:sz w:val="20"/>
          <w:szCs w:val="20"/>
          <w:lang w:val="es-ES"/>
        </w:rPr>
        <w:t>afirmaron</w:t>
      </w:r>
      <w:r w:rsidRPr="00AB7880">
        <w:rPr>
          <w:rFonts w:ascii="Verdana" w:hAnsi="Verdana"/>
          <w:sz w:val="20"/>
          <w:szCs w:val="20"/>
          <w:lang w:val="es-ES"/>
        </w:rPr>
        <w:t xml:space="preserve"> que </w:t>
      </w:r>
      <w:r w:rsidR="001D27EC">
        <w:rPr>
          <w:rFonts w:ascii="Verdana" w:hAnsi="Verdana"/>
          <w:sz w:val="20"/>
          <w:szCs w:val="20"/>
          <w:lang w:val="es-ES"/>
        </w:rPr>
        <w:t xml:space="preserve">lo que </w:t>
      </w:r>
      <w:r w:rsidRPr="00AB7880">
        <w:rPr>
          <w:rFonts w:ascii="Verdana" w:hAnsi="Verdana"/>
          <w:sz w:val="20"/>
          <w:szCs w:val="20"/>
          <w:lang w:val="es-ES"/>
        </w:rPr>
        <w:t xml:space="preserve">el Estado estaría persiguiendo con la presente solicitud de interpretación es que la Corte Interamericana precise si los hechos del presente caso constituyen torturas, tratos crueles, inhumanos o degradantes o simples afectaciones al derecho a la integridad personal del señor Quispialaya, lo que no puede ser materia de solicitud de interpretación. </w:t>
      </w:r>
      <w:r w:rsidR="00AB7880" w:rsidRPr="00AB7880">
        <w:rPr>
          <w:rFonts w:ascii="Verdana" w:hAnsi="Verdana"/>
          <w:sz w:val="20"/>
          <w:szCs w:val="20"/>
          <w:lang w:val="es-ES"/>
        </w:rPr>
        <w:t>Por todo lo antes mencionado, solicitaron a la Corte que declare improcedente la solicitud de interpretación del Estado en este punto, pues el texto de la Sentencia no carece de claridad ni precisión o, en su defecto, adopte una decisión similar a la adoptada en la interpretación de sentencia del Caso J. Vs. Perú y aclare que corresponde al Estado, en el marco de su obligación de investigar, determinar la calificación jurídica específica que corresponde a estos hechos, dentro de las conductas prohibidas por el artículo 5.2 de la Convención</w:t>
      </w:r>
      <w:r w:rsidR="00AB7880">
        <w:rPr>
          <w:rFonts w:ascii="Verdana" w:hAnsi="Verdana"/>
          <w:sz w:val="20"/>
          <w:szCs w:val="20"/>
          <w:lang w:val="es-ES"/>
        </w:rPr>
        <w:t>.</w:t>
      </w:r>
    </w:p>
    <w:p w:rsidR="00AB7880" w:rsidRPr="00AB7880" w:rsidRDefault="00AB7880" w:rsidP="00AB7880">
      <w:pPr>
        <w:tabs>
          <w:tab w:val="left" w:pos="567"/>
          <w:tab w:val="num" w:pos="720"/>
        </w:tabs>
        <w:autoSpaceDE w:val="0"/>
        <w:autoSpaceDN w:val="0"/>
        <w:adjustRightInd w:val="0"/>
        <w:spacing w:after="0" w:line="240" w:lineRule="auto"/>
        <w:jc w:val="both"/>
        <w:rPr>
          <w:rFonts w:ascii="Verdana" w:hAnsi="Verdana"/>
          <w:sz w:val="20"/>
          <w:szCs w:val="20"/>
        </w:rPr>
      </w:pPr>
    </w:p>
    <w:p w:rsidR="00577097" w:rsidRPr="00BE133F" w:rsidRDefault="00064C1E" w:rsidP="00064C1E">
      <w:pPr>
        <w:tabs>
          <w:tab w:val="left" w:pos="567"/>
        </w:tabs>
        <w:spacing w:after="0" w:line="240" w:lineRule="auto"/>
        <w:ind w:left="360"/>
        <w:jc w:val="both"/>
        <w:rPr>
          <w:rFonts w:ascii="Verdana" w:eastAsia="Times" w:hAnsi="Verdana"/>
          <w:i/>
          <w:sz w:val="20"/>
          <w:szCs w:val="20"/>
        </w:rPr>
      </w:pPr>
      <w:r w:rsidRPr="00BE133F">
        <w:rPr>
          <w:rFonts w:ascii="Verdana" w:eastAsia="Times" w:hAnsi="Verdana"/>
          <w:i/>
          <w:sz w:val="20"/>
          <w:szCs w:val="20"/>
        </w:rPr>
        <w:lastRenderedPageBreak/>
        <w:t xml:space="preserve">A.2 Solicitud de interpretación </w:t>
      </w:r>
      <w:r w:rsidR="00DD590D">
        <w:rPr>
          <w:rFonts w:ascii="Verdana" w:eastAsia="Times" w:hAnsi="Verdana"/>
          <w:i/>
          <w:sz w:val="20"/>
          <w:szCs w:val="20"/>
        </w:rPr>
        <w:t xml:space="preserve">sobre </w:t>
      </w:r>
      <w:r w:rsidR="00BA3ADC">
        <w:rPr>
          <w:rFonts w:ascii="Verdana" w:eastAsia="Times" w:hAnsi="Verdana"/>
          <w:i/>
          <w:sz w:val="20"/>
          <w:szCs w:val="20"/>
        </w:rPr>
        <w:t xml:space="preserve">el </w:t>
      </w:r>
      <w:r w:rsidR="00DD590D">
        <w:rPr>
          <w:rFonts w:ascii="Verdana" w:eastAsia="Times" w:hAnsi="Verdana"/>
          <w:i/>
          <w:sz w:val="20"/>
          <w:szCs w:val="20"/>
        </w:rPr>
        <w:t xml:space="preserve">número de votos por el que se declaró la responsabilidad del Estado por la intervención de la justicia militar </w:t>
      </w:r>
    </w:p>
    <w:p w:rsidR="00064C1E" w:rsidRPr="00BE133F" w:rsidRDefault="00064C1E" w:rsidP="00577097">
      <w:pPr>
        <w:tabs>
          <w:tab w:val="left" w:pos="567"/>
        </w:tabs>
        <w:spacing w:after="0" w:line="240" w:lineRule="auto"/>
        <w:jc w:val="both"/>
        <w:rPr>
          <w:rFonts w:ascii="Verdana" w:eastAsia="Times" w:hAnsi="Verdana"/>
          <w:sz w:val="20"/>
          <w:szCs w:val="20"/>
          <w:lang w:val="es-ES_tradnl"/>
        </w:rPr>
      </w:pPr>
    </w:p>
    <w:p w:rsidR="009F646B" w:rsidRPr="00BA67A4" w:rsidRDefault="00513537" w:rsidP="00BA67A4">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cs="Verdana"/>
          <w:sz w:val="20"/>
          <w:szCs w:val="20"/>
        </w:rPr>
        <w:t>E</w:t>
      </w:r>
      <w:r w:rsidR="00577097" w:rsidRPr="00BE133F">
        <w:rPr>
          <w:rFonts w:ascii="Verdana" w:hAnsi="Verdana" w:cs="Verdana"/>
          <w:sz w:val="20"/>
          <w:szCs w:val="20"/>
        </w:rPr>
        <w:t xml:space="preserve">l </w:t>
      </w:r>
      <w:r w:rsidR="00577097" w:rsidRPr="00BE133F">
        <w:rPr>
          <w:rFonts w:ascii="Verdana" w:hAnsi="Verdana" w:cs="Verdana"/>
          <w:b/>
          <w:i/>
          <w:sz w:val="20"/>
          <w:szCs w:val="20"/>
        </w:rPr>
        <w:t>Estado</w:t>
      </w:r>
      <w:r w:rsidR="00577097" w:rsidRPr="00BE133F">
        <w:rPr>
          <w:rFonts w:ascii="Verdana" w:hAnsi="Verdana" w:cs="Verdana"/>
          <w:i/>
          <w:sz w:val="20"/>
          <w:szCs w:val="20"/>
        </w:rPr>
        <w:t xml:space="preserve"> </w:t>
      </w:r>
      <w:r w:rsidR="003A0222">
        <w:rPr>
          <w:rFonts w:ascii="Verdana" w:hAnsi="Verdana" w:cs="Verdana"/>
          <w:sz w:val="20"/>
          <w:szCs w:val="20"/>
        </w:rPr>
        <w:t>solicitó a la Corte que aclare “si el último pá</w:t>
      </w:r>
      <w:r w:rsidR="00FA6885">
        <w:rPr>
          <w:rFonts w:ascii="Verdana" w:hAnsi="Verdana" w:cs="Verdana"/>
          <w:sz w:val="20"/>
          <w:szCs w:val="20"/>
        </w:rPr>
        <w:t>rrafo del voto del magistrado Vio</w:t>
      </w:r>
      <w:r w:rsidR="003A0222">
        <w:rPr>
          <w:rFonts w:ascii="Verdana" w:hAnsi="Verdana" w:cs="Verdana"/>
          <w:sz w:val="20"/>
          <w:szCs w:val="20"/>
        </w:rPr>
        <w:t xml:space="preserve"> Grossi debe ser entendido como una posición discrepante respecto a lo resuelto por la Corte Interamericana con relación a la intervención de la justicia militar”</w:t>
      </w:r>
      <w:r w:rsidR="001D27EC">
        <w:rPr>
          <w:rFonts w:ascii="Verdana" w:hAnsi="Verdana" w:cs="Verdana"/>
          <w:sz w:val="20"/>
          <w:szCs w:val="20"/>
        </w:rPr>
        <w:t xml:space="preserve"> en relación con el punto resolutivo tercero de la Sentencia</w:t>
      </w:r>
      <w:r w:rsidR="003A0222">
        <w:rPr>
          <w:rFonts w:ascii="Verdana" w:hAnsi="Verdana" w:cs="Verdana"/>
          <w:sz w:val="20"/>
          <w:szCs w:val="20"/>
        </w:rPr>
        <w:t xml:space="preserve">. </w:t>
      </w:r>
    </w:p>
    <w:p w:rsidR="00BA67A4" w:rsidRPr="00BE133F" w:rsidRDefault="00BA67A4" w:rsidP="00BA67A4">
      <w:pPr>
        <w:tabs>
          <w:tab w:val="left" w:pos="567"/>
        </w:tabs>
        <w:autoSpaceDE w:val="0"/>
        <w:autoSpaceDN w:val="0"/>
        <w:adjustRightInd w:val="0"/>
        <w:spacing w:after="0" w:line="240" w:lineRule="auto"/>
        <w:jc w:val="both"/>
        <w:rPr>
          <w:rFonts w:ascii="Verdana" w:hAnsi="Verdana"/>
          <w:sz w:val="20"/>
          <w:szCs w:val="20"/>
        </w:rPr>
      </w:pPr>
    </w:p>
    <w:p w:rsidR="00D03BF0" w:rsidRPr="00677F3E" w:rsidRDefault="00D16F26" w:rsidP="00677F3E">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677F3E">
        <w:rPr>
          <w:rFonts w:ascii="Verdana" w:hAnsi="Verdana"/>
          <w:sz w:val="20"/>
          <w:szCs w:val="20"/>
        </w:rPr>
        <w:t>L</w:t>
      </w:r>
      <w:r w:rsidR="00577097" w:rsidRPr="00677F3E">
        <w:rPr>
          <w:rFonts w:ascii="Verdana" w:hAnsi="Verdana"/>
          <w:sz w:val="20"/>
          <w:szCs w:val="20"/>
        </w:rPr>
        <w:t xml:space="preserve">a </w:t>
      </w:r>
      <w:r w:rsidR="00577097" w:rsidRPr="00677F3E">
        <w:rPr>
          <w:rFonts w:ascii="Verdana" w:hAnsi="Verdana"/>
          <w:b/>
          <w:i/>
          <w:sz w:val="20"/>
          <w:szCs w:val="20"/>
        </w:rPr>
        <w:t>Comisión</w:t>
      </w:r>
      <w:r w:rsidR="007C7F0E" w:rsidRPr="00677F3E">
        <w:rPr>
          <w:rFonts w:ascii="Verdana" w:hAnsi="Verdana"/>
          <w:sz w:val="20"/>
          <w:szCs w:val="20"/>
        </w:rPr>
        <w:t xml:space="preserve"> consideró que</w:t>
      </w:r>
      <w:r w:rsidR="00677F3E" w:rsidRPr="00677F3E">
        <w:rPr>
          <w:rFonts w:ascii="Verdana" w:hAnsi="Verdana"/>
          <w:sz w:val="20"/>
          <w:szCs w:val="20"/>
        </w:rPr>
        <w:t xml:space="preserve"> </w:t>
      </w:r>
      <w:r w:rsidR="00677F3E" w:rsidRPr="00677F3E">
        <w:rPr>
          <w:rFonts w:ascii="Verdana" w:hAnsi="Verdana"/>
          <w:sz w:val="20"/>
          <w:szCs w:val="20"/>
          <w:lang w:val="es-ES"/>
        </w:rPr>
        <w:t>el voto del mencionado juez se refiere específicamente al análisis de responsabilidad en relación con la aplicación del fuero militar concluyendo que en vista de que el Estado remitió el caso a la jurisdicción ordinaria "no debería configurar el fundamento de la (</w:t>
      </w:r>
      <w:r w:rsidR="00677F3E" w:rsidRPr="00677F3E">
        <w:rPr>
          <w:rFonts w:ascii="Verdana" w:hAnsi="Verdana"/>
          <w:i/>
          <w:sz w:val="20"/>
          <w:szCs w:val="20"/>
          <w:lang w:val="es-ES"/>
        </w:rPr>
        <w:t>sic</w:t>
      </w:r>
      <w:r w:rsidR="00677F3E" w:rsidRPr="00677F3E">
        <w:rPr>
          <w:rFonts w:ascii="Verdana" w:hAnsi="Verdana"/>
          <w:sz w:val="20"/>
          <w:szCs w:val="20"/>
          <w:lang w:val="es-ES"/>
        </w:rPr>
        <w:t xml:space="preserve">) del punto resolutivo 3 de la misma". </w:t>
      </w:r>
      <w:r w:rsidR="00FB498D">
        <w:rPr>
          <w:rFonts w:ascii="Verdana" w:hAnsi="Verdana"/>
          <w:sz w:val="20"/>
          <w:szCs w:val="20"/>
          <w:lang w:val="es-ES"/>
        </w:rPr>
        <w:t xml:space="preserve">Sostiene </w:t>
      </w:r>
      <w:r w:rsidR="00677F3E" w:rsidRPr="00677F3E">
        <w:rPr>
          <w:rFonts w:ascii="Verdana" w:hAnsi="Verdana"/>
          <w:sz w:val="20"/>
          <w:szCs w:val="20"/>
          <w:lang w:val="es-ES"/>
        </w:rPr>
        <w:t>que esta diferencia de criterio se refiere a un solo fundamento, siendo que existen otros por los cuales la Corte por unanimidad llegó a la conclusión de que existió una violación a los citados artículos. En este sentido, la Comisión observa que la solicitud del Estado resulta improcedente.</w:t>
      </w:r>
    </w:p>
    <w:p w:rsidR="00640BF1" w:rsidRPr="00640BF1" w:rsidRDefault="00640BF1" w:rsidP="00640BF1">
      <w:pPr>
        <w:tabs>
          <w:tab w:val="left" w:pos="567"/>
        </w:tabs>
        <w:autoSpaceDE w:val="0"/>
        <w:autoSpaceDN w:val="0"/>
        <w:adjustRightInd w:val="0"/>
        <w:spacing w:after="0" w:line="240" w:lineRule="auto"/>
        <w:jc w:val="both"/>
        <w:rPr>
          <w:rFonts w:ascii="Verdana" w:hAnsi="Verdana"/>
          <w:sz w:val="20"/>
          <w:szCs w:val="20"/>
        </w:rPr>
      </w:pPr>
    </w:p>
    <w:p w:rsidR="00D03BF0" w:rsidRPr="00AB7880" w:rsidRDefault="00677F3E" w:rsidP="00AB7880">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AB7880">
        <w:rPr>
          <w:rFonts w:ascii="Verdana" w:hAnsi="Verdana"/>
          <w:sz w:val="20"/>
          <w:szCs w:val="20"/>
        </w:rPr>
        <w:t>L</w:t>
      </w:r>
      <w:r w:rsidR="00AB7880">
        <w:rPr>
          <w:rFonts w:ascii="Verdana" w:hAnsi="Verdana"/>
          <w:sz w:val="20"/>
          <w:szCs w:val="20"/>
        </w:rPr>
        <w:t>os</w:t>
      </w:r>
      <w:r w:rsidR="00D03BF0" w:rsidRPr="00AB7880">
        <w:rPr>
          <w:rFonts w:ascii="Verdana" w:hAnsi="Verdana"/>
          <w:sz w:val="20"/>
          <w:szCs w:val="20"/>
        </w:rPr>
        <w:t xml:space="preserve"> </w:t>
      </w:r>
      <w:r w:rsidR="00D03BF0" w:rsidRPr="00AB7880">
        <w:rPr>
          <w:rFonts w:ascii="Verdana" w:hAnsi="Verdana"/>
          <w:b/>
          <w:i/>
          <w:sz w:val="20"/>
          <w:szCs w:val="20"/>
        </w:rPr>
        <w:t>representante</w:t>
      </w:r>
      <w:r w:rsidR="00AB7880">
        <w:rPr>
          <w:rFonts w:ascii="Verdana" w:hAnsi="Verdana"/>
          <w:b/>
          <w:i/>
          <w:sz w:val="20"/>
          <w:szCs w:val="20"/>
        </w:rPr>
        <w:t>s</w:t>
      </w:r>
      <w:r w:rsidRPr="00AB7880">
        <w:rPr>
          <w:rFonts w:ascii="Verdana" w:hAnsi="Verdana"/>
          <w:b/>
          <w:i/>
          <w:sz w:val="20"/>
          <w:szCs w:val="20"/>
        </w:rPr>
        <w:t xml:space="preserve"> </w:t>
      </w:r>
      <w:r w:rsidR="00AB7880" w:rsidRPr="00AB7880">
        <w:rPr>
          <w:rFonts w:ascii="Verdana" w:hAnsi="Verdana"/>
          <w:sz w:val="20"/>
          <w:szCs w:val="20"/>
        </w:rPr>
        <w:t>consider</w:t>
      </w:r>
      <w:r w:rsidR="00AB7880">
        <w:rPr>
          <w:rFonts w:ascii="Verdana" w:hAnsi="Verdana"/>
          <w:sz w:val="20"/>
          <w:szCs w:val="20"/>
        </w:rPr>
        <w:t>aron</w:t>
      </w:r>
      <w:r w:rsidR="00AB7880" w:rsidRPr="00AB7880">
        <w:rPr>
          <w:rFonts w:ascii="Verdana" w:hAnsi="Verdana"/>
          <w:sz w:val="20"/>
          <w:szCs w:val="20"/>
        </w:rPr>
        <w:t xml:space="preserve"> que </w:t>
      </w:r>
      <w:r w:rsidR="00AB7880" w:rsidRPr="00AB7880">
        <w:rPr>
          <w:rFonts w:ascii="Verdana" w:hAnsi="Verdana"/>
          <w:sz w:val="20"/>
          <w:szCs w:val="20"/>
          <w:lang w:val="es-ES"/>
        </w:rPr>
        <w:t xml:space="preserve">de una lectura completa del punto resolutivo número 3 y el párrafo 152 de la Sentencia, se entiende que la declaratoria de </w:t>
      </w:r>
      <w:r w:rsidR="001D27EC">
        <w:rPr>
          <w:rFonts w:ascii="Verdana" w:hAnsi="Verdana"/>
          <w:sz w:val="20"/>
          <w:szCs w:val="20"/>
          <w:lang w:val="es-ES"/>
        </w:rPr>
        <w:t>responsabilidad internacional se dio</w:t>
      </w:r>
      <w:r w:rsidR="00AB7880" w:rsidRPr="00AB7880">
        <w:rPr>
          <w:rFonts w:ascii="Verdana" w:hAnsi="Verdana"/>
          <w:sz w:val="20"/>
          <w:szCs w:val="20"/>
          <w:lang w:val="es-ES"/>
        </w:rPr>
        <w:t xml:space="preserve"> por los hechos reseñados en los párrafos 141 a 151, que </w:t>
      </w:r>
      <w:r w:rsidR="00AB7880" w:rsidRPr="00AB7880">
        <w:rPr>
          <w:rFonts w:ascii="Verdana" w:hAnsi="Verdana"/>
          <w:i/>
          <w:iCs/>
          <w:sz w:val="20"/>
          <w:szCs w:val="20"/>
          <w:lang w:val="es-ES"/>
        </w:rPr>
        <w:t xml:space="preserve">constituyeron en aquel momento </w:t>
      </w:r>
      <w:r w:rsidR="00AB7880" w:rsidRPr="00AB7880">
        <w:rPr>
          <w:rFonts w:ascii="Verdana" w:hAnsi="Verdana"/>
          <w:sz w:val="20"/>
          <w:szCs w:val="20"/>
          <w:lang w:val="es-ES"/>
        </w:rPr>
        <w:t>una violación del artículo 8.1 de la Convención, en relación al artículo 1.1 del mismo instrumento internacional. Sin perjuicio de lo antes mencionado, es necesario recalcar que el voto que origina la presente solicitud de interpretación es un voto “concurrente”. Los votos concurrentes suponen la falta de coincidencia con la argumentación mayoritaria, más no con la decisión final adoptada. En ese sentido, al ser el punto resolutivo número 3 la expresión de la decisión final adoptada (decisión que comparte el Juez Vio Grossi aunque por distintos fundamentos) no corresponde señalar que dicha decisión haya sido adoptada por mayoría en vez de unanimidad. Por lo tanto, los representantes solicita</w:t>
      </w:r>
      <w:r w:rsidR="00AB7880">
        <w:rPr>
          <w:rFonts w:ascii="Verdana" w:hAnsi="Verdana"/>
          <w:sz w:val="20"/>
          <w:szCs w:val="20"/>
          <w:lang w:val="es-ES"/>
        </w:rPr>
        <w:t xml:space="preserve">ron </w:t>
      </w:r>
      <w:r w:rsidR="00AB7880" w:rsidRPr="00AB7880">
        <w:rPr>
          <w:rFonts w:ascii="Verdana" w:hAnsi="Verdana"/>
          <w:sz w:val="20"/>
          <w:szCs w:val="20"/>
          <w:lang w:val="es-ES"/>
        </w:rPr>
        <w:t>a la Corte también declare la improcedencia del presente pedido de interpretación, al no carecer el texto de la Sentencia de claridad ni precisión.</w:t>
      </w:r>
      <w:r w:rsidR="00D03BF0" w:rsidRPr="00AB7880">
        <w:rPr>
          <w:rFonts w:ascii="Verdana" w:hAnsi="Verdana"/>
          <w:sz w:val="20"/>
          <w:szCs w:val="20"/>
        </w:rPr>
        <w:t xml:space="preserve"> </w:t>
      </w:r>
    </w:p>
    <w:p w:rsidR="00577097" w:rsidRPr="00BE133F" w:rsidRDefault="00577097" w:rsidP="00577097">
      <w:pPr>
        <w:tabs>
          <w:tab w:val="left" w:pos="567"/>
        </w:tabs>
        <w:autoSpaceDE w:val="0"/>
        <w:autoSpaceDN w:val="0"/>
        <w:adjustRightInd w:val="0"/>
        <w:spacing w:after="0" w:line="240" w:lineRule="auto"/>
        <w:jc w:val="both"/>
        <w:rPr>
          <w:rFonts w:ascii="Verdana" w:hAnsi="Verdana"/>
          <w:sz w:val="20"/>
          <w:szCs w:val="20"/>
        </w:rPr>
      </w:pPr>
    </w:p>
    <w:p w:rsidR="00577097" w:rsidRPr="00BE133F" w:rsidRDefault="00577097" w:rsidP="00577097">
      <w:pPr>
        <w:numPr>
          <w:ilvl w:val="0"/>
          <w:numId w:val="3"/>
        </w:numPr>
        <w:tabs>
          <w:tab w:val="left" w:pos="567"/>
        </w:tabs>
        <w:spacing w:after="0" w:line="240" w:lineRule="auto"/>
        <w:jc w:val="both"/>
        <w:rPr>
          <w:rFonts w:ascii="Verdana" w:eastAsia="Times" w:hAnsi="Verdana"/>
          <w:b/>
          <w:i/>
          <w:sz w:val="20"/>
          <w:szCs w:val="20"/>
        </w:rPr>
      </w:pPr>
      <w:r w:rsidRPr="00BE133F">
        <w:rPr>
          <w:rFonts w:ascii="Verdana" w:eastAsia="Times" w:hAnsi="Verdana"/>
          <w:b/>
          <w:i/>
          <w:sz w:val="20"/>
          <w:szCs w:val="20"/>
        </w:rPr>
        <w:t>Consideraciones de la Corte</w:t>
      </w:r>
    </w:p>
    <w:p w:rsidR="00577097" w:rsidRPr="00BE133F" w:rsidRDefault="00577097" w:rsidP="00577097">
      <w:pPr>
        <w:tabs>
          <w:tab w:val="left" w:pos="567"/>
        </w:tabs>
        <w:autoSpaceDE w:val="0"/>
        <w:autoSpaceDN w:val="0"/>
        <w:adjustRightInd w:val="0"/>
        <w:spacing w:after="0" w:line="240" w:lineRule="auto"/>
        <w:jc w:val="both"/>
        <w:rPr>
          <w:rFonts w:ascii="Verdana"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sz w:val="20"/>
          <w:szCs w:val="20"/>
          <w:lang w:val="es-ES_tradnl"/>
        </w:rPr>
      </w:pPr>
      <w:r w:rsidRPr="00BE133F">
        <w:rPr>
          <w:rFonts w:ascii="Verdana" w:hAnsi="Verdana"/>
          <w:sz w:val="20"/>
          <w:szCs w:val="20"/>
        </w:rPr>
        <w:t xml:space="preserve">La Corte observa que </w:t>
      </w:r>
      <w:r w:rsidR="00F975C9">
        <w:rPr>
          <w:rFonts w:ascii="Verdana" w:hAnsi="Verdana"/>
          <w:sz w:val="20"/>
          <w:szCs w:val="20"/>
        </w:rPr>
        <w:t>el</w:t>
      </w:r>
      <w:r w:rsidR="0073248C" w:rsidRPr="00BE133F">
        <w:rPr>
          <w:rFonts w:ascii="Verdana" w:hAnsi="Verdana"/>
          <w:sz w:val="20"/>
          <w:szCs w:val="20"/>
        </w:rPr>
        <w:t xml:space="preserve"> </w:t>
      </w:r>
      <w:r w:rsidR="002A3D78">
        <w:rPr>
          <w:rFonts w:ascii="Verdana" w:hAnsi="Verdana"/>
          <w:sz w:val="20"/>
          <w:szCs w:val="20"/>
        </w:rPr>
        <w:t>pu</w:t>
      </w:r>
      <w:r w:rsidR="003178C9">
        <w:rPr>
          <w:rFonts w:ascii="Verdana" w:hAnsi="Verdana"/>
          <w:sz w:val="20"/>
          <w:szCs w:val="20"/>
        </w:rPr>
        <w:t xml:space="preserve">nto resolutivo tercero de la Sentencia </w:t>
      </w:r>
      <w:r w:rsidR="00F975C9">
        <w:rPr>
          <w:rFonts w:ascii="Verdana" w:hAnsi="Verdana"/>
          <w:sz w:val="20"/>
          <w:szCs w:val="20"/>
        </w:rPr>
        <w:t>estableció</w:t>
      </w:r>
      <w:r w:rsidR="003178C9">
        <w:rPr>
          <w:rFonts w:ascii="Verdana" w:hAnsi="Verdana"/>
          <w:sz w:val="20"/>
          <w:szCs w:val="20"/>
        </w:rPr>
        <w:t>, en lo pertinente,</w:t>
      </w:r>
      <w:r w:rsidRPr="00BE133F">
        <w:rPr>
          <w:rFonts w:ascii="Verdana" w:hAnsi="Verdana"/>
          <w:sz w:val="20"/>
          <w:szCs w:val="20"/>
        </w:rPr>
        <w:t xml:space="preserve"> que:</w:t>
      </w:r>
    </w:p>
    <w:p w:rsidR="00161EF0" w:rsidRPr="00BE133F" w:rsidRDefault="00161EF0" w:rsidP="00161EF0">
      <w:pPr>
        <w:tabs>
          <w:tab w:val="left" w:pos="567"/>
        </w:tabs>
        <w:autoSpaceDE w:val="0"/>
        <w:autoSpaceDN w:val="0"/>
        <w:adjustRightInd w:val="0"/>
        <w:spacing w:after="0" w:line="240" w:lineRule="auto"/>
        <w:jc w:val="both"/>
        <w:rPr>
          <w:rFonts w:ascii="Verdana" w:eastAsia="Times" w:hAnsi="Verdana"/>
          <w:sz w:val="20"/>
          <w:szCs w:val="20"/>
          <w:lang w:val="es-ES_tradnl"/>
        </w:rPr>
      </w:pPr>
    </w:p>
    <w:p w:rsidR="003178C9" w:rsidRPr="00B77BAA" w:rsidRDefault="003178C9" w:rsidP="003178C9">
      <w:pPr>
        <w:spacing w:after="0" w:line="240" w:lineRule="auto"/>
        <w:ind w:left="720" w:right="833"/>
        <w:jc w:val="both"/>
        <w:rPr>
          <w:rFonts w:ascii="Verdana" w:hAnsi="Verdana"/>
          <w:sz w:val="18"/>
          <w:szCs w:val="18"/>
          <w:lang w:val="es-ES_tradnl"/>
        </w:rPr>
      </w:pPr>
      <w:r w:rsidRPr="00B77BAA">
        <w:rPr>
          <w:rFonts w:ascii="Verdana" w:hAnsi="Verdana"/>
          <w:sz w:val="18"/>
          <w:szCs w:val="18"/>
          <w:lang w:val="es-ES_tradnl"/>
        </w:rPr>
        <w:t xml:space="preserve">3. El Estado es responsable por la violación </w:t>
      </w:r>
      <w:r w:rsidRPr="00B77BAA">
        <w:rPr>
          <w:rFonts w:ascii="Verdana" w:hAnsi="Verdana"/>
          <w:sz w:val="18"/>
          <w:szCs w:val="18"/>
          <w:lang w:val="es-ES"/>
        </w:rPr>
        <w:t xml:space="preserve">del derecho a las garantías judiciales, establecido en el artículo 8.1 de la Convención Americana sobre Derechos Humanos, en relación con el artículo 1.1 de la misma, en perjuicio de señor Valdemir Quispialaya y la señora Victoria Vilcapoma Taquia, </w:t>
      </w:r>
      <w:r w:rsidRPr="00B77BAA">
        <w:rPr>
          <w:rFonts w:ascii="Verdana" w:hAnsi="Verdana"/>
          <w:sz w:val="18"/>
          <w:szCs w:val="18"/>
          <w:lang w:val="es-ES_tradnl"/>
        </w:rPr>
        <w:t xml:space="preserve">en los términos de los párrafos 141 a 152 y 176 a 188 de la presente Sentencia. Asimismo, el Estado es responsable por la violación de los derechos a las garantías judiciales y a la protección judicial, </w:t>
      </w:r>
      <w:r w:rsidRPr="00B77BAA">
        <w:rPr>
          <w:rFonts w:ascii="Verdana" w:hAnsi="Verdana"/>
          <w:sz w:val="18"/>
          <w:szCs w:val="18"/>
          <w:lang w:val="es-ES"/>
        </w:rPr>
        <w:t xml:space="preserve">establecidos en los artículos 8.1 y 25 de la Convención Americana sobre Derechos Humanos, en relación con el artículo 1.1 de la misma y las obligaciones establecidas en los artículos 1, 6 y 8 de la Convención Interamericana para Prevenir y Sancionar la Tortura, en perjuicio de señor Valdemir Quispialaya, </w:t>
      </w:r>
      <w:r w:rsidRPr="00B77BAA">
        <w:rPr>
          <w:rFonts w:ascii="Verdana" w:hAnsi="Verdana"/>
          <w:sz w:val="18"/>
          <w:szCs w:val="18"/>
          <w:lang w:val="es-ES_tradnl"/>
        </w:rPr>
        <w:t>en los términos de los párrafos 161 a 169 de la presente Sentencia. […]</w:t>
      </w:r>
    </w:p>
    <w:p w:rsidR="00161EF0" w:rsidRPr="00BE133F" w:rsidRDefault="00161EF0" w:rsidP="003178C9">
      <w:pPr>
        <w:spacing w:after="0" w:line="240" w:lineRule="auto"/>
        <w:ind w:left="709" w:right="833"/>
        <w:jc w:val="both"/>
        <w:rPr>
          <w:rFonts w:ascii="Verdana" w:eastAsia="Times" w:hAnsi="Verdana"/>
          <w:sz w:val="20"/>
          <w:szCs w:val="20"/>
        </w:rPr>
      </w:pPr>
      <w:r w:rsidRPr="00BE133F">
        <w:rPr>
          <w:rFonts w:ascii="Verdana" w:hAnsi="Verdana"/>
          <w:sz w:val="16"/>
          <w:szCs w:val="16"/>
        </w:rPr>
        <w:t xml:space="preserve"> </w:t>
      </w:r>
      <w:r w:rsidRPr="00F975C9">
        <w:rPr>
          <w:rFonts w:ascii="Verdana" w:hAnsi="Verdana"/>
          <w:sz w:val="16"/>
          <w:szCs w:val="16"/>
        </w:rPr>
        <w:t xml:space="preserve">  </w:t>
      </w:r>
    </w:p>
    <w:p w:rsidR="00161EF0" w:rsidRPr="00BE133F" w:rsidRDefault="003178C9"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sz w:val="20"/>
          <w:szCs w:val="20"/>
          <w:lang w:val="es-ES_tradnl"/>
        </w:rPr>
      </w:pPr>
      <w:r>
        <w:rPr>
          <w:rFonts w:ascii="Verdana" w:eastAsia="Times" w:hAnsi="Verdana"/>
          <w:sz w:val="20"/>
          <w:szCs w:val="20"/>
          <w:lang w:val="es-ES_tradnl"/>
        </w:rPr>
        <w:t xml:space="preserve">Los párrafos relevantes de la Sentencia que </w:t>
      </w:r>
      <w:r w:rsidR="00A34DE0">
        <w:rPr>
          <w:rFonts w:ascii="Verdana" w:eastAsia="Times" w:hAnsi="Verdana"/>
          <w:sz w:val="20"/>
          <w:szCs w:val="20"/>
          <w:lang w:val="es-ES_tradnl"/>
        </w:rPr>
        <w:t xml:space="preserve">fueron mencionados por las partes y que </w:t>
      </w:r>
      <w:r>
        <w:rPr>
          <w:rFonts w:ascii="Verdana" w:eastAsia="Times" w:hAnsi="Verdana"/>
          <w:sz w:val="20"/>
          <w:szCs w:val="20"/>
          <w:lang w:val="es-ES_tradnl"/>
        </w:rPr>
        <w:t>s</w:t>
      </w:r>
      <w:r w:rsidR="00496987">
        <w:rPr>
          <w:rFonts w:ascii="Verdana" w:eastAsia="Times" w:hAnsi="Verdana"/>
          <w:sz w:val="20"/>
          <w:szCs w:val="20"/>
          <w:lang w:val="es-ES_tradnl"/>
        </w:rPr>
        <w:t xml:space="preserve">e </w:t>
      </w:r>
      <w:r>
        <w:rPr>
          <w:rFonts w:ascii="Verdana" w:eastAsia="Times" w:hAnsi="Verdana"/>
          <w:sz w:val="20"/>
          <w:szCs w:val="20"/>
          <w:lang w:val="es-ES_tradnl"/>
        </w:rPr>
        <w:t>relaciona</w:t>
      </w:r>
      <w:r w:rsidR="00496987">
        <w:rPr>
          <w:rFonts w:ascii="Verdana" w:eastAsia="Times" w:hAnsi="Verdana"/>
          <w:sz w:val="20"/>
          <w:szCs w:val="20"/>
          <w:lang w:val="es-ES_tradnl"/>
        </w:rPr>
        <w:t>n con</w:t>
      </w:r>
      <w:r>
        <w:rPr>
          <w:rFonts w:ascii="Verdana" w:eastAsia="Times" w:hAnsi="Verdana"/>
          <w:sz w:val="20"/>
          <w:szCs w:val="20"/>
          <w:lang w:val="es-ES_tradnl"/>
        </w:rPr>
        <w:t xml:space="preserve"> la solicitud de interpretación son transcritos a </w:t>
      </w:r>
      <w:r w:rsidR="00FB498D">
        <w:rPr>
          <w:rFonts w:ascii="Verdana" w:eastAsia="Times" w:hAnsi="Verdana"/>
          <w:sz w:val="20"/>
          <w:szCs w:val="20"/>
          <w:lang w:val="es-ES_tradnl"/>
        </w:rPr>
        <w:t>continuación</w:t>
      </w:r>
      <w:r>
        <w:rPr>
          <w:rFonts w:ascii="Verdana" w:eastAsia="Times" w:hAnsi="Verdana"/>
          <w:sz w:val="20"/>
          <w:szCs w:val="20"/>
          <w:lang w:val="es-ES_tradnl"/>
        </w:rPr>
        <w:t xml:space="preserve">: </w:t>
      </w:r>
    </w:p>
    <w:p w:rsidR="00161EF0" w:rsidRPr="00BE133F" w:rsidRDefault="00161EF0" w:rsidP="00161EF0">
      <w:pPr>
        <w:tabs>
          <w:tab w:val="left" w:pos="567"/>
        </w:tabs>
        <w:autoSpaceDE w:val="0"/>
        <w:autoSpaceDN w:val="0"/>
        <w:adjustRightInd w:val="0"/>
        <w:spacing w:after="0" w:line="240" w:lineRule="auto"/>
        <w:jc w:val="both"/>
        <w:rPr>
          <w:rFonts w:ascii="Verdana" w:eastAsia="Times" w:hAnsi="Verdana"/>
          <w:sz w:val="20"/>
          <w:szCs w:val="20"/>
          <w:lang w:val="es-ES_tradnl"/>
        </w:rPr>
      </w:pPr>
    </w:p>
    <w:p w:rsidR="00A34DE0" w:rsidRPr="00B77BAA" w:rsidRDefault="00A34DE0" w:rsidP="00C47667">
      <w:pPr>
        <w:pStyle w:val="ListParagraph"/>
        <w:spacing w:after="0" w:line="240" w:lineRule="auto"/>
        <w:ind w:left="709" w:right="833"/>
        <w:jc w:val="both"/>
        <w:rPr>
          <w:rFonts w:ascii="Verdana" w:eastAsia="Times" w:hAnsi="Verdana"/>
          <w:sz w:val="18"/>
          <w:szCs w:val="18"/>
          <w:lang w:val="es-ES"/>
        </w:rPr>
      </w:pPr>
      <w:r w:rsidRPr="00B77BAA">
        <w:rPr>
          <w:rFonts w:ascii="Verdana" w:eastAsia="Times" w:hAnsi="Verdana"/>
          <w:sz w:val="18"/>
          <w:szCs w:val="18"/>
          <w:lang w:val="es-ES"/>
        </w:rPr>
        <w:t>129.</w:t>
      </w:r>
      <w:r w:rsidRPr="00B77BAA">
        <w:rPr>
          <w:rFonts w:ascii="Verdana" w:eastAsia="Times" w:hAnsi="Verdana"/>
          <w:sz w:val="18"/>
          <w:szCs w:val="18"/>
          <w:lang w:val="es-ES"/>
        </w:rPr>
        <w:tab/>
        <w:t xml:space="preserve">En el presente caso, la Corte señaló que el Estado es responsable, en su condición de garante de los derechos consagrados en la Convención, de la observancia del derecho a la integridad personal de todo individuo que se halla bajo su cuidado. Por lo tanto, teniendo en consideración el ejercicio abusivo de la autoridad militar, la </w:t>
      </w:r>
      <w:r w:rsidRPr="00B77BAA">
        <w:rPr>
          <w:rFonts w:ascii="Verdana" w:eastAsia="Times" w:hAnsi="Verdana"/>
          <w:sz w:val="18"/>
          <w:szCs w:val="18"/>
          <w:lang w:val="es-ES"/>
        </w:rPr>
        <w:lastRenderedPageBreak/>
        <w:t>violencia de la conducta desplegada contra el señor Quispialaya, su situación de indefensión en la que se encontraba durante la práctica de tiro, su temor fundado y las amenazas sufridas para no denunciar lo ocurrido, y también tomando en consideración los informes médicos disponibles en el expediente y el peritaje psicológico rendido por affidávit para el presente caso, esta Corte considera que la agresión sufrida por el señor Quispialaya durante la práctica de tiro en el campo de tiro de Azapampa el 26 de enero de 2001 representó una violación a los artículos 5.1 y 5.2 de la Convención Americana sobre Derechos Humanos y el incumplimiento del artículo 6 de la Convención Interamericana para Prevenir y Sancionar la Tortura, los cuales prohíben los actos de tortura y los tratos o penas crueles, inhumanos o degradantes.</w:t>
      </w:r>
      <w:r w:rsidR="0041079B">
        <w:rPr>
          <w:rFonts w:ascii="Verdana" w:eastAsia="Times" w:hAnsi="Verdana"/>
          <w:sz w:val="18"/>
          <w:szCs w:val="18"/>
          <w:lang w:val="es-ES"/>
        </w:rPr>
        <w:t xml:space="preserve"> </w:t>
      </w:r>
      <w:r w:rsidRPr="00B77BAA">
        <w:rPr>
          <w:rFonts w:ascii="Verdana" w:eastAsia="Times" w:hAnsi="Verdana"/>
          <w:sz w:val="18"/>
          <w:szCs w:val="18"/>
          <w:lang w:val="es-ES"/>
        </w:rPr>
        <w:t xml:space="preserve">[…] </w:t>
      </w:r>
    </w:p>
    <w:p w:rsidR="00A34DE0" w:rsidRPr="00B77BAA" w:rsidRDefault="00A34DE0" w:rsidP="00C47667">
      <w:pPr>
        <w:pStyle w:val="ListParagraph"/>
        <w:spacing w:after="0" w:line="240" w:lineRule="auto"/>
        <w:ind w:left="709" w:right="833"/>
        <w:jc w:val="both"/>
        <w:rPr>
          <w:rFonts w:ascii="Verdana" w:eastAsia="Times" w:hAnsi="Verdana"/>
          <w:sz w:val="18"/>
          <w:szCs w:val="18"/>
          <w:lang w:val="es-ES"/>
        </w:rPr>
      </w:pPr>
    </w:p>
    <w:p w:rsidR="000A40C2" w:rsidRPr="00B77BAA" w:rsidRDefault="000A40C2" w:rsidP="00C47667">
      <w:pPr>
        <w:pStyle w:val="ListParagraph"/>
        <w:spacing w:after="0" w:line="240" w:lineRule="auto"/>
        <w:ind w:left="709" w:right="833"/>
        <w:jc w:val="both"/>
        <w:rPr>
          <w:rFonts w:ascii="Verdana" w:eastAsia="Times" w:hAnsi="Verdana"/>
          <w:sz w:val="18"/>
          <w:szCs w:val="18"/>
          <w:lang w:val="es-ES_tradnl"/>
        </w:rPr>
      </w:pPr>
      <w:r w:rsidRPr="00B77BAA">
        <w:rPr>
          <w:rFonts w:ascii="Verdana" w:eastAsia="Times" w:hAnsi="Verdana"/>
          <w:sz w:val="18"/>
          <w:szCs w:val="18"/>
          <w:lang w:val="es-ES"/>
        </w:rPr>
        <w:t>152.</w:t>
      </w:r>
      <w:r w:rsidRPr="00B77BAA">
        <w:rPr>
          <w:rFonts w:ascii="Verdana" w:eastAsia="Times" w:hAnsi="Verdana"/>
          <w:sz w:val="18"/>
          <w:szCs w:val="18"/>
          <w:lang w:val="es-ES"/>
        </w:rPr>
        <w:tab/>
        <w:t>De lo expuesto, la Corte concluye que el recurso idóneo para investigar y en su caso juzgar y sancionar a los responsables de los hechos del presente caso sería un proceso penal en el fuero ordinario. De lo anterior, la Corte concluye que la decisión de la Sala Penal Permanente de la Corte Suprema de inhibir a la jurisdicción ordinaria de investigar y juzgar los hechos delictivos del presente caso, aunada al largo período entre los años 2002 y 2007 durante el cual el caso se mantuvo en la jurisdicción militar, vulneró el principio del juez natural, al extralimitar la esfera de la justicia castrense, constituyéndose en aquel momento una violación del artículo 8.1 de la Convención, en relación con el deber de respetar y garantizar los derechos establecido en el artículo 1.1 del mismo instrumento, en perjuicio de Valdemir Quispialaya Vilcapoma y Victoria Vilcapoma Taquia.</w:t>
      </w:r>
      <w:r w:rsidR="0041079B">
        <w:rPr>
          <w:rFonts w:ascii="Verdana" w:eastAsia="Times" w:hAnsi="Verdana"/>
          <w:sz w:val="18"/>
          <w:szCs w:val="18"/>
          <w:lang w:val="es-ES"/>
        </w:rPr>
        <w:t xml:space="preserve"> </w:t>
      </w:r>
      <w:r w:rsidRPr="00B77BAA">
        <w:rPr>
          <w:rFonts w:ascii="Verdana" w:eastAsia="Times" w:hAnsi="Verdana"/>
          <w:sz w:val="18"/>
          <w:szCs w:val="18"/>
          <w:lang w:val="es-ES_tradnl"/>
        </w:rPr>
        <w:t>[…]</w:t>
      </w:r>
    </w:p>
    <w:p w:rsidR="000A40C2" w:rsidRPr="00B77BAA" w:rsidRDefault="000A40C2" w:rsidP="00C47667">
      <w:pPr>
        <w:pStyle w:val="ListParagraph"/>
        <w:spacing w:after="0" w:line="240" w:lineRule="auto"/>
        <w:ind w:left="709" w:right="833"/>
        <w:jc w:val="both"/>
        <w:rPr>
          <w:rFonts w:ascii="Verdana" w:eastAsia="Times" w:hAnsi="Verdana"/>
          <w:sz w:val="18"/>
          <w:szCs w:val="18"/>
          <w:lang w:val="es-ES_tradnl"/>
        </w:rPr>
      </w:pPr>
    </w:p>
    <w:p w:rsidR="00C47667" w:rsidRPr="00B77BAA" w:rsidRDefault="00C47667" w:rsidP="00C47667">
      <w:pPr>
        <w:pStyle w:val="ListParagraph"/>
        <w:spacing w:after="0" w:line="240" w:lineRule="auto"/>
        <w:ind w:left="709" w:right="833"/>
        <w:jc w:val="both"/>
        <w:rPr>
          <w:rFonts w:ascii="Verdana" w:eastAsia="Times" w:hAnsi="Verdana"/>
          <w:sz w:val="18"/>
          <w:szCs w:val="18"/>
        </w:rPr>
      </w:pPr>
      <w:r w:rsidRPr="00B77BAA">
        <w:rPr>
          <w:rFonts w:ascii="Verdana" w:eastAsia="Times" w:hAnsi="Verdana"/>
          <w:sz w:val="18"/>
          <w:szCs w:val="18"/>
        </w:rPr>
        <w:t>161.</w:t>
      </w:r>
      <w:r w:rsidRPr="00B77BAA">
        <w:rPr>
          <w:rFonts w:ascii="Verdana" w:eastAsia="Times" w:hAnsi="Verdana"/>
          <w:sz w:val="18"/>
          <w:szCs w:val="18"/>
        </w:rPr>
        <w:tab/>
        <w:t>Los artículos 8 y 25 de la Convención implican que las víctimas de violaciones a derechos humanos cuenten con recursos judiciales efectivos que sean sustanciados de acuerdo al debido proceso legal. En relación con lo anterior, el derecho de acceso a la justicia debe asegurar, en tiempo razonable, el derecho de las presuntas víctimas o sus familiares a que se haga todo lo necesario para conocer la verdad de lo sucedido y se sancione a los eventuales responsables. De modo consecuente, existe un deber estatal de investigar los hechos, que es una obligación de medios y no de resultado, pero que debe ser asumida por los Estados como un deber jurídico propio y no como una simple formalidad condenada de antemano a ser infructuosa, o como una mera gestión de intereses particulares, que dependa de la iniciativa procesal de las víctimas o sus familiares, o de la aportación privada de elementos probatorios. Esta obligación establecida en la Convención Americana en el presente caso se complementa con la Convención Interamericana para Prevenir y Sancionar la Tortura que, de conformidad a sus artículos 1, 6 y 8, impone los deberes de “realizar una investigación” y “sancionar”, en relación con actos de tortura y otros tratos crueles, inhumanos o degradantes.</w:t>
      </w:r>
    </w:p>
    <w:p w:rsidR="00C47667" w:rsidRPr="00B77BAA" w:rsidRDefault="00C47667" w:rsidP="00C47667">
      <w:pPr>
        <w:pStyle w:val="ListParagraph"/>
        <w:spacing w:after="0" w:line="240" w:lineRule="auto"/>
        <w:ind w:left="709" w:right="833"/>
        <w:jc w:val="both"/>
        <w:rPr>
          <w:rFonts w:ascii="Verdana" w:eastAsia="Times" w:hAnsi="Verdana"/>
          <w:sz w:val="18"/>
          <w:szCs w:val="18"/>
        </w:rPr>
      </w:pPr>
    </w:p>
    <w:p w:rsidR="00C47667" w:rsidRPr="00B77BAA" w:rsidRDefault="00C47667" w:rsidP="00C47667">
      <w:pPr>
        <w:pStyle w:val="ListParagraph"/>
        <w:spacing w:after="0" w:line="240" w:lineRule="auto"/>
        <w:ind w:left="709" w:right="833"/>
        <w:jc w:val="both"/>
        <w:rPr>
          <w:rFonts w:ascii="Verdana" w:eastAsia="Times" w:hAnsi="Verdana"/>
          <w:sz w:val="18"/>
          <w:szCs w:val="18"/>
        </w:rPr>
      </w:pPr>
      <w:r w:rsidRPr="00B77BAA">
        <w:rPr>
          <w:rFonts w:ascii="Verdana" w:eastAsia="Times" w:hAnsi="Verdana"/>
          <w:sz w:val="18"/>
          <w:szCs w:val="18"/>
        </w:rPr>
        <w:t>162.</w:t>
      </w:r>
      <w:r w:rsidRPr="00B77BAA">
        <w:rPr>
          <w:rFonts w:ascii="Verdana" w:eastAsia="Times" w:hAnsi="Verdana"/>
          <w:sz w:val="18"/>
          <w:szCs w:val="18"/>
        </w:rPr>
        <w:tab/>
        <w:t xml:space="preserve">Conforme a esos deberes, una vez que las autoridades estatales tomen conocimiento del hecho, deben “iniciar </w:t>
      </w:r>
      <w:r w:rsidRPr="00B77BAA">
        <w:rPr>
          <w:rFonts w:ascii="Verdana" w:eastAsia="Times" w:hAnsi="Verdana"/>
          <w:i/>
          <w:sz w:val="18"/>
          <w:szCs w:val="18"/>
        </w:rPr>
        <w:t xml:space="preserve">ex </w:t>
      </w:r>
      <w:proofErr w:type="spellStart"/>
      <w:r w:rsidRPr="00B77BAA">
        <w:rPr>
          <w:rFonts w:ascii="Verdana" w:eastAsia="Times" w:hAnsi="Verdana"/>
          <w:i/>
          <w:sz w:val="18"/>
          <w:szCs w:val="18"/>
        </w:rPr>
        <w:t>officio</w:t>
      </w:r>
      <w:proofErr w:type="spellEnd"/>
      <w:r w:rsidRPr="00B77BAA">
        <w:rPr>
          <w:rFonts w:ascii="Verdana" w:eastAsia="Times" w:hAnsi="Verdana"/>
          <w:sz w:val="18"/>
          <w:szCs w:val="18"/>
        </w:rPr>
        <w:t xml:space="preserve"> y sin dilación, una investigación seria, imparcial y efectiva”  por todos los medios legales disponibles y orientada a la determinación de la verdad y a la persecución, captura, enjuiciamiento y eventual castigo de todos los responsables intelectuales y materiales de los hechos, especialmente cuando están o puedan estar</w:t>
      </w:r>
      <w:r w:rsidR="00BD6D27" w:rsidRPr="00B77BAA">
        <w:rPr>
          <w:rFonts w:ascii="Verdana" w:eastAsia="Times" w:hAnsi="Verdana"/>
          <w:sz w:val="18"/>
          <w:szCs w:val="18"/>
        </w:rPr>
        <w:t xml:space="preserve"> involucrados agentes estatales</w:t>
      </w:r>
      <w:r w:rsidRPr="00B77BAA">
        <w:rPr>
          <w:rFonts w:ascii="Verdana" w:eastAsia="Times" w:hAnsi="Verdana"/>
          <w:sz w:val="18"/>
          <w:szCs w:val="18"/>
        </w:rPr>
        <w:t xml:space="preserve">. Además, en relación con actos de tortura, el artículo 8 de la Convención Interamericana para Prevenir y Sancionar la Tortura establece que las “autoridades </w:t>
      </w:r>
      <w:proofErr w:type="spellStart"/>
      <w:proofErr w:type="gramStart"/>
      <w:r w:rsidRPr="00B77BAA">
        <w:rPr>
          <w:rFonts w:ascii="Verdana" w:eastAsia="Times" w:hAnsi="Verdana"/>
          <w:sz w:val="18"/>
          <w:szCs w:val="18"/>
        </w:rPr>
        <w:t>proced</w:t>
      </w:r>
      <w:proofErr w:type="spellEnd"/>
      <w:r w:rsidRPr="00B77BAA">
        <w:rPr>
          <w:rFonts w:ascii="Verdana" w:eastAsia="Times" w:hAnsi="Verdana"/>
          <w:sz w:val="18"/>
          <w:szCs w:val="18"/>
        </w:rPr>
        <w:t>[</w:t>
      </w:r>
      <w:proofErr w:type="spellStart"/>
      <w:proofErr w:type="gramEnd"/>
      <w:r w:rsidRPr="00B77BAA">
        <w:rPr>
          <w:rFonts w:ascii="Verdana" w:eastAsia="Times" w:hAnsi="Verdana"/>
          <w:sz w:val="18"/>
          <w:szCs w:val="18"/>
        </w:rPr>
        <w:t>an</w:t>
      </w:r>
      <w:proofErr w:type="spellEnd"/>
      <w:r w:rsidRPr="00B77BAA">
        <w:rPr>
          <w:rFonts w:ascii="Verdana" w:eastAsia="Times" w:hAnsi="Verdana"/>
          <w:sz w:val="18"/>
          <w:szCs w:val="18"/>
        </w:rPr>
        <w:t>] de oficio y de inmediato a realizar una investigación sobre el caso”, cuando “exista denuncia o razón fundada para creer que se ha cometido un acto de tortura en el ámbito de [la] jurisdicción [estatal]”.</w:t>
      </w:r>
    </w:p>
    <w:p w:rsidR="00C47667" w:rsidRPr="00B77BAA" w:rsidRDefault="00C47667" w:rsidP="00C47667">
      <w:pPr>
        <w:pStyle w:val="ListParagraph"/>
        <w:spacing w:after="0" w:line="240" w:lineRule="auto"/>
        <w:ind w:left="709" w:right="833"/>
        <w:jc w:val="both"/>
        <w:rPr>
          <w:rFonts w:ascii="Verdana" w:eastAsia="Times" w:hAnsi="Verdana"/>
          <w:sz w:val="18"/>
          <w:szCs w:val="18"/>
        </w:rPr>
      </w:pPr>
    </w:p>
    <w:p w:rsidR="00C47667" w:rsidRPr="00B77BAA" w:rsidRDefault="00C47667" w:rsidP="00C47667">
      <w:pPr>
        <w:pStyle w:val="ListParagraph"/>
        <w:spacing w:after="0" w:line="240" w:lineRule="auto"/>
        <w:ind w:left="709" w:right="833"/>
        <w:jc w:val="both"/>
        <w:rPr>
          <w:rFonts w:ascii="Verdana" w:eastAsia="Times" w:hAnsi="Verdana"/>
          <w:sz w:val="18"/>
          <w:szCs w:val="18"/>
        </w:rPr>
      </w:pPr>
      <w:r w:rsidRPr="00B77BAA">
        <w:rPr>
          <w:rFonts w:ascii="Verdana" w:eastAsia="Times" w:hAnsi="Verdana"/>
          <w:sz w:val="18"/>
          <w:szCs w:val="18"/>
        </w:rPr>
        <w:t>163.</w:t>
      </w:r>
      <w:r w:rsidRPr="00B77BAA">
        <w:rPr>
          <w:rFonts w:ascii="Verdana" w:eastAsia="Times" w:hAnsi="Verdana"/>
          <w:sz w:val="18"/>
          <w:szCs w:val="18"/>
        </w:rPr>
        <w:tab/>
        <w:t>La Corte advierte que es una obligación del Estado no sólo iniciar una investigación de oficio, sino de hacerlo también, como expresamente indica el artículo 8 de la Convención Interamericana para Prevenir y Sancionar la Tortura, en forma “inmediata” a partir de que exista “razón fundada” para creer que se ha cometido un acto de tortura. […]</w:t>
      </w:r>
    </w:p>
    <w:p w:rsidR="00C47667" w:rsidRPr="00B77BAA" w:rsidRDefault="00C47667" w:rsidP="00C47667">
      <w:pPr>
        <w:pStyle w:val="ListParagraph"/>
        <w:spacing w:after="0" w:line="240" w:lineRule="auto"/>
        <w:ind w:left="709" w:right="833"/>
        <w:jc w:val="both"/>
        <w:rPr>
          <w:rFonts w:ascii="Verdana" w:eastAsia="Times" w:hAnsi="Verdana"/>
          <w:sz w:val="18"/>
          <w:szCs w:val="18"/>
        </w:rPr>
      </w:pPr>
    </w:p>
    <w:p w:rsidR="00C47667" w:rsidRPr="00B77BAA" w:rsidRDefault="00C47667" w:rsidP="00C47667">
      <w:pPr>
        <w:pStyle w:val="ListParagraph"/>
        <w:spacing w:after="0" w:line="240" w:lineRule="auto"/>
        <w:ind w:left="709" w:right="833"/>
        <w:jc w:val="both"/>
        <w:rPr>
          <w:rFonts w:ascii="Verdana" w:eastAsia="Times" w:hAnsi="Verdana"/>
          <w:sz w:val="18"/>
          <w:szCs w:val="18"/>
        </w:rPr>
      </w:pPr>
      <w:r w:rsidRPr="00B77BAA">
        <w:rPr>
          <w:rFonts w:ascii="Verdana" w:eastAsia="Times" w:hAnsi="Verdana"/>
          <w:sz w:val="18"/>
          <w:szCs w:val="18"/>
        </w:rPr>
        <w:lastRenderedPageBreak/>
        <w:t>168.</w:t>
      </w:r>
      <w:r w:rsidRPr="00B77BAA">
        <w:rPr>
          <w:rFonts w:ascii="Verdana" w:eastAsia="Times" w:hAnsi="Verdana"/>
          <w:sz w:val="18"/>
          <w:szCs w:val="18"/>
        </w:rPr>
        <w:tab/>
        <w:t>La Corte considera que lo anterior denota una falta de diligencia en la investigación de una violación a la integridad personal —la cual incluso fue denunciada como tortura por parte de la víctima— y representa una violación de los derechos a las garantías judiciales y a la protección judicial, establecidos en los artículos 8.1 y 25 de la Convención Americana sobre Derechos Humanos, en relación con el artículo 1.1 del mismo instrumento y las obligaciones establecidas en los artículos 1, 6 y 8 de la Convención Interamericana para Prevenir y Sancionar la Tortura, en perjuicio del señor Valdemir Quispialaya.</w:t>
      </w:r>
    </w:p>
    <w:p w:rsidR="00C47667" w:rsidRPr="00B77BAA" w:rsidRDefault="00C47667" w:rsidP="00C47667">
      <w:pPr>
        <w:pStyle w:val="ListParagraph"/>
        <w:spacing w:after="0" w:line="240" w:lineRule="auto"/>
        <w:ind w:left="709" w:right="833"/>
        <w:jc w:val="both"/>
        <w:rPr>
          <w:rFonts w:ascii="Verdana" w:eastAsia="Times" w:hAnsi="Verdana"/>
          <w:sz w:val="18"/>
          <w:szCs w:val="18"/>
        </w:rPr>
      </w:pPr>
      <w:r w:rsidRPr="00B77BAA">
        <w:rPr>
          <w:rFonts w:ascii="Verdana" w:eastAsia="Times" w:hAnsi="Verdana"/>
          <w:sz w:val="18"/>
          <w:szCs w:val="18"/>
        </w:rPr>
        <w:t xml:space="preserve">  </w:t>
      </w:r>
    </w:p>
    <w:p w:rsidR="00577097" w:rsidRPr="00B77BAA" w:rsidRDefault="00C47667" w:rsidP="00C47667">
      <w:pPr>
        <w:pStyle w:val="ListParagraph"/>
        <w:spacing w:after="0" w:line="240" w:lineRule="auto"/>
        <w:ind w:left="709" w:right="833"/>
        <w:contextualSpacing w:val="0"/>
        <w:jc w:val="both"/>
        <w:rPr>
          <w:rFonts w:ascii="Verdana" w:hAnsi="Verdana"/>
          <w:sz w:val="18"/>
          <w:szCs w:val="18"/>
        </w:rPr>
      </w:pPr>
      <w:r w:rsidRPr="00B77BAA">
        <w:rPr>
          <w:rFonts w:ascii="Verdana" w:eastAsia="Times" w:hAnsi="Verdana"/>
          <w:sz w:val="18"/>
          <w:szCs w:val="18"/>
        </w:rPr>
        <w:t>169.</w:t>
      </w:r>
      <w:r w:rsidRPr="00B77BAA">
        <w:rPr>
          <w:rFonts w:ascii="Verdana" w:eastAsia="Times" w:hAnsi="Verdana"/>
          <w:sz w:val="18"/>
          <w:szCs w:val="18"/>
        </w:rPr>
        <w:tab/>
        <w:t>Finalmente, con respeto a la investigación iniciada de</w:t>
      </w:r>
      <w:r w:rsidR="00BD6D27" w:rsidRPr="00B77BAA">
        <w:rPr>
          <w:rFonts w:ascii="Verdana" w:eastAsia="Times" w:hAnsi="Verdana"/>
          <w:sz w:val="18"/>
          <w:szCs w:val="18"/>
        </w:rPr>
        <w:t xml:space="preserve"> oficio el 4 de febrero de 2015</w:t>
      </w:r>
      <w:r w:rsidRPr="00B77BAA">
        <w:rPr>
          <w:rFonts w:ascii="Verdana" w:eastAsia="Times" w:hAnsi="Verdana"/>
          <w:sz w:val="18"/>
          <w:szCs w:val="18"/>
        </w:rPr>
        <w:t>, la Corte valora las diligencias realizadas por el Estado y lo exhorta a proseguir dicha investigación de acuerdo a los estándares indicados en la presente Sentencia. Asimismo, en relación con la definición del delito cometido por el acusado (tortura o lesiones graves), el Tribunal considera que, en principio, compete a las autoridades internas realizar esa determinación al final del proceso penal correspondiente.</w:t>
      </w:r>
    </w:p>
    <w:p w:rsidR="00577097" w:rsidRPr="00BE133F" w:rsidRDefault="00577097" w:rsidP="00577097">
      <w:pPr>
        <w:tabs>
          <w:tab w:val="left" w:pos="567"/>
        </w:tabs>
        <w:autoSpaceDE w:val="0"/>
        <w:autoSpaceDN w:val="0"/>
        <w:adjustRightInd w:val="0"/>
        <w:spacing w:after="0" w:line="240" w:lineRule="auto"/>
        <w:jc w:val="both"/>
        <w:rPr>
          <w:rFonts w:ascii="Verdana" w:hAnsi="Verdana"/>
          <w:sz w:val="20"/>
          <w:szCs w:val="20"/>
          <w:lang w:val="es-CO"/>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t>Tal como lo ha dispuesto anteriormente este Tribunal en su jurisprudencia constante, una solicitud de interpretación de Sentencia no puede utilizarse como medio de impugnación de la decisión cuya interpretación se solicita.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BE133F">
        <w:rPr>
          <w:rStyle w:val="FootnoteReference"/>
          <w:rFonts w:ascii="Verdana" w:hAnsi="Verdana"/>
          <w:sz w:val="20"/>
          <w:szCs w:val="20"/>
        </w:rPr>
        <w:footnoteReference w:id="2"/>
      </w:r>
      <w:r w:rsidRPr="00BE133F">
        <w:rPr>
          <w:rFonts w:ascii="Verdana" w:hAnsi="Verdana"/>
          <w:sz w:val="20"/>
          <w:szCs w:val="20"/>
        </w:rPr>
        <w:t>. Por lo tanto, no se puede pedir la modificación o anulación de la Sentencia respectiva a través de una solicitud de interpretación</w:t>
      </w:r>
      <w:r w:rsidRPr="00BE133F">
        <w:rPr>
          <w:rStyle w:val="FootnoteReference"/>
          <w:rFonts w:ascii="Verdana" w:hAnsi="Verdana"/>
          <w:sz w:val="20"/>
          <w:szCs w:val="20"/>
        </w:rPr>
        <w:footnoteReference w:id="3"/>
      </w:r>
      <w:r w:rsidRPr="00BE133F">
        <w:rPr>
          <w:rFonts w:ascii="Verdana" w:hAnsi="Verdana"/>
          <w:sz w:val="20"/>
          <w:szCs w:val="20"/>
        </w:rPr>
        <w:t xml:space="preserve">. </w:t>
      </w:r>
      <w:bookmarkStart w:id="12" w:name="_Ref363132082"/>
      <w:bookmarkEnd w:id="11"/>
    </w:p>
    <w:p w:rsidR="00577097" w:rsidRPr="00BE133F" w:rsidRDefault="00577097" w:rsidP="00577097">
      <w:pPr>
        <w:tabs>
          <w:tab w:val="left" w:pos="567"/>
        </w:tabs>
        <w:autoSpaceDE w:val="0"/>
        <w:autoSpaceDN w:val="0"/>
        <w:adjustRightInd w:val="0"/>
        <w:spacing w:after="0" w:line="240" w:lineRule="auto"/>
        <w:jc w:val="both"/>
        <w:rPr>
          <w:rFonts w:ascii="Verdana" w:hAnsi="Verdana"/>
          <w:sz w:val="20"/>
          <w:szCs w:val="20"/>
        </w:rPr>
      </w:pPr>
    </w:p>
    <w:p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sidRPr="00BE133F">
        <w:rPr>
          <w:rFonts w:ascii="Verdana" w:hAnsi="Verdana"/>
          <w:sz w:val="20"/>
          <w:szCs w:val="20"/>
        </w:rPr>
        <w:t>Asimismo, la Corte ha sostenido la improcedencia de utilizar una solicitud de interpretación para someter cuestiones de hecho y de derecho que ya fueron planteadas en su oportunidad procesal y sobre las cuales el Tribunal ya adoptó una decisión</w:t>
      </w:r>
      <w:r w:rsidRPr="00BE133F">
        <w:rPr>
          <w:rStyle w:val="FootnoteReference"/>
          <w:rFonts w:ascii="Verdana" w:hAnsi="Verdana"/>
          <w:sz w:val="20"/>
          <w:szCs w:val="20"/>
        </w:rPr>
        <w:footnoteReference w:id="4"/>
      </w:r>
      <w:r w:rsidRPr="00BE133F">
        <w:rPr>
          <w:rFonts w:ascii="Verdana" w:hAnsi="Verdana"/>
          <w:sz w:val="20"/>
          <w:szCs w:val="20"/>
        </w:rPr>
        <w:t>, así como para pretender que el Tribunal valore nuevamente cuestiones que ya han sido resueltas por éste en la Sentencia</w:t>
      </w:r>
      <w:r w:rsidRPr="00BE133F">
        <w:rPr>
          <w:rStyle w:val="FootnoteReference"/>
          <w:rFonts w:ascii="Verdana" w:hAnsi="Verdana"/>
          <w:sz w:val="20"/>
          <w:szCs w:val="20"/>
        </w:rPr>
        <w:footnoteReference w:id="5"/>
      </w:r>
      <w:r w:rsidRPr="00BE133F">
        <w:rPr>
          <w:rFonts w:ascii="Verdana" w:hAnsi="Verdana"/>
          <w:sz w:val="20"/>
          <w:szCs w:val="20"/>
        </w:rPr>
        <w:t>. De igual manera, por esta vía tampoco se puede intentar que se amplíe el alcance de una medida de reparación ordenada oportunamente</w:t>
      </w:r>
      <w:r w:rsidRPr="00BE133F">
        <w:rPr>
          <w:rStyle w:val="FootnoteReference"/>
          <w:rFonts w:ascii="Verdana" w:hAnsi="Verdana"/>
          <w:sz w:val="20"/>
          <w:szCs w:val="20"/>
        </w:rPr>
        <w:footnoteReference w:id="6"/>
      </w:r>
      <w:r w:rsidRPr="00BE133F">
        <w:rPr>
          <w:rFonts w:ascii="Verdana" w:hAnsi="Verdana"/>
          <w:sz w:val="20"/>
          <w:szCs w:val="20"/>
        </w:rPr>
        <w:t xml:space="preserve">. </w:t>
      </w:r>
    </w:p>
    <w:p w:rsidR="00577097" w:rsidRPr="00BE133F" w:rsidRDefault="00577097" w:rsidP="00577097">
      <w:pPr>
        <w:spacing w:after="0" w:line="240" w:lineRule="auto"/>
        <w:jc w:val="both"/>
        <w:rPr>
          <w:rFonts w:ascii="Verdana" w:hAnsi="Verdana"/>
          <w:sz w:val="20"/>
          <w:szCs w:val="20"/>
        </w:rPr>
      </w:pPr>
    </w:p>
    <w:bookmarkEnd w:id="12"/>
    <w:p w:rsidR="00220AA4" w:rsidRPr="00E31222" w:rsidRDefault="006B5A9E" w:rsidP="00220AA4">
      <w:pPr>
        <w:pStyle w:val="Prrafodelista2"/>
        <w:numPr>
          <w:ilvl w:val="0"/>
          <w:numId w:val="1"/>
        </w:numPr>
        <w:tabs>
          <w:tab w:val="left" w:pos="567"/>
          <w:tab w:val="left" w:pos="720"/>
          <w:tab w:val="num" w:pos="15467"/>
        </w:tabs>
        <w:contextualSpacing/>
        <w:jc w:val="both"/>
      </w:pPr>
      <w:r w:rsidRPr="00BD6D27">
        <w:rPr>
          <w:rFonts w:eastAsia="Calibri" w:cs="Arial"/>
        </w:rPr>
        <w:t xml:space="preserve">La Corte evaluará ambas solicitudes </w:t>
      </w:r>
      <w:r w:rsidR="00950D9C" w:rsidRPr="00BD6D27">
        <w:rPr>
          <w:rFonts w:eastAsia="Calibri" w:cs="Arial"/>
        </w:rPr>
        <w:t>de interpretación formulada</w:t>
      </w:r>
      <w:r w:rsidRPr="00BD6D27">
        <w:rPr>
          <w:rFonts w:eastAsia="Calibri" w:cs="Arial"/>
        </w:rPr>
        <w:t>s</w:t>
      </w:r>
      <w:r w:rsidR="00950D9C" w:rsidRPr="00BD6D27">
        <w:rPr>
          <w:rFonts w:eastAsia="Calibri" w:cs="Arial"/>
        </w:rPr>
        <w:t xml:space="preserve"> por </w:t>
      </w:r>
      <w:r w:rsidR="00487100" w:rsidRPr="00BD6D27">
        <w:rPr>
          <w:rFonts w:eastAsia="Calibri" w:cs="Arial"/>
        </w:rPr>
        <w:t xml:space="preserve">el </w:t>
      </w:r>
      <w:r w:rsidR="000A40C2" w:rsidRPr="00BD6D27">
        <w:rPr>
          <w:rFonts w:eastAsia="Calibri" w:cs="Arial"/>
        </w:rPr>
        <w:t xml:space="preserve">Estado peruano </w:t>
      </w:r>
      <w:r w:rsidRPr="00BD6D27">
        <w:rPr>
          <w:rFonts w:eastAsia="Calibri" w:cs="Arial"/>
        </w:rPr>
        <w:t xml:space="preserve">en el orden que fueron presentadas. </w:t>
      </w:r>
    </w:p>
    <w:p w:rsidR="00220AA4" w:rsidRPr="00E31222" w:rsidRDefault="00220AA4" w:rsidP="00E31222">
      <w:pPr>
        <w:pStyle w:val="Prrafodelista2"/>
        <w:tabs>
          <w:tab w:val="left" w:pos="0"/>
          <w:tab w:val="num" w:pos="15467"/>
        </w:tabs>
        <w:ind w:left="0"/>
        <w:contextualSpacing/>
        <w:jc w:val="both"/>
        <w:rPr>
          <w:rFonts w:eastAsia="Calibri" w:cs="Times New Roman"/>
          <w:lang w:val="es-CR"/>
        </w:rPr>
      </w:pPr>
    </w:p>
    <w:p w:rsidR="00220AA4" w:rsidRPr="00E31222" w:rsidRDefault="00220AA4" w:rsidP="00E31222">
      <w:pPr>
        <w:pStyle w:val="Prrafodelista2"/>
        <w:numPr>
          <w:ilvl w:val="1"/>
          <w:numId w:val="1"/>
        </w:numPr>
        <w:tabs>
          <w:tab w:val="left" w:pos="0"/>
        </w:tabs>
        <w:contextualSpacing/>
        <w:jc w:val="both"/>
        <w:rPr>
          <w:rFonts w:eastAsia="Calibri" w:cs="Times New Roman"/>
          <w:i/>
          <w:lang w:val="es-CR"/>
        </w:rPr>
      </w:pPr>
      <w:r w:rsidRPr="00E31222">
        <w:rPr>
          <w:rFonts w:eastAsia="Calibri" w:cs="Times New Roman"/>
          <w:i/>
          <w:lang w:val="es-CR"/>
        </w:rPr>
        <w:t>Respecto a la calificación de los hechos que afectaron la integridad personal del señor Quispialaya</w:t>
      </w:r>
    </w:p>
    <w:p w:rsidR="00220AA4" w:rsidRPr="00E31222" w:rsidRDefault="00220AA4" w:rsidP="00E31222">
      <w:pPr>
        <w:pStyle w:val="Prrafodelista2"/>
        <w:tabs>
          <w:tab w:val="left" w:pos="0"/>
          <w:tab w:val="num" w:pos="15467"/>
        </w:tabs>
        <w:ind w:left="0"/>
        <w:contextualSpacing/>
        <w:jc w:val="both"/>
      </w:pPr>
    </w:p>
    <w:p w:rsidR="00956031" w:rsidRPr="00956031" w:rsidRDefault="00220AA4" w:rsidP="000A40C2">
      <w:pPr>
        <w:pStyle w:val="Prrafodelista2"/>
        <w:numPr>
          <w:ilvl w:val="0"/>
          <w:numId w:val="1"/>
        </w:numPr>
        <w:tabs>
          <w:tab w:val="left" w:pos="567"/>
          <w:tab w:val="left" w:pos="720"/>
          <w:tab w:val="num" w:pos="15467"/>
        </w:tabs>
        <w:contextualSpacing/>
        <w:jc w:val="both"/>
      </w:pPr>
      <w:r>
        <w:rPr>
          <w:rFonts w:eastAsia="Calibri" w:cs="Arial"/>
        </w:rPr>
        <w:t xml:space="preserve">En el presente caso, dadas las particularidades de los hechos, la Corte Interamericana concluyó que el Estado es responsable por la violación del artículo 5 de la Convención </w:t>
      </w:r>
      <w:r>
        <w:rPr>
          <w:rFonts w:eastAsia="Calibri" w:cs="Arial"/>
        </w:rPr>
        <w:lastRenderedPageBreak/>
        <w:t xml:space="preserve">Americana sobre Derechos Humanos. </w:t>
      </w:r>
      <w:r w:rsidR="006E09E6">
        <w:rPr>
          <w:rFonts w:eastAsia="Calibri" w:cs="Arial"/>
        </w:rPr>
        <w:t xml:space="preserve">Por otra parte, </w:t>
      </w:r>
      <w:r w:rsidR="00FB498D">
        <w:rPr>
          <w:rFonts w:eastAsia="Calibri" w:cs="Arial"/>
        </w:rPr>
        <w:t xml:space="preserve">de </w:t>
      </w:r>
      <w:r w:rsidR="006B5A9E" w:rsidRPr="00BD6D27">
        <w:rPr>
          <w:rFonts w:eastAsia="Calibri" w:cs="Arial"/>
        </w:rPr>
        <w:t>la simple lectura de los párrafos</w:t>
      </w:r>
      <w:r w:rsidR="001D27EC">
        <w:rPr>
          <w:rFonts w:eastAsia="Calibri" w:cs="Arial"/>
        </w:rPr>
        <w:t xml:space="preserve"> relevantes de la Sentencia </w:t>
      </w:r>
      <w:r w:rsidR="006B5A9E" w:rsidRPr="00BD6D27">
        <w:rPr>
          <w:rFonts w:eastAsia="Calibri" w:cs="Arial"/>
        </w:rPr>
        <w:t>(</w:t>
      </w:r>
      <w:r w:rsidR="006B5A9E" w:rsidRPr="00BD6D27">
        <w:rPr>
          <w:rFonts w:eastAsia="Calibri" w:cs="Arial"/>
          <w:i/>
        </w:rPr>
        <w:t xml:space="preserve">supra </w:t>
      </w:r>
      <w:r w:rsidR="006B5A9E" w:rsidRPr="00BD6D27">
        <w:rPr>
          <w:rFonts w:eastAsia="Calibri" w:cs="Arial"/>
        </w:rPr>
        <w:t>párr. 2</w:t>
      </w:r>
      <w:r w:rsidR="00BD6D27" w:rsidRPr="00BD6D27">
        <w:rPr>
          <w:rFonts w:eastAsia="Calibri" w:cs="Arial"/>
        </w:rPr>
        <w:t xml:space="preserve">0) </w:t>
      </w:r>
      <w:r w:rsidR="001D27EC">
        <w:rPr>
          <w:rFonts w:eastAsia="Calibri" w:cs="Arial"/>
        </w:rPr>
        <w:t xml:space="preserve">y </w:t>
      </w:r>
      <w:r w:rsidR="001D27EC" w:rsidRPr="001D27EC">
        <w:rPr>
          <w:rFonts w:eastAsia="Calibri" w:cs="Arial"/>
          <w:lang w:val="es-CR"/>
        </w:rPr>
        <w:t xml:space="preserve">del punto resolutivo tercero </w:t>
      </w:r>
      <w:r w:rsidR="001D27EC">
        <w:rPr>
          <w:rFonts w:eastAsia="Calibri" w:cs="Arial"/>
          <w:lang w:val="es-CR"/>
        </w:rPr>
        <w:t>(</w:t>
      </w:r>
      <w:r w:rsidR="001D27EC">
        <w:rPr>
          <w:rFonts w:eastAsia="Calibri" w:cs="Arial"/>
          <w:i/>
          <w:lang w:val="es-CR"/>
        </w:rPr>
        <w:t xml:space="preserve">supra </w:t>
      </w:r>
      <w:r w:rsidR="001D27EC">
        <w:rPr>
          <w:rFonts w:eastAsia="Calibri" w:cs="Arial"/>
          <w:lang w:val="es-CR"/>
        </w:rPr>
        <w:t xml:space="preserve">párr. 19) </w:t>
      </w:r>
      <w:r w:rsidR="00FB498D">
        <w:rPr>
          <w:rFonts w:eastAsia="Calibri" w:cs="Arial"/>
          <w:lang w:val="es-CR"/>
        </w:rPr>
        <w:t xml:space="preserve">se desprende que estos </w:t>
      </w:r>
      <w:r w:rsidR="00BD6D27" w:rsidRPr="00BD6D27">
        <w:rPr>
          <w:rFonts w:eastAsia="Calibri" w:cs="Arial"/>
        </w:rPr>
        <w:t>son suficientemente</w:t>
      </w:r>
      <w:r w:rsidR="006B5A9E" w:rsidRPr="00BD6D27">
        <w:rPr>
          <w:rFonts w:eastAsia="Calibri" w:cs="Arial"/>
        </w:rPr>
        <w:t xml:space="preserve"> </w:t>
      </w:r>
      <w:r w:rsidR="00BD6D27" w:rsidRPr="00BD6D27">
        <w:rPr>
          <w:rFonts w:eastAsia="Calibri" w:cs="Arial"/>
        </w:rPr>
        <w:t>claros en el sentido de que la violación a los artículos 8.1 y 25 de la Convención Americana, en relación con los artículos 1.1 de la misma y 1, 6 y 8 de la CIPST</w:t>
      </w:r>
      <w:r w:rsidR="001A3700">
        <w:rPr>
          <w:rFonts w:eastAsia="Calibri" w:cs="Arial"/>
        </w:rPr>
        <w:t>,</w:t>
      </w:r>
      <w:r w:rsidR="00BD6D27" w:rsidRPr="00BD6D27">
        <w:rPr>
          <w:rFonts w:eastAsia="Calibri" w:cs="Arial"/>
        </w:rPr>
        <w:t xml:space="preserve"> resulta de la falta de diligencia en la investigación de una violación a la integridad personal, la cual en su momento fue denunciada </w:t>
      </w:r>
      <w:r w:rsidR="00FB498D">
        <w:rPr>
          <w:rFonts w:eastAsia="Calibri" w:cs="Arial"/>
        </w:rPr>
        <w:t xml:space="preserve">por la víctima </w:t>
      </w:r>
      <w:r w:rsidR="00BD6D27" w:rsidRPr="00BD6D27">
        <w:rPr>
          <w:rFonts w:eastAsia="Calibri" w:cs="Arial"/>
        </w:rPr>
        <w:t xml:space="preserve">como tortura. Asimismo, la Sentencia fue precisa en determinar que </w:t>
      </w:r>
      <w:r w:rsidR="00BD6D27" w:rsidRPr="00BD6D27">
        <w:rPr>
          <w:rFonts w:eastAsia="Calibri" w:cs="Arial"/>
          <w:lang w:val="es-CR"/>
        </w:rPr>
        <w:t>compete</w:t>
      </w:r>
      <w:r w:rsidR="001D27EC">
        <w:rPr>
          <w:rFonts w:eastAsia="Calibri" w:cs="Arial"/>
          <w:lang w:val="es-CR"/>
        </w:rPr>
        <w:t>, en principio,</w:t>
      </w:r>
      <w:r w:rsidR="00BD6D27" w:rsidRPr="00BD6D27">
        <w:rPr>
          <w:rFonts w:eastAsia="Calibri" w:cs="Arial"/>
          <w:lang w:val="es-CR"/>
        </w:rPr>
        <w:t xml:space="preserve"> a las autoridades internas realizar </w:t>
      </w:r>
      <w:r w:rsidR="001D27EC">
        <w:rPr>
          <w:rFonts w:eastAsia="Calibri" w:cs="Arial"/>
          <w:lang w:val="es-CR"/>
        </w:rPr>
        <w:t xml:space="preserve">la </w:t>
      </w:r>
      <w:r w:rsidR="00BD6D27" w:rsidRPr="00BD6D27">
        <w:rPr>
          <w:rFonts w:eastAsia="Calibri" w:cs="Arial"/>
          <w:lang w:val="es-CR"/>
        </w:rPr>
        <w:t xml:space="preserve">determinación </w:t>
      </w:r>
      <w:r w:rsidR="001D27EC">
        <w:rPr>
          <w:rFonts w:eastAsia="Calibri" w:cs="Arial"/>
          <w:lang w:val="es-CR"/>
        </w:rPr>
        <w:t xml:space="preserve">sobre </w:t>
      </w:r>
      <w:r w:rsidR="001D27EC" w:rsidRPr="001D27EC">
        <w:rPr>
          <w:rFonts w:eastAsia="Calibri" w:cs="Arial"/>
          <w:lang w:val="es-CR"/>
        </w:rPr>
        <w:t xml:space="preserve">el delito cometido por el acusado (tortura o lesiones graves) </w:t>
      </w:r>
      <w:r w:rsidR="00BD6D27" w:rsidRPr="00BD6D27">
        <w:rPr>
          <w:rFonts w:eastAsia="Calibri" w:cs="Arial"/>
          <w:lang w:val="es-CR"/>
        </w:rPr>
        <w:t xml:space="preserve">al final del proceso penal correspondiente. De lo anterior, la Corte considera que la referida solicitud de interpretación del Estado </w:t>
      </w:r>
      <w:r w:rsidR="00950D9C" w:rsidRPr="00BD6D27">
        <w:rPr>
          <w:rFonts w:eastAsia="Calibri" w:cs="Arial"/>
        </w:rPr>
        <w:t>no se encuentra dentro del marco establecido en</w:t>
      </w:r>
      <w:r w:rsidR="00DA5551" w:rsidRPr="00BD6D27">
        <w:rPr>
          <w:rFonts w:eastAsia="Calibri" w:cs="Arial"/>
        </w:rPr>
        <w:t xml:space="preserve"> el artículo </w:t>
      </w:r>
      <w:r w:rsidR="00D532B1" w:rsidRPr="00BD6D27">
        <w:rPr>
          <w:rFonts w:eastAsia="Calibri" w:cs="Arial"/>
        </w:rPr>
        <w:t>67 de la Convención Americana</w:t>
      </w:r>
      <w:r w:rsidR="00956031">
        <w:rPr>
          <w:rFonts w:eastAsia="Calibri" w:cs="Arial"/>
        </w:rPr>
        <w:t>,</w:t>
      </w:r>
      <w:r w:rsidR="00950D9C" w:rsidRPr="00BD6D27">
        <w:rPr>
          <w:rFonts w:eastAsia="Calibri" w:cs="Arial"/>
        </w:rPr>
        <w:t xml:space="preserve"> </w:t>
      </w:r>
      <w:r w:rsidR="00D532B1" w:rsidRPr="00BD6D27">
        <w:rPr>
          <w:rFonts w:eastAsia="Calibri" w:cs="Arial"/>
        </w:rPr>
        <w:t>toda vez que</w:t>
      </w:r>
      <w:r w:rsidR="00DB2539" w:rsidRPr="00BD6D27">
        <w:rPr>
          <w:rFonts w:eastAsia="Calibri" w:cs="Arial"/>
        </w:rPr>
        <w:t xml:space="preserve"> el propósito de la interpretación </w:t>
      </w:r>
      <w:r w:rsidR="001D27EC">
        <w:rPr>
          <w:rFonts w:eastAsia="Calibri" w:cs="Arial"/>
        </w:rPr>
        <w:t xml:space="preserve">debe ser </w:t>
      </w:r>
      <w:r w:rsidR="00DB2539" w:rsidRPr="00BD6D27">
        <w:rPr>
          <w:rFonts w:eastAsia="Calibri" w:cs="Arial"/>
        </w:rPr>
        <w:t xml:space="preserve">aclarar algún punto impreciso o ambiguo </w:t>
      </w:r>
      <w:r w:rsidR="003645D7" w:rsidRPr="00BD6D27">
        <w:rPr>
          <w:rFonts w:eastAsia="Calibri" w:cs="Arial"/>
        </w:rPr>
        <w:t xml:space="preserve">sobre el sentido o alcance </w:t>
      </w:r>
      <w:r w:rsidR="005C797C" w:rsidRPr="00BD6D27">
        <w:rPr>
          <w:rFonts w:eastAsia="Calibri" w:cs="Arial"/>
        </w:rPr>
        <w:t>de la S</w:t>
      </w:r>
      <w:r w:rsidR="00DB2539" w:rsidRPr="00BD6D27">
        <w:rPr>
          <w:rFonts w:eastAsia="Calibri" w:cs="Arial"/>
        </w:rPr>
        <w:t>entencia</w:t>
      </w:r>
      <w:r w:rsidR="001D27EC">
        <w:rPr>
          <w:rFonts w:eastAsia="Calibri" w:cs="Arial"/>
        </w:rPr>
        <w:t>, lo que no es el caso en la presente solicitud</w:t>
      </w:r>
      <w:r w:rsidR="00F55E3E" w:rsidRPr="00BD6D27">
        <w:rPr>
          <w:rFonts w:eastAsia="Calibri" w:cs="Arial"/>
        </w:rPr>
        <w:t>.</w:t>
      </w:r>
      <w:r w:rsidR="004E2E75" w:rsidRPr="00BD6D27">
        <w:rPr>
          <w:rFonts w:eastAsia="Calibri" w:cs="Arial"/>
        </w:rPr>
        <w:t xml:space="preserve"> </w:t>
      </w:r>
    </w:p>
    <w:p w:rsidR="00956031" w:rsidRDefault="00956031" w:rsidP="00956031">
      <w:pPr>
        <w:pStyle w:val="Prrafodelista2"/>
        <w:tabs>
          <w:tab w:val="left" w:pos="567"/>
          <w:tab w:val="left" w:pos="720"/>
          <w:tab w:val="num" w:pos="15467"/>
        </w:tabs>
        <w:ind w:left="0"/>
        <w:contextualSpacing/>
        <w:jc w:val="both"/>
      </w:pPr>
    </w:p>
    <w:p w:rsidR="006E09E6" w:rsidRPr="006E09E6" w:rsidRDefault="006E09E6" w:rsidP="00E31222">
      <w:pPr>
        <w:pStyle w:val="Prrafodelista2"/>
        <w:tabs>
          <w:tab w:val="left" w:pos="567"/>
          <w:tab w:val="left" w:pos="720"/>
          <w:tab w:val="num" w:pos="15467"/>
        </w:tabs>
        <w:rPr>
          <w:i/>
          <w:lang w:val="es-CR"/>
        </w:rPr>
      </w:pPr>
      <w:r>
        <w:rPr>
          <w:i/>
          <w:lang w:val="es-CR"/>
        </w:rPr>
        <w:t xml:space="preserve">b) </w:t>
      </w:r>
      <w:r w:rsidRPr="006E09E6">
        <w:rPr>
          <w:i/>
          <w:lang w:val="es-CR"/>
        </w:rPr>
        <w:t>Respecto al</w:t>
      </w:r>
      <w:r>
        <w:rPr>
          <w:i/>
          <w:lang w:val="es-CR"/>
        </w:rPr>
        <w:t xml:space="preserve"> </w:t>
      </w:r>
      <w:r w:rsidR="009342DD" w:rsidRPr="009342DD">
        <w:rPr>
          <w:i/>
          <w:lang w:val="es-CR"/>
        </w:rPr>
        <w:t>número de votos por el que se declaró la responsabilidad del Estado por la intervención de la justicia militar</w:t>
      </w:r>
    </w:p>
    <w:p w:rsidR="006E09E6" w:rsidRPr="00E31222" w:rsidRDefault="006E09E6" w:rsidP="00956031">
      <w:pPr>
        <w:pStyle w:val="Prrafodelista2"/>
        <w:tabs>
          <w:tab w:val="left" w:pos="567"/>
          <w:tab w:val="left" w:pos="720"/>
          <w:tab w:val="num" w:pos="15467"/>
        </w:tabs>
        <w:ind w:left="0"/>
        <w:contextualSpacing/>
        <w:jc w:val="both"/>
        <w:rPr>
          <w:lang w:val="es-CR"/>
        </w:rPr>
      </w:pPr>
    </w:p>
    <w:p w:rsidR="00956031" w:rsidRPr="00956031" w:rsidRDefault="00956031" w:rsidP="000A40C2">
      <w:pPr>
        <w:pStyle w:val="Prrafodelista2"/>
        <w:numPr>
          <w:ilvl w:val="0"/>
          <w:numId w:val="1"/>
        </w:numPr>
        <w:tabs>
          <w:tab w:val="left" w:pos="567"/>
          <w:tab w:val="left" w:pos="720"/>
          <w:tab w:val="num" w:pos="15467"/>
        </w:tabs>
        <w:contextualSpacing/>
        <w:jc w:val="both"/>
      </w:pPr>
      <w:r>
        <w:rPr>
          <w:rFonts w:eastAsia="Calibri" w:cs="Arial"/>
        </w:rPr>
        <w:t xml:space="preserve">Por otra parte, la Corte pasa a tratar la segunda solicitud de interpretación del Estado sobre si el voto concurrente del Juez Vío Grossi debería ser entendido como una posición discrepante y, por lo tanto, resultaría en un cambio en la votación del punto resolutivo 3 de la Sentencia. Al respecto, </w:t>
      </w:r>
      <w:r w:rsidR="00141229">
        <w:rPr>
          <w:rFonts w:eastAsia="Calibri" w:cs="Arial"/>
        </w:rPr>
        <w:t xml:space="preserve">la Corte </w:t>
      </w:r>
      <w:r w:rsidR="00DA522F">
        <w:rPr>
          <w:rFonts w:eastAsia="Calibri" w:cs="Arial"/>
        </w:rPr>
        <w:t>señala</w:t>
      </w:r>
      <w:r w:rsidR="00141229">
        <w:rPr>
          <w:rFonts w:eastAsia="Calibri" w:cs="Arial"/>
        </w:rPr>
        <w:t xml:space="preserve"> que </w:t>
      </w:r>
      <w:r w:rsidR="00DA522F">
        <w:rPr>
          <w:rFonts w:eastAsia="Calibri" w:cs="Arial"/>
        </w:rPr>
        <w:t>la parte resolutiva de la sentencia en cuestión fue adoptada por unanimidad y que el Juez Vio Grossi hizo un voto concurrente en relación con la misma, el cual no puede ser objeto de una solicitud de interpretación.</w:t>
      </w:r>
      <w:r w:rsidR="005C1FE0">
        <w:rPr>
          <w:rFonts w:eastAsia="Calibri" w:cs="Arial"/>
          <w:lang w:val="es-CR"/>
        </w:rPr>
        <w:t xml:space="preserve"> </w:t>
      </w:r>
    </w:p>
    <w:p w:rsidR="005C1FE0" w:rsidRPr="005C1FE0" w:rsidRDefault="005C1FE0" w:rsidP="005C1FE0">
      <w:pPr>
        <w:pStyle w:val="Prrafodelista2"/>
        <w:tabs>
          <w:tab w:val="left" w:pos="567"/>
          <w:tab w:val="left" w:pos="720"/>
          <w:tab w:val="num" w:pos="15467"/>
        </w:tabs>
        <w:ind w:left="0"/>
        <w:contextualSpacing/>
        <w:jc w:val="both"/>
      </w:pPr>
    </w:p>
    <w:p w:rsidR="00ED1616" w:rsidRPr="00ED1616" w:rsidRDefault="00B3203C" w:rsidP="000A40C2">
      <w:pPr>
        <w:pStyle w:val="Prrafodelista2"/>
        <w:numPr>
          <w:ilvl w:val="0"/>
          <w:numId w:val="1"/>
        </w:numPr>
        <w:tabs>
          <w:tab w:val="left" w:pos="567"/>
          <w:tab w:val="left" w:pos="720"/>
          <w:tab w:val="num" w:pos="15467"/>
        </w:tabs>
        <w:contextualSpacing/>
        <w:jc w:val="both"/>
      </w:pPr>
      <w:r w:rsidRPr="00BD6D27">
        <w:rPr>
          <w:rFonts w:eastAsia="Calibri" w:cs="Arial"/>
        </w:rPr>
        <w:t xml:space="preserve">En </w:t>
      </w:r>
      <w:r w:rsidR="00EF66A3" w:rsidRPr="00BD6D27">
        <w:rPr>
          <w:rFonts w:eastAsia="Calibri" w:cs="Arial"/>
        </w:rPr>
        <w:t>vista de lo anterior</w:t>
      </w:r>
      <w:r w:rsidRPr="00BD6D27">
        <w:rPr>
          <w:rFonts w:eastAsia="Calibri" w:cs="Arial"/>
        </w:rPr>
        <w:t xml:space="preserve">, </w:t>
      </w:r>
      <w:r w:rsidR="00F554EF" w:rsidRPr="00BD6D27">
        <w:rPr>
          <w:rFonts w:eastAsia="Calibri" w:cs="Arial"/>
        </w:rPr>
        <w:t xml:space="preserve">no </w:t>
      </w:r>
      <w:r w:rsidR="005C1FE0">
        <w:rPr>
          <w:rFonts w:eastAsia="Calibri" w:cs="Arial"/>
        </w:rPr>
        <w:t xml:space="preserve">son </w:t>
      </w:r>
      <w:r w:rsidR="00F554EF" w:rsidRPr="00BD6D27">
        <w:rPr>
          <w:rFonts w:eastAsia="Calibri" w:cs="Arial"/>
        </w:rPr>
        <w:t>procedente</w:t>
      </w:r>
      <w:r w:rsidR="005C1FE0">
        <w:rPr>
          <w:rFonts w:eastAsia="Calibri" w:cs="Arial"/>
        </w:rPr>
        <w:t>s</w:t>
      </w:r>
      <w:r w:rsidR="00F554EF" w:rsidRPr="00BD6D27">
        <w:rPr>
          <w:rFonts w:eastAsia="Calibri" w:cs="Arial"/>
        </w:rPr>
        <w:t xml:space="preserve"> </w:t>
      </w:r>
      <w:r w:rsidR="005C1FE0">
        <w:rPr>
          <w:rFonts w:eastAsia="Calibri" w:cs="Arial"/>
        </w:rPr>
        <w:t xml:space="preserve">las solicitudes de interpretación de </w:t>
      </w:r>
      <w:r w:rsidR="00222515" w:rsidRPr="00BD6D27">
        <w:rPr>
          <w:rFonts w:eastAsia="Calibri" w:cs="Arial"/>
        </w:rPr>
        <w:t xml:space="preserve">la </w:t>
      </w:r>
      <w:r w:rsidR="00F554EF" w:rsidRPr="00BD6D27">
        <w:rPr>
          <w:rFonts w:eastAsia="Calibri" w:cs="Arial"/>
        </w:rPr>
        <w:t>S</w:t>
      </w:r>
      <w:r w:rsidR="00222515" w:rsidRPr="00BD6D27">
        <w:rPr>
          <w:rFonts w:eastAsia="Calibri" w:cs="Arial"/>
        </w:rPr>
        <w:t xml:space="preserve">entencia </w:t>
      </w:r>
      <w:r w:rsidR="005C1FE0">
        <w:rPr>
          <w:rFonts w:eastAsia="Calibri" w:cs="Arial"/>
        </w:rPr>
        <w:t xml:space="preserve">presentadas por el Estado del Perú. </w:t>
      </w:r>
    </w:p>
    <w:p w:rsidR="00577097" w:rsidRPr="00BE133F" w:rsidRDefault="00577097" w:rsidP="00577097">
      <w:pPr>
        <w:tabs>
          <w:tab w:val="left" w:pos="720"/>
          <w:tab w:val="left" w:pos="1530"/>
          <w:tab w:val="left" w:pos="2140"/>
        </w:tabs>
        <w:spacing w:after="0" w:line="240" w:lineRule="auto"/>
        <w:jc w:val="both"/>
        <w:rPr>
          <w:rFonts w:ascii="Verdana" w:hAnsi="Verdana"/>
          <w:sz w:val="20"/>
          <w:szCs w:val="20"/>
        </w:rPr>
      </w:pP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V</w:t>
      </w:r>
    </w:p>
    <w:p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 xml:space="preserve">PUNTOS RESOLUTIVOS </w:t>
      </w:r>
    </w:p>
    <w:p w:rsidR="00577097" w:rsidRPr="00BE133F" w:rsidRDefault="00577097" w:rsidP="00577097">
      <w:pPr>
        <w:spacing w:after="0" w:line="240" w:lineRule="auto"/>
        <w:jc w:val="center"/>
        <w:rPr>
          <w:rFonts w:ascii="Verdana" w:hAnsi="Verdana" w:cs="Arial"/>
          <w:i/>
          <w:sz w:val="20"/>
          <w:szCs w:val="20"/>
        </w:rPr>
      </w:pPr>
    </w:p>
    <w:p w:rsidR="00577097" w:rsidRPr="00BE133F" w:rsidRDefault="00577097" w:rsidP="00577097">
      <w:pPr>
        <w:numPr>
          <w:ilvl w:val="0"/>
          <w:numId w:val="1"/>
        </w:numPr>
        <w:spacing w:after="0" w:line="240" w:lineRule="auto"/>
        <w:jc w:val="both"/>
        <w:rPr>
          <w:rFonts w:ascii="Verdana" w:hAnsi="Verdana" w:cs="Arial"/>
          <w:b/>
          <w:i/>
          <w:sz w:val="20"/>
          <w:szCs w:val="20"/>
        </w:rPr>
      </w:pPr>
      <w:r w:rsidRPr="00BE133F">
        <w:rPr>
          <w:rFonts w:ascii="Verdana" w:hAnsi="Verdana"/>
          <w:sz w:val="20"/>
          <w:szCs w:val="20"/>
        </w:rPr>
        <w:t xml:space="preserve">Por tanto, </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 xml:space="preserve">LA CORTE, </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r w:rsidRPr="00BE133F">
        <w:rPr>
          <w:rFonts w:ascii="Verdana" w:hAnsi="Verdana"/>
          <w:sz w:val="20"/>
          <w:szCs w:val="20"/>
        </w:rPr>
        <w:t>de conformidad con el artículo 67 de la Convención Americana sobre Derechos Humanos y los artículos 31.3 y 68 del Reglamento,</w:t>
      </w:r>
    </w:p>
    <w:p w:rsidR="00577097" w:rsidRPr="00BE133F" w:rsidRDefault="00577097" w:rsidP="00577097">
      <w:pPr>
        <w:spacing w:after="0" w:line="240" w:lineRule="auto"/>
        <w:rPr>
          <w:rFonts w:ascii="Verdana" w:hAnsi="Verdana"/>
          <w:b/>
          <w:sz w:val="20"/>
          <w:szCs w:val="20"/>
        </w:rPr>
      </w:pPr>
    </w:p>
    <w:p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DECIDE:</w:t>
      </w:r>
    </w:p>
    <w:p w:rsidR="00577097" w:rsidRPr="00BE133F" w:rsidRDefault="00577097" w:rsidP="00577097">
      <w:pPr>
        <w:spacing w:after="0" w:line="240" w:lineRule="auto"/>
        <w:rPr>
          <w:rFonts w:ascii="Verdana" w:hAnsi="Verdana"/>
          <w:sz w:val="20"/>
          <w:szCs w:val="20"/>
        </w:rPr>
      </w:pPr>
    </w:p>
    <w:p w:rsidR="00577097" w:rsidRPr="00BE133F" w:rsidRDefault="00577097" w:rsidP="00577097">
      <w:pPr>
        <w:tabs>
          <w:tab w:val="center" w:pos="4252"/>
          <w:tab w:val="right" w:pos="8504"/>
        </w:tabs>
        <w:spacing w:after="0" w:line="240" w:lineRule="auto"/>
        <w:rPr>
          <w:rFonts w:ascii="Verdana" w:hAnsi="Verdana"/>
          <w:sz w:val="20"/>
          <w:szCs w:val="20"/>
        </w:rPr>
      </w:pPr>
      <w:r w:rsidRPr="00BE133F">
        <w:rPr>
          <w:rFonts w:ascii="Verdana" w:hAnsi="Verdana"/>
          <w:sz w:val="20"/>
          <w:szCs w:val="20"/>
        </w:rPr>
        <w:t xml:space="preserve">Por </w:t>
      </w:r>
      <w:r w:rsidR="00FE5184">
        <w:rPr>
          <w:rFonts w:ascii="Verdana" w:hAnsi="Verdana"/>
          <w:sz w:val="20"/>
          <w:szCs w:val="20"/>
        </w:rPr>
        <w:t>unanimidad</w:t>
      </w:r>
      <w:r w:rsidRPr="00BE133F">
        <w:rPr>
          <w:rFonts w:ascii="Verdana" w:hAnsi="Verdana"/>
          <w:sz w:val="20"/>
          <w:szCs w:val="20"/>
        </w:rPr>
        <w:t>,</w:t>
      </w:r>
    </w:p>
    <w:p w:rsidR="00577097" w:rsidRPr="00022FE7" w:rsidRDefault="00577097" w:rsidP="00577097">
      <w:pPr>
        <w:spacing w:after="0" w:line="240" w:lineRule="auto"/>
        <w:jc w:val="both"/>
        <w:rPr>
          <w:rFonts w:ascii="Verdana" w:hAnsi="Verdana"/>
          <w:sz w:val="20"/>
          <w:szCs w:val="20"/>
          <w:u w:val="single"/>
        </w:rPr>
      </w:pPr>
    </w:p>
    <w:p w:rsidR="00DA522F" w:rsidRPr="00022FE7" w:rsidRDefault="00DA522F" w:rsidP="00022FE7">
      <w:pPr>
        <w:pStyle w:val="ListParagraph"/>
        <w:numPr>
          <w:ilvl w:val="0"/>
          <w:numId w:val="2"/>
        </w:numPr>
        <w:tabs>
          <w:tab w:val="left" w:pos="0"/>
        </w:tabs>
        <w:spacing w:after="0" w:line="240" w:lineRule="auto"/>
        <w:ind w:left="0" w:firstLine="0"/>
        <w:jc w:val="both"/>
        <w:rPr>
          <w:rFonts w:ascii="Verdana" w:eastAsia="Times New Roman" w:hAnsi="Verdana"/>
          <w:sz w:val="20"/>
          <w:szCs w:val="20"/>
          <w:lang w:eastAsia="es-ES"/>
        </w:rPr>
      </w:pPr>
      <w:r w:rsidRPr="00022FE7">
        <w:rPr>
          <w:rFonts w:ascii="Verdana" w:eastAsia="Times New Roman" w:hAnsi="Verdana"/>
          <w:sz w:val="20"/>
          <w:szCs w:val="20"/>
          <w:lang w:eastAsia="es-ES"/>
        </w:rPr>
        <w:t>Declarar admisible la</w:t>
      </w:r>
      <w:r w:rsidR="00022FE7">
        <w:rPr>
          <w:rFonts w:ascii="Verdana" w:eastAsia="Times New Roman" w:hAnsi="Verdana"/>
          <w:sz w:val="20"/>
          <w:szCs w:val="20"/>
          <w:lang w:eastAsia="es-ES"/>
        </w:rPr>
        <w:t>s</w:t>
      </w:r>
      <w:r w:rsidRPr="00022FE7">
        <w:rPr>
          <w:rFonts w:ascii="Verdana" w:eastAsia="Times New Roman" w:hAnsi="Verdana"/>
          <w:sz w:val="20"/>
          <w:szCs w:val="20"/>
          <w:lang w:eastAsia="es-ES"/>
        </w:rPr>
        <w:t xml:space="preserve"> solicitud</w:t>
      </w:r>
      <w:r w:rsidR="00022FE7">
        <w:rPr>
          <w:rFonts w:ascii="Verdana" w:eastAsia="Times New Roman" w:hAnsi="Verdana"/>
          <w:sz w:val="20"/>
          <w:szCs w:val="20"/>
          <w:lang w:eastAsia="es-ES"/>
        </w:rPr>
        <w:t>es</w:t>
      </w:r>
      <w:r w:rsidRPr="00022FE7">
        <w:rPr>
          <w:rFonts w:ascii="Verdana" w:eastAsia="Times New Roman" w:hAnsi="Verdana"/>
          <w:sz w:val="20"/>
          <w:szCs w:val="20"/>
          <w:lang w:eastAsia="es-ES"/>
        </w:rPr>
        <w:t xml:space="preserve"> de interpretación de la Sentencia de excepciones preliminares, fondo, reparaciones y costas emitida en el caso </w:t>
      </w:r>
      <w:r w:rsidR="00DC5F23">
        <w:rPr>
          <w:rFonts w:ascii="Verdana" w:eastAsia="Times New Roman" w:hAnsi="Verdana"/>
          <w:i/>
          <w:sz w:val="20"/>
          <w:szCs w:val="20"/>
          <w:lang w:eastAsia="es-ES"/>
        </w:rPr>
        <w:t>Quispialaya Vilc</w:t>
      </w:r>
      <w:r w:rsidRPr="00022FE7">
        <w:rPr>
          <w:rFonts w:ascii="Verdana" w:eastAsia="Times New Roman" w:hAnsi="Verdana"/>
          <w:i/>
          <w:sz w:val="20"/>
          <w:szCs w:val="20"/>
          <w:lang w:eastAsia="es-ES"/>
        </w:rPr>
        <w:t>a</w:t>
      </w:r>
      <w:r w:rsidR="00DC5F23">
        <w:rPr>
          <w:rFonts w:ascii="Verdana" w:eastAsia="Times New Roman" w:hAnsi="Verdana"/>
          <w:i/>
          <w:sz w:val="20"/>
          <w:szCs w:val="20"/>
          <w:lang w:eastAsia="es-ES"/>
        </w:rPr>
        <w:t>p</w:t>
      </w:r>
      <w:r w:rsidRPr="00022FE7">
        <w:rPr>
          <w:rFonts w:ascii="Verdana" w:eastAsia="Times New Roman" w:hAnsi="Verdana"/>
          <w:i/>
          <w:sz w:val="20"/>
          <w:szCs w:val="20"/>
          <w:lang w:eastAsia="es-ES"/>
        </w:rPr>
        <w:t>oma Vs. Perú</w:t>
      </w:r>
      <w:r w:rsidRPr="00022FE7">
        <w:rPr>
          <w:rFonts w:ascii="Verdana" w:eastAsia="Times New Roman" w:hAnsi="Verdana"/>
          <w:sz w:val="20"/>
          <w:szCs w:val="20"/>
          <w:lang w:eastAsia="es-ES"/>
        </w:rPr>
        <w:t xml:space="preserve"> interpuesta</w:t>
      </w:r>
      <w:r w:rsidR="00482D05">
        <w:rPr>
          <w:rFonts w:ascii="Verdana" w:eastAsia="Times New Roman" w:hAnsi="Verdana"/>
          <w:sz w:val="20"/>
          <w:szCs w:val="20"/>
          <w:lang w:eastAsia="es-ES"/>
        </w:rPr>
        <w:t>s</w:t>
      </w:r>
      <w:r w:rsidRPr="00022FE7">
        <w:rPr>
          <w:rFonts w:ascii="Verdana" w:eastAsia="Times New Roman" w:hAnsi="Verdana"/>
          <w:sz w:val="20"/>
          <w:szCs w:val="20"/>
          <w:lang w:eastAsia="es-ES"/>
        </w:rPr>
        <w:t xml:space="preserve"> por el Estado. </w:t>
      </w:r>
    </w:p>
    <w:p w:rsidR="00DA522F" w:rsidRPr="004A1487" w:rsidRDefault="00DA522F" w:rsidP="00022FE7">
      <w:pPr>
        <w:pStyle w:val="ListParagraph"/>
        <w:tabs>
          <w:tab w:val="left" w:pos="567"/>
        </w:tabs>
        <w:spacing w:after="0" w:line="240" w:lineRule="auto"/>
        <w:jc w:val="both"/>
        <w:rPr>
          <w:rFonts w:eastAsia="Times New Roman"/>
          <w:szCs w:val="20"/>
          <w:lang w:eastAsia="es-ES"/>
        </w:rPr>
      </w:pPr>
    </w:p>
    <w:p w:rsidR="00577097" w:rsidRPr="00DA522F" w:rsidRDefault="006D1F3B" w:rsidP="00DA522F">
      <w:pPr>
        <w:numPr>
          <w:ilvl w:val="0"/>
          <w:numId w:val="2"/>
        </w:numPr>
        <w:spacing w:after="0" w:line="240" w:lineRule="auto"/>
        <w:ind w:left="0" w:firstLine="0"/>
        <w:jc w:val="both"/>
        <w:rPr>
          <w:rFonts w:ascii="Verdana" w:hAnsi="Verdana"/>
          <w:sz w:val="20"/>
          <w:szCs w:val="20"/>
        </w:rPr>
      </w:pPr>
      <w:r w:rsidRPr="00DA522F">
        <w:rPr>
          <w:rFonts w:ascii="Verdana" w:hAnsi="Verdana"/>
          <w:sz w:val="20"/>
          <w:szCs w:val="20"/>
        </w:rPr>
        <w:t>Desestimar</w:t>
      </w:r>
      <w:r w:rsidR="00577097" w:rsidRPr="00DA522F">
        <w:rPr>
          <w:rFonts w:ascii="Verdana" w:hAnsi="Verdana"/>
          <w:sz w:val="20"/>
          <w:szCs w:val="20"/>
        </w:rPr>
        <w:t xml:space="preserve"> por improcedentes las solicitudes de interpretación </w:t>
      </w:r>
      <w:r w:rsidR="00DA522F">
        <w:rPr>
          <w:rFonts w:ascii="Verdana" w:hAnsi="Verdana"/>
          <w:sz w:val="20"/>
          <w:szCs w:val="20"/>
        </w:rPr>
        <w:t xml:space="preserve">presentadas </w:t>
      </w:r>
      <w:r w:rsidR="00577097" w:rsidRPr="00DA522F">
        <w:rPr>
          <w:rFonts w:ascii="Verdana" w:hAnsi="Verdana"/>
          <w:sz w:val="20"/>
          <w:szCs w:val="20"/>
        </w:rPr>
        <w:t xml:space="preserve">por </w:t>
      </w:r>
      <w:r w:rsidR="00FF4C47" w:rsidRPr="00DA522F">
        <w:rPr>
          <w:rFonts w:ascii="Verdana" w:hAnsi="Verdana"/>
          <w:sz w:val="20"/>
          <w:szCs w:val="20"/>
        </w:rPr>
        <w:t>el</w:t>
      </w:r>
      <w:r w:rsidR="00577097" w:rsidRPr="00DA522F">
        <w:rPr>
          <w:rFonts w:ascii="Verdana" w:hAnsi="Verdana"/>
          <w:sz w:val="20"/>
          <w:szCs w:val="20"/>
        </w:rPr>
        <w:t xml:space="preserve"> </w:t>
      </w:r>
      <w:r w:rsidR="00FF4C47" w:rsidRPr="00DA522F">
        <w:rPr>
          <w:rFonts w:ascii="Verdana" w:hAnsi="Verdana"/>
          <w:sz w:val="20"/>
          <w:szCs w:val="20"/>
        </w:rPr>
        <w:t>Estado</w:t>
      </w:r>
      <w:r w:rsidR="00577097" w:rsidRPr="00DA522F">
        <w:rPr>
          <w:rFonts w:ascii="Verdana" w:hAnsi="Verdana"/>
          <w:sz w:val="20"/>
          <w:szCs w:val="20"/>
        </w:rPr>
        <w:t>, por las razones señaladas en los párrafos relevantes de la presente Sentencia.</w:t>
      </w:r>
    </w:p>
    <w:p w:rsidR="00577097" w:rsidRPr="00BE133F" w:rsidRDefault="00577097" w:rsidP="00577097">
      <w:pPr>
        <w:spacing w:after="0" w:line="240" w:lineRule="auto"/>
        <w:jc w:val="both"/>
        <w:rPr>
          <w:rFonts w:ascii="Verdana" w:hAnsi="Verdana"/>
          <w:sz w:val="20"/>
          <w:szCs w:val="20"/>
          <w:u w:val="single"/>
        </w:rPr>
      </w:pPr>
    </w:p>
    <w:p w:rsidR="00577097" w:rsidRPr="00BE133F" w:rsidRDefault="00577097" w:rsidP="00577097">
      <w:pPr>
        <w:numPr>
          <w:ilvl w:val="0"/>
          <w:numId w:val="2"/>
        </w:numPr>
        <w:spacing w:after="0" w:line="240" w:lineRule="auto"/>
        <w:ind w:left="0" w:firstLine="0"/>
        <w:jc w:val="both"/>
        <w:rPr>
          <w:rFonts w:ascii="Verdana" w:hAnsi="Verdana"/>
          <w:sz w:val="20"/>
          <w:szCs w:val="20"/>
          <w:u w:val="single"/>
        </w:rPr>
      </w:pPr>
      <w:r w:rsidRPr="00BE133F">
        <w:rPr>
          <w:rFonts w:ascii="Verdana" w:eastAsia="Batang" w:hAnsi="Verdana"/>
          <w:sz w:val="20"/>
          <w:szCs w:val="20"/>
        </w:rPr>
        <w:t>Disponer que la Secretaría de la Corte notifique la</w:t>
      </w:r>
      <w:r w:rsidR="00FF4C47" w:rsidRPr="00BE133F">
        <w:rPr>
          <w:rFonts w:ascii="Verdana" w:eastAsia="Batang" w:hAnsi="Verdana"/>
          <w:sz w:val="20"/>
          <w:szCs w:val="20"/>
        </w:rPr>
        <w:t xml:space="preserve"> presente Sentencia al Estado del Perú</w:t>
      </w:r>
      <w:r w:rsidRPr="00BE133F">
        <w:rPr>
          <w:rFonts w:ascii="Verdana" w:eastAsia="Batang" w:hAnsi="Verdana"/>
          <w:sz w:val="20"/>
          <w:szCs w:val="20"/>
        </w:rPr>
        <w:t>, a l</w:t>
      </w:r>
      <w:r w:rsidR="00BA67A4">
        <w:rPr>
          <w:rFonts w:ascii="Verdana" w:eastAsia="Batang" w:hAnsi="Verdana"/>
          <w:sz w:val="20"/>
          <w:szCs w:val="20"/>
        </w:rPr>
        <w:t>a</w:t>
      </w:r>
      <w:r w:rsidRPr="00BE133F">
        <w:rPr>
          <w:rFonts w:ascii="Verdana" w:eastAsia="Batang" w:hAnsi="Verdana"/>
          <w:sz w:val="20"/>
          <w:szCs w:val="20"/>
        </w:rPr>
        <w:t xml:space="preserve"> representante de la víctima, y a la Comisión Interamericana de Derechos Humanos.</w:t>
      </w:r>
    </w:p>
    <w:p w:rsidR="00F45AAF" w:rsidRPr="008562C7" w:rsidRDefault="00F45AAF" w:rsidP="00577097">
      <w:pPr>
        <w:spacing w:after="0" w:line="240" w:lineRule="auto"/>
        <w:jc w:val="both"/>
        <w:rPr>
          <w:rFonts w:ascii="Verdana" w:hAnsi="Verdana"/>
          <w:sz w:val="20"/>
          <w:szCs w:val="20"/>
          <w:lang w:val="es-ES"/>
        </w:rPr>
      </w:pPr>
    </w:p>
    <w:p w:rsidR="00FE5184" w:rsidRPr="008562C7" w:rsidRDefault="00FE5184">
      <w:pPr>
        <w:rPr>
          <w:rFonts w:ascii="Verdana" w:hAnsi="Verdana"/>
          <w:sz w:val="20"/>
          <w:szCs w:val="20"/>
          <w:lang w:val="es-ES"/>
        </w:rPr>
      </w:pPr>
      <w:r w:rsidRPr="008562C7">
        <w:rPr>
          <w:rFonts w:ascii="Verdana" w:hAnsi="Verdana"/>
          <w:sz w:val="20"/>
          <w:szCs w:val="20"/>
          <w:lang w:val="es-ES"/>
        </w:rPr>
        <w:br w:type="page"/>
      </w:r>
    </w:p>
    <w:p w:rsidR="007F1C1C" w:rsidRDefault="007F1C1C" w:rsidP="007F1C1C">
      <w:pPr>
        <w:spacing w:after="0" w:line="240" w:lineRule="auto"/>
        <w:jc w:val="both"/>
        <w:rPr>
          <w:rFonts w:ascii="Verdana" w:hAnsi="Verdana"/>
          <w:sz w:val="20"/>
          <w:szCs w:val="20"/>
          <w:lang w:val="pt-BR"/>
        </w:rPr>
      </w:pPr>
      <w:r w:rsidRPr="008562C7">
        <w:rPr>
          <w:rFonts w:ascii="Verdana" w:hAnsi="Verdana"/>
          <w:sz w:val="20"/>
          <w:szCs w:val="20"/>
          <w:lang w:val="es-ES"/>
        </w:rPr>
        <w:lastRenderedPageBreak/>
        <w:t xml:space="preserve">Sentencia de Interpretación de la Sentencia de Excepciones Preliminares, Fondo, Reparaciones y Costas. </w:t>
      </w:r>
      <w:r>
        <w:rPr>
          <w:rFonts w:ascii="Verdana" w:hAnsi="Verdana"/>
          <w:sz w:val="20"/>
          <w:szCs w:val="20"/>
          <w:lang w:val="pt-BR"/>
        </w:rPr>
        <w:t>Caso Quispialaya Vilcapoma Vs. Perú.</w:t>
      </w:r>
    </w:p>
    <w:p w:rsidR="007F1C1C" w:rsidRDefault="007F1C1C" w:rsidP="00577097">
      <w:pPr>
        <w:spacing w:after="0" w:line="240" w:lineRule="auto"/>
        <w:jc w:val="center"/>
        <w:rPr>
          <w:rFonts w:ascii="Verdana" w:hAnsi="Verdana"/>
          <w:sz w:val="20"/>
          <w:szCs w:val="20"/>
          <w:lang w:val="pt-BR"/>
        </w:rPr>
      </w:pPr>
    </w:p>
    <w:p w:rsidR="007F1C1C" w:rsidRDefault="007F1C1C" w:rsidP="00577097">
      <w:pPr>
        <w:spacing w:after="0" w:line="240" w:lineRule="auto"/>
        <w:jc w:val="center"/>
        <w:rPr>
          <w:rFonts w:ascii="Verdana" w:hAnsi="Verdana"/>
          <w:sz w:val="20"/>
          <w:szCs w:val="20"/>
          <w:lang w:val="pt-BR"/>
        </w:rPr>
      </w:pPr>
    </w:p>
    <w:p w:rsidR="007F1C1C" w:rsidRDefault="007F1C1C" w:rsidP="00577097">
      <w:pPr>
        <w:spacing w:after="0" w:line="240" w:lineRule="auto"/>
        <w:jc w:val="center"/>
        <w:rPr>
          <w:rFonts w:ascii="Verdana" w:hAnsi="Verdana"/>
          <w:sz w:val="20"/>
          <w:szCs w:val="20"/>
          <w:lang w:val="pt-BR"/>
        </w:rPr>
      </w:pPr>
    </w:p>
    <w:p w:rsidR="007F1C1C" w:rsidRDefault="007F1C1C" w:rsidP="00577097">
      <w:pPr>
        <w:spacing w:after="0" w:line="240" w:lineRule="auto"/>
        <w:jc w:val="center"/>
        <w:rPr>
          <w:rFonts w:ascii="Verdana" w:hAnsi="Verdana"/>
          <w:sz w:val="20"/>
          <w:szCs w:val="20"/>
          <w:lang w:val="pt-BR"/>
        </w:rPr>
      </w:pPr>
    </w:p>
    <w:p w:rsidR="00577097" w:rsidRPr="00022FE7" w:rsidRDefault="00D85CFA" w:rsidP="00577097">
      <w:pPr>
        <w:spacing w:after="0" w:line="240" w:lineRule="auto"/>
        <w:jc w:val="center"/>
        <w:rPr>
          <w:rFonts w:ascii="Verdana" w:hAnsi="Verdana"/>
          <w:sz w:val="20"/>
          <w:szCs w:val="20"/>
          <w:lang w:val="pt-BR"/>
        </w:rPr>
      </w:pPr>
      <w:r w:rsidRPr="00022FE7">
        <w:rPr>
          <w:rFonts w:ascii="Verdana" w:hAnsi="Verdana"/>
          <w:sz w:val="20"/>
          <w:szCs w:val="20"/>
          <w:lang w:val="pt-BR"/>
        </w:rPr>
        <w:t xml:space="preserve">Roberto F. Caldas  </w:t>
      </w:r>
    </w:p>
    <w:p w:rsidR="00577097" w:rsidRPr="00022FE7" w:rsidRDefault="00577097" w:rsidP="00577097">
      <w:pPr>
        <w:spacing w:after="0" w:line="240" w:lineRule="auto"/>
        <w:jc w:val="center"/>
        <w:rPr>
          <w:rFonts w:ascii="Verdana" w:hAnsi="Verdana"/>
          <w:sz w:val="20"/>
          <w:szCs w:val="20"/>
          <w:lang w:val="pt-BR"/>
        </w:rPr>
      </w:pPr>
      <w:r w:rsidRPr="00022FE7">
        <w:rPr>
          <w:rFonts w:ascii="Verdana" w:hAnsi="Verdana"/>
          <w:sz w:val="20"/>
          <w:szCs w:val="20"/>
          <w:lang w:val="pt-BR"/>
        </w:rPr>
        <w:t xml:space="preserve">Presidente </w:t>
      </w:r>
    </w:p>
    <w:p w:rsidR="00577097" w:rsidRPr="00022FE7" w:rsidRDefault="00577097" w:rsidP="00577097">
      <w:pPr>
        <w:spacing w:after="0" w:line="240" w:lineRule="auto"/>
        <w:jc w:val="both"/>
        <w:rPr>
          <w:rFonts w:ascii="Verdana" w:hAnsi="Verdana"/>
          <w:sz w:val="20"/>
          <w:szCs w:val="20"/>
          <w:lang w:val="pt-BR"/>
        </w:rPr>
      </w:pPr>
    </w:p>
    <w:p w:rsidR="00577097" w:rsidRPr="00022FE7" w:rsidRDefault="00577097" w:rsidP="00577097">
      <w:pPr>
        <w:spacing w:after="0" w:line="240" w:lineRule="auto"/>
        <w:jc w:val="both"/>
        <w:rPr>
          <w:rFonts w:ascii="Verdana" w:hAnsi="Verdana"/>
          <w:sz w:val="20"/>
          <w:szCs w:val="20"/>
          <w:lang w:val="pt-BR"/>
        </w:rPr>
      </w:pPr>
    </w:p>
    <w:p w:rsidR="00577097" w:rsidRPr="00022FE7" w:rsidRDefault="00577097" w:rsidP="00577097">
      <w:pPr>
        <w:spacing w:after="0" w:line="240" w:lineRule="auto"/>
        <w:jc w:val="both"/>
        <w:rPr>
          <w:rFonts w:ascii="Verdana" w:hAnsi="Verdana"/>
          <w:sz w:val="20"/>
          <w:szCs w:val="20"/>
          <w:lang w:val="pt-BR"/>
        </w:rPr>
      </w:pPr>
    </w:p>
    <w:p w:rsidR="00F45AAF" w:rsidRPr="00022FE7" w:rsidRDefault="00F45AAF" w:rsidP="00577097">
      <w:pPr>
        <w:spacing w:after="0" w:line="240" w:lineRule="auto"/>
        <w:jc w:val="both"/>
        <w:rPr>
          <w:rFonts w:ascii="Verdana" w:hAnsi="Verdana"/>
          <w:sz w:val="20"/>
          <w:szCs w:val="20"/>
          <w:lang w:val="pt-BR"/>
        </w:rPr>
      </w:pPr>
    </w:p>
    <w:p w:rsidR="00F45AAF" w:rsidRPr="00022FE7" w:rsidRDefault="00F45AAF" w:rsidP="00577097">
      <w:pPr>
        <w:spacing w:after="0" w:line="240" w:lineRule="auto"/>
        <w:jc w:val="both"/>
        <w:rPr>
          <w:rFonts w:ascii="Verdana" w:hAnsi="Verdana"/>
          <w:sz w:val="20"/>
          <w:szCs w:val="20"/>
          <w:lang w:val="pt-BR"/>
        </w:rPr>
      </w:pPr>
    </w:p>
    <w:p w:rsidR="00577097" w:rsidRPr="00022FE7" w:rsidRDefault="00577097" w:rsidP="00577097">
      <w:pPr>
        <w:spacing w:after="0" w:line="240" w:lineRule="auto"/>
        <w:jc w:val="both"/>
        <w:rPr>
          <w:rFonts w:ascii="Verdana" w:hAnsi="Verdana"/>
          <w:sz w:val="20"/>
          <w:szCs w:val="20"/>
          <w:lang w:val="pt-BR"/>
        </w:rPr>
      </w:pPr>
    </w:p>
    <w:p w:rsidR="00577097" w:rsidRPr="00680AED" w:rsidRDefault="00D85CFA" w:rsidP="00577097">
      <w:pPr>
        <w:spacing w:after="0" w:line="240" w:lineRule="auto"/>
        <w:rPr>
          <w:rFonts w:ascii="Verdana" w:hAnsi="Verdana"/>
          <w:sz w:val="20"/>
          <w:szCs w:val="20"/>
          <w:lang w:val="pt-BR"/>
        </w:rPr>
      </w:pPr>
      <w:r w:rsidRPr="00BE133F">
        <w:rPr>
          <w:rFonts w:ascii="Verdana" w:hAnsi="Verdana"/>
          <w:sz w:val="20"/>
          <w:szCs w:val="20"/>
          <w:lang w:val="pt-BR"/>
        </w:rPr>
        <w:t>Eduardo Ferrer Mac-Gregor Poisot</w:t>
      </w:r>
      <w:r>
        <w:rPr>
          <w:rFonts w:ascii="Verdana" w:hAnsi="Verdana"/>
          <w:sz w:val="20"/>
          <w:szCs w:val="20"/>
          <w:lang w:val="pt-BR"/>
        </w:rPr>
        <w:t xml:space="preserve">    </w:t>
      </w:r>
      <w:r w:rsidR="00577097" w:rsidRPr="00680AED">
        <w:rPr>
          <w:rFonts w:ascii="Verdana" w:hAnsi="Verdana"/>
          <w:sz w:val="20"/>
          <w:szCs w:val="20"/>
          <w:lang w:val="pt-BR"/>
        </w:rPr>
        <w:tab/>
      </w:r>
      <w:r w:rsidR="00577097" w:rsidRPr="00680AED">
        <w:rPr>
          <w:rFonts w:ascii="Verdana" w:hAnsi="Verdana"/>
          <w:sz w:val="20"/>
          <w:szCs w:val="20"/>
          <w:lang w:val="pt-BR"/>
        </w:rPr>
        <w:tab/>
      </w:r>
      <w:r w:rsidR="00577097" w:rsidRPr="00680AED">
        <w:rPr>
          <w:rFonts w:ascii="Verdana" w:hAnsi="Verdana"/>
          <w:sz w:val="20"/>
          <w:szCs w:val="20"/>
          <w:lang w:val="pt-BR"/>
        </w:rPr>
        <w:tab/>
        <w:t xml:space="preserve">    Manuel E. Ventura Robles</w:t>
      </w:r>
    </w:p>
    <w:p w:rsidR="00577097" w:rsidRPr="00680AED" w:rsidRDefault="00577097" w:rsidP="00577097">
      <w:pPr>
        <w:spacing w:after="0" w:line="240" w:lineRule="auto"/>
        <w:jc w:val="both"/>
        <w:rPr>
          <w:rFonts w:ascii="Verdana" w:hAnsi="Verdana"/>
          <w:sz w:val="20"/>
          <w:szCs w:val="20"/>
          <w:lang w:val="pt-BR"/>
        </w:rPr>
      </w:pPr>
    </w:p>
    <w:p w:rsidR="00577097" w:rsidRPr="00680AED" w:rsidRDefault="00577097" w:rsidP="00577097">
      <w:pPr>
        <w:spacing w:after="0" w:line="240" w:lineRule="auto"/>
        <w:jc w:val="both"/>
        <w:rPr>
          <w:rFonts w:ascii="Verdana" w:hAnsi="Verdana"/>
          <w:sz w:val="20"/>
          <w:szCs w:val="20"/>
          <w:lang w:val="pt-BR"/>
        </w:rPr>
      </w:pPr>
    </w:p>
    <w:p w:rsidR="00577097" w:rsidRPr="00680AED" w:rsidRDefault="00577097" w:rsidP="00577097">
      <w:pPr>
        <w:spacing w:after="0" w:line="240" w:lineRule="auto"/>
        <w:jc w:val="both"/>
        <w:rPr>
          <w:rFonts w:ascii="Verdana" w:hAnsi="Verdana"/>
          <w:sz w:val="20"/>
          <w:szCs w:val="20"/>
          <w:lang w:val="pt-BR"/>
        </w:rPr>
      </w:pPr>
    </w:p>
    <w:p w:rsidR="00F45AAF" w:rsidRPr="00680AED" w:rsidRDefault="00F45AAF" w:rsidP="00577097">
      <w:pPr>
        <w:spacing w:after="0" w:line="240" w:lineRule="auto"/>
        <w:jc w:val="both"/>
        <w:rPr>
          <w:rFonts w:ascii="Verdana" w:hAnsi="Verdana"/>
          <w:sz w:val="20"/>
          <w:szCs w:val="20"/>
          <w:lang w:val="pt-BR"/>
        </w:rPr>
      </w:pPr>
    </w:p>
    <w:p w:rsidR="00F45AAF" w:rsidRPr="00680AED" w:rsidRDefault="00F45AAF" w:rsidP="00577097">
      <w:pPr>
        <w:spacing w:after="0" w:line="240" w:lineRule="auto"/>
        <w:jc w:val="both"/>
        <w:rPr>
          <w:rFonts w:ascii="Verdana" w:hAnsi="Verdana"/>
          <w:sz w:val="20"/>
          <w:szCs w:val="20"/>
          <w:lang w:val="pt-BR"/>
        </w:rPr>
      </w:pPr>
    </w:p>
    <w:p w:rsidR="00577097" w:rsidRPr="00680AED" w:rsidRDefault="00577097" w:rsidP="00577097">
      <w:pPr>
        <w:spacing w:after="0" w:line="240" w:lineRule="auto"/>
        <w:jc w:val="both"/>
        <w:rPr>
          <w:rFonts w:ascii="Verdana" w:hAnsi="Verdana"/>
          <w:sz w:val="20"/>
          <w:szCs w:val="20"/>
          <w:lang w:val="pt-BR"/>
        </w:rPr>
      </w:pPr>
    </w:p>
    <w:p w:rsidR="005B59D1" w:rsidRDefault="005B59D1" w:rsidP="00577097">
      <w:pPr>
        <w:spacing w:after="0" w:line="240" w:lineRule="auto"/>
        <w:rPr>
          <w:rFonts w:ascii="Verdana" w:hAnsi="Verdana"/>
          <w:sz w:val="20"/>
          <w:szCs w:val="20"/>
          <w:lang w:val="pt-BR"/>
        </w:rPr>
      </w:pPr>
      <w:r w:rsidRPr="00680AED">
        <w:rPr>
          <w:rFonts w:ascii="Verdana" w:hAnsi="Verdana" w:cs="Verdana"/>
          <w:sz w:val="20"/>
          <w:szCs w:val="20"/>
          <w:lang w:val="pt-BR"/>
        </w:rPr>
        <w:t>Alberto Pérez Pérez</w:t>
      </w:r>
      <w:r w:rsidRPr="00BE133F">
        <w:rPr>
          <w:rFonts w:ascii="Verdana" w:hAnsi="Verdana"/>
          <w:sz w:val="20"/>
          <w:szCs w:val="20"/>
          <w:lang w:val="pt-BR"/>
        </w:rPr>
        <w:t xml:space="preserve"> </w:t>
      </w:r>
      <w:r>
        <w:rPr>
          <w:rFonts w:ascii="Verdana" w:hAnsi="Verdana"/>
          <w:sz w:val="20"/>
          <w:szCs w:val="20"/>
          <w:lang w:val="pt-BR"/>
        </w:rPr>
        <w:t xml:space="preserve">                                                                      </w:t>
      </w:r>
      <w:r w:rsidR="00577097" w:rsidRPr="00BE133F">
        <w:rPr>
          <w:rFonts w:ascii="Verdana" w:hAnsi="Verdana"/>
          <w:sz w:val="20"/>
          <w:szCs w:val="20"/>
          <w:lang w:val="pt-BR"/>
        </w:rPr>
        <w:t xml:space="preserve">Eduardo Vio Grossi  </w:t>
      </w:r>
      <w:r w:rsidR="00577097" w:rsidRPr="00BE133F">
        <w:rPr>
          <w:rFonts w:ascii="Verdana" w:hAnsi="Verdana"/>
          <w:sz w:val="20"/>
          <w:szCs w:val="20"/>
          <w:lang w:val="pt-BR"/>
        </w:rPr>
        <w:tab/>
      </w:r>
      <w:r w:rsidR="00577097" w:rsidRPr="00BE133F">
        <w:rPr>
          <w:rFonts w:ascii="Verdana" w:hAnsi="Verdana"/>
          <w:sz w:val="20"/>
          <w:szCs w:val="20"/>
          <w:lang w:val="pt-BR"/>
        </w:rPr>
        <w:tab/>
      </w:r>
      <w:r w:rsidR="00577097" w:rsidRPr="00BE133F">
        <w:rPr>
          <w:rFonts w:ascii="Verdana" w:hAnsi="Verdana"/>
          <w:sz w:val="20"/>
          <w:szCs w:val="20"/>
          <w:lang w:val="pt-BR"/>
        </w:rPr>
        <w:tab/>
      </w:r>
      <w:r w:rsidR="00577097" w:rsidRPr="00BE133F">
        <w:rPr>
          <w:rFonts w:ascii="Verdana" w:hAnsi="Verdana"/>
          <w:sz w:val="20"/>
          <w:szCs w:val="20"/>
          <w:lang w:val="pt-BR"/>
        </w:rPr>
        <w:tab/>
        <w:t xml:space="preserve">                     </w:t>
      </w:r>
    </w:p>
    <w:p w:rsidR="005B59D1" w:rsidRDefault="005B59D1" w:rsidP="00577097">
      <w:pPr>
        <w:spacing w:after="0" w:line="240" w:lineRule="auto"/>
        <w:rPr>
          <w:rFonts w:ascii="Verdana" w:hAnsi="Verdana"/>
          <w:sz w:val="20"/>
          <w:szCs w:val="20"/>
          <w:lang w:val="pt-BR"/>
        </w:rPr>
      </w:pPr>
    </w:p>
    <w:p w:rsidR="005B59D1" w:rsidRDefault="005B59D1" w:rsidP="00577097">
      <w:pPr>
        <w:spacing w:after="0" w:line="240" w:lineRule="auto"/>
        <w:rPr>
          <w:rFonts w:ascii="Verdana" w:hAnsi="Verdana"/>
          <w:sz w:val="20"/>
          <w:szCs w:val="20"/>
          <w:lang w:val="pt-BR"/>
        </w:rPr>
      </w:pPr>
    </w:p>
    <w:p w:rsidR="00F45AAF" w:rsidRDefault="00F45AAF" w:rsidP="00577097">
      <w:pPr>
        <w:spacing w:after="0" w:line="240" w:lineRule="auto"/>
        <w:rPr>
          <w:rFonts w:ascii="Verdana" w:hAnsi="Verdana"/>
          <w:sz w:val="20"/>
          <w:szCs w:val="20"/>
          <w:lang w:val="pt-BR"/>
        </w:rPr>
      </w:pPr>
    </w:p>
    <w:p w:rsidR="005B59D1" w:rsidRDefault="005B59D1" w:rsidP="00577097">
      <w:pPr>
        <w:spacing w:after="0" w:line="240" w:lineRule="auto"/>
        <w:rPr>
          <w:rFonts w:ascii="Verdana" w:hAnsi="Verdana"/>
          <w:sz w:val="20"/>
          <w:szCs w:val="20"/>
          <w:lang w:val="pt-BR"/>
        </w:rPr>
      </w:pPr>
    </w:p>
    <w:p w:rsidR="00F45AAF" w:rsidRDefault="00F45AAF" w:rsidP="005B59D1">
      <w:pPr>
        <w:spacing w:after="0" w:line="240" w:lineRule="auto"/>
        <w:jc w:val="center"/>
        <w:rPr>
          <w:rFonts w:ascii="Verdana" w:hAnsi="Verdana"/>
          <w:sz w:val="20"/>
          <w:szCs w:val="20"/>
          <w:lang w:val="pt-BR"/>
        </w:rPr>
      </w:pPr>
    </w:p>
    <w:p w:rsidR="00F45AAF" w:rsidRDefault="00F45AAF" w:rsidP="005B59D1">
      <w:pPr>
        <w:spacing w:after="0" w:line="240" w:lineRule="auto"/>
        <w:jc w:val="center"/>
        <w:rPr>
          <w:rFonts w:ascii="Verdana" w:hAnsi="Verdana"/>
          <w:sz w:val="20"/>
          <w:szCs w:val="20"/>
          <w:lang w:val="pt-BR"/>
        </w:rPr>
      </w:pPr>
    </w:p>
    <w:p w:rsidR="00577097" w:rsidRPr="00BE133F" w:rsidRDefault="00D85CFA" w:rsidP="005B59D1">
      <w:pPr>
        <w:spacing w:after="0" w:line="240" w:lineRule="auto"/>
        <w:jc w:val="center"/>
        <w:rPr>
          <w:rFonts w:ascii="Verdana" w:hAnsi="Verdana"/>
          <w:sz w:val="20"/>
          <w:szCs w:val="20"/>
          <w:lang w:val="pt-BR"/>
        </w:rPr>
      </w:pPr>
      <w:r w:rsidRPr="00BE133F">
        <w:rPr>
          <w:rFonts w:ascii="Verdana" w:hAnsi="Verdana"/>
          <w:sz w:val="20"/>
          <w:szCs w:val="20"/>
          <w:lang w:val="es-ES"/>
        </w:rPr>
        <w:t>Humberto Antonio Sierra Porto</w:t>
      </w:r>
    </w:p>
    <w:p w:rsidR="00577097" w:rsidRPr="00BE133F" w:rsidRDefault="00577097" w:rsidP="00577097">
      <w:pPr>
        <w:spacing w:after="0" w:line="240" w:lineRule="auto"/>
        <w:jc w:val="both"/>
        <w:rPr>
          <w:rFonts w:ascii="Verdana" w:hAnsi="Verdana"/>
          <w:sz w:val="20"/>
          <w:szCs w:val="20"/>
          <w:lang w:val="pt-BR"/>
        </w:rPr>
      </w:pPr>
    </w:p>
    <w:p w:rsidR="00577097" w:rsidRPr="00BE133F" w:rsidRDefault="00577097" w:rsidP="00577097">
      <w:pPr>
        <w:spacing w:after="0" w:line="240" w:lineRule="auto"/>
        <w:jc w:val="both"/>
        <w:rPr>
          <w:rFonts w:ascii="Verdana" w:hAnsi="Verdana"/>
          <w:sz w:val="20"/>
          <w:szCs w:val="20"/>
          <w:lang w:val="pt-BR"/>
        </w:rPr>
      </w:pPr>
    </w:p>
    <w:p w:rsidR="00577097" w:rsidRDefault="00577097" w:rsidP="00577097">
      <w:pPr>
        <w:spacing w:after="0" w:line="240" w:lineRule="auto"/>
        <w:jc w:val="both"/>
        <w:rPr>
          <w:rFonts w:ascii="Verdana" w:hAnsi="Verdana"/>
          <w:sz w:val="20"/>
          <w:szCs w:val="20"/>
          <w:lang w:val="pt-BR"/>
        </w:rPr>
      </w:pPr>
    </w:p>
    <w:p w:rsidR="00F45AAF" w:rsidRDefault="00F45AAF" w:rsidP="00577097">
      <w:pPr>
        <w:spacing w:after="0" w:line="240" w:lineRule="auto"/>
        <w:jc w:val="both"/>
        <w:rPr>
          <w:rFonts w:ascii="Verdana" w:hAnsi="Verdana"/>
          <w:sz w:val="20"/>
          <w:szCs w:val="20"/>
          <w:lang w:val="pt-BR"/>
        </w:rPr>
      </w:pPr>
    </w:p>
    <w:p w:rsidR="00F45AAF" w:rsidRDefault="00F45AAF" w:rsidP="00577097">
      <w:pPr>
        <w:spacing w:after="0" w:line="240" w:lineRule="auto"/>
        <w:jc w:val="both"/>
        <w:rPr>
          <w:rFonts w:ascii="Verdana" w:hAnsi="Verdana"/>
          <w:sz w:val="20"/>
          <w:szCs w:val="20"/>
          <w:lang w:val="pt-BR"/>
        </w:rPr>
      </w:pPr>
    </w:p>
    <w:p w:rsidR="00F45AAF" w:rsidRDefault="00F45AAF" w:rsidP="00577097">
      <w:pPr>
        <w:spacing w:after="0" w:line="240" w:lineRule="auto"/>
        <w:jc w:val="both"/>
        <w:rPr>
          <w:rFonts w:ascii="Verdana" w:hAnsi="Verdana"/>
          <w:sz w:val="20"/>
          <w:szCs w:val="20"/>
          <w:lang w:val="pt-BR"/>
        </w:rPr>
      </w:pPr>
    </w:p>
    <w:p w:rsidR="00F45AAF" w:rsidRPr="00BE133F" w:rsidRDefault="00F45AAF" w:rsidP="00577097">
      <w:pPr>
        <w:spacing w:after="0" w:line="240" w:lineRule="auto"/>
        <w:jc w:val="both"/>
        <w:rPr>
          <w:rFonts w:ascii="Verdana" w:hAnsi="Verdana"/>
          <w:sz w:val="20"/>
          <w:szCs w:val="20"/>
          <w:lang w:val="pt-BR"/>
        </w:rPr>
      </w:pPr>
    </w:p>
    <w:p w:rsidR="00577097" w:rsidRPr="003A32F1" w:rsidRDefault="00577097" w:rsidP="00577097">
      <w:pPr>
        <w:spacing w:after="0" w:line="240" w:lineRule="auto"/>
        <w:jc w:val="center"/>
        <w:rPr>
          <w:rFonts w:ascii="Verdana" w:hAnsi="Verdana"/>
          <w:sz w:val="20"/>
          <w:szCs w:val="20"/>
          <w:lang w:val="es-ES"/>
        </w:rPr>
      </w:pPr>
      <w:r w:rsidRPr="003A32F1">
        <w:rPr>
          <w:rFonts w:ascii="Verdana" w:hAnsi="Verdana"/>
          <w:sz w:val="20"/>
          <w:szCs w:val="20"/>
          <w:lang w:val="es-ES"/>
        </w:rPr>
        <w:t>Pablo Saavedra Alessandri</w:t>
      </w:r>
    </w:p>
    <w:p w:rsidR="00577097" w:rsidRPr="00BE133F" w:rsidRDefault="00577097" w:rsidP="00577097">
      <w:pPr>
        <w:spacing w:after="0" w:line="240" w:lineRule="auto"/>
        <w:jc w:val="center"/>
        <w:rPr>
          <w:rFonts w:ascii="Verdana" w:hAnsi="Verdana"/>
          <w:sz w:val="20"/>
          <w:szCs w:val="20"/>
          <w:lang w:val="es-ES"/>
        </w:rPr>
      </w:pPr>
      <w:r w:rsidRPr="00BE133F">
        <w:rPr>
          <w:rFonts w:ascii="Verdana" w:hAnsi="Verdana"/>
          <w:sz w:val="20"/>
          <w:szCs w:val="20"/>
          <w:lang w:val="es-ES"/>
        </w:rPr>
        <w:t>Secretario</w:t>
      </w:r>
    </w:p>
    <w:p w:rsidR="00577097" w:rsidRPr="00BE133F" w:rsidRDefault="00577097" w:rsidP="00577097">
      <w:pPr>
        <w:pStyle w:val="FootnoteText"/>
        <w:rPr>
          <w:rFonts w:ascii="Verdana" w:hAnsi="Verdana"/>
          <w:lang w:val="es-ES"/>
        </w:rPr>
      </w:pPr>
    </w:p>
    <w:p w:rsidR="00577097" w:rsidRPr="00BE133F" w:rsidRDefault="00577097" w:rsidP="00577097">
      <w:pPr>
        <w:pStyle w:val="FootnoteText"/>
        <w:rPr>
          <w:rFonts w:ascii="Verdana" w:hAnsi="Verdana"/>
          <w:lang w:val="es-ES"/>
        </w:rPr>
      </w:pPr>
    </w:p>
    <w:p w:rsidR="00577097" w:rsidRPr="00BE133F" w:rsidRDefault="00577097" w:rsidP="00577097">
      <w:pPr>
        <w:pStyle w:val="FootnoteText"/>
        <w:rPr>
          <w:rFonts w:ascii="Verdana" w:hAnsi="Verdana"/>
          <w:lang w:val="es-ES"/>
        </w:rPr>
      </w:pPr>
    </w:p>
    <w:p w:rsidR="00577097" w:rsidRPr="00BE133F" w:rsidRDefault="00577097" w:rsidP="00577097">
      <w:pPr>
        <w:spacing w:after="0" w:line="240" w:lineRule="auto"/>
        <w:jc w:val="both"/>
        <w:rPr>
          <w:rFonts w:ascii="Verdana" w:hAnsi="Verdana"/>
          <w:sz w:val="20"/>
          <w:szCs w:val="20"/>
          <w:lang w:val="es-ES"/>
        </w:rPr>
      </w:pPr>
      <w:r w:rsidRPr="00BE133F">
        <w:rPr>
          <w:rFonts w:ascii="Verdana" w:hAnsi="Verdana"/>
          <w:sz w:val="20"/>
          <w:szCs w:val="20"/>
          <w:lang w:val="es-ES"/>
        </w:rPr>
        <w:t>Comuníquese y ejecútese,</w:t>
      </w:r>
    </w:p>
    <w:p w:rsidR="00577097" w:rsidRPr="00BE133F" w:rsidRDefault="00577097" w:rsidP="00577097">
      <w:pPr>
        <w:spacing w:after="0" w:line="240" w:lineRule="auto"/>
        <w:jc w:val="both"/>
        <w:rPr>
          <w:rFonts w:ascii="Verdana" w:hAnsi="Verdana"/>
          <w:sz w:val="20"/>
          <w:szCs w:val="20"/>
          <w:lang w:val="es-ES"/>
        </w:rPr>
      </w:pPr>
    </w:p>
    <w:p w:rsidR="00577097" w:rsidRPr="00BE133F" w:rsidRDefault="00577097" w:rsidP="00577097">
      <w:pPr>
        <w:spacing w:after="0" w:line="240" w:lineRule="auto"/>
        <w:jc w:val="both"/>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p>
    <w:p w:rsidR="00577097" w:rsidRPr="00BE133F" w:rsidRDefault="00577097" w:rsidP="00577097">
      <w:pPr>
        <w:spacing w:after="0" w:line="240" w:lineRule="auto"/>
        <w:jc w:val="both"/>
        <w:rPr>
          <w:rFonts w:ascii="Verdana" w:hAnsi="Verdana"/>
          <w:sz w:val="20"/>
          <w:szCs w:val="20"/>
        </w:rPr>
      </w:pPr>
    </w:p>
    <w:p w:rsidR="00577097" w:rsidRPr="00BE133F" w:rsidRDefault="00577097" w:rsidP="00577097">
      <w:pPr>
        <w:spacing w:after="0" w:line="240" w:lineRule="auto"/>
        <w:ind w:left="5040"/>
        <w:rPr>
          <w:rFonts w:ascii="Verdana" w:hAnsi="Verdana"/>
          <w:sz w:val="20"/>
          <w:szCs w:val="20"/>
          <w:lang w:val="es-ES"/>
        </w:rPr>
      </w:pPr>
      <w:r w:rsidRPr="00BE133F">
        <w:rPr>
          <w:rFonts w:ascii="Verdana" w:hAnsi="Verdana"/>
          <w:sz w:val="20"/>
          <w:szCs w:val="20"/>
          <w:lang w:val="es-ES"/>
        </w:rPr>
        <w:t xml:space="preserve">      </w:t>
      </w:r>
      <w:r w:rsidRPr="00BE133F">
        <w:rPr>
          <w:rFonts w:ascii="Verdana" w:hAnsi="Verdana"/>
          <w:sz w:val="20"/>
          <w:szCs w:val="20"/>
          <w:lang w:val="es-ES"/>
        </w:rPr>
        <w:tab/>
        <w:t xml:space="preserve">       </w:t>
      </w:r>
      <w:r w:rsidR="0077217D">
        <w:rPr>
          <w:rFonts w:ascii="Verdana" w:hAnsi="Verdana"/>
          <w:sz w:val="20"/>
          <w:szCs w:val="20"/>
          <w:lang w:val="es-ES"/>
        </w:rPr>
        <w:t xml:space="preserve">     </w:t>
      </w:r>
      <w:r w:rsidR="0077217D" w:rsidRPr="003A32F1">
        <w:rPr>
          <w:rFonts w:ascii="Verdana" w:hAnsi="Verdana"/>
          <w:sz w:val="20"/>
          <w:szCs w:val="20"/>
          <w:lang w:val="es-ES"/>
        </w:rPr>
        <w:t>Roberto F. Caldas</w:t>
      </w:r>
    </w:p>
    <w:p w:rsidR="00577097" w:rsidRPr="00BE133F" w:rsidRDefault="00577097" w:rsidP="00577097">
      <w:pPr>
        <w:spacing w:after="0" w:line="240" w:lineRule="auto"/>
        <w:ind w:left="5760"/>
        <w:jc w:val="center"/>
        <w:rPr>
          <w:rFonts w:ascii="Verdana" w:hAnsi="Verdana"/>
          <w:sz w:val="20"/>
          <w:szCs w:val="20"/>
          <w:lang w:val="es-ES"/>
        </w:rPr>
      </w:pPr>
      <w:r w:rsidRPr="00BE133F">
        <w:rPr>
          <w:rFonts w:ascii="Verdana" w:hAnsi="Verdana"/>
          <w:sz w:val="20"/>
          <w:szCs w:val="20"/>
          <w:lang w:val="es-ES"/>
        </w:rPr>
        <w:t>Presidente</w:t>
      </w:r>
    </w:p>
    <w:p w:rsidR="00577097" w:rsidRPr="00BE133F" w:rsidRDefault="00577097" w:rsidP="00577097">
      <w:pPr>
        <w:spacing w:after="0" w:line="240" w:lineRule="auto"/>
        <w:jc w:val="both"/>
        <w:rPr>
          <w:rFonts w:ascii="Verdana" w:hAnsi="Verdana"/>
          <w:sz w:val="20"/>
          <w:szCs w:val="20"/>
          <w:lang w:val="es-ES"/>
        </w:rPr>
      </w:pPr>
    </w:p>
    <w:p w:rsidR="00577097" w:rsidRPr="00BE133F" w:rsidRDefault="00577097" w:rsidP="00577097">
      <w:pPr>
        <w:spacing w:after="0" w:line="240" w:lineRule="auto"/>
        <w:jc w:val="both"/>
        <w:rPr>
          <w:rFonts w:ascii="Verdana" w:hAnsi="Verdana"/>
          <w:sz w:val="20"/>
          <w:szCs w:val="20"/>
          <w:lang w:val="es-ES"/>
        </w:rPr>
      </w:pPr>
    </w:p>
    <w:p w:rsidR="00577097" w:rsidRPr="00BE133F" w:rsidRDefault="00577097" w:rsidP="00577097">
      <w:pPr>
        <w:spacing w:after="0" w:line="240" w:lineRule="auto"/>
        <w:jc w:val="both"/>
        <w:rPr>
          <w:rFonts w:ascii="Verdana" w:hAnsi="Verdana"/>
          <w:sz w:val="20"/>
          <w:szCs w:val="20"/>
          <w:lang w:val="es-ES"/>
        </w:rPr>
      </w:pPr>
      <w:r w:rsidRPr="00BE133F">
        <w:rPr>
          <w:rFonts w:ascii="Verdana" w:hAnsi="Verdana"/>
          <w:sz w:val="20"/>
          <w:szCs w:val="20"/>
          <w:lang w:val="es-ES"/>
        </w:rPr>
        <w:t>Pablo Saavedra Alessandri</w:t>
      </w:r>
    </w:p>
    <w:p w:rsidR="0094609B" w:rsidRPr="00BE133F" w:rsidRDefault="00577097" w:rsidP="004E6D7C">
      <w:pPr>
        <w:spacing w:after="0" w:line="240" w:lineRule="auto"/>
        <w:rPr>
          <w:rFonts w:ascii="Verdana" w:hAnsi="Verdana"/>
          <w:sz w:val="20"/>
          <w:szCs w:val="20"/>
        </w:rPr>
      </w:pPr>
      <w:r w:rsidRPr="00BE133F">
        <w:rPr>
          <w:rFonts w:ascii="Verdana" w:hAnsi="Verdana"/>
          <w:sz w:val="20"/>
          <w:szCs w:val="20"/>
          <w:lang w:val="es-ES"/>
        </w:rPr>
        <w:tab/>
      </w:r>
      <w:r w:rsidRPr="00BE133F">
        <w:rPr>
          <w:rFonts w:ascii="Verdana" w:hAnsi="Verdana"/>
          <w:sz w:val="20"/>
          <w:szCs w:val="20"/>
        </w:rPr>
        <w:t>Secretario</w:t>
      </w:r>
    </w:p>
    <w:sectPr w:rsidR="0094609B" w:rsidRPr="00BE133F" w:rsidSect="00FE5184">
      <w:headerReference w:type="even" r:id="rId9"/>
      <w:headerReference w:type="default" r:id="rId10"/>
      <w:footerReference w:type="default" r:id="rId11"/>
      <w:headerReference w:type="first" r:id="rId12"/>
      <w:pgSz w:w="12240" w:h="15840" w:code="1"/>
      <w:pgMar w:top="1440" w:right="132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7A" w:rsidRDefault="009D0F7A" w:rsidP="00577097">
      <w:pPr>
        <w:spacing w:after="0" w:line="240" w:lineRule="auto"/>
      </w:pPr>
      <w:r>
        <w:separator/>
      </w:r>
    </w:p>
  </w:endnote>
  <w:endnote w:type="continuationSeparator" w:id="0">
    <w:p w:rsidR="009D0F7A" w:rsidRDefault="009D0F7A" w:rsidP="0057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Pr="002434DF" w:rsidRDefault="004A5A50">
    <w:pPr>
      <w:pStyle w:val="Footer"/>
      <w:jc w:val="center"/>
      <w:rPr>
        <w:rFonts w:ascii="Verdana" w:hAnsi="Verdana"/>
        <w:sz w:val="20"/>
        <w:szCs w:val="20"/>
      </w:rPr>
    </w:pPr>
    <w:r w:rsidRPr="002434DF">
      <w:rPr>
        <w:rFonts w:ascii="Verdana" w:hAnsi="Verdana"/>
        <w:sz w:val="20"/>
        <w:szCs w:val="20"/>
      </w:rPr>
      <w:fldChar w:fldCharType="begin"/>
    </w:r>
    <w:r w:rsidRPr="002434DF">
      <w:rPr>
        <w:rFonts w:ascii="Verdana" w:hAnsi="Verdana"/>
        <w:sz w:val="20"/>
        <w:szCs w:val="20"/>
      </w:rPr>
      <w:instrText xml:space="preserve"> PAGE   \* MERGEFORMAT </w:instrText>
    </w:r>
    <w:r w:rsidRPr="002434DF">
      <w:rPr>
        <w:rFonts w:ascii="Verdana" w:hAnsi="Verdana"/>
        <w:sz w:val="20"/>
        <w:szCs w:val="20"/>
      </w:rPr>
      <w:fldChar w:fldCharType="separate"/>
    </w:r>
    <w:r w:rsidR="009879F9">
      <w:rPr>
        <w:rFonts w:ascii="Verdana" w:hAnsi="Verdana"/>
        <w:noProof/>
        <w:sz w:val="20"/>
        <w:szCs w:val="20"/>
      </w:rPr>
      <w:t>9</w:t>
    </w:r>
    <w:r w:rsidRPr="002434DF">
      <w:rPr>
        <w:rFonts w:ascii="Verdana" w:hAnsi="Verdana"/>
        <w:sz w:val="20"/>
        <w:szCs w:val="20"/>
      </w:rPr>
      <w:fldChar w:fldCharType="end"/>
    </w:r>
  </w:p>
  <w:p w:rsidR="00B97637" w:rsidRDefault="009D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7A" w:rsidRDefault="009D0F7A" w:rsidP="00577097">
      <w:pPr>
        <w:spacing w:after="0" w:line="240" w:lineRule="auto"/>
      </w:pPr>
      <w:r>
        <w:separator/>
      </w:r>
    </w:p>
  </w:footnote>
  <w:footnote w:type="continuationSeparator" w:id="0">
    <w:p w:rsidR="009D0F7A" w:rsidRDefault="009D0F7A" w:rsidP="00577097">
      <w:pPr>
        <w:spacing w:after="0" w:line="240" w:lineRule="auto"/>
      </w:pPr>
      <w:r>
        <w:continuationSeparator/>
      </w:r>
    </w:p>
  </w:footnote>
  <w:footnote w:id="1">
    <w:p w:rsidR="007D0F6B" w:rsidRPr="00C605A3" w:rsidRDefault="007D0F6B" w:rsidP="00E73337">
      <w:pPr>
        <w:spacing w:after="0" w:line="240" w:lineRule="auto"/>
        <w:jc w:val="both"/>
        <w:rPr>
          <w:rFonts w:ascii="Verdana" w:hAnsi="Verdana"/>
          <w:sz w:val="16"/>
          <w:szCs w:val="16"/>
        </w:rPr>
      </w:pPr>
      <w:r w:rsidRPr="00C605A3">
        <w:rPr>
          <w:rStyle w:val="FootnoteReference"/>
          <w:rFonts w:ascii="Verdana" w:hAnsi="Verdana"/>
          <w:sz w:val="16"/>
          <w:szCs w:val="16"/>
          <w:lang w:val="x-none" w:eastAsia="x-none"/>
        </w:rPr>
        <w:t>*</w:t>
      </w:r>
      <w:r w:rsidRPr="00C605A3">
        <w:rPr>
          <w:rFonts w:ascii="Verdana" w:hAnsi="Verdana"/>
          <w:sz w:val="16"/>
          <w:szCs w:val="16"/>
        </w:rPr>
        <w:t xml:space="preserve"> </w:t>
      </w:r>
      <w:r w:rsidRPr="00C605A3">
        <w:rPr>
          <w:rFonts w:ascii="Verdana" w:hAnsi="Verdana"/>
          <w:sz w:val="16"/>
          <w:szCs w:val="16"/>
        </w:rPr>
        <w:tab/>
      </w:r>
      <w:r w:rsidRPr="00C605A3">
        <w:rPr>
          <w:rFonts w:ascii="Verdana" w:hAnsi="Verdana"/>
          <w:sz w:val="16"/>
          <w:szCs w:val="16"/>
          <w:lang w:val="es-ES"/>
        </w:rPr>
        <w:t xml:space="preserve">De conformidad con el artículo 19.1 del Reglamento de la Corte Interamericana aplicable al presente caso, el Juez </w:t>
      </w:r>
      <w:r w:rsidRPr="00C605A3">
        <w:rPr>
          <w:rFonts w:ascii="Verdana" w:hAnsi="Verdana"/>
          <w:bCs/>
          <w:sz w:val="16"/>
          <w:szCs w:val="16"/>
        </w:rPr>
        <w:t>Diego García-Sayán</w:t>
      </w:r>
      <w:r w:rsidRPr="00C605A3">
        <w:rPr>
          <w:rFonts w:ascii="Verdana" w:hAnsi="Verdana"/>
          <w:sz w:val="16"/>
          <w:szCs w:val="16"/>
          <w:lang w:val="es-ES"/>
        </w:rPr>
        <w:t>, de nacionalidad peruana, no participó de la deliberación de esta Sentencia.</w:t>
      </w:r>
    </w:p>
  </w:footnote>
  <w:footnote w:id="2">
    <w:p w:rsidR="00577097" w:rsidRPr="00C605A3" w:rsidRDefault="00577097" w:rsidP="00E73337">
      <w:pPr>
        <w:spacing w:after="60" w:line="240" w:lineRule="auto"/>
        <w:jc w:val="both"/>
        <w:rPr>
          <w:rFonts w:ascii="Verdana" w:hAnsi="Verdana"/>
          <w:b/>
          <w:sz w:val="16"/>
          <w:szCs w:val="16"/>
        </w:rPr>
      </w:pPr>
      <w:r w:rsidRPr="00C605A3">
        <w:rPr>
          <w:rStyle w:val="FootnoteReference"/>
          <w:rFonts w:ascii="Verdana" w:hAnsi="Verdana"/>
          <w:sz w:val="16"/>
          <w:szCs w:val="16"/>
        </w:rPr>
        <w:footnoteRef/>
      </w:r>
      <w:r w:rsidRPr="00C605A3">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i/>
          <w:sz w:val="16"/>
          <w:szCs w:val="16"/>
        </w:rPr>
        <w:t>Caso Loayza Tamayo Vs. Perú. Interpretación de la Sentencia de Fondo</w:t>
      </w:r>
      <w:r w:rsidRPr="00C605A3">
        <w:rPr>
          <w:rFonts w:ascii="Verdana" w:hAnsi="Verdana"/>
          <w:sz w:val="16"/>
          <w:szCs w:val="16"/>
        </w:rPr>
        <w:t xml:space="preserve">. Resolución de la Corte Interamericana de Derechos Humanos de 8 de marzo de 1998. Serie C No. 47, párr. 16, y </w:t>
      </w:r>
      <w:r w:rsidR="00F36489" w:rsidRPr="00C605A3">
        <w:rPr>
          <w:rFonts w:ascii="Verdana" w:hAnsi="Verdana"/>
          <w:i/>
          <w:sz w:val="16"/>
          <w:szCs w:val="16"/>
        </w:rPr>
        <w:t xml:space="preserve">Caso </w:t>
      </w:r>
      <w:r w:rsidR="00F36489" w:rsidRPr="00C605A3">
        <w:rPr>
          <w:rFonts w:ascii="Verdana" w:eastAsia="Times" w:hAnsi="Verdana"/>
          <w:bCs/>
          <w:i/>
          <w:sz w:val="16"/>
          <w:szCs w:val="16"/>
        </w:rPr>
        <w:t>Argüelles</w:t>
      </w:r>
      <w:r w:rsidR="00F36489" w:rsidRPr="00C605A3">
        <w:rPr>
          <w:rFonts w:ascii="Verdana" w:hAnsi="Verdana"/>
          <w:i/>
          <w:sz w:val="16"/>
          <w:szCs w:val="16"/>
        </w:rPr>
        <w:t xml:space="preserve"> y otros Vs. Argentina. </w:t>
      </w:r>
      <w:r w:rsidR="00F36489" w:rsidRPr="00C605A3">
        <w:rPr>
          <w:rFonts w:ascii="Verdana" w:hAnsi="Verdana"/>
          <w:i/>
          <w:sz w:val="16"/>
          <w:szCs w:val="16"/>
          <w:lang w:val="es-CO"/>
        </w:rPr>
        <w:t>Interpretación de la Sentencia de Excepción Preliminar, Fondo, Reparaciones y Costas</w:t>
      </w:r>
      <w:r w:rsidR="00F36489" w:rsidRPr="00C605A3">
        <w:rPr>
          <w:rFonts w:ascii="Verdana" w:hAnsi="Verdana"/>
          <w:sz w:val="16"/>
          <w:szCs w:val="16"/>
          <w:lang w:val="es-CO"/>
        </w:rPr>
        <w:t>. Sentencia de 23 de junio de 2015. Serie C No. 294, párr. 20.</w:t>
      </w:r>
    </w:p>
  </w:footnote>
  <w:footnote w:id="3">
    <w:p w:rsidR="00577097" w:rsidRPr="00C605A3" w:rsidRDefault="00577097" w:rsidP="00E73337">
      <w:pPr>
        <w:pStyle w:val="FootnoteText"/>
        <w:spacing w:after="60"/>
        <w:jc w:val="both"/>
        <w:rPr>
          <w:rFonts w:ascii="Verdana" w:hAnsi="Verdana"/>
          <w:sz w:val="16"/>
          <w:szCs w:val="16"/>
          <w:lang w:val="es-CO"/>
        </w:rPr>
      </w:pPr>
      <w:r w:rsidRPr="00C605A3">
        <w:rPr>
          <w:rStyle w:val="FootnoteReference"/>
          <w:rFonts w:ascii="Verdana" w:hAnsi="Verdana"/>
          <w:sz w:val="16"/>
          <w:szCs w:val="16"/>
        </w:rPr>
        <w:footnoteRef/>
      </w:r>
      <w:r w:rsidRPr="00C605A3">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i/>
          <w:sz w:val="16"/>
          <w:szCs w:val="16"/>
        </w:rPr>
        <w:t>Caso Loayza Tamayo Vs. Perú. Interpretación de la Sentencia de Fond</w:t>
      </w:r>
      <w:r w:rsidRPr="00C605A3">
        <w:rPr>
          <w:rFonts w:ascii="Verdana" w:hAnsi="Verdana"/>
          <w:sz w:val="16"/>
          <w:szCs w:val="16"/>
        </w:rPr>
        <w:t>o, párr. 16</w:t>
      </w:r>
      <w:r w:rsidRPr="00C605A3">
        <w:rPr>
          <w:rFonts w:ascii="Verdana" w:hAnsi="Verdana"/>
          <w:sz w:val="16"/>
          <w:szCs w:val="16"/>
          <w:lang w:val="es-CO"/>
        </w:rPr>
        <w:t>,</w:t>
      </w:r>
      <w:r w:rsidRPr="00C605A3">
        <w:rPr>
          <w:rFonts w:ascii="Verdana" w:hAnsi="Verdana"/>
          <w:sz w:val="16"/>
          <w:szCs w:val="16"/>
        </w:rPr>
        <w:t xml:space="preserve"> y </w:t>
      </w:r>
      <w:r w:rsidR="008C7D22" w:rsidRPr="00C605A3">
        <w:rPr>
          <w:rFonts w:ascii="Verdana" w:hAnsi="Verdana"/>
          <w:i/>
          <w:sz w:val="16"/>
          <w:szCs w:val="16"/>
        </w:rPr>
        <w:t xml:space="preserve">Caso </w:t>
      </w:r>
      <w:r w:rsidR="008C7D22" w:rsidRPr="00C605A3">
        <w:rPr>
          <w:rFonts w:ascii="Verdana" w:eastAsia="Times" w:hAnsi="Verdana"/>
          <w:bCs/>
          <w:i/>
          <w:sz w:val="16"/>
          <w:szCs w:val="16"/>
        </w:rPr>
        <w:t>Argüelles</w:t>
      </w:r>
      <w:r w:rsidR="008C7D22" w:rsidRPr="00C605A3">
        <w:rPr>
          <w:rFonts w:ascii="Verdana" w:hAnsi="Verdana"/>
          <w:i/>
          <w:sz w:val="16"/>
          <w:szCs w:val="16"/>
        </w:rPr>
        <w:t xml:space="preserve"> y otros Vs. Argentina. </w:t>
      </w:r>
      <w:r w:rsidR="008C7D22" w:rsidRPr="00C605A3">
        <w:rPr>
          <w:rFonts w:ascii="Verdana" w:hAnsi="Verdana"/>
          <w:i/>
          <w:sz w:val="16"/>
          <w:szCs w:val="16"/>
          <w:lang w:val="es-CO"/>
        </w:rPr>
        <w:t>Interpretación de la Sentencia de Excepción Preliminar, Fondo, Reparaciones y Costas,</w:t>
      </w:r>
      <w:r w:rsidR="008C7D22" w:rsidRPr="00C605A3">
        <w:rPr>
          <w:rFonts w:ascii="Verdana" w:hAnsi="Verdana"/>
          <w:sz w:val="16"/>
          <w:szCs w:val="16"/>
          <w:lang w:val="es-CO"/>
        </w:rPr>
        <w:t xml:space="preserve"> párr. 20.</w:t>
      </w:r>
    </w:p>
  </w:footnote>
  <w:footnote w:id="4">
    <w:p w:rsidR="00577097" w:rsidRPr="00C605A3" w:rsidRDefault="00577097" w:rsidP="00E73337">
      <w:pPr>
        <w:spacing w:after="60" w:line="240" w:lineRule="auto"/>
        <w:jc w:val="both"/>
        <w:rPr>
          <w:rFonts w:ascii="Verdana" w:hAnsi="Verdana"/>
          <w:sz w:val="16"/>
          <w:szCs w:val="16"/>
        </w:rPr>
      </w:pPr>
      <w:r w:rsidRPr="00C605A3">
        <w:rPr>
          <w:rStyle w:val="FootnoteReference"/>
          <w:rFonts w:ascii="Verdana" w:hAnsi="Verdana"/>
          <w:sz w:val="16"/>
          <w:szCs w:val="16"/>
        </w:rPr>
        <w:footnoteRef/>
      </w:r>
      <w:r w:rsidRPr="00C605A3">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i/>
          <w:sz w:val="16"/>
          <w:szCs w:val="16"/>
        </w:rPr>
        <w:t>Caso Loayza Tamayo Vs. Perú. Interpretación de la Sentencia de Reparaciones y Costas</w:t>
      </w:r>
      <w:r w:rsidRPr="00C605A3">
        <w:rPr>
          <w:rFonts w:ascii="Verdana" w:hAnsi="Verdana"/>
          <w:sz w:val="16"/>
          <w:szCs w:val="16"/>
        </w:rPr>
        <w:t>. Sentencia de 3 de junio de 1999. Serie C No. 53, párr. 15</w:t>
      </w:r>
      <w:r w:rsidRPr="00C605A3">
        <w:rPr>
          <w:rFonts w:ascii="Verdana" w:hAnsi="Verdana"/>
          <w:sz w:val="16"/>
          <w:szCs w:val="16"/>
          <w:lang w:val="es-CO"/>
        </w:rPr>
        <w:t>, y</w:t>
      </w:r>
      <w:r w:rsidR="00BF2BC9" w:rsidRPr="00C605A3">
        <w:rPr>
          <w:rFonts w:ascii="Verdana" w:hAnsi="Verdana"/>
          <w:sz w:val="16"/>
          <w:szCs w:val="16"/>
        </w:rPr>
        <w:t xml:space="preserve"> </w:t>
      </w:r>
      <w:r w:rsidR="00BF2BC9" w:rsidRPr="00C605A3">
        <w:rPr>
          <w:rFonts w:ascii="Verdana" w:hAnsi="Verdana"/>
          <w:i/>
          <w:sz w:val="16"/>
          <w:szCs w:val="16"/>
        </w:rPr>
        <w:t xml:space="preserve">Caso </w:t>
      </w:r>
      <w:r w:rsidR="00BF2BC9" w:rsidRPr="00C605A3">
        <w:rPr>
          <w:rFonts w:ascii="Verdana" w:eastAsia="Times" w:hAnsi="Verdana"/>
          <w:bCs/>
          <w:i/>
          <w:sz w:val="16"/>
          <w:szCs w:val="16"/>
        </w:rPr>
        <w:t>Argüelles</w:t>
      </w:r>
      <w:r w:rsidR="00BF2BC9" w:rsidRPr="00C605A3">
        <w:rPr>
          <w:rFonts w:ascii="Verdana" w:hAnsi="Verdana"/>
          <w:i/>
          <w:sz w:val="16"/>
          <w:szCs w:val="16"/>
        </w:rPr>
        <w:t xml:space="preserve"> y otros Vs. Argentina. </w:t>
      </w:r>
      <w:r w:rsidR="00BF2BC9" w:rsidRPr="00C605A3">
        <w:rPr>
          <w:rFonts w:ascii="Verdana" w:hAnsi="Verdana"/>
          <w:i/>
          <w:sz w:val="16"/>
          <w:szCs w:val="16"/>
          <w:lang w:val="es-CO"/>
        </w:rPr>
        <w:t>Interpretación de la Sentencia de Excepción Preliminar, Fondo, Reparaciones y Costas,</w:t>
      </w:r>
      <w:r w:rsidR="00BF2BC9" w:rsidRPr="00C605A3">
        <w:rPr>
          <w:rFonts w:ascii="Verdana" w:hAnsi="Verdana"/>
          <w:sz w:val="16"/>
          <w:szCs w:val="16"/>
          <w:lang w:val="es-CO"/>
        </w:rPr>
        <w:t xml:space="preserve"> párr. 21</w:t>
      </w:r>
      <w:r w:rsidRPr="00C605A3">
        <w:rPr>
          <w:rFonts w:ascii="Verdana" w:hAnsi="Verdana"/>
          <w:sz w:val="16"/>
          <w:szCs w:val="16"/>
          <w:lang w:val="es-CO"/>
        </w:rPr>
        <w:t>.</w:t>
      </w:r>
    </w:p>
  </w:footnote>
  <w:footnote w:id="5">
    <w:p w:rsidR="00577097" w:rsidRPr="00C605A3" w:rsidRDefault="00577097" w:rsidP="00E73337">
      <w:pPr>
        <w:pStyle w:val="FootnoteText"/>
        <w:spacing w:after="60"/>
        <w:jc w:val="both"/>
        <w:rPr>
          <w:rFonts w:ascii="Verdana" w:hAnsi="Verdana"/>
          <w:sz w:val="16"/>
          <w:szCs w:val="16"/>
        </w:rPr>
      </w:pPr>
      <w:r w:rsidRPr="00C605A3">
        <w:rPr>
          <w:rStyle w:val="FootnoteReference"/>
          <w:rFonts w:ascii="Verdana" w:hAnsi="Verdana"/>
          <w:sz w:val="16"/>
          <w:szCs w:val="16"/>
        </w:rPr>
        <w:footnoteRef/>
      </w:r>
      <w:r w:rsidRPr="00C605A3">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r w:rsidRPr="00C605A3">
        <w:rPr>
          <w:rFonts w:ascii="Verdana" w:hAnsi="Verdana"/>
          <w:bCs/>
          <w:i/>
          <w:sz w:val="16"/>
          <w:szCs w:val="16"/>
        </w:rPr>
        <w:t xml:space="preserve">Caso Salvador Chiriboga Vs. Ecuador. </w:t>
      </w:r>
      <w:r w:rsidRPr="00C605A3">
        <w:rPr>
          <w:rFonts w:ascii="Verdana" w:hAnsi="Verdana"/>
          <w:i/>
          <w:sz w:val="16"/>
          <w:szCs w:val="16"/>
        </w:rPr>
        <w:t>Interpretación de la Sentencia de Reparaciones y Costas</w:t>
      </w:r>
      <w:r w:rsidRPr="00C605A3">
        <w:rPr>
          <w:rFonts w:ascii="Verdana" w:hAnsi="Verdana"/>
          <w:sz w:val="16"/>
          <w:szCs w:val="16"/>
        </w:rPr>
        <w:t xml:space="preserve">. Sentencia de 29 de agosto de 2011. Serie C No. 230, párr. 30, y </w:t>
      </w:r>
      <w:r w:rsidR="00BF2BC9" w:rsidRPr="00C605A3">
        <w:rPr>
          <w:rFonts w:ascii="Verdana" w:hAnsi="Verdana"/>
          <w:i/>
          <w:sz w:val="16"/>
          <w:szCs w:val="16"/>
        </w:rPr>
        <w:t xml:space="preserve">Caso </w:t>
      </w:r>
      <w:r w:rsidR="00BF2BC9" w:rsidRPr="00C605A3">
        <w:rPr>
          <w:rFonts w:ascii="Verdana" w:eastAsia="Times" w:hAnsi="Verdana"/>
          <w:bCs/>
          <w:i/>
          <w:sz w:val="16"/>
          <w:szCs w:val="16"/>
        </w:rPr>
        <w:t>Argüelles</w:t>
      </w:r>
      <w:r w:rsidR="00BF2BC9" w:rsidRPr="00C605A3">
        <w:rPr>
          <w:rFonts w:ascii="Verdana" w:hAnsi="Verdana"/>
          <w:i/>
          <w:sz w:val="16"/>
          <w:szCs w:val="16"/>
        </w:rPr>
        <w:t xml:space="preserve"> y otros Vs. Argentina. </w:t>
      </w:r>
      <w:r w:rsidR="00BF2BC9" w:rsidRPr="00C605A3">
        <w:rPr>
          <w:rFonts w:ascii="Verdana" w:hAnsi="Verdana"/>
          <w:i/>
          <w:sz w:val="16"/>
          <w:szCs w:val="16"/>
          <w:lang w:val="es-CO"/>
        </w:rPr>
        <w:t>Interpretación de la Sentencia de Excepción Preliminar, Fondo, Reparaciones y Costas,</w:t>
      </w:r>
      <w:r w:rsidR="00BF2BC9" w:rsidRPr="00C605A3">
        <w:rPr>
          <w:rFonts w:ascii="Verdana" w:hAnsi="Verdana"/>
          <w:sz w:val="16"/>
          <w:szCs w:val="16"/>
          <w:lang w:val="es-CO"/>
        </w:rPr>
        <w:t xml:space="preserve"> párr. 21</w:t>
      </w:r>
      <w:r w:rsidRPr="00C605A3">
        <w:rPr>
          <w:rFonts w:ascii="Verdana" w:hAnsi="Verdana"/>
          <w:sz w:val="16"/>
          <w:szCs w:val="16"/>
          <w:lang w:val="es-CO"/>
        </w:rPr>
        <w:t>.</w:t>
      </w:r>
    </w:p>
  </w:footnote>
  <w:footnote w:id="6">
    <w:p w:rsidR="00577097" w:rsidRPr="00C605A3" w:rsidRDefault="00577097" w:rsidP="00E73337">
      <w:pPr>
        <w:spacing w:after="60" w:line="240" w:lineRule="auto"/>
        <w:jc w:val="both"/>
        <w:rPr>
          <w:rFonts w:ascii="Verdana" w:hAnsi="Verdana"/>
          <w:sz w:val="16"/>
          <w:szCs w:val="16"/>
        </w:rPr>
      </w:pPr>
      <w:r w:rsidRPr="00C605A3">
        <w:rPr>
          <w:rStyle w:val="FootnoteReference"/>
          <w:rFonts w:ascii="Verdana" w:hAnsi="Verdana"/>
          <w:sz w:val="16"/>
          <w:szCs w:val="16"/>
        </w:rPr>
        <w:footnoteRef/>
      </w:r>
      <w:r w:rsidRPr="00C605A3">
        <w:rPr>
          <w:rFonts w:ascii="Verdana" w:hAnsi="Verdana"/>
          <w:sz w:val="16"/>
          <w:szCs w:val="16"/>
        </w:rPr>
        <w:t xml:space="preserve"> </w:t>
      </w:r>
      <w:r w:rsidRPr="00C605A3">
        <w:rPr>
          <w:rFonts w:ascii="Verdana" w:hAnsi="Verdana"/>
          <w:i/>
          <w:sz w:val="16"/>
          <w:szCs w:val="16"/>
        </w:rPr>
        <w:t>Cfr</w:t>
      </w:r>
      <w:r w:rsidRPr="00C605A3">
        <w:rPr>
          <w:rFonts w:ascii="Verdana" w:hAnsi="Verdana"/>
          <w:sz w:val="16"/>
          <w:szCs w:val="16"/>
        </w:rPr>
        <w:t xml:space="preserve">. </w:t>
      </w:r>
      <w:hyperlink r:id="rId1" w:history="1">
        <w:r w:rsidRPr="00C605A3">
          <w:rPr>
            <w:rStyle w:val="Hyperlink"/>
            <w:rFonts w:ascii="Verdana" w:hAnsi="Verdana" w:cs="Arial"/>
            <w:i/>
            <w:color w:val="auto"/>
            <w:sz w:val="16"/>
            <w:szCs w:val="16"/>
          </w:rPr>
          <w:t xml:space="preserve">Caso </w:t>
        </w:r>
        <w:proofErr w:type="spellStart"/>
        <w:r w:rsidRPr="00C605A3">
          <w:rPr>
            <w:rStyle w:val="Hyperlink"/>
            <w:rFonts w:ascii="Verdana" w:hAnsi="Verdana" w:cs="Arial"/>
            <w:i/>
            <w:color w:val="auto"/>
            <w:sz w:val="16"/>
            <w:szCs w:val="16"/>
          </w:rPr>
          <w:t>Escher</w:t>
        </w:r>
        <w:proofErr w:type="spellEnd"/>
        <w:r w:rsidRPr="00C605A3">
          <w:rPr>
            <w:rStyle w:val="Hyperlink"/>
            <w:rFonts w:ascii="Verdana" w:hAnsi="Verdana" w:cs="Arial"/>
            <w:i/>
            <w:color w:val="auto"/>
            <w:sz w:val="16"/>
            <w:szCs w:val="16"/>
          </w:rPr>
          <w:t xml:space="preserve"> y otros Vs. Brasil. Interpretación de la Sentencia de Excepciones Preliminares, Fondo, Reparaciones y Costas</w:t>
        </w:r>
        <w:r w:rsidRPr="00C605A3">
          <w:rPr>
            <w:rStyle w:val="Hyperlink"/>
            <w:rFonts w:ascii="Verdana" w:hAnsi="Verdana" w:cs="Arial"/>
            <w:color w:val="auto"/>
            <w:sz w:val="16"/>
            <w:szCs w:val="16"/>
          </w:rPr>
          <w:t>. Sentencia de 20 de noviembre de 2009. Serie C No. 208, párr. 11</w:t>
        </w:r>
      </w:hyperlink>
      <w:r w:rsidRPr="00C605A3">
        <w:rPr>
          <w:rFonts w:ascii="Verdana" w:hAnsi="Verdana" w:cs="Arial"/>
          <w:sz w:val="16"/>
          <w:szCs w:val="16"/>
        </w:rPr>
        <w:t xml:space="preserve">, y </w:t>
      </w:r>
      <w:r w:rsidR="00BF2BC9" w:rsidRPr="00C605A3">
        <w:rPr>
          <w:rFonts w:ascii="Verdana" w:hAnsi="Verdana"/>
          <w:i/>
          <w:sz w:val="16"/>
          <w:szCs w:val="16"/>
        </w:rPr>
        <w:t xml:space="preserve">Caso </w:t>
      </w:r>
      <w:r w:rsidR="00BF2BC9" w:rsidRPr="00C605A3">
        <w:rPr>
          <w:rFonts w:ascii="Verdana" w:eastAsia="Times" w:hAnsi="Verdana"/>
          <w:bCs/>
          <w:i/>
          <w:sz w:val="16"/>
          <w:szCs w:val="16"/>
        </w:rPr>
        <w:t>Argüelles</w:t>
      </w:r>
      <w:r w:rsidR="00BF2BC9" w:rsidRPr="00C605A3">
        <w:rPr>
          <w:rFonts w:ascii="Verdana" w:hAnsi="Verdana"/>
          <w:i/>
          <w:sz w:val="16"/>
          <w:szCs w:val="16"/>
        </w:rPr>
        <w:t xml:space="preserve"> y otros Vs. Argentina. </w:t>
      </w:r>
      <w:r w:rsidR="00BF2BC9" w:rsidRPr="00C605A3">
        <w:rPr>
          <w:rFonts w:ascii="Verdana" w:hAnsi="Verdana"/>
          <w:i/>
          <w:sz w:val="16"/>
          <w:szCs w:val="16"/>
          <w:lang w:val="es-CO"/>
        </w:rPr>
        <w:t>Interpretación de la Sentencia de Excepción Preliminar, Fondo, Reparaciones y Costas,</w:t>
      </w:r>
      <w:r w:rsidR="00BF2BC9" w:rsidRPr="00C605A3">
        <w:rPr>
          <w:rFonts w:ascii="Verdana" w:hAnsi="Verdana"/>
          <w:sz w:val="16"/>
          <w:szCs w:val="16"/>
          <w:lang w:val="es-CO"/>
        </w:rPr>
        <w:t xml:space="preserve"> párr. 21</w:t>
      </w:r>
      <w:r w:rsidRPr="00C605A3">
        <w:rPr>
          <w:rFonts w:ascii="Verdana" w:hAnsi="Verdana"/>
          <w:sz w:val="16"/>
          <w:szCs w:val="16"/>
          <w:lang w:val="es-CO"/>
        </w:rPr>
        <w:t>.</w:t>
      </w:r>
      <w:r w:rsidR="005226F5" w:rsidRPr="00C605A3">
        <w:rPr>
          <w:rFonts w:ascii="Verdana" w:hAnsi="Verdana"/>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Default="004A5A50" w:rsidP="00425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637" w:rsidRDefault="009D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Default="009D0F7A" w:rsidP="004252D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7" w:rsidRPr="00AD6D04" w:rsidRDefault="009D0F7A" w:rsidP="004252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3FF"/>
    <w:multiLevelType w:val="hybridMultilevel"/>
    <w:tmpl w:val="118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050E6"/>
    <w:multiLevelType w:val="hybridMultilevel"/>
    <w:tmpl w:val="454023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D0362A1"/>
    <w:multiLevelType w:val="hybridMultilevel"/>
    <w:tmpl w:val="11880254"/>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4">
    <w:nsid w:val="7A2D7446"/>
    <w:multiLevelType w:val="hybridMultilevel"/>
    <w:tmpl w:val="4CF26930"/>
    <w:lvl w:ilvl="0" w:tplc="1270C54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A7D511C"/>
    <w:multiLevelType w:val="hybridMultilevel"/>
    <w:tmpl w:val="7CCC1404"/>
    <w:lvl w:ilvl="0" w:tplc="450EB9FA">
      <w:start w:val="1"/>
      <w:numFmt w:val="decimal"/>
      <w:lvlText w:val="%1."/>
      <w:lvlJc w:val="left"/>
      <w:pPr>
        <w:ind w:left="720" w:hanging="360"/>
      </w:pPr>
      <w:rPr>
        <w:rFonts w:ascii="Verdana" w:hAnsi="Verdana" w:hint="default"/>
        <w:b w:val="0"/>
        <w:sz w:val="20"/>
        <w:szCs w:val="2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E64D32"/>
    <w:multiLevelType w:val="hybridMultilevel"/>
    <w:tmpl w:val="C4880AEC"/>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7"/>
    <w:rsid w:val="000139A9"/>
    <w:rsid w:val="00022FE7"/>
    <w:rsid w:val="00064C1E"/>
    <w:rsid w:val="00067A54"/>
    <w:rsid w:val="000703C9"/>
    <w:rsid w:val="000775C0"/>
    <w:rsid w:val="00077A4A"/>
    <w:rsid w:val="00093AB6"/>
    <w:rsid w:val="000A40C2"/>
    <w:rsid w:val="000A4AD3"/>
    <w:rsid w:val="000B293B"/>
    <w:rsid w:val="000C7596"/>
    <w:rsid w:val="000E31B6"/>
    <w:rsid w:val="0010417B"/>
    <w:rsid w:val="00126FE0"/>
    <w:rsid w:val="00141229"/>
    <w:rsid w:val="00161EF0"/>
    <w:rsid w:val="0018023D"/>
    <w:rsid w:val="00191668"/>
    <w:rsid w:val="001A3700"/>
    <w:rsid w:val="001B28AF"/>
    <w:rsid w:val="001B7615"/>
    <w:rsid w:val="001D0B60"/>
    <w:rsid w:val="001D27EC"/>
    <w:rsid w:val="001E1718"/>
    <w:rsid w:val="00204BEA"/>
    <w:rsid w:val="00220AA4"/>
    <w:rsid w:val="00222515"/>
    <w:rsid w:val="00240A0B"/>
    <w:rsid w:val="0024207C"/>
    <w:rsid w:val="00243299"/>
    <w:rsid w:val="00244E80"/>
    <w:rsid w:val="00267103"/>
    <w:rsid w:val="00273EAB"/>
    <w:rsid w:val="00281FA0"/>
    <w:rsid w:val="00284014"/>
    <w:rsid w:val="002A3D78"/>
    <w:rsid w:val="002D207F"/>
    <w:rsid w:val="003016B2"/>
    <w:rsid w:val="00316983"/>
    <w:rsid w:val="003178C9"/>
    <w:rsid w:val="00320614"/>
    <w:rsid w:val="00341838"/>
    <w:rsid w:val="003601A1"/>
    <w:rsid w:val="003645D7"/>
    <w:rsid w:val="00372B83"/>
    <w:rsid w:val="00372F18"/>
    <w:rsid w:val="00386DC8"/>
    <w:rsid w:val="003A0222"/>
    <w:rsid w:val="003A32F1"/>
    <w:rsid w:val="003B547D"/>
    <w:rsid w:val="003D1781"/>
    <w:rsid w:val="003F6A83"/>
    <w:rsid w:val="00400A80"/>
    <w:rsid w:val="0040104C"/>
    <w:rsid w:val="0040422A"/>
    <w:rsid w:val="0041079B"/>
    <w:rsid w:val="00434957"/>
    <w:rsid w:val="00453E5A"/>
    <w:rsid w:val="00476B19"/>
    <w:rsid w:val="00481F8C"/>
    <w:rsid w:val="00482D05"/>
    <w:rsid w:val="00487100"/>
    <w:rsid w:val="00496987"/>
    <w:rsid w:val="004A38D0"/>
    <w:rsid w:val="004A472B"/>
    <w:rsid w:val="004A4B1A"/>
    <w:rsid w:val="004A5A50"/>
    <w:rsid w:val="004B07FB"/>
    <w:rsid w:val="004B6EE8"/>
    <w:rsid w:val="004C497D"/>
    <w:rsid w:val="004D4A84"/>
    <w:rsid w:val="004E0CD8"/>
    <w:rsid w:val="004E2E75"/>
    <w:rsid w:val="004E6D7C"/>
    <w:rsid w:val="005032B9"/>
    <w:rsid w:val="00513537"/>
    <w:rsid w:val="005226F5"/>
    <w:rsid w:val="005605FB"/>
    <w:rsid w:val="005661FE"/>
    <w:rsid w:val="00577097"/>
    <w:rsid w:val="005B59D1"/>
    <w:rsid w:val="005B7A9B"/>
    <w:rsid w:val="005C1433"/>
    <w:rsid w:val="005C1FE0"/>
    <w:rsid w:val="005C3031"/>
    <w:rsid w:val="005C601B"/>
    <w:rsid w:val="005C797C"/>
    <w:rsid w:val="005F3BC2"/>
    <w:rsid w:val="00601FBD"/>
    <w:rsid w:val="006071E0"/>
    <w:rsid w:val="00613C49"/>
    <w:rsid w:val="0061704F"/>
    <w:rsid w:val="00632CB0"/>
    <w:rsid w:val="00635702"/>
    <w:rsid w:val="006373F8"/>
    <w:rsid w:val="00640BF1"/>
    <w:rsid w:val="00643162"/>
    <w:rsid w:val="0065787B"/>
    <w:rsid w:val="00661051"/>
    <w:rsid w:val="006766CC"/>
    <w:rsid w:val="00677F3E"/>
    <w:rsid w:val="00680AED"/>
    <w:rsid w:val="006834DA"/>
    <w:rsid w:val="00687713"/>
    <w:rsid w:val="006B5A9E"/>
    <w:rsid w:val="006D1F3B"/>
    <w:rsid w:val="006E09E6"/>
    <w:rsid w:val="007034DA"/>
    <w:rsid w:val="007144F1"/>
    <w:rsid w:val="0072736F"/>
    <w:rsid w:val="0073248C"/>
    <w:rsid w:val="00761758"/>
    <w:rsid w:val="0077217D"/>
    <w:rsid w:val="00777038"/>
    <w:rsid w:val="00785FF9"/>
    <w:rsid w:val="00787A95"/>
    <w:rsid w:val="00791C1B"/>
    <w:rsid w:val="00797860"/>
    <w:rsid w:val="007A5E6F"/>
    <w:rsid w:val="007C7F0E"/>
    <w:rsid w:val="007D0F6B"/>
    <w:rsid w:val="007D68C5"/>
    <w:rsid w:val="007E4A7E"/>
    <w:rsid w:val="007E4F77"/>
    <w:rsid w:val="007F1C1C"/>
    <w:rsid w:val="008232EE"/>
    <w:rsid w:val="0082480B"/>
    <w:rsid w:val="00832ACB"/>
    <w:rsid w:val="008366C2"/>
    <w:rsid w:val="0084423F"/>
    <w:rsid w:val="008500AF"/>
    <w:rsid w:val="008562C7"/>
    <w:rsid w:val="00870C23"/>
    <w:rsid w:val="00894E6B"/>
    <w:rsid w:val="0089761B"/>
    <w:rsid w:val="008A16DF"/>
    <w:rsid w:val="008C5A22"/>
    <w:rsid w:val="008C7D22"/>
    <w:rsid w:val="008D02E3"/>
    <w:rsid w:val="008D0FB1"/>
    <w:rsid w:val="008D140A"/>
    <w:rsid w:val="008E250F"/>
    <w:rsid w:val="008F51D5"/>
    <w:rsid w:val="00917FD6"/>
    <w:rsid w:val="00920163"/>
    <w:rsid w:val="0092247E"/>
    <w:rsid w:val="0093256C"/>
    <w:rsid w:val="009342DD"/>
    <w:rsid w:val="009346D0"/>
    <w:rsid w:val="009459FB"/>
    <w:rsid w:val="00950D9C"/>
    <w:rsid w:val="0095321D"/>
    <w:rsid w:val="00956031"/>
    <w:rsid w:val="00981E08"/>
    <w:rsid w:val="00981FD6"/>
    <w:rsid w:val="009879F9"/>
    <w:rsid w:val="009A19D0"/>
    <w:rsid w:val="009A6079"/>
    <w:rsid w:val="009B4AE1"/>
    <w:rsid w:val="009D0F7A"/>
    <w:rsid w:val="009D1A0B"/>
    <w:rsid w:val="009D4B7F"/>
    <w:rsid w:val="009D52B4"/>
    <w:rsid w:val="009E1958"/>
    <w:rsid w:val="009F14E1"/>
    <w:rsid w:val="009F646B"/>
    <w:rsid w:val="00A079C2"/>
    <w:rsid w:val="00A11712"/>
    <w:rsid w:val="00A138D3"/>
    <w:rsid w:val="00A2548F"/>
    <w:rsid w:val="00A34DE0"/>
    <w:rsid w:val="00A36042"/>
    <w:rsid w:val="00A37721"/>
    <w:rsid w:val="00A42EDC"/>
    <w:rsid w:val="00A5262F"/>
    <w:rsid w:val="00A57281"/>
    <w:rsid w:val="00A778F1"/>
    <w:rsid w:val="00A820AB"/>
    <w:rsid w:val="00A84857"/>
    <w:rsid w:val="00AB38AA"/>
    <w:rsid w:val="00AB7880"/>
    <w:rsid w:val="00AD6C46"/>
    <w:rsid w:val="00AD709F"/>
    <w:rsid w:val="00AE0798"/>
    <w:rsid w:val="00AE4FB5"/>
    <w:rsid w:val="00AF418E"/>
    <w:rsid w:val="00B00DFC"/>
    <w:rsid w:val="00B3203C"/>
    <w:rsid w:val="00B35601"/>
    <w:rsid w:val="00B46EE5"/>
    <w:rsid w:val="00B47B52"/>
    <w:rsid w:val="00B70EAD"/>
    <w:rsid w:val="00B77BAA"/>
    <w:rsid w:val="00B8255C"/>
    <w:rsid w:val="00BA3ADC"/>
    <w:rsid w:val="00BA67A4"/>
    <w:rsid w:val="00BC3FB1"/>
    <w:rsid w:val="00BD6D27"/>
    <w:rsid w:val="00BE133F"/>
    <w:rsid w:val="00BE351D"/>
    <w:rsid w:val="00BE4E24"/>
    <w:rsid w:val="00BF2BC9"/>
    <w:rsid w:val="00BF3697"/>
    <w:rsid w:val="00C01A34"/>
    <w:rsid w:val="00C048F5"/>
    <w:rsid w:val="00C1627D"/>
    <w:rsid w:val="00C26C4C"/>
    <w:rsid w:val="00C30090"/>
    <w:rsid w:val="00C41E1B"/>
    <w:rsid w:val="00C47667"/>
    <w:rsid w:val="00C605A3"/>
    <w:rsid w:val="00C62118"/>
    <w:rsid w:val="00C64543"/>
    <w:rsid w:val="00C67C46"/>
    <w:rsid w:val="00C941D7"/>
    <w:rsid w:val="00CA64C1"/>
    <w:rsid w:val="00CB1835"/>
    <w:rsid w:val="00CB3D5B"/>
    <w:rsid w:val="00CC5411"/>
    <w:rsid w:val="00CF3F01"/>
    <w:rsid w:val="00CF606A"/>
    <w:rsid w:val="00D03BF0"/>
    <w:rsid w:val="00D15964"/>
    <w:rsid w:val="00D16F26"/>
    <w:rsid w:val="00D24F0F"/>
    <w:rsid w:val="00D532B1"/>
    <w:rsid w:val="00D65B91"/>
    <w:rsid w:val="00D71539"/>
    <w:rsid w:val="00D724A5"/>
    <w:rsid w:val="00D856AB"/>
    <w:rsid w:val="00D85CFA"/>
    <w:rsid w:val="00D94877"/>
    <w:rsid w:val="00D954A8"/>
    <w:rsid w:val="00D96513"/>
    <w:rsid w:val="00DA24D9"/>
    <w:rsid w:val="00DA522F"/>
    <w:rsid w:val="00DA5551"/>
    <w:rsid w:val="00DB2539"/>
    <w:rsid w:val="00DC5F23"/>
    <w:rsid w:val="00DD590D"/>
    <w:rsid w:val="00DF4065"/>
    <w:rsid w:val="00DF679D"/>
    <w:rsid w:val="00E03AF2"/>
    <w:rsid w:val="00E070C4"/>
    <w:rsid w:val="00E15834"/>
    <w:rsid w:val="00E31222"/>
    <w:rsid w:val="00E3370D"/>
    <w:rsid w:val="00E571D7"/>
    <w:rsid w:val="00E57F70"/>
    <w:rsid w:val="00E73337"/>
    <w:rsid w:val="00E92C7C"/>
    <w:rsid w:val="00ED1616"/>
    <w:rsid w:val="00ED7607"/>
    <w:rsid w:val="00EE3229"/>
    <w:rsid w:val="00EE3FD4"/>
    <w:rsid w:val="00EF4195"/>
    <w:rsid w:val="00EF66A3"/>
    <w:rsid w:val="00F023BC"/>
    <w:rsid w:val="00F1485A"/>
    <w:rsid w:val="00F15834"/>
    <w:rsid w:val="00F22365"/>
    <w:rsid w:val="00F36489"/>
    <w:rsid w:val="00F402FA"/>
    <w:rsid w:val="00F45AAF"/>
    <w:rsid w:val="00F474DD"/>
    <w:rsid w:val="00F54D65"/>
    <w:rsid w:val="00F55175"/>
    <w:rsid w:val="00F554EF"/>
    <w:rsid w:val="00F55E3E"/>
    <w:rsid w:val="00F56B02"/>
    <w:rsid w:val="00F63B1A"/>
    <w:rsid w:val="00F75D55"/>
    <w:rsid w:val="00F975C9"/>
    <w:rsid w:val="00FA0CD0"/>
    <w:rsid w:val="00FA5146"/>
    <w:rsid w:val="00FA6885"/>
    <w:rsid w:val="00FB498D"/>
    <w:rsid w:val="00FE5184"/>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
    <w:basedOn w:val="Normal"/>
    <w:link w:val="ListParagraphChar"/>
    <w:uiPriority w:val="99"/>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
    <w:basedOn w:val="DefaultParagraphFont"/>
    <w:link w:val="ListParagraph"/>
    <w:uiPriority w:val="99"/>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character" w:styleId="LineNumber">
    <w:name w:val="line number"/>
    <w:basedOn w:val="DefaultParagraphFont"/>
    <w:uiPriority w:val="99"/>
    <w:semiHidden/>
    <w:unhideWhenUsed/>
    <w:rsid w:val="00496987"/>
  </w:style>
  <w:style w:type="paragraph" w:styleId="BlockText">
    <w:name w:val="Block Text"/>
    <w:basedOn w:val="Normal"/>
    <w:uiPriority w:val="99"/>
    <w:unhideWhenUsed/>
    <w:rsid w:val="008562C7"/>
    <w:pPr>
      <w:tabs>
        <w:tab w:val="left" w:pos="567"/>
      </w:tabs>
      <w:spacing w:after="0" w:line="240" w:lineRule="auto"/>
      <w:ind w:left="567" w:right="639"/>
      <w:jc w:val="both"/>
    </w:pPr>
    <w:rPr>
      <w:rFonts w:ascii="Verdana" w:eastAsia="Times" w:hAnsi="Verdana"/>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7"/>
    <w:rPr>
      <w:rFonts w:ascii="Calibri" w:eastAsia="Calibri" w:hAnsi="Calibri" w:cs="Times New Roman"/>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577097"/>
    <w:pPr>
      <w:spacing w:after="0" w:line="240" w:lineRule="auto"/>
    </w:pPr>
    <w:rPr>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77097"/>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57709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7097"/>
    <w:rPr>
      <w:rFonts w:ascii="Calibri" w:eastAsia="Calibri" w:hAnsi="Calibri" w:cs="Times New Roman"/>
      <w:lang w:val="es-CR"/>
    </w:rPr>
  </w:style>
  <w:style w:type="paragraph" w:styleId="Footer">
    <w:name w:val="footer"/>
    <w:basedOn w:val="Normal"/>
    <w:link w:val="FooterChar"/>
    <w:uiPriority w:val="99"/>
    <w:unhideWhenUsed/>
    <w:rsid w:val="0057709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7097"/>
    <w:rPr>
      <w:rFonts w:ascii="Calibri" w:eastAsia="Calibri" w:hAnsi="Calibri" w:cs="Times New Roman"/>
      <w:lang w:val="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577097"/>
    <w:rPr>
      <w:vertAlign w:val="superscript"/>
    </w:rPr>
  </w:style>
  <w:style w:type="character" w:styleId="PageNumber">
    <w:name w:val="page number"/>
    <w:basedOn w:val="DefaultParagraphFont"/>
    <w:uiPriority w:val="99"/>
    <w:rsid w:val="00577097"/>
  </w:style>
  <w:style w:type="paragraph" w:styleId="ListParagraph">
    <w:name w:val="List Paragraph"/>
    <w:aliases w:val="Footnote,Colorful List - Accent 11,List Paragraph1"/>
    <w:basedOn w:val="Normal"/>
    <w:link w:val="ListParagraphChar"/>
    <w:uiPriority w:val="99"/>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ListParagraphChar">
    <w:name w:val="List Paragraph Char"/>
    <w:aliases w:val="Footnote Char,Colorful List - Accent 11 Char,List Paragraph1 Char"/>
    <w:basedOn w:val="DefaultParagraphFont"/>
    <w:link w:val="ListParagraph"/>
    <w:uiPriority w:val="99"/>
    <w:rsid w:val="00577097"/>
    <w:rPr>
      <w:rFonts w:ascii="Calibri" w:eastAsia="Calibri" w:hAnsi="Calibri" w:cs="Times New Roman"/>
      <w:lang w:val="es-CR"/>
    </w:rPr>
  </w:style>
  <w:style w:type="character" w:styleId="Hyperlink">
    <w:name w:val="Hyperlink"/>
    <w:rsid w:val="00577097"/>
    <w:rPr>
      <w:strike w:val="0"/>
      <w:dstrike w:val="0"/>
      <w:color w:val="FFFFFF"/>
      <w:u w:val="none"/>
      <w:effect w:val="none"/>
    </w:rPr>
  </w:style>
  <w:style w:type="paragraph" w:styleId="BalloonText">
    <w:name w:val="Balloon Text"/>
    <w:basedOn w:val="Normal"/>
    <w:link w:val="BalloonTextChar"/>
    <w:uiPriority w:val="99"/>
    <w:semiHidden/>
    <w:unhideWhenUsed/>
    <w:rsid w:val="003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1"/>
    <w:rPr>
      <w:rFonts w:ascii="Tahoma" w:eastAsia="Calibri" w:hAnsi="Tahoma" w:cs="Tahoma"/>
      <w:sz w:val="16"/>
      <w:szCs w:val="16"/>
      <w:lang w:val="es-CR"/>
    </w:rPr>
  </w:style>
  <w:style w:type="character" w:styleId="CommentReference">
    <w:name w:val="annotation reference"/>
    <w:basedOn w:val="DefaultParagraphFont"/>
    <w:uiPriority w:val="99"/>
    <w:semiHidden/>
    <w:unhideWhenUsed/>
    <w:rsid w:val="003A32F1"/>
    <w:rPr>
      <w:sz w:val="16"/>
      <w:szCs w:val="16"/>
    </w:rPr>
  </w:style>
  <w:style w:type="paragraph" w:styleId="CommentText">
    <w:name w:val="annotation text"/>
    <w:basedOn w:val="Normal"/>
    <w:link w:val="CommentTextChar"/>
    <w:uiPriority w:val="99"/>
    <w:semiHidden/>
    <w:unhideWhenUsed/>
    <w:rsid w:val="003A32F1"/>
    <w:pPr>
      <w:spacing w:line="240" w:lineRule="auto"/>
    </w:pPr>
    <w:rPr>
      <w:sz w:val="20"/>
      <w:szCs w:val="20"/>
    </w:rPr>
  </w:style>
  <w:style w:type="character" w:customStyle="1" w:styleId="CommentTextChar">
    <w:name w:val="Comment Text Char"/>
    <w:basedOn w:val="DefaultParagraphFont"/>
    <w:link w:val="CommentText"/>
    <w:uiPriority w:val="99"/>
    <w:semiHidden/>
    <w:rsid w:val="003A32F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3A32F1"/>
    <w:rPr>
      <w:b/>
      <w:bCs/>
    </w:rPr>
  </w:style>
  <w:style w:type="character" w:customStyle="1" w:styleId="CommentSubjectChar">
    <w:name w:val="Comment Subject Char"/>
    <w:basedOn w:val="CommentTextChar"/>
    <w:link w:val="CommentSubject"/>
    <w:uiPriority w:val="99"/>
    <w:semiHidden/>
    <w:rsid w:val="003A32F1"/>
    <w:rPr>
      <w:rFonts w:ascii="Calibri" w:eastAsia="Calibri" w:hAnsi="Calibri" w:cs="Times New Roman"/>
      <w:b/>
      <w:bCs/>
      <w:sz w:val="20"/>
      <w:szCs w:val="20"/>
      <w:lang w:val="es-CR"/>
    </w:rPr>
  </w:style>
  <w:style w:type="character" w:styleId="LineNumber">
    <w:name w:val="line number"/>
    <w:basedOn w:val="DefaultParagraphFont"/>
    <w:uiPriority w:val="99"/>
    <w:semiHidden/>
    <w:unhideWhenUsed/>
    <w:rsid w:val="00496987"/>
  </w:style>
  <w:style w:type="paragraph" w:styleId="BlockText">
    <w:name w:val="Block Text"/>
    <w:basedOn w:val="Normal"/>
    <w:uiPriority w:val="99"/>
    <w:unhideWhenUsed/>
    <w:rsid w:val="008562C7"/>
    <w:pPr>
      <w:tabs>
        <w:tab w:val="left" w:pos="567"/>
      </w:tabs>
      <w:spacing w:after="0" w:line="240" w:lineRule="auto"/>
      <w:ind w:left="567" w:right="639"/>
      <w:jc w:val="both"/>
    </w:pPr>
    <w:rPr>
      <w:rFonts w:ascii="Verdana" w:eastAsia="Times" w:hAnsi="Verdana"/>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38-jurisprudencia/896-corte-idh-caso-escher-y-otros-vs-brasil-interpretacion-de-la-sentencia-de-excepciones-preliminares-fondo-reparaciones-y-costas-sentencia-de-20-de-noviembre-de-2009-serie-c-no-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0E44-34CB-4569-9985-81152E55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3924</Words>
  <Characters>21588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2016-12-06T17:15:00Z</cp:lastPrinted>
  <dcterms:created xsi:type="dcterms:W3CDTF">2016-12-06T16:02:00Z</dcterms:created>
  <dcterms:modified xsi:type="dcterms:W3CDTF">2016-12-06T17:15:00Z</dcterms:modified>
</cp:coreProperties>
</file>