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r w:rsidRPr="00BE133F">
        <w:rPr>
          <w:rFonts w:ascii="Verdana" w:eastAsia="Times New Roman" w:hAnsi="Verdana" w:cs="Verdana"/>
          <w:b/>
          <w:bCs/>
          <w:caps/>
          <w:snapToGrid w:val="0"/>
          <w:sz w:val="20"/>
          <w:szCs w:val="20"/>
          <w:lang w:eastAsia="es-ES"/>
        </w:rPr>
        <w:t>Corte Interamericana de Derechos Humanos</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spacing w:after="0" w:line="240" w:lineRule="auto"/>
        <w:jc w:val="center"/>
        <w:rPr>
          <w:rFonts w:ascii="Verdana" w:hAnsi="Verdana"/>
          <w:b/>
          <w:smallCaps/>
          <w:sz w:val="20"/>
          <w:szCs w:val="20"/>
        </w:rPr>
      </w:pPr>
      <w:r w:rsidRPr="00BE133F">
        <w:rPr>
          <w:rFonts w:ascii="Verdana" w:eastAsia="MS Mincho" w:hAnsi="Verdana"/>
          <w:b/>
          <w:sz w:val="20"/>
          <w:szCs w:val="20"/>
        </w:rPr>
        <w:t xml:space="preserve">CASO CANALES HUAPAYA Y OTROS </w:t>
      </w:r>
      <w:r w:rsidRPr="00BE133F">
        <w:rPr>
          <w:rFonts w:ascii="Verdana" w:eastAsia="MS Mincho" w:hAnsi="Verdana"/>
          <w:b/>
          <w:i/>
          <w:sz w:val="20"/>
          <w:szCs w:val="20"/>
        </w:rPr>
        <w:t>VS.</w:t>
      </w:r>
      <w:r w:rsidRPr="00BE133F">
        <w:rPr>
          <w:rFonts w:ascii="Verdana" w:eastAsia="MS Mincho" w:hAnsi="Verdana"/>
          <w:b/>
          <w:sz w:val="20"/>
          <w:szCs w:val="20"/>
        </w:rPr>
        <w:t xml:space="preserve"> PERÚ</w:t>
      </w:r>
    </w:p>
    <w:p w:rsidR="00577097" w:rsidRPr="00BE133F" w:rsidRDefault="00577097" w:rsidP="00577097">
      <w:pPr>
        <w:tabs>
          <w:tab w:val="left" w:pos="0"/>
          <w:tab w:val="left" w:pos="567"/>
        </w:tabs>
        <w:spacing w:after="0" w:line="240" w:lineRule="auto"/>
        <w:jc w:val="center"/>
        <w:rPr>
          <w:rFonts w:ascii="Verdana" w:eastAsia="Times New Roman" w:hAnsi="Verdana" w:cs="Verdana"/>
          <w:b/>
          <w:bCs/>
          <w:snapToGrid w:val="0"/>
          <w:sz w:val="20"/>
          <w:szCs w:val="20"/>
          <w:lang w:eastAsia="es-ES"/>
        </w:rPr>
      </w:pPr>
    </w:p>
    <w:p w:rsidR="00577097" w:rsidRPr="00BE133F" w:rsidRDefault="0037162C" w:rsidP="00577097">
      <w:pPr>
        <w:tabs>
          <w:tab w:val="left" w:pos="0"/>
          <w:tab w:val="left" w:pos="567"/>
        </w:tabs>
        <w:spacing w:after="0" w:line="240" w:lineRule="auto"/>
        <w:jc w:val="center"/>
        <w:rPr>
          <w:rFonts w:ascii="Verdana" w:eastAsia="Times New Roman" w:hAnsi="Verdana"/>
          <w:b/>
          <w:bCs/>
          <w:caps/>
          <w:snapToGrid w:val="0"/>
          <w:sz w:val="20"/>
          <w:szCs w:val="20"/>
          <w:lang w:eastAsia="es-ES"/>
        </w:rPr>
      </w:pPr>
      <w:r>
        <w:rPr>
          <w:rFonts w:ascii="Verdana" w:eastAsia="Times New Roman" w:hAnsi="Verdana" w:cs="Verdana"/>
          <w:b/>
          <w:bCs/>
          <w:snapToGrid w:val="0"/>
          <w:sz w:val="20"/>
          <w:szCs w:val="20"/>
          <w:lang w:eastAsia="es-ES"/>
        </w:rPr>
        <w:t>SENTENCIA DE 21</w:t>
      </w:r>
      <w:r w:rsidR="00577097" w:rsidRPr="00BE133F">
        <w:rPr>
          <w:rFonts w:ascii="Verdana" w:eastAsia="Times New Roman" w:hAnsi="Verdana" w:cs="Verdana"/>
          <w:b/>
          <w:bCs/>
          <w:snapToGrid w:val="0"/>
          <w:sz w:val="20"/>
          <w:szCs w:val="20"/>
          <w:lang w:eastAsia="es-ES"/>
        </w:rPr>
        <w:t xml:space="preserve"> DE </w:t>
      </w:r>
      <w:r w:rsidR="00D314FE">
        <w:rPr>
          <w:rFonts w:ascii="Verdana" w:eastAsia="Times New Roman" w:hAnsi="Verdana" w:cs="Verdana"/>
          <w:b/>
          <w:bCs/>
          <w:snapToGrid w:val="0"/>
          <w:sz w:val="20"/>
          <w:szCs w:val="20"/>
          <w:lang w:eastAsia="es-ES"/>
        </w:rPr>
        <w:t>NOVIEMBRE</w:t>
      </w:r>
      <w:r w:rsidR="00577097" w:rsidRPr="00BE133F">
        <w:rPr>
          <w:rFonts w:ascii="Verdana" w:eastAsia="Times New Roman" w:hAnsi="Verdana" w:cs="Verdana"/>
          <w:b/>
          <w:bCs/>
          <w:snapToGrid w:val="0"/>
          <w:sz w:val="20"/>
          <w:szCs w:val="20"/>
          <w:lang w:eastAsia="es-ES"/>
        </w:rPr>
        <w:t xml:space="preserve"> DE 2016</w:t>
      </w:r>
    </w:p>
    <w:p w:rsidR="00577097" w:rsidRPr="00BE133F" w:rsidRDefault="00577097" w:rsidP="00577097">
      <w:pPr>
        <w:tabs>
          <w:tab w:val="left" w:pos="567"/>
        </w:tabs>
        <w:spacing w:after="0" w:line="240" w:lineRule="auto"/>
        <w:jc w:val="center"/>
        <w:rPr>
          <w:rFonts w:ascii="Verdana" w:eastAsia="Times New Roman" w:hAnsi="Verdana"/>
          <w:sz w:val="20"/>
          <w:szCs w:val="20"/>
        </w:rPr>
      </w:pPr>
      <w:r w:rsidRPr="00BE133F">
        <w:rPr>
          <w:rFonts w:ascii="Verdana" w:eastAsia="Times New Roman" w:hAnsi="Verdana" w:cs="Verdana"/>
          <w:b/>
          <w:bCs/>
          <w:i/>
          <w:iCs/>
          <w:snapToGrid w:val="0"/>
          <w:sz w:val="20"/>
          <w:szCs w:val="20"/>
          <w:lang w:eastAsia="es-ES"/>
        </w:rPr>
        <w:t xml:space="preserve">(Interpretación de la Sentencia de </w:t>
      </w:r>
      <w:r w:rsidRPr="00BE133F">
        <w:rPr>
          <w:rFonts w:ascii="Verdana" w:hAnsi="Verdana"/>
          <w:b/>
          <w:i/>
          <w:sz w:val="20"/>
          <w:szCs w:val="20"/>
        </w:rPr>
        <w:t>Excepciones Preliminares, Fondo, Reparaciones y Costas</w:t>
      </w:r>
      <w:r w:rsidRPr="00BE133F">
        <w:rPr>
          <w:rFonts w:ascii="Verdana" w:hAnsi="Verdana"/>
          <w:b/>
          <w:i/>
          <w:caps/>
          <w:snapToGrid w:val="0"/>
          <w:sz w:val="20"/>
          <w:szCs w:val="20"/>
        </w:rPr>
        <w:t>)</w:t>
      </w:r>
    </w:p>
    <w:p w:rsidR="00577097" w:rsidRPr="00BE133F" w:rsidRDefault="00577097" w:rsidP="00577097">
      <w:pPr>
        <w:tabs>
          <w:tab w:val="left" w:pos="567"/>
          <w:tab w:val="left" w:pos="720"/>
        </w:tabs>
        <w:spacing w:after="0" w:line="240" w:lineRule="auto"/>
        <w:jc w:val="both"/>
        <w:rPr>
          <w:rFonts w:ascii="Verdana" w:eastAsia="Times New Roman" w:hAnsi="Verdana"/>
          <w:sz w:val="20"/>
          <w:szCs w:val="20"/>
        </w:rPr>
      </w:pPr>
    </w:p>
    <w:p w:rsidR="00577097" w:rsidRPr="00BE133F" w:rsidRDefault="00577097" w:rsidP="00577097">
      <w:pPr>
        <w:spacing w:after="0" w:line="240" w:lineRule="auto"/>
        <w:rPr>
          <w:rFonts w:ascii="Verdana" w:hAnsi="Verdana"/>
          <w:sz w:val="20"/>
          <w:szCs w:val="20"/>
          <w:highlight w:val="yellow"/>
        </w:rPr>
      </w:pPr>
    </w:p>
    <w:p w:rsidR="00577097" w:rsidRPr="00BE133F" w:rsidRDefault="00577097" w:rsidP="00577097">
      <w:pPr>
        <w:spacing w:after="0" w:line="240" w:lineRule="auto"/>
        <w:rPr>
          <w:rFonts w:ascii="Verdana" w:hAnsi="Verdana"/>
          <w:sz w:val="20"/>
          <w:szCs w:val="20"/>
          <w:highlight w:val="yellow"/>
        </w:rPr>
      </w:pPr>
      <w:bookmarkStart w:id="0" w:name="_GoBack"/>
      <w:bookmarkEnd w:id="0"/>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 xml:space="preserve">En el caso </w:t>
      </w:r>
      <w:r w:rsidR="007D0F6B" w:rsidRPr="00BE133F">
        <w:rPr>
          <w:rFonts w:ascii="Verdana" w:hAnsi="Verdana"/>
          <w:sz w:val="20"/>
          <w:szCs w:val="20"/>
        </w:rPr>
        <w:t>Canales Huapaya y otros Vs Perú</w:t>
      </w:r>
      <w:r w:rsidRPr="00BE133F">
        <w:rPr>
          <w:rFonts w:ascii="Verdana" w:hAnsi="Verdana"/>
          <w:sz w:val="20"/>
          <w:szCs w:val="20"/>
        </w:rPr>
        <w:t>,</w:t>
      </w:r>
      <w:r w:rsidRPr="00BE133F">
        <w:rPr>
          <w:rFonts w:ascii="Verdana" w:hAnsi="Verdana"/>
          <w:sz w:val="20"/>
          <w:szCs w:val="20"/>
        </w:rPr>
        <w:tab/>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la</w:t>
      </w:r>
      <w:proofErr w:type="gramEnd"/>
      <w:r w:rsidRPr="00BE133F">
        <w:rPr>
          <w:rFonts w:ascii="Verdana" w:hAnsi="Verdana"/>
          <w:sz w:val="20"/>
          <w:szCs w:val="20"/>
        </w:rPr>
        <w:t xml:space="preserve"> Corte Interamericana de Derechos Humanos (en adelante “la Corte Interamericana”, “la Corte” o “el Tribunal”), integrada por los siguientes jueces</w:t>
      </w:r>
      <w:r w:rsidR="007D0F6B" w:rsidRPr="00BE133F">
        <w:rPr>
          <w:rStyle w:val="FootnoteReference"/>
          <w:rFonts w:ascii="Verdana" w:hAnsi="Verdana"/>
          <w:sz w:val="20"/>
          <w:szCs w:val="20"/>
        </w:rPr>
        <w:footnoteReference w:customMarkFollows="1" w:id="1"/>
        <w:t>*</w:t>
      </w:r>
      <w:r w:rsidRPr="00BE133F">
        <w:rPr>
          <w:rFonts w:ascii="Verdana" w:hAnsi="Verdana"/>
          <w:sz w:val="20"/>
          <w:szCs w:val="20"/>
        </w:rPr>
        <w:t>:</w:t>
      </w:r>
    </w:p>
    <w:p w:rsidR="00577097" w:rsidRPr="00BE133F" w:rsidRDefault="00577097" w:rsidP="00577097">
      <w:pPr>
        <w:tabs>
          <w:tab w:val="left" w:pos="851"/>
        </w:tabs>
        <w:spacing w:after="0" w:line="240" w:lineRule="auto"/>
        <w:rPr>
          <w:rFonts w:ascii="Verdana" w:hAnsi="Verdana"/>
          <w:sz w:val="20"/>
          <w:szCs w:val="20"/>
        </w:rPr>
      </w:pPr>
    </w:p>
    <w:p w:rsidR="00577097" w:rsidRPr="0089460F" w:rsidRDefault="00B00DFC" w:rsidP="00577097">
      <w:pPr>
        <w:spacing w:after="0" w:line="240" w:lineRule="auto"/>
        <w:ind w:firstLine="720"/>
        <w:jc w:val="both"/>
        <w:rPr>
          <w:rFonts w:ascii="Verdana" w:hAnsi="Verdana" w:cs="Verdana"/>
          <w:sz w:val="20"/>
          <w:szCs w:val="20"/>
          <w:lang w:val="pt-BR"/>
        </w:rPr>
      </w:pPr>
      <w:r w:rsidRPr="0089460F">
        <w:rPr>
          <w:rFonts w:ascii="Verdana" w:hAnsi="Verdana" w:cs="Verdana"/>
          <w:sz w:val="20"/>
          <w:szCs w:val="20"/>
          <w:lang w:val="pt-BR"/>
        </w:rPr>
        <w:t>Roberto F. Caldas</w:t>
      </w:r>
      <w:r w:rsidR="00577097" w:rsidRPr="0089460F">
        <w:rPr>
          <w:rFonts w:ascii="Verdana" w:hAnsi="Verdana" w:cs="Verdana"/>
          <w:sz w:val="20"/>
          <w:szCs w:val="20"/>
          <w:lang w:val="pt-BR"/>
        </w:rPr>
        <w:t>, Presidente;</w:t>
      </w:r>
    </w:p>
    <w:p w:rsidR="00577097" w:rsidRPr="0089460F" w:rsidRDefault="00B00DFC" w:rsidP="00577097">
      <w:pPr>
        <w:spacing w:after="0" w:line="240" w:lineRule="auto"/>
        <w:ind w:firstLine="720"/>
        <w:jc w:val="both"/>
        <w:rPr>
          <w:rFonts w:ascii="Verdana" w:hAnsi="Verdana" w:cs="Verdana"/>
          <w:sz w:val="20"/>
          <w:szCs w:val="20"/>
          <w:lang w:val="pt-BR"/>
        </w:rPr>
      </w:pPr>
      <w:r w:rsidRPr="00B00DFC">
        <w:rPr>
          <w:rFonts w:ascii="Verdana" w:hAnsi="Verdana" w:cs="Verdana"/>
          <w:sz w:val="20"/>
          <w:szCs w:val="20"/>
          <w:lang w:val="pt-BR"/>
        </w:rPr>
        <w:t>Eduardo Ferrer Mac-Gregor Poisot</w:t>
      </w:r>
      <w:r w:rsidR="00577097" w:rsidRPr="0089460F">
        <w:rPr>
          <w:rFonts w:ascii="Verdana" w:hAnsi="Verdana" w:cs="Verdana"/>
          <w:sz w:val="20"/>
          <w:szCs w:val="20"/>
          <w:lang w:val="pt-BR"/>
        </w:rPr>
        <w:t>, Vicepresidente;</w:t>
      </w:r>
    </w:p>
    <w:p w:rsidR="00577097" w:rsidRPr="00B00DFC" w:rsidRDefault="00577097" w:rsidP="00577097">
      <w:pPr>
        <w:spacing w:after="0" w:line="240" w:lineRule="auto"/>
        <w:ind w:firstLine="720"/>
        <w:jc w:val="both"/>
        <w:rPr>
          <w:rFonts w:ascii="Verdana" w:hAnsi="Verdana" w:cs="Verdana"/>
          <w:sz w:val="20"/>
          <w:szCs w:val="20"/>
          <w:lang w:val="es-AR"/>
        </w:rPr>
      </w:pPr>
      <w:r w:rsidRPr="00B00DFC">
        <w:rPr>
          <w:rFonts w:ascii="Verdana" w:hAnsi="Verdana" w:cs="Verdana"/>
          <w:sz w:val="20"/>
          <w:szCs w:val="20"/>
          <w:lang w:val="es-AR"/>
        </w:rPr>
        <w:t>Manuel E. Ventura Robles, Juez;</w:t>
      </w:r>
    </w:p>
    <w:p w:rsidR="007D0F6B" w:rsidRPr="00B00DFC" w:rsidRDefault="007D0F6B" w:rsidP="00577097">
      <w:pPr>
        <w:spacing w:after="0" w:line="240" w:lineRule="auto"/>
        <w:ind w:firstLine="720"/>
        <w:jc w:val="both"/>
        <w:rPr>
          <w:rFonts w:ascii="Verdana" w:hAnsi="Verdana" w:cs="Verdana"/>
          <w:sz w:val="20"/>
          <w:szCs w:val="20"/>
          <w:lang w:val="es-AR"/>
        </w:rPr>
      </w:pPr>
      <w:r w:rsidRPr="00B00DFC">
        <w:rPr>
          <w:rFonts w:ascii="Verdana" w:hAnsi="Verdana" w:cs="Verdana"/>
          <w:sz w:val="20"/>
          <w:szCs w:val="20"/>
          <w:lang w:val="es-AR"/>
        </w:rPr>
        <w:t xml:space="preserve">Alberto Pérez </w:t>
      </w:r>
      <w:proofErr w:type="spellStart"/>
      <w:r w:rsidRPr="00B00DFC">
        <w:rPr>
          <w:rFonts w:ascii="Verdana" w:hAnsi="Verdana" w:cs="Verdana"/>
          <w:sz w:val="20"/>
          <w:szCs w:val="20"/>
          <w:lang w:val="es-AR"/>
        </w:rPr>
        <w:t>Pérez</w:t>
      </w:r>
      <w:proofErr w:type="spellEnd"/>
      <w:r w:rsidRPr="00B00DFC">
        <w:rPr>
          <w:rFonts w:ascii="Verdana" w:hAnsi="Verdana" w:cs="Verdana"/>
          <w:sz w:val="20"/>
          <w:szCs w:val="20"/>
          <w:lang w:val="es-AR"/>
        </w:rPr>
        <w:t>, Juez;</w:t>
      </w:r>
    </w:p>
    <w:p w:rsidR="00577097" w:rsidRPr="00B00DFC" w:rsidRDefault="00577097" w:rsidP="00577097">
      <w:pPr>
        <w:spacing w:after="0" w:line="240" w:lineRule="auto"/>
        <w:ind w:firstLine="720"/>
        <w:jc w:val="both"/>
        <w:rPr>
          <w:rFonts w:ascii="Verdana" w:hAnsi="Verdana" w:cs="Verdana"/>
          <w:sz w:val="20"/>
          <w:szCs w:val="20"/>
        </w:rPr>
      </w:pPr>
      <w:r w:rsidRPr="00B00DFC">
        <w:rPr>
          <w:rFonts w:ascii="Verdana" w:hAnsi="Verdana" w:cs="Verdana"/>
          <w:sz w:val="20"/>
          <w:szCs w:val="20"/>
        </w:rPr>
        <w:t>Eduardo Vio Grossi, Juez, y</w:t>
      </w:r>
    </w:p>
    <w:p w:rsidR="00B00DFC" w:rsidRPr="0089460F" w:rsidRDefault="00B00DFC" w:rsidP="00B00DFC">
      <w:pPr>
        <w:spacing w:after="0" w:line="240" w:lineRule="auto"/>
        <w:ind w:firstLine="720"/>
        <w:jc w:val="both"/>
        <w:rPr>
          <w:rFonts w:ascii="Verdana" w:hAnsi="Verdana" w:cs="Verdana"/>
          <w:sz w:val="20"/>
          <w:szCs w:val="20"/>
          <w:lang w:val="es-ES"/>
        </w:rPr>
      </w:pPr>
      <w:r w:rsidRPr="00B00DFC">
        <w:rPr>
          <w:rFonts w:ascii="Verdana" w:hAnsi="Verdana" w:cs="Verdana"/>
          <w:sz w:val="20"/>
          <w:szCs w:val="20"/>
          <w:lang w:val="es-AR"/>
        </w:rPr>
        <w:t>Humberto Antonio Sierra Porto</w:t>
      </w:r>
      <w:r w:rsidR="00577097" w:rsidRPr="0089460F">
        <w:rPr>
          <w:rFonts w:ascii="Verdana" w:hAnsi="Verdana" w:cs="Verdana"/>
          <w:sz w:val="20"/>
          <w:szCs w:val="20"/>
          <w:lang w:val="es-ES"/>
        </w:rPr>
        <w:t>, Juez</w:t>
      </w:r>
    </w:p>
    <w:p w:rsidR="00577097" w:rsidRPr="00E571D7" w:rsidRDefault="00577097" w:rsidP="00577097">
      <w:pPr>
        <w:tabs>
          <w:tab w:val="left" w:pos="851"/>
        </w:tabs>
        <w:spacing w:after="0" w:line="240" w:lineRule="auto"/>
        <w:rPr>
          <w:rFonts w:ascii="Verdana" w:hAnsi="Verdana"/>
          <w:sz w:val="20"/>
          <w:szCs w:val="20"/>
          <w:lang w:val="es-ES"/>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presentes</w:t>
      </w:r>
      <w:proofErr w:type="gramEnd"/>
      <w:r w:rsidRPr="00BE133F">
        <w:rPr>
          <w:rFonts w:ascii="Verdana" w:hAnsi="Verdana"/>
          <w:sz w:val="20"/>
          <w:szCs w:val="20"/>
        </w:rPr>
        <w:t xml:space="preserve"> además, </w:t>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Pablo Saavedra Alessandri, Secretario, y</w:t>
      </w:r>
    </w:p>
    <w:p w:rsidR="00577097" w:rsidRPr="00BE133F" w:rsidRDefault="00577097" w:rsidP="00577097">
      <w:pPr>
        <w:tabs>
          <w:tab w:val="left" w:pos="720"/>
          <w:tab w:val="left" w:pos="851"/>
        </w:tabs>
        <w:spacing w:after="0" w:line="240" w:lineRule="auto"/>
        <w:rPr>
          <w:rFonts w:ascii="Verdana" w:hAnsi="Verdana"/>
          <w:sz w:val="20"/>
          <w:szCs w:val="20"/>
        </w:rPr>
      </w:pPr>
      <w:r w:rsidRPr="00BE133F">
        <w:rPr>
          <w:rFonts w:ascii="Verdana" w:hAnsi="Verdana"/>
          <w:sz w:val="20"/>
          <w:szCs w:val="20"/>
        </w:rPr>
        <w:t>Emilia Segares Rodríguez, Secretaria Adjunta,</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de conformidad con el artículo 67 de la Convención Americana sobre Derechos Humanos (en adelante también “la Convención Americana” o “la Convención”) y el artículo 68 del Reglamento de la Corte (en adelante “el Reglamento”), resuelve las solicitudes de interpretación de la Sentencia de E</w:t>
      </w:r>
      <w:r w:rsidR="0040422A" w:rsidRPr="00BE133F">
        <w:rPr>
          <w:rFonts w:ascii="Verdana" w:hAnsi="Verdana" w:cs="Verdana"/>
          <w:sz w:val="20"/>
          <w:szCs w:val="20"/>
        </w:rPr>
        <w:t>xcepcio</w:t>
      </w:r>
      <w:r w:rsidRPr="00BE133F">
        <w:rPr>
          <w:rFonts w:ascii="Verdana" w:hAnsi="Verdana" w:cs="Verdana"/>
          <w:sz w:val="20"/>
          <w:szCs w:val="20"/>
        </w:rPr>
        <w:t>n</w:t>
      </w:r>
      <w:r w:rsidR="0040422A" w:rsidRPr="00BE133F">
        <w:rPr>
          <w:rFonts w:ascii="Verdana" w:hAnsi="Verdana" w:cs="Verdana"/>
          <w:sz w:val="20"/>
          <w:szCs w:val="20"/>
        </w:rPr>
        <w:t>es</w:t>
      </w:r>
      <w:r w:rsidRPr="00BE133F">
        <w:rPr>
          <w:rFonts w:ascii="Verdana" w:hAnsi="Verdana" w:cs="Verdana"/>
          <w:sz w:val="20"/>
          <w:szCs w:val="20"/>
        </w:rPr>
        <w:t xml:space="preserve"> Preliminar</w:t>
      </w:r>
      <w:r w:rsidR="0040422A" w:rsidRPr="00BE133F">
        <w:rPr>
          <w:rFonts w:ascii="Verdana" w:hAnsi="Verdana" w:cs="Verdana"/>
          <w:sz w:val="20"/>
          <w:szCs w:val="20"/>
        </w:rPr>
        <w:t>es</w:t>
      </w:r>
      <w:r w:rsidRPr="00BE133F">
        <w:rPr>
          <w:rFonts w:ascii="Verdana" w:hAnsi="Verdana" w:cs="Verdana"/>
          <w:sz w:val="20"/>
          <w:szCs w:val="20"/>
        </w:rPr>
        <w:t xml:space="preserve">, Fondo, Reparaciones y Costas emitida por este Tribunal el </w:t>
      </w:r>
      <w:r w:rsidR="0040422A" w:rsidRPr="00BE133F">
        <w:rPr>
          <w:rFonts w:ascii="Verdana" w:hAnsi="Verdana" w:cs="Verdana"/>
          <w:sz w:val="20"/>
          <w:szCs w:val="20"/>
        </w:rPr>
        <w:t>24 de junio de 2015</w:t>
      </w:r>
      <w:r w:rsidRPr="00BE133F">
        <w:rPr>
          <w:rFonts w:ascii="Verdana" w:hAnsi="Verdana" w:cs="Verdana"/>
          <w:sz w:val="20"/>
          <w:szCs w:val="20"/>
        </w:rPr>
        <w:t xml:space="preserve"> en el presente caso (en adelante también “la Sentencia”), interpuestas el </w:t>
      </w:r>
      <w:r w:rsidR="0040422A" w:rsidRPr="00BE133F">
        <w:rPr>
          <w:rFonts w:ascii="Verdana" w:hAnsi="Verdana" w:cs="Verdana"/>
          <w:sz w:val="20"/>
          <w:szCs w:val="20"/>
        </w:rPr>
        <w:t>10 de diciembre de 2015</w:t>
      </w:r>
      <w:r w:rsidRPr="00BE133F">
        <w:rPr>
          <w:rFonts w:ascii="Verdana" w:hAnsi="Verdana" w:cs="Verdana"/>
          <w:sz w:val="20"/>
          <w:szCs w:val="20"/>
        </w:rPr>
        <w:t xml:space="preserve"> por </w:t>
      </w:r>
      <w:r w:rsidR="0040422A" w:rsidRPr="00BE133F">
        <w:rPr>
          <w:rFonts w:ascii="Verdana" w:hAnsi="Verdana" w:cs="Verdana"/>
          <w:sz w:val="20"/>
          <w:szCs w:val="20"/>
        </w:rPr>
        <w:t>el</w:t>
      </w:r>
      <w:r w:rsidRPr="00BE133F">
        <w:rPr>
          <w:rFonts w:ascii="Verdana" w:hAnsi="Verdana" w:cs="Verdana"/>
          <w:sz w:val="20"/>
          <w:szCs w:val="20"/>
        </w:rPr>
        <w:t xml:space="preserve"> representante de la víctima </w:t>
      </w:r>
      <w:r w:rsidR="0040422A" w:rsidRPr="00BE133F">
        <w:rPr>
          <w:rFonts w:ascii="Verdana" w:hAnsi="Verdana" w:cs="Verdana"/>
          <w:sz w:val="20"/>
          <w:szCs w:val="20"/>
        </w:rPr>
        <w:t>Carlos Alberto Canales Huapaya</w:t>
      </w:r>
      <w:r w:rsidRPr="00BE133F">
        <w:rPr>
          <w:rFonts w:ascii="Verdana" w:hAnsi="Verdana" w:cs="Verdana"/>
          <w:sz w:val="20"/>
          <w:szCs w:val="20"/>
        </w:rPr>
        <w:t xml:space="preserve">, y el </w:t>
      </w:r>
      <w:r w:rsidR="0040422A" w:rsidRPr="00BE133F">
        <w:rPr>
          <w:rFonts w:ascii="Verdana" w:hAnsi="Verdana" w:cs="Verdana"/>
          <w:sz w:val="20"/>
          <w:szCs w:val="20"/>
        </w:rPr>
        <w:t>16</w:t>
      </w:r>
      <w:r w:rsidRPr="00BE133F">
        <w:rPr>
          <w:rFonts w:ascii="Verdana" w:hAnsi="Verdana" w:cs="Verdana"/>
          <w:sz w:val="20"/>
          <w:szCs w:val="20"/>
        </w:rPr>
        <w:t xml:space="preserve"> de diciembre de 201</w:t>
      </w:r>
      <w:r w:rsidR="0040422A" w:rsidRPr="00BE133F">
        <w:rPr>
          <w:rFonts w:ascii="Verdana" w:hAnsi="Verdana" w:cs="Verdana"/>
          <w:sz w:val="20"/>
          <w:szCs w:val="20"/>
        </w:rPr>
        <w:t>5</w:t>
      </w:r>
      <w:r w:rsidRPr="00BE133F">
        <w:rPr>
          <w:rFonts w:ascii="Verdana" w:hAnsi="Verdana" w:cs="Verdana"/>
          <w:sz w:val="20"/>
          <w:szCs w:val="20"/>
        </w:rPr>
        <w:t xml:space="preserve"> por </w:t>
      </w:r>
      <w:r w:rsidR="0040422A" w:rsidRPr="00BE133F">
        <w:rPr>
          <w:rFonts w:ascii="Verdana" w:hAnsi="Verdana" w:cs="Verdana"/>
          <w:sz w:val="20"/>
          <w:szCs w:val="20"/>
        </w:rPr>
        <w:t>el Estado del Perú</w:t>
      </w:r>
      <w:r w:rsidRPr="00BE133F">
        <w:rPr>
          <w:rFonts w:ascii="Verdana" w:hAnsi="Verdana" w:cs="Verdana"/>
          <w:sz w:val="20"/>
          <w:szCs w:val="20"/>
        </w:rPr>
        <w:t>.</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sz w:val="20"/>
          <w:szCs w:val="20"/>
        </w:rPr>
      </w:pPr>
      <w:r w:rsidRPr="00BE133F">
        <w:rPr>
          <w:rFonts w:ascii="Verdana" w:hAnsi="Verdana" w:cs="Verdana"/>
          <w:sz w:val="20"/>
          <w:szCs w:val="20"/>
        </w:rPr>
        <w:br w:type="page"/>
      </w:r>
      <w:r w:rsidRPr="00BE133F">
        <w:rPr>
          <w:rFonts w:ascii="Verdana" w:eastAsia="Times New Roman" w:hAnsi="Verdana" w:cs="Verdana"/>
          <w:b/>
          <w:bCs/>
          <w:iCs/>
          <w:caps/>
          <w:snapToGrid w:val="0"/>
          <w:sz w:val="20"/>
          <w:szCs w:val="20"/>
          <w:lang w:eastAsia="es-ES"/>
        </w:rPr>
        <w:lastRenderedPageBreak/>
        <w:t>I</w:t>
      </w:r>
    </w:p>
    <w:p w:rsidR="00577097" w:rsidRPr="00BE133F" w:rsidRDefault="00577097" w:rsidP="00577097">
      <w:pPr>
        <w:tabs>
          <w:tab w:val="left" w:pos="567"/>
        </w:tabs>
        <w:autoSpaceDE w:val="0"/>
        <w:autoSpaceDN w:val="0"/>
        <w:adjustRightInd w:val="0"/>
        <w:spacing w:after="0" w:line="240" w:lineRule="auto"/>
        <w:jc w:val="center"/>
        <w:rPr>
          <w:rFonts w:ascii="Verdana" w:eastAsia="Times" w:hAnsi="Verdana"/>
          <w:sz w:val="20"/>
          <w:szCs w:val="20"/>
          <w:lang w:eastAsia="es-ES"/>
        </w:rPr>
      </w:pPr>
      <w:r w:rsidRPr="00BE133F">
        <w:rPr>
          <w:rFonts w:ascii="Verdana" w:hAnsi="Verdana" w:cs="Verdana"/>
          <w:b/>
          <w:bCs/>
          <w:sz w:val="20"/>
          <w:szCs w:val="20"/>
        </w:rPr>
        <w:t>SOLICITUD DE INTERPRETACIÓN Y PROCEDIMIENTO ANTE LA CORTE</w:t>
      </w:r>
    </w:p>
    <w:p w:rsidR="00577097" w:rsidRPr="00BE133F" w:rsidRDefault="00577097" w:rsidP="00577097">
      <w:pPr>
        <w:tabs>
          <w:tab w:val="left" w:pos="567"/>
        </w:tabs>
        <w:spacing w:after="0" w:line="240" w:lineRule="auto"/>
        <w:jc w:val="both"/>
        <w:rPr>
          <w:rFonts w:ascii="Verdana" w:eastAsia="Times"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 xml:space="preserve">El </w:t>
      </w:r>
      <w:r w:rsidR="00BE4E24" w:rsidRPr="00BE133F">
        <w:rPr>
          <w:rFonts w:ascii="Verdana" w:hAnsi="Verdana" w:cs="Verdana"/>
          <w:sz w:val="20"/>
          <w:szCs w:val="20"/>
        </w:rPr>
        <w:t>24 de junio de 2015</w:t>
      </w:r>
      <w:r w:rsidRPr="00BE133F">
        <w:rPr>
          <w:rFonts w:ascii="Verdana" w:eastAsia="Times" w:hAnsi="Verdana"/>
          <w:sz w:val="20"/>
          <w:szCs w:val="20"/>
          <w:lang w:val="es-ES_tradnl"/>
        </w:rPr>
        <w:t xml:space="preserve"> la Corte emitió la Sentencia, la cual fue notificada a las partes y a la Comisión Interamericana de </w:t>
      </w:r>
      <w:r w:rsidRPr="00BE133F">
        <w:rPr>
          <w:rFonts w:ascii="Verdana" w:hAnsi="Verdana" w:cs="Verdana"/>
          <w:sz w:val="20"/>
          <w:szCs w:val="20"/>
        </w:rPr>
        <w:t xml:space="preserve">Derechos Humanos (en adelante “la Comisión Interamericana” o “la Comisión”) </w:t>
      </w:r>
      <w:r w:rsidRPr="00BE133F">
        <w:rPr>
          <w:rFonts w:ascii="Verdana" w:eastAsia="Times" w:hAnsi="Verdana"/>
          <w:sz w:val="20"/>
          <w:szCs w:val="20"/>
          <w:lang w:val="es-ES_tradnl"/>
        </w:rPr>
        <w:t xml:space="preserve">el </w:t>
      </w:r>
      <w:r w:rsidR="00BE4E24" w:rsidRPr="00BE133F">
        <w:rPr>
          <w:rFonts w:ascii="Verdana" w:eastAsia="Times" w:hAnsi="Verdana"/>
          <w:sz w:val="20"/>
          <w:szCs w:val="20"/>
          <w:lang w:val="es-ES_tradnl"/>
        </w:rPr>
        <w:t>17 de septiembre</w:t>
      </w:r>
      <w:r w:rsidRPr="00BE133F">
        <w:rPr>
          <w:rFonts w:ascii="Verdana" w:eastAsia="Times" w:hAnsi="Verdana"/>
          <w:sz w:val="20"/>
          <w:szCs w:val="20"/>
          <w:lang w:val="es-ES_tradnl"/>
        </w:rPr>
        <w:t xml:space="preserve"> del mismo año.</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rsidR="00577097" w:rsidRPr="00C941D7"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C941D7">
        <w:rPr>
          <w:rFonts w:ascii="Verdana" w:hAnsi="Verdana" w:cs="Verdana"/>
          <w:sz w:val="20"/>
          <w:szCs w:val="20"/>
        </w:rPr>
        <w:t xml:space="preserve">El </w:t>
      </w:r>
      <w:r w:rsidR="00BE4E24" w:rsidRPr="00C941D7">
        <w:rPr>
          <w:rFonts w:ascii="Verdana" w:hAnsi="Verdana" w:cs="Verdana"/>
          <w:sz w:val="20"/>
          <w:szCs w:val="20"/>
        </w:rPr>
        <w:t>10</w:t>
      </w:r>
      <w:r w:rsidRPr="00C941D7">
        <w:rPr>
          <w:rFonts w:ascii="Verdana" w:hAnsi="Verdana" w:cs="Verdana"/>
          <w:sz w:val="20"/>
          <w:szCs w:val="20"/>
        </w:rPr>
        <w:t xml:space="preserve"> de diciembre de </w:t>
      </w:r>
      <w:r w:rsidR="00BE4E24" w:rsidRPr="00C941D7">
        <w:rPr>
          <w:rFonts w:ascii="Verdana" w:hAnsi="Verdana" w:cs="Verdana"/>
          <w:sz w:val="20"/>
          <w:szCs w:val="20"/>
        </w:rPr>
        <w:t>2015</w:t>
      </w:r>
      <w:r w:rsidRPr="00C941D7">
        <w:rPr>
          <w:rFonts w:ascii="Verdana" w:hAnsi="Verdana" w:cs="Verdana"/>
          <w:sz w:val="20"/>
          <w:szCs w:val="20"/>
        </w:rPr>
        <w:t xml:space="preserve"> </w:t>
      </w:r>
      <w:r w:rsidR="00BE4E24" w:rsidRPr="00C941D7">
        <w:rPr>
          <w:rFonts w:ascii="Verdana" w:hAnsi="Verdana" w:cs="Verdana"/>
          <w:sz w:val="20"/>
          <w:szCs w:val="20"/>
        </w:rPr>
        <w:t>el</w:t>
      </w:r>
      <w:r w:rsidRPr="00C941D7">
        <w:rPr>
          <w:rFonts w:ascii="Verdana" w:hAnsi="Verdana" w:cs="Verdana"/>
          <w:sz w:val="20"/>
          <w:szCs w:val="20"/>
        </w:rPr>
        <w:t xml:space="preserve"> representante </w:t>
      </w:r>
      <w:r w:rsidR="00F22365" w:rsidRPr="00C941D7">
        <w:rPr>
          <w:rFonts w:ascii="Verdana" w:hAnsi="Verdana" w:cs="Verdana"/>
          <w:sz w:val="20"/>
          <w:szCs w:val="20"/>
        </w:rPr>
        <w:t>Mario</w:t>
      </w:r>
      <w:r w:rsidR="00CF3F01" w:rsidRPr="00C941D7">
        <w:rPr>
          <w:rFonts w:ascii="Verdana" w:hAnsi="Verdana" w:cs="Verdana"/>
          <w:sz w:val="20"/>
          <w:szCs w:val="20"/>
        </w:rPr>
        <w:t xml:space="preserve"> Canales Huapaya</w:t>
      </w:r>
      <w:r w:rsidR="005032B9">
        <w:rPr>
          <w:rStyle w:val="FootnoteReference"/>
          <w:rFonts w:ascii="Verdana" w:hAnsi="Verdana" w:cs="Verdana"/>
          <w:sz w:val="20"/>
          <w:szCs w:val="20"/>
        </w:rPr>
        <w:footnoteReference w:id="2"/>
      </w:r>
      <w:r w:rsidR="000E5DE4">
        <w:rPr>
          <w:rFonts w:ascii="Verdana" w:hAnsi="Verdana" w:cs="Verdana"/>
          <w:sz w:val="20"/>
          <w:szCs w:val="20"/>
        </w:rPr>
        <w:t xml:space="preserve"> </w:t>
      </w:r>
      <w:r w:rsidR="000E5DE4" w:rsidRPr="00BE133F">
        <w:rPr>
          <w:rFonts w:ascii="Verdana" w:hAnsi="Verdana" w:cs="Verdana"/>
          <w:sz w:val="20"/>
          <w:szCs w:val="20"/>
        </w:rPr>
        <w:t>(en adelante “</w:t>
      </w:r>
      <w:r w:rsidR="000E5DE4">
        <w:rPr>
          <w:rFonts w:ascii="Verdana" w:hAnsi="Verdana" w:cs="Verdana"/>
          <w:sz w:val="20"/>
          <w:szCs w:val="20"/>
        </w:rPr>
        <w:t>el representante</w:t>
      </w:r>
      <w:r w:rsidR="000E5DE4" w:rsidRPr="00BE133F">
        <w:rPr>
          <w:rFonts w:ascii="Verdana" w:hAnsi="Verdana" w:cs="Verdana"/>
          <w:sz w:val="20"/>
          <w:szCs w:val="20"/>
        </w:rPr>
        <w:t>”)</w:t>
      </w:r>
      <w:r w:rsidRPr="00C941D7">
        <w:rPr>
          <w:rFonts w:ascii="Verdana" w:hAnsi="Verdana" w:cs="Verdana"/>
          <w:sz w:val="20"/>
          <w:szCs w:val="20"/>
        </w:rPr>
        <w:t xml:space="preserve"> present</w:t>
      </w:r>
      <w:r w:rsidR="00CF3F01" w:rsidRPr="00C941D7">
        <w:rPr>
          <w:rFonts w:ascii="Verdana" w:hAnsi="Verdana" w:cs="Verdana"/>
          <w:sz w:val="20"/>
          <w:szCs w:val="20"/>
        </w:rPr>
        <w:t>ó</w:t>
      </w:r>
      <w:r w:rsidRPr="00C941D7">
        <w:rPr>
          <w:rFonts w:ascii="Verdana" w:hAnsi="Verdana" w:cs="Verdana"/>
          <w:sz w:val="20"/>
          <w:szCs w:val="20"/>
        </w:rPr>
        <w:t xml:space="preserve"> </w:t>
      </w:r>
      <w:bookmarkStart w:id="1" w:name="_Ref363085373"/>
      <w:r w:rsidRPr="00C941D7">
        <w:rPr>
          <w:rFonts w:ascii="Verdana" w:eastAsia="Times" w:hAnsi="Verdana"/>
          <w:bCs/>
          <w:sz w:val="20"/>
          <w:szCs w:val="20"/>
        </w:rPr>
        <w:t>una solicitud de interpretación de la Sentencia con relación a</w:t>
      </w:r>
      <w:r w:rsidR="003D1781">
        <w:rPr>
          <w:rFonts w:ascii="Verdana" w:eastAsia="Times" w:hAnsi="Verdana"/>
          <w:bCs/>
          <w:sz w:val="20"/>
          <w:szCs w:val="20"/>
        </w:rPr>
        <w:t xml:space="preserve">l párrafo 128 de la </w:t>
      </w:r>
      <w:r w:rsidR="00981FD6">
        <w:rPr>
          <w:rFonts w:ascii="Verdana" w:eastAsia="Times" w:hAnsi="Verdana"/>
          <w:bCs/>
          <w:sz w:val="20"/>
          <w:szCs w:val="20"/>
        </w:rPr>
        <w:t>misma</w:t>
      </w:r>
      <w:r w:rsidR="008D02E3">
        <w:rPr>
          <w:rFonts w:ascii="Verdana" w:eastAsia="Times" w:hAnsi="Verdana"/>
          <w:bCs/>
          <w:sz w:val="20"/>
          <w:szCs w:val="20"/>
        </w:rPr>
        <w:t>,</w:t>
      </w:r>
      <w:r w:rsidR="003D1781">
        <w:rPr>
          <w:rFonts w:ascii="Verdana" w:eastAsia="Times" w:hAnsi="Verdana"/>
          <w:bCs/>
          <w:sz w:val="20"/>
          <w:szCs w:val="20"/>
        </w:rPr>
        <w:t xml:space="preserve"> en </w:t>
      </w:r>
      <w:r w:rsidR="008D02E3">
        <w:rPr>
          <w:rFonts w:ascii="Verdana" w:eastAsia="Times" w:hAnsi="Verdana"/>
          <w:bCs/>
          <w:sz w:val="20"/>
          <w:szCs w:val="20"/>
        </w:rPr>
        <w:t>lo que respecta a la determinación de</w:t>
      </w:r>
      <w:r w:rsidR="00AE4FB5" w:rsidRPr="00C941D7">
        <w:rPr>
          <w:rFonts w:ascii="Verdana" w:eastAsia="Times" w:hAnsi="Verdana"/>
          <w:bCs/>
          <w:sz w:val="20"/>
          <w:szCs w:val="20"/>
        </w:rPr>
        <w:t xml:space="preserve"> la no violación del derecho a la igualdad </w:t>
      </w:r>
      <w:r w:rsidR="007D68C5" w:rsidRPr="00C941D7">
        <w:rPr>
          <w:rFonts w:ascii="Verdana" w:eastAsia="Times" w:hAnsi="Verdana"/>
          <w:bCs/>
          <w:sz w:val="20"/>
          <w:szCs w:val="20"/>
        </w:rPr>
        <w:t>de</w:t>
      </w:r>
      <w:r w:rsidR="00E862CA">
        <w:rPr>
          <w:rFonts w:ascii="Verdana" w:eastAsia="Times" w:hAnsi="Verdana"/>
          <w:bCs/>
          <w:sz w:val="20"/>
          <w:szCs w:val="20"/>
        </w:rPr>
        <w:t xml:space="preserve"> </w:t>
      </w:r>
      <w:r w:rsidR="00AE4FB5" w:rsidRPr="00C941D7">
        <w:rPr>
          <w:rFonts w:ascii="Verdana" w:eastAsia="Times" w:hAnsi="Verdana"/>
          <w:bCs/>
          <w:sz w:val="20"/>
          <w:szCs w:val="20"/>
        </w:rPr>
        <w:t>l</w:t>
      </w:r>
      <w:r w:rsidR="00E862CA">
        <w:rPr>
          <w:rFonts w:ascii="Verdana" w:eastAsia="Times" w:hAnsi="Verdana"/>
          <w:bCs/>
          <w:sz w:val="20"/>
          <w:szCs w:val="20"/>
        </w:rPr>
        <w:t>a víctima</w:t>
      </w:r>
      <w:r w:rsidR="00AE4FB5" w:rsidRPr="00C941D7">
        <w:rPr>
          <w:rFonts w:ascii="Verdana" w:eastAsia="Times" w:hAnsi="Verdana"/>
          <w:bCs/>
          <w:sz w:val="20"/>
          <w:szCs w:val="20"/>
        </w:rPr>
        <w:t xml:space="preserve"> Carlos Alberto Canales Huapaya</w:t>
      </w:r>
      <w:r w:rsidRPr="00C941D7">
        <w:rPr>
          <w:rFonts w:ascii="Verdana" w:eastAsia="Times" w:hAnsi="Verdana"/>
          <w:bCs/>
          <w:sz w:val="20"/>
          <w:szCs w:val="20"/>
        </w:rPr>
        <w:t xml:space="preserve">. </w:t>
      </w:r>
      <w:r w:rsidR="00AF418E" w:rsidRPr="00C941D7">
        <w:rPr>
          <w:rFonts w:ascii="Verdana" w:eastAsia="Times" w:hAnsi="Verdana"/>
          <w:bCs/>
          <w:sz w:val="20"/>
          <w:szCs w:val="20"/>
        </w:rPr>
        <w:t xml:space="preserve">Además, el representante presentó </w:t>
      </w:r>
      <w:r w:rsidR="00F023BC">
        <w:rPr>
          <w:rFonts w:ascii="Verdana" w:eastAsia="Times" w:hAnsi="Verdana"/>
          <w:bCs/>
          <w:sz w:val="20"/>
          <w:szCs w:val="20"/>
        </w:rPr>
        <w:t>“apreciaciones”</w:t>
      </w:r>
      <w:r w:rsidR="00AF418E" w:rsidRPr="00C941D7">
        <w:rPr>
          <w:rFonts w:ascii="Verdana" w:eastAsia="Times" w:hAnsi="Verdana"/>
          <w:bCs/>
          <w:sz w:val="20"/>
          <w:szCs w:val="20"/>
        </w:rPr>
        <w:t xml:space="preserve"> respecto al monto de la indemnizaci</w:t>
      </w:r>
      <w:r w:rsidR="005B7A9B" w:rsidRPr="00C941D7">
        <w:rPr>
          <w:rFonts w:ascii="Verdana" w:eastAsia="Times" w:hAnsi="Verdana"/>
          <w:bCs/>
          <w:sz w:val="20"/>
          <w:szCs w:val="20"/>
        </w:rPr>
        <w:t xml:space="preserve">ón compensatoria y </w:t>
      </w:r>
      <w:r w:rsidR="00AF418E" w:rsidRPr="00C941D7">
        <w:rPr>
          <w:rFonts w:ascii="Verdana" w:eastAsia="Times" w:hAnsi="Verdana"/>
          <w:bCs/>
          <w:sz w:val="20"/>
          <w:szCs w:val="20"/>
        </w:rPr>
        <w:t xml:space="preserve">el pago del daño material. </w:t>
      </w:r>
    </w:p>
    <w:p w:rsidR="00C941D7" w:rsidRPr="00C941D7" w:rsidRDefault="00C941D7" w:rsidP="00C941D7">
      <w:pPr>
        <w:tabs>
          <w:tab w:val="left" w:pos="567"/>
        </w:tabs>
        <w:autoSpaceDE w:val="0"/>
        <w:autoSpaceDN w:val="0"/>
        <w:adjustRightInd w:val="0"/>
        <w:spacing w:after="0" w:line="240" w:lineRule="auto"/>
        <w:jc w:val="both"/>
        <w:rPr>
          <w:rFonts w:ascii="Verdana" w:hAnsi="Verdana" w:cs="Verdana"/>
          <w:sz w:val="20"/>
          <w:szCs w:val="20"/>
          <w:u w:val="single"/>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BE133F">
        <w:rPr>
          <w:rFonts w:ascii="Verdana" w:eastAsia="Times" w:hAnsi="Verdana"/>
          <w:bCs/>
          <w:sz w:val="20"/>
          <w:szCs w:val="20"/>
        </w:rPr>
        <w:t xml:space="preserve">El </w:t>
      </w:r>
      <w:r w:rsidR="00A820AB" w:rsidRPr="00BE133F">
        <w:rPr>
          <w:rFonts w:ascii="Verdana" w:eastAsia="Times" w:hAnsi="Verdana"/>
          <w:bCs/>
          <w:sz w:val="20"/>
          <w:szCs w:val="20"/>
        </w:rPr>
        <w:t>16</w:t>
      </w:r>
      <w:r w:rsidRPr="00BE133F">
        <w:rPr>
          <w:rFonts w:ascii="Verdana" w:eastAsia="Times" w:hAnsi="Verdana"/>
          <w:bCs/>
          <w:sz w:val="20"/>
          <w:szCs w:val="20"/>
        </w:rPr>
        <w:t xml:space="preserve"> de diciembre de 201</w:t>
      </w:r>
      <w:r w:rsidR="00A820AB" w:rsidRPr="00BE133F">
        <w:rPr>
          <w:rFonts w:ascii="Verdana" w:eastAsia="Times" w:hAnsi="Verdana"/>
          <w:bCs/>
          <w:sz w:val="20"/>
          <w:szCs w:val="20"/>
        </w:rPr>
        <w:t>5</w:t>
      </w:r>
      <w:r w:rsidRPr="00BE133F">
        <w:rPr>
          <w:rFonts w:ascii="Verdana" w:eastAsia="Times" w:hAnsi="Verdana"/>
          <w:bCs/>
          <w:sz w:val="20"/>
          <w:szCs w:val="20"/>
        </w:rPr>
        <w:t xml:space="preserve"> </w:t>
      </w:r>
      <w:r w:rsidR="00A820AB" w:rsidRPr="00BE133F">
        <w:rPr>
          <w:rFonts w:ascii="Verdana" w:eastAsia="Times" w:hAnsi="Verdana"/>
          <w:bCs/>
          <w:sz w:val="20"/>
          <w:szCs w:val="20"/>
        </w:rPr>
        <w:t>el Estado presentó</w:t>
      </w:r>
      <w:r w:rsidRPr="00BE133F">
        <w:rPr>
          <w:rFonts w:ascii="Verdana" w:eastAsia="Times" w:hAnsi="Verdana"/>
          <w:bCs/>
          <w:sz w:val="20"/>
          <w:szCs w:val="20"/>
        </w:rPr>
        <w:t xml:space="preserve"> una solicitud de interpretación de la Sentencia con relación a</w:t>
      </w:r>
      <w:r w:rsidR="004A4B1A">
        <w:rPr>
          <w:rFonts w:ascii="Verdana" w:eastAsia="Times" w:hAnsi="Verdana"/>
          <w:bCs/>
          <w:sz w:val="20"/>
          <w:szCs w:val="20"/>
        </w:rPr>
        <w:t xml:space="preserve">l párrafo 190 de la </w:t>
      </w:r>
      <w:r w:rsidR="00981FD6">
        <w:rPr>
          <w:rFonts w:ascii="Verdana" w:eastAsia="Times" w:hAnsi="Verdana"/>
          <w:bCs/>
          <w:sz w:val="20"/>
          <w:szCs w:val="20"/>
        </w:rPr>
        <w:t>misma</w:t>
      </w:r>
      <w:r w:rsidR="004A4B1A">
        <w:rPr>
          <w:rFonts w:ascii="Verdana" w:eastAsia="Times" w:hAnsi="Verdana"/>
          <w:bCs/>
          <w:sz w:val="20"/>
          <w:szCs w:val="20"/>
        </w:rPr>
        <w:t>, en lo relativo a que</w:t>
      </w:r>
      <w:r w:rsidR="005A6020">
        <w:rPr>
          <w:rFonts w:ascii="Verdana" w:eastAsia="Times" w:hAnsi="Verdana"/>
          <w:bCs/>
          <w:sz w:val="20"/>
          <w:szCs w:val="20"/>
        </w:rPr>
        <w:t>,</w:t>
      </w:r>
      <w:r w:rsidR="004A4B1A">
        <w:rPr>
          <w:rFonts w:ascii="Verdana" w:eastAsia="Times" w:hAnsi="Verdana"/>
          <w:bCs/>
          <w:sz w:val="20"/>
          <w:szCs w:val="20"/>
        </w:rPr>
        <w:t xml:space="preserve"> como consecuencia de un “cese arbitrario”</w:t>
      </w:r>
      <w:r w:rsidR="005A6020">
        <w:rPr>
          <w:rFonts w:ascii="Verdana" w:eastAsia="Times" w:hAnsi="Verdana"/>
          <w:bCs/>
          <w:sz w:val="20"/>
          <w:szCs w:val="20"/>
        </w:rPr>
        <w:t>,</w:t>
      </w:r>
      <w:r w:rsidR="004A4B1A">
        <w:rPr>
          <w:rFonts w:ascii="Verdana" w:eastAsia="Times" w:hAnsi="Verdana"/>
          <w:bCs/>
          <w:sz w:val="20"/>
          <w:szCs w:val="20"/>
        </w:rPr>
        <w:t xml:space="preserve"> las víctimas del presente caso </w:t>
      </w:r>
      <w:r w:rsidR="00981FD6">
        <w:rPr>
          <w:rFonts w:ascii="Verdana" w:eastAsia="Times" w:hAnsi="Verdana"/>
          <w:bCs/>
          <w:sz w:val="20"/>
          <w:szCs w:val="20"/>
        </w:rPr>
        <w:t>debían recibir</w:t>
      </w:r>
      <w:r w:rsidR="004A4B1A">
        <w:rPr>
          <w:rFonts w:ascii="Verdana" w:eastAsia="Times" w:hAnsi="Verdana"/>
          <w:bCs/>
          <w:sz w:val="20"/>
          <w:szCs w:val="20"/>
        </w:rPr>
        <w:t xml:space="preserve"> una suma por los aportes pensionarios que no lleg</w:t>
      </w:r>
      <w:r w:rsidR="00372F18">
        <w:rPr>
          <w:rFonts w:ascii="Verdana" w:eastAsia="Times" w:hAnsi="Verdana"/>
          <w:bCs/>
          <w:sz w:val="20"/>
          <w:szCs w:val="20"/>
        </w:rPr>
        <w:t>aron a ingresar a su patrimonio. El Estado señaló que lo anterior</w:t>
      </w:r>
      <w:r w:rsidR="004A4B1A">
        <w:rPr>
          <w:rFonts w:ascii="Verdana" w:eastAsia="Times" w:hAnsi="Verdana"/>
          <w:bCs/>
          <w:sz w:val="20"/>
          <w:szCs w:val="20"/>
        </w:rPr>
        <w:t xml:space="preserve"> resultaría contradictorio con lo señalado en</w:t>
      </w:r>
      <w:r w:rsidR="00372F18">
        <w:rPr>
          <w:rFonts w:ascii="Verdana" w:eastAsia="Times" w:hAnsi="Verdana"/>
          <w:bCs/>
          <w:sz w:val="20"/>
          <w:szCs w:val="20"/>
        </w:rPr>
        <w:t xml:space="preserve"> el párrafo 114 de</w:t>
      </w:r>
      <w:r w:rsidR="004A4B1A">
        <w:rPr>
          <w:rFonts w:ascii="Verdana" w:eastAsia="Times" w:hAnsi="Verdana"/>
          <w:bCs/>
          <w:sz w:val="20"/>
          <w:szCs w:val="20"/>
        </w:rPr>
        <w:t xml:space="preserve"> la Sentencia</w:t>
      </w:r>
      <w:r w:rsidR="00372F18">
        <w:rPr>
          <w:rFonts w:ascii="Verdana" w:eastAsia="Times" w:hAnsi="Verdana"/>
          <w:bCs/>
          <w:sz w:val="20"/>
          <w:szCs w:val="20"/>
        </w:rPr>
        <w:t>,</w:t>
      </w:r>
      <w:r w:rsidR="004A4B1A">
        <w:rPr>
          <w:rFonts w:ascii="Verdana" w:eastAsia="Times" w:hAnsi="Verdana"/>
          <w:bCs/>
          <w:sz w:val="20"/>
          <w:szCs w:val="20"/>
        </w:rPr>
        <w:t xml:space="preserve"> respecto a que no era objeto del caso determinar el carácter arbitrario del cese de las víctimas</w:t>
      </w:r>
      <w:r w:rsidRPr="00BE133F">
        <w:rPr>
          <w:rFonts w:ascii="Verdana" w:eastAsia="Times" w:hAnsi="Verdana"/>
          <w:bCs/>
          <w:sz w:val="20"/>
          <w:szCs w:val="20"/>
        </w:rPr>
        <w:t>.</w:t>
      </w:r>
      <w:r w:rsidRPr="00BE133F">
        <w:rPr>
          <w:rFonts w:ascii="Verdana" w:hAnsi="Verdana" w:cs="Verdana"/>
          <w:sz w:val="20"/>
          <w:szCs w:val="20"/>
          <w:u w:val="single"/>
        </w:rPr>
        <w:t xml:space="preserve"> </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u w:val="single"/>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2" w:name="_Ref324683819"/>
      <w:bookmarkStart w:id="3" w:name="_Ref364679847"/>
      <w:bookmarkEnd w:id="1"/>
      <w:r w:rsidRPr="00BE133F">
        <w:rPr>
          <w:rFonts w:ascii="Verdana" w:hAnsi="Verdana" w:cs="Verdana"/>
          <w:sz w:val="20"/>
          <w:szCs w:val="20"/>
        </w:rPr>
        <w:t xml:space="preserve">El </w:t>
      </w:r>
      <w:r w:rsidR="00632CB0" w:rsidRPr="00BE133F">
        <w:rPr>
          <w:rFonts w:ascii="Verdana" w:hAnsi="Verdana" w:cs="Verdana"/>
          <w:sz w:val="20"/>
          <w:szCs w:val="20"/>
        </w:rPr>
        <w:t xml:space="preserve">7 </w:t>
      </w:r>
      <w:r w:rsidR="00067A54" w:rsidRPr="00BE133F">
        <w:rPr>
          <w:rFonts w:ascii="Verdana" w:hAnsi="Verdana" w:cs="Verdana"/>
          <w:sz w:val="20"/>
          <w:szCs w:val="20"/>
        </w:rPr>
        <w:t xml:space="preserve">y 21 </w:t>
      </w:r>
      <w:r w:rsidR="00632CB0" w:rsidRPr="00BE133F">
        <w:rPr>
          <w:rFonts w:ascii="Verdana" w:hAnsi="Verdana" w:cs="Verdana"/>
          <w:sz w:val="20"/>
          <w:szCs w:val="20"/>
        </w:rPr>
        <w:t>de enero de 2016 el representante</w:t>
      </w:r>
      <w:r w:rsidR="003016B2" w:rsidRPr="00BE133F">
        <w:rPr>
          <w:rFonts w:ascii="Verdana" w:hAnsi="Verdana" w:cs="Verdana"/>
          <w:sz w:val="20"/>
          <w:szCs w:val="20"/>
        </w:rPr>
        <w:t xml:space="preserve"> presentó sus observaciones escritas a la solicitud de interpretación</w:t>
      </w:r>
      <w:r w:rsidRPr="00BE133F">
        <w:rPr>
          <w:rFonts w:ascii="Verdana" w:hAnsi="Verdana" w:cs="Verdana"/>
          <w:sz w:val="20"/>
          <w:szCs w:val="20"/>
        </w:rPr>
        <w:t xml:space="preserve"> </w:t>
      </w:r>
      <w:r w:rsidR="003016B2" w:rsidRPr="00BE133F">
        <w:rPr>
          <w:rFonts w:ascii="Verdana" w:hAnsi="Verdana" w:cs="Verdana"/>
          <w:sz w:val="20"/>
          <w:szCs w:val="20"/>
        </w:rPr>
        <w:t>d</w:t>
      </w:r>
      <w:r w:rsidRPr="00BE133F">
        <w:rPr>
          <w:rFonts w:ascii="Verdana" w:hAnsi="Verdana" w:cs="Verdana"/>
          <w:sz w:val="20"/>
          <w:szCs w:val="20"/>
        </w:rPr>
        <w:t>el Estado</w:t>
      </w:r>
      <w:r w:rsidR="003016B2" w:rsidRPr="00BE133F">
        <w:rPr>
          <w:rFonts w:ascii="Verdana" w:hAnsi="Verdana" w:cs="Verdana"/>
          <w:sz w:val="20"/>
          <w:szCs w:val="20"/>
        </w:rPr>
        <w:t>. El 18 de enero de 2016 el Estado presentó sus observaciones escritas a la solicitud de interpretación del representante</w:t>
      </w:r>
      <w:r w:rsidR="008500AF" w:rsidRPr="00BE133F">
        <w:rPr>
          <w:rFonts w:ascii="Verdana" w:hAnsi="Verdana" w:cs="Verdana"/>
          <w:sz w:val="20"/>
          <w:szCs w:val="20"/>
        </w:rPr>
        <w:t>; en la misma fecha la víctima José Castro Ballena</w:t>
      </w:r>
      <w:r w:rsidR="00E03AF2">
        <w:rPr>
          <w:rFonts w:ascii="Verdana" w:hAnsi="Verdana" w:cs="Verdana"/>
          <w:sz w:val="20"/>
          <w:szCs w:val="20"/>
        </w:rPr>
        <w:t xml:space="preserve"> </w:t>
      </w:r>
      <w:r w:rsidR="00E03AF2" w:rsidRPr="00BE133F">
        <w:rPr>
          <w:rFonts w:ascii="Verdana" w:hAnsi="Verdana" w:cs="Verdana"/>
          <w:sz w:val="20"/>
          <w:szCs w:val="20"/>
        </w:rPr>
        <w:t>presentó sus observaciones escritas a la solicitud de interpretación del Estado</w:t>
      </w:r>
      <w:r w:rsidR="00CB1835">
        <w:rPr>
          <w:rStyle w:val="FootnoteReference"/>
          <w:rFonts w:ascii="Verdana" w:hAnsi="Verdana" w:cs="Verdana"/>
          <w:sz w:val="20"/>
          <w:szCs w:val="20"/>
        </w:rPr>
        <w:footnoteReference w:id="3"/>
      </w:r>
      <w:r w:rsidR="003016B2" w:rsidRPr="00BE133F">
        <w:rPr>
          <w:rFonts w:ascii="Verdana" w:hAnsi="Verdana" w:cs="Verdana"/>
          <w:sz w:val="20"/>
          <w:szCs w:val="20"/>
        </w:rPr>
        <w:t xml:space="preserve">. </w:t>
      </w:r>
      <w:r w:rsidR="00F56B02" w:rsidRPr="00BE133F">
        <w:rPr>
          <w:rFonts w:ascii="Verdana" w:hAnsi="Verdana" w:cs="Verdana"/>
          <w:sz w:val="20"/>
          <w:szCs w:val="20"/>
        </w:rPr>
        <w:t>El 21 de enero de 2016</w:t>
      </w:r>
      <w:r w:rsidRPr="00BE133F">
        <w:rPr>
          <w:rFonts w:ascii="Verdana" w:hAnsi="Verdana" w:cs="Verdana"/>
          <w:sz w:val="20"/>
          <w:szCs w:val="20"/>
        </w:rPr>
        <w:t xml:space="preserve"> la Comisión </w:t>
      </w:r>
      <w:r w:rsidR="00F56B02" w:rsidRPr="00BE133F">
        <w:rPr>
          <w:rFonts w:ascii="Verdana" w:hAnsi="Verdana" w:cs="Verdana"/>
          <w:sz w:val="20"/>
          <w:szCs w:val="20"/>
        </w:rPr>
        <w:t>presentó</w:t>
      </w:r>
      <w:r w:rsidRPr="00BE133F">
        <w:rPr>
          <w:rFonts w:ascii="Verdana" w:hAnsi="Verdana" w:cs="Verdana"/>
          <w:sz w:val="20"/>
          <w:szCs w:val="20"/>
        </w:rPr>
        <w:t xml:space="preserve"> sus observaciones escritas respecto de las referidas solicitudes de interpretación.</w:t>
      </w:r>
      <w:bookmarkEnd w:id="2"/>
      <w:r w:rsidRPr="00BE133F">
        <w:rPr>
          <w:rFonts w:ascii="Verdana" w:hAnsi="Verdana" w:cs="Verdana"/>
          <w:sz w:val="20"/>
          <w:szCs w:val="20"/>
        </w:rPr>
        <w:t xml:space="preserve"> </w:t>
      </w:r>
      <w:bookmarkEnd w:id="3"/>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b/>
          <w:color w:val="00B050"/>
          <w:sz w:val="20"/>
          <w:szCs w:val="20"/>
        </w:rPr>
      </w:pP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II</w:t>
      </w: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COMPETENCIA</w:t>
      </w:r>
    </w:p>
    <w:p w:rsidR="00577097" w:rsidRPr="00BE133F" w:rsidRDefault="00577097" w:rsidP="00577097">
      <w:pPr>
        <w:tabs>
          <w:tab w:val="left" w:pos="567"/>
        </w:tabs>
        <w:spacing w:after="0" w:line="240" w:lineRule="auto"/>
        <w:ind w:left="720"/>
        <w:jc w:val="both"/>
        <w:rPr>
          <w:rFonts w:ascii="Verdana" w:eastAsia="Batang"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4" w:name="_Ref361668910"/>
      <w:r w:rsidRPr="00BE133F">
        <w:rPr>
          <w:rFonts w:ascii="Verdana" w:eastAsia="Times" w:hAnsi="Verdana"/>
          <w:sz w:val="20"/>
          <w:szCs w:val="20"/>
        </w:rPr>
        <w:t>El artículo 67 de la Convención establece que:</w:t>
      </w:r>
      <w:bookmarkEnd w:id="4"/>
    </w:p>
    <w:p w:rsidR="00577097" w:rsidRPr="00BE133F" w:rsidRDefault="00577097" w:rsidP="00577097">
      <w:pPr>
        <w:tabs>
          <w:tab w:val="left" w:pos="567"/>
        </w:tabs>
        <w:autoSpaceDE w:val="0"/>
        <w:autoSpaceDN w:val="0"/>
        <w:adjustRightInd w:val="0"/>
        <w:spacing w:after="0" w:line="240" w:lineRule="auto"/>
        <w:jc w:val="both"/>
        <w:rPr>
          <w:rFonts w:ascii="Verdana" w:eastAsia="Times" w:hAnsi="Verdana"/>
          <w:bCs/>
          <w:sz w:val="20"/>
          <w:szCs w:val="20"/>
          <w:lang w:val="es-ES_tradnl"/>
        </w:rPr>
      </w:pPr>
    </w:p>
    <w:p w:rsidR="00577097" w:rsidRPr="007274AC" w:rsidRDefault="00577097" w:rsidP="007274AC">
      <w:pPr>
        <w:pStyle w:val="BlockText"/>
      </w:pPr>
      <w:r w:rsidRPr="007274AC">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577097" w:rsidRPr="00BE133F" w:rsidRDefault="00577097" w:rsidP="00577097">
      <w:pPr>
        <w:tabs>
          <w:tab w:val="left" w:pos="567"/>
        </w:tabs>
        <w:spacing w:after="0" w:line="240" w:lineRule="auto"/>
        <w:ind w:left="720" w:right="639"/>
        <w:jc w:val="both"/>
        <w:rPr>
          <w:rFonts w:ascii="Verdana" w:eastAsia="Times" w:hAnsi="Verdana"/>
          <w:sz w:val="20"/>
          <w:szCs w:val="20"/>
          <w:lang w:val="es-ES_tradnl"/>
        </w:rPr>
      </w:pPr>
    </w:p>
    <w:p w:rsidR="009D52B4" w:rsidRPr="00C82D0E" w:rsidRDefault="00577097" w:rsidP="00C82D0E">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r w:rsidRPr="00BE133F">
        <w:rPr>
          <w:rFonts w:ascii="Verdana" w:eastAsia="Times" w:hAnsi="Verdana"/>
          <w:sz w:val="20"/>
          <w:szCs w:val="20"/>
        </w:rPr>
        <w:t>De conformidad con el artículo citado, la Corte es competente para interpretar sus fallos. Para realizar el examen de la solicitud de interpretación y resolver lo que a este respecto corresponda, el Tribunal debe tener, si es posible, la misma composición que tenía al dictar la Sentencia respectiva, de acuerdo con el artículo 68.3 del Reglamento. En esta ocasión, la Corte se integra por los mismos jueces que dictaron la Sentencia</w:t>
      </w:r>
      <w:bookmarkStart w:id="5" w:name="_Ref364680909"/>
      <w:r w:rsidRPr="00BE133F">
        <w:rPr>
          <w:rFonts w:ascii="Verdana" w:eastAsia="Times" w:hAnsi="Verdana"/>
          <w:sz w:val="20"/>
          <w:szCs w:val="20"/>
        </w:rPr>
        <w:t>.</w:t>
      </w:r>
      <w:bookmarkEnd w:id="5"/>
    </w:p>
    <w:p w:rsidR="00A57281" w:rsidRDefault="00A57281" w:rsidP="00577097">
      <w:pPr>
        <w:tabs>
          <w:tab w:val="left" w:pos="567"/>
        </w:tabs>
        <w:autoSpaceDE w:val="0"/>
        <w:autoSpaceDN w:val="0"/>
        <w:adjustRightInd w:val="0"/>
        <w:spacing w:after="0" w:line="240" w:lineRule="auto"/>
        <w:jc w:val="center"/>
        <w:rPr>
          <w:rFonts w:ascii="Verdana" w:hAnsi="Verdana" w:cs="Verdana"/>
          <w:b/>
          <w:sz w:val="20"/>
          <w:szCs w:val="20"/>
        </w:rPr>
      </w:pPr>
    </w:p>
    <w:p w:rsidR="00C82D0E" w:rsidRDefault="00C82D0E" w:rsidP="00577097">
      <w:pPr>
        <w:tabs>
          <w:tab w:val="left" w:pos="567"/>
        </w:tabs>
        <w:autoSpaceDE w:val="0"/>
        <w:autoSpaceDN w:val="0"/>
        <w:adjustRightInd w:val="0"/>
        <w:spacing w:after="0" w:line="240" w:lineRule="auto"/>
        <w:jc w:val="center"/>
        <w:rPr>
          <w:rFonts w:ascii="Verdana" w:hAnsi="Verdana" w:cs="Verdana"/>
          <w:b/>
          <w:sz w:val="20"/>
          <w:szCs w:val="20"/>
        </w:rPr>
      </w:pPr>
    </w:p>
    <w:p w:rsidR="00C82D0E" w:rsidRDefault="00C82D0E" w:rsidP="00577097">
      <w:pPr>
        <w:tabs>
          <w:tab w:val="left" w:pos="567"/>
        </w:tabs>
        <w:autoSpaceDE w:val="0"/>
        <w:autoSpaceDN w:val="0"/>
        <w:adjustRightInd w:val="0"/>
        <w:spacing w:after="0" w:line="240" w:lineRule="auto"/>
        <w:jc w:val="center"/>
        <w:rPr>
          <w:rFonts w:ascii="Verdana" w:hAnsi="Verdana" w:cs="Verdana"/>
          <w:b/>
          <w:sz w:val="20"/>
          <w:szCs w:val="20"/>
        </w:rPr>
      </w:pPr>
    </w:p>
    <w:p w:rsidR="00C82D0E" w:rsidRDefault="00C82D0E" w:rsidP="00577097">
      <w:pPr>
        <w:tabs>
          <w:tab w:val="left" w:pos="567"/>
        </w:tabs>
        <w:autoSpaceDE w:val="0"/>
        <w:autoSpaceDN w:val="0"/>
        <w:adjustRightInd w:val="0"/>
        <w:spacing w:after="0" w:line="240" w:lineRule="auto"/>
        <w:jc w:val="center"/>
        <w:rPr>
          <w:rFonts w:ascii="Verdana" w:hAnsi="Verdana" w:cs="Verdana"/>
          <w:b/>
          <w:sz w:val="20"/>
          <w:szCs w:val="20"/>
        </w:rPr>
      </w:pP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lastRenderedPageBreak/>
        <w:t>III</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ADMISIBILIDAD</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bookmarkStart w:id="6" w:name="_Ref363125960"/>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eastAsia="Times" w:hAnsi="Verdana"/>
          <w:sz w:val="20"/>
          <w:szCs w:val="20"/>
          <w:lang w:val="es-ES_tradnl"/>
        </w:rPr>
        <w:t xml:space="preserve">Corresponde a la Corte verificar si las solicitudes presentadas por </w:t>
      </w:r>
      <w:r w:rsidR="00D724A5" w:rsidRPr="00BE133F">
        <w:rPr>
          <w:rFonts w:ascii="Verdana" w:eastAsia="Times" w:hAnsi="Verdana"/>
          <w:sz w:val="20"/>
          <w:szCs w:val="20"/>
          <w:lang w:val="es-ES_tradnl"/>
        </w:rPr>
        <w:t>el</w:t>
      </w:r>
      <w:r w:rsidRPr="00BE133F">
        <w:rPr>
          <w:rFonts w:ascii="Verdana" w:eastAsia="Times" w:hAnsi="Verdana"/>
          <w:sz w:val="20"/>
          <w:szCs w:val="20"/>
          <w:lang w:val="es-ES_tradnl"/>
        </w:rPr>
        <w:t xml:space="preserve"> representante y </w:t>
      </w:r>
      <w:r w:rsidR="00D724A5" w:rsidRPr="00BE133F">
        <w:rPr>
          <w:rFonts w:ascii="Verdana" w:eastAsia="Times" w:hAnsi="Verdana"/>
          <w:sz w:val="20"/>
          <w:szCs w:val="20"/>
          <w:lang w:val="es-ES_tradnl"/>
        </w:rPr>
        <w:t>el Estado</w:t>
      </w:r>
      <w:r w:rsidRPr="00BE133F">
        <w:rPr>
          <w:rFonts w:ascii="Verdana" w:eastAsia="Times" w:hAnsi="Verdana"/>
          <w:sz w:val="20"/>
          <w:szCs w:val="20"/>
          <w:lang w:val="es-ES_tradnl"/>
        </w:rPr>
        <w:t xml:space="preserve"> cumplen con los requisitos establecidos en las normas aplicables a una solicitud de interpretación de Sentencia, a saber, el artículo 67 de la Convención, anteriormente citado, y el artículo 68 del Reglamento que dispone, en lo pertinente, que:</w:t>
      </w:r>
      <w:bookmarkEnd w:id="6"/>
    </w:p>
    <w:p w:rsidR="00577097" w:rsidRPr="00BE133F" w:rsidRDefault="00577097" w:rsidP="00577097">
      <w:pPr>
        <w:tabs>
          <w:tab w:val="left" w:pos="567"/>
        </w:tabs>
        <w:spacing w:after="0" w:line="240" w:lineRule="auto"/>
        <w:rPr>
          <w:rFonts w:ascii="Verdana" w:eastAsia="Times" w:hAnsi="Verdana"/>
          <w:sz w:val="20"/>
          <w:szCs w:val="20"/>
        </w:rPr>
      </w:pPr>
    </w:p>
    <w:p w:rsidR="00577097" w:rsidRPr="007274AC" w:rsidRDefault="00577097" w:rsidP="00577097">
      <w:pPr>
        <w:tabs>
          <w:tab w:val="left" w:pos="567"/>
        </w:tabs>
        <w:spacing w:after="0" w:line="240" w:lineRule="auto"/>
        <w:ind w:left="567" w:right="720"/>
        <w:jc w:val="both"/>
        <w:rPr>
          <w:rFonts w:ascii="Verdana" w:eastAsia="Times" w:hAnsi="Verdana"/>
          <w:sz w:val="18"/>
          <w:szCs w:val="18"/>
          <w:lang w:val="es-ES_tradnl"/>
        </w:rPr>
      </w:pPr>
      <w:r w:rsidRPr="007274AC">
        <w:rPr>
          <w:rFonts w:ascii="Verdana" w:eastAsia="Times" w:hAnsi="Verdana"/>
          <w:sz w:val="18"/>
          <w:szCs w:val="18"/>
          <w:lang w:val="es-ES_tradnl"/>
        </w:rPr>
        <w:t>1.</w:t>
      </w:r>
      <w:r w:rsidRPr="007274AC">
        <w:rPr>
          <w:rFonts w:ascii="Verdana" w:eastAsia="Times" w:hAnsi="Verdana"/>
          <w:sz w:val="18"/>
          <w:szCs w:val="18"/>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577097" w:rsidRPr="007274AC" w:rsidRDefault="00577097" w:rsidP="00577097">
      <w:pPr>
        <w:tabs>
          <w:tab w:val="left" w:pos="567"/>
        </w:tabs>
        <w:spacing w:after="0" w:line="240" w:lineRule="auto"/>
        <w:ind w:left="567" w:right="720"/>
        <w:rPr>
          <w:rFonts w:ascii="Verdana" w:eastAsia="Times" w:hAnsi="Verdana"/>
          <w:sz w:val="18"/>
          <w:szCs w:val="18"/>
          <w:lang w:val="es-ES_tradnl"/>
        </w:rPr>
      </w:pPr>
      <w:r w:rsidRPr="007274AC">
        <w:rPr>
          <w:rFonts w:ascii="Verdana" w:eastAsia="Times" w:hAnsi="Verdana"/>
          <w:sz w:val="18"/>
          <w:szCs w:val="18"/>
          <w:lang w:val="es-ES_tradnl"/>
        </w:rPr>
        <w:t>[…]</w:t>
      </w:r>
    </w:p>
    <w:p w:rsidR="00577097" w:rsidRPr="007274AC" w:rsidRDefault="00577097" w:rsidP="00577097">
      <w:pPr>
        <w:tabs>
          <w:tab w:val="left" w:pos="567"/>
        </w:tabs>
        <w:spacing w:after="0" w:line="240" w:lineRule="auto"/>
        <w:ind w:left="567" w:right="720"/>
        <w:rPr>
          <w:rFonts w:ascii="Verdana" w:eastAsia="Times" w:hAnsi="Verdana"/>
          <w:sz w:val="18"/>
          <w:szCs w:val="18"/>
          <w:lang w:val="es-ES_tradnl"/>
        </w:rPr>
      </w:pPr>
    </w:p>
    <w:p w:rsidR="00577097" w:rsidRPr="007274AC" w:rsidRDefault="00577097" w:rsidP="00577097">
      <w:pPr>
        <w:tabs>
          <w:tab w:val="left" w:pos="567"/>
        </w:tabs>
        <w:spacing w:after="0" w:line="240" w:lineRule="auto"/>
        <w:ind w:left="567" w:right="720"/>
        <w:jc w:val="both"/>
        <w:rPr>
          <w:rFonts w:ascii="Verdana" w:eastAsia="Times" w:hAnsi="Verdana"/>
          <w:sz w:val="18"/>
          <w:szCs w:val="18"/>
          <w:lang w:val="es-ES_tradnl"/>
        </w:rPr>
      </w:pPr>
      <w:r w:rsidRPr="007274AC">
        <w:rPr>
          <w:rFonts w:ascii="Verdana" w:eastAsia="Times" w:hAnsi="Verdana"/>
          <w:sz w:val="18"/>
          <w:szCs w:val="18"/>
          <w:lang w:val="es-ES_tradnl"/>
        </w:rPr>
        <w:t>4.</w:t>
      </w:r>
      <w:r w:rsidRPr="007274AC">
        <w:rPr>
          <w:rFonts w:ascii="Verdana" w:eastAsia="Times" w:hAnsi="Verdana"/>
          <w:sz w:val="18"/>
          <w:szCs w:val="18"/>
          <w:lang w:val="es-ES_tradnl"/>
        </w:rPr>
        <w:tab/>
        <w:t>La solicitud de interpretación no suspenderá la ejecución de la sentencia.</w:t>
      </w:r>
    </w:p>
    <w:p w:rsidR="00577097" w:rsidRPr="007274AC" w:rsidRDefault="00577097" w:rsidP="00577097">
      <w:pPr>
        <w:tabs>
          <w:tab w:val="left" w:pos="567"/>
        </w:tabs>
        <w:spacing w:after="0" w:line="240" w:lineRule="auto"/>
        <w:ind w:left="567" w:right="702"/>
        <w:jc w:val="both"/>
        <w:rPr>
          <w:rFonts w:ascii="Verdana" w:eastAsia="Times" w:hAnsi="Verdana"/>
          <w:sz w:val="18"/>
          <w:szCs w:val="18"/>
          <w:lang w:val="es-ES_tradnl"/>
        </w:rPr>
      </w:pPr>
    </w:p>
    <w:p w:rsidR="00577097" w:rsidRPr="007274AC" w:rsidRDefault="00577097" w:rsidP="00577097">
      <w:pPr>
        <w:tabs>
          <w:tab w:val="left" w:pos="567"/>
        </w:tabs>
        <w:spacing w:after="0" w:line="240" w:lineRule="auto"/>
        <w:ind w:left="567" w:right="702"/>
        <w:jc w:val="both"/>
        <w:rPr>
          <w:rFonts w:ascii="Verdana" w:eastAsia="Times" w:hAnsi="Verdana"/>
          <w:sz w:val="18"/>
          <w:szCs w:val="18"/>
          <w:lang w:val="es-ES_tradnl"/>
        </w:rPr>
      </w:pPr>
      <w:r w:rsidRPr="007274AC">
        <w:rPr>
          <w:rFonts w:ascii="Verdana" w:eastAsia="Times" w:hAnsi="Verdana"/>
          <w:sz w:val="18"/>
          <w:szCs w:val="18"/>
          <w:lang w:val="es-ES_tradnl"/>
        </w:rPr>
        <w:t>5.</w:t>
      </w:r>
      <w:r w:rsidRPr="007274AC">
        <w:rPr>
          <w:rFonts w:ascii="Verdana" w:eastAsia="Times" w:hAnsi="Verdana"/>
          <w:sz w:val="18"/>
          <w:szCs w:val="18"/>
          <w:lang w:val="es-ES_tradnl"/>
        </w:rPr>
        <w:tab/>
        <w:t xml:space="preserve">La Corte determinará el procedimiento que se seguirá y resolverá mediante una sentencia. </w:t>
      </w:r>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bookmarkStart w:id="7" w:name="_Ref363125964"/>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Asimismo, el artículo 31.3 del Reglamento establece que “[c]</w:t>
      </w:r>
      <w:proofErr w:type="spellStart"/>
      <w:r w:rsidRPr="00BE133F">
        <w:rPr>
          <w:rFonts w:ascii="Verdana" w:eastAsia="Times" w:hAnsi="Verdana"/>
          <w:sz w:val="20"/>
          <w:szCs w:val="20"/>
          <w:lang w:val="es-ES_tradnl"/>
        </w:rPr>
        <w:t>ontra</w:t>
      </w:r>
      <w:proofErr w:type="spellEnd"/>
      <w:r w:rsidRPr="00BE133F">
        <w:rPr>
          <w:rFonts w:ascii="Verdana" w:eastAsia="Times" w:hAnsi="Verdana"/>
          <w:sz w:val="20"/>
          <w:szCs w:val="20"/>
          <w:lang w:val="es-ES_tradnl"/>
        </w:rPr>
        <w:t xml:space="preserve"> las sentencias y resoluciones de la Corte no procede ningún medio de impugnación”.</w:t>
      </w:r>
      <w:bookmarkEnd w:id="7"/>
    </w:p>
    <w:p w:rsidR="00577097" w:rsidRPr="00BE133F" w:rsidRDefault="00577097" w:rsidP="00577097">
      <w:pPr>
        <w:tabs>
          <w:tab w:val="left" w:pos="567"/>
        </w:tabs>
        <w:spacing w:after="0" w:line="240" w:lineRule="auto"/>
        <w:ind w:left="720"/>
        <w:jc w:val="both"/>
        <w:rPr>
          <w:rFonts w:ascii="Verdana" w:eastAsia="Batang" w:hAnsi="Verdana"/>
          <w:sz w:val="20"/>
          <w:szCs w:val="20"/>
          <w:lang w:val="es-ES_tradnl"/>
        </w:rPr>
      </w:pPr>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 xml:space="preserve">La Corte observa que </w:t>
      </w:r>
      <w:r w:rsidR="00B35601" w:rsidRPr="00BE133F">
        <w:rPr>
          <w:rFonts w:ascii="Verdana" w:eastAsia="Times" w:hAnsi="Verdana"/>
          <w:sz w:val="20"/>
          <w:szCs w:val="20"/>
          <w:lang w:val="es-ES_tradnl"/>
        </w:rPr>
        <w:t>el</w:t>
      </w:r>
      <w:r w:rsidRPr="00BE133F">
        <w:rPr>
          <w:rFonts w:ascii="Verdana" w:eastAsia="Times" w:hAnsi="Verdana"/>
          <w:sz w:val="20"/>
          <w:szCs w:val="20"/>
          <w:lang w:val="es-ES_tradnl"/>
        </w:rPr>
        <w:t xml:space="preserve"> representante </w:t>
      </w:r>
      <w:r w:rsidR="00B35601" w:rsidRPr="00BE133F">
        <w:rPr>
          <w:rFonts w:ascii="Verdana" w:eastAsia="Times" w:hAnsi="Verdana"/>
          <w:sz w:val="20"/>
          <w:szCs w:val="20"/>
          <w:lang w:val="es-ES_tradnl"/>
        </w:rPr>
        <w:t>remitió</w:t>
      </w:r>
      <w:r w:rsidRPr="00BE133F">
        <w:rPr>
          <w:rFonts w:ascii="Verdana" w:eastAsia="Times" w:hAnsi="Verdana"/>
          <w:sz w:val="20"/>
          <w:szCs w:val="20"/>
          <w:lang w:val="es-ES_tradnl"/>
        </w:rPr>
        <w:t xml:space="preserve"> la solicitud de interpretación el </w:t>
      </w:r>
      <w:r w:rsidR="00B35601" w:rsidRPr="00BE133F">
        <w:rPr>
          <w:rFonts w:ascii="Verdana" w:eastAsia="Times" w:hAnsi="Verdana"/>
          <w:sz w:val="20"/>
          <w:szCs w:val="20"/>
          <w:lang w:val="es-ES_tradnl"/>
        </w:rPr>
        <w:t>10</w:t>
      </w:r>
      <w:r w:rsidRPr="00BE133F">
        <w:rPr>
          <w:rFonts w:ascii="Verdana" w:eastAsia="Times" w:hAnsi="Verdana"/>
          <w:sz w:val="20"/>
          <w:szCs w:val="20"/>
          <w:lang w:val="es-ES_tradnl"/>
        </w:rPr>
        <w:t xml:space="preserve"> de diciembre de 201</w:t>
      </w:r>
      <w:r w:rsidR="00B35601" w:rsidRPr="00BE133F">
        <w:rPr>
          <w:rFonts w:ascii="Verdana" w:eastAsia="Times" w:hAnsi="Verdana"/>
          <w:sz w:val="20"/>
          <w:szCs w:val="20"/>
          <w:lang w:val="es-ES_tradnl"/>
        </w:rPr>
        <w:t>5</w:t>
      </w:r>
      <w:r w:rsidRPr="00BE133F">
        <w:rPr>
          <w:rFonts w:ascii="Verdana" w:eastAsia="Times" w:hAnsi="Verdana"/>
          <w:sz w:val="20"/>
          <w:szCs w:val="20"/>
          <w:lang w:val="es-ES_tradnl"/>
        </w:rPr>
        <w:t xml:space="preserve">, y </w:t>
      </w:r>
      <w:r w:rsidR="00B35601" w:rsidRPr="00BE133F">
        <w:rPr>
          <w:rFonts w:ascii="Verdana" w:eastAsia="Times" w:hAnsi="Verdana"/>
          <w:sz w:val="20"/>
          <w:szCs w:val="20"/>
          <w:lang w:val="es-ES_tradnl"/>
        </w:rPr>
        <w:t>el Estado lo hizo</w:t>
      </w:r>
      <w:r w:rsidRPr="00BE133F">
        <w:rPr>
          <w:rFonts w:ascii="Verdana" w:eastAsia="Times" w:hAnsi="Verdana"/>
          <w:sz w:val="20"/>
          <w:szCs w:val="20"/>
          <w:lang w:val="es-ES_tradnl"/>
        </w:rPr>
        <w:t xml:space="preserve"> el </w:t>
      </w:r>
      <w:r w:rsidR="00B35601" w:rsidRPr="00BE133F">
        <w:rPr>
          <w:rFonts w:ascii="Verdana" w:eastAsia="Times" w:hAnsi="Verdana"/>
          <w:sz w:val="20"/>
          <w:szCs w:val="20"/>
          <w:lang w:val="es-ES_tradnl"/>
        </w:rPr>
        <w:t>16</w:t>
      </w:r>
      <w:r w:rsidRPr="00BE133F">
        <w:rPr>
          <w:rFonts w:ascii="Verdana" w:eastAsia="Times" w:hAnsi="Verdana"/>
          <w:sz w:val="20"/>
          <w:szCs w:val="20"/>
          <w:lang w:val="es-ES_tradnl"/>
        </w:rPr>
        <w:t xml:space="preserve"> de diciembre de 201</w:t>
      </w:r>
      <w:r w:rsidR="00B35601" w:rsidRPr="00BE133F">
        <w:rPr>
          <w:rFonts w:ascii="Verdana" w:eastAsia="Times" w:hAnsi="Verdana"/>
          <w:sz w:val="20"/>
          <w:szCs w:val="20"/>
          <w:lang w:val="es-ES_tradnl"/>
        </w:rPr>
        <w:t>5</w:t>
      </w:r>
      <w:r w:rsidRPr="00BE133F">
        <w:rPr>
          <w:rFonts w:ascii="Verdana" w:eastAsia="Times" w:hAnsi="Verdana"/>
          <w:sz w:val="20"/>
          <w:szCs w:val="20"/>
          <w:lang w:val="es-ES_tradnl"/>
        </w:rPr>
        <w:t xml:space="preserve">, ambos dentro del plazo establecido en el artículo 67 de la Convención, ya que la </w:t>
      </w:r>
      <w:r w:rsidR="001241EC">
        <w:rPr>
          <w:rFonts w:ascii="Verdana" w:eastAsia="Times" w:hAnsi="Verdana"/>
          <w:sz w:val="20"/>
          <w:szCs w:val="20"/>
          <w:lang w:val="es-ES_tradnl"/>
        </w:rPr>
        <w:t>Sentencia</w:t>
      </w:r>
      <w:r w:rsidRPr="00BE133F">
        <w:rPr>
          <w:rFonts w:ascii="Verdana" w:eastAsia="Times" w:hAnsi="Verdana"/>
          <w:sz w:val="20"/>
          <w:szCs w:val="20"/>
          <w:lang w:val="es-ES_tradnl"/>
        </w:rPr>
        <w:t xml:space="preserve"> fue notificada el </w:t>
      </w:r>
      <w:r w:rsidR="00B35601" w:rsidRPr="00BE133F">
        <w:rPr>
          <w:rFonts w:ascii="Verdana" w:eastAsia="Times" w:hAnsi="Verdana"/>
          <w:sz w:val="20"/>
          <w:szCs w:val="20"/>
          <w:lang w:val="es-ES_tradnl"/>
        </w:rPr>
        <w:t>17 de septiembre de 2015</w:t>
      </w:r>
      <w:r w:rsidRPr="00BE133F">
        <w:rPr>
          <w:rFonts w:ascii="Verdana" w:eastAsia="Times" w:hAnsi="Verdana"/>
          <w:sz w:val="20"/>
          <w:szCs w:val="20"/>
          <w:lang w:val="es-ES_tradnl"/>
        </w:rPr>
        <w:t xml:space="preserve">. Por ende, las solicitudes resultan admisibles en lo que se refiere al plazo de su presentación. En cuanto a los demás requisitos, la Corte realizará el análisis respectivo al examinar el contenido de </w:t>
      </w:r>
      <w:r w:rsidR="003A32F1">
        <w:rPr>
          <w:rFonts w:ascii="Verdana" w:eastAsia="Times" w:hAnsi="Verdana"/>
          <w:sz w:val="20"/>
          <w:szCs w:val="20"/>
          <w:lang w:val="es-ES_tradnl"/>
        </w:rPr>
        <w:t>cada</w:t>
      </w:r>
      <w:r w:rsidRPr="00BE133F">
        <w:rPr>
          <w:rFonts w:ascii="Verdana" w:eastAsia="Times" w:hAnsi="Verdana"/>
          <w:sz w:val="20"/>
          <w:szCs w:val="20"/>
          <w:lang w:val="es-ES_tradnl"/>
        </w:rPr>
        <w:t xml:space="preserve"> solicitud de interpretación en el próximo capítulo.</w:t>
      </w:r>
    </w:p>
    <w:p w:rsidR="00577097" w:rsidRPr="00BE133F" w:rsidRDefault="00577097" w:rsidP="00577097">
      <w:pPr>
        <w:tabs>
          <w:tab w:val="left" w:pos="567"/>
        </w:tabs>
        <w:spacing w:after="0" w:line="240" w:lineRule="auto"/>
        <w:jc w:val="both"/>
        <w:rPr>
          <w:rFonts w:ascii="Verdana" w:eastAsia="Times" w:hAnsi="Verdana"/>
          <w:sz w:val="20"/>
          <w:szCs w:val="20"/>
          <w:u w:val="single"/>
          <w:lang w:val="es-ES_tradnl"/>
        </w:rPr>
      </w:pPr>
    </w:p>
    <w:p w:rsidR="00577097" w:rsidRPr="00BE133F" w:rsidRDefault="00577097" w:rsidP="00577097">
      <w:pPr>
        <w:tabs>
          <w:tab w:val="left" w:pos="567"/>
        </w:tabs>
        <w:spacing w:after="0" w:line="240" w:lineRule="auto"/>
        <w:jc w:val="center"/>
        <w:rPr>
          <w:rFonts w:ascii="Verdana" w:eastAsia="Times" w:hAnsi="Verdana"/>
          <w:b/>
          <w:sz w:val="20"/>
          <w:szCs w:val="20"/>
        </w:rPr>
      </w:pPr>
      <w:r w:rsidRPr="00BE133F">
        <w:rPr>
          <w:rFonts w:ascii="Verdana" w:eastAsia="Times" w:hAnsi="Verdana"/>
          <w:b/>
          <w:sz w:val="20"/>
          <w:szCs w:val="20"/>
        </w:rPr>
        <w:t>IV</w:t>
      </w:r>
    </w:p>
    <w:p w:rsidR="00577097" w:rsidRPr="0093256C"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r w:rsidRPr="00B8255C">
        <w:rPr>
          <w:rFonts w:ascii="Verdana" w:hAnsi="Verdana" w:cs="Verdana"/>
          <w:b/>
          <w:caps/>
          <w:sz w:val="20"/>
          <w:szCs w:val="20"/>
        </w:rPr>
        <w:t>ANÁLISIS DE PROCEDENCIA DE LAs SOLICITUDes DE INTERPRETACIÓN</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p>
    <w:p w:rsidR="0089460F" w:rsidRPr="00537FF5" w:rsidRDefault="00577097" w:rsidP="0089460F">
      <w:pPr>
        <w:numPr>
          <w:ilvl w:val="0"/>
          <w:numId w:val="1"/>
        </w:numPr>
        <w:tabs>
          <w:tab w:val="left" w:pos="567"/>
          <w:tab w:val="num" w:pos="720"/>
        </w:tabs>
        <w:spacing w:after="0" w:line="240" w:lineRule="auto"/>
        <w:jc w:val="both"/>
        <w:rPr>
          <w:rFonts w:ascii="Verdana" w:eastAsia="Times" w:hAnsi="Verdana"/>
          <w:sz w:val="20"/>
          <w:szCs w:val="20"/>
          <w:lang w:val="es-ES_tradnl"/>
        </w:rPr>
      </w:pPr>
      <w:bookmarkStart w:id="8" w:name="_Ref325023272"/>
      <w:r w:rsidRPr="00BE133F">
        <w:rPr>
          <w:rFonts w:ascii="Verdana" w:eastAsia="Times" w:hAnsi="Verdana"/>
          <w:sz w:val="20"/>
          <w:szCs w:val="20"/>
          <w:lang w:val="es-ES_tradnl"/>
        </w:rPr>
        <w:t>A continuación</w:t>
      </w:r>
      <w:r w:rsidR="00F474DD">
        <w:rPr>
          <w:rFonts w:ascii="Verdana" w:eastAsia="Times" w:hAnsi="Verdana"/>
          <w:sz w:val="20"/>
          <w:szCs w:val="20"/>
          <w:lang w:val="es-ES_tradnl"/>
        </w:rPr>
        <w:t>,</w:t>
      </w:r>
      <w:r w:rsidRPr="00BE133F">
        <w:rPr>
          <w:rFonts w:ascii="Verdana" w:eastAsia="Times" w:hAnsi="Verdana"/>
          <w:sz w:val="20"/>
          <w:szCs w:val="20"/>
          <w:lang w:val="es-ES_tradnl"/>
        </w:rPr>
        <w:t xml:space="preserve"> el Tribunal analizará las solicitudes de</w:t>
      </w:r>
      <w:r w:rsidR="00B35601" w:rsidRPr="00BE133F">
        <w:rPr>
          <w:rFonts w:ascii="Verdana" w:eastAsia="Times" w:hAnsi="Verdana"/>
          <w:sz w:val="20"/>
          <w:szCs w:val="20"/>
          <w:lang w:val="es-ES_tradnl"/>
        </w:rPr>
        <w:t>l representante</w:t>
      </w:r>
      <w:r w:rsidR="0069533B">
        <w:rPr>
          <w:rFonts w:ascii="Verdana" w:eastAsia="Times" w:hAnsi="Verdana"/>
          <w:sz w:val="20"/>
          <w:szCs w:val="20"/>
          <w:lang w:val="es-ES_tradnl"/>
        </w:rPr>
        <w:t xml:space="preserve"> </w:t>
      </w:r>
      <w:r w:rsidRPr="00BE133F">
        <w:rPr>
          <w:rFonts w:ascii="Verdana" w:hAnsi="Verdana" w:cs="Verdana"/>
          <w:sz w:val="20"/>
          <w:szCs w:val="20"/>
        </w:rPr>
        <w:t xml:space="preserve">y </w:t>
      </w:r>
      <w:r w:rsidR="00B35601" w:rsidRPr="00BE133F">
        <w:rPr>
          <w:rFonts w:ascii="Verdana" w:hAnsi="Verdana" w:cs="Verdana"/>
          <w:sz w:val="20"/>
          <w:szCs w:val="20"/>
        </w:rPr>
        <w:t>del Estado</w:t>
      </w:r>
      <w:r w:rsidRPr="00BE133F">
        <w:rPr>
          <w:rFonts w:ascii="Verdana" w:eastAsia="Times" w:hAnsi="Verdana"/>
          <w:sz w:val="20"/>
          <w:szCs w:val="20"/>
          <w:lang w:val="es-ES_tradnl"/>
        </w:rPr>
        <w:t xml:space="preserve"> </w:t>
      </w:r>
      <w:r w:rsidR="00AB38AA" w:rsidRPr="00BE133F">
        <w:rPr>
          <w:rFonts w:ascii="Verdana" w:eastAsia="Times" w:hAnsi="Verdana"/>
          <w:sz w:val="20"/>
          <w:szCs w:val="20"/>
          <w:lang w:val="es-ES_tradnl"/>
        </w:rPr>
        <w:t xml:space="preserve">peruano </w:t>
      </w:r>
      <w:r w:rsidRPr="00BE133F">
        <w:rPr>
          <w:rFonts w:ascii="Verdana" w:eastAsia="Times" w:hAnsi="Verdana"/>
          <w:sz w:val="20"/>
          <w:szCs w:val="20"/>
          <w:lang w:val="es-ES_tradnl"/>
        </w:rPr>
        <w:t>para determinar si, de acuerdo con la normativa y los estándares desarrollados en su jurisprudencia, procede aclarar el sentido o alcance de</w:t>
      </w:r>
      <w:r w:rsidR="00C048F5" w:rsidRPr="00BE133F">
        <w:rPr>
          <w:rFonts w:ascii="Verdana" w:eastAsia="Times" w:hAnsi="Verdana"/>
          <w:sz w:val="20"/>
          <w:szCs w:val="20"/>
          <w:lang w:val="es-ES_tradnl"/>
        </w:rPr>
        <w:t xml:space="preserve"> </w:t>
      </w:r>
      <w:r w:rsidRPr="00BE133F">
        <w:rPr>
          <w:rFonts w:ascii="Verdana" w:eastAsia="Times" w:hAnsi="Verdana"/>
          <w:sz w:val="20"/>
          <w:szCs w:val="20"/>
          <w:lang w:val="es-ES_tradnl"/>
        </w:rPr>
        <w:t>l</w:t>
      </w:r>
      <w:r w:rsidR="00C048F5" w:rsidRPr="00BE133F">
        <w:rPr>
          <w:rFonts w:ascii="Verdana" w:eastAsia="Times" w:hAnsi="Verdana"/>
          <w:sz w:val="20"/>
          <w:szCs w:val="20"/>
          <w:lang w:val="es-ES_tradnl"/>
        </w:rPr>
        <w:t>os</w:t>
      </w:r>
      <w:r w:rsidRPr="00BE133F">
        <w:rPr>
          <w:rFonts w:ascii="Verdana" w:eastAsia="Times" w:hAnsi="Verdana"/>
          <w:sz w:val="20"/>
          <w:szCs w:val="20"/>
          <w:lang w:val="es-ES_tradnl"/>
        </w:rPr>
        <w:t xml:space="preserve"> párrafo</w:t>
      </w:r>
      <w:r w:rsidR="00C048F5" w:rsidRPr="00BE133F">
        <w:rPr>
          <w:rFonts w:ascii="Verdana" w:eastAsia="Times" w:hAnsi="Verdana"/>
          <w:sz w:val="20"/>
          <w:szCs w:val="20"/>
          <w:lang w:val="es-ES_tradnl"/>
        </w:rPr>
        <w:t>s</w:t>
      </w:r>
      <w:r w:rsidR="00761758" w:rsidRPr="00BE133F">
        <w:rPr>
          <w:rFonts w:ascii="Verdana" w:eastAsia="Times" w:hAnsi="Verdana"/>
          <w:sz w:val="20"/>
          <w:szCs w:val="20"/>
          <w:lang w:val="es-ES_tradnl"/>
        </w:rPr>
        <w:t xml:space="preserve"> 128 y</w:t>
      </w:r>
      <w:r w:rsidR="00D03BF0" w:rsidRPr="00BE133F">
        <w:rPr>
          <w:rFonts w:ascii="Verdana" w:eastAsia="Times" w:hAnsi="Verdana"/>
          <w:sz w:val="20"/>
          <w:szCs w:val="20"/>
          <w:lang w:val="es-ES_tradnl"/>
        </w:rPr>
        <w:t xml:space="preserve"> 190</w:t>
      </w:r>
      <w:r w:rsidRPr="00BE133F">
        <w:rPr>
          <w:rFonts w:ascii="Verdana" w:eastAsia="Times" w:hAnsi="Verdana"/>
          <w:sz w:val="20"/>
          <w:szCs w:val="20"/>
          <w:lang w:val="es-ES_tradnl"/>
        </w:rPr>
        <w:t xml:space="preserve"> de la Sentencia. </w:t>
      </w:r>
      <w:bookmarkStart w:id="9" w:name="_Ref324754196"/>
      <w:bookmarkEnd w:id="8"/>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p>
    <w:p w:rsidR="0089460F" w:rsidRPr="0089460F" w:rsidRDefault="0089460F" w:rsidP="0089460F">
      <w:pPr>
        <w:pStyle w:val="ListParagraph"/>
        <w:numPr>
          <w:ilvl w:val="0"/>
          <w:numId w:val="3"/>
        </w:numPr>
        <w:tabs>
          <w:tab w:val="left" w:pos="567"/>
        </w:tabs>
        <w:spacing w:after="0" w:line="240" w:lineRule="auto"/>
        <w:jc w:val="both"/>
        <w:rPr>
          <w:rFonts w:ascii="Verdana" w:eastAsia="Times" w:hAnsi="Verdana"/>
          <w:b/>
          <w:i/>
          <w:sz w:val="20"/>
          <w:szCs w:val="20"/>
        </w:rPr>
      </w:pPr>
      <w:r w:rsidRPr="0089460F">
        <w:rPr>
          <w:rFonts w:ascii="Verdana" w:eastAsia="Times" w:hAnsi="Verdana"/>
          <w:b/>
          <w:i/>
          <w:sz w:val="20"/>
          <w:szCs w:val="20"/>
        </w:rPr>
        <w:t>Solicitud de interpretación presentada por el rep</w:t>
      </w:r>
      <w:r w:rsidR="00653823">
        <w:rPr>
          <w:rFonts w:ascii="Verdana" w:eastAsia="Times" w:hAnsi="Verdana"/>
          <w:b/>
          <w:i/>
          <w:sz w:val="20"/>
          <w:szCs w:val="20"/>
        </w:rPr>
        <w:t>resentante Mario Canales Huapay</w:t>
      </w:r>
      <w:r w:rsidR="0019512A">
        <w:rPr>
          <w:rFonts w:ascii="Verdana" w:eastAsia="Times" w:hAnsi="Verdana"/>
          <w:b/>
          <w:i/>
          <w:sz w:val="20"/>
          <w:szCs w:val="20"/>
        </w:rPr>
        <w:t>a</w:t>
      </w:r>
      <w:r w:rsidR="00653823">
        <w:rPr>
          <w:rFonts w:ascii="Verdana" w:eastAsia="Times" w:hAnsi="Verdana"/>
          <w:b/>
          <w:i/>
          <w:sz w:val="20"/>
          <w:szCs w:val="20"/>
        </w:rPr>
        <w:t xml:space="preserve">, </w:t>
      </w:r>
      <w:r w:rsidR="00653823" w:rsidRPr="00653823">
        <w:rPr>
          <w:rFonts w:ascii="Verdana" w:eastAsia="Times" w:hAnsi="Verdana"/>
          <w:b/>
          <w:i/>
          <w:sz w:val="20"/>
          <w:szCs w:val="20"/>
          <w:lang w:val="es-ES_tradnl"/>
        </w:rPr>
        <w:t xml:space="preserve">respecto de la víctima </w:t>
      </w:r>
      <w:r w:rsidR="00653823" w:rsidRPr="00653823">
        <w:rPr>
          <w:rFonts w:ascii="Verdana" w:eastAsia="Times" w:hAnsi="Verdana"/>
          <w:b/>
          <w:bCs/>
          <w:i/>
          <w:sz w:val="20"/>
          <w:szCs w:val="20"/>
        </w:rPr>
        <w:t>Carlos Alberto Canales Huapaya</w:t>
      </w:r>
    </w:p>
    <w:p w:rsidR="00064C1E" w:rsidRPr="00BE133F" w:rsidRDefault="00064C1E" w:rsidP="0089460F">
      <w:pPr>
        <w:tabs>
          <w:tab w:val="left" w:pos="567"/>
        </w:tabs>
        <w:spacing w:after="0" w:line="240" w:lineRule="auto"/>
        <w:jc w:val="both"/>
        <w:rPr>
          <w:rFonts w:ascii="Verdana" w:eastAsia="Times" w:hAnsi="Verdana"/>
          <w:b/>
          <w:i/>
          <w:sz w:val="20"/>
          <w:szCs w:val="20"/>
        </w:rPr>
      </w:pPr>
    </w:p>
    <w:p w:rsidR="00064C1E" w:rsidRPr="00BE133F" w:rsidRDefault="00064C1E" w:rsidP="007274AC">
      <w:pPr>
        <w:pStyle w:val="Heading1"/>
      </w:pPr>
      <w:r w:rsidRPr="00BE133F">
        <w:t xml:space="preserve">A.1 </w:t>
      </w:r>
      <w:r w:rsidR="0089460F">
        <w:t>Argumentos de las partes</w:t>
      </w:r>
      <w:r w:rsidR="007274AC">
        <w:t xml:space="preserve"> y de la Comisión</w:t>
      </w:r>
    </w:p>
    <w:p w:rsidR="00577097" w:rsidRPr="00BE133F" w:rsidRDefault="00577097" w:rsidP="00577097">
      <w:pPr>
        <w:tabs>
          <w:tab w:val="left" w:pos="567"/>
        </w:tabs>
        <w:spacing w:after="0" w:line="240" w:lineRule="auto"/>
        <w:jc w:val="both"/>
        <w:rPr>
          <w:rFonts w:ascii="Verdana" w:eastAsia="Times" w:hAnsi="Verdana"/>
          <w:sz w:val="20"/>
          <w:szCs w:val="20"/>
        </w:rPr>
      </w:pPr>
    </w:p>
    <w:p w:rsidR="00B46EE5" w:rsidRPr="00C605A3" w:rsidRDefault="00777038" w:rsidP="00C605A3">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cs="Verdana"/>
          <w:sz w:val="20"/>
          <w:szCs w:val="20"/>
        </w:rPr>
        <w:t xml:space="preserve">El </w:t>
      </w:r>
      <w:r w:rsidRPr="00BE133F">
        <w:rPr>
          <w:rFonts w:ascii="Verdana" w:hAnsi="Verdana" w:cs="Verdana"/>
          <w:b/>
          <w:i/>
          <w:sz w:val="20"/>
          <w:szCs w:val="20"/>
        </w:rPr>
        <w:t>representante</w:t>
      </w:r>
      <w:r w:rsidRPr="00BE133F">
        <w:rPr>
          <w:rFonts w:ascii="Verdana" w:hAnsi="Verdana" w:cs="Verdana"/>
          <w:sz w:val="20"/>
          <w:szCs w:val="20"/>
        </w:rPr>
        <w:t xml:space="preserve"> </w:t>
      </w:r>
      <w:r w:rsidR="00B8255C">
        <w:rPr>
          <w:rFonts w:ascii="Verdana" w:hAnsi="Verdana" w:cs="Verdana"/>
          <w:sz w:val="20"/>
          <w:szCs w:val="20"/>
        </w:rPr>
        <w:t>solicitó</w:t>
      </w:r>
      <w:r w:rsidR="00434957" w:rsidRPr="00BE133F">
        <w:rPr>
          <w:rFonts w:ascii="Verdana" w:hAnsi="Verdana" w:cs="Verdana"/>
          <w:sz w:val="20"/>
          <w:szCs w:val="20"/>
        </w:rPr>
        <w:t xml:space="preserve"> </w:t>
      </w:r>
      <w:r w:rsidR="00434957" w:rsidRPr="00BE133F">
        <w:rPr>
          <w:rFonts w:ascii="Verdana" w:hAnsi="Verdana"/>
          <w:sz w:val="20"/>
          <w:szCs w:val="20"/>
        </w:rPr>
        <w:t>a la Corte la interpretación d</w:t>
      </w:r>
      <w:r w:rsidR="00434957" w:rsidRPr="00BE133F">
        <w:rPr>
          <w:rFonts w:ascii="Verdana" w:hAnsi="Verdana" w:cs="Verdana"/>
          <w:sz w:val="20"/>
          <w:szCs w:val="20"/>
        </w:rPr>
        <w:t>el párrafo 128 de la sentencia en vi</w:t>
      </w:r>
      <w:r w:rsidR="00CB3D5B">
        <w:rPr>
          <w:rFonts w:ascii="Verdana" w:hAnsi="Verdana" w:cs="Verdana"/>
          <w:sz w:val="20"/>
          <w:szCs w:val="20"/>
        </w:rPr>
        <w:t>rtud del cual</w:t>
      </w:r>
      <w:r w:rsidR="00B8255C">
        <w:rPr>
          <w:rFonts w:ascii="Verdana" w:hAnsi="Verdana" w:cs="Verdana"/>
          <w:sz w:val="20"/>
          <w:szCs w:val="20"/>
        </w:rPr>
        <w:t xml:space="preserve"> la Corte resolvió</w:t>
      </w:r>
      <w:r w:rsidR="00434957" w:rsidRPr="00BE133F">
        <w:rPr>
          <w:rFonts w:ascii="Verdana" w:hAnsi="Verdana" w:cs="Verdana"/>
          <w:sz w:val="20"/>
          <w:szCs w:val="20"/>
        </w:rPr>
        <w:t xml:space="preserve"> que </w:t>
      </w:r>
      <w:r w:rsidR="00B8255C">
        <w:rPr>
          <w:rFonts w:ascii="Verdana" w:hAnsi="Verdana"/>
          <w:sz w:val="20"/>
          <w:szCs w:val="20"/>
        </w:rPr>
        <w:t>no existía</w:t>
      </w:r>
      <w:r w:rsidR="00434957" w:rsidRPr="00BE133F">
        <w:rPr>
          <w:rFonts w:ascii="Verdana" w:hAnsi="Verdana"/>
          <w:sz w:val="20"/>
          <w:szCs w:val="20"/>
        </w:rPr>
        <w:t>n elementos para concluir la violación del artículo 24 de la Convención Americana</w:t>
      </w:r>
      <w:r w:rsidR="00400A80">
        <w:rPr>
          <w:rFonts w:ascii="Verdana" w:hAnsi="Verdana"/>
          <w:sz w:val="20"/>
          <w:szCs w:val="20"/>
        </w:rPr>
        <w:t xml:space="preserve"> en perjuicio del señor Carlos Alberto Canales Huapaya</w:t>
      </w:r>
      <w:r w:rsidR="00273EAB">
        <w:rPr>
          <w:rFonts w:ascii="Verdana" w:hAnsi="Verdana"/>
          <w:sz w:val="20"/>
          <w:szCs w:val="20"/>
        </w:rPr>
        <w:t>.</w:t>
      </w:r>
      <w:r w:rsidR="00C605A3">
        <w:rPr>
          <w:rFonts w:ascii="Verdana" w:hAnsi="Verdana"/>
          <w:sz w:val="20"/>
          <w:szCs w:val="20"/>
        </w:rPr>
        <w:t xml:space="preserve"> De acuerdo con el representante</w:t>
      </w:r>
      <w:r w:rsidR="00C24188">
        <w:rPr>
          <w:rFonts w:ascii="Verdana" w:hAnsi="Verdana"/>
          <w:sz w:val="20"/>
          <w:szCs w:val="20"/>
        </w:rPr>
        <w:t>,</w:t>
      </w:r>
      <w:r w:rsidR="00C605A3">
        <w:rPr>
          <w:rFonts w:ascii="Verdana" w:hAnsi="Verdana"/>
          <w:sz w:val="20"/>
          <w:szCs w:val="20"/>
        </w:rPr>
        <w:t xml:space="preserve"> el señor Carlos Alberto Canales Huapaya y el señor </w:t>
      </w:r>
      <w:r w:rsidR="003F5E48">
        <w:rPr>
          <w:rFonts w:ascii="Verdana" w:hAnsi="Verdana"/>
          <w:sz w:val="20"/>
          <w:szCs w:val="20"/>
        </w:rPr>
        <w:t xml:space="preserve">Eduardo </w:t>
      </w:r>
      <w:r w:rsidR="00C605A3">
        <w:rPr>
          <w:rFonts w:ascii="Verdana" w:hAnsi="Verdana"/>
          <w:sz w:val="20"/>
          <w:szCs w:val="20"/>
        </w:rPr>
        <w:t xml:space="preserve">Salcedo </w:t>
      </w:r>
      <w:proofErr w:type="spellStart"/>
      <w:r w:rsidR="00C605A3">
        <w:rPr>
          <w:rFonts w:ascii="Verdana" w:hAnsi="Verdana"/>
          <w:sz w:val="20"/>
          <w:szCs w:val="20"/>
        </w:rPr>
        <w:t>Peñarrieta</w:t>
      </w:r>
      <w:proofErr w:type="spellEnd"/>
      <w:r w:rsidR="00C605A3">
        <w:rPr>
          <w:rFonts w:ascii="Verdana" w:hAnsi="Verdana"/>
          <w:sz w:val="20"/>
          <w:szCs w:val="20"/>
        </w:rPr>
        <w:t xml:space="preserve"> habrían estado en condiciones iguales y habrían recibido un trato diferente por parte de los tribunales peruanos. </w:t>
      </w:r>
      <w:r w:rsidR="00126FE0" w:rsidRPr="00C605A3">
        <w:rPr>
          <w:rFonts w:ascii="Verdana" w:hAnsi="Verdana"/>
          <w:sz w:val="20"/>
          <w:szCs w:val="20"/>
        </w:rPr>
        <w:t xml:space="preserve">Adicionalmente, </w:t>
      </w:r>
      <w:r w:rsidR="00C605A3">
        <w:rPr>
          <w:rFonts w:ascii="Verdana" w:hAnsi="Verdana"/>
          <w:sz w:val="20"/>
          <w:szCs w:val="20"/>
        </w:rPr>
        <w:t xml:space="preserve">el representante </w:t>
      </w:r>
      <w:r w:rsidR="009A6079" w:rsidRPr="00C605A3">
        <w:rPr>
          <w:rFonts w:ascii="Verdana" w:hAnsi="Verdana"/>
          <w:sz w:val="20"/>
          <w:szCs w:val="20"/>
        </w:rPr>
        <w:t>presentó “algunas apreciaciones” respecto</w:t>
      </w:r>
      <w:r w:rsidR="00126FE0" w:rsidRPr="00C605A3">
        <w:rPr>
          <w:rFonts w:ascii="Verdana" w:hAnsi="Verdana"/>
          <w:sz w:val="20"/>
          <w:szCs w:val="20"/>
        </w:rPr>
        <w:t xml:space="preserve"> </w:t>
      </w:r>
      <w:r w:rsidR="00CC5411">
        <w:rPr>
          <w:rFonts w:ascii="Verdana" w:hAnsi="Verdana"/>
          <w:sz w:val="20"/>
          <w:szCs w:val="20"/>
        </w:rPr>
        <w:t>de</w:t>
      </w:r>
      <w:r w:rsidR="00126FE0" w:rsidRPr="00C605A3">
        <w:rPr>
          <w:rFonts w:ascii="Verdana" w:hAnsi="Verdana"/>
          <w:sz w:val="20"/>
          <w:szCs w:val="20"/>
        </w:rPr>
        <w:t xml:space="preserve"> las medidas de reparación ordenadas por l</w:t>
      </w:r>
      <w:r w:rsidR="00787A95">
        <w:rPr>
          <w:rFonts w:ascii="Verdana" w:hAnsi="Verdana"/>
          <w:sz w:val="20"/>
          <w:szCs w:val="20"/>
        </w:rPr>
        <w:t>a Corte</w:t>
      </w:r>
      <w:r w:rsidR="00C605A3">
        <w:rPr>
          <w:rStyle w:val="FootnoteReference"/>
          <w:rFonts w:ascii="Verdana" w:hAnsi="Verdana"/>
          <w:sz w:val="20"/>
          <w:szCs w:val="20"/>
        </w:rPr>
        <w:footnoteReference w:id="4"/>
      </w:r>
      <w:r w:rsidR="00787A95">
        <w:rPr>
          <w:rFonts w:ascii="Verdana" w:hAnsi="Verdana"/>
          <w:sz w:val="20"/>
          <w:szCs w:val="20"/>
        </w:rPr>
        <w:t>.</w:t>
      </w:r>
    </w:p>
    <w:p w:rsidR="00434957" w:rsidRPr="00BE133F" w:rsidRDefault="00434957" w:rsidP="00434957">
      <w:pPr>
        <w:tabs>
          <w:tab w:val="left" w:pos="567"/>
        </w:tabs>
        <w:autoSpaceDE w:val="0"/>
        <w:autoSpaceDN w:val="0"/>
        <w:adjustRightInd w:val="0"/>
        <w:spacing w:after="0" w:line="240" w:lineRule="auto"/>
        <w:jc w:val="both"/>
        <w:rPr>
          <w:rFonts w:ascii="Verdana" w:hAnsi="Verdana"/>
          <w:sz w:val="20"/>
          <w:szCs w:val="20"/>
        </w:rPr>
      </w:pPr>
    </w:p>
    <w:p w:rsidR="00A5262F" w:rsidRDefault="00577097" w:rsidP="00EE3FD4">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 xml:space="preserve">Al respecto, </w:t>
      </w:r>
      <w:r w:rsidR="00284014" w:rsidRPr="00BE133F">
        <w:rPr>
          <w:rFonts w:ascii="Verdana" w:hAnsi="Verdana"/>
          <w:sz w:val="20"/>
          <w:szCs w:val="20"/>
        </w:rPr>
        <w:t xml:space="preserve">la </w:t>
      </w:r>
      <w:r w:rsidRPr="00BE133F">
        <w:rPr>
          <w:rFonts w:ascii="Verdana" w:hAnsi="Verdana"/>
          <w:b/>
          <w:i/>
          <w:sz w:val="20"/>
          <w:szCs w:val="20"/>
        </w:rPr>
        <w:t>Comisión</w:t>
      </w:r>
      <w:r w:rsidRPr="00BE133F">
        <w:rPr>
          <w:rFonts w:ascii="Verdana" w:hAnsi="Verdana"/>
          <w:sz w:val="20"/>
          <w:szCs w:val="20"/>
        </w:rPr>
        <w:t xml:space="preserve"> </w:t>
      </w:r>
      <w:r w:rsidR="00434957" w:rsidRPr="00BE133F">
        <w:rPr>
          <w:rFonts w:ascii="Verdana" w:hAnsi="Verdana"/>
          <w:sz w:val="20"/>
          <w:szCs w:val="20"/>
        </w:rPr>
        <w:t xml:space="preserve">consideró que las alegaciones del representante no </w:t>
      </w:r>
      <w:r w:rsidR="00CB3D5B">
        <w:rPr>
          <w:rFonts w:ascii="Verdana" w:hAnsi="Verdana"/>
          <w:sz w:val="20"/>
          <w:szCs w:val="20"/>
        </w:rPr>
        <w:t>tenían</w:t>
      </w:r>
      <w:r w:rsidR="00434957" w:rsidRPr="00BE133F">
        <w:rPr>
          <w:rFonts w:ascii="Verdana" w:hAnsi="Verdana"/>
          <w:sz w:val="20"/>
          <w:szCs w:val="20"/>
        </w:rPr>
        <w:t xml:space="preserve"> el propósito de aclarar el sentido del fallo conforme a</w:t>
      </w:r>
      <w:r w:rsidR="00E15834">
        <w:rPr>
          <w:rFonts w:ascii="Verdana" w:hAnsi="Verdana"/>
          <w:sz w:val="20"/>
          <w:szCs w:val="20"/>
        </w:rPr>
        <w:t>l artículo 67 de la Convención A</w:t>
      </w:r>
      <w:r w:rsidR="00EE3FD4">
        <w:rPr>
          <w:rFonts w:ascii="Verdana" w:hAnsi="Verdana"/>
          <w:sz w:val="20"/>
          <w:szCs w:val="20"/>
        </w:rPr>
        <w:t xml:space="preserve">mericana, por lo que </w:t>
      </w:r>
      <w:r w:rsidR="00434957" w:rsidRPr="00BE133F">
        <w:rPr>
          <w:rFonts w:ascii="Verdana" w:hAnsi="Verdana"/>
          <w:sz w:val="20"/>
          <w:szCs w:val="20"/>
        </w:rPr>
        <w:t>no formuló observaciones.</w:t>
      </w:r>
    </w:p>
    <w:p w:rsidR="00EE3FD4" w:rsidRPr="00EE3FD4" w:rsidRDefault="00EE3FD4" w:rsidP="00EE3FD4">
      <w:pPr>
        <w:tabs>
          <w:tab w:val="left" w:pos="567"/>
        </w:tabs>
        <w:autoSpaceDE w:val="0"/>
        <w:autoSpaceDN w:val="0"/>
        <w:adjustRightInd w:val="0"/>
        <w:spacing w:after="0" w:line="240" w:lineRule="auto"/>
        <w:jc w:val="both"/>
        <w:rPr>
          <w:rFonts w:ascii="Verdana" w:hAnsi="Verdana"/>
          <w:sz w:val="20"/>
          <w:szCs w:val="20"/>
        </w:rPr>
      </w:pPr>
    </w:p>
    <w:p w:rsidR="00E15834" w:rsidRDefault="00A5262F" w:rsidP="00E15834">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 xml:space="preserve">Por su parte el </w:t>
      </w:r>
      <w:r w:rsidRPr="00E070C4">
        <w:rPr>
          <w:rFonts w:ascii="Verdana" w:hAnsi="Verdana"/>
          <w:b/>
          <w:i/>
          <w:sz w:val="20"/>
          <w:szCs w:val="20"/>
        </w:rPr>
        <w:t>Estado</w:t>
      </w:r>
      <w:r w:rsidRPr="00BE133F">
        <w:rPr>
          <w:rFonts w:ascii="Verdana" w:hAnsi="Verdana"/>
          <w:sz w:val="20"/>
          <w:szCs w:val="20"/>
        </w:rPr>
        <w:t xml:space="preserve"> </w:t>
      </w:r>
      <w:r w:rsidR="004B07FB">
        <w:rPr>
          <w:rFonts w:ascii="Verdana" w:hAnsi="Verdana"/>
          <w:sz w:val="20"/>
          <w:szCs w:val="20"/>
        </w:rPr>
        <w:t>consideró</w:t>
      </w:r>
      <w:r w:rsidR="003B547D" w:rsidRPr="00BE133F">
        <w:rPr>
          <w:rFonts w:ascii="Verdana" w:hAnsi="Verdana"/>
          <w:sz w:val="20"/>
          <w:szCs w:val="20"/>
        </w:rPr>
        <w:t xml:space="preserve"> q</w:t>
      </w:r>
      <w:r w:rsidR="00A42EDC" w:rsidRPr="00BE133F">
        <w:rPr>
          <w:rFonts w:ascii="Verdana" w:hAnsi="Verdana"/>
          <w:sz w:val="20"/>
          <w:szCs w:val="20"/>
        </w:rPr>
        <w:t>ue a través de una interpretación de sentencia la Corte Interamericana no puede evaluar</w:t>
      </w:r>
      <w:r w:rsidR="003B547D" w:rsidRPr="00BE133F">
        <w:rPr>
          <w:rFonts w:ascii="Verdana" w:hAnsi="Verdana"/>
          <w:sz w:val="20"/>
          <w:szCs w:val="20"/>
        </w:rPr>
        <w:t xml:space="preserve"> lo concerniente a la presunta </w:t>
      </w:r>
      <w:r w:rsidR="00A42EDC" w:rsidRPr="00BE133F">
        <w:rPr>
          <w:rFonts w:ascii="Verdana" w:hAnsi="Verdana"/>
          <w:sz w:val="20"/>
          <w:szCs w:val="20"/>
        </w:rPr>
        <w:t>violación del derecho a la igualdad</w:t>
      </w:r>
      <w:r w:rsidR="004B07FB">
        <w:rPr>
          <w:rFonts w:ascii="Verdana" w:hAnsi="Verdana"/>
          <w:sz w:val="20"/>
          <w:szCs w:val="20"/>
        </w:rPr>
        <w:t>, toda vez que</w:t>
      </w:r>
      <w:r w:rsidR="003B547D" w:rsidRPr="00BE133F">
        <w:rPr>
          <w:rFonts w:ascii="Verdana" w:hAnsi="Verdana"/>
          <w:sz w:val="20"/>
          <w:szCs w:val="20"/>
        </w:rPr>
        <w:t xml:space="preserve"> </w:t>
      </w:r>
      <w:r w:rsidR="00981E08">
        <w:rPr>
          <w:rFonts w:ascii="Verdana" w:hAnsi="Verdana"/>
          <w:sz w:val="20"/>
          <w:szCs w:val="20"/>
        </w:rPr>
        <w:t>dicha cuestión</w:t>
      </w:r>
      <w:r w:rsidR="00A42EDC" w:rsidRPr="00BE133F">
        <w:rPr>
          <w:rFonts w:ascii="Verdana" w:hAnsi="Verdana"/>
          <w:sz w:val="20"/>
          <w:szCs w:val="20"/>
        </w:rPr>
        <w:t xml:space="preserve"> ya ha sido </w:t>
      </w:r>
      <w:r w:rsidR="00981E08">
        <w:rPr>
          <w:rFonts w:ascii="Verdana" w:hAnsi="Verdana"/>
          <w:sz w:val="20"/>
          <w:szCs w:val="20"/>
        </w:rPr>
        <w:t>valorada y resuelta</w:t>
      </w:r>
      <w:r w:rsidR="000F0702">
        <w:rPr>
          <w:rFonts w:ascii="Verdana" w:hAnsi="Verdana"/>
          <w:sz w:val="20"/>
          <w:szCs w:val="20"/>
        </w:rPr>
        <w:t xml:space="preserve"> por la Corte en la S</w:t>
      </w:r>
      <w:r w:rsidR="003B547D" w:rsidRPr="00BE133F">
        <w:rPr>
          <w:rFonts w:ascii="Verdana" w:hAnsi="Verdana"/>
          <w:sz w:val="20"/>
          <w:szCs w:val="20"/>
        </w:rPr>
        <w:t>entencia de 24 de junio de</w:t>
      </w:r>
      <w:r w:rsidR="00B8255C">
        <w:rPr>
          <w:rFonts w:ascii="Verdana" w:hAnsi="Verdana"/>
          <w:sz w:val="20"/>
          <w:szCs w:val="20"/>
        </w:rPr>
        <w:t xml:space="preserve"> 2015. En ese sentido, </w:t>
      </w:r>
      <w:r w:rsidR="004B07FB">
        <w:rPr>
          <w:rFonts w:ascii="Verdana" w:hAnsi="Verdana"/>
          <w:sz w:val="20"/>
          <w:szCs w:val="20"/>
        </w:rPr>
        <w:t xml:space="preserve">el Estado </w:t>
      </w:r>
      <w:r w:rsidR="00B8255C">
        <w:rPr>
          <w:rFonts w:ascii="Verdana" w:hAnsi="Verdana"/>
          <w:sz w:val="20"/>
          <w:szCs w:val="20"/>
        </w:rPr>
        <w:t>señaló</w:t>
      </w:r>
      <w:r w:rsidR="003B547D" w:rsidRPr="00BE133F">
        <w:rPr>
          <w:rFonts w:ascii="Verdana" w:hAnsi="Verdana"/>
          <w:sz w:val="20"/>
          <w:szCs w:val="20"/>
        </w:rPr>
        <w:t xml:space="preserve"> que la solicitud de interpretación formulada por el representante no se condice con los criterios establecidos en los artículos 67 de la Convención y 68 del Reglamento de la Corte Interamericana</w:t>
      </w:r>
      <w:r w:rsidR="0061704F">
        <w:rPr>
          <w:rFonts w:ascii="Verdana" w:hAnsi="Verdana"/>
          <w:sz w:val="20"/>
          <w:szCs w:val="20"/>
        </w:rPr>
        <w:t>,</w:t>
      </w:r>
      <w:r w:rsidR="003B547D" w:rsidRPr="00BE133F">
        <w:rPr>
          <w:rFonts w:ascii="Verdana" w:hAnsi="Verdana"/>
          <w:sz w:val="20"/>
          <w:szCs w:val="20"/>
        </w:rPr>
        <w:t xml:space="preserve"> </w:t>
      </w:r>
      <w:r w:rsidR="00E15834">
        <w:rPr>
          <w:rFonts w:ascii="Verdana" w:hAnsi="Verdana"/>
          <w:sz w:val="20"/>
          <w:szCs w:val="20"/>
        </w:rPr>
        <w:t xml:space="preserve">así como </w:t>
      </w:r>
      <w:r w:rsidR="004B07FB">
        <w:rPr>
          <w:rFonts w:ascii="Verdana" w:hAnsi="Verdana"/>
          <w:sz w:val="20"/>
          <w:szCs w:val="20"/>
        </w:rPr>
        <w:t>con la</w:t>
      </w:r>
      <w:r w:rsidR="003B547D" w:rsidRPr="00BE133F">
        <w:rPr>
          <w:rFonts w:ascii="Verdana" w:hAnsi="Verdana"/>
          <w:sz w:val="20"/>
          <w:szCs w:val="20"/>
        </w:rPr>
        <w:t xml:space="preserve"> constante jurisprudencia en sentencias de interpretación, motivo por el cual consider</w:t>
      </w:r>
      <w:r w:rsidR="004B07FB">
        <w:rPr>
          <w:rFonts w:ascii="Verdana" w:hAnsi="Verdana"/>
          <w:sz w:val="20"/>
          <w:szCs w:val="20"/>
        </w:rPr>
        <w:t>ó</w:t>
      </w:r>
      <w:r w:rsidR="003B547D" w:rsidRPr="00BE133F">
        <w:rPr>
          <w:rFonts w:ascii="Verdana" w:hAnsi="Verdana"/>
          <w:sz w:val="20"/>
          <w:szCs w:val="20"/>
        </w:rPr>
        <w:t xml:space="preserve"> que ésta debe ser declarada improcedente. </w:t>
      </w:r>
    </w:p>
    <w:p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rsidR="0089460F" w:rsidRPr="0089460F" w:rsidRDefault="0089460F" w:rsidP="001D14A6">
      <w:pPr>
        <w:tabs>
          <w:tab w:val="left" w:pos="567"/>
        </w:tabs>
        <w:spacing w:after="0" w:line="240" w:lineRule="auto"/>
        <w:ind w:left="720"/>
        <w:jc w:val="both"/>
        <w:rPr>
          <w:rFonts w:ascii="Verdana" w:eastAsia="Times" w:hAnsi="Verdana"/>
          <w:i/>
          <w:sz w:val="20"/>
          <w:szCs w:val="20"/>
        </w:rPr>
      </w:pPr>
      <w:r w:rsidRPr="0089460F">
        <w:rPr>
          <w:rFonts w:ascii="Verdana" w:eastAsia="Times" w:hAnsi="Verdana"/>
          <w:i/>
          <w:sz w:val="20"/>
          <w:szCs w:val="20"/>
        </w:rPr>
        <w:t>A.2 Consideraciones de la Corte</w:t>
      </w:r>
    </w:p>
    <w:p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rsidR="0089460F" w:rsidRPr="00BE133F" w:rsidRDefault="0089460F" w:rsidP="0089460F">
      <w:pPr>
        <w:numPr>
          <w:ilvl w:val="0"/>
          <w:numId w:val="1"/>
        </w:numPr>
        <w:tabs>
          <w:tab w:val="left" w:pos="567"/>
          <w:tab w:val="num" w:pos="720"/>
        </w:tabs>
        <w:autoSpaceDE w:val="0"/>
        <w:autoSpaceDN w:val="0"/>
        <w:adjustRightInd w:val="0"/>
        <w:spacing w:after="0" w:line="240" w:lineRule="auto"/>
        <w:jc w:val="both"/>
        <w:rPr>
          <w:rFonts w:ascii="Verdana" w:eastAsia="Times" w:hAnsi="Verdana"/>
          <w:sz w:val="20"/>
          <w:szCs w:val="20"/>
          <w:lang w:val="es-ES_tradnl"/>
        </w:rPr>
      </w:pPr>
      <w:r w:rsidRPr="00BE133F">
        <w:rPr>
          <w:rFonts w:ascii="Verdana" w:hAnsi="Verdana"/>
          <w:sz w:val="20"/>
          <w:szCs w:val="20"/>
        </w:rPr>
        <w:t xml:space="preserve">La Corte observa que </w:t>
      </w:r>
      <w:r>
        <w:rPr>
          <w:rFonts w:ascii="Verdana" w:hAnsi="Verdana"/>
          <w:sz w:val="20"/>
          <w:szCs w:val="20"/>
        </w:rPr>
        <w:t>el</w:t>
      </w:r>
      <w:r w:rsidRPr="00BE133F">
        <w:rPr>
          <w:rFonts w:ascii="Verdana" w:hAnsi="Verdana"/>
          <w:sz w:val="20"/>
          <w:szCs w:val="20"/>
        </w:rPr>
        <w:t xml:space="preserve"> párrafo 128 de la Sentencia </w:t>
      </w:r>
      <w:r>
        <w:rPr>
          <w:rFonts w:ascii="Verdana" w:hAnsi="Verdana"/>
          <w:sz w:val="20"/>
          <w:szCs w:val="20"/>
        </w:rPr>
        <w:t>estableció</w:t>
      </w:r>
      <w:r w:rsidRPr="00BE133F">
        <w:rPr>
          <w:rFonts w:ascii="Verdana" w:hAnsi="Verdana"/>
          <w:sz w:val="20"/>
          <w:szCs w:val="20"/>
        </w:rPr>
        <w:t xml:space="preserve"> que:</w:t>
      </w:r>
    </w:p>
    <w:p w:rsidR="0089460F" w:rsidRPr="00BE133F" w:rsidRDefault="0089460F" w:rsidP="0089460F">
      <w:pPr>
        <w:tabs>
          <w:tab w:val="left" w:pos="567"/>
        </w:tabs>
        <w:autoSpaceDE w:val="0"/>
        <w:autoSpaceDN w:val="0"/>
        <w:adjustRightInd w:val="0"/>
        <w:spacing w:after="0" w:line="240" w:lineRule="auto"/>
        <w:jc w:val="both"/>
        <w:rPr>
          <w:rFonts w:ascii="Verdana" w:eastAsia="Times" w:hAnsi="Verdana"/>
          <w:sz w:val="20"/>
          <w:szCs w:val="20"/>
          <w:lang w:val="es-ES_tradnl"/>
        </w:rPr>
      </w:pPr>
    </w:p>
    <w:p w:rsidR="0089460F" w:rsidRPr="007274AC" w:rsidRDefault="0089460F" w:rsidP="0089460F">
      <w:pPr>
        <w:spacing w:after="0" w:line="240" w:lineRule="auto"/>
        <w:ind w:left="709" w:right="833"/>
        <w:jc w:val="both"/>
        <w:rPr>
          <w:rFonts w:ascii="Verdana" w:hAnsi="Verdana"/>
          <w:sz w:val="18"/>
          <w:szCs w:val="18"/>
        </w:rPr>
      </w:pPr>
      <w:r w:rsidRPr="007274AC">
        <w:rPr>
          <w:rFonts w:ascii="Verdana" w:hAnsi="Verdana"/>
          <w:sz w:val="18"/>
          <w:szCs w:val="18"/>
        </w:rPr>
        <w:t xml:space="preserve">128. Teniendo en cuenta lo anterior, este Tribunal constata que el señor Salcedo </w:t>
      </w:r>
      <w:proofErr w:type="spellStart"/>
      <w:r w:rsidRPr="007274AC">
        <w:rPr>
          <w:rFonts w:ascii="Verdana" w:hAnsi="Verdana"/>
          <w:sz w:val="18"/>
          <w:szCs w:val="18"/>
        </w:rPr>
        <w:t>Peñarrieta</w:t>
      </w:r>
      <w:proofErr w:type="spellEnd"/>
      <w:r w:rsidRPr="007274AC">
        <w:rPr>
          <w:rFonts w:ascii="Verdana" w:hAnsi="Verdana"/>
          <w:sz w:val="18"/>
          <w:szCs w:val="18"/>
        </w:rPr>
        <w:t xml:space="preserve">, quien fue cesado de su trabajo en el Ministerio de Relaciones Exteriores, no fue un funcionario sometido a un concurso de evaluación del personal sino a un plan de incentivos de retiro voluntario de funcionarios del Servicio Diplomático por aplicación de un estado de reorganización. Por su parte, el señor Cabrera Mullos interpuso su demanda </w:t>
      </w:r>
      <w:proofErr w:type="gramStart"/>
      <w:r w:rsidRPr="007274AC">
        <w:rPr>
          <w:rFonts w:ascii="Verdana" w:hAnsi="Verdana"/>
          <w:sz w:val="18"/>
          <w:szCs w:val="18"/>
        </w:rPr>
        <w:t>contencioso</w:t>
      </w:r>
      <w:proofErr w:type="gramEnd"/>
      <w:r w:rsidRPr="007274AC">
        <w:rPr>
          <w:rFonts w:ascii="Verdana" w:hAnsi="Verdana"/>
          <w:sz w:val="18"/>
          <w:szCs w:val="18"/>
        </w:rPr>
        <w:t xml:space="preserve"> administrativa por razones de nulidad diferentes a las alegadas por el señor Castro y la señora Barriga. De otro lado, la señora Quintero </w:t>
      </w:r>
      <w:proofErr w:type="spellStart"/>
      <w:r w:rsidRPr="007274AC">
        <w:rPr>
          <w:rFonts w:ascii="Verdana" w:hAnsi="Verdana"/>
          <w:sz w:val="18"/>
          <w:szCs w:val="18"/>
        </w:rPr>
        <w:t>Coritoma</w:t>
      </w:r>
      <w:proofErr w:type="spellEnd"/>
      <w:r w:rsidRPr="007274AC">
        <w:rPr>
          <w:rFonts w:ascii="Verdana" w:hAnsi="Verdana"/>
          <w:sz w:val="18"/>
          <w:szCs w:val="18"/>
        </w:rPr>
        <w:t xml:space="preserve"> pidió formalmente ser admitida en el proceso de evaluación del concurso de méritos postulando para un cargo y, por error, fue ubicada en otra área, lo cual la situaba en una situación diferente a la de las presuntas víctimas. En consecuencia, este Tribunal considera que los casos de Eduardo Salcedo </w:t>
      </w:r>
      <w:proofErr w:type="spellStart"/>
      <w:r w:rsidRPr="007274AC">
        <w:rPr>
          <w:rFonts w:ascii="Verdana" w:hAnsi="Verdana"/>
          <w:sz w:val="18"/>
          <w:szCs w:val="18"/>
        </w:rPr>
        <w:t>Peñarrieta</w:t>
      </w:r>
      <w:proofErr w:type="spellEnd"/>
      <w:r w:rsidRPr="007274AC">
        <w:rPr>
          <w:rFonts w:ascii="Verdana" w:hAnsi="Verdana"/>
          <w:sz w:val="18"/>
          <w:szCs w:val="18"/>
        </w:rPr>
        <w:t xml:space="preserve">, Raúl Cabrera Mullos y Rosario Quintero </w:t>
      </w:r>
      <w:proofErr w:type="spellStart"/>
      <w:r w:rsidRPr="007274AC">
        <w:rPr>
          <w:rFonts w:ascii="Verdana" w:hAnsi="Verdana"/>
          <w:sz w:val="18"/>
          <w:szCs w:val="18"/>
        </w:rPr>
        <w:t>Coritoma</w:t>
      </w:r>
      <w:proofErr w:type="spellEnd"/>
      <w:r w:rsidRPr="007274AC">
        <w:rPr>
          <w:rFonts w:ascii="Verdana" w:hAnsi="Verdana"/>
          <w:sz w:val="18"/>
          <w:szCs w:val="18"/>
        </w:rPr>
        <w:t xml:space="preserve"> no son casos cuyas circunstancias de hecho, procedimientos judiciales y alegatos ante las instancias internas sean iguales a las de las víctimas del presente caso y por ello no se cuenta con elementos para concluir que haya existido una violación al derecho de la igualdad ante la ley.   </w:t>
      </w:r>
    </w:p>
    <w:p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lang w:val="es-CO"/>
        </w:rPr>
      </w:pPr>
    </w:p>
    <w:p w:rsidR="0089460F" w:rsidRPr="00BE133F" w:rsidRDefault="0089460F" w:rsidP="0089460F">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Tal como lo ha dispuesto anteriormente este Tribunal en su jurisprudencia constante, una solicitud de interpretación de Sentencia no puede utilizarse como medio de impugnación de la decisión cuya interpretación se solicita.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BE133F">
        <w:rPr>
          <w:rStyle w:val="FootnoteReference"/>
          <w:rFonts w:ascii="Verdana" w:hAnsi="Verdana"/>
          <w:sz w:val="20"/>
          <w:szCs w:val="20"/>
        </w:rPr>
        <w:footnoteReference w:id="5"/>
      </w:r>
      <w:r w:rsidRPr="00BE133F">
        <w:rPr>
          <w:rFonts w:ascii="Verdana" w:hAnsi="Verdana"/>
          <w:sz w:val="20"/>
          <w:szCs w:val="20"/>
        </w:rPr>
        <w:t>. Por lo tanto, no se puede pedir la modificación o anulación de la Sentencia respectiva a través de una solicitud de interpretación</w:t>
      </w:r>
      <w:r w:rsidRPr="00BE133F">
        <w:rPr>
          <w:rStyle w:val="FootnoteReference"/>
          <w:rFonts w:ascii="Verdana" w:hAnsi="Verdana"/>
          <w:sz w:val="20"/>
          <w:szCs w:val="20"/>
        </w:rPr>
        <w:footnoteReference w:id="6"/>
      </w:r>
      <w:r w:rsidRPr="00BE133F">
        <w:rPr>
          <w:rFonts w:ascii="Verdana" w:hAnsi="Verdana"/>
          <w:sz w:val="20"/>
          <w:szCs w:val="20"/>
        </w:rPr>
        <w:t xml:space="preserve">. </w:t>
      </w:r>
    </w:p>
    <w:p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rsidR="0089460F" w:rsidRPr="00BE133F" w:rsidRDefault="0089460F" w:rsidP="0089460F">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lastRenderedPageBreak/>
        <w:t>Asimismo, la Corte ha sostenido la improcedencia de utilizar una solicitud de interpretación para someter cuestiones de hecho y de derecho que ya fueron planteadas en su oportunidad procesal y sobre las cuales el Tribunal ya adoptó una decisión</w:t>
      </w:r>
      <w:r w:rsidRPr="00BE133F">
        <w:rPr>
          <w:rStyle w:val="FootnoteReference"/>
          <w:rFonts w:ascii="Verdana" w:hAnsi="Verdana"/>
          <w:sz w:val="20"/>
          <w:szCs w:val="20"/>
        </w:rPr>
        <w:footnoteReference w:id="7"/>
      </w:r>
      <w:r w:rsidRPr="00BE133F">
        <w:rPr>
          <w:rFonts w:ascii="Verdana" w:hAnsi="Verdana"/>
          <w:sz w:val="20"/>
          <w:szCs w:val="20"/>
        </w:rPr>
        <w:t>, así como para pretender que el Tribunal valore nuevamente cuestiones que ya han sido resueltas por éste en la Sentencia</w:t>
      </w:r>
      <w:r w:rsidRPr="00BE133F">
        <w:rPr>
          <w:rStyle w:val="FootnoteReference"/>
          <w:rFonts w:ascii="Verdana" w:hAnsi="Verdana"/>
          <w:sz w:val="20"/>
          <w:szCs w:val="20"/>
        </w:rPr>
        <w:footnoteReference w:id="8"/>
      </w:r>
      <w:r w:rsidRPr="00BE133F">
        <w:rPr>
          <w:rFonts w:ascii="Verdana" w:hAnsi="Verdana"/>
          <w:sz w:val="20"/>
          <w:szCs w:val="20"/>
        </w:rPr>
        <w:t>. De igual manera, por esta vía tampoco se puede intentar que se amplíe el alcance de una medida de reparación ordenada oportunamente</w:t>
      </w:r>
      <w:r w:rsidRPr="00BE133F">
        <w:rPr>
          <w:rStyle w:val="FootnoteReference"/>
          <w:rFonts w:ascii="Verdana" w:hAnsi="Verdana"/>
          <w:sz w:val="20"/>
          <w:szCs w:val="20"/>
        </w:rPr>
        <w:footnoteReference w:id="9"/>
      </w:r>
      <w:r w:rsidRPr="00BE133F">
        <w:rPr>
          <w:rFonts w:ascii="Verdana" w:hAnsi="Verdana"/>
          <w:sz w:val="20"/>
          <w:szCs w:val="20"/>
        </w:rPr>
        <w:t xml:space="preserve">. </w:t>
      </w:r>
    </w:p>
    <w:p w:rsidR="0089460F" w:rsidRPr="00BE133F" w:rsidRDefault="0089460F" w:rsidP="0089460F">
      <w:pPr>
        <w:spacing w:after="0" w:line="240" w:lineRule="auto"/>
        <w:jc w:val="both"/>
        <w:rPr>
          <w:rFonts w:ascii="Verdana" w:hAnsi="Verdana"/>
          <w:sz w:val="20"/>
          <w:szCs w:val="20"/>
        </w:rPr>
      </w:pPr>
    </w:p>
    <w:p w:rsidR="0089460F" w:rsidRPr="00ED1616" w:rsidRDefault="0089460F" w:rsidP="0089460F">
      <w:pPr>
        <w:pStyle w:val="Prrafodelista2"/>
        <w:numPr>
          <w:ilvl w:val="0"/>
          <w:numId w:val="1"/>
        </w:numPr>
        <w:tabs>
          <w:tab w:val="left" w:pos="567"/>
          <w:tab w:val="left" w:pos="720"/>
          <w:tab w:val="num" w:pos="15467"/>
        </w:tabs>
        <w:contextualSpacing/>
        <w:jc w:val="both"/>
      </w:pPr>
      <w:r w:rsidRPr="00222515">
        <w:rPr>
          <w:rFonts w:eastAsia="Calibri" w:cs="Arial"/>
        </w:rPr>
        <w:t xml:space="preserve">En el presente caso el Tribunal nota que la solicitud de interpretación formulada por </w:t>
      </w:r>
      <w:r>
        <w:rPr>
          <w:rFonts w:eastAsia="Calibri" w:cs="Arial"/>
        </w:rPr>
        <w:t>el r</w:t>
      </w:r>
      <w:r w:rsidRPr="00F402FA">
        <w:rPr>
          <w:rFonts w:eastAsia="Calibri" w:cs="Arial"/>
        </w:rPr>
        <w:t xml:space="preserve">epresentante </w:t>
      </w:r>
      <w:r w:rsidRPr="00222515">
        <w:rPr>
          <w:rFonts w:eastAsia="Calibri" w:cs="Arial"/>
        </w:rPr>
        <w:t>no se encuentra dentro del marco establecido en</w:t>
      </w:r>
      <w:r>
        <w:rPr>
          <w:rFonts w:eastAsia="Calibri" w:cs="Arial"/>
        </w:rPr>
        <w:t xml:space="preserve"> el artículo 67 de la Convención Americana;</w:t>
      </w:r>
      <w:r w:rsidRPr="00222515">
        <w:rPr>
          <w:rFonts w:eastAsia="Calibri" w:cs="Arial"/>
        </w:rPr>
        <w:t xml:space="preserve"> </w:t>
      </w:r>
      <w:r>
        <w:rPr>
          <w:rFonts w:eastAsia="Calibri" w:cs="Arial"/>
        </w:rPr>
        <w:t>toda vez que</w:t>
      </w:r>
      <w:r w:rsidRPr="00222515">
        <w:rPr>
          <w:rFonts w:eastAsia="Calibri" w:cs="Arial"/>
        </w:rPr>
        <w:t xml:space="preserve"> el propósito de la interpretación </w:t>
      </w:r>
      <w:r w:rsidR="004A6D94">
        <w:rPr>
          <w:rFonts w:eastAsia="Calibri" w:cs="Arial"/>
        </w:rPr>
        <w:t>debe ser</w:t>
      </w:r>
      <w:r w:rsidRPr="00222515">
        <w:rPr>
          <w:rFonts w:eastAsia="Calibri" w:cs="Arial"/>
        </w:rPr>
        <w:t xml:space="preserve"> aclarar algún punto impreciso o ambiguo </w:t>
      </w:r>
      <w:r>
        <w:rPr>
          <w:rFonts w:eastAsia="Calibri" w:cs="Arial"/>
        </w:rPr>
        <w:t>sobre el sentido o alcance de la S</w:t>
      </w:r>
      <w:r w:rsidRPr="00222515">
        <w:rPr>
          <w:rFonts w:eastAsia="Calibri" w:cs="Arial"/>
        </w:rPr>
        <w:t xml:space="preserve">entencia. </w:t>
      </w:r>
      <w:r>
        <w:rPr>
          <w:rFonts w:eastAsia="Calibri" w:cs="Arial"/>
        </w:rPr>
        <w:t>Respecto de la violación de</w:t>
      </w:r>
      <w:r w:rsidRPr="00222515">
        <w:rPr>
          <w:rFonts w:eastAsia="Calibri" w:cs="Arial"/>
        </w:rPr>
        <w:t xml:space="preserve">l artículo 24 de la Convención Americana, </w:t>
      </w:r>
      <w:r>
        <w:rPr>
          <w:rFonts w:eastAsia="Calibri" w:cs="Arial"/>
        </w:rPr>
        <w:t>tras el análisis de los hechos y la valoración de las pruebas presentadas,</w:t>
      </w:r>
      <w:r w:rsidRPr="00222515">
        <w:rPr>
          <w:rFonts w:eastAsia="Calibri" w:cs="Arial"/>
        </w:rPr>
        <w:t xml:space="preserve"> </w:t>
      </w:r>
      <w:r>
        <w:rPr>
          <w:rFonts w:eastAsia="Calibri" w:cs="Arial"/>
        </w:rPr>
        <w:t xml:space="preserve">la Corte </w:t>
      </w:r>
      <w:r w:rsidRPr="00222515">
        <w:rPr>
          <w:rFonts w:eastAsia="Calibri" w:cs="Arial"/>
        </w:rPr>
        <w:t xml:space="preserve">ha emitido un pronunciamiento claro en el sentido </w:t>
      </w:r>
      <w:r>
        <w:rPr>
          <w:rFonts w:eastAsia="Calibri" w:cs="Arial"/>
        </w:rPr>
        <w:t xml:space="preserve">de </w:t>
      </w:r>
      <w:r w:rsidRPr="00222515">
        <w:rPr>
          <w:rFonts w:eastAsia="Calibri" w:cs="Arial"/>
        </w:rPr>
        <w:t>que en el presente caso no existen elementos para establecer que se configura una violación al derecho a la igualdad ante la ley</w:t>
      </w:r>
      <w:r>
        <w:rPr>
          <w:rFonts w:eastAsia="Calibri" w:cs="Arial"/>
        </w:rPr>
        <w:t xml:space="preserve"> en perjuicio del señor Carlos Alberto Canales Huapaya</w:t>
      </w:r>
      <w:r w:rsidRPr="00222515">
        <w:rPr>
          <w:rFonts w:eastAsia="Calibri" w:cs="Arial"/>
        </w:rPr>
        <w:t xml:space="preserve">. </w:t>
      </w:r>
      <w:r>
        <w:rPr>
          <w:rFonts w:eastAsia="Calibri" w:cs="Arial"/>
        </w:rPr>
        <w:t>En vista de lo anterior, no es procedente que dicho párrafo</w:t>
      </w:r>
      <w:r w:rsidRPr="003645D7">
        <w:rPr>
          <w:rFonts w:eastAsia="Calibri" w:cs="Arial"/>
        </w:rPr>
        <w:t xml:space="preserve"> de la </w:t>
      </w:r>
      <w:r>
        <w:rPr>
          <w:rFonts w:eastAsia="Calibri" w:cs="Arial"/>
        </w:rPr>
        <w:t>S</w:t>
      </w:r>
      <w:r w:rsidRPr="003645D7">
        <w:rPr>
          <w:rFonts w:eastAsia="Calibri" w:cs="Arial"/>
        </w:rPr>
        <w:t xml:space="preserve">entencia sea </w:t>
      </w:r>
      <w:r>
        <w:rPr>
          <w:rFonts w:eastAsia="Calibri" w:cs="Arial"/>
        </w:rPr>
        <w:t>objeto</w:t>
      </w:r>
      <w:r w:rsidRPr="003645D7">
        <w:rPr>
          <w:rFonts w:eastAsia="Calibri" w:cs="Arial"/>
        </w:rPr>
        <w:t xml:space="preserve"> de interpretación.</w:t>
      </w:r>
    </w:p>
    <w:p w:rsidR="0089460F" w:rsidRDefault="0089460F" w:rsidP="0089460F">
      <w:pPr>
        <w:pStyle w:val="Prrafodelista2"/>
        <w:tabs>
          <w:tab w:val="left" w:pos="567"/>
          <w:tab w:val="left" w:pos="720"/>
        </w:tabs>
        <w:ind w:left="0"/>
        <w:contextualSpacing/>
        <w:jc w:val="both"/>
      </w:pPr>
    </w:p>
    <w:p w:rsidR="0089460F" w:rsidRPr="005C1433" w:rsidRDefault="0089460F" w:rsidP="0089460F">
      <w:pPr>
        <w:pStyle w:val="Prrafodelista2"/>
        <w:numPr>
          <w:ilvl w:val="0"/>
          <w:numId w:val="1"/>
        </w:numPr>
        <w:tabs>
          <w:tab w:val="left" w:pos="567"/>
          <w:tab w:val="left" w:pos="720"/>
          <w:tab w:val="num" w:pos="15467"/>
        </w:tabs>
        <w:contextualSpacing/>
        <w:jc w:val="both"/>
      </w:pPr>
      <w:r>
        <w:rPr>
          <w:lang w:val="es-CR"/>
        </w:rPr>
        <w:t xml:space="preserve">En lo relativo a las “apreciaciones” presentadas por el representante respecto de las medidas de reparación, la Corte no se referirá a las mismas puesto que no se realizó una solicitud de interpretación al respecto. </w:t>
      </w:r>
    </w:p>
    <w:p w:rsidR="00064C1E" w:rsidRPr="00BE133F" w:rsidRDefault="00064C1E" w:rsidP="00064C1E">
      <w:pPr>
        <w:tabs>
          <w:tab w:val="left" w:pos="567"/>
        </w:tabs>
        <w:autoSpaceDE w:val="0"/>
        <w:autoSpaceDN w:val="0"/>
        <w:adjustRightInd w:val="0"/>
        <w:spacing w:after="0" w:line="240" w:lineRule="auto"/>
        <w:jc w:val="both"/>
        <w:rPr>
          <w:rFonts w:ascii="Verdana" w:hAnsi="Verdana"/>
          <w:sz w:val="20"/>
          <w:szCs w:val="20"/>
        </w:rPr>
      </w:pPr>
    </w:p>
    <w:p w:rsidR="00577097" w:rsidRDefault="00064C1E" w:rsidP="0089460F">
      <w:pPr>
        <w:pStyle w:val="ListParagraph"/>
        <w:numPr>
          <w:ilvl w:val="0"/>
          <w:numId w:val="3"/>
        </w:numPr>
        <w:tabs>
          <w:tab w:val="left" w:pos="567"/>
        </w:tabs>
        <w:spacing w:after="0" w:line="240" w:lineRule="auto"/>
        <w:jc w:val="both"/>
        <w:rPr>
          <w:rFonts w:ascii="Verdana" w:eastAsia="Times" w:hAnsi="Verdana"/>
          <w:b/>
          <w:i/>
          <w:sz w:val="20"/>
          <w:szCs w:val="20"/>
        </w:rPr>
      </w:pPr>
      <w:r w:rsidRPr="0089460F">
        <w:rPr>
          <w:rFonts w:ascii="Verdana" w:eastAsia="Times" w:hAnsi="Verdana"/>
          <w:b/>
          <w:i/>
          <w:sz w:val="20"/>
          <w:szCs w:val="20"/>
        </w:rPr>
        <w:t>Solicitud de interpretación presentada por el Estado</w:t>
      </w:r>
    </w:p>
    <w:p w:rsidR="0089460F" w:rsidRDefault="0089460F" w:rsidP="0089460F">
      <w:pPr>
        <w:tabs>
          <w:tab w:val="left" w:pos="567"/>
        </w:tabs>
        <w:spacing w:after="0" w:line="240" w:lineRule="auto"/>
        <w:jc w:val="both"/>
        <w:rPr>
          <w:rFonts w:ascii="Verdana" w:eastAsia="Times" w:hAnsi="Verdana"/>
          <w:b/>
          <w:i/>
          <w:sz w:val="20"/>
          <w:szCs w:val="20"/>
        </w:rPr>
      </w:pPr>
    </w:p>
    <w:p w:rsidR="0089460F" w:rsidRPr="0089460F" w:rsidRDefault="0089460F" w:rsidP="001D14A6">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B</w:t>
      </w:r>
      <w:r w:rsidRPr="00BE133F">
        <w:rPr>
          <w:rFonts w:ascii="Verdana" w:eastAsia="Times" w:hAnsi="Verdana"/>
          <w:i/>
          <w:sz w:val="20"/>
          <w:szCs w:val="20"/>
        </w:rPr>
        <w:t xml:space="preserve">.1 </w:t>
      </w:r>
      <w:r>
        <w:rPr>
          <w:rFonts w:ascii="Verdana" w:eastAsia="Times" w:hAnsi="Verdana"/>
          <w:i/>
          <w:sz w:val="20"/>
          <w:szCs w:val="20"/>
        </w:rPr>
        <w:t>Argumentos de las partes</w:t>
      </w:r>
      <w:r w:rsidR="007274AC">
        <w:rPr>
          <w:rFonts w:ascii="Verdana" w:eastAsia="Times" w:hAnsi="Verdana"/>
          <w:i/>
          <w:sz w:val="20"/>
          <w:szCs w:val="20"/>
        </w:rPr>
        <w:t xml:space="preserve"> y de la Comisión</w:t>
      </w:r>
    </w:p>
    <w:p w:rsidR="00064C1E" w:rsidRPr="00BE133F" w:rsidRDefault="00064C1E" w:rsidP="00577097">
      <w:pPr>
        <w:tabs>
          <w:tab w:val="left" w:pos="567"/>
        </w:tabs>
        <w:spacing w:after="0" w:line="240" w:lineRule="auto"/>
        <w:jc w:val="both"/>
        <w:rPr>
          <w:rFonts w:ascii="Verdana" w:eastAsia="Times" w:hAnsi="Verdana"/>
          <w:sz w:val="20"/>
          <w:szCs w:val="20"/>
          <w:lang w:val="es-ES_tradnl"/>
        </w:rPr>
      </w:pPr>
    </w:p>
    <w:p w:rsidR="000A4AD3" w:rsidRPr="000A4AD3" w:rsidRDefault="00513537" w:rsidP="00A079C2">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cs="Verdana"/>
          <w:sz w:val="20"/>
          <w:szCs w:val="20"/>
        </w:rPr>
        <w:t>E</w:t>
      </w:r>
      <w:r w:rsidR="00577097" w:rsidRPr="00BE133F">
        <w:rPr>
          <w:rFonts w:ascii="Verdana" w:hAnsi="Verdana" w:cs="Verdana"/>
          <w:sz w:val="20"/>
          <w:szCs w:val="20"/>
        </w:rPr>
        <w:t xml:space="preserve">l </w:t>
      </w:r>
      <w:r w:rsidR="00577097" w:rsidRPr="00BE133F">
        <w:rPr>
          <w:rFonts w:ascii="Verdana" w:hAnsi="Verdana" w:cs="Verdana"/>
          <w:b/>
          <w:i/>
          <w:sz w:val="20"/>
          <w:szCs w:val="20"/>
        </w:rPr>
        <w:t>Estado</w:t>
      </w:r>
      <w:r w:rsidR="00577097" w:rsidRPr="00BE133F">
        <w:rPr>
          <w:rFonts w:ascii="Verdana" w:hAnsi="Verdana" w:cs="Verdana"/>
          <w:i/>
          <w:sz w:val="20"/>
          <w:szCs w:val="20"/>
        </w:rPr>
        <w:t xml:space="preserve"> </w:t>
      </w:r>
      <w:r w:rsidR="009F646B" w:rsidRPr="00BE133F">
        <w:rPr>
          <w:rFonts w:ascii="Verdana" w:hAnsi="Verdana" w:cs="Verdana"/>
          <w:sz w:val="20"/>
          <w:szCs w:val="20"/>
        </w:rPr>
        <w:t>solicit</w:t>
      </w:r>
      <w:r w:rsidR="00A84857">
        <w:rPr>
          <w:rFonts w:ascii="Verdana" w:hAnsi="Verdana" w:cs="Verdana"/>
          <w:sz w:val="20"/>
          <w:szCs w:val="20"/>
        </w:rPr>
        <w:t>ó</w:t>
      </w:r>
      <w:r w:rsidR="009F646B" w:rsidRPr="00BE133F">
        <w:rPr>
          <w:rFonts w:ascii="Verdana" w:hAnsi="Verdana" w:cs="Verdana"/>
          <w:sz w:val="20"/>
          <w:szCs w:val="20"/>
        </w:rPr>
        <w:t xml:space="preserve"> a la Corte una interp</w:t>
      </w:r>
      <w:r w:rsidR="00A84857">
        <w:rPr>
          <w:rFonts w:ascii="Verdana" w:hAnsi="Verdana" w:cs="Verdana"/>
          <w:sz w:val="20"/>
          <w:szCs w:val="20"/>
        </w:rPr>
        <w:t>retación del párrafo 190 de la S</w:t>
      </w:r>
      <w:r w:rsidR="009F646B" w:rsidRPr="00BE133F">
        <w:rPr>
          <w:rFonts w:ascii="Verdana" w:hAnsi="Verdana" w:cs="Verdana"/>
          <w:sz w:val="20"/>
          <w:szCs w:val="20"/>
        </w:rPr>
        <w:t>entencia</w:t>
      </w:r>
      <w:r w:rsidR="00A84857">
        <w:rPr>
          <w:rFonts w:ascii="Verdana" w:hAnsi="Verdana" w:cs="Verdana"/>
          <w:sz w:val="20"/>
          <w:szCs w:val="20"/>
        </w:rPr>
        <w:t>,</w:t>
      </w:r>
      <w:r w:rsidR="009F646B" w:rsidRPr="00BE133F">
        <w:rPr>
          <w:rFonts w:ascii="Verdana" w:hAnsi="Verdana" w:cs="Verdana"/>
          <w:sz w:val="20"/>
          <w:szCs w:val="20"/>
        </w:rPr>
        <w:t xml:space="preserve"> en</w:t>
      </w:r>
      <w:r w:rsidR="00A84857">
        <w:rPr>
          <w:rFonts w:ascii="Verdana" w:hAnsi="Verdana" w:cs="Verdana"/>
          <w:sz w:val="20"/>
          <w:szCs w:val="20"/>
        </w:rPr>
        <w:t xml:space="preserve"> el cual la Corte estableció</w:t>
      </w:r>
      <w:r w:rsidR="00A079C2" w:rsidRPr="00BE133F">
        <w:rPr>
          <w:rFonts w:ascii="Verdana" w:hAnsi="Verdana" w:cs="Verdana"/>
          <w:sz w:val="20"/>
          <w:szCs w:val="20"/>
        </w:rPr>
        <w:t xml:space="preserve"> el derecho de las víctimas a recibir un</w:t>
      </w:r>
      <w:r w:rsidR="00A84857">
        <w:rPr>
          <w:rFonts w:ascii="Verdana" w:hAnsi="Verdana" w:cs="Verdana"/>
          <w:sz w:val="20"/>
          <w:szCs w:val="20"/>
        </w:rPr>
        <w:t>a suma por los aportes pensiona</w:t>
      </w:r>
      <w:r w:rsidR="00A079C2" w:rsidRPr="00BE133F">
        <w:rPr>
          <w:rFonts w:ascii="Verdana" w:hAnsi="Verdana" w:cs="Verdana"/>
          <w:sz w:val="20"/>
          <w:szCs w:val="20"/>
        </w:rPr>
        <w:t xml:space="preserve">les que no ingresaron a su patrimonio como consecuencia del cese arbitrario del que fueron víctimas. </w:t>
      </w:r>
      <w:r w:rsidR="00C26C4C">
        <w:rPr>
          <w:rFonts w:ascii="Verdana" w:hAnsi="Verdana" w:cs="Verdana"/>
          <w:sz w:val="20"/>
          <w:szCs w:val="20"/>
        </w:rPr>
        <w:t xml:space="preserve">De acuerdo con el Estado dicha disposición </w:t>
      </w:r>
      <w:r w:rsidR="009F646B" w:rsidRPr="00BE133F">
        <w:rPr>
          <w:rFonts w:ascii="Verdana" w:hAnsi="Verdana" w:cs="Verdana"/>
          <w:sz w:val="20"/>
          <w:szCs w:val="20"/>
        </w:rPr>
        <w:t>resulta discordante con lo estab</w:t>
      </w:r>
      <w:r w:rsidR="00A84857">
        <w:rPr>
          <w:rFonts w:ascii="Verdana" w:hAnsi="Verdana" w:cs="Verdana"/>
          <w:sz w:val="20"/>
          <w:szCs w:val="20"/>
        </w:rPr>
        <w:t>lecido en el párrafo 114 de la S</w:t>
      </w:r>
      <w:r w:rsidR="009F646B" w:rsidRPr="00BE133F">
        <w:rPr>
          <w:rFonts w:ascii="Verdana" w:hAnsi="Verdana" w:cs="Verdana"/>
          <w:sz w:val="20"/>
          <w:szCs w:val="20"/>
        </w:rPr>
        <w:t>enten</w:t>
      </w:r>
      <w:r w:rsidR="00A079C2" w:rsidRPr="00BE133F">
        <w:rPr>
          <w:rFonts w:ascii="Verdana" w:hAnsi="Verdana" w:cs="Verdana"/>
          <w:sz w:val="20"/>
          <w:szCs w:val="20"/>
        </w:rPr>
        <w:t>cia</w:t>
      </w:r>
      <w:r w:rsidR="00CA64C1">
        <w:rPr>
          <w:rFonts w:ascii="Verdana" w:hAnsi="Verdana" w:cs="Verdana"/>
          <w:sz w:val="20"/>
          <w:szCs w:val="20"/>
        </w:rPr>
        <w:t>,</w:t>
      </w:r>
      <w:r w:rsidR="00A079C2" w:rsidRPr="00BE133F">
        <w:rPr>
          <w:rFonts w:ascii="Verdana" w:hAnsi="Verdana" w:cs="Verdana"/>
          <w:sz w:val="20"/>
          <w:szCs w:val="20"/>
        </w:rPr>
        <w:t xml:space="preserve"> en el cual la </w:t>
      </w:r>
      <w:r w:rsidR="00E571D7">
        <w:rPr>
          <w:rFonts w:ascii="Verdana" w:hAnsi="Verdana" w:cs="Verdana"/>
          <w:sz w:val="20"/>
          <w:szCs w:val="20"/>
        </w:rPr>
        <w:t>C</w:t>
      </w:r>
      <w:r w:rsidR="00A079C2" w:rsidRPr="00BE133F">
        <w:rPr>
          <w:rFonts w:ascii="Verdana" w:hAnsi="Verdana" w:cs="Verdana"/>
          <w:sz w:val="20"/>
          <w:szCs w:val="20"/>
        </w:rPr>
        <w:t>orte señal</w:t>
      </w:r>
      <w:r w:rsidR="00A84857">
        <w:rPr>
          <w:rFonts w:ascii="Verdana" w:hAnsi="Verdana" w:cs="Verdana"/>
          <w:sz w:val="20"/>
          <w:szCs w:val="20"/>
        </w:rPr>
        <w:t>ó</w:t>
      </w:r>
      <w:r w:rsidR="00A079C2" w:rsidRPr="00BE133F">
        <w:rPr>
          <w:rFonts w:ascii="Verdana" w:hAnsi="Verdana" w:cs="Verdana"/>
          <w:sz w:val="20"/>
          <w:szCs w:val="20"/>
        </w:rPr>
        <w:t xml:space="preserve"> </w:t>
      </w:r>
      <w:r w:rsidR="00C26C4C">
        <w:rPr>
          <w:rFonts w:ascii="Verdana" w:hAnsi="Verdana" w:cs="Verdana"/>
          <w:sz w:val="20"/>
          <w:szCs w:val="20"/>
        </w:rPr>
        <w:t>que no ha sido finalidad de la S</w:t>
      </w:r>
      <w:r w:rsidR="009F646B" w:rsidRPr="00BE133F">
        <w:rPr>
          <w:rFonts w:ascii="Verdana" w:hAnsi="Verdana" w:cs="Verdana"/>
          <w:sz w:val="20"/>
          <w:szCs w:val="20"/>
        </w:rPr>
        <w:t xml:space="preserve">entencia precisar la naturaleza de los ceses a los que fueron sometidos las víctimas del presente caso.  </w:t>
      </w:r>
    </w:p>
    <w:p w:rsidR="000A4AD3" w:rsidRPr="000A4AD3" w:rsidRDefault="000A4AD3" w:rsidP="000A4AD3">
      <w:pPr>
        <w:tabs>
          <w:tab w:val="left" w:pos="567"/>
        </w:tabs>
        <w:autoSpaceDE w:val="0"/>
        <w:autoSpaceDN w:val="0"/>
        <w:adjustRightInd w:val="0"/>
        <w:spacing w:after="0" w:line="240" w:lineRule="auto"/>
        <w:jc w:val="both"/>
        <w:rPr>
          <w:rFonts w:ascii="Verdana" w:hAnsi="Verdana"/>
          <w:sz w:val="20"/>
          <w:szCs w:val="20"/>
        </w:rPr>
      </w:pPr>
    </w:p>
    <w:p w:rsidR="00A079C2" w:rsidRPr="00BE133F" w:rsidRDefault="009F646B" w:rsidP="00A079C2">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cs="Verdana"/>
          <w:sz w:val="20"/>
          <w:szCs w:val="20"/>
        </w:rPr>
        <w:t>En consecuencia, el Estado peruano solicit</w:t>
      </w:r>
      <w:r w:rsidR="00A84857">
        <w:rPr>
          <w:rFonts w:ascii="Verdana" w:hAnsi="Verdana" w:cs="Verdana"/>
          <w:sz w:val="20"/>
          <w:szCs w:val="20"/>
        </w:rPr>
        <w:t>ó</w:t>
      </w:r>
      <w:r w:rsidRPr="00BE133F">
        <w:rPr>
          <w:rFonts w:ascii="Verdana" w:hAnsi="Verdana" w:cs="Verdana"/>
          <w:sz w:val="20"/>
          <w:szCs w:val="20"/>
        </w:rPr>
        <w:t xml:space="preserve"> la interpretación en el sentido </w:t>
      </w:r>
      <w:r w:rsidR="001B7615">
        <w:rPr>
          <w:rFonts w:ascii="Verdana" w:hAnsi="Verdana" w:cs="Verdana"/>
          <w:sz w:val="20"/>
          <w:szCs w:val="20"/>
        </w:rPr>
        <w:t>de: a</w:t>
      </w:r>
      <w:r w:rsidR="00A84857">
        <w:rPr>
          <w:rFonts w:ascii="Verdana" w:hAnsi="Verdana" w:cs="Verdana"/>
          <w:sz w:val="20"/>
          <w:szCs w:val="20"/>
        </w:rPr>
        <w:t xml:space="preserve">) si </w:t>
      </w:r>
      <w:r w:rsidR="0010417B">
        <w:rPr>
          <w:rFonts w:ascii="Verdana" w:hAnsi="Verdana" w:cs="Verdana"/>
          <w:sz w:val="20"/>
          <w:szCs w:val="20"/>
        </w:rPr>
        <w:t>“</w:t>
      </w:r>
      <w:r w:rsidR="00A84857">
        <w:rPr>
          <w:rFonts w:ascii="Verdana" w:hAnsi="Verdana" w:cs="Verdana"/>
          <w:sz w:val="20"/>
          <w:szCs w:val="20"/>
        </w:rPr>
        <w:t xml:space="preserve">en el caso </w:t>
      </w:r>
      <w:r w:rsidR="00262910">
        <w:rPr>
          <w:rFonts w:ascii="Verdana" w:hAnsi="Verdana" w:cs="Verdana"/>
          <w:sz w:val="20"/>
          <w:szCs w:val="20"/>
        </w:rPr>
        <w:t xml:space="preserve">[…] </w:t>
      </w:r>
      <w:r w:rsidR="00A84857">
        <w:rPr>
          <w:rFonts w:ascii="Verdana" w:hAnsi="Verdana" w:cs="Verdana"/>
          <w:sz w:val="20"/>
          <w:szCs w:val="20"/>
        </w:rPr>
        <w:t>fue objeto de análisis por parte de la Corte si los ceses de las víctimas fueron arbitrarios</w:t>
      </w:r>
      <w:r w:rsidR="0010417B">
        <w:rPr>
          <w:rFonts w:ascii="Verdana" w:hAnsi="Verdana" w:cs="Verdana"/>
          <w:sz w:val="20"/>
          <w:szCs w:val="20"/>
        </w:rPr>
        <w:t>”</w:t>
      </w:r>
      <w:r w:rsidRPr="00BE133F">
        <w:rPr>
          <w:rFonts w:ascii="Verdana" w:hAnsi="Verdana" w:cs="Verdana"/>
          <w:sz w:val="20"/>
          <w:szCs w:val="20"/>
        </w:rPr>
        <w:t>,</w:t>
      </w:r>
      <w:r w:rsidR="001B7615">
        <w:rPr>
          <w:rFonts w:ascii="Verdana" w:hAnsi="Verdana" w:cs="Verdana"/>
          <w:sz w:val="20"/>
          <w:szCs w:val="20"/>
        </w:rPr>
        <w:t xml:space="preserve"> y b</w:t>
      </w:r>
      <w:r w:rsidR="00A84857">
        <w:rPr>
          <w:rFonts w:ascii="Verdana" w:hAnsi="Verdana" w:cs="Verdana"/>
          <w:sz w:val="20"/>
          <w:szCs w:val="20"/>
        </w:rPr>
        <w:t>)</w:t>
      </w:r>
      <w:r w:rsidRPr="00BE133F">
        <w:rPr>
          <w:rFonts w:ascii="Verdana" w:hAnsi="Verdana" w:cs="Verdana"/>
          <w:sz w:val="20"/>
          <w:szCs w:val="20"/>
        </w:rPr>
        <w:t xml:space="preserve"> </w:t>
      </w:r>
      <w:r w:rsidR="0010417B">
        <w:rPr>
          <w:rFonts w:ascii="Verdana" w:hAnsi="Verdana" w:cs="Verdana"/>
          <w:sz w:val="20"/>
          <w:szCs w:val="20"/>
        </w:rPr>
        <w:t>“si</w:t>
      </w:r>
      <w:r w:rsidR="00A84857">
        <w:rPr>
          <w:rFonts w:ascii="Verdana" w:hAnsi="Verdana" w:cs="Verdana"/>
          <w:sz w:val="20"/>
          <w:szCs w:val="20"/>
        </w:rPr>
        <w:t xml:space="preserve"> la respuesta </w:t>
      </w:r>
      <w:r w:rsidR="0010417B">
        <w:rPr>
          <w:rFonts w:ascii="Verdana" w:hAnsi="Verdana" w:cs="Verdana"/>
          <w:sz w:val="20"/>
          <w:szCs w:val="20"/>
        </w:rPr>
        <w:t>es</w:t>
      </w:r>
      <w:r w:rsidR="00A84857">
        <w:rPr>
          <w:rFonts w:ascii="Verdana" w:hAnsi="Verdana" w:cs="Verdana"/>
          <w:sz w:val="20"/>
          <w:szCs w:val="20"/>
        </w:rPr>
        <w:t xml:space="preserve"> negativa, es decir</w:t>
      </w:r>
      <w:r w:rsidR="0010417B">
        <w:rPr>
          <w:rFonts w:ascii="Verdana" w:hAnsi="Verdana" w:cs="Verdana"/>
          <w:sz w:val="20"/>
          <w:szCs w:val="20"/>
        </w:rPr>
        <w:t>,</w:t>
      </w:r>
      <w:r w:rsidR="00A84857">
        <w:rPr>
          <w:rFonts w:ascii="Verdana" w:hAnsi="Verdana" w:cs="Verdana"/>
          <w:sz w:val="20"/>
          <w:szCs w:val="20"/>
        </w:rPr>
        <w:t xml:space="preserve"> </w:t>
      </w:r>
      <w:r w:rsidRPr="00BE133F">
        <w:rPr>
          <w:rFonts w:ascii="Verdana" w:hAnsi="Verdana" w:cs="Verdana"/>
          <w:sz w:val="20"/>
          <w:szCs w:val="20"/>
        </w:rPr>
        <w:t>si es</w:t>
      </w:r>
      <w:r w:rsidR="0010417B">
        <w:rPr>
          <w:rFonts w:ascii="Verdana" w:hAnsi="Verdana" w:cs="Verdana"/>
          <w:sz w:val="20"/>
          <w:szCs w:val="20"/>
        </w:rPr>
        <w:t>e</w:t>
      </w:r>
      <w:r w:rsidRPr="00BE133F">
        <w:rPr>
          <w:rFonts w:ascii="Verdana" w:hAnsi="Verdana" w:cs="Verdana"/>
          <w:sz w:val="20"/>
          <w:szCs w:val="20"/>
        </w:rPr>
        <w:t xml:space="preserve"> no fue el objeto </w:t>
      </w:r>
      <w:r w:rsidR="0010417B">
        <w:rPr>
          <w:rFonts w:ascii="Verdana" w:hAnsi="Verdana" w:cs="Verdana"/>
          <w:sz w:val="20"/>
          <w:szCs w:val="20"/>
        </w:rPr>
        <w:t>[</w:t>
      </w:r>
      <w:r w:rsidRPr="00BE133F">
        <w:rPr>
          <w:rFonts w:ascii="Verdana" w:hAnsi="Verdana" w:cs="Verdana"/>
          <w:sz w:val="20"/>
          <w:szCs w:val="20"/>
        </w:rPr>
        <w:t>de análisis por parte de la Corte</w:t>
      </w:r>
      <w:r w:rsidR="0010417B">
        <w:rPr>
          <w:rFonts w:ascii="Verdana" w:hAnsi="Verdana" w:cs="Verdana"/>
          <w:sz w:val="20"/>
          <w:szCs w:val="20"/>
        </w:rPr>
        <w:t>]</w:t>
      </w:r>
      <w:r w:rsidR="00A84857">
        <w:rPr>
          <w:rFonts w:ascii="Verdana" w:hAnsi="Verdana" w:cs="Verdana"/>
          <w:sz w:val="20"/>
          <w:szCs w:val="20"/>
        </w:rPr>
        <w:t>,</w:t>
      </w:r>
      <w:r w:rsidR="000C7596">
        <w:rPr>
          <w:rFonts w:ascii="Verdana" w:hAnsi="Verdana" w:cs="Verdana"/>
          <w:sz w:val="20"/>
          <w:szCs w:val="20"/>
        </w:rPr>
        <w:t xml:space="preserve"> </w:t>
      </w:r>
      <w:r w:rsidRPr="00BE133F">
        <w:rPr>
          <w:rFonts w:ascii="Verdana" w:hAnsi="Verdana" w:cs="Verdana"/>
          <w:sz w:val="20"/>
          <w:szCs w:val="20"/>
        </w:rPr>
        <w:t xml:space="preserve">ello </w:t>
      </w:r>
      <w:proofErr w:type="gramStart"/>
      <w:r w:rsidRPr="00BE133F">
        <w:rPr>
          <w:rFonts w:ascii="Verdana" w:hAnsi="Verdana" w:cs="Verdana"/>
          <w:sz w:val="20"/>
          <w:szCs w:val="20"/>
        </w:rPr>
        <w:t>implica</w:t>
      </w:r>
      <w:r w:rsidR="0010417B">
        <w:rPr>
          <w:rFonts w:ascii="Verdana" w:hAnsi="Verdana" w:cs="Verdana"/>
          <w:sz w:val="20"/>
          <w:szCs w:val="20"/>
        </w:rPr>
        <w:t>[</w:t>
      </w:r>
      <w:proofErr w:type="gramEnd"/>
      <w:r w:rsidR="0010417B">
        <w:rPr>
          <w:rFonts w:ascii="Verdana" w:hAnsi="Verdana" w:cs="Verdana"/>
          <w:sz w:val="20"/>
          <w:szCs w:val="20"/>
        </w:rPr>
        <w:t>ría]</w:t>
      </w:r>
      <w:r w:rsidRPr="00BE133F">
        <w:rPr>
          <w:rFonts w:ascii="Verdana" w:hAnsi="Verdana" w:cs="Verdana"/>
          <w:sz w:val="20"/>
          <w:szCs w:val="20"/>
        </w:rPr>
        <w:t xml:space="preserve"> alguna variación en el monto por equidad otorgado a las víctimas </w:t>
      </w:r>
      <w:r w:rsidR="0010417B">
        <w:rPr>
          <w:rFonts w:ascii="Verdana" w:hAnsi="Verdana" w:cs="Verdana"/>
          <w:sz w:val="20"/>
          <w:szCs w:val="20"/>
        </w:rPr>
        <w:t>que estuvo relacionado con los aportes pensionales”</w:t>
      </w:r>
      <w:r w:rsidRPr="00BE133F">
        <w:rPr>
          <w:rFonts w:ascii="Verdana" w:hAnsi="Verdana" w:cs="Verdana"/>
          <w:sz w:val="20"/>
          <w:szCs w:val="20"/>
        </w:rPr>
        <w:t xml:space="preserve">.  </w:t>
      </w:r>
      <w:r w:rsidR="00577097" w:rsidRPr="00BE133F">
        <w:rPr>
          <w:rFonts w:ascii="Verdana" w:hAnsi="Verdana" w:cs="Verdana"/>
          <w:sz w:val="20"/>
          <w:szCs w:val="20"/>
        </w:rPr>
        <w:t xml:space="preserve"> </w:t>
      </w:r>
    </w:p>
    <w:p w:rsidR="009F646B" w:rsidRPr="00BE133F" w:rsidRDefault="009F646B" w:rsidP="009F646B">
      <w:pPr>
        <w:tabs>
          <w:tab w:val="left" w:pos="567"/>
        </w:tabs>
        <w:autoSpaceDE w:val="0"/>
        <w:autoSpaceDN w:val="0"/>
        <w:adjustRightInd w:val="0"/>
        <w:spacing w:after="0" w:line="240" w:lineRule="auto"/>
        <w:jc w:val="both"/>
        <w:rPr>
          <w:rFonts w:ascii="Verdana" w:hAnsi="Verdana"/>
          <w:sz w:val="20"/>
          <w:szCs w:val="20"/>
        </w:rPr>
      </w:pPr>
    </w:p>
    <w:p w:rsidR="00D03BF0" w:rsidRDefault="00D16F26" w:rsidP="00640BF1">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L</w:t>
      </w:r>
      <w:r w:rsidR="00577097" w:rsidRPr="00BE133F">
        <w:rPr>
          <w:rFonts w:ascii="Verdana" w:hAnsi="Verdana"/>
          <w:sz w:val="20"/>
          <w:szCs w:val="20"/>
        </w:rPr>
        <w:t xml:space="preserve">a </w:t>
      </w:r>
      <w:r w:rsidR="00577097" w:rsidRPr="00BE133F">
        <w:rPr>
          <w:rFonts w:ascii="Verdana" w:hAnsi="Verdana"/>
          <w:b/>
          <w:i/>
          <w:sz w:val="20"/>
          <w:szCs w:val="20"/>
        </w:rPr>
        <w:t>Comisión</w:t>
      </w:r>
      <w:r w:rsidR="007C7F0E" w:rsidRPr="00BE133F">
        <w:rPr>
          <w:rFonts w:ascii="Verdana" w:hAnsi="Verdana"/>
          <w:sz w:val="20"/>
          <w:szCs w:val="20"/>
        </w:rPr>
        <w:t xml:space="preserve"> consideró que la referencia que hizo la Corte a la arbitrariedad de los ceses corresponde al análisis de las reparaciones aplicables</w:t>
      </w:r>
      <w:r w:rsidR="00C26C4C">
        <w:rPr>
          <w:rFonts w:ascii="Verdana" w:hAnsi="Verdana"/>
          <w:sz w:val="20"/>
          <w:szCs w:val="20"/>
        </w:rPr>
        <w:t>,</w:t>
      </w:r>
      <w:r w:rsidR="007C7F0E" w:rsidRPr="00BE133F">
        <w:rPr>
          <w:rFonts w:ascii="Verdana" w:hAnsi="Verdana"/>
          <w:sz w:val="20"/>
          <w:szCs w:val="20"/>
        </w:rPr>
        <w:t xml:space="preserve"> en las cuales la Corte tomó en cuenta de manera transversal y en la medida de lo relevante las determinaciones de la Comisión Especial creada </w:t>
      </w:r>
      <w:r>
        <w:rPr>
          <w:rFonts w:ascii="Verdana" w:hAnsi="Verdana"/>
          <w:sz w:val="20"/>
          <w:szCs w:val="20"/>
        </w:rPr>
        <w:t xml:space="preserve">en Perú </w:t>
      </w:r>
      <w:r w:rsidR="007C7F0E" w:rsidRPr="00BE133F">
        <w:rPr>
          <w:rFonts w:ascii="Verdana" w:hAnsi="Verdana"/>
          <w:sz w:val="20"/>
          <w:szCs w:val="20"/>
        </w:rPr>
        <w:t>en</w:t>
      </w:r>
      <w:r w:rsidR="005C601B">
        <w:rPr>
          <w:rFonts w:ascii="Verdana" w:hAnsi="Verdana"/>
          <w:sz w:val="20"/>
          <w:szCs w:val="20"/>
        </w:rPr>
        <w:t xml:space="preserve"> el marco del cumplimiento del </w:t>
      </w:r>
      <w:r w:rsidR="005C601B" w:rsidRPr="00C26C4C">
        <w:rPr>
          <w:rFonts w:ascii="Verdana" w:hAnsi="Verdana"/>
          <w:i/>
          <w:sz w:val="20"/>
          <w:szCs w:val="20"/>
        </w:rPr>
        <w:t>C</w:t>
      </w:r>
      <w:r w:rsidR="007C7F0E" w:rsidRPr="00C26C4C">
        <w:rPr>
          <w:rFonts w:ascii="Verdana" w:hAnsi="Verdana"/>
          <w:i/>
          <w:sz w:val="20"/>
          <w:szCs w:val="20"/>
        </w:rPr>
        <w:t>aso Aguad</w:t>
      </w:r>
      <w:r w:rsidR="005C601B" w:rsidRPr="00C26C4C">
        <w:rPr>
          <w:rFonts w:ascii="Verdana" w:hAnsi="Verdana"/>
          <w:i/>
          <w:sz w:val="20"/>
          <w:szCs w:val="20"/>
        </w:rPr>
        <w:t xml:space="preserve">o Alfaro y </w:t>
      </w:r>
      <w:r w:rsidR="005C601B" w:rsidRPr="00C26C4C">
        <w:rPr>
          <w:rFonts w:ascii="Verdana" w:hAnsi="Verdana"/>
          <w:i/>
          <w:sz w:val="20"/>
          <w:szCs w:val="20"/>
        </w:rPr>
        <w:lastRenderedPageBreak/>
        <w:t>otros (Trabajadores C</w:t>
      </w:r>
      <w:r w:rsidR="007C7F0E" w:rsidRPr="00C26C4C">
        <w:rPr>
          <w:rFonts w:ascii="Verdana" w:hAnsi="Verdana"/>
          <w:i/>
          <w:sz w:val="20"/>
          <w:szCs w:val="20"/>
        </w:rPr>
        <w:t>esados del Congreso)</w:t>
      </w:r>
      <w:r w:rsidR="00BE351D">
        <w:rPr>
          <w:rFonts w:ascii="Verdana" w:hAnsi="Verdana"/>
          <w:sz w:val="20"/>
          <w:szCs w:val="20"/>
        </w:rPr>
        <w:t>,</w:t>
      </w:r>
      <w:r w:rsidR="007C7F0E" w:rsidRPr="00BE133F">
        <w:rPr>
          <w:rFonts w:ascii="Verdana" w:hAnsi="Verdana"/>
          <w:sz w:val="20"/>
          <w:szCs w:val="20"/>
        </w:rPr>
        <w:t xml:space="preserve"> debido a que dicha Comisión ya efectuó un pronunciamiento sobre la arbitrariedad de los ceses en sede interna. </w:t>
      </w:r>
      <w:r w:rsidR="00FA5146" w:rsidRPr="00BE133F">
        <w:rPr>
          <w:rFonts w:ascii="Verdana" w:hAnsi="Verdana"/>
          <w:sz w:val="20"/>
          <w:szCs w:val="20"/>
        </w:rPr>
        <w:t xml:space="preserve">En </w:t>
      </w:r>
      <w:r w:rsidR="00E57F70" w:rsidRPr="00BE133F">
        <w:rPr>
          <w:rFonts w:ascii="Verdana" w:hAnsi="Verdana"/>
          <w:sz w:val="20"/>
          <w:szCs w:val="20"/>
        </w:rPr>
        <w:t>consecuencia</w:t>
      </w:r>
      <w:r w:rsidR="00FA5146" w:rsidRPr="00BE133F">
        <w:rPr>
          <w:rFonts w:ascii="Verdana" w:hAnsi="Verdana"/>
          <w:sz w:val="20"/>
          <w:szCs w:val="20"/>
        </w:rPr>
        <w:t>, la Comisión consider</w:t>
      </w:r>
      <w:r w:rsidR="00476B19">
        <w:rPr>
          <w:rFonts w:ascii="Verdana" w:hAnsi="Verdana"/>
          <w:sz w:val="20"/>
          <w:szCs w:val="20"/>
        </w:rPr>
        <w:t>ó</w:t>
      </w:r>
      <w:r w:rsidR="00FA5146" w:rsidRPr="00BE133F">
        <w:rPr>
          <w:rFonts w:ascii="Verdana" w:hAnsi="Verdana"/>
          <w:sz w:val="20"/>
          <w:szCs w:val="20"/>
        </w:rPr>
        <w:t xml:space="preserve"> que no existe discordancia entre los párrafos </w:t>
      </w:r>
      <w:r w:rsidR="00476B19">
        <w:rPr>
          <w:rFonts w:ascii="Verdana" w:hAnsi="Verdana"/>
          <w:sz w:val="20"/>
          <w:szCs w:val="20"/>
        </w:rPr>
        <w:t>114 y 190 de la S</w:t>
      </w:r>
      <w:r w:rsidR="00E57F70" w:rsidRPr="00BE133F">
        <w:rPr>
          <w:rFonts w:ascii="Verdana" w:hAnsi="Verdana"/>
          <w:sz w:val="20"/>
          <w:szCs w:val="20"/>
        </w:rPr>
        <w:t xml:space="preserve">entencia, </w:t>
      </w:r>
      <w:r>
        <w:rPr>
          <w:rFonts w:ascii="Verdana" w:hAnsi="Verdana"/>
          <w:sz w:val="20"/>
          <w:szCs w:val="20"/>
        </w:rPr>
        <w:t>por</w:t>
      </w:r>
      <w:r w:rsidR="00E57F70" w:rsidRPr="00BE133F">
        <w:rPr>
          <w:rFonts w:ascii="Verdana" w:hAnsi="Verdana"/>
          <w:sz w:val="20"/>
          <w:szCs w:val="20"/>
        </w:rPr>
        <w:t xml:space="preserve"> lo cual no ca</w:t>
      </w:r>
      <w:r>
        <w:rPr>
          <w:rFonts w:ascii="Verdana" w:hAnsi="Verdana"/>
          <w:sz w:val="20"/>
          <w:szCs w:val="20"/>
        </w:rPr>
        <w:t>be realizar una interpretación al respecto</w:t>
      </w:r>
      <w:r w:rsidR="00E57F70" w:rsidRPr="00BE133F">
        <w:rPr>
          <w:rFonts w:ascii="Verdana" w:hAnsi="Verdana"/>
          <w:sz w:val="20"/>
          <w:szCs w:val="20"/>
        </w:rPr>
        <w:t>.</w:t>
      </w:r>
    </w:p>
    <w:p w:rsidR="00640BF1" w:rsidRPr="00640BF1" w:rsidRDefault="00640BF1" w:rsidP="00640BF1">
      <w:pPr>
        <w:tabs>
          <w:tab w:val="left" w:pos="567"/>
        </w:tabs>
        <w:autoSpaceDE w:val="0"/>
        <w:autoSpaceDN w:val="0"/>
        <w:adjustRightInd w:val="0"/>
        <w:spacing w:after="0" w:line="240" w:lineRule="auto"/>
        <w:jc w:val="both"/>
        <w:rPr>
          <w:rFonts w:ascii="Verdana" w:hAnsi="Verdana"/>
          <w:sz w:val="20"/>
          <w:szCs w:val="20"/>
        </w:rPr>
      </w:pPr>
    </w:p>
    <w:p w:rsidR="00D03BF0" w:rsidRPr="00BE133F" w:rsidRDefault="000775C0" w:rsidP="00D03BF0">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E</w:t>
      </w:r>
      <w:r w:rsidR="00D03BF0" w:rsidRPr="00BE133F">
        <w:rPr>
          <w:rFonts w:ascii="Verdana" w:hAnsi="Verdana"/>
          <w:sz w:val="20"/>
          <w:szCs w:val="20"/>
        </w:rPr>
        <w:t xml:space="preserve">l </w:t>
      </w:r>
      <w:r w:rsidR="00D03BF0" w:rsidRPr="00BE133F">
        <w:rPr>
          <w:rFonts w:ascii="Verdana" w:hAnsi="Verdana"/>
          <w:b/>
          <w:i/>
          <w:sz w:val="20"/>
          <w:szCs w:val="20"/>
        </w:rPr>
        <w:t xml:space="preserve">representante </w:t>
      </w:r>
      <w:r w:rsidR="00D856AB">
        <w:rPr>
          <w:rFonts w:ascii="Verdana" w:hAnsi="Verdana"/>
          <w:sz w:val="20"/>
          <w:szCs w:val="20"/>
        </w:rPr>
        <w:t>señaló</w:t>
      </w:r>
      <w:r w:rsidR="00D03BF0" w:rsidRPr="00BE133F">
        <w:rPr>
          <w:rFonts w:ascii="Verdana" w:hAnsi="Verdana"/>
          <w:sz w:val="20"/>
          <w:szCs w:val="20"/>
        </w:rPr>
        <w:t xml:space="preserve"> que existe un reconocimiento a nivel interno por parte del Estado </w:t>
      </w:r>
      <w:r>
        <w:rPr>
          <w:rFonts w:ascii="Verdana" w:hAnsi="Verdana"/>
          <w:sz w:val="20"/>
          <w:szCs w:val="20"/>
        </w:rPr>
        <w:t xml:space="preserve">peruano </w:t>
      </w:r>
      <w:r w:rsidR="00D03BF0" w:rsidRPr="00BE133F">
        <w:rPr>
          <w:rFonts w:ascii="Verdana" w:hAnsi="Verdana"/>
          <w:sz w:val="20"/>
          <w:szCs w:val="20"/>
        </w:rPr>
        <w:t>respecto de la ilegalidad del cese colectivo de trabajadores</w:t>
      </w:r>
      <w:r w:rsidR="00C1627D">
        <w:rPr>
          <w:rFonts w:ascii="Verdana" w:hAnsi="Verdana"/>
          <w:sz w:val="20"/>
          <w:szCs w:val="20"/>
        </w:rPr>
        <w:t xml:space="preserve"> del Congreso de la República</w:t>
      </w:r>
      <w:r w:rsidR="00BE351D">
        <w:rPr>
          <w:rFonts w:ascii="Verdana" w:hAnsi="Verdana"/>
          <w:sz w:val="20"/>
          <w:szCs w:val="20"/>
        </w:rPr>
        <w:t xml:space="preserve">, </w:t>
      </w:r>
      <w:r w:rsidR="00D03BF0" w:rsidRPr="00BE133F">
        <w:rPr>
          <w:rFonts w:ascii="Verdana" w:hAnsi="Verdana"/>
          <w:sz w:val="20"/>
          <w:szCs w:val="20"/>
        </w:rPr>
        <w:t>en virtud de lo resuelto por la Comisión Especial creada en cumplimiento de l</w:t>
      </w:r>
      <w:r w:rsidR="00D856AB">
        <w:rPr>
          <w:rFonts w:ascii="Verdana" w:hAnsi="Verdana"/>
          <w:sz w:val="20"/>
          <w:szCs w:val="20"/>
        </w:rPr>
        <w:t xml:space="preserve">o dispuesto por la Corte en el </w:t>
      </w:r>
      <w:r w:rsidR="00D856AB" w:rsidRPr="00D856AB">
        <w:rPr>
          <w:rFonts w:ascii="Verdana" w:hAnsi="Verdana"/>
          <w:i/>
          <w:sz w:val="20"/>
          <w:szCs w:val="20"/>
        </w:rPr>
        <w:t>C</w:t>
      </w:r>
      <w:r w:rsidR="00D03BF0" w:rsidRPr="00D856AB">
        <w:rPr>
          <w:rFonts w:ascii="Verdana" w:hAnsi="Verdana"/>
          <w:i/>
          <w:sz w:val="20"/>
          <w:szCs w:val="20"/>
        </w:rPr>
        <w:t>aso Trabajadores Cesados del Congreso</w:t>
      </w:r>
      <w:r w:rsidR="00D03BF0" w:rsidRPr="00BE133F">
        <w:rPr>
          <w:rFonts w:ascii="Verdana" w:hAnsi="Verdana"/>
          <w:sz w:val="20"/>
          <w:szCs w:val="20"/>
        </w:rPr>
        <w:t xml:space="preserve">. En ese sentido, </w:t>
      </w:r>
      <w:r w:rsidR="00D856AB">
        <w:rPr>
          <w:rFonts w:ascii="Verdana" w:hAnsi="Verdana"/>
          <w:sz w:val="20"/>
          <w:szCs w:val="20"/>
        </w:rPr>
        <w:t xml:space="preserve">el representante </w:t>
      </w:r>
      <w:r w:rsidR="00D03BF0" w:rsidRPr="00BE133F">
        <w:rPr>
          <w:rFonts w:ascii="Verdana" w:hAnsi="Verdana"/>
          <w:sz w:val="20"/>
          <w:szCs w:val="20"/>
        </w:rPr>
        <w:t>consider</w:t>
      </w:r>
      <w:r w:rsidR="00D856AB">
        <w:rPr>
          <w:rFonts w:ascii="Verdana" w:hAnsi="Verdana"/>
          <w:sz w:val="20"/>
          <w:szCs w:val="20"/>
        </w:rPr>
        <w:t>ó</w:t>
      </w:r>
      <w:r w:rsidR="00D03BF0" w:rsidRPr="00BE133F">
        <w:rPr>
          <w:rFonts w:ascii="Verdana" w:hAnsi="Verdana"/>
          <w:sz w:val="20"/>
          <w:szCs w:val="20"/>
        </w:rPr>
        <w:t xml:space="preserve"> que el término </w:t>
      </w:r>
      <w:r w:rsidR="00D856AB">
        <w:rPr>
          <w:rFonts w:ascii="Verdana" w:hAnsi="Verdana"/>
          <w:sz w:val="20"/>
          <w:szCs w:val="20"/>
        </w:rPr>
        <w:t>“</w:t>
      </w:r>
      <w:r w:rsidR="00D03BF0" w:rsidRPr="00BE133F">
        <w:rPr>
          <w:rFonts w:ascii="Verdana" w:hAnsi="Verdana"/>
          <w:sz w:val="20"/>
          <w:szCs w:val="20"/>
        </w:rPr>
        <w:t>arbitrario</w:t>
      </w:r>
      <w:r w:rsidR="00D856AB">
        <w:rPr>
          <w:rFonts w:ascii="Verdana" w:hAnsi="Verdana"/>
          <w:sz w:val="20"/>
          <w:szCs w:val="20"/>
        </w:rPr>
        <w:t>”</w:t>
      </w:r>
      <w:r w:rsidR="00D03BF0" w:rsidRPr="00BE133F">
        <w:rPr>
          <w:rFonts w:ascii="Verdana" w:hAnsi="Verdana"/>
          <w:sz w:val="20"/>
          <w:szCs w:val="20"/>
        </w:rPr>
        <w:t xml:space="preserve"> utilizado por la Corte </w:t>
      </w:r>
      <w:r>
        <w:rPr>
          <w:rFonts w:ascii="Verdana" w:hAnsi="Verdana"/>
          <w:sz w:val="20"/>
          <w:szCs w:val="20"/>
        </w:rPr>
        <w:t xml:space="preserve">en la Sentencia </w:t>
      </w:r>
      <w:r w:rsidR="00D03BF0" w:rsidRPr="00BE133F">
        <w:rPr>
          <w:rFonts w:ascii="Verdana" w:hAnsi="Verdana"/>
          <w:sz w:val="20"/>
          <w:szCs w:val="20"/>
        </w:rPr>
        <w:t xml:space="preserve">es adecuado. </w:t>
      </w:r>
    </w:p>
    <w:p w:rsidR="009459FB" w:rsidRPr="00BE133F" w:rsidRDefault="009459FB" w:rsidP="009459FB">
      <w:pPr>
        <w:tabs>
          <w:tab w:val="left" w:pos="567"/>
        </w:tabs>
        <w:autoSpaceDE w:val="0"/>
        <w:autoSpaceDN w:val="0"/>
        <w:adjustRightInd w:val="0"/>
        <w:spacing w:after="0" w:line="240" w:lineRule="auto"/>
        <w:jc w:val="both"/>
        <w:rPr>
          <w:rFonts w:ascii="Verdana" w:hAnsi="Verdana"/>
          <w:sz w:val="20"/>
          <w:szCs w:val="20"/>
        </w:rPr>
      </w:pPr>
    </w:p>
    <w:p w:rsidR="00577097" w:rsidRPr="00ED7607" w:rsidRDefault="007C7F0E" w:rsidP="00D03BF0">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 xml:space="preserve"> </w:t>
      </w:r>
      <w:r w:rsidR="006834DA" w:rsidRPr="00BE133F">
        <w:rPr>
          <w:rFonts w:ascii="Verdana" w:hAnsi="Verdana"/>
          <w:sz w:val="20"/>
          <w:szCs w:val="20"/>
        </w:rPr>
        <w:t xml:space="preserve"> </w:t>
      </w:r>
      <w:r w:rsidR="009459FB" w:rsidRPr="00BE133F">
        <w:rPr>
          <w:rFonts w:ascii="Verdana" w:hAnsi="Verdana"/>
          <w:sz w:val="20"/>
          <w:szCs w:val="20"/>
        </w:rPr>
        <w:t xml:space="preserve"> Por su parte el </w:t>
      </w:r>
      <w:r w:rsidR="009459FB" w:rsidRPr="00BE133F">
        <w:rPr>
          <w:rFonts w:ascii="Verdana" w:hAnsi="Verdana"/>
          <w:b/>
          <w:i/>
          <w:sz w:val="20"/>
          <w:szCs w:val="20"/>
        </w:rPr>
        <w:t xml:space="preserve">señor Castro Ballena </w:t>
      </w:r>
      <w:r w:rsidR="00D856AB">
        <w:rPr>
          <w:rFonts w:ascii="Verdana" w:hAnsi="Verdana"/>
          <w:sz w:val="20"/>
          <w:szCs w:val="20"/>
        </w:rPr>
        <w:t>indicó</w:t>
      </w:r>
      <w:r w:rsidR="009459FB" w:rsidRPr="00BE133F">
        <w:rPr>
          <w:rFonts w:ascii="Verdana" w:hAnsi="Verdana"/>
          <w:sz w:val="20"/>
          <w:szCs w:val="20"/>
        </w:rPr>
        <w:t xml:space="preserve"> que en el marco del cumplimiento </w:t>
      </w:r>
      <w:r w:rsidR="00D856AB">
        <w:rPr>
          <w:rFonts w:ascii="Verdana" w:hAnsi="Verdana"/>
          <w:sz w:val="20"/>
          <w:szCs w:val="20"/>
        </w:rPr>
        <w:t xml:space="preserve">de la sentencia </w:t>
      </w:r>
      <w:r w:rsidR="00372B83">
        <w:rPr>
          <w:rFonts w:ascii="Verdana" w:hAnsi="Verdana"/>
          <w:sz w:val="20"/>
          <w:szCs w:val="20"/>
        </w:rPr>
        <w:t>dictada</w:t>
      </w:r>
      <w:r w:rsidR="00D856AB">
        <w:rPr>
          <w:rFonts w:ascii="Verdana" w:hAnsi="Verdana"/>
          <w:sz w:val="20"/>
          <w:szCs w:val="20"/>
        </w:rPr>
        <w:t xml:space="preserve"> en el </w:t>
      </w:r>
      <w:r w:rsidR="00D856AB" w:rsidRPr="00D856AB">
        <w:rPr>
          <w:rFonts w:ascii="Verdana" w:hAnsi="Verdana"/>
          <w:i/>
          <w:sz w:val="20"/>
          <w:szCs w:val="20"/>
        </w:rPr>
        <w:t>C</w:t>
      </w:r>
      <w:r w:rsidR="009459FB" w:rsidRPr="00D856AB">
        <w:rPr>
          <w:rFonts w:ascii="Verdana" w:hAnsi="Verdana"/>
          <w:i/>
          <w:sz w:val="20"/>
          <w:szCs w:val="20"/>
        </w:rPr>
        <w:t>aso Aguado Alfaro y otros Vs. Perú</w:t>
      </w:r>
      <w:r w:rsidR="009459FB" w:rsidRPr="00BE133F">
        <w:rPr>
          <w:rFonts w:ascii="Verdana" w:hAnsi="Verdana"/>
          <w:sz w:val="20"/>
          <w:szCs w:val="20"/>
        </w:rPr>
        <w:t xml:space="preserve">, el Estado aprobó la conformación de una Comisión Especial </w:t>
      </w:r>
      <w:r w:rsidR="00A138D3" w:rsidRPr="00BE133F">
        <w:rPr>
          <w:rFonts w:ascii="Verdana" w:hAnsi="Verdana"/>
          <w:sz w:val="20"/>
          <w:szCs w:val="20"/>
        </w:rPr>
        <w:t>para la ejecución de la s</w:t>
      </w:r>
      <w:r w:rsidR="004A38D0" w:rsidRPr="00BE133F">
        <w:rPr>
          <w:rFonts w:ascii="Verdana" w:hAnsi="Verdana"/>
          <w:sz w:val="20"/>
          <w:szCs w:val="20"/>
        </w:rPr>
        <w:t>entencia, la cual determinó la arbitrariedad de los ceses. Asimismo, señaló que la solicitud de interpretación formulada por el Estado pretende</w:t>
      </w:r>
      <w:r w:rsidR="00715113">
        <w:rPr>
          <w:rFonts w:ascii="Verdana" w:hAnsi="Verdana"/>
          <w:sz w:val="20"/>
          <w:szCs w:val="20"/>
        </w:rPr>
        <w:t>,</w:t>
      </w:r>
      <w:r w:rsidR="004A38D0" w:rsidRPr="00BE133F">
        <w:rPr>
          <w:rFonts w:ascii="Verdana" w:hAnsi="Verdana"/>
          <w:sz w:val="20"/>
          <w:szCs w:val="20"/>
        </w:rPr>
        <w:t xml:space="preserve"> en el fondo</w:t>
      </w:r>
      <w:r w:rsidR="00715113">
        <w:rPr>
          <w:rFonts w:ascii="Verdana" w:hAnsi="Verdana"/>
          <w:sz w:val="20"/>
          <w:szCs w:val="20"/>
        </w:rPr>
        <w:t>,</w:t>
      </w:r>
      <w:r w:rsidR="004A38D0" w:rsidRPr="00BE133F">
        <w:rPr>
          <w:rFonts w:ascii="Verdana" w:hAnsi="Verdana"/>
          <w:sz w:val="20"/>
          <w:szCs w:val="20"/>
        </w:rPr>
        <w:t xml:space="preserve"> la revocación de lo resuelto por la Corte en materia de reparaciones al solicitar la variación en el monto por equidad otorgado a las v</w:t>
      </w:r>
      <w:r w:rsidR="00A138D3" w:rsidRPr="00BE133F">
        <w:rPr>
          <w:rFonts w:ascii="Verdana" w:hAnsi="Verdana"/>
          <w:sz w:val="20"/>
          <w:szCs w:val="20"/>
        </w:rPr>
        <w:t>íctimas, con el objeto de recortar y desconocer su obligación de reparar los daños causados.</w:t>
      </w:r>
    </w:p>
    <w:p w:rsidR="00577097" w:rsidRPr="00BE133F" w:rsidRDefault="00577097" w:rsidP="00577097">
      <w:pPr>
        <w:tabs>
          <w:tab w:val="left" w:pos="567"/>
        </w:tabs>
        <w:autoSpaceDE w:val="0"/>
        <w:autoSpaceDN w:val="0"/>
        <w:adjustRightInd w:val="0"/>
        <w:spacing w:after="0" w:line="240" w:lineRule="auto"/>
        <w:jc w:val="both"/>
        <w:rPr>
          <w:rFonts w:ascii="Verdana" w:hAnsi="Verdana"/>
          <w:sz w:val="20"/>
          <w:szCs w:val="20"/>
        </w:rPr>
      </w:pPr>
    </w:p>
    <w:p w:rsidR="00577097" w:rsidRPr="0089460F" w:rsidRDefault="0089460F" w:rsidP="001D14A6">
      <w:pPr>
        <w:tabs>
          <w:tab w:val="left" w:pos="567"/>
        </w:tabs>
        <w:spacing w:after="0" w:line="240" w:lineRule="auto"/>
        <w:ind w:left="720"/>
        <w:jc w:val="both"/>
        <w:rPr>
          <w:rFonts w:ascii="Verdana" w:eastAsia="Times" w:hAnsi="Verdana"/>
          <w:i/>
          <w:sz w:val="20"/>
          <w:szCs w:val="20"/>
        </w:rPr>
      </w:pPr>
      <w:r w:rsidRPr="0089460F">
        <w:rPr>
          <w:rFonts w:ascii="Verdana" w:eastAsia="Times" w:hAnsi="Verdana"/>
          <w:i/>
          <w:sz w:val="20"/>
          <w:szCs w:val="20"/>
        </w:rPr>
        <w:t xml:space="preserve">B.2 </w:t>
      </w:r>
      <w:r w:rsidR="00577097" w:rsidRPr="0089460F">
        <w:rPr>
          <w:rFonts w:ascii="Verdana" w:eastAsia="Times" w:hAnsi="Verdana"/>
          <w:i/>
          <w:sz w:val="20"/>
          <w:szCs w:val="20"/>
        </w:rPr>
        <w:t>Consideraciones de la Corte</w:t>
      </w:r>
    </w:p>
    <w:p w:rsidR="00161EF0" w:rsidRPr="00BE133F" w:rsidRDefault="00161EF0" w:rsidP="00161EF0">
      <w:pPr>
        <w:tabs>
          <w:tab w:val="left" w:pos="567"/>
        </w:tabs>
        <w:autoSpaceDE w:val="0"/>
        <w:autoSpaceDN w:val="0"/>
        <w:adjustRightInd w:val="0"/>
        <w:spacing w:after="0" w:line="240" w:lineRule="auto"/>
        <w:jc w:val="both"/>
        <w:rPr>
          <w:rFonts w:ascii="Verdana" w:eastAsia="Times" w:hAnsi="Verdana"/>
          <w:sz w:val="20"/>
          <w:szCs w:val="20"/>
        </w:rPr>
      </w:pPr>
    </w:p>
    <w:p w:rsidR="00161EF0" w:rsidRPr="00BE133F" w:rsidRDefault="00161EF0"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En relación a la i</w:t>
      </w:r>
      <w:r w:rsidR="001E1718">
        <w:rPr>
          <w:rFonts w:ascii="Verdana" w:eastAsia="Times" w:hAnsi="Verdana"/>
          <w:sz w:val="20"/>
          <w:szCs w:val="20"/>
          <w:lang w:val="es-ES_tradnl"/>
        </w:rPr>
        <w:t>nterpretación del párrafo 190,</w:t>
      </w:r>
      <w:r w:rsidRPr="00BE133F">
        <w:rPr>
          <w:rFonts w:ascii="Verdana" w:eastAsia="Times" w:hAnsi="Verdana"/>
          <w:sz w:val="20"/>
          <w:szCs w:val="20"/>
          <w:lang w:val="es-ES_tradnl"/>
        </w:rPr>
        <w:t xml:space="preserve"> la solicitud del Estado se formul</w:t>
      </w:r>
      <w:r w:rsidR="001E1718">
        <w:rPr>
          <w:rFonts w:ascii="Verdana" w:eastAsia="Times" w:hAnsi="Verdana"/>
          <w:sz w:val="20"/>
          <w:szCs w:val="20"/>
          <w:lang w:val="es-ES_tradnl"/>
        </w:rPr>
        <w:t>ó</w:t>
      </w:r>
      <w:r w:rsidRPr="00BE133F">
        <w:rPr>
          <w:rFonts w:ascii="Verdana" w:eastAsia="Times" w:hAnsi="Verdana"/>
          <w:sz w:val="20"/>
          <w:szCs w:val="20"/>
          <w:lang w:val="es-ES_tradnl"/>
        </w:rPr>
        <w:t xml:space="preserve"> bajo la premisa d</w:t>
      </w:r>
      <w:r w:rsidR="007034DA">
        <w:rPr>
          <w:rFonts w:ascii="Verdana" w:eastAsia="Times" w:hAnsi="Verdana"/>
          <w:sz w:val="20"/>
          <w:szCs w:val="20"/>
          <w:lang w:val="es-ES_tradnl"/>
        </w:rPr>
        <w:t xml:space="preserve">e que lo establecido en dicho </w:t>
      </w:r>
      <w:r w:rsidRPr="00BE133F">
        <w:rPr>
          <w:rFonts w:ascii="Verdana" w:eastAsia="Times" w:hAnsi="Verdana"/>
          <w:sz w:val="20"/>
          <w:szCs w:val="20"/>
          <w:lang w:val="es-ES_tradnl"/>
        </w:rPr>
        <w:t xml:space="preserve">párrafo </w:t>
      </w:r>
      <w:r w:rsidR="00F975C9">
        <w:rPr>
          <w:rFonts w:ascii="Verdana" w:eastAsia="Times" w:hAnsi="Verdana"/>
          <w:sz w:val="20"/>
          <w:szCs w:val="20"/>
          <w:lang w:val="es-ES_tradnl"/>
        </w:rPr>
        <w:t>es contradictorio</w:t>
      </w:r>
      <w:r w:rsidRPr="00BE133F">
        <w:rPr>
          <w:rFonts w:ascii="Verdana" w:eastAsia="Times" w:hAnsi="Verdana"/>
          <w:sz w:val="20"/>
          <w:szCs w:val="20"/>
          <w:lang w:val="es-ES_tradnl"/>
        </w:rPr>
        <w:t xml:space="preserve"> con el párrafo 114</w:t>
      </w:r>
      <w:r w:rsidR="00F975C9">
        <w:rPr>
          <w:rFonts w:ascii="Verdana" w:eastAsia="Times" w:hAnsi="Verdana"/>
          <w:sz w:val="20"/>
          <w:szCs w:val="20"/>
          <w:lang w:val="es-ES_tradnl"/>
        </w:rPr>
        <w:t>. Dichos párrafos de la Sentencia señalan que</w:t>
      </w:r>
      <w:r w:rsidRPr="00BE133F">
        <w:rPr>
          <w:rFonts w:ascii="Verdana" w:eastAsia="Times" w:hAnsi="Verdana"/>
          <w:sz w:val="20"/>
          <w:szCs w:val="20"/>
          <w:lang w:val="es-ES_tradnl"/>
        </w:rPr>
        <w:t>:</w:t>
      </w:r>
    </w:p>
    <w:p w:rsidR="00161EF0" w:rsidRPr="007274AC" w:rsidRDefault="00161EF0" w:rsidP="00161EF0">
      <w:pPr>
        <w:tabs>
          <w:tab w:val="left" w:pos="567"/>
        </w:tabs>
        <w:autoSpaceDE w:val="0"/>
        <w:autoSpaceDN w:val="0"/>
        <w:adjustRightInd w:val="0"/>
        <w:spacing w:after="0" w:line="240" w:lineRule="auto"/>
        <w:jc w:val="both"/>
        <w:rPr>
          <w:rFonts w:ascii="Verdana" w:eastAsia="Times" w:hAnsi="Verdana"/>
          <w:sz w:val="18"/>
          <w:szCs w:val="18"/>
          <w:lang w:val="es-ES_tradnl"/>
        </w:rPr>
      </w:pPr>
    </w:p>
    <w:p w:rsidR="00161EF0" w:rsidRPr="007274AC" w:rsidRDefault="00161EF0" w:rsidP="00F975C9">
      <w:pPr>
        <w:pStyle w:val="ListParagraph"/>
        <w:spacing w:after="0" w:line="240" w:lineRule="auto"/>
        <w:ind w:left="709" w:right="833"/>
        <w:contextualSpacing w:val="0"/>
        <w:jc w:val="both"/>
        <w:rPr>
          <w:rFonts w:ascii="Verdana" w:eastAsia="Times" w:hAnsi="Verdana"/>
          <w:sz w:val="18"/>
          <w:szCs w:val="18"/>
        </w:rPr>
      </w:pPr>
      <w:r w:rsidRPr="007274AC">
        <w:rPr>
          <w:rFonts w:ascii="Verdana" w:eastAsia="Times" w:hAnsi="Verdana"/>
          <w:sz w:val="18"/>
          <w:szCs w:val="18"/>
        </w:rPr>
        <w:t>11</w:t>
      </w:r>
      <w:r w:rsidR="00F975C9" w:rsidRPr="007274AC">
        <w:rPr>
          <w:rFonts w:ascii="Verdana" w:eastAsia="Times" w:hAnsi="Verdana"/>
          <w:sz w:val="18"/>
          <w:szCs w:val="18"/>
        </w:rPr>
        <w:t xml:space="preserve">4. </w:t>
      </w:r>
      <w:r w:rsidRPr="007274AC">
        <w:rPr>
          <w:rFonts w:ascii="Verdana" w:eastAsia="Times" w:hAnsi="Verdana"/>
          <w:sz w:val="18"/>
          <w:szCs w:val="18"/>
        </w:rPr>
        <w:t xml:space="preserve"> La Corte observa que el objeto de la presente Sentencia no ha sido determinar el supuesto carácter arbitrario de los ceses de las presuntas víctimas. Lo declarado por la Corte ha sido la violación de los artículos 8.1 y 25 de la Convención, relativos a las garantías judiciales y protección judicial, en razón de </w:t>
      </w:r>
      <w:r w:rsidRPr="007274AC">
        <w:rPr>
          <w:rFonts w:ascii="Verdana" w:hAnsi="Verdana"/>
          <w:sz w:val="18"/>
          <w:szCs w:val="18"/>
        </w:rPr>
        <w:t>la existencia de impedimentos normativos y prácticos para un efectivo acceso a la justicia</w:t>
      </w:r>
      <w:r w:rsidRPr="007274AC">
        <w:rPr>
          <w:rFonts w:ascii="Verdana" w:eastAsia="Times" w:hAnsi="Verdana"/>
          <w:sz w:val="18"/>
          <w:szCs w:val="18"/>
        </w:rPr>
        <w:t xml:space="preserve"> (</w:t>
      </w:r>
      <w:r w:rsidRPr="007274AC">
        <w:rPr>
          <w:rFonts w:ascii="Verdana" w:eastAsia="Times" w:hAnsi="Verdana"/>
          <w:i/>
          <w:sz w:val="18"/>
          <w:szCs w:val="18"/>
        </w:rPr>
        <w:t xml:space="preserve">supra </w:t>
      </w:r>
      <w:r w:rsidRPr="007274AC">
        <w:rPr>
          <w:rFonts w:ascii="Verdana" w:eastAsia="Times" w:hAnsi="Verdana"/>
          <w:sz w:val="18"/>
          <w:szCs w:val="18"/>
        </w:rPr>
        <w:t xml:space="preserve">párr. 109). En consecuencia, la Corte considera que no procede pronunciarse sobre la alegada violación del derecho a la propiedad. </w:t>
      </w:r>
    </w:p>
    <w:p w:rsidR="00F975C9" w:rsidRPr="007274AC" w:rsidRDefault="00F975C9" w:rsidP="00F975C9">
      <w:pPr>
        <w:pStyle w:val="ListParagraph"/>
        <w:spacing w:after="0" w:line="240" w:lineRule="auto"/>
        <w:ind w:left="709" w:right="833"/>
        <w:contextualSpacing w:val="0"/>
        <w:jc w:val="both"/>
        <w:rPr>
          <w:rFonts w:ascii="Verdana" w:eastAsia="Times" w:hAnsi="Verdana"/>
          <w:sz w:val="18"/>
          <w:szCs w:val="18"/>
        </w:rPr>
      </w:pPr>
    </w:p>
    <w:p w:rsidR="00ED1616" w:rsidRPr="007274AC" w:rsidRDefault="00F975C9" w:rsidP="00DA5FCA">
      <w:pPr>
        <w:pStyle w:val="ListParagraph"/>
        <w:spacing w:after="0" w:line="240" w:lineRule="auto"/>
        <w:ind w:left="709" w:right="833"/>
        <w:contextualSpacing w:val="0"/>
        <w:jc w:val="both"/>
        <w:rPr>
          <w:rFonts w:ascii="Verdana" w:hAnsi="Verdana"/>
          <w:sz w:val="18"/>
          <w:szCs w:val="18"/>
        </w:rPr>
      </w:pPr>
      <w:r w:rsidRPr="007274AC">
        <w:rPr>
          <w:rFonts w:ascii="Verdana" w:hAnsi="Verdana"/>
          <w:sz w:val="18"/>
          <w:szCs w:val="18"/>
        </w:rPr>
        <w:t>190. La Corte considera que no se han presentado argumentos suficientes para ordenar la reincorporación del señor Canales a un régimen de pensiones que se encuentra cerrado en el Perú y respecto al cual ha operado una reforma constitucional. Por otra parte, el Tribunal considera que le corresponde recibir a las víctimas</w:t>
      </w:r>
      <w:r w:rsidRPr="007274AC">
        <w:rPr>
          <w:rFonts w:ascii="Verdana" w:hAnsi="Verdana"/>
          <w:b/>
          <w:sz w:val="18"/>
          <w:szCs w:val="18"/>
        </w:rPr>
        <w:t xml:space="preserve"> </w:t>
      </w:r>
      <w:r w:rsidRPr="007274AC">
        <w:rPr>
          <w:rFonts w:ascii="Verdana" w:hAnsi="Verdana"/>
          <w:sz w:val="18"/>
          <w:szCs w:val="18"/>
        </w:rPr>
        <w:t>una suma por los aportes pensionales que no ingresaron a su patrimonio como consecuencia del cese arbitrario del cual fueron víctimas. La Corte incluirá este aspecto en el monto en equidad que será establecido como indemnización compensatoria en el presente caso.</w:t>
      </w:r>
      <w:bookmarkEnd w:id="9"/>
      <w:r w:rsidR="003F6A83" w:rsidRPr="007274AC">
        <w:rPr>
          <w:sz w:val="18"/>
          <w:szCs w:val="18"/>
        </w:rPr>
        <w:t xml:space="preserve"> </w:t>
      </w:r>
    </w:p>
    <w:p w:rsidR="005C1433" w:rsidRDefault="005C1433" w:rsidP="005C1433">
      <w:pPr>
        <w:pStyle w:val="Prrafodelista2"/>
        <w:tabs>
          <w:tab w:val="left" w:pos="567"/>
          <w:tab w:val="left" w:pos="720"/>
        </w:tabs>
        <w:ind w:left="0"/>
        <w:contextualSpacing/>
        <w:jc w:val="both"/>
      </w:pPr>
    </w:p>
    <w:p w:rsidR="006766CC" w:rsidRDefault="001D0B60" w:rsidP="005C1433">
      <w:pPr>
        <w:pStyle w:val="Prrafodelista2"/>
        <w:numPr>
          <w:ilvl w:val="0"/>
          <w:numId w:val="1"/>
        </w:numPr>
        <w:tabs>
          <w:tab w:val="left" w:pos="567"/>
          <w:tab w:val="left" w:pos="720"/>
          <w:tab w:val="num" w:pos="15467"/>
        </w:tabs>
        <w:contextualSpacing/>
        <w:jc w:val="both"/>
      </w:pPr>
      <w:r>
        <w:t xml:space="preserve">Respecto de la solicitud de interpretación formulada por </w:t>
      </w:r>
      <w:r w:rsidRPr="008D0FB1">
        <w:t>el Estado</w:t>
      </w:r>
      <w:r>
        <w:t xml:space="preserve">, la Corte </w:t>
      </w:r>
      <w:r w:rsidR="00341838">
        <w:t>co</w:t>
      </w:r>
      <w:r w:rsidR="000B293B">
        <w:t>nsidera pertinente recordar que</w:t>
      </w:r>
      <w:r w:rsidR="00341838">
        <w:t xml:space="preserve"> en el marco del </w:t>
      </w:r>
      <w:r w:rsidR="00341838" w:rsidRPr="000B293B">
        <w:rPr>
          <w:i/>
        </w:rPr>
        <w:t xml:space="preserve">Caso </w:t>
      </w:r>
      <w:r w:rsidR="00320614" w:rsidRPr="000B293B">
        <w:rPr>
          <w:i/>
        </w:rPr>
        <w:t>Trabajadores</w:t>
      </w:r>
      <w:r w:rsidR="00341838" w:rsidRPr="000B293B">
        <w:rPr>
          <w:i/>
        </w:rPr>
        <w:t xml:space="preserve"> Cesados del Congreso</w:t>
      </w:r>
      <w:r w:rsidR="00320614">
        <w:t xml:space="preserve"> el Estado peruano estableció una Comisión Especial para la ejecución de la sentencia emitida por este Tribunal. Dicha Comisión </w:t>
      </w:r>
      <w:r w:rsidR="0084423F">
        <w:t xml:space="preserve">presentó </w:t>
      </w:r>
      <w:r w:rsidR="00320614" w:rsidRPr="00B501E7">
        <w:t>su informe final el 14 de diciembre de 2010</w:t>
      </w:r>
      <w:r w:rsidR="00320614">
        <w:t xml:space="preserve"> en el cual concluyó que l</w:t>
      </w:r>
      <w:r w:rsidR="000B293B">
        <w:t>as víctimas comprendidas en la S</w:t>
      </w:r>
      <w:r w:rsidR="00320614">
        <w:t>entencia fueron cesados irregular e injustificadamente por el Congreso de la República. Entre los derechos lesionados como consecuencia del cese colectivo</w:t>
      </w:r>
      <w:r w:rsidR="00797860">
        <w:t>,</w:t>
      </w:r>
      <w:r w:rsidR="00320614">
        <w:t xml:space="preserve"> la Comisión </w:t>
      </w:r>
      <w:r w:rsidR="000B293B">
        <w:t xml:space="preserve">Especial </w:t>
      </w:r>
      <w:r w:rsidR="00320614">
        <w:t xml:space="preserve">consideró el derecho a la seguridad social y </w:t>
      </w:r>
      <w:r w:rsidR="00D96513">
        <w:t xml:space="preserve">el </w:t>
      </w:r>
      <w:r w:rsidR="00320614">
        <w:t xml:space="preserve">respectivo reconocimiento de </w:t>
      </w:r>
      <w:r w:rsidR="00D96513">
        <w:t>los</w:t>
      </w:r>
      <w:r w:rsidR="00320614">
        <w:t xml:space="preserve"> años de servicio y aportes correspondientes al sistema pensionario durante el tiempo que </w:t>
      </w:r>
      <w:r w:rsidR="00D96513">
        <w:t xml:space="preserve">los trabajadores </w:t>
      </w:r>
      <w:r w:rsidR="00320614">
        <w:t>se vieron irregularmente privados de sus empleos para efectos de su jubilación. En consecuencia, la Comisión dispuso el reintegro de los aportes al sistema de jubilación que correspond</w:t>
      </w:r>
      <w:r w:rsidR="00D96513">
        <w:t>í</w:t>
      </w:r>
      <w:r w:rsidR="00320614">
        <w:t>a</w:t>
      </w:r>
      <w:r w:rsidR="00D96513">
        <w:t>n</w:t>
      </w:r>
      <w:r w:rsidR="00320614">
        <w:t xml:space="preserve"> a cada víctima.</w:t>
      </w:r>
    </w:p>
    <w:p w:rsidR="005C1433" w:rsidRDefault="005C1433" w:rsidP="005C1433">
      <w:pPr>
        <w:pStyle w:val="Prrafodelista2"/>
        <w:tabs>
          <w:tab w:val="left" w:pos="567"/>
          <w:tab w:val="left" w:pos="720"/>
        </w:tabs>
        <w:ind w:left="0"/>
        <w:contextualSpacing/>
        <w:jc w:val="both"/>
      </w:pPr>
    </w:p>
    <w:p w:rsidR="00077A4A" w:rsidRDefault="006766CC" w:rsidP="005C1433">
      <w:pPr>
        <w:pStyle w:val="Prrafodelista2"/>
        <w:numPr>
          <w:ilvl w:val="0"/>
          <w:numId w:val="1"/>
        </w:numPr>
        <w:tabs>
          <w:tab w:val="left" w:pos="567"/>
          <w:tab w:val="left" w:pos="720"/>
          <w:tab w:val="num" w:pos="15467"/>
        </w:tabs>
        <w:contextualSpacing/>
        <w:jc w:val="both"/>
      </w:pPr>
      <w:r>
        <w:lastRenderedPageBreak/>
        <w:t>Tal como lo ha señalado la Corte, el objeto de la Sentencia fue determinar la violación de los artículos 8.1 y 25 de la Convención, relativos a las garantías jud</w:t>
      </w:r>
      <w:r w:rsidR="00077A4A">
        <w:t xml:space="preserve">iciales y protección judicial. Al referirse a la arbitrariedad de los ceses este Tribunal no ha establecido con ello una violación que exceda el objeto de su pronunciamiento, sino que </w:t>
      </w:r>
      <w:r w:rsidR="00BF3697">
        <w:t>para calcular el monto en equidad que fue establecido como indemnización compensatoria en el presente caso</w:t>
      </w:r>
      <w:r w:rsidR="00F54D65">
        <w:t>,</w:t>
      </w:r>
      <w:r w:rsidR="00BF3697">
        <w:t xml:space="preserve"> </w:t>
      </w:r>
      <w:r w:rsidR="00077A4A">
        <w:t>ha tomado en cuenta</w:t>
      </w:r>
      <w:r w:rsidR="00BF3697">
        <w:t xml:space="preserve"> </w:t>
      </w:r>
      <w:r w:rsidR="00077A4A">
        <w:t xml:space="preserve">elementos que </w:t>
      </w:r>
      <w:r w:rsidR="00BF3697">
        <w:t>fueron</w:t>
      </w:r>
      <w:r w:rsidR="00077A4A">
        <w:t xml:space="preserve"> reconocidos por el Estado a través de sus órganos internos, en especial por la Comisión Especial creada para dar cumplimiento al </w:t>
      </w:r>
      <w:r w:rsidR="00077A4A" w:rsidRPr="000B293B">
        <w:rPr>
          <w:i/>
        </w:rPr>
        <w:t>Caso Trabajadores Cesados del Congreso</w:t>
      </w:r>
      <w:r w:rsidR="00453E5A">
        <w:rPr>
          <w:i/>
        </w:rPr>
        <w:t xml:space="preserve">, </w:t>
      </w:r>
      <w:r w:rsidR="00453E5A">
        <w:t>la cual ya ha determinado el carácter arbitrario de los ceses</w:t>
      </w:r>
      <w:r w:rsidR="00077A4A" w:rsidRPr="00077A4A">
        <w:t>.</w:t>
      </w:r>
    </w:p>
    <w:p w:rsidR="005C1433" w:rsidRDefault="005C1433" w:rsidP="005C1433">
      <w:pPr>
        <w:pStyle w:val="Prrafodelista2"/>
        <w:tabs>
          <w:tab w:val="left" w:pos="567"/>
          <w:tab w:val="left" w:pos="720"/>
        </w:tabs>
        <w:ind w:left="0"/>
        <w:contextualSpacing/>
        <w:jc w:val="both"/>
      </w:pPr>
    </w:p>
    <w:p w:rsidR="00577097" w:rsidRPr="005C1433" w:rsidRDefault="00C41E1B" w:rsidP="005C1433">
      <w:pPr>
        <w:pStyle w:val="Prrafodelista2"/>
        <w:numPr>
          <w:ilvl w:val="0"/>
          <w:numId w:val="1"/>
        </w:numPr>
        <w:tabs>
          <w:tab w:val="left" w:pos="567"/>
          <w:tab w:val="left" w:pos="720"/>
          <w:tab w:val="num" w:pos="15467"/>
        </w:tabs>
        <w:contextualSpacing/>
        <w:jc w:val="both"/>
      </w:pPr>
      <w:r>
        <w:t>Por lo expue</w:t>
      </w:r>
      <w:r w:rsidR="0072736F">
        <w:t>sto, la Corte considera que el párrafo 190 de la Sentencia</w:t>
      </w:r>
      <w:r w:rsidR="00661051">
        <w:t xml:space="preserve"> no constituye un pronunciamiento contradictorio o ambiguo que deba ser aclarado o interpretado por este Tribunal.</w:t>
      </w:r>
      <w:r w:rsidR="009F14E1">
        <w:t xml:space="preserve"> </w:t>
      </w:r>
    </w:p>
    <w:p w:rsidR="00577097" w:rsidRPr="00BE133F" w:rsidRDefault="00577097" w:rsidP="00577097">
      <w:pPr>
        <w:tabs>
          <w:tab w:val="left" w:pos="720"/>
          <w:tab w:val="left" w:pos="1530"/>
          <w:tab w:val="left" w:pos="2140"/>
        </w:tabs>
        <w:spacing w:after="0" w:line="240" w:lineRule="auto"/>
        <w:jc w:val="both"/>
        <w:rPr>
          <w:rFonts w:ascii="Verdana" w:hAnsi="Verdana"/>
          <w:sz w:val="20"/>
          <w:szCs w:val="20"/>
        </w:rPr>
      </w:pP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V</w:t>
      </w: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 xml:space="preserve">PUNTOS RESOLUTIVOS </w:t>
      </w:r>
    </w:p>
    <w:p w:rsidR="00577097" w:rsidRPr="00BE133F" w:rsidRDefault="00577097" w:rsidP="00577097">
      <w:pPr>
        <w:spacing w:after="0" w:line="240" w:lineRule="auto"/>
        <w:jc w:val="center"/>
        <w:rPr>
          <w:rFonts w:ascii="Verdana" w:hAnsi="Verdana" w:cs="Arial"/>
          <w:i/>
          <w:sz w:val="20"/>
          <w:szCs w:val="20"/>
        </w:rPr>
      </w:pPr>
    </w:p>
    <w:p w:rsidR="00577097" w:rsidRPr="00BE133F" w:rsidRDefault="00577097" w:rsidP="00577097">
      <w:pPr>
        <w:numPr>
          <w:ilvl w:val="0"/>
          <w:numId w:val="1"/>
        </w:numPr>
        <w:spacing w:after="0" w:line="240" w:lineRule="auto"/>
        <w:jc w:val="both"/>
        <w:rPr>
          <w:rFonts w:ascii="Verdana" w:hAnsi="Verdana" w:cs="Arial"/>
          <w:b/>
          <w:i/>
          <w:sz w:val="20"/>
          <w:szCs w:val="20"/>
        </w:rPr>
      </w:pPr>
      <w:r w:rsidRPr="00BE133F">
        <w:rPr>
          <w:rFonts w:ascii="Verdana" w:hAnsi="Verdana"/>
          <w:sz w:val="20"/>
          <w:szCs w:val="20"/>
        </w:rPr>
        <w:t xml:space="preserve">Por tanto, </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 xml:space="preserve">LA CORTE, </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r w:rsidRPr="00BE133F">
        <w:rPr>
          <w:rFonts w:ascii="Verdana" w:hAnsi="Verdana"/>
          <w:sz w:val="20"/>
          <w:szCs w:val="20"/>
        </w:rPr>
        <w:t>de conformidad con el artículo 67 de la Convención Americana sobre Derechos Humanos y los artículos 31.3 y 68 del Reglamento,</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DECIDE:</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tabs>
          <w:tab w:val="center" w:pos="4252"/>
          <w:tab w:val="right" w:pos="8504"/>
        </w:tabs>
        <w:spacing w:after="0" w:line="240" w:lineRule="auto"/>
        <w:rPr>
          <w:rFonts w:ascii="Verdana" w:hAnsi="Verdana"/>
          <w:sz w:val="20"/>
          <w:szCs w:val="20"/>
        </w:rPr>
      </w:pPr>
      <w:r w:rsidRPr="00BE133F">
        <w:rPr>
          <w:rFonts w:ascii="Verdana" w:hAnsi="Verdana"/>
          <w:sz w:val="20"/>
          <w:szCs w:val="20"/>
        </w:rPr>
        <w:t xml:space="preserve">Por </w:t>
      </w:r>
      <w:r w:rsidR="00C42BE9">
        <w:rPr>
          <w:rFonts w:ascii="Verdana" w:hAnsi="Verdana"/>
          <w:sz w:val="20"/>
          <w:szCs w:val="20"/>
        </w:rPr>
        <w:t>unanimidad</w:t>
      </w:r>
      <w:r w:rsidRPr="00BE133F">
        <w:rPr>
          <w:rFonts w:ascii="Verdana" w:hAnsi="Verdana"/>
          <w:sz w:val="20"/>
          <w:szCs w:val="20"/>
        </w:rPr>
        <w:t>,</w:t>
      </w:r>
    </w:p>
    <w:p w:rsidR="00577097" w:rsidRPr="00BE133F" w:rsidRDefault="00577097" w:rsidP="00577097">
      <w:pPr>
        <w:spacing w:after="0" w:line="240" w:lineRule="auto"/>
        <w:jc w:val="both"/>
        <w:rPr>
          <w:rFonts w:ascii="Verdana" w:hAnsi="Verdana"/>
          <w:sz w:val="20"/>
          <w:szCs w:val="20"/>
          <w:u w:val="single"/>
        </w:rPr>
      </w:pPr>
    </w:p>
    <w:p w:rsidR="008213BB" w:rsidRDefault="008213BB" w:rsidP="00AC63CC">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w:t>
      </w:r>
      <w:r w:rsidR="00AC63CC">
        <w:rPr>
          <w:rFonts w:ascii="Verdana" w:hAnsi="Verdana"/>
          <w:sz w:val="20"/>
          <w:szCs w:val="20"/>
        </w:rPr>
        <w:t xml:space="preserve">presentada por </w:t>
      </w:r>
      <w:r w:rsidR="00AC63CC" w:rsidRPr="00AC63CC">
        <w:rPr>
          <w:rFonts w:ascii="Verdana" w:hAnsi="Verdana"/>
          <w:sz w:val="20"/>
          <w:szCs w:val="20"/>
        </w:rPr>
        <w:t>el representante Mario Canales Huapaya, respecto de la víctima Carlos Alberto Canales Huapaya</w:t>
      </w:r>
      <w:r w:rsidR="00AC63CC">
        <w:rPr>
          <w:rFonts w:ascii="Verdana" w:hAnsi="Verdana"/>
          <w:sz w:val="20"/>
          <w:szCs w:val="20"/>
        </w:rPr>
        <w:t xml:space="preserve">, </w:t>
      </w:r>
      <w:r w:rsidR="006B7212">
        <w:rPr>
          <w:rFonts w:ascii="Verdana" w:hAnsi="Verdana"/>
          <w:sz w:val="20"/>
          <w:szCs w:val="20"/>
        </w:rPr>
        <w:t>en relación con</w:t>
      </w:r>
      <w:r>
        <w:rPr>
          <w:rFonts w:ascii="Verdana" w:hAnsi="Verdana"/>
          <w:sz w:val="20"/>
          <w:szCs w:val="20"/>
        </w:rPr>
        <w:t xml:space="preserve"> la </w:t>
      </w:r>
      <w:r w:rsidR="00AC63CC" w:rsidRPr="00BE133F">
        <w:rPr>
          <w:rFonts w:ascii="Verdana" w:hAnsi="Verdana"/>
          <w:sz w:val="20"/>
          <w:szCs w:val="20"/>
        </w:rPr>
        <w:t>Sentencia de Excepciones Preliminares, Fondo, Reparaciones y Costas dictada en el caso Canales Huapaya y otros Vs Perú</w:t>
      </w:r>
      <w:r w:rsidR="00AC63CC">
        <w:rPr>
          <w:rFonts w:ascii="Verdana" w:hAnsi="Verdana"/>
          <w:sz w:val="20"/>
          <w:szCs w:val="20"/>
        </w:rPr>
        <w:t>.</w:t>
      </w:r>
      <w:r>
        <w:rPr>
          <w:rFonts w:ascii="Verdana" w:hAnsi="Verdana"/>
          <w:sz w:val="20"/>
          <w:szCs w:val="20"/>
        </w:rPr>
        <w:t xml:space="preserve"> </w:t>
      </w:r>
    </w:p>
    <w:p w:rsidR="008213BB" w:rsidRDefault="008213BB" w:rsidP="008213BB">
      <w:pPr>
        <w:spacing w:after="0" w:line="240" w:lineRule="auto"/>
        <w:jc w:val="both"/>
        <w:rPr>
          <w:rFonts w:ascii="Verdana" w:hAnsi="Verdana"/>
          <w:sz w:val="20"/>
          <w:szCs w:val="20"/>
        </w:rPr>
      </w:pPr>
    </w:p>
    <w:p w:rsidR="008213BB" w:rsidRDefault="00665B11" w:rsidP="00577097">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presentada por </w:t>
      </w:r>
      <w:r w:rsidRPr="00AC63CC">
        <w:rPr>
          <w:rFonts w:ascii="Verdana" w:hAnsi="Verdana"/>
          <w:sz w:val="20"/>
          <w:szCs w:val="20"/>
        </w:rPr>
        <w:t xml:space="preserve">el </w:t>
      </w:r>
      <w:r>
        <w:rPr>
          <w:rFonts w:ascii="Verdana" w:hAnsi="Verdana"/>
          <w:sz w:val="20"/>
          <w:szCs w:val="20"/>
        </w:rPr>
        <w:t>Estado</w:t>
      </w:r>
      <w:r w:rsidR="00845405">
        <w:rPr>
          <w:rFonts w:ascii="Verdana" w:hAnsi="Verdana"/>
          <w:sz w:val="20"/>
          <w:szCs w:val="20"/>
        </w:rPr>
        <w:t>,</w:t>
      </w:r>
      <w:r>
        <w:rPr>
          <w:rFonts w:ascii="Verdana" w:hAnsi="Verdana"/>
          <w:sz w:val="20"/>
          <w:szCs w:val="20"/>
        </w:rPr>
        <w:t xml:space="preserve"> respecto</w:t>
      </w:r>
      <w:r w:rsidRPr="00AC63CC">
        <w:rPr>
          <w:rFonts w:ascii="Verdana" w:hAnsi="Verdana"/>
          <w:sz w:val="20"/>
          <w:szCs w:val="20"/>
        </w:rPr>
        <w:t xml:space="preserve"> </w:t>
      </w:r>
      <w:r>
        <w:rPr>
          <w:rFonts w:ascii="Verdana" w:hAnsi="Verdana"/>
          <w:sz w:val="20"/>
          <w:szCs w:val="20"/>
        </w:rPr>
        <w:t xml:space="preserve">de la </w:t>
      </w:r>
      <w:r w:rsidRPr="00BE133F">
        <w:rPr>
          <w:rFonts w:ascii="Verdana" w:hAnsi="Verdana"/>
          <w:sz w:val="20"/>
          <w:szCs w:val="20"/>
        </w:rPr>
        <w:t>Sentencia de Excepciones Preliminares, Fondo, Reparaciones y Costas dictada en el caso Canales Huapaya y otros Vs Perú</w:t>
      </w:r>
      <w:r>
        <w:rPr>
          <w:rFonts w:ascii="Verdana" w:hAnsi="Verdana"/>
          <w:sz w:val="20"/>
          <w:szCs w:val="20"/>
        </w:rPr>
        <w:t>.</w:t>
      </w:r>
    </w:p>
    <w:p w:rsidR="008213BB" w:rsidRDefault="008213BB" w:rsidP="008213BB">
      <w:pPr>
        <w:spacing w:after="0" w:line="240" w:lineRule="auto"/>
        <w:jc w:val="both"/>
        <w:rPr>
          <w:rFonts w:ascii="Verdana" w:hAnsi="Verdana"/>
          <w:sz w:val="20"/>
          <w:szCs w:val="20"/>
        </w:rPr>
      </w:pPr>
    </w:p>
    <w:p w:rsidR="00411AA0" w:rsidRDefault="006D1F3B" w:rsidP="00411AA0">
      <w:pPr>
        <w:numPr>
          <w:ilvl w:val="0"/>
          <w:numId w:val="2"/>
        </w:numPr>
        <w:spacing w:after="0" w:line="240" w:lineRule="auto"/>
        <w:ind w:left="0" w:firstLine="0"/>
        <w:jc w:val="both"/>
        <w:rPr>
          <w:rFonts w:ascii="Verdana" w:hAnsi="Verdana"/>
          <w:sz w:val="20"/>
          <w:szCs w:val="20"/>
        </w:rPr>
      </w:pPr>
      <w:r>
        <w:rPr>
          <w:rFonts w:ascii="Verdana" w:hAnsi="Verdana"/>
          <w:sz w:val="20"/>
          <w:szCs w:val="20"/>
        </w:rPr>
        <w:t>Desestimar</w:t>
      </w:r>
      <w:r w:rsidR="00411AA0">
        <w:rPr>
          <w:rFonts w:ascii="Verdana" w:hAnsi="Verdana"/>
          <w:sz w:val="20"/>
          <w:szCs w:val="20"/>
        </w:rPr>
        <w:t xml:space="preserve"> por improcedente la solicitud</w:t>
      </w:r>
      <w:r w:rsidR="00577097" w:rsidRPr="00BE133F">
        <w:rPr>
          <w:rFonts w:ascii="Verdana" w:hAnsi="Verdana"/>
          <w:sz w:val="20"/>
          <w:szCs w:val="20"/>
        </w:rPr>
        <w:t xml:space="preserve"> de interpretación de la Sentencia de E</w:t>
      </w:r>
      <w:r w:rsidR="00FF4C47" w:rsidRPr="00BE133F">
        <w:rPr>
          <w:rFonts w:ascii="Verdana" w:hAnsi="Verdana"/>
          <w:sz w:val="20"/>
          <w:szCs w:val="20"/>
        </w:rPr>
        <w:t>xcepcio</w:t>
      </w:r>
      <w:r w:rsidR="00577097" w:rsidRPr="00BE133F">
        <w:rPr>
          <w:rFonts w:ascii="Verdana" w:hAnsi="Verdana"/>
          <w:sz w:val="20"/>
          <w:szCs w:val="20"/>
        </w:rPr>
        <w:t>n</w:t>
      </w:r>
      <w:r w:rsidR="00FF4C47" w:rsidRPr="00BE133F">
        <w:rPr>
          <w:rFonts w:ascii="Verdana" w:hAnsi="Verdana"/>
          <w:sz w:val="20"/>
          <w:szCs w:val="20"/>
        </w:rPr>
        <w:t>es</w:t>
      </w:r>
      <w:r w:rsidR="00577097" w:rsidRPr="00BE133F">
        <w:rPr>
          <w:rFonts w:ascii="Verdana" w:hAnsi="Verdana"/>
          <w:sz w:val="20"/>
          <w:szCs w:val="20"/>
        </w:rPr>
        <w:t xml:space="preserve"> Preliminar</w:t>
      </w:r>
      <w:r w:rsidR="00FF4C47" w:rsidRPr="00BE133F">
        <w:rPr>
          <w:rFonts w:ascii="Verdana" w:hAnsi="Verdana"/>
          <w:sz w:val="20"/>
          <w:szCs w:val="20"/>
        </w:rPr>
        <w:t>es</w:t>
      </w:r>
      <w:r w:rsidR="00577097" w:rsidRPr="00BE133F">
        <w:rPr>
          <w:rFonts w:ascii="Verdana" w:hAnsi="Verdana"/>
          <w:sz w:val="20"/>
          <w:szCs w:val="20"/>
        </w:rPr>
        <w:t xml:space="preserve">, Fondo, Reparaciones y Costas dictada en el caso </w:t>
      </w:r>
      <w:r w:rsidR="00FF4C47" w:rsidRPr="00BE133F">
        <w:rPr>
          <w:rFonts w:ascii="Verdana" w:hAnsi="Verdana"/>
          <w:sz w:val="20"/>
          <w:szCs w:val="20"/>
        </w:rPr>
        <w:t>Canales Huapaya y otros Vs Perú</w:t>
      </w:r>
      <w:r w:rsidR="00411AA0">
        <w:rPr>
          <w:rFonts w:ascii="Verdana" w:hAnsi="Verdana"/>
          <w:sz w:val="20"/>
          <w:szCs w:val="20"/>
        </w:rPr>
        <w:t>, interpuesta</w:t>
      </w:r>
      <w:r w:rsidR="00577097" w:rsidRPr="00BE133F">
        <w:rPr>
          <w:rFonts w:ascii="Verdana" w:hAnsi="Verdana"/>
          <w:sz w:val="20"/>
          <w:szCs w:val="20"/>
        </w:rPr>
        <w:t xml:space="preserve"> por </w:t>
      </w:r>
      <w:r w:rsidR="00411AA0" w:rsidRPr="00AC63CC">
        <w:rPr>
          <w:rFonts w:ascii="Verdana" w:hAnsi="Verdana"/>
          <w:sz w:val="20"/>
          <w:szCs w:val="20"/>
        </w:rPr>
        <w:t>Mario Canales Huapaya</w:t>
      </w:r>
      <w:r w:rsidR="00411AA0">
        <w:rPr>
          <w:rFonts w:ascii="Verdana" w:hAnsi="Verdana"/>
          <w:sz w:val="20"/>
          <w:szCs w:val="20"/>
        </w:rPr>
        <w:t xml:space="preserve">, </w:t>
      </w:r>
      <w:r w:rsidR="00577097" w:rsidRPr="00BE133F">
        <w:rPr>
          <w:rFonts w:ascii="Verdana" w:hAnsi="Verdana"/>
          <w:sz w:val="20"/>
          <w:szCs w:val="20"/>
        </w:rPr>
        <w:t xml:space="preserve">representante de la víctima </w:t>
      </w:r>
      <w:r w:rsidR="00FF4C47" w:rsidRPr="00BE133F">
        <w:rPr>
          <w:rFonts w:ascii="Verdana" w:hAnsi="Verdana" w:cs="Verdana"/>
          <w:sz w:val="20"/>
          <w:szCs w:val="20"/>
        </w:rPr>
        <w:t>Carlos Alberto Canales Huapaya</w:t>
      </w:r>
      <w:r w:rsidR="00F3631C">
        <w:rPr>
          <w:rFonts w:ascii="Verdana" w:hAnsi="Verdana" w:cs="Verdana"/>
          <w:sz w:val="20"/>
          <w:szCs w:val="20"/>
        </w:rPr>
        <w:t xml:space="preserve">, </w:t>
      </w:r>
      <w:r w:rsidR="00F3631C" w:rsidRPr="00BE133F">
        <w:rPr>
          <w:rFonts w:ascii="Verdana" w:hAnsi="Verdana"/>
          <w:sz w:val="20"/>
          <w:szCs w:val="20"/>
        </w:rPr>
        <w:t>por las raz</w:t>
      </w:r>
      <w:r w:rsidR="00F3631C">
        <w:rPr>
          <w:rFonts w:ascii="Verdana" w:hAnsi="Verdana"/>
          <w:sz w:val="20"/>
          <w:szCs w:val="20"/>
        </w:rPr>
        <w:t>ones señaladas en los párrafos 14 a 18</w:t>
      </w:r>
      <w:r w:rsidR="00F3631C" w:rsidRPr="00BE133F">
        <w:rPr>
          <w:rFonts w:ascii="Verdana" w:hAnsi="Verdana"/>
          <w:sz w:val="20"/>
          <w:szCs w:val="20"/>
        </w:rPr>
        <w:t xml:space="preserve"> de la presente Sentencia</w:t>
      </w:r>
      <w:r w:rsidR="00411AA0">
        <w:rPr>
          <w:rFonts w:ascii="Verdana" w:hAnsi="Verdana" w:cs="Verdana"/>
          <w:sz w:val="20"/>
          <w:szCs w:val="20"/>
        </w:rPr>
        <w:t>.</w:t>
      </w:r>
    </w:p>
    <w:p w:rsidR="00411AA0" w:rsidRPr="00411AA0" w:rsidRDefault="00411AA0" w:rsidP="00411AA0">
      <w:pPr>
        <w:spacing w:after="0" w:line="240" w:lineRule="auto"/>
        <w:jc w:val="both"/>
        <w:rPr>
          <w:rFonts w:ascii="Verdana" w:hAnsi="Verdana"/>
          <w:sz w:val="20"/>
          <w:szCs w:val="20"/>
        </w:rPr>
      </w:pPr>
    </w:p>
    <w:p w:rsidR="00577097" w:rsidRPr="00BE133F" w:rsidRDefault="00FF4C47" w:rsidP="00577097">
      <w:pPr>
        <w:numPr>
          <w:ilvl w:val="0"/>
          <w:numId w:val="2"/>
        </w:numPr>
        <w:spacing w:after="0" w:line="240" w:lineRule="auto"/>
        <w:ind w:left="0" w:firstLine="0"/>
        <w:jc w:val="both"/>
        <w:rPr>
          <w:rFonts w:ascii="Verdana" w:hAnsi="Verdana"/>
          <w:sz w:val="20"/>
          <w:szCs w:val="20"/>
        </w:rPr>
      </w:pPr>
      <w:r w:rsidRPr="00BE133F">
        <w:rPr>
          <w:rFonts w:ascii="Verdana" w:hAnsi="Verdana"/>
          <w:sz w:val="20"/>
          <w:szCs w:val="20"/>
        </w:rPr>
        <w:t xml:space="preserve"> </w:t>
      </w:r>
      <w:r w:rsidR="00411AA0">
        <w:rPr>
          <w:rFonts w:ascii="Verdana" w:hAnsi="Verdana"/>
          <w:sz w:val="20"/>
          <w:szCs w:val="20"/>
        </w:rPr>
        <w:t>Desestimar por improcedente la solicitud</w:t>
      </w:r>
      <w:r w:rsidR="00411AA0" w:rsidRPr="00BE133F">
        <w:rPr>
          <w:rFonts w:ascii="Verdana" w:hAnsi="Verdana"/>
          <w:sz w:val="20"/>
          <w:szCs w:val="20"/>
        </w:rPr>
        <w:t xml:space="preserve"> de interpretación de la Sentencia de Excepciones Preliminares, Fondo, Reparaciones y Costas dictada en el caso Canales Huapaya y otros Vs Perú</w:t>
      </w:r>
      <w:r w:rsidR="00411AA0">
        <w:rPr>
          <w:rFonts w:ascii="Verdana" w:hAnsi="Verdana"/>
          <w:sz w:val="20"/>
          <w:szCs w:val="20"/>
        </w:rPr>
        <w:t>, interpuesta</w:t>
      </w:r>
      <w:r w:rsidR="00411AA0" w:rsidRPr="00BE133F">
        <w:rPr>
          <w:rFonts w:ascii="Verdana" w:hAnsi="Verdana"/>
          <w:sz w:val="20"/>
          <w:szCs w:val="20"/>
        </w:rPr>
        <w:t xml:space="preserve"> por</w:t>
      </w:r>
      <w:r w:rsidRPr="00BE133F">
        <w:rPr>
          <w:rFonts w:ascii="Verdana" w:hAnsi="Verdana"/>
          <w:sz w:val="20"/>
          <w:szCs w:val="20"/>
        </w:rPr>
        <w:t xml:space="preserve"> el Estado</w:t>
      </w:r>
      <w:r w:rsidR="00577097" w:rsidRPr="00BE133F">
        <w:rPr>
          <w:rFonts w:ascii="Verdana" w:hAnsi="Verdana"/>
          <w:sz w:val="20"/>
          <w:szCs w:val="20"/>
        </w:rPr>
        <w:t xml:space="preserve">, por las razones señaladas en los párrafos </w:t>
      </w:r>
      <w:r w:rsidR="00AC6E29">
        <w:rPr>
          <w:rFonts w:ascii="Verdana" w:hAnsi="Verdana"/>
          <w:sz w:val="20"/>
          <w:szCs w:val="20"/>
        </w:rPr>
        <w:t>24 a 27</w:t>
      </w:r>
      <w:r w:rsidR="00577097" w:rsidRPr="00BE133F">
        <w:rPr>
          <w:rFonts w:ascii="Verdana" w:hAnsi="Verdana"/>
          <w:sz w:val="20"/>
          <w:szCs w:val="20"/>
        </w:rPr>
        <w:t xml:space="preserve"> de la presente Sentencia.</w:t>
      </w:r>
    </w:p>
    <w:p w:rsidR="00577097" w:rsidRPr="00BE133F" w:rsidRDefault="00577097" w:rsidP="00577097">
      <w:pPr>
        <w:spacing w:after="0" w:line="240" w:lineRule="auto"/>
        <w:jc w:val="both"/>
        <w:rPr>
          <w:rFonts w:ascii="Verdana" w:hAnsi="Verdana"/>
          <w:sz w:val="20"/>
          <w:szCs w:val="20"/>
          <w:u w:val="single"/>
        </w:rPr>
      </w:pPr>
    </w:p>
    <w:p w:rsidR="00577097" w:rsidRPr="00BE133F" w:rsidRDefault="00577097" w:rsidP="00577097">
      <w:pPr>
        <w:numPr>
          <w:ilvl w:val="0"/>
          <w:numId w:val="2"/>
        </w:numPr>
        <w:spacing w:after="0" w:line="240" w:lineRule="auto"/>
        <w:ind w:left="0" w:firstLine="0"/>
        <w:jc w:val="both"/>
        <w:rPr>
          <w:rFonts w:ascii="Verdana" w:hAnsi="Verdana"/>
          <w:sz w:val="20"/>
          <w:szCs w:val="20"/>
          <w:u w:val="single"/>
        </w:rPr>
      </w:pPr>
      <w:r w:rsidRPr="00BE133F">
        <w:rPr>
          <w:rFonts w:ascii="Verdana" w:eastAsia="Batang" w:hAnsi="Verdana"/>
          <w:sz w:val="20"/>
          <w:szCs w:val="20"/>
        </w:rPr>
        <w:t>Disponer que la Secretaría de la Corte notifique la</w:t>
      </w:r>
      <w:r w:rsidR="00FF4C47" w:rsidRPr="00BE133F">
        <w:rPr>
          <w:rFonts w:ascii="Verdana" w:eastAsia="Batang" w:hAnsi="Verdana"/>
          <w:sz w:val="20"/>
          <w:szCs w:val="20"/>
        </w:rPr>
        <w:t xml:space="preserve"> presente Sentencia al Estado del Perú</w:t>
      </w:r>
      <w:r w:rsidRPr="00BE133F">
        <w:rPr>
          <w:rFonts w:ascii="Verdana" w:eastAsia="Batang" w:hAnsi="Verdana"/>
          <w:sz w:val="20"/>
          <w:szCs w:val="20"/>
        </w:rPr>
        <w:t>, a los representantes de las víctimas, y a la Comisión Interamericana de Derechos Humanos.</w:t>
      </w:r>
    </w:p>
    <w:p w:rsidR="009109FA" w:rsidRDefault="009109FA" w:rsidP="00577097">
      <w:pPr>
        <w:spacing w:line="240" w:lineRule="auto"/>
        <w:jc w:val="both"/>
        <w:rPr>
          <w:rFonts w:ascii="Verdana" w:hAnsi="Verdana"/>
          <w:sz w:val="20"/>
          <w:szCs w:val="20"/>
        </w:rPr>
      </w:pPr>
    </w:p>
    <w:p w:rsidR="00577097" w:rsidRPr="00BE133F" w:rsidRDefault="00577097" w:rsidP="00577097">
      <w:pPr>
        <w:spacing w:line="240" w:lineRule="auto"/>
        <w:jc w:val="both"/>
        <w:rPr>
          <w:rFonts w:ascii="Verdana" w:eastAsia="Times" w:hAnsi="Verdana"/>
          <w:sz w:val="20"/>
          <w:szCs w:val="20"/>
          <w:lang w:val="es-ES"/>
        </w:rPr>
      </w:pPr>
      <w:r w:rsidRPr="00BE133F">
        <w:rPr>
          <w:rFonts w:ascii="Verdana" w:eastAsia="Times" w:hAnsi="Verdana"/>
          <w:sz w:val="20"/>
          <w:szCs w:val="20"/>
          <w:lang w:val="es-ES"/>
        </w:rPr>
        <w:lastRenderedPageBreak/>
        <w:t>Sentencia de Interpreta</w:t>
      </w:r>
      <w:r w:rsidR="008C5A22">
        <w:rPr>
          <w:rFonts w:ascii="Verdana" w:eastAsia="Times" w:hAnsi="Verdana"/>
          <w:sz w:val="20"/>
          <w:szCs w:val="20"/>
          <w:lang w:val="es-ES"/>
        </w:rPr>
        <w:t>ción de la Sentencia de Excepcio</w:t>
      </w:r>
      <w:r w:rsidRPr="00BE133F">
        <w:rPr>
          <w:rFonts w:ascii="Verdana" w:eastAsia="Times" w:hAnsi="Verdana"/>
          <w:sz w:val="20"/>
          <w:szCs w:val="20"/>
          <w:lang w:val="es-ES"/>
        </w:rPr>
        <w:t>n</w:t>
      </w:r>
      <w:r w:rsidR="008C5A22">
        <w:rPr>
          <w:rFonts w:ascii="Verdana" w:eastAsia="Times" w:hAnsi="Verdana"/>
          <w:sz w:val="20"/>
          <w:szCs w:val="20"/>
          <w:lang w:val="es-ES"/>
        </w:rPr>
        <w:t>es</w:t>
      </w:r>
      <w:r w:rsidRPr="00BE133F">
        <w:rPr>
          <w:rFonts w:ascii="Verdana" w:eastAsia="Times" w:hAnsi="Verdana"/>
          <w:sz w:val="20"/>
          <w:szCs w:val="20"/>
          <w:lang w:val="es-ES"/>
        </w:rPr>
        <w:t xml:space="preserve"> Preliminar</w:t>
      </w:r>
      <w:r w:rsidR="008C5A22">
        <w:rPr>
          <w:rFonts w:ascii="Verdana" w:eastAsia="Times" w:hAnsi="Verdana"/>
          <w:sz w:val="20"/>
          <w:szCs w:val="20"/>
          <w:lang w:val="es-ES"/>
        </w:rPr>
        <w:t>es</w:t>
      </w:r>
      <w:r w:rsidRPr="00BE133F">
        <w:rPr>
          <w:rFonts w:ascii="Verdana" w:eastAsia="Times" w:hAnsi="Verdana"/>
          <w:sz w:val="20"/>
          <w:szCs w:val="20"/>
          <w:lang w:val="es-ES"/>
        </w:rPr>
        <w:t xml:space="preserve">, Fondo, Reparaciones y Costas.  Caso </w:t>
      </w:r>
      <w:r w:rsidR="005C1433">
        <w:rPr>
          <w:rFonts w:ascii="Verdana" w:eastAsia="Times" w:hAnsi="Verdana"/>
          <w:sz w:val="20"/>
          <w:szCs w:val="20"/>
          <w:lang w:val="es-ES"/>
        </w:rPr>
        <w:t>Canales Huapaya</w:t>
      </w:r>
      <w:r w:rsidRPr="00BE133F">
        <w:rPr>
          <w:rFonts w:ascii="Verdana" w:eastAsia="Times" w:hAnsi="Verdana"/>
          <w:sz w:val="20"/>
          <w:szCs w:val="20"/>
          <w:lang w:val="es-ES"/>
        </w:rPr>
        <w:t xml:space="preserve"> y otros Vs. </w:t>
      </w:r>
      <w:r w:rsidR="005C1433">
        <w:rPr>
          <w:rFonts w:ascii="Verdana" w:eastAsia="Times" w:hAnsi="Verdana"/>
          <w:sz w:val="20"/>
          <w:szCs w:val="20"/>
          <w:lang w:val="es-ES"/>
        </w:rPr>
        <w:t>Perú</w:t>
      </w:r>
      <w:r w:rsidRPr="00BE133F">
        <w:rPr>
          <w:rFonts w:ascii="Verdana" w:eastAsia="Times" w:hAnsi="Verdana"/>
          <w:sz w:val="20"/>
          <w:szCs w:val="20"/>
          <w:lang w:val="es-ES"/>
        </w:rPr>
        <w:t xml:space="preserve">. </w:t>
      </w:r>
    </w:p>
    <w:p w:rsidR="00577097" w:rsidRPr="00BE133F" w:rsidRDefault="00577097" w:rsidP="00577097">
      <w:pPr>
        <w:spacing w:after="0" w:line="240" w:lineRule="auto"/>
        <w:jc w:val="both"/>
        <w:rPr>
          <w:rFonts w:ascii="Verdana" w:hAnsi="Verdana"/>
          <w:sz w:val="20"/>
          <w:szCs w:val="20"/>
        </w:rPr>
      </w:pPr>
    </w:p>
    <w:p w:rsidR="00F45AAF" w:rsidRDefault="00F45AAF" w:rsidP="00577097">
      <w:pPr>
        <w:spacing w:after="0" w:line="240" w:lineRule="auto"/>
        <w:jc w:val="both"/>
        <w:rPr>
          <w:rFonts w:ascii="Verdana" w:hAnsi="Verdana"/>
          <w:sz w:val="20"/>
          <w:szCs w:val="20"/>
        </w:rPr>
      </w:pPr>
    </w:p>
    <w:p w:rsidR="00F45AAF" w:rsidRPr="00BE133F" w:rsidRDefault="00F45AAF" w:rsidP="00577097">
      <w:pPr>
        <w:spacing w:after="0" w:line="240" w:lineRule="auto"/>
        <w:jc w:val="both"/>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p>
    <w:p w:rsidR="00577097" w:rsidRPr="007274AC" w:rsidRDefault="00D85CFA" w:rsidP="00577097">
      <w:pPr>
        <w:spacing w:after="0" w:line="240" w:lineRule="auto"/>
        <w:jc w:val="center"/>
        <w:rPr>
          <w:rFonts w:ascii="Verdana" w:hAnsi="Verdana"/>
          <w:sz w:val="20"/>
          <w:szCs w:val="20"/>
          <w:lang w:val="es-ES"/>
        </w:rPr>
      </w:pPr>
      <w:r w:rsidRPr="007274AC">
        <w:rPr>
          <w:rFonts w:ascii="Verdana" w:hAnsi="Verdana"/>
          <w:sz w:val="20"/>
          <w:szCs w:val="20"/>
          <w:lang w:val="es-ES"/>
        </w:rPr>
        <w:t xml:space="preserve">Roberto F. Caldas  </w:t>
      </w:r>
    </w:p>
    <w:p w:rsidR="00577097" w:rsidRPr="007274AC" w:rsidRDefault="00577097" w:rsidP="00577097">
      <w:pPr>
        <w:spacing w:after="0" w:line="240" w:lineRule="auto"/>
        <w:jc w:val="center"/>
        <w:rPr>
          <w:rFonts w:ascii="Verdana" w:hAnsi="Verdana"/>
          <w:sz w:val="20"/>
          <w:szCs w:val="20"/>
          <w:lang w:val="es-ES"/>
        </w:rPr>
      </w:pPr>
      <w:r w:rsidRPr="007274AC">
        <w:rPr>
          <w:rFonts w:ascii="Verdana" w:hAnsi="Verdana"/>
          <w:sz w:val="20"/>
          <w:szCs w:val="20"/>
          <w:lang w:val="es-ES"/>
        </w:rPr>
        <w:t xml:space="preserve">Presidente </w:t>
      </w:r>
    </w:p>
    <w:p w:rsidR="00577097" w:rsidRPr="007274AC" w:rsidRDefault="00577097" w:rsidP="00577097">
      <w:pPr>
        <w:spacing w:after="0" w:line="240" w:lineRule="auto"/>
        <w:jc w:val="both"/>
        <w:rPr>
          <w:rFonts w:ascii="Verdana" w:hAnsi="Verdana"/>
          <w:sz w:val="20"/>
          <w:szCs w:val="20"/>
          <w:lang w:val="es-ES"/>
        </w:rPr>
      </w:pPr>
    </w:p>
    <w:p w:rsidR="00577097" w:rsidRPr="007274AC" w:rsidRDefault="00577097" w:rsidP="00577097">
      <w:pPr>
        <w:spacing w:after="0" w:line="240" w:lineRule="auto"/>
        <w:jc w:val="both"/>
        <w:rPr>
          <w:rFonts w:ascii="Verdana" w:hAnsi="Verdana"/>
          <w:sz w:val="20"/>
          <w:szCs w:val="20"/>
          <w:lang w:val="es-ES"/>
        </w:rPr>
      </w:pPr>
    </w:p>
    <w:p w:rsidR="00F45AAF" w:rsidRPr="007274AC" w:rsidRDefault="00F45AAF" w:rsidP="00577097">
      <w:pPr>
        <w:spacing w:after="0" w:line="240" w:lineRule="auto"/>
        <w:jc w:val="both"/>
        <w:rPr>
          <w:rFonts w:ascii="Verdana" w:hAnsi="Verdana"/>
          <w:sz w:val="20"/>
          <w:szCs w:val="20"/>
          <w:lang w:val="es-ES"/>
        </w:rPr>
      </w:pPr>
    </w:p>
    <w:p w:rsidR="00F45AAF" w:rsidRPr="007274AC" w:rsidRDefault="00F45AAF" w:rsidP="00577097">
      <w:pPr>
        <w:spacing w:after="0" w:line="240" w:lineRule="auto"/>
        <w:jc w:val="both"/>
        <w:rPr>
          <w:rFonts w:ascii="Verdana" w:hAnsi="Verdana"/>
          <w:sz w:val="20"/>
          <w:szCs w:val="20"/>
          <w:lang w:val="es-ES"/>
        </w:rPr>
      </w:pPr>
    </w:p>
    <w:p w:rsidR="00577097" w:rsidRPr="007274AC" w:rsidRDefault="00577097" w:rsidP="00577097">
      <w:pPr>
        <w:spacing w:after="0" w:line="240" w:lineRule="auto"/>
        <w:jc w:val="both"/>
        <w:rPr>
          <w:rFonts w:ascii="Verdana" w:hAnsi="Verdana"/>
          <w:sz w:val="20"/>
          <w:szCs w:val="20"/>
          <w:lang w:val="es-ES"/>
        </w:rPr>
      </w:pPr>
    </w:p>
    <w:p w:rsidR="00577097" w:rsidRPr="0089460F" w:rsidRDefault="00D85CFA" w:rsidP="00577097">
      <w:pPr>
        <w:spacing w:after="0" w:line="240" w:lineRule="auto"/>
        <w:rPr>
          <w:rFonts w:ascii="Verdana" w:hAnsi="Verdana"/>
          <w:sz w:val="20"/>
          <w:szCs w:val="20"/>
          <w:lang w:val="pt-BR"/>
        </w:rPr>
      </w:pPr>
      <w:r w:rsidRPr="00BE133F">
        <w:rPr>
          <w:rFonts w:ascii="Verdana" w:hAnsi="Verdana"/>
          <w:sz w:val="20"/>
          <w:szCs w:val="20"/>
          <w:lang w:val="pt-BR"/>
        </w:rPr>
        <w:t>Eduardo Ferrer Mac-Gregor Poisot</w:t>
      </w:r>
      <w:r>
        <w:rPr>
          <w:rFonts w:ascii="Verdana" w:hAnsi="Verdana"/>
          <w:sz w:val="20"/>
          <w:szCs w:val="20"/>
          <w:lang w:val="pt-BR"/>
        </w:rPr>
        <w:t xml:space="preserve">    </w:t>
      </w:r>
      <w:r w:rsidR="00577097" w:rsidRPr="0089460F">
        <w:rPr>
          <w:rFonts w:ascii="Verdana" w:hAnsi="Verdana"/>
          <w:sz w:val="20"/>
          <w:szCs w:val="20"/>
          <w:lang w:val="pt-BR"/>
        </w:rPr>
        <w:tab/>
      </w:r>
      <w:r w:rsidR="00577097" w:rsidRPr="0089460F">
        <w:rPr>
          <w:rFonts w:ascii="Verdana" w:hAnsi="Verdana"/>
          <w:sz w:val="20"/>
          <w:szCs w:val="20"/>
          <w:lang w:val="pt-BR"/>
        </w:rPr>
        <w:tab/>
      </w:r>
      <w:r w:rsidR="00577097" w:rsidRPr="0089460F">
        <w:rPr>
          <w:rFonts w:ascii="Verdana" w:hAnsi="Verdana"/>
          <w:sz w:val="20"/>
          <w:szCs w:val="20"/>
          <w:lang w:val="pt-BR"/>
        </w:rPr>
        <w:tab/>
        <w:t xml:space="preserve">    Manuel E. Ventura Robles</w:t>
      </w:r>
    </w:p>
    <w:p w:rsidR="00577097" w:rsidRPr="0089460F" w:rsidRDefault="00577097" w:rsidP="00577097">
      <w:pPr>
        <w:spacing w:after="0" w:line="240" w:lineRule="auto"/>
        <w:jc w:val="both"/>
        <w:rPr>
          <w:rFonts w:ascii="Verdana" w:hAnsi="Verdana"/>
          <w:sz w:val="20"/>
          <w:szCs w:val="20"/>
          <w:lang w:val="pt-BR"/>
        </w:rPr>
      </w:pPr>
    </w:p>
    <w:p w:rsidR="00577097" w:rsidRPr="0089460F" w:rsidRDefault="00577097" w:rsidP="00577097">
      <w:pPr>
        <w:spacing w:after="0" w:line="240" w:lineRule="auto"/>
        <w:jc w:val="both"/>
        <w:rPr>
          <w:rFonts w:ascii="Verdana" w:hAnsi="Verdana"/>
          <w:sz w:val="20"/>
          <w:szCs w:val="20"/>
          <w:lang w:val="pt-BR"/>
        </w:rPr>
      </w:pPr>
    </w:p>
    <w:p w:rsidR="00577097" w:rsidRPr="0089460F" w:rsidRDefault="00577097" w:rsidP="00577097">
      <w:pPr>
        <w:spacing w:after="0" w:line="240" w:lineRule="auto"/>
        <w:jc w:val="both"/>
        <w:rPr>
          <w:rFonts w:ascii="Verdana" w:hAnsi="Verdana"/>
          <w:sz w:val="20"/>
          <w:szCs w:val="20"/>
          <w:lang w:val="pt-BR"/>
        </w:rPr>
      </w:pPr>
    </w:p>
    <w:p w:rsidR="00F45AAF" w:rsidRPr="0089460F" w:rsidRDefault="00F45AAF" w:rsidP="00577097">
      <w:pPr>
        <w:spacing w:after="0" w:line="240" w:lineRule="auto"/>
        <w:jc w:val="both"/>
        <w:rPr>
          <w:rFonts w:ascii="Verdana" w:hAnsi="Verdana"/>
          <w:sz w:val="20"/>
          <w:szCs w:val="20"/>
          <w:lang w:val="pt-BR"/>
        </w:rPr>
      </w:pPr>
    </w:p>
    <w:p w:rsidR="00577097" w:rsidRPr="0089460F" w:rsidRDefault="00577097" w:rsidP="00577097">
      <w:pPr>
        <w:spacing w:after="0" w:line="240" w:lineRule="auto"/>
        <w:jc w:val="both"/>
        <w:rPr>
          <w:rFonts w:ascii="Verdana" w:hAnsi="Verdana"/>
          <w:sz w:val="20"/>
          <w:szCs w:val="20"/>
          <w:lang w:val="pt-BR"/>
        </w:rPr>
      </w:pPr>
    </w:p>
    <w:p w:rsidR="005B59D1" w:rsidRDefault="005B59D1" w:rsidP="00577097">
      <w:pPr>
        <w:spacing w:after="0" w:line="240" w:lineRule="auto"/>
        <w:rPr>
          <w:rFonts w:ascii="Verdana" w:hAnsi="Verdana"/>
          <w:sz w:val="20"/>
          <w:szCs w:val="20"/>
          <w:lang w:val="pt-BR"/>
        </w:rPr>
      </w:pPr>
      <w:r w:rsidRPr="0089460F">
        <w:rPr>
          <w:rFonts w:ascii="Verdana" w:hAnsi="Verdana" w:cs="Verdana"/>
          <w:sz w:val="20"/>
          <w:szCs w:val="20"/>
          <w:lang w:val="pt-BR"/>
        </w:rPr>
        <w:t>Alberto Pérez Pérez</w:t>
      </w:r>
      <w:r w:rsidRPr="00BE133F">
        <w:rPr>
          <w:rFonts w:ascii="Verdana" w:hAnsi="Verdana"/>
          <w:sz w:val="20"/>
          <w:szCs w:val="20"/>
          <w:lang w:val="pt-BR"/>
        </w:rPr>
        <w:t xml:space="preserve"> </w:t>
      </w:r>
      <w:r>
        <w:rPr>
          <w:rFonts w:ascii="Verdana" w:hAnsi="Verdana"/>
          <w:sz w:val="20"/>
          <w:szCs w:val="20"/>
          <w:lang w:val="pt-BR"/>
        </w:rPr>
        <w:t xml:space="preserve">                                                                      </w:t>
      </w:r>
      <w:r w:rsidR="00577097" w:rsidRPr="00BE133F">
        <w:rPr>
          <w:rFonts w:ascii="Verdana" w:hAnsi="Verdana"/>
          <w:sz w:val="20"/>
          <w:szCs w:val="20"/>
          <w:lang w:val="pt-BR"/>
        </w:rPr>
        <w:t xml:space="preserve">Eduardo Vio Grossi  </w:t>
      </w:r>
      <w:r w:rsidR="00577097" w:rsidRPr="00BE133F">
        <w:rPr>
          <w:rFonts w:ascii="Verdana" w:hAnsi="Verdana"/>
          <w:sz w:val="20"/>
          <w:szCs w:val="20"/>
          <w:lang w:val="pt-BR"/>
        </w:rPr>
        <w:tab/>
      </w:r>
      <w:r w:rsidR="00577097" w:rsidRPr="00BE133F">
        <w:rPr>
          <w:rFonts w:ascii="Verdana" w:hAnsi="Verdana"/>
          <w:sz w:val="20"/>
          <w:szCs w:val="20"/>
          <w:lang w:val="pt-BR"/>
        </w:rPr>
        <w:tab/>
      </w:r>
      <w:r w:rsidR="00577097" w:rsidRPr="00BE133F">
        <w:rPr>
          <w:rFonts w:ascii="Verdana" w:hAnsi="Verdana"/>
          <w:sz w:val="20"/>
          <w:szCs w:val="20"/>
          <w:lang w:val="pt-BR"/>
        </w:rPr>
        <w:tab/>
      </w:r>
      <w:r w:rsidR="00577097" w:rsidRPr="00BE133F">
        <w:rPr>
          <w:rFonts w:ascii="Verdana" w:hAnsi="Verdana"/>
          <w:sz w:val="20"/>
          <w:szCs w:val="20"/>
          <w:lang w:val="pt-BR"/>
        </w:rPr>
        <w:tab/>
        <w:t xml:space="preserve">                     </w:t>
      </w:r>
    </w:p>
    <w:p w:rsidR="005B59D1" w:rsidRDefault="005B59D1" w:rsidP="00577097">
      <w:pPr>
        <w:spacing w:after="0" w:line="240" w:lineRule="auto"/>
        <w:rPr>
          <w:rFonts w:ascii="Verdana" w:hAnsi="Verdana"/>
          <w:sz w:val="20"/>
          <w:szCs w:val="20"/>
          <w:lang w:val="pt-BR"/>
        </w:rPr>
      </w:pPr>
    </w:p>
    <w:p w:rsidR="005B59D1" w:rsidRDefault="005B59D1" w:rsidP="00577097">
      <w:pPr>
        <w:spacing w:after="0" w:line="240" w:lineRule="auto"/>
        <w:rPr>
          <w:rFonts w:ascii="Verdana" w:hAnsi="Verdana"/>
          <w:sz w:val="20"/>
          <w:szCs w:val="20"/>
          <w:lang w:val="pt-BR"/>
        </w:rPr>
      </w:pPr>
    </w:p>
    <w:p w:rsidR="00F45AAF" w:rsidRDefault="00F45AAF" w:rsidP="005B59D1">
      <w:pPr>
        <w:spacing w:after="0" w:line="240" w:lineRule="auto"/>
        <w:jc w:val="center"/>
        <w:rPr>
          <w:rFonts w:ascii="Verdana" w:hAnsi="Verdana"/>
          <w:sz w:val="20"/>
          <w:szCs w:val="20"/>
          <w:lang w:val="pt-BR"/>
        </w:rPr>
      </w:pPr>
    </w:p>
    <w:p w:rsidR="00F45AAF" w:rsidRDefault="00F45AAF" w:rsidP="005B59D1">
      <w:pPr>
        <w:spacing w:after="0" w:line="240" w:lineRule="auto"/>
        <w:jc w:val="center"/>
        <w:rPr>
          <w:rFonts w:ascii="Verdana" w:hAnsi="Verdana"/>
          <w:sz w:val="20"/>
          <w:szCs w:val="20"/>
          <w:lang w:val="pt-BR"/>
        </w:rPr>
      </w:pPr>
    </w:p>
    <w:p w:rsidR="00577097" w:rsidRPr="00BE133F" w:rsidRDefault="00D85CFA" w:rsidP="005B59D1">
      <w:pPr>
        <w:spacing w:after="0" w:line="240" w:lineRule="auto"/>
        <w:jc w:val="center"/>
        <w:rPr>
          <w:rFonts w:ascii="Verdana" w:hAnsi="Verdana"/>
          <w:sz w:val="20"/>
          <w:szCs w:val="20"/>
          <w:lang w:val="pt-BR"/>
        </w:rPr>
      </w:pPr>
      <w:r w:rsidRPr="00BE133F">
        <w:rPr>
          <w:rFonts w:ascii="Verdana" w:hAnsi="Verdana"/>
          <w:sz w:val="20"/>
          <w:szCs w:val="20"/>
          <w:lang w:val="es-ES"/>
        </w:rPr>
        <w:t>Humberto Antonio Sierra Porto</w:t>
      </w:r>
    </w:p>
    <w:p w:rsidR="00577097" w:rsidRPr="00BE133F" w:rsidRDefault="00577097" w:rsidP="00577097">
      <w:pPr>
        <w:spacing w:after="0" w:line="240" w:lineRule="auto"/>
        <w:jc w:val="both"/>
        <w:rPr>
          <w:rFonts w:ascii="Verdana" w:hAnsi="Verdana"/>
          <w:sz w:val="20"/>
          <w:szCs w:val="20"/>
          <w:lang w:val="pt-BR"/>
        </w:rPr>
      </w:pPr>
    </w:p>
    <w:p w:rsidR="00577097" w:rsidRPr="00BE133F" w:rsidRDefault="00577097" w:rsidP="00577097">
      <w:pPr>
        <w:spacing w:after="0" w:line="240" w:lineRule="auto"/>
        <w:jc w:val="both"/>
        <w:rPr>
          <w:rFonts w:ascii="Verdana" w:hAnsi="Verdana"/>
          <w:sz w:val="20"/>
          <w:szCs w:val="20"/>
          <w:lang w:val="pt-BR"/>
        </w:rPr>
      </w:pPr>
    </w:p>
    <w:p w:rsidR="00F45AAF" w:rsidRDefault="00F45AAF" w:rsidP="00577097">
      <w:pPr>
        <w:spacing w:after="0" w:line="240" w:lineRule="auto"/>
        <w:jc w:val="both"/>
        <w:rPr>
          <w:rFonts w:ascii="Verdana" w:hAnsi="Verdana"/>
          <w:sz w:val="20"/>
          <w:szCs w:val="20"/>
          <w:lang w:val="pt-BR"/>
        </w:rPr>
      </w:pPr>
    </w:p>
    <w:p w:rsidR="00F45AAF" w:rsidRDefault="00F45AAF" w:rsidP="00577097">
      <w:pPr>
        <w:spacing w:after="0" w:line="240" w:lineRule="auto"/>
        <w:jc w:val="both"/>
        <w:rPr>
          <w:rFonts w:ascii="Verdana" w:hAnsi="Verdana"/>
          <w:sz w:val="20"/>
          <w:szCs w:val="20"/>
          <w:lang w:val="pt-BR"/>
        </w:rPr>
      </w:pPr>
    </w:p>
    <w:p w:rsidR="00F45AAF" w:rsidRPr="00BE133F" w:rsidRDefault="00F45AAF" w:rsidP="00577097">
      <w:pPr>
        <w:spacing w:after="0" w:line="240" w:lineRule="auto"/>
        <w:jc w:val="both"/>
        <w:rPr>
          <w:rFonts w:ascii="Verdana" w:hAnsi="Verdana"/>
          <w:sz w:val="20"/>
          <w:szCs w:val="20"/>
          <w:lang w:val="pt-BR"/>
        </w:rPr>
      </w:pPr>
    </w:p>
    <w:p w:rsidR="00577097" w:rsidRPr="003A32F1" w:rsidRDefault="00577097" w:rsidP="00577097">
      <w:pPr>
        <w:spacing w:after="0" w:line="240" w:lineRule="auto"/>
        <w:jc w:val="center"/>
        <w:rPr>
          <w:rFonts w:ascii="Verdana" w:hAnsi="Verdana"/>
          <w:sz w:val="20"/>
          <w:szCs w:val="20"/>
          <w:lang w:val="es-ES"/>
        </w:rPr>
      </w:pPr>
      <w:r w:rsidRPr="003A32F1">
        <w:rPr>
          <w:rFonts w:ascii="Verdana" w:hAnsi="Verdana"/>
          <w:sz w:val="20"/>
          <w:szCs w:val="20"/>
          <w:lang w:val="es-ES"/>
        </w:rPr>
        <w:t>Pablo Saavedra Alessandri</w:t>
      </w:r>
    </w:p>
    <w:p w:rsidR="00577097" w:rsidRPr="00BE133F" w:rsidRDefault="00577097" w:rsidP="00577097">
      <w:pPr>
        <w:spacing w:after="0" w:line="240" w:lineRule="auto"/>
        <w:jc w:val="center"/>
        <w:rPr>
          <w:rFonts w:ascii="Verdana" w:hAnsi="Verdana"/>
          <w:sz w:val="20"/>
          <w:szCs w:val="20"/>
          <w:lang w:val="es-ES"/>
        </w:rPr>
      </w:pPr>
      <w:r w:rsidRPr="00BE133F">
        <w:rPr>
          <w:rFonts w:ascii="Verdana" w:hAnsi="Verdana"/>
          <w:sz w:val="20"/>
          <w:szCs w:val="20"/>
          <w:lang w:val="es-ES"/>
        </w:rPr>
        <w:t>Secretario</w:t>
      </w:r>
    </w:p>
    <w:p w:rsidR="00577097" w:rsidRPr="00BE133F" w:rsidRDefault="00577097" w:rsidP="00577097">
      <w:pPr>
        <w:pStyle w:val="FootnoteText"/>
        <w:rPr>
          <w:rFonts w:ascii="Verdana" w:hAnsi="Verdana"/>
          <w:lang w:val="es-ES"/>
        </w:rPr>
      </w:pPr>
    </w:p>
    <w:p w:rsidR="00577097" w:rsidRPr="00BE133F" w:rsidRDefault="00577097" w:rsidP="00577097">
      <w:pPr>
        <w:pStyle w:val="FootnoteText"/>
        <w:rPr>
          <w:rFonts w:ascii="Verdana" w:hAnsi="Verdana"/>
          <w:lang w:val="es-ES"/>
        </w:rPr>
      </w:pPr>
    </w:p>
    <w:p w:rsidR="00577097" w:rsidRPr="00BE133F" w:rsidRDefault="00577097" w:rsidP="00577097">
      <w:pPr>
        <w:pStyle w:val="FootnoteText"/>
        <w:rPr>
          <w:rFonts w:ascii="Verdana" w:hAnsi="Verdana"/>
          <w:lang w:val="es-ES"/>
        </w:rPr>
      </w:pPr>
    </w:p>
    <w:p w:rsidR="00577097" w:rsidRPr="00BE133F" w:rsidRDefault="00577097" w:rsidP="00577097">
      <w:pPr>
        <w:spacing w:after="0" w:line="240" w:lineRule="auto"/>
        <w:jc w:val="both"/>
        <w:rPr>
          <w:rFonts w:ascii="Verdana" w:hAnsi="Verdana"/>
          <w:sz w:val="20"/>
          <w:szCs w:val="20"/>
          <w:lang w:val="es-ES"/>
        </w:rPr>
      </w:pPr>
      <w:r w:rsidRPr="00BE133F">
        <w:rPr>
          <w:rFonts w:ascii="Verdana" w:hAnsi="Verdana"/>
          <w:sz w:val="20"/>
          <w:szCs w:val="20"/>
          <w:lang w:val="es-ES"/>
        </w:rPr>
        <w:t>Comuníquese y ejecútese,</w:t>
      </w: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p>
    <w:p w:rsidR="00577097" w:rsidRPr="00BE133F" w:rsidRDefault="00577097" w:rsidP="00577097">
      <w:pPr>
        <w:spacing w:after="0" w:line="240" w:lineRule="auto"/>
        <w:ind w:left="5040"/>
        <w:rPr>
          <w:rFonts w:ascii="Verdana" w:hAnsi="Verdana"/>
          <w:sz w:val="20"/>
          <w:szCs w:val="20"/>
          <w:lang w:val="es-ES"/>
        </w:rPr>
      </w:pPr>
      <w:r w:rsidRPr="00BE133F">
        <w:rPr>
          <w:rFonts w:ascii="Verdana" w:hAnsi="Verdana"/>
          <w:sz w:val="20"/>
          <w:szCs w:val="20"/>
          <w:lang w:val="es-ES"/>
        </w:rPr>
        <w:t xml:space="preserve">      </w:t>
      </w:r>
      <w:r w:rsidRPr="00BE133F">
        <w:rPr>
          <w:rFonts w:ascii="Verdana" w:hAnsi="Verdana"/>
          <w:sz w:val="20"/>
          <w:szCs w:val="20"/>
          <w:lang w:val="es-ES"/>
        </w:rPr>
        <w:tab/>
        <w:t xml:space="preserve">       </w:t>
      </w:r>
      <w:r w:rsidR="0077217D">
        <w:rPr>
          <w:rFonts w:ascii="Verdana" w:hAnsi="Verdana"/>
          <w:sz w:val="20"/>
          <w:szCs w:val="20"/>
          <w:lang w:val="es-ES"/>
        </w:rPr>
        <w:t xml:space="preserve">     </w:t>
      </w:r>
      <w:r w:rsidR="0077217D" w:rsidRPr="003A32F1">
        <w:rPr>
          <w:rFonts w:ascii="Verdana" w:hAnsi="Verdana"/>
          <w:sz w:val="20"/>
          <w:szCs w:val="20"/>
          <w:lang w:val="es-ES"/>
        </w:rPr>
        <w:t>Roberto F. Caldas</w:t>
      </w:r>
    </w:p>
    <w:p w:rsidR="00577097" w:rsidRPr="00BE133F" w:rsidRDefault="00577097" w:rsidP="00577097">
      <w:pPr>
        <w:spacing w:after="0" w:line="240" w:lineRule="auto"/>
        <w:ind w:left="5760"/>
        <w:jc w:val="center"/>
        <w:rPr>
          <w:rFonts w:ascii="Verdana" w:hAnsi="Verdana"/>
          <w:sz w:val="20"/>
          <w:szCs w:val="20"/>
          <w:lang w:val="es-ES"/>
        </w:rPr>
      </w:pPr>
      <w:r w:rsidRPr="00BE133F">
        <w:rPr>
          <w:rFonts w:ascii="Verdana" w:hAnsi="Verdana"/>
          <w:sz w:val="20"/>
          <w:szCs w:val="20"/>
          <w:lang w:val="es-ES"/>
        </w:rPr>
        <w:t>Presidente</w:t>
      </w: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lang w:val="es-ES"/>
        </w:rPr>
      </w:pPr>
      <w:r w:rsidRPr="00BE133F">
        <w:rPr>
          <w:rFonts w:ascii="Verdana" w:hAnsi="Verdana"/>
          <w:sz w:val="20"/>
          <w:szCs w:val="20"/>
          <w:lang w:val="es-ES"/>
        </w:rPr>
        <w:t>Pablo Saavedra Alessandri</w:t>
      </w: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lang w:val="es-ES"/>
        </w:rPr>
        <w:tab/>
      </w:r>
      <w:r w:rsidRPr="00BE133F">
        <w:rPr>
          <w:rFonts w:ascii="Verdana" w:hAnsi="Verdana"/>
          <w:sz w:val="20"/>
          <w:szCs w:val="20"/>
        </w:rPr>
        <w:t>Secretario</w:t>
      </w:r>
    </w:p>
    <w:p w:rsidR="0094609B" w:rsidRPr="00BE133F" w:rsidRDefault="003073C3">
      <w:pPr>
        <w:rPr>
          <w:rFonts w:ascii="Verdana" w:hAnsi="Verdana"/>
          <w:sz w:val="20"/>
          <w:szCs w:val="20"/>
        </w:rPr>
      </w:pPr>
    </w:p>
    <w:sectPr w:rsidR="0094609B" w:rsidRPr="00BE133F" w:rsidSect="00B55C19">
      <w:headerReference w:type="even" r:id="rId9"/>
      <w:headerReference w:type="default" r:id="rId10"/>
      <w:footerReference w:type="default" r:id="rId11"/>
      <w:headerReference w:type="first" r:id="rId12"/>
      <w:pgSz w:w="12240" w:h="15840" w:code="1"/>
      <w:pgMar w:top="1440" w:right="132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C3" w:rsidRDefault="003073C3" w:rsidP="00577097">
      <w:pPr>
        <w:spacing w:after="0" w:line="240" w:lineRule="auto"/>
      </w:pPr>
      <w:r>
        <w:separator/>
      </w:r>
    </w:p>
  </w:endnote>
  <w:endnote w:type="continuationSeparator" w:id="0">
    <w:p w:rsidR="003073C3" w:rsidRDefault="003073C3" w:rsidP="0057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Pr="002434DF" w:rsidRDefault="004A5A50">
    <w:pPr>
      <w:pStyle w:val="Footer"/>
      <w:jc w:val="center"/>
      <w:rPr>
        <w:rFonts w:ascii="Verdana" w:hAnsi="Verdana"/>
        <w:sz w:val="20"/>
        <w:szCs w:val="20"/>
      </w:rPr>
    </w:pPr>
    <w:r w:rsidRPr="002434DF">
      <w:rPr>
        <w:rFonts w:ascii="Verdana" w:hAnsi="Verdana"/>
        <w:sz w:val="20"/>
        <w:szCs w:val="20"/>
      </w:rPr>
      <w:fldChar w:fldCharType="begin"/>
    </w:r>
    <w:r w:rsidRPr="002434DF">
      <w:rPr>
        <w:rFonts w:ascii="Verdana" w:hAnsi="Verdana"/>
        <w:sz w:val="20"/>
        <w:szCs w:val="20"/>
      </w:rPr>
      <w:instrText xml:space="preserve"> PAGE   \* MERGEFORMAT </w:instrText>
    </w:r>
    <w:r w:rsidRPr="002434DF">
      <w:rPr>
        <w:rFonts w:ascii="Verdana" w:hAnsi="Verdana"/>
        <w:sz w:val="20"/>
        <w:szCs w:val="20"/>
      </w:rPr>
      <w:fldChar w:fldCharType="separate"/>
    </w:r>
    <w:r w:rsidR="00030376">
      <w:rPr>
        <w:rFonts w:ascii="Verdana" w:hAnsi="Verdana"/>
        <w:noProof/>
        <w:sz w:val="20"/>
        <w:szCs w:val="20"/>
      </w:rPr>
      <w:t>8</w:t>
    </w:r>
    <w:r w:rsidRPr="002434DF">
      <w:rPr>
        <w:rFonts w:ascii="Verdana" w:hAnsi="Verdana"/>
        <w:sz w:val="20"/>
        <w:szCs w:val="20"/>
      </w:rPr>
      <w:fldChar w:fldCharType="end"/>
    </w:r>
  </w:p>
  <w:p w:rsidR="00B97637" w:rsidRDefault="0030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C3" w:rsidRDefault="003073C3" w:rsidP="00577097">
      <w:pPr>
        <w:spacing w:after="0" w:line="240" w:lineRule="auto"/>
      </w:pPr>
      <w:r>
        <w:separator/>
      </w:r>
    </w:p>
  </w:footnote>
  <w:footnote w:type="continuationSeparator" w:id="0">
    <w:p w:rsidR="003073C3" w:rsidRDefault="003073C3" w:rsidP="00577097">
      <w:pPr>
        <w:spacing w:after="0" w:line="240" w:lineRule="auto"/>
      </w:pPr>
      <w:r>
        <w:continuationSeparator/>
      </w:r>
    </w:p>
  </w:footnote>
  <w:footnote w:id="1">
    <w:p w:rsidR="007D0F6B" w:rsidRPr="00C605A3" w:rsidRDefault="007D0F6B" w:rsidP="00E73337">
      <w:pPr>
        <w:spacing w:after="0" w:line="240" w:lineRule="auto"/>
        <w:jc w:val="both"/>
        <w:rPr>
          <w:rFonts w:ascii="Verdana" w:hAnsi="Verdana"/>
          <w:sz w:val="16"/>
          <w:szCs w:val="16"/>
        </w:rPr>
      </w:pPr>
      <w:r w:rsidRPr="00C605A3">
        <w:rPr>
          <w:rStyle w:val="FootnoteReference"/>
          <w:rFonts w:ascii="Verdana" w:hAnsi="Verdana"/>
          <w:sz w:val="16"/>
          <w:szCs w:val="16"/>
          <w:lang w:val="x-none" w:eastAsia="x-none"/>
        </w:rPr>
        <w:t>*</w:t>
      </w:r>
      <w:r w:rsidR="00480D7A">
        <w:rPr>
          <w:rFonts w:ascii="Verdana" w:hAnsi="Verdana"/>
          <w:sz w:val="16"/>
          <w:szCs w:val="16"/>
        </w:rPr>
        <w:t xml:space="preserve"> </w:t>
      </w:r>
      <w:r w:rsidRPr="00C605A3">
        <w:rPr>
          <w:rFonts w:ascii="Verdana" w:hAnsi="Verdana"/>
          <w:sz w:val="16"/>
          <w:szCs w:val="16"/>
          <w:lang w:val="es-ES"/>
        </w:rPr>
        <w:t xml:space="preserve">De conformidad con el artículo 19.1 del Reglamento de la Corte Interamericana aplicable al presente caso, el Juez </w:t>
      </w:r>
      <w:r w:rsidRPr="00C605A3">
        <w:rPr>
          <w:rFonts w:ascii="Verdana" w:hAnsi="Verdana"/>
          <w:bCs/>
          <w:sz w:val="16"/>
          <w:szCs w:val="16"/>
        </w:rPr>
        <w:t>Diego García-Sayán</w:t>
      </w:r>
      <w:r w:rsidRPr="00C605A3">
        <w:rPr>
          <w:rFonts w:ascii="Verdana" w:hAnsi="Verdana"/>
          <w:sz w:val="16"/>
          <w:szCs w:val="16"/>
          <w:lang w:val="es-ES"/>
        </w:rPr>
        <w:t>, de nacionalidad peruana, no participó de la deliberación de esta Sentencia.</w:t>
      </w:r>
    </w:p>
  </w:footnote>
  <w:footnote w:id="2">
    <w:p w:rsidR="005032B9" w:rsidRPr="00C605A3" w:rsidRDefault="005032B9" w:rsidP="00E73337">
      <w:pPr>
        <w:pStyle w:val="FootnoteText"/>
        <w:jc w:val="both"/>
        <w:rPr>
          <w:rFonts w:ascii="Verdana" w:hAnsi="Verdana"/>
          <w:sz w:val="16"/>
          <w:szCs w:val="16"/>
          <w:lang w:val="es-ES"/>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sz w:val="16"/>
          <w:szCs w:val="16"/>
          <w:lang w:val="es-ES"/>
        </w:rPr>
        <w:t>El señor Mario Canales Huapaya representa al señor Carlos Alberto Canales Huapaya, víctima del caso</w:t>
      </w:r>
      <w:r w:rsidR="00F63B1A" w:rsidRPr="00C605A3">
        <w:rPr>
          <w:rFonts w:ascii="Verdana" w:hAnsi="Verdana"/>
          <w:sz w:val="16"/>
          <w:szCs w:val="16"/>
          <w:lang w:val="es-ES"/>
        </w:rPr>
        <w:t>,</w:t>
      </w:r>
      <w:r w:rsidRPr="00C605A3">
        <w:rPr>
          <w:rFonts w:ascii="Verdana" w:hAnsi="Verdana"/>
          <w:sz w:val="16"/>
          <w:szCs w:val="16"/>
          <w:lang w:val="es-ES"/>
        </w:rPr>
        <w:t xml:space="preserve"> quien indicó en comunicación de 10 de diciembre de 2015 que nombraba como su abogado defensor al señor Mario Canales Huapaya, y revocaba la asesoría legal a los defensores interamericanos, quienes habían actuado en su nombre durante el trámite ante la Corte.</w:t>
      </w:r>
    </w:p>
  </w:footnote>
  <w:footnote w:id="3">
    <w:p w:rsidR="00CB1835" w:rsidRPr="00C605A3" w:rsidRDefault="00CB1835" w:rsidP="00E73337">
      <w:pPr>
        <w:pStyle w:val="FootnoteText"/>
        <w:jc w:val="both"/>
        <w:rPr>
          <w:rFonts w:ascii="Verdana" w:hAnsi="Verdana"/>
          <w:sz w:val="16"/>
          <w:szCs w:val="16"/>
          <w:lang w:val="es-ES"/>
        </w:rPr>
      </w:pPr>
      <w:r w:rsidRPr="00C605A3">
        <w:rPr>
          <w:rStyle w:val="FootnoteReference"/>
          <w:rFonts w:ascii="Verdana" w:hAnsi="Verdana"/>
          <w:sz w:val="16"/>
          <w:szCs w:val="16"/>
        </w:rPr>
        <w:footnoteRef/>
      </w:r>
      <w:r w:rsidR="00326731">
        <w:rPr>
          <w:rFonts w:ascii="Verdana" w:hAnsi="Verdana"/>
          <w:sz w:val="16"/>
          <w:szCs w:val="16"/>
          <w:lang w:val="es-ES"/>
        </w:rPr>
        <w:t xml:space="preserve"> </w:t>
      </w:r>
      <w:r w:rsidRPr="00C605A3">
        <w:rPr>
          <w:rFonts w:ascii="Verdana" w:hAnsi="Verdana"/>
          <w:sz w:val="16"/>
          <w:szCs w:val="16"/>
          <w:lang w:val="es-ES"/>
        </w:rPr>
        <w:t>El señor Castro Ballena indicó que su escrito de observaciones era present</w:t>
      </w:r>
      <w:r w:rsidR="00E73337" w:rsidRPr="00C605A3">
        <w:rPr>
          <w:rFonts w:ascii="Verdana" w:hAnsi="Verdana"/>
          <w:sz w:val="16"/>
          <w:szCs w:val="16"/>
          <w:lang w:val="es-ES"/>
        </w:rPr>
        <w:t>ado</w:t>
      </w:r>
      <w:r w:rsidRPr="00C605A3">
        <w:rPr>
          <w:rFonts w:ascii="Verdana" w:hAnsi="Verdana"/>
          <w:sz w:val="16"/>
          <w:szCs w:val="16"/>
          <w:lang w:val="es-ES"/>
        </w:rPr>
        <w:t xml:space="preserve"> </w:t>
      </w:r>
      <w:r w:rsidR="00E73337" w:rsidRPr="00C605A3">
        <w:rPr>
          <w:rFonts w:ascii="Verdana" w:hAnsi="Verdana"/>
          <w:sz w:val="16"/>
          <w:szCs w:val="16"/>
          <w:lang w:val="es-ES"/>
        </w:rPr>
        <w:t>“</w:t>
      </w:r>
      <w:r w:rsidRPr="00C605A3">
        <w:rPr>
          <w:rFonts w:ascii="Verdana" w:hAnsi="Verdana"/>
          <w:sz w:val="16"/>
          <w:szCs w:val="16"/>
          <w:lang w:val="es-ES"/>
        </w:rPr>
        <w:t>a título personal</w:t>
      </w:r>
      <w:r w:rsidR="00E73337" w:rsidRPr="00C605A3">
        <w:rPr>
          <w:rFonts w:ascii="Verdana" w:hAnsi="Verdana"/>
          <w:sz w:val="16"/>
          <w:szCs w:val="16"/>
          <w:lang w:val="es-ES"/>
        </w:rPr>
        <w:t>”</w:t>
      </w:r>
      <w:r w:rsidRPr="00C605A3">
        <w:rPr>
          <w:rFonts w:ascii="Verdana" w:hAnsi="Verdana"/>
          <w:sz w:val="16"/>
          <w:szCs w:val="16"/>
          <w:lang w:val="es-ES"/>
        </w:rPr>
        <w:t>, no obstante señaló que seguía siendo representado por la Asociación para Educación en el Perú</w:t>
      </w:r>
      <w:r w:rsidR="00A2548F" w:rsidRPr="00C605A3">
        <w:rPr>
          <w:rFonts w:ascii="Verdana" w:hAnsi="Verdana"/>
          <w:sz w:val="16"/>
          <w:szCs w:val="16"/>
          <w:lang w:val="es-ES"/>
        </w:rPr>
        <w:t xml:space="preserve"> -</w:t>
      </w:r>
      <w:r w:rsidRPr="00C605A3">
        <w:rPr>
          <w:rFonts w:ascii="Verdana" w:hAnsi="Verdana"/>
          <w:sz w:val="16"/>
          <w:szCs w:val="16"/>
          <w:lang w:val="es-ES"/>
        </w:rPr>
        <w:t>APEPERÚ.</w:t>
      </w:r>
    </w:p>
  </w:footnote>
  <w:footnote w:id="4">
    <w:p w:rsidR="00C605A3" w:rsidRPr="00C605A3" w:rsidRDefault="00C605A3" w:rsidP="00C605A3">
      <w:pPr>
        <w:pStyle w:val="FootnoteText"/>
        <w:jc w:val="both"/>
        <w:rPr>
          <w:rFonts w:ascii="Verdana" w:hAnsi="Verdana"/>
          <w:sz w:val="16"/>
          <w:szCs w:val="16"/>
          <w:lang w:val="es-ES"/>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sz w:val="16"/>
          <w:szCs w:val="16"/>
          <w:lang w:val="es-ES"/>
        </w:rPr>
        <w:t xml:space="preserve">El representante </w:t>
      </w:r>
      <w:r w:rsidR="00DA24D9">
        <w:rPr>
          <w:rFonts w:ascii="Verdana" w:hAnsi="Verdana"/>
          <w:sz w:val="16"/>
          <w:szCs w:val="16"/>
          <w:lang w:val="es-ES"/>
        </w:rPr>
        <w:t xml:space="preserve">señaló que </w:t>
      </w:r>
      <w:r w:rsidRPr="00C605A3">
        <w:rPr>
          <w:rFonts w:ascii="Verdana" w:hAnsi="Verdana"/>
          <w:sz w:val="16"/>
          <w:szCs w:val="16"/>
          <w:lang w:val="es-ES"/>
        </w:rPr>
        <w:t>“[l]a corte orden[</w:t>
      </w:r>
      <w:proofErr w:type="spellStart"/>
      <w:r w:rsidRPr="00C605A3">
        <w:rPr>
          <w:rFonts w:ascii="Verdana" w:hAnsi="Verdana"/>
          <w:sz w:val="16"/>
          <w:szCs w:val="16"/>
          <w:lang w:val="es-ES"/>
        </w:rPr>
        <w:t>ó</w:t>
      </w:r>
      <w:proofErr w:type="spellEnd"/>
      <w:r w:rsidRPr="00C605A3">
        <w:rPr>
          <w:rFonts w:ascii="Verdana" w:hAnsi="Verdana"/>
          <w:sz w:val="16"/>
          <w:szCs w:val="16"/>
          <w:lang w:val="es-ES"/>
        </w:rPr>
        <w:t xml:space="preserve">] que el Estado peruano [l]e pague [al señor Carlos Alberto Canales Huapaya] una indemnización neta de 350,000 dólares americanos, lo que equivale a la cuarta parte [de lo] que arroja [su] pericia”. En relación al daño inmaterial, agregó que “el Estado </w:t>
      </w:r>
      <w:proofErr w:type="spellStart"/>
      <w:r w:rsidRPr="00C605A3">
        <w:rPr>
          <w:rFonts w:ascii="Verdana" w:hAnsi="Verdana"/>
          <w:sz w:val="16"/>
          <w:szCs w:val="16"/>
          <w:lang w:val="es-ES"/>
        </w:rPr>
        <w:t>acept</w:t>
      </w:r>
      <w:proofErr w:type="spellEnd"/>
      <w:r w:rsidRPr="00C605A3">
        <w:rPr>
          <w:rFonts w:ascii="Verdana" w:hAnsi="Verdana"/>
          <w:sz w:val="16"/>
          <w:szCs w:val="16"/>
          <w:lang w:val="es-ES"/>
        </w:rPr>
        <w:t>[</w:t>
      </w:r>
      <w:proofErr w:type="spellStart"/>
      <w:r w:rsidRPr="00C605A3">
        <w:rPr>
          <w:rFonts w:ascii="Verdana" w:hAnsi="Verdana"/>
          <w:sz w:val="16"/>
          <w:szCs w:val="16"/>
          <w:lang w:val="es-ES"/>
        </w:rPr>
        <w:t>ó</w:t>
      </w:r>
      <w:proofErr w:type="spellEnd"/>
      <w:r w:rsidRPr="00C605A3">
        <w:rPr>
          <w:rFonts w:ascii="Verdana" w:hAnsi="Verdana"/>
          <w:sz w:val="16"/>
          <w:szCs w:val="16"/>
          <w:lang w:val="es-ES"/>
        </w:rPr>
        <w:t xml:space="preserve">] el pago de $15,000 dólares americanos por daño inmaterial, equiparando[l]os con el Caso Trabajadores Cesados pero la Corte lo </w:t>
      </w:r>
      <w:proofErr w:type="spellStart"/>
      <w:r w:rsidRPr="00C605A3">
        <w:rPr>
          <w:rFonts w:ascii="Verdana" w:hAnsi="Verdana"/>
          <w:sz w:val="16"/>
          <w:szCs w:val="16"/>
          <w:lang w:val="es-ES"/>
        </w:rPr>
        <w:t>rebaj</w:t>
      </w:r>
      <w:proofErr w:type="spellEnd"/>
      <w:r w:rsidRPr="00C605A3">
        <w:rPr>
          <w:rFonts w:ascii="Verdana" w:hAnsi="Verdana"/>
          <w:sz w:val="16"/>
          <w:szCs w:val="16"/>
          <w:lang w:val="es-ES"/>
        </w:rPr>
        <w:t>[</w:t>
      </w:r>
      <w:proofErr w:type="spellStart"/>
      <w:r w:rsidRPr="00C605A3">
        <w:rPr>
          <w:rFonts w:ascii="Verdana" w:hAnsi="Verdana"/>
          <w:sz w:val="16"/>
          <w:szCs w:val="16"/>
          <w:lang w:val="es-ES"/>
        </w:rPr>
        <w:t>ó</w:t>
      </w:r>
      <w:proofErr w:type="spellEnd"/>
      <w:r w:rsidRPr="00C605A3">
        <w:rPr>
          <w:rFonts w:ascii="Verdana" w:hAnsi="Verdana"/>
          <w:sz w:val="16"/>
          <w:szCs w:val="16"/>
          <w:lang w:val="es-ES"/>
        </w:rPr>
        <w:t xml:space="preserve">] a $5,000 dólares americanos”. Finalmente, se refirió a la decisión de la Corte de no ordenar la reposición de las víctimas del presente caso, sobre lo cual señaló que </w:t>
      </w:r>
      <w:r w:rsidRPr="00C605A3">
        <w:rPr>
          <w:rFonts w:ascii="Verdana" w:eastAsia="Times" w:hAnsi="Verdana"/>
          <w:bCs/>
          <w:sz w:val="16"/>
          <w:szCs w:val="16"/>
          <w:lang w:val="es-ES"/>
        </w:rPr>
        <w:t>“a [los trabajadores] del caso Trabajadores Cesados del Congreso, el Estado los ha repuesto sin objetarles la edad, ni la nueva estructura organizacional y remunerativa”, y que</w:t>
      </w:r>
      <w:r w:rsidRPr="00C605A3">
        <w:rPr>
          <w:rFonts w:ascii="Verdana" w:hAnsi="Verdana"/>
          <w:sz w:val="16"/>
          <w:szCs w:val="16"/>
          <w:lang w:val="es-ES"/>
        </w:rPr>
        <w:t xml:space="preserve"> “la mesa directiva del Congreso se preparaba para </w:t>
      </w:r>
      <w:proofErr w:type="gramStart"/>
      <w:r w:rsidRPr="00C605A3">
        <w:rPr>
          <w:rFonts w:ascii="Verdana" w:hAnsi="Verdana"/>
          <w:sz w:val="16"/>
          <w:szCs w:val="16"/>
          <w:lang w:val="es-ES"/>
        </w:rPr>
        <w:t>reponer[</w:t>
      </w:r>
      <w:proofErr w:type="gramEnd"/>
      <w:r w:rsidRPr="00C605A3">
        <w:rPr>
          <w:rFonts w:ascii="Verdana" w:hAnsi="Verdana"/>
          <w:sz w:val="16"/>
          <w:szCs w:val="16"/>
          <w:lang w:val="es-ES"/>
        </w:rPr>
        <w:t>lo], pero la Corte decidió lo contrario”.</w:t>
      </w:r>
    </w:p>
  </w:footnote>
  <w:footnote w:id="5">
    <w:p w:rsidR="0089460F" w:rsidRPr="00C605A3" w:rsidRDefault="0089460F" w:rsidP="0089460F">
      <w:pPr>
        <w:spacing w:after="60" w:line="240" w:lineRule="auto"/>
        <w:jc w:val="both"/>
        <w:rPr>
          <w:rFonts w:ascii="Verdana" w:hAnsi="Verdana"/>
          <w:b/>
          <w:sz w:val="16"/>
          <w:szCs w:val="16"/>
        </w:rPr>
      </w:pPr>
      <w:r w:rsidRPr="00C605A3">
        <w:rPr>
          <w:rStyle w:val="FootnoteReference"/>
          <w:rFonts w:ascii="Verdana" w:hAnsi="Verdana"/>
          <w:sz w:val="16"/>
          <w:szCs w:val="16"/>
        </w:rPr>
        <w:footnoteRef/>
      </w:r>
      <w:r w:rsidR="00480D7A">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i/>
          <w:sz w:val="16"/>
          <w:szCs w:val="16"/>
        </w:rPr>
        <w:t>Caso Loayza Tamayo Vs. Perú. Interpretación de la Sentencia de Fondo</w:t>
      </w:r>
      <w:r w:rsidRPr="00C605A3">
        <w:rPr>
          <w:rFonts w:ascii="Verdana" w:hAnsi="Verdana"/>
          <w:sz w:val="16"/>
          <w:szCs w:val="16"/>
        </w:rPr>
        <w:t xml:space="preserve">. Resolución de la Corte Interamericana de Derechos Humanos de 8 de marzo de 1998. Serie C No. 47, párr. 16, y </w:t>
      </w:r>
      <w:r w:rsidRPr="00C605A3">
        <w:rPr>
          <w:rFonts w:ascii="Verdana" w:hAnsi="Verdana"/>
          <w:i/>
          <w:sz w:val="16"/>
          <w:szCs w:val="16"/>
        </w:rPr>
        <w:t xml:space="preserve">Caso </w:t>
      </w:r>
      <w:r w:rsidRPr="00C605A3">
        <w:rPr>
          <w:rFonts w:ascii="Verdana" w:eastAsia="Times" w:hAnsi="Verdana"/>
          <w:bCs/>
          <w:i/>
          <w:sz w:val="16"/>
          <w:szCs w:val="16"/>
        </w:rPr>
        <w:t>Argüelles</w:t>
      </w:r>
      <w:r w:rsidRPr="00C605A3">
        <w:rPr>
          <w:rFonts w:ascii="Verdana" w:hAnsi="Verdana"/>
          <w:i/>
          <w:sz w:val="16"/>
          <w:szCs w:val="16"/>
        </w:rPr>
        <w:t xml:space="preserve"> y otros Vs. Argentina. </w:t>
      </w:r>
      <w:r w:rsidRPr="00C605A3">
        <w:rPr>
          <w:rFonts w:ascii="Verdana" w:hAnsi="Verdana"/>
          <w:i/>
          <w:sz w:val="16"/>
          <w:szCs w:val="16"/>
          <w:lang w:val="es-CO"/>
        </w:rPr>
        <w:t>Interpretación de la Sentencia de Excepción Preliminar, Fondo, Reparaciones y Costas</w:t>
      </w:r>
      <w:r w:rsidRPr="00C605A3">
        <w:rPr>
          <w:rFonts w:ascii="Verdana" w:hAnsi="Verdana"/>
          <w:sz w:val="16"/>
          <w:szCs w:val="16"/>
          <w:lang w:val="es-CO"/>
        </w:rPr>
        <w:t>. Sentencia de 23 de junio de 2015. Serie C No. 294, párr. 20.</w:t>
      </w:r>
    </w:p>
  </w:footnote>
  <w:footnote w:id="6">
    <w:p w:rsidR="0089460F" w:rsidRPr="00C605A3" w:rsidRDefault="0089460F" w:rsidP="0089460F">
      <w:pPr>
        <w:pStyle w:val="FootnoteText"/>
        <w:spacing w:after="60"/>
        <w:jc w:val="both"/>
        <w:rPr>
          <w:rFonts w:ascii="Verdana" w:hAnsi="Verdana"/>
          <w:sz w:val="16"/>
          <w:szCs w:val="16"/>
          <w:lang w:val="es-CO"/>
        </w:rPr>
      </w:pPr>
      <w:r w:rsidRPr="00C605A3">
        <w:rPr>
          <w:rStyle w:val="FootnoteReference"/>
          <w:rFonts w:ascii="Verdana" w:hAnsi="Verdana"/>
          <w:sz w:val="16"/>
          <w:szCs w:val="16"/>
        </w:rPr>
        <w:footnoteRef/>
      </w:r>
      <w:r w:rsidR="00480D7A">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i/>
          <w:sz w:val="16"/>
          <w:szCs w:val="16"/>
        </w:rPr>
        <w:t>Caso Loayza Tamayo Vs. Perú. Interpretación de la Sentencia de Fond</w:t>
      </w:r>
      <w:r w:rsidRPr="00C605A3">
        <w:rPr>
          <w:rFonts w:ascii="Verdana" w:hAnsi="Verdana"/>
          <w:sz w:val="16"/>
          <w:szCs w:val="16"/>
        </w:rPr>
        <w:t>o, párr. 16</w:t>
      </w:r>
      <w:r w:rsidRPr="00C605A3">
        <w:rPr>
          <w:rFonts w:ascii="Verdana" w:hAnsi="Verdana"/>
          <w:sz w:val="16"/>
          <w:szCs w:val="16"/>
          <w:lang w:val="es-CO"/>
        </w:rPr>
        <w:t>,</w:t>
      </w:r>
      <w:r w:rsidRPr="00C605A3">
        <w:rPr>
          <w:rFonts w:ascii="Verdana" w:hAnsi="Verdana"/>
          <w:sz w:val="16"/>
          <w:szCs w:val="16"/>
        </w:rPr>
        <w:t xml:space="preserve"> y </w:t>
      </w:r>
      <w:r w:rsidRPr="00C605A3">
        <w:rPr>
          <w:rFonts w:ascii="Verdana" w:hAnsi="Verdana"/>
          <w:i/>
          <w:sz w:val="16"/>
          <w:szCs w:val="16"/>
        </w:rPr>
        <w:t xml:space="preserve">Caso </w:t>
      </w:r>
      <w:r w:rsidRPr="00C605A3">
        <w:rPr>
          <w:rFonts w:ascii="Verdana" w:eastAsia="Times" w:hAnsi="Verdana"/>
          <w:bCs/>
          <w:i/>
          <w:sz w:val="16"/>
          <w:szCs w:val="16"/>
        </w:rPr>
        <w:t>Argüelles</w:t>
      </w:r>
      <w:r w:rsidRPr="00C605A3">
        <w:rPr>
          <w:rFonts w:ascii="Verdana" w:hAnsi="Verdana"/>
          <w:i/>
          <w:sz w:val="16"/>
          <w:szCs w:val="16"/>
        </w:rPr>
        <w:t xml:space="preserve"> y otros Vs. Argentina. </w:t>
      </w:r>
      <w:r w:rsidRPr="00C605A3">
        <w:rPr>
          <w:rFonts w:ascii="Verdana" w:hAnsi="Verdana"/>
          <w:i/>
          <w:sz w:val="16"/>
          <w:szCs w:val="16"/>
          <w:lang w:val="es-CO"/>
        </w:rPr>
        <w:t>Interpretación de la Sentencia de Excepción Preliminar, Fondo, Reparaciones y Costas,</w:t>
      </w:r>
      <w:r w:rsidRPr="00C605A3">
        <w:rPr>
          <w:rFonts w:ascii="Verdana" w:hAnsi="Verdana"/>
          <w:sz w:val="16"/>
          <w:szCs w:val="16"/>
          <w:lang w:val="es-CO"/>
        </w:rPr>
        <w:t xml:space="preserve"> párr. 20.</w:t>
      </w:r>
    </w:p>
  </w:footnote>
  <w:footnote w:id="7">
    <w:p w:rsidR="0089460F" w:rsidRPr="00C605A3" w:rsidRDefault="0089460F" w:rsidP="0089460F">
      <w:pPr>
        <w:spacing w:after="60" w:line="240" w:lineRule="auto"/>
        <w:jc w:val="both"/>
        <w:rPr>
          <w:rFonts w:ascii="Verdana" w:hAnsi="Verdana"/>
          <w:sz w:val="16"/>
          <w:szCs w:val="16"/>
        </w:rPr>
      </w:pPr>
      <w:r w:rsidRPr="00C605A3">
        <w:rPr>
          <w:rStyle w:val="FootnoteReference"/>
          <w:rFonts w:ascii="Verdana" w:hAnsi="Verdana"/>
          <w:sz w:val="16"/>
          <w:szCs w:val="16"/>
        </w:rPr>
        <w:footnoteRef/>
      </w:r>
      <w:r w:rsidR="00480D7A">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i/>
          <w:sz w:val="16"/>
          <w:szCs w:val="16"/>
        </w:rPr>
        <w:t>Caso Loayza Tamayo Vs. Perú. Interpretación de la Sentencia de Reparaciones y Costas</w:t>
      </w:r>
      <w:r w:rsidRPr="00C605A3">
        <w:rPr>
          <w:rFonts w:ascii="Verdana" w:hAnsi="Verdana"/>
          <w:sz w:val="16"/>
          <w:szCs w:val="16"/>
        </w:rPr>
        <w:t>. Sentencia de 3 de junio de 1999. Serie C No. 53, párr. 15</w:t>
      </w:r>
      <w:r w:rsidRPr="00C605A3">
        <w:rPr>
          <w:rFonts w:ascii="Verdana" w:hAnsi="Verdana"/>
          <w:sz w:val="16"/>
          <w:szCs w:val="16"/>
          <w:lang w:val="es-CO"/>
        </w:rPr>
        <w:t>, y</w:t>
      </w:r>
      <w:r w:rsidRPr="00C605A3">
        <w:rPr>
          <w:rFonts w:ascii="Verdana" w:hAnsi="Verdana"/>
          <w:sz w:val="16"/>
          <w:szCs w:val="16"/>
        </w:rPr>
        <w:t xml:space="preserve"> </w:t>
      </w:r>
      <w:r w:rsidRPr="00C605A3">
        <w:rPr>
          <w:rFonts w:ascii="Verdana" w:hAnsi="Verdana"/>
          <w:i/>
          <w:sz w:val="16"/>
          <w:szCs w:val="16"/>
        </w:rPr>
        <w:t xml:space="preserve">Caso </w:t>
      </w:r>
      <w:r w:rsidRPr="00C605A3">
        <w:rPr>
          <w:rFonts w:ascii="Verdana" w:eastAsia="Times" w:hAnsi="Verdana"/>
          <w:bCs/>
          <w:i/>
          <w:sz w:val="16"/>
          <w:szCs w:val="16"/>
        </w:rPr>
        <w:t>Argüelles</w:t>
      </w:r>
      <w:r w:rsidRPr="00C605A3">
        <w:rPr>
          <w:rFonts w:ascii="Verdana" w:hAnsi="Verdana"/>
          <w:i/>
          <w:sz w:val="16"/>
          <w:szCs w:val="16"/>
        </w:rPr>
        <w:t xml:space="preserve"> y otros Vs. Argentina. </w:t>
      </w:r>
      <w:r w:rsidRPr="00C605A3">
        <w:rPr>
          <w:rFonts w:ascii="Verdana" w:hAnsi="Verdana"/>
          <w:i/>
          <w:sz w:val="16"/>
          <w:szCs w:val="16"/>
          <w:lang w:val="es-CO"/>
        </w:rPr>
        <w:t>Interpretación de la Sentencia de Excepción Preliminar, Fondo, Reparaciones y Costas,</w:t>
      </w:r>
      <w:r w:rsidRPr="00C605A3">
        <w:rPr>
          <w:rFonts w:ascii="Verdana" w:hAnsi="Verdana"/>
          <w:sz w:val="16"/>
          <w:szCs w:val="16"/>
          <w:lang w:val="es-CO"/>
        </w:rPr>
        <w:t xml:space="preserve"> párr. 21.</w:t>
      </w:r>
    </w:p>
  </w:footnote>
  <w:footnote w:id="8">
    <w:p w:rsidR="0089460F" w:rsidRPr="00C605A3" w:rsidRDefault="0089460F" w:rsidP="0089460F">
      <w:pPr>
        <w:pStyle w:val="FootnoteText"/>
        <w:spacing w:after="60"/>
        <w:jc w:val="both"/>
        <w:rPr>
          <w:rFonts w:ascii="Verdana" w:hAnsi="Verdana"/>
          <w:sz w:val="16"/>
          <w:szCs w:val="16"/>
        </w:rPr>
      </w:pPr>
      <w:r w:rsidRPr="00C605A3">
        <w:rPr>
          <w:rStyle w:val="FootnoteReference"/>
          <w:rFonts w:ascii="Verdana" w:hAnsi="Verdana"/>
          <w:sz w:val="16"/>
          <w:szCs w:val="16"/>
        </w:rPr>
        <w:footnoteRef/>
      </w:r>
      <w:r w:rsidR="00480D7A">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bCs/>
          <w:i/>
          <w:sz w:val="16"/>
          <w:szCs w:val="16"/>
        </w:rPr>
        <w:t xml:space="preserve">Caso Salvador Chiriboga Vs. Ecuador. </w:t>
      </w:r>
      <w:r w:rsidRPr="00C605A3">
        <w:rPr>
          <w:rFonts w:ascii="Verdana" w:hAnsi="Verdana"/>
          <w:i/>
          <w:sz w:val="16"/>
          <w:szCs w:val="16"/>
        </w:rPr>
        <w:t>Interpretación de la Sentencia de Reparaciones y Costas</w:t>
      </w:r>
      <w:r w:rsidRPr="00C605A3">
        <w:rPr>
          <w:rFonts w:ascii="Verdana" w:hAnsi="Verdana"/>
          <w:sz w:val="16"/>
          <w:szCs w:val="16"/>
        </w:rPr>
        <w:t xml:space="preserve">. Sentencia de 29 de agosto de 2011. Serie C No. 230, párr. 30, y </w:t>
      </w:r>
      <w:r w:rsidRPr="00C605A3">
        <w:rPr>
          <w:rFonts w:ascii="Verdana" w:hAnsi="Verdana"/>
          <w:i/>
          <w:sz w:val="16"/>
          <w:szCs w:val="16"/>
        </w:rPr>
        <w:t xml:space="preserve">Caso </w:t>
      </w:r>
      <w:r w:rsidRPr="00C605A3">
        <w:rPr>
          <w:rFonts w:ascii="Verdana" w:eastAsia="Times" w:hAnsi="Verdana"/>
          <w:bCs/>
          <w:i/>
          <w:sz w:val="16"/>
          <w:szCs w:val="16"/>
        </w:rPr>
        <w:t>Argüelles</w:t>
      </w:r>
      <w:r w:rsidRPr="00C605A3">
        <w:rPr>
          <w:rFonts w:ascii="Verdana" w:hAnsi="Verdana"/>
          <w:i/>
          <w:sz w:val="16"/>
          <w:szCs w:val="16"/>
        </w:rPr>
        <w:t xml:space="preserve"> y otros Vs. Argentina. </w:t>
      </w:r>
      <w:r w:rsidRPr="00C605A3">
        <w:rPr>
          <w:rFonts w:ascii="Verdana" w:hAnsi="Verdana"/>
          <w:i/>
          <w:sz w:val="16"/>
          <w:szCs w:val="16"/>
          <w:lang w:val="es-CO"/>
        </w:rPr>
        <w:t>Interpretación de la Sentencia de Excepción Preliminar, Fondo, Reparaciones y Costas,</w:t>
      </w:r>
      <w:r w:rsidRPr="00C605A3">
        <w:rPr>
          <w:rFonts w:ascii="Verdana" w:hAnsi="Verdana"/>
          <w:sz w:val="16"/>
          <w:szCs w:val="16"/>
          <w:lang w:val="es-CO"/>
        </w:rPr>
        <w:t xml:space="preserve"> párr. 21.</w:t>
      </w:r>
    </w:p>
  </w:footnote>
  <w:footnote w:id="9">
    <w:p w:rsidR="0089460F" w:rsidRPr="00C605A3" w:rsidRDefault="0089460F" w:rsidP="0089460F">
      <w:pPr>
        <w:spacing w:after="60" w:line="240" w:lineRule="auto"/>
        <w:jc w:val="both"/>
        <w:rPr>
          <w:rFonts w:ascii="Verdana" w:hAnsi="Verdana"/>
          <w:sz w:val="16"/>
          <w:szCs w:val="16"/>
        </w:rPr>
      </w:pPr>
      <w:r w:rsidRPr="00C605A3">
        <w:rPr>
          <w:rStyle w:val="FootnoteReference"/>
          <w:rFonts w:ascii="Verdana" w:hAnsi="Verdana"/>
          <w:sz w:val="16"/>
          <w:szCs w:val="16"/>
        </w:rPr>
        <w:footnoteRef/>
      </w:r>
      <w:r w:rsidR="00480D7A">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hyperlink r:id="rId1" w:history="1">
        <w:r w:rsidRPr="00C605A3">
          <w:rPr>
            <w:rStyle w:val="Hyperlink"/>
            <w:rFonts w:ascii="Verdana" w:hAnsi="Verdana" w:cs="Arial"/>
            <w:i/>
            <w:color w:val="auto"/>
            <w:sz w:val="16"/>
            <w:szCs w:val="16"/>
          </w:rPr>
          <w:t xml:space="preserve">Caso </w:t>
        </w:r>
        <w:proofErr w:type="spellStart"/>
        <w:r w:rsidRPr="00C605A3">
          <w:rPr>
            <w:rStyle w:val="Hyperlink"/>
            <w:rFonts w:ascii="Verdana" w:hAnsi="Verdana" w:cs="Arial"/>
            <w:i/>
            <w:color w:val="auto"/>
            <w:sz w:val="16"/>
            <w:szCs w:val="16"/>
          </w:rPr>
          <w:t>Escher</w:t>
        </w:r>
        <w:proofErr w:type="spellEnd"/>
        <w:r w:rsidRPr="00C605A3">
          <w:rPr>
            <w:rStyle w:val="Hyperlink"/>
            <w:rFonts w:ascii="Verdana" w:hAnsi="Verdana" w:cs="Arial"/>
            <w:i/>
            <w:color w:val="auto"/>
            <w:sz w:val="16"/>
            <w:szCs w:val="16"/>
          </w:rPr>
          <w:t xml:space="preserve"> y otros Vs. Brasil. Interpretación de la Sentencia de Excepciones Preliminares, Fondo, Reparaciones y Costas</w:t>
        </w:r>
        <w:r w:rsidRPr="00C605A3">
          <w:rPr>
            <w:rStyle w:val="Hyperlink"/>
            <w:rFonts w:ascii="Verdana" w:hAnsi="Verdana" w:cs="Arial"/>
            <w:color w:val="auto"/>
            <w:sz w:val="16"/>
            <w:szCs w:val="16"/>
          </w:rPr>
          <w:t>. Sentencia de 20 de noviembre de 2009. Serie C No. 208, párr. 11</w:t>
        </w:r>
      </w:hyperlink>
      <w:r w:rsidRPr="00C605A3">
        <w:rPr>
          <w:rFonts w:ascii="Verdana" w:hAnsi="Verdana" w:cs="Arial"/>
          <w:sz w:val="16"/>
          <w:szCs w:val="16"/>
        </w:rPr>
        <w:t xml:space="preserve">, y </w:t>
      </w:r>
      <w:r w:rsidRPr="00C605A3">
        <w:rPr>
          <w:rFonts w:ascii="Verdana" w:hAnsi="Verdana"/>
          <w:i/>
          <w:sz w:val="16"/>
          <w:szCs w:val="16"/>
        </w:rPr>
        <w:t xml:space="preserve">Caso </w:t>
      </w:r>
      <w:r w:rsidRPr="00C605A3">
        <w:rPr>
          <w:rFonts w:ascii="Verdana" w:eastAsia="Times" w:hAnsi="Verdana"/>
          <w:bCs/>
          <w:i/>
          <w:sz w:val="16"/>
          <w:szCs w:val="16"/>
        </w:rPr>
        <w:t>Argüelles</w:t>
      </w:r>
      <w:r w:rsidRPr="00C605A3">
        <w:rPr>
          <w:rFonts w:ascii="Verdana" w:hAnsi="Verdana"/>
          <w:i/>
          <w:sz w:val="16"/>
          <w:szCs w:val="16"/>
        </w:rPr>
        <w:t xml:space="preserve"> y otros Vs. Argentina. </w:t>
      </w:r>
      <w:r w:rsidRPr="00C605A3">
        <w:rPr>
          <w:rFonts w:ascii="Verdana" w:hAnsi="Verdana"/>
          <w:i/>
          <w:sz w:val="16"/>
          <w:szCs w:val="16"/>
          <w:lang w:val="es-CO"/>
        </w:rPr>
        <w:t>Interpretación de la Sentencia de Excepción Preliminar, Fondo, Reparaciones y Costas,</w:t>
      </w:r>
      <w:r w:rsidRPr="00C605A3">
        <w:rPr>
          <w:rFonts w:ascii="Verdana" w:hAnsi="Verdana"/>
          <w:sz w:val="16"/>
          <w:szCs w:val="16"/>
          <w:lang w:val="es-CO"/>
        </w:rPr>
        <w:t xml:space="preserve"> párr.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Default="004A5A50" w:rsidP="0042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637" w:rsidRDefault="00307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Default="003073C3" w:rsidP="004252D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Pr="00AD6D04" w:rsidRDefault="003073C3" w:rsidP="004252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3FF"/>
    <w:multiLevelType w:val="hybridMultilevel"/>
    <w:tmpl w:val="118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050E6"/>
    <w:multiLevelType w:val="hybridMultilevel"/>
    <w:tmpl w:val="454023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D0362A1"/>
    <w:multiLevelType w:val="hybridMultilevel"/>
    <w:tmpl w:val="11880254"/>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4">
    <w:nsid w:val="7CE64D32"/>
    <w:multiLevelType w:val="hybridMultilevel"/>
    <w:tmpl w:val="C4880AEC"/>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7"/>
    <w:rsid w:val="000139A9"/>
    <w:rsid w:val="00030376"/>
    <w:rsid w:val="00064C1E"/>
    <w:rsid w:val="00067A54"/>
    <w:rsid w:val="000703C9"/>
    <w:rsid w:val="000775C0"/>
    <w:rsid w:val="00077A4A"/>
    <w:rsid w:val="0008360D"/>
    <w:rsid w:val="00093AB6"/>
    <w:rsid w:val="000A4AD3"/>
    <w:rsid w:val="000B293B"/>
    <w:rsid w:val="000C7596"/>
    <w:rsid w:val="000E31B6"/>
    <w:rsid w:val="000E5DE4"/>
    <w:rsid w:val="000F0702"/>
    <w:rsid w:val="0010417B"/>
    <w:rsid w:val="001241EC"/>
    <w:rsid w:val="00126FE0"/>
    <w:rsid w:val="00160BC7"/>
    <w:rsid w:val="00161EF0"/>
    <w:rsid w:val="0018023D"/>
    <w:rsid w:val="00191668"/>
    <w:rsid w:val="0019512A"/>
    <w:rsid w:val="001B28AF"/>
    <w:rsid w:val="001B7615"/>
    <w:rsid w:val="001D0B60"/>
    <w:rsid w:val="001D14A6"/>
    <w:rsid w:val="001E1718"/>
    <w:rsid w:val="00204BEA"/>
    <w:rsid w:val="00222515"/>
    <w:rsid w:val="00240A0B"/>
    <w:rsid w:val="0024207C"/>
    <w:rsid w:val="00243299"/>
    <w:rsid w:val="00262910"/>
    <w:rsid w:val="00267103"/>
    <w:rsid w:val="00273EAB"/>
    <w:rsid w:val="00281FA0"/>
    <w:rsid w:val="00284014"/>
    <w:rsid w:val="002D207F"/>
    <w:rsid w:val="003016B2"/>
    <w:rsid w:val="003073C3"/>
    <w:rsid w:val="00320614"/>
    <w:rsid w:val="00326731"/>
    <w:rsid w:val="00341838"/>
    <w:rsid w:val="003601A1"/>
    <w:rsid w:val="003645D7"/>
    <w:rsid w:val="0037162C"/>
    <w:rsid w:val="00372B83"/>
    <w:rsid w:val="00372F18"/>
    <w:rsid w:val="00386DC8"/>
    <w:rsid w:val="003A32F1"/>
    <w:rsid w:val="003B547D"/>
    <w:rsid w:val="003D1781"/>
    <w:rsid w:val="003F5E48"/>
    <w:rsid w:val="003F6A83"/>
    <w:rsid w:val="00400A80"/>
    <w:rsid w:val="0040104C"/>
    <w:rsid w:val="0040422A"/>
    <w:rsid w:val="00411AA0"/>
    <w:rsid w:val="00434957"/>
    <w:rsid w:val="00453E5A"/>
    <w:rsid w:val="00476B19"/>
    <w:rsid w:val="00480D7A"/>
    <w:rsid w:val="00481F8C"/>
    <w:rsid w:val="00487100"/>
    <w:rsid w:val="004A38D0"/>
    <w:rsid w:val="004A4B1A"/>
    <w:rsid w:val="004A5A50"/>
    <w:rsid w:val="004A6D94"/>
    <w:rsid w:val="004B07FB"/>
    <w:rsid w:val="004C497D"/>
    <w:rsid w:val="004D4A84"/>
    <w:rsid w:val="004E0CD8"/>
    <w:rsid w:val="004E2E75"/>
    <w:rsid w:val="005032B9"/>
    <w:rsid w:val="00513537"/>
    <w:rsid w:val="005226F5"/>
    <w:rsid w:val="00537FF5"/>
    <w:rsid w:val="005605FB"/>
    <w:rsid w:val="0056370B"/>
    <w:rsid w:val="005661FE"/>
    <w:rsid w:val="00577097"/>
    <w:rsid w:val="005A6020"/>
    <w:rsid w:val="005B59D1"/>
    <w:rsid w:val="005B7A9B"/>
    <w:rsid w:val="005C1433"/>
    <w:rsid w:val="005C2911"/>
    <w:rsid w:val="005C3031"/>
    <w:rsid w:val="005C601B"/>
    <w:rsid w:val="005C797C"/>
    <w:rsid w:val="005F3BC2"/>
    <w:rsid w:val="00601FBD"/>
    <w:rsid w:val="006071E0"/>
    <w:rsid w:val="00613C49"/>
    <w:rsid w:val="0061704F"/>
    <w:rsid w:val="00632CB0"/>
    <w:rsid w:val="00635702"/>
    <w:rsid w:val="006373F8"/>
    <w:rsid w:val="00640BF1"/>
    <w:rsid w:val="00643162"/>
    <w:rsid w:val="00651448"/>
    <w:rsid w:val="00653823"/>
    <w:rsid w:val="0065787B"/>
    <w:rsid w:val="00661051"/>
    <w:rsid w:val="00665B11"/>
    <w:rsid w:val="006766CC"/>
    <w:rsid w:val="006834DA"/>
    <w:rsid w:val="00687713"/>
    <w:rsid w:val="0069533B"/>
    <w:rsid w:val="006B7212"/>
    <w:rsid w:val="006D1F3B"/>
    <w:rsid w:val="00702B02"/>
    <w:rsid w:val="007034DA"/>
    <w:rsid w:val="007144F1"/>
    <w:rsid w:val="00715113"/>
    <w:rsid w:val="0072736F"/>
    <w:rsid w:val="007274AC"/>
    <w:rsid w:val="0073248C"/>
    <w:rsid w:val="00750DCC"/>
    <w:rsid w:val="00761758"/>
    <w:rsid w:val="00770554"/>
    <w:rsid w:val="0077217D"/>
    <w:rsid w:val="00776A00"/>
    <w:rsid w:val="00777038"/>
    <w:rsid w:val="00785537"/>
    <w:rsid w:val="00787A95"/>
    <w:rsid w:val="00791C1B"/>
    <w:rsid w:val="00797860"/>
    <w:rsid w:val="007A5E6F"/>
    <w:rsid w:val="007B203C"/>
    <w:rsid w:val="007C7F0E"/>
    <w:rsid w:val="007D0F6B"/>
    <w:rsid w:val="007D442F"/>
    <w:rsid w:val="007D68C5"/>
    <w:rsid w:val="007E4A7E"/>
    <w:rsid w:val="007E4F77"/>
    <w:rsid w:val="008213BB"/>
    <w:rsid w:val="008232EE"/>
    <w:rsid w:val="0082480B"/>
    <w:rsid w:val="00832ACB"/>
    <w:rsid w:val="008366C2"/>
    <w:rsid w:val="0084423F"/>
    <w:rsid w:val="00845405"/>
    <w:rsid w:val="008479FB"/>
    <w:rsid w:val="008500AF"/>
    <w:rsid w:val="00870C23"/>
    <w:rsid w:val="0089460F"/>
    <w:rsid w:val="00894E6B"/>
    <w:rsid w:val="0089761B"/>
    <w:rsid w:val="008A16DF"/>
    <w:rsid w:val="008C5A22"/>
    <w:rsid w:val="008C7D22"/>
    <w:rsid w:val="008D02E3"/>
    <w:rsid w:val="008D0FB1"/>
    <w:rsid w:val="008D140A"/>
    <w:rsid w:val="008E250F"/>
    <w:rsid w:val="008E3F7D"/>
    <w:rsid w:val="009109FA"/>
    <w:rsid w:val="00917FD6"/>
    <w:rsid w:val="00920163"/>
    <w:rsid w:val="0092247E"/>
    <w:rsid w:val="0093256C"/>
    <w:rsid w:val="009346D0"/>
    <w:rsid w:val="009459FB"/>
    <w:rsid w:val="00946E75"/>
    <w:rsid w:val="00950D9C"/>
    <w:rsid w:val="00981E08"/>
    <w:rsid w:val="00981FD6"/>
    <w:rsid w:val="009A19D0"/>
    <w:rsid w:val="009A6079"/>
    <w:rsid w:val="009B4AE1"/>
    <w:rsid w:val="009D1A0B"/>
    <w:rsid w:val="009D4B7F"/>
    <w:rsid w:val="009D5170"/>
    <w:rsid w:val="009D52B4"/>
    <w:rsid w:val="009E1958"/>
    <w:rsid w:val="009F14E1"/>
    <w:rsid w:val="009F646B"/>
    <w:rsid w:val="00A0453D"/>
    <w:rsid w:val="00A079C2"/>
    <w:rsid w:val="00A11712"/>
    <w:rsid w:val="00A138D3"/>
    <w:rsid w:val="00A2548F"/>
    <w:rsid w:val="00A36042"/>
    <w:rsid w:val="00A37721"/>
    <w:rsid w:val="00A42EDC"/>
    <w:rsid w:val="00A5262F"/>
    <w:rsid w:val="00A57281"/>
    <w:rsid w:val="00A778F1"/>
    <w:rsid w:val="00A820AB"/>
    <w:rsid w:val="00A84857"/>
    <w:rsid w:val="00AB38AA"/>
    <w:rsid w:val="00AC63CC"/>
    <w:rsid w:val="00AC6E29"/>
    <w:rsid w:val="00AD6C46"/>
    <w:rsid w:val="00AE4FB5"/>
    <w:rsid w:val="00AF418E"/>
    <w:rsid w:val="00B00DFC"/>
    <w:rsid w:val="00B12212"/>
    <w:rsid w:val="00B3203C"/>
    <w:rsid w:val="00B35601"/>
    <w:rsid w:val="00B46EE5"/>
    <w:rsid w:val="00B47B52"/>
    <w:rsid w:val="00B70EAD"/>
    <w:rsid w:val="00B8255C"/>
    <w:rsid w:val="00BB3807"/>
    <w:rsid w:val="00BB6190"/>
    <w:rsid w:val="00BD4F25"/>
    <w:rsid w:val="00BE133F"/>
    <w:rsid w:val="00BE351D"/>
    <w:rsid w:val="00BE4E24"/>
    <w:rsid w:val="00BF2040"/>
    <w:rsid w:val="00BF2BC9"/>
    <w:rsid w:val="00BF3697"/>
    <w:rsid w:val="00C01A34"/>
    <w:rsid w:val="00C048F5"/>
    <w:rsid w:val="00C1627D"/>
    <w:rsid w:val="00C24188"/>
    <w:rsid w:val="00C26C4C"/>
    <w:rsid w:val="00C41E1B"/>
    <w:rsid w:val="00C42BE9"/>
    <w:rsid w:val="00C605A3"/>
    <w:rsid w:val="00C62118"/>
    <w:rsid w:val="00C64543"/>
    <w:rsid w:val="00C67C46"/>
    <w:rsid w:val="00C82D0E"/>
    <w:rsid w:val="00C90835"/>
    <w:rsid w:val="00C941D7"/>
    <w:rsid w:val="00CA64C1"/>
    <w:rsid w:val="00CB1835"/>
    <w:rsid w:val="00CB3D5B"/>
    <w:rsid w:val="00CC5411"/>
    <w:rsid w:val="00CF3F01"/>
    <w:rsid w:val="00CF606A"/>
    <w:rsid w:val="00D03BF0"/>
    <w:rsid w:val="00D16F26"/>
    <w:rsid w:val="00D314FE"/>
    <w:rsid w:val="00D532B1"/>
    <w:rsid w:val="00D65B91"/>
    <w:rsid w:val="00D71539"/>
    <w:rsid w:val="00D724A5"/>
    <w:rsid w:val="00D856AB"/>
    <w:rsid w:val="00D85CFA"/>
    <w:rsid w:val="00D94877"/>
    <w:rsid w:val="00D96513"/>
    <w:rsid w:val="00DA24D9"/>
    <w:rsid w:val="00DA5551"/>
    <w:rsid w:val="00DA5FCA"/>
    <w:rsid w:val="00DB2539"/>
    <w:rsid w:val="00DF4065"/>
    <w:rsid w:val="00E03AF2"/>
    <w:rsid w:val="00E070C4"/>
    <w:rsid w:val="00E12F43"/>
    <w:rsid w:val="00E15834"/>
    <w:rsid w:val="00E3370D"/>
    <w:rsid w:val="00E411B3"/>
    <w:rsid w:val="00E571D7"/>
    <w:rsid w:val="00E57F70"/>
    <w:rsid w:val="00E73337"/>
    <w:rsid w:val="00E862CA"/>
    <w:rsid w:val="00E92C7C"/>
    <w:rsid w:val="00ED1616"/>
    <w:rsid w:val="00ED7607"/>
    <w:rsid w:val="00EE3229"/>
    <w:rsid w:val="00EE3FD4"/>
    <w:rsid w:val="00EF66A3"/>
    <w:rsid w:val="00F023BC"/>
    <w:rsid w:val="00F22365"/>
    <w:rsid w:val="00F3631C"/>
    <w:rsid w:val="00F36489"/>
    <w:rsid w:val="00F402FA"/>
    <w:rsid w:val="00F45AAF"/>
    <w:rsid w:val="00F474DD"/>
    <w:rsid w:val="00F54D65"/>
    <w:rsid w:val="00F55175"/>
    <w:rsid w:val="00F554EF"/>
    <w:rsid w:val="00F55E3E"/>
    <w:rsid w:val="00F56B02"/>
    <w:rsid w:val="00F63B1A"/>
    <w:rsid w:val="00F73C9F"/>
    <w:rsid w:val="00F7752A"/>
    <w:rsid w:val="00F975C9"/>
    <w:rsid w:val="00FA0CD0"/>
    <w:rsid w:val="00FA5146"/>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paragraph" w:styleId="Heading1">
    <w:name w:val="heading 1"/>
    <w:basedOn w:val="Normal"/>
    <w:next w:val="Normal"/>
    <w:link w:val="Heading1Ch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
    <w:basedOn w:val="Normal"/>
    <w:link w:val="ListParagraphChar"/>
    <w:uiPriority w:val="99"/>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
    <w:basedOn w:val="DefaultParagraphFont"/>
    <w:link w:val="ListParagraph"/>
    <w:uiPriority w:val="99"/>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paragraph" w:styleId="BlockText">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Heading1Char">
    <w:name w:val="Heading 1 Char"/>
    <w:basedOn w:val="DefaultParagraphFont"/>
    <w:link w:val="Heading1"/>
    <w:uiPriority w:val="9"/>
    <w:rsid w:val="007274AC"/>
    <w:rPr>
      <w:rFonts w:ascii="Verdana" w:eastAsia="Times" w:hAnsi="Verdana" w:cs="Times New Roman"/>
      <w:i/>
      <w:sz w:val="20"/>
      <w:szCs w:val="20"/>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paragraph" w:styleId="Heading1">
    <w:name w:val="heading 1"/>
    <w:basedOn w:val="Normal"/>
    <w:next w:val="Normal"/>
    <w:link w:val="Heading1Ch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
    <w:basedOn w:val="Normal"/>
    <w:link w:val="ListParagraphChar"/>
    <w:uiPriority w:val="99"/>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
    <w:basedOn w:val="DefaultParagraphFont"/>
    <w:link w:val="ListParagraph"/>
    <w:uiPriority w:val="99"/>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paragraph" w:styleId="BlockText">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Heading1Char">
    <w:name w:val="Heading 1 Char"/>
    <w:basedOn w:val="DefaultParagraphFont"/>
    <w:link w:val="Heading1"/>
    <w:uiPriority w:val="9"/>
    <w:rsid w:val="007274AC"/>
    <w:rPr>
      <w:rFonts w:ascii="Verdana" w:eastAsia="Times" w:hAnsi="Verdana" w:cs="Times New Roman"/>
      <w:i/>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38-jurisprudencia/896-corte-idh-caso-escher-y-otros-vs-brasil-interpretacion-de-la-sentencia-de-excepciones-preliminares-fondo-reparaciones-y-costas-sentencia-de-20-de-noviembre-de-2009-serie-c-no-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56DB-9ED6-49CE-9478-A148DEAC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2989</Words>
  <Characters>16441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4</cp:revision>
  <cp:lastPrinted>2016-12-06T17:15:00Z</cp:lastPrinted>
  <dcterms:created xsi:type="dcterms:W3CDTF">2016-12-06T16:01:00Z</dcterms:created>
  <dcterms:modified xsi:type="dcterms:W3CDTF">2016-12-06T17:15:00Z</dcterms:modified>
</cp:coreProperties>
</file>