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bookmarkStart w:id="0" w:name="_GoBack"/>
    </w:p>
    <w:bookmarkEnd w:id="0"/>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r w:rsidRPr="00BE133F">
        <w:rPr>
          <w:rFonts w:ascii="Verdana" w:eastAsia="Times New Roman" w:hAnsi="Verdana" w:cs="Verdana"/>
          <w:b/>
          <w:bCs/>
          <w:caps/>
          <w:snapToGrid w:val="0"/>
          <w:sz w:val="20"/>
          <w:szCs w:val="20"/>
          <w:lang w:eastAsia="es-ES"/>
        </w:rPr>
        <w:t>Corte Interamericana de Derechos Humanos</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ED2D0B" w:rsidRPr="00B12A37" w:rsidRDefault="00ED2D0B" w:rsidP="00ED2D0B">
      <w:pPr>
        <w:pStyle w:val="Title"/>
        <w:numPr>
          <w:ilvl w:val="0"/>
          <w:numId w:val="0"/>
        </w:numPr>
        <w:ind w:right="-138"/>
        <w:jc w:val="center"/>
        <w:rPr>
          <w:rFonts w:eastAsia="MS Mincho"/>
          <w:lang w:val="es-MX"/>
        </w:rPr>
      </w:pPr>
      <w:r w:rsidRPr="00B12A37">
        <w:rPr>
          <w:rFonts w:eastAsia="MS Mincho"/>
          <w:lang w:val="es-MX"/>
        </w:rPr>
        <w:t>CASO POLLO RIVERA Y OTROS VS. PERÚ</w:t>
      </w:r>
    </w:p>
    <w:p w:rsidR="00577097" w:rsidRPr="00BE133F" w:rsidRDefault="00577097" w:rsidP="00577097">
      <w:pPr>
        <w:tabs>
          <w:tab w:val="left" w:pos="0"/>
          <w:tab w:val="left" w:pos="567"/>
        </w:tabs>
        <w:spacing w:after="0" w:line="240" w:lineRule="auto"/>
        <w:jc w:val="center"/>
        <w:rPr>
          <w:rFonts w:ascii="Verdana" w:eastAsia="Times New Roman" w:hAnsi="Verdana" w:cs="Verdana"/>
          <w:b/>
          <w:bCs/>
          <w:snapToGrid w:val="0"/>
          <w:sz w:val="20"/>
          <w:szCs w:val="20"/>
          <w:lang w:eastAsia="es-ES"/>
        </w:rPr>
      </w:pPr>
    </w:p>
    <w:p w:rsidR="00577097" w:rsidRPr="00BE133F" w:rsidRDefault="0037162C" w:rsidP="00577097">
      <w:pPr>
        <w:tabs>
          <w:tab w:val="left" w:pos="0"/>
          <w:tab w:val="left" w:pos="567"/>
        </w:tabs>
        <w:spacing w:after="0" w:line="240" w:lineRule="auto"/>
        <w:jc w:val="center"/>
        <w:rPr>
          <w:rFonts w:ascii="Verdana" w:eastAsia="Times New Roman" w:hAnsi="Verdana"/>
          <w:b/>
          <w:bCs/>
          <w:caps/>
          <w:snapToGrid w:val="0"/>
          <w:sz w:val="20"/>
          <w:szCs w:val="20"/>
          <w:lang w:eastAsia="es-ES"/>
        </w:rPr>
      </w:pPr>
      <w:r>
        <w:rPr>
          <w:rFonts w:ascii="Verdana" w:eastAsia="Times New Roman" w:hAnsi="Verdana" w:cs="Verdana"/>
          <w:b/>
          <w:bCs/>
          <w:snapToGrid w:val="0"/>
          <w:sz w:val="20"/>
          <w:szCs w:val="20"/>
          <w:lang w:eastAsia="es-ES"/>
        </w:rPr>
        <w:t xml:space="preserve">SENTENCIA DE </w:t>
      </w:r>
      <w:r w:rsidR="00444B1E">
        <w:rPr>
          <w:rFonts w:ascii="Verdana" w:eastAsia="Times New Roman" w:hAnsi="Verdana" w:cs="Verdana"/>
          <w:b/>
          <w:bCs/>
          <w:snapToGrid w:val="0"/>
          <w:sz w:val="20"/>
          <w:szCs w:val="20"/>
          <w:lang w:eastAsia="es-ES"/>
        </w:rPr>
        <w:t>25</w:t>
      </w:r>
      <w:r w:rsidR="00577097" w:rsidRPr="00BE133F">
        <w:rPr>
          <w:rFonts w:ascii="Verdana" w:eastAsia="Times New Roman" w:hAnsi="Verdana" w:cs="Verdana"/>
          <w:b/>
          <w:bCs/>
          <w:snapToGrid w:val="0"/>
          <w:sz w:val="20"/>
          <w:szCs w:val="20"/>
          <w:lang w:eastAsia="es-ES"/>
        </w:rPr>
        <w:t xml:space="preserve"> DE </w:t>
      </w:r>
      <w:r w:rsidR="00ED2D0B">
        <w:rPr>
          <w:rFonts w:ascii="Verdana" w:eastAsia="Times New Roman" w:hAnsi="Verdana" w:cs="Verdana"/>
          <w:b/>
          <w:bCs/>
          <w:snapToGrid w:val="0"/>
          <w:sz w:val="20"/>
          <w:szCs w:val="20"/>
          <w:lang w:eastAsia="es-ES"/>
        </w:rPr>
        <w:t>MAYO DE 2017</w:t>
      </w:r>
    </w:p>
    <w:p w:rsidR="00577097" w:rsidRPr="00BE133F" w:rsidRDefault="00E7316E" w:rsidP="00577097">
      <w:pPr>
        <w:tabs>
          <w:tab w:val="left" w:pos="567"/>
        </w:tabs>
        <w:spacing w:after="0" w:line="240" w:lineRule="auto"/>
        <w:jc w:val="center"/>
        <w:rPr>
          <w:rFonts w:ascii="Verdana" w:eastAsia="Times New Roman" w:hAnsi="Verdana"/>
          <w:sz w:val="20"/>
          <w:szCs w:val="20"/>
        </w:rPr>
      </w:pPr>
      <w:r>
        <w:rPr>
          <w:rFonts w:ascii="Verdana" w:eastAsia="Times New Roman" w:hAnsi="Verdana" w:cs="Verdana"/>
          <w:b/>
          <w:bCs/>
          <w:i/>
          <w:iCs/>
          <w:snapToGrid w:val="0"/>
          <w:sz w:val="20"/>
          <w:szCs w:val="20"/>
          <w:lang w:eastAsia="es-ES"/>
        </w:rPr>
        <w:t>(Solicitud de i</w:t>
      </w:r>
      <w:r w:rsidR="00577097" w:rsidRPr="00BE133F">
        <w:rPr>
          <w:rFonts w:ascii="Verdana" w:eastAsia="Times New Roman" w:hAnsi="Verdana" w:cs="Verdana"/>
          <w:b/>
          <w:bCs/>
          <w:i/>
          <w:iCs/>
          <w:snapToGrid w:val="0"/>
          <w:sz w:val="20"/>
          <w:szCs w:val="20"/>
          <w:lang w:eastAsia="es-ES"/>
        </w:rPr>
        <w:t xml:space="preserve">nterpretación de la Sentencia de </w:t>
      </w:r>
      <w:r w:rsidR="00577097" w:rsidRPr="00BE133F">
        <w:rPr>
          <w:rFonts w:ascii="Verdana" w:hAnsi="Verdana"/>
          <w:b/>
          <w:i/>
          <w:sz w:val="20"/>
          <w:szCs w:val="20"/>
        </w:rPr>
        <w:t>Fondo, Reparaciones y Costas</w:t>
      </w:r>
      <w:r w:rsidR="00577097" w:rsidRPr="00BE133F">
        <w:rPr>
          <w:rFonts w:ascii="Verdana" w:hAnsi="Verdana"/>
          <w:b/>
          <w:i/>
          <w:caps/>
          <w:snapToGrid w:val="0"/>
          <w:sz w:val="20"/>
          <w:szCs w:val="20"/>
        </w:rPr>
        <w:t>)</w:t>
      </w:r>
    </w:p>
    <w:p w:rsidR="00577097" w:rsidRPr="00BE133F" w:rsidRDefault="00577097" w:rsidP="00577097">
      <w:pPr>
        <w:tabs>
          <w:tab w:val="left" w:pos="567"/>
          <w:tab w:val="left" w:pos="720"/>
        </w:tabs>
        <w:spacing w:after="0" w:line="240" w:lineRule="auto"/>
        <w:jc w:val="both"/>
        <w:rPr>
          <w:rFonts w:ascii="Verdana" w:eastAsia="Times New Roman" w:hAnsi="Verdana"/>
          <w:sz w:val="20"/>
          <w:szCs w:val="20"/>
        </w:rPr>
      </w:pPr>
    </w:p>
    <w:p w:rsidR="00577097" w:rsidRPr="00BE133F" w:rsidRDefault="00577097" w:rsidP="00577097">
      <w:pPr>
        <w:spacing w:after="0" w:line="240" w:lineRule="auto"/>
        <w:rPr>
          <w:rFonts w:ascii="Verdana" w:hAnsi="Verdana"/>
          <w:sz w:val="20"/>
          <w:szCs w:val="20"/>
          <w:highlight w:val="yellow"/>
        </w:rPr>
      </w:pPr>
    </w:p>
    <w:p w:rsidR="00577097" w:rsidRPr="00BE133F" w:rsidRDefault="00577097" w:rsidP="00577097">
      <w:pPr>
        <w:spacing w:after="0" w:line="240" w:lineRule="auto"/>
        <w:rPr>
          <w:rFonts w:ascii="Verdana" w:hAnsi="Verdana"/>
          <w:sz w:val="20"/>
          <w:szCs w:val="20"/>
          <w:highlight w:val="yellow"/>
        </w:rPr>
      </w:pP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 xml:space="preserve">En el </w:t>
      </w:r>
      <w:r w:rsidRPr="00ED2D0B">
        <w:rPr>
          <w:rFonts w:ascii="Verdana" w:hAnsi="Verdana"/>
          <w:i/>
          <w:sz w:val="20"/>
          <w:szCs w:val="20"/>
        </w:rPr>
        <w:t xml:space="preserve">caso </w:t>
      </w:r>
      <w:r w:rsidR="00ED2D0B" w:rsidRPr="00ED2D0B">
        <w:rPr>
          <w:rFonts w:ascii="Verdana" w:hAnsi="Verdana"/>
          <w:i/>
          <w:sz w:val="20"/>
          <w:szCs w:val="20"/>
        </w:rPr>
        <w:t>Pollo Rivera</w:t>
      </w:r>
      <w:r w:rsidR="007D0F6B" w:rsidRPr="00ED2D0B">
        <w:rPr>
          <w:rFonts w:ascii="Verdana" w:hAnsi="Verdana"/>
          <w:i/>
          <w:sz w:val="20"/>
          <w:szCs w:val="20"/>
        </w:rPr>
        <w:t xml:space="preserve"> y otros Vs</w:t>
      </w:r>
      <w:r w:rsidR="00063C73">
        <w:rPr>
          <w:rFonts w:ascii="Verdana" w:hAnsi="Verdana"/>
          <w:i/>
          <w:sz w:val="20"/>
          <w:szCs w:val="20"/>
        </w:rPr>
        <w:t>.</w:t>
      </w:r>
      <w:r w:rsidR="007D0F6B" w:rsidRPr="00ED2D0B">
        <w:rPr>
          <w:rFonts w:ascii="Verdana" w:hAnsi="Verdana"/>
          <w:i/>
          <w:sz w:val="20"/>
          <w:szCs w:val="20"/>
        </w:rPr>
        <w:t xml:space="preserve"> Perú</w:t>
      </w:r>
      <w:r w:rsidRPr="00BE133F">
        <w:rPr>
          <w:rFonts w:ascii="Verdana" w:hAnsi="Verdana"/>
          <w:sz w:val="20"/>
          <w:szCs w:val="20"/>
        </w:rPr>
        <w:t>,</w:t>
      </w:r>
      <w:r w:rsidRPr="00BE133F">
        <w:rPr>
          <w:rFonts w:ascii="Verdana" w:hAnsi="Verdana"/>
          <w:sz w:val="20"/>
          <w:szCs w:val="20"/>
        </w:rPr>
        <w:tab/>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la</w:t>
      </w:r>
      <w:proofErr w:type="gramEnd"/>
      <w:r w:rsidRPr="00BE133F">
        <w:rPr>
          <w:rFonts w:ascii="Verdana" w:hAnsi="Verdana"/>
          <w:sz w:val="20"/>
          <w:szCs w:val="20"/>
        </w:rPr>
        <w:t xml:space="preserve"> Corte Interamericana de Derechos Humanos (en adelante “la Corte Interamericana”, “la Corte” o “el Tribunal”), integrada por los siguientes jueces:</w:t>
      </w:r>
    </w:p>
    <w:p w:rsidR="00577097" w:rsidRPr="00BE133F" w:rsidRDefault="00577097" w:rsidP="00577097">
      <w:pPr>
        <w:tabs>
          <w:tab w:val="left" w:pos="851"/>
        </w:tabs>
        <w:spacing w:after="0" w:line="240" w:lineRule="auto"/>
        <w:rPr>
          <w:rFonts w:ascii="Verdana" w:hAnsi="Verdana"/>
          <w:sz w:val="20"/>
          <w:szCs w:val="20"/>
        </w:rPr>
      </w:pP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Roberto F. Caldas, Presidente;</w:t>
      </w: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 xml:space="preserve">Eduardo Ferrer Mac-Gregor Poisot, Vicepresidente; </w:t>
      </w: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Eduardo Vio Grossi, juez;</w:t>
      </w: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H</w:t>
      </w:r>
      <w:r w:rsidRPr="00B12A37">
        <w:rPr>
          <w:rFonts w:ascii="Verdana" w:eastAsia="Verdana" w:hAnsi="Verdana" w:cs="Verdana"/>
          <w:spacing w:val="1"/>
          <w:sz w:val="20"/>
          <w:szCs w:val="20"/>
          <w:lang w:val="es-MX"/>
        </w:rPr>
        <w:t>u</w:t>
      </w:r>
      <w:r w:rsidRPr="00B12A37">
        <w:rPr>
          <w:rFonts w:ascii="Verdana" w:eastAsia="Verdana" w:hAnsi="Verdana" w:cs="Verdana"/>
          <w:sz w:val="20"/>
          <w:szCs w:val="20"/>
          <w:lang w:val="es-MX"/>
        </w:rPr>
        <w:t>m</w:t>
      </w:r>
      <w:r w:rsidRPr="00B12A37">
        <w:rPr>
          <w:rFonts w:ascii="Verdana" w:eastAsia="Verdana" w:hAnsi="Verdana" w:cs="Verdana"/>
          <w:spacing w:val="1"/>
          <w:sz w:val="20"/>
          <w:szCs w:val="20"/>
          <w:lang w:val="es-MX"/>
        </w:rPr>
        <w:t>be</w:t>
      </w:r>
      <w:r w:rsidRPr="00B12A37">
        <w:rPr>
          <w:rFonts w:ascii="Verdana" w:eastAsia="Verdana" w:hAnsi="Verdana" w:cs="Verdana"/>
          <w:spacing w:val="-1"/>
          <w:sz w:val="20"/>
          <w:szCs w:val="20"/>
          <w:lang w:val="es-MX"/>
        </w:rPr>
        <w:t>r</w:t>
      </w:r>
      <w:r w:rsidRPr="00B12A37">
        <w:rPr>
          <w:rFonts w:ascii="Verdana" w:eastAsia="Verdana" w:hAnsi="Verdana" w:cs="Verdana"/>
          <w:spacing w:val="1"/>
          <w:sz w:val="20"/>
          <w:szCs w:val="20"/>
          <w:lang w:val="es-MX"/>
        </w:rPr>
        <w:t>t</w:t>
      </w:r>
      <w:r w:rsidRPr="00B12A37">
        <w:rPr>
          <w:rFonts w:ascii="Verdana" w:eastAsia="Verdana" w:hAnsi="Verdana" w:cs="Verdana"/>
          <w:sz w:val="20"/>
          <w:szCs w:val="20"/>
          <w:lang w:val="es-MX"/>
        </w:rPr>
        <w:t>o</w:t>
      </w:r>
      <w:r w:rsidRPr="00B12A37">
        <w:rPr>
          <w:rFonts w:ascii="Verdana" w:eastAsia="Verdana" w:hAnsi="Verdana" w:cs="Verdana"/>
          <w:spacing w:val="-11"/>
          <w:sz w:val="20"/>
          <w:szCs w:val="20"/>
          <w:lang w:val="es-MX"/>
        </w:rPr>
        <w:t xml:space="preserve"> </w:t>
      </w:r>
      <w:r w:rsidRPr="00B12A37">
        <w:rPr>
          <w:rFonts w:ascii="Verdana" w:eastAsia="Verdana" w:hAnsi="Verdana" w:cs="Verdana"/>
          <w:sz w:val="20"/>
          <w:szCs w:val="20"/>
          <w:lang w:val="es-MX"/>
        </w:rPr>
        <w:t>A</w:t>
      </w:r>
      <w:r w:rsidRPr="00B12A37">
        <w:rPr>
          <w:rFonts w:ascii="Verdana" w:eastAsia="Verdana" w:hAnsi="Verdana" w:cs="Verdana"/>
          <w:spacing w:val="1"/>
          <w:sz w:val="20"/>
          <w:szCs w:val="20"/>
          <w:lang w:val="es-MX"/>
        </w:rPr>
        <w:t>nt</w:t>
      </w:r>
      <w:r w:rsidRPr="00B12A37">
        <w:rPr>
          <w:rFonts w:ascii="Verdana" w:eastAsia="Verdana" w:hAnsi="Verdana" w:cs="Verdana"/>
          <w:spacing w:val="-1"/>
          <w:sz w:val="20"/>
          <w:szCs w:val="20"/>
          <w:lang w:val="es-MX"/>
        </w:rPr>
        <w:t>o</w:t>
      </w:r>
      <w:r w:rsidRPr="00B12A37">
        <w:rPr>
          <w:rFonts w:ascii="Verdana" w:eastAsia="Verdana" w:hAnsi="Verdana" w:cs="Verdana"/>
          <w:spacing w:val="1"/>
          <w:sz w:val="20"/>
          <w:szCs w:val="20"/>
          <w:lang w:val="es-MX"/>
        </w:rPr>
        <w:t>n</w:t>
      </w:r>
      <w:r w:rsidRPr="00B12A37">
        <w:rPr>
          <w:rFonts w:ascii="Verdana" w:eastAsia="Verdana" w:hAnsi="Verdana" w:cs="Verdana"/>
          <w:spacing w:val="3"/>
          <w:sz w:val="20"/>
          <w:szCs w:val="20"/>
          <w:lang w:val="es-MX"/>
        </w:rPr>
        <w:t>i</w:t>
      </w:r>
      <w:r w:rsidRPr="00B12A37">
        <w:rPr>
          <w:rFonts w:ascii="Verdana" w:eastAsia="Verdana" w:hAnsi="Verdana" w:cs="Verdana"/>
          <w:sz w:val="20"/>
          <w:szCs w:val="20"/>
          <w:lang w:val="es-MX"/>
        </w:rPr>
        <w:t>o</w:t>
      </w:r>
      <w:r w:rsidRPr="00B12A37">
        <w:rPr>
          <w:rFonts w:ascii="Verdana" w:eastAsia="Verdana" w:hAnsi="Verdana" w:cs="Verdana"/>
          <w:spacing w:val="-9"/>
          <w:sz w:val="20"/>
          <w:szCs w:val="20"/>
          <w:lang w:val="es-MX"/>
        </w:rPr>
        <w:t xml:space="preserve"> </w:t>
      </w:r>
      <w:r w:rsidRPr="00B12A37">
        <w:rPr>
          <w:rFonts w:ascii="Verdana" w:eastAsia="Verdana" w:hAnsi="Verdana" w:cs="Verdana"/>
          <w:sz w:val="20"/>
          <w:szCs w:val="20"/>
          <w:lang w:val="es-MX"/>
        </w:rPr>
        <w:t>S</w:t>
      </w:r>
      <w:r w:rsidRPr="00B12A37">
        <w:rPr>
          <w:rFonts w:ascii="Verdana" w:eastAsia="Verdana" w:hAnsi="Verdana" w:cs="Verdana"/>
          <w:spacing w:val="3"/>
          <w:sz w:val="20"/>
          <w:szCs w:val="20"/>
          <w:lang w:val="es-MX"/>
        </w:rPr>
        <w:t>i</w:t>
      </w:r>
      <w:r w:rsidRPr="00B12A37">
        <w:rPr>
          <w:rFonts w:ascii="Verdana" w:eastAsia="Verdana" w:hAnsi="Verdana" w:cs="Verdana"/>
          <w:spacing w:val="-1"/>
          <w:sz w:val="20"/>
          <w:szCs w:val="20"/>
          <w:lang w:val="es-MX"/>
        </w:rPr>
        <w:t>e</w:t>
      </w:r>
      <w:r w:rsidRPr="00B12A37">
        <w:rPr>
          <w:rFonts w:ascii="Verdana" w:eastAsia="Verdana" w:hAnsi="Verdana" w:cs="Verdana"/>
          <w:spacing w:val="1"/>
          <w:sz w:val="20"/>
          <w:szCs w:val="20"/>
          <w:lang w:val="es-MX"/>
        </w:rPr>
        <w:t>rr</w:t>
      </w:r>
      <w:r w:rsidRPr="00B12A37">
        <w:rPr>
          <w:rFonts w:ascii="Verdana" w:eastAsia="Verdana" w:hAnsi="Verdana" w:cs="Verdana"/>
          <w:sz w:val="20"/>
          <w:szCs w:val="20"/>
          <w:lang w:val="es-MX"/>
        </w:rPr>
        <w:t>a</w:t>
      </w:r>
      <w:r w:rsidRPr="00B12A37">
        <w:rPr>
          <w:rFonts w:ascii="Verdana" w:eastAsia="Verdana" w:hAnsi="Verdana" w:cs="Verdana"/>
          <w:spacing w:val="-6"/>
          <w:sz w:val="20"/>
          <w:szCs w:val="20"/>
          <w:lang w:val="es-MX"/>
        </w:rPr>
        <w:t xml:space="preserve"> </w:t>
      </w:r>
      <w:r w:rsidRPr="00B12A37">
        <w:rPr>
          <w:rFonts w:ascii="Verdana" w:eastAsia="Verdana" w:hAnsi="Verdana" w:cs="Verdana"/>
          <w:sz w:val="20"/>
          <w:szCs w:val="20"/>
          <w:lang w:val="es-MX"/>
        </w:rPr>
        <w:t>P</w:t>
      </w:r>
      <w:r w:rsidRPr="00B12A37">
        <w:rPr>
          <w:rFonts w:ascii="Verdana" w:eastAsia="Verdana" w:hAnsi="Verdana" w:cs="Verdana"/>
          <w:spacing w:val="1"/>
          <w:sz w:val="20"/>
          <w:szCs w:val="20"/>
          <w:lang w:val="es-MX"/>
        </w:rPr>
        <w:t>o</w:t>
      </w:r>
      <w:r w:rsidRPr="00B12A37">
        <w:rPr>
          <w:rFonts w:ascii="Verdana" w:eastAsia="Verdana" w:hAnsi="Verdana" w:cs="Verdana"/>
          <w:spacing w:val="-1"/>
          <w:sz w:val="20"/>
          <w:szCs w:val="20"/>
          <w:lang w:val="es-MX"/>
        </w:rPr>
        <w:t>r</w:t>
      </w:r>
      <w:r w:rsidRPr="00B12A37">
        <w:rPr>
          <w:rFonts w:ascii="Verdana" w:eastAsia="Verdana" w:hAnsi="Verdana" w:cs="Verdana"/>
          <w:spacing w:val="1"/>
          <w:sz w:val="20"/>
          <w:szCs w:val="20"/>
          <w:lang w:val="es-MX"/>
        </w:rPr>
        <w:t>t</w:t>
      </w:r>
      <w:r w:rsidRPr="00B12A37">
        <w:rPr>
          <w:rFonts w:ascii="Verdana" w:eastAsia="Verdana" w:hAnsi="Verdana" w:cs="Verdana"/>
          <w:spacing w:val="-1"/>
          <w:sz w:val="20"/>
          <w:szCs w:val="20"/>
          <w:lang w:val="es-MX"/>
        </w:rPr>
        <w:t>o</w:t>
      </w:r>
      <w:r w:rsidRPr="00B12A37">
        <w:rPr>
          <w:rFonts w:ascii="Verdana" w:eastAsia="Verdana" w:hAnsi="Verdana" w:cs="Verdana"/>
          <w:sz w:val="20"/>
          <w:szCs w:val="20"/>
          <w:lang w:val="es-MX"/>
        </w:rPr>
        <w:t>,</w:t>
      </w:r>
      <w:r w:rsidRPr="00B12A37">
        <w:rPr>
          <w:rFonts w:ascii="Verdana" w:eastAsia="Verdana" w:hAnsi="Verdana" w:cs="Verdana"/>
          <w:spacing w:val="-5"/>
          <w:sz w:val="20"/>
          <w:szCs w:val="20"/>
          <w:lang w:val="es-MX"/>
        </w:rPr>
        <w:t xml:space="preserve"> </w:t>
      </w:r>
      <w:r w:rsidRPr="00B12A37">
        <w:rPr>
          <w:rFonts w:ascii="Verdana" w:eastAsia="Verdana" w:hAnsi="Verdana" w:cs="Verdana"/>
          <w:spacing w:val="2"/>
          <w:sz w:val="20"/>
          <w:szCs w:val="20"/>
          <w:lang w:val="es-MX"/>
        </w:rPr>
        <w:t>juez</w:t>
      </w:r>
      <w:r w:rsidRPr="00B12A37">
        <w:rPr>
          <w:rFonts w:ascii="Verdana" w:eastAsia="Verdana" w:hAnsi="Verdana" w:cs="Verdana"/>
          <w:sz w:val="20"/>
          <w:szCs w:val="20"/>
          <w:lang w:val="es-MX"/>
        </w:rPr>
        <w:t xml:space="preserve">; </w:t>
      </w: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z w:val="20"/>
          <w:szCs w:val="20"/>
          <w:lang w:val="es-MX"/>
        </w:rPr>
        <w:t>Elizabeth Odio Benito, jueza;</w:t>
      </w: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z w:val="20"/>
          <w:szCs w:val="20"/>
          <w:lang w:val="es-MX"/>
        </w:rPr>
        <w:t>Eugenio Raúl Zaffaroni, juez, y</w:t>
      </w:r>
    </w:p>
    <w:p w:rsidR="00ED2D0B" w:rsidRPr="00B12A37" w:rsidRDefault="00ED2D0B" w:rsidP="00ED2D0B">
      <w:pPr>
        <w:spacing w:after="0" w:line="240" w:lineRule="auto"/>
        <w:ind w:left="720"/>
        <w:jc w:val="both"/>
        <w:rPr>
          <w:rFonts w:ascii="Verdana" w:hAnsi="Verdana"/>
          <w:sz w:val="20"/>
          <w:szCs w:val="20"/>
          <w:lang w:val="es-MX"/>
        </w:rPr>
      </w:pPr>
      <w:r w:rsidRPr="00B12A37">
        <w:rPr>
          <w:rFonts w:ascii="Verdana" w:eastAsia="Verdana" w:hAnsi="Verdana" w:cs="Verdana"/>
          <w:sz w:val="20"/>
          <w:szCs w:val="20"/>
          <w:lang w:val="es-MX"/>
        </w:rPr>
        <w:t>L. Patricio Pazmiño Freire, juez;</w:t>
      </w:r>
    </w:p>
    <w:p w:rsidR="00577097" w:rsidRPr="00E571D7" w:rsidRDefault="00577097" w:rsidP="00577097">
      <w:pPr>
        <w:tabs>
          <w:tab w:val="left" w:pos="851"/>
        </w:tabs>
        <w:spacing w:after="0" w:line="240" w:lineRule="auto"/>
        <w:rPr>
          <w:rFonts w:ascii="Verdana" w:hAnsi="Verdana"/>
          <w:sz w:val="20"/>
          <w:szCs w:val="20"/>
          <w:lang w:val="es-ES"/>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presentes</w:t>
      </w:r>
      <w:proofErr w:type="gramEnd"/>
      <w:r w:rsidRPr="00BE133F">
        <w:rPr>
          <w:rFonts w:ascii="Verdana" w:hAnsi="Verdana"/>
          <w:sz w:val="20"/>
          <w:szCs w:val="20"/>
        </w:rPr>
        <w:t xml:space="preserve"> además, </w:t>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Pablo Saavedra Alessandri, Secretario, y</w:t>
      </w:r>
    </w:p>
    <w:p w:rsidR="00577097" w:rsidRPr="00BE133F" w:rsidRDefault="00577097" w:rsidP="00577097">
      <w:pPr>
        <w:tabs>
          <w:tab w:val="left" w:pos="720"/>
          <w:tab w:val="left" w:pos="851"/>
        </w:tabs>
        <w:spacing w:after="0" w:line="240" w:lineRule="auto"/>
        <w:rPr>
          <w:rFonts w:ascii="Verdana" w:hAnsi="Verdana"/>
          <w:sz w:val="20"/>
          <w:szCs w:val="20"/>
        </w:rPr>
      </w:pPr>
      <w:r w:rsidRPr="00BE133F">
        <w:rPr>
          <w:rFonts w:ascii="Verdana" w:hAnsi="Verdana"/>
          <w:sz w:val="20"/>
          <w:szCs w:val="20"/>
        </w:rPr>
        <w:t>Emilia Segares Rodríguez, Secretaria Adjunta,</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Default="00577097" w:rsidP="00577097">
      <w:pPr>
        <w:tabs>
          <w:tab w:val="left" w:pos="567"/>
        </w:tabs>
        <w:autoSpaceDE w:val="0"/>
        <w:autoSpaceDN w:val="0"/>
        <w:adjustRightInd w:val="0"/>
        <w:spacing w:after="0" w:line="240" w:lineRule="auto"/>
        <w:jc w:val="both"/>
        <w:rPr>
          <w:rFonts w:ascii="Verdana" w:hAnsi="Verdana" w:cs="Verdana"/>
          <w:sz w:val="20"/>
          <w:szCs w:val="20"/>
        </w:rPr>
      </w:pPr>
      <w:proofErr w:type="gramStart"/>
      <w:r w:rsidRPr="00BE133F">
        <w:rPr>
          <w:rFonts w:ascii="Verdana" w:hAnsi="Verdana" w:cs="Verdana"/>
          <w:sz w:val="20"/>
          <w:szCs w:val="20"/>
        </w:rPr>
        <w:t>de</w:t>
      </w:r>
      <w:proofErr w:type="gramEnd"/>
      <w:r w:rsidRPr="00BE133F">
        <w:rPr>
          <w:rFonts w:ascii="Verdana" w:hAnsi="Verdana" w:cs="Verdana"/>
          <w:sz w:val="20"/>
          <w:szCs w:val="20"/>
        </w:rPr>
        <w:t xml:space="preserve"> conformidad con el artículo 67 de la Convención Americana sobre Derechos Humanos (en adelante también “la Convención Americana” o “la Convención”) y el artículo 68 del Reglamento de la Corte (en adelante “el Reglamento”), resuelve la</w:t>
      </w:r>
      <w:r w:rsidR="00522EEC">
        <w:rPr>
          <w:rFonts w:ascii="Verdana" w:hAnsi="Verdana" w:cs="Verdana"/>
          <w:sz w:val="20"/>
          <w:szCs w:val="20"/>
        </w:rPr>
        <w:t xml:space="preserve"> solicitud</w:t>
      </w:r>
      <w:r w:rsidRPr="00BE133F">
        <w:rPr>
          <w:rFonts w:ascii="Verdana" w:hAnsi="Verdana" w:cs="Verdana"/>
          <w:sz w:val="20"/>
          <w:szCs w:val="20"/>
        </w:rPr>
        <w:t xml:space="preserve"> de interpretación de la Sentencia de</w:t>
      </w:r>
      <w:r w:rsidR="00522EEC">
        <w:rPr>
          <w:rFonts w:ascii="Verdana" w:hAnsi="Verdana" w:cs="Verdana"/>
          <w:sz w:val="20"/>
          <w:szCs w:val="20"/>
        </w:rPr>
        <w:t xml:space="preserve"> </w:t>
      </w:r>
      <w:r w:rsidRPr="00BE133F">
        <w:rPr>
          <w:rFonts w:ascii="Verdana" w:hAnsi="Verdana" w:cs="Verdana"/>
          <w:sz w:val="20"/>
          <w:szCs w:val="20"/>
        </w:rPr>
        <w:t xml:space="preserve">Fondo, Reparaciones y Costas </w:t>
      </w:r>
      <w:r w:rsidR="00522EEC">
        <w:rPr>
          <w:rFonts w:ascii="Verdana" w:hAnsi="Verdana" w:cs="Verdana"/>
          <w:sz w:val="20"/>
          <w:szCs w:val="20"/>
        </w:rPr>
        <w:t>dictada</w:t>
      </w:r>
      <w:r w:rsidRPr="00BE133F">
        <w:rPr>
          <w:rFonts w:ascii="Verdana" w:hAnsi="Verdana" w:cs="Verdana"/>
          <w:sz w:val="20"/>
          <w:szCs w:val="20"/>
        </w:rPr>
        <w:t xml:space="preserve"> por este Tribunal el </w:t>
      </w:r>
      <w:r w:rsidR="00522EEC">
        <w:rPr>
          <w:rFonts w:ascii="Verdana" w:hAnsi="Verdana" w:cs="Verdana"/>
          <w:sz w:val="20"/>
          <w:szCs w:val="20"/>
        </w:rPr>
        <w:t>21 de octubre de 2016</w:t>
      </w:r>
      <w:r w:rsidRPr="00BE133F">
        <w:rPr>
          <w:rFonts w:ascii="Verdana" w:hAnsi="Verdana" w:cs="Verdana"/>
          <w:sz w:val="20"/>
          <w:szCs w:val="20"/>
        </w:rPr>
        <w:t xml:space="preserve"> en el presente caso (en adelante tambi</w:t>
      </w:r>
      <w:r w:rsidR="00522EEC">
        <w:rPr>
          <w:rFonts w:ascii="Verdana" w:hAnsi="Verdana" w:cs="Verdana"/>
          <w:sz w:val="20"/>
          <w:szCs w:val="20"/>
        </w:rPr>
        <w:t>én “la Sentencia”), interpuesta</w:t>
      </w:r>
      <w:r w:rsidRPr="00BE133F">
        <w:rPr>
          <w:rFonts w:ascii="Verdana" w:hAnsi="Verdana" w:cs="Verdana"/>
          <w:sz w:val="20"/>
          <w:szCs w:val="20"/>
        </w:rPr>
        <w:t xml:space="preserve"> el </w:t>
      </w:r>
      <w:r w:rsidR="00522EEC">
        <w:rPr>
          <w:rFonts w:ascii="Verdana" w:hAnsi="Verdana" w:cs="Verdana"/>
          <w:sz w:val="20"/>
          <w:szCs w:val="20"/>
        </w:rPr>
        <w:t>13</w:t>
      </w:r>
      <w:r w:rsidR="0040422A" w:rsidRPr="00BE133F">
        <w:rPr>
          <w:rFonts w:ascii="Verdana" w:hAnsi="Verdana" w:cs="Verdana"/>
          <w:sz w:val="20"/>
          <w:szCs w:val="20"/>
        </w:rPr>
        <w:t xml:space="preserve"> de </w:t>
      </w:r>
      <w:r w:rsidR="00522EEC">
        <w:rPr>
          <w:rFonts w:ascii="Verdana" w:hAnsi="Verdana" w:cs="Verdana"/>
          <w:sz w:val="20"/>
          <w:szCs w:val="20"/>
        </w:rPr>
        <w:t>marzo de 2017</w:t>
      </w:r>
      <w:r w:rsidRPr="00BE133F">
        <w:rPr>
          <w:rFonts w:ascii="Verdana" w:hAnsi="Verdana" w:cs="Verdana"/>
          <w:sz w:val="20"/>
          <w:szCs w:val="20"/>
        </w:rPr>
        <w:t xml:space="preserve"> por </w:t>
      </w:r>
      <w:r w:rsidR="0040422A" w:rsidRPr="00BE133F">
        <w:rPr>
          <w:rFonts w:ascii="Verdana" w:hAnsi="Verdana" w:cs="Verdana"/>
          <w:sz w:val="20"/>
          <w:szCs w:val="20"/>
        </w:rPr>
        <w:t>el Estado del Perú</w:t>
      </w:r>
      <w:r w:rsidRPr="00BE133F">
        <w:rPr>
          <w:rFonts w:ascii="Verdana" w:hAnsi="Verdana" w:cs="Verdana"/>
          <w:sz w:val="20"/>
          <w:szCs w:val="20"/>
        </w:rPr>
        <w:t>.</w:t>
      </w:r>
    </w:p>
    <w:p w:rsidR="003C7C07" w:rsidRPr="00BE133F" w:rsidRDefault="003C7C07" w:rsidP="00577097">
      <w:pPr>
        <w:tabs>
          <w:tab w:val="left" w:pos="567"/>
        </w:tabs>
        <w:autoSpaceDE w:val="0"/>
        <w:autoSpaceDN w:val="0"/>
        <w:adjustRightInd w:val="0"/>
        <w:spacing w:after="0" w:line="240" w:lineRule="auto"/>
        <w:jc w:val="both"/>
        <w:rPr>
          <w:rFonts w:ascii="Verdana" w:hAnsi="Verdana" w:cs="Verdana"/>
          <w:sz w:val="20"/>
          <w:szCs w:val="20"/>
        </w:rPr>
      </w:pP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sz w:val="20"/>
          <w:szCs w:val="20"/>
        </w:rPr>
      </w:pPr>
      <w:r w:rsidRPr="00BE133F">
        <w:rPr>
          <w:rFonts w:ascii="Verdana" w:eastAsia="Times New Roman" w:hAnsi="Verdana" w:cs="Verdana"/>
          <w:b/>
          <w:bCs/>
          <w:iCs/>
          <w:caps/>
          <w:snapToGrid w:val="0"/>
          <w:sz w:val="20"/>
          <w:szCs w:val="20"/>
          <w:lang w:eastAsia="es-ES"/>
        </w:rPr>
        <w:t>I</w:t>
      </w:r>
    </w:p>
    <w:p w:rsidR="00577097" w:rsidRPr="00BE133F" w:rsidRDefault="00577097" w:rsidP="00577097">
      <w:pPr>
        <w:tabs>
          <w:tab w:val="left" w:pos="567"/>
        </w:tabs>
        <w:autoSpaceDE w:val="0"/>
        <w:autoSpaceDN w:val="0"/>
        <w:adjustRightInd w:val="0"/>
        <w:spacing w:after="0" w:line="240" w:lineRule="auto"/>
        <w:jc w:val="center"/>
        <w:rPr>
          <w:rFonts w:ascii="Verdana" w:eastAsia="Times" w:hAnsi="Verdana"/>
          <w:sz w:val="20"/>
          <w:szCs w:val="20"/>
          <w:lang w:eastAsia="es-ES"/>
        </w:rPr>
      </w:pPr>
      <w:r w:rsidRPr="00BE133F">
        <w:rPr>
          <w:rFonts w:ascii="Verdana" w:hAnsi="Verdana" w:cs="Verdana"/>
          <w:b/>
          <w:bCs/>
          <w:sz w:val="20"/>
          <w:szCs w:val="20"/>
        </w:rPr>
        <w:t>SOLICITUD DE INTERPRETACIÓN Y PROCEDIMIENTO ANTE LA CORTE</w:t>
      </w:r>
    </w:p>
    <w:p w:rsidR="00577097" w:rsidRPr="00BE133F" w:rsidRDefault="00577097" w:rsidP="00577097">
      <w:pPr>
        <w:tabs>
          <w:tab w:val="left" w:pos="567"/>
        </w:tabs>
        <w:spacing w:after="0" w:line="240" w:lineRule="auto"/>
        <w:jc w:val="both"/>
        <w:rPr>
          <w:rFonts w:ascii="Verdana" w:eastAsia="Times"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 xml:space="preserve">El </w:t>
      </w:r>
      <w:r w:rsidR="00522EEC">
        <w:rPr>
          <w:rFonts w:ascii="Verdana" w:hAnsi="Verdana" w:cs="Verdana"/>
          <w:sz w:val="20"/>
          <w:szCs w:val="20"/>
        </w:rPr>
        <w:t xml:space="preserve">21 de octubre de 2016 </w:t>
      </w:r>
      <w:r w:rsidRPr="00BE133F">
        <w:rPr>
          <w:rFonts w:ascii="Verdana" w:eastAsia="Times" w:hAnsi="Verdana"/>
          <w:sz w:val="20"/>
          <w:szCs w:val="20"/>
          <w:lang w:val="es-ES_tradnl"/>
        </w:rPr>
        <w:t xml:space="preserve">la Corte </w:t>
      </w:r>
      <w:r w:rsidR="00522EEC">
        <w:rPr>
          <w:rFonts w:ascii="Verdana" w:eastAsia="Times" w:hAnsi="Verdana"/>
          <w:sz w:val="20"/>
          <w:szCs w:val="20"/>
          <w:lang w:val="es-ES_tradnl"/>
        </w:rPr>
        <w:t>dictó</w:t>
      </w:r>
      <w:r w:rsidRPr="00BE133F">
        <w:rPr>
          <w:rFonts w:ascii="Verdana" w:eastAsia="Times" w:hAnsi="Verdana"/>
          <w:sz w:val="20"/>
          <w:szCs w:val="20"/>
          <w:lang w:val="es-ES_tradnl"/>
        </w:rPr>
        <w:t xml:space="preserve"> la Sentencia, la cual fue notificada a las partes y a la Comisión Interamericana de </w:t>
      </w:r>
      <w:r w:rsidRPr="00BE133F">
        <w:rPr>
          <w:rFonts w:ascii="Verdana" w:hAnsi="Verdana" w:cs="Verdana"/>
          <w:sz w:val="20"/>
          <w:szCs w:val="20"/>
        </w:rPr>
        <w:t xml:space="preserve">Derechos Humanos (en adelante “la Comisión Interamericana” o “la Comisión”) </w:t>
      </w:r>
      <w:r w:rsidRPr="00BE133F">
        <w:rPr>
          <w:rFonts w:ascii="Verdana" w:eastAsia="Times" w:hAnsi="Verdana"/>
          <w:sz w:val="20"/>
          <w:szCs w:val="20"/>
          <w:lang w:val="es-ES_tradnl"/>
        </w:rPr>
        <w:t xml:space="preserve">el </w:t>
      </w:r>
      <w:r w:rsidR="00A47A78">
        <w:rPr>
          <w:rFonts w:ascii="Verdana" w:eastAsia="Times" w:hAnsi="Verdana"/>
          <w:sz w:val="20"/>
          <w:szCs w:val="20"/>
          <w:lang w:val="es-ES_tradnl"/>
        </w:rPr>
        <w:t>12 de diciembre</w:t>
      </w:r>
      <w:r w:rsidRPr="00BE133F">
        <w:rPr>
          <w:rFonts w:ascii="Verdana" w:eastAsia="Times" w:hAnsi="Verdana"/>
          <w:sz w:val="20"/>
          <w:szCs w:val="20"/>
          <w:lang w:val="es-ES_tradnl"/>
        </w:rPr>
        <w:t xml:space="preserve"> del mismo año.</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rsidR="00A47A78" w:rsidRPr="00EF6C56" w:rsidRDefault="00577097" w:rsidP="00A47A78">
      <w:pPr>
        <w:numPr>
          <w:ilvl w:val="0"/>
          <w:numId w:val="1"/>
        </w:numPr>
        <w:tabs>
          <w:tab w:val="left" w:pos="567"/>
          <w:tab w:val="num" w:pos="720"/>
        </w:tabs>
        <w:autoSpaceDE w:val="0"/>
        <w:autoSpaceDN w:val="0"/>
        <w:adjustRightInd w:val="0"/>
        <w:spacing w:after="0" w:line="240" w:lineRule="auto"/>
        <w:jc w:val="both"/>
        <w:rPr>
          <w:rFonts w:ascii="Times New Roman" w:eastAsiaTheme="minorHAnsi" w:hAnsi="Times New Roman"/>
          <w:i/>
          <w:iCs/>
          <w:sz w:val="24"/>
          <w:szCs w:val="24"/>
        </w:rPr>
      </w:pPr>
      <w:bookmarkStart w:id="1" w:name="_Ref363085373"/>
      <w:r w:rsidRPr="00EF6C56">
        <w:rPr>
          <w:rFonts w:ascii="Verdana" w:eastAsia="Times" w:hAnsi="Verdana"/>
          <w:bCs/>
          <w:sz w:val="20"/>
          <w:szCs w:val="20"/>
        </w:rPr>
        <w:t xml:space="preserve">El </w:t>
      </w:r>
      <w:r w:rsidR="00A47A78" w:rsidRPr="00EF6C56">
        <w:rPr>
          <w:rFonts w:ascii="Verdana" w:eastAsia="Times" w:hAnsi="Verdana"/>
          <w:bCs/>
          <w:sz w:val="20"/>
          <w:szCs w:val="20"/>
        </w:rPr>
        <w:t>13 de marzo de 2017</w:t>
      </w:r>
      <w:r w:rsidRPr="00EF6C56">
        <w:rPr>
          <w:rFonts w:ascii="Verdana" w:eastAsia="Times" w:hAnsi="Verdana"/>
          <w:bCs/>
          <w:sz w:val="20"/>
          <w:szCs w:val="20"/>
        </w:rPr>
        <w:t xml:space="preserve"> </w:t>
      </w:r>
      <w:r w:rsidR="00A820AB" w:rsidRPr="00EF6C56">
        <w:rPr>
          <w:rFonts w:ascii="Verdana" w:eastAsia="Times" w:hAnsi="Verdana"/>
          <w:bCs/>
          <w:sz w:val="20"/>
          <w:szCs w:val="20"/>
        </w:rPr>
        <w:t>el Estado presentó</w:t>
      </w:r>
      <w:r w:rsidRPr="00EF6C56">
        <w:rPr>
          <w:rFonts w:ascii="Verdana" w:eastAsia="Times" w:hAnsi="Verdana"/>
          <w:bCs/>
          <w:sz w:val="20"/>
          <w:szCs w:val="20"/>
        </w:rPr>
        <w:t xml:space="preserve"> una solicitud de interpretación de la Sentencia </w:t>
      </w:r>
      <w:r w:rsidR="00A47A78" w:rsidRPr="00EF6C56">
        <w:rPr>
          <w:rFonts w:ascii="Verdana" w:eastAsia="Times" w:hAnsi="Verdana"/>
          <w:bCs/>
          <w:sz w:val="20"/>
          <w:szCs w:val="20"/>
        </w:rPr>
        <w:t xml:space="preserve">en relación con el contenido de los párrafos 227 y siguientes de la misma, en particular </w:t>
      </w:r>
      <w:r w:rsidR="00E77347">
        <w:rPr>
          <w:rFonts w:ascii="Verdana" w:eastAsia="Times" w:hAnsi="Verdana"/>
          <w:bCs/>
          <w:sz w:val="20"/>
          <w:szCs w:val="20"/>
        </w:rPr>
        <w:t xml:space="preserve">con preguntas sobre </w:t>
      </w:r>
      <w:r w:rsidR="00A47A78" w:rsidRPr="00EF6C56">
        <w:rPr>
          <w:rFonts w:ascii="Verdana" w:eastAsia="Times" w:hAnsi="Verdana"/>
          <w:bCs/>
          <w:sz w:val="20"/>
          <w:szCs w:val="20"/>
        </w:rPr>
        <w:t xml:space="preserve">si la Corte analizó la </w:t>
      </w:r>
      <w:r w:rsidR="009C364A">
        <w:rPr>
          <w:rFonts w:ascii="Verdana" w:eastAsia="Times" w:hAnsi="Verdana"/>
          <w:bCs/>
          <w:sz w:val="20"/>
          <w:szCs w:val="20"/>
        </w:rPr>
        <w:t>convencionalidad de los</w:t>
      </w:r>
      <w:r w:rsidR="00A47A78" w:rsidRPr="00EF6C56">
        <w:rPr>
          <w:rFonts w:ascii="Verdana" w:eastAsia="Times" w:hAnsi="Verdana"/>
          <w:bCs/>
          <w:sz w:val="20"/>
          <w:szCs w:val="20"/>
        </w:rPr>
        <w:t xml:space="preserve"> artículo</w:t>
      </w:r>
      <w:r w:rsidR="009C364A">
        <w:rPr>
          <w:rFonts w:ascii="Verdana" w:eastAsia="Times" w:hAnsi="Verdana"/>
          <w:bCs/>
          <w:sz w:val="20"/>
          <w:szCs w:val="20"/>
        </w:rPr>
        <w:t>s</w:t>
      </w:r>
      <w:r w:rsidR="00A47A78" w:rsidRPr="00EF6C56">
        <w:rPr>
          <w:rFonts w:ascii="Verdana" w:eastAsia="Times" w:hAnsi="Verdana"/>
          <w:bCs/>
          <w:sz w:val="20"/>
          <w:szCs w:val="20"/>
        </w:rPr>
        <w:t xml:space="preserve"> 321 del Código Penal peruano</w:t>
      </w:r>
      <w:r w:rsidR="00091F13">
        <w:rPr>
          <w:rFonts w:ascii="Verdana" w:eastAsia="Times" w:hAnsi="Verdana"/>
          <w:bCs/>
          <w:sz w:val="20"/>
          <w:szCs w:val="20"/>
        </w:rPr>
        <w:t xml:space="preserve"> y 4 del Decreto Ley 25475</w:t>
      </w:r>
      <w:r w:rsidR="00EF6C56" w:rsidRPr="00EF6C56">
        <w:rPr>
          <w:rFonts w:ascii="Verdana" w:eastAsia="Times" w:hAnsi="Verdana"/>
          <w:bCs/>
          <w:sz w:val="20"/>
          <w:szCs w:val="20"/>
        </w:rPr>
        <w:t xml:space="preserve">; </w:t>
      </w:r>
      <w:r w:rsidR="00091F13" w:rsidRPr="00091F13">
        <w:rPr>
          <w:rFonts w:ascii="Verdana" w:eastAsia="Times" w:hAnsi="Verdana"/>
          <w:bCs/>
          <w:sz w:val="20"/>
          <w:szCs w:val="20"/>
        </w:rPr>
        <w:t xml:space="preserve">si el párrafo 252 de la Sentencia indica </w:t>
      </w:r>
      <w:r w:rsidR="00091F13" w:rsidRPr="00091F13">
        <w:rPr>
          <w:rFonts w:ascii="Verdana" w:eastAsia="Times" w:hAnsi="Verdana"/>
          <w:bCs/>
          <w:sz w:val="20"/>
          <w:szCs w:val="20"/>
        </w:rPr>
        <w:lastRenderedPageBreak/>
        <w:t xml:space="preserve">alguna vía idónea o correcta para </w:t>
      </w:r>
      <w:r w:rsidR="009C364A">
        <w:rPr>
          <w:rFonts w:ascii="Verdana" w:eastAsia="Times" w:hAnsi="Verdana"/>
          <w:bCs/>
          <w:sz w:val="20"/>
          <w:szCs w:val="20"/>
        </w:rPr>
        <w:t>fundamentar</w:t>
      </w:r>
      <w:r w:rsidR="00091F13" w:rsidRPr="00091F13">
        <w:rPr>
          <w:rFonts w:ascii="Verdana" w:eastAsia="Times" w:hAnsi="Verdana"/>
          <w:bCs/>
          <w:sz w:val="20"/>
          <w:szCs w:val="20"/>
        </w:rPr>
        <w:t xml:space="preserve"> una condena </w:t>
      </w:r>
      <w:r w:rsidR="009C364A">
        <w:rPr>
          <w:rFonts w:ascii="Verdana" w:eastAsia="Times" w:hAnsi="Verdana"/>
          <w:bCs/>
          <w:sz w:val="20"/>
          <w:szCs w:val="20"/>
        </w:rPr>
        <w:t xml:space="preserve">en aplicación </w:t>
      </w:r>
      <w:r w:rsidR="00091F13" w:rsidRPr="00091F13">
        <w:rPr>
          <w:rFonts w:ascii="Verdana" w:eastAsia="Times" w:hAnsi="Verdana"/>
          <w:bCs/>
          <w:sz w:val="20"/>
          <w:szCs w:val="20"/>
        </w:rPr>
        <w:t xml:space="preserve">de alguna de las teorías del derecho penal de autor; </w:t>
      </w:r>
      <w:r w:rsidR="00EF6C56" w:rsidRPr="00EF6C56">
        <w:rPr>
          <w:rFonts w:ascii="Verdana" w:eastAsia="Times" w:hAnsi="Verdana"/>
          <w:bCs/>
          <w:sz w:val="20"/>
          <w:szCs w:val="20"/>
        </w:rPr>
        <w:t>y</w:t>
      </w:r>
      <w:r w:rsidR="00091F13">
        <w:rPr>
          <w:rFonts w:ascii="Verdana" w:eastAsia="Times" w:hAnsi="Verdana"/>
          <w:bCs/>
          <w:sz w:val="20"/>
          <w:szCs w:val="20"/>
        </w:rPr>
        <w:t xml:space="preserve"> sobre</w:t>
      </w:r>
      <w:r w:rsidR="00EF6C56" w:rsidRPr="00EF6C56">
        <w:rPr>
          <w:rFonts w:ascii="Verdana" w:eastAsia="Times" w:hAnsi="Verdana"/>
          <w:bCs/>
          <w:sz w:val="20"/>
          <w:szCs w:val="20"/>
        </w:rPr>
        <w:t xml:space="preserve"> los alcances de la obligación de investigar actos de tortura y otros tratos crueles, inhumanos o degradantes dispuesta en el párrafo 277</w:t>
      </w:r>
      <w:r w:rsidRPr="00EF6C56">
        <w:rPr>
          <w:rFonts w:ascii="Verdana" w:eastAsia="Times" w:hAnsi="Verdana"/>
          <w:bCs/>
          <w:sz w:val="20"/>
          <w:szCs w:val="20"/>
        </w:rPr>
        <w:t xml:space="preserve">. </w:t>
      </w:r>
      <w:r w:rsidR="00EF6C56" w:rsidRPr="00EF6C56">
        <w:rPr>
          <w:rFonts w:ascii="Verdana" w:eastAsia="Times" w:hAnsi="Verdana"/>
          <w:bCs/>
          <w:sz w:val="20"/>
          <w:szCs w:val="20"/>
        </w:rPr>
        <w:t xml:space="preserve">El Estado manifestó que, mediante su </w:t>
      </w:r>
      <w:r w:rsidR="00A47A78" w:rsidRPr="00EF6C56">
        <w:rPr>
          <w:rFonts w:ascii="Verdana" w:eastAsia="Times" w:hAnsi="Verdana"/>
          <w:bCs/>
          <w:sz w:val="20"/>
          <w:szCs w:val="20"/>
        </w:rPr>
        <w:t>solicitud</w:t>
      </w:r>
      <w:r w:rsidR="00EF6C56" w:rsidRPr="00EF6C56">
        <w:rPr>
          <w:rFonts w:ascii="Verdana" w:eastAsia="Times" w:hAnsi="Verdana"/>
          <w:bCs/>
          <w:sz w:val="20"/>
          <w:szCs w:val="20"/>
        </w:rPr>
        <w:t>, “no</w:t>
      </w:r>
      <w:r w:rsidR="00A47A78" w:rsidRPr="00EF6C56">
        <w:rPr>
          <w:rFonts w:ascii="Verdana" w:eastAsia="Times" w:hAnsi="Verdana"/>
          <w:bCs/>
          <w:sz w:val="20"/>
          <w:szCs w:val="20"/>
        </w:rPr>
        <w:t xml:space="preserve"> se pretende</w:t>
      </w:r>
      <w:r w:rsidR="00EF6C56" w:rsidRPr="00EF6C56">
        <w:rPr>
          <w:rFonts w:ascii="Verdana" w:eastAsia="Times" w:hAnsi="Verdana"/>
          <w:bCs/>
          <w:sz w:val="20"/>
          <w:szCs w:val="20"/>
        </w:rPr>
        <w:t xml:space="preserve"> </w:t>
      </w:r>
      <w:r w:rsidR="00A47A78" w:rsidRPr="00EF6C56">
        <w:rPr>
          <w:rFonts w:ascii="Verdana" w:eastAsia="Times" w:hAnsi="Verdana"/>
          <w:bCs/>
          <w:sz w:val="20"/>
          <w:szCs w:val="20"/>
        </w:rPr>
        <w:t xml:space="preserve">desconocer los alcances de </w:t>
      </w:r>
      <w:r w:rsidR="00EF6C56" w:rsidRPr="00EF6C56">
        <w:rPr>
          <w:rFonts w:ascii="Verdana" w:eastAsia="Times" w:hAnsi="Verdana"/>
          <w:bCs/>
          <w:sz w:val="20"/>
          <w:szCs w:val="20"/>
        </w:rPr>
        <w:t>l</w:t>
      </w:r>
      <w:r w:rsidR="00A47A78" w:rsidRPr="00EF6C56">
        <w:rPr>
          <w:rFonts w:ascii="Verdana" w:eastAsia="Times" w:hAnsi="Verdana"/>
          <w:bCs/>
          <w:sz w:val="20"/>
          <w:szCs w:val="20"/>
        </w:rPr>
        <w:t xml:space="preserve">a </w:t>
      </w:r>
      <w:r w:rsidR="00EF6C56" w:rsidRPr="00EF6C56">
        <w:rPr>
          <w:rFonts w:ascii="Verdana" w:eastAsia="Times" w:hAnsi="Verdana"/>
          <w:bCs/>
          <w:sz w:val="20"/>
          <w:szCs w:val="20"/>
        </w:rPr>
        <w:t>S</w:t>
      </w:r>
      <w:r w:rsidR="00A47A78" w:rsidRPr="00EF6C56">
        <w:rPr>
          <w:rFonts w:ascii="Verdana" w:eastAsia="Times" w:hAnsi="Verdana"/>
          <w:bCs/>
          <w:sz w:val="20"/>
          <w:szCs w:val="20"/>
        </w:rPr>
        <w:t xml:space="preserve">entencia de </w:t>
      </w:r>
      <w:r w:rsidR="00EF6C56" w:rsidRPr="00EF6C56">
        <w:rPr>
          <w:rFonts w:ascii="Verdana" w:eastAsia="Times" w:hAnsi="Verdana"/>
          <w:bCs/>
          <w:sz w:val="20"/>
          <w:szCs w:val="20"/>
        </w:rPr>
        <w:t>l</w:t>
      </w:r>
      <w:r w:rsidR="00A47A78" w:rsidRPr="00EF6C56">
        <w:rPr>
          <w:rFonts w:ascii="Verdana" w:eastAsia="Times" w:hAnsi="Verdana"/>
          <w:bCs/>
          <w:sz w:val="20"/>
          <w:szCs w:val="20"/>
        </w:rPr>
        <w:t xml:space="preserve">a Corte </w:t>
      </w:r>
      <w:r w:rsidR="00EF6C56" w:rsidRPr="00EF6C56">
        <w:rPr>
          <w:rFonts w:ascii="Verdana" w:eastAsia="Times" w:hAnsi="Verdana"/>
          <w:bCs/>
          <w:sz w:val="20"/>
          <w:szCs w:val="20"/>
        </w:rPr>
        <w:t xml:space="preserve">ni </w:t>
      </w:r>
      <w:r w:rsidR="00A47A78" w:rsidRPr="00EF6C56">
        <w:rPr>
          <w:rFonts w:ascii="Verdana" w:eastAsia="Times" w:hAnsi="Verdana"/>
          <w:bCs/>
          <w:sz w:val="20"/>
          <w:szCs w:val="20"/>
        </w:rPr>
        <w:t>que se modifique lo decidido</w:t>
      </w:r>
      <w:r w:rsidR="00EF6C56" w:rsidRPr="00EF6C56">
        <w:rPr>
          <w:rFonts w:ascii="Verdana" w:eastAsia="Times" w:hAnsi="Verdana"/>
          <w:bCs/>
          <w:sz w:val="20"/>
          <w:szCs w:val="20"/>
        </w:rPr>
        <w:t>”</w:t>
      </w:r>
      <w:r w:rsidR="003C7C07">
        <w:rPr>
          <w:rStyle w:val="FootnoteReference"/>
          <w:rFonts w:ascii="Verdana" w:eastAsia="Times" w:hAnsi="Verdana"/>
          <w:bCs/>
          <w:sz w:val="20"/>
          <w:szCs w:val="20"/>
        </w:rPr>
        <w:footnoteReference w:id="1"/>
      </w:r>
      <w:r w:rsidR="00EF6C56" w:rsidRPr="00EF6C56">
        <w:rPr>
          <w:rFonts w:ascii="Verdana" w:eastAsia="Times" w:hAnsi="Verdana"/>
          <w:bCs/>
          <w:sz w:val="20"/>
          <w:szCs w:val="20"/>
        </w:rPr>
        <w:t>.</w:t>
      </w:r>
    </w:p>
    <w:p w:rsidR="00A47A78" w:rsidRPr="00BE133F" w:rsidRDefault="00A47A78" w:rsidP="00577097">
      <w:pPr>
        <w:tabs>
          <w:tab w:val="left" w:pos="567"/>
        </w:tabs>
        <w:autoSpaceDE w:val="0"/>
        <w:autoSpaceDN w:val="0"/>
        <w:adjustRightInd w:val="0"/>
        <w:spacing w:after="0" w:line="240" w:lineRule="auto"/>
        <w:jc w:val="both"/>
        <w:rPr>
          <w:rFonts w:ascii="Verdana" w:hAnsi="Verdana" w:cs="Verdana"/>
          <w:sz w:val="20"/>
          <w:szCs w:val="20"/>
          <w:u w:val="single"/>
        </w:rPr>
      </w:pPr>
    </w:p>
    <w:p w:rsidR="00577097" w:rsidRPr="00401817" w:rsidRDefault="00EF6C56"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rPr>
      </w:pPr>
      <w:bookmarkStart w:id="2" w:name="_Ref324683819"/>
      <w:bookmarkStart w:id="3" w:name="_Ref364679847"/>
      <w:bookmarkEnd w:id="1"/>
      <w:r w:rsidRPr="00401817">
        <w:rPr>
          <w:rFonts w:ascii="Verdana" w:eastAsia="Times" w:hAnsi="Verdana"/>
          <w:bCs/>
          <w:sz w:val="20"/>
          <w:szCs w:val="20"/>
        </w:rPr>
        <w:t>El 14</w:t>
      </w:r>
      <w:r w:rsidR="00A47A78" w:rsidRPr="00401817">
        <w:rPr>
          <w:rFonts w:ascii="Verdana" w:eastAsia="Times" w:hAnsi="Verdana"/>
          <w:bCs/>
          <w:sz w:val="20"/>
          <w:szCs w:val="20"/>
        </w:rPr>
        <w:t xml:space="preserve"> de marzo de 2016, de conformidad con el artículo 68.2 del Reglamento y siguiendo instrucciones del Presidente de la Corte, la Secretaría transmitió la solicitud de interpretación a los</w:t>
      </w:r>
      <w:r w:rsidRPr="00401817">
        <w:rPr>
          <w:rFonts w:ascii="Verdana" w:eastAsia="Times" w:hAnsi="Verdana"/>
          <w:bCs/>
          <w:sz w:val="20"/>
          <w:szCs w:val="20"/>
        </w:rPr>
        <w:t xml:space="preserve"> intervinientes comunes de los</w:t>
      </w:r>
      <w:r w:rsidR="00A47A78" w:rsidRPr="00401817">
        <w:rPr>
          <w:rFonts w:ascii="Verdana" w:eastAsia="Times" w:hAnsi="Verdana"/>
          <w:bCs/>
          <w:sz w:val="20"/>
          <w:szCs w:val="20"/>
        </w:rPr>
        <w:t xml:space="preserve"> representantes </w:t>
      </w:r>
      <w:r w:rsidRPr="00401817">
        <w:rPr>
          <w:rFonts w:ascii="Verdana" w:eastAsia="Times" w:hAnsi="Verdana"/>
          <w:bCs/>
          <w:sz w:val="20"/>
          <w:szCs w:val="20"/>
        </w:rPr>
        <w:t>de las víctimas</w:t>
      </w:r>
      <w:r w:rsidR="00560854">
        <w:rPr>
          <w:rStyle w:val="FootnoteReference"/>
          <w:rFonts w:ascii="Verdana" w:eastAsia="Times" w:hAnsi="Verdana"/>
          <w:bCs/>
          <w:sz w:val="20"/>
          <w:szCs w:val="20"/>
        </w:rPr>
        <w:footnoteReference w:id="2"/>
      </w:r>
      <w:r w:rsidRPr="00401817">
        <w:rPr>
          <w:rFonts w:ascii="Verdana" w:eastAsia="Times" w:hAnsi="Verdana"/>
          <w:bCs/>
          <w:sz w:val="20"/>
          <w:szCs w:val="20"/>
        </w:rPr>
        <w:t xml:space="preserve"> </w:t>
      </w:r>
      <w:r w:rsidR="00560854">
        <w:rPr>
          <w:rFonts w:ascii="Verdana" w:eastAsia="Times" w:hAnsi="Verdana"/>
          <w:bCs/>
          <w:sz w:val="20"/>
          <w:szCs w:val="20"/>
        </w:rPr>
        <w:t xml:space="preserve">(en adelante “los representantes”) </w:t>
      </w:r>
      <w:r w:rsidR="00A47A78" w:rsidRPr="00401817">
        <w:rPr>
          <w:rFonts w:ascii="Verdana" w:eastAsia="Times" w:hAnsi="Verdana"/>
          <w:bCs/>
          <w:sz w:val="20"/>
          <w:szCs w:val="20"/>
        </w:rPr>
        <w:t xml:space="preserve">y a la Comisión y les otorgó un plazo para que presentaran </w:t>
      </w:r>
      <w:r w:rsidR="009C364A">
        <w:rPr>
          <w:rFonts w:ascii="Verdana" w:eastAsia="Times" w:hAnsi="Verdana"/>
          <w:bCs/>
          <w:sz w:val="20"/>
          <w:szCs w:val="20"/>
        </w:rPr>
        <w:t>sus</w:t>
      </w:r>
      <w:r w:rsidR="00A47A78" w:rsidRPr="00401817">
        <w:rPr>
          <w:rFonts w:ascii="Verdana" w:eastAsia="Times" w:hAnsi="Verdana"/>
          <w:bCs/>
          <w:sz w:val="20"/>
          <w:szCs w:val="20"/>
        </w:rPr>
        <w:t xml:space="preserve"> alegaciones esc</w:t>
      </w:r>
      <w:r w:rsidR="00401817" w:rsidRPr="00401817">
        <w:rPr>
          <w:rFonts w:ascii="Verdana" w:eastAsia="Times" w:hAnsi="Verdana"/>
          <w:bCs/>
          <w:sz w:val="20"/>
          <w:szCs w:val="20"/>
        </w:rPr>
        <w:t>ritas</w:t>
      </w:r>
      <w:r w:rsidRPr="00401817">
        <w:rPr>
          <w:rFonts w:ascii="Verdana" w:eastAsia="Times" w:hAnsi="Verdana"/>
          <w:bCs/>
          <w:sz w:val="20"/>
          <w:szCs w:val="20"/>
        </w:rPr>
        <w:t xml:space="preserve">, las cuales fueron </w:t>
      </w:r>
      <w:r w:rsidR="00401817" w:rsidRPr="00401817">
        <w:rPr>
          <w:rFonts w:ascii="Verdana" w:eastAsia="Times" w:hAnsi="Verdana"/>
          <w:bCs/>
          <w:sz w:val="20"/>
          <w:szCs w:val="20"/>
        </w:rPr>
        <w:t>recibidas</w:t>
      </w:r>
      <w:r w:rsidR="000F0C1E" w:rsidRPr="00401817">
        <w:rPr>
          <w:rFonts w:ascii="Verdana" w:eastAsia="Times" w:hAnsi="Verdana"/>
          <w:bCs/>
          <w:sz w:val="20"/>
          <w:szCs w:val="20"/>
        </w:rPr>
        <w:t xml:space="preserve"> el 12 y 13 de abril siguientes por</w:t>
      </w:r>
      <w:r w:rsidR="00401817" w:rsidRPr="00401817">
        <w:rPr>
          <w:rFonts w:ascii="Verdana" w:eastAsia="Times" w:hAnsi="Verdana"/>
          <w:bCs/>
          <w:sz w:val="20"/>
          <w:szCs w:val="20"/>
        </w:rPr>
        <w:t xml:space="preserve"> parte de</w:t>
      </w:r>
      <w:r w:rsidR="000F0C1E" w:rsidRPr="00401817">
        <w:rPr>
          <w:rFonts w:ascii="Verdana" w:eastAsia="Times" w:hAnsi="Verdana"/>
          <w:bCs/>
          <w:sz w:val="20"/>
          <w:szCs w:val="20"/>
        </w:rPr>
        <w:t xml:space="preserve"> los intervinientes</w:t>
      </w:r>
      <w:r w:rsidR="00063C73">
        <w:rPr>
          <w:rFonts w:ascii="Verdana" w:eastAsia="Times" w:hAnsi="Verdana"/>
          <w:bCs/>
          <w:sz w:val="20"/>
          <w:szCs w:val="20"/>
        </w:rPr>
        <w:t xml:space="preserve"> comunes</w:t>
      </w:r>
      <w:r w:rsidR="000F0C1E" w:rsidRPr="00401817">
        <w:rPr>
          <w:rFonts w:ascii="Verdana" w:eastAsia="Times" w:hAnsi="Verdana"/>
          <w:bCs/>
          <w:sz w:val="20"/>
          <w:szCs w:val="20"/>
        </w:rPr>
        <w:t xml:space="preserve"> y el día 25 de los mismos mes y año por</w:t>
      </w:r>
      <w:r w:rsidR="00401817" w:rsidRPr="00401817">
        <w:rPr>
          <w:rFonts w:ascii="Verdana" w:eastAsia="Times" w:hAnsi="Verdana"/>
          <w:bCs/>
          <w:sz w:val="20"/>
          <w:szCs w:val="20"/>
        </w:rPr>
        <w:t xml:space="preserve"> parte de</w:t>
      </w:r>
      <w:r w:rsidR="000F0C1E" w:rsidRPr="00401817">
        <w:rPr>
          <w:rFonts w:ascii="Verdana" w:eastAsia="Times" w:hAnsi="Verdana"/>
          <w:bCs/>
          <w:sz w:val="20"/>
          <w:szCs w:val="20"/>
        </w:rPr>
        <w:t xml:space="preserve"> la Comisión.</w:t>
      </w:r>
      <w:bookmarkEnd w:id="2"/>
      <w:r w:rsidR="00577097" w:rsidRPr="00401817">
        <w:rPr>
          <w:rFonts w:ascii="Verdana" w:eastAsia="Times" w:hAnsi="Verdana"/>
          <w:bCs/>
          <w:sz w:val="20"/>
          <w:szCs w:val="20"/>
        </w:rPr>
        <w:t xml:space="preserve"> </w:t>
      </w:r>
      <w:bookmarkEnd w:id="3"/>
    </w:p>
    <w:p w:rsidR="003A45D5" w:rsidRPr="005B445C" w:rsidRDefault="003A45D5" w:rsidP="005B445C">
      <w:pPr>
        <w:tabs>
          <w:tab w:val="left" w:pos="567"/>
        </w:tabs>
        <w:autoSpaceDE w:val="0"/>
        <w:autoSpaceDN w:val="0"/>
        <w:adjustRightInd w:val="0"/>
        <w:spacing w:after="0" w:line="240" w:lineRule="auto"/>
        <w:rPr>
          <w:rFonts w:ascii="Verdana" w:hAnsi="Verdana" w:cs="Verdana"/>
          <w:b/>
          <w:sz w:val="20"/>
          <w:szCs w:val="20"/>
        </w:rPr>
      </w:pP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II</w:t>
      </w: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COMPETENCIA</w:t>
      </w:r>
    </w:p>
    <w:p w:rsidR="00577097" w:rsidRPr="00BE133F" w:rsidRDefault="00577097" w:rsidP="00577097">
      <w:pPr>
        <w:tabs>
          <w:tab w:val="left" w:pos="567"/>
        </w:tabs>
        <w:spacing w:after="0" w:line="240" w:lineRule="auto"/>
        <w:ind w:left="720"/>
        <w:jc w:val="both"/>
        <w:rPr>
          <w:rFonts w:ascii="Verdana" w:eastAsia="Batang"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4" w:name="_Ref361668910"/>
      <w:r w:rsidRPr="00BE133F">
        <w:rPr>
          <w:rFonts w:ascii="Verdana" w:eastAsia="Times" w:hAnsi="Verdana"/>
          <w:sz w:val="20"/>
          <w:szCs w:val="20"/>
        </w:rPr>
        <w:t>El artículo 67 de la Convención establece que:</w:t>
      </w:r>
      <w:bookmarkEnd w:id="4"/>
    </w:p>
    <w:p w:rsidR="00577097" w:rsidRPr="00BE133F" w:rsidRDefault="00577097" w:rsidP="00577097">
      <w:pPr>
        <w:tabs>
          <w:tab w:val="left" w:pos="567"/>
        </w:tabs>
        <w:autoSpaceDE w:val="0"/>
        <w:autoSpaceDN w:val="0"/>
        <w:adjustRightInd w:val="0"/>
        <w:spacing w:after="0" w:line="240" w:lineRule="auto"/>
        <w:jc w:val="both"/>
        <w:rPr>
          <w:rFonts w:ascii="Verdana" w:eastAsia="Times" w:hAnsi="Verdana"/>
          <w:bCs/>
          <w:sz w:val="20"/>
          <w:szCs w:val="20"/>
          <w:lang w:val="es-ES_tradnl"/>
        </w:rPr>
      </w:pPr>
    </w:p>
    <w:p w:rsidR="00577097" w:rsidRPr="007274AC" w:rsidRDefault="00577097" w:rsidP="007274AC">
      <w:pPr>
        <w:pStyle w:val="BlockText"/>
      </w:pPr>
      <w:r w:rsidRPr="007274AC">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577097" w:rsidRPr="00BE133F" w:rsidRDefault="00577097" w:rsidP="00577097">
      <w:pPr>
        <w:tabs>
          <w:tab w:val="left" w:pos="567"/>
        </w:tabs>
        <w:spacing w:after="0" w:line="240" w:lineRule="auto"/>
        <w:ind w:left="720" w:right="639"/>
        <w:jc w:val="both"/>
        <w:rPr>
          <w:rFonts w:ascii="Verdana" w:eastAsia="Times" w:hAnsi="Verdana"/>
          <w:sz w:val="20"/>
          <w:szCs w:val="20"/>
          <w:lang w:val="es-ES_tradnl"/>
        </w:rPr>
      </w:pPr>
    </w:p>
    <w:p w:rsidR="009D52B4" w:rsidRPr="00C82D0E" w:rsidRDefault="00577097" w:rsidP="00C82D0E">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r w:rsidRPr="00BE133F">
        <w:rPr>
          <w:rFonts w:ascii="Verdana" w:eastAsia="Times" w:hAnsi="Verdana"/>
          <w:sz w:val="20"/>
          <w:szCs w:val="20"/>
        </w:rPr>
        <w:t>De conformidad con el artículo citado, la Corte es competente para interpretar sus fallos. Para realizar el examen de la solicitud de interpretación y resolver lo que a este respecto corresponda, el Tribunal debe tener, si es posible, la misma composición que tenía al dictar la Sentencia respectiva, de acuerdo con el artículo 68.3 del Reglamento. En esta ocasión, la Corte se integra por los mismos jueces que dictaron la Sentencia</w:t>
      </w:r>
      <w:bookmarkStart w:id="5" w:name="_Ref364680909"/>
      <w:r w:rsidRPr="00BE133F">
        <w:rPr>
          <w:rFonts w:ascii="Verdana" w:eastAsia="Times" w:hAnsi="Verdana"/>
          <w:sz w:val="20"/>
          <w:szCs w:val="20"/>
        </w:rPr>
        <w:t>.</w:t>
      </w:r>
      <w:bookmarkEnd w:id="5"/>
    </w:p>
    <w:p w:rsidR="003A45D5" w:rsidRDefault="003A45D5" w:rsidP="009B0676">
      <w:pPr>
        <w:tabs>
          <w:tab w:val="left" w:pos="567"/>
        </w:tabs>
        <w:autoSpaceDE w:val="0"/>
        <w:autoSpaceDN w:val="0"/>
        <w:adjustRightInd w:val="0"/>
        <w:spacing w:after="0" w:line="240" w:lineRule="auto"/>
        <w:rPr>
          <w:rFonts w:ascii="Verdana" w:hAnsi="Verdana" w:cs="Verdana"/>
          <w:b/>
          <w:sz w:val="20"/>
          <w:szCs w:val="20"/>
        </w:rPr>
      </w:pP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III</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ADMISIBILIDAD</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bookmarkStart w:id="6" w:name="_Ref363125960"/>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eastAsia="Times" w:hAnsi="Verdana"/>
          <w:sz w:val="20"/>
          <w:szCs w:val="20"/>
          <w:lang w:val="es-ES_tradnl"/>
        </w:rPr>
        <w:t>Corresp</w:t>
      </w:r>
      <w:r w:rsidR="00063C73">
        <w:rPr>
          <w:rFonts w:ascii="Verdana" w:eastAsia="Times" w:hAnsi="Verdana"/>
          <w:sz w:val="20"/>
          <w:szCs w:val="20"/>
          <w:lang w:val="es-ES_tradnl"/>
        </w:rPr>
        <w:t>onde a la Corte verificar si la solicitud presentada</w:t>
      </w:r>
      <w:r w:rsidRPr="00BE133F">
        <w:rPr>
          <w:rFonts w:ascii="Verdana" w:eastAsia="Times" w:hAnsi="Verdana"/>
          <w:sz w:val="20"/>
          <w:szCs w:val="20"/>
          <w:lang w:val="es-ES_tradnl"/>
        </w:rPr>
        <w:t xml:space="preserve"> por </w:t>
      </w:r>
      <w:r w:rsidR="00D724A5" w:rsidRPr="00BE133F">
        <w:rPr>
          <w:rFonts w:ascii="Verdana" w:eastAsia="Times" w:hAnsi="Verdana"/>
          <w:sz w:val="20"/>
          <w:szCs w:val="20"/>
          <w:lang w:val="es-ES_tradnl"/>
        </w:rPr>
        <w:t>el Estado</w:t>
      </w:r>
      <w:r w:rsidR="00063C73">
        <w:rPr>
          <w:rFonts w:ascii="Verdana" w:eastAsia="Times" w:hAnsi="Verdana"/>
          <w:sz w:val="20"/>
          <w:szCs w:val="20"/>
          <w:lang w:val="es-ES_tradnl"/>
        </w:rPr>
        <w:t xml:space="preserve"> cumple</w:t>
      </w:r>
      <w:r w:rsidRPr="00BE133F">
        <w:rPr>
          <w:rFonts w:ascii="Verdana" w:eastAsia="Times" w:hAnsi="Verdana"/>
          <w:sz w:val="20"/>
          <w:szCs w:val="20"/>
          <w:lang w:val="es-ES_tradnl"/>
        </w:rPr>
        <w:t xml:space="preserve"> con los requisitos establecidos en las normas aplicables a una solicitud de interpretación de Sentencia, a saber, el artículo 67 de la Convención, anteriormente citado, y el artículo 68 del Reglamento que dispone, en lo pertinente, que:</w:t>
      </w:r>
      <w:bookmarkEnd w:id="6"/>
    </w:p>
    <w:p w:rsidR="00577097" w:rsidRPr="00BE133F" w:rsidRDefault="00577097" w:rsidP="00577097">
      <w:pPr>
        <w:tabs>
          <w:tab w:val="left" w:pos="567"/>
        </w:tabs>
        <w:spacing w:after="0" w:line="240" w:lineRule="auto"/>
        <w:rPr>
          <w:rFonts w:ascii="Verdana" w:eastAsia="Times" w:hAnsi="Verdana"/>
          <w:sz w:val="20"/>
          <w:szCs w:val="20"/>
        </w:rPr>
      </w:pPr>
    </w:p>
    <w:p w:rsidR="00577097" w:rsidRPr="007274AC" w:rsidRDefault="00577097" w:rsidP="005B445C">
      <w:pPr>
        <w:spacing w:after="0" w:line="240" w:lineRule="auto"/>
        <w:ind w:left="567" w:right="117"/>
        <w:jc w:val="both"/>
        <w:rPr>
          <w:rFonts w:ascii="Verdana" w:eastAsia="Times" w:hAnsi="Verdana"/>
          <w:sz w:val="18"/>
          <w:szCs w:val="18"/>
          <w:lang w:val="es-ES_tradnl"/>
        </w:rPr>
      </w:pPr>
      <w:r w:rsidRPr="007274AC">
        <w:rPr>
          <w:rFonts w:ascii="Verdana" w:eastAsia="Times" w:hAnsi="Verdana"/>
          <w:sz w:val="18"/>
          <w:szCs w:val="18"/>
          <w:lang w:val="es-ES_tradnl"/>
        </w:rPr>
        <w:t>1.</w:t>
      </w:r>
      <w:r w:rsidRPr="007274AC">
        <w:rPr>
          <w:rFonts w:ascii="Verdana" w:eastAsia="Times" w:hAnsi="Verdana"/>
          <w:sz w:val="18"/>
          <w:szCs w:val="18"/>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r w:rsidR="005B445C">
        <w:rPr>
          <w:rFonts w:ascii="Verdana" w:eastAsia="Times" w:hAnsi="Verdana"/>
          <w:sz w:val="18"/>
          <w:szCs w:val="18"/>
          <w:lang w:val="es-ES_tradnl"/>
        </w:rPr>
        <w:t xml:space="preserve"> </w:t>
      </w:r>
      <w:r w:rsidRPr="007274AC">
        <w:rPr>
          <w:rFonts w:ascii="Verdana" w:eastAsia="Times" w:hAnsi="Verdana"/>
          <w:sz w:val="18"/>
          <w:szCs w:val="18"/>
          <w:lang w:val="es-ES_tradnl"/>
        </w:rPr>
        <w:t>[…]</w:t>
      </w:r>
    </w:p>
    <w:p w:rsidR="00577097" w:rsidRPr="007274AC" w:rsidRDefault="00577097" w:rsidP="005B445C">
      <w:pPr>
        <w:spacing w:after="0" w:line="240" w:lineRule="auto"/>
        <w:ind w:left="567" w:right="117"/>
        <w:rPr>
          <w:rFonts w:ascii="Verdana" w:eastAsia="Times" w:hAnsi="Verdana"/>
          <w:sz w:val="18"/>
          <w:szCs w:val="18"/>
          <w:lang w:val="es-ES_tradnl"/>
        </w:rPr>
      </w:pPr>
    </w:p>
    <w:p w:rsidR="00577097" w:rsidRPr="007274AC" w:rsidRDefault="00577097" w:rsidP="005B445C">
      <w:pPr>
        <w:spacing w:after="0" w:line="240" w:lineRule="auto"/>
        <w:ind w:left="567" w:right="117"/>
        <w:jc w:val="both"/>
        <w:rPr>
          <w:rFonts w:ascii="Verdana" w:eastAsia="Times" w:hAnsi="Verdana"/>
          <w:sz w:val="18"/>
          <w:szCs w:val="18"/>
          <w:lang w:val="es-ES_tradnl"/>
        </w:rPr>
      </w:pPr>
      <w:r w:rsidRPr="007274AC">
        <w:rPr>
          <w:rFonts w:ascii="Verdana" w:eastAsia="Times" w:hAnsi="Verdana"/>
          <w:sz w:val="18"/>
          <w:szCs w:val="18"/>
          <w:lang w:val="es-ES_tradnl"/>
        </w:rPr>
        <w:t>4.</w:t>
      </w:r>
      <w:r w:rsidRPr="007274AC">
        <w:rPr>
          <w:rFonts w:ascii="Verdana" w:eastAsia="Times" w:hAnsi="Verdana"/>
          <w:sz w:val="18"/>
          <w:szCs w:val="18"/>
          <w:lang w:val="es-ES_tradnl"/>
        </w:rPr>
        <w:tab/>
        <w:t>La solicitud de interpretación no suspenderá la ejecución de la sentencia.</w:t>
      </w:r>
    </w:p>
    <w:p w:rsidR="00577097" w:rsidRPr="007274AC" w:rsidRDefault="00577097" w:rsidP="005B445C">
      <w:pPr>
        <w:spacing w:after="0" w:line="240" w:lineRule="auto"/>
        <w:ind w:left="567" w:right="117"/>
        <w:jc w:val="both"/>
        <w:rPr>
          <w:rFonts w:ascii="Verdana" w:eastAsia="Times" w:hAnsi="Verdana"/>
          <w:sz w:val="18"/>
          <w:szCs w:val="18"/>
          <w:lang w:val="es-ES_tradnl"/>
        </w:rPr>
      </w:pPr>
    </w:p>
    <w:p w:rsidR="00577097" w:rsidRPr="007274AC" w:rsidRDefault="00577097" w:rsidP="005B445C">
      <w:pPr>
        <w:spacing w:after="0" w:line="240" w:lineRule="auto"/>
        <w:ind w:left="567" w:right="117"/>
        <w:jc w:val="both"/>
        <w:rPr>
          <w:rFonts w:ascii="Verdana" w:eastAsia="Times" w:hAnsi="Verdana"/>
          <w:sz w:val="18"/>
          <w:szCs w:val="18"/>
          <w:lang w:val="es-ES_tradnl"/>
        </w:rPr>
      </w:pPr>
      <w:r w:rsidRPr="007274AC">
        <w:rPr>
          <w:rFonts w:ascii="Verdana" w:eastAsia="Times" w:hAnsi="Verdana"/>
          <w:sz w:val="18"/>
          <w:szCs w:val="18"/>
          <w:lang w:val="es-ES_tradnl"/>
        </w:rPr>
        <w:t>5.</w:t>
      </w:r>
      <w:r w:rsidRPr="007274AC">
        <w:rPr>
          <w:rFonts w:ascii="Verdana" w:eastAsia="Times" w:hAnsi="Verdana"/>
          <w:sz w:val="18"/>
          <w:szCs w:val="18"/>
          <w:lang w:val="es-ES_tradnl"/>
        </w:rPr>
        <w:tab/>
        <w:t xml:space="preserve">La Corte determinará el procedimiento que se seguirá y resolverá mediante una sentencia. </w:t>
      </w:r>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bookmarkStart w:id="7" w:name="_Ref363125964"/>
    </w:p>
    <w:bookmarkEnd w:id="7"/>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lastRenderedPageBreak/>
        <w:t xml:space="preserve">La Corte observa que </w:t>
      </w:r>
      <w:r w:rsidR="00B35601" w:rsidRPr="00BE133F">
        <w:rPr>
          <w:rFonts w:ascii="Verdana" w:eastAsia="Times" w:hAnsi="Verdana"/>
          <w:sz w:val="20"/>
          <w:szCs w:val="20"/>
          <w:lang w:val="es-ES_tradnl"/>
        </w:rPr>
        <w:t>el</w:t>
      </w:r>
      <w:r w:rsidRPr="00BE133F">
        <w:rPr>
          <w:rFonts w:ascii="Verdana" w:eastAsia="Times" w:hAnsi="Verdana"/>
          <w:sz w:val="20"/>
          <w:szCs w:val="20"/>
          <w:lang w:val="es-ES_tradnl"/>
        </w:rPr>
        <w:t xml:space="preserve"> </w:t>
      </w:r>
      <w:r w:rsidR="00B757CF">
        <w:rPr>
          <w:rFonts w:ascii="Verdana" w:eastAsia="Times" w:hAnsi="Verdana"/>
          <w:sz w:val="20"/>
          <w:szCs w:val="20"/>
          <w:lang w:val="es-ES_tradnl"/>
        </w:rPr>
        <w:t>Estado</w:t>
      </w:r>
      <w:r w:rsidRPr="00BE133F">
        <w:rPr>
          <w:rFonts w:ascii="Verdana" w:eastAsia="Times" w:hAnsi="Verdana"/>
          <w:sz w:val="20"/>
          <w:szCs w:val="20"/>
          <w:lang w:val="es-ES_tradnl"/>
        </w:rPr>
        <w:t xml:space="preserve"> </w:t>
      </w:r>
      <w:r w:rsidR="00B35601" w:rsidRPr="00BE133F">
        <w:rPr>
          <w:rFonts w:ascii="Verdana" w:eastAsia="Times" w:hAnsi="Verdana"/>
          <w:sz w:val="20"/>
          <w:szCs w:val="20"/>
          <w:lang w:val="es-ES_tradnl"/>
        </w:rPr>
        <w:t>remitió</w:t>
      </w:r>
      <w:r w:rsidRPr="00BE133F">
        <w:rPr>
          <w:rFonts w:ascii="Verdana" w:eastAsia="Times" w:hAnsi="Verdana"/>
          <w:sz w:val="20"/>
          <w:szCs w:val="20"/>
          <w:lang w:val="es-ES_tradnl"/>
        </w:rPr>
        <w:t xml:space="preserve"> la solicitud de interpretación dentro del plazo establecido en el artículo 67 de la Convención</w:t>
      </w:r>
      <w:r w:rsidR="00B757CF">
        <w:rPr>
          <w:rFonts w:ascii="Verdana" w:eastAsia="Times" w:hAnsi="Verdana"/>
          <w:sz w:val="20"/>
          <w:szCs w:val="20"/>
          <w:lang w:val="es-ES_tradnl"/>
        </w:rPr>
        <w:t xml:space="preserve"> (</w:t>
      </w:r>
      <w:r w:rsidR="00B757CF">
        <w:rPr>
          <w:rFonts w:ascii="Verdana" w:eastAsia="Times" w:hAnsi="Verdana"/>
          <w:i/>
          <w:sz w:val="20"/>
          <w:szCs w:val="20"/>
          <w:lang w:val="es-ES_tradnl"/>
        </w:rPr>
        <w:t xml:space="preserve">supra </w:t>
      </w:r>
      <w:proofErr w:type="spellStart"/>
      <w:r w:rsidR="00B757CF">
        <w:rPr>
          <w:rFonts w:ascii="Verdana" w:eastAsia="Times" w:hAnsi="Verdana"/>
          <w:sz w:val="20"/>
          <w:szCs w:val="20"/>
          <w:lang w:val="es-ES_tradnl"/>
        </w:rPr>
        <w:t>párrs</w:t>
      </w:r>
      <w:proofErr w:type="spellEnd"/>
      <w:r w:rsidR="00B757CF">
        <w:rPr>
          <w:rFonts w:ascii="Verdana" w:eastAsia="Times" w:hAnsi="Verdana"/>
          <w:sz w:val="20"/>
          <w:szCs w:val="20"/>
          <w:lang w:val="es-ES_tradnl"/>
        </w:rPr>
        <w:t>. 1 y 4)</w:t>
      </w:r>
      <w:r w:rsidRPr="00BE133F">
        <w:rPr>
          <w:rFonts w:ascii="Verdana" w:eastAsia="Times" w:hAnsi="Verdana"/>
          <w:sz w:val="20"/>
          <w:szCs w:val="20"/>
          <w:lang w:val="es-ES_tradnl"/>
        </w:rPr>
        <w:t xml:space="preserve">, </w:t>
      </w:r>
      <w:r w:rsidR="00B757CF">
        <w:rPr>
          <w:rFonts w:ascii="Verdana" w:eastAsia="Times" w:hAnsi="Verdana"/>
          <w:sz w:val="20"/>
          <w:szCs w:val="20"/>
          <w:lang w:val="es-ES_tradnl"/>
        </w:rPr>
        <w:t xml:space="preserve">por lo cual </w:t>
      </w:r>
      <w:r w:rsidRPr="00BE133F">
        <w:rPr>
          <w:rFonts w:ascii="Verdana" w:eastAsia="Times" w:hAnsi="Verdana"/>
          <w:sz w:val="20"/>
          <w:szCs w:val="20"/>
          <w:lang w:val="es-ES_tradnl"/>
        </w:rPr>
        <w:t>la</w:t>
      </w:r>
      <w:r w:rsidR="00B757CF">
        <w:rPr>
          <w:rFonts w:ascii="Verdana" w:eastAsia="Times" w:hAnsi="Verdana"/>
          <w:sz w:val="20"/>
          <w:szCs w:val="20"/>
          <w:lang w:val="es-ES_tradnl"/>
        </w:rPr>
        <w:t xml:space="preserve"> solicitud resulta admisible</w:t>
      </w:r>
      <w:r w:rsidRPr="00BE133F">
        <w:rPr>
          <w:rFonts w:ascii="Verdana" w:eastAsia="Times" w:hAnsi="Verdana"/>
          <w:sz w:val="20"/>
          <w:szCs w:val="20"/>
          <w:lang w:val="es-ES_tradnl"/>
        </w:rPr>
        <w:t xml:space="preserve"> en lo que se refiere al plazo de su presentación. En cuanto a los demás </w:t>
      </w:r>
      <w:r w:rsidR="00B757CF">
        <w:rPr>
          <w:rFonts w:ascii="Verdana" w:eastAsia="Times" w:hAnsi="Verdana"/>
          <w:sz w:val="20"/>
          <w:szCs w:val="20"/>
          <w:lang w:val="es-ES_tradnl"/>
        </w:rPr>
        <w:t>requisitos, la Corte realiza</w:t>
      </w:r>
      <w:r w:rsidR="00AF0947">
        <w:rPr>
          <w:rFonts w:ascii="Verdana" w:eastAsia="Times" w:hAnsi="Verdana"/>
          <w:sz w:val="20"/>
          <w:szCs w:val="20"/>
          <w:lang w:val="es-ES_tradnl"/>
        </w:rPr>
        <w:t>rá</w:t>
      </w:r>
      <w:r w:rsidRPr="00BE133F">
        <w:rPr>
          <w:rFonts w:ascii="Verdana" w:eastAsia="Times" w:hAnsi="Verdana"/>
          <w:sz w:val="20"/>
          <w:szCs w:val="20"/>
          <w:lang w:val="es-ES_tradnl"/>
        </w:rPr>
        <w:t xml:space="preserve"> el análisis respectivo </w:t>
      </w:r>
      <w:r w:rsidR="00151138">
        <w:rPr>
          <w:rFonts w:ascii="Verdana" w:eastAsia="Times" w:hAnsi="Verdana"/>
          <w:sz w:val="20"/>
          <w:szCs w:val="20"/>
          <w:lang w:val="es-ES_tradnl"/>
        </w:rPr>
        <w:t>d</w:t>
      </w:r>
      <w:r w:rsidRPr="00BE133F">
        <w:rPr>
          <w:rFonts w:ascii="Verdana" w:eastAsia="Times" w:hAnsi="Verdana"/>
          <w:sz w:val="20"/>
          <w:szCs w:val="20"/>
          <w:lang w:val="es-ES_tradnl"/>
        </w:rPr>
        <w:t xml:space="preserve">el contenido de </w:t>
      </w:r>
      <w:r w:rsidR="003A32F1">
        <w:rPr>
          <w:rFonts w:ascii="Verdana" w:eastAsia="Times" w:hAnsi="Verdana"/>
          <w:sz w:val="20"/>
          <w:szCs w:val="20"/>
          <w:lang w:val="es-ES_tradnl"/>
        </w:rPr>
        <w:t>cada</w:t>
      </w:r>
      <w:r w:rsidRPr="00BE133F">
        <w:rPr>
          <w:rFonts w:ascii="Verdana" w:eastAsia="Times" w:hAnsi="Verdana"/>
          <w:sz w:val="20"/>
          <w:szCs w:val="20"/>
          <w:lang w:val="es-ES_tradnl"/>
        </w:rPr>
        <w:t xml:space="preserve"> solicitud de interpretación en el próximo capítulo.</w:t>
      </w:r>
    </w:p>
    <w:p w:rsidR="003A45D5" w:rsidRPr="00BE133F" w:rsidRDefault="003A45D5" w:rsidP="00577097">
      <w:pPr>
        <w:tabs>
          <w:tab w:val="left" w:pos="567"/>
        </w:tabs>
        <w:spacing w:after="0" w:line="240" w:lineRule="auto"/>
        <w:jc w:val="both"/>
        <w:rPr>
          <w:rFonts w:ascii="Verdana" w:eastAsia="Times" w:hAnsi="Verdana"/>
          <w:sz w:val="20"/>
          <w:szCs w:val="20"/>
          <w:u w:val="single"/>
          <w:lang w:val="es-ES_tradnl"/>
        </w:rPr>
      </w:pPr>
    </w:p>
    <w:p w:rsidR="00577097" w:rsidRPr="00BE133F" w:rsidRDefault="00577097" w:rsidP="00577097">
      <w:pPr>
        <w:tabs>
          <w:tab w:val="left" w:pos="567"/>
        </w:tabs>
        <w:spacing w:after="0" w:line="240" w:lineRule="auto"/>
        <w:jc w:val="center"/>
        <w:rPr>
          <w:rFonts w:ascii="Verdana" w:eastAsia="Times" w:hAnsi="Verdana"/>
          <w:b/>
          <w:sz w:val="20"/>
          <w:szCs w:val="20"/>
        </w:rPr>
      </w:pPr>
      <w:r w:rsidRPr="00BE133F">
        <w:rPr>
          <w:rFonts w:ascii="Verdana" w:eastAsia="Times" w:hAnsi="Verdana"/>
          <w:b/>
          <w:sz w:val="20"/>
          <w:szCs w:val="20"/>
        </w:rPr>
        <w:t>IV</w:t>
      </w:r>
    </w:p>
    <w:p w:rsidR="00577097" w:rsidRPr="0093256C"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r w:rsidRPr="00B8255C">
        <w:rPr>
          <w:rFonts w:ascii="Verdana" w:hAnsi="Verdana" w:cs="Verdana"/>
          <w:b/>
          <w:caps/>
          <w:sz w:val="20"/>
          <w:szCs w:val="20"/>
        </w:rPr>
        <w:t>ANÁLISIS DE PROCEDENCIA DE LA</w:t>
      </w:r>
      <w:r w:rsidR="00151138">
        <w:rPr>
          <w:rFonts w:ascii="Verdana" w:hAnsi="Verdana" w:cs="Verdana"/>
          <w:b/>
          <w:caps/>
          <w:sz w:val="20"/>
          <w:szCs w:val="20"/>
        </w:rPr>
        <w:t xml:space="preserve"> SOLICITUD</w:t>
      </w:r>
      <w:r w:rsidRPr="00B8255C">
        <w:rPr>
          <w:rFonts w:ascii="Verdana" w:hAnsi="Verdana" w:cs="Verdana"/>
          <w:b/>
          <w:caps/>
          <w:sz w:val="20"/>
          <w:szCs w:val="20"/>
        </w:rPr>
        <w:t xml:space="preserve"> DE INTERPRETACIÓN</w:t>
      </w:r>
    </w:p>
    <w:p w:rsidR="00151138" w:rsidRDefault="00151138" w:rsidP="00151138">
      <w:pPr>
        <w:tabs>
          <w:tab w:val="left" w:pos="567"/>
        </w:tabs>
        <w:spacing w:after="0" w:line="240" w:lineRule="auto"/>
        <w:jc w:val="both"/>
        <w:rPr>
          <w:rFonts w:ascii="Verdana" w:eastAsia="Times" w:hAnsi="Verdana"/>
          <w:sz w:val="20"/>
          <w:szCs w:val="20"/>
          <w:lang w:val="es-ES_tradnl"/>
        </w:rPr>
      </w:pPr>
      <w:bookmarkStart w:id="8" w:name="_Ref325023272"/>
    </w:p>
    <w:p w:rsidR="00151138" w:rsidRDefault="00151138" w:rsidP="00151138">
      <w:pPr>
        <w:numPr>
          <w:ilvl w:val="0"/>
          <w:numId w:val="1"/>
        </w:numPr>
        <w:tabs>
          <w:tab w:val="left" w:pos="567"/>
          <w:tab w:val="num" w:pos="720"/>
        </w:tabs>
        <w:spacing w:after="0" w:line="240" w:lineRule="auto"/>
        <w:jc w:val="both"/>
        <w:rPr>
          <w:rFonts w:ascii="Verdana" w:hAnsi="Verdana"/>
          <w:sz w:val="20"/>
          <w:szCs w:val="20"/>
        </w:rPr>
      </w:pPr>
      <w:bookmarkStart w:id="9" w:name="_Ref392082429"/>
      <w:r w:rsidRPr="00151138">
        <w:rPr>
          <w:rFonts w:ascii="Verdana" w:hAnsi="Verdana"/>
          <w:sz w:val="20"/>
          <w:szCs w:val="20"/>
        </w:rPr>
        <w:t xml:space="preserve">Para analizar la procedencia de la solicitud del Estado,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w:t>
      </w:r>
      <w:r w:rsidRPr="00151138">
        <w:rPr>
          <w:rFonts w:ascii="Verdana" w:eastAsia="Times" w:hAnsi="Verdana"/>
          <w:sz w:val="20"/>
          <w:szCs w:val="20"/>
          <w:lang w:val="es-ES_tradnl"/>
        </w:rPr>
        <w:t>cuando</w:t>
      </w:r>
      <w:r w:rsidRPr="00151138">
        <w:rPr>
          <w:rFonts w:ascii="Verdana" w:hAnsi="Verdana"/>
          <w:sz w:val="20"/>
          <w:szCs w:val="20"/>
        </w:rPr>
        <w:t xml:space="preserve"> alguna de las partes sostiene que el texto de sus puntos resolutivos o de sus consideraciones carece de claridad o precisión, siempre y cuando esas consideraciones incidan en dicha parte resolutiva. Por lo tanto, de conformidad con el artículo 31.3 del Reglamento, no se puede solicitar la modificación o anulación de la sentencia respectiva a través de una solicitud de interpretación</w:t>
      </w:r>
      <w:r w:rsidR="009475A1" w:rsidRPr="00151138">
        <w:rPr>
          <w:rStyle w:val="FootnoteReference"/>
          <w:rFonts w:ascii="Verdana" w:hAnsi="Verdana"/>
          <w:sz w:val="20"/>
          <w:szCs w:val="20"/>
        </w:rPr>
        <w:footnoteReference w:id="3"/>
      </w:r>
      <w:r w:rsidRPr="00151138">
        <w:rPr>
          <w:rFonts w:ascii="Verdana" w:hAnsi="Verdana"/>
          <w:sz w:val="20"/>
          <w:szCs w:val="20"/>
        </w:rPr>
        <w:t>.</w:t>
      </w:r>
      <w:bookmarkEnd w:id="9"/>
    </w:p>
    <w:p w:rsidR="009475A1" w:rsidRPr="00151138" w:rsidRDefault="009475A1" w:rsidP="009475A1">
      <w:pPr>
        <w:tabs>
          <w:tab w:val="left" w:pos="567"/>
        </w:tabs>
        <w:spacing w:after="0" w:line="240" w:lineRule="auto"/>
        <w:jc w:val="both"/>
        <w:rPr>
          <w:rFonts w:ascii="Verdana" w:hAnsi="Verdana"/>
          <w:sz w:val="20"/>
          <w:szCs w:val="20"/>
        </w:rPr>
      </w:pPr>
    </w:p>
    <w:p w:rsidR="009475A1" w:rsidRDefault="009475A1" w:rsidP="009475A1">
      <w:pPr>
        <w:numPr>
          <w:ilvl w:val="0"/>
          <w:numId w:val="1"/>
        </w:numPr>
        <w:tabs>
          <w:tab w:val="left" w:pos="567"/>
          <w:tab w:val="num" w:pos="720"/>
        </w:tabs>
        <w:spacing w:after="0" w:line="240" w:lineRule="auto"/>
        <w:jc w:val="both"/>
        <w:rPr>
          <w:rFonts w:ascii="Verdana" w:eastAsia="Times" w:hAnsi="Verdana"/>
          <w:sz w:val="20"/>
          <w:szCs w:val="20"/>
          <w:lang w:val="es-ES_tradnl"/>
        </w:rPr>
      </w:pPr>
      <w:bookmarkStart w:id="10" w:name="_Ref324754196"/>
      <w:bookmarkEnd w:id="8"/>
      <w:r w:rsidRPr="00BE133F">
        <w:rPr>
          <w:rFonts w:ascii="Verdana" w:eastAsia="Times" w:hAnsi="Verdana"/>
          <w:sz w:val="20"/>
          <w:szCs w:val="20"/>
          <w:lang w:val="es-ES_tradnl"/>
        </w:rPr>
        <w:t>A continuación</w:t>
      </w:r>
      <w:r>
        <w:rPr>
          <w:rFonts w:ascii="Verdana" w:eastAsia="Times" w:hAnsi="Verdana"/>
          <w:sz w:val="20"/>
          <w:szCs w:val="20"/>
          <w:lang w:val="es-ES_tradnl"/>
        </w:rPr>
        <w:t>,</w:t>
      </w:r>
      <w:r w:rsidRPr="00BE133F">
        <w:rPr>
          <w:rFonts w:ascii="Verdana" w:eastAsia="Times" w:hAnsi="Verdana"/>
          <w:sz w:val="20"/>
          <w:szCs w:val="20"/>
          <w:lang w:val="es-ES_tradnl"/>
        </w:rPr>
        <w:t xml:space="preserve"> el Tribunal analizará la</w:t>
      </w:r>
      <w:r>
        <w:rPr>
          <w:rFonts w:ascii="Verdana" w:eastAsia="Times" w:hAnsi="Verdana"/>
          <w:sz w:val="20"/>
          <w:szCs w:val="20"/>
          <w:lang w:val="es-ES_tradnl"/>
        </w:rPr>
        <w:t xml:space="preserve"> solicitud</w:t>
      </w:r>
      <w:r w:rsidRPr="00BE133F">
        <w:rPr>
          <w:rFonts w:ascii="Verdana" w:eastAsia="Times" w:hAnsi="Verdana"/>
          <w:sz w:val="20"/>
          <w:szCs w:val="20"/>
          <w:lang w:val="es-ES_tradnl"/>
        </w:rPr>
        <w:t xml:space="preserve"> del </w:t>
      </w:r>
      <w:r w:rsidRPr="00BE133F">
        <w:rPr>
          <w:rFonts w:ascii="Verdana" w:hAnsi="Verdana" w:cs="Verdana"/>
          <w:sz w:val="20"/>
          <w:szCs w:val="20"/>
        </w:rPr>
        <w:t>Estado</w:t>
      </w:r>
      <w:r w:rsidRPr="00BE133F">
        <w:rPr>
          <w:rFonts w:ascii="Verdana" w:eastAsia="Times" w:hAnsi="Verdana"/>
          <w:sz w:val="20"/>
          <w:szCs w:val="20"/>
          <w:lang w:val="es-ES_tradnl"/>
        </w:rPr>
        <w:t xml:space="preserve"> para determinar si, de acuerdo con la normativa y los estándares desarrollados en su jurisprudencia, procede aclarar el sentido o alcance de los párrafos </w:t>
      </w:r>
      <w:r w:rsidR="00091F13">
        <w:rPr>
          <w:rFonts w:ascii="Verdana" w:eastAsia="Times" w:hAnsi="Verdana"/>
          <w:bCs/>
          <w:sz w:val="20"/>
          <w:szCs w:val="20"/>
        </w:rPr>
        <w:t>227 y siguientes, 252 o</w:t>
      </w:r>
      <w:r>
        <w:rPr>
          <w:rFonts w:ascii="Verdana" w:eastAsia="Times" w:hAnsi="Verdana"/>
          <w:bCs/>
          <w:sz w:val="20"/>
          <w:szCs w:val="20"/>
        </w:rPr>
        <w:t xml:space="preserve"> 277 </w:t>
      </w:r>
      <w:r w:rsidRPr="00BE133F">
        <w:rPr>
          <w:rFonts w:ascii="Verdana" w:eastAsia="Times" w:hAnsi="Verdana"/>
          <w:sz w:val="20"/>
          <w:szCs w:val="20"/>
          <w:lang w:val="es-ES_tradnl"/>
        </w:rPr>
        <w:t>de la Sentencia.</w:t>
      </w:r>
    </w:p>
    <w:p w:rsidR="006C34AC" w:rsidRPr="00BE133F" w:rsidRDefault="006C34AC" w:rsidP="00577097">
      <w:pPr>
        <w:tabs>
          <w:tab w:val="left" w:pos="567"/>
        </w:tabs>
        <w:spacing w:after="0" w:line="240" w:lineRule="auto"/>
        <w:jc w:val="both"/>
        <w:rPr>
          <w:rFonts w:ascii="Verdana" w:eastAsia="Times" w:hAnsi="Verdana"/>
          <w:sz w:val="20"/>
          <w:szCs w:val="20"/>
          <w:lang w:val="es-ES_tradnl"/>
        </w:rPr>
      </w:pPr>
    </w:p>
    <w:p w:rsidR="006E56EE" w:rsidRDefault="009B0676" w:rsidP="006E56EE">
      <w:pPr>
        <w:pStyle w:val="ListParagraph"/>
        <w:numPr>
          <w:ilvl w:val="0"/>
          <w:numId w:val="3"/>
        </w:numPr>
        <w:tabs>
          <w:tab w:val="left" w:pos="567"/>
        </w:tabs>
        <w:spacing w:after="0" w:line="240" w:lineRule="auto"/>
        <w:jc w:val="both"/>
        <w:rPr>
          <w:rFonts w:ascii="Verdana" w:eastAsia="Times" w:hAnsi="Verdana"/>
          <w:b/>
          <w:i/>
          <w:sz w:val="20"/>
          <w:szCs w:val="20"/>
        </w:rPr>
      </w:pPr>
      <w:r>
        <w:rPr>
          <w:rFonts w:ascii="Verdana" w:eastAsia="Times" w:hAnsi="Verdana"/>
          <w:b/>
          <w:i/>
          <w:sz w:val="20"/>
          <w:szCs w:val="20"/>
        </w:rPr>
        <w:t>Sobre si el artículo 321 del Código Penal viola per se el principio de legalidad</w:t>
      </w:r>
    </w:p>
    <w:p w:rsidR="006E56EE" w:rsidRPr="006A1AC3" w:rsidRDefault="006E56EE" w:rsidP="006E56EE">
      <w:pPr>
        <w:tabs>
          <w:tab w:val="left" w:pos="567"/>
        </w:tabs>
        <w:spacing w:after="0" w:line="240" w:lineRule="auto"/>
        <w:jc w:val="both"/>
        <w:rPr>
          <w:rFonts w:ascii="Verdana" w:eastAsia="Times" w:hAnsi="Verdana"/>
          <w:b/>
          <w:i/>
          <w:sz w:val="20"/>
          <w:szCs w:val="20"/>
        </w:rPr>
      </w:pPr>
    </w:p>
    <w:p w:rsidR="006E56EE" w:rsidRPr="00BE133F" w:rsidRDefault="006E56EE" w:rsidP="006E56EE">
      <w:pPr>
        <w:pStyle w:val="Heading1"/>
      </w:pPr>
      <w:r w:rsidRPr="00BE133F">
        <w:t xml:space="preserve">A.1 </w:t>
      </w:r>
      <w:r>
        <w:tab/>
        <w:t>Argumentos de las partes y de la Comisión</w:t>
      </w:r>
    </w:p>
    <w:p w:rsidR="006E56EE" w:rsidRPr="009B0676" w:rsidRDefault="006E56EE" w:rsidP="009B0676">
      <w:pPr>
        <w:tabs>
          <w:tab w:val="left" w:pos="567"/>
        </w:tabs>
        <w:autoSpaceDE w:val="0"/>
        <w:autoSpaceDN w:val="0"/>
        <w:adjustRightInd w:val="0"/>
        <w:spacing w:after="0" w:line="240" w:lineRule="auto"/>
        <w:jc w:val="both"/>
        <w:rPr>
          <w:rFonts w:ascii="Verdana" w:hAnsi="Verdana" w:cs="Verdana"/>
          <w:sz w:val="20"/>
          <w:szCs w:val="20"/>
        </w:rPr>
      </w:pPr>
    </w:p>
    <w:p w:rsidR="009B0676" w:rsidRDefault="009B0676" w:rsidP="009B0676">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9B0676">
        <w:rPr>
          <w:rFonts w:ascii="Verdana" w:hAnsi="Verdana" w:cs="Verdana"/>
          <w:sz w:val="20"/>
          <w:szCs w:val="20"/>
        </w:rPr>
        <w:t xml:space="preserve">El </w:t>
      </w:r>
      <w:r w:rsidRPr="007B5700">
        <w:rPr>
          <w:rFonts w:ascii="Verdana" w:hAnsi="Verdana" w:cs="Verdana"/>
          <w:b/>
          <w:i/>
          <w:sz w:val="20"/>
          <w:szCs w:val="20"/>
        </w:rPr>
        <w:t>Estado</w:t>
      </w:r>
      <w:r w:rsidRPr="009B0676">
        <w:rPr>
          <w:rFonts w:ascii="Verdana" w:hAnsi="Verdana" w:cs="Verdana"/>
          <w:sz w:val="20"/>
          <w:szCs w:val="20"/>
        </w:rPr>
        <w:t xml:space="preserve"> preguntó si, a partir del párrafo 227 de </w:t>
      </w:r>
      <w:r w:rsidR="00444B1E">
        <w:rPr>
          <w:rFonts w:ascii="Verdana" w:hAnsi="Verdana" w:cs="Verdana"/>
          <w:sz w:val="20"/>
          <w:szCs w:val="20"/>
        </w:rPr>
        <w:t>la Sentencia, la Corte analizó l</w:t>
      </w:r>
      <w:r w:rsidRPr="009B0676">
        <w:rPr>
          <w:rFonts w:ascii="Verdana" w:hAnsi="Verdana" w:cs="Verdana"/>
          <w:sz w:val="20"/>
          <w:szCs w:val="20"/>
        </w:rPr>
        <w:t xml:space="preserve">a </w:t>
      </w:r>
      <w:proofErr w:type="spellStart"/>
      <w:r w:rsidRPr="009B0676">
        <w:rPr>
          <w:rFonts w:ascii="Verdana" w:hAnsi="Verdana" w:cs="Verdana"/>
          <w:sz w:val="20"/>
          <w:szCs w:val="20"/>
        </w:rPr>
        <w:t>taxatividad</w:t>
      </w:r>
      <w:proofErr w:type="spellEnd"/>
      <w:r w:rsidRPr="009B0676">
        <w:rPr>
          <w:rFonts w:ascii="Verdana" w:hAnsi="Verdana" w:cs="Verdana"/>
          <w:sz w:val="20"/>
          <w:szCs w:val="20"/>
        </w:rPr>
        <w:t xml:space="preserve"> del artículo 321 del Código Penal peruano para determinar que el tipo penal no violaba </w:t>
      </w:r>
      <w:r w:rsidR="00234CBF" w:rsidRPr="00234CBF">
        <w:rPr>
          <w:rFonts w:ascii="Verdana" w:hAnsi="Verdana" w:cs="Verdana"/>
          <w:i/>
          <w:sz w:val="20"/>
          <w:szCs w:val="20"/>
        </w:rPr>
        <w:t>per se</w:t>
      </w:r>
      <w:r w:rsidR="00234CBF" w:rsidRPr="009B0676">
        <w:rPr>
          <w:rFonts w:ascii="Verdana" w:hAnsi="Verdana" w:cs="Verdana"/>
          <w:sz w:val="20"/>
          <w:szCs w:val="20"/>
        </w:rPr>
        <w:t xml:space="preserve"> </w:t>
      </w:r>
      <w:r w:rsidR="00234CBF">
        <w:rPr>
          <w:rFonts w:ascii="Verdana" w:hAnsi="Verdana" w:cs="Verdana"/>
          <w:sz w:val="20"/>
          <w:szCs w:val="20"/>
        </w:rPr>
        <w:t>e</w:t>
      </w:r>
      <w:r w:rsidRPr="009B0676">
        <w:rPr>
          <w:rFonts w:ascii="Verdana" w:hAnsi="Verdana" w:cs="Verdana"/>
          <w:sz w:val="20"/>
          <w:szCs w:val="20"/>
        </w:rPr>
        <w:t>l principi</w:t>
      </w:r>
      <w:r w:rsidR="00234CBF">
        <w:rPr>
          <w:rFonts w:ascii="Verdana" w:hAnsi="Verdana" w:cs="Verdana"/>
          <w:sz w:val="20"/>
          <w:szCs w:val="20"/>
        </w:rPr>
        <w:t>o</w:t>
      </w:r>
      <w:r w:rsidRPr="009B0676">
        <w:rPr>
          <w:rFonts w:ascii="Verdana" w:hAnsi="Verdana" w:cs="Verdana"/>
          <w:sz w:val="20"/>
          <w:szCs w:val="20"/>
        </w:rPr>
        <w:t xml:space="preserve"> de legalidad </w:t>
      </w:r>
      <w:r>
        <w:rPr>
          <w:rFonts w:ascii="Verdana" w:hAnsi="Verdana" w:cs="Verdana"/>
          <w:sz w:val="20"/>
          <w:szCs w:val="20"/>
        </w:rPr>
        <w:t>regulado en el artículo 9 de l</w:t>
      </w:r>
      <w:r w:rsidRPr="009B0676">
        <w:rPr>
          <w:rFonts w:ascii="Verdana" w:hAnsi="Verdana" w:cs="Verdana"/>
          <w:sz w:val="20"/>
          <w:szCs w:val="20"/>
        </w:rPr>
        <w:t xml:space="preserve">a </w:t>
      </w:r>
      <w:r>
        <w:rPr>
          <w:rFonts w:ascii="Verdana" w:hAnsi="Verdana" w:cs="Verdana"/>
          <w:sz w:val="20"/>
          <w:szCs w:val="20"/>
        </w:rPr>
        <w:t>Convención.</w:t>
      </w:r>
    </w:p>
    <w:p w:rsidR="004C751D" w:rsidRDefault="004C751D" w:rsidP="004C751D">
      <w:pPr>
        <w:tabs>
          <w:tab w:val="left" w:pos="567"/>
        </w:tabs>
        <w:autoSpaceDE w:val="0"/>
        <w:autoSpaceDN w:val="0"/>
        <w:adjustRightInd w:val="0"/>
        <w:spacing w:after="0" w:line="240" w:lineRule="auto"/>
        <w:jc w:val="both"/>
        <w:rPr>
          <w:rFonts w:ascii="Verdana" w:hAnsi="Verdana" w:cs="Verdana"/>
          <w:sz w:val="20"/>
          <w:szCs w:val="20"/>
        </w:rPr>
      </w:pPr>
    </w:p>
    <w:p w:rsidR="004C751D" w:rsidRDefault="004C751D" w:rsidP="004C751D">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4C751D">
        <w:rPr>
          <w:rFonts w:ascii="Verdana" w:hAnsi="Verdana" w:cs="Verdana"/>
          <w:sz w:val="20"/>
          <w:szCs w:val="20"/>
        </w:rPr>
        <w:t xml:space="preserve">La </w:t>
      </w:r>
      <w:r w:rsidRPr="007B5700">
        <w:rPr>
          <w:rFonts w:ascii="Verdana" w:hAnsi="Verdana" w:cs="Verdana"/>
          <w:b/>
          <w:i/>
          <w:sz w:val="20"/>
          <w:szCs w:val="20"/>
        </w:rPr>
        <w:t>Comisión</w:t>
      </w:r>
      <w:r w:rsidRPr="004C751D">
        <w:rPr>
          <w:rFonts w:ascii="Verdana" w:hAnsi="Verdana" w:cs="Verdana"/>
          <w:sz w:val="20"/>
          <w:szCs w:val="20"/>
        </w:rPr>
        <w:t xml:space="preserve"> señaló que la Sentencia es clara en señalar que tal norma, si bien obedece a una mala técnica legislativa, admite una interpretación restrictiva por lo que no resulta </w:t>
      </w:r>
      <w:r w:rsidRPr="00234CBF">
        <w:rPr>
          <w:rFonts w:ascii="Verdana" w:hAnsi="Verdana" w:cs="Verdana"/>
          <w:i/>
          <w:sz w:val="20"/>
          <w:szCs w:val="20"/>
        </w:rPr>
        <w:t>per se</w:t>
      </w:r>
      <w:r w:rsidRPr="004C751D">
        <w:rPr>
          <w:rFonts w:ascii="Verdana" w:hAnsi="Verdana" w:cs="Verdana"/>
          <w:sz w:val="20"/>
          <w:szCs w:val="20"/>
        </w:rPr>
        <w:t xml:space="preserve"> </w:t>
      </w:r>
      <w:proofErr w:type="spellStart"/>
      <w:r w:rsidRPr="004C751D">
        <w:rPr>
          <w:rFonts w:ascii="Verdana" w:hAnsi="Verdana" w:cs="Verdana"/>
          <w:sz w:val="20"/>
          <w:szCs w:val="20"/>
        </w:rPr>
        <w:t>inconvencional</w:t>
      </w:r>
      <w:proofErr w:type="spellEnd"/>
      <w:r w:rsidRPr="004C751D">
        <w:rPr>
          <w:rFonts w:ascii="Verdana" w:hAnsi="Verdana" w:cs="Verdana"/>
          <w:sz w:val="20"/>
          <w:szCs w:val="20"/>
        </w:rPr>
        <w:t>, siempre que las autoridades judiciales se atengan a dicha interpretación, por lo cual no encuentra falta de claridad sobre este extremo.</w:t>
      </w:r>
    </w:p>
    <w:p w:rsidR="004C751D" w:rsidRDefault="004C751D" w:rsidP="004C751D">
      <w:pPr>
        <w:tabs>
          <w:tab w:val="left" w:pos="567"/>
        </w:tabs>
        <w:autoSpaceDE w:val="0"/>
        <w:autoSpaceDN w:val="0"/>
        <w:adjustRightInd w:val="0"/>
        <w:spacing w:after="0" w:line="240" w:lineRule="auto"/>
        <w:jc w:val="both"/>
        <w:rPr>
          <w:rFonts w:ascii="Verdana" w:hAnsi="Verdana" w:cs="Verdana"/>
          <w:sz w:val="20"/>
          <w:szCs w:val="20"/>
        </w:rPr>
      </w:pPr>
    </w:p>
    <w:p w:rsidR="004C751D" w:rsidRDefault="007B5700" w:rsidP="004C751D">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6E56EE">
        <w:rPr>
          <w:rFonts w:ascii="Verdana" w:hAnsi="Verdana"/>
          <w:sz w:val="20"/>
          <w:szCs w:val="20"/>
        </w:rPr>
        <w:t xml:space="preserve">En cuanto a observaciones de los </w:t>
      </w:r>
      <w:r w:rsidRPr="006E56EE">
        <w:rPr>
          <w:rFonts w:ascii="Verdana" w:hAnsi="Verdana"/>
          <w:b/>
          <w:i/>
          <w:sz w:val="20"/>
          <w:szCs w:val="20"/>
        </w:rPr>
        <w:t>representantes</w:t>
      </w:r>
      <w:r w:rsidRPr="006E56EE">
        <w:rPr>
          <w:rFonts w:ascii="Verdana" w:hAnsi="Verdana"/>
          <w:sz w:val="20"/>
          <w:szCs w:val="20"/>
        </w:rPr>
        <w:t xml:space="preserve">, </w:t>
      </w:r>
      <w:r w:rsidR="00234CBF" w:rsidRPr="006E56EE">
        <w:rPr>
          <w:rFonts w:ascii="Verdana" w:hAnsi="Verdana" w:cs="Verdana"/>
          <w:sz w:val="20"/>
          <w:szCs w:val="20"/>
        </w:rPr>
        <w:t xml:space="preserve">los defensores manifestaron que las preguntas del Estado son pertinentes y </w:t>
      </w:r>
      <w:r w:rsidR="00AF0947">
        <w:rPr>
          <w:rFonts w:ascii="Verdana" w:hAnsi="Verdana" w:cs="Verdana"/>
          <w:sz w:val="20"/>
          <w:szCs w:val="20"/>
        </w:rPr>
        <w:t>se</w:t>
      </w:r>
      <w:r w:rsidR="00234CBF" w:rsidRPr="006E56EE">
        <w:rPr>
          <w:rFonts w:ascii="Verdana" w:hAnsi="Verdana" w:cs="Verdana"/>
          <w:sz w:val="20"/>
          <w:szCs w:val="20"/>
        </w:rPr>
        <w:t xml:space="preserve"> debe aclarar “de</w:t>
      </w:r>
      <w:r w:rsidR="00AF0947">
        <w:rPr>
          <w:rFonts w:ascii="Verdana" w:hAnsi="Verdana" w:cs="Verdana"/>
          <w:sz w:val="20"/>
          <w:szCs w:val="20"/>
        </w:rPr>
        <w:t xml:space="preserve"> manera más profunda</w:t>
      </w:r>
      <w:r w:rsidR="00063C73">
        <w:rPr>
          <w:rFonts w:ascii="Verdana" w:hAnsi="Verdana" w:cs="Verdana"/>
          <w:sz w:val="20"/>
          <w:szCs w:val="20"/>
        </w:rPr>
        <w:t xml:space="preserve">” las razones por las cuales </w:t>
      </w:r>
      <w:r w:rsidR="00AF0947">
        <w:rPr>
          <w:rFonts w:ascii="Verdana" w:hAnsi="Verdana" w:cs="Verdana"/>
          <w:sz w:val="20"/>
          <w:szCs w:val="20"/>
        </w:rPr>
        <w:t>ese</w:t>
      </w:r>
      <w:r w:rsidR="00234CBF" w:rsidRPr="006E56EE">
        <w:rPr>
          <w:rFonts w:ascii="Verdana" w:hAnsi="Verdana" w:cs="Verdana"/>
          <w:sz w:val="20"/>
          <w:szCs w:val="20"/>
        </w:rPr>
        <w:t xml:space="preserve"> artículo 321 </w:t>
      </w:r>
      <w:r w:rsidR="00234CBF">
        <w:rPr>
          <w:rFonts w:ascii="Verdana" w:hAnsi="Verdana" w:cs="Verdana"/>
          <w:sz w:val="20"/>
          <w:szCs w:val="20"/>
        </w:rPr>
        <w:t>está</w:t>
      </w:r>
      <w:r w:rsidR="00234CBF" w:rsidRPr="006E56EE">
        <w:rPr>
          <w:rFonts w:ascii="Verdana" w:hAnsi="Verdana" w:cs="Verdana"/>
          <w:sz w:val="20"/>
          <w:szCs w:val="20"/>
        </w:rPr>
        <w:t xml:space="preserve"> en consonancia con el principio de la legalidad</w:t>
      </w:r>
      <w:r w:rsidR="00AF0947">
        <w:rPr>
          <w:rFonts w:ascii="Verdana" w:hAnsi="Verdana" w:cs="Verdana"/>
          <w:sz w:val="20"/>
          <w:szCs w:val="20"/>
        </w:rPr>
        <w:t>, pues</w:t>
      </w:r>
      <w:r w:rsidR="00234CBF" w:rsidRPr="006E56EE">
        <w:rPr>
          <w:rFonts w:ascii="Verdana" w:hAnsi="Verdana" w:cs="Verdana"/>
          <w:sz w:val="20"/>
          <w:szCs w:val="20"/>
        </w:rPr>
        <w:t xml:space="preserve"> el pronunciamiento de la Corte sobre </w:t>
      </w:r>
      <w:r w:rsidR="00234CBF">
        <w:rPr>
          <w:rFonts w:ascii="Verdana" w:hAnsi="Verdana" w:cs="Verdana"/>
          <w:sz w:val="20"/>
          <w:szCs w:val="20"/>
        </w:rPr>
        <w:t xml:space="preserve">esa disposición </w:t>
      </w:r>
      <w:r w:rsidR="00234CBF" w:rsidRPr="006E56EE">
        <w:rPr>
          <w:rFonts w:ascii="Verdana" w:hAnsi="Verdana" w:cs="Verdana"/>
          <w:sz w:val="20"/>
          <w:szCs w:val="20"/>
        </w:rPr>
        <w:t xml:space="preserve">“es limitado y obstaculiza una adecuada protección a los acusados por el tipo penal de terrorismo en el Perú, debido a la falta de </w:t>
      </w:r>
      <w:proofErr w:type="spellStart"/>
      <w:r w:rsidR="00234CBF" w:rsidRPr="006E56EE">
        <w:rPr>
          <w:rFonts w:ascii="Verdana" w:hAnsi="Verdana" w:cs="Verdana"/>
          <w:sz w:val="20"/>
          <w:szCs w:val="20"/>
        </w:rPr>
        <w:t>taxatividad</w:t>
      </w:r>
      <w:proofErr w:type="spellEnd"/>
      <w:r w:rsidR="00234CBF" w:rsidRPr="006E56EE">
        <w:rPr>
          <w:rFonts w:ascii="Verdana" w:hAnsi="Verdana" w:cs="Verdana"/>
          <w:sz w:val="20"/>
          <w:szCs w:val="20"/>
        </w:rPr>
        <w:t xml:space="preserve"> en las normas a que fueran imputados”, </w:t>
      </w:r>
      <w:r w:rsidR="00AF0947">
        <w:rPr>
          <w:rFonts w:ascii="Verdana" w:hAnsi="Verdana" w:cs="Verdana"/>
          <w:sz w:val="20"/>
          <w:szCs w:val="20"/>
        </w:rPr>
        <w:t>en atención a</w:t>
      </w:r>
      <w:r w:rsidR="00234CBF" w:rsidRPr="006E56EE">
        <w:rPr>
          <w:rFonts w:ascii="Verdana" w:hAnsi="Verdana" w:cs="Verdana"/>
          <w:sz w:val="20"/>
          <w:szCs w:val="20"/>
        </w:rPr>
        <w:t xml:space="preserve"> otros casos que eventualmente puedan acceder al Sistema Interamericano, que tengan </w:t>
      </w:r>
      <w:r w:rsidR="00AF0947">
        <w:rPr>
          <w:rFonts w:ascii="Verdana" w:hAnsi="Verdana" w:cs="Verdana"/>
          <w:sz w:val="20"/>
          <w:szCs w:val="20"/>
        </w:rPr>
        <w:t>como objeto el mismo tipo penal</w:t>
      </w:r>
      <w:r w:rsidR="00234CBF" w:rsidRPr="006E56EE">
        <w:rPr>
          <w:rFonts w:ascii="Verdana" w:hAnsi="Verdana" w:cs="Verdana"/>
          <w:sz w:val="20"/>
          <w:szCs w:val="20"/>
        </w:rPr>
        <w:t>.</w:t>
      </w:r>
    </w:p>
    <w:p w:rsidR="00234CBF" w:rsidRPr="00BE133F" w:rsidRDefault="00234CBF" w:rsidP="00234CBF">
      <w:pPr>
        <w:tabs>
          <w:tab w:val="left" w:pos="567"/>
        </w:tabs>
        <w:autoSpaceDE w:val="0"/>
        <w:autoSpaceDN w:val="0"/>
        <w:adjustRightInd w:val="0"/>
        <w:spacing w:after="0" w:line="240" w:lineRule="auto"/>
        <w:jc w:val="both"/>
        <w:rPr>
          <w:rFonts w:ascii="Verdana" w:hAnsi="Verdana"/>
          <w:sz w:val="20"/>
          <w:szCs w:val="20"/>
        </w:rPr>
      </w:pPr>
    </w:p>
    <w:p w:rsidR="00234CBF" w:rsidRPr="0089460F" w:rsidRDefault="00234CBF" w:rsidP="00234CBF">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A</w:t>
      </w:r>
      <w:r w:rsidRPr="0089460F">
        <w:rPr>
          <w:rFonts w:ascii="Verdana" w:eastAsia="Times" w:hAnsi="Verdana"/>
          <w:i/>
          <w:sz w:val="20"/>
          <w:szCs w:val="20"/>
        </w:rPr>
        <w:t xml:space="preserve">.2 </w:t>
      </w:r>
      <w:r>
        <w:rPr>
          <w:rFonts w:ascii="Verdana" w:eastAsia="Times" w:hAnsi="Verdana"/>
          <w:i/>
          <w:sz w:val="20"/>
          <w:szCs w:val="20"/>
        </w:rPr>
        <w:tab/>
      </w:r>
      <w:r w:rsidRPr="0089460F">
        <w:rPr>
          <w:rFonts w:ascii="Verdana" w:eastAsia="Times" w:hAnsi="Verdana"/>
          <w:i/>
          <w:sz w:val="20"/>
          <w:szCs w:val="20"/>
        </w:rPr>
        <w:t>Consideraciones de la Corte</w:t>
      </w:r>
    </w:p>
    <w:p w:rsidR="00234CBF" w:rsidRDefault="00234CBF" w:rsidP="00234CBF">
      <w:pPr>
        <w:tabs>
          <w:tab w:val="left" w:pos="567"/>
        </w:tabs>
        <w:autoSpaceDE w:val="0"/>
        <w:autoSpaceDN w:val="0"/>
        <w:adjustRightInd w:val="0"/>
        <w:spacing w:after="0" w:line="240" w:lineRule="auto"/>
        <w:jc w:val="both"/>
        <w:rPr>
          <w:rFonts w:ascii="Verdana" w:hAnsi="Verdana" w:cs="Verdana"/>
          <w:sz w:val="20"/>
          <w:szCs w:val="20"/>
        </w:rPr>
      </w:pPr>
    </w:p>
    <w:p w:rsidR="00234CBF" w:rsidRDefault="00091F13" w:rsidP="004C751D">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 xml:space="preserve">Es pertinente recordar que, en el presente caso, los hechos analizados por la Corte en el segundo proceso penal contra </w:t>
      </w:r>
      <w:r>
        <w:rPr>
          <w:rFonts w:ascii="Verdana" w:hAnsi="Verdana" w:cs="Verdana Bold"/>
          <w:bCs/>
          <w:sz w:val="20"/>
          <w:lang w:val="es-MX"/>
        </w:rPr>
        <w:t xml:space="preserve">el señor Luis Williams Pollo Rivera corresponden a su </w:t>
      </w:r>
      <w:r w:rsidRPr="00393AE8">
        <w:rPr>
          <w:rFonts w:ascii="Verdana" w:hAnsi="Verdana" w:cs="Verdana"/>
          <w:sz w:val="20"/>
          <w:szCs w:val="20"/>
        </w:rPr>
        <w:t xml:space="preserve">investigación y condena por el delito de colaboración con el terrorismo, así calificado </w:t>
      </w:r>
      <w:r w:rsidR="00393AE8" w:rsidRPr="00393AE8">
        <w:rPr>
          <w:rFonts w:ascii="Verdana" w:hAnsi="Verdana" w:cs="Verdana"/>
          <w:sz w:val="20"/>
          <w:szCs w:val="20"/>
        </w:rPr>
        <w:t xml:space="preserve">por la Sala Penal Permanente de la Corte Suprema de Justicia </w:t>
      </w:r>
      <w:r w:rsidRPr="00393AE8">
        <w:rPr>
          <w:rFonts w:ascii="Verdana" w:hAnsi="Verdana" w:cs="Verdana"/>
          <w:sz w:val="20"/>
          <w:szCs w:val="20"/>
        </w:rPr>
        <w:t>al momento de dictar sentencia definitiva, bajo el tipo previsto en el artículo 321 del Código Penal de 1991</w:t>
      </w:r>
      <w:r w:rsidR="00393AE8" w:rsidRPr="00393AE8">
        <w:rPr>
          <w:rFonts w:ascii="Verdana" w:hAnsi="Verdana" w:cs="Verdana"/>
          <w:sz w:val="20"/>
          <w:szCs w:val="20"/>
        </w:rPr>
        <w:t xml:space="preserve">. </w:t>
      </w:r>
      <w:r w:rsidR="00BC56D0">
        <w:rPr>
          <w:rFonts w:ascii="Verdana" w:hAnsi="Verdana" w:cs="Verdana"/>
          <w:sz w:val="20"/>
          <w:szCs w:val="20"/>
        </w:rPr>
        <w:t>En consecuencia, al analizar la responsabilidad del Estado bajo el artículo 9 de la Convención Americana, entre otras consideraciones el Tribunal comenzó por analizar</w:t>
      </w:r>
      <w:r w:rsidR="00444B1E">
        <w:rPr>
          <w:rFonts w:ascii="Verdana" w:hAnsi="Verdana" w:cs="Verdana"/>
          <w:sz w:val="20"/>
          <w:szCs w:val="20"/>
        </w:rPr>
        <w:t>, en los párrafos 223 a 228 de la Sentencia,</w:t>
      </w:r>
      <w:r w:rsidR="00BC56D0">
        <w:rPr>
          <w:rFonts w:ascii="Verdana" w:hAnsi="Verdana" w:cs="Verdana"/>
          <w:sz w:val="20"/>
          <w:szCs w:val="20"/>
        </w:rPr>
        <w:t xml:space="preserve"> la norma penal </w:t>
      </w:r>
      <w:r w:rsidR="00DC2AC8">
        <w:rPr>
          <w:rFonts w:ascii="Verdana" w:hAnsi="Verdana" w:cs="Verdana"/>
          <w:sz w:val="20"/>
          <w:szCs w:val="20"/>
        </w:rPr>
        <w:t xml:space="preserve">efectivamente </w:t>
      </w:r>
      <w:r w:rsidR="00BC56D0">
        <w:rPr>
          <w:rFonts w:ascii="Verdana" w:hAnsi="Verdana" w:cs="Verdana"/>
          <w:sz w:val="20"/>
          <w:szCs w:val="20"/>
        </w:rPr>
        <w:t xml:space="preserve">aplicada </w:t>
      </w:r>
      <w:r w:rsidR="00DC2AC8">
        <w:rPr>
          <w:rFonts w:ascii="Verdana" w:hAnsi="Verdana" w:cs="Verdana"/>
          <w:sz w:val="20"/>
          <w:szCs w:val="20"/>
        </w:rPr>
        <w:t xml:space="preserve">en el caso </w:t>
      </w:r>
      <w:r w:rsidR="00BC56D0">
        <w:rPr>
          <w:rFonts w:ascii="Verdana" w:hAnsi="Verdana" w:cs="Verdana"/>
          <w:sz w:val="20"/>
          <w:szCs w:val="20"/>
        </w:rPr>
        <w:t>en los siguientes términos:</w:t>
      </w:r>
    </w:p>
    <w:p w:rsidR="00BC56D0" w:rsidRDefault="00BC56D0" w:rsidP="00BC56D0">
      <w:pPr>
        <w:tabs>
          <w:tab w:val="left" w:pos="567"/>
        </w:tabs>
        <w:autoSpaceDE w:val="0"/>
        <w:autoSpaceDN w:val="0"/>
        <w:adjustRightInd w:val="0"/>
        <w:spacing w:after="0" w:line="240" w:lineRule="auto"/>
        <w:jc w:val="both"/>
        <w:rPr>
          <w:rFonts w:ascii="Verdana" w:hAnsi="Verdana" w:cs="Verdana"/>
          <w:sz w:val="20"/>
          <w:szCs w:val="20"/>
        </w:rPr>
      </w:pPr>
    </w:p>
    <w:p w:rsidR="00BC56D0" w:rsidRPr="00BC56D0" w:rsidRDefault="00444B1E"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r>
        <w:rPr>
          <w:rFonts w:ascii="Verdana" w:hAnsi="Verdana" w:cs="Helvetica"/>
          <w:sz w:val="18"/>
          <w:szCs w:val="20"/>
          <w:lang w:val="es-MX" w:bidi="en-US"/>
        </w:rPr>
        <w:t>“</w:t>
      </w:r>
      <w:r w:rsidR="00BC56D0">
        <w:rPr>
          <w:rFonts w:ascii="Verdana" w:hAnsi="Verdana" w:cs="Helvetica"/>
          <w:sz w:val="18"/>
          <w:szCs w:val="20"/>
          <w:lang w:val="es-MX" w:bidi="en-US"/>
        </w:rPr>
        <w:t>223.</w:t>
      </w:r>
      <w:r w:rsidR="00BC56D0">
        <w:rPr>
          <w:rFonts w:ascii="Verdana" w:hAnsi="Verdana" w:cs="Helvetica"/>
          <w:sz w:val="18"/>
          <w:szCs w:val="20"/>
          <w:lang w:val="es-MX" w:bidi="en-US"/>
        </w:rPr>
        <w:tab/>
      </w:r>
      <w:r w:rsidR="00BC56D0" w:rsidRPr="00BC56D0">
        <w:rPr>
          <w:rFonts w:ascii="Verdana" w:hAnsi="Verdana" w:cs="Helvetica"/>
          <w:sz w:val="18"/>
          <w:szCs w:val="20"/>
          <w:lang w:val="es-MX" w:bidi="en-US"/>
        </w:rPr>
        <w:t xml:space="preserve">En la sentencia del 22 de diciembre de 2004 de la Sala Penal Permanente de la Corte Suprema de Justicia se interpreta el artículo 321 del Código Penal de 1991 de la siguiente manera:  </w:t>
      </w:r>
    </w:p>
    <w:p w:rsidR="00BC56D0" w:rsidRPr="00BC56D0" w:rsidRDefault="00BC56D0"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p>
    <w:p w:rsidR="00BC56D0" w:rsidRPr="00BC56D0" w:rsidRDefault="00BC56D0" w:rsidP="00444B1E">
      <w:pPr>
        <w:spacing w:after="0" w:line="240" w:lineRule="auto"/>
        <w:ind w:left="1440"/>
        <w:jc w:val="both"/>
        <w:rPr>
          <w:rFonts w:ascii="Verdana" w:hAnsi="Verdana" w:cs="Helvetica"/>
          <w:sz w:val="20"/>
          <w:szCs w:val="20"/>
          <w:lang w:val="es-MX" w:bidi="en-US"/>
        </w:rPr>
      </w:pPr>
      <w:r w:rsidRPr="00BC56D0">
        <w:rPr>
          <w:rFonts w:ascii="Verdana" w:hAnsi="Verdana"/>
          <w:sz w:val="16"/>
          <w:szCs w:val="16"/>
          <w:lang w:val="es-MX"/>
        </w:rPr>
        <w:t>[C]</w:t>
      </w:r>
      <w:proofErr w:type="spellStart"/>
      <w:r w:rsidRPr="00BC56D0">
        <w:rPr>
          <w:rFonts w:ascii="Verdana" w:hAnsi="Verdana"/>
          <w:sz w:val="16"/>
          <w:szCs w:val="16"/>
          <w:lang w:val="es-MX"/>
        </w:rPr>
        <w:t>uando</w:t>
      </w:r>
      <w:proofErr w:type="spellEnd"/>
      <w:r w:rsidRPr="00BC56D0">
        <w:rPr>
          <w:rFonts w:ascii="Verdana" w:hAnsi="Verdana"/>
          <w:sz w:val="16"/>
          <w:szCs w:val="16"/>
          <w:lang w:val="es-MX"/>
        </w:rPr>
        <w:t xml:space="preserve"> el tipo penal hace mención a "cualquier acto de colaboración" o "[...] actos de colaboración de cualquier modo favoreciendo” se entiende que los actos de colaboración que a continuación detalla (cinco o seis, según las leyes) tienen un valor meramente ejemplificativo, es decir, no constituyen una enumeración taxativa; que, ahora bien, los actos imputados al encausado Polo Rivera o Pollo Rivera se sitúan en todos los casos- en el primer párrafo del tipo penal, pues no existe un supuesto específico en el que se subsuma lo que hizo conforme aparece descrito en el quinto fundamento jurídico</w:t>
      </w:r>
      <w:r w:rsidRPr="00BC56D0">
        <w:rPr>
          <w:rFonts w:ascii="Verdana" w:hAnsi="Verdana"/>
          <w:sz w:val="16"/>
          <w:szCs w:val="16"/>
          <w:vertAlign w:val="superscript"/>
          <w:lang w:val="es-MX"/>
        </w:rPr>
        <w:footnoteReference w:id="4"/>
      </w:r>
      <w:r w:rsidRPr="00BC56D0">
        <w:rPr>
          <w:rFonts w:ascii="Verdana" w:hAnsi="Verdana"/>
          <w:sz w:val="16"/>
          <w:szCs w:val="16"/>
          <w:lang w:val="es-MX"/>
        </w:rPr>
        <w:t>.</w:t>
      </w:r>
    </w:p>
    <w:p w:rsidR="00444B1E" w:rsidRDefault="00444B1E" w:rsidP="00444B1E">
      <w:pPr>
        <w:autoSpaceDE w:val="0"/>
        <w:autoSpaceDN w:val="0"/>
        <w:adjustRightInd w:val="0"/>
        <w:spacing w:after="0" w:line="240" w:lineRule="auto"/>
        <w:ind w:right="49" w:firstLine="720"/>
        <w:contextualSpacing/>
        <w:jc w:val="both"/>
        <w:rPr>
          <w:rFonts w:ascii="Verdana" w:hAnsi="Verdana" w:cs="Helvetica"/>
          <w:sz w:val="18"/>
          <w:szCs w:val="20"/>
          <w:lang w:val="es-MX" w:bidi="en-US"/>
        </w:rPr>
      </w:pPr>
    </w:p>
    <w:p w:rsidR="00BC56D0" w:rsidRPr="00BC56D0" w:rsidRDefault="00BC56D0" w:rsidP="00444B1E">
      <w:pPr>
        <w:autoSpaceDE w:val="0"/>
        <w:autoSpaceDN w:val="0"/>
        <w:adjustRightInd w:val="0"/>
        <w:spacing w:after="0" w:line="240" w:lineRule="auto"/>
        <w:ind w:left="720" w:right="49"/>
        <w:contextualSpacing/>
        <w:jc w:val="both"/>
        <w:rPr>
          <w:rFonts w:ascii="Verdana" w:hAnsi="Verdana" w:cs="Helvetica"/>
          <w:sz w:val="18"/>
          <w:szCs w:val="20"/>
          <w:lang w:val="es-MX" w:bidi="en-US"/>
        </w:rPr>
      </w:pPr>
      <w:r>
        <w:rPr>
          <w:rFonts w:ascii="Verdana" w:hAnsi="Verdana" w:cs="Helvetica"/>
          <w:sz w:val="18"/>
          <w:szCs w:val="20"/>
          <w:lang w:val="es-MX" w:bidi="en-US"/>
        </w:rPr>
        <w:t>224.</w:t>
      </w:r>
      <w:r>
        <w:rPr>
          <w:rFonts w:ascii="Verdana" w:hAnsi="Verdana" w:cs="Helvetica"/>
          <w:sz w:val="18"/>
          <w:szCs w:val="20"/>
          <w:lang w:val="es-MX" w:bidi="en-US"/>
        </w:rPr>
        <w:tab/>
      </w:r>
      <w:r w:rsidRPr="00BC56D0">
        <w:rPr>
          <w:rFonts w:ascii="Verdana" w:hAnsi="Verdana" w:cs="Helvetica"/>
          <w:sz w:val="18"/>
          <w:szCs w:val="20"/>
          <w:lang w:val="es-MX" w:bidi="en-US"/>
        </w:rPr>
        <w:t>Ante la extrema amplitud con que esta sentencia interpreta el tipo penal, cabe formular dos preguntas: (a) si el tipo penal viola en realidad el principio de legalidad estricta o (b) si es incorrecta la interpretación que del tipo hizo la Corte Suprema. En cuanto a lo primero, esta Corte no puede apartarse de lo que es regla en la jurisprudencia de todos los máximos tribunales de nuestros países, que reiteran –al igual que la doctrina constitucional- que la declaración de inconstitucionalidad es un recurso extremo, una “última ratio”, cuando la ley resulta contraria a un precepto constitucional en forma irr</w:t>
      </w:r>
      <w:r>
        <w:rPr>
          <w:rFonts w:ascii="Verdana" w:hAnsi="Verdana" w:cs="Helvetica"/>
          <w:sz w:val="18"/>
          <w:szCs w:val="20"/>
          <w:lang w:val="es-MX" w:bidi="en-US"/>
        </w:rPr>
        <w:t xml:space="preserve">emisible, no admitiendo ninguna </w:t>
      </w:r>
      <w:r w:rsidRPr="00BC56D0">
        <w:rPr>
          <w:rFonts w:ascii="Verdana" w:hAnsi="Verdana" w:cs="Helvetica"/>
          <w:sz w:val="18"/>
          <w:szCs w:val="20"/>
          <w:lang w:val="es-MX" w:bidi="en-US"/>
        </w:rPr>
        <w:t xml:space="preserve">interpretación compatible con el principio o norma superior invocado. De esta regla de elemental prudencia no puede apartarse esta Corte cuando se trata del control de convencionalidad, atendiendo a la gravedad de la declaración que implica descartar una norma legal, lo que puede dar lugar a vacíos legislativos de gravísimas consecuencias, en particular cuando se trata de la tipificación de delitos de extremo contenido antijurídico.  </w:t>
      </w:r>
    </w:p>
    <w:p w:rsidR="00BC56D0" w:rsidRPr="00BC56D0" w:rsidRDefault="00BC56D0"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p>
    <w:p w:rsidR="00BC56D0" w:rsidRPr="00BC56D0" w:rsidRDefault="00BC56D0"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r>
        <w:rPr>
          <w:rFonts w:ascii="Verdana" w:hAnsi="Verdana" w:cs="Helvetica"/>
          <w:sz w:val="18"/>
          <w:szCs w:val="20"/>
          <w:lang w:val="es-MX" w:bidi="en-US"/>
        </w:rPr>
        <w:t>225.</w:t>
      </w:r>
      <w:r>
        <w:rPr>
          <w:rFonts w:ascii="Verdana" w:hAnsi="Verdana" w:cs="Helvetica"/>
          <w:sz w:val="18"/>
          <w:szCs w:val="20"/>
          <w:lang w:val="es-MX" w:bidi="en-US"/>
        </w:rPr>
        <w:tab/>
      </w:r>
      <w:r w:rsidRPr="00BC56D0">
        <w:rPr>
          <w:rFonts w:ascii="Verdana" w:hAnsi="Verdana" w:cs="Helvetica"/>
          <w:sz w:val="18"/>
          <w:szCs w:val="20"/>
          <w:lang w:val="es-MX" w:bidi="en-US"/>
        </w:rPr>
        <w:t xml:space="preserve">El artículo 321 del Código Penal peruano de 1991 ha sido redactado con mala técnica legislativa, pues no agota los recursos de que el legislador dispone para crear un tipo penal más preciso. Pese a todo, permite una sana interpretación, a condición de llevarla a cabo conforme a los principios generales que deben regir toda interpretación racional de los tipos penales. En principio, es sabido que la ley penal selecciona del campo inmenso de la antijuridicidad unos pocos ilícitos, o sea, algunas pocas conductas antijurídicas, mediante los tipos penales. En consecuencia, frente al enorme campo de lo antijurídico, lo penalmente típico es siempre excepcional. De allí se deriva la necesidad de respetar la regla general de interpretación más restrictiva dentro de la resistencia semántica del tipo penal. </w:t>
      </w:r>
    </w:p>
    <w:p w:rsidR="00BC56D0" w:rsidRPr="00BC56D0" w:rsidRDefault="00BC56D0"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p>
    <w:p w:rsidR="00BC56D0" w:rsidRDefault="00BC56D0"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r>
        <w:rPr>
          <w:rFonts w:ascii="Verdana" w:hAnsi="Verdana" w:cs="Helvetica"/>
          <w:sz w:val="18"/>
          <w:szCs w:val="20"/>
          <w:lang w:val="es-MX" w:bidi="en-US"/>
        </w:rPr>
        <w:t>226.</w:t>
      </w:r>
      <w:r>
        <w:rPr>
          <w:rFonts w:ascii="Verdana" w:hAnsi="Verdana" w:cs="Helvetica"/>
          <w:sz w:val="18"/>
          <w:szCs w:val="20"/>
          <w:lang w:val="es-MX" w:bidi="en-US"/>
        </w:rPr>
        <w:tab/>
      </w:r>
      <w:r w:rsidRPr="00BC56D0">
        <w:rPr>
          <w:rFonts w:ascii="Verdana" w:hAnsi="Verdana" w:cs="Helvetica"/>
          <w:sz w:val="18"/>
          <w:szCs w:val="20"/>
          <w:lang w:val="es-MX" w:bidi="en-US"/>
        </w:rPr>
        <w:t xml:space="preserve">Conforme a lo anterior, la expresión “colaboración”, empleada en el artículo 321, puede entenderse de dos maneras: (a) una amplia, según el uso corriente del lenguaje, y (b) una estricta o técnica, más restrictiva, conforme a la cual “colaboración” debería entenderse como “participación” y, en el presente caso, como “complicidad”. Según esta interpretación estricta, el tipo no haría otra cosa que tipificar como delito independiente la complicidad en el delito de terrorismo o, si se prefiere, penar la complicidad en el terrorismo de manera diferente a las reglas generales de la participación criminal. En consecuencia, entendido de esta manera el texto del tipo del artículo 321, no obstante su mala técnica, en la medida en que es compatible con una interpretación estricta, no corresponde considerarlo lesivo del principio de legalidad establecido en la Convención, debiendo notarse que lo que lesiona la legalidad es la interpretación de la Corte Suprema, que opta por el sentido no técnico del uso del lenguaje, </w:t>
      </w:r>
      <w:r w:rsidRPr="00BC56D0">
        <w:rPr>
          <w:rFonts w:ascii="Verdana" w:hAnsi="Verdana" w:cs="Helvetica"/>
          <w:sz w:val="18"/>
          <w:szCs w:val="20"/>
          <w:lang w:val="es-MX" w:bidi="en-US"/>
        </w:rPr>
        <w:lastRenderedPageBreak/>
        <w:t xml:space="preserve">con una amplitud incompatible con la necesidad de clara delimitación de las conductas prohibidas. </w:t>
      </w:r>
    </w:p>
    <w:p w:rsidR="00DC2AC8" w:rsidRDefault="00DC2AC8"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r>
        <w:rPr>
          <w:rFonts w:ascii="Verdana" w:hAnsi="Verdana" w:cs="Helvetica"/>
          <w:sz w:val="18"/>
          <w:szCs w:val="20"/>
          <w:lang w:val="es-MX" w:bidi="en-US"/>
        </w:rPr>
        <w:t>[…]</w:t>
      </w:r>
    </w:p>
    <w:p w:rsidR="00DC2AC8" w:rsidRDefault="00DC2AC8" w:rsidP="00BC56D0">
      <w:pPr>
        <w:autoSpaceDE w:val="0"/>
        <w:autoSpaceDN w:val="0"/>
        <w:adjustRightInd w:val="0"/>
        <w:spacing w:after="0" w:line="240" w:lineRule="auto"/>
        <w:ind w:left="720" w:right="49"/>
        <w:contextualSpacing/>
        <w:jc w:val="both"/>
        <w:rPr>
          <w:rFonts w:ascii="Verdana" w:hAnsi="Verdana" w:cs="Helvetica"/>
          <w:sz w:val="18"/>
          <w:szCs w:val="20"/>
          <w:lang w:val="es-MX" w:bidi="en-US"/>
        </w:rPr>
      </w:pPr>
    </w:p>
    <w:p w:rsidR="00DC2AC8" w:rsidRPr="00BC56D0" w:rsidRDefault="00DC2AC8" w:rsidP="00DC2AC8">
      <w:pPr>
        <w:autoSpaceDE w:val="0"/>
        <w:autoSpaceDN w:val="0"/>
        <w:adjustRightInd w:val="0"/>
        <w:spacing w:after="0" w:line="240" w:lineRule="auto"/>
        <w:ind w:left="720" w:right="49"/>
        <w:contextualSpacing/>
        <w:jc w:val="both"/>
        <w:rPr>
          <w:rFonts w:ascii="Verdana" w:hAnsi="Verdana" w:cs="Helvetica"/>
          <w:sz w:val="18"/>
          <w:szCs w:val="20"/>
          <w:lang w:val="es-MX" w:bidi="en-US"/>
        </w:rPr>
      </w:pPr>
      <w:r>
        <w:rPr>
          <w:rFonts w:ascii="Verdana" w:hAnsi="Verdana" w:cs="Helvetica"/>
          <w:sz w:val="18"/>
          <w:szCs w:val="20"/>
          <w:lang w:val="es-MX" w:bidi="en-US"/>
        </w:rPr>
        <w:t>228.</w:t>
      </w:r>
      <w:r>
        <w:rPr>
          <w:rFonts w:ascii="Verdana" w:hAnsi="Verdana" w:cs="Helvetica"/>
          <w:sz w:val="18"/>
          <w:szCs w:val="20"/>
          <w:lang w:val="es-MX" w:bidi="en-US"/>
        </w:rPr>
        <w:tab/>
      </w:r>
      <w:r w:rsidRPr="00DC2AC8">
        <w:rPr>
          <w:rFonts w:ascii="Verdana" w:hAnsi="Verdana" w:cs="Helvetica"/>
          <w:sz w:val="18"/>
          <w:szCs w:val="20"/>
          <w:lang w:val="es-MX" w:bidi="en-US"/>
        </w:rPr>
        <w:t>Considerando que dicho artículo 321 no necesariamente debe ser descartado por no ser violatorio del principio de legalidad convencional y, por ende, que la “colaboración” que tipifica no puede ser algo diferente de una complicidad criminal, cabe preguntar si la conducta imputada al señor Pollo Rivera es típica de complicidad en el delito de terrorismo.</w:t>
      </w:r>
      <w:r w:rsidR="00444B1E">
        <w:rPr>
          <w:rFonts w:ascii="Verdana" w:hAnsi="Verdana" w:cs="Helvetica"/>
          <w:sz w:val="18"/>
          <w:szCs w:val="20"/>
          <w:lang w:val="es-MX" w:bidi="en-US"/>
        </w:rPr>
        <w:t>”</w:t>
      </w:r>
      <w:r w:rsidRPr="00DC2AC8">
        <w:rPr>
          <w:rFonts w:ascii="Verdana" w:hAnsi="Verdana" w:cs="Helvetica"/>
          <w:sz w:val="18"/>
          <w:szCs w:val="20"/>
          <w:lang w:val="es-MX" w:bidi="en-US"/>
        </w:rPr>
        <w:t xml:space="preserve"> </w:t>
      </w:r>
    </w:p>
    <w:p w:rsidR="009B0676" w:rsidRPr="00DC2AC8" w:rsidRDefault="009B0676" w:rsidP="00DC2AC8">
      <w:pPr>
        <w:tabs>
          <w:tab w:val="left" w:pos="567"/>
        </w:tabs>
        <w:spacing w:after="0" w:line="240" w:lineRule="auto"/>
        <w:jc w:val="both"/>
        <w:rPr>
          <w:rFonts w:ascii="Verdana" w:eastAsia="Times" w:hAnsi="Verdana"/>
          <w:sz w:val="20"/>
          <w:szCs w:val="20"/>
        </w:rPr>
      </w:pPr>
    </w:p>
    <w:p w:rsidR="00627EF1" w:rsidRPr="00627EF1" w:rsidRDefault="009466FF" w:rsidP="00627EF1">
      <w:pPr>
        <w:numPr>
          <w:ilvl w:val="0"/>
          <w:numId w:val="1"/>
        </w:numPr>
        <w:tabs>
          <w:tab w:val="left" w:pos="567"/>
          <w:tab w:val="num" w:pos="720"/>
        </w:tabs>
        <w:autoSpaceDE w:val="0"/>
        <w:autoSpaceDN w:val="0"/>
        <w:adjustRightInd w:val="0"/>
        <w:spacing w:after="0" w:line="240" w:lineRule="auto"/>
        <w:jc w:val="both"/>
        <w:rPr>
          <w:rFonts w:ascii="Verdana" w:hAnsi="Verdana"/>
          <w:sz w:val="20"/>
          <w:szCs w:val="20"/>
          <w:lang w:val="es-MX"/>
        </w:rPr>
      </w:pPr>
      <w:r>
        <w:rPr>
          <w:rFonts w:ascii="Verdana" w:hAnsi="Verdana"/>
          <w:sz w:val="20"/>
          <w:szCs w:val="20"/>
          <w:lang w:val="es-MX"/>
        </w:rPr>
        <w:t>De conformidad con lo anterior</w:t>
      </w:r>
      <w:r w:rsidR="00091F13" w:rsidRPr="00627EF1">
        <w:rPr>
          <w:rFonts w:ascii="Verdana" w:hAnsi="Verdana"/>
          <w:sz w:val="20"/>
          <w:szCs w:val="20"/>
          <w:lang w:val="es-MX"/>
        </w:rPr>
        <w:t xml:space="preserve">, la Corte </w:t>
      </w:r>
      <w:r w:rsidR="00DC2AC8" w:rsidRPr="00627EF1">
        <w:rPr>
          <w:rFonts w:ascii="Verdana" w:hAnsi="Verdana"/>
          <w:sz w:val="20"/>
          <w:szCs w:val="20"/>
          <w:lang w:val="es-MX"/>
        </w:rPr>
        <w:t xml:space="preserve">claramente afirmó que tal artículo 321 del Código Penal, a pesar de </w:t>
      </w:r>
      <w:r w:rsidR="00DC2AC8" w:rsidRPr="00434EF1">
        <w:rPr>
          <w:rFonts w:ascii="Verdana" w:hAnsi="Verdana"/>
          <w:sz w:val="20"/>
          <w:szCs w:val="20"/>
          <w:lang w:val="es-MX"/>
        </w:rPr>
        <w:t>haber sido redactado “con mala técnica legislativa” por su imprecisión,</w:t>
      </w:r>
      <w:r w:rsidR="00DC2AC8" w:rsidRPr="00627EF1">
        <w:rPr>
          <w:rFonts w:ascii="Verdana" w:hAnsi="Verdana"/>
          <w:sz w:val="20"/>
          <w:szCs w:val="20"/>
          <w:lang w:val="es-MX"/>
        </w:rPr>
        <w:t xml:space="preserve"> “</w:t>
      </w:r>
      <w:r w:rsidR="00DC2AC8" w:rsidRPr="00434EF1">
        <w:rPr>
          <w:rFonts w:ascii="Verdana" w:hAnsi="Verdana"/>
          <w:sz w:val="20"/>
          <w:szCs w:val="20"/>
          <w:lang w:val="es-MX"/>
        </w:rPr>
        <w:t xml:space="preserve">no necesariamente debe ser descartado” por incompatible con la Convención. </w:t>
      </w:r>
      <w:r w:rsidRPr="00434EF1">
        <w:rPr>
          <w:rFonts w:ascii="Verdana" w:hAnsi="Verdana"/>
          <w:sz w:val="20"/>
          <w:szCs w:val="20"/>
          <w:lang w:val="es-MX"/>
        </w:rPr>
        <w:t>Así</w:t>
      </w:r>
      <w:r w:rsidR="00DC2AC8" w:rsidRPr="00434EF1">
        <w:rPr>
          <w:rFonts w:ascii="Verdana" w:hAnsi="Verdana"/>
          <w:sz w:val="20"/>
          <w:szCs w:val="20"/>
          <w:lang w:val="es-MX"/>
        </w:rPr>
        <w:t xml:space="preserve">, </w:t>
      </w:r>
      <w:r w:rsidR="00627EF1" w:rsidRPr="00434EF1">
        <w:rPr>
          <w:rFonts w:ascii="Verdana" w:hAnsi="Verdana"/>
          <w:sz w:val="20"/>
          <w:szCs w:val="20"/>
          <w:lang w:val="es-MX"/>
        </w:rPr>
        <w:t>“no obstante su mala técnica</w:t>
      </w:r>
      <w:r w:rsidR="00434EF1" w:rsidRPr="00434EF1">
        <w:rPr>
          <w:rFonts w:ascii="Verdana" w:hAnsi="Verdana"/>
          <w:sz w:val="20"/>
          <w:szCs w:val="20"/>
          <w:lang w:val="es-MX"/>
        </w:rPr>
        <w:t xml:space="preserve">, […] </w:t>
      </w:r>
      <w:r w:rsidR="00627EF1" w:rsidRPr="00434EF1">
        <w:rPr>
          <w:rFonts w:ascii="Verdana" w:hAnsi="Verdana"/>
          <w:sz w:val="20"/>
          <w:szCs w:val="20"/>
          <w:lang w:val="es-MX"/>
        </w:rPr>
        <w:t>no corresponde considerarlo lesivo del principio de legalidad</w:t>
      </w:r>
      <w:r>
        <w:rPr>
          <w:rFonts w:ascii="Verdana" w:hAnsi="Verdana"/>
          <w:sz w:val="20"/>
          <w:szCs w:val="20"/>
          <w:lang w:val="es-MX"/>
        </w:rPr>
        <w:t xml:space="preserve">” </w:t>
      </w:r>
      <w:r w:rsidRPr="00627EF1">
        <w:rPr>
          <w:rFonts w:ascii="Verdana" w:hAnsi="Verdana"/>
          <w:sz w:val="20"/>
          <w:szCs w:val="20"/>
          <w:lang w:val="es-MX"/>
        </w:rPr>
        <w:t xml:space="preserve">pues </w:t>
      </w:r>
      <w:r w:rsidR="00162CD8" w:rsidRPr="00434EF1">
        <w:rPr>
          <w:rFonts w:ascii="Verdana" w:hAnsi="Verdana"/>
          <w:sz w:val="20"/>
          <w:szCs w:val="20"/>
          <w:lang w:val="es-MX"/>
        </w:rPr>
        <w:t>ese tipo penal</w:t>
      </w:r>
      <w:r w:rsidR="00162CD8">
        <w:rPr>
          <w:rFonts w:ascii="Verdana" w:hAnsi="Verdana"/>
          <w:sz w:val="20"/>
          <w:szCs w:val="20"/>
          <w:lang w:val="es-MX"/>
        </w:rPr>
        <w:t xml:space="preserve"> </w:t>
      </w:r>
      <w:r>
        <w:rPr>
          <w:rFonts w:ascii="Verdana" w:hAnsi="Verdana"/>
          <w:sz w:val="20"/>
          <w:szCs w:val="20"/>
          <w:lang w:val="es-MX"/>
        </w:rPr>
        <w:t>“</w:t>
      </w:r>
      <w:r w:rsidRPr="00434EF1">
        <w:rPr>
          <w:rFonts w:ascii="Verdana" w:hAnsi="Verdana"/>
          <w:sz w:val="20"/>
          <w:szCs w:val="20"/>
          <w:lang w:val="es-MX"/>
        </w:rPr>
        <w:t>permite una sana interpretación”</w:t>
      </w:r>
      <w:r>
        <w:rPr>
          <w:rFonts w:ascii="Verdana" w:hAnsi="Verdana"/>
          <w:sz w:val="20"/>
          <w:szCs w:val="20"/>
          <w:lang w:val="es-MX"/>
        </w:rPr>
        <w:t>,</w:t>
      </w:r>
      <w:r w:rsidR="00627EF1" w:rsidRPr="00434EF1">
        <w:rPr>
          <w:rFonts w:ascii="Verdana" w:hAnsi="Verdana"/>
          <w:sz w:val="20"/>
          <w:szCs w:val="20"/>
          <w:lang w:val="es-MX"/>
        </w:rPr>
        <w:t xml:space="preserve"> en la medida en que </w:t>
      </w:r>
      <w:r w:rsidR="00444B1E">
        <w:rPr>
          <w:rFonts w:ascii="Verdana" w:hAnsi="Verdana"/>
          <w:sz w:val="20"/>
          <w:szCs w:val="20"/>
          <w:lang w:val="es-MX"/>
        </w:rPr>
        <w:t>sea</w:t>
      </w:r>
      <w:r w:rsidR="00627EF1" w:rsidRPr="00434EF1">
        <w:rPr>
          <w:rFonts w:ascii="Verdana" w:hAnsi="Verdana"/>
          <w:sz w:val="20"/>
          <w:szCs w:val="20"/>
          <w:lang w:val="es-MX"/>
        </w:rPr>
        <w:t xml:space="preserve"> </w:t>
      </w:r>
      <w:r w:rsidR="00444B1E">
        <w:rPr>
          <w:rFonts w:ascii="Verdana" w:hAnsi="Verdana"/>
          <w:sz w:val="20"/>
          <w:szCs w:val="20"/>
          <w:lang w:val="es-MX"/>
        </w:rPr>
        <w:t>objeto de</w:t>
      </w:r>
      <w:r w:rsidR="00627EF1" w:rsidRPr="00434EF1">
        <w:rPr>
          <w:rFonts w:ascii="Verdana" w:hAnsi="Verdana"/>
          <w:sz w:val="20"/>
          <w:szCs w:val="20"/>
          <w:lang w:val="es-MX"/>
        </w:rPr>
        <w:t xml:space="preserve"> </w:t>
      </w:r>
      <w:r w:rsidR="00162CD8">
        <w:rPr>
          <w:rFonts w:ascii="Verdana" w:hAnsi="Verdana"/>
          <w:sz w:val="20"/>
          <w:szCs w:val="20"/>
          <w:lang w:val="es-MX"/>
        </w:rPr>
        <w:t>“</w:t>
      </w:r>
      <w:r w:rsidR="00627EF1" w:rsidRPr="00434EF1">
        <w:rPr>
          <w:rFonts w:ascii="Verdana" w:hAnsi="Verdana"/>
          <w:sz w:val="20"/>
          <w:szCs w:val="20"/>
          <w:lang w:val="es-MX"/>
        </w:rPr>
        <w:t>una interpretación estricta”.</w:t>
      </w:r>
      <w:r w:rsidRPr="009466FF">
        <w:rPr>
          <w:rFonts w:ascii="Verdana" w:hAnsi="Verdana"/>
          <w:sz w:val="20"/>
          <w:szCs w:val="20"/>
          <w:lang w:val="es-MX"/>
        </w:rPr>
        <w:t xml:space="preserve"> </w:t>
      </w:r>
      <w:r>
        <w:rPr>
          <w:rFonts w:ascii="Verdana" w:hAnsi="Verdana"/>
          <w:sz w:val="20"/>
          <w:szCs w:val="20"/>
          <w:lang w:val="es-MX"/>
        </w:rPr>
        <w:t>Es decir</w:t>
      </w:r>
      <w:r w:rsidR="00627EF1" w:rsidRPr="00434EF1">
        <w:rPr>
          <w:rFonts w:ascii="Verdana" w:hAnsi="Verdana"/>
          <w:sz w:val="20"/>
          <w:szCs w:val="20"/>
          <w:lang w:val="es-MX"/>
        </w:rPr>
        <w:t xml:space="preserve">, no es </w:t>
      </w:r>
      <w:proofErr w:type="spellStart"/>
      <w:r w:rsidR="00627EF1" w:rsidRPr="00434EF1">
        <w:rPr>
          <w:rFonts w:ascii="Verdana" w:hAnsi="Verdana"/>
          <w:sz w:val="20"/>
          <w:szCs w:val="20"/>
          <w:lang w:val="es-MX"/>
        </w:rPr>
        <w:t>inconvencional</w:t>
      </w:r>
      <w:proofErr w:type="spellEnd"/>
      <w:r w:rsidR="00627EF1" w:rsidRPr="00434EF1">
        <w:rPr>
          <w:rFonts w:ascii="Verdana" w:hAnsi="Verdana"/>
          <w:sz w:val="20"/>
          <w:szCs w:val="20"/>
          <w:lang w:val="es-MX"/>
        </w:rPr>
        <w:t xml:space="preserve"> siempre que sea interpretado “conforme a los principios generales que deben regir toda interpretación racional de los tipos penales”, entendido de manera “estricta o técnica, más restrictiva, conforme a la cual ‘colaboración’ debería entenderse como ‘participación’ y, en el presente caso, como ‘complicidad’”.</w:t>
      </w:r>
      <w:r w:rsidR="00627EF1">
        <w:rPr>
          <w:rFonts w:ascii="Verdana" w:hAnsi="Verdana" w:cs="Helvetica"/>
          <w:sz w:val="18"/>
          <w:szCs w:val="20"/>
          <w:lang w:val="es-MX" w:bidi="en-US"/>
        </w:rPr>
        <w:t xml:space="preserve"> </w:t>
      </w:r>
    </w:p>
    <w:p w:rsidR="00627EF1" w:rsidRDefault="00627EF1" w:rsidP="00434EF1">
      <w:pPr>
        <w:tabs>
          <w:tab w:val="left" w:pos="567"/>
        </w:tabs>
        <w:autoSpaceDE w:val="0"/>
        <w:autoSpaceDN w:val="0"/>
        <w:adjustRightInd w:val="0"/>
        <w:spacing w:after="0" w:line="240" w:lineRule="auto"/>
        <w:jc w:val="both"/>
        <w:rPr>
          <w:rFonts w:ascii="Verdana" w:hAnsi="Verdana"/>
          <w:sz w:val="20"/>
          <w:szCs w:val="20"/>
          <w:lang w:val="es-MX"/>
        </w:rPr>
      </w:pPr>
    </w:p>
    <w:p w:rsidR="00091F13" w:rsidRPr="009466FF" w:rsidRDefault="00434EF1" w:rsidP="002B00A1">
      <w:pPr>
        <w:numPr>
          <w:ilvl w:val="0"/>
          <w:numId w:val="1"/>
        </w:numPr>
        <w:tabs>
          <w:tab w:val="left" w:pos="567"/>
          <w:tab w:val="num" w:pos="720"/>
        </w:tabs>
        <w:autoSpaceDE w:val="0"/>
        <w:autoSpaceDN w:val="0"/>
        <w:adjustRightInd w:val="0"/>
        <w:spacing w:after="0" w:line="240" w:lineRule="auto"/>
        <w:ind w:right="49"/>
        <w:contextualSpacing/>
        <w:jc w:val="both"/>
      </w:pPr>
      <w:r w:rsidRPr="00434EF1">
        <w:rPr>
          <w:rFonts w:ascii="Verdana" w:hAnsi="Verdana"/>
          <w:sz w:val="20"/>
          <w:szCs w:val="20"/>
          <w:lang w:val="es-MX"/>
        </w:rPr>
        <w:t xml:space="preserve">De tal modo, y al notar que “lo que lesiona la legalidad es la interpretación de la Corte Suprema, que opta por el sentido no técnico del uso del lenguaje, con una amplitud incompatible con la necesidad de clara delimitación de las conductas prohibidas”, es claro que el Tribunal hizo depender </w:t>
      </w:r>
      <w:r w:rsidR="00162CD8">
        <w:rPr>
          <w:rFonts w:ascii="Verdana" w:hAnsi="Verdana"/>
          <w:sz w:val="20"/>
          <w:szCs w:val="20"/>
          <w:lang w:val="es-MX"/>
        </w:rPr>
        <w:t>el</w:t>
      </w:r>
      <w:r w:rsidRPr="00434EF1">
        <w:rPr>
          <w:rFonts w:ascii="Verdana" w:hAnsi="Verdana"/>
          <w:sz w:val="20"/>
          <w:szCs w:val="20"/>
          <w:lang w:val="es-MX"/>
        </w:rPr>
        <w:t xml:space="preserve"> análisis de </w:t>
      </w:r>
      <w:r w:rsidR="00162CD8">
        <w:rPr>
          <w:rFonts w:ascii="Verdana" w:hAnsi="Verdana"/>
          <w:sz w:val="20"/>
          <w:szCs w:val="20"/>
          <w:lang w:val="es-MX"/>
        </w:rPr>
        <w:t>convencionalidad</w:t>
      </w:r>
      <w:r w:rsidRPr="00434EF1">
        <w:rPr>
          <w:rFonts w:ascii="Verdana" w:hAnsi="Verdana"/>
          <w:sz w:val="20"/>
          <w:szCs w:val="20"/>
          <w:lang w:val="es-MX"/>
        </w:rPr>
        <w:t xml:space="preserve"> de la norma penal de la aplicación o interpretación </w:t>
      </w:r>
      <w:r w:rsidR="00162CD8">
        <w:rPr>
          <w:rFonts w:ascii="Verdana" w:hAnsi="Verdana"/>
          <w:sz w:val="20"/>
          <w:szCs w:val="20"/>
          <w:lang w:val="es-MX"/>
        </w:rPr>
        <w:t xml:space="preserve">que </w:t>
      </w:r>
      <w:r w:rsidRPr="00434EF1">
        <w:rPr>
          <w:rFonts w:ascii="Verdana" w:hAnsi="Verdana"/>
          <w:sz w:val="20"/>
          <w:szCs w:val="20"/>
          <w:lang w:val="es-MX"/>
        </w:rPr>
        <w:t xml:space="preserve">de la misma </w:t>
      </w:r>
      <w:r w:rsidR="00162CD8">
        <w:rPr>
          <w:rFonts w:ascii="Verdana" w:hAnsi="Verdana"/>
          <w:sz w:val="20"/>
          <w:szCs w:val="20"/>
          <w:lang w:val="es-MX"/>
        </w:rPr>
        <w:t xml:space="preserve">se haga </w:t>
      </w:r>
      <w:r w:rsidRPr="00434EF1">
        <w:rPr>
          <w:rFonts w:ascii="Verdana" w:hAnsi="Verdana"/>
          <w:sz w:val="20"/>
          <w:szCs w:val="20"/>
          <w:lang w:val="es-MX"/>
        </w:rPr>
        <w:t>en el caso concreto, lo cual</w:t>
      </w:r>
      <w:r w:rsidR="00627EF1" w:rsidRPr="00434EF1">
        <w:rPr>
          <w:rFonts w:ascii="Verdana" w:hAnsi="Verdana"/>
          <w:sz w:val="20"/>
          <w:szCs w:val="20"/>
          <w:lang w:val="es-MX"/>
        </w:rPr>
        <w:t>, evidentemente,</w:t>
      </w:r>
      <w:r w:rsidRPr="00434EF1">
        <w:rPr>
          <w:rFonts w:ascii="Verdana" w:hAnsi="Verdana"/>
          <w:sz w:val="20"/>
          <w:szCs w:val="20"/>
          <w:lang w:val="es-MX"/>
        </w:rPr>
        <w:t xml:space="preserve"> corresponde</w:t>
      </w:r>
      <w:r w:rsidR="00627EF1" w:rsidRPr="00434EF1">
        <w:rPr>
          <w:rFonts w:ascii="Verdana" w:hAnsi="Verdana"/>
          <w:sz w:val="20"/>
          <w:szCs w:val="20"/>
          <w:lang w:val="es-MX"/>
        </w:rPr>
        <w:t xml:space="preserve"> a </w:t>
      </w:r>
      <w:r w:rsidR="00DC2AC8" w:rsidRPr="00434EF1">
        <w:rPr>
          <w:rFonts w:ascii="Verdana" w:hAnsi="Verdana"/>
          <w:sz w:val="20"/>
          <w:szCs w:val="20"/>
          <w:lang w:val="es-MX"/>
        </w:rPr>
        <w:t xml:space="preserve">las autoridades judiciales competentes </w:t>
      </w:r>
      <w:r w:rsidR="00627EF1" w:rsidRPr="00434EF1">
        <w:rPr>
          <w:rFonts w:ascii="Verdana" w:hAnsi="Verdana"/>
          <w:sz w:val="20"/>
          <w:szCs w:val="20"/>
          <w:lang w:val="es-MX"/>
        </w:rPr>
        <w:t>del Estado.</w:t>
      </w:r>
      <w:r w:rsidR="00825345">
        <w:rPr>
          <w:rFonts w:ascii="Verdana" w:hAnsi="Verdana"/>
          <w:sz w:val="20"/>
          <w:szCs w:val="20"/>
          <w:lang w:val="es-MX"/>
        </w:rPr>
        <w:t xml:space="preserve"> Es decir, l</w:t>
      </w:r>
      <w:r w:rsidR="00825345" w:rsidRPr="00825345">
        <w:rPr>
          <w:rFonts w:ascii="Verdana" w:hAnsi="Verdana"/>
          <w:bCs/>
          <w:sz w:val="20"/>
          <w:szCs w:val="20"/>
          <w:lang w:val="es-MX"/>
        </w:rPr>
        <w:t xml:space="preserve">a convencionalidad de </w:t>
      </w:r>
      <w:r w:rsidR="00825345">
        <w:rPr>
          <w:rFonts w:ascii="Verdana" w:hAnsi="Verdana"/>
          <w:bCs/>
          <w:sz w:val="20"/>
          <w:szCs w:val="20"/>
          <w:lang w:val="es-MX"/>
        </w:rPr>
        <w:t xml:space="preserve">la </w:t>
      </w:r>
      <w:r w:rsidR="00825345" w:rsidRPr="00825345">
        <w:rPr>
          <w:rFonts w:ascii="Verdana" w:hAnsi="Verdana"/>
          <w:bCs/>
          <w:sz w:val="20"/>
          <w:szCs w:val="20"/>
          <w:lang w:val="es-MX"/>
        </w:rPr>
        <w:t xml:space="preserve">aplicación o interpretación </w:t>
      </w:r>
      <w:r w:rsidR="00825345">
        <w:rPr>
          <w:rFonts w:ascii="Verdana" w:hAnsi="Verdana"/>
          <w:bCs/>
          <w:sz w:val="20"/>
          <w:szCs w:val="20"/>
          <w:lang w:val="es-MX"/>
        </w:rPr>
        <w:t xml:space="preserve">de esa </w:t>
      </w:r>
      <w:r w:rsidR="00825345" w:rsidRPr="00825345">
        <w:rPr>
          <w:rFonts w:ascii="Verdana" w:hAnsi="Verdana"/>
          <w:bCs/>
          <w:sz w:val="20"/>
          <w:szCs w:val="20"/>
          <w:lang w:val="es-MX"/>
        </w:rPr>
        <w:t xml:space="preserve">norma dependerá de que </w:t>
      </w:r>
      <w:r w:rsidR="00825345">
        <w:rPr>
          <w:rFonts w:ascii="Verdana" w:hAnsi="Verdana"/>
          <w:bCs/>
          <w:sz w:val="20"/>
          <w:szCs w:val="20"/>
          <w:lang w:val="es-MX"/>
        </w:rPr>
        <w:t>dichas</w:t>
      </w:r>
      <w:r w:rsidR="00825345" w:rsidRPr="00825345">
        <w:rPr>
          <w:rFonts w:ascii="Verdana" w:hAnsi="Verdana"/>
          <w:bCs/>
          <w:sz w:val="20"/>
          <w:szCs w:val="20"/>
          <w:lang w:val="es-MX"/>
        </w:rPr>
        <w:t xml:space="preserve"> autoridades la hayan aplicado o interpretado en cada caso (o lo hagan en el futuro) de manera conforme con lo señalado en la Sentencia</w:t>
      </w:r>
      <w:r w:rsidR="00825345">
        <w:rPr>
          <w:rFonts w:ascii="Verdana" w:hAnsi="Verdana"/>
          <w:bCs/>
          <w:sz w:val="20"/>
          <w:szCs w:val="20"/>
          <w:lang w:val="es-MX"/>
        </w:rPr>
        <w:t xml:space="preserve">. </w:t>
      </w:r>
      <w:r w:rsidR="00825345">
        <w:rPr>
          <w:rFonts w:ascii="Verdana" w:hAnsi="Verdana"/>
          <w:sz w:val="20"/>
          <w:szCs w:val="20"/>
          <w:lang w:val="es-MX"/>
        </w:rPr>
        <w:t>En todo caso, es pertinente hacer notar que en esta Sentencia la Corte analizó únicamente la parte del contenido de la no</w:t>
      </w:r>
      <w:r w:rsidR="00954254">
        <w:rPr>
          <w:rFonts w:ascii="Verdana" w:hAnsi="Verdana"/>
          <w:sz w:val="20"/>
          <w:szCs w:val="20"/>
          <w:lang w:val="es-MX"/>
        </w:rPr>
        <w:t>r</w:t>
      </w:r>
      <w:r w:rsidR="00825345">
        <w:rPr>
          <w:rFonts w:ascii="Verdana" w:hAnsi="Verdana"/>
          <w:sz w:val="20"/>
          <w:szCs w:val="20"/>
          <w:lang w:val="es-MX"/>
        </w:rPr>
        <w:t>ma aplicada</w:t>
      </w:r>
      <w:r w:rsidR="002B00A1">
        <w:rPr>
          <w:rFonts w:ascii="Verdana" w:hAnsi="Verdana"/>
          <w:sz w:val="20"/>
          <w:szCs w:val="20"/>
          <w:lang w:val="es-MX"/>
        </w:rPr>
        <w:t xml:space="preserve"> </w:t>
      </w:r>
      <w:r w:rsidR="002B00A1" w:rsidRPr="00825345">
        <w:rPr>
          <w:rFonts w:ascii="Verdana" w:hAnsi="Verdana"/>
          <w:bCs/>
          <w:sz w:val="20"/>
          <w:szCs w:val="20"/>
          <w:lang w:val="es-MX"/>
        </w:rPr>
        <w:t>al caso del señor Pollo Rivera</w:t>
      </w:r>
      <w:r w:rsidR="00825345">
        <w:rPr>
          <w:rFonts w:ascii="Verdana" w:hAnsi="Verdana"/>
          <w:bCs/>
          <w:sz w:val="20"/>
          <w:szCs w:val="20"/>
          <w:lang w:val="es-MX"/>
        </w:rPr>
        <w:t xml:space="preserve"> y no todos los supuestos contemplados en la misma. </w:t>
      </w:r>
      <w:r w:rsidR="009466FF" w:rsidRPr="002B00A1">
        <w:rPr>
          <w:rFonts w:ascii="Verdana" w:hAnsi="Verdana"/>
          <w:bCs/>
          <w:sz w:val="20"/>
          <w:szCs w:val="20"/>
          <w:lang w:val="es-MX"/>
        </w:rPr>
        <w:t xml:space="preserve">En consecuencia, el Tribunal considera que </w:t>
      </w:r>
      <w:r w:rsidR="002B00A1">
        <w:rPr>
          <w:rFonts w:ascii="Verdana" w:hAnsi="Verdana"/>
          <w:bCs/>
          <w:sz w:val="20"/>
          <w:szCs w:val="20"/>
          <w:lang w:val="es-MX"/>
        </w:rPr>
        <w:t xml:space="preserve">el texto señalado es claro, por lo cual </w:t>
      </w:r>
      <w:r w:rsidR="009466FF" w:rsidRPr="002B00A1">
        <w:rPr>
          <w:rFonts w:ascii="Verdana" w:hAnsi="Verdana"/>
          <w:bCs/>
          <w:sz w:val="20"/>
          <w:szCs w:val="20"/>
          <w:lang w:val="es-MX"/>
        </w:rPr>
        <w:t>esta solicitud de interpretación del Estado es improcedente.</w:t>
      </w:r>
    </w:p>
    <w:p w:rsidR="009B0676" w:rsidRPr="006E56EE" w:rsidRDefault="009B0676" w:rsidP="006E56EE">
      <w:pPr>
        <w:pStyle w:val="ListParagraph"/>
        <w:tabs>
          <w:tab w:val="left" w:pos="567"/>
        </w:tabs>
        <w:spacing w:after="0" w:line="240" w:lineRule="auto"/>
        <w:ind w:left="360"/>
        <w:jc w:val="both"/>
        <w:rPr>
          <w:rFonts w:ascii="Verdana" w:eastAsia="Times" w:hAnsi="Verdana"/>
          <w:b/>
          <w:i/>
          <w:sz w:val="20"/>
          <w:szCs w:val="20"/>
        </w:rPr>
      </w:pPr>
    </w:p>
    <w:p w:rsidR="0089460F" w:rsidRPr="006A1AC3" w:rsidRDefault="006A1AC3" w:rsidP="0089460F">
      <w:pPr>
        <w:pStyle w:val="ListParagraph"/>
        <w:numPr>
          <w:ilvl w:val="0"/>
          <w:numId w:val="3"/>
        </w:numPr>
        <w:tabs>
          <w:tab w:val="left" w:pos="567"/>
        </w:tabs>
        <w:spacing w:after="0" w:line="240" w:lineRule="auto"/>
        <w:jc w:val="both"/>
        <w:rPr>
          <w:rFonts w:ascii="Verdana" w:eastAsia="Times" w:hAnsi="Verdana"/>
          <w:b/>
          <w:i/>
          <w:sz w:val="20"/>
          <w:szCs w:val="20"/>
        </w:rPr>
      </w:pPr>
      <w:r w:rsidRPr="006A1AC3">
        <w:rPr>
          <w:rFonts w:ascii="Verdana" w:eastAsia="Times" w:hAnsi="Verdana"/>
          <w:b/>
          <w:bCs/>
          <w:i/>
          <w:sz w:val="20"/>
          <w:szCs w:val="20"/>
        </w:rPr>
        <w:t xml:space="preserve">Sobre si la Corte analizó la </w:t>
      </w:r>
      <w:proofErr w:type="spellStart"/>
      <w:r w:rsidRPr="006A1AC3">
        <w:rPr>
          <w:rFonts w:ascii="Verdana" w:eastAsia="Times" w:hAnsi="Verdana"/>
          <w:b/>
          <w:bCs/>
          <w:i/>
          <w:sz w:val="20"/>
          <w:szCs w:val="20"/>
        </w:rPr>
        <w:t>taxatividad</w:t>
      </w:r>
      <w:proofErr w:type="spellEnd"/>
      <w:r w:rsidRPr="006A1AC3">
        <w:rPr>
          <w:rFonts w:ascii="Verdana" w:eastAsia="Times" w:hAnsi="Verdana"/>
          <w:b/>
          <w:bCs/>
          <w:i/>
          <w:sz w:val="20"/>
          <w:szCs w:val="20"/>
        </w:rPr>
        <w:t xml:space="preserve"> del artículo </w:t>
      </w:r>
      <w:r w:rsidR="006E56EE" w:rsidRPr="006E56EE">
        <w:rPr>
          <w:rFonts w:ascii="Verdana" w:hAnsi="Verdana" w:cs="Verdana"/>
          <w:b/>
          <w:i/>
          <w:sz w:val="20"/>
          <w:szCs w:val="20"/>
        </w:rPr>
        <w:t>4 del Decreto Ley No. 25475</w:t>
      </w:r>
    </w:p>
    <w:p w:rsidR="00064C1E" w:rsidRPr="006A1AC3" w:rsidRDefault="00064C1E" w:rsidP="0089460F">
      <w:pPr>
        <w:tabs>
          <w:tab w:val="left" w:pos="567"/>
        </w:tabs>
        <w:spacing w:after="0" w:line="240" w:lineRule="auto"/>
        <w:jc w:val="both"/>
        <w:rPr>
          <w:rFonts w:ascii="Verdana" w:eastAsia="Times" w:hAnsi="Verdana"/>
          <w:b/>
          <w:i/>
          <w:sz w:val="20"/>
          <w:szCs w:val="20"/>
        </w:rPr>
      </w:pPr>
    </w:p>
    <w:p w:rsidR="00064C1E" w:rsidRPr="00BE133F" w:rsidRDefault="006E56EE" w:rsidP="007274AC">
      <w:pPr>
        <w:pStyle w:val="Heading1"/>
      </w:pPr>
      <w:r>
        <w:t>B</w:t>
      </w:r>
      <w:r w:rsidR="00064C1E" w:rsidRPr="00BE133F">
        <w:t xml:space="preserve">.1 </w:t>
      </w:r>
      <w:r>
        <w:tab/>
      </w:r>
      <w:r w:rsidR="0089460F">
        <w:t>Argumentos de las partes</w:t>
      </w:r>
      <w:r w:rsidR="007274AC">
        <w:t xml:space="preserve"> y de la Comisión</w:t>
      </w:r>
    </w:p>
    <w:p w:rsidR="00577097" w:rsidRPr="00BE133F" w:rsidRDefault="00577097" w:rsidP="00577097">
      <w:pPr>
        <w:tabs>
          <w:tab w:val="left" w:pos="567"/>
        </w:tabs>
        <w:spacing w:after="0" w:line="240" w:lineRule="auto"/>
        <w:jc w:val="both"/>
        <w:rPr>
          <w:rFonts w:ascii="Verdana" w:eastAsia="Times" w:hAnsi="Verdana"/>
          <w:sz w:val="20"/>
          <w:szCs w:val="20"/>
        </w:rPr>
      </w:pPr>
    </w:p>
    <w:p w:rsidR="006A1AC3" w:rsidRPr="006A1AC3" w:rsidRDefault="00777038" w:rsidP="006A1AC3">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6A1AC3">
        <w:rPr>
          <w:rFonts w:ascii="Verdana" w:hAnsi="Verdana" w:cs="Verdana"/>
          <w:sz w:val="20"/>
          <w:szCs w:val="20"/>
        </w:rPr>
        <w:t xml:space="preserve">El </w:t>
      </w:r>
      <w:r w:rsidR="006A1AC3" w:rsidRPr="006A1AC3">
        <w:rPr>
          <w:rFonts w:ascii="Verdana" w:hAnsi="Verdana" w:cs="Verdana"/>
          <w:b/>
          <w:i/>
          <w:sz w:val="20"/>
          <w:szCs w:val="20"/>
        </w:rPr>
        <w:t>Estado</w:t>
      </w:r>
      <w:r w:rsidRPr="006A1AC3">
        <w:rPr>
          <w:rFonts w:ascii="Verdana" w:hAnsi="Verdana" w:cs="Verdana"/>
          <w:sz w:val="20"/>
          <w:szCs w:val="20"/>
        </w:rPr>
        <w:t xml:space="preserve"> </w:t>
      </w:r>
      <w:r w:rsidR="006A1AC3" w:rsidRPr="006A1AC3">
        <w:rPr>
          <w:rFonts w:ascii="Verdana" w:hAnsi="Verdana" w:cs="Verdana"/>
          <w:sz w:val="20"/>
          <w:szCs w:val="20"/>
        </w:rPr>
        <w:t>señal</w:t>
      </w:r>
      <w:r w:rsidR="00102B8D">
        <w:rPr>
          <w:rFonts w:ascii="Verdana" w:hAnsi="Verdana" w:cs="Verdana"/>
          <w:sz w:val="20"/>
          <w:szCs w:val="20"/>
        </w:rPr>
        <w:t>ó</w:t>
      </w:r>
      <w:r w:rsidR="006A1AC3" w:rsidRPr="006A1AC3">
        <w:rPr>
          <w:rFonts w:ascii="Verdana" w:hAnsi="Verdana" w:cs="Verdana"/>
          <w:sz w:val="20"/>
          <w:szCs w:val="20"/>
        </w:rPr>
        <w:t xml:space="preserve"> que, al analizar la compatibilidad del tipo penal de colaboración con el terrorismo (art</w:t>
      </w:r>
      <w:r w:rsidR="006E56EE">
        <w:rPr>
          <w:rFonts w:ascii="Verdana" w:hAnsi="Verdana" w:cs="Verdana"/>
          <w:sz w:val="20"/>
          <w:szCs w:val="20"/>
        </w:rPr>
        <w:t xml:space="preserve">ículo </w:t>
      </w:r>
      <w:r w:rsidR="006A1AC3" w:rsidRPr="006A1AC3">
        <w:rPr>
          <w:rFonts w:ascii="Verdana" w:hAnsi="Verdana" w:cs="Verdana"/>
          <w:sz w:val="20"/>
          <w:szCs w:val="20"/>
        </w:rPr>
        <w:t xml:space="preserve">321 del Código Penal), en el párrafo 227 de la Sentencia la Corte hizo referencia al caso </w:t>
      </w:r>
      <w:proofErr w:type="spellStart"/>
      <w:r w:rsidR="006A1AC3" w:rsidRPr="006A1AC3">
        <w:rPr>
          <w:rFonts w:ascii="Verdana" w:hAnsi="Verdana" w:cs="Verdana"/>
          <w:i/>
          <w:sz w:val="20"/>
          <w:szCs w:val="20"/>
        </w:rPr>
        <w:t>Lori</w:t>
      </w:r>
      <w:proofErr w:type="spellEnd"/>
      <w:r w:rsidR="006A1AC3" w:rsidRPr="006A1AC3">
        <w:rPr>
          <w:rFonts w:ascii="Verdana" w:hAnsi="Verdana" w:cs="Verdana"/>
          <w:i/>
          <w:sz w:val="20"/>
          <w:szCs w:val="20"/>
        </w:rPr>
        <w:t xml:space="preserve"> </w:t>
      </w:r>
      <w:proofErr w:type="spellStart"/>
      <w:r w:rsidR="006A1AC3" w:rsidRPr="006A1AC3">
        <w:rPr>
          <w:rFonts w:ascii="Verdana" w:hAnsi="Verdana" w:cs="Verdana"/>
          <w:i/>
          <w:sz w:val="20"/>
          <w:szCs w:val="20"/>
        </w:rPr>
        <w:t>Berenson</w:t>
      </w:r>
      <w:proofErr w:type="spellEnd"/>
      <w:r w:rsidR="006A1AC3" w:rsidRPr="006A1AC3">
        <w:rPr>
          <w:rFonts w:ascii="Verdana" w:hAnsi="Verdana" w:cs="Verdana"/>
          <w:i/>
          <w:sz w:val="20"/>
          <w:szCs w:val="20"/>
        </w:rPr>
        <w:t xml:space="preserve"> vs. Perú </w:t>
      </w:r>
      <w:r w:rsidR="006A1AC3" w:rsidRPr="006A1AC3">
        <w:rPr>
          <w:rFonts w:ascii="Verdana" w:hAnsi="Verdana" w:cs="Verdana"/>
          <w:sz w:val="20"/>
          <w:szCs w:val="20"/>
        </w:rPr>
        <w:t xml:space="preserve">pero no al </w:t>
      </w:r>
      <w:r w:rsidR="006A1AC3" w:rsidRPr="006A1AC3">
        <w:rPr>
          <w:rFonts w:ascii="Verdana" w:hAnsi="Verdana" w:cs="Verdana"/>
          <w:i/>
          <w:sz w:val="20"/>
          <w:szCs w:val="20"/>
        </w:rPr>
        <w:t xml:space="preserve">caso García </w:t>
      </w:r>
      <w:proofErr w:type="spellStart"/>
      <w:r w:rsidR="006A1AC3" w:rsidRPr="006A1AC3">
        <w:rPr>
          <w:rFonts w:ascii="Verdana" w:hAnsi="Verdana" w:cs="Verdana"/>
          <w:i/>
          <w:sz w:val="20"/>
          <w:szCs w:val="20"/>
        </w:rPr>
        <w:t>Asto</w:t>
      </w:r>
      <w:proofErr w:type="spellEnd"/>
      <w:r w:rsidR="006A1AC3" w:rsidRPr="006A1AC3">
        <w:rPr>
          <w:rFonts w:ascii="Verdana" w:hAnsi="Verdana" w:cs="Verdana"/>
          <w:i/>
          <w:sz w:val="20"/>
          <w:szCs w:val="20"/>
        </w:rPr>
        <w:t xml:space="preserve"> vs. Perú</w:t>
      </w:r>
      <w:r w:rsidR="006A1AC3" w:rsidRPr="006A1AC3">
        <w:rPr>
          <w:rFonts w:ascii="Verdana" w:hAnsi="Verdana" w:cs="Verdana"/>
          <w:sz w:val="20"/>
          <w:szCs w:val="20"/>
        </w:rPr>
        <w:t xml:space="preserve">, por lo cual no quedó claro si en su jurisprudencia la Corte “ha llegado a analizar o no la falta de </w:t>
      </w:r>
      <w:proofErr w:type="spellStart"/>
      <w:r w:rsidR="006A1AC3" w:rsidRPr="006A1AC3">
        <w:rPr>
          <w:rFonts w:ascii="Verdana" w:hAnsi="Verdana" w:cs="Verdana"/>
          <w:sz w:val="20"/>
          <w:szCs w:val="20"/>
        </w:rPr>
        <w:t>taxatividad</w:t>
      </w:r>
      <w:proofErr w:type="spellEnd"/>
      <w:r w:rsidR="006A1AC3" w:rsidRPr="006A1AC3">
        <w:rPr>
          <w:rFonts w:ascii="Verdana" w:hAnsi="Verdana" w:cs="Verdana"/>
          <w:sz w:val="20"/>
          <w:szCs w:val="20"/>
        </w:rPr>
        <w:t xml:space="preserve"> del artículo 4 del Decreto Ley No. 25475 […] a fin de determinar la compatibilidad del mismo con el artículo 9 de la Convención”. El Estado indic</w:t>
      </w:r>
      <w:r w:rsidR="00102B8D">
        <w:rPr>
          <w:rFonts w:ascii="Verdana" w:hAnsi="Verdana" w:cs="Verdana"/>
          <w:sz w:val="20"/>
          <w:szCs w:val="20"/>
        </w:rPr>
        <w:t>ó</w:t>
      </w:r>
      <w:r w:rsidR="006A1AC3" w:rsidRPr="006A1AC3">
        <w:rPr>
          <w:rFonts w:ascii="Verdana" w:hAnsi="Verdana" w:cs="Verdana"/>
          <w:sz w:val="20"/>
          <w:szCs w:val="20"/>
        </w:rPr>
        <w:t xml:space="preserve"> que </w:t>
      </w:r>
      <w:r w:rsidR="00162CD8">
        <w:rPr>
          <w:rFonts w:ascii="Verdana" w:hAnsi="Verdana" w:cs="Verdana"/>
          <w:sz w:val="20"/>
          <w:szCs w:val="20"/>
        </w:rPr>
        <w:t>ello</w:t>
      </w:r>
      <w:r w:rsidR="006A1AC3" w:rsidRPr="006A1AC3">
        <w:rPr>
          <w:rFonts w:ascii="Verdana" w:hAnsi="Verdana" w:cs="Verdana"/>
          <w:sz w:val="20"/>
          <w:szCs w:val="20"/>
        </w:rPr>
        <w:t xml:space="preserve"> </w:t>
      </w:r>
      <w:r w:rsidR="006A1AC3">
        <w:rPr>
          <w:rFonts w:ascii="Verdana" w:hAnsi="Verdana" w:cs="Verdana"/>
          <w:sz w:val="20"/>
          <w:szCs w:val="20"/>
        </w:rPr>
        <w:t xml:space="preserve">también </w:t>
      </w:r>
      <w:r w:rsidR="006A1AC3" w:rsidRPr="006A1AC3">
        <w:rPr>
          <w:rFonts w:ascii="Verdana" w:hAnsi="Verdana" w:cs="Verdana"/>
          <w:sz w:val="20"/>
          <w:szCs w:val="20"/>
        </w:rPr>
        <w:t xml:space="preserve">tiene relevancia </w:t>
      </w:r>
      <w:r w:rsidR="006A1AC3">
        <w:rPr>
          <w:rFonts w:ascii="Verdana" w:hAnsi="Verdana" w:cs="Verdana"/>
          <w:sz w:val="20"/>
          <w:szCs w:val="20"/>
        </w:rPr>
        <w:t xml:space="preserve">por </w:t>
      </w:r>
      <w:r w:rsidR="006A1AC3" w:rsidRPr="006A1AC3">
        <w:rPr>
          <w:rFonts w:ascii="Verdana" w:hAnsi="Verdana" w:cs="Verdana"/>
          <w:sz w:val="20"/>
          <w:szCs w:val="20"/>
        </w:rPr>
        <w:t xml:space="preserve">la existencia de peticiones y casos que se encuentran en trámite ante la Comisión (en etapa de admisibilidad y fondo), </w:t>
      </w:r>
      <w:r w:rsidR="00162CD8" w:rsidRPr="006A1AC3">
        <w:rPr>
          <w:rFonts w:ascii="Verdana" w:hAnsi="Verdana" w:cs="Verdana"/>
          <w:sz w:val="20"/>
          <w:szCs w:val="20"/>
        </w:rPr>
        <w:t xml:space="preserve">en </w:t>
      </w:r>
      <w:r w:rsidR="00162CD8">
        <w:rPr>
          <w:rFonts w:ascii="Verdana" w:hAnsi="Verdana" w:cs="Verdana"/>
          <w:sz w:val="20"/>
          <w:szCs w:val="20"/>
        </w:rPr>
        <w:t>relación con</w:t>
      </w:r>
      <w:r w:rsidR="00162CD8" w:rsidRPr="006A1AC3">
        <w:rPr>
          <w:rFonts w:ascii="Verdana" w:hAnsi="Verdana" w:cs="Verdana"/>
          <w:sz w:val="20"/>
          <w:szCs w:val="20"/>
        </w:rPr>
        <w:t xml:space="preserve"> personas procesadas o condenadas por delito de terrorismo</w:t>
      </w:r>
      <w:r w:rsidR="00162CD8">
        <w:rPr>
          <w:rFonts w:ascii="Verdana" w:hAnsi="Verdana" w:cs="Verdana"/>
          <w:sz w:val="20"/>
          <w:szCs w:val="20"/>
        </w:rPr>
        <w:t>,</w:t>
      </w:r>
      <w:r w:rsidR="00162CD8" w:rsidRPr="006A1AC3">
        <w:rPr>
          <w:rFonts w:ascii="Verdana" w:hAnsi="Verdana" w:cs="Verdana"/>
          <w:sz w:val="20"/>
          <w:szCs w:val="20"/>
        </w:rPr>
        <w:t xml:space="preserve"> </w:t>
      </w:r>
      <w:r w:rsidR="006A1AC3" w:rsidRPr="006A1AC3">
        <w:rPr>
          <w:rFonts w:ascii="Verdana" w:hAnsi="Verdana" w:cs="Verdana"/>
          <w:sz w:val="20"/>
          <w:szCs w:val="20"/>
        </w:rPr>
        <w:t>y que eventualmente podrí</w:t>
      </w:r>
      <w:r w:rsidR="006A1AC3">
        <w:rPr>
          <w:rFonts w:ascii="Verdana" w:hAnsi="Verdana" w:cs="Verdana"/>
          <w:sz w:val="20"/>
          <w:szCs w:val="20"/>
        </w:rPr>
        <w:t>an ser conocidos por l</w:t>
      </w:r>
      <w:r w:rsidR="006A1AC3" w:rsidRPr="006A1AC3">
        <w:rPr>
          <w:rFonts w:ascii="Verdana" w:hAnsi="Verdana" w:cs="Verdana"/>
          <w:sz w:val="20"/>
          <w:szCs w:val="20"/>
        </w:rPr>
        <w:t>a Corte</w:t>
      </w:r>
      <w:r w:rsidR="006A1AC3">
        <w:rPr>
          <w:rFonts w:ascii="Verdana" w:hAnsi="Verdana" w:cs="Verdana"/>
          <w:sz w:val="20"/>
          <w:szCs w:val="20"/>
        </w:rPr>
        <w:t>.</w:t>
      </w:r>
    </w:p>
    <w:p w:rsidR="00434957" w:rsidRPr="00F8615A" w:rsidRDefault="00434957" w:rsidP="00F8615A">
      <w:pPr>
        <w:tabs>
          <w:tab w:val="left" w:pos="567"/>
        </w:tabs>
        <w:autoSpaceDE w:val="0"/>
        <w:autoSpaceDN w:val="0"/>
        <w:adjustRightInd w:val="0"/>
        <w:spacing w:after="0" w:line="240" w:lineRule="auto"/>
        <w:jc w:val="both"/>
        <w:rPr>
          <w:rFonts w:ascii="Verdana" w:hAnsi="Verdana" w:cs="Verdana"/>
          <w:sz w:val="20"/>
          <w:szCs w:val="20"/>
        </w:rPr>
      </w:pPr>
    </w:p>
    <w:p w:rsidR="00F8615A" w:rsidRDefault="00577097" w:rsidP="00F8615A">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F8615A">
        <w:rPr>
          <w:rFonts w:ascii="Verdana" w:hAnsi="Verdana" w:cs="Verdana"/>
          <w:sz w:val="20"/>
          <w:szCs w:val="20"/>
        </w:rPr>
        <w:t xml:space="preserve">Al respecto, </w:t>
      </w:r>
      <w:r w:rsidR="00284014" w:rsidRPr="00F8615A">
        <w:rPr>
          <w:rFonts w:ascii="Verdana" w:hAnsi="Verdana" w:cs="Verdana"/>
          <w:sz w:val="20"/>
          <w:szCs w:val="20"/>
        </w:rPr>
        <w:t xml:space="preserve">la </w:t>
      </w:r>
      <w:r w:rsidRPr="00F8615A">
        <w:rPr>
          <w:rFonts w:ascii="Verdana" w:hAnsi="Verdana" w:cs="Verdana"/>
          <w:b/>
          <w:i/>
          <w:sz w:val="20"/>
          <w:szCs w:val="20"/>
        </w:rPr>
        <w:t>Comisión</w:t>
      </w:r>
      <w:r w:rsidRPr="00F8615A">
        <w:rPr>
          <w:rFonts w:ascii="Verdana" w:hAnsi="Verdana" w:cs="Verdana"/>
          <w:sz w:val="20"/>
          <w:szCs w:val="20"/>
        </w:rPr>
        <w:t xml:space="preserve"> </w:t>
      </w:r>
      <w:r w:rsidR="00434957" w:rsidRPr="00F8615A">
        <w:rPr>
          <w:rFonts w:ascii="Verdana" w:hAnsi="Verdana" w:cs="Verdana"/>
          <w:sz w:val="20"/>
          <w:szCs w:val="20"/>
        </w:rPr>
        <w:t>consideró</w:t>
      </w:r>
      <w:r w:rsidR="00162CD8">
        <w:rPr>
          <w:rFonts w:ascii="Verdana" w:hAnsi="Verdana" w:cs="Verdana"/>
          <w:sz w:val="20"/>
          <w:szCs w:val="20"/>
        </w:rPr>
        <w:t xml:space="preserve"> que la</w:t>
      </w:r>
      <w:r w:rsidR="00F8615A" w:rsidRPr="00F8615A">
        <w:rPr>
          <w:rFonts w:ascii="Verdana" w:hAnsi="Verdana" w:cs="Verdana"/>
          <w:sz w:val="20"/>
          <w:szCs w:val="20"/>
        </w:rPr>
        <w:t xml:space="preserve"> interpretación</w:t>
      </w:r>
      <w:r w:rsidR="006A1AC3" w:rsidRPr="00F8615A">
        <w:rPr>
          <w:rFonts w:ascii="Verdana" w:hAnsi="Verdana" w:cs="Verdana"/>
          <w:sz w:val="20"/>
          <w:szCs w:val="20"/>
        </w:rPr>
        <w:t xml:space="preserve"> de sentencia no</w:t>
      </w:r>
      <w:r w:rsidR="00F8615A" w:rsidRPr="00F8615A">
        <w:rPr>
          <w:rFonts w:ascii="Verdana" w:hAnsi="Verdana" w:cs="Verdana"/>
          <w:sz w:val="20"/>
          <w:szCs w:val="20"/>
        </w:rPr>
        <w:t xml:space="preserve"> </w:t>
      </w:r>
      <w:r w:rsidR="006A1AC3" w:rsidRPr="00F8615A">
        <w:rPr>
          <w:rFonts w:ascii="Verdana" w:hAnsi="Verdana" w:cs="Verdana"/>
          <w:sz w:val="20"/>
          <w:szCs w:val="20"/>
        </w:rPr>
        <w:t xml:space="preserve">constituye una vía para establecer los alcances </w:t>
      </w:r>
      <w:r w:rsidR="00102B8D">
        <w:rPr>
          <w:rFonts w:ascii="Verdana" w:hAnsi="Verdana" w:cs="Verdana"/>
          <w:sz w:val="20"/>
          <w:szCs w:val="20"/>
        </w:rPr>
        <w:t>de</w:t>
      </w:r>
      <w:r w:rsidR="006A1AC3" w:rsidRPr="00F8615A">
        <w:rPr>
          <w:rFonts w:ascii="Verdana" w:hAnsi="Verdana" w:cs="Verdana"/>
          <w:sz w:val="20"/>
          <w:szCs w:val="20"/>
        </w:rPr>
        <w:t xml:space="preserve"> las determinaciones </w:t>
      </w:r>
      <w:r w:rsidR="00102B8D">
        <w:rPr>
          <w:rFonts w:ascii="Verdana" w:hAnsi="Verdana" w:cs="Verdana"/>
          <w:sz w:val="20"/>
          <w:szCs w:val="20"/>
        </w:rPr>
        <w:t>de</w:t>
      </w:r>
      <w:r w:rsidR="006A1AC3" w:rsidRPr="00F8615A">
        <w:rPr>
          <w:rFonts w:ascii="Verdana" w:hAnsi="Verdana" w:cs="Verdana"/>
          <w:sz w:val="20"/>
          <w:szCs w:val="20"/>
        </w:rPr>
        <w:t xml:space="preserve"> la</w:t>
      </w:r>
      <w:r w:rsidR="00F8615A" w:rsidRPr="00F8615A">
        <w:rPr>
          <w:rFonts w:ascii="Verdana" w:hAnsi="Verdana" w:cs="Verdana"/>
          <w:sz w:val="20"/>
          <w:szCs w:val="20"/>
        </w:rPr>
        <w:t xml:space="preserve"> </w:t>
      </w:r>
      <w:r w:rsidR="006A1AC3" w:rsidRPr="00F8615A">
        <w:rPr>
          <w:rFonts w:ascii="Verdana" w:hAnsi="Verdana" w:cs="Verdana"/>
          <w:sz w:val="20"/>
          <w:szCs w:val="20"/>
        </w:rPr>
        <w:t>Corte en un caso concreto, respecto de otros casos sobre los cuales la Comisión no se ha pronunciado</w:t>
      </w:r>
      <w:r w:rsidR="00F8615A" w:rsidRPr="00F8615A">
        <w:rPr>
          <w:rFonts w:ascii="Verdana" w:hAnsi="Verdana" w:cs="Verdana"/>
          <w:sz w:val="20"/>
          <w:szCs w:val="20"/>
        </w:rPr>
        <w:t xml:space="preserve"> </w:t>
      </w:r>
      <w:r w:rsidR="006A1AC3" w:rsidRPr="00F8615A">
        <w:rPr>
          <w:rFonts w:ascii="Verdana" w:hAnsi="Verdana" w:cs="Verdana"/>
          <w:sz w:val="20"/>
          <w:szCs w:val="20"/>
        </w:rPr>
        <w:t>sobre su admisibilidad y/o fondo y</w:t>
      </w:r>
      <w:r w:rsidR="00102B8D">
        <w:rPr>
          <w:rFonts w:ascii="Verdana" w:hAnsi="Verdana" w:cs="Verdana"/>
          <w:sz w:val="20"/>
          <w:szCs w:val="20"/>
        </w:rPr>
        <w:t>,</w:t>
      </w:r>
      <w:r w:rsidR="006A1AC3" w:rsidRPr="00F8615A">
        <w:rPr>
          <w:rFonts w:ascii="Verdana" w:hAnsi="Verdana" w:cs="Verdana"/>
          <w:sz w:val="20"/>
          <w:szCs w:val="20"/>
        </w:rPr>
        <w:t xml:space="preserve"> por en</w:t>
      </w:r>
      <w:r w:rsidR="00954254">
        <w:rPr>
          <w:rFonts w:ascii="Verdana" w:hAnsi="Verdana" w:cs="Verdana"/>
          <w:sz w:val="20"/>
          <w:szCs w:val="20"/>
        </w:rPr>
        <w:t>d</w:t>
      </w:r>
      <w:r w:rsidR="006A1AC3" w:rsidRPr="00F8615A">
        <w:rPr>
          <w:rFonts w:ascii="Verdana" w:hAnsi="Verdana" w:cs="Verdana"/>
          <w:sz w:val="20"/>
          <w:szCs w:val="20"/>
        </w:rPr>
        <w:t>e, tampoco han sido sometidos a conocimiento</w:t>
      </w:r>
      <w:r w:rsidR="00F8615A" w:rsidRPr="00F8615A">
        <w:rPr>
          <w:rFonts w:ascii="Verdana" w:hAnsi="Verdana" w:cs="Verdana"/>
          <w:sz w:val="20"/>
          <w:szCs w:val="20"/>
        </w:rPr>
        <w:t xml:space="preserve"> </w:t>
      </w:r>
      <w:r w:rsidR="006A1AC3" w:rsidRPr="00F8615A">
        <w:rPr>
          <w:rFonts w:ascii="Verdana" w:hAnsi="Verdana" w:cs="Verdana"/>
          <w:sz w:val="20"/>
          <w:szCs w:val="20"/>
        </w:rPr>
        <w:t>de la Corte</w:t>
      </w:r>
      <w:r w:rsidR="00F8615A" w:rsidRPr="00F8615A">
        <w:rPr>
          <w:rFonts w:ascii="Verdana" w:hAnsi="Verdana" w:cs="Verdana"/>
          <w:sz w:val="20"/>
          <w:szCs w:val="20"/>
        </w:rPr>
        <w:t>. Consideró que el párrafo 227 de la Sentencia es claro y</w:t>
      </w:r>
      <w:r w:rsidR="00102B8D">
        <w:rPr>
          <w:rFonts w:ascii="Verdana" w:hAnsi="Verdana" w:cs="Verdana"/>
          <w:sz w:val="20"/>
          <w:szCs w:val="20"/>
        </w:rPr>
        <w:t xml:space="preserve"> que</w:t>
      </w:r>
      <w:r w:rsidR="00F8615A" w:rsidRPr="00F8615A">
        <w:rPr>
          <w:rFonts w:ascii="Verdana" w:hAnsi="Verdana" w:cs="Verdana"/>
          <w:sz w:val="20"/>
          <w:szCs w:val="20"/>
        </w:rPr>
        <w:t xml:space="preserve"> los distintos alcances que puedan tener las normas mencionadas por el Estado respecto de otros casos debe</w:t>
      </w:r>
      <w:r w:rsidR="00102B8D">
        <w:rPr>
          <w:rFonts w:ascii="Verdana" w:hAnsi="Verdana" w:cs="Verdana"/>
          <w:sz w:val="20"/>
          <w:szCs w:val="20"/>
        </w:rPr>
        <w:t>n</w:t>
      </w:r>
      <w:r w:rsidR="00F8615A" w:rsidRPr="00F8615A">
        <w:rPr>
          <w:rFonts w:ascii="Verdana" w:hAnsi="Verdana" w:cs="Verdana"/>
          <w:sz w:val="20"/>
          <w:szCs w:val="20"/>
        </w:rPr>
        <w:t xml:space="preserve"> ser materia de </w:t>
      </w:r>
      <w:r w:rsidR="00F8615A" w:rsidRPr="00F8615A">
        <w:rPr>
          <w:rFonts w:ascii="Verdana" w:hAnsi="Verdana" w:cs="Verdana"/>
          <w:sz w:val="20"/>
          <w:szCs w:val="20"/>
        </w:rPr>
        <w:lastRenderedPageBreak/>
        <w:t>pronunciamiento en cada caso concreto, pues lo contrario podría implicar un riesgo de prejuzgamiento por parte de la Corte.</w:t>
      </w:r>
    </w:p>
    <w:p w:rsidR="00F8615A" w:rsidRPr="00F8615A" w:rsidRDefault="00F8615A" w:rsidP="00F8615A">
      <w:pPr>
        <w:tabs>
          <w:tab w:val="left" w:pos="567"/>
        </w:tabs>
        <w:autoSpaceDE w:val="0"/>
        <w:autoSpaceDN w:val="0"/>
        <w:adjustRightInd w:val="0"/>
        <w:spacing w:after="0" w:line="240" w:lineRule="auto"/>
        <w:jc w:val="both"/>
        <w:rPr>
          <w:rFonts w:ascii="Verdana" w:hAnsi="Verdana" w:cs="Verdana"/>
          <w:sz w:val="20"/>
          <w:szCs w:val="20"/>
        </w:rPr>
      </w:pPr>
    </w:p>
    <w:p w:rsidR="00FC2B7C" w:rsidRPr="00234CBF" w:rsidRDefault="00102B8D" w:rsidP="00234CBF">
      <w:pPr>
        <w:numPr>
          <w:ilvl w:val="0"/>
          <w:numId w:val="1"/>
        </w:numPr>
        <w:tabs>
          <w:tab w:val="left" w:pos="567"/>
          <w:tab w:val="num" w:pos="720"/>
        </w:tabs>
        <w:autoSpaceDE w:val="0"/>
        <w:autoSpaceDN w:val="0"/>
        <w:adjustRightInd w:val="0"/>
        <w:spacing w:after="0" w:line="240" w:lineRule="auto"/>
        <w:jc w:val="both"/>
        <w:rPr>
          <w:rFonts w:ascii="Verdana" w:hAnsi="Verdana" w:cs="Verdana"/>
          <w:b/>
          <w:sz w:val="20"/>
          <w:szCs w:val="20"/>
        </w:rPr>
      </w:pPr>
      <w:r>
        <w:rPr>
          <w:rFonts w:ascii="Verdana" w:hAnsi="Verdana"/>
          <w:sz w:val="20"/>
          <w:szCs w:val="20"/>
        </w:rPr>
        <w:t>Por parte</w:t>
      </w:r>
      <w:r w:rsidR="00F8615A" w:rsidRPr="006E56EE">
        <w:rPr>
          <w:rFonts w:ascii="Verdana" w:hAnsi="Verdana"/>
          <w:sz w:val="20"/>
          <w:szCs w:val="20"/>
        </w:rPr>
        <w:t xml:space="preserve"> de los </w:t>
      </w:r>
      <w:r w:rsidR="00F8615A" w:rsidRPr="006E56EE">
        <w:rPr>
          <w:rFonts w:ascii="Verdana" w:hAnsi="Verdana"/>
          <w:b/>
          <w:i/>
          <w:sz w:val="20"/>
          <w:szCs w:val="20"/>
        </w:rPr>
        <w:t>representantes</w:t>
      </w:r>
      <w:r w:rsidR="00F8615A" w:rsidRPr="006E56EE">
        <w:rPr>
          <w:rFonts w:ascii="Verdana" w:hAnsi="Verdana"/>
          <w:sz w:val="20"/>
          <w:szCs w:val="20"/>
        </w:rPr>
        <w:t>,</w:t>
      </w:r>
      <w:r w:rsidR="00A5262F" w:rsidRPr="006E56EE">
        <w:rPr>
          <w:rFonts w:ascii="Verdana" w:hAnsi="Verdana"/>
          <w:sz w:val="20"/>
          <w:szCs w:val="20"/>
        </w:rPr>
        <w:t xml:space="preserve"> </w:t>
      </w:r>
      <w:r w:rsidR="00F8615A" w:rsidRPr="006E56EE">
        <w:rPr>
          <w:rFonts w:ascii="Verdana" w:hAnsi="Verdana" w:cs="Verdana"/>
          <w:sz w:val="20"/>
          <w:szCs w:val="20"/>
        </w:rPr>
        <w:t>los defensores</w:t>
      </w:r>
      <w:r w:rsidR="00FC2B7C" w:rsidRPr="006E56EE">
        <w:rPr>
          <w:rFonts w:ascii="Verdana" w:hAnsi="Verdana" w:cs="Verdana"/>
          <w:sz w:val="20"/>
          <w:szCs w:val="20"/>
        </w:rPr>
        <w:t xml:space="preserve"> manifestaron que las preguntas del Estado son pertinentes y que la Corte debe aclarar “de manera más profunda por qué [</w:t>
      </w:r>
      <w:r w:rsidR="00234CBF">
        <w:rPr>
          <w:rFonts w:ascii="Verdana" w:hAnsi="Verdana" w:cs="Verdana"/>
          <w:sz w:val="20"/>
          <w:szCs w:val="20"/>
        </w:rPr>
        <w:t>el artículo 4</w:t>
      </w:r>
      <w:r w:rsidR="00234CBF" w:rsidRPr="00234CBF">
        <w:rPr>
          <w:rFonts w:ascii="Verdana" w:hAnsi="Verdana" w:cs="Verdana"/>
          <w:sz w:val="20"/>
          <w:szCs w:val="20"/>
        </w:rPr>
        <w:t xml:space="preserve"> del Decreto Ley N° 25475</w:t>
      </w:r>
      <w:r w:rsidR="00FC2B7C" w:rsidRPr="006E56EE">
        <w:rPr>
          <w:rFonts w:ascii="Verdana" w:hAnsi="Verdana" w:cs="Verdana"/>
          <w:sz w:val="20"/>
          <w:szCs w:val="20"/>
        </w:rPr>
        <w:t xml:space="preserve">] </w:t>
      </w:r>
      <w:r w:rsidR="00234CBF">
        <w:rPr>
          <w:rFonts w:ascii="Verdana" w:hAnsi="Verdana" w:cs="Verdana"/>
          <w:sz w:val="20"/>
          <w:szCs w:val="20"/>
        </w:rPr>
        <w:t xml:space="preserve">está </w:t>
      </w:r>
      <w:r w:rsidR="00FC2B7C" w:rsidRPr="006E56EE">
        <w:rPr>
          <w:rFonts w:ascii="Verdana" w:hAnsi="Verdana" w:cs="Verdana"/>
          <w:sz w:val="20"/>
          <w:szCs w:val="20"/>
        </w:rPr>
        <w:t>en consonancia con el principio de legalidad”</w:t>
      </w:r>
      <w:r w:rsidR="00F8615A" w:rsidRPr="006E56EE">
        <w:rPr>
          <w:rFonts w:ascii="Verdana" w:hAnsi="Verdana" w:cs="Verdana"/>
          <w:sz w:val="20"/>
          <w:szCs w:val="20"/>
        </w:rPr>
        <w:t>.</w:t>
      </w:r>
      <w:r w:rsidR="00234CBF">
        <w:rPr>
          <w:rFonts w:ascii="Verdana" w:hAnsi="Verdana" w:cs="Verdana"/>
          <w:sz w:val="20"/>
          <w:szCs w:val="20"/>
        </w:rPr>
        <w:t xml:space="preserve"> </w:t>
      </w:r>
      <w:r>
        <w:rPr>
          <w:rFonts w:ascii="Verdana" w:hAnsi="Verdana" w:cs="Verdana"/>
          <w:sz w:val="20"/>
          <w:szCs w:val="20"/>
        </w:rPr>
        <w:t>E</w:t>
      </w:r>
      <w:r w:rsidR="00F8615A" w:rsidRPr="00234CBF">
        <w:rPr>
          <w:rFonts w:ascii="Verdana" w:hAnsi="Verdana" w:cs="Verdana"/>
          <w:sz w:val="20"/>
          <w:szCs w:val="20"/>
        </w:rPr>
        <w:t xml:space="preserve">l representante Coello manifestó que la Corte no se pronunció sobre </w:t>
      </w:r>
      <w:r w:rsidR="00234CBF">
        <w:rPr>
          <w:rFonts w:ascii="Verdana" w:hAnsi="Verdana" w:cs="Verdana"/>
          <w:sz w:val="20"/>
          <w:szCs w:val="20"/>
        </w:rPr>
        <w:t>ese</w:t>
      </w:r>
      <w:r>
        <w:rPr>
          <w:rFonts w:ascii="Verdana" w:hAnsi="Verdana" w:cs="Verdana"/>
          <w:sz w:val="20"/>
          <w:szCs w:val="20"/>
        </w:rPr>
        <w:t xml:space="preserve"> artículo 4 porque </w:t>
      </w:r>
      <w:r w:rsidR="00F8615A" w:rsidRPr="00234CBF">
        <w:rPr>
          <w:rFonts w:ascii="Verdana" w:hAnsi="Verdana" w:cs="Verdana"/>
          <w:sz w:val="20"/>
          <w:szCs w:val="20"/>
        </w:rPr>
        <w:t xml:space="preserve">esta norma no fue de aplicación en </w:t>
      </w:r>
      <w:r>
        <w:rPr>
          <w:rFonts w:ascii="Verdana" w:hAnsi="Verdana" w:cs="Verdana"/>
          <w:sz w:val="20"/>
          <w:szCs w:val="20"/>
        </w:rPr>
        <w:t xml:space="preserve">este </w:t>
      </w:r>
      <w:r w:rsidR="00F8615A" w:rsidRPr="00234CBF">
        <w:rPr>
          <w:rFonts w:ascii="Verdana" w:hAnsi="Verdana" w:cs="Verdana"/>
          <w:sz w:val="20"/>
          <w:szCs w:val="20"/>
        </w:rPr>
        <w:t>caso por parte de la Corte Suprema</w:t>
      </w:r>
      <w:r>
        <w:rPr>
          <w:rFonts w:ascii="Verdana" w:hAnsi="Verdana" w:cs="Verdana"/>
          <w:sz w:val="20"/>
          <w:szCs w:val="20"/>
        </w:rPr>
        <w:t>, s</w:t>
      </w:r>
      <w:r w:rsidR="00F8615A" w:rsidRPr="00234CBF">
        <w:rPr>
          <w:rFonts w:ascii="Verdana" w:hAnsi="Verdana" w:cs="Verdana"/>
          <w:sz w:val="20"/>
          <w:szCs w:val="20"/>
        </w:rPr>
        <w:t>in</w:t>
      </w:r>
      <w:r w:rsidR="00FC2B7C" w:rsidRPr="00234CBF">
        <w:rPr>
          <w:rFonts w:ascii="Verdana" w:hAnsi="Verdana" w:cs="Verdana"/>
          <w:sz w:val="20"/>
          <w:szCs w:val="20"/>
        </w:rPr>
        <w:t xml:space="preserve"> perjuicio de</w:t>
      </w:r>
      <w:r>
        <w:rPr>
          <w:rFonts w:ascii="Verdana" w:hAnsi="Verdana" w:cs="Verdana"/>
          <w:sz w:val="20"/>
          <w:szCs w:val="20"/>
        </w:rPr>
        <w:t xml:space="preserve"> lo cual </w:t>
      </w:r>
      <w:r w:rsidR="00FC2B7C" w:rsidRPr="00234CBF">
        <w:rPr>
          <w:rFonts w:ascii="Verdana" w:hAnsi="Verdana" w:cs="Verdana"/>
          <w:sz w:val="20"/>
          <w:szCs w:val="20"/>
        </w:rPr>
        <w:t xml:space="preserve">la Corte debe declarar que la acusación fiscal contra el médico Pollo Rivera infringió esa norma y que la Corte Suprema, al sentenciarlo </w:t>
      </w:r>
      <w:r w:rsidR="00D001DE">
        <w:rPr>
          <w:rFonts w:ascii="Verdana" w:hAnsi="Verdana" w:cs="Verdana"/>
          <w:sz w:val="20"/>
          <w:szCs w:val="20"/>
        </w:rPr>
        <w:t xml:space="preserve">con base </w:t>
      </w:r>
      <w:r w:rsidR="00FC2B7C" w:rsidRPr="00234CBF">
        <w:rPr>
          <w:rFonts w:ascii="Verdana" w:hAnsi="Verdana" w:cs="Verdana"/>
          <w:sz w:val="20"/>
          <w:szCs w:val="20"/>
        </w:rPr>
        <w:t>en el artículo 321 del Código Penal por hechos por los cuales no había sido investigado ni acusado</w:t>
      </w:r>
      <w:r w:rsidR="007B5700" w:rsidRPr="00234CBF">
        <w:rPr>
          <w:rFonts w:ascii="Verdana" w:hAnsi="Verdana" w:cs="Verdana"/>
          <w:sz w:val="20"/>
          <w:szCs w:val="20"/>
        </w:rPr>
        <w:t xml:space="preserve"> y con base en la declaración de una testigo “arrepentida”</w:t>
      </w:r>
      <w:r w:rsidR="00FC2B7C" w:rsidRPr="00234CBF">
        <w:rPr>
          <w:rFonts w:ascii="Verdana" w:hAnsi="Verdana" w:cs="Verdana"/>
          <w:sz w:val="20"/>
          <w:szCs w:val="20"/>
        </w:rPr>
        <w:t xml:space="preserve">, violó </w:t>
      </w:r>
      <w:r w:rsidR="00D001DE">
        <w:rPr>
          <w:rFonts w:ascii="Verdana" w:hAnsi="Verdana" w:cs="Verdana"/>
          <w:sz w:val="20"/>
          <w:szCs w:val="20"/>
        </w:rPr>
        <w:t xml:space="preserve">normas </w:t>
      </w:r>
      <w:r w:rsidR="00FC2B7C" w:rsidRPr="00234CBF">
        <w:rPr>
          <w:rFonts w:ascii="Verdana" w:hAnsi="Verdana" w:cs="Verdana"/>
          <w:sz w:val="20"/>
          <w:szCs w:val="20"/>
        </w:rPr>
        <w:t>del Código de Procedimientos Penales</w:t>
      </w:r>
      <w:r w:rsidR="007B5700" w:rsidRPr="00234CBF">
        <w:rPr>
          <w:rFonts w:ascii="Verdana" w:hAnsi="Verdana" w:cs="Verdana"/>
          <w:sz w:val="20"/>
          <w:szCs w:val="20"/>
        </w:rPr>
        <w:t xml:space="preserve"> y el principio de ilicitud de la prueba prohibida</w:t>
      </w:r>
      <w:r w:rsidR="00FC2B7C" w:rsidRPr="00234CBF">
        <w:rPr>
          <w:rFonts w:ascii="Verdana" w:hAnsi="Verdana" w:cs="Verdana"/>
          <w:sz w:val="20"/>
          <w:szCs w:val="20"/>
        </w:rPr>
        <w:t>.</w:t>
      </w:r>
    </w:p>
    <w:p w:rsidR="002A2087" w:rsidRPr="00BE133F" w:rsidRDefault="002A2087" w:rsidP="0089460F">
      <w:pPr>
        <w:tabs>
          <w:tab w:val="left" w:pos="567"/>
        </w:tabs>
        <w:autoSpaceDE w:val="0"/>
        <w:autoSpaceDN w:val="0"/>
        <w:adjustRightInd w:val="0"/>
        <w:spacing w:after="0" w:line="240" w:lineRule="auto"/>
        <w:jc w:val="both"/>
        <w:rPr>
          <w:rFonts w:ascii="Verdana" w:hAnsi="Verdana"/>
          <w:sz w:val="20"/>
          <w:szCs w:val="20"/>
        </w:rPr>
      </w:pPr>
    </w:p>
    <w:p w:rsidR="0089460F" w:rsidRPr="0089460F" w:rsidRDefault="006E56EE" w:rsidP="001D14A6">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B</w:t>
      </w:r>
      <w:r w:rsidR="0089460F" w:rsidRPr="0089460F">
        <w:rPr>
          <w:rFonts w:ascii="Verdana" w:eastAsia="Times" w:hAnsi="Verdana"/>
          <w:i/>
          <w:sz w:val="20"/>
          <w:szCs w:val="20"/>
        </w:rPr>
        <w:t xml:space="preserve">.2 </w:t>
      </w:r>
      <w:r>
        <w:rPr>
          <w:rFonts w:ascii="Verdana" w:eastAsia="Times" w:hAnsi="Verdana"/>
          <w:i/>
          <w:sz w:val="20"/>
          <w:szCs w:val="20"/>
        </w:rPr>
        <w:tab/>
      </w:r>
      <w:r w:rsidR="0089460F" w:rsidRPr="0089460F">
        <w:rPr>
          <w:rFonts w:ascii="Verdana" w:eastAsia="Times" w:hAnsi="Verdana"/>
          <w:i/>
          <w:sz w:val="20"/>
          <w:szCs w:val="20"/>
        </w:rPr>
        <w:t>Consideraciones de la Corte</w:t>
      </w:r>
    </w:p>
    <w:p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rsidR="0089460F" w:rsidRPr="00BE133F" w:rsidRDefault="0089460F" w:rsidP="0089460F">
      <w:pPr>
        <w:numPr>
          <w:ilvl w:val="0"/>
          <w:numId w:val="1"/>
        </w:numPr>
        <w:tabs>
          <w:tab w:val="left" w:pos="567"/>
          <w:tab w:val="num" w:pos="720"/>
        </w:tabs>
        <w:autoSpaceDE w:val="0"/>
        <w:autoSpaceDN w:val="0"/>
        <w:adjustRightInd w:val="0"/>
        <w:spacing w:after="0" w:line="240" w:lineRule="auto"/>
        <w:jc w:val="both"/>
        <w:rPr>
          <w:rFonts w:ascii="Verdana" w:eastAsia="Times" w:hAnsi="Verdana"/>
          <w:sz w:val="20"/>
          <w:szCs w:val="20"/>
          <w:lang w:val="es-ES_tradnl"/>
        </w:rPr>
      </w:pPr>
      <w:r w:rsidRPr="00BE133F">
        <w:rPr>
          <w:rFonts w:ascii="Verdana" w:hAnsi="Verdana"/>
          <w:sz w:val="20"/>
          <w:szCs w:val="20"/>
        </w:rPr>
        <w:t xml:space="preserve">La Corte observa que </w:t>
      </w:r>
      <w:r>
        <w:rPr>
          <w:rFonts w:ascii="Verdana" w:hAnsi="Verdana"/>
          <w:sz w:val="20"/>
          <w:szCs w:val="20"/>
        </w:rPr>
        <w:t>el</w:t>
      </w:r>
      <w:r w:rsidRPr="00BE133F">
        <w:rPr>
          <w:rFonts w:ascii="Verdana" w:hAnsi="Verdana"/>
          <w:sz w:val="20"/>
          <w:szCs w:val="20"/>
        </w:rPr>
        <w:t xml:space="preserve"> párrafo </w:t>
      </w:r>
      <w:r w:rsidR="006E56EE">
        <w:rPr>
          <w:rFonts w:ascii="Verdana" w:hAnsi="Verdana"/>
          <w:sz w:val="20"/>
          <w:szCs w:val="20"/>
        </w:rPr>
        <w:t>227</w:t>
      </w:r>
      <w:r w:rsidRPr="00BE133F">
        <w:rPr>
          <w:rFonts w:ascii="Verdana" w:hAnsi="Verdana"/>
          <w:sz w:val="20"/>
          <w:szCs w:val="20"/>
        </w:rPr>
        <w:t xml:space="preserve"> de la Sentencia </w:t>
      </w:r>
      <w:r>
        <w:rPr>
          <w:rFonts w:ascii="Verdana" w:hAnsi="Verdana"/>
          <w:sz w:val="20"/>
          <w:szCs w:val="20"/>
        </w:rPr>
        <w:t>estableció</w:t>
      </w:r>
      <w:r w:rsidRPr="00BE133F">
        <w:rPr>
          <w:rFonts w:ascii="Verdana" w:hAnsi="Verdana"/>
          <w:sz w:val="20"/>
          <w:szCs w:val="20"/>
        </w:rPr>
        <w:t xml:space="preserve"> que:</w:t>
      </w:r>
    </w:p>
    <w:p w:rsidR="0089460F" w:rsidRPr="00BE133F" w:rsidRDefault="0089460F" w:rsidP="0089460F">
      <w:pPr>
        <w:tabs>
          <w:tab w:val="left" w:pos="567"/>
        </w:tabs>
        <w:autoSpaceDE w:val="0"/>
        <w:autoSpaceDN w:val="0"/>
        <w:adjustRightInd w:val="0"/>
        <w:spacing w:after="0" w:line="240" w:lineRule="auto"/>
        <w:jc w:val="both"/>
        <w:rPr>
          <w:rFonts w:ascii="Verdana" w:eastAsia="Times" w:hAnsi="Verdana"/>
          <w:sz w:val="20"/>
          <w:szCs w:val="20"/>
          <w:lang w:val="es-ES_tradnl"/>
        </w:rPr>
      </w:pPr>
    </w:p>
    <w:p w:rsidR="0089460F" w:rsidRPr="006E56EE" w:rsidRDefault="006E56EE" w:rsidP="007B5700">
      <w:pPr>
        <w:spacing w:after="0" w:line="240" w:lineRule="auto"/>
        <w:ind w:left="709" w:right="117"/>
        <w:jc w:val="both"/>
        <w:rPr>
          <w:rFonts w:ascii="Verdana" w:hAnsi="Verdana"/>
          <w:sz w:val="16"/>
          <w:szCs w:val="18"/>
        </w:rPr>
      </w:pPr>
      <w:r w:rsidRPr="006E56EE">
        <w:rPr>
          <w:rFonts w:ascii="Verdana" w:hAnsi="Verdana" w:cs="Helvetica"/>
          <w:sz w:val="18"/>
          <w:szCs w:val="20"/>
          <w:lang w:val="es-MX" w:bidi="en-US"/>
        </w:rPr>
        <w:t>Cabe precisar que esta Corte no se había pronunciado respecto del artículo 321</w:t>
      </w:r>
      <w:r w:rsidR="00F42181">
        <w:rPr>
          <w:rFonts w:ascii="Verdana" w:hAnsi="Verdana" w:cs="Helvetica"/>
          <w:sz w:val="18"/>
          <w:szCs w:val="20"/>
          <w:lang w:val="es-MX" w:bidi="en-US"/>
        </w:rPr>
        <w:t xml:space="preserve"> [del Código Penal]</w:t>
      </w:r>
      <w:r w:rsidRPr="006E56EE">
        <w:rPr>
          <w:rFonts w:ascii="Verdana" w:hAnsi="Verdana" w:cs="Helvetica"/>
          <w:sz w:val="18"/>
          <w:szCs w:val="20"/>
          <w:lang w:val="es-MX" w:bidi="en-US"/>
        </w:rPr>
        <w:t xml:space="preserve">, como lo sostuvo el Estado, que en sus alegatos finales señaló que “el decreto legislativo 25475, y el tipo penal de colaboración con el terrorismo, en realidad comparado con el artículo 321 del Código Penal, es bastante similar”. Así, señaló que “es una norma diferente pero el tipo penal es el mismo solo que de una norma anterior y es exactamente la misma: colaborar con la finalidad de la organización terrorista” y que, en el </w:t>
      </w:r>
      <w:r w:rsidRPr="006E56EE">
        <w:rPr>
          <w:rFonts w:ascii="Verdana" w:hAnsi="Verdana" w:cs="Helvetica"/>
          <w:i/>
          <w:sz w:val="18"/>
          <w:szCs w:val="20"/>
          <w:lang w:val="es-MX" w:bidi="en-US"/>
        </w:rPr>
        <w:t xml:space="preserve">caso </w:t>
      </w:r>
      <w:proofErr w:type="spellStart"/>
      <w:r w:rsidRPr="006E56EE">
        <w:rPr>
          <w:rFonts w:ascii="Verdana" w:hAnsi="Verdana" w:cs="Helvetica"/>
          <w:i/>
          <w:sz w:val="18"/>
          <w:szCs w:val="20"/>
          <w:lang w:val="es-MX" w:bidi="en-US"/>
        </w:rPr>
        <w:t>Lori</w:t>
      </w:r>
      <w:proofErr w:type="spellEnd"/>
      <w:r w:rsidRPr="006E56EE">
        <w:rPr>
          <w:rFonts w:ascii="Verdana" w:hAnsi="Verdana" w:cs="Helvetica"/>
          <w:i/>
          <w:sz w:val="18"/>
          <w:szCs w:val="20"/>
          <w:lang w:val="es-MX" w:bidi="en-US"/>
        </w:rPr>
        <w:t xml:space="preserve"> </w:t>
      </w:r>
      <w:proofErr w:type="spellStart"/>
      <w:r w:rsidRPr="006E56EE">
        <w:rPr>
          <w:rFonts w:ascii="Verdana" w:hAnsi="Verdana" w:cs="Helvetica"/>
          <w:i/>
          <w:sz w:val="18"/>
          <w:szCs w:val="20"/>
          <w:lang w:val="es-MX" w:bidi="en-US"/>
        </w:rPr>
        <w:t>Berenson</w:t>
      </w:r>
      <w:proofErr w:type="spellEnd"/>
      <w:r w:rsidRPr="006E56EE">
        <w:rPr>
          <w:rFonts w:ascii="Verdana" w:hAnsi="Verdana" w:cs="Helvetica"/>
          <w:sz w:val="18"/>
          <w:szCs w:val="20"/>
          <w:lang w:val="es-MX" w:bidi="en-US"/>
        </w:rPr>
        <w:t>, la Corte ya estimó que dicho tipo penal de colaboración con el terrorismo no es incompatible con el artículo 9 de la Convención.</w:t>
      </w:r>
      <w:r w:rsidRPr="006E56EE">
        <w:rPr>
          <w:color w:val="1F497D"/>
          <w:sz w:val="20"/>
          <w:lang w:val="es-MX"/>
        </w:rPr>
        <w:t xml:space="preserve"> </w:t>
      </w:r>
      <w:r w:rsidRPr="006E56EE">
        <w:rPr>
          <w:rFonts w:ascii="Verdana" w:hAnsi="Verdana" w:cs="Helvetica"/>
          <w:sz w:val="18"/>
          <w:szCs w:val="20"/>
          <w:lang w:val="es-MX" w:bidi="en-US"/>
        </w:rPr>
        <w:t xml:space="preserve">La Corte recuerda que lo considerado en el </w:t>
      </w:r>
      <w:r w:rsidRPr="006E56EE">
        <w:rPr>
          <w:rFonts w:ascii="Verdana" w:hAnsi="Verdana" w:cs="Helvetica"/>
          <w:i/>
          <w:sz w:val="18"/>
          <w:szCs w:val="20"/>
          <w:lang w:val="es-MX" w:bidi="en-US"/>
        </w:rPr>
        <w:t xml:space="preserve">caso </w:t>
      </w:r>
      <w:proofErr w:type="spellStart"/>
      <w:r w:rsidRPr="006E56EE">
        <w:rPr>
          <w:rFonts w:ascii="Verdana" w:hAnsi="Verdana" w:cs="Helvetica"/>
          <w:i/>
          <w:sz w:val="18"/>
          <w:szCs w:val="20"/>
          <w:lang w:val="es-MX" w:bidi="en-US"/>
        </w:rPr>
        <w:t>Lori</w:t>
      </w:r>
      <w:proofErr w:type="spellEnd"/>
      <w:r w:rsidRPr="006E56EE">
        <w:rPr>
          <w:rFonts w:ascii="Verdana" w:hAnsi="Verdana" w:cs="Helvetica"/>
          <w:i/>
          <w:sz w:val="18"/>
          <w:szCs w:val="20"/>
          <w:lang w:val="es-MX" w:bidi="en-US"/>
        </w:rPr>
        <w:t xml:space="preserve"> </w:t>
      </w:r>
      <w:proofErr w:type="spellStart"/>
      <w:r w:rsidRPr="006E56EE">
        <w:rPr>
          <w:rFonts w:ascii="Verdana" w:hAnsi="Verdana" w:cs="Helvetica"/>
          <w:i/>
          <w:sz w:val="18"/>
          <w:szCs w:val="20"/>
          <w:lang w:val="es-MX" w:bidi="en-US"/>
        </w:rPr>
        <w:t>Berenson</w:t>
      </w:r>
      <w:proofErr w:type="spellEnd"/>
      <w:r w:rsidRPr="006E56EE">
        <w:rPr>
          <w:rFonts w:ascii="Verdana" w:hAnsi="Verdana" w:cs="Helvetica"/>
          <w:i/>
          <w:sz w:val="18"/>
          <w:szCs w:val="20"/>
          <w:lang w:val="es-MX" w:bidi="en-US"/>
        </w:rPr>
        <w:t xml:space="preserve"> Mejía Vs. Perú</w:t>
      </w:r>
      <w:r w:rsidRPr="006E56EE">
        <w:rPr>
          <w:rFonts w:ascii="Verdana" w:hAnsi="Verdana" w:cs="Helvetica"/>
          <w:sz w:val="18"/>
          <w:szCs w:val="20"/>
          <w:lang w:val="es-MX" w:bidi="en-US"/>
        </w:rPr>
        <w:t xml:space="preserve"> se refería específicamente a la formulación del delito de colaboración con el terrorismo contenida en el artículo 4 del Decreto Ley No. 25.475 y que el análisis de compatibilidad con el principio de legalidad</w:t>
      </w:r>
      <w:r w:rsidR="00F42181">
        <w:rPr>
          <w:rFonts w:ascii="Verdana" w:hAnsi="Verdana" w:cs="Helvetica"/>
          <w:sz w:val="18"/>
          <w:szCs w:val="20"/>
          <w:lang w:val="es-MX" w:bidi="en-US"/>
        </w:rPr>
        <w:t xml:space="preserve"> [en ese caso]</w:t>
      </w:r>
      <w:r w:rsidRPr="006E56EE">
        <w:rPr>
          <w:rFonts w:ascii="Verdana" w:hAnsi="Verdana" w:cs="Helvetica"/>
          <w:sz w:val="18"/>
          <w:szCs w:val="20"/>
          <w:lang w:val="es-MX" w:bidi="en-US"/>
        </w:rPr>
        <w:t xml:space="preserve"> se limitó a la constatación de que no presentaba las mismas deficiencias que el delito de traición a la patria</w:t>
      </w:r>
      <w:r w:rsidRPr="006E56EE">
        <w:rPr>
          <w:rStyle w:val="FootnoteReference"/>
          <w:rFonts w:ascii="Verdana" w:hAnsi="Verdana" w:cs="Helvetica"/>
          <w:sz w:val="18"/>
          <w:szCs w:val="20"/>
          <w:lang w:val="es-MX" w:bidi="en-US"/>
        </w:rPr>
        <w:footnoteReference w:id="5"/>
      </w:r>
      <w:r w:rsidRPr="006E56EE">
        <w:rPr>
          <w:rFonts w:ascii="Verdana" w:hAnsi="Verdana" w:cs="Helvetica"/>
          <w:sz w:val="18"/>
          <w:szCs w:val="20"/>
          <w:lang w:val="es-MX" w:bidi="en-US"/>
        </w:rPr>
        <w:t xml:space="preserve">. Es decir, en ese caso no se analizó la cuestión de la eventual falta de </w:t>
      </w:r>
      <w:proofErr w:type="spellStart"/>
      <w:r w:rsidRPr="006E56EE">
        <w:rPr>
          <w:rFonts w:ascii="Verdana" w:hAnsi="Verdana" w:cs="Helvetica"/>
          <w:sz w:val="18"/>
          <w:szCs w:val="20"/>
          <w:lang w:val="es-MX" w:bidi="en-US"/>
        </w:rPr>
        <w:t>taxatividad</w:t>
      </w:r>
      <w:proofErr w:type="spellEnd"/>
      <w:r w:rsidRPr="006E56EE">
        <w:rPr>
          <w:rFonts w:ascii="Verdana" w:hAnsi="Verdana" w:cs="Helvetica"/>
          <w:sz w:val="18"/>
          <w:szCs w:val="20"/>
          <w:lang w:val="es-MX" w:bidi="en-US"/>
        </w:rPr>
        <w:t xml:space="preserve"> de esa norma y mucho menos el artículo 321 del Código Penal de 1991, sobre la que ahora se pronuncia, en el sentido de su compatibilidad con la Convención, a condición de atenerse a la antes mencionada interpretación técnica restrictiva.</w:t>
      </w:r>
    </w:p>
    <w:p w:rsidR="0089460F" w:rsidRDefault="0089460F" w:rsidP="00F42181">
      <w:pPr>
        <w:tabs>
          <w:tab w:val="left" w:pos="567"/>
        </w:tabs>
        <w:autoSpaceDE w:val="0"/>
        <w:autoSpaceDN w:val="0"/>
        <w:adjustRightInd w:val="0"/>
        <w:spacing w:after="0" w:line="240" w:lineRule="auto"/>
        <w:jc w:val="both"/>
        <w:rPr>
          <w:rFonts w:ascii="Verdana" w:hAnsi="Verdana"/>
          <w:sz w:val="20"/>
          <w:szCs w:val="20"/>
        </w:rPr>
      </w:pPr>
    </w:p>
    <w:p w:rsidR="00825A70" w:rsidRPr="00825A70" w:rsidRDefault="001B7F53" w:rsidP="006D7104">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E</w:t>
      </w:r>
      <w:r w:rsidR="00F42181" w:rsidRPr="007C5F03">
        <w:rPr>
          <w:rFonts w:ascii="Verdana" w:hAnsi="Verdana"/>
          <w:sz w:val="20"/>
          <w:szCs w:val="20"/>
        </w:rPr>
        <w:t xml:space="preserve">s claro </w:t>
      </w:r>
      <w:r w:rsidR="006D7104" w:rsidRPr="007C5F03">
        <w:rPr>
          <w:rFonts w:ascii="Verdana" w:hAnsi="Verdana"/>
          <w:sz w:val="20"/>
          <w:szCs w:val="20"/>
        </w:rPr>
        <w:t xml:space="preserve">que </w:t>
      </w:r>
      <w:r w:rsidR="00F42181" w:rsidRPr="007C5F03">
        <w:rPr>
          <w:rFonts w:ascii="Verdana" w:hAnsi="Verdana"/>
          <w:sz w:val="20"/>
          <w:szCs w:val="20"/>
        </w:rPr>
        <w:t>la Corte hizo referencia al artículo 4 del Decreto Ley No. 25.475 porque</w:t>
      </w:r>
      <w:r w:rsidR="006D7104" w:rsidRPr="007C5F03">
        <w:rPr>
          <w:rFonts w:ascii="Verdana" w:hAnsi="Verdana"/>
          <w:sz w:val="20"/>
          <w:szCs w:val="20"/>
        </w:rPr>
        <w:t>, aunque en su contestación manifest</w:t>
      </w:r>
      <w:r>
        <w:rPr>
          <w:rFonts w:ascii="Verdana" w:hAnsi="Verdana"/>
          <w:sz w:val="20"/>
          <w:szCs w:val="20"/>
        </w:rPr>
        <w:t>ara</w:t>
      </w:r>
      <w:r w:rsidR="006D7104" w:rsidRPr="007C5F03">
        <w:rPr>
          <w:rFonts w:ascii="Verdana" w:hAnsi="Verdana"/>
          <w:sz w:val="20"/>
          <w:szCs w:val="20"/>
        </w:rPr>
        <w:t xml:space="preserve"> que “</w:t>
      </w:r>
      <w:r w:rsidR="006D7104" w:rsidRPr="007C5F03">
        <w:rPr>
          <w:rFonts w:ascii="Verdana" w:hAnsi="Verdana" w:cs="Helvetica"/>
          <w:sz w:val="20"/>
          <w:szCs w:val="20"/>
          <w:lang w:val="es-MX" w:bidi="en-US"/>
        </w:rPr>
        <w:t>existen notorias diferencias</w:t>
      </w:r>
      <w:r>
        <w:rPr>
          <w:rFonts w:ascii="Verdana" w:hAnsi="Verdana" w:cs="Helvetica"/>
          <w:sz w:val="20"/>
          <w:szCs w:val="20"/>
          <w:lang w:val="es-MX" w:bidi="en-US"/>
        </w:rPr>
        <w:t xml:space="preserve">” </w:t>
      </w:r>
      <w:r w:rsidRPr="007C5F03">
        <w:rPr>
          <w:rFonts w:ascii="Verdana" w:hAnsi="Verdana"/>
          <w:sz w:val="20"/>
          <w:szCs w:val="20"/>
        </w:rPr>
        <w:t>con el referido artículo 321 del Código Penal</w:t>
      </w:r>
      <w:r w:rsidR="006D7104" w:rsidRPr="007C5F03">
        <w:rPr>
          <w:rFonts w:ascii="Verdana" w:hAnsi="Verdana" w:cs="Helvetica"/>
          <w:sz w:val="20"/>
          <w:szCs w:val="20"/>
          <w:lang w:val="es-MX" w:bidi="en-US"/>
        </w:rPr>
        <w:t>,</w:t>
      </w:r>
      <w:r w:rsidR="006D7104" w:rsidRPr="007C5F03">
        <w:rPr>
          <w:rFonts w:ascii="Verdana" w:hAnsi="Verdana"/>
          <w:sz w:val="20"/>
          <w:szCs w:val="20"/>
        </w:rPr>
        <w:t xml:space="preserve"> </w:t>
      </w:r>
      <w:r w:rsidR="00F42181" w:rsidRPr="007C5F03">
        <w:rPr>
          <w:rFonts w:ascii="Verdana" w:hAnsi="Verdana"/>
          <w:sz w:val="20"/>
          <w:szCs w:val="20"/>
        </w:rPr>
        <w:t xml:space="preserve">en sus alegatos finales el Estado </w:t>
      </w:r>
      <w:r>
        <w:rPr>
          <w:rFonts w:ascii="Verdana" w:hAnsi="Verdana"/>
          <w:sz w:val="20"/>
          <w:szCs w:val="20"/>
        </w:rPr>
        <w:t>pretendió compararlos</w:t>
      </w:r>
      <w:r w:rsidR="00F42181" w:rsidRPr="007C5F03">
        <w:rPr>
          <w:rFonts w:ascii="Verdana" w:hAnsi="Verdana"/>
          <w:sz w:val="20"/>
          <w:szCs w:val="20"/>
        </w:rPr>
        <w:t xml:space="preserve">, </w:t>
      </w:r>
      <w:r w:rsidR="006D7104" w:rsidRPr="007C5F03">
        <w:rPr>
          <w:rFonts w:ascii="Verdana" w:hAnsi="Verdana"/>
          <w:sz w:val="20"/>
          <w:szCs w:val="20"/>
        </w:rPr>
        <w:t>aun siendo claro que en este caso la norma aplicada fue ésta y no aquélla</w:t>
      </w:r>
      <w:r w:rsidR="007C5F03" w:rsidRPr="007C5F03">
        <w:rPr>
          <w:rFonts w:ascii="Verdana" w:hAnsi="Verdana"/>
          <w:sz w:val="20"/>
          <w:szCs w:val="20"/>
        </w:rPr>
        <w:t xml:space="preserve"> (</w:t>
      </w:r>
      <w:r w:rsidR="007C5F03" w:rsidRPr="007C5F03">
        <w:rPr>
          <w:rFonts w:ascii="Verdana" w:hAnsi="Verdana"/>
          <w:i/>
          <w:sz w:val="20"/>
          <w:szCs w:val="20"/>
        </w:rPr>
        <w:t xml:space="preserve">supra </w:t>
      </w:r>
      <w:r w:rsidR="00954254">
        <w:rPr>
          <w:rFonts w:ascii="Verdana" w:hAnsi="Verdana"/>
          <w:sz w:val="20"/>
          <w:szCs w:val="20"/>
        </w:rPr>
        <w:t>párr. 13</w:t>
      </w:r>
      <w:r w:rsidR="007C5F03" w:rsidRPr="007C5F03">
        <w:rPr>
          <w:rFonts w:ascii="Verdana" w:hAnsi="Verdana"/>
          <w:sz w:val="20"/>
          <w:szCs w:val="20"/>
        </w:rPr>
        <w:t>)</w:t>
      </w:r>
      <w:r w:rsidR="006D7104" w:rsidRPr="007C5F03">
        <w:rPr>
          <w:rFonts w:ascii="Verdana" w:hAnsi="Verdana"/>
          <w:sz w:val="20"/>
          <w:szCs w:val="20"/>
        </w:rPr>
        <w:t xml:space="preserve">. </w:t>
      </w:r>
      <w:r w:rsidR="007C5F03" w:rsidRPr="007C5F03">
        <w:rPr>
          <w:rFonts w:ascii="Verdana" w:hAnsi="Verdana"/>
          <w:sz w:val="20"/>
          <w:szCs w:val="20"/>
        </w:rPr>
        <w:t xml:space="preserve">En este sentido, en el párrafo 213 de la Sentencia se dejó claro que, </w:t>
      </w:r>
      <w:r w:rsidR="007C5F03" w:rsidRPr="00825A70">
        <w:rPr>
          <w:rFonts w:ascii="Verdana" w:hAnsi="Verdana" w:cs="Verdana"/>
          <w:sz w:val="20"/>
          <w:szCs w:val="20"/>
        </w:rPr>
        <w:t>si bien la acusación de la Fiscalía y la condena impuesta al señor Pollo Rivera en la sentencia de la Sala Nacional de Terrorismo estuvo fundada en un primer momento en el artículo 4 del Decreto Ley No 25475, al resolver un recurso de nulidad interpuesto contra tal sentencia, la Corte Suprema de Justicia modificó la sentencia y dispuso que el artículo 321 del Código Penal de 1991 era la norma que regía la punibilidad, atendiendo que los actos de colaboración supuestamente perpetrados por el señor Pollo Rivera se dieron durante la vigencia de esta norma.</w:t>
      </w:r>
      <w:r w:rsidR="007C5F03" w:rsidRPr="007C5F03">
        <w:rPr>
          <w:rFonts w:ascii="Verdana" w:hAnsi="Verdana" w:cs="Verdana"/>
          <w:sz w:val="20"/>
          <w:szCs w:val="20"/>
        </w:rPr>
        <w:t xml:space="preserve"> </w:t>
      </w:r>
    </w:p>
    <w:p w:rsidR="00825A70" w:rsidRPr="00825A70" w:rsidRDefault="00825A70" w:rsidP="00825A70">
      <w:pPr>
        <w:tabs>
          <w:tab w:val="left" w:pos="567"/>
        </w:tabs>
        <w:autoSpaceDE w:val="0"/>
        <w:autoSpaceDN w:val="0"/>
        <w:adjustRightInd w:val="0"/>
        <w:spacing w:after="0" w:line="240" w:lineRule="auto"/>
        <w:jc w:val="both"/>
        <w:rPr>
          <w:rFonts w:ascii="Verdana" w:hAnsi="Verdana"/>
          <w:sz w:val="20"/>
          <w:szCs w:val="20"/>
        </w:rPr>
      </w:pPr>
    </w:p>
    <w:p w:rsidR="007B5700" w:rsidRPr="00825A70" w:rsidRDefault="00825A70" w:rsidP="00F42181">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825A70">
        <w:rPr>
          <w:rFonts w:ascii="Verdana" w:hAnsi="Verdana" w:cs="Verdana"/>
          <w:sz w:val="20"/>
          <w:szCs w:val="20"/>
        </w:rPr>
        <w:t>En esos términos</w:t>
      </w:r>
      <w:r w:rsidR="007C5F03" w:rsidRPr="00825A70">
        <w:rPr>
          <w:rFonts w:ascii="Verdana" w:hAnsi="Verdana" w:cs="Verdana"/>
          <w:sz w:val="20"/>
          <w:szCs w:val="20"/>
        </w:rPr>
        <w:t>,</w:t>
      </w:r>
      <w:r w:rsidRPr="00825A70">
        <w:rPr>
          <w:rFonts w:ascii="Verdana" w:hAnsi="Verdana" w:cs="Verdana"/>
          <w:sz w:val="20"/>
          <w:szCs w:val="20"/>
        </w:rPr>
        <w:t xml:space="preserve"> es claro que</w:t>
      </w:r>
      <w:r w:rsidR="007C5F03" w:rsidRPr="00825A70">
        <w:rPr>
          <w:rFonts w:ascii="Verdana" w:hAnsi="Verdana" w:cs="Verdana"/>
          <w:sz w:val="20"/>
          <w:szCs w:val="20"/>
        </w:rPr>
        <w:t xml:space="preserve"> </w:t>
      </w:r>
      <w:r w:rsidR="001B7F53" w:rsidRPr="00F66689">
        <w:rPr>
          <w:rFonts w:ascii="Verdana" w:hAnsi="Verdana" w:cs="Verdana"/>
          <w:sz w:val="20"/>
          <w:szCs w:val="20"/>
        </w:rPr>
        <w:t xml:space="preserve">la Corte </w:t>
      </w:r>
      <w:r w:rsidR="001B7F53">
        <w:rPr>
          <w:rFonts w:ascii="Verdana" w:hAnsi="Verdana" w:cs="Verdana"/>
          <w:sz w:val="20"/>
          <w:szCs w:val="20"/>
        </w:rPr>
        <w:t xml:space="preserve">analizó </w:t>
      </w:r>
      <w:r w:rsidR="007C5F03" w:rsidRPr="00825A70">
        <w:rPr>
          <w:rFonts w:ascii="Verdana" w:hAnsi="Verdana" w:cs="Verdana"/>
          <w:sz w:val="20"/>
          <w:szCs w:val="20"/>
        </w:rPr>
        <w:t xml:space="preserve">la norma penal efectivamente aplicada en el caso </w:t>
      </w:r>
      <w:r w:rsidR="001B7F53">
        <w:rPr>
          <w:rFonts w:ascii="Verdana" w:hAnsi="Verdana" w:cs="Verdana"/>
          <w:sz w:val="20"/>
          <w:szCs w:val="20"/>
        </w:rPr>
        <w:t xml:space="preserve">del señor </w:t>
      </w:r>
      <w:r w:rsidR="007C5F03" w:rsidRPr="00825A70">
        <w:rPr>
          <w:rFonts w:ascii="Verdana" w:hAnsi="Verdana" w:cs="Verdana"/>
          <w:sz w:val="20"/>
          <w:szCs w:val="20"/>
        </w:rPr>
        <w:t xml:space="preserve">Pollo Rivera, por lo que evidentemente </w:t>
      </w:r>
      <w:r w:rsidR="00F42181" w:rsidRPr="00F66689">
        <w:rPr>
          <w:rFonts w:ascii="Verdana" w:hAnsi="Verdana" w:cs="Verdana"/>
          <w:sz w:val="20"/>
          <w:szCs w:val="20"/>
        </w:rPr>
        <w:t xml:space="preserve">no </w:t>
      </w:r>
      <w:r w:rsidR="006D7104" w:rsidRPr="00F66689">
        <w:rPr>
          <w:rFonts w:ascii="Verdana" w:hAnsi="Verdana" w:cs="Verdana"/>
          <w:sz w:val="20"/>
          <w:szCs w:val="20"/>
        </w:rPr>
        <w:t>se pronunció</w:t>
      </w:r>
      <w:r w:rsidR="007C5F03" w:rsidRPr="00F66689">
        <w:rPr>
          <w:rFonts w:ascii="Verdana" w:hAnsi="Verdana" w:cs="Verdana"/>
          <w:sz w:val="20"/>
          <w:szCs w:val="20"/>
        </w:rPr>
        <w:t xml:space="preserve"> </w:t>
      </w:r>
      <w:r w:rsidRPr="00F66689">
        <w:rPr>
          <w:rFonts w:ascii="Verdana" w:hAnsi="Verdana" w:cs="Verdana"/>
          <w:sz w:val="20"/>
          <w:szCs w:val="20"/>
        </w:rPr>
        <w:t>sobre</w:t>
      </w:r>
      <w:r w:rsidR="007C5F03" w:rsidRPr="00F66689">
        <w:rPr>
          <w:rFonts w:ascii="Verdana" w:hAnsi="Verdana" w:cs="Verdana"/>
          <w:sz w:val="20"/>
          <w:szCs w:val="20"/>
        </w:rPr>
        <w:t xml:space="preserve"> la posible falta de </w:t>
      </w:r>
      <w:proofErr w:type="spellStart"/>
      <w:r w:rsidR="007C5F03" w:rsidRPr="00F66689">
        <w:rPr>
          <w:rFonts w:ascii="Verdana" w:hAnsi="Verdana" w:cs="Verdana"/>
          <w:sz w:val="20"/>
          <w:szCs w:val="20"/>
        </w:rPr>
        <w:t>taxatividad</w:t>
      </w:r>
      <w:proofErr w:type="spellEnd"/>
      <w:r w:rsidR="007C5F03" w:rsidRPr="00F66689">
        <w:rPr>
          <w:rFonts w:ascii="Verdana" w:hAnsi="Verdana" w:cs="Verdana"/>
          <w:sz w:val="20"/>
          <w:szCs w:val="20"/>
        </w:rPr>
        <w:t xml:space="preserve"> del artículo 4 del Decreto Ley No. 25.475 ni acerca de su compatibilidad </w:t>
      </w:r>
      <w:r w:rsidR="007C5F03" w:rsidRPr="00F66689">
        <w:rPr>
          <w:rFonts w:ascii="Verdana" w:hAnsi="Verdana" w:cs="Verdana"/>
          <w:sz w:val="20"/>
          <w:szCs w:val="20"/>
        </w:rPr>
        <w:lastRenderedPageBreak/>
        <w:t xml:space="preserve">con la Convención. </w:t>
      </w:r>
      <w:r w:rsidR="007C5F03" w:rsidRPr="00825A70">
        <w:rPr>
          <w:rFonts w:ascii="Verdana" w:hAnsi="Verdana" w:cs="Verdana"/>
          <w:sz w:val="20"/>
          <w:szCs w:val="20"/>
        </w:rPr>
        <w:t xml:space="preserve">En consecuencia, </w:t>
      </w:r>
      <w:r w:rsidRPr="00825A70">
        <w:rPr>
          <w:rFonts w:ascii="Verdana" w:hAnsi="Verdana" w:cs="Verdana"/>
          <w:sz w:val="20"/>
          <w:szCs w:val="20"/>
        </w:rPr>
        <w:t xml:space="preserve">esta disposición no fue </w:t>
      </w:r>
      <w:r w:rsidR="00F42181" w:rsidRPr="00F66689">
        <w:rPr>
          <w:rFonts w:ascii="Verdana" w:hAnsi="Verdana" w:cs="Verdana"/>
          <w:sz w:val="20"/>
          <w:szCs w:val="20"/>
        </w:rPr>
        <w:t>objeto de pronunciamiento en este caso</w:t>
      </w:r>
      <w:r w:rsidRPr="00F66689">
        <w:rPr>
          <w:rFonts w:ascii="Verdana" w:hAnsi="Verdana" w:cs="Verdana"/>
          <w:sz w:val="20"/>
          <w:szCs w:val="20"/>
        </w:rPr>
        <w:t xml:space="preserve"> y lo decidido en Sentencia </w:t>
      </w:r>
      <w:r w:rsidR="001B7F53">
        <w:rPr>
          <w:rFonts w:ascii="Verdana" w:hAnsi="Verdana" w:cs="Verdana"/>
          <w:sz w:val="20"/>
          <w:szCs w:val="20"/>
        </w:rPr>
        <w:t xml:space="preserve">no </w:t>
      </w:r>
      <w:r w:rsidR="00444B1E">
        <w:rPr>
          <w:rFonts w:ascii="Verdana" w:hAnsi="Verdana" w:cs="Verdana"/>
          <w:sz w:val="20"/>
          <w:szCs w:val="20"/>
        </w:rPr>
        <w:t>abre juicio acerca de</w:t>
      </w:r>
      <w:r w:rsidRPr="00F66689">
        <w:rPr>
          <w:rFonts w:ascii="Verdana" w:hAnsi="Verdana" w:cs="Verdana"/>
          <w:sz w:val="20"/>
          <w:szCs w:val="20"/>
        </w:rPr>
        <w:t xml:space="preserve"> un </w:t>
      </w:r>
      <w:r w:rsidR="001B7F53">
        <w:rPr>
          <w:rFonts w:ascii="Verdana" w:hAnsi="Verdana" w:cs="Verdana"/>
          <w:sz w:val="20"/>
          <w:szCs w:val="20"/>
        </w:rPr>
        <w:t xml:space="preserve">eventual </w:t>
      </w:r>
      <w:r w:rsidRPr="00F66689">
        <w:rPr>
          <w:rFonts w:ascii="Verdana" w:hAnsi="Verdana" w:cs="Verdana"/>
          <w:sz w:val="20"/>
          <w:szCs w:val="20"/>
        </w:rPr>
        <w:t>análisis de la misma en otros casos</w:t>
      </w:r>
      <w:r w:rsidR="00F42181" w:rsidRPr="00F66689">
        <w:rPr>
          <w:rFonts w:ascii="Verdana" w:hAnsi="Verdana" w:cs="Verdana"/>
          <w:sz w:val="20"/>
          <w:szCs w:val="20"/>
        </w:rPr>
        <w:t>.</w:t>
      </w:r>
      <w:r w:rsidRPr="00F66689">
        <w:rPr>
          <w:rFonts w:ascii="Verdana" w:hAnsi="Verdana" w:cs="Verdana"/>
          <w:sz w:val="20"/>
          <w:szCs w:val="20"/>
        </w:rPr>
        <w:t xml:space="preserve"> </w:t>
      </w:r>
      <w:r w:rsidR="00F42181" w:rsidRPr="00F66689">
        <w:rPr>
          <w:rFonts w:ascii="Verdana" w:hAnsi="Verdana" w:cs="Verdana"/>
          <w:sz w:val="20"/>
          <w:szCs w:val="20"/>
        </w:rPr>
        <w:t xml:space="preserve">Por ende, </w:t>
      </w:r>
      <w:r w:rsidR="00F66689" w:rsidRPr="00F66689">
        <w:rPr>
          <w:rFonts w:ascii="Verdana" w:hAnsi="Verdana" w:cs="Verdana"/>
          <w:sz w:val="20"/>
          <w:szCs w:val="20"/>
        </w:rPr>
        <w:t xml:space="preserve">la solicitud de interpretación formulada en este sentido no se encuentra dentro del marco establecido en </w:t>
      </w:r>
      <w:r w:rsidR="001B7F53">
        <w:rPr>
          <w:rFonts w:ascii="Verdana" w:hAnsi="Verdana" w:cs="Verdana"/>
          <w:sz w:val="20"/>
          <w:szCs w:val="20"/>
        </w:rPr>
        <w:t>el artículo 67 de la Convención</w:t>
      </w:r>
      <w:r w:rsidR="00F66689" w:rsidRPr="00F66689">
        <w:rPr>
          <w:rFonts w:ascii="Verdana" w:hAnsi="Verdana" w:cs="Verdana"/>
          <w:sz w:val="20"/>
          <w:szCs w:val="20"/>
        </w:rPr>
        <w:t xml:space="preserve">. En consecuencia, </w:t>
      </w:r>
      <w:r w:rsidR="00F42181" w:rsidRPr="00F66689">
        <w:rPr>
          <w:rFonts w:ascii="Verdana" w:hAnsi="Verdana" w:cs="Verdana"/>
          <w:sz w:val="20"/>
          <w:szCs w:val="20"/>
        </w:rPr>
        <w:t>sobre este punto la solicitud</w:t>
      </w:r>
      <w:r w:rsidRPr="00F66689">
        <w:rPr>
          <w:rFonts w:ascii="Verdana" w:hAnsi="Verdana" w:cs="Verdana"/>
          <w:sz w:val="20"/>
          <w:szCs w:val="20"/>
        </w:rPr>
        <w:t xml:space="preserve"> </w:t>
      </w:r>
      <w:r w:rsidR="00F66689" w:rsidRPr="00F66689">
        <w:rPr>
          <w:rFonts w:ascii="Verdana" w:hAnsi="Verdana" w:cs="Verdana"/>
          <w:sz w:val="20"/>
          <w:szCs w:val="20"/>
        </w:rPr>
        <w:t>es improcedente</w:t>
      </w:r>
      <w:r w:rsidR="00F42181" w:rsidRPr="00F66689">
        <w:rPr>
          <w:rFonts w:ascii="Verdana" w:hAnsi="Verdana" w:cs="Verdana"/>
          <w:sz w:val="20"/>
          <w:szCs w:val="20"/>
        </w:rPr>
        <w:t>.</w:t>
      </w:r>
    </w:p>
    <w:p w:rsidR="0089460F" w:rsidRPr="00BE133F" w:rsidRDefault="0089460F" w:rsidP="0089460F">
      <w:pPr>
        <w:spacing w:after="0" w:line="240" w:lineRule="auto"/>
        <w:jc w:val="both"/>
        <w:rPr>
          <w:rFonts w:ascii="Verdana" w:hAnsi="Verdana"/>
          <w:sz w:val="20"/>
          <w:szCs w:val="20"/>
        </w:rPr>
      </w:pPr>
    </w:p>
    <w:p w:rsidR="00577097" w:rsidRPr="00E91F7B" w:rsidRDefault="00E91F7B" w:rsidP="0089460F">
      <w:pPr>
        <w:pStyle w:val="ListParagraph"/>
        <w:numPr>
          <w:ilvl w:val="0"/>
          <w:numId w:val="3"/>
        </w:numPr>
        <w:tabs>
          <w:tab w:val="left" w:pos="567"/>
        </w:tabs>
        <w:spacing w:after="0" w:line="240" w:lineRule="auto"/>
        <w:jc w:val="both"/>
        <w:rPr>
          <w:rFonts w:ascii="Verdana" w:eastAsia="Times" w:hAnsi="Verdana"/>
          <w:b/>
          <w:i/>
          <w:sz w:val="20"/>
          <w:szCs w:val="20"/>
        </w:rPr>
      </w:pPr>
      <w:r w:rsidRPr="00E91F7B">
        <w:rPr>
          <w:rFonts w:ascii="Verdana" w:eastAsia="Times" w:hAnsi="Verdana"/>
          <w:b/>
          <w:bCs/>
          <w:i/>
          <w:sz w:val="20"/>
          <w:szCs w:val="20"/>
        </w:rPr>
        <w:t xml:space="preserve">Sobre si lo establecido en el párrafo 252 de la Sentencia indica alguna vía idónea o correcta para </w:t>
      </w:r>
      <w:r w:rsidR="002D0F33">
        <w:rPr>
          <w:rFonts w:ascii="Verdana" w:eastAsia="Times" w:hAnsi="Verdana"/>
          <w:b/>
          <w:bCs/>
          <w:i/>
          <w:sz w:val="20"/>
          <w:szCs w:val="20"/>
        </w:rPr>
        <w:t xml:space="preserve">fundamentar una </w:t>
      </w:r>
      <w:r w:rsidRPr="00E91F7B">
        <w:rPr>
          <w:rFonts w:ascii="Verdana" w:eastAsia="Times" w:hAnsi="Verdana"/>
          <w:b/>
          <w:bCs/>
          <w:i/>
          <w:sz w:val="20"/>
          <w:szCs w:val="20"/>
        </w:rPr>
        <w:t xml:space="preserve">condena en </w:t>
      </w:r>
      <w:r>
        <w:rPr>
          <w:rFonts w:ascii="Verdana" w:eastAsia="Times" w:hAnsi="Verdana"/>
          <w:b/>
          <w:bCs/>
          <w:i/>
          <w:sz w:val="20"/>
          <w:szCs w:val="20"/>
        </w:rPr>
        <w:t xml:space="preserve">aplicación </w:t>
      </w:r>
      <w:r w:rsidRPr="00E91F7B">
        <w:rPr>
          <w:rFonts w:ascii="Verdana" w:eastAsia="Times" w:hAnsi="Verdana"/>
          <w:b/>
          <w:bCs/>
          <w:i/>
          <w:sz w:val="20"/>
          <w:szCs w:val="20"/>
        </w:rPr>
        <w:t xml:space="preserve">de alguna de </w:t>
      </w:r>
      <w:r>
        <w:rPr>
          <w:rFonts w:ascii="Verdana" w:eastAsia="Times" w:hAnsi="Verdana"/>
          <w:b/>
          <w:bCs/>
          <w:i/>
          <w:sz w:val="20"/>
          <w:szCs w:val="20"/>
        </w:rPr>
        <w:t>teoría</w:t>
      </w:r>
      <w:r w:rsidRPr="00E91F7B">
        <w:rPr>
          <w:rFonts w:ascii="Verdana" w:eastAsia="Times" w:hAnsi="Verdana"/>
          <w:b/>
          <w:bCs/>
          <w:i/>
          <w:sz w:val="20"/>
          <w:szCs w:val="20"/>
        </w:rPr>
        <w:t xml:space="preserve"> de</w:t>
      </w:r>
      <w:r w:rsidR="002D0F33">
        <w:rPr>
          <w:rFonts w:ascii="Verdana" w:eastAsia="Times" w:hAnsi="Verdana"/>
          <w:b/>
          <w:bCs/>
          <w:i/>
          <w:sz w:val="20"/>
          <w:szCs w:val="20"/>
        </w:rPr>
        <w:t>l</w:t>
      </w:r>
      <w:r w:rsidRPr="00E91F7B">
        <w:rPr>
          <w:rFonts w:ascii="Verdana" w:eastAsia="Times" w:hAnsi="Verdana"/>
          <w:b/>
          <w:bCs/>
          <w:i/>
          <w:sz w:val="20"/>
          <w:szCs w:val="20"/>
        </w:rPr>
        <w:t xml:space="preserve"> derecho penal</w:t>
      </w:r>
      <w:r w:rsidR="002D0F33">
        <w:rPr>
          <w:rFonts w:ascii="Verdana" w:eastAsia="Times" w:hAnsi="Verdana"/>
          <w:b/>
          <w:bCs/>
          <w:i/>
          <w:sz w:val="20"/>
          <w:szCs w:val="20"/>
        </w:rPr>
        <w:t xml:space="preserve"> de autor</w:t>
      </w:r>
    </w:p>
    <w:p w:rsidR="0089460F" w:rsidRDefault="0089460F" w:rsidP="0089460F">
      <w:pPr>
        <w:tabs>
          <w:tab w:val="left" w:pos="567"/>
        </w:tabs>
        <w:spacing w:after="0" w:line="240" w:lineRule="auto"/>
        <w:jc w:val="both"/>
        <w:rPr>
          <w:rFonts w:ascii="Verdana" w:eastAsia="Times" w:hAnsi="Verdana"/>
          <w:b/>
          <w:i/>
          <w:sz w:val="20"/>
          <w:szCs w:val="20"/>
        </w:rPr>
      </w:pPr>
    </w:p>
    <w:p w:rsidR="0089460F" w:rsidRPr="0089460F" w:rsidRDefault="002A2087" w:rsidP="001D14A6">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C</w:t>
      </w:r>
      <w:r w:rsidR="0089460F" w:rsidRPr="00BE133F">
        <w:rPr>
          <w:rFonts w:ascii="Verdana" w:eastAsia="Times" w:hAnsi="Verdana"/>
          <w:i/>
          <w:sz w:val="20"/>
          <w:szCs w:val="20"/>
        </w:rPr>
        <w:t xml:space="preserve">.1 </w:t>
      </w:r>
      <w:r w:rsidR="0089460F">
        <w:rPr>
          <w:rFonts w:ascii="Verdana" w:eastAsia="Times" w:hAnsi="Verdana"/>
          <w:i/>
          <w:sz w:val="20"/>
          <w:szCs w:val="20"/>
        </w:rPr>
        <w:t>Argumentos de las partes</w:t>
      </w:r>
      <w:r w:rsidR="007274AC">
        <w:rPr>
          <w:rFonts w:ascii="Verdana" w:eastAsia="Times" w:hAnsi="Verdana"/>
          <w:i/>
          <w:sz w:val="20"/>
          <w:szCs w:val="20"/>
        </w:rPr>
        <w:t xml:space="preserve"> y de la Comisión</w:t>
      </w:r>
    </w:p>
    <w:p w:rsidR="00064C1E" w:rsidRPr="00BE133F" w:rsidRDefault="00064C1E" w:rsidP="00577097">
      <w:pPr>
        <w:tabs>
          <w:tab w:val="left" w:pos="567"/>
        </w:tabs>
        <w:spacing w:after="0" w:line="240" w:lineRule="auto"/>
        <w:jc w:val="both"/>
        <w:rPr>
          <w:rFonts w:ascii="Verdana" w:eastAsia="Times" w:hAnsi="Verdana"/>
          <w:sz w:val="20"/>
          <w:szCs w:val="20"/>
          <w:lang w:val="es-ES_tradnl"/>
        </w:rPr>
      </w:pPr>
    </w:p>
    <w:p w:rsidR="000A4AD3" w:rsidRPr="000A3AD9" w:rsidRDefault="00513537" w:rsidP="000A3AD9">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0A3AD9">
        <w:rPr>
          <w:rFonts w:ascii="Verdana" w:hAnsi="Verdana" w:cs="Verdana"/>
          <w:sz w:val="20"/>
          <w:szCs w:val="20"/>
        </w:rPr>
        <w:t>E</w:t>
      </w:r>
      <w:r w:rsidR="00577097" w:rsidRPr="000A3AD9">
        <w:rPr>
          <w:rFonts w:ascii="Verdana" w:hAnsi="Verdana" w:cs="Verdana"/>
          <w:sz w:val="20"/>
          <w:szCs w:val="20"/>
        </w:rPr>
        <w:t xml:space="preserve">l </w:t>
      </w:r>
      <w:r w:rsidR="00577097" w:rsidRPr="000A3AD9">
        <w:rPr>
          <w:rFonts w:ascii="Verdana" w:hAnsi="Verdana" w:cs="Verdana"/>
          <w:b/>
          <w:i/>
          <w:sz w:val="20"/>
          <w:szCs w:val="20"/>
        </w:rPr>
        <w:t>Estado</w:t>
      </w:r>
      <w:r w:rsidR="00577097" w:rsidRPr="000A3AD9">
        <w:rPr>
          <w:rFonts w:ascii="Verdana" w:hAnsi="Verdana" w:cs="Verdana"/>
          <w:i/>
          <w:sz w:val="20"/>
          <w:szCs w:val="20"/>
        </w:rPr>
        <w:t xml:space="preserve"> </w:t>
      </w:r>
      <w:r w:rsidR="002D0F33" w:rsidRPr="000A3AD9">
        <w:rPr>
          <w:rFonts w:ascii="Verdana" w:hAnsi="Verdana" w:cs="Verdana"/>
          <w:sz w:val="20"/>
          <w:szCs w:val="20"/>
        </w:rPr>
        <w:t xml:space="preserve">manifestó que </w:t>
      </w:r>
      <w:r w:rsidR="00E71725">
        <w:rPr>
          <w:rFonts w:ascii="Verdana" w:hAnsi="Verdana" w:cs="Verdana"/>
          <w:sz w:val="20"/>
          <w:szCs w:val="20"/>
        </w:rPr>
        <w:t>“</w:t>
      </w:r>
      <w:r w:rsidR="002D0F33" w:rsidRPr="000A3AD9">
        <w:rPr>
          <w:rFonts w:ascii="Verdana" w:hAnsi="Verdana" w:cs="Verdana"/>
          <w:sz w:val="20"/>
          <w:szCs w:val="20"/>
        </w:rPr>
        <w:t xml:space="preserve">los criterios esbozados en </w:t>
      </w:r>
      <w:r w:rsidR="00954254">
        <w:rPr>
          <w:rFonts w:ascii="Verdana" w:hAnsi="Verdana" w:cs="Verdana"/>
          <w:sz w:val="20"/>
          <w:szCs w:val="20"/>
        </w:rPr>
        <w:t>[</w:t>
      </w:r>
      <w:r w:rsidR="000A3AD9" w:rsidRPr="000A3AD9">
        <w:rPr>
          <w:rFonts w:ascii="Verdana" w:hAnsi="Verdana" w:cs="Verdana"/>
          <w:sz w:val="20"/>
          <w:szCs w:val="20"/>
        </w:rPr>
        <w:t>las sentencias de la Corte</w:t>
      </w:r>
      <w:r w:rsidR="00954254">
        <w:rPr>
          <w:rFonts w:ascii="Verdana" w:hAnsi="Verdana" w:cs="Verdana"/>
          <w:sz w:val="20"/>
          <w:szCs w:val="20"/>
        </w:rPr>
        <w:t>]</w:t>
      </w:r>
      <w:r w:rsidR="000A3AD9" w:rsidRPr="000A3AD9">
        <w:rPr>
          <w:rFonts w:ascii="Verdana" w:hAnsi="Verdana" w:cs="Verdana"/>
          <w:sz w:val="20"/>
          <w:szCs w:val="20"/>
        </w:rPr>
        <w:t xml:space="preserve"> </w:t>
      </w:r>
      <w:r w:rsidR="002D0F33" w:rsidRPr="000A3AD9">
        <w:rPr>
          <w:rFonts w:ascii="Verdana" w:hAnsi="Verdana" w:cs="Verdana"/>
          <w:sz w:val="20"/>
          <w:szCs w:val="20"/>
        </w:rPr>
        <w:t>constituyen pautas que deben orientar la labor de los Estados</w:t>
      </w:r>
      <w:r w:rsidR="00E71725">
        <w:rPr>
          <w:rFonts w:ascii="Verdana" w:hAnsi="Verdana" w:cs="Verdana"/>
          <w:sz w:val="20"/>
          <w:szCs w:val="20"/>
        </w:rPr>
        <w:t>”</w:t>
      </w:r>
      <w:r w:rsidR="002D0F33" w:rsidRPr="000A3AD9">
        <w:rPr>
          <w:rFonts w:ascii="Verdana" w:hAnsi="Verdana" w:cs="Verdana"/>
          <w:sz w:val="20"/>
          <w:szCs w:val="20"/>
        </w:rPr>
        <w:t xml:space="preserve"> y </w:t>
      </w:r>
      <w:r w:rsidR="00435FE0">
        <w:rPr>
          <w:rFonts w:ascii="Verdana" w:hAnsi="Verdana" w:cs="Verdana"/>
          <w:sz w:val="20"/>
          <w:szCs w:val="20"/>
        </w:rPr>
        <w:t>que</w:t>
      </w:r>
      <w:r w:rsidR="000A3AD9">
        <w:rPr>
          <w:rFonts w:ascii="Verdana" w:hAnsi="Verdana" w:cs="Verdana"/>
          <w:sz w:val="20"/>
          <w:szCs w:val="20"/>
        </w:rPr>
        <w:t xml:space="preserve"> </w:t>
      </w:r>
      <w:r w:rsidR="002D0F33" w:rsidRPr="000A3AD9">
        <w:rPr>
          <w:rFonts w:ascii="Verdana" w:hAnsi="Verdana" w:cs="Verdana"/>
          <w:sz w:val="20"/>
          <w:szCs w:val="20"/>
        </w:rPr>
        <w:t>este punto tiene un impacto concreto y directo para orientar futuros casos que puedan ser conocidos por los órganos de justicia internos (especialmente Ministerio Publico y Poder Judicial). De ese modo,</w:t>
      </w:r>
      <w:r w:rsidR="000A3AD9" w:rsidRPr="000A3AD9">
        <w:rPr>
          <w:rFonts w:ascii="Verdana" w:hAnsi="Verdana" w:cs="Verdana"/>
          <w:sz w:val="20"/>
          <w:szCs w:val="20"/>
        </w:rPr>
        <w:t xml:space="preserve"> el Estado</w:t>
      </w:r>
      <w:r w:rsidR="002D0F33" w:rsidRPr="000A3AD9">
        <w:rPr>
          <w:rFonts w:ascii="Verdana" w:hAnsi="Verdana" w:cs="Verdana"/>
          <w:sz w:val="20"/>
          <w:szCs w:val="20"/>
        </w:rPr>
        <w:t xml:space="preserve"> preguntó</w:t>
      </w:r>
      <w:r w:rsidR="000A3AD9" w:rsidRPr="000A3AD9">
        <w:rPr>
          <w:rFonts w:ascii="Verdana" w:hAnsi="Verdana" w:cs="Verdana"/>
          <w:sz w:val="20"/>
          <w:szCs w:val="20"/>
        </w:rPr>
        <w:t xml:space="preserve"> cuál sería la vía o teoría más idónea a que se refiere la Corte en </w:t>
      </w:r>
      <w:r w:rsidR="002D0F33" w:rsidRPr="000A3AD9">
        <w:rPr>
          <w:rFonts w:ascii="Verdana" w:hAnsi="Verdana" w:cs="Verdana"/>
          <w:sz w:val="20"/>
          <w:szCs w:val="20"/>
        </w:rPr>
        <w:t>el párrafo 252 de la Sentencia</w:t>
      </w:r>
      <w:r w:rsidR="000A3AD9" w:rsidRPr="000A3AD9">
        <w:rPr>
          <w:rFonts w:ascii="Verdana" w:hAnsi="Verdana" w:cs="Verdana"/>
          <w:sz w:val="20"/>
          <w:szCs w:val="20"/>
        </w:rPr>
        <w:t xml:space="preserve"> (que</w:t>
      </w:r>
      <w:r w:rsidR="002D0F33" w:rsidRPr="000A3AD9">
        <w:rPr>
          <w:rFonts w:ascii="Verdana" w:hAnsi="Verdana" w:cs="Verdana"/>
          <w:sz w:val="20"/>
          <w:szCs w:val="20"/>
        </w:rPr>
        <w:t xml:space="preserve"> </w:t>
      </w:r>
      <w:r w:rsidR="000A3AD9" w:rsidRPr="000A3AD9">
        <w:rPr>
          <w:rFonts w:ascii="Verdana" w:hAnsi="Verdana" w:cs="Verdana"/>
          <w:sz w:val="20"/>
          <w:szCs w:val="20"/>
        </w:rPr>
        <w:t>refiere a su vez al “</w:t>
      </w:r>
      <w:r w:rsidR="002D0F33" w:rsidRPr="000A3AD9">
        <w:rPr>
          <w:rFonts w:ascii="Verdana" w:hAnsi="Verdana" w:cs="Verdana"/>
          <w:sz w:val="20"/>
          <w:szCs w:val="20"/>
        </w:rPr>
        <w:t>derecho penal de ánimo</w:t>
      </w:r>
      <w:r w:rsidR="000A3AD9" w:rsidRPr="000A3AD9">
        <w:rPr>
          <w:rFonts w:ascii="Verdana" w:hAnsi="Verdana" w:cs="Verdana"/>
          <w:sz w:val="20"/>
          <w:szCs w:val="20"/>
        </w:rPr>
        <w:t>”</w:t>
      </w:r>
      <w:r w:rsidR="002D0F33" w:rsidRPr="000A3AD9">
        <w:rPr>
          <w:rFonts w:ascii="Verdana" w:hAnsi="Verdana" w:cs="Verdana"/>
          <w:sz w:val="20"/>
          <w:szCs w:val="20"/>
        </w:rPr>
        <w:t xml:space="preserve"> </w:t>
      </w:r>
      <w:r w:rsidR="000A3AD9" w:rsidRPr="000A3AD9">
        <w:rPr>
          <w:rFonts w:ascii="Verdana" w:hAnsi="Verdana" w:cs="Verdana"/>
          <w:sz w:val="20"/>
          <w:szCs w:val="20"/>
        </w:rPr>
        <w:t>y al</w:t>
      </w:r>
      <w:r w:rsidR="002D0F33" w:rsidRPr="000A3AD9">
        <w:rPr>
          <w:rFonts w:ascii="Verdana" w:hAnsi="Verdana" w:cs="Verdana"/>
          <w:sz w:val="20"/>
          <w:szCs w:val="20"/>
        </w:rPr>
        <w:t xml:space="preserve"> </w:t>
      </w:r>
      <w:r w:rsidR="000A3AD9" w:rsidRPr="000A3AD9">
        <w:rPr>
          <w:rFonts w:ascii="Verdana" w:hAnsi="Verdana" w:cs="Verdana"/>
          <w:sz w:val="20"/>
          <w:szCs w:val="20"/>
        </w:rPr>
        <w:t>“</w:t>
      </w:r>
      <w:r w:rsidR="002D0F33" w:rsidRPr="000A3AD9">
        <w:rPr>
          <w:rFonts w:ascii="Verdana" w:hAnsi="Verdana" w:cs="Verdana"/>
          <w:sz w:val="20"/>
          <w:szCs w:val="20"/>
        </w:rPr>
        <w:t>derecho penal de voluntad</w:t>
      </w:r>
      <w:r w:rsidR="000A3AD9" w:rsidRPr="000A3AD9">
        <w:rPr>
          <w:rFonts w:ascii="Verdana" w:hAnsi="Verdana" w:cs="Verdana"/>
          <w:sz w:val="20"/>
          <w:szCs w:val="20"/>
        </w:rPr>
        <w:t>”)</w:t>
      </w:r>
      <w:r w:rsidR="002D0F33" w:rsidRPr="000A3AD9">
        <w:rPr>
          <w:rFonts w:ascii="Verdana" w:hAnsi="Verdana" w:cs="Verdana"/>
          <w:sz w:val="20"/>
          <w:szCs w:val="20"/>
        </w:rPr>
        <w:t xml:space="preserve"> </w:t>
      </w:r>
      <w:r w:rsidR="000A3AD9" w:rsidRPr="000A3AD9">
        <w:rPr>
          <w:rFonts w:ascii="Verdana" w:hAnsi="Verdana" w:cs="Verdana"/>
          <w:sz w:val="20"/>
          <w:szCs w:val="20"/>
        </w:rPr>
        <w:t xml:space="preserve">para “racionalizar” la condena del médico en el supuesto analizado; es decir, si puede entenderse que, en aplicación de alguna de esas teorías, la condena no habría </w:t>
      </w:r>
      <w:r w:rsidR="00E71725">
        <w:rPr>
          <w:rFonts w:ascii="Verdana" w:hAnsi="Verdana" w:cs="Verdana"/>
          <w:sz w:val="20"/>
          <w:szCs w:val="20"/>
        </w:rPr>
        <w:t xml:space="preserve">violado </w:t>
      </w:r>
      <w:r w:rsidR="000A3AD9" w:rsidRPr="000A3AD9">
        <w:rPr>
          <w:rFonts w:ascii="Verdana" w:hAnsi="Verdana" w:cs="Verdana"/>
          <w:sz w:val="20"/>
          <w:szCs w:val="20"/>
        </w:rPr>
        <w:t xml:space="preserve">el artículo 9 de la Convención, aun cuando se </w:t>
      </w:r>
      <w:r w:rsidR="00435FE0">
        <w:rPr>
          <w:rFonts w:ascii="Verdana" w:hAnsi="Verdana" w:cs="Verdana"/>
          <w:sz w:val="20"/>
          <w:szCs w:val="20"/>
        </w:rPr>
        <w:t>tenga</w:t>
      </w:r>
      <w:r w:rsidR="000A3AD9" w:rsidRPr="000A3AD9">
        <w:rPr>
          <w:rFonts w:ascii="Verdana" w:hAnsi="Verdana" w:cs="Verdana"/>
          <w:sz w:val="20"/>
          <w:szCs w:val="20"/>
        </w:rPr>
        <w:t xml:space="preserve"> como base fáctica la comisión de actos atípicos.</w:t>
      </w:r>
    </w:p>
    <w:p w:rsidR="000A3AD9" w:rsidRDefault="000A3AD9" w:rsidP="000A3AD9">
      <w:pPr>
        <w:tabs>
          <w:tab w:val="left" w:pos="567"/>
        </w:tabs>
        <w:autoSpaceDE w:val="0"/>
        <w:autoSpaceDN w:val="0"/>
        <w:adjustRightInd w:val="0"/>
        <w:spacing w:after="0" w:line="240" w:lineRule="auto"/>
        <w:jc w:val="both"/>
        <w:rPr>
          <w:rFonts w:ascii="Verdana" w:hAnsi="Verdana"/>
          <w:sz w:val="20"/>
          <w:szCs w:val="20"/>
        </w:rPr>
      </w:pPr>
    </w:p>
    <w:p w:rsidR="000D29A7" w:rsidRDefault="00D16F26" w:rsidP="00B95CD6">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0D29A7">
        <w:rPr>
          <w:rFonts w:ascii="Verdana" w:hAnsi="Verdana"/>
          <w:sz w:val="20"/>
          <w:szCs w:val="20"/>
        </w:rPr>
        <w:t>L</w:t>
      </w:r>
      <w:r w:rsidR="00577097" w:rsidRPr="000D29A7">
        <w:rPr>
          <w:rFonts w:ascii="Verdana" w:hAnsi="Verdana"/>
          <w:sz w:val="20"/>
          <w:szCs w:val="20"/>
        </w:rPr>
        <w:t xml:space="preserve">a </w:t>
      </w:r>
      <w:r w:rsidR="00577097" w:rsidRPr="000D29A7">
        <w:rPr>
          <w:rFonts w:ascii="Verdana" w:hAnsi="Verdana"/>
          <w:b/>
          <w:i/>
          <w:sz w:val="20"/>
          <w:szCs w:val="20"/>
        </w:rPr>
        <w:t>Comisión</w:t>
      </w:r>
      <w:r w:rsidR="007C7F0E" w:rsidRPr="000D29A7">
        <w:rPr>
          <w:rFonts w:ascii="Verdana" w:hAnsi="Verdana"/>
          <w:sz w:val="20"/>
          <w:szCs w:val="20"/>
        </w:rPr>
        <w:t xml:space="preserve"> </w:t>
      </w:r>
      <w:r w:rsidR="007C7F0E" w:rsidRPr="000D29A7">
        <w:rPr>
          <w:rFonts w:ascii="Verdana" w:hAnsi="Verdana" w:cs="Verdana"/>
          <w:sz w:val="20"/>
          <w:szCs w:val="20"/>
        </w:rPr>
        <w:t>consideró que</w:t>
      </w:r>
      <w:r w:rsidR="00826975">
        <w:rPr>
          <w:rFonts w:ascii="Verdana" w:hAnsi="Verdana" w:cs="Verdana"/>
          <w:sz w:val="20"/>
          <w:szCs w:val="20"/>
        </w:rPr>
        <w:t>,</w:t>
      </w:r>
      <w:r w:rsidR="007C7F0E" w:rsidRPr="000D29A7">
        <w:rPr>
          <w:rFonts w:ascii="Verdana" w:hAnsi="Verdana" w:cs="Verdana"/>
          <w:sz w:val="20"/>
          <w:szCs w:val="20"/>
        </w:rPr>
        <w:t xml:space="preserve"> </w:t>
      </w:r>
      <w:r w:rsidR="00B95CD6" w:rsidRPr="000D29A7">
        <w:rPr>
          <w:rFonts w:ascii="Verdana" w:hAnsi="Verdana" w:cs="Verdana"/>
          <w:sz w:val="20"/>
          <w:szCs w:val="20"/>
        </w:rPr>
        <w:t xml:space="preserve">si bien el Estado se refiere principalmente al contenido del párrafo 252 de la Sentencia, de una lectura integral </w:t>
      </w:r>
      <w:r w:rsidR="00826975">
        <w:rPr>
          <w:rFonts w:ascii="Verdana" w:hAnsi="Verdana" w:cs="Verdana"/>
          <w:sz w:val="20"/>
          <w:szCs w:val="20"/>
        </w:rPr>
        <w:t>de los</w:t>
      </w:r>
      <w:r w:rsidR="00B95CD6" w:rsidRPr="000D29A7">
        <w:rPr>
          <w:rFonts w:ascii="Verdana" w:hAnsi="Verdana" w:cs="Verdana"/>
          <w:sz w:val="20"/>
          <w:szCs w:val="20"/>
        </w:rPr>
        <w:t xml:space="preserve"> párrafo</w:t>
      </w:r>
      <w:r w:rsidR="00826975">
        <w:rPr>
          <w:rFonts w:ascii="Verdana" w:hAnsi="Verdana" w:cs="Verdana"/>
          <w:sz w:val="20"/>
          <w:szCs w:val="20"/>
        </w:rPr>
        <w:t>s</w:t>
      </w:r>
      <w:r w:rsidR="00B95CD6" w:rsidRPr="000D29A7">
        <w:rPr>
          <w:rFonts w:ascii="Verdana" w:hAnsi="Verdana" w:cs="Verdana"/>
          <w:sz w:val="20"/>
          <w:szCs w:val="20"/>
        </w:rPr>
        <w:t xml:space="preserve"> 248 </w:t>
      </w:r>
      <w:r w:rsidR="00826975">
        <w:rPr>
          <w:rFonts w:ascii="Verdana" w:hAnsi="Verdana" w:cs="Verdana"/>
          <w:sz w:val="20"/>
          <w:szCs w:val="20"/>
        </w:rPr>
        <w:t xml:space="preserve">a </w:t>
      </w:r>
      <w:r w:rsidR="00B95CD6" w:rsidRPr="000D29A7">
        <w:rPr>
          <w:rFonts w:ascii="Verdana" w:hAnsi="Verdana" w:cs="Verdana"/>
          <w:sz w:val="20"/>
          <w:szCs w:val="20"/>
        </w:rPr>
        <w:t xml:space="preserve">252, resulta clara la posición de la Corte </w:t>
      </w:r>
      <w:r w:rsidR="00826975">
        <w:rPr>
          <w:rFonts w:ascii="Verdana" w:hAnsi="Verdana" w:cs="Verdana"/>
          <w:sz w:val="20"/>
          <w:szCs w:val="20"/>
        </w:rPr>
        <w:t xml:space="preserve">y </w:t>
      </w:r>
      <w:r w:rsidR="00826975" w:rsidRPr="000D29A7">
        <w:rPr>
          <w:rFonts w:ascii="Verdana" w:hAnsi="Verdana" w:cs="Verdana"/>
          <w:sz w:val="20"/>
          <w:szCs w:val="20"/>
        </w:rPr>
        <w:t xml:space="preserve">el espíritu de la Sentencia </w:t>
      </w:r>
      <w:r w:rsidR="00B95CD6" w:rsidRPr="000D29A7">
        <w:rPr>
          <w:rFonts w:ascii="Verdana" w:hAnsi="Verdana" w:cs="Verdana"/>
          <w:sz w:val="20"/>
          <w:szCs w:val="20"/>
        </w:rPr>
        <w:t>en cuanto a que cualquiera de las manifestaciones del derecho penal del autor es incompatible con el artículo 9 de la Convención</w:t>
      </w:r>
      <w:r w:rsidR="000D29A7" w:rsidRPr="000D29A7">
        <w:rPr>
          <w:rFonts w:ascii="Verdana" w:hAnsi="Verdana" w:cs="Verdana"/>
          <w:sz w:val="20"/>
          <w:szCs w:val="20"/>
        </w:rPr>
        <w:t>.</w:t>
      </w:r>
    </w:p>
    <w:p w:rsidR="000D29A7" w:rsidRPr="000D29A7" w:rsidRDefault="000D29A7" w:rsidP="000D29A7">
      <w:pPr>
        <w:tabs>
          <w:tab w:val="left" w:pos="567"/>
        </w:tabs>
        <w:autoSpaceDE w:val="0"/>
        <w:autoSpaceDN w:val="0"/>
        <w:adjustRightInd w:val="0"/>
        <w:spacing w:after="0" w:line="240" w:lineRule="auto"/>
        <w:jc w:val="both"/>
        <w:rPr>
          <w:rFonts w:ascii="Verdana" w:hAnsi="Verdana" w:cs="Verdana"/>
          <w:sz w:val="20"/>
          <w:szCs w:val="20"/>
        </w:rPr>
      </w:pPr>
    </w:p>
    <w:p w:rsidR="009459FB" w:rsidRPr="000D29A7" w:rsidRDefault="003C7C07" w:rsidP="000D29A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0D29A7">
        <w:rPr>
          <w:rFonts w:ascii="Verdana" w:hAnsi="Verdana"/>
          <w:sz w:val="20"/>
          <w:szCs w:val="20"/>
        </w:rPr>
        <w:t xml:space="preserve">Por parte de los </w:t>
      </w:r>
      <w:r w:rsidR="00D03BF0" w:rsidRPr="000D29A7">
        <w:rPr>
          <w:rFonts w:ascii="Verdana" w:hAnsi="Verdana"/>
          <w:b/>
          <w:i/>
          <w:sz w:val="20"/>
          <w:szCs w:val="20"/>
        </w:rPr>
        <w:t>representante</w:t>
      </w:r>
      <w:r w:rsidRPr="000D29A7">
        <w:rPr>
          <w:rFonts w:ascii="Verdana" w:hAnsi="Verdana"/>
          <w:b/>
          <w:i/>
          <w:sz w:val="20"/>
          <w:szCs w:val="20"/>
        </w:rPr>
        <w:t>s</w:t>
      </w:r>
      <w:r w:rsidRPr="000D29A7">
        <w:rPr>
          <w:rFonts w:ascii="Verdana" w:hAnsi="Verdana"/>
          <w:b/>
          <w:sz w:val="20"/>
          <w:szCs w:val="20"/>
        </w:rPr>
        <w:t xml:space="preserve">, </w:t>
      </w:r>
      <w:r w:rsidR="00C136C6" w:rsidRPr="000D29A7">
        <w:rPr>
          <w:rFonts w:ascii="Verdana" w:hAnsi="Verdana" w:cs="Verdana"/>
          <w:sz w:val="20"/>
          <w:szCs w:val="20"/>
        </w:rPr>
        <w:t>los defensores señalaron</w:t>
      </w:r>
      <w:r w:rsidR="00107EC1">
        <w:rPr>
          <w:rFonts w:ascii="Verdana" w:hAnsi="Verdana" w:cs="Verdana"/>
          <w:sz w:val="20"/>
          <w:szCs w:val="20"/>
        </w:rPr>
        <w:t xml:space="preserve"> que </w:t>
      </w:r>
      <w:r w:rsidR="00B95CD6" w:rsidRPr="000D29A7">
        <w:rPr>
          <w:rFonts w:ascii="Verdana" w:hAnsi="Verdana" w:cs="Verdana"/>
          <w:sz w:val="20"/>
          <w:szCs w:val="20"/>
        </w:rPr>
        <w:t>la Corte “presenta interpretaciones divergentes en párrafos diversos de la sentencia, lo que lleva que la discusión sea oportuna”, pues</w:t>
      </w:r>
      <w:r w:rsidR="000D29A7">
        <w:rPr>
          <w:rFonts w:ascii="Verdana" w:hAnsi="Verdana" w:cs="Verdana"/>
          <w:sz w:val="20"/>
          <w:szCs w:val="20"/>
        </w:rPr>
        <w:t xml:space="preserve"> el párrafo 252</w:t>
      </w:r>
      <w:r w:rsidR="00B95CD6" w:rsidRPr="000D29A7">
        <w:rPr>
          <w:rFonts w:ascii="Verdana" w:hAnsi="Verdana" w:cs="Verdana"/>
          <w:sz w:val="20"/>
          <w:szCs w:val="20"/>
        </w:rPr>
        <w:t xml:space="preserve"> lleva a entender que la utilización de alguna de esas vías del derecho penal </w:t>
      </w:r>
      <w:r w:rsidR="000D29A7">
        <w:rPr>
          <w:rFonts w:ascii="Verdana" w:hAnsi="Verdana" w:cs="Verdana"/>
          <w:sz w:val="20"/>
          <w:szCs w:val="20"/>
        </w:rPr>
        <w:t>serí</w:t>
      </w:r>
      <w:r w:rsidR="00B95CD6" w:rsidRPr="000D29A7">
        <w:rPr>
          <w:rFonts w:ascii="Verdana" w:hAnsi="Verdana" w:cs="Verdana"/>
          <w:sz w:val="20"/>
          <w:szCs w:val="20"/>
        </w:rPr>
        <w:t xml:space="preserve">a idónea, </w:t>
      </w:r>
      <w:r w:rsidR="000D29A7">
        <w:rPr>
          <w:rFonts w:ascii="Verdana" w:hAnsi="Verdana" w:cs="Verdana"/>
          <w:sz w:val="20"/>
          <w:szCs w:val="20"/>
        </w:rPr>
        <w:t xml:space="preserve">cuando </w:t>
      </w:r>
      <w:r w:rsidR="00B95CD6" w:rsidRPr="000D29A7">
        <w:rPr>
          <w:rFonts w:ascii="Verdana" w:hAnsi="Verdana" w:cs="Verdana"/>
          <w:sz w:val="20"/>
          <w:szCs w:val="20"/>
        </w:rPr>
        <w:t xml:space="preserve">antes afirmó que </w:t>
      </w:r>
      <w:r w:rsidR="000D29A7">
        <w:rPr>
          <w:rFonts w:ascii="Verdana" w:hAnsi="Verdana" w:cs="Verdana"/>
          <w:sz w:val="20"/>
          <w:szCs w:val="20"/>
        </w:rPr>
        <w:t xml:space="preserve">tal </w:t>
      </w:r>
      <w:r w:rsidR="00B95CD6" w:rsidRPr="000D29A7">
        <w:rPr>
          <w:rFonts w:ascii="Verdana" w:hAnsi="Verdana" w:cs="Verdana"/>
          <w:sz w:val="20"/>
          <w:szCs w:val="20"/>
        </w:rPr>
        <w:t xml:space="preserve">teoría es contraria a los </w:t>
      </w:r>
      <w:r w:rsidR="000D29A7">
        <w:rPr>
          <w:rFonts w:ascii="Verdana" w:hAnsi="Verdana" w:cs="Verdana"/>
          <w:sz w:val="20"/>
          <w:szCs w:val="20"/>
        </w:rPr>
        <w:t>d</w:t>
      </w:r>
      <w:r w:rsidR="00B95CD6" w:rsidRPr="000D29A7">
        <w:rPr>
          <w:rFonts w:ascii="Verdana" w:hAnsi="Verdana" w:cs="Verdana"/>
          <w:sz w:val="20"/>
          <w:szCs w:val="20"/>
        </w:rPr>
        <w:t xml:space="preserve">erechos </w:t>
      </w:r>
      <w:r w:rsidR="000D29A7">
        <w:rPr>
          <w:rFonts w:ascii="Verdana" w:hAnsi="Verdana" w:cs="Verdana"/>
          <w:sz w:val="20"/>
          <w:szCs w:val="20"/>
        </w:rPr>
        <w:t>h</w:t>
      </w:r>
      <w:r w:rsidR="00B95CD6" w:rsidRPr="000D29A7">
        <w:rPr>
          <w:rFonts w:ascii="Verdana" w:hAnsi="Verdana" w:cs="Verdana"/>
          <w:sz w:val="20"/>
          <w:szCs w:val="20"/>
        </w:rPr>
        <w:t xml:space="preserve">umanos, </w:t>
      </w:r>
      <w:r w:rsidR="000D29A7">
        <w:rPr>
          <w:rFonts w:ascii="Verdana" w:hAnsi="Verdana" w:cs="Verdana"/>
          <w:sz w:val="20"/>
          <w:szCs w:val="20"/>
        </w:rPr>
        <w:t xml:space="preserve">llevando a confusión. </w:t>
      </w:r>
      <w:r w:rsidR="00C136C6" w:rsidRPr="000D29A7">
        <w:rPr>
          <w:rFonts w:ascii="Verdana" w:hAnsi="Verdana" w:cs="Verdana"/>
          <w:sz w:val="20"/>
          <w:szCs w:val="20"/>
        </w:rPr>
        <w:t xml:space="preserve">Por su parte, el representante Coello señaló que </w:t>
      </w:r>
      <w:r w:rsidRPr="000D29A7">
        <w:rPr>
          <w:rFonts w:ascii="Verdana" w:hAnsi="Verdana" w:cs="Verdana"/>
          <w:sz w:val="20"/>
          <w:szCs w:val="20"/>
        </w:rPr>
        <w:t>la Corte en ningún momento ha justificado el actuar de</w:t>
      </w:r>
      <w:r w:rsidR="00C136C6" w:rsidRPr="000D29A7">
        <w:rPr>
          <w:rFonts w:ascii="Verdana" w:hAnsi="Verdana" w:cs="Verdana"/>
          <w:sz w:val="20"/>
          <w:szCs w:val="20"/>
        </w:rPr>
        <w:t xml:space="preserve"> </w:t>
      </w:r>
      <w:r w:rsidRPr="000D29A7">
        <w:rPr>
          <w:rFonts w:ascii="Verdana" w:hAnsi="Verdana" w:cs="Verdana"/>
          <w:sz w:val="20"/>
          <w:szCs w:val="20"/>
        </w:rPr>
        <w:t>la Corte Suprema, ni le ha ofrecido una salida que justifique la ilicitud de la</w:t>
      </w:r>
      <w:r w:rsidR="00C136C6" w:rsidRPr="000D29A7">
        <w:rPr>
          <w:rFonts w:ascii="Verdana" w:hAnsi="Verdana" w:cs="Verdana"/>
          <w:sz w:val="20"/>
          <w:szCs w:val="20"/>
        </w:rPr>
        <w:t xml:space="preserve"> </w:t>
      </w:r>
      <w:r w:rsidRPr="000D29A7">
        <w:rPr>
          <w:rFonts w:ascii="Verdana" w:hAnsi="Verdana" w:cs="Verdana"/>
          <w:sz w:val="20"/>
          <w:szCs w:val="20"/>
        </w:rPr>
        <w:t>condena que se aplicó a la víctima</w:t>
      </w:r>
      <w:r w:rsidR="00C136C6" w:rsidRPr="000D29A7">
        <w:rPr>
          <w:rFonts w:ascii="Verdana" w:hAnsi="Verdana" w:cs="Verdana"/>
          <w:sz w:val="20"/>
          <w:szCs w:val="20"/>
        </w:rPr>
        <w:t>.</w:t>
      </w:r>
    </w:p>
    <w:p w:rsidR="00577097" w:rsidRPr="002D0F33" w:rsidRDefault="00577097" w:rsidP="002D0F33">
      <w:pPr>
        <w:tabs>
          <w:tab w:val="left" w:pos="567"/>
        </w:tabs>
        <w:autoSpaceDE w:val="0"/>
        <w:autoSpaceDN w:val="0"/>
        <w:adjustRightInd w:val="0"/>
        <w:spacing w:after="0" w:line="240" w:lineRule="auto"/>
        <w:jc w:val="both"/>
        <w:rPr>
          <w:rFonts w:ascii="Verdana" w:hAnsi="Verdana"/>
          <w:sz w:val="20"/>
          <w:szCs w:val="20"/>
        </w:rPr>
      </w:pPr>
    </w:p>
    <w:p w:rsidR="00577097" w:rsidRPr="0089460F" w:rsidRDefault="002D0F33" w:rsidP="001D14A6">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C</w:t>
      </w:r>
      <w:r w:rsidR="0089460F" w:rsidRPr="0089460F">
        <w:rPr>
          <w:rFonts w:ascii="Verdana" w:eastAsia="Times" w:hAnsi="Verdana"/>
          <w:i/>
          <w:sz w:val="20"/>
          <w:szCs w:val="20"/>
        </w:rPr>
        <w:t xml:space="preserve">.2 </w:t>
      </w:r>
      <w:r w:rsidR="00577097" w:rsidRPr="0089460F">
        <w:rPr>
          <w:rFonts w:ascii="Verdana" w:eastAsia="Times" w:hAnsi="Verdana"/>
          <w:i/>
          <w:sz w:val="20"/>
          <w:szCs w:val="20"/>
        </w:rPr>
        <w:t>Consideraciones de la Corte</w:t>
      </w:r>
    </w:p>
    <w:p w:rsidR="00161EF0" w:rsidRPr="00BE133F" w:rsidRDefault="00161EF0" w:rsidP="00161EF0">
      <w:pPr>
        <w:tabs>
          <w:tab w:val="left" w:pos="567"/>
        </w:tabs>
        <w:autoSpaceDE w:val="0"/>
        <w:autoSpaceDN w:val="0"/>
        <w:adjustRightInd w:val="0"/>
        <w:spacing w:after="0" w:line="240" w:lineRule="auto"/>
        <w:jc w:val="both"/>
        <w:rPr>
          <w:rFonts w:ascii="Verdana" w:eastAsia="Times" w:hAnsi="Verdana"/>
          <w:sz w:val="20"/>
          <w:szCs w:val="20"/>
        </w:rPr>
      </w:pPr>
    </w:p>
    <w:bookmarkEnd w:id="10"/>
    <w:p w:rsidR="000A3AD9" w:rsidRPr="000D29A7" w:rsidRDefault="000D29A7" w:rsidP="000A3AD9">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0D29A7">
        <w:rPr>
          <w:rFonts w:ascii="Verdana" w:hAnsi="Verdana" w:cs="Verdana"/>
          <w:sz w:val="20"/>
          <w:szCs w:val="20"/>
        </w:rPr>
        <w:t xml:space="preserve">En relación con lo planteado por el Estado, es oportuno recordar que la Corte concluyó </w:t>
      </w:r>
      <w:r w:rsidRPr="000D29A7">
        <w:rPr>
          <w:rFonts w:ascii="Verdana" w:hAnsi="Verdana"/>
          <w:sz w:val="20"/>
          <w:lang w:val="es-MX"/>
        </w:rPr>
        <w:t>que la sentenc</w:t>
      </w:r>
      <w:r w:rsidR="0045112D">
        <w:rPr>
          <w:rFonts w:ascii="Verdana" w:hAnsi="Verdana"/>
          <w:sz w:val="20"/>
          <w:lang w:val="es-MX"/>
        </w:rPr>
        <w:t>ia del tribunal nacional incurrió</w:t>
      </w:r>
      <w:r w:rsidRPr="000D29A7">
        <w:rPr>
          <w:rFonts w:ascii="Verdana" w:hAnsi="Verdana"/>
          <w:sz w:val="20"/>
          <w:lang w:val="es-MX"/>
        </w:rPr>
        <w:t xml:space="preserve"> en la contradicción de considerar típicos los actos médicos q</w:t>
      </w:r>
      <w:r w:rsidR="0045112D">
        <w:rPr>
          <w:rFonts w:ascii="Verdana" w:hAnsi="Verdana"/>
          <w:sz w:val="20"/>
          <w:lang w:val="es-MX"/>
        </w:rPr>
        <w:t>ue la propia sentencia consideró</w:t>
      </w:r>
      <w:r w:rsidR="00E71725">
        <w:rPr>
          <w:rFonts w:ascii="Verdana" w:hAnsi="Verdana"/>
          <w:sz w:val="20"/>
          <w:lang w:val="es-MX"/>
        </w:rPr>
        <w:t xml:space="preserve"> atípicos </w:t>
      </w:r>
      <w:r>
        <w:rPr>
          <w:rFonts w:ascii="Verdana" w:hAnsi="Verdana" w:cs="Helvetica"/>
          <w:sz w:val="20"/>
          <w:szCs w:val="20"/>
          <w:lang w:val="es-MX" w:bidi="en-US"/>
        </w:rPr>
        <w:t>“</w:t>
      </w:r>
      <w:r w:rsidRPr="000D29A7">
        <w:rPr>
          <w:rFonts w:ascii="Verdana" w:hAnsi="Verdana" w:cs="Helvetica"/>
          <w:sz w:val="20"/>
          <w:szCs w:val="20"/>
          <w:lang w:val="es-MX" w:bidi="en-US"/>
        </w:rPr>
        <w:t>porque en la circunstancia concreta, en el contexto y en medio de una lucha contra un terrorismo particularmente violento, el médico sabía que con eso cooperaba con el grupo terrorista, por lo cual se lo considera parte y de lo cual era consciente al poner a su servicio esa actividad</w:t>
      </w:r>
      <w:r w:rsidR="00E71725">
        <w:rPr>
          <w:rFonts w:ascii="Verdana" w:hAnsi="Verdana" w:cs="Helvetica"/>
          <w:sz w:val="20"/>
          <w:szCs w:val="20"/>
          <w:lang w:val="es-MX" w:bidi="en-US"/>
        </w:rPr>
        <w:t>” (párrafo 242</w:t>
      </w:r>
      <w:r w:rsidR="00954254">
        <w:rPr>
          <w:rFonts w:ascii="Verdana" w:hAnsi="Verdana" w:cs="Helvetica"/>
          <w:sz w:val="20"/>
          <w:szCs w:val="20"/>
          <w:lang w:val="es-MX" w:bidi="en-US"/>
        </w:rPr>
        <w:t xml:space="preserve"> de la Sentencia</w:t>
      </w:r>
      <w:r w:rsidR="00E71725">
        <w:rPr>
          <w:rFonts w:ascii="Verdana" w:hAnsi="Verdana" w:cs="Helvetica"/>
          <w:sz w:val="20"/>
          <w:szCs w:val="20"/>
          <w:lang w:val="es-MX" w:bidi="en-US"/>
        </w:rPr>
        <w:t xml:space="preserve">). </w:t>
      </w:r>
      <w:r w:rsidR="000F3570">
        <w:rPr>
          <w:rFonts w:ascii="Verdana" w:hAnsi="Verdana" w:cs="Helvetica"/>
          <w:sz w:val="20"/>
          <w:szCs w:val="20"/>
          <w:lang w:val="es-MX" w:bidi="en-US"/>
        </w:rPr>
        <w:t>Tal razonamiento</w:t>
      </w:r>
      <w:r w:rsidRPr="000D29A7">
        <w:rPr>
          <w:rFonts w:ascii="Verdana" w:hAnsi="Verdana" w:cs="Helvetica"/>
          <w:sz w:val="20"/>
          <w:szCs w:val="20"/>
          <w:lang w:val="es-MX" w:bidi="en-US"/>
        </w:rPr>
        <w:t xml:space="preserve"> presenta</w:t>
      </w:r>
      <w:r>
        <w:rPr>
          <w:rFonts w:ascii="Verdana" w:hAnsi="Verdana" w:cs="Helvetica"/>
          <w:sz w:val="20"/>
          <w:szCs w:val="20"/>
          <w:lang w:val="es-MX" w:bidi="en-US"/>
        </w:rPr>
        <w:t>ba</w:t>
      </w:r>
      <w:r w:rsidRPr="000D29A7">
        <w:rPr>
          <w:rFonts w:ascii="Verdana" w:hAnsi="Verdana" w:cs="Helvetica"/>
          <w:sz w:val="20"/>
          <w:szCs w:val="20"/>
          <w:lang w:val="es-MX" w:bidi="en-US"/>
        </w:rPr>
        <w:t xml:space="preserve"> varios problemas</w:t>
      </w:r>
      <w:r w:rsidR="000F3570">
        <w:rPr>
          <w:rFonts w:ascii="Verdana" w:hAnsi="Verdana" w:cs="Helvetica"/>
          <w:sz w:val="20"/>
          <w:szCs w:val="20"/>
          <w:lang w:val="es-MX" w:bidi="en-US"/>
        </w:rPr>
        <w:t>, los</w:t>
      </w:r>
      <w:r w:rsidRPr="000D29A7">
        <w:rPr>
          <w:rFonts w:ascii="Verdana" w:hAnsi="Verdana" w:cs="Helvetica"/>
          <w:sz w:val="20"/>
          <w:szCs w:val="20"/>
          <w:lang w:val="es-MX" w:bidi="en-US"/>
        </w:rPr>
        <w:t xml:space="preserve"> que </w:t>
      </w:r>
      <w:r>
        <w:rPr>
          <w:rFonts w:ascii="Verdana" w:hAnsi="Verdana" w:cs="Helvetica"/>
          <w:sz w:val="20"/>
          <w:szCs w:val="20"/>
          <w:lang w:val="es-MX" w:bidi="en-US"/>
        </w:rPr>
        <w:t>fueron</w:t>
      </w:r>
      <w:r w:rsidRPr="000D29A7">
        <w:rPr>
          <w:rFonts w:ascii="Verdana" w:hAnsi="Verdana" w:cs="Helvetica"/>
          <w:sz w:val="20"/>
          <w:szCs w:val="20"/>
          <w:lang w:val="es-MX" w:bidi="en-US"/>
        </w:rPr>
        <w:t xml:space="preserve"> analizados </w:t>
      </w:r>
      <w:r>
        <w:rPr>
          <w:rFonts w:ascii="Verdana" w:hAnsi="Verdana" w:cs="Helvetica"/>
          <w:sz w:val="20"/>
          <w:szCs w:val="20"/>
          <w:lang w:val="es-MX" w:bidi="en-US"/>
        </w:rPr>
        <w:t>en los párrafos</w:t>
      </w:r>
      <w:r w:rsidR="0045112D">
        <w:rPr>
          <w:rFonts w:ascii="Verdana" w:hAnsi="Verdana" w:cs="Helvetica"/>
          <w:sz w:val="20"/>
          <w:szCs w:val="20"/>
          <w:lang w:val="es-MX" w:bidi="en-US"/>
        </w:rPr>
        <w:t xml:space="preserve"> </w:t>
      </w:r>
      <w:r w:rsidR="000F3570">
        <w:rPr>
          <w:rFonts w:ascii="Verdana" w:hAnsi="Verdana" w:cs="Helvetica"/>
          <w:sz w:val="20"/>
          <w:szCs w:val="20"/>
          <w:lang w:val="es-MX" w:bidi="en-US"/>
        </w:rPr>
        <w:t>246 a 253 de la Sentencia, en los siguientes términos</w:t>
      </w:r>
      <w:r w:rsidR="0045112D">
        <w:rPr>
          <w:rFonts w:ascii="Verdana" w:hAnsi="Verdana" w:cs="Helvetica"/>
          <w:sz w:val="20"/>
          <w:szCs w:val="20"/>
          <w:lang w:val="es-MX" w:bidi="en-US"/>
        </w:rPr>
        <w:t>:</w:t>
      </w:r>
    </w:p>
    <w:p w:rsidR="000D29A7" w:rsidRDefault="000D29A7" w:rsidP="000A3AD9">
      <w:pPr>
        <w:spacing w:after="0" w:line="240" w:lineRule="auto"/>
        <w:jc w:val="both"/>
        <w:rPr>
          <w:rFonts w:ascii="Verdana" w:hAnsi="Verdana"/>
          <w:sz w:val="20"/>
          <w:szCs w:val="20"/>
        </w:rPr>
      </w:pPr>
    </w:p>
    <w:p w:rsidR="0045112D" w:rsidRPr="0045112D" w:rsidRDefault="000F3570" w:rsidP="0045112D">
      <w:pPr>
        <w:autoSpaceDE w:val="0"/>
        <w:autoSpaceDN w:val="0"/>
        <w:adjustRightInd w:val="0"/>
        <w:spacing w:after="0" w:line="240" w:lineRule="auto"/>
        <w:ind w:left="720" w:right="49"/>
        <w:contextualSpacing/>
        <w:jc w:val="both"/>
        <w:rPr>
          <w:rFonts w:ascii="Verdana" w:hAnsi="Verdana"/>
          <w:sz w:val="18"/>
          <w:lang w:val="es-MX"/>
        </w:rPr>
      </w:pPr>
      <w:r>
        <w:rPr>
          <w:rFonts w:ascii="Verdana" w:hAnsi="Verdana"/>
          <w:sz w:val="18"/>
          <w:lang w:val="es-MX"/>
        </w:rPr>
        <w:t>“</w:t>
      </w:r>
      <w:r w:rsidR="0045112D" w:rsidRPr="0045112D">
        <w:rPr>
          <w:rFonts w:ascii="Verdana" w:hAnsi="Verdana"/>
          <w:sz w:val="18"/>
          <w:lang w:val="es-MX"/>
        </w:rPr>
        <w:t>246.</w:t>
      </w:r>
      <w:r w:rsidR="0045112D" w:rsidRPr="0045112D">
        <w:rPr>
          <w:rFonts w:ascii="Verdana" w:hAnsi="Verdana"/>
          <w:sz w:val="18"/>
          <w:lang w:val="es-MX"/>
        </w:rPr>
        <w:tab/>
        <w:t xml:space="preserve">En definitiva, la pena impuesta al médico en este caso resultaría de que la reiteración de sus actos médicos y la disposición para ello estarían indicando una voluntad de cooperar con la organización criminal, aunque esa cooperación consistiese en actos atípicos. </w:t>
      </w:r>
    </w:p>
    <w:p w:rsidR="00037E06" w:rsidRDefault="00037E06" w:rsidP="0045112D">
      <w:pPr>
        <w:autoSpaceDE w:val="0"/>
        <w:autoSpaceDN w:val="0"/>
        <w:adjustRightInd w:val="0"/>
        <w:spacing w:after="0" w:line="240" w:lineRule="auto"/>
        <w:ind w:left="720" w:right="49"/>
        <w:contextualSpacing/>
        <w:jc w:val="both"/>
        <w:rPr>
          <w:rFonts w:ascii="Verdana" w:hAnsi="Verdana"/>
          <w:sz w:val="18"/>
          <w:lang w:val="es-MX"/>
        </w:rPr>
      </w:pPr>
    </w:p>
    <w:p w:rsidR="0045112D" w:rsidRPr="0045112D" w:rsidRDefault="0045112D" w:rsidP="0045112D">
      <w:pPr>
        <w:autoSpaceDE w:val="0"/>
        <w:autoSpaceDN w:val="0"/>
        <w:adjustRightInd w:val="0"/>
        <w:spacing w:after="0" w:line="240" w:lineRule="auto"/>
        <w:ind w:left="720" w:right="49"/>
        <w:contextualSpacing/>
        <w:jc w:val="both"/>
        <w:rPr>
          <w:rFonts w:ascii="Verdana" w:hAnsi="Verdana"/>
          <w:sz w:val="18"/>
          <w:lang w:val="es-MX"/>
        </w:rPr>
      </w:pPr>
      <w:r w:rsidRPr="0045112D">
        <w:rPr>
          <w:rFonts w:ascii="Verdana" w:hAnsi="Verdana"/>
          <w:sz w:val="18"/>
          <w:lang w:val="es-MX"/>
        </w:rPr>
        <w:lastRenderedPageBreak/>
        <w:t>247.</w:t>
      </w:r>
      <w:r w:rsidRPr="0045112D">
        <w:rPr>
          <w:rFonts w:ascii="Verdana" w:hAnsi="Verdana"/>
          <w:sz w:val="18"/>
          <w:lang w:val="es-MX"/>
        </w:rPr>
        <w:tab/>
        <w:t>Para llegar a esta conclusión el tribunal interno ha juzgado seguramente bajo la fuerte impresión del contexto de violencia criminal y el impacto emocional provocado por los gravísimos actos de la organización terrorista a la que supuestamente pertenecían los pacientes, lo que al parecer le llevó a pasar por alto que se estaba alejando de los principios básicos del derecho penal de acto, para entrar en el campo del derecho penal de autor.</w:t>
      </w:r>
    </w:p>
    <w:p w:rsidR="00037E06" w:rsidRDefault="00037E06" w:rsidP="0045112D">
      <w:pPr>
        <w:autoSpaceDE w:val="0"/>
        <w:autoSpaceDN w:val="0"/>
        <w:adjustRightInd w:val="0"/>
        <w:spacing w:after="0" w:line="240" w:lineRule="auto"/>
        <w:ind w:left="720" w:right="49"/>
        <w:contextualSpacing/>
        <w:jc w:val="both"/>
        <w:rPr>
          <w:rFonts w:ascii="Verdana" w:hAnsi="Verdana"/>
          <w:sz w:val="18"/>
          <w:lang w:val="es-MX"/>
        </w:rPr>
      </w:pPr>
    </w:p>
    <w:p w:rsidR="0045112D" w:rsidRPr="0045112D" w:rsidRDefault="0045112D" w:rsidP="0045112D">
      <w:pPr>
        <w:autoSpaceDE w:val="0"/>
        <w:autoSpaceDN w:val="0"/>
        <w:adjustRightInd w:val="0"/>
        <w:spacing w:after="0" w:line="240" w:lineRule="auto"/>
        <w:ind w:left="720" w:right="49"/>
        <w:contextualSpacing/>
        <w:jc w:val="both"/>
        <w:rPr>
          <w:rFonts w:ascii="Verdana" w:hAnsi="Verdana"/>
          <w:sz w:val="18"/>
          <w:lang w:val="es-MX"/>
        </w:rPr>
      </w:pPr>
      <w:r w:rsidRPr="0045112D">
        <w:rPr>
          <w:rFonts w:ascii="Verdana" w:hAnsi="Verdana"/>
          <w:sz w:val="18"/>
          <w:lang w:val="es-MX"/>
        </w:rPr>
        <w:t>248.</w:t>
      </w:r>
      <w:r w:rsidRPr="0045112D">
        <w:rPr>
          <w:rFonts w:ascii="Verdana" w:hAnsi="Verdana"/>
          <w:sz w:val="18"/>
          <w:lang w:val="es-MX"/>
        </w:rPr>
        <w:tab/>
        <w:t xml:space="preserve">El artículo 9 de la Convención Americana establece que “nadie puede ser condenado por acciones u omisiones”, es decir que sólo puede ser condenado por “actos”. El derecho penal de “acto” es una elemental garantía de todo derecho penal conforme a los derechos humanos. </w:t>
      </w:r>
      <w:r w:rsidR="00037E06">
        <w:rPr>
          <w:rFonts w:ascii="Verdana" w:hAnsi="Verdana"/>
          <w:sz w:val="18"/>
          <w:lang w:val="es-MX"/>
        </w:rPr>
        <w:t>[…]</w:t>
      </w:r>
      <w:r w:rsidR="00037E06" w:rsidRPr="0045112D">
        <w:rPr>
          <w:rFonts w:ascii="Verdana" w:hAnsi="Verdana"/>
          <w:sz w:val="18"/>
          <w:lang w:val="es-MX"/>
        </w:rPr>
        <w:t xml:space="preserve"> </w:t>
      </w:r>
      <w:r w:rsidRPr="0045112D">
        <w:rPr>
          <w:rFonts w:ascii="Verdana" w:hAnsi="Verdana"/>
          <w:sz w:val="18"/>
          <w:lang w:val="es-MX"/>
        </w:rPr>
        <w:t>El derecho penal conforme a todos los instrumentos de derechos humanos rechaza frontalmente el llamado “derecho penal de autor”, que considera a la conducta típica sólo como un signo o síntoma que permite detectar a una personalidad o carácter, ampliándose incluso a actos atípicos, siempre que se considere que cumplen la misma función de señalación subjetiva.</w:t>
      </w:r>
    </w:p>
    <w:p w:rsidR="00037E06" w:rsidRDefault="00037E06" w:rsidP="0045112D">
      <w:pPr>
        <w:autoSpaceDE w:val="0"/>
        <w:autoSpaceDN w:val="0"/>
        <w:adjustRightInd w:val="0"/>
        <w:spacing w:after="0" w:line="240" w:lineRule="auto"/>
        <w:ind w:left="720" w:right="49"/>
        <w:contextualSpacing/>
        <w:jc w:val="both"/>
        <w:rPr>
          <w:rFonts w:ascii="Verdana" w:hAnsi="Verdana"/>
          <w:sz w:val="18"/>
          <w:lang w:val="es-MX"/>
        </w:rPr>
      </w:pPr>
    </w:p>
    <w:p w:rsidR="0045112D" w:rsidRPr="0045112D" w:rsidRDefault="0045112D" w:rsidP="0045112D">
      <w:pPr>
        <w:autoSpaceDE w:val="0"/>
        <w:autoSpaceDN w:val="0"/>
        <w:adjustRightInd w:val="0"/>
        <w:spacing w:after="0" w:line="240" w:lineRule="auto"/>
        <w:ind w:left="720" w:right="49"/>
        <w:contextualSpacing/>
        <w:jc w:val="both"/>
        <w:rPr>
          <w:rFonts w:ascii="Verdana" w:hAnsi="Verdana"/>
          <w:sz w:val="18"/>
          <w:lang w:val="es-MX"/>
        </w:rPr>
      </w:pPr>
      <w:r w:rsidRPr="0045112D">
        <w:rPr>
          <w:rFonts w:ascii="Verdana" w:hAnsi="Verdana"/>
          <w:sz w:val="18"/>
          <w:lang w:val="es-MX"/>
        </w:rPr>
        <w:t>249.</w:t>
      </w:r>
      <w:r w:rsidRPr="0045112D">
        <w:rPr>
          <w:rFonts w:ascii="Verdana" w:hAnsi="Verdana"/>
          <w:sz w:val="18"/>
          <w:lang w:val="es-MX"/>
        </w:rPr>
        <w:tab/>
        <w:t>El derecho penal “de autor” ha seguido diferentes caminos, siendo uno de ellos el de la llamada “peligrosidad”, que no tiene vinculación con el presente caso y que ha sido rechazado por esta Corte</w:t>
      </w:r>
      <w:r w:rsidRPr="0045112D">
        <w:rPr>
          <w:rStyle w:val="FootnoteReference"/>
          <w:rFonts w:ascii="Verdana" w:hAnsi="Verdana"/>
          <w:sz w:val="18"/>
          <w:lang w:val="es-MX"/>
        </w:rPr>
        <w:footnoteReference w:id="6"/>
      </w:r>
      <w:r w:rsidRPr="0045112D">
        <w:rPr>
          <w:rFonts w:ascii="Verdana" w:hAnsi="Verdana"/>
          <w:sz w:val="18"/>
          <w:lang w:val="es-MX"/>
        </w:rPr>
        <w:t xml:space="preserve">. La Corte Suprema, bajo la impresión de los hechos del contexto, parece haber intentado salir de la contradicción cayendo involuntariamente en alguna de las otras versiones por las que se perdió el derecho penal, cuyas terribles consecuencias dieron lugar a la proclamación del derecho penal de acto en los instrumentos internacionales de derechos humanos y que básicamente son dos: (a) el derecho penal de ánimo y (b) el derecho penal de voluntad. </w:t>
      </w:r>
    </w:p>
    <w:p w:rsidR="00037E06" w:rsidRDefault="00037E06" w:rsidP="0045112D">
      <w:pPr>
        <w:autoSpaceDE w:val="0"/>
        <w:autoSpaceDN w:val="0"/>
        <w:adjustRightInd w:val="0"/>
        <w:spacing w:after="0" w:line="240" w:lineRule="auto"/>
        <w:ind w:left="720" w:right="49"/>
        <w:contextualSpacing/>
        <w:jc w:val="both"/>
        <w:rPr>
          <w:rFonts w:ascii="Verdana" w:hAnsi="Verdana"/>
          <w:sz w:val="18"/>
          <w:lang w:val="es-MX"/>
        </w:rPr>
      </w:pPr>
    </w:p>
    <w:p w:rsidR="0045112D" w:rsidRPr="0045112D" w:rsidRDefault="0045112D" w:rsidP="0045112D">
      <w:pPr>
        <w:autoSpaceDE w:val="0"/>
        <w:autoSpaceDN w:val="0"/>
        <w:adjustRightInd w:val="0"/>
        <w:spacing w:after="0" w:line="240" w:lineRule="auto"/>
        <w:ind w:left="720" w:right="49"/>
        <w:contextualSpacing/>
        <w:jc w:val="both"/>
        <w:rPr>
          <w:rFonts w:ascii="Verdana" w:hAnsi="Verdana"/>
          <w:sz w:val="18"/>
          <w:lang w:val="es-MX"/>
        </w:rPr>
      </w:pPr>
      <w:r w:rsidRPr="0045112D">
        <w:rPr>
          <w:rFonts w:ascii="Verdana" w:hAnsi="Verdana"/>
          <w:sz w:val="18"/>
          <w:lang w:val="es-MX"/>
        </w:rPr>
        <w:t>250.</w:t>
      </w:r>
      <w:r w:rsidRPr="0045112D">
        <w:rPr>
          <w:rFonts w:ascii="Verdana" w:hAnsi="Verdana"/>
          <w:sz w:val="18"/>
          <w:lang w:val="es-MX"/>
        </w:rPr>
        <w:tab/>
        <w:t xml:space="preserve">Conforme al derecho penal de ánimo, la tipicidad de una conducta no resulta del tipo objetivo ni del dolo o voluntad realizadora del resultado, sino del “ánimo” o disposición interna del sujeto, amiga o enemiga. No siempre los elementos de “ánimo” son contrarios a los derechos humanos, puesto que pueden utilizarse para limitar prohibiciones muy amplias o para atenuar; lo cierto es que siempre son sospechosos cuando agravan la pena y, por cierto, son poco menos que inadmisibles cuando determinan directamente la tipicidad de la conducta en delitos de particular gravedad. El “ánimo” ha dado lugar a largas discusiones, pero la criminalización sobre su pura base es claramente rechazada por la jurisprudencia y la doctrina de los Estados democráticos. En el caso, el tribunal interno no reparó suficientemente en que lo que detectaba como típico en la conducta del señor Pollo Rivera era directamente el “ánimo” que deducía de la reiteración de puros actos no sólo atípicos, sino incluso fomentados por el derecho, como es la actividad médica curativa. </w:t>
      </w:r>
    </w:p>
    <w:p w:rsidR="00037E06" w:rsidRDefault="00037E06" w:rsidP="0045112D">
      <w:pPr>
        <w:autoSpaceDE w:val="0"/>
        <w:autoSpaceDN w:val="0"/>
        <w:adjustRightInd w:val="0"/>
        <w:spacing w:after="0" w:line="240" w:lineRule="auto"/>
        <w:ind w:left="720" w:right="49"/>
        <w:contextualSpacing/>
        <w:jc w:val="both"/>
        <w:rPr>
          <w:rFonts w:ascii="Verdana" w:hAnsi="Verdana"/>
          <w:sz w:val="18"/>
          <w:lang w:val="es-MX"/>
        </w:rPr>
      </w:pPr>
    </w:p>
    <w:p w:rsidR="0045112D" w:rsidRPr="0045112D" w:rsidRDefault="0045112D" w:rsidP="0045112D">
      <w:pPr>
        <w:autoSpaceDE w:val="0"/>
        <w:autoSpaceDN w:val="0"/>
        <w:adjustRightInd w:val="0"/>
        <w:spacing w:after="0" w:line="240" w:lineRule="auto"/>
        <w:ind w:left="720" w:right="49"/>
        <w:contextualSpacing/>
        <w:jc w:val="both"/>
        <w:rPr>
          <w:rFonts w:ascii="Verdana" w:hAnsi="Verdana"/>
          <w:sz w:val="18"/>
          <w:lang w:val="es-MX"/>
        </w:rPr>
      </w:pPr>
      <w:r w:rsidRPr="0045112D">
        <w:rPr>
          <w:rFonts w:ascii="Verdana" w:hAnsi="Verdana"/>
          <w:sz w:val="18"/>
          <w:lang w:val="es-MX"/>
        </w:rPr>
        <w:t>251.</w:t>
      </w:r>
      <w:r w:rsidRPr="0045112D">
        <w:rPr>
          <w:rFonts w:ascii="Verdana" w:hAnsi="Verdana"/>
          <w:sz w:val="18"/>
          <w:lang w:val="es-MX"/>
        </w:rPr>
        <w:tab/>
        <w:t xml:space="preserve">La otra vía de derecho penal de autor de la preguerra fue el llamado “derecho penal de voluntad”, conforme al cual no importa que una acción sea o no un acto de tentativa o quede en mera preparación, e incluso tampoco importa que sea o no típica, bastando para la función “depuradora” asignada en esta concepción al derecho penal, con que ponga de manifiesto la voluntad contraria al derecho por parte del agente, o sea, que revele que se trata de un enemigo del derecho. </w:t>
      </w:r>
    </w:p>
    <w:p w:rsidR="0045112D" w:rsidRDefault="0045112D" w:rsidP="0045112D">
      <w:pPr>
        <w:autoSpaceDE w:val="0"/>
        <w:autoSpaceDN w:val="0"/>
        <w:adjustRightInd w:val="0"/>
        <w:spacing w:after="0" w:line="240" w:lineRule="auto"/>
        <w:ind w:left="720" w:right="49"/>
        <w:contextualSpacing/>
        <w:jc w:val="both"/>
        <w:rPr>
          <w:rFonts w:ascii="Verdana" w:hAnsi="Verdana"/>
          <w:sz w:val="18"/>
          <w:lang w:val="es-MX"/>
        </w:rPr>
      </w:pPr>
    </w:p>
    <w:p w:rsidR="00037E06" w:rsidRDefault="00037E06" w:rsidP="0045112D">
      <w:pPr>
        <w:autoSpaceDE w:val="0"/>
        <w:autoSpaceDN w:val="0"/>
        <w:adjustRightInd w:val="0"/>
        <w:spacing w:after="0" w:line="240" w:lineRule="auto"/>
        <w:ind w:left="720" w:right="49"/>
        <w:contextualSpacing/>
        <w:jc w:val="both"/>
        <w:rPr>
          <w:rFonts w:ascii="Verdana" w:hAnsi="Verdana"/>
          <w:sz w:val="18"/>
          <w:lang w:val="es-MX"/>
        </w:rPr>
      </w:pPr>
      <w:r>
        <w:rPr>
          <w:rFonts w:ascii="Verdana" w:hAnsi="Verdana"/>
          <w:sz w:val="18"/>
          <w:lang w:val="es-MX"/>
        </w:rPr>
        <w:t>252.</w:t>
      </w:r>
      <w:r>
        <w:rPr>
          <w:rFonts w:ascii="Verdana" w:hAnsi="Verdana"/>
          <w:sz w:val="18"/>
          <w:lang w:val="es-MX"/>
        </w:rPr>
        <w:tab/>
      </w:r>
      <w:r w:rsidRPr="00037E06">
        <w:rPr>
          <w:rFonts w:ascii="Verdana" w:hAnsi="Verdana"/>
          <w:sz w:val="18"/>
          <w:lang w:val="es-MX"/>
        </w:rPr>
        <w:t>En el caso del señor Pollo Rivera, sólo la apelación a alguna de estas vías –y quizá preferentemente la segunda- sería la más idónea para racionalizar su condena, lo que, por supuesto el tribunal interno no hace y, por ende, la sentencia se debate en la contradicción de considerar típica la complicidad llevada a cabo por actos atípicos fomentados por el propio Estado.</w:t>
      </w:r>
      <w:r>
        <w:rPr>
          <w:rFonts w:ascii="Verdana" w:hAnsi="Verdana"/>
          <w:sz w:val="18"/>
          <w:lang w:val="es-MX"/>
        </w:rPr>
        <w:t xml:space="preserve"> […]</w:t>
      </w:r>
    </w:p>
    <w:p w:rsidR="00037E06" w:rsidRPr="0045112D" w:rsidRDefault="00037E06" w:rsidP="0045112D">
      <w:pPr>
        <w:autoSpaceDE w:val="0"/>
        <w:autoSpaceDN w:val="0"/>
        <w:adjustRightInd w:val="0"/>
        <w:spacing w:after="0" w:line="240" w:lineRule="auto"/>
        <w:ind w:left="720" w:right="49"/>
        <w:contextualSpacing/>
        <w:jc w:val="both"/>
        <w:rPr>
          <w:rFonts w:ascii="Verdana" w:hAnsi="Verdana"/>
          <w:sz w:val="18"/>
          <w:lang w:val="es-MX"/>
        </w:rPr>
      </w:pPr>
    </w:p>
    <w:p w:rsidR="00037E06" w:rsidRPr="00B51EEF" w:rsidRDefault="0045112D" w:rsidP="00B51EEF">
      <w:pPr>
        <w:autoSpaceDE w:val="0"/>
        <w:autoSpaceDN w:val="0"/>
        <w:adjustRightInd w:val="0"/>
        <w:spacing w:after="0" w:line="240" w:lineRule="auto"/>
        <w:ind w:left="720" w:right="49"/>
        <w:contextualSpacing/>
        <w:jc w:val="both"/>
        <w:rPr>
          <w:rFonts w:ascii="Verdana" w:hAnsi="Verdana" w:cs="Verdana Bold"/>
          <w:bCs/>
          <w:sz w:val="18"/>
          <w:lang w:val="es-MX"/>
        </w:rPr>
      </w:pPr>
      <w:r w:rsidRPr="0045112D">
        <w:rPr>
          <w:rFonts w:ascii="Verdana" w:hAnsi="Verdana" w:cs="Verdana Bold"/>
          <w:bCs/>
          <w:sz w:val="18"/>
          <w:lang w:val="es-MX"/>
        </w:rPr>
        <w:t>25</w:t>
      </w:r>
      <w:r w:rsidR="00037E06">
        <w:rPr>
          <w:rFonts w:ascii="Verdana" w:hAnsi="Verdana" w:cs="Verdana Bold"/>
          <w:bCs/>
          <w:sz w:val="18"/>
          <w:lang w:val="es-MX"/>
        </w:rPr>
        <w:t>3</w:t>
      </w:r>
      <w:r w:rsidRPr="0045112D">
        <w:rPr>
          <w:rFonts w:ascii="Verdana" w:hAnsi="Verdana" w:cs="Verdana Bold"/>
          <w:bCs/>
          <w:sz w:val="18"/>
          <w:lang w:val="es-MX"/>
        </w:rPr>
        <w:t>.</w:t>
      </w:r>
      <w:r w:rsidRPr="0045112D">
        <w:rPr>
          <w:rFonts w:ascii="Verdana" w:hAnsi="Verdana" w:cs="Verdana Bold"/>
          <w:bCs/>
          <w:sz w:val="18"/>
          <w:lang w:val="es-MX"/>
        </w:rPr>
        <w:tab/>
        <w:t>Es claro que la impresión del contexto interfirió en el razonamiento jurídico de la Corte Suprema, pues de la reiteración de actos atípicos concluyó la pertenencia del señor Pollo Rivera a la organización terrorista y, más aún, afirmó que “esa actuación médica no es la que se sanciona, sino la finalidad que se llegó a través de la misma […]”. Como puede observarse, no hay tipicidad, salvo el “ánimo” o la “voluntad deducida” de la realización de los actos atípi</w:t>
      </w:r>
      <w:r w:rsidR="00B51EEF">
        <w:rPr>
          <w:rFonts w:ascii="Verdana" w:hAnsi="Verdana" w:cs="Verdana Bold"/>
          <w:bCs/>
          <w:sz w:val="18"/>
          <w:lang w:val="es-MX"/>
        </w:rPr>
        <w:t>cos de curación o arte médico.</w:t>
      </w:r>
      <w:r w:rsidR="000F3570">
        <w:rPr>
          <w:rFonts w:ascii="Verdana" w:hAnsi="Verdana" w:cs="Verdana Bold"/>
          <w:bCs/>
          <w:sz w:val="18"/>
          <w:lang w:val="es-MX"/>
        </w:rPr>
        <w:t>”</w:t>
      </w:r>
      <w:r w:rsidR="00B51EEF">
        <w:rPr>
          <w:rFonts w:ascii="Verdana" w:hAnsi="Verdana" w:cs="Verdana Bold"/>
          <w:bCs/>
          <w:sz w:val="18"/>
          <w:lang w:val="es-MX"/>
        </w:rPr>
        <w:t xml:space="preserve"> </w:t>
      </w:r>
    </w:p>
    <w:p w:rsidR="0045112D" w:rsidRDefault="0045112D" w:rsidP="000A3AD9">
      <w:pPr>
        <w:spacing w:after="0" w:line="240" w:lineRule="auto"/>
        <w:jc w:val="both"/>
        <w:rPr>
          <w:rFonts w:ascii="Verdana" w:hAnsi="Verdana"/>
          <w:sz w:val="20"/>
          <w:szCs w:val="20"/>
        </w:rPr>
      </w:pPr>
    </w:p>
    <w:p w:rsidR="008E1262" w:rsidRDefault="00B95CD6" w:rsidP="003A1222">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3A1222">
        <w:rPr>
          <w:rFonts w:ascii="Verdana" w:hAnsi="Verdana" w:cs="Helvetica"/>
          <w:sz w:val="20"/>
          <w:szCs w:val="20"/>
          <w:lang w:val="es-MX" w:bidi="en-US"/>
        </w:rPr>
        <w:lastRenderedPageBreak/>
        <w:t xml:space="preserve">En </w:t>
      </w:r>
      <w:r w:rsidR="00037E06" w:rsidRPr="003A1222">
        <w:rPr>
          <w:rFonts w:ascii="Verdana" w:hAnsi="Verdana" w:cs="Helvetica"/>
          <w:sz w:val="20"/>
          <w:szCs w:val="20"/>
          <w:lang w:val="es-MX" w:bidi="en-US"/>
        </w:rPr>
        <w:t>atención a lo anterior</w:t>
      </w:r>
      <w:r w:rsidRPr="003A1222">
        <w:rPr>
          <w:rFonts w:ascii="Verdana" w:hAnsi="Verdana" w:cs="Helvetica"/>
          <w:sz w:val="20"/>
          <w:szCs w:val="20"/>
          <w:lang w:val="es-MX" w:bidi="en-US"/>
        </w:rPr>
        <w:t xml:space="preserve">, </w:t>
      </w:r>
      <w:r w:rsidR="00037E06" w:rsidRPr="003A1222">
        <w:rPr>
          <w:rFonts w:ascii="Verdana" w:hAnsi="Verdana" w:cs="Helvetica"/>
          <w:sz w:val="20"/>
          <w:szCs w:val="20"/>
          <w:lang w:val="es-MX" w:bidi="en-US"/>
        </w:rPr>
        <w:t xml:space="preserve">es claro que en su análisis </w:t>
      </w:r>
      <w:r w:rsidR="00AB5238">
        <w:rPr>
          <w:rFonts w:ascii="Verdana" w:hAnsi="Verdana" w:cs="Helvetica"/>
          <w:sz w:val="20"/>
          <w:szCs w:val="20"/>
          <w:lang w:val="es-MX" w:bidi="en-US"/>
        </w:rPr>
        <w:t>este Tribunal</w:t>
      </w:r>
      <w:r w:rsidR="00037E06" w:rsidRPr="003A1222">
        <w:rPr>
          <w:rFonts w:ascii="Verdana" w:hAnsi="Verdana" w:cs="Helvetica"/>
          <w:sz w:val="20"/>
          <w:szCs w:val="20"/>
          <w:lang w:val="es-MX" w:bidi="en-US"/>
        </w:rPr>
        <w:t xml:space="preserve"> concluyó </w:t>
      </w:r>
      <w:r w:rsidRPr="003A1222">
        <w:rPr>
          <w:rFonts w:ascii="Verdana" w:hAnsi="Verdana" w:cs="Helvetica"/>
          <w:sz w:val="20"/>
          <w:szCs w:val="20"/>
          <w:lang w:val="es-MX" w:bidi="en-US"/>
        </w:rPr>
        <w:t xml:space="preserve">que </w:t>
      </w:r>
      <w:r w:rsidR="00AB5238" w:rsidRPr="003A1222">
        <w:rPr>
          <w:rFonts w:ascii="Verdana" w:hAnsi="Verdana" w:cs="Helvetica"/>
          <w:sz w:val="20"/>
          <w:szCs w:val="20"/>
          <w:lang w:val="es-MX" w:bidi="en-US"/>
        </w:rPr>
        <w:t xml:space="preserve">en este caso </w:t>
      </w:r>
      <w:r w:rsidR="00037E06" w:rsidRPr="003A1222">
        <w:rPr>
          <w:rFonts w:ascii="Verdana" w:hAnsi="Verdana" w:cs="Helvetica"/>
          <w:sz w:val="20"/>
          <w:szCs w:val="20"/>
          <w:lang w:val="es-MX" w:bidi="en-US"/>
        </w:rPr>
        <w:t xml:space="preserve">la Corte Suprema </w:t>
      </w:r>
      <w:r w:rsidRPr="003A1222">
        <w:rPr>
          <w:rFonts w:ascii="Verdana" w:hAnsi="Verdana" w:cs="Helvetica"/>
          <w:sz w:val="20"/>
          <w:szCs w:val="20"/>
          <w:lang w:val="es-MX" w:bidi="en-US"/>
        </w:rPr>
        <w:t xml:space="preserve">omitió “racionalizar </w:t>
      </w:r>
      <w:r w:rsidR="00C710D4" w:rsidRPr="003A1222">
        <w:rPr>
          <w:rFonts w:ascii="Verdana" w:hAnsi="Verdana" w:cs="Helvetica"/>
          <w:sz w:val="20"/>
          <w:szCs w:val="20"/>
          <w:lang w:val="es-MX" w:bidi="en-US"/>
        </w:rPr>
        <w:t>la</w:t>
      </w:r>
      <w:r w:rsidRPr="003A1222">
        <w:rPr>
          <w:rFonts w:ascii="Verdana" w:hAnsi="Verdana" w:cs="Helvetica"/>
          <w:sz w:val="20"/>
          <w:szCs w:val="20"/>
          <w:lang w:val="es-MX" w:bidi="en-US"/>
        </w:rPr>
        <w:t xml:space="preserve"> condena”</w:t>
      </w:r>
      <w:r w:rsidR="00C710D4" w:rsidRPr="003A1222">
        <w:rPr>
          <w:rFonts w:ascii="Verdana" w:hAnsi="Verdana" w:cs="Helvetica"/>
          <w:sz w:val="20"/>
          <w:szCs w:val="20"/>
          <w:lang w:val="es-MX" w:bidi="en-US"/>
        </w:rPr>
        <w:t xml:space="preserve"> del médico</w:t>
      </w:r>
      <w:r w:rsidR="00AB5238">
        <w:rPr>
          <w:rFonts w:ascii="Verdana" w:hAnsi="Verdana" w:cs="Helvetica"/>
          <w:sz w:val="20"/>
          <w:szCs w:val="20"/>
          <w:lang w:val="es-MX" w:bidi="en-US"/>
        </w:rPr>
        <w:t>,</w:t>
      </w:r>
      <w:r w:rsidR="00C710D4" w:rsidRPr="003A1222">
        <w:rPr>
          <w:rFonts w:ascii="Verdana" w:hAnsi="Verdana" w:cs="Helvetica"/>
          <w:sz w:val="20"/>
          <w:szCs w:val="20"/>
          <w:lang w:val="es-MX" w:bidi="en-US"/>
        </w:rPr>
        <w:t xml:space="preserve"> al haber considerado que su reiteración de actos médicos y su disposición para ello habrían indicado “una voluntad de cooperar con la organización criminal, aunque esa cooperación consistiese en actos atípicos”, con lo cual “se estaba alejando de los principios básicos del derecho penal de acto, para entrar en el campo del derecho penal de autor”, cayendo</w:t>
      </w:r>
      <w:r w:rsidR="008E1262" w:rsidRPr="003A1222">
        <w:rPr>
          <w:rFonts w:ascii="Verdana" w:hAnsi="Verdana" w:cs="Helvetica"/>
          <w:sz w:val="20"/>
          <w:szCs w:val="20"/>
          <w:lang w:val="es-MX" w:bidi="en-US"/>
        </w:rPr>
        <w:t xml:space="preserve"> irremediablemente </w:t>
      </w:r>
      <w:r w:rsidR="00C710D4" w:rsidRPr="003A1222">
        <w:rPr>
          <w:rFonts w:ascii="Verdana" w:hAnsi="Verdana" w:cs="Helvetica"/>
          <w:sz w:val="20"/>
          <w:szCs w:val="20"/>
          <w:lang w:val="es-MX" w:bidi="en-US"/>
        </w:rPr>
        <w:t>en “la contradicción de considerar típica la complicidad llevada a cabo por actos atípicos fomentados por el propio Estado”. A su vez, e</w:t>
      </w:r>
      <w:r w:rsidR="00AB5238">
        <w:rPr>
          <w:rFonts w:ascii="Verdana" w:hAnsi="Verdana" w:cs="Helvetica"/>
          <w:sz w:val="20"/>
          <w:szCs w:val="20"/>
          <w:lang w:val="es-MX" w:bidi="en-US"/>
        </w:rPr>
        <w:t>ste</w:t>
      </w:r>
      <w:r w:rsidR="00C710D4" w:rsidRPr="003A1222">
        <w:rPr>
          <w:rFonts w:ascii="Verdana" w:hAnsi="Verdana" w:cs="Helvetica"/>
          <w:sz w:val="20"/>
          <w:szCs w:val="20"/>
          <w:lang w:val="es-MX" w:bidi="en-US"/>
        </w:rPr>
        <w:t xml:space="preserve"> Tribunal señaló expresamente que el derecho penal “de acto” es una “elemental garantía de todo derecho penal conforme a todos los instrumentos de derechos humanos”, el cual rechaza frontalmente el llamado “derecho penal de autor”, el cual se ha expresado básicamente en dos versiones: (a) el derecho penal de ánimo y (b) el derecho penal de voluntad</w:t>
      </w:r>
      <w:r w:rsidR="003A1222" w:rsidRPr="003A1222">
        <w:rPr>
          <w:rFonts w:ascii="Verdana" w:hAnsi="Verdana" w:cs="Helvetica"/>
          <w:sz w:val="20"/>
          <w:szCs w:val="20"/>
          <w:lang w:val="es-MX" w:bidi="en-US"/>
        </w:rPr>
        <w:t>. Así, es evidente que</w:t>
      </w:r>
      <w:r w:rsidR="008E1262" w:rsidRPr="003A1222">
        <w:rPr>
          <w:rFonts w:ascii="Verdana" w:hAnsi="Verdana" w:cs="Helvetica"/>
          <w:sz w:val="20"/>
          <w:szCs w:val="20"/>
          <w:lang w:val="es-MX" w:bidi="en-US"/>
        </w:rPr>
        <w:t xml:space="preserve">, cuando la Corte </w:t>
      </w:r>
      <w:r w:rsidR="003A1222" w:rsidRPr="003A1222">
        <w:rPr>
          <w:rFonts w:ascii="Verdana" w:hAnsi="Verdana" w:cs="Helvetica"/>
          <w:sz w:val="20"/>
          <w:szCs w:val="20"/>
          <w:lang w:val="es-MX" w:bidi="en-US"/>
        </w:rPr>
        <w:t>se refiere</w:t>
      </w:r>
      <w:r w:rsidR="008E1262" w:rsidRPr="003A1222">
        <w:rPr>
          <w:rFonts w:ascii="Verdana" w:hAnsi="Verdana" w:cs="Helvetica"/>
          <w:sz w:val="20"/>
          <w:szCs w:val="20"/>
          <w:lang w:val="es-MX" w:bidi="en-US"/>
        </w:rPr>
        <w:t xml:space="preserve"> en </w:t>
      </w:r>
      <w:r w:rsidR="003A1222" w:rsidRPr="003A1222">
        <w:rPr>
          <w:rFonts w:ascii="Verdana" w:hAnsi="Verdana" w:cs="Helvetica"/>
          <w:sz w:val="20"/>
          <w:szCs w:val="20"/>
          <w:lang w:val="es-MX" w:bidi="en-US"/>
        </w:rPr>
        <w:t>el</w:t>
      </w:r>
      <w:r w:rsidR="008E1262" w:rsidRPr="003A1222">
        <w:rPr>
          <w:rFonts w:ascii="Verdana" w:hAnsi="Verdana" w:cs="Helvetica"/>
          <w:sz w:val="20"/>
          <w:szCs w:val="20"/>
          <w:lang w:val="es-MX" w:bidi="en-US"/>
        </w:rPr>
        <w:t xml:space="preserve"> párrafo </w:t>
      </w:r>
      <w:r w:rsidR="003A1222" w:rsidRPr="003A1222">
        <w:rPr>
          <w:rFonts w:ascii="Verdana" w:hAnsi="Verdana" w:cs="Helvetica"/>
          <w:sz w:val="20"/>
          <w:szCs w:val="20"/>
          <w:lang w:val="es-MX" w:bidi="en-US"/>
        </w:rPr>
        <w:t xml:space="preserve">252 a </w:t>
      </w:r>
      <w:r w:rsidR="008E1262" w:rsidRPr="003A1222">
        <w:rPr>
          <w:rFonts w:ascii="Verdana" w:hAnsi="Verdana" w:cs="Helvetica"/>
          <w:sz w:val="20"/>
          <w:szCs w:val="20"/>
          <w:lang w:val="es-MX" w:bidi="en-US"/>
        </w:rPr>
        <w:t xml:space="preserve">una vía </w:t>
      </w:r>
      <w:r w:rsidR="003A1222" w:rsidRPr="003A1222">
        <w:rPr>
          <w:rFonts w:ascii="Verdana" w:hAnsi="Verdana" w:cs="Helvetica"/>
          <w:sz w:val="20"/>
          <w:szCs w:val="20"/>
          <w:lang w:val="es-MX" w:bidi="en-US"/>
        </w:rPr>
        <w:t>“</w:t>
      </w:r>
      <w:r w:rsidR="008E1262" w:rsidRPr="003A1222">
        <w:rPr>
          <w:rFonts w:ascii="Verdana" w:hAnsi="Verdana" w:cs="Helvetica"/>
          <w:sz w:val="20"/>
          <w:szCs w:val="20"/>
          <w:lang w:val="es-MX" w:bidi="en-US"/>
        </w:rPr>
        <w:t xml:space="preserve">más idónea para racionalizar su condena”, </w:t>
      </w:r>
      <w:r w:rsidR="003A1222" w:rsidRPr="003A1222">
        <w:rPr>
          <w:rFonts w:ascii="Verdana" w:hAnsi="Verdana" w:cs="Helvetica"/>
          <w:sz w:val="20"/>
          <w:szCs w:val="20"/>
          <w:lang w:val="es-MX" w:bidi="en-US"/>
        </w:rPr>
        <w:t xml:space="preserve">a todas luces </w:t>
      </w:r>
      <w:r w:rsidR="008E1262" w:rsidRPr="003A1222">
        <w:rPr>
          <w:rFonts w:ascii="Verdana" w:hAnsi="Verdana" w:cs="Helvetica"/>
          <w:sz w:val="20"/>
          <w:szCs w:val="20"/>
          <w:lang w:val="es-MX" w:bidi="en-US"/>
        </w:rPr>
        <w:t xml:space="preserve">no está diciendo que habría una forma “correcta” o “idónea” para condenar a alguien en aplicación de </w:t>
      </w:r>
      <w:r w:rsidR="003A1222" w:rsidRPr="003A1222">
        <w:rPr>
          <w:rFonts w:ascii="Verdana" w:hAnsi="Verdana" w:cs="Helvetica"/>
          <w:sz w:val="20"/>
          <w:szCs w:val="20"/>
          <w:lang w:val="es-MX" w:bidi="en-US"/>
        </w:rPr>
        <w:t>cualquiera de tales expresiones del derecho penal de autor</w:t>
      </w:r>
      <w:r w:rsidR="008E1262" w:rsidRPr="003A1222">
        <w:rPr>
          <w:rFonts w:ascii="Verdana" w:hAnsi="Verdana" w:cs="Helvetica"/>
          <w:sz w:val="20"/>
          <w:szCs w:val="20"/>
          <w:lang w:val="es-MX" w:bidi="en-US"/>
        </w:rPr>
        <w:t xml:space="preserve">, sino todo lo contrario: que </w:t>
      </w:r>
      <w:r w:rsidR="003A1222">
        <w:rPr>
          <w:rFonts w:ascii="Verdana" w:hAnsi="Verdana" w:cs="Helvetica"/>
          <w:sz w:val="20"/>
          <w:szCs w:val="20"/>
          <w:lang w:val="es-MX" w:bidi="en-US"/>
        </w:rPr>
        <w:t>bajo ninguna circunstancia</w:t>
      </w:r>
      <w:r w:rsidR="008E1262" w:rsidRPr="003A1222">
        <w:rPr>
          <w:rFonts w:ascii="Verdana" w:hAnsi="Verdana" w:cs="Helvetica"/>
          <w:sz w:val="20"/>
          <w:szCs w:val="20"/>
          <w:lang w:val="es-MX" w:bidi="en-US"/>
        </w:rPr>
        <w:t xml:space="preserve"> una c</w:t>
      </w:r>
      <w:r w:rsidR="003A1222">
        <w:rPr>
          <w:rFonts w:ascii="Verdana" w:hAnsi="Verdana" w:cs="Helvetica"/>
          <w:sz w:val="20"/>
          <w:szCs w:val="20"/>
          <w:lang w:val="es-MX" w:bidi="en-US"/>
        </w:rPr>
        <w:t xml:space="preserve">ondena en </w:t>
      </w:r>
      <w:r w:rsidR="00B51EEF">
        <w:rPr>
          <w:rFonts w:ascii="Verdana" w:hAnsi="Verdana" w:cs="Helvetica"/>
          <w:sz w:val="20"/>
          <w:szCs w:val="20"/>
          <w:lang w:val="es-MX" w:bidi="en-US"/>
        </w:rPr>
        <w:t>aplicación de tal doctrina</w:t>
      </w:r>
      <w:r w:rsidR="003A1222">
        <w:rPr>
          <w:rFonts w:ascii="Verdana" w:hAnsi="Verdana" w:cs="Helvetica"/>
          <w:sz w:val="20"/>
          <w:szCs w:val="20"/>
          <w:lang w:val="es-MX" w:bidi="en-US"/>
        </w:rPr>
        <w:t xml:space="preserve"> sería </w:t>
      </w:r>
      <w:r w:rsidR="008E1262" w:rsidRPr="003A1222">
        <w:rPr>
          <w:rFonts w:ascii="Verdana" w:hAnsi="Verdana" w:cs="Helvetica"/>
          <w:sz w:val="20"/>
          <w:szCs w:val="20"/>
          <w:lang w:val="es-MX" w:bidi="en-US"/>
        </w:rPr>
        <w:t>compatible con el principio de legalidad.</w:t>
      </w:r>
      <w:r w:rsidR="003A1222">
        <w:rPr>
          <w:rFonts w:ascii="Verdana" w:hAnsi="Verdana" w:cs="Helvetica"/>
          <w:sz w:val="20"/>
          <w:szCs w:val="20"/>
          <w:lang w:val="es-MX" w:bidi="en-US"/>
        </w:rPr>
        <w:t xml:space="preserve"> En consecuencia, </w:t>
      </w:r>
      <w:r w:rsidR="003A1222" w:rsidRPr="003A1222">
        <w:rPr>
          <w:rFonts w:ascii="Verdana" w:hAnsi="Verdana" w:cs="Helvetica"/>
          <w:sz w:val="20"/>
          <w:szCs w:val="20"/>
          <w:lang w:val="es-MX" w:bidi="en-US"/>
        </w:rPr>
        <w:t>la Corte considera que el texto del referido párrafo 252, leído integralmente con</w:t>
      </w:r>
      <w:r w:rsidR="00E7316E">
        <w:rPr>
          <w:rFonts w:ascii="Verdana" w:hAnsi="Verdana" w:cs="Helvetica"/>
          <w:sz w:val="20"/>
          <w:szCs w:val="20"/>
          <w:lang w:val="es-MX" w:bidi="en-US"/>
        </w:rPr>
        <w:t xml:space="preserve"> las demás consideraciones relevantes</w:t>
      </w:r>
      <w:r w:rsidR="003A1222" w:rsidRPr="003A1222">
        <w:rPr>
          <w:rFonts w:ascii="Verdana" w:hAnsi="Verdana" w:cs="Helvetica"/>
          <w:sz w:val="20"/>
          <w:szCs w:val="20"/>
          <w:lang w:val="es-MX" w:bidi="en-US"/>
        </w:rPr>
        <w:t>, es suficientemente claro y preciso, por lo cual la solicitud de interpretación es improcedente.</w:t>
      </w:r>
      <w:r w:rsidR="003A1222">
        <w:t xml:space="preserve"> </w:t>
      </w:r>
    </w:p>
    <w:p w:rsidR="00AB5238" w:rsidRPr="00BE133F" w:rsidRDefault="00AB5238" w:rsidP="000A3AD9">
      <w:pPr>
        <w:spacing w:after="0" w:line="240" w:lineRule="auto"/>
        <w:jc w:val="both"/>
        <w:rPr>
          <w:rFonts w:ascii="Verdana" w:hAnsi="Verdana"/>
          <w:sz w:val="20"/>
          <w:szCs w:val="20"/>
        </w:rPr>
      </w:pPr>
    </w:p>
    <w:p w:rsidR="000A3AD9" w:rsidRPr="00E91F7B" w:rsidRDefault="000A3AD9" w:rsidP="000A3AD9">
      <w:pPr>
        <w:pStyle w:val="ListParagraph"/>
        <w:numPr>
          <w:ilvl w:val="0"/>
          <w:numId w:val="3"/>
        </w:numPr>
        <w:tabs>
          <w:tab w:val="left" w:pos="567"/>
        </w:tabs>
        <w:spacing w:after="0" w:line="240" w:lineRule="auto"/>
        <w:jc w:val="both"/>
        <w:rPr>
          <w:rFonts w:ascii="Verdana" w:eastAsia="Times" w:hAnsi="Verdana"/>
          <w:b/>
          <w:i/>
          <w:sz w:val="20"/>
          <w:szCs w:val="20"/>
        </w:rPr>
      </w:pPr>
      <w:r w:rsidRPr="00E91F7B">
        <w:rPr>
          <w:rFonts w:ascii="Verdana" w:eastAsia="Times" w:hAnsi="Verdana"/>
          <w:b/>
          <w:bCs/>
          <w:i/>
          <w:sz w:val="20"/>
          <w:szCs w:val="20"/>
        </w:rPr>
        <w:t xml:space="preserve">Sobre </w:t>
      </w:r>
      <w:r w:rsidR="003E3871" w:rsidRPr="003E3871">
        <w:rPr>
          <w:rFonts w:ascii="Verdana" w:eastAsia="Times" w:hAnsi="Verdana"/>
          <w:b/>
          <w:bCs/>
          <w:i/>
          <w:sz w:val="20"/>
          <w:szCs w:val="20"/>
        </w:rPr>
        <w:t>los alcances de la obligación de investigar actos de tortura y otros tratos crueles, inhumanos o degradantes dispuesta en el párrafo 277 de la Sentencia</w:t>
      </w:r>
    </w:p>
    <w:p w:rsidR="006C34AC" w:rsidRDefault="006C34AC" w:rsidP="000A3AD9">
      <w:pPr>
        <w:tabs>
          <w:tab w:val="left" w:pos="567"/>
        </w:tabs>
        <w:spacing w:after="0" w:line="240" w:lineRule="auto"/>
        <w:jc w:val="both"/>
        <w:rPr>
          <w:rFonts w:ascii="Verdana" w:eastAsia="Times" w:hAnsi="Verdana"/>
          <w:b/>
          <w:i/>
          <w:sz w:val="20"/>
          <w:szCs w:val="20"/>
        </w:rPr>
      </w:pPr>
    </w:p>
    <w:p w:rsidR="000A3AD9" w:rsidRPr="0089460F" w:rsidRDefault="003E3871" w:rsidP="000A3AD9">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D</w:t>
      </w:r>
      <w:r w:rsidR="000A3AD9" w:rsidRPr="00BE133F">
        <w:rPr>
          <w:rFonts w:ascii="Verdana" w:eastAsia="Times" w:hAnsi="Verdana"/>
          <w:i/>
          <w:sz w:val="20"/>
          <w:szCs w:val="20"/>
        </w:rPr>
        <w:t xml:space="preserve">.1 </w:t>
      </w:r>
      <w:r w:rsidR="000A3AD9">
        <w:rPr>
          <w:rFonts w:ascii="Verdana" w:eastAsia="Times" w:hAnsi="Verdana"/>
          <w:i/>
          <w:sz w:val="20"/>
          <w:szCs w:val="20"/>
        </w:rPr>
        <w:t>Argumentos de las partes y de la Comisión</w:t>
      </w:r>
    </w:p>
    <w:p w:rsidR="003E3871" w:rsidRPr="00BE133F" w:rsidRDefault="003E3871" w:rsidP="003E3871">
      <w:pPr>
        <w:tabs>
          <w:tab w:val="left" w:pos="567"/>
        </w:tabs>
        <w:spacing w:after="0" w:line="240" w:lineRule="auto"/>
        <w:jc w:val="both"/>
        <w:rPr>
          <w:rFonts w:ascii="Verdana" w:eastAsia="Times" w:hAnsi="Verdana"/>
          <w:sz w:val="20"/>
          <w:szCs w:val="20"/>
          <w:lang w:val="es-ES_tradnl"/>
        </w:rPr>
      </w:pPr>
    </w:p>
    <w:p w:rsidR="00B95CD6" w:rsidRDefault="003E3871" w:rsidP="00CF39BE">
      <w:pPr>
        <w:numPr>
          <w:ilvl w:val="0"/>
          <w:numId w:val="1"/>
        </w:numPr>
        <w:tabs>
          <w:tab w:val="left" w:pos="567"/>
          <w:tab w:val="num" w:pos="720"/>
        </w:tabs>
        <w:autoSpaceDE w:val="0"/>
        <w:autoSpaceDN w:val="0"/>
        <w:adjustRightInd w:val="0"/>
        <w:spacing w:after="0" w:line="240" w:lineRule="auto"/>
        <w:jc w:val="both"/>
      </w:pPr>
      <w:r w:rsidRPr="00CF39BE">
        <w:rPr>
          <w:rFonts w:ascii="Verdana" w:hAnsi="Verdana" w:cs="Verdana"/>
          <w:sz w:val="20"/>
          <w:szCs w:val="20"/>
        </w:rPr>
        <w:t xml:space="preserve">El </w:t>
      </w:r>
      <w:r w:rsidRPr="00CF39BE">
        <w:rPr>
          <w:rFonts w:ascii="Verdana" w:hAnsi="Verdana" w:cs="Verdana"/>
          <w:b/>
          <w:i/>
          <w:sz w:val="20"/>
          <w:szCs w:val="20"/>
        </w:rPr>
        <w:t>Estado</w:t>
      </w:r>
      <w:r w:rsidR="008E1262" w:rsidRPr="00CF39BE">
        <w:rPr>
          <w:rFonts w:ascii="Verdana" w:hAnsi="Verdana" w:cs="Verdana"/>
          <w:sz w:val="20"/>
          <w:szCs w:val="20"/>
        </w:rPr>
        <w:t xml:space="preserve"> </w:t>
      </w:r>
      <w:r w:rsidR="00CF39BE" w:rsidRPr="00CF39BE">
        <w:rPr>
          <w:rFonts w:ascii="Verdana" w:hAnsi="Verdana" w:cs="Verdana"/>
          <w:sz w:val="20"/>
          <w:szCs w:val="20"/>
        </w:rPr>
        <w:t xml:space="preserve">preguntó, a fin de cumplir adecuadamente con la medida de </w:t>
      </w:r>
      <w:r w:rsidR="003A1222" w:rsidRPr="00CF39BE">
        <w:rPr>
          <w:rFonts w:ascii="Verdana" w:hAnsi="Verdana" w:cs="Verdana"/>
          <w:sz w:val="20"/>
          <w:szCs w:val="20"/>
        </w:rPr>
        <w:t>investigación</w:t>
      </w:r>
      <w:r w:rsidR="00847B70">
        <w:rPr>
          <w:rFonts w:ascii="Verdana" w:hAnsi="Verdana" w:cs="Verdana"/>
          <w:sz w:val="20"/>
          <w:szCs w:val="20"/>
        </w:rPr>
        <w:t>, si lo ordenado</w:t>
      </w:r>
      <w:r w:rsidR="003A1222">
        <w:rPr>
          <w:rFonts w:ascii="Verdana" w:hAnsi="Verdana" w:cs="Verdana"/>
          <w:sz w:val="20"/>
          <w:szCs w:val="20"/>
        </w:rPr>
        <w:t xml:space="preserve"> en el párrafo 277</w:t>
      </w:r>
      <w:r w:rsidR="008E1262" w:rsidRPr="00CF39BE">
        <w:rPr>
          <w:rFonts w:ascii="Verdana" w:hAnsi="Verdana" w:cs="Verdana"/>
          <w:sz w:val="20"/>
          <w:szCs w:val="20"/>
        </w:rPr>
        <w:t xml:space="preserve"> supone investigar únicamente a los autores materiales </w:t>
      </w:r>
      <w:r w:rsidR="00847B70">
        <w:rPr>
          <w:rFonts w:ascii="Verdana" w:hAnsi="Verdana" w:cs="Verdana"/>
          <w:sz w:val="20"/>
          <w:szCs w:val="20"/>
        </w:rPr>
        <w:t xml:space="preserve">de los actos de tortura </w:t>
      </w:r>
      <w:r w:rsidR="008E1262" w:rsidRPr="00CF39BE">
        <w:rPr>
          <w:rFonts w:ascii="Verdana" w:hAnsi="Verdana" w:cs="Verdana"/>
          <w:sz w:val="20"/>
          <w:szCs w:val="20"/>
        </w:rPr>
        <w:t>o también</w:t>
      </w:r>
      <w:r w:rsidR="00CF39BE" w:rsidRPr="00CF39BE">
        <w:rPr>
          <w:rFonts w:ascii="Verdana" w:hAnsi="Verdana" w:cs="Verdana"/>
          <w:sz w:val="20"/>
          <w:szCs w:val="20"/>
        </w:rPr>
        <w:t xml:space="preserve"> dirigir la investigación contra las autoridades que contribuyeron a denegar justicia (en línea </w:t>
      </w:r>
      <w:r w:rsidR="00847B70">
        <w:rPr>
          <w:rFonts w:ascii="Verdana" w:hAnsi="Verdana" w:cs="Verdana"/>
          <w:sz w:val="20"/>
          <w:szCs w:val="20"/>
        </w:rPr>
        <w:t xml:space="preserve">con </w:t>
      </w:r>
      <w:r w:rsidR="00CF39BE" w:rsidRPr="00CF39BE">
        <w:rPr>
          <w:rFonts w:ascii="Verdana" w:hAnsi="Verdana" w:cs="Verdana"/>
          <w:sz w:val="20"/>
          <w:szCs w:val="20"/>
        </w:rPr>
        <w:t>lo planteado por la Comisión</w:t>
      </w:r>
      <w:r w:rsidR="003A1222">
        <w:rPr>
          <w:rFonts w:ascii="Verdana" w:hAnsi="Verdana" w:cs="Verdana"/>
          <w:sz w:val="20"/>
          <w:szCs w:val="20"/>
        </w:rPr>
        <w:t>)</w:t>
      </w:r>
      <w:r w:rsidR="00CF39BE" w:rsidRPr="00CF39BE">
        <w:rPr>
          <w:rFonts w:ascii="Verdana" w:hAnsi="Verdana" w:cs="Verdana"/>
          <w:sz w:val="20"/>
          <w:szCs w:val="20"/>
        </w:rPr>
        <w:t>.</w:t>
      </w:r>
      <w:r w:rsidR="00B95CD6">
        <w:t xml:space="preserve"> </w:t>
      </w:r>
    </w:p>
    <w:p w:rsidR="00577097" w:rsidRDefault="00577097" w:rsidP="00577097">
      <w:pPr>
        <w:tabs>
          <w:tab w:val="left" w:pos="720"/>
          <w:tab w:val="left" w:pos="1530"/>
          <w:tab w:val="left" w:pos="2140"/>
        </w:tabs>
        <w:spacing w:after="0" w:line="240" w:lineRule="auto"/>
        <w:jc w:val="both"/>
        <w:rPr>
          <w:rFonts w:ascii="Verdana" w:hAnsi="Verdana"/>
          <w:sz w:val="20"/>
          <w:szCs w:val="20"/>
        </w:rPr>
      </w:pPr>
    </w:p>
    <w:p w:rsidR="00B95CD6" w:rsidRPr="003A1222" w:rsidRDefault="00B95CD6" w:rsidP="00B95CD6">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3A1222">
        <w:rPr>
          <w:rFonts w:ascii="Verdana" w:hAnsi="Verdana"/>
          <w:sz w:val="20"/>
          <w:szCs w:val="20"/>
        </w:rPr>
        <w:t xml:space="preserve">La </w:t>
      </w:r>
      <w:r w:rsidRPr="003A1222">
        <w:rPr>
          <w:rFonts w:ascii="Verdana" w:hAnsi="Verdana" w:cs="Verdana"/>
          <w:b/>
          <w:i/>
          <w:sz w:val="20"/>
          <w:szCs w:val="20"/>
        </w:rPr>
        <w:t>Comisión</w:t>
      </w:r>
      <w:r w:rsidRPr="003A1222">
        <w:rPr>
          <w:rFonts w:ascii="Verdana" w:hAnsi="Verdana"/>
          <w:sz w:val="20"/>
          <w:szCs w:val="20"/>
        </w:rPr>
        <w:t xml:space="preserve"> </w:t>
      </w:r>
      <w:r w:rsidR="003A1222" w:rsidRPr="003A1222">
        <w:rPr>
          <w:rFonts w:ascii="Verdana" w:hAnsi="Verdana" w:cs="Verdana"/>
          <w:sz w:val="20"/>
          <w:szCs w:val="20"/>
        </w:rPr>
        <w:t xml:space="preserve">consideró </w:t>
      </w:r>
      <w:r w:rsidRPr="003A1222">
        <w:rPr>
          <w:rFonts w:ascii="Verdana" w:hAnsi="Verdana" w:cs="Verdana"/>
          <w:sz w:val="20"/>
          <w:szCs w:val="20"/>
        </w:rPr>
        <w:t>que del</w:t>
      </w:r>
      <w:r w:rsidR="003A1222" w:rsidRPr="003A1222">
        <w:rPr>
          <w:rFonts w:ascii="Verdana" w:hAnsi="Verdana" w:cs="Verdana"/>
          <w:sz w:val="20"/>
          <w:szCs w:val="20"/>
        </w:rPr>
        <w:t xml:space="preserve"> </w:t>
      </w:r>
      <w:r w:rsidR="00847B70">
        <w:rPr>
          <w:rFonts w:ascii="Verdana" w:hAnsi="Verdana" w:cs="Verdana"/>
          <w:sz w:val="20"/>
          <w:szCs w:val="20"/>
        </w:rPr>
        <w:t xml:space="preserve">párrafo 277 se desprende que lo </w:t>
      </w:r>
      <w:r w:rsidRPr="003A1222">
        <w:rPr>
          <w:rFonts w:ascii="Verdana" w:hAnsi="Verdana" w:cs="Verdana"/>
          <w:sz w:val="20"/>
          <w:szCs w:val="20"/>
        </w:rPr>
        <w:t>mencionado por el Estado pareciera ser</w:t>
      </w:r>
      <w:r w:rsidR="003A1222" w:rsidRPr="003A1222">
        <w:rPr>
          <w:rFonts w:ascii="Verdana" w:hAnsi="Verdana" w:cs="Verdana"/>
          <w:sz w:val="20"/>
          <w:szCs w:val="20"/>
        </w:rPr>
        <w:t xml:space="preserve"> </w:t>
      </w:r>
      <w:r w:rsidRPr="003A1222">
        <w:rPr>
          <w:rFonts w:ascii="Verdana" w:hAnsi="Verdana" w:cs="Verdana"/>
          <w:sz w:val="20"/>
          <w:szCs w:val="20"/>
        </w:rPr>
        <w:t>delegado a éste</w:t>
      </w:r>
      <w:r w:rsidR="00847B70">
        <w:rPr>
          <w:rFonts w:ascii="Verdana" w:hAnsi="Verdana" w:cs="Verdana"/>
          <w:sz w:val="20"/>
          <w:szCs w:val="20"/>
        </w:rPr>
        <w:t>,</w:t>
      </w:r>
      <w:r w:rsidRPr="003A1222">
        <w:rPr>
          <w:rFonts w:ascii="Verdana" w:hAnsi="Verdana" w:cs="Verdana"/>
          <w:sz w:val="20"/>
          <w:szCs w:val="20"/>
        </w:rPr>
        <w:t xml:space="preserve"> en cuanto a </w:t>
      </w:r>
      <w:r w:rsidR="00847B70">
        <w:rPr>
          <w:rFonts w:ascii="Verdana" w:hAnsi="Verdana" w:cs="Verdana"/>
          <w:sz w:val="20"/>
          <w:szCs w:val="20"/>
        </w:rPr>
        <w:t>determinar</w:t>
      </w:r>
      <w:r w:rsidRPr="003A1222">
        <w:rPr>
          <w:rFonts w:ascii="Verdana" w:hAnsi="Verdana" w:cs="Verdana"/>
          <w:sz w:val="20"/>
          <w:szCs w:val="20"/>
        </w:rPr>
        <w:t xml:space="preserve"> la necesidad de efectuar tales investigaciones sobre otras</w:t>
      </w:r>
      <w:r w:rsidR="003A1222" w:rsidRPr="003A1222">
        <w:rPr>
          <w:rFonts w:ascii="Verdana" w:hAnsi="Verdana" w:cs="Verdana"/>
          <w:sz w:val="20"/>
          <w:szCs w:val="20"/>
        </w:rPr>
        <w:t xml:space="preserve"> </w:t>
      </w:r>
      <w:r w:rsidRPr="003A1222">
        <w:rPr>
          <w:rFonts w:ascii="Verdana" w:hAnsi="Verdana" w:cs="Verdana"/>
          <w:sz w:val="20"/>
          <w:szCs w:val="20"/>
        </w:rPr>
        <w:t>posibles responsabilidades. En ese</w:t>
      </w:r>
      <w:r w:rsidR="003A1222" w:rsidRPr="003A1222">
        <w:rPr>
          <w:rFonts w:ascii="Verdana" w:hAnsi="Verdana" w:cs="Verdana"/>
          <w:sz w:val="20"/>
          <w:szCs w:val="20"/>
        </w:rPr>
        <w:t xml:space="preserve"> sentido, la Comisión consideró </w:t>
      </w:r>
      <w:r w:rsidRPr="003A1222">
        <w:rPr>
          <w:rFonts w:ascii="Verdana" w:hAnsi="Verdana" w:cs="Verdana"/>
          <w:sz w:val="20"/>
          <w:szCs w:val="20"/>
        </w:rPr>
        <w:t>que no hay vaguedad que deba ser</w:t>
      </w:r>
      <w:r w:rsidR="003A1222" w:rsidRPr="003A1222">
        <w:rPr>
          <w:rFonts w:ascii="Verdana" w:hAnsi="Verdana" w:cs="Verdana"/>
          <w:sz w:val="20"/>
          <w:szCs w:val="20"/>
        </w:rPr>
        <w:t xml:space="preserve"> </w:t>
      </w:r>
      <w:r w:rsidRPr="003A1222">
        <w:rPr>
          <w:rFonts w:ascii="Verdana" w:hAnsi="Verdana" w:cs="Verdana"/>
          <w:sz w:val="20"/>
          <w:szCs w:val="20"/>
        </w:rPr>
        <w:t>aclarada.</w:t>
      </w:r>
    </w:p>
    <w:p w:rsidR="00B95CD6" w:rsidRDefault="00B95CD6" w:rsidP="00577097">
      <w:pPr>
        <w:tabs>
          <w:tab w:val="left" w:pos="720"/>
          <w:tab w:val="left" w:pos="1530"/>
          <w:tab w:val="left" w:pos="2140"/>
        </w:tabs>
        <w:spacing w:after="0" w:line="240" w:lineRule="auto"/>
        <w:jc w:val="both"/>
        <w:rPr>
          <w:rFonts w:ascii="Verdana" w:hAnsi="Verdana"/>
          <w:sz w:val="20"/>
          <w:szCs w:val="20"/>
        </w:rPr>
      </w:pPr>
    </w:p>
    <w:p w:rsidR="00176016" w:rsidRDefault="00C136C6" w:rsidP="00176016">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95CD6">
        <w:rPr>
          <w:rFonts w:ascii="Verdana" w:hAnsi="Verdana"/>
          <w:sz w:val="20"/>
          <w:szCs w:val="20"/>
        </w:rPr>
        <w:t xml:space="preserve">Por parte de los </w:t>
      </w:r>
      <w:r w:rsidRPr="00B95CD6">
        <w:rPr>
          <w:rFonts w:ascii="Verdana" w:hAnsi="Verdana"/>
          <w:b/>
          <w:i/>
          <w:sz w:val="20"/>
          <w:szCs w:val="20"/>
        </w:rPr>
        <w:t>representantes</w:t>
      </w:r>
      <w:r w:rsidRPr="00B95CD6">
        <w:rPr>
          <w:rFonts w:ascii="Verdana" w:hAnsi="Verdana"/>
          <w:b/>
          <w:sz w:val="20"/>
          <w:szCs w:val="20"/>
        </w:rPr>
        <w:t xml:space="preserve">, </w:t>
      </w:r>
      <w:r w:rsidRPr="00B95CD6">
        <w:rPr>
          <w:rFonts w:ascii="Verdana" w:hAnsi="Verdana"/>
          <w:sz w:val="20"/>
          <w:szCs w:val="20"/>
        </w:rPr>
        <w:t xml:space="preserve">los defensores </w:t>
      </w:r>
      <w:r w:rsidR="00B95CD6" w:rsidRPr="00B95CD6">
        <w:rPr>
          <w:rFonts w:ascii="Verdana" w:hAnsi="Verdana"/>
          <w:sz w:val="20"/>
          <w:szCs w:val="20"/>
        </w:rPr>
        <w:t xml:space="preserve">consideraron relevante que el Tribunal se expida sobre </w:t>
      </w:r>
      <w:r w:rsidR="00B95CD6">
        <w:rPr>
          <w:rFonts w:ascii="Verdana" w:hAnsi="Verdana"/>
          <w:sz w:val="20"/>
          <w:szCs w:val="20"/>
        </w:rPr>
        <w:t xml:space="preserve">el </w:t>
      </w:r>
      <w:r w:rsidR="00B95CD6" w:rsidRPr="003A1222">
        <w:rPr>
          <w:rFonts w:ascii="Verdana" w:hAnsi="Verdana"/>
          <w:sz w:val="20"/>
          <w:szCs w:val="20"/>
        </w:rPr>
        <w:t>cuestionamiento del Estado.</w:t>
      </w:r>
      <w:r w:rsidRPr="003A1222">
        <w:rPr>
          <w:rFonts w:ascii="Verdana" w:hAnsi="Verdana"/>
          <w:sz w:val="20"/>
          <w:szCs w:val="20"/>
        </w:rPr>
        <w:t xml:space="preserve"> </w:t>
      </w:r>
      <w:r w:rsidR="00847B70">
        <w:rPr>
          <w:rFonts w:ascii="Verdana" w:hAnsi="Verdana"/>
          <w:sz w:val="20"/>
          <w:szCs w:val="20"/>
        </w:rPr>
        <w:t>E</w:t>
      </w:r>
      <w:r w:rsidRPr="003A1222">
        <w:rPr>
          <w:rFonts w:ascii="Verdana" w:hAnsi="Verdana"/>
          <w:sz w:val="20"/>
          <w:szCs w:val="20"/>
        </w:rPr>
        <w:t xml:space="preserve">l representante Coello señaló que el delito de tortura está precisado en el Código Penal peruano </w:t>
      </w:r>
      <w:r w:rsidR="00E674ED" w:rsidRPr="003A1222">
        <w:rPr>
          <w:rFonts w:ascii="Verdana" w:hAnsi="Verdana"/>
          <w:sz w:val="20"/>
          <w:szCs w:val="20"/>
        </w:rPr>
        <w:t xml:space="preserve">e involucra también </w:t>
      </w:r>
      <w:r w:rsidRPr="003A1222">
        <w:rPr>
          <w:rFonts w:ascii="Verdana" w:hAnsi="Verdana"/>
          <w:sz w:val="20"/>
          <w:szCs w:val="20"/>
        </w:rPr>
        <w:t>a aquellos que se</w:t>
      </w:r>
      <w:r w:rsidR="00E674ED" w:rsidRPr="003A1222">
        <w:rPr>
          <w:rFonts w:ascii="Verdana" w:hAnsi="Verdana"/>
          <w:sz w:val="20"/>
          <w:szCs w:val="20"/>
        </w:rPr>
        <w:t xml:space="preserve"> </w:t>
      </w:r>
      <w:r w:rsidRPr="003A1222">
        <w:rPr>
          <w:rFonts w:ascii="Verdana" w:hAnsi="Verdana"/>
          <w:sz w:val="20"/>
          <w:szCs w:val="20"/>
        </w:rPr>
        <w:t>vieron comprometidos en la omisión de la investigación</w:t>
      </w:r>
      <w:r w:rsidR="00E674ED" w:rsidRPr="003A1222">
        <w:rPr>
          <w:rFonts w:ascii="Verdana" w:hAnsi="Verdana"/>
          <w:sz w:val="20"/>
          <w:szCs w:val="20"/>
        </w:rPr>
        <w:t xml:space="preserve"> oportuna</w:t>
      </w:r>
      <w:r w:rsidRPr="003A1222">
        <w:rPr>
          <w:rFonts w:ascii="Verdana" w:hAnsi="Verdana"/>
          <w:sz w:val="20"/>
          <w:szCs w:val="20"/>
        </w:rPr>
        <w:t>, por lo que deviene en</w:t>
      </w:r>
      <w:r w:rsidR="00E674ED" w:rsidRPr="003A1222">
        <w:rPr>
          <w:rFonts w:ascii="Verdana" w:hAnsi="Verdana"/>
          <w:sz w:val="20"/>
          <w:szCs w:val="20"/>
        </w:rPr>
        <w:t xml:space="preserve"> </w:t>
      </w:r>
      <w:r w:rsidRPr="003A1222">
        <w:rPr>
          <w:rFonts w:ascii="Verdana" w:hAnsi="Verdana"/>
          <w:sz w:val="20"/>
          <w:szCs w:val="20"/>
        </w:rPr>
        <w:t>innecesaria la aclaración solicitada por el Estado</w:t>
      </w:r>
      <w:r w:rsidR="00176016">
        <w:rPr>
          <w:rFonts w:ascii="Verdana" w:hAnsi="Verdana"/>
          <w:sz w:val="20"/>
          <w:szCs w:val="20"/>
        </w:rPr>
        <w:t>.</w:t>
      </w:r>
      <w:r w:rsidRPr="003A1222">
        <w:rPr>
          <w:rFonts w:ascii="Verdana" w:hAnsi="Verdana"/>
          <w:sz w:val="20"/>
          <w:szCs w:val="20"/>
        </w:rPr>
        <w:t xml:space="preserve"> </w:t>
      </w:r>
    </w:p>
    <w:p w:rsidR="006C34AC" w:rsidRPr="002D0F33" w:rsidRDefault="006C34AC" w:rsidP="00176016">
      <w:pPr>
        <w:tabs>
          <w:tab w:val="left" w:pos="567"/>
        </w:tabs>
        <w:autoSpaceDE w:val="0"/>
        <w:autoSpaceDN w:val="0"/>
        <w:adjustRightInd w:val="0"/>
        <w:spacing w:after="0" w:line="240" w:lineRule="auto"/>
        <w:jc w:val="both"/>
        <w:rPr>
          <w:rFonts w:ascii="Verdana" w:hAnsi="Verdana"/>
          <w:sz w:val="20"/>
          <w:szCs w:val="20"/>
        </w:rPr>
      </w:pPr>
    </w:p>
    <w:p w:rsidR="00176016" w:rsidRPr="0089460F" w:rsidRDefault="00176016" w:rsidP="00176016">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D</w:t>
      </w:r>
      <w:r w:rsidRPr="0089460F">
        <w:rPr>
          <w:rFonts w:ascii="Verdana" w:eastAsia="Times" w:hAnsi="Verdana"/>
          <w:i/>
          <w:sz w:val="20"/>
          <w:szCs w:val="20"/>
        </w:rPr>
        <w:t>.2 Consideraciones de la Corte</w:t>
      </w:r>
    </w:p>
    <w:p w:rsidR="00176016" w:rsidRPr="00176016" w:rsidRDefault="00176016" w:rsidP="00176016">
      <w:pPr>
        <w:tabs>
          <w:tab w:val="left" w:pos="567"/>
        </w:tabs>
        <w:autoSpaceDE w:val="0"/>
        <w:autoSpaceDN w:val="0"/>
        <w:adjustRightInd w:val="0"/>
        <w:spacing w:after="0" w:line="240" w:lineRule="auto"/>
        <w:jc w:val="both"/>
        <w:rPr>
          <w:rFonts w:ascii="Verdana" w:hAnsi="Verdana"/>
          <w:sz w:val="20"/>
          <w:szCs w:val="20"/>
        </w:rPr>
      </w:pPr>
    </w:p>
    <w:p w:rsidR="00176016" w:rsidRPr="00176016" w:rsidRDefault="00176016" w:rsidP="00176016">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lang w:val="es-MX"/>
        </w:rPr>
        <w:t>En el párrafo 277 de la Sentencia, l</w:t>
      </w:r>
      <w:r w:rsidRPr="00176016">
        <w:rPr>
          <w:rFonts w:ascii="Verdana" w:hAnsi="Verdana"/>
          <w:sz w:val="20"/>
          <w:szCs w:val="20"/>
          <w:lang w:val="es-MX"/>
        </w:rPr>
        <w:t xml:space="preserve">a </w:t>
      </w:r>
      <w:r>
        <w:rPr>
          <w:rFonts w:ascii="Verdana" w:hAnsi="Verdana"/>
          <w:sz w:val="20"/>
          <w:szCs w:val="20"/>
          <w:lang w:val="es-MX"/>
        </w:rPr>
        <w:t>Corte ordenó a</w:t>
      </w:r>
      <w:r w:rsidRPr="00176016">
        <w:rPr>
          <w:rFonts w:ascii="Verdana" w:hAnsi="Verdana"/>
          <w:sz w:val="20"/>
          <w:szCs w:val="20"/>
          <w:lang w:val="es-MX"/>
        </w:rPr>
        <w:t>l Estado</w:t>
      </w:r>
      <w:r>
        <w:rPr>
          <w:rFonts w:ascii="Verdana" w:hAnsi="Verdana"/>
          <w:sz w:val="20"/>
          <w:szCs w:val="20"/>
          <w:lang w:val="es-MX"/>
        </w:rPr>
        <w:t xml:space="preserve"> que</w:t>
      </w:r>
      <w:r w:rsidRPr="00176016">
        <w:rPr>
          <w:rFonts w:ascii="Verdana" w:hAnsi="Verdana"/>
          <w:sz w:val="20"/>
          <w:szCs w:val="20"/>
          <w:lang w:val="es-MX"/>
        </w:rPr>
        <w:t xml:space="preserve"> continúe y concluya</w:t>
      </w:r>
      <w:r w:rsidR="008C5AE0">
        <w:rPr>
          <w:rFonts w:ascii="Verdana" w:hAnsi="Verdana"/>
          <w:sz w:val="20"/>
          <w:szCs w:val="20"/>
          <w:lang w:val="es-MX"/>
        </w:rPr>
        <w:t xml:space="preserve"> </w:t>
      </w:r>
      <w:r w:rsidRPr="00176016">
        <w:rPr>
          <w:rFonts w:ascii="Verdana" w:hAnsi="Verdana"/>
          <w:sz w:val="20"/>
          <w:szCs w:val="20"/>
          <w:lang w:val="es-MX"/>
        </w:rPr>
        <w:t xml:space="preserve">la investigación actualmente en curso por los hechos relacionados con la tortura y otros tratos crueles, inhumanos o degradantes </w:t>
      </w:r>
      <w:r w:rsidR="008C5AE0">
        <w:rPr>
          <w:rFonts w:ascii="Verdana" w:hAnsi="Verdana"/>
          <w:sz w:val="20"/>
          <w:szCs w:val="20"/>
          <w:lang w:val="es-MX"/>
        </w:rPr>
        <w:t>cometidos contra</w:t>
      </w:r>
      <w:r w:rsidRPr="00176016">
        <w:rPr>
          <w:rFonts w:ascii="Verdana" w:hAnsi="Verdana"/>
          <w:sz w:val="20"/>
          <w:szCs w:val="20"/>
          <w:lang w:val="es-MX"/>
        </w:rPr>
        <w:t xml:space="preserve"> el señor Pollo Rivera y, </w:t>
      </w:r>
      <w:r w:rsidR="008C5AE0">
        <w:rPr>
          <w:rFonts w:ascii="Verdana" w:hAnsi="Verdana"/>
          <w:sz w:val="20"/>
          <w:szCs w:val="20"/>
          <w:lang w:val="es-MX"/>
        </w:rPr>
        <w:t>en su caso,</w:t>
      </w:r>
      <w:r w:rsidRPr="00176016">
        <w:rPr>
          <w:rFonts w:ascii="Verdana" w:hAnsi="Verdana"/>
          <w:sz w:val="20"/>
          <w:szCs w:val="20"/>
          <w:lang w:val="es-MX"/>
        </w:rPr>
        <w:t xml:space="preserve"> procesar y</w:t>
      </w:r>
      <w:r w:rsidR="008C5AE0">
        <w:rPr>
          <w:rFonts w:ascii="Verdana" w:hAnsi="Verdana"/>
          <w:sz w:val="20"/>
          <w:szCs w:val="20"/>
          <w:lang w:val="es-MX"/>
        </w:rPr>
        <w:t xml:space="preserve"> </w:t>
      </w:r>
      <w:r w:rsidRPr="00176016">
        <w:rPr>
          <w:rFonts w:ascii="Verdana" w:hAnsi="Verdana"/>
          <w:sz w:val="20"/>
          <w:szCs w:val="20"/>
          <w:lang w:val="es-MX"/>
        </w:rPr>
        <w:t xml:space="preserve">sancionar a los responsables a través de las autoridades competentes. Además, </w:t>
      </w:r>
      <w:r>
        <w:rPr>
          <w:rFonts w:ascii="Verdana" w:hAnsi="Verdana"/>
          <w:sz w:val="20"/>
          <w:szCs w:val="20"/>
          <w:lang w:val="es-MX"/>
        </w:rPr>
        <w:t>dispuso que “</w:t>
      </w:r>
      <w:r w:rsidRPr="00176016">
        <w:rPr>
          <w:rFonts w:ascii="Verdana" w:hAnsi="Verdana"/>
          <w:sz w:val="20"/>
          <w:szCs w:val="20"/>
          <w:lang w:val="es-MX"/>
        </w:rPr>
        <w:t>corresponde al Estado determinar si procede la apertura de otro tipo de investigaciones administrativas o disciplinarias en relación con esos hechos</w:t>
      </w:r>
      <w:r>
        <w:rPr>
          <w:rFonts w:ascii="Verdana" w:hAnsi="Verdana"/>
          <w:sz w:val="20"/>
          <w:szCs w:val="20"/>
          <w:lang w:val="es-MX"/>
        </w:rPr>
        <w:t>”</w:t>
      </w:r>
      <w:r w:rsidRPr="00176016">
        <w:rPr>
          <w:rFonts w:ascii="Verdana" w:hAnsi="Verdana"/>
          <w:sz w:val="20"/>
          <w:szCs w:val="20"/>
          <w:lang w:val="es-MX"/>
        </w:rPr>
        <w:t>.</w:t>
      </w:r>
    </w:p>
    <w:p w:rsidR="00176016" w:rsidRPr="00176016" w:rsidRDefault="00176016" w:rsidP="00176016">
      <w:pPr>
        <w:tabs>
          <w:tab w:val="left" w:pos="567"/>
        </w:tabs>
        <w:autoSpaceDE w:val="0"/>
        <w:autoSpaceDN w:val="0"/>
        <w:adjustRightInd w:val="0"/>
        <w:spacing w:after="0" w:line="240" w:lineRule="auto"/>
        <w:jc w:val="both"/>
        <w:rPr>
          <w:rFonts w:ascii="Verdana" w:hAnsi="Verdana"/>
          <w:sz w:val="20"/>
          <w:szCs w:val="20"/>
        </w:rPr>
      </w:pPr>
    </w:p>
    <w:p w:rsidR="00CF39BE" w:rsidRPr="00321323" w:rsidRDefault="00CF39BE" w:rsidP="00577097">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176016">
        <w:rPr>
          <w:rFonts w:ascii="Verdana" w:hAnsi="Verdana"/>
          <w:sz w:val="20"/>
          <w:szCs w:val="20"/>
          <w:lang w:val="es-MX"/>
        </w:rPr>
        <w:t xml:space="preserve">En </w:t>
      </w:r>
      <w:r w:rsidR="00176016">
        <w:rPr>
          <w:rFonts w:ascii="Verdana" w:hAnsi="Verdana"/>
          <w:sz w:val="20"/>
          <w:szCs w:val="20"/>
          <w:lang w:val="es-MX"/>
        </w:rPr>
        <w:t xml:space="preserve">primer término, es oportuno recordar que, </w:t>
      </w:r>
      <w:r w:rsidR="008C5AE0">
        <w:rPr>
          <w:rFonts w:ascii="Verdana" w:hAnsi="Verdana"/>
          <w:sz w:val="20"/>
          <w:szCs w:val="20"/>
          <w:lang w:val="es-MX"/>
        </w:rPr>
        <w:t>según refirió</w:t>
      </w:r>
      <w:r w:rsidRPr="00176016">
        <w:rPr>
          <w:rFonts w:ascii="Verdana" w:hAnsi="Verdana"/>
          <w:sz w:val="20"/>
          <w:szCs w:val="20"/>
          <w:lang w:val="es-MX"/>
        </w:rPr>
        <w:t xml:space="preserve"> el Estado, </w:t>
      </w:r>
      <w:r w:rsidR="00176016">
        <w:rPr>
          <w:rFonts w:ascii="Verdana" w:hAnsi="Verdana"/>
          <w:sz w:val="20"/>
          <w:szCs w:val="20"/>
          <w:lang w:val="es-MX"/>
        </w:rPr>
        <w:t xml:space="preserve">consta que </w:t>
      </w:r>
      <w:r w:rsidRPr="00176016">
        <w:rPr>
          <w:rFonts w:ascii="Verdana" w:hAnsi="Verdana"/>
          <w:sz w:val="20"/>
          <w:szCs w:val="20"/>
          <w:lang w:val="es-MX"/>
        </w:rPr>
        <w:t xml:space="preserve">la Comisión también solicitó a </w:t>
      </w:r>
      <w:r w:rsidR="00321323">
        <w:rPr>
          <w:rFonts w:ascii="Verdana" w:hAnsi="Verdana"/>
          <w:sz w:val="20"/>
          <w:szCs w:val="20"/>
          <w:lang w:val="es-MX"/>
        </w:rPr>
        <w:t xml:space="preserve">la Corte que </w:t>
      </w:r>
      <w:r w:rsidR="008C5AE0">
        <w:rPr>
          <w:rFonts w:ascii="Verdana" w:hAnsi="Verdana"/>
          <w:sz w:val="20"/>
          <w:szCs w:val="20"/>
          <w:lang w:val="es-MX"/>
        </w:rPr>
        <w:t xml:space="preserve">le </w:t>
      </w:r>
      <w:r w:rsidR="00321323">
        <w:rPr>
          <w:rFonts w:ascii="Verdana" w:hAnsi="Verdana"/>
          <w:sz w:val="20"/>
          <w:szCs w:val="20"/>
          <w:lang w:val="es-MX"/>
        </w:rPr>
        <w:t>ordenara</w:t>
      </w:r>
      <w:r w:rsidRPr="00176016">
        <w:rPr>
          <w:rFonts w:ascii="Verdana" w:hAnsi="Verdana"/>
          <w:sz w:val="20"/>
          <w:szCs w:val="20"/>
          <w:lang w:val="es-MX"/>
        </w:rPr>
        <w:t xml:space="preserve"> disponer las medidas administrativas, </w:t>
      </w:r>
      <w:r w:rsidRPr="00176016">
        <w:rPr>
          <w:rFonts w:ascii="Verdana" w:hAnsi="Verdana"/>
          <w:sz w:val="20"/>
          <w:szCs w:val="20"/>
          <w:lang w:val="es-MX"/>
        </w:rPr>
        <w:lastRenderedPageBreak/>
        <w:t>disciplinarias o penales correspondientes frente a las acciones u omisiones de los funcionarios que contribuyeron a la denegación de justicia.</w:t>
      </w:r>
    </w:p>
    <w:p w:rsidR="00321323" w:rsidRDefault="00321323" w:rsidP="00321323">
      <w:pPr>
        <w:tabs>
          <w:tab w:val="left" w:pos="567"/>
        </w:tabs>
        <w:autoSpaceDE w:val="0"/>
        <w:autoSpaceDN w:val="0"/>
        <w:adjustRightInd w:val="0"/>
        <w:spacing w:after="0" w:line="240" w:lineRule="auto"/>
        <w:jc w:val="both"/>
        <w:rPr>
          <w:rFonts w:ascii="Verdana" w:hAnsi="Verdana"/>
          <w:sz w:val="20"/>
          <w:szCs w:val="20"/>
        </w:rPr>
      </w:pPr>
    </w:p>
    <w:p w:rsidR="00321323" w:rsidRPr="002C3783" w:rsidRDefault="00321323" w:rsidP="00321323">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En este caso fue establecida la responsabilidad del Estado porque </w:t>
      </w:r>
      <w:r w:rsidRPr="00321323">
        <w:rPr>
          <w:rFonts w:ascii="Verdana" w:hAnsi="Verdana" w:cs="Helvetica"/>
          <w:sz w:val="20"/>
          <w:szCs w:val="20"/>
          <w:lang w:val="es-MX" w:bidi="en-US"/>
        </w:rPr>
        <w:t xml:space="preserve">el señor Pollo Rivera fue </w:t>
      </w:r>
      <w:r>
        <w:rPr>
          <w:rFonts w:ascii="Verdana" w:hAnsi="Verdana" w:cs="Helvetica"/>
          <w:sz w:val="20"/>
          <w:szCs w:val="20"/>
          <w:lang w:val="es-MX" w:bidi="en-US"/>
        </w:rPr>
        <w:t xml:space="preserve">sometido a actos de tortura </w:t>
      </w:r>
      <w:r w:rsidRPr="00321323">
        <w:rPr>
          <w:rFonts w:ascii="Verdana" w:hAnsi="Verdana" w:cs="Helvetica"/>
          <w:sz w:val="20"/>
          <w:szCs w:val="20"/>
          <w:lang w:val="es-MX" w:bidi="en-US"/>
        </w:rPr>
        <w:t xml:space="preserve">por parte de agentes policiales </w:t>
      </w:r>
      <w:r w:rsidRPr="00B12A37">
        <w:rPr>
          <w:rFonts w:ascii="Verdana" w:hAnsi="Verdana" w:cs="Helvetica"/>
          <w:sz w:val="20"/>
          <w:szCs w:val="20"/>
          <w:lang w:val="es-MX" w:bidi="en-US"/>
        </w:rPr>
        <w:t xml:space="preserve">mientras estuvo detenido en la DINCOTE, aproximadamente entre el 5 y el 7 de noviembre de 1992, </w:t>
      </w:r>
      <w:r w:rsidR="002C3783">
        <w:rPr>
          <w:rFonts w:ascii="Verdana" w:hAnsi="Verdana" w:cs="Helvetica"/>
          <w:sz w:val="20"/>
          <w:szCs w:val="20"/>
          <w:lang w:val="es-MX" w:bidi="en-US"/>
        </w:rPr>
        <w:t>así como</w:t>
      </w:r>
      <w:r w:rsidR="008C5AE0">
        <w:rPr>
          <w:rFonts w:ascii="Verdana" w:hAnsi="Verdana" w:cs="Helvetica"/>
          <w:sz w:val="20"/>
          <w:szCs w:val="20"/>
          <w:lang w:val="es-MX" w:bidi="en-US"/>
        </w:rPr>
        <w:t xml:space="preserve"> a</w:t>
      </w:r>
      <w:r w:rsidR="002C3783" w:rsidRPr="00B12A37">
        <w:rPr>
          <w:rFonts w:ascii="Verdana" w:hAnsi="Verdana" w:cs="Helvetica"/>
          <w:sz w:val="20"/>
          <w:szCs w:val="20"/>
          <w:lang w:val="es-MX" w:bidi="en-US"/>
        </w:rPr>
        <w:t xml:space="preserve"> otros tratos crueles, inhumanos o </w:t>
      </w:r>
      <w:r w:rsidR="002C3783" w:rsidRPr="00B12A37">
        <w:rPr>
          <w:rFonts w:ascii="Verdana" w:eastAsia="Times New Roman" w:hAnsi="Verdana" w:cs="Tahoma"/>
          <w:sz w:val="20"/>
          <w:szCs w:val="20"/>
          <w:lang w:val="es-MX"/>
        </w:rPr>
        <w:t>degradantes</w:t>
      </w:r>
      <w:r w:rsidR="002C3783">
        <w:rPr>
          <w:rFonts w:ascii="Verdana" w:eastAsia="Times New Roman" w:hAnsi="Verdana" w:cs="Tahoma"/>
          <w:sz w:val="20"/>
          <w:szCs w:val="20"/>
          <w:lang w:val="es-MX"/>
        </w:rPr>
        <w:t xml:space="preserve"> mientras permaneció detenido. </w:t>
      </w:r>
      <w:r w:rsidR="002C3783" w:rsidRPr="00B12A37">
        <w:rPr>
          <w:rFonts w:ascii="Verdana" w:eastAsia="Times New Roman" w:hAnsi="Verdana"/>
          <w:sz w:val="20"/>
          <w:szCs w:val="20"/>
          <w:lang w:val="es-MX"/>
        </w:rPr>
        <w:t xml:space="preserve">En este sentido, </w:t>
      </w:r>
      <w:r w:rsidR="002C3783">
        <w:rPr>
          <w:rFonts w:ascii="Verdana" w:eastAsia="Times New Roman" w:hAnsi="Verdana"/>
          <w:sz w:val="20"/>
          <w:szCs w:val="20"/>
          <w:lang w:val="es-MX"/>
        </w:rPr>
        <w:t xml:space="preserve">fue establecido </w:t>
      </w:r>
      <w:r w:rsidR="002C3783" w:rsidRPr="00B12A37">
        <w:rPr>
          <w:rFonts w:ascii="Verdana" w:eastAsia="Times New Roman" w:hAnsi="Verdana"/>
          <w:sz w:val="20"/>
          <w:szCs w:val="20"/>
          <w:lang w:val="es-MX"/>
        </w:rPr>
        <w:t xml:space="preserve">que </w:t>
      </w:r>
      <w:r w:rsidR="008C5AE0">
        <w:rPr>
          <w:rFonts w:ascii="Verdana" w:eastAsia="Times New Roman" w:hAnsi="Verdana"/>
          <w:sz w:val="20"/>
          <w:szCs w:val="20"/>
          <w:lang w:val="es-MX"/>
        </w:rPr>
        <w:t xml:space="preserve">la víctima </w:t>
      </w:r>
      <w:r w:rsidR="002C3783" w:rsidRPr="00B12A37">
        <w:rPr>
          <w:rFonts w:ascii="Verdana" w:eastAsia="Times New Roman" w:hAnsi="Verdana"/>
          <w:sz w:val="20"/>
          <w:szCs w:val="20"/>
          <w:lang w:val="es-MX"/>
        </w:rPr>
        <w:t xml:space="preserve">declaró en septiembre de 1994 ante un fiscal militar y, posteriormente, en septiembre de 2003 ante la Sala Penal de Terrorismo, que había sido objeto de </w:t>
      </w:r>
      <w:r w:rsidR="002C3783">
        <w:rPr>
          <w:rFonts w:ascii="Verdana" w:eastAsia="Times New Roman" w:hAnsi="Verdana"/>
          <w:sz w:val="20"/>
          <w:szCs w:val="20"/>
          <w:lang w:val="es-MX"/>
        </w:rPr>
        <w:t>actos de tortura</w:t>
      </w:r>
      <w:r w:rsidR="002C3783" w:rsidRPr="00B12A37">
        <w:rPr>
          <w:rFonts w:ascii="Verdana" w:eastAsia="Times New Roman" w:hAnsi="Verdana"/>
          <w:sz w:val="20"/>
          <w:szCs w:val="20"/>
          <w:lang w:val="es-MX"/>
        </w:rPr>
        <w:t xml:space="preserve"> </w:t>
      </w:r>
      <w:r w:rsidR="002C3783">
        <w:rPr>
          <w:rFonts w:ascii="Verdana" w:eastAsia="Times New Roman" w:hAnsi="Verdana"/>
          <w:sz w:val="20"/>
          <w:szCs w:val="20"/>
          <w:lang w:val="es-MX"/>
        </w:rPr>
        <w:t xml:space="preserve">para </w:t>
      </w:r>
      <w:r w:rsidR="002C3783" w:rsidRPr="00B12A37">
        <w:rPr>
          <w:rFonts w:ascii="Verdana" w:eastAsia="Times New Roman" w:hAnsi="Verdana"/>
          <w:sz w:val="20"/>
          <w:szCs w:val="20"/>
          <w:lang w:val="es-MX"/>
        </w:rPr>
        <w:t>extrae</w:t>
      </w:r>
      <w:r w:rsidR="002C3783">
        <w:rPr>
          <w:rFonts w:ascii="Verdana" w:eastAsia="Times New Roman" w:hAnsi="Verdana"/>
          <w:sz w:val="20"/>
          <w:szCs w:val="20"/>
          <w:lang w:val="es-MX"/>
        </w:rPr>
        <w:t>rle una confesión o información. La Corte consideró que, a</w:t>
      </w:r>
      <w:r w:rsidR="002C3783" w:rsidRPr="00B12A37">
        <w:rPr>
          <w:rFonts w:ascii="Verdana" w:eastAsia="Times New Roman" w:hAnsi="Verdana"/>
          <w:sz w:val="20"/>
          <w:szCs w:val="20"/>
          <w:lang w:val="es-MX" w:eastAsia="es-CR"/>
        </w:rPr>
        <w:t xml:space="preserve">nte tales declaraciones, </w:t>
      </w:r>
      <w:r w:rsidR="002C3783">
        <w:rPr>
          <w:rFonts w:ascii="Verdana" w:eastAsia="Times New Roman" w:hAnsi="Verdana"/>
          <w:sz w:val="20"/>
          <w:szCs w:val="20"/>
          <w:lang w:val="es-MX" w:eastAsia="es-CR"/>
        </w:rPr>
        <w:t>“</w:t>
      </w:r>
      <w:r w:rsidR="002C3783" w:rsidRPr="00B12A37">
        <w:rPr>
          <w:rFonts w:ascii="Verdana" w:eastAsia="Times New Roman" w:hAnsi="Verdana"/>
          <w:sz w:val="20"/>
          <w:szCs w:val="20"/>
          <w:lang w:val="es-MX"/>
        </w:rPr>
        <w:t>es claro que el Estado debió investigar si los alegados actos podían resultar constitutivos de tortura u otros tratos crueles, inhumanos o degradantes o de algún otro delito en particular</w:t>
      </w:r>
      <w:r w:rsidR="002C3783">
        <w:rPr>
          <w:rFonts w:ascii="Verdana" w:eastAsia="Times New Roman" w:hAnsi="Verdana"/>
          <w:sz w:val="20"/>
          <w:szCs w:val="20"/>
          <w:lang w:val="es-MX"/>
        </w:rPr>
        <w:t>” y que</w:t>
      </w:r>
      <w:r w:rsidR="002C3783" w:rsidRPr="00B12A37">
        <w:rPr>
          <w:rFonts w:ascii="Verdana" w:eastAsia="Times New Roman" w:hAnsi="Verdana"/>
          <w:sz w:val="20"/>
          <w:szCs w:val="20"/>
          <w:lang w:val="es-MX"/>
        </w:rPr>
        <w:t xml:space="preserve"> esos hechos</w:t>
      </w:r>
      <w:r w:rsidR="008C5AE0">
        <w:rPr>
          <w:rFonts w:ascii="Verdana" w:eastAsia="Times New Roman" w:hAnsi="Verdana"/>
          <w:sz w:val="20"/>
          <w:szCs w:val="20"/>
          <w:lang w:val="es-MX"/>
        </w:rPr>
        <w:t xml:space="preserve"> “</w:t>
      </w:r>
      <w:r w:rsidR="002C3783" w:rsidRPr="00B12A37">
        <w:rPr>
          <w:rFonts w:ascii="Verdana" w:eastAsia="Times New Roman" w:hAnsi="Verdana"/>
          <w:sz w:val="20"/>
          <w:szCs w:val="20"/>
          <w:lang w:val="es-MX"/>
        </w:rPr>
        <w:t xml:space="preserve">no fueron oportunamente investigados desde que la </w:t>
      </w:r>
      <w:r w:rsidR="002C3783">
        <w:rPr>
          <w:rFonts w:ascii="Verdana" w:eastAsia="Times New Roman" w:hAnsi="Verdana"/>
          <w:sz w:val="20"/>
          <w:szCs w:val="20"/>
          <w:lang w:val="es-MX"/>
        </w:rPr>
        <w:t>[…]</w:t>
      </w:r>
      <w:r w:rsidR="002C3783" w:rsidRPr="00B12A37">
        <w:rPr>
          <w:rFonts w:ascii="Verdana" w:eastAsia="Times New Roman" w:hAnsi="Verdana"/>
          <w:sz w:val="20"/>
          <w:szCs w:val="20"/>
          <w:lang w:val="es-MX"/>
        </w:rPr>
        <w:t xml:space="preserve"> víctima así lo manifestó ante autoridades estatales, al menos desde septiembre de 1994</w:t>
      </w:r>
      <w:r w:rsidR="002C3783">
        <w:rPr>
          <w:rFonts w:ascii="Verdana" w:eastAsia="Times New Roman" w:hAnsi="Verdana"/>
          <w:sz w:val="20"/>
          <w:szCs w:val="20"/>
          <w:lang w:val="es-MX"/>
        </w:rPr>
        <w:t>”</w:t>
      </w:r>
      <w:r w:rsidR="002C3783" w:rsidRPr="00B12A37">
        <w:rPr>
          <w:rFonts w:ascii="Verdana" w:eastAsia="Times New Roman" w:hAnsi="Verdana"/>
          <w:sz w:val="20"/>
          <w:szCs w:val="20"/>
          <w:lang w:val="es-MX"/>
        </w:rPr>
        <w:t>.</w:t>
      </w:r>
    </w:p>
    <w:p w:rsidR="002C3783" w:rsidRPr="002C3783" w:rsidRDefault="002C3783" w:rsidP="002C3783">
      <w:pPr>
        <w:tabs>
          <w:tab w:val="left" w:pos="567"/>
        </w:tabs>
        <w:autoSpaceDE w:val="0"/>
        <w:autoSpaceDN w:val="0"/>
        <w:adjustRightInd w:val="0"/>
        <w:spacing w:after="0" w:line="240" w:lineRule="auto"/>
        <w:jc w:val="both"/>
        <w:rPr>
          <w:rFonts w:ascii="Verdana" w:hAnsi="Verdana"/>
          <w:sz w:val="20"/>
          <w:szCs w:val="20"/>
        </w:rPr>
      </w:pPr>
    </w:p>
    <w:p w:rsidR="002C3783" w:rsidRPr="002C3783" w:rsidRDefault="002C3783" w:rsidP="00577097">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De </w:t>
      </w:r>
      <w:r w:rsidRPr="009C364A">
        <w:rPr>
          <w:rFonts w:ascii="Verdana" w:hAnsi="Verdana"/>
          <w:sz w:val="20"/>
          <w:szCs w:val="20"/>
        </w:rPr>
        <w:t xml:space="preserve">tal modo, </w:t>
      </w:r>
      <w:r w:rsidR="008E1262" w:rsidRPr="009C364A">
        <w:rPr>
          <w:rFonts w:ascii="Verdana" w:hAnsi="Verdana"/>
          <w:bCs/>
          <w:sz w:val="20"/>
          <w:szCs w:val="20"/>
          <w:lang w:val="es-MX"/>
        </w:rPr>
        <w:t xml:space="preserve">precisamente en razón de las posibles responsabilidades asociadas a </w:t>
      </w:r>
      <w:r w:rsidR="00122412">
        <w:rPr>
          <w:rFonts w:ascii="Verdana" w:hAnsi="Verdana"/>
          <w:bCs/>
          <w:sz w:val="20"/>
          <w:szCs w:val="20"/>
          <w:lang w:val="es-MX"/>
        </w:rPr>
        <w:t xml:space="preserve">tales </w:t>
      </w:r>
      <w:r w:rsidR="004B1AB0">
        <w:rPr>
          <w:rFonts w:ascii="Verdana" w:hAnsi="Verdana"/>
          <w:bCs/>
          <w:sz w:val="20"/>
          <w:szCs w:val="20"/>
          <w:lang w:val="es-MX"/>
        </w:rPr>
        <w:t xml:space="preserve">actos, </w:t>
      </w:r>
      <w:r w:rsidR="008E1262" w:rsidRPr="009C364A">
        <w:rPr>
          <w:rFonts w:ascii="Verdana" w:hAnsi="Verdana"/>
          <w:bCs/>
          <w:sz w:val="20"/>
          <w:szCs w:val="20"/>
          <w:lang w:val="es-MX"/>
        </w:rPr>
        <w:t xml:space="preserve">que pueden tener relevancia administrativa o disciplinaria además </w:t>
      </w:r>
      <w:r w:rsidR="00F05BF3">
        <w:rPr>
          <w:rFonts w:ascii="Verdana" w:hAnsi="Verdana"/>
          <w:bCs/>
          <w:sz w:val="20"/>
          <w:szCs w:val="20"/>
          <w:lang w:val="es-MX"/>
        </w:rPr>
        <w:t>-</w:t>
      </w:r>
      <w:r w:rsidR="008E1262" w:rsidRPr="009C364A">
        <w:rPr>
          <w:rFonts w:ascii="Verdana" w:hAnsi="Verdana"/>
          <w:bCs/>
          <w:sz w:val="20"/>
          <w:szCs w:val="20"/>
          <w:lang w:val="es-MX"/>
        </w:rPr>
        <w:t>o más allá</w:t>
      </w:r>
      <w:r w:rsidR="00F05BF3">
        <w:rPr>
          <w:rFonts w:ascii="Verdana" w:hAnsi="Verdana"/>
          <w:bCs/>
          <w:sz w:val="20"/>
          <w:szCs w:val="20"/>
          <w:lang w:val="es-MX"/>
        </w:rPr>
        <w:t>-</w:t>
      </w:r>
      <w:r w:rsidR="008E1262" w:rsidRPr="009C364A">
        <w:rPr>
          <w:rFonts w:ascii="Verdana" w:hAnsi="Verdana"/>
          <w:bCs/>
          <w:sz w:val="20"/>
          <w:szCs w:val="20"/>
          <w:lang w:val="es-MX"/>
        </w:rPr>
        <w:t xml:space="preserve"> de lo estrictamente penal, </w:t>
      </w:r>
      <w:r w:rsidRPr="009C364A">
        <w:rPr>
          <w:rFonts w:ascii="Verdana" w:hAnsi="Verdana"/>
          <w:sz w:val="20"/>
          <w:szCs w:val="20"/>
        </w:rPr>
        <w:t xml:space="preserve">en los términos del párrafo 277 </w:t>
      </w:r>
      <w:r w:rsidRPr="009C364A">
        <w:rPr>
          <w:rFonts w:ascii="Verdana" w:hAnsi="Verdana"/>
          <w:i/>
          <w:sz w:val="20"/>
          <w:szCs w:val="20"/>
        </w:rPr>
        <w:t xml:space="preserve">in fine </w:t>
      </w:r>
      <w:r w:rsidRPr="009C364A">
        <w:rPr>
          <w:rFonts w:ascii="Verdana" w:hAnsi="Verdana"/>
          <w:sz w:val="20"/>
          <w:szCs w:val="20"/>
        </w:rPr>
        <w:t>de la Sentencia quedó</w:t>
      </w:r>
      <w:r w:rsidR="009C364A" w:rsidRPr="009C364A">
        <w:rPr>
          <w:rFonts w:ascii="Verdana" w:hAnsi="Verdana"/>
          <w:sz w:val="20"/>
          <w:szCs w:val="20"/>
        </w:rPr>
        <w:t xml:space="preserve"> a criterio de las autoridades estatales competentes </w:t>
      </w:r>
      <w:r w:rsidRPr="009C364A">
        <w:rPr>
          <w:rFonts w:ascii="Verdana" w:hAnsi="Verdana"/>
          <w:bCs/>
          <w:sz w:val="20"/>
          <w:szCs w:val="20"/>
          <w:lang w:val="es-MX"/>
        </w:rPr>
        <w:t>determinar si procede investigar</w:t>
      </w:r>
      <w:r w:rsidR="008E1262" w:rsidRPr="009C364A">
        <w:rPr>
          <w:rFonts w:ascii="Verdana" w:hAnsi="Verdana"/>
          <w:bCs/>
          <w:sz w:val="20"/>
          <w:szCs w:val="20"/>
          <w:lang w:val="es-MX"/>
        </w:rPr>
        <w:t xml:space="preserve"> esas otras responsabilidades </w:t>
      </w:r>
      <w:r w:rsidRPr="009C364A">
        <w:rPr>
          <w:rFonts w:ascii="Verdana" w:hAnsi="Verdana"/>
          <w:bCs/>
          <w:sz w:val="20"/>
          <w:szCs w:val="20"/>
          <w:lang w:val="es-MX"/>
        </w:rPr>
        <w:t>en relación con esos hechos</w:t>
      </w:r>
      <w:r w:rsidR="008E1262" w:rsidRPr="009C364A">
        <w:rPr>
          <w:rFonts w:ascii="Verdana" w:hAnsi="Verdana"/>
          <w:bCs/>
          <w:sz w:val="20"/>
          <w:szCs w:val="20"/>
          <w:lang w:val="es-MX"/>
        </w:rPr>
        <w:t xml:space="preserve">. </w:t>
      </w:r>
      <w:r w:rsidRPr="009C364A">
        <w:rPr>
          <w:rFonts w:ascii="Verdana" w:hAnsi="Verdana"/>
          <w:bCs/>
          <w:sz w:val="20"/>
          <w:szCs w:val="20"/>
          <w:lang w:val="es-MX"/>
        </w:rPr>
        <w:t xml:space="preserve">En consecuencia, </w:t>
      </w:r>
      <w:r w:rsidR="009C364A" w:rsidRPr="009C364A">
        <w:rPr>
          <w:rFonts w:ascii="Verdana" w:hAnsi="Verdana" w:cs="Helvetica"/>
          <w:sz w:val="20"/>
          <w:szCs w:val="20"/>
          <w:lang w:val="es-MX" w:bidi="en-US"/>
        </w:rPr>
        <w:t>el texto del referido párrafo 277 es suficientemente claro y preciso, por lo cual la solicitud de interpretación es improcedente.</w:t>
      </w:r>
    </w:p>
    <w:p w:rsidR="002E0811" w:rsidRPr="00BE133F" w:rsidRDefault="002E0811" w:rsidP="00577097">
      <w:pPr>
        <w:tabs>
          <w:tab w:val="left" w:pos="720"/>
          <w:tab w:val="left" w:pos="1530"/>
          <w:tab w:val="left" w:pos="2140"/>
        </w:tabs>
        <w:spacing w:after="0" w:line="240" w:lineRule="auto"/>
        <w:jc w:val="both"/>
        <w:rPr>
          <w:rFonts w:ascii="Verdana" w:hAnsi="Verdana"/>
          <w:sz w:val="20"/>
          <w:szCs w:val="20"/>
        </w:rPr>
      </w:pP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V</w:t>
      </w: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 xml:space="preserve">PUNTOS RESOLUTIVOS </w:t>
      </w:r>
    </w:p>
    <w:p w:rsidR="00577097" w:rsidRPr="00BE133F" w:rsidRDefault="00577097" w:rsidP="00577097">
      <w:pPr>
        <w:spacing w:after="0" w:line="240" w:lineRule="auto"/>
        <w:jc w:val="center"/>
        <w:rPr>
          <w:rFonts w:ascii="Verdana" w:hAnsi="Verdana" w:cs="Arial"/>
          <w:i/>
          <w:sz w:val="20"/>
          <w:szCs w:val="20"/>
        </w:rPr>
      </w:pPr>
    </w:p>
    <w:p w:rsidR="00577097" w:rsidRPr="00BE133F" w:rsidRDefault="00577097" w:rsidP="00577097">
      <w:pPr>
        <w:numPr>
          <w:ilvl w:val="0"/>
          <w:numId w:val="1"/>
        </w:numPr>
        <w:spacing w:after="0" w:line="240" w:lineRule="auto"/>
        <w:jc w:val="both"/>
        <w:rPr>
          <w:rFonts w:ascii="Verdana" w:hAnsi="Verdana" w:cs="Arial"/>
          <w:b/>
          <w:i/>
          <w:sz w:val="20"/>
          <w:szCs w:val="20"/>
        </w:rPr>
      </w:pPr>
      <w:r w:rsidRPr="00BE133F">
        <w:rPr>
          <w:rFonts w:ascii="Verdana" w:hAnsi="Verdana"/>
          <w:sz w:val="20"/>
          <w:szCs w:val="20"/>
        </w:rPr>
        <w:t xml:space="preserve">Por tanto, </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 xml:space="preserve">LA CORTE, </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r w:rsidRPr="00BE133F">
        <w:rPr>
          <w:rFonts w:ascii="Verdana" w:hAnsi="Verdana"/>
          <w:sz w:val="20"/>
          <w:szCs w:val="20"/>
        </w:rPr>
        <w:t>de conformidad con el artículo 67 de la Convención Americana sobre Derechos Humanos y los artículos 31.3 y 68 del Reglamento,</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DECIDE:</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tabs>
          <w:tab w:val="center" w:pos="4252"/>
          <w:tab w:val="right" w:pos="8504"/>
        </w:tabs>
        <w:spacing w:after="0" w:line="240" w:lineRule="auto"/>
        <w:rPr>
          <w:rFonts w:ascii="Verdana" w:hAnsi="Verdana"/>
          <w:sz w:val="20"/>
          <w:szCs w:val="20"/>
        </w:rPr>
      </w:pPr>
      <w:r w:rsidRPr="00BE133F">
        <w:rPr>
          <w:rFonts w:ascii="Verdana" w:hAnsi="Verdana"/>
          <w:sz w:val="20"/>
          <w:szCs w:val="20"/>
        </w:rPr>
        <w:t xml:space="preserve">Por </w:t>
      </w:r>
      <w:r w:rsidR="000F3570">
        <w:rPr>
          <w:rFonts w:ascii="Verdana" w:hAnsi="Verdana"/>
          <w:sz w:val="20"/>
          <w:szCs w:val="20"/>
        </w:rPr>
        <w:t xml:space="preserve">unanimidad, </w:t>
      </w:r>
    </w:p>
    <w:p w:rsidR="00577097" w:rsidRPr="00BE133F" w:rsidRDefault="00577097" w:rsidP="00577097">
      <w:pPr>
        <w:spacing w:after="0" w:line="240" w:lineRule="auto"/>
        <w:jc w:val="both"/>
        <w:rPr>
          <w:rFonts w:ascii="Verdana" w:hAnsi="Verdana"/>
          <w:sz w:val="20"/>
          <w:szCs w:val="20"/>
          <w:u w:val="single"/>
        </w:rPr>
      </w:pPr>
    </w:p>
    <w:p w:rsidR="008213BB" w:rsidRDefault="00665B11" w:rsidP="00577097">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presentada por </w:t>
      </w:r>
      <w:r w:rsidRPr="00AC63CC">
        <w:rPr>
          <w:rFonts w:ascii="Verdana" w:hAnsi="Verdana"/>
          <w:sz w:val="20"/>
          <w:szCs w:val="20"/>
        </w:rPr>
        <w:t xml:space="preserve">el </w:t>
      </w:r>
      <w:r>
        <w:rPr>
          <w:rFonts w:ascii="Verdana" w:hAnsi="Verdana"/>
          <w:sz w:val="20"/>
          <w:szCs w:val="20"/>
        </w:rPr>
        <w:t>Estado</w:t>
      </w:r>
      <w:r w:rsidR="00845405">
        <w:rPr>
          <w:rFonts w:ascii="Verdana" w:hAnsi="Verdana"/>
          <w:sz w:val="20"/>
          <w:szCs w:val="20"/>
        </w:rPr>
        <w:t>,</w:t>
      </w:r>
      <w:r>
        <w:rPr>
          <w:rFonts w:ascii="Verdana" w:hAnsi="Verdana"/>
          <w:sz w:val="20"/>
          <w:szCs w:val="20"/>
        </w:rPr>
        <w:t xml:space="preserve"> respecto</w:t>
      </w:r>
      <w:r w:rsidRPr="00AC63CC">
        <w:rPr>
          <w:rFonts w:ascii="Verdana" w:hAnsi="Verdana"/>
          <w:sz w:val="20"/>
          <w:szCs w:val="20"/>
        </w:rPr>
        <w:t xml:space="preserve"> </w:t>
      </w:r>
      <w:r>
        <w:rPr>
          <w:rFonts w:ascii="Verdana" w:hAnsi="Verdana"/>
          <w:sz w:val="20"/>
          <w:szCs w:val="20"/>
        </w:rPr>
        <w:t xml:space="preserve">de la </w:t>
      </w:r>
      <w:r w:rsidRPr="00BE133F">
        <w:rPr>
          <w:rFonts w:ascii="Verdana" w:hAnsi="Verdana"/>
          <w:sz w:val="20"/>
          <w:szCs w:val="20"/>
        </w:rPr>
        <w:t xml:space="preserve">Sentencia de Fondo, Reparaciones y Costas dictada en el </w:t>
      </w:r>
      <w:r w:rsidRPr="00B251D8">
        <w:rPr>
          <w:rFonts w:ascii="Verdana" w:hAnsi="Verdana"/>
          <w:i/>
          <w:sz w:val="20"/>
          <w:szCs w:val="20"/>
        </w:rPr>
        <w:t xml:space="preserve">caso </w:t>
      </w:r>
      <w:r w:rsidR="00B251D8" w:rsidRPr="00B251D8">
        <w:rPr>
          <w:rFonts w:ascii="Verdana" w:hAnsi="Verdana"/>
          <w:i/>
          <w:sz w:val="20"/>
          <w:szCs w:val="20"/>
        </w:rPr>
        <w:t>Pollo Rivera</w:t>
      </w:r>
      <w:r w:rsidRPr="00B251D8">
        <w:rPr>
          <w:rFonts w:ascii="Verdana" w:hAnsi="Verdana"/>
          <w:i/>
          <w:sz w:val="20"/>
          <w:szCs w:val="20"/>
        </w:rPr>
        <w:t xml:space="preserve"> y otros Vs Perú</w:t>
      </w:r>
      <w:r>
        <w:rPr>
          <w:rFonts w:ascii="Verdana" w:hAnsi="Verdana"/>
          <w:sz w:val="20"/>
          <w:szCs w:val="20"/>
        </w:rPr>
        <w:t>.</w:t>
      </w:r>
    </w:p>
    <w:p w:rsidR="008213BB" w:rsidRDefault="008213BB" w:rsidP="008213BB">
      <w:pPr>
        <w:spacing w:after="0" w:line="240" w:lineRule="auto"/>
        <w:jc w:val="both"/>
        <w:rPr>
          <w:rFonts w:ascii="Verdana" w:hAnsi="Verdana"/>
          <w:sz w:val="20"/>
          <w:szCs w:val="20"/>
        </w:rPr>
      </w:pPr>
    </w:p>
    <w:p w:rsidR="00411AA0" w:rsidRDefault="006D1F3B" w:rsidP="00411AA0">
      <w:pPr>
        <w:numPr>
          <w:ilvl w:val="0"/>
          <w:numId w:val="2"/>
        </w:numPr>
        <w:spacing w:after="0" w:line="240" w:lineRule="auto"/>
        <w:ind w:left="0" w:firstLine="0"/>
        <w:jc w:val="both"/>
        <w:rPr>
          <w:rFonts w:ascii="Verdana" w:hAnsi="Verdana"/>
          <w:sz w:val="20"/>
          <w:szCs w:val="20"/>
        </w:rPr>
      </w:pPr>
      <w:r>
        <w:rPr>
          <w:rFonts w:ascii="Verdana" w:hAnsi="Verdana"/>
          <w:sz w:val="20"/>
          <w:szCs w:val="20"/>
        </w:rPr>
        <w:t>Desestimar</w:t>
      </w:r>
      <w:r w:rsidR="00411AA0">
        <w:rPr>
          <w:rFonts w:ascii="Verdana" w:hAnsi="Verdana"/>
          <w:sz w:val="20"/>
          <w:szCs w:val="20"/>
        </w:rPr>
        <w:t xml:space="preserve"> por improcedente la solicitud</w:t>
      </w:r>
      <w:r w:rsidR="00577097" w:rsidRPr="00BE133F">
        <w:rPr>
          <w:rFonts w:ascii="Verdana" w:hAnsi="Verdana"/>
          <w:sz w:val="20"/>
          <w:szCs w:val="20"/>
        </w:rPr>
        <w:t xml:space="preserve"> de interpretación de </w:t>
      </w:r>
      <w:r w:rsidR="00B251D8" w:rsidRPr="00BE133F">
        <w:rPr>
          <w:rFonts w:ascii="Verdana" w:hAnsi="Verdana"/>
          <w:sz w:val="20"/>
          <w:szCs w:val="20"/>
        </w:rPr>
        <w:t xml:space="preserve">Sentencia de Fondo, Reparaciones y Costas dictada en el </w:t>
      </w:r>
      <w:r w:rsidR="00B251D8" w:rsidRPr="00B251D8">
        <w:rPr>
          <w:rFonts w:ascii="Verdana" w:hAnsi="Verdana"/>
          <w:i/>
          <w:sz w:val="20"/>
          <w:szCs w:val="20"/>
        </w:rPr>
        <w:t>caso Pollo Rivera y otros Vs Perú</w:t>
      </w:r>
      <w:r w:rsidR="00411AA0">
        <w:rPr>
          <w:rFonts w:ascii="Verdana" w:hAnsi="Verdana"/>
          <w:sz w:val="20"/>
          <w:szCs w:val="20"/>
        </w:rPr>
        <w:t>, interpuesta</w:t>
      </w:r>
      <w:r w:rsidR="00577097" w:rsidRPr="00BE133F">
        <w:rPr>
          <w:rFonts w:ascii="Verdana" w:hAnsi="Verdana"/>
          <w:sz w:val="20"/>
          <w:szCs w:val="20"/>
        </w:rPr>
        <w:t xml:space="preserve"> por </w:t>
      </w:r>
      <w:r w:rsidR="00B251D8">
        <w:rPr>
          <w:rFonts w:ascii="Verdana" w:hAnsi="Verdana"/>
          <w:sz w:val="20"/>
          <w:szCs w:val="20"/>
        </w:rPr>
        <w:t>el Estado</w:t>
      </w:r>
      <w:r w:rsidR="00F3631C">
        <w:rPr>
          <w:rFonts w:ascii="Verdana" w:hAnsi="Verdana" w:cs="Verdana"/>
          <w:sz w:val="20"/>
          <w:szCs w:val="20"/>
        </w:rPr>
        <w:t xml:space="preserve">, </w:t>
      </w:r>
      <w:r w:rsidR="00F3631C" w:rsidRPr="00BE133F">
        <w:rPr>
          <w:rFonts w:ascii="Verdana" w:hAnsi="Verdana"/>
          <w:sz w:val="20"/>
          <w:szCs w:val="20"/>
        </w:rPr>
        <w:t>por las raz</w:t>
      </w:r>
      <w:r w:rsidR="00F3631C">
        <w:rPr>
          <w:rFonts w:ascii="Verdana" w:hAnsi="Verdana"/>
          <w:sz w:val="20"/>
          <w:szCs w:val="20"/>
        </w:rPr>
        <w:t xml:space="preserve">ones señaladas en los párrafos </w:t>
      </w:r>
      <w:r w:rsidR="00AB5238">
        <w:rPr>
          <w:rFonts w:ascii="Verdana" w:hAnsi="Verdana"/>
          <w:sz w:val="20"/>
          <w:szCs w:val="20"/>
        </w:rPr>
        <w:t>13</w:t>
      </w:r>
      <w:r w:rsidR="00B251D8">
        <w:rPr>
          <w:rFonts w:ascii="Verdana" w:hAnsi="Verdana"/>
          <w:sz w:val="20"/>
          <w:szCs w:val="20"/>
        </w:rPr>
        <w:t xml:space="preserve"> a </w:t>
      </w:r>
      <w:r w:rsidR="00AB5238">
        <w:rPr>
          <w:rFonts w:ascii="Verdana" w:hAnsi="Verdana"/>
          <w:sz w:val="20"/>
          <w:szCs w:val="20"/>
        </w:rPr>
        <w:t>33</w:t>
      </w:r>
      <w:r w:rsidR="00F3631C" w:rsidRPr="00BE133F">
        <w:rPr>
          <w:rFonts w:ascii="Verdana" w:hAnsi="Verdana"/>
          <w:sz w:val="20"/>
          <w:szCs w:val="20"/>
        </w:rPr>
        <w:t xml:space="preserve"> de la presente Sentencia</w:t>
      </w:r>
      <w:r w:rsidR="00411AA0">
        <w:rPr>
          <w:rFonts w:ascii="Verdana" w:hAnsi="Verdana" w:cs="Verdana"/>
          <w:sz w:val="20"/>
          <w:szCs w:val="20"/>
        </w:rPr>
        <w:t>.</w:t>
      </w:r>
    </w:p>
    <w:p w:rsidR="00411AA0" w:rsidRPr="00411AA0" w:rsidRDefault="00411AA0" w:rsidP="00411AA0">
      <w:pPr>
        <w:spacing w:after="0" w:line="240" w:lineRule="auto"/>
        <w:jc w:val="both"/>
        <w:rPr>
          <w:rFonts w:ascii="Verdana" w:hAnsi="Verdana"/>
          <w:sz w:val="20"/>
          <w:szCs w:val="20"/>
        </w:rPr>
      </w:pPr>
    </w:p>
    <w:p w:rsidR="00577097" w:rsidRPr="00BE133F" w:rsidRDefault="00577097" w:rsidP="00577097">
      <w:pPr>
        <w:numPr>
          <w:ilvl w:val="0"/>
          <w:numId w:val="2"/>
        </w:numPr>
        <w:spacing w:after="0" w:line="240" w:lineRule="auto"/>
        <w:ind w:left="0" w:firstLine="0"/>
        <w:jc w:val="both"/>
        <w:rPr>
          <w:rFonts w:ascii="Verdana" w:hAnsi="Verdana"/>
          <w:sz w:val="20"/>
          <w:szCs w:val="20"/>
          <w:u w:val="single"/>
        </w:rPr>
      </w:pPr>
      <w:r w:rsidRPr="00BE133F">
        <w:rPr>
          <w:rFonts w:ascii="Verdana" w:eastAsia="Batang" w:hAnsi="Verdana"/>
          <w:sz w:val="20"/>
          <w:szCs w:val="20"/>
        </w:rPr>
        <w:t>Disponer que la Secretaría de la Corte notifique la</w:t>
      </w:r>
      <w:r w:rsidR="00FF4C47" w:rsidRPr="00BE133F">
        <w:rPr>
          <w:rFonts w:ascii="Verdana" w:eastAsia="Batang" w:hAnsi="Verdana"/>
          <w:sz w:val="20"/>
          <w:szCs w:val="20"/>
        </w:rPr>
        <w:t xml:space="preserve"> presente Sentencia al Estado del Perú</w:t>
      </w:r>
      <w:r w:rsidRPr="00BE133F">
        <w:rPr>
          <w:rFonts w:ascii="Verdana" w:eastAsia="Batang" w:hAnsi="Verdana"/>
          <w:sz w:val="20"/>
          <w:szCs w:val="20"/>
        </w:rPr>
        <w:t>, a los</w:t>
      </w:r>
      <w:r w:rsidR="00B251D8">
        <w:rPr>
          <w:rFonts w:ascii="Verdana" w:eastAsia="Batang" w:hAnsi="Verdana"/>
          <w:sz w:val="20"/>
          <w:szCs w:val="20"/>
        </w:rPr>
        <w:t xml:space="preserve"> intervinientes comunes de los representantes de las víctimas</w:t>
      </w:r>
      <w:r w:rsidRPr="00BE133F">
        <w:rPr>
          <w:rFonts w:ascii="Verdana" w:eastAsia="Batang" w:hAnsi="Verdana"/>
          <w:sz w:val="20"/>
          <w:szCs w:val="20"/>
        </w:rPr>
        <w:t xml:space="preserve"> y a la Comisión Interamericana de Derechos Humanos.</w:t>
      </w:r>
    </w:p>
    <w:p w:rsidR="009109FA" w:rsidRDefault="009109FA" w:rsidP="00577097">
      <w:pPr>
        <w:spacing w:line="240" w:lineRule="auto"/>
        <w:jc w:val="both"/>
        <w:rPr>
          <w:rFonts w:ascii="Verdana" w:hAnsi="Verdana"/>
          <w:sz w:val="20"/>
          <w:szCs w:val="20"/>
        </w:rPr>
      </w:pPr>
    </w:p>
    <w:p w:rsidR="0053276A" w:rsidRDefault="0053276A" w:rsidP="00577097">
      <w:pPr>
        <w:spacing w:line="240" w:lineRule="auto"/>
        <w:jc w:val="both"/>
        <w:rPr>
          <w:rFonts w:ascii="Verdana" w:hAnsi="Verdana"/>
          <w:sz w:val="20"/>
          <w:szCs w:val="20"/>
        </w:rPr>
      </w:pPr>
      <w:r w:rsidRPr="0053276A">
        <w:rPr>
          <w:rFonts w:ascii="Verdana" w:hAnsi="Verdana"/>
          <w:sz w:val="20"/>
          <w:szCs w:val="20"/>
        </w:rPr>
        <w:t>Redactada en español</w:t>
      </w:r>
      <w:r w:rsidR="000F3570">
        <w:rPr>
          <w:rFonts w:ascii="Verdana" w:hAnsi="Verdana"/>
          <w:sz w:val="20"/>
          <w:szCs w:val="20"/>
        </w:rPr>
        <w:t>, en San José, Costa Rica, el 25</w:t>
      </w:r>
      <w:r w:rsidRPr="0053276A">
        <w:rPr>
          <w:rFonts w:ascii="Verdana" w:hAnsi="Verdana"/>
          <w:sz w:val="20"/>
          <w:szCs w:val="20"/>
        </w:rPr>
        <w:t xml:space="preserve"> de mayo de 2017.</w:t>
      </w:r>
    </w:p>
    <w:p w:rsidR="005B445C" w:rsidRDefault="005B445C" w:rsidP="005B445C">
      <w:pPr>
        <w:spacing w:after="0" w:line="240" w:lineRule="auto"/>
        <w:jc w:val="both"/>
        <w:rPr>
          <w:rFonts w:ascii="Verdana" w:hAnsi="Verdana"/>
          <w:sz w:val="20"/>
          <w:szCs w:val="20"/>
        </w:rPr>
      </w:pPr>
    </w:p>
    <w:p w:rsidR="00577097" w:rsidRPr="00BE133F" w:rsidRDefault="00577097" w:rsidP="005B445C">
      <w:pPr>
        <w:spacing w:after="0" w:line="240" w:lineRule="auto"/>
        <w:jc w:val="both"/>
        <w:rPr>
          <w:rFonts w:ascii="Verdana" w:eastAsia="Times" w:hAnsi="Verdana"/>
          <w:sz w:val="20"/>
          <w:szCs w:val="20"/>
          <w:lang w:val="es-ES"/>
        </w:rPr>
      </w:pPr>
      <w:r w:rsidRPr="00BE133F">
        <w:rPr>
          <w:rFonts w:ascii="Verdana" w:eastAsia="Times" w:hAnsi="Verdana"/>
          <w:sz w:val="20"/>
          <w:szCs w:val="20"/>
          <w:lang w:val="es-ES"/>
        </w:rPr>
        <w:lastRenderedPageBreak/>
        <w:t>Sentencia de Interpreta</w:t>
      </w:r>
      <w:r w:rsidR="008C5A22">
        <w:rPr>
          <w:rFonts w:ascii="Verdana" w:eastAsia="Times" w:hAnsi="Verdana"/>
          <w:sz w:val="20"/>
          <w:szCs w:val="20"/>
          <w:lang w:val="es-ES"/>
        </w:rPr>
        <w:t xml:space="preserve">ción de la </w:t>
      </w:r>
      <w:r w:rsidR="00B251D8" w:rsidRPr="00BE133F">
        <w:rPr>
          <w:rFonts w:ascii="Verdana" w:hAnsi="Verdana"/>
          <w:sz w:val="20"/>
          <w:szCs w:val="20"/>
        </w:rPr>
        <w:t xml:space="preserve">Sentencia de Fondo, Reparaciones y Costas dictada en el </w:t>
      </w:r>
      <w:r w:rsidR="00B251D8" w:rsidRPr="00B251D8">
        <w:rPr>
          <w:rFonts w:ascii="Verdana" w:hAnsi="Verdana"/>
          <w:i/>
          <w:sz w:val="20"/>
          <w:szCs w:val="20"/>
        </w:rPr>
        <w:t>caso Pollo Rivera y otros Vs Perú</w:t>
      </w:r>
      <w:r w:rsidRPr="00BE133F">
        <w:rPr>
          <w:rFonts w:ascii="Verdana" w:eastAsia="Times" w:hAnsi="Verdana"/>
          <w:sz w:val="20"/>
          <w:szCs w:val="20"/>
          <w:lang w:val="es-ES"/>
        </w:rPr>
        <w:t xml:space="preserve">. </w:t>
      </w:r>
    </w:p>
    <w:p w:rsidR="00B251D8"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6C34AC" w:rsidRPr="00B12A37" w:rsidRDefault="006C34AC" w:rsidP="00B251D8">
      <w:pPr>
        <w:spacing w:after="0" w:line="240" w:lineRule="auto"/>
        <w:jc w:val="both"/>
        <w:rPr>
          <w:rFonts w:ascii="Verdana" w:hAnsi="Verdana"/>
          <w:sz w:val="20"/>
          <w:szCs w:val="20"/>
          <w:lang w:val="es-MX"/>
        </w:rPr>
      </w:pPr>
    </w:p>
    <w:p w:rsidR="00B251D8" w:rsidRPr="00B12A37" w:rsidRDefault="00B251D8" w:rsidP="00B251D8">
      <w:pPr>
        <w:spacing w:after="0" w:line="240" w:lineRule="auto"/>
        <w:jc w:val="center"/>
        <w:rPr>
          <w:rFonts w:ascii="Verdana" w:hAnsi="Verdana"/>
          <w:sz w:val="20"/>
          <w:szCs w:val="20"/>
          <w:lang w:val="es-MX"/>
        </w:rPr>
      </w:pPr>
      <w:r w:rsidRPr="00B12A37">
        <w:rPr>
          <w:rFonts w:ascii="Verdana" w:hAnsi="Verdana"/>
          <w:sz w:val="20"/>
          <w:szCs w:val="20"/>
          <w:lang w:val="es-MX"/>
        </w:rPr>
        <w:t>Roberto F. Caldas</w:t>
      </w:r>
    </w:p>
    <w:p w:rsidR="00B251D8" w:rsidRPr="00B12A37" w:rsidRDefault="00B251D8" w:rsidP="00B251D8">
      <w:pPr>
        <w:spacing w:after="0" w:line="240" w:lineRule="auto"/>
        <w:jc w:val="center"/>
        <w:rPr>
          <w:rFonts w:ascii="Verdana" w:hAnsi="Verdana"/>
          <w:sz w:val="20"/>
          <w:szCs w:val="20"/>
          <w:lang w:val="es-MX"/>
        </w:rPr>
      </w:pPr>
      <w:r w:rsidRPr="00B12A37">
        <w:rPr>
          <w:rFonts w:ascii="Verdana" w:hAnsi="Verdana"/>
          <w:sz w:val="20"/>
          <w:szCs w:val="20"/>
          <w:lang w:val="es-MX"/>
        </w:rPr>
        <w:t>Presidente</w:t>
      </w:r>
    </w:p>
    <w:p w:rsidR="00B251D8"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6C34AC" w:rsidRPr="00B12A37" w:rsidRDefault="006C34AC" w:rsidP="00B251D8">
      <w:pPr>
        <w:spacing w:after="0" w:line="240" w:lineRule="auto"/>
        <w:jc w:val="both"/>
        <w:rPr>
          <w:rFonts w:ascii="Verdana" w:hAnsi="Verdana"/>
          <w:sz w:val="20"/>
          <w:szCs w:val="20"/>
          <w:lang w:val="es-MX"/>
        </w:rPr>
      </w:pPr>
    </w:p>
    <w:p w:rsidR="00B251D8" w:rsidRPr="00B12A37" w:rsidRDefault="00B251D8" w:rsidP="00B251D8">
      <w:pPr>
        <w:spacing w:after="0" w:line="240" w:lineRule="auto"/>
        <w:jc w:val="both"/>
        <w:rPr>
          <w:rFonts w:ascii="Verdana" w:hAnsi="Verdana"/>
          <w:sz w:val="20"/>
          <w:szCs w:val="20"/>
          <w:lang w:val="es-MX"/>
        </w:rPr>
      </w:pPr>
      <w:r w:rsidRPr="00B12A37">
        <w:rPr>
          <w:rFonts w:ascii="Verdana" w:hAnsi="Verdana"/>
          <w:sz w:val="20"/>
          <w:szCs w:val="20"/>
          <w:lang w:val="es-MX"/>
        </w:rPr>
        <w:t>Eduardo Ferrer Mac-Gregor Poisot</w:t>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t xml:space="preserve">     Eduardo Vio Grossi </w:t>
      </w:r>
    </w:p>
    <w:p w:rsidR="00B251D8"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6C34AC" w:rsidRPr="00B12A37" w:rsidRDefault="006C34AC" w:rsidP="00B251D8">
      <w:pPr>
        <w:spacing w:after="0" w:line="240" w:lineRule="auto"/>
        <w:jc w:val="both"/>
        <w:rPr>
          <w:rFonts w:ascii="Verdana" w:hAnsi="Verdana"/>
          <w:sz w:val="20"/>
          <w:szCs w:val="20"/>
          <w:lang w:val="es-MX"/>
        </w:rPr>
      </w:pPr>
    </w:p>
    <w:p w:rsidR="00B251D8" w:rsidRPr="00B12A37" w:rsidRDefault="00B251D8" w:rsidP="00B251D8">
      <w:pPr>
        <w:spacing w:after="0" w:line="240" w:lineRule="auto"/>
        <w:jc w:val="both"/>
        <w:rPr>
          <w:rFonts w:ascii="Verdana" w:hAnsi="Verdana"/>
          <w:sz w:val="20"/>
          <w:szCs w:val="20"/>
          <w:lang w:val="es-MX"/>
        </w:rPr>
      </w:pPr>
      <w:r w:rsidRPr="00B12A37">
        <w:rPr>
          <w:rFonts w:ascii="Verdana" w:hAnsi="Verdana"/>
          <w:sz w:val="20"/>
          <w:szCs w:val="20"/>
          <w:lang w:val="es-MX"/>
        </w:rPr>
        <w:t>Humberto A. Sierra Porto</w:t>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t xml:space="preserve"> Elizabeth Odio Benito</w:t>
      </w:r>
    </w:p>
    <w:p w:rsidR="00B251D8"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5B445C" w:rsidRDefault="005B445C" w:rsidP="00B251D8">
      <w:pPr>
        <w:spacing w:after="0" w:line="240" w:lineRule="auto"/>
        <w:jc w:val="both"/>
        <w:rPr>
          <w:rFonts w:ascii="Verdana" w:hAnsi="Verdana"/>
          <w:sz w:val="20"/>
          <w:szCs w:val="20"/>
          <w:lang w:val="es-MX"/>
        </w:rPr>
      </w:pPr>
    </w:p>
    <w:p w:rsidR="006C34AC" w:rsidRPr="00B12A37" w:rsidRDefault="006C34AC" w:rsidP="00B251D8">
      <w:pPr>
        <w:spacing w:after="0" w:line="240" w:lineRule="auto"/>
        <w:jc w:val="both"/>
        <w:rPr>
          <w:rFonts w:ascii="Verdana" w:hAnsi="Verdana"/>
          <w:sz w:val="20"/>
          <w:szCs w:val="20"/>
          <w:lang w:val="es-MX"/>
        </w:rPr>
      </w:pPr>
    </w:p>
    <w:p w:rsidR="00B251D8" w:rsidRPr="00B12A37" w:rsidRDefault="00B251D8" w:rsidP="00B251D8">
      <w:pPr>
        <w:spacing w:after="0" w:line="240" w:lineRule="auto"/>
        <w:jc w:val="both"/>
        <w:rPr>
          <w:rFonts w:ascii="Verdana" w:hAnsi="Verdana"/>
          <w:sz w:val="20"/>
          <w:szCs w:val="20"/>
          <w:lang w:val="es-MX"/>
        </w:rPr>
      </w:pPr>
      <w:r w:rsidRPr="00B12A37">
        <w:rPr>
          <w:rFonts w:ascii="Verdana" w:hAnsi="Verdana"/>
          <w:sz w:val="20"/>
          <w:szCs w:val="20"/>
          <w:lang w:val="es-MX"/>
        </w:rPr>
        <w:t>Eugenio Raúl Zaffaroni</w:t>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t xml:space="preserve">      L. Patricio Pazmiño Freire</w:t>
      </w:r>
    </w:p>
    <w:p w:rsidR="00B251D8" w:rsidRPr="00B12A37"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jc w:val="center"/>
        <w:rPr>
          <w:rFonts w:ascii="Verdana" w:hAnsi="Verdana"/>
          <w:sz w:val="20"/>
          <w:szCs w:val="20"/>
          <w:lang w:val="es-MX"/>
        </w:rPr>
      </w:pPr>
    </w:p>
    <w:p w:rsidR="005B445C" w:rsidRDefault="005B445C" w:rsidP="00B251D8">
      <w:pPr>
        <w:spacing w:after="0" w:line="240" w:lineRule="auto"/>
        <w:jc w:val="center"/>
        <w:rPr>
          <w:rFonts w:ascii="Verdana" w:hAnsi="Verdana"/>
          <w:sz w:val="20"/>
          <w:szCs w:val="20"/>
          <w:lang w:val="es-MX"/>
        </w:rPr>
      </w:pPr>
    </w:p>
    <w:p w:rsidR="005B445C" w:rsidRDefault="005B445C" w:rsidP="00B251D8">
      <w:pPr>
        <w:spacing w:after="0" w:line="240" w:lineRule="auto"/>
        <w:jc w:val="center"/>
        <w:rPr>
          <w:rFonts w:ascii="Verdana" w:hAnsi="Verdana"/>
          <w:sz w:val="20"/>
          <w:szCs w:val="20"/>
          <w:lang w:val="es-MX"/>
        </w:rPr>
      </w:pPr>
    </w:p>
    <w:p w:rsidR="005B445C" w:rsidRDefault="005B445C" w:rsidP="00B251D8">
      <w:pPr>
        <w:spacing w:after="0" w:line="240" w:lineRule="auto"/>
        <w:jc w:val="center"/>
        <w:rPr>
          <w:rFonts w:ascii="Verdana" w:hAnsi="Verdana"/>
          <w:sz w:val="20"/>
          <w:szCs w:val="20"/>
          <w:lang w:val="es-MX"/>
        </w:rPr>
      </w:pPr>
    </w:p>
    <w:p w:rsidR="00B251D8" w:rsidRPr="00B12A37" w:rsidRDefault="00B251D8" w:rsidP="00B251D8">
      <w:pPr>
        <w:spacing w:after="0" w:line="240" w:lineRule="auto"/>
        <w:jc w:val="center"/>
        <w:rPr>
          <w:rFonts w:ascii="Verdana" w:hAnsi="Verdana"/>
          <w:sz w:val="20"/>
          <w:szCs w:val="20"/>
          <w:lang w:val="es-MX"/>
        </w:rPr>
      </w:pPr>
      <w:r w:rsidRPr="00B12A37">
        <w:rPr>
          <w:rFonts w:ascii="Verdana" w:hAnsi="Verdana"/>
          <w:sz w:val="20"/>
          <w:szCs w:val="20"/>
          <w:lang w:val="es-MX"/>
        </w:rPr>
        <w:t>Pablo Saavedra Alessandri</w:t>
      </w:r>
    </w:p>
    <w:p w:rsidR="00B251D8" w:rsidRPr="00B12A37" w:rsidRDefault="00B251D8" w:rsidP="00B251D8">
      <w:pPr>
        <w:spacing w:after="0" w:line="240" w:lineRule="auto"/>
        <w:jc w:val="center"/>
        <w:rPr>
          <w:rFonts w:ascii="Verdana" w:hAnsi="Verdana"/>
          <w:sz w:val="20"/>
          <w:szCs w:val="20"/>
          <w:lang w:val="es-MX"/>
        </w:rPr>
      </w:pPr>
      <w:r w:rsidRPr="00B12A37">
        <w:rPr>
          <w:rFonts w:ascii="Verdana" w:hAnsi="Verdana"/>
          <w:sz w:val="20"/>
          <w:szCs w:val="20"/>
          <w:lang w:val="es-MX"/>
        </w:rPr>
        <w:t>Secretario</w:t>
      </w:r>
    </w:p>
    <w:p w:rsidR="00B251D8"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jc w:val="both"/>
        <w:rPr>
          <w:rFonts w:ascii="Verdana" w:hAnsi="Verdana"/>
          <w:sz w:val="20"/>
          <w:szCs w:val="20"/>
          <w:lang w:val="es-MX"/>
        </w:rPr>
      </w:pPr>
    </w:p>
    <w:p w:rsidR="006C34AC" w:rsidRPr="00B12A37" w:rsidRDefault="006C34AC" w:rsidP="00B251D8">
      <w:pPr>
        <w:spacing w:after="0" w:line="240" w:lineRule="auto"/>
        <w:jc w:val="both"/>
        <w:rPr>
          <w:rFonts w:ascii="Verdana" w:hAnsi="Verdana"/>
          <w:sz w:val="20"/>
          <w:szCs w:val="20"/>
          <w:lang w:val="es-MX"/>
        </w:rPr>
      </w:pPr>
    </w:p>
    <w:p w:rsidR="00B251D8" w:rsidRPr="00B12A37" w:rsidRDefault="00B251D8" w:rsidP="00B251D8">
      <w:pPr>
        <w:spacing w:after="0" w:line="240" w:lineRule="auto"/>
        <w:jc w:val="both"/>
        <w:rPr>
          <w:rFonts w:ascii="Verdana" w:hAnsi="Verdana"/>
          <w:sz w:val="20"/>
          <w:szCs w:val="20"/>
          <w:lang w:val="es-MX"/>
        </w:rPr>
      </w:pPr>
      <w:r w:rsidRPr="00B12A37">
        <w:rPr>
          <w:rFonts w:ascii="Verdana" w:hAnsi="Verdana"/>
          <w:sz w:val="20"/>
          <w:szCs w:val="20"/>
          <w:lang w:val="es-MX"/>
        </w:rPr>
        <w:t>Comuníquese y ejecútese,</w:t>
      </w:r>
    </w:p>
    <w:p w:rsidR="00B251D8" w:rsidRPr="00B12A37" w:rsidRDefault="00B251D8" w:rsidP="00B251D8">
      <w:pPr>
        <w:spacing w:after="0" w:line="240" w:lineRule="auto"/>
        <w:jc w:val="both"/>
        <w:rPr>
          <w:rFonts w:ascii="Verdana" w:hAnsi="Verdana"/>
          <w:sz w:val="20"/>
          <w:szCs w:val="20"/>
          <w:lang w:val="es-MX"/>
        </w:rPr>
      </w:pPr>
    </w:p>
    <w:p w:rsidR="006C34AC" w:rsidRDefault="006C34AC" w:rsidP="00B251D8">
      <w:pPr>
        <w:spacing w:after="0" w:line="240" w:lineRule="auto"/>
        <w:ind w:left="6372" w:firstLine="708"/>
        <w:jc w:val="both"/>
        <w:rPr>
          <w:rFonts w:ascii="Verdana" w:hAnsi="Verdana"/>
          <w:sz w:val="20"/>
          <w:szCs w:val="20"/>
          <w:lang w:val="es-MX"/>
        </w:rPr>
      </w:pPr>
    </w:p>
    <w:p w:rsidR="006C34AC" w:rsidRDefault="006C34AC" w:rsidP="00B251D8">
      <w:pPr>
        <w:spacing w:after="0" w:line="240" w:lineRule="auto"/>
        <w:ind w:left="6372" w:firstLine="708"/>
        <w:jc w:val="both"/>
        <w:rPr>
          <w:rFonts w:ascii="Verdana" w:hAnsi="Verdana"/>
          <w:sz w:val="20"/>
          <w:szCs w:val="20"/>
          <w:lang w:val="es-MX"/>
        </w:rPr>
      </w:pPr>
    </w:p>
    <w:p w:rsidR="00B251D8" w:rsidRPr="00B12A37" w:rsidRDefault="00B251D8" w:rsidP="00B251D8">
      <w:pPr>
        <w:spacing w:after="0" w:line="240" w:lineRule="auto"/>
        <w:ind w:left="6372" w:firstLine="708"/>
        <w:jc w:val="both"/>
        <w:rPr>
          <w:rFonts w:ascii="Verdana" w:hAnsi="Verdana"/>
          <w:sz w:val="20"/>
          <w:szCs w:val="20"/>
          <w:lang w:val="es-MX"/>
        </w:rPr>
      </w:pPr>
      <w:r w:rsidRPr="00B12A37">
        <w:rPr>
          <w:rFonts w:ascii="Verdana" w:hAnsi="Verdana"/>
          <w:sz w:val="20"/>
          <w:szCs w:val="20"/>
          <w:lang w:val="es-MX"/>
        </w:rPr>
        <w:t>Roberto F. Caldas</w:t>
      </w:r>
    </w:p>
    <w:p w:rsidR="00B251D8" w:rsidRPr="00B12A37" w:rsidRDefault="00B251D8" w:rsidP="00B251D8">
      <w:pPr>
        <w:spacing w:after="0" w:line="240" w:lineRule="auto"/>
        <w:ind w:left="5760" w:firstLine="720"/>
        <w:jc w:val="both"/>
        <w:rPr>
          <w:rFonts w:ascii="Verdana" w:hAnsi="Verdana"/>
          <w:sz w:val="20"/>
          <w:szCs w:val="20"/>
          <w:lang w:val="es-MX"/>
        </w:rPr>
      </w:pPr>
      <w:r w:rsidRPr="00B12A37">
        <w:rPr>
          <w:rFonts w:ascii="Verdana" w:hAnsi="Verdana"/>
          <w:sz w:val="20"/>
          <w:szCs w:val="20"/>
          <w:lang w:val="es-MX"/>
        </w:rPr>
        <w:t xml:space="preserve">           Presidente</w:t>
      </w:r>
    </w:p>
    <w:p w:rsidR="004B1AB0" w:rsidRDefault="004B1AB0" w:rsidP="00B251D8">
      <w:pPr>
        <w:spacing w:after="0" w:line="240" w:lineRule="auto"/>
        <w:jc w:val="both"/>
        <w:rPr>
          <w:rFonts w:ascii="Verdana" w:hAnsi="Verdana"/>
          <w:sz w:val="20"/>
          <w:szCs w:val="20"/>
          <w:lang w:val="es-MX"/>
        </w:rPr>
      </w:pPr>
    </w:p>
    <w:p w:rsidR="006C34AC" w:rsidRDefault="006C34AC" w:rsidP="00B251D8">
      <w:pPr>
        <w:spacing w:after="0" w:line="240" w:lineRule="auto"/>
        <w:jc w:val="both"/>
        <w:rPr>
          <w:rFonts w:ascii="Verdana" w:hAnsi="Verdana"/>
          <w:sz w:val="20"/>
          <w:szCs w:val="20"/>
          <w:lang w:val="es-MX"/>
        </w:rPr>
      </w:pPr>
    </w:p>
    <w:p w:rsidR="00B251D8" w:rsidRPr="00B12A37" w:rsidRDefault="00B251D8" w:rsidP="00B251D8">
      <w:pPr>
        <w:spacing w:after="0" w:line="240" w:lineRule="auto"/>
        <w:jc w:val="both"/>
        <w:rPr>
          <w:rFonts w:ascii="Verdana" w:hAnsi="Verdana"/>
          <w:sz w:val="20"/>
          <w:szCs w:val="20"/>
          <w:lang w:val="es-MX"/>
        </w:rPr>
      </w:pPr>
      <w:r w:rsidRPr="00B12A37">
        <w:rPr>
          <w:rFonts w:ascii="Verdana" w:hAnsi="Verdana"/>
          <w:sz w:val="20"/>
          <w:szCs w:val="20"/>
          <w:lang w:val="es-MX"/>
        </w:rPr>
        <w:t>Pablo Saavedra Alessandri</w:t>
      </w:r>
    </w:p>
    <w:p w:rsidR="00B251D8" w:rsidRPr="00B12A37" w:rsidRDefault="00B251D8" w:rsidP="00B251D8">
      <w:pPr>
        <w:spacing w:after="0" w:line="240" w:lineRule="auto"/>
        <w:jc w:val="both"/>
        <w:rPr>
          <w:rFonts w:ascii="Verdana" w:hAnsi="Verdana"/>
          <w:sz w:val="20"/>
          <w:szCs w:val="20"/>
          <w:lang w:val="es-MX"/>
        </w:rPr>
      </w:pPr>
      <w:r w:rsidRPr="00B12A37">
        <w:rPr>
          <w:rFonts w:ascii="Verdana" w:hAnsi="Verdana"/>
          <w:sz w:val="20"/>
          <w:szCs w:val="20"/>
          <w:lang w:val="es-MX"/>
        </w:rPr>
        <w:tab/>
        <w:t>Secretario</w:t>
      </w:r>
    </w:p>
    <w:p w:rsidR="00434EF1" w:rsidRPr="00BE133F" w:rsidRDefault="00434EF1" w:rsidP="00B251D8">
      <w:pPr>
        <w:spacing w:after="0" w:line="240" w:lineRule="auto"/>
        <w:jc w:val="both"/>
        <w:rPr>
          <w:rFonts w:ascii="Verdana" w:hAnsi="Verdana"/>
          <w:sz w:val="20"/>
          <w:szCs w:val="20"/>
        </w:rPr>
      </w:pPr>
    </w:p>
    <w:sectPr w:rsidR="00434EF1" w:rsidRPr="00BE133F" w:rsidSect="00434EF1">
      <w:headerReference w:type="even" r:id="rId9"/>
      <w:headerReference w:type="default" r:id="rId10"/>
      <w:footerReference w:type="default" r:id="rId11"/>
      <w:pgSz w:w="12240" w:h="15840" w:code="1"/>
      <w:pgMar w:top="1440" w:right="132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11" w:rsidRDefault="004B7211" w:rsidP="00577097">
      <w:pPr>
        <w:spacing w:after="0" w:line="240" w:lineRule="auto"/>
      </w:pPr>
      <w:r>
        <w:separator/>
      </w:r>
    </w:p>
  </w:endnote>
  <w:endnote w:type="continuationSeparator" w:id="0">
    <w:p w:rsidR="004B7211" w:rsidRDefault="004B7211" w:rsidP="0057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22906"/>
      <w:docPartObj>
        <w:docPartGallery w:val="Page Numbers (Bottom of Page)"/>
        <w:docPartUnique/>
      </w:docPartObj>
    </w:sdtPr>
    <w:sdtEndPr>
      <w:rPr>
        <w:noProof/>
      </w:rPr>
    </w:sdtEndPr>
    <w:sdtContent>
      <w:p w:rsidR="00B82AF8" w:rsidRDefault="00B82AF8">
        <w:pPr>
          <w:pStyle w:val="Footer"/>
          <w:jc w:val="center"/>
        </w:pPr>
        <w:r>
          <w:fldChar w:fldCharType="begin"/>
        </w:r>
        <w:r>
          <w:instrText xml:space="preserve"> PAGE   \* MERGEFORMAT </w:instrText>
        </w:r>
        <w:r>
          <w:fldChar w:fldCharType="separate"/>
        </w:r>
        <w:r w:rsidR="00311772">
          <w:rPr>
            <w:noProof/>
          </w:rPr>
          <w:t>2</w:t>
        </w:r>
        <w:r>
          <w:rPr>
            <w:noProof/>
          </w:rPr>
          <w:fldChar w:fldCharType="end"/>
        </w:r>
      </w:p>
    </w:sdtContent>
  </w:sdt>
  <w:p w:rsidR="00321323" w:rsidRDefault="0032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11" w:rsidRDefault="004B7211" w:rsidP="00577097">
      <w:pPr>
        <w:spacing w:after="0" w:line="240" w:lineRule="auto"/>
      </w:pPr>
      <w:r>
        <w:separator/>
      </w:r>
    </w:p>
  </w:footnote>
  <w:footnote w:type="continuationSeparator" w:id="0">
    <w:p w:rsidR="004B7211" w:rsidRDefault="004B7211" w:rsidP="00577097">
      <w:pPr>
        <w:spacing w:after="0" w:line="240" w:lineRule="auto"/>
      </w:pPr>
      <w:r>
        <w:continuationSeparator/>
      </w:r>
    </w:p>
  </w:footnote>
  <w:footnote w:id="1">
    <w:p w:rsidR="00321323" w:rsidRPr="003C7C07" w:rsidRDefault="00321323" w:rsidP="003C7C07">
      <w:pPr>
        <w:pStyle w:val="FootnoteText"/>
        <w:spacing w:before="120" w:after="120"/>
        <w:jc w:val="both"/>
        <w:rPr>
          <w:lang w:val="es-CR"/>
        </w:rPr>
      </w:pPr>
      <w:r>
        <w:rPr>
          <w:rStyle w:val="FootnoteReference"/>
        </w:rPr>
        <w:footnoteRef/>
      </w:r>
      <w:r>
        <w:t xml:space="preserve"> </w:t>
      </w:r>
      <w:r w:rsidRPr="003C7C07">
        <w:rPr>
          <w:rFonts w:ascii="Verdana" w:hAnsi="Verdana"/>
          <w:spacing w:val="-12"/>
          <w:sz w:val="16"/>
          <w:szCs w:val="16"/>
          <w:lang w:val="es-MX"/>
        </w:rPr>
        <w:tab/>
      </w:r>
      <w:r>
        <w:rPr>
          <w:rFonts w:ascii="Verdana" w:hAnsi="Verdana"/>
          <w:spacing w:val="-12"/>
          <w:sz w:val="16"/>
          <w:szCs w:val="16"/>
          <w:lang w:val="es-MX"/>
        </w:rPr>
        <w:t xml:space="preserve">La solicitud fue suscrita por el señor </w:t>
      </w:r>
      <w:r w:rsidRPr="003C7C07">
        <w:rPr>
          <w:rFonts w:ascii="Verdana" w:hAnsi="Verdana"/>
          <w:spacing w:val="-12"/>
          <w:sz w:val="16"/>
          <w:szCs w:val="16"/>
          <w:lang w:val="es-MX"/>
        </w:rPr>
        <w:t>Iván Arturo Bazán Chacón</w:t>
      </w:r>
      <w:r>
        <w:rPr>
          <w:rFonts w:ascii="Verdana" w:hAnsi="Verdana"/>
          <w:spacing w:val="-12"/>
          <w:sz w:val="16"/>
          <w:szCs w:val="16"/>
          <w:lang w:val="es-MX"/>
        </w:rPr>
        <w:t xml:space="preserve">, </w:t>
      </w:r>
      <w:r w:rsidRPr="003C7C07">
        <w:rPr>
          <w:rFonts w:ascii="Verdana" w:hAnsi="Verdana"/>
          <w:spacing w:val="-12"/>
          <w:sz w:val="16"/>
          <w:szCs w:val="16"/>
          <w:lang w:val="es-MX"/>
        </w:rPr>
        <w:t>Procurador Público Adjunto Supranacional</w:t>
      </w:r>
      <w:r>
        <w:rPr>
          <w:rFonts w:ascii="Verdana" w:hAnsi="Verdana"/>
          <w:spacing w:val="-12"/>
          <w:sz w:val="16"/>
          <w:szCs w:val="16"/>
          <w:lang w:val="es-MX"/>
        </w:rPr>
        <w:t>, del Ministerio de Justicia y Derechos Humanos</w:t>
      </w:r>
      <w:r w:rsidRPr="003C7C07">
        <w:rPr>
          <w:rFonts w:ascii="Verdana" w:hAnsi="Verdana"/>
          <w:spacing w:val="-12"/>
          <w:sz w:val="16"/>
          <w:szCs w:val="16"/>
          <w:lang w:val="es-MX"/>
        </w:rPr>
        <w:t xml:space="preserve">, </w:t>
      </w:r>
      <w:r>
        <w:rPr>
          <w:rFonts w:ascii="Verdana" w:hAnsi="Verdana"/>
          <w:spacing w:val="-12"/>
          <w:sz w:val="16"/>
          <w:szCs w:val="16"/>
          <w:lang w:val="es-MX"/>
        </w:rPr>
        <w:t xml:space="preserve">y </w:t>
      </w:r>
      <w:r w:rsidRPr="003C7C07">
        <w:rPr>
          <w:rFonts w:ascii="Verdana" w:hAnsi="Verdana"/>
          <w:spacing w:val="-12"/>
          <w:sz w:val="16"/>
          <w:szCs w:val="16"/>
          <w:lang w:val="es-MX"/>
        </w:rPr>
        <w:t>Agente</w:t>
      </w:r>
      <w:r>
        <w:rPr>
          <w:rFonts w:ascii="Verdana" w:hAnsi="Verdana"/>
          <w:spacing w:val="-12"/>
          <w:sz w:val="16"/>
          <w:szCs w:val="16"/>
          <w:lang w:val="es-MX"/>
        </w:rPr>
        <w:t xml:space="preserve"> del Estado.</w:t>
      </w:r>
    </w:p>
  </w:footnote>
  <w:footnote w:id="2">
    <w:p w:rsidR="00321323" w:rsidRPr="00560854" w:rsidRDefault="00321323" w:rsidP="009475A1">
      <w:pPr>
        <w:pStyle w:val="FootnoteText"/>
        <w:spacing w:before="120" w:after="120"/>
        <w:jc w:val="both"/>
        <w:rPr>
          <w:rFonts w:ascii="Verdana" w:hAnsi="Verdana"/>
          <w:sz w:val="16"/>
          <w:szCs w:val="16"/>
          <w:lang w:val="es-CR"/>
        </w:rPr>
      </w:pPr>
      <w:r w:rsidRPr="00560854">
        <w:rPr>
          <w:rStyle w:val="FootnoteReference"/>
          <w:rFonts w:ascii="Verdana" w:hAnsi="Verdana"/>
          <w:sz w:val="16"/>
          <w:szCs w:val="16"/>
        </w:rPr>
        <w:footnoteRef/>
      </w:r>
      <w:r w:rsidRPr="00560854">
        <w:rPr>
          <w:rFonts w:ascii="Verdana" w:hAnsi="Verdana"/>
          <w:sz w:val="16"/>
          <w:szCs w:val="16"/>
        </w:rPr>
        <w:t xml:space="preserve"> </w:t>
      </w:r>
      <w:r w:rsidRPr="003C7C07">
        <w:rPr>
          <w:rFonts w:ascii="Verdana" w:hAnsi="Verdana"/>
          <w:spacing w:val="-12"/>
          <w:sz w:val="16"/>
          <w:szCs w:val="16"/>
          <w:lang w:val="es-MX"/>
        </w:rPr>
        <w:tab/>
        <w:t xml:space="preserve">Se recuerda que las víctimas fueron representadas ante la Corte a través de dos intervinientes comunes: por un lado, el </w:t>
      </w:r>
      <w:r w:rsidRPr="00560854">
        <w:rPr>
          <w:rFonts w:ascii="Verdana" w:hAnsi="Verdana"/>
          <w:spacing w:val="-12"/>
          <w:sz w:val="16"/>
          <w:szCs w:val="16"/>
          <w:lang w:val="es-MX"/>
        </w:rPr>
        <w:t xml:space="preserve">señor Carlos Eduardo Barros da Silva y la señora </w:t>
      </w:r>
      <w:proofErr w:type="spellStart"/>
      <w:r w:rsidRPr="00560854">
        <w:rPr>
          <w:rFonts w:ascii="Verdana" w:hAnsi="Verdana"/>
          <w:spacing w:val="-12"/>
          <w:sz w:val="16"/>
          <w:szCs w:val="16"/>
          <w:lang w:val="es-MX"/>
        </w:rPr>
        <w:t>Lisy</w:t>
      </w:r>
      <w:proofErr w:type="spellEnd"/>
      <w:r w:rsidRPr="00560854">
        <w:rPr>
          <w:rFonts w:ascii="Verdana" w:hAnsi="Verdana"/>
          <w:spacing w:val="-12"/>
          <w:sz w:val="16"/>
          <w:szCs w:val="16"/>
          <w:lang w:val="es-MX"/>
        </w:rPr>
        <w:t xml:space="preserve"> Bogado </w:t>
      </w:r>
      <w:r w:rsidRPr="003C7C07">
        <w:rPr>
          <w:rFonts w:ascii="Verdana" w:hAnsi="Verdana"/>
          <w:spacing w:val="-12"/>
          <w:sz w:val="16"/>
          <w:szCs w:val="16"/>
          <w:lang w:val="es-MX"/>
        </w:rPr>
        <w:t xml:space="preserve">(defensores interamericanos) y, por otro, </w:t>
      </w:r>
      <w:r w:rsidRPr="00560854">
        <w:rPr>
          <w:rFonts w:ascii="Verdana" w:hAnsi="Verdana"/>
          <w:spacing w:val="-12"/>
          <w:sz w:val="16"/>
          <w:szCs w:val="16"/>
          <w:lang w:val="es-MX"/>
        </w:rPr>
        <w:t>los abogados Andrés Coello Cruz y Manuel Andrés Coello Cáceres</w:t>
      </w:r>
      <w:r>
        <w:rPr>
          <w:rFonts w:ascii="Verdana" w:hAnsi="Verdana"/>
          <w:spacing w:val="-12"/>
          <w:sz w:val="16"/>
          <w:szCs w:val="16"/>
          <w:lang w:val="es-MX"/>
        </w:rPr>
        <w:t>.</w:t>
      </w:r>
    </w:p>
  </w:footnote>
  <w:footnote w:id="3">
    <w:p w:rsidR="00321323" w:rsidRPr="009475A1" w:rsidRDefault="00321323" w:rsidP="009475A1">
      <w:pPr>
        <w:pStyle w:val="FootnoteText"/>
        <w:spacing w:before="120" w:after="120"/>
        <w:jc w:val="both"/>
        <w:rPr>
          <w:rFonts w:ascii="Verdana" w:hAnsi="Verdana"/>
          <w:sz w:val="16"/>
          <w:szCs w:val="16"/>
          <w:lang w:val="es-CR"/>
        </w:rPr>
      </w:pPr>
      <w:r w:rsidRPr="00151138">
        <w:rPr>
          <w:rStyle w:val="FootnoteReference"/>
          <w:rFonts w:ascii="Verdana" w:hAnsi="Verdana"/>
          <w:sz w:val="16"/>
          <w:szCs w:val="16"/>
          <w:lang w:val="es-CO"/>
        </w:rPr>
        <w:footnoteRef/>
      </w:r>
      <w:r w:rsidRPr="00151138">
        <w:rPr>
          <w:rFonts w:ascii="Verdana" w:hAnsi="Verdana"/>
          <w:sz w:val="16"/>
          <w:szCs w:val="16"/>
          <w:lang w:val="es-CO"/>
        </w:rPr>
        <w:t xml:space="preserve"> </w:t>
      </w:r>
      <w:r w:rsidRPr="003C7C07">
        <w:rPr>
          <w:rFonts w:ascii="Verdana" w:hAnsi="Verdana"/>
          <w:spacing w:val="-12"/>
          <w:sz w:val="16"/>
          <w:szCs w:val="16"/>
          <w:lang w:val="es-MX"/>
        </w:rPr>
        <w:tab/>
      </w:r>
      <w:r w:rsidRPr="003C7C07">
        <w:rPr>
          <w:rFonts w:ascii="Verdana" w:hAnsi="Verdana"/>
          <w:i/>
          <w:spacing w:val="-12"/>
          <w:sz w:val="16"/>
          <w:szCs w:val="16"/>
          <w:lang w:val="es-MX"/>
        </w:rPr>
        <w:t>Cfr. Caso Loayza Tamayo Vs. Perú. Interpretación de la Sentencia de Fondo</w:t>
      </w:r>
      <w:r w:rsidRPr="003C7C07">
        <w:rPr>
          <w:rFonts w:ascii="Verdana" w:hAnsi="Verdana"/>
          <w:spacing w:val="-12"/>
          <w:sz w:val="16"/>
          <w:szCs w:val="16"/>
          <w:lang w:val="es-MX"/>
        </w:rPr>
        <w:t xml:space="preserve">. Resolución de la Corte de 8 de marzo de 1998. Serie C No. 47, párr. 16, y </w:t>
      </w:r>
      <w:r w:rsidRPr="003C7C07">
        <w:rPr>
          <w:rFonts w:ascii="Verdana" w:hAnsi="Verdana"/>
          <w:i/>
          <w:spacing w:val="-12"/>
          <w:sz w:val="16"/>
          <w:szCs w:val="16"/>
          <w:lang w:val="es-MX"/>
        </w:rPr>
        <w:t>Caso Comunidad Campesina de Santa Bárbara Vs. Perú. Interpretación de la Sentencia de Excepciones Preliminares, Fondo, Reparaciones y Costas</w:t>
      </w:r>
      <w:r w:rsidRPr="003C7C07">
        <w:rPr>
          <w:rFonts w:ascii="Verdana" w:hAnsi="Verdana"/>
          <w:spacing w:val="-12"/>
          <w:sz w:val="16"/>
          <w:szCs w:val="16"/>
          <w:lang w:val="es-MX"/>
        </w:rPr>
        <w:t>. Sentencia de 21 de noviembre de 2016. Serie C No. 324, párr. 10.</w:t>
      </w:r>
    </w:p>
  </w:footnote>
  <w:footnote w:id="4">
    <w:p w:rsidR="00321323" w:rsidRPr="00B12A37" w:rsidRDefault="00321323" w:rsidP="00BC56D0">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Penal Permanente de la Corte Suprema de Justicia. Ejecutoria Suprema de 22 de diciembre del 2004 (expediente de prueba, f. 1177)</w:t>
      </w:r>
    </w:p>
  </w:footnote>
  <w:footnote w:id="5">
    <w:p w:rsidR="00321323" w:rsidRPr="002B36C0" w:rsidRDefault="00321323" w:rsidP="006E56EE">
      <w:pPr>
        <w:pStyle w:val="FootnoteText"/>
        <w:jc w:val="both"/>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 xml:space="preserve">En el caso </w:t>
      </w:r>
      <w:proofErr w:type="spellStart"/>
      <w:r w:rsidRPr="002B36C0">
        <w:rPr>
          <w:rFonts w:ascii="Verdana" w:hAnsi="Verdana"/>
          <w:i/>
          <w:spacing w:val="-12"/>
          <w:sz w:val="16"/>
          <w:szCs w:val="16"/>
          <w:lang w:val="es-MX"/>
        </w:rPr>
        <w:t>Lori</w:t>
      </w:r>
      <w:proofErr w:type="spellEnd"/>
      <w:r w:rsidRPr="002B36C0">
        <w:rPr>
          <w:rFonts w:ascii="Verdana" w:hAnsi="Verdana"/>
          <w:i/>
          <w:spacing w:val="-12"/>
          <w:sz w:val="16"/>
          <w:szCs w:val="16"/>
          <w:lang w:val="es-MX"/>
        </w:rPr>
        <w:t xml:space="preserve"> </w:t>
      </w:r>
      <w:proofErr w:type="spellStart"/>
      <w:r w:rsidRPr="002B36C0">
        <w:rPr>
          <w:rFonts w:ascii="Verdana" w:hAnsi="Verdana"/>
          <w:i/>
          <w:spacing w:val="-12"/>
          <w:sz w:val="16"/>
          <w:szCs w:val="16"/>
          <w:lang w:val="es-MX"/>
        </w:rPr>
        <w:t>Berenson</w:t>
      </w:r>
      <w:proofErr w:type="spellEnd"/>
      <w:r w:rsidRPr="002B36C0">
        <w:rPr>
          <w:rFonts w:ascii="Verdana" w:hAnsi="Verdana"/>
          <w:i/>
          <w:spacing w:val="-12"/>
          <w:sz w:val="16"/>
          <w:szCs w:val="16"/>
          <w:lang w:val="es-MX"/>
        </w:rPr>
        <w:t xml:space="preserve"> Mejía Vs. Perú</w:t>
      </w:r>
      <w:r>
        <w:rPr>
          <w:rFonts w:ascii="Verdana" w:hAnsi="Verdana"/>
          <w:spacing w:val="-12"/>
          <w:sz w:val="16"/>
          <w:szCs w:val="16"/>
          <w:lang w:val="es-MX"/>
        </w:rPr>
        <w:t xml:space="preserve">, la Corte </w:t>
      </w:r>
      <w:r w:rsidRPr="00B12A37">
        <w:rPr>
          <w:rFonts w:ascii="Verdana" w:hAnsi="Verdana"/>
          <w:spacing w:val="-12"/>
          <w:sz w:val="16"/>
          <w:szCs w:val="16"/>
          <w:lang w:val="es-MX"/>
        </w:rPr>
        <w:t>hizo notar, “en lo que interesa[</w:t>
      </w:r>
      <w:proofErr w:type="spellStart"/>
      <w:r w:rsidRPr="00B12A37">
        <w:rPr>
          <w:rFonts w:ascii="Verdana" w:hAnsi="Verdana"/>
          <w:spacing w:val="-12"/>
          <w:sz w:val="16"/>
          <w:szCs w:val="16"/>
          <w:lang w:val="es-MX"/>
        </w:rPr>
        <w:t>ba</w:t>
      </w:r>
      <w:proofErr w:type="spellEnd"/>
      <w:r w:rsidRPr="00B12A37">
        <w:rPr>
          <w:rFonts w:ascii="Verdana" w:hAnsi="Verdana"/>
          <w:spacing w:val="-12"/>
          <w:sz w:val="16"/>
          <w:szCs w:val="16"/>
          <w:lang w:val="es-MX"/>
        </w:rPr>
        <w:t xml:space="preserve"> a ese] caso” y en relación con el artículo 4 del Decreto Ley No. 25.475, que “[l]a formulación de los delitos de colaboración con el terrorismo, no presenta […] las deficiencias que en su momento fueron observadas a propósito del delito de traición a la patria” y que “no estima que dichos tipos penales sean incompatibles con lo dispuesto en el artículo 9 de la Convención”.</w:t>
      </w:r>
    </w:p>
  </w:footnote>
  <w:footnote w:id="6">
    <w:p w:rsidR="00321323" w:rsidRPr="002B36C0" w:rsidRDefault="00321323" w:rsidP="0045112D">
      <w:pPr>
        <w:pStyle w:val="FootnoteText"/>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i/>
          <w:spacing w:val="-12"/>
          <w:sz w:val="16"/>
          <w:szCs w:val="16"/>
          <w:lang w:val="es-MX"/>
        </w:rPr>
        <w:t>Cfr. Ca</w:t>
      </w:r>
      <w:r>
        <w:rPr>
          <w:rFonts w:ascii="Verdana" w:hAnsi="Verdana"/>
          <w:i/>
          <w:spacing w:val="-12"/>
          <w:sz w:val="16"/>
          <w:szCs w:val="16"/>
          <w:lang w:val="es-MX"/>
        </w:rPr>
        <w:t>so Fermín Ramírez vs. Guatemala,</w:t>
      </w:r>
      <w:r w:rsidRPr="00B12A37">
        <w:rPr>
          <w:rFonts w:ascii="Verdana" w:hAnsi="Verdana"/>
          <w:bCs/>
          <w:spacing w:val="-12"/>
          <w:sz w:val="16"/>
          <w:szCs w:val="16"/>
          <w:lang w:val="es-MX"/>
        </w:rPr>
        <w:t xml:space="preserve"> </w:t>
      </w:r>
      <w:proofErr w:type="spellStart"/>
      <w:r w:rsidRPr="00B12A37">
        <w:rPr>
          <w:rFonts w:ascii="Verdana" w:hAnsi="Verdana"/>
          <w:bCs/>
          <w:spacing w:val="-12"/>
          <w:sz w:val="16"/>
          <w:szCs w:val="16"/>
          <w:lang w:val="es-MX"/>
        </w:rPr>
        <w:t>párrs</w:t>
      </w:r>
      <w:proofErr w:type="spellEnd"/>
      <w:r w:rsidRPr="00B12A37">
        <w:rPr>
          <w:rFonts w:ascii="Verdana" w:hAnsi="Verdana"/>
          <w:bCs/>
          <w:spacing w:val="-12"/>
          <w:sz w:val="16"/>
          <w:szCs w:val="16"/>
          <w:lang w:val="es-MX"/>
        </w:rPr>
        <w:t>. 94 y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23" w:rsidRDefault="00321323" w:rsidP="00434E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323" w:rsidRDefault="00321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80" w:rsidRDefault="009D3F80" w:rsidP="003B38E4">
    <w:pPr>
      <w:pStyle w:val="Header"/>
    </w:pPr>
  </w:p>
  <w:p w:rsidR="00321323" w:rsidRDefault="00321323" w:rsidP="00434E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3FF"/>
    <w:multiLevelType w:val="hybridMultilevel"/>
    <w:tmpl w:val="118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10068"/>
    <w:multiLevelType w:val="hybridMultilevel"/>
    <w:tmpl w:val="74D2F8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F5050E6"/>
    <w:multiLevelType w:val="hybridMultilevel"/>
    <w:tmpl w:val="454023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C366D43"/>
    <w:multiLevelType w:val="hybridMultilevel"/>
    <w:tmpl w:val="D1BE0240"/>
    <w:lvl w:ilvl="0" w:tplc="E84A0D6E">
      <w:start w:val="1"/>
      <w:numFmt w:val="upperRoman"/>
      <w:pStyle w:val="Title"/>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8C0434"/>
    <w:multiLevelType w:val="hybridMultilevel"/>
    <w:tmpl w:val="498003F6"/>
    <w:lvl w:ilvl="0" w:tplc="435EF360">
      <w:start w:val="1"/>
      <w:numFmt w:val="decimal"/>
      <w:lvlText w:val="%1."/>
      <w:lvlJc w:val="left"/>
      <w:pPr>
        <w:ind w:left="720" w:hanging="360"/>
      </w:pPr>
      <w:rPr>
        <w:rFonts w:ascii="Verdana" w:hAnsi="Verdana"/>
        <w:b w:val="0"/>
        <w:i w:val="0"/>
        <w:sz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D0362A1"/>
    <w:multiLevelType w:val="hybridMultilevel"/>
    <w:tmpl w:val="11880254"/>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718725EC"/>
    <w:multiLevelType w:val="hybridMultilevel"/>
    <w:tmpl w:val="A7981274"/>
    <w:lvl w:ilvl="0" w:tplc="ABE2A08C">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8">
    <w:nsid w:val="7CE64D32"/>
    <w:multiLevelType w:val="hybridMultilevel"/>
    <w:tmpl w:val="C4880AEC"/>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7"/>
  </w:num>
  <w:num w:numId="5">
    <w:abstractNumId w:val="0"/>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7"/>
    <w:rsid w:val="000139A9"/>
    <w:rsid w:val="00030376"/>
    <w:rsid w:val="00037E06"/>
    <w:rsid w:val="00063C73"/>
    <w:rsid w:val="00064C1E"/>
    <w:rsid w:val="00067A54"/>
    <w:rsid w:val="000703C9"/>
    <w:rsid w:val="000775C0"/>
    <w:rsid w:val="00077A4A"/>
    <w:rsid w:val="0008360D"/>
    <w:rsid w:val="00091F13"/>
    <w:rsid w:val="00093AB6"/>
    <w:rsid w:val="000A3AD9"/>
    <w:rsid w:val="000A4AD3"/>
    <w:rsid w:val="000B293B"/>
    <w:rsid w:val="000C7596"/>
    <w:rsid w:val="000D29A7"/>
    <w:rsid w:val="000E31B6"/>
    <w:rsid w:val="000E5DE4"/>
    <w:rsid w:val="000F0702"/>
    <w:rsid w:val="000F0C1E"/>
    <w:rsid w:val="000F3570"/>
    <w:rsid w:val="00102B8D"/>
    <w:rsid w:val="0010417B"/>
    <w:rsid w:val="00107EC1"/>
    <w:rsid w:val="00122412"/>
    <w:rsid w:val="001241EC"/>
    <w:rsid w:val="00126FE0"/>
    <w:rsid w:val="00151138"/>
    <w:rsid w:val="00160BC7"/>
    <w:rsid w:val="00161EF0"/>
    <w:rsid w:val="00162CD8"/>
    <w:rsid w:val="00176016"/>
    <w:rsid w:val="0018023D"/>
    <w:rsid w:val="00191668"/>
    <w:rsid w:val="0019512A"/>
    <w:rsid w:val="001B28AF"/>
    <w:rsid w:val="001B7615"/>
    <w:rsid w:val="001B7F53"/>
    <w:rsid w:val="001D0B60"/>
    <w:rsid w:val="001D14A6"/>
    <w:rsid w:val="001E1718"/>
    <w:rsid w:val="00204BEA"/>
    <w:rsid w:val="00222515"/>
    <w:rsid w:val="00234CBF"/>
    <w:rsid w:val="00240A0B"/>
    <w:rsid w:val="0024207C"/>
    <w:rsid w:val="00243299"/>
    <w:rsid w:val="00262910"/>
    <w:rsid w:val="00267103"/>
    <w:rsid w:val="00273EAB"/>
    <w:rsid w:val="00281FA0"/>
    <w:rsid w:val="00284014"/>
    <w:rsid w:val="002A2087"/>
    <w:rsid w:val="002B00A1"/>
    <w:rsid w:val="002C3783"/>
    <w:rsid w:val="002D0F33"/>
    <w:rsid w:val="002D207F"/>
    <w:rsid w:val="002E0811"/>
    <w:rsid w:val="003016B2"/>
    <w:rsid w:val="003073C3"/>
    <w:rsid w:val="00311772"/>
    <w:rsid w:val="00320614"/>
    <w:rsid w:val="00321323"/>
    <w:rsid w:val="00326731"/>
    <w:rsid w:val="00341838"/>
    <w:rsid w:val="003601A1"/>
    <w:rsid w:val="00362FCF"/>
    <w:rsid w:val="003645D7"/>
    <w:rsid w:val="0037162C"/>
    <w:rsid w:val="00372B83"/>
    <w:rsid w:val="00372F18"/>
    <w:rsid w:val="00386DC8"/>
    <w:rsid w:val="00393AE8"/>
    <w:rsid w:val="003A1222"/>
    <w:rsid w:val="003A32F1"/>
    <w:rsid w:val="003A45D5"/>
    <w:rsid w:val="003B38E4"/>
    <w:rsid w:val="003B547D"/>
    <w:rsid w:val="003C7C07"/>
    <w:rsid w:val="003D1781"/>
    <w:rsid w:val="003E3871"/>
    <w:rsid w:val="003F5E48"/>
    <w:rsid w:val="003F6A83"/>
    <w:rsid w:val="00400A80"/>
    <w:rsid w:val="0040104C"/>
    <w:rsid w:val="00401817"/>
    <w:rsid w:val="0040422A"/>
    <w:rsid w:val="00411AA0"/>
    <w:rsid w:val="00434957"/>
    <w:rsid w:val="00434EF1"/>
    <w:rsid w:val="00435FE0"/>
    <w:rsid w:val="00444B1E"/>
    <w:rsid w:val="0045112D"/>
    <w:rsid w:val="00453E5A"/>
    <w:rsid w:val="00472A7B"/>
    <w:rsid w:val="00476B19"/>
    <w:rsid w:val="00480D7A"/>
    <w:rsid w:val="00481F8C"/>
    <w:rsid w:val="00487100"/>
    <w:rsid w:val="004A38D0"/>
    <w:rsid w:val="004A4B1A"/>
    <w:rsid w:val="004A5A50"/>
    <w:rsid w:val="004A6D94"/>
    <w:rsid w:val="004B07FB"/>
    <w:rsid w:val="004B1AB0"/>
    <w:rsid w:val="004B7211"/>
    <w:rsid w:val="004C497D"/>
    <w:rsid w:val="004C751D"/>
    <w:rsid w:val="004D4A84"/>
    <w:rsid w:val="004E0CD8"/>
    <w:rsid w:val="004E2E75"/>
    <w:rsid w:val="005032B9"/>
    <w:rsid w:val="00513537"/>
    <w:rsid w:val="005226F5"/>
    <w:rsid w:val="00522EEC"/>
    <w:rsid w:val="0053276A"/>
    <w:rsid w:val="00537FF5"/>
    <w:rsid w:val="005605FB"/>
    <w:rsid w:val="00560854"/>
    <w:rsid w:val="0056370B"/>
    <w:rsid w:val="005661FE"/>
    <w:rsid w:val="00577097"/>
    <w:rsid w:val="00597743"/>
    <w:rsid w:val="005A6020"/>
    <w:rsid w:val="005B15A4"/>
    <w:rsid w:val="005B445C"/>
    <w:rsid w:val="005B59D1"/>
    <w:rsid w:val="005B7A9B"/>
    <w:rsid w:val="005C1433"/>
    <w:rsid w:val="005C2911"/>
    <w:rsid w:val="005C3031"/>
    <w:rsid w:val="005C601B"/>
    <w:rsid w:val="005C797C"/>
    <w:rsid w:val="005F3BC2"/>
    <w:rsid w:val="00601FBD"/>
    <w:rsid w:val="006071E0"/>
    <w:rsid w:val="00613C49"/>
    <w:rsid w:val="0061704F"/>
    <w:rsid w:val="00627EF1"/>
    <w:rsid w:val="00632CB0"/>
    <w:rsid w:val="00635702"/>
    <w:rsid w:val="006373F8"/>
    <w:rsid w:val="00640BF1"/>
    <w:rsid w:val="00643162"/>
    <w:rsid w:val="00651448"/>
    <w:rsid w:val="00653823"/>
    <w:rsid w:val="0065787B"/>
    <w:rsid w:val="00661051"/>
    <w:rsid w:val="00665B11"/>
    <w:rsid w:val="006766CC"/>
    <w:rsid w:val="006834DA"/>
    <w:rsid w:val="00687713"/>
    <w:rsid w:val="0069533B"/>
    <w:rsid w:val="006A1AC3"/>
    <w:rsid w:val="006B7212"/>
    <w:rsid w:val="006C34AC"/>
    <w:rsid w:val="006D1F3B"/>
    <w:rsid w:val="006D7104"/>
    <w:rsid w:val="006E56EE"/>
    <w:rsid w:val="00702B02"/>
    <w:rsid w:val="007034DA"/>
    <w:rsid w:val="007144F1"/>
    <w:rsid w:val="00715113"/>
    <w:rsid w:val="0072736F"/>
    <w:rsid w:val="007274AC"/>
    <w:rsid w:val="0073248C"/>
    <w:rsid w:val="00750DCC"/>
    <w:rsid w:val="00761758"/>
    <w:rsid w:val="00770554"/>
    <w:rsid w:val="0077217D"/>
    <w:rsid w:val="00776A00"/>
    <w:rsid w:val="00777038"/>
    <w:rsid w:val="00785537"/>
    <w:rsid w:val="00787A95"/>
    <w:rsid w:val="00791C1B"/>
    <w:rsid w:val="00797860"/>
    <w:rsid w:val="007A5E6F"/>
    <w:rsid w:val="007B203C"/>
    <w:rsid w:val="007B5700"/>
    <w:rsid w:val="007C5F03"/>
    <w:rsid w:val="007C7F0E"/>
    <w:rsid w:val="007D0F6B"/>
    <w:rsid w:val="007D442F"/>
    <w:rsid w:val="007D68C5"/>
    <w:rsid w:val="007E4A7E"/>
    <w:rsid w:val="007E4F77"/>
    <w:rsid w:val="008213BB"/>
    <w:rsid w:val="008232EE"/>
    <w:rsid w:val="0082480B"/>
    <w:rsid w:val="00825345"/>
    <w:rsid w:val="00825A70"/>
    <w:rsid w:val="00826975"/>
    <w:rsid w:val="00832ACB"/>
    <w:rsid w:val="008366C2"/>
    <w:rsid w:val="0084423F"/>
    <w:rsid w:val="00845405"/>
    <w:rsid w:val="008479FB"/>
    <w:rsid w:val="00847B70"/>
    <w:rsid w:val="008500AF"/>
    <w:rsid w:val="00870C23"/>
    <w:rsid w:val="0089460F"/>
    <w:rsid w:val="00894E6B"/>
    <w:rsid w:val="0089761B"/>
    <w:rsid w:val="008A16DF"/>
    <w:rsid w:val="008C5A22"/>
    <w:rsid w:val="008C5AE0"/>
    <w:rsid w:val="008C7D22"/>
    <w:rsid w:val="008D02E3"/>
    <w:rsid w:val="008D0FB1"/>
    <w:rsid w:val="008D140A"/>
    <w:rsid w:val="008E1262"/>
    <w:rsid w:val="008E250F"/>
    <w:rsid w:val="008E3F7D"/>
    <w:rsid w:val="009020B2"/>
    <w:rsid w:val="009109FA"/>
    <w:rsid w:val="00917FD6"/>
    <w:rsid w:val="00920163"/>
    <w:rsid w:val="0092247E"/>
    <w:rsid w:val="0093256C"/>
    <w:rsid w:val="009346D0"/>
    <w:rsid w:val="009459FB"/>
    <w:rsid w:val="009466FF"/>
    <w:rsid w:val="00946E75"/>
    <w:rsid w:val="009475A1"/>
    <w:rsid w:val="00950D9C"/>
    <w:rsid w:val="00954254"/>
    <w:rsid w:val="00981E08"/>
    <w:rsid w:val="00981FD6"/>
    <w:rsid w:val="009A19D0"/>
    <w:rsid w:val="009A6079"/>
    <w:rsid w:val="009B0676"/>
    <w:rsid w:val="009B4AE1"/>
    <w:rsid w:val="009C364A"/>
    <w:rsid w:val="009D1A0B"/>
    <w:rsid w:val="009D3F80"/>
    <w:rsid w:val="009D4B7F"/>
    <w:rsid w:val="009D5170"/>
    <w:rsid w:val="009D52B4"/>
    <w:rsid w:val="009E1958"/>
    <w:rsid w:val="009F14E1"/>
    <w:rsid w:val="009F646B"/>
    <w:rsid w:val="00A0453D"/>
    <w:rsid w:val="00A079C2"/>
    <w:rsid w:val="00A11712"/>
    <w:rsid w:val="00A138D3"/>
    <w:rsid w:val="00A2548F"/>
    <w:rsid w:val="00A3444E"/>
    <w:rsid w:val="00A36042"/>
    <w:rsid w:val="00A37721"/>
    <w:rsid w:val="00A42EDC"/>
    <w:rsid w:val="00A47A78"/>
    <w:rsid w:val="00A5262F"/>
    <w:rsid w:val="00A57281"/>
    <w:rsid w:val="00A778F1"/>
    <w:rsid w:val="00A820AB"/>
    <w:rsid w:val="00A84857"/>
    <w:rsid w:val="00AB38AA"/>
    <w:rsid w:val="00AB5238"/>
    <w:rsid w:val="00AC63CC"/>
    <w:rsid w:val="00AC6E29"/>
    <w:rsid w:val="00AD6C46"/>
    <w:rsid w:val="00AE4FB5"/>
    <w:rsid w:val="00AF0947"/>
    <w:rsid w:val="00AF418E"/>
    <w:rsid w:val="00B00DFC"/>
    <w:rsid w:val="00B12212"/>
    <w:rsid w:val="00B251D8"/>
    <w:rsid w:val="00B3203C"/>
    <w:rsid w:val="00B35601"/>
    <w:rsid w:val="00B4692C"/>
    <w:rsid w:val="00B46EE5"/>
    <w:rsid w:val="00B47B52"/>
    <w:rsid w:val="00B51EEF"/>
    <w:rsid w:val="00B70EAD"/>
    <w:rsid w:val="00B757CF"/>
    <w:rsid w:val="00B8255C"/>
    <w:rsid w:val="00B82AF8"/>
    <w:rsid w:val="00B95CD6"/>
    <w:rsid w:val="00BB3807"/>
    <w:rsid w:val="00BB6190"/>
    <w:rsid w:val="00BC56D0"/>
    <w:rsid w:val="00BD4F25"/>
    <w:rsid w:val="00BE133F"/>
    <w:rsid w:val="00BE351D"/>
    <w:rsid w:val="00BE4E24"/>
    <w:rsid w:val="00BF2040"/>
    <w:rsid w:val="00BF2BC9"/>
    <w:rsid w:val="00BF3697"/>
    <w:rsid w:val="00C01A34"/>
    <w:rsid w:val="00C048F5"/>
    <w:rsid w:val="00C136C6"/>
    <w:rsid w:val="00C1627D"/>
    <w:rsid w:val="00C24188"/>
    <w:rsid w:val="00C26C4C"/>
    <w:rsid w:val="00C41E1B"/>
    <w:rsid w:val="00C42BE9"/>
    <w:rsid w:val="00C605A3"/>
    <w:rsid w:val="00C62118"/>
    <w:rsid w:val="00C64543"/>
    <w:rsid w:val="00C67C46"/>
    <w:rsid w:val="00C710D4"/>
    <w:rsid w:val="00C82D0E"/>
    <w:rsid w:val="00C90835"/>
    <w:rsid w:val="00C941D7"/>
    <w:rsid w:val="00CA64C1"/>
    <w:rsid w:val="00CB1835"/>
    <w:rsid w:val="00CB3D5B"/>
    <w:rsid w:val="00CC5411"/>
    <w:rsid w:val="00CF39BE"/>
    <w:rsid w:val="00CF3F01"/>
    <w:rsid w:val="00CF606A"/>
    <w:rsid w:val="00D001DE"/>
    <w:rsid w:val="00D03BF0"/>
    <w:rsid w:val="00D16F26"/>
    <w:rsid w:val="00D314FE"/>
    <w:rsid w:val="00D532B1"/>
    <w:rsid w:val="00D65B91"/>
    <w:rsid w:val="00D71539"/>
    <w:rsid w:val="00D724A5"/>
    <w:rsid w:val="00D856AB"/>
    <w:rsid w:val="00D85CFA"/>
    <w:rsid w:val="00D94877"/>
    <w:rsid w:val="00D96513"/>
    <w:rsid w:val="00DA24D9"/>
    <w:rsid w:val="00DA5551"/>
    <w:rsid w:val="00DA5FCA"/>
    <w:rsid w:val="00DB2539"/>
    <w:rsid w:val="00DC2AC8"/>
    <w:rsid w:val="00DF4065"/>
    <w:rsid w:val="00DF72F0"/>
    <w:rsid w:val="00E03AF2"/>
    <w:rsid w:val="00E070C4"/>
    <w:rsid w:val="00E12F43"/>
    <w:rsid w:val="00E15834"/>
    <w:rsid w:val="00E158BC"/>
    <w:rsid w:val="00E3370D"/>
    <w:rsid w:val="00E411B3"/>
    <w:rsid w:val="00E571D7"/>
    <w:rsid w:val="00E57F70"/>
    <w:rsid w:val="00E674ED"/>
    <w:rsid w:val="00E71725"/>
    <w:rsid w:val="00E7316E"/>
    <w:rsid w:val="00E73337"/>
    <w:rsid w:val="00E77347"/>
    <w:rsid w:val="00E862CA"/>
    <w:rsid w:val="00E91F7B"/>
    <w:rsid w:val="00E92C7C"/>
    <w:rsid w:val="00ED1616"/>
    <w:rsid w:val="00ED2D0B"/>
    <w:rsid w:val="00ED7607"/>
    <w:rsid w:val="00EE3229"/>
    <w:rsid w:val="00EE3FD4"/>
    <w:rsid w:val="00EE7416"/>
    <w:rsid w:val="00EF66A3"/>
    <w:rsid w:val="00EF6C56"/>
    <w:rsid w:val="00F023BC"/>
    <w:rsid w:val="00F05BF3"/>
    <w:rsid w:val="00F2206B"/>
    <w:rsid w:val="00F22365"/>
    <w:rsid w:val="00F3631C"/>
    <w:rsid w:val="00F36489"/>
    <w:rsid w:val="00F402FA"/>
    <w:rsid w:val="00F42181"/>
    <w:rsid w:val="00F45AAF"/>
    <w:rsid w:val="00F474DD"/>
    <w:rsid w:val="00F54D65"/>
    <w:rsid w:val="00F55175"/>
    <w:rsid w:val="00F554EF"/>
    <w:rsid w:val="00F55E3E"/>
    <w:rsid w:val="00F56B02"/>
    <w:rsid w:val="00F61462"/>
    <w:rsid w:val="00F63B1A"/>
    <w:rsid w:val="00F66689"/>
    <w:rsid w:val="00F73C9F"/>
    <w:rsid w:val="00F7752A"/>
    <w:rsid w:val="00F8615A"/>
    <w:rsid w:val="00F975C9"/>
    <w:rsid w:val="00FA0CD0"/>
    <w:rsid w:val="00FA5146"/>
    <w:rsid w:val="00FC2B7C"/>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paragraph" w:styleId="Heading1">
    <w:name w:val="heading 1"/>
    <w:basedOn w:val="Normal"/>
    <w:next w:val="Normal"/>
    <w:link w:val="Heading1Ch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List Paragraph2,Párrafo de lista1"/>
    <w:basedOn w:val="Normal"/>
    <w:link w:val="ListParagraphChar"/>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List Paragraph2 Char,Párrafo de lista1 Char"/>
    <w:basedOn w:val="DefaultParagraphFont"/>
    <w:link w:val="ListParagraph"/>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paragraph" w:styleId="BlockText">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Heading1Char">
    <w:name w:val="Heading 1 Char"/>
    <w:basedOn w:val="DefaultParagraphFont"/>
    <w:link w:val="Heading1"/>
    <w:uiPriority w:val="9"/>
    <w:rsid w:val="007274AC"/>
    <w:rPr>
      <w:rFonts w:ascii="Verdana" w:eastAsia="Times" w:hAnsi="Verdana" w:cs="Times New Roman"/>
      <w:i/>
      <w:sz w:val="20"/>
      <w:szCs w:val="20"/>
      <w:lang w:val="es-CR"/>
    </w:rPr>
  </w:style>
  <w:style w:type="paragraph" w:styleId="Title">
    <w:name w:val="Title"/>
    <w:basedOn w:val="Normal"/>
    <w:link w:val="TitleChar"/>
    <w:qFormat/>
    <w:rsid w:val="00ED2D0B"/>
    <w:pPr>
      <w:numPr>
        <w:numId w:val="6"/>
      </w:numPr>
      <w:spacing w:after="0" w:line="240" w:lineRule="auto"/>
      <w:jc w:val="both"/>
    </w:pPr>
    <w:rPr>
      <w:rFonts w:ascii="Verdana" w:eastAsia="Times New Roman" w:hAnsi="Verdana"/>
      <w:b/>
      <w:sz w:val="20"/>
      <w:szCs w:val="20"/>
      <w:lang w:val="es-ES_tradnl" w:eastAsia="es-ES" w:bidi="en-US"/>
    </w:rPr>
  </w:style>
  <w:style w:type="character" w:customStyle="1" w:styleId="TitleChar">
    <w:name w:val="Title Char"/>
    <w:basedOn w:val="DefaultParagraphFont"/>
    <w:link w:val="Title"/>
    <w:rsid w:val="00ED2D0B"/>
    <w:rPr>
      <w:rFonts w:ascii="Verdana" w:eastAsia="Times New Roman" w:hAnsi="Verdana" w:cs="Times New Roman"/>
      <w:b/>
      <w:sz w:val="20"/>
      <w:szCs w:val="20"/>
      <w:lang w:val="es-ES_tradnl" w:eastAsia="es-ES" w:bidi="en-US"/>
    </w:rPr>
  </w:style>
  <w:style w:type="character" w:styleId="Strong">
    <w:name w:val="Strong"/>
    <w:basedOn w:val="DefaultParagraphFont"/>
    <w:uiPriority w:val="22"/>
    <w:qFormat/>
    <w:rsid w:val="009475A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E56EE"/>
    <w:pPr>
      <w:spacing w:after="0" w:line="240" w:lineRule="auto"/>
      <w:jc w:val="both"/>
    </w:pPr>
    <w:rPr>
      <w:rFonts w:asciiTheme="minorHAnsi" w:eastAsiaTheme="minorHAnsi" w:hAnsiTheme="minorHAnsi" w:cstheme="minorBidi"/>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paragraph" w:styleId="Heading1">
    <w:name w:val="heading 1"/>
    <w:basedOn w:val="Normal"/>
    <w:next w:val="Normal"/>
    <w:link w:val="Heading1Ch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List Paragraph2,Párrafo de lista1"/>
    <w:basedOn w:val="Normal"/>
    <w:link w:val="ListParagraphChar"/>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List Paragraph2 Char,Párrafo de lista1 Char"/>
    <w:basedOn w:val="DefaultParagraphFont"/>
    <w:link w:val="ListParagraph"/>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paragraph" w:styleId="BlockText">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Heading1Char">
    <w:name w:val="Heading 1 Char"/>
    <w:basedOn w:val="DefaultParagraphFont"/>
    <w:link w:val="Heading1"/>
    <w:uiPriority w:val="9"/>
    <w:rsid w:val="007274AC"/>
    <w:rPr>
      <w:rFonts w:ascii="Verdana" w:eastAsia="Times" w:hAnsi="Verdana" w:cs="Times New Roman"/>
      <w:i/>
      <w:sz w:val="20"/>
      <w:szCs w:val="20"/>
      <w:lang w:val="es-CR"/>
    </w:rPr>
  </w:style>
  <w:style w:type="paragraph" w:styleId="Title">
    <w:name w:val="Title"/>
    <w:basedOn w:val="Normal"/>
    <w:link w:val="TitleChar"/>
    <w:qFormat/>
    <w:rsid w:val="00ED2D0B"/>
    <w:pPr>
      <w:numPr>
        <w:numId w:val="6"/>
      </w:numPr>
      <w:spacing w:after="0" w:line="240" w:lineRule="auto"/>
      <w:jc w:val="both"/>
    </w:pPr>
    <w:rPr>
      <w:rFonts w:ascii="Verdana" w:eastAsia="Times New Roman" w:hAnsi="Verdana"/>
      <w:b/>
      <w:sz w:val="20"/>
      <w:szCs w:val="20"/>
      <w:lang w:val="es-ES_tradnl" w:eastAsia="es-ES" w:bidi="en-US"/>
    </w:rPr>
  </w:style>
  <w:style w:type="character" w:customStyle="1" w:styleId="TitleChar">
    <w:name w:val="Title Char"/>
    <w:basedOn w:val="DefaultParagraphFont"/>
    <w:link w:val="Title"/>
    <w:rsid w:val="00ED2D0B"/>
    <w:rPr>
      <w:rFonts w:ascii="Verdana" w:eastAsia="Times New Roman" w:hAnsi="Verdana" w:cs="Times New Roman"/>
      <w:b/>
      <w:sz w:val="20"/>
      <w:szCs w:val="20"/>
      <w:lang w:val="es-ES_tradnl" w:eastAsia="es-ES" w:bidi="en-US"/>
    </w:rPr>
  </w:style>
  <w:style w:type="character" w:styleId="Strong">
    <w:name w:val="Strong"/>
    <w:basedOn w:val="DefaultParagraphFont"/>
    <w:uiPriority w:val="22"/>
    <w:qFormat/>
    <w:rsid w:val="009475A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E56EE"/>
    <w:pPr>
      <w:spacing w:after="0" w:line="240" w:lineRule="auto"/>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12C7-B4C4-435F-9845-7B64D214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5561</Words>
  <Characters>28419</Characters>
  <Application>Microsoft Office Word</Application>
  <DocSecurity>4</DocSecurity>
  <Lines>568</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2016-12-06T17:15:00Z</cp:lastPrinted>
  <dcterms:created xsi:type="dcterms:W3CDTF">2017-05-29T23:12:00Z</dcterms:created>
  <dcterms:modified xsi:type="dcterms:W3CDTF">2017-05-29T23:12:00Z</dcterms:modified>
</cp:coreProperties>
</file>